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091" w:right="0" w:firstLine="0"/>
        <w:rPr>
          <w:rFonts w:ascii="Times New Roman"/>
          <w:sz w:val="20"/>
        </w:rPr>
      </w:pPr>
      <w:r>
        <w:rPr>
          <w:rFonts w:ascii="Times New Roman"/>
          <w:sz w:val="20"/>
        </w:rPr>
        <w:drawing>
          <wp:inline distT="0" distB="0" distL="0" distR="0">
            <wp:extent cx="3178264" cy="805815"/>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178264" cy="805815"/>
                    </a:xfrm>
                    <a:prstGeom prst="rect">
                      <a:avLst/>
                    </a:prstGeom>
                  </pic:spPr>
                </pic:pic>
              </a:graphicData>
            </a:graphic>
          </wp:inline>
        </w:drawing>
      </w:r>
      <w:r>
        <w:rPr>
          <w:rFonts w:ascii="Times New Roman"/>
          <w:sz w:val="20"/>
        </w:rPr>
      </w:r>
    </w:p>
    <w:p>
      <w:pPr>
        <w:tabs>
          <w:tab w:pos="1901" w:val="left" w:leader="none"/>
        </w:tabs>
        <w:spacing w:before="90"/>
        <w:ind w:left="165" w:right="0" w:firstLine="0"/>
        <w:jc w:val="left"/>
        <w:rPr>
          <w:b/>
          <w:sz w:val="22"/>
        </w:rPr>
      </w:pPr>
      <w:r>
        <w:rPr>
          <w:color w:val="0D0D0D"/>
          <w:spacing w:val="-4"/>
          <w:sz w:val="22"/>
        </w:rPr>
        <w:t>Date</w:t>
      </w:r>
      <w:r>
        <w:rPr>
          <w:color w:val="0D0D0D"/>
          <w:sz w:val="22"/>
        </w:rPr>
        <w:tab/>
      </w:r>
      <w:r>
        <w:rPr>
          <w:b/>
          <w:color w:val="0D0D0D"/>
          <w:spacing w:val="-2"/>
          <w:sz w:val="22"/>
        </w:rPr>
        <w:t>13/10/2026</w:t>
      </w:r>
    </w:p>
    <w:p>
      <w:pPr>
        <w:tabs>
          <w:tab w:pos="1901" w:val="left" w:leader="none"/>
        </w:tabs>
        <w:spacing w:before="107"/>
        <w:ind w:left="165" w:right="0" w:firstLine="0"/>
        <w:jc w:val="left"/>
        <w:rPr>
          <w:b/>
          <w:sz w:val="22"/>
        </w:rPr>
      </w:pPr>
      <w:r>
        <w:rPr>
          <w:color w:val="0D0D0D"/>
          <w:spacing w:val="-4"/>
          <w:sz w:val="22"/>
        </w:rPr>
        <w:t>Time</w:t>
      </w:r>
      <w:r>
        <w:rPr>
          <w:color w:val="0D0D0D"/>
          <w:sz w:val="22"/>
        </w:rPr>
        <w:tab/>
      </w:r>
      <w:r>
        <w:rPr>
          <w:b/>
          <w:color w:val="0D0D0D"/>
          <w:sz w:val="22"/>
        </w:rPr>
        <w:t>9:30</w:t>
      </w:r>
      <w:r>
        <w:rPr>
          <w:b/>
          <w:color w:val="0D0D0D"/>
          <w:spacing w:val="-2"/>
          <w:sz w:val="22"/>
        </w:rPr>
        <w:t> </w:t>
      </w:r>
      <w:r>
        <w:rPr>
          <w:b/>
          <w:color w:val="0D0D0D"/>
          <w:sz w:val="22"/>
        </w:rPr>
        <w:t>AM</w:t>
      </w:r>
      <w:r>
        <w:rPr>
          <w:b/>
          <w:color w:val="0D0D0D"/>
          <w:spacing w:val="1"/>
          <w:sz w:val="22"/>
        </w:rPr>
        <w:t> </w:t>
      </w:r>
      <w:r>
        <w:rPr>
          <w:b/>
          <w:color w:val="0D0D0D"/>
          <w:sz w:val="22"/>
        </w:rPr>
        <w:t>-</w:t>
      </w:r>
      <w:r>
        <w:rPr>
          <w:b/>
          <w:color w:val="0D0D0D"/>
          <w:spacing w:val="-6"/>
          <w:sz w:val="22"/>
        </w:rPr>
        <w:t> </w:t>
      </w:r>
      <w:r>
        <w:rPr>
          <w:b/>
          <w:color w:val="0D0D0D"/>
          <w:sz w:val="22"/>
        </w:rPr>
        <w:t>12:30</w:t>
      </w:r>
      <w:r>
        <w:rPr>
          <w:b/>
          <w:color w:val="0D0D0D"/>
          <w:spacing w:val="1"/>
          <w:sz w:val="22"/>
        </w:rPr>
        <w:t> </w:t>
      </w:r>
      <w:r>
        <w:rPr>
          <w:b/>
          <w:color w:val="0D0D0D"/>
          <w:spacing w:val="-5"/>
          <w:sz w:val="22"/>
        </w:rPr>
        <w:t>PM</w:t>
      </w:r>
    </w:p>
    <w:p>
      <w:pPr>
        <w:tabs>
          <w:tab w:pos="1901" w:val="left" w:leader="none"/>
        </w:tabs>
        <w:spacing w:line="242" w:lineRule="auto" w:before="107"/>
        <w:ind w:left="1901" w:right="1020" w:hanging="1737"/>
        <w:jc w:val="left"/>
        <w:rPr>
          <w:b/>
          <w:sz w:val="22"/>
        </w:rPr>
      </w:pPr>
      <w:r>
        <w:rPr>
          <w:color w:val="0D0D0D"/>
          <w:spacing w:val="-2"/>
          <w:sz w:val="22"/>
        </w:rPr>
        <w:t>Location</w:t>
      </w:r>
      <w:r>
        <w:rPr>
          <w:color w:val="0D0D0D"/>
          <w:sz w:val="22"/>
        </w:rPr>
        <w:tab/>
      </w:r>
      <w:r>
        <w:rPr>
          <w:b/>
          <w:color w:val="0D0D0D"/>
          <w:sz w:val="22"/>
        </w:rPr>
        <w:t>In</w:t>
      </w:r>
      <w:r>
        <w:rPr>
          <w:b/>
          <w:color w:val="0D0D0D"/>
          <w:spacing w:val="-3"/>
          <w:sz w:val="22"/>
        </w:rPr>
        <w:t> </w:t>
      </w:r>
      <w:r>
        <w:rPr>
          <w:b/>
          <w:color w:val="0D0D0D"/>
          <w:sz w:val="22"/>
        </w:rPr>
        <w:t>Person</w:t>
      </w:r>
      <w:r>
        <w:rPr>
          <w:b/>
          <w:color w:val="0D0D0D"/>
          <w:spacing w:val="-4"/>
          <w:sz w:val="22"/>
        </w:rPr>
        <w:t> </w:t>
      </w:r>
      <w:r>
        <w:rPr>
          <w:b/>
          <w:color w:val="0D0D0D"/>
          <w:sz w:val="22"/>
        </w:rPr>
        <w:t>Meeting</w:t>
      </w:r>
      <w:r>
        <w:rPr>
          <w:b/>
          <w:color w:val="0D0D0D"/>
          <w:spacing w:val="-4"/>
          <w:sz w:val="22"/>
        </w:rPr>
        <w:t> </w:t>
      </w:r>
      <w:r>
        <w:rPr>
          <w:b/>
          <w:color w:val="0D0D0D"/>
          <w:sz w:val="22"/>
        </w:rPr>
        <w:t>at</w:t>
      </w:r>
      <w:r>
        <w:rPr>
          <w:b/>
          <w:color w:val="0D0D0D"/>
          <w:spacing w:val="-8"/>
          <w:sz w:val="22"/>
        </w:rPr>
        <w:t> </w:t>
      </w:r>
      <w:r>
        <w:rPr>
          <w:b/>
          <w:color w:val="0D0D0D"/>
          <w:sz w:val="22"/>
        </w:rPr>
        <w:t>The</w:t>
      </w:r>
      <w:r>
        <w:rPr>
          <w:b/>
          <w:color w:val="0D0D0D"/>
          <w:spacing w:val="-2"/>
          <w:sz w:val="22"/>
        </w:rPr>
        <w:t> </w:t>
      </w:r>
      <w:r>
        <w:rPr>
          <w:b/>
          <w:color w:val="0D0D0D"/>
          <w:sz w:val="22"/>
        </w:rPr>
        <w:t>Beacon</w:t>
      </w:r>
      <w:r>
        <w:rPr>
          <w:b/>
          <w:color w:val="0D0D0D"/>
          <w:spacing w:val="-4"/>
          <w:sz w:val="22"/>
        </w:rPr>
        <w:t> </w:t>
      </w:r>
      <w:r>
        <w:rPr>
          <w:b/>
          <w:color w:val="0D0D0D"/>
          <w:sz w:val="22"/>
        </w:rPr>
        <w:t>Centre</w:t>
      </w:r>
      <w:r>
        <w:rPr>
          <w:b/>
          <w:color w:val="0D0D0D"/>
          <w:spacing w:val="-2"/>
          <w:sz w:val="22"/>
        </w:rPr>
        <w:t> </w:t>
      </w:r>
      <w:r>
        <w:rPr>
          <w:b/>
          <w:color w:val="0D0D0D"/>
          <w:sz w:val="22"/>
        </w:rPr>
        <w:t>of</w:t>
      </w:r>
      <w:r>
        <w:rPr>
          <w:b/>
          <w:color w:val="0D0D0D"/>
          <w:spacing w:val="-2"/>
          <w:sz w:val="22"/>
        </w:rPr>
        <w:t> </w:t>
      </w:r>
      <w:r>
        <w:rPr>
          <w:b/>
          <w:color w:val="0D0D0D"/>
          <w:sz w:val="22"/>
        </w:rPr>
        <w:t>Enterprise,</w:t>
      </w:r>
      <w:r>
        <w:rPr>
          <w:b/>
          <w:color w:val="0D0D0D"/>
          <w:spacing w:val="-6"/>
          <w:sz w:val="22"/>
        </w:rPr>
        <w:t> </w:t>
      </w:r>
      <w:r>
        <w:rPr>
          <w:b/>
          <w:color w:val="0D0D0D"/>
          <w:sz w:val="22"/>
        </w:rPr>
        <w:t>Dafen, Llanelli SA14 8LQ</w:t>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68"/>
        <w:rPr>
          <w:b/>
          <w:sz w:val="22"/>
        </w:rPr>
      </w:pPr>
    </w:p>
    <w:p>
      <w:pPr>
        <w:spacing w:line="259" w:lineRule="auto" w:before="0"/>
        <w:ind w:left="5818" w:right="0" w:hanging="1081"/>
        <w:jc w:val="left"/>
        <w:rPr>
          <w:sz w:val="72"/>
        </w:rPr>
      </w:pPr>
      <w:r>
        <w:rPr>
          <w:color w:val="0D0D0D"/>
          <w:sz w:val="72"/>
        </w:rPr>
        <w:t>Regional</w:t>
      </w:r>
      <w:r>
        <w:rPr>
          <w:color w:val="0D0D0D"/>
          <w:spacing w:val="-33"/>
          <w:sz w:val="72"/>
        </w:rPr>
        <w:t> </w:t>
      </w:r>
      <w:r>
        <w:rPr>
          <w:color w:val="0D0D0D"/>
          <w:sz w:val="72"/>
        </w:rPr>
        <w:t>Joint </w:t>
      </w:r>
      <w:r>
        <w:rPr>
          <w:color w:val="0D0D0D"/>
          <w:spacing w:val="-2"/>
          <w:sz w:val="72"/>
        </w:rPr>
        <w:t>Committee</w:t>
      </w:r>
    </w:p>
    <w:p>
      <w:pPr>
        <w:spacing w:before="160"/>
        <w:ind w:left="0" w:right="54" w:firstLine="0"/>
        <w:jc w:val="right"/>
        <w:rPr>
          <w:sz w:val="36"/>
        </w:rPr>
      </w:pPr>
      <w:r>
        <w:rPr>
          <w:color w:val="0D0D0D"/>
          <w:sz w:val="36"/>
        </w:rPr>
        <w:t>HDdUHB</w:t>
      </w:r>
      <w:r>
        <w:rPr>
          <w:color w:val="0D0D0D"/>
          <w:spacing w:val="-1"/>
          <w:sz w:val="36"/>
        </w:rPr>
        <w:t> </w:t>
      </w:r>
      <w:r>
        <w:rPr>
          <w:color w:val="0D0D0D"/>
          <w:sz w:val="36"/>
        </w:rPr>
        <w:t>and</w:t>
      </w:r>
      <w:r>
        <w:rPr>
          <w:color w:val="0D0D0D"/>
          <w:spacing w:val="-1"/>
          <w:sz w:val="36"/>
        </w:rPr>
        <w:t> </w:t>
      </w:r>
      <w:r>
        <w:rPr>
          <w:color w:val="0D0D0D"/>
          <w:sz w:val="36"/>
        </w:rPr>
        <w:t>SBUHB </w:t>
      </w:r>
      <w:r>
        <w:rPr>
          <w:color w:val="0D0D0D"/>
          <w:spacing w:val="-5"/>
          <w:sz w:val="36"/>
        </w:rPr>
        <w:t>RJC</w:t>
      </w:r>
    </w:p>
    <w:p>
      <w:pPr>
        <w:spacing w:before="196"/>
        <w:ind w:left="0" w:right="54" w:firstLine="0"/>
        <w:jc w:val="right"/>
        <w:rPr>
          <w:sz w:val="36"/>
        </w:rPr>
      </w:pPr>
      <w:r>
        <w:rPr>
          <w:color w:val="0D0D0D"/>
          <w:sz w:val="36"/>
        </w:rPr>
        <w:t>NHS </w:t>
      </w:r>
      <w:r>
        <w:rPr>
          <w:color w:val="0D0D0D"/>
          <w:spacing w:val="-2"/>
          <w:sz w:val="36"/>
        </w:rPr>
        <w:t>Wales</w:t>
      </w:r>
    </w:p>
    <w:p>
      <w:pPr>
        <w:spacing w:after="0"/>
        <w:jc w:val="right"/>
        <w:rPr>
          <w:sz w:val="36"/>
        </w:rPr>
        <w:sectPr>
          <w:type w:val="continuous"/>
          <w:pgSz w:w="11910" w:h="16840"/>
          <w:pgMar w:top="760" w:bottom="280" w:left="1275" w:right="1275"/>
        </w:sectPr>
      </w:pPr>
    </w:p>
    <w:p>
      <w:pPr>
        <w:pStyle w:val="Heading6"/>
        <w:spacing w:before="77"/>
        <w:jc w:val="left"/>
      </w:pPr>
      <w:r>
        <w:rPr/>
        <w:t>Agenda</w:t>
      </w:r>
      <w:r>
        <w:rPr>
          <w:spacing w:val="-2"/>
        </w:rPr>
        <w:t> </w:t>
      </w:r>
      <w:r>
        <w:rPr/>
        <w:t>-</w:t>
      </w:r>
      <w:r>
        <w:rPr>
          <w:spacing w:val="-2"/>
        </w:rPr>
        <w:t> </w:t>
      </w:r>
      <w:r>
        <w:rPr/>
        <w:t>13</w:t>
      </w:r>
      <w:r>
        <w:rPr>
          <w:spacing w:val="-2"/>
        </w:rPr>
        <w:t> </w:t>
      </w:r>
      <w:r>
        <w:rPr/>
        <w:t>October</w:t>
      </w:r>
      <w:r>
        <w:rPr>
          <w:spacing w:val="-1"/>
        </w:rPr>
        <w:t> </w:t>
      </w:r>
      <w:r>
        <w:rPr>
          <w:spacing w:val="-4"/>
        </w:rPr>
        <w:t>2026</w:t>
      </w:r>
    </w:p>
    <w:p>
      <w:pPr>
        <w:pStyle w:val="BodyText"/>
        <w:spacing w:before="93"/>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220679</wp:posOffset>
                </wp:positionV>
                <wp:extent cx="5730875" cy="952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376318pt;width:451.25pt;height:.75pt;mso-position-horizontal-relative:page;mso-position-vertical-relative:paragraph;z-index:-15728640;mso-wrap-distance-left:0;mso-wrap-distance-right:0" id="docshape1" filled="true" fillcolor="#9f9f9f" stroked="false">
                <v:fill type="solid"/>
                <w10:wrap type="topAndBottom"/>
              </v:rect>
            </w:pict>
          </mc:Fallback>
        </mc:AlternateContent>
      </w:r>
    </w:p>
    <w:p>
      <w:pPr>
        <w:pStyle w:val="BodyText"/>
        <w:spacing w:before="9" w:after="1"/>
        <w:rPr>
          <w:b/>
          <w:sz w:val="18"/>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2933"/>
      </w:tblGrid>
      <w:tr>
        <w:trPr>
          <w:trHeight w:val="607" w:hRule="atLeast"/>
        </w:trPr>
        <w:tc>
          <w:tcPr>
            <w:tcW w:w="1014" w:type="dxa"/>
          </w:tcPr>
          <w:p>
            <w:pPr>
              <w:pStyle w:val="TableParagraph"/>
              <w:spacing w:line="251" w:lineRule="exact"/>
              <w:ind w:left="50"/>
              <w:rPr>
                <w:b/>
                <w:sz w:val="22"/>
              </w:rPr>
            </w:pPr>
            <w:r>
              <w:rPr>
                <w:b/>
                <w:spacing w:val="-10"/>
                <w:sz w:val="22"/>
              </w:rPr>
              <w:t>1</w:t>
            </w:r>
          </w:p>
        </w:tc>
        <w:tc>
          <w:tcPr>
            <w:tcW w:w="2933" w:type="dxa"/>
          </w:tcPr>
          <w:p>
            <w:pPr>
              <w:pStyle w:val="TableParagraph"/>
              <w:spacing w:line="246" w:lineRule="exact"/>
              <w:ind w:left="842"/>
              <w:rPr>
                <w:b/>
                <w:sz w:val="22"/>
              </w:rPr>
            </w:pPr>
            <w:r>
              <w:rPr>
                <w:b/>
                <w:sz w:val="22"/>
              </w:rPr>
              <w:t>Preliminary</w:t>
            </w:r>
            <w:r>
              <w:rPr>
                <w:b/>
                <w:spacing w:val="-11"/>
                <w:sz w:val="22"/>
              </w:rPr>
              <w:t> </w:t>
            </w:r>
            <w:r>
              <w:rPr>
                <w:b/>
                <w:spacing w:val="-2"/>
                <w:sz w:val="22"/>
              </w:rPr>
              <w:t>Matters</w:t>
            </w:r>
          </w:p>
          <w:p>
            <w:pPr>
              <w:pStyle w:val="TableParagraph"/>
              <w:spacing w:line="187" w:lineRule="exact" w:before="154"/>
              <w:ind w:left="842"/>
              <w:rPr>
                <w:sz w:val="18"/>
              </w:rPr>
            </w:pPr>
            <w:r>
              <w:rPr>
                <w:color w:val="444751"/>
                <w:sz w:val="18"/>
              </w:rPr>
              <w:t>9:30</w:t>
            </w:r>
            <w:r>
              <w:rPr>
                <w:color w:val="444751"/>
                <w:spacing w:val="-3"/>
                <w:sz w:val="18"/>
              </w:rPr>
              <w:t> </w:t>
            </w:r>
            <w:r>
              <w:rPr>
                <w:color w:val="444751"/>
                <w:sz w:val="18"/>
              </w:rPr>
              <w:t>AM,</w:t>
            </w:r>
            <w:r>
              <w:rPr>
                <w:color w:val="444751"/>
                <w:spacing w:val="-3"/>
                <w:sz w:val="18"/>
              </w:rPr>
              <w:t> </w:t>
            </w:r>
            <w:r>
              <w:rPr>
                <w:color w:val="444751"/>
                <w:sz w:val="18"/>
              </w:rPr>
              <w:t>0</w:t>
            </w:r>
            <w:r>
              <w:rPr>
                <w:color w:val="444751"/>
                <w:spacing w:val="-2"/>
                <w:sz w:val="18"/>
              </w:rPr>
              <w:t> </w:t>
            </w:r>
            <w:r>
              <w:rPr>
                <w:color w:val="444751"/>
                <w:spacing w:val="-5"/>
                <w:sz w:val="18"/>
              </w:rPr>
              <w:t>min</w:t>
            </w:r>
          </w:p>
        </w:tc>
      </w:tr>
    </w:tbl>
    <w:p>
      <w:pPr>
        <w:pStyle w:val="BodyText"/>
        <w:spacing w:before="102"/>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1200150</wp:posOffset>
                </wp:positionH>
                <wp:positionV relativeFrom="paragraph">
                  <wp:posOffset>226161</wp:posOffset>
                </wp:positionV>
                <wp:extent cx="5445125" cy="952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808008pt;width:428.75pt;height:.75pt;mso-position-horizontal-relative:page;mso-position-vertical-relative:paragraph;z-index:-15728128;mso-wrap-distance-left:0;mso-wrap-distance-right:0" id="docshape2" filled="true" fillcolor="#9f9f9f" stroked="false">
                <v:fill type="solid"/>
                <w10:wrap type="topAndBottom"/>
              </v:rect>
            </w:pict>
          </mc:Fallback>
        </mc:AlternateContent>
      </w:r>
    </w:p>
    <w:p>
      <w:pPr>
        <w:pStyle w:val="BodyText"/>
        <w:spacing w:before="2"/>
        <w:rPr>
          <w:b/>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156"/>
      </w:tblGrid>
      <w:tr>
        <w:trPr>
          <w:trHeight w:val="1027" w:hRule="atLeast"/>
        </w:trPr>
        <w:tc>
          <w:tcPr>
            <w:tcW w:w="881" w:type="dxa"/>
          </w:tcPr>
          <w:p>
            <w:pPr>
              <w:pStyle w:val="TableParagraph"/>
              <w:spacing w:line="251" w:lineRule="exact"/>
              <w:ind w:left="50"/>
              <w:rPr>
                <w:b/>
                <w:sz w:val="22"/>
              </w:rPr>
            </w:pPr>
            <w:r>
              <w:rPr>
                <w:b/>
                <w:spacing w:val="-5"/>
                <w:sz w:val="22"/>
              </w:rPr>
              <w:t>1.1</w:t>
            </w:r>
          </w:p>
        </w:tc>
        <w:tc>
          <w:tcPr>
            <w:tcW w:w="7156" w:type="dxa"/>
          </w:tcPr>
          <w:p>
            <w:pPr>
              <w:pStyle w:val="TableParagraph"/>
              <w:spacing w:line="246" w:lineRule="exact"/>
              <w:ind w:left="524"/>
              <w:rPr>
                <w:b/>
                <w:sz w:val="22"/>
              </w:rPr>
            </w:pPr>
            <w:r>
              <w:rPr>
                <w:b/>
                <w:sz w:val="22"/>
              </w:rPr>
              <w:t>RJC/35:</w:t>
            </w:r>
            <w:r>
              <w:rPr>
                <w:b/>
                <w:spacing w:val="-3"/>
                <w:sz w:val="22"/>
              </w:rPr>
              <w:t> </w:t>
            </w:r>
            <w:r>
              <w:rPr>
                <w:b/>
                <w:sz w:val="22"/>
              </w:rPr>
              <w:t>Welcome</w:t>
            </w:r>
            <w:r>
              <w:rPr>
                <w:b/>
                <w:spacing w:val="-1"/>
                <w:sz w:val="22"/>
              </w:rPr>
              <w:t> </w:t>
            </w:r>
            <w:r>
              <w:rPr>
                <w:b/>
                <w:sz w:val="22"/>
              </w:rPr>
              <w:t>and</w:t>
            </w:r>
            <w:r>
              <w:rPr>
                <w:b/>
                <w:spacing w:val="-3"/>
                <w:sz w:val="22"/>
              </w:rPr>
              <w:t> </w:t>
            </w:r>
            <w:r>
              <w:rPr>
                <w:b/>
                <w:spacing w:val="-2"/>
                <w:sz w:val="22"/>
              </w:rPr>
              <w:t>Apologies</w:t>
            </w:r>
          </w:p>
          <w:p>
            <w:pPr>
              <w:pStyle w:val="TableParagraph"/>
              <w:spacing w:line="206" w:lineRule="exact" w:before="159"/>
              <w:ind w:left="524"/>
              <w:rPr>
                <w:sz w:val="18"/>
              </w:rPr>
            </w:pPr>
            <w:r>
              <w:rPr>
                <w:color w:val="444751"/>
                <w:sz w:val="18"/>
              </w:rPr>
              <w:t>9:30</w:t>
            </w:r>
            <w:r>
              <w:rPr>
                <w:color w:val="444751"/>
                <w:spacing w:val="-3"/>
                <w:sz w:val="18"/>
              </w:rPr>
              <w:t> </w:t>
            </w:r>
            <w:r>
              <w:rPr>
                <w:color w:val="444751"/>
                <w:sz w:val="18"/>
              </w:rPr>
              <w:t>AM,</w:t>
            </w:r>
            <w:r>
              <w:rPr>
                <w:color w:val="444751"/>
                <w:spacing w:val="-3"/>
                <w:sz w:val="18"/>
              </w:rPr>
              <w:t> </w:t>
            </w:r>
            <w:r>
              <w:rPr>
                <w:color w:val="444751"/>
                <w:sz w:val="18"/>
              </w:rPr>
              <w:t>5</w:t>
            </w:r>
            <w:r>
              <w:rPr>
                <w:color w:val="444751"/>
                <w:spacing w:val="-2"/>
                <w:sz w:val="18"/>
              </w:rPr>
              <w:t> </w:t>
            </w:r>
            <w:r>
              <w:rPr>
                <w:color w:val="444751"/>
                <w:spacing w:val="-5"/>
                <w:sz w:val="18"/>
              </w:rPr>
              <w:t>min</w:t>
            </w:r>
          </w:p>
          <w:p>
            <w:pPr>
              <w:pStyle w:val="TableParagraph"/>
              <w:spacing w:line="210" w:lineRule="exact"/>
              <w:ind w:left="524"/>
              <w:rPr>
                <w:i/>
                <w:sz w:val="18"/>
              </w:rPr>
            </w:pPr>
            <w:r>
              <w:rPr>
                <w:i/>
                <w:color w:val="444751"/>
                <w:sz w:val="18"/>
              </w:rPr>
              <w:t>Neil</w:t>
            </w:r>
            <w:r>
              <w:rPr>
                <w:i/>
                <w:color w:val="444751"/>
                <w:spacing w:val="-3"/>
                <w:sz w:val="18"/>
              </w:rPr>
              <w:t> </w:t>
            </w:r>
            <w:r>
              <w:rPr>
                <w:i/>
                <w:color w:val="444751"/>
                <w:sz w:val="18"/>
              </w:rPr>
              <w:t>Wooding</w:t>
            </w:r>
            <w:r>
              <w:rPr>
                <w:i/>
                <w:color w:val="444751"/>
                <w:spacing w:val="-3"/>
                <w:sz w:val="18"/>
              </w:rPr>
              <w:t> </w:t>
            </w:r>
            <w:r>
              <w:rPr>
                <w:i/>
                <w:color w:val="444751"/>
                <w:sz w:val="18"/>
              </w:rPr>
              <w:t>(Hywel</w:t>
            </w:r>
            <w:r>
              <w:rPr>
                <w:i/>
                <w:color w:val="444751"/>
                <w:spacing w:val="-3"/>
                <w:sz w:val="18"/>
              </w:rPr>
              <w:t> </w:t>
            </w:r>
            <w:r>
              <w:rPr>
                <w:i/>
                <w:color w:val="444751"/>
                <w:sz w:val="18"/>
              </w:rPr>
              <w:t>Dda</w:t>
            </w:r>
            <w:r>
              <w:rPr>
                <w:i/>
                <w:color w:val="444751"/>
                <w:spacing w:val="-4"/>
                <w:sz w:val="18"/>
              </w:rPr>
              <w:t> </w:t>
            </w:r>
            <w:r>
              <w:rPr>
                <w:i/>
                <w:color w:val="444751"/>
                <w:sz w:val="18"/>
              </w:rPr>
              <w:t>UHB</w:t>
            </w:r>
            <w:r>
              <w:rPr>
                <w:i/>
                <w:color w:val="444751"/>
                <w:spacing w:val="-2"/>
                <w:sz w:val="18"/>
              </w:rPr>
              <w:t> </w:t>
            </w:r>
            <w:r>
              <w:rPr>
                <w:i/>
                <w:color w:val="444751"/>
                <w:sz w:val="18"/>
              </w:rPr>
              <w:t>-</w:t>
            </w:r>
            <w:r>
              <w:rPr>
                <w:i/>
                <w:color w:val="444751"/>
                <w:spacing w:val="-3"/>
                <w:sz w:val="18"/>
              </w:rPr>
              <w:t> </w:t>
            </w:r>
            <w:r>
              <w:rPr>
                <w:i/>
                <w:color w:val="444751"/>
                <w:sz w:val="18"/>
              </w:rPr>
              <w:t>Chair</w:t>
            </w:r>
            <w:r>
              <w:rPr>
                <w:i/>
                <w:color w:val="444751"/>
                <w:spacing w:val="-3"/>
                <w:sz w:val="18"/>
              </w:rPr>
              <w:t> </w:t>
            </w:r>
            <w:r>
              <w:rPr>
                <w:i/>
                <w:color w:val="444751"/>
                <w:sz w:val="18"/>
              </w:rPr>
              <w:t>of</w:t>
            </w:r>
            <w:r>
              <w:rPr>
                <w:i/>
                <w:color w:val="444751"/>
                <w:spacing w:val="-4"/>
                <w:sz w:val="18"/>
              </w:rPr>
              <w:t> </w:t>
            </w:r>
            <w:r>
              <w:rPr>
                <w:i/>
                <w:color w:val="444751"/>
                <w:sz w:val="18"/>
              </w:rPr>
              <w:t>Hywel</w:t>
            </w:r>
            <w:r>
              <w:rPr>
                <w:i/>
                <w:color w:val="444751"/>
                <w:spacing w:val="-3"/>
                <w:sz w:val="18"/>
              </w:rPr>
              <w:t> </w:t>
            </w:r>
            <w:r>
              <w:rPr>
                <w:i/>
                <w:color w:val="444751"/>
                <w:sz w:val="18"/>
              </w:rPr>
              <w:t>Dda</w:t>
            </w:r>
            <w:r>
              <w:rPr>
                <w:i/>
                <w:color w:val="444751"/>
                <w:spacing w:val="-4"/>
                <w:sz w:val="18"/>
              </w:rPr>
              <w:t> </w:t>
            </w:r>
            <w:r>
              <w:rPr>
                <w:i/>
                <w:color w:val="444751"/>
                <w:sz w:val="18"/>
              </w:rPr>
              <w:t>University</w:t>
            </w:r>
            <w:r>
              <w:rPr>
                <w:i/>
                <w:color w:val="444751"/>
                <w:spacing w:val="-3"/>
                <w:sz w:val="18"/>
              </w:rPr>
              <w:t> </w:t>
            </w:r>
            <w:r>
              <w:rPr>
                <w:i/>
                <w:color w:val="444751"/>
                <w:sz w:val="18"/>
              </w:rPr>
              <w:t>Health</w:t>
            </w:r>
            <w:r>
              <w:rPr>
                <w:i/>
                <w:color w:val="444751"/>
                <w:spacing w:val="-3"/>
                <w:sz w:val="18"/>
              </w:rPr>
              <w:t> </w:t>
            </w:r>
            <w:r>
              <w:rPr>
                <w:i/>
                <w:color w:val="444751"/>
                <w:sz w:val="18"/>
              </w:rPr>
              <w:t>Board),</w:t>
            </w:r>
            <w:r>
              <w:rPr>
                <w:i/>
                <w:color w:val="444751"/>
                <w:spacing w:val="-3"/>
                <w:sz w:val="18"/>
              </w:rPr>
              <w:t> </w:t>
            </w:r>
            <w:r>
              <w:rPr>
                <w:i/>
                <w:color w:val="444751"/>
                <w:sz w:val="18"/>
              </w:rPr>
              <w:t>Jan</w:t>
            </w:r>
            <w:r>
              <w:rPr>
                <w:i/>
                <w:color w:val="444751"/>
                <w:sz w:val="18"/>
              </w:rPr>
              <w:t> Williams (Swansea Bay UHB - Corporate)</w:t>
            </w:r>
          </w:p>
        </w:tc>
      </w:tr>
    </w:tbl>
    <w:p>
      <w:pPr>
        <w:pStyle w:val="BodyText"/>
        <w:spacing w:before="96"/>
        <w:rPr>
          <w:b/>
          <w:sz w:val="20"/>
        </w:rPr>
      </w:pPr>
      <w:r>
        <w:rPr>
          <w:b/>
          <w:sz w:val="20"/>
        </w:rPr>
        <mc:AlternateContent>
          <mc:Choice Requires="wps">
            <w:drawing>
              <wp:anchor distT="0" distB="0" distL="0" distR="0" allowOverlap="1" layoutInCell="1" locked="0" behindDoc="1" simplePos="0" relativeHeight="487588864">
                <wp:simplePos x="0" y="0"/>
                <wp:positionH relativeFrom="page">
                  <wp:posOffset>914400</wp:posOffset>
                </wp:positionH>
                <wp:positionV relativeFrom="paragraph">
                  <wp:posOffset>222605</wp:posOffset>
                </wp:positionV>
                <wp:extent cx="5730875"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528008pt;width:451.25pt;height:.75pt;mso-position-horizontal-relative:page;mso-position-vertical-relative:paragraph;z-index:-15727616;mso-wrap-distance-left:0;mso-wrap-distance-right:0" id="docshape3" filled="true" fillcolor="#9f9f9f" stroked="false">
                <v:fill type="solid"/>
                <w10:wrap type="topAndBottom"/>
              </v:rect>
            </w:pict>
          </mc:Fallback>
        </mc:AlternateContent>
      </w:r>
    </w:p>
    <w:p>
      <w:pPr>
        <w:pStyle w:val="BodyText"/>
        <w:spacing w:before="7"/>
        <w:rPr>
          <w:b/>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4827"/>
      </w:tblGrid>
      <w:tr>
        <w:trPr>
          <w:trHeight w:val="607" w:hRule="atLeast"/>
        </w:trPr>
        <w:tc>
          <w:tcPr>
            <w:tcW w:w="1014" w:type="dxa"/>
          </w:tcPr>
          <w:p>
            <w:pPr>
              <w:pStyle w:val="TableParagraph"/>
              <w:spacing w:line="251" w:lineRule="exact"/>
              <w:ind w:left="50"/>
              <w:rPr>
                <w:b/>
                <w:sz w:val="22"/>
              </w:rPr>
            </w:pPr>
            <w:r>
              <w:rPr>
                <w:b/>
                <w:spacing w:val="-10"/>
                <w:sz w:val="22"/>
              </w:rPr>
              <w:t>2</w:t>
            </w:r>
          </w:p>
        </w:tc>
        <w:tc>
          <w:tcPr>
            <w:tcW w:w="4827" w:type="dxa"/>
          </w:tcPr>
          <w:p>
            <w:pPr>
              <w:pStyle w:val="TableParagraph"/>
              <w:spacing w:line="246" w:lineRule="exact"/>
              <w:ind w:left="842"/>
              <w:rPr>
                <w:b/>
                <w:sz w:val="22"/>
              </w:rPr>
            </w:pPr>
            <w:r>
              <w:rPr>
                <w:b/>
                <w:sz w:val="22"/>
              </w:rPr>
              <w:t>To</w:t>
            </w:r>
            <w:r>
              <w:rPr>
                <w:b/>
                <w:spacing w:val="-3"/>
                <w:sz w:val="22"/>
              </w:rPr>
              <w:t> </w:t>
            </w:r>
            <w:r>
              <w:rPr>
                <w:b/>
                <w:sz w:val="22"/>
              </w:rPr>
              <w:t>Consider</w:t>
            </w:r>
            <w:r>
              <w:rPr>
                <w:b/>
                <w:spacing w:val="-3"/>
                <w:sz w:val="22"/>
              </w:rPr>
              <w:t> </w:t>
            </w:r>
            <w:r>
              <w:rPr>
                <w:b/>
                <w:sz w:val="22"/>
              </w:rPr>
              <w:t>Future</w:t>
            </w:r>
            <w:r>
              <w:rPr>
                <w:b/>
                <w:spacing w:val="-2"/>
                <w:sz w:val="22"/>
              </w:rPr>
              <w:t> </w:t>
            </w:r>
            <w:r>
              <w:rPr>
                <w:b/>
                <w:sz w:val="22"/>
              </w:rPr>
              <w:t>Direction</w:t>
            </w:r>
            <w:r>
              <w:rPr>
                <w:b/>
                <w:spacing w:val="-2"/>
                <w:sz w:val="22"/>
              </w:rPr>
              <w:t> Reports</w:t>
            </w:r>
          </w:p>
          <w:p>
            <w:pPr>
              <w:pStyle w:val="TableParagraph"/>
              <w:spacing w:line="187" w:lineRule="exact" w:before="155"/>
              <w:ind w:left="842"/>
              <w:rPr>
                <w:sz w:val="18"/>
              </w:rPr>
            </w:pPr>
            <w:r>
              <w:rPr>
                <w:color w:val="444751"/>
                <w:sz w:val="18"/>
              </w:rPr>
              <w:t>9:35</w:t>
            </w:r>
            <w:r>
              <w:rPr>
                <w:color w:val="444751"/>
                <w:spacing w:val="-3"/>
                <w:sz w:val="18"/>
              </w:rPr>
              <w:t> </w:t>
            </w:r>
            <w:r>
              <w:rPr>
                <w:color w:val="444751"/>
                <w:sz w:val="18"/>
              </w:rPr>
              <w:t>AM,</w:t>
            </w:r>
            <w:r>
              <w:rPr>
                <w:color w:val="444751"/>
                <w:spacing w:val="-3"/>
                <w:sz w:val="18"/>
              </w:rPr>
              <w:t> </w:t>
            </w:r>
            <w:r>
              <w:rPr>
                <w:color w:val="444751"/>
                <w:sz w:val="18"/>
              </w:rPr>
              <w:t>0</w:t>
            </w:r>
            <w:r>
              <w:rPr>
                <w:color w:val="444751"/>
                <w:spacing w:val="-2"/>
                <w:sz w:val="18"/>
              </w:rPr>
              <w:t> </w:t>
            </w:r>
            <w:r>
              <w:rPr>
                <w:color w:val="444751"/>
                <w:spacing w:val="-5"/>
                <w:sz w:val="18"/>
              </w:rPr>
              <w:t>min</w:t>
            </w:r>
          </w:p>
        </w:tc>
      </w:tr>
    </w:tbl>
    <w:p>
      <w:pPr>
        <w:pStyle w:val="BodyText"/>
        <w:spacing w:before="101"/>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1200150</wp:posOffset>
                </wp:positionH>
                <wp:positionV relativeFrom="paragraph">
                  <wp:posOffset>225907</wp:posOffset>
                </wp:positionV>
                <wp:extent cx="5445125" cy="952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788008pt;width:428.75pt;height:.75pt;mso-position-horizontal-relative:page;mso-position-vertical-relative:paragraph;z-index:-15727104;mso-wrap-distance-left:0;mso-wrap-distance-right:0" id="docshape4" filled="true" fillcolor="#9f9f9f" stroked="false">
                <v:fill type="solid"/>
                <w10:wrap type="topAndBottom"/>
              </v:rect>
            </w:pict>
          </mc:Fallback>
        </mc:AlternateContent>
      </w:r>
    </w:p>
    <w:p>
      <w:pPr>
        <w:pStyle w:val="BodyText"/>
        <w:spacing w:before="2" w:after="1"/>
        <w:rPr>
          <w:b/>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6893"/>
      </w:tblGrid>
      <w:tr>
        <w:trPr>
          <w:trHeight w:val="1072" w:hRule="atLeast"/>
        </w:trPr>
        <w:tc>
          <w:tcPr>
            <w:tcW w:w="881" w:type="dxa"/>
          </w:tcPr>
          <w:p>
            <w:pPr>
              <w:pStyle w:val="TableParagraph"/>
              <w:spacing w:line="251" w:lineRule="exact"/>
              <w:ind w:left="50"/>
              <w:rPr>
                <w:b/>
                <w:sz w:val="22"/>
              </w:rPr>
            </w:pPr>
            <w:r>
              <w:rPr>
                <w:b/>
                <w:spacing w:val="-5"/>
                <w:sz w:val="22"/>
              </w:rPr>
              <w:t>2.1</w:t>
            </w:r>
          </w:p>
        </w:tc>
        <w:tc>
          <w:tcPr>
            <w:tcW w:w="6893" w:type="dxa"/>
          </w:tcPr>
          <w:p>
            <w:pPr>
              <w:pStyle w:val="TableParagraph"/>
              <w:spacing w:line="242" w:lineRule="auto"/>
              <w:ind w:left="524"/>
              <w:rPr>
                <w:b/>
                <w:sz w:val="22"/>
              </w:rPr>
            </w:pPr>
            <w:r>
              <w:rPr>
                <w:b/>
                <w:sz w:val="22"/>
              </w:rPr>
              <w:t>RJC/36:</w:t>
            </w:r>
            <w:r>
              <w:rPr>
                <w:b/>
                <w:spacing w:val="-5"/>
                <w:sz w:val="22"/>
              </w:rPr>
              <w:t> </w:t>
            </w:r>
            <w:r>
              <w:rPr>
                <w:b/>
                <w:sz w:val="22"/>
              </w:rPr>
              <w:t>Benefits</w:t>
            </w:r>
            <w:r>
              <w:rPr>
                <w:b/>
                <w:spacing w:val="-5"/>
                <w:sz w:val="22"/>
              </w:rPr>
              <w:t> </w:t>
            </w:r>
            <w:r>
              <w:rPr>
                <w:b/>
                <w:sz w:val="22"/>
              </w:rPr>
              <w:t>of</w:t>
            </w:r>
            <w:r>
              <w:rPr>
                <w:b/>
                <w:spacing w:val="-5"/>
                <w:sz w:val="22"/>
              </w:rPr>
              <w:t> </w:t>
            </w:r>
            <w:r>
              <w:rPr>
                <w:b/>
                <w:sz w:val="22"/>
              </w:rPr>
              <w:t>Combining</w:t>
            </w:r>
            <w:r>
              <w:rPr>
                <w:b/>
                <w:spacing w:val="-6"/>
                <w:sz w:val="22"/>
              </w:rPr>
              <w:t> </w:t>
            </w:r>
            <w:r>
              <w:rPr>
                <w:b/>
                <w:sz w:val="22"/>
              </w:rPr>
              <w:t>the</w:t>
            </w:r>
            <w:r>
              <w:rPr>
                <w:b/>
                <w:spacing w:val="-5"/>
                <w:sz w:val="22"/>
              </w:rPr>
              <w:t> </w:t>
            </w:r>
            <w:r>
              <w:rPr>
                <w:b/>
                <w:sz w:val="22"/>
              </w:rPr>
              <w:t>Finance/</w:t>
            </w:r>
            <w:r>
              <w:rPr>
                <w:b/>
                <w:spacing w:val="-8"/>
                <w:sz w:val="22"/>
              </w:rPr>
              <w:t> </w:t>
            </w:r>
            <w:r>
              <w:rPr>
                <w:b/>
                <w:sz w:val="22"/>
              </w:rPr>
              <w:t>Contracting</w:t>
            </w:r>
            <w:r>
              <w:rPr>
                <w:b/>
                <w:spacing w:val="-6"/>
                <w:sz w:val="22"/>
              </w:rPr>
              <w:t> </w:t>
            </w:r>
            <w:r>
              <w:rPr>
                <w:b/>
                <w:sz w:val="22"/>
              </w:rPr>
              <w:t>and Data/Digital Work Streams Together</w:t>
            </w:r>
          </w:p>
          <w:p>
            <w:pPr>
              <w:pStyle w:val="TableParagraph"/>
              <w:spacing w:line="206" w:lineRule="exact" w:before="149"/>
              <w:ind w:left="524"/>
              <w:rPr>
                <w:sz w:val="18"/>
              </w:rPr>
            </w:pPr>
            <w:r>
              <w:rPr>
                <w:color w:val="444751"/>
                <w:sz w:val="18"/>
              </w:rPr>
              <w:t>9:35</w:t>
            </w:r>
            <w:r>
              <w:rPr>
                <w:color w:val="444751"/>
                <w:spacing w:val="-3"/>
                <w:sz w:val="18"/>
              </w:rPr>
              <w:t> </w:t>
            </w:r>
            <w:r>
              <w:rPr>
                <w:color w:val="444751"/>
                <w:sz w:val="18"/>
              </w:rPr>
              <w:t>AM,</w:t>
            </w:r>
            <w:r>
              <w:rPr>
                <w:color w:val="444751"/>
                <w:spacing w:val="-3"/>
                <w:sz w:val="18"/>
              </w:rPr>
              <w:t> </w:t>
            </w:r>
            <w:r>
              <w:rPr>
                <w:color w:val="444751"/>
                <w:sz w:val="18"/>
              </w:rPr>
              <w:t>45</w:t>
            </w:r>
            <w:r>
              <w:rPr>
                <w:color w:val="444751"/>
                <w:spacing w:val="-3"/>
                <w:sz w:val="18"/>
              </w:rPr>
              <w:t> </w:t>
            </w:r>
            <w:r>
              <w:rPr>
                <w:color w:val="444751"/>
                <w:spacing w:val="-5"/>
                <w:sz w:val="18"/>
              </w:rPr>
              <w:t>min</w:t>
            </w:r>
          </w:p>
          <w:p>
            <w:pPr>
              <w:pStyle w:val="TableParagraph"/>
              <w:spacing w:line="186" w:lineRule="exact"/>
              <w:ind w:left="524"/>
              <w:rPr>
                <w:i/>
                <w:sz w:val="18"/>
              </w:rPr>
            </w:pPr>
            <w:r>
              <w:rPr>
                <w:i/>
                <w:color w:val="444751"/>
                <w:sz w:val="18"/>
              </w:rPr>
              <w:t>Huw</w:t>
            </w:r>
            <w:r>
              <w:rPr>
                <w:i/>
                <w:color w:val="444751"/>
                <w:spacing w:val="-1"/>
                <w:sz w:val="18"/>
              </w:rPr>
              <w:t> </w:t>
            </w:r>
            <w:r>
              <w:rPr>
                <w:i/>
                <w:color w:val="444751"/>
                <w:sz w:val="18"/>
              </w:rPr>
              <w:t>Thomas (Hywel Dda</w:t>
            </w:r>
            <w:r>
              <w:rPr>
                <w:i/>
                <w:color w:val="444751"/>
                <w:spacing w:val="-1"/>
                <w:sz w:val="18"/>
              </w:rPr>
              <w:t> </w:t>
            </w:r>
            <w:r>
              <w:rPr>
                <w:i/>
                <w:color w:val="444751"/>
                <w:sz w:val="18"/>
              </w:rPr>
              <w:t>UHB - Director of</w:t>
            </w:r>
            <w:r>
              <w:rPr>
                <w:i/>
                <w:color w:val="444751"/>
                <w:spacing w:val="-1"/>
                <w:sz w:val="18"/>
              </w:rPr>
              <w:t> </w:t>
            </w:r>
            <w:r>
              <w:rPr>
                <w:i/>
                <w:color w:val="444751"/>
                <w:spacing w:val="-2"/>
                <w:sz w:val="18"/>
              </w:rPr>
              <w:t>Finance)</w:t>
            </w:r>
          </w:p>
        </w:tc>
      </w:tr>
    </w:tbl>
    <w:p>
      <w:pPr>
        <w:pStyle w:val="BodyText"/>
        <w:spacing w:before="96"/>
        <w:rPr>
          <w:b/>
          <w:sz w:val="20"/>
        </w:rPr>
      </w:pPr>
      <w:r>
        <w:rPr>
          <w:b/>
          <w:sz w:val="20"/>
        </w:rPr>
        <mc:AlternateContent>
          <mc:Choice Requires="wps">
            <w:drawing>
              <wp:anchor distT="0" distB="0" distL="0" distR="0" allowOverlap="1" layoutInCell="1" locked="0" behindDoc="1" simplePos="0" relativeHeight="487589888">
                <wp:simplePos x="0" y="0"/>
                <wp:positionH relativeFrom="page">
                  <wp:posOffset>914400</wp:posOffset>
                </wp:positionH>
                <wp:positionV relativeFrom="paragraph">
                  <wp:posOffset>222351</wp:posOffset>
                </wp:positionV>
                <wp:extent cx="5730875"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508007pt;width:451.25pt;height:.75pt;mso-position-horizontal-relative:page;mso-position-vertical-relative:paragraph;z-index:-15726592;mso-wrap-distance-left:0;mso-wrap-distance-right:0" id="docshape5" filled="true" fillcolor="#9f9f9f" stroked="false">
                <v:fill type="solid"/>
                <w10:wrap type="topAndBottom"/>
              </v:rect>
            </w:pict>
          </mc:Fallback>
        </mc:AlternateContent>
      </w:r>
    </w:p>
    <w:p>
      <w:pPr>
        <w:pStyle w:val="BodyText"/>
        <w:spacing w:before="8"/>
        <w:rPr>
          <w:b/>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5343"/>
      </w:tblGrid>
      <w:tr>
        <w:trPr>
          <w:trHeight w:val="612" w:hRule="atLeast"/>
        </w:trPr>
        <w:tc>
          <w:tcPr>
            <w:tcW w:w="1014" w:type="dxa"/>
          </w:tcPr>
          <w:p>
            <w:pPr>
              <w:pStyle w:val="TableParagraph"/>
              <w:spacing w:line="251" w:lineRule="exact"/>
              <w:ind w:left="50"/>
              <w:rPr>
                <w:b/>
                <w:sz w:val="22"/>
              </w:rPr>
            </w:pPr>
            <w:r>
              <w:rPr>
                <w:b/>
                <w:spacing w:val="-10"/>
                <w:sz w:val="22"/>
              </w:rPr>
              <w:t>3</w:t>
            </w:r>
          </w:p>
        </w:tc>
        <w:tc>
          <w:tcPr>
            <w:tcW w:w="5343" w:type="dxa"/>
          </w:tcPr>
          <w:p>
            <w:pPr>
              <w:pStyle w:val="TableParagraph"/>
              <w:spacing w:line="246" w:lineRule="exact"/>
              <w:ind w:left="842"/>
              <w:rPr>
                <w:b/>
                <w:sz w:val="22"/>
              </w:rPr>
            </w:pPr>
            <w:r>
              <w:rPr>
                <w:b/>
                <w:sz w:val="22"/>
              </w:rPr>
              <w:t>To</w:t>
            </w:r>
            <w:r>
              <w:rPr>
                <w:b/>
                <w:spacing w:val="-3"/>
                <w:sz w:val="22"/>
              </w:rPr>
              <w:t> </w:t>
            </w:r>
            <w:r>
              <w:rPr>
                <w:b/>
                <w:sz w:val="22"/>
              </w:rPr>
              <w:t>Receive</w:t>
            </w:r>
            <w:r>
              <w:rPr>
                <w:b/>
                <w:spacing w:val="-1"/>
                <w:sz w:val="22"/>
              </w:rPr>
              <w:t> </w:t>
            </w:r>
            <w:r>
              <w:rPr>
                <w:b/>
                <w:sz w:val="22"/>
              </w:rPr>
              <w:t>Sub-Group</w:t>
            </w:r>
            <w:r>
              <w:rPr>
                <w:b/>
                <w:spacing w:val="-3"/>
                <w:sz w:val="22"/>
              </w:rPr>
              <w:t> </w:t>
            </w:r>
            <w:r>
              <w:rPr>
                <w:b/>
                <w:sz w:val="22"/>
              </w:rPr>
              <w:t>Assurance</w:t>
            </w:r>
            <w:r>
              <w:rPr>
                <w:b/>
                <w:spacing w:val="-1"/>
                <w:sz w:val="22"/>
              </w:rPr>
              <w:t> </w:t>
            </w:r>
            <w:r>
              <w:rPr>
                <w:b/>
                <w:spacing w:val="-2"/>
                <w:sz w:val="22"/>
              </w:rPr>
              <w:t>Reports</w:t>
            </w:r>
          </w:p>
          <w:p>
            <w:pPr>
              <w:pStyle w:val="TableParagraph"/>
              <w:spacing w:line="187" w:lineRule="exact" w:before="159"/>
              <w:ind w:left="842"/>
              <w:rPr>
                <w:sz w:val="18"/>
              </w:rPr>
            </w:pPr>
            <w:r>
              <w:rPr>
                <w:color w:val="444751"/>
                <w:sz w:val="18"/>
              </w:rPr>
              <w:t>10:20</w:t>
            </w:r>
            <w:r>
              <w:rPr>
                <w:color w:val="444751"/>
                <w:spacing w:val="-4"/>
                <w:sz w:val="18"/>
              </w:rPr>
              <w:t> </w:t>
            </w:r>
            <w:r>
              <w:rPr>
                <w:color w:val="444751"/>
                <w:sz w:val="18"/>
              </w:rPr>
              <w:t>AM,</w:t>
            </w:r>
            <w:r>
              <w:rPr>
                <w:color w:val="444751"/>
                <w:spacing w:val="-3"/>
                <w:sz w:val="18"/>
              </w:rPr>
              <w:t> </w:t>
            </w:r>
            <w:r>
              <w:rPr>
                <w:color w:val="444751"/>
                <w:sz w:val="18"/>
              </w:rPr>
              <w:t>35</w:t>
            </w:r>
            <w:r>
              <w:rPr>
                <w:color w:val="444751"/>
                <w:spacing w:val="-3"/>
                <w:sz w:val="18"/>
              </w:rPr>
              <w:t> </w:t>
            </w:r>
            <w:r>
              <w:rPr>
                <w:color w:val="444751"/>
                <w:spacing w:val="-5"/>
                <w:sz w:val="18"/>
              </w:rPr>
              <w:t>min</w:t>
            </w:r>
          </w:p>
        </w:tc>
      </w:tr>
    </w:tbl>
    <w:p>
      <w:pPr>
        <w:pStyle w:val="BodyText"/>
        <w:spacing w:before="95"/>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1200150</wp:posOffset>
                </wp:positionH>
                <wp:positionV relativeFrom="paragraph">
                  <wp:posOffset>222097</wp:posOffset>
                </wp:positionV>
                <wp:extent cx="5445125"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488008pt;width:428.75pt;height:.75pt;mso-position-horizontal-relative:page;mso-position-vertical-relative:paragraph;z-index:-15726080;mso-wrap-distance-left:0;mso-wrap-distance-right:0" id="docshape6" filled="true" fillcolor="#9f9f9f" stroked="false">
                <v:fill type="solid"/>
                <w10:wrap type="topAndBottom"/>
              </v:rect>
            </w:pict>
          </mc:Fallback>
        </mc:AlternateContent>
      </w:r>
    </w:p>
    <w:p>
      <w:pPr>
        <w:pStyle w:val="BodyText"/>
        <w:spacing w:before="8" w:after="1"/>
        <w:rPr>
          <w:b/>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304"/>
      </w:tblGrid>
      <w:tr>
        <w:trPr>
          <w:trHeight w:val="817" w:hRule="atLeast"/>
        </w:trPr>
        <w:tc>
          <w:tcPr>
            <w:tcW w:w="881" w:type="dxa"/>
          </w:tcPr>
          <w:p>
            <w:pPr>
              <w:pStyle w:val="TableParagraph"/>
              <w:spacing w:line="251" w:lineRule="exact"/>
              <w:ind w:left="50"/>
              <w:rPr>
                <w:b/>
                <w:sz w:val="22"/>
              </w:rPr>
            </w:pPr>
            <w:r>
              <w:rPr>
                <w:b/>
                <w:spacing w:val="-5"/>
                <w:sz w:val="22"/>
              </w:rPr>
              <w:t>3.1</w:t>
            </w:r>
          </w:p>
        </w:tc>
        <w:tc>
          <w:tcPr>
            <w:tcW w:w="7304" w:type="dxa"/>
          </w:tcPr>
          <w:p>
            <w:pPr>
              <w:pStyle w:val="TableParagraph"/>
              <w:spacing w:line="246" w:lineRule="exact"/>
              <w:ind w:left="524"/>
              <w:rPr>
                <w:b/>
                <w:sz w:val="22"/>
              </w:rPr>
            </w:pPr>
            <w:r>
              <w:rPr>
                <w:b/>
                <w:sz w:val="22"/>
              </w:rPr>
              <w:t>03</w:t>
            </w:r>
            <w:r>
              <w:rPr>
                <w:b/>
                <w:spacing w:val="-5"/>
                <w:sz w:val="22"/>
              </w:rPr>
              <w:t> </w:t>
            </w:r>
            <w:r>
              <w:rPr>
                <w:b/>
                <w:sz w:val="22"/>
              </w:rPr>
              <w:t>1.01</w:t>
            </w:r>
            <w:r>
              <w:rPr>
                <w:b/>
                <w:spacing w:val="-1"/>
                <w:sz w:val="22"/>
              </w:rPr>
              <w:t> </w:t>
            </w:r>
            <w:r>
              <w:rPr>
                <w:b/>
                <w:sz w:val="22"/>
              </w:rPr>
              <w:t>-</w:t>
            </w:r>
            <w:r>
              <w:rPr>
                <w:b/>
                <w:spacing w:val="-2"/>
                <w:sz w:val="22"/>
              </w:rPr>
              <w:t> </w:t>
            </w:r>
            <w:r>
              <w:rPr>
                <w:b/>
                <w:sz w:val="22"/>
              </w:rPr>
              <w:t>RJC/37a:</w:t>
            </w:r>
            <w:r>
              <w:rPr>
                <w:b/>
                <w:spacing w:val="-4"/>
                <w:sz w:val="22"/>
              </w:rPr>
              <w:t> </w:t>
            </w:r>
            <w:r>
              <w:rPr>
                <w:b/>
                <w:sz w:val="22"/>
              </w:rPr>
              <w:t>Clinical</w:t>
            </w:r>
            <w:r>
              <w:rPr>
                <w:b/>
                <w:spacing w:val="-6"/>
                <w:sz w:val="22"/>
              </w:rPr>
              <w:t> </w:t>
            </w:r>
            <w:r>
              <w:rPr>
                <w:b/>
                <w:sz w:val="22"/>
              </w:rPr>
              <w:t>Services</w:t>
            </w:r>
            <w:r>
              <w:rPr>
                <w:b/>
                <w:spacing w:val="-2"/>
                <w:sz w:val="22"/>
              </w:rPr>
              <w:t> </w:t>
            </w:r>
            <w:r>
              <w:rPr>
                <w:b/>
                <w:sz w:val="22"/>
              </w:rPr>
              <w:t>Planning</w:t>
            </w:r>
            <w:r>
              <w:rPr>
                <w:b/>
                <w:spacing w:val="-4"/>
                <w:sz w:val="22"/>
              </w:rPr>
              <w:t> </w:t>
            </w:r>
            <w:r>
              <w:rPr>
                <w:b/>
                <w:sz w:val="22"/>
              </w:rPr>
              <w:t>Subgroup</w:t>
            </w:r>
            <w:r>
              <w:rPr>
                <w:b/>
                <w:spacing w:val="-3"/>
                <w:sz w:val="22"/>
              </w:rPr>
              <w:t> </w:t>
            </w:r>
            <w:r>
              <w:rPr>
                <w:b/>
                <w:spacing w:val="-2"/>
                <w:sz w:val="22"/>
              </w:rPr>
              <w:t>Update</w:t>
            </w:r>
          </w:p>
          <w:p>
            <w:pPr>
              <w:pStyle w:val="TableParagraph"/>
              <w:spacing w:before="154"/>
              <w:ind w:left="524"/>
              <w:rPr>
                <w:sz w:val="18"/>
              </w:rPr>
            </w:pPr>
            <w:r>
              <w:rPr>
                <w:color w:val="444751"/>
                <w:sz w:val="18"/>
              </w:rPr>
              <w:t>10:55</w:t>
            </w:r>
            <w:r>
              <w:rPr>
                <w:color w:val="444751"/>
                <w:spacing w:val="-3"/>
                <w:sz w:val="18"/>
              </w:rPr>
              <w:t> </w:t>
            </w:r>
            <w:r>
              <w:rPr>
                <w:color w:val="444751"/>
                <w:sz w:val="18"/>
              </w:rPr>
              <w:t>AM,</w:t>
            </w:r>
            <w:r>
              <w:rPr>
                <w:color w:val="444751"/>
                <w:spacing w:val="-3"/>
                <w:sz w:val="18"/>
              </w:rPr>
              <w:t> </w:t>
            </w:r>
            <w:r>
              <w:rPr>
                <w:color w:val="444751"/>
                <w:sz w:val="18"/>
              </w:rPr>
              <w:t>0</w:t>
            </w:r>
            <w:r>
              <w:rPr>
                <w:color w:val="444751"/>
                <w:spacing w:val="-3"/>
                <w:sz w:val="18"/>
              </w:rPr>
              <w:t> </w:t>
            </w:r>
            <w:r>
              <w:rPr>
                <w:color w:val="444751"/>
                <w:spacing w:val="-5"/>
                <w:sz w:val="18"/>
              </w:rPr>
              <w:t>min</w:t>
            </w:r>
          </w:p>
          <w:p>
            <w:pPr>
              <w:pStyle w:val="TableParagraph"/>
              <w:spacing w:line="187" w:lineRule="exact" w:before="3"/>
              <w:ind w:left="524"/>
              <w:rPr>
                <w:i/>
                <w:sz w:val="18"/>
              </w:rPr>
            </w:pPr>
            <w:r>
              <w:rPr>
                <w:i/>
                <w:color w:val="444751"/>
                <w:sz w:val="18"/>
              </w:rPr>
              <w:t>Marie</w:t>
            </w:r>
            <w:r>
              <w:rPr>
                <w:i/>
                <w:color w:val="444751"/>
                <w:spacing w:val="-5"/>
                <w:sz w:val="18"/>
              </w:rPr>
              <w:t> </w:t>
            </w:r>
            <w:r>
              <w:rPr>
                <w:i/>
                <w:color w:val="444751"/>
                <w:sz w:val="18"/>
              </w:rPr>
              <w:t>Davies</w:t>
            </w:r>
            <w:r>
              <w:rPr>
                <w:i/>
                <w:color w:val="444751"/>
                <w:spacing w:val="-2"/>
                <w:sz w:val="18"/>
              </w:rPr>
              <w:t> </w:t>
            </w:r>
            <w:r>
              <w:rPr>
                <w:i/>
                <w:color w:val="444751"/>
                <w:sz w:val="18"/>
              </w:rPr>
              <w:t>(Swansea</w:t>
            </w:r>
            <w:r>
              <w:rPr>
                <w:i/>
                <w:color w:val="444751"/>
                <w:spacing w:val="-4"/>
                <w:sz w:val="18"/>
              </w:rPr>
              <w:t> </w:t>
            </w:r>
            <w:r>
              <w:rPr>
                <w:i/>
                <w:color w:val="444751"/>
                <w:sz w:val="18"/>
              </w:rPr>
              <w:t>Bay</w:t>
            </w:r>
            <w:r>
              <w:rPr>
                <w:i/>
                <w:color w:val="444751"/>
                <w:spacing w:val="-2"/>
                <w:sz w:val="18"/>
              </w:rPr>
              <w:t> </w:t>
            </w:r>
            <w:r>
              <w:rPr>
                <w:i/>
                <w:color w:val="444751"/>
                <w:sz w:val="18"/>
              </w:rPr>
              <w:t>UHB</w:t>
            </w:r>
            <w:r>
              <w:rPr>
                <w:i/>
                <w:color w:val="444751"/>
                <w:spacing w:val="-2"/>
                <w:sz w:val="18"/>
              </w:rPr>
              <w:t> </w:t>
            </w:r>
            <w:r>
              <w:rPr>
                <w:i/>
                <w:color w:val="444751"/>
                <w:sz w:val="18"/>
              </w:rPr>
              <w:t>-</w:t>
            </w:r>
            <w:r>
              <w:rPr>
                <w:i/>
                <w:color w:val="444751"/>
                <w:spacing w:val="-3"/>
                <w:sz w:val="18"/>
              </w:rPr>
              <w:t> </w:t>
            </w:r>
            <w:r>
              <w:rPr>
                <w:i/>
                <w:color w:val="444751"/>
                <w:sz w:val="18"/>
              </w:rPr>
              <w:t>Executive</w:t>
            </w:r>
            <w:r>
              <w:rPr>
                <w:i/>
                <w:color w:val="444751"/>
                <w:spacing w:val="-3"/>
                <w:sz w:val="18"/>
              </w:rPr>
              <w:t> </w:t>
            </w:r>
            <w:r>
              <w:rPr>
                <w:i/>
                <w:color w:val="444751"/>
                <w:sz w:val="18"/>
              </w:rPr>
              <w:t>Director</w:t>
            </w:r>
            <w:r>
              <w:rPr>
                <w:i/>
                <w:color w:val="444751"/>
                <w:spacing w:val="-3"/>
                <w:sz w:val="18"/>
              </w:rPr>
              <w:t> </w:t>
            </w:r>
            <w:r>
              <w:rPr>
                <w:i/>
                <w:color w:val="444751"/>
                <w:sz w:val="18"/>
              </w:rPr>
              <w:t>of</w:t>
            </w:r>
            <w:r>
              <w:rPr>
                <w:i/>
                <w:color w:val="444751"/>
                <w:spacing w:val="-4"/>
                <w:sz w:val="18"/>
              </w:rPr>
              <w:t> </w:t>
            </w:r>
            <w:r>
              <w:rPr>
                <w:i/>
                <w:color w:val="444751"/>
                <w:sz w:val="18"/>
              </w:rPr>
              <w:t>Planning</w:t>
            </w:r>
            <w:r>
              <w:rPr>
                <w:i/>
                <w:color w:val="444751"/>
                <w:spacing w:val="-3"/>
                <w:sz w:val="18"/>
              </w:rPr>
              <w:t> </w:t>
            </w:r>
            <w:r>
              <w:rPr>
                <w:i/>
                <w:color w:val="444751"/>
                <w:sz w:val="18"/>
              </w:rPr>
              <w:t>and</w:t>
            </w:r>
            <w:r>
              <w:rPr>
                <w:i/>
                <w:color w:val="444751"/>
                <w:spacing w:val="-3"/>
                <w:sz w:val="18"/>
              </w:rPr>
              <w:t> </w:t>
            </w:r>
            <w:r>
              <w:rPr>
                <w:i/>
                <w:color w:val="444751"/>
                <w:spacing w:val="-2"/>
                <w:sz w:val="18"/>
              </w:rPr>
              <w:t>Partnerships)</w:t>
            </w:r>
          </w:p>
        </w:tc>
      </w:tr>
    </w:tbl>
    <w:p>
      <w:pPr>
        <w:pStyle w:val="BodyText"/>
        <w:spacing w:before="95"/>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1200150</wp:posOffset>
                </wp:positionH>
                <wp:positionV relativeFrom="paragraph">
                  <wp:posOffset>221716</wp:posOffset>
                </wp:positionV>
                <wp:extent cx="5445125" cy="952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458008pt;width:428.75pt;height:.75pt;mso-position-horizontal-relative:page;mso-position-vertical-relative:paragraph;z-index:-15725568;mso-wrap-distance-left:0;mso-wrap-distance-right:0" id="docshape7" filled="true" fillcolor="#9f9f9f" stroked="false">
                <v:fill type="solid"/>
                <w10:wrap type="topAndBottom"/>
              </v:rect>
            </w:pict>
          </mc:Fallback>
        </mc:AlternateContent>
      </w:r>
    </w:p>
    <w:p>
      <w:pPr>
        <w:pStyle w:val="BodyText"/>
        <w:spacing w:before="4"/>
        <w:rPr>
          <w:b/>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787"/>
      </w:tblGrid>
      <w:tr>
        <w:trPr>
          <w:trHeight w:val="1072" w:hRule="atLeast"/>
        </w:trPr>
        <w:tc>
          <w:tcPr>
            <w:tcW w:w="881" w:type="dxa"/>
          </w:tcPr>
          <w:p>
            <w:pPr>
              <w:pStyle w:val="TableParagraph"/>
              <w:spacing w:before="3"/>
              <w:ind w:left="50"/>
              <w:rPr>
                <w:b/>
                <w:sz w:val="22"/>
              </w:rPr>
            </w:pPr>
            <w:r>
              <w:rPr>
                <w:b/>
                <w:spacing w:val="-5"/>
                <w:sz w:val="22"/>
              </w:rPr>
              <w:t>3.2</w:t>
            </w:r>
          </w:p>
        </w:tc>
        <w:tc>
          <w:tcPr>
            <w:tcW w:w="7787" w:type="dxa"/>
          </w:tcPr>
          <w:p>
            <w:pPr>
              <w:pStyle w:val="TableParagraph"/>
              <w:spacing w:line="242" w:lineRule="auto"/>
              <w:ind w:left="524" w:right="162"/>
              <w:rPr>
                <w:b/>
                <w:sz w:val="22"/>
              </w:rPr>
            </w:pPr>
            <w:r>
              <w:rPr>
                <w:b/>
                <w:sz w:val="22"/>
              </w:rPr>
              <w:t>RJC/37c:</w:t>
            </w:r>
            <w:r>
              <w:rPr>
                <w:b/>
                <w:spacing w:val="-5"/>
                <w:sz w:val="22"/>
              </w:rPr>
              <w:t> </w:t>
            </w:r>
            <w:r>
              <w:rPr>
                <w:b/>
                <w:sz w:val="22"/>
              </w:rPr>
              <w:t>Developing</w:t>
            </w:r>
            <w:r>
              <w:rPr>
                <w:b/>
                <w:spacing w:val="-10"/>
                <w:sz w:val="22"/>
              </w:rPr>
              <w:t> </w:t>
            </w:r>
            <w:r>
              <w:rPr>
                <w:b/>
                <w:sz w:val="22"/>
              </w:rPr>
              <w:t>a</w:t>
            </w:r>
            <w:r>
              <w:rPr>
                <w:b/>
                <w:spacing w:val="-4"/>
                <w:sz w:val="22"/>
              </w:rPr>
              <w:t> </w:t>
            </w:r>
            <w:r>
              <w:rPr>
                <w:b/>
                <w:sz w:val="22"/>
              </w:rPr>
              <w:t>Regional</w:t>
            </w:r>
            <w:r>
              <w:rPr>
                <w:b/>
                <w:spacing w:val="-7"/>
                <w:sz w:val="22"/>
              </w:rPr>
              <w:t> </w:t>
            </w:r>
            <w:r>
              <w:rPr>
                <w:b/>
                <w:sz w:val="22"/>
              </w:rPr>
              <w:t>Approach</w:t>
            </w:r>
            <w:r>
              <w:rPr>
                <w:b/>
                <w:spacing w:val="-5"/>
                <w:sz w:val="22"/>
              </w:rPr>
              <w:t> </w:t>
            </w:r>
            <w:r>
              <w:rPr>
                <w:b/>
                <w:sz w:val="22"/>
              </w:rPr>
              <w:t>to</w:t>
            </w:r>
            <w:r>
              <w:rPr>
                <w:b/>
                <w:spacing w:val="-5"/>
                <w:sz w:val="22"/>
              </w:rPr>
              <w:t> </w:t>
            </w:r>
            <w:r>
              <w:rPr>
                <w:b/>
                <w:sz w:val="22"/>
              </w:rPr>
              <w:t>Cancer</w:t>
            </w:r>
            <w:r>
              <w:rPr>
                <w:b/>
                <w:spacing w:val="-7"/>
                <w:sz w:val="22"/>
              </w:rPr>
              <w:t> </w:t>
            </w:r>
            <w:r>
              <w:rPr>
                <w:b/>
                <w:sz w:val="22"/>
              </w:rPr>
              <w:t>Care: Proposed Inclusion within the RJC Work Programme</w:t>
            </w:r>
          </w:p>
          <w:p>
            <w:pPr>
              <w:pStyle w:val="TableParagraph"/>
              <w:spacing w:line="206" w:lineRule="exact" w:before="149"/>
              <w:ind w:left="524"/>
              <w:rPr>
                <w:sz w:val="18"/>
              </w:rPr>
            </w:pPr>
            <w:r>
              <w:rPr>
                <w:color w:val="444751"/>
                <w:sz w:val="18"/>
              </w:rPr>
              <w:t>10:55</w:t>
            </w:r>
            <w:r>
              <w:rPr>
                <w:color w:val="444751"/>
                <w:spacing w:val="-3"/>
                <w:sz w:val="18"/>
              </w:rPr>
              <w:t> </w:t>
            </w:r>
            <w:r>
              <w:rPr>
                <w:color w:val="444751"/>
                <w:sz w:val="18"/>
              </w:rPr>
              <w:t>AM,</w:t>
            </w:r>
            <w:r>
              <w:rPr>
                <w:color w:val="444751"/>
                <w:spacing w:val="-3"/>
                <w:sz w:val="18"/>
              </w:rPr>
              <w:t> </w:t>
            </w:r>
            <w:r>
              <w:rPr>
                <w:color w:val="444751"/>
                <w:sz w:val="18"/>
              </w:rPr>
              <w:t>0</w:t>
            </w:r>
            <w:r>
              <w:rPr>
                <w:color w:val="444751"/>
                <w:spacing w:val="-3"/>
                <w:sz w:val="18"/>
              </w:rPr>
              <w:t> </w:t>
            </w:r>
            <w:r>
              <w:rPr>
                <w:color w:val="444751"/>
                <w:spacing w:val="-5"/>
                <w:sz w:val="18"/>
              </w:rPr>
              <w:t>min</w:t>
            </w:r>
          </w:p>
          <w:p>
            <w:pPr>
              <w:pStyle w:val="TableParagraph"/>
              <w:spacing w:line="186" w:lineRule="exact"/>
              <w:ind w:left="524"/>
              <w:rPr>
                <w:i/>
                <w:sz w:val="18"/>
              </w:rPr>
            </w:pPr>
            <w:r>
              <w:rPr>
                <w:i/>
                <w:color w:val="444751"/>
                <w:sz w:val="18"/>
              </w:rPr>
              <w:t>Abigail</w:t>
            </w:r>
            <w:r>
              <w:rPr>
                <w:i/>
                <w:color w:val="444751"/>
                <w:spacing w:val="-3"/>
                <w:sz w:val="18"/>
              </w:rPr>
              <w:t> </w:t>
            </w:r>
            <w:r>
              <w:rPr>
                <w:i/>
                <w:color w:val="444751"/>
                <w:sz w:val="18"/>
              </w:rPr>
              <w:t>Harris</w:t>
            </w:r>
            <w:r>
              <w:rPr>
                <w:i/>
                <w:color w:val="444751"/>
                <w:spacing w:val="-2"/>
                <w:sz w:val="18"/>
              </w:rPr>
              <w:t> </w:t>
            </w:r>
            <w:r>
              <w:rPr>
                <w:i/>
                <w:color w:val="444751"/>
                <w:sz w:val="18"/>
              </w:rPr>
              <w:t>(Swansea</w:t>
            </w:r>
            <w:r>
              <w:rPr>
                <w:i/>
                <w:color w:val="444751"/>
                <w:spacing w:val="-3"/>
                <w:sz w:val="18"/>
              </w:rPr>
              <w:t> </w:t>
            </w:r>
            <w:r>
              <w:rPr>
                <w:i/>
                <w:color w:val="444751"/>
                <w:sz w:val="18"/>
              </w:rPr>
              <w:t>Bay</w:t>
            </w:r>
            <w:r>
              <w:rPr>
                <w:i/>
                <w:color w:val="444751"/>
                <w:spacing w:val="-2"/>
                <w:sz w:val="18"/>
              </w:rPr>
              <w:t> </w:t>
            </w:r>
            <w:r>
              <w:rPr>
                <w:i/>
                <w:color w:val="444751"/>
                <w:sz w:val="18"/>
              </w:rPr>
              <w:t>UHB</w:t>
            </w:r>
            <w:r>
              <w:rPr>
                <w:i/>
                <w:color w:val="444751"/>
                <w:spacing w:val="-1"/>
                <w:sz w:val="18"/>
              </w:rPr>
              <w:t> </w:t>
            </w:r>
            <w:r>
              <w:rPr>
                <w:i/>
                <w:color w:val="444751"/>
                <w:sz w:val="18"/>
              </w:rPr>
              <w:t>-</w:t>
            </w:r>
            <w:r>
              <w:rPr>
                <w:i/>
                <w:color w:val="444751"/>
                <w:spacing w:val="-1"/>
                <w:sz w:val="18"/>
              </w:rPr>
              <w:t> </w:t>
            </w:r>
            <w:r>
              <w:rPr>
                <w:i/>
                <w:color w:val="444751"/>
                <w:sz w:val="18"/>
              </w:rPr>
              <w:t>CEO),</w:t>
            </w:r>
            <w:r>
              <w:rPr>
                <w:i/>
                <w:color w:val="444751"/>
                <w:spacing w:val="-2"/>
                <w:sz w:val="18"/>
              </w:rPr>
              <w:t> </w:t>
            </w:r>
            <w:r>
              <w:rPr>
                <w:i/>
                <w:color w:val="444751"/>
                <w:sz w:val="18"/>
              </w:rPr>
              <w:t>Philip</w:t>
            </w:r>
            <w:r>
              <w:rPr>
                <w:i/>
                <w:color w:val="444751"/>
                <w:spacing w:val="-2"/>
                <w:sz w:val="18"/>
              </w:rPr>
              <w:t> </w:t>
            </w:r>
            <w:r>
              <w:rPr>
                <w:i/>
                <w:color w:val="444751"/>
                <w:sz w:val="18"/>
              </w:rPr>
              <w:t>Kloer</w:t>
            </w:r>
            <w:r>
              <w:rPr>
                <w:i/>
                <w:color w:val="444751"/>
                <w:spacing w:val="-2"/>
                <w:sz w:val="18"/>
              </w:rPr>
              <w:t> </w:t>
            </w:r>
            <w:r>
              <w:rPr>
                <w:i/>
                <w:color w:val="444751"/>
                <w:sz w:val="18"/>
              </w:rPr>
              <w:t>(Hywel</w:t>
            </w:r>
            <w:r>
              <w:rPr>
                <w:i/>
                <w:color w:val="444751"/>
                <w:spacing w:val="-1"/>
                <w:sz w:val="18"/>
              </w:rPr>
              <w:t> </w:t>
            </w:r>
            <w:r>
              <w:rPr>
                <w:i/>
                <w:color w:val="444751"/>
                <w:sz w:val="18"/>
              </w:rPr>
              <w:t>Dda</w:t>
            </w:r>
            <w:r>
              <w:rPr>
                <w:i/>
                <w:color w:val="444751"/>
                <w:spacing w:val="-2"/>
                <w:sz w:val="18"/>
              </w:rPr>
              <w:t> </w:t>
            </w:r>
            <w:r>
              <w:rPr>
                <w:i/>
                <w:color w:val="444751"/>
                <w:sz w:val="18"/>
              </w:rPr>
              <w:t>UHB</w:t>
            </w:r>
            <w:r>
              <w:rPr>
                <w:i/>
                <w:color w:val="444751"/>
                <w:spacing w:val="-1"/>
                <w:sz w:val="18"/>
              </w:rPr>
              <w:t> </w:t>
            </w:r>
            <w:r>
              <w:rPr>
                <w:i/>
                <w:color w:val="444751"/>
                <w:sz w:val="18"/>
              </w:rPr>
              <w:t>-</w:t>
            </w:r>
            <w:r>
              <w:rPr>
                <w:i/>
                <w:color w:val="444751"/>
                <w:spacing w:val="-2"/>
                <w:sz w:val="18"/>
              </w:rPr>
              <w:t> </w:t>
            </w:r>
            <w:r>
              <w:rPr>
                <w:i/>
                <w:color w:val="444751"/>
                <w:sz w:val="18"/>
              </w:rPr>
              <w:t>Chief</w:t>
            </w:r>
            <w:r>
              <w:rPr>
                <w:i/>
                <w:color w:val="444751"/>
                <w:spacing w:val="-1"/>
                <w:sz w:val="18"/>
              </w:rPr>
              <w:t> </w:t>
            </w:r>
            <w:r>
              <w:rPr>
                <w:i/>
                <w:color w:val="444751"/>
                <w:spacing w:val="-2"/>
                <w:sz w:val="18"/>
              </w:rPr>
              <w:t>Executive)</w:t>
            </w:r>
          </w:p>
        </w:tc>
      </w:tr>
    </w:tbl>
    <w:p>
      <w:pPr>
        <w:pStyle w:val="BodyText"/>
        <w:spacing w:before="99"/>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1200150</wp:posOffset>
                </wp:positionH>
                <wp:positionV relativeFrom="paragraph">
                  <wp:posOffset>224637</wp:posOffset>
                </wp:positionV>
                <wp:extent cx="5445125"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688007pt;width:428.75pt;height:.75pt;mso-position-horizontal-relative:page;mso-position-vertical-relative:paragraph;z-index:-15725056;mso-wrap-distance-left:0;mso-wrap-distance-right:0" id="docshape8" filled="true" fillcolor="#9f9f9f" stroked="false">
                <v:fill type="solid"/>
                <w10:wrap type="topAndBottom"/>
              </v:rect>
            </w:pict>
          </mc:Fallback>
        </mc:AlternateContent>
      </w:r>
    </w:p>
    <w:p>
      <w:pPr>
        <w:pStyle w:val="BodyText"/>
        <w:spacing w:before="4" w:after="1"/>
        <w:rPr>
          <w:b/>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6803"/>
      </w:tblGrid>
      <w:tr>
        <w:trPr>
          <w:trHeight w:val="1072" w:hRule="atLeast"/>
        </w:trPr>
        <w:tc>
          <w:tcPr>
            <w:tcW w:w="881" w:type="dxa"/>
          </w:tcPr>
          <w:p>
            <w:pPr>
              <w:pStyle w:val="TableParagraph"/>
              <w:spacing w:line="251" w:lineRule="exact"/>
              <w:ind w:left="50"/>
              <w:rPr>
                <w:b/>
                <w:sz w:val="22"/>
              </w:rPr>
            </w:pPr>
            <w:r>
              <w:rPr>
                <w:b/>
                <w:spacing w:val="-5"/>
                <w:sz w:val="22"/>
              </w:rPr>
              <w:t>3.3</w:t>
            </w:r>
          </w:p>
        </w:tc>
        <w:tc>
          <w:tcPr>
            <w:tcW w:w="6803" w:type="dxa"/>
          </w:tcPr>
          <w:p>
            <w:pPr>
              <w:pStyle w:val="TableParagraph"/>
              <w:spacing w:line="242" w:lineRule="auto"/>
              <w:ind w:left="524"/>
              <w:rPr>
                <w:b/>
                <w:sz w:val="22"/>
              </w:rPr>
            </w:pPr>
            <w:r>
              <w:rPr>
                <w:b/>
                <w:sz w:val="22"/>
              </w:rPr>
              <w:t>RJC/37d:</w:t>
            </w:r>
            <w:r>
              <w:rPr>
                <w:b/>
                <w:spacing w:val="-4"/>
                <w:sz w:val="22"/>
              </w:rPr>
              <w:t> </w:t>
            </w:r>
            <w:r>
              <w:rPr>
                <w:b/>
                <w:sz w:val="22"/>
              </w:rPr>
              <w:t>South</w:t>
            </w:r>
            <w:r>
              <w:rPr>
                <w:b/>
                <w:spacing w:val="-10"/>
                <w:sz w:val="22"/>
              </w:rPr>
              <w:t> </w:t>
            </w:r>
            <w:r>
              <w:rPr>
                <w:b/>
                <w:sz w:val="22"/>
              </w:rPr>
              <w:t>West</w:t>
            </w:r>
            <w:r>
              <w:rPr>
                <w:b/>
                <w:spacing w:val="-5"/>
                <w:sz w:val="22"/>
              </w:rPr>
              <w:t> </w:t>
            </w:r>
            <w:r>
              <w:rPr>
                <w:b/>
                <w:sz w:val="22"/>
              </w:rPr>
              <w:t>Wales</w:t>
            </w:r>
            <w:r>
              <w:rPr>
                <w:b/>
                <w:spacing w:val="-4"/>
                <w:sz w:val="22"/>
              </w:rPr>
              <w:t> </w:t>
            </w:r>
            <w:r>
              <w:rPr>
                <w:b/>
                <w:sz w:val="22"/>
              </w:rPr>
              <w:t>Cancer</w:t>
            </w:r>
            <w:r>
              <w:rPr>
                <w:b/>
                <w:spacing w:val="-7"/>
                <w:sz w:val="22"/>
              </w:rPr>
              <w:t> </w:t>
            </w:r>
            <w:r>
              <w:rPr>
                <w:b/>
                <w:sz w:val="22"/>
              </w:rPr>
              <w:t>Centre</w:t>
            </w:r>
            <w:r>
              <w:rPr>
                <w:b/>
                <w:spacing w:val="-4"/>
                <w:sz w:val="22"/>
              </w:rPr>
              <w:t> </w:t>
            </w:r>
            <w:r>
              <w:rPr>
                <w:b/>
                <w:sz w:val="22"/>
              </w:rPr>
              <w:t>Update –</w:t>
            </w:r>
            <w:r>
              <w:rPr>
                <w:b/>
                <w:spacing w:val="-4"/>
                <w:sz w:val="22"/>
              </w:rPr>
              <w:t> </w:t>
            </w:r>
            <w:r>
              <w:rPr>
                <w:b/>
                <w:sz w:val="22"/>
              </w:rPr>
              <w:t>Future Radiotherapy Infrastructure</w:t>
            </w:r>
          </w:p>
          <w:p>
            <w:pPr>
              <w:pStyle w:val="TableParagraph"/>
              <w:spacing w:before="144"/>
              <w:ind w:left="524"/>
              <w:rPr>
                <w:sz w:val="18"/>
              </w:rPr>
            </w:pPr>
            <w:r>
              <w:rPr>
                <w:color w:val="444751"/>
                <w:sz w:val="18"/>
              </w:rPr>
              <w:t>10:55</w:t>
            </w:r>
            <w:r>
              <w:rPr>
                <w:color w:val="444751"/>
                <w:spacing w:val="-3"/>
                <w:sz w:val="18"/>
              </w:rPr>
              <w:t> </w:t>
            </w:r>
            <w:r>
              <w:rPr>
                <w:color w:val="444751"/>
                <w:sz w:val="18"/>
              </w:rPr>
              <w:t>AM,</w:t>
            </w:r>
            <w:r>
              <w:rPr>
                <w:color w:val="444751"/>
                <w:spacing w:val="-3"/>
                <w:sz w:val="18"/>
              </w:rPr>
              <w:t> </w:t>
            </w:r>
            <w:r>
              <w:rPr>
                <w:color w:val="444751"/>
                <w:sz w:val="18"/>
              </w:rPr>
              <w:t>0</w:t>
            </w:r>
            <w:r>
              <w:rPr>
                <w:color w:val="444751"/>
                <w:spacing w:val="-3"/>
                <w:sz w:val="18"/>
              </w:rPr>
              <w:t> </w:t>
            </w:r>
            <w:r>
              <w:rPr>
                <w:color w:val="444751"/>
                <w:spacing w:val="-5"/>
                <w:sz w:val="18"/>
              </w:rPr>
              <w:t>min</w:t>
            </w:r>
          </w:p>
          <w:p>
            <w:pPr>
              <w:pStyle w:val="TableParagraph"/>
              <w:spacing w:line="187" w:lineRule="exact" w:before="3"/>
              <w:ind w:left="524"/>
              <w:rPr>
                <w:i/>
                <w:sz w:val="18"/>
              </w:rPr>
            </w:pPr>
            <w:r>
              <w:rPr>
                <w:i/>
                <w:color w:val="444751"/>
                <w:sz w:val="18"/>
              </w:rPr>
              <w:t>Russell</w:t>
            </w:r>
            <w:r>
              <w:rPr>
                <w:i/>
                <w:color w:val="444751"/>
                <w:spacing w:val="-1"/>
                <w:sz w:val="18"/>
              </w:rPr>
              <w:t> </w:t>
            </w:r>
            <w:r>
              <w:rPr>
                <w:i/>
                <w:color w:val="444751"/>
                <w:sz w:val="18"/>
              </w:rPr>
              <w:t>Banner (Swansea</w:t>
            </w:r>
            <w:r>
              <w:rPr>
                <w:i/>
                <w:color w:val="444751"/>
                <w:spacing w:val="-1"/>
                <w:sz w:val="18"/>
              </w:rPr>
              <w:t> </w:t>
            </w:r>
            <w:r>
              <w:rPr>
                <w:i/>
                <w:color w:val="444751"/>
                <w:sz w:val="18"/>
              </w:rPr>
              <w:t>Bay UHB</w:t>
            </w:r>
            <w:r>
              <w:rPr>
                <w:i/>
                <w:color w:val="444751"/>
                <w:spacing w:val="-1"/>
                <w:sz w:val="18"/>
              </w:rPr>
              <w:t> </w:t>
            </w:r>
            <w:r>
              <w:rPr>
                <w:i/>
                <w:color w:val="444751"/>
                <w:sz w:val="18"/>
              </w:rPr>
              <w:t>- Haematology</w:t>
            </w:r>
            <w:r>
              <w:rPr>
                <w:i/>
                <w:color w:val="444751"/>
                <w:spacing w:val="-1"/>
                <w:sz w:val="18"/>
              </w:rPr>
              <w:t> </w:t>
            </w:r>
            <w:r>
              <w:rPr>
                <w:i/>
                <w:color w:val="444751"/>
                <w:sz w:val="18"/>
              </w:rPr>
              <w:t>&amp; </w:t>
            </w:r>
            <w:r>
              <w:rPr>
                <w:i/>
                <w:color w:val="444751"/>
                <w:spacing w:val="-2"/>
                <w:sz w:val="18"/>
              </w:rPr>
              <w:t>Oncology)</w:t>
            </w:r>
          </w:p>
        </w:tc>
      </w:tr>
    </w:tbl>
    <w:p>
      <w:pPr>
        <w:pStyle w:val="BodyText"/>
        <w:spacing w:before="94"/>
        <w:rPr>
          <w:b/>
          <w:sz w:val="20"/>
        </w:rPr>
      </w:pPr>
      <w:r>
        <w:rPr>
          <w:b/>
          <w:sz w:val="20"/>
        </w:rPr>
        <mc:AlternateContent>
          <mc:Choice Requires="wps">
            <w:drawing>
              <wp:anchor distT="0" distB="0" distL="0" distR="0" allowOverlap="1" layoutInCell="1" locked="0" behindDoc="1" simplePos="0" relativeHeight="487591936">
                <wp:simplePos x="0" y="0"/>
                <wp:positionH relativeFrom="page">
                  <wp:posOffset>1200150</wp:posOffset>
                </wp:positionH>
                <wp:positionV relativeFrom="paragraph">
                  <wp:posOffset>221081</wp:posOffset>
                </wp:positionV>
                <wp:extent cx="5445125"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408009pt;width:428.75pt;height:.75pt;mso-position-horizontal-relative:page;mso-position-vertical-relative:paragraph;z-index:-15724544;mso-wrap-distance-left:0;mso-wrap-distance-right:0" id="docshape9" filled="true" fillcolor="#9f9f9f" stroked="false">
                <v:fill type="solid"/>
                <w10:wrap type="topAndBottom"/>
              </v:rect>
            </w:pict>
          </mc:Fallback>
        </mc:AlternateContent>
      </w:r>
    </w:p>
    <w:p>
      <w:pPr>
        <w:pStyle w:val="BodyText"/>
        <w:spacing w:before="10"/>
        <w:rPr>
          <w:b/>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4312"/>
      </w:tblGrid>
      <w:tr>
        <w:trPr>
          <w:trHeight w:val="250" w:hRule="atLeast"/>
        </w:trPr>
        <w:tc>
          <w:tcPr>
            <w:tcW w:w="881" w:type="dxa"/>
          </w:tcPr>
          <w:p>
            <w:pPr>
              <w:pStyle w:val="TableParagraph"/>
              <w:spacing w:line="231" w:lineRule="exact"/>
              <w:ind w:left="50"/>
              <w:rPr>
                <w:b/>
                <w:sz w:val="22"/>
              </w:rPr>
            </w:pPr>
            <w:r>
              <w:rPr>
                <w:b/>
                <w:spacing w:val="-5"/>
                <w:sz w:val="22"/>
              </w:rPr>
              <w:t>3.4</w:t>
            </w:r>
          </w:p>
        </w:tc>
        <w:tc>
          <w:tcPr>
            <w:tcW w:w="4312" w:type="dxa"/>
          </w:tcPr>
          <w:p>
            <w:pPr>
              <w:pStyle w:val="TableParagraph"/>
              <w:spacing w:line="231" w:lineRule="exact"/>
              <w:ind w:left="524"/>
              <w:rPr>
                <w:b/>
                <w:sz w:val="22"/>
              </w:rPr>
            </w:pPr>
            <w:r>
              <w:rPr>
                <w:b/>
                <w:sz w:val="22"/>
              </w:rPr>
              <w:t>RJC/37e:</w:t>
            </w:r>
            <w:r>
              <w:rPr>
                <w:b/>
                <w:spacing w:val="-5"/>
                <w:sz w:val="22"/>
              </w:rPr>
              <w:t> </w:t>
            </w:r>
            <w:r>
              <w:rPr>
                <w:b/>
                <w:sz w:val="22"/>
              </w:rPr>
              <w:t>Cellular</w:t>
            </w:r>
            <w:r>
              <w:rPr>
                <w:b/>
                <w:spacing w:val="-6"/>
                <w:sz w:val="22"/>
              </w:rPr>
              <w:t> </w:t>
            </w:r>
            <w:r>
              <w:rPr>
                <w:b/>
                <w:sz w:val="22"/>
              </w:rPr>
              <w:t>Pathology</w:t>
            </w:r>
            <w:r>
              <w:rPr>
                <w:b/>
                <w:spacing w:val="-8"/>
                <w:sz w:val="22"/>
              </w:rPr>
              <w:t> </w:t>
            </w:r>
            <w:r>
              <w:rPr>
                <w:b/>
                <w:spacing w:val="-2"/>
                <w:sz w:val="22"/>
              </w:rPr>
              <w:t>Update</w:t>
            </w:r>
          </w:p>
        </w:tc>
      </w:tr>
    </w:tbl>
    <w:p>
      <w:pPr>
        <w:pStyle w:val="TableParagraph"/>
        <w:spacing w:after="0" w:line="231" w:lineRule="exact"/>
        <w:rPr>
          <w:b/>
          <w:sz w:val="22"/>
        </w:rPr>
        <w:sectPr>
          <w:pgSz w:w="11910" w:h="16840"/>
          <w:pgMar w:top="1920" w:bottom="280" w:left="1275" w:right="1275"/>
        </w:sectPr>
      </w:pPr>
    </w:p>
    <w:p>
      <w:pPr>
        <w:spacing w:line="206" w:lineRule="exact" w:before="76"/>
        <w:ind w:left="1971" w:right="0" w:firstLine="0"/>
        <w:jc w:val="left"/>
        <w:rPr>
          <w:sz w:val="18"/>
        </w:rPr>
      </w:pPr>
      <w:r>
        <w:rPr>
          <w:color w:val="444751"/>
          <w:sz w:val="18"/>
        </w:rPr>
        <w:t>10:55</w:t>
      </w:r>
      <w:r>
        <w:rPr>
          <w:color w:val="444751"/>
          <w:spacing w:val="-3"/>
          <w:sz w:val="18"/>
        </w:rPr>
        <w:t> </w:t>
      </w:r>
      <w:r>
        <w:rPr>
          <w:color w:val="444751"/>
          <w:sz w:val="18"/>
        </w:rPr>
        <w:t>AM,</w:t>
      </w:r>
      <w:r>
        <w:rPr>
          <w:color w:val="444751"/>
          <w:spacing w:val="-3"/>
          <w:sz w:val="18"/>
        </w:rPr>
        <w:t> </w:t>
      </w:r>
      <w:r>
        <w:rPr>
          <w:color w:val="444751"/>
          <w:sz w:val="18"/>
        </w:rPr>
        <w:t>0</w:t>
      </w:r>
      <w:r>
        <w:rPr>
          <w:color w:val="444751"/>
          <w:spacing w:val="-3"/>
          <w:sz w:val="18"/>
        </w:rPr>
        <w:t> </w:t>
      </w:r>
      <w:r>
        <w:rPr>
          <w:color w:val="444751"/>
          <w:spacing w:val="-5"/>
          <w:sz w:val="18"/>
        </w:rPr>
        <w:t>min</w:t>
      </w:r>
    </w:p>
    <w:p>
      <w:pPr>
        <w:spacing w:line="206" w:lineRule="exact" w:before="0"/>
        <w:ind w:left="1971" w:right="0" w:firstLine="0"/>
        <w:jc w:val="left"/>
        <w:rPr>
          <w:i/>
          <w:sz w:val="18"/>
        </w:rPr>
      </w:pPr>
      <w:r>
        <w:rPr>
          <w:i/>
          <w:color w:val="444751"/>
          <w:sz w:val="18"/>
        </w:rPr>
        <w:t>Lee</w:t>
      </w:r>
      <w:r>
        <w:rPr>
          <w:i/>
          <w:color w:val="444751"/>
          <w:spacing w:val="-5"/>
          <w:sz w:val="18"/>
        </w:rPr>
        <w:t> </w:t>
      </w:r>
      <w:r>
        <w:rPr>
          <w:i/>
          <w:color w:val="444751"/>
          <w:sz w:val="18"/>
        </w:rPr>
        <w:t>Davies</w:t>
      </w:r>
      <w:r>
        <w:rPr>
          <w:i/>
          <w:color w:val="444751"/>
          <w:spacing w:val="-4"/>
          <w:sz w:val="18"/>
        </w:rPr>
        <w:t> </w:t>
      </w:r>
      <w:r>
        <w:rPr>
          <w:i/>
          <w:color w:val="444751"/>
          <w:sz w:val="18"/>
        </w:rPr>
        <w:t>(Hywel</w:t>
      </w:r>
      <w:r>
        <w:rPr>
          <w:i/>
          <w:color w:val="444751"/>
          <w:spacing w:val="-5"/>
          <w:sz w:val="18"/>
        </w:rPr>
        <w:t> </w:t>
      </w:r>
      <w:r>
        <w:rPr>
          <w:i/>
          <w:color w:val="444751"/>
          <w:sz w:val="18"/>
        </w:rPr>
        <w:t>Dda</w:t>
      </w:r>
      <w:r>
        <w:rPr>
          <w:i/>
          <w:color w:val="444751"/>
          <w:spacing w:val="-4"/>
          <w:sz w:val="18"/>
        </w:rPr>
        <w:t> </w:t>
      </w:r>
      <w:r>
        <w:rPr>
          <w:i/>
          <w:color w:val="444751"/>
          <w:sz w:val="18"/>
        </w:rPr>
        <w:t>UHB</w:t>
      </w:r>
      <w:r>
        <w:rPr>
          <w:i/>
          <w:color w:val="444751"/>
          <w:spacing w:val="-3"/>
          <w:sz w:val="18"/>
        </w:rPr>
        <w:t> </w:t>
      </w:r>
      <w:r>
        <w:rPr>
          <w:i/>
          <w:color w:val="444751"/>
          <w:sz w:val="18"/>
        </w:rPr>
        <w:t>-</w:t>
      </w:r>
      <w:r>
        <w:rPr>
          <w:i/>
          <w:color w:val="444751"/>
          <w:spacing w:val="-3"/>
          <w:sz w:val="18"/>
        </w:rPr>
        <w:t> </w:t>
      </w:r>
      <w:r>
        <w:rPr>
          <w:i/>
          <w:color w:val="444751"/>
          <w:sz w:val="18"/>
        </w:rPr>
        <w:t>Executive</w:t>
      </w:r>
      <w:r>
        <w:rPr>
          <w:i/>
          <w:color w:val="444751"/>
          <w:spacing w:val="-5"/>
          <w:sz w:val="18"/>
        </w:rPr>
        <w:t> </w:t>
      </w:r>
      <w:r>
        <w:rPr>
          <w:i/>
          <w:color w:val="444751"/>
          <w:sz w:val="18"/>
        </w:rPr>
        <w:t>Director</w:t>
      </w:r>
      <w:r>
        <w:rPr>
          <w:i/>
          <w:color w:val="444751"/>
          <w:spacing w:val="-4"/>
          <w:sz w:val="18"/>
        </w:rPr>
        <w:t> </w:t>
      </w:r>
      <w:r>
        <w:rPr>
          <w:i/>
          <w:color w:val="444751"/>
          <w:sz w:val="18"/>
        </w:rPr>
        <w:t>of</w:t>
      </w:r>
      <w:r>
        <w:rPr>
          <w:i/>
          <w:color w:val="444751"/>
          <w:spacing w:val="-5"/>
          <w:sz w:val="18"/>
        </w:rPr>
        <w:t> </w:t>
      </w:r>
      <w:r>
        <w:rPr>
          <w:i/>
          <w:color w:val="444751"/>
          <w:sz w:val="18"/>
        </w:rPr>
        <w:t>Strategy</w:t>
      </w:r>
      <w:r>
        <w:rPr>
          <w:i/>
          <w:color w:val="444751"/>
          <w:spacing w:val="-4"/>
          <w:sz w:val="18"/>
        </w:rPr>
        <w:t> </w:t>
      </w:r>
      <w:r>
        <w:rPr>
          <w:i/>
          <w:color w:val="444751"/>
          <w:sz w:val="18"/>
        </w:rPr>
        <w:t>and</w:t>
      </w:r>
      <w:r>
        <w:rPr>
          <w:i/>
          <w:color w:val="444751"/>
          <w:spacing w:val="-4"/>
          <w:sz w:val="18"/>
        </w:rPr>
        <w:t> </w:t>
      </w:r>
      <w:r>
        <w:rPr>
          <w:i/>
          <w:color w:val="444751"/>
          <w:spacing w:val="-2"/>
          <w:sz w:val="18"/>
        </w:rPr>
        <w:t>Planning)</w:t>
      </w:r>
    </w:p>
    <w:p>
      <w:pPr>
        <w:pStyle w:val="BodyText"/>
        <w:spacing w:before="103"/>
        <w:rPr>
          <w:i/>
          <w:sz w:val="20"/>
        </w:rPr>
      </w:pPr>
      <w:r>
        <w:rPr>
          <w:i/>
          <w:sz w:val="20"/>
        </w:rPr>
        <mc:AlternateContent>
          <mc:Choice Requires="wps">
            <w:drawing>
              <wp:anchor distT="0" distB="0" distL="0" distR="0" allowOverlap="1" layoutInCell="1" locked="0" behindDoc="1" simplePos="0" relativeHeight="487592448">
                <wp:simplePos x="0" y="0"/>
                <wp:positionH relativeFrom="page">
                  <wp:posOffset>914400</wp:posOffset>
                </wp:positionH>
                <wp:positionV relativeFrom="paragraph">
                  <wp:posOffset>226706</wp:posOffset>
                </wp:positionV>
                <wp:extent cx="5730875"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85088pt;width:451.25pt;height:.75pt;mso-position-horizontal-relative:page;mso-position-vertical-relative:paragraph;z-index:-15724032;mso-wrap-distance-left:0;mso-wrap-distance-right:0" id="docshape10" filled="true" fillcolor="#9f9f9f" stroked="false">
                <v:fill type="solid"/>
                <w10:wrap type="topAndBottom"/>
              </v:rect>
            </w:pict>
          </mc:Fallback>
        </mc:AlternateContent>
      </w:r>
    </w:p>
    <w:p>
      <w:pPr>
        <w:spacing w:before="224"/>
        <w:ind w:left="1971" w:right="0" w:firstLine="0"/>
        <w:jc w:val="left"/>
        <w:rPr>
          <w:b/>
          <w:sz w:val="22"/>
        </w:rPr>
      </w:pPr>
      <w:r>
        <w:rPr>
          <w:b/>
          <w:spacing w:val="-2"/>
          <w:sz w:val="22"/>
        </w:rPr>
        <w:t>Break</w:t>
      </w:r>
    </w:p>
    <w:p>
      <w:pPr>
        <w:spacing w:before="160"/>
        <w:ind w:left="1971" w:right="0" w:firstLine="0"/>
        <w:jc w:val="left"/>
        <w:rPr>
          <w:sz w:val="18"/>
        </w:rPr>
      </w:pPr>
      <w:r>
        <w:rPr>
          <w:color w:val="444751"/>
          <w:sz w:val="18"/>
        </w:rPr>
        <w:t>10:55</w:t>
      </w:r>
      <w:r>
        <w:rPr>
          <w:color w:val="444751"/>
          <w:spacing w:val="-4"/>
          <w:sz w:val="18"/>
        </w:rPr>
        <w:t> </w:t>
      </w:r>
      <w:r>
        <w:rPr>
          <w:color w:val="444751"/>
          <w:sz w:val="18"/>
        </w:rPr>
        <w:t>AM,</w:t>
      </w:r>
      <w:r>
        <w:rPr>
          <w:color w:val="444751"/>
          <w:spacing w:val="-3"/>
          <w:sz w:val="18"/>
        </w:rPr>
        <w:t> </w:t>
      </w:r>
      <w:r>
        <w:rPr>
          <w:color w:val="444751"/>
          <w:sz w:val="18"/>
        </w:rPr>
        <w:t>15</w:t>
      </w:r>
      <w:r>
        <w:rPr>
          <w:color w:val="444751"/>
          <w:spacing w:val="-3"/>
          <w:sz w:val="18"/>
        </w:rPr>
        <w:t> </w:t>
      </w:r>
      <w:r>
        <w:rPr>
          <w:color w:val="444751"/>
          <w:spacing w:val="-5"/>
          <w:sz w:val="18"/>
        </w:rPr>
        <w:t>min</w:t>
      </w:r>
    </w:p>
    <w:p>
      <w:pPr>
        <w:pStyle w:val="BodyText"/>
        <w:spacing w:before="97"/>
        <w:rPr>
          <w:sz w:val="20"/>
        </w:rPr>
      </w:pPr>
      <w:r>
        <w:rPr>
          <w:sz w:val="20"/>
        </w:rPr>
        <mc:AlternateContent>
          <mc:Choice Requires="wps">
            <w:drawing>
              <wp:anchor distT="0" distB="0" distL="0" distR="0" allowOverlap="1" layoutInCell="1" locked="0" behindDoc="1" simplePos="0" relativeHeight="487592960">
                <wp:simplePos x="0" y="0"/>
                <wp:positionH relativeFrom="page">
                  <wp:posOffset>914400</wp:posOffset>
                </wp:positionH>
                <wp:positionV relativeFrom="paragraph">
                  <wp:posOffset>222909</wp:posOffset>
                </wp:positionV>
                <wp:extent cx="5730875"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551952pt;width:451.25pt;height:.75pt;mso-position-horizontal-relative:page;mso-position-vertical-relative:paragraph;z-index:-15723520;mso-wrap-distance-left:0;mso-wrap-distance-right:0" id="docshape11" filled="true" fillcolor="#9f9f9f" stroked="false">
                <v:fill type="solid"/>
                <w10:wrap type="topAndBottom"/>
              </v:rect>
            </w:pict>
          </mc:Fallback>
        </mc:AlternateContent>
      </w:r>
    </w:p>
    <w:p>
      <w:pPr>
        <w:pStyle w:val="BodyText"/>
        <w:spacing w:before="6" w:after="1"/>
        <w:rPr>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6390"/>
      </w:tblGrid>
      <w:tr>
        <w:trPr>
          <w:trHeight w:val="817" w:hRule="atLeast"/>
        </w:trPr>
        <w:tc>
          <w:tcPr>
            <w:tcW w:w="1014" w:type="dxa"/>
          </w:tcPr>
          <w:p>
            <w:pPr>
              <w:pStyle w:val="TableParagraph"/>
              <w:spacing w:line="251" w:lineRule="exact"/>
              <w:ind w:left="50"/>
              <w:rPr>
                <w:b/>
                <w:sz w:val="22"/>
              </w:rPr>
            </w:pPr>
            <w:r>
              <w:rPr>
                <w:b/>
                <w:spacing w:val="-10"/>
                <w:sz w:val="22"/>
              </w:rPr>
              <w:t>4</w:t>
            </w:r>
          </w:p>
        </w:tc>
        <w:tc>
          <w:tcPr>
            <w:tcW w:w="6390" w:type="dxa"/>
          </w:tcPr>
          <w:p>
            <w:pPr>
              <w:pStyle w:val="TableParagraph"/>
              <w:spacing w:line="246" w:lineRule="exact"/>
              <w:ind w:left="842"/>
              <w:rPr>
                <w:b/>
                <w:sz w:val="22"/>
              </w:rPr>
            </w:pPr>
            <w:r>
              <w:rPr>
                <w:b/>
                <w:sz w:val="22"/>
              </w:rPr>
              <w:t>RJC/38:</w:t>
            </w:r>
            <w:r>
              <w:rPr>
                <w:b/>
                <w:spacing w:val="-4"/>
                <w:sz w:val="22"/>
              </w:rPr>
              <w:t> </w:t>
            </w:r>
            <w:r>
              <w:rPr>
                <w:b/>
                <w:sz w:val="22"/>
              </w:rPr>
              <w:t>Regional</w:t>
            </w:r>
            <w:r>
              <w:rPr>
                <w:b/>
                <w:spacing w:val="-5"/>
                <w:sz w:val="22"/>
              </w:rPr>
              <w:t> </w:t>
            </w:r>
            <w:r>
              <w:rPr>
                <w:b/>
                <w:sz w:val="22"/>
              </w:rPr>
              <w:t>Health</w:t>
            </w:r>
            <w:r>
              <w:rPr>
                <w:b/>
                <w:spacing w:val="-4"/>
                <w:sz w:val="22"/>
              </w:rPr>
              <w:t> </w:t>
            </w:r>
            <w:r>
              <w:rPr>
                <w:b/>
                <w:sz w:val="22"/>
              </w:rPr>
              <w:t>Economy</w:t>
            </w:r>
            <w:r>
              <w:rPr>
                <w:b/>
                <w:spacing w:val="-6"/>
                <w:sz w:val="22"/>
              </w:rPr>
              <w:t> </w:t>
            </w:r>
            <w:r>
              <w:rPr>
                <w:b/>
                <w:sz w:val="22"/>
              </w:rPr>
              <w:t>Subgroup</w:t>
            </w:r>
            <w:r>
              <w:rPr>
                <w:b/>
                <w:spacing w:val="-3"/>
                <w:sz w:val="22"/>
              </w:rPr>
              <w:t> </w:t>
            </w:r>
            <w:r>
              <w:rPr>
                <w:b/>
                <w:spacing w:val="-2"/>
                <w:sz w:val="22"/>
              </w:rPr>
              <w:t>Update</w:t>
            </w:r>
          </w:p>
          <w:p>
            <w:pPr>
              <w:pStyle w:val="TableParagraph"/>
              <w:spacing w:line="206" w:lineRule="exact" w:before="160"/>
              <w:ind w:left="842"/>
              <w:rPr>
                <w:sz w:val="18"/>
              </w:rPr>
            </w:pPr>
            <w:r>
              <w:rPr>
                <w:color w:val="444751"/>
                <w:sz w:val="18"/>
              </w:rPr>
              <w:t>11:10</w:t>
            </w:r>
            <w:r>
              <w:rPr>
                <w:color w:val="444751"/>
                <w:spacing w:val="-4"/>
                <w:sz w:val="18"/>
              </w:rPr>
              <w:t> </w:t>
            </w:r>
            <w:r>
              <w:rPr>
                <w:color w:val="444751"/>
                <w:sz w:val="18"/>
              </w:rPr>
              <w:t>AM,</w:t>
            </w:r>
            <w:r>
              <w:rPr>
                <w:color w:val="444751"/>
                <w:spacing w:val="-3"/>
                <w:sz w:val="18"/>
              </w:rPr>
              <w:t> </w:t>
            </w:r>
            <w:r>
              <w:rPr>
                <w:color w:val="444751"/>
                <w:sz w:val="18"/>
              </w:rPr>
              <w:t>10</w:t>
            </w:r>
            <w:r>
              <w:rPr>
                <w:color w:val="444751"/>
                <w:spacing w:val="-3"/>
                <w:sz w:val="18"/>
              </w:rPr>
              <w:t> </w:t>
            </w:r>
            <w:r>
              <w:rPr>
                <w:color w:val="444751"/>
                <w:spacing w:val="-5"/>
                <w:sz w:val="18"/>
              </w:rPr>
              <w:t>min</w:t>
            </w:r>
          </w:p>
          <w:p>
            <w:pPr>
              <w:pStyle w:val="TableParagraph"/>
              <w:spacing w:line="186" w:lineRule="exact"/>
              <w:ind w:left="842"/>
              <w:rPr>
                <w:i/>
                <w:sz w:val="18"/>
              </w:rPr>
            </w:pPr>
            <w:r>
              <w:rPr>
                <w:i/>
                <w:color w:val="444751"/>
                <w:sz w:val="18"/>
              </w:rPr>
              <w:t>Ardiana</w:t>
            </w:r>
            <w:r>
              <w:rPr>
                <w:i/>
                <w:color w:val="444751"/>
                <w:spacing w:val="-7"/>
                <w:sz w:val="18"/>
              </w:rPr>
              <w:t> </w:t>
            </w:r>
            <w:r>
              <w:rPr>
                <w:i/>
                <w:color w:val="444751"/>
                <w:sz w:val="18"/>
              </w:rPr>
              <w:t>Gjini</w:t>
            </w:r>
            <w:r>
              <w:rPr>
                <w:i/>
                <w:color w:val="444751"/>
                <w:spacing w:val="-5"/>
                <w:sz w:val="18"/>
              </w:rPr>
              <w:t> </w:t>
            </w:r>
            <w:r>
              <w:rPr>
                <w:i/>
                <w:color w:val="444751"/>
                <w:sz w:val="18"/>
              </w:rPr>
              <w:t>(Hywel</w:t>
            </w:r>
            <w:r>
              <w:rPr>
                <w:i/>
                <w:color w:val="444751"/>
                <w:spacing w:val="-5"/>
                <w:sz w:val="18"/>
              </w:rPr>
              <w:t> </w:t>
            </w:r>
            <w:r>
              <w:rPr>
                <w:i/>
                <w:color w:val="444751"/>
                <w:sz w:val="18"/>
              </w:rPr>
              <w:t>Dda</w:t>
            </w:r>
            <w:r>
              <w:rPr>
                <w:i/>
                <w:color w:val="444751"/>
                <w:spacing w:val="-4"/>
                <w:sz w:val="18"/>
              </w:rPr>
              <w:t> </w:t>
            </w:r>
            <w:r>
              <w:rPr>
                <w:i/>
                <w:color w:val="444751"/>
                <w:sz w:val="18"/>
              </w:rPr>
              <w:t>UHB</w:t>
            </w:r>
            <w:r>
              <w:rPr>
                <w:i/>
                <w:color w:val="444751"/>
                <w:spacing w:val="-3"/>
                <w:sz w:val="18"/>
              </w:rPr>
              <w:t> </w:t>
            </w:r>
            <w:r>
              <w:rPr>
                <w:i/>
                <w:color w:val="444751"/>
                <w:sz w:val="18"/>
              </w:rPr>
              <w:t>-</w:t>
            </w:r>
            <w:r>
              <w:rPr>
                <w:i/>
                <w:color w:val="444751"/>
                <w:spacing w:val="-4"/>
                <w:sz w:val="18"/>
              </w:rPr>
              <w:t> </w:t>
            </w:r>
            <w:r>
              <w:rPr>
                <w:i/>
                <w:color w:val="444751"/>
                <w:sz w:val="18"/>
              </w:rPr>
              <w:t>Executive</w:t>
            </w:r>
            <w:r>
              <w:rPr>
                <w:i/>
                <w:color w:val="444751"/>
                <w:spacing w:val="-4"/>
                <w:sz w:val="18"/>
              </w:rPr>
              <w:t> </w:t>
            </w:r>
            <w:r>
              <w:rPr>
                <w:i/>
                <w:color w:val="444751"/>
                <w:sz w:val="18"/>
              </w:rPr>
              <w:t>Director</w:t>
            </w:r>
            <w:r>
              <w:rPr>
                <w:i/>
                <w:color w:val="444751"/>
                <w:spacing w:val="-5"/>
                <w:sz w:val="18"/>
              </w:rPr>
              <w:t> </w:t>
            </w:r>
            <w:r>
              <w:rPr>
                <w:i/>
                <w:color w:val="444751"/>
                <w:sz w:val="18"/>
              </w:rPr>
              <w:t>of</w:t>
            </w:r>
            <w:r>
              <w:rPr>
                <w:i/>
                <w:color w:val="444751"/>
                <w:spacing w:val="-5"/>
                <w:sz w:val="18"/>
              </w:rPr>
              <w:t> </w:t>
            </w:r>
            <w:r>
              <w:rPr>
                <w:i/>
                <w:color w:val="444751"/>
                <w:sz w:val="18"/>
              </w:rPr>
              <w:t>Public</w:t>
            </w:r>
            <w:r>
              <w:rPr>
                <w:i/>
                <w:color w:val="444751"/>
                <w:spacing w:val="-4"/>
                <w:sz w:val="18"/>
              </w:rPr>
              <w:t> </w:t>
            </w:r>
            <w:r>
              <w:rPr>
                <w:i/>
                <w:color w:val="444751"/>
                <w:spacing w:val="-2"/>
                <w:sz w:val="18"/>
              </w:rPr>
              <w:t>Health)</w:t>
            </w:r>
          </w:p>
        </w:tc>
      </w:tr>
    </w:tbl>
    <w:p>
      <w:pPr>
        <w:pStyle w:val="BodyText"/>
        <w:spacing w:before="97"/>
        <w:rPr>
          <w:sz w:val="20"/>
        </w:rPr>
      </w:pPr>
      <w:r>
        <w:rPr>
          <w:sz w:val="20"/>
        </w:rPr>
        <mc:AlternateContent>
          <mc:Choice Requires="wps">
            <w:drawing>
              <wp:anchor distT="0" distB="0" distL="0" distR="0" allowOverlap="1" layoutInCell="1" locked="0" behindDoc="1" simplePos="0" relativeHeight="487593472">
                <wp:simplePos x="0" y="0"/>
                <wp:positionH relativeFrom="page">
                  <wp:posOffset>914400</wp:posOffset>
                </wp:positionH>
                <wp:positionV relativeFrom="paragraph">
                  <wp:posOffset>222986</wp:posOffset>
                </wp:positionV>
                <wp:extent cx="5730875" cy="9525"/>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558008pt;width:451.25pt;height:.75pt;mso-position-horizontal-relative:page;mso-position-vertical-relative:paragraph;z-index:-15723008;mso-wrap-distance-left:0;mso-wrap-distance-right:0" id="docshape12" filled="true" fillcolor="#9f9f9f" stroked="false">
                <v:fill type="solid"/>
                <w10:wrap type="topAndBottom"/>
              </v:rect>
            </w:pict>
          </mc:Fallback>
        </mc:AlternateContent>
      </w:r>
    </w:p>
    <w:p>
      <w:pPr>
        <w:pStyle w:val="BodyText"/>
        <w:spacing w:before="7"/>
        <w:rPr>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7673"/>
      </w:tblGrid>
      <w:tr>
        <w:trPr>
          <w:trHeight w:val="817" w:hRule="atLeast"/>
        </w:trPr>
        <w:tc>
          <w:tcPr>
            <w:tcW w:w="1014" w:type="dxa"/>
          </w:tcPr>
          <w:p>
            <w:pPr>
              <w:pStyle w:val="TableParagraph"/>
              <w:spacing w:line="251" w:lineRule="exact"/>
              <w:ind w:left="50"/>
              <w:rPr>
                <w:b/>
                <w:sz w:val="22"/>
              </w:rPr>
            </w:pPr>
            <w:r>
              <w:rPr>
                <w:b/>
                <w:spacing w:val="-10"/>
                <w:sz w:val="22"/>
              </w:rPr>
              <w:t>5</w:t>
            </w:r>
          </w:p>
        </w:tc>
        <w:tc>
          <w:tcPr>
            <w:tcW w:w="7673" w:type="dxa"/>
          </w:tcPr>
          <w:p>
            <w:pPr>
              <w:pStyle w:val="TableParagraph"/>
              <w:spacing w:line="246" w:lineRule="exact"/>
              <w:ind w:left="842"/>
              <w:rPr>
                <w:b/>
                <w:sz w:val="22"/>
              </w:rPr>
            </w:pPr>
            <w:r>
              <w:rPr>
                <w:b/>
                <w:sz w:val="22"/>
              </w:rPr>
              <w:t>RJC/39a:</w:t>
            </w:r>
            <w:r>
              <w:rPr>
                <w:b/>
                <w:spacing w:val="-6"/>
                <w:sz w:val="22"/>
              </w:rPr>
              <w:t> </w:t>
            </w:r>
            <w:r>
              <w:rPr>
                <w:b/>
                <w:sz w:val="22"/>
              </w:rPr>
              <w:t>Research,</w:t>
            </w:r>
            <w:r>
              <w:rPr>
                <w:b/>
                <w:spacing w:val="-6"/>
                <w:sz w:val="22"/>
              </w:rPr>
              <w:t> </w:t>
            </w:r>
            <w:r>
              <w:rPr>
                <w:b/>
                <w:sz w:val="22"/>
              </w:rPr>
              <w:t>Innovation</w:t>
            </w:r>
            <w:r>
              <w:rPr>
                <w:b/>
                <w:spacing w:val="-9"/>
                <w:sz w:val="22"/>
              </w:rPr>
              <w:t> </w:t>
            </w:r>
            <w:r>
              <w:rPr>
                <w:b/>
                <w:sz w:val="22"/>
              </w:rPr>
              <w:t>and</w:t>
            </w:r>
            <w:r>
              <w:rPr>
                <w:b/>
                <w:spacing w:val="-4"/>
                <w:sz w:val="22"/>
              </w:rPr>
              <w:t> </w:t>
            </w:r>
            <w:r>
              <w:rPr>
                <w:b/>
                <w:sz w:val="22"/>
              </w:rPr>
              <w:t>Excellence</w:t>
            </w:r>
            <w:r>
              <w:rPr>
                <w:b/>
                <w:spacing w:val="-3"/>
                <w:sz w:val="22"/>
              </w:rPr>
              <w:t> </w:t>
            </w:r>
            <w:r>
              <w:rPr>
                <w:b/>
                <w:sz w:val="22"/>
              </w:rPr>
              <w:t>Subgroup</w:t>
            </w:r>
            <w:r>
              <w:rPr>
                <w:b/>
                <w:spacing w:val="-3"/>
                <w:sz w:val="22"/>
              </w:rPr>
              <w:t> </w:t>
            </w:r>
            <w:r>
              <w:rPr>
                <w:b/>
                <w:spacing w:val="-2"/>
                <w:sz w:val="22"/>
              </w:rPr>
              <w:t>Update</w:t>
            </w:r>
          </w:p>
          <w:p>
            <w:pPr>
              <w:pStyle w:val="TableParagraph"/>
              <w:spacing w:line="206" w:lineRule="exact" w:before="159"/>
              <w:ind w:left="842"/>
              <w:rPr>
                <w:sz w:val="18"/>
              </w:rPr>
            </w:pPr>
            <w:r>
              <w:rPr>
                <w:color w:val="444751"/>
                <w:sz w:val="18"/>
              </w:rPr>
              <w:t>11:20</w:t>
            </w:r>
            <w:r>
              <w:rPr>
                <w:color w:val="444751"/>
                <w:spacing w:val="-4"/>
                <w:sz w:val="18"/>
              </w:rPr>
              <w:t> </w:t>
            </w:r>
            <w:r>
              <w:rPr>
                <w:color w:val="444751"/>
                <w:sz w:val="18"/>
              </w:rPr>
              <w:t>AM,</w:t>
            </w:r>
            <w:r>
              <w:rPr>
                <w:color w:val="444751"/>
                <w:spacing w:val="-3"/>
                <w:sz w:val="18"/>
              </w:rPr>
              <w:t> </w:t>
            </w:r>
            <w:r>
              <w:rPr>
                <w:color w:val="444751"/>
                <w:sz w:val="18"/>
              </w:rPr>
              <w:t>15</w:t>
            </w:r>
            <w:r>
              <w:rPr>
                <w:color w:val="444751"/>
                <w:spacing w:val="-3"/>
                <w:sz w:val="18"/>
              </w:rPr>
              <w:t> </w:t>
            </w:r>
            <w:r>
              <w:rPr>
                <w:color w:val="444751"/>
                <w:spacing w:val="-5"/>
                <w:sz w:val="18"/>
              </w:rPr>
              <w:t>min</w:t>
            </w:r>
          </w:p>
          <w:p>
            <w:pPr>
              <w:pStyle w:val="TableParagraph"/>
              <w:spacing w:line="186" w:lineRule="exact"/>
              <w:ind w:left="842"/>
              <w:rPr>
                <w:i/>
                <w:sz w:val="18"/>
              </w:rPr>
            </w:pPr>
            <w:r>
              <w:rPr>
                <w:i/>
                <w:color w:val="444751"/>
                <w:sz w:val="18"/>
              </w:rPr>
              <w:t>Mark</w:t>
            </w:r>
            <w:r>
              <w:rPr>
                <w:i/>
                <w:color w:val="444751"/>
                <w:spacing w:val="-5"/>
                <w:sz w:val="18"/>
              </w:rPr>
              <w:t> </w:t>
            </w:r>
            <w:r>
              <w:rPr>
                <w:i/>
                <w:color w:val="444751"/>
                <w:sz w:val="18"/>
              </w:rPr>
              <w:t>Henwood</w:t>
            </w:r>
            <w:r>
              <w:rPr>
                <w:i/>
                <w:color w:val="444751"/>
                <w:spacing w:val="-2"/>
                <w:sz w:val="18"/>
              </w:rPr>
              <w:t> </w:t>
            </w:r>
            <w:r>
              <w:rPr>
                <w:i/>
                <w:color w:val="444751"/>
                <w:sz w:val="18"/>
              </w:rPr>
              <w:t>(Hywel</w:t>
            </w:r>
            <w:r>
              <w:rPr>
                <w:i/>
                <w:color w:val="444751"/>
                <w:spacing w:val="-2"/>
                <w:sz w:val="18"/>
              </w:rPr>
              <w:t> </w:t>
            </w:r>
            <w:r>
              <w:rPr>
                <w:i/>
                <w:color w:val="444751"/>
                <w:sz w:val="18"/>
              </w:rPr>
              <w:t>Dda</w:t>
            </w:r>
            <w:r>
              <w:rPr>
                <w:i/>
                <w:color w:val="444751"/>
                <w:spacing w:val="-2"/>
                <w:sz w:val="18"/>
              </w:rPr>
              <w:t> </w:t>
            </w:r>
            <w:r>
              <w:rPr>
                <w:i/>
                <w:color w:val="444751"/>
                <w:sz w:val="18"/>
              </w:rPr>
              <w:t>UHB</w:t>
            </w:r>
            <w:r>
              <w:rPr>
                <w:i/>
                <w:color w:val="444751"/>
                <w:spacing w:val="-3"/>
                <w:sz w:val="18"/>
              </w:rPr>
              <w:t> </w:t>
            </w:r>
            <w:r>
              <w:rPr>
                <w:i/>
                <w:color w:val="444751"/>
                <w:sz w:val="18"/>
              </w:rPr>
              <w:t>-</w:t>
            </w:r>
            <w:r>
              <w:rPr>
                <w:i/>
                <w:color w:val="444751"/>
                <w:spacing w:val="-2"/>
                <w:sz w:val="18"/>
              </w:rPr>
              <w:t> </w:t>
            </w:r>
            <w:r>
              <w:rPr>
                <w:i/>
                <w:color w:val="444751"/>
                <w:sz w:val="18"/>
              </w:rPr>
              <w:t>Executive</w:t>
            </w:r>
            <w:r>
              <w:rPr>
                <w:i/>
                <w:color w:val="444751"/>
                <w:spacing w:val="-2"/>
                <w:sz w:val="18"/>
              </w:rPr>
              <w:t> </w:t>
            </w:r>
            <w:r>
              <w:rPr>
                <w:i/>
                <w:color w:val="444751"/>
                <w:sz w:val="18"/>
              </w:rPr>
              <w:t>Medical</w:t>
            </w:r>
            <w:r>
              <w:rPr>
                <w:i/>
                <w:color w:val="444751"/>
                <w:spacing w:val="-2"/>
                <w:sz w:val="18"/>
              </w:rPr>
              <w:t> Director)</w:t>
            </w:r>
          </w:p>
        </w:tc>
      </w:tr>
    </w:tbl>
    <w:p>
      <w:pPr>
        <w:pStyle w:val="BodyText"/>
        <w:spacing w:before="96"/>
        <w:rPr>
          <w:sz w:val="20"/>
        </w:rPr>
      </w:pPr>
      <w:r>
        <w:rPr>
          <w:sz w:val="20"/>
        </w:rPr>
        <mc:AlternateContent>
          <mc:Choice Requires="wps">
            <w:drawing>
              <wp:anchor distT="0" distB="0" distL="0" distR="0" allowOverlap="1" layoutInCell="1" locked="0" behindDoc="1" simplePos="0" relativeHeight="487593984">
                <wp:simplePos x="0" y="0"/>
                <wp:positionH relativeFrom="page">
                  <wp:posOffset>1200150</wp:posOffset>
                </wp:positionH>
                <wp:positionV relativeFrom="paragraph">
                  <wp:posOffset>222732</wp:posOffset>
                </wp:positionV>
                <wp:extent cx="5445125" cy="952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538008pt;width:428.75pt;height:.75pt;mso-position-horizontal-relative:page;mso-position-vertical-relative:paragraph;z-index:-15722496;mso-wrap-distance-left:0;mso-wrap-distance-right:0" id="docshape13" filled="true" fillcolor="#9f9f9f" stroked="false">
                <v:fill type="solid"/>
                <w10:wrap type="topAndBottom"/>
              </v:rect>
            </w:pict>
          </mc:Fallback>
        </mc:AlternateContent>
      </w:r>
    </w:p>
    <w:p>
      <w:pPr>
        <w:pStyle w:val="BodyText"/>
        <w:spacing w:before="7" w:after="1"/>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755"/>
      </w:tblGrid>
      <w:tr>
        <w:trPr>
          <w:trHeight w:val="1022" w:hRule="atLeast"/>
        </w:trPr>
        <w:tc>
          <w:tcPr>
            <w:tcW w:w="881" w:type="dxa"/>
          </w:tcPr>
          <w:p>
            <w:pPr>
              <w:pStyle w:val="TableParagraph"/>
              <w:spacing w:line="251" w:lineRule="exact"/>
              <w:ind w:left="50"/>
              <w:rPr>
                <w:b/>
                <w:sz w:val="22"/>
              </w:rPr>
            </w:pPr>
            <w:r>
              <w:rPr>
                <w:b/>
                <w:spacing w:val="-5"/>
                <w:sz w:val="22"/>
              </w:rPr>
              <w:t>5.1</w:t>
            </w:r>
          </w:p>
        </w:tc>
        <w:tc>
          <w:tcPr>
            <w:tcW w:w="7755" w:type="dxa"/>
          </w:tcPr>
          <w:p>
            <w:pPr>
              <w:pStyle w:val="TableParagraph"/>
              <w:spacing w:line="246" w:lineRule="exact"/>
              <w:ind w:left="524"/>
              <w:rPr>
                <w:b/>
                <w:sz w:val="22"/>
              </w:rPr>
            </w:pPr>
            <w:r>
              <w:rPr>
                <w:b/>
                <w:sz w:val="22"/>
              </w:rPr>
              <w:t>RJC/37c:</w:t>
            </w:r>
            <w:r>
              <w:rPr>
                <w:b/>
                <w:spacing w:val="-5"/>
                <w:sz w:val="22"/>
              </w:rPr>
              <w:t> </w:t>
            </w:r>
            <w:r>
              <w:rPr>
                <w:b/>
                <w:sz w:val="22"/>
              </w:rPr>
              <w:t>Outline</w:t>
            </w:r>
            <w:r>
              <w:rPr>
                <w:b/>
                <w:spacing w:val="-3"/>
                <w:sz w:val="22"/>
              </w:rPr>
              <w:t> </w:t>
            </w:r>
            <w:r>
              <w:rPr>
                <w:b/>
                <w:spacing w:val="-2"/>
                <w:sz w:val="22"/>
              </w:rPr>
              <w:t>Programme</w:t>
            </w:r>
          </w:p>
          <w:p>
            <w:pPr>
              <w:pStyle w:val="TableParagraph"/>
              <w:spacing w:line="206" w:lineRule="exact" w:before="159"/>
              <w:ind w:left="524"/>
              <w:rPr>
                <w:sz w:val="18"/>
              </w:rPr>
            </w:pPr>
            <w:r>
              <w:rPr>
                <w:color w:val="444751"/>
                <w:sz w:val="18"/>
              </w:rPr>
              <w:t>11:35</w:t>
            </w:r>
            <w:r>
              <w:rPr>
                <w:color w:val="444751"/>
                <w:spacing w:val="-3"/>
                <w:sz w:val="18"/>
              </w:rPr>
              <w:t> </w:t>
            </w:r>
            <w:r>
              <w:rPr>
                <w:color w:val="444751"/>
                <w:sz w:val="18"/>
              </w:rPr>
              <w:t>AM,</w:t>
            </w:r>
            <w:r>
              <w:rPr>
                <w:color w:val="444751"/>
                <w:spacing w:val="-3"/>
                <w:sz w:val="18"/>
              </w:rPr>
              <w:t> </w:t>
            </w:r>
            <w:r>
              <w:rPr>
                <w:color w:val="444751"/>
                <w:sz w:val="18"/>
              </w:rPr>
              <w:t>0</w:t>
            </w:r>
            <w:r>
              <w:rPr>
                <w:color w:val="444751"/>
                <w:spacing w:val="-3"/>
                <w:sz w:val="18"/>
              </w:rPr>
              <w:t> </w:t>
            </w:r>
            <w:r>
              <w:rPr>
                <w:color w:val="444751"/>
                <w:spacing w:val="-5"/>
                <w:sz w:val="18"/>
              </w:rPr>
              <w:t>min</w:t>
            </w:r>
          </w:p>
          <w:p>
            <w:pPr>
              <w:pStyle w:val="TableParagraph"/>
              <w:spacing w:line="206" w:lineRule="exact"/>
              <w:ind w:left="524"/>
              <w:rPr>
                <w:i/>
                <w:sz w:val="18"/>
              </w:rPr>
            </w:pPr>
            <w:r>
              <w:rPr>
                <w:i/>
                <w:color w:val="444751"/>
                <w:sz w:val="18"/>
              </w:rPr>
              <w:t>Leighton</w:t>
            </w:r>
            <w:r>
              <w:rPr>
                <w:i/>
                <w:color w:val="444751"/>
                <w:spacing w:val="-4"/>
                <w:sz w:val="18"/>
              </w:rPr>
              <w:t> </w:t>
            </w:r>
            <w:r>
              <w:rPr>
                <w:i/>
                <w:color w:val="444751"/>
                <w:sz w:val="18"/>
              </w:rPr>
              <w:t>Phillips</w:t>
            </w:r>
            <w:r>
              <w:rPr>
                <w:i/>
                <w:color w:val="444751"/>
                <w:spacing w:val="-4"/>
                <w:sz w:val="18"/>
              </w:rPr>
              <w:t> </w:t>
            </w:r>
            <w:r>
              <w:rPr>
                <w:i/>
                <w:color w:val="444751"/>
                <w:sz w:val="18"/>
              </w:rPr>
              <w:t>(Hywel</w:t>
            </w:r>
            <w:r>
              <w:rPr>
                <w:i/>
                <w:color w:val="444751"/>
                <w:spacing w:val="-4"/>
                <w:sz w:val="18"/>
              </w:rPr>
              <w:t> </w:t>
            </w:r>
            <w:r>
              <w:rPr>
                <w:i/>
                <w:color w:val="444751"/>
                <w:sz w:val="18"/>
              </w:rPr>
              <w:t>Dda</w:t>
            </w:r>
            <w:r>
              <w:rPr>
                <w:i/>
                <w:color w:val="444751"/>
                <w:spacing w:val="-4"/>
                <w:sz w:val="18"/>
              </w:rPr>
              <w:t> </w:t>
            </w:r>
            <w:r>
              <w:rPr>
                <w:i/>
                <w:color w:val="444751"/>
                <w:sz w:val="18"/>
              </w:rPr>
              <w:t>UHB</w:t>
            </w:r>
            <w:r>
              <w:rPr>
                <w:i/>
                <w:color w:val="444751"/>
                <w:spacing w:val="-2"/>
                <w:sz w:val="18"/>
              </w:rPr>
              <w:t> </w:t>
            </w:r>
            <w:r>
              <w:rPr>
                <w:i/>
                <w:color w:val="444751"/>
                <w:sz w:val="18"/>
              </w:rPr>
              <w:t>-</w:t>
            </w:r>
            <w:r>
              <w:rPr>
                <w:i/>
                <w:color w:val="444751"/>
                <w:spacing w:val="-3"/>
                <w:sz w:val="18"/>
              </w:rPr>
              <w:t> </w:t>
            </w:r>
            <w:r>
              <w:rPr>
                <w:i/>
                <w:color w:val="444751"/>
                <w:sz w:val="18"/>
              </w:rPr>
              <w:t>Interim</w:t>
            </w:r>
            <w:r>
              <w:rPr>
                <w:i/>
                <w:color w:val="444751"/>
                <w:spacing w:val="-4"/>
                <w:sz w:val="18"/>
              </w:rPr>
              <w:t> </w:t>
            </w:r>
            <w:r>
              <w:rPr>
                <w:i/>
                <w:color w:val="444751"/>
                <w:sz w:val="18"/>
              </w:rPr>
              <w:t>Regional</w:t>
            </w:r>
            <w:r>
              <w:rPr>
                <w:i/>
                <w:color w:val="444751"/>
                <w:spacing w:val="-4"/>
                <w:sz w:val="18"/>
              </w:rPr>
              <w:t> </w:t>
            </w:r>
            <w:r>
              <w:rPr>
                <w:i/>
                <w:color w:val="444751"/>
                <w:sz w:val="18"/>
              </w:rPr>
              <w:t>Director</w:t>
            </w:r>
            <w:r>
              <w:rPr>
                <w:i/>
                <w:color w:val="444751"/>
                <w:spacing w:val="-3"/>
                <w:sz w:val="18"/>
              </w:rPr>
              <w:t> </w:t>
            </w:r>
            <w:r>
              <w:rPr>
                <w:i/>
                <w:color w:val="444751"/>
                <w:sz w:val="18"/>
              </w:rPr>
              <w:t>for</w:t>
            </w:r>
            <w:r>
              <w:rPr>
                <w:i/>
                <w:color w:val="444751"/>
                <w:spacing w:val="-4"/>
                <w:sz w:val="18"/>
              </w:rPr>
              <w:t> </w:t>
            </w:r>
            <w:r>
              <w:rPr>
                <w:i/>
                <w:color w:val="444751"/>
                <w:sz w:val="18"/>
              </w:rPr>
              <w:t>Research</w:t>
            </w:r>
            <w:r>
              <w:rPr>
                <w:i/>
                <w:color w:val="444751"/>
                <w:spacing w:val="-4"/>
                <w:sz w:val="18"/>
              </w:rPr>
              <w:t> </w:t>
            </w:r>
            <w:r>
              <w:rPr>
                <w:i/>
                <w:color w:val="444751"/>
                <w:sz w:val="18"/>
              </w:rPr>
              <w:t>and</w:t>
            </w:r>
            <w:r>
              <w:rPr>
                <w:i/>
                <w:color w:val="444751"/>
                <w:spacing w:val="-4"/>
                <w:sz w:val="18"/>
              </w:rPr>
              <w:t> </w:t>
            </w:r>
            <w:r>
              <w:rPr>
                <w:i/>
                <w:color w:val="444751"/>
                <w:sz w:val="18"/>
              </w:rPr>
              <w:t>Innovation</w:t>
            </w:r>
            <w:r>
              <w:rPr>
                <w:i/>
                <w:color w:val="444751"/>
                <w:sz w:val="18"/>
              </w:rPr>
              <w:t> (South West Wales))</w:t>
            </w:r>
          </w:p>
        </w:tc>
      </w:tr>
    </w:tbl>
    <w:p>
      <w:pPr>
        <w:pStyle w:val="BodyText"/>
        <w:spacing w:before="101"/>
        <w:rPr>
          <w:sz w:val="20"/>
        </w:rPr>
      </w:pPr>
      <w:r>
        <w:rPr>
          <w:sz w:val="20"/>
        </w:rPr>
        <mc:AlternateContent>
          <mc:Choice Requires="wps">
            <w:drawing>
              <wp:anchor distT="0" distB="0" distL="0" distR="0" allowOverlap="1" layoutInCell="1" locked="0" behindDoc="1" simplePos="0" relativeHeight="487594496">
                <wp:simplePos x="0" y="0"/>
                <wp:positionH relativeFrom="page">
                  <wp:posOffset>914400</wp:posOffset>
                </wp:positionH>
                <wp:positionV relativeFrom="paragraph">
                  <wp:posOffset>225526</wp:posOffset>
                </wp:positionV>
                <wp:extent cx="5730875" cy="952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758007pt;width:451.25pt;height:.75pt;mso-position-horizontal-relative:page;mso-position-vertical-relative:paragraph;z-index:-15721984;mso-wrap-distance-left:0;mso-wrap-distance-right:0" id="docshape14" filled="true" fillcolor="#9f9f9f" stroked="false">
                <v:fill type="solid"/>
                <w10:wrap type="topAndBottom"/>
              </v:rect>
            </w:pict>
          </mc:Fallback>
        </mc:AlternateContent>
      </w:r>
    </w:p>
    <w:p>
      <w:pPr>
        <w:pStyle w:val="BodyText"/>
        <w:spacing w:before="3"/>
        <w:rPr>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6813"/>
      </w:tblGrid>
      <w:tr>
        <w:trPr>
          <w:trHeight w:val="817" w:hRule="atLeast"/>
        </w:trPr>
        <w:tc>
          <w:tcPr>
            <w:tcW w:w="1014" w:type="dxa"/>
          </w:tcPr>
          <w:p>
            <w:pPr>
              <w:pStyle w:val="TableParagraph"/>
              <w:spacing w:line="251" w:lineRule="exact"/>
              <w:ind w:left="50"/>
              <w:rPr>
                <w:b/>
                <w:sz w:val="22"/>
              </w:rPr>
            </w:pPr>
            <w:r>
              <w:rPr>
                <w:b/>
                <w:spacing w:val="-10"/>
                <w:sz w:val="22"/>
              </w:rPr>
              <w:t>6</w:t>
            </w:r>
          </w:p>
        </w:tc>
        <w:tc>
          <w:tcPr>
            <w:tcW w:w="6813" w:type="dxa"/>
          </w:tcPr>
          <w:p>
            <w:pPr>
              <w:pStyle w:val="TableParagraph"/>
              <w:spacing w:line="246" w:lineRule="exact"/>
              <w:ind w:left="842"/>
              <w:rPr>
                <w:b/>
                <w:sz w:val="22"/>
              </w:rPr>
            </w:pPr>
            <w:r>
              <w:rPr>
                <w:b/>
                <w:sz w:val="22"/>
              </w:rPr>
              <w:t>RJC/40:</w:t>
            </w:r>
            <w:r>
              <w:rPr>
                <w:b/>
                <w:spacing w:val="-3"/>
                <w:sz w:val="22"/>
              </w:rPr>
              <w:t> </w:t>
            </w:r>
            <w:r>
              <w:rPr>
                <w:b/>
                <w:sz w:val="22"/>
              </w:rPr>
              <w:t>Workforce</w:t>
            </w:r>
            <w:r>
              <w:rPr>
                <w:b/>
                <w:spacing w:val="-5"/>
                <w:sz w:val="22"/>
              </w:rPr>
              <w:t> </w:t>
            </w:r>
            <w:r>
              <w:rPr>
                <w:b/>
                <w:sz w:val="22"/>
              </w:rPr>
              <w:t>and</w:t>
            </w:r>
            <w:r>
              <w:rPr>
                <w:b/>
                <w:spacing w:val="-3"/>
                <w:sz w:val="22"/>
              </w:rPr>
              <w:t> </w:t>
            </w:r>
            <w:r>
              <w:rPr>
                <w:b/>
                <w:sz w:val="22"/>
              </w:rPr>
              <w:t>OD</w:t>
            </w:r>
            <w:r>
              <w:rPr>
                <w:b/>
                <w:spacing w:val="-3"/>
                <w:sz w:val="22"/>
              </w:rPr>
              <w:t> </w:t>
            </w:r>
            <w:r>
              <w:rPr>
                <w:b/>
                <w:sz w:val="22"/>
              </w:rPr>
              <w:t>Subgroup</w:t>
            </w:r>
            <w:r>
              <w:rPr>
                <w:b/>
                <w:spacing w:val="-2"/>
                <w:sz w:val="22"/>
              </w:rPr>
              <w:t> Update</w:t>
            </w:r>
          </w:p>
          <w:p>
            <w:pPr>
              <w:pStyle w:val="TableParagraph"/>
              <w:spacing w:line="206" w:lineRule="exact" w:before="159"/>
              <w:ind w:left="842"/>
              <w:rPr>
                <w:sz w:val="18"/>
              </w:rPr>
            </w:pPr>
            <w:r>
              <w:rPr>
                <w:color w:val="444751"/>
                <w:sz w:val="18"/>
              </w:rPr>
              <w:t>11:35</w:t>
            </w:r>
            <w:r>
              <w:rPr>
                <w:color w:val="444751"/>
                <w:spacing w:val="-4"/>
                <w:sz w:val="18"/>
              </w:rPr>
              <w:t> </w:t>
            </w:r>
            <w:r>
              <w:rPr>
                <w:color w:val="444751"/>
                <w:sz w:val="18"/>
              </w:rPr>
              <w:t>AM,</w:t>
            </w:r>
            <w:r>
              <w:rPr>
                <w:color w:val="444751"/>
                <w:spacing w:val="-3"/>
                <w:sz w:val="18"/>
              </w:rPr>
              <w:t> </w:t>
            </w:r>
            <w:r>
              <w:rPr>
                <w:color w:val="444751"/>
                <w:sz w:val="18"/>
              </w:rPr>
              <w:t>10</w:t>
            </w:r>
            <w:r>
              <w:rPr>
                <w:color w:val="444751"/>
                <w:spacing w:val="-3"/>
                <w:sz w:val="18"/>
              </w:rPr>
              <w:t> </w:t>
            </w:r>
            <w:r>
              <w:rPr>
                <w:color w:val="444751"/>
                <w:spacing w:val="-5"/>
                <w:sz w:val="18"/>
              </w:rPr>
              <w:t>min</w:t>
            </w:r>
          </w:p>
          <w:p>
            <w:pPr>
              <w:pStyle w:val="TableParagraph"/>
              <w:spacing w:line="186" w:lineRule="exact"/>
              <w:ind w:left="842"/>
              <w:rPr>
                <w:i/>
                <w:sz w:val="18"/>
              </w:rPr>
            </w:pPr>
            <w:r>
              <w:rPr>
                <w:i/>
                <w:color w:val="444751"/>
                <w:sz w:val="18"/>
              </w:rPr>
              <w:t>Lisa</w:t>
            </w:r>
            <w:r>
              <w:rPr>
                <w:i/>
                <w:color w:val="444751"/>
                <w:spacing w:val="-5"/>
                <w:sz w:val="18"/>
              </w:rPr>
              <w:t> </w:t>
            </w:r>
            <w:r>
              <w:rPr>
                <w:i/>
                <w:color w:val="444751"/>
                <w:sz w:val="18"/>
              </w:rPr>
              <w:t>Gostling</w:t>
            </w:r>
            <w:r>
              <w:rPr>
                <w:i/>
                <w:color w:val="444751"/>
                <w:spacing w:val="-3"/>
                <w:sz w:val="18"/>
              </w:rPr>
              <w:t> </w:t>
            </w:r>
            <w:r>
              <w:rPr>
                <w:i/>
                <w:color w:val="444751"/>
                <w:sz w:val="18"/>
              </w:rPr>
              <w:t>(Hywel</w:t>
            </w:r>
            <w:r>
              <w:rPr>
                <w:i/>
                <w:color w:val="444751"/>
                <w:spacing w:val="-2"/>
                <w:sz w:val="18"/>
              </w:rPr>
              <w:t> </w:t>
            </w:r>
            <w:r>
              <w:rPr>
                <w:i/>
                <w:color w:val="444751"/>
                <w:sz w:val="18"/>
              </w:rPr>
              <w:t>Dda</w:t>
            </w:r>
            <w:r>
              <w:rPr>
                <w:i/>
                <w:color w:val="444751"/>
                <w:spacing w:val="-2"/>
                <w:sz w:val="18"/>
              </w:rPr>
              <w:t> </w:t>
            </w:r>
            <w:r>
              <w:rPr>
                <w:i/>
                <w:color w:val="444751"/>
                <w:sz w:val="18"/>
              </w:rPr>
              <w:t>UHB</w:t>
            </w:r>
            <w:r>
              <w:rPr>
                <w:i/>
                <w:color w:val="444751"/>
                <w:spacing w:val="-1"/>
                <w:sz w:val="18"/>
              </w:rPr>
              <w:t> </w:t>
            </w:r>
            <w:r>
              <w:rPr>
                <w:i/>
                <w:color w:val="444751"/>
                <w:sz w:val="18"/>
              </w:rPr>
              <w:t>-</w:t>
            </w:r>
            <w:r>
              <w:rPr>
                <w:i/>
                <w:color w:val="444751"/>
                <w:spacing w:val="-2"/>
                <w:sz w:val="18"/>
              </w:rPr>
              <w:t> </w:t>
            </w:r>
            <w:r>
              <w:rPr>
                <w:i/>
                <w:color w:val="444751"/>
                <w:sz w:val="18"/>
              </w:rPr>
              <w:t>Director</w:t>
            </w:r>
            <w:r>
              <w:rPr>
                <w:i/>
                <w:color w:val="444751"/>
                <w:spacing w:val="-2"/>
                <w:sz w:val="18"/>
              </w:rPr>
              <w:t> </w:t>
            </w:r>
            <w:r>
              <w:rPr>
                <w:i/>
                <w:color w:val="444751"/>
                <w:sz w:val="18"/>
              </w:rPr>
              <w:t>of</w:t>
            </w:r>
            <w:r>
              <w:rPr>
                <w:i/>
                <w:color w:val="444751"/>
                <w:spacing w:val="-2"/>
                <w:sz w:val="18"/>
              </w:rPr>
              <w:t> </w:t>
            </w:r>
            <w:r>
              <w:rPr>
                <w:i/>
                <w:color w:val="444751"/>
                <w:sz w:val="18"/>
              </w:rPr>
              <w:t>Workforce</w:t>
            </w:r>
            <w:r>
              <w:rPr>
                <w:i/>
                <w:color w:val="444751"/>
                <w:spacing w:val="-3"/>
                <w:sz w:val="18"/>
              </w:rPr>
              <w:t> </w:t>
            </w:r>
            <w:r>
              <w:rPr>
                <w:i/>
                <w:color w:val="444751"/>
                <w:sz w:val="18"/>
              </w:rPr>
              <w:t>&amp;</w:t>
            </w:r>
            <w:r>
              <w:rPr>
                <w:i/>
                <w:color w:val="444751"/>
                <w:spacing w:val="-2"/>
                <w:sz w:val="18"/>
              </w:rPr>
              <w:t> </w:t>
            </w:r>
            <w:r>
              <w:rPr>
                <w:i/>
                <w:color w:val="444751"/>
                <w:sz w:val="18"/>
              </w:rPr>
              <w:t>OD/Deputy</w:t>
            </w:r>
            <w:r>
              <w:rPr>
                <w:i/>
                <w:color w:val="444751"/>
                <w:spacing w:val="-1"/>
                <w:sz w:val="18"/>
              </w:rPr>
              <w:t> </w:t>
            </w:r>
            <w:r>
              <w:rPr>
                <w:i/>
                <w:color w:val="444751"/>
                <w:spacing w:val="-4"/>
                <w:sz w:val="18"/>
              </w:rPr>
              <w:t>CEO)</w:t>
            </w:r>
          </w:p>
        </w:tc>
      </w:tr>
    </w:tbl>
    <w:p>
      <w:pPr>
        <w:pStyle w:val="BodyText"/>
        <w:spacing w:before="100"/>
        <w:rPr>
          <w:sz w:val="20"/>
        </w:rPr>
      </w:pPr>
      <w:r>
        <w:rPr>
          <w:sz w:val="20"/>
        </w:rPr>
        <mc:AlternateContent>
          <mc:Choice Requires="wps">
            <w:drawing>
              <wp:anchor distT="0" distB="0" distL="0" distR="0" allowOverlap="1" layoutInCell="1" locked="0" behindDoc="1" simplePos="0" relativeHeight="487595008">
                <wp:simplePos x="0" y="0"/>
                <wp:positionH relativeFrom="page">
                  <wp:posOffset>914400</wp:posOffset>
                </wp:positionH>
                <wp:positionV relativeFrom="paragraph">
                  <wp:posOffset>225272</wp:posOffset>
                </wp:positionV>
                <wp:extent cx="5730875" cy="952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738008pt;width:451.25pt;height:.75pt;mso-position-horizontal-relative:page;mso-position-vertical-relative:paragraph;z-index:-15721472;mso-wrap-distance-left:0;mso-wrap-distance-right:0" id="docshape15" filled="true" fillcolor="#9f9f9f" stroked="false">
                <v:fill type="solid"/>
                <w10:wrap type="topAndBottom"/>
              </v:rect>
            </w:pict>
          </mc:Fallback>
        </mc:AlternateContent>
      </w:r>
    </w:p>
    <w:p>
      <w:pPr>
        <w:pStyle w:val="BodyText"/>
        <w:spacing w:before="3" w:after="1"/>
        <w:rPr>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2201"/>
      </w:tblGrid>
      <w:tr>
        <w:trPr>
          <w:trHeight w:val="612" w:hRule="atLeast"/>
        </w:trPr>
        <w:tc>
          <w:tcPr>
            <w:tcW w:w="1014" w:type="dxa"/>
          </w:tcPr>
          <w:p>
            <w:pPr>
              <w:pStyle w:val="TableParagraph"/>
              <w:spacing w:line="251" w:lineRule="exact"/>
              <w:ind w:left="50"/>
              <w:rPr>
                <w:b/>
                <w:sz w:val="22"/>
              </w:rPr>
            </w:pPr>
            <w:r>
              <w:rPr>
                <w:b/>
                <w:spacing w:val="-10"/>
                <w:sz w:val="22"/>
              </w:rPr>
              <w:t>7</w:t>
            </w:r>
          </w:p>
        </w:tc>
        <w:tc>
          <w:tcPr>
            <w:tcW w:w="2201" w:type="dxa"/>
          </w:tcPr>
          <w:p>
            <w:pPr>
              <w:pStyle w:val="TableParagraph"/>
              <w:spacing w:line="246" w:lineRule="exact"/>
              <w:ind w:left="842"/>
              <w:rPr>
                <w:b/>
                <w:sz w:val="22"/>
              </w:rPr>
            </w:pPr>
            <w:r>
              <w:rPr>
                <w:b/>
                <w:spacing w:val="-2"/>
                <w:sz w:val="22"/>
              </w:rPr>
              <w:t>Governance</w:t>
            </w:r>
          </w:p>
          <w:p>
            <w:pPr>
              <w:pStyle w:val="TableParagraph"/>
              <w:spacing w:line="187" w:lineRule="exact" w:before="159"/>
              <w:ind w:left="842"/>
              <w:rPr>
                <w:sz w:val="18"/>
              </w:rPr>
            </w:pPr>
            <w:r>
              <w:rPr>
                <w:color w:val="444751"/>
                <w:sz w:val="18"/>
              </w:rPr>
              <w:t>11:45</w:t>
            </w:r>
            <w:r>
              <w:rPr>
                <w:color w:val="444751"/>
                <w:spacing w:val="-3"/>
                <w:sz w:val="18"/>
              </w:rPr>
              <w:t> </w:t>
            </w:r>
            <w:r>
              <w:rPr>
                <w:color w:val="444751"/>
                <w:sz w:val="18"/>
              </w:rPr>
              <w:t>AM,</w:t>
            </w:r>
            <w:r>
              <w:rPr>
                <w:color w:val="444751"/>
                <w:spacing w:val="-3"/>
                <w:sz w:val="18"/>
              </w:rPr>
              <w:t> </w:t>
            </w:r>
            <w:r>
              <w:rPr>
                <w:color w:val="444751"/>
                <w:sz w:val="18"/>
              </w:rPr>
              <w:t>0</w:t>
            </w:r>
            <w:r>
              <w:rPr>
                <w:color w:val="444751"/>
                <w:spacing w:val="-3"/>
                <w:sz w:val="18"/>
              </w:rPr>
              <w:t> </w:t>
            </w:r>
            <w:r>
              <w:rPr>
                <w:color w:val="444751"/>
                <w:spacing w:val="-5"/>
                <w:sz w:val="18"/>
              </w:rPr>
              <w:t>min</w:t>
            </w:r>
          </w:p>
        </w:tc>
      </w:tr>
    </w:tbl>
    <w:p>
      <w:pPr>
        <w:pStyle w:val="BodyText"/>
        <w:spacing w:before="95"/>
        <w:rPr>
          <w:sz w:val="20"/>
        </w:rPr>
      </w:pPr>
      <w:r>
        <w:rPr>
          <w:sz w:val="20"/>
        </w:rPr>
        <mc:AlternateContent>
          <mc:Choice Requires="wps">
            <w:drawing>
              <wp:anchor distT="0" distB="0" distL="0" distR="0" allowOverlap="1" layoutInCell="1" locked="0" behindDoc="1" simplePos="0" relativeHeight="487595520">
                <wp:simplePos x="0" y="0"/>
                <wp:positionH relativeFrom="page">
                  <wp:posOffset>1200150</wp:posOffset>
                </wp:positionH>
                <wp:positionV relativeFrom="paragraph">
                  <wp:posOffset>221716</wp:posOffset>
                </wp:positionV>
                <wp:extent cx="5445125" cy="9525"/>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458008pt;width:428.75pt;height:.75pt;mso-position-horizontal-relative:page;mso-position-vertical-relative:paragraph;z-index:-15720960;mso-wrap-distance-left:0;mso-wrap-distance-right:0" id="docshape16" filled="true" fillcolor="#9f9f9f" stroked="false">
                <v:fill type="solid"/>
                <w10:wrap type="topAndBottom"/>
              </v:rect>
            </w:pict>
          </mc:Fallback>
        </mc:AlternateContent>
      </w:r>
    </w:p>
    <w:p>
      <w:pPr>
        <w:pStyle w:val="BodyText"/>
        <w:spacing w:before="8" w:after="1"/>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465"/>
      </w:tblGrid>
      <w:tr>
        <w:trPr>
          <w:trHeight w:val="1022" w:hRule="atLeast"/>
        </w:trPr>
        <w:tc>
          <w:tcPr>
            <w:tcW w:w="881" w:type="dxa"/>
          </w:tcPr>
          <w:p>
            <w:pPr>
              <w:pStyle w:val="TableParagraph"/>
              <w:spacing w:line="251" w:lineRule="exact"/>
              <w:ind w:left="50"/>
              <w:rPr>
                <w:b/>
                <w:sz w:val="22"/>
              </w:rPr>
            </w:pPr>
            <w:r>
              <w:rPr>
                <w:b/>
                <w:spacing w:val="-5"/>
                <w:sz w:val="22"/>
              </w:rPr>
              <w:t>7.1</w:t>
            </w:r>
          </w:p>
        </w:tc>
        <w:tc>
          <w:tcPr>
            <w:tcW w:w="7465" w:type="dxa"/>
          </w:tcPr>
          <w:p>
            <w:pPr>
              <w:pStyle w:val="TableParagraph"/>
              <w:spacing w:line="246" w:lineRule="exact"/>
              <w:ind w:left="524"/>
              <w:rPr>
                <w:b/>
                <w:sz w:val="22"/>
              </w:rPr>
            </w:pPr>
            <w:r>
              <w:rPr>
                <w:b/>
                <w:sz w:val="22"/>
              </w:rPr>
              <w:t>RJC/41:</w:t>
            </w:r>
            <w:r>
              <w:rPr>
                <w:b/>
                <w:spacing w:val="-2"/>
                <w:sz w:val="22"/>
              </w:rPr>
              <w:t> </w:t>
            </w:r>
            <w:r>
              <w:rPr>
                <w:b/>
                <w:sz w:val="22"/>
              </w:rPr>
              <w:t>Annual</w:t>
            </w:r>
            <w:r>
              <w:rPr>
                <w:b/>
                <w:spacing w:val="-5"/>
                <w:sz w:val="22"/>
              </w:rPr>
              <w:t> </w:t>
            </w:r>
            <w:r>
              <w:rPr>
                <w:b/>
                <w:sz w:val="22"/>
              </w:rPr>
              <w:t>Review of</w:t>
            </w:r>
            <w:r>
              <w:rPr>
                <w:b/>
                <w:spacing w:val="-5"/>
                <w:sz w:val="22"/>
              </w:rPr>
              <w:t> </w:t>
            </w:r>
            <w:r>
              <w:rPr>
                <w:b/>
                <w:sz w:val="22"/>
              </w:rPr>
              <w:t>Terms</w:t>
            </w:r>
            <w:r>
              <w:rPr>
                <w:b/>
                <w:spacing w:val="-1"/>
                <w:sz w:val="22"/>
              </w:rPr>
              <w:t> </w:t>
            </w:r>
            <w:r>
              <w:rPr>
                <w:b/>
                <w:sz w:val="22"/>
              </w:rPr>
              <w:t>of </w:t>
            </w:r>
            <w:r>
              <w:rPr>
                <w:b/>
                <w:spacing w:val="-2"/>
                <w:sz w:val="22"/>
              </w:rPr>
              <w:t>Reference</w:t>
            </w:r>
          </w:p>
          <w:p>
            <w:pPr>
              <w:pStyle w:val="TableParagraph"/>
              <w:spacing w:line="206" w:lineRule="exact" w:before="160"/>
              <w:ind w:left="524"/>
              <w:rPr>
                <w:sz w:val="18"/>
              </w:rPr>
            </w:pPr>
            <w:r>
              <w:rPr>
                <w:color w:val="444751"/>
                <w:sz w:val="18"/>
              </w:rPr>
              <w:t>11:45</w:t>
            </w:r>
            <w:r>
              <w:rPr>
                <w:color w:val="444751"/>
                <w:spacing w:val="-3"/>
                <w:sz w:val="18"/>
              </w:rPr>
              <w:t> </w:t>
            </w:r>
            <w:r>
              <w:rPr>
                <w:color w:val="444751"/>
                <w:sz w:val="18"/>
              </w:rPr>
              <w:t>AM,</w:t>
            </w:r>
            <w:r>
              <w:rPr>
                <w:color w:val="444751"/>
                <w:spacing w:val="-3"/>
                <w:sz w:val="18"/>
              </w:rPr>
              <w:t> </w:t>
            </w:r>
            <w:r>
              <w:rPr>
                <w:color w:val="444751"/>
                <w:sz w:val="18"/>
              </w:rPr>
              <w:t>5</w:t>
            </w:r>
            <w:r>
              <w:rPr>
                <w:color w:val="444751"/>
                <w:spacing w:val="-3"/>
                <w:sz w:val="18"/>
              </w:rPr>
              <w:t> </w:t>
            </w:r>
            <w:r>
              <w:rPr>
                <w:color w:val="444751"/>
                <w:spacing w:val="-5"/>
                <w:sz w:val="18"/>
              </w:rPr>
              <w:t>min</w:t>
            </w:r>
          </w:p>
          <w:p>
            <w:pPr>
              <w:pStyle w:val="TableParagraph"/>
              <w:spacing w:line="206" w:lineRule="exact"/>
              <w:ind w:left="524"/>
              <w:rPr>
                <w:i/>
                <w:sz w:val="18"/>
              </w:rPr>
            </w:pPr>
            <w:r>
              <w:rPr>
                <w:i/>
                <w:color w:val="444751"/>
                <w:sz w:val="18"/>
              </w:rPr>
              <w:t>Hazel</w:t>
            </w:r>
            <w:r>
              <w:rPr>
                <w:i/>
                <w:color w:val="444751"/>
                <w:spacing w:val="-4"/>
                <w:sz w:val="18"/>
              </w:rPr>
              <w:t> </w:t>
            </w:r>
            <w:r>
              <w:rPr>
                <w:i/>
                <w:color w:val="444751"/>
                <w:sz w:val="18"/>
              </w:rPr>
              <w:t>Lloyd</w:t>
            </w:r>
            <w:r>
              <w:rPr>
                <w:i/>
                <w:color w:val="444751"/>
                <w:spacing w:val="-4"/>
                <w:sz w:val="18"/>
              </w:rPr>
              <w:t> </w:t>
            </w:r>
            <w:r>
              <w:rPr>
                <w:i/>
                <w:color w:val="444751"/>
                <w:sz w:val="18"/>
              </w:rPr>
              <w:t>(Swansea</w:t>
            </w:r>
            <w:r>
              <w:rPr>
                <w:i/>
                <w:color w:val="444751"/>
                <w:spacing w:val="-4"/>
                <w:sz w:val="18"/>
              </w:rPr>
              <w:t> </w:t>
            </w:r>
            <w:r>
              <w:rPr>
                <w:i/>
                <w:color w:val="444751"/>
                <w:sz w:val="18"/>
              </w:rPr>
              <w:t>Bay</w:t>
            </w:r>
            <w:r>
              <w:rPr>
                <w:i/>
                <w:color w:val="444751"/>
                <w:spacing w:val="-4"/>
                <w:sz w:val="18"/>
              </w:rPr>
              <w:t> </w:t>
            </w:r>
            <w:r>
              <w:rPr>
                <w:i/>
                <w:color w:val="444751"/>
                <w:sz w:val="18"/>
              </w:rPr>
              <w:t>UHB</w:t>
            </w:r>
            <w:r>
              <w:rPr>
                <w:i/>
                <w:color w:val="444751"/>
                <w:spacing w:val="-4"/>
                <w:sz w:val="18"/>
              </w:rPr>
              <w:t> </w:t>
            </w:r>
            <w:r>
              <w:rPr>
                <w:i/>
                <w:color w:val="444751"/>
                <w:sz w:val="18"/>
              </w:rPr>
              <w:t>-</w:t>
            </w:r>
            <w:r>
              <w:rPr>
                <w:i/>
                <w:color w:val="444751"/>
                <w:spacing w:val="-4"/>
                <w:sz w:val="18"/>
              </w:rPr>
              <w:t> </w:t>
            </w:r>
            <w:r>
              <w:rPr>
                <w:i/>
                <w:color w:val="444751"/>
                <w:sz w:val="18"/>
              </w:rPr>
              <w:t>Corporate</w:t>
            </w:r>
            <w:r>
              <w:rPr>
                <w:i/>
                <w:color w:val="444751"/>
                <w:spacing w:val="-5"/>
                <w:sz w:val="18"/>
              </w:rPr>
              <w:t> </w:t>
            </w:r>
            <w:r>
              <w:rPr>
                <w:i/>
                <w:color w:val="444751"/>
                <w:sz w:val="18"/>
              </w:rPr>
              <w:t>Governance),</w:t>
            </w:r>
            <w:r>
              <w:rPr>
                <w:i/>
                <w:color w:val="444751"/>
                <w:spacing w:val="-4"/>
                <w:sz w:val="18"/>
              </w:rPr>
              <w:t> </w:t>
            </w:r>
            <w:r>
              <w:rPr>
                <w:i/>
                <w:color w:val="444751"/>
                <w:sz w:val="18"/>
              </w:rPr>
              <w:t>Joanne</w:t>
            </w:r>
            <w:r>
              <w:rPr>
                <w:i/>
                <w:color w:val="444751"/>
                <w:spacing w:val="-5"/>
                <w:sz w:val="18"/>
              </w:rPr>
              <w:t> </w:t>
            </w:r>
            <w:r>
              <w:rPr>
                <w:i/>
                <w:color w:val="444751"/>
                <w:sz w:val="18"/>
              </w:rPr>
              <w:t>Wilson</w:t>
            </w:r>
            <w:r>
              <w:rPr>
                <w:i/>
                <w:color w:val="444751"/>
                <w:spacing w:val="-4"/>
                <w:sz w:val="18"/>
              </w:rPr>
              <w:t> </w:t>
            </w:r>
            <w:r>
              <w:rPr>
                <w:i/>
                <w:color w:val="444751"/>
                <w:sz w:val="18"/>
              </w:rPr>
              <w:t>(Hywel</w:t>
            </w:r>
            <w:r>
              <w:rPr>
                <w:i/>
                <w:color w:val="444751"/>
                <w:spacing w:val="-5"/>
                <w:sz w:val="18"/>
              </w:rPr>
              <w:t> </w:t>
            </w:r>
            <w:r>
              <w:rPr>
                <w:i/>
                <w:color w:val="444751"/>
                <w:sz w:val="18"/>
              </w:rPr>
              <w:t>Dda</w:t>
            </w:r>
            <w:r>
              <w:rPr>
                <w:i/>
                <w:color w:val="444751"/>
                <w:sz w:val="18"/>
              </w:rPr>
              <w:t> UHB - Director of Corporate Governance/Board Secretary)</w:t>
            </w:r>
          </w:p>
        </w:tc>
      </w:tr>
    </w:tbl>
    <w:p>
      <w:pPr>
        <w:pStyle w:val="BodyText"/>
        <w:spacing w:before="100"/>
        <w:rPr>
          <w:sz w:val="20"/>
        </w:rPr>
      </w:pPr>
      <w:r>
        <w:rPr>
          <w:sz w:val="20"/>
        </w:rPr>
        <mc:AlternateContent>
          <mc:Choice Requires="wps">
            <w:drawing>
              <wp:anchor distT="0" distB="0" distL="0" distR="0" allowOverlap="1" layoutInCell="1" locked="0" behindDoc="1" simplePos="0" relativeHeight="487596032">
                <wp:simplePos x="0" y="0"/>
                <wp:positionH relativeFrom="page">
                  <wp:posOffset>1200150</wp:posOffset>
                </wp:positionH>
                <wp:positionV relativeFrom="paragraph">
                  <wp:posOffset>224891</wp:posOffset>
                </wp:positionV>
                <wp:extent cx="5445125" cy="9525"/>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708008pt;width:428.75pt;height:.75pt;mso-position-horizontal-relative:page;mso-position-vertical-relative:paragraph;z-index:-15720448;mso-wrap-distance-left:0;mso-wrap-distance-right:0" id="docshape17" filled="true" fillcolor="#9f9f9f" stroked="false">
                <v:fill type="solid"/>
                <w10:wrap type="topAndBottom"/>
              </v:rect>
            </w:pict>
          </mc:Fallback>
        </mc:AlternateContent>
      </w:r>
    </w:p>
    <w:p>
      <w:pPr>
        <w:pStyle w:val="BodyText"/>
        <w:spacing w:before="4"/>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465"/>
      </w:tblGrid>
      <w:tr>
        <w:trPr>
          <w:trHeight w:val="1027" w:hRule="atLeast"/>
        </w:trPr>
        <w:tc>
          <w:tcPr>
            <w:tcW w:w="881" w:type="dxa"/>
          </w:tcPr>
          <w:p>
            <w:pPr>
              <w:pStyle w:val="TableParagraph"/>
              <w:spacing w:line="251" w:lineRule="exact"/>
              <w:ind w:left="50"/>
              <w:rPr>
                <w:b/>
                <w:sz w:val="22"/>
              </w:rPr>
            </w:pPr>
            <w:r>
              <w:rPr>
                <w:b/>
                <w:spacing w:val="-5"/>
                <w:sz w:val="22"/>
              </w:rPr>
              <w:t>7.2</w:t>
            </w:r>
          </w:p>
        </w:tc>
        <w:tc>
          <w:tcPr>
            <w:tcW w:w="7465" w:type="dxa"/>
          </w:tcPr>
          <w:p>
            <w:pPr>
              <w:pStyle w:val="TableParagraph"/>
              <w:spacing w:line="246" w:lineRule="exact"/>
              <w:ind w:left="524"/>
              <w:rPr>
                <w:b/>
                <w:sz w:val="22"/>
              </w:rPr>
            </w:pPr>
            <w:r>
              <w:rPr>
                <w:b/>
                <w:sz w:val="22"/>
              </w:rPr>
              <w:t>RJC/42:</w:t>
            </w:r>
            <w:r>
              <w:rPr>
                <w:b/>
                <w:spacing w:val="-2"/>
                <w:sz w:val="22"/>
              </w:rPr>
              <w:t> </w:t>
            </w:r>
            <w:r>
              <w:rPr>
                <w:b/>
                <w:sz w:val="22"/>
              </w:rPr>
              <w:t>Board</w:t>
            </w:r>
            <w:r>
              <w:rPr>
                <w:b/>
                <w:spacing w:val="-3"/>
                <w:sz w:val="22"/>
              </w:rPr>
              <w:t> </w:t>
            </w:r>
            <w:r>
              <w:rPr>
                <w:b/>
                <w:sz w:val="22"/>
              </w:rPr>
              <w:t>to</w:t>
            </w:r>
            <w:r>
              <w:rPr>
                <w:b/>
                <w:spacing w:val="-1"/>
                <w:sz w:val="22"/>
              </w:rPr>
              <w:t> </w:t>
            </w:r>
            <w:r>
              <w:rPr>
                <w:b/>
                <w:sz w:val="22"/>
              </w:rPr>
              <w:t>Board</w:t>
            </w:r>
            <w:r>
              <w:rPr>
                <w:b/>
                <w:spacing w:val="-3"/>
                <w:sz w:val="22"/>
              </w:rPr>
              <w:t> </w:t>
            </w:r>
            <w:r>
              <w:rPr>
                <w:b/>
                <w:spacing w:val="-2"/>
                <w:sz w:val="22"/>
              </w:rPr>
              <w:t>Proposal</w:t>
            </w:r>
          </w:p>
          <w:p>
            <w:pPr>
              <w:pStyle w:val="TableParagraph"/>
              <w:spacing w:line="206" w:lineRule="exact" w:before="160"/>
              <w:ind w:left="524"/>
              <w:rPr>
                <w:sz w:val="18"/>
              </w:rPr>
            </w:pPr>
            <w:r>
              <w:rPr>
                <w:color w:val="444751"/>
                <w:sz w:val="18"/>
              </w:rPr>
              <w:t>11:50</w:t>
            </w:r>
            <w:r>
              <w:rPr>
                <w:color w:val="444751"/>
                <w:spacing w:val="-3"/>
                <w:sz w:val="18"/>
              </w:rPr>
              <w:t> </w:t>
            </w:r>
            <w:r>
              <w:rPr>
                <w:color w:val="444751"/>
                <w:sz w:val="18"/>
              </w:rPr>
              <w:t>AM,</w:t>
            </w:r>
            <w:r>
              <w:rPr>
                <w:color w:val="444751"/>
                <w:spacing w:val="-3"/>
                <w:sz w:val="18"/>
              </w:rPr>
              <w:t> </w:t>
            </w:r>
            <w:r>
              <w:rPr>
                <w:color w:val="444751"/>
                <w:sz w:val="18"/>
              </w:rPr>
              <w:t>5</w:t>
            </w:r>
            <w:r>
              <w:rPr>
                <w:color w:val="444751"/>
                <w:spacing w:val="-3"/>
                <w:sz w:val="18"/>
              </w:rPr>
              <w:t> </w:t>
            </w:r>
            <w:r>
              <w:rPr>
                <w:color w:val="444751"/>
                <w:spacing w:val="-5"/>
                <w:sz w:val="18"/>
              </w:rPr>
              <w:t>min</w:t>
            </w:r>
          </w:p>
          <w:p>
            <w:pPr>
              <w:pStyle w:val="TableParagraph"/>
              <w:spacing w:line="210" w:lineRule="exact"/>
              <w:ind w:left="524"/>
              <w:rPr>
                <w:i/>
                <w:sz w:val="18"/>
              </w:rPr>
            </w:pPr>
            <w:r>
              <w:rPr>
                <w:i/>
                <w:color w:val="444751"/>
                <w:sz w:val="18"/>
              </w:rPr>
              <w:t>Hazel</w:t>
            </w:r>
            <w:r>
              <w:rPr>
                <w:i/>
                <w:color w:val="444751"/>
                <w:spacing w:val="-4"/>
                <w:sz w:val="18"/>
              </w:rPr>
              <w:t> </w:t>
            </w:r>
            <w:r>
              <w:rPr>
                <w:i/>
                <w:color w:val="444751"/>
                <w:sz w:val="18"/>
              </w:rPr>
              <w:t>Lloyd</w:t>
            </w:r>
            <w:r>
              <w:rPr>
                <w:i/>
                <w:color w:val="444751"/>
                <w:spacing w:val="-4"/>
                <w:sz w:val="18"/>
              </w:rPr>
              <w:t> </w:t>
            </w:r>
            <w:r>
              <w:rPr>
                <w:i/>
                <w:color w:val="444751"/>
                <w:sz w:val="18"/>
              </w:rPr>
              <w:t>(Swansea</w:t>
            </w:r>
            <w:r>
              <w:rPr>
                <w:i/>
                <w:color w:val="444751"/>
                <w:spacing w:val="-4"/>
                <w:sz w:val="18"/>
              </w:rPr>
              <w:t> </w:t>
            </w:r>
            <w:r>
              <w:rPr>
                <w:i/>
                <w:color w:val="444751"/>
                <w:sz w:val="18"/>
              </w:rPr>
              <w:t>Bay</w:t>
            </w:r>
            <w:r>
              <w:rPr>
                <w:i/>
                <w:color w:val="444751"/>
                <w:spacing w:val="-4"/>
                <w:sz w:val="18"/>
              </w:rPr>
              <w:t> </w:t>
            </w:r>
            <w:r>
              <w:rPr>
                <w:i/>
                <w:color w:val="444751"/>
                <w:sz w:val="18"/>
              </w:rPr>
              <w:t>UHB</w:t>
            </w:r>
            <w:r>
              <w:rPr>
                <w:i/>
                <w:color w:val="444751"/>
                <w:spacing w:val="-4"/>
                <w:sz w:val="18"/>
              </w:rPr>
              <w:t> </w:t>
            </w:r>
            <w:r>
              <w:rPr>
                <w:i/>
                <w:color w:val="444751"/>
                <w:sz w:val="18"/>
              </w:rPr>
              <w:t>-</w:t>
            </w:r>
            <w:r>
              <w:rPr>
                <w:i/>
                <w:color w:val="444751"/>
                <w:spacing w:val="-4"/>
                <w:sz w:val="18"/>
              </w:rPr>
              <w:t> </w:t>
            </w:r>
            <w:r>
              <w:rPr>
                <w:i/>
                <w:color w:val="444751"/>
                <w:sz w:val="18"/>
              </w:rPr>
              <w:t>Corporate</w:t>
            </w:r>
            <w:r>
              <w:rPr>
                <w:i/>
                <w:color w:val="444751"/>
                <w:spacing w:val="-5"/>
                <w:sz w:val="18"/>
              </w:rPr>
              <w:t> </w:t>
            </w:r>
            <w:r>
              <w:rPr>
                <w:i/>
                <w:color w:val="444751"/>
                <w:sz w:val="18"/>
              </w:rPr>
              <w:t>Governance),</w:t>
            </w:r>
            <w:r>
              <w:rPr>
                <w:i/>
                <w:color w:val="444751"/>
                <w:spacing w:val="-4"/>
                <w:sz w:val="18"/>
              </w:rPr>
              <w:t> </w:t>
            </w:r>
            <w:r>
              <w:rPr>
                <w:i/>
                <w:color w:val="444751"/>
                <w:sz w:val="18"/>
              </w:rPr>
              <w:t>Joanne</w:t>
            </w:r>
            <w:r>
              <w:rPr>
                <w:i/>
                <w:color w:val="444751"/>
                <w:spacing w:val="-5"/>
                <w:sz w:val="18"/>
              </w:rPr>
              <w:t> </w:t>
            </w:r>
            <w:r>
              <w:rPr>
                <w:i/>
                <w:color w:val="444751"/>
                <w:sz w:val="18"/>
              </w:rPr>
              <w:t>Wilson</w:t>
            </w:r>
            <w:r>
              <w:rPr>
                <w:i/>
                <w:color w:val="444751"/>
                <w:spacing w:val="-4"/>
                <w:sz w:val="18"/>
              </w:rPr>
              <w:t> </w:t>
            </w:r>
            <w:r>
              <w:rPr>
                <w:i/>
                <w:color w:val="444751"/>
                <w:sz w:val="18"/>
              </w:rPr>
              <w:t>(Hywel</w:t>
            </w:r>
            <w:r>
              <w:rPr>
                <w:i/>
                <w:color w:val="444751"/>
                <w:spacing w:val="-5"/>
                <w:sz w:val="18"/>
              </w:rPr>
              <w:t> </w:t>
            </w:r>
            <w:r>
              <w:rPr>
                <w:i/>
                <w:color w:val="444751"/>
                <w:sz w:val="18"/>
              </w:rPr>
              <w:t>Dda</w:t>
            </w:r>
            <w:r>
              <w:rPr>
                <w:i/>
                <w:color w:val="444751"/>
                <w:sz w:val="18"/>
              </w:rPr>
              <w:t> UHB - Director of Corporate Governance/Board Secretary)</w:t>
            </w:r>
          </w:p>
        </w:tc>
      </w:tr>
    </w:tbl>
    <w:p>
      <w:pPr>
        <w:pStyle w:val="BodyText"/>
        <w:spacing w:before="94"/>
        <w:rPr>
          <w:sz w:val="20"/>
        </w:rPr>
      </w:pPr>
      <w:r>
        <w:rPr>
          <w:sz w:val="20"/>
        </w:rPr>
        <mc:AlternateContent>
          <mc:Choice Requires="wps">
            <w:drawing>
              <wp:anchor distT="0" distB="0" distL="0" distR="0" allowOverlap="1" layoutInCell="1" locked="0" behindDoc="1" simplePos="0" relativeHeight="487596544">
                <wp:simplePos x="0" y="0"/>
                <wp:positionH relativeFrom="page">
                  <wp:posOffset>1200150</wp:posOffset>
                </wp:positionH>
                <wp:positionV relativeFrom="paragraph">
                  <wp:posOffset>221462</wp:posOffset>
                </wp:positionV>
                <wp:extent cx="5445125" cy="9525"/>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438007pt;width:428.75pt;height:.75pt;mso-position-horizontal-relative:page;mso-position-vertical-relative:paragraph;z-index:-15719936;mso-wrap-distance-left:0;mso-wrap-distance-right:0" id="docshape18" filled="true" fillcolor="#9f9f9f" stroked="false">
                <v:fill type="solid"/>
                <w10:wrap type="topAndBottom"/>
              </v:rect>
            </w:pict>
          </mc:Fallback>
        </mc:AlternateContent>
      </w:r>
    </w:p>
    <w:p>
      <w:pPr>
        <w:pStyle w:val="BodyText"/>
        <w:spacing w:before="9" w:after="1"/>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465"/>
      </w:tblGrid>
      <w:tr>
        <w:trPr>
          <w:trHeight w:val="1022" w:hRule="atLeast"/>
        </w:trPr>
        <w:tc>
          <w:tcPr>
            <w:tcW w:w="881" w:type="dxa"/>
          </w:tcPr>
          <w:p>
            <w:pPr>
              <w:pStyle w:val="TableParagraph"/>
              <w:spacing w:line="251" w:lineRule="exact"/>
              <w:ind w:left="50"/>
              <w:rPr>
                <w:b/>
                <w:sz w:val="22"/>
              </w:rPr>
            </w:pPr>
            <w:r>
              <w:rPr>
                <w:b/>
                <w:spacing w:val="-5"/>
                <w:sz w:val="22"/>
              </w:rPr>
              <w:t>7.3</w:t>
            </w:r>
          </w:p>
        </w:tc>
        <w:tc>
          <w:tcPr>
            <w:tcW w:w="7465" w:type="dxa"/>
          </w:tcPr>
          <w:p>
            <w:pPr>
              <w:pStyle w:val="TableParagraph"/>
              <w:spacing w:line="246" w:lineRule="exact"/>
              <w:ind w:left="524"/>
              <w:rPr>
                <w:b/>
                <w:sz w:val="22"/>
              </w:rPr>
            </w:pPr>
            <w:r>
              <w:rPr>
                <w:b/>
                <w:sz w:val="22"/>
              </w:rPr>
              <w:t>RJC/43:</w:t>
            </w:r>
            <w:r>
              <w:rPr>
                <w:b/>
                <w:spacing w:val="-3"/>
                <w:sz w:val="22"/>
              </w:rPr>
              <w:t> </w:t>
            </w:r>
            <w:r>
              <w:rPr>
                <w:b/>
                <w:sz w:val="22"/>
              </w:rPr>
              <w:t>RJC</w:t>
            </w:r>
            <w:r>
              <w:rPr>
                <w:b/>
                <w:spacing w:val="-3"/>
                <w:sz w:val="22"/>
              </w:rPr>
              <w:t> </w:t>
            </w:r>
            <w:r>
              <w:rPr>
                <w:b/>
                <w:sz w:val="22"/>
              </w:rPr>
              <w:t>Internal</w:t>
            </w:r>
            <w:r>
              <w:rPr>
                <w:b/>
                <w:spacing w:val="-4"/>
                <w:sz w:val="22"/>
              </w:rPr>
              <w:t> </w:t>
            </w:r>
            <w:r>
              <w:rPr>
                <w:b/>
                <w:sz w:val="22"/>
              </w:rPr>
              <w:t>Audit</w:t>
            </w:r>
            <w:r>
              <w:rPr>
                <w:b/>
                <w:spacing w:val="-2"/>
                <w:sz w:val="22"/>
              </w:rPr>
              <w:t> </w:t>
            </w:r>
            <w:r>
              <w:rPr>
                <w:b/>
                <w:sz w:val="22"/>
              </w:rPr>
              <w:t>Report</w:t>
            </w:r>
            <w:r>
              <w:rPr>
                <w:b/>
                <w:spacing w:val="-3"/>
                <w:sz w:val="22"/>
              </w:rPr>
              <w:t> </w:t>
            </w:r>
            <w:r>
              <w:rPr>
                <w:b/>
                <w:sz w:val="22"/>
              </w:rPr>
              <w:t>and</w:t>
            </w:r>
            <w:r>
              <w:rPr>
                <w:b/>
                <w:spacing w:val="-3"/>
                <w:sz w:val="22"/>
              </w:rPr>
              <w:t> </w:t>
            </w:r>
            <w:r>
              <w:rPr>
                <w:b/>
                <w:spacing w:val="-2"/>
                <w:sz w:val="22"/>
              </w:rPr>
              <w:t>Response</w:t>
            </w:r>
          </w:p>
          <w:p>
            <w:pPr>
              <w:pStyle w:val="TableParagraph"/>
              <w:spacing w:before="155"/>
              <w:ind w:left="524"/>
              <w:rPr>
                <w:sz w:val="18"/>
              </w:rPr>
            </w:pPr>
            <w:r>
              <w:rPr>
                <w:color w:val="444751"/>
                <w:sz w:val="18"/>
              </w:rPr>
              <w:t>11:55</w:t>
            </w:r>
            <w:r>
              <w:rPr>
                <w:color w:val="444751"/>
                <w:spacing w:val="-3"/>
                <w:sz w:val="18"/>
              </w:rPr>
              <w:t> </w:t>
            </w:r>
            <w:r>
              <w:rPr>
                <w:color w:val="444751"/>
                <w:sz w:val="18"/>
              </w:rPr>
              <w:t>AM,</w:t>
            </w:r>
            <w:r>
              <w:rPr>
                <w:color w:val="444751"/>
                <w:spacing w:val="-3"/>
                <w:sz w:val="18"/>
              </w:rPr>
              <w:t> </w:t>
            </w:r>
            <w:r>
              <w:rPr>
                <w:color w:val="444751"/>
                <w:sz w:val="18"/>
              </w:rPr>
              <w:t>5</w:t>
            </w:r>
            <w:r>
              <w:rPr>
                <w:color w:val="444751"/>
                <w:spacing w:val="-3"/>
                <w:sz w:val="18"/>
              </w:rPr>
              <w:t> </w:t>
            </w:r>
            <w:r>
              <w:rPr>
                <w:color w:val="444751"/>
                <w:spacing w:val="-5"/>
                <w:sz w:val="18"/>
              </w:rPr>
              <w:t>min</w:t>
            </w:r>
          </w:p>
          <w:p>
            <w:pPr>
              <w:pStyle w:val="TableParagraph"/>
              <w:spacing w:line="206" w:lineRule="exact"/>
              <w:ind w:left="524"/>
              <w:rPr>
                <w:i/>
                <w:sz w:val="18"/>
              </w:rPr>
            </w:pPr>
            <w:r>
              <w:rPr>
                <w:i/>
                <w:color w:val="444751"/>
                <w:sz w:val="18"/>
              </w:rPr>
              <w:t>Hazel</w:t>
            </w:r>
            <w:r>
              <w:rPr>
                <w:i/>
                <w:color w:val="444751"/>
                <w:spacing w:val="-4"/>
                <w:sz w:val="18"/>
              </w:rPr>
              <w:t> </w:t>
            </w:r>
            <w:r>
              <w:rPr>
                <w:i/>
                <w:color w:val="444751"/>
                <w:sz w:val="18"/>
              </w:rPr>
              <w:t>Lloyd</w:t>
            </w:r>
            <w:r>
              <w:rPr>
                <w:i/>
                <w:color w:val="444751"/>
                <w:spacing w:val="-4"/>
                <w:sz w:val="18"/>
              </w:rPr>
              <w:t> </w:t>
            </w:r>
            <w:r>
              <w:rPr>
                <w:i/>
                <w:color w:val="444751"/>
                <w:sz w:val="18"/>
              </w:rPr>
              <w:t>(Swansea</w:t>
            </w:r>
            <w:r>
              <w:rPr>
                <w:i/>
                <w:color w:val="444751"/>
                <w:spacing w:val="-4"/>
                <w:sz w:val="18"/>
              </w:rPr>
              <w:t> </w:t>
            </w:r>
            <w:r>
              <w:rPr>
                <w:i/>
                <w:color w:val="444751"/>
                <w:sz w:val="18"/>
              </w:rPr>
              <w:t>Bay</w:t>
            </w:r>
            <w:r>
              <w:rPr>
                <w:i/>
                <w:color w:val="444751"/>
                <w:spacing w:val="-4"/>
                <w:sz w:val="18"/>
              </w:rPr>
              <w:t> </w:t>
            </w:r>
            <w:r>
              <w:rPr>
                <w:i/>
                <w:color w:val="444751"/>
                <w:sz w:val="18"/>
              </w:rPr>
              <w:t>UHB</w:t>
            </w:r>
            <w:r>
              <w:rPr>
                <w:i/>
                <w:color w:val="444751"/>
                <w:spacing w:val="-4"/>
                <w:sz w:val="18"/>
              </w:rPr>
              <w:t> </w:t>
            </w:r>
            <w:r>
              <w:rPr>
                <w:i/>
                <w:color w:val="444751"/>
                <w:sz w:val="18"/>
              </w:rPr>
              <w:t>-</w:t>
            </w:r>
            <w:r>
              <w:rPr>
                <w:i/>
                <w:color w:val="444751"/>
                <w:spacing w:val="-4"/>
                <w:sz w:val="18"/>
              </w:rPr>
              <w:t> </w:t>
            </w:r>
            <w:r>
              <w:rPr>
                <w:i/>
                <w:color w:val="444751"/>
                <w:sz w:val="18"/>
              </w:rPr>
              <w:t>Corporate</w:t>
            </w:r>
            <w:r>
              <w:rPr>
                <w:i/>
                <w:color w:val="444751"/>
                <w:spacing w:val="-5"/>
                <w:sz w:val="18"/>
              </w:rPr>
              <w:t> </w:t>
            </w:r>
            <w:r>
              <w:rPr>
                <w:i/>
                <w:color w:val="444751"/>
                <w:sz w:val="18"/>
              </w:rPr>
              <w:t>Governance),</w:t>
            </w:r>
            <w:r>
              <w:rPr>
                <w:i/>
                <w:color w:val="444751"/>
                <w:spacing w:val="-4"/>
                <w:sz w:val="18"/>
              </w:rPr>
              <w:t> </w:t>
            </w:r>
            <w:r>
              <w:rPr>
                <w:i/>
                <w:color w:val="444751"/>
                <w:sz w:val="18"/>
              </w:rPr>
              <w:t>Joanne</w:t>
            </w:r>
            <w:r>
              <w:rPr>
                <w:i/>
                <w:color w:val="444751"/>
                <w:spacing w:val="-5"/>
                <w:sz w:val="18"/>
              </w:rPr>
              <w:t> </w:t>
            </w:r>
            <w:r>
              <w:rPr>
                <w:i/>
                <w:color w:val="444751"/>
                <w:sz w:val="18"/>
              </w:rPr>
              <w:t>Wilson</w:t>
            </w:r>
            <w:r>
              <w:rPr>
                <w:i/>
                <w:color w:val="444751"/>
                <w:spacing w:val="-4"/>
                <w:sz w:val="18"/>
              </w:rPr>
              <w:t> </w:t>
            </w:r>
            <w:r>
              <w:rPr>
                <w:i/>
                <w:color w:val="444751"/>
                <w:sz w:val="18"/>
              </w:rPr>
              <w:t>(Hywel</w:t>
            </w:r>
            <w:r>
              <w:rPr>
                <w:i/>
                <w:color w:val="444751"/>
                <w:spacing w:val="-5"/>
                <w:sz w:val="18"/>
              </w:rPr>
              <w:t> </w:t>
            </w:r>
            <w:r>
              <w:rPr>
                <w:i/>
                <w:color w:val="444751"/>
                <w:sz w:val="18"/>
              </w:rPr>
              <w:t>Dda</w:t>
            </w:r>
            <w:r>
              <w:rPr>
                <w:i/>
                <w:color w:val="444751"/>
                <w:sz w:val="18"/>
              </w:rPr>
              <w:t> UHB - Director of Corporate Governance/Board Secretary)</w:t>
            </w:r>
          </w:p>
        </w:tc>
      </w:tr>
    </w:tbl>
    <w:p>
      <w:pPr>
        <w:pStyle w:val="TableParagraph"/>
        <w:spacing w:after="0" w:line="206" w:lineRule="exact"/>
        <w:rPr>
          <w:i/>
          <w:sz w:val="18"/>
        </w:rPr>
        <w:sectPr>
          <w:pgSz w:w="11910" w:h="16840"/>
          <w:pgMar w:top="1360" w:bottom="280" w:left="1275" w:right="1275"/>
        </w:sectPr>
      </w:pPr>
    </w:p>
    <w:p>
      <w:pPr>
        <w:spacing w:line="20" w:lineRule="exact"/>
        <w:ind w:left="615" w:right="0" w:firstLine="0"/>
        <w:rPr>
          <w:sz w:val="2"/>
        </w:rPr>
      </w:pPr>
      <w:r>
        <w:rPr>
          <w:sz w:val="2"/>
        </w:rPr>
        <mc:AlternateContent>
          <mc:Choice Requires="wps">
            <w:drawing>
              <wp:inline distT="0" distB="0" distL="0" distR="0">
                <wp:extent cx="5445125" cy="9525"/>
                <wp:effectExtent l="0" t="0" r="0" b="0"/>
                <wp:docPr id="20" name="Group 20"/>
                <wp:cNvGraphicFramePr>
                  <a:graphicFrameLocks/>
                </wp:cNvGraphicFramePr>
                <a:graphic>
                  <a:graphicData uri="http://schemas.microsoft.com/office/word/2010/wordprocessingGroup">
                    <wpg:wgp>
                      <wpg:cNvPr id="20" name="Group 20"/>
                      <wpg:cNvGrpSpPr/>
                      <wpg:grpSpPr>
                        <a:xfrm>
                          <a:off x="0" y="0"/>
                          <a:ext cx="5445125" cy="9525"/>
                          <a:chExt cx="5445125" cy="9525"/>
                        </a:xfrm>
                      </wpg:grpSpPr>
                      <wps:wsp>
                        <wps:cNvPr id="21" name="Graphic 21"/>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wpg:wgp>
                  </a:graphicData>
                </a:graphic>
              </wp:inline>
            </w:drawing>
          </mc:Choice>
          <mc:Fallback>
            <w:pict>
              <v:group style="width:428.75pt;height:.75pt;mso-position-horizontal-relative:char;mso-position-vertical-relative:line" id="docshapegroup19" coordorigin="0,0" coordsize="8575,15">
                <v:rect style="position:absolute;left:0;top:0;width:8575;height:15" id="docshape20" filled="true" fillcolor="#9f9f9f" stroked="false">
                  <v:fill type="solid"/>
                </v:rect>
              </v:group>
            </w:pict>
          </mc:Fallback>
        </mc:AlternateContent>
      </w:r>
      <w:r>
        <w:rPr>
          <w:sz w:val="2"/>
        </w:rPr>
      </w:r>
    </w:p>
    <w:p>
      <w:pPr>
        <w:pStyle w:val="BodyText"/>
        <w:spacing w:before="11"/>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465"/>
      </w:tblGrid>
      <w:tr>
        <w:trPr>
          <w:trHeight w:val="1022" w:hRule="atLeast"/>
        </w:trPr>
        <w:tc>
          <w:tcPr>
            <w:tcW w:w="881" w:type="dxa"/>
          </w:tcPr>
          <w:p>
            <w:pPr>
              <w:pStyle w:val="TableParagraph"/>
              <w:spacing w:line="251" w:lineRule="exact"/>
              <w:ind w:left="50"/>
              <w:rPr>
                <w:b/>
                <w:sz w:val="22"/>
              </w:rPr>
            </w:pPr>
            <w:r>
              <w:rPr>
                <w:b/>
                <w:spacing w:val="-5"/>
                <w:sz w:val="22"/>
              </w:rPr>
              <w:t>7.4</w:t>
            </w:r>
          </w:p>
        </w:tc>
        <w:tc>
          <w:tcPr>
            <w:tcW w:w="7465" w:type="dxa"/>
          </w:tcPr>
          <w:p>
            <w:pPr>
              <w:pStyle w:val="TableParagraph"/>
              <w:spacing w:line="246" w:lineRule="exact"/>
              <w:ind w:left="524"/>
              <w:rPr>
                <w:b/>
                <w:sz w:val="22"/>
              </w:rPr>
            </w:pPr>
            <w:r>
              <w:rPr>
                <w:b/>
                <w:sz w:val="22"/>
              </w:rPr>
              <w:t>RJC/44:</w:t>
            </w:r>
            <w:r>
              <w:rPr>
                <w:b/>
                <w:spacing w:val="-4"/>
                <w:sz w:val="22"/>
              </w:rPr>
              <w:t> </w:t>
            </w:r>
            <w:r>
              <w:rPr>
                <w:b/>
                <w:sz w:val="22"/>
              </w:rPr>
              <w:t>RJC</w:t>
            </w:r>
            <w:r>
              <w:rPr>
                <w:b/>
                <w:spacing w:val="-4"/>
                <w:sz w:val="22"/>
              </w:rPr>
              <w:t> </w:t>
            </w:r>
            <w:r>
              <w:rPr>
                <w:b/>
                <w:sz w:val="22"/>
              </w:rPr>
              <w:t>Strategic</w:t>
            </w:r>
            <w:r>
              <w:rPr>
                <w:b/>
                <w:spacing w:val="-3"/>
                <w:sz w:val="22"/>
              </w:rPr>
              <w:t> </w:t>
            </w:r>
            <w:r>
              <w:rPr>
                <w:b/>
                <w:sz w:val="22"/>
              </w:rPr>
              <w:t>Risk</w:t>
            </w:r>
            <w:r>
              <w:rPr>
                <w:b/>
                <w:spacing w:val="-2"/>
                <w:sz w:val="22"/>
              </w:rPr>
              <w:t> Register</w:t>
            </w:r>
          </w:p>
          <w:p>
            <w:pPr>
              <w:pStyle w:val="TableParagraph"/>
              <w:spacing w:before="154"/>
              <w:ind w:left="524"/>
              <w:rPr>
                <w:sz w:val="18"/>
              </w:rPr>
            </w:pPr>
            <w:r>
              <w:rPr>
                <w:color w:val="444751"/>
                <w:sz w:val="18"/>
              </w:rPr>
              <w:t>12:00</w:t>
            </w:r>
            <w:r>
              <w:rPr>
                <w:color w:val="444751"/>
                <w:spacing w:val="-3"/>
                <w:sz w:val="18"/>
              </w:rPr>
              <w:t> </w:t>
            </w:r>
            <w:r>
              <w:rPr>
                <w:color w:val="444751"/>
                <w:sz w:val="18"/>
              </w:rPr>
              <w:t>PM,</w:t>
            </w:r>
            <w:r>
              <w:rPr>
                <w:color w:val="444751"/>
                <w:spacing w:val="-3"/>
                <w:sz w:val="18"/>
              </w:rPr>
              <w:t> </w:t>
            </w:r>
            <w:r>
              <w:rPr>
                <w:color w:val="444751"/>
                <w:sz w:val="18"/>
              </w:rPr>
              <w:t>5</w:t>
            </w:r>
            <w:r>
              <w:rPr>
                <w:color w:val="444751"/>
                <w:spacing w:val="-3"/>
                <w:sz w:val="18"/>
              </w:rPr>
              <w:t> </w:t>
            </w:r>
            <w:r>
              <w:rPr>
                <w:color w:val="444751"/>
                <w:spacing w:val="-5"/>
                <w:sz w:val="18"/>
              </w:rPr>
              <w:t>min</w:t>
            </w:r>
          </w:p>
          <w:p>
            <w:pPr>
              <w:pStyle w:val="TableParagraph"/>
              <w:spacing w:line="206" w:lineRule="exact"/>
              <w:ind w:left="524"/>
              <w:rPr>
                <w:i/>
                <w:sz w:val="18"/>
              </w:rPr>
            </w:pPr>
            <w:r>
              <w:rPr>
                <w:i/>
                <w:color w:val="444751"/>
                <w:sz w:val="18"/>
              </w:rPr>
              <w:t>Hazel</w:t>
            </w:r>
            <w:r>
              <w:rPr>
                <w:i/>
                <w:color w:val="444751"/>
                <w:spacing w:val="-4"/>
                <w:sz w:val="18"/>
              </w:rPr>
              <w:t> </w:t>
            </w:r>
            <w:r>
              <w:rPr>
                <w:i/>
                <w:color w:val="444751"/>
                <w:sz w:val="18"/>
              </w:rPr>
              <w:t>Lloyd</w:t>
            </w:r>
            <w:r>
              <w:rPr>
                <w:i/>
                <w:color w:val="444751"/>
                <w:spacing w:val="-4"/>
                <w:sz w:val="18"/>
              </w:rPr>
              <w:t> </w:t>
            </w:r>
            <w:r>
              <w:rPr>
                <w:i/>
                <w:color w:val="444751"/>
                <w:sz w:val="18"/>
              </w:rPr>
              <w:t>(Swansea</w:t>
            </w:r>
            <w:r>
              <w:rPr>
                <w:i/>
                <w:color w:val="444751"/>
                <w:spacing w:val="-4"/>
                <w:sz w:val="18"/>
              </w:rPr>
              <w:t> </w:t>
            </w:r>
            <w:r>
              <w:rPr>
                <w:i/>
                <w:color w:val="444751"/>
                <w:sz w:val="18"/>
              </w:rPr>
              <w:t>Bay</w:t>
            </w:r>
            <w:r>
              <w:rPr>
                <w:i/>
                <w:color w:val="444751"/>
                <w:spacing w:val="-4"/>
                <w:sz w:val="18"/>
              </w:rPr>
              <w:t> </w:t>
            </w:r>
            <w:r>
              <w:rPr>
                <w:i/>
                <w:color w:val="444751"/>
                <w:sz w:val="18"/>
              </w:rPr>
              <w:t>UHB</w:t>
            </w:r>
            <w:r>
              <w:rPr>
                <w:i/>
                <w:color w:val="444751"/>
                <w:spacing w:val="-4"/>
                <w:sz w:val="18"/>
              </w:rPr>
              <w:t> </w:t>
            </w:r>
            <w:r>
              <w:rPr>
                <w:i/>
                <w:color w:val="444751"/>
                <w:sz w:val="18"/>
              </w:rPr>
              <w:t>-</w:t>
            </w:r>
            <w:r>
              <w:rPr>
                <w:i/>
                <w:color w:val="444751"/>
                <w:spacing w:val="-4"/>
                <w:sz w:val="18"/>
              </w:rPr>
              <w:t> </w:t>
            </w:r>
            <w:r>
              <w:rPr>
                <w:i/>
                <w:color w:val="444751"/>
                <w:sz w:val="18"/>
              </w:rPr>
              <w:t>Corporate</w:t>
            </w:r>
            <w:r>
              <w:rPr>
                <w:i/>
                <w:color w:val="444751"/>
                <w:spacing w:val="-5"/>
                <w:sz w:val="18"/>
              </w:rPr>
              <w:t> </w:t>
            </w:r>
            <w:r>
              <w:rPr>
                <w:i/>
                <w:color w:val="444751"/>
                <w:sz w:val="18"/>
              </w:rPr>
              <w:t>Governance),</w:t>
            </w:r>
            <w:r>
              <w:rPr>
                <w:i/>
                <w:color w:val="444751"/>
                <w:spacing w:val="-4"/>
                <w:sz w:val="18"/>
              </w:rPr>
              <w:t> </w:t>
            </w:r>
            <w:r>
              <w:rPr>
                <w:i/>
                <w:color w:val="444751"/>
                <w:sz w:val="18"/>
              </w:rPr>
              <w:t>Joanne</w:t>
            </w:r>
            <w:r>
              <w:rPr>
                <w:i/>
                <w:color w:val="444751"/>
                <w:spacing w:val="-5"/>
                <w:sz w:val="18"/>
              </w:rPr>
              <w:t> </w:t>
            </w:r>
            <w:r>
              <w:rPr>
                <w:i/>
                <w:color w:val="444751"/>
                <w:sz w:val="18"/>
              </w:rPr>
              <w:t>Wilson</w:t>
            </w:r>
            <w:r>
              <w:rPr>
                <w:i/>
                <w:color w:val="444751"/>
                <w:spacing w:val="-4"/>
                <w:sz w:val="18"/>
              </w:rPr>
              <w:t> </w:t>
            </w:r>
            <w:r>
              <w:rPr>
                <w:i/>
                <w:color w:val="444751"/>
                <w:sz w:val="18"/>
              </w:rPr>
              <w:t>(Hywel</w:t>
            </w:r>
            <w:r>
              <w:rPr>
                <w:i/>
                <w:color w:val="444751"/>
                <w:spacing w:val="-5"/>
                <w:sz w:val="18"/>
              </w:rPr>
              <w:t> </w:t>
            </w:r>
            <w:r>
              <w:rPr>
                <w:i/>
                <w:color w:val="444751"/>
                <w:sz w:val="18"/>
              </w:rPr>
              <w:t>Dda</w:t>
            </w:r>
            <w:r>
              <w:rPr>
                <w:i/>
                <w:color w:val="444751"/>
                <w:sz w:val="18"/>
              </w:rPr>
              <w:t> UHB - Director of Corporate Governance/Board Secretary)</w:t>
            </w:r>
          </w:p>
        </w:tc>
      </w:tr>
    </w:tbl>
    <w:p>
      <w:pPr>
        <w:pStyle w:val="BodyText"/>
        <w:spacing w:before="97"/>
        <w:rPr>
          <w:sz w:val="20"/>
        </w:rPr>
      </w:pPr>
      <w:r>
        <w:rPr>
          <w:sz w:val="20"/>
        </w:rPr>
        <mc:AlternateContent>
          <mc:Choice Requires="wps">
            <w:drawing>
              <wp:anchor distT="0" distB="0" distL="0" distR="0" allowOverlap="1" layoutInCell="1" locked="0" behindDoc="1" simplePos="0" relativeHeight="487597568">
                <wp:simplePos x="0" y="0"/>
                <wp:positionH relativeFrom="page">
                  <wp:posOffset>1200150</wp:posOffset>
                </wp:positionH>
                <wp:positionV relativeFrom="paragraph">
                  <wp:posOffset>223240</wp:posOffset>
                </wp:positionV>
                <wp:extent cx="5445125" cy="952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578009pt;width:428.75pt;height:.75pt;mso-position-horizontal-relative:page;mso-position-vertical-relative:paragraph;z-index:-15718912;mso-wrap-distance-left:0;mso-wrap-distance-right:0" id="docshape21" filled="true" fillcolor="#9f9f9f" stroked="false">
                <v:fill type="solid"/>
                <w10:wrap type="topAndBottom"/>
              </v:rect>
            </w:pict>
          </mc:Fallback>
        </mc:AlternateContent>
      </w:r>
    </w:p>
    <w:p>
      <w:pPr>
        <w:pStyle w:val="BodyText"/>
        <w:spacing w:before="6" w:after="1"/>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787"/>
      </w:tblGrid>
      <w:tr>
        <w:trPr>
          <w:trHeight w:val="817" w:hRule="atLeast"/>
        </w:trPr>
        <w:tc>
          <w:tcPr>
            <w:tcW w:w="881" w:type="dxa"/>
          </w:tcPr>
          <w:p>
            <w:pPr>
              <w:pStyle w:val="TableParagraph"/>
              <w:spacing w:line="251" w:lineRule="exact"/>
              <w:ind w:left="50"/>
              <w:rPr>
                <w:b/>
                <w:sz w:val="22"/>
              </w:rPr>
            </w:pPr>
            <w:r>
              <w:rPr>
                <w:b/>
                <w:spacing w:val="-5"/>
                <w:sz w:val="22"/>
              </w:rPr>
              <w:t>7.5</w:t>
            </w:r>
          </w:p>
        </w:tc>
        <w:tc>
          <w:tcPr>
            <w:tcW w:w="7787" w:type="dxa"/>
          </w:tcPr>
          <w:p>
            <w:pPr>
              <w:pStyle w:val="TableParagraph"/>
              <w:spacing w:line="246" w:lineRule="exact"/>
              <w:ind w:left="524"/>
              <w:rPr>
                <w:b/>
                <w:sz w:val="22"/>
              </w:rPr>
            </w:pPr>
            <w:r>
              <w:rPr>
                <w:b/>
                <w:sz w:val="22"/>
              </w:rPr>
              <w:t>RJC/45:</w:t>
            </w:r>
            <w:r>
              <w:rPr>
                <w:b/>
                <w:spacing w:val="-6"/>
                <w:sz w:val="22"/>
              </w:rPr>
              <w:t> </w:t>
            </w:r>
            <w:r>
              <w:rPr>
                <w:b/>
                <w:sz w:val="22"/>
              </w:rPr>
              <w:t>RJC</w:t>
            </w:r>
            <w:r>
              <w:rPr>
                <w:b/>
                <w:spacing w:val="-4"/>
                <w:sz w:val="22"/>
              </w:rPr>
              <w:t> </w:t>
            </w:r>
            <w:r>
              <w:rPr>
                <w:b/>
                <w:sz w:val="22"/>
              </w:rPr>
              <w:t>2026/2027</w:t>
            </w:r>
            <w:r>
              <w:rPr>
                <w:b/>
                <w:spacing w:val="-2"/>
                <w:sz w:val="22"/>
              </w:rPr>
              <w:t> </w:t>
            </w:r>
            <w:r>
              <w:rPr>
                <w:b/>
                <w:sz w:val="22"/>
              </w:rPr>
              <w:t>Work</w:t>
            </w:r>
            <w:r>
              <w:rPr>
                <w:b/>
                <w:spacing w:val="-3"/>
                <w:sz w:val="22"/>
              </w:rPr>
              <w:t> </w:t>
            </w:r>
            <w:r>
              <w:rPr>
                <w:b/>
                <w:sz w:val="22"/>
              </w:rPr>
              <w:t>Programme</w:t>
            </w:r>
            <w:r>
              <w:rPr>
                <w:b/>
                <w:spacing w:val="-2"/>
                <w:sz w:val="22"/>
              </w:rPr>
              <w:t> </w:t>
            </w:r>
            <w:r>
              <w:rPr>
                <w:b/>
                <w:sz w:val="22"/>
              </w:rPr>
              <w:t>and</w:t>
            </w:r>
            <w:r>
              <w:rPr>
                <w:b/>
                <w:spacing w:val="-4"/>
                <w:sz w:val="22"/>
              </w:rPr>
              <w:t> </w:t>
            </w:r>
            <w:r>
              <w:rPr>
                <w:b/>
                <w:sz w:val="22"/>
              </w:rPr>
              <w:t>Maturity</w:t>
            </w:r>
            <w:r>
              <w:rPr>
                <w:b/>
                <w:spacing w:val="-7"/>
                <w:sz w:val="22"/>
              </w:rPr>
              <w:t> </w:t>
            </w:r>
            <w:r>
              <w:rPr>
                <w:b/>
                <w:spacing w:val="-2"/>
                <w:sz w:val="22"/>
              </w:rPr>
              <w:t>Matrix</w:t>
            </w:r>
          </w:p>
          <w:p>
            <w:pPr>
              <w:pStyle w:val="TableParagraph"/>
              <w:spacing w:line="206" w:lineRule="exact" w:before="159"/>
              <w:ind w:left="524"/>
              <w:rPr>
                <w:sz w:val="18"/>
              </w:rPr>
            </w:pPr>
            <w:r>
              <w:rPr>
                <w:color w:val="444751"/>
                <w:sz w:val="18"/>
              </w:rPr>
              <w:t>12:05</w:t>
            </w:r>
            <w:r>
              <w:rPr>
                <w:color w:val="444751"/>
                <w:spacing w:val="-4"/>
                <w:sz w:val="18"/>
              </w:rPr>
              <w:t> </w:t>
            </w:r>
            <w:r>
              <w:rPr>
                <w:color w:val="444751"/>
                <w:sz w:val="18"/>
              </w:rPr>
              <w:t>PM,</w:t>
            </w:r>
            <w:r>
              <w:rPr>
                <w:color w:val="444751"/>
                <w:spacing w:val="-3"/>
                <w:sz w:val="18"/>
              </w:rPr>
              <w:t> </w:t>
            </w:r>
            <w:r>
              <w:rPr>
                <w:color w:val="444751"/>
                <w:sz w:val="18"/>
              </w:rPr>
              <w:t>10</w:t>
            </w:r>
            <w:r>
              <w:rPr>
                <w:color w:val="444751"/>
                <w:spacing w:val="-3"/>
                <w:sz w:val="18"/>
              </w:rPr>
              <w:t> </w:t>
            </w:r>
            <w:r>
              <w:rPr>
                <w:color w:val="444751"/>
                <w:spacing w:val="-5"/>
                <w:sz w:val="18"/>
              </w:rPr>
              <w:t>min</w:t>
            </w:r>
          </w:p>
          <w:p>
            <w:pPr>
              <w:pStyle w:val="TableParagraph"/>
              <w:spacing w:line="186" w:lineRule="exact"/>
              <w:ind w:left="524"/>
              <w:rPr>
                <w:i/>
                <w:sz w:val="18"/>
              </w:rPr>
            </w:pPr>
            <w:r>
              <w:rPr>
                <w:i/>
                <w:color w:val="444751"/>
                <w:sz w:val="18"/>
              </w:rPr>
              <w:t>Abigail</w:t>
            </w:r>
            <w:r>
              <w:rPr>
                <w:i/>
                <w:color w:val="444751"/>
                <w:spacing w:val="-3"/>
                <w:sz w:val="18"/>
              </w:rPr>
              <w:t> </w:t>
            </w:r>
            <w:r>
              <w:rPr>
                <w:i/>
                <w:color w:val="444751"/>
                <w:sz w:val="18"/>
              </w:rPr>
              <w:t>Harris</w:t>
            </w:r>
            <w:r>
              <w:rPr>
                <w:i/>
                <w:color w:val="444751"/>
                <w:spacing w:val="-2"/>
                <w:sz w:val="18"/>
              </w:rPr>
              <w:t> </w:t>
            </w:r>
            <w:r>
              <w:rPr>
                <w:i/>
                <w:color w:val="444751"/>
                <w:sz w:val="18"/>
              </w:rPr>
              <w:t>(Swansea</w:t>
            </w:r>
            <w:r>
              <w:rPr>
                <w:i/>
                <w:color w:val="444751"/>
                <w:spacing w:val="-3"/>
                <w:sz w:val="18"/>
              </w:rPr>
              <w:t> </w:t>
            </w:r>
            <w:r>
              <w:rPr>
                <w:i/>
                <w:color w:val="444751"/>
                <w:sz w:val="18"/>
              </w:rPr>
              <w:t>Bay</w:t>
            </w:r>
            <w:r>
              <w:rPr>
                <w:i/>
                <w:color w:val="444751"/>
                <w:spacing w:val="-2"/>
                <w:sz w:val="18"/>
              </w:rPr>
              <w:t> </w:t>
            </w:r>
            <w:r>
              <w:rPr>
                <w:i/>
                <w:color w:val="444751"/>
                <w:sz w:val="18"/>
              </w:rPr>
              <w:t>UHB</w:t>
            </w:r>
            <w:r>
              <w:rPr>
                <w:i/>
                <w:color w:val="444751"/>
                <w:spacing w:val="-1"/>
                <w:sz w:val="18"/>
              </w:rPr>
              <w:t> </w:t>
            </w:r>
            <w:r>
              <w:rPr>
                <w:i/>
                <w:color w:val="444751"/>
                <w:sz w:val="18"/>
              </w:rPr>
              <w:t>-</w:t>
            </w:r>
            <w:r>
              <w:rPr>
                <w:i/>
                <w:color w:val="444751"/>
                <w:spacing w:val="-1"/>
                <w:sz w:val="18"/>
              </w:rPr>
              <w:t> </w:t>
            </w:r>
            <w:r>
              <w:rPr>
                <w:i/>
                <w:color w:val="444751"/>
                <w:sz w:val="18"/>
              </w:rPr>
              <w:t>CEO),</w:t>
            </w:r>
            <w:r>
              <w:rPr>
                <w:i/>
                <w:color w:val="444751"/>
                <w:spacing w:val="-2"/>
                <w:sz w:val="18"/>
              </w:rPr>
              <w:t> </w:t>
            </w:r>
            <w:r>
              <w:rPr>
                <w:i/>
                <w:color w:val="444751"/>
                <w:sz w:val="18"/>
              </w:rPr>
              <w:t>Philip</w:t>
            </w:r>
            <w:r>
              <w:rPr>
                <w:i/>
                <w:color w:val="444751"/>
                <w:spacing w:val="-2"/>
                <w:sz w:val="18"/>
              </w:rPr>
              <w:t> </w:t>
            </w:r>
            <w:r>
              <w:rPr>
                <w:i/>
                <w:color w:val="444751"/>
                <w:sz w:val="18"/>
              </w:rPr>
              <w:t>Kloer</w:t>
            </w:r>
            <w:r>
              <w:rPr>
                <w:i/>
                <w:color w:val="444751"/>
                <w:spacing w:val="-2"/>
                <w:sz w:val="18"/>
              </w:rPr>
              <w:t> </w:t>
            </w:r>
            <w:r>
              <w:rPr>
                <w:i/>
                <w:color w:val="444751"/>
                <w:sz w:val="18"/>
              </w:rPr>
              <w:t>(Hywel</w:t>
            </w:r>
            <w:r>
              <w:rPr>
                <w:i/>
                <w:color w:val="444751"/>
                <w:spacing w:val="-1"/>
                <w:sz w:val="18"/>
              </w:rPr>
              <w:t> </w:t>
            </w:r>
            <w:r>
              <w:rPr>
                <w:i/>
                <w:color w:val="444751"/>
                <w:sz w:val="18"/>
              </w:rPr>
              <w:t>Dda</w:t>
            </w:r>
            <w:r>
              <w:rPr>
                <w:i/>
                <w:color w:val="444751"/>
                <w:spacing w:val="-2"/>
                <w:sz w:val="18"/>
              </w:rPr>
              <w:t> </w:t>
            </w:r>
            <w:r>
              <w:rPr>
                <w:i/>
                <w:color w:val="444751"/>
                <w:sz w:val="18"/>
              </w:rPr>
              <w:t>UHB</w:t>
            </w:r>
            <w:r>
              <w:rPr>
                <w:i/>
                <w:color w:val="444751"/>
                <w:spacing w:val="-1"/>
                <w:sz w:val="18"/>
              </w:rPr>
              <w:t> </w:t>
            </w:r>
            <w:r>
              <w:rPr>
                <w:i/>
                <w:color w:val="444751"/>
                <w:sz w:val="18"/>
              </w:rPr>
              <w:t>-</w:t>
            </w:r>
            <w:r>
              <w:rPr>
                <w:i/>
                <w:color w:val="444751"/>
                <w:spacing w:val="-2"/>
                <w:sz w:val="18"/>
              </w:rPr>
              <w:t> </w:t>
            </w:r>
            <w:r>
              <w:rPr>
                <w:i/>
                <w:color w:val="444751"/>
                <w:sz w:val="18"/>
              </w:rPr>
              <w:t>Chief</w:t>
            </w:r>
            <w:r>
              <w:rPr>
                <w:i/>
                <w:color w:val="444751"/>
                <w:spacing w:val="-1"/>
                <w:sz w:val="18"/>
              </w:rPr>
              <w:t> </w:t>
            </w:r>
            <w:r>
              <w:rPr>
                <w:i/>
                <w:color w:val="444751"/>
                <w:spacing w:val="-2"/>
                <w:sz w:val="18"/>
              </w:rPr>
              <w:t>Executive)</w:t>
            </w:r>
          </w:p>
        </w:tc>
      </w:tr>
    </w:tbl>
    <w:p>
      <w:pPr>
        <w:pStyle w:val="BodyText"/>
        <w:spacing w:before="97"/>
        <w:rPr>
          <w:sz w:val="20"/>
        </w:rPr>
      </w:pPr>
      <w:r>
        <w:rPr>
          <w:sz w:val="20"/>
        </w:rPr>
        <mc:AlternateContent>
          <mc:Choice Requires="wps">
            <w:drawing>
              <wp:anchor distT="0" distB="0" distL="0" distR="0" allowOverlap="1" layoutInCell="1" locked="0" behindDoc="1" simplePos="0" relativeHeight="487598080">
                <wp:simplePos x="0" y="0"/>
                <wp:positionH relativeFrom="page">
                  <wp:posOffset>914400</wp:posOffset>
                </wp:positionH>
                <wp:positionV relativeFrom="paragraph">
                  <wp:posOffset>222986</wp:posOffset>
                </wp:positionV>
                <wp:extent cx="5730875" cy="952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730875" cy="9525"/>
                        </a:xfrm>
                        <a:custGeom>
                          <a:avLst/>
                          <a:gdLst/>
                          <a:ahLst/>
                          <a:cxnLst/>
                          <a:rect l="l" t="t" r="r" b="b"/>
                          <a:pathLst>
                            <a:path w="5730875" h="9525">
                              <a:moveTo>
                                <a:pt x="5730875" y="0"/>
                              </a:moveTo>
                              <a:lnTo>
                                <a:pt x="0" y="0"/>
                              </a:lnTo>
                              <a:lnTo>
                                <a:pt x="0" y="9525"/>
                              </a:lnTo>
                              <a:lnTo>
                                <a:pt x="5730875" y="9525"/>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7.558008pt;width:451.25pt;height:.75pt;mso-position-horizontal-relative:page;mso-position-vertical-relative:paragraph;z-index:-15718400;mso-wrap-distance-left:0;mso-wrap-distance-right:0" id="docshape22" filled="true" fillcolor="#9f9f9f" stroked="false">
                <v:fill type="solid"/>
                <w10:wrap type="topAndBottom"/>
              </v:rect>
            </w:pict>
          </mc:Fallback>
        </mc:AlternateContent>
      </w:r>
    </w:p>
    <w:p>
      <w:pPr>
        <w:pStyle w:val="BodyText"/>
        <w:spacing w:before="7"/>
        <w:rPr>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7175"/>
      </w:tblGrid>
      <w:tr>
        <w:trPr>
          <w:trHeight w:val="612" w:hRule="atLeast"/>
        </w:trPr>
        <w:tc>
          <w:tcPr>
            <w:tcW w:w="1014" w:type="dxa"/>
          </w:tcPr>
          <w:p>
            <w:pPr>
              <w:pStyle w:val="TableParagraph"/>
              <w:spacing w:line="251" w:lineRule="exact"/>
              <w:ind w:left="50"/>
              <w:rPr>
                <w:b/>
                <w:sz w:val="22"/>
              </w:rPr>
            </w:pPr>
            <w:r>
              <w:rPr>
                <w:b/>
                <w:spacing w:val="-10"/>
                <w:sz w:val="22"/>
              </w:rPr>
              <w:t>8</w:t>
            </w:r>
          </w:p>
        </w:tc>
        <w:tc>
          <w:tcPr>
            <w:tcW w:w="7175" w:type="dxa"/>
          </w:tcPr>
          <w:p>
            <w:pPr>
              <w:pStyle w:val="TableParagraph"/>
              <w:spacing w:line="246" w:lineRule="exact"/>
              <w:ind w:left="842"/>
              <w:rPr>
                <w:b/>
                <w:sz w:val="22"/>
              </w:rPr>
            </w:pPr>
            <w:r>
              <w:rPr>
                <w:b/>
                <w:sz w:val="22"/>
              </w:rPr>
              <w:t>Minutes</w:t>
            </w:r>
            <w:r>
              <w:rPr>
                <w:b/>
                <w:spacing w:val="-5"/>
                <w:sz w:val="22"/>
              </w:rPr>
              <w:t> </w:t>
            </w:r>
            <w:r>
              <w:rPr>
                <w:b/>
                <w:sz w:val="22"/>
              </w:rPr>
              <w:t>and</w:t>
            </w:r>
            <w:r>
              <w:rPr>
                <w:b/>
                <w:spacing w:val="-4"/>
                <w:sz w:val="22"/>
              </w:rPr>
              <w:t> </w:t>
            </w:r>
            <w:r>
              <w:rPr>
                <w:b/>
                <w:sz w:val="22"/>
              </w:rPr>
              <w:t>Actions,</w:t>
            </w:r>
            <w:r>
              <w:rPr>
                <w:b/>
                <w:spacing w:val="-5"/>
                <w:sz w:val="22"/>
              </w:rPr>
              <w:t> </w:t>
            </w:r>
            <w:r>
              <w:rPr>
                <w:b/>
                <w:sz w:val="22"/>
              </w:rPr>
              <w:t>Closing</w:t>
            </w:r>
            <w:r>
              <w:rPr>
                <w:b/>
                <w:spacing w:val="-4"/>
                <w:sz w:val="22"/>
              </w:rPr>
              <w:t> </w:t>
            </w:r>
            <w:r>
              <w:rPr>
                <w:b/>
                <w:sz w:val="22"/>
              </w:rPr>
              <w:t>Remarks</w:t>
            </w:r>
            <w:r>
              <w:rPr>
                <w:b/>
                <w:spacing w:val="-2"/>
                <w:sz w:val="22"/>
              </w:rPr>
              <w:t> </w:t>
            </w:r>
            <w:r>
              <w:rPr>
                <w:b/>
                <w:sz w:val="22"/>
              </w:rPr>
              <w:t>and</w:t>
            </w:r>
            <w:r>
              <w:rPr>
                <w:b/>
                <w:spacing w:val="-4"/>
                <w:sz w:val="22"/>
              </w:rPr>
              <w:t> </w:t>
            </w:r>
            <w:r>
              <w:rPr>
                <w:b/>
                <w:sz w:val="22"/>
              </w:rPr>
              <w:t>Future</w:t>
            </w:r>
            <w:r>
              <w:rPr>
                <w:b/>
                <w:spacing w:val="-3"/>
                <w:sz w:val="22"/>
              </w:rPr>
              <w:t> </w:t>
            </w:r>
            <w:r>
              <w:rPr>
                <w:b/>
                <w:spacing w:val="-2"/>
                <w:sz w:val="22"/>
              </w:rPr>
              <w:t>Meetings</w:t>
            </w:r>
          </w:p>
          <w:p>
            <w:pPr>
              <w:pStyle w:val="TableParagraph"/>
              <w:spacing w:line="187" w:lineRule="exact" w:before="159"/>
              <w:ind w:left="842"/>
              <w:rPr>
                <w:sz w:val="18"/>
              </w:rPr>
            </w:pPr>
            <w:r>
              <w:rPr>
                <w:color w:val="444751"/>
                <w:sz w:val="18"/>
              </w:rPr>
              <w:t>12:15</w:t>
            </w:r>
            <w:r>
              <w:rPr>
                <w:color w:val="444751"/>
                <w:spacing w:val="-3"/>
                <w:sz w:val="18"/>
              </w:rPr>
              <w:t> </w:t>
            </w:r>
            <w:r>
              <w:rPr>
                <w:color w:val="444751"/>
                <w:sz w:val="18"/>
              </w:rPr>
              <w:t>PM,</w:t>
            </w:r>
            <w:r>
              <w:rPr>
                <w:color w:val="444751"/>
                <w:spacing w:val="-3"/>
                <w:sz w:val="18"/>
              </w:rPr>
              <w:t> </w:t>
            </w:r>
            <w:r>
              <w:rPr>
                <w:color w:val="444751"/>
                <w:sz w:val="18"/>
              </w:rPr>
              <w:t>0</w:t>
            </w:r>
            <w:r>
              <w:rPr>
                <w:color w:val="444751"/>
                <w:spacing w:val="-3"/>
                <w:sz w:val="18"/>
              </w:rPr>
              <w:t> </w:t>
            </w:r>
            <w:r>
              <w:rPr>
                <w:color w:val="444751"/>
                <w:spacing w:val="-5"/>
                <w:sz w:val="18"/>
              </w:rPr>
              <w:t>min</w:t>
            </w:r>
          </w:p>
        </w:tc>
      </w:tr>
    </w:tbl>
    <w:p>
      <w:pPr>
        <w:pStyle w:val="BodyText"/>
        <w:spacing w:before="96"/>
        <w:rPr>
          <w:sz w:val="20"/>
        </w:rPr>
      </w:pPr>
      <w:r>
        <w:rPr>
          <w:sz w:val="20"/>
        </w:rPr>
        <mc:AlternateContent>
          <mc:Choice Requires="wps">
            <w:drawing>
              <wp:anchor distT="0" distB="0" distL="0" distR="0" allowOverlap="1" layoutInCell="1" locked="0" behindDoc="1" simplePos="0" relativeHeight="487598592">
                <wp:simplePos x="0" y="0"/>
                <wp:positionH relativeFrom="page">
                  <wp:posOffset>1200150</wp:posOffset>
                </wp:positionH>
                <wp:positionV relativeFrom="paragraph">
                  <wp:posOffset>222605</wp:posOffset>
                </wp:positionV>
                <wp:extent cx="5445125" cy="9525"/>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528008pt;width:428.75pt;height:.75pt;mso-position-horizontal-relative:page;mso-position-vertical-relative:paragraph;z-index:-15717888;mso-wrap-distance-left:0;mso-wrap-distance-right:0" id="docshape23" filled="true" fillcolor="#9f9f9f" stroked="false">
                <v:fill type="solid"/>
                <w10:wrap type="topAndBottom"/>
              </v:rect>
            </w:pict>
          </mc:Fallback>
        </mc:AlternateContent>
      </w:r>
    </w:p>
    <w:p>
      <w:pPr>
        <w:pStyle w:val="BodyText"/>
        <w:spacing w:before="7" w:after="1"/>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617"/>
      </w:tblGrid>
      <w:tr>
        <w:trPr>
          <w:trHeight w:val="1022" w:hRule="atLeast"/>
        </w:trPr>
        <w:tc>
          <w:tcPr>
            <w:tcW w:w="881" w:type="dxa"/>
          </w:tcPr>
          <w:p>
            <w:pPr>
              <w:pStyle w:val="TableParagraph"/>
              <w:spacing w:line="251" w:lineRule="exact"/>
              <w:ind w:left="50"/>
              <w:rPr>
                <w:b/>
                <w:sz w:val="22"/>
              </w:rPr>
            </w:pPr>
            <w:r>
              <w:rPr>
                <w:b/>
                <w:spacing w:val="-5"/>
                <w:sz w:val="22"/>
              </w:rPr>
              <w:t>8.1</w:t>
            </w:r>
          </w:p>
        </w:tc>
        <w:tc>
          <w:tcPr>
            <w:tcW w:w="7617" w:type="dxa"/>
          </w:tcPr>
          <w:p>
            <w:pPr>
              <w:pStyle w:val="TableParagraph"/>
              <w:spacing w:line="246" w:lineRule="exact"/>
              <w:ind w:left="524"/>
              <w:rPr>
                <w:b/>
                <w:sz w:val="22"/>
              </w:rPr>
            </w:pPr>
            <w:r>
              <w:rPr>
                <w:b/>
                <w:sz w:val="22"/>
              </w:rPr>
              <w:t>RJC/46:</w:t>
            </w:r>
            <w:r>
              <w:rPr>
                <w:b/>
                <w:spacing w:val="-3"/>
                <w:sz w:val="22"/>
              </w:rPr>
              <w:t> </w:t>
            </w:r>
            <w:r>
              <w:rPr>
                <w:b/>
                <w:sz w:val="22"/>
              </w:rPr>
              <w:t>Minutes</w:t>
            </w:r>
            <w:r>
              <w:rPr>
                <w:b/>
                <w:spacing w:val="-3"/>
                <w:sz w:val="22"/>
              </w:rPr>
              <w:t> </w:t>
            </w:r>
            <w:r>
              <w:rPr>
                <w:b/>
                <w:sz w:val="22"/>
              </w:rPr>
              <w:t>of</w:t>
            </w:r>
            <w:r>
              <w:rPr>
                <w:b/>
                <w:spacing w:val="-2"/>
                <w:sz w:val="22"/>
              </w:rPr>
              <w:t> </w:t>
            </w:r>
            <w:r>
              <w:rPr>
                <w:b/>
                <w:sz w:val="22"/>
              </w:rPr>
              <w:t>Previous</w:t>
            </w:r>
            <w:r>
              <w:rPr>
                <w:b/>
                <w:spacing w:val="-2"/>
                <w:sz w:val="22"/>
              </w:rPr>
              <w:t> </w:t>
            </w:r>
            <w:r>
              <w:rPr>
                <w:b/>
                <w:sz w:val="22"/>
              </w:rPr>
              <w:t>Meeting</w:t>
            </w:r>
            <w:r>
              <w:rPr>
                <w:b/>
                <w:spacing w:val="-4"/>
                <w:sz w:val="22"/>
              </w:rPr>
              <w:t> </w:t>
            </w:r>
            <w:r>
              <w:rPr>
                <w:b/>
                <w:sz w:val="22"/>
              </w:rPr>
              <w:t>held</w:t>
            </w:r>
            <w:r>
              <w:rPr>
                <w:b/>
                <w:spacing w:val="-3"/>
                <w:sz w:val="22"/>
              </w:rPr>
              <w:t> </w:t>
            </w:r>
            <w:r>
              <w:rPr>
                <w:b/>
                <w:sz w:val="22"/>
              </w:rPr>
              <w:t>on</w:t>
            </w:r>
            <w:r>
              <w:rPr>
                <w:b/>
                <w:spacing w:val="-3"/>
                <w:sz w:val="22"/>
              </w:rPr>
              <w:t> </w:t>
            </w:r>
            <w:r>
              <w:rPr>
                <w:b/>
                <w:sz w:val="22"/>
              </w:rPr>
              <w:t>16th</w:t>
            </w:r>
            <w:r>
              <w:rPr>
                <w:b/>
                <w:spacing w:val="-3"/>
                <w:sz w:val="22"/>
              </w:rPr>
              <w:t> </w:t>
            </w:r>
            <w:r>
              <w:rPr>
                <w:b/>
                <w:sz w:val="22"/>
              </w:rPr>
              <w:t>April</w:t>
            </w:r>
            <w:r>
              <w:rPr>
                <w:b/>
                <w:spacing w:val="-5"/>
                <w:sz w:val="22"/>
              </w:rPr>
              <w:t> </w:t>
            </w:r>
            <w:r>
              <w:rPr>
                <w:b/>
                <w:spacing w:val="-4"/>
                <w:sz w:val="22"/>
              </w:rPr>
              <w:t>2026</w:t>
            </w:r>
          </w:p>
          <w:p>
            <w:pPr>
              <w:pStyle w:val="TableParagraph"/>
              <w:spacing w:before="154"/>
              <w:ind w:left="524"/>
              <w:rPr>
                <w:sz w:val="18"/>
              </w:rPr>
            </w:pPr>
            <w:r>
              <w:rPr>
                <w:color w:val="444751"/>
                <w:sz w:val="18"/>
              </w:rPr>
              <w:t>12:15</w:t>
            </w:r>
            <w:r>
              <w:rPr>
                <w:color w:val="444751"/>
                <w:spacing w:val="-3"/>
                <w:sz w:val="18"/>
              </w:rPr>
              <w:t> </w:t>
            </w:r>
            <w:r>
              <w:rPr>
                <w:color w:val="444751"/>
                <w:sz w:val="18"/>
              </w:rPr>
              <w:t>PM,</w:t>
            </w:r>
            <w:r>
              <w:rPr>
                <w:color w:val="444751"/>
                <w:spacing w:val="-3"/>
                <w:sz w:val="18"/>
              </w:rPr>
              <w:t> </w:t>
            </w:r>
            <w:r>
              <w:rPr>
                <w:color w:val="444751"/>
                <w:sz w:val="18"/>
              </w:rPr>
              <w:t>5</w:t>
            </w:r>
            <w:r>
              <w:rPr>
                <w:color w:val="444751"/>
                <w:spacing w:val="-3"/>
                <w:sz w:val="18"/>
              </w:rPr>
              <w:t> </w:t>
            </w:r>
            <w:r>
              <w:rPr>
                <w:color w:val="444751"/>
                <w:spacing w:val="-5"/>
                <w:sz w:val="18"/>
              </w:rPr>
              <w:t>min</w:t>
            </w:r>
          </w:p>
          <w:p>
            <w:pPr>
              <w:pStyle w:val="TableParagraph"/>
              <w:spacing w:line="206" w:lineRule="exact"/>
              <w:ind w:left="524"/>
              <w:rPr>
                <w:i/>
                <w:sz w:val="18"/>
              </w:rPr>
            </w:pPr>
            <w:r>
              <w:rPr>
                <w:i/>
                <w:color w:val="444751"/>
                <w:sz w:val="18"/>
              </w:rPr>
              <w:t>Jan</w:t>
            </w:r>
            <w:r>
              <w:rPr>
                <w:i/>
                <w:color w:val="444751"/>
                <w:spacing w:val="-3"/>
                <w:sz w:val="18"/>
              </w:rPr>
              <w:t> </w:t>
            </w:r>
            <w:r>
              <w:rPr>
                <w:i/>
                <w:color w:val="444751"/>
                <w:sz w:val="18"/>
              </w:rPr>
              <w:t>Williams</w:t>
            </w:r>
            <w:r>
              <w:rPr>
                <w:i/>
                <w:color w:val="444751"/>
                <w:spacing w:val="-3"/>
                <w:sz w:val="18"/>
              </w:rPr>
              <w:t> </w:t>
            </w:r>
            <w:r>
              <w:rPr>
                <w:i/>
                <w:color w:val="444751"/>
                <w:sz w:val="18"/>
              </w:rPr>
              <w:t>(Swansea</w:t>
            </w:r>
            <w:r>
              <w:rPr>
                <w:i/>
                <w:color w:val="444751"/>
                <w:spacing w:val="-3"/>
                <w:sz w:val="18"/>
              </w:rPr>
              <w:t> </w:t>
            </w:r>
            <w:r>
              <w:rPr>
                <w:i/>
                <w:color w:val="444751"/>
                <w:sz w:val="18"/>
              </w:rPr>
              <w:t>Bay</w:t>
            </w:r>
            <w:r>
              <w:rPr>
                <w:i/>
                <w:color w:val="444751"/>
                <w:spacing w:val="-3"/>
                <w:sz w:val="18"/>
              </w:rPr>
              <w:t> </w:t>
            </w:r>
            <w:r>
              <w:rPr>
                <w:i/>
                <w:color w:val="444751"/>
                <w:sz w:val="18"/>
              </w:rPr>
              <w:t>UHB</w:t>
            </w:r>
            <w:r>
              <w:rPr>
                <w:i/>
                <w:color w:val="444751"/>
                <w:spacing w:val="-3"/>
                <w:sz w:val="18"/>
              </w:rPr>
              <w:t> </w:t>
            </w:r>
            <w:r>
              <w:rPr>
                <w:i/>
                <w:color w:val="444751"/>
                <w:sz w:val="18"/>
              </w:rPr>
              <w:t>-</w:t>
            </w:r>
            <w:r>
              <w:rPr>
                <w:i/>
                <w:color w:val="444751"/>
                <w:spacing w:val="-3"/>
                <w:sz w:val="18"/>
              </w:rPr>
              <w:t> </w:t>
            </w:r>
            <w:r>
              <w:rPr>
                <w:i/>
                <w:color w:val="444751"/>
                <w:sz w:val="18"/>
              </w:rPr>
              <w:t>Corporate),</w:t>
            </w:r>
            <w:r>
              <w:rPr>
                <w:i/>
                <w:color w:val="444751"/>
                <w:spacing w:val="-3"/>
                <w:sz w:val="18"/>
              </w:rPr>
              <w:t> </w:t>
            </w:r>
            <w:r>
              <w:rPr>
                <w:i/>
                <w:color w:val="444751"/>
                <w:sz w:val="18"/>
              </w:rPr>
              <w:t>Neil</w:t>
            </w:r>
            <w:r>
              <w:rPr>
                <w:i/>
                <w:color w:val="444751"/>
                <w:spacing w:val="-3"/>
                <w:sz w:val="18"/>
              </w:rPr>
              <w:t> </w:t>
            </w:r>
            <w:r>
              <w:rPr>
                <w:i/>
                <w:color w:val="444751"/>
                <w:sz w:val="18"/>
              </w:rPr>
              <w:t>Wooding</w:t>
            </w:r>
            <w:r>
              <w:rPr>
                <w:i/>
                <w:color w:val="444751"/>
                <w:spacing w:val="-3"/>
                <w:sz w:val="18"/>
              </w:rPr>
              <w:t> </w:t>
            </w:r>
            <w:r>
              <w:rPr>
                <w:i/>
                <w:color w:val="444751"/>
                <w:sz w:val="18"/>
              </w:rPr>
              <w:t>(Hywel</w:t>
            </w:r>
            <w:r>
              <w:rPr>
                <w:i/>
                <w:color w:val="444751"/>
                <w:spacing w:val="-3"/>
                <w:sz w:val="18"/>
              </w:rPr>
              <w:t> </w:t>
            </w:r>
            <w:r>
              <w:rPr>
                <w:i/>
                <w:color w:val="444751"/>
                <w:sz w:val="18"/>
              </w:rPr>
              <w:t>Dda</w:t>
            </w:r>
            <w:r>
              <w:rPr>
                <w:i/>
                <w:color w:val="444751"/>
                <w:spacing w:val="-3"/>
                <w:sz w:val="18"/>
              </w:rPr>
              <w:t> </w:t>
            </w:r>
            <w:r>
              <w:rPr>
                <w:i/>
                <w:color w:val="444751"/>
                <w:sz w:val="18"/>
              </w:rPr>
              <w:t>UHB</w:t>
            </w:r>
            <w:r>
              <w:rPr>
                <w:i/>
                <w:color w:val="444751"/>
                <w:spacing w:val="-2"/>
                <w:sz w:val="18"/>
              </w:rPr>
              <w:t> </w:t>
            </w:r>
            <w:r>
              <w:rPr>
                <w:i/>
                <w:color w:val="444751"/>
                <w:sz w:val="18"/>
              </w:rPr>
              <w:t>-</w:t>
            </w:r>
            <w:r>
              <w:rPr>
                <w:i/>
                <w:color w:val="444751"/>
                <w:spacing w:val="-3"/>
                <w:sz w:val="18"/>
              </w:rPr>
              <w:t> </w:t>
            </w:r>
            <w:r>
              <w:rPr>
                <w:i/>
                <w:color w:val="444751"/>
                <w:sz w:val="18"/>
              </w:rPr>
              <w:t>Chair</w:t>
            </w:r>
            <w:r>
              <w:rPr>
                <w:i/>
                <w:color w:val="444751"/>
                <w:spacing w:val="-3"/>
                <w:sz w:val="18"/>
              </w:rPr>
              <w:t> </w:t>
            </w:r>
            <w:r>
              <w:rPr>
                <w:i/>
                <w:color w:val="444751"/>
                <w:sz w:val="18"/>
              </w:rPr>
              <w:t>of</w:t>
            </w:r>
            <w:r>
              <w:rPr>
                <w:i/>
                <w:color w:val="444751"/>
                <w:sz w:val="18"/>
              </w:rPr>
              <w:t> Hywel Dda University Health Board)</w:t>
            </w:r>
          </w:p>
        </w:tc>
      </w:tr>
    </w:tbl>
    <w:p>
      <w:pPr>
        <w:pStyle w:val="BodyText"/>
        <w:spacing w:before="96"/>
        <w:rPr>
          <w:sz w:val="20"/>
        </w:rPr>
      </w:pPr>
      <w:r>
        <w:rPr>
          <w:sz w:val="20"/>
        </w:rPr>
        <mc:AlternateContent>
          <mc:Choice Requires="wps">
            <w:drawing>
              <wp:anchor distT="0" distB="0" distL="0" distR="0" allowOverlap="1" layoutInCell="1" locked="0" behindDoc="1" simplePos="0" relativeHeight="487599104">
                <wp:simplePos x="0" y="0"/>
                <wp:positionH relativeFrom="page">
                  <wp:posOffset>1200150</wp:posOffset>
                </wp:positionH>
                <wp:positionV relativeFrom="paragraph">
                  <wp:posOffset>222351</wp:posOffset>
                </wp:positionV>
                <wp:extent cx="5445125" cy="9525"/>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508007pt;width:428.75pt;height:.75pt;mso-position-horizontal-relative:page;mso-position-vertical-relative:paragraph;z-index:-15717376;mso-wrap-distance-left:0;mso-wrap-distance-right:0" id="docshape24" filled="true" fillcolor="#9f9f9f" stroked="false">
                <v:fill type="solid"/>
                <w10:wrap type="topAndBottom"/>
              </v:rect>
            </w:pict>
          </mc:Fallback>
        </mc:AlternateContent>
      </w:r>
    </w:p>
    <w:p>
      <w:pPr>
        <w:pStyle w:val="BodyText"/>
        <w:spacing w:before="8"/>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617"/>
      </w:tblGrid>
      <w:tr>
        <w:trPr>
          <w:trHeight w:val="1022" w:hRule="atLeast"/>
        </w:trPr>
        <w:tc>
          <w:tcPr>
            <w:tcW w:w="881" w:type="dxa"/>
          </w:tcPr>
          <w:p>
            <w:pPr>
              <w:pStyle w:val="TableParagraph"/>
              <w:spacing w:line="251" w:lineRule="exact"/>
              <w:ind w:left="50"/>
              <w:rPr>
                <w:b/>
                <w:sz w:val="22"/>
              </w:rPr>
            </w:pPr>
            <w:r>
              <w:rPr>
                <w:b/>
                <w:spacing w:val="-5"/>
                <w:sz w:val="22"/>
              </w:rPr>
              <w:t>8.2</w:t>
            </w:r>
          </w:p>
        </w:tc>
        <w:tc>
          <w:tcPr>
            <w:tcW w:w="7617" w:type="dxa"/>
          </w:tcPr>
          <w:p>
            <w:pPr>
              <w:pStyle w:val="TableParagraph"/>
              <w:spacing w:line="246" w:lineRule="exact"/>
              <w:ind w:left="524"/>
              <w:rPr>
                <w:b/>
                <w:sz w:val="22"/>
              </w:rPr>
            </w:pPr>
            <w:r>
              <w:rPr>
                <w:b/>
                <w:sz w:val="22"/>
              </w:rPr>
              <w:t>RJC/47:</w:t>
            </w:r>
            <w:r>
              <w:rPr>
                <w:b/>
                <w:spacing w:val="-6"/>
                <w:sz w:val="22"/>
              </w:rPr>
              <w:t> </w:t>
            </w:r>
            <w:r>
              <w:rPr>
                <w:b/>
                <w:sz w:val="22"/>
              </w:rPr>
              <w:t>Table of</w:t>
            </w:r>
            <w:r>
              <w:rPr>
                <w:b/>
                <w:spacing w:val="1"/>
                <w:sz w:val="22"/>
              </w:rPr>
              <w:t> </w:t>
            </w:r>
            <w:r>
              <w:rPr>
                <w:b/>
                <w:spacing w:val="-2"/>
                <w:sz w:val="22"/>
              </w:rPr>
              <w:t>Actions</w:t>
            </w:r>
          </w:p>
          <w:p>
            <w:pPr>
              <w:pStyle w:val="TableParagraph"/>
              <w:spacing w:line="206" w:lineRule="exact" w:before="159"/>
              <w:ind w:left="524"/>
              <w:rPr>
                <w:sz w:val="18"/>
              </w:rPr>
            </w:pPr>
            <w:r>
              <w:rPr>
                <w:color w:val="444751"/>
                <w:sz w:val="18"/>
              </w:rPr>
              <w:t>12:20</w:t>
            </w:r>
            <w:r>
              <w:rPr>
                <w:color w:val="444751"/>
                <w:spacing w:val="-3"/>
                <w:sz w:val="18"/>
              </w:rPr>
              <w:t> </w:t>
            </w:r>
            <w:r>
              <w:rPr>
                <w:color w:val="444751"/>
                <w:sz w:val="18"/>
              </w:rPr>
              <w:t>PM,</w:t>
            </w:r>
            <w:r>
              <w:rPr>
                <w:color w:val="444751"/>
                <w:spacing w:val="-3"/>
                <w:sz w:val="18"/>
              </w:rPr>
              <w:t> </w:t>
            </w:r>
            <w:r>
              <w:rPr>
                <w:color w:val="444751"/>
                <w:sz w:val="18"/>
              </w:rPr>
              <w:t>5</w:t>
            </w:r>
            <w:r>
              <w:rPr>
                <w:color w:val="444751"/>
                <w:spacing w:val="-3"/>
                <w:sz w:val="18"/>
              </w:rPr>
              <w:t> </w:t>
            </w:r>
            <w:r>
              <w:rPr>
                <w:color w:val="444751"/>
                <w:spacing w:val="-5"/>
                <w:sz w:val="18"/>
              </w:rPr>
              <w:t>min</w:t>
            </w:r>
          </w:p>
          <w:p>
            <w:pPr>
              <w:pStyle w:val="TableParagraph"/>
              <w:spacing w:line="206" w:lineRule="exact"/>
              <w:ind w:left="524"/>
              <w:rPr>
                <w:i/>
                <w:sz w:val="18"/>
              </w:rPr>
            </w:pPr>
            <w:r>
              <w:rPr>
                <w:i/>
                <w:color w:val="444751"/>
                <w:sz w:val="18"/>
              </w:rPr>
              <w:t>Jan</w:t>
            </w:r>
            <w:r>
              <w:rPr>
                <w:i/>
                <w:color w:val="444751"/>
                <w:spacing w:val="-3"/>
                <w:sz w:val="18"/>
              </w:rPr>
              <w:t> </w:t>
            </w:r>
            <w:r>
              <w:rPr>
                <w:i/>
                <w:color w:val="444751"/>
                <w:sz w:val="18"/>
              </w:rPr>
              <w:t>Williams</w:t>
            </w:r>
            <w:r>
              <w:rPr>
                <w:i/>
                <w:color w:val="444751"/>
                <w:spacing w:val="-3"/>
                <w:sz w:val="18"/>
              </w:rPr>
              <w:t> </w:t>
            </w:r>
            <w:r>
              <w:rPr>
                <w:i/>
                <w:color w:val="444751"/>
                <w:sz w:val="18"/>
              </w:rPr>
              <w:t>(Swansea</w:t>
            </w:r>
            <w:r>
              <w:rPr>
                <w:i/>
                <w:color w:val="444751"/>
                <w:spacing w:val="-3"/>
                <w:sz w:val="18"/>
              </w:rPr>
              <w:t> </w:t>
            </w:r>
            <w:r>
              <w:rPr>
                <w:i/>
                <w:color w:val="444751"/>
                <w:sz w:val="18"/>
              </w:rPr>
              <w:t>Bay</w:t>
            </w:r>
            <w:r>
              <w:rPr>
                <w:i/>
                <w:color w:val="444751"/>
                <w:spacing w:val="-3"/>
                <w:sz w:val="18"/>
              </w:rPr>
              <w:t> </w:t>
            </w:r>
            <w:r>
              <w:rPr>
                <w:i/>
                <w:color w:val="444751"/>
                <w:sz w:val="18"/>
              </w:rPr>
              <w:t>UHB</w:t>
            </w:r>
            <w:r>
              <w:rPr>
                <w:i/>
                <w:color w:val="444751"/>
                <w:spacing w:val="-3"/>
                <w:sz w:val="18"/>
              </w:rPr>
              <w:t> </w:t>
            </w:r>
            <w:r>
              <w:rPr>
                <w:i/>
                <w:color w:val="444751"/>
                <w:sz w:val="18"/>
              </w:rPr>
              <w:t>-</w:t>
            </w:r>
            <w:r>
              <w:rPr>
                <w:i/>
                <w:color w:val="444751"/>
                <w:spacing w:val="-3"/>
                <w:sz w:val="18"/>
              </w:rPr>
              <w:t> </w:t>
            </w:r>
            <w:r>
              <w:rPr>
                <w:i/>
                <w:color w:val="444751"/>
                <w:sz w:val="18"/>
              </w:rPr>
              <w:t>Corporate),</w:t>
            </w:r>
            <w:r>
              <w:rPr>
                <w:i/>
                <w:color w:val="444751"/>
                <w:spacing w:val="-3"/>
                <w:sz w:val="18"/>
              </w:rPr>
              <w:t> </w:t>
            </w:r>
            <w:r>
              <w:rPr>
                <w:i/>
                <w:color w:val="444751"/>
                <w:sz w:val="18"/>
              </w:rPr>
              <w:t>Neil</w:t>
            </w:r>
            <w:r>
              <w:rPr>
                <w:i/>
                <w:color w:val="444751"/>
                <w:spacing w:val="-3"/>
                <w:sz w:val="18"/>
              </w:rPr>
              <w:t> </w:t>
            </w:r>
            <w:r>
              <w:rPr>
                <w:i/>
                <w:color w:val="444751"/>
                <w:sz w:val="18"/>
              </w:rPr>
              <w:t>Wooding</w:t>
            </w:r>
            <w:r>
              <w:rPr>
                <w:i/>
                <w:color w:val="444751"/>
                <w:spacing w:val="-3"/>
                <w:sz w:val="18"/>
              </w:rPr>
              <w:t> </w:t>
            </w:r>
            <w:r>
              <w:rPr>
                <w:i/>
                <w:color w:val="444751"/>
                <w:sz w:val="18"/>
              </w:rPr>
              <w:t>(Hywel</w:t>
            </w:r>
            <w:r>
              <w:rPr>
                <w:i/>
                <w:color w:val="444751"/>
                <w:spacing w:val="-3"/>
                <w:sz w:val="18"/>
              </w:rPr>
              <w:t> </w:t>
            </w:r>
            <w:r>
              <w:rPr>
                <w:i/>
                <w:color w:val="444751"/>
                <w:sz w:val="18"/>
              </w:rPr>
              <w:t>Dda</w:t>
            </w:r>
            <w:r>
              <w:rPr>
                <w:i/>
                <w:color w:val="444751"/>
                <w:spacing w:val="-3"/>
                <w:sz w:val="18"/>
              </w:rPr>
              <w:t> </w:t>
            </w:r>
            <w:r>
              <w:rPr>
                <w:i/>
                <w:color w:val="444751"/>
                <w:sz w:val="18"/>
              </w:rPr>
              <w:t>UHB</w:t>
            </w:r>
            <w:r>
              <w:rPr>
                <w:i/>
                <w:color w:val="444751"/>
                <w:spacing w:val="-2"/>
                <w:sz w:val="18"/>
              </w:rPr>
              <w:t> </w:t>
            </w:r>
            <w:r>
              <w:rPr>
                <w:i/>
                <w:color w:val="444751"/>
                <w:sz w:val="18"/>
              </w:rPr>
              <w:t>-</w:t>
            </w:r>
            <w:r>
              <w:rPr>
                <w:i/>
                <w:color w:val="444751"/>
                <w:spacing w:val="-3"/>
                <w:sz w:val="18"/>
              </w:rPr>
              <w:t> </w:t>
            </w:r>
            <w:r>
              <w:rPr>
                <w:i/>
                <w:color w:val="444751"/>
                <w:sz w:val="18"/>
              </w:rPr>
              <w:t>Chair</w:t>
            </w:r>
            <w:r>
              <w:rPr>
                <w:i/>
                <w:color w:val="444751"/>
                <w:spacing w:val="-3"/>
                <w:sz w:val="18"/>
              </w:rPr>
              <w:t> </w:t>
            </w:r>
            <w:r>
              <w:rPr>
                <w:i/>
                <w:color w:val="444751"/>
                <w:sz w:val="18"/>
              </w:rPr>
              <w:t>of</w:t>
            </w:r>
            <w:r>
              <w:rPr>
                <w:i/>
                <w:color w:val="444751"/>
                <w:sz w:val="18"/>
              </w:rPr>
              <w:t> Hywel Dda University Health Board)</w:t>
            </w:r>
          </w:p>
        </w:tc>
      </w:tr>
    </w:tbl>
    <w:p>
      <w:pPr>
        <w:pStyle w:val="BodyText"/>
        <w:spacing w:before="100"/>
        <w:rPr>
          <w:sz w:val="20"/>
        </w:rPr>
      </w:pPr>
      <w:r>
        <w:rPr>
          <w:sz w:val="20"/>
        </w:rPr>
        <mc:AlternateContent>
          <mc:Choice Requires="wps">
            <w:drawing>
              <wp:anchor distT="0" distB="0" distL="0" distR="0" allowOverlap="1" layoutInCell="1" locked="0" behindDoc="1" simplePos="0" relativeHeight="487599616">
                <wp:simplePos x="0" y="0"/>
                <wp:positionH relativeFrom="page">
                  <wp:posOffset>1200150</wp:posOffset>
                </wp:positionH>
                <wp:positionV relativeFrom="paragraph">
                  <wp:posOffset>225272</wp:posOffset>
                </wp:positionV>
                <wp:extent cx="5445125" cy="952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738008pt;width:428.75pt;height:.75pt;mso-position-horizontal-relative:page;mso-position-vertical-relative:paragraph;z-index:-15716864;mso-wrap-distance-left:0;mso-wrap-distance-right:0" id="docshape25" filled="true" fillcolor="#9f9f9f" stroked="false">
                <v:fill type="solid"/>
                <w10:wrap type="topAndBottom"/>
              </v:rect>
            </w:pict>
          </mc:Fallback>
        </mc:AlternateContent>
      </w:r>
    </w:p>
    <w:p>
      <w:pPr>
        <w:pStyle w:val="BodyText"/>
        <w:spacing w:before="3" w:after="1"/>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617"/>
      </w:tblGrid>
      <w:tr>
        <w:trPr>
          <w:trHeight w:val="1027" w:hRule="atLeast"/>
        </w:trPr>
        <w:tc>
          <w:tcPr>
            <w:tcW w:w="881" w:type="dxa"/>
          </w:tcPr>
          <w:p>
            <w:pPr>
              <w:pStyle w:val="TableParagraph"/>
              <w:spacing w:line="251" w:lineRule="exact"/>
              <w:ind w:left="50"/>
              <w:rPr>
                <w:b/>
                <w:sz w:val="22"/>
              </w:rPr>
            </w:pPr>
            <w:r>
              <w:rPr>
                <w:b/>
                <w:spacing w:val="-5"/>
                <w:sz w:val="22"/>
              </w:rPr>
              <w:t>8.3</w:t>
            </w:r>
          </w:p>
        </w:tc>
        <w:tc>
          <w:tcPr>
            <w:tcW w:w="7617" w:type="dxa"/>
          </w:tcPr>
          <w:p>
            <w:pPr>
              <w:pStyle w:val="TableParagraph"/>
              <w:spacing w:line="246" w:lineRule="exact"/>
              <w:ind w:left="524"/>
              <w:rPr>
                <w:b/>
                <w:sz w:val="22"/>
              </w:rPr>
            </w:pPr>
            <w:r>
              <w:rPr>
                <w:b/>
                <w:sz w:val="22"/>
              </w:rPr>
              <w:t>RJC/48:</w:t>
            </w:r>
            <w:r>
              <w:rPr>
                <w:b/>
                <w:spacing w:val="-5"/>
                <w:sz w:val="22"/>
              </w:rPr>
              <w:t> </w:t>
            </w:r>
            <w:r>
              <w:rPr>
                <w:b/>
                <w:sz w:val="22"/>
              </w:rPr>
              <w:t>Closing</w:t>
            </w:r>
            <w:r>
              <w:rPr>
                <w:b/>
                <w:spacing w:val="-4"/>
                <w:sz w:val="22"/>
              </w:rPr>
              <w:t> </w:t>
            </w:r>
            <w:r>
              <w:rPr>
                <w:b/>
                <w:spacing w:val="-2"/>
                <w:sz w:val="22"/>
              </w:rPr>
              <w:t>Remarks</w:t>
            </w:r>
          </w:p>
          <w:p>
            <w:pPr>
              <w:pStyle w:val="TableParagraph"/>
              <w:spacing w:line="206" w:lineRule="exact" w:before="159"/>
              <w:ind w:left="524"/>
              <w:rPr>
                <w:sz w:val="18"/>
              </w:rPr>
            </w:pPr>
            <w:r>
              <w:rPr>
                <w:color w:val="444751"/>
                <w:sz w:val="18"/>
              </w:rPr>
              <w:t>12:25</w:t>
            </w:r>
            <w:r>
              <w:rPr>
                <w:color w:val="444751"/>
                <w:spacing w:val="-3"/>
                <w:sz w:val="18"/>
              </w:rPr>
              <w:t> </w:t>
            </w:r>
            <w:r>
              <w:rPr>
                <w:color w:val="444751"/>
                <w:sz w:val="18"/>
              </w:rPr>
              <w:t>PM,</w:t>
            </w:r>
            <w:r>
              <w:rPr>
                <w:color w:val="444751"/>
                <w:spacing w:val="-3"/>
                <w:sz w:val="18"/>
              </w:rPr>
              <w:t> </w:t>
            </w:r>
            <w:r>
              <w:rPr>
                <w:color w:val="444751"/>
                <w:sz w:val="18"/>
              </w:rPr>
              <w:t>5</w:t>
            </w:r>
            <w:r>
              <w:rPr>
                <w:color w:val="444751"/>
                <w:spacing w:val="-3"/>
                <w:sz w:val="18"/>
              </w:rPr>
              <w:t> </w:t>
            </w:r>
            <w:r>
              <w:rPr>
                <w:color w:val="444751"/>
                <w:spacing w:val="-5"/>
                <w:sz w:val="18"/>
              </w:rPr>
              <w:t>min</w:t>
            </w:r>
          </w:p>
          <w:p>
            <w:pPr>
              <w:pStyle w:val="TableParagraph"/>
              <w:spacing w:line="210" w:lineRule="exact"/>
              <w:ind w:left="524"/>
              <w:rPr>
                <w:i/>
                <w:sz w:val="18"/>
              </w:rPr>
            </w:pPr>
            <w:r>
              <w:rPr>
                <w:i/>
                <w:color w:val="444751"/>
                <w:sz w:val="18"/>
              </w:rPr>
              <w:t>Jan</w:t>
            </w:r>
            <w:r>
              <w:rPr>
                <w:i/>
                <w:color w:val="444751"/>
                <w:spacing w:val="-3"/>
                <w:sz w:val="18"/>
              </w:rPr>
              <w:t> </w:t>
            </w:r>
            <w:r>
              <w:rPr>
                <w:i/>
                <w:color w:val="444751"/>
                <w:sz w:val="18"/>
              </w:rPr>
              <w:t>Williams</w:t>
            </w:r>
            <w:r>
              <w:rPr>
                <w:i/>
                <w:color w:val="444751"/>
                <w:spacing w:val="-3"/>
                <w:sz w:val="18"/>
              </w:rPr>
              <w:t> </w:t>
            </w:r>
            <w:r>
              <w:rPr>
                <w:i/>
                <w:color w:val="444751"/>
                <w:sz w:val="18"/>
              </w:rPr>
              <w:t>(Swansea</w:t>
            </w:r>
            <w:r>
              <w:rPr>
                <w:i/>
                <w:color w:val="444751"/>
                <w:spacing w:val="-3"/>
                <w:sz w:val="18"/>
              </w:rPr>
              <w:t> </w:t>
            </w:r>
            <w:r>
              <w:rPr>
                <w:i/>
                <w:color w:val="444751"/>
                <w:sz w:val="18"/>
              </w:rPr>
              <w:t>Bay</w:t>
            </w:r>
            <w:r>
              <w:rPr>
                <w:i/>
                <w:color w:val="444751"/>
                <w:spacing w:val="-3"/>
                <w:sz w:val="18"/>
              </w:rPr>
              <w:t> </w:t>
            </w:r>
            <w:r>
              <w:rPr>
                <w:i/>
                <w:color w:val="444751"/>
                <w:sz w:val="18"/>
              </w:rPr>
              <w:t>UHB</w:t>
            </w:r>
            <w:r>
              <w:rPr>
                <w:i/>
                <w:color w:val="444751"/>
                <w:spacing w:val="-3"/>
                <w:sz w:val="18"/>
              </w:rPr>
              <w:t> </w:t>
            </w:r>
            <w:r>
              <w:rPr>
                <w:i/>
                <w:color w:val="444751"/>
                <w:sz w:val="18"/>
              </w:rPr>
              <w:t>-</w:t>
            </w:r>
            <w:r>
              <w:rPr>
                <w:i/>
                <w:color w:val="444751"/>
                <w:spacing w:val="-3"/>
                <w:sz w:val="18"/>
              </w:rPr>
              <w:t> </w:t>
            </w:r>
            <w:r>
              <w:rPr>
                <w:i/>
                <w:color w:val="444751"/>
                <w:sz w:val="18"/>
              </w:rPr>
              <w:t>Corporate),</w:t>
            </w:r>
            <w:r>
              <w:rPr>
                <w:i/>
                <w:color w:val="444751"/>
                <w:spacing w:val="-3"/>
                <w:sz w:val="18"/>
              </w:rPr>
              <w:t> </w:t>
            </w:r>
            <w:r>
              <w:rPr>
                <w:i/>
                <w:color w:val="444751"/>
                <w:sz w:val="18"/>
              </w:rPr>
              <w:t>Neil</w:t>
            </w:r>
            <w:r>
              <w:rPr>
                <w:i/>
                <w:color w:val="444751"/>
                <w:spacing w:val="-3"/>
                <w:sz w:val="18"/>
              </w:rPr>
              <w:t> </w:t>
            </w:r>
            <w:r>
              <w:rPr>
                <w:i/>
                <w:color w:val="444751"/>
                <w:sz w:val="18"/>
              </w:rPr>
              <w:t>Wooding</w:t>
            </w:r>
            <w:r>
              <w:rPr>
                <w:i/>
                <w:color w:val="444751"/>
                <w:spacing w:val="-3"/>
                <w:sz w:val="18"/>
              </w:rPr>
              <w:t> </w:t>
            </w:r>
            <w:r>
              <w:rPr>
                <w:i/>
                <w:color w:val="444751"/>
                <w:sz w:val="18"/>
              </w:rPr>
              <w:t>(Hywel</w:t>
            </w:r>
            <w:r>
              <w:rPr>
                <w:i/>
                <w:color w:val="444751"/>
                <w:spacing w:val="-3"/>
                <w:sz w:val="18"/>
              </w:rPr>
              <w:t> </w:t>
            </w:r>
            <w:r>
              <w:rPr>
                <w:i/>
                <w:color w:val="444751"/>
                <w:sz w:val="18"/>
              </w:rPr>
              <w:t>Dda</w:t>
            </w:r>
            <w:r>
              <w:rPr>
                <w:i/>
                <w:color w:val="444751"/>
                <w:spacing w:val="-3"/>
                <w:sz w:val="18"/>
              </w:rPr>
              <w:t> </w:t>
            </w:r>
            <w:r>
              <w:rPr>
                <w:i/>
                <w:color w:val="444751"/>
                <w:sz w:val="18"/>
              </w:rPr>
              <w:t>UHB</w:t>
            </w:r>
            <w:r>
              <w:rPr>
                <w:i/>
                <w:color w:val="444751"/>
                <w:spacing w:val="-2"/>
                <w:sz w:val="18"/>
              </w:rPr>
              <w:t> </w:t>
            </w:r>
            <w:r>
              <w:rPr>
                <w:i/>
                <w:color w:val="444751"/>
                <w:sz w:val="18"/>
              </w:rPr>
              <w:t>-</w:t>
            </w:r>
            <w:r>
              <w:rPr>
                <w:i/>
                <w:color w:val="444751"/>
                <w:spacing w:val="-3"/>
                <w:sz w:val="18"/>
              </w:rPr>
              <w:t> </w:t>
            </w:r>
            <w:r>
              <w:rPr>
                <w:i/>
                <w:color w:val="444751"/>
                <w:sz w:val="18"/>
              </w:rPr>
              <w:t>Chair</w:t>
            </w:r>
            <w:r>
              <w:rPr>
                <w:i/>
                <w:color w:val="444751"/>
                <w:spacing w:val="-3"/>
                <w:sz w:val="18"/>
              </w:rPr>
              <w:t> </w:t>
            </w:r>
            <w:r>
              <w:rPr>
                <w:i/>
                <w:color w:val="444751"/>
                <w:sz w:val="18"/>
              </w:rPr>
              <w:t>of</w:t>
            </w:r>
            <w:r>
              <w:rPr>
                <w:i/>
                <w:color w:val="444751"/>
                <w:sz w:val="18"/>
              </w:rPr>
              <w:t> Hywel Dda University Health Board)</w:t>
            </w:r>
          </w:p>
        </w:tc>
      </w:tr>
    </w:tbl>
    <w:p>
      <w:pPr>
        <w:pStyle w:val="BodyText"/>
        <w:spacing w:before="95"/>
        <w:rPr>
          <w:sz w:val="20"/>
        </w:rPr>
      </w:pPr>
      <w:r>
        <w:rPr>
          <w:sz w:val="20"/>
        </w:rPr>
        <mc:AlternateContent>
          <mc:Choice Requires="wps">
            <w:drawing>
              <wp:anchor distT="0" distB="0" distL="0" distR="0" allowOverlap="1" layoutInCell="1" locked="0" behindDoc="1" simplePos="0" relativeHeight="487600128">
                <wp:simplePos x="0" y="0"/>
                <wp:positionH relativeFrom="page">
                  <wp:posOffset>1200150</wp:posOffset>
                </wp:positionH>
                <wp:positionV relativeFrom="paragraph">
                  <wp:posOffset>221716</wp:posOffset>
                </wp:positionV>
                <wp:extent cx="5445125" cy="9525"/>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5445125" cy="9525"/>
                        </a:xfrm>
                        <a:custGeom>
                          <a:avLst/>
                          <a:gdLst/>
                          <a:ahLst/>
                          <a:cxnLst/>
                          <a:rect l="l" t="t" r="r" b="b"/>
                          <a:pathLst>
                            <a:path w="5445125" h="9525">
                              <a:moveTo>
                                <a:pt x="5445125" y="0"/>
                              </a:moveTo>
                              <a:lnTo>
                                <a:pt x="0" y="0"/>
                              </a:lnTo>
                              <a:lnTo>
                                <a:pt x="0" y="9525"/>
                              </a:lnTo>
                              <a:lnTo>
                                <a:pt x="5445125" y="9525"/>
                              </a:lnTo>
                              <a:lnTo>
                                <a:pt x="544512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94.5pt;margin-top:17.458008pt;width:428.75pt;height:.75pt;mso-position-horizontal-relative:page;mso-position-vertical-relative:paragraph;z-index:-15716352;mso-wrap-distance-left:0;mso-wrap-distance-right:0" id="docshape26" filled="true" fillcolor="#9f9f9f" stroked="false">
                <v:fill type="solid"/>
                <w10:wrap type="topAndBottom"/>
              </v:rect>
            </w:pict>
          </mc:Fallback>
        </mc:AlternateContent>
      </w:r>
    </w:p>
    <w:p>
      <w:pPr>
        <w:pStyle w:val="BodyText"/>
        <w:spacing w:before="9"/>
        <w:rPr>
          <w:sz w:val="20"/>
        </w:rPr>
      </w:pPr>
    </w:p>
    <w:tbl>
      <w:tblPr>
        <w:tblW w:w="0" w:type="auto"/>
        <w:jc w:val="left"/>
        <w:tblInd w:w="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
        <w:gridCol w:w="7617"/>
      </w:tblGrid>
      <w:tr>
        <w:trPr>
          <w:trHeight w:val="1022" w:hRule="atLeast"/>
        </w:trPr>
        <w:tc>
          <w:tcPr>
            <w:tcW w:w="881" w:type="dxa"/>
          </w:tcPr>
          <w:p>
            <w:pPr>
              <w:pStyle w:val="TableParagraph"/>
              <w:spacing w:line="251" w:lineRule="exact"/>
              <w:ind w:left="50"/>
              <w:rPr>
                <w:b/>
                <w:sz w:val="22"/>
              </w:rPr>
            </w:pPr>
            <w:r>
              <w:rPr>
                <w:b/>
                <w:spacing w:val="-5"/>
                <w:sz w:val="22"/>
              </w:rPr>
              <w:t>8.4</w:t>
            </w:r>
          </w:p>
        </w:tc>
        <w:tc>
          <w:tcPr>
            <w:tcW w:w="7617" w:type="dxa"/>
          </w:tcPr>
          <w:p>
            <w:pPr>
              <w:pStyle w:val="TableParagraph"/>
              <w:spacing w:line="246" w:lineRule="exact"/>
              <w:ind w:left="524"/>
              <w:rPr>
                <w:b/>
                <w:sz w:val="22"/>
              </w:rPr>
            </w:pPr>
            <w:r>
              <w:rPr>
                <w:b/>
                <w:sz w:val="22"/>
              </w:rPr>
              <w:t>RJC/49:</w:t>
            </w:r>
            <w:r>
              <w:rPr>
                <w:b/>
                <w:spacing w:val="-4"/>
                <w:sz w:val="22"/>
              </w:rPr>
              <w:t> </w:t>
            </w:r>
            <w:r>
              <w:rPr>
                <w:b/>
                <w:sz w:val="22"/>
              </w:rPr>
              <w:t>Date</w:t>
            </w:r>
            <w:r>
              <w:rPr>
                <w:b/>
                <w:spacing w:val="-2"/>
                <w:sz w:val="22"/>
              </w:rPr>
              <w:t> </w:t>
            </w:r>
            <w:r>
              <w:rPr>
                <w:b/>
                <w:sz w:val="22"/>
              </w:rPr>
              <w:t>of</w:t>
            </w:r>
            <w:r>
              <w:rPr>
                <w:b/>
                <w:spacing w:val="-1"/>
                <w:sz w:val="22"/>
              </w:rPr>
              <w:t> </w:t>
            </w:r>
            <w:r>
              <w:rPr>
                <w:b/>
                <w:sz w:val="22"/>
              </w:rPr>
              <w:t>Next</w:t>
            </w:r>
            <w:r>
              <w:rPr>
                <w:b/>
                <w:spacing w:val="-2"/>
                <w:sz w:val="22"/>
              </w:rPr>
              <w:t> </w:t>
            </w:r>
            <w:r>
              <w:rPr>
                <w:b/>
                <w:sz w:val="22"/>
              </w:rPr>
              <w:t>RJC</w:t>
            </w:r>
            <w:r>
              <w:rPr>
                <w:b/>
                <w:spacing w:val="-2"/>
                <w:sz w:val="22"/>
              </w:rPr>
              <w:t> Meetings:</w:t>
            </w:r>
          </w:p>
          <w:p>
            <w:pPr>
              <w:pStyle w:val="TableParagraph"/>
              <w:spacing w:before="154"/>
              <w:ind w:left="524"/>
              <w:rPr>
                <w:sz w:val="18"/>
              </w:rPr>
            </w:pPr>
            <w:r>
              <w:rPr>
                <w:color w:val="444751"/>
                <w:sz w:val="18"/>
              </w:rPr>
              <w:t>12:30</w:t>
            </w:r>
            <w:r>
              <w:rPr>
                <w:color w:val="444751"/>
                <w:spacing w:val="-3"/>
                <w:sz w:val="18"/>
              </w:rPr>
              <w:t> </w:t>
            </w:r>
            <w:r>
              <w:rPr>
                <w:color w:val="444751"/>
                <w:sz w:val="18"/>
              </w:rPr>
              <w:t>PM,</w:t>
            </w:r>
            <w:r>
              <w:rPr>
                <w:color w:val="444751"/>
                <w:spacing w:val="-3"/>
                <w:sz w:val="18"/>
              </w:rPr>
              <w:t> </w:t>
            </w:r>
            <w:r>
              <w:rPr>
                <w:color w:val="444751"/>
                <w:sz w:val="18"/>
              </w:rPr>
              <w:t>0</w:t>
            </w:r>
            <w:r>
              <w:rPr>
                <w:color w:val="444751"/>
                <w:spacing w:val="-3"/>
                <w:sz w:val="18"/>
              </w:rPr>
              <w:t> </w:t>
            </w:r>
            <w:r>
              <w:rPr>
                <w:color w:val="444751"/>
                <w:spacing w:val="-5"/>
                <w:sz w:val="18"/>
              </w:rPr>
              <w:t>min</w:t>
            </w:r>
          </w:p>
          <w:p>
            <w:pPr>
              <w:pStyle w:val="TableParagraph"/>
              <w:spacing w:line="206" w:lineRule="exact"/>
              <w:ind w:left="524"/>
              <w:rPr>
                <w:i/>
                <w:sz w:val="18"/>
              </w:rPr>
            </w:pPr>
            <w:r>
              <w:rPr>
                <w:i/>
                <w:color w:val="444751"/>
                <w:sz w:val="18"/>
              </w:rPr>
              <w:t>Jan</w:t>
            </w:r>
            <w:r>
              <w:rPr>
                <w:i/>
                <w:color w:val="444751"/>
                <w:spacing w:val="-3"/>
                <w:sz w:val="18"/>
              </w:rPr>
              <w:t> </w:t>
            </w:r>
            <w:r>
              <w:rPr>
                <w:i/>
                <w:color w:val="444751"/>
                <w:sz w:val="18"/>
              </w:rPr>
              <w:t>Williams</w:t>
            </w:r>
            <w:r>
              <w:rPr>
                <w:i/>
                <w:color w:val="444751"/>
                <w:spacing w:val="-3"/>
                <w:sz w:val="18"/>
              </w:rPr>
              <w:t> </w:t>
            </w:r>
            <w:r>
              <w:rPr>
                <w:i/>
                <w:color w:val="444751"/>
                <w:sz w:val="18"/>
              </w:rPr>
              <w:t>(Swansea</w:t>
            </w:r>
            <w:r>
              <w:rPr>
                <w:i/>
                <w:color w:val="444751"/>
                <w:spacing w:val="-3"/>
                <w:sz w:val="18"/>
              </w:rPr>
              <w:t> </w:t>
            </w:r>
            <w:r>
              <w:rPr>
                <w:i/>
                <w:color w:val="444751"/>
                <w:sz w:val="18"/>
              </w:rPr>
              <w:t>Bay</w:t>
            </w:r>
            <w:r>
              <w:rPr>
                <w:i/>
                <w:color w:val="444751"/>
                <w:spacing w:val="-3"/>
                <w:sz w:val="18"/>
              </w:rPr>
              <w:t> </w:t>
            </w:r>
            <w:r>
              <w:rPr>
                <w:i/>
                <w:color w:val="444751"/>
                <w:sz w:val="18"/>
              </w:rPr>
              <w:t>UHB</w:t>
            </w:r>
            <w:r>
              <w:rPr>
                <w:i/>
                <w:color w:val="444751"/>
                <w:spacing w:val="-3"/>
                <w:sz w:val="18"/>
              </w:rPr>
              <w:t> </w:t>
            </w:r>
            <w:r>
              <w:rPr>
                <w:i/>
                <w:color w:val="444751"/>
                <w:sz w:val="18"/>
              </w:rPr>
              <w:t>-</w:t>
            </w:r>
            <w:r>
              <w:rPr>
                <w:i/>
                <w:color w:val="444751"/>
                <w:spacing w:val="-3"/>
                <w:sz w:val="18"/>
              </w:rPr>
              <w:t> </w:t>
            </w:r>
            <w:r>
              <w:rPr>
                <w:i/>
                <w:color w:val="444751"/>
                <w:sz w:val="18"/>
              </w:rPr>
              <w:t>Corporate),</w:t>
            </w:r>
            <w:r>
              <w:rPr>
                <w:i/>
                <w:color w:val="444751"/>
                <w:spacing w:val="-3"/>
                <w:sz w:val="18"/>
              </w:rPr>
              <w:t> </w:t>
            </w:r>
            <w:r>
              <w:rPr>
                <w:i/>
                <w:color w:val="444751"/>
                <w:sz w:val="18"/>
              </w:rPr>
              <w:t>Neil</w:t>
            </w:r>
            <w:r>
              <w:rPr>
                <w:i/>
                <w:color w:val="444751"/>
                <w:spacing w:val="-3"/>
                <w:sz w:val="18"/>
              </w:rPr>
              <w:t> </w:t>
            </w:r>
            <w:r>
              <w:rPr>
                <w:i/>
                <w:color w:val="444751"/>
                <w:sz w:val="18"/>
              </w:rPr>
              <w:t>Wooding</w:t>
            </w:r>
            <w:r>
              <w:rPr>
                <w:i/>
                <w:color w:val="444751"/>
                <w:spacing w:val="-3"/>
                <w:sz w:val="18"/>
              </w:rPr>
              <w:t> </w:t>
            </w:r>
            <w:r>
              <w:rPr>
                <w:i/>
                <w:color w:val="444751"/>
                <w:sz w:val="18"/>
              </w:rPr>
              <w:t>(Hywel</w:t>
            </w:r>
            <w:r>
              <w:rPr>
                <w:i/>
                <w:color w:val="444751"/>
                <w:spacing w:val="-3"/>
                <w:sz w:val="18"/>
              </w:rPr>
              <w:t> </w:t>
            </w:r>
            <w:r>
              <w:rPr>
                <w:i/>
                <w:color w:val="444751"/>
                <w:sz w:val="18"/>
              </w:rPr>
              <w:t>Dda</w:t>
            </w:r>
            <w:r>
              <w:rPr>
                <w:i/>
                <w:color w:val="444751"/>
                <w:spacing w:val="-3"/>
                <w:sz w:val="18"/>
              </w:rPr>
              <w:t> </w:t>
            </w:r>
            <w:r>
              <w:rPr>
                <w:i/>
                <w:color w:val="444751"/>
                <w:sz w:val="18"/>
              </w:rPr>
              <w:t>UHB</w:t>
            </w:r>
            <w:r>
              <w:rPr>
                <w:i/>
                <w:color w:val="444751"/>
                <w:spacing w:val="-2"/>
                <w:sz w:val="18"/>
              </w:rPr>
              <w:t> </w:t>
            </w:r>
            <w:r>
              <w:rPr>
                <w:i/>
                <w:color w:val="444751"/>
                <w:sz w:val="18"/>
              </w:rPr>
              <w:t>-</w:t>
            </w:r>
            <w:r>
              <w:rPr>
                <w:i/>
                <w:color w:val="444751"/>
                <w:spacing w:val="-3"/>
                <w:sz w:val="18"/>
              </w:rPr>
              <w:t> </w:t>
            </w:r>
            <w:r>
              <w:rPr>
                <w:i/>
                <w:color w:val="444751"/>
                <w:sz w:val="18"/>
              </w:rPr>
              <w:t>Chair</w:t>
            </w:r>
            <w:r>
              <w:rPr>
                <w:i/>
                <w:color w:val="444751"/>
                <w:spacing w:val="-3"/>
                <w:sz w:val="18"/>
              </w:rPr>
              <w:t> </w:t>
            </w:r>
            <w:r>
              <w:rPr>
                <w:i/>
                <w:color w:val="444751"/>
                <w:sz w:val="18"/>
              </w:rPr>
              <w:t>of</w:t>
            </w:r>
            <w:r>
              <w:rPr>
                <w:i/>
                <w:color w:val="444751"/>
                <w:sz w:val="18"/>
              </w:rPr>
              <w:t> Hywel Dda University Health Board)</w:t>
            </w:r>
          </w:p>
        </w:tc>
      </w:tr>
    </w:tbl>
    <w:p>
      <w:pPr>
        <w:pStyle w:val="TableParagraph"/>
        <w:spacing w:after="0" w:line="206" w:lineRule="exact"/>
        <w:rPr>
          <w:i/>
          <w:sz w:val="18"/>
        </w:rPr>
        <w:sectPr>
          <w:pgSz w:w="11910" w:h="16840"/>
          <w:pgMar w:top="1620" w:bottom="280" w:left="1275" w:right="1275"/>
        </w:sectPr>
      </w:pPr>
    </w:p>
    <w:p>
      <w:pPr>
        <w:spacing w:before="52"/>
        <w:ind w:left="4509" w:right="0" w:firstLine="0"/>
        <w:jc w:val="left"/>
        <w:rPr>
          <w:sz w:val="60"/>
        </w:rPr>
      </w:pPr>
      <w:r>
        <w:rPr>
          <w:sz w:val="60"/>
        </w:rPr>
        <w:t>Table</w:t>
      </w:r>
      <w:r>
        <w:rPr>
          <w:spacing w:val="-34"/>
          <w:sz w:val="60"/>
        </w:rPr>
        <w:t> </w:t>
      </w:r>
      <w:r>
        <w:rPr>
          <w:sz w:val="60"/>
        </w:rPr>
        <w:t>of</w:t>
      </w:r>
      <w:r>
        <w:rPr>
          <w:spacing w:val="-33"/>
          <w:sz w:val="60"/>
        </w:rPr>
        <w:t> </w:t>
      </w:r>
      <w:r>
        <w:rPr>
          <w:spacing w:val="-2"/>
          <w:sz w:val="60"/>
        </w:rPr>
        <w:t>contents</w:t>
      </w:r>
    </w:p>
    <w:p>
      <w:pPr>
        <w:pStyle w:val="BodyText"/>
        <w:spacing w:before="166"/>
      </w:pPr>
    </w:p>
    <w:p>
      <w:pPr>
        <w:pStyle w:val="BodyText"/>
        <w:spacing w:before="1"/>
        <w:ind w:left="75"/>
      </w:pPr>
      <w:r>
        <w:rPr/>
        <mc:AlternateContent>
          <mc:Choice Requires="wps">
            <w:drawing>
              <wp:anchor distT="0" distB="0" distL="0" distR="0" allowOverlap="1" layoutInCell="1" locked="0" behindDoc="0" simplePos="0" relativeHeight="15741440">
                <wp:simplePos x="0" y="0"/>
                <wp:positionH relativeFrom="page">
                  <wp:posOffset>1038224</wp:posOffset>
                </wp:positionH>
                <wp:positionV relativeFrom="paragraph">
                  <wp:posOffset>200711</wp:posOffset>
                </wp:positionV>
                <wp:extent cx="5695950" cy="9525"/>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5695950" cy="9525"/>
                        </a:xfrm>
                        <a:custGeom>
                          <a:avLst/>
                          <a:gdLst/>
                          <a:ahLst/>
                          <a:cxnLst/>
                          <a:rect l="l" t="t" r="r" b="b"/>
                          <a:pathLst>
                            <a:path w="5695950" h="9525">
                              <a:moveTo>
                                <a:pt x="5695949" y="9524"/>
                              </a:moveTo>
                              <a:lnTo>
                                <a:pt x="0" y="9524"/>
                              </a:lnTo>
                              <a:lnTo>
                                <a:pt x="0" y="0"/>
                              </a:lnTo>
                              <a:lnTo>
                                <a:pt x="5695949" y="0"/>
                              </a:lnTo>
                              <a:lnTo>
                                <a:pt x="5695949" y="9524"/>
                              </a:lnTo>
                              <a:close/>
                            </a:path>
                          </a:pathLst>
                        </a:custGeom>
                        <a:solidFill>
                          <a:srgbClr val="AAAAAA"/>
                        </a:solidFill>
                      </wps:spPr>
                      <wps:bodyPr wrap="square" lIns="0" tIns="0" rIns="0" bIns="0" rtlCol="0">
                        <a:prstTxWarp prst="textNoShape">
                          <a:avLst/>
                        </a:prstTxWarp>
                        <a:noAutofit/>
                      </wps:bodyPr>
                    </wps:wsp>
                  </a:graphicData>
                </a:graphic>
              </wp:anchor>
            </w:drawing>
          </mc:Choice>
          <mc:Fallback>
            <w:pict>
              <v:rect style="position:absolute;margin-left:81.749992pt;margin-top:15.80409pt;width:448.499964pt;height:.75pt;mso-position-horizontal-relative:page;mso-position-vertical-relative:paragraph;z-index:15741440" id="docshape27" filled="true" fillcolor="#aaaaaa" stroked="false">
                <v:fill type="solid"/>
                <w10:wrap type="none"/>
              </v:rect>
            </w:pict>
          </mc:Fallback>
        </mc:AlternateContent>
      </w:r>
      <w:r>
        <w:rPr/>
        <w:t>13/10/2026</w:t>
      </w:r>
      <w:r>
        <w:rPr>
          <w:color w:val="ABABAB"/>
        </w:rPr>
        <w:t>-</w:t>
      </w:r>
      <w:r>
        <w:rPr/>
        <w:t>9:30</w:t>
      </w:r>
      <w:r>
        <w:rPr>
          <w:spacing w:val="-14"/>
        </w:rPr>
        <w:t> </w:t>
      </w:r>
      <w:r>
        <w:rPr/>
        <w:t>AM - 12:30 </w:t>
      </w:r>
      <w:r>
        <w:rPr>
          <w:spacing w:val="-5"/>
        </w:rPr>
        <w:t>PM</w:t>
      </w:r>
      <w:r>
        <w:rPr>
          <w:color w:val="ABABAB"/>
          <w:spacing w:val="-5"/>
        </w:rPr>
        <w:t>-</w:t>
      </w:r>
    </w:p>
    <w:p>
      <w:pPr>
        <w:pStyle w:val="ListParagraph"/>
        <w:numPr>
          <w:ilvl w:val="0"/>
          <w:numId w:val="1"/>
        </w:numPr>
        <w:tabs>
          <w:tab w:pos="275" w:val="left" w:leader="none"/>
          <w:tab w:pos="9045" w:val="right" w:leader="none"/>
        </w:tabs>
        <w:spacing w:line="240" w:lineRule="auto" w:before="489" w:after="0"/>
        <w:ind w:left="275" w:right="0" w:hanging="200"/>
        <w:jc w:val="left"/>
        <w:rPr>
          <w:sz w:val="24"/>
        </w:rPr>
      </w:pPr>
      <w:r>
        <w:rPr>
          <w:color w:val="444850"/>
          <w:sz w:val="24"/>
        </w:rPr>
        <w:t>- Preliminary </w:t>
      </w:r>
      <w:r>
        <w:rPr>
          <w:color w:val="444850"/>
          <w:spacing w:val="-2"/>
          <w:sz w:val="24"/>
        </w:rPr>
        <w:t>Matters</w:t>
      </w:r>
      <w:r>
        <w:rPr>
          <w:rFonts w:ascii="Times New Roman"/>
          <w:color w:val="444850"/>
          <w:sz w:val="24"/>
        </w:rPr>
        <w:tab/>
      </w:r>
      <w:r>
        <w:rPr>
          <w:color w:val="444850"/>
          <w:spacing w:val="-10"/>
          <w:sz w:val="24"/>
        </w:rPr>
        <w:t>9</w:t>
      </w:r>
    </w:p>
    <w:p>
      <w:pPr>
        <w:pStyle w:val="ListParagraph"/>
        <w:numPr>
          <w:ilvl w:val="1"/>
          <w:numId w:val="1"/>
        </w:numPr>
        <w:tabs>
          <w:tab w:pos="775" w:val="left" w:leader="none"/>
          <w:tab w:pos="9045" w:val="right" w:leader="none"/>
        </w:tabs>
        <w:spacing w:line="240" w:lineRule="auto" w:before="579" w:after="0"/>
        <w:ind w:left="775" w:right="0" w:hanging="400"/>
        <w:jc w:val="left"/>
        <w:rPr>
          <w:sz w:val="24"/>
        </w:rPr>
      </w:pPr>
      <w:r>
        <w:rPr>
          <w:sz w:val="24"/>
        </w:rPr>
        <mc:AlternateContent>
          <mc:Choice Requires="wps">
            <w:drawing>
              <wp:anchor distT="0" distB="0" distL="0" distR="0" allowOverlap="1" layoutInCell="1" locked="0" behindDoc="0" simplePos="0" relativeHeight="15741952">
                <wp:simplePos x="0" y="0"/>
                <wp:positionH relativeFrom="page">
                  <wp:posOffset>1038224</wp:posOffset>
                </wp:positionH>
                <wp:positionV relativeFrom="paragraph">
                  <wp:posOffset>201059</wp:posOffset>
                </wp:positionV>
                <wp:extent cx="5695950" cy="127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5695950" cy="1270"/>
                        </a:xfrm>
                        <a:custGeom>
                          <a:avLst/>
                          <a:gdLst/>
                          <a:ahLst/>
                          <a:cxnLst/>
                          <a:rect l="l" t="t" r="r" b="b"/>
                          <a:pathLst>
                            <a:path w="5695950" h="0">
                              <a:moveTo>
                                <a:pt x="0" y="0"/>
                              </a:moveTo>
                              <a:lnTo>
                                <a:pt x="56959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1952" from="81.749992pt,15.83143pt" to="530.249957pt,15.83143pt" stroked="true" strokeweight=".75pt" strokecolor="#aaaaaa">
                <v:stroke dashstyle="shortdot"/>
                <w10:wrap type="none"/>
              </v:line>
            </w:pict>
          </mc:Fallback>
        </mc:AlternateContent>
      </w:r>
      <w:r>
        <w:rPr>
          <w:color w:val="444850"/>
          <w:sz w:val="24"/>
        </w:rPr>
        <w:t>-</w:t>
      </w:r>
      <w:r>
        <w:rPr>
          <w:color w:val="444850"/>
          <w:spacing w:val="-2"/>
          <w:sz w:val="24"/>
        </w:rPr>
        <w:t> </w:t>
      </w:r>
      <w:r>
        <w:rPr>
          <w:color w:val="444850"/>
          <w:sz w:val="24"/>
        </w:rPr>
        <w:t>RJC/35:</w:t>
      </w:r>
      <w:r>
        <w:rPr>
          <w:color w:val="444850"/>
          <w:spacing w:val="-1"/>
          <w:sz w:val="24"/>
        </w:rPr>
        <w:t> </w:t>
      </w:r>
      <w:r>
        <w:rPr>
          <w:color w:val="444850"/>
          <w:sz w:val="24"/>
        </w:rPr>
        <w:t>Welcome</w:t>
      </w:r>
      <w:r>
        <w:rPr>
          <w:color w:val="444850"/>
          <w:spacing w:val="-1"/>
          <w:sz w:val="24"/>
        </w:rPr>
        <w:t> </w:t>
      </w:r>
      <w:r>
        <w:rPr>
          <w:color w:val="444850"/>
          <w:sz w:val="24"/>
        </w:rPr>
        <w:t>and</w:t>
      </w:r>
      <w:r>
        <w:rPr>
          <w:color w:val="444850"/>
          <w:spacing w:val="-15"/>
          <w:sz w:val="24"/>
        </w:rPr>
        <w:t> </w:t>
      </w:r>
      <w:r>
        <w:rPr>
          <w:color w:val="444850"/>
          <w:spacing w:val="-2"/>
          <w:sz w:val="24"/>
        </w:rPr>
        <w:t>Apologies</w:t>
      </w:r>
      <w:r>
        <w:rPr>
          <w:rFonts w:ascii="Times New Roman"/>
          <w:color w:val="444850"/>
          <w:sz w:val="24"/>
        </w:rPr>
        <w:tab/>
      </w:r>
      <w:r>
        <w:rPr>
          <w:color w:val="444850"/>
          <w:spacing w:val="-5"/>
          <w:sz w:val="24"/>
        </w:rPr>
        <w:t>10</w:t>
      </w:r>
    </w:p>
    <w:p>
      <w:pPr>
        <w:pStyle w:val="ListParagraph"/>
        <w:numPr>
          <w:ilvl w:val="0"/>
          <w:numId w:val="1"/>
        </w:numPr>
        <w:tabs>
          <w:tab w:pos="275" w:val="left" w:leader="none"/>
          <w:tab w:pos="9045" w:val="right" w:leader="none"/>
        </w:tabs>
        <w:spacing w:line="240" w:lineRule="auto" w:before="579" w:after="0"/>
        <w:ind w:left="275" w:right="0" w:hanging="200"/>
        <w:jc w:val="left"/>
        <w:rPr>
          <w:sz w:val="24"/>
        </w:rPr>
      </w:pPr>
      <w:r>
        <w:rPr>
          <w:sz w:val="24"/>
        </w:rPr>
        <mc:AlternateContent>
          <mc:Choice Requires="wps">
            <w:drawing>
              <wp:anchor distT="0" distB="0" distL="0" distR="0" allowOverlap="1" layoutInCell="1" locked="0" behindDoc="0" simplePos="0" relativeHeight="15742464">
                <wp:simplePos x="0" y="0"/>
                <wp:positionH relativeFrom="page">
                  <wp:posOffset>1228724</wp:posOffset>
                </wp:positionH>
                <wp:positionV relativeFrom="paragraph">
                  <wp:posOffset>201074</wp:posOffset>
                </wp:positionV>
                <wp:extent cx="5505450" cy="127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2464" from="96.749992pt,15.832599pt" to="530.249958pt,15.832599pt" stroked="true" strokeweight=".75pt" strokecolor="#aaaaaa">
                <v:stroke dashstyle="shortdot"/>
                <w10:wrap type="none"/>
              </v:line>
            </w:pict>
          </mc:Fallback>
        </mc:AlternateContent>
      </w:r>
      <w:r>
        <w:rPr>
          <w:color w:val="444850"/>
          <w:sz w:val="24"/>
        </w:rPr>
        <w:t>-</w:t>
      </w:r>
      <w:r>
        <w:rPr>
          <w:color w:val="444850"/>
          <w:spacing w:val="-11"/>
          <w:sz w:val="24"/>
        </w:rPr>
        <w:t> </w:t>
      </w:r>
      <w:r>
        <w:rPr>
          <w:color w:val="444850"/>
          <w:sz w:val="24"/>
        </w:rPr>
        <w:t>To</w:t>
      </w:r>
      <w:r>
        <w:rPr>
          <w:color w:val="444850"/>
          <w:spacing w:val="-5"/>
          <w:sz w:val="24"/>
        </w:rPr>
        <w:t> </w:t>
      </w:r>
      <w:r>
        <w:rPr>
          <w:color w:val="444850"/>
          <w:sz w:val="24"/>
        </w:rPr>
        <w:t>Consider</w:t>
      </w:r>
      <w:r>
        <w:rPr>
          <w:color w:val="444850"/>
          <w:spacing w:val="-6"/>
          <w:sz w:val="24"/>
        </w:rPr>
        <w:t> </w:t>
      </w:r>
      <w:r>
        <w:rPr>
          <w:color w:val="444850"/>
          <w:sz w:val="24"/>
        </w:rPr>
        <w:t>Future</w:t>
      </w:r>
      <w:r>
        <w:rPr>
          <w:color w:val="444850"/>
          <w:spacing w:val="-5"/>
          <w:sz w:val="24"/>
        </w:rPr>
        <w:t> </w:t>
      </w:r>
      <w:r>
        <w:rPr>
          <w:color w:val="444850"/>
          <w:sz w:val="24"/>
        </w:rPr>
        <w:t>Direction</w:t>
      </w:r>
      <w:r>
        <w:rPr>
          <w:color w:val="444850"/>
          <w:spacing w:val="-5"/>
          <w:sz w:val="24"/>
        </w:rPr>
        <w:t> </w:t>
      </w:r>
      <w:r>
        <w:rPr>
          <w:color w:val="444850"/>
          <w:spacing w:val="-2"/>
          <w:sz w:val="24"/>
        </w:rPr>
        <w:t>Reports</w:t>
      </w:r>
      <w:r>
        <w:rPr>
          <w:rFonts w:ascii="Times New Roman"/>
          <w:color w:val="444850"/>
          <w:sz w:val="24"/>
        </w:rPr>
        <w:tab/>
      </w:r>
      <w:r>
        <w:rPr>
          <w:color w:val="444850"/>
          <w:spacing w:val="-5"/>
          <w:sz w:val="24"/>
        </w:rPr>
        <w:t>11</w:t>
      </w:r>
    </w:p>
    <w:p>
      <w:pPr>
        <w:pStyle w:val="ListParagraph"/>
        <w:numPr>
          <w:ilvl w:val="1"/>
          <w:numId w:val="1"/>
        </w:numPr>
        <w:tabs>
          <w:tab w:pos="775" w:val="left" w:leader="none"/>
        </w:tabs>
        <w:spacing w:line="208" w:lineRule="exact" w:before="579" w:after="0"/>
        <w:ind w:left="775" w:right="0" w:hanging="400"/>
        <w:jc w:val="left"/>
        <w:rPr>
          <w:sz w:val="24"/>
        </w:rPr>
      </w:pPr>
      <w:r>
        <w:rPr>
          <w:sz w:val="24"/>
        </w:rPr>
        <mc:AlternateContent>
          <mc:Choice Requires="wps">
            <w:drawing>
              <wp:anchor distT="0" distB="0" distL="0" distR="0" allowOverlap="1" layoutInCell="1" locked="0" behindDoc="0" simplePos="0" relativeHeight="15742976">
                <wp:simplePos x="0" y="0"/>
                <wp:positionH relativeFrom="page">
                  <wp:posOffset>1038224</wp:posOffset>
                </wp:positionH>
                <wp:positionV relativeFrom="paragraph">
                  <wp:posOffset>201088</wp:posOffset>
                </wp:positionV>
                <wp:extent cx="5695950" cy="127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695950" cy="1270"/>
                        </a:xfrm>
                        <a:custGeom>
                          <a:avLst/>
                          <a:gdLst/>
                          <a:ahLst/>
                          <a:cxnLst/>
                          <a:rect l="l" t="t" r="r" b="b"/>
                          <a:pathLst>
                            <a:path w="5695950" h="0">
                              <a:moveTo>
                                <a:pt x="0" y="0"/>
                              </a:moveTo>
                              <a:lnTo>
                                <a:pt x="56959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2976" from="81.749992pt,15.833767pt" to="530.249957pt,15.833767pt" stroked="true" strokeweight=".75pt" strokecolor="#aaaaaa">
                <v:stroke dashstyle="shortdot"/>
                <w10:wrap type="none"/>
              </v:line>
            </w:pict>
          </mc:Fallback>
        </mc:AlternateContent>
      </w:r>
      <w:r>
        <w:rPr>
          <w:color w:val="444850"/>
          <w:sz w:val="24"/>
        </w:rPr>
        <w:t>- RJC/36: Benefits of Combining the Finance/ Contracting </w:t>
      </w:r>
      <w:r>
        <w:rPr>
          <w:color w:val="444850"/>
          <w:spacing w:val="-5"/>
          <w:sz w:val="24"/>
        </w:rPr>
        <w:t>and</w:t>
      </w:r>
    </w:p>
    <w:p>
      <w:pPr>
        <w:pStyle w:val="BodyText"/>
        <w:tabs>
          <w:tab w:pos="8778" w:val="left" w:leader="none"/>
        </w:tabs>
        <w:spacing w:line="338" w:lineRule="exact"/>
        <w:ind w:left="375"/>
        <w:rPr>
          <w:position w:val="13"/>
        </w:rPr>
      </w:pPr>
      <w:r>
        <w:rPr>
          <w:color w:val="444850"/>
        </w:rPr>
        <w:t>Data/Digital</w:t>
      </w:r>
      <w:r>
        <w:rPr>
          <w:color w:val="444850"/>
          <w:spacing w:val="-2"/>
        </w:rPr>
        <w:t> </w:t>
      </w:r>
      <w:r>
        <w:rPr>
          <w:color w:val="444850"/>
        </w:rPr>
        <w:t>Work</w:t>
      </w:r>
      <w:r>
        <w:rPr>
          <w:color w:val="444850"/>
          <w:spacing w:val="-2"/>
        </w:rPr>
        <w:t> </w:t>
      </w:r>
      <w:r>
        <w:rPr>
          <w:color w:val="444850"/>
        </w:rPr>
        <w:t>Streams</w:t>
      </w:r>
      <w:r>
        <w:rPr>
          <w:color w:val="444850"/>
          <w:spacing w:val="-6"/>
        </w:rPr>
        <w:t> </w:t>
      </w:r>
      <w:r>
        <w:rPr>
          <w:color w:val="444850"/>
          <w:spacing w:val="-2"/>
        </w:rPr>
        <w:t>Together</w:t>
      </w:r>
      <w:r>
        <w:rPr>
          <w:rFonts w:ascii="Times New Roman"/>
          <w:color w:val="444850"/>
        </w:rPr>
        <w:tab/>
      </w:r>
      <w:r>
        <w:rPr>
          <w:color w:val="444850"/>
          <w:spacing w:val="-5"/>
          <w:position w:val="13"/>
        </w:rPr>
        <w:t>12</w:t>
      </w:r>
    </w:p>
    <w:p>
      <w:pPr>
        <w:spacing w:before="626"/>
        <w:ind w:left="630" w:right="0" w:firstLine="0"/>
        <w:jc w:val="left"/>
        <w:rPr>
          <w:b/>
          <w:sz w:val="19"/>
        </w:rPr>
      </w:pPr>
      <w:r>
        <w:rPr>
          <w:b/>
          <w:sz w:val="19"/>
        </w:rPr>
        <mc:AlternateContent>
          <mc:Choice Requires="wps">
            <w:drawing>
              <wp:anchor distT="0" distB="0" distL="0" distR="0" allowOverlap="1" layoutInCell="1" locked="0" behindDoc="0" simplePos="0" relativeHeight="15743488">
                <wp:simplePos x="0" y="0"/>
                <wp:positionH relativeFrom="page">
                  <wp:posOffset>1228724</wp:posOffset>
                </wp:positionH>
                <wp:positionV relativeFrom="paragraph">
                  <wp:posOffset>201103</wp:posOffset>
                </wp:positionV>
                <wp:extent cx="5505450" cy="1270"/>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3488" from="96.749992pt,15.834934pt" to="530.249958pt,15.834934pt" stroked="true" strokeweight=".75pt" strokecolor="#aaaaaa">
                <v:stroke dashstyle="shortdot"/>
                <w10:wrap type="none"/>
              </v:line>
            </w:pict>
          </mc:Fallback>
        </mc:AlternateContent>
      </w:r>
      <w:r>
        <w:rPr>
          <w:b/>
          <w:color w:val="585966"/>
          <w:spacing w:val="-2"/>
          <w:sz w:val="19"/>
        </w:rPr>
        <w:t>Attachments</w:t>
      </w:r>
    </w:p>
    <w:p>
      <w:pPr>
        <w:tabs>
          <w:tab w:pos="8828" w:val="left" w:leader="none"/>
        </w:tabs>
        <w:spacing w:before="306"/>
        <w:ind w:left="630" w:right="0" w:firstLine="0"/>
        <w:jc w:val="left"/>
        <w:rPr>
          <w:sz w:val="19"/>
        </w:rPr>
      </w:pPr>
      <w:r>
        <w:rPr>
          <w:color w:val="585966"/>
          <w:sz w:val="19"/>
        </w:rPr>
        <w:t>RJC</w:t>
      </w:r>
      <w:r>
        <w:rPr>
          <w:color w:val="585966"/>
          <w:spacing w:val="12"/>
          <w:sz w:val="19"/>
        </w:rPr>
        <w:t> </w:t>
      </w:r>
      <w:r>
        <w:rPr>
          <w:color w:val="585966"/>
          <w:sz w:val="19"/>
        </w:rPr>
        <w:t>36a</w:t>
      </w:r>
      <w:r>
        <w:rPr>
          <w:color w:val="585966"/>
          <w:spacing w:val="12"/>
          <w:sz w:val="19"/>
        </w:rPr>
        <w:t> </w:t>
      </w:r>
      <w:r>
        <w:rPr>
          <w:color w:val="585966"/>
          <w:sz w:val="19"/>
        </w:rPr>
        <w:t>Regional</w:t>
      </w:r>
      <w:r>
        <w:rPr>
          <w:color w:val="585966"/>
          <w:spacing w:val="12"/>
          <w:sz w:val="19"/>
        </w:rPr>
        <w:t> </w:t>
      </w:r>
      <w:r>
        <w:rPr>
          <w:color w:val="585966"/>
          <w:sz w:val="19"/>
        </w:rPr>
        <w:t>finance</w:t>
      </w:r>
      <w:r>
        <w:rPr>
          <w:color w:val="585966"/>
          <w:spacing w:val="13"/>
          <w:sz w:val="19"/>
        </w:rPr>
        <w:t> </w:t>
      </w:r>
      <w:r>
        <w:rPr>
          <w:color w:val="585966"/>
          <w:sz w:val="19"/>
        </w:rPr>
        <w:t>and</w:t>
      </w:r>
      <w:r>
        <w:rPr>
          <w:color w:val="585966"/>
          <w:spacing w:val="12"/>
          <w:sz w:val="19"/>
        </w:rPr>
        <w:t> </w:t>
      </w:r>
      <w:r>
        <w:rPr>
          <w:color w:val="585966"/>
          <w:sz w:val="19"/>
        </w:rPr>
        <w:t>digital</w:t>
      </w:r>
      <w:r>
        <w:rPr>
          <w:color w:val="585966"/>
          <w:spacing w:val="12"/>
          <w:sz w:val="19"/>
        </w:rPr>
        <w:t> </w:t>
      </w:r>
      <w:r>
        <w:rPr>
          <w:color w:val="585966"/>
          <w:sz w:val="19"/>
        </w:rPr>
        <w:t>collaboration</w:t>
      </w:r>
      <w:r>
        <w:rPr>
          <w:color w:val="585966"/>
          <w:spacing w:val="12"/>
          <w:sz w:val="19"/>
        </w:rPr>
        <w:t> </w:t>
      </w:r>
      <w:r>
        <w:rPr>
          <w:color w:val="585966"/>
          <w:spacing w:val="-4"/>
          <w:sz w:val="19"/>
        </w:rPr>
        <w:t>SBAR</w:t>
      </w:r>
      <w:r>
        <w:rPr>
          <w:rFonts w:ascii="Times New Roman"/>
          <w:color w:val="585966"/>
          <w:sz w:val="19"/>
        </w:rPr>
        <w:tab/>
      </w:r>
      <w:r>
        <w:rPr>
          <w:color w:val="585966"/>
          <w:spacing w:val="-5"/>
          <w:sz w:val="19"/>
        </w:rPr>
        <w:t>13</w:t>
      </w:r>
    </w:p>
    <w:p>
      <w:pPr>
        <w:tabs>
          <w:tab w:pos="8828" w:val="left" w:leader="none"/>
        </w:tabs>
        <w:spacing w:before="322"/>
        <w:ind w:left="630" w:right="0" w:firstLine="0"/>
        <w:jc w:val="left"/>
        <w:rPr>
          <w:sz w:val="19"/>
        </w:rPr>
      </w:pPr>
      <w:r>
        <w:rPr>
          <w:color w:val="585966"/>
          <w:sz w:val="19"/>
        </w:rPr>
        <w:t>RJC</w:t>
      </w:r>
      <w:r>
        <w:rPr>
          <w:color w:val="585966"/>
          <w:spacing w:val="13"/>
          <w:sz w:val="19"/>
        </w:rPr>
        <w:t> </w:t>
      </w:r>
      <w:r>
        <w:rPr>
          <w:color w:val="585966"/>
          <w:sz w:val="19"/>
        </w:rPr>
        <w:t>36b</w:t>
      </w:r>
      <w:r>
        <w:rPr>
          <w:color w:val="585966"/>
          <w:spacing w:val="13"/>
          <w:sz w:val="19"/>
        </w:rPr>
        <w:t> </w:t>
      </w:r>
      <w:r>
        <w:rPr>
          <w:color w:val="585966"/>
          <w:sz w:val="19"/>
        </w:rPr>
        <w:t>Presentation</w:t>
      </w:r>
      <w:r>
        <w:rPr>
          <w:color w:val="585966"/>
          <w:spacing w:val="13"/>
          <w:sz w:val="19"/>
        </w:rPr>
        <w:t> </w:t>
      </w:r>
      <w:r>
        <w:rPr>
          <w:color w:val="585966"/>
          <w:sz w:val="19"/>
        </w:rPr>
        <w:t>Finance</w:t>
      </w:r>
      <w:r>
        <w:rPr>
          <w:color w:val="585966"/>
          <w:spacing w:val="13"/>
          <w:sz w:val="19"/>
        </w:rPr>
        <w:t> </w:t>
      </w:r>
      <w:r>
        <w:rPr>
          <w:color w:val="585966"/>
          <w:sz w:val="19"/>
        </w:rPr>
        <w:t>Digital</w:t>
      </w:r>
      <w:r>
        <w:rPr>
          <w:color w:val="585966"/>
          <w:spacing w:val="8"/>
          <w:sz w:val="19"/>
        </w:rPr>
        <w:t> </w:t>
      </w:r>
      <w:r>
        <w:rPr>
          <w:color w:val="585966"/>
          <w:spacing w:val="-2"/>
          <w:sz w:val="19"/>
        </w:rPr>
        <w:t>Transformation</w:t>
      </w:r>
      <w:r>
        <w:rPr>
          <w:rFonts w:ascii="Times New Roman"/>
          <w:color w:val="585966"/>
          <w:sz w:val="19"/>
        </w:rPr>
        <w:tab/>
      </w:r>
      <w:r>
        <w:rPr>
          <w:color w:val="585966"/>
          <w:spacing w:val="-5"/>
          <w:sz w:val="19"/>
        </w:rPr>
        <w:t>21</w:t>
      </w:r>
    </w:p>
    <w:p>
      <w:pPr>
        <w:pStyle w:val="ListParagraph"/>
        <w:numPr>
          <w:ilvl w:val="0"/>
          <w:numId w:val="1"/>
        </w:numPr>
        <w:tabs>
          <w:tab w:pos="275" w:val="left" w:leader="none"/>
          <w:tab w:pos="8778" w:val="left" w:leader="none"/>
        </w:tabs>
        <w:spacing w:line="240" w:lineRule="auto" w:before="274" w:after="0"/>
        <w:ind w:left="275" w:right="0" w:hanging="200"/>
        <w:jc w:val="left"/>
        <w:rPr>
          <w:sz w:val="24"/>
        </w:rPr>
      </w:pPr>
      <w:r>
        <w:rPr>
          <w:color w:val="444850"/>
          <w:sz w:val="24"/>
        </w:rPr>
        <w:t>-</w:t>
      </w:r>
      <w:r>
        <w:rPr>
          <w:color w:val="444850"/>
          <w:spacing w:val="-13"/>
          <w:sz w:val="24"/>
        </w:rPr>
        <w:t> </w:t>
      </w:r>
      <w:r>
        <w:rPr>
          <w:color w:val="444850"/>
          <w:sz w:val="24"/>
        </w:rPr>
        <w:t>To</w:t>
      </w:r>
      <w:r>
        <w:rPr>
          <w:color w:val="444850"/>
          <w:spacing w:val="-5"/>
          <w:sz w:val="24"/>
        </w:rPr>
        <w:t> </w:t>
      </w:r>
      <w:r>
        <w:rPr>
          <w:color w:val="444850"/>
          <w:sz w:val="24"/>
        </w:rPr>
        <w:t>Receive</w:t>
      </w:r>
      <w:r>
        <w:rPr>
          <w:color w:val="444850"/>
          <w:spacing w:val="-6"/>
          <w:sz w:val="24"/>
        </w:rPr>
        <w:t> </w:t>
      </w:r>
      <w:r>
        <w:rPr>
          <w:color w:val="444850"/>
          <w:sz w:val="24"/>
        </w:rPr>
        <w:t>Sub-Group</w:t>
      </w:r>
      <w:r>
        <w:rPr>
          <w:color w:val="444850"/>
          <w:spacing w:val="-17"/>
          <w:sz w:val="24"/>
        </w:rPr>
        <w:t> </w:t>
      </w:r>
      <w:r>
        <w:rPr>
          <w:color w:val="444850"/>
          <w:sz w:val="24"/>
        </w:rPr>
        <w:t>Assurance</w:t>
      </w:r>
      <w:r>
        <w:rPr>
          <w:color w:val="444850"/>
          <w:spacing w:val="-5"/>
          <w:sz w:val="24"/>
        </w:rPr>
        <w:t> </w:t>
      </w:r>
      <w:r>
        <w:rPr>
          <w:color w:val="444850"/>
          <w:spacing w:val="-2"/>
          <w:sz w:val="24"/>
        </w:rPr>
        <w:t>Reports</w:t>
      </w:r>
      <w:r>
        <w:rPr>
          <w:rFonts w:ascii="Times New Roman"/>
          <w:color w:val="444850"/>
          <w:sz w:val="24"/>
        </w:rPr>
        <w:tab/>
      </w:r>
      <w:r>
        <w:rPr>
          <w:color w:val="444850"/>
          <w:spacing w:val="-5"/>
          <w:sz w:val="24"/>
        </w:rPr>
        <w:t>27</w:t>
      </w:r>
    </w:p>
    <w:p>
      <w:pPr>
        <w:pStyle w:val="ListParagraph"/>
        <w:numPr>
          <w:ilvl w:val="1"/>
          <w:numId w:val="1"/>
        </w:numPr>
        <w:tabs>
          <w:tab w:pos="775" w:val="left" w:leader="none"/>
          <w:tab w:pos="8778" w:val="left" w:leader="none"/>
        </w:tabs>
        <w:spacing w:line="240" w:lineRule="auto" w:before="579" w:after="0"/>
        <w:ind w:left="775" w:right="0" w:hanging="400"/>
        <w:jc w:val="left"/>
        <w:rPr>
          <w:sz w:val="24"/>
        </w:rPr>
      </w:pPr>
      <w:r>
        <w:rPr>
          <w:sz w:val="24"/>
        </w:rPr>
        <mc:AlternateContent>
          <mc:Choice Requires="wps">
            <w:drawing>
              <wp:anchor distT="0" distB="0" distL="0" distR="0" allowOverlap="1" layoutInCell="1" locked="0" behindDoc="0" simplePos="0" relativeHeight="15744000">
                <wp:simplePos x="0" y="0"/>
                <wp:positionH relativeFrom="page">
                  <wp:posOffset>1038224</wp:posOffset>
                </wp:positionH>
                <wp:positionV relativeFrom="paragraph">
                  <wp:posOffset>201471</wp:posOffset>
                </wp:positionV>
                <wp:extent cx="5695950" cy="127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5695950" cy="1270"/>
                        </a:xfrm>
                        <a:custGeom>
                          <a:avLst/>
                          <a:gdLst/>
                          <a:ahLst/>
                          <a:cxnLst/>
                          <a:rect l="l" t="t" r="r" b="b"/>
                          <a:pathLst>
                            <a:path w="5695950" h="0">
                              <a:moveTo>
                                <a:pt x="0" y="0"/>
                              </a:moveTo>
                              <a:lnTo>
                                <a:pt x="56959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4000" from="81.749992pt,15.86388pt" to="530.249957pt,15.86388pt" stroked="true" strokeweight=".75pt" strokecolor="#aaaaaa">
                <v:stroke dashstyle="shortdot"/>
                <w10:wrap type="none"/>
              </v:line>
            </w:pict>
          </mc:Fallback>
        </mc:AlternateContent>
      </w:r>
      <w:r>
        <w:rPr>
          <w:sz w:val="24"/>
        </w:rPr>
        <mc:AlternateContent>
          <mc:Choice Requires="wps">
            <w:drawing>
              <wp:anchor distT="0" distB="0" distL="0" distR="0" allowOverlap="1" layoutInCell="1" locked="0" behindDoc="0" simplePos="0" relativeHeight="15744512">
                <wp:simplePos x="0" y="0"/>
                <wp:positionH relativeFrom="page">
                  <wp:posOffset>1228724</wp:posOffset>
                </wp:positionH>
                <wp:positionV relativeFrom="paragraph">
                  <wp:posOffset>744396</wp:posOffset>
                </wp:positionV>
                <wp:extent cx="5505450" cy="1270"/>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4512" from="96.749992pt,58.613876pt" to="530.249958pt,58.613876pt" stroked="true" strokeweight=".75pt" strokecolor="#aaaaaa">
                <v:stroke dashstyle="shortdot"/>
                <w10:wrap type="none"/>
              </v:line>
            </w:pict>
          </mc:Fallback>
        </mc:AlternateContent>
      </w:r>
      <w:r>
        <w:rPr>
          <w:color w:val="444850"/>
          <w:sz w:val="24"/>
        </w:rPr>
        <w:t>- 03 1.01 - RJC/37a: Clinical Services Planning Subgroup </w:t>
      </w:r>
      <w:r>
        <w:rPr>
          <w:color w:val="444850"/>
          <w:spacing w:val="-2"/>
          <w:sz w:val="24"/>
        </w:rPr>
        <w:t>Update</w:t>
      </w:r>
      <w:r>
        <w:rPr>
          <w:rFonts w:ascii="Times New Roman"/>
          <w:color w:val="444850"/>
          <w:sz w:val="24"/>
        </w:rPr>
        <w:tab/>
      </w:r>
      <w:r>
        <w:rPr>
          <w:color w:val="444850"/>
          <w:spacing w:val="-5"/>
          <w:sz w:val="24"/>
        </w:rPr>
        <w:t>28</w:t>
      </w:r>
    </w:p>
    <w:p>
      <w:pPr>
        <w:spacing w:before="626"/>
        <w:ind w:left="630" w:right="0" w:firstLine="0"/>
        <w:jc w:val="left"/>
        <w:rPr>
          <w:b/>
          <w:sz w:val="19"/>
        </w:rPr>
      </w:pPr>
      <w:r>
        <w:rPr>
          <w:b/>
          <w:color w:val="585966"/>
          <w:spacing w:val="-2"/>
          <w:sz w:val="19"/>
        </w:rPr>
        <w:t>Attachments</w:t>
      </w:r>
    </w:p>
    <w:p>
      <w:pPr>
        <w:tabs>
          <w:tab w:pos="8828" w:val="left" w:leader="none"/>
        </w:tabs>
        <w:spacing w:before="307"/>
        <w:ind w:left="630" w:right="0" w:firstLine="0"/>
        <w:jc w:val="left"/>
        <w:rPr>
          <w:sz w:val="19"/>
        </w:rPr>
      </w:pPr>
      <w:r>
        <w:rPr>
          <w:color w:val="585966"/>
          <w:sz w:val="19"/>
        </w:rPr>
        <w:t>RJC</w:t>
      </w:r>
      <w:r>
        <w:rPr>
          <w:color w:val="585966"/>
          <w:spacing w:val="13"/>
          <w:sz w:val="19"/>
        </w:rPr>
        <w:t> </w:t>
      </w:r>
      <w:r>
        <w:rPr>
          <w:color w:val="585966"/>
          <w:sz w:val="19"/>
        </w:rPr>
        <w:t>37a(i)</w:t>
      </w:r>
      <w:r>
        <w:rPr>
          <w:color w:val="585966"/>
          <w:spacing w:val="13"/>
          <w:sz w:val="19"/>
        </w:rPr>
        <w:t> </w:t>
      </w:r>
      <w:r>
        <w:rPr>
          <w:color w:val="585966"/>
          <w:sz w:val="19"/>
        </w:rPr>
        <w:t>Clinical</w:t>
      </w:r>
      <w:r>
        <w:rPr>
          <w:color w:val="585966"/>
          <w:spacing w:val="13"/>
          <w:sz w:val="19"/>
        </w:rPr>
        <w:t> </w:t>
      </w:r>
      <w:r>
        <w:rPr>
          <w:color w:val="585966"/>
          <w:sz w:val="19"/>
        </w:rPr>
        <w:t>Services</w:t>
      </w:r>
      <w:r>
        <w:rPr>
          <w:color w:val="585966"/>
          <w:spacing w:val="13"/>
          <w:sz w:val="19"/>
        </w:rPr>
        <w:t> </w:t>
      </w:r>
      <w:r>
        <w:rPr>
          <w:color w:val="585966"/>
          <w:sz w:val="19"/>
        </w:rPr>
        <w:t>Planning</w:t>
      </w:r>
      <w:r>
        <w:rPr>
          <w:color w:val="585966"/>
          <w:spacing w:val="13"/>
          <w:sz w:val="19"/>
        </w:rPr>
        <w:t> </w:t>
      </w:r>
      <w:r>
        <w:rPr>
          <w:color w:val="585966"/>
          <w:sz w:val="19"/>
        </w:rPr>
        <w:t>Subgroup</w:t>
      </w:r>
      <w:r>
        <w:rPr>
          <w:color w:val="585966"/>
          <w:spacing w:val="14"/>
          <w:sz w:val="19"/>
        </w:rPr>
        <w:t> </w:t>
      </w:r>
      <w:r>
        <w:rPr>
          <w:color w:val="585966"/>
          <w:sz w:val="19"/>
        </w:rPr>
        <w:t>(AAA)</w:t>
      </w:r>
      <w:r>
        <w:rPr>
          <w:color w:val="585966"/>
          <w:spacing w:val="13"/>
          <w:sz w:val="19"/>
        </w:rPr>
        <w:t> </w:t>
      </w:r>
      <w:r>
        <w:rPr>
          <w:color w:val="585966"/>
          <w:sz w:val="19"/>
        </w:rPr>
        <w:t>Update</w:t>
      </w:r>
      <w:r>
        <w:rPr>
          <w:color w:val="585966"/>
          <w:spacing w:val="13"/>
          <w:sz w:val="19"/>
        </w:rPr>
        <w:t> </w:t>
      </w:r>
      <w:r>
        <w:rPr>
          <w:color w:val="585966"/>
          <w:spacing w:val="-2"/>
          <w:sz w:val="19"/>
        </w:rPr>
        <w:t>Report</w:t>
      </w:r>
      <w:r>
        <w:rPr>
          <w:rFonts w:ascii="Times New Roman"/>
          <w:color w:val="585966"/>
          <w:sz w:val="19"/>
        </w:rPr>
        <w:tab/>
      </w:r>
      <w:r>
        <w:rPr>
          <w:color w:val="585966"/>
          <w:spacing w:val="-5"/>
          <w:sz w:val="19"/>
        </w:rPr>
        <w:t>29</w:t>
      </w:r>
    </w:p>
    <w:p>
      <w:pPr>
        <w:tabs>
          <w:tab w:pos="8828" w:val="left" w:leader="none"/>
        </w:tabs>
        <w:spacing w:before="321"/>
        <w:ind w:left="630" w:right="0" w:firstLine="0"/>
        <w:jc w:val="left"/>
        <w:rPr>
          <w:sz w:val="19"/>
        </w:rPr>
      </w:pPr>
      <w:r>
        <w:rPr>
          <w:color w:val="585966"/>
          <w:sz w:val="19"/>
        </w:rPr>
        <w:t>RJC</w:t>
      </w:r>
      <w:r>
        <w:rPr>
          <w:color w:val="585966"/>
          <w:spacing w:val="13"/>
          <w:sz w:val="19"/>
        </w:rPr>
        <w:t> </w:t>
      </w:r>
      <w:r>
        <w:rPr>
          <w:color w:val="585966"/>
          <w:sz w:val="19"/>
        </w:rPr>
        <w:t>37a(ii)</w:t>
      </w:r>
      <w:r>
        <w:rPr>
          <w:color w:val="585966"/>
          <w:spacing w:val="13"/>
          <w:sz w:val="19"/>
        </w:rPr>
        <w:t> </w:t>
      </w:r>
      <w:r>
        <w:rPr>
          <w:color w:val="585966"/>
          <w:sz w:val="19"/>
        </w:rPr>
        <w:t>Clinical</w:t>
      </w:r>
      <w:r>
        <w:rPr>
          <w:color w:val="585966"/>
          <w:spacing w:val="13"/>
          <w:sz w:val="19"/>
        </w:rPr>
        <w:t> </w:t>
      </w:r>
      <w:r>
        <w:rPr>
          <w:color w:val="585966"/>
          <w:sz w:val="19"/>
        </w:rPr>
        <w:t>Services</w:t>
      </w:r>
      <w:r>
        <w:rPr>
          <w:color w:val="585966"/>
          <w:spacing w:val="13"/>
          <w:sz w:val="19"/>
        </w:rPr>
        <w:t> </w:t>
      </w:r>
      <w:r>
        <w:rPr>
          <w:color w:val="585966"/>
          <w:sz w:val="19"/>
        </w:rPr>
        <w:t>Planning</w:t>
      </w:r>
      <w:r>
        <w:rPr>
          <w:color w:val="585966"/>
          <w:spacing w:val="13"/>
          <w:sz w:val="19"/>
        </w:rPr>
        <w:t> </w:t>
      </w:r>
      <w:r>
        <w:rPr>
          <w:color w:val="585966"/>
          <w:sz w:val="19"/>
        </w:rPr>
        <w:t>Subgroup</w:t>
      </w:r>
      <w:r>
        <w:rPr>
          <w:color w:val="585966"/>
          <w:spacing w:val="13"/>
          <w:sz w:val="19"/>
        </w:rPr>
        <w:t> </w:t>
      </w:r>
      <w:r>
        <w:rPr>
          <w:color w:val="585966"/>
          <w:sz w:val="19"/>
        </w:rPr>
        <w:t>(AAA) Appendix</w:t>
      </w:r>
      <w:r>
        <w:rPr>
          <w:color w:val="585966"/>
          <w:spacing w:val="13"/>
          <w:sz w:val="19"/>
        </w:rPr>
        <w:t> </w:t>
      </w:r>
      <w:r>
        <w:rPr>
          <w:color w:val="585966"/>
          <w:sz w:val="19"/>
        </w:rPr>
        <w:t>1</w:t>
      </w:r>
      <w:r>
        <w:rPr>
          <w:color w:val="585966"/>
          <w:spacing w:val="13"/>
          <w:sz w:val="19"/>
        </w:rPr>
        <w:t> </w:t>
      </w:r>
      <w:r>
        <w:rPr>
          <w:color w:val="585966"/>
          <w:sz w:val="19"/>
        </w:rPr>
        <w:t>Regional</w:t>
      </w:r>
      <w:r>
        <w:rPr>
          <w:color w:val="585966"/>
          <w:spacing w:val="14"/>
          <w:sz w:val="19"/>
        </w:rPr>
        <w:t> </w:t>
      </w:r>
      <w:r>
        <w:rPr>
          <w:color w:val="585966"/>
          <w:spacing w:val="-10"/>
          <w:sz w:val="19"/>
        </w:rPr>
        <w:t>~</w:t>
      </w:r>
      <w:r>
        <w:rPr>
          <w:rFonts w:ascii="Times New Roman"/>
          <w:color w:val="585966"/>
          <w:sz w:val="19"/>
        </w:rPr>
        <w:tab/>
      </w:r>
      <w:r>
        <w:rPr>
          <w:color w:val="585966"/>
          <w:spacing w:val="-5"/>
          <w:sz w:val="19"/>
        </w:rPr>
        <w:t>34</w:t>
      </w:r>
    </w:p>
    <w:p>
      <w:pPr>
        <w:tabs>
          <w:tab w:pos="8828" w:val="left" w:leader="none"/>
        </w:tabs>
        <w:spacing w:before="322"/>
        <w:ind w:left="630" w:right="0" w:firstLine="0"/>
        <w:jc w:val="left"/>
        <w:rPr>
          <w:sz w:val="19"/>
        </w:rPr>
      </w:pPr>
      <w:r>
        <w:rPr>
          <w:color w:val="585966"/>
          <w:sz w:val="19"/>
        </w:rPr>
        <w:t>RJC</w:t>
      </w:r>
      <w:r>
        <w:rPr>
          <w:color w:val="585966"/>
          <w:spacing w:val="12"/>
          <w:sz w:val="19"/>
        </w:rPr>
        <w:t> </w:t>
      </w:r>
      <w:r>
        <w:rPr>
          <w:color w:val="585966"/>
          <w:sz w:val="19"/>
        </w:rPr>
        <w:t>37a(iii)</w:t>
      </w:r>
      <w:r>
        <w:rPr>
          <w:color w:val="585966"/>
          <w:spacing w:val="13"/>
          <w:sz w:val="19"/>
        </w:rPr>
        <w:t> </w:t>
      </w:r>
      <w:r>
        <w:rPr>
          <w:color w:val="585966"/>
          <w:sz w:val="19"/>
        </w:rPr>
        <w:t>Clinical</w:t>
      </w:r>
      <w:r>
        <w:rPr>
          <w:color w:val="585966"/>
          <w:spacing w:val="13"/>
          <w:sz w:val="19"/>
        </w:rPr>
        <w:t> </w:t>
      </w:r>
      <w:r>
        <w:rPr>
          <w:color w:val="585966"/>
          <w:sz w:val="19"/>
        </w:rPr>
        <w:t>Services</w:t>
      </w:r>
      <w:r>
        <w:rPr>
          <w:color w:val="585966"/>
          <w:spacing w:val="13"/>
          <w:sz w:val="19"/>
        </w:rPr>
        <w:t> </w:t>
      </w:r>
      <w:r>
        <w:rPr>
          <w:color w:val="585966"/>
          <w:sz w:val="19"/>
        </w:rPr>
        <w:t>Planning</w:t>
      </w:r>
      <w:r>
        <w:rPr>
          <w:color w:val="585966"/>
          <w:spacing w:val="13"/>
          <w:sz w:val="19"/>
        </w:rPr>
        <w:t> </w:t>
      </w:r>
      <w:r>
        <w:rPr>
          <w:color w:val="585966"/>
          <w:sz w:val="19"/>
        </w:rPr>
        <w:t>Subgroup</w:t>
      </w:r>
      <w:r>
        <w:rPr>
          <w:color w:val="585966"/>
          <w:spacing w:val="13"/>
          <w:sz w:val="19"/>
        </w:rPr>
        <w:t> </w:t>
      </w:r>
      <w:r>
        <w:rPr>
          <w:color w:val="585966"/>
          <w:sz w:val="19"/>
        </w:rPr>
        <w:t>(AAA) Appendix</w:t>
      </w:r>
      <w:r>
        <w:rPr>
          <w:color w:val="585966"/>
          <w:spacing w:val="13"/>
          <w:sz w:val="19"/>
        </w:rPr>
        <w:t> </w:t>
      </w:r>
      <w:r>
        <w:rPr>
          <w:color w:val="585966"/>
          <w:sz w:val="19"/>
        </w:rPr>
        <w:t>2</w:t>
      </w:r>
      <w:r>
        <w:rPr>
          <w:color w:val="585966"/>
          <w:spacing w:val="12"/>
          <w:sz w:val="19"/>
        </w:rPr>
        <w:t> </w:t>
      </w:r>
      <w:r>
        <w:rPr>
          <w:color w:val="585966"/>
          <w:spacing w:val="-2"/>
          <w:sz w:val="19"/>
        </w:rPr>
        <w:t>Regional~</w:t>
      </w:r>
      <w:r>
        <w:rPr>
          <w:rFonts w:ascii="Times New Roman"/>
          <w:color w:val="585966"/>
          <w:sz w:val="19"/>
        </w:rPr>
        <w:tab/>
      </w:r>
      <w:r>
        <w:rPr>
          <w:color w:val="585966"/>
          <w:spacing w:val="-5"/>
          <w:sz w:val="19"/>
        </w:rPr>
        <w:t>47</w:t>
      </w:r>
    </w:p>
    <w:p>
      <w:pPr>
        <w:tabs>
          <w:tab w:pos="8828" w:val="left" w:leader="none"/>
        </w:tabs>
        <w:spacing w:before="321"/>
        <w:ind w:left="630" w:right="0" w:firstLine="0"/>
        <w:jc w:val="left"/>
        <w:rPr>
          <w:sz w:val="19"/>
        </w:rPr>
      </w:pPr>
      <w:r>
        <w:rPr>
          <w:color w:val="585966"/>
          <w:sz w:val="19"/>
        </w:rPr>
        <w:t>RJC</w:t>
      </w:r>
      <w:r>
        <w:rPr>
          <w:color w:val="585966"/>
          <w:spacing w:val="13"/>
          <w:sz w:val="19"/>
        </w:rPr>
        <w:t> </w:t>
      </w:r>
      <w:r>
        <w:rPr>
          <w:color w:val="585966"/>
          <w:sz w:val="19"/>
        </w:rPr>
        <w:t>37a(iv)</w:t>
      </w:r>
      <w:r>
        <w:rPr>
          <w:color w:val="585966"/>
          <w:spacing w:val="13"/>
          <w:sz w:val="19"/>
        </w:rPr>
        <w:t> </w:t>
      </w:r>
      <w:r>
        <w:rPr>
          <w:color w:val="585966"/>
          <w:sz w:val="19"/>
        </w:rPr>
        <w:t>Clinical</w:t>
      </w:r>
      <w:r>
        <w:rPr>
          <w:color w:val="585966"/>
          <w:spacing w:val="13"/>
          <w:sz w:val="19"/>
        </w:rPr>
        <w:t> </w:t>
      </w:r>
      <w:r>
        <w:rPr>
          <w:color w:val="585966"/>
          <w:sz w:val="19"/>
        </w:rPr>
        <w:t>Services</w:t>
      </w:r>
      <w:r>
        <w:rPr>
          <w:color w:val="585966"/>
          <w:spacing w:val="14"/>
          <w:sz w:val="19"/>
        </w:rPr>
        <w:t> </w:t>
      </w:r>
      <w:r>
        <w:rPr>
          <w:color w:val="585966"/>
          <w:sz w:val="19"/>
        </w:rPr>
        <w:t>Planning</w:t>
      </w:r>
      <w:r>
        <w:rPr>
          <w:color w:val="585966"/>
          <w:spacing w:val="13"/>
          <w:sz w:val="19"/>
        </w:rPr>
        <w:t> </w:t>
      </w:r>
      <w:r>
        <w:rPr>
          <w:color w:val="585966"/>
          <w:sz w:val="19"/>
        </w:rPr>
        <w:t>Subgroup</w:t>
      </w:r>
      <w:r>
        <w:rPr>
          <w:color w:val="585966"/>
          <w:spacing w:val="13"/>
          <w:sz w:val="19"/>
        </w:rPr>
        <w:t> </w:t>
      </w:r>
      <w:r>
        <w:rPr>
          <w:color w:val="585966"/>
          <w:sz w:val="19"/>
        </w:rPr>
        <w:t>(AAA) Appendix</w:t>
      </w:r>
      <w:r>
        <w:rPr>
          <w:color w:val="585966"/>
          <w:spacing w:val="13"/>
          <w:sz w:val="19"/>
        </w:rPr>
        <w:t> </w:t>
      </w:r>
      <w:r>
        <w:rPr>
          <w:color w:val="585966"/>
          <w:sz w:val="19"/>
        </w:rPr>
        <w:t>3</w:t>
      </w:r>
      <w:r>
        <w:rPr>
          <w:color w:val="585966"/>
          <w:spacing w:val="13"/>
          <w:sz w:val="19"/>
        </w:rPr>
        <w:t> </w:t>
      </w:r>
      <w:r>
        <w:rPr>
          <w:color w:val="585966"/>
          <w:sz w:val="19"/>
        </w:rPr>
        <w:t>Regional</w:t>
      </w:r>
      <w:r>
        <w:rPr>
          <w:color w:val="585966"/>
          <w:spacing w:val="14"/>
          <w:sz w:val="19"/>
        </w:rPr>
        <w:t> </w:t>
      </w:r>
      <w:r>
        <w:rPr>
          <w:color w:val="585966"/>
          <w:spacing w:val="-10"/>
          <w:sz w:val="19"/>
        </w:rPr>
        <w:t>~</w:t>
      </w:r>
      <w:r>
        <w:rPr>
          <w:rFonts w:ascii="Times New Roman"/>
          <w:color w:val="585966"/>
          <w:sz w:val="19"/>
        </w:rPr>
        <w:tab/>
      </w:r>
      <w:r>
        <w:rPr>
          <w:color w:val="585966"/>
          <w:spacing w:val="-5"/>
          <w:sz w:val="19"/>
        </w:rPr>
        <w:t>60</w:t>
      </w:r>
    </w:p>
    <w:p>
      <w:pPr>
        <w:tabs>
          <w:tab w:pos="8828" w:val="left" w:leader="none"/>
        </w:tabs>
        <w:spacing w:before="322"/>
        <w:ind w:left="630" w:right="0" w:firstLine="0"/>
        <w:jc w:val="left"/>
        <w:rPr>
          <w:sz w:val="19"/>
        </w:rPr>
      </w:pPr>
      <w:r>
        <w:rPr>
          <w:color w:val="585966"/>
          <w:sz w:val="19"/>
        </w:rPr>
        <w:t>RJC</w:t>
      </w:r>
      <w:r>
        <w:rPr>
          <w:color w:val="585966"/>
          <w:spacing w:val="13"/>
          <w:sz w:val="19"/>
        </w:rPr>
        <w:t> </w:t>
      </w:r>
      <w:r>
        <w:rPr>
          <w:color w:val="585966"/>
          <w:sz w:val="19"/>
        </w:rPr>
        <w:t>37b</w:t>
      </w:r>
      <w:r>
        <w:rPr>
          <w:color w:val="585966"/>
          <w:spacing w:val="13"/>
          <w:sz w:val="19"/>
        </w:rPr>
        <w:t> </w:t>
      </w:r>
      <w:r>
        <w:rPr>
          <w:color w:val="585966"/>
          <w:sz w:val="19"/>
        </w:rPr>
        <w:t>Clinical</w:t>
      </w:r>
      <w:r>
        <w:rPr>
          <w:color w:val="585966"/>
          <w:spacing w:val="13"/>
          <w:sz w:val="19"/>
        </w:rPr>
        <w:t> </w:t>
      </w:r>
      <w:r>
        <w:rPr>
          <w:color w:val="585966"/>
          <w:sz w:val="19"/>
        </w:rPr>
        <w:t>Services</w:t>
      </w:r>
      <w:r>
        <w:rPr>
          <w:color w:val="585966"/>
          <w:spacing w:val="13"/>
          <w:sz w:val="19"/>
        </w:rPr>
        <w:t> </w:t>
      </w:r>
      <w:r>
        <w:rPr>
          <w:color w:val="585966"/>
          <w:sz w:val="19"/>
        </w:rPr>
        <w:t>Planning</w:t>
      </w:r>
      <w:r>
        <w:rPr>
          <w:color w:val="585966"/>
          <w:spacing w:val="13"/>
          <w:sz w:val="19"/>
        </w:rPr>
        <w:t> </w:t>
      </w:r>
      <w:r>
        <w:rPr>
          <w:color w:val="585966"/>
          <w:sz w:val="19"/>
        </w:rPr>
        <w:t>Subgroup</w:t>
      </w:r>
      <w:r>
        <w:rPr>
          <w:color w:val="585966"/>
          <w:spacing w:val="13"/>
          <w:sz w:val="19"/>
        </w:rPr>
        <w:t> </w:t>
      </w:r>
      <w:r>
        <w:rPr>
          <w:color w:val="585966"/>
          <w:sz w:val="19"/>
        </w:rPr>
        <w:t>Work</w:t>
      </w:r>
      <w:r>
        <w:rPr>
          <w:color w:val="585966"/>
          <w:spacing w:val="13"/>
          <w:sz w:val="19"/>
        </w:rPr>
        <w:t> </w:t>
      </w:r>
      <w:r>
        <w:rPr>
          <w:color w:val="585966"/>
          <w:sz w:val="19"/>
        </w:rPr>
        <w:t>Programme</w:t>
      </w:r>
      <w:r>
        <w:rPr>
          <w:color w:val="585966"/>
          <w:spacing w:val="13"/>
          <w:sz w:val="19"/>
        </w:rPr>
        <w:t> </w:t>
      </w:r>
      <w:r>
        <w:rPr>
          <w:color w:val="585966"/>
          <w:spacing w:val="-2"/>
          <w:sz w:val="19"/>
        </w:rPr>
        <w:t>Summary</w:t>
      </w:r>
      <w:r>
        <w:rPr>
          <w:rFonts w:ascii="Times New Roman"/>
          <w:color w:val="585966"/>
          <w:sz w:val="19"/>
        </w:rPr>
        <w:tab/>
      </w:r>
      <w:r>
        <w:rPr>
          <w:color w:val="585966"/>
          <w:spacing w:val="-5"/>
          <w:sz w:val="19"/>
        </w:rPr>
        <w:t>67</w:t>
      </w:r>
    </w:p>
    <w:p>
      <w:pPr>
        <w:pStyle w:val="ListParagraph"/>
        <w:numPr>
          <w:ilvl w:val="1"/>
          <w:numId w:val="1"/>
        </w:numPr>
        <w:tabs>
          <w:tab w:pos="775" w:val="left" w:leader="none"/>
          <w:tab w:pos="9045" w:val="right" w:leader="none"/>
        </w:tabs>
        <w:spacing w:line="160" w:lineRule="auto" w:before="349" w:after="0"/>
        <w:ind w:left="375" w:right="74" w:firstLine="0"/>
        <w:jc w:val="left"/>
        <w:rPr>
          <w:position w:val="13"/>
          <w:sz w:val="24"/>
        </w:rPr>
      </w:pPr>
      <w:r>
        <w:rPr>
          <w:position w:val="13"/>
          <w:sz w:val="24"/>
        </w:rPr>
        <mc:AlternateContent>
          <mc:Choice Requires="wps">
            <w:drawing>
              <wp:anchor distT="0" distB="0" distL="0" distR="0" allowOverlap="1" layoutInCell="1" locked="0" behindDoc="0" simplePos="0" relativeHeight="15745024">
                <wp:simplePos x="0" y="0"/>
                <wp:positionH relativeFrom="page">
                  <wp:posOffset>1228724</wp:posOffset>
                </wp:positionH>
                <wp:positionV relativeFrom="paragraph">
                  <wp:posOffset>722256</wp:posOffset>
                </wp:positionV>
                <wp:extent cx="5505450" cy="127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024" from="96.749992pt,56.870598pt" to="530.249958pt,56.870598pt" stroked="true" strokeweight=".75pt" strokecolor="#aaaaaa">
                <v:stroke dashstyle="shortdot"/>
                <w10:wrap type="none"/>
              </v:line>
            </w:pict>
          </mc:Fallback>
        </mc:AlternateContent>
      </w:r>
      <w:r>
        <w:rPr>
          <w:color w:val="444850"/>
          <w:sz w:val="24"/>
        </w:rPr>
        <w:t>- RJC/37c: Developing a Regional Approach to Cancer Care: Proposed Inclusion within the RJC Work Programme</w:t>
      </w:r>
      <w:r>
        <w:rPr>
          <w:rFonts w:ascii="Times New Roman"/>
          <w:color w:val="444850"/>
          <w:sz w:val="24"/>
        </w:rPr>
        <w:tab/>
      </w:r>
      <w:r>
        <w:rPr>
          <w:color w:val="444850"/>
          <w:spacing w:val="-6"/>
          <w:position w:val="13"/>
          <w:sz w:val="24"/>
        </w:rPr>
        <w:t>74</w:t>
      </w:r>
    </w:p>
    <w:p>
      <w:pPr>
        <w:spacing w:before="598"/>
        <w:ind w:left="630" w:right="0" w:firstLine="0"/>
        <w:jc w:val="left"/>
        <w:rPr>
          <w:b/>
          <w:sz w:val="19"/>
        </w:rPr>
      </w:pPr>
      <w:r>
        <w:rPr>
          <w:b/>
          <w:color w:val="585966"/>
          <w:spacing w:val="-2"/>
          <w:sz w:val="19"/>
        </w:rPr>
        <w:t>Attachments</w:t>
      </w:r>
    </w:p>
    <w:p>
      <w:pPr>
        <w:spacing w:after="0"/>
        <w:jc w:val="left"/>
        <w:rPr>
          <w:b/>
          <w:sz w:val="19"/>
        </w:rPr>
        <w:sectPr>
          <w:pgSz w:w="12240" w:h="15840"/>
          <w:pgMar w:top="1560" w:bottom="280" w:left="1559" w:right="1559"/>
        </w:sectPr>
      </w:pPr>
    </w:p>
    <w:p>
      <w:pPr>
        <w:tabs>
          <w:tab w:pos="9045" w:val="right" w:leader="none"/>
        </w:tabs>
        <w:spacing w:before="76"/>
        <w:ind w:left="630" w:right="0" w:firstLine="0"/>
        <w:jc w:val="left"/>
        <w:rPr>
          <w:sz w:val="19"/>
        </w:rPr>
      </w:pPr>
      <w:r>
        <w:rPr>
          <w:color w:val="585966"/>
          <w:sz w:val="19"/>
        </w:rPr>
        <w:t>RJC</w:t>
      </w:r>
      <w:r>
        <w:rPr>
          <w:color w:val="585966"/>
          <w:spacing w:val="11"/>
          <w:sz w:val="19"/>
        </w:rPr>
        <w:t> </w:t>
      </w:r>
      <w:r>
        <w:rPr>
          <w:color w:val="585966"/>
          <w:sz w:val="19"/>
        </w:rPr>
        <w:t>37c</w:t>
      </w:r>
      <w:r>
        <w:rPr>
          <w:color w:val="585966"/>
          <w:spacing w:val="11"/>
          <w:sz w:val="19"/>
        </w:rPr>
        <w:t> </w:t>
      </w:r>
      <w:r>
        <w:rPr>
          <w:color w:val="585966"/>
          <w:sz w:val="19"/>
        </w:rPr>
        <w:t>Developing</w:t>
      </w:r>
      <w:r>
        <w:rPr>
          <w:color w:val="585966"/>
          <w:spacing w:val="-1"/>
          <w:sz w:val="19"/>
        </w:rPr>
        <w:t> </w:t>
      </w:r>
      <w:r>
        <w:rPr>
          <w:color w:val="585966"/>
          <w:sz w:val="19"/>
        </w:rPr>
        <w:t>A</w:t>
      </w:r>
      <w:r>
        <w:rPr>
          <w:color w:val="585966"/>
          <w:spacing w:val="-2"/>
          <w:sz w:val="19"/>
        </w:rPr>
        <w:t> </w:t>
      </w:r>
      <w:r>
        <w:rPr>
          <w:color w:val="585966"/>
          <w:sz w:val="19"/>
        </w:rPr>
        <w:t>Regional</w:t>
      </w:r>
      <w:r>
        <w:rPr>
          <w:color w:val="585966"/>
          <w:spacing w:val="-2"/>
          <w:sz w:val="19"/>
        </w:rPr>
        <w:t> </w:t>
      </w:r>
      <w:r>
        <w:rPr>
          <w:color w:val="585966"/>
          <w:sz w:val="19"/>
        </w:rPr>
        <w:t>Approach</w:t>
      </w:r>
      <w:r>
        <w:rPr>
          <w:color w:val="585966"/>
          <w:spacing w:val="11"/>
          <w:sz w:val="19"/>
        </w:rPr>
        <w:t> </w:t>
      </w:r>
      <w:r>
        <w:rPr>
          <w:color w:val="585966"/>
          <w:sz w:val="19"/>
        </w:rPr>
        <w:t>to</w:t>
      </w:r>
      <w:r>
        <w:rPr>
          <w:color w:val="585966"/>
          <w:spacing w:val="12"/>
          <w:sz w:val="19"/>
        </w:rPr>
        <w:t> </w:t>
      </w:r>
      <w:r>
        <w:rPr>
          <w:color w:val="585966"/>
          <w:sz w:val="19"/>
        </w:rPr>
        <w:t>Cancer</w:t>
      </w:r>
      <w:r>
        <w:rPr>
          <w:color w:val="585966"/>
          <w:spacing w:val="11"/>
          <w:sz w:val="19"/>
        </w:rPr>
        <w:t> </w:t>
      </w:r>
      <w:r>
        <w:rPr>
          <w:color w:val="585966"/>
          <w:sz w:val="19"/>
        </w:rPr>
        <w:t>Care</w:t>
      </w:r>
      <w:r>
        <w:rPr>
          <w:color w:val="585966"/>
          <w:spacing w:val="12"/>
          <w:sz w:val="19"/>
        </w:rPr>
        <w:t> </w:t>
      </w:r>
      <w:r>
        <w:rPr>
          <w:color w:val="585966"/>
          <w:sz w:val="19"/>
        </w:rPr>
        <w:t>RJC</w:t>
      </w:r>
      <w:r>
        <w:rPr>
          <w:color w:val="585966"/>
          <w:spacing w:val="11"/>
          <w:sz w:val="19"/>
        </w:rPr>
        <w:t> </w:t>
      </w:r>
      <w:r>
        <w:rPr>
          <w:color w:val="585966"/>
          <w:spacing w:val="-4"/>
          <w:sz w:val="19"/>
        </w:rPr>
        <w:t>SBAR</w:t>
      </w:r>
      <w:r>
        <w:rPr>
          <w:rFonts w:ascii="Times New Roman"/>
          <w:color w:val="585966"/>
          <w:sz w:val="19"/>
        </w:rPr>
        <w:tab/>
      </w:r>
      <w:r>
        <w:rPr>
          <w:color w:val="585966"/>
          <w:spacing w:val="-5"/>
          <w:sz w:val="19"/>
        </w:rPr>
        <w:t>75</w:t>
      </w:r>
    </w:p>
    <w:p>
      <w:pPr>
        <w:pStyle w:val="ListParagraph"/>
        <w:numPr>
          <w:ilvl w:val="1"/>
          <w:numId w:val="1"/>
        </w:numPr>
        <w:tabs>
          <w:tab w:pos="775" w:val="left" w:leader="none"/>
        </w:tabs>
        <w:spacing w:line="208" w:lineRule="exact" w:before="275" w:after="0"/>
        <w:ind w:left="775" w:right="0" w:hanging="400"/>
        <w:jc w:val="left"/>
        <w:rPr>
          <w:sz w:val="24"/>
        </w:rPr>
      </w:pPr>
      <w:r>
        <w:rPr>
          <w:color w:val="444850"/>
          <w:sz w:val="24"/>
        </w:rPr>
        <w:t>-</w:t>
      </w:r>
      <w:r>
        <w:rPr>
          <w:color w:val="444850"/>
          <w:spacing w:val="-2"/>
          <w:sz w:val="24"/>
        </w:rPr>
        <w:t> </w:t>
      </w:r>
      <w:r>
        <w:rPr>
          <w:color w:val="444850"/>
          <w:sz w:val="24"/>
        </w:rPr>
        <w:t>RJC/37d:</w:t>
      </w:r>
      <w:r>
        <w:rPr>
          <w:color w:val="444850"/>
          <w:spacing w:val="-2"/>
          <w:sz w:val="24"/>
        </w:rPr>
        <w:t> </w:t>
      </w:r>
      <w:r>
        <w:rPr>
          <w:color w:val="444850"/>
          <w:sz w:val="24"/>
        </w:rPr>
        <w:t>South</w:t>
      </w:r>
      <w:r>
        <w:rPr>
          <w:color w:val="444850"/>
          <w:spacing w:val="-1"/>
          <w:sz w:val="24"/>
        </w:rPr>
        <w:t> </w:t>
      </w:r>
      <w:r>
        <w:rPr>
          <w:color w:val="444850"/>
          <w:sz w:val="24"/>
        </w:rPr>
        <w:t>West</w:t>
      </w:r>
      <w:r>
        <w:rPr>
          <w:color w:val="444850"/>
          <w:spacing w:val="-2"/>
          <w:sz w:val="24"/>
        </w:rPr>
        <w:t> </w:t>
      </w:r>
      <w:r>
        <w:rPr>
          <w:color w:val="444850"/>
          <w:sz w:val="24"/>
        </w:rPr>
        <w:t>Wales</w:t>
      </w:r>
      <w:r>
        <w:rPr>
          <w:color w:val="444850"/>
          <w:spacing w:val="-1"/>
          <w:sz w:val="24"/>
        </w:rPr>
        <w:t> </w:t>
      </w:r>
      <w:r>
        <w:rPr>
          <w:color w:val="444850"/>
          <w:sz w:val="24"/>
        </w:rPr>
        <w:t>Cancer</w:t>
      </w:r>
      <w:r>
        <w:rPr>
          <w:color w:val="444850"/>
          <w:spacing w:val="-2"/>
          <w:sz w:val="24"/>
        </w:rPr>
        <w:t> </w:t>
      </w:r>
      <w:r>
        <w:rPr>
          <w:color w:val="444850"/>
          <w:sz w:val="24"/>
        </w:rPr>
        <w:t>Centre</w:t>
      </w:r>
      <w:r>
        <w:rPr>
          <w:color w:val="444850"/>
          <w:spacing w:val="-1"/>
          <w:sz w:val="24"/>
        </w:rPr>
        <w:t> </w:t>
      </w:r>
      <w:r>
        <w:rPr>
          <w:color w:val="444850"/>
          <w:sz w:val="24"/>
        </w:rPr>
        <w:t>Update</w:t>
      </w:r>
      <w:r>
        <w:rPr>
          <w:color w:val="444850"/>
          <w:spacing w:val="-2"/>
          <w:sz w:val="24"/>
        </w:rPr>
        <w:t> </w:t>
      </w:r>
      <w:r>
        <w:rPr>
          <w:color w:val="444850"/>
          <w:sz w:val="24"/>
        </w:rPr>
        <w:t>–</w:t>
      </w:r>
      <w:r>
        <w:rPr>
          <w:color w:val="444850"/>
          <w:spacing w:val="-1"/>
          <w:sz w:val="24"/>
        </w:rPr>
        <w:t> </w:t>
      </w:r>
      <w:r>
        <w:rPr>
          <w:color w:val="444850"/>
          <w:spacing w:val="-2"/>
          <w:sz w:val="24"/>
        </w:rPr>
        <w:t>Future</w:t>
      </w:r>
    </w:p>
    <w:p>
      <w:pPr>
        <w:pStyle w:val="BodyText"/>
        <w:tabs>
          <w:tab w:pos="8778" w:val="left" w:leader="none"/>
        </w:tabs>
        <w:spacing w:line="338" w:lineRule="exact"/>
        <w:ind w:left="375"/>
        <w:rPr>
          <w:position w:val="13"/>
        </w:rPr>
      </w:pPr>
      <w:r>
        <w:rPr>
          <w:color w:val="444850"/>
        </w:rPr>
        <w:t>Radiotherapy </w:t>
      </w:r>
      <w:r>
        <w:rPr>
          <w:color w:val="444850"/>
          <w:spacing w:val="-2"/>
        </w:rPr>
        <w:t>Infrastructure</w:t>
      </w:r>
      <w:r>
        <w:rPr>
          <w:rFonts w:ascii="Times New Roman"/>
          <w:color w:val="444850"/>
        </w:rPr>
        <w:tab/>
      </w:r>
      <w:r>
        <w:rPr>
          <w:color w:val="444850"/>
          <w:spacing w:val="-5"/>
          <w:position w:val="13"/>
        </w:rPr>
        <w:t>79</w:t>
      </w:r>
    </w:p>
    <w:p>
      <w:pPr>
        <w:spacing w:before="626"/>
        <w:ind w:left="630" w:right="0" w:firstLine="0"/>
        <w:jc w:val="left"/>
        <w:rPr>
          <w:b/>
          <w:sz w:val="19"/>
        </w:rPr>
      </w:pPr>
      <w:r>
        <w:rPr>
          <w:b/>
          <w:sz w:val="19"/>
        </w:rPr>
        <mc:AlternateContent>
          <mc:Choice Requires="wps">
            <w:drawing>
              <wp:anchor distT="0" distB="0" distL="0" distR="0" allowOverlap="1" layoutInCell="1" locked="0" behindDoc="0" simplePos="0" relativeHeight="15746048">
                <wp:simplePos x="0" y="0"/>
                <wp:positionH relativeFrom="page">
                  <wp:posOffset>1228724</wp:posOffset>
                </wp:positionH>
                <wp:positionV relativeFrom="paragraph">
                  <wp:posOffset>201321</wp:posOffset>
                </wp:positionV>
                <wp:extent cx="5505450" cy="127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048" from="96.749992pt,15.852064pt" to="530.249958pt,15.852064pt" stroked="true" strokeweight=".75pt" strokecolor="#aaaaaa">
                <v:stroke dashstyle="shortdot"/>
                <w10:wrap type="none"/>
              </v:line>
            </w:pict>
          </mc:Fallback>
        </mc:AlternateContent>
      </w:r>
      <w:r>
        <w:rPr>
          <w:b/>
          <w:color w:val="585966"/>
          <w:spacing w:val="-2"/>
          <w:sz w:val="19"/>
        </w:rPr>
        <w:t>Attachments</w:t>
      </w:r>
    </w:p>
    <w:p>
      <w:pPr>
        <w:tabs>
          <w:tab w:pos="8828" w:val="left" w:leader="none"/>
        </w:tabs>
        <w:spacing w:before="307"/>
        <w:ind w:left="630" w:right="0" w:firstLine="0"/>
        <w:jc w:val="left"/>
        <w:rPr>
          <w:sz w:val="19"/>
        </w:rPr>
      </w:pPr>
      <w:r>
        <w:rPr>
          <w:color w:val="585966"/>
          <w:sz w:val="19"/>
        </w:rPr>
        <w:t>RJC</w:t>
      </w:r>
      <w:r>
        <w:rPr>
          <w:color w:val="585966"/>
          <w:spacing w:val="9"/>
          <w:sz w:val="19"/>
        </w:rPr>
        <w:t> </w:t>
      </w:r>
      <w:r>
        <w:rPr>
          <w:color w:val="585966"/>
          <w:sz w:val="19"/>
        </w:rPr>
        <w:t>37d</w:t>
      </w:r>
      <w:r>
        <w:rPr>
          <w:color w:val="585966"/>
          <w:spacing w:val="10"/>
          <w:sz w:val="19"/>
        </w:rPr>
        <w:t> </w:t>
      </w:r>
      <w:r>
        <w:rPr>
          <w:color w:val="585966"/>
          <w:sz w:val="19"/>
        </w:rPr>
        <w:t>South</w:t>
      </w:r>
      <w:r>
        <w:rPr>
          <w:color w:val="585966"/>
          <w:spacing w:val="10"/>
          <w:sz w:val="19"/>
        </w:rPr>
        <w:t> </w:t>
      </w:r>
      <w:r>
        <w:rPr>
          <w:color w:val="585966"/>
          <w:sz w:val="19"/>
        </w:rPr>
        <w:t>West</w:t>
      </w:r>
      <w:r>
        <w:rPr>
          <w:color w:val="585966"/>
          <w:spacing w:val="10"/>
          <w:sz w:val="19"/>
        </w:rPr>
        <w:t> </w:t>
      </w:r>
      <w:r>
        <w:rPr>
          <w:color w:val="585966"/>
          <w:sz w:val="19"/>
        </w:rPr>
        <w:t>Wales</w:t>
      </w:r>
      <w:r>
        <w:rPr>
          <w:color w:val="585966"/>
          <w:spacing w:val="10"/>
          <w:sz w:val="19"/>
        </w:rPr>
        <w:t> </w:t>
      </w:r>
      <w:r>
        <w:rPr>
          <w:color w:val="585966"/>
          <w:sz w:val="19"/>
        </w:rPr>
        <w:t>Cancer</w:t>
      </w:r>
      <w:r>
        <w:rPr>
          <w:color w:val="585966"/>
          <w:spacing w:val="10"/>
          <w:sz w:val="19"/>
        </w:rPr>
        <w:t> </w:t>
      </w:r>
      <w:r>
        <w:rPr>
          <w:color w:val="585966"/>
          <w:sz w:val="19"/>
        </w:rPr>
        <w:t>Centre</w:t>
      </w:r>
      <w:r>
        <w:rPr>
          <w:color w:val="585966"/>
          <w:spacing w:val="10"/>
          <w:sz w:val="19"/>
        </w:rPr>
        <w:t> </w:t>
      </w:r>
      <w:r>
        <w:rPr>
          <w:color w:val="585966"/>
          <w:sz w:val="19"/>
        </w:rPr>
        <w:t>-</w:t>
      </w:r>
      <w:r>
        <w:rPr>
          <w:color w:val="585966"/>
          <w:spacing w:val="10"/>
          <w:sz w:val="19"/>
        </w:rPr>
        <w:t> </w:t>
      </w:r>
      <w:r>
        <w:rPr>
          <w:color w:val="585966"/>
          <w:sz w:val="19"/>
        </w:rPr>
        <w:t>Future</w:t>
      </w:r>
      <w:r>
        <w:rPr>
          <w:color w:val="585966"/>
          <w:spacing w:val="10"/>
          <w:sz w:val="19"/>
        </w:rPr>
        <w:t> </w:t>
      </w:r>
      <w:r>
        <w:rPr>
          <w:color w:val="585966"/>
          <w:sz w:val="19"/>
        </w:rPr>
        <w:t>Radiotherapy</w:t>
      </w:r>
      <w:r>
        <w:rPr>
          <w:color w:val="585966"/>
          <w:spacing w:val="10"/>
          <w:sz w:val="19"/>
        </w:rPr>
        <w:t> </w:t>
      </w:r>
      <w:r>
        <w:rPr>
          <w:color w:val="585966"/>
          <w:spacing w:val="-2"/>
          <w:sz w:val="19"/>
        </w:rPr>
        <w:t>Infrastructur~</w:t>
      </w:r>
      <w:r>
        <w:rPr>
          <w:rFonts w:ascii="Times New Roman"/>
          <w:color w:val="585966"/>
          <w:sz w:val="19"/>
        </w:rPr>
        <w:tab/>
      </w:r>
      <w:r>
        <w:rPr>
          <w:color w:val="585966"/>
          <w:spacing w:val="-5"/>
          <w:sz w:val="19"/>
        </w:rPr>
        <w:t>80</w:t>
      </w:r>
    </w:p>
    <w:p>
      <w:pPr>
        <w:pStyle w:val="ListParagraph"/>
        <w:numPr>
          <w:ilvl w:val="1"/>
          <w:numId w:val="1"/>
        </w:numPr>
        <w:tabs>
          <w:tab w:pos="775" w:val="left" w:leader="none"/>
          <w:tab w:pos="8778" w:val="left" w:leader="none"/>
        </w:tabs>
        <w:spacing w:line="240" w:lineRule="auto" w:before="274" w:after="0"/>
        <w:ind w:left="775" w:right="0" w:hanging="400"/>
        <w:jc w:val="left"/>
        <w:rPr>
          <w:sz w:val="24"/>
        </w:rPr>
      </w:pPr>
      <w:r>
        <w:rPr>
          <w:sz w:val="24"/>
        </w:rPr>
        <mc:AlternateContent>
          <mc:Choice Requires="wps">
            <w:drawing>
              <wp:anchor distT="0" distB="0" distL="0" distR="0" allowOverlap="1" layoutInCell="1" locked="0" behindDoc="0" simplePos="0" relativeHeight="15746560">
                <wp:simplePos x="0" y="0"/>
                <wp:positionH relativeFrom="page">
                  <wp:posOffset>1228724</wp:posOffset>
                </wp:positionH>
                <wp:positionV relativeFrom="paragraph">
                  <wp:posOffset>550594</wp:posOffset>
                </wp:positionV>
                <wp:extent cx="5505450" cy="1270"/>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560" from="96.749992pt,43.353912pt" to="530.249958pt,43.353912pt" stroked="true" strokeweight=".75pt" strokecolor="#aaaaaa">
                <v:stroke dashstyle="shortdot"/>
                <w10:wrap type="none"/>
              </v:line>
            </w:pict>
          </mc:Fallback>
        </mc:AlternateContent>
      </w:r>
      <w:r>
        <w:rPr>
          <w:color w:val="444850"/>
          <w:sz w:val="24"/>
        </w:rPr>
        <w:t>- RJC/37e: Cellular Pathology </w:t>
      </w:r>
      <w:r>
        <w:rPr>
          <w:color w:val="444850"/>
          <w:spacing w:val="-2"/>
          <w:sz w:val="24"/>
        </w:rPr>
        <w:t>Update</w:t>
      </w:r>
      <w:r>
        <w:rPr>
          <w:rFonts w:ascii="Times New Roman"/>
          <w:color w:val="444850"/>
          <w:sz w:val="24"/>
        </w:rPr>
        <w:tab/>
      </w:r>
      <w:r>
        <w:rPr>
          <w:color w:val="444850"/>
          <w:spacing w:val="-5"/>
          <w:sz w:val="24"/>
        </w:rPr>
        <w:t>86</w:t>
      </w:r>
    </w:p>
    <w:p>
      <w:pPr>
        <w:spacing w:before="626"/>
        <w:ind w:left="630" w:right="0" w:firstLine="0"/>
        <w:jc w:val="left"/>
        <w:rPr>
          <w:b/>
          <w:sz w:val="19"/>
        </w:rPr>
      </w:pPr>
      <w:r>
        <w:rPr>
          <w:b/>
          <w:color w:val="585966"/>
          <w:spacing w:val="-2"/>
          <w:sz w:val="19"/>
        </w:rPr>
        <w:t>Attachments</w:t>
      </w:r>
    </w:p>
    <w:p>
      <w:pPr>
        <w:tabs>
          <w:tab w:pos="8828" w:val="left" w:leader="none"/>
        </w:tabs>
        <w:spacing w:before="307"/>
        <w:ind w:left="630" w:right="0" w:firstLine="0"/>
        <w:jc w:val="left"/>
        <w:rPr>
          <w:sz w:val="19"/>
        </w:rPr>
      </w:pPr>
      <w:r>
        <w:rPr>
          <w:color w:val="585966"/>
          <w:sz w:val="19"/>
        </w:rPr>
        <w:t>RJC</w:t>
      </w:r>
      <w:r>
        <w:rPr>
          <w:color w:val="585966"/>
          <w:spacing w:val="12"/>
          <w:sz w:val="19"/>
        </w:rPr>
        <w:t> </w:t>
      </w:r>
      <w:r>
        <w:rPr>
          <w:color w:val="585966"/>
          <w:sz w:val="19"/>
        </w:rPr>
        <w:t>37e</w:t>
      </w:r>
      <w:r>
        <w:rPr>
          <w:color w:val="585966"/>
          <w:spacing w:val="13"/>
          <w:sz w:val="19"/>
        </w:rPr>
        <w:t> </w:t>
      </w:r>
      <w:r>
        <w:rPr>
          <w:color w:val="585966"/>
          <w:sz w:val="19"/>
        </w:rPr>
        <w:t>Regional</w:t>
      </w:r>
      <w:r>
        <w:rPr>
          <w:color w:val="585966"/>
          <w:spacing w:val="12"/>
          <w:sz w:val="19"/>
        </w:rPr>
        <w:t> </w:t>
      </w:r>
      <w:r>
        <w:rPr>
          <w:color w:val="585966"/>
          <w:sz w:val="19"/>
        </w:rPr>
        <w:t>Cellular</w:t>
      </w:r>
      <w:r>
        <w:rPr>
          <w:color w:val="585966"/>
          <w:spacing w:val="13"/>
          <w:sz w:val="19"/>
        </w:rPr>
        <w:t> </w:t>
      </w:r>
      <w:r>
        <w:rPr>
          <w:color w:val="585966"/>
          <w:sz w:val="19"/>
        </w:rPr>
        <w:t>Pathology</w:t>
      </w:r>
      <w:r>
        <w:rPr>
          <w:color w:val="585966"/>
          <w:spacing w:val="12"/>
          <w:sz w:val="19"/>
        </w:rPr>
        <w:t> </w:t>
      </w:r>
      <w:r>
        <w:rPr>
          <w:color w:val="585966"/>
          <w:sz w:val="19"/>
        </w:rPr>
        <w:t>Update</w:t>
      </w:r>
      <w:r>
        <w:rPr>
          <w:color w:val="585966"/>
          <w:spacing w:val="13"/>
          <w:sz w:val="19"/>
        </w:rPr>
        <w:t> </w:t>
      </w:r>
      <w:r>
        <w:rPr>
          <w:color w:val="585966"/>
          <w:sz w:val="19"/>
        </w:rPr>
        <w:t>SBAR</w:t>
      </w:r>
      <w:r>
        <w:rPr>
          <w:color w:val="585966"/>
          <w:spacing w:val="13"/>
          <w:sz w:val="19"/>
        </w:rPr>
        <w:t> </w:t>
      </w:r>
      <w:r>
        <w:rPr>
          <w:color w:val="585966"/>
          <w:spacing w:val="-2"/>
          <w:sz w:val="19"/>
        </w:rPr>
        <w:t>Report</w:t>
      </w:r>
      <w:r>
        <w:rPr>
          <w:rFonts w:ascii="Times New Roman"/>
          <w:color w:val="585966"/>
          <w:sz w:val="19"/>
        </w:rPr>
        <w:tab/>
      </w:r>
      <w:r>
        <w:rPr>
          <w:color w:val="585966"/>
          <w:spacing w:val="-5"/>
          <w:sz w:val="19"/>
        </w:rPr>
        <w:t>87</w:t>
      </w:r>
    </w:p>
    <w:p>
      <w:pPr>
        <w:pStyle w:val="ListParagraph"/>
        <w:numPr>
          <w:ilvl w:val="0"/>
          <w:numId w:val="1"/>
        </w:numPr>
        <w:tabs>
          <w:tab w:pos="275" w:val="left" w:leader="none"/>
          <w:tab w:pos="8778" w:val="left" w:leader="none"/>
        </w:tabs>
        <w:spacing w:line="240" w:lineRule="auto" w:before="274" w:after="0"/>
        <w:ind w:left="275" w:right="0" w:hanging="200"/>
        <w:jc w:val="left"/>
        <w:rPr>
          <w:sz w:val="24"/>
        </w:rPr>
      </w:pPr>
      <w:r>
        <w:rPr>
          <w:sz w:val="24"/>
        </w:rPr>
        <mc:AlternateContent>
          <mc:Choice Requires="wps">
            <w:drawing>
              <wp:anchor distT="0" distB="0" distL="0" distR="0" allowOverlap="1" layoutInCell="1" locked="0" behindDoc="0" simplePos="0" relativeHeight="15747072">
                <wp:simplePos x="0" y="0"/>
                <wp:positionH relativeFrom="page">
                  <wp:posOffset>1038224</wp:posOffset>
                </wp:positionH>
                <wp:positionV relativeFrom="paragraph">
                  <wp:posOffset>550633</wp:posOffset>
                </wp:positionV>
                <wp:extent cx="5695950" cy="127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5695950" cy="1270"/>
                        </a:xfrm>
                        <a:custGeom>
                          <a:avLst/>
                          <a:gdLst/>
                          <a:ahLst/>
                          <a:cxnLst/>
                          <a:rect l="l" t="t" r="r" b="b"/>
                          <a:pathLst>
                            <a:path w="5695950" h="0">
                              <a:moveTo>
                                <a:pt x="0" y="0"/>
                              </a:moveTo>
                              <a:lnTo>
                                <a:pt x="56959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7072" from="81.749992pt,43.35693pt" to="530.249957pt,43.35693pt" stroked="true" strokeweight=".75pt" strokecolor="#aaaaaa">
                <v:stroke dashstyle="shortdot"/>
                <w10:wrap type="none"/>
              </v:line>
            </w:pict>
          </mc:Fallback>
        </mc:AlternateContent>
      </w:r>
      <w:r>
        <w:rPr>
          <w:color w:val="444850"/>
          <w:sz w:val="24"/>
        </w:rPr>
        <w:t>- RJC/38: Regional Health Economy Subgroup </w:t>
      </w:r>
      <w:r>
        <w:rPr>
          <w:color w:val="444850"/>
          <w:spacing w:val="-2"/>
          <w:sz w:val="24"/>
        </w:rPr>
        <w:t>Update</w:t>
      </w:r>
      <w:r>
        <w:rPr>
          <w:rFonts w:ascii="Times New Roman"/>
          <w:color w:val="444850"/>
          <w:sz w:val="24"/>
        </w:rPr>
        <w:tab/>
      </w:r>
      <w:r>
        <w:rPr>
          <w:color w:val="444850"/>
          <w:spacing w:val="-5"/>
          <w:sz w:val="24"/>
        </w:rPr>
        <w:t>96</w:t>
      </w:r>
    </w:p>
    <w:p>
      <w:pPr>
        <w:spacing w:before="626"/>
        <w:ind w:left="330" w:right="0" w:firstLine="0"/>
        <w:jc w:val="left"/>
        <w:rPr>
          <w:b/>
          <w:sz w:val="19"/>
        </w:rPr>
      </w:pPr>
      <w:r>
        <w:rPr>
          <w:b/>
          <w:color w:val="585966"/>
          <w:spacing w:val="-2"/>
          <w:sz w:val="19"/>
        </w:rPr>
        <w:t>Attachments</w:t>
      </w:r>
    </w:p>
    <w:p>
      <w:pPr>
        <w:tabs>
          <w:tab w:pos="8828" w:val="left" w:leader="none"/>
        </w:tabs>
        <w:spacing w:before="307"/>
        <w:ind w:left="330" w:right="0" w:firstLine="0"/>
        <w:jc w:val="left"/>
        <w:rPr>
          <w:sz w:val="19"/>
        </w:rPr>
      </w:pPr>
      <w:r>
        <w:rPr>
          <w:color w:val="585966"/>
          <w:sz w:val="19"/>
        </w:rPr>
        <w:t>RJC</w:t>
      </w:r>
      <w:r>
        <w:rPr>
          <w:color w:val="585966"/>
          <w:spacing w:val="13"/>
          <w:sz w:val="19"/>
        </w:rPr>
        <w:t> </w:t>
      </w:r>
      <w:r>
        <w:rPr>
          <w:color w:val="585966"/>
          <w:sz w:val="19"/>
        </w:rPr>
        <w:t>38a</w:t>
      </w:r>
      <w:r>
        <w:rPr>
          <w:color w:val="585966"/>
          <w:spacing w:val="13"/>
          <w:sz w:val="19"/>
        </w:rPr>
        <w:t> </w:t>
      </w:r>
      <w:r>
        <w:rPr>
          <w:color w:val="585966"/>
          <w:sz w:val="19"/>
        </w:rPr>
        <w:t>Regional</w:t>
      </w:r>
      <w:r>
        <w:rPr>
          <w:color w:val="585966"/>
          <w:spacing w:val="13"/>
          <w:sz w:val="19"/>
        </w:rPr>
        <w:t> </w:t>
      </w:r>
      <w:r>
        <w:rPr>
          <w:color w:val="585966"/>
          <w:sz w:val="19"/>
        </w:rPr>
        <w:t>Health</w:t>
      </w:r>
      <w:r>
        <w:rPr>
          <w:color w:val="585966"/>
          <w:spacing w:val="13"/>
          <w:sz w:val="19"/>
        </w:rPr>
        <w:t> </w:t>
      </w:r>
      <w:r>
        <w:rPr>
          <w:color w:val="585966"/>
          <w:sz w:val="19"/>
        </w:rPr>
        <w:t>Economy</w:t>
      </w:r>
      <w:r>
        <w:rPr>
          <w:color w:val="585966"/>
          <w:spacing w:val="13"/>
          <w:sz w:val="19"/>
        </w:rPr>
        <w:t> </w:t>
      </w:r>
      <w:r>
        <w:rPr>
          <w:color w:val="585966"/>
          <w:sz w:val="19"/>
        </w:rPr>
        <w:t>Subgroup AAA</w:t>
      </w:r>
      <w:r>
        <w:rPr>
          <w:color w:val="585966"/>
          <w:spacing w:val="-1"/>
          <w:sz w:val="19"/>
        </w:rPr>
        <w:t> </w:t>
      </w:r>
      <w:r>
        <w:rPr>
          <w:color w:val="585966"/>
          <w:spacing w:val="-2"/>
          <w:sz w:val="19"/>
        </w:rPr>
        <w:t>Report</w:t>
      </w:r>
      <w:r>
        <w:rPr>
          <w:rFonts w:ascii="Times New Roman"/>
          <w:color w:val="585966"/>
          <w:sz w:val="19"/>
        </w:rPr>
        <w:tab/>
      </w:r>
      <w:r>
        <w:rPr>
          <w:color w:val="585966"/>
          <w:spacing w:val="-5"/>
          <w:sz w:val="19"/>
        </w:rPr>
        <w:t>97</w:t>
      </w:r>
    </w:p>
    <w:p>
      <w:pPr>
        <w:tabs>
          <w:tab w:pos="8720" w:val="left" w:leader="none"/>
        </w:tabs>
        <w:spacing w:before="321"/>
        <w:ind w:left="330" w:right="0" w:firstLine="0"/>
        <w:jc w:val="left"/>
        <w:rPr>
          <w:sz w:val="19"/>
        </w:rPr>
      </w:pPr>
      <w:r>
        <w:rPr>
          <w:color w:val="585966"/>
          <w:sz w:val="19"/>
        </w:rPr>
        <w:t>RJC</w:t>
      </w:r>
      <w:r>
        <w:rPr>
          <w:color w:val="585966"/>
          <w:spacing w:val="12"/>
          <w:sz w:val="19"/>
        </w:rPr>
        <w:t> </w:t>
      </w:r>
      <w:r>
        <w:rPr>
          <w:color w:val="585966"/>
          <w:sz w:val="19"/>
        </w:rPr>
        <w:t>38b</w:t>
      </w:r>
      <w:r>
        <w:rPr>
          <w:color w:val="585966"/>
          <w:spacing w:val="13"/>
          <w:sz w:val="19"/>
        </w:rPr>
        <w:t> </w:t>
      </w:r>
      <w:r>
        <w:rPr>
          <w:color w:val="585966"/>
          <w:sz w:val="19"/>
        </w:rPr>
        <w:t>Regional</w:t>
      </w:r>
      <w:r>
        <w:rPr>
          <w:color w:val="585966"/>
          <w:spacing w:val="12"/>
          <w:sz w:val="19"/>
        </w:rPr>
        <w:t> </w:t>
      </w:r>
      <w:r>
        <w:rPr>
          <w:color w:val="585966"/>
          <w:sz w:val="19"/>
        </w:rPr>
        <w:t>Health</w:t>
      </w:r>
      <w:r>
        <w:rPr>
          <w:color w:val="585966"/>
          <w:spacing w:val="13"/>
          <w:sz w:val="19"/>
        </w:rPr>
        <w:t> </w:t>
      </w:r>
      <w:r>
        <w:rPr>
          <w:color w:val="585966"/>
          <w:sz w:val="19"/>
        </w:rPr>
        <w:t>Economy</w:t>
      </w:r>
      <w:r>
        <w:rPr>
          <w:color w:val="585966"/>
          <w:spacing w:val="12"/>
          <w:sz w:val="19"/>
        </w:rPr>
        <w:t> </w:t>
      </w:r>
      <w:r>
        <w:rPr>
          <w:color w:val="585966"/>
          <w:sz w:val="19"/>
        </w:rPr>
        <w:t>RJC</w:t>
      </w:r>
      <w:r>
        <w:rPr>
          <w:color w:val="585966"/>
          <w:spacing w:val="13"/>
          <w:sz w:val="19"/>
        </w:rPr>
        <w:t> </w:t>
      </w:r>
      <w:r>
        <w:rPr>
          <w:color w:val="585966"/>
          <w:sz w:val="19"/>
        </w:rPr>
        <w:t>Subgroup</w:t>
      </w:r>
      <w:r>
        <w:rPr>
          <w:color w:val="585966"/>
          <w:spacing w:val="13"/>
          <w:sz w:val="19"/>
        </w:rPr>
        <w:t> </w:t>
      </w:r>
      <w:r>
        <w:rPr>
          <w:color w:val="585966"/>
          <w:sz w:val="19"/>
        </w:rPr>
        <w:t>Work</w:t>
      </w:r>
      <w:r>
        <w:rPr>
          <w:color w:val="585966"/>
          <w:spacing w:val="12"/>
          <w:sz w:val="19"/>
        </w:rPr>
        <w:t> </w:t>
      </w:r>
      <w:r>
        <w:rPr>
          <w:color w:val="585966"/>
          <w:sz w:val="19"/>
        </w:rPr>
        <w:t>Programme</w:t>
      </w:r>
      <w:r>
        <w:rPr>
          <w:color w:val="585966"/>
          <w:spacing w:val="13"/>
          <w:sz w:val="19"/>
        </w:rPr>
        <w:t> </w:t>
      </w:r>
      <w:r>
        <w:rPr>
          <w:color w:val="585966"/>
          <w:spacing w:val="-2"/>
          <w:sz w:val="19"/>
        </w:rPr>
        <w:t>Summary</w:t>
      </w:r>
      <w:r>
        <w:rPr>
          <w:rFonts w:ascii="Times New Roman"/>
          <w:color w:val="585966"/>
          <w:sz w:val="19"/>
        </w:rPr>
        <w:tab/>
      </w:r>
      <w:r>
        <w:rPr>
          <w:color w:val="585966"/>
          <w:spacing w:val="-5"/>
          <w:sz w:val="19"/>
        </w:rPr>
        <w:t>101</w:t>
      </w:r>
    </w:p>
    <w:p>
      <w:pPr>
        <w:pStyle w:val="ListParagraph"/>
        <w:numPr>
          <w:ilvl w:val="0"/>
          <w:numId w:val="1"/>
        </w:numPr>
        <w:tabs>
          <w:tab w:pos="275" w:val="left" w:leader="none"/>
          <w:tab w:pos="8645" w:val="left" w:leader="none"/>
        </w:tabs>
        <w:spacing w:line="240" w:lineRule="auto" w:before="275" w:after="0"/>
        <w:ind w:left="275" w:right="0" w:hanging="200"/>
        <w:jc w:val="left"/>
        <w:rPr>
          <w:sz w:val="24"/>
        </w:rPr>
      </w:pPr>
      <w:r>
        <w:rPr>
          <w:sz w:val="24"/>
        </w:rPr>
        <mc:AlternateContent>
          <mc:Choice Requires="wps">
            <w:drawing>
              <wp:anchor distT="0" distB="0" distL="0" distR="0" allowOverlap="1" layoutInCell="1" locked="0" behindDoc="0" simplePos="0" relativeHeight="15747584">
                <wp:simplePos x="0" y="0"/>
                <wp:positionH relativeFrom="page">
                  <wp:posOffset>1038224</wp:posOffset>
                </wp:positionH>
                <wp:positionV relativeFrom="paragraph">
                  <wp:posOffset>551000</wp:posOffset>
                </wp:positionV>
                <wp:extent cx="5695950" cy="127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5695950" cy="1270"/>
                        </a:xfrm>
                        <a:custGeom>
                          <a:avLst/>
                          <a:gdLst/>
                          <a:ahLst/>
                          <a:cxnLst/>
                          <a:rect l="l" t="t" r="r" b="b"/>
                          <a:pathLst>
                            <a:path w="5695950" h="0">
                              <a:moveTo>
                                <a:pt x="0" y="0"/>
                              </a:moveTo>
                              <a:lnTo>
                                <a:pt x="56959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7584" from="81.749992pt,43.385876pt" to="530.249957pt,43.385876pt" stroked="true" strokeweight=".75pt" strokecolor="#aaaaaa">
                <v:stroke dashstyle="shortdot"/>
                <w10:wrap type="none"/>
              </v:line>
            </w:pict>
          </mc:Fallback>
        </mc:AlternateContent>
      </w:r>
      <w:r>
        <w:rPr>
          <w:color w:val="444850"/>
          <w:sz w:val="24"/>
        </w:rPr>
        <w:t>- RJC/39a: Research, Innovation and Excellence Subgroup </w:t>
      </w:r>
      <w:r>
        <w:rPr>
          <w:color w:val="444850"/>
          <w:spacing w:val="-2"/>
          <w:sz w:val="24"/>
        </w:rPr>
        <w:t>Update</w:t>
      </w:r>
      <w:r>
        <w:rPr>
          <w:rFonts w:ascii="Times New Roman"/>
          <w:color w:val="444850"/>
          <w:sz w:val="24"/>
        </w:rPr>
        <w:tab/>
      </w:r>
      <w:r>
        <w:rPr>
          <w:color w:val="444850"/>
          <w:spacing w:val="-5"/>
          <w:sz w:val="24"/>
        </w:rPr>
        <w:t>107</w:t>
      </w:r>
    </w:p>
    <w:p>
      <w:pPr>
        <w:spacing w:before="626"/>
        <w:ind w:left="330" w:right="0" w:firstLine="0"/>
        <w:jc w:val="left"/>
        <w:rPr>
          <w:b/>
          <w:sz w:val="19"/>
        </w:rPr>
      </w:pPr>
      <w:r>
        <w:rPr>
          <w:b/>
          <w:color w:val="585966"/>
          <w:spacing w:val="-2"/>
          <w:sz w:val="19"/>
        </w:rPr>
        <w:t>Attachments</w:t>
      </w:r>
    </w:p>
    <w:p>
      <w:pPr>
        <w:tabs>
          <w:tab w:pos="8720" w:val="left" w:leader="none"/>
        </w:tabs>
        <w:spacing w:before="306"/>
        <w:ind w:left="330" w:right="0" w:firstLine="0"/>
        <w:jc w:val="left"/>
        <w:rPr>
          <w:sz w:val="19"/>
        </w:rPr>
      </w:pPr>
      <w:r>
        <w:rPr>
          <w:color w:val="585966"/>
          <w:sz w:val="19"/>
        </w:rPr>
        <w:t>RJC</w:t>
      </w:r>
      <w:r>
        <w:rPr>
          <w:color w:val="585966"/>
          <w:spacing w:val="13"/>
          <w:sz w:val="19"/>
        </w:rPr>
        <w:t> </w:t>
      </w:r>
      <w:r>
        <w:rPr>
          <w:color w:val="585966"/>
          <w:sz w:val="19"/>
        </w:rPr>
        <w:t>39a</w:t>
      </w:r>
      <w:r>
        <w:rPr>
          <w:color w:val="585966"/>
          <w:spacing w:val="13"/>
          <w:sz w:val="19"/>
        </w:rPr>
        <w:t> </w:t>
      </w:r>
      <w:r>
        <w:rPr>
          <w:color w:val="585966"/>
          <w:sz w:val="19"/>
        </w:rPr>
        <w:t>Research,</w:t>
      </w:r>
      <w:r>
        <w:rPr>
          <w:color w:val="585966"/>
          <w:spacing w:val="14"/>
          <w:sz w:val="19"/>
        </w:rPr>
        <w:t> </w:t>
      </w:r>
      <w:r>
        <w:rPr>
          <w:color w:val="585966"/>
          <w:sz w:val="19"/>
        </w:rPr>
        <w:t>Excellence</w:t>
      </w:r>
      <w:r>
        <w:rPr>
          <w:color w:val="585966"/>
          <w:spacing w:val="13"/>
          <w:sz w:val="19"/>
        </w:rPr>
        <w:t> </w:t>
      </w:r>
      <w:r>
        <w:rPr>
          <w:color w:val="585966"/>
          <w:sz w:val="19"/>
        </w:rPr>
        <w:t>and</w:t>
      </w:r>
      <w:r>
        <w:rPr>
          <w:color w:val="585966"/>
          <w:spacing w:val="14"/>
          <w:sz w:val="19"/>
        </w:rPr>
        <w:t> </w:t>
      </w:r>
      <w:r>
        <w:rPr>
          <w:color w:val="585966"/>
          <w:sz w:val="19"/>
        </w:rPr>
        <w:t>Innovation</w:t>
      </w:r>
      <w:r>
        <w:rPr>
          <w:color w:val="585966"/>
          <w:spacing w:val="13"/>
          <w:sz w:val="19"/>
        </w:rPr>
        <w:t> </w:t>
      </w:r>
      <w:r>
        <w:rPr>
          <w:color w:val="585966"/>
          <w:sz w:val="19"/>
        </w:rPr>
        <w:t>Subgroup</w:t>
      </w:r>
      <w:r>
        <w:rPr>
          <w:color w:val="585966"/>
          <w:spacing w:val="14"/>
          <w:sz w:val="19"/>
        </w:rPr>
        <w:t> </w:t>
      </w:r>
      <w:r>
        <w:rPr>
          <w:color w:val="585966"/>
          <w:sz w:val="19"/>
        </w:rPr>
        <w:t>(AAA)</w:t>
      </w:r>
      <w:r>
        <w:rPr>
          <w:color w:val="585966"/>
          <w:spacing w:val="13"/>
          <w:sz w:val="19"/>
        </w:rPr>
        <w:t> </w:t>
      </w:r>
      <w:r>
        <w:rPr>
          <w:color w:val="585966"/>
          <w:sz w:val="19"/>
        </w:rPr>
        <w:t>Update</w:t>
      </w:r>
      <w:r>
        <w:rPr>
          <w:color w:val="585966"/>
          <w:spacing w:val="14"/>
          <w:sz w:val="19"/>
        </w:rPr>
        <w:t> </w:t>
      </w:r>
      <w:r>
        <w:rPr>
          <w:color w:val="585966"/>
          <w:spacing w:val="-2"/>
          <w:sz w:val="19"/>
        </w:rPr>
        <w:t>Report</w:t>
      </w:r>
      <w:r>
        <w:rPr>
          <w:rFonts w:ascii="Times New Roman"/>
          <w:color w:val="585966"/>
          <w:sz w:val="19"/>
        </w:rPr>
        <w:tab/>
      </w:r>
      <w:r>
        <w:rPr>
          <w:color w:val="585966"/>
          <w:spacing w:val="-5"/>
          <w:sz w:val="19"/>
        </w:rPr>
        <w:t>108</w:t>
      </w:r>
    </w:p>
    <w:p>
      <w:pPr>
        <w:tabs>
          <w:tab w:pos="8749" w:val="left" w:leader="none"/>
        </w:tabs>
        <w:spacing w:before="322"/>
        <w:ind w:left="330" w:right="0" w:firstLine="0"/>
        <w:jc w:val="left"/>
        <w:rPr>
          <w:sz w:val="19"/>
        </w:rPr>
      </w:pPr>
      <w:r>
        <w:rPr>
          <w:color w:val="585966"/>
          <w:sz w:val="19"/>
        </w:rPr>
        <w:t>RJC</w:t>
      </w:r>
      <w:r>
        <w:rPr>
          <w:color w:val="585966"/>
          <w:spacing w:val="13"/>
          <w:sz w:val="19"/>
        </w:rPr>
        <w:t> </w:t>
      </w:r>
      <w:r>
        <w:rPr>
          <w:color w:val="585966"/>
          <w:sz w:val="19"/>
        </w:rPr>
        <w:t>39b</w:t>
      </w:r>
      <w:r>
        <w:rPr>
          <w:color w:val="585966"/>
          <w:spacing w:val="14"/>
          <w:sz w:val="19"/>
        </w:rPr>
        <w:t> </w:t>
      </w:r>
      <w:r>
        <w:rPr>
          <w:color w:val="585966"/>
          <w:sz w:val="19"/>
        </w:rPr>
        <w:t>Research,</w:t>
      </w:r>
      <w:r>
        <w:rPr>
          <w:color w:val="585966"/>
          <w:spacing w:val="14"/>
          <w:sz w:val="19"/>
        </w:rPr>
        <w:t> </w:t>
      </w:r>
      <w:r>
        <w:rPr>
          <w:color w:val="585966"/>
          <w:sz w:val="19"/>
        </w:rPr>
        <w:t>Excellence</w:t>
      </w:r>
      <w:r>
        <w:rPr>
          <w:color w:val="585966"/>
          <w:spacing w:val="13"/>
          <w:sz w:val="19"/>
        </w:rPr>
        <w:t> </w:t>
      </w:r>
      <w:r>
        <w:rPr>
          <w:color w:val="585966"/>
          <w:sz w:val="19"/>
        </w:rPr>
        <w:t>and</w:t>
      </w:r>
      <w:r>
        <w:rPr>
          <w:color w:val="585966"/>
          <w:spacing w:val="14"/>
          <w:sz w:val="19"/>
        </w:rPr>
        <w:t> </w:t>
      </w:r>
      <w:r>
        <w:rPr>
          <w:color w:val="585966"/>
          <w:sz w:val="19"/>
        </w:rPr>
        <w:t>Innovation</w:t>
      </w:r>
      <w:r>
        <w:rPr>
          <w:color w:val="585966"/>
          <w:spacing w:val="14"/>
          <w:sz w:val="19"/>
        </w:rPr>
        <w:t> </w:t>
      </w:r>
      <w:r>
        <w:rPr>
          <w:color w:val="585966"/>
          <w:sz w:val="19"/>
        </w:rPr>
        <w:t>Subgroup</w:t>
      </w:r>
      <w:r>
        <w:rPr>
          <w:color w:val="585966"/>
          <w:spacing w:val="14"/>
          <w:sz w:val="19"/>
        </w:rPr>
        <w:t> </w:t>
      </w:r>
      <w:r>
        <w:rPr>
          <w:color w:val="585966"/>
          <w:sz w:val="19"/>
        </w:rPr>
        <w:t>Work</w:t>
      </w:r>
      <w:r>
        <w:rPr>
          <w:color w:val="585966"/>
          <w:spacing w:val="13"/>
          <w:sz w:val="19"/>
        </w:rPr>
        <w:t> </w:t>
      </w:r>
      <w:r>
        <w:rPr>
          <w:color w:val="585966"/>
          <w:sz w:val="19"/>
        </w:rPr>
        <w:t>Programme</w:t>
      </w:r>
      <w:r>
        <w:rPr>
          <w:color w:val="585966"/>
          <w:spacing w:val="14"/>
          <w:sz w:val="19"/>
        </w:rPr>
        <w:t> </w:t>
      </w:r>
      <w:r>
        <w:rPr>
          <w:color w:val="585966"/>
          <w:spacing w:val="-2"/>
          <w:sz w:val="19"/>
        </w:rPr>
        <w:t>Summary</w:t>
      </w:r>
      <w:r>
        <w:rPr>
          <w:rFonts w:ascii="Times New Roman"/>
          <w:color w:val="585966"/>
          <w:sz w:val="19"/>
        </w:rPr>
        <w:tab/>
      </w:r>
      <w:r>
        <w:rPr>
          <w:color w:val="585966"/>
          <w:spacing w:val="-5"/>
          <w:sz w:val="19"/>
        </w:rPr>
        <w:t>111</w:t>
      </w:r>
    </w:p>
    <w:p>
      <w:pPr>
        <w:pStyle w:val="ListParagraph"/>
        <w:numPr>
          <w:ilvl w:val="1"/>
          <w:numId w:val="1"/>
        </w:numPr>
        <w:tabs>
          <w:tab w:pos="775" w:val="left" w:leader="none"/>
          <w:tab w:pos="8663" w:val="left" w:leader="none"/>
        </w:tabs>
        <w:spacing w:line="240" w:lineRule="auto" w:before="274" w:after="0"/>
        <w:ind w:left="775" w:right="0" w:hanging="400"/>
        <w:jc w:val="left"/>
        <w:rPr>
          <w:sz w:val="24"/>
        </w:rPr>
      </w:pPr>
      <w:r>
        <w:rPr>
          <w:sz w:val="24"/>
        </w:rPr>
        <mc:AlternateContent>
          <mc:Choice Requires="wps">
            <w:drawing>
              <wp:anchor distT="0" distB="0" distL="0" distR="0" allowOverlap="1" layoutInCell="1" locked="0" behindDoc="0" simplePos="0" relativeHeight="15748096">
                <wp:simplePos x="0" y="0"/>
                <wp:positionH relativeFrom="page">
                  <wp:posOffset>1228724</wp:posOffset>
                </wp:positionH>
                <wp:positionV relativeFrom="paragraph">
                  <wp:posOffset>550733</wp:posOffset>
                </wp:positionV>
                <wp:extent cx="5505450" cy="1270"/>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8096" from="96.749992pt,43.364822pt" to="530.249958pt,43.364822pt" stroked="true" strokeweight=".75pt" strokecolor="#aaaaaa">
                <v:stroke dashstyle="shortdot"/>
                <w10:wrap type="none"/>
              </v:line>
            </w:pict>
          </mc:Fallback>
        </mc:AlternateContent>
      </w:r>
      <w:r>
        <w:rPr>
          <w:color w:val="444850"/>
          <w:sz w:val="24"/>
        </w:rPr>
        <w:t>- RJC/37c: Outline </w:t>
      </w:r>
      <w:r>
        <w:rPr>
          <w:color w:val="444850"/>
          <w:spacing w:val="-2"/>
          <w:sz w:val="24"/>
        </w:rPr>
        <w:t>Programme</w:t>
      </w:r>
      <w:r>
        <w:rPr>
          <w:rFonts w:ascii="Times New Roman"/>
          <w:color w:val="444850"/>
          <w:sz w:val="24"/>
        </w:rPr>
        <w:tab/>
      </w:r>
      <w:r>
        <w:rPr>
          <w:color w:val="444850"/>
          <w:spacing w:val="-5"/>
          <w:sz w:val="24"/>
        </w:rPr>
        <w:t>117</w:t>
      </w:r>
    </w:p>
    <w:p>
      <w:pPr>
        <w:spacing w:before="626"/>
        <w:ind w:left="630" w:right="0" w:firstLine="0"/>
        <w:jc w:val="left"/>
        <w:rPr>
          <w:b/>
          <w:sz w:val="19"/>
        </w:rPr>
      </w:pPr>
      <w:r>
        <w:rPr>
          <w:b/>
          <w:color w:val="585966"/>
          <w:spacing w:val="-2"/>
          <w:sz w:val="19"/>
        </w:rPr>
        <w:t>Attachments</w:t>
      </w:r>
    </w:p>
    <w:p>
      <w:pPr>
        <w:tabs>
          <w:tab w:pos="8734" w:val="left" w:leader="none"/>
        </w:tabs>
        <w:spacing w:before="307"/>
        <w:ind w:left="630" w:right="0" w:firstLine="0"/>
        <w:jc w:val="left"/>
        <w:rPr>
          <w:sz w:val="19"/>
        </w:rPr>
      </w:pPr>
      <w:r>
        <w:rPr>
          <w:color w:val="585966"/>
          <w:sz w:val="19"/>
        </w:rPr>
        <w:t>RJC</w:t>
      </w:r>
      <w:r>
        <w:rPr>
          <w:color w:val="585966"/>
          <w:spacing w:val="13"/>
          <w:sz w:val="19"/>
        </w:rPr>
        <w:t> </w:t>
      </w:r>
      <w:r>
        <w:rPr>
          <w:color w:val="585966"/>
          <w:sz w:val="19"/>
        </w:rPr>
        <w:t>39c</w:t>
      </w:r>
      <w:r>
        <w:rPr>
          <w:color w:val="585966"/>
          <w:spacing w:val="14"/>
          <w:sz w:val="19"/>
        </w:rPr>
        <w:t> </w:t>
      </w:r>
      <w:r>
        <w:rPr>
          <w:color w:val="585966"/>
          <w:sz w:val="19"/>
        </w:rPr>
        <w:t>Research,</w:t>
      </w:r>
      <w:r>
        <w:rPr>
          <w:color w:val="585966"/>
          <w:spacing w:val="14"/>
          <w:sz w:val="19"/>
        </w:rPr>
        <w:t> </w:t>
      </w:r>
      <w:r>
        <w:rPr>
          <w:color w:val="585966"/>
          <w:sz w:val="19"/>
        </w:rPr>
        <w:t>Innovation</w:t>
      </w:r>
      <w:r>
        <w:rPr>
          <w:color w:val="585966"/>
          <w:spacing w:val="13"/>
          <w:sz w:val="19"/>
        </w:rPr>
        <w:t> </w:t>
      </w:r>
      <w:r>
        <w:rPr>
          <w:color w:val="585966"/>
          <w:sz w:val="19"/>
        </w:rPr>
        <w:t>and</w:t>
      </w:r>
      <w:r>
        <w:rPr>
          <w:color w:val="585966"/>
          <w:spacing w:val="14"/>
          <w:sz w:val="19"/>
        </w:rPr>
        <w:t> </w:t>
      </w:r>
      <w:r>
        <w:rPr>
          <w:color w:val="585966"/>
          <w:sz w:val="19"/>
        </w:rPr>
        <w:t>Excellence</w:t>
      </w:r>
      <w:r>
        <w:rPr>
          <w:color w:val="585966"/>
          <w:spacing w:val="14"/>
          <w:sz w:val="19"/>
        </w:rPr>
        <w:t> </w:t>
      </w:r>
      <w:r>
        <w:rPr>
          <w:color w:val="585966"/>
          <w:sz w:val="19"/>
        </w:rPr>
        <w:t>Subgroup</w:t>
      </w:r>
      <w:r>
        <w:rPr>
          <w:color w:val="585966"/>
          <w:spacing w:val="13"/>
          <w:sz w:val="19"/>
        </w:rPr>
        <w:t> </w:t>
      </w:r>
      <w:r>
        <w:rPr>
          <w:color w:val="585966"/>
          <w:sz w:val="19"/>
        </w:rPr>
        <w:t>Outline</w:t>
      </w:r>
      <w:r>
        <w:rPr>
          <w:color w:val="585966"/>
          <w:spacing w:val="14"/>
          <w:sz w:val="19"/>
        </w:rPr>
        <w:t> </w:t>
      </w:r>
      <w:r>
        <w:rPr>
          <w:color w:val="585966"/>
          <w:spacing w:val="-2"/>
          <w:sz w:val="19"/>
        </w:rPr>
        <w:t>Programme</w:t>
      </w:r>
      <w:r>
        <w:rPr>
          <w:rFonts w:ascii="Times New Roman"/>
          <w:color w:val="585966"/>
          <w:sz w:val="19"/>
        </w:rPr>
        <w:tab/>
      </w:r>
      <w:r>
        <w:rPr>
          <w:color w:val="585966"/>
          <w:spacing w:val="-5"/>
          <w:sz w:val="19"/>
        </w:rPr>
        <w:t>118</w:t>
      </w:r>
    </w:p>
    <w:p>
      <w:pPr>
        <w:pStyle w:val="ListParagraph"/>
        <w:numPr>
          <w:ilvl w:val="0"/>
          <w:numId w:val="1"/>
        </w:numPr>
        <w:tabs>
          <w:tab w:pos="275" w:val="left" w:leader="none"/>
          <w:tab w:pos="8645" w:val="left" w:leader="none"/>
        </w:tabs>
        <w:spacing w:line="240" w:lineRule="auto" w:before="274" w:after="0"/>
        <w:ind w:left="275" w:right="0" w:hanging="200"/>
        <w:jc w:val="left"/>
        <w:rPr>
          <w:sz w:val="24"/>
        </w:rPr>
      </w:pPr>
      <w:r>
        <w:rPr>
          <w:sz w:val="24"/>
        </w:rPr>
        <mc:AlternateContent>
          <mc:Choice Requires="wps">
            <w:drawing>
              <wp:anchor distT="0" distB="0" distL="0" distR="0" allowOverlap="1" layoutInCell="1" locked="0" behindDoc="0" simplePos="0" relativeHeight="15748608">
                <wp:simplePos x="0" y="0"/>
                <wp:positionH relativeFrom="page">
                  <wp:posOffset>1038224</wp:posOffset>
                </wp:positionH>
                <wp:positionV relativeFrom="paragraph">
                  <wp:posOffset>550771</wp:posOffset>
                </wp:positionV>
                <wp:extent cx="5695950" cy="127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5695950" cy="1270"/>
                        </a:xfrm>
                        <a:custGeom>
                          <a:avLst/>
                          <a:gdLst/>
                          <a:ahLst/>
                          <a:cxnLst/>
                          <a:rect l="l" t="t" r="r" b="b"/>
                          <a:pathLst>
                            <a:path w="5695950" h="0">
                              <a:moveTo>
                                <a:pt x="0" y="0"/>
                              </a:moveTo>
                              <a:lnTo>
                                <a:pt x="56959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8608" from="81.749992pt,43.367844pt" to="530.249957pt,43.367844pt" stroked="true" strokeweight=".75pt" strokecolor="#aaaaaa">
                <v:stroke dashstyle="shortdot"/>
                <w10:wrap type="none"/>
              </v:line>
            </w:pict>
          </mc:Fallback>
        </mc:AlternateContent>
      </w:r>
      <w:r>
        <w:rPr>
          <w:color w:val="444850"/>
          <w:sz w:val="24"/>
        </w:rPr>
        <w:t>-</w:t>
      </w:r>
      <w:r>
        <w:rPr>
          <w:color w:val="444850"/>
          <w:spacing w:val="-1"/>
          <w:sz w:val="24"/>
        </w:rPr>
        <w:t> </w:t>
      </w:r>
      <w:r>
        <w:rPr>
          <w:color w:val="444850"/>
          <w:sz w:val="24"/>
        </w:rPr>
        <w:t>RJC/40:</w:t>
      </w:r>
      <w:r>
        <w:rPr>
          <w:color w:val="444850"/>
          <w:spacing w:val="-1"/>
          <w:sz w:val="24"/>
        </w:rPr>
        <w:t> </w:t>
      </w:r>
      <w:r>
        <w:rPr>
          <w:color w:val="444850"/>
          <w:sz w:val="24"/>
        </w:rPr>
        <w:t>Workforce</w:t>
      </w:r>
      <w:r>
        <w:rPr>
          <w:color w:val="444850"/>
          <w:spacing w:val="-1"/>
          <w:sz w:val="24"/>
        </w:rPr>
        <w:t> </w:t>
      </w:r>
      <w:r>
        <w:rPr>
          <w:color w:val="444850"/>
          <w:sz w:val="24"/>
        </w:rPr>
        <w:t>and</w:t>
      </w:r>
      <w:r>
        <w:rPr>
          <w:color w:val="444850"/>
          <w:spacing w:val="-1"/>
          <w:sz w:val="24"/>
        </w:rPr>
        <w:t> </w:t>
      </w:r>
      <w:r>
        <w:rPr>
          <w:color w:val="444850"/>
          <w:sz w:val="24"/>
        </w:rPr>
        <w:t>OD</w:t>
      </w:r>
      <w:r>
        <w:rPr>
          <w:color w:val="444850"/>
          <w:spacing w:val="-1"/>
          <w:sz w:val="24"/>
        </w:rPr>
        <w:t> </w:t>
      </w:r>
      <w:r>
        <w:rPr>
          <w:color w:val="444850"/>
          <w:sz w:val="24"/>
        </w:rPr>
        <w:t>Subgroup </w:t>
      </w:r>
      <w:r>
        <w:rPr>
          <w:color w:val="444850"/>
          <w:spacing w:val="-2"/>
          <w:sz w:val="24"/>
        </w:rPr>
        <w:t>Update</w:t>
      </w:r>
      <w:r>
        <w:rPr>
          <w:rFonts w:ascii="Times New Roman"/>
          <w:color w:val="444850"/>
          <w:sz w:val="24"/>
        </w:rPr>
        <w:tab/>
      </w:r>
      <w:r>
        <w:rPr>
          <w:color w:val="444850"/>
          <w:spacing w:val="-5"/>
          <w:sz w:val="24"/>
        </w:rPr>
        <w:t>123</w:t>
      </w:r>
    </w:p>
    <w:p>
      <w:pPr>
        <w:spacing w:before="626"/>
        <w:ind w:left="330" w:right="0" w:firstLine="0"/>
        <w:jc w:val="left"/>
        <w:rPr>
          <w:b/>
          <w:sz w:val="19"/>
        </w:rPr>
      </w:pPr>
      <w:r>
        <w:rPr>
          <w:b/>
          <w:color w:val="585966"/>
          <w:spacing w:val="-2"/>
          <w:sz w:val="19"/>
        </w:rPr>
        <w:t>Attachments</w:t>
      </w:r>
    </w:p>
    <w:p>
      <w:pPr>
        <w:tabs>
          <w:tab w:pos="8720" w:val="left" w:leader="none"/>
        </w:tabs>
        <w:spacing w:before="307"/>
        <w:ind w:left="330" w:right="0" w:firstLine="0"/>
        <w:jc w:val="left"/>
        <w:rPr>
          <w:sz w:val="19"/>
        </w:rPr>
      </w:pPr>
      <w:r>
        <w:rPr>
          <w:color w:val="585966"/>
          <w:sz w:val="19"/>
        </w:rPr>
        <w:t>RJC</w:t>
      </w:r>
      <w:r>
        <w:rPr>
          <w:color w:val="585966"/>
          <w:spacing w:val="10"/>
          <w:sz w:val="19"/>
        </w:rPr>
        <w:t> </w:t>
      </w:r>
      <w:r>
        <w:rPr>
          <w:color w:val="585966"/>
          <w:sz w:val="19"/>
        </w:rPr>
        <w:t>40a</w:t>
      </w:r>
      <w:r>
        <w:rPr>
          <w:color w:val="585966"/>
          <w:spacing w:val="11"/>
          <w:sz w:val="19"/>
        </w:rPr>
        <w:t> </w:t>
      </w:r>
      <w:r>
        <w:rPr>
          <w:color w:val="585966"/>
          <w:sz w:val="19"/>
        </w:rPr>
        <w:t>Workforce</w:t>
      </w:r>
      <w:r>
        <w:rPr>
          <w:color w:val="585966"/>
          <w:spacing w:val="11"/>
          <w:sz w:val="19"/>
        </w:rPr>
        <w:t> </w:t>
      </w:r>
      <w:r>
        <w:rPr>
          <w:color w:val="585966"/>
          <w:sz w:val="19"/>
        </w:rPr>
        <w:t>and</w:t>
      </w:r>
      <w:r>
        <w:rPr>
          <w:color w:val="585966"/>
          <w:spacing w:val="10"/>
          <w:sz w:val="19"/>
        </w:rPr>
        <w:t> </w:t>
      </w:r>
      <w:r>
        <w:rPr>
          <w:color w:val="585966"/>
          <w:sz w:val="19"/>
        </w:rPr>
        <w:t>OD</w:t>
      </w:r>
      <w:r>
        <w:rPr>
          <w:color w:val="585966"/>
          <w:spacing w:val="11"/>
          <w:sz w:val="19"/>
        </w:rPr>
        <w:t> </w:t>
      </w:r>
      <w:r>
        <w:rPr>
          <w:color w:val="585966"/>
          <w:sz w:val="19"/>
        </w:rPr>
        <w:t>Subgroup</w:t>
      </w:r>
      <w:r>
        <w:rPr>
          <w:color w:val="585966"/>
          <w:spacing w:val="11"/>
          <w:sz w:val="19"/>
        </w:rPr>
        <w:t> </w:t>
      </w:r>
      <w:r>
        <w:rPr>
          <w:color w:val="585966"/>
          <w:sz w:val="19"/>
        </w:rPr>
        <w:t>(AAA)</w:t>
      </w:r>
      <w:r>
        <w:rPr>
          <w:color w:val="585966"/>
          <w:spacing w:val="11"/>
          <w:sz w:val="19"/>
        </w:rPr>
        <w:t> </w:t>
      </w:r>
      <w:r>
        <w:rPr>
          <w:color w:val="585966"/>
          <w:sz w:val="19"/>
        </w:rPr>
        <w:t>Update</w:t>
      </w:r>
      <w:r>
        <w:rPr>
          <w:color w:val="585966"/>
          <w:spacing w:val="10"/>
          <w:sz w:val="19"/>
        </w:rPr>
        <w:t> </w:t>
      </w:r>
      <w:r>
        <w:rPr>
          <w:color w:val="585966"/>
          <w:spacing w:val="-2"/>
          <w:sz w:val="19"/>
        </w:rPr>
        <w:t>Report</w:t>
      </w:r>
      <w:r>
        <w:rPr>
          <w:rFonts w:ascii="Times New Roman"/>
          <w:color w:val="585966"/>
          <w:sz w:val="19"/>
        </w:rPr>
        <w:tab/>
      </w:r>
      <w:r>
        <w:rPr>
          <w:color w:val="585966"/>
          <w:spacing w:val="-5"/>
          <w:sz w:val="19"/>
        </w:rPr>
        <w:t>124</w:t>
      </w:r>
    </w:p>
    <w:p>
      <w:pPr>
        <w:pStyle w:val="ListParagraph"/>
        <w:numPr>
          <w:ilvl w:val="0"/>
          <w:numId w:val="1"/>
        </w:numPr>
        <w:tabs>
          <w:tab w:pos="275" w:val="left" w:leader="none"/>
          <w:tab w:pos="8645" w:val="left" w:leader="none"/>
        </w:tabs>
        <w:spacing w:line="240" w:lineRule="auto" w:before="275" w:after="0"/>
        <w:ind w:left="275" w:right="0" w:hanging="200"/>
        <w:jc w:val="left"/>
        <w:rPr>
          <w:sz w:val="24"/>
        </w:rPr>
      </w:pPr>
      <w:r>
        <w:rPr>
          <w:color w:val="444850"/>
          <w:sz w:val="24"/>
        </w:rPr>
        <w:t>- </w:t>
      </w:r>
      <w:r>
        <w:rPr>
          <w:color w:val="444850"/>
          <w:spacing w:val="-2"/>
          <w:sz w:val="24"/>
        </w:rPr>
        <w:t>Governance</w:t>
      </w:r>
      <w:r>
        <w:rPr>
          <w:rFonts w:ascii="Times New Roman"/>
          <w:color w:val="444850"/>
          <w:sz w:val="24"/>
        </w:rPr>
        <w:tab/>
      </w:r>
      <w:r>
        <w:rPr>
          <w:color w:val="444850"/>
          <w:spacing w:val="-5"/>
          <w:sz w:val="24"/>
        </w:rPr>
        <w:t>126</w:t>
      </w:r>
    </w:p>
    <w:p>
      <w:pPr>
        <w:pStyle w:val="BodyText"/>
        <w:spacing w:before="62"/>
        <w:rPr>
          <w:sz w:val="20"/>
        </w:rPr>
      </w:pPr>
      <w:r>
        <w:rPr>
          <w:sz w:val="20"/>
        </w:rPr>
        <mc:AlternateContent>
          <mc:Choice Requires="wps">
            <w:drawing>
              <wp:anchor distT="0" distB="0" distL="0" distR="0" allowOverlap="1" layoutInCell="1" locked="0" behindDoc="1" simplePos="0" relativeHeight="487604736">
                <wp:simplePos x="0" y="0"/>
                <wp:positionH relativeFrom="page">
                  <wp:posOffset>1038224</wp:posOffset>
                </wp:positionH>
                <wp:positionV relativeFrom="paragraph">
                  <wp:posOffset>200647</wp:posOffset>
                </wp:positionV>
                <wp:extent cx="5695950" cy="127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5695950" cy="1270"/>
                        </a:xfrm>
                        <a:custGeom>
                          <a:avLst/>
                          <a:gdLst/>
                          <a:ahLst/>
                          <a:cxnLst/>
                          <a:rect l="l" t="t" r="r" b="b"/>
                          <a:pathLst>
                            <a:path w="5695950" h="0">
                              <a:moveTo>
                                <a:pt x="0" y="0"/>
                              </a:moveTo>
                              <a:lnTo>
                                <a:pt x="56959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shape style="position:absolute;margin-left:81.749992pt;margin-top:15.799024pt;width:448.5pt;height:.1pt;mso-position-horizontal-relative:page;mso-position-vertical-relative:paragraph;z-index:-15711744;mso-wrap-distance-left:0;mso-wrap-distance-right:0" id="docshape28" coordorigin="1635,316" coordsize="8970,0" path="m1635,316l10605,316e" filled="false" stroked="true" strokeweight=".75pt" strokecolor="#aaaaaa">
                <v:path arrowok="t"/>
                <v:stroke dashstyle="shortdot"/>
                <w10:wrap type="topAndBottom"/>
              </v:shape>
            </w:pict>
          </mc:Fallback>
        </mc:AlternateContent>
      </w:r>
    </w:p>
    <w:p>
      <w:pPr>
        <w:pStyle w:val="BodyText"/>
        <w:spacing w:after="0"/>
        <w:rPr>
          <w:sz w:val="20"/>
        </w:rPr>
        <w:sectPr>
          <w:pgSz w:w="12240" w:h="15840"/>
          <w:pgMar w:top="780" w:bottom="280" w:left="1559" w:right="1559"/>
        </w:sectPr>
      </w:pPr>
    </w:p>
    <w:p>
      <w:pPr>
        <w:pStyle w:val="ListParagraph"/>
        <w:numPr>
          <w:ilvl w:val="1"/>
          <w:numId w:val="1"/>
        </w:numPr>
        <w:tabs>
          <w:tab w:pos="775" w:val="left" w:leader="none"/>
          <w:tab w:pos="9045" w:val="right" w:leader="none"/>
        </w:tabs>
        <w:spacing w:line="240" w:lineRule="auto" w:before="80" w:after="0"/>
        <w:ind w:left="775" w:right="0" w:hanging="400"/>
        <w:jc w:val="left"/>
        <w:rPr>
          <w:sz w:val="24"/>
        </w:rPr>
      </w:pPr>
      <w:r>
        <w:rPr>
          <w:sz w:val="24"/>
        </w:rPr>
        <mc:AlternateContent>
          <mc:Choice Requires="wps">
            <w:drawing>
              <wp:anchor distT="0" distB="0" distL="0" distR="0" allowOverlap="1" layoutInCell="1" locked="0" behindDoc="0" simplePos="0" relativeHeight="15749632">
                <wp:simplePos x="0" y="0"/>
                <wp:positionH relativeFrom="page">
                  <wp:posOffset>1228724</wp:posOffset>
                </wp:positionH>
                <wp:positionV relativeFrom="paragraph">
                  <wp:posOffset>427036</wp:posOffset>
                </wp:positionV>
                <wp:extent cx="5505450" cy="1270"/>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9632" from="96.749992pt,33.624939pt" to="530.249958pt,33.624939pt" stroked="true" strokeweight=".75pt" strokecolor="#aaaaaa">
                <v:stroke dashstyle="shortdot"/>
                <w10:wrap type="none"/>
              </v:line>
            </w:pict>
          </mc:Fallback>
        </mc:AlternateContent>
      </w:r>
      <w:r>
        <w:rPr>
          <w:color w:val="444850"/>
          <w:sz w:val="24"/>
        </w:rPr>
        <w:t>-</w:t>
      </w:r>
      <w:r>
        <w:rPr>
          <w:color w:val="444850"/>
          <w:spacing w:val="-5"/>
          <w:sz w:val="24"/>
        </w:rPr>
        <w:t> </w:t>
      </w:r>
      <w:r>
        <w:rPr>
          <w:color w:val="444850"/>
          <w:sz w:val="24"/>
        </w:rPr>
        <w:t>RJC/41:</w:t>
      </w:r>
      <w:r>
        <w:rPr>
          <w:color w:val="444850"/>
          <w:spacing w:val="-17"/>
          <w:sz w:val="24"/>
        </w:rPr>
        <w:t> </w:t>
      </w:r>
      <w:r>
        <w:rPr>
          <w:color w:val="444850"/>
          <w:sz w:val="24"/>
        </w:rPr>
        <w:t>Annual</w:t>
      </w:r>
      <w:r>
        <w:rPr>
          <w:color w:val="444850"/>
          <w:spacing w:val="-4"/>
          <w:sz w:val="24"/>
        </w:rPr>
        <w:t> </w:t>
      </w:r>
      <w:r>
        <w:rPr>
          <w:color w:val="444850"/>
          <w:sz w:val="24"/>
        </w:rPr>
        <w:t>Review</w:t>
      </w:r>
      <w:r>
        <w:rPr>
          <w:color w:val="444850"/>
          <w:spacing w:val="-4"/>
          <w:sz w:val="24"/>
        </w:rPr>
        <w:t> </w:t>
      </w:r>
      <w:r>
        <w:rPr>
          <w:color w:val="444850"/>
          <w:sz w:val="24"/>
        </w:rPr>
        <w:t>of</w:t>
      </w:r>
      <w:r>
        <w:rPr>
          <w:color w:val="444850"/>
          <w:spacing w:val="-8"/>
          <w:sz w:val="24"/>
        </w:rPr>
        <w:t> </w:t>
      </w:r>
      <w:r>
        <w:rPr>
          <w:color w:val="444850"/>
          <w:sz w:val="24"/>
        </w:rPr>
        <w:t>Terms</w:t>
      </w:r>
      <w:r>
        <w:rPr>
          <w:color w:val="444850"/>
          <w:spacing w:val="-4"/>
          <w:sz w:val="24"/>
        </w:rPr>
        <w:t> </w:t>
      </w:r>
      <w:r>
        <w:rPr>
          <w:color w:val="444850"/>
          <w:sz w:val="24"/>
        </w:rPr>
        <w:t>of</w:t>
      </w:r>
      <w:r>
        <w:rPr>
          <w:color w:val="444850"/>
          <w:spacing w:val="-4"/>
          <w:sz w:val="24"/>
        </w:rPr>
        <w:t> </w:t>
      </w:r>
      <w:r>
        <w:rPr>
          <w:color w:val="444850"/>
          <w:spacing w:val="-2"/>
          <w:sz w:val="24"/>
        </w:rPr>
        <w:t>Reference</w:t>
      </w:r>
      <w:r>
        <w:rPr>
          <w:rFonts w:ascii="Times New Roman"/>
          <w:color w:val="444850"/>
          <w:sz w:val="24"/>
        </w:rPr>
        <w:tab/>
      </w:r>
      <w:r>
        <w:rPr>
          <w:color w:val="444850"/>
          <w:spacing w:val="-5"/>
          <w:sz w:val="24"/>
        </w:rPr>
        <w:t>127</w:t>
      </w:r>
    </w:p>
    <w:p>
      <w:pPr>
        <w:spacing w:before="626"/>
        <w:ind w:left="630" w:right="0" w:firstLine="0"/>
        <w:jc w:val="left"/>
        <w:rPr>
          <w:b/>
          <w:sz w:val="19"/>
        </w:rPr>
      </w:pPr>
      <w:r>
        <w:rPr>
          <w:b/>
          <w:color w:val="585966"/>
          <w:spacing w:val="-2"/>
          <w:sz w:val="19"/>
        </w:rPr>
        <w:t>Attachments</w:t>
      </w:r>
    </w:p>
    <w:p>
      <w:pPr>
        <w:tabs>
          <w:tab w:pos="9045" w:val="right" w:leader="none"/>
        </w:tabs>
        <w:spacing w:before="306"/>
        <w:ind w:left="630" w:right="0" w:firstLine="0"/>
        <w:jc w:val="left"/>
        <w:rPr>
          <w:sz w:val="19"/>
        </w:rPr>
      </w:pPr>
      <w:r>
        <w:rPr>
          <w:color w:val="585966"/>
          <w:sz w:val="19"/>
        </w:rPr>
        <w:t>RJC</w:t>
      </w:r>
      <w:r>
        <w:rPr>
          <w:color w:val="585966"/>
          <w:spacing w:val="8"/>
          <w:sz w:val="19"/>
        </w:rPr>
        <w:t> </w:t>
      </w:r>
      <w:r>
        <w:rPr>
          <w:color w:val="585966"/>
          <w:sz w:val="19"/>
        </w:rPr>
        <w:t>41a</w:t>
      </w:r>
      <w:r>
        <w:rPr>
          <w:color w:val="585966"/>
          <w:spacing w:val="8"/>
          <w:sz w:val="19"/>
        </w:rPr>
        <w:t> </w:t>
      </w:r>
      <w:r>
        <w:rPr>
          <w:color w:val="585966"/>
          <w:sz w:val="19"/>
        </w:rPr>
        <w:t>Draft</w:t>
      </w:r>
      <w:r>
        <w:rPr>
          <w:color w:val="585966"/>
          <w:spacing w:val="9"/>
          <w:sz w:val="19"/>
        </w:rPr>
        <w:t> </w:t>
      </w:r>
      <w:r>
        <w:rPr>
          <w:color w:val="585966"/>
          <w:sz w:val="19"/>
        </w:rPr>
        <w:t>RJC</w:t>
      </w:r>
      <w:r>
        <w:rPr>
          <w:color w:val="585966"/>
          <w:spacing w:val="4"/>
          <w:sz w:val="19"/>
        </w:rPr>
        <w:t> </w:t>
      </w:r>
      <w:r>
        <w:rPr>
          <w:color w:val="585966"/>
          <w:spacing w:val="-5"/>
          <w:sz w:val="19"/>
        </w:rPr>
        <w:t>ToR</w:t>
      </w:r>
      <w:r>
        <w:rPr>
          <w:rFonts w:ascii="Times New Roman"/>
          <w:color w:val="585966"/>
          <w:sz w:val="19"/>
        </w:rPr>
        <w:tab/>
      </w:r>
      <w:r>
        <w:rPr>
          <w:color w:val="585966"/>
          <w:spacing w:val="-5"/>
          <w:sz w:val="19"/>
        </w:rPr>
        <w:t>128</w:t>
      </w:r>
    </w:p>
    <w:p>
      <w:pPr>
        <w:tabs>
          <w:tab w:pos="9045" w:val="right" w:leader="none"/>
        </w:tabs>
        <w:spacing w:before="322"/>
        <w:ind w:left="630" w:right="0" w:firstLine="0"/>
        <w:jc w:val="left"/>
        <w:rPr>
          <w:sz w:val="19"/>
        </w:rPr>
      </w:pPr>
      <w:r>
        <w:rPr>
          <w:color w:val="585966"/>
          <w:sz w:val="19"/>
        </w:rPr>
        <w:t>RJC</w:t>
      </w:r>
      <w:r>
        <w:rPr>
          <w:color w:val="585966"/>
          <w:spacing w:val="13"/>
          <w:sz w:val="19"/>
        </w:rPr>
        <w:t> </w:t>
      </w:r>
      <w:r>
        <w:rPr>
          <w:color w:val="585966"/>
          <w:sz w:val="19"/>
        </w:rPr>
        <w:t>41b</w:t>
      </w:r>
      <w:r>
        <w:rPr>
          <w:color w:val="585966"/>
          <w:spacing w:val="14"/>
          <w:sz w:val="19"/>
        </w:rPr>
        <w:t> </w:t>
      </w:r>
      <w:r>
        <w:rPr>
          <w:color w:val="585966"/>
          <w:sz w:val="19"/>
        </w:rPr>
        <w:t>Regional</w:t>
      </w:r>
      <w:r>
        <w:rPr>
          <w:color w:val="585966"/>
          <w:spacing w:val="13"/>
          <w:sz w:val="19"/>
        </w:rPr>
        <w:t> </w:t>
      </w:r>
      <w:r>
        <w:rPr>
          <w:color w:val="585966"/>
          <w:sz w:val="19"/>
        </w:rPr>
        <w:t>Clinical</w:t>
      </w:r>
      <w:r>
        <w:rPr>
          <w:color w:val="585966"/>
          <w:spacing w:val="14"/>
          <w:sz w:val="19"/>
        </w:rPr>
        <w:t> </w:t>
      </w:r>
      <w:r>
        <w:rPr>
          <w:color w:val="585966"/>
          <w:sz w:val="19"/>
        </w:rPr>
        <w:t>Services</w:t>
      </w:r>
      <w:r>
        <w:rPr>
          <w:color w:val="585966"/>
          <w:spacing w:val="13"/>
          <w:sz w:val="19"/>
        </w:rPr>
        <w:t> </w:t>
      </w:r>
      <w:r>
        <w:rPr>
          <w:color w:val="585966"/>
          <w:sz w:val="19"/>
        </w:rPr>
        <w:t>Planning</w:t>
      </w:r>
      <w:r>
        <w:rPr>
          <w:color w:val="585966"/>
          <w:spacing w:val="14"/>
          <w:sz w:val="19"/>
        </w:rPr>
        <w:t> </w:t>
      </w:r>
      <w:r>
        <w:rPr>
          <w:color w:val="585966"/>
          <w:sz w:val="19"/>
        </w:rPr>
        <w:t>Subgroup</w:t>
      </w:r>
      <w:r>
        <w:rPr>
          <w:color w:val="585966"/>
          <w:spacing w:val="8"/>
          <w:sz w:val="19"/>
        </w:rPr>
        <w:t> </w:t>
      </w:r>
      <w:r>
        <w:rPr>
          <w:color w:val="585966"/>
          <w:spacing w:val="-5"/>
          <w:sz w:val="19"/>
        </w:rPr>
        <w:t>ToR</w:t>
      </w:r>
      <w:r>
        <w:rPr>
          <w:rFonts w:ascii="Times New Roman"/>
          <w:color w:val="585966"/>
          <w:sz w:val="19"/>
        </w:rPr>
        <w:tab/>
      </w:r>
      <w:r>
        <w:rPr>
          <w:color w:val="585966"/>
          <w:spacing w:val="-5"/>
          <w:sz w:val="19"/>
        </w:rPr>
        <w:t>138</w:t>
      </w:r>
    </w:p>
    <w:p>
      <w:pPr>
        <w:tabs>
          <w:tab w:pos="9045" w:val="right" w:leader="none"/>
        </w:tabs>
        <w:spacing w:before="321"/>
        <w:ind w:left="630" w:right="0" w:firstLine="0"/>
        <w:jc w:val="left"/>
        <w:rPr>
          <w:sz w:val="19"/>
        </w:rPr>
      </w:pPr>
      <w:r>
        <w:rPr>
          <w:color w:val="585966"/>
          <w:sz w:val="19"/>
        </w:rPr>
        <w:t>RJC</w:t>
      </w:r>
      <w:r>
        <w:rPr>
          <w:color w:val="585966"/>
          <w:spacing w:val="13"/>
          <w:sz w:val="19"/>
        </w:rPr>
        <w:t> </w:t>
      </w:r>
      <w:r>
        <w:rPr>
          <w:color w:val="585966"/>
          <w:sz w:val="19"/>
        </w:rPr>
        <w:t>41c</w:t>
      </w:r>
      <w:r>
        <w:rPr>
          <w:color w:val="585966"/>
          <w:spacing w:val="13"/>
          <w:sz w:val="19"/>
        </w:rPr>
        <w:t> </w:t>
      </w:r>
      <w:r>
        <w:rPr>
          <w:color w:val="585966"/>
          <w:sz w:val="19"/>
        </w:rPr>
        <w:t>Draft</w:t>
      </w:r>
      <w:r>
        <w:rPr>
          <w:color w:val="585966"/>
          <w:spacing w:val="14"/>
          <w:sz w:val="19"/>
        </w:rPr>
        <w:t> </w:t>
      </w:r>
      <w:r>
        <w:rPr>
          <w:color w:val="585966"/>
          <w:sz w:val="19"/>
        </w:rPr>
        <w:t>Research,</w:t>
      </w:r>
      <w:r>
        <w:rPr>
          <w:color w:val="585966"/>
          <w:spacing w:val="13"/>
          <w:sz w:val="19"/>
        </w:rPr>
        <w:t> </w:t>
      </w:r>
      <w:r>
        <w:rPr>
          <w:color w:val="585966"/>
          <w:sz w:val="19"/>
        </w:rPr>
        <w:t>Innovation</w:t>
      </w:r>
      <w:r>
        <w:rPr>
          <w:color w:val="585966"/>
          <w:spacing w:val="13"/>
          <w:sz w:val="19"/>
        </w:rPr>
        <w:t> </w:t>
      </w:r>
      <w:r>
        <w:rPr>
          <w:color w:val="585966"/>
          <w:sz w:val="19"/>
        </w:rPr>
        <w:t>and</w:t>
      </w:r>
      <w:r>
        <w:rPr>
          <w:color w:val="585966"/>
          <w:spacing w:val="14"/>
          <w:sz w:val="19"/>
        </w:rPr>
        <w:t> </w:t>
      </w:r>
      <w:r>
        <w:rPr>
          <w:color w:val="585966"/>
          <w:sz w:val="19"/>
        </w:rPr>
        <w:t>Excellence</w:t>
      </w:r>
      <w:r>
        <w:rPr>
          <w:color w:val="585966"/>
          <w:spacing w:val="13"/>
          <w:sz w:val="19"/>
        </w:rPr>
        <w:t> </w:t>
      </w:r>
      <w:r>
        <w:rPr>
          <w:color w:val="585966"/>
          <w:sz w:val="19"/>
        </w:rPr>
        <w:t>Subgroup</w:t>
      </w:r>
      <w:r>
        <w:rPr>
          <w:color w:val="585966"/>
          <w:spacing w:val="8"/>
          <w:sz w:val="19"/>
        </w:rPr>
        <w:t> </w:t>
      </w:r>
      <w:r>
        <w:rPr>
          <w:color w:val="585966"/>
          <w:spacing w:val="-5"/>
          <w:sz w:val="19"/>
        </w:rPr>
        <w:t>ToR</w:t>
      </w:r>
      <w:r>
        <w:rPr>
          <w:rFonts w:ascii="Times New Roman"/>
          <w:color w:val="585966"/>
          <w:sz w:val="19"/>
        </w:rPr>
        <w:tab/>
      </w:r>
      <w:r>
        <w:rPr>
          <w:color w:val="585966"/>
          <w:spacing w:val="-5"/>
          <w:sz w:val="19"/>
        </w:rPr>
        <w:t>145</w:t>
      </w:r>
    </w:p>
    <w:p>
      <w:pPr>
        <w:tabs>
          <w:tab w:pos="9045" w:val="right" w:leader="none"/>
        </w:tabs>
        <w:spacing w:before="322"/>
        <w:ind w:left="630" w:right="0" w:firstLine="0"/>
        <w:jc w:val="left"/>
        <w:rPr>
          <w:sz w:val="19"/>
        </w:rPr>
      </w:pPr>
      <w:r>
        <w:rPr>
          <w:color w:val="585966"/>
          <w:sz w:val="19"/>
        </w:rPr>
        <w:t>RJC</w:t>
      </w:r>
      <w:r>
        <w:rPr>
          <w:color w:val="585966"/>
          <w:spacing w:val="6"/>
          <w:sz w:val="19"/>
        </w:rPr>
        <w:t> </w:t>
      </w:r>
      <w:r>
        <w:rPr>
          <w:color w:val="585966"/>
          <w:sz w:val="19"/>
        </w:rPr>
        <w:t>41d</w:t>
      </w:r>
      <w:r>
        <w:rPr>
          <w:color w:val="585966"/>
          <w:spacing w:val="7"/>
          <w:sz w:val="19"/>
        </w:rPr>
        <w:t> </w:t>
      </w:r>
      <w:r>
        <w:rPr>
          <w:color w:val="585966"/>
          <w:sz w:val="19"/>
        </w:rPr>
        <w:t>Draft</w:t>
      </w:r>
      <w:r>
        <w:rPr>
          <w:color w:val="585966"/>
          <w:spacing w:val="7"/>
          <w:sz w:val="19"/>
        </w:rPr>
        <w:t> </w:t>
      </w:r>
      <w:r>
        <w:rPr>
          <w:color w:val="585966"/>
          <w:sz w:val="19"/>
        </w:rPr>
        <w:t>RFCDDG</w:t>
      </w:r>
      <w:r>
        <w:rPr>
          <w:color w:val="585966"/>
          <w:spacing w:val="6"/>
          <w:sz w:val="19"/>
        </w:rPr>
        <w:t> </w:t>
      </w:r>
      <w:r>
        <w:rPr>
          <w:color w:val="585966"/>
          <w:sz w:val="19"/>
        </w:rPr>
        <w:t>Group</w:t>
      </w:r>
      <w:r>
        <w:rPr>
          <w:color w:val="585966"/>
          <w:spacing w:val="3"/>
          <w:sz w:val="19"/>
        </w:rPr>
        <w:t> </w:t>
      </w:r>
      <w:r>
        <w:rPr>
          <w:color w:val="585966"/>
          <w:sz w:val="19"/>
        </w:rPr>
        <w:t>ToR</w:t>
      </w:r>
      <w:r>
        <w:rPr>
          <w:color w:val="585966"/>
          <w:spacing w:val="6"/>
          <w:sz w:val="19"/>
        </w:rPr>
        <w:t> </w:t>
      </w:r>
      <w:r>
        <w:rPr>
          <w:color w:val="585966"/>
          <w:spacing w:val="-4"/>
          <w:sz w:val="19"/>
        </w:rPr>
        <w:t>v0.4</w:t>
      </w:r>
      <w:r>
        <w:rPr>
          <w:rFonts w:ascii="Times New Roman"/>
          <w:color w:val="585966"/>
          <w:sz w:val="19"/>
        </w:rPr>
        <w:tab/>
      </w:r>
      <w:r>
        <w:rPr>
          <w:color w:val="585966"/>
          <w:spacing w:val="-5"/>
          <w:sz w:val="19"/>
        </w:rPr>
        <w:t>150</w:t>
      </w:r>
    </w:p>
    <w:p>
      <w:pPr>
        <w:tabs>
          <w:tab w:pos="9045" w:val="right" w:leader="none"/>
        </w:tabs>
        <w:spacing w:before="321"/>
        <w:ind w:left="630" w:right="0" w:firstLine="0"/>
        <w:jc w:val="left"/>
        <w:rPr>
          <w:sz w:val="19"/>
        </w:rPr>
      </w:pPr>
      <w:r>
        <w:rPr>
          <w:color w:val="585966"/>
          <w:sz w:val="19"/>
        </w:rPr>
        <w:t>RJC</w:t>
      </w:r>
      <w:r>
        <w:rPr>
          <w:color w:val="585966"/>
          <w:spacing w:val="10"/>
          <w:sz w:val="19"/>
        </w:rPr>
        <w:t> </w:t>
      </w:r>
      <w:r>
        <w:rPr>
          <w:color w:val="585966"/>
          <w:sz w:val="19"/>
        </w:rPr>
        <w:t>41e</w:t>
      </w:r>
      <w:r>
        <w:rPr>
          <w:color w:val="585966"/>
          <w:spacing w:val="11"/>
          <w:sz w:val="19"/>
        </w:rPr>
        <w:t> </w:t>
      </w:r>
      <w:r>
        <w:rPr>
          <w:color w:val="585966"/>
          <w:sz w:val="19"/>
        </w:rPr>
        <w:t>Draft</w:t>
      </w:r>
      <w:r>
        <w:rPr>
          <w:color w:val="585966"/>
          <w:spacing w:val="11"/>
          <w:sz w:val="19"/>
        </w:rPr>
        <w:t> </w:t>
      </w:r>
      <w:r>
        <w:rPr>
          <w:color w:val="585966"/>
          <w:sz w:val="19"/>
        </w:rPr>
        <w:t>Regional</w:t>
      </w:r>
      <w:r>
        <w:rPr>
          <w:color w:val="585966"/>
          <w:spacing w:val="10"/>
          <w:sz w:val="19"/>
        </w:rPr>
        <w:t> </w:t>
      </w:r>
      <w:r>
        <w:rPr>
          <w:color w:val="585966"/>
          <w:sz w:val="19"/>
        </w:rPr>
        <w:t>Worforce</w:t>
      </w:r>
      <w:r>
        <w:rPr>
          <w:color w:val="585966"/>
          <w:spacing w:val="11"/>
          <w:sz w:val="19"/>
        </w:rPr>
        <w:t> </w:t>
      </w:r>
      <w:r>
        <w:rPr>
          <w:color w:val="585966"/>
          <w:sz w:val="19"/>
        </w:rPr>
        <w:t>and</w:t>
      </w:r>
      <w:r>
        <w:rPr>
          <w:color w:val="585966"/>
          <w:spacing w:val="11"/>
          <w:sz w:val="19"/>
        </w:rPr>
        <w:t> </w:t>
      </w:r>
      <w:r>
        <w:rPr>
          <w:color w:val="585966"/>
          <w:sz w:val="19"/>
        </w:rPr>
        <w:t>OD</w:t>
      </w:r>
      <w:r>
        <w:rPr>
          <w:color w:val="585966"/>
          <w:spacing w:val="10"/>
          <w:sz w:val="19"/>
        </w:rPr>
        <w:t> </w:t>
      </w:r>
      <w:r>
        <w:rPr>
          <w:color w:val="585966"/>
          <w:sz w:val="19"/>
        </w:rPr>
        <w:t>Subgroup</w:t>
      </w:r>
      <w:r>
        <w:rPr>
          <w:color w:val="585966"/>
          <w:spacing w:val="6"/>
          <w:sz w:val="19"/>
        </w:rPr>
        <w:t> </w:t>
      </w:r>
      <w:r>
        <w:rPr>
          <w:color w:val="585966"/>
          <w:spacing w:val="-5"/>
          <w:sz w:val="19"/>
        </w:rPr>
        <w:t>ToR</w:t>
      </w:r>
      <w:r>
        <w:rPr>
          <w:rFonts w:ascii="Times New Roman"/>
          <w:color w:val="585966"/>
          <w:sz w:val="19"/>
        </w:rPr>
        <w:tab/>
      </w:r>
      <w:r>
        <w:rPr>
          <w:color w:val="585966"/>
          <w:spacing w:val="-5"/>
          <w:sz w:val="19"/>
        </w:rPr>
        <w:t>157</w:t>
      </w:r>
    </w:p>
    <w:p>
      <w:pPr>
        <w:tabs>
          <w:tab w:pos="9045" w:val="right" w:leader="none"/>
        </w:tabs>
        <w:spacing w:before="322"/>
        <w:ind w:left="630" w:right="0" w:firstLine="0"/>
        <w:jc w:val="left"/>
        <w:rPr>
          <w:sz w:val="19"/>
        </w:rPr>
      </w:pPr>
      <w:r>
        <w:rPr>
          <w:color w:val="585966"/>
          <w:sz w:val="19"/>
        </w:rPr>
        <w:t>RJC</w:t>
      </w:r>
      <w:r>
        <w:rPr>
          <w:color w:val="585966"/>
          <w:spacing w:val="12"/>
          <w:sz w:val="19"/>
        </w:rPr>
        <w:t> </w:t>
      </w:r>
      <w:r>
        <w:rPr>
          <w:color w:val="585966"/>
          <w:sz w:val="19"/>
        </w:rPr>
        <w:t>41f</w:t>
      </w:r>
      <w:r>
        <w:rPr>
          <w:color w:val="585966"/>
          <w:spacing w:val="13"/>
          <w:sz w:val="19"/>
        </w:rPr>
        <w:t> </w:t>
      </w:r>
      <w:r>
        <w:rPr>
          <w:color w:val="585966"/>
          <w:sz w:val="19"/>
        </w:rPr>
        <w:t>Regional</w:t>
      </w:r>
      <w:r>
        <w:rPr>
          <w:color w:val="585966"/>
          <w:spacing w:val="13"/>
          <w:sz w:val="19"/>
        </w:rPr>
        <w:t> </w:t>
      </w:r>
      <w:r>
        <w:rPr>
          <w:color w:val="585966"/>
          <w:sz w:val="19"/>
        </w:rPr>
        <w:t>Health</w:t>
      </w:r>
      <w:r>
        <w:rPr>
          <w:color w:val="585966"/>
          <w:spacing w:val="13"/>
          <w:sz w:val="19"/>
        </w:rPr>
        <w:t> </w:t>
      </w:r>
      <w:r>
        <w:rPr>
          <w:color w:val="585966"/>
          <w:sz w:val="19"/>
        </w:rPr>
        <w:t>Economy</w:t>
      </w:r>
      <w:r>
        <w:rPr>
          <w:color w:val="585966"/>
          <w:spacing w:val="13"/>
          <w:sz w:val="19"/>
        </w:rPr>
        <w:t> </w:t>
      </w:r>
      <w:r>
        <w:rPr>
          <w:color w:val="585966"/>
          <w:sz w:val="19"/>
        </w:rPr>
        <w:t>Subgroup</w:t>
      </w:r>
      <w:r>
        <w:rPr>
          <w:color w:val="585966"/>
          <w:spacing w:val="8"/>
          <w:sz w:val="19"/>
        </w:rPr>
        <w:t> </w:t>
      </w:r>
      <w:r>
        <w:rPr>
          <w:color w:val="585966"/>
          <w:spacing w:val="-5"/>
          <w:sz w:val="19"/>
        </w:rPr>
        <w:t>ToR</w:t>
      </w:r>
      <w:r>
        <w:rPr>
          <w:rFonts w:ascii="Times New Roman"/>
          <w:color w:val="585966"/>
          <w:sz w:val="19"/>
        </w:rPr>
        <w:tab/>
      </w:r>
      <w:r>
        <w:rPr>
          <w:color w:val="585966"/>
          <w:spacing w:val="-5"/>
          <w:sz w:val="19"/>
        </w:rPr>
        <w:t>162</w:t>
      </w:r>
    </w:p>
    <w:p>
      <w:pPr>
        <w:pStyle w:val="ListParagraph"/>
        <w:numPr>
          <w:ilvl w:val="1"/>
          <w:numId w:val="1"/>
        </w:numPr>
        <w:tabs>
          <w:tab w:pos="775" w:val="left" w:leader="none"/>
          <w:tab w:pos="9045" w:val="right" w:leader="none"/>
        </w:tabs>
        <w:spacing w:line="240" w:lineRule="auto" w:before="274" w:after="0"/>
        <w:ind w:left="775" w:right="0" w:hanging="400"/>
        <w:jc w:val="left"/>
        <w:rPr>
          <w:sz w:val="24"/>
        </w:rPr>
      </w:pPr>
      <w:r>
        <w:rPr>
          <w:color w:val="444850"/>
          <w:sz w:val="24"/>
        </w:rPr>
        <w:t>- RJC/42: Board to Board </w:t>
      </w:r>
      <w:r>
        <w:rPr>
          <w:color w:val="444850"/>
          <w:spacing w:val="-2"/>
          <w:sz w:val="24"/>
        </w:rPr>
        <w:t>Proposal</w:t>
      </w:r>
      <w:r>
        <w:rPr>
          <w:rFonts w:ascii="Times New Roman"/>
          <w:color w:val="444850"/>
          <w:sz w:val="24"/>
        </w:rPr>
        <w:tab/>
      </w:r>
      <w:r>
        <w:rPr>
          <w:color w:val="444850"/>
          <w:spacing w:val="-5"/>
          <w:sz w:val="24"/>
        </w:rPr>
        <w:t>168</w:t>
      </w:r>
    </w:p>
    <w:p>
      <w:pPr>
        <w:pStyle w:val="ListParagraph"/>
        <w:numPr>
          <w:ilvl w:val="1"/>
          <w:numId w:val="1"/>
        </w:numPr>
        <w:tabs>
          <w:tab w:pos="775" w:val="left" w:leader="none"/>
          <w:tab w:pos="9045" w:val="right" w:leader="none"/>
        </w:tabs>
        <w:spacing w:line="240" w:lineRule="auto" w:before="579" w:after="0"/>
        <w:ind w:left="775" w:right="0" w:hanging="400"/>
        <w:jc w:val="left"/>
        <w:rPr>
          <w:sz w:val="24"/>
        </w:rPr>
      </w:pPr>
      <w:r>
        <w:rPr>
          <w:sz w:val="24"/>
        </w:rPr>
        <mc:AlternateContent>
          <mc:Choice Requires="wps">
            <w:drawing>
              <wp:anchor distT="0" distB="0" distL="0" distR="0" allowOverlap="1" layoutInCell="1" locked="0" behindDoc="0" simplePos="0" relativeHeight="15750144">
                <wp:simplePos x="0" y="0"/>
                <wp:positionH relativeFrom="page">
                  <wp:posOffset>1228724</wp:posOffset>
                </wp:positionH>
                <wp:positionV relativeFrom="paragraph">
                  <wp:posOffset>201406</wp:posOffset>
                </wp:positionV>
                <wp:extent cx="5505450" cy="1270"/>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0144" from="96.749992pt,15.858761pt" to="530.249958pt,15.858761pt" stroked="true" strokeweight=".75pt" strokecolor="#aaaaaa">
                <v:stroke dashstyle="shortdot"/>
                <w10:wrap type="none"/>
              </v:line>
            </w:pict>
          </mc:Fallback>
        </mc:AlternateContent>
      </w:r>
      <w:r>
        <w:rPr>
          <w:sz w:val="24"/>
        </w:rPr>
        <mc:AlternateContent>
          <mc:Choice Requires="wps">
            <w:drawing>
              <wp:anchor distT="0" distB="0" distL="0" distR="0" allowOverlap="1" layoutInCell="1" locked="0" behindDoc="0" simplePos="0" relativeHeight="15750656">
                <wp:simplePos x="0" y="0"/>
                <wp:positionH relativeFrom="page">
                  <wp:posOffset>1228724</wp:posOffset>
                </wp:positionH>
                <wp:positionV relativeFrom="paragraph">
                  <wp:posOffset>744331</wp:posOffset>
                </wp:positionV>
                <wp:extent cx="5505450" cy="1270"/>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0656" from="96.749992pt,58.608757pt" to="530.249958pt,58.608757pt" stroked="true" strokeweight=".75pt" strokecolor="#aaaaaa">
                <v:stroke dashstyle="shortdot"/>
                <w10:wrap type="none"/>
              </v:line>
            </w:pict>
          </mc:Fallback>
        </mc:AlternateContent>
      </w:r>
      <w:r>
        <w:rPr>
          <w:color w:val="444850"/>
          <w:sz w:val="24"/>
        </w:rPr>
        <w:t>- RJC/43: RJC Internal</w:t>
      </w:r>
      <w:r>
        <w:rPr>
          <w:color w:val="444850"/>
          <w:spacing w:val="-14"/>
          <w:sz w:val="24"/>
        </w:rPr>
        <w:t> </w:t>
      </w:r>
      <w:r>
        <w:rPr>
          <w:color w:val="444850"/>
          <w:sz w:val="24"/>
        </w:rPr>
        <w:t>Audit Report and </w:t>
      </w:r>
      <w:r>
        <w:rPr>
          <w:color w:val="444850"/>
          <w:spacing w:val="-2"/>
          <w:sz w:val="24"/>
        </w:rPr>
        <w:t>Response</w:t>
      </w:r>
      <w:r>
        <w:rPr>
          <w:rFonts w:ascii="Times New Roman"/>
          <w:color w:val="444850"/>
          <w:sz w:val="24"/>
        </w:rPr>
        <w:tab/>
      </w:r>
      <w:r>
        <w:rPr>
          <w:color w:val="444850"/>
          <w:spacing w:val="-5"/>
          <w:sz w:val="24"/>
        </w:rPr>
        <w:t>169</w:t>
      </w:r>
    </w:p>
    <w:p>
      <w:pPr>
        <w:spacing w:before="626"/>
        <w:ind w:left="630" w:right="0" w:firstLine="0"/>
        <w:jc w:val="left"/>
        <w:rPr>
          <w:b/>
          <w:sz w:val="19"/>
        </w:rPr>
      </w:pPr>
      <w:r>
        <w:rPr>
          <w:b/>
          <w:color w:val="585966"/>
          <w:spacing w:val="-2"/>
          <w:sz w:val="19"/>
        </w:rPr>
        <w:t>Attachments</w:t>
      </w:r>
    </w:p>
    <w:p>
      <w:pPr>
        <w:tabs>
          <w:tab w:pos="9045" w:val="right" w:leader="none"/>
        </w:tabs>
        <w:spacing w:before="307"/>
        <w:ind w:left="630" w:right="0" w:firstLine="0"/>
        <w:jc w:val="left"/>
        <w:rPr>
          <w:sz w:val="19"/>
        </w:rPr>
      </w:pPr>
      <w:r>
        <w:rPr>
          <w:color w:val="585966"/>
          <w:sz w:val="19"/>
        </w:rPr>
        <w:t>RJC</w:t>
      </w:r>
      <w:r>
        <w:rPr>
          <w:color w:val="585966"/>
          <w:spacing w:val="10"/>
          <w:sz w:val="19"/>
        </w:rPr>
        <w:t> </w:t>
      </w:r>
      <w:r>
        <w:rPr>
          <w:color w:val="585966"/>
          <w:sz w:val="19"/>
        </w:rPr>
        <w:t>43a</w:t>
      </w:r>
      <w:r>
        <w:rPr>
          <w:color w:val="585966"/>
          <w:spacing w:val="11"/>
          <w:sz w:val="19"/>
        </w:rPr>
        <w:t> </w:t>
      </w:r>
      <w:r>
        <w:rPr>
          <w:color w:val="585966"/>
          <w:sz w:val="19"/>
        </w:rPr>
        <w:t>IA</w:t>
      </w:r>
      <w:r>
        <w:rPr>
          <w:color w:val="585966"/>
          <w:spacing w:val="-15"/>
          <w:sz w:val="19"/>
        </w:rPr>
        <w:t> </w:t>
      </w:r>
      <w:r>
        <w:rPr>
          <w:color w:val="585966"/>
          <w:sz w:val="19"/>
        </w:rPr>
        <w:t>Advisory</w:t>
      </w:r>
      <w:r>
        <w:rPr>
          <w:color w:val="585966"/>
          <w:spacing w:val="11"/>
          <w:sz w:val="19"/>
        </w:rPr>
        <w:t> </w:t>
      </w:r>
      <w:r>
        <w:rPr>
          <w:color w:val="585966"/>
          <w:sz w:val="19"/>
        </w:rPr>
        <w:t>Review</w:t>
      </w:r>
      <w:r>
        <w:rPr>
          <w:color w:val="585966"/>
          <w:spacing w:val="10"/>
          <w:sz w:val="19"/>
        </w:rPr>
        <w:t> </w:t>
      </w:r>
      <w:r>
        <w:rPr>
          <w:color w:val="585966"/>
          <w:sz w:val="19"/>
        </w:rPr>
        <w:t>SBAR</w:t>
      </w:r>
      <w:r>
        <w:rPr>
          <w:color w:val="585966"/>
          <w:spacing w:val="11"/>
          <w:sz w:val="19"/>
        </w:rPr>
        <w:t> </w:t>
      </w:r>
      <w:r>
        <w:rPr>
          <w:color w:val="585966"/>
          <w:spacing w:val="-2"/>
          <w:sz w:val="19"/>
        </w:rPr>
        <w:t>Report</w:t>
      </w:r>
      <w:r>
        <w:rPr>
          <w:rFonts w:ascii="Times New Roman"/>
          <w:color w:val="585966"/>
          <w:sz w:val="19"/>
        </w:rPr>
        <w:tab/>
      </w:r>
      <w:r>
        <w:rPr>
          <w:color w:val="585966"/>
          <w:spacing w:val="-5"/>
          <w:sz w:val="19"/>
        </w:rPr>
        <w:t>170</w:t>
      </w:r>
    </w:p>
    <w:p>
      <w:pPr>
        <w:tabs>
          <w:tab w:pos="9045" w:val="right" w:leader="none"/>
        </w:tabs>
        <w:spacing w:before="321"/>
        <w:ind w:left="630" w:right="0" w:firstLine="0"/>
        <w:jc w:val="left"/>
        <w:rPr>
          <w:sz w:val="19"/>
        </w:rPr>
      </w:pPr>
      <w:r>
        <w:rPr>
          <w:color w:val="585966"/>
          <w:sz w:val="19"/>
        </w:rPr>
        <w:t>RJC</w:t>
      </w:r>
      <w:r>
        <w:rPr>
          <w:color w:val="585966"/>
          <w:spacing w:val="15"/>
          <w:sz w:val="19"/>
        </w:rPr>
        <w:t> </w:t>
      </w:r>
      <w:r>
        <w:rPr>
          <w:color w:val="585966"/>
          <w:sz w:val="19"/>
        </w:rPr>
        <w:t>43b</w:t>
      </w:r>
      <w:r>
        <w:rPr>
          <w:color w:val="585966"/>
          <w:spacing w:val="15"/>
          <w:sz w:val="19"/>
        </w:rPr>
        <w:t> </w:t>
      </w:r>
      <w:r>
        <w:rPr>
          <w:color w:val="585966"/>
          <w:sz w:val="19"/>
        </w:rPr>
        <w:t>RJC</w:t>
      </w:r>
      <w:r>
        <w:rPr>
          <w:color w:val="585966"/>
          <w:spacing w:val="16"/>
          <w:sz w:val="19"/>
        </w:rPr>
        <w:t> </w:t>
      </w:r>
      <w:r>
        <w:rPr>
          <w:color w:val="585966"/>
          <w:sz w:val="19"/>
        </w:rPr>
        <w:t>Governance</w:t>
      </w:r>
      <w:r>
        <w:rPr>
          <w:color w:val="585966"/>
          <w:spacing w:val="1"/>
          <w:sz w:val="19"/>
        </w:rPr>
        <w:t> </w:t>
      </w:r>
      <w:r>
        <w:rPr>
          <w:color w:val="585966"/>
          <w:sz w:val="19"/>
        </w:rPr>
        <w:t>Arrangements</w:t>
      </w:r>
      <w:r>
        <w:rPr>
          <w:color w:val="585966"/>
          <w:spacing w:val="16"/>
          <w:sz w:val="19"/>
        </w:rPr>
        <w:t> </w:t>
      </w:r>
      <w:r>
        <w:rPr>
          <w:color w:val="585966"/>
          <w:sz w:val="19"/>
        </w:rPr>
        <w:t>Final</w:t>
      </w:r>
      <w:r>
        <w:rPr>
          <w:color w:val="585966"/>
          <w:spacing w:val="1"/>
          <w:sz w:val="19"/>
        </w:rPr>
        <w:t> </w:t>
      </w:r>
      <w:r>
        <w:rPr>
          <w:color w:val="585966"/>
          <w:sz w:val="19"/>
        </w:rPr>
        <w:t>Advisory</w:t>
      </w:r>
      <w:r>
        <w:rPr>
          <w:color w:val="585966"/>
          <w:spacing w:val="16"/>
          <w:sz w:val="19"/>
        </w:rPr>
        <w:t> </w:t>
      </w:r>
      <w:r>
        <w:rPr>
          <w:color w:val="585966"/>
          <w:sz w:val="19"/>
        </w:rPr>
        <w:t>Report</w:t>
      </w:r>
      <w:r>
        <w:rPr>
          <w:color w:val="585966"/>
          <w:spacing w:val="15"/>
          <w:sz w:val="19"/>
        </w:rPr>
        <w:t> </w:t>
      </w:r>
      <w:r>
        <w:rPr>
          <w:color w:val="585966"/>
          <w:sz w:val="19"/>
        </w:rPr>
        <w:t>2025-</w:t>
      </w:r>
      <w:r>
        <w:rPr>
          <w:color w:val="585966"/>
          <w:spacing w:val="-5"/>
          <w:sz w:val="19"/>
        </w:rPr>
        <w:t>26</w:t>
      </w:r>
      <w:r>
        <w:rPr>
          <w:rFonts w:ascii="Times New Roman"/>
          <w:color w:val="585966"/>
          <w:sz w:val="19"/>
        </w:rPr>
        <w:tab/>
      </w:r>
      <w:r>
        <w:rPr>
          <w:color w:val="585966"/>
          <w:spacing w:val="-5"/>
          <w:sz w:val="19"/>
        </w:rPr>
        <w:t>174</w:t>
      </w:r>
    </w:p>
    <w:p>
      <w:pPr>
        <w:tabs>
          <w:tab w:pos="9045" w:val="right" w:leader="none"/>
        </w:tabs>
        <w:spacing w:before="322"/>
        <w:ind w:left="630" w:right="0" w:firstLine="0"/>
        <w:jc w:val="left"/>
        <w:rPr>
          <w:sz w:val="19"/>
        </w:rPr>
      </w:pPr>
      <w:r>
        <w:rPr>
          <w:color w:val="585966"/>
          <w:sz w:val="19"/>
        </w:rPr>
        <w:t>RJC</w:t>
      </w:r>
      <w:r>
        <w:rPr>
          <w:color w:val="585966"/>
          <w:spacing w:val="12"/>
          <w:sz w:val="19"/>
        </w:rPr>
        <w:t> </w:t>
      </w:r>
      <w:r>
        <w:rPr>
          <w:color w:val="585966"/>
          <w:sz w:val="19"/>
        </w:rPr>
        <w:t>43c</w:t>
      </w:r>
      <w:r>
        <w:rPr>
          <w:color w:val="585966"/>
          <w:spacing w:val="13"/>
          <w:sz w:val="19"/>
        </w:rPr>
        <w:t> </w:t>
      </w:r>
      <w:r>
        <w:rPr>
          <w:color w:val="585966"/>
          <w:sz w:val="19"/>
        </w:rPr>
        <w:t>IA</w:t>
      </w:r>
      <w:r>
        <w:rPr>
          <w:color w:val="585966"/>
          <w:spacing w:val="-1"/>
          <w:sz w:val="19"/>
        </w:rPr>
        <w:t> </w:t>
      </w:r>
      <w:r>
        <w:rPr>
          <w:color w:val="585966"/>
          <w:sz w:val="19"/>
        </w:rPr>
        <w:t>RJC</w:t>
      </w:r>
      <w:r>
        <w:rPr>
          <w:color w:val="585966"/>
          <w:spacing w:val="13"/>
          <w:sz w:val="19"/>
        </w:rPr>
        <w:t> </w:t>
      </w:r>
      <w:r>
        <w:rPr>
          <w:color w:val="585966"/>
          <w:sz w:val="19"/>
        </w:rPr>
        <w:t>Governance</w:t>
      </w:r>
      <w:r>
        <w:rPr>
          <w:color w:val="585966"/>
          <w:spacing w:val="12"/>
          <w:sz w:val="19"/>
        </w:rPr>
        <w:t> </w:t>
      </w:r>
      <w:r>
        <w:rPr>
          <w:color w:val="585966"/>
          <w:sz w:val="19"/>
        </w:rPr>
        <w:t>Management</w:t>
      </w:r>
      <w:r>
        <w:rPr>
          <w:color w:val="585966"/>
          <w:spacing w:val="13"/>
          <w:sz w:val="19"/>
        </w:rPr>
        <w:t> </w:t>
      </w:r>
      <w:r>
        <w:rPr>
          <w:color w:val="585966"/>
          <w:spacing w:val="-2"/>
          <w:sz w:val="19"/>
        </w:rPr>
        <w:t>Response</w:t>
      </w:r>
      <w:r>
        <w:rPr>
          <w:rFonts w:ascii="Times New Roman"/>
          <w:color w:val="585966"/>
          <w:sz w:val="19"/>
        </w:rPr>
        <w:tab/>
      </w:r>
      <w:r>
        <w:rPr>
          <w:color w:val="585966"/>
          <w:spacing w:val="-5"/>
          <w:sz w:val="19"/>
        </w:rPr>
        <w:t>185</w:t>
      </w:r>
    </w:p>
    <w:p>
      <w:pPr>
        <w:pStyle w:val="ListParagraph"/>
        <w:numPr>
          <w:ilvl w:val="1"/>
          <w:numId w:val="1"/>
        </w:numPr>
        <w:tabs>
          <w:tab w:pos="775" w:val="left" w:leader="none"/>
          <w:tab w:pos="9045" w:val="right" w:leader="none"/>
        </w:tabs>
        <w:spacing w:line="240" w:lineRule="auto" w:before="274" w:after="0"/>
        <w:ind w:left="775" w:right="0" w:hanging="400"/>
        <w:jc w:val="left"/>
        <w:rPr>
          <w:sz w:val="24"/>
        </w:rPr>
      </w:pPr>
      <w:r>
        <w:rPr>
          <w:sz w:val="24"/>
        </w:rPr>
        <mc:AlternateContent>
          <mc:Choice Requires="wps">
            <w:drawing>
              <wp:anchor distT="0" distB="0" distL="0" distR="0" allowOverlap="1" layoutInCell="1" locked="0" behindDoc="0" simplePos="0" relativeHeight="15751168">
                <wp:simplePos x="0" y="0"/>
                <wp:positionH relativeFrom="page">
                  <wp:posOffset>1228724</wp:posOffset>
                </wp:positionH>
                <wp:positionV relativeFrom="paragraph">
                  <wp:posOffset>550718</wp:posOffset>
                </wp:positionV>
                <wp:extent cx="5505450" cy="127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1168" from="96.749992pt,43.363628pt" to="530.249958pt,43.363628pt" stroked="true" strokeweight=".75pt" strokecolor="#aaaaaa">
                <v:stroke dashstyle="shortdot"/>
                <w10:wrap type="none"/>
              </v:line>
            </w:pict>
          </mc:Fallback>
        </mc:AlternateContent>
      </w:r>
      <w:r>
        <w:rPr>
          <w:color w:val="444850"/>
          <w:sz w:val="24"/>
        </w:rPr>
        <w:t>- RJC/44: RJC Strategic Risk </w:t>
      </w:r>
      <w:r>
        <w:rPr>
          <w:color w:val="444850"/>
          <w:spacing w:val="-2"/>
          <w:sz w:val="24"/>
        </w:rPr>
        <w:t>Register</w:t>
      </w:r>
      <w:r>
        <w:rPr>
          <w:rFonts w:ascii="Times New Roman"/>
          <w:color w:val="444850"/>
          <w:sz w:val="24"/>
        </w:rPr>
        <w:tab/>
      </w:r>
      <w:r>
        <w:rPr>
          <w:color w:val="444850"/>
          <w:spacing w:val="-5"/>
          <w:sz w:val="24"/>
        </w:rPr>
        <w:t>191</w:t>
      </w:r>
    </w:p>
    <w:p>
      <w:pPr>
        <w:spacing w:before="626"/>
        <w:ind w:left="630" w:right="0" w:firstLine="0"/>
        <w:jc w:val="left"/>
        <w:rPr>
          <w:b/>
          <w:sz w:val="19"/>
        </w:rPr>
      </w:pPr>
      <w:r>
        <w:rPr>
          <w:b/>
          <w:color w:val="585966"/>
          <w:spacing w:val="-2"/>
          <w:sz w:val="19"/>
        </w:rPr>
        <w:t>Attachments</w:t>
      </w:r>
    </w:p>
    <w:p>
      <w:pPr>
        <w:tabs>
          <w:tab w:pos="9045" w:val="right" w:leader="none"/>
        </w:tabs>
        <w:spacing w:before="307"/>
        <w:ind w:left="630" w:right="0" w:firstLine="0"/>
        <w:jc w:val="left"/>
        <w:rPr>
          <w:sz w:val="19"/>
        </w:rPr>
      </w:pPr>
      <w:r>
        <w:rPr>
          <w:color w:val="585966"/>
          <w:sz w:val="19"/>
        </w:rPr>
        <w:t>RJC</w:t>
      </w:r>
      <w:r>
        <w:rPr>
          <w:color w:val="585966"/>
          <w:spacing w:val="9"/>
          <w:sz w:val="19"/>
        </w:rPr>
        <w:t> </w:t>
      </w:r>
      <w:r>
        <w:rPr>
          <w:color w:val="585966"/>
          <w:sz w:val="19"/>
        </w:rPr>
        <w:t>44</w:t>
      </w:r>
      <w:r>
        <w:rPr>
          <w:color w:val="585966"/>
          <w:spacing w:val="9"/>
          <w:sz w:val="19"/>
        </w:rPr>
        <w:t> </w:t>
      </w:r>
      <w:r>
        <w:rPr>
          <w:color w:val="585966"/>
          <w:sz w:val="19"/>
        </w:rPr>
        <w:t>RJC</w:t>
      </w:r>
      <w:r>
        <w:rPr>
          <w:color w:val="585966"/>
          <w:spacing w:val="9"/>
          <w:sz w:val="19"/>
        </w:rPr>
        <w:t> </w:t>
      </w:r>
      <w:r>
        <w:rPr>
          <w:color w:val="585966"/>
          <w:sz w:val="19"/>
        </w:rPr>
        <w:t>Strategic</w:t>
      </w:r>
      <w:r>
        <w:rPr>
          <w:color w:val="585966"/>
          <w:spacing w:val="10"/>
          <w:sz w:val="19"/>
        </w:rPr>
        <w:t> </w:t>
      </w:r>
      <w:r>
        <w:rPr>
          <w:color w:val="585966"/>
          <w:sz w:val="19"/>
        </w:rPr>
        <w:t>Risk</w:t>
      </w:r>
      <w:r>
        <w:rPr>
          <w:color w:val="585966"/>
          <w:spacing w:val="9"/>
          <w:sz w:val="19"/>
        </w:rPr>
        <w:t> </w:t>
      </w:r>
      <w:r>
        <w:rPr>
          <w:color w:val="585966"/>
          <w:spacing w:val="-2"/>
          <w:sz w:val="19"/>
        </w:rPr>
        <w:t>Register</w:t>
      </w:r>
      <w:r>
        <w:rPr>
          <w:rFonts w:ascii="Times New Roman"/>
          <w:color w:val="585966"/>
          <w:sz w:val="19"/>
        </w:rPr>
        <w:tab/>
      </w:r>
      <w:r>
        <w:rPr>
          <w:color w:val="585966"/>
          <w:spacing w:val="-5"/>
          <w:sz w:val="19"/>
        </w:rPr>
        <w:t>192</w:t>
      </w:r>
    </w:p>
    <w:p>
      <w:pPr>
        <w:pStyle w:val="ListParagraph"/>
        <w:numPr>
          <w:ilvl w:val="1"/>
          <w:numId w:val="1"/>
        </w:numPr>
        <w:tabs>
          <w:tab w:pos="775" w:val="left" w:leader="none"/>
          <w:tab w:pos="9045" w:val="right" w:leader="none"/>
        </w:tabs>
        <w:spacing w:line="240" w:lineRule="auto" w:before="274" w:after="0"/>
        <w:ind w:left="775" w:right="0" w:hanging="400"/>
        <w:jc w:val="left"/>
        <w:rPr>
          <w:sz w:val="24"/>
        </w:rPr>
      </w:pPr>
      <w:r>
        <w:rPr>
          <w:sz w:val="24"/>
        </w:rPr>
        <mc:AlternateContent>
          <mc:Choice Requires="wps">
            <w:drawing>
              <wp:anchor distT="0" distB="0" distL="0" distR="0" allowOverlap="1" layoutInCell="1" locked="0" behindDoc="0" simplePos="0" relativeHeight="15751680">
                <wp:simplePos x="0" y="0"/>
                <wp:positionH relativeFrom="page">
                  <wp:posOffset>1228724</wp:posOffset>
                </wp:positionH>
                <wp:positionV relativeFrom="paragraph">
                  <wp:posOffset>550756</wp:posOffset>
                </wp:positionV>
                <wp:extent cx="5505450" cy="1270"/>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1680" from="96.749992pt,43.366646pt" to="530.249958pt,43.366646pt" stroked="true" strokeweight=".75pt" strokecolor="#aaaaaa">
                <v:stroke dashstyle="shortdot"/>
                <w10:wrap type="none"/>
              </v:line>
            </w:pict>
          </mc:Fallback>
        </mc:AlternateContent>
      </w:r>
      <w:r>
        <w:rPr>
          <w:color w:val="444850"/>
          <w:sz w:val="24"/>
        </w:rPr>
        <w:t>-</w:t>
      </w:r>
      <w:r>
        <w:rPr>
          <w:color w:val="444850"/>
          <w:spacing w:val="-1"/>
          <w:sz w:val="24"/>
        </w:rPr>
        <w:t> </w:t>
      </w:r>
      <w:r>
        <w:rPr>
          <w:color w:val="444850"/>
          <w:sz w:val="24"/>
        </w:rPr>
        <w:t>RJC/45:</w:t>
      </w:r>
      <w:r>
        <w:rPr>
          <w:color w:val="444850"/>
          <w:spacing w:val="-1"/>
          <w:sz w:val="24"/>
        </w:rPr>
        <w:t> </w:t>
      </w:r>
      <w:r>
        <w:rPr>
          <w:color w:val="444850"/>
          <w:sz w:val="24"/>
        </w:rPr>
        <w:t>RJC 2026/2027</w:t>
      </w:r>
      <w:r>
        <w:rPr>
          <w:color w:val="444850"/>
          <w:spacing w:val="-1"/>
          <w:sz w:val="24"/>
        </w:rPr>
        <w:t> </w:t>
      </w:r>
      <w:r>
        <w:rPr>
          <w:color w:val="444850"/>
          <w:sz w:val="24"/>
        </w:rPr>
        <w:t>Work</w:t>
      </w:r>
      <w:r>
        <w:rPr>
          <w:color w:val="444850"/>
          <w:spacing w:val="-1"/>
          <w:sz w:val="24"/>
        </w:rPr>
        <w:t> </w:t>
      </w:r>
      <w:r>
        <w:rPr>
          <w:color w:val="444850"/>
          <w:sz w:val="24"/>
        </w:rPr>
        <w:t>Programme and</w:t>
      </w:r>
      <w:r>
        <w:rPr>
          <w:color w:val="444850"/>
          <w:spacing w:val="-1"/>
          <w:sz w:val="24"/>
        </w:rPr>
        <w:t> </w:t>
      </w:r>
      <w:r>
        <w:rPr>
          <w:color w:val="444850"/>
          <w:sz w:val="24"/>
        </w:rPr>
        <w:t>Maturity </w:t>
      </w:r>
      <w:r>
        <w:rPr>
          <w:color w:val="444850"/>
          <w:spacing w:val="-2"/>
          <w:sz w:val="24"/>
        </w:rPr>
        <w:t>Matrix</w:t>
      </w:r>
      <w:r>
        <w:rPr>
          <w:rFonts w:ascii="Times New Roman"/>
          <w:color w:val="444850"/>
          <w:sz w:val="24"/>
        </w:rPr>
        <w:tab/>
      </w:r>
      <w:r>
        <w:rPr>
          <w:color w:val="444850"/>
          <w:spacing w:val="-5"/>
          <w:sz w:val="24"/>
        </w:rPr>
        <w:t>202</w:t>
      </w:r>
    </w:p>
    <w:p>
      <w:pPr>
        <w:spacing w:before="626"/>
        <w:ind w:left="630" w:right="0" w:firstLine="0"/>
        <w:jc w:val="left"/>
        <w:rPr>
          <w:b/>
          <w:sz w:val="19"/>
        </w:rPr>
      </w:pPr>
      <w:r>
        <w:rPr>
          <w:b/>
          <w:color w:val="585966"/>
          <w:spacing w:val="-2"/>
          <w:sz w:val="19"/>
        </w:rPr>
        <w:t>Attachments</w:t>
      </w:r>
    </w:p>
    <w:p>
      <w:pPr>
        <w:tabs>
          <w:tab w:pos="9045" w:val="right" w:leader="none"/>
        </w:tabs>
        <w:spacing w:before="307"/>
        <w:ind w:left="630" w:right="0" w:firstLine="0"/>
        <w:jc w:val="left"/>
        <w:rPr>
          <w:sz w:val="19"/>
        </w:rPr>
      </w:pPr>
      <w:r>
        <w:rPr>
          <w:color w:val="585966"/>
          <w:sz w:val="19"/>
        </w:rPr>
        <w:t>RJC</w:t>
      </w:r>
      <w:r>
        <w:rPr>
          <w:color w:val="585966"/>
          <w:spacing w:val="12"/>
          <w:sz w:val="19"/>
        </w:rPr>
        <w:t> </w:t>
      </w:r>
      <w:r>
        <w:rPr>
          <w:color w:val="585966"/>
          <w:sz w:val="19"/>
        </w:rPr>
        <w:t>45a</w:t>
      </w:r>
      <w:r>
        <w:rPr>
          <w:color w:val="585966"/>
          <w:spacing w:val="12"/>
          <w:sz w:val="19"/>
        </w:rPr>
        <w:t> </w:t>
      </w:r>
      <w:r>
        <w:rPr>
          <w:color w:val="585966"/>
          <w:sz w:val="19"/>
        </w:rPr>
        <w:t>RJC</w:t>
      </w:r>
      <w:r>
        <w:rPr>
          <w:color w:val="585966"/>
          <w:spacing w:val="12"/>
          <w:sz w:val="19"/>
        </w:rPr>
        <w:t> </w:t>
      </w:r>
      <w:r>
        <w:rPr>
          <w:color w:val="585966"/>
          <w:sz w:val="19"/>
        </w:rPr>
        <w:t>Work</w:t>
      </w:r>
      <w:r>
        <w:rPr>
          <w:color w:val="585966"/>
          <w:spacing w:val="12"/>
          <w:sz w:val="19"/>
        </w:rPr>
        <w:t> </w:t>
      </w:r>
      <w:r>
        <w:rPr>
          <w:color w:val="585966"/>
          <w:sz w:val="19"/>
        </w:rPr>
        <w:t>Programme</w:t>
      </w:r>
      <w:r>
        <w:rPr>
          <w:color w:val="585966"/>
          <w:spacing w:val="12"/>
          <w:sz w:val="19"/>
        </w:rPr>
        <w:t> </w:t>
      </w:r>
      <w:r>
        <w:rPr>
          <w:color w:val="585966"/>
          <w:sz w:val="19"/>
        </w:rPr>
        <w:t>2026-</w:t>
      </w:r>
      <w:r>
        <w:rPr>
          <w:color w:val="585966"/>
          <w:spacing w:val="-4"/>
          <w:sz w:val="19"/>
        </w:rPr>
        <w:t>2027</w:t>
      </w:r>
      <w:r>
        <w:rPr>
          <w:rFonts w:ascii="Times New Roman"/>
          <w:color w:val="585966"/>
          <w:sz w:val="19"/>
        </w:rPr>
        <w:tab/>
      </w:r>
      <w:r>
        <w:rPr>
          <w:color w:val="585966"/>
          <w:spacing w:val="-5"/>
          <w:sz w:val="19"/>
        </w:rPr>
        <w:t>203</w:t>
      </w:r>
    </w:p>
    <w:p>
      <w:pPr>
        <w:tabs>
          <w:tab w:pos="9045" w:val="right" w:leader="none"/>
        </w:tabs>
        <w:spacing w:before="321"/>
        <w:ind w:left="630" w:right="0" w:firstLine="0"/>
        <w:jc w:val="left"/>
        <w:rPr>
          <w:sz w:val="19"/>
        </w:rPr>
      </w:pPr>
      <w:r>
        <w:rPr>
          <w:color w:val="585966"/>
          <w:sz w:val="19"/>
        </w:rPr>
        <w:t>RJC</w:t>
      </w:r>
      <w:r>
        <w:rPr>
          <w:color w:val="585966"/>
          <w:spacing w:val="11"/>
          <w:sz w:val="19"/>
        </w:rPr>
        <w:t> </w:t>
      </w:r>
      <w:r>
        <w:rPr>
          <w:color w:val="585966"/>
          <w:sz w:val="19"/>
        </w:rPr>
        <w:t>45b</w:t>
      </w:r>
      <w:r>
        <w:rPr>
          <w:color w:val="585966"/>
          <w:spacing w:val="11"/>
          <w:sz w:val="19"/>
        </w:rPr>
        <w:t> </w:t>
      </w:r>
      <w:r>
        <w:rPr>
          <w:color w:val="585966"/>
          <w:sz w:val="19"/>
        </w:rPr>
        <w:t>RJC</w:t>
      </w:r>
      <w:r>
        <w:rPr>
          <w:color w:val="585966"/>
          <w:spacing w:val="11"/>
          <w:sz w:val="19"/>
        </w:rPr>
        <w:t> </w:t>
      </w:r>
      <w:r>
        <w:rPr>
          <w:color w:val="585966"/>
          <w:sz w:val="19"/>
        </w:rPr>
        <w:t>Subgroup</w:t>
      </w:r>
      <w:r>
        <w:rPr>
          <w:color w:val="585966"/>
          <w:spacing w:val="11"/>
          <w:sz w:val="19"/>
        </w:rPr>
        <w:t> </w:t>
      </w:r>
      <w:r>
        <w:rPr>
          <w:color w:val="585966"/>
          <w:sz w:val="19"/>
        </w:rPr>
        <w:t>Maturity</w:t>
      </w:r>
      <w:r>
        <w:rPr>
          <w:color w:val="585966"/>
          <w:spacing w:val="12"/>
          <w:sz w:val="19"/>
        </w:rPr>
        <w:t> </w:t>
      </w:r>
      <w:r>
        <w:rPr>
          <w:color w:val="585966"/>
          <w:spacing w:val="-2"/>
          <w:sz w:val="19"/>
        </w:rPr>
        <w:t>Matrix</w:t>
      </w:r>
      <w:r>
        <w:rPr>
          <w:rFonts w:ascii="Times New Roman"/>
          <w:color w:val="585966"/>
          <w:sz w:val="19"/>
        </w:rPr>
        <w:tab/>
      </w:r>
      <w:r>
        <w:rPr>
          <w:color w:val="585966"/>
          <w:spacing w:val="-5"/>
          <w:sz w:val="19"/>
        </w:rPr>
        <w:t>244</w:t>
      </w:r>
    </w:p>
    <w:p>
      <w:pPr>
        <w:pStyle w:val="ListParagraph"/>
        <w:numPr>
          <w:ilvl w:val="0"/>
          <w:numId w:val="1"/>
        </w:numPr>
        <w:tabs>
          <w:tab w:pos="275" w:val="left" w:leader="none"/>
          <w:tab w:pos="9045" w:val="right" w:leader="none"/>
        </w:tabs>
        <w:spacing w:line="240" w:lineRule="auto" w:before="275" w:after="0"/>
        <w:ind w:left="275" w:right="0" w:hanging="200"/>
        <w:jc w:val="left"/>
        <w:rPr>
          <w:sz w:val="24"/>
        </w:rPr>
      </w:pPr>
      <w:r>
        <w:rPr>
          <w:color w:val="444850"/>
          <w:sz w:val="24"/>
        </w:rPr>
        <w:t>- Minutes and</w:t>
      </w:r>
      <w:r>
        <w:rPr>
          <w:color w:val="444850"/>
          <w:spacing w:val="-14"/>
          <w:sz w:val="24"/>
        </w:rPr>
        <w:t> </w:t>
      </w:r>
      <w:r>
        <w:rPr>
          <w:color w:val="444850"/>
          <w:sz w:val="24"/>
        </w:rPr>
        <w:t>Actions, Closing Remarks and Future </w:t>
      </w:r>
      <w:r>
        <w:rPr>
          <w:color w:val="444850"/>
          <w:spacing w:val="-2"/>
          <w:sz w:val="24"/>
        </w:rPr>
        <w:t>Meetings</w:t>
      </w:r>
      <w:r>
        <w:rPr>
          <w:rFonts w:ascii="Times New Roman"/>
          <w:color w:val="444850"/>
          <w:sz w:val="24"/>
        </w:rPr>
        <w:tab/>
      </w:r>
      <w:r>
        <w:rPr>
          <w:color w:val="444850"/>
          <w:spacing w:val="-5"/>
          <w:sz w:val="24"/>
        </w:rPr>
        <w:t>245</w:t>
      </w:r>
    </w:p>
    <w:p>
      <w:pPr>
        <w:pStyle w:val="ListParagraph"/>
        <w:numPr>
          <w:ilvl w:val="1"/>
          <w:numId w:val="1"/>
        </w:numPr>
        <w:tabs>
          <w:tab w:pos="775" w:val="left" w:leader="none"/>
          <w:tab w:pos="9045" w:val="right" w:leader="none"/>
        </w:tabs>
        <w:spacing w:line="240" w:lineRule="auto" w:before="579" w:after="0"/>
        <w:ind w:left="775" w:right="0" w:hanging="400"/>
        <w:jc w:val="left"/>
        <w:rPr>
          <w:sz w:val="24"/>
        </w:rPr>
      </w:pPr>
      <w:r>
        <w:rPr>
          <w:sz w:val="24"/>
        </w:rPr>
        <mc:AlternateContent>
          <mc:Choice Requires="wps">
            <w:drawing>
              <wp:anchor distT="0" distB="0" distL="0" distR="0" allowOverlap="1" layoutInCell="1" locked="0" behindDoc="0" simplePos="0" relativeHeight="15752192">
                <wp:simplePos x="0" y="0"/>
                <wp:positionH relativeFrom="page">
                  <wp:posOffset>1038224</wp:posOffset>
                </wp:positionH>
                <wp:positionV relativeFrom="paragraph">
                  <wp:posOffset>201253</wp:posOffset>
                </wp:positionV>
                <wp:extent cx="5695950" cy="127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5695950" cy="1270"/>
                        </a:xfrm>
                        <a:custGeom>
                          <a:avLst/>
                          <a:gdLst/>
                          <a:ahLst/>
                          <a:cxnLst/>
                          <a:rect l="l" t="t" r="r" b="b"/>
                          <a:pathLst>
                            <a:path w="5695950" h="0">
                              <a:moveTo>
                                <a:pt x="0" y="0"/>
                              </a:moveTo>
                              <a:lnTo>
                                <a:pt x="56959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2192" from="81.749992pt,15.846765pt" to="530.249957pt,15.846765pt" stroked="true" strokeweight=".75pt" strokecolor="#aaaaaa">
                <v:stroke dashstyle="shortdot"/>
                <w10:wrap type="none"/>
              </v:line>
            </w:pict>
          </mc:Fallback>
        </mc:AlternateContent>
      </w:r>
      <w:r>
        <w:rPr>
          <w:color w:val="444850"/>
          <w:sz w:val="24"/>
        </w:rPr>
        <w:t>- RJC/46: Minutes of Previous Meeting held on 16th</w:t>
      </w:r>
      <w:r>
        <w:rPr>
          <w:color w:val="444850"/>
          <w:spacing w:val="-14"/>
          <w:sz w:val="24"/>
        </w:rPr>
        <w:t> </w:t>
      </w:r>
      <w:r>
        <w:rPr>
          <w:color w:val="444850"/>
          <w:sz w:val="24"/>
        </w:rPr>
        <w:t>April </w:t>
      </w:r>
      <w:r>
        <w:rPr>
          <w:color w:val="444850"/>
          <w:spacing w:val="-4"/>
          <w:sz w:val="24"/>
        </w:rPr>
        <w:t>2026</w:t>
      </w:r>
      <w:r>
        <w:rPr>
          <w:rFonts w:ascii="Times New Roman"/>
          <w:color w:val="444850"/>
          <w:sz w:val="24"/>
        </w:rPr>
        <w:tab/>
      </w:r>
      <w:r>
        <w:rPr>
          <w:color w:val="444850"/>
          <w:spacing w:val="-5"/>
          <w:sz w:val="24"/>
        </w:rPr>
        <w:t>246</w:t>
      </w:r>
    </w:p>
    <w:p>
      <w:pPr>
        <w:pStyle w:val="BodyText"/>
        <w:spacing w:before="62"/>
        <w:rPr>
          <w:sz w:val="20"/>
        </w:rPr>
      </w:pPr>
      <w:r>
        <w:rPr>
          <w:sz w:val="20"/>
        </w:rPr>
        <mc:AlternateContent>
          <mc:Choice Requires="wps">
            <w:drawing>
              <wp:anchor distT="0" distB="0" distL="0" distR="0" allowOverlap="1" layoutInCell="1" locked="0" behindDoc="1" simplePos="0" relativeHeight="487608320">
                <wp:simplePos x="0" y="0"/>
                <wp:positionH relativeFrom="page">
                  <wp:posOffset>1228724</wp:posOffset>
                </wp:positionH>
                <wp:positionV relativeFrom="paragraph">
                  <wp:posOffset>200647</wp:posOffset>
                </wp:positionV>
                <wp:extent cx="550545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shape style="position:absolute;margin-left:96.749992pt;margin-top:15.799024pt;width:433.5pt;height:.1pt;mso-position-horizontal-relative:page;mso-position-vertical-relative:paragraph;z-index:-15708160;mso-wrap-distance-left:0;mso-wrap-distance-right:0" id="docshape29" coordorigin="1935,316" coordsize="8670,0" path="m1935,316l10605,316e" filled="false" stroked="true" strokeweight=".75pt" strokecolor="#aaaaaa">
                <v:path arrowok="t"/>
                <v:stroke dashstyle="shortdot"/>
                <w10:wrap type="topAndBottom"/>
              </v:shape>
            </w:pict>
          </mc:Fallback>
        </mc:AlternateContent>
      </w:r>
    </w:p>
    <w:p>
      <w:pPr>
        <w:pStyle w:val="BodyText"/>
        <w:spacing w:after="0"/>
        <w:rPr>
          <w:sz w:val="20"/>
        </w:rPr>
        <w:sectPr>
          <w:pgSz w:w="12240" w:h="15840"/>
          <w:pgMar w:top="460" w:bottom="280" w:left="1559" w:right="1559"/>
        </w:sectPr>
      </w:pPr>
    </w:p>
    <w:p>
      <w:pPr>
        <w:spacing w:before="86"/>
        <w:ind w:left="630" w:right="0" w:firstLine="0"/>
        <w:jc w:val="left"/>
        <w:rPr>
          <w:b/>
          <w:sz w:val="19"/>
        </w:rPr>
      </w:pPr>
      <w:r>
        <w:rPr>
          <w:b/>
          <w:color w:val="585966"/>
          <w:spacing w:val="-2"/>
          <w:sz w:val="19"/>
        </w:rPr>
        <w:t>Attachments</w:t>
      </w:r>
    </w:p>
    <w:p>
      <w:pPr>
        <w:tabs>
          <w:tab w:pos="9045" w:val="right" w:leader="none"/>
        </w:tabs>
        <w:spacing w:before="307"/>
        <w:ind w:left="630" w:right="0" w:firstLine="0"/>
        <w:jc w:val="left"/>
        <w:rPr>
          <w:sz w:val="19"/>
        </w:rPr>
      </w:pPr>
      <w:r>
        <w:rPr>
          <w:color w:val="585966"/>
          <w:sz w:val="19"/>
        </w:rPr>
        <w:t>RJC</w:t>
      </w:r>
      <w:r>
        <w:rPr>
          <w:color w:val="585966"/>
          <w:spacing w:val="11"/>
          <w:sz w:val="19"/>
        </w:rPr>
        <w:t> </w:t>
      </w:r>
      <w:r>
        <w:rPr>
          <w:color w:val="585966"/>
          <w:sz w:val="19"/>
        </w:rPr>
        <w:t>46</w:t>
      </w:r>
      <w:r>
        <w:rPr>
          <w:color w:val="585966"/>
          <w:spacing w:val="11"/>
          <w:sz w:val="19"/>
        </w:rPr>
        <w:t> </w:t>
      </w:r>
      <w:r>
        <w:rPr>
          <w:color w:val="585966"/>
          <w:sz w:val="19"/>
        </w:rPr>
        <w:t>DRAFT</w:t>
      </w:r>
      <w:r>
        <w:rPr>
          <w:color w:val="585966"/>
          <w:spacing w:val="7"/>
          <w:sz w:val="19"/>
        </w:rPr>
        <w:t> </w:t>
      </w:r>
      <w:r>
        <w:rPr>
          <w:color w:val="585966"/>
          <w:sz w:val="19"/>
        </w:rPr>
        <w:t>Minutes</w:t>
      </w:r>
      <w:r>
        <w:rPr>
          <w:color w:val="585966"/>
          <w:spacing w:val="11"/>
          <w:sz w:val="19"/>
        </w:rPr>
        <w:t> </w:t>
      </w:r>
      <w:r>
        <w:rPr>
          <w:color w:val="585966"/>
          <w:sz w:val="19"/>
        </w:rPr>
        <w:t>Swansea</w:t>
      </w:r>
      <w:r>
        <w:rPr>
          <w:color w:val="585966"/>
          <w:spacing w:val="11"/>
          <w:sz w:val="19"/>
        </w:rPr>
        <w:t> </w:t>
      </w:r>
      <w:r>
        <w:rPr>
          <w:color w:val="585966"/>
          <w:sz w:val="19"/>
        </w:rPr>
        <w:t>Bay</w:t>
      </w:r>
      <w:r>
        <w:rPr>
          <w:color w:val="585966"/>
          <w:spacing w:val="12"/>
          <w:sz w:val="19"/>
        </w:rPr>
        <w:t> </w:t>
      </w:r>
      <w:r>
        <w:rPr>
          <w:color w:val="585966"/>
          <w:sz w:val="19"/>
        </w:rPr>
        <w:t>and</w:t>
      </w:r>
      <w:r>
        <w:rPr>
          <w:color w:val="585966"/>
          <w:spacing w:val="11"/>
          <w:sz w:val="19"/>
        </w:rPr>
        <w:t> </w:t>
      </w:r>
      <w:r>
        <w:rPr>
          <w:color w:val="585966"/>
          <w:sz w:val="19"/>
        </w:rPr>
        <w:t>Hywel</w:t>
      </w:r>
      <w:r>
        <w:rPr>
          <w:color w:val="585966"/>
          <w:spacing w:val="11"/>
          <w:sz w:val="19"/>
        </w:rPr>
        <w:t> </w:t>
      </w:r>
      <w:r>
        <w:rPr>
          <w:color w:val="585966"/>
          <w:sz w:val="19"/>
        </w:rPr>
        <w:t>Dda</w:t>
      </w:r>
      <w:r>
        <w:rPr>
          <w:color w:val="585966"/>
          <w:spacing w:val="12"/>
          <w:sz w:val="19"/>
        </w:rPr>
        <w:t> </w:t>
      </w:r>
      <w:r>
        <w:rPr>
          <w:color w:val="585966"/>
          <w:sz w:val="19"/>
        </w:rPr>
        <w:t>University</w:t>
      </w:r>
      <w:r>
        <w:rPr>
          <w:color w:val="585966"/>
          <w:spacing w:val="11"/>
          <w:sz w:val="19"/>
        </w:rPr>
        <w:t> </w:t>
      </w:r>
      <w:r>
        <w:rPr>
          <w:color w:val="585966"/>
          <w:sz w:val="19"/>
        </w:rPr>
        <w:t>Health</w:t>
      </w:r>
      <w:r>
        <w:rPr>
          <w:color w:val="585966"/>
          <w:spacing w:val="11"/>
          <w:sz w:val="19"/>
        </w:rPr>
        <w:t> </w:t>
      </w:r>
      <w:r>
        <w:rPr>
          <w:color w:val="585966"/>
          <w:sz w:val="19"/>
        </w:rPr>
        <w:t>Boards</w:t>
      </w:r>
      <w:r>
        <w:rPr>
          <w:color w:val="585966"/>
          <w:spacing w:val="12"/>
          <w:sz w:val="19"/>
        </w:rPr>
        <w:t> </w:t>
      </w:r>
      <w:r>
        <w:rPr>
          <w:color w:val="585966"/>
          <w:spacing w:val="-5"/>
          <w:sz w:val="19"/>
        </w:rPr>
        <w:t>Re~</w:t>
      </w:r>
      <w:r>
        <w:rPr>
          <w:rFonts w:ascii="Times New Roman"/>
          <w:color w:val="585966"/>
          <w:sz w:val="19"/>
        </w:rPr>
        <w:tab/>
      </w:r>
      <w:r>
        <w:rPr>
          <w:color w:val="585966"/>
          <w:spacing w:val="-5"/>
          <w:sz w:val="19"/>
        </w:rPr>
        <w:t>247</w:t>
      </w:r>
    </w:p>
    <w:p>
      <w:pPr>
        <w:pStyle w:val="ListParagraph"/>
        <w:numPr>
          <w:ilvl w:val="1"/>
          <w:numId w:val="1"/>
        </w:numPr>
        <w:tabs>
          <w:tab w:pos="775" w:val="left" w:leader="none"/>
          <w:tab w:pos="9045" w:val="right" w:leader="none"/>
        </w:tabs>
        <w:spacing w:line="240" w:lineRule="auto" w:before="275" w:after="0"/>
        <w:ind w:left="775" w:right="0" w:hanging="400"/>
        <w:jc w:val="left"/>
        <w:rPr>
          <w:sz w:val="24"/>
        </w:rPr>
      </w:pPr>
      <w:r>
        <w:rPr>
          <w:sz w:val="24"/>
        </w:rPr>
        <mc:AlternateContent>
          <mc:Choice Requires="wps">
            <w:drawing>
              <wp:anchor distT="0" distB="0" distL="0" distR="0" allowOverlap="1" layoutInCell="1" locked="0" behindDoc="0" simplePos="0" relativeHeight="15753216">
                <wp:simplePos x="0" y="0"/>
                <wp:positionH relativeFrom="page">
                  <wp:posOffset>1228724</wp:posOffset>
                </wp:positionH>
                <wp:positionV relativeFrom="paragraph">
                  <wp:posOffset>550884</wp:posOffset>
                </wp:positionV>
                <wp:extent cx="5505450" cy="1270"/>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3216" from="96.749992pt,43.376762pt" to="530.249958pt,43.376762pt" stroked="true" strokeweight=".75pt" strokecolor="#aaaaaa">
                <v:stroke dashstyle="shortdot"/>
                <w10:wrap type="none"/>
              </v:line>
            </w:pict>
          </mc:Fallback>
        </mc:AlternateContent>
      </w:r>
      <w:r>
        <w:rPr>
          <w:color w:val="444850"/>
          <w:sz w:val="24"/>
        </w:rPr>
        <w:t>-</w:t>
      </w:r>
      <w:r>
        <w:rPr>
          <w:color w:val="444850"/>
          <w:spacing w:val="-11"/>
          <w:sz w:val="24"/>
        </w:rPr>
        <w:t> </w:t>
      </w:r>
      <w:r>
        <w:rPr>
          <w:color w:val="444850"/>
          <w:sz w:val="24"/>
        </w:rPr>
        <w:t>RJC/47:</w:t>
      </w:r>
      <w:r>
        <w:rPr>
          <w:color w:val="444850"/>
          <w:spacing w:val="-12"/>
          <w:sz w:val="24"/>
        </w:rPr>
        <w:t> </w:t>
      </w:r>
      <w:r>
        <w:rPr>
          <w:color w:val="444850"/>
          <w:sz w:val="24"/>
        </w:rPr>
        <w:t>Table</w:t>
      </w:r>
      <w:r>
        <w:rPr>
          <w:color w:val="444850"/>
          <w:spacing w:val="-7"/>
          <w:sz w:val="24"/>
        </w:rPr>
        <w:t> </w:t>
      </w:r>
      <w:r>
        <w:rPr>
          <w:color w:val="444850"/>
          <w:sz w:val="24"/>
        </w:rPr>
        <w:t>of</w:t>
      </w:r>
      <w:r>
        <w:rPr>
          <w:color w:val="444850"/>
          <w:spacing w:val="-16"/>
          <w:sz w:val="24"/>
        </w:rPr>
        <w:t> </w:t>
      </w:r>
      <w:r>
        <w:rPr>
          <w:color w:val="444850"/>
          <w:spacing w:val="-2"/>
          <w:sz w:val="24"/>
        </w:rPr>
        <w:t>Actions</w:t>
      </w:r>
      <w:r>
        <w:rPr>
          <w:rFonts w:ascii="Times New Roman"/>
          <w:color w:val="444850"/>
          <w:sz w:val="24"/>
        </w:rPr>
        <w:tab/>
      </w:r>
      <w:r>
        <w:rPr>
          <w:color w:val="444850"/>
          <w:spacing w:val="-5"/>
          <w:sz w:val="24"/>
        </w:rPr>
        <w:t>258</w:t>
      </w:r>
    </w:p>
    <w:p>
      <w:pPr>
        <w:spacing w:before="626"/>
        <w:ind w:left="630" w:right="0" w:firstLine="0"/>
        <w:jc w:val="left"/>
        <w:rPr>
          <w:b/>
          <w:sz w:val="19"/>
        </w:rPr>
      </w:pPr>
      <w:r>
        <w:rPr>
          <w:b/>
          <w:color w:val="585966"/>
          <w:spacing w:val="-2"/>
          <w:sz w:val="19"/>
        </w:rPr>
        <w:t>Attachments</w:t>
      </w:r>
    </w:p>
    <w:p>
      <w:pPr>
        <w:tabs>
          <w:tab w:pos="9045" w:val="right" w:leader="none"/>
        </w:tabs>
        <w:spacing w:before="306"/>
        <w:ind w:left="630" w:right="0" w:firstLine="0"/>
        <w:jc w:val="left"/>
        <w:rPr>
          <w:sz w:val="19"/>
        </w:rPr>
      </w:pPr>
      <w:r>
        <w:rPr>
          <w:color w:val="585966"/>
          <w:sz w:val="19"/>
        </w:rPr>
        <w:t>RJC</w:t>
      </w:r>
      <w:r>
        <w:rPr>
          <w:color w:val="585966"/>
          <w:spacing w:val="8"/>
          <w:sz w:val="19"/>
        </w:rPr>
        <w:t> </w:t>
      </w:r>
      <w:r>
        <w:rPr>
          <w:color w:val="585966"/>
          <w:sz w:val="19"/>
        </w:rPr>
        <w:t>47</w:t>
      </w:r>
      <w:r>
        <w:rPr>
          <w:color w:val="585966"/>
          <w:spacing w:val="8"/>
          <w:sz w:val="19"/>
        </w:rPr>
        <w:t> </w:t>
      </w:r>
      <w:r>
        <w:rPr>
          <w:color w:val="585966"/>
          <w:sz w:val="19"/>
        </w:rPr>
        <w:t>Regional</w:t>
      </w:r>
      <w:r>
        <w:rPr>
          <w:color w:val="585966"/>
          <w:spacing w:val="8"/>
          <w:sz w:val="19"/>
        </w:rPr>
        <w:t> </w:t>
      </w:r>
      <w:r>
        <w:rPr>
          <w:color w:val="585966"/>
          <w:sz w:val="19"/>
        </w:rPr>
        <w:t>Joint</w:t>
      </w:r>
      <w:r>
        <w:rPr>
          <w:color w:val="585966"/>
          <w:spacing w:val="9"/>
          <w:sz w:val="19"/>
        </w:rPr>
        <w:t> </w:t>
      </w:r>
      <w:r>
        <w:rPr>
          <w:color w:val="585966"/>
          <w:sz w:val="19"/>
        </w:rPr>
        <w:t>Committee</w:t>
      </w:r>
      <w:r>
        <w:rPr>
          <w:color w:val="585966"/>
          <w:spacing w:val="3"/>
          <w:sz w:val="19"/>
        </w:rPr>
        <w:t> </w:t>
      </w:r>
      <w:r>
        <w:rPr>
          <w:color w:val="585966"/>
          <w:sz w:val="19"/>
        </w:rPr>
        <w:t>Table</w:t>
      </w:r>
      <w:r>
        <w:rPr>
          <w:color w:val="585966"/>
          <w:spacing w:val="9"/>
          <w:sz w:val="19"/>
        </w:rPr>
        <w:t> </w:t>
      </w:r>
      <w:r>
        <w:rPr>
          <w:color w:val="585966"/>
          <w:sz w:val="19"/>
        </w:rPr>
        <w:t>of</w:t>
      </w:r>
      <w:r>
        <w:rPr>
          <w:color w:val="585966"/>
          <w:spacing w:val="-5"/>
          <w:sz w:val="19"/>
        </w:rPr>
        <w:t> </w:t>
      </w:r>
      <w:r>
        <w:rPr>
          <w:color w:val="585966"/>
          <w:sz w:val="19"/>
        </w:rPr>
        <w:t>Actions</w:t>
      </w:r>
      <w:r>
        <w:rPr>
          <w:color w:val="585966"/>
          <w:spacing w:val="9"/>
          <w:sz w:val="19"/>
        </w:rPr>
        <w:t> </w:t>
      </w:r>
      <w:r>
        <w:rPr>
          <w:color w:val="585966"/>
          <w:spacing w:val="-2"/>
          <w:sz w:val="19"/>
        </w:rPr>
        <w:t>13102026</w:t>
      </w:r>
      <w:r>
        <w:rPr>
          <w:rFonts w:ascii="Times New Roman"/>
          <w:color w:val="585966"/>
          <w:sz w:val="19"/>
        </w:rPr>
        <w:tab/>
      </w:r>
      <w:r>
        <w:rPr>
          <w:color w:val="585966"/>
          <w:spacing w:val="-5"/>
          <w:sz w:val="19"/>
        </w:rPr>
        <w:t>259</w:t>
      </w:r>
    </w:p>
    <w:p>
      <w:pPr>
        <w:pStyle w:val="ListParagraph"/>
        <w:numPr>
          <w:ilvl w:val="1"/>
          <w:numId w:val="1"/>
        </w:numPr>
        <w:tabs>
          <w:tab w:pos="775" w:val="left" w:leader="none"/>
          <w:tab w:pos="9045" w:val="right" w:leader="none"/>
        </w:tabs>
        <w:spacing w:line="240" w:lineRule="auto" w:before="275" w:after="0"/>
        <w:ind w:left="775" w:right="0" w:hanging="400"/>
        <w:jc w:val="left"/>
        <w:rPr>
          <w:sz w:val="24"/>
        </w:rPr>
      </w:pPr>
      <w:r>
        <w:rPr>
          <w:color w:val="444850"/>
          <w:sz w:val="24"/>
        </w:rPr>
        <w:t>- RJC/48: Closing </w:t>
      </w:r>
      <w:r>
        <w:rPr>
          <w:color w:val="444850"/>
          <w:spacing w:val="-2"/>
          <w:sz w:val="24"/>
        </w:rPr>
        <w:t>Remarks</w:t>
      </w:r>
      <w:r>
        <w:rPr>
          <w:rFonts w:ascii="Times New Roman"/>
          <w:color w:val="444850"/>
          <w:sz w:val="24"/>
        </w:rPr>
        <w:tab/>
      </w:r>
      <w:r>
        <w:rPr>
          <w:color w:val="444850"/>
          <w:spacing w:val="-5"/>
          <w:sz w:val="24"/>
        </w:rPr>
        <w:t>263</w:t>
      </w:r>
    </w:p>
    <w:p>
      <w:pPr>
        <w:pStyle w:val="ListParagraph"/>
        <w:numPr>
          <w:ilvl w:val="1"/>
          <w:numId w:val="1"/>
        </w:numPr>
        <w:tabs>
          <w:tab w:pos="775" w:val="left" w:leader="none"/>
          <w:tab w:pos="9045" w:val="right" w:leader="none"/>
        </w:tabs>
        <w:spacing w:line="240" w:lineRule="auto" w:before="579" w:after="0"/>
        <w:ind w:left="775" w:right="0" w:hanging="400"/>
        <w:jc w:val="left"/>
        <w:rPr>
          <w:sz w:val="24"/>
        </w:rPr>
      </w:pPr>
      <w:r>
        <w:rPr>
          <w:sz w:val="24"/>
        </w:rPr>
        <mc:AlternateContent>
          <mc:Choice Requires="wps">
            <w:drawing>
              <wp:anchor distT="0" distB="0" distL="0" distR="0" allowOverlap="1" layoutInCell="1" locked="0" behindDoc="0" simplePos="0" relativeHeight="15753728">
                <wp:simplePos x="0" y="0"/>
                <wp:positionH relativeFrom="page">
                  <wp:posOffset>1228724</wp:posOffset>
                </wp:positionH>
                <wp:positionV relativeFrom="paragraph">
                  <wp:posOffset>201053</wp:posOffset>
                </wp:positionV>
                <wp:extent cx="5505450" cy="1270"/>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3728" from="96.749992pt,15.830956pt" to="530.249958pt,15.830956pt" stroked="true" strokeweight=".75pt" strokecolor="#aaaaaa">
                <v:stroke dashstyle="shortdot"/>
                <w10:wrap type="none"/>
              </v:line>
            </w:pict>
          </mc:Fallback>
        </mc:AlternateContent>
      </w:r>
      <w:r>
        <w:rPr>
          <w:color w:val="444850"/>
          <w:sz w:val="24"/>
        </w:rPr>
        <w:t>- RJC/49: Date of Next RJC </w:t>
      </w:r>
      <w:r>
        <w:rPr>
          <w:color w:val="444850"/>
          <w:spacing w:val="-2"/>
          <w:sz w:val="24"/>
        </w:rPr>
        <w:t>Meetings:</w:t>
      </w:r>
      <w:r>
        <w:rPr>
          <w:rFonts w:ascii="Times New Roman"/>
          <w:color w:val="444850"/>
          <w:sz w:val="24"/>
        </w:rPr>
        <w:tab/>
      </w:r>
      <w:r>
        <w:rPr>
          <w:color w:val="444850"/>
          <w:spacing w:val="-5"/>
          <w:sz w:val="24"/>
        </w:rPr>
        <w:t>264</w:t>
      </w:r>
    </w:p>
    <w:p>
      <w:pPr>
        <w:pStyle w:val="BodyText"/>
        <w:spacing w:before="62"/>
        <w:rPr>
          <w:sz w:val="20"/>
        </w:rPr>
      </w:pPr>
      <w:r>
        <w:rPr>
          <w:sz w:val="20"/>
        </w:rPr>
        <mc:AlternateContent>
          <mc:Choice Requires="wps">
            <w:drawing>
              <wp:anchor distT="0" distB="0" distL="0" distR="0" allowOverlap="1" layoutInCell="1" locked="0" behindDoc="1" simplePos="0" relativeHeight="487611904">
                <wp:simplePos x="0" y="0"/>
                <wp:positionH relativeFrom="page">
                  <wp:posOffset>1228724</wp:posOffset>
                </wp:positionH>
                <wp:positionV relativeFrom="paragraph">
                  <wp:posOffset>200647</wp:posOffset>
                </wp:positionV>
                <wp:extent cx="5505450" cy="127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5505450" cy="1270"/>
                        </a:xfrm>
                        <a:custGeom>
                          <a:avLst/>
                          <a:gdLst/>
                          <a:ahLst/>
                          <a:cxnLst/>
                          <a:rect l="l" t="t" r="r" b="b"/>
                          <a:pathLst>
                            <a:path w="5505450" h="0">
                              <a:moveTo>
                                <a:pt x="0" y="0"/>
                              </a:moveTo>
                              <a:lnTo>
                                <a:pt x="5505449" y="0"/>
                              </a:lnTo>
                            </a:path>
                          </a:pathLst>
                        </a:custGeom>
                        <a:ln w="9524">
                          <a:solidFill>
                            <a:srgbClr val="AAAAAA"/>
                          </a:solidFill>
                          <a:prstDash val="sysDot"/>
                        </a:ln>
                      </wps:spPr>
                      <wps:bodyPr wrap="square" lIns="0" tIns="0" rIns="0" bIns="0" rtlCol="0">
                        <a:prstTxWarp prst="textNoShape">
                          <a:avLst/>
                        </a:prstTxWarp>
                        <a:noAutofit/>
                      </wps:bodyPr>
                    </wps:wsp>
                  </a:graphicData>
                </a:graphic>
              </wp:anchor>
            </w:drawing>
          </mc:Choice>
          <mc:Fallback>
            <w:pict>
              <v:shape style="position:absolute;margin-left:96.749992pt;margin-top:15.799024pt;width:433.5pt;height:.1pt;mso-position-horizontal-relative:page;mso-position-vertical-relative:paragraph;z-index:-15704576;mso-wrap-distance-left:0;mso-wrap-distance-right:0" id="docshape30" coordorigin="1935,316" coordsize="8670,0" path="m1935,316l10605,316e" filled="false" stroked="true" strokeweight=".75pt" strokecolor="#aaaaaa">
                <v:path arrowok="t"/>
                <v:stroke dashstyle="shortdot"/>
                <w10:wrap type="topAndBottom"/>
              </v:shape>
            </w:pict>
          </mc:Fallback>
        </mc:AlternateContent>
      </w:r>
    </w:p>
    <w:p>
      <w:pPr>
        <w:pStyle w:val="BodyText"/>
        <w:spacing w:after="0"/>
        <w:rPr>
          <w:sz w:val="20"/>
        </w:rPr>
        <w:sectPr>
          <w:pgSz w:w="12240" w:h="15840"/>
          <w:pgMar w:top="500" w:bottom="280" w:left="1559" w:right="1559"/>
        </w:sectPr>
      </w:pPr>
    </w:p>
    <w:p>
      <w:pPr>
        <w:pStyle w:val="Heading4"/>
        <w:spacing w:before="118"/>
        <w:ind w:right="580"/>
        <w:jc w:val="right"/>
      </w:pPr>
      <w:r>
        <w:rPr/>
        <mc:AlternateContent>
          <mc:Choice Requires="wps">
            <w:drawing>
              <wp:anchor distT="0" distB="0" distL="0" distR="0" allowOverlap="1" layoutInCell="1" locked="0" behindDoc="0" simplePos="0" relativeHeight="15754752">
                <wp:simplePos x="0" y="0"/>
                <wp:positionH relativeFrom="page">
                  <wp:posOffset>933767</wp:posOffset>
                </wp:positionH>
                <wp:positionV relativeFrom="paragraph">
                  <wp:posOffset>3492</wp:posOffset>
                </wp:positionV>
                <wp:extent cx="457834" cy="461009"/>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457834" cy="461009"/>
                          <a:chExt cx="457834" cy="461009"/>
                        </a:xfrm>
                      </wpg:grpSpPr>
                      <wps:wsp>
                        <wps:cNvPr id="56" name="Graphic 56"/>
                        <wps:cNvSpPr/>
                        <wps:spPr>
                          <a:xfrm>
                            <a:off x="0" y="0"/>
                            <a:ext cx="457834" cy="461009"/>
                          </a:xfrm>
                          <a:custGeom>
                            <a:avLst/>
                            <a:gdLst/>
                            <a:ahLst/>
                            <a:cxnLst/>
                            <a:rect l="l" t="t" r="r" b="b"/>
                            <a:pathLst>
                              <a:path w="457834" h="461009">
                                <a:moveTo>
                                  <a:pt x="457517" y="0"/>
                                </a:moveTo>
                                <a:lnTo>
                                  <a:pt x="0" y="0"/>
                                </a:lnTo>
                                <a:lnTo>
                                  <a:pt x="0" y="460692"/>
                                </a:lnTo>
                                <a:lnTo>
                                  <a:pt x="457517" y="460692"/>
                                </a:lnTo>
                                <a:lnTo>
                                  <a:pt x="457517" y="0"/>
                                </a:lnTo>
                                <a:close/>
                              </a:path>
                            </a:pathLst>
                          </a:custGeom>
                          <a:solidFill>
                            <a:srgbClr val="000000"/>
                          </a:solidFill>
                        </wps:spPr>
                        <wps:bodyPr wrap="square" lIns="0" tIns="0" rIns="0" bIns="0" rtlCol="0">
                          <a:prstTxWarp prst="textNoShape">
                            <a:avLst/>
                          </a:prstTxWarp>
                          <a:noAutofit/>
                        </wps:bodyPr>
                      </wps:wsp>
                      <wps:wsp>
                        <wps:cNvPr id="57" name="Textbox 57"/>
                        <wps:cNvSpPr txBox="1"/>
                        <wps:spPr>
                          <a:xfrm>
                            <a:off x="0" y="0"/>
                            <a:ext cx="457834" cy="461009"/>
                          </a:xfrm>
                          <a:prstGeom prst="rect">
                            <a:avLst/>
                          </a:prstGeom>
                        </wps:spPr>
                        <wps:txbx>
                          <w:txbxContent>
                            <w:p>
                              <w:pPr>
                                <w:spacing w:before="122"/>
                                <w:ind w:left="0" w:right="0" w:firstLine="0"/>
                                <w:jc w:val="center"/>
                                <w:rPr>
                                  <w:sz w:val="36"/>
                                </w:rPr>
                              </w:pPr>
                              <w:r>
                                <w:rPr>
                                  <w:color w:val="FFFFFF"/>
                                  <w:spacing w:val="-10"/>
                                  <w:sz w:val="36"/>
                                </w:rPr>
                                <w:t>1</w:t>
                              </w:r>
                            </w:p>
                          </w:txbxContent>
                        </wps:txbx>
                        <wps:bodyPr wrap="square" lIns="0" tIns="0" rIns="0" bIns="0" rtlCol="0">
                          <a:noAutofit/>
                        </wps:bodyPr>
                      </wps:wsp>
                    </wpg:wgp>
                  </a:graphicData>
                </a:graphic>
              </wp:anchor>
            </w:drawing>
          </mc:Choice>
          <mc:Fallback>
            <w:pict>
              <v:group style="position:absolute;margin-left:73.525002pt;margin-top:.275pt;width:36.050pt;height:36.3pt;mso-position-horizontal-relative:page;mso-position-vertical-relative:paragraph;z-index:15754752" id="docshapegroup32" coordorigin="1471,6" coordsize="721,726">
                <v:rect style="position:absolute;left:1470;top:5;width:721;height:726" id="docshape33" filled="true" fillcolor="#000000" stroked="false">
                  <v:fill type="solid"/>
                </v:rect>
                <v:shape style="position:absolute;left:1470;top:5;width:721;height:726" type="#_x0000_t202" id="docshape34" filled="false" stroked="false">
                  <v:textbox inset="0,0,0,0">
                    <w:txbxContent>
                      <w:p>
                        <w:pPr>
                          <w:spacing w:before="122"/>
                          <w:ind w:left="0" w:right="0" w:firstLine="0"/>
                          <w:jc w:val="center"/>
                          <w:rPr>
                            <w:sz w:val="36"/>
                          </w:rPr>
                        </w:pPr>
                        <w:r>
                          <w:rPr>
                            <w:color w:val="FFFFFF"/>
                            <w:spacing w:val="-10"/>
                            <w:sz w:val="36"/>
                          </w:rPr>
                          <w:t>1</w:t>
                        </w:r>
                      </w:p>
                    </w:txbxContent>
                  </v:textbox>
                  <w10:wrap type="none"/>
                </v:shape>
                <w10:wrap type="none"/>
              </v:group>
            </w:pict>
          </mc:Fallback>
        </mc:AlternateContent>
      </w:r>
      <w:r>
        <w:rPr/>
        <w:t>9:30</w:t>
      </w:r>
      <w:r>
        <w:rPr>
          <w:spacing w:val="-3"/>
        </w:rPr>
        <w:t> </w:t>
      </w:r>
      <w:r>
        <w:rPr/>
        <w:t>AM,</w:t>
      </w:r>
      <w:r>
        <w:rPr>
          <w:spacing w:val="2"/>
        </w:rPr>
        <w:t> </w:t>
      </w:r>
      <w:r>
        <w:rPr/>
        <w:t>0</w:t>
      </w:r>
      <w:r>
        <w:rPr>
          <w:spacing w:val="-4"/>
        </w:rPr>
        <w:t> Mins</w:t>
      </w:r>
    </w:p>
    <w:p>
      <w:pPr>
        <w:pStyle w:val="BodyText"/>
        <w:rPr>
          <w:b/>
          <w:sz w:val="20"/>
        </w:rPr>
      </w:pPr>
    </w:p>
    <w:p>
      <w:pPr>
        <w:pStyle w:val="BodyText"/>
        <w:spacing w:before="31"/>
        <w:rPr>
          <w:b/>
          <w:sz w:val="20"/>
        </w:rPr>
      </w:pPr>
      <w:r>
        <w:rPr>
          <w:b/>
          <w:sz w:val="20"/>
        </w:rPr>
        <mc:AlternateContent>
          <mc:Choice Requires="wps">
            <w:drawing>
              <wp:anchor distT="0" distB="0" distL="0" distR="0" allowOverlap="1" layoutInCell="1" locked="0" behindDoc="1" simplePos="0" relativeHeight="487613440">
                <wp:simplePos x="0" y="0"/>
                <wp:positionH relativeFrom="page">
                  <wp:posOffset>914400</wp:posOffset>
                </wp:positionH>
                <wp:positionV relativeFrom="paragraph">
                  <wp:posOffset>181004</wp:posOffset>
                </wp:positionV>
                <wp:extent cx="5730875" cy="635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4.252344pt;width:451.25pt;height:.5pt;mso-position-horizontal-relative:page;mso-position-vertical-relative:paragraph;z-index:-15703040;mso-wrap-distance-left:0;mso-wrap-distance-right:0" id="docshape35" filled="true" fillcolor="#9f9f9f" stroked="false">
                <v:fill type="solid"/>
                <w10:wrap type="topAndBottom"/>
              </v:rect>
            </w:pict>
          </mc:Fallback>
        </mc:AlternateContent>
      </w:r>
    </w:p>
    <w:p>
      <w:pPr>
        <w:pStyle w:val="Heading2"/>
        <w:numPr>
          <w:ilvl w:val="0"/>
          <w:numId w:val="2"/>
        </w:numPr>
        <w:tabs>
          <w:tab w:pos="859" w:val="left" w:leader="none"/>
        </w:tabs>
        <w:spacing w:line="240" w:lineRule="auto" w:before="336" w:after="0"/>
        <w:ind w:left="859" w:right="0" w:hanging="269"/>
        <w:jc w:val="left"/>
      </w:pPr>
      <w:bookmarkStart w:name="1 - Preliminary Matters" w:id="1"/>
      <w:bookmarkEnd w:id="1"/>
      <w:r>
        <w:rPr/>
      </w:r>
      <w:r>
        <w:rPr/>
        <w:t>-</w:t>
      </w:r>
      <w:r>
        <w:rPr>
          <w:spacing w:val="-4"/>
        </w:rPr>
        <w:t> </w:t>
      </w:r>
      <w:r>
        <w:rPr/>
        <w:t>Preliminary</w:t>
      </w:r>
      <w:r>
        <w:rPr>
          <w:spacing w:val="-3"/>
        </w:rPr>
        <w:t> </w:t>
      </w:r>
      <w:r>
        <w:rPr>
          <w:spacing w:val="-2"/>
        </w:rPr>
        <w:t>Matters</w:t>
      </w:r>
    </w:p>
    <w:p>
      <w:pPr>
        <w:pStyle w:val="Heading2"/>
        <w:spacing w:after="0" w:line="240" w:lineRule="auto"/>
        <w:jc w:val="left"/>
        <w:sectPr>
          <w:footerReference w:type="default" r:id="rId6"/>
          <w:pgSz w:w="11910" w:h="16840"/>
          <w:pgMar w:header="0" w:footer="149" w:top="1900" w:bottom="340" w:left="850" w:right="850"/>
          <w:pgNumType w:start="9"/>
        </w:sectPr>
      </w:pPr>
    </w:p>
    <w:p>
      <w:pPr>
        <w:pStyle w:val="Heading4"/>
        <w:numPr>
          <w:ilvl w:val="1"/>
          <w:numId w:val="2"/>
        </w:numPr>
        <w:tabs>
          <w:tab w:pos="7518" w:val="left" w:leader="none"/>
        </w:tabs>
        <w:spacing w:line="240" w:lineRule="auto" w:before="198" w:after="0"/>
        <w:ind w:left="7518" w:right="0" w:hanging="6778"/>
        <w:jc w:val="left"/>
        <w:rPr>
          <w:b w:val="0"/>
          <w:position w:val="-8"/>
          <w:sz w:val="36"/>
        </w:rPr>
      </w:pPr>
      <w:r>
        <w:rPr/>
        <w:t>9:30</w:t>
      </w:r>
      <w:r>
        <w:rPr>
          <w:spacing w:val="-3"/>
        </w:rPr>
        <w:t> </w:t>
      </w:r>
      <w:r>
        <w:rPr/>
        <w:t>AM,</w:t>
      </w:r>
      <w:r>
        <w:rPr>
          <w:spacing w:val="2"/>
        </w:rPr>
        <w:t> </w:t>
      </w:r>
      <w:r>
        <w:rPr/>
        <w:t>5</w:t>
      </w:r>
      <w:r>
        <w:rPr>
          <w:spacing w:val="-4"/>
        </w:rPr>
        <w:t> Mins</w:t>
      </w:r>
    </w:p>
    <w:p>
      <w:pPr>
        <w:pStyle w:val="BodyText"/>
        <w:spacing w:before="159"/>
        <w:rPr>
          <w:b/>
          <w:sz w:val="20"/>
        </w:rPr>
      </w:pPr>
      <w:r>
        <w:rPr>
          <w:b/>
          <w:sz w:val="20"/>
        </w:rPr>
        <mc:AlternateContent>
          <mc:Choice Requires="wps">
            <w:drawing>
              <wp:anchor distT="0" distB="0" distL="0" distR="0" allowOverlap="1" layoutInCell="1" locked="0" behindDoc="1" simplePos="0" relativeHeight="487614464">
                <wp:simplePos x="0" y="0"/>
                <wp:positionH relativeFrom="page">
                  <wp:posOffset>914400</wp:posOffset>
                </wp:positionH>
                <wp:positionV relativeFrom="paragraph">
                  <wp:posOffset>262302</wp:posOffset>
                </wp:positionV>
                <wp:extent cx="5730875" cy="635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702016;mso-wrap-distance-left:0;mso-wrap-distance-right:0" id="docshape36" filled="true" fillcolor="#9f9f9f" stroked="false">
                <v:fill type="solid"/>
                <w10:wrap type="topAndBottom"/>
              </v:rect>
            </w:pict>
          </mc:Fallback>
        </mc:AlternateContent>
      </w:r>
    </w:p>
    <w:p>
      <w:pPr>
        <w:pStyle w:val="ListParagraph"/>
        <w:numPr>
          <w:ilvl w:val="1"/>
          <w:numId w:val="3"/>
        </w:numPr>
        <w:tabs>
          <w:tab w:pos="1128" w:val="left" w:leader="none"/>
          <w:tab w:pos="7438" w:val="left" w:leader="none"/>
        </w:tabs>
        <w:spacing w:line="323" w:lineRule="exact" w:before="331" w:after="0"/>
        <w:ind w:left="1128" w:right="0" w:hanging="538"/>
        <w:jc w:val="left"/>
        <w:rPr>
          <w:b/>
          <w:i/>
          <w:position w:val="9"/>
          <w:sz w:val="22"/>
        </w:rPr>
      </w:pPr>
      <w:bookmarkStart w:name="1.1 - RJC/35: Welcome and Apologies" w:id="2"/>
      <w:bookmarkEnd w:id="2"/>
      <w:r>
        <w:rPr/>
      </w:r>
      <w:r>
        <w:rPr>
          <w:sz w:val="32"/>
        </w:rPr>
        <w:t>-</w:t>
      </w:r>
      <w:r>
        <w:rPr>
          <w:spacing w:val="-4"/>
          <w:sz w:val="32"/>
        </w:rPr>
        <w:t> </w:t>
      </w:r>
      <w:r>
        <w:rPr>
          <w:sz w:val="32"/>
        </w:rPr>
        <w:t>RJC/35:</w:t>
      </w:r>
      <w:r>
        <w:rPr>
          <w:spacing w:val="-6"/>
          <w:sz w:val="32"/>
        </w:rPr>
        <w:t> </w:t>
      </w:r>
      <w:r>
        <w:rPr>
          <w:sz w:val="32"/>
        </w:rPr>
        <w:t>Welcome</w:t>
      </w:r>
      <w:r>
        <w:rPr>
          <w:spacing w:val="-5"/>
          <w:sz w:val="32"/>
        </w:rPr>
        <w:t> </w:t>
      </w:r>
      <w:r>
        <w:rPr>
          <w:sz w:val="32"/>
        </w:rPr>
        <w:t>and </w:t>
      </w:r>
      <w:r>
        <w:rPr>
          <w:spacing w:val="-2"/>
          <w:sz w:val="32"/>
        </w:rPr>
        <w:t>Apologies</w:t>
      </w:r>
      <w:r>
        <w:rPr>
          <w:sz w:val="32"/>
        </w:rPr>
        <w:tab/>
      </w:r>
      <w:r>
        <w:rPr>
          <w:b/>
          <w:i/>
          <w:position w:val="9"/>
          <w:sz w:val="22"/>
        </w:rPr>
        <w:t>Neil</w:t>
      </w:r>
      <w:r>
        <w:rPr>
          <w:b/>
          <w:i/>
          <w:spacing w:val="-5"/>
          <w:position w:val="9"/>
          <w:sz w:val="22"/>
        </w:rPr>
        <w:t> </w:t>
      </w:r>
      <w:r>
        <w:rPr>
          <w:b/>
          <w:i/>
          <w:position w:val="9"/>
          <w:sz w:val="22"/>
        </w:rPr>
        <w:t>Wooding</w:t>
      </w:r>
      <w:r>
        <w:rPr>
          <w:b/>
          <w:i/>
          <w:spacing w:val="2"/>
          <w:position w:val="9"/>
          <w:sz w:val="22"/>
        </w:rPr>
        <w:t> </w:t>
      </w:r>
      <w:r>
        <w:rPr>
          <w:b/>
          <w:i/>
          <w:spacing w:val="-2"/>
          <w:position w:val="9"/>
          <w:sz w:val="22"/>
        </w:rPr>
        <w:t>(Hywel</w:t>
      </w:r>
    </w:p>
    <w:p>
      <w:pPr>
        <w:spacing w:line="208" w:lineRule="exact" w:before="0"/>
        <w:ind w:left="0" w:right="586" w:firstLine="0"/>
        <w:jc w:val="right"/>
        <w:rPr>
          <w:b/>
          <w:i/>
          <w:sz w:val="22"/>
        </w:rPr>
      </w:pPr>
      <w:r>
        <w:rPr>
          <w:b/>
          <w:i/>
          <w:sz w:val="22"/>
        </w:rPr>
        <w:t>Dda</w:t>
      </w:r>
      <w:r>
        <w:rPr>
          <w:b/>
          <w:i/>
          <w:spacing w:val="-1"/>
          <w:sz w:val="22"/>
        </w:rPr>
        <w:t> </w:t>
      </w:r>
      <w:r>
        <w:rPr>
          <w:b/>
          <w:i/>
          <w:sz w:val="22"/>
        </w:rPr>
        <w:t>UHB -</w:t>
      </w:r>
      <w:r>
        <w:rPr>
          <w:b/>
          <w:i/>
          <w:spacing w:val="-1"/>
          <w:sz w:val="22"/>
        </w:rPr>
        <w:t> </w:t>
      </w:r>
      <w:r>
        <w:rPr>
          <w:b/>
          <w:i/>
          <w:sz w:val="22"/>
        </w:rPr>
        <w:t>Chair</w:t>
      </w:r>
      <w:r>
        <w:rPr>
          <w:b/>
          <w:i/>
          <w:spacing w:val="-3"/>
          <w:sz w:val="22"/>
        </w:rPr>
        <w:t> </w:t>
      </w:r>
      <w:r>
        <w:rPr>
          <w:b/>
          <w:i/>
          <w:spacing w:val="-5"/>
          <w:sz w:val="22"/>
        </w:rPr>
        <w:t>of</w:t>
      </w:r>
    </w:p>
    <w:p>
      <w:pPr>
        <w:spacing w:line="259" w:lineRule="auto" w:before="22"/>
        <w:ind w:left="7643" w:right="586" w:hanging="265"/>
        <w:jc w:val="both"/>
        <w:rPr>
          <w:b/>
          <w:i/>
          <w:sz w:val="22"/>
        </w:rPr>
      </w:pPr>
      <w:r>
        <w:rPr>
          <w:b/>
          <w:i/>
          <w:sz w:val="22"/>
        </w:rPr>
        <w:t>Hywel</w:t>
      </w:r>
      <w:r>
        <w:rPr>
          <w:b/>
          <w:i/>
          <w:spacing w:val="-16"/>
          <w:sz w:val="22"/>
        </w:rPr>
        <w:t> </w:t>
      </w:r>
      <w:r>
        <w:rPr>
          <w:b/>
          <w:i/>
          <w:sz w:val="22"/>
        </w:rPr>
        <w:t>Dda</w:t>
      </w:r>
      <w:r>
        <w:rPr>
          <w:b/>
          <w:i/>
          <w:spacing w:val="-15"/>
          <w:sz w:val="22"/>
        </w:rPr>
        <w:t> </w:t>
      </w:r>
      <w:r>
        <w:rPr>
          <w:b/>
          <w:i/>
          <w:sz w:val="22"/>
        </w:rPr>
        <w:t>University</w:t>
      </w:r>
      <w:r>
        <w:rPr>
          <w:b/>
          <w:i/>
          <w:sz w:val="22"/>
        </w:rPr>
        <w:t> Health Board),</w:t>
      </w:r>
      <w:r>
        <w:rPr>
          <w:b/>
          <w:i/>
          <w:spacing w:val="-3"/>
          <w:sz w:val="22"/>
        </w:rPr>
        <w:t> </w:t>
      </w:r>
      <w:r>
        <w:rPr>
          <w:b/>
          <w:i/>
          <w:sz w:val="22"/>
        </w:rPr>
        <w:t>Jan Williams</w:t>
      </w:r>
      <w:r>
        <w:rPr>
          <w:b/>
          <w:i/>
          <w:spacing w:val="-5"/>
          <w:sz w:val="22"/>
        </w:rPr>
        <w:t> </w:t>
      </w:r>
      <w:r>
        <w:rPr>
          <w:b/>
          <w:i/>
          <w:spacing w:val="-2"/>
          <w:sz w:val="22"/>
        </w:rPr>
        <w:t>(Swansea</w:t>
      </w:r>
    </w:p>
    <w:p>
      <w:pPr>
        <w:spacing w:line="249" w:lineRule="exact" w:before="0"/>
        <w:ind w:left="0" w:right="585" w:firstLine="0"/>
        <w:jc w:val="right"/>
        <w:rPr>
          <w:b/>
          <w:i/>
          <w:sz w:val="22"/>
        </w:rPr>
      </w:pPr>
      <w:r>
        <w:rPr>
          <w:b/>
          <w:i/>
          <w:sz w:val="22"/>
        </w:rPr>
        <w:t>Bay UHB </w:t>
      </w:r>
      <w:r>
        <w:rPr>
          <w:b/>
          <w:i/>
          <w:spacing w:val="-10"/>
          <w:sz w:val="22"/>
        </w:rPr>
        <w:t>-</w:t>
      </w:r>
    </w:p>
    <w:p>
      <w:pPr>
        <w:spacing w:before="22"/>
        <w:ind w:left="0" w:right="586" w:firstLine="0"/>
        <w:jc w:val="right"/>
        <w:rPr>
          <w:b/>
          <w:i/>
          <w:sz w:val="22"/>
        </w:rPr>
      </w:pPr>
      <w:r>
        <w:rPr>
          <w:b/>
          <w:i/>
          <w:spacing w:val="-2"/>
          <w:sz w:val="22"/>
        </w:rPr>
        <w:t>Corporate)</w:t>
      </w:r>
    </w:p>
    <w:p>
      <w:pPr>
        <w:spacing w:after="0"/>
        <w:jc w:val="right"/>
        <w:rPr>
          <w:b/>
          <w:i/>
          <w:sz w:val="22"/>
        </w:rPr>
        <w:sectPr>
          <w:pgSz w:w="11910" w:h="16840"/>
          <w:pgMar w:header="0" w:footer="149" w:top="1940" w:bottom="340" w:left="850" w:right="850"/>
        </w:sectPr>
      </w:pPr>
    </w:p>
    <w:p>
      <w:pPr>
        <w:pStyle w:val="Heading4"/>
        <w:ind w:right="580"/>
        <w:jc w:val="right"/>
      </w:pPr>
      <w:r>
        <w:rPr/>
        <mc:AlternateContent>
          <mc:Choice Requires="wps">
            <w:drawing>
              <wp:anchor distT="0" distB="0" distL="0" distR="0" allowOverlap="1" layoutInCell="1" locked="0" behindDoc="0" simplePos="0" relativeHeight="15756288">
                <wp:simplePos x="0" y="0"/>
                <wp:positionH relativeFrom="page">
                  <wp:posOffset>933767</wp:posOffset>
                </wp:positionH>
                <wp:positionV relativeFrom="paragraph">
                  <wp:posOffset>54292</wp:posOffset>
                </wp:positionV>
                <wp:extent cx="457834" cy="464184"/>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457834" cy="464184"/>
                          <a:chExt cx="457834" cy="464184"/>
                        </a:xfrm>
                      </wpg:grpSpPr>
                      <wps:wsp>
                        <wps:cNvPr id="61" name="Graphic 61"/>
                        <wps:cNvSpPr/>
                        <wps:spPr>
                          <a:xfrm>
                            <a:off x="0" y="0"/>
                            <a:ext cx="457834" cy="464184"/>
                          </a:xfrm>
                          <a:custGeom>
                            <a:avLst/>
                            <a:gdLst/>
                            <a:ahLst/>
                            <a:cxnLst/>
                            <a:rect l="l" t="t" r="r" b="b"/>
                            <a:pathLst>
                              <a:path w="457834" h="464184">
                                <a:moveTo>
                                  <a:pt x="457517" y="0"/>
                                </a:moveTo>
                                <a:lnTo>
                                  <a:pt x="0" y="0"/>
                                </a:lnTo>
                                <a:lnTo>
                                  <a:pt x="0" y="463867"/>
                                </a:lnTo>
                                <a:lnTo>
                                  <a:pt x="457517" y="463867"/>
                                </a:lnTo>
                                <a:lnTo>
                                  <a:pt x="457517" y="0"/>
                                </a:lnTo>
                                <a:close/>
                              </a:path>
                            </a:pathLst>
                          </a:custGeom>
                          <a:solidFill>
                            <a:srgbClr val="000000"/>
                          </a:solidFill>
                        </wps:spPr>
                        <wps:bodyPr wrap="square" lIns="0" tIns="0" rIns="0" bIns="0" rtlCol="0">
                          <a:prstTxWarp prst="textNoShape">
                            <a:avLst/>
                          </a:prstTxWarp>
                          <a:noAutofit/>
                        </wps:bodyPr>
                      </wps:wsp>
                      <wps:wsp>
                        <wps:cNvPr id="62" name="Textbox 62"/>
                        <wps:cNvSpPr txBox="1"/>
                        <wps:spPr>
                          <a:xfrm>
                            <a:off x="0" y="0"/>
                            <a:ext cx="457834" cy="464184"/>
                          </a:xfrm>
                          <a:prstGeom prst="rect">
                            <a:avLst/>
                          </a:prstGeom>
                        </wps:spPr>
                        <wps:txbx>
                          <w:txbxContent>
                            <w:p>
                              <w:pPr>
                                <w:spacing w:before="122"/>
                                <w:ind w:left="0" w:right="0" w:firstLine="0"/>
                                <w:jc w:val="center"/>
                                <w:rPr>
                                  <w:sz w:val="36"/>
                                </w:rPr>
                              </w:pPr>
                              <w:r>
                                <w:rPr>
                                  <w:color w:val="FFFFFF"/>
                                  <w:spacing w:val="-10"/>
                                  <w:sz w:val="36"/>
                                </w:rPr>
                                <w:t>2</w:t>
                              </w:r>
                            </w:p>
                          </w:txbxContent>
                        </wps:txbx>
                        <wps:bodyPr wrap="square" lIns="0" tIns="0" rIns="0" bIns="0" rtlCol="0">
                          <a:noAutofit/>
                        </wps:bodyPr>
                      </wps:wsp>
                    </wpg:wgp>
                  </a:graphicData>
                </a:graphic>
              </wp:anchor>
            </w:drawing>
          </mc:Choice>
          <mc:Fallback>
            <w:pict>
              <v:group style="position:absolute;margin-left:73.525002pt;margin-top:4.275pt;width:36.050pt;height:36.550pt;mso-position-horizontal-relative:page;mso-position-vertical-relative:paragraph;z-index:15756288" id="docshapegroup37" coordorigin="1471,86" coordsize="721,731">
                <v:rect style="position:absolute;left:1470;top:85;width:721;height:731" id="docshape38" filled="true" fillcolor="#000000" stroked="false">
                  <v:fill type="solid"/>
                </v:rect>
                <v:shape style="position:absolute;left:1470;top:85;width:721;height:731" type="#_x0000_t202" id="docshape39" filled="false" stroked="false">
                  <v:textbox inset="0,0,0,0">
                    <w:txbxContent>
                      <w:p>
                        <w:pPr>
                          <w:spacing w:before="122"/>
                          <w:ind w:left="0" w:right="0" w:firstLine="0"/>
                          <w:jc w:val="center"/>
                          <w:rPr>
                            <w:sz w:val="36"/>
                          </w:rPr>
                        </w:pPr>
                        <w:r>
                          <w:rPr>
                            <w:color w:val="FFFFFF"/>
                            <w:spacing w:val="-10"/>
                            <w:sz w:val="36"/>
                          </w:rPr>
                          <w:t>2</w:t>
                        </w:r>
                      </w:p>
                    </w:txbxContent>
                  </v:textbox>
                  <w10:wrap type="none"/>
                </v:shape>
                <w10:wrap type="none"/>
              </v:group>
            </w:pict>
          </mc:Fallback>
        </mc:AlternateContent>
      </w:r>
      <w:r>
        <w:rPr/>
        <w:t>9:35</w:t>
      </w:r>
      <w:r>
        <w:rPr>
          <w:spacing w:val="-3"/>
        </w:rPr>
        <w:t> </w:t>
      </w:r>
      <w:r>
        <w:rPr/>
        <w:t>AM,</w:t>
      </w:r>
      <w:r>
        <w:rPr>
          <w:spacing w:val="2"/>
        </w:rPr>
        <w:t> </w:t>
      </w:r>
      <w:r>
        <w:rPr/>
        <w:t>0</w:t>
      </w:r>
      <w:r>
        <w:rPr>
          <w:spacing w:val="-4"/>
        </w:rPr>
        <w:t> Mins</w:t>
      </w:r>
    </w:p>
    <w:p>
      <w:pPr>
        <w:pStyle w:val="BodyText"/>
        <w:rPr>
          <w:b/>
          <w:sz w:val="20"/>
        </w:rPr>
      </w:pPr>
    </w:p>
    <w:p>
      <w:pPr>
        <w:pStyle w:val="BodyText"/>
        <w:spacing w:before="36"/>
        <w:rPr>
          <w:b/>
          <w:sz w:val="20"/>
        </w:rPr>
      </w:pPr>
      <w:r>
        <w:rPr>
          <w:b/>
          <w:sz w:val="20"/>
        </w:rPr>
        <mc:AlternateContent>
          <mc:Choice Requires="wps">
            <w:drawing>
              <wp:anchor distT="0" distB="0" distL="0" distR="0" allowOverlap="1" layoutInCell="1" locked="0" behindDoc="1" simplePos="0" relativeHeight="487614976">
                <wp:simplePos x="0" y="0"/>
                <wp:positionH relativeFrom="page">
                  <wp:posOffset>914400</wp:posOffset>
                </wp:positionH>
                <wp:positionV relativeFrom="paragraph">
                  <wp:posOffset>184179</wp:posOffset>
                </wp:positionV>
                <wp:extent cx="5730875" cy="635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4.502344pt;width:451.25pt;height:.5pt;mso-position-horizontal-relative:page;mso-position-vertical-relative:paragraph;z-index:-15701504;mso-wrap-distance-left:0;mso-wrap-distance-right:0" id="docshape40" filled="true" fillcolor="#9f9f9f" stroked="false">
                <v:fill type="solid"/>
                <w10:wrap type="topAndBottom"/>
              </v:rect>
            </w:pict>
          </mc:Fallback>
        </mc:AlternateContent>
      </w:r>
    </w:p>
    <w:p>
      <w:pPr>
        <w:pStyle w:val="Heading2"/>
        <w:numPr>
          <w:ilvl w:val="0"/>
          <w:numId w:val="2"/>
        </w:numPr>
        <w:tabs>
          <w:tab w:pos="859" w:val="left" w:leader="none"/>
        </w:tabs>
        <w:spacing w:line="240" w:lineRule="auto" w:before="331" w:after="0"/>
        <w:ind w:left="859" w:right="0" w:hanging="269"/>
        <w:jc w:val="left"/>
      </w:pPr>
      <w:bookmarkStart w:name="2 - To Consider Future Direction Reports" w:id="3"/>
      <w:bookmarkEnd w:id="3"/>
      <w:r>
        <w:rPr/>
      </w:r>
      <w:r>
        <w:rPr/>
        <w:t>-</w:t>
      </w:r>
      <w:r>
        <w:rPr>
          <w:spacing w:val="-7"/>
        </w:rPr>
        <w:t> </w:t>
      </w:r>
      <w:r>
        <w:rPr/>
        <w:t>To</w:t>
      </w:r>
      <w:r>
        <w:rPr>
          <w:spacing w:val="-3"/>
        </w:rPr>
        <w:t> </w:t>
      </w:r>
      <w:r>
        <w:rPr/>
        <w:t>Consider</w:t>
      </w:r>
      <w:r>
        <w:rPr>
          <w:spacing w:val="-6"/>
        </w:rPr>
        <w:t> </w:t>
      </w:r>
      <w:r>
        <w:rPr/>
        <w:t>Future</w:t>
      </w:r>
      <w:r>
        <w:rPr>
          <w:spacing w:val="-2"/>
        </w:rPr>
        <w:t> </w:t>
      </w:r>
      <w:r>
        <w:rPr/>
        <w:t>Direction</w:t>
      </w:r>
      <w:r>
        <w:rPr>
          <w:spacing w:val="-2"/>
        </w:rPr>
        <w:t> Reports</w:t>
      </w:r>
    </w:p>
    <w:p>
      <w:pPr>
        <w:pStyle w:val="Heading2"/>
        <w:spacing w:after="0" w:line="240" w:lineRule="auto"/>
        <w:jc w:val="left"/>
        <w:sectPr>
          <w:pgSz w:w="11910" w:h="16840"/>
          <w:pgMar w:header="0" w:footer="149" w:top="1940" w:bottom="340" w:left="850" w:right="850"/>
        </w:sectPr>
      </w:pPr>
    </w:p>
    <w:p>
      <w:pPr>
        <w:pStyle w:val="Heading4"/>
        <w:tabs>
          <w:tab w:pos="7363" w:val="left" w:leader="none"/>
        </w:tabs>
        <w:ind w:left="740"/>
      </w:pPr>
      <w:r>
        <w:rPr>
          <w:b w:val="0"/>
          <w:spacing w:val="-5"/>
          <w:position w:val="-8"/>
          <w:sz w:val="36"/>
        </w:rPr>
        <w:t>2.1</w:t>
      </w:r>
      <w:r>
        <w:rPr>
          <w:b w:val="0"/>
          <w:position w:val="-8"/>
          <w:sz w:val="36"/>
        </w:rPr>
        <w:tab/>
      </w:r>
      <w:r>
        <w:rPr/>
        <w:t>9:35</w:t>
      </w:r>
      <w:r>
        <w:rPr>
          <w:spacing w:val="-2"/>
        </w:rPr>
        <w:t> </w:t>
      </w:r>
      <w:r>
        <w:rPr/>
        <w:t>AM,</w:t>
      </w:r>
      <w:r>
        <w:rPr>
          <w:spacing w:val="3"/>
        </w:rPr>
        <w:t> </w:t>
      </w:r>
      <w:r>
        <w:rPr/>
        <w:t>45</w:t>
      </w:r>
      <w:r>
        <w:rPr>
          <w:spacing w:val="-6"/>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616000">
                <wp:simplePos x="0" y="0"/>
                <wp:positionH relativeFrom="page">
                  <wp:posOffset>914400</wp:posOffset>
                </wp:positionH>
                <wp:positionV relativeFrom="paragraph">
                  <wp:posOffset>262302</wp:posOffset>
                </wp:positionV>
                <wp:extent cx="5730875" cy="635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700480;mso-wrap-distance-left:0;mso-wrap-distance-right:0" id="docshape41"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pgSz w:w="11910" w:h="16840"/>
          <w:pgMar w:header="0" w:footer="149" w:top="1940" w:bottom="340" w:left="850" w:right="850"/>
        </w:sectPr>
      </w:pPr>
    </w:p>
    <w:p>
      <w:pPr>
        <w:pStyle w:val="Heading2"/>
        <w:numPr>
          <w:ilvl w:val="1"/>
          <w:numId w:val="4"/>
        </w:numPr>
        <w:tabs>
          <w:tab w:pos="1128" w:val="left" w:leader="none"/>
        </w:tabs>
        <w:spacing w:line="259" w:lineRule="auto" w:before="90" w:after="0"/>
        <w:ind w:left="590" w:right="38" w:firstLine="0"/>
        <w:jc w:val="left"/>
      </w:pPr>
      <w:bookmarkStart w:name="2.1 - RJC/36: Benefits of Combining the " w:id="4"/>
      <w:bookmarkEnd w:id="4"/>
      <w:r>
        <w:rPr/>
      </w:r>
      <w:r>
        <w:rPr/>
        <w:t>- RJC/36: Benefits of Combining the Finance/</w:t>
      </w:r>
      <w:r>
        <w:rPr>
          <w:spacing w:val="-8"/>
        </w:rPr>
        <w:t> </w:t>
      </w:r>
      <w:r>
        <w:rPr/>
        <w:t>Contracting</w:t>
      </w:r>
      <w:r>
        <w:rPr>
          <w:spacing w:val="-12"/>
        </w:rPr>
        <w:t> </w:t>
      </w:r>
      <w:r>
        <w:rPr/>
        <w:t>and</w:t>
      </w:r>
      <w:r>
        <w:rPr>
          <w:spacing w:val="-7"/>
        </w:rPr>
        <w:t> </w:t>
      </w:r>
      <w:r>
        <w:rPr/>
        <w:t>Data/Digital</w:t>
      </w:r>
      <w:r>
        <w:rPr>
          <w:spacing w:val="-10"/>
        </w:rPr>
        <w:t> </w:t>
      </w:r>
      <w:r>
        <w:rPr/>
        <w:t>Work Streams Together</w:t>
      </w:r>
    </w:p>
    <w:p>
      <w:pPr>
        <w:spacing w:line="261" w:lineRule="auto" w:before="93"/>
        <w:ind w:left="740" w:right="584" w:hanging="151"/>
        <w:jc w:val="left"/>
        <w:rPr>
          <w:b/>
          <w:i/>
          <w:sz w:val="22"/>
        </w:rPr>
      </w:pPr>
      <w:r>
        <w:rPr/>
        <w:br w:type="column"/>
      </w:r>
      <w:r>
        <w:rPr>
          <w:b/>
          <w:i/>
          <w:sz w:val="22"/>
        </w:rPr>
        <w:t>Huw</w:t>
      </w:r>
      <w:r>
        <w:rPr>
          <w:b/>
          <w:i/>
          <w:spacing w:val="-14"/>
          <w:sz w:val="22"/>
        </w:rPr>
        <w:t> </w:t>
      </w:r>
      <w:r>
        <w:rPr>
          <w:b/>
          <w:i/>
          <w:sz w:val="22"/>
        </w:rPr>
        <w:t>Thomas</w:t>
      </w:r>
      <w:r>
        <w:rPr>
          <w:b/>
          <w:i/>
          <w:spacing w:val="-12"/>
          <w:sz w:val="22"/>
        </w:rPr>
        <w:t> </w:t>
      </w:r>
      <w:r>
        <w:rPr>
          <w:b/>
          <w:i/>
          <w:sz w:val="22"/>
        </w:rPr>
        <w:t>(Hywel</w:t>
      </w:r>
      <w:r>
        <w:rPr>
          <w:b/>
          <w:i/>
          <w:sz w:val="22"/>
        </w:rPr>
        <w:t> Dda UHB</w:t>
      </w:r>
      <w:r>
        <w:rPr>
          <w:b/>
          <w:i/>
          <w:spacing w:val="1"/>
          <w:sz w:val="22"/>
        </w:rPr>
        <w:t> </w:t>
      </w:r>
      <w:r>
        <w:rPr>
          <w:b/>
          <w:i/>
          <w:sz w:val="22"/>
        </w:rPr>
        <w:t>- </w:t>
      </w:r>
      <w:r>
        <w:rPr>
          <w:b/>
          <w:i/>
          <w:spacing w:val="-2"/>
          <w:sz w:val="22"/>
        </w:rPr>
        <w:t>Director</w:t>
      </w:r>
    </w:p>
    <w:p>
      <w:pPr>
        <w:spacing w:line="251" w:lineRule="exact" w:before="0"/>
        <w:ind w:left="1556" w:right="0" w:firstLine="0"/>
        <w:jc w:val="left"/>
        <w:rPr>
          <w:b/>
          <w:i/>
          <w:sz w:val="22"/>
        </w:rPr>
      </w:pPr>
      <w:r>
        <w:rPr>
          <w:b/>
          <w:i/>
          <w:sz w:val="22"/>
        </w:rPr>
        <w:t>of</w:t>
      </w:r>
      <w:r>
        <w:rPr>
          <w:b/>
          <w:i/>
          <w:spacing w:val="1"/>
          <w:sz w:val="22"/>
        </w:rPr>
        <w:t> </w:t>
      </w:r>
      <w:r>
        <w:rPr>
          <w:b/>
          <w:i/>
          <w:spacing w:val="-2"/>
          <w:sz w:val="22"/>
        </w:rPr>
        <w:t>Finance)</w:t>
      </w:r>
    </w:p>
    <w:p>
      <w:pPr>
        <w:spacing w:after="0" w:line="251" w:lineRule="exact"/>
        <w:jc w:val="left"/>
        <w:rPr>
          <w:b/>
          <w:i/>
          <w:sz w:val="22"/>
        </w:rPr>
        <w:sectPr>
          <w:type w:val="continuous"/>
          <w:pgSz w:w="11910" w:h="16840"/>
          <w:pgMar w:header="0" w:footer="149" w:top="760" w:bottom="280" w:left="850" w:right="850"/>
          <w:cols w:num="2" w:equalWidth="0">
            <w:col w:w="6786" w:space="97"/>
            <w:col w:w="3327"/>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7"/>
        <w:rPr>
          <w:b/>
          <w:i/>
          <w:sz w:val="22"/>
        </w:rPr>
      </w:pPr>
    </w:p>
    <w:p>
      <w:pPr>
        <w:spacing w:before="0"/>
        <w:ind w:left="590" w:right="0" w:firstLine="0"/>
        <w:jc w:val="left"/>
        <w:rPr>
          <w:b/>
          <w:sz w:val="22"/>
        </w:rPr>
      </w:pPr>
      <w:r>
        <w:rPr>
          <w:b/>
          <w:spacing w:val="-2"/>
          <w:sz w:val="22"/>
        </w:rPr>
        <w:t>Attachments</w:t>
      </w:r>
    </w:p>
    <w:p>
      <w:pPr>
        <w:spacing w:line="446" w:lineRule="auto" w:before="175"/>
        <w:ind w:left="590" w:right="4455" w:firstLine="0"/>
        <w:jc w:val="left"/>
        <w:rPr>
          <w:sz w:val="18"/>
        </w:rPr>
      </w:pPr>
      <w:r>
        <w:rPr>
          <w:sz w:val="18"/>
          <w:u w:val="single"/>
        </w:rPr>
        <w:t>RJC</w:t>
      </w:r>
      <w:r>
        <w:rPr>
          <w:spacing w:val="-5"/>
          <w:sz w:val="18"/>
          <w:u w:val="single"/>
        </w:rPr>
        <w:t> </w:t>
      </w:r>
      <w:r>
        <w:rPr>
          <w:sz w:val="18"/>
          <w:u w:val="single"/>
        </w:rPr>
        <w:t>36a</w:t>
      </w:r>
      <w:r>
        <w:rPr>
          <w:spacing w:val="-6"/>
          <w:sz w:val="18"/>
          <w:u w:val="single"/>
        </w:rPr>
        <w:t> </w:t>
      </w:r>
      <w:r>
        <w:rPr>
          <w:sz w:val="18"/>
          <w:u w:val="single"/>
        </w:rPr>
        <w:t>Regional</w:t>
      </w:r>
      <w:r>
        <w:rPr>
          <w:spacing w:val="-5"/>
          <w:sz w:val="18"/>
          <w:u w:val="single"/>
        </w:rPr>
        <w:t> </w:t>
      </w:r>
      <w:r>
        <w:rPr>
          <w:sz w:val="18"/>
          <w:u w:val="single"/>
        </w:rPr>
        <w:t>finance</w:t>
      </w:r>
      <w:r>
        <w:rPr>
          <w:spacing w:val="-5"/>
          <w:sz w:val="18"/>
          <w:u w:val="single"/>
        </w:rPr>
        <w:t> </w:t>
      </w:r>
      <w:r>
        <w:rPr>
          <w:sz w:val="18"/>
          <w:u w:val="single"/>
        </w:rPr>
        <w:t>and</w:t>
      </w:r>
      <w:r>
        <w:rPr>
          <w:spacing w:val="-6"/>
          <w:sz w:val="18"/>
          <w:u w:val="single"/>
        </w:rPr>
        <w:t> </w:t>
      </w:r>
      <w:r>
        <w:rPr>
          <w:sz w:val="18"/>
          <w:u w:val="single"/>
        </w:rPr>
        <w:t>digital</w:t>
      </w:r>
      <w:r>
        <w:rPr>
          <w:spacing w:val="-6"/>
          <w:sz w:val="18"/>
          <w:u w:val="single"/>
        </w:rPr>
        <w:t> </w:t>
      </w:r>
      <w:r>
        <w:rPr>
          <w:sz w:val="18"/>
          <w:u w:val="single"/>
        </w:rPr>
        <w:t>collaboration</w:t>
      </w:r>
      <w:r>
        <w:rPr>
          <w:spacing w:val="-5"/>
          <w:sz w:val="18"/>
          <w:u w:val="single"/>
        </w:rPr>
        <w:t> </w:t>
      </w:r>
      <w:r>
        <w:rPr>
          <w:sz w:val="18"/>
          <w:u w:val="single"/>
        </w:rPr>
        <w:t>SBAR.pdf</w:t>
      </w:r>
      <w:r>
        <w:rPr>
          <w:sz w:val="18"/>
          <w:u w:val="none"/>
        </w:rPr>
        <w:t> </w:t>
      </w:r>
      <w:r>
        <w:rPr>
          <w:sz w:val="18"/>
          <w:u w:val="single"/>
        </w:rPr>
        <w:t>RJC 36b Presentation Finance Digital Transformation.pdf</w:t>
      </w:r>
    </w:p>
    <w:p>
      <w:pPr>
        <w:spacing w:after="0" w:line="446" w:lineRule="auto"/>
        <w:jc w:val="left"/>
        <w:rPr>
          <w:sz w:val="18"/>
        </w:rPr>
        <w:sectPr>
          <w:type w:val="continuous"/>
          <w:pgSz w:w="11910" w:h="16840"/>
          <w:pgMar w:header="0" w:footer="149" w:top="760" w:bottom="280" w:left="850" w:right="850"/>
        </w:sectPr>
      </w:pPr>
    </w:p>
    <w:p>
      <w:pPr>
        <w:tabs>
          <w:tab w:pos="6269" w:val="left" w:leader="none"/>
        </w:tabs>
        <w:spacing w:line="240" w:lineRule="auto"/>
        <w:ind w:left="316" w:right="0" w:firstLine="0"/>
        <w:rPr>
          <w:position w:val="7"/>
          <w:sz w:val="20"/>
        </w:rPr>
      </w:pPr>
      <w:r>
        <w:rPr>
          <w:sz w:val="20"/>
        </w:rPr>
        <w:drawing>
          <wp:inline distT="0" distB="0" distL="0" distR="0">
            <wp:extent cx="2494674" cy="549021"/>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7" cstate="print"/>
                    <a:stretch>
                      <a:fillRect/>
                    </a:stretch>
                  </pic:blipFill>
                  <pic:spPr>
                    <a:xfrm>
                      <a:off x="0" y="0"/>
                      <a:ext cx="2494674" cy="549021"/>
                    </a:xfrm>
                    <a:prstGeom prst="rect">
                      <a:avLst/>
                    </a:prstGeom>
                  </pic:spPr>
                </pic:pic>
              </a:graphicData>
            </a:graphic>
          </wp:inline>
        </w:drawing>
      </w:r>
      <w:r>
        <w:rPr>
          <w:sz w:val="20"/>
        </w:rPr>
      </w:r>
      <w:r>
        <w:rPr>
          <w:sz w:val="20"/>
        </w:rPr>
        <w:tab/>
      </w:r>
      <w:r>
        <w:rPr>
          <w:position w:val="7"/>
          <w:sz w:val="20"/>
        </w:rPr>
        <w:drawing>
          <wp:inline distT="0" distB="0" distL="0" distR="0">
            <wp:extent cx="2223485" cy="510349"/>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8" cstate="print"/>
                    <a:stretch>
                      <a:fillRect/>
                    </a:stretch>
                  </pic:blipFill>
                  <pic:spPr>
                    <a:xfrm>
                      <a:off x="0" y="0"/>
                      <a:ext cx="2223485" cy="510349"/>
                    </a:xfrm>
                    <a:prstGeom prst="rect">
                      <a:avLst/>
                    </a:prstGeom>
                  </pic:spPr>
                </pic:pic>
              </a:graphicData>
            </a:graphic>
          </wp:inline>
        </w:drawing>
      </w:r>
      <w:r>
        <w:rPr>
          <w:position w:val="7"/>
          <w:sz w:val="20"/>
        </w:rPr>
      </w:r>
    </w:p>
    <w:p>
      <w:pPr>
        <w:pStyle w:val="BodyText"/>
        <w:spacing w:before="89"/>
        <w:rPr>
          <w:sz w:val="20"/>
        </w:r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645" w:hRule="atLeast"/>
        </w:trPr>
        <w:tc>
          <w:tcPr>
            <w:tcW w:w="10069" w:type="dxa"/>
            <w:shd w:val="clear" w:color="auto" w:fill="394871"/>
          </w:tcPr>
          <w:p>
            <w:pPr>
              <w:pStyle w:val="TableParagraph"/>
              <w:spacing w:before="30"/>
              <w:ind w:left="580"/>
              <w:rPr>
                <w:b/>
                <w:sz w:val="24"/>
              </w:rPr>
            </w:pPr>
            <w:bookmarkStart w:name="Attachments" w:id="5"/>
            <w:bookmarkEnd w:id="5"/>
            <w:r>
              <w:rPr/>
            </w:r>
            <w:bookmarkStart w:name="RJC 36a Regional finance and digital col" w:id="6"/>
            <w:bookmarkEnd w:id="6"/>
            <w:r>
              <w:rPr/>
            </w:r>
            <w:r>
              <w:rPr>
                <w:b/>
                <w:color w:val="FFFFFF"/>
                <w:spacing w:val="-2"/>
                <w:sz w:val="24"/>
              </w:rPr>
              <w:t>JOINT</w:t>
            </w:r>
            <w:r>
              <w:rPr>
                <w:b/>
                <w:color w:val="FFFFFF"/>
                <w:spacing w:val="-17"/>
                <w:sz w:val="24"/>
              </w:rPr>
              <w:t> </w:t>
            </w:r>
            <w:r>
              <w:rPr>
                <w:b/>
                <w:color w:val="FFFFFF"/>
                <w:spacing w:val="-2"/>
                <w:sz w:val="24"/>
              </w:rPr>
              <w:t>HYWEL</w:t>
            </w:r>
            <w:r>
              <w:rPr>
                <w:b/>
                <w:color w:val="FFFFFF"/>
                <w:spacing w:val="-15"/>
                <w:sz w:val="24"/>
              </w:rPr>
              <w:t> </w:t>
            </w:r>
            <w:r>
              <w:rPr>
                <w:b/>
                <w:color w:val="FFFFFF"/>
                <w:spacing w:val="-2"/>
                <w:sz w:val="24"/>
              </w:rPr>
              <w:t>DDA/SWANSEA</w:t>
            </w:r>
            <w:r>
              <w:rPr>
                <w:b/>
                <w:color w:val="FFFFFF"/>
                <w:spacing w:val="-14"/>
                <w:sz w:val="24"/>
              </w:rPr>
              <w:t> </w:t>
            </w:r>
            <w:r>
              <w:rPr>
                <w:b/>
                <w:color w:val="FFFFFF"/>
                <w:spacing w:val="-2"/>
                <w:sz w:val="24"/>
              </w:rPr>
              <w:t>BAY</w:t>
            </w:r>
            <w:r>
              <w:rPr>
                <w:b/>
                <w:color w:val="FFFFFF"/>
                <w:spacing w:val="-15"/>
                <w:sz w:val="24"/>
              </w:rPr>
              <w:t> </w:t>
            </w:r>
            <w:r>
              <w:rPr>
                <w:b/>
                <w:color w:val="FFFFFF"/>
                <w:spacing w:val="-2"/>
                <w:sz w:val="24"/>
              </w:rPr>
              <w:t>UNIVERSITY</w:t>
            </w:r>
            <w:r>
              <w:rPr>
                <w:b/>
                <w:color w:val="FFFFFF"/>
                <w:spacing w:val="-15"/>
                <w:sz w:val="24"/>
              </w:rPr>
              <w:t> </w:t>
            </w:r>
            <w:r>
              <w:rPr>
                <w:b/>
                <w:color w:val="FFFFFF"/>
                <w:spacing w:val="-2"/>
                <w:sz w:val="24"/>
              </w:rPr>
              <w:t>HEALTH</w:t>
            </w:r>
            <w:r>
              <w:rPr>
                <w:b/>
                <w:color w:val="FFFFFF"/>
                <w:spacing w:val="-12"/>
                <w:sz w:val="24"/>
              </w:rPr>
              <w:t> </w:t>
            </w:r>
            <w:r>
              <w:rPr>
                <w:b/>
                <w:color w:val="FFFFFF"/>
                <w:spacing w:val="-2"/>
                <w:sz w:val="24"/>
              </w:rPr>
              <w:t>BOARD</w:t>
            </w:r>
            <w:r>
              <w:rPr>
                <w:b/>
                <w:color w:val="FFFFFF"/>
                <w:spacing w:val="-12"/>
                <w:sz w:val="24"/>
              </w:rPr>
              <w:t> </w:t>
            </w:r>
            <w:r>
              <w:rPr>
                <w:b/>
                <w:color w:val="FFFFFF"/>
                <w:spacing w:val="-2"/>
                <w:sz w:val="24"/>
              </w:rPr>
              <w:t>COMMITTEE</w:t>
            </w:r>
          </w:p>
          <w:p>
            <w:pPr>
              <w:pStyle w:val="TableParagraph"/>
              <w:spacing w:line="270" w:lineRule="exact" w:before="49"/>
              <w:ind w:left="655"/>
              <w:rPr>
                <w:b/>
                <w:sz w:val="24"/>
              </w:rPr>
            </w:pPr>
            <w:r>
              <w:rPr>
                <w:b/>
                <w:color w:val="FFFFFF"/>
                <w:spacing w:val="-2"/>
                <w:sz w:val="24"/>
              </w:rPr>
              <w:t>CYD-BWRDD</w:t>
            </w:r>
            <w:r>
              <w:rPr>
                <w:b/>
                <w:color w:val="FFFFFF"/>
                <w:spacing w:val="-17"/>
                <w:sz w:val="24"/>
              </w:rPr>
              <w:t> </w:t>
            </w:r>
            <w:r>
              <w:rPr>
                <w:b/>
                <w:color w:val="FFFFFF"/>
                <w:spacing w:val="-2"/>
                <w:sz w:val="24"/>
              </w:rPr>
              <w:t>IECHYD</w:t>
            </w:r>
            <w:r>
              <w:rPr>
                <w:b/>
                <w:color w:val="FFFFFF"/>
                <w:spacing w:val="-15"/>
                <w:sz w:val="24"/>
              </w:rPr>
              <w:t> </w:t>
            </w:r>
            <w:r>
              <w:rPr>
                <w:b/>
                <w:color w:val="FFFFFF"/>
                <w:spacing w:val="-2"/>
                <w:sz w:val="24"/>
              </w:rPr>
              <w:t>PRIFYSGOL</w:t>
            </w:r>
            <w:r>
              <w:rPr>
                <w:b/>
                <w:color w:val="FFFFFF"/>
                <w:spacing w:val="-14"/>
                <w:sz w:val="24"/>
              </w:rPr>
              <w:t> </w:t>
            </w:r>
            <w:r>
              <w:rPr>
                <w:b/>
                <w:color w:val="FFFFFF"/>
                <w:spacing w:val="-2"/>
                <w:sz w:val="24"/>
              </w:rPr>
              <w:t>HYWEL</w:t>
            </w:r>
            <w:r>
              <w:rPr>
                <w:b/>
                <w:color w:val="FFFFFF"/>
                <w:spacing w:val="-15"/>
                <w:sz w:val="24"/>
              </w:rPr>
              <w:t> </w:t>
            </w:r>
            <w:r>
              <w:rPr>
                <w:b/>
                <w:color w:val="FFFFFF"/>
                <w:spacing w:val="-2"/>
                <w:sz w:val="24"/>
              </w:rPr>
              <w:t>DDA/BAE</w:t>
            </w:r>
            <w:r>
              <w:rPr>
                <w:b/>
                <w:color w:val="FFFFFF"/>
                <w:spacing w:val="-15"/>
                <w:sz w:val="24"/>
              </w:rPr>
              <w:t> </w:t>
            </w:r>
            <w:r>
              <w:rPr>
                <w:b/>
                <w:color w:val="FFFFFF"/>
                <w:spacing w:val="-2"/>
                <w:sz w:val="24"/>
              </w:rPr>
              <w:t>ABERTAWE</w:t>
            </w:r>
            <w:r>
              <w:rPr>
                <w:b/>
                <w:color w:val="FFFFFF"/>
                <w:spacing w:val="-14"/>
                <w:sz w:val="24"/>
              </w:rPr>
              <w:t> </w:t>
            </w:r>
            <w:r>
              <w:rPr>
                <w:b/>
                <w:color w:val="FFFFFF"/>
                <w:spacing w:val="-2"/>
                <w:sz w:val="24"/>
              </w:rPr>
              <w:t>PWYLLGOR</w:t>
            </w:r>
          </w:p>
        </w:tc>
      </w:tr>
    </w:tbl>
    <w:p>
      <w:pPr>
        <w:pStyle w:val="BodyText"/>
        <w:spacing w:before="45"/>
        <w:rPr>
          <w:sz w:val="20"/>
        </w:r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2"/>
        <w:gridCol w:w="6098"/>
      </w:tblGrid>
      <w:tr>
        <w:trPr>
          <w:trHeight w:val="615" w:hRule="atLeast"/>
        </w:trPr>
        <w:tc>
          <w:tcPr>
            <w:tcW w:w="3972" w:type="dxa"/>
            <w:shd w:val="clear" w:color="auto" w:fill="C1A875"/>
          </w:tcPr>
          <w:p>
            <w:pPr>
              <w:pStyle w:val="TableParagraph"/>
              <w:spacing w:line="242" w:lineRule="auto" w:before="30"/>
              <w:ind w:left="110" w:right="1082"/>
              <w:rPr>
                <w:b/>
                <w:sz w:val="24"/>
              </w:rPr>
            </w:pPr>
            <w:r>
              <w:rPr>
                <w:b/>
                <w:spacing w:val="-4"/>
                <w:sz w:val="24"/>
              </w:rPr>
              <w:t>DYDDIAD</w:t>
            </w:r>
            <w:r>
              <w:rPr>
                <w:b/>
                <w:spacing w:val="-13"/>
                <w:sz w:val="24"/>
              </w:rPr>
              <w:t> </w:t>
            </w:r>
            <w:r>
              <w:rPr>
                <w:b/>
                <w:spacing w:val="-4"/>
                <w:sz w:val="24"/>
              </w:rPr>
              <w:t>Y</w:t>
            </w:r>
            <w:r>
              <w:rPr>
                <w:b/>
                <w:spacing w:val="-13"/>
                <w:sz w:val="24"/>
              </w:rPr>
              <w:t> </w:t>
            </w:r>
            <w:r>
              <w:rPr>
                <w:b/>
                <w:spacing w:val="-4"/>
                <w:sz w:val="24"/>
              </w:rPr>
              <w:t>CYFARFOD: </w:t>
            </w:r>
            <w:r>
              <w:rPr>
                <w:b/>
                <w:sz w:val="24"/>
              </w:rPr>
              <w:t>DATE OF MEETING:</w:t>
            </w:r>
          </w:p>
        </w:tc>
        <w:tc>
          <w:tcPr>
            <w:tcW w:w="6098" w:type="dxa"/>
          </w:tcPr>
          <w:p>
            <w:pPr>
              <w:pStyle w:val="TableParagraph"/>
              <w:ind w:left="109"/>
              <w:rPr>
                <w:sz w:val="24"/>
              </w:rPr>
            </w:pPr>
            <w:r>
              <w:rPr>
                <w:spacing w:val="-2"/>
                <w:sz w:val="24"/>
              </w:rPr>
              <w:t>13</w:t>
            </w:r>
            <w:r>
              <w:rPr>
                <w:spacing w:val="-15"/>
                <w:sz w:val="24"/>
              </w:rPr>
              <w:t> </w:t>
            </w:r>
            <w:r>
              <w:rPr>
                <w:spacing w:val="-2"/>
                <w:sz w:val="24"/>
              </w:rPr>
              <w:t>October</w:t>
            </w:r>
            <w:r>
              <w:rPr>
                <w:spacing w:val="-12"/>
                <w:sz w:val="24"/>
              </w:rPr>
              <w:t> </w:t>
            </w:r>
            <w:r>
              <w:rPr>
                <w:spacing w:val="-4"/>
                <w:sz w:val="24"/>
              </w:rPr>
              <w:t>2026</w:t>
            </w:r>
          </w:p>
        </w:tc>
      </w:tr>
      <w:tr>
        <w:trPr>
          <w:trHeight w:val="820" w:hRule="atLeast"/>
        </w:trPr>
        <w:tc>
          <w:tcPr>
            <w:tcW w:w="3972" w:type="dxa"/>
            <w:shd w:val="clear" w:color="auto" w:fill="C1A875"/>
          </w:tcPr>
          <w:p>
            <w:pPr>
              <w:pStyle w:val="TableParagraph"/>
              <w:spacing w:before="135"/>
              <w:ind w:left="110" w:right="1216"/>
              <w:rPr>
                <w:b/>
                <w:sz w:val="24"/>
              </w:rPr>
            </w:pPr>
            <w:r>
              <w:rPr>
                <w:b/>
                <w:spacing w:val="-2"/>
                <w:sz w:val="24"/>
              </w:rPr>
              <w:t>TEITL</w:t>
            </w:r>
            <w:r>
              <w:rPr>
                <w:b/>
                <w:spacing w:val="-15"/>
                <w:sz w:val="24"/>
              </w:rPr>
              <w:t> </w:t>
            </w:r>
            <w:r>
              <w:rPr>
                <w:b/>
                <w:spacing w:val="-2"/>
                <w:sz w:val="24"/>
              </w:rPr>
              <w:t>YR</w:t>
            </w:r>
            <w:r>
              <w:rPr>
                <w:b/>
                <w:spacing w:val="-15"/>
                <w:sz w:val="24"/>
              </w:rPr>
              <w:t> </w:t>
            </w:r>
            <w:r>
              <w:rPr>
                <w:b/>
                <w:spacing w:val="-2"/>
                <w:sz w:val="24"/>
              </w:rPr>
              <w:t>ADRODDIAD: </w:t>
            </w:r>
            <w:r>
              <w:rPr>
                <w:b/>
                <w:sz w:val="24"/>
              </w:rPr>
              <w:t>TITLE OF REPORT:</w:t>
            </w:r>
          </w:p>
        </w:tc>
        <w:tc>
          <w:tcPr>
            <w:tcW w:w="6098" w:type="dxa"/>
          </w:tcPr>
          <w:p>
            <w:pPr>
              <w:pStyle w:val="TableParagraph"/>
              <w:ind w:left="109"/>
              <w:rPr>
                <w:b/>
                <w:sz w:val="24"/>
              </w:rPr>
            </w:pPr>
            <w:r>
              <w:rPr>
                <w:b/>
                <w:spacing w:val="-2"/>
                <w:sz w:val="24"/>
              </w:rPr>
              <w:t>Regional</w:t>
            </w:r>
            <w:r>
              <w:rPr>
                <w:b/>
                <w:spacing w:val="-15"/>
                <w:sz w:val="24"/>
              </w:rPr>
              <w:t> </w:t>
            </w:r>
            <w:r>
              <w:rPr>
                <w:b/>
                <w:spacing w:val="-2"/>
                <w:sz w:val="24"/>
              </w:rPr>
              <w:t>finance</w:t>
            </w:r>
            <w:r>
              <w:rPr>
                <w:b/>
                <w:spacing w:val="-13"/>
                <w:sz w:val="24"/>
              </w:rPr>
              <w:t> </w:t>
            </w:r>
            <w:r>
              <w:rPr>
                <w:b/>
                <w:spacing w:val="-2"/>
                <w:sz w:val="24"/>
              </w:rPr>
              <w:t>and</w:t>
            </w:r>
            <w:r>
              <w:rPr>
                <w:b/>
                <w:spacing w:val="-14"/>
                <w:sz w:val="24"/>
              </w:rPr>
              <w:t> </w:t>
            </w:r>
            <w:r>
              <w:rPr>
                <w:b/>
                <w:spacing w:val="-2"/>
                <w:sz w:val="24"/>
              </w:rPr>
              <w:t>digital</w:t>
            </w:r>
            <w:r>
              <w:rPr>
                <w:b/>
                <w:spacing w:val="-14"/>
                <w:sz w:val="24"/>
              </w:rPr>
              <w:t> </w:t>
            </w:r>
            <w:r>
              <w:rPr>
                <w:b/>
                <w:spacing w:val="-2"/>
                <w:sz w:val="24"/>
              </w:rPr>
              <w:t>collaboration</w:t>
            </w:r>
          </w:p>
        </w:tc>
      </w:tr>
      <w:tr>
        <w:trPr>
          <w:trHeight w:val="825" w:hRule="atLeast"/>
        </w:trPr>
        <w:tc>
          <w:tcPr>
            <w:tcW w:w="3972" w:type="dxa"/>
            <w:shd w:val="clear" w:color="auto" w:fill="C1A875"/>
          </w:tcPr>
          <w:p>
            <w:pPr>
              <w:pStyle w:val="TableParagraph"/>
              <w:spacing w:line="244" w:lineRule="auto" w:before="135"/>
              <w:ind w:left="110"/>
              <w:rPr>
                <w:b/>
                <w:sz w:val="24"/>
              </w:rPr>
            </w:pPr>
            <w:r>
              <w:rPr>
                <w:b/>
                <w:spacing w:val="-4"/>
                <w:sz w:val="24"/>
              </w:rPr>
              <w:t>CYFARWYDDWR</w:t>
            </w:r>
            <w:r>
              <w:rPr>
                <w:b/>
                <w:spacing w:val="-13"/>
                <w:sz w:val="24"/>
              </w:rPr>
              <w:t> </w:t>
            </w:r>
            <w:r>
              <w:rPr>
                <w:b/>
                <w:spacing w:val="-4"/>
                <w:sz w:val="24"/>
              </w:rPr>
              <w:t>ARWEINIOL: </w:t>
            </w:r>
            <w:r>
              <w:rPr>
                <w:b/>
                <w:sz w:val="24"/>
              </w:rPr>
              <w:t>LEAD DIRECTOR:</w:t>
            </w:r>
          </w:p>
        </w:tc>
        <w:tc>
          <w:tcPr>
            <w:tcW w:w="6098" w:type="dxa"/>
          </w:tcPr>
          <w:p>
            <w:pPr>
              <w:pStyle w:val="TableParagraph"/>
              <w:spacing w:line="276" w:lineRule="exact"/>
              <w:ind w:left="109"/>
              <w:rPr>
                <w:sz w:val="24"/>
              </w:rPr>
            </w:pPr>
            <w:r>
              <w:rPr>
                <w:spacing w:val="-2"/>
                <w:sz w:val="24"/>
              </w:rPr>
              <w:t>Huw</w:t>
            </w:r>
            <w:r>
              <w:rPr>
                <w:spacing w:val="-11"/>
                <w:sz w:val="24"/>
              </w:rPr>
              <w:t> </w:t>
            </w:r>
            <w:r>
              <w:rPr>
                <w:spacing w:val="-2"/>
                <w:sz w:val="24"/>
              </w:rPr>
              <w:t>Thomas,</w:t>
            </w:r>
            <w:r>
              <w:rPr>
                <w:spacing w:val="-14"/>
                <w:sz w:val="24"/>
              </w:rPr>
              <w:t> </w:t>
            </w:r>
            <w:r>
              <w:rPr>
                <w:spacing w:val="-2"/>
                <w:sz w:val="24"/>
              </w:rPr>
              <w:t>Director</w:t>
            </w:r>
            <w:r>
              <w:rPr>
                <w:spacing w:val="-12"/>
                <w:sz w:val="24"/>
              </w:rPr>
              <w:t> </w:t>
            </w:r>
            <w:r>
              <w:rPr>
                <w:spacing w:val="-2"/>
                <w:sz w:val="24"/>
              </w:rPr>
              <w:t>of</w:t>
            </w:r>
            <w:r>
              <w:rPr>
                <w:spacing w:val="-14"/>
                <w:sz w:val="24"/>
              </w:rPr>
              <w:t> </w:t>
            </w:r>
            <w:r>
              <w:rPr>
                <w:spacing w:val="-2"/>
                <w:sz w:val="24"/>
              </w:rPr>
              <w:t>Finance,</w:t>
            </w:r>
            <w:r>
              <w:rPr>
                <w:spacing w:val="-14"/>
                <w:sz w:val="24"/>
              </w:rPr>
              <w:t> </w:t>
            </w:r>
            <w:r>
              <w:rPr>
                <w:spacing w:val="-2"/>
                <w:sz w:val="24"/>
              </w:rPr>
              <w:t>Hywel</w:t>
            </w:r>
            <w:r>
              <w:rPr>
                <w:spacing w:val="-11"/>
                <w:sz w:val="24"/>
              </w:rPr>
              <w:t> </w:t>
            </w:r>
            <w:r>
              <w:rPr>
                <w:spacing w:val="-2"/>
                <w:sz w:val="24"/>
              </w:rPr>
              <w:t>Dda</w:t>
            </w:r>
            <w:r>
              <w:rPr>
                <w:spacing w:val="-10"/>
                <w:sz w:val="24"/>
              </w:rPr>
              <w:t> </w:t>
            </w:r>
            <w:r>
              <w:rPr>
                <w:spacing w:val="-5"/>
                <w:sz w:val="24"/>
              </w:rPr>
              <w:t>UHB</w:t>
            </w:r>
          </w:p>
          <w:p>
            <w:pPr>
              <w:pStyle w:val="TableParagraph"/>
              <w:spacing w:line="276" w:lineRule="exact"/>
              <w:ind w:left="109" w:right="835"/>
              <w:rPr>
                <w:sz w:val="24"/>
              </w:rPr>
            </w:pPr>
            <w:r>
              <w:rPr>
                <w:spacing w:val="-4"/>
                <w:sz w:val="24"/>
              </w:rPr>
              <w:t>Claire Osmundsen-Little,</w:t>
            </w:r>
            <w:r>
              <w:rPr>
                <w:spacing w:val="-5"/>
                <w:sz w:val="24"/>
              </w:rPr>
              <w:t> </w:t>
            </w:r>
            <w:r>
              <w:rPr>
                <w:spacing w:val="-4"/>
                <w:sz w:val="24"/>
              </w:rPr>
              <w:t>Director of Finance, </w:t>
            </w:r>
            <w:r>
              <w:rPr>
                <w:sz w:val="24"/>
              </w:rPr>
              <w:t>Swansea Bay UHB</w:t>
            </w:r>
          </w:p>
        </w:tc>
      </w:tr>
      <w:tr>
        <w:trPr>
          <w:trHeight w:val="843" w:hRule="atLeast"/>
        </w:trPr>
        <w:tc>
          <w:tcPr>
            <w:tcW w:w="3972" w:type="dxa"/>
            <w:shd w:val="clear" w:color="auto" w:fill="C1A875"/>
          </w:tcPr>
          <w:p>
            <w:pPr>
              <w:pStyle w:val="TableParagraph"/>
              <w:spacing w:line="242" w:lineRule="auto" w:before="143"/>
              <w:ind w:left="110" w:right="1082"/>
              <w:rPr>
                <w:b/>
                <w:sz w:val="24"/>
              </w:rPr>
            </w:pPr>
            <w:r>
              <w:rPr>
                <w:b/>
                <w:sz w:val="24"/>
              </w:rPr>
              <w:t>SWYDDOG ADRODD: </w:t>
            </w:r>
            <w:r>
              <w:rPr>
                <w:b/>
                <w:spacing w:val="-4"/>
                <w:sz w:val="24"/>
              </w:rPr>
              <w:t>REPORTING</w:t>
            </w:r>
            <w:r>
              <w:rPr>
                <w:b/>
                <w:spacing w:val="-13"/>
                <w:sz w:val="24"/>
              </w:rPr>
              <w:t> </w:t>
            </w:r>
            <w:r>
              <w:rPr>
                <w:b/>
                <w:spacing w:val="-4"/>
                <w:sz w:val="24"/>
              </w:rPr>
              <w:t>OFFICER:</w:t>
            </w:r>
          </w:p>
        </w:tc>
        <w:tc>
          <w:tcPr>
            <w:tcW w:w="6098" w:type="dxa"/>
          </w:tcPr>
          <w:p>
            <w:pPr>
              <w:pStyle w:val="TableParagraph"/>
              <w:spacing w:line="274" w:lineRule="exact"/>
              <w:ind w:left="109"/>
              <w:rPr>
                <w:sz w:val="24"/>
              </w:rPr>
            </w:pPr>
            <w:r>
              <w:rPr>
                <w:spacing w:val="-2"/>
                <w:sz w:val="24"/>
              </w:rPr>
              <w:t>Huw</w:t>
            </w:r>
            <w:r>
              <w:rPr>
                <w:spacing w:val="-11"/>
                <w:sz w:val="24"/>
              </w:rPr>
              <w:t> </w:t>
            </w:r>
            <w:r>
              <w:rPr>
                <w:spacing w:val="-2"/>
                <w:sz w:val="24"/>
              </w:rPr>
              <w:t>Thomas,</w:t>
            </w:r>
            <w:r>
              <w:rPr>
                <w:spacing w:val="-14"/>
                <w:sz w:val="24"/>
              </w:rPr>
              <w:t> </w:t>
            </w:r>
            <w:r>
              <w:rPr>
                <w:spacing w:val="-2"/>
                <w:sz w:val="24"/>
              </w:rPr>
              <w:t>Director</w:t>
            </w:r>
            <w:r>
              <w:rPr>
                <w:spacing w:val="-12"/>
                <w:sz w:val="24"/>
              </w:rPr>
              <w:t> </w:t>
            </w:r>
            <w:r>
              <w:rPr>
                <w:spacing w:val="-2"/>
                <w:sz w:val="24"/>
              </w:rPr>
              <w:t>of</w:t>
            </w:r>
            <w:r>
              <w:rPr>
                <w:spacing w:val="-14"/>
                <w:sz w:val="24"/>
              </w:rPr>
              <w:t> </w:t>
            </w:r>
            <w:r>
              <w:rPr>
                <w:spacing w:val="-2"/>
                <w:sz w:val="24"/>
              </w:rPr>
              <w:t>Finance,</w:t>
            </w:r>
            <w:r>
              <w:rPr>
                <w:spacing w:val="-14"/>
                <w:sz w:val="24"/>
              </w:rPr>
              <w:t> </w:t>
            </w:r>
            <w:r>
              <w:rPr>
                <w:spacing w:val="-2"/>
                <w:sz w:val="24"/>
              </w:rPr>
              <w:t>Hywel</w:t>
            </w:r>
            <w:r>
              <w:rPr>
                <w:spacing w:val="-11"/>
                <w:sz w:val="24"/>
              </w:rPr>
              <w:t> </w:t>
            </w:r>
            <w:r>
              <w:rPr>
                <w:spacing w:val="-2"/>
                <w:sz w:val="24"/>
              </w:rPr>
              <w:t>Dda</w:t>
            </w:r>
            <w:r>
              <w:rPr>
                <w:spacing w:val="-10"/>
                <w:sz w:val="24"/>
              </w:rPr>
              <w:t> </w:t>
            </w:r>
            <w:r>
              <w:rPr>
                <w:spacing w:val="-5"/>
                <w:sz w:val="24"/>
              </w:rPr>
              <w:t>UHB</w:t>
            </w:r>
          </w:p>
          <w:p>
            <w:pPr>
              <w:pStyle w:val="TableParagraph"/>
              <w:spacing w:line="276" w:lineRule="exact"/>
              <w:ind w:left="109" w:right="835"/>
              <w:rPr>
                <w:sz w:val="24"/>
              </w:rPr>
            </w:pPr>
            <w:r>
              <w:rPr>
                <w:spacing w:val="-4"/>
                <w:sz w:val="24"/>
              </w:rPr>
              <w:t>Claire Osmundsen-Little,</w:t>
            </w:r>
            <w:r>
              <w:rPr>
                <w:spacing w:val="-5"/>
                <w:sz w:val="24"/>
              </w:rPr>
              <w:t> </w:t>
            </w:r>
            <w:r>
              <w:rPr>
                <w:spacing w:val="-4"/>
                <w:sz w:val="24"/>
              </w:rPr>
              <w:t>Director of Finance, </w:t>
            </w:r>
            <w:r>
              <w:rPr>
                <w:sz w:val="24"/>
              </w:rPr>
              <w:t>Swansea Bay UHB</w:t>
            </w:r>
          </w:p>
        </w:tc>
      </w:tr>
    </w:tbl>
    <w:p>
      <w:pPr>
        <w:pStyle w:val="BodyText"/>
        <w:spacing w:before="46"/>
        <w:rPr>
          <w:sz w:val="20"/>
        </w:r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0" w:hRule="atLeast"/>
        </w:trPr>
        <w:tc>
          <w:tcPr>
            <w:tcW w:w="10069" w:type="dxa"/>
            <w:shd w:val="clear" w:color="auto" w:fill="394871"/>
          </w:tcPr>
          <w:p>
            <w:pPr>
              <w:pStyle w:val="TableParagraph"/>
              <w:spacing w:line="275" w:lineRule="exact"/>
              <w:ind w:left="110"/>
              <w:rPr>
                <w:sz w:val="24"/>
              </w:rPr>
            </w:pPr>
            <w:r>
              <w:rPr>
                <w:b/>
                <w:color w:val="FFFFFF"/>
                <w:spacing w:val="-2"/>
                <w:sz w:val="24"/>
              </w:rPr>
              <w:t>Pwrpas</w:t>
            </w:r>
            <w:r>
              <w:rPr>
                <w:b/>
                <w:color w:val="FFFFFF"/>
                <w:spacing w:val="-11"/>
                <w:sz w:val="24"/>
              </w:rPr>
              <w:t> </w:t>
            </w:r>
            <w:r>
              <w:rPr>
                <w:b/>
                <w:color w:val="FFFFFF"/>
                <w:spacing w:val="-2"/>
                <w:sz w:val="24"/>
              </w:rPr>
              <w:t>yr</w:t>
            </w:r>
            <w:r>
              <w:rPr>
                <w:b/>
                <w:color w:val="FFFFFF"/>
                <w:spacing w:val="-13"/>
                <w:sz w:val="24"/>
              </w:rPr>
              <w:t> </w:t>
            </w:r>
            <w:r>
              <w:rPr>
                <w:b/>
                <w:color w:val="FFFFFF"/>
                <w:spacing w:val="-2"/>
                <w:sz w:val="24"/>
              </w:rPr>
              <w:t>Adroddiad</w:t>
            </w:r>
            <w:r>
              <w:rPr>
                <w:b/>
                <w:color w:val="FFFFFF"/>
                <w:spacing w:val="-14"/>
                <w:sz w:val="24"/>
              </w:rPr>
              <w:t> </w:t>
            </w:r>
            <w:r>
              <w:rPr>
                <w:color w:val="FFFFFF"/>
                <w:spacing w:val="-2"/>
                <w:sz w:val="24"/>
              </w:rPr>
              <w:t>(dewiswch</w:t>
            </w:r>
            <w:r>
              <w:rPr>
                <w:color w:val="FFFFFF"/>
                <w:spacing w:val="-12"/>
                <w:sz w:val="24"/>
              </w:rPr>
              <w:t> </w:t>
            </w:r>
            <w:r>
              <w:rPr>
                <w:color w:val="FFFFFF"/>
                <w:spacing w:val="-2"/>
                <w:sz w:val="24"/>
              </w:rPr>
              <w:t>fel</w:t>
            </w:r>
            <w:r>
              <w:rPr>
                <w:color w:val="FFFFFF"/>
                <w:spacing w:val="-8"/>
                <w:sz w:val="24"/>
              </w:rPr>
              <w:t> </w:t>
            </w:r>
            <w:r>
              <w:rPr>
                <w:color w:val="FFFFFF"/>
                <w:spacing w:val="-2"/>
                <w:sz w:val="24"/>
              </w:rPr>
              <w:t>yn</w:t>
            </w:r>
            <w:r>
              <w:rPr>
                <w:color w:val="FFFFFF"/>
                <w:spacing w:val="-14"/>
                <w:sz w:val="24"/>
              </w:rPr>
              <w:t> </w:t>
            </w:r>
            <w:r>
              <w:rPr>
                <w:color w:val="FFFFFF"/>
                <w:spacing w:val="-2"/>
                <w:sz w:val="24"/>
              </w:rPr>
              <w:t>addas)</w:t>
            </w:r>
          </w:p>
          <w:p>
            <w:pPr>
              <w:pStyle w:val="TableParagraph"/>
              <w:spacing w:line="255" w:lineRule="exact"/>
              <w:ind w:left="110"/>
              <w:rPr>
                <w:sz w:val="24"/>
              </w:rPr>
            </w:pPr>
            <w:r>
              <w:rPr>
                <w:b/>
                <w:color w:val="FFFFFF"/>
                <w:spacing w:val="-2"/>
                <w:sz w:val="24"/>
              </w:rPr>
              <w:t>Purpose</w:t>
            </w:r>
            <w:r>
              <w:rPr>
                <w:b/>
                <w:color w:val="FFFFFF"/>
                <w:spacing w:val="-10"/>
                <w:sz w:val="24"/>
              </w:rPr>
              <w:t> </w:t>
            </w:r>
            <w:r>
              <w:rPr>
                <w:b/>
                <w:color w:val="FFFFFF"/>
                <w:spacing w:val="-2"/>
                <w:sz w:val="24"/>
              </w:rPr>
              <w:t>of</w:t>
            </w:r>
            <w:r>
              <w:rPr>
                <w:b/>
                <w:color w:val="FFFFFF"/>
                <w:spacing w:val="-11"/>
                <w:sz w:val="24"/>
              </w:rPr>
              <w:t> </w:t>
            </w:r>
            <w:r>
              <w:rPr>
                <w:b/>
                <w:color w:val="FFFFFF"/>
                <w:spacing w:val="-2"/>
                <w:sz w:val="24"/>
              </w:rPr>
              <w:t>the</w:t>
            </w:r>
            <w:r>
              <w:rPr>
                <w:b/>
                <w:color w:val="FFFFFF"/>
                <w:spacing w:val="-14"/>
                <w:sz w:val="24"/>
              </w:rPr>
              <w:t> </w:t>
            </w:r>
            <w:r>
              <w:rPr>
                <w:b/>
                <w:color w:val="FFFFFF"/>
                <w:spacing w:val="-2"/>
                <w:sz w:val="24"/>
              </w:rPr>
              <w:t>Report</w:t>
            </w:r>
            <w:r>
              <w:rPr>
                <w:b/>
                <w:color w:val="FFFFFF"/>
                <w:spacing w:val="-4"/>
                <w:sz w:val="24"/>
              </w:rPr>
              <w:t> </w:t>
            </w:r>
            <w:r>
              <w:rPr>
                <w:color w:val="FFFFFF"/>
                <w:spacing w:val="-2"/>
                <w:sz w:val="24"/>
              </w:rPr>
              <w:t>(select</w:t>
            </w:r>
            <w:r>
              <w:rPr>
                <w:color w:val="FFFFFF"/>
                <w:spacing w:val="-11"/>
                <w:sz w:val="24"/>
              </w:rPr>
              <w:t> </w:t>
            </w:r>
            <w:r>
              <w:rPr>
                <w:color w:val="FFFFFF"/>
                <w:spacing w:val="-2"/>
                <w:sz w:val="24"/>
              </w:rPr>
              <w:t>as</w:t>
            </w:r>
            <w:r>
              <w:rPr>
                <w:color w:val="FFFFFF"/>
                <w:spacing w:val="-14"/>
                <w:sz w:val="24"/>
              </w:rPr>
              <w:t> </w:t>
            </w:r>
            <w:r>
              <w:rPr>
                <w:color w:val="FFFFFF"/>
                <w:spacing w:val="-2"/>
                <w:sz w:val="24"/>
              </w:rPr>
              <w:t>appropriate)</w:t>
            </w:r>
          </w:p>
        </w:tc>
      </w:tr>
      <w:tr>
        <w:trPr>
          <w:trHeight w:val="280" w:hRule="atLeast"/>
        </w:trPr>
        <w:tc>
          <w:tcPr>
            <w:tcW w:w="10069" w:type="dxa"/>
          </w:tcPr>
          <w:p>
            <w:pPr>
              <w:pStyle w:val="TableParagraph"/>
              <w:spacing w:line="260" w:lineRule="exact"/>
              <w:ind w:left="166" w:right="159"/>
              <w:jc w:val="center"/>
              <w:rPr>
                <w:sz w:val="24"/>
              </w:rPr>
            </w:pPr>
            <w:r>
              <w:rPr>
                <w:spacing w:val="-4"/>
                <w:sz w:val="24"/>
              </w:rPr>
              <w:t>Ar</w:t>
            </w:r>
            <w:r>
              <w:rPr>
                <w:spacing w:val="-1"/>
                <w:sz w:val="24"/>
              </w:rPr>
              <w:t> </w:t>
            </w:r>
            <w:r>
              <w:rPr>
                <w:spacing w:val="-4"/>
                <w:sz w:val="24"/>
              </w:rPr>
              <w:t>Gyfer</w:t>
            </w:r>
            <w:r>
              <w:rPr>
                <w:spacing w:val="-1"/>
                <w:sz w:val="24"/>
              </w:rPr>
              <w:t> </w:t>
            </w:r>
            <w:r>
              <w:rPr>
                <w:spacing w:val="-4"/>
                <w:sz w:val="24"/>
              </w:rPr>
              <w:t>Penderfyniad/For</w:t>
            </w:r>
            <w:r>
              <w:rPr>
                <w:spacing w:val="-1"/>
                <w:sz w:val="24"/>
              </w:rPr>
              <w:t> </w:t>
            </w:r>
            <w:r>
              <w:rPr>
                <w:spacing w:val="-4"/>
                <w:sz w:val="24"/>
              </w:rPr>
              <w:t>Decision</w:t>
            </w:r>
          </w:p>
        </w:tc>
      </w:tr>
    </w:tbl>
    <w:p>
      <w:pPr>
        <w:pStyle w:val="BodyText"/>
        <w:spacing w:before="45"/>
        <w:rPr>
          <w:sz w:val="20"/>
        </w:r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0" w:hRule="atLeast"/>
        </w:trPr>
        <w:tc>
          <w:tcPr>
            <w:tcW w:w="10069" w:type="dxa"/>
            <w:shd w:val="clear" w:color="auto" w:fill="394871"/>
          </w:tcPr>
          <w:p>
            <w:pPr>
              <w:pStyle w:val="TableParagraph"/>
              <w:spacing w:line="276" w:lineRule="exact"/>
              <w:ind w:left="110" w:right="7140"/>
              <w:rPr>
                <w:b/>
                <w:sz w:val="24"/>
              </w:rPr>
            </w:pPr>
            <w:r>
              <w:rPr>
                <w:b/>
                <w:color w:val="FFFFFF"/>
                <w:spacing w:val="-4"/>
                <w:sz w:val="24"/>
              </w:rPr>
              <w:t>ADRODDIAD</w:t>
            </w:r>
            <w:r>
              <w:rPr>
                <w:b/>
                <w:color w:val="FFFFFF"/>
                <w:spacing w:val="-13"/>
                <w:sz w:val="24"/>
              </w:rPr>
              <w:t> </w:t>
            </w:r>
            <w:r>
              <w:rPr>
                <w:b/>
                <w:color w:val="FFFFFF"/>
                <w:spacing w:val="-4"/>
                <w:sz w:val="24"/>
              </w:rPr>
              <w:t>SCAA </w:t>
            </w:r>
            <w:r>
              <w:rPr>
                <w:b/>
                <w:color w:val="FFFFFF"/>
                <w:sz w:val="24"/>
              </w:rPr>
              <w:t>SBAR REPORT</w:t>
            </w:r>
          </w:p>
        </w:tc>
      </w:tr>
      <w:tr>
        <w:trPr>
          <w:trHeight w:val="3914" w:hRule="atLeast"/>
        </w:trPr>
        <w:tc>
          <w:tcPr>
            <w:tcW w:w="10069" w:type="dxa"/>
          </w:tcPr>
          <w:p>
            <w:pPr>
              <w:pStyle w:val="TableParagraph"/>
              <w:spacing w:line="274" w:lineRule="exact"/>
              <w:ind w:left="110"/>
              <w:rPr>
                <w:b/>
                <w:sz w:val="24"/>
              </w:rPr>
            </w:pPr>
            <w:r>
              <w:rPr>
                <w:b/>
                <w:color w:val="394871"/>
                <w:spacing w:val="-2"/>
                <w:sz w:val="24"/>
                <w:u w:val="single" w:color="394871"/>
              </w:rPr>
              <w:t>Sefyllfa</w:t>
            </w:r>
            <w:r>
              <w:rPr>
                <w:b/>
                <w:color w:val="394871"/>
                <w:spacing w:val="-12"/>
                <w:sz w:val="24"/>
                <w:u w:val="single" w:color="394871"/>
              </w:rPr>
              <w:t> </w:t>
            </w:r>
            <w:r>
              <w:rPr>
                <w:b/>
                <w:color w:val="394871"/>
                <w:spacing w:val="-2"/>
                <w:sz w:val="24"/>
                <w:u w:val="single" w:color="394871"/>
              </w:rPr>
              <w:t>/</w:t>
            </w:r>
            <w:r>
              <w:rPr>
                <w:b/>
                <w:color w:val="394871"/>
                <w:spacing w:val="-10"/>
                <w:sz w:val="24"/>
                <w:u w:val="single" w:color="394871"/>
              </w:rPr>
              <w:t> </w:t>
            </w:r>
            <w:r>
              <w:rPr>
                <w:b/>
                <w:color w:val="394871"/>
                <w:spacing w:val="-2"/>
                <w:sz w:val="24"/>
                <w:u w:val="single" w:color="394871"/>
              </w:rPr>
              <w:t>Situation</w:t>
            </w:r>
          </w:p>
          <w:p>
            <w:pPr>
              <w:pStyle w:val="TableParagraph"/>
              <w:spacing w:line="242" w:lineRule="auto" w:before="119"/>
              <w:ind w:left="110"/>
              <w:rPr>
                <w:sz w:val="24"/>
              </w:rPr>
            </w:pPr>
            <w:r>
              <w:rPr>
                <w:spacing w:val="-2"/>
                <w:sz w:val="24"/>
              </w:rPr>
              <w:t>The</w:t>
            </w:r>
            <w:r>
              <w:rPr>
                <w:spacing w:val="-12"/>
                <w:sz w:val="24"/>
              </w:rPr>
              <w:t> </w:t>
            </w:r>
            <w:r>
              <w:rPr>
                <w:spacing w:val="-2"/>
                <w:sz w:val="24"/>
              </w:rPr>
              <w:t>Regional</w:t>
            </w:r>
            <w:r>
              <w:rPr>
                <w:spacing w:val="-11"/>
                <w:sz w:val="24"/>
              </w:rPr>
              <w:t> </w:t>
            </w:r>
            <w:r>
              <w:rPr>
                <w:spacing w:val="-2"/>
                <w:sz w:val="24"/>
              </w:rPr>
              <w:t>Joint</w:t>
            </w:r>
            <w:r>
              <w:rPr>
                <w:spacing w:val="-14"/>
                <w:sz w:val="24"/>
              </w:rPr>
              <w:t> </w:t>
            </w:r>
            <w:r>
              <w:rPr>
                <w:spacing w:val="-2"/>
                <w:sz w:val="24"/>
              </w:rPr>
              <w:t>Committee</w:t>
            </w:r>
            <w:r>
              <w:rPr>
                <w:spacing w:val="-11"/>
                <w:sz w:val="24"/>
              </w:rPr>
              <w:t> </w:t>
            </w:r>
            <w:r>
              <w:rPr>
                <w:spacing w:val="-2"/>
                <w:sz w:val="24"/>
              </w:rPr>
              <w:t>is</w:t>
            </w:r>
            <w:r>
              <w:rPr>
                <w:spacing w:val="-12"/>
                <w:sz w:val="24"/>
              </w:rPr>
              <w:t> </w:t>
            </w:r>
            <w:r>
              <w:rPr>
                <w:spacing w:val="-2"/>
                <w:sz w:val="24"/>
              </w:rPr>
              <w:t>asked</w:t>
            </w:r>
            <w:r>
              <w:rPr>
                <w:spacing w:val="-11"/>
                <w:sz w:val="24"/>
              </w:rPr>
              <w:t> </w:t>
            </w:r>
            <w:r>
              <w:rPr>
                <w:spacing w:val="-2"/>
                <w:sz w:val="24"/>
              </w:rPr>
              <w:t>to</w:t>
            </w:r>
            <w:r>
              <w:rPr>
                <w:spacing w:val="-7"/>
                <w:sz w:val="24"/>
              </w:rPr>
              <w:t> </w:t>
            </w:r>
            <w:r>
              <w:rPr>
                <w:spacing w:val="-2"/>
                <w:sz w:val="24"/>
              </w:rPr>
              <w:t>support</w:t>
            </w:r>
            <w:r>
              <w:rPr>
                <w:spacing w:val="-14"/>
                <w:sz w:val="24"/>
              </w:rPr>
              <w:t> </w:t>
            </w:r>
            <w:r>
              <w:rPr>
                <w:spacing w:val="-2"/>
                <w:sz w:val="24"/>
              </w:rPr>
              <w:t>the</w:t>
            </w:r>
            <w:r>
              <w:rPr>
                <w:spacing w:val="-11"/>
                <w:sz w:val="24"/>
              </w:rPr>
              <w:t> </w:t>
            </w:r>
            <w:r>
              <w:rPr>
                <w:spacing w:val="-2"/>
                <w:sz w:val="24"/>
              </w:rPr>
              <w:t>bringing</w:t>
            </w:r>
            <w:r>
              <w:rPr>
                <w:spacing w:val="-11"/>
                <w:sz w:val="24"/>
              </w:rPr>
              <w:t> </w:t>
            </w:r>
            <w:r>
              <w:rPr>
                <w:spacing w:val="-2"/>
                <w:sz w:val="24"/>
              </w:rPr>
              <w:t>of</w:t>
            </w:r>
            <w:r>
              <w:rPr>
                <w:spacing w:val="-14"/>
                <w:sz w:val="24"/>
              </w:rPr>
              <w:t> </w:t>
            </w:r>
            <w:r>
              <w:rPr>
                <w:spacing w:val="-2"/>
                <w:sz w:val="24"/>
              </w:rPr>
              <w:t>Finance</w:t>
            </w:r>
            <w:r>
              <w:rPr>
                <w:spacing w:val="-11"/>
                <w:sz w:val="24"/>
              </w:rPr>
              <w:t> </w:t>
            </w:r>
            <w:r>
              <w:rPr>
                <w:spacing w:val="-2"/>
                <w:sz w:val="24"/>
              </w:rPr>
              <w:t>and</w:t>
            </w:r>
            <w:r>
              <w:rPr>
                <w:spacing w:val="-11"/>
                <w:sz w:val="24"/>
              </w:rPr>
              <w:t> </w:t>
            </w:r>
            <w:r>
              <w:rPr>
                <w:spacing w:val="-2"/>
                <w:sz w:val="24"/>
              </w:rPr>
              <w:t>Contracting</w:t>
            </w:r>
            <w:r>
              <w:rPr>
                <w:spacing w:val="-15"/>
                <w:sz w:val="24"/>
              </w:rPr>
              <w:t> </w:t>
            </w:r>
            <w:r>
              <w:rPr>
                <w:spacing w:val="-2"/>
                <w:sz w:val="24"/>
              </w:rPr>
              <w:t>and </w:t>
            </w:r>
            <w:r>
              <w:rPr>
                <w:sz w:val="24"/>
              </w:rPr>
              <w:t>Data</w:t>
            </w:r>
            <w:r>
              <w:rPr>
                <w:spacing w:val="-11"/>
                <w:sz w:val="24"/>
              </w:rPr>
              <w:t> </w:t>
            </w:r>
            <w:r>
              <w:rPr>
                <w:sz w:val="24"/>
              </w:rPr>
              <w:t>and</w:t>
            </w:r>
            <w:r>
              <w:rPr>
                <w:spacing w:val="-11"/>
                <w:sz w:val="24"/>
              </w:rPr>
              <w:t> </w:t>
            </w:r>
            <w:r>
              <w:rPr>
                <w:sz w:val="24"/>
              </w:rPr>
              <w:t>Digital</w:t>
            </w:r>
            <w:r>
              <w:rPr>
                <w:spacing w:val="-11"/>
                <w:sz w:val="24"/>
              </w:rPr>
              <w:t> </w:t>
            </w:r>
            <w:r>
              <w:rPr>
                <w:sz w:val="24"/>
              </w:rPr>
              <w:t>together</w:t>
            </w:r>
            <w:r>
              <w:rPr>
                <w:spacing w:val="-11"/>
                <w:sz w:val="24"/>
              </w:rPr>
              <w:t> </w:t>
            </w:r>
            <w:r>
              <w:rPr>
                <w:sz w:val="24"/>
              </w:rPr>
              <w:t>in</w:t>
            </w:r>
            <w:r>
              <w:rPr>
                <w:spacing w:val="-11"/>
                <w:sz w:val="24"/>
              </w:rPr>
              <w:t> </w:t>
            </w:r>
            <w:r>
              <w:rPr>
                <w:sz w:val="24"/>
              </w:rPr>
              <w:t>a</w:t>
            </w:r>
            <w:r>
              <w:rPr>
                <w:spacing w:val="-11"/>
                <w:sz w:val="24"/>
              </w:rPr>
              <w:t> </w:t>
            </w:r>
            <w:r>
              <w:rPr>
                <w:sz w:val="24"/>
              </w:rPr>
              <w:t>single</w:t>
            </w:r>
            <w:r>
              <w:rPr>
                <w:spacing w:val="-11"/>
                <w:sz w:val="24"/>
              </w:rPr>
              <w:t> </w:t>
            </w:r>
            <w:r>
              <w:rPr>
                <w:sz w:val="24"/>
              </w:rPr>
              <w:t>regional</w:t>
            </w:r>
            <w:r>
              <w:rPr>
                <w:spacing w:val="-11"/>
                <w:sz w:val="24"/>
              </w:rPr>
              <w:t> </w:t>
            </w:r>
            <w:r>
              <w:rPr>
                <w:sz w:val="24"/>
              </w:rPr>
              <w:t>subgroup,</w:t>
            </w:r>
            <w:r>
              <w:rPr>
                <w:spacing w:val="-17"/>
                <w:sz w:val="24"/>
              </w:rPr>
              <w:t> </w:t>
            </w:r>
            <w:r>
              <w:rPr>
                <w:sz w:val="24"/>
              </w:rPr>
              <w:t>and</w:t>
            </w:r>
            <w:r>
              <w:rPr>
                <w:spacing w:val="-10"/>
                <w:sz w:val="24"/>
              </w:rPr>
              <w:t> </w:t>
            </w:r>
            <w:r>
              <w:rPr>
                <w:sz w:val="24"/>
              </w:rPr>
              <w:t>to</w:t>
            </w:r>
            <w:r>
              <w:rPr>
                <w:spacing w:val="-11"/>
                <w:sz w:val="24"/>
              </w:rPr>
              <w:t> </w:t>
            </w:r>
            <w:r>
              <w:rPr>
                <w:sz w:val="24"/>
              </w:rPr>
              <w:t>endorse</w:t>
            </w:r>
            <w:r>
              <w:rPr>
                <w:spacing w:val="-6"/>
                <w:sz w:val="24"/>
              </w:rPr>
              <w:t> </w:t>
            </w:r>
            <w:r>
              <w:rPr>
                <w:sz w:val="24"/>
              </w:rPr>
              <w:t>the</w:t>
            </w:r>
            <w:r>
              <w:rPr>
                <w:spacing w:val="-11"/>
                <w:sz w:val="24"/>
              </w:rPr>
              <w:t> </w:t>
            </w:r>
            <w:r>
              <w:rPr>
                <w:sz w:val="24"/>
              </w:rPr>
              <w:t>adoption</w:t>
            </w:r>
            <w:r>
              <w:rPr>
                <w:spacing w:val="-11"/>
                <w:sz w:val="24"/>
              </w:rPr>
              <w:t> </w:t>
            </w:r>
            <w:r>
              <w:rPr>
                <w:sz w:val="24"/>
              </w:rPr>
              <w:t>of</w:t>
            </w:r>
            <w:r>
              <w:rPr>
                <w:spacing w:val="-13"/>
                <w:sz w:val="24"/>
              </w:rPr>
              <w:t> </w:t>
            </w:r>
            <w:r>
              <w:rPr>
                <w:sz w:val="24"/>
              </w:rPr>
              <w:t>a common</w:t>
            </w:r>
            <w:r>
              <w:rPr>
                <w:spacing w:val="-10"/>
                <w:sz w:val="24"/>
              </w:rPr>
              <w:t> </w:t>
            </w:r>
            <w:r>
              <w:rPr>
                <w:sz w:val="24"/>
              </w:rPr>
              <w:t>value-based</w:t>
            </w:r>
            <w:r>
              <w:rPr>
                <w:spacing w:val="-14"/>
                <w:sz w:val="24"/>
              </w:rPr>
              <w:t> </w:t>
            </w:r>
            <w:r>
              <w:rPr>
                <w:sz w:val="24"/>
              </w:rPr>
              <w:t>approach</w:t>
            </w:r>
            <w:r>
              <w:rPr>
                <w:spacing w:val="-9"/>
                <w:sz w:val="24"/>
              </w:rPr>
              <w:t> </w:t>
            </w:r>
            <w:r>
              <w:rPr>
                <w:sz w:val="24"/>
              </w:rPr>
              <w:t>to</w:t>
            </w:r>
            <w:r>
              <w:rPr>
                <w:spacing w:val="-14"/>
                <w:sz w:val="24"/>
              </w:rPr>
              <w:t> </w:t>
            </w:r>
            <w:r>
              <w:rPr>
                <w:sz w:val="24"/>
              </w:rPr>
              <w:t>collaboration</w:t>
            </w:r>
            <w:r>
              <w:rPr>
                <w:spacing w:val="-9"/>
                <w:sz w:val="24"/>
              </w:rPr>
              <w:t> </w:t>
            </w:r>
            <w:r>
              <w:rPr>
                <w:sz w:val="24"/>
              </w:rPr>
              <w:t>and</w:t>
            </w:r>
            <w:r>
              <w:rPr>
                <w:spacing w:val="-17"/>
                <w:sz w:val="24"/>
              </w:rPr>
              <w:t> </w:t>
            </w:r>
            <w:r>
              <w:rPr>
                <w:sz w:val="24"/>
              </w:rPr>
              <w:t>Long</w:t>
            </w:r>
            <w:r>
              <w:rPr>
                <w:spacing w:val="-9"/>
                <w:sz w:val="24"/>
              </w:rPr>
              <w:t> </w:t>
            </w:r>
            <w:r>
              <w:rPr>
                <w:sz w:val="24"/>
              </w:rPr>
              <w:t>Term</w:t>
            </w:r>
            <w:r>
              <w:rPr>
                <w:spacing w:val="-14"/>
                <w:sz w:val="24"/>
              </w:rPr>
              <w:t> </w:t>
            </w:r>
            <w:r>
              <w:rPr>
                <w:sz w:val="24"/>
              </w:rPr>
              <w:t>Agreements</w:t>
            </w:r>
            <w:r>
              <w:rPr>
                <w:spacing w:val="-14"/>
                <w:sz w:val="24"/>
              </w:rPr>
              <w:t> </w:t>
            </w:r>
            <w:r>
              <w:rPr>
                <w:sz w:val="24"/>
              </w:rPr>
              <w:t>(LTAs).</w:t>
            </w:r>
          </w:p>
          <w:p>
            <w:pPr>
              <w:pStyle w:val="TableParagraph"/>
              <w:spacing w:before="114"/>
              <w:ind w:left="110"/>
              <w:rPr>
                <w:sz w:val="24"/>
              </w:rPr>
            </w:pPr>
            <w:r>
              <w:rPr>
                <w:sz w:val="24"/>
              </w:rPr>
              <w:t>The</w:t>
            </w:r>
            <w:r>
              <w:rPr>
                <w:spacing w:val="-13"/>
                <w:sz w:val="24"/>
              </w:rPr>
              <w:t> </w:t>
            </w:r>
            <w:r>
              <w:rPr>
                <w:sz w:val="24"/>
              </w:rPr>
              <w:t>purpose</w:t>
            </w:r>
            <w:r>
              <w:rPr>
                <w:spacing w:val="-13"/>
                <w:sz w:val="24"/>
              </w:rPr>
              <w:t> </w:t>
            </w:r>
            <w:r>
              <w:rPr>
                <w:sz w:val="24"/>
              </w:rPr>
              <w:t>is</w:t>
            </w:r>
            <w:r>
              <w:rPr>
                <w:spacing w:val="-9"/>
                <w:sz w:val="24"/>
              </w:rPr>
              <w:t> </w:t>
            </w:r>
            <w:r>
              <w:rPr>
                <w:sz w:val="24"/>
              </w:rPr>
              <w:t>to</w:t>
            </w:r>
            <w:r>
              <w:rPr>
                <w:spacing w:val="-13"/>
                <w:sz w:val="24"/>
              </w:rPr>
              <w:t> </w:t>
            </w:r>
            <w:r>
              <w:rPr>
                <w:sz w:val="24"/>
              </w:rPr>
              <w:t>connect</w:t>
            </w:r>
            <w:r>
              <w:rPr>
                <w:spacing w:val="-15"/>
                <w:sz w:val="24"/>
              </w:rPr>
              <w:t> </w:t>
            </w:r>
            <w:r>
              <w:rPr>
                <w:sz w:val="24"/>
              </w:rPr>
              <w:t>decisions</w:t>
            </w:r>
            <w:r>
              <w:rPr>
                <w:spacing w:val="-13"/>
                <w:sz w:val="24"/>
              </w:rPr>
              <w:t> </w:t>
            </w:r>
            <w:r>
              <w:rPr>
                <w:sz w:val="24"/>
              </w:rPr>
              <w:t>about</w:t>
            </w:r>
            <w:r>
              <w:rPr>
                <w:spacing w:val="-15"/>
                <w:sz w:val="24"/>
              </w:rPr>
              <w:t> </w:t>
            </w:r>
            <w:r>
              <w:rPr>
                <w:sz w:val="24"/>
              </w:rPr>
              <w:t>resources,</w:t>
            </w:r>
            <w:r>
              <w:rPr>
                <w:spacing w:val="-15"/>
                <w:sz w:val="24"/>
              </w:rPr>
              <w:t> </w:t>
            </w:r>
            <w:r>
              <w:rPr>
                <w:sz w:val="24"/>
              </w:rPr>
              <w:t>technology</w:t>
            </w:r>
            <w:r>
              <w:rPr>
                <w:spacing w:val="-17"/>
                <w:sz w:val="24"/>
              </w:rPr>
              <w:t> </w:t>
            </w:r>
            <w:r>
              <w:rPr>
                <w:sz w:val="24"/>
              </w:rPr>
              <w:t>and</w:t>
            </w:r>
            <w:r>
              <w:rPr>
                <w:spacing w:val="-12"/>
                <w:sz w:val="24"/>
              </w:rPr>
              <w:t> </w:t>
            </w:r>
            <w:r>
              <w:rPr>
                <w:sz w:val="24"/>
              </w:rPr>
              <w:t>service</w:t>
            </w:r>
            <w:r>
              <w:rPr>
                <w:spacing w:val="-13"/>
                <w:sz w:val="24"/>
              </w:rPr>
              <w:t> </w:t>
            </w:r>
            <w:r>
              <w:rPr>
                <w:sz w:val="24"/>
              </w:rPr>
              <w:t>delivery</w:t>
            </w:r>
            <w:r>
              <w:rPr>
                <w:spacing w:val="-13"/>
                <w:sz w:val="24"/>
              </w:rPr>
              <w:t> </w:t>
            </w:r>
            <w:r>
              <w:rPr>
                <w:sz w:val="24"/>
              </w:rPr>
              <w:t>with </w:t>
            </w:r>
            <w:r>
              <w:rPr>
                <w:spacing w:val="-2"/>
                <w:sz w:val="24"/>
              </w:rPr>
              <w:t>better</w:t>
            </w:r>
            <w:r>
              <w:rPr>
                <w:spacing w:val="-14"/>
                <w:sz w:val="24"/>
              </w:rPr>
              <w:t> </w:t>
            </w:r>
            <w:r>
              <w:rPr>
                <w:spacing w:val="-2"/>
                <w:sz w:val="24"/>
              </w:rPr>
              <w:t>outcomes</w:t>
            </w:r>
            <w:r>
              <w:rPr>
                <w:spacing w:val="-14"/>
                <w:sz w:val="24"/>
              </w:rPr>
              <w:t> </w:t>
            </w:r>
            <w:r>
              <w:rPr>
                <w:spacing w:val="-2"/>
                <w:sz w:val="24"/>
              </w:rPr>
              <w:t>and</w:t>
            </w:r>
            <w:r>
              <w:rPr>
                <w:spacing w:val="-13"/>
                <w:sz w:val="24"/>
              </w:rPr>
              <w:t> </w:t>
            </w:r>
            <w:r>
              <w:rPr>
                <w:spacing w:val="-2"/>
                <w:sz w:val="24"/>
              </w:rPr>
              <w:t>experience</w:t>
            </w:r>
            <w:r>
              <w:rPr>
                <w:spacing w:val="-13"/>
                <w:sz w:val="24"/>
              </w:rPr>
              <w:t> </w:t>
            </w:r>
            <w:r>
              <w:rPr>
                <w:spacing w:val="-2"/>
                <w:sz w:val="24"/>
              </w:rPr>
              <w:t>for</w:t>
            </w:r>
            <w:r>
              <w:rPr>
                <w:spacing w:val="-14"/>
                <w:sz w:val="24"/>
              </w:rPr>
              <w:t> </w:t>
            </w:r>
            <w:r>
              <w:rPr>
                <w:spacing w:val="-2"/>
                <w:sz w:val="24"/>
              </w:rPr>
              <w:t>patients</w:t>
            </w:r>
            <w:r>
              <w:rPr>
                <w:spacing w:val="-14"/>
                <w:sz w:val="24"/>
              </w:rPr>
              <w:t> </w:t>
            </w:r>
            <w:r>
              <w:rPr>
                <w:spacing w:val="-2"/>
                <w:sz w:val="24"/>
              </w:rPr>
              <w:t>across</w:t>
            </w:r>
            <w:r>
              <w:rPr>
                <w:spacing w:val="-14"/>
                <w:sz w:val="24"/>
              </w:rPr>
              <w:t> </w:t>
            </w:r>
            <w:r>
              <w:rPr>
                <w:spacing w:val="-2"/>
                <w:sz w:val="24"/>
              </w:rPr>
              <w:t>Hywel</w:t>
            </w:r>
            <w:r>
              <w:rPr>
                <w:spacing w:val="-13"/>
                <w:sz w:val="24"/>
              </w:rPr>
              <w:t> </w:t>
            </w:r>
            <w:r>
              <w:rPr>
                <w:spacing w:val="-2"/>
                <w:sz w:val="24"/>
              </w:rPr>
              <w:t>Dda</w:t>
            </w:r>
            <w:r>
              <w:rPr>
                <w:spacing w:val="-13"/>
                <w:sz w:val="24"/>
              </w:rPr>
              <w:t> </w:t>
            </w:r>
            <w:r>
              <w:rPr>
                <w:spacing w:val="-2"/>
                <w:sz w:val="24"/>
              </w:rPr>
              <w:t>and</w:t>
            </w:r>
            <w:r>
              <w:rPr>
                <w:spacing w:val="-13"/>
                <w:sz w:val="24"/>
              </w:rPr>
              <w:t> </w:t>
            </w:r>
            <w:r>
              <w:rPr>
                <w:spacing w:val="-2"/>
                <w:sz w:val="24"/>
              </w:rPr>
              <w:t>Swansea</w:t>
            </w:r>
            <w:r>
              <w:rPr>
                <w:spacing w:val="-13"/>
                <w:sz w:val="24"/>
              </w:rPr>
              <w:t> </w:t>
            </w:r>
            <w:r>
              <w:rPr>
                <w:spacing w:val="-2"/>
                <w:sz w:val="24"/>
              </w:rPr>
              <w:t>Bay</w:t>
            </w:r>
            <w:r>
              <w:rPr>
                <w:spacing w:val="-14"/>
                <w:sz w:val="24"/>
              </w:rPr>
              <w:t> </w:t>
            </w:r>
            <w:r>
              <w:rPr>
                <w:spacing w:val="-2"/>
                <w:sz w:val="24"/>
              </w:rPr>
              <w:t>University </w:t>
            </w:r>
            <w:r>
              <w:rPr>
                <w:sz w:val="24"/>
              </w:rPr>
              <w:t>Health Boards.</w:t>
            </w:r>
          </w:p>
          <w:p>
            <w:pPr>
              <w:pStyle w:val="TableParagraph"/>
              <w:spacing w:before="122"/>
              <w:ind w:left="110" w:right="203"/>
              <w:jc w:val="both"/>
              <w:rPr>
                <w:sz w:val="24"/>
              </w:rPr>
            </w:pPr>
            <w:r>
              <w:rPr>
                <w:spacing w:val="-2"/>
                <w:sz w:val="24"/>
              </w:rPr>
              <w:t>The</w:t>
            </w:r>
            <w:r>
              <w:rPr>
                <w:spacing w:val="-12"/>
                <w:sz w:val="24"/>
              </w:rPr>
              <w:t> </w:t>
            </w:r>
            <w:r>
              <w:rPr>
                <w:spacing w:val="-2"/>
                <w:sz w:val="24"/>
              </w:rPr>
              <w:t>proposal</w:t>
            </w:r>
            <w:r>
              <w:rPr>
                <w:spacing w:val="-12"/>
                <w:sz w:val="24"/>
              </w:rPr>
              <w:t> </w:t>
            </w:r>
            <w:r>
              <w:rPr>
                <w:spacing w:val="-2"/>
                <w:sz w:val="24"/>
              </w:rPr>
              <w:t>has</w:t>
            </w:r>
            <w:r>
              <w:rPr>
                <w:spacing w:val="-8"/>
                <w:sz w:val="24"/>
              </w:rPr>
              <w:t> </w:t>
            </w:r>
            <w:r>
              <w:rPr>
                <w:spacing w:val="-2"/>
                <w:sz w:val="24"/>
              </w:rPr>
              <w:t>three</w:t>
            </w:r>
            <w:r>
              <w:rPr>
                <w:spacing w:val="-7"/>
                <w:sz w:val="24"/>
              </w:rPr>
              <w:t> </w:t>
            </w:r>
            <w:r>
              <w:rPr>
                <w:spacing w:val="-2"/>
                <w:sz w:val="24"/>
              </w:rPr>
              <w:t>connected</w:t>
            </w:r>
            <w:r>
              <w:rPr>
                <w:spacing w:val="-12"/>
                <w:sz w:val="24"/>
              </w:rPr>
              <w:t> </w:t>
            </w:r>
            <w:r>
              <w:rPr>
                <w:spacing w:val="-2"/>
                <w:sz w:val="24"/>
              </w:rPr>
              <w:t>elements:</w:t>
            </w:r>
            <w:r>
              <w:rPr>
                <w:spacing w:val="-14"/>
                <w:sz w:val="24"/>
              </w:rPr>
              <w:t> </w:t>
            </w:r>
            <w:r>
              <w:rPr>
                <w:spacing w:val="-2"/>
                <w:sz w:val="24"/>
              </w:rPr>
              <w:t>joint</w:t>
            </w:r>
            <w:r>
              <w:rPr>
                <w:spacing w:val="-14"/>
                <w:sz w:val="24"/>
              </w:rPr>
              <w:t> </w:t>
            </w:r>
            <w:r>
              <w:rPr>
                <w:spacing w:val="-2"/>
                <w:sz w:val="24"/>
              </w:rPr>
              <w:t>oversight</w:t>
            </w:r>
            <w:r>
              <w:rPr>
                <w:spacing w:val="-14"/>
                <w:sz w:val="24"/>
              </w:rPr>
              <w:t> </w:t>
            </w:r>
            <w:r>
              <w:rPr>
                <w:spacing w:val="-2"/>
                <w:sz w:val="24"/>
              </w:rPr>
              <w:t>of</w:t>
            </w:r>
            <w:r>
              <w:rPr>
                <w:spacing w:val="-14"/>
                <w:sz w:val="24"/>
              </w:rPr>
              <w:t> </w:t>
            </w:r>
            <w:r>
              <w:rPr>
                <w:spacing w:val="-2"/>
                <w:sz w:val="24"/>
              </w:rPr>
              <w:t>finance</w:t>
            </w:r>
            <w:r>
              <w:rPr>
                <w:spacing w:val="-12"/>
                <w:sz w:val="24"/>
              </w:rPr>
              <w:t> </w:t>
            </w:r>
            <w:r>
              <w:rPr>
                <w:spacing w:val="-2"/>
                <w:sz w:val="24"/>
              </w:rPr>
              <w:t>and</w:t>
            </w:r>
            <w:r>
              <w:rPr>
                <w:spacing w:val="-12"/>
                <w:sz w:val="24"/>
              </w:rPr>
              <w:t> </w:t>
            </w:r>
            <w:r>
              <w:rPr>
                <w:spacing w:val="-2"/>
                <w:sz w:val="24"/>
              </w:rPr>
              <w:t>digital;</w:t>
            </w:r>
            <w:r>
              <w:rPr>
                <w:spacing w:val="-14"/>
                <w:sz w:val="24"/>
              </w:rPr>
              <w:t> </w:t>
            </w:r>
            <w:r>
              <w:rPr>
                <w:spacing w:val="-2"/>
                <w:sz w:val="24"/>
              </w:rPr>
              <w:t>a</w:t>
            </w:r>
            <w:r>
              <w:rPr>
                <w:spacing w:val="-12"/>
                <w:sz w:val="24"/>
              </w:rPr>
              <w:t> </w:t>
            </w:r>
            <w:r>
              <w:rPr>
                <w:spacing w:val="-2"/>
                <w:sz w:val="24"/>
              </w:rPr>
              <w:t>value</w:t>
            </w:r>
            <w:r>
              <w:rPr>
                <w:spacing w:val="-12"/>
                <w:sz w:val="24"/>
              </w:rPr>
              <w:t> </w:t>
            </w:r>
            <w:r>
              <w:rPr>
                <w:spacing w:val="-2"/>
                <w:sz w:val="24"/>
              </w:rPr>
              <w:t>logic framework</w:t>
            </w:r>
            <w:r>
              <w:rPr>
                <w:spacing w:val="-9"/>
                <w:sz w:val="24"/>
              </w:rPr>
              <w:t> </w:t>
            </w:r>
            <w:r>
              <w:rPr>
                <w:spacing w:val="-2"/>
                <w:sz w:val="24"/>
              </w:rPr>
              <w:t>for</w:t>
            </w:r>
            <w:r>
              <w:rPr>
                <w:spacing w:val="-14"/>
                <w:sz w:val="24"/>
              </w:rPr>
              <w:t> </w:t>
            </w:r>
            <w:r>
              <w:rPr>
                <w:spacing w:val="-2"/>
                <w:sz w:val="24"/>
              </w:rPr>
              <w:t>how</w:t>
            </w:r>
            <w:r>
              <w:rPr>
                <w:spacing w:val="-8"/>
                <w:sz w:val="24"/>
              </w:rPr>
              <w:t> </w:t>
            </w:r>
            <w:r>
              <w:rPr>
                <w:spacing w:val="-2"/>
                <w:sz w:val="24"/>
              </w:rPr>
              <w:t>teams</w:t>
            </w:r>
            <w:r>
              <w:rPr>
                <w:spacing w:val="-9"/>
                <w:sz w:val="24"/>
              </w:rPr>
              <w:t> </w:t>
            </w:r>
            <w:r>
              <w:rPr>
                <w:spacing w:val="-2"/>
                <w:sz w:val="24"/>
              </w:rPr>
              <w:t>work</w:t>
            </w:r>
            <w:r>
              <w:rPr>
                <w:spacing w:val="-9"/>
                <w:sz w:val="24"/>
              </w:rPr>
              <w:t> </w:t>
            </w:r>
            <w:r>
              <w:rPr>
                <w:spacing w:val="-2"/>
                <w:sz w:val="24"/>
              </w:rPr>
              <w:t>together;</w:t>
            </w:r>
            <w:r>
              <w:rPr>
                <w:spacing w:val="-15"/>
                <w:sz w:val="24"/>
              </w:rPr>
              <w:t> </w:t>
            </w:r>
            <w:r>
              <w:rPr>
                <w:spacing w:val="-2"/>
                <w:sz w:val="24"/>
              </w:rPr>
              <w:t>and</w:t>
            </w:r>
            <w:r>
              <w:rPr>
                <w:spacing w:val="-12"/>
                <w:sz w:val="24"/>
              </w:rPr>
              <w:t> </w:t>
            </w:r>
            <w:r>
              <w:rPr>
                <w:spacing w:val="-2"/>
                <w:sz w:val="24"/>
              </w:rPr>
              <w:t>a</w:t>
            </w:r>
            <w:r>
              <w:rPr>
                <w:spacing w:val="-3"/>
                <w:sz w:val="24"/>
              </w:rPr>
              <w:t> </w:t>
            </w:r>
            <w:r>
              <w:rPr>
                <w:spacing w:val="-2"/>
                <w:sz w:val="24"/>
              </w:rPr>
              <w:t>regional</w:t>
            </w:r>
            <w:r>
              <w:rPr>
                <w:spacing w:val="-8"/>
                <w:sz w:val="24"/>
              </w:rPr>
              <w:t> </w:t>
            </w:r>
            <w:r>
              <w:rPr>
                <w:spacing w:val="-2"/>
                <w:sz w:val="24"/>
              </w:rPr>
              <w:t>funding</w:t>
            </w:r>
            <w:r>
              <w:rPr>
                <w:spacing w:val="-13"/>
                <w:sz w:val="24"/>
              </w:rPr>
              <w:t> </w:t>
            </w:r>
            <w:r>
              <w:rPr>
                <w:spacing w:val="-2"/>
                <w:sz w:val="24"/>
              </w:rPr>
              <w:t>approach</w:t>
            </w:r>
            <w:r>
              <w:rPr>
                <w:spacing w:val="-8"/>
                <w:sz w:val="24"/>
              </w:rPr>
              <w:t> </w:t>
            </w:r>
            <w:r>
              <w:rPr>
                <w:spacing w:val="-2"/>
                <w:sz w:val="24"/>
              </w:rPr>
              <w:t>that</w:t>
            </w:r>
            <w:r>
              <w:rPr>
                <w:spacing w:val="-11"/>
                <w:sz w:val="24"/>
              </w:rPr>
              <w:t> </w:t>
            </w:r>
            <w:r>
              <w:rPr>
                <w:spacing w:val="-2"/>
                <w:sz w:val="24"/>
              </w:rPr>
              <w:t>enables</w:t>
            </w:r>
            <w:r>
              <w:rPr>
                <w:spacing w:val="-9"/>
                <w:sz w:val="24"/>
              </w:rPr>
              <w:t> </w:t>
            </w:r>
            <w:r>
              <w:rPr>
                <w:spacing w:val="-2"/>
                <w:sz w:val="24"/>
              </w:rPr>
              <w:t>agreed </w:t>
            </w:r>
            <w:r>
              <w:rPr>
                <w:sz w:val="24"/>
              </w:rPr>
              <w:t>pathway</w:t>
            </w:r>
            <w:r>
              <w:rPr>
                <w:spacing w:val="-1"/>
                <w:sz w:val="24"/>
              </w:rPr>
              <w:t> </w:t>
            </w:r>
            <w:r>
              <w:rPr>
                <w:sz w:val="24"/>
              </w:rPr>
              <w:t>changes</w:t>
            </w:r>
            <w:r>
              <w:rPr>
                <w:spacing w:val="-7"/>
                <w:sz w:val="24"/>
              </w:rPr>
              <w:t> </w:t>
            </w:r>
            <w:r>
              <w:rPr>
                <w:sz w:val="24"/>
              </w:rPr>
              <w:t>between the two organisations.</w:t>
            </w:r>
          </w:p>
          <w:p>
            <w:pPr>
              <w:pStyle w:val="TableParagraph"/>
              <w:spacing w:before="117"/>
              <w:ind w:left="110" w:right="251"/>
              <w:jc w:val="both"/>
              <w:rPr>
                <w:sz w:val="24"/>
              </w:rPr>
            </w:pPr>
            <w:r>
              <w:rPr>
                <w:sz w:val="24"/>
              </w:rPr>
              <w:t>Orthopaedics is proposed as the first LTA pilot, with shadow testing in the second half of </w:t>
            </w:r>
            <w:r>
              <w:rPr>
                <w:spacing w:val="-2"/>
                <w:sz w:val="24"/>
              </w:rPr>
              <w:t>2026/27</w:t>
            </w:r>
            <w:r>
              <w:rPr>
                <w:spacing w:val="-15"/>
                <w:sz w:val="24"/>
              </w:rPr>
              <w:t> </w:t>
            </w:r>
            <w:r>
              <w:rPr>
                <w:spacing w:val="-2"/>
                <w:sz w:val="24"/>
              </w:rPr>
              <w:t>and</w:t>
            </w:r>
            <w:r>
              <w:rPr>
                <w:spacing w:val="-15"/>
                <w:sz w:val="24"/>
              </w:rPr>
              <w:t> </w:t>
            </w:r>
            <w:r>
              <w:rPr>
                <w:spacing w:val="-2"/>
                <w:sz w:val="24"/>
              </w:rPr>
              <w:t>implementation</w:t>
            </w:r>
            <w:r>
              <w:rPr>
                <w:spacing w:val="-13"/>
                <w:sz w:val="24"/>
              </w:rPr>
              <w:t> </w:t>
            </w:r>
            <w:r>
              <w:rPr>
                <w:spacing w:val="-2"/>
                <w:sz w:val="24"/>
              </w:rPr>
              <w:t>from</w:t>
            </w:r>
            <w:r>
              <w:rPr>
                <w:spacing w:val="-15"/>
                <w:sz w:val="24"/>
              </w:rPr>
              <w:t> </w:t>
            </w:r>
            <w:r>
              <w:rPr>
                <w:spacing w:val="-2"/>
                <w:sz w:val="24"/>
              </w:rPr>
              <w:t>2027/28</w:t>
            </w:r>
            <w:r>
              <w:rPr>
                <w:spacing w:val="-14"/>
                <w:sz w:val="24"/>
              </w:rPr>
              <w:t> </w:t>
            </w:r>
            <w:r>
              <w:rPr>
                <w:spacing w:val="-2"/>
                <w:sz w:val="24"/>
              </w:rPr>
              <w:t>subject</w:t>
            </w:r>
            <w:r>
              <w:rPr>
                <w:spacing w:val="-13"/>
                <w:sz w:val="24"/>
              </w:rPr>
              <w:t> </w:t>
            </w:r>
            <w:r>
              <w:rPr>
                <w:spacing w:val="-2"/>
                <w:sz w:val="24"/>
              </w:rPr>
              <w:t>to</w:t>
            </w:r>
            <w:r>
              <w:rPr>
                <w:spacing w:val="-15"/>
                <w:sz w:val="24"/>
              </w:rPr>
              <w:t> </w:t>
            </w:r>
            <w:r>
              <w:rPr>
                <w:spacing w:val="-2"/>
                <w:sz w:val="24"/>
              </w:rPr>
              <w:t>evaluation</w:t>
            </w:r>
            <w:r>
              <w:rPr>
                <w:spacing w:val="-14"/>
                <w:sz w:val="24"/>
              </w:rPr>
              <w:t> </w:t>
            </w:r>
            <w:r>
              <w:rPr>
                <w:spacing w:val="-2"/>
                <w:sz w:val="24"/>
              </w:rPr>
              <w:t>and</w:t>
            </w:r>
            <w:r>
              <w:rPr>
                <w:spacing w:val="-10"/>
                <w:sz w:val="24"/>
              </w:rPr>
              <w:t> </w:t>
            </w:r>
            <w:r>
              <w:rPr>
                <w:spacing w:val="-2"/>
                <w:sz w:val="24"/>
              </w:rPr>
              <w:t>the</w:t>
            </w:r>
            <w:r>
              <w:rPr>
                <w:spacing w:val="-15"/>
                <w:sz w:val="24"/>
              </w:rPr>
              <w:t> </w:t>
            </w:r>
            <w:r>
              <w:rPr>
                <w:spacing w:val="-2"/>
                <w:sz w:val="24"/>
              </w:rPr>
              <w:t>necessary</w:t>
            </w:r>
            <w:r>
              <w:rPr>
                <w:spacing w:val="-15"/>
                <w:sz w:val="24"/>
              </w:rPr>
              <w:t> </w:t>
            </w:r>
            <w:r>
              <w:rPr>
                <w:spacing w:val="-2"/>
                <w:sz w:val="24"/>
              </w:rPr>
              <w:t>approvals.</w:t>
            </w:r>
          </w:p>
        </w:tc>
      </w:tr>
    </w:tbl>
    <w:p>
      <w:pPr>
        <w:pStyle w:val="TableParagraph"/>
        <w:spacing w:after="0"/>
        <w:jc w:val="both"/>
        <w:rPr>
          <w:sz w:val="24"/>
        </w:rPr>
        <w:sectPr>
          <w:pgSz w:w="11910" w:h="16840"/>
          <w:pgMar w:header="0" w:footer="149" w:top="200" w:bottom="340" w:left="850" w:right="850"/>
        </w:sect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619" w:hRule="atLeast"/>
        </w:trPr>
        <w:tc>
          <w:tcPr>
            <w:tcW w:w="10069" w:type="dxa"/>
            <w:tcBorders>
              <w:top w:val="nil"/>
            </w:tcBorders>
          </w:tcPr>
          <w:p>
            <w:pPr>
              <w:pStyle w:val="TableParagraph"/>
              <w:ind w:left="110"/>
              <w:rPr>
                <w:b/>
                <w:sz w:val="24"/>
              </w:rPr>
            </w:pPr>
            <w:r>
              <w:rPr>
                <w:b/>
                <w:color w:val="394871"/>
                <w:spacing w:val="-2"/>
                <w:sz w:val="24"/>
                <w:u w:val="single" w:color="394871"/>
              </w:rPr>
              <w:t>Asesiad</w:t>
            </w:r>
            <w:r>
              <w:rPr>
                <w:b/>
                <w:color w:val="394871"/>
                <w:spacing w:val="-12"/>
                <w:sz w:val="24"/>
                <w:u w:val="single" w:color="394871"/>
              </w:rPr>
              <w:t> </w:t>
            </w:r>
            <w:r>
              <w:rPr>
                <w:b/>
                <w:color w:val="394871"/>
                <w:spacing w:val="-2"/>
                <w:sz w:val="24"/>
                <w:u w:val="single" w:color="394871"/>
              </w:rPr>
              <w:t>/</w:t>
            </w:r>
            <w:r>
              <w:rPr>
                <w:b/>
                <w:color w:val="394871"/>
                <w:spacing w:val="-12"/>
                <w:sz w:val="24"/>
                <w:u w:val="single" w:color="394871"/>
              </w:rPr>
              <w:t> </w:t>
            </w:r>
            <w:r>
              <w:rPr>
                <w:b/>
                <w:color w:val="394871"/>
                <w:spacing w:val="-2"/>
                <w:sz w:val="24"/>
                <w:u w:val="single" w:color="394871"/>
              </w:rPr>
              <w:t>Assessment</w:t>
            </w:r>
          </w:p>
          <w:p>
            <w:pPr>
              <w:pStyle w:val="TableParagraph"/>
              <w:spacing w:before="124"/>
              <w:ind w:left="110"/>
              <w:rPr>
                <w:b/>
                <w:sz w:val="24"/>
              </w:rPr>
            </w:pPr>
            <w:r>
              <w:rPr>
                <w:b/>
                <w:spacing w:val="-2"/>
                <w:sz w:val="24"/>
              </w:rPr>
              <w:t>Benefits</w:t>
            </w:r>
            <w:r>
              <w:rPr>
                <w:b/>
                <w:spacing w:val="-14"/>
                <w:sz w:val="24"/>
              </w:rPr>
              <w:t> </w:t>
            </w:r>
            <w:r>
              <w:rPr>
                <w:b/>
                <w:spacing w:val="-2"/>
                <w:sz w:val="24"/>
              </w:rPr>
              <w:t>of</w:t>
            </w:r>
            <w:r>
              <w:rPr>
                <w:b/>
                <w:spacing w:val="-8"/>
                <w:sz w:val="24"/>
              </w:rPr>
              <w:t> </w:t>
            </w:r>
            <w:r>
              <w:rPr>
                <w:b/>
                <w:spacing w:val="-2"/>
                <w:sz w:val="24"/>
              </w:rPr>
              <w:t>bringing</w:t>
            </w:r>
            <w:r>
              <w:rPr>
                <w:b/>
                <w:spacing w:val="-15"/>
                <w:sz w:val="24"/>
              </w:rPr>
              <w:t> </w:t>
            </w:r>
            <w:r>
              <w:rPr>
                <w:b/>
                <w:spacing w:val="-2"/>
                <w:sz w:val="24"/>
              </w:rPr>
              <w:t>finance</w:t>
            </w:r>
            <w:r>
              <w:rPr>
                <w:b/>
                <w:spacing w:val="-12"/>
                <w:sz w:val="24"/>
              </w:rPr>
              <w:t> </w:t>
            </w:r>
            <w:r>
              <w:rPr>
                <w:b/>
                <w:spacing w:val="-2"/>
                <w:sz w:val="24"/>
              </w:rPr>
              <w:t>and</w:t>
            </w:r>
            <w:r>
              <w:rPr>
                <w:b/>
                <w:spacing w:val="-11"/>
                <w:sz w:val="24"/>
              </w:rPr>
              <w:t> </w:t>
            </w:r>
            <w:r>
              <w:rPr>
                <w:b/>
                <w:spacing w:val="-2"/>
                <w:sz w:val="24"/>
              </w:rPr>
              <w:t>digital</w:t>
            </w:r>
            <w:r>
              <w:rPr>
                <w:b/>
                <w:spacing w:val="-14"/>
                <w:sz w:val="24"/>
              </w:rPr>
              <w:t> </w:t>
            </w:r>
            <w:r>
              <w:rPr>
                <w:b/>
                <w:spacing w:val="-2"/>
                <w:sz w:val="24"/>
              </w:rPr>
              <w:t>together</w:t>
            </w:r>
          </w:p>
          <w:p>
            <w:pPr>
              <w:pStyle w:val="TableParagraph"/>
              <w:spacing w:before="119"/>
              <w:ind w:left="110"/>
              <w:rPr>
                <w:sz w:val="24"/>
              </w:rPr>
            </w:pPr>
            <w:r>
              <w:rPr>
                <w:spacing w:val="-2"/>
                <w:sz w:val="24"/>
              </w:rPr>
              <w:t>A</w:t>
            </w:r>
            <w:r>
              <w:rPr>
                <w:spacing w:val="-15"/>
                <w:sz w:val="24"/>
              </w:rPr>
              <w:t> </w:t>
            </w:r>
            <w:r>
              <w:rPr>
                <w:spacing w:val="-2"/>
                <w:sz w:val="24"/>
              </w:rPr>
              <w:t>combined</w:t>
            </w:r>
            <w:r>
              <w:rPr>
                <w:spacing w:val="-15"/>
                <w:sz w:val="24"/>
              </w:rPr>
              <w:t> </w:t>
            </w:r>
            <w:r>
              <w:rPr>
                <w:spacing w:val="-2"/>
                <w:sz w:val="24"/>
              </w:rPr>
              <w:t>subgroup</w:t>
            </w:r>
            <w:r>
              <w:rPr>
                <w:spacing w:val="-14"/>
                <w:sz w:val="24"/>
              </w:rPr>
              <w:t> </w:t>
            </w:r>
            <w:r>
              <w:rPr>
                <w:spacing w:val="-2"/>
                <w:sz w:val="24"/>
              </w:rPr>
              <w:t>would</w:t>
            </w:r>
            <w:r>
              <w:rPr>
                <w:spacing w:val="-14"/>
                <w:sz w:val="24"/>
              </w:rPr>
              <w:t> </w:t>
            </w:r>
            <w:r>
              <w:rPr>
                <w:spacing w:val="-2"/>
                <w:sz w:val="24"/>
              </w:rPr>
              <w:t>align</w:t>
            </w:r>
            <w:r>
              <w:rPr>
                <w:spacing w:val="-13"/>
                <w:sz w:val="24"/>
              </w:rPr>
              <w:t> </w:t>
            </w:r>
            <w:r>
              <w:rPr>
                <w:spacing w:val="-2"/>
                <w:sz w:val="24"/>
              </w:rPr>
              <w:t>regional</w:t>
            </w:r>
            <w:r>
              <w:rPr>
                <w:spacing w:val="-15"/>
                <w:sz w:val="24"/>
              </w:rPr>
              <w:t> </w:t>
            </w:r>
            <w:r>
              <w:rPr>
                <w:spacing w:val="-2"/>
                <w:sz w:val="24"/>
              </w:rPr>
              <w:t>oversight</w:t>
            </w:r>
            <w:r>
              <w:rPr>
                <w:spacing w:val="-15"/>
                <w:sz w:val="24"/>
              </w:rPr>
              <w:t> </w:t>
            </w:r>
            <w:r>
              <w:rPr>
                <w:spacing w:val="-2"/>
                <w:sz w:val="24"/>
              </w:rPr>
              <w:t>with</w:t>
            </w:r>
            <w:r>
              <w:rPr>
                <w:spacing w:val="-14"/>
                <w:sz w:val="24"/>
              </w:rPr>
              <w:t> </w:t>
            </w:r>
            <w:r>
              <w:rPr>
                <w:spacing w:val="-2"/>
                <w:sz w:val="24"/>
              </w:rPr>
              <w:t>executive</w:t>
            </w:r>
            <w:r>
              <w:rPr>
                <w:spacing w:val="-13"/>
                <w:sz w:val="24"/>
              </w:rPr>
              <w:t> </w:t>
            </w:r>
            <w:r>
              <w:rPr>
                <w:spacing w:val="-2"/>
                <w:sz w:val="24"/>
              </w:rPr>
              <w:t>accountability</w:t>
            </w:r>
            <w:r>
              <w:rPr>
                <w:spacing w:val="-14"/>
                <w:sz w:val="24"/>
              </w:rPr>
              <w:t> </w:t>
            </w:r>
            <w:r>
              <w:rPr>
                <w:spacing w:val="-2"/>
                <w:sz w:val="24"/>
              </w:rPr>
              <w:t>and</w:t>
            </w:r>
            <w:r>
              <w:rPr>
                <w:spacing w:val="-13"/>
                <w:sz w:val="24"/>
              </w:rPr>
              <w:t> </w:t>
            </w:r>
            <w:r>
              <w:rPr>
                <w:spacing w:val="-2"/>
                <w:sz w:val="24"/>
              </w:rPr>
              <w:t>provide one</w:t>
            </w:r>
            <w:r>
              <w:rPr>
                <w:spacing w:val="-11"/>
                <w:sz w:val="24"/>
              </w:rPr>
              <w:t> </w:t>
            </w:r>
            <w:r>
              <w:rPr>
                <w:spacing w:val="-2"/>
                <w:sz w:val="24"/>
              </w:rPr>
              <w:t>route for</w:t>
            </w:r>
            <w:r>
              <w:rPr>
                <w:spacing w:val="-7"/>
                <w:sz w:val="24"/>
              </w:rPr>
              <w:t> </w:t>
            </w:r>
            <w:r>
              <w:rPr>
                <w:spacing w:val="-2"/>
                <w:sz w:val="24"/>
              </w:rPr>
              <w:t>prioritising</w:t>
            </w:r>
            <w:r>
              <w:rPr>
                <w:spacing w:val="-11"/>
                <w:sz w:val="24"/>
              </w:rPr>
              <w:t> </w:t>
            </w:r>
            <w:r>
              <w:rPr>
                <w:spacing w:val="-2"/>
                <w:sz w:val="24"/>
              </w:rPr>
              <w:t>investment,</w:t>
            </w:r>
            <w:r>
              <w:rPr>
                <w:spacing w:val="-4"/>
                <w:sz w:val="24"/>
              </w:rPr>
              <w:t> </w:t>
            </w:r>
            <w:r>
              <w:rPr>
                <w:spacing w:val="-2"/>
                <w:sz w:val="24"/>
              </w:rPr>
              <w:t>testing</w:t>
            </w:r>
            <w:r>
              <w:rPr>
                <w:spacing w:val="-6"/>
                <w:sz w:val="24"/>
              </w:rPr>
              <w:t> </w:t>
            </w:r>
            <w:r>
              <w:rPr>
                <w:spacing w:val="-2"/>
                <w:sz w:val="24"/>
              </w:rPr>
              <w:t>affordability</w:t>
            </w:r>
            <w:r>
              <w:rPr>
                <w:spacing w:val="-12"/>
                <w:sz w:val="24"/>
              </w:rPr>
              <w:t> </w:t>
            </w:r>
            <w:r>
              <w:rPr>
                <w:spacing w:val="-2"/>
                <w:sz w:val="24"/>
              </w:rPr>
              <w:t>and</w:t>
            </w:r>
            <w:r>
              <w:rPr>
                <w:spacing w:val="-6"/>
                <w:sz w:val="24"/>
              </w:rPr>
              <w:t> </w:t>
            </w:r>
            <w:r>
              <w:rPr>
                <w:spacing w:val="-2"/>
                <w:sz w:val="24"/>
              </w:rPr>
              <w:t>tracking</w:t>
            </w:r>
            <w:r>
              <w:rPr>
                <w:spacing w:val="-11"/>
                <w:sz w:val="24"/>
              </w:rPr>
              <w:t> </w:t>
            </w:r>
            <w:r>
              <w:rPr>
                <w:spacing w:val="-2"/>
                <w:sz w:val="24"/>
              </w:rPr>
              <w:t>benefits.</w:t>
            </w:r>
            <w:r>
              <w:rPr>
                <w:spacing w:val="-4"/>
                <w:sz w:val="24"/>
              </w:rPr>
              <w:t> </w:t>
            </w:r>
            <w:r>
              <w:rPr>
                <w:spacing w:val="-2"/>
                <w:sz w:val="24"/>
              </w:rPr>
              <w:t>It</w:t>
            </w:r>
            <w:r>
              <w:rPr>
                <w:spacing w:val="-14"/>
                <w:sz w:val="24"/>
              </w:rPr>
              <w:t> </w:t>
            </w:r>
            <w:r>
              <w:rPr>
                <w:spacing w:val="-2"/>
                <w:sz w:val="24"/>
              </w:rPr>
              <w:t>would</w:t>
            </w:r>
            <w:r>
              <w:rPr>
                <w:spacing w:val="-6"/>
                <w:sz w:val="24"/>
              </w:rPr>
              <w:t> </w:t>
            </w:r>
            <w:r>
              <w:rPr>
                <w:spacing w:val="-2"/>
                <w:sz w:val="24"/>
              </w:rPr>
              <w:t>reduce </w:t>
            </w:r>
            <w:r>
              <w:rPr>
                <w:sz w:val="24"/>
              </w:rPr>
              <w:t>duplicate</w:t>
            </w:r>
            <w:r>
              <w:rPr>
                <w:spacing w:val="-14"/>
                <w:sz w:val="24"/>
              </w:rPr>
              <w:t> </w:t>
            </w:r>
            <w:r>
              <w:rPr>
                <w:sz w:val="24"/>
              </w:rPr>
              <w:t>discussion</w:t>
            </w:r>
            <w:r>
              <w:rPr>
                <w:spacing w:val="-17"/>
                <w:sz w:val="24"/>
              </w:rPr>
              <w:t> </w:t>
            </w:r>
            <w:r>
              <w:rPr>
                <w:sz w:val="24"/>
              </w:rPr>
              <w:t>and</w:t>
            </w:r>
            <w:r>
              <w:rPr>
                <w:spacing w:val="-12"/>
                <w:sz w:val="24"/>
              </w:rPr>
              <w:t> </w:t>
            </w:r>
            <w:r>
              <w:rPr>
                <w:sz w:val="24"/>
              </w:rPr>
              <w:t>make</w:t>
            </w:r>
            <w:r>
              <w:rPr>
                <w:spacing w:val="-7"/>
                <w:sz w:val="24"/>
              </w:rPr>
              <w:t> </w:t>
            </w:r>
            <w:r>
              <w:rPr>
                <w:sz w:val="24"/>
              </w:rPr>
              <w:t>the</w:t>
            </w:r>
            <w:r>
              <w:rPr>
                <w:spacing w:val="-12"/>
                <w:sz w:val="24"/>
              </w:rPr>
              <w:t> </w:t>
            </w:r>
            <w:r>
              <w:rPr>
                <w:sz w:val="24"/>
              </w:rPr>
              <w:t>costs,</w:t>
            </w:r>
            <w:r>
              <w:rPr>
                <w:spacing w:val="-17"/>
                <w:sz w:val="24"/>
              </w:rPr>
              <w:t> </w:t>
            </w:r>
            <w:r>
              <w:rPr>
                <w:sz w:val="24"/>
              </w:rPr>
              <w:t>dependencies</w:t>
            </w:r>
            <w:r>
              <w:rPr>
                <w:spacing w:val="-13"/>
                <w:sz w:val="24"/>
              </w:rPr>
              <w:t> </w:t>
            </w:r>
            <w:r>
              <w:rPr>
                <w:sz w:val="24"/>
              </w:rPr>
              <w:t>and</w:t>
            </w:r>
            <w:r>
              <w:rPr>
                <w:spacing w:val="-12"/>
                <w:sz w:val="24"/>
              </w:rPr>
              <w:t> </w:t>
            </w:r>
            <w:r>
              <w:rPr>
                <w:sz w:val="24"/>
              </w:rPr>
              <w:t>consequences</w:t>
            </w:r>
            <w:r>
              <w:rPr>
                <w:spacing w:val="-13"/>
                <w:sz w:val="24"/>
              </w:rPr>
              <w:t> </w:t>
            </w:r>
            <w:r>
              <w:rPr>
                <w:sz w:val="24"/>
              </w:rPr>
              <w:t>of</w:t>
            </w:r>
            <w:r>
              <w:rPr>
                <w:spacing w:val="-15"/>
                <w:sz w:val="24"/>
              </w:rPr>
              <w:t> </w:t>
            </w:r>
            <w:r>
              <w:rPr>
                <w:sz w:val="24"/>
              </w:rPr>
              <w:t>digital</w:t>
            </w:r>
            <w:r>
              <w:rPr>
                <w:spacing w:val="-12"/>
                <w:sz w:val="24"/>
              </w:rPr>
              <w:t> </w:t>
            </w:r>
            <w:r>
              <w:rPr>
                <w:sz w:val="24"/>
              </w:rPr>
              <w:t>and service</w:t>
            </w:r>
            <w:r>
              <w:rPr>
                <w:spacing w:val="-4"/>
                <w:sz w:val="24"/>
              </w:rPr>
              <w:t> </w:t>
            </w:r>
            <w:r>
              <w:rPr>
                <w:sz w:val="24"/>
              </w:rPr>
              <w:t>changes</w:t>
            </w:r>
            <w:r>
              <w:rPr>
                <w:spacing w:val="-5"/>
                <w:sz w:val="24"/>
              </w:rPr>
              <w:t> </w:t>
            </w:r>
            <w:r>
              <w:rPr>
                <w:sz w:val="24"/>
              </w:rPr>
              <w:t>visible</w:t>
            </w:r>
            <w:r>
              <w:rPr>
                <w:spacing w:val="-4"/>
                <w:sz w:val="24"/>
              </w:rPr>
              <w:t> </w:t>
            </w:r>
            <w:r>
              <w:rPr>
                <w:sz w:val="24"/>
              </w:rPr>
              <w:t>before</w:t>
            </w:r>
            <w:r>
              <w:rPr>
                <w:spacing w:val="-4"/>
                <w:sz w:val="24"/>
              </w:rPr>
              <w:t> </w:t>
            </w:r>
            <w:r>
              <w:rPr>
                <w:sz w:val="24"/>
              </w:rPr>
              <w:t>decisions</w:t>
            </w:r>
            <w:r>
              <w:rPr>
                <w:spacing w:val="-5"/>
                <w:sz w:val="24"/>
              </w:rPr>
              <w:t> </w:t>
            </w:r>
            <w:r>
              <w:rPr>
                <w:sz w:val="24"/>
              </w:rPr>
              <w:t>are</w:t>
            </w:r>
            <w:r>
              <w:rPr>
                <w:spacing w:val="-4"/>
                <w:sz w:val="24"/>
              </w:rPr>
              <w:t> </w:t>
            </w:r>
            <w:r>
              <w:rPr>
                <w:sz w:val="24"/>
              </w:rPr>
              <w:t>taken.</w:t>
            </w:r>
          </w:p>
          <w:p>
            <w:pPr>
              <w:pStyle w:val="TableParagraph"/>
              <w:spacing w:before="121"/>
              <w:ind w:left="110" w:right="212"/>
              <w:rPr>
                <w:sz w:val="24"/>
              </w:rPr>
            </w:pPr>
            <w:r>
              <w:rPr>
                <w:sz w:val="24"/>
              </w:rPr>
              <w:t>For</w:t>
            </w:r>
            <w:r>
              <w:rPr>
                <w:spacing w:val="-17"/>
                <w:sz w:val="24"/>
              </w:rPr>
              <w:t> </w:t>
            </w:r>
            <w:r>
              <w:rPr>
                <w:sz w:val="24"/>
              </w:rPr>
              <w:t>teams,</w:t>
            </w:r>
            <w:r>
              <w:rPr>
                <w:spacing w:val="-17"/>
                <w:sz w:val="24"/>
              </w:rPr>
              <w:t> </w:t>
            </w:r>
            <w:r>
              <w:rPr>
                <w:sz w:val="24"/>
              </w:rPr>
              <w:t>joint</w:t>
            </w:r>
            <w:r>
              <w:rPr>
                <w:spacing w:val="-16"/>
                <w:sz w:val="24"/>
              </w:rPr>
              <w:t> </w:t>
            </w:r>
            <w:r>
              <w:rPr>
                <w:sz w:val="24"/>
              </w:rPr>
              <w:t>working</w:t>
            </w:r>
            <w:r>
              <w:rPr>
                <w:spacing w:val="-17"/>
                <w:sz w:val="24"/>
              </w:rPr>
              <w:t> </w:t>
            </w:r>
            <w:r>
              <w:rPr>
                <w:sz w:val="24"/>
              </w:rPr>
              <w:t>would</w:t>
            </w:r>
            <w:r>
              <w:rPr>
                <w:spacing w:val="-17"/>
                <w:sz w:val="24"/>
              </w:rPr>
              <w:t> </w:t>
            </w:r>
            <w:r>
              <w:rPr>
                <w:sz w:val="24"/>
              </w:rPr>
              <w:t>combine</w:t>
            </w:r>
            <w:r>
              <w:rPr>
                <w:spacing w:val="-11"/>
                <w:sz w:val="24"/>
              </w:rPr>
              <w:t> </w:t>
            </w:r>
            <w:r>
              <w:rPr>
                <w:sz w:val="24"/>
              </w:rPr>
              <w:t>finance,</w:t>
            </w:r>
            <w:r>
              <w:rPr>
                <w:spacing w:val="-14"/>
                <w:sz w:val="24"/>
              </w:rPr>
              <w:t> </w:t>
            </w:r>
            <w:r>
              <w:rPr>
                <w:sz w:val="24"/>
              </w:rPr>
              <w:t>contracting,</w:t>
            </w:r>
            <w:r>
              <w:rPr>
                <w:spacing w:val="-17"/>
                <w:sz w:val="24"/>
              </w:rPr>
              <w:t> </w:t>
            </w:r>
            <w:r>
              <w:rPr>
                <w:sz w:val="24"/>
              </w:rPr>
              <w:t>digital,</w:t>
            </w:r>
            <w:r>
              <w:rPr>
                <w:spacing w:val="-17"/>
                <w:sz w:val="24"/>
              </w:rPr>
              <w:t> </w:t>
            </w:r>
            <w:r>
              <w:rPr>
                <w:sz w:val="24"/>
              </w:rPr>
              <w:t>analytical,</w:t>
            </w:r>
            <w:r>
              <w:rPr>
                <w:spacing w:val="-16"/>
                <w:sz w:val="24"/>
              </w:rPr>
              <w:t> </w:t>
            </w:r>
            <w:r>
              <w:rPr>
                <w:sz w:val="24"/>
              </w:rPr>
              <w:t>clinical</w:t>
            </w:r>
            <w:r>
              <w:rPr>
                <w:spacing w:val="-16"/>
                <w:sz w:val="24"/>
              </w:rPr>
              <w:t> </w:t>
            </w:r>
            <w:r>
              <w:rPr>
                <w:sz w:val="24"/>
              </w:rPr>
              <w:t>and </w:t>
            </w:r>
            <w:r>
              <w:rPr>
                <w:spacing w:val="-2"/>
                <w:sz w:val="24"/>
              </w:rPr>
              <w:t>operational</w:t>
            </w:r>
            <w:r>
              <w:rPr>
                <w:spacing w:val="-14"/>
                <w:sz w:val="24"/>
              </w:rPr>
              <w:t> </w:t>
            </w:r>
            <w:r>
              <w:rPr>
                <w:spacing w:val="-2"/>
                <w:sz w:val="24"/>
              </w:rPr>
              <w:t>expertise</w:t>
            </w:r>
            <w:r>
              <w:rPr>
                <w:spacing w:val="-13"/>
                <w:sz w:val="24"/>
              </w:rPr>
              <w:t> </w:t>
            </w:r>
            <w:r>
              <w:rPr>
                <w:spacing w:val="-2"/>
                <w:sz w:val="24"/>
              </w:rPr>
              <w:t>around</w:t>
            </w:r>
            <w:r>
              <w:rPr>
                <w:spacing w:val="-15"/>
                <w:sz w:val="24"/>
              </w:rPr>
              <w:t> </w:t>
            </w:r>
            <w:r>
              <w:rPr>
                <w:spacing w:val="-2"/>
                <w:sz w:val="24"/>
              </w:rPr>
              <w:t>a</w:t>
            </w:r>
            <w:r>
              <w:rPr>
                <w:spacing w:val="-9"/>
                <w:sz w:val="24"/>
              </w:rPr>
              <w:t> </w:t>
            </w:r>
            <w:r>
              <w:rPr>
                <w:spacing w:val="-2"/>
                <w:sz w:val="24"/>
              </w:rPr>
              <w:t>shared</w:t>
            </w:r>
            <w:r>
              <w:rPr>
                <w:spacing w:val="-13"/>
                <w:sz w:val="24"/>
              </w:rPr>
              <w:t> </w:t>
            </w:r>
            <w:r>
              <w:rPr>
                <w:spacing w:val="-2"/>
                <w:sz w:val="24"/>
              </w:rPr>
              <w:t>approach.</w:t>
            </w:r>
            <w:r>
              <w:rPr>
                <w:spacing w:val="-12"/>
                <w:sz w:val="24"/>
              </w:rPr>
              <w:t> </w:t>
            </w:r>
            <w:r>
              <w:rPr>
                <w:spacing w:val="-2"/>
                <w:sz w:val="24"/>
              </w:rPr>
              <w:t>Common</w:t>
            </w:r>
            <w:r>
              <w:rPr>
                <w:spacing w:val="-13"/>
                <w:sz w:val="24"/>
              </w:rPr>
              <w:t> </w:t>
            </w:r>
            <w:r>
              <w:rPr>
                <w:spacing w:val="-2"/>
                <w:sz w:val="24"/>
              </w:rPr>
              <w:t>data</w:t>
            </w:r>
            <w:r>
              <w:rPr>
                <w:spacing w:val="-13"/>
                <w:sz w:val="24"/>
              </w:rPr>
              <w:t> </w:t>
            </w:r>
            <w:r>
              <w:rPr>
                <w:spacing w:val="-2"/>
                <w:sz w:val="24"/>
              </w:rPr>
              <w:t>definitions</w:t>
            </w:r>
            <w:r>
              <w:rPr>
                <w:spacing w:val="-14"/>
                <w:sz w:val="24"/>
              </w:rPr>
              <w:t> </w:t>
            </w:r>
            <w:r>
              <w:rPr>
                <w:spacing w:val="-2"/>
                <w:sz w:val="24"/>
              </w:rPr>
              <w:t>and</w:t>
            </w:r>
            <w:r>
              <w:rPr>
                <w:spacing w:val="-13"/>
                <w:sz w:val="24"/>
              </w:rPr>
              <w:t> </w:t>
            </w:r>
            <w:r>
              <w:rPr>
                <w:spacing w:val="-2"/>
                <w:sz w:val="24"/>
              </w:rPr>
              <w:t>a</w:t>
            </w:r>
            <w:r>
              <w:rPr>
                <w:spacing w:val="-13"/>
                <w:sz w:val="24"/>
              </w:rPr>
              <w:t> </w:t>
            </w:r>
            <w:r>
              <w:rPr>
                <w:spacing w:val="-2"/>
                <w:sz w:val="24"/>
              </w:rPr>
              <w:t>shared</w:t>
            </w:r>
            <w:r>
              <w:rPr>
                <w:spacing w:val="-13"/>
                <w:sz w:val="24"/>
              </w:rPr>
              <w:t> </w:t>
            </w:r>
            <w:r>
              <w:rPr>
                <w:spacing w:val="-2"/>
                <w:sz w:val="24"/>
              </w:rPr>
              <w:t>view of</w:t>
            </w:r>
            <w:r>
              <w:rPr>
                <w:spacing w:val="-15"/>
                <w:sz w:val="24"/>
              </w:rPr>
              <w:t> </w:t>
            </w:r>
            <w:r>
              <w:rPr>
                <w:spacing w:val="-2"/>
                <w:sz w:val="24"/>
              </w:rPr>
              <w:t>performance</w:t>
            </w:r>
            <w:r>
              <w:rPr>
                <w:spacing w:val="-15"/>
                <w:sz w:val="24"/>
              </w:rPr>
              <w:t> </w:t>
            </w:r>
            <w:r>
              <w:rPr>
                <w:spacing w:val="-2"/>
                <w:sz w:val="24"/>
              </w:rPr>
              <w:t>would</w:t>
            </w:r>
            <w:r>
              <w:rPr>
                <w:spacing w:val="-14"/>
                <w:sz w:val="24"/>
              </w:rPr>
              <w:t> </w:t>
            </w:r>
            <w:r>
              <w:rPr>
                <w:spacing w:val="-2"/>
                <w:sz w:val="24"/>
              </w:rPr>
              <w:t>support</w:t>
            </w:r>
            <w:r>
              <w:rPr>
                <w:spacing w:val="-15"/>
                <w:sz w:val="24"/>
              </w:rPr>
              <w:t> </w:t>
            </w:r>
            <w:r>
              <w:rPr>
                <w:spacing w:val="-2"/>
                <w:sz w:val="24"/>
              </w:rPr>
              <w:t>open-book</w:t>
            </w:r>
            <w:r>
              <w:rPr>
                <w:spacing w:val="-15"/>
                <w:sz w:val="24"/>
              </w:rPr>
              <w:t> </w:t>
            </w:r>
            <w:r>
              <w:rPr>
                <w:spacing w:val="-2"/>
                <w:sz w:val="24"/>
              </w:rPr>
              <w:t>discussions.</w:t>
            </w:r>
            <w:r>
              <w:rPr>
                <w:spacing w:val="-14"/>
                <w:sz w:val="24"/>
              </w:rPr>
              <w:t> </w:t>
            </w:r>
            <w:r>
              <w:rPr>
                <w:spacing w:val="-2"/>
                <w:sz w:val="24"/>
              </w:rPr>
              <w:t>Shared</w:t>
            </w:r>
            <w:r>
              <w:rPr>
                <w:spacing w:val="-14"/>
                <w:sz w:val="24"/>
              </w:rPr>
              <w:t> </w:t>
            </w:r>
            <w:r>
              <w:rPr>
                <w:spacing w:val="-2"/>
                <w:sz w:val="24"/>
              </w:rPr>
              <w:t>specialist</w:t>
            </w:r>
            <w:r>
              <w:rPr>
                <w:spacing w:val="-12"/>
                <w:sz w:val="24"/>
              </w:rPr>
              <w:t> </w:t>
            </w:r>
            <w:r>
              <w:rPr>
                <w:spacing w:val="-2"/>
                <w:sz w:val="24"/>
              </w:rPr>
              <w:t>capability,</w:t>
            </w:r>
            <w:r>
              <w:rPr>
                <w:spacing w:val="-15"/>
                <w:sz w:val="24"/>
              </w:rPr>
              <w:t> </w:t>
            </w:r>
            <w:r>
              <w:rPr>
                <w:spacing w:val="-2"/>
                <w:sz w:val="24"/>
              </w:rPr>
              <w:t>standards </w:t>
            </w:r>
            <w:r>
              <w:rPr>
                <w:sz w:val="24"/>
              </w:rPr>
              <w:t>and</w:t>
            </w:r>
            <w:r>
              <w:rPr>
                <w:spacing w:val="-17"/>
                <w:sz w:val="24"/>
              </w:rPr>
              <w:t> </w:t>
            </w:r>
            <w:r>
              <w:rPr>
                <w:sz w:val="24"/>
              </w:rPr>
              <w:t>infrastructure</w:t>
            </w:r>
            <w:r>
              <w:rPr>
                <w:spacing w:val="-17"/>
                <w:sz w:val="24"/>
              </w:rPr>
              <w:t> </w:t>
            </w:r>
            <w:r>
              <w:rPr>
                <w:sz w:val="24"/>
              </w:rPr>
              <w:t>could</w:t>
            </w:r>
            <w:r>
              <w:rPr>
                <w:spacing w:val="-14"/>
                <w:sz w:val="24"/>
              </w:rPr>
              <w:t> </w:t>
            </w:r>
            <w:r>
              <w:rPr>
                <w:sz w:val="24"/>
              </w:rPr>
              <w:t>improve</w:t>
            </w:r>
            <w:r>
              <w:rPr>
                <w:spacing w:val="-10"/>
                <w:sz w:val="24"/>
              </w:rPr>
              <w:t> </w:t>
            </w:r>
            <w:r>
              <w:rPr>
                <w:sz w:val="24"/>
              </w:rPr>
              <w:t>resilience</w:t>
            </w:r>
            <w:r>
              <w:rPr>
                <w:spacing w:val="-14"/>
                <w:sz w:val="24"/>
              </w:rPr>
              <w:t> </w:t>
            </w:r>
            <w:r>
              <w:rPr>
                <w:sz w:val="24"/>
              </w:rPr>
              <w:t>and</w:t>
            </w:r>
            <w:r>
              <w:rPr>
                <w:spacing w:val="-14"/>
                <w:sz w:val="24"/>
              </w:rPr>
              <w:t> </w:t>
            </w:r>
            <w:r>
              <w:rPr>
                <w:sz w:val="24"/>
              </w:rPr>
              <w:t>reduce</w:t>
            </w:r>
            <w:r>
              <w:rPr>
                <w:spacing w:val="-14"/>
                <w:sz w:val="24"/>
              </w:rPr>
              <w:t> </w:t>
            </w:r>
            <w:r>
              <w:rPr>
                <w:sz w:val="24"/>
              </w:rPr>
              <w:t>avoidable</w:t>
            </w:r>
            <w:r>
              <w:rPr>
                <w:spacing w:val="-17"/>
                <w:sz w:val="24"/>
              </w:rPr>
              <w:t> </w:t>
            </w:r>
            <w:r>
              <w:rPr>
                <w:sz w:val="24"/>
              </w:rPr>
              <w:t>duplication.</w:t>
            </w:r>
          </w:p>
          <w:p>
            <w:pPr>
              <w:pStyle w:val="TableParagraph"/>
              <w:spacing w:before="117"/>
              <w:ind w:left="110"/>
              <w:rPr>
                <w:sz w:val="24"/>
              </w:rPr>
            </w:pPr>
            <w:r>
              <w:rPr>
                <w:spacing w:val="-2"/>
                <w:sz w:val="24"/>
              </w:rPr>
              <w:t>Better</w:t>
            </w:r>
            <w:r>
              <w:rPr>
                <w:spacing w:val="-15"/>
                <w:sz w:val="24"/>
              </w:rPr>
              <w:t> </w:t>
            </w:r>
            <w:r>
              <w:rPr>
                <w:spacing w:val="-2"/>
                <w:sz w:val="24"/>
              </w:rPr>
              <w:t>information</w:t>
            </w:r>
            <w:r>
              <w:rPr>
                <w:spacing w:val="-15"/>
                <w:sz w:val="24"/>
              </w:rPr>
              <w:t> </w:t>
            </w:r>
            <w:r>
              <w:rPr>
                <w:spacing w:val="-2"/>
                <w:sz w:val="24"/>
              </w:rPr>
              <w:t>and</w:t>
            </w:r>
            <w:r>
              <w:rPr>
                <w:spacing w:val="-14"/>
                <w:sz w:val="24"/>
              </w:rPr>
              <w:t> </w:t>
            </w:r>
            <w:r>
              <w:rPr>
                <w:spacing w:val="-2"/>
                <w:sz w:val="24"/>
              </w:rPr>
              <w:t>coordinated</w:t>
            </w:r>
            <w:r>
              <w:rPr>
                <w:spacing w:val="-15"/>
                <w:sz w:val="24"/>
              </w:rPr>
              <w:t> </w:t>
            </w:r>
            <w:r>
              <w:rPr>
                <w:spacing w:val="-2"/>
                <w:sz w:val="24"/>
              </w:rPr>
              <w:t>investment</w:t>
            </w:r>
            <w:r>
              <w:rPr>
                <w:spacing w:val="-15"/>
                <w:sz w:val="24"/>
              </w:rPr>
              <w:t> </w:t>
            </w:r>
            <w:r>
              <w:rPr>
                <w:spacing w:val="-2"/>
                <w:sz w:val="24"/>
              </w:rPr>
              <w:t>can</w:t>
            </w:r>
            <w:r>
              <w:rPr>
                <w:spacing w:val="-15"/>
                <w:sz w:val="24"/>
              </w:rPr>
              <w:t> </w:t>
            </w:r>
            <w:r>
              <w:rPr>
                <w:spacing w:val="-2"/>
                <w:sz w:val="24"/>
              </w:rPr>
              <w:t>support</w:t>
            </w:r>
            <w:r>
              <w:rPr>
                <w:spacing w:val="-14"/>
                <w:sz w:val="24"/>
              </w:rPr>
              <w:t> </w:t>
            </w:r>
            <w:r>
              <w:rPr>
                <w:spacing w:val="-2"/>
                <w:sz w:val="24"/>
              </w:rPr>
              <w:t>timely</w:t>
            </w:r>
            <w:r>
              <w:rPr>
                <w:spacing w:val="-15"/>
                <w:sz w:val="24"/>
              </w:rPr>
              <w:t> </w:t>
            </w:r>
            <w:r>
              <w:rPr>
                <w:spacing w:val="-2"/>
                <w:sz w:val="24"/>
              </w:rPr>
              <w:t>access,</w:t>
            </w:r>
            <w:r>
              <w:rPr>
                <w:spacing w:val="-15"/>
                <w:sz w:val="24"/>
              </w:rPr>
              <w:t> </w:t>
            </w:r>
            <w:r>
              <w:rPr>
                <w:spacing w:val="-2"/>
                <w:sz w:val="24"/>
              </w:rPr>
              <w:t>consistent</w:t>
            </w:r>
            <w:r>
              <w:rPr>
                <w:spacing w:val="-14"/>
                <w:sz w:val="24"/>
              </w:rPr>
              <w:t> </w:t>
            </w:r>
            <w:r>
              <w:rPr>
                <w:spacing w:val="-2"/>
                <w:sz w:val="24"/>
              </w:rPr>
              <w:t>pathways </w:t>
            </w:r>
            <w:r>
              <w:rPr>
                <w:sz w:val="24"/>
              </w:rPr>
              <w:t>and</w:t>
            </w:r>
            <w:r>
              <w:rPr>
                <w:spacing w:val="-17"/>
                <w:sz w:val="24"/>
              </w:rPr>
              <w:t> </w:t>
            </w:r>
            <w:r>
              <w:rPr>
                <w:sz w:val="24"/>
              </w:rPr>
              <w:t>patient</w:t>
            </w:r>
            <w:r>
              <w:rPr>
                <w:spacing w:val="-17"/>
                <w:sz w:val="24"/>
              </w:rPr>
              <w:t> </w:t>
            </w:r>
            <w:r>
              <w:rPr>
                <w:sz w:val="24"/>
              </w:rPr>
              <w:t>experience.</w:t>
            </w:r>
            <w:r>
              <w:rPr>
                <w:spacing w:val="-16"/>
                <w:sz w:val="24"/>
              </w:rPr>
              <w:t> </w:t>
            </w:r>
            <w:r>
              <w:rPr>
                <w:sz w:val="24"/>
              </w:rPr>
              <w:t>Digital</w:t>
            </w:r>
            <w:r>
              <w:rPr>
                <w:spacing w:val="-17"/>
                <w:sz w:val="24"/>
              </w:rPr>
              <w:t> </w:t>
            </w:r>
            <w:r>
              <w:rPr>
                <w:sz w:val="24"/>
              </w:rPr>
              <w:t>and</w:t>
            </w:r>
            <w:r>
              <w:rPr>
                <w:spacing w:val="-17"/>
                <w:sz w:val="24"/>
              </w:rPr>
              <w:t> </w:t>
            </w:r>
            <w:r>
              <w:rPr>
                <w:sz w:val="24"/>
              </w:rPr>
              <w:t>artificial</w:t>
            </w:r>
            <w:r>
              <w:rPr>
                <w:spacing w:val="-17"/>
                <w:sz w:val="24"/>
              </w:rPr>
              <w:t> </w:t>
            </w:r>
            <w:r>
              <w:rPr>
                <w:sz w:val="24"/>
              </w:rPr>
              <w:t>intelligence</w:t>
            </w:r>
            <w:r>
              <w:rPr>
                <w:spacing w:val="-16"/>
                <w:sz w:val="24"/>
              </w:rPr>
              <w:t> </w:t>
            </w:r>
            <w:r>
              <w:rPr>
                <w:sz w:val="24"/>
              </w:rPr>
              <w:t>proposals</w:t>
            </w:r>
            <w:r>
              <w:rPr>
                <w:spacing w:val="-17"/>
                <w:sz w:val="24"/>
              </w:rPr>
              <w:t> </w:t>
            </w:r>
            <w:r>
              <w:rPr>
                <w:sz w:val="24"/>
              </w:rPr>
              <w:t>would</w:t>
            </w:r>
            <w:r>
              <w:rPr>
                <w:spacing w:val="-17"/>
                <w:sz w:val="24"/>
              </w:rPr>
              <w:t> </w:t>
            </w:r>
            <w:r>
              <w:rPr>
                <w:sz w:val="24"/>
              </w:rPr>
              <w:t>be</w:t>
            </w:r>
            <w:r>
              <w:rPr>
                <w:spacing w:val="-16"/>
                <w:sz w:val="24"/>
              </w:rPr>
              <w:t> </w:t>
            </w:r>
            <w:r>
              <w:rPr>
                <w:sz w:val="24"/>
              </w:rPr>
              <w:t>assessed</w:t>
            </w:r>
            <w:r>
              <w:rPr>
                <w:spacing w:val="-17"/>
                <w:sz w:val="24"/>
              </w:rPr>
              <w:t> </w:t>
            </w:r>
            <w:r>
              <w:rPr>
                <w:sz w:val="24"/>
              </w:rPr>
              <w:t>against demonstrable</w:t>
            </w:r>
            <w:r>
              <w:rPr>
                <w:spacing w:val="-17"/>
                <w:sz w:val="24"/>
              </w:rPr>
              <w:t> </w:t>
            </w:r>
            <w:r>
              <w:rPr>
                <w:sz w:val="24"/>
              </w:rPr>
              <w:t>outcomes,</w:t>
            </w:r>
            <w:r>
              <w:rPr>
                <w:spacing w:val="-17"/>
                <w:sz w:val="24"/>
              </w:rPr>
              <w:t> </w:t>
            </w:r>
            <w:r>
              <w:rPr>
                <w:sz w:val="24"/>
              </w:rPr>
              <w:t>whole-life</w:t>
            </w:r>
            <w:r>
              <w:rPr>
                <w:spacing w:val="-16"/>
                <w:sz w:val="24"/>
              </w:rPr>
              <w:t> </w:t>
            </w:r>
            <w:r>
              <w:rPr>
                <w:sz w:val="24"/>
              </w:rPr>
              <w:t>costs,</w:t>
            </w:r>
            <w:r>
              <w:rPr>
                <w:spacing w:val="-17"/>
                <w:sz w:val="24"/>
              </w:rPr>
              <w:t> </w:t>
            </w:r>
            <w:r>
              <w:rPr>
                <w:sz w:val="24"/>
              </w:rPr>
              <w:t>delivery</w:t>
            </w:r>
            <w:r>
              <w:rPr>
                <w:spacing w:val="-15"/>
                <w:sz w:val="24"/>
              </w:rPr>
              <w:t> </w:t>
            </w:r>
            <w:r>
              <w:rPr>
                <w:sz w:val="24"/>
              </w:rPr>
              <w:t>capacity</w:t>
            </w:r>
            <w:r>
              <w:rPr>
                <w:spacing w:val="-15"/>
                <w:sz w:val="24"/>
              </w:rPr>
              <w:t> </w:t>
            </w:r>
            <w:r>
              <w:rPr>
                <w:sz w:val="24"/>
              </w:rPr>
              <w:t>and</w:t>
            </w:r>
            <w:r>
              <w:rPr>
                <w:spacing w:val="-10"/>
                <w:sz w:val="24"/>
              </w:rPr>
              <w:t> </w:t>
            </w:r>
            <w:r>
              <w:rPr>
                <w:sz w:val="24"/>
              </w:rPr>
              <w:t>risk.</w:t>
            </w:r>
            <w:r>
              <w:rPr>
                <w:spacing w:val="-13"/>
                <w:sz w:val="24"/>
              </w:rPr>
              <w:t> </w:t>
            </w:r>
            <w:r>
              <w:rPr>
                <w:sz w:val="24"/>
              </w:rPr>
              <w:t>These</w:t>
            </w:r>
            <w:r>
              <w:rPr>
                <w:spacing w:val="-14"/>
                <w:sz w:val="24"/>
              </w:rPr>
              <w:t> </w:t>
            </w:r>
            <w:r>
              <w:rPr>
                <w:sz w:val="24"/>
              </w:rPr>
              <w:t>are</w:t>
            </w:r>
            <w:r>
              <w:rPr>
                <w:spacing w:val="-17"/>
                <w:sz w:val="24"/>
              </w:rPr>
              <w:t> </w:t>
            </w:r>
            <w:r>
              <w:rPr>
                <w:sz w:val="24"/>
              </w:rPr>
              <w:t>expected </w:t>
            </w:r>
            <w:r>
              <w:rPr>
                <w:spacing w:val="-2"/>
                <w:sz w:val="24"/>
              </w:rPr>
              <w:t>benefits</w:t>
            </w:r>
            <w:r>
              <w:rPr>
                <w:spacing w:val="-10"/>
                <w:sz w:val="24"/>
              </w:rPr>
              <w:t> </w:t>
            </w:r>
            <w:r>
              <w:rPr>
                <w:spacing w:val="-2"/>
                <w:sz w:val="24"/>
              </w:rPr>
              <w:t>to</w:t>
            </w:r>
            <w:r>
              <w:rPr>
                <w:spacing w:val="-12"/>
                <w:sz w:val="24"/>
              </w:rPr>
              <w:t> </w:t>
            </w:r>
            <w:r>
              <w:rPr>
                <w:spacing w:val="-2"/>
                <w:sz w:val="24"/>
              </w:rPr>
              <w:t>be</w:t>
            </w:r>
            <w:r>
              <w:rPr>
                <w:spacing w:val="-12"/>
                <w:sz w:val="24"/>
              </w:rPr>
              <w:t> </w:t>
            </w:r>
            <w:r>
              <w:rPr>
                <w:spacing w:val="-2"/>
                <w:sz w:val="24"/>
              </w:rPr>
              <w:t>tested</w:t>
            </w:r>
            <w:r>
              <w:rPr>
                <w:spacing w:val="-11"/>
                <w:sz w:val="24"/>
              </w:rPr>
              <w:t> </w:t>
            </w:r>
            <w:r>
              <w:rPr>
                <w:spacing w:val="-2"/>
                <w:sz w:val="24"/>
              </w:rPr>
              <w:t>and</w:t>
            </w:r>
            <w:r>
              <w:rPr>
                <w:spacing w:val="-12"/>
                <w:sz w:val="24"/>
              </w:rPr>
              <w:t> </w:t>
            </w:r>
            <w:r>
              <w:rPr>
                <w:spacing w:val="-2"/>
                <w:sz w:val="24"/>
              </w:rPr>
              <w:t>measured;</w:t>
            </w:r>
            <w:r>
              <w:rPr>
                <w:spacing w:val="-14"/>
                <w:sz w:val="24"/>
              </w:rPr>
              <w:t> </w:t>
            </w:r>
            <w:r>
              <w:rPr>
                <w:spacing w:val="-2"/>
                <w:sz w:val="24"/>
              </w:rPr>
              <w:t>combining</w:t>
            </w:r>
            <w:r>
              <w:rPr>
                <w:spacing w:val="-12"/>
                <w:sz w:val="24"/>
              </w:rPr>
              <w:t> </w:t>
            </w:r>
            <w:r>
              <w:rPr>
                <w:spacing w:val="-2"/>
                <w:sz w:val="24"/>
              </w:rPr>
              <w:t>governance</w:t>
            </w:r>
            <w:r>
              <w:rPr>
                <w:spacing w:val="-12"/>
                <w:sz w:val="24"/>
              </w:rPr>
              <w:t> </w:t>
            </w:r>
            <w:r>
              <w:rPr>
                <w:spacing w:val="-2"/>
                <w:sz w:val="24"/>
              </w:rPr>
              <w:t>alone</w:t>
            </w:r>
            <w:r>
              <w:rPr>
                <w:spacing w:val="-11"/>
                <w:sz w:val="24"/>
              </w:rPr>
              <w:t> </w:t>
            </w:r>
            <w:r>
              <w:rPr>
                <w:spacing w:val="-2"/>
                <w:sz w:val="24"/>
              </w:rPr>
              <w:t>does</w:t>
            </w:r>
            <w:r>
              <w:rPr>
                <w:spacing w:val="-13"/>
                <w:sz w:val="24"/>
              </w:rPr>
              <w:t> </w:t>
            </w:r>
            <w:r>
              <w:rPr>
                <w:spacing w:val="-2"/>
                <w:sz w:val="24"/>
              </w:rPr>
              <w:t>not</w:t>
            </w:r>
            <w:r>
              <w:rPr>
                <w:spacing w:val="-14"/>
                <w:sz w:val="24"/>
              </w:rPr>
              <w:t> </w:t>
            </w:r>
            <w:r>
              <w:rPr>
                <w:spacing w:val="-2"/>
                <w:sz w:val="24"/>
              </w:rPr>
              <w:t>establish</w:t>
            </w:r>
            <w:r>
              <w:rPr>
                <w:spacing w:val="-12"/>
                <w:sz w:val="24"/>
              </w:rPr>
              <w:t> </w:t>
            </w:r>
            <w:r>
              <w:rPr>
                <w:spacing w:val="-2"/>
                <w:sz w:val="24"/>
              </w:rPr>
              <w:t>a</w:t>
            </w:r>
            <w:r>
              <w:rPr>
                <w:spacing w:val="-11"/>
                <w:sz w:val="24"/>
              </w:rPr>
              <w:t> </w:t>
            </w:r>
            <w:r>
              <w:rPr>
                <w:spacing w:val="-2"/>
                <w:sz w:val="24"/>
              </w:rPr>
              <w:t>saving.</w:t>
            </w:r>
          </w:p>
          <w:p>
            <w:pPr>
              <w:pStyle w:val="TableParagraph"/>
              <w:spacing w:line="242" w:lineRule="auto" w:before="121"/>
              <w:ind w:left="110"/>
              <w:rPr>
                <w:sz w:val="24"/>
              </w:rPr>
            </w:pPr>
            <w:r>
              <w:rPr>
                <w:sz w:val="24"/>
              </w:rPr>
              <w:t>This</w:t>
            </w:r>
            <w:r>
              <w:rPr>
                <w:spacing w:val="-17"/>
                <w:sz w:val="24"/>
              </w:rPr>
              <w:t> </w:t>
            </w:r>
            <w:r>
              <w:rPr>
                <w:sz w:val="24"/>
              </w:rPr>
              <w:t>approach</w:t>
            </w:r>
            <w:r>
              <w:rPr>
                <w:spacing w:val="-17"/>
                <w:sz w:val="24"/>
              </w:rPr>
              <w:t> </w:t>
            </w:r>
            <w:r>
              <w:rPr>
                <w:sz w:val="24"/>
              </w:rPr>
              <w:t>will</w:t>
            </w:r>
            <w:r>
              <w:rPr>
                <w:spacing w:val="-16"/>
                <w:sz w:val="24"/>
              </w:rPr>
              <w:t> </w:t>
            </w:r>
            <w:r>
              <w:rPr>
                <w:sz w:val="24"/>
              </w:rPr>
              <w:t>leverage</w:t>
            </w:r>
            <w:r>
              <w:rPr>
                <w:spacing w:val="-17"/>
                <w:sz w:val="24"/>
              </w:rPr>
              <w:t> </w:t>
            </w:r>
            <w:r>
              <w:rPr>
                <w:sz w:val="24"/>
              </w:rPr>
              <w:t>national</w:t>
            </w:r>
            <w:r>
              <w:rPr>
                <w:spacing w:val="-17"/>
                <w:sz w:val="24"/>
              </w:rPr>
              <w:t> </w:t>
            </w:r>
            <w:r>
              <w:rPr>
                <w:sz w:val="24"/>
              </w:rPr>
              <w:t>priorities</w:t>
            </w:r>
            <w:r>
              <w:rPr>
                <w:spacing w:val="-16"/>
                <w:sz w:val="24"/>
              </w:rPr>
              <w:t> </w:t>
            </w:r>
            <w:r>
              <w:rPr>
                <w:sz w:val="24"/>
              </w:rPr>
              <w:t>for</w:t>
            </w:r>
            <w:r>
              <w:rPr>
                <w:spacing w:val="-17"/>
                <w:sz w:val="24"/>
              </w:rPr>
              <w:t> </w:t>
            </w:r>
            <w:r>
              <w:rPr>
                <w:sz w:val="24"/>
              </w:rPr>
              <w:t>regional</w:t>
            </w:r>
            <w:r>
              <w:rPr>
                <w:spacing w:val="-16"/>
                <w:sz w:val="24"/>
              </w:rPr>
              <w:t> </w:t>
            </w:r>
            <w:r>
              <w:rPr>
                <w:sz w:val="24"/>
              </w:rPr>
              <w:t>benefit,</w:t>
            </w:r>
            <w:r>
              <w:rPr>
                <w:spacing w:val="-14"/>
                <w:sz w:val="24"/>
              </w:rPr>
              <w:t> </w:t>
            </w:r>
            <w:r>
              <w:rPr>
                <w:sz w:val="24"/>
              </w:rPr>
              <w:t>for</w:t>
            </w:r>
            <w:r>
              <w:rPr>
                <w:spacing w:val="-17"/>
                <w:sz w:val="24"/>
              </w:rPr>
              <w:t> </w:t>
            </w:r>
            <w:r>
              <w:rPr>
                <w:sz w:val="24"/>
              </w:rPr>
              <w:t>example,</w:t>
            </w:r>
            <w:r>
              <w:rPr>
                <w:spacing w:val="-17"/>
                <w:sz w:val="24"/>
              </w:rPr>
              <w:t> </w:t>
            </w:r>
            <w:r>
              <w:rPr>
                <w:sz w:val="24"/>
              </w:rPr>
              <w:t>leaning</w:t>
            </w:r>
            <w:r>
              <w:rPr>
                <w:spacing w:val="-15"/>
                <w:sz w:val="24"/>
              </w:rPr>
              <w:t> </w:t>
            </w:r>
            <w:r>
              <w:rPr>
                <w:sz w:val="24"/>
              </w:rPr>
              <w:t>into</w:t>
            </w:r>
            <w:r>
              <w:rPr>
                <w:spacing w:val="-12"/>
                <w:sz w:val="24"/>
              </w:rPr>
              <w:t> </w:t>
            </w:r>
            <w:r>
              <w:rPr>
                <w:sz w:val="24"/>
              </w:rPr>
              <w:t>the </w:t>
            </w:r>
            <w:r>
              <w:rPr>
                <w:spacing w:val="-2"/>
                <w:sz w:val="24"/>
              </w:rPr>
              <w:t>opportunities</w:t>
            </w:r>
            <w:r>
              <w:rPr>
                <w:spacing w:val="-15"/>
                <w:sz w:val="24"/>
              </w:rPr>
              <w:t> </w:t>
            </w:r>
            <w:r>
              <w:rPr>
                <w:spacing w:val="-2"/>
                <w:sz w:val="24"/>
              </w:rPr>
              <w:t>arising</w:t>
            </w:r>
            <w:r>
              <w:rPr>
                <w:spacing w:val="-15"/>
                <w:sz w:val="24"/>
              </w:rPr>
              <w:t> </w:t>
            </w:r>
            <w:r>
              <w:rPr>
                <w:spacing w:val="-2"/>
                <w:sz w:val="24"/>
              </w:rPr>
              <w:t>from</w:t>
            </w:r>
            <w:r>
              <w:rPr>
                <w:spacing w:val="-10"/>
                <w:sz w:val="24"/>
              </w:rPr>
              <w:t> </w:t>
            </w:r>
            <w:r>
              <w:rPr>
                <w:spacing w:val="-2"/>
                <w:sz w:val="24"/>
              </w:rPr>
              <w:t>the</w:t>
            </w:r>
            <w:r>
              <w:rPr>
                <w:spacing w:val="-13"/>
                <w:sz w:val="24"/>
              </w:rPr>
              <w:t> </w:t>
            </w:r>
            <w:r>
              <w:rPr>
                <w:spacing w:val="-2"/>
                <w:sz w:val="24"/>
              </w:rPr>
              <w:t>National</w:t>
            </w:r>
            <w:r>
              <w:rPr>
                <w:spacing w:val="-13"/>
                <w:sz w:val="24"/>
              </w:rPr>
              <w:t> </w:t>
            </w:r>
            <w:r>
              <w:rPr>
                <w:spacing w:val="-2"/>
                <w:sz w:val="24"/>
              </w:rPr>
              <w:t>Data</w:t>
            </w:r>
            <w:r>
              <w:rPr>
                <w:spacing w:val="-13"/>
                <w:sz w:val="24"/>
              </w:rPr>
              <w:t> </w:t>
            </w:r>
            <w:r>
              <w:rPr>
                <w:spacing w:val="-2"/>
                <w:sz w:val="24"/>
              </w:rPr>
              <w:t>Repository</w:t>
            </w:r>
            <w:r>
              <w:rPr>
                <w:spacing w:val="-11"/>
                <w:sz w:val="24"/>
              </w:rPr>
              <w:t> </w:t>
            </w:r>
            <w:r>
              <w:rPr>
                <w:spacing w:val="-2"/>
                <w:sz w:val="24"/>
              </w:rPr>
              <w:t>or</w:t>
            </w:r>
            <w:r>
              <w:rPr>
                <w:spacing w:val="-14"/>
                <w:sz w:val="24"/>
              </w:rPr>
              <w:t> </w:t>
            </w:r>
            <w:r>
              <w:rPr>
                <w:spacing w:val="-2"/>
                <w:sz w:val="24"/>
              </w:rPr>
              <w:t>other</w:t>
            </w:r>
            <w:r>
              <w:rPr>
                <w:spacing w:val="-14"/>
                <w:sz w:val="24"/>
              </w:rPr>
              <w:t> </w:t>
            </w:r>
            <w:r>
              <w:rPr>
                <w:spacing w:val="-2"/>
                <w:sz w:val="24"/>
              </w:rPr>
              <w:t>products</w:t>
            </w:r>
            <w:r>
              <w:rPr>
                <w:spacing w:val="-14"/>
                <w:sz w:val="24"/>
              </w:rPr>
              <w:t> </w:t>
            </w:r>
            <w:r>
              <w:rPr>
                <w:spacing w:val="-2"/>
                <w:sz w:val="24"/>
              </w:rPr>
              <w:t>and</w:t>
            </w:r>
            <w:r>
              <w:rPr>
                <w:spacing w:val="-13"/>
                <w:sz w:val="24"/>
              </w:rPr>
              <w:t> </w:t>
            </w:r>
            <w:r>
              <w:rPr>
                <w:spacing w:val="-2"/>
                <w:sz w:val="24"/>
              </w:rPr>
              <w:t>capabilities</w:t>
            </w:r>
            <w:r>
              <w:rPr>
                <w:spacing w:val="-15"/>
                <w:sz w:val="24"/>
              </w:rPr>
              <w:t> </w:t>
            </w:r>
            <w:r>
              <w:rPr>
                <w:spacing w:val="-2"/>
                <w:sz w:val="24"/>
              </w:rPr>
              <w:t>which </w:t>
            </w:r>
            <w:r>
              <w:rPr>
                <w:sz w:val="24"/>
              </w:rPr>
              <w:t>are developed through DHCW.</w:t>
            </w:r>
          </w:p>
          <w:p>
            <w:pPr>
              <w:pStyle w:val="TableParagraph"/>
              <w:spacing w:before="114"/>
              <w:ind w:left="110"/>
              <w:rPr>
                <w:sz w:val="24"/>
              </w:rPr>
            </w:pPr>
            <w:r>
              <w:rPr>
                <w:spacing w:val="-2"/>
                <w:sz w:val="24"/>
              </w:rPr>
              <w:t>We</w:t>
            </w:r>
            <w:r>
              <w:rPr>
                <w:spacing w:val="-15"/>
                <w:sz w:val="24"/>
              </w:rPr>
              <w:t> </w:t>
            </w:r>
            <w:r>
              <w:rPr>
                <w:spacing w:val="-2"/>
                <w:sz w:val="24"/>
              </w:rPr>
              <w:t>will</w:t>
            </w:r>
            <w:r>
              <w:rPr>
                <w:spacing w:val="-11"/>
                <w:sz w:val="24"/>
              </w:rPr>
              <w:t> </w:t>
            </w:r>
            <w:r>
              <w:rPr>
                <w:spacing w:val="-2"/>
                <w:sz w:val="24"/>
              </w:rPr>
              <w:t>ensure</w:t>
            </w:r>
            <w:r>
              <w:rPr>
                <w:spacing w:val="-12"/>
                <w:sz w:val="24"/>
              </w:rPr>
              <w:t> </w:t>
            </w:r>
            <w:r>
              <w:rPr>
                <w:spacing w:val="-2"/>
                <w:sz w:val="24"/>
              </w:rPr>
              <w:t>we</w:t>
            </w:r>
            <w:r>
              <w:rPr>
                <w:spacing w:val="-15"/>
                <w:sz w:val="24"/>
              </w:rPr>
              <w:t> </w:t>
            </w:r>
            <w:r>
              <w:rPr>
                <w:spacing w:val="-2"/>
                <w:sz w:val="24"/>
              </w:rPr>
              <w:t>are</w:t>
            </w:r>
            <w:r>
              <w:rPr>
                <w:spacing w:val="-11"/>
                <w:sz w:val="24"/>
              </w:rPr>
              <w:t> </w:t>
            </w:r>
            <w:r>
              <w:rPr>
                <w:spacing w:val="-2"/>
                <w:sz w:val="24"/>
              </w:rPr>
              <w:t>responsive</w:t>
            </w:r>
            <w:r>
              <w:rPr>
                <w:spacing w:val="-12"/>
                <w:sz w:val="24"/>
              </w:rPr>
              <w:t> </w:t>
            </w:r>
            <w:r>
              <w:rPr>
                <w:spacing w:val="-2"/>
                <w:sz w:val="24"/>
              </w:rPr>
              <w:t>to</w:t>
            </w:r>
            <w:r>
              <w:rPr>
                <w:spacing w:val="-12"/>
                <w:sz w:val="24"/>
              </w:rPr>
              <w:t> </w:t>
            </w:r>
            <w:r>
              <w:rPr>
                <w:spacing w:val="-2"/>
                <w:sz w:val="24"/>
              </w:rPr>
              <w:t>our</w:t>
            </w:r>
            <w:r>
              <w:rPr>
                <w:spacing w:val="-15"/>
                <w:sz w:val="24"/>
              </w:rPr>
              <w:t> </w:t>
            </w:r>
            <w:r>
              <w:rPr>
                <w:spacing w:val="-2"/>
                <w:sz w:val="24"/>
              </w:rPr>
              <w:t>organisational</w:t>
            </w:r>
            <w:r>
              <w:rPr>
                <w:spacing w:val="-11"/>
                <w:sz w:val="24"/>
              </w:rPr>
              <w:t> </w:t>
            </w:r>
            <w:r>
              <w:rPr>
                <w:spacing w:val="-2"/>
                <w:sz w:val="24"/>
              </w:rPr>
              <w:t>requirements</w:t>
            </w:r>
            <w:r>
              <w:rPr>
                <w:spacing w:val="-12"/>
                <w:sz w:val="24"/>
              </w:rPr>
              <w:t> </w:t>
            </w:r>
            <w:r>
              <w:rPr>
                <w:spacing w:val="-2"/>
                <w:sz w:val="24"/>
              </w:rPr>
              <w:t>for</w:t>
            </w:r>
            <w:r>
              <w:rPr>
                <w:spacing w:val="-12"/>
                <w:sz w:val="24"/>
              </w:rPr>
              <w:t> </w:t>
            </w:r>
            <w:r>
              <w:rPr>
                <w:spacing w:val="-2"/>
                <w:sz w:val="24"/>
              </w:rPr>
              <w:t>data</w:t>
            </w:r>
            <w:r>
              <w:rPr>
                <w:spacing w:val="-15"/>
                <w:sz w:val="24"/>
              </w:rPr>
              <w:t> </w:t>
            </w:r>
            <w:r>
              <w:rPr>
                <w:spacing w:val="-2"/>
                <w:sz w:val="24"/>
              </w:rPr>
              <w:t>intelligence</w:t>
            </w:r>
            <w:r>
              <w:rPr>
                <w:spacing w:val="-5"/>
                <w:sz w:val="24"/>
              </w:rPr>
              <w:t> </w:t>
            </w:r>
            <w:r>
              <w:rPr>
                <w:spacing w:val="-2"/>
                <w:sz w:val="24"/>
              </w:rPr>
              <w:t>and modelling.</w:t>
            </w:r>
          </w:p>
          <w:p>
            <w:pPr>
              <w:pStyle w:val="TableParagraph"/>
              <w:spacing w:before="237"/>
              <w:rPr>
                <w:sz w:val="24"/>
              </w:rPr>
            </w:pPr>
          </w:p>
          <w:p>
            <w:pPr>
              <w:pStyle w:val="TableParagraph"/>
              <w:spacing w:before="1"/>
              <w:ind w:left="110"/>
              <w:rPr>
                <w:b/>
                <w:sz w:val="24"/>
              </w:rPr>
            </w:pPr>
            <w:r>
              <w:rPr>
                <w:b/>
                <w:spacing w:val="-2"/>
                <w:sz w:val="24"/>
              </w:rPr>
              <w:t>Update</w:t>
            </w:r>
          </w:p>
          <w:p>
            <w:pPr>
              <w:pStyle w:val="TableParagraph"/>
              <w:spacing w:before="124"/>
              <w:ind w:left="110" w:right="212"/>
              <w:rPr>
                <w:sz w:val="24"/>
              </w:rPr>
            </w:pPr>
            <w:r>
              <w:rPr>
                <w:spacing w:val="-2"/>
                <w:sz w:val="24"/>
              </w:rPr>
              <w:t>The</w:t>
            </w:r>
            <w:r>
              <w:rPr>
                <w:spacing w:val="-12"/>
                <w:sz w:val="24"/>
              </w:rPr>
              <w:t> </w:t>
            </w:r>
            <w:r>
              <w:rPr>
                <w:spacing w:val="-2"/>
                <w:sz w:val="24"/>
              </w:rPr>
              <w:t>finance</w:t>
            </w:r>
            <w:r>
              <w:rPr>
                <w:spacing w:val="-11"/>
                <w:sz w:val="24"/>
              </w:rPr>
              <w:t> </w:t>
            </w:r>
            <w:r>
              <w:rPr>
                <w:spacing w:val="-2"/>
                <w:sz w:val="24"/>
              </w:rPr>
              <w:t>and</w:t>
            </w:r>
            <w:r>
              <w:rPr>
                <w:spacing w:val="-11"/>
                <w:sz w:val="24"/>
              </w:rPr>
              <w:t> </w:t>
            </w:r>
            <w:r>
              <w:rPr>
                <w:spacing w:val="-2"/>
                <w:sz w:val="24"/>
              </w:rPr>
              <w:t>digital</w:t>
            </w:r>
            <w:r>
              <w:rPr>
                <w:spacing w:val="-6"/>
                <w:sz w:val="24"/>
              </w:rPr>
              <w:t> </w:t>
            </w:r>
            <w:r>
              <w:rPr>
                <w:spacing w:val="-2"/>
                <w:sz w:val="24"/>
              </w:rPr>
              <w:t>teams</w:t>
            </w:r>
            <w:r>
              <w:rPr>
                <w:spacing w:val="-15"/>
                <w:sz w:val="24"/>
              </w:rPr>
              <w:t> </w:t>
            </w:r>
            <w:r>
              <w:rPr>
                <w:spacing w:val="-2"/>
                <w:sz w:val="24"/>
              </w:rPr>
              <w:t>have</w:t>
            </w:r>
            <w:r>
              <w:rPr>
                <w:spacing w:val="-11"/>
                <w:sz w:val="24"/>
              </w:rPr>
              <w:t> </w:t>
            </w:r>
            <w:r>
              <w:rPr>
                <w:spacing w:val="-2"/>
                <w:sz w:val="24"/>
              </w:rPr>
              <w:t>been</w:t>
            </w:r>
            <w:r>
              <w:rPr>
                <w:spacing w:val="-11"/>
                <w:sz w:val="24"/>
              </w:rPr>
              <w:t> </w:t>
            </w:r>
            <w:r>
              <w:rPr>
                <w:spacing w:val="-2"/>
                <w:sz w:val="24"/>
              </w:rPr>
              <w:t>working</w:t>
            </w:r>
            <w:r>
              <w:rPr>
                <w:spacing w:val="-11"/>
                <w:sz w:val="24"/>
              </w:rPr>
              <w:t> </w:t>
            </w:r>
            <w:r>
              <w:rPr>
                <w:spacing w:val="-2"/>
                <w:sz w:val="24"/>
              </w:rPr>
              <w:t>together</w:t>
            </w:r>
            <w:r>
              <w:rPr>
                <w:spacing w:val="-7"/>
                <w:sz w:val="24"/>
              </w:rPr>
              <w:t> </w:t>
            </w:r>
            <w:r>
              <w:rPr>
                <w:spacing w:val="-2"/>
                <w:sz w:val="24"/>
              </w:rPr>
              <w:t>for</w:t>
            </w:r>
            <w:r>
              <w:rPr>
                <w:spacing w:val="-12"/>
                <w:sz w:val="24"/>
              </w:rPr>
              <w:t> </w:t>
            </w:r>
            <w:r>
              <w:rPr>
                <w:spacing w:val="-2"/>
                <w:sz w:val="24"/>
              </w:rPr>
              <w:t>well</w:t>
            </w:r>
            <w:r>
              <w:rPr>
                <w:spacing w:val="-11"/>
                <w:sz w:val="24"/>
              </w:rPr>
              <w:t> </w:t>
            </w:r>
            <w:r>
              <w:rPr>
                <w:spacing w:val="-2"/>
                <w:sz w:val="24"/>
              </w:rPr>
              <w:t>over</w:t>
            </w:r>
            <w:r>
              <w:rPr>
                <w:spacing w:val="-12"/>
                <w:sz w:val="24"/>
              </w:rPr>
              <w:t> </w:t>
            </w:r>
            <w:r>
              <w:rPr>
                <w:spacing w:val="-2"/>
                <w:sz w:val="24"/>
              </w:rPr>
              <w:t>12</w:t>
            </w:r>
            <w:r>
              <w:rPr>
                <w:spacing w:val="-11"/>
                <w:sz w:val="24"/>
              </w:rPr>
              <w:t> </w:t>
            </w:r>
            <w:r>
              <w:rPr>
                <w:spacing w:val="-2"/>
                <w:sz w:val="24"/>
              </w:rPr>
              <w:t>months,</w:t>
            </w:r>
            <w:r>
              <w:rPr>
                <w:spacing w:val="-14"/>
                <w:sz w:val="24"/>
              </w:rPr>
              <w:t> </w:t>
            </w:r>
            <w:r>
              <w:rPr>
                <w:spacing w:val="-2"/>
                <w:sz w:val="24"/>
              </w:rPr>
              <w:t>and</w:t>
            </w:r>
            <w:r>
              <w:rPr>
                <w:spacing w:val="-11"/>
                <w:sz w:val="24"/>
              </w:rPr>
              <w:t> </w:t>
            </w:r>
            <w:r>
              <w:rPr>
                <w:spacing w:val="-2"/>
                <w:sz w:val="24"/>
              </w:rPr>
              <w:t>this </w:t>
            </w:r>
            <w:r>
              <w:rPr>
                <w:sz w:val="24"/>
              </w:rPr>
              <w:t>has now culminated in:</w:t>
            </w:r>
          </w:p>
          <w:p>
            <w:pPr>
              <w:pStyle w:val="TableParagraph"/>
              <w:numPr>
                <w:ilvl w:val="0"/>
                <w:numId w:val="5"/>
              </w:numPr>
              <w:tabs>
                <w:tab w:pos="828" w:val="left" w:leader="none"/>
                <w:tab w:pos="830" w:val="left" w:leader="none"/>
              </w:tabs>
              <w:spacing w:line="240" w:lineRule="auto" w:before="118" w:after="0"/>
              <w:ind w:left="830" w:right="254" w:hanging="361"/>
              <w:jc w:val="left"/>
              <w:rPr>
                <w:sz w:val="24"/>
              </w:rPr>
            </w:pPr>
            <w:r>
              <w:rPr>
                <w:spacing w:val="-2"/>
                <w:sz w:val="24"/>
              </w:rPr>
              <w:t>The</w:t>
            </w:r>
            <w:r>
              <w:rPr>
                <w:spacing w:val="-12"/>
                <w:sz w:val="24"/>
              </w:rPr>
              <w:t> </w:t>
            </w:r>
            <w:r>
              <w:rPr>
                <w:spacing w:val="-2"/>
                <w:sz w:val="24"/>
              </w:rPr>
              <w:t>first</w:t>
            </w:r>
            <w:r>
              <w:rPr>
                <w:spacing w:val="-15"/>
                <w:sz w:val="24"/>
              </w:rPr>
              <w:t> </w:t>
            </w:r>
            <w:r>
              <w:rPr>
                <w:spacing w:val="-2"/>
                <w:sz w:val="24"/>
              </w:rPr>
              <w:t>regional</w:t>
            </w:r>
            <w:r>
              <w:rPr>
                <w:spacing w:val="-10"/>
                <w:sz w:val="24"/>
              </w:rPr>
              <w:t> </w:t>
            </w:r>
            <w:r>
              <w:rPr>
                <w:spacing w:val="-2"/>
                <w:sz w:val="24"/>
              </w:rPr>
              <w:t>whole-finance</w:t>
            </w:r>
            <w:r>
              <w:rPr>
                <w:spacing w:val="-12"/>
                <w:sz w:val="24"/>
              </w:rPr>
              <w:t> </w:t>
            </w:r>
            <w:r>
              <w:rPr>
                <w:spacing w:val="-2"/>
                <w:sz w:val="24"/>
              </w:rPr>
              <w:t>team</w:t>
            </w:r>
            <w:r>
              <w:rPr>
                <w:spacing w:val="-13"/>
                <w:sz w:val="24"/>
              </w:rPr>
              <w:t> </w:t>
            </w:r>
            <w:r>
              <w:rPr>
                <w:spacing w:val="-2"/>
                <w:sz w:val="24"/>
              </w:rPr>
              <w:t>conference</w:t>
            </w:r>
            <w:r>
              <w:rPr>
                <w:spacing w:val="-8"/>
                <w:sz w:val="24"/>
              </w:rPr>
              <w:t> </w:t>
            </w:r>
            <w:r>
              <w:rPr>
                <w:spacing w:val="-2"/>
                <w:sz w:val="24"/>
              </w:rPr>
              <w:t>held</w:t>
            </w:r>
            <w:r>
              <w:rPr>
                <w:spacing w:val="-15"/>
                <w:sz w:val="24"/>
              </w:rPr>
              <w:t> </w:t>
            </w:r>
            <w:r>
              <w:rPr>
                <w:spacing w:val="-2"/>
                <w:sz w:val="24"/>
              </w:rPr>
              <w:t>on</w:t>
            </w:r>
            <w:r>
              <w:rPr>
                <w:spacing w:val="-12"/>
                <w:sz w:val="24"/>
              </w:rPr>
              <w:t> </w:t>
            </w:r>
            <w:r>
              <w:rPr>
                <w:spacing w:val="-2"/>
                <w:sz w:val="24"/>
              </w:rPr>
              <w:t>15</w:t>
            </w:r>
            <w:r>
              <w:rPr>
                <w:spacing w:val="-12"/>
                <w:sz w:val="24"/>
              </w:rPr>
              <w:t> </w:t>
            </w:r>
            <w:r>
              <w:rPr>
                <w:spacing w:val="-2"/>
                <w:sz w:val="24"/>
              </w:rPr>
              <w:t>September</w:t>
            </w:r>
            <w:r>
              <w:rPr>
                <w:spacing w:val="-9"/>
                <w:sz w:val="24"/>
              </w:rPr>
              <w:t> </w:t>
            </w:r>
            <w:r>
              <w:rPr>
                <w:spacing w:val="-2"/>
                <w:sz w:val="24"/>
              </w:rPr>
              <w:t>to</w:t>
            </w:r>
            <w:r>
              <w:rPr>
                <w:spacing w:val="-12"/>
                <w:sz w:val="24"/>
              </w:rPr>
              <w:t> </w:t>
            </w:r>
            <w:r>
              <w:rPr>
                <w:spacing w:val="-2"/>
                <w:sz w:val="24"/>
              </w:rPr>
              <w:t>determine</w:t>
            </w:r>
            <w:r>
              <w:rPr>
                <w:spacing w:val="-11"/>
                <w:sz w:val="24"/>
              </w:rPr>
              <w:t> </w:t>
            </w:r>
            <w:r>
              <w:rPr>
                <w:spacing w:val="-2"/>
                <w:sz w:val="24"/>
              </w:rPr>
              <w:t>a </w:t>
            </w:r>
            <w:r>
              <w:rPr>
                <w:sz w:val="24"/>
              </w:rPr>
              <w:t>plan</w:t>
            </w:r>
            <w:r>
              <w:rPr>
                <w:spacing w:val="-11"/>
                <w:sz w:val="24"/>
              </w:rPr>
              <w:t> </w:t>
            </w:r>
            <w:r>
              <w:rPr>
                <w:sz w:val="24"/>
              </w:rPr>
              <w:t>to</w:t>
            </w:r>
            <w:r>
              <w:rPr>
                <w:spacing w:val="-11"/>
                <w:sz w:val="24"/>
              </w:rPr>
              <w:t> </w:t>
            </w:r>
            <w:r>
              <w:rPr>
                <w:sz w:val="24"/>
              </w:rPr>
              <w:t>implementing</w:t>
            </w:r>
            <w:r>
              <w:rPr>
                <w:spacing w:val="-11"/>
                <w:sz w:val="24"/>
              </w:rPr>
              <w:t> </w:t>
            </w:r>
            <w:r>
              <w:rPr>
                <w:sz w:val="24"/>
              </w:rPr>
              <w:t>a</w:t>
            </w:r>
            <w:r>
              <w:rPr>
                <w:spacing w:val="-11"/>
                <w:sz w:val="24"/>
              </w:rPr>
              <w:t> </w:t>
            </w:r>
            <w:r>
              <w:rPr>
                <w:sz w:val="24"/>
              </w:rPr>
              <w:t>regional</w:t>
            </w:r>
            <w:r>
              <w:rPr>
                <w:spacing w:val="-6"/>
                <w:sz w:val="24"/>
              </w:rPr>
              <w:t> </w:t>
            </w:r>
            <w:r>
              <w:rPr>
                <w:sz w:val="24"/>
              </w:rPr>
              <w:t>Finance</w:t>
            </w:r>
            <w:r>
              <w:rPr>
                <w:spacing w:val="-11"/>
                <w:sz w:val="24"/>
              </w:rPr>
              <w:t> </w:t>
            </w:r>
            <w:r>
              <w:rPr>
                <w:sz w:val="24"/>
              </w:rPr>
              <w:t>Operating</w:t>
            </w:r>
            <w:r>
              <w:rPr>
                <w:spacing w:val="-16"/>
                <w:sz w:val="24"/>
              </w:rPr>
              <w:t> </w:t>
            </w:r>
            <w:r>
              <w:rPr>
                <w:sz w:val="24"/>
              </w:rPr>
              <w:t>Model</w:t>
            </w:r>
            <w:r>
              <w:rPr>
                <w:spacing w:val="-16"/>
                <w:sz w:val="24"/>
              </w:rPr>
              <w:t> </w:t>
            </w:r>
            <w:r>
              <w:rPr>
                <w:sz w:val="24"/>
              </w:rPr>
              <w:t>embedded</w:t>
            </w:r>
            <w:r>
              <w:rPr>
                <w:spacing w:val="-11"/>
                <w:sz w:val="24"/>
              </w:rPr>
              <w:t> </w:t>
            </w:r>
            <w:r>
              <w:rPr>
                <w:sz w:val="24"/>
              </w:rPr>
              <w:t>across</w:t>
            </w:r>
            <w:r>
              <w:rPr>
                <w:spacing w:val="-12"/>
                <w:sz w:val="24"/>
              </w:rPr>
              <w:t> </w:t>
            </w:r>
            <w:r>
              <w:rPr>
                <w:sz w:val="24"/>
              </w:rPr>
              <w:t>the</w:t>
            </w:r>
            <w:r>
              <w:rPr>
                <w:spacing w:val="-11"/>
                <w:sz w:val="24"/>
              </w:rPr>
              <w:t> </w:t>
            </w:r>
            <w:r>
              <w:rPr>
                <w:sz w:val="24"/>
              </w:rPr>
              <w:t>two </w:t>
            </w:r>
            <w:r>
              <w:rPr>
                <w:spacing w:val="-2"/>
                <w:sz w:val="24"/>
              </w:rPr>
              <w:t>teams.</w:t>
            </w:r>
          </w:p>
          <w:p>
            <w:pPr>
              <w:pStyle w:val="TableParagraph"/>
              <w:numPr>
                <w:ilvl w:val="0"/>
                <w:numId w:val="5"/>
              </w:numPr>
              <w:tabs>
                <w:tab w:pos="828" w:val="left" w:leader="none"/>
                <w:tab w:pos="830" w:val="left" w:leader="none"/>
              </w:tabs>
              <w:spacing w:line="240" w:lineRule="auto" w:before="0" w:after="0"/>
              <w:ind w:left="830" w:right="111" w:hanging="361"/>
              <w:jc w:val="left"/>
              <w:rPr>
                <w:sz w:val="24"/>
              </w:rPr>
            </w:pPr>
            <w:r>
              <w:rPr>
                <w:spacing w:val="-2"/>
                <w:sz w:val="24"/>
              </w:rPr>
              <w:t>A</w:t>
            </w:r>
            <w:r>
              <w:rPr>
                <w:spacing w:val="-13"/>
                <w:sz w:val="24"/>
              </w:rPr>
              <w:t> </w:t>
            </w:r>
            <w:r>
              <w:rPr>
                <w:spacing w:val="-2"/>
                <w:sz w:val="24"/>
              </w:rPr>
              <w:t>value</w:t>
            </w:r>
            <w:r>
              <w:rPr>
                <w:spacing w:val="-12"/>
                <w:sz w:val="24"/>
              </w:rPr>
              <w:t> </w:t>
            </w:r>
            <w:r>
              <w:rPr>
                <w:spacing w:val="-2"/>
                <w:sz w:val="24"/>
              </w:rPr>
              <w:t>based</w:t>
            </w:r>
            <w:r>
              <w:rPr>
                <w:spacing w:val="-12"/>
                <w:sz w:val="24"/>
              </w:rPr>
              <w:t> </w:t>
            </w:r>
            <w:r>
              <w:rPr>
                <w:spacing w:val="-2"/>
                <w:sz w:val="24"/>
              </w:rPr>
              <w:t>procurement</w:t>
            </w:r>
            <w:r>
              <w:rPr>
                <w:spacing w:val="-15"/>
                <w:sz w:val="24"/>
              </w:rPr>
              <w:t> </w:t>
            </w:r>
            <w:r>
              <w:rPr>
                <w:spacing w:val="-2"/>
                <w:sz w:val="24"/>
              </w:rPr>
              <w:t>workshop,</w:t>
            </w:r>
            <w:r>
              <w:rPr>
                <w:spacing w:val="-14"/>
                <w:sz w:val="24"/>
              </w:rPr>
              <w:t> </w:t>
            </w:r>
            <w:r>
              <w:rPr>
                <w:spacing w:val="-2"/>
                <w:sz w:val="24"/>
              </w:rPr>
              <w:t>hosted</w:t>
            </w:r>
            <w:r>
              <w:rPr>
                <w:spacing w:val="-12"/>
                <w:sz w:val="24"/>
              </w:rPr>
              <w:t> </w:t>
            </w:r>
            <w:r>
              <w:rPr>
                <w:spacing w:val="-2"/>
                <w:sz w:val="24"/>
              </w:rPr>
              <w:t>by</w:t>
            </w:r>
            <w:r>
              <w:rPr>
                <w:spacing w:val="-13"/>
                <w:sz w:val="24"/>
              </w:rPr>
              <w:t> </w:t>
            </w:r>
            <w:r>
              <w:rPr>
                <w:spacing w:val="-2"/>
                <w:sz w:val="24"/>
              </w:rPr>
              <w:t>Swansea</w:t>
            </w:r>
            <w:r>
              <w:rPr>
                <w:spacing w:val="-12"/>
                <w:sz w:val="24"/>
              </w:rPr>
              <w:t> </w:t>
            </w:r>
            <w:r>
              <w:rPr>
                <w:spacing w:val="-2"/>
                <w:sz w:val="24"/>
              </w:rPr>
              <w:t>University</w:t>
            </w:r>
            <w:r>
              <w:rPr>
                <w:spacing w:val="-9"/>
                <w:sz w:val="24"/>
              </w:rPr>
              <w:t> </w:t>
            </w:r>
            <w:r>
              <w:rPr>
                <w:spacing w:val="-2"/>
                <w:sz w:val="24"/>
              </w:rPr>
              <w:t>on</w:t>
            </w:r>
            <w:r>
              <w:rPr>
                <w:spacing w:val="-12"/>
                <w:sz w:val="24"/>
              </w:rPr>
              <w:t> </w:t>
            </w:r>
            <w:r>
              <w:rPr>
                <w:spacing w:val="-2"/>
                <w:sz w:val="24"/>
              </w:rPr>
              <w:t>28</w:t>
            </w:r>
            <w:r>
              <w:rPr>
                <w:spacing w:val="-12"/>
                <w:sz w:val="24"/>
              </w:rPr>
              <w:t> </w:t>
            </w:r>
            <w:r>
              <w:rPr>
                <w:spacing w:val="-2"/>
                <w:sz w:val="24"/>
              </w:rPr>
              <w:t>September, so</w:t>
            </w:r>
            <w:r>
              <w:rPr>
                <w:spacing w:val="-8"/>
                <w:sz w:val="24"/>
              </w:rPr>
              <w:t> </w:t>
            </w:r>
            <w:r>
              <w:rPr>
                <w:spacing w:val="-2"/>
                <w:sz w:val="24"/>
              </w:rPr>
              <w:t>that</w:t>
            </w:r>
            <w:r>
              <w:rPr>
                <w:spacing w:val="-11"/>
                <w:sz w:val="24"/>
              </w:rPr>
              <w:t> </w:t>
            </w:r>
            <w:r>
              <w:rPr>
                <w:spacing w:val="-2"/>
                <w:sz w:val="24"/>
              </w:rPr>
              <w:t>the</w:t>
            </w:r>
            <w:r>
              <w:rPr>
                <w:spacing w:val="-8"/>
                <w:sz w:val="24"/>
              </w:rPr>
              <w:t> </w:t>
            </w:r>
            <w:r>
              <w:rPr>
                <w:spacing w:val="-2"/>
                <w:sz w:val="24"/>
              </w:rPr>
              <w:t>region</w:t>
            </w:r>
            <w:r>
              <w:rPr>
                <w:spacing w:val="-8"/>
                <w:sz w:val="24"/>
              </w:rPr>
              <w:t> </w:t>
            </w:r>
            <w:r>
              <w:rPr>
                <w:spacing w:val="-2"/>
                <w:sz w:val="24"/>
              </w:rPr>
              <w:t>becomes</w:t>
            </w:r>
            <w:r>
              <w:rPr>
                <w:spacing w:val="-9"/>
                <w:sz w:val="24"/>
              </w:rPr>
              <w:t> </w:t>
            </w:r>
            <w:r>
              <w:rPr>
                <w:spacing w:val="-2"/>
                <w:sz w:val="24"/>
              </w:rPr>
              <w:t>an</w:t>
            </w:r>
            <w:r>
              <w:rPr>
                <w:spacing w:val="-8"/>
                <w:sz w:val="24"/>
              </w:rPr>
              <w:t> </w:t>
            </w:r>
            <w:r>
              <w:rPr>
                <w:spacing w:val="-2"/>
                <w:sz w:val="24"/>
              </w:rPr>
              <w:t>early-adopter</w:t>
            </w:r>
            <w:r>
              <w:rPr>
                <w:spacing w:val="-9"/>
                <w:sz w:val="24"/>
              </w:rPr>
              <w:t> </w:t>
            </w:r>
            <w:r>
              <w:rPr>
                <w:spacing w:val="-2"/>
                <w:sz w:val="24"/>
              </w:rPr>
              <w:t>of</w:t>
            </w:r>
            <w:r>
              <w:rPr>
                <w:spacing w:val="-11"/>
                <w:sz w:val="24"/>
              </w:rPr>
              <w:t> </w:t>
            </w:r>
            <w:r>
              <w:rPr>
                <w:spacing w:val="-2"/>
                <w:sz w:val="24"/>
              </w:rPr>
              <w:t>the</w:t>
            </w:r>
            <w:r>
              <w:rPr>
                <w:spacing w:val="-13"/>
                <w:sz w:val="24"/>
              </w:rPr>
              <w:t> </w:t>
            </w:r>
            <w:r>
              <w:rPr>
                <w:spacing w:val="-2"/>
                <w:sz w:val="24"/>
              </w:rPr>
              <w:t>Value</w:t>
            </w:r>
            <w:r>
              <w:rPr>
                <w:spacing w:val="-8"/>
                <w:sz w:val="24"/>
              </w:rPr>
              <w:t> </w:t>
            </w:r>
            <w:r>
              <w:rPr>
                <w:spacing w:val="-2"/>
                <w:sz w:val="24"/>
              </w:rPr>
              <w:t>Based</w:t>
            </w:r>
            <w:r>
              <w:rPr>
                <w:spacing w:val="-3"/>
                <w:sz w:val="24"/>
              </w:rPr>
              <w:t> </w:t>
            </w:r>
            <w:r>
              <w:rPr>
                <w:spacing w:val="-2"/>
                <w:sz w:val="24"/>
              </w:rPr>
              <w:t>Procurement</w:t>
            </w:r>
            <w:r>
              <w:rPr>
                <w:spacing w:val="-11"/>
                <w:sz w:val="24"/>
              </w:rPr>
              <w:t> </w:t>
            </w:r>
            <w:r>
              <w:rPr>
                <w:spacing w:val="-2"/>
                <w:sz w:val="24"/>
              </w:rPr>
              <w:t>principles </w:t>
            </w:r>
            <w:r>
              <w:rPr>
                <w:sz w:val="24"/>
              </w:rPr>
              <w:t>which</w:t>
            </w:r>
            <w:r>
              <w:rPr>
                <w:spacing w:val="-7"/>
                <w:sz w:val="24"/>
              </w:rPr>
              <w:t> </w:t>
            </w:r>
            <w:r>
              <w:rPr>
                <w:sz w:val="24"/>
              </w:rPr>
              <w:t>have</w:t>
            </w:r>
            <w:r>
              <w:rPr>
                <w:spacing w:val="-7"/>
                <w:sz w:val="24"/>
              </w:rPr>
              <w:t> </w:t>
            </w:r>
            <w:r>
              <w:rPr>
                <w:sz w:val="24"/>
              </w:rPr>
              <w:t>been</w:t>
            </w:r>
            <w:r>
              <w:rPr>
                <w:spacing w:val="-7"/>
                <w:sz w:val="24"/>
              </w:rPr>
              <w:t> </w:t>
            </w:r>
            <w:r>
              <w:rPr>
                <w:sz w:val="24"/>
              </w:rPr>
              <w:t>developed</w:t>
            </w:r>
            <w:r>
              <w:rPr>
                <w:spacing w:val="-7"/>
                <w:sz w:val="24"/>
              </w:rPr>
              <w:t> </w:t>
            </w:r>
            <w:r>
              <w:rPr>
                <w:sz w:val="24"/>
              </w:rPr>
              <w:t>by</w:t>
            </w:r>
            <w:r>
              <w:rPr>
                <w:spacing w:val="-3"/>
                <w:sz w:val="24"/>
              </w:rPr>
              <w:t> </w:t>
            </w:r>
            <w:r>
              <w:rPr>
                <w:sz w:val="24"/>
              </w:rPr>
              <w:t>the</w:t>
            </w:r>
            <w:r>
              <w:rPr>
                <w:spacing w:val="-7"/>
                <w:sz w:val="24"/>
              </w:rPr>
              <w:t> </w:t>
            </w:r>
            <w:r>
              <w:rPr>
                <w:sz w:val="24"/>
              </w:rPr>
              <w:t>Department</w:t>
            </w:r>
            <w:r>
              <w:rPr>
                <w:spacing w:val="-15"/>
                <w:sz w:val="24"/>
              </w:rPr>
              <w:t> </w:t>
            </w:r>
            <w:r>
              <w:rPr>
                <w:sz w:val="24"/>
              </w:rPr>
              <w:t>of</w:t>
            </w:r>
            <w:r>
              <w:rPr>
                <w:spacing w:val="-10"/>
                <w:sz w:val="24"/>
              </w:rPr>
              <w:t> </w:t>
            </w:r>
            <w:r>
              <w:rPr>
                <w:sz w:val="24"/>
              </w:rPr>
              <w:t>Health</w:t>
            </w:r>
            <w:r>
              <w:rPr>
                <w:spacing w:val="-12"/>
                <w:sz w:val="24"/>
              </w:rPr>
              <w:t> </w:t>
            </w:r>
            <w:r>
              <w:rPr>
                <w:sz w:val="24"/>
              </w:rPr>
              <w:t>and</w:t>
            </w:r>
            <w:r>
              <w:rPr>
                <w:spacing w:val="-7"/>
                <w:sz w:val="24"/>
              </w:rPr>
              <w:t> </w:t>
            </w:r>
            <w:r>
              <w:rPr>
                <w:sz w:val="24"/>
              </w:rPr>
              <w:t>Social</w:t>
            </w:r>
            <w:r>
              <w:rPr>
                <w:spacing w:val="-12"/>
                <w:sz w:val="24"/>
              </w:rPr>
              <w:t> </w:t>
            </w:r>
            <w:r>
              <w:rPr>
                <w:sz w:val="24"/>
              </w:rPr>
              <w:t>Care</w:t>
            </w:r>
            <w:r>
              <w:rPr>
                <w:spacing w:val="-7"/>
                <w:sz w:val="24"/>
              </w:rPr>
              <w:t> </w:t>
            </w:r>
            <w:r>
              <w:rPr>
                <w:sz w:val="24"/>
              </w:rPr>
              <w:t>(UK Government),</w:t>
            </w:r>
            <w:r>
              <w:rPr>
                <w:spacing w:val="-6"/>
                <w:sz w:val="24"/>
              </w:rPr>
              <w:t> </w:t>
            </w:r>
            <w:r>
              <w:rPr>
                <w:sz w:val="24"/>
              </w:rPr>
              <w:t>and</w:t>
            </w:r>
            <w:r>
              <w:rPr>
                <w:spacing w:val="-3"/>
                <w:sz w:val="24"/>
              </w:rPr>
              <w:t> </w:t>
            </w:r>
            <w:r>
              <w:rPr>
                <w:sz w:val="24"/>
              </w:rPr>
              <w:t>supported</w:t>
            </w:r>
            <w:r>
              <w:rPr>
                <w:spacing w:val="-3"/>
                <w:sz w:val="24"/>
              </w:rPr>
              <w:t> </w:t>
            </w:r>
            <w:r>
              <w:rPr>
                <w:sz w:val="24"/>
              </w:rPr>
              <w:t>by</w:t>
            </w:r>
            <w:r>
              <w:rPr>
                <w:spacing w:val="-4"/>
                <w:sz w:val="24"/>
              </w:rPr>
              <w:t> </w:t>
            </w:r>
            <w:r>
              <w:rPr>
                <w:sz w:val="24"/>
              </w:rPr>
              <w:t>Swansea</w:t>
            </w:r>
            <w:r>
              <w:rPr>
                <w:spacing w:val="-3"/>
                <w:sz w:val="24"/>
              </w:rPr>
              <w:t> </w:t>
            </w:r>
            <w:r>
              <w:rPr>
                <w:sz w:val="24"/>
              </w:rPr>
              <w:t>University.</w:t>
            </w:r>
          </w:p>
          <w:p>
            <w:pPr>
              <w:pStyle w:val="TableParagraph"/>
              <w:numPr>
                <w:ilvl w:val="0"/>
                <w:numId w:val="5"/>
              </w:numPr>
              <w:tabs>
                <w:tab w:pos="828" w:val="left" w:leader="none"/>
                <w:tab w:pos="830" w:val="left" w:leader="none"/>
              </w:tabs>
              <w:spacing w:line="240" w:lineRule="auto" w:before="0" w:after="0"/>
              <w:ind w:left="830" w:right="134" w:hanging="361"/>
              <w:jc w:val="left"/>
              <w:rPr>
                <w:sz w:val="24"/>
              </w:rPr>
            </w:pPr>
            <w:r>
              <w:rPr>
                <w:spacing w:val="-2"/>
                <w:sz w:val="24"/>
              </w:rPr>
              <w:t>Commissioning</w:t>
            </w:r>
            <w:r>
              <w:rPr>
                <w:spacing w:val="-14"/>
                <w:sz w:val="24"/>
              </w:rPr>
              <w:t> </w:t>
            </w:r>
            <w:r>
              <w:rPr>
                <w:spacing w:val="-2"/>
                <w:sz w:val="24"/>
              </w:rPr>
              <w:t>of</w:t>
            </w:r>
            <w:r>
              <w:rPr>
                <w:spacing w:val="-15"/>
                <w:sz w:val="24"/>
              </w:rPr>
              <w:t> </w:t>
            </w:r>
            <w:r>
              <w:rPr>
                <w:spacing w:val="-2"/>
                <w:sz w:val="24"/>
              </w:rPr>
              <w:t>a</w:t>
            </w:r>
            <w:r>
              <w:rPr>
                <w:spacing w:val="-13"/>
                <w:sz w:val="24"/>
              </w:rPr>
              <w:t> </w:t>
            </w:r>
            <w:r>
              <w:rPr>
                <w:spacing w:val="-2"/>
                <w:sz w:val="24"/>
              </w:rPr>
              <w:t>regional</w:t>
            </w:r>
            <w:r>
              <w:rPr>
                <w:spacing w:val="-13"/>
                <w:sz w:val="24"/>
              </w:rPr>
              <w:t> </w:t>
            </w:r>
            <w:r>
              <w:rPr>
                <w:spacing w:val="-2"/>
                <w:sz w:val="24"/>
              </w:rPr>
              <w:t>baselining</w:t>
            </w:r>
            <w:r>
              <w:rPr>
                <w:spacing w:val="-13"/>
                <w:sz w:val="24"/>
              </w:rPr>
              <w:t> </w:t>
            </w:r>
            <w:r>
              <w:rPr>
                <w:spacing w:val="-2"/>
                <w:sz w:val="24"/>
              </w:rPr>
              <w:t>of</w:t>
            </w:r>
            <w:r>
              <w:rPr>
                <w:spacing w:val="-15"/>
                <w:sz w:val="24"/>
              </w:rPr>
              <w:t> </w:t>
            </w:r>
            <w:r>
              <w:rPr>
                <w:spacing w:val="-2"/>
                <w:sz w:val="24"/>
              </w:rPr>
              <w:t>digital</w:t>
            </w:r>
            <w:r>
              <w:rPr>
                <w:spacing w:val="-8"/>
                <w:sz w:val="24"/>
              </w:rPr>
              <w:t> </w:t>
            </w:r>
            <w:r>
              <w:rPr>
                <w:spacing w:val="-2"/>
                <w:sz w:val="24"/>
              </w:rPr>
              <w:t>capabilities</w:t>
            </w:r>
            <w:r>
              <w:rPr>
                <w:spacing w:val="-14"/>
                <w:sz w:val="24"/>
              </w:rPr>
              <w:t> </w:t>
            </w:r>
            <w:r>
              <w:rPr>
                <w:spacing w:val="-2"/>
                <w:sz w:val="24"/>
              </w:rPr>
              <w:t>which</w:t>
            </w:r>
            <w:r>
              <w:rPr>
                <w:spacing w:val="-13"/>
                <w:sz w:val="24"/>
              </w:rPr>
              <w:t> </w:t>
            </w:r>
            <w:r>
              <w:rPr>
                <w:spacing w:val="-2"/>
                <w:sz w:val="24"/>
              </w:rPr>
              <w:t>will</w:t>
            </w:r>
            <w:r>
              <w:rPr>
                <w:spacing w:val="-13"/>
                <w:sz w:val="24"/>
              </w:rPr>
              <w:t> </w:t>
            </w:r>
            <w:r>
              <w:rPr>
                <w:spacing w:val="-2"/>
                <w:sz w:val="24"/>
              </w:rPr>
              <w:t>enable</w:t>
            </w:r>
            <w:r>
              <w:rPr>
                <w:spacing w:val="-13"/>
                <w:sz w:val="24"/>
              </w:rPr>
              <w:t> </w:t>
            </w:r>
            <w:r>
              <w:rPr>
                <w:spacing w:val="-2"/>
                <w:sz w:val="24"/>
              </w:rPr>
              <w:t>a</w:t>
            </w:r>
            <w:r>
              <w:rPr>
                <w:spacing w:val="-13"/>
                <w:sz w:val="24"/>
              </w:rPr>
              <w:t> </w:t>
            </w:r>
            <w:r>
              <w:rPr>
                <w:spacing w:val="-2"/>
                <w:sz w:val="24"/>
              </w:rPr>
              <w:t>detailed </w:t>
            </w:r>
            <w:r>
              <w:rPr>
                <w:sz w:val="24"/>
              </w:rPr>
              <w:t>assessment</w:t>
            </w:r>
            <w:r>
              <w:rPr>
                <w:spacing w:val="-9"/>
                <w:sz w:val="24"/>
              </w:rPr>
              <w:t> </w:t>
            </w:r>
            <w:r>
              <w:rPr>
                <w:sz w:val="24"/>
              </w:rPr>
              <w:t>of</w:t>
            </w:r>
            <w:r>
              <w:rPr>
                <w:spacing w:val="-8"/>
                <w:sz w:val="24"/>
              </w:rPr>
              <w:t> </w:t>
            </w:r>
            <w:r>
              <w:rPr>
                <w:sz w:val="24"/>
              </w:rPr>
              <w:t>regional</w:t>
            </w:r>
            <w:r>
              <w:rPr>
                <w:spacing w:val="-6"/>
                <w:sz w:val="24"/>
              </w:rPr>
              <w:t> </w:t>
            </w:r>
            <w:r>
              <w:rPr>
                <w:sz w:val="24"/>
              </w:rPr>
              <w:t>opportunities</w:t>
            </w:r>
            <w:r>
              <w:rPr>
                <w:spacing w:val="-7"/>
                <w:sz w:val="24"/>
              </w:rPr>
              <w:t> </w:t>
            </w:r>
            <w:r>
              <w:rPr>
                <w:sz w:val="24"/>
              </w:rPr>
              <w:t>and</w:t>
            </w:r>
            <w:r>
              <w:rPr>
                <w:spacing w:val="-6"/>
                <w:sz w:val="24"/>
              </w:rPr>
              <w:t> </w:t>
            </w:r>
            <w:r>
              <w:rPr>
                <w:sz w:val="24"/>
              </w:rPr>
              <w:t>alignment</w:t>
            </w:r>
            <w:r>
              <w:rPr>
                <w:spacing w:val="-9"/>
                <w:sz w:val="24"/>
              </w:rPr>
              <w:t> </w:t>
            </w:r>
            <w:r>
              <w:rPr>
                <w:sz w:val="24"/>
              </w:rPr>
              <w:t>of</w:t>
            </w:r>
            <w:r>
              <w:rPr>
                <w:spacing w:val="-9"/>
                <w:sz w:val="24"/>
              </w:rPr>
              <w:t> </w:t>
            </w:r>
            <w:r>
              <w:rPr>
                <w:sz w:val="24"/>
              </w:rPr>
              <w:t>our</w:t>
            </w:r>
            <w:r>
              <w:rPr>
                <w:spacing w:val="-7"/>
                <w:sz w:val="24"/>
              </w:rPr>
              <w:t> </w:t>
            </w:r>
            <w:r>
              <w:rPr>
                <w:sz w:val="24"/>
              </w:rPr>
              <w:t>plans.</w:t>
            </w:r>
          </w:p>
          <w:p>
            <w:pPr>
              <w:pStyle w:val="TableParagraph"/>
              <w:spacing w:before="241"/>
              <w:rPr>
                <w:sz w:val="24"/>
              </w:rPr>
            </w:pPr>
          </w:p>
          <w:p>
            <w:pPr>
              <w:pStyle w:val="TableParagraph"/>
              <w:ind w:left="110"/>
              <w:rPr>
                <w:b/>
                <w:sz w:val="24"/>
              </w:rPr>
            </w:pPr>
            <w:r>
              <w:rPr>
                <w:b/>
                <w:spacing w:val="-2"/>
                <w:sz w:val="24"/>
              </w:rPr>
              <w:t>A</w:t>
            </w:r>
            <w:r>
              <w:rPr>
                <w:b/>
                <w:spacing w:val="-15"/>
                <w:sz w:val="24"/>
              </w:rPr>
              <w:t> </w:t>
            </w:r>
            <w:r>
              <w:rPr>
                <w:b/>
                <w:spacing w:val="-2"/>
                <w:sz w:val="24"/>
              </w:rPr>
              <w:t>value</w:t>
            </w:r>
            <w:r>
              <w:rPr>
                <w:b/>
                <w:spacing w:val="-15"/>
                <w:sz w:val="24"/>
              </w:rPr>
              <w:t> </w:t>
            </w:r>
            <w:r>
              <w:rPr>
                <w:b/>
                <w:spacing w:val="-2"/>
                <w:sz w:val="24"/>
              </w:rPr>
              <w:t>logic</w:t>
            </w:r>
            <w:r>
              <w:rPr>
                <w:b/>
                <w:spacing w:val="-12"/>
                <w:sz w:val="24"/>
              </w:rPr>
              <w:t> </w:t>
            </w:r>
            <w:r>
              <w:rPr>
                <w:b/>
                <w:spacing w:val="-2"/>
                <w:sz w:val="24"/>
              </w:rPr>
              <w:t>framework</w:t>
            </w:r>
            <w:r>
              <w:rPr>
                <w:b/>
                <w:spacing w:val="-7"/>
                <w:sz w:val="24"/>
              </w:rPr>
              <w:t> </w:t>
            </w:r>
            <w:r>
              <w:rPr>
                <w:b/>
                <w:spacing w:val="-2"/>
                <w:sz w:val="24"/>
              </w:rPr>
              <w:t>for</w:t>
            </w:r>
            <w:r>
              <w:rPr>
                <w:b/>
                <w:spacing w:val="-9"/>
                <w:sz w:val="24"/>
              </w:rPr>
              <w:t> </w:t>
            </w:r>
            <w:r>
              <w:rPr>
                <w:b/>
                <w:spacing w:val="-2"/>
                <w:sz w:val="24"/>
              </w:rPr>
              <w:t>collaboration</w:t>
            </w:r>
            <w:r>
              <w:rPr>
                <w:b/>
                <w:spacing w:val="-15"/>
                <w:sz w:val="24"/>
              </w:rPr>
              <w:t> </w:t>
            </w:r>
            <w:r>
              <w:rPr>
                <w:b/>
                <w:spacing w:val="-2"/>
                <w:sz w:val="24"/>
              </w:rPr>
              <w:t>(See</w:t>
            </w:r>
            <w:r>
              <w:rPr>
                <w:b/>
                <w:spacing w:val="-15"/>
                <w:sz w:val="24"/>
              </w:rPr>
              <w:t> </w:t>
            </w:r>
            <w:r>
              <w:rPr>
                <w:b/>
                <w:spacing w:val="-2"/>
                <w:sz w:val="24"/>
              </w:rPr>
              <w:t>Appendix</w:t>
            </w:r>
            <w:r>
              <w:rPr>
                <w:b/>
                <w:spacing w:val="-11"/>
                <w:sz w:val="24"/>
              </w:rPr>
              <w:t> </w:t>
            </w:r>
            <w:r>
              <w:rPr>
                <w:b/>
                <w:spacing w:val="-5"/>
                <w:sz w:val="24"/>
              </w:rPr>
              <w:t>1)</w:t>
            </w:r>
          </w:p>
          <w:p>
            <w:pPr>
              <w:pStyle w:val="TableParagraph"/>
              <w:spacing w:before="119"/>
              <w:ind w:left="110"/>
              <w:rPr>
                <w:sz w:val="24"/>
              </w:rPr>
            </w:pPr>
            <w:r>
              <w:rPr>
                <w:sz w:val="24"/>
              </w:rPr>
              <w:t>As</w:t>
            </w:r>
            <w:r>
              <w:rPr>
                <w:spacing w:val="-14"/>
                <w:sz w:val="24"/>
              </w:rPr>
              <w:t> </w:t>
            </w:r>
            <w:r>
              <w:rPr>
                <w:sz w:val="24"/>
              </w:rPr>
              <w:t>our</w:t>
            </w:r>
            <w:r>
              <w:rPr>
                <w:spacing w:val="-9"/>
                <w:sz w:val="24"/>
              </w:rPr>
              <w:t> </w:t>
            </w:r>
            <w:r>
              <w:rPr>
                <w:sz w:val="24"/>
              </w:rPr>
              <w:t>teams</w:t>
            </w:r>
            <w:r>
              <w:rPr>
                <w:spacing w:val="-17"/>
                <w:sz w:val="24"/>
              </w:rPr>
              <w:t> </w:t>
            </w:r>
            <w:r>
              <w:rPr>
                <w:sz w:val="24"/>
              </w:rPr>
              <w:t>are</w:t>
            </w:r>
            <w:r>
              <w:rPr>
                <w:spacing w:val="-12"/>
                <w:sz w:val="24"/>
              </w:rPr>
              <w:t> </w:t>
            </w:r>
            <w:r>
              <w:rPr>
                <w:sz w:val="24"/>
              </w:rPr>
              <w:t>working</w:t>
            </w:r>
            <w:r>
              <w:rPr>
                <w:spacing w:val="-11"/>
                <w:sz w:val="24"/>
              </w:rPr>
              <w:t> </w:t>
            </w:r>
            <w:r>
              <w:rPr>
                <w:sz w:val="24"/>
              </w:rPr>
              <w:t>through</w:t>
            </w:r>
            <w:r>
              <w:rPr>
                <w:spacing w:val="-11"/>
                <w:sz w:val="24"/>
              </w:rPr>
              <w:t> </w:t>
            </w:r>
            <w:r>
              <w:rPr>
                <w:sz w:val="24"/>
              </w:rPr>
              <w:t>our</w:t>
            </w:r>
            <w:r>
              <w:rPr>
                <w:spacing w:val="-9"/>
                <w:sz w:val="24"/>
              </w:rPr>
              <w:t> </w:t>
            </w:r>
            <w:r>
              <w:rPr>
                <w:sz w:val="24"/>
              </w:rPr>
              <w:t>collaboration,</w:t>
            </w:r>
            <w:r>
              <w:rPr>
                <w:spacing w:val="-14"/>
                <w:sz w:val="24"/>
              </w:rPr>
              <w:t> </w:t>
            </w:r>
            <w:r>
              <w:rPr>
                <w:sz w:val="24"/>
              </w:rPr>
              <w:t>we</w:t>
            </w:r>
            <w:r>
              <w:rPr>
                <w:spacing w:val="-12"/>
                <w:sz w:val="24"/>
              </w:rPr>
              <w:t> </w:t>
            </w:r>
            <w:r>
              <w:rPr>
                <w:sz w:val="24"/>
              </w:rPr>
              <w:t>are</w:t>
            </w:r>
            <w:r>
              <w:rPr>
                <w:spacing w:val="-12"/>
                <w:sz w:val="24"/>
              </w:rPr>
              <w:t> </w:t>
            </w:r>
            <w:r>
              <w:rPr>
                <w:sz w:val="24"/>
              </w:rPr>
              <w:t>clearly</w:t>
            </w:r>
            <w:r>
              <w:rPr>
                <w:spacing w:val="-9"/>
                <w:sz w:val="24"/>
              </w:rPr>
              <w:t> </w:t>
            </w:r>
            <w:r>
              <w:rPr>
                <w:sz w:val="24"/>
              </w:rPr>
              <w:t>starting</w:t>
            </w:r>
            <w:r>
              <w:rPr>
                <w:spacing w:val="-12"/>
                <w:sz w:val="24"/>
              </w:rPr>
              <w:t> </w:t>
            </w:r>
            <w:r>
              <w:rPr>
                <w:sz w:val="24"/>
              </w:rPr>
              <w:t>with</w:t>
            </w:r>
            <w:r>
              <w:rPr>
                <w:spacing w:val="-6"/>
                <w:sz w:val="24"/>
              </w:rPr>
              <w:t> </w:t>
            </w:r>
            <w:r>
              <w:rPr>
                <w:sz w:val="24"/>
              </w:rPr>
              <w:t>the</w:t>
            </w:r>
            <w:r>
              <w:rPr>
                <w:spacing w:val="-12"/>
                <w:sz w:val="24"/>
              </w:rPr>
              <w:t> </w:t>
            </w:r>
            <w:r>
              <w:rPr>
                <w:sz w:val="24"/>
              </w:rPr>
              <w:t>patient</w:t>
            </w:r>
            <w:r>
              <w:rPr>
                <w:spacing w:val="-15"/>
                <w:sz w:val="24"/>
              </w:rPr>
              <w:t> </w:t>
            </w:r>
            <w:r>
              <w:rPr>
                <w:sz w:val="24"/>
              </w:rPr>
              <w:t>or service</w:t>
            </w:r>
            <w:r>
              <w:rPr>
                <w:spacing w:val="-14"/>
                <w:sz w:val="24"/>
              </w:rPr>
              <w:t> </w:t>
            </w:r>
            <w:r>
              <w:rPr>
                <w:sz w:val="24"/>
              </w:rPr>
              <w:t>problem</w:t>
            </w:r>
            <w:r>
              <w:rPr>
                <w:spacing w:val="-13"/>
                <w:sz w:val="24"/>
              </w:rPr>
              <w:t> </w:t>
            </w:r>
            <w:r>
              <w:rPr>
                <w:sz w:val="24"/>
              </w:rPr>
              <w:t>and</w:t>
            </w:r>
            <w:r>
              <w:rPr>
                <w:spacing w:val="-12"/>
                <w:sz w:val="24"/>
              </w:rPr>
              <w:t> </w:t>
            </w:r>
            <w:r>
              <w:rPr>
                <w:sz w:val="24"/>
              </w:rPr>
              <w:t>agree</w:t>
            </w:r>
            <w:r>
              <w:rPr>
                <w:spacing w:val="-12"/>
                <w:sz w:val="24"/>
              </w:rPr>
              <w:t> </w:t>
            </w:r>
            <w:r>
              <w:rPr>
                <w:sz w:val="24"/>
              </w:rPr>
              <w:t>a</w:t>
            </w:r>
            <w:r>
              <w:rPr>
                <w:spacing w:val="-12"/>
                <w:sz w:val="24"/>
              </w:rPr>
              <w:t> </w:t>
            </w:r>
            <w:r>
              <w:rPr>
                <w:sz w:val="24"/>
              </w:rPr>
              <w:t>value</w:t>
            </w:r>
            <w:r>
              <w:rPr>
                <w:spacing w:val="-16"/>
                <w:sz w:val="24"/>
              </w:rPr>
              <w:t> </w:t>
            </w:r>
            <w:r>
              <w:rPr>
                <w:sz w:val="24"/>
              </w:rPr>
              <w:t>hypothesis:</w:t>
            </w:r>
            <w:r>
              <w:rPr>
                <w:spacing w:val="-17"/>
                <w:sz w:val="24"/>
              </w:rPr>
              <w:t> </w:t>
            </w:r>
            <w:r>
              <w:rPr>
                <w:sz w:val="24"/>
              </w:rPr>
              <w:t>if</w:t>
            </w:r>
            <w:r>
              <w:rPr>
                <w:spacing w:val="-10"/>
                <w:sz w:val="24"/>
              </w:rPr>
              <w:t> </w:t>
            </w:r>
            <w:r>
              <w:rPr>
                <w:sz w:val="24"/>
              </w:rPr>
              <w:t>we</w:t>
            </w:r>
            <w:r>
              <w:rPr>
                <w:spacing w:val="-16"/>
                <w:sz w:val="24"/>
              </w:rPr>
              <w:t> </w:t>
            </w:r>
            <w:r>
              <w:rPr>
                <w:sz w:val="24"/>
              </w:rPr>
              <w:t>make</w:t>
            </w:r>
            <w:r>
              <w:rPr>
                <w:spacing w:val="-12"/>
                <w:sz w:val="24"/>
              </w:rPr>
              <w:t> </w:t>
            </w:r>
            <w:r>
              <w:rPr>
                <w:sz w:val="24"/>
              </w:rPr>
              <w:t>a</w:t>
            </w:r>
            <w:r>
              <w:rPr>
                <w:spacing w:val="-12"/>
                <w:sz w:val="24"/>
              </w:rPr>
              <w:t> </w:t>
            </w:r>
            <w:r>
              <w:rPr>
                <w:sz w:val="24"/>
              </w:rPr>
              <w:t>specified</w:t>
            </w:r>
            <w:r>
              <w:rPr>
                <w:spacing w:val="-7"/>
                <w:sz w:val="24"/>
              </w:rPr>
              <w:t> </w:t>
            </w:r>
            <w:r>
              <w:rPr>
                <w:sz w:val="24"/>
              </w:rPr>
              <w:t>change</w:t>
            </w:r>
            <w:r>
              <w:rPr>
                <w:spacing w:val="-7"/>
                <w:sz w:val="24"/>
              </w:rPr>
              <w:t> </w:t>
            </w:r>
            <w:r>
              <w:rPr>
                <w:sz w:val="24"/>
              </w:rPr>
              <w:t>together,</w:t>
            </w:r>
            <w:r>
              <w:rPr>
                <w:spacing w:val="-14"/>
                <w:sz w:val="24"/>
              </w:rPr>
              <w:t> </w:t>
            </w:r>
            <w:r>
              <w:rPr>
                <w:sz w:val="24"/>
              </w:rPr>
              <w:t>using </w:t>
            </w:r>
            <w:r>
              <w:rPr>
                <w:spacing w:val="-2"/>
                <w:sz w:val="24"/>
              </w:rPr>
              <w:t>identified</w:t>
            </w:r>
            <w:r>
              <w:rPr>
                <w:spacing w:val="-15"/>
                <w:sz w:val="24"/>
              </w:rPr>
              <w:t> </w:t>
            </w:r>
            <w:r>
              <w:rPr>
                <w:spacing w:val="-2"/>
                <w:sz w:val="24"/>
              </w:rPr>
              <w:t>resources</w:t>
            </w:r>
            <w:r>
              <w:rPr>
                <w:spacing w:val="-15"/>
                <w:sz w:val="24"/>
              </w:rPr>
              <w:t> </w:t>
            </w:r>
            <w:r>
              <w:rPr>
                <w:spacing w:val="-2"/>
                <w:sz w:val="24"/>
              </w:rPr>
              <w:t>and</w:t>
            </w:r>
            <w:r>
              <w:rPr>
                <w:spacing w:val="-14"/>
                <w:sz w:val="24"/>
              </w:rPr>
              <w:t> </w:t>
            </w:r>
            <w:r>
              <w:rPr>
                <w:spacing w:val="-2"/>
                <w:sz w:val="24"/>
              </w:rPr>
              <w:t>capabilities,</w:t>
            </w:r>
            <w:r>
              <w:rPr>
                <w:spacing w:val="-15"/>
                <w:sz w:val="24"/>
              </w:rPr>
              <w:t> </w:t>
            </w:r>
            <w:r>
              <w:rPr>
                <w:spacing w:val="-2"/>
                <w:sz w:val="24"/>
              </w:rPr>
              <w:t>we</w:t>
            </w:r>
            <w:r>
              <w:rPr>
                <w:spacing w:val="-14"/>
                <w:sz w:val="24"/>
              </w:rPr>
              <w:t> </w:t>
            </w:r>
            <w:r>
              <w:rPr>
                <w:spacing w:val="-2"/>
                <w:sz w:val="24"/>
              </w:rPr>
              <w:t>expect</w:t>
            </w:r>
            <w:r>
              <w:rPr>
                <w:spacing w:val="-15"/>
                <w:sz w:val="24"/>
              </w:rPr>
              <w:t> </w:t>
            </w:r>
            <w:r>
              <w:rPr>
                <w:spacing w:val="-2"/>
                <w:sz w:val="24"/>
              </w:rPr>
              <w:t>defined</w:t>
            </w:r>
            <w:r>
              <w:rPr>
                <w:spacing w:val="-13"/>
                <w:sz w:val="24"/>
              </w:rPr>
              <w:t> </w:t>
            </w:r>
            <w:r>
              <w:rPr>
                <w:spacing w:val="-2"/>
                <w:sz w:val="24"/>
              </w:rPr>
              <w:t>improvements</w:t>
            </w:r>
            <w:r>
              <w:rPr>
                <w:spacing w:val="-14"/>
                <w:sz w:val="24"/>
              </w:rPr>
              <w:t> </w:t>
            </w:r>
            <w:r>
              <w:rPr>
                <w:spacing w:val="-2"/>
                <w:sz w:val="24"/>
              </w:rPr>
              <w:t>within</w:t>
            </w:r>
            <w:r>
              <w:rPr>
                <w:spacing w:val="-14"/>
                <w:sz w:val="24"/>
              </w:rPr>
              <w:t> </w:t>
            </w:r>
            <w:r>
              <w:rPr>
                <w:spacing w:val="-2"/>
                <w:sz w:val="24"/>
              </w:rPr>
              <w:t>an</w:t>
            </w:r>
            <w:r>
              <w:rPr>
                <w:spacing w:val="-13"/>
                <w:sz w:val="24"/>
              </w:rPr>
              <w:t> </w:t>
            </w:r>
            <w:r>
              <w:rPr>
                <w:spacing w:val="-2"/>
                <w:sz w:val="24"/>
              </w:rPr>
              <w:t>agreed</w:t>
            </w:r>
            <w:r>
              <w:rPr>
                <w:spacing w:val="-15"/>
                <w:sz w:val="24"/>
              </w:rPr>
              <w:t> </w:t>
            </w:r>
            <w:r>
              <w:rPr>
                <w:spacing w:val="-2"/>
                <w:sz w:val="24"/>
              </w:rPr>
              <w:t>period.</w:t>
            </w:r>
          </w:p>
          <w:p>
            <w:pPr>
              <w:pStyle w:val="TableParagraph"/>
              <w:spacing w:before="123"/>
              <w:ind w:left="110"/>
              <w:rPr>
                <w:sz w:val="24"/>
              </w:rPr>
            </w:pPr>
            <w:r>
              <w:rPr>
                <w:spacing w:val="-2"/>
                <w:sz w:val="24"/>
              </w:rPr>
              <w:t>We</w:t>
            </w:r>
            <w:r>
              <w:rPr>
                <w:spacing w:val="-7"/>
                <w:sz w:val="24"/>
              </w:rPr>
              <w:t> </w:t>
            </w:r>
            <w:r>
              <w:rPr>
                <w:spacing w:val="-2"/>
                <w:sz w:val="24"/>
              </w:rPr>
              <w:t>are</w:t>
            </w:r>
            <w:r>
              <w:rPr>
                <w:spacing w:val="-7"/>
                <w:sz w:val="24"/>
              </w:rPr>
              <w:t> </w:t>
            </w:r>
            <w:r>
              <w:rPr>
                <w:spacing w:val="-2"/>
                <w:sz w:val="24"/>
              </w:rPr>
              <w:t>approaching this</w:t>
            </w:r>
            <w:r>
              <w:rPr>
                <w:spacing w:val="-3"/>
                <w:sz w:val="24"/>
              </w:rPr>
              <w:t> </w:t>
            </w:r>
            <w:r>
              <w:rPr>
                <w:spacing w:val="-2"/>
                <w:sz w:val="24"/>
              </w:rPr>
              <w:t>through</w:t>
            </w:r>
            <w:r>
              <w:rPr>
                <w:spacing w:val="-5"/>
                <w:sz w:val="24"/>
              </w:rPr>
              <w:t> </w:t>
            </w:r>
            <w:r>
              <w:rPr>
                <w:spacing w:val="-2"/>
                <w:sz w:val="24"/>
              </w:rPr>
              <w:t>six</w:t>
            </w:r>
            <w:r>
              <w:rPr>
                <w:spacing w:val="-8"/>
                <w:sz w:val="24"/>
              </w:rPr>
              <w:t> </w:t>
            </w:r>
            <w:r>
              <w:rPr>
                <w:spacing w:val="-2"/>
                <w:sz w:val="24"/>
              </w:rPr>
              <w:t>dimensions:</w:t>
            </w:r>
            <w:r>
              <w:rPr>
                <w:spacing w:val="-10"/>
                <w:sz w:val="24"/>
              </w:rPr>
              <w:t> </w:t>
            </w:r>
            <w:r>
              <w:rPr>
                <w:spacing w:val="-2"/>
                <w:sz w:val="24"/>
              </w:rPr>
              <w:t>patient</w:t>
            </w:r>
            <w:r>
              <w:rPr>
                <w:spacing w:val="-10"/>
                <w:sz w:val="24"/>
              </w:rPr>
              <w:t> </w:t>
            </w:r>
            <w:r>
              <w:rPr>
                <w:spacing w:val="-2"/>
                <w:sz w:val="24"/>
              </w:rPr>
              <w:t>outcomes,</w:t>
            </w:r>
            <w:r>
              <w:rPr>
                <w:spacing w:val="-10"/>
                <w:sz w:val="24"/>
              </w:rPr>
              <w:t> </w:t>
            </w:r>
            <w:r>
              <w:rPr>
                <w:spacing w:val="-2"/>
                <w:sz w:val="24"/>
              </w:rPr>
              <w:t>experience</w:t>
            </w:r>
            <w:r>
              <w:rPr>
                <w:spacing w:val="-7"/>
                <w:sz w:val="24"/>
              </w:rPr>
              <w:t> </w:t>
            </w:r>
            <w:r>
              <w:rPr>
                <w:spacing w:val="-2"/>
                <w:sz w:val="24"/>
              </w:rPr>
              <w:t>and</w:t>
            </w:r>
            <w:r>
              <w:rPr>
                <w:spacing w:val="-7"/>
                <w:sz w:val="24"/>
              </w:rPr>
              <w:t> </w:t>
            </w:r>
            <w:r>
              <w:rPr>
                <w:spacing w:val="-2"/>
                <w:sz w:val="24"/>
              </w:rPr>
              <w:t>equitable access;</w:t>
            </w:r>
            <w:r>
              <w:rPr>
                <w:spacing w:val="-15"/>
                <w:sz w:val="24"/>
              </w:rPr>
              <w:t> </w:t>
            </w:r>
            <w:r>
              <w:rPr>
                <w:spacing w:val="-2"/>
                <w:sz w:val="24"/>
              </w:rPr>
              <w:t>efficiency</w:t>
            </w:r>
            <w:r>
              <w:rPr>
                <w:spacing w:val="-15"/>
                <w:sz w:val="24"/>
              </w:rPr>
              <w:t> </w:t>
            </w:r>
            <w:r>
              <w:rPr>
                <w:spacing w:val="-2"/>
                <w:sz w:val="24"/>
              </w:rPr>
              <w:t>and</w:t>
            </w:r>
            <w:r>
              <w:rPr>
                <w:spacing w:val="-14"/>
                <w:sz w:val="24"/>
              </w:rPr>
              <w:t> </w:t>
            </w:r>
            <w:r>
              <w:rPr>
                <w:spacing w:val="-2"/>
                <w:sz w:val="24"/>
              </w:rPr>
              <w:t>scale;</w:t>
            </w:r>
            <w:r>
              <w:rPr>
                <w:spacing w:val="-15"/>
                <w:sz w:val="24"/>
              </w:rPr>
              <w:t> </w:t>
            </w:r>
            <w:r>
              <w:rPr>
                <w:spacing w:val="-2"/>
                <w:sz w:val="24"/>
              </w:rPr>
              <w:t>quality</w:t>
            </w:r>
            <w:r>
              <w:rPr>
                <w:spacing w:val="-15"/>
                <w:sz w:val="24"/>
              </w:rPr>
              <w:t> </w:t>
            </w:r>
            <w:r>
              <w:rPr>
                <w:spacing w:val="-2"/>
                <w:sz w:val="24"/>
              </w:rPr>
              <w:t>and</w:t>
            </w:r>
            <w:r>
              <w:rPr>
                <w:spacing w:val="-15"/>
                <w:sz w:val="24"/>
              </w:rPr>
              <w:t> </w:t>
            </w:r>
            <w:r>
              <w:rPr>
                <w:spacing w:val="-2"/>
                <w:sz w:val="24"/>
              </w:rPr>
              <w:t>standardisation;</w:t>
            </w:r>
            <w:r>
              <w:rPr>
                <w:spacing w:val="-14"/>
                <w:sz w:val="24"/>
              </w:rPr>
              <w:t> </w:t>
            </w:r>
            <w:r>
              <w:rPr>
                <w:spacing w:val="-2"/>
                <w:sz w:val="24"/>
              </w:rPr>
              <w:t>resilience;</w:t>
            </w:r>
            <w:r>
              <w:rPr>
                <w:spacing w:val="-15"/>
                <w:sz w:val="24"/>
              </w:rPr>
              <w:t> </w:t>
            </w:r>
            <w:r>
              <w:rPr>
                <w:spacing w:val="-2"/>
                <w:sz w:val="24"/>
              </w:rPr>
              <w:t>knowledge</w:t>
            </w:r>
            <w:r>
              <w:rPr>
                <w:spacing w:val="-15"/>
                <w:sz w:val="24"/>
              </w:rPr>
              <w:t> </w:t>
            </w:r>
            <w:r>
              <w:rPr>
                <w:spacing w:val="-2"/>
                <w:sz w:val="24"/>
              </w:rPr>
              <w:t>and</w:t>
            </w:r>
            <w:r>
              <w:rPr>
                <w:spacing w:val="-14"/>
                <w:sz w:val="24"/>
              </w:rPr>
              <w:t> </w:t>
            </w:r>
            <w:r>
              <w:rPr>
                <w:spacing w:val="-2"/>
                <w:sz w:val="24"/>
              </w:rPr>
              <w:t>capability; </w:t>
            </w:r>
            <w:r>
              <w:rPr>
                <w:sz w:val="24"/>
              </w:rPr>
              <w:t>and</w:t>
            </w:r>
            <w:r>
              <w:rPr>
                <w:spacing w:val="-4"/>
                <w:sz w:val="24"/>
              </w:rPr>
              <w:t> </w:t>
            </w:r>
            <w:r>
              <w:rPr>
                <w:sz w:val="24"/>
              </w:rPr>
              <w:t>innovation with</w:t>
            </w:r>
            <w:r>
              <w:rPr>
                <w:spacing w:val="-4"/>
                <w:sz w:val="24"/>
              </w:rPr>
              <w:t> </w:t>
            </w:r>
            <w:r>
              <w:rPr>
                <w:sz w:val="24"/>
              </w:rPr>
              <w:t>explicit</w:t>
            </w:r>
            <w:r>
              <w:rPr>
                <w:spacing w:val="-2"/>
                <w:sz w:val="24"/>
              </w:rPr>
              <w:t> </w:t>
            </w:r>
            <w:r>
              <w:rPr>
                <w:sz w:val="24"/>
              </w:rPr>
              <w:t>management</w:t>
            </w:r>
            <w:r>
              <w:rPr>
                <w:spacing w:val="-2"/>
                <w:sz w:val="24"/>
              </w:rPr>
              <w:t> </w:t>
            </w:r>
            <w:r>
              <w:rPr>
                <w:sz w:val="24"/>
              </w:rPr>
              <w:t>of</w:t>
            </w:r>
            <w:r>
              <w:rPr>
                <w:spacing w:val="-2"/>
                <w:sz w:val="24"/>
              </w:rPr>
              <w:t> </w:t>
            </w:r>
            <w:r>
              <w:rPr>
                <w:sz w:val="24"/>
              </w:rPr>
              <w:t>risk.</w:t>
            </w:r>
          </w:p>
          <w:p>
            <w:pPr>
              <w:pStyle w:val="TableParagraph"/>
              <w:spacing w:before="117"/>
              <w:ind w:left="110" w:right="212"/>
              <w:rPr>
                <w:sz w:val="24"/>
              </w:rPr>
            </w:pPr>
            <w:r>
              <w:rPr>
                <w:spacing w:val="-2"/>
                <w:sz w:val="24"/>
              </w:rPr>
              <w:t>The</w:t>
            </w:r>
            <w:r>
              <w:rPr>
                <w:spacing w:val="-7"/>
                <w:sz w:val="24"/>
              </w:rPr>
              <w:t> </w:t>
            </w:r>
            <w:r>
              <w:rPr>
                <w:spacing w:val="-2"/>
                <w:sz w:val="24"/>
              </w:rPr>
              <w:t>collaboration</w:t>
            </w:r>
            <w:r>
              <w:rPr>
                <w:spacing w:val="-7"/>
                <w:sz w:val="24"/>
              </w:rPr>
              <w:t> </w:t>
            </w:r>
            <w:r>
              <w:rPr>
                <w:spacing w:val="-2"/>
                <w:sz w:val="24"/>
              </w:rPr>
              <w:t>spectrum</w:t>
            </w:r>
            <w:r>
              <w:rPr>
                <w:spacing w:val="-8"/>
                <w:sz w:val="24"/>
              </w:rPr>
              <w:t> </w:t>
            </w:r>
            <w:r>
              <w:rPr>
                <w:spacing w:val="-2"/>
                <w:sz w:val="24"/>
              </w:rPr>
              <w:t>offers</w:t>
            </w:r>
            <w:r>
              <w:rPr>
                <w:spacing w:val="-11"/>
                <w:sz w:val="24"/>
              </w:rPr>
              <w:t> </w:t>
            </w:r>
            <w:r>
              <w:rPr>
                <w:spacing w:val="-2"/>
                <w:sz w:val="24"/>
              </w:rPr>
              <w:t>a</w:t>
            </w:r>
            <w:r>
              <w:rPr>
                <w:spacing w:val="-7"/>
                <w:sz w:val="24"/>
              </w:rPr>
              <w:t> </w:t>
            </w:r>
            <w:r>
              <w:rPr>
                <w:spacing w:val="-2"/>
                <w:sz w:val="24"/>
              </w:rPr>
              <w:t>number</w:t>
            </w:r>
            <w:r>
              <w:rPr>
                <w:spacing w:val="-8"/>
                <w:sz w:val="24"/>
              </w:rPr>
              <w:t> </w:t>
            </w:r>
            <w:r>
              <w:rPr>
                <w:spacing w:val="-2"/>
                <w:sz w:val="24"/>
              </w:rPr>
              <w:t>of</w:t>
            </w:r>
            <w:r>
              <w:rPr>
                <w:spacing w:val="-9"/>
                <w:sz w:val="24"/>
              </w:rPr>
              <w:t> </w:t>
            </w:r>
            <w:r>
              <w:rPr>
                <w:spacing w:val="-2"/>
                <w:sz w:val="24"/>
              </w:rPr>
              <w:t>options:</w:t>
            </w:r>
            <w:r>
              <w:rPr>
                <w:spacing w:val="-10"/>
                <w:sz w:val="24"/>
              </w:rPr>
              <w:t> </w:t>
            </w:r>
            <w:r>
              <w:rPr>
                <w:spacing w:val="-2"/>
                <w:sz w:val="24"/>
              </w:rPr>
              <w:t>learning</w:t>
            </w:r>
            <w:r>
              <w:rPr>
                <w:spacing w:val="-7"/>
                <w:sz w:val="24"/>
              </w:rPr>
              <w:t> </w:t>
            </w:r>
            <w:r>
              <w:rPr>
                <w:spacing w:val="-2"/>
                <w:sz w:val="24"/>
              </w:rPr>
              <w:t>and</w:t>
            </w:r>
            <w:r>
              <w:rPr>
                <w:spacing w:val="-7"/>
                <w:sz w:val="24"/>
              </w:rPr>
              <w:t> </w:t>
            </w:r>
            <w:r>
              <w:rPr>
                <w:spacing w:val="-2"/>
                <w:sz w:val="24"/>
              </w:rPr>
              <w:t>alignment;</w:t>
            </w:r>
            <w:r>
              <w:rPr>
                <w:spacing w:val="-10"/>
                <w:sz w:val="24"/>
              </w:rPr>
              <w:t> </w:t>
            </w:r>
            <w:r>
              <w:rPr>
                <w:spacing w:val="-2"/>
                <w:sz w:val="24"/>
              </w:rPr>
              <w:t>coordination and</w:t>
            </w:r>
            <w:r>
              <w:rPr>
                <w:spacing w:val="-13"/>
                <w:sz w:val="24"/>
              </w:rPr>
              <w:t> </w:t>
            </w:r>
            <w:r>
              <w:rPr>
                <w:spacing w:val="-2"/>
                <w:sz w:val="24"/>
              </w:rPr>
              <w:t>standardisation;</w:t>
            </w:r>
            <w:r>
              <w:rPr>
                <w:spacing w:val="-11"/>
                <w:sz w:val="24"/>
              </w:rPr>
              <w:t> </w:t>
            </w:r>
            <w:r>
              <w:rPr>
                <w:spacing w:val="-2"/>
                <w:sz w:val="24"/>
              </w:rPr>
              <w:t>joint</w:t>
            </w:r>
            <w:r>
              <w:rPr>
                <w:spacing w:val="-11"/>
                <w:sz w:val="24"/>
              </w:rPr>
              <w:t> </w:t>
            </w:r>
            <w:r>
              <w:rPr>
                <w:spacing w:val="-2"/>
                <w:sz w:val="24"/>
              </w:rPr>
              <w:t>projects</w:t>
            </w:r>
            <w:r>
              <w:rPr>
                <w:spacing w:val="-9"/>
                <w:sz w:val="24"/>
              </w:rPr>
              <w:t> </w:t>
            </w:r>
            <w:r>
              <w:rPr>
                <w:spacing w:val="-2"/>
                <w:sz w:val="24"/>
              </w:rPr>
              <w:t>and</w:t>
            </w:r>
            <w:r>
              <w:rPr>
                <w:spacing w:val="-8"/>
                <w:sz w:val="24"/>
              </w:rPr>
              <w:t> </w:t>
            </w:r>
            <w:r>
              <w:rPr>
                <w:spacing w:val="-2"/>
                <w:sz w:val="24"/>
              </w:rPr>
              <w:t>programmes;</w:t>
            </w:r>
            <w:r>
              <w:rPr>
                <w:spacing w:val="-11"/>
                <w:sz w:val="24"/>
              </w:rPr>
              <w:t> </w:t>
            </w:r>
            <w:r>
              <w:rPr>
                <w:spacing w:val="-2"/>
                <w:sz w:val="24"/>
              </w:rPr>
              <w:t>shared</w:t>
            </w:r>
            <w:r>
              <w:rPr>
                <w:spacing w:val="-3"/>
                <w:sz w:val="24"/>
              </w:rPr>
              <w:t> </w:t>
            </w:r>
            <w:r>
              <w:rPr>
                <w:spacing w:val="-2"/>
                <w:sz w:val="24"/>
              </w:rPr>
              <w:t>functions</w:t>
            </w:r>
            <w:r>
              <w:rPr>
                <w:spacing w:val="-14"/>
                <w:sz w:val="24"/>
              </w:rPr>
              <w:t> </w:t>
            </w:r>
            <w:r>
              <w:rPr>
                <w:spacing w:val="-2"/>
                <w:sz w:val="24"/>
              </w:rPr>
              <w:t>or</w:t>
            </w:r>
            <w:r>
              <w:rPr>
                <w:spacing w:val="-9"/>
                <w:sz w:val="24"/>
              </w:rPr>
              <w:t> </w:t>
            </w:r>
            <w:r>
              <w:rPr>
                <w:spacing w:val="-2"/>
                <w:sz w:val="24"/>
              </w:rPr>
              <w:t>services;</w:t>
            </w:r>
            <w:r>
              <w:rPr>
                <w:spacing w:val="-15"/>
                <w:sz w:val="24"/>
              </w:rPr>
              <w:t> </w:t>
            </w:r>
            <w:r>
              <w:rPr>
                <w:spacing w:val="-2"/>
                <w:sz w:val="24"/>
              </w:rPr>
              <w:t>a</w:t>
            </w:r>
            <w:r>
              <w:rPr>
                <w:spacing w:val="-8"/>
                <w:sz w:val="24"/>
              </w:rPr>
              <w:t> </w:t>
            </w:r>
            <w:r>
              <w:rPr>
                <w:spacing w:val="-2"/>
                <w:sz w:val="24"/>
              </w:rPr>
              <w:t>provider collaborative;</w:t>
            </w:r>
            <w:r>
              <w:rPr>
                <w:spacing w:val="-14"/>
                <w:sz w:val="24"/>
              </w:rPr>
              <w:t> </w:t>
            </w:r>
            <w:r>
              <w:rPr>
                <w:spacing w:val="-2"/>
                <w:sz w:val="24"/>
              </w:rPr>
              <w:t>managed</w:t>
            </w:r>
            <w:r>
              <w:rPr>
                <w:spacing w:val="-12"/>
                <w:sz w:val="24"/>
              </w:rPr>
              <w:t> </w:t>
            </w:r>
            <w:r>
              <w:rPr>
                <w:spacing w:val="-2"/>
                <w:sz w:val="24"/>
              </w:rPr>
              <w:t>or</w:t>
            </w:r>
            <w:r>
              <w:rPr>
                <w:spacing w:val="-13"/>
                <w:sz w:val="24"/>
              </w:rPr>
              <w:t> </w:t>
            </w:r>
            <w:r>
              <w:rPr>
                <w:spacing w:val="-2"/>
                <w:sz w:val="24"/>
              </w:rPr>
              <w:t>outsourced</w:t>
            </w:r>
            <w:r>
              <w:rPr>
                <w:spacing w:val="-15"/>
                <w:sz w:val="24"/>
              </w:rPr>
              <w:t> </w:t>
            </w:r>
            <w:r>
              <w:rPr>
                <w:spacing w:val="-2"/>
                <w:sz w:val="24"/>
              </w:rPr>
              <w:t>delivery;</w:t>
            </w:r>
            <w:r>
              <w:rPr>
                <w:spacing w:val="-12"/>
                <w:sz w:val="24"/>
              </w:rPr>
              <w:t> </w:t>
            </w:r>
            <w:r>
              <w:rPr>
                <w:spacing w:val="-2"/>
                <w:sz w:val="24"/>
              </w:rPr>
              <w:t>to</w:t>
            </w:r>
            <w:r>
              <w:rPr>
                <w:spacing w:val="-12"/>
                <w:sz w:val="24"/>
              </w:rPr>
              <w:t> </w:t>
            </w:r>
            <w:r>
              <w:rPr>
                <w:spacing w:val="-2"/>
                <w:sz w:val="24"/>
              </w:rPr>
              <w:t>a</w:t>
            </w:r>
            <w:r>
              <w:rPr>
                <w:spacing w:val="-12"/>
                <w:sz w:val="24"/>
              </w:rPr>
              <w:t> </w:t>
            </w:r>
            <w:r>
              <w:rPr>
                <w:spacing w:val="-2"/>
                <w:sz w:val="24"/>
              </w:rPr>
              <w:t>single</w:t>
            </w:r>
            <w:r>
              <w:rPr>
                <w:spacing w:val="-12"/>
                <w:sz w:val="24"/>
              </w:rPr>
              <w:t> </w:t>
            </w:r>
            <w:r>
              <w:rPr>
                <w:spacing w:val="-2"/>
                <w:sz w:val="24"/>
              </w:rPr>
              <w:t>integrated</w:t>
            </w:r>
            <w:r>
              <w:rPr>
                <w:spacing w:val="-15"/>
                <w:sz w:val="24"/>
              </w:rPr>
              <w:t> </w:t>
            </w:r>
            <w:r>
              <w:rPr>
                <w:spacing w:val="-2"/>
                <w:sz w:val="24"/>
              </w:rPr>
              <w:t>operational</w:t>
            </w:r>
            <w:r>
              <w:rPr>
                <w:spacing w:val="-7"/>
                <w:sz w:val="24"/>
              </w:rPr>
              <w:t> </w:t>
            </w:r>
            <w:r>
              <w:rPr>
                <w:spacing w:val="-2"/>
                <w:sz w:val="24"/>
              </w:rPr>
              <w:t>team.</w:t>
            </w:r>
            <w:r>
              <w:rPr>
                <w:spacing w:val="-10"/>
                <w:sz w:val="24"/>
              </w:rPr>
              <w:t> </w:t>
            </w:r>
            <w:r>
              <w:rPr>
                <w:spacing w:val="-2"/>
                <w:sz w:val="24"/>
              </w:rPr>
              <w:t>It</w:t>
            </w:r>
            <w:r>
              <w:rPr>
                <w:spacing w:val="-15"/>
                <w:sz w:val="24"/>
              </w:rPr>
              <w:t> </w:t>
            </w:r>
            <w:r>
              <w:rPr>
                <w:spacing w:val="-2"/>
                <w:sz w:val="24"/>
              </w:rPr>
              <w:t>is</w:t>
            </w:r>
            <w:r>
              <w:rPr>
                <w:spacing w:val="-13"/>
                <w:sz w:val="24"/>
              </w:rPr>
              <w:t> </w:t>
            </w:r>
            <w:r>
              <w:rPr>
                <w:spacing w:val="-2"/>
                <w:sz w:val="24"/>
              </w:rPr>
              <w:t>a </w:t>
            </w:r>
            <w:r>
              <w:rPr>
                <w:sz w:val="24"/>
              </w:rPr>
              <w:t>set</w:t>
            </w:r>
            <w:r>
              <w:rPr>
                <w:spacing w:val="-15"/>
                <w:sz w:val="24"/>
              </w:rPr>
              <w:t> </w:t>
            </w:r>
            <w:r>
              <w:rPr>
                <w:sz w:val="24"/>
              </w:rPr>
              <w:t>of</w:t>
            </w:r>
            <w:r>
              <w:rPr>
                <w:spacing w:val="-14"/>
                <w:sz w:val="24"/>
              </w:rPr>
              <w:t> </w:t>
            </w:r>
            <w:r>
              <w:rPr>
                <w:sz w:val="24"/>
              </w:rPr>
              <w:t>choices</w:t>
            </w:r>
            <w:r>
              <w:rPr>
                <w:spacing w:val="-7"/>
                <w:sz w:val="24"/>
              </w:rPr>
              <w:t> </w:t>
            </w:r>
            <w:r>
              <w:rPr>
                <w:sz w:val="24"/>
              </w:rPr>
              <w:t>for</w:t>
            </w:r>
            <w:r>
              <w:rPr>
                <w:spacing w:val="-12"/>
                <w:sz w:val="24"/>
              </w:rPr>
              <w:t> </w:t>
            </w:r>
            <w:r>
              <w:rPr>
                <w:sz w:val="24"/>
              </w:rPr>
              <w:t>individual</w:t>
            </w:r>
            <w:r>
              <w:rPr>
                <w:spacing w:val="-11"/>
                <w:sz w:val="24"/>
              </w:rPr>
              <w:t> </w:t>
            </w:r>
            <w:r>
              <w:rPr>
                <w:sz w:val="24"/>
              </w:rPr>
              <w:t>services,</w:t>
            </w:r>
            <w:r>
              <w:rPr>
                <w:spacing w:val="-17"/>
                <w:sz w:val="24"/>
              </w:rPr>
              <w:t> </w:t>
            </w:r>
            <w:r>
              <w:rPr>
                <w:sz w:val="24"/>
              </w:rPr>
              <w:t>not</w:t>
            </w:r>
            <w:r>
              <w:rPr>
                <w:spacing w:val="-13"/>
                <w:sz w:val="24"/>
              </w:rPr>
              <w:t> </w:t>
            </w:r>
            <w:r>
              <w:rPr>
                <w:sz w:val="24"/>
              </w:rPr>
              <w:t>a</w:t>
            </w:r>
            <w:r>
              <w:rPr>
                <w:spacing w:val="-11"/>
                <w:sz w:val="24"/>
              </w:rPr>
              <w:t> </w:t>
            </w:r>
            <w:r>
              <w:rPr>
                <w:sz w:val="24"/>
              </w:rPr>
              <w:t>required</w:t>
            </w:r>
            <w:r>
              <w:rPr>
                <w:spacing w:val="-16"/>
                <w:sz w:val="24"/>
              </w:rPr>
              <w:t> </w:t>
            </w:r>
            <w:r>
              <w:rPr>
                <w:sz w:val="24"/>
              </w:rPr>
              <w:t>progression</w:t>
            </w:r>
            <w:r>
              <w:rPr>
                <w:spacing w:val="-11"/>
                <w:sz w:val="24"/>
              </w:rPr>
              <w:t> </w:t>
            </w:r>
            <w:r>
              <w:rPr>
                <w:sz w:val="24"/>
              </w:rPr>
              <w:t>or</w:t>
            </w:r>
            <w:r>
              <w:rPr>
                <w:spacing w:val="-12"/>
                <w:sz w:val="24"/>
              </w:rPr>
              <w:t> </w:t>
            </w:r>
            <w:r>
              <w:rPr>
                <w:sz w:val="24"/>
              </w:rPr>
              <w:t>an</w:t>
            </w:r>
            <w:r>
              <w:rPr>
                <w:spacing w:val="-11"/>
                <w:sz w:val="24"/>
              </w:rPr>
              <w:t> </w:t>
            </w:r>
            <w:r>
              <w:rPr>
                <w:sz w:val="24"/>
              </w:rPr>
              <w:t>assumption</w:t>
            </w:r>
            <w:r>
              <w:rPr>
                <w:spacing w:val="-5"/>
                <w:sz w:val="24"/>
              </w:rPr>
              <w:t> </w:t>
            </w:r>
            <w:r>
              <w:rPr>
                <w:sz w:val="24"/>
              </w:rPr>
              <w:t>on</w:t>
            </w:r>
            <w:r>
              <w:rPr>
                <w:spacing w:val="-6"/>
                <w:sz w:val="24"/>
              </w:rPr>
              <w:t> </w:t>
            </w:r>
            <w:r>
              <w:rPr>
                <w:sz w:val="24"/>
              </w:rPr>
              <w:t>the ultimate</w:t>
            </w:r>
            <w:r>
              <w:rPr>
                <w:spacing w:val="-11"/>
                <w:sz w:val="24"/>
              </w:rPr>
              <w:t> </w:t>
            </w:r>
            <w:r>
              <w:rPr>
                <w:sz w:val="24"/>
              </w:rPr>
              <w:t>destination.</w:t>
            </w:r>
            <w:r>
              <w:rPr>
                <w:spacing w:val="-9"/>
                <w:sz w:val="24"/>
              </w:rPr>
              <w:t> </w:t>
            </w:r>
            <w:r>
              <w:rPr>
                <w:sz w:val="24"/>
              </w:rPr>
              <w:t>We</w:t>
            </w:r>
            <w:r>
              <w:rPr>
                <w:spacing w:val="-11"/>
                <w:sz w:val="24"/>
              </w:rPr>
              <w:t> </w:t>
            </w:r>
            <w:r>
              <w:rPr>
                <w:sz w:val="24"/>
              </w:rPr>
              <w:t>recognise</w:t>
            </w:r>
            <w:r>
              <w:rPr>
                <w:spacing w:val="-6"/>
                <w:sz w:val="24"/>
              </w:rPr>
              <w:t> </w:t>
            </w:r>
            <w:r>
              <w:rPr>
                <w:sz w:val="24"/>
              </w:rPr>
              <w:t>that</w:t>
            </w:r>
            <w:r>
              <w:rPr>
                <w:spacing w:val="-13"/>
                <w:sz w:val="24"/>
              </w:rPr>
              <w:t> </w:t>
            </w:r>
            <w:r>
              <w:rPr>
                <w:sz w:val="24"/>
              </w:rPr>
              <w:t>we</w:t>
            </w:r>
            <w:r>
              <w:rPr>
                <w:spacing w:val="-15"/>
                <w:sz w:val="24"/>
              </w:rPr>
              <w:t> </w:t>
            </w:r>
            <w:r>
              <w:rPr>
                <w:sz w:val="24"/>
              </w:rPr>
              <w:t>are</w:t>
            </w:r>
            <w:r>
              <w:rPr>
                <w:spacing w:val="-11"/>
                <w:sz w:val="24"/>
              </w:rPr>
              <w:t> </w:t>
            </w:r>
            <w:r>
              <w:rPr>
                <w:sz w:val="24"/>
              </w:rPr>
              <w:t>two</w:t>
            </w:r>
            <w:r>
              <w:rPr>
                <w:spacing w:val="-15"/>
                <w:sz w:val="24"/>
              </w:rPr>
              <w:t> </w:t>
            </w:r>
            <w:r>
              <w:rPr>
                <w:sz w:val="24"/>
              </w:rPr>
              <w:t>statutory</w:t>
            </w:r>
            <w:r>
              <w:rPr>
                <w:spacing w:val="-16"/>
                <w:sz w:val="24"/>
              </w:rPr>
              <w:t> </w:t>
            </w:r>
            <w:r>
              <w:rPr>
                <w:sz w:val="24"/>
              </w:rPr>
              <w:t>bodies</w:t>
            </w:r>
            <w:r>
              <w:rPr>
                <w:spacing w:val="-11"/>
                <w:sz w:val="24"/>
              </w:rPr>
              <w:t> </w:t>
            </w:r>
            <w:r>
              <w:rPr>
                <w:sz w:val="24"/>
              </w:rPr>
              <w:t>serving</w:t>
            </w:r>
            <w:r>
              <w:rPr>
                <w:spacing w:val="-11"/>
                <w:sz w:val="24"/>
              </w:rPr>
              <w:t> </w:t>
            </w:r>
            <w:r>
              <w:rPr>
                <w:sz w:val="24"/>
              </w:rPr>
              <w:t>our</w:t>
            </w:r>
            <w:r>
              <w:rPr>
                <w:spacing w:val="-11"/>
                <w:sz w:val="24"/>
              </w:rPr>
              <w:t> </w:t>
            </w:r>
            <w:r>
              <w:rPr>
                <w:sz w:val="24"/>
              </w:rPr>
              <w:t>own </w:t>
            </w:r>
            <w:r>
              <w:rPr>
                <w:spacing w:val="-2"/>
                <w:sz w:val="24"/>
              </w:rPr>
              <w:t>populations.</w:t>
            </w:r>
          </w:p>
        </w:tc>
      </w:tr>
    </w:tbl>
    <w:p>
      <w:pPr>
        <w:spacing w:before="40"/>
        <w:ind w:left="4" w:right="0" w:firstLine="0"/>
        <w:jc w:val="center"/>
        <w:rPr>
          <w:sz w:val="16"/>
        </w:rPr>
      </w:pPr>
      <w:r>
        <w:rPr>
          <w:spacing w:val="-2"/>
          <w:sz w:val="16"/>
        </w:rPr>
        <w:t>Page</w:t>
      </w:r>
      <w:r>
        <w:rPr>
          <w:spacing w:val="-7"/>
          <w:sz w:val="16"/>
        </w:rPr>
        <w:t> </w:t>
      </w:r>
      <w:r>
        <w:rPr>
          <w:spacing w:val="-2"/>
          <w:sz w:val="16"/>
        </w:rPr>
        <w:t>2</w:t>
      </w:r>
      <w:r>
        <w:rPr>
          <w:spacing w:val="-9"/>
          <w:sz w:val="16"/>
        </w:rPr>
        <w:t> </w:t>
      </w:r>
      <w:r>
        <w:rPr>
          <w:spacing w:val="-2"/>
          <w:sz w:val="16"/>
        </w:rPr>
        <w:t>of</w:t>
      </w:r>
      <w:r>
        <w:rPr>
          <w:spacing w:val="-9"/>
          <w:sz w:val="16"/>
        </w:rPr>
        <w:t> </w:t>
      </w:r>
      <w:r>
        <w:rPr>
          <w:spacing w:val="-10"/>
          <w:sz w:val="16"/>
        </w:rPr>
        <w:t>8</w:t>
      </w:r>
    </w:p>
    <w:p>
      <w:pPr>
        <w:spacing w:after="0"/>
        <w:jc w:val="center"/>
        <w:rPr>
          <w:sz w:val="16"/>
        </w:rPr>
        <w:sectPr>
          <w:pgSz w:w="11910" w:h="16840"/>
          <w:pgMar w:header="0" w:footer="149" w:top="1280" w:bottom="340" w:left="850" w:right="850"/>
        </w:sect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644" w:hRule="atLeast"/>
        </w:trPr>
        <w:tc>
          <w:tcPr>
            <w:tcW w:w="10069" w:type="dxa"/>
            <w:tcBorders>
              <w:top w:val="nil"/>
            </w:tcBorders>
          </w:tcPr>
          <w:p>
            <w:pPr>
              <w:pStyle w:val="TableParagraph"/>
              <w:ind w:left="110"/>
              <w:rPr>
                <w:sz w:val="24"/>
              </w:rPr>
            </w:pPr>
            <w:r>
              <w:rPr>
                <w:sz w:val="24"/>
              </w:rPr>
              <w:t>Teams</w:t>
            </w:r>
            <w:r>
              <w:rPr>
                <w:spacing w:val="-17"/>
                <w:sz w:val="24"/>
              </w:rPr>
              <w:t> </w:t>
            </w:r>
            <w:r>
              <w:rPr>
                <w:sz w:val="24"/>
              </w:rPr>
              <w:t>should</w:t>
            </w:r>
            <w:r>
              <w:rPr>
                <w:spacing w:val="-16"/>
                <w:sz w:val="24"/>
              </w:rPr>
              <w:t> </w:t>
            </w:r>
            <w:r>
              <w:rPr>
                <w:sz w:val="24"/>
              </w:rPr>
              <w:t>choose</w:t>
            </w:r>
            <w:r>
              <w:rPr>
                <w:spacing w:val="-10"/>
                <w:sz w:val="24"/>
              </w:rPr>
              <w:t> </w:t>
            </w:r>
            <w:r>
              <w:rPr>
                <w:sz w:val="24"/>
              </w:rPr>
              <w:t>the</w:t>
            </w:r>
            <w:r>
              <w:rPr>
                <w:spacing w:val="-14"/>
                <w:sz w:val="24"/>
              </w:rPr>
              <w:t> </w:t>
            </w:r>
            <w:r>
              <w:rPr>
                <w:sz w:val="24"/>
              </w:rPr>
              <w:t>least</w:t>
            </w:r>
            <w:r>
              <w:rPr>
                <w:spacing w:val="-17"/>
                <w:sz w:val="24"/>
              </w:rPr>
              <w:t> </w:t>
            </w:r>
            <w:r>
              <w:rPr>
                <w:sz w:val="24"/>
              </w:rPr>
              <w:t>complex</w:t>
            </w:r>
            <w:r>
              <w:rPr>
                <w:spacing w:val="-15"/>
                <w:sz w:val="24"/>
              </w:rPr>
              <w:t> </w:t>
            </w:r>
            <w:r>
              <w:rPr>
                <w:sz w:val="24"/>
              </w:rPr>
              <w:t>arrangement</w:t>
            </w:r>
            <w:r>
              <w:rPr>
                <w:spacing w:val="-17"/>
                <w:sz w:val="24"/>
              </w:rPr>
              <w:t> </w:t>
            </w:r>
            <w:r>
              <w:rPr>
                <w:sz w:val="24"/>
              </w:rPr>
              <w:t>capable</w:t>
            </w:r>
            <w:r>
              <w:rPr>
                <w:spacing w:val="-14"/>
                <w:sz w:val="24"/>
              </w:rPr>
              <w:t> </w:t>
            </w:r>
            <w:r>
              <w:rPr>
                <w:sz w:val="24"/>
              </w:rPr>
              <w:t>of</w:t>
            </w:r>
            <w:r>
              <w:rPr>
                <w:spacing w:val="-17"/>
                <w:sz w:val="24"/>
              </w:rPr>
              <w:t> </w:t>
            </w:r>
            <w:r>
              <w:rPr>
                <w:sz w:val="24"/>
              </w:rPr>
              <w:t>delivering</w:t>
            </w:r>
            <w:r>
              <w:rPr>
                <w:spacing w:val="-14"/>
                <w:sz w:val="24"/>
              </w:rPr>
              <w:t> </w:t>
            </w:r>
            <w:r>
              <w:rPr>
                <w:sz w:val="24"/>
              </w:rPr>
              <w:t>the</w:t>
            </w:r>
            <w:r>
              <w:rPr>
                <w:spacing w:val="-10"/>
                <w:sz w:val="24"/>
              </w:rPr>
              <w:t> </w:t>
            </w:r>
            <w:r>
              <w:rPr>
                <w:sz w:val="24"/>
              </w:rPr>
              <w:t>required</w:t>
            </w:r>
            <w:r>
              <w:rPr>
                <w:spacing w:val="-10"/>
                <w:sz w:val="24"/>
              </w:rPr>
              <w:t> </w:t>
            </w:r>
            <w:r>
              <w:rPr>
                <w:sz w:val="24"/>
              </w:rPr>
              <w:t>value </w:t>
            </w:r>
            <w:r>
              <w:rPr>
                <w:spacing w:val="-2"/>
                <w:sz w:val="24"/>
              </w:rPr>
              <w:t>safely.</w:t>
            </w:r>
            <w:r>
              <w:rPr>
                <w:spacing w:val="-14"/>
                <w:sz w:val="24"/>
              </w:rPr>
              <w:t> </w:t>
            </w:r>
            <w:r>
              <w:rPr>
                <w:spacing w:val="-2"/>
                <w:sz w:val="24"/>
              </w:rPr>
              <w:t>They</w:t>
            </w:r>
            <w:r>
              <w:rPr>
                <w:spacing w:val="-11"/>
                <w:sz w:val="24"/>
              </w:rPr>
              <w:t> </w:t>
            </w:r>
            <w:r>
              <w:rPr>
                <w:spacing w:val="-2"/>
                <w:sz w:val="24"/>
              </w:rPr>
              <w:t>should</w:t>
            </w:r>
            <w:r>
              <w:rPr>
                <w:spacing w:val="-10"/>
                <w:sz w:val="24"/>
              </w:rPr>
              <w:t> </w:t>
            </w:r>
            <w:r>
              <w:rPr>
                <w:spacing w:val="-2"/>
                <w:sz w:val="24"/>
              </w:rPr>
              <w:t>ask</w:t>
            </w:r>
            <w:r>
              <w:rPr>
                <w:spacing w:val="-11"/>
                <w:sz w:val="24"/>
              </w:rPr>
              <w:t> </w:t>
            </w:r>
            <w:r>
              <w:rPr>
                <w:spacing w:val="-2"/>
                <w:sz w:val="24"/>
              </w:rPr>
              <w:t>what</w:t>
            </w:r>
            <w:r>
              <w:rPr>
                <w:spacing w:val="-13"/>
                <w:sz w:val="24"/>
              </w:rPr>
              <w:t> </w:t>
            </w:r>
            <w:r>
              <w:rPr>
                <w:spacing w:val="-2"/>
                <w:sz w:val="24"/>
              </w:rPr>
              <w:t>value</w:t>
            </w:r>
            <w:r>
              <w:rPr>
                <w:spacing w:val="-10"/>
                <w:sz w:val="24"/>
              </w:rPr>
              <w:t> </w:t>
            </w:r>
            <w:r>
              <w:rPr>
                <w:spacing w:val="-2"/>
                <w:sz w:val="24"/>
              </w:rPr>
              <w:t>is</w:t>
            </w:r>
            <w:r>
              <w:rPr>
                <w:spacing w:val="-11"/>
                <w:sz w:val="24"/>
              </w:rPr>
              <w:t> </w:t>
            </w:r>
            <w:r>
              <w:rPr>
                <w:spacing w:val="-2"/>
                <w:sz w:val="24"/>
              </w:rPr>
              <w:t>sought,</w:t>
            </w:r>
            <w:r>
              <w:rPr>
                <w:spacing w:val="-13"/>
                <w:sz w:val="24"/>
              </w:rPr>
              <w:t> </w:t>
            </w:r>
            <w:r>
              <w:rPr>
                <w:spacing w:val="-2"/>
                <w:sz w:val="24"/>
              </w:rPr>
              <w:t>which</w:t>
            </w:r>
            <w:r>
              <w:rPr>
                <w:spacing w:val="-10"/>
                <w:sz w:val="24"/>
              </w:rPr>
              <w:t> </w:t>
            </w:r>
            <w:r>
              <w:rPr>
                <w:spacing w:val="-2"/>
                <w:sz w:val="24"/>
              </w:rPr>
              <w:t>mechanism</w:t>
            </w:r>
            <w:r>
              <w:rPr>
                <w:spacing w:val="-11"/>
                <w:sz w:val="24"/>
              </w:rPr>
              <w:t> </w:t>
            </w:r>
            <w:r>
              <w:rPr>
                <w:spacing w:val="-2"/>
                <w:sz w:val="24"/>
              </w:rPr>
              <w:t>delivers</w:t>
            </w:r>
            <w:r>
              <w:rPr>
                <w:spacing w:val="-15"/>
                <w:sz w:val="24"/>
              </w:rPr>
              <w:t> </w:t>
            </w:r>
            <w:r>
              <w:rPr>
                <w:spacing w:val="-2"/>
                <w:sz w:val="24"/>
              </w:rPr>
              <w:t>it</w:t>
            </w:r>
            <w:r>
              <w:rPr>
                <w:spacing w:val="-13"/>
                <w:sz w:val="24"/>
              </w:rPr>
              <w:t> </w:t>
            </w:r>
            <w:r>
              <w:rPr>
                <w:spacing w:val="-2"/>
                <w:sz w:val="24"/>
              </w:rPr>
              <w:t>most</w:t>
            </w:r>
            <w:r>
              <w:rPr>
                <w:spacing w:val="-13"/>
                <w:sz w:val="24"/>
              </w:rPr>
              <w:t> </w:t>
            </w:r>
            <w:r>
              <w:rPr>
                <w:spacing w:val="-2"/>
                <w:sz w:val="24"/>
              </w:rPr>
              <w:t>effectively,</w:t>
            </w:r>
            <w:r>
              <w:rPr>
                <w:spacing w:val="-13"/>
                <w:sz w:val="24"/>
              </w:rPr>
              <w:t> </w:t>
            </w:r>
            <w:r>
              <w:rPr>
                <w:spacing w:val="-2"/>
                <w:sz w:val="24"/>
              </w:rPr>
              <w:t>and </w:t>
            </w:r>
            <w:r>
              <w:rPr>
                <w:sz w:val="24"/>
              </w:rPr>
              <w:t>what</w:t>
            </w:r>
            <w:r>
              <w:rPr>
                <w:spacing w:val="-14"/>
                <w:sz w:val="24"/>
              </w:rPr>
              <w:t> </w:t>
            </w:r>
            <w:r>
              <w:rPr>
                <w:sz w:val="24"/>
              </w:rPr>
              <w:t>is</w:t>
            </w:r>
            <w:r>
              <w:rPr>
                <w:spacing w:val="-12"/>
                <w:sz w:val="24"/>
              </w:rPr>
              <w:t> </w:t>
            </w:r>
            <w:r>
              <w:rPr>
                <w:sz w:val="24"/>
              </w:rPr>
              <w:t>lost</w:t>
            </w:r>
            <w:r>
              <w:rPr>
                <w:spacing w:val="-9"/>
                <w:sz w:val="24"/>
              </w:rPr>
              <w:t> </w:t>
            </w:r>
            <w:r>
              <w:rPr>
                <w:sz w:val="24"/>
              </w:rPr>
              <w:t>through</w:t>
            </w:r>
            <w:r>
              <w:rPr>
                <w:spacing w:val="-11"/>
                <w:sz w:val="24"/>
              </w:rPr>
              <w:t> </w:t>
            </w:r>
            <w:r>
              <w:rPr>
                <w:sz w:val="24"/>
              </w:rPr>
              <w:t>too</w:t>
            </w:r>
            <w:r>
              <w:rPr>
                <w:spacing w:val="-11"/>
                <w:sz w:val="24"/>
              </w:rPr>
              <w:t> </w:t>
            </w:r>
            <w:r>
              <w:rPr>
                <w:sz w:val="24"/>
              </w:rPr>
              <w:t>little</w:t>
            </w:r>
            <w:r>
              <w:rPr>
                <w:spacing w:val="-11"/>
                <w:sz w:val="24"/>
              </w:rPr>
              <w:t> </w:t>
            </w:r>
            <w:r>
              <w:rPr>
                <w:sz w:val="24"/>
              </w:rPr>
              <w:t>or</w:t>
            </w:r>
            <w:r>
              <w:rPr>
                <w:spacing w:val="-12"/>
                <w:sz w:val="24"/>
              </w:rPr>
              <w:t> </w:t>
            </w:r>
            <w:r>
              <w:rPr>
                <w:sz w:val="24"/>
              </w:rPr>
              <w:t>too</w:t>
            </w:r>
            <w:r>
              <w:rPr>
                <w:spacing w:val="-11"/>
                <w:sz w:val="24"/>
              </w:rPr>
              <w:t> </w:t>
            </w:r>
            <w:r>
              <w:rPr>
                <w:sz w:val="24"/>
              </w:rPr>
              <w:t>much</w:t>
            </w:r>
            <w:r>
              <w:rPr>
                <w:spacing w:val="-11"/>
                <w:sz w:val="24"/>
              </w:rPr>
              <w:t> </w:t>
            </w:r>
            <w:r>
              <w:rPr>
                <w:sz w:val="24"/>
              </w:rPr>
              <w:t>integration.</w:t>
            </w:r>
            <w:r>
              <w:rPr>
                <w:spacing w:val="-14"/>
                <w:sz w:val="24"/>
              </w:rPr>
              <w:t> </w:t>
            </w:r>
            <w:r>
              <w:rPr>
                <w:sz w:val="24"/>
              </w:rPr>
              <w:t>Any</w:t>
            </w:r>
            <w:r>
              <w:rPr>
                <w:spacing w:val="-17"/>
                <w:sz w:val="24"/>
              </w:rPr>
              <w:t> </w:t>
            </w:r>
            <w:r>
              <w:rPr>
                <w:sz w:val="24"/>
              </w:rPr>
              <w:t>external</w:t>
            </w:r>
            <w:r>
              <w:rPr>
                <w:spacing w:val="-7"/>
                <w:sz w:val="24"/>
              </w:rPr>
              <w:t> </w:t>
            </w:r>
            <w:r>
              <w:rPr>
                <w:sz w:val="24"/>
              </w:rPr>
              <w:t>delivery</w:t>
            </w:r>
            <w:r>
              <w:rPr>
                <w:spacing w:val="-17"/>
                <w:sz w:val="24"/>
              </w:rPr>
              <w:t> </w:t>
            </w:r>
            <w:r>
              <w:rPr>
                <w:sz w:val="24"/>
              </w:rPr>
              <w:t>option</w:t>
            </w:r>
            <w:r>
              <w:rPr>
                <w:spacing w:val="-11"/>
                <w:sz w:val="24"/>
              </w:rPr>
              <w:t> </w:t>
            </w:r>
            <w:r>
              <w:rPr>
                <w:sz w:val="24"/>
              </w:rPr>
              <w:t>requires</w:t>
            </w:r>
            <w:r>
              <w:rPr>
                <w:spacing w:val="-12"/>
                <w:sz w:val="24"/>
              </w:rPr>
              <w:t> </w:t>
            </w:r>
            <w:r>
              <w:rPr>
                <w:sz w:val="24"/>
              </w:rPr>
              <w:t>a separate appraisal and the relevant</w:t>
            </w:r>
            <w:r>
              <w:rPr>
                <w:spacing w:val="-9"/>
                <w:sz w:val="24"/>
              </w:rPr>
              <w:t> </w:t>
            </w:r>
            <w:r>
              <w:rPr>
                <w:sz w:val="24"/>
              </w:rPr>
              <w:t>approvals.</w:t>
            </w:r>
          </w:p>
          <w:p>
            <w:pPr>
              <w:pStyle w:val="TableParagraph"/>
              <w:rPr>
                <w:sz w:val="24"/>
              </w:rPr>
            </w:pPr>
          </w:p>
          <w:p>
            <w:pPr>
              <w:pStyle w:val="TableParagraph"/>
              <w:spacing w:line="275" w:lineRule="exact"/>
              <w:ind w:left="110"/>
              <w:rPr>
                <w:b/>
                <w:sz w:val="24"/>
              </w:rPr>
            </w:pPr>
            <w:r>
              <w:rPr>
                <w:b/>
                <w:spacing w:val="-2"/>
                <w:sz w:val="24"/>
              </w:rPr>
              <w:t>Applying</w:t>
            </w:r>
            <w:r>
              <w:rPr>
                <w:b/>
                <w:spacing w:val="-15"/>
                <w:sz w:val="24"/>
              </w:rPr>
              <w:t> </w:t>
            </w:r>
            <w:r>
              <w:rPr>
                <w:b/>
                <w:spacing w:val="-2"/>
                <w:sz w:val="24"/>
              </w:rPr>
              <w:t>the</w:t>
            </w:r>
            <w:r>
              <w:rPr>
                <w:b/>
                <w:spacing w:val="-9"/>
                <w:sz w:val="24"/>
              </w:rPr>
              <w:t> </w:t>
            </w:r>
            <w:r>
              <w:rPr>
                <w:b/>
                <w:spacing w:val="-2"/>
                <w:sz w:val="24"/>
              </w:rPr>
              <w:t>framework</w:t>
            </w:r>
            <w:r>
              <w:rPr>
                <w:b/>
                <w:spacing w:val="-12"/>
                <w:sz w:val="24"/>
              </w:rPr>
              <w:t> </w:t>
            </w:r>
            <w:r>
              <w:rPr>
                <w:b/>
                <w:spacing w:val="-2"/>
                <w:sz w:val="24"/>
              </w:rPr>
              <w:t>to</w:t>
            </w:r>
            <w:r>
              <w:rPr>
                <w:b/>
                <w:spacing w:val="-15"/>
                <w:sz w:val="24"/>
              </w:rPr>
              <w:t> </w:t>
            </w:r>
            <w:r>
              <w:rPr>
                <w:b/>
                <w:spacing w:val="-2"/>
                <w:sz w:val="24"/>
              </w:rPr>
              <w:t>regional</w:t>
            </w:r>
            <w:r>
              <w:rPr>
                <w:b/>
                <w:spacing w:val="-10"/>
                <w:sz w:val="24"/>
              </w:rPr>
              <w:t> </w:t>
            </w:r>
            <w:r>
              <w:rPr>
                <w:b/>
                <w:spacing w:val="-4"/>
                <w:sz w:val="24"/>
              </w:rPr>
              <w:t>LTAs</w:t>
            </w:r>
          </w:p>
          <w:p>
            <w:pPr>
              <w:pStyle w:val="TableParagraph"/>
              <w:spacing w:line="343" w:lineRule="auto"/>
              <w:ind w:left="110" w:right="1401"/>
              <w:rPr>
                <w:sz w:val="24"/>
              </w:rPr>
            </w:pPr>
            <w:r>
              <w:rPr>
                <w:spacing w:val="-2"/>
                <w:sz w:val="24"/>
              </w:rPr>
              <w:t>We</w:t>
            </w:r>
            <w:r>
              <w:rPr>
                <w:spacing w:val="-13"/>
                <w:sz w:val="24"/>
              </w:rPr>
              <w:t> </w:t>
            </w:r>
            <w:r>
              <w:rPr>
                <w:spacing w:val="-2"/>
                <w:sz w:val="24"/>
              </w:rPr>
              <w:t>have</w:t>
            </w:r>
            <w:r>
              <w:rPr>
                <w:spacing w:val="-11"/>
                <w:sz w:val="24"/>
              </w:rPr>
              <w:t> </w:t>
            </w:r>
            <w:r>
              <w:rPr>
                <w:spacing w:val="-2"/>
                <w:sz w:val="24"/>
              </w:rPr>
              <w:t>commenced</w:t>
            </w:r>
            <w:r>
              <w:rPr>
                <w:spacing w:val="-11"/>
                <w:sz w:val="24"/>
              </w:rPr>
              <w:t> </w:t>
            </w:r>
            <w:r>
              <w:rPr>
                <w:spacing w:val="-2"/>
                <w:sz w:val="24"/>
              </w:rPr>
              <w:t>work</w:t>
            </w:r>
            <w:r>
              <w:rPr>
                <w:spacing w:val="-12"/>
                <w:sz w:val="24"/>
              </w:rPr>
              <w:t> </w:t>
            </w:r>
            <w:r>
              <w:rPr>
                <w:spacing w:val="-2"/>
                <w:sz w:val="24"/>
              </w:rPr>
              <w:t>on</w:t>
            </w:r>
            <w:r>
              <w:rPr>
                <w:spacing w:val="-15"/>
                <w:sz w:val="24"/>
              </w:rPr>
              <w:t> </w:t>
            </w:r>
            <w:r>
              <w:rPr>
                <w:spacing w:val="-2"/>
                <w:sz w:val="24"/>
              </w:rPr>
              <w:t>our</w:t>
            </w:r>
            <w:r>
              <w:rPr>
                <w:spacing w:val="-12"/>
                <w:sz w:val="24"/>
              </w:rPr>
              <w:t> </w:t>
            </w:r>
            <w:r>
              <w:rPr>
                <w:spacing w:val="-2"/>
                <w:sz w:val="24"/>
              </w:rPr>
              <w:t>LTAs</w:t>
            </w:r>
            <w:r>
              <w:rPr>
                <w:spacing w:val="-12"/>
                <w:sz w:val="24"/>
              </w:rPr>
              <w:t> </w:t>
            </w:r>
            <w:r>
              <w:rPr>
                <w:spacing w:val="-2"/>
                <w:sz w:val="24"/>
              </w:rPr>
              <w:t>alongside</w:t>
            </w:r>
            <w:r>
              <w:rPr>
                <w:spacing w:val="-15"/>
                <w:sz w:val="24"/>
              </w:rPr>
              <w:t> </w:t>
            </w:r>
            <w:r>
              <w:rPr>
                <w:spacing w:val="-2"/>
                <w:sz w:val="24"/>
              </w:rPr>
              <w:t>colleagues</w:t>
            </w:r>
            <w:r>
              <w:rPr>
                <w:spacing w:val="-7"/>
                <w:sz w:val="24"/>
              </w:rPr>
              <w:t> </w:t>
            </w:r>
            <w:r>
              <w:rPr>
                <w:spacing w:val="-2"/>
                <w:sz w:val="24"/>
              </w:rPr>
              <w:t>from</w:t>
            </w:r>
            <w:r>
              <w:rPr>
                <w:spacing w:val="-12"/>
                <w:sz w:val="24"/>
              </w:rPr>
              <w:t> </w:t>
            </w:r>
            <w:r>
              <w:rPr>
                <w:spacing w:val="-2"/>
                <w:sz w:val="24"/>
              </w:rPr>
              <w:t>Powys</w:t>
            </w:r>
            <w:r>
              <w:rPr>
                <w:spacing w:val="-12"/>
                <w:sz w:val="24"/>
              </w:rPr>
              <w:t> </w:t>
            </w:r>
            <w:r>
              <w:rPr>
                <w:spacing w:val="-2"/>
                <w:sz w:val="24"/>
              </w:rPr>
              <w:t>HB. </w:t>
            </w:r>
            <w:r>
              <w:rPr>
                <w:sz w:val="24"/>
              </w:rPr>
              <w:t>This</w:t>
            </w:r>
            <w:r>
              <w:rPr>
                <w:spacing w:val="-6"/>
                <w:sz w:val="24"/>
              </w:rPr>
              <w:t> </w:t>
            </w:r>
            <w:r>
              <w:rPr>
                <w:sz w:val="24"/>
              </w:rPr>
              <w:t>has</w:t>
            </w:r>
            <w:r>
              <w:rPr>
                <w:spacing w:val="-11"/>
                <w:sz w:val="24"/>
              </w:rPr>
              <w:t> </w:t>
            </w:r>
            <w:r>
              <w:rPr>
                <w:sz w:val="24"/>
              </w:rPr>
              <w:t>begun</w:t>
            </w:r>
            <w:r>
              <w:rPr>
                <w:spacing w:val="-5"/>
                <w:sz w:val="24"/>
              </w:rPr>
              <w:t> </w:t>
            </w:r>
            <w:r>
              <w:rPr>
                <w:sz w:val="24"/>
              </w:rPr>
              <w:t>to</w:t>
            </w:r>
            <w:r>
              <w:rPr>
                <w:spacing w:val="-5"/>
                <w:sz w:val="24"/>
              </w:rPr>
              <w:t> </w:t>
            </w:r>
            <w:r>
              <w:rPr>
                <w:sz w:val="24"/>
              </w:rPr>
              <w:t>develop</w:t>
            </w:r>
            <w:r>
              <w:rPr>
                <w:spacing w:val="-5"/>
                <w:sz w:val="24"/>
              </w:rPr>
              <w:t> </w:t>
            </w:r>
            <w:r>
              <w:rPr>
                <w:sz w:val="24"/>
              </w:rPr>
              <w:t>a</w:t>
            </w:r>
            <w:r>
              <w:rPr>
                <w:spacing w:val="-5"/>
                <w:sz w:val="24"/>
              </w:rPr>
              <w:t> </w:t>
            </w:r>
            <w:r>
              <w:rPr>
                <w:sz w:val="24"/>
              </w:rPr>
              <w:t>number</w:t>
            </w:r>
            <w:r>
              <w:rPr>
                <w:spacing w:val="-6"/>
                <w:sz w:val="24"/>
              </w:rPr>
              <w:t> </w:t>
            </w:r>
            <w:r>
              <w:rPr>
                <w:sz w:val="24"/>
              </w:rPr>
              <w:t>of</w:t>
            </w:r>
            <w:r>
              <w:rPr>
                <w:spacing w:val="-8"/>
                <w:sz w:val="24"/>
              </w:rPr>
              <w:t> </w:t>
            </w:r>
            <w:r>
              <w:rPr>
                <w:sz w:val="24"/>
              </w:rPr>
              <w:t>principles.</w:t>
            </w:r>
            <w:r>
              <w:rPr>
                <w:spacing w:val="-8"/>
                <w:sz w:val="24"/>
              </w:rPr>
              <w:t> </w:t>
            </w:r>
            <w:r>
              <w:rPr>
                <w:sz w:val="24"/>
              </w:rPr>
              <w:t>These</w:t>
            </w:r>
            <w:r>
              <w:rPr>
                <w:spacing w:val="-5"/>
                <w:sz w:val="24"/>
              </w:rPr>
              <w:t> </w:t>
            </w:r>
            <w:r>
              <w:rPr>
                <w:sz w:val="24"/>
              </w:rPr>
              <w:t>include:</w:t>
            </w:r>
          </w:p>
          <w:p>
            <w:pPr>
              <w:pStyle w:val="TableParagraph"/>
              <w:numPr>
                <w:ilvl w:val="0"/>
                <w:numId w:val="6"/>
              </w:numPr>
              <w:tabs>
                <w:tab w:pos="828" w:val="left" w:leader="none"/>
                <w:tab w:pos="830" w:val="left" w:leader="none"/>
              </w:tabs>
              <w:spacing w:line="242" w:lineRule="auto" w:before="0" w:after="0"/>
              <w:ind w:left="830" w:right="275" w:hanging="361"/>
              <w:jc w:val="left"/>
              <w:rPr>
                <w:sz w:val="24"/>
              </w:rPr>
            </w:pPr>
            <w:r>
              <w:rPr>
                <w:sz w:val="24"/>
              </w:rPr>
              <w:t>LTAs</w:t>
            </w:r>
            <w:r>
              <w:rPr>
                <w:spacing w:val="-17"/>
                <w:sz w:val="24"/>
              </w:rPr>
              <w:t> </w:t>
            </w:r>
            <w:r>
              <w:rPr>
                <w:sz w:val="24"/>
              </w:rPr>
              <w:t>should</w:t>
            </w:r>
            <w:r>
              <w:rPr>
                <w:spacing w:val="-15"/>
                <w:sz w:val="24"/>
              </w:rPr>
              <w:t> </w:t>
            </w:r>
            <w:r>
              <w:rPr>
                <w:sz w:val="24"/>
              </w:rPr>
              <w:t>enable</w:t>
            </w:r>
            <w:r>
              <w:rPr>
                <w:spacing w:val="-14"/>
                <w:sz w:val="24"/>
              </w:rPr>
              <w:t> </w:t>
            </w:r>
            <w:r>
              <w:rPr>
                <w:sz w:val="24"/>
              </w:rPr>
              <w:t>agreed</w:t>
            </w:r>
            <w:r>
              <w:rPr>
                <w:spacing w:val="-14"/>
                <w:sz w:val="24"/>
              </w:rPr>
              <w:t> </w:t>
            </w:r>
            <w:r>
              <w:rPr>
                <w:sz w:val="24"/>
              </w:rPr>
              <w:t>care</w:t>
            </w:r>
            <w:r>
              <w:rPr>
                <w:spacing w:val="-14"/>
                <w:sz w:val="24"/>
              </w:rPr>
              <w:t> </w:t>
            </w:r>
            <w:r>
              <w:rPr>
                <w:sz w:val="24"/>
              </w:rPr>
              <w:t>pathways</w:t>
            </w:r>
            <w:r>
              <w:rPr>
                <w:spacing w:val="-17"/>
                <w:sz w:val="24"/>
              </w:rPr>
              <w:t> </w:t>
            </w:r>
            <w:r>
              <w:rPr>
                <w:sz w:val="24"/>
              </w:rPr>
              <w:t>and</w:t>
            </w:r>
            <w:r>
              <w:rPr>
                <w:spacing w:val="-13"/>
                <w:sz w:val="24"/>
              </w:rPr>
              <w:t> </w:t>
            </w:r>
            <w:r>
              <w:rPr>
                <w:sz w:val="24"/>
              </w:rPr>
              <w:t>fund</w:t>
            </w:r>
            <w:r>
              <w:rPr>
                <w:spacing w:val="-14"/>
                <w:sz w:val="24"/>
              </w:rPr>
              <w:t> </w:t>
            </w:r>
            <w:r>
              <w:rPr>
                <w:sz w:val="24"/>
              </w:rPr>
              <w:t>the</w:t>
            </w:r>
            <w:r>
              <w:rPr>
                <w:spacing w:val="-14"/>
                <w:sz w:val="24"/>
              </w:rPr>
              <w:t> </w:t>
            </w:r>
            <w:r>
              <w:rPr>
                <w:sz w:val="24"/>
              </w:rPr>
              <w:t>work</w:t>
            </w:r>
            <w:r>
              <w:rPr>
                <w:spacing w:val="-17"/>
                <w:sz w:val="24"/>
              </w:rPr>
              <w:t> </w:t>
            </w:r>
            <w:r>
              <w:rPr>
                <w:sz w:val="24"/>
              </w:rPr>
              <w:t>needed</w:t>
            </w:r>
            <w:r>
              <w:rPr>
                <w:spacing w:val="-13"/>
                <w:sz w:val="24"/>
              </w:rPr>
              <w:t> </w:t>
            </w:r>
            <w:r>
              <w:rPr>
                <w:sz w:val="24"/>
              </w:rPr>
              <w:t>to</w:t>
            </w:r>
            <w:r>
              <w:rPr>
                <w:spacing w:val="-17"/>
                <w:sz w:val="24"/>
              </w:rPr>
              <w:t> </w:t>
            </w:r>
            <w:r>
              <w:rPr>
                <w:sz w:val="24"/>
              </w:rPr>
              <w:t>deliver</w:t>
            </w:r>
            <w:r>
              <w:rPr>
                <w:spacing w:val="-10"/>
                <w:sz w:val="24"/>
              </w:rPr>
              <w:t> </w:t>
            </w:r>
            <w:r>
              <w:rPr>
                <w:sz w:val="24"/>
              </w:rPr>
              <w:t>them. </w:t>
            </w:r>
            <w:r>
              <w:rPr>
                <w:spacing w:val="-2"/>
                <w:sz w:val="24"/>
              </w:rPr>
              <w:t>The</w:t>
            </w:r>
            <w:r>
              <w:rPr>
                <w:spacing w:val="-12"/>
                <w:sz w:val="24"/>
              </w:rPr>
              <w:t> </w:t>
            </w:r>
            <w:r>
              <w:rPr>
                <w:spacing w:val="-2"/>
                <w:sz w:val="24"/>
              </w:rPr>
              <w:t>starting</w:t>
            </w:r>
            <w:r>
              <w:rPr>
                <w:spacing w:val="-11"/>
                <w:sz w:val="24"/>
              </w:rPr>
              <w:t> </w:t>
            </w:r>
            <w:r>
              <w:rPr>
                <w:spacing w:val="-2"/>
                <w:sz w:val="24"/>
              </w:rPr>
              <w:t>point</w:t>
            </w:r>
            <w:r>
              <w:rPr>
                <w:spacing w:val="-14"/>
                <w:sz w:val="24"/>
              </w:rPr>
              <w:t> </w:t>
            </w:r>
            <w:r>
              <w:rPr>
                <w:spacing w:val="-2"/>
                <w:sz w:val="24"/>
              </w:rPr>
              <w:t>should</w:t>
            </w:r>
            <w:r>
              <w:rPr>
                <w:spacing w:val="-15"/>
                <w:sz w:val="24"/>
              </w:rPr>
              <w:t> </w:t>
            </w:r>
            <w:r>
              <w:rPr>
                <w:spacing w:val="-2"/>
                <w:sz w:val="24"/>
              </w:rPr>
              <w:t>be</w:t>
            </w:r>
            <w:r>
              <w:rPr>
                <w:spacing w:val="-15"/>
                <w:sz w:val="24"/>
              </w:rPr>
              <w:t> </w:t>
            </w:r>
            <w:r>
              <w:rPr>
                <w:spacing w:val="-2"/>
                <w:sz w:val="24"/>
              </w:rPr>
              <w:t>population</w:t>
            </w:r>
            <w:r>
              <w:rPr>
                <w:spacing w:val="-10"/>
                <w:sz w:val="24"/>
              </w:rPr>
              <w:t> </w:t>
            </w:r>
            <w:r>
              <w:rPr>
                <w:spacing w:val="-2"/>
                <w:sz w:val="24"/>
              </w:rPr>
              <w:t>need,</w:t>
            </w:r>
            <w:r>
              <w:rPr>
                <w:spacing w:val="-14"/>
                <w:sz w:val="24"/>
              </w:rPr>
              <w:t> </w:t>
            </w:r>
            <w:r>
              <w:rPr>
                <w:spacing w:val="-2"/>
                <w:sz w:val="24"/>
              </w:rPr>
              <w:t>demand</w:t>
            </w:r>
            <w:r>
              <w:rPr>
                <w:spacing w:val="-11"/>
                <w:sz w:val="24"/>
              </w:rPr>
              <w:t> </w:t>
            </w:r>
            <w:r>
              <w:rPr>
                <w:spacing w:val="-2"/>
                <w:sz w:val="24"/>
              </w:rPr>
              <w:t>and</w:t>
            </w:r>
            <w:r>
              <w:rPr>
                <w:spacing w:val="-11"/>
                <w:sz w:val="24"/>
              </w:rPr>
              <w:t> </w:t>
            </w:r>
            <w:r>
              <w:rPr>
                <w:spacing w:val="-2"/>
                <w:sz w:val="24"/>
              </w:rPr>
              <w:t>capacity,</w:t>
            </w:r>
            <w:r>
              <w:rPr>
                <w:spacing w:val="-14"/>
                <w:sz w:val="24"/>
              </w:rPr>
              <w:t> </w:t>
            </w:r>
            <w:r>
              <w:rPr>
                <w:spacing w:val="-2"/>
                <w:sz w:val="24"/>
              </w:rPr>
              <w:t>including</w:t>
            </w:r>
            <w:r>
              <w:rPr>
                <w:spacing w:val="-11"/>
                <w:sz w:val="24"/>
              </w:rPr>
              <w:t> </w:t>
            </w:r>
            <w:r>
              <w:rPr>
                <w:spacing w:val="-2"/>
                <w:sz w:val="24"/>
              </w:rPr>
              <w:t>equity</w:t>
            </w:r>
            <w:r>
              <w:rPr>
                <w:spacing w:val="-12"/>
                <w:sz w:val="24"/>
              </w:rPr>
              <w:t> </w:t>
            </w:r>
            <w:r>
              <w:rPr>
                <w:spacing w:val="-2"/>
                <w:sz w:val="24"/>
              </w:rPr>
              <w:t>of </w:t>
            </w:r>
            <w:r>
              <w:rPr>
                <w:sz w:val="24"/>
              </w:rPr>
              <w:t>access,</w:t>
            </w:r>
            <w:r>
              <w:rPr>
                <w:spacing w:val="-15"/>
                <w:sz w:val="24"/>
              </w:rPr>
              <w:t> </w:t>
            </w:r>
            <w:r>
              <w:rPr>
                <w:sz w:val="24"/>
              </w:rPr>
              <w:t>rural</w:t>
            </w:r>
            <w:r>
              <w:rPr>
                <w:spacing w:val="-12"/>
                <w:sz w:val="24"/>
              </w:rPr>
              <w:t> </w:t>
            </w:r>
            <w:r>
              <w:rPr>
                <w:sz w:val="24"/>
              </w:rPr>
              <w:t>provision</w:t>
            </w:r>
            <w:r>
              <w:rPr>
                <w:spacing w:val="-12"/>
                <w:sz w:val="24"/>
              </w:rPr>
              <w:t> </w:t>
            </w:r>
            <w:r>
              <w:rPr>
                <w:sz w:val="24"/>
              </w:rPr>
              <w:t>and</w:t>
            </w:r>
            <w:r>
              <w:rPr>
                <w:spacing w:val="-12"/>
                <w:sz w:val="24"/>
              </w:rPr>
              <w:t> </w:t>
            </w:r>
            <w:r>
              <w:rPr>
                <w:sz w:val="24"/>
              </w:rPr>
              <w:t>opportunities</w:t>
            </w:r>
            <w:r>
              <w:rPr>
                <w:spacing w:val="-13"/>
                <w:sz w:val="24"/>
              </w:rPr>
              <w:t> </w:t>
            </w:r>
            <w:r>
              <w:rPr>
                <w:sz w:val="24"/>
              </w:rPr>
              <w:t>for</w:t>
            </w:r>
            <w:r>
              <w:rPr>
                <w:spacing w:val="-13"/>
                <w:sz w:val="24"/>
              </w:rPr>
              <w:t> </w:t>
            </w:r>
            <w:r>
              <w:rPr>
                <w:sz w:val="24"/>
              </w:rPr>
              <w:t>prevention</w:t>
            </w:r>
            <w:r>
              <w:rPr>
                <w:spacing w:val="-12"/>
                <w:sz w:val="24"/>
              </w:rPr>
              <w:t> </w:t>
            </w:r>
            <w:r>
              <w:rPr>
                <w:sz w:val="24"/>
              </w:rPr>
              <w:t>or</w:t>
            </w:r>
            <w:r>
              <w:rPr>
                <w:spacing w:val="-8"/>
                <w:sz w:val="24"/>
              </w:rPr>
              <w:t> </w:t>
            </w:r>
            <w:r>
              <w:rPr>
                <w:sz w:val="24"/>
              </w:rPr>
              <w:t>care</w:t>
            </w:r>
            <w:r>
              <w:rPr>
                <w:spacing w:val="-12"/>
                <w:sz w:val="24"/>
              </w:rPr>
              <w:t> </w:t>
            </w:r>
            <w:r>
              <w:rPr>
                <w:sz w:val="24"/>
              </w:rPr>
              <w:t>closer</w:t>
            </w:r>
            <w:r>
              <w:rPr>
                <w:spacing w:val="-8"/>
                <w:sz w:val="24"/>
              </w:rPr>
              <w:t> </w:t>
            </w:r>
            <w:r>
              <w:rPr>
                <w:sz w:val="24"/>
              </w:rPr>
              <w:t>to</w:t>
            </w:r>
            <w:r>
              <w:rPr>
                <w:spacing w:val="-12"/>
                <w:sz w:val="24"/>
              </w:rPr>
              <w:t> </w:t>
            </w:r>
            <w:r>
              <w:rPr>
                <w:sz w:val="24"/>
              </w:rPr>
              <w:t>home.</w:t>
            </w:r>
          </w:p>
          <w:p>
            <w:pPr>
              <w:pStyle w:val="TableParagraph"/>
              <w:numPr>
                <w:ilvl w:val="0"/>
                <w:numId w:val="6"/>
              </w:numPr>
              <w:tabs>
                <w:tab w:pos="828" w:val="left" w:leader="none"/>
                <w:tab w:pos="830" w:val="left" w:leader="none"/>
              </w:tabs>
              <w:spacing w:line="240" w:lineRule="auto" w:before="0" w:after="0"/>
              <w:ind w:left="830" w:right="729" w:hanging="361"/>
              <w:jc w:val="left"/>
              <w:rPr>
                <w:sz w:val="24"/>
              </w:rPr>
            </w:pPr>
            <w:r>
              <w:rPr>
                <w:spacing w:val="-2"/>
                <w:sz w:val="24"/>
              </w:rPr>
              <w:t>Organisations</w:t>
            </w:r>
            <w:r>
              <w:rPr>
                <w:spacing w:val="-15"/>
                <w:sz w:val="24"/>
              </w:rPr>
              <w:t> </w:t>
            </w:r>
            <w:r>
              <w:rPr>
                <w:spacing w:val="-2"/>
                <w:sz w:val="24"/>
              </w:rPr>
              <w:t>should</w:t>
            </w:r>
            <w:r>
              <w:rPr>
                <w:spacing w:val="-13"/>
                <w:sz w:val="24"/>
              </w:rPr>
              <w:t> </w:t>
            </w:r>
            <w:r>
              <w:rPr>
                <w:spacing w:val="-2"/>
                <w:sz w:val="24"/>
              </w:rPr>
              <w:t>agree</w:t>
            </w:r>
            <w:r>
              <w:rPr>
                <w:spacing w:val="-13"/>
                <w:sz w:val="24"/>
              </w:rPr>
              <w:t> </w:t>
            </w:r>
            <w:r>
              <w:rPr>
                <w:spacing w:val="-2"/>
                <w:sz w:val="24"/>
              </w:rPr>
              <w:t>what</w:t>
            </w:r>
            <w:r>
              <w:rPr>
                <w:spacing w:val="-15"/>
                <w:sz w:val="24"/>
              </w:rPr>
              <w:t> </w:t>
            </w:r>
            <w:r>
              <w:rPr>
                <w:spacing w:val="-2"/>
                <w:sz w:val="24"/>
              </w:rPr>
              <w:t>good</w:t>
            </w:r>
            <w:r>
              <w:rPr>
                <w:spacing w:val="-12"/>
                <w:sz w:val="24"/>
              </w:rPr>
              <w:t> </w:t>
            </w:r>
            <w:r>
              <w:rPr>
                <w:spacing w:val="-2"/>
                <w:sz w:val="24"/>
              </w:rPr>
              <w:t>looks</w:t>
            </w:r>
            <w:r>
              <w:rPr>
                <w:spacing w:val="-14"/>
                <w:sz w:val="24"/>
              </w:rPr>
              <w:t> </w:t>
            </w:r>
            <w:r>
              <w:rPr>
                <w:spacing w:val="-2"/>
                <w:sz w:val="24"/>
              </w:rPr>
              <w:t>like</w:t>
            </w:r>
            <w:r>
              <w:rPr>
                <w:spacing w:val="-8"/>
                <w:sz w:val="24"/>
              </w:rPr>
              <w:t> </w:t>
            </w:r>
            <w:r>
              <w:rPr>
                <w:spacing w:val="-2"/>
                <w:sz w:val="24"/>
              </w:rPr>
              <w:t>across</w:t>
            </w:r>
            <w:r>
              <w:rPr>
                <w:spacing w:val="-14"/>
                <w:sz w:val="24"/>
              </w:rPr>
              <w:t> </w:t>
            </w:r>
            <w:r>
              <w:rPr>
                <w:spacing w:val="-2"/>
                <w:sz w:val="24"/>
              </w:rPr>
              <w:t>the</w:t>
            </w:r>
            <w:r>
              <w:rPr>
                <w:spacing w:val="-13"/>
                <w:sz w:val="24"/>
              </w:rPr>
              <w:t> </w:t>
            </w:r>
            <w:r>
              <w:rPr>
                <w:spacing w:val="-2"/>
                <w:sz w:val="24"/>
              </w:rPr>
              <w:t>whole</w:t>
            </w:r>
            <w:r>
              <w:rPr>
                <w:spacing w:val="-15"/>
                <w:sz w:val="24"/>
              </w:rPr>
              <w:t> </w:t>
            </w:r>
            <w:r>
              <w:rPr>
                <w:spacing w:val="-2"/>
                <w:sz w:val="24"/>
              </w:rPr>
              <w:t>pathway</w:t>
            </w:r>
            <w:r>
              <w:rPr>
                <w:spacing w:val="-13"/>
                <w:sz w:val="24"/>
              </w:rPr>
              <w:t> </w:t>
            </w:r>
            <w:r>
              <w:rPr>
                <w:spacing w:val="-2"/>
                <w:sz w:val="24"/>
              </w:rPr>
              <w:t>before </w:t>
            </w:r>
            <w:r>
              <w:rPr>
                <w:sz w:val="24"/>
              </w:rPr>
              <w:t>negotiating the funding mechanism.</w:t>
            </w:r>
          </w:p>
          <w:p>
            <w:pPr>
              <w:pStyle w:val="TableParagraph"/>
              <w:numPr>
                <w:ilvl w:val="0"/>
                <w:numId w:val="6"/>
              </w:numPr>
              <w:tabs>
                <w:tab w:pos="828" w:val="left" w:leader="none"/>
                <w:tab w:pos="830" w:val="left" w:leader="none"/>
              </w:tabs>
              <w:spacing w:line="242" w:lineRule="auto" w:before="0" w:after="0"/>
              <w:ind w:left="830" w:right="710" w:hanging="361"/>
              <w:jc w:val="left"/>
              <w:rPr>
                <w:sz w:val="24"/>
              </w:rPr>
            </w:pPr>
            <w:r>
              <w:rPr>
                <w:spacing w:val="-2"/>
                <w:sz w:val="24"/>
              </w:rPr>
              <w:t>A</w:t>
            </w:r>
            <w:r>
              <w:rPr>
                <w:spacing w:val="-15"/>
                <w:sz w:val="24"/>
              </w:rPr>
              <w:t> </w:t>
            </w:r>
            <w:r>
              <w:rPr>
                <w:spacing w:val="-2"/>
                <w:sz w:val="24"/>
              </w:rPr>
              <w:t>shared</w:t>
            </w:r>
            <w:r>
              <w:rPr>
                <w:spacing w:val="-13"/>
                <w:sz w:val="24"/>
              </w:rPr>
              <w:t> </w:t>
            </w:r>
            <w:r>
              <w:rPr>
                <w:spacing w:val="-2"/>
                <w:sz w:val="24"/>
              </w:rPr>
              <w:t>baseline</w:t>
            </w:r>
            <w:r>
              <w:rPr>
                <w:spacing w:val="-12"/>
                <w:sz w:val="24"/>
              </w:rPr>
              <w:t> </w:t>
            </w:r>
            <w:r>
              <w:rPr>
                <w:spacing w:val="-2"/>
                <w:sz w:val="24"/>
              </w:rPr>
              <w:t>should</w:t>
            </w:r>
            <w:r>
              <w:rPr>
                <w:spacing w:val="-15"/>
                <w:sz w:val="24"/>
              </w:rPr>
              <w:t> </w:t>
            </w:r>
            <w:r>
              <w:rPr>
                <w:spacing w:val="-2"/>
                <w:sz w:val="24"/>
              </w:rPr>
              <w:t>distinguish</w:t>
            </w:r>
            <w:r>
              <w:rPr>
                <w:spacing w:val="-15"/>
                <w:sz w:val="24"/>
              </w:rPr>
              <w:t> </w:t>
            </w:r>
            <w:r>
              <w:rPr>
                <w:spacing w:val="-2"/>
                <w:sz w:val="24"/>
              </w:rPr>
              <w:t>price</w:t>
            </w:r>
            <w:r>
              <w:rPr>
                <w:spacing w:val="-7"/>
                <w:sz w:val="24"/>
              </w:rPr>
              <w:t> </w:t>
            </w:r>
            <w:r>
              <w:rPr>
                <w:spacing w:val="-2"/>
                <w:sz w:val="24"/>
              </w:rPr>
              <w:t>from</w:t>
            </w:r>
            <w:r>
              <w:rPr>
                <w:spacing w:val="-13"/>
                <w:sz w:val="24"/>
              </w:rPr>
              <w:t> </w:t>
            </w:r>
            <w:r>
              <w:rPr>
                <w:spacing w:val="-2"/>
                <w:sz w:val="24"/>
              </w:rPr>
              <w:t>cost</w:t>
            </w:r>
            <w:r>
              <w:rPr>
                <w:spacing w:val="-15"/>
                <w:sz w:val="24"/>
              </w:rPr>
              <w:t> </w:t>
            </w:r>
            <w:r>
              <w:rPr>
                <w:spacing w:val="-2"/>
                <w:sz w:val="24"/>
              </w:rPr>
              <w:t>and</w:t>
            </w:r>
            <w:r>
              <w:rPr>
                <w:spacing w:val="-12"/>
                <w:sz w:val="24"/>
              </w:rPr>
              <w:t> </w:t>
            </w:r>
            <w:r>
              <w:rPr>
                <w:spacing w:val="-2"/>
                <w:sz w:val="24"/>
              </w:rPr>
              <w:t>reconcile</w:t>
            </w:r>
            <w:r>
              <w:rPr>
                <w:spacing w:val="-12"/>
                <w:sz w:val="24"/>
              </w:rPr>
              <w:t> </w:t>
            </w:r>
            <w:r>
              <w:rPr>
                <w:spacing w:val="-2"/>
                <w:sz w:val="24"/>
              </w:rPr>
              <w:t>current</w:t>
            </w:r>
            <w:r>
              <w:rPr>
                <w:spacing w:val="-15"/>
                <w:sz w:val="24"/>
              </w:rPr>
              <w:t> </w:t>
            </w:r>
            <w:r>
              <w:rPr>
                <w:spacing w:val="-2"/>
                <w:sz w:val="24"/>
              </w:rPr>
              <w:t>funding, </w:t>
            </w:r>
            <w:r>
              <w:rPr>
                <w:sz w:val="24"/>
              </w:rPr>
              <w:t>activity,</w:t>
            </w:r>
            <w:r>
              <w:rPr>
                <w:spacing w:val="-3"/>
                <w:sz w:val="24"/>
              </w:rPr>
              <w:t> </w:t>
            </w:r>
            <w:r>
              <w:rPr>
                <w:sz w:val="24"/>
              </w:rPr>
              <w:t>delivery locations and outcomes.</w:t>
            </w:r>
          </w:p>
          <w:p>
            <w:pPr>
              <w:pStyle w:val="TableParagraph"/>
              <w:numPr>
                <w:ilvl w:val="0"/>
                <w:numId w:val="6"/>
              </w:numPr>
              <w:tabs>
                <w:tab w:pos="828" w:val="left" w:leader="none"/>
                <w:tab w:pos="830" w:val="left" w:leader="none"/>
              </w:tabs>
              <w:spacing w:line="240" w:lineRule="auto" w:before="0" w:after="0"/>
              <w:ind w:left="830" w:right="322" w:hanging="361"/>
              <w:jc w:val="left"/>
              <w:rPr>
                <w:sz w:val="24"/>
              </w:rPr>
            </w:pPr>
            <w:r>
              <w:rPr>
                <w:spacing w:val="-2"/>
                <w:sz w:val="24"/>
              </w:rPr>
              <w:t>Open-book</w:t>
            </w:r>
            <w:r>
              <w:rPr>
                <w:spacing w:val="-15"/>
                <w:sz w:val="24"/>
              </w:rPr>
              <w:t> </w:t>
            </w:r>
            <w:r>
              <w:rPr>
                <w:spacing w:val="-2"/>
                <w:sz w:val="24"/>
              </w:rPr>
              <w:t>cost</w:t>
            </w:r>
            <w:r>
              <w:rPr>
                <w:spacing w:val="-15"/>
                <w:sz w:val="24"/>
              </w:rPr>
              <w:t> </w:t>
            </w:r>
            <w:r>
              <w:rPr>
                <w:spacing w:val="-2"/>
                <w:sz w:val="24"/>
              </w:rPr>
              <w:t>information</w:t>
            </w:r>
            <w:r>
              <w:rPr>
                <w:spacing w:val="-14"/>
                <w:sz w:val="24"/>
              </w:rPr>
              <w:t> </w:t>
            </w:r>
            <w:r>
              <w:rPr>
                <w:spacing w:val="-2"/>
                <w:sz w:val="24"/>
              </w:rPr>
              <w:t>and</w:t>
            </w:r>
            <w:r>
              <w:rPr>
                <w:spacing w:val="-15"/>
                <w:sz w:val="24"/>
              </w:rPr>
              <w:t> </w:t>
            </w:r>
            <w:r>
              <w:rPr>
                <w:spacing w:val="-2"/>
                <w:sz w:val="24"/>
              </w:rPr>
              <w:t>consistent</w:t>
            </w:r>
            <w:r>
              <w:rPr>
                <w:spacing w:val="-15"/>
                <w:sz w:val="24"/>
              </w:rPr>
              <w:t> </w:t>
            </w:r>
            <w:r>
              <w:rPr>
                <w:spacing w:val="-2"/>
                <w:sz w:val="24"/>
              </w:rPr>
              <w:t>definitions</w:t>
            </w:r>
            <w:r>
              <w:rPr>
                <w:spacing w:val="-15"/>
                <w:sz w:val="24"/>
              </w:rPr>
              <w:t> </w:t>
            </w:r>
            <w:r>
              <w:rPr>
                <w:spacing w:val="-2"/>
                <w:sz w:val="24"/>
              </w:rPr>
              <w:t>should</w:t>
            </w:r>
            <w:r>
              <w:rPr>
                <w:spacing w:val="-14"/>
                <w:sz w:val="24"/>
              </w:rPr>
              <w:t> </w:t>
            </w:r>
            <w:r>
              <w:rPr>
                <w:spacing w:val="-2"/>
                <w:sz w:val="24"/>
              </w:rPr>
              <w:t>make</w:t>
            </w:r>
            <w:r>
              <w:rPr>
                <w:spacing w:val="-15"/>
                <w:sz w:val="24"/>
              </w:rPr>
              <w:t> </w:t>
            </w:r>
            <w:r>
              <w:rPr>
                <w:spacing w:val="-2"/>
                <w:sz w:val="24"/>
              </w:rPr>
              <w:t>the</w:t>
            </w:r>
            <w:r>
              <w:rPr>
                <w:spacing w:val="-15"/>
                <w:sz w:val="24"/>
              </w:rPr>
              <w:t> </w:t>
            </w:r>
            <w:r>
              <w:rPr>
                <w:spacing w:val="-2"/>
                <w:sz w:val="24"/>
              </w:rPr>
              <w:t>consequences </w:t>
            </w:r>
            <w:r>
              <w:rPr>
                <w:sz w:val="24"/>
              </w:rPr>
              <w:t>for each organisation visible.</w:t>
            </w:r>
          </w:p>
          <w:p>
            <w:pPr>
              <w:pStyle w:val="TableParagraph"/>
              <w:numPr>
                <w:ilvl w:val="0"/>
                <w:numId w:val="6"/>
              </w:numPr>
              <w:tabs>
                <w:tab w:pos="828" w:val="left" w:leader="none"/>
                <w:tab w:pos="830" w:val="left" w:leader="none"/>
              </w:tabs>
              <w:spacing w:line="240" w:lineRule="auto" w:before="0" w:after="0"/>
              <w:ind w:left="830" w:right="333" w:hanging="361"/>
              <w:jc w:val="left"/>
              <w:rPr>
                <w:sz w:val="24"/>
              </w:rPr>
            </w:pPr>
            <w:r>
              <w:rPr>
                <w:sz w:val="24"/>
              </w:rPr>
              <w:t>Where</w:t>
            </w:r>
            <w:r>
              <w:rPr>
                <w:spacing w:val="-16"/>
                <w:sz w:val="24"/>
              </w:rPr>
              <w:t> </w:t>
            </w:r>
            <w:r>
              <w:rPr>
                <w:sz w:val="24"/>
              </w:rPr>
              <w:t>a</w:t>
            </w:r>
            <w:r>
              <w:rPr>
                <w:spacing w:val="-13"/>
                <w:sz w:val="24"/>
              </w:rPr>
              <w:t> </w:t>
            </w:r>
            <w:r>
              <w:rPr>
                <w:sz w:val="24"/>
              </w:rPr>
              <w:t>change</w:t>
            </w:r>
            <w:r>
              <w:rPr>
                <w:spacing w:val="-13"/>
                <w:sz w:val="24"/>
              </w:rPr>
              <w:t> </w:t>
            </w:r>
            <w:r>
              <w:rPr>
                <w:sz w:val="24"/>
              </w:rPr>
              <w:t>creates</w:t>
            </w:r>
            <w:r>
              <w:rPr>
                <w:spacing w:val="-14"/>
                <w:sz w:val="24"/>
              </w:rPr>
              <w:t> </w:t>
            </w:r>
            <w:r>
              <w:rPr>
                <w:sz w:val="24"/>
              </w:rPr>
              <w:t>a</w:t>
            </w:r>
            <w:r>
              <w:rPr>
                <w:spacing w:val="-13"/>
                <w:sz w:val="24"/>
              </w:rPr>
              <w:t> </w:t>
            </w:r>
            <w:r>
              <w:rPr>
                <w:sz w:val="24"/>
              </w:rPr>
              <w:t>regional</w:t>
            </w:r>
            <w:r>
              <w:rPr>
                <w:spacing w:val="-13"/>
                <w:sz w:val="24"/>
              </w:rPr>
              <w:t> </w:t>
            </w:r>
            <w:r>
              <w:rPr>
                <w:sz w:val="24"/>
              </w:rPr>
              <w:t>benefit</w:t>
            </w:r>
            <w:r>
              <w:rPr>
                <w:spacing w:val="-16"/>
                <w:sz w:val="24"/>
              </w:rPr>
              <w:t> </w:t>
            </w:r>
            <w:r>
              <w:rPr>
                <w:sz w:val="24"/>
              </w:rPr>
              <w:t>but</w:t>
            </w:r>
            <w:r>
              <w:rPr>
                <w:spacing w:val="-17"/>
                <w:sz w:val="24"/>
              </w:rPr>
              <w:t> </w:t>
            </w:r>
            <w:r>
              <w:rPr>
                <w:sz w:val="24"/>
              </w:rPr>
              <w:t>leaves</w:t>
            </w:r>
            <w:r>
              <w:rPr>
                <w:spacing w:val="-14"/>
                <w:sz w:val="24"/>
              </w:rPr>
              <w:t> </w:t>
            </w:r>
            <w:r>
              <w:rPr>
                <w:sz w:val="24"/>
              </w:rPr>
              <w:t>one</w:t>
            </w:r>
            <w:r>
              <w:rPr>
                <w:spacing w:val="-13"/>
                <w:sz w:val="24"/>
              </w:rPr>
              <w:t> </w:t>
            </w:r>
            <w:r>
              <w:rPr>
                <w:sz w:val="24"/>
              </w:rPr>
              <w:t>organisation</w:t>
            </w:r>
            <w:r>
              <w:rPr>
                <w:spacing w:val="-13"/>
                <w:sz w:val="24"/>
              </w:rPr>
              <w:t> </w:t>
            </w:r>
            <w:r>
              <w:rPr>
                <w:sz w:val="24"/>
              </w:rPr>
              <w:t>with</w:t>
            </w:r>
            <w:r>
              <w:rPr>
                <w:spacing w:val="-13"/>
                <w:sz w:val="24"/>
              </w:rPr>
              <w:t> </w:t>
            </w:r>
            <w:r>
              <w:rPr>
                <w:sz w:val="24"/>
              </w:rPr>
              <w:t>stranded </w:t>
            </w:r>
            <w:r>
              <w:rPr>
                <w:spacing w:val="-2"/>
                <w:sz w:val="24"/>
              </w:rPr>
              <w:t>costs</w:t>
            </w:r>
            <w:r>
              <w:rPr>
                <w:spacing w:val="-15"/>
                <w:sz w:val="24"/>
              </w:rPr>
              <w:t> </w:t>
            </w:r>
            <w:r>
              <w:rPr>
                <w:spacing w:val="-2"/>
                <w:sz w:val="24"/>
              </w:rPr>
              <w:t>or</w:t>
            </w:r>
            <w:r>
              <w:rPr>
                <w:spacing w:val="-12"/>
                <w:sz w:val="24"/>
              </w:rPr>
              <w:t> </w:t>
            </w:r>
            <w:r>
              <w:rPr>
                <w:spacing w:val="-2"/>
                <w:sz w:val="24"/>
              </w:rPr>
              <w:t>lost</w:t>
            </w:r>
            <w:r>
              <w:rPr>
                <w:spacing w:val="-14"/>
                <w:sz w:val="24"/>
              </w:rPr>
              <w:t> </w:t>
            </w:r>
            <w:r>
              <w:rPr>
                <w:spacing w:val="-2"/>
                <w:sz w:val="24"/>
              </w:rPr>
              <w:t>income,</w:t>
            </w:r>
            <w:r>
              <w:rPr>
                <w:spacing w:val="-14"/>
                <w:sz w:val="24"/>
              </w:rPr>
              <w:t> </w:t>
            </w:r>
            <w:r>
              <w:rPr>
                <w:spacing w:val="-2"/>
                <w:sz w:val="24"/>
              </w:rPr>
              <w:t>the</w:t>
            </w:r>
            <w:r>
              <w:rPr>
                <w:spacing w:val="-12"/>
                <w:sz w:val="24"/>
              </w:rPr>
              <w:t> </w:t>
            </w:r>
            <w:r>
              <w:rPr>
                <w:spacing w:val="-2"/>
                <w:sz w:val="24"/>
              </w:rPr>
              <w:t>transition</w:t>
            </w:r>
            <w:r>
              <w:rPr>
                <w:spacing w:val="-12"/>
                <w:sz w:val="24"/>
              </w:rPr>
              <w:t> </w:t>
            </w:r>
            <w:r>
              <w:rPr>
                <w:spacing w:val="-2"/>
                <w:sz w:val="24"/>
              </w:rPr>
              <w:t>and</w:t>
            </w:r>
            <w:r>
              <w:rPr>
                <w:spacing w:val="-12"/>
                <w:sz w:val="24"/>
              </w:rPr>
              <w:t> </w:t>
            </w:r>
            <w:r>
              <w:rPr>
                <w:spacing w:val="-2"/>
                <w:sz w:val="24"/>
              </w:rPr>
              <w:t>benefit-sharing</w:t>
            </w:r>
            <w:r>
              <w:rPr>
                <w:spacing w:val="-12"/>
                <w:sz w:val="24"/>
              </w:rPr>
              <w:t> </w:t>
            </w:r>
            <w:r>
              <w:rPr>
                <w:spacing w:val="-2"/>
                <w:sz w:val="24"/>
              </w:rPr>
              <w:t>arrangement</w:t>
            </w:r>
            <w:r>
              <w:rPr>
                <w:spacing w:val="-14"/>
                <w:sz w:val="24"/>
              </w:rPr>
              <w:t> </w:t>
            </w:r>
            <w:r>
              <w:rPr>
                <w:spacing w:val="-2"/>
                <w:sz w:val="24"/>
              </w:rPr>
              <w:t>should</w:t>
            </w:r>
            <w:r>
              <w:rPr>
                <w:spacing w:val="-15"/>
                <w:sz w:val="24"/>
              </w:rPr>
              <w:t> </w:t>
            </w:r>
            <w:r>
              <w:rPr>
                <w:spacing w:val="-2"/>
                <w:sz w:val="24"/>
              </w:rPr>
              <w:t>be</w:t>
            </w:r>
            <w:r>
              <w:rPr>
                <w:spacing w:val="-15"/>
                <w:sz w:val="24"/>
              </w:rPr>
              <w:t> </w:t>
            </w:r>
            <w:r>
              <w:rPr>
                <w:spacing w:val="-2"/>
                <w:sz w:val="24"/>
              </w:rPr>
              <w:t>explicit.</w:t>
            </w:r>
          </w:p>
          <w:p>
            <w:pPr>
              <w:pStyle w:val="TableParagraph"/>
              <w:numPr>
                <w:ilvl w:val="0"/>
                <w:numId w:val="6"/>
              </w:numPr>
              <w:tabs>
                <w:tab w:pos="828" w:val="left" w:leader="none"/>
                <w:tab w:pos="830" w:val="left" w:leader="none"/>
              </w:tabs>
              <w:spacing w:line="240" w:lineRule="auto" w:before="0" w:after="0"/>
              <w:ind w:left="830" w:right="857" w:hanging="361"/>
              <w:jc w:val="left"/>
              <w:rPr>
                <w:sz w:val="24"/>
              </w:rPr>
            </w:pPr>
            <w:r>
              <w:rPr>
                <w:spacing w:val="-2"/>
                <w:sz w:val="24"/>
              </w:rPr>
              <w:t>Decisions</w:t>
            </w:r>
            <w:r>
              <w:rPr>
                <w:spacing w:val="-15"/>
                <w:sz w:val="24"/>
              </w:rPr>
              <w:t> </w:t>
            </w:r>
            <w:r>
              <w:rPr>
                <w:spacing w:val="-2"/>
                <w:sz w:val="24"/>
              </w:rPr>
              <w:t>should</w:t>
            </w:r>
            <w:r>
              <w:rPr>
                <w:spacing w:val="-15"/>
                <w:sz w:val="24"/>
              </w:rPr>
              <w:t> </w:t>
            </w:r>
            <w:r>
              <w:rPr>
                <w:spacing w:val="-2"/>
                <w:sz w:val="24"/>
              </w:rPr>
              <w:t>consider</w:t>
            </w:r>
            <w:r>
              <w:rPr>
                <w:spacing w:val="-14"/>
                <w:sz w:val="24"/>
              </w:rPr>
              <w:t> </w:t>
            </w:r>
            <w:r>
              <w:rPr>
                <w:spacing w:val="-2"/>
                <w:sz w:val="24"/>
              </w:rPr>
              <w:t>the</w:t>
            </w:r>
            <w:r>
              <w:rPr>
                <w:spacing w:val="-14"/>
                <w:sz w:val="24"/>
              </w:rPr>
              <w:t> </w:t>
            </w:r>
            <w:r>
              <w:rPr>
                <w:spacing w:val="-2"/>
                <w:sz w:val="24"/>
              </w:rPr>
              <w:t>pathway</w:t>
            </w:r>
            <w:r>
              <w:rPr>
                <w:spacing w:val="-15"/>
                <w:sz w:val="24"/>
              </w:rPr>
              <w:t> </w:t>
            </w:r>
            <w:r>
              <w:rPr>
                <w:spacing w:val="-2"/>
                <w:sz w:val="24"/>
              </w:rPr>
              <w:t>portfolio</w:t>
            </w:r>
            <w:r>
              <w:rPr>
                <w:spacing w:val="-13"/>
                <w:sz w:val="24"/>
              </w:rPr>
              <w:t> </w:t>
            </w:r>
            <w:r>
              <w:rPr>
                <w:spacing w:val="-2"/>
                <w:sz w:val="24"/>
              </w:rPr>
              <w:t>to</w:t>
            </w:r>
            <w:r>
              <w:rPr>
                <w:spacing w:val="-15"/>
                <w:sz w:val="24"/>
              </w:rPr>
              <w:t> </w:t>
            </w:r>
            <w:r>
              <w:rPr>
                <w:spacing w:val="-2"/>
                <w:sz w:val="24"/>
              </w:rPr>
              <w:t>avoid</w:t>
            </w:r>
            <w:r>
              <w:rPr>
                <w:spacing w:val="-13"/>
                <w:sz w:val="24"/>
              </w:rPr>
              <w:t> </w:t>
            </w:r>
            <w:r>
              <w:rPr>
                <w:spacing w:val="-2"/>
                <w:sz w:val="24"/>
              </w:rPr>
              <w:t>selecting</w:t>
            </w:r>
            <w:r>
              <w:rPr>
                <w:spacing w:val="-13"/>
                <w:sz w:val="24"/>
              </w:rPr>
              <w:t> </w:t>
            </w:r>
            <w:r>
              <w:rPr>
                <w:spacing w:val="-2"/>
                <w:sz w:val="24"/>
              </w:rPr>
              <w:t>only</w:t>
            </w:r>
            <w:r>
              <w:rPr>
                <w:spacing w:val="-14"/>
                <w:sz w:val="24"/>
              </w:rPr>
              <w:t> </w:t>
            </w:r>
            <w:r>
              <w:rPr>
                <w:spacing w:val="-2"/>
                <w:sz w:val="24"/>
              </w:rPr>
              <w:t>financially </w:t>
            </w:r>
            <w:r>
              <w:rPr>
                <w:sz w:val="24"/>
              </w:rPr>
              <w:t>attractive elements.</w:t>
            </w:r>
          </w:p>
          <w:p>
            <w:pPr>
              <w:pStyle w:val="TableParagraph"/>
              <w:numPr>
                <w:ilvl w:val="0"/>
                <w:numId w:val="6"/>
              </w:numPr>
              <w:tabs>
                <w:tab w:pos="828" w:val="left" w:leader="none"/>
                <w:tab w:pos="830" w:val="left" w:leader="none"/>
              </w:tabs>
              <w:spacing w:line="240" w:lineRule="auto" w:before="0" w:after="0"/>
              <w:ind w:left="830" w:right="623" w:hanging="361"/>
              <w:jc w:val="left"/>
              <w:rPr>
                <w:sz w:val="24"/>
              </w:rPr>
            </w:pPr>
            <w:r>
              <w:rPr>
                <w:sz w:val="24"/>
              </w:rPr>
              <w:t>The</w:t>
            </w:r>
            <w:r>
              <w:rPr>
                <w:spacing w:val="-10"/>
                <w:sz w:val="24"/>
              </w:rPr>
              <w:t> </w:t>
            </w:r>
            <w:r>
              <w:rPr>
                <w:sz w:val="24"/>
              </w:rPr>
              <w:t>LTA</w:t>
            </w:r>
            <w:r>
              <w:rPr>
                <w:spacing w:val="-11"/>
                <w:sz w:val="24"/>
              </w:rPr>
              <w:t> </w:t>
            </w:r>
            <w:r>
              <w:rPr>
                <w:sz w:val="24"/>
              </w:rPr>
              <w:t>should</w:t>
            </w:r>
            <w:r>
              <w:rPr>
                <w:spacing w:val="-5"/>
                <w:sz w:val="24"/>
              </w:rPr>
              <w:t> </w:t>
            </w:r>
            <w:r>
              <w:rPr>
                <w:sz w:val="24"/>
              </w:rPr>
              <w:t>specify</w:t>
            </w:r>
            <w:r>
              <w:rPr>
                <w:spacing w:val="-6"/>
                <w:sz w:val="24"/>
              </w:rPr>
              <w:t> </w:t>
            </w:r>
            <w:r>
              <w:rPr>
                <w:sz w:val="24"/>
              </w:rPr>
              <w:t>the</w:t>
            </w:r>
            <w:r>
              <w:rPr>
                <w:spacing w:val="-10"/>
                <w:sz w:val="24"/>
              </w:rPr>
              <w:t> </w:t>
            </w:r>
            <w:r>
              <w:rPr>
                <w:sz w:val="24"/>
              </w:rPr>
              <w:t>service</w:t>
            </w:r>
            <w:r>
              <w:rPr>
                <w:spacing w:val="-15"/>
                <w:sz w:val="24"/>
              </w:rPr>
              <w:t> </w:t>
            </w:r>
            <w:r>
              <w:rPr>
                <w:sz w:val="24"/>
              </w:rPr>
              <w:t>and</w:t>
            </w:r>
            <w:r>
              <w:rPr>
                <w:spacing w:val="-15"/>
                <w:sz w:val="24"/>
              </w:rPr>
              <w:t> </w:t>
            </w:r>
            <w:r>
              <w:rPr>
                <w:sz w:val="24"/>
              </w:rPr>
              <w:t>population</w:t>
            </w:r>
            <w:r>
              <w:rPr>
                <w:spacing w:val="-15"/>
                <w:sz w:val="24"/>
              </w:rPr>
              <w:t> </w:t>
            </w:r>
            <w:r>
              <w:rPr>
                <w:sz w:val="24"/>
              </w:rPr>
              <w:t>covered,</w:t>
            </w:r>
            <w:r>
              <w:rPr>
                <w:spacing w:val="-13"/>
                <w:sz w:val="24"/>
              </w:rPr>
              <w:t> </w:t>
            </w:r>
            <w:r>
              <w:rPr>
                <w:sz w:val="24"/>
              </w:rPr>
              <w:t>planned</w:t>
            </w:r>
            <w:r>
              <w:rPr>
                <w:spacing w:val="-15"/>
                <w:sz w:val="24"/>
              </w:rPr>
              <w:t> </w:t>
            </w:r>
            <w:r>
              <w:rPr>
                <w:sz w:val="24"/>
              </w:rPr>
              <w:t>activity</w:t>
            </w:r>
            <w:r>
              <w:rPr>
                <w:spacing w:val="-11"/>
                <w:sz w:val="24"/>
              </w:rPr>
              <w:t> </w:t>
            </w:r>
            <w:r>
              <w:rPr>
                <w:sz w:val="24"/>
              </w:rPr>
              <w:t>and </w:t>
            </w:r>
            <w:r>
              <w:rPr>
                <w:spacing w:val="-2"/>
                <w:sz w:val="24"/>
              </w:rPr>
              <w:t>outcomes,</w:t>
            </w:r>
            <w:r>
              <w:rPr>
                <w:spacing w:val="-15"/>
                <w:sz w:val="24"/>
              </w:rPr>
              <w:t> </w:t>
            </w:r>
            <w:r>
              <w:rPr>
                <w:spacing w:val="-2"/>
                <w:sz w:val="24"/>
              </w:rPr>
              <w:t>responsibilities,</w:t>
            </w:r>
            <w:r>
              <w:rPr>
                <w:spacing w:val="-15"/>
                <w:sz w:val="24"/>
              </w:rPr>
              <w:t> </w:t>
            </w:r>
            <w:r>
              <w:rPr>
                <w:spacing w:val="-2"/>
                <w:sz w:val="24"/>
              </w:rPr>
              <w:t>funding</w:t>
            </w:r>
            <w:r>
              <w:rPr>
                <w:spacing w:val="-14"/>
                <w:sz w:val="24"/>
              </w:rPr>
              <w:t> </w:t>
            </w:r>
            <w:r>
              <w:rPr>
                <w:spacing w:val="-2"/>
                <w:sz w:val="24"/>
              </w:rPr>
              <w:t>and</w:t>
            </w:r>
            <w:r>
              <w:rPr>
                <w:spacing w:val="-15"/>
                <w:sz w:val="24"/>
              </w:rPr>
              <w:t> </w:t>
            </w:r>
            <w:r>
              <w:rPr>
                <w:spacing w:val="-2"/>
                <w:sz w:val="24"/>
              </w:rPr>
              <w:t>adjustment</w:t>
            </w:r>
            <w:r>
              <w:rPr>
                <w:spacing w:val="-15"/>
                <w:sz w:val="24"/>
              </w:rPr>
              <w:t> </w:t>
            </w:r>
            <w:r>
              <w:rPr>
                <w:spacing w:val="-2"/>
                <w:sz w:val="24"/>
              </w:rPr>
              <w:t>rules,</w:t>
            </w:r>
            <w:r>
              <w:rPr>
                <w:spacing w:val="-15"/>
                <w:sz w:val="24"/>
              </w:rPr>
              <w:t> </w:t>
            </w:r>
            <w:r>
              <w:rPr>
                <w:spacing w:val="-2"/>
                <w:sz w:val="24"/>
              </w:rPr>
              <w:t>data</w:t>
            </w:r>
            <w:r>
              <w:rPr>
                <w:spacing w:val="-14"/>
                <w:sz w:val="24"/>
              </w:rPr>
              <w:t> </w:t>
            </w:r>
            <w:r>
              <w:rPr>
                <w:spacing w:val="-2"/>
                <w:sz w:val="24"/>
              </w:rPr>
              <w:t>requirements,</w:t>
            </w:r>
            <w:r>
              <w:rPr>
                <w:spacing w:val="-15"/>
                <w:sz w:val="24"/>
              </w:rPr>
              <w:t> </w:t>
            </w:r>
            <w:r>
              <w:rPr>
                <w:spacing w:val="-2"/>
                <w:sz w:val="24"/>
              </w:rPr>
              <w:t>review </w:t>
            </w:r>
            <w:r>
              <w:rPr>
                <w:sz w:val="24"/>
              </w:rPr>
              <w:t>points and dispute resolution.</w:t>
            </w:r>
          </w:p>
          <w:p>
            <w:pPr>
              <w:pStyle w:val="TableParagraph"/>
              <w:numPr>
                <w:ilvl w:val="0"/>
                <w:numId w:val="6"/>
              </w:numPr>
              <w:tabs>
                <w:tab w:pos="828" w:val="left" w:leader="none"/>
                <w:tab w:pos="830" w:val="left" w:leader="none"/>
              </w:tabs>
              <w:spacing w:line="242" w:lineRule="auto" w:before="0" w:after="0"/>
              <w:ind w:left="830" w:right="418" w:hanging="361"/>
              <w:jc w:val="left"/>
              <w:rPr>
                <w:sz w:val="24"/>
              </w:rPr>
            </w:pPr>
            <w:r>
              <w:rPr>
                <w:spacing w:val="-2"/>
                <w:sz w:val="24"/>
              </w:rPr>
              <w:t>Digital</w:t>
            </w:r>
            <w:r>
              <w:rPr>
                <w:spacing w:val="-12"/>
                <w:sz w:val="24"/>
              </w:rPr>
              <w:t> </w:t>
            </w:r>
            <w:r>
              <w:rPr>
                <w:spacing w:val="-2"/>
                <w:sz w:val="24"/>
              </w:rPr>
              <w:t>teams</w:t>
            </w:r>
            <w:r>
              <w:rPr>
                <w:spacing w:val="-14"/>
                <w:sz w:val="24"/>
              </w:rPr>
              <w:t> </w:t>
            </w:r>
            <w:r>
              <w:rPr>
                <w:spacing w:val="-2"/>
                <w:sz w:val="24"/>
              </w:rPr>
              <w:t>should</w:t>
            </w:r>
            <w:r>
              <w:rPr>
                <w:spacing w:val="-13"/>
                <w:sz w:val="24"/>
              </w:rPr>
              <w:t> </w:t>
            </w:r>
            <w:r>
              <w:rPr>
                <w:spacing w:val="-2"/>
                <w:sz w:val="24"/>
              </w:rPr>
              <w:t>enable</w:t>
            </w:r>
            <w:r>
              <w:rPr>
                <w:spacing w:val="-13"/>
                <w:sz w:val="24"/>
              </w:rPr>
              <w:t> </w:t>
            </w:r>
            <w:r>
              <w:rPr>
                <w:spacing w:val="-2"/>
                <w:sz w:val="24"/>
              </w:rPr>
              <w:t>a</w:t>
            </w:r>
            <w:r>
              <w:rPr>
                <w:spacing w:val="-13"/>
                <w:sz w:val="24"/>
              </w:rPr>
              <w:t> </w:t>
            </w:r>
            <w:r>
              <w:rPr>
                <w:spacing w:val="-2"/>
                <w:sz w:val="24"/>
              </w:rPr>
              <w:t>shared</w:t>
            </w:r>
            <w:r>
              <w:rPr>
                <w:spacing w:val="-13"/>
                <w:sz w:val="24"/>
              </w:rPr>
              <w:t> </w:t>
            </w:r>
            <w:r>
              <w:rPr>
                <w:spacing w:val="-2"/>
                <w:sz w:val="24"/>
              </w:rPr>
              <w:t>data</w:t>
            </w:r>
            <w:r>
              <w:rPr>
                <w:spacing w:val="-13"/>
                <w:sz w:val="24"/>
              </w:rPr>
              <w:t> </w:t>
            </w:r>
            <w:r>
              <w:rPr>
                <w:spacing w:val="-2"/>
                <w:sz w:val="24"/>
              </w:rPr>
              <w:t>repository</w:t>
            </w:r>
            <w:r>
              <w:rPr>
                <w:spacing w:val="-15"/>
                <w:sz w:val="24"/>
              </w:rPr>
              <w:t> </w:t>
            </w:r>
            <w:r>
              <w:rPr>
                <w:spacing w:val="-2"/>
                <w:sz w:val="24"/>
              </w:rPr>
              <w:t>and</w:t>
            </w:r>
            <w:r>
              <w:rPr>
                <w:spacing w:val="-13"/>
                <w:sz w:val="24"/>
              </w:rPr>
              <w:t> </w:t>
            </w:r>
            <w:r>
              <w:rPr>
                <w:spacing w:val="-2"/>
                <w:sz w:val="24"/>
              </w:rPr>
              <w:t>reporting</w:t>
            </w:r>
            <w:r>
              <w:rPr>
                <w:spacing w:val="-13"/>
                <w:sz w:val="24"/>
              </w:rPr>
              <w:t> </w:t>
            </w:r>
            <w:r>
              <w:rPr>
                <w:spacing w:val="-2"/>
                <w:sz w:val="24"/>
              </w:rPr>
              <w:t>approach;</w:t>
            </w:r>
            <w:r>
              <w:rPr>
                <w:spacing w:val="-11"/>
                <w:sz w:val="24"/>
              </w:rPr>
              <w:t> </w:t>
            </w:r>
            <w:r>
              <w:rPr>
                <w:spacing w:val="-2"/>
                <w:sz w:val="24"/>
              </w:rPr>
              <w:t>finance </w:t>
            </w:r>
            <w:r>
              <w:rPr>
                <w:sz w:val="24"/>
              </w:rPr>
              <w:t>and</w:t>
            </w:r>
            <w:r>
              <w:rPr>
                <w:spacing w:val="-16"/>
                <w:sz w:val="24"/>
              </w:rPr>
              <w:t> </w:t>
            </w:r>
            <w:r>
              <w:rPr>
                <w:sz w:val="24"/>
              </w:rPr>
              <w:t>contracting</w:t>
            </w:r>
            <w:r>
              <w:rPr>
                <w:spacing w:val="-7"/>
                <w:sz w:val="24"/>
              </w:rPr>
              <w:t> </w:t>
            </w:r>
            <w:r>
              <w:rPr>
                <w:sz w:val="24"/>
              </w:rPr>
              <w:t>teams</w:t>
            </w:r>
            <w:r>
              <w:rPr>
                <w:spacing w:val="-12"/>
                <w:sz w:val="24"/>
              </w:rPr>
              <w:t> </w:t>
            </w:r>
            <w:r>
              <w:rPr>
                <w:sz w:val="24"/>
              </w:rPr>
              <w:t>should</w:t>
            </w:r>
            <w:r>
              <w:rPr>
                <w:spacing w:val="-12"/>
                <w:sz w:val="24"/>
              </w:rPr>
              <w:t> </w:t>
            </w:r>
            <w:r>
              <w:rPr>
                <w:sz w:val="24"/>
              </w:rPr>
              <w:t>agree</w:t>
            </w:r>
            <w:r>
              <w:rPr>
                <w:spacing w:val="-12"/>
                <w:sz w:val="24"/>
              </w:rPr>
              <w:t> </w:t>
            </w:r>
            <w:r>
              <w:rPr>
                <w:sz w:val="24"/>
              </w:rPr>
              <w:t>the</w:t>
            </w:r>
            <w:r>
              <w:rPr>
                <w:spacing w:val="-12"/>
                <w:sz w:val="24"/>
              </w:rPr>
              <w:t> </w:t>
            </w:r>
            <w:r>
              <w:rPr>
                <w:sz w:val="24"/>
              </w:rPr>
              <w:t>baseline</w:t>
            </w:r>
            <w:r>
              <w:rPr>
                <w:spacing w:val="-7"/>
                <w:sz w:val="24"/>
              </w:rPr>
              <w:t> </w:t>
            </w:r>
            <w:r>
              <w:rPr>
                <w:sz w:val="24"/>
              </w:rPr>
              <w:t>and</w:t>
            </w:r>
            <w:r>
              <w:rPr>
                <w:spacing w:val="-16"/>
                <w:sz w:val="24"/>
              </w:rPr>
              <w:t> </w:t>
            </w:r>
            <w:r>
              <w:rPr>
                <w:sz w:val="24"/>
              </w:rPr>
              <w:t>payment</w:t>
            </w:r>
            <w:r>
              <w:rPr>
                <w:spacing w:val="-14"/>
                <w:sz w:val="24"/>
              </w:rPr>
              <w:t> </w:t>
            </w:r>
            <w:r>
              <w:rPr>
                <w:sz w:val="24"/>
              </w:rPr>
              <w:t>rules;</w:t>
            </w:r>
            <w:r>
              <w:rPr>
                <w:spacing w:val="-10"/>
                <w:sz w:val="24"/>
              </w:rPr>
              <w:t> </w:t>
            </w:r>
            <w:r>
              <w:rPr>
                <w:sz w:val="24"/>
              </w:rPr>
              <w:t>clinical</w:t>
            </w:r>
            <w:r>
              <w:rPr>
                <w:spacing w:val="-12"/>
                <w:sz w:val="24"/>
              </w:rPr>
              <w:t> </w:t>
            </w:r>
            <w:r>
              <w:rPr>
                <w:sz w:val="24"/>
              </w:rPr>
              <w:t>and operational</w:t>
            </w:r>
            <w:r>
              <w:rPr>
                <w:spacing w:val="-10"/>
                <w:sz w:val="24"/>
              </w:rPr>
              <w:t> </w:t>
            </w:r>
            <w:r>
              <w:rPr>
                <w:sz w:val="24"/>
              </w:rPr>
              <w:t>teams</w:t>
            </w:r>
            <w:r>
              <w:rPr>
                <w:spacing w:val="-6"/>
                <w:sz w:val="24"/>
              </w:rPr>
              <w:t> </w:t>
            </w:r>
            <w:r>
              <w:rPr>
                <w:sz w:val="24"/>
              </w:rPr>
              <w:t>should</w:t>
            </w:r>
            <w:r>
              <w:rPr>
                <w:spacing w:val="-10"/>
                <w:sz w:val="24"/>
              </w:rPr>
              <w:t> </w:t>
            </w:r>
            <w:r>
              <w:rPr>
                <w:sz w:val="24"/>
              </w:rPr>
              <w:t>own</w:t>
            </w:r>
            <w:r>
              <w:rPr>
                <w:spacing w:val="-10"/>
                <w:sz w:val="24"/>
              </w:rPr>
              <w:t> </w:t>
            </w:r>
            <w:r>
              <w:rPr>
                <w:sz w:val="24"/>
              </w:rPr>
              <w:t>pathway</w:t>
            </w:r>
            <w:r>
              <w:rPr>
                <w:spacing w:val="-10"/>
                <w:sz w:val="24"/>
              </w:rPr>
              <w:t> </w:t>
            </w:r>
            <w:r>
              <w:rPr>
                <w:sz w:val="24"/>
              </w:rPr>
              <w:t>design,</w:t>
            </w:r>
            <w:r>
              <w:rPr>
                <w:spacing w:val="-12"/>
                <w:sz w:val="24"/>
              </w:rPr>
              <w:t> </w:t>
            </w:r>
            <w:r>
              <w:rPr>
                <w:sz w:val="24"/>
              </w:rPr>
              <w:t>capacity</w:t>
            </w:r>
            <w:r>
              <w:rPr>
                <w:spacing w:val="-10"/>
                <w:sz w:val="24"/>
              </w:rPr>
              <w:t> </w:t>
            </w:r>
            <w:r>
              <w:rPr>
                <w:sz w:val="24"/>
              </w:rPr>
              <w:t>and</w:t>
            </w:r>
            <w:r>
              <w:rPr>
                <w:spacing w:val="-10"/>
                <w:sz w:val="24"/>
              </w:rPr>
              <w:t> </w:t>
            </w:r>
            <w:r>
              <w:rPr>
                <w:sz w:val="24"/>
              </w:rPr>
              <w:t>delivery.</w:t>
            </w:r>
          </w:p>
          <w:p>
            <w:pPr>
              <w:pStyle w:val="TableParagraph"/>
              <w:numPr>
                <w:ilvl w:val="0"/>
                <w:numId w:val="6"/>
              </w:numPr>
              <w:tabs>
                <w:tab w:pos="829" w:val="left" w:leader="none"/>
              </w:tabs>
              <w:spacing w:line="270" w:lineRule="exact" w:before="0" w:after="0"/>
              <w:ind w:left="829" w:right="0" w:hanging="359"/>
              <w:jc w:val="left"/>
              <w:rPr>
                <w:sz w:val="24"/>
              </w:rPr>
            </w:pPr>
            <w:r>
              <w:rPr>
                <w:spacing w:val="-2"/>
                <w:sz w:val="24"/>
              </w:rPr>
              <w:t>Outcome</w:t>
            </w:r>
            <w:r>
              <w:rPr>
                <w:spacing w:val="-17"/>
                <w:sz w:val="24"/>
              </w:rPr>
              <w:t> </w:t>
            </w:r>
            <w:r>
              <w:rPr>
                <w:spacing w:val="-2"/>
                <w:sz w:val="24"/>
              </w:rPr>
              <w:t>measures</w:t>
            </w:r>
            <w:r>
              <w:rPr>
                <w:spacing w:val="-15"/>
                <w:sz w:val="24"/>
              </w:rPr>
              <w:t> </w:t>
            </w:r>
            <w:r>
              <w:rPr>
                <w:spacing w:val="-2"/>
                <w:sz w:val="24"/>
              </w:rPr>
              <w:t>must</w:t>
            </w:r>
            <w:r>
              <w:rPr>
                <w:spacing w:val="-14"/>
                <w:sz w:val="24"/>
              </w:rPr>
              <w:t> </w:t>
            </w:r>
            <w:r>
              <w:rPr>
                <w:spacing w:val="-2"/>
                <w:sz w:val="24"/>
              </w:rPr>
              <w:t>sit</w:t>
            </w:r>
            <w:r>
              <w:rPr>
                <w:spacing w:val="-15"/>
                <w:sz w:val="24"/>
              </w:rPr>
              <w:t> </w:t>
            </w:r>
            <w:r>
              <w:rPr>
                <w:spacing w:val="-2"/>
                <w:sz w:val="24"/>
              </w:rPr>
              <w:t>alongside</w:t>
            </w:r>
            <w:r>
              <w:rPr>
                <w:spacing w:val="-10"/>
                <w:sz w:val="24"/>
              </w:rPr>
              <w:t> </w:t>
            </w:r>
            <w:r>
              <w:rPr>
                <w:spacing w:val="-2"/>
                <w:sz w:val="24"/>
              </w:rPr>
              <w:t>financial</w:t>
            </w:r>
            <w:r>
              <w:rPr>
                <w:spacing w:val="-12"/>
                <w:sz w:val="24"/>
              </w:rPr>
              <w:t> </w:t>
            </w:r>
            <w:r>
              <w:rPr>
                <w:spacing w:val="-2"/>
                <w:sz w:val="24"/>
              </w:rPr>
              <w:t>and</w:t>
            </w:r>
            <w:r>
              <w:rPr>
                <w:spacing w:val="-15"/>
                <w:sz w:val="24"/>
              </w:rPr>
              <w:t> </w:t>
            </w:r>
            <w:r>
              <w:rPr>
                <w:spacing w:val="-2"/>
                <w:sz w:val="24"/>
              </w:rPr>
              <w:t>activity</w:t>
            </w:r>
            <w:r>
              <w:rPr>
                <w:spacing w:val="-12"/>
                <w:sz w:val="24"/>
              </w:rPr>
              <w:t> </w:t>
            </w:r>
            <w:r>
              <w:rPr>
                <w:spacing w:val="-2"/>
                <w:sz w:val="24"/>
              </w:rPr>
              <w:t>measures.</w:t>
            </w:r>
          </w:p>
          <w:p>
            <w:pPr>
              <w:pStyle w:val="TableParagraph"/>
              <w:spacing w:before="226"/>
              <w:rPr>
                <w:sz w:val="24"/>
              </w:rPr>
            </w:pPr>
          </w:p>
          <w:p>
            <w:pPr>
              <w:pStyle w:val="TableParagraph"/>
              <w:ind w:left="110"/>
              <w:rPr>
                <w:b/>
                <w:sz w:val="24"/>
              </w:rPr>
            </w:pPr>
            <w:r>
              <w:rPr>
                <w:b/>
                <w:spacing w:val="-2"/>
                <w:sz w:val="24"/>
              </w:rPr>
              <w:t>An</w:t>
            </w:r>
            <w:r>
              <w:rPr>
                <w:b/>
                <w:spacing w:val="-14"/>
                <w:sz w:val="24"/>
              </w:rPr>
              <w:t> </w:t>
            </w:r>
            <w:r>
              <w:rPr>
                <w:b/>
                <w:spacing w:val="-2"/>
                <w:sz w:val="24"/>
              </w:rPr>
              <w:t>orthopaedics</w:t>
            </w:r>
            <w:r>
              <w:rPr>
                <w:b/>
                <w:spacing w:val="-10"/>
                <w:sz w:val="24"/>
              </w:rPr>
              <w:t> </w:t>
            </w:r>
            <w:r>
              <w:rPr>
                <w:b/>
                <w:spacing w:val="-2"/>
                <w:sz w:val="24"/>
              </w:rPr>
              <w:t>pilot</w:t>
            </w:r>
            <w:r>
              <w:rPr>
                <w:b/>
                <w:spacing w:val="-12"/>
                <w:sz w:val="24"/>
              </w:rPr>
              <w:t> </w:t>
            </w:r>
            <w:r>
              <w:rPr>
                <w:b/>
                <w:spacing w:val="-2"/>
                <w:sz w:val="24"/>
              </w:rPr>
              <w:t>for</w:t>
            </w:r>
            <w:r>
              <w:rPr>
                <w:b/>
                <w:spacing w:val="-11"/>
                <w:sz w:val="24"/>
              </w:rPr>
              <w:t> </w:t>
            </w:r>
            <w:r>
              <w:rPr>
                <w:b/>
                <w:spacing w:val="-2"/>
                <w:sz w:val="24"/>
              </w:rPr>
              <w:t>the</w:t>
            </w:r>
            <w:r>
              <w:rPr>
                <w:b/>
                <w:spacing w:val="-10"/>
                <w:sz w:val="24"/>
              </w:rPr>
              <w:t> </w:t>
            </w:r>
            <w:r>
              <w:rPr>
                <w:b/>
                <w:spacing w:val="-2"/>
                <w:sz w:val="24"/>
              </w:rPr>
              <w:t>funding</w:t>
            </w:r>
            <w:r>
              <w:rPr>
                <w:b/>
                <w:spacing w:val="-13"/>
                <w:sz w:val="24"/>
              </w:rPr>
              <w:t> </w:t>
            </w:r>
            <w:r>
              <w:rPr>
                <w:b/>
                <w:spacing w:val="-2"/>
                <w:sz w:val="24"/>
              </w:rPr>
              <w:t>model</w:t>
            </w:r>
          </w:p>
          <w:p>
            <w:pPr>
              <w:pStyle w:val="TableParagraph"/>
              <w:spacing w:before="124"/>
              <w:ind w:left="110"/>
              <w:rPr>
                <w:sz w:val="24"/>
              </w:rPr>
            </w:pPr>
            <w:r>
              <w:rPr>
                <w:sz w:val="24"/>
              </w:rPr>
              <w:t>Teams</w:t>
            </w:r>
            <w:r>
              <w:rPr>
                <w:spacing w:val="-13"/>
                <w:sz w:val="24"/>
              </w:rPr>
              <w:t> </w:t>
            </w:r>
            <w:r>
              <w:rPr>
                <w:sz w:val="24"/>
              </w:rPr>
              <w:t>are</w:t>
            </w:r>
            <w:r>
              <w:rPr>
                <w:spacing w:val="-12"/>
                <w:sz w:val="24"/>
              </w:rPr>
              <w:t> </w:t>
            </w:r>
            <w:r>
              <w:rPr>
                <w:sz w:val="24"/>
              </w:rPr>
              <w:t>currently</w:t>
            </w:r>
            <w:r>
              <w:rPr>
                <w:spacing w:val="-13"/>
                <w:sz w:val="24"/>
              </w:rPr>
              <w:t> </w:t>
            </w:r>
            <w:r>
              <w:rPr>
                <w:sz w:val="24"/>
              </w:rPr>
              <w:t>working</w:t>
            </w:r>
            <w:r>
              <w:rPr>
                <w:spacing w:val="-12"/>
                <w:sz w:val="24"/>
              </w:rPr>
              <w:t> </w:t>
            </w:r>
            <w:r>
              <w:rPr>
                <w:sz w:val="24"/>
              </w:rPr>
              <w:t>on</w:t>
            </w:r>
            <w:r>
              <w:rPr>
                <w:spacing w:val="-12"/>
                <w:sz w:val="24"/>
              </w:rPr>
              <w:t> </w:t>
            </w:r>
            <w:r>
              <w:rPr>
                <w:sz w:val="24"/>
              </w:rPr>
              <w:t>a</w:t>
            </w:r>
            <w:r>
              <w:rPr>
                <w:spacing w:val="-12"/>
                <w:sz w:val="24"/>
              </w:rPr>
              <w:t> </w:t>
            </w:r>
            <w:r>
              <w:rPr>
                <w:sz w:val="24"/>
              </w:rPr>
              <w:t>pilot</w:t>
            </w:r>
            <w:r>
              <w:rPr>
                <w:spacing w:val="-15"/>
                <w:sz w:val="24"/>
              </w:rPr>
              <w:t> </w:t>
            </w:r>
            <w:r>
              <w:rPr>
                <w:sz w:val="24"/>
              </w:rPr>
              <w:t>to</w:t>
            </w:r>
            <w:r>
              <w:rPr>
                <w:spacing w:val="-12"/>
                <w:sz w:val="24"/>
              </w:rPr>
              <w:t> </w:t>
            </w:r>
            <w:r>
              <w:rPr>
                <w:sz w:val="24"/>
              </w:rPr>
              <w:t>enable</w:t>
            </w:r>
            <w:r>
              <w:rPr>
                <w:spacing w:val="-12"/>
                <w:sz w:val="24"/>
              </w:rPr>
              <w:t> </w:t>
            </w:r>
            <w:r>
              <w:rPr>
                <w:sz w:val="24"/>
              </w:rPr>
              <w:t>regional</w:t>
            </w:r>
            <w:r>
              <w:rPr>
                <w:spacing w:val="-12"/>
                <w:sz w:val="24"/>
              </w:rPr>
              <w:t> </w:t>
            </w:r>
            <w:r>
              <w:rPr>
                <w:sz w:val="24"/>
              </w:rPr>
              <w:t>orthopaedic</w:t>
            </w:r>
            <w:r>
              <w:rPr>
                <w:spacing w:val="-13"/>
                <w:sz w:val="24"/>
              </w:rPr>
              <w:t> </w:t>
            </w:r>
            <w:r>
              <w:rPr>
                <w:sz w:val="24"/>
              </w:rPr>
              <w:t>working.</w:t>
            </w:r>
            <w:r>
              <w:rPr>
                <w:spacing w:val="-15"/>
                <w:sz w:val="24"/>
              </w:rPr>
              <w:t> </w:t>
            </w:r>
            <w:r>
              <w:rPr>
                <w:sz w:val="24"/>
              </w:rPr>
              <w:t>While</w:t>
            </w:r>
            <w:r>
              <w:rPr>
                <w:spacing w:val="-7"/>
                <w:sz w:val="24"/>
              </w:rPr>
              <w:t> </w:t>
            </w:r>
            <w:r>
              <w:rPr>
                <w:sz w:val="24"/>
              </w:rPr>
              <w:t>the immediate</w:t>
            </w:r>
            <w:r>
              <w:rPr>
                <w:spacing w:val="-12"/>
                <w:sz w:val="24"/>
              </w:rPr>
              <w:t> </w:t>
            </w:r>
            <w:r>
              <w:rPr>
                <w:sz w:val="24"/>
              </w:rPr>
              <w:t>challenges</w:t>
            </w:r>
            <w:r>
              <w:rPr>
                <w:spacing w:val="-13"/>
                <w:sz w:val="24"/>
              </w:rPr>
              <w:t> </w:t>
            </w:r>
            <w:r>
              <w:rPr>
                <w:sz w:val="24"/>
              </w:rPr>
              <w:t>are</w:t>
            </w:r>
            <w:r>
              <w:rPr>
                <w:spacing w:val="-10"/>
                <w:sz w:val="24"/>
              </w:rPr>
              <w:t> </w:t>
            </w:r>
            <w:r>
              <w:rPr>
                <w:sz w:val="24"/>
              </w:rPr>
              <w:t>to</w:t>
            </w:r>
            <w:r>
              <w:rPr>
                <w:spacing w:val="-12"/>
                <w:sz w:val="24"/>
              </w:rPr>
              <w:t> </w:t>
            </w:r>
            <w:r>
              <w:rPr>
                <w:sz w:val="24"/>
              </w:rPr>
              <w:t>address</w:t>
            </w:r>
            <w:r>
              <w:rPr>
                <w:spacing w:val="-13"/>
                <w:sz w:val="24"/>
              </w:rPr>
              <w:t> </w:t>
            </w:r>
            <w:r>
              <w:rPr>
                <w:sz w:val="24"/>
              </w:rPr>
              <w:t>practical,</w:t>
            </w:r>
            <w:r>
              <w:rPr>
                <w:spacing w:val="-14"/>
                <w:sz w:val="24"/>
              </w:rPr>
              <w:t> </w:t>
            </w:r>
            <w:r>
              <w:rPr>
                <w:sz w:val="24"/>
              </w:rPr>
              <w:t>such</w:t>
            </w:r>
            <w:r>
              <w:rPr>
                <w:spacing w:val="-16"/>
                <w:sz w:val="24"/>
              </w:rPr>
              <w:t> </w:t>
            </w:r>
            <w:r>
              <w:rPr>
                <w:sz w:val="24"/>
              </w:rPr>
              <w:t>as</w:t>
            </w:r>
            <w:r>
              <w:rPr>
                <w:spacing w:val="-13"/>
                <w:sz w:val="24"/>
              </w:rPr>
              <w:t> </w:t>
            </w:r>
            <w:r>
              <w:rPr>
                <w:sz w:val="24"/>
              </w:rPr>
              <w:t>enabling</w:t>
            </w:r>
            <w:r>
              <w:rPr>
                <w:spacing w:val="-12"/>
                <w:sz w:val="24"/>
              </w:rPr>
              <w:t> </w:t>
            </w:r>
            <w:r>
              <w:rPr>
                <w:sz w:val="24"/>
              </w:rPr>
              <w:t>access</w:t>
            </w:r>
            <w:r>
              <w:rPr>
                <w:spacing w:val="-13"/>
                <w:sz w:val="24"/>
              </w:rPr>
              <w:t> </w:t>
            </w:r>
            <w:r>
              <w:rPr>
                <w:sz w:val="24"/>
              </w:rPr>
              <w:t>to</w:t>
            </w:r>
            <w:r>
              <w:rPr>
                <w:spacing w:val="-12"/>
                <w:sz w:val="24"/>
              </w:rPr>
              <w:t> </w:t>
            </w:r>
            <w:r>
              <w:rPr>
                <w:sz w:val="24"/>
              </w:rPr>
              <w:t>regional </w:t>
            </w:r>
            <w:r>
              <w:rPr>
                <w:spacing w:val="-2"/>
                <w:sz w:val="24"/>
              </w:rPr>
              <w:t>procurement</w:t>
            </w:r>
            <w:r>
              <w:rPr>
                <w:spacing w:val="-13"/>
                <w:sz w:val="24"/>
              </w:rPr>
              <w:t> </w:t>
            </w:r>
            <w:r>
              <w:rPr>
                <w:spacing w:val="-2"/>
                <w:sz w:val="24"/>
              </w:rPr>
              <w:t>to</w:t>
            </w:r>
            <w:r>
              <w:rPr>
                <w:spacing w:val="-10"/>
                <w:sz w:val="24"/>
              </w:rPr>
              <w:t> </w:t>
            </w:r>
            <w:r>
              <w:rPr>
                <w:spacing w:val="-2"/>
                <w:sz w:val="24"/>
              </w:rPr>
              <w:t>allow</w:t>
            </w:r>
            <w:r>
              <w:rPr>
                <w:spacing w:val="-13"/>
                <w:sz w:val="24"/>
              </w:rPr>
              <w:t> </w:t>
            </w:r>
            <w:r>
              <w:rPr>
                <w:spacing w:val="-2"/>
                <w:sz w:val="24"/>
              </w:rPr>
              <w:t>prostheses</w:t>
            </w:r>
            <w:r>
              <w:rPr>
                <w:spacing w:val="-6"/>
                <w:sz w:val="24"/>
              </w:rPr>
              <w:t> </w:t>
            </w:r>
            <w:r>
              <w:rPr>
                <w:spacing w:val="-2"/>
                <w:sz w:val="24"/>
              </w:rPr>
              <w:t>to</w:t>
            </w:r>
            <w:r>
              <w:rPr>
                <w:spacing w:val="-15"/>
                <w:sz w:val="24"/>
              </w:rPr>
              <w:t> </w:t>
            </w:r>
            <w:r>
              <w:rPr>
                <w:spacing w:val="-2"/>
                <w:sz w:val="24"/>
              </w:rPr>
              <w:t>be</w:t>
            </w:r>
            <w:r>
              <w:rPr>
                <w:spacing w:val="-14"/>
                <w:sz w:val="24"/>
              </w:rPr>
              <w:t> </w:t>
            </w:r>
            <w:r>
              <w:rPr>
                <w:spacing w:val="-2"/>
                <w:sz w:val="24"/>
              </w:rPr>
              <w:t>used</w:t>
            </w:r>
            <w:r>
              <w:rPr>
                <w:spacing w:val="-10"/>
                <w:sz w:val="24"/>
              </w:rPr>
              <w:t> </w:t>
            </w:r>
            <w:r>
              <w:rPr>
                <w:spacing w:val="-2"/>
                <w:sz w:val="24"/>
              </w:rPr>
              <w:t>across</w:t>
            </w:r>
            <w:r>
              <w:rPr>
                <w:spacing w:val="-11"/>
                <w:sz w:val="24"/>
              </w:rPr>
              <w:t> </w:t>
            </w:r>
            <w:r>
              <w:rPr>
                <w:spacing w:val="-2"/>
                <w:sz w:val="24"/>
              </w:rPr>
              <w:t>our</w:t>
            </w:r>
            <w:r>
              <w:rPr>
                <w:spacing w:val="-11"/>
                <w:sz w:val="24"/>
              </w:rPr>
              <w:t> </w:t>
            </w:r>
            <w:r>
              <w:rPr>
                <w:spacing w:val="-2"/>
                <w:sz w:val="24"/>
              </w:rPr>
              <w:t>sites</w:t>
            </w:r>
            <w:r>
              <w:rPr>
                <w:spacing w:val="-15"/>
                <w:sz w:val="24"/>
              </w:rPr>
              <w:t> </w:t>
            </w:r>
            <w:r>
              <w:rPr>
                <w:spacing w:val="-2"/>
                <w:sz w:val="24"/>
              </w:rPr>
              <w:t>and</w:t>
            </w:r>
            <w:r>
              <w:rPr>
                <w:spacing w:val="-10"/>
                <w:sz w:val="24"/>
              </w:rPr>
              <w:t> </w:t>
            </w:r>
            <w:r>
              <w:rPr>
                <w:spacing w:val="-2"/>
                <w:sz w:val="24"/>
              </w:rPr>
              <w:t>to</w:t>
            </w:r>
            <w:r>
              <w:rPr>
                <w:spacing w:val="-10"/>
                <w:sz w:val="24"/>
              </w:rPr>
              <w:t> </w:t>
            </w:r>
            <w:r>
              <w:rPr>
                <w:spacing w:val="-2"/>
                <w:sz w:val="24"/>
              </w:rPr>
              <w:t>support</w:t>
            </w:r>
            <w:r>
              <w:rPr>
                <w:spacing w:val="-13"/>
                <w:sz w:val="24"/>
              </w:rPr>
              <w:t> </w:t>
            </w:r>
            <w:r>
              <w:rPr>
                <w:spacing w:val="-2"/>
                <w:sz w:val="24"/>
              </w:rPr>
              <w:t>travel</w:t>
            </w:r>
            <w:r>
              <w:rPr>
                <w:spacing w:val="-10"/>
                <w:sz w:val="24"/>
              </w:rPr>
              <w:t> </w:t>
            </w:r>
            <w:r>
              <w:rPr>
                <w:spacing w:val="-2"/>
                <w:sz w:val="24"/>
              </w:rPr>
              <w:t>and</w:t>
            </w:r>
            <w:r>
              <w:rPr>
                <w:spacing w:val="-10"/>
                <w:sz w:val="24"/>
              </w:rPr>
              <w:t> </w:t>
            </w:r>
            <w:r>
              <w:rPr>
                <w:spacing w:val="-2"/>
                <w:sz w:val="24"/>
              </w:rPr>
              <w:t>logistics </w:t>
            </w:r>
            <w:r>
              <w:rPr>
                <w:sz w:val="24"/>
              </w:rPr>
              <w:t>arrangements</w:t>
            </w:r>
            <w:r>
              <w:rPr>
                <w:spacing w:val="-17"/>
                <w:sz w:val="24"/>
              </w:rPr>
              <w:t> </w:t>
            </w:r>
            <w:r>
              <w:rPr>
                <w:sz w:val="24"/>
              </w:rPr>
              <w:t>between</w:t>
            </w:r>
            <w:r>
              <w:rPr>
                <w:spacing w:val="-14"/>
                <w:sz w:val="24"/>
              </w:rPr>
              <w:t> </w:t>
            </w:r>
            <w:r>
              <w:rPr>
                <w:sz w:val="24"/>
              </w:rPr>
              <w:t>our</w:t>
            </w:r>
            <w:r>
              <w:rPr>
                <w:spacing w:val="-15"/>
                <w:sz w:val="24"/>
              </w:rPr>
              <w:t> </w:t>
            </w:r>
            <w:r>
              <w:rPr>
                <w:sz w:val="24"/>
              </w:rPr>
              <w:t>sites,</w:t>
            </w:r>
            <w:r>
              <w:rPr>
                <w:spacing w:val="-12"/>
                <w:sz w:val="24"/>
              </w:rPr>
              <w:t> </w:t>
            </w:r>
            <w:r>
              <w:rPr>
                <w:sz w:val="24"/>
              </w:rPr>
              <w:t>there</w:t>
            </w:r>
            <w:r>
              <w:rPr>
                <w:spacing w:val="-16"/>
                <w:sz w:val="24"/>
              </w:rPr>
              <w:t> </w:t>
            </w:r>
            <w:r>
              <w:rPr>
                <w:sz w:val="24"/>
              </w:rPr>
              <w:t>are</w:t>
            </w:r>
            <w:r>
              <w:rPr>
                <w:spacing w:val="-13"/>
                <w:sz w:val="24"/>
              </w:rPr>
              <w:t> </w:t>
            </w:r>
            <w:r>
              <w:rPr>
                <w:sz w:val="24"/>
              </w:rPr>
              <w:t>more</w:t>
            </w:r>
            <w:r>
              <w:rPr>
                <w:spacing w:val="-14"/>
                <w:sz w:val="24"/>
              </w:rPr>
              <w:t> </w:t>
            </w:r>
            <w:r>
              <w:rPr>
                <w:sz w:val="24"/>
              </w:rPr>
              <w:t>significant</w:t>
            </w:r>
            <w:r>
              <w:rPr>
                <w:spacing w:val="-17"/>
                <w:sz w:val="24"/>
              </w:rPr>
              <w:t> </w:t>
            </w:r>
            <w:r>
              <w:rPr>
                <w:sz w:val="24"/>
              </w:rPr>
              <w:t>opportunities</w:t>
            </w:r>
            <w:r>
              <w:rPr>
                <w:spacing w:val="-17"/>
                <w:sz w:val="24"/>
              </w:rPr>
              <w:t> </w:t>
            </w:r>
            <w:r>
              <w:rPr>
                <w:sz w:val="24"/>
              </w:rPr>
              <w:t>which</w:t>
            </w:r>
            <w:r>
              <w:rPr>
                <w:spacing w:val="-13"/>
                <w:sz w:val="24"/>
              </w:rPr>
              <w:t> </w:t>
            </w:r>
            <w:r>
              <w:rPr>
                <w:sz w:val="24"/>
              </w:rPr>
              <w:t>require </w:t>
            </w:r>
            <w:r>
              <w:rPr>
                <w:spacing w:val="-2"/>
                <w:sz w:val="24"/>
              </w:rPr>
              <w:t>exploring.</w:t>
            </w:r>
          </w:p>
          <w:p>
            <w:pPr>
              <w:pStyle w:val="TableParagraph"/>
              <w:spacing w:before="121"/>
              <w:ind w:left="110"/>
              <w:rPr>
                <w:sz w:val="24"/>
              </w:rPr>
            </w:pPr>
            <w:r>
              <w:rPr>
                <w:spacing w:val="-4"/>
                <w:sz w:val="24"/>
              </w:rPr>
              <w:t>These</w:t>
            </w:r>
            <w:r>
              <w:rPr>
                <w:spacing w:val="-7"/>
                <w:sz w:val="24"/>
              </w:rPr>
              <w:t> </w:t>
            </w:r>
            <w:r>
              <w:rPr>
                <w:spacing w:val="-2"/>
                <w:sz w:val="24"/>
              </w:rPr>
              <w:t>include:</w:t>
            </w:r>
          </w:p>
          <w:p>
            <w:pPr>
              <w:pStyle w:val="TableParagraph"/>
              <w:numPr>
                <w:ilvl w:val="1"/>
                <w:numId w:val="6"/>
              </w:numPr>
              <w:tabs>
                <w:tab w:pos="828" w:val="left" w:leader="none"/>
                <w:tab w:pos="830" w:val="left" w:leader="none"/>
              </w:tabs>
              <w:spacing w:line="240" w:lineRule="auto" w:before="119" w:after="0"/>
              <w:ind w:left="830" w:right="435" w:hanging="361"/>
              <w:jc w:val="left"/>
              <w:rPr>
                <w:sz w:val="24"/>
              </w:rPr>
            </w:pPr>
            <w:r>
              <w:rPr>
                <w:sz w:val="24"/>
              </w:rPr>
              <w:t>Shadow</w:t>
            </w:r>
            <w:r>
              <w:rPr>
                <w:spacing w:val="-9"/>
                <w:sz w:val="24"/>
              </w:rPr>
              <w:t> </w:t>
            </w:r>
            <w:r>
              <w:rPr>
                <w:sz w:val="24"/>
              </w:rPr>
              <w:t>pooled</w:t>
            </w:r>
            <w:r>
              <w:rPr>
                <w:spacing w:val="-8"/>
                <w:sz w:val="24"/>
              </w:rPr>
              <w:t> </w:t>
            </w:r>
            <w:r>
              <w:rPr>
                <w:sz w:val="24"/>
              </w:rPr>
              <w:t>budgeting:</w:t>
            </w:r>
            <w:r>
              <w:rPr>
                <w:spacing w:val="-12"/>
                <w:sz w:val="24"/>
              </w:rPr>
              <w:t> </w:t>
            </w:r>
            <w:r>
              <w:rPr>
                <w:sz w:val="24"/>
              </w:rPr>
              <w:t>a</w:t>
            </w:r>
            <w:r>
              <w:rPr>
                <w:spacing w:val="-9"/>
                <w:sz w:val="24"/>
              </w:rPr>
              <w:t> </w:t>
            </w:r>
            <w:r>
              <w:rPr>
                <w:sz w:val="24"/>
              </w:rPr>
              <w:t>combined</w:t>
            </w:r>
            <w:r>
              <w:rPr>
                <w:spacing w:val="-9"/>
                <w:sz w:val="24"/>
              </w:rPr>
              <w:t> </w:t>
            </w:r>
            <w:r>
              <w:rPr>
                <w:sz w:val="24"/>
              </w:rPr>
              <w:t>view</w:t>
            </w:r>
            <w:r>
              <w:rPr>
                <w:spacing w:val="-9"/>
                <w:sz w:val="24"/>
              </w:rPr>
              <w:t> </w:t>
            </w:r>
            <w:r>
              <w:rPr>
                <w:sz w:val="24"/>
              </w:rPr>
              <w:t>of</w:t>
            </w:r>
            <w:r>
              <w:rPr>
                <w:spacing w:val="-12"/>
                <w:sz w:val="24"/>
              </w:rPr>
              <w:t> </w:t>
            </w:r>
            <w:r>
              <w:rPr>
                <w:sz w:val="24"/>
              </w:rPr>
              <w:t>the</w:t>
            </w:r>
            <w:r>
              <w:rPr>
                <w:spacing w:val="-14"/>
                <w:sz w:val="24"/>
              </w:rPr>
              <w:t> </w:t>
            </w:r>
            <w:r>
              <w:rPr>
                <w:sz w:val="24"/>
              </w:rPr>
              <w:t>resources</w:t>
            </w:r>
            <w:r>
              <w:rPr>
                <w:spacing w:val="-10"/>
                <w:sz w:val="24"/>
              </w:rPr>
              <w:t> </w:t>
            </w:r>
            <w:r>
              <w:rPr>
                <w:sz w:val="24"/>
              </w:rPr>
              <w:t>committed</w:t>
            </w:r>
            <w:r>
              <w:rPr>
                <w:spacing w:val="-9"/>
                <w:sz w:val="24"/>
              </w:rPr>
              <w:t> </w:t>
            </w:r>
            <w:r>
              <w:rPr>
                <w:sz w:val="24"/>
              </w:rPr>
              <w:t>by</w:t>
            </w:r>
            <w:r>
              <w:rPr>
                <w:spacing w:val="-10"/>
                <w:sz w:val="24"/>
              </w:rPr>
              <w:t> </w:t>
            </w:r>
            <w:r>
              <w:rPr>
                <w:sz w:val="24"/>
              </w:rPr>
              <w:t>both </w:t>
            </w:r>
            <w:r>
              <w:rPr>
                <w:spacing w:val="-2"/>
                <w:sz w:val="24"/>
              </w:rPr>
              <w:t>organisations,</w:t>
            </w:r>
            <w:r>
              <w:rPr>
                <w:spacing w:val="-15"/>
                <w:sz w:val="24"/>
              </w:rPr>
              <w:t> </w:t>
            </w:r>
            <w:r>
              <w:rPr>
                <w:spacing w:val="-2"/>
                <w:sz w:val="24"/>
              </w:rPr>
              <w:t>while</w:t>
            </w:r>
            <w:r>
              <w:rPr>
                <w:spacing w:val="-15"/>
                <w:sz w:val="24"/>
              </w:rPr>
              <w:t> </w:t>
            </w:r>
            <w:r>
              <w:rPr>
                <w:spacing w:val="-2"/>
                <w:sz w:val="24"/>
              </w:rPr>
              <w:t>retaining</w:t>
            </w:r>
            <w:r>
              <w:rPr>
                <w:spacing w:val="-14"/>
                <w:sz w:val="24"/>
              </w:rPr>
              <w:t> </w:t>
            </w:r>
            <w:r>
              <w:rPr>
                <w:spacing w:val="-2"/>
                <w:sz w:val="24"/>
              </w:rPr>
              <w:t>their</w:t>
            </w:r>
            <w:r>
              <w:rPr>
                <w:spacing w:val="-15"/>
                <w:sz w:val="24"/>
              </w:rPr>
              <w:t> </w:t>
            </w:r>
            <w:r>
              <w:rPr>
                <w:spacing w:val="-2"/>
                <w:sz w:val="24"/>
              </w:rPr>
              <w:t>existing</w:t>
            </w:r>
            <w:r>
              <w:rPr>
                <w:spacing w:val="-15"/>
                <w:sz w:val="24"/>
              </w:rPr>
              <w:t> </w:t>
            </w:r>
            <w:r>
              <w:rPr>
                <w:spacing w:val="-2"/>
                <w:sz w:val="24"/>
              </w:rPr>
              <w:t>financial</w:t>
            </w:r>
            <w:r>
              <w:rPr>
                <w:spacing w:val="-15"/>
                <w:sz w:val="24"/>
              </w:rPr>
              <w:t> </w:t>
            </w:r>
            <w:r>
              <w:rPr>
                <w:spacing w:val="-2"/>
                <w:sz w:val="24"/>
              </w:rPr>
              <w:t>accountabilities.</w:t>
            </w:r>
            <w:r>
              <w:rPr>
                <w:spacing w:val="-14"/>
                <w:sz w:val="24"/>
              </w:rPr>
              <w:t> </w:t>
            </w:r>
            <w:r>
              <w:rPr>
                <w:spacing w:val="-2"/>
                <w:sz w:val="24"/>
              </w:rPr>
              <w:t>This</w:t>
            </w:r>
            <w:r>
              <w:rPr>
                <w:spacing w:val="-15"/>
                <w:sz w:val="24"/>
              </w:rPr>
              <w:t> </w:t>
            </w:r>
            <w:r>
              <w:rPr>
                <w:spacing w:val="-2"/>
                <w:sz w:val="24"/>
              </w:rPr>
              <w:t>would</w:t>
            </w:r>
            <w:r>
              <w:rPr>
                <w:spacing w:val="-15"/>
                <w:sz w:val="24"/>
              </w:rPr>
              <w:t> </w:t>
            </w:r>
            <w:r>
              <w:rPr>
                <w:spacing w:val="-2"/>
                <w:sz w:val="24"/>
              </w:rPr>
              <w:t>allow </w:t>
            </w:r>
            <w:r>
              <w:rPr>
                <w:sz w:val="24"/>
              </w:rPr>
              <w:t>the</w:t>
            </w:r>
            <w:r>
              <w:rPr>
                <w:spacing w:val="-11"/>
                <w:sz w:val="24"/>
              </w:rPr>
              <w:t> </w:t>
            </w:r>
            <w:r>
              <w:rPr>
                <w:sz w:val="24"/>
              </w:rPr>
              <w:t>partners</w:t>
            </w:r>
            <w:r>
              <w:rPr>
                <w:spacing w:val="-12"/>
                <w:sz w:val="24"/>
              </w:rPr>
              <w:t> </w:t>
            </w:r>
            <w:r>
              <w:rPr>
                <w:sz w:val="24"/>
              </w:rPr>
              <w:t>to</w:t>
            </w:r>
            <w:r>
              <w:rPr>
                <w:spacing w:val="-15"/>
                <w:sz w:val="24"/>
              </w:rPr>
              <w:t> </w:t>
            </w:r>
            <w:r>
              <w:rPr>
                <w:sz w:val="24"/>
              </w:rPr>
              <w:t>examine</w:t>
            </w:r>
            <w:r>
              <w:rPr>
                <w:spacing w:val="-11"/>
                <w:sz w:val="24"/>
              </w:rPr>
              <w:t> </w:t>
            </w:r>
            <w:r>
              <w:rPr>
                <w:sz w:val="24"/>
              </w:rPr>
              <w:t>distributional</w:t>
            </w:r>
            <w:r>
              <w:rPr>
                <w:spacing w:val="-11"/>
                <w:sz w:val="24"/>
              </w:rPr>
              <w:t> </w:t>
            </w:r>
            <w:r>
              <w:rPr>
                <w:sz w:val="24"/>
              </w:rPr>
              <w:t>effects</w:t>
            </w:r>
            <w:r>
              <w:rPr>
                <w:spacing w:val="-12"/>
                <w:sz w:val="24"/>
              </w:rPr>
              <w:t> </w:t>
            </w:r>
            <w:r>
              <w:rPr>
                <w:sz w:val="24"/>
              </w:rPr>
              <w:t>before</w:t>
            </w:r>
            <w:r>
              <w:rPr>
                <w:spacing w:val="-11"/>
                <w:sz w:val="24"/>
              </w:rPr>
              <w:t> </w:t>
            </w:r>
            <w:r>
              <w:rPr>
                <w:sz w:val="24"/>
              </w:rPr>
              <w:t>changing</w:t>
            </w:r>
            <w:r>
              <w:rPr>
                <w:spacing w:val="-11"/>
                <w:sz w:val="24"/>
              </w:rPr>
              <w:t> </w:t>
            </w:r>
            <w:r>
              <w:rPr>
                <w:sz w:val="24"/>
              </w:rPr>
              <w:t>live</w:t>
            </w:r>
            <w:r>
              <w:rPr>
                <w:spacing w:val="-15"/>
                <w:sz w:val="24"/>
              </w:rPr>
              <w:t> </w:t>
            </w:r>
            <w:r>
              <w:rPr>
                <w:sz w:val="24"/>
              </w:rPr>
              <w:t>payment </w:t>
            </w:r>
            <w:r>
              <w:rPr>
                <w:spacing w:val="-2"/>
                <w:sz w:val="24"/>
              </w:rPr>
              <w:t>arrangements.</w:t>
            </w:r>
          </w:p>
          <w:p>
            <w:pPr>
              <w:pStyle w:val="TableParagraph"/>
              <w:numPr>
                <w:ilvl w:val="1"/>
                <w:numId w:val="6"/>
              </w:numPr>
              <w:tabs>
                <w:tab w:pos="828" w:val="left" w:leader="none"/>
                <w:tab w:pos="830" w:val="left" w:leader="none"/>
              </w:tabs>
              <w:spacing w:line="240" w:lineRule="auto" w:before="1" w:after="0"/>
              <w:ind w:left="830" w:right="791" w:hanging="361"/>
              <w:jc w:val="left"/>
              <w:rPr>
                <w:sz w:val="24"/>
              </w:rPr>
            </w:pPr>
            <w:r>
              <w:rPr>
                <w:spacing w:val="-2"/>
                <w:sz w:val="24"/>
              </w:rPr>
              <w:t>Sharing</w:t>
            </w:r>
            <w:r>
              <w:rPr>
                <w:spacing w:val="-15"/>
                <w:sz w:val="24"/>
              </w:rPr>
              <w:t> </w:t>
            </w:r>
            <w:r>
              <w:rPr>
                <w:spacing w:val="-2"/>
                <w:sz w:val="24"/>
              </w:rPr>
              <w:t>orthopaedics</w:t>
            </w:r>
            <w:r>
              <w:rPr>
                <w:spacing w:val="-15"/>
                <w:sz w:val="24"/>
              </w:rPr>
              <w:t> </w:t>
            </w:r>
            <w:r>
              <w:rPr>
                <w:spacing w:val="-2"/>
                <w:sz w:val="24"/>
              </w:rPr>
              <w:t>budgets</w:t>
            </w:r>
            <w:r>
              <w:rPr>
                <w:spacing w:val="-14"/>
                <w:sz w:val="24"/>
              </w:rPr>
              <w:t> </w:t>
            </w:r>
            <w:r>
              <w:rPr>
                <w:spacing w:val="-2"/>
                <w:sz w:val="24"/>
              </w:rPr>
              <w:t>and</w:t>
            </w:r>
            <w:r>
              <w:rPr>
                <w:spacing w:val="-14"/>
                <w:sz w:val="24"/>
              </w:rPr>
              <w:t> </w:t>
            </w:r>
            <w:r>
              <w:rPr>
                <w:spacing w:val="-2"/>
                <w:sz w:val="24"/>
              </w:rPr>
              <w:t>agree</w:t>
            </w:r>
            <w:r>
              <w:rPr>
                <w:spacing w:val="-13"/>
                <w:sz w:val="24"/>
              </w:rPr>
              <w:t> </w:t>
            </w:r>
            <w:r>
              <w:rPr>
                <w:spacing w:val="-2"/>
                <w:sz w:val="24"/>
              </w:rPr>
              <w:t>the</w:t>
            </w:r>
            <w:r>
              <w:rPr>
                <w:spacing w:val="-13"/>
                <w:sz w:val="24"/>
              </w:rPr>
              <w:t> </w:t>
            </w:r>
            <w:r>
              <w:rPr>
                <w:spacing w:val="-2"/>
                <w:sz w:val="24"/>
              </w:rPr>
              <w:t>2026/27</w:t>
            </w:r>
            <w:r>
              <w:rPr>
                <w:spacing w:val="-13"/>
                <w:sz w:val="24"/>
              </w:rPr>
              <w:t> </w:t>
            </w:r>
            <w:r>
              <w:rPr>
                <w:spacing w:val="-2"/>
                <w:sz w:val="24"/>
              </w:rPr>
              <w:t>planned</w:t>
            </w:r>
            <w:r>
              <w:rPr>
                <w:spacing w:val="-13"/>
                <w:sz w:val="24"/>
              </w:rPr>
              <w:t> </w:t>
            </w:r>
            <w:r>
              <w:rPr>
                <w:spacing w:val="-2"/>
                <w:sz w:val="24"/>
              </w:rPr>
              <w:t>activity</w:t>
            </w:r>
            <w:r>
              <w:rPr>
                <w:spacing w:val="-14"/>
                <w:sz w:val="24"/>
              </w:rPr>
              <w:t> </w:t>
            </w:r>
            <w:r>
              <w:rPr>
                <w:spacing w:val="-2"/>
                <w:sz w:val="24"/>
              </w:rPr>
              <w:t>baseline</w:t>
            </w:r>
            <w:r>
              <w:rPr>
                <w:spacing w:val="-13"/>
                <w:sz w:val="24"/>
              </w:rPr>
              <w:t> </w:t>
            </w:r>
            <w:r>
              <w:rPr>
                <w:spacing w:val="-2"/>
                <w:sz w:val="24"/>
              </w:rPr>
              <w:t>by </w:t>
            </w:r>
            <w:r>
              <w:rPr>
                <w:sz w:val="24"/>
              </w:rPr>
              <w:t>provider,</w:t>
            </w:r>
            <w:r>
              <w:rPr>
                <w:spacing w:val="-8"/>
                <w:sz w:val="24"/>
              </w:rPr>
              <w:t> </w:t>
            </w:r>
            <w:r>
              <w:rPr>
                <w:sz w:val="24"/>
              </w:rPr>
              <w:t>point</w:t>
            </w:r>
            <w:r>
              <w:rPr>
                <w:spacing w:val="-8"/>
                <w:sz w:val="24"/>
              </w:rPr>
              <w:t> </w:t>
            </w:r>
            <w:r>
              <w:rPr>
                <w:sz w:val="24"/>
              </w:rPr>
              <w:t>of</w:t>
            </w:r>
            <w:r>
              <w:rPr>
                <w:spacing w:val="-8"/>
                <w:sz w:val="24"/>
              </w:rPr>
              <w:t> </w:t>
            </w:r>
            <w:r>
              <w:rPr>
                <w:sz w:val="24"/>
              </w:rPr>
              <w:t>delivery</w:t>
            </w:r>
            <w:r>
              <w:rPr>
                <w:spacing w:val="-6"/>
                <w:sz w:val="24"/>
              </w:rPr>
              <w:t> </w:t>
            </w:r>
            <w:r>
              <w:rPr>
                <w:sz w:val="24"/>
              </w:rPr>
              <w:t>and</w:t>
            </w:r>
            <w:r>
              <w:rPr>
                <w:spacing w:val="-5"/>
                <w:sz w:val="24"/>
              </w:rPr>
              <w:t> </w:t>
            </w:r>
            <w:r>
              <w:rPr>
                <w:sz w:val="24"/>
              </w:rPr>
              <w:t>relevant</w:t>
            </w:r>
            <w:r>
              <w:rPr>
                <w:spacing w:val="-8"/>
                <w:sz w:val="24"/>
              </w:rPr>
              <w:t> </w:t>
            </w:r>
            <w:r>
              <w:rPr>
                <w:sz w:val="24"/>
              </w:rPr>
              <w:t>service category.</w:t>
            </w:r>
          </w:p>
          <w:p>
            <w:pPr>
              <w:pStyle w:val="TableParagraph"/>
              <w:numPr>
                <w:ilvl w:val="1"/>
                <w:numId w:val="6"/>
              </w:numPr>
              <w:tabs>
                <w:tab w:pos="828" w:val="left" w:leader="none"/>
                <w:tab w:pos="830" w:val="left" w:leader="none"/>
              </w:tabs>
              <w:spacing w:line="240" w:lineRule="auto" w:before="0" w:after="0"/>
              <w:ind w:left="830" w:right="208" w:hanging="361"/>
              <w:jc w:val="left"/>
              <w:rPr>
                <w:sz w:val="24"/>
              </w:rPr>
            </w:pPr>
            <w:r>
              <w:rPr>
                <w:spacing w:val="-2"/>
                <w:sz w:val="24"/>
              </w:rPr>
              <w:t>Validate</w:t>
            </w:r>
            <w:r>
              <w:rPr>
                <w:spacing w:val="-15"/>
                <w:sz w:val="24"/>
              </w:rPr>
              <w:t> </w:t>
            </w:r>
            <w:r>
              <w:rPr>
                <w:spacing w:val="-2"/>
                <w:sz w:val="24"/>
              </w:rPr>
              <w:t>demand,</w:t>
            </w:r>
            <w:r>
              <w:rPr>
                <w:spacing w:val="-15"/>
                <w:sz w:val="24"/>
              </w:rPr>
              <w:t> </w:t>
            </w:r>
            <w:r>
              <w:rPr>
                <w:spacing w:val="-2"/>
                <w:sz w:val="24"/>
              </w:rPr>
              <w:t>waiting</w:t>
            </w:r>
            <w:r>
              <w:rPr>
                <w:spacing w:val="-14"/>
                <w:sz w:val="24"/>
              </w:rPr>
              <w:t> </w:t>
            </w:r>
            <w:r>
              <w:rPr>
                <w:spacing w:val="-2"/>
                <w:sz w:val="24"/>
              </w:rPr>
              <w:t>lists,</w:t>
            </w:r>
            <w:r>
              <w:rPr>
                <w:spacing w:val="-15"/>
                <w:sz w:val="24"/>
              </w:rPr>
              <w:t> </w:t>
            </w:r>
            <w:r>
              <w:rPr>
                <w:spacing w:val="-2"/>
                <w:sz w:val="24"/>
              </w:rPr>
              <w:t>workforce,</w:t>
            </w:r>
            <w:r>
              <w:rPr>
                <w:spacing w:val="-15"/>
                <w:sz w:val="24"/>
              </w:rPr>
              <w:t> </w:t>
            </w:r>
            <w:r>
              <w:rPr>
                <w:spacing w:val="-2"/>
                <w:sz w:val="24"/>
              </w:rPr>
              <w:t>theatre</w:t>
            </w:r>
            <w:r>
              <w:rPr>
                <w:spacing w:val="-15"/>
                <w:sz w:val="24"/>
              </w:rPr>
              <w:t> </w:t>
            </w:r>
            <w:r>
              <w:rPr>
                <w:spacing w:val="-2"/>
                <w:sz w:val="24"/>
              </w:rPr>
              <w:t>and</w:t>
            </w:r>
            <w:r>
              <w:rPr>
                <w:spacing w:val="-14"/>
                <w:sz w:val="24"/>
              </w:rPr>
              <w:t> </w:t>
            </w:r>
            <w:r>
              <w:rPr>
                <w:spacing w:val="-2"/>
                <w:sz w:val="24"/>
              </w:rPr>
              <w:t>outpatient</w:t>
            </w:r>
            <w:r>
              <w:rPr>
                <w:spacing w:val="-15"/>
                <w:sz w:val="24"/>
              </w:rPr>
              <w:t> </w:t>
            </w:r>
            <w:r>
              <w:rPr>
                <w:spacing w:val="-2"/>
                <w:sz w:val="24"/>
              </w:rPr>
              <w:t>capacity,</w:t>
            </w:r>
            <w:r>
              <w:rPr>
                <w:spacing w:val="-15"/>
                <w:sz w:val="24"/>
              </w:rPr>
              <w:t> </w:t>
            </w:r>
            <w:r>
              <w:rPr>
                <w:spacing w:val="-2"/>
                <w:sz w:val="24"/>
              </w:rPr>
              <w:t>sub-specialty </w:t>
            </w:r>
            <w:r>
              <w:rPr>
                <w:sz w:val="24"/>
              </w:rPr>
              <w:t>provision and delivery locations.</w:t>
            </w:r>
          </w:p>
          <w:p>
            <w:pPr>
              <w:pStyle w:val="TableParagraph"/>
              <w:numPr>
                <w:ilvl w:val="1"/>
                <w:numId w:val="6"/>
              </w:numPr>
              <w:tabs>
                <w:tab w:pos="828" w:val="left" w:leader="none"/>
                <w:tab w:pos="830" w:val="left" w:leader="none"/>
              </w:tabs>
              <w:spacing w:line="244" w:lineRule="auto" w:before="0" w:after="0"/>
              <w:ind w:left="830" w:right="440" w:hanging="361"/>
              <w:jc w:val="left"/>
              <w:rPr>
                <w:sz w:val="24"/>
              </w:rPr>
            </w:pPr>
            <w:r>
              <w:rPr>
                <w:spacing w:val="-2"/>
                <w:sz w:val="24"/>
              </w:rPr>
              <w:t>Agree</w:t>
            </w:r>
            <w:r>
              <w:rPr>
                <w:spacing w:val="-6"/>
                <w:sz w:val="24"/>
              </w:rPr>
              <w:t> </w:t>
            </w:r>
            <w:r>
              <w:rPr>
                <w:spacing w:val="-2"/>
                <w:sz w:val="24"/>
              </w:rPr>
              <w:t>the</w:t>
            </w:r>
            <w:r>
              <w:rPr>
                <w:spacing w:val="-10"/>
                <w:sz w:val="24"/>
              </w:rPr>
              <w:t> </w:t>
            </w:r>
            <w:r>
              <w:rPr>
                <w:spacing w:val="-2"/>
                <w:sz w:val="24"/>
              </w:rPr>
              <w:t>model</w:t>
            </w:r>
            <w:r>
              <w:rPr>
                <w:spacing w:val="-10"/>
                <w:sz w:val="24"/>
              </w:rPr>
              <w:t> </w:t>
            </w:r>
            <w:r>
              <w:rPr>
                <w:spacing w:val="-2"/>
                <w:sz w:val="24"/>
              </w:rPr>
              <w:t>of</w:t>
            </w:r>
            <w:r>
              <w:rPr>
                <w:spacing w:val="-13"/>
                <w:sz w:val="24"/>
              </w:rPr>
              <w:t> </w:t>
            </w:r>
            <w:r>
              <w:rPr>
                <w:spacing w:val="-2"/>
                <w:sz w:val="24"/>
              </w:rPr>
              <w:t>care</w:t>
            </w:r>
            <w:r>
              <w:rPr>
                <w:spacing w:val="-15"/>
                <w:sz w:val="24"/>
              </w:rPr>
              <w:t> </w:t>
            </w:r>
            <w:r>
              <w:rPr>
                <w:spacing w:val="-2"/>
                <w:sz w:val="24"/>
              </w:rPr>
              <w:t>and</w:t>
            </w:r>
            <w:r>
              <w:rPr>
                <w:spacing w:val="-15"/>
                <w:sz w:val="24"/>
              </w:rPr>
              <w:t> </w:t>
            </w:r>
            <w:r>
              <w:rPr>
                <w:spacing w:val="-2"/>
                <w:sz w:val="24"/>
              </w:rPr>
              <w:t>develop</w:t>
            </w:r>
            <w:r>
              <w:rPr>
                <w:spacing w:val="-10"/>
                <w:sz w:val="24"/>
              </w:rPr>
              <w:t> </w:t>
            </w:r>
            <w:r>
              <w:rPr>
                <w:spacing w:val="-2"/>
                <w:sz w:val="24"/>
              </w:rPr>
              <w:t>a</w:t>
            </w:r>
            <w:r>
              <w:rPr>
                <w:spacing w:val="-10"/>
                <w:sz w:val="24"/>
              </w:rPr>
              <w:t> </w:t>
            </w:r>
            <w:r>
              <w:rPr>
                <w:spacing w:val="-2"/>
                <w:sz w:val="24"/>
              </w:rPr>
              <w:t>shared</w:t>
            </w:r>
            <w:r>
              <w:rPr>
                <w:spacing w:val="-10"/>
                <w:sz w:val="24"/>
              </w:rPr>
              <w:t> </w:t>
            </w:r>
            <w:r>
              <w:rPr>
                <w:spacing w:val="-2"/>
                <w:sz w:val="24"/>
              </w:rPr>
              <w:t>waiting</w:t>
            </w:r>
            <w:r>
              <w:rPr>
                <w:spacing w:val="-10"/>
                <w:sz w:val="24"/>
              </w:rPr>
              <w:t> </w:t>
            </w:r>
            <w:r>
              <w:rPr>
                <w:spacing w:val="-2"/>
                <w:sz w:val="24"/>
              </w:rPr>
              <w:t>list</w:t>
            </w:r>
            <w:r>
              <w:rPr>
                <w:spacing w:val="-13"/>
                <w:sz w:val="24"/>
              </w:rPr>
              <w:t> </w:t>
            </w:r>
            <w:r>
              <w:rPr>
                <w:spacing w:val="-2"/>
                <w:sz w:val="24"/>
              </w:rPr>
              <w:t>approach</w:t>
            </w:r>
            <w:r>
              <w:rPr>
                <w:spacing w:val="-10"/>
                <w:sz w:val="24"/>
              </w:rPr>
              <w:t> </w:t>
            </w:r>
            <w:r>
              <w:rPr>
                <w:spacing w:val="-2"/>
                <w:sz w:val="24"/>
              </w:rPr>
              <w:t>with</w:t>
            </w:r>
            <w:r>
              <w:rPr>
                <w:spacing w:val="-10"/>
                <w:sz w:val="24"/>
              </w:rPr>
              <w:t> </w:t>
            </w:r>
            <w:r>
              <w:rPr>
                <w:spacing w:val="-2"/>
                <w:sz w:val="24"/>
              </w:rPr>
              <w:t>clear</w:t>
            </w:r>
            <w:r>
              <w:rPr>
                <w:spacing w:val="-11"/>
                <w:sz w:val="24"/>
              </w:rPr>
              <w:t> </w:t>
            </w:r>
            <w:r>
              <w:rPr>
                <w:spacing w:val="-2"/>
                <w:sz w:val="24"/>
              </w:rPr>
              <w:t>clinical prioritisation.</w:t>
            </w:r>
          </w:p>
          <w:p>
            <w:pPr>
              <w:pStyle w:val="TableParagraph"/>
              <w:numPr>
                <w:ilvl w:val="1"/>
                <w:numId w:val="6"/>
              </w:numPr>
              <w:tabs>
                <w:tab w:pos="828" w:val="left" w:leader="none"/>
                <w:tab w:pos="830" w:val="left" w:leader="none"/>
              </w:tabs>
              <w:spacing w:line="240" w:lineRule="auto" w:before="0" w:after="0"/>
              <w:ind w:left="830" w:right="544" w:hanging="361"/>
              <w:jc w:val="left"/>
              <w:rPr>
                <w:sz w:val="24"/>
              </w:rPr>
            </w:pPr>
            <w:r>
              <w:rPr>
                <w:spacing w:val="-2"/>
                <w:sz w:val="24"/>
              </w:rPr>
              <w:t>Model</w:t>
            </w:r>
            <w:r>
              <w:rPr>
                <w:spacing w:val="-15"/>
                <w:sz w:val="24"/>
              </w:rPr>
              <w:t> </w:t>
            </w:r>
            <w:r>
              <w:rPr>
                <w:spacing w:val="-2"/>
                <w:sz w:val="24"/>
              </w:rPr>
              <w:t>adjustments</w:t>
            </w:r>
            <w:r>
              <w:rPr>
                <w:spacing w:val="-13"/>
                <w:sz w:val="24"/>
              </w:rPr>
              <w:t> </w:t>
            </w:r>
            <w:r>
              <w:rPr>
                <w:spacing w:val="-2"/>
                <w:sz w:val="24"/>
              </w:rPr>
              <w:t>for</w:t>
            </w:r>
            <w:r>
              <w:rPr>
                <w:spacing w:val="-15"/>
                <w:sz w:val="24"/>
              </w:rPr>
              <w:t> </w:t>
            </w:r>
            <w:r>
              <w:rPr>
                <w:spacing w:val="-2"/>
                <w:sz w:val="24"/>
              </w:rPr>
              <w:t>activity</w:t>
            </w:r>
            <w:r>
              <w:rPr>
                <w:spacing w:val="-12"/>
                <w:sz w:val="24"/>
              </w:rPr>
              <w:t> </w:t>
            </w:r>
            <w:r>
              <w:rPr>
                <w:spacing w:val="-2"/>
                <w:sz w:val="24"/>
              </w:rPr>
              <w:t>above</w:t>
            </w:r>
            <w:r>
              <w:rPr>
                <w:spacing w:val="-12"/>
                <w:sz w:val="24"/>
              </w:rPr>
              <w:t> </w:t>
            </w:r>
            <w:r>
              <w:rPr>
                <w:spacing w:val="-2"/>
                <w:sz w:val="24"/>
              </w:rPr>
              <w:t>or</w:t>
            </w:r>
            <w:r>
              <w:rPr>
                <w:spacing w:val="-13"/>
                <w:sz w:val="24"/>
              </w:rPr>
              <w:t> </w:t>
            </w:r>
            <w:r>
              <w:rPr>
                <w:spacing w:val="-2"/>
                <w:sz w:val="24"/>
              </w:rPr>
              <w:t>below</w:t>
            </w:r>
            <w:r>
              <w:rPr>
                <w:spacing w:val="-12"/>
                <w:sz w:val="24"/>
              </w:rPr>
              <w:t> </w:t>
            </w:r>
            <w:r>
              <w:rPr>
                <w:spacing w:val="-2"/>
                <w:sz w:val="24"/>
              </w:rPr>
              <w:t>plan</w:t>
            </w:r>
            <w:r>
              <w:rPr>
                <w:spacing w:val="-15"/>
                <w:sz w:val="24"/>
              </w:rPr>
              <w:t> </w:t>
            </w:r>
            <w:r>
              <w:rPr>
                <w:spacing w:val="-2"/>
                <w:sz w:val="24"/>
              </w:rPr>
              <w:t>using</w:t>
            </w:r>
            <w:r>
              <w:rPr>
                <w:spacing w:val="-15"/>
                <w:sz w:val="24"/>
              </w:rPr>
              <w:t> </w:t>
            </w:r>
            <w:r>
              <w:rPr>
                <w:spacing w:val="-2"/>
                <w:sz w:val="24"/>
              </w:rPr>
              <w:t>agreed</w:t>
            </w:r>
            <w:r>
              <w:rPr>
                <w:spacing w:val="-6"/>
                <w:sz w:val="24"/>
              </w:rPr>
              <w:t> </w:t>
            </w:r>
            <w:r>
              <w:rPr>
                <w:spacing w:val="-2"/>
                <w:sz w:val="24"/>
              </w:rPr>
              <w:t>tariffs</w:t>
            </w:r>
            <w:r>
              <w:rPr>
                <w:spacing w:val="-13"/>
                <w:sz w:val="24"/>
              </w:rPr>
              <w:t> </w:t>
            </w:r>
            <w:r>
              <w:rPr>
                <w:spacing w:val="-2"/>
                <w:sz w:val="24"/>
              </w:rPr>
              <w:t>and</w:t>
            </w:r>
            <w:r>
              <w:rPr>
                <w:spacing w:val="-12"/>
                <w:sz w:val="24"/>
              </w:rPr>
              <w:t> </w:t>
            </w:r>
            <w:r>
              <w:rPr>
                <w:spacing w:val="-2"/>
                <w:sz w:val="24"/>
              </w:rPr>
              <w:t>marginal rates.</w:t>
            </w:r>
          </w:p>
          <w:p>
            <w:pPr>
              <w:pStyle w:val="TableParagraph"/>
              <w:numPr>
                <w:ilvl w:val="1"/>
                <w:numId w:val="6"/>
              </w:numPr>
              <w:tabs>
                <w:tab w:pos="828" w:val="left" w:leader="none"/>
                <w:tab w:pos="830" w:val="left" w:leader="none"/>
              </w:tabs>
              <w:spacing w:line="276" w:lineRule="exact" w:before="0" w:after="0"/>
              <w:ind w:left="830" w:right="168" w:hanging="361"/>
              <w:jc w:val="left"/>
              <w:rPr>
                <w:sz w:val="24"/>
              </w:rPr>
            </w:pPr>
            <w:r>
              <w:rPr>
                <w:sz w:val="24"/>
              </w:rPr>
              <w:t>Test</w:t>
            </w:r>
            <w:r>
              <w:rPr>
                <w:spacing w:val="-17"/>
                <w:sz w:val="24"/>
              </w:rPr>
              <w:t> </w:t>
            </w:r>
            <w:r>
              <w:rPr>
                <w:sz w:val="24"/>
              </w:rPr>
              <w:t>a</w:t>
            </w:r>
            <w:r>
              <w:rPr>
                <w:spacing w:val="-14"/>
                <w:sz w:val="24"/>
              </w:rPr>
              <w:t> </w:t>
            </w:r>
            <w:r>
              <w:rPr>
                <w:sz w:val="24"/>
              </w:rPr>
              <w:t>value-based</w:t>
            </w:r>
            <w:r>
              <w:rPr>
                <w:spacing w:val="-14"/>
                <w:sz w:val="24"/>
              </w:rPr>
              <w:t> </w:t>
            </w:r>
            <w:r>
              <w:rPr>
                <w:sz w:val="24"/>
              </w:rPr>
              <w:t>payment</w:t>
            </w:r>
            <w:r>
              <w:rPr>
                <w:spacing w:val="-17"/>
                <w:sz w:val="24"/>
              </w:rPr>
              <w:t> </w:t>
            </w:r>
            <w:r>
              <w:rPr>
                <w:sz w:val="24"/>
              </w:rPr>
              <w:t>element,</w:t>
            </w:r>
            <w:r>
              <w:rPr>
                <w:spacing w:val="-17"/>
                <w:sz w:val="24"/>
              </w:rPr>
              <w:t> </w:t>
            </w:r>
            <w:r>
              <w:rPr>
                <w:sz w:val="24"/>
              </w:rPr>
              <w:t>potentially</w:t>
            </w:r>
            <w:r>
              <w:rPr>
                <w:spacing w:val="-10"/>
                <w:sz w:val="24"/>
              </w:rPr>
              <w:t> </w:t>
            </w:r>
            <w:r>
              <w:rPr>
                <w:sz w:val="24"/>
              </w:rPr>
              <w:t>using</w:t>
            </w:r>
            <w:r>
              <w:rPr>
                <w:spacing w:val="-14"/>
                <w:sz w:val="24"/>
              </w:rPr>
              <w:t> </w:t>
            </w:r>
            <w:r>
              <w:rPr>
                <w:sz w:val="24"/>
              </w:rPr>
              <w:t>patient-reported</w:t>
            </w:r>
            <w:r>
              <w:rPr>
                <w:spacing w:val="-14"/>
                <w:sz w:val="24"/>
              </w:rPr>
              <w:t> </w:t>
            </w:r>
            <w:r>
              <w:rPr>
                <w:sz w:val="24"/>
              </w:rPr>
              <w:t>outcome </w:t>
            </w:r>
            <w:r>
              <w:rPr>
                <w:spacing w:val="-2"/>
                <w:sz w:val="24"/>
              </w:rPr>
              <w:t>measures</w:t>
            </w:r>
            <w:r>
              <w:rPr>
                <w:spacing w:val="-15"/>
                <w:sz w:val="24"/>
              </w:rPr>
              <w:t> </w:t>
            </w:r>
            <w:r>
              <w:rPr>
                <w:spacing w:val="-2"/>
                <w:sz w:val="24"/>
              </w:rPr>
              <w:t>(PROMs),</w:t>
            </w:r>
            <w:r>
              <w:rPr>
                <w:spacing w:val="-15"/>
                <w:sz w:val="24"/>
              </w:rPr>
              <w:t> </w:t>
            </w:r>
            <w:r>
              <w:rPr>
                <w:spacing w:val="-2"/>
                <w:sz w:val="24"/>
              </w:rPr>
              <w:t>alongside</w:t>
            </w:r>
            <w:r>
              <w:rPr>
                <w:spacing w:val="-14"/>
                <w:sz w:val="24"/>
              </w:rPr>
              <w:t> </w:t>
            </w:r>
            <w:r>
              <w:rPr>
                <w:spacing w:val="-2"/>
                <w:sz w:val="24"/>
              </w:rPr>
              <w:t>quality,</w:t>
            </w:r>
            <w:r>
              <w:rPr>
                <w:spacing w:val="-15"/>
                <w:sz w:val="24"/>
              </w:rPr>
              <w:t> </w:t>
            </w:r>
            <w:r>
              <w:rPr>
                <w:spacing w:val="-2"/>
                <w:sz w:val="24"/>
              </w:rPr>
              <w:t>access</w:t>
            </w:r>
            <w:r>
              <w:rPr>
                <w:spacing w:val="-15"/>
                <w:sz w:val="24"/>
              </w:rPr>
              <w:t> </w:t>
            </w:r>
            <w:r>
              <w:rPr>
                <w:spacing w:val="-2"/>
                <w:sz w:val="24"/>
              </w:rPr>
              <w:t>and</w:t>
            </w:r>
            <w:r>
              <w:rPr>
                <w:spacing w:val="-15"/>
                <w:sz w:val="24"/>
              </w:rPr>
              <w:t> </w:t>
            </w:r>
            <w:r>
              <w:rPr>
                <w:spacing w:val="-2"/>
                <w:sz w:val="24"/>
              </w:rPr>
              <w:t>productivity</w:t>
            </w:r>
            <w:r>
              <w:rPr>
                <w:spacing w:val="-14"/>
                <w:sz w:val="24"/>
              </w:rPr>
              <w:t> </w:t>
            </w:r>
            <w:r>
              <w:rPr>
                <w:spacing w:val="-2"/>
                <w:sz w:val="24"/>
              </w:rPr>
              <w:t>measures.</w:t>
            </w:r>
            <w:r>
              <w:rPr>
                <w:spacing w:val="-15"/>
                <w:sz w:val="24"/>
              </w:rPr>
              <w:t> </w:t>
            </w:r>
            <w:r>
              <w:rPr>
                <w:spacing w:val="-2"/>
                <w:sz w:val="24"/>
              </w:rPr>
              <w:t>This</w:t>
            </w:r>
            <w:r>
              <w:rPr>
                <w:spacing w:val="-15"/>
                <w:sz w:val="24"/>
              </w:rPr>
              <w:t> </w:t>
            </w:r>
            <w:r>
              <w:rPr>
                <w:spacing w:val="-2"/>
                <w:sz w:val="24"/>
              </w:rPr>
              <w:t>requires</w:t>
            </w:r>
          </w:p>
        </w:tc>
      </w:tr>
    </w:tbl>
    <w:p>
      <w:pPr>
        <w:pStyle w:val="BodyText"/>
        <w:spacing w:before="51"/>
        <w:rPr>
          <w:sz w:val="16"/>
        </w:rPr>
      </w:pPr>
    </w:p>
    <w:p>
      <w:pPr>
        <w:spacing w:before="0"/>
        <w:ind w:left="4" w:right="0" w:firstLine="0"/>
        <w:jc w:val="center"/>
        <w:rPr>
          <w:sz w:val="16"/>
        </w:rPr>
      </w:pPr>
      <w:r>
        <w:rPr>
          <w:spacing w:val="-2"/>
          <w:sz w:val="16"/>
        </w:rPr>
        <w:t>Page</w:t>
      </w:r>
      <w:r>
        <w:rPr>
          <w:spacing w:val="-7"/>
          <w:sz w:val="16"/>
        </w:rPr>
        <w:t> </w:t>
      </w:r>
      <w:r>
        <w:rPr>
          <w:spacing w:val="-2"/>
          <w:sz w:val="16"/>
        </w:rPr>
        <w:t>3</w:t>
      </w:r>
      <w:r>
        <w:rPr>
          <w:spacing w:val="-9"/>
          <w:sz w:val="16"/>
        </w:rPr>
        <w:t> </w:t>
      </w:r>
      <w:r>
        <w:rPr>
          <w:spacing w:val="-2"/>
          <w:sz w:val="16"/>
        </w:rPr>
        <w:t>of</w:t>
      </w:r>
      <w:r>
        <w:rPr>
          <w:spacing w:val="-9"/>
          <w:sz w:val="16"/>
        </w:rPr>
        <w:t> </w:t>
      </w:r>
      <w:r>
        <w:rPr>
          <w:spacing w:val="-10"/>
          <w:sz w:val="16"/>
        </w:rPr>
        <w:t>8</w:t>
      </w:r>
    </w:p>
    <w:p>
      <w:pPr>
        <w:spacing w:after="0"/>
        <w:jc w:val="center"/>
        <w:rPr>
          <w:sz w:val="16"/>
        </w:rPr>
        <w:sectPr>
          <w:pgSz w:w="11910" w:h="16840"/>
          <w:pgMar w:header="0" w:footer="149" w:top="1060" w:bottom="340" w:left="850" w:right="850"/>
        </w:sect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6241" w:hRule="atLeast"/>
        </w:trPr>
        <w:tc>
          <w:tcPr>
            <w:tcW w:w="10069" w:type="dxa"/>
            <w:tcBorders>
              <w:top w:val="nil"/>
            </w:tcBorders>
          </w:tcPr>
          <w:p>
            <w:pPr>
              <w:pStyle w:val="TableParagraph"/>
              <w:ind w:left="830"/>
              <w:rPr>
                <w:sz w:val="24"/>
              </w:rPr>
            </w:pPr>
            <w:r>
              <w:rPr>
                <w:spacing w:val="-2"/>
                <w:sz w:val="24"/>
              </w:rPr>
              <w:t>adjusting</w:t>
            </w:r>
            <w:r>
              <w:rPr>
                <w:spacing w:val="-13"/>
                <w:sz w:val="24"/>
              </w:rPr>
              <w:t> </w:t>
            </w:r>
            <w:r>
              <w:rPr>
                <w:spacing w:val="-2"/>
                <w:sz w:val="24"/>
              </w:rPr>
              <w:t>for</w:t>
            </w:r>
            <w:r>
              <w:rPr>
                <w:spacing w:val="-13"/>
                <w:sz w:val="24"/>
              </w:rPr>
              <w:t> </w:t>
            </w:r>
            <w:r>
              <w:rPr>
                <w:spacing w:val="-2"/>
                <w:sz w:val="24"/>
              </w:rPr>
              <w:t>case</w:t>
            </w:r>
            <w:r>
              <w:rPr>
                <w:spacing w:val="-8"/>
                <w:sz w:val="24"/>
              </w:rPr>
              <w:t> </w:t>
            </w:r>
            <w:r>
              <w:rPr>
                <w:spacing w:val="-2"/>
                <w:sz w:val="24"/>
              </w:rPr>
              <w:t>mix,</w:t>
            </w:r>
            <w:r>
              <w:rPr>
                <w:spacing w:val="-15"/>
                <w:sz w:val="24"/>
              </w:rPr>
              <w:t> </w:t>
            </w:r>
            <w:r>
              <w:rPr>
                <w:spacing w:val="-2"/>
                <w:sz w:val="24"/>
              </w:rPr>
              <w:t>data</w:t>
            </w:r>
            <w:r>
              <w:rPr>
                <w:spacing w:val="-12"/>
                <w:sz w:val="24"/>
              </w:rPr>
              <w:t> </w:t>
            </w:r>
            <w:r>
              <w:rPr>
                <w:spacing w:val="-2"/>
                <w:sz w:val="24"/>
              </w:rPr>
              <w:t>completeness,</w:t>
            </w:r>
            <w:r>
              <w:rPr>
                <w:spacing w:val="-15"/>
                <w:sz w:val="24"/>
              </w:rPr>
              <w:t> </w:t>
            </w:r>
            <w:r>
              <w:rPr>
                <w:spacing w:val="-2"/>
                <w:sz w:val="24"/>
              </w:rPr>
              <w:t>measurement</w:t>
            </w:r>
            <w:r>
              <w:rPr>
                <w:spacing w:val="-15"/>
                <w:sz w:val="24"/>
              </w:rPr>
              <w:t> </w:t>
            </w:r>
            <w:r>
              <w:rPr>
                <w:spacing w:val="-2"/>
                <w:sz w:val="24"/>
              </w:rPr>
              <w:t>timing</w:t>
            </w:r>
            <w:r>
              <w:rPr>
                <w:spacing w:val="-12"/>
                <w:sz w:val="24"/>
              </w:rPr>
              <w:t> </w:t>
            </w:r>
            <w:r>
              <w:rPr>
                <w:spacing w:val="-2"/>
                <w:sz w:val="24"/>
              </w:rPr>
              <w:t>and</w:t>
            </w:r>
            <w:r>
              <w:rPr>
                <w:spacing w:val="-8"/>
                <w:sz w:val="24"/>
              </w:rPr>
              <w:t> </w:t>
            </w:r>
            <w:r>
              <w:rPr>
                <w:spacing w:val="-2"/>
                <w:sz w:val="24"/>
              </w:rPr>
              <w:t>the</w:t>
            </w:r>
            <w:r>
              <w:rPr>
                <w:spacing w:val="-13"/>
                <w:sz w:val="24"/>
              </w:rPr>
              <w:t> </w:t>
            </w:r>
            <w:r>
              <w:rPr>
                <w:spacing w:val="-2"/>
                <w:sz w:val="24"/>
              </w:rPr>
              <w:t>risk</w:t>
            </w:r>
            <w:r>
              <w:rPr>
                <w:spacing w:val="-13"/>
                <w:sz w:val="24"/>
              </w:rPr>
              <w:t> </w:t>
            </w:r>
            <w:r>
              <w:rPr>
                <w:spacing w:val="-2"/>
                <w:sz w:val="24"/>
              </w:rPr>
              <w:t>of </w:t>
            </w:r>
            <w:r>
              <w:rPr>
                <w:sz w:val="24"/>
              </w:rPr>
              <w:t>disadvantaging complex patients.</w:t>
            </w:r>
          </w:p>
          <w:p>
            <w:pPr>
              <w:pStyle w:val="TableParagraph"/>
              <w:numPr>
                <w:ilvl w:val="0"/>
                <w:numId w:val="7"/>
              </w:numPr>
              <w:tabs>
                <w:tab w:pos="828" w:val="left" w:leader="none"/>
                <w:tab w:pos="830" w:val="left" w:leader="none"/>
              </w:tabs>
              <w:spacing w:line="240" w:lineRule="auto" w:before="0" w:after="0"/>
              <w:ind w:left="830" w:right="462" w:hanging="361"/>
              <w:jc w:val="left"/>
              <w:rPr>
                <w:sz w:val="24"/>
              </w:rPr>
            </w:pPr>
            <w:r>
              <w:rPr>
                <w:spacing w:val="-2"/>
                <w:sz w:val="24"/>
              </w:rPr>
              <w:t>Manage</w:t>
            </w:r>
            <w:r>
              <w:rPr>
                <w:spacing w:val="-15"/>
                <w:sz w:val="24"/>
              </w:rPr>
              <w:t> </w:t>
            </w:r>
            <w:r>
              <w:rPr>
                <w:spacing w:val="-2"/>
                <w:sz w:val="24"/>
              </w:rPr>
              <w:t>risks</w:t>
            </w:r>
            <w:r>
              <w:rPr>
                <w:spacing w:val="-13"/>
                <w:sz w:val="24"/>
              </w:rPr>
              <w:t> </w:t>
            </w:r>
            <w:r>
              <w:rPr>
                <w:spacing w:val="-2"/>
                <w:sz w:val="24"/>
              </w:rPr>
              <w:t>transparently</w:t>
            </w:r>
            <w:r>
              <w:rPr>
                <w:spacing w:val="-15"/>
                <w:sz w:val="24"/>
              </w:rPr>
              <w:t> </w:t>
            </w:r>
            <w:r>
              <w:rPr>
                <w:spacing w:val="-2"/>
                <w:sz w:val="24"/>
              </w:rPr>
              <w:t>with</w:t>
            </w:r>
            <w:r>
              <w:rPr>
                <w:spacing w:val="-8"/>
                <w:sz w:val="24"/>
              </w:rPr>
              <w:t> </w:t>
            </w:r>
            <w:r>
              <w:rPr>
                <w:spacing w:val="-2"/>
                <w:sz w:val="24"/>
              </w:rPr>
              <w:t>financial</w:t>
            </w:r>
            <w:r>
              <w:rPr>
                <w:spacing w:val="-13"/>
                <w:sz w:val="24"/>
              </w:rPr>
              <w:t> </w:t>
            </w:r>
            <w:r>
              <w:rPr>
                <w:spacing w:val="-2"/>
                <w:sz w:val="24"/>
              </w:rPr>
              <w:t>caps</w:t>
            </w:r>
            <w:r>
              <w:rPr>
                <w:spacing w:val="-15"/>
                <w:sz w:val="24"/>
              </w:rPr>
              <w:t> </w:t>
            </w:r>
            <w:r>
              <w:rPr>
                <w:spacing w:val="-2"/>
                <w:sz w:val="24"/>
              </w:rPr>
              <w:t>aligned</w:t>
            </w:r>
            <w:r>
              <w:rPr>
                <w:spacing w:val="-15"/>
                <w:sz w:val="24"/>
              </w:rPr>
              <w:t> </w:t>
            </w:r>
            <w:r>
              <w:rPr>
                <w:spacing w:val="-2"/>
                <w:sz w:val="24"/>
              </w:rPr>
              <w:t>with</w:t>
            </w:r>
            <w:r>
              <w:rPr>
                <w:spacing w:val="-8"/>
                <w:sz w:val="24"/>
              </w:rPr>
              <w:t> </w:t>
            </w:r>
            <w:r>
              <w:rPr>
                <w:spacing w:val="-2"/>
                <w:sz w:val="24"/>
              </w:rPr>
              <w:t>the</w:t>
            </w:r>
            <w:r>
              <w:rPr>
                <w:spacing w:val="-13"/>
                <w:sz w:val="24"/>
              </w:rPr>
              <w:t> </w:t>
            </w:r>
            <w:r>
              <w:rPr>
                <w:spacing w:val="-2"/>
                <w:sz w:val="24"/>
              </w:rPr>
              <w:t>resources</w:t>
            </w:r>
            <w:r>
              <w:rPr>
                <w:spacing w:val="-14"/>
                <w:sz w:val="24"/>
              </w:rPr>
              <w:t> </w:t>
            </w:r>
            <w:r>
              <w:rPr>
                <w:spacing w:val="-2"/>
                <w:sz w:val="24"/>
              </w:rPr>
              <w:t>available</w:t>
            </w:r>
            <w:r>
              <w:rPr>
                <w:spacing w:val="-15"/>
                <w:sz w:val="24"/>
              </w:rPr>
              <w:t> </w:t>
            </w:r>
            <w:r>
              <w:rPr>
                <w:spacing w:val="-2"/>
                <w:sz w:val="24"/>
              </w:rPr>
              <w:t>in </w:t>
            </w:r>
            <w:r>
              <w:rPr>
                <w:sz w:val="24"/>
              </w:rPr>
              <w:t>the shadow pool.</w:t>
            </w:r>
          </w:p>
          <w:p>
            <w:pPr>
              <w:pStyle w:val="TableParagraph"/>
              <w:numPr>
                <w:ilvl w:val="0"/>
                <w:numId w:val="7"/>
              </w:numPr>
              <w:tabs>
                <w:tab w:pos="828" w:val="left" w:leader="none"/>
                <w:tab w:pos="830" w:val="left" w:leader="none"/>
              </w:tabs>
              <w:spacing w:line="240" w:lineRule="auto" w:before="1" w:after="0"/>
              <w:ind w:left="830" w:right="184" w:hanging="361"/>
              <w:jc w:val="left"/>
              <w:rPr>
                <w:b/>
                <w:color w:val="394871"/>
                <w:sz w:val="24"/>
              </w:rPr>
            </w:pPr>
            <w:r>
              <w:rPr>
                <w:spacing w:val="-2"/>
                <w:sz w:val="24"/>
              </w:rPr>
              <w:t>Shadow</w:t>
            </w:r>
            <w:r>
              <w:rPr>
                <w:spacing w:val="-13"/>
                <w:sz w:val="24"/>
              </w:rPr>
              <w:t> </w:t>
            </w:r>
            <w:r>
              <w:rPr>
                <w:spacing w:val="-2"/>
                <w:sz w:val="24"/>
              </w:rPr>
              <w:t>testing</w:t>
            </w:r>
            <w:r>
              <w:rPr>
                <w:spacing w:val="-12"/>
                <w:sz w:val="24"/>
              </w:rPr>
              <w:t> </w:t>
            </w:r>
            <w:r>
              <w:rPr>
                <w:spacing w:val="-2"/>
                <w:sz w:val="24"/>
              </w:rPr>
              <w:t>is</w:t>
            </w:r>
            <w:r>
              <w:rPr>
                <w:spacing w:val="-13"/>
                <w:sz w:val="24"/>
              </w:rPr>
              <w:t> </w:t>
            </w:r>
            <w:r>
              <w:rPr>
                <w:spacing w:val="-2"/>
                <w:sz w:val="24"/>
              </w:rPr>
              <w:t>proposed</w:t>
            </w:r>
            <w:r>
              <w:rPr>
                <w:spacing w:val="-7"/>
                <w:sz w:val="24"/>
              </w:rPr>
              <w:t> </w:t>
            </w:r>
            <w:r>
              <w:rPr>
                <w:spacing w:val="-2"/>
                <w:sz w:val="24"/>
              </w:rPr>
              <w:t>for</w:t>
            </w:r>
            <w:r>
              <w:rPr>
                <w:spacing w:val="-8"/>
                <w:sz w:val="24"/>
              </w:rPr>
              <w:t> </w:t>
            </w:r>
            <w:r>
              <w:rPr>
                <w:spacing w:val="-2"/>
                <w:sz w:val="24"/>
              </w:rPr>
              <w:t>Quarter</w:t>
            </w:r>
            <w:r>
              <w:rPr>
                <w:spacing w:val="-13"/>
                <w:sz w:val="24"/>
              </w:rPr>
              <w:t> </w:t>
            </w:r>
            <w:r>
              <w:rPr>
                <w:spacing w:val="-2"/>
                <w:sz w:val="24"/>
              </w:rPr>
              <w:t>4</w:t>
            </w:r>
            <w:r>
              <w:rPr>
                <w:spacing w:val="-12"/>
                <w:sz w:val="24"/>
              </w:rPr>
              <w:t> </w:t>
            </w:r>
            <w:r>
              <w:rPr>
                <w:spacing w:val="-2"/>
                <w:sz w:val="24"/>
              </w:rPr>
              <w:t>26/27,</w:t>
            </w:r>
            <w:r>
              <w:rPr>
                <w:spacing w:val="-9"/>
                <w:sz w:val="24"/>
              </w:rPr>
              <w:t> </w:t>
            </w:r>
            <w:r>
              <w:rPr>
                <w:spacing w:val="-2"/>
                <w:sz w:val="24"/>
              </w:rPr>
              <w:t>with</w:t>
            </w:r>
            <w:r>
              <w:rPr>
                <w:spacing w:val="-12"/>
                <w:sz w:val="24"/>
              </w:rPr>
              <w:t> </w:t>
            </w:r>
            <w:r>
              <w:rPr>
                <w:spacing w:val="-2"/>
                <w:sz w:val="24"/>
              </w:rPr>
              <w:t>regular</w:t>
            </w:r>
            <w:r>
              <w:rPr>
                <w:spacing w:val="-13"/>
                <w:sz w:val="24"/>
              </w:rPr>
              <w:t> </w:t>
            </w:r>
            <w:r>
              <w:rPr>
                <w:spacing w:val="-2"/>
                <w:sz w:val="24"/>
              </w:rPr>
              <w:t>joint</w:t>
            </w:r>
            <w:r>
              <w:rPr>
                <w:spacing w:val="-15"/>
                <w:sz w:val="24"/>
              </w:rPr>
              <w:t> </w:t>
            </w:r>
            <w:r>
              <w:rPr>
                <w:spacing w:val="-2"/>
                <w:sz w:val="24"/>
              </w:rPr>
              <w:t>review</w:t>
            </w:r>
            <w:r>
              <w:rPr>
                <w:spacing w:val="-15"/>
                <w:sz w:val="24"/>
              </w:rPr>
              <w:t> </w:t>
            </w:r>
            <w:r>
              <w:rPr>
                <w:spacing w:val="-2"/>
                <w:sz w:val="24"/>
              </w:rPr>
              <w:t>of</w:t>
            </w:r>
            <w:r>
              <w:rPr>
                <w:spacing w:val="-14"/>
                <w:sz w:val="24"/>
              </w:rPr>
              <w:t> </w:t>
            </w:r>
            <w:r>
              <w:rPr>
                <w:spacing w:val="-2"/>
                <w:sz w:val="24"/>
              </w:rPr>
              <w:t>affordability, </w:t>
            </w:r>
            <w:r>
              <w:rPr>
                <w:sz w:val="24"/>
              </w:rPr>
              <w:t>payment</w:t>
            </w:r>
            <w:r>
              <w:rPr>
                <w:spacing w:val="-8"/>
                <w:sz w:val="24"/>
              </w:rPr>
              <w:t> </w:t>
            </w:r>
            <w:r>
              <w:rPr>
                <w:sz w:val="24"/>
              </w:rPr>
              <w:t>effects,</w:t>
            </w:r>
            <w:r>
              <w:rPr>
                <w:spacing w:val="-13"/>
                <w:sz w:val="24"/>
              </w:rPr>
              <w:t> </w:t>
            </w:r>
            <w:r>
              <w:rPr>
                <w:sz w:val="24"/>
              </w:rPr>
              <w:t>outcomes,</w:t>
            </w:r>
            <w:r>
              <w:rPr>
                <w:spacing w:val="-8"/>
                <w:sz w:val="24"/>
              </w:rPr>
              <w:t> </w:t>
            </w:r>
            <w:r>
              <w:rPr>
                <w:sz w:val="24"/>
              </w:rPr>
              <w:t>access</w:t>
            </w:r>
            <w:r>
              <w:rPr>
                <w:spacing w:val="-6"/>
                <w:sz w:val="24"/>
              </w:rPr>
              <w:t> </w:t>
            </w:r>
            <w:r>
              <w:rPr>
                <w:sz w:val="24"/>
              </w:rPr>
              <w:t>and</w:t>
            </w:r>
            <w:r>
              <w:rPr>
                <w:spacing w:val="-5"/>
                <w:sz w:val="24"/>
              </w:rPr>
              <w:t> </w:t>
            </w:r>
            <w:r>
              <w:rPr>
                <w:sz w:val="24"/>
              </w:rPr>
              <w:t>delivery</w:t>
            </w:r>
            <w:r>
              <w:rPr>
                <w:spacing w:val="-1"/>
                <w:sz w:val="24"/>
              </w:rPr>
              <w:t> </w:t>
            </w:r>
            <w:r>
              <w:rPr>
                <w:sz w:val="24"/>
              </w:rPr>
              <w:t>behaviour.</w:t>
            </w:r>
          </w:p>
          <w:p>
            <w:pPr>
              <w:pStyle w:val="TableParagraph"/>
              <w:spacing w:before="237"/>
              <w:rPr>
                <w:sz w:val="24"/>
              </w:rPr>
            </w:pPr>
          </w:p>
          <w:p>
            <w:pPr>
              <w:pStyle w:val="TableParagraph"/>
              <w:ind w:left="110"/>
              <w:rPr>
                <w:b/>
                <w:sz w:val="24"/>
              </w:rPr>
            </w:pPr>
            <w:r>
              <w:rPr>
                <w:b/>
                <w:spacing w:val="-4"/>
                <w:sz w:val="24"/>
              </w:rPr>
              <w:t>Governance</w:t>
            </w:r>
            <w:r>
              <w:rPr>
                <w:b/>
                <w:spacing w:val="2"/>
                <w:sz w:val="24"/>
              </w:rPr>
              <w:t> </w:t>
            </w:r>
            <w:r>
              <w:rPr>
                <w:b/>
                <w:spacing w:val="-4"/>
                <w:sz w:val="24"/>
              </w:rPr>
              <w:t>and</w:t>
            </w:r>
            <w:r>
              <w:rPr>
                <w:b/>
                <w:spacing w:val="-2"/>
                <w:sz w:val="24"/>
              </w:rPr>
              <w:t> </w:t>
            </w:r>
            <w:r>
              <w:rPr>
                <w:b/>
                <w:spacing w:val="-4"/>
                <w:sz w:val="24"/>
              </w:rPr>
              <w:t>delivery</w:t>
            </w:r>
            <w:r>
              <w:rPr>
                <w:b/>
                <w:spacing w:val="-3"/>
                <w:sz w:val="24"/>
              </w:rPr>
              <w:t> </w:t>
            </w:r>
            <w:r>
              <w:rPr>
                <w:b/>
                <w:spacing w:val="-4"/>
                <w:sz w:val="24"/>
              </w:rPr>
              <w:t>risks</w:t>
            </w:r>
          </w:p>
          <w:p>
            <w:pPr>
              <w:pStyle w:val="TableParagraph"/>
              <w:spacing w:line="242" w:lineRule="auto" w:before="119"/>
              <w:ind w:left="110"/>
              <w:rPr>
                <w:sz w:val="24"/>
              </w:rPr>
            </w:pPr>
            <w:r>
              <w:rPr>
                <w:sz w:val="24"/>
              </w:rPr>
              <w:t>The</w:t>
            </w:r>
            <w:r>
              <w:rPr>
                <w:spacing w:val="-12"/>
                <w:sz w:val="24"/>
              </w:rPr>
              <w:t> </w:t>
            </w:r>
            <w:r>
              <w:rPr>
                <w:sz w:val="24"/>
              </w:rPr>
              <w:t>combined</w:t>
            </w:r>
            <w:r>
              <w:rPr>
                <w:spacing w:val="-12"/>
                <w:sz w:val="24"/>
              </w:rPr>
              <w:t> </w:t>
            </w:r>
            <w:r>
              <w:rPr>
                <w:sz w:val="24"/>
              </w:rPr>
              <w:t>subgroup</w:t>
            </w:r>
            <w:r>
              <w:rPr>
                <w:spacing w:val="-10"/>
                <w:sz w:val="24"/>
              </w:rPr>
              <w:t> </w:t>
            </w:r>
            <w:r>
              <w:rPr>
                <w:sz w:val="24"/>
              </w:rPr>
              <w:t>will</w:t>
            </w:r>
            <w:r>
              <w:rPr>
                <w:spacing w:val="-11"/>
                <w:sz w:val="24"/>
              </w:rPr>
              <w:t> </w:t>
            </w:r>
            <w:r>
              <w:rPr>
                <w:sz w:val="24"/>
              </w:rPr>
              <w:t>be</w:t>
            </w:r>
            <w:r>
              <w:rPr>
                <w:spacing w:val="-12"/>
                <w:sz w:val="24"/>
              </w:rPr>
              <w:t> </w:t>
            </w:r>
            <w:r>
              <w:rPr>
                <w:sz w:val="24"/>
              </w:rPr>
              <w:t>led</w:t>
            </w:r>
            <w:r>
              <w:rPr>
                <w:spacing w:val="-12"/>
                <w:sz w:val="24"/>
              </w:rPr>
              <w:t> </w:t>
            </w:r>
            <w:r>
              <w:rPr>
                <w:sz w:val="24"/>
              </w:rPr>
              <w:t>jointly</w:t>
            </w:r>
            <w:r>
              <w:rPr>
                <w:spacing w:val="-13"/>
                <w:sz w:val="24"/>
              </w:rPr>
              <w:t> </w:t>
            </w:r>
            <w:r>
              <w:rPr>
                <w:sz w:val="24"/>
              </w:rPr>
              <w:t>by</w:t>
            </w:r>
            <w:r>
              <w:rPr>
                <w:spacing w:val="-8"/>
                <w:sz w:val="24"/>
              </w:rPr>
              <w:t> </w:t>
            </w:r>
            <w:r>
              <w:rPr>
                <w:sz w:val="24"/>
              </w:rPr>
              <w:t>the</w:t>
            </w:r>
            <w:r>
              <w:rPr>
                <w:spacing w:val="-7"/>
                <w:sz w:val="24"/>
              </w:rPr>
              <w:t> </w:t>
            </w:r>
            <w:r>
              <w:rPr>
                <w:sz w:val="24"/>
              </w:rPr>
              <w:t>Directors</w:t>
            </w:r>
            <w:r>
              <w:rPr>
                <w:spacing w:val="-17"/>
                <w:sz w:val="24"/>
              </w:rPr>
              <w:t> </w:t>
            </w:r>
            <w:r>
              <w:rPr>
                <w:sz w:val="24"/>
              </w:rPr>
              <w:t>of</w:t>
            </w:r>
            <w:r>
              <w:rPr>
                <w:spacing w:val="-10"/>
                <w:sz w:val="24"/>
              </w:rPr>
              <w:t> </w:t>
            </w:r>
            <w:r>
              <w:rPr>
                <w:sz w:val="24"/>
              </w:rPr>
              <w:t>Finance,</w:t>
            </w:r>
            <w:r>
              <w:rPr>
                <w:spacing w:val="-15"/>
                <w:sz w:val="24"/>
              </w:rPr>
              <w:t> </w:t>
            </w:r>
            <w:r>
              <w:rPr>
                <w:sz w:val="24"/>
              </w:rPr>
              <w:t>with</w:t>
            </w:r>
            <w:r>
              <w:rPr>
                <w:spacing w:val="-12"/>
                <w:sz w:val="24"/>
              </w:rPr>
              <w:t> </w:t>
            </w:r>
            <w:r>
              <w:rPr>
                <w:sz w:val="24"/>
              </w:rPr>
              <w:t>defined</w:t>
            </w:r>
            <w:r>
              <w:rPr>
                <w:spacing w:val="-12"/>
                <w:sz w:val="24"/>
              </w:rPr>
              <w:t> </w:t>
            </w:r>
            <w:r>
              <w:rPr>
                <w:sz w:val="24"/>
              </w:rPr>
              <w:t>digital </w:t>
            </w:r>
            <w:r>
              <w:rPr>
                <w:spacing w:val="-2"/>
                <w:sz w:val="24"/>
              </w:rPr>
              <w:t>leadership</w:t>
            </w:r>
            <w:r>
              <w:rPr>
                <w:spacing w:val="-15"/>
                <w:sz w:val="24"/>
              </w:rPr>
              <w:t> </w:t>
            </w:r>
            <w:r>
              <w:rPr>
                <w:spacing w:val="-2"/>
                <w:sz w:val="24"/>
              </w:rPr>
              <w:t>and</w:t>
            </w:r>
            <w:r>
              <w:rPr>
                <w:spacing w:val="-15"/>
                <w:sz w:val="24"/>
              </w:rPr>
              <w:t> </w:t>
            </w:r>
            <w:r>
              <w:rPr>
                <w:spacing w:val="-2"/>
                <w:sz w:val="24"/>
              </w:rPr>
              <w:t>clinical,</w:t>
            </w:r>
            <w:r>
              <w:rPr>
                <w:spacing w:val="-14"/>
                <w:sz w:val="24"/>
              </w:rPr>
              <w:t> </w:t>
            </w:r>
            <w:r>
              <w:rPr>
                <w:spacing w:val="-2"/>
                <w:sz w:val="24"/>
              </w:rPr>
              <w:t>operational,</w:t>
            </w:r>
            <w:r>
              <w:rPr>
                <w:spacing w:val="-15"/>
                <w:sz w:val="24"/>
              </w:rPr>
              <w:t> </w:t>
            </w:r>
            <w:r>
              <w:rPr>
                <w:spacing w:val="-2"/>
                <w:sz w:val="24"/>
              </w:rPr>
              <w:t>analytical</w:t>
            </w:r>
            <w:r>
              <w:rPr>
                <w:spacing w:val="-15"/>
                <w:sz w:val="24"/>
              </w:rPr>
              <w:t> </w:t>
            </w:r>
            <w:r>
              <w:rPr>
                <w:spacing w:val="-2"/>
                <w:sz w:val="24"/>
              </w:rPr>
              <w:t>and</w:t>
            </w:r>
            <w:r>
              <w:rPr>
                <w:spacing w:val="-15"/>
                <w:sz w:val="24"/>
              </w:rPr>
              <w:t> </w:t>
            </w:r>
            <w:r>
              <w:rPr>
                <w:spacing w:val="-2"/>
                <w:sz w:val="24"/>
              </w:rPr>
              <w:t>contracting</w:t>
            </w:r>
            <w:r>
              <w:rPr>
                <w:spacing w:val="-14"/>
                <w:sz w:val="24"/>
              </w:rPr>
              <w:t> </w:t>
            </w:r>
            <w:r>
              <w:rPr>
                <w:spacing w:val="-2"/>
                <w:sz w:val="24"/>
              </w:rPr>
              <w:t>participation.</w:t>
            </w:r>
            <w:r>
              <w:rPr>
                <w:spacing w:val="-15"/>
                <w:sz w:val="24"/>
              </w:rPr>
              <w:t> </w:t>
            </w:r>
            <w:r>
              <w:rPr>
                <w:spacing w:val="-2"/>
                <w:sz w:val="24"/>
              </w:rPr>
              <w:t>Commissioning</w:t>
            </w:r>
            <w:r>
              <w:rPr>
                <w:spacing w:val="-15"/>
                <w:sz w:val="24"/>
              </w:rPr>
              <w:t> </w:t>
            </w:r>
            <w:r>
              <w:rPr>
                <w:spacing w:val="-2"/>
                <w:sz w:val="24"/>
              </w:rPr>
              <w:t>will </w:t>
            </w:r>
            <w:r>
              <w:rPr>
                <w:sz w:val="24"/>
              </w:rPr>
              <w:t>be</w:t>
            </w:r>
            <w:r>
              <w:rPr>
                <w:spacing w:val="-14"/>
                <w:sz w:val="24"/>
              </w:rPr>
              <w:t> </w:t>
            </w:r>
            <w:r>
              <w:rPr>
                <w:sz w:val="24"/>
              </w:rPr>
              <w:t>kept</w:t>
            </w:r>
            <w:r>
              <w:rPr>
                <w:spacing w:val="-12"/>
                <w:sz w:val="24"/>
              </w:rPr>
              <w:t> </w:t>
            </w:r>
            <w:r>
              <w:rPr>
                <w:sz w:val="24"/>
              </w:rPr>
              <w:t>separately</w:t>
            </w:r>
            <w:r>
              <w:rPr>
                <w:spacing w:val="-9"/>
                <w:sz w:val="24"/>
              </w:rPr>
              <w:t> </w:t>
            </w:r>
            <w:r>
              <w:rPr>
                <w:sz w:val="24"/>
              </w:rPr>
              <w:t>as</w:t>
            </w:r>
            <w:r>
              <w:rPr>
                <w:spacing w:val="-10"/>
                <w:sz w:val="24"/>
              </w:rPr>
              <w:t> </w:t>
            </w:r>
            <w:r>
              <w:rPr>
                <w:sz w:val="24"/>
              </w:rPr>
              <w:t>a</w:t>
            </w:r>
            <w:r>
              <w:rPr>
                <w:spacing w:val="-14"/>
                <w:sz w:val="24"/>
              </w:rPr>
              <w:t> </w:t>
            </w:r>
            <w:r>
              <w:rPr>
                <w:sz w:val="24"/>
              </w:rPr>
              <w:t>defined</w:t>
            </w:r>
            <w:r>
              <w:rPr>
                <w:spacing w:val="-14"/>
                <w:sz w:val="24"/>
              </w:rPr>
              <w:t> </w:t>
            </w:r>
            <w:r>
              <w:rPr>
                <w:sz w:val="24"/>
              </w:rPr>
              <w:t>planning</w:t>
            </w:r>
            <w:r>
              <w:rPr>
                <w:spacing w:val="-9"/>
                <w:sz w:val="24"/>
              </w:rPr>
              <w:t> </w:t>
            </w:r>
            <w:r>
              <w:rPr>
                <w:sz w:val="24"/>
              </w:rPr>
              <w:t>responsibility</w:t>
            </w:r>
            <w:r>
              <w:rPr>
                <w:spacing w:val="-10"/>
                <w:sz w:val="24"/>
              </w:rPr>
              <w:t> </w:t>
            </w:r>
            <w:r>
              <w:rPr>
                <w:sz w:val="24"/>
              </w:rPr>
              <w:t>based</w:t>
            </w:r>
            <w:r>
              <w:rPr>
                <w:spacing w:val="-9"/>
                <w:sz w:val="24"/>
              </w:rPr>
              <w:t> </w:t>
            </w:r>
            <w:r>
              <w:rPr>
                <w:sz w:val="24"/>
              </w:rPr>
              <w:t>on</w:t>
            </w:r>
            <w:r>
              <w:rPr>
                <w:spacing w:val="-9"/>
                <w:sz w:val="24"/>
              </w:rPr>
              <w:t> </w:t>
            </w:r>
            <w:r>
              <w:rPr>
                <w:sz w:val="24"/>
              </w:rPr>
              <w:t>service</w:t>
            </w:r>
            <w:r>
              <w:rPr>
                <w:spacing w:val="-14"/>
                <w:sz w:val="24"/>
              </w:rPr>
              <w:t> </w:t>
            </w:r>
            <w:r>
              <w:rPr>
                <w:sz w:val="24"/>
              </w:rPr>
              <w:t>need.</w:t>
            </w:r>
          </w:p>
          <w:p>
            <w:pPr>
              <w:pStyle w:val="TableParagraph"/>
              <w:spacing w:before="115"/>
              <w:ind w:left="110"/>
              <w:rPr>
                <w:sz w:val="24"/>
              </w:rPr>
            </w:pPr>
            <w:r>
              <w:rPr>
                <w:sz w:val="24"/>
              </w:rPr>
              <w:t>The</w:t>
            </w:r>
            <w:r>
              <w:rPr>
                <w:spacing w:val="-13"/>
                <w:sz w:val="24"/>
              </w:rPr>
              <w:t> </w:t>
            </w:r>
            <w:r>
              <w:rPr>
                <w:sz w:val="24"/>
              </w:rPr>
              <w:t>principal</w:t>
            </w:r>
            <w:r>
              <w:rPr>
                <w:spacing w:val="-13"/>
                <w:sz w:val="24"/>
              </w:rPr>
              <w:t> </w:t>
            </w:r>
            <w:r>
              <w:rPr>
                <w:sz w:val="24"/>
              </w:rPr>
              <w:t>risks</w:t>
            </w:r>
            <w:r>
              <w:rPr>
                <w:spacing w:val="-14"/>
                <w:sz w:val="24"/>
              </w:rPr>
              <w:t> </w:t>
            </w:r>
            <w:r>
              <w:rPr>
                <w:sz w:val="24"/>
              </w:rPr>
              <w:t>are</w:t>
            </w:r>
            <w:r>
              <w:rPr>
                <w:spacing w:val="-13"/>
                <w:sz w:val="24"/>
              </w:rPr>
              <w:t> </w:t>
            </w:r>
            <w:r>
              <w:rPr>
                <w:sz w:val="24"/>
              </w:rPr>
              <w:t>an</w:t>
            </w:r>
            <w:r>
              <w:rPr>
                <w:spacing w:val="-17"/>
                <w:sz w:val="24"/>
              </w:rPr>
              <w:t> </w:t>
            </w:r>
            <w:r>
              <w:rPr>
                <w:sz w:val="24"/>
              </w:rPr>
              <w:t>overloaded</w:t>
            </w:r>
            <w:r>
              <w:rPr>
                <w:spacing w:val="-12"/>
                <w:sz w:val="24"/>
              </w:rPr>
              <w:t> </w:t>
            </w:r>
            <w:r>
              <w:rPr>
                <w:sz w:val="24"/>
              </w:rPr>
              <w:t>agenda,</w:t>
            </w:r>
            <w:r>
              <w:rPr>
                <w:spacing w:val="-15"/>
                <w:sz w:val="24"/>
              </w:rPr>
              <w:t> </w:t>
            </w:r>
            <w:r>
              <w:rPr>
                <w:sz w:val="24"/>
              </w:rPr>
              <w:t>finite</w:t>
            </w:r>
            <w:r>
              <w:rPr>
                <w:spacing w:val="-13"/>
                <w:sz w:val="24"/>
              </w:rPr>
              <w:t> </w:t>
            </w:r>
            <w:r>
              <w:rPr>
                <w:sz w:val="24"/>
              </w:rPr>
              <w:t>specialist</w:t>
            </w:r>
            <w:r>
              <w:rPr>
                <w:spacing w:val="-15"/>
                <w:sz w:val="24"/>
              </w:rPr>
              <w:t> </w:t>
            </w:r>
            <w:r>
              <w:rPr>
                <w:sz w:val="24"/>
              </w:rPr>
              <w:t>capacity,</w:t>
            </w:r>
            <w:r>
              <w:rPr>
                <w:spacing w:val="-15"/>
                <w:sz w:val="24"/>
              </w:rPr>
              <w:t> </w:t>
            </w:r>
            <w:r>
              <w:rPr>
                <w:sz w:val="24"/>
              </w:rPr>
              <w:t>uneven</w:t>
            </w:r>
            <w:r>
              <w:rPr>
                <w:spacing w:val="-13"/>
                <w:sz w:val="24"/>
              </w:rPr>
              <w:t> </w:t>
            </w:r>
            <w:r>
              <w:rPr>
                <w:sz w:val="24"/>
              </w:rPr>
              <w:t>maturity</w:t>
            </w:r>
            <w:r>
              <w:rPr>
                <w:spacing w:val="-14"/>
                <w:sz w:val="24"/>
              </w:rPr>
              <w:t> </w:t>
            </w:r>
            <w:r>
              <w:rPr>
                <w:sz w:val="24"/>
              </w:rPr>
              <w:t>of </w:t>
            </w:r>
            <w:r>
              <w:rPr>
                <w:spacing w:val="-2"/>
                <w:sz w:val="24"/>
              </w:rPr>
              <w:t>finance</w:t>
            </w:r>
            <w:r>
              <w:rPr>
                <w:spacing w:val="-15"/>
                <w:sz w:val="24"/>
              </w:rPr>
              <w:t> </w:t>
            </w:r>
            <w:r>
              <w:rPr>
                <w:spacing w:val="-2"/>
                <w:sz w:val="24"/>
              </w:rPr>
              <w:t>and</w:t>
            </w:r>
            <w:r>
              <w:rPr>
                <w:spacing w:val="-15"/>
                <w:sz w:val="24"/>
              </w:rPr>
              <w:t> </w:t>
            </w:r>
            <w:r>
              <w:rPr>
                <w:spacing w:val="-2"/>
                <w:sz w:val="24"/>
              </w:rPr>
              <w:t>digital</w:t>
            </w:r>
            <w:r>
              <w:rPr>
                <w:spacing w:val="-14"/>
                <w:sz w:val="24"/>
              </w:rPr>
              <w:t> </w:t>
            </w:r>
            <w:r>
              <w:rPr>
                <w:spacing w:val="-2"/>
                <w:sz w:val="24"/>
              </w:rPr>
              <w:t>governance,</w:t>
            </w:r>
            <w:r>
              <w:rPr>
                <w:spacing w:val="-14"/>
                <w:sz w:val="24"/>
              </w:rPr>
              <w:t> </w:t>
            </w:r>
            <w:r>
              <w:rPr>
                <w:spacing w:val="-2"/>
                <w:sz w:val="24"/>
              </w:rPr>
              <w:t>unreliable</w:t>
            </w:r>
            <w:r>
              <w:rPr>
                <w:spacing w:val="-11"/>
                <w:sz w:val="24"/>
              </w:rPr>
              <w:t> </w:t>
            </w:r>
            <w:r>
              <w:rPr>
                <w:spacing w:val="-2"/>
                <w:sz w:val="24"/>
              </w:rPr>
              <w:t>data</w:t>
            </w:r>
            <w:r>
              <w:rPr>
                <w:spacing w:val="-15"/>
                <w:sz w:val="24"/>
              </w:rPr>
              <w:t> </w:t>
            </w:r>
            <w:r>
              <w:rPr>
                <w:spacing w:val="-2"/>
                <w:sz w:val="24"/>
              </w:rPr>
              <w:t>and</w:t>
            </w:r>
            <w:r>
              <w:rPr>
                <w:spacing w:val="-15"/>
                <w:sz w:val="24"/>
              </w:rPr>
              <w:t> </w:t>
            </w:r>
            <w:r>
              <w:rPr>
                <w:spacing w:val="-2"/>
                <w:sz w:val="24"/>
              </w:rPr>
              <w:t>incentives</w:t>
            </w:r>
            <w:r>
              <w:rPr>
                <w:spacing w:val="-6"/>
                <w:sz w:val="24"/>
              </w:rPr>
              <w:t> </w:t>
            </w:r>
            <w:r>
              <w:rPr>
                <w:spacing w:val="-2"/>
                <w:sz w:val="24"/>
              </w:rPr>
              <w:t>that</w:t>
            </w:r>
            <w:r>
              <w:rPr>
                <w:spacing w:val="-13"/>
                <w:sz w:val="24"/>
              </w:rPr>
              <w:t> </w:t>
            </w:r>
            <w:r>
              <w:rPr>
                <w:spacing w:val="-2"/>
                <w:sz w:val="24"/>
              </w:rPr>
              <w:t>shift</w:t>
            </w:r>
            <w:r>
              <w:rPr>
                <w:spacing w:val="-13"/>
                <w:sz w:val="24"/>
              </w:rPr>
              <w:t> </w:t>
            </w:r>
            <w:r>
              <w:rPr>
                <w:spacing w:val="-2"/>
                <w:sz w:val="24"/>
              </w:rPr>
              <w:t>cost</w:t>
            </w:r>
            <w:r>
              <w:rPr>
                <w:spacing w:val="-13"/>
                <w:sz w:val="24"/>
              </w:rPr>
              <w:t> </w:t>
            </w:r>
            <w:r>
              <w:rPr>
                <w:spacing w:val="-2"/>
                <w:sz w:val="24"/>
              </w:rPr>
              <w:t>or</w:t>
            </w:r>
            <w:r>
              <w:rPr>
                <w:spacing w:val="-12"/>
                <w:sz w:val="24"/>
              </w:rPr>
              <w:t> </w:t>
            </w:r>
            <w:r>
              <w:rPr>
                <w:spacing w:val="-2"/>
                <w:sz w:val="24"/>
              </w:rPr>
              <w:t>activity</w:t>
            </w:r>
            <w:r>
              <w:rPr>
                <w:spacing w:val="-12"/>
                <w:sz w:val="24"/>
              </w:rPr>
              <w:t> </w:t>
            </w:r>
            <w:r>
              <w:rPr>
                <w:spacing w:val="-2"/>
                <w:sz w:val="24"/>
              </w:rPr>
              <w:t>without </w:t>
            </w:r>
            <w:r>
              <w:rPr>
                <w:sz w:val="24"/>
              </w:rPr>
              <w:t>improving</w:t>
            </w:r>
            <w:r>
              <w:rPr>
                <w:spacing w:val="-17"/>
                <w:sz w:val="24"/>
              </w:rPr>
              <w:t> </w:t>
            </w:r>
            <w:r>
              <w:rPr>
                <w:sz w:val="24"/>
              </w:rPr>
              <w:t>value.</w:t>
            </w:r>
            <w:r>
              <w:rPr>
                <w:spacing w:val="-17"/>
                <w:sz w:val="24"/>
              </w:rPr>
              <w:t> </w:t>
            </w:r>
            <w:r>
              <w:rPr>
                <w:sz w:val="24"/>
              </w:rPr>
              <w:t>Mitigations</w:t>
            </w:r>
            <w:r>
              <w:rPr>
                <w:spacing w:val="-14"/>
                <w:sz w:val="24"/>
              </w:rPr>
              <w:t> </w:t>
            </w:r>
            <w:r>
              <w:rPr>
                <w:sz w:val="24"/>
              </w:rPr>
              <w:t>are</w:t>
            </w:r>
            <w:r>
              <w:rPr>
                <w:spacing w:val="-14"/>
                <w:sz w:val="24"/>
              </w:rPr>
              <w:t> </w:t>
            </w:r>
            <w:r>
              <w:rPr>
                <w:sz w:val="24"/>
              </w:rPr>
              <w:t>a</w:t>
            </w:r>
            <w:r>
              <w:rPr>
                <w:spacing w:val="-17"/>
                <w:sz w:val="24"/>
              </w:rPr>
              <w:t> </w:t>
            </w:r>
            <w:r>
              <w:rPr>
                <w:sz w:val="24"/>
              </w:rPr>
              <w:t>phased</w:t>
            </w:r>
            <w:r>
              <w:rPr>
                <w:spacing w:val="-13"/>
                <w:sz w:val="24"/>
              </w:rPr>
              <w:t> </w:t>
            </w:r>
            <w:r>
              <w:rPr>
                <w:sz w:val="24"/>
              </w:rPr>
              <w:t>programme,</w:t>
            </w:r>
            <w:r>
              <w:rPr>
                <w:spacing w:val="-17"/>
                <w:sz w:val="24"/>
              </w:rPr>
              <w:t> </w:t>
            </w:r>
            <w:r>
              <w:rPr>
                <w:sz w:val="24"/>
              </w:rPr>
              <w:t>named</w:t>
            </w:r>
            <w:r>
              <w:rPr>
                <w:spacing w:val="-13"/>
                <w:sz w:val="24"/>
              </w:rPr>
              <w:t> </w:t>
            </w:r>
            <w:r>
              <w:rPr>
                <w:sz w:val="24"/>
              </w:rPr>
              <w:t>owners,</w:t>
            </w:r>
            <w:r>
              <w:rPr>
                <w:spacing w:val="-16"/>
                <w:sz w:val="24"/>
              </w:rPr>
              <w:t> </w:t>
            </w:r>
            <w:r>
              <w:rPr>
                <w:sz w:val="24"/>
              </w:rPr>
              <w:t>protected</w:t>
            </w:r>
            <w:r>
              <w:rPr>
                <w:spacing w:val="-9"/>
                <w:sz w:val="24"/>
              </w:rPr>
              <w:t> </w:t>
            </w:r>
            <w:r>
              <w:rPr>
                <w:sz w:val="24"/>
              </w:rPr>
              <w:t>technical scrutiny,</w:t>
            </w:r>
            <w:r>
              <w:rPr>
                <w:spacing w:val="-15"/>
                <w:sz w:val="24"/>
              </w:rPr>
              <w:t> </w:t>
            </w:r>
            <w:r>
              <w:rPr>
                <w:sz w:val="24"/>
              </w:rPr>
              <w:t>common</w:t>
            </w:r>
            <w:r>
              <w:rPr>
                <w:spacing w:val="-17"/>
                <w:sz w:val="24"/>
              </w:rPr>
              <w:t> </w:t>
            </w:r>
            <w:r>
              <w:rPr>
                <w:sz w:val="24"/>
              </w:rPr>
              <w:t>data</w:t>
            </w:r>
            <w:r>
              <w:rPr>
                <w:spacing w:val="-12"/>
                <w:sz w:val="24"/>
              </w:rPr>
              <w:t> </w:t>
            </w:r>
            <w:r>
              <w:rPr>
                <w:sz w:val="24"/>
              </w:rPr>
              <w:t>standards</w:t>
            </w:r>
            <w:r>
              <w:rPr>
                <w:spacing w:val="-13"/>
                <w:sz w:val="24"/>
              </w:rPr>
              <w:t> </w:t>
            </w:r>
            <w:r>
              <w:rPr>
                <w:sz w:val="24"/>
              </w:rPr>
              <w:t>and</w:t>
            </w:r>
            <w:r>
              <w:rPr>
                <w:spacing w:val="-8"/>
                <w:sz w:val="24"/>
              </w:rPr>
              <w:t> </w:t>
            </w:r>
            <w:r>
              <w:rPr>
                <w:sz w:val="24"/>
              </w:rPr>
              <w:t>shadow</w:t>
            </w:r>
            <w:r>
              <w:rPr>
                <w:spacing w:val="-12"/>
                <w:sz w:val="24"/>
              </w:rPr>
              <w:t> </w:t>
            </w:r>
            <w:r>
              <w:rPr>
                <w:sz w:val="24"/>
              </w:rPr>
              <w:t>testing</w:t>
            </w:r>
            <w:r>
              <w:rPr>
                <w:spacing w:val="-12"/>
                <w:sz w:val="24"/>
              </w:rPr>
              <w:t> </w:t>
            </w:r>
            <w:r>
              <w:rPr>
                <w:sz w:val="24"/>
              </w:rPr>
              <w:t>before</w:t>
            </w:r>
            <w:r>
              <w:rPr>
                <w:spacing w:val="-17"/>
                <w:sz w:val="24"/>
              </w:rPr>
              <w:t> </w:t>
            </w:r>
            <w:r>
              <w:rPr>
                <w:sz w:val="24"/>
              </w:rPr>
              <w:t>live</w:t>
            </w:r>
            <w:r>
              <w:rPr>
                <w:spacing w:val="-7"/>
                <w:sz w:val="24"/>
              </w:rPr>
              <w:t> </w:t>
            </w:r>
            <w:r>
              <w:rPr>
                <w:sz w:val="24"/>
              </w:rPr>
              <w:t>financial</w:t>
            </w:r>
            <w:r>
              <w:rPr>
                <w:spacing w:val="-8"/>
                <w:sz w:val="24"/>
              </w:rPr>
              <w:t> </w:t>
            </w:r>
            <w:r>
              <w:rPr>
                <w:sz w:val="24"/>
              </w:rPr>
              <w:t>change.</w:t>
            </w:r>
          </w:p>
          <w:p>
            <w:pPr>
              <w:pStyle w:val="TableParagraph"/>
              <w:spacing w:before="1"/>
              <w:ind w:left="110" w:right="404"/>
              <w:rPr>
                <w:sz w:val="24"/>
              </w:rPr>
            </w:pPr>
            <w:r>
              <w:rPr>
                <w:spacing w:val="-2"/>
                <w:sz w:val="24"/>
              </w:rPr>
              <w:t>Cybersecurity,</w:t>
            </w:r>
            <w:r>
              <w:rPr>
                <w:spacing w:val="-15"/>
                <w:sz w:val="24"/>
              </w:rPr>
              <w:t> </w:t>
            </w:r>
            <w:r>
              <w:rPr>
                <w:spacing w:val="-2"/>
                <w:sz w:val="24"/>
              </w:rPr>
              <w:t>information</w:t>
            </w:r>
            <w:r>
              <w:rPr>
                <w:spacing w:val="-15"/>
                <w:sz w:val="24"/>
              </w:rPr>
              <w:t> </w:t>
            </w:r>
            <w:r>
              <w:rPr>
                <w:spacing w:val="-2"/>
                <w:sz w:val="24"/>
              </w:rPr>
              <w:t>governance,</w:t>
            </w:r>
            <w:r>
              <w:rPr>
                <w:spacing w:val="-14"/>
                <w:sz w:val="24"/>
              </w:rPr>
              <w:t> </w:t>
            </w:r>
            <w:r>
              <w:rPr>
                <w:spacing w:val="-2"/>
                <w:sz w:val="24"/>
              </w:rPr>
              <w:t>procurement</w:t>
            </w:r>
            <w:r>
              <w:rPr>
                <w:spacing w:val="-15"/>
                <w:sz w:val="24"/>
              </w:rPr>
              <w:t> </w:t>
            </w:r>
            <w:r>
              <w:rPr>
                <w:spacing w:val="-2"/>
                <w:sz w:val="24"/>
              </w:rPr>
              <w:t>and</w:t>
            </w:r>
            <w:r>
              <w:rPr>
                <w:spacing w:val="-15"/>
                <w:sz w:val="24"/>
              </w:rPr>
              <w:t> </w:t>
            </w:r>
            <w:r>
              <w:rPr>
                <w:spacing w:val="-2"/>
                <w:sz w:val="24"/>
              </w:rPr>
              <w:t>commercial</w:t>
            </w:r>
            <w:r>
              <w:rPr>
                <w:spacing w:val="-15"/>
                <w:sz w:val="24"/>
              </w:rPr>
              <w:t> </w:t>
            </w:r>
            <w:r>
              <w:rPr>
                <w:spacing w:val="-2"/>
                <w:sz w:val="24"/>
              </w:rPr>
              <w:t>proposals</w:t>
            </w:r>
            <w:r>
              <w:rPr>
                <w:spacing w:val="-14"/>
                <w:sz w:val="24"/>
              </w:rPr>
              <w:t> </w:t>
            </w:r>
            <w:r>
              <w:rPr>
                <w:spacing w:val="-2"/>
                <w:sz w:val="24"/>
              </w:rPr>
              <w:t>require</w:t>
            </w:r>
            <w:r>
              <w:rPr>
                <w:spacing w:val="-15"/>
                <w:sz w:val="24"/>
              </w:rPr>
              <w:t> </w:t>
            </w:r>
            <w:r>
              <w:rPr>
                <w:spacing w:val="-2"/>
                <w:sz w:val="24"/>
              </w:rPr>
              <w:t>their </w:t>
            </w:r>
            <w:r>
              <w:rPr>
                <w:sz w:val="24"/>
              </w:rPr>
              <w:t>established</w:t>
            </w:r>
            <w:r>
              <w:rPr>
                <w:spacing w:val="-6"/>
                <w:sz w:val="24"/>
              </w:rPr>
              <w:t> </w:t>
            </w:r>
            <w:r>
              <w:rPr>
                <w:sz w:val="24"/>
              </w:rPr>
              <w:t>specialist</w:t>
            </w:r>
            <w:r>
              <w:rPr>
                <w:spacing w:val="-4"/>
                <w:sz w:val="24"/>
              </w:rPr>
              <w:t> </w:t>
            </w:r>
            <w:r>
              <w:rPr>
                <w:sz w:val="24"/>
              </w:rPr>
              <w:t>scrutiny</w:t>
            </w:r>
            <w:r>
              <w:rPr>
                <w:spacing w:val="-7"/>
                <w:sz w:val="24"/>
              </w:rPr>
              <w:t> </w:t>
            </w:r>
            <w:r>
              <w:rPr>
                <w:sz w:val="24"/>
              </w:rPr>
              <w:t>and</w:t>
            </w:r>
            <w:r>
              <w:rPr>
                <w:spacing w:val="-6"/>
                <w:sz w:val="24"/>
              </w:rPr>
              <w:t> </w:t>
            </w:r>
            <w:r>
              <w:rPr>
                <w:sz w:val="24"/>
              </w:rPr>
              <w:t>approval</w:t>
            </w:r>
            <w:r>
              <w:rPr>
                <w:spacing w:val="-6"/>
                <w:sz w:val="24"/>
              </w:rPr>
              <w:t> </w:t>
            </w:r>
            <w:r>
              <w:rPr>
                <w:sz w:val="24"/>
              </w:rPr>
              <w:t>routes.</w:t>
            </w:r>
          </w:p>
          <w:p>
            <w:pPr>
              <w:pStyle w:val="TableParagraph"/>
              <w:spacing w:line="242" w:lineRule="auto" w:before="118"/>
              <w:ind w:left="110"/>
              <w:rPr>
                <w:sz w:val="24"/>
              </w:rPr>
            </w:pPr>
            <w:r>
              <w:rPr>
                <w:spacing w:val="-2"/>
                <w:sz w:val="24"/>
              </w:rPr>
              <w:t>Combining</w:t>
            </w:r>
            <w:r>
              <w:rPr>
                <w:spacing w:val="-9"/>
                <w:sz w:val="24"/>
              </w:rPr>
              <w:t> </w:t>
            </w:r>
            <w:r>
              <w:rPr>
                <w:spacing w:val="-2"/>
                <w:sz w:val="24"/>
              </w:rPr>
              <w:t>the</w:t>
            </w:r>
            <w:r>
              <w:rPr>
                <w:spacing w:val="-12"/>
                <w:sz w:val="24"/>
              </w:rPr>
              <w:t> </w:t>
            </w:r>
            <w:r>
              <w:rPr>
                <w:spacing w:val="-2"/>
                <w:sz w:val="24"/>
              </w:rPr>
              <w:t>workstreams</w:t>
            </w:r>
            <w:r>
              <w:rPr>
                <w:spacing w:val="-13"/>
                <w:sz w:val="24"/>
              </w:rPr>
              <w:t> </w:t>
            </w:r>
            <w:r>
              <w:rPr>
                <w:spacing w:val="-2"/>
                <w:sz w:val="24"/>
              </w:rPr>
              <w:t>does</w:t>
            </w:r>
            <w:r>
              <w:rPr>
                <w:spacing w:val="-13"/>
                <w:sz w:val="24"/>
              </w:rPr>
              <w:t> </w:t>
            </w:r>
            <w:r>
              <w:rPr>
                <w:spacing w:val="-2"/>
                <w:sz w:val="24"/>
              </w:rPr>
              <w:t>not</w:t>
            </w:r>
            <w:r>
              <w:rPr>
                <w:spacing w:val="-15"/>
                <w:sz w:val="24"/>
              </w:rPr>
              <w:t> </w:t>
            </w:r>
            <w:r>
              <w:rPr>
                <w:spacing w:val="-2"/>
                <w:sz w:val="24"/>
              </w:rPr>
              <w:t>itself</w:t>
            </w:r>
            <w:r>
              <w:rPr>
                <w:spacing w:val="-15"/>
                <w:sz w:val="24"/>
              </w:rPr>
              <w:t> </w:t>
            </w:r>
            <w:r>
              <w:rPr>
                <w:spacing w:val="-2"/>
                <w:sz w:val="24"/>
              </w:rPr>
              <w:t>merge</w:t>
            </w:r>
            <w:r>
              <w:rPr>
                <w:spacing w:val="-14"/>
                <w:sz w:val="24"/>
              </w:rPr>
              <w:t> </w:t>
            </w:r>
            <w:r>
              <w:rPr>
                <w:spacing w:val="-2"/>
                <w:sz w:val="24"/>
              </w:rPr>
              <w:t>operational</w:t>
            </w:r>
            <w:r>
              <w:rPr>
                <w:spacing w:val="-12"/>
                <w:sz w:val="24"/>
              </w:rPr>
              <w:t> </w:t>
            </w:r>
            <w:r>
              <w:rPr>
                <w:spacing w:val="-2"/>
                <w:sz w:val="24"/>
              </w:rPr>
              <w:t>teams,</w:t>
            </w:r>
            <w:r>
              <w:rPr>
                <w:spacing w:val="-15"/>
                <w:sz w:val="24"/>
              </w:rPr>
              <w:t> </w:t>
            </w:r>
            <w:r>
              <w:rPr>
                <w:spacing w:val="-2"/>
                <w:sz w:val="24"/>
              </w:rPr>
              <w:t>or</w:t>
            </w:r>
            <w:r>
              <w:rPr>
                <w:spacing w:val="-13"/>
                <w:sz w:val="24"/>
              </w:rPr>
              <w:t> </w:t>
            </w:r>
            <w:r>
              <w:rPr>
                <w:spacing w:val="-2"/>
                <w:sz w:val="24"/>
              </w:rPr>
              <w:t>authorise</w:t>
            </w:r>
            <w:r>
              <w:rPr>
                <w:spacing w:val="-12"/>
                <w:sz w:val="24"/>
              </w:rPr>
              <w:t> </w:t>
            </w:r>
            <w:r>
              <w:rPr>
                <w:spacing w:val="-2"/>
                <w:sz w:val="24"/>
              </w:rPr>
              <w:t>an</w:t>
            </w:r>
            <w:r>
              <w:rPr>
                <w:spacing w:val="-12"/>
                <w:sz w:val="24"/>
              </w:rPr>
              <w:t> </w:t>
            </w:r>
            <w:r>
              <w:rPr>
                <w:spacing w:val="-2"/>
                <w:sz w:val="24"/>
              </w:rPr>
              <w:t>external </w:t>
            </w:r>
            <w:r>
              <w:rPr>
                <w:sz w:val="24"/>
              </w:rPr>
              <w:t>partnership.</w:t>
            </w:r>
            <w:r>
              <w:rPr>
                <w:spacing w:val="-17"/>
                <w:sz w:val="24"/>
              </w:rPr>
              <w:t> </w:t>
            </w:r>
            <w:r>
              <w:rPr>
                <w:sz w:val="24"/>
              </w:rPr>
              <w:t>Those</w:t>
            </w:r>
            <w:r>
              <w:rPr>
                <w:spacing w:val="-17"/>
                <w:sz w:val="24"/>
              </w:rPr>
              <w:t> </w:t>
            </w:r>
            <w:r>
              <w:rPr>
                <w:sz w:val="24"/>
              </w:rPr>
              <w:t>decisions</w:t>
            </w:r>
            <w:r>
              <w:rPr>
                <w:spacing w:val="-16"/>
                <w:sz w:val="24"/>
              </w:rPr>
              <w:t> </w:t>
            </w:r>
            <w:r>
              <w:rPr>
                <w:sz w:val="24"/>
              </w:rPr>
              <w:t>need</w:t>
            </w:r>
            <w:r>
              <w:rPr>
                <w:spacing w:val="-17"/>
                <w:sz w:val="24"/>
              </w:rPr>
              <w:t> </w:t>
            </w:r>
            <w:r>
              <w:rPr>
                <w:sz w:val="24"/>
              </w:rPr>
              <w:t>service-specific</w:t>
            </w:r>
            <w:r>
              <w:rPr>
                <w:spacing w:val="-17"/>
                <w:sz w:val="24"/>
              </w:rPr>
              <w:t> </w:t>
            </w:r>
            <w:r>
              <w:rPr>
                <w:sz w:val="24"/>
              </w:rPr>
              <w:t>evidence</w:t>
            </w:r>
            <w:r>
              <w:rPr>
                <w:spacing w:val="-17"/>
                <w:sz w:val="24"/>
              </w:rPr>
              <w:t> </w:t>
            </w:r>
            <w:r>
              <w:rPr>
                <w:sz w:val="24"/>
              </w:rPr>
              <w:t>and</w:t>
            </w:r>
            <w:r>
              <w:rPr>
                <w:spacing w:val="-16"/>
                <w:sz w:val="24"/>
              </w:rPr>
              <w:t> </w:t>
            </w:r>
            <w:r>
              <w:rPr>
                <w:sz w:val="24"/>
              </w:rPr>
              <w:t>the</w:t>
            </w:r>
            <w:r>
              <w:rPr>
                <w:spacing w:val="-17"/>
                <w:sz w:val="24"/>
              </w:rPr>
              <w:t> </w:t>
            </w:r>
            <w:r>
              <w:rPr>
                <w:sz w:val="24"/>
              </w:rPr>
              <w:t>appropriate</w:t>
            </w:r>
            <w:r>
              <w:rPr>
                <w:spacing w:val="-17"/>
                <w:sz w:val="24"/>
              </w:rPr>
              <w:t> </w:t>
            </w:r>
            <w:r>
              <w:rPr>
                <w:sz w:val="24"/>
              </w:rPr>
              <w:t>approvals. The</w:t>
            </w:r>
            <w:r>
              <w:rPr>
                <w:spacing w:val="-3"/>
                <w:sz w:val="24"/>
              </w:rPr>
              <w:t> </w:t>
            </w:r>
            <w:r>
              <w:rPr>
                <w:sz w:val="24"/>
              </w:rPr>
              <w:t>subgroup</w:t>
            </w:r>
            <w:r>
              <w:rPr>
                <w:spacing w:val="-2"/>
                <w:sz w:val="24"/>
              </w:rPr>
              <w:t> </w:t>
            </w:r>
            <w:r>
              <w:rPr>
                <w:sz w:val="24"/>
              </w:rPr>
              <w:t>will</w:t>
            </w:r>
            <w:r>
              <w:rPr>
                <w:spacing w:val="-3"/>
                <w:sz w:val="24"/>
              </w:rPr>
              <w:t> </w:t>
            </w:r>
            <w:r>
              <w:rPr>
                <w:sz w:val="24"/>
              </w:rPr>
              <w:t>bring</w:t>
            </w:r>
            <w:r>
              <w:rPr>
                <w:spacing w:val="-3"/>
                <w:sz w:val="24"/>
              </w:rPr>
              <w:t> </w:t>
            </w:r>
            <w:r>
              <w:rPr>
                <w:sz w:val="24"/>
              </w:rPr>
              <w:t>back</w:t>
            </w:r>
            <w:r>
              <w:rPr>
                <w:spacing w:val="-5"/>
                <w:sz w:val="24"/>
              </w:rPr>
              <w:t> </w:t>
            </w:r>
            <w:r>
              <w:rPr>
                <w:sz w:val="24"/>
              </w:rPr>
              <w:t>updates</w:t>
            </w:r>
            <w:r>
              <w:rPr>
                <w:spacing w:val="-10"/>
                <w:sz w:val="24"/>
              </w:rPr>
              <w:t> </w:t>
            </w:r>
            <w:r>
              <w:rPr>
                <w:sz w:val="24"/>
              </w:rPr>
              <w:t>and</w:t>
            </w:r>
            <w:r>
              <w:rPr>
                <w:spacing w:val="-9"/>
                <w:sz w:val="24"/>
              </w:rPr>
              <w:t> </w:t>
            </w:r>
            <w:r>
              <w:rPr>
                <w:sz w:val="24"/>
              </w:rPr>
              <w:t>plans to</w:t>
            </w:r>
            <w:r>
              <w:rPr>
                <w:spacing w:val="-3"/>
                <w:sz w:val="24"/>
              </w:rPr>
              <w:t> </w:t>
            </w:r>
            <w:r>
              <w:rPr>
                <w:sz w:val="24"/>
              </w:rPr>
              <w:t>the RJC.</w:t>
            </w:r>
          </w:p>
        </w:tc>
      </w:tr>
      <w:tr>
        <w:trPr>
          <w:trHeight w:val="4306" w:hRule="atLeast"/>
        </w:trPr>
        <w:tc>
          <w:tcPr>
            <w:tcW w:w="10069" w:type="dxa"/>
          </w:tcPr>
          <w:p>
            <w:pPr>
              <w:pStyle w:val="TableParagraph"/>
              <w:ind w:left="110"/>
              <w:rPr>
                <w:b/>
                <w:sz w:val="24"/>
              </w:rPr>
            </w:pPr>
            <w:r>
              <w:rPr>
                <w:b/>
                <w:color w:val="394871"/>
                <w:spacing w:val="-4"/>
                <w:sz w:val="24"/>
                <w:u w:val="single" w:color="394871"/>
              </w:rPr>
              <w:t>Argymhelliad</w:t>
            </w:r>
            <w:r>
              <w:rPr>
                <w:b/>
                <w:color w:val="394871"/>
                <w:spacing w:val="-3"/>
                <w:sz w:val="24"/>
                <w:u w:val="single" w:color="394871"/>
              </w:rPr>
              <w:t> </w:t>
            </w:r>
            <w:r>
              <w:rPr>
                <w:b/>
                <w:color w:val="394871"/>
                <w:spacing w:val="-4"/>
                <w:sz w:val="24"/>
                <w:u w:val="single" w:color="394871"/>
              </w:rPr>
              <w:t>/</w:t>
            </w:r>
            <w:r>
              <w:rPr>
                <w:b/>
                <w:color w:val="394871"/>
                <w:spacing w:val="-2"/>
                <w:sz w:val="24"/>
                <w:u w:val="single" w:color="394871"/>
              </w:rPr>
              <w:t> </w:t>
            </w:r>
            <w:r>
              <w:rPr>
                <w:b/>
                <w:color w:val="394871"/>
                <w:spacing w:val="-4"/>
                <w:sz w:val="24"/>
                <w:u w:val="single" w:color="394871"/>
              </w:rPr>
              <w:t>Recommendation</w:t>
            </w:r>
          </w:p>
          <w:p>
            <w:pPr>
              <w:pStyle w:val="TableParagraph"/>
              <w:spacing w:before="119"/>
              <w:ind w:left="110"/>
              <w:rPr>
                <w:sz w:val="24"/>
              </w:rPr>
            </w:pPr>
            <w:r>
              <w:rPr>
                <w:spacing w:val="-2"/>
                <w:sz w:val="24"/>
              </w:rPr>
              <w:t>The</w:t>
            </w:r>
            <w:r>
              <w:rPr>
                <w:spacing w:val="-12"/>
                <w:sz w:val="24"/>
              </w:rPr>
              <w:t> </w:t>
            </w:r>
            <w:r>
              <w:rPr>
                <w:spacing w:val="-2"/>
                <w:sz w:val="24"/>
              </w:rPr>
              <w:t>Committee</w:t>
            </w:r>
            <w:r>
              <w:rPr>
                <w:spacing w:val="-10"/>
                <w:sz w:val="24"/>
              </w:rPr>
              <w:t> </w:t>
            </w:r>
            <w:r>
              <w:rPr>
                <w:spacing w:val="-2"/>
                <w:sz w:val="24"/>
              </w:rPr>
              <w:t>is</w:t>
            </w:r>
            <w:r>
              <w:rPr>
                <w:spacing w:val="-15"/>
                <w:sz w:val="24"/>
              </w:rPr>
              <w:t> </w:t>
            </w:r>
            <w:r>
              <w:rPr>
                <w:spacing w:val="-2"/>
                <w:sz w:val="24"/>
              </w:rPr>
              <w:t>asked</w:t>
            </w:r>
            <w:r>
              <w:rPr>
                <w:spacing w:val="-5"/>
                <w:sz w:val="24"/>
              </w:rPr>
              <w:t> to:</w:t>
            </w:r>
          </w:p>
          <w:p>
            <w:pPr>
              <w:pStyle w:val="TableParagraph"/>
              <w:numPr>
                <w:ilvl w:val="0"/>
                <w:numId w:val="8"/>
              </w:numPr>
              <w:tabs>
                <w:tab w:pos="363" w:val="left" w:leader="none"/>
              </w:tabs>
              <w:spacing w:line="240" w:lineRule="auto" w:before="119" w:after="0"/>
              <w:ind w:left="110" w:right="395" w:firstLine="0"/>
              <w:jc w:val="left"/>
              <w:rPr>
                <w:sz w:val="24"/>
              </w:rPr>
            </w:pPr>
            <w:r>
              <w:rPr>
                <w:spacing w:val="-2"/>
                <w:sz w:val="24"/>
              </w:rPr>
              <w:t>Agree</w:t>
            </w:r>
            <w:r>
              <w:rPr>
                <w:spacing w:val="-13"/>
                <w:sz w:val="24"/>
              </w:rPr>
              <w:t> </w:t>
            </w:r>
            <w:r>
              <w:rPr>
                <w:spacing w:val="-2"/>
                <w:sz w:val="24"/>
              </w:rPr>
              <w:t>to</w:t>
            </w:r>
            <w:r>
              <w:rPr>
                <w:spacing w:val="-11"/>
                <w:sz w:val="24"/>
              </w:rPr>
              <w:t> </w:t>
            </w:r>
            <w:r>
              <w:rPr>
                <w:spacing w:val="-2"/>
                <w:sz w:val="24"/>
              </w:rPr>
              <w:t>combine</w:t>
            </w:r>
            <w:r>
              <w:rPr>
                <w:spacing w:val="-7"/>
                <w:sz w:val="24"/>
              </w:rPr>
              <w:t> </w:t>
            </w:r>
            <w:r>
              <w:rPr>
                <w:spacing w:val="-2"/>
                <w:sz w:val="24"/>
              </w:rPr>
              <w:t>the</w:t>
            </w:r>
            <w:r>
              <w:rPr>
                <w:spacing w:val="-11"/>
                <w:sz w:val="24"/>
              </w:rPr>
              <w:t> </w:t>
            </w:r>
            <w:r>
              <w:rPr>
                <w:spacing w:val="-2"/>
                <w:sz w:val="24"/>
              </w:rPr>
              <w:t>Finance</w:t>
            </w:r>
            <w:r>
              <w:rPr>
                <w:spacing w:val="-11"/>
                <w:sz w:val="24"/>
              </w:rPr>
              <w:t> </w:t>
            </w:r>
            <w:r>
              <w:rPr>
                <w:spacing w:val="-2"/>
                <w:sz w:val="24"/>
              </w:rPr>
              <w:t>and</w:t>
            </w:r>
            <w:r>
              <w:rPr>
                <w:spacing w:val="-11"/>
                <w:sz w:val="24"/>
              </w:rPr>
              <w:t> </w:t>
            </w:r>
            <w:r>
              <w:rPr>
                <w:spacing w:val="-2"/>
                <w:sz w:val="24"/>
              </w:rPr>
              <w:t>Contracting</w:t>
            </w:r>
            <w:r>
              <w:rPr>
                <w:spacing w:val="-11"/>
                <w:sz w:val="24"/>
              </w:rPr>
              <w:t> </w:t>
            </w:r>
            <w:r>
              <w:rPr>
                <w:spacing w:val="-2"/>
                <w:sz w:val="24"/>
              </w:rPr>
              <w:t>and</w:t>
            </w:r>
            <w:r>
              <w:rPr>
                <w:spacing w:val="-11"/>
                <w:sz w:val="24"/>
              </w:rPr>
              <w:t> </w:t>
            </w:r>
            <w:r>
              <w:rPr>
                <w:spacing w:val="-2"/>
                <w:sz w:val="24"/>
              </w:rPr>
              <w:t>Data</w:t>
            </w:r>
            <w:r>
              <w:rPr>
                <w:spacing w:val="-11"/>
                <w:sz w:val="24"/>
              </w:rPr>
              <w:t> </w:t>
            </w:r>
            <w:r>
              <w:rPr>
                <w:spacing w:val="-2"/>
                <w:sz w:val="24"/>
              </w:rPr>
              <w:t>and</w:t>
            </w:r>
            <w:r>
              <w:rPr>
                <w:spacing w:val="-11"/>
                <w:sz w:val="24"/>
              </w:rPr>
              <w:t> </w:t>
            </w:r>
            <w:r>
              <w:rPr>
                <w:spacing w:val="-2"/>
                <w:sz w:val="24"/>
              </w:rPr>
              <w:t>Digital</w:t>
            </w:r>
            <w:r>
              <w:rPr>
                <w:spacing w:val="-15"/>
                <w:sz w:val="24"/>
              </w:rPr>
              <w:t> </w:t>
            </w:r>
            <w:r>
              <w:rPr>
                <w:spacing w:val="-2"/>
                <w:sz w:val="24"/>
              </w:rPr>
              <w:t>workstreams</w:t>
            </w:r>
            <w:r>
              <w:rPr>
                <w:spacing w:val="-12"/>
                <w:sz w:val="24"/>
              </w:rPr>
              <w:t> </w:t>
            </w:r>
            <w:r>
              <w:rPr>
                <w:spacing w:val="-2"/>
                <w:sz w:val="24"/>
              </w:rPr>
              <w:t>into</w:t>
            </w:r>
            <w:r>
              <w:rPr>
                <w:spacing w:val="-15"/>
                <w:sz w:val="24"/>
              </w:rPr>
              <w:t> </w:t>
            </w:r>
            <w:r>
              <w:rPr>
                <w:spacing w:val="-2"/>
                <w:sz w:val="24"/>
              </w:rPr>
              <w:t>one </w:t>
            </w:r>
            <w:r>
              <w:rPr>
                <w:sz w:val="24"/>
              </w:rPr>
              <w:t>regional</w:t>
            </w:r>
            <w:r>
              <w:rPr>
                <w:spacing w:val="-14"/>
                <w:sz w:val="24"/>
              </w:rPr>
              <w:t> </w:t>
            </w:r>
            <w:r>
              <w:rPr>
                <w:sz w:val="24"/>
              </w:rPr>
              <w:t>Finance</w:t>
            </w:r>
            <w:r>
              <w:rPr>
                <w:spacing w:val="-13"/>
                <w:sz w:val="24"/>
              </w:rPr>
              <w:t> </w:t>
            </w:r>
            <w:r>
              <w:rPr>
                <w:sz w:val="24"/>
              </w:rPr>
              <w:t>and</w:t>
            </w:r>
            <w:r>
              <w:rPr>
                <w:spacing w:val="-13"/>
                <w:sz w:val="24"/>
              </w:rPr>
              <w:t> </w:t>
            </w:r>
            <w:r>
              <w:rPr>
                <w:sz w:val="24"/>
              </w:rPr>
              <w:t>Digital</w:t>
            </w:r>
            <w:r>
              <w:rPr>
                <w:spacing w:val="-13"/>
                <w:sz w:val="24"/>
              </w:rPr>
              <w:t> </w:t>
            </w:r>
            <w:r>
              <w:rPr>
                <w:sz w:val="24"/>
              </w:rPr>
              <w:t>subgroup,</w:t>
            </w:r>
            <w:r>
              <w:rPr>
                <w:spacing w:val="-15"/>
                <w:sz w:val="24"/>
              </w:rPr>
              <w:t> </w:t>
            </w:r>
            <w:r>
              <w:rPr>
                <w:sz w:val="24"/>
              </w:rPr>
              <w:t>jointly</w:t>
            </w:r>
            <w:r>
              <w:rPr>
                <w:spacing w:val="-14"/>
                <w:sz w:val="24"/>
              </w:rPr>
              <w:t> </w:t>
            </w:r>
            <w:r>
              <w:rPr>
                <w:sz w:val="24"/>
              </w:rPr>
              <w:t>led</w:t>
            </w:r>
            <w:r>
              <w:rPr>
                <w:spacing w:val="-8"/>
                <w:sz w:val="24"/>
              </w:rPr>
              <w:t> </w:t>
            </w:r>
            <w:r>
              <w:rPr>
                <w:sz w:val="24"/>
              </w:rPr>
              <w:t>by</w:t>
            </w:r>
            <w:r>
              <w:rPr>
                <w:spacing w:val="-14"/>
                <w:sz w:val="24"/>
              </w:rPr>
              <w:t> </w:t>
            </w:r>
            <w:r>
              <w:rPr>
                <w:sz w:val="24"/>
              </w:rPr>
              <w:t>the</w:t>
            </w:r>
            <w:r>
              <w:rPr>
                <w:spacing w:val="-13"/>
                <w:sz w:val="24"/>
              </w:rPr>
              <w:t> </w:t>
            </w:r>
            <w:r>
              <w:rPr>
                <w:sz w:val="24"/>
              </w:rPr>
              <w:t>Directors</w:t>
            </w:r>
            <w:r>
              <w:rPr>
                <w:spacing w:val="-17"/>
                <w:sz w:val="24"/>
              </w:rPr>
              <w:t> </w:t>
            </w:r>
            <w:r>
              <w:rPr>
                <w:sz w:val="24"/>
              </w:rPr>
              <w:t>of</w:t>
            </w:r>
            <w:r>
              <w:rPr>
                <w:spacing w:val="-11"/>
                <w:sz w:val="24"/>
              </w:rPr>
              <w:t> </w:t>
            </w:r>
            <w:r>
              <w:rPr>
                <w:sz w:val="24"/>
              </w:rPr>
              <w:t>Finance,</w:t>
            </w:r>
            <w:r>
              <w:rPr>
                <w:spacing w:val="-15"/>
                <w:sz w:val="24"/>
              </w:rPr>
              <w:t> </w:t>
            </w:r>
            <w:r>
              <w:rPr>
                <w:sz w:val="24"/>
              </w:rPr>
              <w:t>retaining specialist</w:t>
            </w:r>
            <w:r>
              <w:rPr>
                <w:spacing w:val="-16"/>
                <w:sz w:val="24"/>
              </w:rPr>
              <w:t> </w:t>
            </w:r>
            <w:r>
              <w:rPr>
                <w:sz w:val="24"/>
              </w:rPr>
              <w:t>groups</w:t>
            </w:r>
            <w:r>
              <w:rPr>
                <w:spacing w:val="-14"/>
                <w:sz w:val="24"/>
              </w:rPr>
              <w:t> </w:t>
            </w:r>
            <w:r>
              <w:rPr>
                <w:sz w:val="24"/>
              </w:rPr>
              <w:t>and</w:t>
            </w:r>
            <w:r>
              <w:rPr>
                <w:spacing w:val="-13"/>
                <w:sz w:val="24"/>
              </w:rPr>
              <w:t> </w:t>
            </w:r>
            <w:r>
              <w:rPr>
                <w:sz w:val="24"/>
              </w:rPr>
              <w:t>clear</w:t>
            </w:r>
            <w:r>
              <w:rPr>
                <w:spacing w:val="-14"/>
                <w:sz w:val="24"/>
              </w:rPr>
              <w:t> </w:t>
            </w:r>
            <w:r>
              <w:rPr>
                <w:sz w:val="24"/>
              </w:rPr>
              <w:t>digital,</w:t>
            </w:r>
            <w:r>
              <w:rPr>
                <w:spacing w:val="-16"/>
                <w:sz w:val="24"/>
              </w:rPr>
              <w:t> </w:t>
            </w:r>
            <w:r>
              <w:rPr>
                <w:sz w:val="24"/>
              </w:rPr>
              <w:t>clinical</w:t>
            </w:r>
            <w:r>
              <w:rPr>
                <w:spacing w:val="-13"/>
                <w:sz w:val="24"/>
              </w:rPr>
              <w:t> </w:t>
            </w:r>
            <w:r>
              <w:rPr>
                <w:sz w:val="24"/>
              </w:rPr>
              <w:t>and</w:t>
            </w:r>
            <w:r>
              <w:rPr>
                <w:spacing w:val="-13"/>
                <w:sz w:val="24"/>
              </w:rPr>
              <w:t> </w:t>
            </w:r>
            <w:r>
              <w:rPr>
                <w:sz w:val="24"/>
              </w:rPr>
              <w:t>operational</w:t>
            </w:r>
            <w:r>
              <w:rPr>
                <w:spacing w:val="-13"/>
                <w:sz w:val="24"/>
              </w:rPr>
              <w:t> </w:t>
            </w:r>
            <w:r>
              <w:rPr>
                <w:sz w:val="24"/>
              </w:rPr>
              <w:t>participation.</w:t>
            </w:r>
          </w:p>
          <w:p>
            <w:pPr>
              <w:pStyle w:val="TableParagraph"/>
              <w:numPr>
                <w:ilvl w:val="0"/>
                <w:numId w:val="8"/>
              </w:numPr>
              <w:tabs>
                <w:tab w:pos="363" w:val="left" w:leader="none"/>
              </w:tabs>
              <w:spacing w:line="240" w:lineRule="auto" w:before="122" w:after="0"/>
              <w:ind w:left="110" w:right="154" w:firstLine="0"/>
              <w:jc w:val="left"/>
              <w:rPr>
                <w:sz w:val="24"/>
              </w:rPr>
            </w:pPr>
            <w:r>
              <w:rPr>
                <w:spacing w:val="-2"/>
                <w:sz w:val="24"/>
              </w:rPr>
              <w:t>Endorse</w:t>
            </w:r>
            <w:r>
              <w:rPr>
                <w:spacing w:val="-10"/>
                <w:sz w:val="24"/>
              </w:rPr>
              <w:t> </w:t>
            </w:r>
            <w:r>
              <w:rPr>
                <w:spacing w:val="-2"/>
                <w:sz w:val="24"/>
              </w:rPr>
              <w:t>the</w:t>
            </w:r>
            <w:r>
              <w:rPr>
                <w:spacing w:val="-12"/>
                <w:sz w:val="24"/>
              </w:rPr>
              <w:t> </w:t>
            </w:r>
            <w:r>
              <w:rPr>
                <w:spacing w:val="-2"/>
                <w:sz w:val="24"/>
              </w:rPr>
              <w:t>value</w:t>
            </w:r>
            <w:r>
              <w:rPr>
                <w:spacing w:val="-12"/>
                <w:sz w:val="24"/>
              </w:rPr>
              <w:t> </w:t>
            </w:r>
            <w:r>
              <w:rPr>
                <w:spacing w:val="-2"/>
                <w:sz w:val="24"/>
              </w:rPr>
              <w:t>logic</w:t>
            </w:r>
            <w:r>
              <w:rPr>
                <w:spacing w:val="-13"/>
                <w:sz w:val="24"/>
              </w:rPr>
              <w:t> </w:t>
            </w:r>
            <w:r>
              <w:rPr>
                <w:spacing w:val="-2"/>
                <w:sz w:val="24"/>
              </w:rPr>
              <w:t>framework</w:t>
            </w:r>
            <w:r>
              <w:rPr>
                <w:spacing w:val="-13"/>
                <w:sz w:val="24"/>
              </w:rPr>
              <w:t> </w:t>
            </w:r>
            <w:r>
              <w:rPr>
                <w:spacing w:val="-2"/>
                <w:sz w:val="24"/>
              </w:rPr>
              <w:t>as</w:t>
            </w:r>
            <w:r>
              <w:rPr>
                <w:spacing w:val="-9"/>
                <w:sz w:val="24"/>
              </w:rPr>
              <w:t> </w:t>
            </w:r>
            <w:r>
              <w:rPr>
                <w:spacing w:val="-2"/>
                <w:sz w:val="24"/>
              </w:rPr>
              <w:t>the</w:t>
            </w:r>
            <w:r>
              <w:rPr>
                <w:spacing w:val="-12"/>
                <w:sz w:val="24"/>
              </w:rPr>
              <w:t> </w:t>
            </w:r>
            <w:r>
              <w:rPr>
                <w:spacing w:val="-2"/>
                <w:sz w:val="24"/>
              </w:rPr>
              <w:t>common</w:t>
            </w:r>
            <w:r>
              <w:rPr>
                <w:spacing w:val="-15"/>
                <w:sz w:val="24"/>
              </w:rPr>
              <w:t> </w:t>
            </w:r>
            <w:r>
              <w:rPr>
                <w:spacing w:val="-2"/>
                <w:sz w:val="24"/>
              </w:rPr>
              <w:t>basis</w:t>
            </w:r>
            <w:r>
              <w:rPr>
                <w:spacing w:val="-9"/>
                <w:sz w:val="24"/>
              </w:rPr>
              <w:t> </w:t>
            </w:r>
            <w:r>
              <w:rPr>
                <w:spacing w:val="-2"/>
                <w:sz w:val="24"/>
              </w:rPr>
              <w:t>for</w:t>
            </w:r>
            <w:r>
              <w:rPr>
                <w:spacing w:val="-9"/>
                <w:sz w:val="24"/>
              </w:rPr>
              <w:t> </w:t>
            </w:r>
            <w:r>
              <w:rPr>
                <w:spacing w:val="-2"/>
                <w:sz w:val="24"/>
              </w:rPr>
              <w:t>team</w:t>
            </w:r>
            <w:r>
              <w:rPr>
                <w:spacing w:val="-13"/>
                <w:sz w:val="24"/>
              </w:rPr>
              <w:t> </w:t>
            </w:r>
            <w:r>
              <w:rPr>
                <w:spacing w:val="-2"/>
                <w:sz w:val="24"/>
              </w:rPr>
              <w:t>working,</w:t>
            </w:r>
            <w:r>
              <w:rPr>
                <w:spacing w:val="-15"/>
                <w:sz w:val="24"/>
              </w:rPr>
              <w:t> </w:t>
            </w:r>
            <w:r>
              <w:rPr>
                <w:spacing w:val="-2"/>
                <w:sz w:val="24"/>
              </w:rPr>
              <w:t>options</w:t>
            </w:r>
            <w:r>
              <w:rPr>
                <w:spacing w:val="-13"/>
                <w:sz w:val="24"/>
              </w:rPr>
              <w:t> </w:t>
            </w:r>
            <w:r>
              <w:rPr>
                <w:spacing w:val="-2"/>
                <w:sz w:val="24"/>
              </w:rPr>
              <w:t>appraisal </w:t>
            </w:r>
            <w:r>
              <w:rPr>
                <w:sz w:val="24"/>
              </w:rPr>
              <w:t>and benefits and resilience.</w:t>
            </w:r>
          </w:p>
          <w:p>
            <w:pPr>
              <w:pStyle w:val="TableParagraph"/>
              <w:numPr>
                <w:ilvl w:val="0"/>
                <w:numId w:val="8"/>
              </w:numPr>
              <w:tabs>
                <w:tab w:pos="363" w:val="left" w:leader="none"/>
              </w:tabs>
              <w:spacing w:line="240" w:lineRule="auto" w:before="119" w:after="0"/>
              <w:ind w:left="110" w:right="184" w:firstLine="0"/>
              <w:jc w:val="left"/>
              <w:rPr>
                <w:sz w:val="24"/>
              </w:rPr>
            </w:pPr>
            <w:r>
              <w:rPr>
                <w:spacing w:val="-2"/>
                <w:sz w:val="24"/>
              </w:rPr>
              <w:t>Endorse the</w:t>
            </w:r>
            <w:r>
              <w:rPr>
                <w:spacing w:val="-5"/>
                <w:sz w:val="24"/>
              </w:rPr>
              <w:t> </w:t>
            </w:r>
            <w:r>
              <w:rPr>
                <w:spacing w:val="-2"/>
                <w:sz w:val="24"/>
              </w:rPr>
              <w:t>proposed</w:t>
            </w:r>
            <w:r>
              <w:rPr>
                <w:spacing w:val="-5"/>
                <w:sz w:val="24"/>
              </w:rPr>
              <w:t> </w:t>
            </w:r>
            <w:r>
              <w:rPr>
                <w:spacing w:val="-2"/>
                <w:sz w:val="24"/>
              </w:rPr>
              <w:t>regional</w:t>
            </w:r>
            <w:r>
              <w:rPr>
                <w:spacing w:val="-10"/>
                <w:sz w:val="24"/>
              </w:rPr>
              <w:t> </w:t>
            </w:r>
            <w:r>
              <w:rPr>
                <w:spacing w:val="-2"/>
                <w:sz w:val="24"/>
              </w:rPr>
              <w:t>LTA</w:t>
            </w:r>
            <w:r>
              <w:rPr>
                <w:spacing w:val="-11"/>
                <w:sz w:val="24"/>
              </w:rPr>
              <w:t> </w:t>
            </w:r>
            <w:r>
              <w:rPr>
                <w:spacing w:val="-2"/>
                <w:sz w:val="24"/>
              </w:rPr>
              <w:t>principles:</w:t>
            </w:r>
            <w:r>
              <w:rPr>
                <w:spacing w:val="-8"/>
                <w:sz w:val="24"/>
              </w:rPr>
              <w:t> </w:t>
            </w:r>
            <w:r>
              <w:rPr>
                <w:spacing w:val="-2"/>
                <w:sz w:val="24"/>
              </w:rPr>
              <w:t>pathway-led</w:t>
            </w:r>
            <w:r>
              <w:rPr>
                <w:spacing w:val="-5"/>
                <w:sz w:val="24"/>
              </w:rPr>
              <w:t> </w:t>
            </w:r>
            <w:r>
              <w:rPr>
                <w:spacing w:val="-2"/>
                <w:sz w:val="24"/>
              </w:rPr>
              <w:t>planning,</w:t>
            </w:r>
            <w:r>
              <w:rPr>
                <w:spacing w:val="-8"/>
                <w:sz w:val="24"/>
              </w:rPr>
              <w:t> </w:t>
            </w:r>
            <w:r>
              <w:rPr>
                <w:spacing w:val="-2"/>
                <w:sz w:val="24"/>
              </w:rPr>
              <w:t>open-book</w:t>
            </w:r>
            <w:r>
              <w:rPr>
                <w:spacing w:val="-6"/>
                <w:sz w:val="24"/>
              </w:rPr>
              <w:t> </w:t>
            </w:r>
            <w:r>
              <w:rPr>
                <w:spacing w:val="-2"/>
                <w:sz w:val="24"/>
              </w:rPr>
              <w:t>baselines, shared</w:t>
            </w:r>
            <w:r>
              <w:rPr>
                <w:spacing w:val="-15"/>
                <w:sz w:val="24"/>
              </w:rPr>
              <w:t> </w:t>
            </w:r>
            <w:r>
              <w:rPr>
                <w:spacing w:val="-2"/>
                <w:sz w:val="24"/>
              </w:rPr>
              <w:t>measures,</w:t>
            </w:r>
            <w:r>
              <w:rPr>
                <w:spacing w:val="-15"/>
                <w:sz w:val="24"/>
              </w:rPr>
              <w:t> </w:t>
            </w:r>
            <w:r>
              <w:rPr>
                <w:spacing w:val="-2"/>
                <w:sz w:val="24"/>
              </w:rPr>
              <w:t>transparent</w:t>
            </w:r>
            <w:r>
              <w:rPr>
                <w:spacing w:val="-14"/>
                <w:sz w:val="24"/>
              </w:rPr>
              <w:t> </w:t>
            </w:r>
            <w:r>
              <w:rPr>
                <w:spacing w:val="-2"/>
                <w:sz w:val="24"/>
              </w:rPr>
              <w:t>allocation</w:t>
            </w:r>
            <w:r>
              <w:rPr>
                <w:spacing w:val="-15"/>
                <w:sz w:val="24"/>
              </w:rPr>
              <w:t> </w:t>
            </w:r>
            <w:r>
              <w:rPr>
                <w:spacing w:val="-2"/>
                <w:sz w:val="24"/>
              </w:rPr>
              <w:t>of</w:t>
            </w:r>
            <w:r>
              <w:rPr>
                <w:spacing w:val="-14"/>
                <w:sz w:val="24"/>
              </w:rPr>
              <w:t> </w:t>
            </w:r>
            <w:r>
              <w:rPr>
                <w:spacing w:val="-2"/>
                <w:sz w:val="24"/>
              </w:rPr>
              <w:t>costs</w:t>
            </w:r>
            <w:r>
              <w:rPr>
                <w:spacing w:val="-8"/>
                <w:sz w:val="24"/>
              </w:rPr>
              <w:t> </w:t>
            </w:r>
            <w:r>
              <w:rPr>
                <w:spacing w:val="-2"/>
                <w:sz w:val="24"/>
              </w:rPr>
              <w:t>and</w:t>
            </w:r>
            <w:r>
              <w:rPr>
                <w:spacing w:val="-15"/>
                <w:sz w:val="24"/>
              </w:rPr>
              <w:t> </w:t>
            </w:r>
            <w:r>
              <w:rPr>
                <w:spacing w:val="-2"/>
                <w:sz w:val="24"/>
              </w:rPr>
              <w:t>benefits,</w:t>
            </w:r>
            <w:r>
              <w:rPr>
                <w:spacing w:val="-15"/>
                <w:sz w:val="24"/>
              </w:rPr>
              <w:t> </w:t>
            </w:r>
            <w:r>
              <w:rPr>
                <w:spacing w:val="-2"/>
                <w:sz w:val="24"/>
              </w:rPr>
              <w:t>and</w:t>
            </w:r>
            <w:r>
              <w:rPr>
                <w:spacing w:val="-11"/>
                <w:sz w:val="24"/>
              </w:rPr>
              <w:t> </w:t>
            </w:r>
            <w:r>
              <w:rPr>
                <w:spacing w:val="-2"/>
                <w:sz w:val="24"/>
              </w:rPr>
              <w:t>clear</w:t>
            </w:r>
            <w:r>
              <w:rPr>
                <w:spacing w:val="-13"/>
                <w:sz w:val="24"/>
              </w:rPr>
              <w:t> </w:t>
            </w:r>
            <w:r>
              <w:rPr>
                <w:spacing w:val="-2"/>
                <w:sz w:val="24"/>
              </w:rPr>
              <w:t>review</w:t>
            </w:r>
            <w:r>
              <w:rPr>
                <w:spacing w:val="-12"/>
                <w:sz w:val="24"/>
              </w:rPr>
              <w:t> </w:t>
            </w:r>
            <w:r>
              <w:rPr>
                <w:spacing w:val="-2"/>
                <w:sz w:val="24"/>
              </w:rPr>
              <w:t>and</w:t>
            </w:r>
            <w:r>
              <w:rPr>
                <w:spacing w:val="-12"/>
                <w:sz w:val="24"/>
              </w:rPr>
              <w:t> </w:t>
            </w:r>
            <w:r>
              <w:rPr>
                <w:spacing w:val="-2"/>
                <w:sz w:val="24"/>
              </w:rPr>
              <w:t>escalation </w:t>
            </w:r>
            <w:r>
              <w:rPr>
                <w:sz w:val="24"/>
              </w:rPr>
              <w:t>arrangements,</w:t>
            </w:r>
            <w:r>
              <w:rPr>
                <w:spacing w:val="-10"/>
                <w:sz w:val="24"/>
              </w:rPr>
              <w:t> </w:t>
            </w:r>
            <w:r>
              <w:rPr>
                <w:sz w:val="24"/>
              </w:rPr>
              <w:t>with Powys</w:t>
            </w:r>
            <w:r>
              <w:rPr>
                <w:spacing w:val="-8"/>
                <w:sz w:val="24"/>
              </w:rPr>
              <w:t> </w:t>
            </w:r>
            <w:r>
              <w:rPr>
                <w:sz w:val="24"/>
              </w:rPr>
              <w:t>engaged</w:t>
            </w:r>
            <w:r>
              <w:rPr>
                <w:spacing w:val="-1"/>
                <w:sz w:val="24"/>
              </w:rPr>
              <w:t> </w:t>
            </w:r>
            <w:r>
              <w:rPr>
                <w:sz w:val="24"/>
              </w:rPr>
              <w:t>where relevant.</w:t>
            </w:r>
          </w:p>
          <w:p>
            <w:pPr>
              <w:pStyle w:val="TableParagraph"/>
              <w:numPr>
                <w:ilvl w:val="0"/>
                <w:numId w:val="8"/>
              </w:numPr>
              <w:tabs>
                <w:tab w:pos="363" w:val="left" w:leader="none"/>
              </w:tabs>
              <w:spacing w:line="240" w:lineRule="auto" w:before="122" w:after="0"/>
              <w:ind w:left="110" w:right="141" w:firstLine="0"/>
              <w:jc w:val="left"/>
              <w:rPr>
                <w:sz w:val="24"/>
              </w:rPr>
            </w:pPr>
            <w:r>
              <w:rPr>
                <w:spacing w:val="-2"/>
                <w:sz w:val="24"/>
              </w:rPr>
              <w:t>Agree</w:t>
            </w:r>
            <w:r>
              <w:rPr>
                <w:spacing w:val="-15"/>
                <w:sz w:val="24"/>
              </w:rPr>
              <w:t> </w:t>
            </w:r>
            <w:r>
              <w:rPr>
                <w:spacing w:val="-2"/>
                <w:sz w:val="24"/>
              </w:rPr>
              <w:t>development</w:t>
            </w:r>
            <w:r>
              <w:rPr>
                <w:spacing w:val="-15"/>
                <w:sz w:val="24"/>
              </w:rPr>
              <w:t> </w:t>
            </w:r>
            <w:r>
              <w:rPr>
                <w:spacing w:val="-2"/>
                <w:sz w:val="24"/>
              </w:rPr>
              <w:t>and</w:t>
            </w:r>
            <w:r>
              <w:rPr>
                <w:spacing w:val="-14"/>
                <w:sz w:val="24"/>
              </w:rPr>
              <w:t> </w:t>
            </w:r>
            <w:r>
              <w:rPr>
                <w:spacing w:val="-2"/>
                <w:sz w:val="24"/>
              </w:rPr>
              <w:t>shadow</w:t>
            </w:r>
            <w:r>
              <w:rPr>
                <w:spacing w:val="-6"/>
                <w:sz w:val="24"/>
              </w:rPr>
              <w:t> </w:t>
            </w:r>
            <w:r>
              <w:rPr>
                <w:spacing w:val="-2"/>
                <w:sz w:val="24"/>
              </w:rPr>
              <w:t>testing</w:t>
            </w:r>
            <w:r>
              <w:rPr>
                <w:spacing w:val="-11"/>
                <w:sz w:val="24"/>
              </w:rPr>
              <w:t> </w:t>
            </w:r>
            <w:r>
              <w:rPr>
                <w:spacing w:val="-2"/>
                <w:sz w:val="24"/>
              </w:rPr>
              <w:t>of</w:t>
            </w:r>
            <w:r>
              <w:rPr>
                <w:spacing w:val="-14"/>
                <w:sz w:val="24"/>
              </w:rPr>
              <w:t> </w:t>
            </w:r>
            <w:r>
              <w:rPr>
                <w:spacing w:val="-2"/>
                <w:sz w:val="24"/>
              </w:rPr>
              <w:t>the</w:t>
            </w:r>
            <w:r>
              <w:rPr>
                <w:spacing w:val="-6"/>
                <w:sz w:val="24"/>
              </w:rPr>
              <w:t> </w:t>
            </w:r>
            <w:r>
              <w:rPr>
                <w:spacing w:val="-2"/>
                <w:sz w:val="24"/>
              </w:rPr>
              <w:t>orthopaedics</w:t>
            </w:r>
            <w:r>
              <w:rPr>
                <w:spacing w:val="-12"/>
                <w:sz w:val="24"/>
              </w:rPr>
              <w:t> </w:t>
            </w:r>
            <w:r>
              <w:rPr>
                <w:spacing w:val="-2"/>
                <w:sz w:val="24"/>
              </w:rPr>
              <w:t>funding</w:t>
            </w:r>
            <w:r>
              <w:rPr>
                <w:spacing w:val="-11"/>
                <w:sz w:val="24"/>
              </w:rPr>
              <w:t> </w:t>
            </w:r>
            <w:r>
              <w:rPr>
                <w:spacing w:val="-2"/>
                <w:sz w:val="24"/>
              </w:rPr>
              <w:t>model</w:t>
            </w:r>
            <w:r>
              <w:rPr>
                <w:spacing w:val="-11"/>
                <w:sz w:val="24"/>
              </w:rPr>
              <w:t> </w:t>
            </w:r>
            <w:r>
              <w:rPr>
                <w:spacing w:val="-2"/>
                <w:sz w:val="24"/>
              </w:rPr>
              <w:t>in</w:t>
            </w:r>
            <w:r>
              <w:rPr>
                <w:spacing w:val="-3"/>
                <w:sz w:val="24"/>
              </w:rPr>
              <w:t> </w:t>
            </w:r>
            <w:r>
              <w:rPr>
                <w:spacing w:val="-2"/>
                <w:sz w:val="24"/>
              </w:rPr>
              <w:t>Q4</w:t>
            </w:r>
            <w:r>
              <w:rPr>
                <w:spacing w:val="-15"/>
                <w:sz w:val="24"/>
              </w:rPr>
              <w:t> </w:t>
            </w:r>
            <w:r>
              <w:rPr>
                <w:spacing w:val="-2"/>
                <w:sz w:val="24"/>
              </w:rPr>
              <w:t>of</w:t>
            </w:r>
            <w:r>
              <w:rPr>
                <w:spacing w:val="-13"/>
                <w:sz w:val="24"/>
              </w:rPr>
              <w:t> </w:t>
            </w:r>
            <w:r>
              <w:rPr>
                <w:spacing w:val="-2"/>
                <w:sz w:val="24"/>
              </w:rPr>
              <w:t>2026/27. </w:t>
            </w:r>
            <w:r>
              <w:rPr>
                <w:sz w:val="24"/>
              </w:rPr>
              <w:t>This</w:t>
            </w:r>
            <w:r>
              <w:rPr>
                <w:spacing w:val="-13"/>
                <w:sz w:val="24"/>
              </w:rPr>
              <w:t> </w:t>
            </w:r>
            <w:r>
              <w:rPr>
                <w:sz w:val="24"/>
              </w:rPr>
              <w:t>does</w:t>
            </w:r>
            <w:r>
              <w:rPr>
                <w:spacing w:val="-13"/>
                <w:sz w:val="24"/>
              </w:rPr>
              <w:t> </w:t>
            </w:r>
            <w:r>
              <w:rPr>
                <w:sz w:val="24"/>
              </w:rPr>
              <w:t>not</w:t>
            </w:r>
            <w:r>
              <w:rPr>
                <w:spacing w:val="-14"/>
                <w:sz w:val="24"/>
              </w:rPr>
              <w:t> </w:t>
            </w:r>
            <w:r>
              <w:rPr>
                <w:sz w:val="24"/>
              </w:rPr>
              <w:t>approve</w:t>
            </w:r>
            <w:r>
              <w:rPr>
                <w:spacing w:val="-12"/>
                <w:sz w:val="24"/>
              </w:rPr>
              <w:t> </w:t>
            </w:r>
            <w:r>
              <w:rPr>
                <w:sz w:val="24"/>
              </w:rPr>
              <w:t>a</w:t>
            </w:r>
            <w:r>
              <w:rPr>
                <w:spacing w:val="-12"/>
                <w:sz w:val="24"/>
              </w:rPr>
              <w:t> </w:t>
            </w:r>
            <w:r>
              <w:rPr>
                <w:sz w:val="24"/>
              </w:rPr>
              <w:t>marginal</w:t>
            </w:r>
            <w:r>
              <w:rPr>
                <w:spacing w:val="-7"/>
                <w:sz w:val="24"/>
              </w:rPr>
              <w:t> </w:t>
            </w:r>
            <w:r>
              <w:rPr>
                <w:sz w:val="24"/>
              </w:rPr>
              <w:t>tariff,</w:t>
            </w:r>
            <w:r>
              <w:rPr>
                <w:spacing w:val="-14"/>
                <w:sz w:val="24"/>
              </w:rPr>
              <w:t> </w:t>
            </w:r>
            <w:r>
              <w:rPr>
                <w:sz w:val="24"/>
              </w:rPr>
              <w:t>outcome-payment</w:t>
            </w:r>
            <w:r>
              <w:rPr>
                <w:spacing w:val="-14"/>
                <w:sz w:val="24"/>
              </w:rPr>
              <w:t> </w:t>
            </w:r>
            <w:r>
              <w:rPr>
                <w:sz w:val="24"/>
              </w:rPr>
              <w:t>weighting</w:t>
            </w:r>
            <w:r>
              <w:rPr>
                <w:spacing w:val="-12"/>
                <w:sz w:val="24"/>
              </w:rPr>
              <w:t> </w:t>
            </w:r>
            <w:r>
              <w:rPr>
                <w:sz w:val="24"/>
              </w:rPr>
              <w:t>or</w:t>
            </w:r>
            <w:r>
              <w:rPr>
                <w:spacing w:val="-13"/>
                <w:sz w:val="24"/>
              </w:rPr>
              <w:t> </w:t>
            </w:r>
            <w:r>
              <w:rPr>
                <w:sz w:val="24"/>
              </w:rPr>
              <w:t>live</w:t>
            </w:r>
            <w:r>
              <w:rPr>
                <w:spacing w:val="-16"/>
                <w:sz w:val="24"/>
              </w:rPr>
              <w:t> </w:t>
            </w:r>
            <w:r>
              <w:rPr>
                <w:sz w:val="24"/>
              </w:rPr>
              <w:t>pooled</w:t>
            </w:r>
            <w:r>
              <w:rPr>
                <w:spacing w:val="-12"/>
                <w:sz w:val="24"/>
              </w:rPr>
              <w:t> </w:t>
            </w:r>
            <w:r>
              <w:rPr>
                <w:sz w:val="24"/>
              </w:rPr>
              <w:t>budget</w:t>
            </w:r>
            <w:r>
              <w:rPr>
                <w:spacing w:val="-12"/>
                <w:sz w:val="24"/>
              </w:rPr>
              <w:t> </w:t>
            </w:r>
            <w:r>
              <w:rPr>
                <w:sz w:val="24"/>
              </w:rPr>
              <w:t>at this stage.</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90"/>
        <w:rPr>
          <w:sz w:val="16"/>
        </w:rPr>
      </w:pPr>
    </w:p>
    <w:p>
      <w:pPr>
        <w:spacing w:before="0"/>
        <w:ind w:left="4" w:right="0" w:firstLine="0"/>
        <w:jc w:val="center"/>
        <w:rPr>
          <w:sz w:val="16"/>
        </w:rPr>
      </w:pPr>
      <w:r>
        <w:rPr>
          <w:spacing w:val="-2"/>
          <w:sz w:val="16"/>
        </w:rPr>
        <w:t>Page</w:t>
      </w:r>
      <w:r>
        <w:rPr>
          <w:spacing w:val="-7"/>
          <w:sz w:val="16"/>
        </w:rPr>
        <w:t> </w:t>
      </w:r>
      <w:r>
        <w:rPr>
          <w:spacing w:val="-2"/>
          <w:sz w:val="16"/>
        </w:rPr>
        <w:t>4</w:t>
      </w:r>
      <w:r>
        <w:rPr>
          <w:spacing w:val="-9"/>
          <w:sz w:val="16"/>
        </w:rPr>
        <w:t> </w:t>
      </w:r>
      <w:r>
        <w:rPr>
          <w:spacing w:val="-2"/>
          <w:sz w:val="16"/>
        </w:rPr>
        <w:t>of</w:t>
      </w:r>
      <w:r>
        <w:rPr>
          <w:spacing w:val="-9"/>
          <w:sz w:val="16"/>
        </w:rPr>
        <w:t> </w:t>
      </w:r>
      <w:r>
        <w:rPr>
          <w:spacing w:val="-10"/>
          <w:sz w:val="16"/>
        </w:rPr>
        <w:t>8</w:t>
      </w:r>
    </w:p>
    <w:p>
      <w:pPr>
        <w:spacing w:after="0"/>
        <w:jc w:val="center"/>
        <w:rPr>
          <w:sz w:val="16"/>
        </w:rPr>
        <w:sectPr>
          <w:pgSz w:w="11910" w:h="16840"/>
          <w:pgMar w:header="0" w:footer="149" w:top="1060" w:bottom="340" w:left="850" w:right="850"/>
        </w:sectPr>
      </w:pPr>
    </w:p>
    <w:p>
      <w:pPr>
        <w:tabs>
          <w:tab w:pos="11038" w:val="left" w:leader="none"/>
        </w:tabs>
        <w:spacing w:line="240" w:lineRule="auto"/>
        <w:ind w:left="49" w:right="0" w:firstLine="0"/>
        <w:rPr>
          <w:position w:val="4"/>
          <w:sz w:val="20"/>
        </w:rPr>
      </w:pPr>
      <w:r>
        <w:rPr>
          <w:sz w:val="20"/>
        </w:rPr>
        <w:drawing>
          <wp:inline distT="0" distB="0" distL="0" distR="0">
            <wp:extent cx="2446561" cy="536543"/>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7" cstate="print"/>
                    <a:stretch>
                      <a:fillRect/>
                    </a:stretch>
                  </pic:blipFill>
                  <pic:spPr>
                    <a:xfrm>
                      <a:off x="0" y="0"/>
                      <a:ext cx="2446561" cy="536543"/>
                    </a:xfrm>
                    <a:prstGeom prst="rect">
                      <a:avLst/>
                    </a:prstGeom>
                  </pic:spPr>
                </pic:pic>
              </a:graphicData>
            </a:graphic>
          </wp:inline>
        </w:drawing>
      </w:r>
      <w:r>
        <w:rPr>
          <w:sz w:val="20"/>
        </w:rPr>
      </w:r>
      <w:r>
        <w:rPr>
          <w:sz w:val="20"/>
        </w:rPr>
        <w:tab/>
      </w:r>
      <w:r>
        <w:rPr>
          <w:position w:val="4"/>
          <w:sz w:val="20"/>
        </w:rPr>
        <w:drawing>
          <wp:inline distT="0" distB="0" distL="0" distR="0">
            <wp:extent cx="2245665" cy="510349"/>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8" cstate="print"/>
                    <a:stretch>
                      <a:fillRect/>
                    </a:stretch>
                  </pic:blipFill>
                  <pic:spPr>
                    <a:xfrm>
                      <a:off x="0" y="0"/>
                      <a:ext cx="2245665" cy="510349"/>
                    </a:xfrm>
                    <a:prstGeom prst="rect">
                      <a:avLst/>
                    </a:prstGeom>
                  </pic:spPr>
                </pic:pic>
              </a:graphicData>
            </a:graphic>
          </wp:inline>
        </w:drawing>
      </w:r>
      <w:r>
        <w:rPr>
          <w:position w:val="4"/>
          <w:sz w:val="20"/>
        </w:rPr>
      </w:r>
    </w:p>
    <w:p>
      <w:pPr>
        <w:pStyle w:val="BodyText"/>
        <w:spacing w:before="83"/>
        <w:rPr>
          <w:sz w:val="20"/>
        </w:rPr>
      </w:pPr>
    </w:p>
    <w:p>
      <w:pPr>
        <w:spacing w:before="0"/>
        <w:ind w:left="50" w:right="0" w:firstLine="0"/>
        <w:jc w:val="left"/>
        <w:rPr>
          <w:b/>
          <w:sz w:val="20"/>
        </w:rPr>
      </w:pPr>
      <w:r>
        <w:rPr>
          <w:b/>
          <w:spacing w:val="-4"/>
          <w:sz w:val="20"/>
        </w:rPr>
        <w:t>Appendix</w:t>
      </w:r>
      <w:r>
        <w:rPr>
          <w:b/>
          <w:spacing w:val="5"/>
          <w:sz w:val="20"/>
        </w:rPr>
        <w:t> </w:t>
      </w:r>
      <w:r>
        <w:rPr>
          <w:b/>
          <w:spacing w:val="-4"/>
          <w:sz w:val="20"/>
        </w:rPr>
        <w:t>1:</w:t>
      </w:r>
      <w:r>
        <w:rPr>
          <w:b/>
          <w:spacing w:val="-2"/>
          <w:sz w:val="20"/>
        </w:rPr>
        <w:t> </w:t>
      </w:r>
      <w:r>
        <w:rPr>
          <w:b/>
          <w:spacing w:val="-4"/>
          <w:sz w:val="20"/>
        </w:rPr>
        <w:t>Value-based</w:t>
      </w:r>
      <w:r>
        <w:rPr>
          <w:b/>
          <w:spacing w:val="-1"/>
          <w:sz w:val="20"/>
        </w:rPr>
        <w:t> </w:t>
      </w:r>
      <w:r>
        <w:rPr>
          <w:b/>
          <w:spacing w:val="-4"/>
          <w:sz w:val="20"/>
        </w:rPr>
        <w:t>collaboration</w:t>
      </w:r>
      <w:r>
        <w:rPr>
          <w:b/>
          <w:spacing w:val="-1"/>
          <w:sz w:val="20"/>
        </w:rPr>
        <w:t> </w:t>
      </w:r>
      <w:r>
        <w:rPr>
          <w:b/>
          <w:spacing w:val="-4"/>
          <w:sz w:val="20"/>
        </w:rPr>
        <w:t>spectrum</w:t>
      </w:r>
    </w:p>
    <w:p>
      <w:pPr>
        <w:pStyle w:val="ListParagraph"/>
        <w:numPr>
          <w:ilvl w:val="0"/>
          <w:numId w:val="9"/>
        </w:numPr>
        <w:tabs>
          <w:tab w:pos="769" w:val="left" w:leader="none"/>
        </w:tabs>
        <w:spacing w:line="240" w:lineRule="auto" w:before="180" w:after="0"/>
        <w:ind w:left="769" w:right="0" w:hanging="359"/>
        <w:jc w:val="left"/>
        <w:rPr>
          <w:b/>
          <w:sz w:val="20"/>
        </w:rPr>
      </w:pPr>
      <w:r>
        <w:rPr>
          <w:b/>
          <w:spacing w:val="-2"/>
          <w:sz w:val="20"/>
        </w:rPr>
        <w:t>Introduction</w:t>
      </w:r>
    </w:p>
    <w:p>
      <w:pPr>
        <w:spacing w:before="175"/>
        <w:ind w:left="50" w:right="0" w:firstLine="0"/>
        <w:jc w:val="left"/>
        <w:rPr>
          <w:sz w:val="20"/>
        </w:rPr>
      </w:pPr>
      <w:r>
        <w:rPr>
          <w:spacing w:val="-2"/>
          <w:sz w:val="20"/>
        </w:rPr>
        <w:t>This</w:t>
      </w:r>
      <w:r>
        <w:rPr>
          <w:spacing w:val="-14"/>
          <w:sz w:val="20"/>
        </w:rPr>
        <w:t> </w:t>
      </w:r>
      <w:r>
        <w:rPr>
          <w:spacing w:val="-2"/>
          <w:sz w:val="20"/>
        </w:rPr>
        <w:t>appendix</w:t>
      </w:r>
      <w:r>
        <w:rPr>
          <w:spacing w:val="-12"/>
          <w:sz w:val="20"/>
        </w:rPr>
        <w:t> </w:t>
      </w:r>
      <w:r>
        <w:rPr>
          <w:spacing w:val="-2"/>
          <w:sz w:val="20"/>
        </w:rPr>
        <w:t>describes</w:t>
      </w:r>
      <w:r>
        <w:rPr>
          <w:spacing w:val="-12"/>
          <w:sz w:val="20"/>
        </w:rPr>
        <w:t> </w:t>
      </w:r>
      <w:r>
        <w:rPr>
          <w:spacing w:val="-2"/>
          <w:sz w:val="20"/>
        </w:rPr>
        <w:t>a</w:t>
      </w:r>
      <w:r>
        <w:rPr>
          <w:spacing w:val="-12"/>
          <w:sz w:val="20"/>
        </w:rPr>
        <w:t> </w:t>
      </w:r>
      <w:r>
        <w:rPr>
          <w:spacing w:val="-2"/>
          <w:sz w:val="20"/>
        </w:rPr>
        <w:t>framework</w:t>
      </w:r>
      <w:r>
        <w:rPr>
          <w:spacing w:val="-12"/>
          <w:sz w:val="20"/>
        </w:rPr>
        <w:t> </w:t>
      </w:r>
      <w:r>
        <w:rPr>
          <w:spacing w:val="-2"/>
          <w:sz w:val="20"/>
        </w:rPr>
        <w:t>which</w:t>
      </w:r>
      <w:r>
        <w:rPr>
          <w:spacing w:val="-12"/>
          <w:sz w:val="20"/>
        </w:rPr>
        <w:t> </w:t>
      </w:r>
      <w:r>
        <w:rPr>
          <w:spacing w:val="-2"/>
          <w:sz w:val="20"/>
        </w:rPr>
        <w:t>could</w:t>
      </w:r>
      <w:r>
        <w:rPr>
          <w:spacing w:val="-12"/>
          <w:sz w:val="20"/>
        </w:rPr>
        <w:t> </w:t>
      </w:r>
      <w:r>
        <w:rPr>
          <w:spacing w:val="-2"/>
          <w:sz w:val="20"/>
        </w:rPr>
        <w:t>be</w:t>
      </w:r>
      <w:r>
        <w:rPr>
          <w:spacing w:val="-12"/>
          <w:sz w:val="20"/>
        </w:rPr>
        <w:t> </w:t>
      </w:r>
      <w:r>
        <w:rPr>
          <w:spacing w:val="-2"/>
          <w:sz w:val="20"/>
        </w:rPr>
        <w:t>utilised</w:t>
      </w:r>
      <w:r>
        <w:rPr>
          <w:spacing w:val="-12"/>
          <w:sz w:val="20"/>
        </w:rPr>
        <w:t> </w:t>
      </w:r>
      <w:r>
        <w:rPr>
          <w:spacing w:val="-2"/>
          <w:sz w:val="20"/>
        </w:rPr>
        <w:t>for</w:t>
      </w:r>
      <w:r>
        <w:rPr>
          <w:spacing w:val="-11"/>
          <w:sz w:val="20"/>
        </w:rPr>
        <w:t> </w:t>
      </w:r>
      <w:r>
        <w:rPr>
          <w:spacing w:val="-2"/>
          <w:sz w:val="20"/>
        </w:rPr>
        <w:t>regional</w:t>
      </w:r>
      <w:r>
        <w:rPr>
          <w:spacing w:val="-12"/>
          <w:sz w:val="20"/>
        </w:rPr>
        <w:t> </w:t>
      </w:r>
      <w:r>
        <w:rPr>
          <w:spacing w:val="-2"/>
          <w:sz w:val="20"/>
        </w:rPr>
        <w:t>working,</w:t>
      </w:r>
      <w:r>
        <w:rPr>
          <w:spacing w:val="-12"/>
          <w:sz w:val="20"/>
        </w:rPr>
        <w:t> </w:t>
      </w:r>
      <w:r>
        <w:rPr>
          <w:spacing w:val="-2"/>
          <w:sz w:val="20"/>
        </w:rPr>
        <w:t>and</w:t>
      </w:r>
      <w:r>
        <w:rPr>
          <w:spacing w:val="-12"/>
          <w:sz w:val="20"/>
        </w:rPr>
        <w:t> </w:t>
      </w:r>
      <w:r>
        <w:rPr>
          <w:spacing w:val="-2"/>
          <w:sz w:val="20"/>
        </w:rPr>
        <w:t>proposes</w:t>
      </w:r>
      <w:r>
        <w:rPr>
          <w:spacing w:val="-12"/>
          <w:sz w:val="20"/>
        </w:rPr>
        <w:t> </w:t>
      </w:r>
      <w:r>
        <w:rPr>
          <w:spacing w:val="-2"/>
          <w:sz w:val="20"/>
        </w:rPr>
        <w:t>a</w:t>
      </w:r>
      <w:r>
        <w:rPr>
          <w:spacing w:val="-12"/>
          <w:sz w:val="20"/>
        </w:rPr>
        <w:t> </w:t>
      </w:r>
      <w:r>
        <w:rPr>
          <w:spacing w:val="-2"/>
          <w:sz w:val="20"/>
        </w:rPr>
        <w:t>value</w:t>
      </w:r>
      <w:r>
        <w:rPr>
          <w:spacing w:val="-12"/>
          <w:sz w:val="20"/>
        </w:rPr>
        <w:t> </w:t>
      </w:r>
      <w:r>
        <w:rPr>
          <w:spacing w:val="-2"/>
          <w:sz w:val="20"/>
        </w:rPr>
        <w:t>logic</w:t>
      </w:r>
      <w:r>
        <w:rPr>
          <w:spacing w:val="-12"/>
          <w:sz w:val="20"/>
        </w:rPr>
        <w:t> </w:t>
      </w:r>
      <w:r>
        <w:rPr>
          <w:spacing w:val="-2"/>
          <w:sz w:val="20"/>
        </w:rPr>
        <w:t>model</w:t>
      </w:r>
      <w:r>
        <w:rPr>
          <w:spacing w:val="-10"/>
          <w:sz w:val="20"/>
        </w:rPr>
        <w:t> </w:t>
      </w:r>
      <w:r>
        <w:rPr>
          <w:spacing w:val="-2"/>
          <w:sz w:val="20"/>
        </w:rPr>
        <w:t>for</w:t>
      </w:r>
      <w:r>
        <w:rPr>
          <w:spacing w:val="-12"/>
          <w:sz w:val="20"/>
        </w:rPr>
        <w:t> </w:t>
      </w:r>
      <w:r>
        <w:rPr>
          <w:spacing w:val="-2"/>
          <w:sz w:val="20"/>
        </w:rPr>
        <w:t>decision</w:t>
      </w:r>
      <w:r>
        <w:rPr>
          <w:spacing w:val="-8"/>
          <w:sz w:val="20"/>
        </w:rPr>
        <w:t> </w:t>
      </w:r>
      <w:r>
        <w:rPr>
          <w:spacing w:val="-2"/>
          <w:sz w:val="20"/>
        </w:rPr>
        <w:t>making.</w:t>
      </w:r>
    </w:p>
    <w:p>
      <w:pPr>
        <w:pStyle w:val="BodyText"/>
        <w:spacing w:before="1"/>
        <w:rPr>
          <w:sz w:val="20"/>
        </w:rPr>
      </w:pPr>
    </w:p>
    <w:p>
      <w:pPr>
        <w:spacing w:line="228" w:lineRule="exact" w:before="0"/>
        <w:ind w:left="50" w:right="0" w:firstLine="0"/>
        <w:jc w:val="left"/>
        <w:rPr>
          <w:sz w:val="20"/>
        </w:rPr>
      </w:pPr>
      <w:r>
        <w:rPr>
          <w:spacing w:val="-4"/>
          <w:sz w:val="20"/>
        </w:rPr>
        <w:t>The</w:t>
      </w:r>
      <w:r>
        <w:rPr>
          <w:spacing w:val="-2"/>
          <w:sz w:val="20"/>
        </w:rPr>
        <w:t> </w:t>
      </w:r>
      <w:r>
        <w:rPr>
          <w:spacing w:val="-4"/>
          <w:sz w:val="20"/>
        </w:rPr>
        <w:t>framework</w:t>
      </w:r>
      <w:r>
        <w:rPr>
          <w:spacing w:val="1"/>
          <w:sz w:val="20"/>
        </w:rPr>
        <w:t> </w:t>
      </w:r>
      <w:r>
        <w:rPr>
          <w:spacing w:val="-4"/>
          <w:sz w:val="20"/>
        </w:rPr>
        <w:t>recognises</w:t>
      </w:r>
      <w:r>
        <w:rPr>
          <w:spacing w:val="1"/>
          <w:sz w:val="20"/>
        </w:rPr>
        <w:t> </w:t>
      </w:r>
      <w:r>
        <w:rPr>
          <w:spacing w:val="-4"/>
          <w:sz w:val="20"/>
        </w:rPr>
        <w:t>a</w:t>
      </w:r>
      <w:r>
        <w:rPr>
          <w:spacing w:val="-3"/>
          <w:sz w:val="20"/>
        </w:rPr>
        <w:t> </w:t>
      </w:r>
      <w:r>
        <w:rPr>
          <w:spacing w:val="-4"/>
          <w:sz w:val="20"/>
        </w:rPr>
        <w:t>broad</w:t>
      </w:r>
      <w:r>
        <w:rPr>
          <w:spacing w:val="-1"/>
          <w:sz w:val="20"/>
        </w:rPr>
        <w:t> </w:t>
      </w:r>
      <w:r>
        <w:rPr>
          <w:spacing w:val="-4"/>
          <w:sz w:val="20"/>
        </w:rPr>
        <w:t>evidence</w:t>
      </w:r>
      <w:r>
        <w:rPr>
          <w:spacing w:val="-1"/>
          <w:sz w:val="20"/>
        </w:rPr>
        <w:t> </w:t>
      </w:r>
      <w:r>
        <w:rPr>
          <w:spacing w:val="-4"/>
          <w:sz w:val="20"/>
        </w:rPr>
        <w:t>base:</w:t>
      </w:r>
    </w:p>
    <w:p>
      <w:pPr>
        <w:pStyle w:val="ListParagraph"/>
        <w:numPr>
          <w:ilvl w:val="1"/>
          <w:numId w:val="9"/>
        </w:numPr>
        <w:tabs>
          <w:tab w:pos="770" w:val="left" w:leader="none"/>
        </w:tabs>
        <w:spacing w:line="264" w:lineRule="auto" w:before="0" w:after="0"/>
        <w:ind w:left="770" w:right="584" w:hanging="360"/>
        <w:jc w:val="left"/>
        <w:rPr>
          <w:sz w:val="20"/>
        </w:rPr>
      </w:pPr>
      <w:r>
        <w:rPr>
          <w:spacing w:val="-2"/>
          <w:sz w:val="20"/>
        </w:rPr>
        <w:t>There</w:t>
      </w:r>
      <w:r>
        <w:rPr>
          <w:spacing w:val="-12"/>
          <w:sz w:val="20"/>
        </w:rPr>
        <w:t> </w:t>
      </w:r>
      <w:r>
        <w:rPr>
          <w:spacing w:val="-2"/>
          <w:sz w:val="20"/>
        </w:rPr>
        <w:t>are</w:t>
      </w:r>
      <w:r>
        <w:rPr>
          <w:spacing w:val="-12"/>
          <w:sz w:val="20"/>
        </w:rPr>
        <w:t> </w:t>
      </w:r>
      <w:r>
        <w:rPr>
          <w:spacing w:val="-2"/>
          <w:sz w:val="20"/>
        </w:rPr>
        <w:t>various</w:t>
      </w:r>
      <w:r>
        <w:rPr>
          <w:spacing w:val="-12"/>
          <w:sz w:val="20"/>
        </w:rPr>
        <w:t> </w:t>
      </w:r>
      <w:r>
        <w:rPr>
          <w:spacing w:val="-2"/>
          <w:sz w:val="20"/>
        </w:rPr>
        <w:t>NHS</w:t>
      </w:r>
      <w:r>
        <w:rPr>
          <w:spacing w:val="-12"/>
          <w:sz w:val="20"/>
        </w:rPr>
        <w:t> </w:t>
      </w:r>
      <w:r>
        <w:rPr>
          <w:spacing w:val="-2"/>
          <w:sz w:val="20"/>
        </w:rPr>
        <w:t>England</w:t>
      </w:r>
      <w:r>
        <w:rPr>
          <w:spacing w:val="-12"/>
          <w:sz w:val="20"/>
        </w:rPr>
        <w:t> </w:t>
      </w:r>
      <w:r>
        <w:rPr>
          <w:spacing w:val="-2"/>
          <w:sz w:val="20"/>
        </w:rPr>
        <w:t>documents</w:t>
      </w:r>
      <w:r>
        <w:rPr>
          <w:spacing w:val="-12"/>
          <w:sz w:val="20"/>
        </w:rPr>
        <w:t> </w:t>
      </w:r>
      <w:r>
        <w:rPr>
          <w:spacing w:val="-2"/>
          <w:sz w:val="20"/>
        </w:rPr>
        <w:t>which</w:t>
      </w:r>
      <w:r>
        <w:rPr>
          <w:spacing w:val="-12"/>
          <w:sz w:val="20"/>
        </w:rPr>
        <w:t> </w:t>
      </w:r>
      <w:r>
        <w:rPr>
          <w:spacing w:val="-2"/>
          <w:sz w:val="20"/>
        </w:rPr>
        <w:t>through</w:t>
      </w:r>
      <w:r>
        <w:rPr>
          <w:spacing w:val="-8"/>
          <w:sz w:val="20"/>
        </w:rPr>
        <w:t> </w:t>
      </w:r>
      <w:r>
        <w:rPr>
          <w:spacing w:val="-2"/>
          <w:sz w:val="20"/>
        </w:rPr>
        <w:t>guidance</w:t>
      </w:r>
      <w:r>
        <w:rPr>
          <w:spacing w:val="-12"/>
          <w:sz w:val="20"/>
        </w:rPr>
        <w:t> </w:t>
      </w:r>
      <w:r>
        <w:rPr>
          <w:spacing w:val="-2"/>
          <w:sz w:val="20"/>
        </w:rPr>
        <w:t>and</w:t>
      </w:r>
      <w:r>
        <w:rPr>
          <w:spacing w:val="-12"/>
          <w:sz w:val="20"/>
        </w:rPr>
        <w:t> </w:t>
      </w:r>
      <w:r>
        <w:rPr>
          <w:spacing w:val="-2"/>
          <w:sz w:val="20"/>
        </w:rPr>
        <w:t>policy</w:t>
      </w:r>
      <w:r>
        <w:rPr>
          <w:spacing w:val="-11"/>
          <w:sz w:val="20"/>
        </w:rPr>
        <w:t> </w:t>
      </w:r>
      <w:r>
        <w:rPr>
          <w:spacing w:val="-2"/>
          <w:sz w:val="20"/>
        </w:rPr>
        <w:t>literature</w:t>
      </w:r>
      <w:r>
        <w:rPr>
          <w:spacing w:val="-12"/>
          <w:sz w:val="20"/>
        </w:rPr>
        <w:t> </w:t>
      </w:r>
      <w:r>
        <w:rPr>
          <w:spacing w:val="-2"/>
          <w:sz w:val="20"/>
        </w:rPr>
        <w:t>consistently</w:t>
      </w:r>
      <w:r>
        <w:rPr>
          <w:spacing w:val="-11"/>
          <w:sz w:val="20"/>
        </w:rPr>
        <w:t> </w:t>
      </w:r>
      <w:r>
        <w:rPr>
          <w:spacing w:val="-2"/>
          <w:sz w:val="20"/>
        </w:rPr>
        <w:t>describe</w:t>
      </w:r>
      <w:r>
        <w:rPr>
          <w:spacing w:val="-12"/>
          <w:sz w:val="20"/>
        </w:rPr>
        <w:t> </w:t>
      </w:r>
      <w:r>
        <w:rPr>
          <w:spacing w:val="-2"/>
          <w:sz w:val="20"/>
        </w:rPr>
        <w:t>collaboration</w:t>
      </w:r>
      <w:r>
        <w:rPr>
          <w:spacing w:val="-12"/>
          <w:sz w:val="20"/>
        </w:rPr>
        <w:t> </w:t>
      </w:r>
      <w:r>
        <w:rPr>
          <w:spacing w:val="-2"/>
          <w:sz w:val="20"/>
        </w:rPr>
        <w:t>as</w:t>
      </w:r>
      <w:r>
        <w:rPr>
          <w:spacing w:val="-12"/>
          <w:sz w:val="20"/>
        </w:rPr>
        <w:t> </w:t>
      </w:r>
      <w:r>
        <w:rPr>
          <w:spacing w:val="-2"/>
          <w:sz w:val="20"/>
        </w:rPr>
        <w:t>a</w:t>
      </w:r>
      <w:r>
        <w:rPr>
          <w:spacing w:val="-4"/>
          <w:sz w:val="20"/>
        </w:rPr>
        <w:t> </w:t>
      </w:r>
      <w:r>
        <w:rPr>
          <w:spacing w:val="-2"/>
          <w:sz w:val="20"/>
        </w:rPr>
        <w:t>range</w:t>
      </w:r>
      <w:r>
        <w:rPr>
          <w:spacing w:val="-12"/>
          <w:sz w:val="20"/>
        </w:rPr>
        <w:t> </w:t>
      </w:r>
      <w:r>
        <w:rPr>
          <w:spacing w:val="-2"/>
          <w:sz w:val="20"/>
        </w:rPr>
        <w:t>of</w:t>
      </w:r>
      <w:r>
        <w:rPr>
          <w:spacing w:val="-12"/>
          <w:sz w:val="20"/>
        </w:rPr>
        <w:t> </w:t>
      </w:r>
      <w:r>
        <w:rPr>
          <w:spacing w:val="-2"/>
          <w:sz w:val="20"/>
        </w:rPr>
        <w:t>arrangements,</w:t>
      </w:r>
      <w:r>
        <w:rPr>
          <w:spacing w:val="-12"/>
          <w:sz w:val="20"/>
        </w:rPr>
        <w:t> </w:t>
      </w:r>
      <w:r>
        <w:rPr>
          <w:spacing w:val="-2"/>
          <w:sz w:val="20"/>
        </w:rPr>
        <w:t>from </w:t>
      </w:r>
      <w:r>
        <w:rPr>
          <w:sz w:val="20"/>
        </w:rPr>
        <w:t>informal</w:t>
      </w:r>
      <w:r>
        <w:rPr>
          <w:spacing w:val="-14"/>
          <w:sz w:val="20"/>
        </w:rPr>
        <w:t> </w:t>
      </w:r>
      <w:r>
        <w:rPr>
          <w:sz w:val="20"/>
        </w:rPr>
        <w:t>cooperation</w:t>
      </w:r>
      <w:r>
        <w:rPr>
          <w:spacing w:val="-14"/>
          <w:sz w:val="20"/>
        </w:rPr>
        <w:t> </w:t>
      </w:r>
      <w:r>
        <w:rPr>
          <w:sz w:val="20"/>
        </w:rPr>
        <w:t>through</w:t>
      </w:r>
      <w:r>
        <w:rPr>
          <w:spacing w:val="-14"/>
          <w:sz w:val="20"/>
        </w:rPr>
        <w:t> </w:t>
      </w:r>
      <w:r>
        <w:rPr>
          <w:sz w:val="20"/>
        </w:rPr>
        <w:t>to</w:t>
      </w:r>
      <w:r>
        <w:rPr>
          <w:spacing w:val="-14"/>
          <w:sz w:val="20"/>
        </w:rPr>
        <w:t> </w:t>
      </w:r>
      <w:r>
        <w:rPr>
          <w:sz w:val="20"/>
        </w:rPr>
        <w:t>formal</w:t>
      </w:r>
      <w:r>
        <w:rPr>
          <w:spacing w:val="-14"/>
          <w:sz w:val="20"/>
        </w:rPr>
        <w:t> </w:t>
      </w:r>
      <w:r>
        <w:rPr>
          <w:sz w:val="20"/>
        </w:rPr>
        <w:t>integration,</w:t>
      </w:r>
      <w:r>
        <w:rPr>
          <w:spacing w:val="-14"/>
          <w:sz w:val="20"/>
        </w:rPr>
        <w:t> </w:t>
      </w:r>
      <w:r>
        <w:rPr>
          <w:sz w:val="20"/>
        </w:rPr>
        <w:t>with</w:t>
      </w:r>
      <w:r>
        <w:rPr>
          <w:spacing w:val="-14"/>
          <w:sz w:val="20"/>
        </w:rPr>
        <w:t> </w:t>
      </w:r>
      <w:r>
        <w:rPr>
          <w:sz w:val="20"/>
        </w:rPr>
        <w:t>governance</w:t>
      </w:r>
      <w:r>
        <w:rPr>
          <w:spacing w:val="-14"/>
          <w:sz w:val="20"/>
        </w:rPr>
        <w:t> </w:t>
      </w:r>
      <w:r>
        <w:rPr>
          <w:sz w:val="20"/>
        </w:rPr>
        <w:t>needing</w:t>
      </w:r>
      <w:r>
        <w:rPr>
          <w:spacing w:val="-14"/>
          <w:sz w:val="20"/>
        </w:rPr>
        <w:t> </w:t>
      </w:r>
      <w:r>
        <w:rPr>
          <w:sz w:val="20"/>
        </w:rPr>
        <w:t>to</w:t>
      </w:r>
      <w:r>
        <w:rPr>
          <w:spacing w:val="-13"/>
          <w:sz w:val="20"/>
        </w:rPr>
        <w:t> </w:t>
      </w:r>
      <w:r>
        <w:rPr>
          <w:sz w:val="20"/>
        </w:rPr>
        <w:t>vary</w:t>
      </w:r>
      <w:r>
        <w:rPr>
          <w:spacing w:val="-14"/>
          <w:sz w:val="20"/>
        </w:rPr>
        <w:t> </w:t>
      </w:r>
      <w:r>
        <w:rPr>
          <w:sz w:val="20"/>
        </w:rPr>
        <w:t>accordingly</w:t>
      </w:r>
      <w:hyperlink w:history="true" w:anchor="_bookmark0">
        <w:r>
          <w:rPr>
            <w:position w:val="6"/>
            <w:sz w:val="13"/>
          </w:rPr>
          <w:t>1</w:t>
        </w:r>
      </w:hyperlink>
      <w:r>
        <w:rPr>
          <w:sz w:val="20"/>
        </w:rPr>
        <w:t>.</w:t>
      </w:r>
    </w:p>
    <w:p>
      <w:pPr>
        <w:pStyle w:val="ListParagraph"/>
        <w:numPr>
          <w:ilvl w:val="1"/>
          <w:numId w:val="9"/>
        </w:numPr>
        <w:tabs>
          <w:tab w:pos="770" w:val="left" w:leader="none"/>
        </w:tabs>
        <w:spacing w:line="233" w:lineRule="exact" w:before="0" w:after="0"/>
        <w:ind w:left="770" w:right="0" w:hanging="360"/>
        <w:jc w:val="left"/>
        <w:rPr>
          <w:sz w:val="20"/>
        </w:rPr>
      </w:pPr>
      <w:r>
        <w:rPr>
          <w:spacing w:val="-4"/>
          <w:sz w:val="20"/>
        </w:rPr>
        <w:t>NAO</w:t>
      </w:r>
      <w:r>
        <w:rPr>
          <w:spacing w:val="-3"/>
          <w:sz w:val="20"/>
        </w:rPr>
        <w:t> </w:t>
      </w:r>
      <w:r>
        <w:rPr>
          <w:spacing w:val="-4"/>
          <w:sz w:val="20"/>
        </w:rPr>
        <w:t>and</w:t>
      </w:r>
      <w:r>
        <w:rPr>
          <w:spacing w:val="-1"/>
          <w:sz w:val="20"/>
        </w:rPr>
        <w:t> </w:t>
      </w:r>
      <w:r>
        <w:rPr>
          <w:spacing w:val="-4"/>
          <w:sz w:val="20"/>
        </w:rPr>
        <w:t>Audit</w:t>
      </w:r>
      <w:r>
        <w:rPr>
          <w:spacing w:val="-2"/>
          <w:sz w:val="20"/>
        </w:rPr>
        <w:t> </w:t>
      </w:r>
      <w:r>
        <w:rPr>
          <w:spacing w:val="-4"/>
          <w:sz w:val="20"/>
        </w:rPr>
        <w:t>Wales</w:t>
      </w:r>
      <w:r>
        <w:rPr>
          <w:spacing w:val="1"/>
          <w:sz w:val="20"/>
        </w:rPr>
        <w:t> </w:t>
      </w:r>
      <w:r>
        <w:rPr>
          <w:spacing w:val="-4"/>
          <w:sz w:val="20"/>
        </w:rPr>
        <w:t>have,</w:t>
      </w:r>
      <w:r>
        <w:rPr>
          <w:spacing w:val="-1"/>
          <w:sz w:val="20"/>
        </w:rPr>
        <w:t> </w:t>
      </w:r>
      <w:r>
        <w:rPr>
          <w:spacing w:val="-4"/>
          <w:sz w:val="20"/>
        </w:rPr>
        <w:t>in</w:t>
      </w:r>
      <w:r>
        <w:rPr>
          <w:spacing w:val="-2"/>
          <w:sz w:val="20"/>
        </w:rPr>
        <w:t> </w:t>
      </w:r>
      <w:r>
        <w:rPr>
          <w:spacing w:val="-4"/>
          <w:sz w:val="20"/>
        </w:rPr>
        <w:t>various</w:t>
      </w:r>
      <w:r>
        <w:rPr>
          <w:spacing w:val="1"/>
          <w:sz w:val="20"/>
        </w:rPr>
        <w:t> </w:t>
      </w:r>
      <w:r>
        <w:rPr>
          <w:spacing w:val="-4"/>
          <w:sz w:val="20"/>
        </w:rPr>
        <w:t>reports,</w:t>
      </w:r>
      <w:r>
        <w:rPr>
          <w:spacing w:val="-1"/>
          <w:sz w:val="20"/>
        </w:rPr>
        <w:t> </w:t>
      </w:r>
      <w:r>
        <w:rPr>
          <w:spacing w:val="-4"/>
          <w:sz w:val="20"/>
        </w:rPr>
        <w:t>highlighted</w:t>
      </w:r>
      <w:r>
        <w:rPr>
          <w:spacing w:val="4"/>
          <w:sz w:val="20"/>
        </w:rPr>
        <w:t> </w:t>
      </w:r>
      <w:r>
        <w:rPr>
          <w:spacing w:val="-4"/>
          <w:sz w:val="20"/>
        </w:rPr>
        <w:t>that</w:t>
      </w:r>
      <w:r>
        <w:rPr>
          <w:sz w:val="20"/>
        </w:rPr>
        <w:t> </w:t>
      </w:r>
      <w:r>
        <w:rPr>
          <w:spacing w:val="-4"/>
          <w:sz w:val="20"/>
        </w:rPr>
        <w:t>financial</w:t>
      </w:r>
      <w:r>
        <w:rPr>
          <w:spacing w:val="1"/>
          <w:sz w:val="20"/>
        </w:rPr>
        <w:t> </w:t>
      </w:r>
      <w:r>
        <w:rPr>
          <w:spacing w:val="-4"/>
          <w:sz w:val="20"/>
        </w:rPr>
        <w:t>constraint</w:t>
      </w:r>
      <w:r>
        <w:rPr>
          <w:spacing w:val="-1"/>
          <w:sz w:val="20"/>
        </w:rPr>
        <w:t> </w:t>
      </w:r>
      <w:r>
        <w:rPr>
          <w:spacing w:val="-4"/>
          <w:sz w:val="20"/>
        </w:rPr>
        <w:t>changes</w:t>
      </w:r>
      <w:r>
        <w:rPr>
          <w:sz w:val="20"/>
        </w:rPr>
        <w:t> </w:t>
      </w:r>
      <w:r>
        <w:rPr>
          <w:spacing w:val="-4"/>
          <w:sz w:val="20"/>
        </w:rPr>
        <w:t>the</w:t>
      </w:r>
      <w:r>
        <w:rPr>
          <w:spacing w:val="4"/>
          <w:sz w:val="20"/>
        </w:rPr>
        <w:t> </w:t>
      </w:r>
      <w:r>
        <w:rPr>
          <w:spacing w:val="-4"/>
          <w:sz w:val="20"/>
        </w:rPr>
        <w:t>decision</w:t>
      </w:r>
      <w:r>
        <w:rPr>
          <w:spacing w:val="-1"/>
          <w:sz w:val="20"/>
        </w:rPr>
        <w:t> </w:t>
      </w:r>
      <w:r>
        <w:rPr>
          <w:spacing w:val="-4"/>
          <w:sz w:val="20"/>
        </w:rPr>
        <w:t>context:</w:t>
      </w:r>
      <w:r>
        <w:rPr>
          <w:spacing w:val="-2"/>
          <w:sz w:val="20"/>
        </w:rPr>
        <w:t> </w:t>
      </w:r>
      <w:r>
        <w:rPr>
          <w:spacing w:val="-4"/>
          <w:sz w:val="20"/>
        </w:rPr>
        <w:t>maintaining</w:t>
      </w:r>
      <w:r>
        <w:rPr>
          <w:spacing w:val="2"/>
          <w:sz w:val="20"/>
        </w:rPr>
        <w:t> </w:t>
      </w:r>
      <w:r>
        <w:rPr>
          <w:spacing w:val="-4"/>
          <w:sz w:val="20"/>
        </w:rPr>
        <w:t>duplication</w:t>
      </w:r>
      <w:r>
        <w:rPr>
          <w:spacing w:val="-1"/>
          <w:sz w:val="20"/>
        </w:rPr>
        <w:t> </w:t>
      </w:r>
      <w:r>
        <w:rPr>
          <w:spacing w:val="-4"/>
          <w:sz w:val="20"/>
        </w:rPr>
        <w:t>or</w:t>
      </w:r>
      <w:r>
        <w:rPr>
          <w:spacing w:val="-2"/>
          <w:sz w:val="20"/>
        </w:rPr>
        <w:t> </w:t>
      </w:r>
      <w:r>
        <w:rPr>
          <w:spacing w:val="-4"/>
          <w:sz w:val="20"/>
        </w:rPr>
        <w:t>autonomy</w:t>
      </w:r>
      <w:r>
        <w:rPr>
          <w:spacing w:val="-6"/>
          <w:sz w:val="20"/>
        </w:rPr>
        <w:t> </w:t>
      </w:r>
      <w:r>
        <w:rPr>
          <w:spacing w:val="-4"/>
          <w:sz w:val="20"/>
        </w:rPr>
        <w:t>is</w:t>
      </w:r>
      <w:r>
        <w:rPr>
          <w:spacing w:val="1"/>
          <w:sz w:val="20"/>
        </w:rPr>
        <w:t> </w:t>
      </w:r>
      <w:r>
        <w:rPr>
          <w:spacing w:val="-4"/>
          <w:sz w:val="20"/>
        </w:rPr>
        <w:t>increasingly</w:t>
      </w:r>
    </w:p>
    <w:p>
      <w:pPr>
        <w:spacing w:before="22"/>
        <w:ind w:left="770" w:right="0" w:firstLine="0"/>
        <w:jc w:val="left"/>
        <w:rPr>
          <w:sz w:val="20"/>
        </w:rPr>
      </w:pPr>
      <w:r>
        <w:rPr>
          <w:spacing w:val="-4"/>
          <w:sz w:val="20"/>
        </w:rPr>
        <w:t>challenging</w:t>
      </w:r>
      <w:r>
        <w:rPr>
          <w:spacing w:val="-5"/>
          <w:sz w:val="20"/>
        </w:rPr>
        <w:t> </w:t>
      </w:r>
      <w:r>
        <w:rPr>
          <w:spacing w:val="-4"/>
          <w:sz w:val="20"/>
        </w:rPr>
        <w:t>to</w:t>
      </w:r>
      <w:r>
        <w:rPr>
          <w:spacing w:val="-3"/>
          <w:sz w:val="20"/>
        </w:rPr>
        <w:t> </w:t>
      </w:r>
      <w:r>
        <w:rPr>
          <w:spacing w:val="-4"/>
          <w:sz w:val="20"/>
        </w:rPr>
        <w:t>justify.</w:t>
      </w:r>
    </w:p>
    <w:p>
      <w:pPr>
        <w:pStyle w:val="ListParagraph"/>
        <w:numPr>
          <w:ilvl w:val="1"/>
          <w:numId w:val="9"/>
        </w:numPr>
        <w:tabs>
          <w:tab w:pos="770" w:val="left" w:leader="none"/>
        </w:tabs>
        <w:spacing w:line="259" w:lineRule="auto" w:before="11" w:after="0"/>
        <w:ind w:left="770" w:right="355" w:hanging="360"/>
        <w:jc w:val="left"/>
        <w:rPr>
          <w:sz w:val="20"/>
        </w:rPr>
      </w:pPr>
      <w:r>
        <w:rPr>
          <w:spacing w:val="-2"/>
          <w:sz w:val="20"/>
        </w:rPr>
        <w:t>The</w:t>
      </w:r>
      <w:r>
        <w:rPr>
          <w:spacing w:val="-12"/>
          <w:sz w:val="20"/>
        </w:rPr>
        <w:t> </w:t>
      </w:r>
      <w:r>
        <w:rPr>
          <w:spacing w:val="-2"/>
          <w:sz w:val="20"/>
        </w:rPr>
        <w:t>literature</w:t>
      </w:r>
      <w:r>
        <w:rPr>
          <w:spacing w:val="-12"/>
          <w:sz w:val="20"/>
        </w:rPr>
        <w:t> </w:t>
      </w:r>
      <w:r>
        <w:rPr>
          <w:spacing w:val="-2"/>
          <w:sz w:val="20"/>
        </w:rPr>
        <w:t>emphasises</w:t>
      </w:r>
      <w:r>
        <w:rPr>
          <w:spacing w:val="-12"/>
          <w:sz w:val="20"/>
        </w:rPr>
        <w:t> </w:t>
      </w:r>
      <w:r>
        <w:rPr>
          <w:spacing w:val="-2"/>
          <w:sz w:val="20"/>
        </w:rPr>
        <w:t>that</w:t>
      </w:r>
      <w:r>
        <w:rPr>
          <w:spacing w:val="-12"/>
          <w:sz w:val="20"/>
        </w:rPr>
        <w:t> </w:t>
      </w:r>
      <w:r>
        <w:rPr>
          <w:spacing w:val="-2"/>
          <w:sz w:val="20"/>
        </w:rPr>
        <w:t>collaboration</w:t>
      </w:r>
      <w:r>
        <w:rPr>
          <w:spacing w:val="-12"/>
          <w:sz w:val="20"/>
        </w:rPr>
        <w:t> </w:t>
      </w:r>
      <w:r>
        <w:rPr>
          <w:spacing w:val="-2"/>
          <w:sz w:val="20"/>
        </w:rPr>
        <w:t>should</w:t>
      </w:r>
      <w:r>
        <w:rPr>
          <w:spacing w:val="-12"/>
          <w:sz w:val="20"/>
        </w:rPr>
        <w:t> </w:t>
      </w:r>
      <w:r>
        <w:rPr>
          <w:spacing w:val="-2"/>
          <w:sz w:val="20"/>
        </w:rPr>
        <w:t>be</w:t>
      </w:r>
      <w:r>
        <w:rPr>
          <w:spacing w:val="-12"/>
          <w:sz w:val="20"/>
        </w:rPr>
        <w:t> </w:t>
      </w:r>
      <w:r>
        <w:rPr>
          <w:spacing w:val="-2"/>
          <w:sz w:val="20"/>
        </w:rPr>
        <w:t>justified</w:t>
      </w:r>
      <w:r>
        <w:rPr>
          <w:spacing w:val="-12"/>
          <w:sz w:val="20"/>
        </w:rPr>
        <w:t> </w:t>
      </w:r>
      <w:r>
        <w:rPr>
          <w:spacing w:val="-2"/>
          <w:sz w:val="20"/>
        </w:rPr>
        <w:t>by</w:t>
      </w:r>
      <w:r>
        <w:rPr>
          <w:spacing w:val="-12"/>
          <w:sz w:val="20"/>
        </w:rPr>
        <w:t> </w:t>
      </w:r>
      <w:r>
        <w:rPr>
          <w:spacing w:val="-2"/>
          <w:sz w:val="20"/>
        </w:rPr>
        <w:t>outcomes,</w:t>
      </w:r>
      <w:r>
        <w:rPr>
          <w:spacing w:val="-11"/>
          <w:sz w:val="20"/>
        </w:rPr>
        <w:t> </w:t>
      </w:r>
      <w:r>
        <w:rPr>
          <w:spacing w:val="-2"/>
          <w:sz w:val="20"/>
        </w:rPr>
        <w:t>value,</w:t>
      </w:r>
      <w:r>
        <w:rPr>
          <w:spacing w:val="-12"/>
          <w:sz w:val="20"/>
        </w:rPr>
        <w:t> </w:t>
      </w:r>
      <w:r>
        <w:rPr>
          <w:spacing w:val="-2"/>
          <w:sz w:val="20"/>
        </w:rPr>
        <w:t>and</w:t>
      </w:r>
      <w:r>
        <w:rPr>
          <w:spacing w:val="-12"/>
          <w:sz w:val="20"/>
        </w:rPr>
        <w:t> </w:t>
      </w:r>
      <w:r>
        <w:rPr>
          <w:spacing w:val="-2"/>
          <w:sz w:val="20"/>
        </w:rPr>
        <w:t>system</w:t>
      </w:r>
      <w:r>
        <w:rPr>
          <w:spacing w:val="-11"/>
          <w:sz w:val="20"/>
        </w:rPr>
        <w:t> </w:t>
      </w:r>
      <w:r>
        <w:rPr>
          <w:spacing w:val="-2"/>
          <w:sz w:val="20"/>
        </w:rPr>
        <w:t>benefit,</w:t>
      </w:r>
      <w:r>
        <w:rPr>
          <w:spacing w:val="-8"/>
          <w:sz w:val="20"/>
        </w:rPr>
        <w:t> </w:t>
      </w:r>
      <w:r>
        <w:rPr>
          <w:spacing w:val="-2"/>
          <w:sz w:val="20"/>
        </w:rPr>
        <w:t>not</w:t>
      </w:r>
      <w:r>
        <w:rPr>
          <w:spacing w:val="-12"/>
          <w:sz w:val="20"/>
        </w:rPr>
        <w:t> </w:t>
      </w:r>
      <w:r>
        <w:rPr>
          <w:spacing w:val="-2"/>
          <w:sz w:val="20"/>
        </w:rPr>
        <w:t>structural</w:t>
      </w:r>
      <w:r>
        <w:rPr>
          <w:spacing w:val="-11"/>
          <w:sz w:val="20"/>
        </w:rPr>
        <w:t> </w:t>
      </w:r>
      <w:r>
        <w:rPr>
          <w:spacing w:val="-2"/>
          <w:sz w:val="20"/>
        </w:rPr>
        <w:t>preference</w:t>
      </w:r>
      <w:hyperlink w:history="true" w:anchor="_bookmark1">
        <w:r>
          <w:rPr>
            <w:spacing w:val="-2"/>
            <w:position w:val="6"/>
            <w:sz w:val="13"/>
          </w:rPr>
          <w:t>2</w:t>
        </w:r>
      </w:hyperlink>
      <w:r>
        <w:rPr>
          <w:spacing w:val="-2"/>
          <w:sz w:val="20"/>
        </w:rPr>
        <w:t>.</w:t>
      </w:r>
      <w:r>
        <w:rPr>
          <w:spacing w:val="-12"/>
          <w:sz w:val="20"/>
        </w:rPr>
        <w:t> </w:t>
      </w:r>
      <w:r>
        <w:rPr>
          <w:spacing w:val="-2"/>
          <w:sz w:val="20"/>
        </w:rPr>
        <w:t>NHS</w:t>
      </w:r>
      <w:r>
        <w:rPr>
          <w:spacing w:val="-11"/>
          <w:sz w:val="20"/>
        </w:rPr>
        <w:t> </w:t>
      </w:r>
      <w:r>
        <w:rPr>
          <w:spacing w:val="-2"/>
          <w:sz w:val="20"/>
        </w:rPr>
        <w:t>England</w:t>
      </w:r>
      <w:r>
        <w:rPr>
          <w:spacing w:val="-9"/>
          <w:sz w:val="20"/>
        </w:rPr>
        <w:t> </w:t>
      </w:r>
      <w:r>
        <w:rPr>
          <w:spacing w:val="-2"/>
          <w:sz w:val="20"/>
        </w:rPr>
        <w:t>(2021)</w:t>
      </w:r>
      <w:r>
        <w:rPr>
          <w:spacing w:val="-12"/>
          <w:sz w:val="20"/>
        </w:rPr>
        <w:t> </w:t>
      </w:r>
      <w:r>
        <w:rPr>
          <w:spacing w:val="-2"/>
          <w:sz w:val="20"/>
        </w:rPr>
        <w:t>and</w:t>
      </w:r>
      <w:r>
        <w:rPr>
          <w:spacing w:val="-8"/>
          <w:sz w:val="20"/>
        </w:rPr>
        <w:t> </w:t>
      </w:r>
      <w:r>
        <w:rPr>
          <w:spacing w:val="-2"/>
          <w:sz w:val="20"/>
        </w:rPr>
        <w:t>The King’s</w:t>
      </w:r>
      <w:r>
        <w:rPr>
          <w:spacing w:val="-5"/>
          <w:sz w:val="20"/>
        </w:rPr>
        <w:t> </w:t>
      </w:r>
      <w:r>
        <w:rPr>
          <w:spacing w:val="-2"/>
          <w:sz w:val="20"/>
        </w:rPr>
        <w:t>Fund</w:t>
      </w:r>
      <w:r>
        <w:rPr>
          <w:spacing w:val="-10"/>
          <w:sz w:val="20"/>
        </w:rPr>
        <w:t> </w:t>
      </w:r>
      <w:r>
        <w:rPr>
          <w:spacing w:val="-2"/>
          <w:sz w:val="20"/>
        </w:rPr>
        <w:t>(2022)</w:t>
      </w:r>
      <w:r>
        <w:rPr>
          <w:spacing w:val="-11"/>
          <w:sz w:val="20"/>
        </w:rPr>
        <w:t> </w:t>
      </w:r>
      <w:r>
        <w:rPr>
          <w:spacing w:val="-2"/>
          <w:sz w:val="20"/>
        </w:rPr>
        <w:t>specifically</w:t>
      </w:r>
      <w:r>
        <w:rPr>
          <w:spacing w:val="-8"/>
          <w:sz w:val="20"/>
        </w:rPr>
        <w:t> </w:t>
      </w:r>
      <w:r>
        <w:rPr>
          <w:spacing w:val="-2"/>
          <w:sz w:val="20"/>
        </w:rPr>
        <w:t>recognise</w:t>
      </w:r>
      <w:r>
        <w:rPr>
          <w:spacing w:val="-10"/>
          <w:sz w:val="20"/>
        </w:rPr>
        <w:t> </w:t>
      </w:r>
      <w:r>
        <w:rPr>
          <w:spacing w:val="-2"/>
          <w:sz w:val="20"/>
        </w:rPr>
        <w:t>collaboratives</w:t>
      </w:r>
      <w:r>
        <w:rPr>
          <w:spacing w:val="-9"/>
          <w:sz w:val="20"/>
        </w:rPr>
        <w:t> </w:t>
      </w:r>
      <w:r>
        <w:rPr>
          <w:spacing w:val="-2"/>
          <w:sz w:val="20"/>
        </w:rPr>
        <w:t>as</w:t>
      </w:r>
      <w:r>
        <w:rPr>
          <w:spacing w:val="-12"/>
          <w:sz w:val="20"/>
        </w:rPr>
        <w:t> </w:t>
      </w:r>
      <w:r>
        <w:rPr>
          <w:spacing w:val="-2"/>
          <w:sz w:val="20"/>
        </w:rPr>
        <w:t>intended</w:t>
      </w:r>
      <w:r>
        <w:rPr>
          <w:spacing w:val="-10"/>
          <w:sz w:val="20"/>
        </w:rPr>
        <w:t> </w:t>
      </w:r>
      <w:r>
        <w:rPr>
          <w:spacing w:val="-2"/>
          <w:sz w:val="20"/>
        </w:rPr>
        <w:t>to</w:t>
      </w:r>
      <w:r>
        <w:rPr>
          <w:spacing w:val="-11"/>
          <w:sz w:val="20"/>
        </w:rPr>
        <w:t> </w:t>
      </w:r>
      <w:r>
        <w:rPr>
          <w:spacing w:val="-2"/>
          <w:sz w:val="20"/>
        </w:rPr>
        <w:t>address</w:t>
      </w:r>
      <w:r>
        <w:rPr>
          <w:spacing w:val="-8"/>
          <w:sz w:val="20"/>
        </w:rPr>
        <w:t> </w:t>
      </w:r>
      <w:r>
        <w:rPr>
          <w:spacing w:val="-2"/>
          <w:sz w:val="20"/>
        </w:rPr>
        <w:t>unwarranted</w:t>
      </w:r>
      <w:r>
        <w:rPr>
          <w:spacing w:val="-10"/>
          <w:sz w:val="20"/>
        </w:rPr>
        <w:t> </w:t>
      </w:r>
      <w:r>
        <w:rPr>
          <w:spacing w:val="-2"/>
          <w:sz w:val="20"/>
        </w:rPr>
        <w:t>variation,</w:t>
      </w:r>
      <w:r>
        <w:rPr>
          <w:spacing w:val="-9"/>
          <w:sz w:val="20"/>
        </w:rPr>
        <w:t> </w:t>
      </w:r>
      <w:r>
        <w:rPr>
          <w:spacing w:val="-2"/>
          <w:sz w:val="20"/>
        </w:rPr>
        <w:t>increase</w:t>
      </w:r>
      <w:r>
        <w:rPr>
          <w:spacing w:val="-10"/>
          <w:sz w:val="20"/>
        </w:rPr>
        <w:t> </w:t>
      </w:r>
      <w:r>
        <w:rPr>
          <w:spacing w:val="-2"/>
          <w:sz w:val="20"/>
        </w:rPr>
        <w:t>resilience,</w:t>
      </w:r>
      <w:r>
        <w:rPr>
          <w:spacing w:val="-9"/>
          <w:sz w:val="20"/>
        </w:rPr>
        <w:t> </w:t>
      </w:r>
      <w:r>
        <w:rPr>
          <w:spacing w:val="-2"/>
          <w:sz w:val="20"/>
        </w:rPr>
        <w:t>address</w:t>
      </w:r>
      <w:r>
        <w:rPr>
          <w:spacing w:val="-9"/>
          <w:sz w:val="20"/>
        </w:rPr>
        <w:t> </w:t>
      </w:r>
      <w:r>
        <w:rPr>
          <w:spacing w:val="-2"/>
          <w:sz w:val="20"/>
        </w:rPr>
        <w:t>fragility</w:t>
      </w:r>
      <w:r>
        <w:rPr>
          <w:spacing w:val="-9"/>
          <w:sz w:val="20"/>
        </w:rPr>
        <w:t> </w:t>
      </w:r>
      <w:r>
        <w:rPr>
          <w:spacing w:val="-2"/>
          <w:sz w:val="20"/>
        </w:rPr>
        <w:t>and</w:t>
      </w:r>
      <w:r>
        <w:rPr>
          <w:spacing w:val="-10"/>
          <w:sz w:val="20"/>
        </w:rPr>
        <w:t> </w:t>
      </w:r>
      <w:r>
        <w:rPr>
          <w:spacing w:val="-2"/>
          <w:sz w:val="20"/>
        </w:rPr>
        <w:t>create</w:t>
      </w:r>
      <w:r>
        <w:rPr>
          <w:spacing w:val="-10"/>
          <w:sz w:val="20"/>
        </w:rPr>
        <w:t> </w:t>
      </w:r>
      <w:r>
        <w:rPr>
          <w:spacing w:val="-2"/>
          <w:sz w:val="20"/>
        </w:rPr>
        <w:t>efficiency opportunities.</w:t>
      </w:r>
    </w:p>
    <w:p>
      <w:pPr>
        <w:pStyle w:val="ListParagraph"/>
        <w:numPr>
          <w:ilvl w:val="1"/>
          <w:numId w:val="9"/>
        </w:numPr>
        <w:tabs>
          <w:tab w:pos="770" w:val="left" w:leader="none"/>
        </w:tabs>
        <w:spacing w:line="244" w:lineRule="exact" w:before="0" w:after="0"/>
        <w:ind w:left="770" w:right="0" w:hanging="360"/>
        <w:jc w:val="left"/>
        <w:rPr>
          <w:sz w:val="20"/>
        </w:rPr>
      </w:pPr>
      <w:r>
        <w:rPr>
          <w:spacing w:val="-2"/>
          <w:sz w:val="20"/>
        </w:rPr>
        <w:t>There</w:t>
      </w:r>
      <w:r>
        <w:rPr>
          <w:spacing w:val="-14"/>
          <w:sz w:val="20"/>
        </w:rPr>
        <w:t> </w:t>
      </w:r>
      <w:r>
        <w:rPr>
          <w:spacing w:val="-2"/>
          <w:sz w:val="20"/>
        </w:rPr>
        <w:t>is</w:t>
      </w:r>
      <w:r>
        <w:rPr>
          <w:spacing w:val="-12"/>
          <w:sz w:val="20"/>
        </w:rPr>
        <w:t> </w:t>
      </w:r>
      <w:r>
        <w:rPr>
          <w:spacing w:val="-2"/>
          <w:sz w:val="20"/>
        </w:rPr>
        <w:t>strong</w:t>
      </w:r>
      <w:r>
        <w:rPr>
          <w:spacing w:val="-12"/>
          <w:sz w:val="20"/>
        </w:rPr>
        <w:t> </w:t>
      </w:r>
      <w:r>
        <w:rPr>
          <w:spacing w:val="-2"/>
          <w:sz w:val="20"/>
        </w:rPr>
        <w:t>precedent</w:t>
      </w:r>
      <w:r>
        <w:rPr>
          <w:spacing w:val="-12"/>
          <w:sz w:val="20"/>
        </w:rPr>
        <w:t> </w:t>
      </w:r>
      <w:r>
        <w:rPr>
          <w:spacing w:val="-2"/>
          <w:sz w:val="20"/>
        </w:rPr>
        <w:t>in</w:t>
      </w:r>
      <w:r>
        <w:rPr>
          <w:spacing w:val="-12"/>
          <w:sz w:val="20"/>
        </w:rPr>
        <w:t> </w:t>
      </w:r>
      <w:r>
        <w:rPr>
          <w:spacing w:val="-2"/>
          <w:sz w:val="20"/>
        </w:rPr>
        <w:t>NHS</w:t>
      </w:r>
      <w:r>
        <w:rPr>
          <w:spacing w:val="-12"/>
          <w:sz w:val="20"/>
        </w:rPr>
        <w:t> </w:t>
      </w:r>
      <w:r>
        <w:rPr>
          <w:spacing w:val="-2"/>
          <w:sz w:val="20"/>
        </w:rPr>
        <w:t>and</w:t>
      </w:r>
      <w:r>
        <w:rPr>
          <w:spacing w:val="-12"/>
          <w:sz w:val="20"/>
        </w:rPr>
        <w:t> </w:t>
      </w:r>
      <w:r>
        <w:rPr>
          <w:spacing w:val="-2"/>
          <w:sz w:val="20"/>
        </w:rPr>
        <w:t>public</w:t>
      </w:r>
      <w:r>
        <w:rPr>
          <w:spacing w:val="-12"/>
          <w:sz w:val="20"/>
        </w:rPr>
        <w:t> </w:t>
      </w:r>
      <w:r>
        <w:rPr>
          <w:spacing w:val="-2"/>
          <w:sz w:val="20"/>
        </w:rPr>
        <w:t>sector</w:t>
      </w:r>
      <w:r>
        <w:rPr>
          <w:spacing w:val="-12"/>
          <w:sz w:val="20"/>
        </w:rPr>
        <w:t> </w:t>
      </w:r>
      <w:r>
        <w:rPr>
          <w:spacing w:val="-2"/>
          <w:sz w:val="20"/>
        </w:rPr>
        <w:t>practice</w:t>
      </w:r>
      <w:r>
        <w:rPr>
          <w:spacing w:val="-11"/>
          <w:sz w:val="20"/>
        </w:rPr>
        <w:t> </w:t>
      </w:r>
      <w:r>
        <w:rPr>
          <w:spacing w:val="-2"/>
          <w:sz w:val="20"/>
        </w:rPr>
        <w:t>for</w:t>
      </w:r>
      <w:r>
        <w:rPr>
          <w:spacing w:val="-10"/>
          <w:sz w:val="20"/>
        </w:rPr>
        <w:t> </w:t>
      </w:r>
      <w:r>
        <w:rPr>
          <w:spacing w:val="-2"/>
          <w:sz w:val="20"/>
        </w:rPr>
        <w:t>requiring</w:t>
      </w:r>
      <w:r>
        <w:rPr>
          <w:spacing w:val="-12"/>
          <w:sz w:val="20"/>
        </w:rPr>
        <w:t> </w:t>
      </w:r>
      <w:r>
        <w:rPr>
          <w:spacing w:val="-2"/>
          <w:sz w:val="20"/>
        </w:rPr>
        <w:t>collaborations</w:t>
      </w:r>
      <w:r>
        <w:rPr>
          <w:spacing w:val="-11"/>
          <w:sz w:val="20"/>
        </w:rPr>
        <w:t> </w:t>
      </w:r>
      <w:r>
        <w:rPr>
          <w:spacing w:val="-2"/>
          <w:sz w:val="20"/>
        </w:rPr>
        <w:t>to</w:t>
      </w:r>
      <w:r>
        <w:rPr>
          <w:spacing w:val="-12"/>
          <w:sz w:val="20"/>
        </w:rPr>
        <w:t> </w:t>
      </w:r>
      <w:r>
        <w:rPr>
          <w:spacing w:val="-2"/>
          <w:sz w:val="20"/>
        </w:rPr>
        <w:t>explicitly</w:t>
      </w:r>
      <w:r>
        <w:rPr>
          <w:spacing w:val="-12"/>
          <w:sz w:val="20"/>
        </w:rPr>
        <w:t> </w:t>
      </w:r>
      <w:r>
        <w:rPr>
          <w:spacing w:val="-2"/>
          <w:sz w:val="20"/>
        </w:rPr>
        <w:t>state</w:t>
      </w:r>
      <w:r>
        <w:rPr>
          <w:spacing w:val="-12"/>
          <w:sz w:val="20"/>
        </w:rPr>
        <w:t> </w:t>
      </w:r>
      <w:r>
        <w:rPr>
          <w:spacing w:val="-2"/>
          <w:sz w:val="20"/>
        </w:rPr>
        <w:t>how</w:t>
      </w:r>
      <w:r>
        <w:rPr>
          <w:spacing w:val="-11"/>
          <w:sz w:val="20"/>
        </w:rPr>
        <w:t> </w:t>
      </w:r>
      <w:r>
        <w:rPr>
          <w:spacing w:val="-2"/>
          <w:sz w:val="20"/>
        </w:rPr>
        <w:t>value</w:t>
      </w:r>
      <w:r>
        <w:rPr>
          <w:spacing w:val="-11"/>
          <w:sz w:val="20"/>
        </w:rPr>
        <w:t> </w:t>
      </w:r>
      <w:r>
        <w:rPr>
          <w:spacing w:val="-2"/>
          <w:sz w:val="20"/>
        </w:rPr>
        <w:t>will</w:t>
      </w:r>
      <w:r>
        <w:rPr>
          <w:spacing w:val="-10"/>
          <w:sz w:val="20"/>
        </w:rPr>
        <w:t> </w:t>
      </w:r>
      <w:r>
        <w:rPr>
          <w:spacing w:val="-2"/>
          <w:sz w:val="20"/>
        </w:rPr>
        <w:t>be</w:t>
      </w:r>
      <w:r>
        <w:rPr>
          <w:spacing w:val="-12"/>
          <w:sz w:val="20"/>
        </w:rPr>
        <w:t> </w:t>
      </w:r>
      <w:r>
        <w:rPr>
          <w:spacing w:val="-2"/>
          <w:sz w:val="20"/>
        </w:rPr>
        <w:t>created,</w:t>
      </w:r>
      <w:r>
        <w:rPr>
          <w:spacing w:val="-12"/>
          <w:sz w:val="20"/>
        </w:rPr>
        <w:t> </w:t>
      </w:r>
      <w:r>
        <w:rPr>
          <w:spacing w:val="-2"/>
          <w:sz w:val="20"/>
        </w:rPr>
        <w:t>measured,</w:t>
      </w:r>
      <w:r>
        <w:rPr>
          <w:spacing w:val="-12"/>
          <w:sz w:val="20"/>
        </w:rPr>
        <w:t> </w:t>
      </w:r>
      <w:r>
        <w:rPr>
          <w:spacing w:val="-2"/>
          <w:sz w:val="20"/>
        </w:rPr>
        <w:t>and</w:t>
      </w:r>
      <w:r>
        <w:rPr>
          <w:spacing w:val="-11"/>
          <w:sz w:val="20"/>
        </w:rPr>
        <w:t> </w:t>
      </w:r>
      <w:r>
        <w:rPr>
          <w:spacing w:val="-2"/>
          <w:sz w:val="20"/>
        </w:rPr>
        <w:t>shared</w:t>
      </w:r>
      <w:hyperlink w:history="true" w:anchor="_bookmark2">
        <w:r>
          <w:rPr>
            <w:spacing w:val="-2"/>
            <w:position w:val="6"/>
            <w:sz w:val="13"/>
          </w:rPr>
          <w:t>3</w:t>
        </w:r>
        <w:r>
          <w:rPr>
            <w:spacing w:val="-2"/>
            <w:sz w:val="20"/>
          </w:rPr>
          <w:t>.</w:t>
        </w:r>
      </w:hyperlink>
    </w:p>
    <w:p>
      <w:pPr>
        <w:pStyle w:val="ListParagraph"/>
        <w:numPr>
          <w:ilvl w:val="1"/>
          <w:numId w:val="9"/>
        </w:numPr>
        <w:tabs>
          <w:tab w:pos="770" w:val="left" w:leader="none"/>
        </w:tabs>
        <w:spacing w:line="259" w:lineRule="auto" w:before="16" w:after="0"/>
        <w:ind w:left="770" w:right="635" w:hanging="360"/>
        <w:jc w:val="left"/>
        <w:rPr>
          <w:sz w:val="20"/>
        </w:rPr>
      </w:pPr>
      <w:r>
        <w:rPr>
          <w:spacing w:val="-2"/>
          <w:sz w:val="20"/>
        </w:rPr>
        <w:t>The</w:t>
      </w:r>
      <w:r>
        <w:rPr>
          <w:spacing w:val="-12"/>
          <w:sz w:val="20"/>
        </w:rPr>
        <w:t> </w:t>
      </w:r>
      <w:r>
        <w:rPr>
          <w:spacing w:val="-2"/>
          <w:sz w:val="20"/>
        </w:rPr>
        <w:t>literature</w:t>
      </w:r>
      <w:r>
        <w:rPr>
          <w:spacing w:val="-12"/>
          <w:sz w:val="20"/>
        </w:rPr>
        <w:t> </w:t>
      </w:r>
      <w:r>
        <w:rPr>
          <w:spacing w:val="-2"/>
          <w:sz w:val="20"/>
        </w:rPr>
        <w:t>consistently</w:t>
      </w:r>
      <w:r>
        <w:rPr>
          <w:spacing w:val="-12"/>
          <w:sz w:val="20"/>
        </w:rPr>
        <w:t> </w:t>
      </w:r>
      <w:r>
        <w:rPr>
          <w:spacing w:val="-2"/>
          <w:sz w:val="20"/>
        </w:rPr>
        <w:t>stresses</w:t>
      </w:r>
      <w:r>
        <w:rPr>
          <w:spacing w:val="-12"/>
          <w:sz w:val="20"/>
        </w:rPr>
        <w:t> </w:t>
      </w:r>
      <w:r>
        <w:rPr>
          <w:spacing w:val="-2"/>
          <w:sz w:val="20"/>
        </w:rPr>
        <w:t>that</w:t>
      </w:r>
      <w:r>
        <w:rPr>
          <w:spacing w:val="-12"/>
          <w:sz w:val="20"/>
        </w:rPr>
        <w:t> </w:t>
      </w:r>
      <w:r>
        <w:rPr>
          <w:spacing w:val="-2"/>
          <w:sz w:val="20"/>
        </w:rPr>
        <w:t>governance</w:t>
      </w:r>
      <w:r>
        <w:rPr>
          <w:spacing w:val="-12"/>
          <w:sz w:val="20"/>
        </w:rPr>
        <w:t> </w:t>
      </w:r>
      <w:r>
        <w:rPr>
          <w:spacing w:val="-2"/>
          <w:sz w:val="20"/>
        </w:rPr>
        <w:t>arrangements</w:t>
      </w:r>
      <w:r>
        <w:rPr>
          <w:spacing w:val="-12"/>
          <w:sz w:val="20"/>
        </w:rPr>
        <w:t> </w:t>
      </w:r>
      <w:r>
        <w:rPr>
          <w:spacing w:val="-2"/>
          <w:sz w:val="20"/>
        </w:rPr>
        <w:t>must</w:t>
      </w:r>
      <w:r>
        <w:rPr>
          <w:spacing w:val="-12"/>
          <w:sz w:val="20"/>
        </w:rPr>
        <w:t> </w:t>
      </w:r>
      <w:r>
        <w:rPr>
          <w:spacing w:val="-2"/>
          <w:sz w:val="20"/>
        </w:rPr>
        <w:t>be</w:t>
      </w:r>
      <w:r>
        <w:rPr>
          <w:spacing w:val="-12"/>
          <w:sz w:val="20"/>
        </w:rPr>
        <w:t> </w:t>
      </w:r>
      <w:r>
        <w:rPr>
          <w:spacing w:val="-2"/>
          <w:sz w:val="20"/>
        </w:rPr>
        <w:t>proportionate</w:t>
      </w:r>
      <w:r>
        <w:rPr>
          <w:spacing w:val="-11"/>
          <w:sz w:val="20"/>
        </w:rPr>
        <w:t> </w:t>
      </w:r>
      <w:r>
        <w:rPr>
          <w:spacing w:val="-2"/>
          <w:sz w:val="20"/>
        </w:rPr>
        <w:t>to</w:t>
      </w:r>
      <w:r>
        <w:rPr>
          <w:spacing w:val="-12"/>
          <w:sz w:val="20"/>
        </w:rPr>
        <w:t> </w:t>
      </w:r>
      <w:r>
        <w:rPr>
          <w:spacing w:val="-2"/>
          <w:sz w:val="20"/>
        </w:rPr>
        <w:t>risk,</w:t>
      </w:r>
      <w:r>
        <w:rPr>
          <w:spacing w:val="-12"/>
          <w:sz w:val="20"/>
        </w:rPr>
        <w:t> </w:t>
      </w:r>
      <w:r>
        <w:rPr>
          <w:spacing w:val="-2"/>
          <w:sz w:val="20"/>
        </w:rPr>
        <w:t>scale,</w:t>
      </w:r>
      <w:r>
        <w:rPr>
          <w:spacing w:val="-12"/>
          <w:sz w:val="20"/>
        </w:rPr>
        <w:t> </w:t>
      </w:r>
      <w:r>
        <w:rPr>
          <w:spacing w:val="-2"/>
          <w:sz w:val="20"/>
        </w:rPr>
        <w:t>and</w:t>
      </w:r>
      <w:r>
        <w:rPr>
          <w:spacing w:val="-12"/>
          <w:sz w:val="20"/>
        </w:rPr>
        <w:t> </w:t>
      </w:r>
      <w:r>
        <w:rPr>
          <w:spacing w:val="-2"/>
          <w:sz w:val="20"/>
        </w:rPr>
        <w:t>interdependence,</w:t>
      </w:r>
      <w:r>
        <w:rPr>
          <w:spacing w:val="-12"/>
          <w:sz w:val="20"/>
        </w:rPr>
        <w:t> </w:t>
      </w:r>
      <w:r>
        <w:rPr>
          <w:spacing w:val="-2"/>
          <w:sz w:val="20"/>
        </w:rPr>
        <w:t>and</w:t>
      </w:r>
      <w:r>
        <w:rPr>
          <w:spacing w:val="-12"/>
          <w:sz w:val="20"/>
        </w:rPr>
        <w:t> </w:t>
      </w:r>
      <w:r>
        <w:rPr>
          <w:spacing w:val="-2"/>
          <w:sz w:val="20"/>
        </w:rPr>
        <w:t>that</w:t>
      </w:r>
      <w:r>
        <w:rPr>
          <w:spacing w:val="-12"/>
          <w:sz w:val="20"/>
        </w:rPr>
        <w:t> </w:t>
      </w:r>
      <w:r>
        <w:rPr>
          <w:spacing w:val="-2"/>
          <w:sz w:val="20"/>
        </w:rPr>
        <w:t>informal</w:t>
      </w:r>
      <w:r>
        <w:rPr>
          <w:spacing w:val="-12"/>
          <w:sz w:val="20"/>
        </w:rPr>
        <w:t> </w:t>
      </w:r>
      <w:r>
        <w:rPr>
          <w:spacing w:val="-2"/>
          <w:sz w:val="20"/>
        </w:rPr>
        <w:t>arrangements </w:t>
      </w:r>
      <w:r>
        <w:rPr>
          <w:sz w:val="20"/>
        </w:rPr>
        <w:t>become</w:t>
      </w:r>
      <w:r>
        <w:rPr>
          <w:spacing w:val="-14"/>
          <w:sz w:val="20"/>
        </w:rPr>
        <w:t> </w:t>
      </w:r>
      <w:r>
        <w:rPr>
          <w:sz w:val="20"/>
        </w:rPr>
        <w:t>unsafe</w:t>
      </w:r>
      <w:r>
        <w:rPr>
          <w:spacing w:val="-14"/>
          <w:sz w:val="20"/>
        </w:rPr>
        <w:t> </w:t>
      </w:r>
      <w:r>
        <w:rPr>
          <w:sz w:val="20"/>
        </w:rPr>
        <w:t>as</w:t>
      </w:r>
      <w:r>
        <w:rPr>
          <w:spacing w:val="-9"/>
          <w:sz w:val="20"/>
        </w:rPr>
        <w:t> </w:t>
      </w:r>
      <w:r>
        <w:rPr>
          <w:sz w:val="20"/>
        </w:rPr>
        <w:t>risk</w:t>
      </w:r>
      <w:r>
        <w:rPr>
          <w:spacing w:val="-14"/>
          <w:sz w:val="20"/>
        </w:rPr>
        <w:t> </w:t>
      </w:r>
      <w:r>
        <w:rPr>
          <w:sz w:val="20"/>
        </w:rPr>
        <w:t>increases</w:t>
      </w:r>
      <w:r>
        <w:rPr>
          <w:spacing w:val="-11"/>
          <w:sz w:val="20"/>
        </w:rPr>
        <w:t> </w:t>
      </w:r>
      <w:r>
        <w:rPr>
          <w:sz w:val="20"/>
        </w:rPr>
        <w:t>(again,</w:t>
      </w:r>
      <w:r>
        <w:rPr>
          <w:spacing w:val="-14"/>
          <w:sz w:val="20"/>
        </w:rPr>
        <w:t> </w:t>
      </w:r>
      <w:r>
        <w:rPr>
          <w:sz w:val="20"/>
        </w:rPr>
        <w:t>NHS</w:t>
      </w:r>
      <w:r>
        <w:rPr>
          <w:spacing w:val="-14"/>
          <w:sz w:val="20"/>
        </w:rPr>
        <w:t> </w:t>
      </w:r>
      <w:r>
        <w:rPr>
          <w:sz w:val="20"/>
        </w:rPr>
        <w:t>Providers,</w:t>
      </w:r>
      <w:r>
        <w:rPr>
          <w:spacing w:val="-13"/>
          <w:sz w:val="20"/>
        </w:rPr>
        <w:t> </w:t>
      </w:r>
      <w:r>
        <w:rPr>
          <w:sz w:val="20"/>
        </w:rPr>
        <w:t>2023</w:t>
      </w:r>
      <w:r>
        <w:rPr>
          <w:spacing w:val="-13"/>
          <w:sz w:val="20"/>
        </w:rPr>
        <w:t> </w:t>
      </w:r>
      <w:r>
        <w:rPr>
          <w:sz w:val="20"/>
        </w:rPr>
        <w:t>and</w:t>
      </w:r>
      <w:r>
        <w:rPr>
          <w:spacing w:val="-13"/>
          <w:sz w:val="20"/>
        </w:rPr>
        <w:t> </w:t>
      </w:r>
      <w:r>
        <w:rPr>
          <w:sz w:val="20"/>
        </w:rPr>
        <w:t>NHS</w:t>
      </w:r>
      <w:r>
        <w:rPr>
          <w:spacing w:val="-14"/>
          <w:sz w:val="20"/>
        </w:rPr>
        <w:t> </w:t>
      </w:r>
      <w:r>
        <w:rPr>
          <w:sz w:val="20"/>
        </w:rPr>
        <w:t>Confederation</w:t>
      </w:r>
      <w:r>
        <w:rPr>
          <w:spacing w:val="-13"/>
          <w:sz w:val="20"/>
        </w:rPr>
        <w:t> </w:t>
      </w:r>
      <w:r>
        <w:rPr>
          <w:sz w:val="20"/>
        </w:rPr>
        <w:t>2023,</w:t>
      </w:r>
      <w:r>
        <w:rPr>
          <w:spacing w:val="-13"/>
          <w:sz w:val="20"/>
        </w:rPr>
        <w:t> </w:t>
      </w:r>
      <w:r>
        <w:rPr>
          <w:sz w:val="20"/>
        </w:rPr>
        <w:t>see</w:t>
      </w:r>
      <w:r>
        <w:rPr>
          <w:spacing w:val="-8"/>
          <w:sz w:val="20"/>
        </w:rPr>
        <w:t> </w:t>
      </w:r>
      <w:r>
        <w:rPr>
          <w:sz w:val="20"/>
        </w:rPr>
        <w:t>1).</w:t>
      </w:r>
    </w:p>
    <w:p>
      <w:pPr>
        <w:pStyle w:val="ListParagraph"/>
        <w:numPr>
          <w:ilvl w:val="1"/>
          <w:numId w:val="9"/>
        </w:numPr>
        <w:tabs>
          <w:tab w:pos="770" w:val="left" w:leader="none"/>
        </w:tabs>
        <w:spacing w:line="259" w:lineRule="auto" w:before="0" w:after="0"/>
        <w:ind w:left="770" w:right="324" w:hanging="360"/>
        <w:jc w:val="left"/>
        <w:rPr>
          <w:sz w:val="20"/>
        </w:rPr>
      </w:pPr>
      <w:r>
        <w:rPr>
          <w:spacing w:val="-2"/>
          <w:sz w:val="20"/>
        </w:rPr>
        <w:t>Managed</w:t>
      </w:r>
      <w:r>
        <w:rPr>
          <w:spacing w:val="-6"/>
          <w:sz w:val="20"/>
        </w:rPr>
        <w:t> </w:t>
      </w:r>
      <w:r>
        <w:rPr>
          <w:spacing w:val="-2"/>
          <w:sz w:val="20"/>
        </w:rPr>
        <w:t>or outsourced</w:t>
      </w:r>
      <w:r>
        <w:rPr>
          <w:spacing w:val="-6"/>
          <w:sz w:val="20"/>
        </w:rPr>
        <w:t> </w:t>
      </w:r>
      <w:r>
        <w:rPr>
          <w:spacing w:val="-2"/>
          <w:sz w:val="20"/>
        </w:rPr>
        <w:t>delivery</w:t>
      </w:r>
      <w:r>
        <w:rPr>
          <w:spacing w:val="-5"/>
          <w:sz w:val="20"/>
        </w:rPr>
        <w:t> </w:t>
      </w:r>
      <w:r>
        <w:rPr>
          <w:spacing w:val="-2"/>
          <w:sz w:val="20"/>
        </w:rPr>
        <w:t>is</w:t>
      </w:r>
      <w:r>
        <w:rPr>
          <w:spacing w:val="-4"/>
          <w:sz w:val="20"/>
        </w:rPr>
        <w:t> </w:t>
      </w:r>
      <w:r>
        <w:rPr>
          <w:spacing w:val="-2"/>
          <w:sz w:val="20"/>
        </w:rPr>
        <w:t>recognised</w:t>
      </w:r>
      <w:r>
        <w:rPr>
          <w:spacing w:val="-6"/>
          <w:sz w:val="20"/>
        </w:rPr>
        <w:t> </w:t>
      </w:r>
      <w:r>
        <w:rPr>
          <w:spacing w:val="-2"/>
          <w:sz w:val="20"/>
        </w:rPr>
        <w:t>in</w:t>
      </w:r>
      <w:r>
        <w:rPr>
          <w:spacing w:val="-6"/>
          <w:sz w:val="20"/>
        </w:rPr>
        <w:t> </w:t>
      </w:r>
      <w:r>
        <w:rPr>
          <w:spacing w:val="-2"/>
          <w:sz w:val="20"/>
        </w:rPr>
        <w:t>the</w:t>
      </w:r>
      <w:r>
        <w:rPr>
          <w:spacing w:val="-12"/>
          <w:sz w:val="20"/>
        </w:rPr>
        <w:t> </w:t>
      </w:r>
      <w:r>
        <w:rPr>
          <w:spacing w:val="-2"/>
          <w:sz w:val="20"/>
        </w:rPr>
        <w:t>NHS</w:t>
      </w:r>
      <w:r>
        <w:rPr>
          <w:spacing w:val="-3"/>
          <w:sz w:val="20"/>
        </w:rPr>
        <w:t> </w:t>
      </w:r>
      <w:r>
        <w:rPr>
          <w:spacing w:val="-2"/>
          <w:sz w:val="20"/>
        </w:rPr>
        <w:t>as</w:t>
      </w:r>
      <w:r>
        <w:rPr>
          <w:spacing w:val="-4"/>
          <w:sz w:val="20"/>
        </w:rPr>
        <w:t> </w:t>
      </w:r>
      <w:r>
        <w:rPr>
          <w:spacing w:val="-2"/>
          <w:sz w:val="20"/>
        </w:rPr>
        <w:t>a</w:t>
      </w:r>
      <w:r>
        <w:rPr>
          <w:spacing w:val="-6"/>
          <w:sz w:val="20"/>
        </w:rPr>
        <w:t> </w:t>
      </w:r>
      <w:r>
        <w:rPr>
          <w:spacing w:val="-2"/>
          <w:sz w:val="20"/>
        </w:rPr>
        <w:t>tactical</w:t>
      </w:r>
      <w:r>
        <w:rPr>
          <w:spacing w:val="-4"/>
          <w:sz w:val="20"/>
        </w:rPr>
        <w:t> </w:t>
      </w:r>
      <w:r>
        <w:rPr>
          <w:spacing w:val="-2"/>
          <w:sz w:val="20"/>
        </w:rPr>
        <w:t>option</w:t>
      </w:r>
      <w:r>
        <w:rPr>
          <w:spacing w:val="-6"/>
          <w:sz w:val="20"/>
        </w:rPr>
        <w:t> </w:t>
      </w:r>
      <w:r>
        <w:rPr>
          <w:spacing w:val="-2"/>
          <w:sz w:val="20"/>
        </w:rPr>
        <w:t>to address</w:t>
      </w:r>
      <w:r>
        <w:rPr>
          <w:spacing w:val="-4"/>
          <w:sz w:val="20"/>
        </w:rPr>
        <w:t> </w:t>
      </w:r>
      <w:r>
        <w:rPr>
          <w:spacing w:val="-2"/>
          <w:sz w:val="20"/>
        </w:rPr>
        <w:t>capacity,</w:t>
      </w:r>
      <w:r>
        <w:rPr>
          <w:spacing w:val="-5"/>
          <w:sz w:val="20"/>
        </w:rPr>
        <w:t> </w:t>
      </w:r>
      <w:r>
        <w:rPr>
          <w:spacing w:val="-2"/>
          <w:sz w:val="20"/>
        </w:rPr>
        <w:t>performance,</w:t>
      </w:r>
      <w:r>
        <w:rPr>
          <w:spacing w:val="-5"/>
          <w:sz w:val="20"/>
        </w:rPr>
        <w:t> </w:t>
      </w:r>
      <w:r>
        <w:rPr>
          <w:spacing w:val="-2"/>
          <w:sz w:val="20"/>
        </w:rPr>
        <w:t>or</w:t>
      </w:r>
      <w:r>
        <w:rPr>
          <w:spacing w:val="-6"/>
          <w:sz w:val="20"/>
        </w:rPr>
        <w:t> </w:t>
      </w:r>
      <w:r>
        <w:rPr>
          <w:spacing w:val="-2"/>
          <w:sz w:val="20"/>
        </w:rPr>
        <w:t>capability constraints,</w:t>
      </w:r>
      <w:r>
        <w:rPr>
          <w:spacing w:val="-5"/>
          <w:sz w:val="20"/>
        </w:rPr>
        <w:t> </w:t>
      </w:r>
      <w:r>
        <w:rPr>
          <w:spacing w:val="-2"/>
          <w:sz w:val="20"/>
        </w:rPr>
        <w:t>but</w:t>
      </w:r>
      <w:r>
        <w:rPr>
          <w:spacing w:val="-6"/>
          <w:sz w:val="20"/>
        </w:rPr>
        <w:t> </w:t>
      </w:r>
      <w:r>
        <w:rPr>
          <w:spacing w:val="-2"/>
          <w:sz w:val="20"/>
        </w:rPr>
        <w:t>requires</w:t>
      </w:r>
      <w:r>
        <w:rPr>
          <w:spacing w:val="-5"/>
          <w:sz w:val="20"/>
        </w:rPr>
        <w:t> </w:t>
      </w:r>
      <w:r>
        <w:rPr>
          <w:spacing w:val="-2"/>
          <w:sz w:val="20"/>
        </w:rPr>
        <w:t>strong governance</w:t>
      </w:r>
      <w:r>
        <w:rPr>
          <w:spacing w:val="-12"/>
          <w:sz w:val="20"/>
        </w:rPr>
        <w:t> </w:t>
      </w:r>
      <w:r>
        <w:rPr>
          <w:spacing w:val="-2"/>
          <w:sz w:val="20"/>
        </w:rPr>
        <w:t>and</w:t>
      </w:r>
      <w:r>
        <w:rPr>
          <w:spacing w:val="-12"/>
          <w:sz w:val="20"/>
        </w:rPr>
        <w:t> </w:t>
      </w:r>
      <w:r>
        <w:rPr>
          <w:spacing w:val="-2"/>
          <w:sz w:val="20"/>
        </w:rPr>
        <w:t>commissioning</w:t>
      </w:r>
      <w:r>
        <w:rPr>
          <w:spacing w:val="-9"/>
          <w:sz w:val="20"/>
        </w:rPr>
        <w:t> </w:t>
      </w:r>
      <w:r>
        <w:rPr>
          <w:spacing w:val="-2"/>
          <w:sz w:val="20"/>
        </w:rPr>
        <w:t>discipline.</w:t>
      </w:r>
      <w:r>
        <w:rPr>
          <w:spacing w:val="-4"/>
          <w:sz w:val="20"/>
        </w:rPr>
        <w:t> </w:t>
      </w:r>
      <w:r>
        <w:rPr>
          <w:spacing w:val="-2"/>
          <w:sz w:val="20"/>
        </w:rPr>
        <w:t>The</w:t>
      </w:r>
      <w:r>
        <w:rPr>
          <w:spacing w:val="-9"/>
          <w:sz w:val="20"/>
        </w:rPr>
        <w:t> </w:t>
      </w:r>
      <w:r>
        <w:rPr>
          <w:spacing w:val="-2"/>
          <w:sz w:val="20"/>
        </w:rPr>
        <w:t>BMA highlight</w:t>
      </w:r>
      <w:r>
        <w:rPr>
          <w:spacing w:val="-9"/>
          <w:sz w:val="20"/>
        </w:rPr>
        <w:t> </w:t>
      </w:r>
      <w:r>
        <w:rPr>
          <w:spacing w:val="-2"/>
          <w:sz w:val="20"/>
        </w:rPr>
        <w:t>that</w:t>
      </w:r>
      <w:r>
        <w:rPr>
          <w:spacing w:val="-9"/>
          <w:sz w:val="20"/>
        </w:rPr>
        <w:t> </w:t>
      </w:r>
      <w:r>
        <w:rPr>
          <w:spacing w:val="-2"/>
          <w:sz w:val="20"/>
        </w:rPr>
        <w:t>outsourcing</w:t>
      </w:r>
      <w:r>
        <w:rPr>
          <w:spacing w:val="-9"/>
          <w:sz w:val="20"/>
        </w:rPr>
        <w:t> </w:t>
      </w:r>
      <w:r>
        <w:rPr>
          <w:spacing w:val="-2"/>
          <w:sz w:val="20"/>
        </w:rPr>
        <w:t>can</w:t>
      </w:r>
      <w:r>
        <w:rPr>
          <w:spacing w:val="-9"/>
          <w:sz w:val="20"/>
        </w:rPr>
        <w:t> </w:t>
      </w:r>
      <w:r>
        <w:rPr>
          <w:spacing w:val="-2"/>
          <w:sz w:val="20"/>
        </w:rPr>
        <w:t>deliver</w:t>
      </w:r>
      <w:r>
        <w:rPr>
          <w:spacing w:val="-10"/>
          <w:sz w:val="20"/>
        </w:rPr>
        <w:t> </w:t>
      </w:r>
      <w:r>
        <w:rPr>
          <w:spacing w:val="-2"/>
          <w:sz w:val="20"/>
        </w:rPr>
        <w:t>short-term</w:t>
      </w:r>
      <w:r>
        <w:rPr>
          <w:spacing w:val="-10"/>
          <w:sz w:val="20"/>
        </w:rPr>
        <w:t> </w:t>
      </w:r>
      <w:r>
        <w:rPr>
          <w:spacing w:val="-2"/>
          <w:sz w:val="20"/>
        </w:rPr>
        <w:t>capacity</w:t>
      </w:r>
      <w:r>
        <w:rPr>
          <w:spacing w:val="-8"/>
          <w:sz w:val="20"/>
        </w:rPr>
        <w:t> </w:t>
      </w:r>
      <w:r>
        <w:rPr>
          <w:spacing w:val="-2"/>
          <w:sz w:val="20"/>
        </w:rPr>
        <w:t>and</w:t>
      </w:r>
      <w:r>
        <w:rPr>
          <w:spacing w:val="-9"/>
          <w:sz w:val="20"/>
        </w:rPr>
        <w:t> </w:t>
      </w:r>
      <w:r>
        <w:rPr>
          <w:spacing w:val="-2"/>
          <w:sz w:val="20"/>
        </w:rPr>
        <w:t>performance</w:t>
      </w:r>
      <w:r>
        <w:rPr>
          <w:spacing w:val="-4"/>
          <w:sz w:val="20"/>
        </w:rPr>
        <w:t> </w:t>
      </w:r>
      <w:r>
        <w:rPr>
          <w:spacing w:val="-2"/>
          <w:sz w:val="20"/>
        </w:rPr>
        <w:t>benefits</w:t>
      </w:r>
      <w:r>
        <w:rPr>
          <w:spacing w:val="-8"/>
          <w:sz w:val="20"/>
        </w:rPr>
        <w:t> </w:t>
      </w:r>
      <w:r>
        <w:rPr>
          <w:spacing w:val="-2"/>
          <w:sz w:val="20"/>
        </w:rPr>
        <w:t>but</w:t>
      </w:r>
      <w:r>
        <w:rPr>
          <w:spacing w:val="-12"/>
          <w:sz w:val="20"/>
        </w:rPr>
        <w:t> </w:t>
      </w:r>
      <w:r>
        <w:rPr>
          <w:spacing w:val="-2"/>
          <w:sz w:val="20"/>
        </w:rPr>
        <w:t>carries</w:t>
      </w:r>
      <w:r>
        <w:rPr>
          <w:spacing w:val="-7"/>
          <w:sz w:val="20"/>
        </w:rPr>
        <w:t> </w:t>
      </w:r>
      <w:r>
        <w:rPr>
          <w:spacing w:val="-2"/>
          <w:sz w:val="20"/>
        </w:rPr>
        <w:t>risks</w:t>
      </w:r>
      <w:r>
        <w:rPr>
          <w:spacing w:val="-7"/>
          <w:sz w:val="20"/>
        </w:rPr>
        <w:t> </w:t>
      </w:r>
      <w:r>
        <w:rPr>
          <w:spacing w:val="-2"/>
          <w:sz w:val="20"/>
        </w:rPr>
        <w:t>around dependency</w:t>
      </w:r>
      <w:r>
        <w:rPr>
          <w:spacing w:val="-12"/>
          <w:sz w:val="20"/>
        </w:rPr>
        <w:t> </w:t>
      </w:r>
      <w:r>
        <w:rPr>
          <w:spacing w:val="-2"/>
          <w:sz w:val="20"/>
        </w:rPr>
        <w:t>and</w:t>
      </w:r>
      <w:r>
        <w:rPr>
          <w:spacing w:val="-12"/>
          <w:sz w:val="20"/>
        </w:rPr>
        <w:t> </w:t>
      </w:r>
      <w:r>
        <w:rPr>
          <w:spacing w:val="-2"/>
          <w:sz w:val="20"/>
        </w:rPr>
        <w:t>capability</w:t>
      </w:r>
      <w:r>
        <w:rPr>
          <w:spacing w:val="-12"/>
          <w:sz w:val="20"/>
        </w:rPr>
        <w:t> </w:t>
      </w:r>
      <w:r>
        <w:rPr>
          <w:spacing w:val="-2"/>
          <w:sz w:val="20"/>
        </w:rPr>
        <w:t>loss</w:t>
      </w:r>
      <w:hyperlink w:history="true" w:anchor="_bookmark3">
        <w:r>
          <w:rPr>
            <w:spacing w:val="-2"/>
            <w:position w:val="6"/>
            <w:sz w:val="13"/>
          </w:rPr>
          <w:t>4</w:t>
        </w:r>
        <w:r>
          <w:rPr>
            <w:spacing w:val="-2"/>
            <w:sz w:val="20"/>
          </w:rPr>
          <w:t>.</w:t>
        </w:r>
      </w:hyperlink>
      <w:r>
        <w:rPr>
          <w:spacing w:val="-12"/>
          <w:sz w:val="20"/>
        </w:rPr>
        <w:t> </w:t>
      </w:r>
      <w:r>
        <w:rPr>
          <w:spacing w:val="-2"/>
          <w:sz w:val="20"/>
        </w:rPr>
        <w:t>NHS</w:t>
      </w:r>
      <w:r>
        <w:rPr>
          <w:spacing w:val="-12"/>
          <w:sz w:val="20"/>
        </w:rPr>
        <w:t> </w:t>
      </w:r>
      <w:r>
        <w:rPr>
          <w:spacing w:val="-2"/>
          <w:sz w:val="20"/>
        </w:rPr>
        <w:t>England</w:t>
      </w:r>
      <w:r>
        <w:rPr>
          <w:spacing w:val="-12"/>
          <w:sz w:val="20"/>
        </w:rPr>
        <w:t> </w:t>
      </w:r>
      <w:r>
        <w:rPr>
          <w:spacing w:val="-2"/>
          <w:sz w:val="20"/>
        </w:rPr>
        <w:t>sets</w:t>
      </w:r>
      <w:r>
        <w:rPr>
          <w:spacing w:val="-12"/>
          <w:sz w:val="20"/>
        </w:rPr>
        <w:t> </w:t>
      </w:r>
      <w:r>
        <w:rPr>
          <w:spacing w:val="-2"/>
          <w:sz w:val="20"/>
        </w:rPr>
        <w:t>out</w:t>
      </w:r>
      <w:r>
        <w:rPr>
          <w:spacing w:val="-12"/>
          <w:sz w:val="20"/>
        </w:rPr>
        <w:t> </w:t>
      </w:r>
      <w:r>
        <w:rPr>
          <w:spacing w:val="-2"/>
          <w:sz w:val="20"/>
        </w:rPr>
        <w:t>the</w:t>
      </w:r>
      <w:r>
        <w:rPr>
          <w:spacing w:val="-12"/>
          <w:sz w:val="20"/>
        </w:rPr>
        <w:t> </w:t>
      </w:r>
      <w:r>
        <w:rPr>
          <w:spacing w:val="-2"/>
          <w:sz w:val="20"/>
        </w:rPr>
        <w:t>importance</w:t>
      </w:r>
      <w:r>
        <w:rPr>
          <w:spacing w:val="-12"/>
          <w:sz w:val="20"/>
        </w:rPr>
        <w:t> </w:t>
      </w:r>
      <w:r>
        <w:rPr>
          <w:spacing w:val="-2"/>
          <w:sz w:val="20"/>
        </w:rPr>
        <w:t>of</w:t>
      </w:r>
      <w:r>
        <w:rPr>
          <w:spacing w:val="-12"/>
          <w:sz w:val="20"/>
        </w:rPr>
        <w:t> </w:t>
      </w:r>
      <w:r>
        <w:rPr>
          <w:spacing w:val="-2"/>
          <w:sz w:val="20"/>
        </w:rPr>
        <w:t>contract</w:t>
      </w:r>
      <w:r>
        <w:rPr>
          <w:spacing w:val="-10"/>
          <w:sz w:val="20"/>
        </w:rPr>
        <w:t> </w:t>
      </w:r>
      <w:r>
        <w:rPr>
          <w:spacing w:val="-2"/>
          <w:sz w:val="20"/>
        </w:rPr>
        <w:t>management,</w:t>
      </w:r>
      <w:r>
        <w:rPr>
          <w:spacing w:val="-12"/>
          <w:sz w:val="20"/>
        </w:rPr>
        <w:t> </w:t>
      </w:r>
      <w:r>
        <w:rPr>
          <w:spacing w:val="-2"/>
          <w:sz w:val="20"/>
        </w:rPr>
        <w:t>outcome</w:t>
      </w:r>
      <w:r>
        <w:rPr>
          <w:spacing w:val="-12"/>
          <w:sz w:val="20"/>
        </w:rPr>
        <w:t> </w:t>
      </w:r>
      <w:r>
        <w:rPr>
          <w:spacing w:val="-2"/>
          <w:sz w:val="20"/>
        </w:rPr>
        <w:t>specification,</w:t>
      </w:r>
      <w:r>
        <w:rPr>
          <w:spacing w:val="-10"/>
          <w:sz w:val="20"/>
        </w:rPr>
        <w:t> </w:t>
      </w:r>
      <w:r>
        <w:rPr>
          <w:spacing w:val="-2"/>
          <w:sz w:val="20"/>
        </w:rPr>
        <w:t>and</w:t>
      </w:r>
      <w:r>
        <w:rPr>
          <w:spacing w:val="-12"/>
          <w:sz w:val="20"/>
        </w:rPr>
        <w:t> </w:t>
      </w:r>
      <w:r>
        <w:rPr>
          <w:spacing w:val="-2"/>
          <w:sz w:val="20"/>
        </w:rPr>
        <w:t>exit</w:t>
      </w:r>
      <w:r>
        <w:rPr>
          <w:spacing w:val="-12"/>
          <w:sz w:val="20"/>
        </w:rPr>
        <w:t> </w:t>
      </w:r>
      <w:r>
        <w:rPr>
          <w:spacing w:val="-2"/>
          <w:sz w:val="20"/>
        </w:rPr>
        <w:t>planning</w:t>
      </w:r>
      <w:r>
        <w:rPr>
          <w:spacing w:val="-11"/>
          <w:sz w:val="20"/>
        </w:rPr>
        <w:t> </w:t>
      </w:r>
      <w:r>
        <w:rPr>
          <w:spacing w:val="-2"/>
          <w:sz w:val="20"/>
        </w:rPr>
        <w:t>when</w:t>
      </w:r>
      <w:r>
        <w:rPr>
          <w:spacing w:val="-12"/>
          <w:sz w:val="20"/>
        </w:rPr>
        <w:t> </w:t>
      </w:r>
      <w:r>
        <w:rPr>
          <w:spacing w:val="-2"/>
          <w:sz w:val="20"/>
        </w:rPr>
        <w:t>external</w:t>
      </w:r>
      <w:r>
        <w:rPr>
          <w:spacing w:val="-10"/>
          <w:sz w:val="20"/>
        </w:rPr>
        <w:t> </w:t>
      </w:r>
      <w:r>
        <w:rPr>
          <w:spacing w:val="-2"/>
          <w:sz w:val="20"/>
        </w:rPr>
        <w:t>delivery </w:t>
      </w:r>
      <w:r>
        <w:rPr>
          <w:sz w:val="20"/>
        </w:rPr>
        <w:t>models are used</w:t>
      </w:r>
      <w:hyperlink w:history="true" w:anchor="_bookmark4">
        <w:r>
          <w:rPr>
            <w:position w:val="6"/>
            <w:sz w:val="13"/>
          </w:rPr>
          <w:t>5</w:t>
        </w:r>
        <w:r>
          <w:rPr>
            <w:sz w:val="20"/>
          </w:rPr>
          <w:t>.</w:t>
        </w:r>
      </w:hyperlink>
    </w:p>
    <w:p>
      <w:pPr>
        <w:spacing w:before="156"/>
        <w:ind w:left="50" w:right="0" w:firstLine="0"/>
        <w:jc w:val="left"/>
        <w:rPr>
          <w:sz w:val="20"/>
        </w:rPr>
      </w:pPr>
      <w:r>
        <w:rPr>
          <w:spacing w:val="-2"/>
          <w:sz w:val="20"/>
        </w:rPr>
        <w:t>This</w:t>
      </w:r>
      <w:r>
        <w:rPr>
          <w:spacing w:val="-12"/>
          <w:sz w:val="20"/>
        </w:rPr>
        <w:t> </w:t>
      </w:r>
      <w:r>
        <w:rPr>
          <w:spacing w:val="-2"/>
          <w:sz w:val="20"/>
        </w:rPr>
        <w:t>framework</w:t>
      </w:r>
      <w:r>
        <w:rPr>
          <w:spacing w:val="-12"/>
          <w:sz w:val="20"/>
        </w:rPr>
        <w:t> </w:t>
      </w:r>
      <w:r>
        <w:rPr>
          <w:spacing w:val="-2"/>
          <w:sz w:val="20"/>
        </w:rPr>
        <w:t>is</w:t>
      </w:r>
      <w:r>
        <w:rPr>
          <w:spacing w:val="-12"/>
          <w:sz w:val="20"/>
        </w:rPr>
        <w:t> </w:t>
      </w:r>
      <w:r>
        <w:rPr>
          <w:spacing w:val="-2"/>
          <w:sz w:val="20"/>
        </w:rPr>
        <w:t>therefore</w:t>
      </w:r>
      <w:r>
        <w:rPr>
          <w:spacing w:val="-12"/>
          <w:sz w:val="20"/>
        </w:rPr>
        <w:t> </w:t>
      </w:r>
      <w:r>
        <w:rPr>
          <w:spacing w:val="-2"/>
          <w:sz w:val="20"/>
        </w:rPr>
        <w:t>an</w:t>
      </w:r>
      <w:r>
        <w:rPr>
          <w:spacing w:val="-12"/>
          <w:sz w:val="20"/>
        </w:rPr>
        <w:t> </w:t>
      </w:r>
      <w:r>
        <w:rPr>
          <w:spacing w:val="-2"/>
          <w:sz w:val="20"/>
        </w:rPr>
        <w:t>integration</w:t>
      </w:r>
      <w:r>
        <w:rPr>
          <w:spacing w:val="-12"/>
          <w:sz w:val="20"/>
        </w:rPr>
        <w:t> </w:t>
      </w:r>
      <w:r>
        <w:rPr>
          <w:spacing w:val="-2"/>
          <w:sz w:val="20"/>
        </w:rPr>
        <w:t>of</w:t>
      </w:r>
      <w:r>
        <w:rPr>
          <w:spacing w:val="-12"/>
          <w:sz w:val="20"/>
        </w:rPr>
        <w:t> </w:t>
      </w:r>
      <w:r>
        <w:rPr>
          <w:spacing w:val="-2"/>
          <w:sz w:val="20"/>
        </w:rPr>
        <w:t>multiple</w:t>
      </w:r>
      <w:r>
        <w:rPr>
          <w:spacing w:val="-12"/>
          <w:sz w:val="20"/>
        </w:rPr>
        <w:t> </w:t>
      </w:r>
      <w:r>
        <w:rPr>
          <w:spacing w:val="-2"/>
          <w:sz w:val="20"/>
        </w:rPr>
        <w:t>well-established</w:t>
      </w:r>
      <w:r>
        <w:rPr>
          <w:spacing w:val="-12"/>
          <w:sz w:val="20"/>
        </w:rPr>
        <w:t> </w:t>
      </w:r>
      <w:r>
        <w:rPr>
          <w:spacing w:val="-2"/>
          <w:sz w:val="20"/>
        </w:rPr>
        <w:t>strands</w:t>
      </w:r>
      <w:r>
        <w:rPr>
          <w:spacing w:val="-11"/>
          <w:sz w:val="20"/>
        </w:rPr>
        <w:t> </w:t>
      </w:r>
      <w:r>
        <w:rPr>
          <w:spacing w:val="-2"/>
          <w:sz w:val="20"/>
        </w:rPr>
        <w:t>of</w:t>
      </w:r>
      <w:r>
        <w:rPr>
          <w:spacing w:val="-12"/>
          <w:sz w:val="20"/>
        </w:rPr>
        <w:t> </w:t>
      </w:r>
      <w:r>
        <w:rPr>
          <w:spacing w:val="-2"/>
          <w:sz w:val="20"/>
        </w:rPr>
        <w:t>NHS</w:t>
      </w:r>
      <w:r>
        <w:rPr>
          <w:spacing w:val="-7"/>
          <w:sz w:val="20"/>
        </w:rPr>
        <w:t> </w:t>
      </w:r>
      <w:r>
        <w:rPr>
          <w:spacing w:val="-2"/>
          <w:sz w:val="20"/>
        </w:rPr>
        <w:t>policy,</w:t>
      </w:r>
      <w:r>
        <w:rPr>
          <w:spacing w:val="-12"/>
          <w:sz w:val="20"/>
        </w:rPr>
        <w:t> </w:t>
      </w:r>
      <w:r>
        <w:rPr>
          <w:spacing w:val="-2"/>
          <w:sz w:val="20"/>
        </w:rPr>
        <w:t>governance,</w:t>
      </w:r>
      <w:r>
        <w:rPr>
          <w:spacing w:val="-12"/>
          <w:sz w:val="20"/>
        </w:rPr>
        <w:t> </w:t>
      </w:r>
      <w:r>
        <w:rPr>
          <w:spacing w:val="-2"/>
          <w:sz w:val="20"/>
        </w:rPr>
        <w:t>and</w:t>
      </w:r>
      <w:r>
        <w:rPr>
          <w:spacing w:val="-12"/>
          <w:sz w:val="20"/>
        </w:rPr>
        <w:t> </w:t>
      </w:r>
      <w:r>
        <w:rPr>
          <w:spacing w:val="-2"/>
          <w:sz w:val="20"/>
        </w:rPr>
        <w:t>implementation</w:t>
      </w:r>
      <w:r>
        <w:rPr>
          <w:spacing w:val="-11"/>
          <w:sz w:val="20"/>
        </w:rPr>
        <w:t> </w:t>
      </w:r>
      <w:r>
        <w:rPr>
          <w:spacing w:val="-2"/>
          <w:sz w:val="20"/>
        </w:rPr>
        <w:t>thinking</w:t>
      </w:r>
      <w:r>
        <w:rPr>
          <w:spacing w:val="-12"/>
          <w:sz w:val="20"/>
        </w:rPr>
        <w:t> </w:t>
      </w:r>
      <w:r>
        <w:rPr>
          <w:spacing w:val="-2"/>
          <w:sz w:val="20"/>
        </w:rPr>
        <w:t>into</w:t>
      </w:r>
      <w:r>
        <w:rPr>
          <w:spacing w:val="-12"/>
          <w:sz w:val="20"/>
        </w:rPr>
        <w:t> </w:t>
      </w:r>
      <w:r>
        <w:rPr>
          <w:spacing w:val="-2"/>
          <w:sz w:val="20"/>
        </w:rPr>
        <w:t>a</w:t>
      </w:r>
      <w:r>
        <w:rPr>
          <w:spacing w:val="-12"/>
          <w:sz w:val="20"/>
        </w:rPr>
        <w:t> </w:t>
      </w:r>
      <w:r>
        <w:rPr>
          <w:spacing w:val="-2"/>
          <w:sz w:val="20"/>
        </w:rPr>
        <w:t>single</w:t>
      </w:r>
      <w:r>
        <w:rPr>
          <w:spacing w:val="-12"/>
          <w:sz w:val="20"/>
        </w:rPr>
        <w:t> </w:t>
      </w:r>
      <w:r>
        <w:rPr>
          <w:spacing w:val="-2"/>
          <w:sz w:val="20"/>
        </w:rPr>
        <w:t>coherent</w:t>
      </w:r>
      <w:r>
        <w:rPr>
          <w:spacing w:val="-11"/>
          <w:sz w:val="20"/>
        </w:rPr>
        <w:t> </w:t>
      </w:r>
      <w:r>
        <w:rPr>
          <w:spacing w:val="-2"/>
          <w:sz w:val="20"/>
        </w:rPr>
        <w:t>decision framework.</w:t>
      </w:r>
    </w:p>
    <w:p>
      <w:pPr>
        <w:pStyle w:val="BodyText"/>
        <w:rPr>
          <w:sz w:val="20"/>
        </w:rPr>
      </w:pPr>
    </w:p>
    <w:p>
      <w:pPr>
        <w:pStyle w:val="ListParagraph"/>
        <w:numPr>
          <w:ilvl w:val="0"/>
          <w:numId w:val="9"/>
        </w:numPr>
        <w:tabs>
          <w:tab w:pos="769" w:val="left" w:leader="none"/>
        </w:tabs>
        <w:spacing w:line="240" w:lineRule="auto" w:before="1" w:after="0"/>
        <w:ind w:left="769" w:right="0" w:hanging="359"/>
        <w:jc w:val="left"/>
        <w:rPr>
          <w:b/>
          <w:sz w:val="20"/>
        </w:rPr>
      </w:pPr>
      <w:r>
        <w:rPr>
          <w:b/>
          <w:spacing w:val="-4"/>
          <w:sz w:val="20"/>
        </w:rPr>
        <w:t>Collaboration</w:t>
      </w:r>
      <w:r>
        <w:rPr>
          <w:b/>
          <w:sz w:val="20"/>
        </w:rPr>
        <w:t> </w:t>
      </w:r>
      <w:r>
        <w:rPr>
          <w:b/>
          <w:spacing w:val="-2"/>
          <w:sz w:val="20"/>
        </w:rPr>
        <w:t>spectrum</w:t>
      </w:r>
    </w:p>
    <w:p>
      <w:pPr>
        <w:pStyle w:val="BodyText"/>
        <w:rPr>
          <w:b/>
          <w:sz w:val="20"/>
        </w:rPr>
      </w:pPr>
    </w:p>
    <w:p>
      <w:pPr>
        <w:pStyle w:val="BodyText"/>
        <w:spacing w:before="13"/>
        <w:rPr>
          <w:b/>
          <w:sz w:val="20"/>
        </w:rPr>
      </w:pPr>
      <w:r>
        <w:rPr>
          <w:b/>
          <w:sz w:val="20"/>
        </w:rPr>
        <mc:AlternateContent>
          <mc:Choice Requires="wps">
            <w:drawing>
              <wp:anchor distT="0" distB="0" distL="0" distR="0" allowOverlap="1" layoutInCell="1" locked="0" behindDoc="1" simplePos="0" relativeHeight="487616512">
                <wp:simplePos x="0" y="0"/>
                <wp:positionH relativeFrom="page">
                  <wp:posOffset>571817</wp:posOffset>
                </wp:positionH>
                <wp:positionV relativeFrom="paragraph">
                  <wp:posOffset>170031</wp:posOffset>
                </wp:positionV>
                <wp:extent cx="1829435" cy="9525"/>
                <wp:effectExtent l="0" t="0" r="0" b="0"/>
                <wp:wrapTopAndBottom/>
                <wp:docPr id="72" name="Graphic 72"/>
                <wp:cNvGraphicFramePr>
                  <a:graphicFrameLocks/>
                </wp:cNvGraphicFramePr>
                <a:graphic>
                  <a:graphicData uri="http://schemas.microsoft.com/office/word/2010/wordprocessingShape">
                    <wps:wsp>
                      <wps:cNvPr id="72" name="Graphic 72"/>
                      <wps:cNvSpPr/>
                      <wps:spPr>
                        <a:xfrm>
                          <a:off x="0" y="0"/>
                          <a:ext cx="1829435" cy="9525"/>
                        </a:xfrm>
                        <a:custGeom>
                          <a:avLst/>
                          <a:gdLst/>
                          <a:ahLst/>
                          <a:cxnLst/>
                          <a:rect l="l" t="t" r="r" b="b"/>
                          <a:pathLst>
                            <a:path w="1829435" h="9525">
                              <a:moveTo>
                                <a:pt x="1829054" y="0"/>
                              </a:moveTo>
                              <a:lnTo>
                                <a:pt x="0" y="0"/>
                              </a:lnTo>
                              <a:lnTo>
                                <a:pt x="0" y="9525"/>
                              </a:lnTo>
                              <a:lnTo>
                                <a:pt x="1829054" y="952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5.025002pt;margin-top:13.388301pt;width:144.020pt;height:.75pt;mso-position-horizontal-relative:page;mso-position-vertical-relative:paragraph;z-index:-15699968;mso-wrap-distance-left:0;mso-wrap-distance-right:0" id="docshape44" filled="true" fillcolor="#000000" stroked="false">
                <v:fill type="solid"/>
                <w10:wrap type="topAndBottom"/>
              </v:rect>
            </w:pict>
          </mc:Fallback>
        </mc:AlternateContent>
      </w:r>
    </w:p>
    <w:p>
      <w:pPr>
        <w:spacing w:before="109"/>
        <w:ind w:left="50" w:right="8888" w:firstLine="0"/>
        <w:jc w:val="left"/>
        <w:rPr>
          <w:sz w:val="16"/>
        </w:rPr>
      </w:pPr>
      <w:bookmarkStart w:name="_bookmark0" w:id="7"/>
      <w:bookmarkEnd w:id="7"/>
      <w:r>
        <w:rPr/>
      </w:r>
      <w:r>
        <w:rPr>
          <w:spacing w:val="-2"/>
          <w:w w:val="80"/>
          <w:position w:val="4"/>
          <w:sz w:val="10"/>
        </w:rPr>
        <w:t>1</w:t>
      </w:r>
      <w:r>
        <w:rPr>
          <w:spacing w:val="5"/>
          <w:position w:val="4"/>
          <w:sz w:val="10"/>
        </w:rPr>
        <w:t> </w:t>
      </w:r>
      <w:r>
        <w:rPr>
          <w:spacing w:val="-2"/>
          <w:w w:val="80"/>
          <w:sz w:val="16"/>
        </w:rPr>
        <w:t>NHS Providers</w:t>
      </w:r>
      <w:r>
        <w:rPr>
          <w:spacing w:val="-4"/>
          <w:w w:val="80"/>
          <w:sz w:val="16"/>
        </w:rPr>
        <w:t> </w:t>
      </w:r>
      <w:r>
        <w:rPr>
          <w:spacing w:val="-2"/>
          <w:w w:val="80"/>
          <w:sz w:val="16"/>
        </w:rPr>
        <w:t>(2023).</w:t>
      </w:r>
      <w:r>
        <w:rPr>
          <w:spacing w:val="-4"/>
          <w:w w:val="80"/>
          <w:sz w:val="16"/>
        </w:rPr>
        <w:t> </w:t>
      </w:r>
      <w:hyperlink r:id="rId10">
        <w:r>
          <w:rPr>
            <w:color w:val="0000FF"/>
            <w:spacing w:val="-2"/>
            <w:w w:val="80"/>
            <w:sz w:val="16"/>
            <w:u w:val="single" w:color="0000FF"/>
          </w:rPr>
          <w:t>Provider Collaboration:</w:t>
        </w:r>
        <w:r>
          <w:rPr>
            <w:color w:val="0000FF"/>
            <w:spacing w:val="-4"/>
            <w:w w:val="80"/>
            <w:sz w:val="16"/>
            <w:u w:val="single" w:color="0000FF"/>
          </w:rPr>
          <w:t> </w:t>
        </w:r>
        <w:r>
          <w:rPr>
            <w:color w:val="0000FF"/>
            <w:spacing w:val="-2"/>
            <w:w w:val="80"/>
            <w:sz w:val="16"/>
            <w:u w:val="single" w:color="0000FF"/>
          </w:rPr>
          <w:t>A</w:t>
        </w:r>
        <w:r>
          <w:rPr>
            <w:color w:val="0000FF"/>
            <w:spacing w:val="-6"/>
            <w:w w:val="80"/>
            <w:sz w:val="16"/>
            <w:u w:val="single" w:color="0000FF"/>
          </w:rPr>
          <w:t> </w:t>
        </w:r>
        <w:r>
          <w:rPr>
            <w:color w:val="0000FF"/>
            <w:spacing w:val="-2"/>
            <w:w w:val="80"/>
            <w:sz w:val="16"/>
            <w:u w:val="single" w:color="0000FF"/>
          </w:rPr>
          <w:t>practical guide</w:t>
        </w:r>
        <w:r>
          <w:rPr>
            <w:color w:val="0000FF"/>
            <w:spacing w:val="-3"/>
            <w:sz w:val="16"/>
            <w:u w:val="single" w:color="0000FF"/>
          </w:rPr>
          <w:t> </w:t>
        </w:r>
        <w:r>
          <w:rPr>
            <w:color w:val="0000FF"/>
            <w:spacing w:val="-2"/>
            <w:w w:val="80"/>
            <w:sz w:val="16"/>
            <w:u w:val="single" w:color="0000FF"/>
          </w:rPr>
          <w:t>to lawful,</w:t>
        </w:r>
        <w:r>
          <w:rPr>
            <w:color w:val="0000FF"/>
            <w:spacing w:val="-4"/>
            <w:w w:val="80"/>
            <w:sz w:val="16"/>
            <w:u w:val="single" w:color="0000FF"/>
          </w:rPr>
          <w:t> </w:t>
        </w:r>
        <w:r>
          <w:rPr>
            <w:color w:val="0000FF"/>
            <w:spacing w:val="-2"/>
            <w:w w:val="80"/>
            <w:sz w:val="16"/>
            <w:u w:val="single" w:color="0000FF"/>
          </w:rPr>
          <w:t>well-governed collaboratives</w:t>
        </w:r>
      </w:hyperlink>
      <w:r>
        <w:rPr>
          <w:color w:val="0000FF"/>
          <w:sz w:val="16"/>
          <w:u w:val="none"/>
        </w:rPr>
        <w:t> </w:t>
      </w:r>
      <w:r>
        <w:rPr>
          <w:spacing w:val="-4"/>
          <w:w w:val="85"/>
          <w:sz w:val="16"/>
          <w:u w:val="none"/>
        </w:rPr>
        <w:t>NHS Confederation</w:t>
      </w:r>
      <w:r>
        <w:rPr>
          <w:spacing w:val="-5"/>
          <w:w w:val="85"/>
          <w:sz w:val="16"/>
          <w:u w:val="none"/>
        </w:rPr>
        <w:t> </w:t>
      </w:r>
      <w:r>
        <w:rPr>
          <w:spacing w:val="-4"/>
          <w:w w:val="85"/>
          <w:sz w:val="16"/>
          <w:u w:val="none"/>
        </w:rPr>
        <w:t>(2023).</w:t>
      </w:r>
      <w:r>
        <w:rPr>
          <w:spacing w:val="-8"/>
          <w:w w:val="85"/>
          <w:sz w:val="16"/>
          <w:u w:val="none"/>
        </w:rPr>
        <w:t> </w:t>
      </w:r>
      <w:hyperlink r:id="rId11">
        <w:r>
          <w:rPr>
            <w:color w:val="0000FF"/>
            <w:spacing w:val="-4"/>
            <w:w w:val="85"/>
            <w:sz w:val="16"/>
            <w:u w:val="single" w:color="0000FF"/>
          </w:rPr>
          <w:t>The</w:t>
        </w:r>
        <w:r>
          <w:rPr>
            <w:color w:val="0000FF"/>
            <w:spacing w:val="-5"/>
            <w:w w:val="85"/>
            <w:sz w:val="16"/>
            <w:u w:val="single" w:color="0000FF"/>
          </w:rPr>
          <w:t> </w:t>
        </w:r>
        <w:r>
          <w:rPr>
            <w:color w:val="0000FF"/>
            <w:spacing w:val="-4"/>
            <w:w w:val="85"/>
            <w:sz w:val="16"/>
            <w:u w:val="single" w:color="0000FF"/>
          </w:rPr>
          <w:t>evolution</w:t>
        </w:r>
        <w:r>
          <w:rPr>
            <w:color w:val="0000FF"/>
            <w:spacing w:val="-5"/>
            <w:w w:val="85"/>
            <w:sz w:val="16"/>
            <w:u w:val="single" w:color="0000FF"/>
          </w:rPr>
          <w:t> </w:t>
        </w:r>
        <w:r>
          <w:rPr>
            <w:color w:val="0000FF"/>
            <w:spacing w:val="-4"/>
            <w:w w:val="85"/>
            <w:sz w:val="16"/>
            <w:u w:val="single" w:color="0000FF"/>
          </w:rPr>
          <w:t>of</w:t>
        </w:r>
        <w:r>
          <w:rPr>
            <w:color w:val="0000FF"/>
            <w:spacing w:val="-8"/>
            <w:w w:val="85"/>
            <w:sz w:val="16"/>
            <w:u w:val="single" w:color="0000FF"/>
          </w:rPr>
          <w:t> </w:t>
        </w:r>
        <w:r>
          <w:rPr>
            <w:color w:val="0000FF"/>
            <w:spacing w:val="-4"/>
            <w:w w:val="85"/>
            <w:sz w:val="16"/>
            <w:u w:val="single" w:color="0000FF"/>
          </w:rPr>
          <w:t>provider</w:t>
        </w:r>
        <w:r>
          <w:rPr>
            <w:color w:val="0000FF"/>
            <w:spacing w:val="-6"/>
            <w:w w:val="85"/>
            <w:sz w:val="16"/>
            <w:u w:val="single" w:color="0000FF"/>
          </w:rPr>
          <w:t> </w:t>
        </w:r>
        <w:r>
          <w:rPr>
            <w:color w:val="0000FF"/>
            <w:spacing w:val="-4"/>
            <w:w w:val="85"/>
            <w:sz w:val="16"/>
            <w:u w:val="single" w:color="0000FF"/>
          </w:rPr>
          <w:t>collaboration</w:t>
        </w:r>
        <w:r>
          <w:rPr>
            <w:color w:val="0000FF"/>
            <w:spacing w:val="-5"/>
            <w:w w:val="85"/>
            <w:sz w:val="16"/>
            <w:u w:val="single" w:color="0000FF"/>
          </w:rPr>
          <w:t> </w:t>
        </w:r>
        <w:r>
          <w:rPr>
            <w:color w:val="0000FF"/>
            <w:spacing w:val="-4"/>
            <w:w w:val="85"/>
            <w:sz w:val="16"/>
            <w:u w:val="single" w:color="0000FF"/>
          </w:rPr>
          <w:t>|</w:t>
        </w:r>
        <w:r>
          <w:rPr>
            <w:color w:val="0000FF"/>
            <w:spacing w:val="-6"/>
            <w:w w:val="85"/>
            <w:sz w:val="16"/>
            <w:u w:val="single" w:color="0000FF"/>
          </w:rPr>
          <w:t> </w:t>
        </w:r>
        <w:r>
          <w:rPr>
            <w:color w:val="0000FF"/>
            <w:spacing w:val="-4"/>
            <w:w w:val="85"/>
            <w:sz w:val="16"/>
            <w:u w:val="single" w:color="0000FF"/>
          </w:rPr>
          <w:t>NHS</w:t>
        </w:r>
        <w:r>
          <w:rPr>
            <w:color w:val="0000FF"/>
            <w:spacing w:val="-5"/>
            <w:w w:val="85"/>
            <w:sz w:val="16"/>
            <w:u w:val="single" w:color="0000FF"/>
          </w:rPr>
          <w:t> </w:t>
        </w:r>
        <w:r>
          <w:rPr>
            <w:color w:val="0000FF"/>
            <w:spacing w:val="-4"/>
            <w:w w:val="85"/>
            <w:sz w:val="16"/>
            <w:u w:val="single" w:color="0000FF"/>
          </w:rPr>
          <w:t>Confederation</w:t>
        </w:r>
      </w:hyperlink>
    </w:p>
    <w:p>
      <w:pPr>
        <w:spacing w:line="195" w:lineRule="exact" w:before="1"/>
        <w:ind w:left="50" w:right="0" w:firstLine="0"/>
        <w:jc w:val="left"/>
        <w:rPr>
          <w:rFonts w:ascii="Calibri"/>
          <w:sz w:val="16"/>
        </w:rPr>
      </w:pPr>
      <w:bookmarkStart w:name="_bookmark1" w:id="8"/>
      <w:bookmarkEnd w:id="8"/>
      <w:r>
        <w:rPr/>
      </w:r>
      <w:r>
        <w:rPr>
          <w:rFonts w:ascii="Calibri"/>
          <w:spacing w:val="-2"/>
          <w:sz w:val="16"/>
          <w:vertAlign w:val="superscript"/>
        </w:rPr>
        <w:t>2</w:t>
      </w:r>
      <w:r>
        <w:rPr>
          <w:rFonts w:ascii="Calibri"/>
          <w:spacing w:val="20"/>
          <w:sz w:val="16"/>
          <w:vertAlign w:val="baseline"/>
        </w:rPr>
        <w:t> </w:t>
      </w:r>
      <w:r>
        <w:rPr>
          <w:rFonts w:ascii="Calibri"/>
          <w:spacing w:val="-2"/>
          <w:sz w:val="16"/>
          <w:vertAlign w:val="baseline"/>
        </w:rPr>
        <w:t>NHS</w:t>
      </w:r>
      <w:r>
        <w:rPr>
          <w:rFonts w:ascii="Calibri"/>
          <w:spacing w:val="24"/>
          <w:sz w:val="16"/>
          <w:vertAlign w:val="baseline"/>
        </w:rPr>
        <w:t> </w:t>
      </w:r>
      <w:r>
        <w:rPr>
          <w:rFonts w:ascii="Calibri"/>
          <w:spacing w:val="-2"/>
          <w:sz w:val="16"/>
          <w:vertAlign w:val="baseline"/>
        </w:rPr>
        <w:t>England</w:t>
      </w:r>
      <w:r>
        <w:rPr>
          <w:rFonts w:ascii="Calibri"/>
          <w:spacing w:val="22"/>
          <w:sz w:val="16"/>
          <w:vertAlign w:val="baseline"/>
        </w:rPr>
        <w:t> </w:t>
      </w:r>
      <w:r>
        <w:rPr>
          <w:rFonts w:ascii="Calibri"/>
          <w:spacing w:val="-2"/>
          <w:sz w:val="16"/>
          <w:vertAlign w:val="baseline"/>
        </w:rPr>
        <w:t>(2021).</w:t>
      </w:r>
      <w:r>
        <w:rPr>
          <w:rFonts w:ascii="Calibri"/>
          <w:spacing w:val="23"/>
          <w:sz w:val="16"/>
          <w:vertAlign w:val="baseline"/>
        </w:rPr>
        <w:t> </w:t>
      </w:r>
      <w:hyperlink r:id="rId12">
        <w:r>
          <w:rPr>
            <w:rFonts w:ascii="Calibri"/>
            <w:color w:val="0000FF"/>
            <w:spacing w:val="-2"/>
            <w:sz w:val="16"/>
            <w:u w:val="single" w:color="0000FF"/>
            <w:vertAlign w:val="baseline"/>
          </w:rPr>
          <w:t>B0754-working-together-at-scale-guidance-on-provider-collaboratives.pdf</w:t>
        </w:r>
      </w:hyperlink>
    </w:p>
    <w:p>
      <w:pPr>
        <w:spacing w:line="195" w:lineRule="exact" w:before="0"/>
        <w:ind w:left="50" w:right="0" w:firstLine="0"/>
        <w:jc w:val="left"/>
        <w:rPr>
          <w:rFonts w:ascii="Calibri"/>
          <w:sz w:val="16"/>
        </w:rPr>
      </w:pPr>
      <w:r>
        <w:rPr>
          <w:rFonts w:ascii="Calibri"/>
          <w:sz w:val="16"/>
        </w:rPr>
        <w:t>The</w:t>
      </w:r>
      <w:r>
        <w:rPr>
          <w:rFonts w:ascii="Calibri"/>
          <w:spacing w:val="-6"/>
          <w:sz w:val="16"/>
        </w:rPr>
        <w:t> </w:t>
      </w:r>
      <w:r>
        <w:rPr>
          <w:rFonts w:ascii="Calibri"/>
          <w:sz w:val="16"/>
        </w:rPr>
        <w:t>Kings</w:t>
      </w:r>
      <w:r>
        <w:rPr>
          <w:rFonts w:ascii="Calibri"/>
          <w:spacing w:val="-4"/>
          <w:sz w:val="16"/>
        </w:rPr>
        <w:t> </w:t>
      </w:r>
      <w:r>
        <w:rPr>
          <w:rFonts w:ascii="Calibri"/>
          <w:sz w:val="16"/>
        </w:rPr>
        <w:t>Fund</w:t>
      </w:r>
      <w:r>
        <w:rPr>
          <w:rFonts w:ascii="Calibri"/>
          <w:spacing w:val="-5"/>
          <w:sz w:val="16"/>
        </w:rPr>
        <w:t> </w:t>
      </w:r>
      <w:r>
        <w:rPr>
          <w:rFonts w:ascii="Calibri"/>
          <w:sz w:val="16"/>
        </w:rPr>
        <w:t>(2022).</w:t>
      </w:r>
      <w:r>
        <w:rPr>
          <w:rFonts w:ascii="Calibri"/>
          <w:spacing w:val="-5"/>
          <w:sz w:val="16"/>
        </w:rPr>
        <w:t> </w:t>
      </w:r>
      <w:hyperlink r:id="rId13">
        <w:r>
          <w:rPr>
            <w:rFonts w:ascii="Calibri"/>
            <w:color w:val="0000FF"/>
            <w:sz w:val="16"/>
            <w:u w:val="single" w:color="0000FF"/>
          </w:rPr>
          <w:t>Provider</w:t>
        </w:r>
        <w:r>
          <w:rPr>
            <w:rFonts w:ascii="Calibri"/>
            <w:color w:val="0000FF"/>
            <w:spacing w:val="-6"/>
            <w:sz w:val="16"/>
            <w:u w:val="single" w:color="0000FF"/>
          </w:rPr>
          <w:t> </w:t>
        </w:r>
        <w:r>
          <w:rPr>
            <w:rFonts w:ascii="Calibri"/>
            <w:color w:val="0000FF"/>
            <w:sz w:val="16"/>
            <w:u w:val="single" w:color="0000FF"/>
          </w:rPr>
          <w:t>Collaboratives:</w:t>
        </w:r>
        <w:r>
          <w:rPr>
            <w:rFonts w:ascii="Calibri"/>
            <w:color w:val="0000FF"/>
            <w:spacing w:val="-4"/>
            <w:sz w:val="16"/>
            <w:u w:val="single" w:color="0000FF"/>
          </w:rPr>
          <w:t> </w:t>
        </w:r>
        <w:r>
          <w:rPr>
            <w:rFonts w:ascii="Calibri"/>
            <w:color w:val="0000FF"/>
            <w:sz w:val="16"/>
            <w:u w:val="single" w:color="0000FF"/>
          </w:rPr>
          <w:t>Explaining</w:t>
        </w:r>
        <w:r>
          <w:rPr>
            <w:rFonts w:ascii="Calibri"/>
            <w:color w:val="0000FF"/>
            <w:spacing w:val="-6"/>
            <w:sz w:val="16"/>
            <w:u w:val="single" w:color="0000FF"/>
          </w:rPr>
          <w:t> </w:t>
        </w:r>
        <w:r>
          <w:rPr>
            <w:rFonts w:ascii="Calibri"/>
            <w:color w:val="0000FF"/>
            <w:sz w:val="16"/>
            <w:u w:val="single" w:color="0000FF"/>
          </w:rPr>
          <w:t>Their</w:t>
        </w:r>
        <w:r>
          <w:rPr>
            <w:rFonts w:ascii="Calibri"/>
            <w:color w:val="0000FF"/>
            <w:spacing w:val="-6"/>
            <w:sz w:val="16"/>
            <w:u w:val="single" w:color="0000FF"/>
          </w:rPr>
          <w:t> </w:t>
        </w:r>
        <w:r>
          <w:rPr>
            <w:rFonts w:ascii="Calibri"/>
            <w:color w:val="0000FF"/>
            <w:sz w:val="16"/>
            <w:u w:val="single" w:color="0000FF"/>
          </w:rPr>
          <w:t>Role</w:t>
        </w:r>
        <w:r>
          <w:rPr>
            <w:rFonts w:ascii="Calibri"/>
            <w:color w:val="0000FF"/>
            <w:spacing w:val="-6"/>
            <w:sz w:val="16"/>
            <w:u w:val="single" w:color="0000FF"/>
          </w:rPr>
          <w:t> </w:t>
        </w:r>
        <w:r>
          <w:rPr>
            <w:rFonts w:ascii="Calibri"/>
            <w:color w:val="0000FF"/>
            <w:sz w:val="16"/>
            <w:u w:val="single" w:color="0000FF"/>
          </w:rPr>
          <w:t>In</w:t>
        </w:r>
        <w:r>
          <w:rPr>
            <w:rFonts w:ascii="Calibri"/>
            <w:color w:val="0000FF"/>
            <w:spacing w:val="-5"/>
            <w:sz w:val="16"/>
            <w:u w:val="single" w:color="0000FF"/>
          </w:rPr>
          <w:t> </w:t>
        </w:r>
        <w:r>
          <w:rPr>
            <w:rFonts w:ascii="Calibri"/>
            <w:color w:val="0000FF"/>
            <w:sz w:val="16"/>
            <w:u w:val="single" w:color="0000FF"/>
          </w:rPr>
          <w:t>System</w:t>
        </w:r>
        <w:r>
          <w:rPr>
            <w:rFonts w:ascii="Calibri"/>
            <w:color w:val="0000FF"/>
            <w:spacing w:val="1"/>
            <w:sz w:val="16"/>
            <w:u w:val="single" w:color="0000FF"/>
          </w:rPr>
          <w:t> </w:t>
        </w:r>
        <w:r>
          <w:rPr>
            <w:rFonts w:ascii="Calibri"/>
            <w:color w:val="0000FF"/>
            <w:sz w:val="16"/>
            <w:u w:val="single" w:color="0000FF"/>
          </w:rPr>
          <w:t>Working</w:t>
        </w:r>
        <w:r>
          <w:rPr>
            <w:rFonts w:ascii="Calibri"/>
            <w:color w:val="0000FF"/>
            <w:spacing w:val="-6"/>
            <w:sz w:val="16"/>
            <w:u w:val="single" w:color="0000FF"/>
          </w:rPr>
          <w:t> </w:t>
        </w:r>
        <w:r>
          <w:rPr>
            <w:rFonts w:ascii="Calibri"/>
            <w:color w:val="0000FF"/>
            <w:sz w:val="16"/>
            <w:u w:val="single" w:color="0000FF"/>
          </w:rPr>
          <w:t>|</w:t>
        </w:r>
        <w:r>
          <w:rPr>
            <w:rFonts w:ascii="Calibri"/>
            <w:color w:val="0000FF"/>
            <w:spacing w:val="-5"/>
            <w:sz w:val="16"/>
            <w:u w:val="single" w:color="0000FF"/>
          </w:rPr>
          <w:t> </w:t>
        </w:r>
        <w:r>
          <w:rPr>
            <w:rFonts w:ascii="Calibri"/>
            <w:color w:val="0000FF"/>
            <w:sz w:val="16"/>
            <w:u w:val="single" w:color="0000FF"/>
          </w:rPr>
          <w:t>The</w:t>
        </w:r>
        <w:r>
          <w:rPr>
            <w:rFonts w:ascii="Calibri"/>
            <w:color w:val="0000FF"/>
            <w:spacing w:val="-5"/>
            <w:sz w:val="16"/>
            <w:u w:val="single" w:color="0000FF"/>
          </w:rPr>
          <w:t> </w:t>
        </w:r>
        <w:r>
          <w:rPr>
            <w:rFonts w:ascii="Calibri"/>
            <w:color w:val="0000FF"/>
            <w:sz w:val="16"/>
            <w:u w:val="single" w:color="0000FF"/>
          </w:rPr>
          <w:t>King's</w:t>
        </w:r>
        <w:r>
          <w:rPr>
            <w:rFonts w:ascii="Calibri"/>
            <w:color w:val="0000FF"/>
            <w:spacing w:val="-3"/>
            <w:sz w:val="16"/>
            <w:u w:val="single" w:color="0000FF"/>
          </w:rPr>
          <w:t> </w:t>
        </w:r>
        <w:r>
          <w:rPr>
            <w:rFonts w:ascii="Calibri"/>
            <w:color w:val="0000FF"/>
            <w:spacing w:val="-4"/>
            <w:sz w:val="16"/>
            <w:u w:val="single" w:color="0000FF"/>
          </w:rPr>
          <w:t>Fund</w:t>
        </w:r>
      </w:hyperlink>
    </w:p>
    <w:p>
      <w:pPr>
        <w:spacing w:before="0"/>
        <w:ind w:left="50" w:right="4594" w:firstLine="0"/>
        <w:jc w:val="left"/>
        <w:rPr>
          <w:rFonts w:ascii="Calibri"/>
          <w:sz w:val="16"/>
        </w:rPr>
      </w:pPr>
      <w:bookmarkStart w:name="_bookmark2" w:id="9"/>
      <w:bookmarkEnd w:id="9"/>
      <w:r>
        <w:rPr/>
      </w:r>
      <w:r>
        <w:rPr>
          <w:rFonts w:ascii="Calibri"/>
          <w:sz w:val="16"/>
          <w:vertAlign w:val="superscript"/>
        </w:rPr>
        <w:t>3</w:t>
      </w:r>
      <w:r>
        <w:rPr>
          <w:rFonts w:ascii="Calibri"/>
          <w:spacing w:val="-7"/>
          <w:sz w:val="16"/>
          <w:vertAlign w:val="baseline"/>
        </w:rPr>
        <w:t> </w:t>
      </w:r>
      <w:r>
        <w:rPr>
          <w:rFonts w:ascii="Calibri"/>
          <w:sz w:val="16"/>
          <w:vertAlign w:val="baseline"/>
        </w:rPr>
        <w:t>NHS</w:t>
      </w:r>
      <w:r>
        <w:rPr>
          <w:rFonts w:ascii="Calibri"/>
          <w:spacing w:val="-5"/>
          <w:sz w:val="16"/>
          <w:vertAlign w:val="baseline"/>
        </w:rPr>
        <w:t> </w:t>
      </w:r>
      <w:r>
        <w:rPr>
          <w:rFonts w:ascii="Calibri"/>
          <w:sz w:val="16"/>
          <w:vertAlign w:val="baseline"/>
        </w:rPr>
        <w:t>England</w:t>
      </w:r>
      <w:r>
        <w:rPr>
          <w:rFonts w:ascii="Calibri"/>
          <w:spacing w:val="-6"/>
          <w:sz w:val="16"/>
          <w:vertAlign w:val="baseline"/>
        </w:rPr>
        <w:t> </w:t>
      </w:r>
      <w:r>
        <w:rPr>
          <w:rFonts w:ascii="Calibri"/>
          <w:sz w:val="16"/>
          <w:vertAlign w:val="baseline"/>
        </w:rPr>
        <w:t>(2023).</w:t>
      </w:r>
      <w:r>
        <w:rPr>
          <w:rFonts w:ascii="Calibri"/>
          <w:spacing w:val="-6"/>
          <w:sz w:val="16"/>
          <w:vertAlign w:val="baseline"/>
        </w:rPr>
        <w:t> </w:t>
      </w:r>
      <w:hyperlink r:id="rId14">
        <w:r>
          <w:rPr>
            <w:rFonts w:ascii="Calibri"/>
            <w:color w:val="0000FF"/>
            <w:sz w:val="16"/>
            <w:u w:val="single" w:color="0000FF"/>
            <w:vertAlign w:val="baseline"/>
          </w:rPr>
          <w:t>Value</w:t>
        </w:r>
        <w:r>
          <w:rPr>
            <w:rFonts w:ascii="Calibri"/>
            <w:color w:val="0000FF"/>
            <w:spacing w:val="-6"/>
            <w:sz w:val="16"/>
            <w:u w:val="single" w:color="0000FF"/>
            <w:vertAlign w:val="baseline"/>
          </w:rPr>
          <w:t> </w:t>
        </w:r>
        <w:r>
          <w:rPr>
            <w:rFonts w:ascii="Calibri"/>
            <w:color w:val="0000FF"/>
            <w:sz w:val="16"/>
            <w:u w:val="single" w:color="0000FF"/>
            <w:vertAlign w:val="baseline"/>
          </w:rPr>
          <w:t>Sharing</w:t>
        </w:r>
        <w:r>
          <w:rPr>
            <w:rFonts w:ascii="Calibri"/>
            <w:color w:val="0000FF"/>
            <w:spacing w:val="-7"/>
            <w:sz w:val="16"/>
            <w:u w:val="single" w:color="0000FF"/>
            <w:vertAlign w:val="baseline"/>
          </w:rPr>
          <w:t> </w:t>
        </w:r>
        <w:r>
          <w:rPr>
            <w:rFonts w:ascii="Calibri"/>
            <w:color w:val="0000FF"/>
            <w:sz w:val="16"/>
            <w:u w:val="single" w:color="0000FF"/>
            <w:vertAlign w:val="baseline"/>
          </w:rPr>
          <w:t>Framework</w:t>
        </w:r>
        <w:r>
          <w:rPr>
            <w:rFonts w:ascii="Calibri"/>
            <w:color w:val="0000FF"/>
            <w:spacing w:val="-4"/>
            <w:sz w:val="16"/>
            <w:u w:val="single" w:color="0000FF"/>
            <w:vertAlign w:val="baseline"/>
          </w:rPr>
          <w:t> </w:t>
        </w:r>
        <w:r>
          <w:rPr>
            <w:rFonts w:ascii="Calibri"/>
            <w:color w:val="0000FF"/>
            <w:sz w:val="16"/>
            <w:u w:val="single" w:color="0000FF"/>
            <w:vertAlign w:val="baseline"/>
          </w:rPr>
          <w:t>for</w:t>
        </w:r>
        <w:r>
          <w:rPr>
            <w:rFonts w:ascii="Calibri"/>
            <w:color w:val="0000FF"/>
            <w:spacing w:val="-7"/>
            <w:sz w:val="16"/>
            <w:u w:val="single" w:color="0000FF"/>
            <w:vertAlign w:val="baseline"/>
          </w:rPr>
          <w:t> </w:t>
        </w:r>
        <w:r>
          <w:rPr>
            <w:rFonts w:ascii="Calibri"/>
            <w:color w:val="0000FF"/>
            <w:sz w:val="16"/>
            <w:u w:val="single" w:color="0000FF"/>
            <w:vertAlign w:val="baseline"/>
          </w:rPr>
          <w:t>NHS</w:t>
        </w:r>
        <w:r>
          <w:rPr>
            <w:rFonts w:ascii="Calibri"/>
            <w:color w:val="0000FF"/>
            <w:spacing w:val="-5"/>
            <w:sz w:val="16"/>
            <w:u w:val="single" w:color="0000FF"/>
            <w:vertAlign w:val="baseline"/>
          </w:rPr>
          <w:t> </w:t>
        </w:r>
        <w:r>
          <w:rPr>
            <w:rFonts w:ascii="Calibri"/>
            <w:color w:val="0000FF"/>
            <w:sz w:val="16"/>
            <w:u w:val="single" w:color="0000FF"/>
            <w:vertAlign w:val="baseline"/>
          </w:rPr>
          <w:t>data</w:t>
        </w:r>
        <w:r>
          <w:rPr>
            <w:rFonts w:ascii="Calibri"/>
            <w:color w:val="0000FF"/>
            <w:spacing w:val="-8"/>
            <w:sz w:val="16"/>
            <w:u w:val="single" w:color="0000FF"/>
            <w:vertAlign w:val="baseline"/>
          </w:rPr>
          <w:t> </w:t>
        </w:r>
        <w:r>
          <w:rPr>
            <w:rFonts w:ascii="Calibri"/>
            <w:color w:val="0000FF"/>
            <w:sz w:val="16"/>
            <w:u w:val="single" w:color="0000FF"/>
            <w:vertAlign w:val="baseline"/>
          </w:rPr>
          <w:t>partnerships</w:t>
        </w:r>
        <w:r>
          <w:rPr>
            <w:rFonts w:ascii="Calibri"/>
            <w:color w:val="0000FF"/>
            <w:spacing w:val="-1"/>
            <w:sz w:val="16"/>
            <w:u w:val="single" w:color="0000FF"/>
            <w:vertAlign w:val="baseline"/>
          </w:rPr>
          <w:t> </w:t>
        </w:r>
        <w:r>
          <w:rPr>
            <w:rFonts w:ascii="Calibri"/>
            <w:color w:val="0000FF"/>
            <w:sz w:val="16"/>
            <w:u w:val="single" w:color="0000FF"/>
            <w:vertAlign w:val="baseline"/>
          </w:rPr>
          <w:t>-</w:t>
        </w:r>
        <w:r>
          <w:rPr>
            <w:rFonts w:ascii="Calibri"/>
            <w:color w:val="0000FF"/>
            <w:spacing w:val="-5"/>
            <w:sz w:val="16"/>
            <w:u w:val="single" w:color="0000FF"/>
            <w:vertAlign w:val="baseline"/>
          </w:rPr>
          <w:t> </w:t>
        </w:r>
        <w:r>
          <w:rPr>
            <w:rFonts w:ascii="Calibri"/>
            <w:color w:val="0000FF"/>
            <w:sz w:val="16"/>
            <w:u w:val="single" w:color="0000FF"/>
            <w:vertAlign w:val="baseline"/>
          </w:rPr>
          <w:t>The</w:t>
        </w:r>
        <w:r>
          <w:rPr>
            <w:rFonts w:ascii="Calibri"/>
            <w:color w:val="0000FF"/>
            <w:spacing w:val="-6"/>
            <w:sz w:val="16"/>
            <w:u w:val="single" w:color="0000FF"/>
            <w:vertAlign w:val="baseline"/>
          </w:rPr>
          <w:t> </w:t>
        </w:r>
        <w:r>
          <w:rPr>
            <w:rFonts w:ascii="Calibri"/>
            <w:color w:val="0000FF"/>
            <w:sz w:val="16"/>
            <w:u w:val="single" w:color="0000FF"/>
            <w:vertAlign w:val="baseline"/>
          </w:rPr>
          <w:t>Centre</w:t>
        </w:r>
        <w:r>
          <w:rPr>
            <w:rFonts w:ascii="Calibri"/>
            <w:color w:val="0000FF"/>
            <w:spacing w:val="-6"/>
            <w:sz w:val="16"/>
            <w:u w:val="single" w:color="0000FF"/>
            <w:vertAlign w:val="baseline"/>
          </w:rPr>
          <w:t> </w:t>
        </w:r>
        <w:r>
          <w:rPr>
            <w:rFonts w:ascii="Calibri"/>
            <w:color w:val="0000FF"/>
            <w:sz w:val="16"/>
            <w:u w:val="single" w:color="0000FF"/>
            <w:vertAlign w:val="baseline"/>
          </w:rPr>
          <w:t>for</w:t>
        </w:r>
        <w:r>
          <w:rPr>
            <w:rFonts w:ascii="Calibri"/>
            <w:color w:val="0000FF"/>
            <w:spacing w:val="-7"/>
            <w:sz w:val="16"/>
            <w:u w:val="single" w:color="0000FF"/>
            <w:vertAlign w:val="baseline"/>
          </w:rPr>
          <w:t> </w:t>
        </w:r>
        <w:r>
          <w:rPr>
            <w:rFonts w:ascii="Calibri"/>
            <w:color w:val="0000FF"/>
            <w:sz w:val="16"/>
            <w:u w:val="single" w:color="0000FF"/>
            <w:vertAlign w:val="baseline"/>
          </w:rPr>
          <w:t>Improving</w:t>
        </w:r>
        <w:r>
          <w:rPr>
            <w:rFonts w:ascii="Calibri"/>
            <w:color w:val="0000FF"/>
            <w:spacing w:val="-7"/>
            <w:sz w:val="16"/>
            <w:u w:val="single" w:color="0000FF"/>
            <w:vertAlign w:val="baseline"/>
          </w:rPr>
          <w:t> </w:t>
        </w:r>
        <w:r>
          <w:rPr>
            <w:rFonts w:ascii="Calibri"/>
            <w:color w:val="0000FF"/>
            <w:sz w:val="16"/>
            <w:u w:val="single" w:color="0000FF"/>
            <w:vertAlign w:val="baseline"/>
          </w:rPr>
          <w:t>Data</w:t>
        </w:r>
        <w:r>
          <w:rPr>
            <w:rFonts w:ascii="Calibri"/>
            <w:color w:val="0000FF"/>
            <w:spacing w:val="-8"/>
            <w:sz w:val="16"/>
            <w:u w:val="single" w:color="0000FF"/>
            <w:vertAlign w:val="baseline"/>
          </w:rPr>
          <w:t> </w:t>
        </w:r>
        <w:r>
          <w:rPr>
            <w:rFonts w:ascii="Calibri"/>
            <w:color w:val="0000FF"/>
            <w:sz w:val="16"/>
            <w:u w:val="single" w:color="0000FF"/>
            <w:vertAlign w:val="baseline"/>
          </w:rPr>
          <w:t>Collaboration</w:t>
        </w:r>
        <w:r>
          <w:rPr>
            <w:rFonts w:ascii="Calibri"/>
            <w:color w:val="0000FF"/>
            <w:spacing w:val="-4"/>
            <w:sz w:val="16"/>
            <w:u w:val="single" w:color="0000FF"/>
            <w:vertAlign w:val="baseline"/>
          </w:rPr>
          <w:t> </w:t>
        </w:r>
        <w:r>
          <w:rPr>
            <w:rFonts w:ascii="Calibri"/>
            <w:color w:val="0000FF"/>
            <w:sz w:val="16"/>
            <w:u w:val="single" w:color="0000FF"/>
            <w:vertAlign w:val="baseline"/>
          </w:rPr>
          <w:t>-</w:t>
        </w:r>
        <w:r>
          <w:rPr>
            <w:rFonts w:ascii="Calibri"/>
            <w:color w:val="0000FF"/>
            <w:spacing w:val="-6"/>
            <w:sz w:val="16"/>
            <w:u w:val="single" w:color="0000FF"/>
            <w:vertAlign w:val="baseline"/>
          </w:rPr>
          <w:t> </w:t>
        </w:r>
        <w:r>
          <w:rPr>
            <w:rFonts w:ascii="Calibri"/>
            <w:color w:val="0000FF"/>
            <w:sz w:val="16"/>
            <w:u w:val="single" w:color="0000FF"/>
            <w:vertAlign w:val="baseline"/>
          </w:rPr>
          <w:t>NHS</w:t>
        </w:r>
        <w:r>
          <w:rPr>
            <w:rFonts w:ascii="Calibri"/>
            <w:color w:val="0000FF"/>
            <w:spacing w:val="-5"/>
            <w:sz w:val="16"/>
            <w:u w:val="single" w:color="0000FF"/>
            <w:vertAlign w:val="baseline"/>
          </w:rPr>
          <w:t> </w:t>
        </w:r>
        <w:r>
          <w:rPr>
            <w:rFonts w:ascii="Calibri"/>
            <w:color w:val="0000FF"/>
            <w:sz w:val="16"/>
            <w:u w:val="single" w:color="0000FF"/>
            <w:vertAlign w:val="baseline"/>
          </w:rPr>
          <w:t>Transformation</w:t>
        </w:r>
        <w:r>
          <w:rPr>
            <w:rFonts w:ascii="Calibri"/>
            <w:color w:val="0000FF"/>
            <w:spacing w:val="-6"/>
            <w:sz w:val="16"/>
            <w:u w:val="single" w:color="0000FF"/>
            <w:vertAlign w:val="baseline"/>
          </w:rPr>
          <w:t> </w:t>
        </w:r>
        <w:r>
          <w:rPr>
            <w:rFonts w:ascii="Calibri"/>
            <w:color w:val="0000FF"/>
            <w:sz w:val="16"/>
            <w:u w:val="single" w:color="0000FF"/>
            <w:vertAlign w:val="baseline"/>
          </w:rPr>
          <w:t>Directorate</w:t>
        </w:r>
      </w:hyperlink>
      <w:r>
        <w:rPr>
          <w:rFonts w:ascii="Calibri"/>
          <w:color w:val="0000FF"/>
          <w:spacing w:val="40"/>
          <w:sz w:val="16"/>
          <w:u w:val="none"/>
          <w:vertAlign w:val="baseline"/>
        </w:rPr>
        <w:t> </w:t>
      </w:r>
      <w:r>
        <w:rPr>
          <w:rFonts w:ascii="Calibri"/>
          <w:sz w:val="16"/>
          <w:u w:val="none"/>
          <w:vertAlign w:val="baseline"/>
        </w:rPr>
        <w:t>SCIE (2024). </w:t>
      </w:r>
      <w:hyperlink r:id="rId15">
        <w:r>
          <w:rPr>
            <w:rFonts w:ascii="Calibri"/>
            <w:color w:val="0000FF"/>
            <w:sz w:val="16"/>
            <w:u w:val="single" w:color="0000FF"/>
            <w:vertAlign w:val="baseline"/>
          </w:rPr>
          <w:t>Logic model for integrated care - SCIE</w:t>
        </w:r>
      </w:hyperlink>
    </w:p>
    <w:p>
      <w:pPr>
        <w:spacing w:line="195" w:lineRule="exact" w:before="0"/>
        <w:ind w:left="50" w:right="0" w:firstLine="0"/>
        <w:jc w:val="left"/>
        <w:rPr>
          <w:rFonts w:ascii="Calibri"/>
          <w:sz w:val="16"/>
        </w:rPr>
      </w:pPr>
      <w:bookmarkStart w:name="_bookmark3" w:id="10"/>
      <w:bookmarkEnd w:id="10"/>
      <w:r>
        <w:rPr/>
      </w:r>
      <w:r>
        <w:rPr>
          <w:rFonts w:ascii="Calibri"/>
          <w:spacing w:val="-2"/>
          <w:sz w:val="16"/>
          <w:vertAlign w:val="superscript"/>
        </w:rPr>
        <w:t>4</w:t>
      </w:r>
      <w:r>
        <w:rPr>
          <w:rFonts w:ascii="Calibri"/>
          <w:spacing w:val="18"/>
          <w:sz w:val="16"/>
          <w:vertAlign w:val="baseline"/>
        </w:rPr>
        <w:t> </w:t>
      </w:r>
      <w:r>
        <w:rPr>
          <w:rFonts w:ascii="Calibri"/>
          <w:spacing w:val="-2"/>
          <w:sz w:val="16"/>
          <w:vertAlign w:val="baseline"/>
        </w:rPr>
        <w:t>BMA</w:t>
      </w:r>
      <w:r>
        <w:rPr>
          <w:rFonts w:ascii="Calibri"/>
          <w:spacing w:val="23"/>
          <w:sz w:val="16"/>
          <w:vertAlign w:val="baseline"/>
        </w:rPr>
        <w:t> </w:t>
      </w:r>
      <w:r>
        <w:rPr>
          <w:rFonts w:ascii="Calibri"/>
          <w:spacing w:val="-2"/>
          <w:sz w:val="16"/>
          <w:vertAlign w:val="baseline"/>
        </w:rPr>
        <w:t>(2022).</w:t>
      </w:r>
      <w:r>
        <w:rPr>
          <w:rFonts w:ascii="Calibri"/>
          <w:spacing w:val="21"/>
          <w:sz w:val="16"/>
          <w:vertAlign w:val="baseline"/>
        </w:rPr>
        <w:t> </w:t>
      </w:r>
      <w:hyperlink r:id="rId16">
        <w:r>
          <w:rPr>
            <w:rFonts w:ascii="Calibri"/>
            <w:color w:val="0000FF"/>
            <w:spacing w:val="-2"/>
            <w:sz w:val="16"/>
            <w:u w:val="single" w:color="0000FF"/>
            <w:vertAlign w:val="baseline"/>
          </w:rPr>
          <w:t>bma-nhs-outsourcing-report-september-2024.pdf</w:t>
        </w:r>
      </w:hyperlink>
    </w:p>
    <w:p>
      <w:pPr>
        <w:spacing w:before="0"/>
        <w:ind w:left="50" w:right="0" w:firstLine="0"/>
        <w:jc w:val="left"/>
        <w:rPr>
          <w:rFonts w:ascii="Calibri"/>
          <w:sz w:val="16"/>
        </w:rPr>
      </w:pPr>
      <w:bookmarkStart w:name="_bookmark4" w:id="11"/>
      <w:bookmarkEnd w:id="11"/>
      <w:r>
        <w:rPr/>
      </w:r>
      <w:r>
        <w:rPr>
          <w:rFonts w:ascii="Calibri"/>
          <w:sz w:val="16"/>
          <w:vertAlign w:val="superscript"/>
        </w:rPr>
        <w:t>5</w:t>
      </w:r>
      <w:r>
        <w:rPr>
          <w:rFonts w:ascii="Calibri"/>
          <w:spacing w:val="-7"/>
          <w:sz w:val="16"/>
          <w:vertAlign w:val="baseline"/>
        </w:rPr>
        <w:t> </w:t>
      </w:r>
      <w:r>
        <w:rPr>
          <w:rFonts w:ascii="Calibri"/>
          <w:sz w:val="16"/>
          <w:vertAlign w:val="baseline"/>
        </w:rPr>
        <w:t>NHS</w:t>
      </w:r>
      <w:r>
        <w:rPr>
          <w:rFonts w:ascii="Calibri"/>
          <w:spacing w:val="-2"/>
          <w:sz w:val="16"/>
          <w:vertAlign w:val="baseline"/>
        </w:rPr>
        <w:t> </w:t>
      </w:r>
      <w:r>
        <w:rPr>
          <w:rFonts w:ascii="Calibri"/>
          <w:sz w:val="16"/>
          <w:vertAlign w:val="baseline"/>
        </w:rPr>
        <w:t>England</w:t>
      </w:r>
      <w:r>
        <w:rPr>
          <w:rFonts w:ascii="Calibri"/>
          <w:spacing w:val="-3"/>
          <w:sz w:val="16"/>
          <w:vertAlign w:val="baseline"/>
        </w:rPr>
        <w:t> </w:t>
      </w:r>
      <w:r>
        <w:rPr>
          <w:rFonts w:ascii="Calibri"/>
          <w:sz w:val="16"/>
          <w:vertAlign w:val="baseline"/>
        </w:rPr>
        <w:t>(2019).</w:t>
      </w:r>
      <w:r>
        <w:rPr>
          <w:rFonts w:ascii="Calibri"/>
          <w:spacing w:val="-3"/>
          <w:sz w:val="16"/>
          <w:vertAlign w:val="baseline"/>
        </w:rPr>
        <w:t> </w:t>
      </w:r>
      <w:hyperlink r:id="rId17">
        <w:r>
          <w:rPr>
            <w:rFonts w:ascii="Calibri"/>
            <w:color w:val="0000FF"/>
            <w:sz w:val="16"/>
            <w:u w:val="single" w:color="0000FF"/>
            <w:vertAlign w:val="baseline"/>
          </w:rPr>
          <w:t>NHS</w:t>
        </w:r>
        <w:r>
          <w:rPr>
            <w:rFonts w:ascii="Calibri"/>
            <w:color w:val="0000FF"/>
            <w:spacing w:val="-2"/>
            <w:sz w:val="16"/>
            <w:u w:val="single" w:color="0000FF"/>
            <w:vertAlign w:val="baseline"/>
          </w:rPr>
          <w:t> </w:t>
        </w:r>
        <w:r>
          <w:rPr>
            <w:rFonts w:ascii="Calibri"/>
            <w:color w:val="0000FF"/>
            <w:sz w:val="16"/>
            <w:u w:val="single" w:color="0000FF"/>
            <w:vertAlign w:val="baseline"/>
          </w:rPr>
          <w:t>England</w:t>
        </w:r>
        <w:r>
          <w:rPr>
            <w:rFonts w:ascii="Calibri"/>
            <w:color w:val="0000FF"/>
            <w:spacing w:val="-4"/>
            <w:sz w:val="16"/>
            <w:u w:val="single" w:color="0000FF"/>
            <w:vertAlign w:val="baseline"/>
          </w:rPr>
          <w:t> </w:t>
        </w:r>
        <w:r>
          <w:rPr>
            <w:rFonts w:ascii="Calibri"/>
            <w:color w:val="0000FF"/>
            <w:sz w:val="16"/>
            <w:u w:val="single" w:color="0000FF"/>
            <w:vertAlign w:val="baseline"/>
          </w:rPr>
          <w:t>policy</w:t>
        </w:r>
        <w:r>
          <w:rPr>
            <w:rFonts w:ascii="Calibri"/>
            <w:color w:val="0000FF"/>
            <w:spacing w:val="-5"/>
            <w:sz w:val="16"/>
            <w:u w:val="single" w:color="0000FF"/>
            <w:vertAlign w:val="baseline"/>
          </w:rPr>
          <w:t> </w:t>
        </w:r>
        <w:r>
          <w:rPr>
            <w:rFonts w:ascii="Calibri"/>
            <w:color w:val="0000FF"/>
            <w:sz w:val="16"/>
            <w:u w:val="single" w:color="0000FF"/>
            <w:vertAlign w:val="baseline"/>
          </w:rPr>
          <w:t>template</w:t>
        </w:r>
        <w:r>
          <w:rPr>
            <w:rFonts w:ascii="Calibri"/>
            <w:color w:val="0000FF"/>
            <w:spacing w:val="-4"/>
            <w:sz w:val="16"/>
            <w:u w:val="single" w:color="0000FF"/>
            <w:vertAlign w:val="baseline"/>
          </w:rPr>
          <w:t> </w:t>
        </w:r>
        <w:r>
          <w:rPr>
            <w:rFonts w:ascii="Calibri"/>
            <w:color w:val="0000FF"/>
            <w:sz w:val="16"/>
            <w:u w:val="single" w:color="0000FF"/>
            <w:vertAlign w:val="baseline"/>
          </w:rPr>
          <w:t>3</w:t>
        </w:r>
        <w:r>
          <w:rPr>
            <w:rFonts w:ascii="Calibri"/>
            <w:color w:val="0000FF"/>
            <w:spacing w:val="3"/>
            <w:sz w:val="16"/>
            <w:u w:val="single" w:color="0000FF"/>
            <w:vertAlign w:val="baseline"/>
          </w:rPr>
          <w:t> </w:t>
        </w:r>
        <w:r>
          <w:rPr>
            <w:rFonts w:ascii="Calibri"/>
            <w:color w:val="0000FF"/>
            <w:sz w:val="16"/>
            <w:u w:val="single" w:color="0000FF"/>
            <w:vertAlign w:val="baseline"/>
          </w:rPr>
          <w:t>-</w:t>
        </w:r>
        <w:r>
          <w:rPr>
            <w:rFonts w:ascii="Calibri"/>
            <w:color w:val="0000FF"/>
            <w:spacing w:val="-3"/>
            <w:sz w:val="16"/>
            <w:u w:val="single" w:color="0000FF"/>
            <w:vertAlign w:val="baseline"/>
          </w:rPr>
          <w:t> </w:t>
        </w:r>
        <w:r>
          <w:rPr>
            <w:rFonts w:ascii="Calibri"/>
            <w:color w:val="0000FF"/>
            <w:sz w:val="16"/>
            <w:u w:val="single" w:color="0000FF"/>
            <w:vertAlign w:val="baseline"/>
          </w:rPr>
          <w:t>no</w:t>
        </w:r>
        <w:r>
          <w:rPr>
            <w:rFonts w:ascii="Calibri"/>
            <w:color w:val="0000FF"/>
            <w:spacing w:val="-3"/>
            <w:sz w:val="16"/>
            <w:u w:val="single" w:color="0000FF"/>
            <w:vertAlign w:val="baseline"/>
          </w:rPr>
          <w:t> </w:t>
        </w:r>
        <w:r>
          <w:rPr>
            <w:rFonts w:ascii="Calibri"/>
            <w:color w:val="0000FF"/>
            <w:spacing w:val="-2"/>
            <w:sz w:val="16"/>
            <w:u w:val="single" w:color="0000FF"/>
            <w:vertAlign w:val="baseline"/>
          </w:rPr>
          <w:t>photo</w:t>
        </w:r>
      </w:hyperlink>
    </w:p>
    <w:p>
      <w:pPr>
        <w:spacing w:after="0"/>
        <w:jc w:val="left"/>
        <w:rPr>
          <w:rFonts w:ascii="Calibri"/>
          <w:sz w:val="16"/>
        </w:rPr>
        <w:sectPr>
          <w:footerReference w:type="default" r:id="rId9"/>
          <w:pgSz w:w="16840" w:h="11910" w:orient="landscape"/>
          <w:pgMar w:header="0" w:footer="680" w:top="640" w:bottom="880" w:left="850" w:right="1133"/>
          <w:pgNumType w:start="5"/>
        </w:sectPr>
      </w:pPr>
    </w:p>
    <w:p>
      <w:pPr>
        <w:tabs>
          <w:tab w:pos="11038" w:val="left" w:leader="none"/>
        </w:tabs>
        <w:spacing w:line="240" w:lineRule="auto"/>
        <w:ind w:left="49" w:right="0" w:firstLine="0"/>
        <w:rPr>
          <w:rFonts w:ascii="Calibri"/>
          <w:position w:val="4"/>
          <w:sz w:val="20"/>
        </w:rPr>
      </w:pPr>
      <w:r>
        <w:rPr>
          <w:rFonts w:ascii="Calibri"/>
          <w:sz w:val="20"/>
        </w:rPr>
        <w:drawing>
          <wp:inline distT="0" distB="0" distL="0" distR="0">
            <wp:extent cx="2446561" cy="536543"/>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7" cstate="print"/>
                    <a:stretch>
                      <a:fillRect/>
                    </a:stretch>
                  </pic:blipFill>
                  <pic:spPr>
                    <a:xfrm>
                      <a:off x="0" y="0"/>
                      <a:ext cx="2446561" cy="536543"/>
                    </a:xfrm>
                    <a:prstGeom prst="rect">
                      <a:avLst/>
                    </a:prstGeom>
                  </pic:spPr>
                </pic:pic>
              </a:graphicData>
            </a:graphic>
          </wp:inline>
        </w:drawing>
      </w:r>
      <w:r>
        <w:rPr>
          <w:rFonts w:ascii="Calibri"/>
          <w:sz w:val="20"/>
        </w:rPr>
      </w:r>
      <w:r>
        <w:rPr>
          <w:rFonts w:ascii="Calibri"/>
          <w:sz w:val="20"/>
        </w:rPr>
        <w:tab/>
      </w:r>
      <w:r>
        <w:rPr>
          <w:rFonts w:ascii="Calibri"/>
          <w:position w:val="4"/>
          <w:sz w:val="20"/>
        </w:rPr>
        <w:drawing>
          <wp:inline distT="0" distB="0" distL="0" distR="0">
            <wp:extent cx="2245665" cy="510349"/>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8" cstate="print"/>
                    <a:stretch>
                      <a:fillRect/>
                    </a:stretch>
                  </pic:blipFill>
                  <pic:spPr>
                    <a:xfrm>
                      <a:off x="0" y="0"/>
                      <a:ext cx="2245665" cy="510349"/>
                    </a:xfrm>
                    <a:prstGeom prst="rect">
                      <a:avLst/>
                    </a:prstGeom>
                  </pic:spPr>
                </pic:pic>
              </a:graphicData>
            </a:graphic>
          </wp:inline>
        </w:drawing>
      </w:r>
      <w:r>
        <w:rPr>
          <w:rFonts w:ascii="Calibri"/>
          <w:position w:val="4"/>
          <w:sz w:val="20"/>
        </w:rPr>
      </w:r>
    </w:p>
    <w:p>
      <w:pPr>
        <w:pStyle w:val="BodyText"/>
        <w:spacing w:before="69"/>
        <w:rPr>
          <w:rFonts w:ascii="Calibri"/>
          <w:sz w:val="20"/>
        </w:rPr>
      </w:pPr>
    </w:p>
    <w:p>
      <w:pPr>
        <w:spacing w:before="0"/>
        <w:ind w:left="50" w:right="0" w:firstLine="0"/>
        <w:jc w:val="left"/>
        <w:rPr>
          <w:sz w:val="20"/>
        </w:rPr>
      </w:pPr>
      <w:r>
        <w:rPr>
          <w:spacing w:val="-2"/>
          <w:sz w:val="20"/>
        </w:rPr>
        <w:t>Taken</w:t>
      </w:r>
      <w:r>
        <w:rPr>
          <w:spacing w:val="-7"/>
          <w:sz w:val="20"/>
        </w:rPr>
        <w:t> </w:t>
      </w:r>
      <w:r>
        <w:rPr>
          <w:spacing w:val="-2"/>
          <w:sz w:val="20"/>
        </w:rPr>
        <w:t>together,</w:t>
      </w:r>
      <w:r>
        <w:rPr>
          <w:spacing w:val="-7"/>
          <w:sz w:val="20"/>
        </w:rPr>
        <w:t> </w:t>
      </w:r>
      <w:r>
        <w:rPr>
          <w:spacing w:val="-2"/>
          <w:sz w:val="20"/>
        </w:rPr>
        <w:t>the</w:t>
      </w:r>
      <w:r>
        <w:rPr>
          <w:spacing w:val="-7"/>
          <w:sz w:val="20"/>
        </w:rPr>
        <w:t> </w:t>
      </w:r>
      <w:r>
        <w:rPr>
          <w:spacing w:val="-2"/>
          <w:sz w:val="20"/>
        </w:rPr>
        <w:t>evidence</w:t>
      </w:r>
      <w:r>
        <w:rPr>
          <w:spacing w:val="-7"/>
          <w:sz w:val="20"/>
        </w:rPr>
        <w:t> </w:t>
      </w:r>
      <w:r>
        <w:rPr>
          <w:spacing w:val="-2"/>
          <w:sz w:val="20"/>
        </w:rPr>
        <w:t>indicates</w:t>
      </w:r>
      <w:r>
        <w:rPr>
          <w:spacing w:val="-6"/>
          <w:sz w:val="20"/>
        </w:rPr>
        <w:t> </w:t>
      </w:r>
      <w:r>
        <w:rPr>
          <w:spacing w:val="-2"/>
          <w:sz w:val="20"/>
        </w:rPr>
        <w:t>that</w:t>
      </w:r>
      <w:r>
        <w:rPr>
          <w:spacing w:val="-7"/>
          <w:sz w:val="20"/>
        </w:rPr>
        <w:t> </w:t>
      </w:r>
      <w:r>
        <w:rPr>
          <w:spacing w:val="-2"/>
          <w:sz w:val="20"/>
        </w:rPr>
        <w:t>collaboration</w:t>
      </w:r>
      <w:r>
        <w:rPr>
          <w:spacing w:val="-12"/>
          <w:sz w:val="20"/>
        </w:rPr>
        <w:t> </w:t>
      </w:r>
      <w:r>
        <w:rPr>
          <w:spacing w:val="-2"/>
          <w:sz w:val="20"/>
        </w:rPr>
        <w:t>in the</w:t>
      </w:r>
      <w:r>
        <w:rPr>
          <w:spacing w:val="-7"/>
          <w:sz w:val="20"/>
        </w:rPr>
        <w:t> </w:t>
      </w:r>
      <w:r>
        <w:rPr>
          <w:spacing w:val="-2"/>
          <w:sz w:val="20"/>
        </w:rPr>
        <w:t>NHS</w:t>
      </w:r>
      <w:r>
        <w:rPr>
          <w:spacing w:val="-3"/>
          <w:sz w:val="20"/>
        </w:rPr>
        <w:t> </w:t>
      </w:r>
      <w:r>
        <w:rPr>
          <w:spacing w:val="-2"/>
          <w:sz w:val="20"/>
        </w:rPr>
        <w:t>is</w:t>
      </w:r>
      <w:r>
        <w:rPr>
          <w:spacing w:val="-6"/>
          <w:sz w:val="20"/>
        </w:rPr>
        <w:t> </w:t>
      </w:r>
      <w:r>
        <w:rPr>
          <w:spacing w:val="-2"/>
          <w:sz w:val="20"/>
        </w:rPr>
        <w:t>most</w:t>
      </w:r>
      <w:r>
        <w:rPr>
          <w:spacing w:val="-6"/>
          <w:sz w:val="20"/>
        </w:rPr>
        <w:t> </w:t>
      </w:r>
      <w:r>
        <w:rPr>
          <w:spacing w:val="-2"/>
          <w:sz w:val="20"/>
        </w:rPr>
        <w:t>effective</w:t>
      </w:r>
      <w:r>
        <w:rPr>
          <w:spacing w:val="-7"/>
          <w:sz w:val="20"/>
        </w:rPr>
        <w:t> </w:t>
      </w:r>
      <w:r>
        <w:rPr>
          <w:spacing w:val="-2"/>
          <w:sz w:val="20"/>
        </w:rPr>
        <w:t>when</w:t>
      </w:r>
      <w:r>
        <w:rPr>
          <w:spacing w:val="-7"/>
          <w:sz w:val="20"/>
        </w:rPr>
        <w:t> </w:t>
      </w:r>
      <w:r>
        <w:rPr>
          <w:spacing w:val="-2"/>
          <w:sz w:val="20"/>
        </w:rPr>
        <w:t>treated</w:t>
      </w:r>
      <w:r>
        <w:rPr>
          <w:spacing w:val="-7"/>
          <w:sz w:val="20"/>
        </w:rPr>
        <w:t> </w:t>
      </w:r>
      <w:r>
        <w:rPr>
          <w:spacing w:val="-2"/>
          <w:sz w:val="20"/>
        </w:rPr>
        <w:t>as</w:t>
      </w:r>
      <w:r>
        <w:rPr>
          <w:spacing w:val="-6"/>
          <w:sz w:val="20"/>
        </w:rPr>
        <w:t> </w:t>
      </w:r>
      <w:r>
        <w:rPr>
          <w:spacing w:val="-2"/>
          <w:sz w:val="20"/>
        </w:rPr>
        <w:t>a</w:t>
      </w:r>
      <w:r>
        <w:rPr>
          <w:spacing w:val="-7"/>
          <w:sz w:val="20"/>
        </w:rPr>
        <w:t> </w:t>
      </w:r>
      <w:r>
        <w:rPr>
          <w:spacing w:val="-2"/>
          <w:sz w:val="20"/>
        </w:rPr>
        <w:t>spectrum</w:t>
      </w:r>
      <w:r>
        <w:rPr>
          <w:spacing w:val="-7"/>
          <w:sz w:val="20"/>
        </w:rPr>
        <w:t> </w:t>
      </w:r>
      <w:r>
        <w:rPr>
          <w:spacing w:val="-2"/>
          <w:sz w:val="20"/>
        </w:rPr>
        <w:t>of</w:t>
      </w:r>
      <w:r>
        <w:rPr>
          <w:spacing w:val="-7"/>
          <w:sz w:val="20"/>
        </w:rPr>
        <w:t> </w:t>
      </w:r>
      <w:r>
        <w:rPr>
          <w:spacing w:val="-2"/>
          <w:sz w:val="20"/>
        </w:rPr>
        <w:t>options rather</w:t>
      </w:r>
      <w:r>
        <w:rPr>
          <w:spacing w:val="-7"/>
          <w:sz w:val="20"/>
        </w:rPr>
        <w:t> </w:t>
      </w:r>
      <w:r>
        <w:rPr>
          <w:spacing w:val="-2"/>
          <w:sz w:val="20"/>
        </w:rPr>
        <w:t>than</w:t>
      </w:r>
      <w:r>
        <w:rPr>
          <w:spacing w:val="-7"/>
          <w:sz w:val="20"/>
        </w:rPr>
        <w:t> </w:t>
      </w:r>
      <w:r>
        <w:rPr>
          <w:spacing w:val="-2"/>
          <w:sz w:val="20"/>
        </w:rPr>
        <w:t>a</w:t>
      </w:r>
      <w:r>
        <w:rPr>
          <w:spacing w:val="-8"/>
          <w:sz w:val="20"/>
        </w:rPr>
        <w:t> </w:t>
      </w:r>
      <w:r>
        <w:rPr>
          <w:spacing w:val="-2"/>
          <w:sz w:val="20"/>
        </w:rPr>
        <w:t>single</w:t>
      </w:r>
      <w:r>
        <w:rPr>
          <w:spacing w:val="-7"/>
          <w:sz w:val="20"/>
        </w:rPr>
        <w:t> </w:t>
      </w:r>
      <w:r>
        <w:rPr>
          <w:spacing w:val="-2"/>
          <w:sz w:val="20"/>
        </w:rPr>
        <w:t>structural</w:t>
      </w:r>
      <w:r>
        <w:rPr>
          <w:spacing w:val="-5"/>
          <w:sz w:val="20"/>
        </w:rPr>
        <w:t> </w:t>
      </w:r>
      <w:r>
        <w:rPr>
          <w:spacing w:val="-2"/>
          <w:sz w:val="20"/>
        </w:rPr>
        <w:t>solution.</w:t>
      </w:r>
      <w:r>
        <w:rPr>
          <w:spacing w:val="-12"/>
          <w:sz w:val="20"/>
        </w:rPr>
        <w:t> </w:t>
      </w:r>
      <w:r>
        <w:rPr>
          <w:spacing w:val="-2"/>
          <w:sz w:val="20"/>
        </w:rPr>
        <w:t>NHS England</w:t>
      </w:r>
      <w:r>
        <w:rPr>
          <w:spacing w:val="-12"/>
          <w:sz w:val="20"/>
        </w:rPr>
        <w:t> </w:t>
      </w:r>
      <w:r>
        <w:rPr>
          <w:spacing w:val="-2"/>
          <w:sz w:val="20"/>
        </w:rPr>
        <w:t>guidance</w:t>
      </w:r>
      <w:r>
        <w:rPr>
          <w:spacing w:val="-12"/>
          <w:sz w:val="20"/>
        </w:rPr>
        <w:t> </w:t>
      </w:r>
      <w:r>
        <w:rPr>
          <w:spacing w:val="-2"/>
          <w:sz w:val="20"/>
        </w:rPr>
        <w:t>consistently</w:t>
      </w:r>
      <w:r>
        <w:rPr>
          <w:spacing w:val="-12"/>
          <w:sz w:val="20"/>
        </w:rPr>
        <w:t> </w:t>
      </w:r>
      <w:r>
        <w:rPr>
          <w:spacing w:val="-2"/>
          <w:sz w:val="20"/>
        </w:rPr>
        <w:t>emphasises</w:t>
      </w:r>
      <w:r>
        <w:rPr>
          <w:spacing w:val="-12"/>
          <w:sz w:val="20"/>
        </w:rPr>
        <w:t> </w:t>
      </w:r>
      <w:r>
        <w:rPr>
          <w:spacing w:val="-2"/>
          <w:sz w:val="20"/>
        </w:rPr>
        <w:t>that</w:t>
      </w:r>
      <w:r>
        <w:rPr>
          <w:spacing w:val="-12"/>
          <w:sz w:val="20"/>
        </w:rPr>
        <w:t> </w:t>
      </w:r>
      <w:r>
        <w:rPr>
          <w:spacing w:val="-2"/>
          <w:sz w:val="20"/>
        </w:rPr>
        <w:t>different</w:t>
      </w:r>
      <w:r>
        <w:rPr>
          <w:spacing w:val="-12"/>
          <w:sz w:val="20"/>
        </w:rPr>
        <w:t> </w:t>
      </w:r>
      <w:r>
        <w:rPr>
          <w:spacing w:val="-2"/>
          <w:sz w:val="20"/>
        </w:rPr>
        <w:t>collaboration</w:t>
      </w:r>
      <w:r>
        <w:rPr>
          <w:spacing w:val="-12"/>
          <w:sz w:val="20"/>
        </w:rPr>
        <w:t> </w:t>
      </w:r>
      <w:r>
        <w:rPr>
          <w:spacing w:val="-2"/>
          <w:sz w:val="20"/>
        </w:rPr>
        <w:t>models</w:t>
      </w:r>
      <w:r>
        <w:rPr>
          <w:spacing w:val="-12"/>
          <w:sz w:val="20"/>
        </w:rPr>
        <w:t> </w:t>
      </w:r>
      <w:r>
        <w:rPr>
          <w:spacing w:val="-2"/>
          <w:sz w:val="20"/>
        </w:rPr>
        <w:t>are</w:t>
      </w:r>
      <w:r>
        <w:rPr>
          <w:spacing w:val="-12"/>
          <w:sz w:val="20"/>
        </w:rPr>
        <w:t> </w:t>
      </w:r>
      <w:r>
        <w:rPr>
          <w:spacing w:val="-2"/>
          <w:sz w:val="20"/>
        </w:rPr>
        <w:t>appropriate</w:t>
      </w:r>
      <w:r>
        <w:rPr>
          <w:spacing w:val="-11"/>
          <w:sz w:val="20"/>
        </w:rPr>
        <w:t> </w:t>
      </w:r>
      <w:r>
        <w:rPr>
          <w:spacing w:val="-2"/>
          <w:sz w:val="20"/>
        </w:rPr>
        <w:t>for</w:t>
      </w:r>
      <w:r>
        <w:rPr>
          <w:spacing w:val="-12"/>
          <w:sz w:val="20"/>
        </w:rPr>
        <w:t> </w:t>
      </w:r>
      <w:r>
        <w:rPr>
          <w:spacing w:val="-2"/>
          <w:sz w:val="20"/>
        </w:rPr>
        <w:t>different</w:t>
      </w:r>
      <w:r>
        <w:rPr>
          <w:spacing w:val="-12"/>
          <w:sz w:val="20"/>
        </w:rPr>
        <w:t> </w:t>
      </w:r>
      <w:r>
        <w:rPr>
          <w:spacing w:val="-2"/>
          <w:sz w:val="20"/>
        </w:rPr>
        <w:t>purposes,</w:t>
      </w:r>
      <w:r>
        <w:rPr>
          <w:spacing w:val="-12"/>
          <w:sz w:val="20"/>
        </w:rPr>
        <w:t> </w:t>
      </w:r>
      <w:r>
        <w:rPr>
          <w:spacing w:val="-2"/>
          <w:sz w:val="20"/>
        </w:rPr>
        <w:t>levels</w:t>
      </w:r>
      <w:r>
        <w:rPr>
          <w:spacing w:val="-12"/>
          <w:sz w:val="20"/>
        </w:rPr>
        <w:t> </w:t>
      </w:r>
      <w:r>
        <w:rPr>
          <w:spacing w:val="-2"/>
          <w:sz w:val="20"/>
        </w:rPr>
        <w:t>of</w:t>
      </w:r>
      <w:r>
        <w:rPr>
          <w:spacing w:val="-9"/>
          <w:sz w:val="20"/>
        </w:rPr>
        <w:t> </w:t>
      </w:r>
      <w:r>
        <w:rPr>
          <w:spacing w:val="-2"/>
          <w:sz w:val="20"/>
        </w:rPr>
        <w:t>risk,</w:t>
      </w:r>
      <w:r>
        <w:rPr>
          <w:spacing w:val="-12"/>
          <w:sz w:val="20"/>
        </w:rPr>
        <w:t> </w:t>
      </w:r>
      <w:r>
        <w:rPr>
          <w:spacing w:val="-2"/>
          <w:sz w:val="20"/>
        </w:rPr>
        <w:t>and</w:t>
      </w:r>
      <w:r>
        <w:rPr>
          <w:spacing w:val="-12"/>
          <w:sz w:val="20"/>
        </w:rPr>
        <w:t> </w:t>
      </w:r>
      <w:r>
        <w:rPr>
          <w:spacing w:val="-2"/>
          <w:sz w:val="20"/>
        </w:rPr>
        <w:t>degrees</w:t>
      </w:r>
      <w:r>
        <w:rPr>
          <w:spacing w:val="-11"/>
          <w:sz w:val="20"/>
        </w:rPr>
        <w:t> </w:t>
      </w:r>
      <w:r>
        <w:rPr>
          <w:spacing w:val="-2"/>
          <w:sz w:val="20"/>
        </w:rPr>
        <w:t>of</w:t>
      </w:r>
      <w:r>
        <w:rPr>
          <w:spacing w:val="-12"/>
          <w:sz w:val="20"/>
        </w:rPr>
        <w:t> </w:t>
      </w:r>
      <w:r>
        <w:rPr>
          <w:spacing w:val="-2"/>
          <w:sz w:val="20"/>
        </w:rPr>
        <w:t>interdependence,</w:t>
      </w:r>
      <w:r>
        <w:rPr>
          <w:spacing w:val="-12"/>
          <w:sz w:val="20"/>
        </w:rPr>
        <w:t> </w:t>
      </w:r>
      <w:r>
        <w:rPr>
          <w:spacing w:val="-2"/>
          <w:sz w:val="20"/>
        </w:rPr>
        <w:t>and</w:t>
      </w:r>
      <w:r>
        <w:rPr>
          <w:spacing w:val="-12"/>
          <w:sz w:val="20"/>
        </w:rPr>
        <w:t> </w:t>
      </w:r>
      <w:r>
        <w:rPr>
          <w:spacing w:val="-2"/>
          <w:sz w:val="20"/>
        </w:rPr>
        <w:t>that </w:t>
      </w:r>
      <w:r>
        <w:rPr>
          <w:sz w:val="20"/>
        </w:rPr>
        <w:t>governance</w:t>
      </w:r>
      <w:r>
        <w:rPr>
          <w:spacing w:val="-12"/>
          <w:sz w:val="20"/>
        </w:rPr>
        <w:t> </w:t>
      </w:r>
      <w:r>
        <w:rPr>
          <w:sz w:val="20"/>
        </w:rPr>
        <w:t>should</w:t>
      </w:r>
      <w:r>
        <w:rPr>
          <w:spacing w:val="-12"/>
          <w:sz w:val="20"/>
        </w:rPr>
        <w:t> </w:t>
      </w:r>
      <w:r>
        <w:rPr>
          <w:sz w:val="20"/>
        </w:rPr>
        <w:t>be</w:t>
      </w:r>
      <w:r>
        <w:rPr>
          <w:spacing w:val="-12"/>
          <w:sz w:val="20"/>
        </w:rPr>
        <w:t> </w:t>
      </w:r>
      <w:r>
        <w:rPr>
          <w:sz w:val="20"/>
        </w:rPr>
        <w:t>proportionate</w:t>
      </w:r>
      <w:r>
        <w:rPr>
          <w:spacing w:val="-13"/>
          <w:sz w:val="20"/>
        </w:rPr>
        <w:t> </w:t>
      </w:r>
      <w:r>
        <w:rPr>
          <w:sz w:val="20"/>
        </w:rPr>
        <w:t>to</w:t>
      </w:r>
      <w:r>
        <w:rPr>
          <w:spacing w:val="-12"/>
          <w:sz w:val="20"/>
        </w:rPr>
        <w:t> </w:t>
      </w:r>
      <w:r>
        <w:rPr>
          <w:sz w:val="20"/>
        </w:rPr>
        <w:t>both</w:t>
      </w:r>
      <w:r>
        <w:rPr>
          <w:spacing w:val="-12"/>
          <w:sz w:val="20"/>
        </w:rPr>
        <w:t> </w:t>
      </w:r>
      <w:r>
        <w:rPr>
          <w:sz w:val="20"/>
        </w:rPr>
        <w:t>the</w:t>
      </w:r>
      <w:r>
        <w:rPr>
          <w:spacing w:val="-12"/>
          <w:sz w:val="20"/>
        </w:rPr>
        <w:t> </w:t>
      </w:r>
      <w:r>
        <w:rPr>
          <w:sz w:val="20"/>
        </w:rPr>
        <w:t>value</w:t>
      </w:r>
      <w:r>
        <w:rPr>
          <w:spacing w:val="-12"/>
          <w:sz w:val="20"/>
        </w:rPr>
        <w:t> </w:t>
      </w:r>
      <w:r>
        <w:rPr>
          <w:sz w:val="20"/>
        </w:rPr>
        <w:t>being</w:t>
      </w:r>
      <w:r>
        <w:rPr>
          <w:spacing w:val="-12"/>
          <w:sz w:val="20"/>
        </w:rPr>
        <w:t> </w:t>
      </w:r>
      <w:r>
        <w:rPr>
          <w:sz w:val="20"/>
        </w:rPr>
        <w:t>pursued</w:t>
      </w:r>
      <w:r>
        <w:rPr>
          <w:spacing w:val="-12"/>
          <w:sz w:val="20"/>
        </w:rPr>
        <w:t> </w:t>
      </w:r>
      <w:r>
        <w:rPr>
          <w:sz w:val="20"/>
        </w:rPr>
        <w:t>and</w:t>
      </w:r>
      <w:r>
        <w:rPr>
          <w:spacing w:val="-12"/>
          <w:sz w:val="20"/>
        </w:rPr>
        <w:t> </w:t>
      </w:r>
      <w:r>
        <w:rPr>
          <w:sz w:val="20"/>
        </w:rPr>
        <w:t>the</w:t>
      </w:r>
      <w:r>
        <w:rPr>
          <w:spacing w:val="-12"/>
          <w:sz w:val="20"/>
        </w:rPr>
        <w:t> </w:t>
      </w:r>
      <w:r>
        <w:rPr>
          <w:sz w:val="20"/>
        </w:rPr>
        <w:t>risk</w:t>
      </w:r>
      <w:r>
        <w:rPr>
          <w:spacing w:val="-11"/>
          <w:sz w:val="20"/>
        </w:rPr>
        <w:t> </w:t>
      </w:r>
      <w:r>
        <w:rPr>
          <w:sz w:val="20"/>
        </w:rPr>
        <w:t>being</w:t>
      </w:r>
      <w:r>
        <w:rPr>
          <w:spacing w:val="-12"/>
          <w:sz w:val="20"/>
        </w:rPr>
        <w:t> </w:t>
      </w:r>
      <w:r>
        <w:rPr>
          <w:sz w:val="20"/>
        </w:rPr>
        <w:t>shared.</w:t>
      </w:r>
    </w:p>
    <w:p>
      <w:pPr>
        <w:pStyle w:val="BodyText"/>
        <w:rPr>
          <w:sz w:val="20"/>
        </w:rPr>
      </w:pPr>
    </w:p>
    <w:p>
      <w:pPr>
        <w:spacing w:before="0"/>
        <w:ind w:left="50" w:right="530" w:firstLine="0"/>
        <w:jc w:val="left"/>
        <w:rPr>
          <w:sz w:val="20"/>
        </w:rPr>
      </w:pPr>
      <w:r>
        <w:rPr>
          <w:spacing w:val="-2"/>
          <w:sz w:val="20"/>
        </w:rPr>
        <w:t>In</w:t>
      </w:r>
      <w:r>
        <w:rPr>
          <w:spacing w:val="-6"/>
          <w:sz w:val="20"/>
        </w:rPr>
        <w:t> </w:t>
      </w:r>
      <w:r>
        <w:rPr>
          <w:spacing w:val="-2"/>
          <w:sz w:val="20"/>
        </w:rPr>
        <w:t>a</w:t>
      </w:r>
      <w:r>
        <w:rPr>
          <w:spacing w:val="-6"/>
          <w:sz w:val="20"/>
        </w:rPr>
        <w:t> </w:t>
      </w:r>
      <w:r>
        <w:rPr>
          <w:spacing w:val="-2"/>
          <w:sz w:val="20"/>
        </w:rPr>
        <w:t>context</w:t>
      </w:r>
      <w:r>
        <w:rPr>
          <w:spacing w:val="-5"/>
          <w:sz w:val="20"/>
        </w:rPr>
        <w:t> </w:t>
      </w:r>
      <w:r>
        <w:rPr>
          <w:spacing w:val="-2"/>
          <w:sz w:val="20"/>
        </w:rPr>
        <w:t>of</w:t>
      </w:r>
      <w:r>
        <w:rPr>
          <w:spacing w:val="-6"/>
          <w:sz w:val="20"/>
        </w:rPr>
        <w:t> </w:t>
      </w:r>
      <w:r>
        <w:rPr>
          <w:spacing w:val="-2"/>
          <w:sz w:val="20"/>
        </w:rPr>
        <w:t>sustained</w:t>
      </w:r>
      <w:r>
        <w:rPr>
          <w:spacing w:val="-6"/>
          <w:sz w:val="20"/>
        </w:rPr>
        <w:t> </w:t>
      </w:r>
      <w:r>
        <w:rPr>
          <w:spacing w:val="-2"/>
          <w:sz w:val="20"/>
        </w:rPr>
        <w:t>financial pressure,</w:t>
      </w:r>
      <w:r>
        <w:rPr>
          <w:spacing w:val="-6"/>
          <w:sz w:val="20"/>
        </w:rPr>
        <w:t> </w:t>
      </w:r>
      <w:r>
        <w:rPr>
          <w:spacing w:val="-2"/>
          <w:sz w:val="20"/>
        </w:rPr>
        <w:t>collaboration</w:t>
      </w:r>
      <w:r>
        <w:rPr>
          <w:spacing w:val="-6"/>
          <w:sz w:val="20"/>
        </w:rPr>
        <w:t> </w:t>
      </w:r>
      <w:r>
        <w:rPr>
          <w:spacing w:val="-2"/>
          <w:sz w:val="20"/>
        </w:rPr>
        <w:t>must</w:t>
      </w:r>
      <w:r>
        <w:rPr>
          <w:spacing w:val="-5"/>
          <w:sz w:val="20"/>
        </w:rPr>
        <w:t> </w:t>
      </w:r>
      <w:r>
        <w:rPr>
          <w:spacing w:val="-2"/>
          <w:sz w:val="20"/>
        </w:rPr>
        <w:t>also</w:t>
      </w:r>
      <w:r>
        <w:rPr>
          <w:spacing w:val="-6"/>
          <w:sz w:val="20"/>
        </w:rPr>
        <w:t> </w:t>
      </w:r>
      <w:r>
        <w:rPr>
          <w:spacing w:val="-2"/>
          <w:sz w:val="20"/>
        </w:rPr>
        <w:t>be</w:t>
      </w:r>
      <w:r>
        <w:rPr>
          <w:spacing w:val="-6"/>
          <w:sz w:val="20"/>
        </w:rPr>
        <w:t> </w:t>
      </w:r>
      <w:r>
        <w:rPr>
          <w:spacing w:val="-2"/>
          <w:sz w:val="20"/>
        </w:rPr>
        <w:t>assessed</w:t>
      </w:r>
      <w:r>
        <w:rPr>
          <w:spacing w:val="-6"/>
          <w:sz w:val="20"/>
        </w:rPr>
        <w:t> </w:t>
      </w:r>
      <w:r>
        <w:rPr>
          <w:spacing w:val="-2"/>
          <w:sz w:val="20"/>
        </w:rPr>
        <w:t>through</w:t>
      </w:r>
      <w:r>
        <w:rPr>
          <w:spacing w:val="-6"/>
          <w:sz w:val="20"/>
        </w:rPr>
        <w:t> </w:t>
      </w:r>
      <w:r>
        <w:rPr>
          <w:spacing w:val="-2"/>
          <w:sz w:val="20"/>
        </w:rPr>
        <w:t>an explicit</w:t>
      </w:r>
      <w:r>
        <w:rPr>
          <w:spacing w:val="-6"/>
          <w:sz w:val="20"/>
        </w:rPr>
        <w:t> </w:t>
      </w:r>
      <w:r>
        <w:rPr>
          <w:spacing w:val="-2"/>
          <w:sz w:val="20"/>
        </w:rPr>
        <w:t>value</w:t>
      </w:r>
      <w:r>
        <w:rPr>
          <w:spacing w:val="-6"/>
          <w:sz w:val="20"/>
        </w:rPr>
        <w:t> </w:t>
      </w:r>
      <w:r>
        <w:rPr>
          <w:spacing w:val="-2"/>
          <w:sz w:val="20"/>
        </w:rPr>
        <w:t>lens,</w:t>
      </w:r>
      <w:r>
        <w:rPr>
          <w:spacing w:val="-6"/>
          <w:sz w:val="20"/>
        </w:rPr>
        <w:t> </w:t>
      </w:r>
      <w:r>
        <w:rPr>
          <w:spacing w:val="-2"/>
          <w:sz w:val="20"/>
        </w:rPr>
        <w:t>with</w:t>
      </w:r>
      <w:r>
        <w:rPr>
          <w:spacing w:val="-6"/>
          <w:sz w:val="20"/>
        </w:rPr>
        <w:t> </w:t>
      </w:r>
      <w:r>
        <w:rPr>
          <w:spacing w:val="-2"/>
          <w:sz w:val="20"/>
        </w:rPr>
        <w:t>clarity</w:t>
      </w:r>
      <w:r>
        <w:rPr>
          <w:spacing w:val="-4"/>
          <w:sz w:val="20"/>
        </w:rPr>
        <w:t> </w:t>
      </w:r>
      <w:r>
        <w:rPr>
          <w:spacing w:val="-2"/>
          <w:sz w:val="20"/>
        </w:rPr>
        <w:t>about</w:t>
      </w:r>
      <w:r>
        <w:rPr>
          <w:spacing w:val="-12"/>
          <w:sz w:val="20"/>
        </w:rPr>
        <w:t> </w:t>
      </w:r>
      <w:r>
        <w:rPr>
          <w:spacing w:val="-2"/>
          <w:sz w:val="20"/>
        </w:rPr>
        <w:t>what</w:t>
      </w:r>
      <w:r>
        <w:rPr>
          <w:spacing w:val="-6"/>
          <w:sz w:val="20"/>
        </w:rPr>
        <w:t> </w:t>
      </w:r>
      <w:r>
        <w:rPr>
          <w:spacing w:val="-2"/>
          <w:sz w:val="20"/>
        </w:rPr>
        <w:t>value</w:t>
      </w:r>
      <w:r>
        <w:rPr>
          <w:spacing w:val="-6"/>
          <w:sz w:val="20"/>
        </w:rPr>
        <w:t> </w:t>
      </w:r>
      <w:r>
        <w:rPr>
          <w:spacing w:val="-2"/>
          <w:sz w:val="20"/>
        </w:rPr>
        <w:t>is expected,</w:t>
      </w:r>
      <w:r>
        <w:rPr>
          <w:spacing w:val="-6"/>
          <w:sz w:val="20"/>
        </w:rPr>
        <w:t> </w:t>
      </w:r>
      <w:r>
        <w:rPr>
          <w:spacing w:val="-2"/>
          <w:sz w:val="20"/>
        </w:rPr>
        <w:t>over</w:t>
      </w:r>
      <w:r>
        <w:rPr>
          <w:spacing w:val="-7"/>
          <w:sz w:val="20"/>
        </w:rPr>
        <w:t> </w:t>
      </w:r>
      <w:r>
        <w:rPr>
          <w:spacing w:val="-2"/>
          <w:sz w:val="20"/>
        </w:rPr>
        <w:t>what timeframe,</w:t>
      </w:r>
      <w:r>
        <w:rPr>
          <w:spacing w:val="-6"/>
          <w:sz w:val="20"/>
        </w:rPr>
        <w:t> </w:t>
      </w:r>
      <w:r>
        <w:rPr>
          <w:spacing w:val="-2"/>
          <w:sz w:val="20"/>
        </w:rPr>
        <w:t>and</w:t>
      </w:r>
      <w:r>
        <w:rPr>
          <w:spacing w:val="-7"/>
          <w:sz w:val="20"/>
        </w:rPr>
        <w:t> </w:t>
      </w:r>
      <w:r>
        <w:rPr>
          <w:spacing w:val="-2"/>
          <w:sz w:val="20"/>
        </w:rPr>
        <w:t>with</w:t>
      </w:r>
      <w:r>
        <w:rPr>
          <w:spacing w:val="-12"/>
          <w:sz w:val="20"/>
        </w:rPr>
        <w:t> </w:t>
      </w:r>
      <w:r>
        <w:rPr>
          <w:spacing w:val="-2"/>
          <w:sz w:val="20"/>
        </w:rPr>
        <w:t>what</w:t>
      </w:r>
      <w:r>
        <w:rPr>
          <w:spacing w:val="-7"/>
          <w:sz w:val="20"/>
        </w:rPr>
        <w:t> </w:t>
      </w:r>
      <w:r>
        <w:rPr>
          <w:spacing w:val="-2"/>
          <w:sz w:val="20"/>
        </w:rPr>
        <w:t>consequences</w:t>
      </w:r>
      <w:r>
        <w:rPr>
          <w:spacing w:val="-11"/>
          <w:sz w:val="20"/>
        </w:rPr>
        <w:t> </w:t>
      </w:r>
      <w:r>
        <w:rPr>
          <w:spacing w:val="-2"/>
          <w:sz w:val="20"/>
        </w:rPr>
        <w:t>if</w:t>
      </w:r>
      <w:r>
        <w:rPr>
          <w:spacing w:val="-5"/>
          <w:sz w:val="20"/>
        </w:rPr>
        <w:t> </w:t>
      </w:r>
      <w:r>
        <w:rPr>
          <w:spacing w:val="-2"/>
          <w:sz w:val="20"/>
        </w:rPr>
        <w:t>that</w:t>
      </w:r>
      <w:r>
        <w:rPr>
          <w:spacing w:val="-6"/>
          <w:sz w:val="20"/>
        </w:rPr>
        <w:t> </w:t>
      </w:r>
      <w:r>
        <w:rPr>
          <w:spacing w:val="-2"/>
          <w:sz w:val="20"/>
        </w:rPr>
        <w:t>value</w:t>
      </w:r>
      <w:r>
        <w:rPr>
          <w:spacing w:val="-7"/>
          <w:sz w:val="20"/>
        </w:rPr>
        <w:t> </w:t>
      </w:r>
      <w:r>
        <w:rPr>
          <w:spacing w:val="-2"/>
          <w:sz w:val="20"/>
        </w:rPr>
        <w:t>is</w:t>
      </w:r>
      <w:r>
        <w:rPr>
          <w:spacing w:val="-6"/>
          <w:sz w:val="20"/>
        </w:rPr>
        <w:t> </w:t>
      </w:r>
      <w:r>
        <w:rPr>
          <w:spacing w:val="-2"/>
          <w:sz w:val="20"/>
        </w:rPr>
        <w:t>not realised.</w:t>
      </w:r>
      <w:r>
        <w:rPr>
          <w:spacing w:val="-6"/>
          <w:sz w:val="20"/>
        </w:rPr>
        <w:t> </w:t>
      </w:r>
      <w:r>
        <w:rPr>
          <w:spacing w:val="-2"/>
          <w:sz w:val="20"/>
        </w:rPr>
        <w:t>The</w:t>
      </w:r>
      <w:r>
        <w:rPr>
          <w:spacing w:val="-7"/>
          <w:sz w:val="20"/>
        </w:rPr>
        <w:t> </w:t>
      </w:r>
      <w:r>
        <w:rPr>
          <w:spacing w:val="-2"/>
          <w:sz w:val="20"/>
        </w:rPr>
        <w:t>spectrum</w:t>
      </w:r>
      <w:r>
        <w:rPr>
          <w:spacing w:val="-7"/>
          <w:sz w:val="20"/>
        </w:rPr>
        <w:t> </w:t>
      </w:r>
      <w:r>
        <w:rPr>
          <w:spacing w:val="-2"/>
          <w:sz w:val="20"/>
        </w:rPr>
        <w:t>set</w:t>
      </w:r>
      <w:r>
        <w:rPr>
          <w:spacing w:val="-6"/>
          <w:sz w:val="20"/>
        </w:rPr>
        <w:t> </w:t>
      </w:r>
      <w:r>
        <w:rPr>
          <w:spacing w:val="-2"/>
          <w:sz w:val="20"/>
        </w:rPr>
        <w:t>out</w:t>
      </w:r>
      <w:r>
        <w:rPr>
          <w:spacing w:val="-4"/>
          <w:sz w:val="20"/>
        </w:rPr>
        <w:t> </w:t>
      </w:r>
      <w:r>
        <w:rPr>
          <w:spacing w:val="-2"/>
          <w:sz w:val="20"/>
        </w:rPr>
        <w:t>below</w:t>
      </w:r>
      <w:r>
        <w:rPr>
          <w:spacing w:val="-6"/>
          <w:sz w:val="20"/>
        </w:rPr>
        <w:t> </w:t>
      </w:r>
      <w:r>
        <w:rPr>
          <w:spacing w:val="-2"/>
          <w:sz w:val="20"/>
        </w:rPr>
        <w:t>translates</w:t>
      </w:r>
      <w:r>
        <w:rPr>
          <w:spacing w:val="-6"/>
          <w:sz w:val="20"/>
        </w:rPr>
        <w:t> </w:t>
      </w:r>
      <w:r>
        <w:rPr>
          <w:spacing w:val="-2"/>
          <w:sz w:val="20"/>
        </w:rPr>
        <w:t>this evidence</w:t>
      </w:r>
      <w:r>
        <w:rPr>
          <w:spacing w:val="-7"/>
          <w:sz w:val="20"/>
        </w:rPr>
        <w:t> </w:t>
      </w:r>
      <w:r>
        <w:rPr>
          <w:spacing w:val="-2"/>
          <w:sz w:val="20"/>
        </w:rPr>
        <w:t>into</w:t>
      </w:r>
      <w:r>
        <w:rPr>
          <w:spacing w:val="-7"/>
          <w:sz w:val="20"/>
        </w:rPr>
        <w:t> </w:t>
      </w:r>
      <w:r>
        <w:rPr>
          <w:spacing w:val="-2"/>
          <w:sz w:val="20"/>
        </w:rPr>
        <w:t>a</w:t>
      </w:r>
      <w:r>
        <w:rPr>
          <w:spacing w:val="-7"/>
          <w:sz w:val="20"/>
        </w:rPr>
        <w:t> </w:t>
      </w:r>
      <w:r>
        <w:rPr>
          <w:spacing w:val="-2"/>
          <w:sz w:val="20"/>
        </w:rPr>
        <w:t>practical</w:t>
      </w:r>
      <w:r>
        <w:rPr>
          <w:spacing w:val="-5"/>
          <w:sz w:val="20"/>
        </w:rPr>
        <w:t> </w:t>
      </w:r>
      <w:r>
        <w:rPr>
          <w:spacing w:val="-2"/>
          <w:sz w:val="20"/>
        </w:rPr>
        <w:t>decision</w:t>
      </w:r>
      <w:r>
        <w:rPr>
          <w:spacing w:val="-7"/>
          <w:sz w:val="20"/>
        </w:rPr>
        <w:t> </w:t>
      </w:r>
      <w:r>
        <w:rPr>
          <w:spacing w:val="-2"/>
          <w:sz w:val="20"/>
        </w:rPr>
        <w:t>framework,</w:t>
      </w:r>
      <w:r>
        <w:rPr>
          <w:spacing w:val="-6"/>
          <w:sz w:val="20"/>
        </w:rPr>
        <w:t> </w:t>
      </w:r>
      <w:r>
        <w:rPr>
          <w:spacing w:val="-2"/>
          <w:sz w:val="20"/>
        </w:rPr>
        <w:t>enabling services</w:t>
      </w:r>
      <w:r>
        <w:rPr>
          <w:spacing w:val="-12"/>
          <w:sz w:val="20"/>
        </w:rPr>
        <w:t> </w:t>
      </w:r>
      <w:r>
        <w:rPr>
          <w:spacing w:val="-2"/>
          <w:sz w:val="20"/>
        </w:rPr>
        <w:t>to</w:t>
      </w:r>
      <w:r>
        <w:rPr>
          <w:spacing w:val="-12"/>
          <w:sz w:val="20"/>
        </w:rPr>
        <w:t> </w:t>
      </w:r>
      <w:r>
        <w:rPr>
          <w:spacing w:val="-2"/>
          <w:sz w:val="20"/>
        </w:rPr>
        <w:t>be</w:t>
      </w:r>
      <w:r>
        <w:rPr>
          <w:spacing w:val="-11"/>
          <w:sz w:val="20"/>
        </w:rPr>
        <w:t> </w:t>
      </w:r>
      <w:r>
        <w:rPr>
          <w:spacing w:val="-2"/>
          <w:sz w:val="20"/>
        </w:rPr>
        <w:t>positioned</w:t>
      </w:r>
      <w:r>
        <w:rPr>
          <w:spacing w:val="-11"/>
          <w:sz w:val="20"/>
        </w:rPr>
        <w:t> </w:t>
      </w:r>
      <w:r>
        <w:rPr>
          <w:spacing w:val="-2"/>
          <w:sz w:val="20"/>
        </w:rPr>
        <w:t>at</w:t>
      </w:r>
      <w:r>
        <w:rPr>
          <w:spacing w:val="-10"/>
          <w:sz w:val="20"/>
        </w:rPr>
        <w:t> </w:t>
      </w:r>
      <w:r>
        <w:rPr>
          <w:spacing w:val="-2"/>
          <w:sz w:val="20"/>
        </w:rPr>
        <w:t>the</w:t>
      </w:r>
      <w:r>
        <w:rPr>
          <w:spacing w:val="-11"/>
          <w:sz w:val="20"/>
        </w:rPr>
        <w:t> </w:t>
      </w:r>
      <w:r>
        <w:rPr>
          <w:spacing w:val="-2"/>
          <w:sz w:val="20"/>
        </w:rPr>
        <w:t>lowest</w:t>
      </w:r>
      <w:r>
        <w:rPr>
          <w:spacing w:val="-12"/>
          <w:sz w:val="20"/>
        </w:rPr>
        <w:t> </w:t>
      </w:r>
      <w:r>
        <w:rPr>
          <w:spacing w:val="-2"/>
          <w:sz w:val="20"/>
        </w:rPr>
        <w:t>level</w:t>
      </w:r>
      <w:r>
        <w:rPr>
          <w:spacing w:val="-9"/>
          <w:sz w:val="20"/>
        </w:rPr>
        <w:t> </w:t>
      </w:r>
      <w:r>
        <w:rPr>
          <w:spacing w:val="-2"/>
          <w:sz w:val="20"/>
        </w:rPr>
        <w:t>of</w:t>
      </w:r>
      <w:r>
        <w:rPr>
          <w:spacing w:val="-11"/>
          <w:sz w:val="20"/>
        </w:rPr>
        <w:t> </w:t>
      </w:r>
      <w:r>
        <w:rPr>
          <w:spacing w:val="-2"/>
          <w:sz w:val="20"/>
        </w:rPr>
        <w:t>collaboration</w:t>
      </w:r>
      <w:r>
        <w:rPr>
          <w:spacing w:val="-11"/>
          <w:sz w:val="20"/>
        </w:rPr>
        <w:t> </w:t>
      </w:r>
      <w:r>
        <w:rPr>
          <w:spacing w:val="-2"/>
          <w:sz w:val="20"/>
        </w:rPr>
        <w:t>capable</w:t>
      </w:r>
      <w:r>
        <w:rPr>
          <w:spacing w:val="-6"/>
          <w:sz w:val="20"/>
        </w:rPr>
        <w:t> </w:t>
      </w:r>
      <w:r>
        <w:rPr>
          <w:spacing w:val="-2"/>
          <w:sz w:val="20"/>
        </w:rPr>
        <w:t>of</w:t>
      </w:r>
      <w:r>
        <w:rPr>
          <w:spacing w:val="-11"/>
          <w:sz w:val="20"/>
        </w:rPr>
        <w:t> </w:t>
      </w:r>
      <w:r>
        <w:rPr>
          <w:spacing w:val="-2"/>
          <w:sz w:val="20"/>
        </w:rPr>
        <w:t>delivering</w:t>
      </w:r>
      <w:r>
        <w:rPr>
          <w:spacing w:val="-11"/>
          <w:sz w:val="20"/>
        </w:rPr>
        <w:t> </w:t>
      </w:r>
      <w:r>
        <w:rPr>
          <w:spacing w:val="-2"/>
          <w:sz w:val="20"/>
        </w:rPr>
        <w:t>the</w:t>
      </w:r>
      <w:r>
        <w:rPr>
          <w:spacing w:val="-11"/>
          <w:sz w:val="20"/>
        </w:rPr>
        <w:t> </w:t>
      </w:r>
      <w:r>
        <w:rPr>
          <w:spacing w:val="-2"/>
          <w:sz w:val="20"/>
        </w:rPr>
        <w:t>required</w:t>
      </w:r>
      <w:r>
        <w:rPr>
          <w:spacing w:val="-11"/>
          <w:sz w:val="20"/>
        </w:rPr>
        <w:t> </w:t>
      </w:r>
      <w:r>
        <w:rPr>
          <w:spacing w:val="-2"/>
          <w:sz w:val="20"/>
        </w:rPr>
        <w:t>value,</w:t>
      </w:r>
      <w:r>
        <w:rPr>
          <w:spacing w:val="-11"/>
          <w:sz w:val="20"/>
        </w:rPr>
        <w:t> </w:t>
      </w:r>
      <w:r>
        <w:rPr>
          <w:spacing w:val="-2"/>
          <w:sz w:val="20"/>
        </w:rPr>
        <w:t>while</w:t>
      </w:r>
      <w:r>
        <w:rPr>
          <w:spacing w:val="-10"/>
          <w:sz w:val="20"/>
        </w:rPr>
        <w:t> </w:t>
      </w:r>
      <w:r>
        <w:rPr>
          <w:spacing w:val="-2"/>
          <w:sz w:val="20"/>
        </w:rPr>
        <w:t>providing</w:t>
      </w:r>
      <w:r>
        <w:rPr>
          <w:spacing w:val="-6"/>
          <w:sz w:val="20"/>
        </w:rPr>
        <w:t> </w:t>
      </w:r>
      <w:r>
        <w:rPr>
          <w:spacing w:val="-2"/>
          <w:sz w:val="20"/>
        </w:rPr>
        <w:t>a</w:t>
      </w:r>
      <w:r>
        <w:rPr>
          <w:spacing w:val="-13"/>
          <w:sz w:val="20"/>
        </w:rPr>
        <w:t> </w:t>
      </w:r>
      <w:r>
        <w:rPr>
          <w:spacing w:val="-2"/>
          <w:sz w:val="20"/>
        </w:rPr>
        <w:t>clear</w:t>
      </w:r>
      <w:r>
        <w:rPr>
          <w:spacing w:val="-12"/>
          <w:sz w:val="20"/>
        </w:rPr>
        <w:t> </w:t>
      </w:r>
      <w:r>
        <w:rPr>
          <w:spacing w:val="-2"/>
          <w:sz w:val="20"/>
        </w:rPr>
        <w:t>and</w:t>
      </w:r>
      <w:r>
        <w:rPr>
          <w:spacing w:val="-11"/>
          <w:sz w:val="20"/>
        </w:rPr>
        <w:t> </w:t>
      </w:r>
      <w:r>
        <w:rPr>
          <w:spacing w:val="-2"/>
          <w:sz w:val="20"/>
        </w:rPr>
        <w:t>disciplined</w:t>
      </w:r>
      <w:r>
        <w:rPr>
          <w:spacing w:val="-6"/>
          <w:sz w:val="20"/>
        </w:rPr>
        <w:t> </w:t>
      </w:r>
      <w:r>
        <w:rPr>
          <w:spacing w:val="-2"/>
          <w:sz w:val="20"/>
        </w:rPr>
        <w:t>basis</w:t>
      </w:r>
      <w:r>
        <w:rPr>
          <w:spacing w:val="-10"/>
          <w:sz w:val="20"/>
        </w:rPr>
        <w:t> </w:t>
      </w:r>
      <w:r>
        <w:rPr>
          <w:spacing w:val="-2"/>
          <w:sz w:val="20"/>
        </w:rPr>
        <w:t>for</w:t>
      </w:r>
      <w:r>
        <w:rPr>
          <w:spacing w:val="-11"/>
          <w:sz w:val="20"/>
        </w:rPr>
        <w:t> </w:t>
      </w:r>
      <w:r>
        <w:rPr>
          <w:spacing w:val="-2"/>
          <w:sz w:val="20"/>
        </w:rPr>
        <w:t>progression</w:t>
      </w:r>
      <w:r>
        <w:rPr>
          <w:spacing w:val="-12"/>
          <w:sz w:val="20"/>
        </w:rPr>
        <w:t> </w:t>
      </w:r>
      <w:r>
        <w:rPr>
          <w:spacing w:val="-2"/>
          <w:sz w:val="20"/>
        </w:rPr>
        <w:t>where </w:t>
      </w:r>
      <w:r>
        <w:rPr>
          <w:sz w:val="20"/>
        </w:rPr>
        <w:t>lighter-touch</w:t>
      </w:r>
      <w:r>
        <w:rPr>
          <w:spacing w:val="-1"/>
          <w:sz w:val="20"/>
        </w:rPr>
        <w:t> </w:t>
      </w:r>
      <w:r>
        <w:rPr>
          <w:sz w:val="20"/>
        </w:rPr>
        <w:t>arrangements are</w:t>
      </w:r>
      <w:r>
        <w:rPr>
          <w:spacing w:val="-1"/>
          <w:sz w:val="20"/>
        </w:rPr>
        <w:t> </w:t>
      </w:r>
      <w:r>
        <w:rPr>
          <w:sz w:val="20"/>
        </w:rPr>
        <w:t>insufficient.</w:t>
      </w:r>
    </w:p>
    <w:p>
      <w:pPr>
        <w:pStyle w:val="BodyText"/>
        <w:spacing w:before="10"/>
        <w:rPr>
          <w:sz w:val="19"/>
        </w:rPr>
      </w:pPr>
    </w:p>
    <w:tbl>
      <w:tblPr>
        <w:tblW w:w="0" w:type="auto"/>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5"/>
        <w:gridCol w:w="1566"/>
        <w:gridCol w:w="3497"/>
        <w:gridCol w:w="3907"/>
        <w:gridCol w:w="4323"/>
      </w:tblGrid>
      <w:tr>
        <w:trPr>
          <w:trHeight w:val="230" w:hRule="atLeast"/>
        </w:trPr>
        <w:tc>
          <w:tcPr>
            <w:tcW w:w="745" w:type="dxa"/>
          </w:tcPr>
          <w:p>
            <w:pPr>
              <w:pStyle w:val="TableParagraph"/>
              <w:spacing w:line="208" w:lineRule="exact" w:before="2"/>
              <w:ind w:left="105"/>
              <w:rPr>
                <w:b/>
                <w:sz w:val="20"/>
              </w:rPr>
            </w:pPr>
            <w:r>
              <w:rPr>
                <w:b/>
                <w:spacing w:val="-2"/>
                <w:sz w:val="20"/>
              </w:rPr>
              <w:t>Level</w:t>
            </w:r>
          </w:p>
        </w:tc>
        <w:tc>
          <w:tcPr>
            <w:tcW w:w="1566" w:type="dxa"/>
          </w:tcPr>
          <w:p>
            <w:pPr>
              <w:pStyle w:val="TableParagraph"/>
              <w:spacing w:line="208" w:lineRule="exact" w:before="2"/>
              <w:ind w:left="110"/>
              <w:rPr>
                <w:b/>
                <w:sz w:val="20"/>
              </w:rPr>
            </w:pPr>
            <w:r>
              <w:rPr>
                <w:b/>
                <w:spacing w:val="-2"/>
                <w:sz w:val="20"/>
              </w:rPr>
              <w:t>Model</w:t>
            </w:r>
          </w:p>
        </w:tc>
        <w:tc>
          <w:tcPr>
            <w:tcW w:w="3497" w:type="dxa"/>
          </w:tcPr>
          <w:p>
            <w:pPr>
              <w:pStyle w:val="TableParagraph"/>
              <w:spacing w:line="208" w:lineRule="exact" w:before="2"/>
              <w:ind w:left="104"/>
              <w:rPr>
                <w:b/>
                <w:sz w:val="20"/>
              </w:rPr>
            </w:pPr>
            <w:r>
              <w:rPr>
                <w:b/>
                <w:spacing w:val="-2"/>
                <w:sz w:val="20"/>
              </w:rPr>
              <w:t>How</w:t>
            </w:r>
            <w:r>
              <w:rPr>
                <w:b/>
                <w:spacing w:val="-10"/>
                <w:sz w:val="20"/>
              </w:rPr>
              <w:t> </w:t>
            </w:r>
            <w:r>
              <w:rPr>
                <w:b/>
                <w:spacing w:val="-2"/>
                <w:sz w:val="20"/>
              </w:rPr>
              <w:t>it</w:t>
            </w:r>
            <w:r>
              <w:rPr>
                <w:b/>
                <w:spacing w:val="-11"/>
                <w:sz w:val="20"/>
              </w:rPr>
              <w:t> </w:t>
            </w:r>
            <w:r>
              <w:rPr>
                <w:b/>
                <w:spacing w:val="-2"/>
                <w:sz w:val="20"/>
              </w:rPr>
              <w:t>Works</w:t>
            </w:r>
          </w:p>
        </w:tc>
        <w:tc>
          <w:tcPr>
            <w:tcW w:w="3907" w:type="dxa"/>
          </w:tcPr>
          <w:p>
            <w:pPr>
              <w:pStyle w:val="TableParagraph"/>
              <w:spacing w:line="208" w:lineRule="exact" w:before="2"/>
              <w:ind w:left="103"/>
              <w:rPr>
                <w:b/>
                <w:sz w:val="20"/>
              </w:rPr>
            </w:pPr>
            <w:r>
              <w:rPr>
                <w:b/>
                <w:spacing w:val="-4"/>
                <w:sz w:val="20"/>
              </w:rPr>
              <w:t>Value Extraction</w:t>
            </w:r>
            <w:r>
              <w:rPr>
                <w:b/>
                <w:spacing w:val="3"/>
                <w:sz w:val="20"/>
              </w:rPr>
              <w:t> </w:t>
            </w:r>
            <w:r>
              <w:rPr>
                <w:b/>
                <w:spacing w:val="-4"/>
                <w:sz w:val="20"/>
              </w:rPr>
              <w:t>Logic</w:t>
            </w:r>
          </w:p>
        </w:tc>
        <w:tc>
          <w:tcPr>
            <w:tcW w:w="4323" w:type="dxa"/>
          </w:tcPr>
          <w:p>
            <w:pPr>
              <w:pStyle w:val="TableParagraph"/>
              <w:spacing w:line="208" w:lineRule="exact" w:before="2"/>
              <w:ind w:left="102"/>
              <w:rPr>
                <w:b/>
                <w:sz w:val="20"/>
              </w:rPr>
            </w:pPr>
            <w:r>
              <w:rPr>
                <w:b/>
                <w:spacing w:val="-2"/>
                <w:sz w:val="20"/>
              </w:rPr>
              <w:t>Evidence</w:t>
            </w:r>
            <w:r>
              <w:rPr>
                <w:b/>
                <w:spacing w:val="-11"/>
                <w:sz w:val="20"/>
              </w:rPr>
              <w:t> </w:t>
            </w:r>
            <w:r>
              <w:rPr>
                <w:b/>
                <w:spacing w:val="-2"/>
                <w:sz w:val="20"/>
              </w:rPr>
              <w:t>/</w:t>
            </w:r>
            <w:r>
              <w:rPr>
                <w:b/>
                <w:spacing w:val="-11"/>
                <w:sz w:val="20"/>
              </w:rPr>
              <w:t> </w:t>
            </w:r>
            <w:r>
              <w:rPr>
                <w:b/>
                <w:spacing w:val="-2"/>
                <w:sz w:val="20"/>
              </w:rPr>
              <w:t>Notes</w:t>
            </w:r>
          </w:p>
        </w:tc>
      </w:tr>
      <w:tr>
        <w:trPr>
          <w:trHeight w:val="690" w:hRule="atLeast"/>
        </w:trPr>
        <w:tc>
          <w:tcPr>
            <w:tcW w:w="745" w:type="dxa"/>
          </w:tcPr>
          <w:p>
            <w:pPr>
              <w:pStyle w:val="TableParagraph"/>
              <w:spacing w:before="2"/>
              <w:rPr>
                <w:sz w:val="20"/>
              </w:rPr>
            </w:pPr>
          </w:p>
          <w:p>
            <w:pPr>
              <w:pStyle w:val="TableParagraph"/>
              <w:spacing w:before="1"/>
              <w:ind w:left="105"/>
              <w:rPr>
                <w:sz w:val="20"/>
              </w:rPr>
            </w:pPr>
            <w:r>
              <w:rPr>
                <w:spacing w:val="-10"/>
                <w:sz w:val="20"/>
              </w:rPr>
              <w:t>1</w:t>
            </w:r>
          </w:p>
        </w:tc>
        <w:tc>
          <w:tcPr>
            <w:tcW w:w="1566" w:type="dxa"/>
          </w:tcPr>
          <w:p>
            <w:pPr>
              <w:pStyle w:val="TableParagraph"/>
              <w:spacing w:before="118"/>
              <w:ind w:left="110"/>
              <w:rPr>
                <w:sz w:val="20"/>
              </w:rPr>
            </w:pPr>
            <w:r>
              <w:rPr>
                <w:spacing w:val="-4"/>
                <w:sz w:val="20"/>
              </w:rPr>
              <w:t>Learning</w:t>
            </w:r>
            <w:r>
              <w:rPr>
                <w:spacing w:val="-10"/>
                <w:sz w:val="20"/>
              </w:rPr>
              <w:t> </w:t>
            </w:r>
            <w:r>
              <w:rPr>
                <w:spacing w:val="-4"/>
                <w:sz w:val="20"/>
              </w:rPr>
              <w:t>and </w:t>
            </w:r>
            <w:r>
              <w:rPr>
                <w:spacing w:val="-2"/>
                <w:sz w:val="20"/>
              </w:rPr>
              <w:t>Alignment</w:t>
            </w:r>
          </w:p>
        </w:tc>
        <w:tc>
          <w:tcPr>
            <w:tcW w:w="3497" w:type="dxa"/>
          </w:tcPr>
          <w:p>
            <w:pPr>
              <w:pStyle w:val="TableParagraph"/>
              <w:spacing w:line="230" w:lineRule="atLeast"/>
              <w:ind w:left="104" w:right="845"/>
              <w:rPr>
                <w:sz w:val="20"/>
              </w:rPr>
            </w:pPr>
            <w:r>
              <w:rPr>
                <w:sz w:val="20"/>
              </w:rPr>
              <w:t>Benchmarking,</w:t>
            </w:r>
            <w:r>
              <w:rPr>
                <w:spacing w:val="-14"/>
                <w:sz w:val="20"/>
              </w:rPr>
              <w:t> </w:t>
            </w:r>
            <w:r>
              <w:rPr>
                <w:sz w:val="20"/>
              </w:rPr>
              <w:t>joint</w:t>
            </w:r>
            <w:r>
              <w:rPr>
                <w:spacing w:val="-14"/>
                <w:sz w:val="20"/>
              </w:rPr>
              <w:t> </w:t>
            </w:r>
            <w:r>
              <w:rPr>
                <w:sz w:val="20"/>
              </w:rPr>
              <w:t>reviews, </w:t>
            </w:r>
            <w:r>
              <w:rPr>
                <w:spacing w:val="-4"/>
                <w:sz w:val="20"/>
              </w:rPr>
              <w:t>communities</w:t>
            </w:r>
            <w:r>
              <w:rPr>
                <w:spacing w:val="-6"/>
                <w:sz w:val="20"/>
              </w:rPr>
              <w:t> </w:t>
            </w:r>
            <w:r>
              <w:rPr>
                <w:spacing w:val="-4"/>
                <w:sz w:val="20"/>
              </w:rPr>
              <w:t>of</w:t>
            </w:r>
            <w:r>
              <w:rPr>
                <w:spacing w:val="-7"/>
                <w:sz w:val="20"/>
              </w:rPr>
              <w:t> </w:t>
            </w:r>
            <w:r>
              <w:rPr>
                <w:spacing w:val="-4"/>
                <w:sz w:val="20"/>
              </w:rPr>
              <w:t>practice,</w:t>
            </w:r>
            <w:r>
              <w:rPr>
                <w:spacing w:val="-7"/>
                <w:sz w:val="20"/>
              </w:rPr>
              <w:t> </w:t>
            </w:r>
            <w:r>
              <w:rPr>
                <w:spacing w:val="-4"/>
                <w:sz w:val="20"/>
              </w:rPr>
              <w:t>peer </w:t>
            </w:r>
            <w:r>
              <w:rPr>
                <w:spacing w:val="-2"/>
                <w:sz w:val="20"/>
              </w:rPr>
              <w:t>networks</w:t>
            </w:r>
          </w:p>
        </w:tc>
        <w:tc>
          <w:tcPr>
            <w:tcW w:w="3907" w:type="dxa"/>
          </w:tcPr>
          <w:p>
            <w:pPr>
              <w:pStyle w:val="TableParagraph"/>
              <w:spacing w:line="230" w:lineRule="atLeast"/>
              <w:ind w:left="103" w:right="446"/>
              <w:rPr>
                <w:sz w:val="20"/>
              </w:rPr>
            </w:pPr>
            <w:r>
              <w:rPr>
                <w:spacing w:val="-4"/>
                <w:sz w:val="20"/>
              </w:rPr>
              <w:t>Low</w:t>
            </w:r>
            <w:r>
              <w:rPr>
                <w:spacing w:val="-6"/>
                <w:sz w:val="20"/>
              </w:rPr>
              <w:t> </w:t>
            </w:r>
            <w:r>
              <w:rPr>
                <w:spacing w:val="-4"/>
                <w:sz w:val="20"/>
              </w:rPr>
              <w:t>structural</w:t>
            </w:r>
            <w:r>
              <w:rPr>
                <w:spacing w:val="-6"/>
                <w:sz w:val="20"/>
              </w:rPr>
              <w:t> </w:t>
            </w:r>
            <w:r>
              <w:rPr>
                <w:spacing w:val="-4"/>
                <w:sz w:val="20"/>
              </w:rPr>
              <w:t>investment, knowledge </w:t>
            </w:r>
            <w:r>
              <w:rPr>
                <w:sz w:val="20"/>
              </w:rPr>
              <w:t>flows reduce unwarranted variation; strengthens capability over time</w:t>
            </w:r>
          </w:p>
        </w:tc>
        <w:tc>
          <w:tcPr>
            <w:tcW w:w="4323" w:type="dxa"/>
          </w:tcPr>
          <w:p>
            <w:pPr>
              <w:pStyle w:val="TableParagraph"/>
              <w:spacing w:line="230" w:lineRule="atLeast"/>
              <w:ind w:left="102" w:right="424"/>
              <w:rPr>
                <w:sz w:val="20"/>
              </w:rPr>
            </w:pPr>
            <w:r>
              <w:rPr>
                <w:sz w:val="20"/>
              </w:rPr>
              <w:t>Shared learning as a technique to reduce </w:t>
            </w:r>
            <w:r>
              <w:rPr>
                <w:spacing w:val="-2"/>
                <w:sz w:val="20"/>
              </w:rPr>
              <w:t>unwarranted</w:t>
            </w:r>
            <w:r>
              <w:rPr>
                <w:spacing w:val="-12"/>
                <w:sz w:val="20"/>
              </w:rPr>
              <w:t> </w:t>
            </w:r>
            <w:r>
              <w:rPr>
                <w:spacing w:val="-2"/>
                <w:sz w:val="20"/>
              </w:rPr>
              <w:t>variation</w:t>
            </w:r>
            <w:r>
              <w:rPr>
                <w:spacing w:val="-12"/>
                <w:sz w:val="20"/>
              </w:rPr>
              <w:t> </w:t>
            </w:r>
            <w:r>
              <w:rPr>
                <w:spacing w:val="-2"/>
                <w:sz w:val="20"/>
              </w:rPr>
              <w:t>and</w:t>
            </w:r>
            <w:r>
              <w:rPr>
                <w:spacing w:val="-12"/>
                <w:sz w:val="20"/>
              </w:rPr>
              <w:t> </w:t>
            </w:r>
            <w:r>
              <w:rPr>
                <w:spacing w:val="-2"/>
                <w:sz w:val="20"/>
              </w:rPr>
              <w:t>build</w:t>
            </w:r>
            <w:r>
              <w:rPr>
                <w:spacing w:val="-12"/>
                <w:sz w:val="20"/>
              </w:rPr>
              <w:t> </w:t>
            </w:r>
            <w:r>
              <w:rPr>
                <w:spacing w:val="-2"/>
                <w:sz w:val="20"/>
              </w:rPr>
              <w:t>trust</w:t>
            </w:r>
            <w:r>
              <w:rPr>
                <w:spacing w:val="-12"/>
                <w:sz w:val="20"/>
              </w:rPr>
              <w:t> </w:t>
            </w:r>
            <w:r>
              <w:rPr>
                <w:spacing w:val="-2"/>
                <w:sz w:val="20"/>
              </w:rPr>
              <w:t>among partners.</w:t>
            </w:r>
          </w:p>
        </w:tc>
      </w:tr>
      <w:tr>
        <w:trPr>
          <w:trHeight w:val="690" w:hRule="atLeast"/>
        </w:trPr>
        <w:tc>
          <w:tcPr>
            <w:tcW w:w="745" w:type="dxa"/>
          </w:tcPr>
          <w:p>
            <w:pPr>
              <w:pStyle w:val="TableParagraph"/>
              <w:spacing w:before="2"/>
              <w:rPr>
                <w:sz w:val="20"/>
              </w:rPr>
            </w:pPr>
          </w:p>
          <w:p>
            <w:pPr>
              <w:pStyle w:val="TableParagraph"/>
              <w:ind w:left="105"/>
              <w:rPr>
                <w:sz w:val="20"/>
              </w:rPr>
            </w:pPr>
            <w:r>
              <w:rPr>
                <w:spacing w:val="-10"/>
                <w:sz w:val="20"/>
              </w:rPr>
              <w:t>2</w:t>
            </w:r>
          </w:p>
        </w:tc>
        <w:tc>
          <w:tcPr>
            <w:tcW w:w="1566" w:type="dxa"/>
          </w:tcPr>
          <w:p>
            <w:pPr>
              <w:pStyle w:val="TableParagraph"/>
              <w:spacing w:before="117"/>
              <w:ind w:left="110" w:right="96"/>
              <w:rPr>
                <w:sz w:val="20"/>
              </w:rPr>
            </w:pPr>
            <w:r>
              <w:rPr>
                <w:sz w:val="20"/>
              </w:rPr>
              <w:t>Coordination</w:t>
            </w:r>
            <w:r>
              <w:rPr>
                <w:spacing w:val="-14"/>
                <w:sz w:val="20"/>
              </w:rPr>
              <w:t> </w:t>
            </w:r>
            <w:r>
              <w:rPr>
                <w:sz w:val="20"/>
              </w:rPr>
              <w:t>&amp; </w:t>
            </w:r>
            <w:r>
              <w:rPr>
                <w:spacing w:val="-4"/>
                <w:sz w:val="20"/>
              </w:rPr>
              <w:t>Standardisation</w:t>
            </w:r>
          </w:p>
        </w:tc>
        <w:tc>
          <w:tcPr>
            <w:tcW w:w="3497" w:type="dxa"/>
          </w:tcPr>
          <w:p>
            <w:pPr>
              <w:pStyle w:val="TableParagraph"/>
              <w:spacing w:line="230" w:lineRule="exact"/>
              <w:ind w:left="104" w:right="85"/>
              <w:rPr>
                <w:sz w:val="20"/>
              </w:rPr>
            </w:pPr>
            <w:r>
              <w:rPr>
                <w:spacing w:val="-2"/>
                <w:sz w:val="20"/>
              </w:rPr>
              <w:t>Agreed</w:t>
            </w:r>
            <w:r>
              <w:rPr>
                <w:spacing w:val="-12"/>
                <w:sz w:val="20"/>
              </w:rPr>
              <w:t> </w:t>
            </w:r>
            <w:r>
              <w:rPr>
                <w:spacing w:val="-2"/>
                <w:sz w:val="20"/>
              </w:rPr>
              <w:t>pathways,</w:t>
            </w:r>
            <w:r>
              <w:rPr>
                <w:spacing w:val="-12"/>
                <w:sz w:val="20"/>
              </w:rPr>
              <w:t> </w:t>
            </w:r>
            <w:r>
              <w:rPr>
                <w:spacing w:val="-2"/>
                <w:sz w:val="20"/>
              </w:rPr>
              <w:t>shared</w:t>
            </w:r>
            <w:r>
              <w:rPr>
                <w:spacing w:val="-12"/>
                <w:sz w:val="20"/>
              </w:rPr>
              <w:t> </w:t>
            </w:r>
            <w:r>
              <w:rPr>
                <w:spacing w:val="-2"/>
                <w:sz w:val="20"/>
              </w:rPr>
              <w:t>clinical </w:t>
            </w:r>
            <w:r>
              <w:rPr>
                <w:sz w:val="20"/>
              </w:rPr>
              <w:t>guidelines or performance </w:t>
            </w:r>
            <w:r>
              <w:rPr>
                <w:spacing w:val="-4"/>
                <w:sz w:val="20"/>
              </w:rPr>
              <w:t>dashboards</w:t>
            </w:r>
            <w:r>
              <w:rPr>
                <w:spacing w:val="-6"/>
                <w:sz w:val="20"/>
              </w:rPr>
              <w:t> </w:t>
            </w:r>
            <w:r>
              <w:rPr>
                <w:spacing w:val="-4"/>
                <w:sz w:val="20"/>
              </w:rPr>
              <w:t>but</w:t>
            </w:r>
            <w:r>
              <w:rPr>
                <w:spacing w:val="-7"/>
                <w:sz w:val="20"/>
              </w:rPr>
              <w:t> </w:t>
            </w:r>
            <w:r>
              <w:rPr>
                <w:spacing w:val="-4"/>
                <w:sz w:val="20"/>
              </w:rPr>
              <w:t>separate</w:t>
            </w:r>
            <w:r>
              <w:rPr>
                <w:spacing w:val="-7"/>
                <w:sz w:val="20"/>
              </w:rPr>
              <w:t> </w:t>
            </w:r>
            <w:r>
              <w:rPr>
                <w:spacing w:val="-4"/>
                <w:sz w:val="20"/>
              </w:rPr>
              <w:t>delivery</w:t>
            </w:r>
          </w:p>
        </w:tc>
        <w:tc>
          <w:tcPr>
            <w:tcW w:w="3907" w:type="dxa"/>
          </w:tcPr>
          <w:p>
            <w:pPr>
              <w:pStyle w:val="TableParagraph"/>
              <w:spacing w:line="230" w:lineRule="exact"/>
              <w:ind w:left="103" w:right="786"/>
              <w:jc w:val="both"/>
              <w:rPr>
                <w:sz w:val="20"/>
              </w:rPr>
            </w:pPr>
            <w:r>
              <w:rPr>
                <w:spacing w:val="-2"/>
                <w:sz w:val="20"/>
              </w:rPr>
              <w:t>Standardisation</w:t>
            </w:r>
            <w:r>
              <w:rPr>
                <w:spacing w:val="-12"/>
                <w:sz w:val="20"/>
              </w:rPr>
              <w:t> </w:t>
            </w:r>
            <w:r>
              <w:rPr>
                <w:spacing w:val="-2"/>
                <w:sz w:val="20"/>
              </w:rPr>
              <w:t>reduces</w:t>
            </w:r>
            <w:r>
              <w:rPr>
                <w:spacing w:val="-12"/>
                <w:sz w:val="20"/>
              </w:rPr>
              <w:t> </w:t>
            </w:r>
            <w:r>
              <w:rPr>
                <w:spacing w:val="-2"/>
                <w:sz w:val="20"/>
              </w:rPr>
              <w:t>avoidable </w:t>
            </w:r>
            <w:r>
              <w:rPr>
                <w:spacing w:val="-4"/>
                <w:sz w:val="20"/>
              </w:rPr>
              <w:t>inefficiency and</w:t>
            </w:r>
            <w:r>
              <w:rPr>
                <w:spacing w:val="-6"/>
                <w:sz w:val="20"/>
              </w:rPr>
              <w:t> </w:t>
            </w:r>
            <w:r>
              <w:rPr>
                <w:spacing w:val="-4"/>
                <w:sz w:val="20"/>
              </w:rPr>
              <w:t>variation,</w:t>
            </w:r>
            <w:r>
              <w:rPr>
                <w:spacing w:val="-5"/>
                <w:sz w:val="20"/>
              </w:rPr>
              <w:t> </w:t>
            </w:r>
            <w:r>
              <w:rPr>
                <w:spacing w:val="-4"/>
                <w:sz w:val="20"/>
              </w:rPr>
              <w:t>improves </w:t>
            </w:r>
            <w:r>
              <w:rPr>
                <w:spacing w:val="-2"/>
                <w:sz w:val="20"/>
              </w:rPr>
              <w:t>interoperability</w:t>
            </w:r>
          </w:p>
        </w:tc>
        <w:tc>
          <w:tcPr>
            <w:tcW w:w="4323" w:type="dxa"/>
          </w:tcPr>
          <w:p>
            <w:pPr>
              <w:pStyle w:val="TableParagraph"/>
              <w:spacing w:line="230" w:lineRule="exact"/>
              <w:ind w:left="102"/>
              <w:rPr>
                <w:sz w:val="20"/>
              </w:rPr>
            </w:pPr>
            <w:r>
              <w:rPr>
                <w:sz w:val="20"/>
              </w:rPr>
              <w:t>Largely</w:t>
            </w:r>
            <w:r>
              <w:rPr>
                <w:spacing w:val="-14"/>
                <w:sz w:val="20"/>
              </w:rPr>
              <w:t> </w:t>
            </w:r>
            <w:r>
              <w:rPr>
                <w:sz w:val="20"/>
              </w:rPr>
              <w:t>descriptive</w:t>
            </w:r>
            <w:r>
              <w:rPr>
                <w:spacing w:val="-14"/>
                <w:sz w:val="20"/>
              </w:rPr>
              <w:t> </w:t>
            </w:r>
            <w:r>
              <w:rPr>
                <w:sz w:val="20"/>
              </w:rPr>
              <w:t>in</w:t>
            </w:r>
            <w:r>
              <w:rPr>
                <w:spacing w:val="-14"/>
                <w:sz w:val="20"/>
              </w:rPr>
              <w:t> </w:t>
            </w:r>
            <w:r>
              <w:rPr>
                <w:sz w:val="20"/>
              </w:rPr>
              <w:t>service</w:t>
            </w:r>
            <w:r>
              <w:rPr>
                <w:spacing w:val="-14"/>
                <w:sz w:val="20"/>
              </w:rPr>
              <w:t> </w:t>
            </w:r>
            <w:r>
              <w:rPr>
                <w:sz w:val="20"/>
              </w:rPr>
              <w:t>frameworks; </w:t>
            </w:r>
            <w:r>
              <w:rPr>
                <w:spacing w:val="-4"/>
                <w:sz w:val="20"/>
              </w:rPr>
              <w:t>supported by experience with</w:t>
            </w:r>
            <w:r>
              <w:rPr>
                <w:spacing w:val="-8"/>
                <w:sz w:val="20"/>
              </w:rPr>
              <w:t> </w:t>
            </w:r>
            <w:r>
              <w:rPr>
                <w:spacing w:val="-4"/>
                <w:sz w:val="20"/>
              </w:rPr>
              <w:t>standardized </w:t>
            </w:r>
            <w:r>
              <w:rPr>
                <w:sz w:val="20"/>
              </w:rPr>
              <w:t>pathways across partners.</w:t>
            </w:r>
          </w:p>
        </w:tc>
      </w:tr>
      <w:tr>
        <w:trPr>
          <w:trHeight w:val="690" w:hRule="atLeast"/>
        </w:trPr>
        <w:tc>
          <w:tcPr>
            <w:tcW w:w="745" w:type="dxa"/>
          </w:tcPr>
          <w:p>
            <w:pPr>
              <w:pStyle w:val="TableParagraph"/>
              <w:spacing w:before="2"/>
              <w:rPr>
                <w:sz w:val="20"/>
              </w:rPr>
            </w:pPr>
          </w:p>
          <w:p>
            <w:pPr>
              <w:pStyle w:val="TableParagraph"/>
              <w:ind w:left="105"/>
              <w:rPr>
                <w:sz w:val="20"/>
              </w:rPr>
            </w:pPr>
            <w:r>
              <w:rPr>
                <w:spacing w:val="-10"/>
                <w:sz w:val="20"/>
              </w:rPr>
              <w:t>3</w:t>
            </w:r>
          </w:p>
        </w:tc>
        <w:tc>
          <w:tcPr>
            <w:tcW w:w="1566" w:type="dxa"/>
          </w:tcPr>
          <w:p>
            <w:pPr>
              <w:pStyle w:val="TableParagraph"/>
              <w:spacing w:before="117"/>
              <w:ind w:left="110"/>
              <w:rPr>
                <w:sz w:val="20"/>
              </w:rPr>
            </w:pPr>
            <w:r>
              <w:rPr>
                <w:spacing w:val="-4"/>
                <w:sz w:val="20"/>
              </w:rPr>
              <w:t>Joint</w:t>
            </w:r>
            <w:r>
              <w:rPr>
                <w:spacing w:val="-10"/>
                <w:sz w:val="20"/>
              </w:rPr>
              <w:t> </w:t>
            </w:r>
            <w:r>
              <w:rPr>
                <w:spacing w:val="-4"/>
                <w:sz w:val="20"/>
              </w:rPr>
              <w:t>Projects</w:t>
            </w:r>
            <w:r>
              <w:rPr>
                <w:spacing w:val="-12"/>
                <w:sz w:val="20"/>
              </w:rPr>
              <w:t> </w:t>
            </w:r>
            <w:r>
              <w:rPr>
                <w:spacing w:val="-4"/>
                <w:sz w:val="20"/>
              </w:rPr>
              <w:t>&amp; </w:t>
            </w:r>
            <w:r>
              <w:rPr>
                <w:spacing w:val="-2"/>
                <w:sz w:val="20"/>
              </w:rPr>
              <w:t>Programmes</w:t>
            </w:r>
          </w:p>
        </w:tc>
        <w:tc>
          <w:tcPr>
            <w:tcW w:w="3497" w:type="dxa"/>
          </w:tcPr>
          <w:p>
            <w:pPr>
              <w:pStyle w:val="TableParagraph"/>
              <w:spacing w:before="117"/>
              <w:ind w:left="104" w:right="85"/>
              <w:rPr>
                <w:sz w:val="20"/>
              </w:rPr>
            </w:pPr>
            <w:r>
              <w:rPr>
                <w:spacing w:val="-4"/>
                <w:sz w:val="20"/>
              </w:rPr>
              <w:t>Time-limited</w:t>
            </w:r>
            <w:r>
              <w:rPr>
                <w:spacing w:val="-9"/>
                <w:sz w:val="20"/>
              </w:rPr>
              <w:t> </w:t>
            </w:r>
            <w:r>
              <w:rPr>
                <w:spacing w:val="-4"/>
                <w:sz w:val="20"/>
              </w:rPr>
              <w:t>cross-organisation </w:t>
            </w:r>
            <w:r>
              <w:rPr>
                <w:sz w:val="20"/>
              </w:rPr>
              <w:t>delivery (eg redesign)</w:t>
            </w:r>
          </w:p>
        </w:tc>
        <w:tc>
          <w:tcPr>
            <w:tcW w:w="3907" w:type="dxa"/>
          </w:tcPr>
          <w:p>
            <w:pPr>
              <w:pStyle w:val="TableParagraph"/>
              <w:spacing w:line="230" w:lineRule="atLeast"/>
              <w:ind w:left="103" w:right="448"/>
              <w:jc w:val="both"/>
              <w:rPr>
                <w:sz w:val="20"/>
              </w:rPr>
            </w:pPr>
            <w:r>
              <w:rPr>
                <w:spacing w:val="-4"/>
                <w:sz w:val="20"/>
              </w:rPr>
              <w:t>Delivers targeted benefits without long-</w:t>
            </w:r>
            <w:r>
              <w:rPr>
                <w:spacing w:val="-2"/>
                <w:sz w:val="20"/>
              </w:rPr>
              <w:t>term</w:t>
            </w:r>
            <w:r>
              <w:rPr>
                <w:spacing w:val="-12"/>
                <w:sz w:val="20"/>
              </w:rPr>
              <w:t> </w:t>
            </w:r>
            <w:r>
              <w:rPr>
                <w:spacing w:val="-2"/>
                <w:sz w:val="20"/>
              </w:rPr>
              <w:t>structural</w:t>
            </w:r>
            <w:r>
              <w:rPr>
                <w:spacing w:val="-12"/>
                <w:sz w:val="20"/>
              </w:rPr>
              <w:t> </w:t>
            </w:r>
            <w:r>
              <w:rPr>
                <w:spacing w:val="-2"/>
                <w:sz w:val="20"/>
              </w:rPr>
              <w:t>commitment;</w:t>
            </w:r>
            <w:r>
              <w:rPr>
                <w:spacing w:val="-12"/>
                <w:sz w:val="20"/>
              </w:rPr>
              <w:t> </w:t>
            </w:r>
            <w:r>
              <w:rPr>
                <w:spacing w:val="-2"/>
                <w:sz w:val="20"/>
              </w:rPr>
              <w:t>early</w:t>
            </w:r>
            <w:r>
              <w:rPr>
                <w:spacing w:val="-12"/>
                <w:sz w:val="20"/>
              </w:rPr>
              <w:t> </w:t>
            </w:r>
            <w:r>
              <w:rPr>
                <w:spacing w:val="-2"/>
                <w:sz w:val="20"/>
              </w:rPr>
              <w:t>wins </w:t>
            </w:r>
            <w:r>
              <w:rPr>
                <w:sz w:val="20"/>
              </w:rPr>
              <w:t>build</w:t>
            </w:r>
            <w:r>
              <w:rPr>
                <w:spacing w:val="-9"/>
                <w:sz w:val="20"/>
              </w:rPr>
              <w:t> </w:t>
            </w:r>
            <w:r>
              <w:rPr>
                <w:sz w:val="20"/>
              </w:rPr>
              <w:t>confidence</w:t>
            </w:r>
          </w:p>
        </w:tc>
        <w:tc>
          <w:tcPr>
            <w:tcW w:w="4323" w:type="dxa"/>
          </w:tcPr>
          <w:p>
            <w:pPr>
              <w:pStyle w:val="TableParagraph"/>
              <w:spacing w:before="117"/>
              <w:ind w:left="102" w:right="182"/>
              <w:rPr>
                <w:sz w:val="20"/>
              </w:rPr>
            </w:pPr>
            <w:r>
              <w:rPr>
                <w:spacing w:val="-2"/>
                <w:sz w:val="20"/>
              </w:rPr>
              <w:t>Widely</w:t>
            </w:r>
            <w:r>
              <w:rPr>
                <w:spacing w:val="-12"/>
                <w:sz w:val="20"/>
              </w:rPr>
              <w:t> </w:t>
            </w:r>
            <w:r>
              <w:rPr>
                <w:spacing w:val="-2"/>
                <w:sz w:val="20"/>
              </w:rPr>
              <w:t>used</w:t>
            </w:r>
            <w:r>
              <w:rPr>
                <w:spacing w:val="-12"/>
                <w:sz w:val="20"/>
              </w:rPr>
              <w:t> </w:t>
            </w:r>
            <w:r>
              <w:rPr>
                <w:spacing w:val="-2"/>
                <w:sz w:val="20"/>
              </w:rPr>
              <w:t>in</w:t>
            </w:r>
            <w:r>
              <w:rPr>
                <w:spacing w:val="-12"/>
                <w:sz w:val="20"/>
              </w:rPr>
              <w:t> </w:t>
            </w:r>
            <w:r>
              <w:rPr>
                <w:spacing w:val="-2"/>
                <w:sz w:val="20"/>
              </w:rPr>
              <w:t>transformation</w:t>
            </w:r>
            <w:r>
              <w:rPr>
                <w:spacing w:val="-12"/>
                <w:sz w:val="20"/>
              </w:rPr>
              <w:t> </w:t>
            </w:r>
            <w:r>
              <w:rPr>
                <w:spacing w:val="-2"/>
                <w:sz w:val="20"/>
              </w:rPr>
              <w:t>programmes</w:t>
            </w:r>
            <w:r>
              <w:rPr>
                <w:spacing w:val="-12"/>
                <w:sz w:val="20"/>
              </w:rPr>
              <w:t> </w:t>
            </w:r>
            <w:r>
              <w:rPr>
                <w:spacing w:val="-2"/>
                <w:sz w:val="20"/>
              </w:rPr>
              <w:t>but </w:t>
            </w:r>
            <w:r>
              <w:rPr>
                <w:sz w:val="20"/>
              </w:rPr>
              <w:t>requires explicit handover of learning.</w:t>
            </w:r>
          </w:p>
        </w:tc>
      </w:tr>
      <w:tr>
        <w:trPr>
          <w:trHeight w:val="920" w:hRule="atLeast"/>
        </w:trPr>
        <w:tc>
          <w:tcPr>
            <w:tcW w:w="745" w:type="dxa"/>
          </w:tcPr>
          <w:p>
            <w:pPr>
              <w:pStyle w:val="TableParagraph"/>
              <w:spacing w:before="118"/>
              <w:rPr>
                <w:sz w:val="20"/>
              </w:rPr>
            </w:pPr>
          </w:p>
          <w:p>
            <w:pPr>
              <w:pStyle w:val="TableParagraph"/>
              <w:ind w:left="105"/>
              <w:rPr>
                <w:sz w:val="20"/>
              </w:rPr>
            </w:pPr>
            <w:r>
              <w:rPr>
                <w:spacing w:val="-10"/>
                <w:sz w:val="20"/>
              </w:rPr>
              <w:t>4</w:t>
            </w:r>
          </w:p>
        </w:tc>
        <w:tc>
          <w:tcPr>
            <w:tcW w:w="1566" w:type="dxa"/>
          </w:tcPr>
          <w:p>
            <w:pPr>
              <w:pStyle w:val="TableParagraph"/>
              <w:spacing w:before="2"/>
              <w:ind w:left="110" w:right="497"/>
              <w:rPr>
                <w:sz w:val="20"/>
              </w:rPr>
            </w:pPr>
            <w:r>
              <w:rPr>
                <w:spacing w:val="-2"/>
                <w:sz w:val="20"/>
              </w:rPr>
              <w:t>Shared </w:t>
            </w:r>
            <w:r>
              <w:rPr>
                <w:spacing w:val="-4"/>
                <w:sz w:val="20"/>
              </w:rPr>
              <w:t>Functions</w:t>
            </w:r>
            <w:r>
              <w:rPr>
                <w:spacing w:val="-10"/>
                <w:sz w:val="20"/>
              </w:rPr>
              <w:t> </w:t>
            </w:r>
            <w:r>
              <w:rPr>
                <w:spacing w:val="-4"/>
                <w:sz w:val="20"/>
              </w:rPr>
              <w:t>/</w:t>
            </w:r>
          </w:p>
          <w:p>
            <w:pPr>
              <w:pStyle w:val="TableParagraph"/>
              <w:spacing w:line="230" w:lineRule="atLeast"/>
              <w:ind w:left="110" w:right="691"/>
              <w:rPr>
                <w:sz w:val="20"/>
              </w:rPr>
            </w:pPr>
            <w:r>
              <w:rPr>
                <w:spacing w:val="-2"/>
                <w:sz w:val="20"/>
              </w:rPr>
              <w:t>Shared </w:t>
            </w:r>
            <w:r>
              <w:rPr>
                <w:spacing w:val="-4"/>
                <w:sz w:val="20"/>
              </w:rPr>
              <w:t>Services</w:t>
            </w:r>
          </w:p>
        </w:tc>
        <w:tc>
          <w:tcPr>
            <w:tcW w:w="3497" w:type="dxa"/>
          </w:tcPr>
          <w:p>
            <w:pPr>
              <w:pStyle w:val="TableParagraph"/>
              <w:spacing w:before="117"/>
              <w:ind w:left="104"/>
              <w:rPr>
                <w:sz w:val="20"/>
              </w:rPr>
            </w:pPr>
            <w:r>
              <w:rPr>
                <w:sz w:val="20"/>
              </w:rPr>
              <w:t>One</w:t>
            </w:r>
            <w:r>
              <w:rPr>
                <w:spacing w:val="-11"/>
                <w:sz w:val="20"/>
              </w:rPr>
              <w:t> </w:t>
            </w:r>
            <w:r>
              <w:rPr>
                <w:sz w:val="20"/>
              </w:rPr>
              <w:t>partner</w:t>
            </w:r>
            <w:r>
              <w:rPr>
                <w:spacing w:val="-11"/>
                <w:sz w:val="20"/>
              </w:rPr>
              <w:t> </w:t>
            </w:r>
            <w:r>
              <w:rPr>
                <w:sz w:val="20"/>
              </w:rPr>
              <w:t>hosts</w:t>
            </w:r>
            <w:r>
              <w:rPr>
                <w:spacing w:val="-9"/>
                <w:sz w:val="20"/>
              </w:rPr>
              <w:t> </w:t>
            </w:r>
            <w:r>
              <w:rPr>
                <w:sz w:val="20"/>
              </w:rPr>
              <w:t>services</w:t>
            </w:r>
            <w:r>
              <w:rPr>
                <w:spacing w:val="-5"/>
                <w:sz w:val="20"/>
              </w:rPr>
              <w:t> </w:t>
            </w:r>
            <w:r>
              <w:rPr>
                <w:sz w:val="20"/>
              </w:rPr>
              <w:t>(finance, </w:t>
            </w:r>
            <w:r>
              <w:rPr>
                <w:spacing w:val="-4"/>
                <w:sz w:val="20"/>
              </w:rPr>
              <w:t>digital infrastructure, procurement)</w:t>
            </w:r>
            <w:r>
              <w:rPr>
                <w:spacing w:val="-6"/>
                <w:sz w:val="20"/>
              </w:rPr>
              <w:t> </w:t>
            </w:r>
            <w:r>
              <w:rPr>
                <w:spacing w:val="-4"/>
                <w:sz w:val="20"/>
              </w:rPr>
              <w:t>for both</w:t>
            </w:r>
          </w:p>
        </w:tc>
        <w:tc>
          <w:tcPr>
            <w:tcW w:w="3907" w:type="dxa"/>
          </w:tcPr>
          <w:p>
            <w:pPr>
              <w:pStyle w:val="TableParagraph"/>
              <w:spacing w:before="3"/>
              <w:rPr>
                <w:sz w:val="20"/>
              </w:rPr>
            </w:pPr>
          </w:p>
          <w:p>
            <w:pPr>
              <w:pStyle w:val="TableParagraph"/>
              <w:ind w:left="103"/>
              <w:rPr>
                <w:sz w:val="20"/>
              </w:rPr>
            </w:pPr>
            <w:r>
              <w:rPr>
                <w:sz w:val="20"/>
              </w:rPr>
              <w:t>Economies of scale,</w:t>
            </w:r>
            <w:r>
              <w:rPr>
                <w:spacing w:val="-6"/>
                <w:sz w:val="20"/>
              </w:rPr>
              <w:t> </w:t>
            </w:r>
            <w:r>
              <w:rPr>
                <w:sz w:val="20"/>
              </w:rPr>
              <w:t>lower unit cost, </w:t>
            </w:r>
            <w:r>
              <w:rPr>
                <w:spacing w:val="-4"/>
                <w:sz w:val="20"/>
              </w:rPr>
              <w:t>common</w:t>
            </w:r>
            <w:r>
              <w:rPr>
                <w:spacing w:val="-5"/>
                <w:sz w:val="20"/>
              </w:rPr>
              <w:t> </w:t>
            </w:r>
            <w:r>
              <w:rPr>
                <w:spacing w:val="-4"/>
                <w:sz w:val="20"/>
              </w:rPr>
              <w:t>platform</w:t>
            </w:r>
            <w:r>
              <w:rPr>
                <w:spacing w:val="-6"/>
                <w:sz w:val="20"/>
              </w:rPr>
              <w:t> </w:t>
            </w:r>
            <w:r>
              <w:rPr>
                <w:spacing w:val="-4"/>
                <w:sz w:val="20"/>
              </w:rPr>
              <w:t>reduces duplication</w:t>
            </w:r>
          </w:p>
        </w:tc>
        <w:tc>
          <w:tcPr>
            <w:tcW w:w="4323" w:type="dxa"/>
          </w:tcPr>
          <w:p>
            <w:pPr>
              <w:pStyle w:val="TableParagraph"/>
              <w:spacing w:before="2"/>
              <w:ind w:left="102" w:right="366"/>
              <w:rPr>
                <w:sz w:val="20"/>
              </w:rPr>
            </w:pPr>
            <w:r>
              <w:rPr>
                <w:spacing w:val="-2"/>
                <w:sz w:val="20"/>
              </w:rPr>
              <w:t>Shared</w:t>
            </w:r>
            <w:r>
              <w:rPr>
                <w:spacing w:val="-12"/>
                <w:sz w:val="20"/>
              </w:rPr>
              <w:t> </w:t>
            </w:r>
            <w:r>
              <w:rPr>
                <w:spacing w:val="-2"/>
                <w:sz w:val="20"/>
              </w:rPr>
              <w:t>services</w:t>
            </w:r>
            <w:r>
              <w:rPr>
                <w:spacing w:val="-12"/>
                <w:sz w:val="20"/>
              </w:rPr>
              <w:t> </w:t>
            </w:r>
            <w:r>
              <w:rPr>
                <w:spacing w:val="-2"/>
                <w:sz w:val="20"/>
              </w:rPr>
              <w:t>frameworks</w:t>
            </w:r>
            <w:r>
              <w:rPr>
                <w:spacing w:val="-12"/>
                <w:sz w:val="20"/>
              </w:rPr>
              <w:t> </w:t>
            </w:r>
            <w:r>
              <w:rPr>
                <w:spacing w:val="-2"/>
                <w:sz w:val="20"/>
              </w:rPr>
              <w:t>are</w:t>
            </w:r>
            <w:r>
              <w:rPr>
                <w:spacing w:val="-12"/>
                <w:sz w:val="20"/>
              </w:rPr>
              <w:t> </w:t>
            </w:r>
            <w:r>
              <w:rPr>
                <w:spacing w:val="-2"/>
                <w:sz w:val="20"/>
              </w:rPr>
              <w:t>part</w:t>
            </w:r>
            <w:r>
              <w:rPr>
                <w:spacing w:val="-12"/>
                <w:sz w:val="20"/>
              </w:rPr>
              <w:t> </w:t>
            </w:r>
            <w:r>
              <w:rPr>
                <w:spacing w:val="-2"/>
                <w:sz w:val="20"/>
              </w:rPr>
              <w:t>of</w:t>
            </w:r>
            <w:r>
              <w:rPr>
                <w:spacing w:val="-12"/>
                <w:sz w:val="20"/>
              </w:rPr>
              <w:t> </w:t>
            </w:r>
            <w:r>
              <w:rPr>
                <w:spacing w:val="-2"/>
                <w:sz w:val="20"/>
              </w:rPr>
              <w:t>NHS </w:t>
            </w:r>
            <w:r>
              <w:rPr>
                <w:sz w:val="20"/>
              </w:rPr>
              <w:t>strategy; national shared services reviews</w:t>
            </w:r>
          </w:p>
          <w:p>
            <w:pPr>
              <w:pStyle w:val="TableParagraph"/>
              <w:spacing w:line="230" w:lineRule="atLeast"/>
              <w:ind w:left="102"/>
              <w:rPr>
                <w:sz w:val="20"/>
              </w:rPr>
            </w:pPr>
            <w:r>
              <w:rPr>
                <w:spacing w:val="-4"/>
                <w:sz w:val="20"/>
              </w:rPr>
              <w:t>emphasise standardisation and governance </w:t>
            </w:r>
            <w:r>
              <w:rPr>
                <w:spacing w:val="-2"/>
                <w:sz w:val="20"/>
              </w:rPr>
              <w:t>discipline.</w:t>
            </w:r>
          </w:p>
        </w:tc>
      </w:tr>
      <w:tr>
        <w:trPr>
          <w:trHeight w:val="919" w:hRule="atLeast"/>
        </w:trPr>
        <w:tc>
          <w:tcPr>
            <w:tcW w:w="745" w:type="dxa"/>
          </w:tcPr>
          <w:p>
            <w:pPr>
              <w:pStyle w:val="TableParagraph"/>
              <w:spacing w:before="116"/>
              <w:rPr>
                <w:sz w:val="20"/>
              </w:rPr>
            </w:pPr>
          </w:p>
          <w:p>
            <w:pPr>
              <w:pStyle w:val="TableParagraph"/>
              <w:ind w:left="105"/>
              <w:rPr>
                <w:sz w:val="20"/>
              </w:rPr>
            </w:pPr>
            <w:r>
              <w:rPr>
                <w:spacing w:val="-10"/>
                <w:sz w:val="20"/>
              </w:rPr>
              <w:t>5</w:t>
            </w:r>
          </w:p>
        </w:tc>
        <w:tc>
          <w:tcPr>
            <w:tcW w:w="1566" w:type="dxa"/>
          </w:tcPr>
          <w:p>
            <w:pPr>
              <w:pStyle w:val="TableParagraph"/>
              <w:spacing w:before="1"/>
              <w:rPr>
                <w:sz w:val="20"/>
              </w:rPr>
            </w:pPr>
          </w:p>
          <w:p>
            <w:pPr>
              <w:pStyle w:val="TableParagraph"/>
              <w:ind w:left="110" w:right="310"/>
              <w:rPr>
                <w:sz w:val="20"/>
              </w:rPr>
            </w:pPr>
            <w:r>
              <w:rPr>
                <w:spacing w:val="-2"/>
                <w:sz w:val="20"/>
              </w:rPr>
              <w:t>Provider </w:t>
            </w:r>
            <w:r>
              <w:rPr>
                <w:spacing w:val="-4"/>
                <w:sz w:val="20"/>
              </w:rPr>
              <w:t>Collaborative</w:t>
            </w:r>
          </w:p>
        </w:tc>
        <w:tc>
          <w:tcPr>
            <w:tcW w:w="3497" w:type="dxa"/>
          </w:tcPr>
          <w:p>
            <w:pPr>
              <w:pStyle w:val="TableParagraph"/>
              <w:spacing w:before="116"/>
              <w:ind w:left="104"/>
              <w:rPr>
                <w:sz w:val="20"/>
              </w:rPr>
            </w:pPr>
            <w:r>
              <w:rPr>
                <w:spacing w:val="-4"/>
                <w:sz w:val="20"/>
              </w:rPr>
              <w:t>Formal</w:t>
            </w:r>
            <w:r>
              <w:rPr>
                <w:spacing w:val="-5"/>
                <w:sz w:val="20"/>
              </w:rPr>
              <w:t> </w:t>
            </w:r>
            <w:r>
              <w:rPr>
                <w:spacing w:val="-4"/>
                <w:sz w:val="20"/>
              </w:rPr>
              <w:t>partnership</w:t>
            </w:r>
            <w:r>
              <w:rPr>
                <w:spacing w:val="-6"/>
                <w:sz w:val="20"/>
              </w:rPr>
              <w:t> </w:t>
            </w:r>
            <w:r>
              <w:rPr>
                <w:spacing w:val="-4"/>
                <w:sz w:val="20"/>
              </w:rPr>
              <w:t>with</w:t>
            </w:r>
            <w:r>
              <w:rPr>
                <w:spacing w:val="-8"/>
                <w:sz w:val="20"/>
              </w:rPr>
              <w:t> </w:t>
            </w:r>
            <w:r>
              <w:rPr>
                <w:spacing w:val="-4"/>
                <w:sz w:val="20"/>
              </w:rPr>
              <w:t>shared aims, </w:t>
            </w:r>
            <w:r>
              <w:rPr>
                <w:sz w:val="20"/>
              </w:rPr>
              <w:t>joint committees, some pooled planning for defined service sets</w:t>
            </w:r>
          </w:p>
        </w:tc>
        <w:tc>
          <w:tcPr>
            <w:tcW w:w="3907" w:type="dxa"/>
          </w:tcPr>
          <w:p>
            <w:pPr>
              <w:pStyle w:val="TableParagraph"/>
              <w:spacing w:before="116"/>
              <w:ind w:left="103" w:right="316"/>
              <w:jc w:val="both"/>
              <w:rPr>
                <w:sz w:val="20"/>
              </w:rPr>
            </w:pPr>
            <w:r>
              <w:rPr>
                <w:spacing w:val="-4"/>
                <w:sz w:val="20"/>
              </w:rPr>
              <w:t>Combines resources to</w:t>
            </w:r>
            <w:r>
              <w:rPr>
                <w:spacing w:val="-6"/>
                <w:sz w:val="20"/>
              </w:rPr>
              <w:t> </w:t>
            </w:r>
            <w:r>
              <w:rPr>
                <w:spacing w:val="-4"/>
                <w:sz w:val="20"/>
              </w:rPr>
              <w:t>reduce</w:t>
            </w:r>
            <w:r>
              <w:rPr>
                <w:spacing w:val="-6"/>
                <w:sz w:val="20"/>
              </w:rPr>
              <w:t> </w:t>
            </w:r>
            <w:r>
              <w:rPr>
                <w:spacing w:val="-4"/>
                <w:sz w:val="20"/>
              </w:rPr>
              <w:t>variation, improve access, build resilience; sharing </w:t>
            </w:r>
            <w:r>
              <w:rPr>
                <w:sz w:val="20"/>
              </w:rPr>
              <w:t>clinical and corporate learning</w:t>
            </w:r>
          </w:p>
        </w:tc>
        <w:tc>
          <w:tcPr>
            <w:tcW w:w="4323" w:type="dxa"/>
          </w:tcPr>
          <w:p>
            <w:pPr>
              <w:pStyle w:val="TableParagraph"/>
              <w:spacing w:before="1"/>
              <w:ind w:left="102"/>
              <w:rPr>
                <w:sz w:val="20"/>
              </w:rPr>
            </w:pPr>
            <w:r>
              <w:rPr>
                <w:sz w:val="20"/>
              </w:rPr>
              <w:t>Provider</w:t>
            </w:r>
            <w:r>
              <w:rPr>
                <w:spacing w:val="-11"/>
                <w:sz w:val="20"/>
              </w:rPr>
              <w:t> </w:t>
            </w:r>
            <w:r>
              <w:rPr>
                <w:sz w:val="20"/>
              </w:rPr>
              <w:t>collaboratives</w:t>
            </w:r>
            <w:r>
              <w:rPr>
                <w:spacing w:val="-9"/>
                <w:sz w:val="20"/>
              </w:rPr>
              <w:t> </w:t>
            </w:r>
            <w:r>
              <w:rPr>
                <w:sz w:val="20"/>
              </w:rPr>
              <w:t>improve</w:t>
            </w:r>
            <w:r>
              <w:rPr>
                <w:spacing w:val="-10"/>
                <w:sz w:val="20"/>
              </w:rPr>
              <w:t> </w:t>
            </w:r>
            <w:r>
              <w:rPr>
                <w:sz w:val="20"/>
              </w:rPr>
              <w:t>sustainability and efficiency and are being mandated in</w:t>
            </w:r>
          </w:p>
          <w:p>
            <w:pPr>
              <w:pStyle w:val="TableParagraph"/>
              <w:spacing w:line="230" w:lineRule="atLeast"/>
              <w:ind w:left="102"/>
              <w:rPr>
                <w:sz w:val="20"/>
              </w:rPr>
            </w:pPr>
            <w:r>
              <w:rPr>
                <w:spacing w:val="-4"/>
                <w:sz w:val="20"/>
              </w:rPr>
              <w:t>England, although strong empirical evidence is </w:t>
            </w:r>
            <w:r>
              <w:rPr>
                <w:sz w:val="20"/>
              </w:rPr>
              <w:t>still emerging.</w:t>
            </w:r>
          </w:p>
        </w:tc>
      </w:tr>
      <w:tr>
        <w:trPr>
          <w:trHeight w:val="1148" w:hRule="atLeast"/>
        </w:trPr>
        <w:tc>
          <w:tcPr>
            <w:tcW w:w="745" w:type="dxa"/>
          </w:tcPr>
          <w:p>
            <w:pPr>
              <w:pStyle w:val="TableParagraph"/>
              <w:rPr>
                <w:sz w:val="20"/>
              </w:rPr>
            </w:pPr>
          </w:p>
          <w:p>
            <w:pPr>
              <w:pStyle w:val="TableParagraph"/>
              <w:rPr>
                <w:sz w:val="20"/>
              </w:rPr>
            </w:pPr>
          </w:p>
          <w:p>
            <w:pPr>
              <w:pStyle w:val="TableParagraph"/>
              <w:ind w:left="105"/>
              <w:rPr>
                <w:sz w:val="20"/>
              </w:rPr>
            </w:pPr>
            <w:r>
              <w:rPr>
                <w:spacing w:val="-10"/>
                <w:sz w:val="20"/>
              </w:rPr>
              <w:t>6</w:t>
            </w:r>
          </w:p>
        </w:tc>
        <w:tc>
          <w:tcPr>
            <w:tcW w:w="1566" w:type="dxa"/>
          </w:tcPr>
          <w:p>
            <w:pPr>
              <w:pStyle w:val="TableParagraph"/>
              <w:rPr>
                <w:sz w:val="20"/>
              </w:rPr>
            </w:pPr>
          </w:p>
          <w:p>
            <w:pPr>
              <w:pStyle w:val="TableParagraph"/>
              <w:ind w:left="110" w:right="432"/>
              <w:rPr>
                <w:sz w:val="20"/>
              </w:rPr>
            </w:pPr>
            <w:r>
              <w:rPr>
                <w:sz w:val="20"/>
              </w:rPr>
              <w:t>Managed / </w:t>
            </w:r>
            <w:r>
              <w:rPr>
                <w:spacing w:val="-4"/>
                <w:sz w:val="20"/>
              </w:rPr>
              <w:t>Outsourced </w:t>
            </w:r>
            <w:r>
              <w:rPr>
                <w:spacing w:val="-2"/>
                <w:sz w:val="20"/>
              </w:rPr>
              <w:t>Delivery</w:t>
            </w:r>
          </w:p>
        </w:tc>
        <w:tc>
          <w:tcPr>
            <w:tcW w:w="3497" w:type="dxa"/>
          </w:tcPr>
          <w:p>
            <w:pPr>
              <w:pStyle w:val="TableParagraph"/>
              <w:ind w:left="104" w:right="573"/>
              <w:jc w:val="both"/>
              <w:rPr>
                <w:sz w:val="20"/>
              </w:rPr>
            </w:pPr>
            <w:r>
              <w:rPr>
                <w:spacing w:val="-2"/>
                <w:sz w:val="20"/>
              </w:rPr>
              <w:t>Commission</w:t>
            </w:r>
            <w:r>
              <w:rPr>
                <w:spacing w:val="-4"/>
                <w:sz w:val="20"/>
              </w:rPr>
              <w:t> </w:t>
            </w:r>
            <w:r>
              <w:rPr>
                <w:spacing w:val="-2"/>
                <w:sz w:val="20"/>
              </w:rPr>
              <w:t>both</w:t>
            </w:r>
            <w:r>
              <w:rPr>
                <w:spacing w:val="-5"/>
                <w:sz w:val="20"/>
              </w:rPr>
              <w:t> </w:t>
            </w:r>
            <w:r>
              <w:rPr>
                <w:spacing w:val="-2"/>
                <w:sz w:val="20"/>
              </w:rPr>
              <w:t>organisations’ services</w:t>
            </w:r>
            <w:r>
              <w:rPr>
                <w:spacing w:val="-12"/>
                <w:sz w:val="20"/>
              </w:rPr>
              <w:t> </w:t>
            </w:r>
            <w:r>
              <w:rPr>
                <w:spacing w:val="-2"/>
                <w:sz w:val="20"/>
              </w:rPr>
              <w:t>to</w:t>
            </w:r>
            <w:r>
              <w:rPr>
                <w:spacing w:val="-12"/>
                <w:sz w:val="20"/>
              </w:rPr>
              <w:t> </w:t>
            </w:r>
            <w:r>
              <w:rPr>
                <w:spacing w:val="-2"/>
                <w:sz w:val="20"/>
              </w:rPr>
              <w:t>an</w:t>
            </w:r>
            <w:r>
              <w:rPr>
                <w:spacing w:val="-12"/>
                <w:sz w:val="20"/>
              </w:rPr>
              <w:t> </w:t>
            </w:r>
            <w:r>
              <w:rPr>
                <w:spacing w:val="-2"/>
                <w:sz w:val="20"/>
              </w:rPr>
              <w:t>external</w:t>
            </w:r>
            <w:r>
              <w:rPr>
                <w:spacing w:val="-12"/>
                <w:sz w:val="20"/>
              </w:rPr>
              <w:t> </w:t>
            </w:r>
            <w:r>
              <w:rPr>
                <w:spacing w:val="-2"/>
                <w:sz w:val="20"/>
              </w:rPr>
              <w:t>managed provider</w:t>
            </w:r>
            <w:r>
              <w:rPr>
                <w:spacing w:val="-12"/>
                <w:sz w:val="20"/>
              </w:rPr>
              <w:t> </w:t>
            </w:r>
            <w:r>
              <w:rPr>
                <w:spacing w:val="-2"/>
                <w:sz w:val="20"/>
              </w:rPr>
              <w:t>(public</w:t>
            </w:r>
            <w:r>
              <w:rPr>
                <w:spacing w:val="-12"/>
                <w:sz w:val="20"/>
              </w:rPr>
              <w:t> </w:t>
            </w:r>
            <w:r>
              <w:rPr>
                <w:spacing w:val="-2"/>
                <w:sz w:val="20"/>
              </w:rPr>
              <w:t>or</w:t>
            </w:r>
            <w:r>
              <w:rPr>
                <w:spacing w:val="-12"/>
                <w:sz w:val="20"/>
              </w:rPr>
              <w:t> </w:t>
            </w:r>
            <w:r>
              <w:rPr>
                <w:spacing w:val="-2"/>
                <w:sz w:val="20"/>
              </w:rPr>
              <w:t>private)</w:t>
            </w:r>
            <w:r>
              <w:rPr>
                <w:spacing w:val="-12"/>
                <w:sz w:val="20"/>
              </w:rPr>
              <w:t> </w:t>
            </w:r>
            <w:r>
              <w:rPr>
                <w:spacing w:val="-2"/>
                <w:sz w:val="20"/>
              </w:rPr>
              <w:t>under </w:t>
            </w:r>
            <w:r>
              <w:rPr>
                <w:spacing w:val="-4"/>
                <w:sz w:val="20"/>
              </w:rPr>
              <w:t>performance</w:t>
            </w:r>
            <w:r>
              <w:rPr>
                <w:sz w:val="20"/>
              </w:rPr>
              <w:t> </w:t>
            </w:r>
            <w:r>
              <w:rPr>
                <w:spacing w:val="-4"/>
                <w:sz w:val="20"/>
              </w:rPr>
              <w:t>or</w:t>
            </w:r>
            <w:r>
              <w:rPr>
                <w:spacing w:val="1"/>
                <w:sz w:val="20"/>
              </w:rPr>
              <w:t> </w:t>
            </w:r>
            <w:r>
              <w:rPr>
                <w:spacing w:val="-4"/>
                <w:sz w:val="20"/>
              </w:rPr>
              <w:t>outcomes-based</w:t>
            </w:r>
          </w:p>
          <w:p>
            <w:pPr>
              <w:pStyle w:val="TableParagraph"/>
              <w:spacing w:line="208" w:lineRule="exact" w:before="1"/>
              <w:ind w:left="104"/>
              <w:rPr>
                <w:sz w:val="20"/>
              </w:rPr>
            </w:pPr>
            <w:r>
              <w:rPr>
                <w:spacing w:val="-2"/>
                <w:sz w:val="20"/>
              </w:rPr>
              <w:t>contract</w:t>
            </w:r>
          </w:p>
        </w:tc>
        <w:tc>
          <w:tcPr>
            <w:tcW w:w="3907" w:type="dxa"/>
          </w:tcPr>
          <w:p>
            <w:pPr>
              <w:pStyle w:val="TableParagraph"/>
              <w:spacing w:before="115"/>
              <w:ind w:left="103"/>
              <w:rPr>
                <w:sz w:val="20"/>
              </w:rPr>
            </w:pPr>
            <w:r>
              <w:rPr>
                <w:sz w:val="20"/>
              </w:rPr>
              <w:t>External provider brings specialised capability,</w:t>
            </w:r>
            <w:r>
              <w:rPr>
                <w:spacing w:val="-13"/>
                <w:sz w:val="20"/>
              </w:rPr>
              <w:t> </w:t>
            </w:r>
            <w:r>
              <w:rPr>
                <w:sz w:val="20"/>
              </w:rPr>
              <w:t>performance</w:t>
            </w:r>
            <w:r>
              <w:rPr>
                <w:spacing w:val="-13"/>
                <w:sz w:val="20"/>
              </w:rPr>
              <w:t> </w:t>
            </w:r>
            <w:r>
              <w:rPr>
                <w:sz w:val="20"/>
              </w:rPr>
              <w:t>risk</w:t>
            </w:r>
            <w:r>
              <w:rPr>
                <w:spacing w:val="-12"/>
                <w:sz w:val="20"/>
              </w:rPr>
              <w:t> </w:t>
            </w:r>
            <w:r>
              <w:rPr>
                <w:sz w:val="20"/>
              </w:rPr>
              <w:t>sharing,</w:t>
            </w:r>
            <w:r>
              <w:rPr>
                <w:spacing w:val="-13"/>
                <w:sz w:val="20"/>
              </w:rPr>
              <w:t> </w:t>
            </w:r>
            <w:r>
              <w:rPr>
                <w:sz w:val="20"/>
              </w:rPr>
              <w:t>clear </w:t>
            </w:r>
            <w:r>
              <w:rPr>
                <w:spacing w:val="-4"/>
                <w:sz w:val="20"/>
              </w:rPr>
              <w:t>KPIs,</w:t>
            </w:r>
            <w:r>
              <w:rPr>
                <w:spacing w:val="-5"/>
                <w:sz w:val="20"/>
              </w:rPr>
              <w:t> </w:t>
            </w:r>
            <w:r>
              <w:rPr>
                <w:spacing w:val="-4"/>
                <w:sz w:val="20"/>
              </w:rPr>
              <w:t>outcomes-based payments,</w:t>
            </w:r>
            <w:r>
              <w:rPr>
                <w:spacing w:val="-6"/>
                <w:sz w:val="20"/>
              </w:rPr>
              <w:t> </w:t>
            </w:r>
            <w:r>
              <w:rPr>
                <w:spacing w:val="-4"/>
                <w:sz w:val="20"/>
              </w:rPr>
              <w:t>potential </w:t>
            </w:r>
            <w:r>
              <w:rPr>
                <w:sz w:val="20"/>
              </w:rPr>
              <w:t>cost reduction</w:t>
            </w:r>
          </w:p>
        </w:tc>
        <w:tc>
          <w:tcPr>
            <w:tcW w:w="4323" w:type="dxa"/>
          </w:tcPr>
          <w:p>
            <w:pPr>
              <w:pStyle w:val="TableParagraph"/>
              <w:spacing w:before="115"/>
              <w:ind w:left="102"/>
              <w:rPr>
                <w:sz w:val="20"/>
              </w:rPr>
            </w:pPr>
            <w:r>
              <w:rPr>
                <w:sz w:val="20"/>
              </w:rPr>
              <w:t>Outsourcing has evidence of short-term capacity benefit (e.g.,</w:t>
            </w:r>
            <w:r>
              <w:rPr>
                <w:spacing w:val="-3"/>
                <w:sz w:val="20"/>
              </w:rPr>
              <w:t> </w:t>
            </w:r>
            <w:r>
              <w:rPr>
                <w:sz w:val="20"/>
              </w:rPr>
              <w:t>waiting</w:t>
            </w:r>
            <w:r>
              <w:rPr>
                <w:spacing w:val="-3"/>
                <w:sz w:val="20"/>
              </w:rPr>
              <w:t> </w:t>
            </w:r>
            <w:r>
              <w:rPr>
                <w:sz w:val="20"/>
              </w:rPr>
              <w:t>lists) but</w:t>
            </w:r>
            <w:r>
              <w:rPr>
                <w:spacing w:val="-1"/>
                <w:sz w:val="20"/>
              </w:rPr>
              <w:t> </w:t>
            </w:r>
            <w:r>
              <w:rPr>
                <w:sz w:val="20"/>
              </w:rPr>
              <w:t>also </w:t>
            </w:r>
            <w:r>
              <w:rPr>
                <w:spacing w:val="-4"/>
                <w:sz w:val="20"/>
              </w:rPr>
              <w:t>caution about long-term sustainability and NHS </w:t>
            </w:r>
            <w:r>
              <w:rPr>
                <w:sz w:val="20"/>
              </w:rPr>
              <w:t>capacity effects.</w:t>
            </w:r>
          </w:p>
        </w:tc>
      </w:tr>
      <w:tr>
        <w:trPr>
          <w:trHeight w:val="690" w:hRule="atLeast"/>
        </w:trPr>
        <w:tc>
          <w:tcPr>
            <w:tcW w:w="745" w:type="dxa"/>
          </w:tcPr>
          <w:p>
            <w:pPr>
              <w:pStyle w:val="TableParagraph"/>
              <w:spacing w:before="2"/>
              <w:rPr>
                <w:sz w:val="20"/>
              </w:rPr>
            </w:pPr>
          </w:p>
          <w:p>
            <w:pPr>
              <w:pStyle w:val="TableParagraph"/>
              <w:ind w:left="105"/>
              <w:rPr>
                <w:sz w:val="20"/>
              </w:rPr>
            </w:pPr>
            <w:r>
              <w:rPr>
                <w:spacing w:val="-10"/>
                <w:sz w:val="20"/>
              </w:rPr>
              <w:t>7</w:t>
            </w:r>
          </w:p>
        </w:tc>
        <w:tc>
          <w:tcPr>
            <w:tcW w:w="1566" w:type="dxa"/>
          </w:tcPr>
          <w:p>
            <w:pPr>
              <w:pStyle w:val="TableParagraph"/>
              <w:spacing w:before="117"/>
              <w:ind w:left="110" w:right="565"/>
              <w:rPr>
                <w:sz w:val="20"/>
              </w:rPr>
            </w:pPr>
            <w:r>
              <w:rPr>
                <w:spacing w:val="-2"/>
                <w:sz w:val="20"/>
              </w:rPr>
              <w:t>Single </w:t>
            </w:r>
            <w:r>
              <w:rPr>
                <w:spacing w:val="-4"/>
                <w:sz w:val="20"/>
              </w:rPr>
              <w:t>Integrated</w:t>
            </w:r>
          </w:p>
        </w:tc>
        <w:tc>
          <w:tcPr>
            <w:tcW w:w="3497" w:type="dxa"/>
          </w:tcPr>
          <w:p>
            <w:pPr>
              <w:pStyle w:val="TableParagraph"/>
              <w:spacing w:before="2"/>
              <w:ind w:left="104"/>
              <w:rPr>
                <w:sz w:val="20"/>
              </w:rPr>
            </w:pPr>
            <w:r>
              <w:rPr>
                <w:spacing w:val="-4"/>
                <w:sz w:val="20"/>
              </w:rPr>
              <w:t>Single</w:t>
            </w:r>
            <w:r>
              <w:rPr>
                <w:spacing w:val="-6"/>
                <w:sz w:val="20"/>
              </w:rPr>
              <w:t> </w:t>
            </w:r>
            <w:r>
              <w:rPr>
                <w:spacing w:val="-4"/>
                <w:sz w:val="20"/>
              </w:rPr>
              <w:t>leadership</w:t>
            </w:r>
            <w:r>
              <w:rPr>
                <w:spacing w:val="-6"/>
                <w:sz w:val="20"/>
              </w:rPr>
              <w:t> </w:t>
            </w:r>
            <w:r>
              <w:rPr>
                <w:spacing w:val="-4"/>
                <w:sz w:val="20"/>
              </w:rPr>
              <w:t>layer, shared</w:t>
            </w:r>
            <w:r>
              <w:rPr>
                <w:spacing w:val="-6"/>
                <w:sz w:val="20"/>
              </w:rPr>
              <w:t> </w:t>
            </w:r>
            <w:r>
              <w:rPr>
                <w:spacing w:val="-4"/>
                <w:sz w:val="20"/>
              </w:rPr>
              <w:t>SOPs, </w:t>
            </w:r>
            <w:r>
              <w:rPr>
                <w:sz w:val="20"/>
              </w:rPr>
              <w:t>staff working across both boards</w:t>
            </w:r>
          </w:p>
          <w:p>
            <w:pPr>
              <w:pStyle w:val="TableParagraph"/>
              <w:spacing w:line="208" w:lineRule="exact"/>
              <w:ind w:left="104"/>
              <w:rPr>
                <w:sz w:val="20"/>
              </w:rPr>
            </w:pPr>
            <w:r>
              <w:rPr>
                <w:spacing w:val="-4"/>
                <w:sz w:val="20"/>
              </w:rPr>
              <w:t>(host-employer</w:t>
            </w:r>
            <w:r>
              <w:rPr>
                <w:spacing w:val="2"/>
                <w:sz w:val="20"/>
              </w:rPr>
              <w:t> </w:t>
            </w:r>
            <w:r>
              <w:rPr>
                <w:spacing w:val="-4"/>
                <w:sz w:val="20"/>
              </w:rPr>
              <w:t>or joint</w:t>
            </w:r>
            <w:r>
              <w:rPr>
                <w:spacing w:val="-2"/>
                <w:sz w:val="20"/>
              </w:rPr>
              <w:t> </w:t>
            </w:r>
            <w:r>
              <w:rPr>
                <w:spacing w:val="-4"/>
                <w:sz w:val="20"/>
              </w:rPr>
              <w:t>appointments)</w:t>
            </w:r>
          </w:p>
        </w:tc>
        <w:tc>
          <w:tcPr>
            <w:tcW w:w="3907" w:type="dxa"/>
          </w:tcPr>
          <w:p>
            <w:pPr>
              <w:pStyle w:val="TableParagraph"/>
              <w:spacing w:line="230" w:lineRule="atLeast"/>
              <w:ind w:left="103"/>
              <w:rPr>
                <w:sz w:val="20"/>
              </w:rPr>
            </w:pPr>
            <w:r>
              <w:rPr>
                <w:spacing w:val="-4"/>
                <w:sz w:val="20"/>
              </w:rPr>
              <w:t>Reduces fragmentation,</w:t>
            </w:r>
            <w:r>
              <w:rPr>
                <w:spacing w:val="-5"/>
                <w:sz w:val="20"/>
              </w:rPr>
              <w:t> </w:t>
            </w:r>
            <w:r>
              <w:rPr>
                <w:spacing w:val="-4"/>
                <w:sz w:val="20"/>
              </w:rPr>
              <w:t>creates seamless </w:t>
            </w:r>
            <w:r>
              <w:rPr>
                <w:sz w:val="20"/>
              </w:rPr>
              <w:t>patient pathways, single performance </w:t>
            </w:r>
            <w:r>
              <w:rPr>
                <w:spacing w:val="-2"/>
                <w:sz w:val="20"/>
              </w:rPr>
              <w:t>culture</w:t>
            </w:r>
          </w:p>
        </w:tc>
        <w:tc>
          <w:tcPr>
            <w:tcW w:w="4323" w:type="dxa"/>
          </w:tcPr>
          <w:p>
            <w:pPr>
              <w:pStyle w:val="TableParagraph"/>
              <w:spacing w:before="117"/>
              <w:ind w:left="102"/>
              <w:rPr>
                <w:sz w:val="20"/>
              </w:rPr>
            </w:pPr>
            <w:r>
              <w:rPr>
                <w:spacing w:val="-4"/>
                <w:sz w:val="20"/>
              </w:rPr>
              <w:t>Integration ladders emphasise need for strong </w:t>
            </w:r>
            <w:r>
              <w:rPr>
                <w:sz w:val="20"/>
              </w:rPr>
              <w:t>governance, shared metrics and trust.</w:t>
            </w:r>
          </w:p>
        </w:tc>
      </w:tr>
    </w:tbl>
    <w:p>
      <w:pPr>
        <w:pStyle w:val="TableParagraph"/>
        <w:spacing w:after="0"/>
        <w:rPr>
          <w:sz w:val="20"/>
        </w:rPr>
        <w:sectPr>
          <w:footerReference w:type="default" r:id="rId18"/>
          <w:pgSz w:w="16840" w:h="11910" w:orient="landscape"/>
          <w:pgMar w:header="0" w:footer="680" w:top="640" w:bottom="880" w:left="850" w:right="1133"/>
        </w:sectPr>
      </w:pPr>
    </w:p>
    <w:p>
      <w:pPr>
        <w:tabs>
          <w:tab w:pos="11038" w:val="left" w:leader="none"/>
        </w:tabs>
        <w:spacing w:line="240" w:lineRule="auto"/>
        <w:ind w:left="49" w:right="0" w:firstLine="0"/>
        <w:rPr>
          <w:position w:val="4"/>
          <w:sz w:val="20"/>
        </w:rPr>
      </w:pPr>
      <w:r>
        <w:rPr>
          <w:sz w:val="20"/>
        </w:rPr>
        <w:drawing>
          <wp:inline distT="0" distB="0" distL="0" distR="0">
            <wp:extent cx="2446561" cy="536543"/>
            <wp:effectExtent l="0" t="0" r="0" b="0"/>
            <wp:docPr id="81" name="Image 81"/>
            <wp:cNvGraphicFramePr>
              <a:graphicFrameLocks/>
            </wp:cNvGraphicFramePr>
            <a:graphic>
              <a:graphicData uri="http://schemas.openxmlformats.org/drawingml/2006/picture">
                <pic:pic>
                  <pic:nvPicPr>
                    <pic:cNvPr id="81" name="Image 81"/>
                    <pic:cNvPicPr/>
                  </pic:nvPicPr>
                  <pic:blipFill>
                    <a:blip r:embed="rId7" cstate="print"/>
                    <a:stretch>
                      <a:fillRect/>
                    </a:stretch>
                  </pic:blipFill>
                  <pic:spPr>
                    <a:xfrm>
                      <a:off x="0" y="0"/>
                      <a:ext cx="2446561" cy="536543"/>
                    </a:xfrm>
                    <a:prstGeom prst="rect">
                      <a:avLst/>
                    </a:prstGeom>
                  </pic:spPr>
                </pic:pic>
              </a:graphicData>
            </a:graphic>
          </wp:inline>
        </w:drawing>
      </w:r>
      <w:r>
        <w:rPr>
          <w:sz w:val="20"/>
        </w:rPr>
      </w:r>
      <w:r>
        <w:rPr>
          <w:sz w:val="20"/>
        </w:rPr>
        <w:tab/>
      </w:r>
      <w:r>
        <w:rPr>
          <w:position w:val="4"/>
          <w:sz w:val="20"/>
        </w:rPr>
        <w:drawing>
          <wp:inline distT="0" distB="0" distL="0" distR="0">
            <wp:extent cx="2245665" cy="510349"/>
            <wp:effectExtent l="0" t="0" r="0" b="0"/>
            <wp:docPr id="82" name="Image 82"/>
            <wp:cNvGraphicFramePr>
              <a:graphicFrameLocks/>
            </wp:cNvGraphicFramePr>
            <a:graphic>
              <a:graphicData uri="http://schemas.openxmlformats.org/drawingml/2006/picture">
                <pic:pic>
                  <pic:nvPicPr>
                    <pic:cNvPr id="82" name="Image 82"/>
                    <pic:cNvPicPr/>
                  </pic:nvPicPr>
                  <pic:blipFill>
                    <a:blip r:embed="rId8" cstate="print"/>
                    <a:stretch>
                      <a:fillRect/>
                    </a:stretch>
                  </pic:blipFill>
                  <pic:spPr>
                    <a:xfrm>
                      <a:off x="0" y="0"/>
                      <a:ext cx="2245665" cy="510349"/>
                    </a:xfrm>
                    <a:prstGeom prst="rect">
                      <a:avLst/>
                    </a:prstGeom>
                  </pic:spPr>
                </pic:pic>
              </a:graphicData>
            </a:graphic>
          </wp:inline>
        </w:drawing>
      </w:r>
      <w:r>
        <w:rPr>
          <w:position w:val="4"/>
          <w:sz w:val="20"/>
        </w:rPr>
      </w:r>
    </w:p>
    <w:p>
      <w:pPr>
        <w:pStyle w:val="BodyText"/>
        <w:spacing w:before="81"/>
        <w:rPr>
          <w:sz w:val="20"/>
        </w:rPr>
      </w:pPr>
    </w:p>
    <w:tbl>
      <w:tblPr>
        <w:tblW w:w="0" w:type="auto"/>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5"/>
        <w:gridCol w:w="1566"/>
        <w:gridCol w:w="3497"/>
        <w:gridCol w:w="3907"/>
        <w:gridCol w:w="4323"/>
      </w:tblGrid>
      <w:tr>
        <w:trPr>
          <w:trHeight w:val="230" w:hRule="atLeast"/>
        </w:trPr>
        <w:tc>
          <w:tcPr>
            <w:tcW w:w="745" w:type="dxa"/>
          </w:tcPr>
          <w:p>
            <w:pPr>
              <w:pStyle w:val="TableParagraph"/>
              <w:spacing w:line="208" w:lineRule="exact" w:before="2"/>
              <w:ind w:left="105"/>
              <w:rPr>
                <w:b/>
                <w:sz w:val="20"/>
              </w:rPr>
            </w:pPr>
            <w:r>
              <w:rPr>
                <w:b/>
                <w:spacing w:val="-2"/>
                <w:sz w:val="20"/>
              </w:rPr>
              <w:t>Level</w:t>
            </w:r>
          </w:p>
        </w:tc>
        <w:tc>
          <w:tcPr>
            <w:tcW w:w="1566" w:type="dxa"/>
          </w:tcPr>
          <w:p>
            <w:pPr>
              <w:pStyle w:val="TableParagraph"/>
              <w:spacing w:line="208" w:lineRule="exact" w:before="2"/>
              <w:ind w:left="110"/>
              <w:rPr>
                <w:b/>
                <w:sz w:val="20"/>
              </w:rPr>
            </w:pPr>
            <w:r>
              <w:rPr>
                <w:b/>
                <w:spacing w:val="-2"/>
                <w:sz w:val="20"/>
              </w:rPr>
              <w:t>Model</w:t>
            </w:r>
          </w:p>
        </w:tc>
        <w:tc>
          <w:tcPr>
            <w:tcW w:w="3497" w:type="dxa"/>
          </w:tcPr>
          <w:p>
            <w:pPr>
              <w:pStyle w:val="TableParagraph"/>
              <w:spacing w:line="208" w:lineRule="exact" w:before="2"/>
              <w:ind w:left="104"/>
              <w:rPr>
                <w:b/>
                <w:sz w:val="20"/>
              </w:rPr>
            </w:pPr>
            <w:r>
              <w:rPr>
                <w:b/>
                <w:spacing w:val="-2"/>
                <w:sz w:val="20"/>
              </w:rPr>
              <w:t>How</w:t>
            </w:r>
            <w:r>
              <w:rPr>
                <w:b/>
                <w:spacing w:val="-10"/>
                <w:sz w:val="20"/>
              </w:rPr>
              <w:t> </w:t>
            </w:r>
            <w:r>
              <w:rPr>
                <w:b/>
                <w:spacing w:val="-2"/>
                <w:sz w:val="20"/>
              </w:rPr>
              <w:t>it</w:t>
            </w:r>
            <w:r>
              <w:rPr>
                <w:b/>
                <w:spacing w:val="-11"/>
                <w:sz w:val="20"/>
              </w:rPr>
              <w:t> </w:t>
            </w:r>
            <w:r>
              <w:rPr>
                <w:b/>
                <w:spacing w:val="-2"/>
                <w:sz w:val="20"/>
              </w:rPr>
              <w:t>Works</w:t>
            </w:r>
          </w:p>
        </w:tc>
        <w:tc>
          <w:tcPr>
            <w:tcW w:w="3907" w:type="dxa"/>
          </w:tcPr>
          <w:p>
            <w:pPr>
              <w:pStyle w:val="TableParagraph"/>
              <w:spacing w:line="208" w:lineRule="exact" w:before="2"/>
              <w:ind w:left="103"/>
              <w:rPr>
                <w:b/>
                <w:sz w:val="20"/>
              </w:rPr>
            </w:pPr>
            <w:r>
              <w:rPr>
                <w:b/>
                <w:spacing w:val="-4"/>
                <w:sz w:val="20"/>
              </w:rPr>
              <w:t>Value Extraction</w:t>
            </w:r>
            <w:r>
              <w:rPr>
                <w:b/>
                <w:spacing w:val="3"/>
                <w:sz w:val="20"/>
              </w:rPr>
              <w:t> </w:t>
            </w:r>
            <w:r>
              <w:rPr>
                <w:b/>
                <w:spacing w:val="-4"/>
                <w:sz w:val="20"/>
              </w:rPr>
              <w:t>Logic</w:t>
            </w:r>
          </w:p>
        </w:tc>
        <w:tc>
          <w:tcPr>
            <w:tcW w:w="4323" w:type="dxa"/>
          </w:tcPr>
          <w:p>
            <w:pPr>
              <w:pStyle w:val="TableParagraph"/>
              <w:spacing w:line="208" w:lineRule="exact" w:before="2"/>
              <w:ind w:left="102"/>
              <w:rPr>
                <w:b/>
                <w:sz w:val="20"/>
              </w:rPr>
            </w:pPr>
            <w:r>
              <w:rPr>
                <w:b/>
                <w:spacing w:val="-2"/>
                <w:sz w:val="20"/>
              </w:rPr>
              <w:t>Evidence</w:t>
            </w:r>
            <w:r>
              <w:rPr>
                <w:b/>
                <w:spacing w:val="-11"/>
                <w:sz w:val="20"/>
              </w:rPr>
              <w:t> </w:t>
            </w:r>
            <w:r>
              <w:rPr>
                <w:b/>
                <w:spacing w:val="-2"/>
                <w:sz w:val="20"/>
              </w:rPr>
              <w:t>/</w:t>
            </w:r>
            <w:r>
              <w:rPr>
                <w:b/>
                <w:spacing w:val="-11"/>
                <w:sz w:val="20"/>
              </w:rPr>
              <w:t> </w:t>
            </w:r>
            <w:r>
              <w:rPr>
                <w:b/>
                <w:spacing w:val="-2"/>
                <w:sz w:val="20"/>
              </w:rPr>
              <w:t>Notes</w:t>
            </w:r>
          </w:p>
        </w:tc>
      </w:tr>
      <w:tr>
        <w:trPr>
          <w:trHeight w:val="460" w:hRule="atLeast"/>
        </w:trPr>
        <w:tc>
          <w:tcPr>
            <w:tcW w:w="745" w:type="dxa"/>
          </w:tcPr>
          <w:p>
            <w:pPr>
              <w:pStyle w:val="TableParagraph"/>
              <w:rPr>
                <w:rFonts w:ascii="Times New Roman"/>
                <w:sz w:val="18"/>
              </w:rPr>
            </w:pPr>
          </w:p>
        </w:tc>
        <w:tc>
          <w:tcPr>
            <w:tcW w:w="1566" w:type="dxa"/>
          </w:tcPr>
          <w:p>
            <w:pPr>
              <w:pStyle w:val="TableParagraph"/>
              <w:spacing w:line="230" w:lineRule="atLeast"/>
              <w:ind w:left="110" w:right="436"/>
              <w:rPr>
                <w:sz w:val="20"/>
              </w:rPr>
            </w:pPr>
            <w:r>
              <w:rPr>
                <w:spacing w:val="-4"/>
                <w:sz w:val="20"/>
              </w:rPr>
              <w:t>Operational Team</w:t>
            </w:r>
          </w:p>
        </w:tc>
        <w:tc>
          <w:tcPr>
            <w:tcW w:w="3497" w:type="dxa"/>
          </w:tcPr>
          <w:p>
            <w:pPr>
              <w:pStyle w:val="TableParagraph"/>
              <w:rPr>
                <w:rFonts w:ascii="Times New Roman"/>
                <w:sz w:val="18"/>
              </w:rPr>
            </w:pPr>
          </w:p>
        </w:tc>
        <w:tc>
          <w:tcPr>
            <w:tcW w:w="3907" w:type="dxa"/>
          </w:tcPr>
          <w:p>
            <w:pPr>
              <w:pStyle w:val="TableParagraph"/>
              <w:rPr>
                <w:rFonts w:ascii="Times New Roman"/>
                <w:sz w:val="18"/>
              </w:rPr>
            </w:pPr>
          </w:p>
        </w:tc>
        <w:tc>
          <w:tcPr>
            <w:tcW w:w="4323" w:type="dxa"/>
          </w:tcPr>
          <w:p>
            <w:pPr>
              <w:pStyle w:val="TableParagraph"/>
              <w:rPr>
                <w:rFonts w:ascii="Times New Roman"/>
                <w:sz w:val="18"/>
              </w:rPr>
            </w:pPr>
          </w:p>
        </w:tc>
      </w:tr>
      <w:tr>
        <w:trPr>
          <w:trHeight w:val="1150" w:hRule="atLeast"/>
        </w:trPr>
        <w:tc>
          <w:tcPr>
            <w:tcW w:w="745" w:type="dxa"/>
          </w:tcPr>
          <w:p>
            <w:pPr>
              <w:pStyle w:val="TableParagraph"/>
              <w:rPr>
                <w:sz w:val="20"/>
              </w:rPr>
            </w:pPr>
          </w:p>
          <w:p>
            <w:pPr>
              <w:pStyle w:val="TableParagraph"/>
              <w:spacing w:before="3"/>
              <w:rPr>
                <w:sz w:val="20"/>
              </w:rPr>
            </w:pPr>
          </w:p>
          <w:p>
            <w:pPr>
              <w:pStyle w:val="TableParagraph"/>
              <w:ind w:left="105"/>
              <w:rPr>
                <w:sz w:val="20"/>
              </w:rPr>
            </w:pPr>
            <w:r>
              <w:rPr>
                <w:spacing w:val="-10"/>
                <w:sz w:val="20"/>
              </w:rPr>
              <w:t>8</w:t>
            </w:r>
          </w:p>
        </w:tc>
        <w:tc>
          <w:tcPr>
            <w:tcW w:w="1566" w:type="dxa"/>
          </w:tcPr>
          <w:p>
            <w:pPr>
              <w:pStyle w:val="TableParagraph"/>
              <w:spacing w:before="118"/>
              <w:rPr>
                <w:sz w:val="20"/>
              </w:rPr>
            </w:pPr>
          </w:p>
          <w:p>
            <w:pPr>
              <w:pStyle w:val="TableParagraph"/>
              <w:ind w:left="110" w:right="277"/>
              <w:rPr>
                <w:sz w:val="20"/>
              </w:rPr>
            </w:pPr>
            <w:r>
              <w:rPr>
                <w:sz w:val="20"/>
              </w:rPr>
              <w:t>Merger</w:t>
            </w:r>
            <w:r>
              <w:rPr>
                <w:spacing w:val="-10"/>
                <w:sz w:val="20"/>
              </w:rPr>
              <w:t> </w:t>
            </w:r>
            <w:r>
              <w:rPr>
                <w:sz w:val="20"/>
              </w:rPr>
              <w:t>(One </w:t>
            </w:r>
            <w:r>
              <w:rPr>
                <w:spacing w:val="-4"/>
                <w:sz w:val="20"/>
              </w:rPr>
              <w:t>Organisation)</w:t>
            </w:r>
          </w:p>
        </w:tc>
        <w:tc>
          <w:tcPr>
            <w:tcW w:w="3497" w:type="dxa"/>
          </w:tcPr>
          <w:p>
            <w:pPr>
              <w:pStyle w:val="TableParagraph"/>
              <w:spacing w:before="2"/>
              <w:ind w:left="104"/>
              <w:rPr>
                <w:sz w:val="20"/>
              </w:rPr>
            </w:pPr>
            <w:r>
              <w:rPr>
                <w:sz w:val="20"/>
              </w:rPr>
              <w:t>Full organisational integration under </w:t>
            </w:r>
            <w:r>
              <w:rPr>
                <w:spacing w:val="-4"/>
                <w:sz w:val="20"/>
              </w:rPr>
              <w:t>single</w:t>
            </w:r>
            <w:r>
              <w:rPr>
                <w:spacing w:val="-5"/>
                <w:sz w:val="20"/>
              </w:rPr>
              <w:t> </w:t>
            </w:r>
            <w:r>
              <w:rPr>
                <w:spacing w:val="-4"/>
                <w:sz w:val="20"/>
              </w:rPr>
              <w:t>legal entity,</w:t>
            </w:r>
            <w:r>
              <w:rPr>
                <w:spacing w:val="-5"/>
                <w:sz w:val="20"/>
              </w:rPr>
              <w:t> </w:t>
            </w:r>
            <w:r>
              <w:rPr>
                <w:spacing w:val="-4"/>
                <w:sz w:val="20"/>
              </w:rPr>
              <w:t>outwith</w:t>
            </w:r>
            <w:r>
              <w:rPr>
                <w:spacing w:val="-7"/>
                <w:sz w:val="20"/>
              </w:rPr>
              <w:t> </w:t>
            </w:r>
            <w:r>
              <w:rPr>
                <w:spacing w:val="-4"/>
                <w:sz w:val="20"/>
              </w:rPr>
              <w:t>the regional </w:t>
            </w:r>
            <w:r>
              <w:rPr>
                <w:sz w:val="20"/>
              </w:rPr>
              <w:t>scope</w:t>
            </w:r>
            <w:r>
              <w:rPr>
                <w:spacing w:val="-13"/>
                <w:sz w:val="20"/>
              </w:rPr>
              <w:t> </w:t>
            </w:r>
            <w:r>
              <w:rPr>
                <w:sz w:val="20"/>
              </w:rPr>
              <w:t>for</w:t>
            </w:r>
            <w:r>
              <w:rPr>
                <w:spacing w:val="-14"/>
                <w:sz w:val="20"/>
              </w:rPr>
              <w:t> </w:t>
            </w:r>
            <w:r>
              <w:rPr>
                <w:sz w:val="20"/>
              </w:rPr>
              <w:t>consideration</w:t>
            </w:r>
            <w:r>
              <w:rPr>
                <w:spacing w:val="-13"/>
                <w:sz w:val="20"/>
              </w:rPr>
              <w:t> </w:t>
            </w:r>
            <w:r>
              <w:rPr>
                <w:sz w:val="20"/>
              </w:rPr>
              <w:t>as</w:t>
            </w:r>
            <w:r>
              <w:rPr>
                <w:spacing w:val="-12"/>
                <w:sz w:val="20"/>
              </w:rPr>
              <w:t> </w:t>
            </w:r>
            <w:r>
              <w:rPr>
                <w:sz w:val="20"/>
              </w:rPr>
              <w:t>this</w:t>
            </w:r>
            <w:r>
              <w:rPr>
                <w:spacing w:val="-11"/>
                <w:sz w:val="20"/>
              </w:rPr>
              <w:t> </w:t>
            </w:r>
            <w:r>
              <w:rPr>
                <w:sz w:val="20"/>
              </w:rPr>
              <w:t>would be a Welsh Government policy</w:t>
            </w:r>
          </w:p>
          <w:p>
            <w:pPr>
              <w:pStyle w:val="TableParagraph"/>
              <w:spacing w:line="208" w:lineRule="exact" w:before="1"/>
              <w:ind w:left="104"/>
              <w:rPr>
                <w:sz w:val="20"/>
              </w:rPr>
            </w:pPr>
            <w:r>
              <w:rPr>
                <w:spacing w:val="-2"/>
                <w:sz w:val="20"/>
              </w:rPr>
              <w:t>decision.</w:t>
            </w:r>
          </w:p>
        </w:tc>
        <w:tc>
          <w:tcPr>
            <w:tcW w:w="3907" w:type="dxa"/>
          </w:tcPr>
          <w:p>
            <w:pPr>
              <w:pStyle w:val="TableParagraph"/>
              <w:spacing w:before="2"/>
              <w:rPr>
                <w:sz w:val="20"/>
              </w:rPr>
            </w:pPr>
          </w:p>
          <w:p>
            <w:pPr>
              <w:pStyle w:val="TableParagraph"/>
              <w:ind w:left="103" w:right="446"/>
              <w:rPr>
                <w:sz w:val="20"/>
              </w:rPr>
            </w:pPr>
            <w:r>
              <w:rPr>
                <w:sz w:val="20"/>
              </w:rPr>
              <w:t>Deepest integration, single operating </w:t>
            </w:r>
            <w:r>
              <w:rPr>
                <w:spacing w:val="-2"/>
                <w:sz w:val="20"/>
              </w:rPr>
              <w:t>model;</w:t>
            </w:r>
            <w:r>
              <w:rPr>
                <w:spacing w:val="-12"/>
                <w:sz w:val="20"/>
              </w:rPr>
              <w:t> </w:t>
            </w:r>
            <w:r>
              <w:rPr>
                <w:spacing w:val="-2"/>
                <w:sz w:val="20"/>
              </w:rPr>
              <w:t>potential</w:t>
            </w:r>
            <w:r>
              <w:rPr>
                <w:spacing w:val="-12"/>
                <w:sz w:val="20"/>
              </w:rPr>
              <w:t> </w:t>
            </w:r>
            <w:r>
              <w:rPr>
                <w:spacing w:val="-2"/>
                <w:sz w:val="20"/>
              </w:rPr>
              <w:t>scale</w:t>
            </w:r>
            <w:r>
              <w:rPr>
                <w:spacing w:val="-12"/>
                <w:sz w:val="20"/>
              </w:rPr>
              <w:t> </w:t>
            </w:r>
            <w:r>
              <w:rPr>
                <w:spacing w:val="-2"/>
                <w:sz w:val="20"/>
              </w:rPr>
              <w:t>benefits</w:t>
            </w:r>
            <w:r>
              <w:rPr>
                <w:spacing w:val="-12"/>
                <w:sz w:val="20"/>
              </w:rPr>
              <w:t> </w:t>
            </w:r>
            <w:r>
              <w:rPr>
                <w:spacing w:val="-2"/>
                <w:sz w:val="20"/>
              </w:rPr>
              <w:t>but</w:t>
            </w:r>
            <w:r>
              <w:rPr>
                <w:spacing w:val="-12"/>
                <w:sz w:val="20"/>
              </w:rPr>
              <w:t> </w:t>
            </w:r>
            <w:r>
              <w:rPr>
                <w:spacing w:val="-2"/>
                <w:sz w:val="20"/>
              </w:rPr>
              <w:t>high </w:t>
            </w:r>
            <w:r>
              <w:rPr>
                <w:sz w:val="20"/>
              </w:rPr>
              <w:t>transition cost and risk</w:t>
            </w:r>
          </w:p>
        </w:tc>
        <w:tc>
          <w:tcPr>
            <w:tcW w:w="4323" w:type="dxa"/>
          </w:tcPr>
          <w:p>
            <w:pPr>
              <w:pStyle w:val="TableParagraph"/>
              <w:spacing w:before="2"/>
              <w:rPr>
                <w:sz w:val="20"/>
              </w:rPr>
            </w:pPr>
          </w:p>
          <w:p>
            <w:pPr>
              <w:pStyle w:val="TableParagraph"/>
              <w:ind w:left="102" w:right="578"/>
              <w:rPr>
                <w:sz w:val="20"/>
              </w:rPr>
            </w:pPr>
            <w:r>
              <w:rPr>
                <w:spacing w:val="-4"/>
                <w:sz w:val="20"/>
              </w:rPr>
              <w:t>Merger</w:t>
            </w:r>
            <w:r>
              <w:rPr>
                <w:spacing w:val="-5"/>
                <w:sz w:val="20"/>
              </w:rPr>
              <w:t> </w:t>
            </w:r>
            <w:r>
              <w:rPr>
                <w:spacing w:val="-4"/>
                <w:sz w:val="20"/>
              </w:rPr>
              <w:t>evidence shows mixed operational </w:t>
            </w:r>
            <w:r>
              <w:rPr>
                <w:sz w:val="20"/>
              </w:rPr>
              <w:t>benefits</w:t>
            </w:r>
            <w:r>
              <w:rPr>
                <w:spacing w:val="-14"/>
                <w:sz w:val="20"/>
              </w:rPr>
              <w:t> </w:t>
            </w:r>
            <w:r>
              <w:rPr>
                <w:sz w:val="20"/>
              </w:rPr>
              <w:t>and</w:t>
            </w:r>
            <w:r>
              <w:rPr>
                <w:spacing w:val="-14"/>
                <w:sz w:val="20"/>
              </w:rPr>
              <w:t> </w:t>
            </w:r>
            <w:r>
              <w:rPr>
                <w:sz w:val="20"/>
              </w:rPr>
              <w:t>substantial</w:t>
            </w:r>
            <w:r>
              <w:rPr>
                <w:spacing w:val="-14"/>
                <w:sz w:val="20"/>
              </w:rPr>
              <w:t> </w:t>
            </w:r>
            <w:r>
              <w:rPr>
                <w:sz w:val="20"/>
              </w:rPr>
              <w:t>integration</w:t>
            </w:r>
            <w:r>
              <w:rPr>
                <w:spacing w:val="-14"/>
                <w:sz w:val="20"/>
              </w:rPr>
              <w:t> </w:t>
            </w:r>
            <w:r>
              <w:rPr>
                <w:sz w:val="20"/>
              </w:rPr>
              <w:t>costs; careful case justification is critical.</w:t>
            </w:r>
          </w:p>
        </w:tc>
      </w:tr>
    </w:tbl>
    <w:p>
      <w:pPr>
        <w:pStyle w:val="BodyText"/>
        <w:spacing w:before="3"/>
        <w:rPr>
          <w:sz w:val="20"/>
        </w:rPr>
      </w:pPr>
    </w:p>
    <w:p>
      <w:pPr>
        <w:pStyle w:val="ListParagraph"/>
        <w:numPr>
          <w:ilvl w:val="0"/>
          <w:numId w:val="9"/>
        </w:numPr>
        <w:tabs>
          <w:tab w:pos="769" w:val="left" w:leader="none"/>
        </w:tabs>
        <w:spacing w:line="240" w:lineRule="auto" w:before="0" w:after="0"/>
        <w:ind w:left="769" w:right="0" w:hanging="359"/>
        <w:jc w:val="left"/>
        <w:rPr>
          <w:b/>
          <w:sz w:val="20"/>
        </w:rPr>
      </w:pPr>
      <w:r>
        <w:rPr>
          <w:b/>
          <w:spacing w:val="-2"/>
          <w:sz w:val="20"/>
        </w:rPr>
        <w:t>Value</w:t>
      </w:r>
      <w:r>
        <w:rPr>
          <w:b/>
          <w:spacing w:val="-13"/>
          <w:sz w:val="20"/>
        </w:rPr>
        <w:t> </w:t>
      </w:r>
      <w:r>
        <w:rPr>
          <w:b/>
          <w:spacing w:val="-2"/>
          <w:sz w:val="20"/>
        </w:rPr>
        <w:t>logic</w:t>
      </w:r>
    </w:p>
    <w:p>
      <w:pPr>
        <w:spacing w:before="180"/>
        <w:ind w:left="50" w:right="0" w:firstLine="0"/>
        <w:jc w:val="left"/>
        <w:rPr>
          <w:sz w:val="20"/>
        </w:rPr>
      </w:pPr>
      <w:r>
        <w:rPr>
          <w:color w:val="232323"/>
          <w:sz w:val="20"/>
        </w:rPr>
        <w:t>Value</w:t>
      </w:r>
      <w:r>
        <w:rPr>
          <w:color w:val="232323"/>
          <w:spacing w:val="-8"/>
          <w:sz w:val="20"/>
        </w:rPr>
        <w:t> </w:t>
      </w:r>
      <w:r>
        <w:rPr>
          <w:color w:val="232323"/>
          <w:sz w:val="20"/>
        </w:rPr>
        <w:t>is</w:t>
      </w:r>
      <w:r>
        <w:rPr>
          <w:color w:val="232323"/>
          <w:spacing w:val="-4"/>
          <w:sz w:val="20"/>
        </w:rPr>
        <w:t> </w:t>
      </w:r>
      <w:r>
        <w:rPr>
          <w:color w:val="232323"/>
          <w:sz w:val="20"/>
        </w:rPr>
        <w:t>extracted</w:t>
      </w:r>
      <w:r>
        <w:rPr>
          <w:color w:val="232323"/>
          <w:spacing w:val="-5"/>
          <w:sz w:val="20"/>
        </w:rPr>
        <w:t> </w:t>
      </w:r>
      <w:r>
        <w:rPr>
          <w:color w:val="232323"/>
          <w:sz w:val="20"/>
        </w:rPr>
        <w:t>through</w:t>
      </w:r>
      <w:r>
        <w:rPr>
          <w:color w:val="232323"/>
          <w:spacing w:val="-6"/>
          <w:sz w:val="20"/>
        </w:rPr>
        <w:t> </w:t>
      </w:r>
      <w:r>
        <w:rPr>
          <w:color w:val="232323"/>
          <w:sz w:val="20"/>
        </w:rPr>
        <w:t>the following</w:t>
      </w:r>
      <w:r>
        <w:rPr>
          <w:color w:val="232323"/>
          <w:spacing w:val="-5"/>
          <w:sz w:val="20"/>
        </w:rPr>
        <w:t> </w:t>
      </w:r>
      <w:r>
        <w:rPr>
          <w:color w:val="232323"/>
          <w:sz w:val="20"/>
        </w:rPr>
        <w:t>key</w:t>
      </w:r>
      <w:r>
        <w:rPr>
          <w:color w:val="232323"/>
          <w:spacing w:val="-4"/>
          <w:sz w:val="20"/>
        </w:rPr>
        <w:t> </w:t>
      </w:r>
      <w:r>
        <w:rPr>
          <w:color w:val="232323"/>
          <w:sz w:val="20"/>
        </w:rPr>
        <w:t>opportunities</w:t>
      </w:r>
      <w:r>
        <w:rPr>
          <w:color w:val="232323"/>
          <w:spacing w:val="1"/>
          <w:sz w:val="20"/>
        </w:rPr>
        <w:t> </w:t>
      </w:r>
      <w:r>
        <w:rPr>
          <w:color w:val="232323"/>
          <w:sz w:val="20"/>
        </w:rPr>
        <w:t>across</w:t>
      </w:r>
      <w:r>
        <w:rPr>
          <w:color w:val="232323"/>
          <w:spacing w:val="-4"/>
          <w:sz w:val="20"/>
        </w:rPr>
        <w:t> </w:t>
      </w:r>
      <w:r>
        <w:rPr>
          <w:color w:val="232323"/>
          <w:sz w:val="20"/>
        </w:rPr>
        <w:t>the</w:t>
      </w:r>
      <w:r>
        <w:rPr>
          <w:color w:val="232323"/>
          <w:spacing w:val="-5"/>
          <w:sz w:val="20"/>
        </w:rPr>
        <w:t> </w:t>
      </w:r>
      <w:r>
        <w:rPr>
          <w:color w:val="232323"/>
          <w:spacing w:val="-2"/>
          <w:sz w:val="20"/>
        </w:rPr>
        <w:t>spectrum:</w:t>
      </w:r>
    </w:p>
    <w:p>
      <w:pPr>
        <w:pStyle w:val="BodyText"/>
        <w:spacing w:before="9"/>
        <w:rPr>
          <w:sz w:val="19"/>
        </w:rPr>
      </w:pPr>
    </w:p>
    <w:tbl>
      <w:tblPr>
        <w:tblW w:w="0" w:type="auto"/>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1"/>
        <w:gridCol w:w="11834"/>
      </w:tblGrid>
      <w:tr>
        <w:trPr>
          <w:trHeight w:val="230" w:hRule="atLeast"/>
        </w:trPr>
        <w:tc>
          <w:tcPr>
            <w:tcW w:w="2121" w:type="dxa"/>
          </w:tcPr>
          <w:p>
            <w:pPr>
              <w:pStyle w:val="TableParagraph"/>
              <w:spacing w:line="208" w:lineRule="exact" w:before="2"/>
              <w:ind w:left="105"/>
              <w:rPr>
                <w:b/>
                <w:sz w:val="20"/>
              </w:rPr>
            </w:pPr>
            <w:r>
              <w:rPr>
                <w:b/>
                <w:color w:val="232323"/>
                <w:spacing w:val="-2"/>
                <w:sz w:val="20"/>
              </w:rPr>
              <w:t>Theme</w:t>
            </w:r>
          </w:p>
        </w:tc>
        <w:tc>
          <w:tcPr>
            <w:tcW w:w="11834" w:type="dxa"/>
          </w:tcPr>
          <w:p>
            <w:pPr>
              <w:pStyle w:val="TableParagraph"/>
              <w:spacing w:line="208" w:lineRule="exact" w:before="2"/>
              <w:ind w:left="109"/>
              <w:rPr>
                <w:b/>
                <w:sz w:val="20"/>
              </w:rPr>
            </w:pPr>
            <w:r>
              <w:rPr>
                <w:b/>
                <w:color w:val="232323"/>
                <w:spacing w:val="-2"/>
                <w:sz w:val="20"/>
              </w:rPr>
              <w:t>Opportunity</w:t>
            </w:r>
          </w:p>
        </w:tc>
      </w:tr>
      <w:tr>
        <w:trPr>
          <w:trHeight w:val="230" w:hRule="atLeast"/>
        </w:trPr>
        <w:tc>
          <w:tcPr>
            <w:tcW w:w="2121" w:type="dxa"/>
          </w:tcPr>
          <w:p>
            <w:pPr>
              <w:pStyle w:val="TableParagraph"/>
              <w:spacing w:line="208" w:lineRule="exact" w:before="2"/>
              <w:ind w:left="105"/>
              <w:rPr>
                <w:sz w:val="20"/>
              </w:rPr>
            </w:pPr>
            <w:r>
              <w:rPr>
                <w:color w:val="232323"/>
                <w:sz w:val="20"/>
              </w:rPr>
              <w:t>Patient</w:t>
            </w:r>
            <w:r>
              <w:rPr>
                <w:color w:val="232323"/>
                <w:spacing w:val="-9"/>
                <w:sz w:val="20"/>
              </w:rPr>
              <w:t> </w:t>
            </w:r>
            <w:r>
              <w:rPr>
                <w:color w:val="232323"/>
                <w:spacing w:val="-2"/>
                <w:sz w:val="20"/>
              </w:rPr>
              <w:t>outcomes</w:t>
            </w:r>
          </w:p>
        </w:tc>
        <w:tc>
          <w:tcPr>
            <w:tcW w:w="11834" w:type="dxa"/>
          </w:tcPr>
          <w:p>
            <w:pPr>
              <w:pStyle w:val="TableParagraph"/>
              <w:spacing w:line="208" w:lineRule="exact" w:before="2"/>
              <w:ind w:left="109"/>
              <w:rPr>
                <w:sz w:val="20"/>
              </w:rPr>
            </w:pPr>
            <w:r>
              <w:rPr>
                <w:color w:val="232323"/>
                <w:sz w:val="20"/>
              </w:rPr>
              <w:t>How</w:t>
            </w:r>
            <w:r>
              <w:rPr>
                <w:color w:val="232323"/>
                <w:spacing w:val="-7"/>
                <w:sz w:val="20"/>
              </w:rPr>
              <w:t> </w:t>
            </w:r>
            <w:r>
              <w:rPr>
                <w:color w:val="232323"/>
                <w:sz w:val="20"/>
              </w:rPr>
              <w:t>does</w:t>
            </w:r>
            <w:r>
              <w:rPr>
                <w:color w:val="232323"/>
                <w:spacing w:val="-5"/>
                <w:sz w:val="20"/>
              </w:rPr>
              <w:t> </w:t>
            </w:r>
            <w:r>
              <w:rPr>
                <w:color w:val="232323"/>
                <w:sz w:val="20"/>
              </w:rPr>
              <w:t>regional</w:t>
            </w:r>
            <w:r>
              <w:rPr>
                <w:color w:val="232323"/>
                <w:spacing w:val="-4"/>
                <w:sz w:val="20"/>
              </w:rPr>
              <w:t> </w:t>
            </w:r>
            <w:r>
              <w:rPr>
                <w:color w:val="232323"/>
                <w:sz w:val="20"/>
              </w:rPr>
              <w:t>working</w:t>
            </w:r>
            <w:r>
              <w:rPr>
                <w:color w:val="232323"/>
                <w:spacing w:val="-6"/>
                <w:sz w:val="20"/>
              </w:rPr>
              <w:t> </w:t>
            </w:r>
            <w:r>
              <w:rPr>
                <w:color w:val="232323"/>
                <w:sz w:val="20"/>
              </w:rPr>
              <w:t>improve</w:t>
            </w:r>
            <w:r>
              <w:rPr>
                <w:color w:val="232323"/>
                <w:spacing w:val="-6"/>
                <w:sz w:val="20"/>
              </w:rPr>
              <w:t> </w:t>
            </w:r>
            <w:r>
              <w:rPr>
                <w:color w:val="232323"/>
                <w:sz w:val="20"/>
              </w:rPr>
              <w:t>patient</w:t>
            </w:r>
            <w:r>
              <w:rPr>
                <w:color w:val="232323"/>
                <w:spacing w:val="-6"/>
                <w:sz w:val="20"/>
              </w:rPr>
              <w:t> </w:t>
            </w:r>
            <w:r>
              <w:rPr>
                <w:color w:val="232323"/>
                <w:sz w:val="20"/>
              </w:rPr>
              <w:t>outcomes</w:t>
            </w:r>
            <w:r>
              <w:rPr>
                <w:color w:val="232323"/>
                <w:spacing w:val="-1"/>
                <w:sz w:val="20"/>
              </w:rPr>
              <w:t> </w:t>
            </w:r>
            <w:r>
              <w:rPr>
                <w:color w:val="232323"/>
                <w:sz w:val="20"/>
              </w:rPr>
              <w:t>by designing</w:t>
            </w:r>
            <w:r>
              <w:rPr>
                <w:color w:val="232323"/>
                <w:spacing w:val="-6"/>
                <w:sz w:val="20"/>
              </w:rPr>
              <w:t> </w:t>
            </w:r>
            <w:r>
              <w:rPr>
                <w:color w:val="232323"/>
                <w:sz w:val="20"/>
              </w:rPr>
              <w:t>services</w:t>
            </w:r>
            <w:r>
              <w:rPr>
                <w:color w:val="232323"/>
                <w:spacing w:val="-5"/>
                <w:sz w:val="20"/>
              </w:rPr>
              <w:t> </w:t>
            </w:r>
            <w:r>
              <w:rPr>
                <w:color w:val="232323"/>
                <w:sz w:val="20"/>
              </w:rPr>
              <w:t>around</w:t>
            </w:r>
            <w:r>
              <w:rPr>
                <w:color w:val="232323"/>
                <w:spacing w:val="-6"/>
                <w:sz w:val="20"/>
              </w:rPr>
              <w:t> </w:t>
            </w:r>
            <w:r>
              <w:rPr>
                <w:color w:val="232323"/>
                <w:sz w:val="20"/>
              </w:rPr>
              <w:t>patient</w:t>
            </w:r>
            <w:r>
              <w:rPr>
                <w:color w:val="232323"/>
                <w:spacing w:val="-6"/>
                <w:sz w:val="20"/>
              </w:rPr>
              <w:t> </w:t>
            </w:r>
            <w:r>
              <w:rPr>
                <w:color w:val="232323"/>
                <w:spacing w:val="-2"/>
                <w:sz w:val="20"/>
              </w:rPr>
              <w:t>need?</w:t>
            </w:r>
          </w:p>
        </w:tc>
      </w:tr>
      <w:tr>
        <w:trPr>
          <w:trHeight w:val="230" w:hRule="atLeast"/>
        </w:trPr>
        <w:tc>
          <w:tcPr>
            <w:tcW w:w="2121" w:type="dxa"/>
          </w:tcPr>
          <w:p>
            <w:pPr>
              <w:pStyle w:val="TableParagraph"/>
              <w:spacing w:line="208" w:lineRule="exact" w:before="3"/>
              <w:ind w:left="105"/>
              <w:rPr>
                <w:sz w:val="20"/>
              </w:rPr>
            </w:pPr>
            <w:r>
              <w:rPr>
                <w:color w:val="232323"/>
                <w:sz w:val="20"/>
              </w:rPr>
              <w:t>Efficiency</w:t>
            </w:r>
            <w:r>
              <w:rPr>
                <w:color w:val="232323"/>
                <w:spacing w:val="-4"/>
                <w:sz w:val="20"/>
              </w:rPr>
              <w:t> </w:t>
            </w:r>
            <w:r>
              <w:rPr>
                <w:color w:val="232323"/>
                <w:sz w:val="20"/>
              </w:rPr>
              <w:t>&amp;</w:t>
            </w:r>
            <w:r>
              <w:rPr>
                <w:color w:val="232323"/>
                <w:spacing w:val="-2"/>
                <w:sz w:val="20"/>
              </w:rPr>
              <w:t> Scale</w:t>
            </w:r>
          </w:p>
        </w:tc>
        <w:tc>
          <w:tcPr>
            <w:tcW w:w="11834" w:type="dxa"/>
          </w:tcPr>
          <w:p>
            <w:pPr>
              <w:pStyle w:val="TableParagraph"/>
              <w:spacing w:line="208" w:lineRule="exact" w:before="3"/>
              <w:ind w:left="109"/>
              <w:rPr>
                <w:sz w:val="20"/>
              </w:rPr>
            </w:pPr>
            <w:r>
              <w:rPr>
                <w:color w:val="232323"/>
                <w:sz w:val="20"/>
              </w:rPr>
              <w:t>As</w:t>
            </w:r>
            <w:r>
              <w:rPr>
                <w:color w:val="232323"/>
                <w:spacing w:val="-7"/>
                <w:sz w:val="20"/>
              </w:rPr>
              <w:t> </w:t>
            </w:r>
            <w:r>
              <w:rPr>
                <w:color w:val="232323"/>
                <w:sz w:val="20"/>
              </w:rPr>
              <w:t>integration</w:t>
            </w:r>
            <w:r>
              <w:rPr>
                <w:color w:val="232323"/>
                <w:spacing w:val="-5"/>
                <w:sz w:val="20"/>
              </w:rPr>
              <w:t> </w:t>
            </w:r>
            <w:r>
              <w:rPr>
                <w:color w:val="232323"/>
                <w:sz w:val="20"/>
              </w:rPr>
              <w:t>deepens, unit</w:t>
            </w:r>
            <w:r>
              <w:rPr>
                <w:color w:val="232323"/>
                <w:spacing w:val="-5"/>
                <w:sz w:val="20"/>
              </w:rPr>
              <w:t> </w:t>
            </w:r>
            <w:r>
              <w:rPr>
                <w:color w:val="232323"/>
                <w:sz w:val="20"/>
              </w:rPr>
              <w:t>cost reduction</w:t>
            </w:r>
            <w:r>
              <w:rPr>
                <w:color w:val="232323"/>
                <w:spacing w:val="-6"/>
                <w:sz w:val="20"/>
              </w:rPr>
              <w:t> </w:t>
            </w:r>
            <w:r>
              <w:rPr>
                <w:color w:val="232323"/>
                <w:sz w:val="20"/>
              </w:rPr>
              <w:t>via</w:t>
            </w:r>
            <w:r>
              <w:rPr>
                <w:color w:val="232323"/>
                <w:spacing w:val="-6"/>
                <w:sz w:val="20"/>
              </w:rPr>
              <w:t> </w:t>
            </w:r>
            <w:r>
              <w:rPr>
                <w:color w:val="232323"/>
                <w:sz w:val="20"/>
              </w:rPr>
              <w:t>scale,</w:t>
            </w:r>
            <w:r>
              <w:rPr>
                <w:color w:val="232323"/>
                <w:spacing w:val="-5"/>
                <w:sz w:val="20"/>
              </w:rPr>
              <w:t> </w:t>
            </w:r>
            <w:r>
              <w:rPr>
                <w:color w:val="232323"/>
                <w:sz w:val="20"/>
              </w:rPr>
              <w:t>better</w:t>
            </w:r>
            <w:r>
              <w:rPr>
                <w:color w:val="232323"/>
                <w:spacing w:val="-5"/>
                <w:sz w:val="20"/>
              </w:rPr>
              <w:t> </w:t>
            </w:r>
            <w:r>
              <w:rPr>
                <w:color w:val="232323"/>
                <w:sz w:val="20"/>
              </w:rPr>
              <w:t>utilisation of</w:t>
            </w:r>
            <w:r>
              <w:rPr>
                <w:color w:val="232323"/>
                <w:spacing w:val="-6"/>
                <w:sz w:val="20"/>
              </w:rPr>
              <w:t> </w:t>
            </w:r>
            <w:r>
              <w:rPr>
                <w:color w:val="232323"/>
                <w:sz w:val="20"/>
              </w:rPr>
              <w:t>workforce,</w:t>
            </w:r>
            <w:r>
              <w:rPr>
                <w:color w:val="232323"/>
                <w:spacing w:val="-5"/>
                <w:sz w:val="20"/>
              </w:rPr>
              <w:t> </w:t>
            </w:r>
            <w:r>
              <w:rPr>
                <w:color w:val="232323"/>
                <w:sz w:val="20"/>
              </w:rPr>
              <w:t>and</w:t>
            </w:r>
            <w:r>
              <w:rPr>
                <w:color w:val="232323"/>
                <w:spacing w:val="-1"/>
                <w:sz w:val="20"/>
              </w:rPr>
              <w:t> </w:t>
            </w:r>
            <w:r>
              <w:rPr>
                <w:color w:val="232323"/>
                <w:sz w:val="20"/>
              </w:rPr>
              <w:t>reduced</w:t>
            </w:r>
            <w:r>
              <w:rPr>
                <w:color w:val="232323"/>
                <w:spacing w:val="-6"/>
                <w:sz w:val="20"/>
              </w:rPr>
              <w:t> </w:t>
            </w:r>
            <w:r>
              <w:rPr>
                <w:color w:val="232323"/>
                <w:sz w:val="20"/>
              </w:rPr>
              <w:t>duplication in</w:t>
            </w:r>
            <w:r>
              <w:rPr>
                <w:color w:val="232323"/>
                <w:spacing w:val="-6"/>
                <w:sz w:val="20"/>
              </w:rPr>
              <w:t> </w:t>
            </w:r>
            <w:r>
              <w:rPr>
                <w:color w:val="232323"/>
                <w:sz w:val="20"/>
              </w:rPr>
              <w:t>corporate</w:t>
            </w:r>
            <w:r>
              <w:rPr>
                <w:color w:val="232323"/>
                <w:spacing w:val="-5"/>
                <w:sz w:val="20"/>
              </w:rPr>
              <w:t> </w:t>
            </w:r>
            <w:r>
              <w:rPr>
                <w:color w:val="232323"/>
                <w:spacing w:val="-2"/>
                <w:sz w:val="20"/>
              </w:rPr>
              <w:t>functions.</w:t>
            </w:r>
          </w:p>
        </w:tc>
      </w:tr>
      <w:tr>
        <w:trPr>
          <w:trHeight w:val="460" w:hRule="atLeast"/>
        </w:trPr>
        <w:tc>
          <w:tcPr>
            <w:tcW w:w="2121" w:type="dxa"/>
          </w:tcPr>
          <w:p>
            <w:pPr>
              <w:pStyle w:val="TableParagraph"/>
              <w:spacing w:line="230" w:lineRule="atLeast"/>
              <w:ind w:left="105"/>
              <w:rPr>
                <w:sz w:val="20"/>
              </w:rPr>
            </w:pPr>
            <w:r>
              <w:rPr>
                <w:color w:val="232323"/>
                <w:sz w:val="20"/>
              </w:rPr>
              <w:t>Outcomes &amp; </w:t>
            </w:r>
            <w:r>
              <w:rPr>
                <w:color w:val="232323"/>
                <w:spacing w:val="-2"/>
                <w:sz w:val="20"/>
              </w:rPr>
              <w:t>Standardisation</w:t>
            </w:r>
          </w:p>
        </w:tc>
        <w:tc>
          <w:tcPr>
            <w:tcW w:w="11834" w:type="dxa"/>
          </w:tcPr>
          <w:p>
            <w:pPr>
              <w:pStyle w:val="TableParagraph"/>
              <w:spacing w:line="230" w:lineRule="atLeast"/>
              <w:ind w:left="109" w:right="157"/>
              <w:rPr>
                <w:sz w:val="20"/>
              </w:rPr>
            </w:pPr>
            <w:r>
              <w:rPr>
                <w:color w:val="232323"/>
                <w:sz w:val="20"/>
              </w:rPr>
              <w:t>Intermediate models</w:t>
            </w:r>
            <w:r>
              <w:rPr>
                <w:color w:val="232323"/>
                <w:spacing w:val="-3"/>
                <w:sz w:val="20"/>
              </w:rPr>
              <w:t> </w:t>
            </w:r>
            <w:r>
              <w:rPr>
                <w:color w:val="232323"/>
                <w:sz w:val="20"/>
              </w:rPr>
              <w:t>(4, 5)</w:t>
            </w:r>
            <w:r>
              <w:rPr>
                <w:color w:val="232323"/>
                <w:spacing w:val="-6"/>
                <w:sz w:val="20"/>
              </w:rPr>
              <w:t> </w:t>
            </w:r>
            <w:r>
              <w:rPr>
                <w:color w:val="232323"/>
                <w:sz w:val="20"/>
              </w:rPr>
              <w:t>focus</w:t>
            </w:r>
            <w:r>
              <w:rPr>
                <w:color w:val="232323"/>
                <w:spacing w:val="-3"/>
                <w:sz w:val="20"/>
              </w:rPr>
              <w:t> </w:t>
            </w:r>
            <w:r>
              <w:rPr>
                <w:color w:val="232323"/>
                <w:sz w:val="20"/>
              </w:rPr>
              <w:t>on</w:t>
            </w:r>
            <w:r>
              <w:rPr>
                <w:color w:val="232323"/>
                <w:spacing w:val="-5"/>
                <w:sz w:val="20"/>
              </w:rPr>
              <w:t> </w:t>
            </w:r>
            <w:r>
              <w:rPr>
                <w:color w:val="232323"/>
                <w:sz w:val="20"/>
              </w:rPr>
              <w:t>shared</w:t>
            </w:r>
            <w:r>
              <w:rPr>
                <w:color w:val="232323"/>
                <w:spacing w:val="-5"/>
                <w:sz w:val="20"/>
              </w:rPr>
              <w:t> </w:t>
            </w:r>
            <w:r>
              <w:rPr>
                <w:color w:val="232323"/>
                <w:sz w:val="20"/>
              </w:rPr>
              <w:t>standards and</w:t>
            </w:r>
            <w:r>
              <w:rPr>
                <w:color w:val="232323"/>
                <w:spacing w:val="-5"/>
                <w:sz w:val="20"/>
              </w:rPr>
              <w:t> </w:t>
            </w:r>
            <w:r>
              <w:rPr>
                <w:color w:val="232323"/>
                <w:sz w:val="20"/>
              </w:rPr>
              <w:t>pathways</w:t>
            </w:r>
            <w:r>
              <w:rPr>
                <w:color w:val="232323"/>
                <w:spacing w:val="-3"/>
                <w:sz w:val="20"/>
              </w:rPr>
              <w:t> </w:t>
            </w:r>
            <w:r>
              <w:rPr>
                <w:color w:val="232323"/>
                <w:sz w:val="20"/>
              </w:rPr>
              <w:t>which</w:t>
            </w:r>
            <w:r>
              <w:rPr>
                <w:color w:val="232323"/>
                <w:spacing w:val="-5"/>
                <w:sz w:val="20"/>
              </w:rPr>
              <w:t> </w:t>
            </w:r>
            <w:r>
              <w:rPr>
                <w:color w:val="232323"/>
                <w:sz w:val="20"/>
              </w:rPr>
              <w:t>reduce unwarranted</w:t>
            </w:r>
            <w:r>
              <w:rPr>
                <w:color w:val="232323"/>
                <w:spacing w:val="-4"/>
                <w:sz w:val="20"/>
              </w:rPr>
              <w:t> </w:t>
            </w:r>
            <w:r>
              <w:rPr>
                <w:color w:val="232323"/>
                <w:sz w:val="20"/>
              </w:rPr>
              <w:t>clinical</w:t>
            </w:r>
            <w:r>
              <w:rPr>
                <w:color w:val="232323"/>
                <w:spacing w:val="-3"/>
                <w:sz w:val="20"/>
              </w:rPr>
              <w:t> </w:t>
            </w:r>
            <w:r>
              <w:rPr>
                <w:color w:val="232323"/>
                <w:sz w:val="20"/>
              </w:rPr>
              <w:t>variation</w:t>
            </w:r>
            <w:r>
              <w:rPr>
                <w:color w:val="232323"/>
                <w:spacing w:val="-5"/>
                <w:sz w:val="20"/>
              </w:rPr>
              <w:t> </w:t>
            </w:r>
            <w:r>
              <w:rPr>
                <w:color w:val="232323"/>
                <w:sz w:val="20"/>
              </w:rPr>
              <w:t>and</w:t>
            </w:r>
            <w:r>
              <w:rPr>
                <w:color w:val="232323"/>
                <w:spacing w:val="-5"/>
                <w:sz w:val="20"/>
              </w:rPr>
              <w:t> </w:t>
            </w:r>
            <w:r>
              <w:rPr>
                <w:color w:val="232323"/>
                <w:sz w:val="20"/>
              </w:rPr>
              <w:t>improve quality of care, which is in turn linked to better outcomes and lower avoidable costs.</w:t>
            </w:r>
          </w:p>
        </w:tc>
      </w:tr>
      <w:tr>
        <w:trPr>
          <w:trHeight w:val="460" w:hRule="atLeast"/>
        </w:trPr>
        <w:tc>
          <w:tcPr>
            <w:tcW w:w="2121" w:type="dxa"/>
          </w:tcPr>
          <w:p>
            <w:pPr>
              <w:pStyle w:val="TableParagraph"/>
              <w:spacing w:line="230" w:lineRule="atLeast"/>
              <w:ind w:left="105"/>
              <w:rPr>
                <w:sz w:val="20"/>
              </w:rPr>
            </w:pPr>
            <w:r>
              <w:rPr>
                <w:color w:val="232323"/>
                <w:sz w:val="20"/>
              </w:rPr>
              <w:t>Risk</w:t>
            </w:r>
            <w:r>
              <w:rPr>
                <w:color w:val="232323"/>
                <w:spacing w:val="-14"/>
                <w:sz w:val="20"/>
              </w:rPr>
              <w:t> </w:t>
            </w:r>
            <w:r>
              <w:rPr>
                <w:color w:val="232323"/>
                <w:sz w:val="20"/>
              </w:rPr>
              <w:t>Transfer</w:t>
            </w:r>
            <w:r>
              <w:rPr>
                <w:color w:val="232323"/>
                <w:spacing w:val="-14"/>
                <w:sz w:val="20"/>
              </w:rPr>
              <w:t> </w:t>
            </w:r>
            <w:r>
              <w:rPr>
                <w:color w:val="232323"/>
                <w:sz w:val="20"/>
              </w:rPr>
              <w:t>&amp; </w:t>
            </w:r>
            <w:r>
              <w:rPr>
                <w:color w:val="232323"/>
                <w:spacing w:val="-2"/>
                <w:sz w:val="20"/>
              </w:rPr>
              <w:t>Innovation</w:t>
            </w:r>
          </w:p>
        </w:tc>
        <w:tc>
          <w:tcPr>
            <w:tcW w:w="11834" w:type="dxa"/>
          </w:tcPr>
          <w:p>
            <w:pPr>
              <w:pStyle w:val="TableParagraph"/>
              <w:spacing w:line="230" w:lineRule="atLeast"/>
              <w:ind w:left="109"/>
              <w:rPr>
                <w:sz w:val="20"/>
              </w:rPr>
            </w:pPr>
            <w:r>
              <w:rPr>
                <w:color w:val="232323"/>
                <w:sz w:val="20"/>
              </w:rPr>
              <w:t>Managed</w:t>
            </w:r>
            <w:r>
              <w:rPr>
                <w:color w:val="232323"/>
                <w:spacing w:val="-4"/>
                <w:sz w:val="20"/>
              </w:rPr>
              <w:t> </w:t>
            </w:r>
            <w:r>
              <w:rPr>
                <w:color w:val="232323"/>
                <w:sz w:val="20"/>
              </w:rPr>
              <w:t>delivery</w:t>
            </w:r>
            <w:r>
              <w:rPr>
                <w:color w:val="232323"/>
                <w:spacing w:val="-2"/>
                <w:sz w:val="20"/>
              </w:rPr>
              <w:t> </w:t>
            </w:r>
            <w:r>
              <w:rPr>
                <w:color w:val="232323"/>
                <w:sz w:val="20"/>
              </w:rPr>
              <w:t>(Level</w:t>
            </w:r>
            <w:r>
              <w:rPr>
                <w:color w:val="232323"/>
                <w:spacing w:val="-2"/>
                <w:sz w:val="20"/>
              </w:rPr>
              <w:t> </w:t>
            </w:r>
            <w:r>
              <w:rPr>
                <w:color w:val="232323"/>
                <w:sz w:val="20"/>
              </w:rPr>
              <w:t>6) can</w:t>
            </w:r>
            <w:r>
              <w:rPr>
                <w:color w:val="232323"/>
                <w:spacing w:val="-4"/>
                <w:sz w:val="20"/>
              </w:rPr>
              <w:t> </w:t>
            </w:r>
            <w:r>
              <w:rPr>
                <w:color w:val="232323"/>
                <w:sz w:val="20"/>
              </w:rPr>
              <w:t>transfer</w:t>
            </w:r>
            <w:r>
              <w:rPr>
                <w:color w:val="232323"/>
                <w:spacing w:val="-4"/>
                <w:sz w:val="20"/>
              </w:rPr>
              <w:t> </w:t>
            </w:r>
            <w:r>
              <w:rPr>
                <w:color w:val="232323"/>
                <w:sz w:val="20"/>
              </w:rPr>
              <w:t>performance risk and</w:t>
            </w:r>
            <w:r>
              <w:rPr>
                <w:color w:val="232323"/>
                <w:spacing w:val="-4"/>
                <w:sz w:val="20"/>
              </w:rPr>
              <w:t> </w:t>
            </w:r>
            <w:r>
              <w:rPr>
                <w:color w:val="232323"/>
                <w:sz w:val="20"/>
              </w:rPr>
              <w:t>bring</w:t>
            </w:r>
            <w:r>
              <w:rPr>
                <w:color w:val="232323"/>
                <w:spacing w:val="-4"/>
                <w:sz w:val="20"/>
              </w:rPr>
              <w:t> </w:t>
            </w:r>
            <w:r>
              <w:rPr>
                <w:color w:val="232323"/>
                <w:sz w:val="20"/>
              </w:rPr>
              <w:t>specialist</w:t>
            </w:r>
            <w:r>
              <w:rPr>
                <w:color w:val="232323"/>
                <w:spacing w:val="-3"/>
                <w:sz w:val="20"/>
              </w:rPr>
              <w:t> </w:t>
            </w:r>
            <w:r>
              <w:rPr>
                <w:color w:val="232323"/>
                <w:sz w:val="20"/>
              </w:rPr>
              <w:t>expertise.</w:t>
            </w:r>
            <w:r>
              <w:rPr>
                <w:color w:val="232323"/>
                <w:spacing w:val="-3"/>
                <w:sz w:val="20"/>
              </w:rPr>
              <w:t> </w:t>
            </w:r>
            <w:r>
              <w:rPr>
                <w:color w:val="232323"/>
                <w:sz w:val="20"/>
              </w:rPr>
              <w:t>Payments</w:t>
            </w:r>
            <w:r>
              <w:rPr>
                <w:color w:val="232323"/>
                <w:spacing w:val="-3"/>
                <w:sz w:val="20"/>
              </w:rPr>
              <w:t> </w:t>
            </w:r>
            <w:r>
              <w:rPr>
                <w:color w:val="232323"/>
                <w:sz w:val="20"/>
              </w:rPr>
              <w:t>can</w:t>
            </w:r>
            <w:r>
              <w:rPr>
                <w:color w:val="232323"/>
                <w:spacing w:val="-4"/>
                <w:sz w:val="20"/>
              </w:rPr>
              <w:t> </w:t>
            </w:r>
            <w:r>
              <w:rPr>
                <w:color w:val="232323"/>
                <w:sz w:val="20"/>
              </w:rPr>
              <w:t>be</w:t>
            </w:r>
            <w:r>
              <w:rPr>
                <w:color w:val="232323"/>
                <w:spacing w:val="-4"/>
                <w:sz w:val="20"/>
              </w:rPr>
              <w:t> </w:t>
            </w:r>
            <w:r>
              <w:rPr>
                <w:color w:val="232323"/>
                <w:sz w:val="20"/>
              </w:rPr>
              <w:t>configured</w:t>
            </w:r>
            <w:r>
              <w:rPr>
                <w:color w:val="232323"/>
                <w:spacing w:val="-4"/>
                <w:sz w:val="20"/>
              </w:rPr>
              <w:t> </w:t>
            </w:r>
            <w:r>
              <w:rPr>
                <w:color w:val="232323"/>
                <w:sz w:val="20"/>
              </w:rPr>
              <w:t>as</w:t>
            </w:r>
            <w:r>
              <w:rPr>
                <w:color w:val="232323"/>
                <w:spacing w:val="-3"/>
                <w:sz w:val="20"/>
              </w:rPr>
              <w:t> </w:t>
            </w:r>
            <w:r>
              <w:rPr>
                <w:color w:val="232323"/>
                <w:sz w:val="20"/>
              </w:rPr>
              <w:t>outcome-based contracts; evidence notes that NHS has experimented with these contractual forms to incentivise collaboration.</w:t>
            </w:r>
          </w:p>
        </w:tc>
      </w:tr>
      <w:tr>
        <w:trPr>
          <w:trHeight w:val="460" w:hRule="atLeast"/>
        </w:trPr>
        <w:tc>
          <w:tcPr>
            <w:tcW w:w="2121" w:type="dxa"/>
          </w:tcPr>
          <w:p>
            <w:pPr>
              <w:pStyle w:val="TableParagraph"/>
              <w:spacing w:before="3"/>
              <w:ind w:left="105"/>
              <w:rPr>
                <w:sz w:val="20"/>
              </w:rPr>
            </w:pPr>
            <w:r>
              <w:rPr>
                <w:color w:val="232323"/>
                <w:spacing w:val="-2"/>
                <w:sz w:val="20"/>
              </w:rPr>
              <w:t>Resilience</w:t>
            </w:r>
          </w:p>
        </w:tc>
        <w:tc>
          <w:tcPr>
            <w:tcW w:w="11834" w:type="dxa"/>
          </w:tcPr>
          <w:p>
            <w:pPr>
              <w:pStyle w:val="TableParagraph"/>
              <w:spacing w:line="230" w:lineRule="atLeast"/>
              <w:ind w:left="109" w:right="157"/>
              <w:rPr>
                <w:sz w:val="20"/>
              </w:rPr>
            </w:pPr>
            <w:r>
              <w:rPr>
                <w:color w:val="232323"/>
                <w:sz w:val="20"/>
              </w:rPr>
              <w:t>Collaborative models</w:t>
            </w:r>
            <w:r>
              <w:rPr>
                <w:color w:val="232323"/>
                <w:spacing w:val="-3"/>
                <w:sz w:val="20"/>
              </w:rPr>
              <w:t> </w:t>
            </w:r>
            <w:r>
              <w:rPr>
                <w:color w:val="232323"/>
                <w:sz w:val="20"/>
              </w:rPr>
              <w:t>enhance resilience by</w:t>
            </w:r>
            <w:r>
              <w:rPr>
                <w:color w:val="232323"/>
                <w:spacing w:val="-4"/>
                <w:sz w:val="20"/>
              </w:rPr>
              <w:t> </w:t>
            </w:r>
            <w:r>
              <w:rPr>
                <w:color w:val="232323"/>
                <w:sz w:val="20"/>
              </w:rPr>
              <w:t>pooling</w:t>
            </w:r>
            <w:r>
              <w:rPr>
                <w:color w:val="232323"/>
                <w:spacing w:val="-4"/>
                <w:sz w:val="20"/>
              </w:rPr>
              <w:t> </w:t>
            </w:r>
            <w:r>
              <w:rPr>
                <w:color w:val="232323"/>
                <w:sz w:val="20"/>
              </w:rPr>
              <w:t>workforce,</w:t>
            </w:r>
            <w:r>
              <w:rPr>
                <w:color w:val="232323"/>
                <w:spacing w:val="-4"/>
                <w:sz w:val="20"/>
              </w:rPr>
              <w:t> </w:t>
            </w:r>
            <w:r>
              <w:rPr>
                <w:color w:val="232323"/>
                <w:sz w:val="20"/>
              </w:rPr>
              <w:t>surge</w:t>
            </w:r>
            <w:r>
              <w:rPr>
                <w:color w:val="232323"/>
                <w:spacing w:val="-5"/>
                <w:sz w:val="20"/>
              </w:rPr>
              <w:t> </w:t>
            </w:r>
            <w:r>
              <w:rPr>
                <w:color w:val="232323"/>
                <w:sz w:val="20"/>
              </w:rPr>
              <w:t>capacity</w:t>
            </w:r>
            <w:r>
              <w:rPr>
                <w:color w:val="232323"/>
                <w:spacing w:val="-4"/>
                <w:sz w:val="20"/>
              </w:rPr>
              <w:t> </w:t>
            </w:r>
            <w:r>
              <w:rPr>
                <w:color w:val="232323"/>
                <w:sz w:val="20"/>
              </w:rPr>
              <w:t>and</w:t>
            </w:r>
            <w:r>
              <w:rPr>
                <w:color w:val="232323"/>
                <w:spacing w:val="-5"/>
                <w:sz w:val="20"/>
              </w:rPr>
              <w:t> </w:t>
            </w:r>
            <w:r>
              <w:rPr>
                <w:color w:val="232323"/>
                <w:sz w:val="20"/>
              </w:rPr>
              <w:t>mutual</w:t>
            </w:r>
            <w:r>
              <w:rPr>
                <w:color w:val="232323"/>
                <w:spacing w:val="-3"/>
                <w:sz w:val="20"/>
              </w:rPr>
              <w:t> </w:t>
            </w:r>
            <w:r>
              <w:rPr>
                <w:color w:val="232323"/>
                <w:sz w:val="20"/>
              </w:rPr>
              <w:t>aid,</w:t>
            </w:r>
            <w:r>
              <w:rPr>
                <w:color w:val="232323"/>
                <w:spacing w:val="-4"/>
                <w:sz w:val="20"/>
              </w:rPr>
              <w:t> </w:t>
            </w:r>
            <w:r>
              <w:rPr>
                <w:color w:val="232323"/>
                <w:sz w:val="20"/>
              </w:rPr>
              <w:t>lowering</w:t>
            </w:r>
            <w:r>
              <w:rPr>
                <w:color w:val="232323"/>
                <w:spacing w:val="-5"/>
                <w:sz w:val="20"/>
              </w:rPr>
              <w:t> </w:t>
            </w:r>
            <w:r>
              <w:rPr>
                <w:color w:val="232323"/>
                <w:sz w:val="20"/>
              </w:rPr>
              <w:t>variability</w:t>
            </w:r>
            <w:r>
              <w:rPr>
                <w:color w:val="232323"/>
                <w:spacing w:val="-3"/>
                <w:sz w:val="20"/>
              </w:rPr>
              <w:t> </w:t>
            </w:r>
            <w:r>
              <w:rPr>
                <w:color w:val="232323"/>
                <w:sz w:val="20"/>
              </w:rPr>
              <w:t>in service </w:t>
            </w:r>
            <w:r>
              <w:rPr>
                <w:color w:val="232323"/>
                <w:spacing w:val="-2"/>
                <w:sz w:val="20"/>
              </w:rPr>
              <w:t>delivery.</w:t>
            </w:r>
          </w:p>
        </w:tc>
      </w:tr>
      <w:tr>
        <w:trPr>
          <w:trHeight w:val="460" w:hRule="atLeast"/>
        </w:trPr>
        <w:tc>
          <w:tcPr>
            <w:tcW w:w="2121" w:type="dxa"/>
          </w:tcPr>
          <w:p>
            <w:pPr>
              <w:pStyle w:val="TableParagraph"/>
              <w:spacing w:line="230" w:lineRule="atLeast"/>
              <w:ind w:left="105" w:right="621"/>
              <w:rPr>
                <w:sz w:val="20"/>
              </w:rPr>
            </w:pPr>
            <w:r>
              <w:rPr>
                <w:color w:val="232323"/>
                <w:sz w:val="20"/>
              </w:rPr>
              <w:t>Knowledge</w:t>
            </w:r>
            <w:r>
              <w:rPr>
                <w:color w:val="232323"/>
                <w:spacing w:val="-14"/>
                <w:sz w:val="20"/>
              </w:rPr>
              <w:t> </w:t>
            </w:r>
            <w:r>
              <w:rPr>
                <w:color w:val="232323"/>
                <w:sz w:val="20"/>
              </w:rPr>
              <w:t>and </w:t>
            </w:r>
            <w:r>
              <w:rPr>
                <w:color w:val="232323"/>
                <w:spacing w:val="-2"/>
                <w:sz w:val="20"/>
              </w:rPr>
              <w:t>Capability</w:t>
            </w:r>
          </w:p>
        </w:tc>
        <w:tc>
          <w:tcPr>
            <w:tcW w:w="11834" w:type="dxa"/>
          </w:tcPr>
          <w:p>
            <w:pPr>
              <w:pStyle w:val="TableParagraph"/>
              <w:spacing w:line="230" w:lineRule="atLeast"/>
              <w:ind w:left="109"/>
              <w:rPr>
                <w:sz w:val="20"/>
              </w:rPr>
            </w:pPr>
            <w:r>
              <w:rPr>
                <w:color w:val="232323"/>
                <w:sz w:val="20"/>
              </w:rPr>
              <w:t>Even</w:t>
            </w:r>
            <w:r>
              <w:rPr>
                <w:color w:val="232323"/>
                <w:spacing w:val="-3"/>
                <w:sz w:val="20"/>
              </w:rPr>
              <w:t> </w:t>
            </w:r>
            <w:r>
              <w:rPr>
                <w:color w:val="232323"/>
                <w:sz w:val="20"/>
              </w:rPr>
              <w:t>the</w:t>
            </w:r>
            <w:r>
              <w:rPr>
                <w:color w:val="232323"/>
                <w:spacing w:val="-3"/>
                <w:sz w:val="20"/>
              </w:rPr>
              <w:t> </w:t>
            </w:r>
            <w:r>
              <w:rPr>
                <w:color w:val="232323"/>
                <w:sz w:val="20"/>
              </w:rPr>
              <w:t>“lighter”</w:t>
            </w:r>
            <w:r>
              <w:rPr>
                <w:color w:val="232323"/>
                <w:spacing w:val="-2"/>
                <w:sz w:val="20"/>
              </w:rPr>
              <w:t> </w:t>
            </w:r>
            <w:r>
              <w:rPr>
                <w:color w:val="232323"/>
                <w:sz w:val="20"/>
              </w:rPr>
              <w:t>levels</w:t>
            </w:r>
            <w:r>
              <w:rPr>
                <w:color w:val="232323"/>
                <w:spacing w:val="-1"/>
                <w:sz w:val="20"/>
              </w:rPr>
              <w:t> </w:t>
            </w:r>
            <w:r>
              <w:rPr>
                <w:color w:val="232323"/>
                <w:sz w:val="20"/>
              </w:rPr>
              <w:t>generate</w:t>
            </w:r>
            <w:r>
              <w:rPr>
                <w:color w:val="232323"/>
                <w:spacing w:val="-3"/>
                <w:sz w:val="20"/>
              </w:rPr>
              <w:t> </w:t>
            </w:r>
            <w:r>
              <w:rPr>
                <w:color w:val="232323"/>
                <w:sz w:val="20"/>
              </w:rPr>
              <w:t>value</w:t>
            </w:r>
            <w:r>
              <w:rPr>
                <w:color w:val="232323"/>
                <w:spacing w:val="-3"/>
                <w:sz w:val="20"/>
              </w:rPr>
              <w:t> </w:t>
            </w:r>
            <w:r>
              <w:rPr>
                <w:color w:val="232323"/>
                <w:sz w:val="20"/>
              </w:rPr>
              <w:t>by</w:t>
            </w:r>
            <w:r>
              <w:rPr>
                <w:color w:val="232323"/>
                <w:spacing w:val="-2"/>
                <w:sz w:val="20"/>
              </w:rPr>
              <w:t> </w:t>
            </w:r>
            <w:r>
              <w:rPr>
                <w:color w:val="232323"/>
                <w:sz w:val="20"/>
              </w:rPr>
              <w:t>building</w:t>
            </w:r>
            <w:r>
              <w:rPr>
                <w:color w:val="232323"/>
                <w:spacing w:val="-2"/>
                <w:sz w:val="20"/>
              </w:rPr>
              <w:t> </w:t>
            </w:r>
            <w:r>
              <w:rPr>
                <w:color w:val="232323"/>
                <w:sz w:val="20"/>
              </w:rPr>
              <w:t>organisational</w:t>
            </w:r>
            <w:r>
              <w:rPr>
                <w:color w:val="232323"/>
                <w:spacing w:val="-1"/>
                <w:sz w:val="20"/>
              </w:rPr>
              <w:t> </w:t>
            </w:r>
            <w:r>
              <w:rPr>
                <w:color w:val="232323"/>
                <w:sz w:val="20"/>
              </w:rPr>
              <w:t>capability</w:t>
            </w:r>
            <w:r>
              <w:rPr>
                <w:color w:val="232323"/>
                <w:spacing w:val="-1"/>
                <w:sz w:val="20"/>
              </w:rPr>
              <w:t> </w:t>
            </w:r>
            <w:r>
              <w:rPr>
                <w:color w:val="232323"/>
                <w:sz w:val="20"/>
              </w:rPr>
              <w:t>and</w:t>
            </w:r>
            <w:r>
              <w:rPr>
                <w:color w:val="232323"/>
                <w:spacing w:val="-3"/>
                <w:sz w:val="20"/>
              </w:rPr>
              <w:t> </w:t>
            </w:r>
            <w:r>
              <w:rPr>
                <w:color w:val="232323"/>
                <w:sz w:val="20"/>
              </w:rPr>
              <w:t>trust,</w:t>
            </w:r>
            <w:r>
              <w:rPr>
                <w:color w:val="232323"/>
                <w:spacing w:val="-3"/>
                <w:sz w:val="20"/>
              </w:rPr>
              <w:t> </w:t>
            </w:r>
            <w:r>
              <w:rPr>
                <w:color w:val="232323"/>
                <w:sz w:val="20"/>
              </w:rPr>
              <w:t>which</w:t>
            </w:r>
            <w:r>
              <w:rPr>
                <w:color w:val="232323"/>
                <w:spacing w:val="-3"/>
                <w:sz w:val="20"/>
              </w:rPr>
              <w:t> </w:t>
            </w:r>
            <w:r>
              <w:rPr>
                <w:color w:val="232323"/>
                <w:sz w:val="20"/>
              </w:rPr>
              <w:t>are</w:t>
            </w:r>
            <w:r>
              <w:rPr>
                <w:color w:val="232323"/>
                <w:spacing w:val="-3"/>
                <w:sz w:val="20"/>
              </w:rPr>
              <w:t> </w:t>
            </w:r>
            <w:r>
              <w:rPr>
                <w:color w:val="232323"/>
                <w:sz w:val="20"/>
              </w:rPr>
              <w:t>precursors</w:t>
            </w:r>
            <w:r>
              <w:rPr>
                <w:color w:val="232323"/>
                <w:spacing w:val="-1"/>
                <w:sz w:val="20"/>
              </w:rPr>
              <w:t> </w:t>
            </w:r>
            <w:r>
              <w:rPr>
                <w:color w:val="232323"/>
                <w:sz w:val="20"/>
              </w:rPr>
              <w:t>for</w:t>
            </w:r>
            <w:r>
              <w:rPr>
                <w:color w:val="232323"/>
                <w:spacing w:val="-3"/>
                <w:sz w:val="20"/>
              </w:rPr>
              <w:t> </w:t>
            </w:r>
            <w:r>
              <w:rPr>
                <w:color w:val="232323"/>
                <w:sz w:val="20"/>
              </w:rPr>
              <w:t>effective</w:t>
            </w:r>
            <w:r>
              <w:rPr>
                <w:color w:val="232323"/>
                <w:spacing w:val="-3"/>
                <w:sz w:val="20"/>
              </w:rPr>
              <w:t> </w:t>
            </w:r>
            <w:r>
              <w:rPr>
                <w:color w:val="232323"/>
                <w:sz w:val="20"/>
              </w:rPr>
              <w:t>deeper </w:t>
            </w:r>
            <w:r>
              <w:rPr>
                <w:color w:val="232323"/>
                <w:spacing w:val="-2"/>
                <w:sz w:val="20"/>
              </w:rPr>
              <w:t>collaboration.</w:t>
            </w:r>
          </w:p>
        </w:tc>
      </w:tr>
    </w:tbl>
    <w:p>
      <w:pPr>
        <w:pStyle w:val="BodyText"/>
        <w:spacing w:before="3"/>
        <w:rPr>
          <w:sz w:val="20"/>
        </w:rPr>
      </w:pPr>
    </w:p>
    <w:p>
      <w:pPr>
        <w:pStyle w:val="ListParagraph"/>
        <w:numPr>
          <w:ilvl w:val="0"/>
          <w:numId w:val="9"/>
        </w:numPr>
        <w:tabs>
          <w:tab w:pos="769" w:val="left" w:leader="none"/>
        </w:tabs>
        <w:spacing w:line="240" w:lineRule="auto" w:before="1" w:after="0"/>
        <w:ind w:left="769" w:right="0" w:hanging="359"/>
        <w:jc w:val="left"/>
        <w:rPr>
          <w:b/>
          <w:sz w:val="20"/>
        </w:rPr>
      </w:pPr>
      <w:r>
        <w:rPr>
          <w:b/>
          <w:spacing w:val="-4"/>
          <w:sz w:val="20"/>
        </w:rPr>
        <w:t>Governance</w:t>
      </w:r>
      <w:r>
        <w:rPr>
          <w:b/>
          <w:spacing w:val="-3"/>
          <w:sz w:val="20"/>
        </w:rPr>
        <w:t> </w:t>
      </w:r>
      <w:r>
        <w:rPr>
          <w:b/>
          <w:spacing w:val="-2"/>
          <w:sz w:val="20"/>
        </w:rPr>
        <w:t>matrix</w:t>
      </w:r>
    </w:p>
    <w:p>
      <w:pPr>
        <w:spacing w:before="175"/>
        <w:ind w:left="50" w:right="0" w:firstLine="0"/>
        <w:jc w:val="left"/>
        <w:rPr>
          <w:sz w:val="20"/>
        </w:rPr>
      </w:pPr>
      <w:r>
        <w:rPr>
          <w:spacing w:val="-2"/>
          <w:sz w:val="20"/>
        </w:rPr>
        <w:t>The</w:t>
      </w:r>
      <w:r>
        <w:rPr>
          <w:spacing w:val="-14"/>
          <w:sz w:val="20"/>
        </w:rPr>
        <w:t> </w:t>
      </w:r>
      <w:r>
        <w:rPr>
          <w:spacing w:val="-2"/>
          <w:sz w:val="20"/>
        </w:rPr>
        <w:t>need</w:t>
      </w:r>
      <w:r>
        <w:rPr>
          <w:spacing w:val="-12"/>
          <w:sz w:val="20"/>
        </w:rPr>
        <w:t> </w:t>
      </w:r>
      <w:r>
        <w:rPr>
          <w:spacing w:val="-2"/>
          <w:sz w:val="20"/>
        </w:rPr>
        <w:t>for</w:t>
      </w:r>
      <w:r>
        <w:rPr>
          <w:spacing w:val="-12"/>
          <w:sz w:val="20"/>
        </w:rPr>
        <w:t> </w:t>
      </w:r>
      <w:r>
        <w:rPr>
          <w:spacing w:val="-2"/>
          <w:sz w:val="20"/>
        </w:rPr>
        <w:t>governance</w:t>
      </w:r>
      <w:r>
        <w:rPr>
          <w:spacing w:val="-12"/>
          <w:sz w:val="20"/>
        </w:rPr>
        <w:t> </w:t>
      </w:r>
      <w:r>
        <w:rPr>
          <w:spacing w:val="-2"/>
          <w:sz w:val="20"/>
        </w:rPr>
        <w:t>arrangements</w:t>
      </w:r>
      <w:r>
        <w:rPr>
          <w:spacing w:val="-12"/>
          <w:sz w:val="20"/>
        </w:rPr>
        <w:t> </w:t>
      </w:r>
      <w:r>
        <w:rPr>
          <w:spacing w:val="-2"/>
          <w:sz w:val="20"/>
        </w:rPr>
        <w:t>will</w:t>
      </w:r>
      <w:r>
        <w:rPr>
          <w:spacing w:val="-12"/>
          <w:sz w:val="20"/>
        </w:rPr>
        <w:t> </w:t>
      </w:r>
      <w:r>
        <w:rPr>
          <w:spacing w:val="-2"/>
          <w:sz w:val="20"/>
        </w:rPr>
        <w:t>vary</w:t>
      </w:r>
      <w:r>
        <w:rPr>
          <w:spacing w:val="-10"/>
          <w:sz w:val="20"/>
        </w:rPr>
        <w:t> </w:t>
      </w:r>
      <w:r>
        <w:rPr>
          <w:spacing w:val="-2"/>
          <w:sz w:val="20"/>
        </w:rPr>
        <w:t>across</w:t>
      </w:r>
      <w:r>
        <w:rPr>
          <w:spacing w:val="-11"/>
          <w:sz w:val="20"/>
        </w:rPr>
        <w:t> </w:t>
      </w:r>
      <w:r>
        <w:rPr>
          <w:spacing w:val="-2"/>
          <w:sz w:val="20"/>
        </w:rPr>
        <w:t>the</w:t>
      </w:r>
      <w:r>
        <w:rPr>
          <w:spacing w:val="-12"/>
          <w:sz w:val="20"/>
        </w:rPr>
        <w:t> </w:t>
      </w:r>
      <w:r>
        <w:rPr>
          <w:spacing w:val="-2"/>
          <w:sz w:val="20"/>
        </w:rPr>
        <w:t>spectrum,</w:t>
      </w:r>
      <w:r>
        <w:rPr>
          <w:spacing w:val="-12"/>
          <w:sz w:val="20"/>
        </w:rPr>
        <w:t> </w:t>
      </w:r>
      <w:r>
        <w:rPr>
          <w:spacing w:val="-2"/>
          <w:sz w:val="20"/>
        </w:rPr>
        <w:t>with</w:t>
      </w:r>
      <w:r>
        <w:rPr>
          <w:spacing w:val="-11"/>
          <w:sz w:val="20"/>
        </w:rPr>
        <w:t> </w:t>
      </w:r>
      <w:r>
        <w:rPr>
          <w:spacing w:val="-2"/>
          <w:sz w:val="20"/>
        </w:rPr>
        <w:t>a</w:t>
      </w:r>
      <w:r>
        <w:rPr>
          <w:spacing w:val="-12"/>
          <w:sz w:val="20"/>
        </w:rPr>
        <w:t> </w:t>
      </w:r>
      <w:r>
        <w:rPr>
          <w:spacing w:val="-2"/>
          <w:sz w:val="20"/>
        </w:rPr>
        <w:t>summary</w:t>
      </w:r>
      <w:r>
        <w:rPr>
          <w:spacing w:val="-11"/>
          <w:sz w:val="20"/>
        </w:rPr>
        <w:t> </w:t>
      </w:r>
      <w:r>
        <w:rPr>
          <w:spacing w:val="-2"/>
          <w:sz w:val="20"/>
        </w:rPr>
        <w:t>provided</w:t>
      </w:r>
      <w:r>
        <w:rPr>
          <w:spacing w:val="-11"/>
          <w:sz w:val="20"/>
        </w:rPr>
        <w:t> </w:t>
      </w:r>
      <w:r>
        <w:rPr>
          <w:spacing w:val="-2"/>
          <w:sz w:val="20"/>
        </w:rPr>
        <w:t>below:</w:t>
      </w:r>
    </w:p>
    <w:tbl>
      <w:tblPr>
        <w:tblW w:w="0" w:type="auto"/>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6"/>
        <w:gridCol w:w="12259"/>
      </w:tblGrid>
      <w:tr>
        <w:trPr>
          <w:trHeight w:val="230" w:hRule="atLeast"/>
        </w:trPr>
        <w:tc>
          <w:tcPr>
            <w:tcW w:w="1696" w:type="dxa"/>
          </w:tcPr>
          <w:p>
            <w:pPr>
              <w:pStyle w:val="TableParagraph"/>
              <w:spacing w:line="210" w:lineRule="exact"/>
              <w:ind w:left="105"/>
              <w:rPr>
                <w:b/>
                <w:sz w:val="20"/>
              </w:rPr>
            </w:pPr>
            <w:r>
              <w:rPr>
                <w:b/>
                <w:spacing w:val="-4"/>
                <w:sz w:val="20"/>
              </w:rPr>
              <w:t>Spectrum</w:t>
            </w:r>
            <w:r>
              <w:rPr>
                <w:b/>
                <w:spacing w:val="-3"/>
                <w:sz w:val="20"/>
              </w:rPr>
              <w:t> </w:t>
            </w:r>
            <w:r>
              <w:rPr>
                <w:b/>
                <w:spacing w:val="-4"/>
                <w:sz w:val="20"/>
              </w:rPr>
              <w:t>level</w:t>
            </w:r>
          </w:p>
        </w:tc>
        <w:tc>
          <w:tcPr>
            <w:tcW w:w="12259" w:type="dxa"/>
          </w:tcPr>
          <w:p>
            <w:pPr>
              <w:pStyle w:val="TableParagraph"/>
              <w:spacing w:line="210" w:lineRule="exact"/>
              <w:ind w:left="109"/>
              <w:rPr>
                <w:b/>
                <w:sz w:val="20"/>
              </w:rPr>
            </w:pPr>
            <w:r>
              <w:rPr>
                <w:b/>
                <w:spacing w:val="-4"/>
                <w:sz w:val="20"/>
              </w:rPr>
              <w:t>Governance</w:t>
            </w:r>
            <w:r>
              <w:rPr>
                <w:b/>
                <w:spacing w:val="-3"/>
                <w:sz w:val="20"/>
              </w:rPr>
              <w:t> </w:t>
            </w:r>
            <w:r>
              <w:rPr>
                <w:b/>
                <w:spacing w:val="-2"/>
                <w:sz w:val="20"/>
              </w:rPr>
              <w:t>requirement</w:t>
            </w:r>
          </w:p>
        </w:tc>
      </w:tr>
      <w:tr>
        <w:trPr>
          <w:trHeight w:val="230" w:hRule="atLeast"/>
        </w:trPr>
        <w:tc>
          <w:tcPr>
            <w:tcW w:w="1696" w:type="dxa"/>
          </w:tcPr>
          <w:p>
            <w:pPr>
              <w:pStyle w:val="TableParagraph"/>
              <w:spacing w:line="210" w:lineRule="exact"/>
              <w:ind w:left="105"/>
              <w:rPr>
                <w:sz w:val="20"/>
              </w:rPr>
            </w:pPr>
            <w:r>
              <w:rPr>
                <w:spacing w:val="-6"/>
                <w:sz w:val="20"/>
              </w:rPr>
              <w:t>1-</w:t>
            </w:r>
            <w:r>
              <w:rPr>
                <w:spacing w:val="-10"/>
                <w:sz w:val="20"/>
              </w:rPr>
              <w:t>2</w:t>
            </w:r>
          </w:p>
        </w:tc>
        <w:tc>
          <w:tcPr>
            <w:tcW w:w="12259" w:type="dxa"/>
          </w:tcPr>
          <w:p>
            <w:pPr>
              <w:pStyle w:val="TableParagraph"/>
              <w:spacing w:line="210" w:lineRule="exact"/>
              <w:ind w:left="109"/>
              <w:rPr>
                <w:sz w:val="20"/>
              </w:rPr>
            </w:pPr>
            <w:r>
              <w:rPr>
                <w:spacing w:val="-4"/>
                <w:sz w:val="20"/>
              </w:rPr>
              <w:t>Both</w:t>
            </w:r>
            <w:r>
              <w:rPr>
                <w:spacing w:val="-3"/>
                <w:sz w:val="20"/>
              </w:rPr>
              <w:t> </w:t>
            </w:r>
            <w:r>
              <w:rPr>
                <w:spacing w:val="-4"/>
                <w:sz w:val="20"/>
              </w:rPr>
              <w:t>organisations</w:t>
            </w:r>
            <w:r>
              <w:rPr>
                <w:spacing w:val="1"/>
                <w:sz w:val="20"/>
              </w:rPr>
              <w:t> </w:t>
            </w:r>
            <w:r>
              <w:rPr>
                <w:spacing w:val="-4"/>
                <w:sz w:val="20"/>
              </w:rPr>
              <w:t>retain</w:t>
            </w:r>
            <w:r>
              <w:rPr>
                <w:spacing w:val="-6"/>
                <w:sz w:val="20"/>
              </w:rPr>
              <w:t> </w:t>
            </w:r>
            <w:r>
              <w:rPr>
                <w:spacing w:val="-4"/>
                <w:sz w:val="20"/>
              </w:rPr>
              <w:t>local</w:t>
            </w:r>
            <w:r>
              <w:rPr>
                <w:spacing w:val="1"/>
                <w:sz w:val="20"/>
              </w:rPr>
              <w:t> </w:t>
            </w:r>
            <w:r>
              <w:rPr>
                <w:spacing w:val="-4"/>
                <w:sz w:val="20"/>
              </w:rPr>
              <w:t>governance</w:t>
            </w:r>
            <w:r>
              <w:rPr>
                <w:spacing w:val="-1"/>
                <w:sz w:val="20"/>
              </w:rPr>
              <w:t> </w:t>
            </w:r>
            <w:r>
              <w:rPr>
                <w:spacing w:val="-4"/>
                <w:sz w:val="20"/>
              </w:rPr>
              <w:t>with</w:t>
            </w:r>
            <w:r>
              <w:rPr>
                <w:spacing w:val="-2"/>
                <w:sz w:val="20"/>
              </w:rPr>
              <w:t> </w:t>
            </w:r>
            <w:r>
              <w:rPr>
                <w:spacing w:val="-4"/>
                <w:sz w:val="20"/>
              </w:rPr>
              <w:t>informal</w:t>
            </w:r>
            <w:r>
              <w:rPr>
                <w:spacing w:val="1"/>
                <w:sz w:val="20"/>
              </w:rPr>
              <w:t> </w:t>
            </w:r>
            <w:r>
              <w:rPr>
                <w:spacing w:val="-4"/>
                <w:sz w:val="20"/>
              </w:rPr>
              <w:t>steering</w:t>
            </w:r>
            <w:r>
              <w:rPr>
                <w:sz w:val="20"/>
              </w:rPr>
              <w:t> </w:t>
            </w:r>
            <w:r>
              <w:rPr>
                <w:spacing w:val="-4"/>
                <w:sz w:val="20"/>
              </w:rPr>
              <w:t>groups,</w:t>
            </w:r>
            <w:r>
              <w:rPr>
                <w:sz w:val="20"/>
              </w:rPr>
              <w:t> </w:t>
            </w:r>
            <w:r>
              <w:rPr>
                <w:spacing w:val="-4"/>
                <w:sz w:val="20"/>
              </w:rPr>
              <w:t>and</w:t>
            </w:r>
            <w:r>
              <w:rPr>
                <w:spacing w:val="-1"/>
                <w:sz w:val="20"/>
              </w:rPr>
              <w:t> </w:t>
            </w:r>
            <w:r>
              <w:rPr>
                <w:spacing w:val="-4"/>
                <w:sz w:val="20"/>
              </w:rPr>
              <w:t>no</w:t>
            </w:r>
            <w:r>
              <w:rPr>
                <w:spacing w:val="-1"/>
                <w:sz w:val="20"/>
              </w:rPr>
              <w:t> </w:t>
            </w:r>
            <w:r>
              <w:rPr>
                <w:spacing w:val="-4"/>
                <w:sz w:val="20"/>
              </w:rPr>
              <w:t>structural</w:t>
            </w:r>
            <w:r>
              <w:rPr>
                <w:spacing w:val="2"/>
                <w:sz w:val="20"/>
              </w:rPr>
              <w:t> </w:t>
            </w:r>
            <w:r>
              <w:rPr>
                <w:spacing w:val="-4"/>
                <w:sz w:val="20"/>
              </w:rPr>
              <w:t>hosting.</w:t>
            </w:r>
          </w:p>
        </w:tc>
      </w:tr>
      <w:tr>
        <w:trPr>
          <w:trHeight w:val="230" w:hRule="atLeast"/>
        </w:trPr>
        <w:tc>
          <w:tcPr>
            <w:tcW w:w="1696" w:type="dxa"/>
          </w:tcPr>
          <w:p>
            <w:pPr>
              <w:pStyle w:val="TableParagraph"/>
              <w:spacing w:line="210" w:lineRule="exact"/>
              <w:ind w:left="105"/>
              <w:rPr>
                <w:sz w:val="20"/>
              </w:rPr>
            </w:pPr>
            <w:r>
              <w:rPr>
                <w:spacing w:val="-6"/>
                <w:sz w:val="20"/>
              </w:rPr>
              <w:t>3-</w:t>
            </w:r>
            <w:r>
              <w:rPr>
                <w:spacing w:val="-10"/>
                <w:sz w:val="20"/>
              </w:rPr>
              <w:t>4</w:t>
            </w:r>
          </w:p>
        </w:tc>
        <w:tc>
          <w:tcPr>
            <w:tcW w:w="12259" w:type="dxa"/>
          </w:tcPr>
          <w:p>
            <w:pPr>
              <w:pStyle w:val="TableParagraph"/>
              <w:spacing w:line="210" w:lineRule="exact"/>
              <w:ind w:left="109"/>
              <w:rPr>
                <w:sz w:val="20"/>
              </w:rPr>
            </w:pPr>
            <w:r>
              <w:rPr>
                <w:spacing w:val="-4"/>
                <w:sz w:val="20"/>
              </w:rPr>
              <w:t>Lead</w:t>
            </w:r>
            <w:r>
              <w:rPr>
                <w:spacing w:val="-1"/>
                <w:sz w:val="20"/>
              </w:rPr>
              <w:t> </w:t>
            </w:r>
            <w:r>
              <w:rPr>
                <w:spacing w:val="-4"/>
                <w:sz w:val="20"/>
              </w:rPr>
              <w:t>organisation</w:t>
            </w:r>
            <w:r>
              <w:rPr>
                <w:spacing w:val="-1"/>
                <w:sz w:val="20"/>
              </w:rPr>
              <w:t> </w:t>
            </w:r>
            <w:r>
              <w:rPr>
                <w:spacing w:val="-4"/>
                <w:sz w:val="20"/>
              </w:rPr>
              <w:t>or</w:t>
            </w:r>
            <w:r>
              <w:rPr>
                <w:spacing w:val="-1"/>
                <w:sz w:val="20"/>
              </w:rPr>
              <w:t> </w:t>
            </w:r>
            <w:r>
              <w:rPr>
                <w:spacing w:val="-4"/>
                <w:sz w:val="20"/>
              </w:rPr>
              <w:t>hosted</w:t>
            </w:r>
            <w:r>
              <w:rPr>
                <w:spacing w:val="-1"/>
                <w:sz w:val="20"/>
              </w:rPr>
              <w:t> </w:t>
            </w:r>
            <w:r>
              <w:rPr>
                <w:spacing w:val="-4"/>
                <w:sz w:val="20"/>
              </w:rPr>
              <w:t>service</w:t>
            </w:r>
            <w:r>
              <w:rPr>
                <w:sz w:val="20"/>
              </w:rPr>
              <w:t> </w:t>
            </w:r>
            <w:r>
              <w:rPr>
                <w:spacing w:val="-4"/>
                <w:sz w:val="20"/>
              </w:rPr>
              <w:t>with</w:t>
            </w:r>
            <w:r>
              <w:rPr>
                <w:spacing w:val="-2"/>
                <w:sz w:val="20"/>
              </w:rPr>
              <w:t> </w:t>
            </w:r>
            <w:r>
              <w:rPr>
                <w:spacing w:val="-4"/>
                <w:sz w:val="20"/>
              </w:rPr>
              <w:t>clear</w:t>
            </w:r>
            <w:r>
              <w:rPr>
                <w:spacing w:val="-2"/>
                <w:sz w:val="20"/>
              </w:rPr>
              <w:t> </w:t>
            </w:r>
            <w:r>
              <w:rPr>
                <w:spacing w:val="-4"/>
                <w:sz w:val="20"/>
              </w:rPr>
              <w:t>service</w:t>
            </w:r>
            <w:r>
              <w:rPr>
                <w:spacing w:val="-1"/>
                <w:sz w:val="20"/>
              </w:rPr>
              <w:t> </w:t>
            </w:r>
            <w:r>
              <w:rPr>
                <w:spacing w:val="-4"/>
                <w:sz w:val="20"/>
              </w:rPr>
              <w:t>levels,</w:t>
            </w:r>
            <w:r>
              <w:rPr>
                <w:sz w:val="20"/>
              </w:rPr>
              <w:t> </w:t>
            </w:r>
            <w:r>
              <w:rPr>
                <w:spacing w:val="-4"/>
                <w:sz w:val="20"/>
              </w:rPr>
              <w:t>budgets,</w:t>
            </w:r>
            <w:r>
              <w:rPr>
                <w:sz w:val="20"/>
              </w:rPr>
              <w:t> </w:t>
            </w:r>
            <w:r>
              <w:rPr>
                <w:spacing w:val="-4"/>
                <w:sz w:val="20"/>
              </w:rPr>
              <w:t>escalation.</w:t>
            </w:r>
          </w:p>
        </w:tc>
      </w:tr>
      <w:tr>
        <w:trPr>
          <w:trHeight w:val="230" w:hRule="atLeast"/>
        </w:trPr>
        <w:tc>
          <w:tcPr>
            <w:tcW w:w="1696" w:type="dxa"/>
          </w:tcPr>
          <w:p>
            <w:pPr>
              <w:pStyle w:val="TableParagraph"/>
              <w:spacing w:line="210" w:lineRule="exact"/>
              <w:ind w:left="105"/>
              <w:rPr>
                <w:sz w:val="20"/>
              </w:rPr>
            </w:pPr>
            <w:r>
              <w:rPr>
                <w:spacing w:val="-10"/>
                <w:sz w:val="20"/>
              </w:rPr>
              <w:t>5</w:t>
            </w:r>
          </w:p>
        </w:tc>
        <w:tc>
          <w:tcPr>
            <w:tcW w:w="12259" w:type="dxa"/>
          </w:tcPr>
          <w:p>
            <w:pPr>
              <w:pStyle w:val="TableParagraph"/>
              <w:spacing w:line="210" w:lineRule="exact"/>
              <w:ind w:left="109"/>
              <w:rPr>
                <w:sz w:val="20"/>
              </w:rPr>
            </w:pPr>
            <w:r>
              <w:rPr>
                <w:spacing w:val="-4"/>
                <w:sz w:val="20"/>
              </w:rPr>
              <w:t>Joint</w:t>
            </w:r>
            <w:r>
              <w:rPr>
                <w:spacing w:val="-1"/>
                <w:sz w:val="20"/>
              </w:rPr>
              <w:t> </w:t>
            </w:r>
            <w:r>
              <w:rPr>
                <w:spacing w:val="-4"/>
                <w:sz w:val="20"/>
              </w:rPr>
              <w:t>committee</w:t>
            </w:r>
            <w:r>
              <w:rPr>
                <w:spacing w:val="-1"/>
                <w:sz w:val="20"/>
              </w:rPr>
              <w:t> </w:t>
            </w:r>
            <w:r>
              <w:rPr>
                <w:spacing w:val="-4"/>
                <w:sz w:val="20"/>
              </w:rPr>
              <w:t>with</w:t>
            </w:r>
            <w:r>
              <w:rPr>
                <w:spacing w:val="-1"/>
                <w:sz w:val="20"/>
              </w:rPr>
              <w:t> </w:t>
            </w:r>
            <w:r>
              <w:rPr>
                <w:spacing w:val="-4"/>
                <w:sz w:val="20"/>
              </w:rPr>
              <w:t>shared</w:t>
            </w:r>
            <w:r>
              <w:rPr>
                <w:spacing w:val="-1"/>
                <w:sz w:val="20"/>
              </w:rPr>
              <w:t> </w:t>
            </w:r>
            <w:r>
              <w:rPr>
                <w:spacing w:val="-4"/>
                <w:sz w:val="20"/>
              </w:rPr>
              <w:t>planning</w:t>
            </w:r>
            <w:r>
              <w:rPr>
                <w:spacing w:val="-1"/>
                <w:sz w:val="20"/>
              </w:rPr>
              <w:t> </w:t>
            </w:r>
            <w:r>
              <w:rPr>
                <w:spacing w:val="-4"/>
                <w:sz w:val="20"/>
              </w:rPr>
              <w:t>and</w:t>
            </w:r>
            <w:r>
              <w:rPr>
                <w:sz w:val="20"/>
              </w:rPr>
              <w:t> </w:t>
            </w:r>
            <w:r>
              <w:rPr>
                <w:spacing w:val="-4"/>
                <w:sz w:val="20"/>
              </w:rPr>
              <w:t>accountability.</w:t>
            </w:r>
          </w:p>
        </w:tc>
      </w:tr>
      <w:tr>
        <w:trPr>
          <w:trHeight w:val="230" w:hRule="atLeast"/>
        </w:trPr>
        <w:tc>
          <w:tcPr>
            <w:tcW w:w="1696" w:type="dxa"/>
          </w:tcPr>
          <w:p>
            <w:pPr>
              <w:pStyle w:val="TableParagraph"/>
              <w:spacing w:line="210" w:lineRule="exact"/>
              <w:ind w:left="105"/>
              <w:rPr>
                <w:sz w:val="20"/>
              </w:rPr>
            </w:pPr>
            <w:r>
              <w:rPr>
                <w:spacing w:val="-10"/>
                <w:sz w:val="20"/>
              </w:rPr>
              <w:t>6</w:t>
            </w:r>
          </w:p>
        </w:tc>
        <w:tc>
          <w:tcPr>
            <w:tcW w:w="12259" w:type="dxa"/>
          </w:tcPr>
          <w:p>
            <w:pPr>
              <w:pStyle w:val="TableParagraph"/>
              <w:spacing w:line="210" w:lineRule="exact"/>
              <w:ind w:left="109"/>
              <w:rPr>
                <w:sz w:val="20"/>
              </w:rPr>
            </w:pPr>
            <w:r>
              <w:rPr>
                <w:spacing w:val="-4"/>
                <w:sz w:val="20"/>
              </w:rPr>
              <w:t>Commissioning</w:t>
            </w:r>
            <w:r>
              <w:rPr>
                <w:spacing w:val="-3"/>
                <w:sz w:val="20"/>
              </w:rPr>
              <w:t> </w:t>
            </w:r>
            <w:r>
              <w:rPr>
                <w:spacing w:val="-4"/>
                <w:sz w:val="20"/>
              </w:rPr>
              <w:t>governance</w:t>
            </w:r>
            <w:r>
              <w:rPr>
                <w:sz w:val="20"/>
              </w:rPr>
              <w:t> </w:t>
            </w:r>
            <w:r>
              <w:rPr>
                <w:spacing w:val="-4"/>
                <w:sz w:val="20"/>
              </w:rPr>
              <w:t>with</w:t>
            </w:r>
            <w:r>
              <w:rPr>
                <w:sz w:val="20"/>
              </w:rPr>
              <w:t> </w:t>
            </w:r>
            <w:r>
              <w:rPr>
                <w:spacing w:val="-4"/>
                <w:sz w:val="20"/>
              </w:rPr>
              <w:t>contract</w:t>
            </w:r>
            <w:r>
              <w:rPr>
                <w:spacing w:val="5"/>
                <w:sz w:val="20"/>
              </w:rPr>
              <w:t> </w:t>
            </w:r>
            <w:r>
              <w:rPr>
                <w:spacing w:val="-4"/>
                <w:sz w:val="20"/>
              </w:rPr>
              <w:t>and</w:t>
            </w:r>
            <w:r>
              <w:rPr>
                <w:sz w:val="20"/>
              </w:rPr>
              <w:t> </w:t>
            </w:r>
            <w:r>
              <w:rPr>
                <w:spacing w:val="-4"/>
                <w:sz w:val="20"/>
              </w:rPr>
              <w:t>performance</w:t>
            </w:r>
            <w:r>
              <w:rPr>
                <w:spacing w:val="5"/>
                <w:sz w:val="20"/>
              </w:rPr>
              <w:t> </w:t>
            </w:r>
            <w:r>
              <w:rPr>
                <w:spacing w:val="-4"/>
                <w:sz w:val="20"/>
              </w:rPr>
              <w:t>oversight</w:t>
            </w:r>
            <w:r>
              <w:rPr>
                <w:spacing w:val="1"/>
                <w:sz w:val="20"/>
              </w:rPr>
              <w:t> </w:t>
            </w:r>
            <w:r>
              <w:rPr>
                <w:spacing w:val="-4"/>
                <w:sz w:val="20"/>
              </w:rPr>
              <w:t>(ICS-type</w:t>
            </w:r>
            <w:r>
              <w:rPr>
                <w:spacing w:val="-1"/>
                <w:sz w:val="20"/>
              </w:rPr>
              <w:t> </w:t>
            </w:r>
            <w:r>
              <w:rPr>
                <w:spacing w:val="-4"/>
                <w:sz w:val="20"/>
              </w:rPr>
              <w:t>arrangements</w:t>
            </w:r>
            <w:r>
              <w:rPr>
                <w:spacing w:val="1"/>
                <w:sz w:val="20"/>
              </w:rPr>
              <w:t> </w:t>
            </w:r>
            <w:r>
              <w:rPr>
                <w:spacing w:val="-4"/>
                <w:sz w:val="20"/>
              </w:rPr>
              <w:t>in</w:t>
            </w:r>
            <w:r>
              <w:rPr>
                <w:spacing w:val="-6"/>
                <w:sz w:val="20"/>
              </w:rPr>
              <w:t> </w:t>
            </w:r>
            <w:r>
              <w:rPr>
                <w:spacing w:val="-4"/>
                <w:sz w:val="20"/>
              </w:rPr>
              <w:t>NHS</w:t>
            </w:r>
            <w:r>
              <w:rPr>
                <w:spacing w:val="-2"/>
                <w:sz w:val="20"/>
              </w:rPr>
              <w:t> </w:t>
            </w:r>
            <w:r>
              <w:rPr>
                <w:spacing w:val="-4"/>
                <w:sz w:val="20"/>
              </w:rPr>
              <w:t>England)</w:t>
            </w:r>
          </w:p>
        </w:tc>
      </w:tr>
      <w:tr>
        <w:trPr>
          <w:trHeight w:val="230" w:hRule="atLeast"/>
        </w:trPr>
        <w:tc>
          <w:tcPr>
            <w:tcW w:w="1696" w:type="dxa"/>
          </w:tcPr>
          <w:p>
            <w:pPr>
              <w:pStyle w:val="TableParagraph"/>
              <w:spacing w:line="210" w:lineRule="exact"/>
              <w:ind w:left="105"/>
              <w:rPr>
                <w:sz w:val="20"/>
              </w:rPr>
            </w:pPr>
            <w:r>
              <w:rPr>
                <w:spacing w:val="-6"/>
                <w:sz w:val="20"/>
              </w:rPr>
              <w:t>7-</w:t>
            </w:r>
            <w:r>
              <w:rPr>
                <w:spacing w:val="-10"/>
                <w:sz w:val="20"/>
              </w:rPr>
              <w:t>8</w:t>
            </w:r>
          </w:p>
        </w:tc>
        <w:tc>
          <w:tcPr>
            <w:tcW w:w="12259" w:type="dxa"/>
          </w:tcPr>
          <w:p>
            <w:pPr>
              <w:pStyle w:val="TableParagraph"/>
              <w:spacing w:line="210" w:lineRule="exact"/>
              <w:ind w:left="109"/>
              <w:rPr>
                <w:sz w:val="20"/>
              </w:rPr>
            </w:pPr>
            <w:r>
              <w:rPr>
                <w:spacing w:val="-4"/>
                <w:sz w:val="20"/>
              </w:rPr>
              <w:t>Integrated</w:t>
            </w:r>
            <w:r>
              <w:rPr>
                <w:spacing w:val="-1"/>
                <w:sz w:val="20"/>
              </w:rPr>
              <w:t> </w:t>
            </w:r>
            <w:r>
              <w:rPr>
                <w:spacing w:val="-4"/>
                <w:sz w:val="20"/>
              </w:rPr>
              <w:t>governance</w:t>
            </w:r>
            <w:r>
              <w:rPr>
                <w:spacing w:val="-1"/>
                <w:sz w:val="20"/>
              </w:rPr>
              <w:t> </w:t>
            </w:r>
            <w:r>
              <w:rPr>
                <w:spacing w:val="-4"/>
                <w:sz w:val="20"/>
              </w:rPr>
              <w:t>under</w:t>
            </w:r>
            <w:r>
              <w:rPr>
                <w:spacing w:val="-1"/>
                <w:sz w:val="20"/>
              </w:rPr>
              <w:t> </w:t>
            </w:r>
            <w:r>
              <w:rPr>
                <w:spacing w:val="-4"/>
                <w:sz w:val="20"/>
              </w:rPr>
              <w:t>a</w:t>
            </w:r>
            <w:r>
              <w:rPr>
                <w:sz w:val="20"/>
              </w:rPr>
              <w:t> </w:t>
            </w:r>
            <w:r>
              <w:rPr>
                <w:spacing w:val="-4"/>
                <w:sz w:val="20"/>
              </w:rPr>
              <w:t>shared</w:t>
            </w:r>
            <w:r>
              <w:rPr>
                <w:spacing w:val="-1"/>
                <w:sz w:val="20"/>
              </w:rPr>
              <w:t> </w:t>
            </w:r>
            <w:r>
              <w:rPr>
                <w:spacing w:val="-4"/>
                <w:sz w:val="20"/>
              </w:rPr>
              <w:t>executive</w:t>
            </w:r>
            <w:r>
              <w:rPr>
                <w:spacing w:val="-1"/>
                <w:sz w:val="20"/>
              </w:rPr>
              <w:t> </w:t>
            </w:r>
            <w:r>
              <w:rPr>
                <w:spacing w:val="-4"/>
                <w:sz w:val="20"/>
              </w:rPr>
              <w:t>or</w:t>
            </w:r>
            <w:r>
              <w:rPr>
                <w:spacing w:val="-7"/>
                <w:sz w:val="20"/>
              </w:rPr>
              <w:t> </w:t>
            </w:r>
            <w:r>
              <w:rPr>
                <w:spacing w:val="-4"/>
                <w:sz w:val="20"/>
              </w:rPr>
              <w:t>Board.</w:t>
            </w:r>
          </w:p>
        </w:tc>
      </w:tr>
    </w:tbl>
    <w:p>
      <w:pPr>
        <w:pStyle w:val="TableParagraph"/>
        <w:spacing w:after="0" w:line="210" w:lineRule="exact"/>
        <w:rPr>
          <w:sz w:val="20"/>
        </w:rPr>
        <w:sectPr>
          <w:footerReference w:type="default" r:id="rId19"/>
          <w:pgSz w:w="16840" w:h="11910" w:orient="landscape"/>
          <w:pgMar w:header="0" w:footer="680" w:top="640" w:bottom="880" w:left="850" w:right="1133"/>
        </w:sectPr>
      </w:pPr>
    </w:p>
    <w:p>
      <w:pPr>
        <w:tabs>
          <w:tab w:pos="11038" w:val="left" w:leader="none"/>
        </w:tabs>
        <w:spacing w:line="240" w:lineRule="auto"/>
        <w:ind w:left="49" w:right="0" w:firstLine="0"/>
        <w:rPr>
          <w:position w:val="4"/>
          <w:sz w:val="20"/>
        </w:rPr>
      </w:pPr>
      <w:r>
        <w:rPr>
          <w:sz w:val="20"/>
        </w:rPr>
        <w:drawing>
          <wp:inline distT="0" distB="0" distL="0" distR="0">
            <wp:extent cx="2446561" cy="536543"/>
            <wp:effectExtent l="0" t="0" r="0" b="0"/>
            <wp:docPr id="86" name="Image 86"/>
            <wp:cNvGraphicFramePr>
              <a:graphicFrameLocks/>
            </wp:cNvGraphicFramePr>
            <a:graphic>
              <a:graphicData uri="http://schemas.openxmlformats.org/drawingml/2006/picture">
                <pic:pic>
                  <pic:nvPicPr>
                    <pic:cNvPr id="86" name="Image 86"/>
                    <pic:cNvPicPr/>
                  </pic:nvPicPr>
                  <pic:blipFill>
                    <a:blip r:embed="rId7" cstate="print"/>
                    <a:stretch>
                      <a:fillRect/>
                    </a:stretch>
                  </pic:blipFill>
                  <pic:spPr>
                    <a:xfrm>
                      <a:off x="0" y="0"/>
                      <a:ext cx="2446561" cy="536543"/>
                    </a:xfrm>
                    <a:prstGeom prst="rect">
                      <a:avLst/>
                    </a:prstGeom>
                  </pic:spPr>
                </pic:pic>
              </a:graphicData>
            </a:graphic>
          </wp:inline>
        </w:drawing>
      </w:r>
      <w:r>
        <w:rPr>
          <w:sz w:val="20"/>
        </w:rPr>
      </w:r>
      <w:r>
        <w:rPr>
          <w:sz w:val="20"/>
        </w:rPr>
        <w:tab/>
      </w:r>
      <w:r>
        <w:rPr>
          <w:position w:val="4"/>
          <w:sz w:val="20"/>
        </w:rPr>
        <w:drawing>
          <wp:inline distT="0" distB="0" distL="0" distR="0">
            <wp:extent cx="2245665" cy="510349"/>
            <wp:effectExtent l="0" t="0" r="0" b="0"/>
            <wp:docPr id="87" name="Image 87"/>
            <wp:cNvGraphicFramePr>
              <a:graphicFrameLocks/>
            </wp:cNvGraphicFramePr>
            <a:graphic>
              <a:graphicData uri="http://schemas.openxmlformats.org/drawingml/2006/picture">
                <pic:pic>
                  <pic:nvPicPr>
                    <pic:cNvPr id="87" name="Image 87"/>
                    <pic:cNvPicPr/>
                  </pic:nvPicPr>
                  <pic:blipFill>
                    <a:blip r:embed="rId8" cstate="print"/>
                    <a:stretch>
                      <a:fillRect/>
                    </a:stretch>
                  </pic:blipFill>
                  <pic:spPr>
                    <a:xfrm>
                      <a:off x="0" y="0"/>
                      <a:ext cx="2245665" cy="510349"/>
                    </a:xfrm>
                    <a:prstGeom prst="rect">
                      <a:avLst/>
                    </a:prstGeom>
                  </pic:spPr>
                </pic:pic>
              </a:graphicData>
            </a:graphic>
          </wp:inline>
        </w:drawing>
      </w:r>
      <w:r>
        <w:rPr>
          <w:position w:val="4"/>
          <w:sz w:val="20"/>
        </w:rPr>
      </w:r>
    </w:p>
    <w:p>
      <w:pPr>
        <w:pStyle w:val="BodyText"/>
        <w:spacing w:before="83"/>
        <w:rPr>
          <w:sz w:val="20"/>
        </w:rPr>
      </w:pPr>
    </w:p>
    <w:p>
      <w:pPr>
        <w:pStyle w:val="ListParagraph"/>
        <w:numPr>
          <w:ilvl w:val="0"/>
          <w:numId w:val="9"/>
        </w:numPr>
        <w:tabs>
          <w:tab w:pos="769" w:val="left" w:leader="none"/>
        </w:tabs>
        <w:spacing w:line="240" w:lineRule="auto" w:before="0" w:after="0"/>
        <w:ind w:left="769" w:right="0" w:hanging="359"/>
        <w:jc w:val="left"/>
        <w:rPr>
          <w:b/>
          <w:sz w:val="20"/>
        </w:rPr>
      </w:pPr>
      <w:r>
        <w:rPr>
          <w:b/>
          <w:spacing w:val="-2"/>
          <w:sz w:val="20"/>
        </w:rPr>
        <w:t>Summary</w:t>
      </w:r>
    </w:p>
    <w:p>
      <w:pPr>
        <w:pStyle w:val="BodyText"/>
        <w:rPr>
          <w:b/>
          <w:sz w:val="20"/>
        </w:rPr>
      </w:pPr>
    </w:p>
    <w:p>
      <w:pPr>
        <w:spacing w:before="0"/>
        <w:ind w:left="50" w:right="42" w:firstLine="0"/>
        <w:jc w:val="left"/>
        <w:rPr>
          <w:sz w:val="20"/>
        </w:rPr>
      </w:pPr>
      <w:r>
        <w:rPr>
          <w:spacing w:val="-2"/>
          <w:sz w:val="20"/>
        </w:rPr>
        <w:t>This</w:t>
      </w:r>
      <w:r>
        <w:rPr>
          <w:spacing w:val="-6"/>
          <w:sz w:val="20"/>
        </w:rPr>
        <w:t> </w:t>
      </w:r>
      <w:r>
        <w:rPr>
          <w:spacing w:val="-2"/>
          <w:sz w:val="20"/>
        </w:rPr>
        <w:t>framework</w:t>
      </w:r>
      <w:r>
        <w:rPr>
          <w:spacing w:val="-5"/>
          <w:sz w:val="20"/>
        </w:rPr>
        <w:t> </w:t>
      </w:r>
      <w:r>
        <w:rPr>
          <w:spacing w:val="-2"/>
          <w:sz w:val="20"/>
        </w:rPr>
        <w:t>supports</w:t>
      </w:r>
      <w:r>
        <w:rPr>
          <w:spacing w:val="-6"/>
          <w:sz w:val="20"/>
        </w:rPr>
        <w:t> </w:t>
      </w:r>
      <w:r>
        <w:rPr>
          <w:spacing w:val="-2"/>
          <w:sz w:val="20"/>
        </w:rPr>
        <w:t>a</w:t>
      </w:r>
      <w:r>
        <w:rPr>
          <w:spacing w:val="-7"/>
          <w:sz w:val="20"/>
        </w:rPr>
        <w:t> </w:t>
      </w:r>
      <w:r>
        <w:rPr>
          <w:spacing w:val="-2"/>
          <w:sz w:val="20"/>
        </w:rPr>
        <w:t>shift</w:t>
      </w:r>
      <w:r>
        <w:rPr>
          <w:spacing w:val="-7"/>
          <w:sz w:val="20"/>
        </w:rPr>
        <w:t> </w:t>
      </w:r>
      <w:r>
        <w:rPr>
          <w:spacing w:val="-2"/>
          <w:sz w:val="20"/>
        </w:rPr>
        <w:t>from</w:t>
      </w:r>
      <w:r>
        <w:rPr>
          <w:spacing w:val="-8"/>
          <w:sz w:val="20"/>
        </w:rPr>
        <w:t> </w:t>
      </w:r>
      <w:r>
        <w:rPr>
          <w:spacing w:val="-2"/>
          <w:sz w:val="20"/>
        </w:rPr>
        <w:t>a</w:t>
      </w:r>
      <w:r>
        <w:rPr>
          <w:spacing w:val="-7"/>
          <w:sz w:val="20"/>
        </w:rPr>
        <w:t> </w:t>
      </w:r>
      <w:r>
        <w:rPr>
          <w:spacing w:val="-2"/>
          <w:sz w:val="20"/>
        </w:rPr>
        <w:t>structural debate</w:t>
      </w:r>
      <w:r>
        <w:rPr>
          <w:spacing w:val="-7"/>
          <w:sz w:val="20"/>
        </w:rPr>
        <w:t> </w:t>
      </w:r>
      <w:r>
        <w:rPr>
          <w:spacing w:val="-2"/>
          <w:sz w:val="20"/>
        </w:rPr>
        <w:t>into</w:t>
      </w:r>
      <w:r>
        <w:rPr>
          <w:spacing w:val="-7"/>
          <w:sz w:val="20"/>
        </w:rPr>
        <w:t> </w:t>
      </w:r>
      <w:r>
        <w:rPr>
          <w:spacing w:val="-2"/>
          <w:sz w:val="20"/>
        </w:rPr>
        <w:t>a</w:t>
      </w:r>
      <w:r>
        <w:rPr>
          <w:spacing w:val="-7"/>
          <w:sz w:val="20"/>
        </w:rPr>
        <w:t> </w:t>
      </w:r>
      <w:r>
        <w:rPr>
          <w:spacing w:val="-2"/>
          <w:sz w:val="20"/>
        </w:rPr>
        <w:t>value</w:t>
      </w:r>
      <w:r>
        <w:rPr>
          <w:spacing w:val="-7"/>
          <w:sz w:val="20"/>
        </w:rPr>
        <w:t> </w:t>
      </w:r>
      <w:r>
        <w:rPr>
          <w:spacing w:val="-2"/>
          <w:sz w:val="20"/>
        </w:rPr>
        <w:t>extraction</w:t>
      </w:r>
      <w:r>
        <w:rPr>
          <w:spacing w:val="-7"/>
          <w:sz w:val="20"/>
        </w:rPr>
        <w:t> </w:t>
      </w:r>
      <w:r>
        <w:rPr>
          <w:spacing w:val="-2"/>
          <w:sz w:val="20"/>
        </w:rPr>
        <w:t>discussion.</w:t>
      </w:r>
      <w:r>
        <w:rPr>
          <w:spacing w:val="-12"/>
          <w:sz w:val="20"/>
        </w:rPr>
        <w:t> </w:t>
      </w:r>
      <w:r>
        <w:rPr>
          <w:spacing w:val="-2"/>
          <w:sz w:val="20"/>
        </w:rPr>
        <w:t>Collaboration</w:t>
      </w:r>
      <w:r>
        <w:rPr>
          <w:spacing w:val="-7"/>
          <w:sz w:val="20"/>
        </w:rPr>
        <w:t> </w:t>
      </w:r>
      <w:r>
        <w:rPr>
          <w:spacing w:val="-2"/>
          <w:sz w:val="20"/>
        </w:rPr>
        <w:t>only</w:t>
      </w:r>
      <w:r>
        <w:rPr>
          <w:spacing w:val="-5"/>
          <w:sz w:val="20"/>
        </w:rPr>
        <w:t> </w:t>
      </w:r>
      <w:r>
        <w:rPr>
          <w:spacing w:val="-2"/>
          <w:sz w:val="20"/>
        </w:rPr>
        <w:t>matters</w:t>
      </w:r>
      <w:r>
        <w:rPr>
          <w:spacing w:val="-6"/>
          <w:sz w:val="20"/>
        </w:rPr>
        <w:t> </w:t>
      </w:r>
      <w:r>
        <w:rPr>
          <w:spacing w:val="-2"/>
          <w:sz w:val="20"/>
        </w:rPr>
        <w:t>insofar</w:t>
      </w:r>
      <w:r>
        <w:rPr>
          <w:spacing w:val="-7"/>
          <w:sz w:val="20"/>
        </w:rPr>
        <w:t> </w:t>
      </w:r>
      <w:r>
        <w:rPr>
          <w:spacing w:val="-2"/>
          <w:sz w:val="20"/>
        </w:rPr>
        <w:t>as</w:t>
      </w:r>
      <w:r>
        <w:rPr>
          <w:spacing w:val="-6"/>
          <w:sz w:val="20"/>
        </w:rPr>
        <w:t> </w:t>
      </w:r>
      <w:r>
        <w:rPr>
          <w:spacing w:val="-2"/>
          <w:sz w:val="20"/>
        </w:rPr>
        <w:t>it produces</w:t>
      </w:r>
      <w:r>
        <w:rPr>
          <w:spacing w:val="-5"/>
          <w:sz w:val="20"/>
        </w:rPr>
        <w:t> </w:t>
      </w:r>
      <w:r>
        <w:rPr>
          <w:spacing w:val="-2"/>
          <w:sz w:val="20"/>
        </w:rPr>
        <w:t>better</w:t>
      </w:r>
      <w:r>
        <w:rPr>
          <w:spacing w:val="-7"/>
          <w:sz w:val="20"/>
        </w:rPr>
        <w:t> </w:t>
      </w:r>
      <w:r>
        <w:rPr>
          <w:spacing w:val="-2"/>
          <w:sz w:val="20"/>
        </w:rPr>
        <w:t>value:</w:t>
      </w:r>
      <w:r>
        <w:rPr>
          <w:spacing w:val="-6"/>
          <w:sz w:val="20"/>
        </w:rPr>
        <w:t> </w:t>
      </w:r>
      <w:r>
        <w:rPr>
          <w:spacing w:val="-2"/>
          <w:sz w:val="20"/>
        </w:rPr>
        <w:t>better</w:t>
      </w:r>
      <w:r>
        <w:rPr>
          <w:spacing w:val="-7"/>
          <w:sz w:val="20"/>
        </w:rPr>
        <w:t> </w:t>
      </w:r>
      <w:r>
        <w:rPr>
          <w:spacing w:val="-2"/>
          <w:sz w:val="20"/>
        </w:rPr>
        <w:t>outcomes, lower</w:t>
      </w:r>
      <w:r>
        <w:rPr>
          <w:spacing w:val="-12"/>
          <w:sz w:val="20"/>
        </w:rPr>
        <w:t> </w:t>
      </w:r>
      <w:r>
        <w:rPr>
          <w:spacing w:val="-2"/>
          <w:sz w:val="20"/>
        </w:rPr>
        <w:t>risk,</w:t>
      </w:r>
      <w:r>
        <w:rPr>
          <w:spacing w:val="-12"/>
          <w:sz w:val="20"/>
        </w:rPr>
        <w:t> </w:t>
      </w:r>
      <w:r>
        <w:rPr>
          <w:spacing w:val="-2"/>
          <w:sz w:val="20"/>
        </w:rPr>
        <w:t>greater</w:t>
      </w:r>
      <w:r>
        <w:rPr>
          <w:spacing w:val="-9"/>
          <w:sz w:val="20"/>
        </w:rPr>
        <w:t> </w:t>
      </w:r>
      <w:r>
        <w:rPr>
          <w:spacing w:val="-2"/>
          <w:sz w:val="20"/>
        </w:rPr>
        <w:t>resilience</w:t>
      </w:r>
      <w:r>
        <w:rPr>
          <w:spacing w:val="-11"/>
          <w:sz w:val="20"/>
        </w:rPr>
        <w:t> </w:t>
      </w:r>
      <w:r>
        <w:rPr>
          <w:spacing w:val="-2"/>
          <w:sz w:val="20"/>
        </w:rPr>
        <w:t>or</w:t>
      </w:r>
      <w:r>
        <w:rPr>
          <w:spacing w:val="-11"/>
          <w:sz w:val="20"/>
        </w:rPr>
        <w:t> </w:t>
      </w:r>
      <w:r>
        <w:rPr>
          <w:spacing w:val="-2"/>
          <w:sz w:val="20"/>
        </w:rPr>
        <w:t>released</w:t>
      </w:r>
      <w:r>
        <w:rPr>
          <w:spacing w:val="-11"/>
          <w:sz w:val="20"/>
        </w:rPr>
        <w:t> </w:t>
      </w:r>
      <w:r>
        <w:rPr>
          <w:spacing w:val="-2"/>
          <w:sz w:val="20"/>
        </w:rPr>
        <w:t>capacity.</w:t>
      </w:r>
      <w:r>
        <w:rPr>
          <w:spacing w:val="-11"/>
          <w:sz w:val="20"/>
        </w:rPr>
        <w:t> </w:t>
      </w:r>
      <w:r>
        <w:rPr>
          <w:spacing w:val="-2"/>
          <w:sz w:val="20"/>
        </w:rPr>
        <w:t>This</w:t>
      </w:r>
      <w:r>
        <w:rPr>
          <w:spacing w:val="-12"/>
          <w:sz w:val="20"/>
        </w:rPr>
        <w:t> </w:t>
      </w:r>
      <w:r>
        <w:rPr>
          <w:spacing w:val="-2"/>
          <w:sz w:val="20"/>
        </w:rPr>
        <w:t>is</w:t>
      </w:r>
      <w:r>
        <w:rPr>
          <w:spacing w:val="-9"/>
          <w:sz w:val="20"/>
        </w:rPr>
        <w:t> </w:t>
      </w:r>
      <w:r>
        <w:rPr>
          <w:spacing w:val="-2"/>
          <w:sz w:val="20"/>
        </w:rPr>
        <w:t>a</w:t>
      </w:r>
      <w:r>
        <w:rPr>
          <w:spacing w:val="-7"/>
          <w:sz w:val="20"/>
        </w:rPr>
        <w:t> </w:t>
      </w:r>
      <w:r>
        <w:rPr>
          <w:spacing w:val="-2"/>
          <w:sz w:val="20"/>
        </w:rPr>
        <w:t>spectrum</w:t>
      </w:r>
      <w:r>
        <w:rPr>
          <w:spacing w:val="-11"/>
          <w:sz w:val="20"/>
        </w:rPr>
        <w:t> </w:t>
      </w:r>
      <w:r>
        <w:rPr>
          <w:spacing w:val="-2"/>
          <w:sz w:val="20"/>
        </w:rPr>
        <w:t>and</w:t>
      </w:r>
      <w:r>
        <w:rPr>
          <w:spacing w:val="-11"/>
          <w:sz w:val="20"/>
        </w:rPr>
        <w:t> </w:t>
      </w:r>
      <w:r>
        <w:rPr>
          <w:spacing w:val="-2"/>
          <w:sz w:val="20"/>
        </w:rPr>
        <w:t>not</w:t>
      </w:r>
      <w:r>
        <w:rPr>
          <w:spacing w:val="-7"/>
          <w:sz w:val="20"/>
        </w:rPr>
        <w:t> </w:t>
      </w:r>
      <w:r>
        <w:rPr>
          <w:spacing w:val="-2"/>
          <w:sz w:val="20"/>
        </w:rPr>
        <w:t>a</w:t>
      </w:r>
      <w:r>
        <w:rPr>
          <w:spacing w:val="-10"/>
          <w:sz w:val="20"/>
        </w:rPr>
        <w:t> </w:t>
      </w:r>
      <w:r>
        <w:rPr>
          <w:spacing w:val="-2"/>
          <w:sz w:val="20"/>
        </w:rPr>
        <w:t>roadmap:</w:t>
      </w:r>
      <w:r>
        <w:rPr>
          <w:spacing w:val="-11"/>
          <w:sz w:val="20"/>
        </w:rPr>
        <w:t> </w:t>
      </w:r>
      <w:r>
        <w:rPr>
          <w:spacing w:val="-2"/>
          <w:sz w:val="20"/>
        </w:rPr>
        <w:t>with</w:t>
      </w:r>
      <w:r>
        <w:rPr>
          <w:spacing w:val="-12"/>
          <w:sz w:val="20"/>
        </w:rPr>
        <w:t> </w:t>
      </w:r>
      <w:r>
        <w:rPr>
          <w:spacing w:val="-2"/>
          <w:sz w:val="20"/>
        </w:rPr>
        <w:t>learning,</w:t>
      </w:r>
      <w:r>
        <w:rPr>
          <w:spacing w:val="-11"/>
          <w:sz w:val="20"/>
        </w:rPr>
        <w:t> </w:t>
      </w:r>
      <w:r>
        <w:rPr>
          <w:spacing w:val="-2"/>
          <w:sz w:val="20"/>
        </w:rPr>
        <w:t>shared</w:t>
      </w:r>
      <w:r>
        <w:rPr>
          <w:spacing w:val="-11"/>
          <w:sz w:val="20"/>
        </w:rPr>
        <w:t> </w:t>
      </w:r>
      <w:r>
        <w:rPr>
          <w:spacing w:val="-2"/>
          <w:sz w:val="20"/>
        </w:rPr>
        <w:t>services,</w:t>
      </w:r>
      <w:r>
        <w:rPr>
          <w:spacing w:val="-11"/>
          <w:sz w:val="20"/>
        </w:rPr>
        <w:t> </w:t>
      </w:r>
      <w:r>
        <w:rPr>
          <w:spacing w:val="-2"/>
          <w:sz w:val="20"/>
        </w:rPr>
        <w:t>managed</w:t>
      </w:r>
      <w:r>
        <w:rPr>
          <w:spacing w:val="-11"/>
          <w:sz w:val="20"/>
        </w:rPr>
        <w:t> </w:t>
      </w:r>
      <w:r>
        <w:rPr>
          <w:spacing w:val="-2"/>
          <w:sz w:val="20"/>
        </w:rPr>
        <w:t>delivery,</w:t>
      </w:r>
      <w:r>
        <w:rPr>
          <w:spacing w:val="-11"/>
          <w:sz w:val="20"/>
        </w:rPr>
        <w:t> </w:t>
      </w:r>
      <w:r>
        <w:rPr>
          <w:spacing w:val="-2"/>
          <w:sz w:val="20"/>
        </w:rPr>
        <w:t>and</w:t>
      </w:r>
      <w:r>
        <w:rPr>
          <w:spacing w:val="-12"/>
          <w:sz w:val="20"/>
        </w:rPr>
        <w:t> </w:t>
      </w:r>
      <w:r>
        <w:rPr>
          <w:spacing w:val="-2"/>
          <w:sz w:val="20"/>
        </w:rPr>
        <w:t>integration</w:t>
      </w:r>
      <w:r>
        <w:rPr>
          <w:spacing w:val="-11"/>
          <w:sz w:val="20"/>
        </w:rPr>
        <w:t> </w:t>
      </w:r>
      <w:r>
        <w:rPr>
          <w:spacing w:val="-2"/>
          <w:sz w:val="20"/>
        </w:rPr>
        <w:t>as</w:t>
      </w:r>
      <w:r>
        <w:rPr>
          <w:spacing w:val="-10"/>
          <w:sz w:val="20"/>
        </w:rPr>
        <w:t> </w:t>
      </w:r>
      <w:r>
        <w:rPr>
          <w:spacing w:val="-2"/>
          <w:sz w:val="20"/>
        </w:rPr>
        <w:t>options,</w:t>
      </w:r>
      <w:r>
        <w:rPr>
          <w:spacing w:val="-11"/>
          <w:sz w:val="20"/>
        </w:rPr>
        <w:t> </w:t>
      </w:r>
      <w:r>
        <w:rPr>
          <w:spacing w:val="-2"/>
          <w:sz w:val="20"/>
        </w:rPr>
        <w:t>there is</w:t>
      </w:r>
      <w:r>
        <w:rPr>
          <w:spacing w:val="-4"/>
          <w:sz w:val="20"/>
        </w:rPr>
        <w:t> </w:t>
      </w:r>
      <w:r>
        <w:rPr>
          <w:spacing w:val="-2"/>
          <w:sz w:val="20"/>
        </w:rPr>
        <w:t>no</w:t>
      </w:r>
      <w:r>
        <w:rPr>
          <w:spacing w:val="-6"/>
          <w:sz w:val="20"/>
        </w:rPr>
        <w:t> </w:t>
      </w:r>
      <w:r>
        <w:rPr>
          <w:spacing w:val="-2"/>
          <w:sz w:val="20"/>
        </w:rPr>
        <w:t>single</w:t>
      </w:r>
      <w:r>
        <w:rPr>
          <w:spacing w:val="-5"/>
          <w:sz w:val="20"/>
        </w:rPr>
        <w:t> </w:t>
      </w:r>
      <w:r>
        <w:rPr>
          <w:spacing w:val="-2"/>
          <w:sz w:val="20"/>
        </w:rPr>
        <w:t>universal</w:t>
      </w:r>
      <w:r>
        <w:rPr>
          <w:spacing w:val="-4"/>
          <w:sz w:val="20"/>
        </w:rPr>
        <w:t> </w:t>
      </w:r>
      <w:r>
        <w:rPr>
          <w:spacing w:val="-2"/>
          <w:sz w:val="20"/>
        </w:rPr>
        <w:t>destination</w:t>
      </w:r>
      <w:r>
        <w:rPr>
          <w:spacing w:val="-6"/>
          <w:sz w:val="20"/>
        </w:rPr>
        <w:t> </w:t>
      </w:r>
      <w:r>
        <w:rPr>
          <w:spacing w:val="-2"/>
          <w:sz w:val="20"/>
        </w:rPr>
        <w:t>(unless</w:t>
      </w:r>
      <w:r>
        <w:rPr>
          <w:spacing w:val="-4"/>
          <w:sz w:val="20"/>
        </w:rPr>
        <w:t> </w:t>
      </w:r>
      <w:r>
        <w:rPr>
          <w:spacing w:val="-2"/>
          <w:sz w:val="20"/>
        </w:rPr>
        <w:t>the</w:t>
      </w:r>
      <w:r>
        <w:rPr>
          <w:spacing w:val="-6"/>
          <w:sz w:val="20"/>
        </w:rPr>
        <w:t> </w:t>
      </w:r>
      <w:r>
        <w:rPr>
          <w:spacing w:val="-2"/>
          <w:sz w:val="20"/>
        </w:rPr>
        <w:t>policy</w:t>
      </w:r>
      <w:r>
        <w:rPr>
          <w:spacing w:val="-5"/>
          <w:sz w:val="20"/>
        </w:rPr>
        <w:t> </w:t>
      </w:r>
      <w:r>
        <w:rPr>
          <w:spacing w:val="-2"/>
          <w:sz w:val="20"/>
        </w:rPr>
        <w:t>landscape</w:t>
      </w:r>
      <w:r>
        <w:rPr>
          <w:spacing w:val="-6"/>
          <w:sz w:val="20"/>
        </w:rPr>
        <w:t> </w:t>
      </w:r>
      <w:r>
        <w:rPr>
          <w:spacing w:val="-2"/>
          <w:sz w:val="20"/>
        </w:rPr>
        <w:t>changes).</w:t>
      </w:r>
      <w:r>
        <w:rPr>
          <w:spacing w:val="-6"/>
          <w:sz w:val="20"/>
        </w:rPr>
        <w:t> </w:t>
      </w:r>
      <w:r>
        <w:rPr>
          <w:spacing w:val="-2"/>
          <w:sz w:val="20"/>
        </w:rPr>
        <w:t>The</w:t>
      </w:r>
      <w:r>
        <w:rPr>
          <w:spacing w:val="-6"/>
          <w:sz w:val="20"/>
        </w:rPr>
        <w:t> </w:t>
      </w:r>
      <w:r>
        <w:rPr>
          <w:spacing w:val="-2"/>
          <w:sz w:val="20"/>
        </w:rPr>
        <w:t>value</w:t>
      </w:r>
      <w:r>
        <w:rPr>
          <w:spacing w:val="-6"/>
          <w:sz w:val="20"/>
        </w:rPr>
        <w:t> </w:t>
      </w:r>
      <w:r>
        <w:rPr>
          <w:spacing w:val="-2"/>
          <w:sz w:val="20"/>
        </w:rPr>
        <w:t>extraction</w:t>
      </w:r>
      <w:r>
        <w:rPr>
          <w:spacing w:val="-6"/>
          <w:sz w:val="20"/>
        </w:rPr>
        <w:t> </w:t>
      </w:r>
      <w:r>
        <w:rPr>
          <w:spacing w:val="-2"/>
          <w:sz w:val="20"/>
        </w:rPr>
        <w:t>framework</w:t>
      </w:r>
      <w:r>
        <w:rPr>
          <w:spacing w:val="-4"/>
          <w:sz w:val="20"/>
        </w:rPr>
        <w:t> </w:t>
      </w:r>
      <w:r>
        <w:rPr>
          <w:spacing w:val="-2"/>
          <w:sz w:val="20"/>
        </w:rPr>
        <w:t>needs</w:t>
      </w:r>
      <w:r>
        <w:rPr>
          <w:spacing w:val="-5"/>
          <w:sz w:val="20"/>
        </w:rPr>
        <w:t> </w:t>
      </w:r>
      <w:r>
        <w:rPr>
          <w:spacing w:val="-2"/>
          <w:sz w:val="20"/>
        </w:rPr>
        <w:t>to</w:t>
      </w:r>
      <w:r>
        <w:rPr>
          <w:spacing w:val="-6"/>
          <w:sz w:val="20"/>
        </w:rPr>
        <w:t> </w:t>
      </w:r>
      <w:r>
        <w:rPr>
          <w:spacing w:val="-2"/>
          <w:sz w:val="20"/>
        </w:rPr>
        <w:t>be</w:t>
      </w:r>
      <w:r>
        <w:rPr>
          <w:spacing w:val="-6"/>
          <w:sz w:val="20"/>
        </w:rPr>
        <w:t> </w:t>
      </w:r>
      <w:r>
        <w:rPr>
          <w:spacing w:val="-2"/>
          <w:sz w:val="20"/>
        </w:rPr>
        <w:t>utilised</w:t>
      </w:r>
      <w:r>
        <w:rPr>
          <w:spacing w:val="-3"/>
          <w:sz w:val="20"/>
        </w:rPr>
        <w:t> </w:t>
      </w:r>
      <w:r>
        <w:rPr>
          <w:spacing w:val="-2"/>
          <w:sz w:val="20"/>
        </w:rPr>
        <w:t>for each</w:t>
      </w:r>
      <w:r>
        <w:rPr>
          <w:spacing w:val="-6"/>
          <w:sz w:val="20"/>
        </w:rPr>
        <w:t> </w:t>
      </w:r>
      <w:r>
        <w:rPr>
          <w:spacing w:val="-2"/>
          <w:sz w:val="20"/>
        </w:rPr>
        <w:t>service.</w:t>
      </w:r>
    </w:p>
    <w:p>
      <w:pPr>
        <w:pStyle w:val="BodyText"/>
        <w:spacing w:before="1"/>
        <w:rPr>
          <w:sz w:val="20"/>
        </w:rPr>
      </w:pPr>
    </w:p>
    <w:p>
      <w:pPr>
        <w:spacing w:before="0"/>
        <w:ind w:left="50" w:right="0" w:firstLine="0"/>
        <w:jc w:val="left"/>
        <w:rPr>
          <w:sz w:val="20"/>
        </w:rPr>
      </w:pPr>
      <w:r>
        <w:rPr>
          <w:spacing w:val="-2"/>
          <w:sz w:val="20"/>
        </w:rPr>
        <w:t>This</w:t>
      </w:r>
      <w:r>
        <w:rPr>
          <w:spacing w:val="-6"/>
          <w:sz w:val="20"/>
        </w:rPr>
        <w:t> </w:t>
      </w:r>
      <w:r>
        <w:rPr>
          <w:spacing w:val="-2"/>
          <w:sz w:val="20"/>
        </w:rPr>
        <w:t>will</w:t>
      </w:r>
      <w:r>
        <w:rPr>
          <w:spacing w:val="-5"/>
          <w:sz w:val="20"/>
        </w:rPr>
        <w:t> </w:t>
      </w:r>
      <w:r>
        <w:rPr>
          <w:spacing w:val="-2"/>
          <w:sz w:val="20"/>
        </w:rPr>
        <w:t>support</w:t>
      </w:r>
      <w:r>
        <w:rPr>
          <w:spacing w:val="-6"/>
          <w:sz w:val="20"/>
        </w:rPr>
        <w:t> </w:t>
      </w:r>
      <w:r>
        <w:rPr>
          <w:spacing w:val="-2"/>
          <w:sz w:val="20"/>
        </w:rPr>
        <w:t>and</w:t>
      </w:r>
      <w:r>
        <w:rPr>
          <w:spacing w:val="-7"/>
          <w:sz w:val="20"/>
        </w:rPr>
        <w:t> </w:t>
      </w:r>
      <w:r>
        <w:rPr>
          <w:spacing w:val="-2"/>
          <w:sz w:val="20"/>
        </w:rPr>
        <w:t>mitigate</w:t>
      </w:r>
      <w:r>
        <w:rPr>
          <w:spacing w:val="-7"/>
          <w:sz w:val="20"/>
        </w:rPr>
        <w:t> </w:t>
      </w:r>
      <w:r>
        <w:rPr>
          <w:spacing w:val="-2"/>
          <w:sz w:val="20"/>
        </w:rPr>
        <w:t>the</w:t>
      </w:r>
      <w:r>
        <w:rPr>
          <w:spacing w:val="-7"/>
          <w:sz w:val="20"/>
        </w:rPr>
        <w:t> </w:t>
      </w:r>
      <w:r>
        <w:rPr>
          <w:spacing w:val="-2"/>
          <w:sz w:val="20"/>
        </w:rPr>
        <w:t>risk</w:t>
      </w:r>
      <w:r>
        <w:rPr>
          <w:spacing w:val="-6"/>
          <w:sz w:val="20"/>
        </w:rPr>
        <w:t> </w:t>
      </w:r>
      <w:r>
        <w:rPr>
          <w:spacing w:val="-2"/>
          <w:sz w:val="20"/>
        </w:rPr>
        <w:t>that</w:t>
      </w:r>
      <w:r>
        <w:rPr>
          <w:spacing w:val="-7"/>
          <w:sz w:val="20"/>
        </w:rPr>
        <w:t> </w:t>
      </w:r>
      <w:r>
        <w:rPr>
          <w:spacing w:val="-2"/>
          <w:sz w:val="20"/>
        </w:rPr>
        <w:t>ideological</w:t>
      </w:r>
      <w:r>
        <w:rPr>
          <w:spacing w:val="-5"/>
          <w:sz w:val="20"/>
        </w:rPr>
        <w:t> </w:t>
      </w:r>
      <w:r>
        <w:rPr>
          <w:spacing w:val="-2"/>
          <w:sz w:val="20"/>
        </w:rPr>
        <w:t>preferences</w:t>
      </w:r>
      <w:r>
        <w:rPr>
          <w:spacing w:val="-5"/>
          <w:sz w:val="20"/>
        </w:rPr>
        <w:t> </w:t>
      </w:r>
      <w:r>
        <w:rPr>
          <w:spacing w:val="-2"/>
          <w:sz w:val="20"/>
        </w:rPr>
        <w:t>will drive</w:t>
      </w:r>
      <w:r>
        <w:rPr>
          <w:spacing w:val="-7"/>
          <w:sz w:val="20"/>
        </w:rPr>
        <w:t> </w:t>
      </w:r>
      <w:r>
        <w:rPr>
          <w:spacing w:val="-2"/>
          <w:sz w:val="20"/>
        </w:rPr>
        <w:t>the</w:t>
      </w:r>
      <w:r>
        <w:rPr>
          <w:spacing w:val="-7"/>
          <w:sz w:val="20"/>
        </w:rPr>
        <w:t> </w:t>
      </w:r>
      <w:r>
        <w:rPr>
          <w:spacing w:val="-2"/>
          <w:sz w:val="20"/>
        </w:rPr>
        <w:t>organisational</w:t>
      </w:r>
      <w:r>
        <w:rPr>
          <w:spacing w:val="-5"/>
          <w:sz w:val="20"/>
        </w:rPr>
        <w:t> </w:t>
      </w:r>
      <w:r>
        <w:rPr>
          <w:spacing w:val="-2"/>
          <w:sz w:val="20"/>
        </w:rPr>
        <w:t>model,</w:t>
      </w:r>
      <w:r>
        <w:rPr>
          <w:spacing w:val="-7"/>
          <w:sz w:val="20"/>
        </w:rPr>
        <w:t> </w:t>
      </w:r>
      <w:r>
        <w:rPr>
          <w:spacing w:val="-2"/>
          <w:sz w:val="20"/>
        </w:rPr>
        <w:t>not</w:t>
      </w:r>
      <w:r>
        <w:rPr>
          <w:spacing w:val="-7"/>
          <w:sz w:val="20"/>
        </w:rPr>
        <w:t> </w:t>
      </w:r>
      <w:r>
        <w:rPr>
          <w:spacing w:val="-2"/>
          <w:sz w:val="20"/>
        </w:rPr>
        <w:t>the</w:t>
      </w:r>
      <w:r>
        <w:rPr>
          <w:spacing w:val="-7"/>
          <w:sz w:val="20"/>
        </w:rPr>
        <w:t> </w:t>
      </w:r>
      <w:r>
        <w:rPr>
          <w:spacing w:val="-2"/>
          <w:sz w:val="20"/>
        </w:rPr>
        <w:t>optimal</w:t>
      </w:r>
      <w:r>
        <w:rPr>
          <w:spacing w:val="-5"/>
          <w:sz w:val="20"/>
        </w:rPr>
        <w:t> </w:t>
      </w:r>
      <w:r>
        <w:rPr>
          <w:spacing w:val="-2"/>
          <w:sz w:val="20"/>
        </w:rPr>
        <w:t>value</w:t>
      </w:r>
      <w:r>
        <w:rPr>
          <w:spacing w:val="-12"/>
          <w:sz w:val="20"/>
        </w:rPr>
        <w:t> </w:t>
      </w:r>
      <w:r>
        <w:rPr>
          <w:spacing w:val="-2"/>
          <w:sz w:val="20"/>
        </w:rPr>
        <w:t>choice.</w:t>
      </w:r>
      <w:r>
        <w:rPr>
          <w:spacing w:val="-7"/>
          <w:sz w:val="20"/>
        </w:rPr>
        <w:t> </w:t>
      </w:r>
      <w:r>
        <w:rPr>
          <w:spacing w:val="-2"/>
          <w:sz w:val="20"/>
        </w:rPr>
        <w:t>That</w:t>
      </w:r>
      <w:r>
        <w:rPr>
          <w:spacing w:val="-6"/>
          <w:sz w:val="20"/>
        </w:rPr>
        <w:t> </w:t>
      </w:r>
      <w:r>
        <w:rPr>
          <w:spacing w:val="-2"/>
          <w:sz w:val="20"/>
        </w:rPr>
        <w:t>said,</w:t>
      </w:r>
      <w:r>
        <w:rPr>
          <w:spacing w:val="-6"/>
          <w:sz w:val="20"/>
        </w:rPr>
        <w:t> </w:t>
      </w:r>
      <w:r>
        <w:rPr>
          <w:spacing w:val="-2"/>
          <w:sz w:val="20"/>
        </w:rPr>
        <w:t>this</w:t>
      </w:r>
      <w:r>
        <w:rPr>
          <w:spacing w:val="-6"/>
          <w:sz w:val="20"/>
        </w:rPr>
        <w:t> </w:t>
      </w:r>
      <w:r>
        <w:rPr>
          <w:spacing w:val="-2"/>
          <w:sz w:val="20"/>
        </w:rPr>
        <w:t>does</w:t>
      </w:r>
      <w:r>
        <w:rPr>
          <w:spacing w:val="-6"/>
          <w:sz w:val="20"/>
        </w:rPr>
        <w:t> </w:t>
      </w:r>
      <w:r>
        <w:rPr>
          <w:spacing w:val="-2"/>
          <w:sz w:val="20"/>
        </w:rPr>
        <w:t>create</w:t>
      </w:r>
      <w:r>
        <w:rPr>
          <w:spacing w:val="-8"/>
          <w:sz w:val="20"/>
        </w:rPr>
        <w:t> </w:t>
      </w:r>
      <w:r>
        <w:rPr>
          <w:spacing w:val="-2"/>
          <w:sz w:val="20"/>
        </w:rPr>
        <w:t>a</w:t>
      </w:r>
      <w:r>
        <w:rPr>
          <w:spacing w:val="-7"/>
          <w:sz w:val="20"/>
        </w:rPr>
        <w:t> </w:t>
      </w:r>
      <w:r>
        <w:rPr>
          <w:spacing w:val="-2"/>
          <w:sz w:val="20"/>
        </w:rPr>
        <w:t>risk</w:t>
      </w:r>
      <w:r>
        <w:rPr>
          <w:spacing w:val="-5"/>
          <w:sz w:val="20"/>
        </w:rPr>
        <w:t> </w:t>
      </w:r>
      <w:r>
        <w:rPr>
          <w:spacing w:val="-2"/>
          <w:sz w:val="20"/>
        </w:rPr>
        <w:t>of</w:t>
      </w:r>
      <w:r>
        <w:rPr>
          <w:spacing w:val="-7"/>
          <w:sz w:val="20"/>
        </w:rPr>
        <w:t> </w:t>
      </w:r>
      <w:r>
        <w:rPr>
          <w:spacing w:val="-2"/>
          <w:sz w:val="20"/>
        </w:rPr>
        <w:t>a patchwork</w:t>
      </w:r>
      <w:r>
        <w:rPr>
          <w:spacing w:val="-12"/>
          <w:sz w:val="20"/>
        </w:rPr>
        <w:t> </w:t>
      </w:r>
      <w:r>
        <w:rPr>
          <w:spacing w:val="-2"/>
          <w:sz w:val="20"/>
        </w:rPr>
        <w:t>of</w:t>
      </w:r>
      <w:r>
        <w:rPr>
          <w:spacing w:val="-12"/>
          <w:sz w:val="20"/>
        </w:rPr>
        <w:t> </w:t>
      </w:r>
      <w:r>
        <w:rPr>
          <w:spacing w:val="-2"/>
          <w:sz w:val="20"/>
        </w:rPr>
        <w:t>governance</w:t>
      </w:r>
      <w:r>
        <w:rPr>
          <w:spacing w:val="-12"/>
          <w:sz w:val="20"/>
        </w:rPr>
        <w:t> </w:t>
      </w:r>
      <w:r>
        <w:rPr>
          <w:spacing w:val="-2"/>
          <w:sz w:val="20"/>
        </w:rPr>
        <w:t>arrangements</w:t>
      </w:r>
      <w:r>
        <w:rPr>
          <w:spacing w:val="-11"/>
          <w:sz w:val="20"/>
        </w:rPr>
        <w:t> </w:t>
      </w:r>
      <w:r>
        <w:rPr>
          <w:spacing w:val="-2"/>
          <w:sz w:val="20"/>
        </w:rPr>
        <w:t>across</w:t>
      </w:r>
      <w:r>
        <w:rPr>
          <w:spacing w:val="-11"/>
          <w:sz w:val="20"/>
        </w:rPr>
        <w:t> </w:t>
      </w:r>
      <w:r>
        <w:rPr>
          <w:spacing w:val="-2"/>
          <w:sz w:val="20"/>
        </w:rPr>
        <w:t>services.</w:t>
      </w:r>
      <w:r>
        <w:rPr>
          <w:spacing w:val="-11"/>
          <w:sz w:val="20"/>
        </w:rPr>
        <w:t> </w:t>
      </w:r>
      <w:r>
        <w:rPr>
          <w:spacing w:val="-2"/>
          <w:sz w:val="20"/>
        </w:rPr>
        <w:t>This</w:t>
      </w:r>
      <w:r>
        <w:rPr>
          <w:spacing w:val="-7"/>
          <w:sz w:val="20"/>
        </w:rPr>
        <w:t> </w:t>
      </w:r>
      <w:r>
        <w:rPr>
          <w:spacing w:val="-2"/>
          <w:sz w:val="20"/>
        </w:rPr>
        <w:t>may</w:t>
      </w:r>
      <w:r>
        <w:rPr>
          <w:spacing w:val="-10"/>
          <w:sz w:val="20"/>
        </w:rPr>
        <w:t> </w:t>
      </w:r>
      <w:r>
        <w:rPr>
          <w:spacing w:val="-2"/>
          <w:sz w:val="20"/>
        </w:rPr>
        <w:t>need</w:t>
      </w:r>
      <w:r>
        <w:rPr>
          <w:spacing w:val="-12"/>
          <w:sz w:val="20"/>
        </w:rPr>
        <w:t> </w:t>
      </w:r>
      <w:r>
        <w:rPr>
          <w:spacing w:val="-2"/>
          <w:sz w:val="20"/>
        </w:rPr>
        <w:t>to</w:t>
      </w:r>
      <w:r>
        <w:rPr>
          <w:spacing w:val="-7"/>
          <w:sz w:val="20"/>
        </w:rPr>
        <w:t> </w:t>
      </w:r>
      <w:r>
        <w:rPr>
          <w:spacing w:val="-2"/>
          <w:sz w:val="20"/>
        </w:rPr>
        <w:t>be</w:t>
      </w:r>
      <w:r>
        <w:rPr>
          <w:spacing w:val="-12"/>
          <w:sz w:val="20"/>
        </w:rPr>
        <w:t> </w:t>
      </w:r>
      <w:r>
        <w:rPr>
          <w:spacing w:val="-2"/>
          <w:sz w:val="20"/>
        </w:rPr>
        <w:t>further</w:t>
      </w:r>
      <w:r>
        <w:rPr>
          <w:spacing w:val="-12"/>
          <w:sz w:val="20"/>
        </w:rPr>
        <w:t> </w:t>
      </w:r>
      <w:r>
        <w:rPr>
          <w:spacing w:val="-2"/>
          <w:sz w:val="20"/>
        </w:rPr>
        <w:t>rationalised</w:t>
      </w:r>
      <w:r>
        <w:rPr>
          <w:spacing w:val="-12"/>
          <w:sz w:val="20"/>
        </w:rPr>
        <w:t> </w:t>
      </w:r>
      <w:r>
        <w:rPr>
          <w:spacing w:val="-2"/>
          <w:sz w:val="20"/>
        </w:rPr>
        <w:t>at</w:t>
      </w:r>
      <w:r>
        <w:rPr>
          <w:spacing w:val="-11"/>
          <w:sz w:val="20"/>
        </w:rPr>
        <w:t> </w:t>
      </w:r>
      <w:r>
        <w:rPr>
          <w:spacing w:val="-2"/>
          <w:sz w:val="20"/>
        </w:rPr>
        <w:t>a</w:t>
      </w:r>
      <w:r>
        <w:rPr>
          <w:spacing w:val="-12"/>
          <w:sz w:val="20"/>
        </w:rPr>
        <w:t> </w:t>
      </w:r>
      <w:r>
        <w:rPr>
          <w:spacing w:val="-2"/>
          <w:sz w:val="20"/>
        </w:rPr>
        <w:t>future</w:t>
      </w:r>
      <w:r>
        <w:rPr>
          <w:spacing w:val="-12"/>
          <w:sz w:val="20"/>
        </w:rPr>
        <w:t> </w:t>
      </w:r>
      <w:r>
        <w:rPr>
          <w:spacing w:val="-2"/>
          <w:sz w:val="20"/>
        </w:rPr>
        <w:t>date.</w:t>
      </w:r>
      <w:r>
        <w:rPr>
          <w:spacing w:val="-9"/>
          <w:sz w:val="20"/>
        </w:rPr>
        <w:t> </w:t>
      </w:r>
      <w:r>
        <w:rPr>
          <w:spacing w:val="-2"/>
          <w:sz w:val="20"/>
        </w:rPr>
        <w:t>Inherently,</w:t>
      </w:r>
      <w:r>
        <w:rPr>
          <w:spacing w:val="-11"/>
          <w:sz w:val="20"/>
        </w:rPr>
        <w:t> </w:t>
      </w:r>
      <w:r>
        <w:rPr>
          <w:spacing w:val="-2"/>
          <w:sz w:val="20"/>
        </w:rPr>
        <w:t>governance</w:t>
      </w:r>
      <w:r>
        <w:rPr>
          <w:spacing w:val="-12"/>
          <w:sz w:val="20"/>
        </w:rPr>
        <w:t> </w:t>
      </w:r>
      <w:r>
        <w:rPr>
          <w:spacing w:val="-2"/>
          <w:sz w:val="20"/>
        </w:rPr>
        <w:t>tightens</w:t>
      </w:r>
      <w:r>
        <w:rPr>
          <w:spacing w:val="-11"/>
          <w:sz w:val="20"/>
        </w:rPr>
        <w:t> </w:t>
      </w:r>
      <w:r>
        <w:rPr>
          <w:spacing w:val="-2"/>
          <w:sz w:val="20"/>
        </w:rPr>
        <w:t>as</w:t>
      </w:r>
      <w:r>
        <w:rPr>
          <w:spacing w:val="-10"/>
          <w:sz w:val="20"/>
        </w:rPr>
        <w:t> </w:t>
      </w:r>
      <w:r>
        <w:rPr>
          <w:spacing w:val="-2"/>
          <w:sz w:val="20"/>
        </w:rPr>
        <w:t>value</w:t>
      </w:r>
      <w:r>
        <w:rPr>
          <w:spacing w:val="-12"/>
          <w:sz w:val="20"/>
        </w:rPr>
        <w:t> </w:t>
      </w:r>
      <w:r>
        <w:rPr>
          <w:spacing w:val="-2"/>
          <w:sz w:val="20"/>
        </w:rPr>
        <w:t>and</w:t>
      </w:r>
      <w:r>
        <w:rPr>
          <w:spacing w:val="-12"/>
          <w:sz w:val="20"/>
        </w:rPr>
        <w:t> </w:t>
      </w:r>
      <w:r>
        <w:rPr>
          <w:spacing w:val="-2"/>
          <w:sz w:val="20"/>
        </w:rPr>
        <w:t>risk</w:t>
      </w:r>
      <w:r>
        <w:rPr>
          <w:spacing w:val="-12"/>
          <w:sz w:val="20"/>
        </w:rPr>
        <w:t> </w:t>
      </w:r>
      <w:r>
        <w:rPr>
          <w:spacing w:val="-2"/>
          <w:sz w:val="20"/>
        </w:rPr>
        <w:t>increase. </w:t>
      </w:r>
      <w:r>
        <w:rPr>
          <w:sz w:val="20"/>
        </w:rPr>
        <w:t>This</w:t>
      </w:r>
      <w:r>
        <w:rPr>
          <w:spacing w:val="-13"/>
          <w:sz w:val="20"/>
        </w:rPr>
        <w:t> </w:t>
      </w:r>
      <w:r>
        <w:rPr>
          <w:sz w:val="20"/>
        </w:rPr>
        <w:t>requires</w:t>
      </w:r>
      <w:r>
        <w:rPr>
          <w:spacing w:val="-6"/>
          <w:sz w:val="20"/>
        </w:rPr>
        <w:t> </w:t>
      </w:r>
      <w:r>
        <w:rPr>
          <w:sz w:val="20"/>
        </w:rPr>
        <w:t>us</w:t>
      </w:r>
      <w:r>
        <w:rPr>
          <w:spacing w:val="-9"/>
          <w:sz w:val="20"/>
        </w:rPr>
        <w:t> </w:t>
      </w:r>
      <w:r>
        <w:rPr>
          <w:sz w:val="20"/>
        </w:rPr>
        <w:t>to</w:t>
      </w:r>
      <w:r>
        <w:rPr>
          <w:spacing w:val="-11"/>
          <w:sz w:val="20"/>
        </w:rPr>
        <w:t> </w:t>
      </w:r>
      <w:r>
        <w:rPr>
          <w:sz w:val="20"/>
        </w:rPr>
        <w:t>ensure</w:t>
      </w:r>
      <w:r>
        <w:rPr>
          <w:spacing w:val="-11"/>
          <w:sz w:val="20"/>
        </w:rPr>
        <w:t> </w:t>
      </w:r>
      <w:r>
        <w:rPr>
          <w:sz w:val="20"/>
        </w:rPr>
        <w:t>that</w:t>
      </w:r>
      <w:r>
        <w:rPr>
          <w:spacing w:val="-14"/>
          <w:sz w:val="20"/>
        </w:rPr>
        <w:t> </w:t>
      </w:r>
      <w:r>
        <w:rPr>
          <w:sz w:val="20"/>
        </w:rPr>
        <w:t>we</w:t>
      </w:r>
      <w:r>
        <w:rPr>
          <w:spacing w:val="-11"/>
          <w:sz w:val="20"/>
        </w:rPr>
        <w:t> </w:t>
      </w:r>
      <w:r>
        <w:rPr>
          <w:sz w:val="20"/>
        </w:rPr>
        <w:t>say</w:t>
      </w:r>
      <w:r>
        <w:rPr>
          <w:spacing w:val="-10"/>
          <w:sz w:val="20"/>
        </w:rPr>
        <w:t> </w:t>
      </w:r>
      <w:r>
        <w:rPr>
          <w:sz w:val="20"/>
        </w:rPr>
        <w:t>no</w:t>
      </w:r>
      <w:r>
        <w:rPr>
          <w:spacing w:val="-11"/>
          <w:sz w:val="20"/>
        </w:rPr>
        <w:t> </w:t>
      </w:r>
      <w:r>
        <w:rPr>
          <w:sz w:val="20"/>
        </w:rPr>
        <w:t>to</w:t>
      </w:r>
      <w:r>
        <w:rPr>
          <w:spacing w:val="-14"/>
          <w:sz w:val="20"/>
        </w:rPr>
        <w:t> </w:t>
      </w:r>
      <w:r>
        <w:rPr>
          <w:sz w:val="20"/>
        </w:rPr>
        <w:t>loose</w:t>
      </w:r>
      <w:r>
        <w:rPr>
          <w:spacing w:val="-11"/>
          <w:sz w:val="20"/>
        </w:rPr>
        <w:t> </w:t>
      </w:r>
      <w:r>
        <w:rPr>
          <w:sz w:val="20"/>
        </w:rPr>
        <w:t>arrangements</w:t>
      </w:r>
      <w:r>
        <w:rPr>
          <w:spacing w:val="-9"/>
          <w:sz w:val="20"/>
        </w:rPr>
        <w:t> </w:t>
      </w:r>
      <w:r>
        <w:rPr>
          <w:sz w:val="20"/>
        </w:rPr>
        <w:t>where</w:t>
      </w:r>
      <w:r>
        <w:rPr>
          <w:spacing w:val="-11"/>
          <w:sz w:val="20"/>
        </w:rPr>
        <w:t> </w:t>
      </w:r>
      <w:r>
        <w:rPr>
          <w:sz w:val="20"/>
        </w:rPr>
        <w:t>there</w:t>
      </w:r>
      <w:r>
        <w:rPr>
          <w:spacing w:val="-11"/>
          <w:sz w:val="20"/>
        </w:rPr>
        <w:t> </w:t>
      </w:r>
      <w:r>
        <w:rPr>
          <w:sz w:val="20"/>
        </w:rPr>
        <w:t>is</w:t>
      </w:r>
      <w:r>
        <w:rPr>
          <w:spacing w:val="-6"/>
          <w:sz w:val="20"/>
        </w:rPr>
        <w:t> </w:t>
      </w:r>
      <w:r>
        <w:rPr>
          <w:sz w:val="20"/>
        </w:rPr>
        <w:t>material</w:t>
      </w:r>
      <w:r>
        <w:rPr>
          <w:spacing w:val="-9"/>
          <w:sz w:val="20"/>
        </w:rPr>
        <w:t> </w:t>
      </w:r>
      <w:r>
        <w:rPr>
          <w:sz w:val="20"/>
        </w:rPr>
        <w:t>risk.</w:t>
      </w:r>
    </w:p>
    <w:p>
      <w:pPr>
        <w:pStyle w:val="BodyText"/>
        <w:rPr>
          <w:sz w:val="20"/>
        </w:rPr>
      </w:pPr>
    </w:p>
    <w:p>
      <w:pPr>
        <w:spacing w:before="0"/>
        <w:ind w:left="50" w:right="330" w:firstLine="0"/>
        <w:jc w:val="left"/>
        <w:rPr>
          <w:sz w:val="20"/>
        </w:rPr>
      </w:pPr>
      <w:r>
        <w:rPr>
          <w:spacing w:val="-2"/>
          <w:sz w:val="20"/>
        </w:rPr>
        <w:t>The</w:t>
      </w:r>
      <w:r>
        <w:rPr>
          <w:spacing w:val="-12"/>
          <w:sz w:val="20"/>
        </w:rPr>
        <w:t> </w:t>
      </w:r>
      <w:r>
        <w:rPr>
          <w:spacing w:val="-2"/>
          <w:sz w:val="20"/>
        </w:rPr>
        <w:t>emphasis</w:t>
      </w:r>
      <w:r>
        <w:rPr>
          <w:spacing w:val="-11"/>
          <w:sz w:val="20"/>
        </w:rPr>
        <w:t> </w:t>
      </w:r>
      <w:r>
        <w:rPr>
          <w:spacing w:val="-2"/>
          <w:sz w:val="20"/>
        </w:rPr>
        <w:t>on</w:t>
      </w:r>
      <w:r>
        <w:rPr>
          <w:spacing w:val="-12"/>
          <w:sz w:val="20"/>
        </w:rPr>
        <w:t> </w:t>
      </w:r>
      <w:r>
        <w:rPr>
          <w:spacing w:val="-2"/>
          <w:sz w:val="20"/>
        </w:rPr>
        <w:t>a</w:t>
      </w:r>
      <w:r>
        <w:rPr>
          <w:spacing w:val="-12"/>
          <w:sz w:val="20"/>
        </w:rPr>
        <w:t> </w:t>
      </w:r>
      <w:r>
        <w:rPr>
          <w:spacing w:val="-2"/>
          <w:sz w:val="20"/>
        </w:rPr>
        <w:t>value</w:t>
      </w:r>
      <w:r>
        <w:rPr>
          <w:spacing w:val="-11"/>
          <w:sz w:val="20"/>
        </w:rPr>
        <w:t> </w:t>
      </w:r>
      <w:r>
        <w:rPr>
          <w:spacing w:val="-2"/>
          <w:sz w:val="20"/>
        </w:rPr>
        <w:t>challenge</w:t>
      </w:r>
      <w:r>
        <w:rPr>
          <w:spacing w:val="-12"/>
          <w:sz w:val="20"/>
        </w:rPr>
        <w:t> </w:t>
      </w:r>
      <w:r>
        <w:rPr>
          <w:spacing w:val="-2"/>
          <w:sz w:val="20"/>
        </w:rPr>
        <w:t>aligns</w:t>
      </w:r>
      <w:r>
        <w:rPr>
          <w:spacing w:val="-10"/>
          <w:sz w:val="20"/>
        </w:rPr>
        <w:t> </w:t>
      </w:r>
      <w:r>
        <w:rPr>
          <w:spacing w:val="-2"/>
          <w:sz w:val="20"/>
        </w:rPr>
        <w:t>with</w:t>
      </w:r>
      <w:r>
        <w:rPr>
          <w:spacing w:val="-12"/>
          <w:sz w:val="20"/>
        </w:rPr>
        <w:t> </w:t>
      </w:r>
      <w:r>
        <w:rPr>
          <w:spacing w:val="-2"/>
          <w:sz w:val="20"/>
        </w:rPr>
        <w:t>the</w:t>
      </w:r>
      <w:r>
        <w:rPr>
          <w:spacing w:val="-12"/>
          <w:sz w:val="20"/>
        </w:rPr>
        <w:t> </w:t>
      </w:r>
      <w:r>
        <w:rPr>
          <w:spacing w:val="-2"/>
          <w:sz w:val="20"/>
        </w:rPr>
        <w:t>evidence</w:t>
      </w:r>
      <w:r>
        <w:rPr>
          <w:spacing w:val="-11"/>
          <w:sz w:val="20"/>
        </w:rPr>
        <w:t> </w:t>
      </w:r>
      <w:r>
        <w:rPr>
          <w:spacing w:val="-2"/>
          <w:sz w:val="20"/>
        </w:rPr>
        <w:t>that</w:t>
      </w:r>
      <w:r>
        <w:rPr>
          <w:spacing w:val="-12"/>
          <w:sz w:val="20"/>
        </w:rPr>
        <w:t> </w:t>
      </w:r>
      <w:r>
        <w:rPr>
          <w:spacing w:val="-2"/>
          <w:sz w:val="20"/>
        </w:rPr>
        <w:t>collaboration</w:t>
      </w:r>
      <w:r>
        <w:rPr>
          <w:spacing w:val="-12"/>
          <w:sz w:val="20"/>
        </w:rPr>
        <w:t> </w:t>
      </w:r>
      <w:r>
        <w:rPr>
          <w:spacing w:val="-2"/>
          <w:sz w:val="20"/>
        </w:rPr>
        <w:t>should</w:t>
      </w:r>
      <w:r>
        <w:rPr>
          <w:spacing w:val="-11"/>
          <w:sz w:val="20"/>
        </w:rPr>
        <w:t> </w:t>
      </w:r>
      <w:r>
        <w:rPr>
          <w:spacing w:val="-2"/>
          <w:sz w:val="20"/>
        </w:rPr>
        <w:t>deliver</w:t>
      </w:r>
      <w:r>
        <w:rPr>
          <w:spacing w:val="-12"/>
          <w:sz w:val="20"/>
        </w:rPr>
        <w:t> </w:t>
      </w:r>
      <w:r>
        <w:rPr>
          <w:spacing w:val="-2"/>
          <w:sz w:val="20"/>
        </w:rPr>
        <w:t>tangible</w:t>
      </w:r>
      <w:r>
        <w:rPr>
          <w:spacing w:val="-11"/>
          <w:sz w:val="20"/>
        </w:rPr>
        <w:t> </w:t>
      </w:r>
      <w:r>
        <w:rPr>
          <w:spacing w:val="-2"/>
          <w:sz w:val="20"/>
        </w:rPr>
        <w:t>benefits.</w:t>
      </w:r>
      <w:r>
        <w:rPr>
          <w:spacing w:val="-12"/>
          <w:sz w:val="20"/>
        </w:rPr>
        <w:t> </w:t>
      </w:r>
      <w:r>
        <w:rPr>
          <w:spacing w:val="-2"/>
          <w:sz w:val="20"/>
        </w:rPr>
        <w:t>The</w:t>
      </w:r>
      <w:r>
        <w:rPr>
          <w:spacing w:val="-12"/>
          <w:sz w:val="20"/>
        </w:rPr>
        <w:t> </w:t>
      </w:r>
      <w:r>
        <w:rPr>
          <w:spacing w:val="-2"/>
          <w:sz w:val="20"/>
        </w:rPr>
        <w:t>approach</w:t>
      </w:r>
      <w:r>
        <w:rPr>
          <w:spacing w:val="-9"/>
          <w:sz w:val="20"/>
        </w:rPr>
        <w:t> </w:t>
      </w:r>
      <w:r>
        <w:rPr>
          <w:spacing w:val="-2"/>
          <w:sz w:val="20"/>
        </w:rPr>
        <w:t>itself</w:t>
      </w:r>
      <w:r>
        <w:rPr>
          <w:spacing w:val="-10"/>
          <w:sz w:val="20"/>
        </w:rPr>
        <w:t> </w:t>
      </w:r>
      <w:r>
        <w:rPr>
          <w:spacing w:val="-2"/>
          <w:sz w:val="20"/>
        </w:rPr>
        <w:t>is</w:t>
      </w:r>
      <w:r>
        <w:rPr>
          <w:spacing w:val="-11"/>
          <w:sz w:val="20"/>
        </w:rPr>
        <w:t> </w:t>
      </w:r>
      <w:r>
        <w:rPr>
          <w:spacing w:val="-2"/>
          <w:sz w:val="20"/>
        </w:rPr>
        <w:t>a</w:t>
      </w:r>
      <w:r>
        <w:rPr>
          <w:spacing w:val="-12"/>
          <w:sz w:val="20"/>
        </w:rPr>
        <w:t> </w:t>
      </w:r>
      <w:r>
        <w:rPr>
          <w:spacing w:val="-2"/>
          <w:sz w:val="20"/>
        </w:rPr>
        <w:t>practical</w:t>
      </w:r>
      <w:r>
        <w:rPr>
          <w:spacing w:val="-10"/>
          <w:sz w:val="20"/>
        </w:rPr>
        <w:t> </w:t>
      </w:r>
      <w:r>
        <w:rPr>
          <w:spacing w:val="-2"/>
          <w:sz w:val="20"/>
        </w:rPr>
        <w:t>application</w:t>
      </w:r>
      <w:r>
        <w:rPr>
          <w:spacing w:val="-7"/>
          <w:sz w:val="20"/>
        </w:rPr>
        <w:t> </w:t>
      </w:r>
      <w:r>
        <w:rPr>
          <w:spacing w:val="-2"/>
          <w:sz w:val="20"/>
        </w:rPr>
        <w:t>of</w:t>
      </w:r>
      <w:r>
        <w:rPr>
          <w:spacing w:val="-12"/>
          <w:sz w:val="20"/>
        </w:rPr>
        <w:t> </w:t>
      </w:r>
      <w:r>
        <w:rPr>
          <w:spacing w:val="-2"/>
          <w:sz w:val="20"/>
        </w:rPr>
        <w:t>established </w:t>
      </w:r>
      <w:r>
        <w:rPr>
          <w:sz w:val="20"/>
        </w:rPr>
        <w:t>logic-model</w:t>
      </w:r>
      <w:r>
        <w:rPr>
          <w:spacing w:val="-14"/>
          <w:sz w:val="20"/>
        </w:rPr>
        <w:t> </w:t>
      </w:r>
      <w:r>
        <w:rPr>
          <w:sz w:val="20"/>
        </w:rPr>
        <w:t>thinking,</w:t>
      </w:r>
      <w:r>
        <w:rPr>
          <w:spacing w:val="-14"/>
          <w:sz w:val="20"/>
        </w:rPr>
        <w:t> </w:t>
      </w:r>
      <w:r>
        <w:rPr>
          <w:sz w:val="20"/>
        </w:rPr>
        <w:t>adapted</w:t>
      </w:r>
      <w:r>
        <w:rPr>
          <w:spacing w:val="-14"/>
          <w:sz w:val="20"/>
        </w:rPr>
        <w:t> </w:t>
      </w:r>
      <w:r>
        <w:rPr>
          <w:sz w:val="20"/>
        </w:rPr>
        <w:t>to</w:t>
      </w:r>
      <w:r>
        <w:rPr>
          <w:spacing w:val="-14"/>
          <w:sz w:val="20"/>
        </w:rPr>
        <w:t> </w:t>
      </w:r>
      <w:r>
        <w:rPr>
          <w:sz w:val="20"/>
        </w:rPr>
        <w:t>collaboration</w:t>
      </w:r>
      <w:r>
        <w:rPr>
          <w:spacing w:val="-14"/>
          <w:sz w:val="20"/>
        </w:rPr>
        <w:t> </w:t>
      </w:r>
      <w:r>
        <w:rPr>
          <w:sz w:val="20"/>
        </w:rPr>
        <w:t>and</w:t>
      </w:r>
      <w:r>
        <w:rPr>
          <w:spacing w:val="-14"/>
          <w:sz w:val="20"/>
        </w:rPr>
        <w:t> </w:t>
      </w:r>
      <w:r>
        <w:rPr>
          <w:sz w:val="20"/>
        </w:rPr>
        <w:t>service</w:t>
      </w:r>
      <w:r>
        <w:rPr>
          <w:spacing w:val="-14"/>
          <w:sz w:val="20"/>
        </w:rPr>
        <w:t> </w:t>
      </w:r>
      <w:r>
        <w:rPr>
          <w:sz w:val="20"/>
        </w:rPr>
        <w:t>delivery</w:t>
      </w:r>
      <w:r>
        <w:rPr>
          <w:spacing w:val="-14"/>
          <w:sz w:val="20"/>
        </w:rPr>
        <w:t> </w:t>
      </w:r>
      <w:r>
        <w:rPr>
          <w:sz w:val="20"/>
        </w:rPr>
        <w:t>decisions.</w:t>
      </w:r>
    </w:p>
    <w:p>
      <w:pPr>
        <w:spacing w:after="0"/>
        <w:jc w:val="left"/>
        <w:rPr>
          <w:sz w:val="20"/>
        </w:rPr>
        <w:sectPr>
          <w:footerReference w:type="default" r:id="rId20"/>
          <w:pgSz w:w="16840" w:h="11910" w:orient="landscape"/>
          <w:pgMar w:header="0" w:footer="680" w:top="640" w:bottom="880" w:left="850" w:right="1133"/>
        </w:sectPr>
      </w:pPr>
    </w:p>
    <w:p>
      <w:pPr>
        <w:tabs>
          <w:tab w:pos="14284" w:val="left" w:leader="none"/>
        </w:tabs>
        <w:spacing w:line="240" w:lineRule="auto"/>
        <w:ind w:left="244" w:right="0" w:firstLine="0"/>
        <w:rPr>
          <w:position w:val="15"/>
          <w:sz w:val="20"/>
        </w:rPr>
      </w:pPr>
      <w:r>
        <w:rPr>
          <w:position w:val="15"/>
          <w:sz w:val="20"/>
        </w:rPr>
        <mc:AlternateContent>
          <mc:Choice Requires="wps">
            <w:drawing>
              <wp:anchor distT="0" distB="0" distL="0" distR="0" allowOverlap="1" layoutInCell="1" locked="0" behindDoc="0" simplePos="0" relativeHeight="15757824">
                <wp:simplePos x="0" y="0"/>
                <wp:positionH relativeFrom="page">
                  <wp:posOffset>0</wp:posOffset>
                </wp:positionH>
                <wp:positionV relativeFrom="page">
                  <wp:posOffset>5277421</wp:posOffset>
                </wp:positionV>
                <wp:extent cx="12189460" cy="158115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12189460" cy="1581150"/>
                          <a:chExt cx="12189460" cy="1581150"/>
                        </a:xfrm>
                      </wpg:grpSpPr>
                      <pic:pic>
                        <pic:nvPicPr>
                          <pic:cNvPr id="89" name="Image 89"/>
                          <pic:cNvPicPr/>
                        </pic:nvPicPr>
                        <pic:blipFill>
                          <a:blip r:embed="rId22" cstate="print"/>
                          <a:stretch>
                            <a:fillRect/>
                          </a:stretch>
                        </pic:blipFill>
                        <pic:spPr>
                          <a:xfrm>
                            <a:off x="0" y="0"/>
                            <a:ext cx="12188951" cy="1580576"/>
                          </a:xfrm>
                          <a:prstGeom prst="rect">
                            <a:avLst/>
                          </a:prstGeom>
                        </pic:spPr>
                      </pic:pic>
                      <pic:pic>
                        <pic:nvPicPr>
                          <pic:cNvPr id="90" name="Image 90"/>
                          <pic:cNvPicPr/>
                        </pic:nvPicPr>
                        <pic:blipFill>
                          <a:blip r:embed="rId23" cstate="print"/>
                          <a:stretch>
                            <a:fillRect/>
                          </a:stretch>
                        </pic:blipFill>
                        <pic:spPr>
                          <a:xfrm>
                            <a:off x="5606922" y="1306312"/>
                            <a:ext cx="975116" cy="219401"/>
                          </a:xfrm>
                          <a:prstGeom prst="rect">
                            <a:avLst/>
                          </a:prstGeom>
                        </pic:spPr>
                      </pic:pic>
                      <wps:wsp>
                        <wps:cNvPr id="91" name="Textbox 91"/>
                        <wps:cNvSpPr txBox="1"/>
                        <wps:spPr>
                          <a:xfrm>
                            <a:off x="0" y="0"/>
                            <a:ext cx="12189460" cy="1581150"/>
                          </a:xfrm>
                          <a:prstGeom prst="rect">
                            <a:avLst/>
                          </a:prstGeom>
                        </wps:spPr>
                        <wps:txbx>
                          <w:txbxContent>
                            <w:p>
                              <w:pPr>
                                <w:spacing w:line="240" w:lineRule="auto" w:before="84"/>
                                <w:rPr>
                                  <w:rFonts w:ascii="Verdana"/>
                                  <w:sz w:val="56"/>
                                </w:rPr>
                              </w:pPr>
                            </w:p>
                            <w:p>
                              <w:pPr>
                                <w:spacing w:line="232" w:lineRule="auto" w:before="0"/>
                                <w:ind w:left="5863" w:right="0" w:hanging="4476"/>
                                <w:jc w:val="left"/>
                                <w:rPr>
                                  <w:rFonts w:ascii="Verdana"/>
                                  <w:b/>
                                  <w:sz w:val="56"/>
                                </w:rPr>
                              </w:pPr>
                              <w:r>
                                <w:rPr>
                                  <w:rFonts w:ascii="Verdana"/>
                                  <w:b/>
                                  <w:color w:val="FFFFFF"/>
                                  <w:sz w:val="56"/>
                                </w:rPr>
                                <w:t>Title Regional</w:t>
                              </w:r>
                              <w:r>
                                <w:rPr>
                                  <w:rFonts w:ascii="Verdana"/>
                                  <w:b/>
                                  <w:color w:val="FFFFFF"/>
                                  <w:spacing w:val="-5"/>
                                  <w:sz w:val="56"/>
                                </w:rPr>
                                <w:t> </w:t>
                              </w:r>
                              <w:r>
                                <w:rPr>
                                  <w:rFonts w:ascii="Verdana"/>
                                  <w:b/>
                                  <w:color w:val="FFFFFF"/>
                                  <w:sz w:val="56"/>
                                </w:rPr>
                                <w:t>benefits</w:t>
                              </w:r>
                              <w:r>
                                <w:rPr>
                                  <w:rFonts w:ascii="Verdana"/>
                                  <w:b/>
                                  <w:color w:val="FFFFFF"/>
                                  <w:spacing w:val="-2"/>
                                  <w:sz w:val="56"/>
                                </w:rPr>
                                <w:t> </w:t>
                              </w:r>
                              <w:r>
                                <w:rPr>
                                  <w:rFonts w:ascii="Verdana"/>
                                  <w:b/>
                                  <w:color w:val="FFFFFF"/>
                                  <w:sz w:val="56"/>
                                </w:rPr>
                                <w:t>of Collective Finance ,</w:t>
                              </w:r>
                              <w:r>
                                <w:rPr>
                                  <w:rFonts w:ascii="Verdana"/>
                                  <w:b/>
                                  <w:color w:val="FFFFFF"/>
                                  <w:spacing w:val="-1"/>
                                  <w:sz w:val="56"/>
                                </w:rPr>
                                <w:t> </w:t>
                              </w:r>
                              <w:r>
                                <w:rPr>
                                  <w:rFonts w:ascii="Verdana"/>
                                  <w:b/>
                                  <w:color w:val="FFFFFF"/>
                                  <w:sz w:val="56"/>
                                </w:rPr>
                                <w:t>Data</w:t>
                              </w:r>
                              <w:r>
                                <w:rPr>
                                  <w:rFonts w:ascii="Verdana"/>
                                  <w:b/>
                                  <w:color w:val="FFFFFF"/>
                                  <w:spacing w:val="-1"/>
                                  <w:sz w:val="56"/>
                                </w:rPr>
                                <w:t> </w:t>
                              </w:r>
                              <w:r>
                                <w:rPr>
                                  <w:rFonts w:ascii="Verdana"/>
                                  <w:b/>
                                  <w:color w:val="FFFFFF"/>
                                  <w:sz w:val="56"/>
                                </w:rPr>
                                <w:t>, Digital and Contracting</w:t>
                              </w:r>
                            </w:p>
                            <w:p>
                              <w:pPr>
                                <w:spacing w:before="66"/>
                                <w:ind w:left="0" w:right="0" w:firstLine="0"/>
                                <w:jc w:val="center"/>
                                <w:rPr>
                                  <w:sz w:val="20"/>
                                </w:rPr>
                              </w:pPr>
                              <w:r>
                                <w:rPr>
                                  <w:sz w:val="20"/>
                                </w:rPr>
                                <w:t>Page</w:t>
                              </w:r>
                              <w:r>
                                <w:rPr>
                                  <w:spacing w:val="10"/>
                                  <w:sz w:val="20"/>
                                </w:rPr>
                                <w:t> </w:t>
                              </w:r>
                              <w:r>
                                <w:rPr>
                                  <w:spacing w:val="-5"/>
                                  <w:sz w:val="20"/>
                                </w:rPr>
                                <w:t>21</w:t>
                              </w:r>
                            </w:p>
                          </w:txbxContent>
                        </wps:txbx>
                        <wps:bodyPr wrap="square" lIns="0" tIns="0" rIns="0" bIns="0" rtlCol="0">
                          <a:noAutofit/>
                        </wps:bodyPr>
                      </wps:wsp>
                    </wpg:wgp>
                  </a:graphicData>
                </a:graphic>
              </wp:anchor>
            </w:drawing>
          </mc:Choice>
          <mc:Fallback>
            <w:pict>
              <v:group style="position:absolute;margin-left:.000014pt;margin-top:415.545013pt;width:959.8pt;height:124.5pt;mso-position-horizontal-relative:page;mso-position-vertical-relative:page;z-index:15757824" id="docshapegroup51" coordorigin="0,8311" coordsize="19196,2490">
                <v:shape style="position:absolute;left:0;top:8310;width:19196;height:2490" type="#_x0000_t75" id="docshape52" stroked="false">
                  <v:imagedata r:id="rId22" o:title=""/>
                </v:shape>
                <v:shape style="position:absolute;left:8829;top:10368;width:1536;height:346" type="#_x0000_t75" id="docshape53" stroked="false">
                  <v:imagedata r:id="rId23" o:title=""/>
                </v:shape>
                <v:shape style="position:absolute;left:0;top:8310;width:19196;height:2490" type="#_x0000_t202" id="docshape54" filled="false" stroked="false">
                  <v:textbox inset="0,0,0,0">
                    <w:txbxContent>
                      <w:p>
                        <w:pPr>
                          <w:spacing w:line="240" w:lineRule="auto" w:before="84"/>
                          <w:rPr>
                            <w:rFonts w:ascii="Verdana"/>
                            <w:sz w:val="56"/>
                          </w:rPr>
                        </w:pPr>
                      </w:p>
                      <w:p>
                        <w:pPr>
                          <w:spacing w:line="232" w:lineRule="auto" w:before="0"/>
                          <w:ind w:left="5863" w:right="0" w:hanging="4476"/>
                          <w:jc w:val="left"/>
                          <w:rPr>
                            <w:rFonts w:ascii="Verdana"/>
                            <w:b/>
                            <w:sz w:val="56"/>
                          </w:rPr>
                        </w:pPr>
                        <w:r>
                          <w:rPr>
                            <w:rFonts w:ascii="Verdana"/>
                            <w:b/>
                            <w:color w:val="FFFFFF"/>
                            <w:sz w:val="56"/>
                          </w:rPr>
                          <w:t>Title Regional</w:t>
                        </w:r>
                        <w:r>
                          <w:rPr>
                            <w:rFonts w:ascii="Verdana"/>
                            <w:b/>
                            <w:color w:val="FFFFFF"/>
                            <w:spacing w:val="-5"/>
                            <w:sz w:val="56"/>
                          </w:rPr>
                          <w:t> </w:t>
                        </w:r>
                        <w:r>
                          <w:rPr>
                            <w:rFonts w:ascii="Verdana"/>
                            <w:b/>
                            <w:color w:val="FFFFFF"/>
                            <w:sz w:val="56"/>
                          </w:rPr>
                          <w:t>benefits</w:t>
                        </w:r>
                        <w:r>
                          <w:rPr>
                            <w:rFonts w:ascii="Verdana"/>
                            <w:b/>
                            <w:color w:val="FFFFFF"/>
                            <w:spacing w:val="-2"/>
                            <w:sz w:val="56"/>
                          </w:rPr>
                          <w:t> </w:t>
                        </w:r>
                        <w:r>
                          <w:rPr>
                            <w:rFonts w:ascii="Verdana"/>
                            <w:b/>
                            <w:color w:val="FFFFFF"/>
                            <w:sz w:val="56"/>
                          </w:rPr>
                          <w:t>of Collective Finance ,</w:t>
                        </w:r>
                        <w:r>
                          <w:rPr>
                            <w:rFonts w:ascii="Verdana"/>
                            <w:b/>
                            <w:color w:val="FFFFFF"/>
                            <w:spacing w:val="-1"/>
                            <w:sz w:val="56"/>
                          </w:rPr>
                          <w:t> </w:t>
                        </w:r>
                        <w:r>
                          <w:rPr>
                            <w:rFonts w:ascii="Verdana"/>
                            <w:b/>
                            <w:color w:val="FFFFFF"/>
                            <w:sz w:val="56"/>
                          </w:rPr>
                          <w:t>Data</w:t>
                        </w:r>
                        <w:r>
                          <w:rPr>
                            <w:rFonts w:ascii="Verdana"/>
                            <w:b/>
                            <w:color w:val="FFFFFF"/>
                            <w:spacing w:val="-1"/>
                            <w:sz w:val="56"/>
                          </w:rPr>
                          <w:t> </w:t>
                        </w:r>
                        <w:r>
                          <w:rPr>
                            <w:rFonts w:ascii="Verdana"/>
                            <w:b/>
                            <w:color w:val="FFFFFF"/>
                            <w:sz w:val="56"/>
                          </w:rPr>
                          <w:t>, Digital and Contracting</w:t>
                        </w:r>
                      </w:p>
                      <w:p>
                        <w:pPr>
                          <w:spacing w:before="66"/>
                          <w:ind w:left="0" w:right="0" w:firstLine="0"/>
                          <w:jc w:val="center"/>
                          <w:rPr>
                            <w:sz w:val="20"/>
                          </w:rPr>
                        </w:pPr>
                        <w:r>
                          <w:rPr>
                            <w:sz w:val="20"/>
                          </w:rPr>
                          <w:t>Page</w:t>
                        </w:r>
                        <w:r>
                          <w:rPr>
                            <w:spacing w:val="10"/>
                            <w:sz w:val="20"/>
                          </w:rPr>
                          <w:t> </w:t>
                        </w:r>
                        <w:r>
                          <w:rPr>
                            <w:spacing w:val="-5"/>
                            <w:sz w:val="20"/>
                          </w:rPr>
                          <w:t>21</w:t>
                        </w:r>
                      </w:p>
                    </w:txbxContent>
                  </v:textbox>
                  <w10:wrap type="none"/>
                </v:shape>
                <w10:wrap type="none"/>
              </v:group>
            </w:pict>
          </mc:Fallback>
        </mc:AlternateContent>
      </w:r>
      <w:r>
        <w:rPr>
          <w:sz w:val="20"/>
        </w:rPr>
        <w:drawing>
          <wp:inline distT="0" distB="0" distL="0" distR="0">
            <wp:extent cx="3379509" cy="914400"/>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24" cstate="print"/>
                    <a:stretch>
                      <a:fillRect/>
                    </a:stretch>
                  </pic:blipFill>
                  <pic:spPr>
                    <a:xfrm>
                      <a:off x="0" y="0"/>
                      <a:ext cx="3379509" cy="914400"/>
                    </a:xfrm>
                    <a:prstGeom prst="rect">
                      <a:avLst/>
                    </a:prstGeom>
                  </pic:spPr>
                </pic:pic>
              </a:graphicData>
            </a:graphic>
          </wp:inline>
        </w:drawing>
      </w:r>
      <w:r>
        <w:rPr>
          <w:sz w:val="20"/>
        </w:rPr>
      </w:r>
      <w:r>
        <w:rPr>
          <w:sz w:val="20"/>
        </w:rPr>
        <w:tab/>
      </w:r>
      <w:r>
        <w:rPr>
          <w:position w:val="15"/>
          <w:sz w:val="20"/>
        </w:rPr>
        <w:drawing>
          <wp:inline distT="0" distB="0" distL="0" distR="0">
            <wp:extent cx="2966188" cy="804672"/>
            <wp:effectExtent l="0" t="0" r="0" b="0"/>
            <wp:docPr id="93" name="Image 93" descr="Temporary changes to blood test arrangements in Swansea Bay - Swansea Bay  University Health Board"/>
            <wp:cNvGraphicFramePr>
              <a:graphicFrameLocks/>
            </wp:cNvGraphicFramePr>
            <a:graphic>
              <a:graphicData uri="http://schemas.openxmlformats.org/drawingml/2006/picture">
                <pic:pic>
                  <pic:nvPicPr>
                    <pic:cNvPr id="93" name="Image 93" descr="Temporary changes to blood test arrangements in Swansea Bay - Swansea Bay  University Health Board"/>
                    <pic:cNvPicPr/>
                  </pic:nvPicPr>
                  <pic:blipFill>
                    <a:blip r:embed="rId25" cstate="print"/>
                    <a:stretch>
                      <a:fillRect/>
                    </a:stretch>
                  </pic:blipFill>
                  <pic:spPr>
                    <a:xfrm>
                      <a:off x="0" y="0"/>
                      <a:ext cx="2966188" cy="804672"/>
                    </a:xfrm>
                    <a:prstGeom prst="rect">
                      <a:avLst/>
                    </a:prstGeom>
                  </pic:spPr>
                </pic:pic>
              </a:graphicData>
            </a:graphic>
          </wp:inline>
        </w:drawing>
      </w:r>
      <w:r>
        <w:rPr>
          <w:position w:val="15"/>
          <w:sz w:val="20"/>
        </w:rPr>
      </w:r>
    </w:p>
    <w:p>
      <w:pPr>
        <w:pStyle w:val="BodyText"/>
        <w:spacing w:before="274"/>
        <w:rPr>
          <w:sz w:val="56"/>
        </w:rPr>
      </w:pPr>
    </w:p>
    <w:p>
      <w:pPr>
        <w:spacing w:line="672" w:lineRule="exact" w:before="0"/>
        <w:ind w:left="0" w:right="653" w:firstLine="0"/>
        <w:jc w:val="center"/>
        <w:rPr>
          <w:rFonts w:ascii="Verdana"/>
          <w:sz w:val="56"/>
        </w:rPr>
      </w:pPr>
      <w:bookmarkStart w:name="RJC 36b Presentation Finance Digital Tra" w:id="12"/>
      <w:bookmarkEnd w:id="12"/>
      <w:r>
        <w:rPr/>
      </w:r>
      <w:r>
        <w:rPr>
          <w:rFonts w:ascii="Verdana"/>
          <w:sz w:val="56"/>
        </w:rPr>
        <w:t>Regional</w:t>
      </w:r>
      <w:r>
        <w:rPr>
          <w:rFonts w:ascii="Verdana"/>
          <w:spacing w:val="-18"/>
          <w:sz w:val="56"/>
        </w:rPr>
        <w:t> </w:t>
      </w:r>
      <w:r>
        <w:rPr>
          <w:rFonts w:ascii="Verdana"/>
          <w:sz w:val="56"/>
        </w:rPr>
        <w:t>Joint</w:t>
      </w:r>
      <w:r>
        <w:rPr>
          <w:rFonts w:ascii="Verdana"/>
          <w:spacing w:val="-13"/>
          <w:sz w:val="56"/>
        </w:rPr>
        <w:t> </w:t>
      </w:r>
      <w:r>
        <w:rPr>
          <w:rFonts w:ascii="Verdana"/>
          <w:spacing w:val="-2"/>
          <w:sz w:val="56"/>
        </w:rPr>
        <w:t>Committee</w:t>
      </w:r>
    </w:p>
    <w:p>
      <w:pPr>
        <w:spacing w:line="672" w:lineRule="exact" w:before="0"/>
        <w:ind w:left="2" w:right="653" w:firstLine="0"/>
        <w:jc w:val="center"/>
        <w:rPr>
          <w:rFonts w:ascii="Verdana"/>
          <w:sz w:val="56"/>
        </w:rPr>
      </w:pPr>
      <w:r>
        <w:rPr>
          <w:rFonts w:ascii="Verdana"/>
          <w:sz w:val="56"/>
        </w:rPr>
        <w:t>Hywel</w:t>
      </w:r>
      <w:r>
        <w:rPr>
          <w:rFonts w:ascii="Verdana"/>
          <w:spacing w:val="-22"/>
          <w:sz w:val="56"/>
        </w:rPr>
        <w:t> </w:t>
      </w:r>
      <w:r>
        <w:rPr>
          <w:rFonts w:ascii="Verdana"/>
          <w:sz w:val="56"/>
        </w:rPr>
        <w:t>Dda/Swansea</w:t>
      </w:r>
      <w:r>
        <w:rPr>
          <w:rFonts w:ascii="Verdana"/>
          <w:spacing w:val="-17"/>
          <w:sz w:val="56"/>
        </w:rPr>
        <w:t> </w:t>
      </w:r>
      <w:r>
        <w:rPr>
          <w:rFonts w:ascii="Verdana"/>
          <w:sz w:val="56"/>
        </w:rPr>
        <w:t>Bay</w:t>
      </w:r>
      <w:r>
        <w:rPr>
          <w:rFonts w:ascii="Verdana"/>
          <w:spacing w:val="-11"/>
          <w:sz w:val="56"/>
        </w:rPr>
        <w:t> </w:t>
      </w:r>
      <w:r>
        <w:rPr>
          <w:rFonts w:ascii="Verdana"/>
          <w:sz w:val="56"/>
        </w:rPr>
        <w:t>University</w:t>
      </w:r>
      <w:r>
        <w:rPr>
          <w:rFonts w:ascii="Verdana"/>
          <w:spacing w:val="-12"/>
          <w:sz w:val="56"/>
        </w:rPr>
        <w:t> </w:t>
      </w:r>
      <w:r>
        <w:rPr>
          <w:rFonts w:ascii="Verdana"/>
          <w:sz w:val="56"/>
        </w:rPr>
        <w:t>Health</w:t>
      </w:r>
      <w:r>
        <w:rPr>
          <w:rFonts w:ascii="Verdana"/>
          <w:spacing w:val="-6"/>
          <w:sz w:val="56"/>
        </w:rPr>
        <w:t> </w:t>
      </w:r>
      <w:r>
        <w:rPr>
          <w:rFonts w:ascii="Verdana"/>
          <w:spacing w:val="-2"/>
          <w:sz w:val="56"/>
        </w:rPr>
        <w:t>Boards</w:t>
      </w:r>
    </w:p>
    <w:p>
      <w:pPr>
        <w:spacing w:line="672" w:lineRule="exact" w:before="676"/>
        <w:ind w:left="7" w:right="653" w:firstLine="0"/>
        <w:jc w:val="center"/>
        <w:rPr>
          <w:rFonts w:ascii="Verdana"/>
          <w:sz w:val="56"/>
        </w:rPr>
      </w:pPr>
      <w:r>
        <w:rPr>
          <w:rFonts w:ascii="Verdana"/>
          <w:sz w:val="56"/>
        </w:rPr>
        <w:t>Cyd-bwyllgor</w:t>
      </w:r>
      <w:r>
        <w:rPr>
          <w:rFonts w:ascii="Verdana"/>
          <w:spacing w:val="-21"/>
          <w:sz w:val="56"/>
        </w:rPr>
        <w:t> </w:t>
      </w:r>
      <w:r>
        <w:rPr>
          <w:rFonts w:ascii="Verdana"/>
          <w:spacing w:val="-2"/>
          <w:sz w:val="56"/>
        </w:rPr>
        <w:t>Rhanbarthol</w:t>
      </w:r>
    </w:p>
    <w:p>
      <w:pPr>
        <w:spacing w:line="672" w:lineRule="exact" w:before="0"/>
        <w:ind w:left="6" w:right="653" w:firstLine="0"/>
        <w:jc w:val="center"/>
        <w:rPr>
          <w:rFonts w:ascii="Verdana"/>
          <w:sz w:val="56"/>
        </w:rPr>
      </w:pPr>
      <w:r>
        <w:rPr>
          <w:rFonts w:ascii="Verdana"/>
          <w:sz w:val="56"/>
        </w:rPr>
        <w:t>Byrddau</w:t>
      </w:r>
      <w:r>
        <w:rPr>
          <w:rFonts w:ascii="Verdana"/>
          <w:spacing w:val="-13"/>
          <w:sz w:val="56"/>
        </w:rPr>
        <w:t> </w:t>
      </w:r>
      <w:r>
        <w:rPr>
          <w:rFonts w:ascii="Verdana"/>
          <w:sz w:val="56"/>
        </w:rPr>
        <w:t>Iechyd</w:t>
      </w:r>
      <w:r>
        <w:rPr>
          <w:rFonts w:ascii="Verdana"/>
          <w:spacing w:val="-7"/>
          <w:sz w:val="56"/>
        </w:rPr>
        <w:t> </w:t>
      </w:r>
      <w:r>
        <w:rPr>
          <w:rFonts w:ascii="Verdana"/>
          <w:sz w:val="56"/>
        </w:rPr>
        <w:t>Prifysgol</w:t>
      </w:r>
      <w:r>
        <w:rPr>
          <w:rFonts w:ascii="Verdana"/>
          <w:spacing w:val="-11"/>
          <w:sz w:val="56"/>
        </w:rPr>
        <w:t> </w:t>
      </w:r>
      <w:r>
        <w:rPr>
          <w:rFonts w:ascii="Verdana"/>
          <w:sz w:val="56"/>
        </w:rPr>
        <w:t>Hywel</w:t>
      </w:r>
      <w:r>
        <w:rPr>
          <w:rFonts w:ascii="Verdana"/>
          <w:spacing w:val="-12"/>
          <w:sz w:val="56"/>
        </w:rPr>
        <w:t> </w:t>
      </w:r>
      <w:r>
        <w:rPr>
          <w:rFonts w:ascii="Verdana"/>
          <w:sz w:val="56"/>
        </w:rPr>
        <w:t>Dda/Bae</w:t>
      </w:r>
      <w:r>
        <w:rPr>
          <w:rFonts w:ascii="Verdana"/>
          <w:spacing w:val="-3"/>
          <w:sz w:val="56"/>
        </w:rPr>
        <w:t> </w:t>
      </w:r>
      <w:r>
        <w:rPr>
          <w:rFonts w:ascii="Verdana"/>
          <w:spacing w:val="-2"/>
          <w:sz w:val="56"/>
        </w:rPr>
        <w:t>Abertawe</w:t>
      </w:r>
    </w:p>
    <w:p>
      <w:pPr>
        <w:spacing w:after="0" w:line="672" w:lineRule="exact"/>
        <w:jc w:val="center"/>
        <w:rPr>
          <w:rFonts w:ascii="Verdana"/>
          <w:sz w:val="56"/>
        </w:rPr>
        <w:sectPr>
          <w:footerReference w:type="default" r:id="rId21"/>
          <w:pgSz w:w="19200" w:h="10800" w:orient="landscape"/>
          <w:pgMar w:header="0" w:footer="0" w:top="480" w:bottom="0" w:left="0" w:right="0"/>
        </w:sectPr>
      </w:pPr>
    </w:p>
    <w:p>
      <w:pPr>
        <w:tabs>
          <w:tab w:pos="14284" w:val="left" w:leader="none"/>
        </w:tabs>
        <w:spacing w:line="240" w:lineRule="auto"/>
        <w:ind w:left="244" w:right="0" w:firstLine="0"/>
        <w:rPr>
          <w:rFonts w:ascii="Verdana"/>
          <w:position w:val="15"/>
          <w:sz w:val="20"/>
        </w:rPr>
      </w:pPr>
      <w:r>
        <w:rPr>
          <w:rFonts w:ascii="Verdana"/>
          <w:sz w:val="20"/>
        </w:rPr>
        <w:drawing>
          <wp:inline distT="0" distB="0" distL="0" distR="0">
            <wp:extent cx="3379509" cy="914400"/>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24" cstate="print"/>
                    <a:stretch>
                      <a:fillRect/>
                    </a:stretch>
                  </pic:blipFill>
                  <pic:spPr>
                    <a:xfrm>
                      <a:off x="0" y="0"/>
                      <a:ext cx="3379509" cy="914400"/>
                    </a:xfrm>
                    <a:prstGeom prst="rect">
                      <a:avLst/>
                    </a:prstGeom>
                  </pic:spPr>
                </pic:pic>
              </a:graphicData>
            </a:graphic>
          </wp:inline>
        </w:drawing>
      </w:r>
      <w:r>
        <w:rPr>
          <w:rFonts w:ascii="Verdana"/>
          <w:sz w:val="20"/>
        </w:rPr>
      </w:r>
      <w:r>
        <w:rPr>
          <w:rFonts w:ascii="Verdana"/>
          <w:sz w:val="20"/>
        </w:rPr>
        <w:tab/>
      </w:r>
      <w:r>
        <w:rPr>
          <w:rFonts w:ascii="Verdana"/>
          <w:position w:val="15"/>
          <w:sz w:val="20"/>
        </w:rPr>
        <w:drawing>
          <wp:inline distT="0" distB="0" distL="0" distR="0">
            <wp:extent cx="2966188" cy="804672"/>
            <wp:effectExtent l="0" t="0" r="0" b="0"/>
            <wp:docPr id="95" name="Image 95" descr="Temporary changes to blood test arrangements in Swansea Bay - Swansea Bay  University Health Board"/>
            <wp:cNvGraphicFramePr>
              <a:graphicFrameLocks/>
            </wp:cNvGraphicFramePr>
            <a:graphic>
              <a:graphicData uri="http://schemas.openxmlformats.org/drawingml/2006/picture">
                <pic:pic>
                  <pic:nvPicPr>
                    <pic:cNvPr id="95" name="Image 95" descr="Temporary changes to blood test arrangements in Swansea Bay - Swansea Bay  University Health Board"/>
                    <pic:cNvPicPr/>
                  </pic:nvPicPr>
                  <pic:blipFill>
                    <a:blip r:embed="rId25" cstate="print"/>
                    <a:stretch>
                      <a:fillRect/>
                    </a:stretch>
                  </pic:blipFill>
                  <pic:spPr>
                    <a:xfrm>
                      <a:off x="0" y="0"/>
                      <a:ext cx="2966188" cy="804672"/>
                    </a:xfrm>
                    <a:prstGeom prst="rect">
                      <a:avLst/>
                    </a:prstGeom>
                  </pic:spPr>
                </pic:pic>
              </a:graphicData>
            </a:graphic>
          </wp:inline>
        </w:drawing>
      </w:r>
      <w:r>
        <w:rPr>
          <w:rFonts w:ascii="Verdana"/>
          <w:position w:val="15"/>
          <w:sz w:val="20"/>
        </w:rPr>
      </w:r>
    </w:p>
    <w:p>
      <w:pPr>
        <w:spacing w:before="322"/>
        <w:ind w:left="881" w:right="0" w:firstLine="0"/>
        <w:jc w:val="left"/>
        <w:rPr>
          <w:rFonts w:ascii="Calibri"/>
          <w:sz w:val="36"/>
        </w:rPr>
      </w:pPr>
      <w:r>
        <w:rPr>
          <w:rFonts w:ascii="Calibri"/>
          <w:spacing w:val="-4"/>
          <w:w w:val="105"/>
          <w:sz w:val="36"/>
        </w:rPr>
        <w:t>The</w:t>
      </w:r>
      <w:r>
        <w:rPr>
          <w:rFonts w:ascii="Calibri"/>
          <w:spacing w:val="-10"/>
          <w:w w:val="105"/>
          <w:sz w:val="36"/>
        </w:rPr>
        <w:t> </w:t>
      </w:r>
      <w:r>
        <w:rPr>
          <w:rFonts w:ascii="Calibri"/>
          <w:spacing w:val="-4"/>
          <w:w w:val="105"/>
          <w:sz w:val="36"/>
        </w:rPr>
        <w:t>finance</w:t>
      </w:r>
      <w:r>
        <w:rPr>
          <w:rFonts w:ascii="Calibri"/>
          <w:spacing w:val="-10"/>
          <w:w w:val="105"/>
          <w:sz w:val="36"/>
        </w:rPr>
        <w:t> </w:t>
      </w:r>
      <w:r>
        <w:rPr>
          <w:rFonts w:ascii="Calibri"/>
          <w:spacing w:val="-4"/>
          <w:w w:val="105"/>
          <w:sz w:val="36"/>
        </w:rPr>
        <w:t>and</w:t>
      </w:r>
      <w:r>
        <w:rPr>
          <w:rFonts w:ascii="Calibri"/>
          <w:spacing w:val="-24"/>
          <w:w w:val="105"/>
          <w:sz w:val="36"/>
        </w:rPr>
        <w:t> </w:t>
      </w:r>
      <w:r>
        <w:rPr>
          <w:rFonts w:ascii="Calibri"/>
          <w:spacing w:val="-4"/>
          <w:w w:val="105"/>
          <w:sz w:val="36"/>
        </w:rPr>
        <w:t>digital</w:t>
      </w:r>
      <w:r>
        <w:rPr>
          <w:rFonts w:ascii="Calibri"/>
          <w:spacing w:val="-14"/>
          <w:w w:val="105"/>
          <w:sz w:val="36"/>
        </w:rPr>
        <w:t> </w:t>
      </w:r>
      <w:r>
        <w:rPr>
          <w:rFonts w:ascii="Calibri"/>
          <w:spacing w:val="-4"/>
          <w:w w:val="105"/>
          <w:sz w:val="36"/>
        </w:rPr>
        <w:t>teams</w:t>
      </w:r>
      <w:r>
        <w:rPr>
          <w:rFonts w:ascii="Calibri"/>
          <w:spacing w:val="-26"/>
          <w:w w:val="105"/>
          <w:sz w:val="36"/>
        </w:rPr>
        <w:t> </w:t>
      </w:r>
      <w:r>
        <w:rPr>
          <w:rFonts w:ascii="Calibri"/>
          <w:spacing w:val="-4"/>
          <w:w w:val="105"/>
          <w:sz w:val="36"/>
        </w:rPr>
        <w:t>have</w:t>
      </w:r>
      <w:r>
        <w:rPr>
          <w:rFonts w:ascii="Calibri"/>
          <w:spacing w:val="-10"/>
          <w:w w:val="105"/>
          <w:sz w:val="36"/>
        </w:rPr>
        <w:t> </w:t>
      </w:r>
      <w:r>
        <w:rPr>
          <w:rFonts w:ascii="Calibri"/>
          <w:spacing w:val="-4"/>
          <w:w w:val="105"/>
          <w:sz w:val="36"/>
        </w:rPr>
        <w:t>been</w:t>
      </w:r>
      <w:r>
        <w:rPr>
          <w:rFonts w:ascii="Calibri"/>
          <w:spacing w:val="-18"/>
          <w:w w:val="105"/>
          <w:sz w:val="36"/>
        </w:rPr>
        <w:t> </w:t>
      </w:r>
      <w:r>
        <w:rPr>
          <w:rFonts w:ascii="Calibri"/>
          <w:spacing w:val="-4"/>
          <w:w w:val="105"/>
          <w:sz w:val="36"/>
        </w:rPr>
        <w:t>working</w:t>
      </w:r>
      <w:r>
        <w:rPr>
          <w:rFonts w:ascii="Calibri"/>
          <w:spacing w:val="-9"/>
          <w:w w:val="105"/>
          <w:sz w:val="36"/>
        </w:rPr>
        <w:t> </w:t>
      </w:r>
      <w:r>
        <w:rPr>
          <w:rFonts w:ascii="Calibri"/>
          <w:spacing w:val="-4"/>
          <w:w w:val="105"/>
          <w:sz w:val="36"/>
        </w:rPr>
        <w:t>together</w:t>
      </w:r>
      <w:r>
        <w:rPr>
          <w:rFonts w:ascii="Calibri"/>
          <w:spacing w:val="-12"/>
          <w:w w:val="105"/>
          <w:sz w:val="36"/>
        </w:rPr>
        <w:t> </w:t>
      </w:r>
      <w:r>
        <w:rPr>
          <w:rFonts w:ascii="Calibri"/>
          <w:spacing w:val="-4"/>
          <w:w w:val="105"/>
          <w:sz w:val="36"/>
        </w:rPr>
        <w:t>for</w:t>
      </w:r>
      <w:r>
        <w:rPr>
          <w:rFonts w:ascii="Calibri"/>
          <w:spacing w:val="-13"/>
          <w:w w:val="105"/>
          <w:sz w:val="36"/>
        </w:rPr>
        <w:t> </w:t>
      </w:r>
      <w:r>
        <w:rPr>
          <w:rFonts w:ascii="Calibri"/>
          <w:spacing w:val="-4"/>
          <w:w w:val="105"/>
          <w:sz w:val="36"/>
        </w:rPr>
        <w:t>well</w:t>
      </w:r>
      <w:r>
        <w:rPr>
          <w:rFonts w:ascii="Calibri"/>
          <w:spacing w:val="-14"/>
          <w:w w:val="105"/>
          <w:sz w:val="36"/>
        </w:rPr>
        <w:t> </w:t>
      </w:r>
      <w:r>
        <w:rPr>
          <w:rFonts w:ascii="Calibri"/>
          <w:spacing w:val="-4"/>
          <w:w w:val="105"/>
          <w:sz w:val="36"/>
        </w:rPr>
        <w:t>over</w:t>
      </w:r>
      <w:r>
        <w:rPr>
          <w:rFonts w:ascii="Calibri"/>
          <w:spacing w:val="-12"/>
          <w:w w:val="105"/>
          <w:sz w:val="36"/>
        </w:rPr>
        <w:t> </w:t>
      </w:r>
      <w:r>
        <w:rPr>
          <w:rFonts w:ascii="Calibri"/>
          <w:spacing w:val="-4"/>
          <w:w w:val="105"/>
          <w:sz w:val="36"/>
        </w:rPr>
        <w:t>12</w:t>
      </w:r>
      <w:r>
        <w:rPr>
          <w:rFonts w:ascii="Calibri"/>
          <w:spacing w:val="-12"/>
          <w:w w:val="105"/>
          <w:sz w:val="36"/>
        </w:rPr>
        <w:t> </w:t>
      </w:r>
      <w:r>
        <w:rPr>
          <w:rFonts w:ascii="Calibri"/>
          <w:spacing w:val="-4"/>
          <w:w w:val="105"/>
          <w:sz w:val="36"/>
        </w:rPr>
        <w:t>months,</w:t>
      </w:r>
      <w:r>
        <w:rPr>
          <w:rFonts w:ascii="Calibri"/>
          <w:spacing w:val="-9"/>
          <w:w w:val="105"/>
          <w:sz w:val="36"/>
        </w:rPr>
        <w:t> </w:t>
      </w:r>
      <w:r>
        <w:rPr>
          <w:rFonts w:ascii="Calibri"/>
          <w:spacing w:val="-4"/>
          <w:w w:val="105"/>
          <w:sz w:val="36"/>
        </w:rPr>
        <w:t>and</w:t>
      </w:r>
      <w:r>
        <w:rPr>
          <w:rFonts w:ascii="Calibri"/>
          <w:spacing w:val="-7"/>
          <w:w w:val="105"/>
          <w:sz w:val="36"/>
        </w:rPr>
        <w:t> </w:t>
      </w:r>
      <w:r>
        <w:rPr>
          <w:rFonts w:ascii="Calibri"/>
          <w:spacing w:val="-4"/>
          <w:w w:val="105"/>
          <w:sz w:val="36"/>
        </w:rPr>
        <w:t>this</w:t>
      </w:r>
      <w:r>
        <w:rPr>
          <w:rFonts w:ascii="Calibri"/>
          <w:spacing w:val="-9"/>
          <w:w w:val="105"/>
          <w:sz w:val="36"/>
        </w:rPr>
        <w:t> </w:t>
      </w:r>
      <w:r>
        <w:rPr>
          <w:rFonts w:ascii="Calibri"/>
          <w:spacing w:val="-4"/>
          <w:w w:val="105"/>
          <w:sz w:val="36"/>
        </w:rPr>
        <w:t>has</w:t>
      </w:r>
      <w:r>
        <w:rPr>
          <w:rFonts w:ascii="Calibri"/>
          <w:spacing w:val="-25"/>
          <w:w w:val="105"/>
          <w:sz w:val="36"/>
        </w:rPr>
        <w:t> </w:t>
      </w:r>
      <w:r>
        <w:rPr>
          <w:rFonts w:ascii="Calibri"/>
          <w:spacing w:val="-4"/>
          <w:w w:val="105"/>
          <w:sz w:val="36"/>
        </w:rPr>
        <w:t>now</w:t>
      </w:r>
      <w:r>
        <w:rPr>
          <w:rFonts w:ascii="Calibri"/>
          <w:spacing w:val="-7"/>
          <w:w w:val="105"/>
          <w:sz w:val="36"/>
        </w:rPr>
        <w:t> </w:t>
      </w:r>
      <w:r>
        <w:rPr>
          <w:rFonts w:ascii="Calibri"/>
          <w:spacing w:val="-4"/>
          <w:w w:val="105"/>
          <w:sz w:val="36"/>
        </w:rPr>
        <w:t>culminated</w:t>
      </w:r>
      <w:r>
        <w:rPr>
          <w:rFonts w:ascii="Calibri"/>
          <w:spacing w:val="-23"/>
          <w:w w:val="105"/>
          <w:sz w:val="36"/>
        </w:rPr>
        <w:t> </w:t>
      </w:r>
      <w:r>
        <w:rPr>
          <w:rFonts w:ascii="Calibri"/>
          <w:spacing w:val="-5"/>
          <w:w w:val="105"/>
          <w:sz w:val="36"/>
        </w:rPr>
        <w:t>in:</w:t>
      </w:r>
    </w:p>
    <w:p>
      <w:pPr>
        <w:pStyle w:val="BodyText"/>
        <w:spacing w:before="238"/>
        <w:rPr>
          <w:rFonts w:ascii="Calibri"/>
          <w:sz w:val="36"/>
        </w:rPr>
      </w:pPr>
    </w:p>
    <w:p>
      <w:pPr>
        <w:pStyle w:val="ListParagraph"/>
        <w:numPr>
          <w:ilvl w:val="2"/>
          <w:numId w:val="4"/>
        </w:numPr>
        <w:tabs>
          <w:tab w:pos="1418" w:val="left" w:leader="none"/>
          <w:tab w:pos="1421" w:val="left" w:leader="none"/>
        </w:tabs>
        <w:spacing w:line="235" w:lineRule="auto" w:before="1" w:after="0"/>
        <w:ind w:left="1421" w:right="1071" w:hanging="541"/>
        <w:jc w:val="both"/>
        <w:rPr>
          <w:rFonts w:ascii="Calibri"/>
          <w:sz w:val="36"/>
        </w:rPr>
      </w:pPr>
      <w:r>
        <w:rPr>
          <w:rFonts w:ascii="Calibri"/>
          <w:spacing w:val="-2"/>
          <w:w w:val="105"/>
          <w:sz w:val="36"/>
        </w:rPr>
        <w:t>The</w:t>
      </w:r>
      <w:r>
        <w:rPr>
          <w:rFonts w:ascii="Calibri"/>
          <w:spacing w:val="-20"/>
          <w:w w:val="105"/>
          <w:sz w:val="36"/>
        </w:rPr>
        <w:t> </w:t>
      </w:r>
      <w:r>
        <w:rPr>
          <w:rFonts w:ascii="Calibri"/>
          <w:spacing w:val="-2"/>
          <w:w w:val="105"/>
          <w:sz w:val="36"/>
        </w:rPr>
        <w:t>first</w:t>
      </w:r>
      <w:r>
        <w:rPr>
          <w:rFonts w:ascii="Calibri"/>
          <w:spacing w:val="-19"/>
          <w:w w:val="105"/>
          <w:sz w:val="36"/>
        </w:rPr>
        <w:t> </w:t>
      </w:r>
      <w:r>
        <w:rPr>
          <w:rFonts w:ascii="Calibri"/>
          <w:spacing w:val="-2"/>
          <w:w w:val="105"/>
          <w:sz w:val="36"/>
        </w:rPr>
        <w:t>regional</w:t>
      </w:r>
      <w:r>
        <w:rPr>
          <w:rFonts w:ascii="Calibri"/>
          <w:spacing w:val="-20"/>
          <w:w w:val="105"/>
          <w:sz w:val="36"/>
        </w:rPr>
        <w:t> </w:t>
      </w:r>
      <w:r>
        <w:rPr>
          <w:rFonts w:ascii="Calibri"/>
          <w:spacing w:val="-2"/>
          <w:w w:val="105"/>
          <w:sz w:val="36"/>
        </w:rPr>
        <w:t>whole-finance</w:t>
      </w:r>
      <w:r>
        <w:rPr>
          <w:rFonts w:ascii="Calibri"/>
          <w:spacing w:val="-12"/>
          <w:w w:val="105"/>
          <w:sz w:val="36"/>
        </w:rPr>
        <w:t> </w:t>
      </w:r>
      <w:r>
        <w:rPr>
          <w:rFonts w:ascii="Calibri"/>
          <w:spacing w:val="-2"/>
          <w:w w:val="105"/>
          <w:sz w:val="36"/>
        </w:rPr>
        <w:t>team</w:t>
      </w:r>
      <w:r>
        <w:rPr>
          <w:rFonts w:ascii="Calibri"/>
          <w:spacing w:val="-13"/>
          <w:w w:val="105"/>
          <w:sz w:val="36"/>
        </w:rPr>
        <w:t> </w:t>
      </w:r>
      <w:r>
        <w:rPr>
          <w:rFonts w:ascii="Calibri"/>
          <w:spacing w:val="-2"/>
          <w:w w:val="105"/>
          <w:sz w:val="36"/>
        </w:rPr>
        <w:t>conference</w:t>
      </w:r>
      <w:r>
        <w:rPr>
          <w:rFonts w:ascii="Calibri"/>
          <w:spacing w:val="-11"/>
          <w:w w:val="105"/>
          <w:sz w:val="36"/>
        </w:rPr>
        <w:t> </w:t>
      </w:r>
      <w:r>
        <w:rPr>
          <w:rFonts w:ascii="Calibri"/>
          <w:spacing w:val="-2"/>
          <w:w w:val="105"/>
          <w:sz w:val="36"/>
        </w:rPr>
        <w:t>held</w:t>
      </w:r>
      <w:r>
        <w:rPr>
          <w:rFonts w:ascii="Calibri"/>
          <w:spacing w:val="-20"/>
          <w:w w:val="105"/>
          <w:sz w:val="36"/>
        </w:rPr>
        <w:t> </w:t>
      </w:r>
      <w:r>
        <w:rPr>
          <w:rFonts w:ascii="Calibri"/>
          <w:spacing w:val="-2"/>
          <w:w w:val="105"/>
          <w:sz w:val="36"/>
        </w:rPr>
        <w:t>on</w:t>
      </w:r>
      <w:r>
        <w:rPr>
          <w:rFonts w:ascii="Calibri"/>
          <w:spacing w:val="-19"/>
          <w:w w:val="105"/>
          <w:sz w:val="36"/>
        </w:rPr>
        <w:t> </w:t>
      </w:r>
      <w:r>
        <w:rPr>
          <w:rFonts w:ascii="Calibri"/>
          <w:spacing w:val="-2"/>
          <w:w w:val="105"/>
          <w:sz w:val="36"/>
        </w:rPr>
        <w:t>15</w:t>
      </w:r>
      <w:r>
        <w:rPr>
          <w:rFonts w:ascii="Calibri"/>
          <w:spacing w:val="-13"/>
          <w:w w:val="105"/>
          <w:sz w:val="36"/>
        </w:rPr>
        <w:t> </w:t>
      </w:r>
      <w:r>
        <w:rPr>
          <w:rFonts w:ascii="Calibri"/>
          <w:spacing w:val="-2"/>
          <w:w w:val="105"/>
          <w:sz w:val="36"/>
        </w:rPr>
        <w:t>September</w:t>
      </w:r>
      <w:r>
        <w:rPr>
          <w:rFonts w:ascii="Calibri"/>
          <w:spacing w:val="-14"/>
          <w:w w:val="105"/>
          <w:sz w:val="36"/>
        </w:rPr>
        <w:t> </w:t>
      </w:r>
      <w:r>
        <w:rPr>
          <w:rFonts w:ascii="Calibri"/>
          <w:spacing w:val="-2"/>
          <w:w w:val="105"/>
          <w:sz w:val="36"/>
        </w:rPr>
        <w:t>to</w:t>
      </w:r>
      <w:r>
        <w:rPr>
          <w:rFonts w:ascii="Calibri"/>
          <w:spacing w:val="-5"/>
          <w:w w:val="105"/>
          <w:sz w:val="36"/>
        </w:rPr>
        <w:t> </w:t>
      </w:r>
      <w:r>
        <w:rPr>
          <w:rFonts w:ascii="Calibri"/>
          <w:spacing w:val="-2"/>
          <w:w w:val="105"/>
          <w:sz w:val="36"/>
        </w:rPr>
        <w:t>determine</w:t>
      </w:r>
      <w:r>
        <w:rPr>
          <w:rFonts w:ascii="Calibri"/>
          <w:spacing w:val="-11"/>
          <w:w w:val="105"/>
          <w:sz w:val="36"/>
        </w:rPr>
        <w:t> </w:t>
      </w:r>
      <w:r>
        <w:rPr>
          <w:rFonts w:ascii="Calibri"/>
          <w:spacing w:val="-2"/>
          <w:w w:val="105"/>
          <w:sz w:val="36"/>
        </w:rPr>
        <w:t>a</w:t>
      </w:r>
      <w:r>
        <w:rPr>
          <w:rFonts w:ascii="Calibri"/>
          <w:spacing w:val="-13"/>
          <w:w w:val="105"/>
          <w:sz w:val="36"/>
        </w:rPr>
        <w:t> </w:t>
      </w:r>
      <w:r>
        <w:rPr>
          <w:rFonts w:ascii="Calibri"/>
          <w:spacing w:val="-2"/>
          <w:w w:val="105"/>
          <w:sz w:val="36"/>
        </w:rPr>
        <w:t>plan</w:t>
      </w:r>
      <w:r>
        <w:rPr>
          <w:rFonts w:ascii="Calibri"/>
          <w:spacing w:val="-20"/>
          <w:w w:val="105"/>
          <w:sz w:val="36"/>
        </w:rPr>
        <w:t> </w:t>
      </w:r>
      <w:r>
        <w:rPr>
          <w:rFonts w:ascii="Calibri"/>
          <w:spacing w:val="-2"/>
          <w:w w:val="105"/>
          <w:sz w:val="36"/>
        </w:rPr>
        <w:t>to</w:t>
      </w:r>
      <w:r>
        <w:rPr>
          <w:rFonts w:ascii="Calibri"/>
          <w:spacing w:val="-19"/>
          <w:w w:val="105"/>
          <w:sz w:val="36"/>
        </w:rPr>
        <w:t> </w:t>
      </w:r>
      <w:r>
        <w:rPr>
          <w:rFonts w:ascii="Calibri"/>
          <w:spacing w:val="-2"/>
          <w:w w:val="105"/>
          <w:sz w:val="36"/>
        </w:rPr>
        <w:t>implementing</w:t>
      </w:r>
      <w:r>
        <w:rPr>
          <w:rFonts w:ascii="Calibri"/>
          <w:spacing w:val="-9"/>
          <w:w w:val="105"/>
          <w:sz w:val="36"/>
        </w:rPr>
        <w:t> </w:t>
      </w:r>
      <w:r>
        <w:rPr>
          <w:rFonts w:ascii="Calibri"/>
          <w:spacing w:val="-2"/>
          <w:w w:val="105"/>
          <w:sz w:val="36"/>
        </w:rPr>
        <w:t>a </w:t>
      </w:r>
      <w:r>
        <w:rPr>
          <w:rFonts w:ascii="Calibri"/>
          <w:w w:val="105"/>
          <w:sz w:val="36"/>
        </w:rPr>
        <w:t>regional</w:t>
      </w:r>
      <w:r>
        <w:rPr>
          <w:rFonts w:ascii="Calibri"/>
          <w:spacing w:val="-5"/>
          <w:w w:val="105"/>
          <w:sz w:val="36"/>
        </w:rPr>
        <w:t> </w:t>
      </w:r>
      <w:r>
        <w:rPr>
          <w:rFonts w:ascii="Calibri"/>
          <w:w w:val="105"/>
          <w:sz w:val="36"/>
        </w:rPr>
        <w:t>Finance Operating Model</w:t>
      </w:r>
      <w:r>
        <w:rPr>
          <w:rFonts w:ascii="Calibri"/>
          <w:spacing w:val="-5"/>
          <w:w w:val="105"/>
          <w:sz w:val="36"/>
        </w:rPr>
        <w:t> </w:t>
      </w:r>
      <w:r>
        <w:rPr>
          <w:rFonts w:ascii="Calibri"/>
          <w:w w:val="105"/>
          <w:sz w:val="36"/>
        </w:rPr>
        <w:t>embedded</w:t>
      </w:r>
      <w:r>
        <w:rPr>
          <w:rFonts w:ascii="Calibri"/>
          <w:spacing w:val="-15"/>
          <w:w w:val="105"/>
          <w:sz w:val="36"/>
        </w:rPr>
        <w:t> </w:t>
      </w:r>
      <w:r>
        <w:rPr>
          <w:rFonts w:ascii="Calibri"/>
          <w:w w:val="105"/>
          <w:sz w:val="36"/>
        </w:rPr>
        <w:t>across</w:t>
      </w:r>
      <w:r>
        <w:rPr>
          <w:rFonts w:ascii="Calibri"/>
          <w:spacing w:val="-18"/>
          <w:w w:val="105"/>
          <w:sz w:val="36"/>
        </w:rPr>
        <w:t> </w:t>
      </w:r>
      <w:r>
        <w:rPr>
          <w:rFonts w:ascii="Calibri"/>
          <w:w w:val="105"/>
          <w:sz w:val="36"/>
        </w:rPr>
        <w:t>the two</w:t>
      </w:r>
      <w:r>
        <w:rPr>
          <w:rFonts w:ascii="Calibri"/>
          <w:spacing w:val="-12"/>
          <w:w w:val="105"/>
          <w:sz w:val="36"/>
        </w:rPr>
        <w:t> </w:t>
      </w:r>
      <w:r>
        <w:rPr>
          <w:rFonts w:ascii="Calibri"/>
          <w:w w:val="105"/>
          <w:sz w:val="36"/>
        </w:rPr>
        <w:t>teams.</w:t>
      </w:r>
    </w:p>
    <w:p>
      <w:pPr>
        <w:pStyle w:val="ListParagraph"/>
        <w:numPr>
          <w:ilvl w:val="2"/>
          <w:numId w:val="4"/>
        </w:numPr>
        <w:tabs>
          <w:tab w:pos="1418" w:val="left" w:leader="none"/>
          <w:tab w:pos="1421" w:val="left" w:leader="none"/>
        </w:tabs>
        <w:spacing w:line="235" w:lineRule="auto" w:before="119" w:after="0"/>
        <w:ind w:left="1421" w:right="1941" w:hanging="541"/>
        <w:jc w:val="both"/>
        <w:rPr>
          <w:rFonts w:ascii="Calibri"/>
          <w:sz w:val="36"/>
        </w:rPr>
      </w:pPr>
      <w:r>
        <w:rPr>
          <w:rFonts w:ascii="Calibri"/>
          <w:spacing w:val="-2"/>
          <w:w w:val="105"/>
          <w:sz w:val="36"/>
        </w:rPr>
        <w:t>A</w:t>
      </w:r>
      <w:r>
        <w:rPr>
          <w:rFonts w:ascii="Calibri"/>
          <w:spacing w:val="-20"/>
          <w:w w:val="105"/>
          <w:sz w:val="36"/>
        </w:rPr>
        <w:t> </w:t>
      </w:r>
      <w:r>
        <w:rPr>
          <w:rFonts w:ascii="Calibri"/>
          <w:spacing w:val="-2"/>
          <w:w w:val="105"/>
          <w:sz w:val="36"/>
        </w:rPr>
        <w:t>value</w:t>
      </w:r>
      <w:r>
        <w:rPr>
          <w:rFonts w:ascii="Calibri"/>
          <w:spacing w:val="-19"/>
          <w:w w:val="105"/>
          <w:sz w:val="36"/>
        </w:rPr>
        <w:t> </w:t>
      </w:r>
      <w:r>
        <w:rPr>
          <w:rFonts w:ascii="Calibri"/>
          <w:spacing w:val="-2"/>
          <w:w w:val="105"/>
          <w:sz w:val="36"/>
        </w:rPr>
        <w:t>based</w:t>
      </w:r>
      <w:r>
        <w:rPr>
          <w:rFonts w:ascii="Calibri"/>
          <w:spacing w:val="-20"/>
          <w:w w:val="105"/>
          <w:sz w:val="36"/>
        </w:rPr>
        <w:t> </w:t>
      </w:r>
      <w:r>
        <w:rPr>
          <w:rFonts w:ascii="Calibri"/>
          <w:spacing w:val="-2"/>
          <w:w w:val="105"/>
          <w:sz w:val="36"/>
        </w:rPr>
        <w:t>procurement</w:t>
      </w:r>
      <w:r>
        <w:rPr>
          <w:rFonts w:ascii="Calibri"/>
          <w:spacing w:val="-19"/>
          <w:w w:val="105"/>
          <w:sz w:val="36"/>
        </w:rPr>
        <w:t> </w:t>
      </w:r>
      <w:r>
        <w:rPr>
          <w:rFonts w:ascii="Calibri"/>
          <w:spacing w:val="-2"/>
          <w:w w:val="105"/>
          <w:sz w:val="36"/>
        </w:rPr>
        <w:t>workshop,</w:t>
      </w:r>
      <w:r>
        <w:rPr>
          <w:rFonts w:ascii="Calibri"/>
          <w:spacing w:val="-19"/>
          <w:w w:val="105"/>
          <w:sz w:val="36"/>
        </w:rPr>
        <w:t> </w:t>
      </w:r>
      <w:r>
        <w:rPr>
          <w:rFonts w:ascii="Calibri"/>
          <w:spacing w:val="-2"/>
          <w:w w:val="105"/>
          <w:sz w:val="36"/>
        </w:rPr>
        <w:t>hosted</w:t>
      </w:r>
      <w:r>
        <w:rPr>
          <w:rFonts w:ascii="Calibri"/>
          <w:spacing w:val="-20"/>
          <w:w w:val="105"/>
          <w:sz w:val="36"/>
        </w:rPr>
        <w:t> </w:t>
      </w:r>
      <w:r>
        <w:rPr>
          <w:rFonts w:ascii="Calibri"/>
          <w:spacing w:val="-2"/>
          <w:w w:val="105"/>
          <w:sz w:val="36"/>
        </w:rPr>
        <w:t>by</w:t>
      </w:r>
      <w:r>
        <w:rPr>
          <w:rFonts w:ascii="Calibri"/>
          <w:spacing w:val="-18"/>
          <w:w w:val="105"/>
          <w:sz w:val="36"/>
        </w:rPr>
        <w:t> </w:t>
      </w:r>
      <w:r>
        <w:rPr>
          <w:rFonts w:ascii="Calibri"/>
          <w:spacing w:val="-2"/>
          <w:w w:val="105"/>
          <w:sz w:val="36"/>
        </w:rPr>
        <w:t>Swansea</w:t>
      </w:r>
      <w:r>
        <w:rPr>
          <w:rFonts w:ascii="Calibri"/>
          <w:spacing w:val="-17"/>
          <w:w w:val="105"/>
          <w:sz w:val="36"/>
        </w:rPr>
        <w:t> </w:t>
      </w:r>
      <w:r>
        <w:rPr>
          <w:rFonts w:ascii="Calibri"/>
          <w:spacing w:val="-2"/>
          <w:w w:val="105"/>
          <w:sz w:val="36"/>
        </w:rPr>
        <w:t>University</w:t>
      </w:r>
      <w:r>
        <w:rPr>
          <w:rFonts w:ascii="Calibri"/>
          <w:spacing w:val="-17"/>
          <w:w w:val="105"/>
          <w:sz w:val="36"/>
        </w:rPr>
        <w:t> </w:t>
      </w:r>
      <w:r>
        <w:rPr>
          <w:rFonts w:ascii="Calibri"/>
          <w:spacing w:val="-2"/>
          <w:w w:val="105"/>
          <w:sz w:val="36"/>
        </w:rPr>
        <w:t>on</w:t>
      </w:r>
      <w:r>
        <w:rPr>
          <w:rFonts w:ascii="Calibri"/>
          <w:spacing w:val="-20"/>
          <w:w w:val="105"/>
          <w:sz w:val="36"/>
        </w:rPr>
        <w:t> </w:t>
      </w:r>
      <w:r>
        <w:rPr>
          <w:rFonts w:ascii="Calibri"/>
          <w:spacing w:val="-2"/>
          <w:w w:val="105"/>
          <w:sz w:val="36"/>
        </w:rPr>
        <w:t>28</w:t>
      </w:r>
      <w:r>
        <w:rPr>
          <w:rFonts w:ascii="Calibri"/>
          <w:spacing w:val="-17"/>
          <w:w w:val="105"/>
          <w:sz w:val="36"/>
        </w:rPr>
        <w:t> </w:t>
      </w:r>
      <w:r>
        <w:rPr>
          <w:rFonts w:ascii="Calibri"/>
          <w:spacing w:val="-2"/>
          <w:w w:val="105"/>
          <w:sz w:val="36"/>
        </w:rPr>
        <w:t>September,</w:t>
      </w:r>
      <w:r>
        <w:rPr>
          <w:rFonts w:ascii="Calibri"/>
          <w:spacing w:val="-14"/>
          <w:w w:val="105"/>
          <w:sz w:val="36"/>
        </w:rPr>
        <w:t> </w:t>
      </w:r>
      <w:r>
        <w:rPr>
          <w:rFonts w:ascii="Calibri"/>
          <w:spacing w:val="-2"/>
          <w:w w:val="105"/>
          <w:sz w:val="36"/>
        </w:rPr>
        <w:t>so</w:t>
      </w:r>
      <w:r>
        <w:rPr>
          <w:rFonts w:ascii="Calibri"/>
          <w:spacing w:val="-20"/>
          <w:w w:val="105"/>
          <w:sz w:val="36"/>
        </w:rPr>
        <w:t> </w:t>
      </w:r>
      <w:r>
        <w:rPr>
          <w:rFonts w:ascii="Calibri"/>
          <w:spacing w:val="-2"/>
          <w:w w:val="105"/>
          <w:sz w:val="36"/>
        </w:rPr>
        <w:t>that</w:t>
      </w:r>
      <w:r>
        <w:rPr>
          <w:rFonts w:ascii="Calibri"/>
          <w:spacing w:val="-19"/>
          <w:w w:val="105"/>
          <w:sz w:val="36"/>
        </w:rPr>
        <w:t> </w:t>
      </w:r>
      <w:r>
        <w:rPr>
          <w:rFonts w:ascii="Calibri"/>
          <w:spacing w:val="-2"/>
          <w:w w:val="105"/>
          <w:sz w:val="36"/>
        </w:rPr>
        <w:t>the</w:t>
      </w:r>
      <w:r>
        <w:rPr>
          <w:rFonts w:ascii="Calibri"/>
          <w:spacing w:val="-15"/>
          <w:w w:val="105"/>
          <w:sz w:val="36"/>
        </w:rPr>
        <w:t> </w:t>
      </w:r>
      <w:r>
        <w:rPr>
          <w:rFonts w:ascii="Calibri"/>
          <w:spacing w:val="-2"/>
          <w:w w:val="105"/>
          <w:sz w:val="36"/>
        </w:rPr>
        <w:t>region </w:t>
      </w:r>
      <w:r>
        <w:rPr>
          <w:rFonts w:ascii="Calibri"/>
          <w:w w:val="105"/>
          <w:sz w:val="36"/>
        </w:rPr>
        <w:t>becomes</w:t>
      </w:r>
      <w:r>
        <w:rPr>
          <w:rFonts w:ascii="Calibri"/>
          <w:spacing w:val="-22"/>
          <w:w w:val="105"/>
          <w:sz w:val="36"/>
        </w:rPr>
        <w:t> </w:t>
      </w:r>
      <w:r>
        <w:rPr>
          <w:rFonts w:ascii="Calibri"/>
          <w:w w:val="105"/>
          <w:sz w:val="36"/>
        </w:rPr>
        <w:t>an</w:t>
      </w:r>
      <w:r>
        <w:rPr>
          <w:rFonts w:ascii="Calibri"/>
          <w:spacing w:val="-21"/>
          <w:w w:val="105"/>
          <w:sz w:val="36"/>
        </w:rPr>
        <w:t> </w:t>
      </w:r>
      <w:r>
        <w:rPr>
          <w:rFonts w:ascii="Calibri"/>
          <w:w w:val="105"/>
          <w:sz w:val="36"/>
        </w:rPr>
        <w:t>early-adopter</w:t>
      </w:r>
      <w:r>
        <w:rPr>
          <w:rFonts w:ascii="Calibri"/>
          <w:spacing w:val="-22"/>
          <w:w w:val="105"/>
          <w:sz w:val="36"/>
        </w:rPr>
        <w:t> </w:t>
      </w:r>
      <w:r>
        <w:rPr>
          <w:rFonts w:ascii="Calibri"/>
          <w:w w:val="105"/>
          <w:sz w:val="36"/>
        </w:rPr>
        <w:t>of</w:t>
      </w:r>
      <w:r>
        <w:rPr>
          <w:rFonts w:ascii="Calibri"/>
          <w:spacing w:val="-21"/>
          <w:w w:val="105"/>
          <w:sz w:val="36"/>
        </w:rPr>
        <w:t> </w:t>
      </w:r>
      <w:r>
        <w:rPr>
          <w:rFonts w:ascii="Calibri"/>
          <w:w w:val="105"/>
          <w:sz w:val="36"/>
        </w:rPr>
        <w:t>the</w:t>
      </w:r>
      <w:r>
        <w:rPr>
          <w:rFonts w:ascii="Calibri"/>
          <w:spacing w:val="-21"/>
          <w:w w:val="105"/>
          <w:sz w:val="36"/>
        </w:rPr>
        <w:t> </w:t>
      </w:r>
      <w:r>
        <w:rPr>
          <w:rFonts w:ascii="Calibri"/>
          <w:w w:val="105"/>
          <w:sz w:val="36"/>
        </w:rPr>
        <w:t>Value</w:t>
      </w:r>
      <w:r>
        <w:rPr>
          <w:rFonts w:ascii="Calibri"/>
          <w:spacing w:val="-22"/>
          <w:w w:val="105"/>
          <w:sz w:val="36"/>
        </w:rPr>
        <w:t> </w:t>
      </w:r>
      <w:r>
        <w:rPr>
          <w:rFonts w:ascii="Calibri"/>
          <w:w w:val="105"/>
          <w:sz w:val="36"/>
        </w:rPr>
        <w:t>Based</w:t>
      </w:r>
      <w:r>
        <w:rPr>
          <w:rFonts w:ascii="Calibri"/>
          <w:spacing w:val="-21"/>
          <w:w w:val="105"/>
          <w:sz w:val="36"/>
        </w:rPr>
        <w:t> </w:t>
      </w:r>
      <w:r>
        <w:rPr>
          <w:rFonts w:ascii="Calibri"/>
          <w:w w:val="105"/>
          <w:sz w:val="36"/>
        </w:rPr>
        <w:t>Procurement</w:t>
      </w:r>
      <w:r>
        <w:rPr>
          <w:rFonts w:ascii="Calibri"/>
          <w:spacing w:val="-21"/>
          <w:w w:val="105"/>
          <w:sz w:val="36"/>
        </w:rPr>
        <w:t> </w:t>
      </w:r>
      <w:r>
        <w:rPr>
          <w:rFonts w:ascii="Calibri"/>
          <w:w w:val="105"/>
          <w:sz w:val="36"/>
        </w:rPr>
        <w:t>principles</w:t>
      </w:r>
      <w:r>
        <w:rPr>
          <w:rFonts w:ascii="Calibri"/>
          <w:spacing w:val="-22"/>
          <w:w w:val="105"/>
          <w:sz w:val="36"/>
        </w:rPr>
        <w:t> </w:t>
      </w:r>
      <w:r>
        <w:rPr>
          <w:rFonts w:ascii="Calibri"/>
          <w:w w:val="105"/>
          <w:sz w:val="36"/>
        </w:rPr>
        <w:t>which</w:t>
      </w:r>
      <w:r>
        <w:rPr>
          <w:rFonts w:ascii="Calibri"/>
          <w:spacing w:val="-21"/>
          <w:w w:val="105"/>
          <w:sz w:val="36"/>
        </w:rPr>
        <w:t> </w:t>
      </w:r>
      <w:r>
        <w:rPr>
          <w:rFonts w:ascii="Calibri"/>
          <w:w w:val="105"/>
          <w:sz w:val="36"/>
        </w:rPr>
        <w:t>have</w:t>
      </w:r>
      <w:r>
        <w:rPr>
          <w:rFonts w:ascii="Calibri"/>
          <w:spacing w:val="-21"/>
          <w:w w:val="105"/>
          <w:sz w:val="36"/>
        </w:rPr>
        <w:t> </w:t>
      </w:r>
      <w:r>
        <w:rPr>
          <w:rFonts w:ascii="Calibri"/>
          <w:w w:val="105"/>
          <w:sz w:val="36"/>
        </w:rPr>
        <w:t>been</w:t>
      </w:r>
      <w:r>
        <w:rPr>
          <w:rFonts w:ascii="Calibri"/>
          <w:spacing w:val="-22"/>
          <w:w w:val="105"/>
          <w:sz w:val="36"/>
        </w:rPr>
        <w:t> </w:t>
      </w:r>
      <w:r>
        <w:rPr>
          <w:rFonts w:ascii="Calibri"/>
          <w:w w:val="105"/>
          <w:sz w:val="36"/>
        </w:rPr>
        <w:t>developed</w:t>
      </w:r>
      <w:r>
        <w:rPr>
          <w:rFonts w:ascii="Calibri"/>
          <w:spacing w:val="-21"/>
          <w:w w:val="105"/>
          <w:sz w:val="36"/>
        </w:rPr>
        <w:t> </w:t>
      </w:r>
      <w:r>
        <w:rPr>
          <w:rFonts w:ascii="Calibri"/>
          <w:w w:val="105"/>
          <w:sz w:val="36"/>
        </w:rPr>
        <w:t>by</w:t>
      </w:r>
      <w:r>
        <w:rPr>
          <w:rFonts w:ascii="Calibri"/>
          <w:spacing w:val="-22"/>
          <w:w w:val="105"/>
          <w:sz w:val="36"/>
        </w:rPr>
        <w:t> </w:t>
      </w:r>
      <w:r>
        <w:rPr>
          <w:rFonts w:ascii="Calibri"/>
          <w:w w:val="105"/>
          <w:sz w:val="36"/>
        </w:rPr>
        <w:t>the Department</w:t>
      </w:r>
      <w:r>
        <w:rPr>
          <w:rFonts w:ascii="Calibri"/>
          <w:spacing w:val="-19"/>
          <w:w w:val="105"/>
          <w:sz w:val="36"/>
        </w:rPr>
        <w:t> </w:t>
      </w:r>
      <w:r>
        <w:rPr>
          <w:rFonts w:ascii="Calibri"/>
          <w:w w:val="105"/>
          <w:sz w:val="36"/>
        </w:rPr>
        <w:t>of</w:t>
      </w:r>
      <w:r>
        <w:rPr>
          <w:rFonts w:ascii="Calibri"/>
          <w:spacing w:val="-9"/>
          <w:w w:val="105"/>
          <w:sz w:val="36"/>
        </w:rPr>
        <w:t> </w:t>
      </w:r>
      <w:r>
        <w:rPr>
          <w:rFonts w:ascii="Calibri"/>
          <w:w w:val="105"/>
          <w:sz w:val="36"/>
        </w:rPr>
        <w:t>Health</w:t>
      </w:r>
      <w:r>
        <w:rPr>
          <w:rFonts w:ascii="Calibri"/>
          <w:spacing w:val="-14"/>
          <w:w w:val="105"/>
          <w:sz w:val="36"/>
        </w:rPr>
        <w:t> </w:t>
      </w:r>
      <w:r>
        <w:rPr>
          <w:rFonts w:ascii="Calibri"/>
          <w:w w:val="105"/>
          <w:sz w:val="36"/>
        </w:rPr>
        <w:t>and</w:t>
      </w:r>
      <w:r>
        <w:rPr>
          <w:rFonts w:ascii="Calibri"/>
          <w:spacing w:val="-18"/>
          <w:w w:val="105"/>
          <w:sz w:val="36"/>
        </w:rPr>
        <w:t> </w:t>
      </w:r>
      <w:r>
        <w:rPr>
          <w:rFonts w:ascii="Calibri"/>
          <w:w w:val="105"/>
          <w:sz w:val="36"/>
        </w:rPr>
        <w:t>Social</w:t>
      </w:r>
      <w:r>
        <w:rPr>
          <w:rFonts w:ascii="Calibri"/>
          <w:spacing w:val="-9"/>
          <w:w w:val="105"/>
          <w:sz w:val="36"/>
        </w:rPr>
        <w:t> </w:t>
      </w:r>
      <w:r>
        <w:rPr>
          <w:rFonts w:ascii="Calibri"/>
          <w:w w:val="105"/>
          <w:sz w:val="36"/>
        </w:rPr>
        <w:t>Care</w:t>
      </w:r>
      <w:r>
        <w:rPr>
          <w:rFonts w:ascii="Calibri"/>
          <w:spacing w:val="-3"/>
          <w:w w:val="105"/>
          <w:sz w:val="36"/>
        </w:rPr>
        <w:t> </w:t>
      </w:r>
      <w:r>
        <w:rPr>
          <w:rFonts w:ascii="Calibri"/>
          <w:w w:val="105"/>
          <w:sz w:val="36"/>
        </w:rPr>
        <w:t>(UK</w:t>
      </w:r>
      <w:r>
        <w:rPr>
          <w:rFonts w:ascii="Calibri"/>
          <w:spacing w:val="-5"/>
          <w:w w:val="105"/>
          <w:sz w:val="36"/>
        </w:rPr>
        <w:t> </w:t>
      </w:r>
      <w:r>
        <w:rPr>
          <w:rFonts w:ascii="Calibri"/>
          <w:w w:val="105"/>
          <w:sz w:val="36"/>
        </w:rPr>
        <w:t>Government),</w:t>
      </w:r>
      <w:r>
        <w:rPr>
          <w:rFonts w:ascii="Calibri"/>
          <w:spacing w:val="-2"/>
          <w:w w:val="105"/>
          <w:sz w:val="36"/>
        </w:rPr>
        <w:t> </w:t>
      </w:r>
      <w:r>
        <w:rPr>
          <w:rFonts w:ascii="Calibri"/>
          <w:w w:val="105"/>
          <w:sz w:val="36"/>
        </w:rPr>
        <w:t>and</w:t>
      </w:r>
      <w:r>
        <w:rPr>
          <w:rFonts w:ascii="Calibri"/>
          <w:spacing w:val="-18"/>
          <w:w w:val="105"/>
          <w:sz w:val="36"/>
        </w:rPr>
        <w:t> </w:t>
      </w:r>
      <w:r>
        <w:rPr>
          <w:rFonts w:ascii="Calibri"/>
          <w:w w:val="105"/>
          <w:sz w:val="36"/>
        </w:rPr>
        <w:t>supported</w:t>
      </w:r>
      <w:r>
        <w:rPr>
          <w:rFonts w:ascii="Calibri"/>
          <w:spacing w:val="-1"/>
          <w:w w:val="105"/>
          <w:sz w:val="36"/>
        </w:rPr>
        <w:t> </w:t>
      </w:r>
      <w:r>
        <w:rPr>
          <w:rFonts w:ascii="Calibri"/>
          <w:w w:val="105"/>
          <w:sz w:val="36"/>
        </w:rPr>
        <w:t>by</w:t>
      </w:r>
      <w:r>
        <w:rPr>
          <w:rFonts w:ascii="Calibri"/>
          <w:spacing w:val="-6"/>
          <w:w w:val="105"/>
          <w:sz w:val="36"/>
        </w:rPr>
        <w:t> </w:t>
      </w:r>
      <w:r>
        <w:rPr>
          <w:rFonts w:ascii="Calibri"/>
          <w:w w:val="105"/>
          <w:sz w:val="36"/>
        </w:rPr>
        <w:t>Swansea</w:t>
      </w:r>
      <w:r>
        <w:rPr>
          <w:rFonts w:ascii="Calibri"/>
          <w:spacing w:val="-6"/>
          <w:w w:val="105"/>
          <w:sz w:val="36"/>
        </w:rPr>
        <w:t> </w:t>
      </w:r>
      <w:r>
        <w:rPr>
          <w:rFonts w:ascii="Calibri"/>
          <w:w w:val="105"/>
          <w:sz w:val="36"/>
        </w:rPr>
        <w:t>University.</w:t>
      </w:r>
    </w:p>
    <w:p>
      <w:pPr>
        <w:pStyle w:val="ListParagraph"/>
        <w:numPr>
          <w:ilvl w:val="2"/>
          <w:numId w:val="4"/>
        </w:numPr>
        <w:tabs>
          <w:tab w:pos="1418" w:val="left" w:leader="none"/>
          <w:tab w:pos="1421" w:val="left" w:leader="none"/>
        </w:tabs>
        <w:spacing w:line="237" w:lineRule="auto" w:before="118" w:after="0"/>
        <w:ind w:left="1421" w:right="2060" w:hanging="541"/>
        <w:jc w:val="both"/>
        <w:rPr>
          <w:rFonts w:ascii="Calibri"/>
          <w:sz w:val="36"/>
        </w:rPr>
      </w:pPr>
      <w:r>
        <w:rPr>
          <w:rFonts w:ascii="Calibri"/>
          <w:w w:val="105"/>
          <w:sz w:val="36"/>
        </w:rPr>
        <w:t>Commissioning</w:t>
      </w:r>
      <w:r>
        <w:rPr>
          <w:rFonts w:ascii="Calibri"/>
          <w:spacing w:val="-9"/>
          <w:w w:val="105"/>
          <w:sz w:val="36"/>
        </w:rPr>
        <w:t> </w:t>
      </w:r>
      <w:r>
        <w:rPr>
          <w:rFonts w:ascii="Calibri"/>
          <w:w w:val="105"/>
          <w:sz w:val="36"/>
        </w:rPr>
        <w:t>of</w:t>
      </w:r>
      <w:r>
        <w:rPr>
          <w:rFonts w:ascii="Calibri"/>
          <w:spacing w:val="-12"/>
          <w:w w:val="105"/>
          <w:sz w:val="36"/>
        </w:rPr>
        <w:t> </w:t>
      </w:r>
      <w:r>
        <w:rPr>
          <w:rFonts w:ascii="Calibri"/>
          <w:w w:val="105"/>
          <w:sz w:val="36"/>
        </w:rPr>
        <w:t>a</w:t>
      </w:r>
      <w:r>
        <w:rPr>
          <w:rFonts w:ascii="Calibri"/>
          <w:spacing w:val="-9"/>
          <w:w w:val="105"/>
          <w:sz w:val="36"/>
        </w:rPr>
        <w:t> </w:t>
      </w:r>
      <w:r>
        <w:rPr>
          <w:rFonts w:ascii="Calibri"/>
          <w:w w:val="105"/>
          <w:sz w:val="36"/>
        </w:rPr>
        <w:t>regional</w:t>
      </w:r>
      <w:r>
        <w:rPr>
          <w:rFonts w:ascii="Calibri"/>
          <w:spacing w:val="-12"/>
          <w:w w:val="105"/>
          <w:sz w:val="36"/>
        </w:rPr>
        <w:t> </w:t>
      </w:r>
      <w:r>
        <w:rPr>
          <w:rFonts w:ascii="Calibri"/>
          <w:w w:val="105"/>
          <w:sz w:val="36"/>
        </w:rPr>
        <w:t>baselining</w:t>
      </w:r>
      <w:r>
        <w:rPr>
          <w:rFonts w:ascii="Calibri"/>
          <w:spacing w:val="-7"/>
          <w:w w:val="105"/>
          <w:sz w:val="36"/>
        </w:rPr>
        <w:t> </w:t>
      </w:r>
      <w:r>
        <w:rPr>
          <w:rFonts w:ascii="Calibri"/>
          <w:w w:val="105"/>
          <w:sz w:val="36"/>
        </w:rPr>
        <w:t>of</w:t>
      </w:r>
      <w:r>
        <w:rPr>
          <w:rFonts w:ascii="Calibri"/>
          <w:spacing w:val="-12"/>
          <w:w w:val="105"/>
          <w:sz w:val="36"/>
        </w:rPr>
        <w:t> </w:t>
      </w:r>
      <w:r>
        <w:rPr>
          <w:rFonts w:ascii="Calibri"/>
          <w:w w:val="105"/>
          <w:sz w:val="36"/>
        </w:rPr>
        <w:t>digital</w:t>
      </w:r>
      <w:r>
        <w:rPr>
          <w:rFonts w:ascii="Calibri"/>
          <w:spacing w:val="-12"/>
          <w:w w:val="105"/>
          <w:sz w:val="36"/>
        </w:rPr>
        <w:t> </w:t>
      </w:r>
      <w:r>
        <w:rPr>
          <w:rFonts w:ascii="Calibri"/>
          <w:w w:val="105"/>
          <w:sz w:val="36"/>
        </w:rPr>
        <w:t>capabilities</w:t>
      </w:r>
      <w:r>
        <w:rPr>
          <w:rFonts w:ascii="Calibri"/>
          <w:spacing w:val="-22"/>
          <w:w w:val="105"/>
          <w:sz w:val="36"/>
        </w:rPr>
        <w:t> </w:t>
      </w:r>
      <w:r>
        <w:rPr>
          <w:rFonts w:ascii="Calibri"/>
          <w:w w:val="105"/>
          <w:sz w:val="36"/>
        </w:rPr>
        <w:t>which will</w:t>
      </w:r>
      <w:r>
        <w:rPr>
          <w:rFonts w:ascii="Calibri"/>
          <w:spacing w:val="-12"/>
          <w:w w:val="105"/>
          <w:sz w:val="36"/>
        </w:rPr>
        <w:t> </w:t>
      </w:r>
      <w:r>
        <w:rPr>
          <w:rFonts w:ascii="Calibri"/>
          <w:w w:val="105"/>
          <w:sz w:val="36"/>
        </w:rPr>
        <w:t>enable</w:t>
      </w:r>
      <w:r>
        <w:rPr>
          <w:rFonts w:ascii="Calibri"/>
          <w:spacing w:val="-8"/>
          <w:w w:val="105"/>
          <w:sz w:val="36"/>
        </w:rPr>
        <w:t> </w:t>
      </w:r>
      <w:r>
        <w:rPr>
          <w:rFonts w:ascii="Calibri"/>
          <w:w w:val="105"/>
          <w:sz w:val="36"/>
        </w:rPr>
        <w:t>a</w:t>
      </w:r>
      <w:r>
        <w:rPr>
          <w:rFonts w:ascii="Calibri"/>
          <w:spacing w:val="-9"/>
          <w:w w:val="105"/>
          <w:sz w:val="36"/>
        </w:rPr>
        <w:t> </w:t>
      </w:r>
      <w:r>
        <w:rPr>
          <w:rFonts w:ascii="Calibri"/>
          <w:w w:val="105"/>
          <w:sz w:val="36"/>
        </w:rPr>
        <w:t>detailed</w:t>
      </w:r>
      <w:r>
        <w:rPr>
          <w:rFonts w:ascii="Calibri"/>
          <w:spacing w:val="-22"/>
          <w:w w:val="105"/>
          <w:sz w:val="36"/>
        </w:rPr>
        <w:t> </w:t>
      </w:r>
      <w:r>
        <w:rPr>
          <w:rFonts w:ascii="Calibri"/>
          <w:w w:val="105"/>
          <w:sz w:val="36"/>
        </w:rPr>
        <w:t>assessment</w:t>
      </w:r>
      <w:r>
        <w:rPr>
          <w:rFonts w:ascii="Calibri"/>
          <w:spacing w:val="-5"/>
          <w:w w:val="105"/>
          <w:sz w:val="36"/>
        </w:rPr>
        <w:t> </w:t>
      </w:r>
      <w:r>
        <w:rPr>
          <w:rFonts w:ascii="Calibri"/>
          <w:w w:val="105"/>
          <w:sz w:val="36"/>
        </w:rPr>
        <w:t>of regional</w:t>
      </w:r>
      <w:r>
        <w:rPr>
          <w:rFonts w:ascii="Calibri"/>
          <w:spacing w:val="-11"/>
          <w:w w:val="105"/>
          <w:sz w:val="36"/>
        </w:rPr>
        <w:t> </w:t>
      </w:r>
      <w:r>
        <w:rPr>
          <w:rFonts w:ascii="Calibri"/>
          <w:w w:val="105"/>
          <w:sz w:val="36"/>
        </w:rPr>
        <w:t>opportunities</w:t>
      </w:r>
      <w:r>
        <w:rPr>
          <w:rFonts w:ascii="Calibri"/>
          <w:spacing w:val="-6"/>
          <w:w w:val="105"/>
          <w:sz w:val="36"/>
        </w:rPr>
        <w:t> </w:t>
      </w:r>
      <w:r>
        <w:rPr>
          <w:rFonts w:ascii="Calibri"/>
          <w:w w:val="105"/>
          <w:sz w:val="36"/>
        </w:rPr>
        <w:t>and</w:t>
      </w:r>
      <w:r>
        <w:rPr>
          <w:rFonts w:ascii="Calibri"/>
          <w:spacing w:val="-3"/>
          <w:w w:val="105"/>
          <w:sz w:val="36"/>
        </w:rPr>
        <w:t> </w:t>
      </w:r>
      <w:r>
        <w:rPr>
          <w:rFonts w:ascii="Calibri"/>
          <w:w w:val="105"/>
          <w:sz w:val="36"/>
        </w:rPr>
        <w:t>alignment</w:t>
      </w:r>
      <w:r>
        <w:rPr>
          <w:rFonts w:ascii="Calibri"/>
          <w:spacing w:val="-4"/>
          <w:w w:val="105"/>
          <w:sz w:val="36"/>
        </w:rPr>
        <w:t> </w:t>
      </w:r>
      <w:r>
        <w:rPr>
          <w:rFonts w:ascii="Calibri"/>
          <w:w w:val="105"/>
          <w:sz w:val="36"/>
        </w:rPr>
        <w:t>of</w:t>
      </w:r>
      <w:r>
        <w:rPr>
          <w:rFonts w:ascii="Calibri"/>
          <w:spacing w:val="-13"/>
          <w:w w:val="105"/>
          <w:sz w:val="36"/>
        </w:rPr>
        <w:t> </w:t>
      </w:r>
      <w:r>
        <w:rPr>
          <w:rFonts w:ascii="Calibri"/>
          <w:w w:val="105"/>
          <w:sz w:val="36"/>
        </w:rPr>
        <w:t>our</w:t>
      </w:r>
      <w:r>
        <w:rPr>
          <w:rFonts w:ascii="Calibri"/>
          <w:spacing w:val="-9"/>
          <w:w w:val="105"/>
          <w:sz w:val="36"/>
        </w:rPr>
        <w:t> </w:t>
      </w:r>
      <w:r>
        <w:rPr>
          <w:rFonts w:ascii="Calibri"/>
          <w:w w:val="105"/>
          <w:sz w:val="36"/>
        </w:rPr>
        <w:t>plans.</w:t>
      </w:r>
    </w:p>
    <w:p>
      <w:pPr>
        <w:pStyle w:val="ListParagraph"/>
        <w:numPr>
          <w:ilvl w:val="2"/>
          <w:numId w:val="4"/>
        </w:numPr>
        <w:tabs>
          <w:tab w:pos="1418" w:val="left" w:leader="none"/>
          <w:tab w:pos="1421" w:val="left" w:leader="none"/>
        </w:tabs>
        <w:spacing w:line="237" w:lineRule="auto" w:before="125" w:after="0"/>
        <w:ind w:left="1421" w:right="1838" w:hanging="541"/>
        <w:jc w:val="both"/>
        <w:rPr>
          <w:rFonts w:ascii="Calibri"/>
          <w:sz w:val="36"/>
        </w:rPr>
      </w:pPr>
      <w:r>
        <w:rPr>
          <w:rFonts w:ascii="Calibri"/>
          <w:spacing w:val="-4"/>
          <w:w w:val="105"/>
          <w:sz w:val="36"/>
        </w:rPr>
        <w:t>Work</w:t>
      </w:r>
      <w:r>
        <w:rPr>
          <w:rFonts w:ascii="Calibri"/>
          <w:spacing w:val="-18"/>
          <w:w w:val="105"/>
          <w:sz w:val="36"/>
        </w:rPr>
        <w:t> </w:t>
      </w:r>
      <w:r>
        <w:rPr>
          <w:rFonts w:ascii="Calibri"/>
          <w:spacing w:val="-4"/>
          <w:w w:val="105"/>
          <w:sz w:val="36"/>
        </w:rPr>
        <w:t>on</w:t>
      </w:r>
      <w:r>
        <w:rPr>
          <w:rFonts w:ascii="Calibri"/>
          <w:spacing w:val="-17"/>
          <w:w w:val="105"/>
          <w:sz w:val="36"/>
        </w:rPr>
        <w:t> </w:t>
      </w:r>
      <w:r>
        <w:rPr>
          <w:rFonts w:ascii="Calibri"/>
          <w:spacing w:val="-4"/>
          <w:w w:val="105"/>
          <w:sz w:val="36"/>
        </w:rPr>
        <w:t>the</w:t>
      </w:r>
      <w:r>
        <w:rPr>
          <w:rFonts w:ascii="Calibri"/>
          <w:spacing w:val="-18"/>
          <w:w w:val="105"/>
          <w:sz w:val="36"/>
        </w:rPr>
        <w:t> </w:t>
      </w:r>
      <w:r>
        <w:rPr>
          <w:rFonts w:ascii="Calibri"/>
          <w:spacing w:val="-4"/>
          <w:w w:val="105"/>
          <w:sz w:val="36"/>
        </w:rPr>
        <w:t>recalibrating</w:t>
      </w:r>
      <w:r>
        <w:rPr>
          <w:rFonts w:ascii="Calibri"/>
          <w:spacing w:val="-17"/>
          <w:w w:val="105"/>
          <w:sz w:val="36"/>
        </w:rPr>
        <w:t> </w:t>
      </w:r>
      <w:r>
        <w:rPr>
          <w:rFonts w:ascii="Calibri"/>
          <w:spacing w:val="-4"/>
          <w:w w:val="105"/>
          <w:sz w:val="36"/>
        </w:rPr>
        <w:t>the</w:t>
      </w:r>
      <w:r>
        <w:rPr>
          <w:rFonts w:ascii="Calibri"/>
          <w:spacing w:val="-17"/>
          <w:w w:val="105"/>
          <w:sz w:val="36"/>
        </w:rPr>
        <w:t> </w:t>
      </w:r>
      <w:r>
        <w:rPr>
          <w:rFonts w:ascii="Calibri"/>
          <w:spacing w:val="-4"/>
          <w:w w:val="105"/>
          <w:sz w:val="36"/>
        </w:rPr>
        <w:t>LTA</w:t>
      </w:r>
      <w:r>
        <w:rPr>
          <w:rFonts w:ascii="Calibri"/>
          <w:spacing w:val="-18"/>
          <w:w w:val="105"/>
          <w:sz w:val="36"/>
        </w:rPr>
        <w:t> </w:t>
      </w:r>
      <w:r>
        <w:rPr>
          <w:rFonts w:ascii="Calibri"/>
          <w:spacing w:val="-4"/>
          <w:w w:val="105"/>
          <w:sz w:val="36"/>
        </w:rPr>
        <w:t>arrangements</w:t>
      </w:r>
      <w:r>
        <w:rPr>
          <w:rFonts w:ascii="Calibri"/>
          <w:spacing w:val="-17"/>
          <w:w w:val="105"/>
          <w:sz w:val="36"/>
        </w:rPr>
        <w:t> </w:t>
      </w:r>
      <w:r>
        <w:rPr>
          <w:rFonts w:ascii="Calibri"/>
          <w:spacing w:val="-4"/>
          <w:w w:val="105"/>
          <w:sz w:val="36"/>
        </w:rPr>
        <w:t>to</w:t>
      </w:r>
      <w:r>
        <w:rPr>
          <w:rFonts w:ascii="Calibri"/>
          <w:spacing w:val="-17"/>
          <w:w w:val="105"/>
          <w:sz w:val="36"/>
        </w:rPr>
        <w:t> </w:t>
      </w:r>
      <w:r>
        <w:rPr>
          <w:rFonts w:ascii="Calibri"/>
          <w:spacing w:val="-4"/>
          <w:w w:val="105"/>
          <w:sz w:val="36"/>
        </w:rPr>
        <w:t>shape</w:t>
      </w:r>
      <w:r>
        <w:rPr>
          <w:rFonts w:ascii="Calibri"/>
          <w:spacing w:val="-18"/>
          <w:w w:val="105"/>
          <w:sz w:val="36"/>
        </w:rPr>
        <w:t> </w:t>
      </w:r>
      <w:r>
        <w:rPr>
          <w:rFonts w:ascii="Calibri"/>
          <w:spacing w:val="-4"/>
          <w:w w:val="105"/>
          <w:sz w:val="36"/>
        </w:rPr>
        <w:t>a</w:t>
      </w:r>
      <w:r>
        <w:rPr>
          <w:rFonts w:ascii="Calibri"/>
          <w:spacing w:val="-17"/>
          <w:w w:val="105"/>
          <w:sz w:val="36"/>
        </w:rPr>
        <w:t> </w:t>
      </w:r>
      <w:r>
        <w:rPr>
          <w:rFonts w:ascii="Calibri"/>
          <w:spacing w:val="-4"/>
          <w:w w:val="105"/>
          <w:sz w:val="36"/>
        </w:rPr>
        <w:t>future</w:t>
      </w:r>
      <w:r>
        <w:rPr>
          <w:rFonts w:ascii="Calibri"/>
          <w:spacing w:val="-17"/>
          <w:w w:val="105"/>
          <w:sz w:val="36"/>
        </w:rPr>
        <w:t> </w:t>
      </w:r>
      <w:r>
        <w:rPr>
          <w:rFonts w:ascii="Calibri"/>
          <w:spacing w:val="-4"/>
          <w:w w:val="105"/>
          <w:sz w:val="36"/>
        </w:rPr>
        <w:t>way</w:t>
      </w:r>
      <w:r>
        <w:rPr>
          <w:rFonts w:ascii="Calibri"/>
          <w:spacing w:val="16"/>
          <w:w w:val="105"/>
          <w:sz w:val="36"/>
        </w:rPr>
        <w:t> </w:t>
      </w:r>
      <w:r>
        <w:rPr>
          <w:rFonts w:ascii="Calibri"/>
          <w:spacing w:val="-4"/>
          <w:w w:val="105"/>
          <w:sz w:val="36"/>
        </w:rPr>
        <w:t>of</w:t>
      </w:r>
      <w:r>
        <w:rPr>
          <w:rFonts w:ascii="Calibri"/>
          <w:spacing w:val="-18"/>
          <w:w w:val="105"/>
          <w:sz w:val="36"/>
        </w:rPr>
        <w:t> </w:t>
      </w:r>
      <w:r>
        <w:rPr>
          <w:rFonts w:ascii="Calibri"/>
          <w:spacing w:val="-4"/>
          <w:w w:val="105"/>
          <w:sz w:val="36"/>
        </w:rPr>
        <w:t>working</w:t>
      </w:r>
      <w:r>
        <w:rPr>
          <w:rFonts w:ascii="Calibri"/>
          <w:spacing w:val="-16"/>
          <w:w w:val="105"/>
          <w:sz w:val="36"/>
        </w:rPr>
        <w:t> </w:t>
      </w:r>
      <w:r>
        <w:rPr>
          <w:rFonts w:ascii="Calibri"/>
          <w:spacing w:val="-4"/>
          <w:w w:val="105"/>
          <w:sz w:val="36"/>
        </w:rPr>
        <w:t>with</w:t>
      </w:r>
      <w:r>
        <w:rPr>
          <w:rFonts w:ascii="Calibri"/>
          <w:spacing w:val="-12"/>
          <w:w w:val="105"/>
          <w:sz w:val="36"/>
        </w:rPr>
        <w:t> </w:t>
      </w:r>
      <w:r>
        <w:rPr>
          <w:rFonts w:ascii="Calibri"/>
          <w:spacing w:val="-4"/>
          <w:w w:val="105"/>
          <w:sz w:val="36"/>
        </w:rPr>
        <w:t>the</w:t>
      </w:r>
      <w:r>
        <w:rPr>
          <w:rFonts w:ascii="Calibri"/>
          <w:spacing w:val="-18"/>
          <w:w w:val="105"/>
          <w:sz w:val="36"/>
        </w:rPr>
        <w:t> </w:t>
      </w:r>
      <w:r>
        <w:rPr>
          <w:rFonts w:ascii="Calibri"/>
          <w:spacing w:val="-4"/>
          <w:w w:val="105"/>
          <w:sz w:val="36"/>
        </w:rPr>
        <w:t>focus</w:t>
      </w:r>
      <w:r>
        <w:rPr>
          <w:rFonts w:ascii="Calibri"/>
          <w:spacing w:val="-17"/>
          <w:w w:val="105"/>
          <w:sz w:val="36"/>
        </w:rPr>
        <w:t> </w:t>
      </w:r>
      <w:r>
        <w:rPr>
          <w:rFonts w:ascii="Calibri"/>
          <w:spacing w:val="-4"/>
          <w:w w:val="105"/>
          <w:sz w:val="36"/>
        </w:rPr>
        <w:t>initially</w:t>
      </w:r>
      <w:r>
        <w:rPr>
          <w:rFonts w:ascii="Calibri"/>
          <w:spacing w:val="-18"/>
          <w:w w:val="105"/>
          <w:sz w:val="36"/>
        </w:rPr>
        <w:t> </w:t>
      </w:r>
      <w:r>
        <w:rPr>
          <w:rFonts w:ascii="Calibri"/>
          <w:spacing w:val="-4"/>
          <w:w w:val="105"/>
          <w:sz w:val="36"/>
        </w:rPr>
        <w:t>on </w:t>
      </w:r>
      <w:r>
        <w:rPr>
          <w:rFonts w:ascii="Calibri"/>
          <w:spacing w:val="-2"/>
          <w:w w:val="105"/>
          <w:sz w:val="36"/>
        </w:rPr>
        <w:t>Orthopaedics.</w:t>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43"/>
        <w:rPr>
          <w:rFonts w:ascii="Calibri"/>
          <w:sz w:val="20"/>
        </w:rPr>
      </w:pPr>
      <w:r>
        <w:rPr>
          <w:rFonts w:ascii="Calibri"/>
          <w:sz w:val="20"/>
        </w:rPr>
        <mc:AlternateContent>
          <mc:Choice Requires="wps">
            <w:drawing>
              <wp:anchor distT="0" distB="0" distL="0" distR="0" allowOverlap="1" layoutInCell="1" locked="0" behindDoc="1" simplePos="0" relativeHeight="487617536">
                <wp:simplePos x="0" y="0"/>
                <wp:positionH relativeFrom="page">
                  <wp:posOffset>5606922</wp:posOffset>
                </wp:positionH>
                <wp:positionV relativeFrom="paragraph">
                  <wp:posOffset>197623</wp:posOffset>
                </wp:positionV>
                <wp:extent cx="975360" cy="219710"/>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975360" cy="219710"/>
                          <a:chExt cx="975360" cy="219710"/>
                        </a:xfrm>
                      </wpg:grpSpPr>
                      <pic:pic>
                        <pic:nvPicPr>
                          <pic:cNvPr id="97" name="Image 97"/>
                          <pic:cNvPicPr/>
                        </pic:nvPicPr>
                        <pic:blipFill>
                          <a:blip r:embed="rId23" cstate="print"/>
                          <a:stretch>
                            <a:fillRect/>
                          </a:stretch>
                        </pic:blipFill>
                        <pic:spPr>
                          <a:xfrm>
                            <a:off x="0" y="0"/>
                            <a:ext cx="975116" cy="219401"/>
                          </a:xfrm>
                          <a:prstGeom prst="rect">
                            <a:avLst/>
                          </a:prstGeom>
                        </pic:spPr>
                      </pic:pic>
                      <wps:wsp>
                        <wps:cNvPr id="98" name="Textbox 98"/>
                        <wps:cNvSpPr txBox="1"/>
                        <wps:spPr>
                          <a:xfrm>
                            <a:off x="0" y="0"/>
                            <a:ext cx="975360" cy="219710"/>
                          </a:xfrm>
                          <a:prstGeom prst="rect">
                            <a:avLst/>
                          </a:prstGeom>
                        </wps:spPr>
                        <wps:txbx>
                          <w:txbxContent>
                            <w:p>
                              <w:pPr>
                                <w:spacing w:before="93"/>
                                <w:ind w:left="384" w:right="0" w:firstLine="0"/>
                                <w:jc w:val="left"/>
                                <w:rPr>
                                  <w:sz w:val="20"/>
                                </w:rPr>
                              </w:pPr>
                              <w:r>
                                <w:rPr>
                                  <w:sz w:val="20"/>
                                </w:rPr>
                                <w:t>Page</w:t>
                              </w:r>
                              <w:r>
                                <w:rPr>
                                  <w:spacing w:val="10"/>
                                  <w:sz w:val="20"/>
                                </w:rPr>
                                <w:t> </w:t>
                              </w:r>
                              <w:r>
                                <w:rPr>
                                  <w:spacing w:val="-5"/>
                                  <w:sz w:val="20"/>
                                </w:rPr>
                                <w:t>22</w:t>
                              </w:r>
                            </w:p>
                          </w:txbxContent>
                        </wps:txbx>
                        <wps:bodyPr wrap="square" lIns="0" tIns="0" rIns="0" bIns="0" rtlCol="0">
                          <a:noAutofit/>
                        </wps:bodyPr>
                      </wps:wsp>
                    </wpg:wgp>
                  </a:graphicData>
                </a:graphic>
              </wp:anchor>
            </w:drawing>
          </mc:Choice>
          <mc:Fallback>
            <w:pict>
              <v:group style="position:absolute;margin-left:441.48999pt;margin-top:15.560941pt;width:76.8pt;height:17.3pt;mso-position-horizontal-relative:page;mso-position-vertical-relative:paragraph;z-index:-15698944;mso-wrap-distance-left:0;mso-wrap-distance-right:0" id="docshapegroup55" coordorigin="8830,311" coordsize="1536,346">
                <v:shape style="position:absolute;left:8829;top:311;width:1536;height:346" type="#_x0000_t75" id="docshape56" stroked="false">
                  <v:imagedata r:id="rId23" o:title=""/>
                </v:shape>
                <v:shape style="position:absolute;left:8829;top:311;width:1536;height:346" type="#_x0000_t202" id="docshape57" filled="false" stroked="false">
                  <v:textbox inset="0,0,0,0">
                    <w:txbxContent>
                      <w:p>
                        <w:pPr>
                          <w:spacing w:before="93"/>
                          <w:ind w:left="384" w:right="0" w:firstLine="0"/>
                          <w:jc w:val="left"/>
                          <w:rPr>
                            <w:sz w:val="20"/>
                          </w:rPr>
                        </w:pPr>
                        <w:r>
                          <w:rPr>
                            <w:sz w:val="20"/>
                          </w:rPr>
                          <w:t>Page</w:t>
                        </w:r>
                        <w:r>
                          <w:rPr>
                            <w:spacing w:val="10"/>
                            <w:sz w:val="20"/>
                          </w:rPr>
                          <w:t> </w:t>
                        </w:r>
                        <w:r>
                          <w:rPr>
                            <w:spacing w:val="-5"/>
                            <w:sz w:val="20"/>
                          </w:rPr>
                          <w:t>22</w:t>
                        </w:r>
                      </w:p>
                    </w:txbxContent>
                  </v:textbox>
                  <w10:wrap type="none"/>
                </v:shape>
                <w10:wrap type="topAndBottom"/>
              </v:group>
            </w:pict>
          </mc:Fallback>
        </mc:AlternateContent>
      </w:r>
    </w:p>
    <w:p>
      <w:pPr>
        <w:pStyle w:val="BodyText"/>
        <w:spacing w:after="0"/>
        <w:rPr>
          <w:rFonts w:ascii="Calibri"/>
          <w:sz w:val="20"/>
        </w:rPr>
        <w:sectPr>
          <w:footerReference w:type="default" r:id="rId26"/>
          <w:pgSz w:w="19200" w:h="10800" w:orient="landscape"/>
          <w:pgMar w:header="0" w:footer="0" w:top="480" w:bottom="0" w:left="0" w:right="0"/>
        </w:sectPr>
      </w:pPr>
    </w:p>
    <w:p>
      <w:pPr>
        <w:spacing w:before="60"/>
        <w:ind w:left="519" w:right="0" w:firstLine="0"/>
        <w:jc w:val="left"/>
        <w:rPr>
          <w:b/>
          <w:sz w:val="56"/>
        </w:rPr>
      </w:pPr>
      <w:r>
        <w:rPr>
          <w:b/>
          <w:sz w:val="56"/>
        </w:rPr>
        <mc:AlternateContent>
          <mc:Choice Requires="wps">
            <w:drawing>
              <wp:anchor distT="0" distB="0" distL="0" distR="0" allowOverlap="1" layoutInCell="1" locked="0" behindDoc="0" simplePos="0" relativeHeight="15758848">
                <wp:simplePos x="0" y="0"/>
                <wp:positionH relativeFrom="page">
                  <wp:posOffset>4571</wp:posOffset>
                </wp:positionH>
                <wp:positionV relativeFrom="paragraph">
                  <wp:posOffset>527420</wp:posOffset>
                </wp:positionV>
                <wp:extent cx="12184380" cy="36830"/>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12184380" cy="36830"/>
                        </a:xfrm>
                        <a:custGeom>
                          <a:avLst/>
                          <a:gdLst/>
                          <a:ahLst/>
                          <a:cxnLst/>
                          <a:rect l="l" t="t" r="r" b="b"/>
                          <a:pathLst>
                            <a:path w="12184380" h="36830">
                              <a:moveTo>
                                <a:pt x="12184380" y="0"/>
                              </a:moveTo>
                              <a:lnTo>
                                <a:pt x="0" y="0"/>
                              </a:lnTo>
                              <a:lnTo>
                                <a:pt x="0" y="36586"/>
                              </a:lnTo>
                              <a:lnTo>
                                <a:pt x="12184380" y="36586"/>
                              </a:lnTo>
                              <a:lnTo>
                                <a:pt x="12184380" y="0"/>
                              </a:lnTo>
                              <a:close/>
                            </a:path>
                          </a:pathLst>
                        </a:custGeom>
                        <a:solidFill>
                          <a:srgbClr val="B3995D"/>
                        </a:solidFill>
                      </wps:spPr>
                      <wps:bodyPr wrap="square" lIns="0" tIns="0" rIns="0" bIns="0" rtlCol="0">
                        <a:prstTxWarp prst="textNoShape">
                          <a:avLst/>
                        </a:prstTxWarp>
                        <a:noAutofit/>
                      </wps:bodyPr>
                    </wps:wsp>
                  </a:graphicData>
                </a:graphic>
              </wp:anchor>
            </w:drawing>
          </mc:Choice>
          <mc:Fallback>
            <w:pict>
              <v:rect style="position:absolute;margin-left:.35999pt;margin-top:41.529202pt;width:959.40002pt;height:2.88080pt;mso-position-horizontal-relative:page;mso-position-vertical-relative:paragraph;z-index:15758848" id="docshape58" filled="true" fillcolor="#b3995d" stroked="false">
                <v:fill type="solid"/>
                <w10:wrap type="none"/>
              </v:rect>
            </w:pict>
          </mc:Fallback>
        </mc:AlternateContent>
      </w:r>
      <w:r>
        <w:rPr>
          <w:b/>
          <w:color w:val="1F355E"/>
          <w:sz w:val="56"/>
        </w:rPr>
        <w:t>Finance</w:t>
      </w:r>
      <w:r>
        <w:rPr>
          <w:b/>
          <w:color w:val="1F355E"/>
          <w:spacing w:val="-2"/>
          <w:sz w:val="56"/>
        </w:rPr>
        <w:t> </w:t>
      </w:r>
      <w:r>
        <w:rPr>
          <w:b/>
          <w:color w:val="1F355E"/>
          <w:sz w:val="56"/>
        </w:rPr>
        <w:t>Timelines</w:t>
      </w:r>
      <w:r>
        <w:rPr>
          <w:b/>
          <w:color w:val="1F355E"/>
          <w:spacing w:val="-15"/>
          <w:sz w:val="56"/>
        </w:rPr>
        <w:t> </w:t>
      </w:r>
      <w:r>
        <w:rPr>
          <w:b/>
          <w:color w:val="1F355E"/>
          <w:sz w:val="56"/>
        </w:rPr>
        <w:t>&amp;</w:t>
      </w:r>
      <w:r>
        <w:rPr>
          <w:b/>
          <w:color w:val="1F355E"/>
          <w:spacing w:val="65"/>
          <w:w w:val="150"/>
          <w:sz w:val="56"/>
        </w:rPr>
        <w:t> </w:t>
      </w:r>
      <w:r>
        <w:rPr>
          <w:b/>
          <w:color w:val="1F355E"/>
          <w:spacing w:val="-2"/>
          <w:sz w:val="56"/>
        </w:rPr>
        <w:t>Actions</w:t>
      </w:r>
    </w:p>
    <w:p>
      <w:pPr>
        <w:spacing w:before="305"/>
        <w:ind w:left="4175" w:right="222" w:firstLine="0"/>
        <w:jc w:val="center"/>
        <w:rPr>
          <w:b/>
          <w:sz w:val="24"/>
        </w:rPr>
      </w:pPr>
      <w:r>
        <w:rPr>
          <w:b/>
          <w:color w:val="394871"/>
          <w:sz w:val="24"/>
        </w:rPr>
        <w:t>Senior</w:t>
      </w:r>
      <w:r>
        <w:rPr>
          <w:b/>
          <w:color w:val="394871"/>
          <w:spacing w:val="-13"/>
          <w:sz w:val="24"/>
        </w:rPr>
        <w:t> </w:t>
      </w:r>
      <w:r>
        <w:rPr>
          <w:b/>
          <w:color w:val="394871"/>
          <w:sz w:val="24"/>
        </w:rPr>
        <w:t>Team</w:t>
      </w:r>
      <w:r>
        <w:rPr>
          <w:b/>
          <w:color w:val="394871"/>
          <w:spacing w:val="-17"/>
          <w:sz w:val="24"/>
        </w:rPr>
        <w:t> </w:t>
      </w:r>
      <w:r>
        <w:rPr>
          <w:b/>
          <w:color w:val="394871"/>
          <w:spacing w:val="-2"/>
          <w:sz w:val="24"/>
        </w:rPr>
        <w:t>Updates</w:t>
      </w:r>
    </w:p>
    <w:p>
      <w:pPr>
        <w:pStyle w:val="BodyText"/>
        <w:spacing w:before="25"/>
        <w:rPr>
          <w:b/>
        </w:rPr>
      </w:pPr>
    </w:p>
    <w:p>
      <w:pPr>
        <w:pStyle w:val="BodyText"/>
        <w:spacing w:line="252" w:lineRule="auto"/>
        <w:ind w:left="4175" w:right="219"/>
        <w:jc w:val="center"/>
      </w:pPr>
      <w:r>
        <w:rPr/>
        <mc:AlternateContent>
          <mc:Choice Requires="wps">
            <w:drawing>
              <wp:anchor distT="0" distB="0" distL="0" distR="0" allowOverlap="1" layoutInCell="1" locked="0" behindDoc="0" simplePos="0" relativeHeight="15760384">
                <wp:simplePos x="0" y="0"/>
                <wp:positionH relativeFrom="page">
                  <wp:posOffset>2624327</wp:posOffset>
                </wp:positionH>
                <wp:positionV relativeFrom="paragraph">
                  <wp:posOffset>384747</wp:posOffset>
                </wp:positionV>
                <wp:extent cx="2816860" cy="1818005"/>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2816860" cy="1818005"/>
                          <a:chExt cx="2816860" cy="1818005"/>
                        </a:xfrm>
                      </wpg:grpSpPr>
                      <wps:wsp>
                        <wps:cNvPr id="101" name="Graphic 101"/>
                        <wps:cNvSpPr/>
                        <wps:spPr>
                          <a:xfrm>
                            <a:off x="1269491" y="1216533"/>
                            <a:ext cx="76200" cy="601345"/>
                          </a:xfrm>
                          <a:custGeom>
                            <a:avLst/>
                            <a:gdLst/>
                            <a:ahLst/>
                            <a:cxnLst/>
                            <a:rect l="l" t="t" r="r" b="b"/>
                            <a:pathLst>
                              <a:path w="76200" h="601345">
                                <a:moveTo>
                                  <a:pt x="28575" y="524890"/>
                                </a:moveTo>
                                <a:lnTo>
                                  <a:pt x="0" y="524890"/>
                                </a:lnTo>
                                <a:lnTo>
                                  <a:pt x="38100" y="601090"/>
                                </a:lnTo>
                                <a:lnTo>
                                  <a:pt x="69850" y="537590"/>
                                </a:lnTo>
                                <a:lnTo>
                                  <a:pt x="28575" y="537590"/>
                                </a:lnTo>
                                <a:lnTo>
                                  <a:pt x="28575" y="524890"/>
                                </a:lnTo>
                                <a:close/>
                              </a:path>
                              <a:path w="76200" h="601345">
                                <a:moveTo>
                                  <a:pt x="47625" y="0"/>
                                </a:moveTo>
                                <a:lnTo>
                                  <a:pt x="28575" y="0"/>
                                </a:lnTo>
                                <a:lnTo>
                                  <a:pt x="28575" y="537590"/>
                                </a:lnTo>
                                <a:lnTo>
                                  <a:pt x="47625" y="537590"/>
                                </a:lnTo>
                                <a:lnTo>
                                  <a:pt x="47625" y="0"/>
                                </a:lnTo>
                                <a:close/>
                              </a:path>
                              <a:path w="76200" h="601345">
                                <a:moveTo>
                                  <a:pt x="76200" y="524890"/>
                                </a:moveTo>
                                <a:lnTo>
                                  <a:pt x="47625" y="524890"/>
                                </a:lnTo>
                                <a:lnTo>
                                  <a:pt x="47625" y="537590"/>
                                </a:lnTo>
                                <a:lnTo>
                                  <a:pt x="69850" y="537590"/>
                                </a:lnTo>
                                <a:lnTo>
                                  <a:pt x="76200" y="524890"/>
                                </a:lnTo>
                                <a:close/>
                              </a:path>
                            </a:pathLst>
                          </a:custGeom>
                          <a:solidFill>
                            <a:srgbClr val="394871"/>
                          </a:solidFill>
                        </wps:spPr>
                        <wps:bodyPr wrap="square" lIns="0" tIns="0" rIns="0" bIns="0" rtlCol="0">
                          <a:prstTxWarp prst="textNoShape">
                            <a:avLst/>
                          </a:prstTxWarp>
                          <a:noAutofit/>
                        </wps:bodyPr>
                      </wps:wsp>
                      <pic:pic>
                        <pic:nvPicPr>
                          <pic:cNvPr id="102" name="Image 102" descr="No alternative text description for this image"/>
                          <pic:cNvPicPr/>
                        </pic:nvPicPr>
                        <pic:blipFill>
                          <a:blip r:embed="rId28" cstate="print"/>
                          <a:stretch>
                            <a:fillRect/>
                          </a:stretch>
                        </pic:blipFill>
                        <pic:spPr>
                          <a:xfrm>
                            <a:off x="0" y="0"/>
                            <a:ext cx="2816352" cy="1655444"/>
                          </a:xfrm>
                          <a:prstGeom prst="rect">
                            <a:avLst/>
                          </a:prstGeom>
                        </pic:spPr>
                      </pic:pic>
                    </wpg:wgp>
                  </a:graphicData>
                </a:graphic>
              </wp:anchor>
            </w:drawing>
          </mc:Choice>
          <mc:Fallback>
            <w:pict>
              <v:group style="position:absolute;margin-left:206.639999pt;margin-top:30.295078pt;width:221.8pt;height:143.15pt;mso-position-horizontal-relative:page;mso-position-vertical-relative:paragraph;z-index:15760384" id="docshapegroup59" coordorigin="4133,606" coordsize="4436,2863">
                <v:shape style="position:absolute;left:6132;top:2521;width:120;height:947" id="docshape60" coordorigin="6132,2522" coordsize="120,947" path="m6177,3348l6132,3348,6192,3468,6242,3368,6177,3368,6177,3348xm6207,2522l6177,2522,6177,3368,6207,3368,6207,2522xm6252,3348l6207,3348,6207,3368,6242,3368,6252,3348xe" filled="true" fillcolor="#394871" stroked="false">
                  <v:path arrowok="t"/>
                  <v:fill type="solid"/>
                </v:shape>
                <v:shape style="position:absolute;left:4132;top:605;width:4436;height:2607" type="#_x0000_t75" id="docshape61" alt="No alternative text description for this image" stroked="false">
                  <v:imagedata r:id="rId28" o:title=""/>
                </v:shape>
                <w10:wrap type="none"/>
              </v:group>
            </w:pict>
          </mc:Fallback>
        </mc:AlternateContent>
      </w:r>
      <w:r>
        <w:rPr/>
        <w:t>Launch</w:t>
      </w:r>
      <w:r>
        <w:rPr>
          <w:spacing w:val="-12"/>
        </w:rPr>
        <w:t> </w:t>
      </w:r>
      <w:r>
        <w:rPr/>
        <w:t>with</w:t>
      </w:r>
      <w:r>
        <w:rPr>
          <w:spacing w:val="-12"/>
        </w:rPr>
        <w:t> </w:t>
      </w:r>
      <w:r>
        <w:rPr/>
        <w:t>both</w:t>
      </w:r>
      <w:r>
        <w:rPr>
          <w:spacing w:val="-12"/>
        </w:rPr>
        <w:t> </w:t>
      </w:r>
      <w:r>
        <w:rPr/>
        <w:t>senior</w:t>
      </w:r>
      <w:r>
        <w:rPr>
          <w:spacing w:val="-14"/>
        </w:rPr>
        <w:t> </w:t>
      </w:r>
      <w:r>
        <w:rPr/>
        <w:t>teams sharing plan and approach</w:t>
      </w:r>
    </w:p>
    <w:p>
      <w:pPr>
        <w:spacing w:before="91"/>
        <w:ind w:left="117" w:right="5441" w:firstLine="0"/>
        <w:jc w:val="center"/>
        <w:rPr>
          <w:b/>
          <w:sz w:val="24"/>
        </w:rPr>
      </w:pPr>
      <w:r>
        <w:rPr>
          <w:b/>
          <w:color w:val="394871"/>
          <w:sz w:val="24"/>
        </w:rPr>
        <w:t>DoF</w:t>
      </w:r>
      <w:r>
        <w:rPr>
          <w:b/>
          <w:color w:val="394871"/>
          <w:spacing w:val="-3"/>
          <w:sz w:val="24"/>
        </w:rPr>
        <w:t> </w:t>
      </w:r>
      <w:r>
        <w:rPr>
          <w:b/>
          <w:color w:val="394871"/>
          <w:spacing w:val="-2"/>
          <w:sz w:val="24"/>
        </w:rPr>
        <w:t>Agreement</w:t>
      </w:r>
    </w:p>
    <w:p>
      <w:pPr>
        <w:pStyle w:val="BodyText"/>
        <w:spacing w:before="25"/>
        <w:rPr>
          <w:b/>
        </w:rPr>
      </w:pPr>
    </w:p>
    <w:p>
      <w:pPr>
        <w:pStyle w:val="BodyText"/>
        <w:spacing w:line="252" w:lineRule="auto"/>
        <w:ind w:left="116" w:right="5441"/>
        <w:jc w:val="center"/>
      </w:pPr>
      <w:r>
        <w:rPr/>
        <mc:AlternateContent>
          <mc:Choice Requires="wps">
            <w:drawing>
              <wp:anchor distT="0" distB="0" distL="0" distR="0" allowOverlap="1" layoutInCell="1" locked="0" behindDoc="0" simplePos="0" relativeHeight="15759872">
                <wp:simplePos x="0" y="0"/>
                <wp:positionH relativeFrom="page">
                  <wp:posOffset>922032</wp:posOffset>
                </wp:positionH>
                <wp:positionV relativeFrom="paragraph">
                  <wp:posOffset>809115</wp:posOffset>
                </wp:positionV>
                <wp:extent cx="76200" cy="601345"/>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76200" cy="601345"/>
                        </a:xfrm>
                        <a:custGeom>
                          <a:avLst/>
                          <a:gdLst/>
                          <a:ahLst/>
                          <a:cxnLst/>
                          <a:rect l="l" t="t" r="r" b="b"/>
                          <a:pathLst>
                            <a:path w="76200" h="601345">
                              <a:moveTo>
                                <a:pt x="28562" y="524890"/>
                              </a:moveTo>
                              <a:lnTo>
                                <a:pt x="0" y="524890"/>
                              </a:lnTo>
                              <a:lnTo>
                                <a:pt x="38087" y="601090"/>
                              </a:lnTo>
                              <a:lnTo>
                                <a:pt x="69826" y="537590"/>
                              </a:lnTo>
                              <a:lnTo>
                                <a:pt x="28562" y="537590"/>
                              </a:lnTo>
                              <a:lnTo>
                                <a:pt x="28562" y="524890"/>
                              </a:lnTo>
                              <a:close/>
                            </a:path>
                            <a:path w="76200" h="601345">
                              <a:moveTo>
                                <a:pt x="47612" y="0"/>
                              </a:moveTo>
                              <a:lnTo>
                                <a:pt x="28562" y="0"/>
                              </a:lnTo>
                              <a:lnTo>
                                <a:pt x="28562" y="537590"/>
                              </a:lnTo>
                              <a:lnTo>
                                <a:pt x="47612" y="537590"/>
                              </a:lnTo>
                              <a:lnTo>
                                <a:pt x="47612" y="0"/>
                              </a:lnTo>
                              <a:close/>
                            </a:path>
                            <a:path w="76200" h="601345">
                              <a:moveTo>
                                <a:pt x="76174" y="524890"/>
                              </a:moveTo>
                              <a:lnTo>
                                <a:pt x="47612" y="524890"/>
                              </a:lnTo>
                              <a:lnTo>
                                <a:pt x="47612" y="537590"/>
                              </a:lnTo>
                              <a:lnTo>
                                <a:pt x="69826" y="537590"/>
                              </a:lnTo>
                              <a:lnTo>
                                <a:pt x="76174"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72.600998pt;margin-top:63.709885pt;width:6pt;height:47.35pt;mso-position-horizontal-relative:page;mso-position-vertical-relative:paragraph;z-index:15759872" id="docshape62" coordorigin="1452,1274" coordsize="120,947" path="m1497,2101l1452,2101,1512,2221,1562,2121,1497,2121,1497,2101xm1527,1274l1497,1274,1497,2121,1527,2121,1527,1274xm1572,2101l1527,2101,1527,2121,1562,2121,1572,2101xe" filled="true" fillcolor="#394871" stroked="false">
                <v:path arrowok="t"/>
                <v:fill type="solid"/>
                <w10:wrap type="none"/>
              </v:shape>
            </w:pict>
          </mc:Fallback>
        </mc:AlternateContent>
      </w:r>
      <w:r>
        <w:rPr/>
        <w:t>To</w:t>
      </w:r>
      <w:r>
        <w:rPr>
          <w:spacing w:val="-19"/>
        </w:rPr>
        <w:t> </w:t>
      </w:r>
      <w:r>
        <w:rPr/>
        <w:t>progress</w:t>
      </w:r>
      <w:r>
        <w:rPr>
          <w:spacing w:val="-17"/>
        </w:rPr>
        <w:t> </w:t>
      </w:r>
      <w:r>
        <w:rPr/>
        <w:t>a</w:t>
      </w:r>
      <w:r>
        <w:rPr>
          <w:spacing w:val="-16"/>
        </w:rPr>
        <w:t> </w:t>
      </w:r>
      <w:r>
        <w:rPr/>
        <w:t>regional FoM approach and </w:t>
      </w:r>
      <w:r>
        <w:rPr>
          <w:spacing w:val="-2"/>
        </w:rPr>
        <w:t>workplan</w:t>
      </w:r>
    </w:p>
    <w:p>
      <w:pPr>
        <w:pStyle w:val="BodyText"/>
      </w:pPr>
    </w:p>
    <w:p>
      <w:pPr>
        <w:pStyle w:val="BodyText"/>
      </w:pPr>
    </w:p>
    <w:p>
      <w:pPr>
        <w:pStyle w:val="BodyText"/>
        <w:spacing w:before="199"/>
      </w:pPr>
    </w:p>
    <w:p>
      <w:pPr>
        <w:spacing w:before="1"/>
        <w:ind w:left="2598" w:right="0" w:firstLine="0"/>
        <w:jc w:val="left"/>
        <w:rPr>
          <w:b/>
          <w:sz w:val="24"/>
        </w:rPr>
      </w:pPr>
      <w:r>
        <w:rPr>
          <w:b/>
          <w:color w:val="394871"/>
          <w:sz w:val="24"/>
        </w:rPr>
        <w:t>May</w:t>
      </w:r>
      <w:r>
        <w:rPr>
          <w:b/>
          <w:color w:val="394871"/>
          <w:spacing w:val="-3"/>
          <w:sz w:val="24"/>
        </w:rPr>
        <w:t> </w:t>
      </w:r>
      <w:r>
        <w:rPr>
          <w:b/>
          <w:color w:val="394871"/>
          <w:spacing w:val="-4"/>
          <w:sz w:val="24"/>
        </w:rPr>
        <w:t>2026</w:t>
      </w:r>
    </w:p>
    <w:p>
      <w:pPr>
        <w:pStyle w:val="BodyText"/>
        <w:rPr>
          <w:b/>
        </w:rPr>
      </w:pPr>
      <w:r>
        <w:rPr/>
        <w:br w:type="column"/>
      </w:r>
      <w:r>
        <w:rPr>
          <w:b/>
        </w:rPr>
      </w:r>
    </w:p>
    <w:p>
      <w:pPr>
        <w:pStyle w:val="BodyText"/>
        <w:rPr>
          <w:b/>
        </w:rPr>
      </w:pPr>
    </w:p>
    <w:p>
      <w:pPr>
        <w:pStyle w:val="BodyText"/>
        <w:rPr>
          <w:b/>
        </w:rPr>
      </w:pPr>
    </w:p>
    <w:p>
      <w:pPr>
        <w:pStyle w:val="BodyText"/>
        <w:spacing w:before="8"/>
        <w:rPr>
          <w:b/>
        </w:rPr>
      </w:pPr>
    </w:p>
    <w:p>
      <w:pPr>
        <w:spacing w:before="0"/>
        <w:ind w:left="316" w:right="0" w:firstLine="0"/>
        <w:jc w:val="center"/>
        <w:rPr>
          <w:b/>
          <w:sz w:val="24"/>
        </w:rPr>
      </w:pPr>
      <w:r>
        <w:rPr>
          <w:b/>
          <w:color w:val="394871"/>
          <w:sz w:val="24"/>
        </w:rPr>
        <w:t>Full</w:t>
      </w:r>
      <w:r>
        <w:rPr>
          <w:b/>
          <w:color w:val="394871"/>
          <w:spacing w:val="7"/>
          <w:sz w:val="24"/>
        </w:rPr>
        <w:t> </w:t>
      </w:r>
      <w:r>
        <w:rPr>
          <w:b/>
          <w:color w:val="394871"/>
          <w:spacing w:val="-2"/>
          <w:sz w:val="24"/>
        </w:rPr>
        <w:t>Launch</w:t>
      </w:r>
    </w:p>
    <w:p>
      <w:pPr>
        <w:pStyle w:val="BodyText"/>
        <w:spacing w:before="25"/>
        <w:rPr>
          <w:b/>
        </w:rPr>
      </w:pPr>
    </w:p>
    <w:p>
      <w:pPr>
        <w:pStyle w:val="BodyText"/>
        <w:spacing w:line="249" w:lineRule="auto"/>
        <w:ind w:left="325" w:hanging="9"/>
        <w:jc w:val="center"/>
      </w:pPr>
      <w:r>
        <w:rPr/>
        <w:t>Launch of regional collaboration and operating</w:t>
      </w:r>
      <w:r>
        <w:rPr>
          <w:spacing w:val="-17"/>
        </w:rPr>
        <w:t> </w:t>
      </w:r>
      <w:r>
        <w:rPr/>
        <w:t>model</w:t>
      </w:r>
      <w:r>
        <w:rPr>
          <w:spacing w:val="-17"/>
        </w:rPr>
        <w:t> </w:t>
      </w:r>
      <w:r>
        <w:rPr/>
        <w:t>priorities to all teams</w:t>
      </w:r>
    </w:p>
    <w:p>
      <w:pPr>
        <w:pStyle w:val="BodyText"/>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9" w:after="1"/>
        <w:rPr>
          <w:sz w:val="20"/>
        </w:rPr>
      </w:pPr>
    </w:p>
    <w:p>
      <w:pPr>
        <w:spacing w:line="240" w:lineRule="auto"/>
        <w:ind w:left="7" w:right="-58" w:firstLine="0"/>
        <w:rPr>
          <w:sz w:val="20"/>
        </w:rPr>
      </w:pPr>
      <w:r>
        <w:rPr>
          <w:sz w:val="20"/>
        </w:rPr>
        <w:drawing>
          <wp:inline distT="0" distB="0" distL="0" distR="0">
            <wp:extent cx="1370226" cy="1030224"/>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29" cstate="print"/>
                    <a:stretch>
                      <a:fillRect/>
                    </a:stretch>
                  </pic:blipFill>
                  <pic:spPr>
                    <a:xfrm>
                      <a:off x="0" y="0"/>
                      <a:ext cx="1370226" cy="1030224"/>
                    </a:xfrm>
                    <a:prstGeom prst="rect">
                      <a:avLst/>
                    </a:prstGeom>
                  </pic:spPr>
                </pic:pic>
              </a:graphicData>
            </a:graphic>
          </wp:inline>
        </w:drawing>
      </w:r>
      <w:r>
        <w:rPr>
          <w:sz w:val="20"/>
        </w:rPr>
      </w:r>
    </w:p>
    <w:p>
      <w:pPr>
        <w:pStyle w:val="BodyText"/>
        <w:spacing w:before="91"/>
      </w:pPr>
    </w:p>
    <w:p>
      <w:pPr>
        <w:spacing w:line="252" w:lineRule="auto" w:before="0"/>
        <w:ind w:left="123" w:right="408" w:firstLine="0"/>
        <w:jc w:val="center"/>
        <w:rPr>
          <w:b/>
          <w:sz w:val="24"/>
        </w:rPr>
      </w:pPr>
      <w:r>
        <w:rPr>
          <w:b/>
          <w:color w:val="394871"/>
          <w:sz w:val="24"/>
        </w:rPr>
        <w:t>October</w:t>
      </w:r>
      <w:r>
        <w:rPr>
          <w:b/>
          <w:color w:val="394871"/>
          <w:spacing w:val="-17"/>
          <w:sz w:val="24"/>
        </w:rPr>
        <w:t> </w:t>
      </w:r>
      <w:r>
        <w:rPr>
          <w:b/>
          <w:color w:val="394871"/>
          <w:sz w:val="24"/>
        </w:rPr>
        <w:t>to </w:t>
      </w:r>
      <w:r>
        <w:rPr>
          <w:b/>
          <w:color w:val="394871"/>
          <w:spacing w:val="-2"/>
          <w:sz w:val="24"/>
        </w:rPr>
        <w:t>December </w:t>
      </w:r>
      <w:r>
        <w:rPr>
          <w:b/>
          <w:color w:val="394871"/>
          <w:spacing w:val="-4"/>
          <w:sz w:val="24"/>
        </w:rPr>
        <w:t>2026</w:t>
      </w:r>
    </w:p>
    <w:p>
      <w:pPr>
        <w:pStyle w:val="BodyText"/>
        <w:rPr>
          <w:b/>
        </w:rPr>
      </w:pPr>
      <w:r>
        <w:rPr/>
        <w:br w:type="column"/>
      </w:r>
      <w:r>
        <w:rPr>
          <w:b/>
        </w:rPr>
      </w:r>
    </w:p>
    <w:p>
      <w:pPr>
        <w:pStyle w:val="BodyText"/>
        <w:rPr>
          <w:b/>
        </w:rPr>
      </w:pPr>
    </w:p>
    <w:p>
      <w:pPr>
        <w:pStyle w:val="BodyText"/>
        <w:rPr>
          <w:b/>
        </w:rPr>
      </w:pPr>
    </w:p>
    <w:p>
      <w:pPr>
        <w:pStyle w:val="BodyText"/>
        <w:spacing w:before="8"/>
        <w:rPr>
          <w:b/>
        </w:rPr>
      </w:pPr>
    </w:p>
    <w:p>
      <w:pPr>
        <w:spacing w:before="0"/>
        <w:ind w:left="67" w:right="2" w:firstLine="0"/>
        <w:jc w:val="center"/>
        <w:rPr>
          <w:b/>
          <w:sz w:val="24"/>
        </w:rPr>
      </w:pPr>
      <w:r>
        <w:rPr>
          <w:b/>
          <w:color w:val="394871"/>
          <w:sz w:val="24"/>
        </w:rPr>
        <w:t>Senior</w:t>
      </w:r>
      <w:r>
        <w:rPr>
          <w:b/>
          <w:color w:val="394871"/>
          <w:spacing w:val="2"/>
          <w:sz w:val="24"/>
        </w:rPr>
        <w:t> </w:t>
      </w:r>
      <w:r>
        <w:rPr>
          <w:b/>
          <w:color w:val="394871"/>
          <w:spacing w:val="-2"/>
          <w:sz w:val="24"/>
        </w:rPr>
        <w:t>Review</w:t>
      </w:r>
    </w:p>
    <w:p>
      <w:pPr>
        <w:pStyle w:val="BodyText"/>
        <w:spacing w:before="25"/>
        <w:rPr>
          <w:b/>
        </w:rPr>
      </w:pPr>
    </w:p>
    <w:p>
      <w:pPr>
        <w:pStyle w:val="BodyText"/>
        <w:spacing w:line="252" w:lineRule="auto"/>
        <w:ind w:left="67"/>
        <w:jc w:val="center"/>
      </w:pPr>
      <w:r>
        <w:rPr/>
        <w:t>Insight</w:t>
      </w:r>
      <w:r>
        <w:rPr>
          <w:spacing w:val="-17"/>
        </w:rPr>
        <w:t> </w:t>
      </w:r>
      <w:r>
        <w:rPr/>
        <w:t>shared</w:t>
      </w:r>
      <w:r>
        <w:rPr>
          <w:spacing w:val="-17"/>
        </w:rPr>
        <w:t> </w:t>
      </w:r>
      <w:r>
        <w:rPr/>
        <w:t>with senior teams and feedback sought</w:t>
      </w:r>
    </w:p>
    <w:p>
      <w:pPr>
        <w:pStyle w:val="BodyText"/>
      </w:pPr>
      <w:r>
        <w:rPr/>
        <w:br w:type="column"/>
      </w:r>
      <w:r>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8"/>
      </w:pPr>
    </w:p>
    <w:p>
      <w:pPr>
        <w:spacing w:before="0"/>
        <w:ind w:left="325" w:right="0" w:firstLine="0"/>
        <w:jc w:val="left"/>
        <w:rPr>
          <w:b/>
          <w:sz w:val="24"/>
        </w:rPr>
      </w:pPr>
      <w:r>
        <w:rPr>
          <w:b/>
          <w:color w:val="394871"/>
          <w:sz w:val="24"/>
        </w:rPr>
        <w:t>January</w:t>
      </w:r>
      <w:r>
        <w:rPr>
          <w:b/>
          <w:color w:val="394871"/>
          <w:spacing w:val="-12"/>
          <w:sz w:val="24"/>
        </w:rPr>
        <w:t> </w:t>
      </w:r>
      <w:r>
        <w:rPr>
          <w:b/>
          <w:color w:val="394871"/>
          <w:spacing w:val="-4"/>
          <w:sz w:val="24"/>
        </w:rPr>
        <w:t>2027</w:t>
      </w:r>
    </w:p>
    <w:p>
      <w:pPr>
        <w:spacing w:after="0"/>
        <w:jc w:val="left"/>
        <w:rPr>
          <w:b/>
          <w:sz w:val="24"/>
        </w:rPr>
        <w:sectPr>
          <w:footerReference w:type="default" r:id="rId27"/>
          <w:pgSz w:w="19200" w:h="10800" w:orient="landscape"/>
          <w:pgMar w:header="0" w:footer="0" w:top="300" w:bottom="0" w:left="0" w:right="0"/>
          <w:cols w:num="5" w:equalWidth="0">
            <w:col w:w="8348" w:space="854"/>
            <w:col w:w="3020" w:space="40"/>
            <w:col w:w="2154" w:space="39"/>
            <w:col w:w="2137" w:space="221"/>
            <w:col w:w="2387"/>
          </w:cols>
        </w:sectPr>
      </w:pPr>
    </w:p>
    <w:p>
      <w:pPr>
        <w:pStyle w:val="BodyText"/>
        <w:rPr>
          <w:b/>
          <w:sz w:val="20"/>
        </w:rPr>
      </w:pPr>
    </w:p>
    <w:p>
      <w:pPr>
        <w:pStyle w:val="BodyText"/>
        <w:spacing w:before="53"/>
        <w:rPr>
          <w:b/>
          <w:sz w:val="20"/>
        </w:rPr>
      </w:pPr>
    </w:p>
    <w:p>
      <w:pPr>
        <w:pStyle w:val="BodyText"/>
        <w:spacing w:after="0"/>
        <w:rPr>
          <w:b/>
          <w:sz w:val="20"/>
        </w:rPr>
        <w:sectPr>
          <w:type w:val="continuous"/>
          <w:pgSz w:w="19200" w:h="10800" w:orient="landscape"/>
          <w:pgMar w:header="0" w:footer="0" w:top="760" w:bottom="280" w:left="0" w:right="0"/>
        </w:sectPr>
      </w:pPr>
    </w:p>
    <w:p>
      <w:pPr>
        <w:spacing w:before="97"/>
        <w:ind w:left="977" w:right="0" w:firstLine="0"/>
        <w:jc w:val="left"/>
        <w:rPr>
          <w:b/>
          <w:sz w:val="24"/>
        </w:rPr>
      </w:pPr>
      <w:r>
        <w:rPr>
          <w:b/>
          <w:sz w:val="24"/>
        </w:rPr>
        <mc:AlternateContent>
          <mc:Choice Requires="wps">
            <w:drawing>
              <wp:anchor distT="0" distB="0" distL="0" distR="0" allowOverlap="1" layoutInCell="1" locked="0" behindDoc="1" simplePos="0" relativeHeight="477112832">
                <wp:simplePos x="0" y="0"/>
                <wp:positionH relativeFrom="page">
                  <wp:posOffset>192023</wp:posOffset>
                </wp:positionH>
                <wp:positionV relativeFrom="paragraph">
                  <wp:posOffset>-230756</wp:posOffset>
                </wp:positionV>
                <wp:extent cx="11806555" cy="866775"/>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11806555" cy="866775"/>
                          <a:chExt cx="11806555" cy="866775"/>
                        </a:xfrm>
                      </wpg:grpSpPr>
                      <wps:wsp>
                        <wps:cNvPr id="106" name="Graphic 106"/>
                        <wps:cNvSpPr/>
                        <wps:spPr>
                          <a:xfrm>
                            <a:off x="0" y="93218"/>
                            <a:ext cx="11806555" cy="1270"/>
                          </a:xfrm>
                          <a:custGeom>
                            <a:avLst/>
                            <a:gdLst/>
                            <a:ahLst/>
                            <a:cxnLst/>
                            <a:rect l="l" t="t" r="r" b="b"/>
                            <a:pathLst>
                              <a:path w="11806555" h="0">
                                <a:moveTo>
                                  <a:pt x="0" y="0"/>
                                </a:moveTo>
                                <a:lnTo>
                                  <a:pt x="11806301" y="0"/>
                                </a:lnTo>
                              </a:path>
                            </a:pathLst>
                          </a:custGeom>
                          <a:ln w="38100">
                            <a:solidFill>
                              <a:srgbClr val="394871"/>
                            </a:solidFill>
                            <a:prstDash val="solid"/>
                          </a:ln>
                        </wps:spPr>
                        <wps:bodyPr wrap="square" lIns="0" tIns="0" rIns="0" bIns="0" rtlCol="0">
                          <a:prstTxWarp prst="textNoShape">
                            <a:avLst/>
                          </a:prstTxWarp>
                          <a:noAutofit/>
                        </wps:bodyPr>
                      </wps:wsp>
                      <pic:pic>
                        <pic:nvPicPr>
                          <pic:cNvPr id="107" name="Image 107"/>
                          <pic:cNvPicPr/>
                        </pic:nvPicPr>
                        <pic:blipFill>
                          <a:blip r:embed="rId30" cstate="print"/>
                          <a:stretch>
                            <a:fillRect/>
                          </a:stretch>
                        </pic:blipFill>
                        <pic:spPr>
                          <a:xfrm>
                            <a:off x="674877" y="9144"/>
                            <a:ext cx="195579" cy="186436"/>
                          </a:xfrm>
                          <a:prstGeom prst="rect">
                            <a:avLst/>
                          </a:prstGeom>
                        </pic:spPr>
                      </pic:pic>
                      <pic:pic>
                        <pic:nvPicPr>
                          <pic:cNvPr id="108" name="Image 108"/>
                          <pic:cNvPicPr/>
                        </pic:nvPicPr>
                        <pic:blipFill>
                          <a:blip r:embed="rId31" cstate="print"/>
                          <a:stretch>
                            <a:fillRect/>
                          </a:stretch>
                        </pic:blipFill>
                        <pic:spPr>
                          <a:xfrm>
                            <a:off x="1881885" y="0"/>
                            <a:ext cx="195579" cy="186436"/>
                          </a:xfrm>
                          <a:prstGeom prst="rect">
                            <a:avLst/>
                          </a:prstGeom>
                        </pic:spPr>
                      </pic:pic>
                      <pic:pic>
                        <pic:nvPicPr>
                          <pic:cNvPr id="109" name="Image 109"/>
                          <pic:cNvPicPr/>
                        </pic:nvPicPr>
                        <pic:blipFill>
                          <a:blip r:embed="rId32" cstate="print"/>
                          <a:stretch>
                            <a:fillRect/>
                          </a:stretch>
                        </pic:blipFill>
                        <pic:spPr>
                          <a:xfrm>
                            <a:off x="3646678" y="9144"/>
                            <a:ext cx="186436" cy="186436"/>
                          </a:xfrm>
                          <a:prstGeom prst="rect">
                            <a:avLst/>
                          </a:prstGeom>
                        </pic:spPr>
                      </pic:pic>
                      <pic:pic>
                        <pic:nvPicPr>
                          <pic:cNvPr id="110" name="Image 110"/>
                          <pic:cNvPicPr/>
                        </pic:nvPicPr>
                        <pic:blipFill>
                          <a:blip r:embed="rId33" cstate="print"/>
                          <a:stretch>
                            <a:fillRect/>
                          </a:stretch>
                        </pic:blipFill>
                        <pic:spPr>
                          <a:xfrm>
                            <a:off x="5128005" y="9144"/>
                            <a:ext cx="195580" cy="186436"/>
                          </a:xfrm>
                          <a:prstGeom prst="rect">
                            <a:avLst/>
                          </a:prstGeom>
                        </pic:spPr>
                      </pic:pic>
                      <pic:pic>
                        <pic:nvPicPr>
                          <pic:cNvPr id="111" name="Image 111"/>
                          <pic:cNvPicPr/>
                        </pic:nvPicPr>
                        <pic:blipFill>
                          <a:blip r:embed="rId34" cstate="print"/>
                          <a:stretch>
                            <a:fillRect/>
                          </a:stretch>
                        </pic:blipFill>
                        <pic:spPr>
                          <a:xfrm>
                            <a:off x="6618478" y="9144"/>
                            <a:ext cx="186436" cy="186436"/>
                          </a:xfrm>
                          <a:prstGeom prst="rect">
                            <a:avLst/>
                          </a:prstGeom>
                        </pic:spPr>
                      </pic:pic>
                      <pic:pic>
                        <pic:nvPicPr>
                          <pic:cNvPr id="112" name="Image 112"/>
                          <pic:cNvPicPr/>
                        </pic:nvPicPr>
                        <pic:blipFill>
                          <a:blip r:embed="rId35" cstate="print"/>
                          <a:stretch>
                            <a:fillRect/>
                          </a:stretch>
                        </pic:blipFill>
                        <pic:spPr>
                          <a:xfrm>
                            <a:off x="8099806" y="0"/>
                            <a:ext cx="195579" cy="186436"/>
                          </a:xfrm>
                          <a:prstGeom prst="rect">
                            <a:avLst/>
                          </a:prstGeom>
                        </pic:spPr>
                      </pic:pic>
                      <pic:pic>
                        <pic:nvPicPr>
                          <pic:cNvPr id="113" name="Image 113"/>
                          <pic:cNvPicPr/>
                        </pic:nvPicPr>
                        <pic:blipFill>
                          <a:blip r:embed="rId36" cstate="print"/>
                          <a:stretch>
                            <a:fillRect/>
                          </a:stretch>
                        </pic:blipFill>
                        <pic:spPr>
                          <a:xfrm>
                            <a:off x="9581133" y="9144"/>
                            <a:ext cx="195580" cy="186436"/>
                          </a:xfrm>
                          <a:prstGeom prst="rect">
                            <a:avLst/>
                          </a:prstGeom>
                        </pic:spPr>
                      </pic:pic>
                      <wps:wsp>
                        <wps:cNvPr id="114" name="Graphic 114"/>
                        <wps:cNvSpPr/>
                        <wps:spPr>
                          <a:xfrm>
                            <a:off x="1918716" y="212090"/>
                            <a:ext cx="76200" cy="599440"/>
                          </a:xfrm>
                          <a:custGeom>
                            <a:avLst/>
                            <a:gdLst/>
                            <a:ahLst/>
                            <a:cxnLst/>
                            <a:rect l="l" t="t" r="r" b="b"/>
                            <a:pathLst>
                              <a:path w="76200" h="599440">
                                <a:moveTo>
                                  <a:pt x="47625" y="63500"/>
                                </a:moveTo>
                                <a:lnTo>
                                  <a:pt x="28575" y="63500"/>
                                </a:lnTo>
                                <a:lnTo>
                                  <a:pt x="28575" y="599313"/>
                                </a:lnTo>
                                <a:lnTo>
                                  <a:pt x="47625" y="599313"/>
                                </a:lnTo>
                                <a:lnTo>
                                  <a:pt x="47625" y="63500"/>
                                </a:lnTo>
                                <a:close/>
                              </a:path>
                              <a:path w="76200" h="599440">
                                <a:moveTo>
                                  <a:pt x="38100" y="0"/>
                                </a:moveTo>
                                <a:lnTo>
                                  <a:pt x="0" y="76200"/>
                                </a:lnTo>
                                <a:lnTo>
                                  <a:pt x="28575" y="76200"/>
                                </a:lnTo>
                                <a:lnTo>
                                  <a:pt x="28575" y="63500"/>
                                </a:lnTo>
                                <a:lnTo>
                                  <a:pt x="69850" y="63500"/>
                                </a:lnTo>
                                <a:lnTo>
                                  <a:pt x="38100" y="0"/>
                                </a:lnTo>
                                <a:close/>
                              </a:path>
                              <a:path w="76200" h="599440">
                                <a:moveTo>
                                  <a:pt x="69850" y="63500"/>
                                </a:moveTo>
                                <a:lnTo>
                                  <a:pt x="47625" y="63500"/>
                                </a:lnTo>
                                <a:lnTo>
                                  <a:pt x="47625" y="76200"/>
                                </a:lnTo>
                                <a:lnTo>
                                  <a:pt x="76200" y="76200"/>
                                </a:lnTo>
                                <a:lnTo>
                                  <a:pt x="69850" y="63500"/>
                                </a:lnTo>
                                <a:close/>
                              </a:path>
                            </a:pathLst>
                          </a:custGeom>
                          <a:solidFill>
                            <a:srgbClr val="394871"/>
                          </a:solidFill>
                        </wps:spPr>
                        <wps:bodyPr wrap="square" lIns="0" tIns="0" rIns="0" bIns="0" rtlCol="0">
                          <a:prstTxWarp prst="textNoShape">
                            <a:avLst/>
                          </a:prstTxWarp>
                          <a:noAutofit/>
                        </wps:bodyPr>
                      </wps:wsp>
                      <pic:pic>
                        <pic:nvPicPr>
                          <pic:cNvPr id="115" name="Image 115"/>
                          <pic:cNvPicPr/>
                        </pic:nvPicPr>
                        <pic:blipFill>
                          <a:blip r:embed="rId37" cstate="print"/>
                          <a:stretch>
                            <a:fillRect/>
                          </a:stretch>
                        </pic:blipFill>
                        <pic:spPr>
                          <a:xfrm>
                            <a:off x="5184902" y="266954"/>
                            <a:ext cx="76073" cy="236219"/>
                          </a:xfrm>
                          <a:prstGeom prst="rect">
                            <a:avLst/>
                          </a:prstGeom>
                        </pic:spPr>
                      </pic:pic>
                      <pic:pic>
                        <pic:nvPicPr>
                          <pic:cNvPr id="116" name="Image 116"/>
                          <pic:cNvPicPr/>
                        </pic:nvPicPr>
                        <pic:blipFill>
                          <a:blip r:embed="rId38" cstate="print"/>
                          <a:stretch>
                            <a:fillRect/>
                          </a:stretch>
                        </pic:blipFill>
                        <pic:spPr>
                          <a:xfrm>
                            <a:off x="11071606" y="0"/>
                            <a:ext cx="186436" cy="186436"/>
                          </a:xfrm>
                          <a:prstGeom prst="rect">
                            <a:avLst/>
                          </a:prstGeom>
                        </pic:spPr>
                      </pic:pic>
                      <wps:wsp>
                        <wps:cNvPr id="117" name="Graphic 117"/>
                        <wps:cNvSpPr/>
                        <wps:spPr>
                          <a:xfrm>
                            <a:off x="8164068" y="266953"/>
                            <a:ext cx="3039110" cy="599440"/>
                          </a:xfrm>
                          <a:custGeom>
                            <a:avLst/>
                            <a:gdLst/>
                            <a:ahLst/>
                            <a:cxnLst/>
                            <a:rect l="l" t="t" r="r" b="b"/>
                            <a:pathLst>
                              <a:path w="3039110" h="599440">
                                <a:moveTo>
                                  <a:pt x="76200" y="76200"/>
                                </a:moveTo>
                                <a:lnTo>
                                  <a:pt x="69850" y="63500"/>
                                </a:lnTo>
                                <a:lnTo>
                                  <a:pt x="38100" y="0"/>
                                </a:lnTo>
                                <a:lnTo>
                                  <a:pt x="0" y="76200"/>
                                </a:lnTo>
                                <a:lnTo>
                                  <a:pt x="28575" y="76200"/>
                                </a:lnTo>
                                <a:lnTo>
                                  <a:pt x="28575" y="599313"/>
                                </a:lnTo>
                                <a:lnTo>
                                  <a:pt x="47625" y="599313"/>
                                </a:lnTo>
                                <a:lnTo>
                                  <a:pt x="47625" y="76200"/>
                                </a:lnTo>
                                <a:lnTo>
                                  <a:pt x="76200" y="76200"/>
                                </a:lnTo>
                                <a:close/>
                              </a:path>
                              <a:path w="3039110" h="599440">
                                <a:moveTo>
                                  <a:pt x="3038856" y="76200"/>
                                </a:moveTo>
                                <a:lnTo>
                                  <a:pt x="3032506" y="63500"/>
                                </a:lnTo>
                                <a:lnTo>
                                  <a:pt x="3000756" y="0"/>
                                </a:lnTo>
                                <a:lnTo>
                                  <a:pt x="2962656" y="76200"/>
                                </a:lnTo>
                                <a:lnTo>
                                  <a:pt x="2991231" y="76200"/>
                                </a:lnTo>
                                <a:lnTo>
                                  <a:pt x="2991231" y="599313"/>
                                </a:lnTo>
                                <a:lnTo>
                                  <a:pt x="3010281" y="599313"/>
                                </a:lnTo>
                                <a:lnTo>
                                  <a:pt x="3010281" y="76200"/>
                                </a:lnTo>
                                <a:lnTo>
                                  <a:pt x="3038856" y="76200"/>
                                </a:lnTo>
                                <a:close/>
                              </a:path>
                            </a:pathLst>
                          </a:custGeom>
                          <a:solidFill>
                            <a:srgbClr val="394871"/>
                          </a:solidFill>
                        </wps:spPr>
                        <wps:bodyPr wrap="square" lIns="0" tIns="0" rIns="0" bIns="0" rtlCol="0">
                          <a:prstTxWarp prst="textNoShape">
                            <a:avLst/>
                          </a:prstTxWarp>
                          <a:noAutofit/>
                        </wps:bodyPr>
                      </wps:wsp>
                    </wpg:wgp>
                  </a:graphicData>
                </a:graphic>
              </wp:anchor>
            </w:drawing>
          </mc:Choice>
          <mc:Fallback>
            <w:pict>
              <v:group style="position:absolute;margin-left:15.12pt;margin-top:-18.169785pt;width:929.65pt;height:68.25pt;mso-position-horizontal-relative:page;mso-position-vertical-relative:paragraph;z-index:-26203648" id="docshapegroup63" coordorigin="302,-363" coordsize="18593,1365">
                <v:line style="position:absolute" from="302,-217" to="18895,-217" stroked="true" strokeweight="3pt" strokecolor="#394871">
                  <v:stroke dashstyle="solid"/>
                </v:line>
                <v:shape style="position:absolute;left:1365;top:-349;width:308;height:294" type="#_x0000_t75" id="docshape64" stroked="false">
                  <v:imagedata r:id="rId30" o:title=""/>
                </v:shape>
                <v:shape style="position:absolute;left:3266;top:-364;width:308;height:294" type="#_x0000_t75" id="docshape65" stroked="false">
                  <v:imagedata r:id="rId31" o:title=""/>
                </v:shape>
                <v:shape style="position:absolute;left:6045;top:-349;width:294;height:294" type="#_x0000_t75" id="docshape66" stroked="false">
                  <v:imagedata r:id="rId32" o:title=""/>
                </v:shape>
                <v:shape style="position:absolute;left:8378;top:-349;width:308;height:294" type="#_x0000_t75" id="docshape67" stroked="false">
                  <v:imagedata r:id="rId33" o:title=""/>
                </v:shape>
                <v:shape style="position:absolute;left:10725;top:-349;width:294;height:294" type="#_x0000_t75" id="docshape68" stroked="false">
                  <v:imagedata r:id="rId34" o:title=""/>
                </v:shape>
                <v:shape style="position:absolute;left:13058;top:-364;width:308;height:294" type="#_x0000_t75" id="docshape69" stroked="false">
                  <v:imagedata r:id="rId35" o:title=""/>
                </v:shape>
                <v:shape style="position:absolute;left:15390;top:-349;width:308;height:294" type="#_x0000_t75" id="docshape70" stroked="false">
                  <v:imagedata r:id="rId36" o:title=""/>
                </v:shape>
                <v:shape style="position:absolute;left:3324;top:-30;width:120;height:944" id="docshape71" coordorigin="3324,-29" coordsize="120,944" path="m3399,71l3369,71,3369,914,3399,914,3399,71xm3384,-29l3324,91,3369,91,3369,71,3434,71,3384,-29xm3434,71l3399,71,3399,91,3444,91,3434,71xe" filled="true" fillcolor="#394871" stroked="false">
                  <v:path arrowok="t"/>
                  <v:fill type="solid"/>
                </v:shape>
                <v:shape style="position:absolute;left:8467;top:57;width:120;height:372" type="#_x0000_t75" id="docshape72" stroked="false">
                  <v:imagedata r:id="rId37" o:title=""/>
                </v:shape>
                <v:shape style="position:absolute;left:17738;top:-364;width:294;height:294" type="#_x0000_t75" id="docshape73" stroked="false">
                  <v:imagedata r:id="rId38" o:title=""/>
                </v:shape>
                <v:shape style="position:absolute;left:13159;top:57;width:4786;height:944" id="docshape74" coordorigin="13159,57" coordsize="4786,944" path="m13279,177l13269,157,13219,57,13159,177,13204,177,13204,1001,13234,1001,13234,177,13279,177xm17945,177l17935,157,17885,57,17825,177,17870,177,17870,1001,17900,1001,17900,177,17945,177xe" filled="true" fillcolor="#394871" stroked="false">
                  <v:path arrowok="t"/>
                  <v:fill type="solid"/>
                </v:shape>
                <w10:wrap type="none"/>
              </v:group>
            </w:pict>
          </mc:Fallback>
        </mc:AlternateContent>
      </w:r>
      <w:r>
        <w:rPr>
          <w:b/>
          <w:sz w:val="24"/>
        </w:rPr>
        <mc:AlternateContent>
          <mc:Choice Requires="wps">
            <w:drawing>
              <wp:anchor distT="0" distB="0" distL="0" distR="0" allowOverlap="1" layoutInCell="1" locked="0" behindDoc="0" simplePos="0" relativeHeight="15760896">
                <wp:simplePos x="0" y="0"/>
                <wp:positionH relativeFrom="page">
                  <wp:posOffset>6856476</wp:posOffset>
                </wp:positionH>
                <wp:positionV relativeFrom="paragraph">
                  <wp:posOffset>-896617</wp:posOffset>
                </wp:positionV>
                <wp:extent cx="76200" cy="601345"/>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76200" cy="601345"/>
                        </a:xfrm>
                        <a:custGeom>
                          <a:avLst/>
                          <a:gdLst/>
                          <a:ahLst/>
                          <a:cxnLst/>
                          <a:rect l="l" t="t" r="r" b="b"/>
                          <a:pathLst>
                            <a:path w="76200" h="601345">
                              <a:moveTo>
                                <a:pt x="28575" y="524890"/>
                              </a:moveTo>
                              <a:lnTo>
                                <a:pt x="0" y="524890"/>
                              </a:lnTo>
                              <a:lnTo>
                                <a:pt x="38100" y="601090"/>
                              </a:lnTo>
                              <a:lnTo>
                                <a:pt x="69850" y="537590"/>
                              </a:lnTo>
                              <a:lnTo>
                                <a:pt x="28575" y="537590"/>
                              </a:lnTo>
                              <a:lnTo>
                                <a:pt x="28575" y="524890"/>
                              </a:lnTo>
                              <a:close/>
                            </a:path>
                            <a:path w="76200" h="601345">
                              <a:moveTo>
                                <a:pt x="47625" y="0"/>
                              </a:moveTo>
                              <a:lnTo>
                                <a:pt x="28575" y="0"/>
                              </a:lnTo>
                              <a:lnTo>
                                <a:pt x="28575" y="537590"/>
                              </a:lnTo>
                              <a:lnTo>
                                <a:pt x="47625" y="537590"/>
                              </a:lnTo>
                              <a:lnTo>
                                <a:pt x="47625" y="0"/>
                              </a:lnTo>
                              <a:close/>
                            </a:path>
                            <a:path w="76200" h="601345">
                              <a:moveTo>
                                <a:pt x="76200" y="524890"/>
                              </a:moveTo>
                              <a:lnTo>
                                <a:pt x="47625" y="524890"/>
                              </a:lnTo>
                              <a:lnTo>
                                <a:pt x="47625" y="537590"/>
                              </a:lnTo>
                              <a:lnTo>
                                <a:pt x="69850" y="537590"/>
                              </a:lnTo>
                              <a:lnTo>
                                <a:pt x="76200"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539.880005pt;margin-top:-70.599785pt;width:6pt;height:47.35pt;mso-position-horizontal-relative:page;mso-position-vertical-relative:paragraph;z-index:15760896" id="docshape75" coordorigin="10798,-1412" coordsize="120,947" path="m10843,-585l10798,-585,10858,-465,10908,-565,10843,-565,10843,-585xm10873,-1412l10843,-1412,10843,-565,10873,-565,10873,-1412xm10918,-585l10873,-585,10873,-565,10908,-565,10918,-585xe" filled="true" fillcolor="#394871" stroked="false">
                <v:path arrowok="t"/>
                <v:fill type="solid"/>
                <w10:wrap type="none"/>
              </v:shape>
            </w:pict>
          </mc:Fallback>
        </mc:AlternateContent>
      </w:r>
      <w:r>
        <w:rPr>
          <w:b/>
          <w:sz w:val="24"/>
        </w:rPr>
        <mc:AlternateContent>
          <mc:Choice Requires="wps">
            <w:drawing>
              <wp:anchor distT="0" distB="0" distL="0" distR="0" allowOverlap="1" layoutInCell="1" locked="0" behindDoc="0" simplePos="0" relativeHeight="15761408">
                <wp:simplePos x="0" y="0"/>
                <wp:positionH relativeFrom="page">
                  <wp:posOffset>9846564</wp:posOffset>
                </wp:positionH>
                <wp:positionV relativeFrom="paragraph">
                  <wp:posOffset>-896617</wp:posOffset>
                </wp:positionV>
                <wp:extent cx="76200" cy="601345"/>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76200" cy="601345"/>
                        </a:xfrm>
                        <a:custGeom>
                          <a:avLst/>
                          <a:gdLst/>
                          <a:ahLst/>
                          <a:cxnLst/>
                          <a:rect l="l" t="t" r="r" b="b"/>
                          <a:pathLst>
                            <a:path w="76200" h="601345">
                              <a:moveTo>
                                <a:pt x="28575" y="524890"/>
                              </a:moveTo>
                              <a:lnTo>
                                <a:pt x="0" y="524890"/>
                              </a:lnTo>
                              <a:lnTo>
                                <a:pt x="38100" y="601090"/>
                              </a:lnTo>
                              <a:lnTo>
                                <a:pt x="69850" y="537590"/>
                              </a:lnTo>
                              <a:lnTo>
                                <a:pt x="28575" y="537590"/>
                              </a:lnTo>
                              <a:lnTo>
                                <a:pt x="28575" y="524890"/>
                              </a:lnTo>
                              <a:close/>
                            </a:path>
                            <a:path w="76200" h="601345">
                              <a:moveTo>
                                <a:pt x="47625" y="0"/>
                              </a:moveTo>
                              <a:lnTo>
                                <a:pt x="28575" y="0"/>
                              </a:lnTo>
                              <a:lnTo>
                                <a:pt x="28575" y="537590"/>
                              </a:lnTo>
                              <a:lnTo>
                                <a:pt x="47625" y="537590"/>
                              </a:lnTo>
                              <a:lnTo>
                                <a:pt x="47625" y="0"/>
                              </a:lnTo>
                              <a:close/>
                            </a:path>
                            <a:path w="76200" h="601345">
                              <a:moveTo>
                                <a:pt x="76200" y="524890"/>
                              </a:moveTo>
                              <a:lnTo>
                                <a:pt x="47625" y="524890"/>
                              </a:lnTo>
                              <a:lnTo>
                                <a:pt x="47625" y="537590"/>
                              </a:lnTo>
                              <a:lnTo>
                                <a:pt x="69850" y="537590"/>
                              </a:lnTo>
                              <a:lnTo>
                                <a:pt x="76200"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775.320007pt;margin-top:-70.599785pt;width:6pt;height:47.35pt;mso-position-horizontal-relative:page;mso-position-vertical-relative:paragraph;z-index:15761408" id="docshape76" coordorigin="15506,-1412" coordsize="120,947" path="m15551,-585l15506,-585,15566,-465,15616,-565,15551,-565,15551,-585xm15581,-1412l15551,-1412,15551,-565,15581,-565,15581,-1412xm15626,-585l15581,-585,15581,-565,15616,-565,15626,-585xe" filled="true" fillcolor="#394871" stroked="false">
                <v:path arrowok="t"/>
                <v:fill type="solid"/>
                <w10:wrap type="none"/>
              </v:shape>
            </w:pict>
          </mc:Fallback>
        </mc:AlternateContent>
      </w:r>
      <w:r>
        <w:rPr>
          <w:b/>
          <w:color w:val="394871"/>
          <w:sz w:val="24"/>
        </w:rPr>
        <w:t>May</w:t>
      </w:r>
      <w:r>
        <w:rPr>
          <w:b/>
          <w:color w:val="394871"/>
          <w:spacing w:val="-3"/>
          <w:sz w:val="24"/>
        </w:rPr>
        <w:t> </w:t>
      </w:r>
      <w:r>
        <w:rPr>
          <w:b/>
          <w:color w:val="394871"/>
          <w:spacing w:val="-4"/>
          <w:sz w:val="24"/>
        </w:rPr>
        <w:t>2026</w:t>
      </w:r>
    </w:p>
    <w:p>
      <w:pPr>
        <w:pStyle w:val="BodyText"/>
        <w:rPr>
          <w:b/>
        </w:rPr>
      </w:pPr>
      <w:r>
        <w:rPr/>
        <w:br w:type="column"/>
      </w:r>
      <w:r>
        <w:rPr>
          <w:b/>
        </w:rPr>
      </w:r>
    </w:p>
    <w:p>
      <w:pPr>
        <w:pStyle w:val="BodyText"/>
        <w:rPr>
          <w:b/>
        </w:rPr>
      </w:pPr>
    </w:p>
    <w:p>
      <w:pPr>
        <w:pStyle w:val="BodyText"/>
        <w:spacing w:before="90"/>
        <w:rPr>
          <w:b/>
        </w:rPr>
      </w:pPr>
    </w:p>
    <w:p>
      <w:pPr>
        <w:spacing w:before="1"/>
        <w:ind w:left="600" w:right="12" w:firstLine="0"/>
        <w:jc w:val="center"/>
        <w:rPr>
          <w:b/>
          <w:sz w:val="24"/>
        </w:rPr>
      </w:pPr>
      <w:r>
        <w:rPr>
          <w:b/>
          <w:color w:val="394871"/>
          <w:spacing w:val="-2"/>
          <w:sz w:val="24"/>
        </w:rPr>
        <w:t>Framework</w:t>
      </w:r>
    </w:p>
    <w:p>
      <w:pPr>
        <w:spacing w:before="12"/>
        <w:ind w:left="600" w:right="0" w:firstLine="0"/>
        <w:jc w:val="center"/>
        <w:rPr>
          <w:b/>
          <w:sz w:val="24"/>
        </w:rPr>
      </w:pPr>
      <w:r>
        <w:rPr>
          <w:b/>
          <w:color w:val="394871"/>
          <w:spacing w:val="-2"/>
          <w:sz w:val="24"/>
        </w:rPr>
        <w:t>Approach</w:t>
      </w:r>
    </w:p>
    <w:p>
      <w:pPr>
        <w:pStyle w:val="BodyText"/>
        <w:spacing w:before="25"/>
        <w:rPr>
          <w:b/>
        </w:rPr>
      </w:pPr>
    </w:p>
    <w:p>
      <w:pPr>
        <w:pStyle w:val="BodyText"/>
        <w:spacing w:line="249" w:lineRule="auto"/>
        <w:ind w:left="600"/>
        <w:jc w:val="center"/>
      </w:pPr>
      <w:r>
        <w:rPr/>
        <w:t>DDoFs</w:t>
      </w:r>
      <w:r>
        <w:rPr>
          <w:spacing w:val="-17"/>
        </w:rPr>
        <w:t> </w:t>
      </w:r>
      <w:r>
        <w:rPr/>
        <w:t>align</w:t>
      </w:r>
      <w:r>
        <w:rPr>
          <w:spacing w:val="-17"/>
        </w:rPr>
        <w:t> </w:t>
      </w:r>
      <w:r>
        <w:rPr/>
        <w:t>on scope and </w:t>
      </w:r>
      <w:r>
        <w:rPr>
          <w:spacing w:val="-2"/>
        </w:rPr>
        <w:t>expectations</w:t>
      </w:r>
    </w:p>
    <w:p>
      <w:pPr>
        <w:spacing w:before="97"/>
        <w:ind w:left="977" w:right="0" w:firstLine="0"/>
        <w:jc w:val="left"/>
        <w:rPr>
          <w:b/>
          <w:sz w:val="24"/>
        </w:rPr>
      </w:pPr>
      <w:r>
        <w:rPr/>
        <w:br w:type="column"/>
      </w:r>
      <w:r>
        <w:rPr>
          <w:b/>
          <w:color w:val="394871"/>
          <w:sz w:val="24"/>
        </w:rPr>
        <w:t>July</w:t>
      </w:r>
      <w:r>
        <w:rPr>
          <w:b/>
          <w:color w:val="394871"/>
          <w:spacing w:val="-3"/>
          <w:sz w:val="24"/>
        </w:rPr>
        <w:t> </w:t>
      </w:r>
      <w:r>
        <w:rPr>
          <w:b/>
          <w:color w:val="394871"/>
          <w:spacing w:val="-4"/>
          <w:sz w:val="24"/>
        </w:rPr>
        <w:t>2026</w:t>
      </w:r>
    </w:p>
    <w:p>
      <w:pPr>
        <w:pStyle w:val="BodyText"/>
        <w:spacing w:before="133"/>
        <w:rPr>
          <w:b/>
        </w:rPr>
      </w:pPr>
      <w:r>
        <w:rPr/>
        <w:br w:type="column"/>
      </w:r>
      <w:r>
        <w:rPr>
          <w:b/>
        </w:rPr>
      </w:r>
    </w:p>
    <w:p>
      <w:pPr>
        <w:spacing w:line="290" w:lineRule="atLeast" w:before="1"/>
        <w:ind w:left="1109" w:right="423" w:firstLine="0"/>
        <w:jc w:val="center"/>
        <w:rPr>
          <w:b/>
          <w:sz w:val="24"/>
        </w:rPr>
      </w:pPr>
      <w:r>
        <w:rPr>
          <w:b/>
          <w:color w:val="394871"/>
          <w:spacing w:val="-2"/>
          <w:sz w:val="24"/>
        </w:rPr>
        <w:t>August </w:t>
      </w:r>
      <w:r>
        <w:rPr>
          <w:b/>
          <w:color w:val="394871"/>
          <w:spacing w:val="-4"/>
          <w:sz w:val="24"/>
        </w:rPr>
        <w:t>2026</w:t>
      </w:r>
    </w:p>
    <w:p>
      <w:pPr>
        <w:spacing w:line="211" w:lineRule="exact" w:before="0"/>
        <w:ind w:left="743" w:right="0" w:firstLine="0"/>
        <w:jc w:val="center"/>
        <w:rPr>
          <w:b/>
          <w:sz w:val="24"/>
        </w:rPr>
      </w:pPr>
      <w:r>
        <w:rPr>
          <w:b/>
          <w:color w:val="394871"/>
          <w:sz w:val="24"/>
        </w:rPr>
        <w:t>Senior</w:t>
      </w:r>
      <w:r>
        <w:rPr>
          <w:b/>
          <w:color w:val="394871"/>
          <w:spacing w:val="3"/>
          <w:sz w:val="24"/>
        </w:rPr>
        <w:t> </w:t>
      </w:r>
      <w:r>
        <w:rPr>
          <w:b/>
          <w:color w:val="394871"/>
          <w:spacing w:val="-2"/>
          <w:sz w:val="24"/>
        </w:rPr>
        <w:t>Review</w:t>
      </w:r>
    </w:p>
    <w:p>
      <w:pPr>
        <w:pStyle w:val="BodyText"/>
        <w:spacing w:before="24"/>
        <w:rPr>
          <w:b/>
        </w:rPr>
      </w:pPr>
    </w:p>
    <w:p>
      <w:pPr>
        <w:pStyle w:val="BodyText"/>
        <w:spacing w:line="252" w:lineRule="auto"/>
        <w:ind w:left="745" w:hanging="1"/>
        <w:jc w:val="center"/>
      </w:pPr>
      <w:r>
        <w:rPr/>
        <w:drawing>
          <wp:anchor distT="0" distB="0" distL="0" distR="0" allowOverlap="1" layoutInCell="1" locked="0" behindDoc="1" simplePos="0" relativeHeight="477115904">
            <wp:simplePos x="0" y="0"/>
            <wp:positionH relativeFrom="page">
              <wp:posOffset>3337559</wp:posOffset>
            </wp:positionH>
            <wp:positionV relativeFrom="paragraph">
              <wp:posOffset>592233</wp:posOffset>
            </wp:positionV>
            <wp:extent cx="1847088" cy="1381125"/>
            <wp:effectExtent l="0" t="0" r="0" b="0"/>
            <wp:wrapNone/>
            <wp:docPr id="120" name="Image 120" descr="No alternative text description for this image"/>
            <wp:cNvGraphicFramePr>
              <a:graphicFrameLocks/>
            </wp:cNvGraphicFramePr>
            <a:graphic>
              <a:graphicData uri="http://schemas.openxmlformats.org/drawingml/2006/picture">
                <pic:pic>
                  <pic:nvPicPr>
                    <pic:cNvPr id="120" name="Image 120" descr="No alternative text description for this image"/>
                    <pic:cNvPicPr/>
                  </pic:nvPicPr>
                  <pic:blipFill>
                    <a:blip r:embed="rId39" cstate="print"/>
                    <a:stretch>
                      <a:fillRect/>
                    </a:stretch>
                  </pic:blipFill>
                  <pic:spPr>
                    <a:xfrm>
                      <a:off x="0" y="0"/>
                      <a:ext cx="1847088" cy="1381125"/>
                    </a:xfrm>
                    <a:prstGeom prst="rect">
                      <a:avLst/>
                    </a:prstGeom>
                  </pic:spPr>
                </pic:pic>
              </a:graphicData>
            </a:graphic>
          </wp:anchor>
        </w:drawing>
      </w:r>
      <w:r>
        <w:rPr/>
        <w:t>Confirm ways of working</w:t>
      </w:r>
      <w:r>
        <w:rPr>
          <w:spacing w:val="-17"/>
        </w:rPr>
        <w:t> </w:t>
      </w:r>
      <w:r>
        <w:rPr/>
        <w:t>and</w:t>
      </w:r>
      <w:r>
        <w:rPr>
          <w:spacing w:val="-17"/>
        </w:rPr>
        <w:t> </w:t>
      </w:r>
      <w:r>
        <w:rPr/>
        <w:t>priority </w:t>
      </w:r>
      <w:r>
        <w:rPr>
          <w:spacing w:val="-2"/>
        </w:rPr>
        <w:t>activities</w:t>
      </w:r>
    </w:p>
    <w:p>
      <w:pPr>
        <w:spacing w:before="97"/>
        <w:ind w:left="313" w:right="0" w:firstLine="0"/>
        <w:jc w:val="left"/>
        <w:rPr>
          <w:b/>
          <w:sz w:val="24"/>
        </w:rPr>
      </w:pPr>
      <w:r>
        <w:rPr/>
        <w:br w:type="column"/>
      </w:r>
      <w:r>
        <w:rPr>
          <w:b/>
          <w:color w:val="394871"/>
          <w:sz w:val="24"/>
        </w:rPr>
        <w:t>September</w:t>
      </w:r>
      <w:r>
        <w:rPr>
          <w:b/>
          <w:color w:val="394871"/>
          <w:spacing w:val="-2"/>
          <w:sz w:val="24"/>
        </w:rPr>
        <w:t> </w:t>
      </w:r>
      <w:r>
        <w:rPr>
          <w:b/>
          <w:color w:val="394871"/>
          <w:spacing w:val="-4"/>
          <w:sz w:val="24"/>
        </w:rPr>
        <w:t>2026</w:t>
      </w:r>
    </w:p>
    <w:p>
      <w:pPr>
        <w:pStyle w:val="BodyText"/>
        <w:rPr>
          <w:b/>
        </w:rPr>
      </w:pPr>
      <w:r>
        <w:rPr/>
        <w:br w:type="column"/>
      </w:r>
      <w:r>
        <w:rPr>
          <w:b/>
        </w:rPr>
      </w:r>
    </w:p>
    <w:p>
      <w:pPr>
        <w:pStyle w:val="BodyText"/>
        <w:rPr>
          <w:b/>
        </w:rPr>
      </w:pPr>
    </w:p>
    <w:p>
      <w:pPr>
        <w:pStyle w:val="BodyText"/>
        <w:rPr>
          <w:b/>
        </w:rPr>
      </w:pPr>
    </w:p>
    <w:p>
      <w:pPr>
        <w:pStyle w:val="BodyText"/>
        <w:rPr>
          <w:b/>
        </w:rPr>
      </w:pPr>
    </w:p>
    <w:p>
      <w:pPr>
        <w:pStyle w:val="BodyText"/>
        <w:spacing w:before="70"/>
        <w:rPr>
          <w:b/>
        </w:rPr>
      </w:pPr>
    </w:p>
    <w:p>
      <w:pPr>
        <w:spacing w:before="0"/>
        <w:ind w:left="369" w:right="0" w:firstLine="0"/>
        <w:jc w:val="center"/>
        <w:rPr>
          <w:b/>
          <w:sz w:val="24"/>
        </w:rPr>
      </w:pPr>
      <w:r>
        <w:rPr>
          <w:b/>
          <w:color w:val="394871"/>
          <w:spacing w:val="-2"/>
          <w:sz w:val="24"/>
        </w:rPr>
        <w:t>Discovery</w:t>
      </w:r>
    </w:p>
    <w:p>
      <w:pPr>
        <w:pStyle w:val="BodyText"/>
        <w:spacing w:before="25"/>
        <w:rPr>
          <w:b/>
        </w:rPr>
      </w:pPr>
    </w:p>
    <w:p>
      <w:pPr>
        <w:pStyle w:val="BodyText"/>
        <w:spacing w:line="252" w:lineRule="auto"/>
        <w:ind w:left="375" w:hanging="6"/>
        <w:jc w:val="center"/>
      </w:pPr>
      <w:r>
        <w:rPr/>
        <w:t>Joint priority sessions to undertake</w:t>
      </w:r>
      <w:r>
        <w:rPr>
          <w:spacing w:val="-17"/>
        </w:rPr>
        <w:t> </w:t>
      </w:r>
      <w:r>
        <w:rPr/>
        <w:t>baseline and gather views</w:t>
      </w:r>
    </w:p>
    <w:p>
      <w:pPr>
        <w:spacing w:before="97"/>
        <w:ind w:left="413" w:right="0" w:firstLine="0"/>
        <w:jc w:val="left"/>
        <w:rPr>
          <w:b/>
          <w:sz w:val="24"/>
        </w:rPr>
      </w:pPr>
      <w:r>
        <w:rPr/>
        <w:br w:type="column"/>
      </w:r>
      <w:r>
        <w:rPr>
          <w:b/>
          <w:color w:val="394871"/>
          <w:sz w:val="24"/>
        </w:rPr>
        <w:t>December</w:t>
      </w:r>
      <w:r>
        <w:rPr>
          <w:b/>
          <w:color w:val="394871"/>
          <w:spacing w:val="-9"/>
          <w:sz w:val="24"/>
        </w:rPr>
        <w:t> </w:t>
      </w:r>
      <w:r>
        <w:rPr>
          <w:b/>
          <w:color w:val="394871"/>
          <w:spacing w:val="-4"/>
          <w:sz w:val="24"/>
        </w:rPr>
        <w:t>2026</w:t>
      </w:r>
    </w:p>
    <w:p>
      <w:pPr>
        <w:pStyle w:val="BodyText"/>
        <w:rPr>
          <w:b/>
        </w:rPr>
      </w:pPr>
      <w:r>
        <w:rPr/>
        <w:br w:type="column"/>
      </w:r>
      <w:r>
        <w:rPr>
          <w:b/>
        </w:rPr>
      </w:r>
    </w:p>
    <w:p>
      <w:pPr>
        <w:pStyle w:val="BodyText"/>
        <w:rPr>
          <w:b/>
        </w:rPr>
      </w:pPr>
    </w:p>
    <w:p>
      <w:pPr>
        <w:pStyle w:val="BodyText"/>
        <w:rPr>
          <w:b/>
        </w:rPr>
      </w:pPr>
    </w:p>
    <w:p>
      <w:pPr>
        <w:pStyle w:val="BodyText"/>
        <w:rPr>
          <w:b/>
        </w:rPr>
      </w:pPr>
    </w:p>
    <w:p>
      <w:pPr>
        <w:pStyle w:val="BodyText"/>
        <w:spacing w:before="70"/>
        <w:rPr>
          <w:b/>
        </w:rPr>
      </w:pPr>
    </w:p>
    <w:p>
      <w:pPr>
        <w:spacing w:before="0"/>
        <w:ind w:left="78" w:right="0" w:firstLine="0"/>
        <w:jc w:val="center"/>
        <w:rPr>
          <w:b/>
          <w:sz w:val="24"/>
        </w:rPr>
      </w:pPr>
      <w:r>
        <w:rPr>
          <w:b/>
          <w:color w:val="394871"/>
          <w:spacing w:val="-2"/>
          <w:sz w:val="24"/>
        </w:rPr>
        <w:t>Design</w:t>
      </w:r>
    </w:p>
    <w:p>
      <w:pPr>
        <w:pStyle w:val="BodyText"/>
        <w:spacing w:before="25"/>
        <w:rPr>
          <w:b/>
        </w:rPr>
      </w:pPr>
    </w:p>
    <w:p>
      <w:pPr>
        <w:pStyle w:val="BodyText"/>
        <w:spacing w:line="252" w:lineRule="auto"/>
        <w:ind w:left="362" w:right="281" w:firstLine="8"/>
        <w:jc w:val="center"/>
      </w:pPr>
      <w:r>
        <w:rPr/>
        <w:t>Senior team prepare</w:t>
      </w:r>
      <w:r>
        <w:rPr>
          <w:spacing w:val="-17"/>
        </w:rPr>
        <w:t> </w:t>
      </w:r>
      <w:r>
        <w:rPr/>
        <w:t>design</w:t>
      </w:r>
      <w:r>
        <w:rPr>
          <w:spacing w:val="-17"/>
        </w:rPr>
        <w:t> </w:t>
      </w:r>
      <w:r>
        <w:rPr/>
        <w:t>and set out future </w:t>
      </w:r>
      <w:r>
        <w:rPr>
          <w:spacing w:val="-2"/>
        </w:rPr>
        <w:t>actions</w:t>
      </w:r>
    </w:p>
    <w:p>
      <w:pPr>
        <w:pStyle w:val="BodyText"/>
        <w:spacing w:after="0" w:line="252" w:lineRule="auto"/>
        <w:jc w:val="center"/>
        <w:sectPr>
          <w:type w:val="continuous"/>
          <w:pgSz w:w="19200" w:h="10800" w:orient="landscape"/>
          <w:pgMar w:header="0" w:footer="0" w:top="760" w:bottom="280" w:left="0" w:right="0"/>
          <w:cols w:num="8" w:equalWidth="0">
            <w:col w:w="2049" w:space="40"/>
            <w:col w:w="2332" w:space="257"/>
            <w:col w:w="2064" w:space="40"/>
            <w:col w:w="2825" w:space="39"/>
            <w:col w:w="2154" w:space="40"/>
            <w:col w:w="2398" w:space="39"/>
            <w:col w:w="2176" w:space="39"/>
            <w:col w:w="2708"/>
          </w:cols>
        </w:sectPr>
      </w:pPr>
    </w:p>
    <w:p>
      <w:pPr>
        <w:pStyle w:val="BodyText"/>
        <w:rPr>
          <w:sz w:val="20"/>
        </w:rPr>
      </w:pPr>
    </w:p>
    <w:p>
      <w:pPr>
        <w:pStyle w:val="BodyText"/>
        <w:rPr>
          <w:sz w:val="20"/>
        </w:rPr>
      </w:pPr>
    </w:p>
    <w:p>
      <w:pPr>
        <w:pStyle w:val="BodyText"/>
        <w:spacing w:before="98" w:after="1"/>
        <w:rPr>
          <w:sz w:val="20"/>
        </w:rPr>
      </w:pPr>
    </w:p>
    <w:p>
      <w:pPr>
        <w:tabs>
          <w:tab w:pos="16084" w:val="left" w:leader="none"/>
        </w:tabs>
        <w:spacing w:line="240" w:lineRule="auto"/>
        <w:ind w:left="374" w:right="0" w:firstLine="0"/>
        <w:rPr>
          <w:sz w:val="20"/>
        </w:rPr>
      </w:pPr>
      <w:r>
        <w:rPr>
          <w:sz w:val="20"/>
        </w:rPr>
        <w:drawing>
          <wp:inline distT="0" distB="0" distL="0" distR="0">
            <wp:extent cx="1756177" cy="432053"/>
            <wp:effectExtent l="0" t="0" r="0" b="0"/>
            <wp:docPr id="121" name="Image 121" descr="A close-up of a logo  Description automatically generated with medium confidence"/>
            <wp:cNvGraphicFramePr>
              <a:graphicFrameLocks/>
            </wp:cNvGraphicFramePr>
            <a:graphic>
              <a:graphicData uri="http://schemas.openxmlformats.org/drawingml/2006/picture">
                <pic:pic>
                  <pic:nvPicPr>
                    <pic:cNvPr id="121" name="Image 121" descr="A close-up of a logo  Description automatically generated with medium confidence"/>
                    <pic:cNvPicPr/>
                  </pic:nvPicPr>
                  <pic:blipFill>
                    <a:blip r:embed="rId40" cstate="print"/>
                    <a:stretch>
                      <a:fillRect/>
                    </a:stretch>
                  </pic:blipFill>
                  <pic:spPr>
                    <a:xfrm>
                      <a:off x="0" y="0"/>
                      <a:ext cx="1756177" cy="432053"/>
                    </a:xfrm>
                    <a:prstGeom prst="rect">
                      <a:avLst/>
                    </a:prstGeom>
                  </pic:spPr>
                </pic:pic>
              </a:graphicData>
            </a:graphic>
          </wp:inline>
        </w:drawing>
      </w:r>
      <w:r>
        <w:rPr>
          <w:sz w:val="20"/>
        </w:rPr>
      </w:r>
      <w:r>
        <w:rPr>
          <w:sz w:val="20"/>
        </w:rPr>
        <w:tab/>
      </w:r>
      <w:r>
        <w:rPr>
          <w:sz w:val="20"/>
        </w:rPr>
        <w:drawing>
          <wp:inline distT="0" distB="0" distL="0" distR="0">
            <wp:extent cx="1738073" cy="432053"/>
            <wp:effectExtent l="0" t="0" r="0" b="0"/>
            <wp:docPr id="122" name="Image 122" descr="Swansea Bay logo - Swansea Bay University Health Board"/>
            <wp:cNvGraphicFramePr>
              <a:graphicFrameLocks/>
            </wp:cNvGraphicFramePr>
            <a:graphic>
              <a:graphicData uri="http://schemas.openxmlformats.org/drawingml/2006/picture">
                <pic:pic>
                  <pic:nvPicPr>
                    <pic:cNvPr id="122" name="Image 122" descr="Swansea Bay logo - Swansea Bay University Health Board"/>
                    <pic:cNvPicPr/>
                  </pic:nvPicPr>
                  <pic:blipFill>
                    <a:blip r:embed="rId41" cstate="print"/>
                    <a:stretch>
                      <a:fillRect/>
                    </a:stretch>
                  </pic:blipFill>
                  <pic:spPr>
                    <a:xfrm>
                      <a:off x="0" y="0"/>
                      <a:ext cx="1738073" cy="432053"/>
                    </a:xfrm>
                    <a:prstGeom prst="rect">
                      <a:avLst/>
                    </a:prstGeom>
                  </pic:spPr>
                </pic:pic>
              </a:graphicData>
            </a:graphic>
          </wp:inline>
        </w:drawing>
      </w:r>
      <w:r>
        <w:rPr>
          <w:sz w:val="20"/>
        </w:rPr>
      </w:r>
    </w:p>
    <w:p>
      <w:pPr>
        <w:pStyle w:val="BodyText"/>
        <w:ind w:right="152"/>
        <w:jc w:val="right"/>
      </w:pPr>
      <w:r>
        <w:rPr/>
        <mc:AlternateContent>
          <mc:Choice Requires="wps">
            <w:drawing>
              <wp:anchor distT="0" distB="0" distL="0" distR="0" allowOverlap="1" layoutInCell="1" locked="0" behindDoc="1" simplePos="0" relativeHeight="477115392">
                <wp:simplePos x="0" y="0"/>
                <wp:positionH relativeFrom="page">
                  <wp:posOffset>5312664</wp:posOffset>
                </wp:positionH>
                <wp:positionV relativeFrom="paragraph">
                  <wp:posOffset>-1411122</wp:posOffset>
                </wp:positionV>
                <wp:extent cx="1728470" cy="1562735"/>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1728470" cy="1562735"/>
                          <a:chExt cx="1728470" cy="1562735"/>
                        </a:xfrm>
                      </wpg:grpSpPr>
                      <pic:pic>
                        <pic:nvPicPr>
                          <pic:cNvPr id="124" name="Image 124" descr="No alternative text description for this image"/>
                          <pic:cNvPicPr/>
                        </pic:nvPicPr>
                        <pic:blipFill>
                          <a:blip r:embed="rId42" cstate="print"/>
                          <a:stretch>
                            <a:fillRect/>
                          </a:stretch>
                        </pic:blipFill>
                        <pic:spPr>
                          <a:xfrm>
                            <a:off x="0" y="0"/>
                            <a:ext cx="1728215" cy="1381125"/>
                          </a:xfrm>
                          <a:prstGeom prst="rect">
                            <a:avLst/>
                          </a:prstGeom>
                        </pic:spPr>
                      </pic:pic>
                      <pic:pic>
                        <pic:nvPicPr>
                          <pic:cNvPr id="125" name="Image 125"/>
                          <pic:cNvPicPr/>
                        </pic:nvPicPr>
                        <pic:blipFill>
                          <a:blip r:embed="rId23" cstate="print"/>
                          <a:stretch>
                            <a:fillRect/>
                          </a:stretch>
                        </pic:blipFill>
                        <pic:spPr>
                          <a:xfrm>
                            <a:off x="294259" y="1342952"/>
                            <a:ext cx="975116" cy="219401"/>
                          </a:xfrm>
                          <a:prstGeom prst="rect">
                            <a:avLst/>
                          </a:prstGeom>
                        </pic:spPr>
                      </pic:pic>
                      <wps:wsp>
                        <wps:cNvPr id="126" name="Textbox 126"/>
                        <wps:cNvSpPr txBox="1"/>
                        <wps:spPr>
                          <a:xfrm>
                            <a:off x="0" y="0"/>
                            <a:ext cx="1728470" cy="1562735"/>
                          </a:xfrm>
                          <a:prstGeom prst="rect">
                            <a:avLst/>
                          </a:prstGeom>
                        </wps:spPr>
                        <wps:txbx>
                          <w:txbxContent>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38"/>
                                <w:rPr>
                                  <w:sz w:val="20"/>
                                </w:rPr>
                              </w:pPr>
                            </w:p>
                            <w:p>
                              <w:pPr>
                                <w:spacing w:before="1"/>
                                <w:ind w:left="848" w:right="0" w:firstLine="0"/>
                                <w:jc w:val="left"/>
                                <w:rPr>
                                  <w:sz w:val="20"/>
                                </w:rPr>
                              </w:pPr>
                              <w:r>
                                <w:rPr>
                                  <w:sz w:val="20"/>
                                </w:rPr>
                                <w:t>Page</w:t>
                              </w:r>
                              <w:r>
                                <w:rPr>
                                  <w:spacing w:val="10"/>
                                  <w:sz w:val="20"/>
                                </w:rPr>
                                <w:t> </w:t>
                              </w:r>
                              <w:r>
                                <w:rPr>
                                  <w:spacing w:val="-5"/>
                                  <w:sz w:val="20"/>
                                </w:rPr>
                                <w:t>23</w:t>
                              </w:r>
                            </w:p>
                          </w:txbxContent>
                        </wps:txbx>
                        <wps:bodyPr wrap="square" lIns="0" tIns="0" rIns="0" bIns="0" rtlCol="0">
                          <a:noAutofit/>
                        </wps:bodyPr>
                      </wps:wsp>
                    </wpg:wgp>
                  </a:graphicData>
                </a:graphic>
              </wp:anchor>
            </w:drawing>
          </mc:Choice>
          <mc:Fallback>
            <w:pict>
              <v:group style="position:absolute;margin-left:418.320007pt;margin-top:-111.112pt;width:136.1pt;height:123.05pt;mso-position-horizontal-relative:page;mso-position-vertical-relative:paragraph;z-index:-26201088" id="docshapegroup77" coordorigin="8366,-2222" coordsize="2722,2461">
                <v:shape style="position:absolute;left:8366;top:-2223;width:2722;height:2175" type="#_x0000_t75" id="docshape78" alt="No alternative text description for this image" stroked="false">
                  <v:imagedata r:id="rId42" o:title=""/>
                </v:shape>
                <v:shape style="position:absolute;left:8829;top:-108;width:1536;height:346" type="#_x0000_t75" id="docshape79" stroked="false">
                  <v:imagedata r:id="rId23" o:title=""/>
                </v:shape>
                <v:shape style="position:absolute;left:8366;top:-2223;width:2722;height:2461" type="#_x0000_t202" id="docshape80" filled="false" stroked="false">
                  <v:textbox inset="0,0,0,0">
                    <w:txbxContent>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38"/>
                          <w:rPr>
                            <w:sz w:val="20"/>
                          </w:rPr>
                        </w:pPr>
                      </w:p>
                      <w:p>
                        <w:pPr>
                          <w:spacing w:before="1"/>
                          <w:ind w:left="848" w:right="0" w:firstLine="0"/>
                          <w:jc w:val="left"/>
                          <w:rPr>
                            <w:sz w:val="20"/>
                          </w:rPr>
                        </w:pPr>
                        <w:r>
                          <w:rPr>
                            <w:sz w:val="20"/>
                          </w:rPr>
                          <w:t>Page</w:t>
                        </w:r>
                        <w:r>
                          <w:rPr>
                            <w:spacing w:val="10"/>
                            <w:sz w:val="20"/>
                          </w:rPr>
                          <w:t> </w:t>
                        </w:r>
                        <w:r>
                          <w:rPr>
                            <w:spacing w:val="-5"/>
                            <w:sz w:val="20"/>
                          </w:rPr>
                          <w:t>23</w:t>
                        </w:r>
                      </w:p>
                    </w:txbxContent>
                  </v:textbox>
                  <w10:wrap type="none"/>
                </v:shape>
                <w10:wrap type="none"/>
              </v:group>
            </w:pict>
          </mc:Fallback>
        </mc:AlternateContent>
      </w:r>
      <w:r>
        <w:rPr>
          <w:color w:val="767676"/>
          <w:spacing w:val="-10"/>
        </w:rPr>
        <w:t>3</w:t>
      </w:r>
    </w:p>
    <w:p>
      <w:pPr>
        <w:pStyle w:val="BodyText"/>
        <w:spacing w:after="0"/>
        <w:jc w:val="right"/>
        <w:sectPr>
          <w:type w:val="continuous"/>
          <w:pgSz w:w="19200" w:h="10800" w:orient="landscape"/>
          <w:pgMar w:header="0" w:footer="0" w:top="760" w:bottom="280" w:left="0" w:right="0"/>
        </w:sectPr>
      </w:pPr>
    </w:p>
    <w:p>
      <w:pPr>
        <w:spacing w:before="60"/>
        <w:ind w:left="519" w:right="0" w:firstLine="0"/>
        <w:jc w:val="left"/>
        <w:rPr>
          <w:b/>
          <w:sz w:val="56"/>
        </w:rPr>
      </w:pPr>
      <w:r>
        <w:rPr>
          <w:b/>
          <w:sz w:val="56"/>
        </w:rPr>
        <mc:AlternateContent>
          <mc:Choice Requires="wps">
            <w:drawing>
              <wp:anchor distT="0" distB="0" distL="0" distR="0" allowOverlap="1" layoutInCell="1" locked="0" behindDoc="0" simplePos="0" relativeHeight="15764992">
                <wp:simplePos x="0" y="0"/>
                <wp:positionH relativeFrom="page">
                  <wp:posOffset>4571</wp:posOffset>
                </wp:positionH>
                <wp:positionV relativeFrom="paragraph">
                  <wp:posOffset>527420</wp:posOffset>
                </wp:positionV>
                <wp:extent cx="12184380" cy="36830"/>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12184380" cy="36830"/>
                        </a:xfrm>
                        <a:custGeom>
                          <a:avLst/>
                          <a:gdLst/>
                          <a:ahLst/>
                          <a:cxnLst/>
                          <a:rect l="l" t="t" r="r" b="b"/>
                          <a:pathLst>
                            <a:path w="12184380" h="36830">
                              <a:moveTo>
                                <a:pt x="12184380" y="0"/>
                              </a:moveTo>
                              <a:lnTo>
                                <a:pt x="0" y="0"/>
                              </a:lnTo>
                              <a:lnTo>
                                <a:pt x="0" y="36586"/>
                              </a:lnTo>
                              <a:lnTo>
                                <a:pt x="12184380" y="36586"/>
                              </a:lnTo>
                              <a:lnTo>
                                <a:pt x="12184380" y="0"/>
                              </a:lnTo>
                              <a:close/>
                            </a:path>
                          </a:pathLst>
                        </a:custGeom>
                        <a:solidFill>
                          <a:srgbClr val="B3995D"/>
                        </a:solidFill>
                      </wps:spPr>
                      <wps:bodyPr wrap="square" lIns="0" tIns="0" rIns="0" bIns="0" rtlCol="0">
                        <a:prstTxWarp prst="textNoShape">
                          <a:avLst/>
                        </a:prstTxWarp>
                        <a:noAutofit/>
                      </wps:bodyPr>
                    </wps:wsp>
                  </a:graphicData>
                </a:graphic>
              </wp:anchor>
            </w:drawing>
          </mc:Choice>
          <mc:Fallback>
            <w:pict>
              <v:rect style="position:absolute;margin-left:.35999pt;margin-top:41.529202pt;width:959.40002pt;height:2.88080pt;mso-position-horizontal-relative:page;mso-position-vertical-relative:paragraph;z-index:15764992" id="docshape83" filled="true" fillcolor="#b3995d" stroked="false">
                <v:fill type="solid"/>
                <w10:wrap type="none"/>
              </v:rect>
            </w:pict>
          </mc:Fallback>
        </mc:AlternateContent>
      </w:r>
      <w:r>
        <w:rPr>
          <w:b/>
          <w:color w:val="1F355E"/>
          <w:sz w:val="56"/>
        </w:rPr>
        <w:t>Procurement</w:t>
      </w:r>
      <w:r>
        <w:rPr>
          <w:b/>
          <w:color w:val="1F355E"/>
          <w:spacing w:val="-6"/>
          <w:sz w:val="56"/>
        </w:rPr>
        <w:t> </w:t>
      </w:r>
      <w:r>
        <w:rPr>
          <w:b/>
          <w:color w:val="1F355E"/>
          <w:sz w:val="56"/>
        </w:rPr>
        <w:t>Value</w:t>
      </w:r>
      <w:r>
        <w:rPr>
          <w:b/>
          <w:color w:val="1F355E"/>
          <w:spacing w:val="-17"/>
          <w:sz w:val="56"/>
        </w:rPr>
        <w:t> </w:t>
      </w:r>
      <w:r>
        <w:rPr>
          <w:b/>
          <w:color w:val="1F355E"/>
          <w:sz w:val="56"/>
        </w:rPr>
        <w:t>Timelines</w:t>
      </w:r>
      <w:r>
        <w:rPr>
          <w:b/>
          <w:color w:val="1F355E"/>
          <w:spacing w:val="-3"/>
          <w:sz w:val="56"/>
        </w:rPr>
        <w:t> </w:t>
      </w:r>
      <w:r>
        <w:rPr>
          <w:b/>
          <w:color w:val="1F355E"/>
          <w:sz w:val="56"/>
        </w:rPr>
        <w:t>&amp;</w:t>
      </w:r>
      <w:r>
        <w:rPr>
          <w:b/>
          <w:color w:val="1F355E"/>
          <w:spacing w:val="50"/>
          <w:w w:val="150"/>
          <w:sz w:val="56"/>
        </w:rPr>
        <w:t> </w:t>
      </w:r>
      <w:r>
        <w:rPr>
          <w:b/>
          <w:color w:val="1F355E"/>
          <w:spacing w:val="-2"/>
          <w:sz w:val="56"/>
        </w:rPr>
        <w:t>Actions</w:t>
      </w:r>
    </w:p>
    <w:p>
      <w:pPr>
        <w:pStyle w:val="BodyText"/>
        <w:spacing w:before="98"/>
        <w:rPr>
          <w:b/>
          <w:sz w:val="20"/>
        </w:rPr>
      </w:pPr>
    </w:p>
    <w:p>
      <w:pPr>
        <w:pStyle w:val="BodyText"/>
        <w:spacing w:after="0"/>
        <w:rPr>
          <w:b/>
          <w:sz w:val="20"/>
        </w:rPr>
        <w:sectPr>
          <w:footerReference w:type="default" r:id="rId43"/>
          <w:pgSz w:w="19200" w:h="10800" w:orient="landscape"/>
          <w:pgMar w:header="0" w:footer="372" w:top="300" w:bottom="560" w:left="0" w:right="0"/>
          <w:pgNumType w:start="24"/>
        </w:sectPr>
      </w:pPr>
    </w:p>
    <w:p>
      <w:pPr>
        <w:pStyle w:val="BodyText"/>
        <w:rPr>
          <w:b/>
        </w:rPr>
      </w:pPr>
    </w:p>
    <w:p>
      <w:pPr>
        <w:pStyle w:val="BodyText"/>
        <w:rPr>
          <w:b/>
        </w:rPr>
      </w:pPr>
    </w:p>
    <w:p>
      <w:pPr>
        <w:pStyle w:val="BodyText"/>
        <w:rPr>
          <w:b/>
        </w:rPr>
      </w:pPr>
    </w:p>
    <w:p>
      <w:pPr>
        <w:pStyle w:val="BodyText"/>
        <w:spacing w:before="120"/>
        <w:rPr>
          <w:b/>
        </w:rPr>
      </w:pPr>
    </w:p>
    <w:p>
      <w:pPr>
        <w:spacing w:line="252" w:lineRule="auto" w:before="0"/>
        <w:ind w:left="227" w:right="0" w:firstLine="0"/>
        <w:jc w:val="center"/>
        <w:rPr>
          <w:b/>
          <w:sz w:val="24"/>
        </w:rPr>
      </w:pPr>
      <w:r>
        <w:rPr>
          <w:b/>
          <w:color w:val="394871"/>
          <w:sz w:val="24"/>
        </w:rPr>
        <w:t>Establish</w:t>
      </w:r>
      <w:r>
        <w:rPr>
          <w:b/>
          <w:color w:val="394871"/>
          <w:spacing w:val="-17"/>
          <w:sz w:val="24"/>
        </w:rPr>
        <w:t> </w:t>
      </w:r>
      <w:r>
        <w:rPr>
          <w:b/>
          <w:color w:val="394871"/>
          <w:sz w:val="24"/>
        </w:rPr>
        <w:t>a</w:t>
      </w:r>
      <w:r>
        <w:rPr>
          <w:b/>
          <w:color w:val="394871"/>
          <w:spacing w:val="-17"/>
          <w:sz w:val="24"/>
        </w:rPr>
        <w:t> </w:t>
      </w:r>
      <w:r>
        <w:rPr>
          <w:b/>
          <w:color w:val="394871"/>
          <w:sz w:val="24"/>
        </w:rPr>
        <w:t>collective approach to </w:t>
      </w:r>
      <w:r>
        <w:rPr>
          <w:b/>
          <w:color w:val="394871"/>
          <w:spacing w:val="-2"/>
          <w:sz w:val="24"/>
        </w:rPr>
        <w:t>Procurement</w:t>
      </w:r>
    </w:p>
    <w:p>
      <w:pPr>
        <w:pStyle w:val="BodyText"/>
        <w:spacing w:before="9"/>
        <w:rPr>
          <w:b/>
        </w:rPr>
      </w:pPr>
    </w:p>
    <w:p>
      <w:pPr>
        <w:pStyle w:val="BodyText"/>
        <w:spacing w:line="252" w:lineRule="auto"/>
        <w:ind w:left="267" w:right="38" w:firstLine="5"/>
        <w:jc w:val="center"/>
      </w:pPr>
      <w:r>
        <w:rPr/>
        <mc:AlternateContent>
          <mc:Choice Requires="wps">
            <w:drawing>
              <wp:anchor distT="0" distB="0" distL="0" distR="0" allowOverlap="1" layoutInCell="1" locked="0" behindDoc="0" simplePos="0" relativeHeight="15765504">
                <wp:simplePos x="0" y="0"/>
                <wp:positionH relativeFrom="page">
                  <wp:posOffset>922032</wp:posOffset>
                </wp:positionH>
                <wp:positionV relativeFrom="paragraph">
                  <wp:posOffset>442890</wp:posOffset>
                </wp:positionV>
                <wp:extent cx="76200" cy="601345"/>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76200" cy="601345"/>
                        </a:xfrm>
                        <a:custGeom>
                          <a:avLst/>
                          <a:gdLst/>
                          <a:ahLst/>
                          <a:cxnLst/>
                          <a:rect l="l" t="t" r="r" b="b"/>
                          <a:pathLst>
                            <a:path w="76200" h="601345">
                              <a:moveTo>
                                <a:pt x="28562" y="524890"/>
                              </a:moveTo>
                              <a:lnTo>
                                <a:pt x="0" y="524890"/>
                              </a:lnTo>
                              <a:lnTo>
                                <a:pt x="38087" y="601090"/>
                              </a:lnTo>
                              <a:lnTo>
                                <a:pt x="69826" y="537590"/>
                              </a:lnTo>
                              <a:lnTo>
                                <a:pt x="28562" y="537590"/>
                              </a:lnTo>
                              <a:lnTo>
                                <a:pt x="28562" y="524890"/>
                              </a:lnTo>
                              <a:close/>
                            </a:path>
                            <a:path w="76200" h="601345">
                              <a:moveTo>
                                <a:pt x="47612" y="0"/>
                              </a:moveTo>
                              <a:lnTo>
                                <a:pt x="28562" y="0"/>
                              </a:lnTo>
                              <a:lnTo>
                                <a:pt x="28562" y="537590"/>
                              </a:lnTo>
                              <a:lnTo>
                                <a:pt x="47612" y="537590"/>
                              </a:lnTo>
                              <a:lnTo>
                                <a:pt x="47612" y="0"/>
                              </a:lnTo>
                              <a:close/>
                            </a:path>
                            <a:path w="76200" h="601345">
                              <a:moveTo>
                                <a:pt x="76174" y="524890"/>
                              </a:moveTo>
                              <a:lnTo>
                                <a:pt x="47612" y="524890"/>
                              </a:lnTo>
                              <a:lnTo>
                                <a:pt x="47612" y="537590"/>
                              </a:lnTo>
                              <a:lnTo>
                                <a:pt x="69826" y="537590"/>
                              </a:lnTo>
                              <a:lnTo>
                                <a:pt x="76174"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72.600998pt;margin-top:34.87326pt;width:6pt;height:47.35pt;mso-position-horizontal-relative:page;mso-position-vertical-relative:paragraph;z-index:15765504" id="docshape84" coordorigin="1452,697" coordsize="120,947" path="m1497,1524l1452,1524,1512,1644,1562,1544,1497,1544,1497,1524xm1527,697l1497,697,1497,1544,1527,1544,1527,697xm1572,1524l1527,1524,1527,1544,1562,1544,1572,1524xe" filled="true" fillcolor="#394871" stroked="false">
                <v:path arrowok="t"/>
                <v:fill type="solid"/>
                <w10:wrap type="none"/>
              </v:shape>
            </w:pict>
          </mc:Fallback>
        </mc:AlternateContent>
      </w:r>
      <w:r>
        <w:rPr/>
        <mc:AlternateContent>
          <mc:Choice Requires="wps">
            <w:drawing>
              <wp:anchor distT="0" distB="0" distL="0" distR="0" allowOverlap="1" layoutInCell="1" locked="0" behindDoc="0" simplePos="0" relativeHeight="15766528">
                <wp:simplePos x="0" y="0"/>
                <wp:positionH relativeFrom="page">
                  <wp:posOffset>9846564</wp:posOffset>
                </wp:positionH>
                <wp:positionV relativeFrom="paragraph">
                  <wp:posOffset>442890</wp:posOffset>
                </wp:positionV>
                <wp:extent cx="76200" cy="601345"/>
                <wp:effectExtent l="0" t="0" r="0" b="0"/>
                <wp:wrapNone/>
                <wp:docPr id="134" name="Graphic 134"/>
                <wp:cNvGraphicFramePr>
                  <a:graphicFrameLocks/>
                </wp:cNvGraphicFramePr>
                <a:graphic>
                  <a:graphicData uri="http://schemas.microsoft.com/office/word/2010/wordprocessingShape">
                    <wps:wsp>
                      <wps:cNvPr id="134" name="Graphic 134"/>
                      <wps:cNvSpPr/>
                      <wps:spPr>
                        <a:xfrm>
                          <a:off x="0" y="0"/>
                          <a:ext cx="76200" cy="601345"/>
                        </a:xfrm>
                        <a:custGeom>
                          <a:avLst/>
                          <a:gdLst/>
                          <a:ahLst/>
                          <a:cxnLst/>
                          <a:rect l="l" t="t" r="r" b="b"/>
                          <a:pathLst>
                            <a:path w="76200" h="601345">
                              <a:moveTo>
                                <a:pt x="28575" y="524890"/>
                              </a:moveTo>
                              <a:lnTo>
                                <a:pt x="0" y="524890"/>
                              </a:lnTo>
                              <a:lnTo>
                                <a:pt x="38100" y="601090"/>
                              </a:lnTo>
                              <a:lnTo>
                                <a:pt x="69850" y="537590"/>
                              </a:lnTo>
                              <a:lnTo>
                                <a:pt x="28575" y="537590"/>
                              </a:lnTo>
                              <a:lnTo>
                                <a:pt x="28575" y="524890"/>
                              </a:lnTo>
                              <a:close/>
                            </a:path>
                            <a:path w="76200" h="601345">
                              <a:moveTo>
                                <a:pt x="47625" y="0"/>
                              </a:moveTo>
                              <a:lnTo>
                                <a:pt x="28575" y="0"/>
                              </a:lnTo>
                              <a:lnTo>
                                <a:pt x="28575" y="537590"/>
                              </a:lnTo>
                              <a:lnTo>
                                <a:pt x="47625" y="537590"/>
                              </a:lnTo>
                              <a:lnTo>
                                <a:pt x="47625" y="0"/>
                              </a:lnTo>
                              <a:close/>
                            </a:path>
                            <a:path w="76200" h="601345">
                              <a:moveTo>
                                <a:pt x="76200" y="524890"/>
                              </a:moveTo>
                              <a:lnTo>
                                <a:pt x="47625" y="524890"/>
                              </a:lnTo>
                              <a:lnTo>
                                <a:pt x="47625" y="537590"/>
                              </a:lnTo>
                              <a:lnTo>
                                <a:pt x="69850" y="537590"/>
                              </a:lnTo>
                              <a:lnTo>
                                <a:pt x="76200"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775.320007pt;margin-top:34.87326pt;width:6pt;height:47.35pt;mso-position-horizontal-relative:page;mso-position-vertical-relative:paragraph;z-index:15766528" id="docshape85" coordorigin="15506,697" coordsize="120,947" path="m15551,1524l15506,1524,15566,1644,15616,1544,15551,1544,15551,1524xm15581,697l15551,697,15551,1544,15581,1544,15581,697xm15626,1524l15581,1524,15581,1544,15616,1544,15626,1524xe" filled="true" fillcolor="#394871" stroked="false">
                <v:path arrowok="t"/>
                <v:fill type="solid"/>
                <w10:wrap type="none"/>
              </v:shape>
            </w:pict>
          </mc:Fallback>
        </mc:AlternateContent>
      </w:r>
      <w:r>
        <w:rPr/>
        <w:t>To progress a regional approach</w:t>
      </w:r>
      <w:r>
        <w:rPr>
          <w:spacing w:val="-17"/>
        </w:rPr>
        <w:t> </w:t>
      </w:r>
      <w:r>
        <w:rPr/>
        <w:t>and</w:t>
      </w:r>
      <w:r>
        <w:rPr>
          <w:spacing w:val="-17"/>
        </w:rPr>
        <w:t> </w:t>
      </w:r>
      <w:r>
        <w:rPr/>
        <w:t>workplan</w:t>
      </w:r>
    </w:p>
    <w:p>
      <w:pPr>
        <w:pStyle w:val="BodyText"/>
        <w:spacing w:before="152"/>
        <w:rPr>
          <w:sz w:val="27"/>
        </w:rPr>
      </w:pPr>
      <w:r>
        <w:rPr/>
        <w:br w:type="column"/>
      </w:r>
      <w:r>
        <w:rPr>
          <w:sz w:val="27"/>
        </w:rPr>
      </w:r>
    </w:p>
    <w:p>
      <w:pPr>
        <w:pStyle w:val="Heading6"/>
        <w:spacing w:line="261" w:lineRule="auto"/>
        <w:ind w:left="605" w:right="369" w:firstLine="1"/>
      </w:pPr>
      <w:r>
        <w:rPr>
          <w:color w:val="394871"/>
        </w:rPr>
        <w:t>Value based </w:t>
      </w:r>
      <w:r>
        <w:rPr>
          <w:color w:val="394871"/>
          <w:spacing w:val="-2"/>
        </w:rPr>
        <w:t>Procurement Workshop</w:t>
      </w:r>
    </w:p>
    <w:p>
      <w:pPr>
        <w:pStyle w:val="BodyText"/>
        <w:spacing w:before="16"/>
        <w:rPr>
          <w:b/>
          <w:sz w:val="27"/>
        </w:rPr>
      </w:pPr>
    </w:p>
    <w:p>
      <w:pPr>
        <w:pStyle w:val="Heading7"/>
        <w:spacing w:line="261" w:lineRule="auto"/>
        <w:ind w:right="38" w:firstLine="6"/>
      </w:pPr>
      <w:r>
        <w:rPr/>
        <mc:AlternateContent>
          <mc:Choice Requires="wps">
            <w:drawing>
              <wp:anchor distT="0" distB="0" distL="0" distR="0" allowOverlap="1" layoutInCell="1" locked="0" behindDoc="0" simplePos="0" relativeHeight="15766016">
                <wp:simplePos x="0" y="0"/>
                <wp:positionH relativeFrom="page">
                  <wp:posOffset>5521452</wp:posOffset>
                </wp:positionH>
                <wp:positionV relativeFrom="paragraph">
                  <wp:posOffset>697533</wp:posOffset>
                </wp:positionV>
                <wp:extent cx="76200" cy="601345"/>
                <wp:effectExtent l="0" t="0" r="0" b="0"/>
                <wp:wrapNone/>
                <wp:docPr id="135" name="Graphic 135"/>
                <wp:cNvGraphicFramePr>
                  <a:graphicFrameLocks/>
                </wp:cNvGraphicFramePr>
                <a:graphic>
                  <a:graphicData uri="http://schemas.microsoft.com/office/word/2010/wordprocessingShape">
                    <wps:wsp>
                      <wps:cNvPr id="135" name="Graphic 135"/>
                      <wps:cNvSpPr/>
                      <wps:spPr>
                        <a:xfrm>
                          <a:off x="0" y="0"/>
                          <a:ext cx="76200" cy="601345"/>
                        </a:xfrm>
                        <a:custGeom>
                          <a:avLst/>
                          <a:gdLst/>
                          <a:ahLst/>
                          <a:cxnLst/>
                          <a:rect l="l" t="t" r="r" b="b"/>
                          <a:pathLst>
                            <a:path w="76200" h="601345">
                              <a:moveTo>
                                <a:pt x="28575" y="525017"/>
                              </a:moveTo>
                              <a:lnTo>
                                <a:pt x="0" y="525017"/>
                              </a:lnTo>
                              <a:lnTo>
                                <a:pt x="38100" y="601217"/>
                              </a:lnTo>
                              <a:lnTo>
                                <a:pt x="69850" y="537717"/>
                              </a:lnTo>
                              <a:lnTo>
                                <a:pt x="28575" y="537717"/>
                              </a:lnTo>
                              <a:lnTo>
                                <a:pt x="28575" y="525017"/>
                              </a:lnTo>
                              <a:close/>
                            </a:path>
                            <a:path w="76200" h="601345">
                              <a:moveTo>
                                <a:pt x="47625" y="0"/>
                              </a:moveTo>
                              <a:lnTo>
                                <a:pt x="28575" y="0"/>
                              </a:lnTo>
                              <a:lnTo>
                                <a:pt x="28575" y="537717"/>
                              </a:lnTo>
                              <a:lnTo>
                                <a:pt x="47625" y="537717"/>
                              </a:lnTo>
                              <a:lnTo>
                                <a:pt x="47625" y="0"/>
                              </a:lnTo>
                              <a:close/>
                            </a:path>
                            <a:path w="76200" h="601345">
                              <a:moveTo>
                                <a:pt x="76200" y="525017"/>
                              </a:moveTo>
                              <a:lnTo>
                                <a:pt x="47625" y="525017"/>
                              </a:lnTo>
                              <a:lnTo>
                                <a:pt x="47625" y="537717"/>
                              </a:lnTo>
                              <a:lnTo>
                                <a:pt x="69850" y="537717"/>
                              </a:lnTo>
                              <a:lnTo>
                                <a:pt x="76200" y="525017"/>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434.76001pt;margin-top:54.923908pt;width:6pt;height:47.35pt;mso-position-horizontal-relative:page;mso-position-vertical-relative:paragraph;z-index:15766016" id="docshape86" coordorigin="8695,1098" coordsize="120,947" path="m8740,1925l8695,1925,8755,2045,8805,1945,8740,1945,8740,1925xm8770,1098l8740,1098,8740,1945,8770,1945,8770,1098xm8815,1925l8770,1925,8770,1945,8805,1945,8815,1925xe" filled="true" fillcolor="#394871" stroked="false">
                <v:path arrowok="t"/>
                <v:fill type="solid"/>
                <w10:wrap type="none"/>
              </v:shape>
            </w:pict>
          </mc:Fallback>
        </mc:AlternateContent>
      </w:r>
      <w:r>
        <w:rPr/>
        <w:t>Case study and approach to Value based procurement</w:t>
      </w:r>
    </w:p>
    <w:p>
      <w:pPr>
        <w:pStyle w:val="BodyText"/>
        <w:rPr>
          <w:sz w:val="27"/>
        </w:rPr>
      </w:pPr>
      <w:r>
        <w:rPr/>
        <w:br w:type="column"/>
      </w:r>
      <w:r>
        <w:rPr>
          <w:sz w:val="27"/>
        </w:rPr>
      </w:r>
    </w:p>
    <w:p>
      <w:pPr>
        <w:pStyle w:val="BodyText"/>
        <w:rPr>
          <w:sz w:val="27"/>
        </w:rPr>
      </w:pPr>
    </w:p>
    <w:p>
      <w:pPr>
        <w:pStyle w:val="BodyText"/>
        <w:rPr>
          <w:sz w:val="27"/>
        </w:rPr>
      </w:pPr>
    </w:p>
    <w:p>
      <w:pPr>
        <w:pStyle w:val="BodyText"/>
        <w:rPr>
          <w:sz w:val="27"/>
        </w:rPr>
      </w:pPr>
    </w:p>
    <w:p>
      <w:pPr>
        <w:pStyle w:val="BodyText"/>
        <w:rPr>
          <w:sz w:val="27"/>
        </w:rPr>
      </w:pPr>
    </w:p>
    <w:p>
      <w:pPr>
        <w:pStyle w:val="BodyText"/>
        <w:rPr>
          <w:sz w:val="27"/>
        </w:rPr>
      </w:pPr>
    </w:p>
    <w:p>
      <w:pPr>
        <w:pStyle w:val="BodyText"/>
        <w:rPr>
          <w:sz w:val="27"/>
        </w:rPr>
      </w:pPr>
    </w:p>
    <w:p>
      <w:pPr>
        <w:pStyle w:val="BodyText"/>
        <w:spacing w:before="249"/>
        <w:rPr>
          <w:sz w:val="27"/>
        </w:rPr>
      </w:pPr>
    </w:p>
    <w:p>
      <w:pPr>
        <w:pStyle w:val="Heading6"/>
        <w:spacing w:line="261" w:lineRule="auto"/>
        <w:ind w:left="229"/>
      </w:pPr>
      <w:r>
        <w:rPr>
          <w:color w:val="394871"/>
        </w:rPr>
        <w:t>October </w:t>
      </w:r>
      <w:r>
        <w:rPr>
          <w:color w:val="394871"/>
        </w:rPr>
        <w:t>to </w:t>
      </w:r>
      <w:r>
        <w:rPr>
          <w:color w:val="394871"/>
          <w:spacing w:val="-2"/>
        </w:rPr>
        <w:t>December </w:t>
      </w:r>
      <w:r>
        <w:rPr>
          <w:color w:val="394871"/>
          <w:spacing w:val="-4"/>
        </w:rPr>
        <w:t>2026</w:t>
      </w:r>
    </w:p>
    <w:p>
      <w:pPr>
        <w:pStyle w:val="Heading6"/>
        <w:spacing w:before="95"/>
        <w:ind w:left="270"/>
      </w:pPr>
      <w:r>
        <w:rPr>
          <w:b w:val="0"/>
        </w:rPr>
        <w:br w:type="column"/>
      </w:r>
      <w:r>
        <w:rPr>
          <w:color w:val="394871"/>
        </w:rPr>
        <w:t>Senior</w:t>
      </w:r>
      <w:r>
        <w:rPr>
          <w:color w:val="394871"/>
          <w:spacing w:val="25"/>
        </w:rPr>
        <w:t> </w:t>
      </w:r>
      <w:r>
        <w:rPr>
          <w:color w:val="394871"/>
          <w:spacing w:val="-2"/>
        </w:rPr>
        <w:t>Review</w:t>
      </w:r>
    </w:p>
    <w:p>
      <w:pPr>
        <w:pStyle w:val="BodyText"/>
        <w:spacing w:before="57"/>
        <w:rPr>
          <w:b/>
          <w:sz w:val="27"/>
        </w:rPr>
      </w:pPr>
    </w:p>
    <w:p>
      <w:pPr>
        <w:pStyle w:val="Heading7"/>
        <w:spacing w:line="256" w:lineRule="auto"/>
        <w:ind w:left="270" w:right="3"/>
      </w:pPr>
      <w:r>
        <w:rPr/>
        <w:t>Insight shared with senior teams and feedback sought</w:t>
      </w:r>
    </w:p>
    <w:p>
      <w:pPr>
        <w:pStyle w:val="BodyText"/>
        <w:rPr>
          <w:sz w:val="27"/>
        </w:rPr>
      </w:pPr>
      <w:r>
        <w:rPr/>
        <w:br w:type="column"/>
      </w:r>
      <w:r>
        <w:rPr>
          <w:sz w:val="27"/>
        </w:rPr>
      </w:r>
    </w:p>
    <w:p>
      <w:pPr>
        <w:pStyle w:val="BodyText"/>
        <w:rPr>
          <w:sz w:val="27"/>
        </w:rPr>
      </w:pPr>
    </w:p>
    <w:p>
      <w:pPr>
        <w:pStyle w:val="BodyText"/>
        <w:rPr>
          <w:sz w:val="27"/>
        </w:rPr>
      </w:pPr>
    </w:p>
    <w:p>
      <w:pPr>
        <w:pStyle w:val="BodyText"/>
        <w:rPr>
          <w:sz w:val="27"/>
        </w:rPr>
      </w:pPr>
    </w:p>
    <w:p>
      <w:pPr>
        <w:pStyle w:val="BodyText"/>
        <w:rPr>
          <w:sz w:val="27"/>
        </w:rPr>
      </w:pPr>
    </w:p>
    <w:p>
      <w:pPr>
        <w:pStyle w:val="BodyText"/>
        <w:rPr>
          <w:sz w:val="27"/>
        </w:rPr>
      </w:pPr>
    </w:p>
    <w:p>
      <w:pPr>
        <w:pStyle w:val="BodyText"/>
        <w:rPr>
          <w:sz w:val="27"/>
        </w:rPr>
      </w:pPr>
    </w:p>
    <w:p>
      <w:pPr>
        <w:pStyle w:val="BodyText"/>
        <w:rPr>
          <w:sz w:val="27"/>
        </w:rPr>
      </w:pPr>
    </w:p>
    <w:p>
      <w:pPr>
        <w:pStyle w:val="BodyText"/>
        <w:rPr>
          <w:sz w:val="27"/>
        </w:rPr>
      </w:pPr>
    </w:p>
    <w:p>
      <w:pPr>
        <w:pStyle w:val="BodyText"/>
        <w:spacing w:before="66"/>
        <w:rPr>
          <w:sz w:val="27"/>
        </w:rPr>
      </w:pPr>
    </w:p>
    <w:p>
      <w:pPr>
        <w:pStyle w:val="Heading6"/>
        <w:ind w:left="254"/>
        <w:jc w:val="left"/>
      </w:pPr>
      <w:r>
        <w:rPr>
          <w:color w:val="394871"/>
        </w:rPr>
        <w:t>January</w:t>
      </w:r>
      <w:r>
        <w:rPr>
          <w:color w:val="394871"/>
          <w:spacing w:val="35"/>
        </w:rPr>
        <w:t> </w:t>
      </w:r>
      <w:r>
        <w:rPr>
          <w:color w:val="394871"/>
          <w:spacing w:val="-4"/>
        </w:rPr>
        <w:t>2027</w:t>
      </w:r>
    </w:p>
    <w:p>
      <w:pPr>
        <w:pStyle w:val="Heading6"/>
        <w:spacing w:after="0"/>
        <w:jc w:val="left"/>
        <w:sectPr>
          <w:type w:val="continuous"/>
          <w:pgSz w:w="19200" w:h="10800" w:orient="landscape"/>
          <w:pgMar w:header="0" w:footer="372" w:top="760" w:bottom="280" w:left="0" w:right="0"/>
          <w:cols w:num="5" w:equalWidth="0">
            <w:col w:w="2788" w:space="4519"/>
            <w:col w:w="2699" w:space="2216"/>
            <w:col w:w="1712" w:space="192"/>
            <w:col w:w="2592" w:space="39"/>
            <w:col w:w="2443"/>
          </w:cols>
        </w:sectPr>
      </w:pPr>
    </w:p>
    <w:p>
      <w:pPr>
        <w:pStyle w:val="BodyText"/>
        <w:spacing w:before="146"/>
        <w:rPr>
          <w:b/>
          <w:sz w:val="20"/>
        </w:rPr>
      </w:pPr>
    </w:p>
    <w:p>
      <w:pPr>
        <w:spacing w:line="240" w:lineRule="auto"/>
        <w:ind w:left="272" w:right="0" w:firstLine="0"/>
        <w:rPr>
          <w:sz w:val="20"/>
        </w:rPr>
      </w:pPr>
      <w:r>
        <w:rPr>
          <w:sz w:val="20"/>
        </w:rPr>
        <mc:AlternateContent>
          <mc:Choice Requires="wps">
            <w:drawing>
              <wp:inline distT="0" distB="0" distL="0" distR="0">
                <wp:extent cx="11806555" cy="195580"/>
                <wp:effectExtent l="19050" t="0" r="13970" b="4444"/>
                <wp:docPr id="136" name="Group 136"/>
                <wp:cNvGraphicFramePr>
                  <a:graphicFrameLocks/>
                </wp:cNvGraphicFramePr>
                <a:graphic>
                  <a:graphicData uri="http://schemas.microsoft.com/office/word/2010/wordprocessingGroup">
                    <wpg:wgp>
                      <wpg:cNvPr id="136" name="Group 136"/>
                      <wpg:cNvGrpSpPr/>
                      <wpg:grpSpPr>
                        <a:xfrm>
                          <a:off x="0" y="0"/>
                          <a:ext cx="11806555" cy="195580"/>
                          <a:chExt cx="11806555" cy="195580"/>
                        </a:xfrm>
                      </wpg:grpSpPr>
                      <wps:wsp>
                        <wps:cNvPr id="137" name="Graphic 137"/>
                        <wps:cNvSpPr/>
                        <wps:spPr>
                          <a:xfrm>
                            <a:off x="0" y="93218"/>
                            <a:ext cx="11806555" cy="1270"/>
                          </a:xfrm>
                          <a:custGeom>
                            <a:avLst/>
                            <a:gdLst/>
                            <a:ahLst/>
                            <a:cxnLst/>
                            <a:rect l="l" t="t" r="r" b="b"/>
                            <a:pathLst>
                              <a:path w="11806555" h="0">
                                <a:moveTo>
                                  <a:pt x="0" y="0"/>
                                </a:moveTo>
                                <a:lnTo>
                                  <a:pt x="11806301" y="0"/>
                                </a:lnTo>
                              </a:path>
                            </a:pathLst>
                          </a:custGeom>
                          <a:ln w="38100">
                            <a:solidFill>
                              <a:srgbClr val="394871"/>
                            </a:solidFill>
                            <a:prstDash val="solid"/>
                          </a:ln>
                        </wps:spPr>
                        <wps:bodyPr wrap="square" lIns="0" tIns="0" rIns="0" bIns="0" rtlCol="0">
                          <a:prstTxWarp prst="textNoShape">
                            <a:avLst/>
                          </a:prstTxWarp>
                          <a:noAutofit/>
                        </wps:bodyPr>
                      </wps:wsp>
                      <pic:pic>
                        <pic:nvPicPr>
                          <pic:cNvPr id="138" name="Image 138"/>
                          <pic:cNvPicPr/>
                        </pic:nvPicPr>
                        <pic:blipFill>
                          <a:blip r:embed="rId30" cstate="print"/>
                          <a:stretch>
                            <a:fillRect/>
                          </a:stretch>
                        </pic:blipFill>
                        <pic:spPr>
                          <a:xfrm>
                            <a:off x="674877" y="9144"/>
                            <a:ext cx="195579" cy="186436"/>
                          </a:xfrm>
                          <a:prstGeom prst="rect">
                            <a:avLst/>
                          </a:prstGeom>
                        </pic:spPr>
                      </pic:pic>
                      <pic:pic>
                        <pic:nvPicPr>
                          <pic:cNvPr id="139" name="Image 139"/>
                          <pic:cNvPicPr/>
                        </pic:nvPicPr>
                        <pic:blipFill>
                          <a:blip r:embed="rId44" cstate="print"/>
                          <a:stretch>
                            <a:fillRect/>
                          </a:stretch>
                        </pic:blipFill>
                        <pic:spPr>
                          <a:xfrm>
                            <a:off x="2622550" y="9144"/>
                            <a:ext cx="186436" cy="186436"/>
                          </a:xfrm>
                          <a:prstGeom prst="rect">
                            <a:avLst/>
                          </a:prstGeom>
                        </pic:spPr>
                      </pic:pic>
                      <pic:pic>
                        <pic:nvPicPr>
                          <pic:cNvPr id="140" name="Image 140"/>
                          <pic:cNvPicPr/>
                        </pic:nvPicPr>
                        <pic:blipFill>
                          <a:blip r:embed="rId45" cstate="print"/>
                          <a:stretch>
                            <a:fillRect/>
                          </a:stretch>
                        </pic:blipFill>
                        <pic:spPr>
                          <a:xfrm>
                            <a:off x="5283453" y="9144"/>
                            <a:ext cx="195580" cy="186436"/>
                          </a:xfrm>
                          <a:prstGeom prst="rect">
                            <a:avLst/>
                          </a:prstGeom>
                        </pic:spPr>
                      </pic:pic>
                      <pic:pic>
                        <pic:nvPicPr>
                          <pic:cNvPr id="141" name="Image 141"/>
                          <pic:cNvPicPr/>
                        </pic:nvPicPr>
                        <pic:blipFill>
                          <a:blip r:embed="rId35" cstate="print"/>
                          <a:stretch>
                            <a:fillRect/>
                          </a:stretch>
                        </pic:blipFill>
                        <pic:spPr>
                          <a:xfrm>
                            <a:off x="8099806" y="0"/>
                            <a:ext cx="195579" cy="186436"/>
                          </a:xfrm>
                          <a:prstGeom prst="rect">
                            <a:avLst/>
                          </a:prstGeom>
                        </pic:spPr>
                      </pic:pic>
                      <pic:pic>
                        <pic:nvPicPr>
                          <pic:cNvPr id="142" name="Image 142"/>
                          <pic:cNvPicPr/>
                        </pic:nvPicPr>
                        <pic:blipFill>
                          <a:blip r:embed="rId36" cstate="print"/>
                          <a:stretch>
                            <a:fillRect/>
                          </a:stretch>
                        </pic:blipFill>
                        <pic:spPr>
                          <a:xfrm>
                            <a:off x="9581133" y="9144"/>
                            <a:ext cx="195580" cy="186436"/>
                          </a:xfrm>
                          <a:prstGeom prst="rect">
                            <a:avLst/>
                          </a:prstGeom>
                        </pic:spPr>
                      </pic:pic>
                      <pic:pic>
                        <pic:nvPicPr>
                          <pic:cNvPr id="143" name="Image 143"/>
                          <pic:cNvPicPr/>
                        </pic:nvPicPr>
                        <pic:blipFill>
                          <a:blip r:embed="rId38" cstate="print"/>
                          <a:stretch>
                            <a:fillRect/>
                          </a:stretch>
                        </pic:blipFill>
                        <pic:spPr>
                          <a:xfrm>
                            <a:off x="11071606" y="0"/>
                            <a:ext cx="186436" cy="186436"/>
                          </a:xfrm>
                          <a:prstGeom prst="rect">
                            <a:avLst/>
                          </a:prstGeom>
                        </pic:spPr>
                      </pic:pic>
                    </wpg:wgp>
                  </a:graphicData>
                </a:graphic>
              </wp:inline>
            </w:drawing>
          </mc:Choice>
          <mc:Fallback>
            <w:pict>
              <v:group style="width:929.65pt;height:15.4pt;mso-position-horizontal-relative:char;mso-position-vertical-relative:line" id="docshapegroup87" coordorigin="0,0" coordsize="18593,308">
                <v:line style="position:absolute" from="0,147" to="18593,147" stroked="true" strokeweight="3pt" strokecolor="#394871">
                  <v:stroke dashstyle="solid"/>
                </v:line>
                <v:shape style="position:absolute;left:1062;top:14;width:308;height:294" type="#_x0000_t75" id="docshape88" stroked="false">
                  <v:imagedata r:id="rId30" o:title=""/>
                </v:shape>
                <v:shape style="position:absolute;left:4130;top:14;width:294;height:294" type="#_x0000_t75" id="docshape89" stroked="false">
                  <v:imagedata r:id="rId44" o:title=""/>
                </v:shape>
                <v:shape style="position:absolute;left:8320;top:14;width:308;height:294" type="#_x0000_t75" id="docshape90" stroked="false">
                  <v:imagedata r:id="rId45" o:title=""/>
                </v:shape>
                <v:shape style="position:absolute;left:12755;top:0;width:308;height:294" type="#_x0000_t75" id="docshape91" stroked="false">
                  <v:imagedata r:id="rId35" o:title=""/>
                </v:shape>
                <v:shape style="position:absolute;left:15088;top:14;width:308;height:294" type="#_x0000_t75" id="docshape92" stroked="false">
                  <v:imagedata r:id="rId36" o:title=""/>
                </v:shape>
                <v:shape style="position:absolute;left:17435;top:0;width:294;height:294" type="#_x0000_t75" id="docshape93" stroked="false">
                  <v:imagedata r:id="rId38" o:title=""/>
                </v:shape>
              </v:group>
            </w:pict>
          </mc:Fallback>
        </mc:AlternateContent>
      </w:r>
      <w:r>
        <w:rPr>
          <w:sz w:val="20"/>
        </w:rPr>
      </w:r>
    </w:p>
    <w:p>
      <w:pPr>
        <w:pStyle w:val="BodyText"/>
        <w:spacing w:before="1"/>
        <w:rPr>
          <w:b/>
          <w:sz w:val="6"/>
        </w:rPr>
      </w:pPr>
    </w:p>
    <w:p>
      <w:pPr>
        <w:pStyle w:val="BodyText"/>
        <w:spacing w:after="0"/>
        <w:rPr>
          <w:b/>
          <w:sz w:val="6"/>
        </w:rPr>
        <w:sectPr>
          <w:type w:val="continuous"/>
          <w:pgSz w:w="19200" w:h="10800" w:orient="landscape"/>
          <w:pgMar w:header="0" w:footer="372" w:top="760" w:bottom="280" w:left="0" w:right="0"/>
        </w:sectPr>
      </w:pPr>
    </w:p>
    <w:p>
      <w:pPr>
        <w:spacing w:before="80"/>
        <w:ind w:left="977" w:right="0" w:firstLine="0"/>
        <w:jc w:val="left"/>
        <w:rPr>
          <w:b/>
          <w:sz w:val="24"/>
        </w:rPr>
      </w:pPr>
      <w:r>
        <w:rPr>
          <w:b/>
          <w:color w:val="394871"/>
          <w:sz w:val="24"/>
        </w:rPr>
        <w:t>May</w:t>
      </w:r>
      <w:r>
        <w:rPr>
          <w:b/>
          <w:color w:val="394871"/>
          <w:spacing w:val="-3"/>
          <w:sz w:val="24"/>
        </w:rPr>
        <w:t> </w:t>
      </w:r>
      <w:r>
        <w:rPr>
          <w:b/>
          <w:color w:val="394871"/>
          <w:spacing w:val="-4"/>
          <w:sz w:val="24"/>
        </w:rPr>
        <w:t>2026</w:t>
      </w:r>
    </w:p>
    <w:p>
      <w:pPr>
        <w:spacing w:line="240" w:lineRule="auto"/>
        <w:ind w:left="1829" w:right="0" w:firstLine="0"/>
        <w:rPr>
          <w:sz w:val="20"/>
        </w:rPr>
      </w:pPr>
      <w:r>
        <w:rPr/>
        <w:br w:type="column"/>
      </w:r>
      <w:r>
        <w:rPr>
          <w:sz w:val="20"/>
        </w:rPr>
        <w:drawing>
          <wp:inline distT="0" distB="0" distL="0" distR="0">
            <wp:extent cx="76655" cy="238029"/>
            <wp:effectExtent l="0" t="0" r="0" b="0"/>
            <wp:docPr id="144" name="Image 144"/>
            <wp:cNvGraphicFramePr>
              <a:graphicFrameLocks/>
            </wp:cNvGraphicFramePr>
            <a:graphic>
              <a:graphicData uri="http://schemas.openxmlformats.org/drawingml/2006/picture">
                <pic:pic>
                  <pic:nvPicPr>
                    <pic:cNvPr id="144" name="Image 144"/>
                    <pic:cNvPicPr/>
                  </pic:nvPicPr>
                  <pic:blipFill>
                    <a:blip r:embed="rId37" cstate="print"/>
                    <a:stretch>
                      <a:fillRect/>
                    </a:stretch>
                  </pic:blipFill>
                  <pic:spPr>
                    <a:xfrm>
                      <a:off x="0" y="0"/>
                      <a:ext cx="76655" cy="238029"/>
                    </a:xfrm>
                    <a:prstGeom prst="rect">
                      <a:avLst/>
                    </a:prstGeom>
                  </pic:spPr>
                </pic:pic>
              </a:graphicData>
            </a:graphic>
          </wp:inline>
        </w:drawing>
      </w:r>
      <w:r>
        <w:rPr>
          <w:sz w:val="20"/>
        </w:rPr>
      </w:r>
    </w:p>
    <w:p>
      <w:pPr>
        <w:pStyle w:val="Heading6"/>
        <w:spacing w:before="27"/>
        <w:ind w:left="939" w:right="65"/>
      </w:pPr>
      <w:r>
        <w:rPr>
          <w:color w:val="394871"/>
          <w:spacing w:val="-2"/>
        </w:rPr>
        <w:t>August</w:t>
      </w:r>
    </w:p>
    <w:p>
      <w:pPr>
        <w:pStyle w:val="Heading6"/>
        <w:spacing w:line="256" w:lineRule="auto" w:before="191"/>
        <w:ind w:left="1327" w:right="391" w:hanging="1"/>
      </w:pPr>
      <w:r>
        <w:rPr>
          <w:color w:val="394871"/>
          <w:spacing w:val="-2"/>
        </w:rPr>
        <w:t>Regional resource</w:t>
      </w:r>
    </w:p>
    <w:p>
      <w:pPr>
        <w:pStyle w:val="BodyText"/>
        <w:spacing w:before="34"/>
        <w:rPr>
          <w:b/>
          <w:sz w:val="27"/>
        </w:rPr>
      </w:pPr>
    </w:p>
    <w:p>
      <w:pPr>
        <w:pStyle w:val="Heading7"/>
        <w:spacing w:line="259" w:lineRule="auto"/>
        <w:ind w:left="939"/>
      </w:pPr>
      <w:r>
        <w:rPr/>
        <w:t>Evaluate</w:t>
      </w:r>
      <w:r>
        <w:rPr>
          <w:spacing w:val="40"/>
        </w:rPr>
        <w:t> </w:t>
      </w:r>
      <w:r>
        <w:rPr/>
        <w:t>ways of working and </w:t>
      </w:r>
      <w:r>
        <w:rPr>
          <w:spacing w:val="-2"/>
        </w:rPr>
        <w:t>resources regionally</w:t>
      </w:r>
    </w:p>
    <w:p>
      <w:pPr>
        <w:pStyle w:val="BodyText"/>
        <w:spacing w:before="91"/>
        <w:rPr>
          <w:sz w:val="27"/>
        </w:rPr>
      </w:pPr>
      <w:r>
        <w:rPr/>
        <w:br w:type="column"/>
      </w:r>
      <w:r>
        <w:rPr>
          <w:sz w:val="27"/>
        </w:rPr>
      </w:r>
    </w:p>
    <w:p>
      <w:pPr>
        <w:pStyle w:val="Heading6"/>
        <w:spacing w:line="256" w:lineRule="auto" w:before="1"/>
        <w:ind w:left="2677" w:right="1309" w:hanging="413"/>
        <w:jc w:val="left"/>
      </w:pPr>
      <w:r>
        <w:rPr>
          <w:color w:val="394871"/>
          <w:spacing w:val="-2"/>
        </w:rPr>
        <w:t>September </w:t>
      </w:r>
      <w:r>
        <w:rPr>
          <w:color w:val="394871"/>
          <w:spacing w:val="-4"/>
        </w:rPr>
        <w:t>2026</w:t>
      </w:r>
    </w:p>
    <w:p>
      <w:pPr>
        <w:pStyle w:val="BodyText"/>
        <w:spacing w:before="7"/>
        <w:rPr>
          <w:b/>
          <w:sz w:val="14"/>
        </w:rPr>
      </w:pPr>
      <w:r>
        <w:rPr>
          <w:b/>
          <w:sz w:val="14"/>
        </w:rPr>
        <w:drawing>
          <wp:anchor distT="0" distB="0" distL="0" distR="0" allowOverlap="1" layoutInCell="1" locked="0" behindDoc="1" simplePos="0" relativeHeight="487622656">
            <wp:simplePos x="0" y="0"/>
            <wp:positionH relativeFrom="page">
              <wp:posOffset>4206240</wp:posOffset>
            </wp:positionH>
            <wp:positionV relativeFrom="paragraph">
              <wp:posOffset>122071</wp:posOffset>
            </wp:positionV>
            <wp:extent cx="2541353" cy="1901952"/>
            <wp:effectExtent l="0" t="0" r="0" b="0"/>
            <wp:wrapTopAndBottom/>
            <wp:docPr id="145" name="Image 145"/>
            <wp:cNvGraphicFramePr>
              <a:graphicFrameLocks/>
            </wp:cNvGraphicFramePr>
            <a:graphic>
              <a:graphicData uri="http://schemas.openxmlformats.org/drawingml/2006/picture">
                <pic:pic>
                  <pic:nvPicPr>
                    <pic:cNvPr id="145" name="Image 145"/>
                    <pic:cNvPicPr/>
                  </pic:nvPicPr>
                  <pic:blipFill>
                    <a:blip r:embed="rId29" cstate="print"/>
                    <a:stretch>
                      <a:fillRect/>
                    </a:stretch>
                  </pic:blipFill>
                  <pic:spPr>
                    <a:xfrm>
                      <a:off x="0" y="0"/>
                      <a:ext cx="2541353" cy="1901952"/>
                    </a:xfrm>
                    <a:prstGeom prst="rect">
                      <a:avLst/>
                    </a:prstGeom>
                  </pic:spPr>
                </pic:pic>
              </a:graphicData>
            </a:graphic>
          </wp:anchor>
        </w:drawing>
      </w:r>
    </w:p>
    <w:p>
      <w:pPr>
        <w:spacing w:line="240" w:lineRule="auto"/>
        <w:ind w:left="2278" w:right="0" w:firstLine="0"/>
        <w:rPr>
          <w:sz w:val="20"/>
        </w:rPr>
      </w:pPr>
      <w:r>
        <w:rPr/>
        <w:br w:type="column"/>
      </w:r>
      <w:r>
        <w:rPr>
          <w:sz w:val="20"/>
        </w:rPr>
        <mc:AlternateContent>
          <mc:Choice Requires="wps">
            <w:drawing>
              <wp:inline distT="0" distB="0" distL="0" distR="0">
                <wp:extent cx="76200" cy="599440"/>
                <wp:effectExtent l="0" t="0" r="0" b="0"/>
                <wp:docPr id="146" name="Group 146"/>
                <wp:cNvGraphicFramePr>
                  <a:graphicFrameLocks/>
                </wp:cNvGraphicFramePr>
                <a:graphic>
                  <a:graphicData uri="http://schemas.microsoft.com/office/word/2010/wordprocessingGroup">
                    <wpg:wgp>
                      <wpg:cNvPr id="146" name="Group 146"/>
                      <wpg:cNvGrpSpPr/>
                      <wpg:grpSpPr>
                        <a:xfrm>
                          <a:off x="0" y="0"/>
                          <a:ext cx="76200" cy="599440"/>
                          <a:chExt cx="76200" cy="599440"/>
                        </a:xfrm>
                      </wpg:grpSpPr>
                      <wps:wsp>
                        <wps:cNvPr id="147" name="Graphic 147"/>
                        <wps:cNvSpPr/>
                        <wps:spPr>
                          <a:xfrm>
                            <a:off x="0" y="0"/>
                            <a:ext cx="76200" cy="599440"/>
                          </a:xfrm>
                          <a:custGeom>
                            <a:avLst/>
                            <a:gdLst/>
                            <a:ahLst/>
                            <a:cxnLst/>
                            <a:rect l="l" t="t" r="r" b="b"/>
                            <a:pathLst>
                              <a:path w="76200" h="599440">
                                <a:moveTo>
                                  <a:pt x="47625" y="63499"/>
                                </a:moveTo>
                                <a:lnTo>
                                  <a:pt x="28575" y="63499"/>
                                </a:lnTo>
                                <a:lnTo>
                                  <a:pt x="28575" y="599312"/>
                                </a:lnTo>
                                <a:lnTo>
                                  <a:pt x="47625" y="599312"/>
                                </a:lnTo>
                                <a:lnTo>
                                  <a:pt x="47625" y="63499"/>
                                </a:lnTo>
                                <a:close/>
                              </a:path>
                              <a:path w="76200" h="599440">
                                <a:moveTo>
                                  <a:pt x="38100" y="0"/>
                                </a:moveTo>
                                <a:lnTo>
                                  <a:pt x="0" y="76199"/>
                                </a:lnTo>
                                <a:lnTo>
                                  <a:pt x="28575" y="76199"/>
                                </a:lnTo>
                                <a:lnTo>
                                  <a:pt x="28575" y="63499"/>
                                </a:lnTo>
                                <a:lnTo>
                                  <a:pt x="69850" y="63499"/>
                                </a:lnTo>
                                <a:lnTo>
                                  <a:pt x="38100" y="0"/>
                                </a:lnTo>
                                <a:close/>
                              </a:path>
                              <a:path w="76200" h="599440">
                                <a:moveTo>
                                  <a:pt x="69850" y="63499"/>
                                </a:moveTo>
                                <a:lnTo>
                                  <a:pt x="47625" y="63499"/>
                                </a:lnTo>
                                <a:lnTo>
                                  <a:pt x="47625" y="76199"/>
                                </a:lnTo>
                                <a:lnTo>
                                  <a:pt x="76200" y="76199"/>
                                </a:lnTo>
                                <a:lnTo>
                                  <a:pt x="69850" y="63499"/>
                                </a:lnTo>
                                <a:close/>
                              </a:path>
                            </a:pathLst>
                          </a:custGeom>
                          <a:solidFill>
                            <a:srgbClr val="394871"/>
                          </a:solidFill>
                        </wps:spPr>
                        <wps:bodyPr wrap="square" lIns="0" tIns="0" rIns="0" bIns="0" rtlCol="0">
                          <a:prstTxWarp prst="textNoShape">
                            <a:avLst/>
                          </a:prstTxWarp>
                          <a:noAutofit/>
                        </wps:bodyPr>
                      </wps:wsp>
                    </wpg:wgp>
                  </a:graphicData>
                </a:graphic>
              </wp:inline>
            </w:drawing>
          </mc:Choice>
          <mc:Fallback>
            <w:pict>
              <v:group style="width:6pt;height:47.2pt;mso-position-horizontal-relative:char;mso-position-vertical-relative:line" id="docshapegroup94" coordorigin="0,0" coordsize="120,944">
                <v:shape style="position:absolute;left:0;top:0;width:120;height:944" id="docshape95" coordorigin="0,0" coordsize="120,944" path="m75,100l45,100,45,944,75,944,75,100xm60,0l0,120,45,120,45,100,110,100,60,0xm110,100l75,100,75,120,120,120,110,100xe" filled="true" fillcolor="#394871" stroked="false">
                  <v:path arrowok="t"/>
                  <v:fill type="solid"/>
                </v:shape>
              </v:group>
            </w:pict>
          </mc:Fallback>
        </mc:AlternateContent>
      </w:r>
      <w:r>
        <w:rPr>
          <w:sz w:val="20"/>
        </w:rPr>
      </w:r>
    </w:p>
    <w:p>
      <w:pPr>
        <w:pStyle w:val="BodyText"/>
        <w:spacing w:before="2"/>
        <w:rPr>
          <w:b/>
          <w:sz w:val="27"/>
        </w:rPr>
      </w:pPr>
    </w:p>
    <w:p>
      <w:pPr>
        <w:pStyle w:val="Heading6"/>
        <w:ind w:left="965"/>
      </w:pPr>
      <w:r>
        <w:rPr>
          <w:color w:val="394871"/>
          <w:spacing w:val="-2"/>
        </w:rPr>
        <w:t>Discovery</w:t>
      </w:r>
    </w:p>
    <w:p>
      <w:pPr>
        <w:pStyle w:val="BodyText"/>
        <w:spacing w:before="57"/>
        <w:rPr>
          <w:b/>
          <w:sz w:val="27"/>
        </w:rPr>
      </w:pPr>
    </w:p>
    <w:p>
      <w:pPr>
        <w:pStyle w:val="Heading7"/>
        <w:spacing w:line="259" w:lineRule="auto"/>
        <w:ind w:left="977" w:hanging="12"/>
      </w:pPr>
      <w:r>
        <w:rPr/>
        <w:t>Consolidated regional approach to procurement </w:t>
      </w:r>
      <w:r>
        <w:rPr/>
        <w:t>sessions to establish the pipeline and priorities for collaborative </w:t>
      </w:r>
      <w:r>
        <w:rPr>
          <w:spacing w:val="-2"/>
        </w:rPr>
        <w:t>procurement</w:t>
      </w:r>
    </w:p>
    <w:p>
      <w:pPr>
        <w:pStyle w:val="Heading6"/>
        <w:spacing w:line="256" w:lineRule="auto" w:before="75"/>
        <w:ind w:left="623" w:hanging="367"/>
        <w:jc w:val="left"/>
      </w:pPr>
      <w:r>
        <w:rPr>
          <w:b w:val="0"/>
        </w:rPr>
        <w:br w:type="column"/>
      </w:r>
      <w:r>
        <w:rPr>
          <w:color w:val="394871"/>
          <w:spacing w:val="-2"/>
        </w:rPr>
        <w:t>December </w:t>
      </w:r>
      <w:r>
        <w:rPr>
          <w:color w:val="394871"/>
          <w:spacing w:val="-4"/>
        </w:rPr>
        <w:t>2026</w:t>
      </w:r>
    </w:p>
    <w:p>
      <w:pPr>
        <w:spacing w:line="240" w:lineRule="auto"/>
        <w:ind w:left="1548" w:right="0" w:firstLine="0"/>
        <w:rPr>
          <w:sz w:val="20"/>
        </w:rPr>
      </w:pPr>
      <w:r>
        <w:rPr/>
        <w:br w:type="column"/>
      </w:r>
      <w:r>
        <w:rPr>
          <w:sz w:val="20"/>
        </w:rPr>
        <mc:AlternateContent>
          <mc:Choice Requires="wps">
            <w:drawing>
              <wp:inline distT="0" distB="0" distL="0" distR="0">
                <wp:extent cx="76200" cy="599440"/>
                <wp:effectExtent l="0" t="0" r="0" b="0"/>
                <wp:docPr id="148" name="Group 148"/>
                <wp:cNvGraphicFramePr>
                  <a:graphicFrameLocks/>
                </wp:cNvGraphicFramePr>
                <a:graphic>
                  <a:graphicData uri="http://schemas.microsoft.com/office/word/2010/wordprocessingGroup">
                    <wpg:wgp>
                      <wpg:cNvPr id="148" name="Group 148"/>
                      <wpg:cNvGrpSpPr/>
                      <wpg:grpSpPr>
                        <a:xfrm>
                          <a:off x="0" y="0"/>
                          <a:ext cx="76200" cy="599440"/>
                          <a:chExt cx="76200" cy="599440"/>
                        </a:xfrm>
                      </wpg:grpSpPr>
                      <wps:wsp>
                        <wps:cNvPr id="149" name="Graphic 149"/>
                        <wps:cNvSpPr/>
                        <wps:spPr>
                          <a:xfrm>
                            <a:off x="0" y="0"/>
                            <a:ext cx="76200" cy="599440"/>
                          </a:xfrm>
                          <a:custGeom>
                            <a:avLst/>
                            <a:gdLst/>
                            <a:ahLst/>
                            <a:cxnLst/>
                            <a:rect l="l" t="t" r="r" b="b"/>
                            <a:pathLst>
                              <a:path w="76200" h="599440">
                                <a:moveTo>
                                  <a:pt x="47625" y="63499"/>
                                </a:moveTo>
                                <a:lnTo>
                                  <a:pt x="28575" y="63499"/>
                                </a:lnTo>
                                <a:lnTo>
                                  <a:pt x="28575" y="599312"/>
                                </a:lnTo>
                                <a:lnTo>
                                  <a:pt x="47625" y="599312"/>
                                </a:lnTo>
                                <a:lnTo>
                                  <a:pt x="47625" y="63499"/>
                                </a:lnTo>
                                <a:close/>
                              </a:path>
                              <a:path w="76200" h="599440">
                                <a:moveTo>
                                  <a:pt x="38100" y="0"/>
                                </a:moveTo>
                                <a:lnTo>
                                  <a:pt x="0" y="76199"/>
                                </a:lnTo>
                                <a:lnTo>
                                  <a:pt x="28575" y="76199"/>
                                </a:lnTo>
                                <a:lnTo>
                                  <a:pt x="28575" y="63499"/>
                                </a:lnTo>
                                <a:lnTo>
                                  <a:pt x="69850" y="63499"/>
                                </a:lnTo>
                                <a:lnTo>
                                  <a:pt x="38100" y="0"/>
                                </a:lnTo>
                                <a:close/>
                              </a:path>
                              <a:path w="76200" h="599440">
                                <a:moveTo>
                                  <a:pt x="69850" y="63499"/>
                                </a:moveTo>
                                <a:lnTo>
                                  <a:pt x="47625" y="63499"/>
                                </a:lnTo>
                                <a:lnTo>
                                  <a:pt x="47625" y="76199"/>
                                </a:lnTo>
                                <a:lnTo>
                                  <a:pt x="76200" y="76199"/>
                                </a:lnTo>
                                <a:lnTo>
                                  <a:pt x="69850" y="63499"/>
                                </a:lnTo>
                                <a:close/>
                              </a:path>
                            </a:pathLst>
                          </a:custGeom>
                          <a:solidFill>
                            <a:srgbClr val="394871"/>
                          </a:solidFill>
                        </wps:spPr>
                        <wps:bodyPr wrap="square" lIns="0" tIns="0" rIns="0" bIns="0" rtlCol="0">
                          <a:prstTxWarp prst="textNoShape">
                            <a:avLst/>
                          </a:prstTxWarp>
                          <a:noAutofit/>
                        </wps:bodyPr>
                      </wps:wsp>
                    </wpg:wgp>
                  </a:graphicData>
                </a:graphic>
              </wp:inline>
            </w:drawing>
          </mc:Choice>
          <mc:Fallback>
            <w:pict>
              <v:group style="width:6pt;height:47.2pt;mso-position-horizontal-relative:char;mso-position-vertical-relative:line" id="docshapegroup96" coordorigin="0,0" coordsize="120,944">
                <v:shape style="position:absolute;left:0;top:0;width:120;height:944" id="docshape97" coordorigin="0,0" coordsize="120,944" path="m75,100l45,100,45,944,75,944,75,100xm60,0l0,120,45,120,45,100,110,100,60,0xm110,100l75,100,75,120,120,120,110,100xe" filled="true" fillcolor="#394871" stroked="false">
                  <v:path arrowok="t"/>
                  <v:fill type="solid"/>
                </v:shape>
              </v:group>
            </w:pict>
          </mc:Fallback>
        </mc:AlternateContent>
      </w:r>
      <w:r>
        <w:rPr>
          <w:sz w:val="20"/>
        </w:rPr>
      </w:r>
    </w:p>
    <w:p>
      <w:pPr>
        <w:pStyle w:val="BodyText"/>
        <w:spacing w:before="148"/>
        <w:rPr>
          <w:b/>
          <w:sz w:val="27"/>
        </w:rPr>
      </w:pPr>
    </w:p>
    <w:p>
      <w:pPr>
        <w:pStyle w:val="Heading6"/>
        <w:ind w:left="297"/>
      </w:pPr>
      <w:r>
        <w:rPr>
          <w:color w:val="394871"/>
          <w:spacing w:val="-2"/>
        </w:rPr>
        <w:t>Design</w:t>
      </w:r>
    </w:p>
    <w:p>
      <w:pPr>
        <w:pStyle w:val="BodyText"/>
        <w:spacing w:before="57"/>
        <w:rPr>
          <w:b/>
          <w:sz w:val="27"/>
        </w:rPr>
      </w:pPr>
    </w:p>
    <w:p>
      <w:pPr>
        <w:pStyle w:val="Heading7"/>
        <w:spacing w:line="259" w:lineRule="auto"/>
        <w:ind w:left="599" w:right="302" w:hanging="9"/>
      </w:pPr>
      <w:r>
        <w:rPr/>
        <w:t>Senior team set out future procurements to target within IMTP planning </w:t>
      </w:r>
      <w:r>
        <w:rPr>
          <w:spacing w:val="-2"/>
        </w:rPr>
        <w:t>framework</w:t>
      </w:r>
    </w:p>
    <w:p>
      <w:pPr>
        <w:pStyle w:val="Heading7"/>
        <w:spacing w:after="0" w:line="259" w:lineRule="auto"/>
        <w:sectPr>
          <w:type w:val="continuous"/>
          <w:pgSz w:w="19200" w:h="10800" w:orient="landscape"/>
          <w:pgMar w:header="0" w:footer="372" w:top="760" w:bottom="280" w:left="0" w:right="0"/>
          <w:cols w:num="6" w:equalWidth="0">
            <w:col w:w="2089" w:space="603"/>
            <w:col w:w="2895" w:space="60"/>
            <w:col w:w="5021" w:space="213"/>
            <w:col w:w="3713" w:space="39"/>
            <w:col w:w="1604" w:space="40"/>
            <w:col w:w="2923"/>
          </w:cols>
        </w:sectPr>
      </w:pPr>
    </w:p>
    <w:p>
      <w:pPr>
        <w:spacing w:before="60"/>
        <w:ind w:left="519" w:right="0" w:firstLine="0"/>
        <w:jc w:val="left"/>
        <w:rPr>
          <w:b/>
          <w:sz w:val="56"/>
        </w:rPr>
      </w:pPr>
      <w:r>
        <w:rPr>
          <w:b/>
          <w:sz w:val="56"/>
        </w:rPr>
        <mc:AlternateContent>
          <mc:Choice Requires="wps">
            <w:drawing>
              <wp:anchor distT="0" distB="0" distL="0" distR="0" allowOverlap="1" layoutInCell="1" locked="0" behindDoc="0" simplePos="0" relativeHeight="15768576">
                <wp:simplePos x="0" y="0"/>
                <wp:positionH relativeFrom="page">
                  <wp:posOffset>4571</wp:posOffset>
                </wp:positionH>
                <wp:positionV relativeFrom="paragraph">
                  <wp:posOffset>527420</wp:posOffset>
                </wp:positionV>
                <wp:extent cx="12184380" cy="36830"/>
                <wp:effectExtent l="0" t="0" r="0" b="0"/>
                <wp:wrapNone/>
                <wp:docPr id="155" name="Graphic 155"/>
                <wp:cNvGraphicFramePr>
                  <a:graphicFrameLocks/>
                </wp:cNvGraphicFramePr>
                <a:graphic>
                  <a:graphicData uri="http://schemas.microsoft.com/office/word/2010/wordprocessingShape">
                    <wps:wsp>
                      <wps:cNvPr id="155" name="Graphic 155"/>
                      <wps:cNvSpPr/>
                      <wps:spPr>
                        <a:xfrm>
                          <a:off x="0" y="0"/>
                          <a:ext cx="12184380" cy="36830"/>
                        </a:xfrm>
                        <a:custGeom>
                          <a:avLst/>
                          <a:gdLst/>
                          <a:ahLst/>
                          <a:cxnLst/>
                          <a:rect l="l" t="t" r="r" b="b"/>
                          <a:pathLst>
                            <a:path w="12184380" h="36830">
                              <a:moveTo>
                                <a:pt x="12184380" y="0"/>
                              </a:moveTo>
                              <a:lnTo>
                                <a:pt x="0" y="0"/>
                              </a:lnTo>
                              <a:lnTo>
                                <a:pt x="0" y="36586"/>
                              </a:lnTo>
                              <a:lnTo>
                                <a:pt x="12184380" y="36586"/>
                              </a:lnTo>
                              <a:lnTo>
                                <a:pt x="12184380" y="0"/>
                              </a:lnTo>
                              <a:close/>
                            </a:path>
                          </a:pathLst>
                        </a:custGeom>
                        <a:solidFill>
                          <a:srgbClr val="B3995D"/>
                        </a:solidFill>
                      </wps:spPr>
                      <wps:bodyPr wrap="square" lIns="0" tIns="0" rIns="0" bIns="0" rtlCol="0">
                        <a:prstTxWarp prst="textNoShape">
                          <a:avLst/>
                        </a:prstTxWarp>
                        <a:noAutofit/>
                      </wps:bodyPr>
                    </wps:wsp>
                  </a:graphicData>
                </a:graphic>
              </wp:anchor>
            </w:drawing>
          </mc:Choice>
          <mc:Fallback>
            <w:pict>
              <v:rect style="position:absolute;margin-left:.35999pt;margin-top:41.529202pt;width:959.40002pt;height:2.88080pt;mso-position-horizontal-relative:page;mso-position-vertical-relative:paragraph;z-index:15768576" id="docshape100" filled="true" fillcolor="#b3995d" stroked="false">
                <v:fill type="solid"/>
                <w10:wrap type="none"/>
              </v:rect>
            </w:pict>
          </mc:Fallback>
        </mc:AlternateContent>
      </w:r>
      <w:r>
        <w:rPr>
          <w:b/>
          <w:color w:val="1F355E"/>
          <w:sz w:val="56"/>
        </w:rPr>
        <w:t>Digital</w:t>
      </w:r>
      <w:r>
        <w:rPr>
          <w:b/>
          <w:color w:val="1F355E"/>
          <w:spacing w:val="-3"/>
          <w:sz w:val="56"/>
        </w:rPr>
        <w:t> </w:t>
      </w:r>
      <w:r>
        <w:rPr>
          <w:b/>
          <w:color w:val="1F355E"/>
          <w:sz w:val="56"/>
        </w:rPr>
        <w:t>&amp;</w:t>
      </w:r>
      <w:r>
        <w:rPr>
          <w:b/>
          <w:color w:val="1F355E"/>
          <w:spacing w:val="-6"/>
          <w:sz w:val="56"/>
        </w:rPr>
        <w:t> </w:t>
      </w:r>
      <w:r>
        <w:rPr>
          <w:b/>
          <w:color w:val="1F355E"/>
          <w:sz w:val="56"/>
        </w:rPr>
        <w:t>Data Timelines</w:t>
      </w:r>
      <w:r>
        <w:rPr>
          <w:b/>
          <w:color w:val="1F355E"/>
          <w:spacing w:val="-14"/>
          <w:sz w:val="56"/>
        </w:rPr>
        <w:t> </w:t>
      </w:r>
      <w:r>
        <w:rPr>
          <w:b/>
          <w:color w:val="1F355E"/>
          <w:sz w:val="56"/>
        </w:rPr>
        <w:t>&amp;</w:t>
      </w:r>
      <w:r>
        <w:rPr>
          <w:b/>
          <w:color w:val="1F355E"/>
          <w:spacing w:val="67"/>
          <w:w w:val="150"/>
          <w:sz w:val="56"/>
        </w:rPr>
        <w:t> </w:t>
      </w:r>
      <w:r>
        <w:rPr>
          <w:b/>
          <w:color w:val="1F355E"/>
          <w:spacing w:val="-2"/>
          <w:sz w:val="56"/>
        </w:rPr>
        <w:t>Actions</w:t>
      </w:r>
    </w:p>
    <w:p>
      <w:pPr>
        <w:pStyle w:val="BodyText"/>
        <w:spacing w:before="132"/>
        <w:rPr>
          <w:b/>
        </w:rPr>
      </w:pPr>
    </w:p>
    <w:p>
      <w:pPr>
        <w:spacing w:before="0"/>
        <w:ind w:left="0" w:right="2811" w:firstLine="0"/>
        <w:jc w:val="right"/>
        <w:rPr>
          <w:b/>
          <w:sz w:val="24"/>
        </w:rPr>
      </w:pPr>
      <w:r>
        <w:rPr>
          <w:b/>
          <w:color w:val="394871"/>
          <w:sz w:val="24"/>
        </w:rPr>
        <w:t>Senior</w:t>
      </w:r>
      <w:r>
        <w:rPr>
          <w:b/>
          <w:color w:val="394871"/>
          <w:spacing w:val="2"/>
          <w:sz w:val="24"/>
        </w:rPr>
        <w:t> </w:t>
      </w:r>
      <w:r>
        <w:rPr>
          <w:b/>
          <w:color w:val="394871"/>
          <w:spacing w:val="-2"/>
          <w:sz w:val="24"/>
        </w:rPr>
        <w:t>Review</w:t>
      </w:r>
    </w:p>
    <w:p>
      <w:pPr>
        <w:pStyle w:val="BodyText"/>
        <w:spacing w:before="9"/>
        <w:rPr>
          <w:b/>
          <w:sz w:val="17"/>
        </w:rPr>
      </w:pPr>
    </w:p>
    <w:p>
      <w:pPr>
        <w:pStyle w:val="BodyText"/>
        <w:spacing w:after="0"/>
        <w:rPr>
          <w:b/>
          <w:sz w:val="17"/>
        </w:rPr>
        <w:sectPr>
          <w:footerReference w:type="default" r:id="rId46"/>
          <w:pgSz w:w="19200" w:h="10800" w:orient="landscape"/>
          <w:pgMar w:header="0" w:footer="806" w:top="300" w:bottom="1000" w:left="0" w:right="0"/>
        </w:sectPr>
      </w:pPr>
    </w:p>
    <w:p>
      <w:pPr>
        <w:pStyle w:val="BodyText"/>
        <w:rPr>
          <w:b/>
        </w:rPr>
      </w:pPr>
    </w:p>
    <w:p>
      <w:pPr>
        <w:pStyle w:val="BodyText"/>
        <w:spacing w:before="112"/>
        <w:rPr>
          <w:b/>
        </w:rPr>
      </w:pPr>
    </w:p>
    <w:p>
      <w:pPr>
        <w:spacing w:before="0"/>
        <w:ind w:left="287" w:right="13" w:firstLine="0"/>
        <w:jc w:val="center"/>
        <w:rPr>
          <w:b/>
          <w:sz w:val="24"/>
        </w:rPr>
      </w:pPr>
      <w:r>
        <w:rPr>
          <w:b/>
          <w:color w:val="394871"/>
          <w:sz w:val="24"/>
        </w:rPr>
        <w:t>DoD</w:t>
      </w:r>
      <w:r>
        <w:rPr>
          <w:b/>
          <w:color w:val="394871"/>
          <w:spacing w:val="-16"/>
          <w:sz w:val="24"/>
        </w:rPr>
        <w:t> </w:t>
      </w:r>
      <w:r>
        <w:rPr>
          <w:b/>
          <w:color w:val="394871"/>
          <w:spacing w:val="-2"/>
          <w:sz w:val="24"/>
        </w:rPr>
        <w:t>Agreement</w:t>
      </w:r>
    </w:p>
    <w:p>
      <w:pPr>
        <w:pStyle w:val="BodyText"/>
        <w:spacing w:before="25"/>
        <w:rPr>
          <w:b/>
        </w:rPr>
      </w:pPr>
    </w:p>
    <w:p>
      <w:pPr>
        <w:pStyle w:val="BodyText"/>
        <w:spacing w:line="252" w:lineRule="auto"/>
        <w:ind w:left="287"/>
        <w:jc w:val="center"/>
      </w:pPr>
      <w:r>
        <w:rPr/>
        <mc:AlternateContent>
          <mc:Choice Requires="wps">
            <w:drawing>
              <wp:anchor distT="0" distB="0" distL="0" distR="0" allowOverlap="1" layoutInCell="1" locked="0" behindDoc="0" simplePos="0" relativeHeight="15769088">
                <wp:simplePos x="0" y="0"/>
                <wp:positionH relativeFrom="page">
                  <wp:posOffset>922032</wp:posOffset>
                </wp:positionH>
                <wp:positionV relativeFrom="paragraph">
                  <wp:posOffset>809188</wp:posOffset>
                </wp:positionV>
                <wp:extent cx="76200" cy="601345"/>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76200" cy="601345"/>
                        </a:xfrm>
                        <a:custGeom>
                          <a:avLst/>
                          <a:gdLst/>
                          <a:ahLst/>
                          <a:cxnLst/>
                          <a:rect l="l" t="t" r="r" b="b"/>
                          <a:pathLst>
                            <a:path w="76200" h="601345">
                              <a:moveTo>
                                <a:pt x="28562" y="524890"/>
                              </a:moveTo>
                              <a:lnTo>
                                <a:pt x="0" y="524890"/>
                              </a:lnTo>
                              <a:lnTo>
                                <a:pt x="38087" y="601090"/>
                              </a:lnTo>
                              <a:lnTo>
                                <a:pt x="69826" y="537590"/>
                              </a:lnTo>
                              <a:lnTo>
                                <a:pt x="28562" y="537590"/>
                              </a:lnTo>
                              <a:lnTo>
                                <a:pt x="28562" y="524890"/>
                              </a:lnTo>
                              <a:close/>
                            </a:path>
                            <a:path w="76200" h="601345">
                              <a:moveTo>
                                <a:pt x="47612" y="0"/>
                              </a:moveTo>
                              <a:lnTo>
                                <a:pt x="28562" y="0"/>
                              </a:lnTo>
                              <a:lnTo>
                                <a:pt x="28562" y="537590"/>
                              </a:lnTo>
                              <a:lnTo>
                                <a:pt x="47612" y="537590"/>
                              </a:lnTo>
                              <a:lnTo>
                                <a:pt x="47612" y="0"/>
                              </a:lnTo>
                              <a:close/>
                            </a:path>
                            <a:path w="76200" h="601345">
                              <a:moveTo>
                                <a:pt x="76174" y="524890"/>
                              </a:moveTo>
                              <a:lnTo>
                                <a:pt x="47612" y="524890"/>
                              </a:lnTo>
                              <a:lnTo>
                                <a:pt x="47612" y="537590"/>
                              </a:lnTo>
                              <a:lnTo>
                                <a:pt x="69826" y="537590"/>
                              </a:lnTo>
                              <a:lnTo>
                                <a:pt x="76174"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72.600998pt;margin-top:63.715595pt;width:6pt;height:47.35pt;mso-position-horizontal-relative:page;mso-position-vertical-relative:paragraph;z-index:15769088" id="docshape101" coordorigin="1452,1274" coordsize="120,947" path="m1497,2101l1452,2101,1512,2221,1562,2121,1497,2121,1497,2101xm1527,1274l1497,1274,1497,2121,1527,2121,1527,1274xm1572,2101l1527,2101,1527,2121,1562,2121,1572,2101xe" filled="true" fillcolor="#394871" stroked="false">
                <v:path arrowok="t"/>
                <v:fill type="solid"/>
                <w10:wrap type="none"/>
              </v:shape>
            </w:pict>
          </mc:Fallback>
        </mc:AlternateContent>
      </w:r>
      <w:r>
        <w:rPr/>
        <mc:AlternateContent>
          <mc:Choice Requires="wps">
            <w:drawing>
              <wp:anchor distT="0" distB="0" distL="0" distR="0" allowOverlap="1" layoutInCell="1" locked="0" behindDoc="0" simplePos="0" relativeHeight="15769600">
                <wp:simplePos x="0" y="0"/>
                <wp:positionH relativeFrom="page">
                  <wp:posOffset>3893820</wp:posOffset>
                </wp:positionH>
                <wp:positionV relativeFrom="paragraph">
                  <wp:posOffset>809188</wp:posOffset>
                </wp:positionV>
                <wp:extent cx="76200" cy="601345"/>
                <wp:effectExtent l="0" t="0" r="0" b="0"/>
                <wp:wrapNone/>
                <wp:docPr id="157" name="Graphic 157"/>
                <wp:cNvGraphicFramePr>
                  <a:graphicFrameLocks/>
                </wp:cNvGraphicFramePr>
                <a:graphic>
                  <a:graphicData uri="http://schemas.microsoft.com/office/word/2010/wordprocessingShape">
                    <wps:wsp>
                      <wps:cNvPr id="157" name="Graphic 157"/>
                      <wps:cNvSpPr/>
                      <wps:spPr>
                        <a:xfrm>
                          <a:off x="0" y="0"/>
                          <a:ext cx="76200" cy="601345"/>
                        </a:xfrm>
                        <a:custGeom>
                          <a:avLst/>
                          <a:gdLst/>
                          <a:ahLst/>
                          <a:cxnLst/>
                          <a:rect l="l" t="t" r="r" b="b"/>
                          <a:pathLst>
                            <a:path w="76200" h="601345">
                              <a:moveTo>
                                <a:pt x="28575" y="524890"/>
                              </a:moveTo>
                              <a:lnTo>
                                <a:pt x="0" y="524890"/>
                              </a:lnTo>
                              <a:lnTo>
                                <a:pt x="38100" y="601090"/>
                              </a:lnTo>
                              <a:lnTo>
                                <a:pt x="69850" y="537590"/>
                              </a:lnTo>
                              <a:lnTo>
                                <a:pt x="28575" y="537590"/>
                              </a:lnTo>
                              <a:lnTo>
                                <a:pt x="28575" y="524890"/>
                              </a:lnTo>
                              <a:close/>
                            </a:path>
                            <a:path w="76200" h="601345">
                              <a:moveTo>
                                <a:pt x="47625" y="0"/>
                              </a:moveTo>
                              <a:lnTo>
                                <a:pt x="28575" y="0"/>
                              </a:lnTo>
                              <a:lnTo>
                                <a:pt x="28575" y="537590"/>
                              </a:lnTo>
                              <a:lnTo>
                                <a:pt x="47625" y="537590"/>
                              </a:lnTo>
                              <a:lnTo>
                                <a:pt x="47625" y="0"/>
                              </a:lnTo>
                              <a:close/>
                            </a:path>
                            <a:path w="76200" h="601345">
                              <a:moveTo>
                                <a:pt x="76200" y="524890"/>
                              </a:moveTo>
                              <a:lnTo>
                                <a:pt x="47625" y="524890"/>
                              </a:lnTo>
                              <a:lnTo>
                                <a:pt x="47625" y="537590"/>
                              </a:lnTo>
                              <a:lnTo>
                                <a:pt x="69850" y="537590"/>
                              </a:lnTo>
                              <a:lnTo>
                                <a:pt x="76200"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306.600006pt;margin-top:63.715595pt;width:6pt;height:47.35pt;mso-position-horizontal-relative:page;mso-position-vertical-relative:paragraph;z-index:15769600" id="docshape102" coordorigin="6132,1274" coordsize="120,947" path="m6177,2101l6132,2101,6192,2221,6242,2121,6177,2121,6177,2101xm6207,1274l6177,1274,6177,2121,6207,2121,6207,1274xm6252,2101l6207,2101,6207,2121,6242,2121,6252,2101xe" filled="true" fillcolor="#394871" stroked="false">
                <v:path arrowok="t"/>
                <v:fill type="solid"/>
                <w10:wrap type="none"/>
              </v:shape>
            </w:pict>
          </mc:Fallback>
        </mc:AlternateContent>
      </w:r>
      <w:r>
        <w:rPr/>
        <mc:AlternateContent>
          <mc:Choice Requires="wps">
            <w:drawing>
              <wp:anchor distT="0" distB="0" distL="0" distR="0" allowOverlap="1" layoutInCell="1" locked="0" behindDoc="0" simplePos="0" relativeHeight="15770112">
                <wp:simplePos x="0" y="0"/>
                <wp:positionH relativeFrom="page">
                  <wp:posOffset>6819900</wp:posOffset>
                </wp:positionH>
                <wp:positionV relativeFrom="paragraph">
                  <wp:posOffset>809188</wp:posOffset>
                </wp:positionV>
                <wp:extent cx="76200" cy="601345"/>
                <wp:effectExtent l="0" t="0" r="0" b="0"/>
                <wp:wrapNone/>
                <wp:docPr id="158" name="Graphic 158"/>
                <wp:cNvGraphicFramePr>
                  <a:graphicFrameLocks/>
                </wp:cNvGraphicFramePr>
                <a:graphic>
                  <a:graphicData uri="http://schemas.microsoft.com/office/word/2010/wordprocessingShape">
                    <wps:wsp>
                      <wps:cNvPr id="158" name="Graphic 158"/>
                      <wps:cNvSpPr/>
                      <wps:spPr>
                        <a:xfrm>
                          <a:off x="0" y="0"/>
                          <a:ext cx="76200" cy="601345"/>
                        </a:xfrm>
                        <a:custGeom>
                          <a:avLst/>
                          <a:gdLst/>
                          <a:ahLst/>
                          <a:cxnLst/>
                          <a:rect l="l" t="t" r="r" b="b"/>
                          <a:pathLst>
                            <a:path w="76200" h="601345">
                              <a:moveTo>
                                <a:pt x="28575" y="524890"/>
                              </a:moveTo>
                              <a:lnTo>
                                <a:pt x="0" y="524890"/>
                              </a:lnTo>
                              <a:lnTo>
                                <a:pt x="38100" y="601090"/>
                              </a:lnTo>
                              <a:lnTo>
                                <a:pt x="69850" y="537590"/>
                              </a:lnTo>
                              <a:lnTo>
                                <a:pt x="28575" y="537590"/>
                              </a:lnTo>
                              <a:lnTo>
                                <a:pt x="28575" y="524890"/>
                              </a:lnTo>
                              <a:close/>
                            </a:path>
                            <a:path w="76200" h="601345">
                              <a:moveTo>
                                <a:pt x="47625" y="0"/>
                              </a:moveTo>
                              <a:lnTo>
                                <a:pt x="28575" y="0"/>
                              </a:lnTo>
                              <a:lnTo>
                                <a:pt x="28575" y="537590"/>
                              </a:lnTo>
                              <a:lnTo>
                                <a:pt x="47625" y="537590"/>
                              </a:lnTo>
                              <a:lnTo>
                                <a:pt x="47625" y="0"/>
                              </a:lnTo>
                              <a:close/>
                            </a:path>
                            <a:path w="76200" h="601345">
                              <a:moveTo>
                                <a:pt x="76200" y="524890"/>
                              </a:moveTo>
                              <a:lnTo>
                                <a:pt x="47625" y="524890"/>
                              </a:lnTo>
                              <a:lnTo>
                                <a:pt x="47625" y="537590"/>
                              </a:lnTo>
                              <a:lnTo>
                                <a:pt x="69850" y="537590"/>
                              </a:lnTo>
                              <a:lnTo>
                                <a:pt x="76200"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537pt;margin-top:63.715595pt;width:6pt;height:47.35pt;mso-position-horizontal-relative:page;mso-position-vertical-relative:paragraph;z-index:15770112" id="docshape103" coordorigin="10740,1274" coordsize="120,947" path="m10785,2101l10740,2101,10800,2221,10850,2121,10785,2121,10785,2101xm10815,1274l10785,1274,10785,2121,10815,2121,10815,1274xm10860,2101l10815,2101,10815,2121,10850,2121,10860,2101xe" filled="true" fillcolor="#394871" stroked="false">
                <v:path arrowok="t"/>
                <v:fill type="solid"/>
                <w10:wrap type="none"/>
              </v:shape>
            </w:pict>
          </mc:Fallback>
        </mc:AlternateContent>
      </w:r>
      <w:r>
        <w:rPr/>
        <mc:AlternateContent>
          <mc:Choice Requires="wps">
            <w:drawing>
              <wp:anchor distT="0" distB="0" distL="0" distR="0" allowOverlap="1" layoutInCell="1" locked="0" behindDoc="0" simplePos="0" relativeHeight="15770624">
                <wp:simplePos x="0" y="0"/>
                <wp:positionH relativeFrom="page">
                  <wp:posOffset>9846564</wp:posOffset>
                </wp:positionH>
                <wp:positionV relativeFrom="paragraph">
                  <wp:posOffset>809188</wp:posOffset>
                </wp:positionV>
                <wp:extent cx="76200" cy="601345"/>
                <wp:effectExtent l="0" t="0" r="0" b="0"/>
                <wp:wrapNone/>
                <wp:docPr id="159" name="Graphic 159"/>
                <wp:cNvGraphicFramePr>
                  <a:graphicFrameLocks/>
                </wp:cNvGraphicFramePr>
                <a:graphic>
                  <a:graphicData uri="http://schemas.microsoft.com/office/word/2010/wordprocessingShape">
                    <wps:wsp>
                      <wps:cNvPr id="159" name="Graphic 159"/>
                      <wps:cNvSpPr/>
                      <wps:spPr>
                        <a:xfrm>
                          <a:off x="0" y="0"/>
                          <a:ext cx="76200" cy="601345"/>
                        </a:xfrm>
                        <a:custGeom>
                          <a:avLst/>
                          <a:gdLst/>
                          <a:ahLst/>
                          <a:cxnLst/>
                          <a:rect l="l" t="t" r="r" b="b"/>
                          <a:pathLst>
                            <a:path w="76200" h="601345">
                              <a:moveTo>
                                <a:pt x="28575" y="524890"/>
                              </a:moveTo>
                              <a:lnTo>
                                <a:pt x="0" y="524890"/>
                              </a:lnTo>
                              <a:lnTo>
                                <a:pt x="38100" y="601090"/>
                              </a:lnTo>
                              <a:lnTo>
                                <a:pt x="69850" y="537590"/>
                              </a:lnTo>
                              <a:lnTo>
                                <a:pt x="28575" y="537590"/>
                              </a:lnTo>
                              <a:lnTo>
                                <a:pt x="28575" y="524890"/>
                              </a:lnTo>
                              <a:close/>
                            </a:path>
                            <a:path w="76200" h="601345">
                              <a:moveTo>
                                <a:pt x="47625" y="0"/>
                              </a:moveTo>
                              <a:lnTo>
                                <a:pt x="28575" y="0"/>
                              </a:lnTo>
                              <a:lnTo>
                                <a:pt x="28575" y="537590"/>
                              </a:lnTo>
                              <a:lnTo>
                                <a:pt x="47625" y="537590"/>
                              </a:lnTo>
                              <a:lnTo>
                                <a:pt x="47625" y="0"/>
                              </a:lnTo>
                              <a:close/>
                            </a:path>
                            <a:path w="76200" h="601345">
                              <a:moveTo>
                                <a:pt x="76200" y="524890"/>
                              </a:moveTo>
                              <a:lnTo>
                                <a:pt x="47625" y="524890"/>
                              </a:lnTo>
                              <a:lnTo>
                                <a:pt x="47625" y="537590"/>
                              </a:lnTo>
                              <a:lnTo>
                                <a:pt x="69850" y="537590"/>
                              </a:lnTo>
                              <a:lnTo>
                                <a:pt x="76200" y="524890"/>
                              </a:lnTo>
                              <a:close/>
                            </a:path>
                          </a:pathLst>
                        </a:custGeom>
                        <a:solidFill>
                          <a:srgbClr val="394871"/>
                        </a:solidFill>
                      </wps:spPr>
                      <wps:bodyPr wrap="square" lIns="0" tIns="0" rIns="0" bIns="0" rtlCol="0">
                        <a:prstTxWarp prst="textNoShape">
                          <a:avLst/>
                        </a:prstTxWarp>
                        <a:noAutofit/>
                      </wps:bodyPr>
                    </wps:wsp>
                  </a:graphicData>
                </a:graphic>
              </wp:anchor>
            </w:drawing>
          </mc:Choice>
          <mc:Fallback>
            <w:pict>
              <v:shape style="position:absolute;margin-left:775.320007pt;margin-top:63.715595pt;width:6pt;height:47.35pt;mso-position-horizontal-relative:page;mso-position-vertical-relative:paragraph;z-index:15770624" id="docshape104" coordorigin="15506,1274" coordsize="120,947" path="m15551,2101l15506,2101,15566,2221,15616,2121,15551,2121,15551,2101xm15581,1274l15551,1274,15551,2121,15581,2121,15581,1274xm15626,2101l15581,2101,15581,2121,15616,2121,15626,2101xe" filled="true" fillcolor="#394871" stroked="false">
                <v:path arrowok="t"/>
                <v:fill type="solid"/>
                <w10:wrap type="none"/>
              </v:shape>
            </w:pict>
          </mc:Fallback>
        </mc:AlternateContent>
      </w:r>
      <w:r>
        <w:rPr/>
        <w:t>To</w:t>
      </w:r>
      <w:r>
        <w:rPr>
          <w:spacing w:val="-19"/>
        </w:rPr>
        <w:t> </w:t>
      </w:r>
      <w:r>
        <w:rPr/>
        <w:t>progress</w:t>
      </w:r>
      <w:r>
        <w:rPr>
          <w:spacing w:val="-17"/>
        </w:rPr>
        <w:t> </w:t>
      </w:r>
      <w:r>
        <w:rPr/>
        <w:t>a</w:t>
      </w:r>
      <w:r>
        <w:rPr>
          <w:spacing w:val="-16"/>
        </w:rPr>
        <w:t> </w:t>
      </w:r>
      <w:r>
        <w:rPr/>
        <w:t>regional understanding of the digital</w:t>
      </w:r>
      <w:r>
        <w:rPr>
          <w:spacing w:val="-15"/>
        </w:rPr>
        <w:t> </w:t>
      </w:r>
      <w:r>
        <w:rPr/>
        <w:t>and</w:t>
      </w:r>
      <w:r>
        <w:rPr>
          <w:spacing w:val="-17"/>
        </w:rPr>
        <w:t> </w:t>
      </w:r>
      <w:r>
        <w:rPr/>
        <w:t>AI potential </w:t>
      </w:r>
      <w:r>
        <w:rPr>
          <w:spacing w:val="-2"/>
        </w:rPr>
        <w:t>opportunities</w:t>
      </w:r>
    </w:p>
    <w:p>
      <w:pPr>
        <w:pStyle w:val="BodyText"/>
      </w:pPr>
      <w:r>
        <w:rPr/>
        <w:br w:type="column"/>
      </w:r>
      <w:r>
        <w:rPr/>
      </w:r>
    </w:p>
    <w:p>
      <w:pPr>
        <w:pStyle w:val="BodyText"/>
        <w:spacing w:before="117"/>
      </w:pPr>
    </w:p>
    <w:p>
      <w:pPr>
        <w:spacing w:before="0"/>
        <w:ind w:left="287" w:right="12" w:firstLine="0"/>
        <w:jc w:val="center"/>
        <w:rPr>
          <w:b/>
          <w:sz w:val="24"/>
        </w:rPr>
      </w:pPr>
      <w:r>
        <w:rPr>
          <w:b/>
          <w:color w:val="394871"/>
          <w:sz w:val="24"/>
        </w:rPr>
        <w:t>Monthly</w:t>
      </w:r>
      <w:r>
        <w:rPr>
          <w:b/>
          <w:color w:val="394871"/>
          <w:spacing w:val="-4"/>
          <w:sz w:val="24"/>
        </w:rPr>
        <w:t> </w:t>
      </w:r>
      <w:r>
        <w:rPr>
          <w:b/>
          <w:color w:val="394871"/>
          <w:sz w:val="24"/>
        </w:rPr>
        <w:t>Digital</w:t>
      </w:r>
      <w:r>
        <w:rPr>
          <w:b/>
          <w:color w:val="394871"/>
          <w:spacing w:val="-7"/>
          <w:sz w:val="24"/>
        </w:rPr>
        <w:t> </w:t>
      </w:r>
      <w:r>
        <w:rPr>
          <w:b/>
          <w:color w:val="394871"/>
          <w:spacing w:val="-2"/>
          <w:sz w:val="24"/>
        </w:rPr>
        <w:t>Meeting</w:t>
      </w:r>
    </w:p>
    <w:p>
      <w:pPr>
        <w:pStyle w:val="BodyText"/>
        <w:spacing w:before="25"/>
        <w:rPr>
          <w:b/>
        </w:rPr>
      </w:pPr>
    </w:p>
    <w:p>
      <w:pPr>
        <w:pStyle w:val="BodyText"/>
        <w:spacing w:line="252" w:lineRule="auto"/>
        <w:ind w:left="287"/>
        <w:jc w:val="center"/>
      </w:pPr>
      <w:r>
        <w:rPr/>
        <w:t>Reset</w:t>
      </w:r>
      <w:r>
        <w:rPr>
          <w:spacing w:val="-14"/>
        </w:rPr>
        <w:t> </w:t>
      </w:r>
      <w:r>
        <w:rPr/>
        <w:t>the</w:t>
      </w:r>
      <w:r>
        <w:rPr>
          <w:spacing w:val="-11"/>
        </w:rPr>
        <w:t> </w:t>
      </w:r>
      <w:r>
        <w:rPr/>
        <w:t>agenda</w:t>
      </w:r>
      <w:r>
        <w:rPr>
          <w:spacing w:val="-11"/>
        </w:rPr>
        <w:t> </w:t>
      </w:r>
      <w:r>
        <w:rPr/>
        <w:t>including</w:t>
      </w:r>
      <w:r>
        <w:rPr>
          <w:spacing w:val="-11"/>
        </w:rPr>
        <w:t> </w:t>
      </w:r>
      <w:r>
        <w:rPr/>
        <w:t>the national DHCW insights</w:t>
      </w:r>
    </w:p>
    <w:p>
      <w:pPr>
        <w:pStyle w:val="BodyText"/>
      </w:pPr>
      <w:r>
        <w:rPr/>
        <w:br w:type="column"/>
      </w:r>
      <w:r>
        <w:rPr/>
      </w:r>
    </w:p>
    <w:p>
      <w:pPr>
        <w:pStyle w:val="BodyText"/>
        <w:spacing w:before="6"/>
      </w:pPr>
    </w:p>
    <w:p>
      <w:pPr>
        <w:spacing w:before="0"/>
        <w:ind w:left="480" w:right="0" w:hanging="155"/>
        <w:jc w:val="left"/>
        <w:rPr>
          <w:b/>
          <w:sz w:val="24"/>
        </w:rPr>
      </w:pPr>
      <w:r>
        <w:rPr>
          <w:b/>
          <w:color w:val="394871"/>
          <w:sz w:val="24"/>
        </w:rPr>
        <w:t>Commission</w:t>
      </w:r>
      <w:r>
        <w:rPr>
          <w:b/>
          <w:color w:val="394871"/>
          <w:spacing w:val="-1"/>
          <w:sz w:val="24"/>
        </w:rPr>
        <w:t> </w:t>
      </w:r>
      <w:r>
        <w:rPr>
          <w:b/>
          <w:color w:val="394871"/>
          <w:sz w:val="24"/>
        </w:rPr>
        <w:t>CGI</w:t>
      </w:r>
      <w:r>
        <w:rPr>
          <w:b/>
          <w:color w:val="394871"/>
          <w:spacing w:val="-5"/>
          <w:sz w:val="24"/>
        </w:rPr>
        <w:t> </w:t>
      </w:r>
      <w:r>
        <w:rPr>
          <w:b/>
          <w:color w:val="394871"/>
          <w:spacing w:val="-4"/>
          <w:sz w:val="24"/>
        </w:rPr>
        <w:t>Work</w:t>
      </w:r>
    </w:p>
    <w:p>
      <w:pPr>
        <w:pStyle w:val="BodyText"/>
        <w:spacing w:before="25"/>
        <w:rPr>
          <w:b/>
        </w:rPr>
      </w:pPr>
    </w:p>
    <w:p>
      <w:pPr>
        <w:pStyle w:val="BodyText"/>
        <w:spacing w:line="252" w:lineRule="auto"/>
        <w:ind w:left="420" w:right="129" w:firstLine="59"/>
        <w:jc w:val="both"/>
      </w:pPr>
      <w:r>
        <w:rPr/>
        <w:t>To</w:t>
      </w:r>
      <w:r>
        <w:rPr>
          <w:spacing w:val="-3"/>
        </w:rPr>
        <w:t> </w:t>
      </w:r>
      <w:r>
        <w:rPr/>
        <w:t>provide</w:t>
      </w:r>
      <w:r>
        <w:rPr>
          <w:spacing w:val="-3"/>
        </w:rPr>
        <w:t> </w:t>
      </w:r>
      <w:r>
        <w:rPr/>
        <w:t>a</w:t>
      </w:r>
      <w:r>
        <w:rPr>
          <w:spacing w:val="-3"/>
        </w:rPr>
        <w:t> </w:t>
      </w:r>
      <w:r>
        <w:rPr/>
        <w:t>common understanding of the digital</w:t>
      </w:r>
      <w:r>
        <w:rPr>
          <w:spacing w:val="-17"/>
        </w:rPr>
        <w:t> </w:t>
      </w:r>
      <w:r>
        <w:rPr/>
        <w:t>architecture</w:t>
      </w:r>
      <w:r>
        <w:rPr>
          <w:spacing w:val="-17"/>
        </w:rPr>
        <w:t> </w:t>
      </w:r>
      <w:r>
        <w:rPr/>
        <w:t>and the</w:t>
      </w:r>
      <w:r>
        <w:rPr>
          <w:spacing w:val="-4"/>
        </w:rPr>
        <w:t> </w:t>
      </w:r>
      <w:r>
        <w:rPr/>
        <w:t>areas</w:t>
      </w:r>
      <w:r>
        <w:rPr>
          <w:spacing w:val="-4"/>
        </w:rPr>
        <w:t> </w:t>
      </w:r>
      <w:r>
        <w:rPr>
          <w:spacing w:val="-2"/>
        </w:rPr>
        <w:t>commonality</w:t>
      </w:r>
    </w:p>
    <w:p>
      <w:pPr>
        <w:pStyle w:val="BodyText"/>
      </w:pPr>
      <w:r>
        <w:rPr/>
        <w:br w:type="column"/>
      </w:r>
      <w:r>
        <w:rPr/>
      </w:r>
    </w:p>
    <w:p>
      <w:pPr>
        <w:pStyle w:val="BodyText"/>
      </w:pPr>
    </w:p>
    <w:p>
      <w:pPr>
        <w:pStyle w:val="BodyText"/>
      </w:pPr>
    </w:p>
    <w:p>
      <w:pPr>
        <w:pStyle w:val="BodyText"/>
      </w:pPr>
    </w:p>
    <w:p>
      <w:pPr>
        <w:pStyle w:val="BodyText"/>
      </w:pPr>
    </w:p>
    <w:p>
      <w:pPr>
        <w:pStyle w:val="BodyText"/>
      </w:pPr>
    </w:p>
    <w:p>
      <w:pPr>
        <w:pStyle w:val="BodyText"/>
        <w:spacing w:before="226"/>
      </w:pPr>
    </w:p>
    <w:p>
      <w:pPr>
        <w:spacing w:line="252" w:lineRule="auto" w:before="0"/>
        <w:ind w:left="325" w:right="38" w:firstLine="0"/>
        <w:jc w:val="center"/>
        <w:rPr>
          <w:b/>
          <w:sz w:val="24"/>
        </w:rPr>
      </w:pPr>
      <w:r>
        <w:rPr>
          <w:b/>
          <w:color w:val="394871"/>
          <w:sz w:val="24"/>
        </w:rPr>
        <w:t>October</w:t>
      </w:r>
      <w:r>
        <w:rPr>
          <w:b/>
          <w:color w:val="394871"/>
          <w:spacing w:val="-17"/>
          <w:sz w:val="24"/>
        </w:rPr>
        <w:t> </w:t>
      </w:r>
      <w:r>
        <w:rPr>
          <w:b/>
          <w:color w:val="394871"/>
          <w:sz w:val="24"/>
        </w:rPr>
        <w:t>to </w:t>
      </w:r>
      <w:r>
        <w:rPr>
          <w:b/>
          <w:color w:val="394871"/>
          <w:spacing w:val="-2"/>
          <w:sz w:val="24"/>
        </w:rPr>
        <w:t>December </w:t>
      </w:r>
      <w:r>
        <w:rPr>
          <w:b/>
          <w:color w:val="394871"/>
          <w:spacing w:val="-4"/>
          <w:sz w:val="24"/>
        </w:rPr>
        <w:t>2026</w:t>
      </w:r>
    </w:p>
    <w:p>
      <w:pPr>
        <w:pStyle w:val="BodyText"/>
        <w:spacing w:line="249" w:lineRule="auto" w:before="97"/>
        <w:ind w:left="325" w:hanging="3"/>
        <w:jc w:val="center"/>
      </w:pPr>
      <w:r>
        <w:rPr/>
        <w:br w:type="column"/>
      </w:r>
      <w:r>
        <w:rPr/>
        <w:t>Insight shared with senior teams with options for future joint </w:t>
      </w:r>
      <w:r>
        <w:rPr>
          <w:spacing w:val="-2"/>
        </w:rPr>
        <w:t>opportunities</w:t>
      </w:r>
      <w:r>
        <w:rPr>
          <w:spacing w:val="-8"/>
        </w:rPr>
        <w:t> </w:t>
      </w:r>
      <w:r>
        <w:rPr>
          <w:spacing w:val="-2"/>
        </w:rPr>
        <w:t>presented</w:t>
      </w:r>
    </w:p>
    <w:p>
      <w:pPr>
        <w:pStyle w:val="BodyText"/>
      </w:pPr>
      <w:r>
        <w:rPr/>
        <w:br w:type="column"/>
      </w:r>
      <w:r>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1"/>
      </w:pPr>
    </w:p>
    <w:p>
      <w:pPr>
        <w:spacing w:before="0"/>
        <w:ind w:left="293" w:right="0" w:firstLine="0"/>
        <w:jc w:val="left"/>
        <w:rPr>
          <w:b/>
          <w:sz w:val="24"/>
        </w:rPr>
      </w:pPr>
      <w:r>
        <w:rPr>
          <w:b/>
          <w:color w:val="394871"/>
          <w:sz w:val="24"/>
        </w:rPr>
        <w:t>January</w:t>
      </w:r>
      <w:r>
        <w:rPr>
          <w:b/>
          <w:color w:val="394871"/>
          <w:spacing w:val="-12"/>
          <w:sz w:val="24"/>
        </w:rPr>
        <w:t> </w:t>
      </w:r>
      <w:r>
        <w:rPr>
          <w:b/>
          <w:color w:val="394871"/>
          <w:spacing w:val="-4"/>
          <w:sz w:val="24"/>
        </w:rPr>
        <w:t>2027</w:t>
      </w:r>
    </w:p>
    <w:p>
      <w:pPr>
        <w:spacing w:after="0"/>
        <w:jc w:val="left"/>
        <w:rPr>
          <w:b/>
          <w:sz w:val="24"/>
        </w:rPr>
        <w:sectPr>
          <w:type w:val="continuous"/>
          <w:pgSz w:w="19200" w:h="10800" w:orient="landscape"/>
          <w:pgMar w:header="0" w:footer="806" w:top="760" w:bottom="280" w:left="0" w:right="0"/>
          <w:cols w:num="6" w:equalWidth="0">
            <w:col w:w="2736" w:space="951"/>
            <w:col w:w="3667" w:space="1750"/>
            <w:col w:w="2963" w:space="195"/>
            <w:col w:w="1581" w:space="140"/>
            <w:col w:w="2822" w:space="39"/>
            <w:col w:w="2356"/>
          </w:cols>
        </w:sectPr>
      </w:pPr>
    </w:p>
    <w:p>
      <w:pPr>
        <w:pStyle w:val="BodyText"/>
        <w:rPr>
          <w:b/>
          <w:sz w:val="20"/>
        </w:rPr>
      </w:pPr>
    </w:p>
    <w:p>
      <w:pPr>
        <w:pStyle w:val="BodyText"/>
        <w:spacing w:before="76"/>
        <w:rPr>
          <w:b/>
          <w:sz w:val="20"/>
        </w:rPr>
      </w:pPr>
    </w:p>
    <w:p>
      <w:pPr>
        <w:spacing w:line="240" w:lineRule="auto"/>
        <w:ind w:left="272" w:right="0" w:firstLine="0"/>
        <w:rPr>
          <w:sz w:val="20"/>
        </w:rPr>
      </w:pPr>
      <w:r>
        <w:rPr>
          <w:sz w:val="20"/>
        </w:rPr>
        <mc:AlternateContent>
          <mc:Choice Requires="wps">
            <w:drawing>
              <wp:inline distT="0" distB="0" distL="0" distR="0">
                <wp:extent cx="11806555" cy="195580"/>
                <wp:effectExtent l="19050" t="0" r="13970" b="4444"/>
                <wp:docPr id="160" name="Group 160"/>
                <wp:cNvGraphicFramePr>
                  <a:graphicFrameLocks/>
                </wp:cNvGraphicFramePr>
                <a:graphic>
                  <a:graphicData uri="http://schemas.microsoft.com/office/word/2010/wordprocessingGroup">
                    <wpg:wgp>
                      <wpg:cNvPr id="160" name="Group 160"/>
                      <wpg:cNvGrpSpPr/>
                      <wpg:grpSpPr>
                        <a:xfrm>
                          <a:off x="0" y="0"/>
                          <a:ext cx="11806555" cy="195580"/>
                          <a:chExt cx="11806555" cy="195580"/>
                        </a:xfrm>
                      </wpg:grpSpPr>
                      <wps:wsp>
                        <wps:cNvPr id="161" name="Graphic 161"/>
                        <wps:cNvSpPr/>
                        <wps:spPr>
                          <a:xfrm>
                            <a:off x="0" y="93218"/>
                            <a:ext cx="11806555" cy="1270"/>
                          </a:xfrm>
                          <a:custGeom>
                            <a:avLst/>
                            <a:gdLst/>
                            <a:ahLst/>
                            <a:cxnLst/>
                            <a:rect l="l" t="t" r="r" b="b"/>
                            <a:pathLst>
                              <a:path w="11806555" h="0">
                                <a:moveTo>
                                  <a:pt x="0" y="0"/>
                                </a:moveTo>
                                <a:lnTo>
                                  <a:pt x="11806301" y="0"/>
                                </a:lnTo>
                              </a:path>
                            </a:pathLst>
                          </a:custGeom>
                          <a:ln w="38100">
                            <a:solidFill>
                              <a:srgbClr val="394871"/>
                            </a:solidFill>
                            <a:prstDash val="solid"/>
                          </a:ln>
                        </wps:spPr>
                        <wps:bodyPr wrap="square" lIns="0" tIns="0" rIns="0" bIns="0" rtlCol="0">
                          <a:prstTxWarp prst="textNoShape">
                            <a:avLst/>
                          </a:prstTxWarp>
                          <a:noAutofit/>
                        </wps:bodyPr>
                      </wps:wsp>
                      <pic:pic>
                        <pic:nvPicPr>
                          <pic:cNvPr id="162" name="Image 162"/>
                          <pic:cNvPicPr/>
                        </pic:nvPicPr>
                        <pic:blipFill>
                          <a:blip r:embed="rId30" cstate="print"/>
                          <a:stretch>
                            <a:fillRect/>
                          </a:stretch>
                        </pic:blipFill>
                        <pic:spPr>
                          <a:xfrm>
                            <a:off x="674877" y="9144"/>
                            <a:ext cx="195579" cy="186436"/>
                          </a:xfrm>
                          <a:prstGeom prst="rect">
                            <a:avLst/>
                          </a:prstGeom>
                        </pic:spPr>
                      </pic:pic>
                      <pic:pic>
                        <pic:nvPicPr>
                          <pic:cNvPr id="163" name="Image 163"/>
                          <pic:cNvPicPr/>
                        </pic:nvPicPr>
                        <pic:blipFill>
                          <a:blip r:embed="rId32" cstate="print"/>
                          <a:stretch>
                            <a:fillRect/>
                          </a:stretch>
                        </pic:blipFill>
                        <pic:spPr>
                          <a:xfrm>
                            <a:off x="3646678" y="9144"/>
                            <a:ext cx="186436" cy="186436"/>
                          </a:xfrm>
                          <a:prstGeom prst="rect">
                            <a:avLst/>
                          </a:prstGeom>
                        </pic:spPr>
                      </pic:pic>
                      <pic:pic>
                        <pic:nvPicPr>
                          <pic:cNvPr id="164" name="Image 164"/>
                          <pic:cNvPicPr/>
                        </pic:nvPicPr>
                        <pic:blipFill>
                          <a:blip r:embed="rId33" cstate="print"/>
                          <a:stretch>
                            <a:fillRect/>
                          </a:stretch>
                        </pic:blipFill>
                        <pic:spPr>
                          <a:xfrm>
                            <a:off x="5128005" y="9144"/>
                            <a:ext cx="195580" cy="186436"/>
                          </a:xfrm>
                          <a:prstGeom prst="rect">
                            <a:avLst/>
                          </a:prstGeom>
                        </pic:spPr>
                      </pic:pic>
                      <pic:pic>
                        <pic:nvPicPr>
                          <pic:cNvPr id="165" name="Image 165"/>
                          <pic:cNvPicPr/>
                        </pic:nvPicPr>
                        <pic:blipFill>
                          <a:blip r:embed="rId34" cstate="print"/>
                          <a:stretch>
                            <a:fillRect/>
                          </a:stretch>
                        </pic:blipFill>
                        <pic:spPr>
                          <a:xfrm>
                            <a:off x="6618478" y="9144"/>
                            <a:ext cx="186436" cy="186436"/>
                          </a:xfrm>
                          <a:prstGeom prst="rect">
                            <a:avLst/>
                          </a:prstGeom>
                        </pic:spPr>
                      </pic:pic>
                      <pic:pic>
                        <pic:nvPicPr>
                          <pic:cNvPr id="166" name="Image 166"/>
                          <pic:cNvPicPr/>
                        </pic:nvPicPr>
                        <pic:blipFill>
                          <a:blip r:embed="rId35" cstate="print"/>
                          <a:stretch>
                            <a:fillRect/>
                          </a:stretch>
                        </pic:blipFill>
                        <pic:spPr>
                          <a:xfrm>
                            <a:off x="8099806" y="0"/>
                            <a:ext cx="195579" cy="186436"/>
                          </a:xfrm>
                          <a:prstGeom prst="rect">
                            <a:avLst/>
                          </a:prstGeom>
                        </pic:spPr>
                      </pic:pic>
                      <pic:pic>
                        <pic:nvPicPr>
                          <pic:cNvPr id="167" name="Image 167"/>
                          <pic:cNvPicPr/>
                        </pic:nvPicPr>
                        <pic:blipFill>
                          <a:blip r:embed="rId36" cstate="print"/>
                          <a:stretch>
                            <a:fillRect/>
                          </a:stretch>
                        </pic:blipFill>
                        <pic:spPr>
                          <a:xfrm>
                            <a:off x="9581133" y="9144"/>
                            <a:ext cx="195580" cy="186436"/>
                          </a:xfrm>
                          <a:prstGeom prst="rect">
                            <a:avLst/>
                          </a:prstGeom>
                        </pic:spPr>
                      </pic:pic>
                      <pic:pic>
                        <pic:nvPicPr>
                          <pic:cNvPr id="168" name="Image 168"/>
                          <pic:cNvPicPr/>
                        </pic:nvPicPr>
                        <pic:blipFill>
                          <a:blip r:embed="rId38" cstate="print"/>
                          <a:stretch>
                            <a:fillRect/>
                          </a:stretch>
                        </pic:blipFill>
                        <pic:spPr>
                          <a:xfrm>
                            <a:off x="11071606" y="0"/>
                            <a:ext cx="186436" cy="186436"/>
                          </a:xfrm>
                          <a:prstGeom prst="rect">
                            <a:avLst/>
                          </a:prstGeom>
                        </pic:spPr>
                      </pic:pic>
                    </wpg:wgp>
                  </a:graphicData>
                </a:graphic>
              </wp:inline>
            </w:drawing>
          </mc:Choice>
          <mc:Fallback>
            <w:pict>
              <v:group style="width:929.65pt;height:15.4pt;mso-position-horizontal-relative:char;mso-position-vertical-relative:line" id="docshapegroup105" coordorigin="0,0" coordsize="18593,308">
                <v:line style="position:absolute" from="0,147" to="18593,147" stroked="true" strokeweight="3pt" strokecolor="#394871">
                  <v:stroke dashstyle="solid"/>
                </v:line>
                <v:shape style="position:absolute;left:1062;top:14;width:308;height:294" type="#_x0000_t75" id="docshape106" stroked="false">
                  <v:imagedata r:id="rId30" o:title=""/>
                </v:shape>
                <v:shape style="position:absolute;left:5742;top:14;width:294;height:294" type="#_x0000_t75" id="docshape107" stroked="false">
                  <v:imagedata r:id="rId32" o:title=""/>
                </v:shape>
                <v:shape style="position:absolute;left:8075;top:14;width:308;height:294" type="#_x0000_t75" id="docshape108" stroked="false">
                  <v:imagedata r:id="rId33" o:title=""/>
                </v:shape>
                <v:shape style="position:absolute;left:10422;top:14;width:294;height:294" type="#_x0000_t75" id="docshape109" stroked="false">
                  <v:imagedata r:id="rId34" o:title=""/>
                </v:shape>
                <v:shape style="position:absolute;left:12755;top:0;width:308;height:294" type="#_x0000_t75" id="docshape110" stroked="false">
                  <v:imagedata r:id="rId35" o:title=""/>
                </v:shape>
                <v:shape style="position:absolute;left:15088;top:14;width:308;height:294" type="#_x0000_t75" id="docshape111" stroked="false">
                  <v:imagedata r:id="rId36" o:title=""/>
                </v:shape>
                <v:shape style="position:absolute;left:17435;top:0;width:294;height:294" type="#_x0000_t75" id="docshape112" stroked="false">
                  <v:imagedata r:id="rId38" o:title=""/>
                </v:shape>
              </v:group>
            </w:pict>
          </mc:Fallback>
        </mc:AlternateContent>
      </w:r>
      <w:r>
        <w:rPr>
          <w:sz w:val="20"/>
        </w:rPr>
      </w:r>
    </w:p>
    <w:p>
      <w:pPr>
        <w:pStyle w:val="BodyText"/>
        <w:spacing w:before="1"/>
        <w:rPr>
          <w:b/>
          <w:sz w:val="6"/>
        </w:rPr>
      </w:pPr>
    </w:p>
    <w:p>
      <w:pPr>
        <w:pStyle w:val="BodyText"/>
        <w:spacing w:after="0"/>
        <w:rPr>
          <w:b/>
          <w:sz w:val="6"/>
        </w:rPr>
        <w:sectPr>
          <w:type w:val="continuous"/>
          <w:pgSz w:w="19200" w:h="10800" w:orient="landscape"/>
          <w:pgMar w:header="0" w:footer="806" w:top="760" w:bottom="280" w:left="0" w:right="0"/>
        </w:sectPr>
      </w:pPr>
    </w:p>
    <w:p>
      <w:pPr>
        <w:spacing w:before="60"/>
        <w:ind w:left="977" w:right="0" w:firstLine="0"/>
        <w:jc w:val="left"/>
        <w:rPr>
          <w:b/>
          <w:sz w:val="24"/>
        </w:rPr>
      </w:pPr>
      <w:r>
        <w:rPr>
          <w:b/>
          <w:color w:val="394871"/>
          <w:sz w:val="24"/>
        </w:rPr>
        <w:t>May</w:t>
      </w:r>
      <w:r>
        <w:rPr>
          <w:b/>
          <w:color w:val="394871"/>
          <w:spacing w:val="-3"/>
          <w:sz w:val="24"/>
        </w:rPr>
        <w:t> </w:t>
      </w:r>
      <w:r>
        <w:rPr>
          <w:b/>
          <w:color w:val="394871"/>
          <w:spacing w:val="-4"/>
          <w:sz w:val="24"/>
        </w:rPr>
        <w:t>2026</w:t>
      </w:r>
    </w:p>
    <w:p>
      <w:pPr>
        <w:spacing w:before="60"/>
        <w:ind w:left="977" w:right="0" w:firstLine="0"/>
        <w:jc w:val="left"/>
        <w:rPr>
          <w:b/>
          <w:sz w:val="24"/>
        </w:rPr>
      </w:pPr>
      <w:r>
        <w:rPr/>
        <w:br w:type="column"/>
      </w:r>
      <w:r>
        <w:rPr>
          <w:b/>
          <w:color w:val="394871"/>
          <w:sz w:val="24"/>
        </w:rPr>
        <w:t>July</w:t>
      </w:r>
      <w:r>
        <w:rPr>
          <w:b/>
          <w:color w:val="394871"/>
          <w:spacing w:val="-3"/>
          <w:sz w:val="24"/>
        </w:rPr>
        <w:t> </w:t>
      </w:r>
      <w:r>
        <w:rPr>
          <w:b/>
          <w:color w:val="394871"/>
          <w:spacing w:val="-4"/>
          <w:sz w:val="24"/>
        </w:rPr>
        <w:t>2026</w:t>
      </w:r>
    </w:p>
    <w:p>
      <w:pPr>
        <w:spacing w:line="240" w:lineRule="auto"/>
        <w:ind w:left="1685" w:right="0" w:firstLine="0"/>
        <w:rPr>
          <w:sz w:val="20"/>
        </w:rPr>
      </w:pPr>
      <w:r>
        <w:rPr/>
        <w:br w:type="column"/>
      </w:r>
      <w:r>
        <w:rPr>
          <w:sz w:val="20"/>
        </w:rPr>
        <w:drawing>
          <wp:inline distT="0" distB="0" distL="0" distR="0">
            <wp:extent cx="76655" cy="238029"/>
            <wp:effectExtent l="0" t="0" r="0" b="0"/>
            <wp:docPr id="169" name="Image 169"/>
            <wp:cNvGraphicFramePr>
              <a:graphicFrameLocks/>
            </wp:cNvGraphicFramePr>
            <a:graphic>
              <a:graphicData uri="http://schemas.openxmlformats.org/drawingml/2006/picture">
                <pic:pic>
                  <pic:nvPicPr>
                    <pic:cNvPr id="169" name="Image 169"/>
                    <pic:cNvPicPr/>
                  </pic:nvPicPr>
                  <pic:blipFill>
                    <a:blip r:embed="rId37" cstate="print"/>
                    <a:stretch>
                      <a:fillRect/>
                    </a:stretch>
                  </pic:blipFill>
                  <pic:spPr>
                    <a:xfrm>
                      <a:off x="0" y="0"/>
                      <a:ext cx="76655" cy="238029"/>
                    </a:xfrm>
                    <a:prstGeom prst="rect">
                      <a:avLst/>
                    </a:prstGeom>
                  </pic:spPr>
                </pic:pic>
              </a:graphicData>
            </a:graphic>
          </wp:inline>
        </w:drawing>
      </w:r>
      <w:r>
        <w:rPr>
          <w:sz w:val="20"/>
        </w:rPr>
      </w:r>
    </w:p>
    <w:p>
      <w:pPr>
        <w:spacing w:before="12"/>
        <w:ind w:left="1272" w:right="0" w:firstLine="0"/>
        <w:jc w:val="left"/>
        <w:rPr>
          <w:b/>
          <w:sz w:val="24"/>
        </w:rPr>
      </w:pPr>
      <w:r>
        <w:rPr>
          <w:b/>
          <w:color w:val="394871"/>
          <w:sz w:val="24"/>
        </w:rPr>
        <w:t>August</w:t>
      </w:r>
      <w:r>
        <w:rPr>
          <w:b/>
          <w:color w:val="394871"/>
          <w:spacing w:val="-5"/>
          <w:sz w:val="24"/>
        </w:rPr>
        <w:t> </w:t>
      </w:r>
      <w:r>
        <w:rPr>
          <w:b/>
          <w:color w:val="394871"/>
          <w:spacing w:val="-4"/>
          <w:sz w:val="24"/>
        </w:rPr>
        <w:t>2026</w:t>
      </w:r>
    </w:p>
    <w:p>
      <w:pPr>
        <w:spacing w:before="225"/>
        <w:ind w:left="715" w:right="0" w:firstLine="0"/>
        <w:jc w:val="center"/>
        <w:rPr>
          <w:b/>
          <w:sz w:val="24"/>
        </w:rPr>
      </w:pPr>
      <w:r>
        <w:rPr>
          <w:b/>
          <w:color w:val="394871"/>
          <w:spacing w:val="-2"/>
          <w:sz w:val="24"/>
        </w:rPr>
        <w:t>Digital</w:t>
      </w:r>
    </w:p>
    <w:p>
      <w:pPr>
        <w:spacing w:before="12"/>
        <w:ind w:left="727" w:right="0" w:firstLine="0"/>
        <w:jc w:val="center"/>
        <w:rPr>
          <w:b/>
          <w:sz w:val="24"/>
        </w:rPr>
      </w:pPr>
      <w:r>
        <w:rPr>
          <w:b/>
          <w:color w:val="394871"/>
          <w:spacing w:val="-2"/>
          <w:sz w:val="24"/>
        </w:rPr>
        <w:t>competencies</w:t>
      </w:r>
    </w:p>
    <w:p>
      <w:pPr>
        <w:pStyle w:val="BodyText"/>
        <w:spacing w:before="25"/>
        <w:rPr>
          <w:b/>
        </w:rPr>
      </w:pPr>
    </w:p>
    <w:p>
      <w:pPr>
        <w:pStyle w:val="BodyText"/>
        <w:spacing w:line="252" w:lineRule="auto"/>
        <w:ind w:left="718"/>
        <w:jc w:val="center"/>
      </w:pPr>
      <w:r>
        <w:rPr/>
        <w:t>Exploring</w:t>
      </w:r>
      <w:r>
        <w:rPr>
          <w:spacing w:val="-17"/>
        </w:rPr>
        <w:t> </w:t>
      </w:r>
      <w:r>
        <w:rPr/>
        <w:t>the</w:t>
      </w:r>
      <w:r>
        <w:rPr>
          <w:spacing w:val="-16"/>
        </w:rPr>
        <w:t> </w:t>
      </w:r>
      <w:r>
        <w:rPr/>
        <w:t>role</w:t>
      </w:r>
      <w:r>
        <w:rPr>
          <w:spacing w:val="-17"/>
        </w:rPr>
        <w:t> </w:t>
      </w:r>
      <w:r>
        <w:rPr/>
        <w:t>of digital team and </w:t>
      </w:r>
      <w:r>
        <w:rPr>
          <w:spacing w:val="-2"/>
        </w:rPr>
        <w:t>organisation competence </w:t>
      </w:r>
      <w:r>
        <w:rPr/>
        <w:t>development with </w:t>
      </w:r>
      <w:r>
        <w:rPr>
          <w:spacing w:val="-2"/>
        </w:rPr>
        <w:t>Gartner</w:t>
      </w:r>
    </w:p>
    <w:p>
      <w:pPr>
        <w:spacing w:before="60"/>
        <w:ind w:left="294" w:right="0" w:firstLine="0"/>
        <w:jc w:val="left"/>
        <w:rPr>
          <w:b/>
          <w:sz w:val="24"/>
        </w:rPr>
      </w:pPr>
      <w:r>
        <w:rPr/>
        <w:br w:type="column"/>
      </w:r>
      <w:r>
        <w:rPr>
          <w:b/>
          <w:color w:val="394871"/>
          <w:sz w:val="24"/>
        </w:rPr>
        <w:t>September</w:t>
      </w:r>
      <w:r>
        <w:rPr>
          <w:b/>
          <w:color w:val="394871"/>
          <w:spacing w:val="-2"/>
          <w:sz w:val="24"/>
        </w:rPr>
        <w:t> </w:t>
      </w:r>
      <w:r>
        <w:rPr>
          <w:b/>
          <w:color w:val="394871"/>
          <w:spacing w:val="-4"/>
          <w:sz w:val="24"/>
        </w:rPr>
        <w:t>2026</w:t>
      </w:r>
    </w:p>
    <w:p>
      <w:pPr>
        <w:spacing w:line="240" w:lineRule="auto"/>
        <w:ind w:left="1319" w:right="0" w:firstLine="0"/>
        <w:rPr>
          <w:sz w:val="20"/>
        </w:rPr>
      </w:pPr>
      <w:r>
        <w:rPr/>
        <w:br w:type="column"/>
      </w:r>
      <w:r>
        <w:rPr>
          <w:sz w:val="20"/>
        </w:rPr>
        <mc:AlternateContent>
          <mc:Choice Requires="wps">
            <w:drawing>
              <wp:inline distT="0" distB="0" distL="0" distR="0">
                <wp:extent cx="76200" cy="599440"/>
                <wp:effectExtent l="0" t="0" r="0" b="0"/>
                <wp:docPr id="170" name="Group 170"/>
                <wp:cNvGraphicFramePr>
                  <a:graphicFrameLocks/>
                </wp:cNvGraphicFramePr>
                <a:graphic>
                  <a:graphicData uri="http://schemas.microsoft.com/office/word/2010/wordprocessingGroup">
                    <wpg:wgp>
                      <wpg:cNvPr id="170" name="Group 170"/>
                      <wpg:cNvGrpSpPr/>
                      <wpg:grpSpPr>
                        <a:xfrm>
                          <a:off x="0" y="0"/>
                          <a:ext cx="76200" cy="599440"/>
                          <a:chExt cx="76200" cy="599440"/>
                        </a:xfrm>
                      </wpg:grpSpPr>
                      <wps:wsp>
                        <wps:cNvPr id="171" name="Graphic 171"/>
                        <wps:cNvSpPr/>
                        <wps:spPr>
                          <a:xfrm>
                            <a:off x="0" y="0"/>
                            <a:ext cx="76200" cy="599440"/>
                          </a:xfrm>
                          <a:custGeom>
                            <a:avLst/>
                            <a:gdLst/>
                            <a:ahLst/>
                            <a:cxnLst/>
                            <a:rect l="l" t="t" r="r" b="b"/>
                            <a:pathLst>
                              <a:path w="76200" h="599440">
                                <a:moveTo>
                                  <a:pt x="47625" y="63499"/>
                                </a:moveTo>
                                <a:lnTo>
                                  <a:pt x="28575" y="63499"/>
                                </a:lnTo>
                                <a:lnTo>
                                  <a:pt x="28575" y="599312"/>
                                </a:lnTo>
                                <a:lnTo>
                                  <a:pt x="47625" y="599312"/>
                                </a:lnTo>
                                <a:lnTo>
                                  <a:pt x="47625" y="63499"/>
                                </a:lnTo>
                                <a:close/>
                              </a:path>
                              <a:path w="76200" h="599440">
                                <a:moveTo>
                                  <a:pt x="38100" y="0"/>
                                </a:moveTo>
                                <a:lnTo>
                                  <a:pt x="0" y="76199"/>
                                </a:lnTo>
                                <a:lnTo>
                                  <a:pt x="28575" y="76199"/>
                                </a:lnTo>
                                <a:lnTo>
                                  <a:pt x="28575" y="63499"/>
                                </a:lnTo>
                                <a:lnTo>
                                  <a:pt x="69850" y="63499"/>
                                </a:lnTo>
                                <a:lnTo>
                                  <a:pt x="38100" y="0"/>
                                </a:lnTo>
                                <a:close/>
                              </a:path>
                              <a:path w="76200" h="599440">
                                <a:moveTo>
                                  <a:pt x="69850" y="63499"/>
                                </a:moveTo>
                                <a:lnTo>
                                  <a:pt x="47625" y="63499"/>
                                </a:lnTo>
                                <a:lnTo>
                                  <a:pt x="47625" y="76199"/>
                                </a:lnTo>
                                <a:lnTo>
                                  <a:pt x="76200" y="76199"/>
                                </a:lnTo>
                                <a:lnTo>
                                  <a:pt x="69850" y="63499"/>
                                </a:lnTo>
                                <a:close/>
                              </a:path>
                            </a:pathLst>
                          </a:custGeom>
                          <a:solidFill>
                            <a:srgbClr val="394871"/>
                          </a:solidFill>
                        </wps:spPr>
                        <wps:bodyPr wrap="square" lIns="0" tIns="0" rIns="0" bIns="0" rtlCol="0">
                          <a:prstTxWarp prst="textNoShape">
                            <a:avLst/>
                          </a:prstTxWarp>
                          <a:noAutofit/>
                        </wps:bodyPr>
                      </wps:wsp>
                    </wpg:wgp>
                  </a:graphicData>
                </a:graphic>
              </wp:inline>
            </w:drawing>
          </mc:Choice>
          <mc:Fallback>
            <w:pict>
              <v:group style="width:6pt;height:47.2pt;mso-position-horizontal-relative:char;mso-position-vertical-relative:line" id="docshapegroup113" coordorigin="0,0" coordsize="120,944">
                <v:shape style="position:absolute;left:0;top:0;width:120;height:944" id="docshape114" coordorigin="0,0" coordsize="120,944" path="m75,100l45,100,45,944,75,944,75,100xm60,0l0,120,45,120,45,100,110,100,60,0xm110,100l75,100,75,120,120,120,110,100xe" filled="true" fillcolor="#394871" stroked="false">
                  <v:path arrowok="t"/>
                  <v:fill type="solid"/>
                </v:shape>
              </v:group>
            </w:pict>
          </mc:Fallback>
        </mc:AlternateContent>
      </w:r>
      <w:r>
        <w:rPr>
          <w:sz w:val="20"/>
        </w:rPr>
      </w:r>
    </w:p>
    <w:p>
      <w:pPr>
        <w:pStyle w:val="BodyText"/>
        <w:spacing w:before="51"/>
        <w:rPr>
          <w:b/>
        </w:rPr>
      </w:pPr>
    </w:p>
    <w:p>
      <w:pPr>
        <w:spacing w:before="1"/>
        <w:ind w:left="116" w:right="0" w:firstLine="0"/>
        <w:jc w:val="center"/>
        <w:rPr>
          <w:b/>
          <w:sz w:val="24"/>
        </w:rPr>
      </w:pPr>
      <w:r>
        <w:rPr>
          <w:b/>
          <w:color w:val="394871"/>
          <w:spacing w:val="-2"/>
          <w:sz w:val="24"/>
        </w:rPr>
        <w:t>Discovery</w:t>
      </w:r>
    </w:p>
    <w:p>
      <w:pPr>
        <w:pStyle w:val="BodyText"/>
        <w:spacing w:before="24"/>
        <w:rPr>
          <w:b/>
        </w:rPr>
      </w:pPr>
    </w:p>
    <w:p>
      <w:pPr>
        <w:pStyle w:val="BodyText"/>
        <w:spacing w:before="1"/>
        <w:ind w:left="113"/>
        <w:jc w:val="center"/>
      </w:pPr>
      <w:r>
        <w:rPr/>
        <w:t>Undertake</w:t>
      </w:r>
      <w:r>
        <w:rPr>
          <w:spacing w:val="-5"/>
        </w:rPr>
        <w:t> </w:t>
      </w:r>
      <w:r>
        <w:rPr/>
        <w:t>the</w:t>
      </w:r>
      <w:r>
        <w:rPr>
          <w:spacing w:val="-5"/>
        </w:rPr>
        <w:t> </w:t>
      </w:r>
      <w:r>
        <w:rPr/>
        <w:t>CGI</w:t>
      </w:r>
      <w:r>
        <w:rPr>
          <w:spacing w:val="-8"/>
        </w:rPr>
        <w:t> </w:t>
      </w:r>
      <w:r>
        <w:rPr>
          <w:spacing w:val="-4"/>
        </w:rPr>
        <w:t>work</w:t>
      </w:r>
    </w:p>
    <w:p>
      <w:pPr>
        <w:pStyle w:val="BodyText"/>
        <w:spacing w:before="12"/>
        <w:ind w:left="121"/>
        <w:jc w:val="center"/>
      </w:pPr>
      <w:r>
        <w:rPr/>
        <w:t>Evaluate</w:t>
      </w:r>
      <w:r>
        <w:rPr>
          <w:spacing w:val="-6"/>
        </w:rPr>
        <w:t> </w:t>
      </w:r>
      <w:r>
        <w:rPr/>
        <w:t>the</w:t>
      </w:r>
      <w:r>
        <w:rPr>
          <w:spacing w:val="-6"/>
        </w:rPr>
        <w:t> </w:t>
      </w:r>
      <w:r>
        <w:rPr>
          <w:spacing w:val="-2"/>
        </w:rPr>
        <w:t>findings</w:t>
      </w:r>
    </w:p>
    <w:p>
      <w:pPr>
        <w:spacing w:before="60"/>
        <w:ind w:left="129" w:right="0" w:firstLine="0"/>
        <w:jc w:val="left"/>
        <w:rPr>
          <w:b/>
          <w:sz w:val="24"/>
        </w:rPr>
      </w:pPr>
      <w:r>
        <w:rPr/>
        <w:br w:type="column"/>
      </w:r>
      <w:r>
        <w:rPr>
          <w:b/>
          <w:color w:val="394871"/>
          <w:sz w:val="24"/>
        </w:rPr>
        <w:t>December</w:t>
      </w:r>
      <w:r>
        <w:rPr>
          <w:b/>
          <w:color w:val="394871"/>
          <w:spacing w:val="-9"/>
          <w:sz w:val="24"/>
        </w:rPr>
        <w:t> </w:t>
      </w:r>
      <w:r>
        <w:rPr>
          <w:b/>
          <w:color w:val="394871"/>
          <w:spacing w:val="-4"/>
          <w:sz w:val="24"/>
        </w:rPr>
        <w:t>2026</w:t>
      </w:r>
    </w:p>
    <w:p>
      <w:pPr>
        <w:spacing w:line="240" w:lineRule="auto"/>
        <w:ind w:left="1332" w:right="0" w:firstLine="0"/>
        <w:rPr>
          <w:sz w:val="20"/>
        </w:rPr>
      </w:pPr>
      <w:r>
        <w:rPr/>
        <w:br w:type="column"/>
      </w:r>
      <w:r>
        <w:rPr>
          <w:sz w:val="20"/>
        </w:rPr>
        <mc:AlternateContent>
          <mc:Choice Requires="wps">
            <w:drawing>
              <wp:inline distT="0" distB="0" distL="0" distR="0">
                <wp:extent cx="76200" cy="599440"/>
                <wp:effectExtent l="0" t="0" r="0" b="0"/>
                <wp:docPr id="172" name="Group 172"/>
                <wp:cNvGraphicFramePr>
                  <a:graphicFrameLocks/>
                </wp:cNvGraphicFramePr>
                <a:graphic>
                  <a:graphicData uri="http://schemas.microsoft.com/office/word/2010/wordprocessingGroup">
                    <wpg:wgp>
                      <wpg:cNvPr id="172" name="Group 172"/>
                      <wpg:cNvGrpSpPr/>
                      <wpg:grpSpPr>
                        <a:xfrm>
                          <a:off x="0" y="0"/>
                          <a:ext cx="76200" cy="599440"/>
                          <a:chExt cx="76200" cy="599440"/>
                        </a:xfrm>
                      </wpg:grpSpPr>
                      <wps:wsp>
                        <wps:cNvPr id="173" name="Graphic 173"/>
                        <wps:cNvSpPr/>
                        <wps:spPr>
                          <a:xfrm>
                            <a:off x="0" y="0"/>
                            <a:ext cx="76200" cy="599440"/>
                          </a:xfrm>
                          <a:custGeom>
                            <a:avLst/>
                            <a:gdLst/>
                            <a:ahLst/>
                            <a:cxnLst/>
                            <a:rect l="l" t="t" r="r" b="b"/>
                            <a:pathLst>
                              <a:path w="76200" h="599440">
                                <a:moveTo>
                                  <a:pt x="47625" y="63499"/>
                                </a:moveTo>
                                <a:lnTo>
                                  <a:pt x="28575" y="63499"/>
                                </a:lnTo>
                                <a:lnTo>
                                  <a:pt x="28575" y="599312"/>
                                </a:lnTo>
                                <a:lnTo>
                                  <a:pt x="47625" y="599312"/>
                                </a:lnTo>
                                <a:lnTo>
                                  <a:pt x="47625" y="63499"/>
                                </a:lnTo>
                                <a:close/>
                              </a:path>
                              <a:path w="76200" h="599440">
                                <a:moveTo>
                                  <a:pt x="38100" y="0"/>
                                </a:moveTo>
                                <a:lnTo>
                                  <a:pt x="0" y="76199"/>
                                </a:lnTo>
                                <a:lnTo>
                                  <a:pt x="28575" y="76199"/>
                                </a:lnTo>
                                <a:lnTo>
                                  <a:pt x="28575" y="63499"/>
                                </a:lnTo>
                                <a:lnTo>
                                  <a:pt x="69850" y="63499"/>
                                </a:lnTo>
                                <a:lnTo>
                                  <a:pt x="38100" y="0"/>
                                </a:lnTo>
                                <a:close/>
                              </a:path>
                              <a:path w="76200" h="599440">
                                <a:moveTo>
                                  <a:pt x="69850" y="63499"/>
                                </a:moveTo>
                                <a:lnTo>
                                  <a:pt x="47625" y="63499"/>
                                </a:lnTo>
                                <a:lnTo>
                                  <a:pt x="47625" y="76199"/>
                                </a:lnTo>
                                <a:lnTo>
                                  <a:pt x="76200" y="76199"/>
                                </a:lnTo>
                                <a:lnTo>
                                  <a:pt x="69850" y="63499"/>
                                </a:lnTo>
                                <a:close/>
                              </a:path>
                            </a:pathLst>
                          </a:custGeom>
                          <a:solidFill>
                            <a:srgbClr val="394871"/>
                          </a:solidFill>
                        </wps:spPr>
                        <wps:bodyPr wrap="square" lIns="0" tIns="0" rIns="0" bIns="0" rtlCol="0">
                          <a:prstTxWarp prst="textNoShape">
                            <a:avLst/>
                          </a:prstTxWarp>
                          <a:noAutofit/>
                        </wps:bodyPr>
                      </wps:wsp>
                    </wpg:wgp>
                  </a:graphicData>
                </a:graphic>
              </wp:inline>
            </w:drawing>
          </mc:Choice>
          <mc:Fallback>
            <w:pict>
              <v:group style="width:6pt;height:47.2pt;mso-position-horizontal-relative:char;mso-position-vertical-relative:line" id="docshapegroup115" coordorigin="0,0" coordsize="120,944">
                <v:shape style="position:absolute;left:0;top:0;width:120;height:944" id="docshape116" coordorigin="0,0" coordsize="120,944" path="m75,100l45,100,45,944,75,944,75,100xm60,0l0,120,45,120,45,100,110,100,60,0xm110,100l75,100,75,120,120,120,110,100xe" filled="true" fillcolor="#394871" stroked="false">
                  <v:path arrowok="t"/>
                  <v:fill type="solid"/>
                </v:shape>
              </v:group>
            </w:pict>
          </mc:Fallback>
        </mc:AlternateContent>
      </w:r>
      <w:r>
        <w:rPr>
          <w:sz w:val="20"/>
        </w:rPr>
      </w:r>
    </w:p>
    <w:p>
      <w:pPr>
        <w:spacing w:before="122"/>
        <w:ind w:left="78" w:right="32" w:firstLine="0"/>
        <w:jc w:val="center"/>
        <w:rPr>
          <w:b/>
          <w:sz w:val="24"/>
        </w:rPr>
      </w:pPr>
      <w:r>
        <w:rPr>
          <w:b/>
          <w:color w:val="394871"/>
          <w:sz w:val="24"/>
        </w:rPr>
        <w:t>Forward</w:t>
      </w:r>
      <w:r>
        <w:rPr>
          <w:b/>
          <w:color w:val="394871"/>
          <w:spacing w:val="-9"/>
          <w:sz w:val="24"/>
        </w:rPr>
        <w:t> </w:t>
      </w:r>
      <w:r>
        <w:rPr>
          <w:b/>
          <w:color w:val="394871"/>
          <w:spacing w:val="-4"/>
          <w:sz w:val="24"/>
        </w:rPr>
        <w:t>plan</w:t>
      </w:r>
    </w:p>
    <w:p>
      <w:pPr>
        <w:pStyle w:val="BodyText"/>
        <w:spacing w:before="24"/>
        <w:rPr>
          <w:b/>
        </w:rPr>
      </w:pPr>
    </w:p>
    <w:p>
      <w:pPr>
        <w:pStyle w:val="BodyText"/>
        <w:spacing w:line="249" w:lineRule="auto" w:before="1"/>
        <w:ind w:left="339" w:right="298" w:firstLine="1"/>
        <w:jc w:val="center"/>
      </w:pPr>
      <w:r>
        <w:rPr/>
        <w:t>Senior team prepare</w:t>
      </w:r>
      <w:r>
        <w:rPr>
          <w:spacing w:val="-17"/>
        </w:rPr>
        <w:t> </w:t>
      </w:r>
      <w:r>
        <w:rPr/>
        <w:t>design</w:t>
      </w:r>
      <w:r>
        <w:rPr>
          <w:spacing w:val="-17"/>
        </w:rPr>
        <w:t> </w:t>
      </w:r>
      <w:r>
        <w:rPr/>
        <w:t>and set out future actions inline with </w:t>
      </w:r>
      <w:r>
        <w:rPr>
          <w:spacing w:val="-2"/>
        </w:rPr>
        <w:t>IMTPs</w:t>
      </w:r>
    </w:p>
    <w:p>
      <w:pPr>
        <w:pStyle w:val="BodyText"/>
        <w:spacing w:after="0" w:line="249" w:lineRule="auto"/>
        <w:jc w:val="center"/>
        <w:sectPr>
          <w:type w:val="continuous"/>
          <w:pgSz w:w="19200" w:h="10800" w:orient="landscape"/>
          <w:pgMar w:header="0" w:footer="806" w:top="760" w:bottom="280" w:left="0" w:right="0"/>
          <w:cols w:num="7" w:equalWidth="0">
            <w:col w:w="2089" w:space="2589"/>
            <w:col w:w="2064" w:space="40"/>
            <w:col w:w="2844" w:space="39"/>
            <w:col w:w="2135" w:space="40"/>
            <w:col w:w="2682" w:space="39"/>
            <w:col w:w="1892" w:space="39"/>
            <w:col w:w="2708"/>
          </w:cols>
        </w:sectPr>
      </w:pPr>
    </w:p>
    <w:p>
      <w:pPr>
        <w:tabs>
          <w:tab w:pos="14284" w:val="left" w:leader="none"/>
        </w:tabs>
        <w:spacing w:line="240" w:lineRule="auto"/>
        <w:ind w:left="244" w:right="0" w:firstLine="0"/>
        <w:rPr>
          <w:position w:val="15"/>
          <w:sz w:val="20"/>
        </w:rPr>
      </w:pPr>
      <w:r>
        <w:rPr>
          <w:sz w:val="20"/>
        </w:rPr>
        <w:drawing>
          <wp:inline distT="0" distB="0" distL="0" distR="0">
            <wp:extent cx="3379509" cy="914400"/>
            <wp:effectExtent l="0" t="0" r="0" b="0"/>
            <wp:docPr id="176" name="Image 176"/>
            <wp:cNvGraphicFramePr>
              <a:graphicFrameLocks/>
            </wp:cNvGraphicFramePr>
            <a:graphic>
              <a:graphicData uri="http://schemas.openxmlformats.org/drawingml/2006/picture">
                <pic:pic>
                  <pic:nvPicPr>
                    <pic:cNvPr id="176" name="Image 176"/>
                    <pic:cNvPicPr/>
                  </pic:nvPicPr>
                  <pic:blipFill>
                    <a:blip r:embed="rId24" cstate="print"/>
                    <a:stretch>
                      <a:fillRect/>
                    </a:stretch>
                  </pic:blipFill>
                  <pic:spPr>
                    <a:xfrm>
                      <a:off x="0" y="0"/>
                      <a:ext cx="3379509" cy="914400"/>
                    </a:xfrm>
                    <a:prstGeom prst="rect">
                      <a:avLst/>
                    </a:prstGeom>
                  </pic:spPr>
                </pic:pic>
              </a:graphicData>
            </a:graphic>
          </wp:inline>
        </w:drawing>
      </w:r>
      <w:r>
        <w:rPr>
          <w:sz w:val="20"/>
        </w:rPr>
      </w:r>
      <w:r>
        <w:rPr>
          <w:sz w:val="20"/>
        </w:rPr>
        <w:tab/>
      </w:r>
      <w:r>
        <w:rPr>
          <w:position w:val="15"/>
          <w:sz w:val="20"/>
        </w:rPr>
        <w:drawing>
          <wp:inline distT="0" distB="0" distL="0" distR="0">
            <wp:extent cx="2966188" cy="804672"/>
            <wp:effectExtent l="0" t="0" r="0" b="0"/>
            <wp:docPr id="177" name="Image 177" descr="Temporary changes to blood test arrangements in Swansea Bay - Swansea Bay  University Health Board"/>
            <wp:cNvGraphicFramePr>
              <a:graphicFrameLocks/>
            </wp:cNvGraphicFramePr>
            <a:graphic>
              <a:graphicData uri="http://schemas.openxmlformats.org/drawingml/2006/picture">
                <pic:pic>
                  <pic:nvPicPr>
                    <pic:cNvPr id="177" name="Image 177" descr="Temporary changes to blood test arrangements in Swansea Bay - Swansea Bay  University Health Board"/>
                    <pic:cNvPicPr/>
                  </pic:nvPicPr>
                  <pic:blipFill>
                    <a:blip r:embed="rId25" cstate="print"/>
                    <a:stretch>
                      <a:fillRect/>
                    </a:stretch>
                  </pic:blipFill>
                  <pic:spPr>
                    <a:xfrm>
                      <a:off x="0" y="0"/>
                      <a:ext cx="2966188" cy="804672"/>
                    </a:xfrm>
                    <a:prstGeom prst="rect">
                      <a:avLst/>
                    </a:prstGeom>
                  </pic:spPr>
                </pic:pic>
              </a:graphicData>
            </a:graphic>
          </wp:inline>
        </w:drawing>
      </w:r>
      <w:r>
        <w:rPr>
          <w:position w:val="15"/>
          <w:sz w:val="20"/>
        </w:rPr>
      </w:r>
    </w:p>
    <w:p>
      <w:pPr>
        <w:spacing w:after="0" w:line="240" w:lineRule="auto"/>
        <w:rPr>
          <w:position w:val="15"/>
          <w:sz w:val="20"/>
        </w:rPr>
        <w:sectPr>
          <w:footerReference w:type="default" r:id="rId47"/>
          <w:pgSz w:w="19200" w:h="10800" w:orient="landscape"/>
          <w:pgMar w:header="0" w:footer="152" w:top="480" w:bottom="340" w:left="0" w:right="0"/>
        </w:sectPr>
      </w:pPr>
    </w:p>
    <w:p>
      <w:pPr>
        <w:pStyle w:val="Heading4"/>
        <w:ind w:right="13"/>
        <w:jc w:val="right"/>
      </w:pPr>
      <w:r>
        <w:rPr/>
        <mc:AlternateContent>
          <mc:Choice Requires="wps">
            <w:drawing>
              <wp:anchor distT="0" distB="0" distL="0" distR="0" allowOverlap="1" layoutInCell="1" locked="0" behindDoc="0" simplePos="0" relativeHeight="15771648">
                <wp:simplePos x="0" y="0"/>
                <wp:positionH relativeFrom="page">
                  <wp:posOffset>933767</wp:posOffset>
                </wp:positionH>
                <wp:positionV relativeFrom="paragraph">
                  <wp:posOffset>54292</wp:posOffset>
                </wp:positionV>
                <wp:extent cx="457834" cy="464184"/>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457834" cy="464184"/>
                          <a:chExt cx="457834" cy="464184"/>
                        </a:xfrm>
                      </wpg:grpSpPr>
                      <wps:wsp>
                        <wps:cNvPr id="181" name="Graphic 181"/>
                        <wps:cNvSpPr/>
                        <wps:spPr>
                          <a:xfrm>
                            <a:off x="0" y="0"/>
                            <a:ext cx="457834" cy="464184"/>
                          </a:xfrm>
                          <a:custGeom>
                            <a:avLst/>
                            <a:gdLst/>
                            <a:ahLst/>
                            <a:cxnLst/>
                            <a:rect l="l" t="t" r="r" b="b"/>
                            <a:pathLst>
                              <a:path w="457834" h="464184">
                                <a:moveTo>
                                  <a:pt x="457517" y="0"/>
                                </a:moveTo>
                                <a:lnTo>
                                  <a:pt x="0" y="0"/>
                                </a:lnTo>
                                <a:lnTo>
                                  <a:pt x="0" y="463867"/>
                                </a:lnTo>
                                <a:lnTo>
                                  <a:pt x="457517" y="463867"/>
                                </a:lnTo>
                                <a:lnTo>
                                  <a:pt x="457517" y="0"/>
                                </a:lnTo>
                                <a:close/>
                              </a:path>
                            </a:pathLst>
                          </a:custGeom>
                          <a:solidFill>
                            <a:srgbClr val="000000"/>
                          </a:solidFill>
                        </wps:spPr>
                        <wps:bodyPr wrap="square" lIns="0" tIns="0" rIns="0" bIns="0" rtlCol="0">
                          <a:prstTxWarp prst="textNoShape">
                            <a:avLst/>
                          </a:prstTxWarp>
                          <a:noAutofit/>
                        </wps:bodyPr>
                      </wps:wsp>
                      <wps:wsp>
                        <wps:cNvPr id="182" name="Textbox 182"/>
                        <wps:cNvSpPr txBox="1"/>
                        <wps:spPr>
                          <a:xfrm>
                            <a:off x="0" y="0"/>
                            <a:ext cx="457834" cy="464184"/>
                          </a:xfrm>
                          <a:prstGeom prst="rect">
                            <a:avLst/>
                          </a:prstGeom>
                        </wps:spPr>
                        <wps:txbx>
                          <w:txbxContent>
                            <w:p>
                              <w:pPr>
                                <w:spacing w:before="122"/>
                                <w:ind w:left="0" w:right="0" w:firstLine="0"/>
                                <w:jc w:val="center"/>
                                <w:rPr>
                                  <w:sz w:val="36"/>
                                </w:rPr>
                              </w:pPr>
                              <w:r>
                                <w:rPr>
                                  <w:color w:val="FFFFFF"/>
                                  <w:spacing w:val="-10"/>
                                  <w:sz w:val="36"/>
                                </w:rPr>
                                <w:t>3</w:t>
                              </w:r>
                            </w:p>
                          </w:txbxContent>
                        </wps:txbx>
                        <wps:bodyPr wrap="square" lIns="0" tIns="0" rIns="0" bIns="0" rtlCol="0">
                          <a:noAutofit/>
                        </wps:bodyPr>
                      </wps:wsp>
                    </wpg:wgp>
                  </a:graphicData>
                </a:graphic>
              </wp:anchor>
            </w:drawing>
          </mc:Choice>
          <mc:Fallback>
            <w:pict>
              <v:group style="position:absolute;margin-left:73.525002pt;margin-top:4.275pt;width:36.050pt;height:36.550pt;mso-position-horizontal-relative:page;mso-position-vertical-relative:paragraph;z-index:15771648" id="docshapegroup119" coordorigin="1471,86" coordsize="721,731">
                <v:rect style="position:absolute;left:1470;top:85;width:721;height:731" id="docshape120" filled="true" fillcolor="#000000" stroked="false">
                  <v:fill type="solid"/>
                </v:rect>
                <v:shape style="position:absolute;left:1470;top:85;width:721;height:731" type="#_x0000_t202" id="docshape121" filled="false" stroked="false">
                  <v:textbox inset="0,0,0,0">
                    <w:txbxContent>
                      <w:p>
                        <w:pPr>
                          <w:spacing w:before="122"/>
                          <w:ind w:left="0" w:right="0" w:firstLine="0"/>
                          <w:jc w:val="center"/>
                          <w:rPr>
                            <w:sz w:val="36"/>
                          </w:rPr>
                        </w:pPr>
                        <w:r>
                          <w:rPr>
                            <w:color w:val="FFFFFF"/>
                            <w:spacing w:val="-10"/>
                            <w:sz w:val="36"/>
                          </w:rPr>
                          <w:t>3</w:t>
                        </w:r>
                      </w:p>
                    </w:txbxContent>
                  </v:textbox>
                  <w10:wrap type="none"/>
                </v:shape>
                <w10:wrap type="none"/>
              </v:group>
            </w:pict>
          </mc:Fallback>
        </mc:AlternateContent>
      </w:r>
      <w:r>
        <w:rPr/>
        <w:t>10:20</w:t>
      </w:r>
      <w:r>
        <w:rPr>
          <w:spacing w:val="-4"/>
        </w:rPr>
        <w:t> </w:t>
      </w:r>
      <w:r>
        <w:rPr/>
        <w:t>AM,</w:t>
      </w:r>
      <w:r>
        <w:rPr>
          <w:spacing w:val="1"/>
        </w:rPr>
        <w:t> </w:t>
      </w:r>
      <w:r>
        <w:rPr/>
        <w:t>35</w:t>
      </w:r>
      <w:r>
        <w:rPr>
          <w:spacing w:val="-6"/>
        </w:rPr>
        <w:t> </w:t>
      </w:r>
      <w:r>
        <w:rPr>
          <w:spacing w:val="-4"/>
        </w:rPr>
        <w:t>Mins</w:t>
      </w:r>
    </w:p>
    <w:p>
      <w:pPr>
        <w:pStyle w:val="BodyText"/>
        <w:rPr>
          <w:b/>
          <w:sz w:val="20"/>
        </w:rPr>
      </w:pPr>
    </w:p>
    <w:p>
      <w:pPr>
        <w:pStyle w:val="BodyText"/>
        <w:spacing w:before="36"/>
        <w:rPr>
          <w:b/>
          <w:sz w:val="20"/>
        </w:rPr>
      </w:pPr>
      <w:r>
        <w:rPr>
          <w:b/>
          <w:sz w:val="20"/>
        </w:rPr>
        <mc:AlternateContent>
          <mc:Choice Requires="wps">
            <w:drawing>
              <wp:anchor distT="0" distB="0" distL="0" distR="0" allowOverlap="1" layoutInCell="1" locked="0" behindDoc="1" simplePos="0" relativeHeight="487630336">
                <wp:simplePos x="0" y="0"/>
                <wp:positionH relativeFrom="page">
                  <wp:posOffset>914400</wp:posOffset>
                </wp:positionH>
                <wp:positionV relativeFrom="paragraph">
                  <wp:posOffset>184179</wp:posOffset>
                </wp:positionV>
                <wp:extent cx="5730875" cy="6350"/>
                <wp:effectExtent l="0" t="0" r="0" b="0"/>
                <wp:wrapTopAndBottom/>
                <wp:docPr id="183" name="Graphic 183"/>
                <wp:cNvGraphicFramePr>
                  <a:graphicFrameLocks/>
                </wp:cNvGraphicFramePr>
                <a:graphic>
                  <a:graphicData uri="http://schemas.microsoft.com/office/word/2010/wordprocessingShape">
                    <wps:wsp>
                      <wps:cNvPr id="183" name="Graphic 183"/>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4.502344pt;width:451.25pt;height:.5pt;mso-position-horizontal-relative:page;mso-position-vertical-relative:paragraph;z-index:-15686144;mso-wrap-distance-left:0;mso-wrap-distance-right:0" id="docshape122" filled="true" fillcolor="#9f9f9f" stroked="false">
                <v:fill type="solid"/>
                <w10:wrap type="topAndBottom"/>
              </v:rect>
            </w:pict>
          </mc:Fallback>
        </mc:AlternateContent>
      </w:r>
    </w:p>
    <w:p>
      <w:pPr>
        <w:pStyle w:val="Heading2"/>
        <w:numPr>
          <w:ilvl w:val="0"/>
          <w:numId w:val="2"/>
        </w:numPr>
        <w:tabs>
          <w:tab w:pos="292" w:val="left" w:leader="none"/>
        </w:tabs>
        <w:spacing w:line="240" w:lineRule="auto" w:before="331" w:after="0"/>
        <w:ind w:left="292" w:right="0" w:hanging="269"/>
        <w:jc w:val="left"/>
      </w:pPr>
      <w:bookmarkStart w:name="3 - To Receive Sub-Group Assurance Repor" w:id="13"/>
      <w:bookmarkEnd w:id="13"/>
      <w:r>
        <w:rPr/>
      </w:r>
      <w:r>
        <w:rPr/>
        <w:t>-</w:t>
      </w:r>
      <w:r>
        <w:rPr>
          <w:spacing w:val="-6"/>
        </w:rPr>
        <w:t> </w:t>
      </w:r>
      <w:r>
        <w:rPr/>
        <w:t>To</w:t>
      </w:r>
      <w:r>
        <w:rPr>
          <w:spacing w:val="-3"/>
        </w:rPr>
        <w:t> </w:t>
      </w:r>
      <w:r>
        <w:rPr/>
        <w:t>Receive</w:t>
      </w:r>
      <w:r>
        <w:rPr>
          <w:spacing w:val="-3"/>
        </w:rPr>
        <w:t> </w:t>
      </w:r>
      <w:r>
        <w:rPr/>
        <w:t>Sub-Group</w:t>
      </w:r>
      <w:r>
        <w:rPr>
          <w:spacing w:val="-5"/>
        </w:rPr>
        <w:t> </w:t>
      </w:r>
      <w:r>
        <w:rPr/>
        <w:t>Assurance</w:t>
      </w:r>
      <w:r>
        <w:rPr>
          <w:spacing w:val="-2"/>
        </w:rPr>
        <w:t> Reports</w:t>
      </w:r>
    </w:p>
    <w:p>
      <w:pPr>
        <w:pStyle w:val="Heading2"/>
        <w:spacing w:after="0" w:line="240" w:lineRule="auto"/>
        <w:jc w:val="left"/>
        <w:sectPr>
          <w:footerReference w:type="default" r:id="rId48"/>
          <w:pgSz w:w="11910" w:h="16840"/>
          <w:pgMar w:header="0" w:footer="149" w:top="1940" w:bottom="340" w:left="1417" w:right="1417"/>
        </w:sectPr>
      </w:pPr>
    </w:p>
    <w:p>
      <w:pPr>
        <w:pStyle w:val="Heading4"/>
        <w:numPr>
          <w:ilvl w:val="1"/>
          <w:numId w:val="2"/>
        </w:numPr>
        <w:tabs>
          <w:tab w:pos="6796" w:val="left" w:leader="none"/>
        </w:tabs>
        <w:spacing w:line="240" w:lineRule="auto" w:before="198" w:after="0"/>
        <w:ind w:left="6796" w:right="0" w:hanging="6623"/>
        <w:jc w:val="left"/>
        <w:rPr>
          <w:b w:val="0"/>
          <w:position w:val="-8"/>
          <w:sz w:val="36"/>
        </w:rPr>
      </w:pPr>
      <w:r>
        <w:rPr/>
        <w:t>10:55</w:t>
      </w:r>
      <w:r>
        <w:rPr>
          <w:spacing w:val="-4"/>
        </w:rPr>
        <w:t> </w:t>
      </w:r>
      <w:r>
        <w:rPr/>
        <w:t>AM,</w:t>
      </w:r>
      <w:r>
        <w:rPr>
          <w:spacing w:val="2"/>
        </w:rPr>
        <w:t> </w:t>
      </w:r>
      <w:r>
        <w:rPr/>
        <w:t>0</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631360">
                <wp:simplePos x="0" y="0"/>
                <wp:positionH relativeFrom="page">
                  <wp:posOffset>914400</wp:posOffset>
                </wp:positionH>
                <wp:positionV relativeFrom="paragraph">
                  <wp:posOffset>262302</wp:posOffset>
                </wp:positionV>
                <wp:extent cx="5730875" cy="6350"/>
                <wp:effectExtent l="0" t="0" r="0" b="0"/>
                <wp:wrapTopAndBottom/>
                <wp:docPr id="184" name="Graphic 184"/>
                <wp:cNvGraphicFramePr>
                  <a:graphicFrameLocks/>
                </wp:cNvGraphicFramePr>
                <a:graphic>
                  <a:graphicData uri="http://schemas.microsoft.com/office/word/2010/wordprocessingShape">
                    <wps:wsp>
                      <wps:cNvPr id="184" name="Graphic 184"/>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685120;mso-wrap-distance-left:0;mso-wrap-distance-right:0" id="docshape123"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pgSz w:w="11910" w:h="16840"/>
          <w:pgMar w:header="0" w:footer="149" w:top="1940" w:bottom="340" w:left="1417" w:right="1417"/>
        </w:sectPr>
      </w:pPr>
    </w:p>
    <w:p>
      <w:pPr>
        <w:pStyle w:val="Heading2"/>
        <w:numPr>
          <w:ilvl w:val="1"/>
          <w:numId w:val="10"/>
        </w:numPr>
        <w:tabs>
          <w:tab w:pos="561" w:val="left" w:leader="none"/>
        </w:tabs>
        <w:spacing w:line="261" w:lineRule="auto" w:before="90" w:after="0"/>
        <w:ind w:left="23" w:right="0" w:firstLine="0"/>
        <w:jc w:val="left"/>
      </w:pPr>
      <w:bookmarkStart w:name="3.1 - 03 1.01 - RJC/37a: Clinical Servic" w:id="14"/>
      <w:bookmarkEnd w:id="14"/>
      <w:r>
        <w:rPr/>
      </w:r>
      <w:r>
        <w:rPr/>
        <w:t>-</w:t>
      </w:r>
      <w:r>
        <w:rPr>
          <w:spacing w:val="-13"/>
        </w:rPr>
        <w:t> </w:t>
      </w:r>
      <w:r>
        <w:rPr/>
        <w:t>03</w:t>
      </w:r>
      <w:r>
        <w:rPr>
          <w:spacing w:val="-9"/>
        </w:rPr>
        <w:t> </w:t>
      </w:r>
      <w:r>
        <w:rPr/>
        <w:t>1.01</w:t>
      </w:r>
      <w:r>
        <w:rPr>
          <w:spacing w:val="-4"/>
        </w:rPr>
        <w:t> </w:t>
      </w:r>
      <w:r>
        <w:rPr/>
        <w:t>-</w:t>
      </w:r>
      <w:r>
        <w:rPr>
          <w:spacing w:val="-8"/>
        </w:rPr>
        <w:t> </w:t>
      </w:r>
      <w:r>
        <w:rPr/>
        <w:t>RJC/37a:</w:t>
      </w:r>
      <w:r>
        <w:rPr>
          <w:spacing w:val="-6"/>
        </w:rPr>
        <w:t> </w:t>
      </w:r>
      <w:r>
        <w:rPr/>
        <w:t>Clinical</w:t>
      </w:r>
      <w:r>
        <w:rPr>
          <w:spacing w:val="-8"/>
        </w:rPr>
        <w:t> </w:t>
      </w:r>
      <w:r>
        <w:rPr/>
        <w:t>Services Planning Subgroup Update</w:t>
      </w:r>
    </w:p>
    <w:p>
      <w:pPr>
        <w:spacing w:line="261" w:lineRule="auto" w:before="93"/>
        <w:ind w:left="23" w:right="18" w:firstLine="855"/>
        <w:jc w:val="both"/>
        <w:rPr>
          <w:b/>
          <w:i/>
          <w:sz w:val="22"/>
        </w:rPr>
      </w:pPr>
      <w:r>
        <w:rPr/>
        <w:br w:type="column"/>
      </w:r>
      <w:r>
        <w:rPr>
          <w:b/>
          <w:i/>
          <w:sz w:val="22"/>
        </w:rPr>
        <w:t>Marie</w:t>
      </w:r>
      <w:r>
        <w:rPr>
          <w:b/>
          <w:i/>
          <w:spacing w:val="-16"/>
          <w:sz w:val="22"/>
        </w:rPr>
        <w:t> </w:t>
      </w:r>
      <w:r>
        <w:rPr>
          <w:b/>
          <w:i/>
          <w:sz w:val="22"/>
        </w:rPr>
        <w:t>Davies</w:t>
      </w:r>
      <w:r>
        <w:rPr>
          <w:b/>
          <w:i/>
          <w:sz w:val="22"/>
        </w:rPr>
        <w:t> (Swansea Bay UHB - Executive</w:t>
      </w:r>
      <w:r>
        <w:rPr>
          <w:b/>
          <w:i/>
          <w:spacing w:val="-7"/>
          <w:sz w:val="22"/>
        </w:rPr>
        <w:t> </w:t>
      </w:r>
      <w:r>
        <w:rPr>
          <w:b/>
          <w:i/>
          <w:sz w:val="22"/>
        </w:rPr>
        <w:t>Director</w:t>
      </w:r>
      <w:r>
        <w:rPr>
          <w:b/>
          <w:i/>
          <w:spacing w:val="-6"/>
          <w:sz w:val="22"/>
        </w:rPr>
        <w:t> </w:t>
      </w:r>
      <w:r>
        <w:rPr>
          <w:b/>
          <w:i/>
          <w:spacing w:val="-5"/>
          <w:sz w:val="22"/>
        </w:rPr>
        <w:t>of</w:t>
      </w:r>
    </w:p>
    <w:p>
      <w:pPr>
        <w:spacing w:line="261" w:lineRule="auto" w:before="0"/>
        <w:ind w:left="804" w:right="19" w:firstLine="40"/>
        <w:jc w:val="both"/>
        <w:rPr>
          <w:b/>
          <w:i/>
          <w:sz w:val="22"/>
        </w:rPr>
      </w:pPr>
      <w:r>
        <w:rPr>
          <w:b/>
          <w:i/>
          <w:sz w:val="22"/>
        </w:rPr>
        <w:t>Planning</w:t>
      </w:r>
      <w:r>
        <w:rPr>
          <w:b/>
          <w:i/>
          <w:spacing w:val="-16"/>
          <w:sz w:val="22"/>
        </w:rPr>
        <w:t> </w:t>
      </w:r>
      <w:r>
        <w:rPr>
          <w:b/>
          <w:i/>
          <w:sz w:val="22"/>
        </w:rPr>
        <w:t>and</w:t>
      </w:r>
      <w:r>
        <w:rPr>
          <w:b/>
          <w:i/>
          <w:sz w:val="22"/>
        </w:rPr>
        <w:t> </w:t>
      </w:r>
      <w:r>
        <w:rPr>
          <w:b/>
          <w:i/>
          <w:spacing w:val="-2"/>
          <w:sz w:val="22"/>
        </w:rPr>
        <w:t>Partnerships)</w:t>
      </w:r>
    </w:p>
    <w:p>
      <w:pPr>
        <w:spacing w:after="0" w:line="261" w:lineRule="auto"/>
        <w:jc w:val="both"/>
        <w:rPr>
          <w:b/>
          <w:i/>
          <w:sz w:val="22"/>
        </w:rPr>
        <w:sectPr>
          <w:type w:val="continuous"/>
          <w:pgSz w:w="11910" w:h="16840"/>
          <w:pgMar w:header="0" w:footer="149" w:top="760" w:bottom="280" w:left="1417" w:right="1417"/>
          <w:cols w:num="2" w:equalWidth="0">
            <w:col w:w="5873" w:space="950"/>
            <w:col w:w="2253"/>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33"/>
        <w:rPr>
          <w:b/>
          <w:i/>
          <w:sz w:val="22"/>
        </w:rPr>
      </w:pPr>
    </w:p>
    <w:p>
      <w:pPr>
        <w:spacing w:before="0"/>
        <w:ind w:left="23" w:right="0" w:firstLine="0"/>
        <w:jc w:val="left"/>
        <w:rPr>
          <w:b/>
          <w:sz w:val="22"/>
        </w:rPr>
      </w:pPr>
      <w:r>
        <w:rPr>
          <w:b/>
          <w:spacing w:val="-2"/>
          <w:sz w:val="22"/>
        </w:rPr>
        <w:t>Attachments</w:t>
      </w:r>
    </w:p>
    <w:p>
      <w:pPr>
        <w:spacing w:before="174"/>
        <w:ind w:left="23" w:right="0" w:firstLine="0"/>
        <w:jc w:val="both"/>
        <w:rPr>
          <w:sz w:val="18"/>
        </w:rPr>
      </w:pPr>
      <w:r>
        <w:rPr>
          <w:sz w:val="18"/>
          <w:u w:val="single"/>
        </w:rPr>
        <w:t>RJC</w:t>
      </w:r>
      <w:r>
        <w:rPr>
          <w:spacing w:val="-3"/>
          <w:sz w:val="18"/>
          <w:u w:val="single"/>
        </w:rPr>
        <w:t> </w:t>
      </w:r>
      <w:r>
        <w:rPr>
          <w:sz w:val="18"/>
          <w:u w:val="single"/>
        </w:rPr>
        <w:t>37a(i)</w:t>
      </w:r>
      <w:r>
        <w:rPr>
          <w:spacing w:val="-1"/>
          <w:sz w:val="18"/>
          <w:u w:val="single"/>
        </w:rPr>
        <w:t> </w:t>
      </w:r>
      <w:r>
        <w:rPr>
          <w:sz w:val="18"/>
          <w:u w:val="single"/>
        </w:rPr>
        <w:t>Clinical</w:t>
      </w:r>
      <w:r>
        <w:rPr>
          <w:spacing w:val="-1"/>
          <w:sz w:val="18"/>
          <w:u w:val="single"/>
        </w:rPr>
        <w:t> </w:t>
      </w:r>
      <w:r>
        <w:rPr>
          <w:sz w:val="18"/>
          <w:u w:val="single"/>
        </w:rPr>
        <w:t>Services</w:t>
      </w:r>
      <w:r>
        <w:rPr>
          <w:spacing w:val="-2"/>
          <w:sz w:val="18"/>
          <w:u w:val="single"/>
        </w:rPr>
        <w:t> </w:t>
      </w:r>
      <w:r>
        <w:rPr>
          <w:sz w:val="18"/>
          <w:u w:val="single"/>
        </w:rPr>
        <w:t>Planning</w:t>
      </w:r>
      <w:r>
        <w:rPr>
          <w:spacing w:val="-1"/>
          <w:sz w:val="18"/>
          <w:u w:val="single"/>
        </w:rPr>
        <w:t> </w:t>
      </w:r>
      <w:r>
        <w:rPr>
          <w:sz w:val="18"/>
          <w:u w:val="single"/>
        </w:rPr>
        <w:t>Subgroup (AAA)</w:t>
      </w:r>
      <w:r>
        <w:rPr>
          <w:spacing w:val="-1"/>
          <w:sz w:val="18"/>
          <w:u w:val="single"/>
        </w:rPr>
        <w:t> </w:t>
      </w:r>
      <w:r>
        <w:rPr>
          <w:sz w:val="18"/>
          <w:u w:val="single"/>
        </w:rPr>
        <w:t>Update </w:t>
      </w:r>
      <w:r>
        <w:rPr>
          <w:spacing w:val="-2"/>
          <w:sz w:val="18"/>
          <w:u w:val="single"/>
        </w:rPr>
        <w:t>Report.pdf</w:t>
      </w:r>
    </w:p>
    <w:p>
      <w:pPr>
        <w:spacing w:line="444" w:lineRule="auto" w:before="178"/>
        <w:ind w:left="23" w:right="2449" w:firstLine="0"/>
        <w:jc w:val="both"/>
        <w:rPr>
          <w:sz w:val="18"/>
        </w:rPr>
      </w:pPr>
      <w:r>
        <w:rPr>
          <w:sz w:val="18"/>
          <w:u w:val="single"/>
        </w:rPr>
        <w:t>RJC 37a(ii) Clinical Services Planning Subgroup (AAA) Appendix 1 Regional ~.pdf</w:t>
      </w:r>
      <w:r>
        <w:rPr>
          <w:sz w:val="18"/>
          <w:u w:val="none"/>
        </w:rPr>
        <w:t> </w:t>
      </w:r>
      <w:r>
        <w:rPr>
          <w:sz w:val="18"/>
          <w:u w:val="single"/>
        </w:rPr>
        <w:t>RJC 37a(iii) Clinical Services Planning Subgroup (AAA) Appendix 2 Regional~.pdf</w:t>
      </w:r>
      <w:r>
        <w:rPr>
          <w:sz w:val="18"/>
          <w:u w:val="none"/>
        </w:rPr>
        <w:t> </w:t>
      </w:r>
      <w:r>
        <w:rPr>
          <w:sz w:val="18"/>
          <w:u w:val="single"/>
        </w:rPr>
        <w:t>RJC</w:t>
      </w:r>
      <w:r>
        <w:rPr>
          <w:spacing w:val="-4"/>
          <w:sz w:val="18"/>
          <w:u w:val="single"/>
        </w:rPr>
        <w:t> </w:t>
      </w:r>
      <w:r>
        <w:rPr>
          <w:sz w:val="18"/>
          <w:u w:val="single"/>
        </w:rPr>
        <w:t>37a(iv)</w:t>
      </w:r>
      <w:r>
        <w:rPr>
          <w:spacing w:val="-5"/>
          <w:sz w:val="18"/>
          <w:u w:val="single"/>
        </w:rPr>
        <w:t> </w:t>
      </w:r>
      <w:r>
        <w:rPr>
          <w:sz w:val="18"/>
          <w:u w:val="single"/>
        </w:rPr>
        <w:t>Clinical</w:t>
      </w:r>
      <w:r>
        <w:rPr>
          <w:spacing w:val="-4"/>
          <w:sz w:val="18"/>
          <w:u w:val="single"/>
        </w:rPr>
        <w:t> </w:t>
      </w:r>
      <w:r>
        <w:rPr>
          <w:sz w:val="18"/>
          <w:u w:val="single"/>
        </w:rPr>
        <w:t>Services</w:t>
      </w:r>
      <w:r>
        <w:rPr>
          <w:spacing w:val="-4"/>
          <w:sz w:val="18"/>
          <w:u w:val="single"/>
        </w:rPr>
        <w:t> </w:t>
      </w:r>
      <w:r>
        <w:rPr>
          <w:sz w:val="18"/>
          <w:u w:val="single"/>
        </w:rPr>
        <w:t>Planning</w:t>
      </w:r>
      <w:r>
        <w:rPr>
          <w:spacing w:val="-4"/>
          <w:sz w:val="18"/>
          <w:u w:val="single"/>
        </w:rPr>
        <w:t> </w:t>
      </w:r>
      <w:r>
        <w:rPr>
          <w:sz w:val="18"/>
          <w:u w:val="single"/>
        </w:rPr>
        <w:t>Subgroup</w:t>
      </w:r>
      <w:r>
        <w:rPr>
          <w:spacing w:val="-5"/>
          <w:sz w:val="18"/>
          <w:u w:val="single"/>
        </w:rPr>
        <w:t> </w:t>
      </w:r>
      <w:r>
        <w:rPr>
          <w:sz w:val="18"/>
          <w:u w:val="single"/>
        </w:rPr>
        <w:t>(AAA)</w:t>
      </w:r>
      <w:r>
        <w:rPr>
          <w:spacing w:val="-4"/>
          <w:sz w:val="18"/>
          <w:u w:val="single"/>
        </w:rPr>
        <w:t> </w:t>
      </w:r>
      <w:r>
        <w:rPr>
          <w:sz w:val="18"/>
          <w:u w:val="single"/>
        </w:rPr>
        <w:t>Appendix</w:t>
      </w:r>
      <w:r>
        <w:rPr>
          <w:spacing w:val="-5"/>
          <w:sz w:val="18"/>
          <w:u w:val="single"/>
        </w:rPr>
        <w:t> </w:t>
      </w:r>
      <w:r>
        <w:rPr>
          <w:sz w:val="18"/>
          <w:u w:val="single"/>
        </w:rPr>
        <w:t>3</w:t>
      </w:r>
      <w:r>
        <w:rPr>
          <w:spacing w:val="-4"/>
          <w:sz w:val="18"/>
          <w:u w:val="single"/>
        </w:rPr>
        <w:t> </w:t>
      </w:r>
      <w:r>
        <w:rPr>
          <w:sz w:val="18"/>
          <w:u w:val="single"/>
        </w:rPr>
        <w:t>Regional</w:t>
      </w:r>
      <w:r>
        <w:rPr>
          <w:spacing w:val="-4"/>
          <w:sz w:val="18"/>
          <w:u w:val="single"/>
        </w:rPr>
        <w:t> </w:t>
      </w:r>
      <w:r>
        <w:rPr>
          <w:sz w:val="18"/>
          <w:u w:val="single"/>
        </w:rPr>
        <w:t>~.pdf</w:t>
      </w:r>
      <w:r>
        <w:rPr>
          <w:sz w:val="18"/>
          <w:u w:val="none"/>
        </w:rPr>
        <w:t> </w:t>
      </w:r>
      <w:r>
        <w:rPr>
          <w:sz w:val="18"/>
          <w:u w:val="single"/>
        </w:rPr>
        <w:t>RJC 37b Clinical Services Planning Subgroup Work Programme Summary.pdf</w:t>
      </w:r>
    </w:p>
    <w:p>
      <w:pPr>
        <w:spacing w:after="0" w:line="444" w:lineRule="auto"/>
        <w:jc w:val="both"/>
        <w:rPr>
          <w:sz w:val="18"/>
        </w:rPr>
        <w:sectPr>
          <w:type w:val="continuous"/>
          <w:pgSz w:w="11910" w:h="16840"/>
          <w:pgMar w:header="0" w:footer="149" w:top="760" w:bottom="280" w:left="1417" w:right="1417"/>
        </w:sectPr>
      </w:pPr>
    </w:p>
    <w:p>
      <w:pPr>
        <w:tabs>
          <w:tab w:pos="5149" w:val="left" w:leader="none"/>
        </w:tabs>
        <w:spacing w:line="240" w:lineRule="auto"/>
        <w:ind w:left="561" w:right="-58" w:firstLine="0"/>
        <w:rPr>
          <w:position w:val="9"/>
          <w:sz w:val="20"/>
        </w:rPr>
      </w:pPr>
      <w:r>
        <w:rPr>
          <w:sz w:val="20"/>
        </w:rPr>
        <w:drawing>
          <wp:inline distT="0" distB="0" distL="0" distR="0">
            <wp:extent cx="2247389" cy="585216"/>
            <wp:effectExtent l="0" t="0" r="0" b="0"/>
            <wp:docPr id="188" name="Image 188"/>
            <wp:cNvGraphicFramePr>
              <a:graphicFrameLocks/>
            </wp:cNvGraphicFramePr>
            <a:graphic>
              <a:graphicData uri="http://schemas.openxmlformats.org/drawingml/2006/picture">
                <pic:pic>
                  <pic:nvPicPr>
                    <pic:cNvPr id="188" name="Image 188"/>
                    <pic:cNvPicPr/>
                  </pic:nvPicPr>
                  <pic:blipFill>
                    <a:blip r:embed="rId50" cstate="print"/>
                    <a:stretch>
                      <a:fillRect/>
                    </a:stretch>
                  </pic:blipFill>
                  <pic:spPr>
                    <a:xfrm>
                      <a:off x="0" y="0"/>
                      <a:ext cx="2247389" cy="585216"/>
                    </a:xfrm>
                    <a:prstGeom prst="rect">
                      <a:avLst/>
                    </a:prstGeom>
                  </pic:spPr>
                </pic:pic>
              </a:graphicData>
            </a:graphic>
          </wp:inline>
        </w:drawing>
      </w:r>
      <w:r>
        <w:rPr>
          <w:sz w:val="20"/>
        </w:rPr>
      </w:r>
      <w:r>
        <w:rPr>
          <w:sz w:val="20"/>
        </w:rPr>
        <w:tab/>
      </w:r>
      <w:r>
        <w:rPr>
          <w:position w:val="9"/>
          <w:sz w:val="20"/>
        </w:rPr>
        <w:drawing>
          <wp:inline distT="0" distB="0" distL="0" distR="0">
            <wp:extent cx="2494674" cy="549021"/>
            <wp:effectExtent l="0" t="0" r="0" b="0"/>
            <wp:docPr id="189" name="Image 189"/>
            <wp:cNvGraphicFramePr>
              <a:graphicFrameLocks/>
            </wp:cNvGraphicFramePr>
            <a:graphic>
              <a:graphicData uri="http://schemas.openxmlformats.org/drawingml/2006/picture">
                <pic:pic>
                  <pic:nvPicPr>
                    <pic:cNvPr id="189" name="Image 189"/>
                    <pic:cNvPicPr/>
                  </pic:nvPicPr>
                  <pic:blipFill>
                    <a:blip r:embed="rId7" cstate="print"/>
                    <a:stretch>
                      <a:fillRect/>
                    </a:stretch>
                  </pic:blipFill>
                  <pic:spPr>
                    <a:xfrm>
                      <a:off x="0" y="0"/>
                      <a:ext cx="2494674" cy="549021"/>
                    </a:xfrm>
                    <a:prstGeom prst="rect">
                      <a:avLst/>
                    </a:prstGeom>
                  </pic:spPr>
                </pic:pic>
              </a:graphicData>
            </a:graphic>
          </wp:inline>
        </w:drawing>
      </w:r>
      <w:r>
        <w:rPr>
          <w:position w:val="9"/>
          <w:sz w:val="20"/>
        </w:rPr>
      </w:r>
    </w:p>
    <w:p>
      <w:pPr>
        <w:pStyle w:val="BodyText"/>
        <w:spacing w:before="130"/>
        <w:rPr>
          <w:sz w:val="28"/>
        </w:rPr>
      </w:pPr>
    </w:p>
    <w:p>
      <w:pPr>
        <w:pStyle w:val="Heading4"/>
        <w:spacing w:line="256" w:lineRule="auto" w:before="0"/>
        <w:ind w:left="5" w:right="5"/>
        <w:jc w:val="center"/>
      </w:pPr>
      <w:bookmarkStart w:name="Attachments" w:id="15"/>
      <w:bookmarkEnd w:id="15"/>
      <w:r>
        <w:rPr>
          <w:b w:val="0"/>
        </w:rPr>
      </w:r>
      <w:bookmarkStart w:name="RJC 37a(i) Clinical Services Planning Su" w:id="16"/>
      <w:bookmarkEnd w:id="16"/>
      <w:r>
        <w:rPr>
          <w:b w:val="0"/>
        </w:rPr>
      </w:r>
      <w:r>
        <w:rPr/>
        <w:t>CLINICAL</w:t>
      </w:r>
      <w:r>
        <w:rPr>
          <w:spacing w:val="-18"/>
        </w:rPr>
        <w:t> </w:t>
      </w:r>
      <w:r>
        <w:rPr/>
        <w:t>SERVICES</w:t>
      </w:r>
      <w:r>
        <w:rPr>
          <w:spacing w:val="-14"/>
        </w:rPr>
        <w:t> </w:t>
      </w:r>
      <w:r>
        <w:rPr/>
        <w:t>PLANNING</w:t>
      </w:r>
      <w:r>
        <w:rPr>
          <w:spacing w:val="-7"/>
        </w:rPr>
        <w:t> </w:t>
      </w:r>
      <w:r>
        <w:rPr/>
        <w:t>SUBGROUP</w:t>
      </w:r>
      <w:r>
        <w:rPr>
          <w:spacing w:val="-16"/>
        </w:rPr>
        <w:t> </w:t>
      </w:r>
      <w:r>
        <w:rPr/>
        <w:t>UPDATE</w:t>
      </w:r>
      <w:r>
        <w:rPr>
          <w:spacing w:val="-14"/>
        </w:rPr>
        <w:t> </w:t>
      </w:r>
      <w:r>
        <w:rPr/>
        <w:t>REPORT/ ADRODDIAD DIWEDDARU’R PWYLLGOR</w:t>
      </w:r>
    </w:p>
    <w:p>
      <w:pPr>
        <w:pStyle w:val="Heading4"/>
        <w:spacing w:before="166"/>
        <w:ind w:left="5"/>
        <w:jc w:val="center"/>
      </w:pPr>
      <w:r>
        <w:rPr/>
        <w:t>Regional</w:t>
      </w:r>
      <w:r>
        <w:rPr>
          <w:spacing w:val="-2"/>
        </w:rPr>
        <w:t> </w:t>
      </w:r>
      <w:r>
        <w:rPr/>
        <w:t>Joint</w:t>
      </w:r>
      <w:r>
        <w:rPr>
          <w:spacing w:val="1"/>
        </w:rPr>
        <w:t> </w:t>
      </w:r>
      <w:r>
        <w:rPr>
          <w:spacing w:val="-2"/>
        </w:rPr>
        <w:t>Committee</w:t>
      </w:r>
    </w:p>
    <w:p>
      <w:pPr>
        <w:spacing w:before="186"/>
        <w:ind w:left="23" w:right="0" w:firstLine="0"/>
        <w:jc w:val="left"/>
        <w:rPr>
          <w:sz w:val="24"/>
        </w:rPr>
      </w:pPr>
      <w:r>
        <w:rPr>
          <w:b/>
          <w:sz w:val="24"/>
        </w:rPr>
        <w:t>Date</w:t>
      </w:r>
      <w:r>
        <w:rPr>
          <w:b/>
          <w:spacing w:val="-2"/>
          <w:sz w:val="24"/>
        </w:rPr>
        <w:t> </w:t>
      </w:r>
      <w:r>
        <w:rPr>
          <w:b/>
          <w:sz w:val="24"/>
        </w:rPr>
        <w:t>of</w:t>
      </w:r>
      <w:r>
        <w:rPr>
          <w:b/>
          <w:spacing w:val="-2"/>
          <w:sz w:val="24"/>
        </w:rPr>
        <w:t> </w:t>
      </w:r>
      <w:r>
        <w:rPr>
          <w:b/>
          <w:sz w:val="24"/>
        </w:rPr>
        <w:t>last</w:t>
      </w:r>
      <w:r>
        <w:rPr>
          <w:b/>
          <w:spacing w:val="-2"/>
          <w:sz w:val="24"/>
        </w:rPr>
        <w:t> </w:t>
      </w:r>
      <w:r>
        <w:rPr>
          <w:b/>
          <w:sz w:val="24"/>
        </w:rPr>
        <w:t>meeting/</w:t>
      </w:r>
      <w:r>
        <w:rPr>
          <w:b/>
          <w:spacing w:val="-1"/>
          <w:sz w:val="24"/>
        </w:rPr>
        <w:t> </w:t>
      </w:r>
      <w:r>
        <w:rPr>
          <w:b/>
          <w:sz w:val="24"/>
        </w:rPr>
        <w:t>Dyddiad</w:t>
      </w:r>
      <w:r>
        <w:rPr>
          <w:b/>
          <w:spacing w:val="-4"/>
          <w:sz w:val="24"/>
        </w:rPr>
        <w:t> </w:t>
      </w:r>
      <w:r>
        <w:rPr>
          <w:b/>
          <w:sz w:val="24"/>
        </w:rPr>
        <w:t>y</w:t>
      </w:r>
      <w:r>
        <w:rPr>
          <w:b/>
          <w:spacing w:val="-2"/>
          <w:sz w:val="24"/>
        </w:rPr>
        <w:t> </w:t>
      </w:r>
      <w:r>
        <w:rPr>
          <w:b/>
          <w:sz w:val="24"/>
        </w:rPr>
        <w:t>cyfarfod</w:t>
      </w:r>
      <w:r>
        <w:rPr>
          <w:b/>
          <w:spacing w:val="1"/>
          <w:sz w:val="24"/>
        </w:rPr>
        <w:t> </w:t>
      </w:r>
      <w:r>
        <w:rPr>
          <w:b/>
          <w:sz w:val="24"/>
        </w:rPr>
        <w:t>diwethaf</w:t>
      </w:r>
      <w:r>
        <w:rPr>
          <w:sz w:val="24"/>
        </w:rPr>
        <w:t>:</w:t>
      </w:r>
      <w:r>
        <w:rPr>
          <w:spacing w:val="-4"/>
          <w:sz w:val="24"/>
        </w:rPr>
        <w:t> </w:t>
      </w:r>
      <w:r>
        <w:rPr>
          <w:sz w:val="24"/>
        </w:rPr>
        <w:t>15</w:t>
      </w:r>
      <w:r>
        <w:rPr>
          <w:spacing w:val="-1"/>
          <w:sz w:val="24"/>
        </w:rPr>
        <w:t> </w:t>
      </w:r>
      <w:r>
        <w:rPr>
          <w:sz w:val="24"/>
        </w:rPr>
        <w:t>September</w:t>
      </w:r>
      <w:r>
        <w:rPr>
          <w:spacing w:val="-2"/>
          <w:sz w:val="24"/>
        </w:rPr>
        <w:t> </w:t>
      </w:r>
      <w:r>
        <w:rPr>
          <w:spacing w:val="-4"/>
          <w:sz w:val="24"/>
        </w:rPr>
        <w:t>2026</w:t>
      </w:r>
    </w:p>
    <w:p>
      <w:pPr>
        <w:spacing w:before="184"/>
        <w:ind w:left="23" w:right="0" w:firstLine="0"/>
        <w:jc w:val="left"/>
        <w:rPr>
          <w:sz w:val="24"/>
        </w:rPr>
      </w:pPr>
      <w:r>
        <w:rPr>
          <w:b/>
          <w:sz w:val="24"/>
        </w:rPr>
        <w:t>Quoracy/</w:t>
      </w:r>
      <w:r>
        <w:rPr>
          <w:b/>
          <w:spacing w:val="-6"/>
          <w:sz w:val="24"/>
        </w:rPr>
        <w:t> </w:t>
      </w:r>
      <w:r>
        <w:rPr>
          <w:b/>
          <w:sz w:val="24"/>
        </w:rPr>
        <w:t>Cworwm</w:t>
      </w:r>
      <w:r>
        <w:rPr>
          <w:sz w:val="24"/>
        </w:rPr>
        <w:t>:</w:t>
      </w:r>
      <w:r>
        <w:rPr>
          <w:spacing w:val="-5"/>
          <w:sz w:val="24"/>
        </w:rPr>
        <w:t> Met</w:t>
      </w:r>
    </w:p>
    <w:p>
      <w:pPr>
        <w:spacing w:before="179"/>
        <w:ind w:left="23" w:right="0" w:firstLine="0"/>
        <w:jc w:val="left"/>
        <w:rPr>
          <w:sz w:val="24"/>
        </w:rPr>
      </w:pPr>
      <w:r>
        <w:rPr>
          <w:b/>
          <w:sz w:val="24"/>
        </w:rPr>
        <w:t>Report</w:t>
      </w:r>
      <w:r>
        <w:rPr>
          <w:b/>
          <w:spacing w:val="-4"/>
          <w:sz w:val="24"/>
        </w:rPr>
        <w:t> </w:t>
      </w:r>
      <w:r>
        <w:rPr>
          <w:b/>
          <w:sz w:val="24"/>
        </w:rPr>
        <w:t>by/</w:t>
      </w:r>
      <w:r>
        <w:rPr>
          <w:b/>
          <w:spacing w:val="-10"/>
          <w:sz w:val="24"/>
        </w:rPr>
        <w:t> </w:t>
      </w:r>
      <w:r>
        <w:rPr>
          <w:b/>
          <w:sz w:val="24"/>
        </w:rPr>
        <w:t>Adroddiad gan</w:t>
      </w:r>
      <w:r>
        <w:rPr>
          <w:sz w:val="24"/>
        </w:rPr>
        <w:t>:</w:t>
      </w:r>
      <w:r>
        <w:rPr>
          <w:spacing w:val="-6"/>
          <w:sz w:val="24"/>
        </w:rPr>
        <w:t> </w:t>
      </w:r>
      <w:r>
        <w:rPr>
          <w:sz w:val="24"/>
        </w:rPr>
        <w:t>Marie</w:t>
      </w:r>
      <w:r>
        <w:rPr>
          <w:spacing w:val="-2"/>
          <w:sz w:val="24"/>
        </w:rPr>
        <w:t> </w:t>
      </w:r>
      <w:r>
        <w:rPr>
          <w:sz w:val="24"/>
        </w:rPr>
        <w:t>Davies,</w:t>
      </w:r>
      <w:r>
        <w:rPr>
          <w:spacing w:val="-5"/>
          <w:sz w:val="24"/>
        </w:rPr>
        <w:t> </w:t>
      </w:r>
      <w:r>
        <w:rPr>
          <w:sz w:val="24"/>
        </w:rPr>
        <w:t>Executive</w:t>
      </w:r>
      <w:r>
        <w:rPr>
          <w:spacing w:val="-2"/>
          <w:sz w:val="24"/>
        </w:rPr>
        <w:t> </w:t>
      </w:r>
      <w:r>
        <w:rPr>
          <w:spacing w:val="-4"/>
          <w:sz w:val="24"/>
        </w:rPr>
        <w:t>Lead</w:t>
      </w:r>
    </w:p>
    <w:p>
      <w:pPr>
        <w:pStyle w:val="BodyText"/>
        <w:spacing w:before="195"/>
        <w:rPr>
          <w:sz w:val="20"/>
        </w:rPr>
      </w:pPr>
      <w:r>
        <w:rPr>
          <w:sz w:val="20"/>
        </w:rPr>
        <mc:AlternateContent>
          <mc:Choice Requires="wps">
            <w:drawing>
              <wp:anchor distT="0" distB="0" distL="0" distR="0" allowOverlap="1" layoutInCell="1" locked="0" behindDoc="1" simplePos="0" relativeHeight="487631872">
                <wp:simplePos x="0" y="0"/>
                <wp:positionH relativeFrom="page">
                  <wp:posOffset>914717</wp:posOffset>
                </wp:positionH>
                <wp:positionV relativeFrom="paragraph">
                  <wp:posOffset>285688</wp:posOffset>
                </wp:positionV>
                <wp:extent cx="5676900" cy="1270"/>
                <wp:effectExtent l="0" t="0" r="0" b="0"/>
                <wp:wrapTopAndBottom/>
                <wp:docPr id="190" name="Graphic 190"/>
                <wp:cNvGraphicFramePr>
                  <a:graphicFrameLocks/>
                </wp:cNvGraphicFramePr>
                <a:graphic>
                  <a:graphicData uri="http://schemas.microsoft.com/office/word/2010/wordprocessingShape">
                    <wps:wsp>
                      <wps:cNvPr id="190" name="Graphic 190"/>
                      <wps:cNvSpPr/>
                      <wps:spPr>
                        <a:xfrm>
                          <a:off x="0" y="0"/>
                          <a:ext cx="5676900" cy="1270"/>
                        </a:xfrm>
                        <a:custGeom>
                          <a:avLst/>
                          <a:gdLst/>
                          <a:ahLst/>
                          <a:cxnLst/>
                          <a:rect l="l" t="t" r="r" b="b"/>
                          <a:pathLst>
                            <a:path w="5676900" h="0">
                              <a:moveTo>
                                <a:pt x="0" y="0"/>
                              </a:moveTo>
                              <a:lnTo>
                                <a:pt x="567661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2.495193pt;width:447pt;height:.1pt;mso-position-horizontal-relative:page;mso-position-vertical-relative:paragraph;z-index:-15684608;mso-wrap-distance-left:0;mso-wrap-distance-right:0" id="docshape126" coordorigin="1441,450" coordsize="8940,0" path="m1441,450l10380,450e" filled="false" stroked="true" strokeweight=".756pt" strokecolor="#000000">
                <v:path arrowok="t"/>
                <v:stroke dashstyle="solid"/>
                <w10:wrap type="topAndBottom"/>
              </v:shape>
            </w:pict>
          </mc:Fallback>
        </mc:AlternateContent>
      </w:r>
    </w:p>
    <w:p>
      <w:pPr>
        <w:pStyle w:val="Heading9"/>
        <w:spacing w:line="261" w:lineRule="auto" w:before="182"/>
        <w:ind w:left="23"/>
        <w:jc w:val="left"/>
      </w:pPr>
      <w:r>
        <w:rPr/>
        <w:t>KEY</w:t>
      </w:r>
      <w:r>
        <w:rPr>
          <w:spacing w:val="-14"/>
        </w:rPr>
        <w:t> </w:t>
      </w:r>
      <w:r>
        <w:rPr/>
        <w:t>DISCUSSION</w:t>
      </w:r>
      <w:r>
        <w:rPr>
          <w:spacing w:val="-9"/>
        </w:rPr>
        <w:t> </w:t>
      </w:r>
      <w:r>
        <w:rPr/>
        <w:t>POINTS</w:t>
      </w:r>
      <w:r>
        <w:rPr>
          <w:spacing w:val="-14"/>
        </w:rPr>
        <w:t> </w:t>
      </w:r>
      <w:r>
        <w:rPr/>
        <w:t>AND</w:t>
      </w:r>
      <w:r>
        <w:rPr>
          <w:spacing w:val="-9"/>
        </w:rPr>
        <w:t> </w:t>
      </w:r>
      <w:r>
        <w:rPr/>
        <w:t>MATTERS</w:t>
      </w:r>
      <w:r>
        <w:rPr>
          <w:spacing w:val="-10"/>
        </w:rPr>
        <w:t> </w:t>
      </w:r>
      <w:r>
        <w:rPr/>
        <w:t>FROM</w:t>
      </w:r>
      <w:r>
        <w:rPr>
          <w:spacing w:val="-10"/>
        </w:rPr>
        <w:t> </w:t>
      </w:r>
      <w:r>
        <w:rPr/>
        <w:t>THE</w:t>
      </w:r>
      <w:r>
        <w:rPr>
          <w:spacing w:val="-10"/>
        </w:rPr>
        <w:t> </w:t>
      </w:r>
      <w:r>
        <w:rPr/>
        <w:t>DISCUSSION</w:t>
      </w:r>
      <w:r>
        <w:rPr>
          <w:spacing w:val="-13"/>
        </w:rPr>
        <w:t> </w:t>
      </w:r>
      <w:r>
        <w:rPr/>
        <w:t>AT</w:t>
      </w:r>
      <w:r>
        <w:rPr>
          <w:spacing w:val="-12"/>
        </w:rPr>
        <w:t> </w:t>
      </w:r>
      <w:r>
        <w:rPr/>
        <w:t>THE MEETING/ PWYNTIAU TRAFOD ALLWEDDOL A MATERION I’W</w:t>
      </w:r>
    </w:p>
    <w:p>
      <w:pPr>
        <w:pStyle w:val="Heading9"/>
        <w:spacing w:line="269" w:lineRule="exact"/>
        <w:ind w:left="23"/>
        <w:jc w:val="left"/>
      </w:pPr>
      <w:r>
        <w:rPr/>
        <w:t>HUWCHGYFEIRIO</w:t>
      </w:r>
      <w:r>
        <w:rPr>
          <w:spacing w:val="-9"/>
        </w:rPr>
        <w:t> </w:t>
      </w:r>
      <w:r>
        <w:rPr/>
        <w:t>O’R</w:t>
      </w:r>
      <w:r>
        <w:rPr>
          <w:spacing w:val="-3"/>
        </w:rPr>
        <w:t> </w:t>
      </w:r>
      <w:r>
        <w:rPr/>
        <w:t>DRAFODAETH</w:t>
      </w:r>
      <w:r>
        <w:rPr>
          <w:spacing w:val="-8"/>
        </w:rPr>
        <w:t> </w:t>
      </w:r>
      <w:r>
        <w:rPr/>
        <w:t>YN</w:t>
      </w:r>
      <w:r>
        <w:rPr>
          <w:spacing w:val="-8"/>
        </w:rPr>
        <w:t> </w:t>
      </w:r>
      <w:r>
        <w:rPr/>
        <w:t>Y</w:t>
      </w:r>
      <w:r>
        <w:rPr>
          <w:spacing w:val="-4"/>
        </w:rPr>
        <w:t> </w:t>
      </w:r>
      <w:r>
        <w:rPr>
          <w:spacing w:val="-2"/>
        </w:rPr>
        <w:t>CYFARFOD:</w:t>
      </w:r>
    </w:p>
    <w:p>
      <w:pPr>
        <w:spacing w:before="184"/>
        <w:ind w:left="23" w:right="0" w:firstLine="0"/>
        <w:jc w:val="left"/>
        <w:rPr>
          <w:b/>
          <w:sz w:val="24"/>
        </w:rPr>
      </w:pPr>
      <w:r>
        <w:rPr>
          <w:b/>
          <w:sz w:val="24"/>
        </w:rPr>
        <w:t>Alert</w:t>
      </w:r>
      <w:hyperlink w:history="true" w:anchor="_bookmark5">
        <w:r>
          <w:rPr>
            <w:b/>
            <w:sz w:val="24"/>
            <w:vertAlign w:val="superscript"/>
          </w:rPr>
          <w:t>1</w:t>
        </w:r>
      </w:hyperlink>
      <w:r>
        <w:rPr>
          <w:b/>
          <w:spacing w:val="-3"/>
          <w:sz w:val="24"/>
          <w:vertAlign w:val="baseline"/>
        </w:rPr>
        <w:t> </w:t>
      </w:r>
      <w:r>
        <w:rPr>
          <w:sz w:val="24"/>
          <w:vertAlign w:val="baseline"/>
        </w:rPr>
        <w:t>/</w:t>
      </w:r>
      <w:r>
        <w:rPr>
          <w:spacing w:val="-5"/>
          <w:sz w:val="24"/>
          <w:vertAlign w:val="baseline"/>
        </w:rPr>
        <w:t> </w:t>
      </w:r>
      <w:r>
        <w:rPr>
          <w:b/>
          <w:spacing w:val="-2"/>
          <w:sz w:val="24"/>
          <w:vertAlign w:val="baseline"/>
        </w:rPr>
        <w:t>Rhybuddio</w:t>
      </w:r>
    </w:p>
    <w:p>
      <w:pPr>
        <w:pStyle w:val="BodyText"/>
        <w:spacing w:line="273" w:lineRule="auto" w:before="179"/>
        <w:ind w:left="23" w:right="104"/>
      </w:pPr>
      <w:r>
        <w:rPr/>
        <w:t>The</w:t>
      </w:r>
      <w:r>
        <w:rPr>
          <w:spacing w:val="-2"/>
        </w:rPr>
        <w:t> </w:t>
      </w:r>
      <w:r>
        <w:rPr/>
        <w:t>Regional</w:t>
      </w:r>
      <w:r>
        <w:rPr>
          <w:spacing w:val="-1"/>
        </w:rPr>
        <w:t> </w:t>
      </w:r>
      <w:r>
        <w:rPr/>
        <w:t>Clinical</w:t>
      </w:r>
      <w:r>
        <w:rPr>
          <w:spacing w:val="-3"/>
        </w:rPr>
        <w:t> </w:t>
      </w:r>
      <w:r>
        <w:rPr/>
        <w:t>Services</w:t>
      </w:r>
      <w:r>
        <w:rPr>
          <w:spacing w:val="-4"/>
        </w:rPr>
        <w:t> </w:t>
      </w:r>
      <w:r>
        <w:rPr/>
        <w:t>Planning</w:t>
      </w:r>
      <w:r>
        <w:rPr>
          <w:spacing w:val="-3"/>
        </w:rPr>
        <w:t> </w:t>
      </w:r>
      <w:r>
        <w:rPr/>
        <w:t>Subgroup (RCSPG)</w:t>
      </w:r>
      <w:r>
        <w:rPr>
          <w:spacing w:val="-3"/>
        </w:rPr>
        <w:t> </w:t>
      </w:r>
      <w:r>
        <w:rPr/>
        <w:t>had</w:t>
      </w:r>
      <w:r>
        <w:rPr>
          <w:spacing w:val="-3"/>
        </w:rPr>
        <w:t> </w:t>
      </w:r>
      <w:r>
        <w:rPr/>
        <w:t>no</w:t>
      </w:r>
      <w:r>
        <w:rPr>
          <w:spacing w:val="-3"/>
        </w:rPr>
        <w:t> </w:t>
      </w:r>
      <w:r>
        <w:rPr/>
        <w:t>items</w:t>
      </w:r>
      <w:r>
        <w:rPr>
          <w:spacing w:val="-4"/>
        </w:rPr>
        <w:t> </w:t>
      </w:r>
      <w:r>
        <w:rPr/>
        <w:t>of</w:t>
      </w:r>
      <w:r>
        <w:rPr>
          <w:spacing w:val="-6"/>
        </w:rPr>
        <w:t> </w:t>
      </w:r>
      <w:r>
        <w:rPr/>
        <w:t>which to </w:t>
      </w:r>
      <w:r>
        <w:rPr>
          <w:b/>
        </w:rPr>
        <w:t>alert </w:t>
      </w:r>
      <w:r>
        <w:rPr/>
        <w:t>members of the RJC.</w:t>
      </w:r>
    </w:p>
    <w:p>
      <w:pPr>
        <w:pStyle w:val="BodyText"/>
        <w:spacing w:before="130"/>
      </w:pPr>
    </w:p>
    <w:p>
      <w:pPr>
        <w:spacing w:before="0"/>
        <w:ind w:left="23" w:right="0" w:firstLine="0"/>
        <w:jc w:val="left"/>
        <w:rPr>
          <w:b/>
          <w:sz w:val="24"/>
        </w:rPr>
      </w:pPr>
      <w:r>
        <w:rPr>
          <w:b/>
          <w:sz w:val="24"/>
        </w:rPr>
        <w:t>Advise</w:t>
      </w:r>
      <w:hyperlink w:history="true" w:anchor="_bookmark6">
        <w:r>
          <w:rPr>
            <w:b/>
            <w:sz w:val="24"/>
            <w:vertAlign w:val="superscript"/>
          </w:rPr>
          <w:t>2</w:t>
        </w:r>
      </w:hyperlink>
      <w:r>
        <w:rPr>
          <w:b/>
          <w:spacing w:val="-4"/>
          <w:sz w:val="24"/>
          <w:vertAlign w:val="baseline"/>
        </w:rPr>
        <w:t> </w:t>
      </w:r>
      <w:r>
        <w:rPr>
          <w:sz w:val="24"/>
          <w:vertAlign w:val="baseline"/>
        </w:rPr>
        <w:t>/</w:t>
      </w:r>
      <w:r>
        <w:rPr>
          <w:spacing w:val="-5"/>
          <w:sz w:val="24"/>
          <w:vertAlign w:val="baseline"/>
        </w:rPr>
        <w:t> </w:t>
      </w:r>
      <w:r>
        <w:rPr>
          <w:b/>
          <w:spacing w:val="-2"/>
          <w:sz w:val="24"/>
          <w:vertAlign w:val="baseline"/>
        </w:rPr>
        <w:t>Cynghori</w:t>
      </w:r>
    </w:p>
    <w:p>
      <w:pPr>
        <w:pStyle w:val="BodyText"/>
        <w:spacing w:before="174"/>
        <w:ind w:left="23"/>
      </w:pPr>
      <w:r>
        <w:rPr/>
        <w:t>The</w:t>
      </w:r>
      <w:r>
        <w:rPr>
          <w:spacing w:val="-3"/>
        </w:rPr>
        <w:t> </w:t>
      </w:r>
      <w:r>
        <w:rPr/>
        <w:t>RCSPG</w:t>
      </w:r>
      <w:r>
        <w:rPr>
          <w:spacing w:val="-5"/>
        </w:rPr>
        <w:t> </w:t>
      </w:r>
      <w:r>
        <w:rPr/>
        <w:t>wish</w:t>
      </w:r>
      <w:r>
        <w:rPr>
          <w:spacing w:val="-1"/>
        </w:rPr>
        <w:t> </w:t>
      </w:r>
      <w:r>
        <w:rPr/>
        <w:t>to </w:t>
      </w:r>
      <w:r>
        <w:rPr>
          <w:b/>
        </w:rPr>
        <w:t>advise </w:t>
      </w:r>
      <w:r>
        <w:rPr/>
        <w:t>members</w:t>
      </w:r>
      <w:r>
        <w:rPr>
          <w:spacing w:val="-3"/>
        </w:rPr>
        <w:t> </w:t>
      </w:r>
      <w:r>
        <w:rPr/>
        <w:t>of</w:t>
      </w:r>
      <w:r>
        <w:rPr>
          <w:spacing w:val="-4"/>
        </w:rPr>
        <w:t> </w:t>
      </w:r>
      <w:r>
        <w:rPr/>
        <w:t>the</w:t>
      </w:r>
      <w:r>
        <w:rPr>
          <w:spacing w:val="-2"/>
        </w:rPr>
        <w:t> </w:t>
      </w:r>
      <w:r>
        <w:rPr/>
        <w:t>RJC</w:t>
      </w:r>
      <w:r>
        <w:rPr>
          <w:spacing w:val="-1"/>
        </w:rPr>
        <w:t> </w:t>
      </w:r>
      <w:r>
        <w:rPr>
          <w:spacing w:val="-2"/>
        </w:rPr>
        <w:t>that:</w:t>
      </w:r>
    </w:p>
    <w:p>
      <w:pPr>
        <w:pStyle w:val="ListParagraph"/>
        <w:numPr>
          <w:ilvl w:val="0"/>
          <w:numId w:val="11"/>
        </w:numPr>
        <w:tabs>
          <w:tab w:pos="384" w:val="left" w:leader="none"/>
        </w:tabs>
        <w:spacing w:line="266" w:lineRule="auto" w:before="169" w:after="0"/>
        <w:ind w:left="384" w:right="381" w:hanging="361"/>
        <w:jc w:val="left"/>
        <w:rPr>
          <w:sz w:val="24"/>
        </w:rPr>
      </w:pPr>
      <w:r>
        <w:rPr>
          <w:sz w:val="24"/>
        </w:rPr>
        <w:t>Through</w:t>
      </w:r>
      <w:r>
        <w:rPr>
          <w:spacing w:val="-3"/>
          <w:sz w:val="24"/>
        </w:rPr>
        <w:t> </w:t>
      </w:r>
      <w:r>
        <w:rPr>
          <w:sz w:val="24"/>
        </w:rPr>
        <w:t>June</w:t>
      </w:r>
      <w:r>
        <w:rPr>
          <w:spacing w:val="-3"/>
          <w:sz w:val="24"/>
        </w:rPr>
        <w:t> </w:t>
      </w:r>
      <w:r>
        <w:rPr>
          <w:sz w:val="24"/>
        </w:rPr>
        <w:t>/</w:t>
      </w:r>
      <w:r>
        <w:rPr>
          <w:spacing w:val="-5"/>
          <w:sz w:val="24"/>
        </w:rPr>
        <w:t> </w:t>
      </w:r>
      <w:r>
        <w:rPr>
          <w:sz w:val="24"/>
        </w:rPr>
        <w:t>September</w:t>
      </w:r>
      <w:r>
        <w:rPr>
          <w:spacing w:val="-4"/>
          <w:sz w:val="24"/>
        </w:rPr>
        <w:t> </w:t>
      </w:r>
      <w:r>
        <w:rPr>
          <w:sz w:val="24"/>
        </w:rPr>
        <w:t>2026</w:t>
      </w:r>
      <w:r>
        <w:rPr>
          <w:spacing w:val="-3"/>
          <w:sz w:val="24"/>
        </w:rPr>
        <w:t> </w:t>
      </w:r>
      <w:r>
        <w:rPr>
          <w:sz w:val="24"/>
        </w:rPr>
        <w:t>the RCSPG</w:t>
      </w:r>
      <w:r>
        <w:rPr>
          <w:spacing w:val="-5"/>
          <w:sz w:val="24"/>
        </w:rPr>
        <w:t> </w:t>
      </w:r>
      <w:r>
        <w:rPr>
          <w:sz w:val="24"/>
        </w:rPr>
        <w:t>has</w:t>
      </w:r>
      <w:r>
        <w:rPr>
          <w:spacing w:val="-4"/>
          <w:sz w:val="24"/>
        </w:rPr>
        <w:t> </w:t>
      </w:r>
      <w:r>
        <w:rPr>
          <w:sz w:val="24"/>
        </w:rPr>
        <w:t>undertaken</w:t>
      </w:r>
      <w:r>
        <w:rPr>
          <w:spacing w:val="-3"/>
          <w:sz w:val="24"/>
        </w:rPr>
        <w:t> </w:t>
      </w:r>
      <w:r>
        <w:rPr>
          <w:sz w:val="24"/>
        </w:rPr>
        <w:t>a</w:t>
      </w:r>
      <w:r>
        <w:rPr>
          <w:spacing w:val="-3"/>
          <w:sz w:val="24"/>
        </w:rPr>
        <w:t> </w:t>
      </w:r>
      <w:r>
        <w:rPr>
          <w:sz w:val="24"/>
        </w:rPr>
        <w:t>full</w:t>
      </w:r>
      <w:r>
        <w:rPr>
          <w:spacing w:val="-3"/>
          <w:sz w:val="24"/>
        </w:rPr>
        <w:t> </w:t>
      </w:r>
      <w:r>
        <w:rPr>
          <w:sz w:val="24"/>
        </w:rPr>
        <w:t>review</w:t>
      </w:r>
      <w:r>
        <w:rPr>
          <w:spacing w:val="-3"/>
          <w:sz w:val="24"/>
        </w:rPr>
        <w:t> </w:t>
      </w:r>
      <w:r>
        <w:rPr>
          <w:sz w:val="24"/>
        </w:rPr>
        <w:t>and refresh of the Regional Orthopaedics, Eye Care, and Stroke programmes.</w:t>
      </w:r>
    </w:p>
    <w:p>
      <w:pPr>
        <w:pStyle w:val="ListParagraph"/>
        <w:numPr>
          <w:ilvl w:val="0"/>
          <w:numId w:val="11"/>
        </w:numPr>
        <w:tabs>
          <w:tab w:pos="384" w:val="left" w:leader="none"/>
        </w:tabs>
        <w:spacing w:line="276" w:lineRule="auto" w:before="17" w:after="0"/>
        <w:ind w:left="384" w:right="210" w:hanging="361"/>
        <w:jc w:val="left"/>
        <w:rPr>
          <w:sz w:val="24"/>
        </w:rPr>
      </w:pPr>
      <w:r>
        <w:rPr>
          <w:sz w:val="24"/>
        </w:rPr>
        <w:t>Since these programmes were initiated the clinical, operational, and regional programme</w:t>
      </w:r>
      <w:r>
        <w:rPr>
          <w:spacing w:val="-3"/>
          <w:sz w:val="24"/>
        </w:rPr>
        <w:t> </w:t>
      </w:r>
      <w:r>
        <w:rPr>
          <w:sz w:val="24"/>
        </w:rPr>
        <w:t>teams</w:t>
      </w:r>
      <w:r>
        <w:rPr>
          <w:spacing w:val="-4"/>
          <w:sz w:val="24"/>
        </w:rPr>
        <w:t> </w:t>
      </w:r>
      <w:r>
        <w:rPr>
          <w:sz w:val="24"/>
        </w:rPr>
        <w:t>have</w:t>
      </w:r>
      <w:r>
        <w:rPr>
          <w:spacing w:val="-3"/>
          <w:sz w:val="24"/>
        </w:rPr>
        <w:t> </w:t>
      </w:r>
      <w:r>
        <w:rPr>
          <w:sz w:val="24"/>
        </w:rPr>
        <w:t>focused</w:t>
      </w:r>
      <w:r>
        <w:rPr>
          <w:spacing w:val="-3"/>
          <w:sz w:val="24"/>
        </w:rPr>
        <w:t> </w:t>
      </w:r>
      <w:r>
        <w:rPr>
          <w:sz w:val="24"/>
        </w:rPr>
        <w:t>on</w:t>
      </w:r>
      <w:r>
        <w:rPr>
          <w:spacing w:val="-3"/>
          <w:sz w:val="24"/>
        </w:rPr>
        <w:t> </w:t>
      </w:r>
      <w:r>
        <w:rPr>
          <w:sz w:val="24"/>
        </w:rPr>
        <w:t>setting</w:t>
      </w:r>
      <w:r>
        <w:rPr>
          <w:spacing w:val="-3"/>
          <w:sz w:val="24"/>
        </w:rPr>
        <w:t> </w:t>
      </w:r>
      <w:r>
        <w:rPr>
          <w:sz w:val="24"/>
        </w:rPr>
        <w:t>the</w:t>
      </w:r>
      <w:r>
        <w:rPr>
          <w:spacing w:val="-3"/>
          <w:sz w:val="24"/>
        </w:rPr>
        <w:t> </w:t>
      </w:r>
      <w:r>
        <w:rPr>
          <w:sz w:val="24"/>
        </w:rPr>
        <w:t>foundations</w:t>
      </w:r>
      <w:r>
        <w:rPr>
          <w:spacing w:val="-4"/>
          <w:sz w:val="24"/>
        </w:rPr>
        <w:t> </w:t>
      </w:r>
      <w:r>
        <w:rPr>
          <w:sz w:val="24"/>
        </w:rPr>
        <w:t>for</w:t>
      </w:r>
      <w:r>
        <w:rPr>
          <w:spacing w:val="-4"/>
          <w:sz w:val="24"/>
        </w:rPr>
        <w:t> </w:t>
      </w:r>
      <w:r>
        <w:rPr>
          <w:sz w:val="24"/>
        </w:rPr>
        <w:t>regional</w:t>
      </w:r>
      <w:r>
        <w:rPr>
          <w:spacing w:val="-3"/>
          <w:sz w:val="24"/>
        </w:rPr>
        <w:t> </w:t>
      </w:r>
      <w:r>
        <w:rPr>
          <w:sz w:val="24"/>
        </w:rPr>
        <w:t>services –</w:t>
      </w:r>
      <w:r>
        <w:rPr>
          <w:spacing w:val="-1"/>
          <w:sz w:val="24"/>
        </w:rPr>
        <w:t> </w:t>
      </w:r>
      <w:r>
        <w:rPr>
          <w:sz w:val="24"/>
        </w:rPr>
        <w:t>getting</w:t>
      </w:r>
      <w:r>
        <w:rPr>
          <w:spacing w:val="-1"/>
          <w:sz w:val="24"/>
        </w:rPr>
        <w:t> </w:t>
      </w:r>
      <w:r>
        <w:rPr>
          <w:sz w:val="24"/>
        </w:rPr>
        <w:t>the</w:t>
      </w:r>
      <w:r>
        <w:rPr>
          <w:spacing w:val="-1"/>
          <w:sz w:val="24"/>
        </w:rPr>
        <w:t> </w:t>
      </w:r>
      <w:r>
        <w:rPr>
          <w:sz w:val="24"/>
        </w:rPr>
        <w:t>basics</w:t>
      </w:r>
      <w:r>
        <w:rPr>
          <w:spacing w:val="-2"/>
          <w:sz w:val="24"/>
        </w:rPr>
        <w:t> </w:t>
      </w:r>
      <w:r>
        <w:rPr>
          <w:sz w:val="24"/>
        </w:rPr>
        <w:t>right</w:t>
      </w:r>
      <w:r>
        <w:rPr>
          <w:spacing w:val="-1"/>
          <w:sz w:val="24"/>
        </w:rPr>
        <w:t> </w:t>
      </w:r>
      <w:r>
        <w:rPr>
          <w:sz w:val="24"/>
        </w:rPr>
        <w:t>–</w:t>
      </w:r>
      <w:r>
        <w:rPr>
          <w:spacing w:val="-1"/>
          <w:sz w:val="24"/>
        </w:rPr>
        <w:t> </w:t>
      </w:r>
      <w:r>
        <w:rPr>
          <w:sz w:val="24"/>
        </w:rPr>
        <w:t>whilst</w:t>
      </w:r>
      <w:r>
        <w:rPr>
          <w:spacing w:val="-4"/>
          <w:sz w:val="24"/>
        </w:rPr>
        <w:t> </w:t>
      </w:r>
      <w:r>
        <w:rPr>
          <w:sz w:val="24"/>
        </w:rPr>
        <w:t>working</w:t>
      </w:r>
      <w:r>
        <w:rPr>
          <w:spacing w:val="-1"/>
          <w:sz w:val="24"/>
        </w:rPr>
        <w:t> </w:t>
      </w:r>
      <w:r>
        <w:rPr>
          <w:sz w:val="24"/>
        </w:rPr>
        <w:t>towards</w:t>
      </w:r>
      <w:r>
        <w:rPr>
          <w:spacing w:val="-2"/>
          <w:sz w:val="24"/>
        </w:rPr>
        <w:t> </w:t>
      </w:r>
      <w:r>
        <w:rPr>
          <w:sz w:val="24"/>
        </w:rPr>
        <w:t>a</w:t>
      </w:r>
      <w:r>
        <w:rPr>
          <w:spacing w:val="-1"/>
          <w:sz w:val="24"/>
        </w:rPr>
        <w:t> </w:t>
      </w:r>
      <w:r>
        <w:rPr>
          <w:sz w:val="24"/>
        </w:rPr>
        <w:t>broad</w:t>
      </w:r>
      <w:r>
        <w:rPr>
          <w:spacing w:val="-1"/>
          <w:sz w:val="24"/>
        </w:rPr>
        <w:t> </w:t>
      </w:r>
      <w:r>
        <w:rPr>
          <w:sz w:val="24"/>
        </w:rPr>
        <w:t>regional</w:t>
      </w:r>
      <w:r>
        <w:rPr>
          <w:spacing w:val="-1"/>
          <w:sz w:val="24"/>
        </w:rPr>
        <w:t> </w:t>
      </w:r>
      <w:r>
        <w:rPr>
          <w:sz w:val="24"/>
        </w:rPr>
        <w:t>strategy</w:t>
      </w:r>
      <w:r>
        <w:rPr>
          <w:spacing w:val="-2"/>
          <w:sz w:val="24"/>
        </w:rPr>
        <w:t> </w:t>
      </w:r>
      <w:r>
        <w:rPr>
          <w:sz w:val="24"/>
        </w:rPr>
        <w:t>and maintaining a sharp focus on achieving operational standards and targets,</w:t>
      </w:r>
      <w:r>
        <w:rPr>
          <w:spacing w:val="-2"/>
          <w:sz w:val="24"/>
        </w:rPr>
        <w:t> </w:t>
      </w:r>
      <w:r>
        <w:rPr>
          <w:sz w:val="24"/>
        </w:rPr>
        <w:t>such as the 104-week waiting target.</w:t>
      </w:r>
      <w:r>
        <w:rPr>
          <w:spacing w:val="40"/>
          <w:sz w:val="24"/>
        </w:rPr>
        <w:t> </w:t>
      </w:r>
      <w:r>
        <w:rPr>
          <w:sz w:val="24"/>
        </w:rPr>
        <w:t>Good progress has been made as previously reported to the RJC.</w:t>
      </w:r>
    </w:p>
    <w:p>
      <w:pPr>
        <w:pStyle w:val="ListParagraph"/>
        <w:numPr>
          <w:ilvl w:val="0"/>
          <w:numId w:val="11"/>
        </w:numPr>
        <w:tabs>
          <w:tab w:pos="384" w:val="left" w:leader="none"/>
        </w:tabs>
        <w:spacing w:line="276" w:lineRule="auto" w:before="0" w:after="0"/>
        <w:ind w:left="384" w:right="200" w:hanging="361"/>
        <w:jc w:val="left"/>
        <w:rPr>
          <w:sz w:val="24"/>
        </w:rPr>
      </w:pPr>
      <w:r>
        <w:rPr>
          <w:sz w:val="24"/>
        </w:rPr>
        <w:t>The</w:t>
      </w:r>
      <w:r>
        <w:rPr>
          <w:spacing w:val="-2"/>
          <w:sz w:val="24"/>
        </w:rPr>
        <w:t> </w:t>
      </w:r>
      <w:r>
        <w:rPr>
          <w:sz w:val="24"/>
        </w:rPr>
        <w:t>programme</w:t>
      </w:r>
      <w:r>
        <w:rPr>
          <w:spacing w:val="-2"/>
          <w:sz w:val="24"/>
        </w:rPr>
        <w:t> </w:t>
      </w:r>
      <w:r>
        <w:rPr>
          <w:sz w:val="24"/>
        </w:rPr>
        <w:t>boards</w:t>
      </w:r>
      <w:r>
        <w:rPr>
          <w:spacing w:val="-3"/>
          <w:sz w:val="24"/>
        </w:rPr>
        <w:t> </w:t>
      </w:r>
      <w:r>
        <w:rPr>
          <w:sz w:val="24"/>
        </w:rPr>
        <w:t>and</w:t>
      </w:r>
      <w:r>
        <w:rPr>
          <w:spacing w:val="-2"/>
          <w:sz w:val="24"/>
        </w:rPr>
        <w:t> </w:t>
      </w:r>
      <w:r>
        <w:rPr>
          <w:sz w:val="24"/>
        </w:rPr>
        <w:t>RCSPG</w:t>
      </w:r>
      <w:r>
        <w:rPr>
          <w:spacing w:val="-5"/>
          <w:sz w:val="24"/>
        </w:rPr>
        <w:t> </w:t>
      </w:r>
      <w:r>
        <w:rPr>
          <w:sz w:val="24"/>
        </w:rPr>
        <w:t>have</w:t>
      </w:r>
      <w:r>
        <w:rPr>
          <w:spacing w:val="-2"/>
          <w:sz w:val="24"/>
        </w:rPr>
        <w:t> </w:t>
      </w:r>
      <w:r>
        <w:rPr>
          <w:sz w:val="24"/>
        </w:rPr>
        <w:t>taken</w:t>
      </w:r>
      <w:r>
        <w:rPr>
          <w:spacing w:val="-2"/>
          <w:sz w:val="24"/>
        </w:rPr>
        <w:t> </w:t>
      </w:r>
      <w:r>
        <w:rPr>
          <w:sz w:val="24"/>
        </w:rPr>
        <w:t>stock</w:t>
      </w:r>
      <w:r>
        <w:rPr>
          <w:spacing w:val="-3"/>
          <w:sz w:val="24"/>
        </w:rPr>
        <w:t> </w:t>
      </w:r>
      <w:r>
        <w:rPr>
          <w:sz w:val="24"/>
        </w:rPr>
        <w:t>of</w:t>
      </w:r>
      <w:r>
        <w:rPr>
          <w:spacing w:val="-5"/>
          <w:sz w:val="24"/>
        </w:rPr>
        <w:t> </w:t>
      </w:r>
      <w:r>
        <w:rPr>
          <w:sz w:val="24"/>
        </w:rPr>
        <w:t>progress,</w:t>
      </w:r>
      <w:r>
        <w:rPr>
          <w:spacing w:val="-5"/>
          <w:sz w:val="24"/>
        </w:rPr>
        <w:t> </w:t>
      </w:r>
      <w:r>
        <w:rPr>
          <w:sz w:val="24"/>
        </w:rPr>
        <w:t>sought</w:t>
      </w:r>
      <w:r>
        <w:rPr>
          <w:spacing w:val="-5"/>
          <w:sz w:val="24"/>
        </w:rPr>
        <w:t> </w:t>
      </w:r>
      <w:r>
        <w:rPr>
          <w:sz w:val="24"/>
        </w:rPr>
        <w:t>to</w:t>
      </w:r>
      <w:r>
        <w:rPr>
          <w:spacing w:val="-2"/>
          <w:sz w:val="24"/>
        </w:rPr>
        <w:t> </w:t>
      </w:r>
      <w:r>
        <w:rPr>
          <w:sz w:val="24"/>
        </w:rPr>
        <w:t>be more ambitious through regional collaboration, reflected on changes in context such as national elections, looked to the future, and set a renewed, invigorated and purposeful course towards a more strategic regional solutions that achieve the ministerial 36-week waiting target by 2030; respond positively to GIRFT; tackle the strategy and quality standard recommendations and respond to emerging Ministerial challenges to implement Regional Surgical Hubs.</w:t>
      </w:r>
    </w:p>
    <w:p>
      <w:pPr>
        <w:pStyle w:val="BodyText"/>
        <w:rPr>
          <w:sz w:val="20"/>
        </w:rPr>
      </w:pPr>
    </w:p>
    <w:p>
      <w:pPr>
        <w:pStyle w:val="BodyText"/>
        <w:rPr>
          <w:sz w:val="20"/>
        </w:rPr>
      </w:pPr>
    </w:p>
    <w:p>
      <w:pPr>
        <w:pStyle w:val="BodyText"/>
        <w:spacing w:before="192"/>
        <w:rPr>
          <w:sz w:val="20"/>
        </w:rPr>
      </w:pPr>
      <w:r>
        <w:rPr>
          <w:sz w:val="20"/>
        </w:rPr>
        <mc:AlternateContent>
          <mc:Choice Requires="wps">
            <w:drawing>
              <wp:anchor distT="0" distB="0" distL="0" distR="0" allowOverlap="1" layoutInCell="1" locked="0" behindDoc="1" simplePos="0" relativeHeight="487632384">
                <wp:simplePos x="0" y="0"/>
                <wp:positionH relativeFrom="page">
                  <wp:posOffset>914717</wp:posOffset>
                </wp:positionH>
                <wp:positionV relativeFrom="paragraph">
                  <wp:posOffset>283217</wp:posOffset>
                </wp:positionV>
                <wp:extent cx="1830070" cy="9525"/>
                <wp:effectExtent l="0" t="0" r="0" b="0"/>
                <wp:wrapTopAndBottom/>
                <wp:docPr id="191" name="Graphic 191"/>
                <wp:cNvGraphicFramePr>
                  <a:graphicFrameLocks/>
                </wp:cNvGraphicFramePr>
                <a:graphic>
                  <a:graphicData uri="http://schemas.microsoft.com/office/word/2010/wordprocessingShape">
                    <wps:wsp>
                      <wps:cNvPr id="191" name="Graphic 191"/>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5002pt;margin-top:22.300596pt;width:144.080pt;height:.75pt;mso-position-horizontal-relative:page;mso-position-vertical-relative:paragraph;z-index:-15684096;mso-wrap-distance-left:0;mso-wrap-distance-right:0" id="docshape127" filled="true" fillcolor="#000000" stroked="false">
                <v:fill type="solid"/>
                <w10:wrap type="topAndBottom"/>
              </v:rect>
            </w:pict>
          </mc:Fallback>
        </mc:AlternateContent>
      </w:r>
    </w:p>
    <w:p>
      <w:pPr>
        <w:spacing w:line="240" w:lineRule="auto" w:before="99"/>
        <w:ind w:left="23" w:right="104" w:firstLine="0"/>
        <w:jc w:val="left"/>
        <w:rPr>
          <w:rFonts w:ascii="Calibri"/>
          <w:sz w:val="20"/>
        </w:rPr>
      </w:pPr>
      <w:bookmarkStart w:name="_bookmark5" w:id="17"/>
      <w:bookmarkEnd w:id="17"/>
      <w:r>
        <w:rPr/>
      </w:r>
      <w:r>
        <w:rPr>
          <w:rFonts w:ascii="Calibri"/>
          <w:position w:val="6"/>
          <w:sz w:val="13"/>
        </w:rPr>
        <w:t>1</w:t>
      </w:r>
      <w:r>
        <w:rPr>
          <w:rFonts w:ascii="Calibri"/>
          <w:spacing w:val="18"/>
          <w:position w:val="6"/>
          <w:sz w:val="13"/>
        </w:rPr>
        <w:t> </w:t>
      </w:r>
      <w:r>
        <w:rPr>
          <w:rFonts w:ascii="Calibri"/>
          <w:i/>
          <w:sz w:val="20"/>
        </w:rPr>
        <w:t>There is a lack of confidence that any action in place is sufficient to address the issue</w:t>
      </w:r>
      <w:r>
        <w:rPr>
          <w:rFonts w:ascii="Calibri"/>
          <w:i/>
          <w:spacing w:val="-2"/>
          <w:sz w:val="20"/>
        </w:rPr>
        <w:t> </w:t>
      </w:r>
      <w:r>
        <w:rPr>
          <w:rFonts w:ascii="Calibri"/>
          <w:i/>
          <w:sz w:val="20"/>
        </w:rPr>
        <w:t>satisfactorily and/or</w:t>
      </w:r>
      <w:r>
        <w:rPr>
          <w:rFonts w:ascii="Calibri"/>
          <w:i/>
          <w:sz w:val="20"/>
        </w:rPr>
        <w:t> within</w:t>
      </w:r>
      <w:r>
        <w:rPr>
          <w:rFonts w:ascii="Calibri"/>
          <w:i/>
          <w:spacing w:val="-1"/>
          <w:sz w:val="20"/>
        </w:rPr>
        <w:t> </w:t>
      </w:r>
      <w:r>
        <w:rPr>
          <w:rFonts w:ascii="Calibri"/>
          <w:i/>
          <w:sz w:val="20"/>
        </w:rPr>
        <w:t>the</w:t>
      </w:r>
      <w:r>
        <w:rPr>
          <w:rFonts w:ascii="Calibri"/>
          <w:i/>
          <w:spacing w:val="-3"/>
          <w:sz w:val="20"/>
        </w:rPr>
        <w:t> </w:t>
      </w:r>
      <w:r>
        <w:rPr>
          <w:rFonts w:ascii="Calibri"/>
          <w:i/>
          <w:sz w:val="20"/>
        </w:rPr>
        <w:t>scope</w:t>
      </w:r>
      <w:r>
        <w:rPr>
          <w:rFonts w:ascii="Calibri"/>
          <w:i/>
          <w:spacing w:val="-8"/>
          <w:sz w:val="20"/>
        </w:rPr>
        <w:t> </w:t>
      </w:r>
      <w:r>
        <w:rPr>
          <w:rFonts w:ascii="Calibri"/>
          <w:i/>
          <w:sz w:val="20"/>
        </w:rPr>
        <w:t>of</w:t>
      </w:r>
      <w:r>
        <w:rPr>
          <w:rFonts w:ascii="Calibri"/>
          <w:i/>
          <w:spacing w:val="-4"/>
          <w:sz w:val="20"/>
        </w:rPr>
        <w:t> </w:t>
      </w:r>
      <w:r>
        <w:rPr>
          <w:rFonts w:ascii="Calibri"/>
          <w:i/>
          <w:sz w:val="20"/>
        </w:rPr>
        <w:t>the</w:t>
      </w:r>
      <w:r>
        <w:rPr>
          <w:rFonts w:ascii="Calibri"/>
          <w:i/>
          <w:spacing w:val="-3"/>
          <w:sz w:val="20"/>
        </w:rPr>
        <w:t> </w:t>
      </w:r>
      <w:r>
        <w:rPr>
          <w:rFonts w:ascii="Calibri"/>
          <w:i/>
          <w:sz w:val="20"/>
        </w:rPr>
        <w:t>operational</w:t>
      </w:r>
      <w:r>
        <w:rPr>
          <w:rFonts w:ascii="Calibri"/>
          <w:i/>
          <w:spacing w:val="-3"/>
          <w:sz w:val="20"/>
        </w:rPr>
        <w:t> </w:t>
      </w:r>
      <w:r>
        <w:rPr>
          <w:rFonts w:ascii="Calibri"/>
          <w:i/>
          <w:sz w:val="20"/>
        </w:rPr>
        <w:t>team</w:t>
      </w:r>
      <w:r>
        <w:rPr>
          <w:rFonts w:ascii="Calibri"/>
          <w:i/>
          <w:spacing w:val="-6"/>
          <w:sz w:val="20"/>
        </w:rPr>
        <w:t> </w:t>
      </w:r>
      <w:r>
        <w:rPr>
          <w:rFonts w:ascii="Calibri"/>
          <w:i/>
          <w:sz w:val="20"/>
        </w:rPr>
        <w:t>or</w:t>
      </w:r>
      <w:r>
        <w:rPr>
          <w:rFonts w:ascii="Calibri"/>
          <w:i/>
          <w:spacing w:val="-1"/>
          <w:sz w:val="20"/>
        </w:rPr>
        <w:t> </w:t>
      </w:r>
      <w:r>
        <w:rPr>
          <w:rFonts w:ascii="Calibri"/>
          <w:i/>
          <w:sz w:val="20"/>
        </w:rPr>
        <w:t>executive</w:t>
      </w:r>
      <w:r>
        <w:rPr>
          <w:rFonts w:ascii="Calibri"/>
          <w:i/>
          <w:spacing w:val="-3"/>
          <w:sz w:val="20"/>
        </w:rPr>
        <w:t> </w:t>
      </w:r>
      <w:r>
        <w:rPr>
          <w:rFonts w:ascii="Calibri"/>
          <w:i/>
          <w:sz w:val="20"/>
        </w:rPr>
        <w:t>to</w:t>
      </w:r>
      <w:r>
        <w:rPr>
          <w:rFonts w:ascii="Calibri"/>
          <w:i/>
          <w:spacing w:val="-6"/>
          <w:sz w:val="20"/>
        </w:rPr>
        <w:t> </w:t>
      </w:r>
      <w:r>
        <w:rPr>
          <w:rFonts w:ascii="Calibri"/>
          <w:i/>
          <w:sz w:val="20"/>
        </w:rPr>
        <w:t>resolve.</w:t>
      </w:r>
      <w:r>
        <w:rPr>
          <w:rFonts w:ascii="Calibri"/>
          <w:i/>
          <w:spacing w:val="40"/>
          <w:sz w:val="20"/>
        </w:rPr>
        <w:t> </w:t>
      </w:r>
      <w:r>
        <w:rPr>
          <w:rFonts w:ascii="Calibri"/>
          <w:i/>
          <w:sz w:val="20"/>
        </w:rPr>
        <w:t>Engagement,</w:t>
      </w:r>
      <w:r>
        <w:rPr>
          <w:rFonts w:ascii="Calibri"/>
          <w:i/>
          <w:spacing w:val="-2"/>
          <w:sz w:val="20"/>
        </w:rPr>
        <w:t> </w:t>
      </w:r>
      <w:r>
        <w:rPr>
          <w:rFonts w:ascii="Calibri"/>
          <w:i/>
          <w:sz w:val="20"/>
        </w:rPr>
        <w:t>action</w:t>
      </w:r>
      <w:r>
        <w:rPr>
          <w:rFonts w:ascii="Calibri"/>
          <w:i/>
          <w:spacing w:val="-6"/>
          <w:sz w:val="20"/>
        </w:rPr>
        <w:t> </w:t>
      </w:r>
      <w:r>
        <w:rPr>
          <w:rFonts w:ascii="Calibri"/>
          <w:i/>
          <w:sz w:val="20"/>
        </w:rPr>
        <w:t>or</w:t>
      </w:r>
      <w:r>
        <w:rPr>
          <w:rFonts w:ascii="Calibri"/>
          <w:i/>
          <w:spacing w:val="-1"/>
          <w:sz w:val="20"/>
        </w:rPr>
        <w:t> </w:t>
      </w:r>
      <w:r>
        <w:rPr>
          <w:rFonts w:ascii="Calibri"/>
          <w:i/>
          <w:sz w:val="20"/>
        </w:rPr>
        <w:t>intervention</w:t>
      </w:r>
      <w:r>
        <w:rPr>
          <w:rFonts w:ascii="Calibri"/>
          <w:i/>
          <w:spacing w:val="-1"/>
          <w:sz w:val="20"/>
        </w:rPr>
        <w:t> </w:t>
      </w:r>
      <w:r>
        <w:rPr>
          <w:rFonts w:ascii="Calibri"/>
          <w:i/>
          <w:sz w:val="20"/>
        </w:rPr>
        <w:t>required. </w:t>
      </w:r>
      <w:bookmarkStart w:name="_bookmark6" w:id="18"/>
      <w:bookmarkEnd w:id="18"/>
      <w:r>
        <w:rPr>
          <w:rFonts w:ascii="Calibri"/>
          <w:i/>
          <w:sz w:val="20"/>
        </w:rPr>
      </w:r>
      <w:r>
        <w:rPr>
          <w:rFonts w:ascii="Calibri"/>
          <w:position w:val="6"/>
          <w:sz w:val="13"/>
        </w:rPr>
        <w:t>2</w:t>
      </w:r>
      <w:r>
        <w:rPr>
          <w:rFonts w:ascii="Calibri"/>
          <w:spacing w:val="11"/>
          <w:position w:val="6"/>
          <w:sz w:val="13"/>
        </w:rPr>
        <w:t> </w:t>
      </w:r>
      <w:r>
        <w:rPr>
          <w:rFonts w:ascii="Calibri"/>
          <w:i/>
          <w:sz w:val="20"/>
        </w:rPr>
        <w:t>There</w:t>
      </w:r>
      <w:r>
        <w:rPr>
          <w:rFonts w:ascii="Calibri"/>
          <w:i/>
          <w:spacing w:val="-4"/>
          <w:sz w:val="20"/>
        </w:rPr>
        <w:t> </w:t>
      </w:r>
      <w:r>
        <w:rPr>
          <w:rFonts w:ascii="Calibri"/>
          <w:i/>
          <w:sz w:val="20"/>
        </w:rPr>
        <w:t>are</w:t>
      </w:r>
      <w:r>
        <w:rPr>
          <w:rFonts w:ascii="Calibri"/>
          <w:i/>
          <w:spacing w:val="-4"/>
          <w:sz w:val="20"/>
        </w:rPr>
        <w:t> </w:t>
      </w:r>
      <w:r>
        <w:rPr>
          <w:rFonts w:ascii="Calibri"/>
          <w:i/>
          <w:sz w:val="20"/>
        </w:rPr>
        <w:t>areas</w:t>
      </w:r>
      <w:r>
        <w:rPr>
          <w:rFonts w:ascii="Calibri"/>
          <w:i/>
          <w:spacing w:val="-2"/>
          <w:sz w:val="20"/>
        </w:rPr>
        <w:t> </w:t>
      </w:r>
      <w:r>
        <w:rPr>
          <w:rFonts w:ascii="Calibri"/>
          <w:i/>
          <w:sz w:val="20"/>
        </w:rPr>
        <w:t>of</w:t>
      </w:r>
      <w:r>
        <w:rPr>
          <w:rFonts w:ascii="Calibri"/>
          <w:i/>
          <w:spacing w:val="-5"/>
          <w:sz w:val="20"/>
        </w:rPr>
        <w:t> </w:t>
      </w:r>
      <w:r>
        <w:rPr>
          <w:rFonts w:ascii="Calibri"/>
          <w:i/>
          <w:sz w:val="20"/>
        </w:rPr>
        <w:t>concern</w:t>
      </w:r>
      <w:r>
        <w:rPr>
          <w:rFonts w:ascii="Calibri"/>
          <w:i/>
          <w:spacing w:val="-2"/>
          <w:sz w:val="20"/>
        </w:rPr>
        <w:t> </w:t>
      </w:r>
      <w:r>
        <w:rPr>
          <w:rFonts w:ascii="Calibri"/>
          <w:i/>
          <w:sz w:val="20"/>
        </w:rPr>
        <w:t>where</w:t>
      </w:r>
      <w:r>
        <w:rPr>
          <w:rFonts w:ascii="Calibri"/>
          <w:i/>
          <w:spacing w:val="-4"/>
          <w:sz w:val="20"/>
        </w:rPr>
        <w:t> </w:t>
      </w:r>
      <w:r>
        <w:rPr>
          <w:rFonts w:ascii="Calibri"/>
          <w:i/>
          <w:sz w:val="20"/>
        </w:rPr>
        <w:t>assurance</w:t>
      </w:r>
      <w:r>
        <w:rPr>
          <w:rFonts w:ascii="Calibri"/>
          <w:i/>
          <w:spacing w:val="-4"/>
          <w:sz w:val="20"/>
        </w:rPr>
        <w:t> </w:t>
      </w:r>
      <w:r>
        <w:rPr>
          <w:rFonts w:ascii="Calibri"/>
          <w:i/>
          <w:sz w:val="20"/>
        </w:rPr>
        <w:t>has</w:t>
      </w:r>
      <w:r>
        <w:rPr>
          <w:rFonts w:ascii="Calibri"/>
          <w:i/>
          <w:spacing w:val="-2"/>
          <w:sz w:val="20"/>
        </w:rPr>
        <w:t> </w:t>
      </w:r>
      <w:r>
        <w:rPr>
          <w:rFonts w:ascii="Calibri"/>
          <w:i/>
          <w:sz w:val="20"/>
        </w:rPr>
        <w:t>been</w:t>
      </w:r>
      <w:r>
        <w:rPr>
          <w:rFonts w:ascii="Calibri"/>
          <w:i/>
          <w:spacing w:val="-2"/>
          <w:sz w:val="20"/>
        </w:rPr>
        <w:t> </w:t>
      </w:r>
      <w:r>
        <w:rPr>
          <w:rFonts w:ascii="Calibri"/>
          <w:i/>
          <w:sz w:val="20"/>
        </w:rPr>
        <w:t>taken</w:t>
      </w:r>
      <w:r>
        <w:rPr>
          <w:rFonts w:ascii="Calibri"/>
          <w:i/>
          <w:spacing w:val="-7"/>
          <w:sz w:val="20"/>
        </w:rPr>
        <w:t> </w:t>
      </w:r>
      <w:r>
        <w:rPr>
          <w:rFonts w:ascii="Calibri"/>
          <w:i/>
          <w:sz w:val="20"/>
        </w:rPr>
        <w:t>on</w:t>
      </w:r>
      <w:r>
        <w:rPr>
          <w:rFonts w:ascii="Calibri"/>
          <w:i/>
          <w:spacing w:val="-2"/>
          <w:sz w:val="20"/>
        </w:rPr>
        <w:t> </w:t>
      </w:r>
      <w:r>
        <w:rPr>
          <w:rFonts w:ascii="Calibri"/>
          <w:i/>
          <w:sz w:val="20"/>
        </w:rPr>
        <w:t>actions</w:t>
      </w:r>
      <w:r>
        <w:rPr>
          <w:rFonts w:ascii="Calibri"/>
          <w:i/>
          <w:spacing w:val="-2"/>
          <w:sz w:val="20"/>
        </w:rPr>
        <w:t> </w:t>
      </w:r>
      <w:r>
        <w:rPr>
          <w:rFonts w:ascii="Calibri"/>
          <w:i/>
          <w:sz w:val="20"/>
        </w:rPr>
        <w:t>in</w:t>
      </w:r>
      <w:r>
        <w:rPr>
          <w:rFonts w:ascii="Calibri"/>
          <w:i/>
          <w:spacing w:val="-7"/>
          <w:sz w:val="20"/>
        </w:rPr>
        <w:t> </w:t>
      </w:r>
      <w:r>
        <w:rPr>
          <w:rFonts w:ascii="Calibri"/>
          <w:i/>
          <w:sz w:val="20"/>
        </w:rPr>
        <w:t>place</w:t>
      </w:r>
      <w:r>
        <w:rPr>
          <w:rFonts w:ascii="Calibri"/>
          <w:i/>
          <w:spacing w:val="-4"/>
          <w:sz w:val="20"/>
        </w:rPr>
        <w:t> </w:t>
      </w:r>
      <w:r>
        <w:rPr>
          <w:rFonts w:ascii="Calibri"/>
          <w:i/>
          <w:sz w:val="20"/>
        </w:rPr>
        <w:t>but</w:t>
      </w:r>
      <w:r>
        <w:rPr>
          <w:rFonts w:ascii="Calibri"/>
          <w:i/>
          <w:spacing w:val="-5"/>
          <w:sz w:val="20"/>
        </w:rPr>
        <w:t> </w:t>
      </w:r>
      <w:r>
        <w:rPr>
          <w:rFonts w:ascii="Calibri"/>
          <w:i/>
          <w:sz w:val="20"/>
        </w:rPr>
        <w:t>requires</w:t>
      </w:r>
      <w:r>
        <w:rPr>
          <w:rFonts w:ascii="Calibri"/>
          <w:i/>
          <w:spacing w:val="-7"/>
          <w:sz w:val="20"/>
        </w:rPr>
        <w:t> </w:t>
      </w:r>
      <w:r>
        <w:rPr>
          <w:rFonts w:ascii="Calibri"/>
          <w:i/>
          <w:sz w:val="20"/>
        </w:rPr>
        <w:t>close</w:t>
      </w:r>
      <w:r>
        <w:rPr>
          <w:rFonts w:ascii="Calibri"/>
          <w:i/>
          <w:spacing w:val="-4"/>
          <w:sz w:val="20"/>
        </w:rPr>
        <w:t> </w:t>
      </w:r>
      <w:r>
        <w:rPr>
          <w:rFonts w:ascii="Calibri"/>
          <w:i/>
          <w:sz w:val="20"/>
        </w:rPr>
        <w:t>monitoring.</w:t>
      </w:r>
      <w:r>
        <w:rPr>
          <w:rFonts w:ascii="Calibri"/>
          <w:i/>
          <w:sz w:val="20"/>
        </w:rPr>
        <w:t> An early warning of an emerging and potentially serious concern</w:t>
      </w:r>
      <w:r>
        <w:rPr>
          <w:rFonts w:ascii="Calibri"/>
          <w:sz w:val="20"/>
        </w:rPr>
        <w:t>.</w:t>
      </w:r>
    </w:p>
    <w:p>
      <w:pPr>
        <w:spacing w:after="0" w:line="240" w:lineRule="auto"/>
        <w:jc w:val="left"/>
        <w:rPr>
          <w:rFonts w:ascii="Calibri"/>
          <w:sz w:val="20"/>
        </w:rPr>
        <w:sectPr>
          <w:footerReference w:type="default" r:id="rId49"/>
          <w:pgSz w:w="11910" w:h="16840"/>
          <w:pgMar w:header="0" w:footer="576" w:top="1140" w:bottom="760" w:left="1417" w:right="1417"/>
          <w:pgNumType w:start="1"/>
        </w:sectPr>
      </w:pPr>
    </w:p>
    <w:p>
      <w:pPr>
        <w:tabs>
          <w:tab w:pos="5149" w:val="left" w:leader="none"/>
        </w:tabs>
        <w:spacing w:line="240" w:lineRule="auto"/>
        <w:ind w:left="561" w:right="-58" w:firstLine="0"/>
        <w:rPr>
          <w:rFonts w:ascii="Calibri"/>
          <w:position w:val="9"/>
          <w:sz w:val="20"/>
        </w:rPr>
      </w:pPr>
      <w:r>
        <w:rPr>
          <w:rFonts w:ascii="Calibri"/>
          <w:sz w:val="20"/>
        </w:rPr>
        <w:drawing>
          <wp:inline distT="0" distB="0" distL="0" distR="0">
            <wp:extent cx="2247389" cy="585216"/>
            <wp:effectExtent l="0" t="0" r="0" b="0"/>
            <wp:docPr id="195" name="Image 195"/>
            <wp:cNvGraphicFramePr>
              <a:graphicFrameLocks/>
            </wp:cNvGraphicFramePr>
            <a:graphic>
              <a:graphicData uri="http://schemas.openxmlformats.org/drawingml/2006/picture">
                <pic:pic>
                  <pic:nvPicPr>
                    <pic:cNvPr id="195" name="Image 195"/>
                    <pic:cNvPicPr/>
                  </pic:nvPicPr>
                  <pic:blipFill>
                    <a:blip r:embed="rId50" cstate="print"/>
                    <a:stretch>
                      <a:fillRect/>
                    </a:stretch>
                  </pic:blipFill>
                  <pic:spPr>
                    <a:xfrm>
                      <a:off x="0" y="0"/>
                      <a:ext cx="2247389" cy="585216"/>
                    </a:xfrm>
                    <a:prstGeom prst="rect">
                      <a:avLst/>
                    </a:prstGeom>
                  </pic:spPr>
                </pic:pic>
              </a:graphicData>
            </a:graphic>
          </wp:inline>
        </w:drawing>
      </w:r>
      <w:r>
        <w:rPr>
          <w:rFonts w:ascii="Calibri"/>
          <w:sz w:val="20"/>
        </w:rPr>
      </w:r>
      <w:r>
        <w:rPr>
          <w:rFonts w:ascii="Calibri"/>
          <w:sz w:val="20"/>
        </w:rPr>
        <w:tab/>
      </w:r>
      <w:r>
        <w:rPr>
          <w:rFonts w:ascii="Calibri"/>
          <w:position w:val="9"/>
          <w:sz w:val="20"/>
        </w:rPr>
        <w:drawing>
          <wp:inline distT="0" distB="0" distL="0" distR="0">
            <wp:extent cx="2494674" cy="549021"/>
            <wp:effectExtent l="0" t="0" r="0" b="0"/>
            <wp:docPr id="196" name="Image 196"/>
            <wp:cNvGraphicFramePr>
              <a:graphicFrameLocks/>
            </wp:cNvGraphicFramePr>
            <a:graphic>
              <a:graphicData uri="http://schemas.openxmlformats.org/drawingml/2006/picture">
                <pic:pic>
                  <pic:nvPicPr>
                    <pic:cNvPr id="196" name="Image 196"/>
                    <pic:cNvPicPr/>
                  </pic:nvPicPr>
                  <pic:blipFill>
                    <a:blip r:embed="rId7" cstate="print"/>
                    <a:stretch>
                      <a:fillRect/>
                    </a:stretch>
                  </pic:blipFill>
                  <pic:spPr>
                    <a:xfrm>
                      <a:off x="0" y="0"/>
                      <a:ext cx="2494674" cy="549021"/>
                    </a:xfrm>
                    <a:prstGeom prst="rect">
                      <a:avLst/>
                    </a:prstGeom>
                  </pic:spPr>
                </pic:pic>
              </a:graphicData>
            </a:graphic>
          </wp:inline>
        </w:drawing>
      </w:r>
      <w:r>
        <w:rPr>
          <w:rFonts w:ascii="Calibri"/>
          <w:position w:val="9"/>
          <w:sz w:val="20"/>
        </w:rPr>
      </w:r>
    </w:p>
    <w:p>
      <w:pPr>
        <w:pStyle w:val="BodyText"/>
        <w:spacing w:before="156"/>
        <w:rPr>
          <w:rFonts w:ascii="Calibri"/>
        </w:rPr>
      </w:pPr>
    </w:p>
    <w:p>
      <w:pPr>
        <w:pStyle w:val="BodyText"/>
        <w:spacing w:line="273" w:lineRule="auto" w:before="1"/>
        <w:ind w:left="23"/>
      </w:pPr>
      <w:r>
        <w:rPr/>
        <w:t>The</w:t>
      </w:r>
      <w:r>
        <w:rPr>
          <w:spacing w:val="-3"/>
        </w:rPr>
        <w:t> </w:t>
      </w:r>
      <w:r>
        <w:rPr/>
        <w:t>agreed</w:t>
      </w:r>
      <w:r>
        <w:rPr>
          <w:spacing w:val="-3"/>
        </w:rPr>
        <w:t> </w:t>
      </w:r>
      <w:r>
        <w:rPr/>
        <w:t>Programme</w:t>
      </w:r>
      <w:r>
        <w:rPr>
          <w:spacing w:val="-3"/>
        </w:rPr>
        <w:t> </w:t>
      </w:r>
      <w:r>
        <w:rPr/>
        <w:t>Initiation</w:t>
      </w:r>
      <w:r>
        <w:rPr>
          <w:spacing w:val="-3"/>
        </w:rPr>
        <w:t> </w:t>
      </w:r>
      <w:r>
        <w:rPr/>
        <w:t>Documents</w:t>
      </w:r>
      <w:r>
        <w:rPr>
          <w:spacing w:val="-4"/>
        </w:rPr>
        <w:t> </w:t>
      </w:r>
      <w:r>
        <w:rPr/>
        <w:t>(PID)</w:t>
      </w:r>
      <w:r>
        <w:rPr>
          <w:spacing w:val="-4"/>
        </w:rPr>
        <w:t> </w:t>
      </w:r>
      <w:r>
        <w:rPr/>
        <w:t>are</w:t>
      </w:r>
      <w:r>
        <w:rPr>
          <w:spacing w:val="-3"/>
        </w:rPr>
        <w:t> </w:t>
      </w:r>
      <w:r>
        <w:rPr/>
        <w:t>provided</w:t>
      </w:r>
      <w:r>
        <w:rPr>
          <w:spacing w:val="-3"/>
        </w:rPr>
        <w:t> </w:t>
      </w:r>
      <w:r>
        <w:rPr/>
        <w:t>with</w:t>
      </w:r>
      <w:r>
        <w:rPr>
          <w:spacing w:val="-3"/>
        </w:rPr>
        <w:t> </w:t>
      </w:r>
      <w:r>
        <w:rPr/>
        <w:t>this</w:t>
      </w:r>
      <w:r>
        <w:rPr>
          <w:spacing w:val="-4"/>
        </w:rPr>
        <w:t> </w:t>
      </w:r>
      <w:r>
        <w:rPr/>
        <w:t>AAA</w:t>
      </w:r>
      <w:r>
        <w:rPr>
          <w:spacing w:val="-4"/>
        </w:rPr>
        <w:t> </w:t>
      </w:r>
      <w:r>
        <w:rPr/>
        <w:t>report for assurance and comment.</w:t>
      </w:r>
    </w:p>
    <w:p>
      <w:pPr>
        <w:pStyle w:val="BodyText"/>
        <w:spacing w:line="276" w:lineRule="auto" w:before="125"/>
        <w:ind w:left="23" w:right="104"/>
      </w:pPr>
      <w:r>
        <w:rPr>
          <w:b/>
        </w:rPr>
        <w:t>Regional Eye Care Programme</w:t>
      </w:r>
      <w:r>
        <w:rPr/>
        <w:t>: Progress has been made in developing the 2026/27 roadmap and modelling potential cataract service options. However, the intended regional approach, implementation plan and achievable delivery trajectory require</w:t>
      </w:r>
      <w:r>
        <w:rPr>
          <w:spacing w:val="-3"/>
        </w:rPr>
        <w:t> </w:t>
      </w:r>
      <w:r>
        <w:rPr/>
        <w:t>further</w:t>
      </w:r>
      <w:r>
        <w:rPr>
          <w:spacing w:val="-4"/>
        </w:rPr>
        <w:t> </w:t>
      </w:r>
      <w:r>
        <w:rPr/>
        <w:t>clarification.</w:t>
      </w:r>
      <w:r>
        <w:rPr>
          <w:spacing w:val="-6"/>
        </w:rPr>
        <w:t> </w:t>
      </w:r>
      <w:r>
        <w:rPr/>
        <w:t>In</w:t>
      </w:r>
      <w:r>
        <w:rPr>
          <w:spacing w:val="-3"/>
        </w:rPr>
        <w:t> </w:t>
      </w:r>
      <w:r>
        <w:rPr/>
        <w:t>addition,</w:t>
      </w:r>
      <w:r>
        <w:rPr>
          <w:spacing w:val="-6"/>
        </w:rPr>
        <w:t> </w:t>
      </w:r>
      <w:r>
        <w:rPr/>
        <w:t>the</w:t>
      </w:r>
      <w:r>
        <w:rPr>
          <w:spacing w:val="-3"/>
        </w:rPr>
        <w:t> </w:t>
      </w:r>
      <w:r>
        <w:rPr/>
        <w:t>Welsh</w:t>
      </w:r>
      <w:r>
        <w:rPr>
          <w:spacing w:val="-3"/>
        </w:rPr>
        <w:t> </w:t>
      </w:r>
      <w:r>
        <w:rPr/>
        <w:t>Government</w:t>
      </w:r>
      <w:r>
        <w:rPr>
          <w:spacing w:val="-6"/>
        </w:rPr>
        <w:t> </w:t>
      </w:r>
      <w:r>
        <w:rPr/>
        <w:t>funding</w:t>
      </w:r>
      <w:r>
        <w:rPr>
          <w:spacing w:val="-3"/>
        </w:rPr>
        <w:t> </w:t>
      </w:r>
      <w:r>
        <w:rPr/>
        <w:t>confirmed</w:t>
      </w:r>
      <w:r>
        <w:rPr>
          <w:spacing w:val="-3"/>
        </w:rPr>
        <w:t> </w:t>
      </w:r>
      <w:r>
        <w:rPr/>
        <w:t>for planned care recovery is lower than the amount bid for, creating a risk that the intended improvement and equalisation of cataract waiting times may not be achieved within the current funding envelope. The Programme Board is reviewing the implications for scope, trajectory and deliverability, with a clarified plan to be reported through regional governance.</w:t>
      </w:r>
    </w:p>
    <w:p>
      <w:pPr>
        <w:pStyle w:val="BodyText"/>
        <w:spacing w:line="276" w:lineRule="auto" w:before="160"/>
        <w:ind w:left="23" w:right="42"/>
      </w:pPr>
      <w:r>
        <w:rPr>
          <w:b/>
        </w:rPr>
        <w:t>Regional</w:t>
      </w:r>
      <w:r>
        <w:rPr>
          <w:b/>
          <w:spacing w:val="-1"/>
        </w:rPr>
        <w:t> </w:t>
      </w:r>
      <w:r>
        <w:rPr>
          <w:b/>
        </w:rPr>
        <w:t>Orthopaedics Programme</w:t>
      </w:r>
      <w:r>
        <w:rPr/>
        <w:t>:</w:t>
      </w:r>
      <w:r>
        <w:rPr>
          <w:spacing w:val="-1"/>
        </w:rPr>
        <w:t> </w:t>
      </w:r>
      <w:r>
        <w:rPr/>
        <w:t>Historically,</w:t>
      </w:r>
      <w:r>
        <w:rPr>
          <w:spacing w:val="-1"/>
        </w:rPr>
        <w:t> </w:t>
      </w:r>
      <w:r>
        <w:rPr/>
        <w:t>issues related to regional finance and contracting have impeded or delayed progress. Whilst there are no current/immediate issues to be resolved, there remains a risk that addressing</w:t>
      </w:r>
      <w:r>
        <w:rPr>
          <w:spacing w:val="40"/>
        </w:rPr>
        <w:t> </w:t>
      </w:r>
      <w:r>
        <w:rPr/>
        <w:t>finance and contracting models as part of the broader service model and strategy development may delay or restrict options such as shared capacity, pooled waiting-list arrangements, and a sustainable regional service model. The Directors of Finance for both Health Boards through the Regional Finance and Contracting Subgroup</w:t>
      </w:r>
      <w:r>
        <w:rPr>
          <w:spacing w:val="-1"/>
        </w:rPr>
        <w:t> </w:t>
      </w:r>
      <w:r>
        <w:rPr/>
        <w:t>will</w:t>
      </w:r>
      <w:r>
        <w:rPr>
          <w:spacing w:val="-3"/>
        </w:rPr>
        <w:t> </w:t>
      </w:r>
      <w:r>
        <w:rPr/>
        <w:t>lead</w:t>
      </w:r>
      <w:r>
        <w:rPr>
          <w:spacing w:val="-3"/>
        </w:rPr>
        <w:t> </w:t>
      </w:r>
      <w:r>
        <w:rPr/>
        <w:t>the</w:t>
      </w:r>
      <w:r>
        <w:rPr>
          <w:spacing w:val="-3"/>
        </w:rPr>
        <w:t> </w:t>
      </w:r>
      <w:r>
        <w:rPr/>
        <w:t>development</w:t>
      </w:r>
      <w:r>
        <w:rPr>
          <w:spacing w:val="-6"/>
        </w:rPr>
        <w:t> </w:t>
      </w:r>
      <w:r>
        <w:rPr/>
        <w:t>of</w:t>
      </w:r>
      <w:r>
        <w:rPr>
          <w:spacing w:val="-6"/>
        </w:rPr>
        <w:t> </w:t>
      </w:r>
      <w:r>
        <w:rPr/>
        <w:t>the</w:t>
      </w:r>
      <w:r>
        <w:rPr>
          <w:spacing w:val="-3"/>
        </w:rPr>
        <w:t> </w:t>
      </w:r>
      <w:r>
        <w:rPr/>
        <w:t>required</w:t>
      </w:r>
      <w:r>
        <w:rPr>
          <w:spacing w:val="-3"/>
        </w:rPr>
        <w:t> </w:t>
      </w:r>
      <w:r>
        <w:rPr/>
        <w:t>regional</w:t>
      </w:r>
      <w:r>
        <w:rPr>
          <w:spacing w:val="-3"/>
        </w:rPr>
        <w:t> </w:t>
      </w:r>
      <w:r>
        <w:rPr/>
        <w:t>financial,</w:t>
      </w:r>
      <w:r>
        <w:rPr>
          <w:spacing w:val="-6"/>
        </w:rPr>
        <w:t> </w:t>
      </w:r>
      <w:r>
        <w:rPr/>
        <w:t>commissioning and contracting framework, with progress and any decisions requiring escalation in collaboration with the RCSPG.</w:t>
      </w:r>
    </w:p>
    <w:p>
      <w:pPr>
        <w:pStyle w:val="BodyText"/>
        <w:spacing w:line="276" w:lineRule="auto" w:before="162"/>
        <w:ind w:left="23" w:right="104"/>
      </w:pPr>
      <w:r>
        <w:rPr/>
        <w:t>Dependencies on data and digital systems enabling regional working remain a potential barrier as the Orthopaedics Programme seeks to adopt a more regional approach and longer term strategy development, alongside immediate and short term</w:t>
      </w:r>
      <w:r>
        <w:rPr>
          <w:spacing w:val="-4"/>
        </w:rPr>
        <w:t> </w:t>
      </w:r>
      <w:r>
        <w:rPr/>
        <w:t>performance</w:t>
      </w:r>
      <w:r>
        <w:rPr>
          <w:spacing w:val="-3"/>
        </w:rPr>
        <w:t> </w:t>
      </w:r>
      <w:r>
        <w:rPr/>
        <w:t>improvement.</w:t>
      </w:r>
      <w:r>
        <w:rPr>
          <w:spacing w:val="40"/>
        </w:rPr>
        <w:t> </w:t>
      </w:r>
      <w:r>
        <w:rPr/>
        <w:t>Directors</w:t>
      </w:r>
      <w:r>
        <w:rPr>
          <w:spacing w:val="-4"/>
        </w:rPr>
        <w:t> </w:t>
      </w:r>
      <w:r>
        <w:rPr/>
        <w:t>of</w:t>
      </w:r>
      <w:r>
        <w:rPr>
          <w:spacing w:val="-6"/>
        </w:rPr>
        <w:t> </w:t>
      </w:r>
      <w:r>
        <w:rPr/>
        <w:t>Data</w:t>
      </w:r>
      <w:r>
        <w:rPr>
          <w:spacing w:val="-3"/>
        </w:rPr>
        <w:t> </w:t>
      </w:r>
      <w:r>
        <w:rPr/>
        <w:t>Digital</w:t>
      </w:r>
      <w:r>
        <w:rPr>
          <w:spacing w:val="-3"/>
        </w:rPr>
        <w:t> </w:t>
      </w:r>
      <w:r>
        <w:rPr/>
        <w:t>will</w:t>
      </w:r>
      <w:r>
        <w:rPr>
          <w:spacing w:val="-3"/>
        </w:rPr>
        <w:t> </w:t>
      </w:r>
      <w:r>
        <w:rPr/>
        <w:t>join</w:t>
      </w:r>
      <w:r>
        <w:rPr>
          <w:spacing w:val="-3"/>
        </w:rPr>
        <w:t> </w:t>
      </w:r>
      <w:r>
        <w:rPr/>
        <w:t>the</w:t>
      </w:r>
      <w:r>
        <w:rPr>
          <w:spacing w:val="-3"/>
        </w:rPr>
        <w:t> </w:t>
      </w:r>
      <w:r>
        <w:rPr/>
        <w:t>Orthopaedics Programme board to ensure dependencies on digital subgroup delivery are effectively managed and delivered.</w:t>
      </w:r>
    </w:p>
    <w:p>
      <w:pPr>
        <w:pStyle w:val="BodyText"/>
        <w:spacing w:line="276" w:lineRule="auto" w:before="157"/>
        <w:ind w:left="23" w:right="104"/>
      </w:pPr>
      <w:r>
        <w:rPr/>
        <w:t>Building on delivery of the regional dashboard in July, the Regional Orthopaedics Programme Board has agreed to review the combined performance of Hywel Dda and Swansea Bay at</w:t>
      </w:r>
      <w:r>
        <w:rPr>
          <w:spacing w:val="-2"/>
        </w:rPr>
        <w:t> </w:t>
      </w:r>
      <w:r>
        <w:rPr/>
        <w:t>its monthly meetings.</w:t>
      </w:r>
      <w:r>
        <w:rPr>
          <w:spacing w:val="-2"/>
        </w:rPr>
        <w:t> </w:t>
      </w:r>
      <w:r>
        <w:rPr/>
        <w:t>This provides a shared evidence base to support delivery of the Planned Care Recovery and Sustainability Plans, identify targeted</w:t>
      </w:r>
      <w:r>
        <w:rPr>
          <w:spacing w:val="-4"/>
        </w:rPr>
        <w:t> </w:t>
      </w:r>
      <w:r>
        <w:rPr/>
        <w:t>short-term</w:t>
      </w:r>
      <w:r>
        <w:rPr>
          <w:spacing w:val="-5"/>
        </w:rPr>
        <w:t> </w:t>
      </w:r>
      <w:r>
        <w:rPr/>
        <w:t>interventions</w:t>
      </w:r>
      <w:r>
        <w:rPr>
          <w:spacing w:val="-5"/>
        </w:rPr>
        <w:t> </w:t>
      </w:r>
      <w:r>
        <w:rPr/>
        <w:t>and</w:t>
      </w:r>
      <w:r>
        <w:rPr>
          <w:spacing w:val="-4"/>
        </w:rPr>
        <w:t> </w:t>
      </w:r>
      <w:r>
        <w:rPr/>
        <w:t>inform</w:t>
      </w:r>
      <w:r>
        <w:rPr>
          <w:spacing w:val="-5"/>
        </w:rPr>
        <w:t> </w:t>
      </w:r>
      <w:r>
        <w:rPr/>
        <w:t>longer-term</w:t>
      </w:r>
      <w:r>
        <w:rPr>
          <w:spacing w:val="-5"/>
        </w:rPr>
        <w:t> </w:t>
      </w:r>
      <w:r>
        <w:rPr/>
        <w:t>regional</w:t>
      </w:r>
      <w:r>
        <w:rPr>
          <w:spacing w:val="-4"/>
        </w:rPr>
        <w:t> </w:t>
      </w:r>
      <w:r>
        <w:rPr/>
        <w:t>planning,</w:t>
      </w:r>
      <w:r>
        <w:rPr>
          <w:spacing w:val="-7"/>
        </w:rPr>
        <w:t> </w:t>
      </w:r>
      <w:r>
        <w:rPr/>
        <w:t>including opportunities to improve equity of access and outcomes.</w:t>
      </w:r>
    </w:p>
    <w:p>
      <w:pPr>
        <w:pStyle w:val="BodyText"/>
        <w:spacing w:line="276" w:lineRule="auto" w:before="121"/>
        <w:ind w:left="23"/>
      </w:pPr>
      <w:r>
        <w:rPr>
          <w:b/>
        </w:rPr>
        <w:t>South West Wales Cancer Centre - </w:t>
      </w:r>
      <w:r>
        <w:rPr/>
        <w:t>Radiotherapy planning has identified a gap between</w:t>
      </w:r>
      <w:r>
        <w:rPr>
          <w:spacing w:val="-2"/>
        </w:rPr>
        <w:t> </w:t>
      </w:r>
      <w:r>
        <w:rPr/>
        <w:t>the</w:t>
      </w:r>
      <w:r>
        <w:rPr>
          <w:spacing w:val="-2"/>
        </w:rPr>
        <w:t> </w:t>
      </w:r>
      <w:r>
        <w:rPr/>
        <w:t>required</w:t>
      </w:r>
      <w:r>
        <w:rPr>
          <w:spacing w:val="-2"/>
        </w:rPr>
        <w:t> </w:t>
      </w:r>
      <w:r>
        <w:rPr/>
        <w:t>replacement</w:t>
      </w:r>
      <w:r>
        <w:rPr>
          <w:spacing w:val="-5"/>
        </w:rPr>
        <w:t> </w:t>
      </w:r>
      <w:r>
        <w:rPr/>
        <w:t>of</w:t>
      </w:r>
      <w:r>
        <w:rPr>
          <w:spacing w:val="-5"/>
        </w:rPr>
        <w:t> </w:t>
      </w:r>
      <w:r>
        <w:rPr/>
        <w:t>Linac</w:t>
      </w:r>
      <w:r>
        <w:rPr>
          <w:spacing w:val="-3"/>
        </w:rPr>
        <w:t> </w:t>
      </w:r>
      <w:r>
        <w:rPr/>
        <w:t>1</w:t>
      </w:r>
      <w:r>
        <w:rPr>
          <w:spacing w:val="-2"/>
        </w:rPr>
        <w:t> </w:t>
      </w:r>
      <w:r>
        <w:rPr/>
        <w:t>in</w:t>
      </w:r>
      <w:r>
        <w:rPr>
          <w:spacing w:val="-7"/>
        </w:rPr>
        <w:t> </w:t>
      </w:r>
      <w:r>
        <w:rPr/>
        <w:t>March</w:t>
      </w:r>
      <w:r>
        <w:rPr>
          <w:spacing w:val="-2"/>
        </w:rPr>
        <w:t> </w:t>
      </w:r>
      <w:r>
        <w:rPr/>
        <w:t>2028</w:t>
      </w:r>
      <w:r>
        <w:rPr>
          <w:spacing w:val="-2"/>
        </w:rPr>
        <w:t> </w:t>
      </w:r>
      <w:r>
        <w:rPr/>
        <w:t>and</w:t>
      </w:r>
      <w:r>
        <w:rPr>
          <w:spacing w:val="-2"/>
        </w:rPr>
        <w:t> </w:t>
      </w:r>
      <w:r>
        <w:rPr/>
        <w:t>the</w:t>
      </w:r>
      <w:r>
        <w:rPr>
          <w:spacing w:val="-2"/>
        </w:rPr>
        <w:t> </w:t>
      </w:r>
      <w:r>
        <w:rPr/>
        <w:t>earliest</w:t>
      </w:r>
      <w:r>
        <w:rPr>
          <w:spacing w:val="-5"/>
        </w:rPr>
        <w:t> </w:t>
      </w:r>
      <w:r>
        <w:rPr/>
        <w:t>potential availability of new bunker capacity. Development of an interim operational plan is being managed through the relevant programme and Health Board governance </w:t>
      </w:r>
      <w:r>
        <w:rPr>
          <w:spacing w:val="-2"/>
        </w:rPr>
        <w:t>arrangements.</w:t>
      </w:r>
    </w:p>
    <w:p>
      <w:pPr>
        <w:pStyle w:val="BodyText"/>
        <w:spacing w:after="0" w:line="276" w:lineRule="auto"/>
        <w:sectPr>
          <w:footerReference w:type="default" r:id="rId51"/>
          <w:pgSz w:w="11910" w:h="16840"/>
          <w:pgMar w:header="0" w:footer="576" w:top="1140" w:bottom="760" w:left="1417" w:right="1417"/>
        </w:sectPr>
      </w:pPr>
    </w:p>
    <w:p>
      <w:pPr>
        <w:tabs>
          <w:tab w:pos="5149" w:val="left" w:leader="none"/>
        </w:tabs>
        <w:spacing w:line="240" w:lineRule="auto"/>
        <w:ind w:left="561" w:right="-58" w:firstLine="0"/>
        <w:rPr>
          <w:position w:val="9"/>
          <w:sz w:val="20"/>
        </w:rPr>
      </w:pPr>
      <w:r>
        <w:rPr>
          <w:sz w:val="20"/>
        </w:rPr>
        <w:drawing>
          <wp:inline distT="0" distB="0" distL="0" distR="0">
            <wp:extent cx="2247389" cy="585216"/>
            <wp:effectExtent l="0" t="0" r="0" b="0"/>
            <wp:docPr id="200" name="Image 200"/>
            <wp:cNvGraphicFramePr>
              <a:graphicFrameLocks/>
            </wp:cNvGraphicFramePr>
            <a:graphic>
              <a:graphicData uri="http://schemas.openxmlformats.org/drawingml/2006/picture">
                <pic:pic>
                  <pic:nvPicPr>
                    <pic:cNvPr id="200" name="Image 200"/>
                    <pic:cNvPicPr/>
                  </pic:nvPicPr>
                  <pic:blipFill>
                    <a:blip r:embed="rId50" cstate="print"/>
                    <a:stretch>
                      <a:fillRect/>
                    </a:stretch>
                  </pic:blipFill>
                  <pic:spPr>
                    <a:xfrm>
                      <a:off x="0" y="0"/>
                      <a:ext cx="2247389" cy="585216"/>
                    </a:xfrm>
                    <a:prstGeom prst="rect">
                      <a:avLst/>
                    </a:prstGeom>
                  </pic:spPr>
                </pic:pic>
              </a:graphicData>
            </a:graphic>
          </wp:inline>
        </w:drawing>
      </w:r>
      <w:r>
        <w:rPr>
          <w:sz w:val="20"/>
        </w:rPr>
      </w:r>
      <w:r>
        <w:rPr>
          <w:sz w:val="20"/>
        </w:rPr>
        <w:tab/>
      </w:r>
      <w:r>
        <w:rPr>
          <w:position w:val="9"/>
          <w:sz w:val="20"/>
        </w:rPr>
        <w:drawing>
          <wp:inline distT="0" distB="0" distL="0" distR="0">
            <wp:extent cx="2494674" cy="549021"/>
            <wp:effectExtent l="0" t="0" r="0" b="0"/>
            <wp:docPr id="201" name="Image 201"/>
            <wp:cNvGraphicFramePr>
              <a:graphicFrameLocks/>
            </wp:cNvGraphicFramePr>
            <a:graphic>
              <a:graphicData uri="http://schemas.openxmlformats.org/drawingml/2006/picture">
                <pic:pic>
                  <pic:nvPicPr>
                    <pic:cNvPr id="201" name="Image 201"/>
                    <pic:cNvPicPr/>
                  </pic:nvPicPr>
                  <pic:blipFill>
                    <a:blip r:embed="rId7" cstate="print"/>
                    <a:stretch>
                      <a:fillRect/>
                    </a:stretch>
                  </pic:blipFill>
                  <pic:spPr>
                    <a:xfrm>
                      <a:off x="0" y="0"/>
                      <a:ext cx="2494674" cy="549021"/>
                    </a:xfrm>
                    <a:prstGeom prst="rect">
                      <a:avLst/>
                    </a:prstGeom>
                  </pic:spPr>
                </pic:pic>
              </a:graphicData>
            </a:graphic>
          </wp:inline>
        </w:drawing>
      </w:r>
      <w:r>
        <w:rPr>
          <w:position w:val="9"/>
          <w:sz w:val="20"/>
        </w:rPr>
      </w:r>
    </w:p>
    <w:p>
      <w:pPr>
        <w:pStyle w:val="BodyText"/>
        <w:spacing w:before="173"/>
      </w:pPr>
    </w:p>
    <w:p>
      <w:pPr>
        <w:pStyle w:val="BodyText"/>
        <w:spacing w:line="276" w:lineRule="auto" w:before="1"/>
        <w:ind w:left="23" w:right="15"/>
      </w:pPr>
      <w:r>
        <w:rPr/>
        <w:t>Separate papers on the proposed 6th–7th bunker development and the emerging regional</w:t>
      </w:r>
      <w:r>
        <w:rPr>
          <w:spacing w:val="-3"/>
        </w:rPr>
        <w:t> </w:t>
      </w:r>
      <w:r>
        <w:rPr/>
        <w:t>approach</w:t>
      </w:r>
      <w:r>
        <w:rPr>
          <w:spacing w:val="-3"/>
        </w:rPr>
        <w:t> </w:t>
      </w:r>
      <w:r>
        <w:rPr/>
        <w:t>to</w:t>
      </w:r>
      <w:r>
        <w:rPr>
          <w:spacing w:val="-3"/>
        </w:rPr>
        <w:t> </w:t>
      </w:r>
      <w:r>
        <w:rPr/>
        <w:t>cancer</w:t>
      </w:r>
      <w:r>
        <w:rPr>
          <w:spacing w:val="-4"/>
        </w:rPr>
        <w:t> </w:t>
      </w:r>
      <w:r>
        <w:rPr/>
        <w:t>services</w:t>
      </w:r>
      <w:r>
        <w:rPr>
          <w:spacing w:val="-4"/>
        </w:rPr>
        <w:t> </w:t>
      </w:r>
      <w:r>
        <w:rPr/>
        <w:t>are</w:t>
      </w:r>
      <w:r>
        <w:rPr>
          <w:spacing w:val="-3"/>
        </w:rPr>
        <w:t> </w:t>
      </w:r>
      <w:r>
        <w:rPr/>
        <w:t>scheduled</w:t>
      </w:r>
      <w:r>
        <w:rPr>
          <w:spacing w:val="-3"/>
        </w:rPr>
        <w:t> </w:t>
      </w:r>
      <w:r>
        <w:rPr/>
        <w:t>for</w:t>
      </w:r>
      <w:r>
        <w:rPr>
          <w:spacing w:val="-4"/>
        </w:rPr>
        <w:t> </w:t>
      </w:r>
      <w:r>
        <w:rPr/>
        <w:t>consideration</w:t>
      </w:r>
      <w:r>
        <w:rPr>
          <w:spacing w:val="-3"/>
        </w:rPr>
        <w:t> </w:t>
      </w:r>
      <w:r>
        <w:rPr/>
        <w:t>at</w:t>
      </w:r>
      <w:r>
        <w:rPr>
          <w:spacing w:val="-6"/>
        </w:rPr>
        <w:t> </w:t>
      </w:r>
      <w:r>
        <w:rPr/>
        <w:t>the</w:t>
      </w:r>
      <w:r>
        <w:rPr>
          <w:spacing w:val="-3"/>
        </w:rPr>
        <w:t> </w:t>
      </w:r>
      <w:r>
        <w:rPr/>
        <w:t>October 2026 Regional Joint Committee meeting.</w:t>
      </w:r>
    </w:p>
    <w:p>
      <w:pPr>
        <w:pStyle w:val="BodyText"/>
      </w:pPr>
    </w:p>
    <w:p>
      <w:pPr>
        <w:pStyle w:val="BodyText"/>
        <w:spacing w:before="6"/>
      </w:pPr>
    </w:p>
    <w:p>
      <w:pPr>
        <w:spacing w:before="0"/>
        <w:ind w:left="23" w:right="0" w:firstLine="0"/>
        <w:jc w:val="left"/>
        <w:rPr>
          <w:sz w:val="24"/>
        </w:rPr>
      </w:pPr>
      <w:r>
        <w:rPr>
          <w:b/>
          <w:sz w:val="24"/>
        </w:rPr>
        <w:t>Assure</w:t>
      </w:r>
      <w:hyperlink w:history="true" w:anchor="_bookmark7">
        <w:r>
          <w:rPr>
            <w:b/>
            <w:sz w:val="24"/>
            <w:vertAlign w:val="superscript"/>
          </w:rPr>
          <w:t>3</w:t>
        </w:r>
      </w:hyperlink>
      <w:r>
        <w:rPr>
          <w:b/>
          <w:spacing w:val="-4"/>
          <w:sz w:val="24"/>
          <w:vertAlign w:val="baseline"/>
        </w:rPr>
        <w:t> </w:t>
      </w:r>
      <w:r>
        <w:rPr>
          <w:sz w:val="24"/>
          <w:vertAlign w:val="baseline"/>
        </w:rPr>
        <w:t>(to</w:t>
      </w:r>
      <w:r>
        <w:rPr>
          <w:spacing w:val="-2"/>
          <w:sz w:val="24"/>
          <w:vertAlign w:val="baseline"/>
        </w:rPr>
        <w:t> </w:t>
      </w:r>
      <w:r>
        <w:rPr>
          <w:sz w:val="24"/>
          <w:vertAlign w:val="baseline"/>
        </w:rPr>
        <w:t>note)/</w:t>
      </w:r>
      <w:r>
        <w:rPr>
          <w:spacing w:val="-4"/>
          <w:sz w:val="24"/>
          <w:vertAlign w:val="baseline"/>
        </w:rPr>
        <w:t> </w:t>
      </w:r>
      <w:r>
        <w:rPr>
          <w:b/>
          <w:sz w:val="24"/>
          <w:vertAlign w:val="baseline"/>
        </w:rPr>
        <w:t>Sicrhau</w:t>
      </w:r>
      <w:r>
        <w:rPr>
          <w:b/>
          <w:spacing w:val="-4"/>
          <w:sz w:val="24"/>
          <w:vertAlign w:val="baseline"/>
        </w:rPr>
        <w:t> </w:t>
      </w:r>
      <w:r>
        <w:rPr>
          <w:sz w:val="24"/>
          <w:vertAlign w:val="baseline"/>
        </w:rPr>
        <w:t>(i</w:t>
      </w:r>
      <w:r>
        <w:rPr>
          <w:spacing w:val="-1"/>
          <w:sz w:val="24"/>
          <w:vertAlign w:val="baseline"/>
        </w:rPr>
        <w:t> </w:t>
      </w:r>
      <w:r>
        <w:rPr>
          <w:spacing w:val="-2"/>
          <w:sz w:val="24"/>
          <w:vertAlign w:val="baseline"/>
        </w:rPr>
        <w:t>nodi)</w:t>
      </w:r>
    </w:p>
    <w:p>
      <w:pPr>
        <w:pStyle w:val="BodyText"/>
        <w:spacing w:before="184"/>
        <w:ind w:left="23"/>
      </w:pPr>
      <w:r>
        <w:rPr/>
        <w:t>The</w:t>
      </w:r>
      <w:r>
        <w:rPr>
          <w:spacing w:val="-3"/>
        </w:rPr>
        <w:t> </w:t>
      </w:r>
      <w:r>
        <w:rPr/>
        <w:t>RCSPG</w:t>
      </w:r>
      <w:r>
        <w:rPr>
          <w:spacing w:val="-5"/>
        </w:rPr>
        <w:t> </w:t>
      </w:r>
      <w:r>
        <w:rPr/>
        <w:t>wish</w:t>
      </w:r>
      <w:r>
        <w:rPr>
          <w:spacing w:val="-2"/>
        </w:rPr>
        <w:t> </w:t>
      </w:r>
      <w:r>
        <w:rPr/>
        <w:t>to </w:t>
      </w:r>
      <w:r>
        <w:rPr>
          <w:b/>
        </w:rPr>
        <w:t>assure </w:t>
      </w:r>
      <w:r>
        <w:rPr/>
        <w:t>members</w:t>
      </w:r>
      <w:r>
        <w:rPr>
          <w:spacing w:val="-3"/>
        </w:rPr>
        <w:t> </w:t>
      </w:r>
      <w:r>
        <w:rPr/>
        <w:t>of</w:t>
      </w:r>
      <w:r>
        <w:rPr>
          <w:spacing w:val="-5"/>
        </w:rPr>
        <w:t> </w:t>
      </w:r>
      <w:r>
        <w:rPr/>
        <w:t>the</w:t>
      </w:r>
      <w:r>
        <w:rPr>
          <w:spacing w:val="-2"/>
        </w:rPr>
        <w:t> </w:t>
      </w:r>
      <w:r>
        <w:rPr/>
        <w:t>RJC</w:t>
      </w:r>
      <w:r>
        <w:rPr>
          <w:spacing w:val="-1"/>
        </w:rPr>
        <w:t> </w:t>
      </w:r>
      <w:r>
        <w:rPr>
          <w:spacing w:val="-2"/>
        </w:rPr>
        <w:t>that:</w:t>
      </w:r>
    </w:p>
    <w:p>
      <w:pPr>
        <w:pStyle w:val="BodyText"/>
        <w:spacing w:line="259" w:lineRule="auto" w:before="184"/>
        <w:ind w:left="23" w:right="42"/>
      </w:pPr>
      <w:r>
        <w:rPr>
          <w:b/>
        </w:rPr>
        <w:t>Planned</w:t>
      </w:r>
      <w:r>
        <w:rPr>
          <w:b/>
          <w:spacing w:val="-2"/>
        </w:rPr>
        <w:t> </w:t>
      </w:r>
      <w:r>
        <w:rPr>
          <w:b/>
        </w:rPr>
        <w:t>Care Recovery</w:t>
      </w:r>
      <w:r>
        <w:rPr>
          <w:b/>
          <w:spacing w:val="-4"/>
        </w:rPr>
        <w:t> </w:t>
      </w:r>
      <w:r>
        <w:rPr>
          <w:b/>
        </w:rPr>
        <w:t>and</w:t>
      </w:r>
      <w:r>
        <w:rPr>
          <w:b/>
          <w:spacing w:val="-2"/>
        </w:rPr>
        <w:t> </w:t>
      </w:r>
      <w:r>
        <w:rPr>
          <w:b/>
        </w:rPr>
        <w:t>Sustainability Plans </w:t>
      </w:r>
      <w:r>
        <w:rPr/>
        <w:t>were developed in collaboration and submitted separately by both Health Boards to Welsh Government in summer 2026.</w:t>
      </w:r>
      <w:r>
        <w:rPr>
          <w:spacing w:val="-5"/>
        </w:rPr>
        <w:t> </w:t>
      </w:r>
      <w:r>
        <w:rPr/>
        <w:t>Initial</w:t>
      </w:r>
      <w:r>
        <w:rPr>
          <w:spacing w:val="-2"/>
        </w:rPr>
        <w:t> </w:t>
      </w:r>
      <w:r>
        <w:rPr/>
        <w:t>funding</w:t>
      </w:r>
      <w:r>
        <w:rPr>
          <w:spacing w:val="-2"/>
        </w:rPr>
        <w:t> </w:t>
      </w:r>
      <w:r>
        <w:rPr/>
        <w:t>has</w:t>
      </w:r>
      <w:r>
        <w:rPr>
          <w:spacing w:val="-3"/>
        </w:rPr>
        <w:t> </w:t>
      </w:r>
      <w:r>
        <w:rPr/>
        <w:t>been</w:t>
      </w:r>
      <w:r>
        <w:rPr>
          <w:spacing w:val="-2"/>
        </w:rPr>
        <w:t> </w:t>
      </w:r>
      <w:r>
        <w:rPr/>
        <w:t>confirmed,</w:t>
      </w:r>
      <w:r>
        <w:rPr>
          <w:spacing w:val="-5"/>
        </w:rPr>
        <w:t> </w:t>
      </w:r>
      <w:r>
        <w:rPr/>
        <w:t>although</w:t>
      </w:r>
      <w:r>
        <w:rPr>
          <w:spacing w:val="-2"/>
        </w:rPr>
        <w:t> </w:t>
      </w:r>
      <w:r>
        <w:rPr/>
        <w:t>the</w:t>
      </w:r>
      <w:r>
        <w:rPr>
          <w:spacing w:val="-2"/>
        </w:rPr>
        <w:t> </w:t>
      </w:r>
      <w:r>
        <w:rPr/>
        <w:t>funding</w:t>
      </w:r>
      <w:r>
        <w:rPr>
          <w:spacing w:val="-2"/>
        </w:rPr>
        <w:t> </w:t>
      </w:r>
      <w:r>
        <w:rPr/>
        <w:t>available</w:t>
      </w:r>
      <w:r>
        <w:rPr>
          <w:spacing w:val="-2"/>
        </w:rPr>
        <w:t> </w:t>
      </w:r>
      <w:r>
        <w:rPr/>
        <w:t>is</w:t>
      </w:r>
      <w:r>
        <w:rPr>
          <w:spacing w:val="-3"/>
        </w:rPr>
        <w:t> </w:t>
      </w:r>
      <w:r>
        <w:rPr/>
        <w:t>lower</w:t>
      </w:r>
      <w:r>
        <w:rPr>
          <w:spacing w:val="-3"/>
        </w:rPr>
        <w:t> </w:t>
      </w:r>
      <w:r>
        <w:rPr/>
        <w:t>than the amount bid for. The implications for individual schemes, delivery trajectories and regional programme assumptions are being assessed through Health Board and programme governance.</w:t>
      </w:r>
      <w:r>
        <w:rPr>
          <w:spacing w:val="40"/>
        </w:rPr>
        <w:t> </w:t>
      </w:r>
      <w:r>
        <w:rPr/>
        <w:t>As the plans and funding are Health Board-specific, they guide immediate 2026/27 local recovery but do not represent an agreed regional service model.</w:t>
      </w:r>
      <w:r>
        <w:rPr>
          <w:spacing w:val="40"/>
        </w:rPr>
        <w:t> </w:t>
      </w:r>
      <w:r>
        <w:rPr/>
        <w:t>Funding allocations are linked to approved schemes and recovery trajectories, with continued support dependent on delivery, core activity, internal capacity and national monitoring; detailed values and scheme allocations remain within Health Board governance and are not included here.</w:t>
      </w:r>
      <w:r>
        <w:rPr>
          <w:spacing w:val="40"/>
        </w:rPr>
        <w:t> </w:t>
      </w:r>
      <w:r>
        <w:rPr/>
        <w:t>Regional programmes will use them to align assumptions, identify any recurrent regional capacity gap, distinguish short-term recovery from sustainable models, and requires monitoring to ensure alignment.</w:t>
      </w:r>
    </w:p>
    <w:p>
      <w:pPr>
        <w:spacing w:before="154"/>
        <w:ind w:left="23" w:right="0" w:firstLine="0"/>
        <w:jc w:val="left"/>
        <w:rPr>
          <w:b/>
          <w:sz w:val="24"/>
        </w:rPr>
      </w:pPr>
      <w:r>
        <w:rPr>
          <w:b/>
          <w:sz w:val="24"/>
        </w:rPr>
        <w:t>Regional</w:t>
      </w:r>
      <w:r>
        <w:rPr>
          <w:b/>
          <w:spacing w:val="-10"/>
          <w:sz w:val="24"/>
        </w:rPr>
        <w:t> </w:t>
      </w:r>
      <w:r>
        <w:rPr>
          <w:b/>
          <w:sz w:val="24"/>
        </w:rPr>
        <w:t>Orthopaedics</w:t>
      </w:r>
      <w:r>
        <w:rPr>
          <w:b/>
          <w:spacing w:val="-5"/>
          <w:sz w:val="24"/>
        </w:rPr>
        <w:t> </w:t>
      </w:r>
      <w:r>
        <w:rPr>
          <w:b/>
          <w:spacing w:val="-2"/>
          <w:sz w:val="24"/>
        </w:rPr>
        <w:t>Programme:</w:t>
      </w:r>
    </w:p>
    <w:p>
      <w:pPr>
        <w:pStyle w:val="BodyText"/>
        <w:spacing w:line="276" w:lineRule="auto" w:before="39"/>
        <w:ind w:left="23" w:right="104"/>
      </w:pPr>
      <w:r>
        <w:rPr/>
        <w:t>The programme reset has established a proposed sequence of work covering refreshed demand and capacity analysis, confirmation of current and potential regional capacity, options development and appraisal, and development of a clinically</w:t>
      </w:r>
      <w:r>
        <w:rPr>
          <w:spacing w:val="-3"/>
        </w:rPr>
        <w:t> </w:t>
      </w:r>
      <w:r>
        <w:rPr/>
        <w:t>led</w:t>
      </w:r>
      <w:r>
        <w:rPr>
          <w:spacing w:val="-2"/>
        </w:rPr>
        <w:t> </w:t>
      </w:r>
      <w:r>
        <w:rPr/>
        <w:t>regional</w:t>
      </w:r>
      <w:r>
        <w:rPr>
          <w:spacing w:val="-2"/>
        </w:rPr>
        <w:t> </w:t>
      </w:r>
      <w:r>
        <w:rPr/>
        <w:t>strategy</w:t>
      </w:r>
      <w:r>
        <w:rPr>
          <w:spacing w:val="-3"/>
        </w:rPr>
        <w:t> </w:t>
      </w:r>
      <w:r>
        <w:rPr/>
        <w:t>and</w:t>
      </w:r>
      <w:r>
        <w:rPr>
          <w:spacing w:val="-2"/>
        </w:rPr>
        <w:t> </w:t>
      </w:r>
      <w:r>
        <w:rPr/>
        <w:t>delivery</w:t>
      </w:r>
      <w:r>
        <w:rPr>
          <w:spacing w:val="-3"/>
        </w:rPr>
        <w:t> </w:t>
      </w:r>
      <w:r>
        <w:rPr/>
        <w:t>plan.</w:t>
      </w:r>
      <w:r>
        <w:rPr>
          <w:spacing w:val="-10"/>
        </w:rPr>
        <w:t> </w:t>
      </w:r>
      <w:r>
        <w:rPr/>
        <w:t>Governance</w:t>
      </w:r>
      <w:r>
        <w:rPr>
          <w:spacing w:val="-2"/>
        </w:rPr>
        <w:t> </w:t>
      </w:r>
      <w:r>
        <w:rPr/>
        <w:t>arrangements</w:t>
      </w:r>
      <w:r>
        <w:rPr>
          <w:spacing w:val="-3"/>
        </w:rPr>
        <w:t> </w:t>
      </w:r>
      <w:r>
        <w:rPr/>
        <w:t>and Terms of Reference have been refreshed in line with the revised regional governance arrangements.</w:t>
      </w:r>
    </w:p>
    <w:p>
      <w:pPr>
        <w:pStyle w:val="BodyText"/>
        <w:spacing w:line="276" w:lineRule="auto" w:before="161"/>
        <w:ind w:left="23" w:right="104"/>
      </w:pPr>
      <w:r>
        <w:rPr/>
        <w:t>As</w:t>
      </w:r>
      <w:r>
        <w:rPr>
          <w:spacing w:val="-4"/>
        </w:rPr>
        <w:t> </w:t>
      </w:r>
      <w:r>
        <w:rPr/>
        <w:t>an</w:t>
      </w:r>
      <w:r>
        <w:rPr>
          <w:spacing w:val="-3"/>
        </w:rPr>
        <w:t> </w:t>
      </w:r>
      <w:r>
        <w:rPr/>
        <w:t>initial</w:t>
      </w:r>
      <w:r>
        <w:rPr>
          <w:spacing w:val="-3"/>
        </w:rPr>
        <w:t> </w:t>
      </w:r>
      <w:r>
        <w:rPr/>
        <w:t>practical</w:t>
      </w:r>
      <w:r>
        <w:rPr>
          <w:spacing w:val="-3"/>
        </w:rPr>
        <w:t> </w:t>
      </w:r>
      <w:r>
        <w:rPr/>
        <w:t>step</w:t>
      </w:r>
      <w:r>
        <w:rPr>
          <w:spacing w:val="-3"/>
        </w:rPr>
        <w:t> </w:t>
      </w:r>
      <w:r>
        <w:rPr/>
        <w:t>towards</w:t>
      </w:r>
      <w:r>
        <w:rPr>
          <w:spacing w:val="-4"/>
        </w:rPr>
        <w:t> </w:t>
      </w:r>
      <w:r>
        <w:rPr/>
        <w:t>more</w:t>
      </w:r>
      <w:r>
        <w:rPr>
          <w:spacing w:val="-3"/>
        </w:rPr>
        <w:t> </w:t>
      </w:r>
      <w:r>
        <w:rPr/>
        <w:t>integrated</w:t>
      </w:r>
      <w:r>
        <w:rPr>
          <w:spacing w:val="-3"/>
        </w:rPr>
        <w:t> </w:t>
      </w:r>
      <w:r>
        <w:rPr/>
        <w:t>regional</w:t>
      </w:r>
      <w:r>
        <w:rPr>
          <w:spacing w:val="-3"/>
        </w:rPr>
        <w:t> </w:t>
      </w:r>
      <w:r>
        <w:rPr/>
        <w:t>working,</w:t>
      </w:r>
      <w:r>
        <w:rPr>
          <w:spacing w:val="-6"/>
        </w:rPr>
        <w:t> </w:t>
      </w:r>
      <w:r>
        <w:rPr/>
        <w:t>the</w:t>
      </w:r>
      <w:r>
        <w:rPr>
          <w:spacing w:val="-3"/>
        </w:rPr>
        <w:t> </w:t>
      </w:r>
      <w:r>
        <w:rPr/>
        <w:t>programme is considering the introduction of a single patient treatment list for selected parts of the Orthopaedic pathway. This would provide a controlled opportunity to test the approach, understand the implications for equitable access and patient choice, and apply the learning before any wider implementation. Further detail on scope, timing, patient volumes and governance requirements will be developed through the Programme Board and relevant Health Board governance arrangements.</w:t>
      </w:r>
    </w:p>
    <w:p>
      <w:pPr>
        <w:pStyle w:val="BodyText"/>
        <w:spacing w:before="159"/>
        <w:ind w:left="23"/>
      </w:pPr>
      <w:r>
        <w:rPr/>
        <w:t>The</w:t>
      </w:r>
      <w:r>
        <w:rPr>
          <w:spacing w:val="-3"/>
        </w:rPr>
        <w:t> </w:t>
      </w:r>
      <w:r>
        <w:rPr/>
        <w:t>Regional</w:t>
      </w:r>
      <w:r>
        <w:rPr>
          <w:spacing w:val="-2"/>
        </w:rPr>
        <w:t> </w:t>
      </w:r>
      <w:r>
        <w:rPr/>
        <w:t>Orthopaedics</w:t>
      </w:r>
      <w:r>
        <w:rPr>
          <w:spacing w:val="-4"/>
        </w:rPr>
        <w:t> </w:t>
      </w:r>
      <w:r>
        <w:rPr/>
        <w:t>PID</w:t>
      </w:r>
      <w:r>
        <w:rPr>
          <w:spacing w:val="-2"/>
        </w:rPr>
        <w:t> </w:t>
      </w:r>
      <w:r>
        <w:rPr/>
        <w:t>is</w:t>
      </w:r>
      <w:r>
        <w:rPr>
          <w:spacing w:val="-4"/>
        </w:rPr>
        <w:t> </w:t>
      </w:r>
      <w:r>
        <w:rPr/>
        <w:t>provided</w:t>
      </w:r>
      <w:r>
        <w:rPr>
          <w:spacing w:val="-2"/>
        </w:rPr>
        <w:t> </w:t>
      </w:r>
      <w:r>
        <w:rPr/>
        <w:t>for</w:t>
      </w:r>
      <w:r>
        <w:rPr>
          <w:spacing w:val="-3"/>
        </w:rPr>
        <w:t> </w:t>
      </w:r>
      <w:r>
        <w:rPr>
          <w:spacing w:val="-2"/>
        </w:rPr>
        <w:t>comment.</w:t>
      </w:r>
    </w:p>
    <w:p>
      <w:pPr>
        <w:spacing w:before="205"/>
        <w:ind w:left="23" w:right="0" w:firstLine="0"/>
        <w:jc w:val="left"/>
        <w:rPr>
          <w:b/>
          <w:sz w:val="24"/>
        </w:rPr>
      </w:pPr>
      <w:r>
        <w:rPr>
          <w:b/>
          <w:sz w:val="24"/>
        </w:rPr>
        <w:t>Regional</w:t>
      </w:r>
      <w:r>
        <w:rPr>
          <w:b/>
          <w:spacing w:val="-5"/>
          <w:sz w:val="24"/>
        </w:rPr>
        <w:t> </w:t>
      </w:r>
      <w:r>
        <w:rPr>
          <w:b/>
          <w:sz w:val="24"/>
        </w:rPr>
        <w:t>Eye</w:t>
      </w:r>
      <w:r>
        <w:rPr>
          <w:b/>
          <w:spacing w:val="-2"/>
          <w:sz w:val="24"/>
        </w:rPr>
        <w:t> </w:t>
      </w:r>
      <w:r>
        <w:rPr>
          <w:b/>
          <w:sz w:val="24"/>
        </w:rPr>
        <w:t>Care</w:t>
      </w:r>
      <w:r>
        <w:rPr>
          <w:b/>
          <w:spacing w:val="-1"/>
          <w:sz w:val="24"/>
        </w:rPr>
        <w:t> </w:t>
      </w:r>
      <w:r>
        <w:rPr>
          <w:b/>
          <w:spacing w:val="-2"/>
          <w:sz w:val="24"/>
        </w:rPr>
        <w:t>Programme:</w:t>
      </w:r>
    </w:p>
    <w:p>
      <w:pPr>
        <w:pStyle w:val="BodyText"/>
        <w:rPr>
          <w:b/>
          <w:sz w:val="20"/>
        </w:rPr>
      </w:pPr>
    </w:p>
    <w:p>
      <w:pPr>
        <w:pStyle w:val="BodyText"/>
        <w:spacing w:before="90"/>
        <w:rPr>
          <w:b/>
          <w:sz w:val="20"/>
        </w:rPr>
      </w:pPr>
      <w:r>
        <w:rPr>
          <w:b/>
          <w:sz w:val="20"/>
        </w:rPr>
        <mc:AlternateContent>
          <mc:Choice Requires="wps">
            <w:drawing>
              <wp:anchor distT="0" distB="0" distL="0" distR="0" allowOverlap="1" layoutInCell="1" locked="0" behindDoc="1" simplePos="0" relativeHeight="487632896">
                <wp:simplePos x="0" y="0"/>
                <wp:positionH relativeFrom="page">
                  <wp:posOffset>914717</wp:posOffset>
                </wp:positionH>
                <wp:positionV relativeFrom="paragraph">
                  <wp:posOffset>218422</wp:posOffset>
                </wp:positionV>
                <wp:extent cx="1830070" cy="9525"/>
                <wp:effectExtent l="0" t="0" r="0" b="0"/>
                <wp:wrapTopAndBottom/>
                <wp:docPr id="202" name="Graphic 202"/>
                <wp:cNvGraphicFramePr>
                  <a:graphicFrameLocks/>
                </wp:cNvGraphicFramePr>
                <a:graphic>
                  <a:graphicData uri="http://schemas.microsoft.com/office/word/2010/wordprocessingShape">
                    <wps:wsp>
                      <wps:cNvPr id="202" name="Graphic 202"/>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5002pt;margin-top:17.198633pt;width:144.080pt;height:.75pt;mso-position-horizontal-relative:page;mso-position-vertical-relative:paragraph;z-index:-15683584;mso-wrap-distance-left:0;mso-wrap-distance-right:0" id="docshape132" filled="true" fillcolor="#000000" stroked="false">
                <v:fill type="solid"/>
                <w10:wrap type="topAndBottom"/>
              </v:rect>
            </w:pict>
          </mc:Fallback>
        </mc:AlternateContent>
      </w:r>
    </w:p>
    <w:p>
      <w:pPr>
        <w:spacing w:line="235" w:lineRule="auto" w:before="103"/>
        <w:ind w:left="23" w:right="0" w:firstLine="0"/>
        <w:jc w:val="left"/>
        <w:rPr>
          <w:rFonts w:ascii="Calibri"/>
          <w:i/>
          <w:sz w:val="20"/>
        </w:rPr>
      </w:pPr>
      <w:bookmarkStart w:name="_bookmark7" w:id="19"/>
      <w:bookmarkEnd w:id="19"/>
      <w:r>
        <w:rPr/>
      </w:r>
      <w:r>
        <w:rPr>
          <w:rFonts w:ascii="Calibri"/>
          <w:position w:val="6"/>
          <w:sz w:val="13"/>
        </w:rPr>
        <w:t>3</w:t>
      </w:r>
      <w:r>
        <w:rPr>
          <w:rFonts w:ascii="Calibri"/>
          <w:spacing w:val="12"/>
          <w:position w:val="6"/>
          <w:sz w:val="13"/>
        </w:rPr>
        <w:t> </w:t>
      </w:r>
      <w:r>
        <w:rPr>
          <w:rFonts w:ascii="Calibri"/>
          <w:i/>
          <w:sz w:val="20"/>
        </w:rPr>
        <w:t>There</w:t>
      </w:r>
      <w:r>
        <w:rPr>
          <w:rFonts w:ascii="Calibri"/>
          <w:i/>
          <w:spacing w:val="-3"/>
          <w:sz w:val="20"/>
        </w:rPr>
        <w:t> </w:t>
      </w:r>
      <w:r>
        <w:rPr>
          <w:rFonts w:ascii="Calibri"/>
          <w:i/>
          <w:sz w:val="20"/>
        </w:rPr>
        <w:t>is</w:t>
      </w:r>
      <w:r>
        <w:rPr>
          <w:rFonts w:ascii="Calibri"/>
          <w:i/>
          <w:spacing w:val="-2"/>
          <w:sz w:val="20"/>
        </w:rPr>
        <w:t> </w:t>
      </w:r>
      <w:r>
        <w:rPr>
          <w:rFonts w:ascii="Calibri"/>
          <w:i/>
          <w:sz w:val="20"/>
        </w:rPr>
        <w:t>confidence</w:t>
      </w:r>
      <w:r>
        <w:rPr>
          <w:rFonts w:ascii="Calibri"/>
          <w:i/>
          <w:spacing w:val="-3"/>
          <w:sz w:val="20"/>
        </w:rPr>
        <w:t> </w:t>
      </w:r>
      <w:r>
        <w:rPr>
          <w:rFonts w:ascii="Calibri"/>
          <w:i/>
          <w:sz w:val="20"/>
        </w:rPr>
        <w:t>that</w:t>
      </w:r>
      <w:r>
        <w:rPr>
          <w:rFonts w:ascii="Calibri"/>
          <w:i/>
          <w:spacing w:val="-4"/>
          <w:sz w:val="20"/>
        </w:rPr>
        <w:t> </w:t>
      </w:r>
      <w:r>
        <w:rPr>
          <w:rFonts w:ascii="Calibri"/>
          <w:i/>
          <w:sz w:val="20"/>
        </w:rPr>
        <w:t>actions</w:t>
      </w:r>
      <w:r>
        <w:rPr>
          <w:rFonts w:ascii="Calibri"/>
          <w:i/>
          <w:spacing w:val="-2"/>
          <w:sz w:val="20"/>
        </w:rPr>
        <w:t> </w:t>
      </w:r>
      <w:r>
        <w:rPr>
          <w:rFonts w:ascii="Calibri"/>
          <w:i/>
          <w:sz w:val="20"/>
        </w:rPr>
        <w:t>are</w:t>
      </w:r>
      <w:r>
        <w:rPr>
          <w:rFonts w:ascii="Calibri"/>
          <w:i/>
          <w:spacing w:val="-8"/>
          <w:sz w:val="20"/>
        </w:rPr>
        <w:t> </w:t>
      </w:r>
      <w:r>
        <w:rPr>
          <w:rFonts w:ascii="Calibri"/>
          <w:i/>
          <w:sz w:val="20"/>
        </w:rPr>
        <w:t>robust</w:t>
      </w:r>
      <w:r>
        <w:rPr>
          <w:rFonts w:ascii="Calibri"/>
          <w:i/>
          <w:spacing w:val="-4"/>
          <w:sz w:val="20"/>
        </w:rPr>
        <w:t> </w:t>
      </w:r>
      <w:r>
        <w:rPr>
          <w:rFonts w:ascii="Calibri"/>
          <w:i/>
          <w:sz w:val="20"/>
        </w:rPr>
        <w:t>and</w:t>
      </w:r>
      <w:r>
        <w:rPr>
          <w:rFonts w:ascii="Calibri"/>
          <w:i/>
          <w:spacing w:val="-2"/>
          <w:sz w:val="20"/>
        </w:rPr>
        <w:t> </w:t>
      </w:r>
      <w:r>
        <w:rPr>
          <w:rFonts w:ascii="Calibri"/>
          <w:i/>
          <w:sz w:val="20"/>
        </w:rPr>
        <w:t>will</w:t>
      </w:r>
      <w:r>
        <w:rPr>
          <w:rFonts w:ascii="Calibri"/>
          <w:i/>
          <w:spacing w:val="-3"/>
          <w:sz w:val="20"/>
        </w:rPr>
        <w:t> </w:t>
      </w:r>
      <w:r>
        <w:rPr>
          <w:rFonts w:ascii="Calibri"/>
          <w:i/>
          <w:sz w:val="20"/>
        </w:rPr>
        <w:t>be</w:t>
      </w:r>
      <w:r>
        <w:rPr>
          <w:rFonts w:ascii="Calibri"/>
          <w:i/>
          <w:spacing w:val="-3"/>
          <w:sz w:val="20"/>
        </w:rPr>
        <w:t> </w:t>
      </w:r>
      <w:r>
        <w:rPr>
          <w:rFonts w:ascii="Calibri"/>
          <w:i/>
          <w:sz w:val="20"/>
        </w:rPr>
        <w:t>sufficient</w:t>
      </w:r>
      <w:r>
        <w:rPr>
          <w:rFonts w:ascii="Calibri"/>
          <w:i/>
          <w:spacing w:val="-4"/>
          <w:sz w:val="20"/>
        </w:rPr>
        <w:t> </w:t>
      </w:r>
      <w:r>
        <w:rPr>
          <w:rFonts w:ascii="Calibri"/>
          <w:i/>
          <w:sz w:val="20"/>
        </w:rPr>
        <w:t>to</w:t>
      </w:r>
      <w:r>
        <w:rPr>
          <w:rFonts w:ascii="Calibri"/>
          <w:i/>
          <w:spacing w:val="-1"/>
          <w:sz w:val="20"/>
        </w:rPr>
        <w:t> </w:t>
      </w:r>
      <w:r>
        <w:rPr>
          <w:rFonts w:ascii="Calibri"/>
          <w:i/>
          <w:sz w:val="20"/>
        </w:rPr>
        <w:t>address</w:t>
      </w:r>
      <w:r>
        <w:rPr>
          <w:rFonts w:ascii="Calibri"/>
          <w:i/>
          <w:spacing w:val="-2"/>
          <w:sz w:val="20"/>
        </w:rPr>
        <w:t> </w:t>
      </w:r>
      <w:r>
        <w:rPr>
          <w:rFonts w:ascii="Calibri"/>
          <w:i/>
          <w:sz w:val="20"/>
        </w:rPr>
        <w:t>the</w:t>
      </w:r>
      <w:r>
        <w:rPr>
          <w:rFonts w:ascii="Calibri"/>
          <w:i/>
          <w:spacing w:val="-3"/>
          <w:sz w:val="20"/>
        </w:rPr>
        <w:t> </w:t>
      </w:r>
      <w:r>
        <w:rPr>
          <w:rFonts w:ascii="Calibri"/>
          <w:i/>
          <w:sz w:val="20"/>
        </w:rPr>
        <w:t>issue</w:t>
      </w:r>
      <w:r>
        <w:rPr>
          <w:rFonts w:ascii="Calibri"/>
          <w:i/>
          <w:spacing w:val="-8"/>
          <w:sz w:val="20"/>
        </w:rPr>
        <w:t> </w:t>
      </w:r>
      <w:r>
        <w:rPr>
          <w:rFonts w:ascii="Calibri"/>
          <w:i/>
          <w:sz w:val="20"/>
        </w:rPr>
        <w:t>or</w:t>
      </w:r>
      <w:r>
        <w:rPr>
          <w:rFonts w:ascii="Calibri"/>
          <w:i/>
          <w:spacing w:val="-2"/>
          <w:sz w:val="20"/>
        </w:rPr>
        <w:t> </w:t>
      </w:r>
      <w:r>
        <w:rPr>
          <w:rFonts w:ascii="Calibri"/>
          <w:i/>
          <w:sz w:val="20"/>
        </w:rPr>
        <w:t>generally</w:t>
      </w:r>
      <w:r>
        <w:rPr>
          <w:rFonts w:ascii="Calibri"/>
          <w:i/>
          <w:spacing w:val="-7"/>
          <w:sz w:val="20"/>
        </w:rPr>
        <w:t> </w:t>
      </w:r>
      <w:r>
        <w:rPr>
          <w:rFonts w:ascii="Calibri"/>
          <w:i/>
          <w:sz w:val="20"/>
        </w:rPr>
        <w:t>operating</w:t>
      </w:r>
      <w:r>
        <w:rPr>
          <w:rFonts w:ascii="Calibri"/>
          <w:i/>
          <w:sz w:val="20"/>
        </w:rPr>
        <w:t> effectively. Routine monitoring.</w:t>
      </w:r>
    </w:p>
    <w:p>
      <w:pPr>
        <w:spacing w:after="0" w:line="235" w:lineRule="auto"/>
        <w:jc w:val="left"/>
        <w:rPr>
          <w:rFonts w:ascii="Calibri"/>
          <w:i/>
          <w:sz w:val="20"/>
        </w:rPr>
        <w:sectPr>
          <w:footerReference w:type="default" r:id="rId52"/>
          <w:pgSz w:w="11910" w:h="16840"/>
          <w:pgMar w:header="0" w:footer="576" w:top="1140" w:bottom="760" w:left="1417" w:right="1417"/>
        </w:sectPr>
      </w:pPr>
    </w:p>
    <w:p>
      <w:pPr>
        <w:tabs>
          <w:tab w:pos="5149" w:val="left" w:leader="none"/>
        </w:tabs>
        <w:spacing w:line="240" w:lineRule="auto"/>
        <w:ind w:left="561" w:right="-58" w:firstLine="0"/>
        <w:rPr>
          <w:rFonts w:ascii="Calibri"/>
          <w:position w:val="9"/>
          <w:sz w:val="20"/>
        </w:rPr>
      </w:pPr>
      <w:r>
        <w:rPr>
          <w:rFonts w:ascii="Calibri"/>
          <w:sz w:val="20"/>
        </w:rPr>
        <w:drawing>
          <wp:inline distT="0" distB="0" distL="0" distR="0">
            <wp:extent cx="2247389" cy="585216"/>
            <wp:effectExtent l="0" t="0" r="0" b="0"/>
            <wp:docPr id="206" name="Image 206"/>
            <wp:cNvGraphicFramePr>
              <a:graphicFrameLocks/>
            </wp:cNvGraphicFramePr>
            <a:graphic>
              <a:graphicData uri="http://schemas.openxmlformats.org/drawingml/2006/picture">
                <pic:pic>
                  <pic:nvPicPr>
                    <pic:cNvPr id="206" name="Image 206"/>
                    <pic:cNvPicPr/>
                  </pic:nvPicPr>
                  <pic:blipFill>
                    <a:blip r:embed="rId50" cstate="print"/>
                    <a:stretch>
                      <a:fillRect/>
                    </a:stretch>
                  </pic:blipFill>
                  <pic:spPr>
                    <a:xfrm>
                      <a:off x="0" y="0"/>
                      <a:ext cx="2247389" cy="585216"/>
                    </a:xfrm>
                    <a:prstGeom prst="rect">
                      <a:avLst/>
                    </a:prstGeom>
                  </pic:spPr>
                </pic:pic>
              </a:graphicData>
            </a:graphic>
          </wp:inline>
        </w:drawing>
      </w:r>
      <w:r>
        <w:rPr>
          <w:rFonts w:ascii="Calibri"/>
          <w:sz w:val="20"/>
        </w:rPr>
      </w:r>
      <w:r>
        <w:rPr>
          <w:rFonts w:ascii="Calibri"/>
          <w:sz w:val="20"/>
        </w:rPr>
        <w:tab/>
      </w:r>
      <w:r>
        <w:rPr>
          <w:rFonts w:ascii="Calibri"/>
          <w:position w:val="9"/>
          <w:sz w:val="20"/>
        </w:rPr>
        <w:drawing>
          <wp:inline distT="0" distB="0" distL="0" distR="0">
            <wp:extent cx="2494674" cy="549021"/>
            <wp:effectExtent l="0" t="0" r="0" b="0"/>
            <wp:docPr id="207" name="Image 207"/>
            <wp:cNvGraphicFramePr>
              <a:graphicFrameLocks/>
            </wp:cNvGraphicFramePr>
            <a:graphic>
              <a:graphicData uri="http://schemas.openxmlformats.org/drawingml/2006/picture">
                <pic:pic>
                  <pic:nvPicPr>
                    <pic:cNvPr id="207" name="Image 207"/>
                    <pic:cNvPicPr/>
                  </pic:nvPicPr>
                  <pic:blipFill>
                    <a:blip r:embed="rId7" cstate="print"/>
                    <a:stretch>
                      <a:fillRect/>
                    </a:stretch>
                  </pic:blipFill>
                  <pic:spPr>
                    <a:xfrm>
                      <a:off x="0" y="0"/>
                      <a:ext cx="2494674" cy="549021"/>
                    </a:xfrm>
                    <a:prstGeom prst="rect">
                      <a:avLst/>
                    </a:prstGeom>
                  </pic:spPr>
                </pic:pic>
              </a:graphicData>
            </a:graphic>
          </wp:inline>
        </w:drawing>
      </w:r>
      <w:r>
        <w:rPr>
          <w:rFonts w:ascii="Calibri"/>
          <w:position w:val="9"/>
          <w:sz w:val="20"/>
        </w:rPr>
      </w:r>
    </w:p>
    <w:p>
      <w:pPr>
        <w:pStyle w:val="BodyText"/>
        <w:spacing w:before="156"/>
        <w:rPr>
          <w:rFonts w:ascii="Calibri"/>
          <w:i/>
        </w:rPr>
      </w:pPr>
    </w:p>
    <w:p>
      <w:pPr>
        <w:pStyle w:val="BodyText"/>
        <w:spacing w:line="276" w:lineRule="auto" w:before="1"/>
        <w:ind w:left="23"/>
      </w:pPr>
      <w:r>
        <w:rPr/>
        <w:t>Progress has been made in developing the 2026/27 roadmap, including work on demand and capacity, theatre utilisation, expenditure, workforce, OpenEyes readiness,</w:t>
      </w:r>
      <w:r>
        <w:rPr>
          <w:spacing w:val="-8"/>
        </w:rPr>
        <w:t> </w:t>
      </w:r>
      <w:r>
        <w:rPr/>
        <w:t>performance</w:t>
      </w:r>
      <w:r>
        <w:rPr>
          <w:spacing w:val="-5"/>
        </w:rPr>
        <w:t> </w:t>
      </w:r>
      <w:r>
        <w:rPr/>
        <w:t>reporting</w:t>
      </w:r>
      <w:r>
        <w:rPr>
          <w:spacing w:val="-5"/>
        </w:rPr>
        <w:t> </w:t>
      </w:r>
      <w:r>
        <w:rPr/>
        <w:t>and</w:t>
      </w:r>
      <w:r>
        <w:rPr>
          <w:spacing w:val="-5"/>
        </w:rPr>
        <w:t> </w:t>
      </w:r>
      <w:r>
        <w:rPr/>
        <w:t>priority</w:t>
      </w:r>
      <w:r>
        <w:rPr>
          <w:spacing w:val="-6"/>
        </w:rPr>
        <w:t> </w:t>
      </w:r>
      <w:r>
        <w:rPr/>
        <w:t>pathways</w:t>
      </w:r>
      <w:r>
        <w:rPr>
          <w:spacing w:val="-6"/>
        </w:rPr>
        <w:t> </w:t>
      </w:r>
      <w:r>
        <w:rPr/>
        <w:t>covering</w:t>
      </w:r>
      <w:r>
        <w:rPr>
          <w:spacing w:val="-5"/>
        </w:rPr>
        <w:t> </w:t>
      </w:r>
      <w:r>
        <w:rPr/>
        <w:t>vitreoretinal,</w:t>
      </w:r>
      <w:r>
        <w:rPr>
          <w:spacing w:val="-8"/>
        </w:rPr>
        <w:t> </w:t>
      </w:r>
      <w:r>
        <w:rPr/>
        <w:t>IVT, glaucoma, cataract and medical retina. Governance arrangements and Terms of Reference have also been refreshed in line with the revised regional governance </w:t>
      </w:r>
      <w:r>
        <w:rPr>
          <w:spacing w:val="-2"/>
        </w:rPr>
        <w:t>arrangements.</w:t>
      </w:r>
    </w:p>
    <w:p>
      <w:pPr>
        <w:pStyle w:val="BodyText"/>
        <w:spacing w:line="276" w:lineRule="auto" w:before="156"/>
        <w:ind w:left="23"/>
      </w:pPr>
      <w:r>
        <w:rPr/>
        <w:t>A</w:t>
      </w:r>
      <w:r>
        <w:rPr>
          <w:spacing w:val="-3"/>
        </w:rPr>
        <w:t> </w:t>
      </w:r>
      <w:r>
        <w:rPr/>
        <w:t>handover</w:t>
      </w:r>
      <w:r>
        <w:rPr>
          <w:spacing w:val="-3"/>
        </w:rPr>
        <w:t> </w:t>
      </w:r>
      <w:r>
        <w:rPr/>
        <w:t>is</w:t>
      </w:r>
      <w:r>
        <w:rPr>
          <w:spacing w:val="-3"/>
        </w:rPr>
        <w:t> </w:t>
      </w:r>
      <w:r>
        <w:rPr/>
        <w:t>also</w:t>
      </w:r>
      <w:r>
        <w:rPr>
          <w:spacing w:val="-2"/>
        </w:rPr>
        <w:t> </w:t>
      </w:r>
      <w:r>
        <w:rPr/>
        <w:t>underway</w:t>
      </w:r>
      <w:r>
        <w:rPr>
          <w:spacing w:val="-3"/>
        </w:rPr>
        <w:t> </w:t>
      </w:r>
      <w:r>
        <w:rPr/>
        <w:t>to</w:t>
      </w:r>
      <w:r>
        <w:rPr>
          <w:spacing w:val="-2"/>
        </w:rPr>
        <w:t> </w:t>
      </w:r>
      <w:r>
        <w:rPr/>
        <w:t>the</w:t>
      </w:r>
      <w:r>
        <w:rPr>
          <w:spacing w:val="-2"/>
        </w:rPr>
        <w:t> </w:t>
      </w:r>
      <w:r>
        <w:rPr/>
        <w:t>newly</w:t>
      </w:r>
      <w:r>
        <w:rPr>
          <w:spacing w:val="-3"/>
        </w:rPr>
        <w:t> </w:t>
      </w:r>
      <w:r>
        <w:rPr/>
        <w:t>appointed SBUHB</w:t>
      </w:r>
      <w:r>
        <w:rPr>
          <w:spacing w:val="-2"/>
        </w:rPr>
        <w:t> </w:t>
      </w:r>
      <w:r>
        <w:rPr/>
        <w:t>Eye</w:t>
      </w:r>
      <w:r>
        <w:rPr>
          <w:spacing w:val="-2"/>
        </w:rPr>
        <w:t> </w:t>
      </w:r>
      <w:r>
        <w:rPr/>
        <w:t>Care</w:t>
      </w:r>
      <w:r>
        <w:rPr>
          <w:spacing w:val="-2"/>
        </w:rPr>
        <w:t> </w:t>
      </w:r>
      <w:r>
        <w:rPr/>
        <w:t>Clinical</w:t>
      </w:r>
      <w:r>
        <w:rPr>
          <w:spacing w:val="-1"/>
        </w:rPr>
        <w:t> </w:t>
      </w:r>
      <w:r>
        <w:rPr/>
        <w:t>Lead, who will support the next phase of programme development and clarification of the regional delivery approach.</w:t>
      </w:r>
    </w:p>
    <w:p>
      <w:pPr>
        <w:pStyle w:val="BodyText"/>
        <w:spacing w:line="276" w:lineRule="auto" w:before="163"/>
        <w:ind w:left="23" w:right="68"/>
      </w:pPr>
      <w:r>
        <w:rPr/>
        <w:t>Cataract modelling has been completed for two service-developed options. The</w:t>
      </w:r>
      <w:r>
        <w:rPr>
          <w:spacing w:val="40"/>
        </w:rPr>
        <w:t> </w:t>
      </w:r>
      <w:r>
        <w:rPr/>
        <w:t>initial approach is intended to reduce waiting times for Hywel Dda residents towards the Swansea Bay position before moving towards a potential pooled regional model, while avoiding disadvantage to residents of either Health Board area. However, further work is required to confirm the preferred regional approach, implementation plan and achievable delivery trajectory. Welsh Government funding confirmed for planned</w:t>
      </w:r>
      <w:r>
        <w:rPr>
          <w:spacing w:val="-2"/>
        </w:rPr>
        <w:t> </w:t>
      </w:r>
      <w:r>
        <w:rPr/>
        <w:t>care</w:t>
      </w:r>
      <w:r>
        <w:rPr>
          <w:spacing w:val="-2"/>
        </w:rPr>
        <w:t> </w:t>
      </w:r>
      <w:r>
        <w:rPr/>
        <w:t>recovery</w:t>
      </w:r>
      <w:r>
        <w:rPr>
          <w:spacing w:val="-3"/>
        </w:rPr>
        <w:t> </w:t>
      </w:r>
      <w:r>
        <w:rPr/>
        <w:t>is lower</w:t>
      </w:r>
      <w:r>
        <w:rPr>
          <w:spacing w:val="-3"/>
        </w:rPr>
        <w:t> </w:t>
      </w:r>
      <w:r>
        <w:rPr/>
        <w:t>than</w:t>
      </w:r>
      <w:r>
        <w:rPr>
          <w:spacing w:val="-2"/>
        </w:rPr>
        <w:t> </w:t>
      </w:r>
      <w:r>
        <w:rPr/>
        <w:t>the</w:t>
      </w:r>
      <w:r>
        <w:rPr>
          <w:spacing w:val="-2"/>
        </w:rPr>
        <w:t> </w:t>
      </w:r>
      <w:r>
        <w:rPr/>
        <w:t>amount</w:t>
      </w:r>
      <w:r>
        <w:rPr>
          <w:spacing w:val="-10"/>
        </w:rPr>
        <w:t> </w:t>
      </w:r>
      <w:r>
        <w:rPr/>
        <w:t>bid</w:t>
      </w:r>
      <w:r>
        <w:rPr>
          <w:spacing w:val="-2"/>
        </w:rPr>
        <w:t> </w:t>
      </w:r>
      <w:r>
        <w:rPr/>
        <w:t>for,</w:t>
      </w:r>
      <w:r>
        <w:rPr>
          <w:spacing w:val="-5"/>
        </w:rPr>
        <w:t> </w:t>
      </w:r>
      <w:r>
        <w:rPr/>
        <w:t>and</w:t>
      </w:r>
      <w:r>
        <w:rPr>
          <w:spacing w:val="-2"/>
        </w:rPr>
        <w:t> </w:t>
      </w:r>
      <w:r>
        <w:rPr/>
        <w:t>the</w:t>
      </w:r>
      <w:r>
        <w:rPr>
          <w:spacing w:val="-2"/>
        </w:rPr>
        <w:t> </w:t>
      </w:r>
      <w:r>
        <w:rPr/>
        <w:t>Programme</w:t>
      </w:r>
      <w:r>
        <w:rPr>
          <w:spacing w:val="-2"/>
        </w:rPr>
        <w:t> </w:t>
      </w:r>
      <w:r>
        <w:rPr/>
        <w:t>Board is assessing the implications for scope and pace of delivery. The Regional Eye Care PID is provided for comment.</w:t>
      </w:r>
    </w:p>
    <w:p>
      <w:pPr>
        <w:pStyle w:val="BodyText"/>
        <w:spacing w:line="276" w:lineRule="auto" w:before="159"/>
        <w:ind w:left="23" w:right="15"/>
      </w:pPr>
      <w:r>
        <w:rPr>
          <w:b/>
        </w:rPr>
        <w:t>Regional Stroke Programme </w:t>
      </w:r>
      <w:r>
        <w:rPr/>
        <w:t>has completed the baseline against the National Stroke Standards.</w:t>
      </w:r>
      <w:r>
        <w:rPr>
          <w:spacing w:val="40"/>
        </w:rPr>
        <w:t> </w:t>
      </w:r>
      <w:r>
        <w:rPr/>
        <w:t>Work on the immediate priority of providing a stroke consultant Out of Hours service is progressing as planned.</w:t>
      </w:r>
      <w:r>
        <w:rPr>
          <w:spacing w:val="40"/>
        </w:rPr>
        <w:t> </w:t>
      </w:r>
      <w:r>
        <w:rPr/>
        <w:t>This work enables next steps: increased use of</w:t>
      </w:r>
      <w:r>
        <w:rPr>
          <w:spacing w:val="-3"/>
        </w:rPr>
        <w:t> </w:t>
      </w:r>
      <w:r>
        <w:rPr/>
        <w:t>CT</w:t>
      </w:r>
      <w:r>
        <w:rPr>
          <w:spacing w:val="-3"/>
        </w:rPr>
        <w:t> </w:t>
      </w:r>
      <w:r>
        <w:rPr/>
        <w:t>Perfusion and reduced time to scan.</w:t>
      </w:r>
      <w:r>
        <w:rPr>
          <w:spacing w:val="40"/>
        </w:rPr>
        <w:t> </w:t>
      </w:r>
      <w:r>
        <w:rPr/>
        <w:t>Programme management capacity is being monitored following the end of Welsh Government funding for the Regional Stroke Programme Manager on 30 June 2026.</w:t>
      </w:r>
      <w:r>
        <w:rPr>
          <w:spacing w:val="40"/>
        </w:rPr>
        <w:t> </w:t>
      </w:r>
      <w:r>
        <w:rPr/>
        <w:t>Without central funding to support</w:t>
      </w:r>
      <w:r>
        <w:rPr>
          <w:spacing w:val="-5"/>
        </w:rPr>
        <w:t> </w:t>
      </w:r>
      <w:r>
        <w:rPr/>
        <w:t>delivery,</w:t>
      </w:r>
      <w:r>
        <w:rPr>
          <w:spacing w:val="-5"/>
        </w:rPr>
        <w:t> </w:t>
      </w:r>
      <w:r>
        <w:rPr/>
        <w:t>regional</w:t>
      </w:r>
      <w:r>
        <w:rPr>
          <w:spacing w:val="-2"/>
        </w:rPr>
        <w:t> </w:t>
      </w:r>
      <w:r>
        <w:rPr/>
        <w:t>support</w:t>
      </w:r>
      <w:r>
        <w:rPr>
          <w:spacing w:val="-5"/>
        </w:rPr>
        <w:t> </w:t>
      </w:r>
      <w:r>
        <w:rPr/>
        <w:t>seems</w:t>
      </w:r>
      <w:r>
        <w:rPr>
          <w:spacing w:val="-3"/>
        </w:rPr>
        <w:t> </w:t>
      </w:r>
      <w:r>
        <w:rPr/>
        <w:t>unlikely</w:t>
      </w:r>
      <w:r>
        <w:rPr>
          <w:spacing w:val="-3"/>
        </w:rPr>
        <w:t> </w:t>
      </w:r>
      <w:r>
        <w:rPr/>
        <w:t>to</w:t>
      </w:r>
      <w:r>
        <w:rPr>
          <w:spacing w:val="-2"/>
        </w:rPr>
        <w:t> </w:t>
      </w:r>
      <w:r>
        <w:rPr/>
        <w:t>continue</w:t>
      </w:r>
      <w:r>
        <w:rPr>
          <w:spacing w:val="-2"/>
        </w:rPr>
        <w:t> </w:t>
      </w:r>
      <w:r>
        <w:rPr/>
        <w:t>beyond</w:t>
      </w:r>
      <w:r>
        <w:rPr>
          <w:spacing w:val="-2"/>
        </w:rPr>
        <w:t> </w:t>
      </w:r>
      <w:r>
        <w:rPr/>
        <w:t>the</w:t>
      </w:r>
      <w:r>
        <w:rPr>
          <w:spacing w:val="-2"/>
        </w:rPr>
        <w:t> </w:t>
      </w:r>
      <w:r>
        <w:rPr/>
        <w:t>current</w:t>
      </w:r>
      <w:r>
        <w:rPr>
          <w:spacing w:val="-5"/>
        </w:rPr>
        <w:t> </w:t>
      </w:r>
      <w:r>
        <w:rPr/>
        <w:t>Out of Hours project.</w:t>
      </w:r>
      <w:r>
        <w:rPr>
          <w:spacing w:val="40"/>
        </w:rPr>
        <w:t> </w:t>
      </w:r>
      <w:r>
        <w:rPr/>
        <w:t>The Regional Stroke PID is provided for assurance / comment.</w:t>
      </w:r>
    </w:p>
    <w:p>
      <w:pPr>
        <w:pStyle w:val="BodyText"/>
        <w:spacing w:line="276" w:lineRule="auto" w:before="123"/>
        <w:ind w:left="23"/>
      </w:pPr>
      <w:r>
        <w:rPr>
          <w:b/>
        </w:rPr>
        <w:t>Cellular</w:t>
      </w:r>
      <w:r>
        <w:rPr>
          <w:b/>
          <w:spacing w:val="-3"/>
        </w:rPr>
        <w:t> </w:t>
      </w:r>
      <w:r>
        <w:rPr>
          <w:b/>
        </w:rPr>
        <w:t>Pathology </w:t>
      </w:r>
      <w:r>
        <w:rPr/>
        <w:t>continues</w:t>
      </w:r>
      <w:r>
        <w:rPr>
          <w:spacing w:val="-4"/>
        </w:rPr>
        <w:t> </w:t>
      </w:r>
      <w:r>
        <w:rPr/>
        <w:t>to</w:t>
      </w:r>
      <w:r>
        <w:rPr>
          <w:spacing w:val="-3"/>
        </w:rPr>
        <w:t> </w:t>
      </w:r>
      <w:r>
        <w:rPr/>
        <w:t>progress</w:t>
      </w:r>
      <w:r>
        <w:rPr>
          <w:spacing w:val="-4"/>
        </w:rPr>
        <w:t> </w:t>
      </w:r>
      <w:r>
        <w:rPr/>
        <w:t>at</w:t>
      </w:r>
      <w:r>
        <w:rPr>
          <w:spacing w:val="-5"/>
        </w:rPr>
        <w:t> </w:t>
      </w:r>
      <w:r>
        <w:rPr/>
        <w:t>pace.</w:t>
      </w:r>
      <w:r>
        <w:rPr>
          <w:spacing w:val="40"/>
        </w:rPr>
        <w:t> </w:t>
      </w:r>
      <w:r>
        <w:rPr/>
        <w:t>A</w:t>
      </w:r>
      <w:r>
        <w:rPr>
          <w:spacing w:val="-4"/>
        </w:rPr>
        <w:t> </w:t>
      </w:r>
      <w:r>
        <w:rPr/>
        <w:t>separate</w:t>
      </w:r>
      <w:r>
        <w:rPr>
          <w:spacing w:val="-3"/>
        </w:rPr>
        <w:t> </w:t>
      </w:r>
      <w:r>
        <w:rPr/>
        <w:t>paper</w:t>
      </w:r>
      <w:r>
        <w:rPr>
          <w:spacing w:val="-4"/>
        </w:rPr>
        <w:t> </w:t>
      </w:r>
      <w:r>
        <w:rPr/>
        <w:t>on</w:t>
      </w:r>
      <w:r>
        <w:rPr>
          <w:spacing w:val="-3"/>
        </w:rPr>
        <w:t> </w:t>
      </w:r>
      <w:r>
        <w:rPr/>
        <w:t>programme progress</w:t>
      </w:r>
      <w:r>
        <w:rPr>
          <w:spacing w:val="-4"/>
        </w:rPr>
        <w:t> </w:t>
      </w:r>
      <w:r>
        <w:rPr/>
        <w:t>including</w:t>
      </w:r>
      <w:r>
        <w:rPr>
          <w:spacing w:val="-3"/>
        </w:rPr>
        <w:t> </w:t>
      </w:r>
      <w:r>
        <w:rPr/>
        <w:t>the</w:t>
      </w:r>
      <w:r>
        <w:rPr>
          <w:spacing w:val="-3"/>
        </w:rPr>
        <w:t> </w:t>
      </w:r>
      <w:r>
        <w:rPr/>
        <w:t>proposed</w:t>
      </w:r>
      <w:r>
        <w:rPr>
          <w:spacing w:val="-3"/>
        </w:rPr>
        <w:t> </w:t>
      </w:r>
      <w:r>
        <w:rPr/>
        <w:t>capital</w:t>
      </w:r>
      <w:r>
        <w:rPr>
          <w:spacing w:val="-3"/>
        </w:rPr>
        <w:t> </w:t>
      </w:r>
      <w:r>
        <w:rPr/>
        <w:t>programme</w:t>
      </w:r>
      <w:r>
        <w:rPr>
          <w:spacing w:val="-3"/>
        </w:rPr>
        <w:t> </w:t>
      </w:r>
      <w:r>
        <w:rPr/>
        <w:t>timeline,</w:t>
      </w:r>
      <w:r>
        <w:rPr>
          <w:spacing w:val="-6"/>
        </w:rPr>
        <w:t> </w:t>
      </w:r>
      <w:r>
        <w:rPr/>
        <w:t>key</w:t>
      </w:r>
      <w:r>
        <w:rPr>
          <w:spacing w:val="-4"/>
        </w:rPr>
        <w:t> </w:t>
      </w:r>
      <w:r>
        <w:rPr/>
        <w:t>decision</w:t>
      </w:r>
      <w:r>
        <w:rPr>
          <w:spacing w:val="-3"/>
        </w:rPr>
        <w:t> </w:t>
      </w:r>
      <w:r>
        <w:rPr/>
        <w:t>points</w:t>
      </w:r>
      <w:r>
        <w:rPr>
          <w:spacing w:val="-4"/>
        </w:rPr>
        <w:t> </w:t>
      </w:r>
      <w:r>
        <w:rPr/>
        <w:t>and next steps for consideration will be presented to the Regional Joint Committee in October 2026.</w:t>
      </w:r>
    </w:p>
    <w:p>
      <w:pPr>
        <w:pStyle w:val="BodyText"/>
        <w:spacing w:line="276" w:lineRule="auto" w:before="120"/>
        <w:ind w:left="23" w:right="104"/>
      </w:pPr>
      <w:r>
        <w:rPr>
          <w:b/>
        </w:rPr>
        <w:t>South West Wales Cancer Centre </w:t>
      </w:r>
      <w:r>
        <w:rPr/>
        <w:t>– The 5th Linac business case received approval</w:t>
      </w:r>
      <w:r>
        <w:rPr>
          <w:spacing w:val="-4"/>
        </w:rPr>
        <w:t> </w:t>
      </w:r>
      <w:r>
        <w:rPr/>
        <w:t>through</w:t>
      </w:r>
      <w:r>
        <w:rPr>
          <w:spacing w:val="-4"/>
        </w:rPr>
        <w:t> </w:t>
      </w:r>
      <w:r>
        <w:rPr/>
        <w:t>both</w:t>
      </w:r>
      <w:r>
        <w:rPr>
          <w:spacing w:val="-4"/>
        </w:rPr>
        <w:t> </w:t>
      </w:r>
      <w:r>
        <w:rPr/>
        <w:t>Health</w:t>
      </w:r>
      <w:r>
        <w:rPr>
          <w:spacing w:val="-4"/>
        </w:rPr>
        <w:t> </w:t>
      </w:r>
      <w:r>
        <w:rPr/>
        <w:t>Boards’</w:t>
      </w:r>
      <w:r>
        <w:rPr>
          <w:spacing w:val="-4"/>
        </w:rPr>
        <w:t> </w:t>
      </w:r>
      <w:r>
        <w:rPr/>
        <w:t>governance</w:t>
      </w:r>
      <w:r>
        <w:rPr>
          <w:spacing w:val="-4"/>
        </w:rPr>
        <w:t> </w:t>
      </w:r>
      <w:r>
        <w:rPr/>
        <w:t>arrangements</w:t>
      </w:r>
      <w:r>
        <w:rPr>
          <w:spacing w:val="-5"/>
        </w:rPr>
        <w:t> </w:t>
      </w:r>
      <w:r>
        <w:rPr/>
        <w:t>in</w:t>
      </w:r>
      <w:r>
        <w:rPr>
          <w:spacing w:val="-4"/>
        </w:rPr>
        <w:t> </w:t>
      </w:r>
      <w:r>
        <w:rPr/>
        <w:t>July</w:t>
      </w:r>
      <w:r>
        <w:rPr>
          <w:spacing w:val="-5"/>
        </w:rPr>
        <w:t> </w:t>
      </w:r>
      <w:r>
        <w:rPr/>
        <w:t>2026. Subsequent implementation and Welsh Government assurance activity is </w:t>
      </w:r>
      <w:r>
        <w:rPr>
          <w:spacing w:val="-2"/>
        </w:rPr>
        <w:t>progressing.</w:t>
      </w:r>
    </w:p>
    <w:p>
      <w:pPr>
        <w:pStyle w:val="BodyText"/>
        <w:spacing w:line="276" w:lineRule="auto" w:before="121"/>
        <w:ind w:left="23"/>
      </w:pPr>
      <w:r>
        <w:rPr/>
        <w:t>The updated </w:t>
      </w:r>
      <w:r>
        <w:rPr>
          <w:b/>
        </w:rPr>
        <w:t>Clinical Services Planning Subgroup </w:t>
      </w:r>
      <w:r>
        <w:rPr/>
        <w:t>Work Programme Summary now brings together programme milestones, risks, dependencies and forthcoming deliverables across the portfolio.</w:t>
      </w:r>
      <w:r>
        <w:rPr>
          <w:spacing w:val="40"/>
        </w:rPr>
        <w:t> </w:t>
      </w:r>
      <w:r>
        <w:rPr/>
        <w:t>The Subgroup Terms of Reference have been refreshed</w:t>
      </w:r>
      <w:r>
        <w:rPr>
          <w:spacing w:val="-3"/>
        </w:rPr>
        <w:t> </w:t>
      </w:r>
      <w:r>
        <w:rPr/>
        <w:t>in</w:t>
      </w:r>
      <w:r>
        <w:rPr>
          <w:spacing w:val="-3"/>
        </w:rPr>
        <w:t> </w:t>
      </w:r>
      <w:r>
        <w:rPr/>
        <w:t>line</w:t>
      </w:r>
      <w:r>
        <w:rPr>
          <w:spacing w:val="-3"/>
        </w:rPr>
        <w:t> </w:t>
      </w:r>
      <w:r>
        <w:rPr/>
        <w:t>with</w:t>
      </w:r>
      <w:r>
        <w:rPr>
          <w:spacing w:val="-3"/>
        </w:rPr>
        <w:t> </w:t>
      </w:r>
      <w:r>
        <w:rPr/>
        <w:t>the</w:t>
      </w:r>
      <w:r>
        <w:rPr>
          <w:spacing w:val="-3"/>
        </w:rPr>
        <w:t> </w:t>
      </w:r>
      <w:r>
        <w:rPr/>
        <w:t>updated</w:t>
      </w:r>
      <w:r>
        <w:rPr>
          <w:spacing w:val="-3"/>
        </w:rPr>
        <w:t> </w:t>
      </w:r>
      <w:r>
        <w:rPr/>
        <w:t>Regional</w:t>
      </w:r>
      <w:r>
        <w:rPr>
          <w:spacing w:val="-3"/>
        </w:rPr>
        <w:t> </w:t>
      </w:r>
      <w:r>
        <w:rPr/>
        <w:t>Joint</w:t>
      </w:r>
      <w:r>
        <w:rPr>
          <w:spacing w:val="-6"/>
        </w:rPr>
        <w:t> </w:t>
      </w:r>
      <w:r>
        <w:rPr/>
        <w:t>Committee</w:t>
      </w:r>
      <w:r>
        <w:rPr>
          <w:spacing w:val="-3"/>
        </w:rPr>
        <w:t> </w:t>
      </w:r>
      <w:r>
        <w:rPr/>
        <w:t>Terms</w:t>
      </w:r>
      <w:r>
        <w:rPr>
          <w:spacing w:val="-4"/>
        </w:rPr>
        <w:t> </w:t>
      </w:r>
      <w:r>
        <w:rPr/>
        <w:t>of</w:t>
      </w:r>
      <w:r>
        <w:rPr>
          <w:spacing w:val="-6"/>
        </w:rPr>
        <w:t> </w:t>
      </w:r>
      <w:r>
        <w:rPr/>
        <w:t>Reference</w:t>
      </w:r>
      <w:r>
        <w:rPr>
          <w:spacing w:val="-3"/>
        </w:rPr>
        <w:t> </w:t>
      </w:r>
      <w:r>
        <w:rPr/>
        <w:t>and governance arrangements.</w:t>
      </w:r>
    </w:p>
    <w:p>
      <w:pPr>
        <w:pStyle w:val="BodyText"/>
        <w:spacing w:after="0" w:line="276" w:lineRule="auto"/>
        <w:sectPr>
          <w:footerReference w:type="default" r:id="rId53"/>
          <w:pgSz w:w="11910" w:h="16840"/>
          <w:pgMar w:header="0" w:footer="576" w:top="1140" w:bottom="760" w:left="1417" w:right="1417"/>
        </w:sectPr>
      </w:pPr>
    </w:p>
    <w:p>
      <w:pPr>
        <w:tabs>
          <w:tab w:pos="5149" w:val="left" w:leader="none"/>
        </w:tabs>
        <w:spacing w:line="240" w:lineRule="auto"/>
        <w:ind w:left="561" w:right="-58" w:firstLine="0"/>
        <w:rPr>
          <w:position w:val="9"/>
          <w:sz w:val="20"/>
        </w:rPr>
      </w:pPr>
      <w:r>
        <w:rPr>
          <w:sz w:val="20"/>
        </w:rPr>
        <w:drawing>
          <wp:inline distT="0" distB="0" distL="0" distR="0">
            <wp:extent cx="2247389" cy="585216"/>
            <wp:effectExtent l="0" t="0" r="0" b="0"/>
            <wp:docPr id="211" name="Image 211"/>
            <wp:cNvGraphicFramePr>
              <a:graphicFrameLocks/>
            </wp:cNvGraphicFramePr>
            <a:graphic>
              <a:graphicData uri="http://schemas.openxmlformats.org/drawingml/2006/picture">
                <pic:pic>
                  <pic:nvPicPr>
                    <pic:cNvPr id="211" name="Image 211"/>
                    <pic:cNvPicPr/>
                  </pic:nvPicPr>
                  <pic:blipFill>
                    <a:blip r:embed="rId50" cstate="print"/>
                    <a:stretch>
                      <a:fillRect/>
                    </a:stretch>
                  </pic:blipFill>
                  <pic:spPr>
                    <a:xfrm>
                      <a:off x="0" y="0"/>
                      <a:ext cx="2247389" cy="585216"/>
                    </a:xfrm>
                    <a:prstGeom prst="rect">
                      <a:avLst/>
                    </a:prstGeom>
                  </pic:spPr>
                </pic:pic>
              </a:graphicData>
            </a:graphic>
          </wp:inline>
        </w:drawing>
      </w:r>
      <w:r>
        <w:rPr>
          <w:sz w:val="20"/>
        </w:rPr>
      </w:r>
      <w:r>
        <w:rPr>
          <w:sz w:val="20"/>
        </w:rPr>
        <w:tab/>
      </w:r>
      <w:r>
        <w:rPr>
          <w:position w:val="9"/>
          <w:sz w:val="20"/>
        </w:rPr>
        <w:drawing>
          <wp:inline distT="0" distB="0" distL="0" distR="0">
            <wp:extent cx="2494674" cy="549021"/>
            <wp:effectExtent l="0" t="0" r="0" b="0"/>
            <wp:docPr id="212" name="Image 212"/>
            <wp:cNvGraphicFramePr>
              <a:graphicFrameLocks/>
            </wp:cNvGraphicFramePr>
            <a:graphic>
              <a:graphicData uri="http://schemas.openxmlformats.org/drawingml/2006/picture">
                <pic:pic>
                  <pic:nvPicPr>
                    <pic:cNvPr id="212" name="Image 212"/>
                    <pic:cNvPicPr/>
                  </pic:nvPicPr>
                  <pic:blipFill>
                    <a:blip r:embed="rId7" cstate="print"/>
                    <a:stretch>
                      <a:fillRect/>
                    </a:stretch>
                  </pic:blipFill>
                  <pic:spPr>
                    <a:xfrm>
                      <a:off x="0" y="0"/>
                      <a:ext cx="2494674" cy="549021"/>
                    </a:xfrm>
                    <a:prstGeom prst="rect">
                      <a:avLst/>
                    </a:prstGeom>
                  </pic:spPr>
                </pic:pic>
              </a:graphicData>
            </a:graphic>
          </wp:inline>
        </w:drawing>
      </w:r>
      <w:r>
        <w:rPr>
          <w:position w:val="9"/>
          <w:sz w:val="20"/>
        </w:rPr>
      </w:r>
    </w:p>
    <w:p>
      <w:pPr>
        <w:pStyle w:val="BodyText"/>
        <w:spacing w:before="178"/>
      </w:pPr>
    </w:p>
    <w:p>
      <w:pPr>
        <w:spacing w:before="1"/>
        <w:ind w:left="23" w:right="0" w:firstLine="0"/>
        <w:jc w:val="left"/>
        <w:rPr>
          <w:b/>
          <w:sz w:val="24"/>
        </w:rPr>
      </w:pPr>
      <w:r>
        <w:rPr>
          <w:b/>
          <w:sz w:val="24"/>
        </w:rPr>
        <w:t>Review</w:t>
      </w:r>
      <w:r>
        <w:rPr>
          <w:b/>
          <w:spacing w:val="-5"/>
          <w:sz w:val="24"/>
        </w:rPr>
        <w:t> </w:t>
      </w:r>
      <w:r>
        <w:rPr>
          <w:b/>
          <w:sz w:val="24"/>
        </w:rPr>
        <w:t>of</w:t>
      </w:r>
      <w:r>
        <w:rPr>
          <w:b/>
          <w:spacing w:val="-4"/>
          <w:sz w:val="24"/>
        </w:rPr>
        <w:t> </w:t>
      </w:r>
      <w:r>
        <w:rPr>
          <w:b/>
          <w:sz w:val="24"/>
        </w:rPr>
        <w:t>Risks/</w:t>
      </w:r>
      <w:r>
        <w:rPr>
          <w:b/>
          <w:spacing w:val="-9"/>
          <w:sz w:val="24"/>
        </w:rPr>
        <w:t> </w:t>
      </w:r>
      <w:r>
        <w:rPr>
          <w:b/>
          <w:sz w:val="24"/>
        </w:rPr>
        <w:t>Adolygiad</w:t>
      </w:r>
      <w:r>
        <w:rPr>
          <w:b/>
          <w:spacing w:val="-5"/>
          <w:sz w:val="24"/>
        </w:rPr>
        <w:t> </w:t>
      </w:r>
      <w:r>
        <w:rPr>
          <w:b/>
          <w:sz w:val="24"/>
        </w:rPr>
        <w:t>o</w:t>
      </w:r>
      <w:r>
        <w:rPr>
          <w:b/>
          <w:spacing w:val="-5"/>
          <w:sz w:val="24"/>
        </w:rPr>
        <w:t> </w:t>
      </w:r>
      <w:r>
        <w:rPr>
          <w:b/>
          <w:spacing w:val="-2"/>
          <w:sz w:val="24"/>
        </w:rPr>
        <w:t>Risgiau</w:t>
      </w:r>
    </w:p>
    <w:p>
      <w:pPr>
        <w:pStyle w:val="BodyText"/>
        <w:spacing w:before="11"/>
        <w:rPr>
          <w:b/>
        </w:rPr>
      </w:pPr>
    </w:p>
    <w:p>
      <w:pPr>
        <w:pStyle w:val="ListParagraph"/>
        <w:numPr>
          <w:ilvl w:val="0"/>
          <w:numId w:val="12"/>
        </w:numPr>
        <w:tabs>
          <w:tab w:pos="384" w:val="left" w:leader="none"/>
        </w:tabs>
        <w:spacing w:line="240" w:lineRule="auto" w:before="0" w:after="0"/>
        <w:ind w:left="384" w:right="130" w:hanging="361"/>
        <w:jc w:val="left"/>
        <w:rPr>
          <w:sz w:val="24"/>
        </w:rPr>
      </w:pPr>
      <w:r>
        <w:rPr>
          <w:sz w:val="24"/>
        </w:rPr>
        <w:t>Risks and dependencies remain under regular review through programme governance. The Regional Eye Care funding and programme-plan position, service change dependencies on data and digital enablement, together with the unresolved longer term Regional Orthopaedics finance, commissioning and contracting</w:t>
      </w:r>
      <w:r>
        <w:rPr>
          <w:spacing w:val="-2"/>
          <w:sz w:val="24"/>
        </w:rPr>
        <w:t> </w:t>
      </w:r>
      <w:r>
        <w:rPr>
          <w:sz w:val="24"/>
        </w:rPr>
        <w:t>arrangements</w:t>
      </w:r>
      <w:r>
        <w:rPr>
          <w:spacing w:val="-3"/>
          <w:sz w:val="24"/>
        </w:rPr>
        <w:t> </w:t>
      </w:r>
      <w:r>
        <w:rPr>
          <w:sz w:val="24"/>
        </w:rPr>
        <w:t>are</w:t>
      </w:r>
      <w:r>
        <w:rPr>
          <w:spacing w:val="-2"/>
          <w:sz w:val="24"/>
        </w:rPr>
        <w:t> </w:t>
      </w:r>
      <w:r>
        <w:rPr>
          <w:sz w:val="24"/>
        </w:rPr>
        <w:t>highlighted</w:t>
      </w:r>
      <w:r>
        <w:rPr>
          <w:spacing w:val="-2"/>
          <w:sz w:val="24"/>
        </w:rPr>
        <w:t> </w:t>
      </w:r>
      <w:r>
        <w:rPr>
          <w:sz w:val="24"/>
        </w:rPr>
        <w:t>for</w:t>
      </w:r>
      <w:r>
        <w:rPr>
          <w:spacing w:val="-3"/>
          <w:sz w:val="24"/>
        </w:rPr>
        <w:t> </w:t>
      </w:r>
      <w:r>
        <w:rPr>
          <w:sz w:val="24"/>
        </w:rPr>
        <w:t>RJC</w:t>
      </w:r>
      <w:r>
        <w:rPr>
          <w:spacing w:val="-2"/>
          <w:sz w:val="24"/>
        </w:rPr>
        <w:t> </w:t>
      </w:r>
      <w:r>
        <w:rPr>
          <w:sz w:val="24"/>
        </w:rPr>
        <w:t>attention,</w:t>
      </w:r>
      <w:r>
        <w:rPr>
          <w:spacing w:val="-5"/>
          <w:sz w:val="24"/>
        </w:rPr>
        <w:t> </w:t>
      </w:r>
      <w:r>
        <w:rPr>
          <w:sz w:val="24"/>
        </w:rPr>
        <w:t>whilst</w:t>
      </w:r>
      <w:r>
        <w:rPr>
          <w:spacing w:val="-5"/>
          <w:sz w:val="24"/>
        </w:rPr>
        <w:t> </w:t>
      </w:r>
      <w:r>
        <w:rPr>
          <w:sz w:val="24"/>
        </w:rPr>
        <w:t>noting</w:t>
      </w:r>
      <w:r>
        <w:rPr>
          <w:spacing w:val="-2"/>
          <w:sz w:val="24"/>
        </w:rPr>
        <w:t> </w:t>
      </w:r>
      <w:r>
        <w:rPr>
          <w:sz w:val="24"/>
        </w:rPr>
        <w:t>that</w:t>
      </w:r>
      <w:r>
        <w:rPr>
          <w:spacing w:val="-5"/>
          <w:sz w:val="24"/>
        </w:rPr>
        <w:t> </w:t>
      </w:r>
      <w:r>
        <w:rPr>
          <w:sz w:val="24"/>
        </w:rPr>
        <w:t>the inter-subgroup dependencies are being effectively and proactively managed.</w:t>
      </w:r>
    </w:p>
    <w:p>
      <w:pPr>
        <w:pStyle w:val="ListParagraph"/>
        <w:numPr>
          <w:ilvl w:val="0"/>
          <w:numId w:val="12"/>
        </w:numPr>
        <w:tabs>
          <w:tab w:pos="384" w:val="left" w:leader="none"/>
        </w:tabs>
        <w:spacing w:line="240" w:lineRule="auto" w:before="2" w:after="0"/>
        <w:ind w:left="384" w:right="51" w:hanging="361"/>
        <w:jc w:val="left"/>
        <w:rPr>
          <w:sz w:val="24"/>
        </w:rPr>
      </w:pPr>
      <w:r>
        <w:rPr>
          <w:sz w:val="24"/>
        </w:rPr>
        <w:t>Other portfolio risks continue to be managed through the relevant programme and</w:t>
      </w:r>
      <w:r>
        <w:rPr>
          <w:spacing w:val="-3"/>
          <w:sz w:val="24"/>
        </w:rPr>
        <w:t> </w:t>
      </w:r>
      <w:r>
        <w:rPr>
          <w:sz w:val="24"/>
        </w:rPr>
        <w:t>Health</w:t>
      </w:r>
      <w:r>
        <w:rPr>
          <w:spacing w:val="-3"/>
          <w:sz w:val="24"/>
        </w:rPr>
        <w:t> </w:t>
      </w:r>
      <w:r>
        <w:rPr>
          <w:sz w:val="24"/>
        </w:rPr>
        <w:t>Board</w:t>
      </w:r>
      <w:r>
        <w:rPr>
          <w:spacing w:val="-3"/>
          <w:sz w:val="24"/>
        </w:rPr>
        <w:t> </w:t>
      </w:r>
      <w:r>
        <w:rPr>
          <w:sz w:val="24"/>
        </w:rPr>
        <w:t>governance</w:t>
      </w:r>
      <w:r>
        <w:rPr>
          <w:spacing w:val="-3"/>
          <w:sz w:val="24"/>
        </w:rPr>
        <w:t> </w:t>
      </w:r>
      <w:r>
        <w:rPr>
          <w:sz w:val="24"/>
        </w:rPr>
        <w:t>arrangements.</w:t>
      </w:r>
      <w:r>
        <w:rPr>
          <w:spacing w:val="-1"/>
          <w:sz w:val="24"/>
        </w:rPr>
        <w:t> </w:t>
      </w:r>
      <w:r>
        <w:rPr>
          <w:sz w:val="24"/>
        </w:rPr>
        <w:t>Increasing</w:t>
      </w:r>
      <w:r>
        <w:rPr>
          <w:spacing w:val="-3"/>
          <w:sz w:val="24"/>
        </w:rPr>
        <w:t> </w:t>
      </w:r>
      <w:r>
        <w:rPr>
          <w:sz w:val="24"/>
        </w:rPr>
        <w:t>levels</w:t>
      </w:r>
      <w:r>
        <w:rPr>
          <w:spacing w:val="-4"/>
          <w:sz w:val="24"/>
        </w:rPr>
        <w:t> </w:t>
      </w:r>
      <w:r>
        <w:rPr>
          <w:sz w:val="24"/>
        </w:rPr>
        <w:t>of</w:t>
      </w:r>
      <w:r>
        <w:rPr>
          <w:spacing w:val="-6"/>
          <w:sz w:val="24"/>
        </w:rPr>
        <w:t> </w:t>
      </w:r>
      <w:r>
        <w:rPr>
          <w:sz w:val="24"/>
        </w:rPr>
        <w:t>maturity</w:t>
      </w:r>
      <w:r>
        <w:rPr>
          <w:spacing w:val="-4"/>
          <w:sz w:val="24"/>
        </w:rPr>
        <w:t> </w:t>
      </w:r>
      <w:r>
        <w:rPr>
          <w:sz w:val="24"/>
        </w:rPr>
        <w:t>can</w:t>
      </w:r>
      <w:r>
        <w:rPr>
          <w:spacing w:val="-3"/>
          <w:sz w:val="24"/>
        </w:rPr>
        <w:t> </w:t>
      </w:r>
      <w:r>
        <w:rPr>
          <w:sz w:val="24"/>
        </w:rPr>
        <w:t>be seen where inter-subgroup dependencies are being raised, shared, and jointly </w:t>
      </w:r>
      <w:r>
        <w:rPr>
          <w:spacing w:val="-2"/>
          <w:sz w:val="24"/>
        </w:rPr>
        <w:t>managed.</w:t>
      </w:r>
    </w:p>
    <w:p>
      <w:pPr>
        <w:pStyle w:val="BodyText"/>
        <w:spacing w:before="4"/>
      </w:pPr>
    </w:p>
    <w:p>
      <w:pPr>
        <w:spacing w:before="0"/>
        <w:ind w:left="23" w:right="0" w:firstLine="0"/>
        <w:jc w:val="left"/>
        <w:rPr>
          <w:b/>
          <w:sz w:val="24"/>
        </w:rPr>
      </w:pPr>
      <w:r>
        <w:rPr>
          <w:b/>
          <w:sz w:val="24"/>
        </w:rPr>
        <w:t>Sharing</w:t>
      </w:r>
      <w:r>
        <w:rPr>
          <w:b/>
          <w:spacing w:val="-6"/>
          <w:sz w:val="24"/>
        </w:rPr>
        <w:t> </w:t>
      </w:r>
      <w:r>
        <w:rPr>
          <w:b/>
          <w:sz w:val="24"/>
        </w:rPr>
        <w:t>of</w:t>
      </w:r>
      <w:r>
        <w:rPr>
          <w:b/>
          <w:spacing w:val="1"/>
          <w:sz w:val="24"/>
        </w:rPr>
        <w:t> </w:t>
      </w:r>
      <w:r>
        <w:rPr>
          <w:b/>
          <w:sz w:val="24"/>
        </w:rPr>
        <w:t>learning/</w:t>
      </w:r>
      <w:r>
        <w:rPr>
          <w:b/>
          <w:spacing w:val="-6"/>
          <w:sz w:val="24"/>
        </w:rPr>
        <w:t> </w:t>
      </w:r>
      <w:r>
        <w:rPr>
          <w:b/>
          <w:sz w:val="24"/>
        </w:rPr>
        <w:t>Rhannu</w:t>
      </w:r>
      <w:r>
        <w:rPr>
          <w:b/>
          <w:spacing w:val="-5"/>
          <w:sz w:val="24"/>
        </w:rPr>
        <w:t> </w:t>
      </w:r>
      <w:r>
        <w:rPr>
          <w:b/>
          <w:spacing w:val="-4"/>
          <w:sz w:val="24"/>
        </w:rPr>
        <w:t>dysgu</w:t>
      </w:r>
    </w:p>
    <w:p>
      <w:pPr>
        <w:pStyle w:val="ListParagraph"/>
        <w:numPr>
          <w:ilvl w:val="0"/>
          <w:numId w:val="12"/>
        </w:numPr>
        <w:tabs>
          <w:tab w:pos="384" w:val="left" w:leader="none"/>
        </w:tabs>
        <w:spacing w:line="254" w:lineRule="auto" w:before="183" w:after="0"/>
        <w:ind w:left="384" w:right="466" w:hanging="361"/>
        <w:jc w:val="left"/>
        <w:rPr>
          <w:sz w:val="24"/>
        </w:rPr>
      </w:pPr>
      <w:r>
        <w:rPr>
          <w:sz w:val="24"/>
        </w:rPr>
        <w:t>Learning</w:t>
      </w:r>
      <w:r>
        <w:rPr>
          <w:spacing w:val="-3"/>
          <w:sz w:val="24"/>
        </w:rPr>
        <w:t> </w:t>
      </w:r>
      <w:r>
        <w:rPr>
          <w:sz w:val="24"/>
        </w:rPr>
        <w:t>and</w:t>
      </w:r>
      <w:r>
        <w:rPr>
          <w:spacing w:val="-3"/>
          <w:sz w:val="24"/>
        </w:rPr>
        <w:t> </w:t>
      </w:r>
      <w:r>
        <w:rPr>
          <w:sz w:val="24"/>
        </w:rPr>
        <w:t>best</w:t>
      </w:r>
      <w:r>
        <w:rPr>
          <w:spacing w:val="-6"/>
          <w:sz w:val="24"/>
        </w:rPr>
        <w:t> </w:t>
      </w:r>
      <w:r>
        <w:rPr>
          <w:sz w:val="24"/>
        </w:rPr>
        <w:t>practice</w:t>
      </w:r>
      <w:r>
        <w:rPr>
          <w:spacing w:val="-3"/>
          <w:sz w:val="24"/>
        </w:rPr>
        <w:t> </w:t>
      </w:r>
      <w:r>
        <w:rPr>
          <w:sz w:val="24"/>
        </w:rPr>
        <w:t>continue</w:t>
      </w:r>
      <w:r>
        <w:rPr>
          <w:spacing w:val="-3"/>
          <w:sz w:val="24"/>
        </w:rPr>
        <w:t> </w:t>
      </w:r>
      <w:r>
        <w:rPr>
          <w:sz w:val="24"/>
        </w:rPr>
        <w:t>to</w:t>
      </w:r>
      <w:r>
        <w:rPr>
          <w:spacing w:val="-3"/>
          <w:sz w:val="24"/>
        </w:rPr>
        <w:t> </w:t>
      </w:r>
      <w:r>
        <w:rPr>
          <w:sz w:val="24"/>
        </w:rPr>
        <w:t>be</w:t>
      </w:r>
      <w:r>
        <w:rPr>
          <w:spacing w:val="-3"/>
          <w:sz w:val="24"/>
        </w:rPr>
        <w:t> </w:t>
      </w:r>
      <w:r>
        <w:rPr>
          <w:sz w:val="24"/>
        </w:rPr>
        <w:t>shared</w:t>
      </w:r>
      <w:r>
        <w:rPr>
          <w:spacing w:val="-3"/>
          <w:sz w:val="24"/>
        </w:rPr>
        <w:t> </w:t>
      </w:r>
      <w:r>
        <w:rPr>
          <w:sz w:val="24"/>
        </w:rPr>
        <w:t>across</w:t>
      </w:r>
      <w:r>
        <w:rPr>
          <w:spacing w:val="-4"/>
          <w:sz w:val="24"/>
        </w:rPr>
        <w:t> </w:t>
      </w:r>
      <w:r>
        <w:rPr>
          <w:sz w:val="24"/>
        </w:rPr>
        <w:t>programmes,</w:t>
      </w:r>
      <w:r>
        <w:rPr>
          <w:spacing w:val="-6"/>
          <w:sz w:val="24"/>
        </w:rPr>
        <w:t> </w:t>
      </w:r>
      <w:r>
        <w:rPr>
          <w:sz w:val="24"/>
        </w:rPr>
        <w:t>Health Boards and clinical networks to support regional improvement and planning.</w:t>
      </w:r>
    </w:p>
    <w:p>
      <w:pPr>
        <w:spacing w:before="167"/>
        <w:ind w:left="23" w:right="0" w:firstLine="0"/>
        <w:jc w:val="left"/>
        <w:rPr>
          <w:b/>
          <w:sz w:val="24"/>
        </w:rPr>
      </w:pPr>
      <w:r>
        <w:rPr>
          <w:b/>
          <w:spacing w:val="-2"/>
          <w:sz w:val="24"/>
        </w:rPr>
        <w:t>Recommendation/</w:t>
      </w:r>
      <w:r>
        <w:rPr>
          <w:b/>
          <w:spacing w:val="11"/>
          <w:sz w:val="24"/>
        </w:rPr>
        <w:t> </w:t>
      </w:r>
      <w:r>
        <w:rPr>
          <w:b/>
          <w:spacing w:val="-2"/>
          <w:sz w:val="24"/>
        </w:rPr>
        <w:t>Argymhelliad</w:t>
      </w:r>
    </w:p>
    <w:p>
      <w:pPr>
        <w:pStyle w:val="BodyText"/>
        <w:spacing w:before="179"/>
        <w:ind w:left="23"/>
      </w:pPr>
      <w:r>
        <w:rPr/>
        <w:t>Members</w:t>
      </w:r>
      <w:r>
        <w:rPr>
          <w:spacing w:val="-3"/>
        </w:rPr>
        <w:t> </w:t>
      </w:r>
      <w:r>
        <w:rPr/>
        <w:t>of</w:t>
      </w:r>
      <w:r>
        <w:rPr>
          <w:spacing w:val="-4"/>
        </w:rPr>
        <w:t> </w:t>
      </w:r>
      <w:r>
        <w:rPr/>
        <w:t>the</w:t>
      </w:r>
      <w:r>
        <w:rPr>
          <w:spacing w:val="-2"/>
        </w:rPr>
        <w:t> </w:t>
      </w:r>
      <w:r>
        <w:rPr/>
        <w:t>RJC</w:t>
      </w:r>
      <w:r>
        <w:rPr>
          <w:spacing w:val="1"/>
        </w:rPr>
        <w:t> </w:t>
      </w:r>
      <w:r>
        <w:rPr/>
        <w:t>are</w:t>
      </w:r>
      <w:r>
        <w:rPr>
          <w:spacing w:val="-1"/>
        </w:rPr>
        <w:t> </w:t>
      </w:r>
      <w:r>
        <w:rPr/>
        <w:t>asked</w:t>
      </w:r>
      <w:r>
        <w:rPr>
          <w:spacing w:val="-1"/>
        </w:rPr>
        <w:t> </w:t>
      </w:r>
      <w:r>
        <w:rPr>
          <w:spacing w:val="-5"/>
        </w:rPr>
        <w:t>to:</w:t>
      </w:r>
    </w:p>
    <w:p>
      <w:pPr>
        <w:pStyle w:val="ListParagraph"/>
        <w:numPr>
          <w:ilvl w:val="0"/>
          <w:numId w:val="12"/>
        </w:numPr>
        <w:tabs>
          <w:tab w:pos="379" w:val="left" w:leader="none"/>
        </w:tabs>
        <w:spacing w:line="271" w:lineRule="auto" w:before="183" w:after="0"/>
        <w:ind w:left="379" w:right="155" w:hanging="356"/>
        <w:jc w:val="left"/>
        <w:rPr>
          <w:sz w:val="24"/>
        </w:rPr>
      </w:pPr>
      <w:r>
        <w:rPr>
          <w:b/>
          <w:sz w:val="24"/>
        </w:rPr>
        <w:t>Be</w:t>
      </w:r>
      <w:r>
        <w:rPr>
          <w:b/>
          <w:spacing w:val="-3"/>
          <w:sz w:val="24"/>
        </w:rPr>
        <w:t> </w:t>
      </w:r>
      <w:r>
        <w:rPr>
          <w:b/>
          <w:sz w:val="24"/>
        </w:rPr>
        <w:t>assured</w:t>
      </w:r>
      <w:r>
        <w:rPr>
          <w:b/>
          <w:spacing w:val="-5"/>
          <w:sz w:val="24"/>
        </w:rPr>
        <w:t> </w:t>
      </w:r>
      <w:r>
        <w:rPr>
          <w:b/>
          <w:sz w:val="24"/>
        </w:rPr>
        <w:t>by</w:t>
      </w:r>
      <w:r>
        <w:rPr>
          <w:b/>
          <w:spacing w:val="-19"/>
          <w:sz w:val="24"/>
        </w:rPr>
        <w:t> </w:t>
      </w:r>
      <w:r>
        <w:rPr>
          <w:sz w:val="24"/>
        </w:rPr>
        <w:t>the</w:t>
      </w:r>
      <w:r>
        <w:rPr>
          <w:spacing w:val="-2"/>
          <w:sz w:val="24"/>
        </w:rPr>
        <w:t> </w:t>
      </w:r>
      <w:r>
        <w:rPr>
          <w:sz w:val="24"/>
        </w:rPr>
        <w:t>progress</w:t>
      </w:r>
      <w:r>
        <w:rPr>
          <w:spacing w:val="-3"/>
          <w:sz w:val="24"/>
        </w:rPr>
        <w:t> </w:t>
      </w:r>
      <w:r>
        <w:rPr>
          <w:sz w:val="24"/>
        </w:rPr>
        <w:t>made</w:t>
      </w:r>
      <w:r>
        <w:rPr>
          <w:spacing w:val="-2"/>
          <w:sz w:val="24"/>
        </w:rPr>
        <w:t> </w:t>
      </w:r>
      <w:r>
        <w:rPr>
          <w:sz w:val="24"/>
        </w:rPr>
        <w:t>in</w:t>
      </w:r>
      <w:r>
        <w:rPr>
          <w:spacing w:val="-2"/>
          <w:sz w:val="24"/>
        </w:rPr>
        <w:t> </w:t>
      </w:r>
      <w:r>
        <w:rPr>
          <w:sz w:val="24"/>
        </w:rPr>
        <w:t>refreshing</w:t>
      </w:r>
      <w:r>
        <w:rPr>
          <w:spacing w:val="-7"/>
          <w:sz w:val="24"/>
        </w:rPr>
        <w:t> </w:t>
      </w:r>
      <w:r>
        <w:rPr>
          <w:sz w:val="24"/>
        </w:rPr>
        <w:t>the</w:t>
      </w:r>
      <w:r>
        <w:rPr>
          <w:spacing w:val="-2"/>
          <w:sz w:val="24"/>
        </w:rPr>
        <w:t> </w:t>
      </w:r>
      <w:r>
        <w:rPr>
          <w:sz w:val="24"/>
        </w:rPr>
        <w:t>Regional</w:t>
      </w:r>
      <w:r>
        <w:rPr>
          <w:spacing w:val="-2"/>
          <w:sz w:val="24"/>
        </w:rPr>
        <w:t> </w:t>
      </w:r>
      <w:r>
        <w:rPr>
          <w:sz w:val="24"/>
        </w:rPr>
        <w:t>Orthopaedics,</w:t>
      </w:r>
      <w:r>
        <w:rPr>
          <w:spacing w:val="-5"/>
          <w:sz w:val="24"/>
        </w:rPr>
        <w:t> </w:t>
      </w:r>
      <w:r>
        <w:rPr>
          <w:sz w:val="24"/>
        </w:rPr>
        <w:t>Eye Care, and Stroke programmes and receive the updated Programme Initiation Documents for comment.</w:t>
      </w:r>
    </w:p>
    <w:p>
      <w:pPr>
        <w:pStyle w:val="ListParagraph"/>
        <w:numPr>
          <w:ilvl w:val="0"/>
          <w:numId w:val="12"/>
        </w:numPr>
        <w:tabs>
          <w:tab w:pos="379" w:val="left" w:leader="none"/>
        </w:tabs>
        <w:spacing w:line="273" w:lineRule="auto" w:before="175" w:after="0"/>
        <w:ind w:left="379" w:right="209" w:hanging="356"/>
        <w:jc w:val="left"/>
        <w:rPr>
          <w:sz w:val="24"/>
        </w:rPr>
      </w:pPr>
      <w:r>
        <w:rPr>
          <w:b/>
          <w:sz w:val="24"/>
        </w:rPr>
        <w:t>Be assured </w:t>
      </w:r>
      <w:r>
        <w:rPr>
          <w:sz w:val="24"/>
        </w:rPr>
        <w:t>that the advisory updates relating to the Regional Eye Care programme plan and funding, and the Regional Orthopaedics finance, commissioning</w:t>
      </w:r>
      <w:r>
        <w:rPr>
          <w:spacing w:val="-4"/>
          <w:sz w:val="24"/>
        </w:rPr>
        <w:t> </w:t>
      </w:r>
      <w:r>
        <w:rPr>
          <w:sz w:val="24"/>
        </w:rPr>
        <w:t>and</w:t>
      </w:r>
      <w:r>
        <w:rPr>
          <w:spacing w:val="-4"/>
          <w:sz w:val="24"/>
        </w:rPr>
        <w:t> </w:t>
      </w:r>
      <w:r>
        <w:rPr>
          <w:sz w:val="24"/>
        </w:rPr>
        <w:t>contracting,</w:t>
      </w:r>
      <w:r>
        <w:rPr>
          <w:spacing w:val="-7"/>
          <w:sz w:val="24"/>
        </w:rPr>
        <w:t> </w:t>
      </w:r>
      <w:r>
        <w:rPr>
          <w:sz w:val="24"/>
        </w:rPr>
        <w:t>and</w:t>
      </w:r>
      <w:r>
        <w:rPr>
          <w:spacing w:val="-4"/>
          <w:sz w:val="24"/>
        </w:rPr>
        <w:t> </w:t>
      </w:r>
      <w:r>
        <w:rPr>
          <w:sz w:val="24"/>
        </w:rPr>
        <w:t>data</w:t>
      </w:r>
      <w:r>
        <w:rPr>
          <w:spacing w:val="-4"/>
          <w:sz w:val="24"/>
        </w:rPr>
        <w:t> </w:t>
      </w:r>
      <w:r>
        <w:rPr>
          <w:sz w:val="24"/>
        </w:rPr>
        <w:t>and</w:t>
      </w:r>
      <w:r>
        <w:rPr>
          <w:spacing w:val="-4"/>
          <w:sz w:val="24"/>
        </w:rPr>
        <w:t> </w:t>
      </w:r>
      <w:r>
        <w:rPr>
          <w:sz w:val="24"/>
        </w:rPr>
        <w:t>digital</w:t>
      </w:r>
      <w:r>
        <w:rPr>
          <w:spacing w:val="-1"/>
          <w:sz w:val="24"/>
        </w:rPr>
        <w:t> </w:t>
      </w:r>
      <w:r>
        <w:rPr>
          <w:sz w:val="24"/>
        </w:rPr>
        <w:t>implications</w:t>
      </w:r>
      <w:r>
        <w:rPr>
          <w:spacing w:val="-3"/>
          <w:sz w:val="24"/>
        </w:rPr>
        <w:t> </w:t>
      </w:r>
      <w:r>
        <w:rPr>
          <w:sz w:val="24"/>
        </w:rPr>
        <w:t>dependencies, are being progressed through programme, RCSPG, the Regional Finance and Contracting Subgroup, and the Regional Data and Digital governance.</w:t>
      </w:r>
    </w:p>
    <w:p>
      <w:pPr>
        <w:pStyle w:val="ListParagraph"/>
        <w:numPr>
          <w:ilvl w:val="0"/>
          <w:numId w:val="12"/>
        </w:numPr>
        <w:tabs>
          <w:tab w:pos="379" w:val="left" w:leader="none"/>
        </w:tabs>
        <w:spacing w:line="271" w:lineRule="auto" w:before="166" w:after="0"/>
        <w:ind w:left="379" w:right="379" w:hanging="356"/>
        <w:jc w:val="left"/>
        <w:rPr>
          <w:sz w:val="24"/>
        </w:rPr>
      </w:pPr>
      <w:r>
        <w:rPr>
          <w:b/>
          <w:sz w:val="24"/>
        </w:rPr>
        <w:t>Consider</w:t>
      </w:r>
      <w:r>
        <w:rPr>
          <w:b/>
          <w:spacing w:val="-3"/>
          <w:sz w:val="24"/>
        </w:rPr>
        <w:t> </w:t>
      </w:r>
      <w:r>
        <w:rPr>
          <w:sz w:val="24"/>
        </w:rPr>
        <w:t>updates</w:t>
      </w:r>
      <w:r>
        <w:rPr>
          <w:spacing w:val="-5"/>
          <w:sz w:val="24"/>
        </w:rPr>
        <w:t> </w:t>
      </w:r>
      <w:r>
        <w:rPr>
          <w:sz w:val="24"/>
        </w:rPr>
        <w:t>and</w:t>
      </w:r>
      <w:r>
        <w:rPr>
          <w:spacing w:val="-4"/>
          <w:sz w:val="24"/>
        </w:rPr>
        <w:t> </w:t>
      </w:r>
      <w:r>
        <w:rPr>
          <w:sz w:val="24"/>
        </w:rPr>
        <w:t>papers</w:t>
      </w:r>
      <w:r>
        <w:rPr>
          <w:spacing w:val="-5"/>
          <w:sz w:val="24"/>
        </w:rPr>
        <w:t> </w:t>
      </w:r>
      <w:r>
        <w:rPr>
          <w:sz w:val="24"/>
        </w:rPr>
        <w:t>from</w:t>
      </w:r>
      <w:r>
        <w:rPr>
          <w:spacing w:val="-5"/>
          <w:sz w:val="24"/>
        </w:rPr>
        <w:t> </w:t>
      </w:r>
      <w:r>
        <w:rPr>
          <w:sz w:val="24"/>
        </w:rPr>
        <w:t>Regional</w:t>
      </w:r>
      <w:r>
        <w:rPr>
          <w:spacing w:val="-4"/>
          <w:sz w:val="24"/>
        </w:rPr>
        <w:t> </w:t>
      </w:r>
      <w:r>
        <w:rPr>
          <w:sz w:val="24"/>
        </w:rPr>
        <w:t>Pathology,</w:t>
      </w:r>
      <w:r>
        <w:rPr>
          <w:spacing w:val="-7"/>
          <w:sz w:val="24"/>
        </w:rPr>
        <w:t> </w:t>
      </w:r>
      <w:r>
        <w:rPr>
          <w:sz w:val="24"/>
        </w:rPr>
        <w:t>and</w:t>
      </w:r>
      <w:r>
        <w:rPr>
          <w:spacing w:val="-4"/>
          <w:sz w:val="24"/>
        </w:rPr>
        <w:t> </w:t>
      </w:r>
      <w:r>
        <w:rPr>
          <w:sz w:val="24"/>
        </w:rPr>
        <w:t>Regional</w:t>
      </w:r>
      <w:r>
        <w:rPr>
          <w:spacing w:val="-4"/>
          <w:sz w:val="24"/>
        </w:rPr>
        <w:t> </w:t>
      </w:r>
      <w:r>
        <w:rPr>
          <w:sz w:val="24"/>
        </w:rPr>
        <w:t>Cancer where these are separately addressed on the agenda.</w:t>
      </w:r>
    </w:p>
    <w:p>
      <w:pPr>
        <w:spacing w:before="167"/>
        <w:ind w:left="23" w:right="0" w:firstLine="0"/>
        <w:jc w:val="left"/>
        <w:rPr>
          <w:sz w:val="24"/>
        </w:rPr>
      </w:pPr>
      <w:r>
        <w:rPr>
          <w:b/>
          <w:sz w:val="24"/>
        </w:rPr>
        <w:t>Date</w:t>
      </w:r>
      <w:r>
        <w:rPr>
          <w:b/>
          <w:spacing w:val="-3"/>
          <w:sz w:val="24"/>
        </w:rPr>
        <w:t> </w:t>
      </w:r>
      <w:r>
        <w:rPr>
          <w:b/>
          <w:sz w:val="24"/>
        </w:rPr>
        <w:t>of</w:t>
      </w:r>
      <w:r>
        <w:rPr>
          <w:b/>
          <w:spacing w:val="-2"/>
          <w:sz w:val="24"/>
        </w:rPr>
        <w:t> </w:t>
      </w:r>
      <w:r>
        <w:rPr>
          <w:b/>
          <w:sz w:val="24"/>
        </w:rPr>
        <w:t>next</w:t>
      </w:r>
      <w:r>
        <w:rPr>
          <w:b/>
          <w:spacing w:val="-2"/>
          <w:sz w:val="24"/>
        </w:rPr>
        <w:t> </w:t>
      </w:r>
      <w:r>
        <w:rPr>
          <w:b/>
          <w:sz w:val="24"/>
        </w:rPr>
        <w:t>meeting/</w:t>
      </w:r>
      <w:r>
        <w:rPr>
          <w:b/>
          <w:spacing w:val="-4"/>
          <w:sz w:val="24"/>
        </w:rPr>
        <w:t> </w:t>
      </w:r>
      <w:r>
        <w:rPr>
          <w:b/>
          <w:sz w:val="24"/>
        </w:rPr>
        <w:t>Dyddiad</w:t>
      </w:r>
      <w:r>
        <w:rPr>
          <w:b/>
          <w:spacing w:val="-4"/>
          <w:sz w:val="24"/>
        </w:rPr>
        <w:t> </w:t>
      </w:r>
      <w:r>
        <w:rPr>
          <w:b/>
          <w:sz w:val="24"/>
        </w:rPr>
        <w:t>y cyfarfod</w:t>
      </w:r>
      <w:r>
        <w:rPr>
          <w:b/>
          <w:spacing w:val="1"/>
          <w:sz w:val="24"/>
        </w:rPr>
        <w:t> </w:t>
      </w:r>
      <w:r>
        <w:rPr>
          <w:b/>
          <w:sz w:val="24"/>
        </w:rPr>
        <w:t>nesaf</w:t>
      </w:r>
      <w:r>
        <w:rPr>
          <w:sz w:val="24"/>
        </w:rPr>
        <w:t>:</w:t>
      </w:r>
      <w:r>
        <w:rPr>
          <w:spacing w:val="60"/>
          <w:sz w:val="24"/>
        </w:rPr>
        <w:t> </w:t>
      </w:r>
      <w:r>
        <w:rPr>
          <w:sz w:val="24"/>
        </w:rPr>
        <w:t>20</w:t>
      </w:r>
      <w:r>
        <w:rPr>
          <w:sz w:val="24"/>
          <w:vertAlign w:val="superscript"/>
        </w:rPr>
        <w:t>th</w:t>
      </w:r>
      <w:r>
        <w:rPr>
          <w:spacing w:val="-1"/>
          <w:sz w:val="24"/>
          <w:vertAlign w:val="baseline"/>
        </w:rPr>
        <w:t> </w:t>
      </w:r>
      <w:r>
        <w:rPr>
          <w:sz w:val="24"/>
          <w:vertAlign w:val="baseline"/>
        </w:rPr>
        <w:t>October</w:t>
      </w:r>
      <w:r>
        <w:rPr>
          <w:spacing w:val="-1"/>
          <w:sz w:val="24"/>
          <w:vertAlign w:val="baseline"/>
        </w:rPr>
        <w:t> </w:t>
      </w:r>
      <w:r>
        <w:rPr>
          <w:spacing w:val="-4"/>
          <w:sz w:val="24"/>
          <w:vertAlign w:val="baseline"/>
        </w:rPr>
        <w:t>2026</w:t>
      </w:r>
    </w:p>
    <w:p>
      <w:pPr>
        <w:pStyle w:val="BodyText"/>
      </w:pPr>
    </w:p>
    <w:p>
      <w:pPr>
        <w:pStyle w:val="BodyText"/>
        <w:spacing w:before="93"/>
      </w:pPr>
    </w:p>
    <w:p>
      <w:pPr>
        <w:spacing w:before="0"/>
        <w:ind w:left="23" w:right="0" w:firstLine="0"/>
        <w:jc w:val="left"/>
        <w:rPr>
          <w:b/>
          <w:sz w:val="24"/>
        </w:rPr>
      </w:pPr>
      <w:r>
        <w:rPr>
          <w:b/>
          <w:spacing w:val="-2"/>
          <w:sz w:val="24"/>
        </w:rPr>
        <w:t>Attachments:</w:t>
      </w:r>
    </w:p>
    <w:p>
      <w:pPr>
        <w:pStyle w:val="BodyText"/>
        <w:spacing w:line="381" w:lineRule="auto" w:before="174"/>
        <w:ind w:left="23" w:right="3857"/>
      </w:pPr>
      <w:r>
        <w:rPr/>
        <w:t>RJC</w:t>
      </w:r>
      <w:r>
        <w:rPr>
          <w:spacing w:val="-6"/>
        </w:rPr>
        <w:t> </w:t>
      </w:r>
      <w:r>
        <w:rPr/>
        <w:t>37a</w:t>
      </w:r>
      <w:r>
        <w:rPr>
          <w:spacing w:val="-4"/>
        </w:rPr>
        <w:t> </w:t>
      </w:r>
      <w:r>
        <w:rPr/>
        <w:t>Appendix</w:t>
      </w:r>
      <w:r>
        <w:rPr>
          <w:spacing w:val="-7"/>
        </w:rPr>
        <w:t> </w:t>
      </w:r>
      <w:r>
        <w:rPr/>
        <w:t>1</w:t>
      </w:r>
      <w:r>
        <w:rPr>
          <w:spacing w:val="-4"/>
        </w:rPr>
        <w:t> </w:t>
      </w:r>
      <w:r>
        <w:rPr/>
        <w:t>Regional</w:t>
      </w:r>
      <w:r>
        <w:rPr>
          <w:spacing w:val="-6"/>
        </w:rPr>
        <w:t> </w:t>
      </w:r>
      <w:r>
        <w:rPr/>
        <w:t>Orthopaedics</w:t>
      </w:r>
      <w:r>
        <w:rPr>
          <w:spacing w:val="-7"/>
        </w:rPr>
        <w:t> </w:t>
      </w:r>
      <w:r>
        <w:rPr/>
        <w:t>PID RJC 37a Appendix 2 Regional Eye Care PID RJC 37a Appendix 3 Regional Stroke PID</w:t>
      </w:r>
    </w:p>
    <w:p>
      <w:pPr>
        <w:pStyle w:val="BodyText"/>
        <w:spacing w:after="0" w:line="381" w:lineRule="auto"/>
        <w:sectPr>
          <w:footerReference w:type="default" r:id="rId54"/>
          <w:pgSz w:w="11910" w:h="16840"/>
          <w:pgMar w:header="0" w:footer="576" w:top="1140" w:bottom="760" w:left="1417" w:right="1417"/>
        </w:sectPr>
      </w:pPr>
    </w:p>
    <w:p>
      <w:pPr>
        <w:tabs>
          <w:tab w:pos="8592" w:val="left" w:leader="none"/>
        </w:tabs>
        <w:spacing w:line="240" w:lineRule="auto"/>
        <w:ind w:left="223" w:right="0" w:firstLine="0"/>
        <w:rPr>
          <w:position w:val="7"/>
          <w:sz w:val="20"/>
        </w:rPr>
      </w:pPr>
      <w:r>
        <w:rPr>
          <w:sz w:val="20"/>
        </w:rPr>
        <w:drawing>
          <wp:inline distT="0" distB="0" distL="0" distR="0">
            <wp:extent cx="1985031" cy="536448"/>
            <wp:effectExtent l="0" t="0" r="0" b="0"/>
            <wp:docPr id="215" name="Image 215"/>
            <wp:cNvGraphicFramePr>
              <a:graphicFrameLocks/>
            </wp:cNvGraphicFramePr>
            <a:graphic>
              <a:graphicData uri="http://schemas.openxmlformats.org/drawingml/2006/picture">
                <pic:pic>
                  <pic:nvPicPr>
                    <pic:cNvPr id="215" name="Image 215"/>
                    <pic:cNvPicPr/>
                  </pic:nvPicPr>
                  <pic:blipFill>
                    <a:blip r:embed="rId56" cstate="print"/>
                    <a:stretch>
                      <a:fillRect/>
                    </a:stretch>
                  </pic:blipFill>
                  <pic:spPr>
                    <a:xfrm>
                      <a:off x="0" y="0"/>
                      <a:ext cx="1985031" cy="536448"/>
                    </a:xfrm>
                    <a:prstGeom prst="rect">
                      <a:avLst/>
                    </a:prstGeom>
                  </pic:spPr>
                </pic:pic>
              </a:graphicData>
            </a:graphic>
          </wp:inline>
        </w:drawing>
      </w:r>
      <w:r>
        <w:rPr>
          <w:sz w:val="20"/>
        </w:rPr>
      </w:r>
      <w:r>
        <w:rPr>
          <w:sz w:val="20"/>
        </w:rPr>
        <w:tab/>
      </w:r>
      <w:r>
        <w:rPr>
          <w:position w:val="7"/>
          <w:sz w:val="20"/>
        </w:rPr>
        <w:drawing>
          <wp:inline distT="0" distB="0" distL="0" distR="0">
            <wp:extent cx="1950268" cy="495585"/>
            <wp:effectExtent l="0" t="0" r="0" b="0"/>
            <wp:docPr id="216" name="Image 216"/>
            <wp:cNvGraphicFramePr>
              <a:graphicFrameLocks/>
            </wp:cNvGraphicFramePr>
            <a:graphic>
              <a:graphicData uri="http://schemas.openxmlformats.org/drawingml/2006/picture">
                <pic:pic>
                  <pic:nvPicPr>
                    <pic:cNvPr id="216" name="Image 216"/>
                    <pic:cNvPicPr/>
                  </pic:nvPicPr>
                  <pic:blipFill>
                    <a:blip r:embed="rId57" cstate="print"/>
                    <a:stretch>
                      <a:fillRect/>
                    </a:stretch>
                  </pic:blipFill>
                  <pic:spPr>
                    <a:xfrm>
                      <a:off x="0" y="0"/>
                      <a:ext cx="1950268" cy="495585"/>
                    </a:xfrm>
                    <a:prstGeom prst="rect">
                      <a:avLst/>
                    </a:prstGeom>
                  </pic:spPr>
                </pic:pic>
              </a:graphicData>
            </a:graphic>
          </wp:inline>
        </w:drawing>
      </w:r>
      <w:r>
        <w:rPr>
          <w:position w:val="7"/>
          <w:sz w:val="20"/>
        </w:rPr>
      </w:r>
    </w:p>
    <w:p>
      <w:pPr>
        <w:pStyle w:val="BodyText"/>
        <w:spacing w:before="383"/>
        <w:rPr>
          <w:sz w:val="52"/>
        </w:rPr>
      </w:pPr>
    </w:p>
    <w:p>
      <w:pPr>
        <w:spacing w:before="1"/>
        <w:ind w:left="1009" w:right="0" w:firstLine="0"/>
        <w:jc w:val="left"/>
        <w:rPr>
          <w:rFonts w:ascii="Calibri"/>
          <w:b/>
          <w:sz w:val="52"/>
        </w:rPr>
      </w:pPr>
      <w:bookmarkStart w:name="RJC 37a(ii) Clinical Services Planning S" w:id="20"/>
      <w:bookmarkEnd w:id="20"/>
      <w:r>
        <w:rPr/>
      </w:r>
      <w:r>
        <w:rPr>
          <w:rFonts w:ascii="Calibri"/>
          <w:b/>
          <w:color w:val="1F4E79"/>
          <w:sz w:val="52"/>
        </w:rPr>
        <w:t>Programme</w:t>
      </w:r>
      <w:r>
        <w:rPr>
          <w:rFonts w:ascii="Calibri"/>
          <w:b/>
          <w:color w:val="1F4E79"/>
          <w:spacing w:val="19"/>
          <w:sz w:val="52"/>
        </w:rPr>
        <w:t> </w:t>
      </w:r>
      <w:r>
        <w:rPr>
          <w:rFonts w:ascii="Calibri"/>
          <w:b/>
          <w:color w:val="1F4E79"/>
          <w:sz w:val="52"/>
        </w:rPr>
        <w:t>Initiation</w:t>
      </w:r>
      <w:r>
        <w:rPr>
          <w:rFonts w:ascii="Calibri"/>
          <w:b/>
          <w:color w:val="1F4E79"/>
          <w:spacing w:val="17"/>
          <w:sz w:val="52"/>
        </w:rPr>
        <w:t> </w:t>
      </w:r>
      <w:r>
        <w:rPr>
          <w:rFonts w:ascii="Calibri"/>
          <w:b/>
          <w:color w:val="1F4E79"/>
          <w:spacing w:val="-2"/>
          <w:sz w:val="52"/>
        </w:rPr>
        <w:t>Document</w:t>
      </w:r>
    </w:p>
    <w:p>
      <w:pPr>
        <w:pStyle w:val="BodyText"/>
        <w:rPr>
          <w:rFonts w:ascii="Calibri"/>
          <w:b/>
          <w:sz w:val="5"/>
        </w:rPr>
      </w:pPr>
      <w:r>
        <w:rPr>
          <w:rFonts w:ascii="Calibri"/>
          <w:b/>
          <w:sz w:val="5"/>
        </w:rPr>
        <mc:AlternateContent>
          <mc:Choice Requires="wps">
            <w:drawing>
              <wp:anchor distT="0" distB="0" distL="0" distR="0" allowOverlap="1" layoutInCell="1" locked="0" behindDoc="1" simplePos="0" relativeHeight="487633408">
                <wp:simplePos x="0" y="0"/>
                <wp:positionH relativeFrom="page">
                  <wp:posOffset>711517</wp:posOffset>
                </wp:positionH>
                <wp:positionV relativeFrom="paragraph">
                  <wp:posOffset>54156</wp:posOffset>
                </wp:positionV>
                <wp:extent cx="6349365" cy="12700"/>
                <wp:effectExtent l="0" t="0" r="0" b="0"/>
                <wp:wrapTopAndBottom/>
                <wp:docPr id="217" name="Graphic 217"/>
                <wp:cNvGraphicFramePr>
                  <a:graphicFrameLocks/>
                </wp:cNvGraphicFramePr>
                <a:graphic>
                  <a:graphicData uri="http://schemas.microsoft.com/office/word/2010/wordprocessingShape">
                    <wps:wsp>
                      <wps:cNvPr id="217" name="Graphic 217"/>
                      <wps:cNvSpPr/>
                      <wps:spPr>
                        <a:xfrm>
                          <a:off x="0" y="0"/>
                          <a:ext cx="6349365" cy="12700"/>
                        </a:xfrm>
                        <a:custGeom>
                          <a:avLst/>
                          <a:gdLst/>
                          <a:ahLst/>
                          <a:cxnLst/>
                          <a:rect l="l" t="t" r="r" b="b"/>
                          <a:pathLst>
                            <a:path w="6349365" h="12700">
                              <a:moveTo>
                                <a:pt x="6349365" y="0"/>
                              </a:moveTo>
                              <a:lnTo>
                                <a:pt x="0" y="0"/>
                              </a:lnTo>
                              <a:lnTo>
                                <a:pt x="0" y="12700"/>
                              </a:lnTo>
                              <a:lnTo>
                                <a:pt x="6349365" y="12700"/>
                              </a:lnTo>
                              <a:lnTo>
                                <a:pt x="634936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rect style="position:absolute;margin-left:56.025002pt;margin-top:4.264258pt;width:499.95pt;height:1pt;mso-position-horizontal-relative:page;mso-position-vertical-relative:paragraph;z-index:-15683072;mso-wrap-distance-left:0;mso-wrap-distance-right:0" id="docshape138" filled="true" fillcolor="#4f81bc" stroked="false">
                <v:fill type="solid"/>
                <w10:wrap type="topAndBottom"/>
              </v:rect>
            </w:pict>
          </mc:Fallback>
        </mc:AlternateContent>
      </w:r>
    </w:p>
    <w:p>
      <w:pPr>
        <w:pStyle w:val="BodyText"/>
        <w:rPr>
          <w:rFonts w:ascii="Calibri"/>
          <w:b/>
          <w:sz w:val="20"/>
        </w:rPr>
      </w:pPr>
    </w:p>
    <w:p>
      <w:pPr>
        <w:pStyle w:val="BodyText"/>
        <w:rPr>
          <w:rFonts w:ascii="Calibri"/>
          <w:b/>
          <w:sz w:val="20"/>
        </w:rPr>
      </w:pPr>
    </w:p>
    <w:p>
      <w:pPr>
        <w:pStyle w:val="BodyText"/>
        <w:spacing w:before="122"/>
        <w:rPr>
          <w:rFonts w:ascii="Calibri"/>
          <w:b/>
          <w:sz w:val="20"/>
        </w:rPr>
      </w:pPr>
    </w:p>
    <w:tbl>
      <w:tblPr>
        <w:tblW w:w="0" w:type="auto"/>
        <w:jc w:val="left"/>
        <w:tblInd w:w="1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42"/>
        <w:gridCol w:w="6388"/>
      </w:tblGrid>
      <w:tr>
        <w:trPr>
          <w:trHeight w:val="680" w:hRule="atLeast"/>
        </w:trPr>
        <w:tc>
          <w:tcPr>
            <w:tcW w:w="3542" w:type="dxa"/>
            <w:shd w:val="clear" w:color="auto" w:fill="D9E1F3"/>
          </w:tcPr>
          <w:p>
            <w:pPr>
              <w:pStyle w:val="TableParagraph"/>
              <w:spacing w:before="121"/>
              <w:ind w:left="120"/>
              <w:rPr>
                <w:rFonts w:ascii="Segoe UI"/>
                <w:b/>
                <w:sz w:val="24"/>
              </w:rPr>
            </w:pPr>
            <w:r>
              <w:rPr>
                <w:rFonts w:ascii="Segoe UI"/>
                <w:b/>
                <w:color w:val="1F4E79"/>
                <w:sz w:val="24"/>
              </w:rPr>
              <w:t>Project</w:t>
            </w:r>
            <w:r>
              <w:rPr>
                <w:rFonts w:ascii="Segoe UI"/>
                <w:b/>
                <w:color w:val="1F4E79"/>
                <w:spacing w:val="-3"/>
                <w:sz w:val="24"/>
              </w:rPr>
              <w:t> </w:t>
            </w:r>
            <w:r>
              <w:rPr>
                <w:rFonts w:ascii="Segoe UI"/>
                <w:b/>
                <w:color w:val="1F4E79"/>
                <w:spacing w:val="-4"/>
                <w:sz w:val="24"/>
              </w:rPr>
              <w:t>name</w:t>
            </w:r>
          </w:p>
        </w:tc>
        <w:tc>
          <w:tcPr>
            <w:tcW w:w="6388" w:type="dxa"/>
          </w:tcPr>
          <w:p>
            <w:pPr>
              <w:pStyle w:val="TableParagraph"/>
              <w:spacing w:before="121"/>
              <w:ind w:left="119"/>
              <w:rPr>
                <w:rFonts w:ascii="Segoe UI"/>
                <w:sz w:val="24"/>
              </w:rPr>
            </w:pPr>
            <w:r>
              <w:rPr>
                <w:rFonts w:ascii="Segoe UI"/>
                <w:sz w:val="24"/>
              </w:rPr>
              <w:t>Regional</w:t>
            </w:r>
            <w:r>
              <w:rPr>
                <w:rFonts w:ascii="Segoe UI"/>
                <w:spacing w:val="-6"/>
                <w:sz w:val="24"/>
              </w:rPr>
              <w:t> </w:t>
            </w:r>
            <w:r>
              <w:rPr>
                <w:rFonts w:ascii="Segoe UI"/>
                <w:sz w:val="24"/>
              </w:rPr>
              <w:t>Orthopaedics</w:t>
            </w:r>
            <w:r>
              <w:rPr>
                <w:rFonts w:ascii="Segoe UI"/>
                <w:spacing w:val="-8"/>
                <w:sz w:val="24"/>
              </w:rPr>
              <w:t> </w:t>
            </w:r>
            <w:r>
              <w:rPr>
                <w:rFonts w:ascii="Segoe UI"/>
                <w:spacing w:val="-2"/>
                <w:sz w:val="24"/>
              </w:rPr>
              <w:t>Programme</w:t>
            </w:r>
          </w:p>
        </w:tc>
      </w:tr>
      <w:tr>
        <w:trPr>
          <w:trHeight w:val="680" w:hRule="atLeast"/>
        </w:trPr>
        <w:tc>
          <w:tcPr>
            <w:tcW w:w="3542" w:type="dxa"/>
            <w:shd w:val="clear" w:color="auto" w:fill="D9E1F3"/>
          </w:tcPr>
          <w:p>
            <w:pPr>
              <w:pStyle w:val="TableParagraph"/>
              <w:spacing w:before="121"/>
              <w:ind w:left="120"/>
              <w:rPr>
                <w:rFonts w:ascii="Segoe UI"/>
                <w:b/>
                <w:sz w:val="24"/>
              </w:rPr>
            </w:pPr>
            <w:r>
              <w:rPr>
                <w:rFonts w:ascii="Segoe UI"/>
                <w:b/>
                <w:color w:val="1F4E79"/>
                <w:sz w:val="24"/>
              </w:rPr>
              <w:t>Project</w:t>
            </w:r>
            <w:r>
              <w:rPr>
                <w:rFonts w:ascii="Segoe UI"/>
                <w:b/>
                <w:color w:val="1F4E79"/>
                <w:spacing w:val="-2"/>
                <w:sz w:val="24"/>
              </w:rPr>
              <w:t> </w:t>
            </w:r>
            <w:r>
              <w:rPr>
                <w:rFonts w:ascii="Segoe UI"/>
                <w:b/>
                <w:color w:val="1F4E79"/>
                <w:spacing w:val="-5"/>
                <w:sz w:val="24"/>
              </w:rPr>
              <w:t>SRO</w:t>
            </w:r>
          </w:p>
        </w:tc>
        <w:tc>
          <w:tcPr>
            <w:tcW w:w="6388" w:type="dxa"/>
          </w:tcPr>
          <w:p>
            <w:pPr>
              <w:pStyle w:val="TableParagraph"/>
              <w:spacing w:before="121"/>
              <w:ind w:left="119"/>
              <w:rPr>
                <w:rFonts w:ascii="Segoe UI"/>
                <w:sz w:val="24"/>
              </w:rPr>
            </w:pPr>
            <w:r>
              <w:rPr>
                <w:rFonts w:ascii="Segoe UI"/>
                <w:sz w:val="24"/>
              </w:rPr>
              <w:t>Andrew</w:t>
            </w:r>
            <w:r>
              <w:rPr>
                <w:rFonts w:ascii="Segoe UI"/>
                <w:spacing w:val="-1"/>
                <w:sz w:val="24"/>
              </w:rPr>
              <w:t> </w:t>
            </w:r>
            <w:r>
              <w:rPr>
                <w:rFonts w:ascii="Segoe UI"/>
                <w:spacing w:val="-2"/>
                <w:sz w:val="24"/>
              </w:rPr>
              <w:t>Carruthers</w:t>
            </w:r>
          </w:p>
        </w:tc>
      </w:tr>
      <w:tr>
        <w:trPr>
          <w:trHeight w:val="675" w:hRule="atLeast"/>
        </w:trPr>
        <w:tc>
          <w:tcPr>
            <w:tcW w:w="3542" w:type="dxa"/>
            <w:shd w:val="clear" w:color="auto" w:fill="D9E1F3"/>
          </w:tcPr>
          <w:p>
            <w:pPr>
              <w:pStyle w:val="TableParagraph"/>
              <w:spacing w:before="121"/>
              <w:ind w:left="120"/>
              <w:rPr>
                <w:rFonts w:ascii="Segoe UI"/>
                <w:b/>
                <w:sz w:val="24"/>
              </w:rPr>
            </w:pPr>
            <w:r>
              <w:rPr>
                <w:rFonts w:ascii="Segoe UI"/>
                <w:b/>
                <w:color w:val="1F4E79"/>
                <w:sz w:val="24"/>
              </w:rPr>
              <w:t>Project</w:t>
            </w:r>
            <w:r>
              <w:rPr>
                <w:rFonts w:ascii="Segoe UI"/>
                <w:b/>
                <w:color w:val="1F4E79"/>
                <w:spacing w:val="-4"/>
                <w:sz w:val="24"/>
              </w:rPr>
              <w:t> </w:t>
            </w:r>
            <w:r>
              <w:rPr>
                <w:rFonts w:ascii="Segoe UI"/>
                <w:b/>
                <w:color w:val="1F4E79"/>
                <w:sz w:val="24"/>
              </w:rPr>
              <w:t>manager</w:t>
            </w:r>
            <w:r>
              <w:rPr>
                <w:rFonts w:ascii="Segoe UI"/>
                <w:b/>
                <w:color w:val="1F4E79"/>
                <w:spacing w:val="-4"/>
                <w:sz w:val="24"/>
              </w:rPr>
              <w:t> </w:t>
            </w:r>
            <w:r>
              <w:rPr>
                <w:rFonts w:ascii="Segoe UI"/>
                <w:b/>
                <w:color w:val="1F4E79"/>
                <w:sz w:val="24"/>
              </w:rPr>
              <w:t>/</w:t>
            </w:r>
            <w:r>
              <w:rPr>
                <w:rFonts w:ascii="Segoe UI"/>
                <w:b/>
                <w:color w:val="1F4E79"/>
                <w:spacing w:val="-4"/>
                <w:sz w:val="24"/>
              </w:rPr>
              <w:t> lead</w:t>
            </w:r>
          </w:p>
        </w:tc>
        <w:tc>
          <w:tcPr>
            <w:tcW w:w="6388" w:type="dxa"/>
          </w:tcPr>
          <w:p>
            <w:pPr>
              <w:pStyle w:val="TableParagraph"/>
              <w:spacing w:before="116"/>
              <w:ind w:left="119"/>
              <w:rPr>
                <w:rFonts w:ascii="Segoe UI"/>
                <w:sz w:val="24"/>
              </w:rPr>
            </w:pPr>
            <w:r>
              <w:rPr>
                <w:rFonts w:ascii="Segoe UI"/>
                <w:sz w:val="24"/>
              </w:rPr>
              <w:t>Berian</w:t>
            </w:r>
            <w:r>
              <w:rPr>
                <w:rFonts w:ascii="Segoe UI"/>
                <w:spacing w:val="-2"/>
                <w:sz w:val="24"/>
              </w:rPr>
              <w:t> Allcock</w:t>
            </w:r>
          </w:p>
        </w:tc>
      </w:tr>
      <w:tr>
        <w:trPr>
          <w:trHeight w:val="680" w:hRule="atLeast"/>
        </w:trPr>
        <w:tc>
          <w:tcPr>
            <w:tcW w:w="3542" w:type="dxa"/>
            <w:shd w:val="clear" w:color="auto" w:fill="D9E1F3"/>
          </w:tcPr>
          <w:p>
            <w:pPr>
              <w:pStyle w:val="TableParagraph"/>
              <w:spacing w:before="121"/>
              <w:ind w:left="120"/>
              <w:rPr>
                <w:rFonts w:ascii="Segoe UI"/>
                <w:b/>
                <w:sz w:val="24"/>
              </w:rPr>
            </w:pPr>
            <w:r>
              <w:rPr>
                <w:rFonts w:ascii="Segoe UI"/>
                <w:b/>
                <w:color w:val="1F4E79"/>
                <w:sz w:val="24"/>
              </w:rPr>
              <w:t>Document</w:t>
            </w:r>
            <w:r>
              <w:rPr>
                <w:rFonts w:ascii="Segoe UI"/>
                <w:b/>
                <w:color w:val="1F4E79"/>
                <w:spacing w:val="-9"/>
                <w:sz w:val="24"/>
              </w:rPr>
              <w:t> </w:t>
            </w:r>
            <w:r>
              <w:rPr>
                <w:rFonts w:ascii="Segoe UI"/>
                <w:b/>
                <w:color w:val="1F4E79"/>
                <w:spacing w:val="-2"/>
                <w:sz w:val="24"/>
              </w:rPr>
              <w:t>owner</w:t>
            </w:r>
          </w:p>
        </w:tc>
        <w:tc>
          <w:tcPr>
            <w:tcW w:w="6388" w:type="dxa"/>
          </w:tcPr>
          <w:p>
            <w:pPr>
              <w:pStyle w:val="TableParagraph"/>
              <w:spacing w:before="121"/>
              <w:ind w:left="119"/>
              <w:rPr>
                <w:rFonts w:ascii="Segoe UI"/>
                <w:sz w:val="24"/>
              </w:rPr>
            </w:pPr>
            <w:r>
              <w:rPr>
                <w:rFonts w:ascii="Segoe UI"/>
                <w:sz w:val="24"/>
              </w:rPr>
              <w:t>Regional</w:t>
            </w:r>
            <w:r>
              <w:rPr>
                <w:rFonts w:ascii="Segoe UI"/>
                <w:spacing w:val="-4"/>
                <w:sz w:val="24"/>
              </w:rPr>
              <w:t> </w:t>
            </w:r>
            <w:r>
              <w:rPr>
                <w:rFonts w:ascii="Segoe UI"/>
                <w:sz w:val="24"/>
              </w:rPr>
              <w:t>Joint</w:t>
            </w:r>
            <w:r>
              <w:rPr>
                <w:rFonts w:ascii="Segoe UI"/>
                <w:spacing w:val="-7"/>
                <w:sz w:val="24"/>
              </w:rPr>
              <w:t> </w:t>
            </w:r>
            <w:r>
              <w:rPr>
                <w:rFonts w:ascii="Segoe UI"/>
                <w:sz w:val="24"/>
              </w:rPr>
              <w:t>Committee</w:t>
            </w:r>
            <w:r>
              <w:rPr>
                <w:rFonts w:ascii="Segoe UI"/>
                <w:spacing w:val="-5"/>
                <w:sz w:val="24"/>
              </w:rPr>
              <w:t> </w:t>
            </w:r>
            <w:r>
              <w:rPr>
                <w:rFonts w:ascii="Segoe UI"/>
                <w:spacing w:val="-4"/>
                <w:sz w:val="24"/>
              </w:rPr>
              <w:t>(RJC)</w:t>
            </w:r>
          </w:p>
        </w:tc>
      </w:tr>
      <w:tr>
        <w:trPr>
          <w:trHeight w:val="680" w:hRule="atLeast"/>
        </w:trPr>
        <w:tc>
          <w:tcPr>
            <w:tcW w:w="3542" w:type="dxa"/>
            <w:shd w:val="clear" w:color="auto" w:fill="D9E1F3"/>
          </w:tcPr>
          <w:p>
            <w:pPr>
              <w:pStyle w:val="TableParagraph"/>
              <w:spacing w:before="121"/>
              <w:ind w:left="120"/>
              <w:rPr>
                <w:rFonts w:ascii="Segoe UI"/>
                <w:b/>
                <w:sz w:val="24"/>
              </w:rPr>
            </w:pPr>
            <w:r>
              <w:rPr>
                <w:rFonts w:ascii="Segoe UI"/>
                <w:b/>
                <w:color w:val="1F4E79"/>
                <w:spacing w:val="-2"/>
                <w:sz w:val="24"/>
              </w:rPr>
              <w:t>Version</w:t>
            </w:r>
          </w:p>
        </w:tc>
        <w:tc>
          <w:tcPr>
            <w:tcW w:w="6388" w:type="dxa"/>
          </w:tcPr>
          <w:p>
            <w:pPr>
              <w:pStyle w:val="TableParagraph"/>
              <w:spacing w:before="121"/>
              <w:ind w:left="119"/>
              <w:rPr>
                <w:rFonts w:ascii="Segoe UI"/>
                <w:sz w:val="24"/>
              </w:rPr>
            </w:pPr>
            <w:r>
              <w:rPr>
                <w:rFonts w:ascii="Segoe UI"/>
                <w:sz w:val="24"/>
              </w:rPr>
              <w:t>Draft</w:t>
            </w:r>
            <w:r>
              <w:rPr>
                <w:rFonts w:ascii="Segoe UI"/>
                <w:spacing w:val="-4"/>
                <w:sz w:val="24"/>
              </w:rPr>
              <w:t> v0.4</w:t>
            </w:r>
          </w:p>
        </w:tc>
      </w:tr>
      <w:tr>
        <w:trPr>
          <w:trHeight w:val="680" w:hRule="atLeast"/>
        </w:trPr>
        <w:tc>
          <w:tcPr>
            <w:tcW w:w="3542" w:type="dxa"/>
            <w:shd w:val="clear" w:color="auto" w:fill="D9E1F3"/>
          </w:tcPr>
          <w:p>
            <w:pPr>
              <w:pStyle w:val="TableParagraph"/>
              <w:spacing w:before="121"/>
              <w:ind w:left="120"/>
              <w:rPr>
                <w:rFonts w:ascii="Segoe UI"/>
                <w:b/>
                <w:sz w:val="24"/>
              </w:rPr>
            </w:pPr>
            <w:r>
              <w:rPr>
                <w:rFonts w:ascii="Segoe UI"/>
                <w:b/>
                <w:color w:val="1F4E79"/>
                <w:spacing w:val="-4"/>
                <w:sz w:val="24"/>
              </w:rPr>
              <w:t>Date</w:t>
            </w:r>
          </w:p>
        </w:tc>
        <w:tc>
          <w:tcPr>
            <w:tcW w:w="6388" w:type="dxa"/>
          </w:tcPr>
          <w:p>
            <w:pPr>
              <w:pStyle w:val="TableParagraph"/>
              <w:spacing w:before="121"/>
              <w:ind w:left="119"/>
              <w:rPr>
                <w:rFonts w:ascii="Segoe UI"/>
                <w:sz w:val="24"/>
              </w:rPr>
            </w:pPr>
            <w:r>
              <w:rPr>
                <w:rFonts w:ascii="Segoe UI"/>
                <w:spacing w:val="-2"/>
                <w:sz w:val="24"/>
              </w:rPr>
              <w:t>25.09.2026</w:t>
            </w:r>
          </w:p>
        </w:tc>
      </w:tr>
    </w:tbl>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rPr>
          <w:rFonts w:ascii="Calibri"/>
          <w:b/>
          <w:sz w:val="16"/>
        </w:rPr>
      </w:pPr>
    </w:p>
    <w:p>
      <w:pPr>
        <w:pStyle w:val="BodyText"/>
        <w:spacing w:before="160"/>
        <w:rPr>
          <w:rFonts w:ascii="Calibri"/>
          <w:b/>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footerReference w:type="default" r:id="rId55"/>
          <w:pgSz w:w="12240" w:h="15840"/>
          <w:pgMar w:header="0" w:footer="147" w:top="360" w:bottom="340" w:left="141" w:right="141"/>
          <w:pgNumType w:start="34"/>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18" name="Image 218"/>
            <wp:cNvGraphicFramePr>
              <a:graphicFrameLocks/>
            </wp:cNvGraphicFramePr>
            <a:graphic>
              <a:graphicData uri="http://schemas.openxmlformats.org/drawingml/2006/picture">
                <pic:pic>
                  <pic:nvPicPr>
                    <pic:cNvPr id="218" name="Image 218"/>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19" name="Image 219"/>
            <wp:cNvGraphicFramePr>
              <a:graphicFrameLocks/>
            </wp:cNvGraphicFramePr>
            <a:graphic>
              <a:graphicData uri="http://schemas.openxmlformats.org/drawingml/2006/picture">
                <pic:pic>
                  <pic:nvPicPr>
                    <pic:cNvPr id="219" name="Image 219"/>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Heading3"/>
        <w:numPr>
          <w:ilvl w:val="2"/>
          <w:numId w:val="10"/>
        </w:numPr>
        <w:tabs>
          <w:tab w:pos="1009" w:val="left" w:leader="none"/>
        </w:tabs>
        <w:spacing w:line="240" w:lineRule="auto" w:before="353" w:after="0"/>
        <w:ind w:left="1009" w:right="0" w:hanging="565"/>
        <w:jc w:val="left"/>
      </w:pPr>
      <w:r>
        <w:rPr>
          <w:color w:val="1F4E79"/>
          <w:spacing w:val="-2"/>
        </w:rPr>
        <w:t>Summary</w:t>
      </w:r>
    </w:p>
    <w:p>
      <w:pPr>
        <w:pStyle w:val="BodyText"/>
        <w:spacing w:line="237" w:lineRule="auto" w:before="223"/>
        <w:ind w:left="1009" w:right="1086"/>
        <w:rPr>
          <w:rFonts w:ascii="Segoe UI"/>
        </w:rPr>
      </w:pPr>
      <w:r>
        <w:rPr>
          <w:rFonts w:ascii="Segoe UI"/>
        </w:rPr>
        <w:t>This Programme Initiation Document (PID) sets out the proposed reset of the Regional Orthopaedics</w:t>
      </w:r>
      <w:r>
        <w:rPr>
          <w:rFonts w:ascii="Segoe UI"/>
          <w:spacing w:val="-6"/>
        </w:rPr>
        <w:t> </w:t>
      </w:r>
      <w:r>
        <w:rPr>
          <w:rFonts w:ascii="Segoe UI"/>
        </w:rPr>
        <w:t>Programme</w:t>
      </w:r>
      <w:r>
        <w:rPr>
          <w:rFonts w:ascii="Segoe UI"/>
          <w:spacing w:val="-5"/>
        </w:rPr>
        <w:t> </w:t>
      </w:r>
      <w:r>
        <w:rPr>
          <w:rFonts w:ascii="Segoe UI"/>
        </w:rPr>
        <w:t>across</w:t>
      </w:r>
      <w:r>
        <w:rPr>
          <w:rFonts w:ascii="Segoe UI"/>
          <w:spacing w:val="-6"/>
        </w:rPr>
        <w:t> </w:t>
      </w:r>
      <w:r>
        <w:rPr>
          <w:rFonts w:ascii="Segoe UI"/>
        </w:rPr>
        <w:t>Swansea</w:t>
      </w:r>
      <w:r>
        <w:rPr>
          <w:rFonts w:ascii="Segoe UI"/>
          <w:spacing w:val="-6"/>
        </w:rPr>
        <w:t> </w:t>
      </w:r>
      <w:r>
        <w:rPr>
          <w:rFonts w:ascii="Segoe UI"/>
        </w:rPr>
        <w:t>Bay</w:t>
      </w:r>
      <w:r>
        <w:rPr>
          <w:rFonts w:ascii="Segoe UI"/>
          <w:spacing w:val="-5"/>
        </w:rPr>
        <w:t> </w:t>
      </w:r>
      <w:r>
        <w:rPr>
          <w:rFonts w:ascii="Segoe UI"/>
        </w:rPr>
        <w:t>University</w:t>
      </w:r>
      <w:r>
        <w:rPr>
          <w:rFonts w:ascii="Segoe UI"/>
          <w:spacing w:val="-5"/>
        </w:rPr>
        <w:t> </w:t>
      </w:r>
      <w:r>
        <w:rPr>
          <w:rFonts w:ascii="Segoe UI"/>
        </w:rPr>
        <w:t>Health</w:t>
      </w:r>
      <w:r>
        <w:rPr>
          <w:rFonts w:ascii="Segoe UI"/>
          <w:spacing w:val="-5"/>
        </w:rPr>
        <w:t> </w:t>
      </w:r>
      <w:r>
        <w:rPr>
          <w:rFonts w:ascii="Segoe UI"/>
        </w:rPr>
        <w:t>Board</w:t>
      </w:r>
      <w:r>
        <w:rPr>
          <w:rFonts w:ascii="Segoe UI"/>
          <w:spacing w:val="-6"/>
        </w:rPr>
        <w:t> </w:t>
      </w:r>
      <w:r>
        <w:rPr>
          <w:rFonts w:ascii="Segoe UI"/>
        </w:rPr>
        <w:t>(SBUHB)</w:t>
      </w:r>
      <w:r>
        <w:rPr>
          <w:rFonts w:ascii="Segoe UI"/>
          <w:spacing w:val="-2"/>
        </w:rPr>
        <w:t> </w:t>
      </w:r>
      <w:r>
        <w:rPr>
          <w:rFonts w:ascii="Segoe UI"/>
        </w:rPr>
        <w:t>and</w:t>
      </w:r>
      <w:r>
        <w:rPr>
          <w:rFonts w:ascii="Segoe UI"/>
          <w:spacing w:val="-6"/>
        </w:rPr>
        <w:t> </w:t>
      </w:r>
      <w:r>
        <w:rPr>
          <w:rFonts w:ascii="Segoe UI"/>
        </w:rPr>
        <w:t>Hywel Dda University Health Board (HDUHB).</w:t>
      </w:r>
    </w:p>
    <w:p>
      <w:pPr>
        <w:pStyle w:val="BodyText"/>
        <w:spacing w:before="165"/>
        <w:ind w:left="1009" w:right="1086"/>
        <w:rPr>
          <w:rFonts w:ascii="Segoe UI"/>
        </w:rPr>
      </w:pPr>
      <w:r>
        <w:rPr>
          <w:rFonts w:ascii="Segoe UI"/>
        </w:rPr>
        <w:t>The</w:t>
      </w:r>
      <w:r>
        <w:rPr>
          <w:rFonts w:ascii="Segoe UI"/>
          <w:spacing w:val="-4"/>
        </w:rPr>
        <w:t> </w:t>
      </w:r>
      <w:r>
        <w:rPr>
          <w:rFonts w:ascii="Segoe UI"/>
        </w:rPr>
        <w:t>programme's</w:t>
      </w:r>
      <w:r>
        <w:rPr>
          <w:rFonts w:ascii="Segoe UI"/>
          <w:spacing w:val="-5"/>
        </w:rPr>
        <w:t> </w:t>
      </w:r>
      <w:r>
        <w:rPr>
          <w:rFonts w:ascii="Segoe UI"/>
        </w:rPr>
        <w:t>renewed ambition</w:t>
      </w:r>
      <w:r>
        <w:rPr>
          <w:rFonts w:ascii="Segoe UI"/>
          <w:spacing w:val="-5"/>
        </w:rPr>
        <w:t> </w:t>
      </w:r>
      <w:r>
        <w:rPr>
          <w:rFonts w:ascii="Segoe UI"/>
        </w:rPr>
        <w:t>is</w:t>
      </w:r>
      <w:r>
        <w:rPr>
          <w:rFonts w:ascii="Segoe UI"/>
          <w:spacing w:val="-5"/>
        </w:rPr>
        <w:t> </w:t>
      </w:r>
      <w:r>
        <w:rPr>
          <w:rFonts w:ascii="Segoe UI"/>
        </w:rPr>
        <w:t>to</w:t>
      </w:r>
      <w:r>
        <w:rPr>
          <w:rFonts w:ascii="Segoe UI"/>
          <w:spacing w:val="-4"/>
        </w:rPr>
        <w:t> </w:t>
      </w:r>
      <w:r>
        <w:rPr>
          <w:rFonts w:ascii="Segoe UI"/>
        </w:rPr>
        <w:t>develop</w:t>
      </w:r>
      <w:r>
        <w:rPr>
          <w:rFonts w:ascii="Segoe UI"/>
          <w:spacing w:val="-5"/>
        </w:rPr>
        <w:t> </w:t>
      </w:r>
      <w:r>
        <w:rPr>
          <w:rFonts w:ascii="Segoe UI"/>
        </w:rPr>
        <w:t>a</w:t>
      </w:r>
      <w:r>
        <w:rPr>
          <w:rFonts w:ascii="Segoe UI"/>
          <w:spacing w:val="-5"/>
        </w:rPr>
        <w:t> </w:t>
      </w:r>
      <w:r>
        <w:rPr>
          <w:rFonts w:ascii="Segoe UI"/>
        </w:rPr>
        <w:t>clinically</w:t>
      </w:r>
      <w:r>
        <w:rPr>
          <w:rFonts w:ascii="Segoe UI"/>
          <w:spacing w:val="-4"/>
        </w:rPr>
        <w:t> </w:t>
      </w:r>
      <w:r>
        <w:rPr>
          <w:rFonts w:ascii="Segoe UI"/>
        </w:rPr>
        <w:t>led</w:t>
      </w:r>
      <w:r>
        <w:rPr>
          <w:rFonts w:ascii="Segoe UI"/>
          <w:spacing w:val="-5"/>
        </w:rPr>
        <w:t> </w:t>
      </w:r>
      <w:r>
        <w:rPr>
          <w:rFonts w:ascii="Segoe UI"/>
        </w:rPr>
        <w:t>regional</w:t>
      </w:r>
      <w:r>
        <w:rPr>
          <w:rFonts w:ascii="Segoe UI"/>
          <w:spacing w:val="-2"/>
        </w:rPr>
        <w:t> </w:t>
      </w:r>
      <w:r>
        <w:rPr>
          <w:rFonts w:ascii="Segoe UI"/>
        </w:rPr>
        <w:t>orthopaedic</w:t>
      </w:r>
      <w:r>
        <w:rPr>
          <w:rFonts w:ascii="Segoe UI"/>
          <w:spacing w:val="-4"/>
        </w:rPr>
        <w:t> </w:t>
      </w:r>
      <w:r>
        <w:rPr>
          <w:rFonts w:ascii="Segoe UI"/>
        </w:rPr>
        <w:t>service model capable of achieving the Ministerial 36-week waiting time target by 2030, responding positively</w:t>
      </w:r>
      <w:r>
        <w:rPr>
          <w:rFonts w:ascii="Segoe UI"/>
          <w:spacing w:val="-2"/>
        </w:rPr>
        <w:t> </w:t>
      </w:r>
      <w:r>
        <w:rPr>
          <w:rFonts w:ascii="Segoe UI"/>
        </w:rPr>
        <w:t>to</w:t>
      </w:r>
      <w:r>
        <w:rPr>
          <w:rFonts w:ascii="Segoe UI"/>
          <w:spacing w:val="-2"/>
        </w:rPr>
        <w:t> </w:t>
      </w:r>
      <w:r>
        <w:rPr>
          <w:rFonts w:ascii="Segoe UI"/>
        </w:rPr>
        <w:t>Getting It</w:t>
      </w:r>
      <w:r>
        <w:rPr>
          <w:rFonts w:ascii="Segoe UI"/>
          <w:spacing w:val="-3"/>
        </w:rPr>
        <w:t> </w:t>
      </w:r>
      <w:r>
        <w:rPr>
          <w:rFonts w:ascii="Segoe UI"/>
        </w:rPr>
        <w:t>Right</w:t>
      </w:r>
      <w:r>
        <w:rPr>
          <w:rFonts w:ascii="Segoe UI"/>
          <w:spacing w:val="-3"/>
        </w:rPr>
        <w:t> </w:t>
      </w:r>
      <w:r>
        <w:rPr>
          <w:rFonts w:ascii="Segoe UI"/>
        </w:rPr>
        <w:t>First Time</w:t>
      </w:r>
      <w:r>
        <w:rPr>
          <w:rFonts w:ascii="Segoe UI"/>
          <w:spacing w:val="-2"/>
        </w:rPr>
        <w:t> </w:t>
      </w:r>
      <w:r>
        <w:rPr>
          <w:rFonts w:ascii="Segoe UI"/>
        </w:rPr>
        <w:t>(GIRFT) recommendations,</w:t>
      </w:r>
      <w:r>
        <w:rPr>
          <w:rFonts w:ascii="Segoe UI"/>
          <w:spacing w:val="-3"/>
        </w:rPr>
        <w:t> </w:t>
      </w:r>
      <w:r>
        <w:rPr>
          <w:rFonts w:ascii="Segoe UI"/>
        </w:rPr>
        <w:t>implementing</w:t>
      </w:r>
      <w:r>
        <w:rPr>
          <w:rFonts w:ascii="Segoe UI"/>
          <w:spacing w:val="-3"/>
        </w:rPr>
        <w:t> </w:t>
      </w:r>
      <w:r>
        <w:rPr>
          <w:rFonts w:ascii="Segoe UI"/>
        </w:rPr>
        <w:t>the</w:t>
      </w:r>
      <w:r>
        <w:rPr>
          <w:rFonts w:ascii="Segoe UI"/>
          <w:spacing w:val="-2"/>
        </w:rPr>
        <w:t> </w:t>
      </w:r>
      <w:r>
        <w:rPr>
          <w:rFonts w:ascii="Segoe UI"/>
        </w:rPr>
        <w:t>National Clinical Strategy for Orthopaedic Surgery (NCSOS), and preparing the region to respond to the emerging Regional Surgical Hub agenda.</w:t>
      </w:r>
    </w:p>
    <w:p>
      <w:pPr>
        <w:pStyle w:val="BodyText"/>
        <w:spacing w:before="165"/>
        <w:rPr>
          <w:rFonts w:ascii="Segoe UI"/>
        </w:rPr>
      </w:pPr>
    </w:p>
    <w:p>
      <w:pPr>
        <w:pStyle w:val="Heading3"/>
        <w:numPr>
          <w:ilvl w:val="2"/>
          <w:numId w:val="10"/>
        </w:numPr>
        <w:tabs>
          <w:tab w:pos="1009" w:val="left" w:leader="none"/>
        </w:tabs>
        <w:spacing w:line="240" w:lineRule="auto" w:before="1" w:after="0"/>
        <w:ind w:left="1009" w:right="0" w:hanging="565"/>
        <w:jc w:val="left"/>
      </w:pPr>
      <w:r>
        <w:rPr>
          <w:color w:val="1F4E79"/>
        </w:rPr>
        <w:t>Programme</w:t>
      </w:r>
      <w:r>
        <w:rPr>
          <w:color w:val="1F4E79"/>
          <w:spacing w:val="-5"/>
        </w:rPr>
        <w:t> </w:t>
      </w:r>
      <w:r>
        <w:rPr>
          <w:color w:val="1F4E79"/>
        </w:rPr>
        <w:t>Background</w:t>
      </w:r>
      <w:r>
        <w:rPr>
          <w:color w:val="1F4E79"/>
          <w:spacing w:val="-4"/>
        </w:rPr>
        <w:t> </w:t>
      </w:r>
      <w:r>
        <w:rPr>
          <w:color w:val="1F4E79"/>
          <w:spacing w:val="-2"/>
        </w:rPr>
        <w:t>Context</w:t>
      </w:r>
    </w:p>
    <w:p>
      <w:pPr>
        <w:pStyle w:val="BodyText"/>
        <w:spacing w:before="215"/>
        <w:ind w:left="1009" w:right="1086"/>
        <w:rPr>
          <w:rFonts w:ascii="Segoe UI"/>
        </w:rPr>
      </w:pPr>
      <w:r>
        <w:rPr>
          <w:rFonts w:ascii="Segoe UI"/>
        </w:rPr>
        <w:t>Significant progress has already been achieved in establishing foundations for regional collaboration,</w:t>
      </w:r>
      <w:r>
        <w:rPr>
          <w:rFonts w:ascii="Segoe UI"/>
          <w:spacing w:val="-8"/>
        </w:rPr>
        <w:t> </w:t>
      </w:r>
      <w:r>
        <w:rPr>
          <w:rFonts w:ascii="Segoe UI"/>
        </w:rPr>
        <w:t>including</w:t>
      </w:r>
      <w:r>
        <w:rPr>
          <w:rFonts w:ascii="Segoe UI"/>
          <w:spacing w:val="-4"/>
        </w:rPr>
        <w:t> </w:t>
      </w:r>
      <w:r>
        <w:rPr>
          <w:rFonts w:ascii="Segoe UI"/>
        </w:rPr>
        <w:t>pathway</w:t>
      </w:r>
      <w:r>
        <w:rPr>
          <w:rFonts w:ascii="Segoe UI"/>
          <w:spacing w:val="-7"/>
        </w:rPr>
        <w:t> </w:t>
      </w:r>
      <w:r>
        <w:rPr>
          <w:rFonts w:ascii="Segoe UI"/>
        </w:rPr>
        <w:t>standardisation,</w:t>
      </w:r>
      <w:r>
        <w:rPr>
          <w:rFonts w:ascii="Segoe UI"/>
          <w:spacing w:val="-8"/>
        </w:rPr>
        <w:t> </w:t>
      </w:r>
      <w:r>
        <w:rPr>
          <w:rFonts w:ascii="Segoe UI"/>
        </w:rPr>
        <w:t>workforce</w:t>
      </w:r>
      <w:r>
        <w:rPr>
          <w:rFonts w:ascii="Segoe UI"/>
          <w:spacing w:val="-7"/>
        </w:rPr>
        <w:t> </w:t>
      </w:r>
      <w:r>
        <w:rPr>
          <w:rFonts w:ascii="Segoe UI"/>
        </w:rPr>
        <w:t>development,</w:t>
      </w:r>
      <w:r>
        <w:rPr>
          <w:rFonts w:ascii="Segoe UI"/>
          <w:spacing w:val="-8"/>
        </w:rPr>
        <w:t> </w:t>
      </w:r>
      <w:r>
        <w:rPr>
          <w:rFonts w:ascii="Segoe UI"/>
        </w:rPr>
        <w:t>regional</w:t>
      </w:r>
      <w:r>
        <w:rPr>
          <w:rFonts w:ascii="Segoe UI"/>
          <w:spacing w:val="-6"/>
        </w:rPr>
        <w:t> </w:t>
      </w:r>
      <w:r>
        <w:rPr>
          <w:rFonts w:ascii="Segoe UI"/>
        </w:rPr>
        <w:t>clinical networks, operational collaboration, development of a regional dashboard, and executive agreement of a shared strategic direction and guiding principles.</w:t>
      </w:r>
    </w:p>
    <w:p>
      <w:pPr>
        <w:pStyle w:val="BodyText"/>
        <w:spacing w:before="164"/>
        <w:ind w:left="1009" w:right="1086"/>
        <w:rPr>
          <w:rFonts w:ascii="Segoe UI"/>
        </w:rPr>
      </w:pPr>
      <w:r>
        <w:rPr>
          <w:rFonts w:ascii="Segoe UI"/>
        </w:rPr>
        <w:t>The</w:t>
      </w:r>
      <w:r>
        <w:rPr>
          <w:rFonts w:ascii="Segoe UI"/>
          <w:spacing w:val="-5"/>
        </w:rPr>
        <w:t> </w:t>
      </w:r>
      <w:r>
        <w:rPr>
          <w:rFonts w:ascii="Segoe UI"/>
        </w:rPr>
        <w:t>Clinical</w:t>
      </w:r>
      <w:r>
        <w:rPr>
          <w:rFonts w:ascii="Segoe UI"/>
          <w:spacing w:val="-3"/>
        </w:rPr>
        <w:t> </w:t>
      </w:r>
      <w:r>
        <w:rPr>
          <w:rFonts w:ascii="Segoe UI"/>
        </w:rPr>
        <w:t>Services</w:t>
      </w:r>
      <w:r>
        <w:rPr>
          <w:rFonts w:ascii="Segoe UI"/>
          <w:spacing w:val="-7"/>
        </w:rPr>
        <w:t> </w:t>
      </w:r>
      <w:r>
        <w:rPr>
          <w:rFonts w:ascii="Segoe UI"/>
        </w:rPr>
        <w:t>Planning</w:t>
      </w:r>
      <w:r>
        <w:rPr>
          <w:rFonts w:ascii="Segoe UI"/>
          <w:spacing w:val="-6"/>
        </w:rPr>
        <w:t> </w:t>
      </w:r>
      <w:r>
        <w:rPr>
          <w:rFonts w:ascii="Segoe UI"/>
        </w:rPr>
        <w:t>Sub-group</w:t>
      </w:r>
      <w:r>
        <w:rPr>
          <w:rFonts w:ascii="Segoe UI"/>
          <w:spacing w:val="-4"/>
        </w:rPr>
        <w:t> </w:t>
      </w:r>
      <w:r>
        <w:rPr>
          <w:rFonts w:ascii="Segoe UI"/>
        </w:rPr>
        <w:t>is</w:t>
      </w:r>
      <w:r>
        <w:rPr>
          <w:rFonts w:ascii="Segoe UI"/>
          <w:spacing w:val="-6"/>
        </w:rPr>
        <w:t> </w:t>
      </w:r>
      <w:r>
        <w:rPr>
          <w:rFonts w:ascii="Segoe UI"/>
        </w:rPr>
        <w:t>asked</w:t>
      </w:r>
      <w:r>
        <w:rPr>
          <w:rFonts w:ascii="Segoe UI"/>
          <w:spacing w:val="-6"/>
        </w:rPr>
        <w:t> </w:t>
      </w:r>
      <w:r>
        <w:rPr>
          <w:rFonts w:ascii="Segoe UI"/>
        </w:rPr>
        <w:t>to</w:t>
      </w:r>
      <w:r>
        <w:rPr>
          <w:rFonts w:ascii="Segoe UI"/>
          <w:spacing w:val="-5"/>
        </w:rPr>
        <w:t> </w:t>
      </w:r>
      <w:r>
        <w:rPr>
          <w:rFonts w:ascii="Segoe UI"/>
        </w:rPr>
        <w:t>endorse</w:t>
      </w:r>
      <w:r>
        <w:rPr>
          <w:rFonts w:ascii="Segoe UI"/>
          <w:spacing w:val="-5"/>
        </w:rPr>
        <w:t> </w:t>
      </w:r>
      <w:r>
        <w:rPr>
          <w:rFonts w:ascii="Segoe UI"/>
        </w:rPr>
        <w:t>the programme</w:t>
      </w:r>
      <w:r>
        <w:rPr>
          <w:rFonts w:ascii="Segoe UI"/>
          <w:spacing w:val="-5"/>
        </w:rPr>
        <w:t> </w:t>
      </w:r>
      <w:r>
        <w:rPr>
          <w:rFonts w:ascii="Segoe UI"/>
        </w:rPr>
        <w:t>reset</w:t>
      </w:r>
      <w:r>
        <w:rPr>
          <w:rFonts w:ascii="Segoe UI"/>
          <w:spacing w:val="-1"/>
        </w:rPr>
        <w:t> </w:t>
      </w:r>
      <w:r>
        <w:rPr>
          <w:rFonts w:ascii="Segoe UI"/>
        </w:rPr>
        <w:t>and support delivery of the next phase of regional orthopaedic transformation.</w:t>
      </w:r>
    </w:p>
    <w:p>
      <w:pPr>
        <w:pStyle w:val="BodyText"/>
        <w:spacing w:before="156"/>
        <w:ind w:left="1009" w:right="1086"/>
        <w:rPr>
          <w:rFonts w:ascii="Segoe UI"/>
        </w:rPr>
      </w:pPr>
      <w:r>
        <w:rPr>
          <w:rFonts w:ascii="Segoe UI"/>
        </w:rPr>
        <w:t>Since</w:t>
      </w:r>
      <w:r>
        <w:rPr>
          <w:rFonts w:ascii="Segoe UI"/>
          <w:spacing w:val="-5"/>
        </w:rPr>
        <w:t> </w:t>
      </w:r>
      <w:r>
        <w:rPr>
          <w:rFonts w:ascii="Segoe UI"/>
        </w:rPr>
        <w:t>its</w:t>
      </w:r>
      <w:r>
        <w:rPr>
          <w:rFonts w:ascii="Segoe UI"/>
          <w:spacing w:val="-6"/>
        </w:rPr>
        <w:t> </w:t>
      </w:r>
      <w:r>
        <w:rPr>
          <w:rFonts w:ascii="Segoe UI"/>
        </w:rPr>
        <w:t>inception,</w:t>
      </w:r>
      <w:r>
        <w:rPr>
          <w:rFonts w:ascii="Segoe UI"/>
          <w:spacing w:val="-6"/>
        </w:rPr>
        <w:t> </w:t>
      </w:r>
      <w:r>
        <w:rPr>
          <w:rFonts w:ascii="Segoe UI"/>
        </w:rPr>
        <w:t>the</w:t>
      </w:r>
      <w:r>
        <w:rPr>
          <w:rFonts w:ascii="Segoe UI"/>
          <w:spacing w:val="-5"/>
        </w:rPr>
        <w:t> </w:t>
      </w:r>
      <w:r>
        <w:rPr>
          <w:rFonts w:ascii="Segoe UI"/>
        </w:rPr>
        <w:t>Regional</w:t>
      </w:r>
      <w:r>
        <w:rPr>
          <w:rFonts w:ascii="Segoe UI"/>
          <w:spacing w:val="-3"/>
        </w:rPr>
        <w:t> </w:t>
      </w:r>
      <w:r>
        <w:rPr>
          <w:rFonts w:ascii="Segoe UI"/>
        </w:rPr>
        <w:t>Orthopaedics</w:t>
      </w:r>
      <w:r>
        <w:rPr>
          <w:rFonts w:ascii="Segoe UI"/>
          <w:spacing w:val="-6"/>
        </w:rPr>
        <w:t> </w:t>
      </w:r>
      <w:r>
        <w:rPr>
          <w:rFonts w:ascii="Segoe UI"/>
        </w:rPr>
        <w:t>Programme</w:t>
      </w:r>
      <w:r>
        <w:rPr>
          <w:rFonts w:ascii="Segoe UI"/>
          <w:spacing w:val="-5"/>
        </w:rPr>
        <w:t> </w:t>
      </w:r>
      <w:r>
        <w:rPr>
          <w:rFonts w:ascii="Segoe UI"/>
        </w:rPr>
        <w:t>has</w:t>
      </w:r>
      <w:r>
        <w:rPr>
          <w:rFonts w:ascii="Segoe UI"/>
          <w:spacing w:val="-6"/>
        </w:rPr>
        <w:t> </w:t>
      </w:r>
      <w:r>
        <w:rPr>
          <w:rFonts w:ascii="Segoe UI"/>
        </w:rPr>
        <w:t>focused</w:t>
      </w:r>
      <w:r>
        <w:rPr>
          <w:rFonts w:ascii="Segoe UI"/>
          <w:spacing w:val="-1"/>
        </w:rPr>
        <w:t> </w:t>
      </w:r>
      <w:r>
        <w:rPr>
          <w:rFonts w:ascii="Segoe UI"/>
        </w:rPr>
        <w:t>on</w:t>
      </w:r>
      <w:r>
        <w:rPr>
          <w:rFonts w:ascii="Segoe UI"/>
          <w:spacing w:val="-6"/>
        </w:rPr>
        <w:t> </w:t>
      </w:r>
      <w:r>
        <w:rPr>
          <w:rFonts w:ascii="Segoe UI"/>
        </w:rPr>
        <w:t>achieving</w:t>
      </w:r>
      <w:r>
        <w:rPr>
          <w:rFonts w:ascii="Segoe UI"/>
          <w:spacing w:val="-6"/>
        </w:rPr>
        <w:t> </w:t>
      </w:r>
      <w:r>
        <w:rPr>
          <w:rFonts w:ascii="Segoe UI"/>
        </w:rPr>
        <w:t>the Welsh Government 104-week waiting time target while simultaneously establishing the foundations required for regional working.</w:t>
      </w:r>
    </w:p>
    <w:p>
      <w:pPr>
        <w:pStyle w:val="BodyText"/>
        <w:spacing w:before="163"/>
        <w:ind w:left="1009" w:right="1086"/>
        <w:rPr>
          <w:rFonts w:ascii="Segoe UI"/>
        </w:rPr>
      </w:pPr>
      <w:r>
        <w:rPr>
          <w:rFonts w:ascii="Segoe UI"/>
        </w:rPr>
        <w:t>Clinical teams, operational teams and programme staff have successfully implemented a range</w:t>
      </w:r>
      <w:r>
        <w:rPr>
          <w:rFonts w:ascii="Segoe UI"/>
          <w:spacing w:val="-5"/>
        </w:rPr>
        <w:t> </w:t>
      </w:r>
      <w:r>
        <w:rPr>
          <w:rFonts w:ascii="Segoe UI"/>
        </w:rPr>
        <w:t>of</w:t>
      </w:r>
      <w:r>
        <w:rPr>
          <w:rFonts w:ascii="Segoe UI"/>
          <w:spacing w:val="-5"/>
        </w:rPr>
        <w:t> </w:t>
      </w:r>
      <w:r>
        <w:rPr>
          <w:rFonts w:ascii="Segoe UI"/>
        </w:rPr>
        <w:t>initiatives</w:t>
      </w:r>
      <w:r>
        <w:rPr>
          <w:rFonts w:ascii="Segoe UI"/>
          <w:spacing w:val="-2"/>
        </w:rPr>
        <w:t> </w:t>
      </w:r>
      <w:r>
        <w:rPr>
          <w:rFonts w:ascii="Segoe UI"/>
        </w:rPr>
        <w:t>that</w:t>
      </w:r>
      <w:r>
        <w:rPr>
          <w:rFonts w:ascii="Segoe UI"/>
          <w:spacing w:val="-1"/>
        </w:rPr>
        <w:t> </w:t>
      </w:r>
      <w:r>
        <w:rPr>
          <w:rFonts w:ascii="Segoe UI"/>
        </w:rPr>
        <w:t>have</w:t>
      </w:r>
      <w:r>
        <w:rPr>
          <w:rFonts w:ascii="Segoe UI"/>
          <w:spacing w:val="-5"/>
        </w:rPr>
        <w:t> </w:t>
      </w:r>
      <w:r>
        <w:rPr>
          <w:rFonts w:ascii="Segoe UI"/>
        </w:rPr>
        <w:t>improved</w:t>
      </w:r>
      <w:r>
        <w:rPr>
          <w:rFonts w:ascii="Segoe UI"/>
          <w:spacing w:val="-6"/>
        </w:rPr>
        <w:t> </w:t>
      </w:r>
      <w:r>
        <w:rPr>
          <w:rFonts w:ascii="Segoe UI"/>
        </w:rPr>
        <w:t>collaboration</w:t>
      </w:r>
      <w:r>
        <w:rPr>
          <w:rFonts w:ascii="Segoe UI"/>
          <w:spacing w:val="-6"/>
        </w:rPr>
        <w:t> </w:t>
      </w:r>
      <w:r>
        <w:rPr>
          <w:rFonts w:ascii="Segoe UI"/>
        </w:rPr>
        <w:t>across</w:t>
      </w:r>
      <w:r>
        <w:rPr>
          <w:rFonts w:ascii="Segoe UI"/>
          <w:spacing w:val="-6"/>
        </w:rPr>
        <w:t> </w:t>
      </w:r>
      <w:r>
        <w:rPr>
          <w:rFonts w:ascii="Segoe UI"/>
        </w:rPr>
        <w:t>South</w:t>
      </w:r>
      <w:r>
        <w:rPr>
          <w:rFonts w:ascii="Segoe UI"/>
          <w:spacing w:val="-5"/>
        </w:rPr>
        <w:t> </w:t>
      </w:r>
      <w:r>
        <w:rPr>
          <w:rFonts w:ascii="Segoe UI"/>
        </w:rPr>
        <w:t>West Wales</w:t>
      </w:r>
      <w:r>
        <w:rPr>
          <w:rFonts w:ascii="Segoe UI"/>
          <w:spacing w:val="-2"/>
        </w:rPr>
        <w:t> </w:t>
      </w:r>
      <w:r>
        <w:rPr>
          <w:rFonts w:ascii="Segoe UI"/>
        </w:rPr>
        <w:t>and</w:t>
      </w:r>
      <w:r>
        <w:rPr>
          <w:rFonts w:ascii="Segoe UI"/>
          <w:spacing w:val="-1"/>
        </w:rPr>
        <w:t> </w:t>
      </w:r>
      <w:r>
        <w:rPr>
          <w:rFonts w:ascii="Segoe UI"/>
        </w:rPr>
        <w:t>laid</w:t>
      </w:r>
      <w:r>
        <w:rPr>
          <w:rFonts w:ascii="Segoe UI"/>
          <w:spacing w:val="-6"/>
        </w:rPr>
        <w:t> </w:t>
      </w:r>
      <w:r>
        <w:rPr>
          <w:rFonts w:ascii="Segoe UI"/>
        </w:rPr>
        <w:t>the groundwork for future regional service delivery. Progress has included regional pathway development, introduction of shared ways of working, establishment of regional networks and enhanced operational coordination.</w:t>
      </w:r>
    </w:p>
    <w:p>
      <w:pPr>
        <w:pStyle w:val="BodyText"/>
        <w:spacing w:before="160"/>
        <w:ind w:left="1009" w:right="1557"/>
        <w:jc w:val="both"/>
        <w:rPr>
          <w:rFonts w:ascii="Segoe UI"/>
        </w:rPr>
      </w:pPr>
      <w:r>
        <w:rPr>
          <w:rFonts w:ascii="Segoe UI"/>
        </w:rPr>
        <w:t>Following</w:t>
      </w:r>
      <w:r>
        <w:rPr>
          <w:rFonts w:ascii="Segoe UI"/>
          <w:spacing w:val="-5"/>
        </w:rPr>
        <w:t> </w:t>
      </w:r>
      <w:r>
        <w:rPr>
          <w:rFonts w:ascii="Segoe UI"/>
        </w:rPr>
        <w:t>a</w:t>
      </w:r>
      <w:r>
        <w:rPr>
          <w:rFonts w:ascii="Segoe UI"/>
          <w:spacing w:val="-5"/>
        </w:rPr>
        <w:t> </w:t>
      </w:r>
      <w:r>
        <w:rPr>
          <w:rFonts w:ascii="Segoe UI"/>
        </w:rPr>
        <w:t>review</w:t>
      </w:r>
      <w:r>
        <w:rPr>
          <w:rFonts w:ascii="Segoe UI"/>
          <w:spacing w:val="-2"/>
        </w:rPr>
        <w:t> </w:t>
      </w:r>
      <w:r>
        <w:rPr>
          <w:rFonts w:ascii="Segoe UI"/>
        </w:rPr>
        <w:t>of</w:t>
      </w:r>
      <w:r>
        <w:rPr>
          <w:rFonts w:ascii="Segoe UI"/>
          <w:spacing w:val="-4"/>
        </w:rPr>
        <w:t> </w:t>
      </w:r>
      <w:r>
        <w:rPr>
          <w:rFonts w:ascii="Segoe UI"/>
        </w:rPr>
        <w:t>progress</w:t>
      </w:r>
      <w:r>
        <w:rPr>
          <w:rFonts w:ascii="Segoe UI"/>
          <w:spacing w:val="-5"/>
        </w:rPr>
        <w:t> </w:t>
      </w:r>
      <w:r>
        <w:rPr>
          <w:rFonts w:ascii="Segoe UI"/>
        </w:rPr>
        <w:t>and</w:t>
      </w:r>
      <w:r>
        <w:rPr>
          <w:rFonts w:ascii="Segoe UI"/>
          <w:spacing w:val="-5"/>
        </w:rPr>
        <w:t> </w:t>
      </w:r>
      <w:r>
        <w:rPr>
          <w:rFonts w:ascii="Segoe UI"/>
        </w:rPr>
        <w:t>consideration</w:t>
      </w:r>
      <w:r>
        <w:rPr>
          <w:rFonts w:ascii="Segoe UI"/>
          <w:spacing w:val="-4"/>
        </w:rPr>
        <w:t> </w:t>
      </w:r>
      <w:r>
        <w:rPr>
          <w:rFonts w:ascii="Segoe UI"/>
        </w:rPr>
        <w:t>of</w:t>
      </w:r>
      <w:r>
        <w:rPr>
          <w:rFonts w:ascii="Segoe UI"/>
          <w:spacing w:val="-4"/>
        </w:rPr>
        <w:t> </w:t>
      </w:r>
      <w:r>
        <w:rPr>
          <w:rFonts w:ascii="Segoe UI"/>
        </w:rPr>
        <w:t>emerging</w:t>
      </w:r>
      <w:r>
        <w:rPr>
          <w:rFonts w:ascii="Segoe UI"/>
          <w:spacing w:val="-5"/>
        </w:rPr>
        <w:t> </w:t>
      </w:r>
      <w:r>
        <w:rPr>
          <w:rFonts w:ascii="Segoe UI"/>
        </w:rPr>
        <w:t>national</w:t>
      </w:r>
      <w:r>
        <w:rPr>
          <w:rFonts w:ascii="Segoe UI"/>
          <w:spacing w:val="-2"/>
        </w:rPr>
        <w:t> </w:t>
      </w:r>
      <w:r>
        <w:rPr>
          <w:rFonts w:ascii="Segoe UI"/>
        </w:rPr>
        <w:t>policy</w:t>
      </w:r>
      <w:r>
        <w:rPr>
          <w:rFonts w:ascii="Segoe UI"/>
          <w:spacing w:val="-4"/>
        </w:rPr>
        <w:t> </w:t>
      </w:r>
      <w:r>
        <w:rPr>
          <w:rFonts w:ascii="Segoe UI"/>
        </w:rPr>
        <w:t>drivers,</w:t>
      </w:r>
      <w:r>
        <w:rPr>
          <w:rFonts w:ascii="Segoe UI"/>
          <w:spacing w:val="-5"/>
        </w:rPr>
        <w:t> </w:t>
      </w:r>
      <w:r>
        <w:rPr>
          <w:rFonts w:ascii="Segoe UI"/>
        </w:rPr>
        <w:t>the programme has</w:t>
      </w:r>
      <w:r>
        <w:rPr>
          <w:rFonts w:ascii="Segoe UI"/>
          <w:spacing w:val="-6"/>
        </w:rPr>
        <w:t> </w:t>
      </w:r>
      <w:r>
        <w:rPr>
          <w:rFonts w:ascii="Segoe UI"/>
        </w:rPr>
        <w:t>recognised</w:t>
      </w:r>
      <w:r>
        <w:rPr>
          <w:rFonts w:ascii="Segoe UI"/>
          <w:spacing w:val="-1"/>
        </w:rPr>
        <w:t> </w:t>
      </w:r>
      <w:r>
        <w:rPr>
          <w:rFonts w:ascii="Segoe UI"/>
        </w:rPr>
        <w:t>the</w:t>
      </w:r>
      <w:r>
        <w:rPr>
          <w:rFonts w:ascii="Segoe UI"/>
          <w:spacing w:val="-5"/>
        </w:rPr>
        <w:t> </w:t>
      </w:r>
      <w:r>
        <w:rPr>
          <w:rFonts w:ascii="Segoe UI"/>
        </w:rPr>
        <w:t>need</w:t>
      </w:r>
      <w:r>
        <w:rPr>
          <w:rFonts w:ascii="Segoe UI"/>
          <w:spacing w:val="-6"/>
        </w:rPr>
        <w:t> </w:t>
      </w:r>
      <w:r>
        <w:rPr>
          <w:rFonts w:ascii="Segoe UI"/>
        </w:rPr>
        <w:t>to be</w:t>
      </w:r>
      <w:r>
        <w:rPr>
          <w:rFonts w:ascii="Segoe UI"/>
          <w:spacing w:val="-5"/>
        </w:rPr>
        <w:t> </w:t>
      </w:r>
      <w:r>
        <w:rPr>
          <w:rFonts w:ascii="Segoe UI"/>
        </w:rPr>
        <w:t>more</w:t>
      </w:r>
      <w:r>
        <w:rPr>
          <w:rFonts w:ascii="Segoe UI"/>
          <w:spacing w:val="-5"/>
        </w:rPr>
        <w:t> </w:t>
      </w:r>
      <w:r>
        <w:rPr>
          <w:rFonts w:ascii="Segoe UI"/>
        </w:rPr>
        <w:t>ambitious.</w:t>
      </w:r>
      <w:r>
        <w:rPr>
          <w:rFonts w:ascii="Segoe UI"/>
          <w:spacing w:val="-1"/>
        </w:rPr>
        <w:t> </w:t>
      </w:r>
      <w:r>
        <w:rPr>
          <w:rFonts w:ascii="Segoe UI"/>
        </w:rPr>
        <w:t>This</w:t>
      </w:r>
      <w:r>
        <w:rPr>
          <w:rFonts w:ascii="Segoe UI"/>
          <w:spacing w:val="-6"/>
        </w:rPr>
        <w:t> </w:t>
      </w:r>
      <w:r>
        <w:rPr>
          <w:rFonts w:ascii="Segoe UI"/>
        </w:rPr>
        <w:t>PID</w:t>
      </w:r>
      <w:r>
        <w:rPr>
          <w:rFonts w:ascii="Segoe UI"/>
          <w:spacing w:val="-3"/>
        </w:rPr>
        <w:t> </w:t>
      </w:r>
      <w:r>
        <w:rPr>
          <w:rFonts w:ascii="Segoe UI"/>
        </w:rPr>
        <w:t>therefore marks</w:t>
      </w:r>
      <w:r>
        <w:rPr>
          <w:rFonts w:ascii="Segoe UI"/>
          <w:spacing w:val="-5"/>
        </w:rPr>
        <w:t> </w:t>
      </w:r>
      <w:r>
        <w:rPr>
          <w:rFonts w:ascii="Segoe UI"/>
        </w:rPr>
        <w:t>the beginning of a programme reset intended to refresh the evidence base.</w:t>
      </w:r>
    </w:p>
    <w:p>
      <w:pPr>
        <w:pStyle w:val="BodyText"/>
        <w:spacing w:before="158"/>
        <w:ind w:left="1009" w:right="1086"/>
        <w:rPr>
          <w:rFonts w:ascii="Segoe UI"/>
        </w:rPr>
      </w:pPr>
      <w:r>
        <w:rPr>
          <w:rFonts w:ascii="Segoe UI"/>
        </w:rPr>
        <w:t>Progress to date includes establishing the foundations for regional services and developing the</w:t>
      </w:r>
      <w:r>
        <w:rPr>
          <w:rFonts w:ascii="Segoe UI"/>
          <w:spacing w:val="-6"/>
        </w:rPr>
        <w:t> </w:t>
      </w:r>
      <w:r>
        <w:rPr>
          <w:rFonts w:ascii="Segoe UI"/>
        </w:rPr>
        <w:t>operational</w:t>
      </w:r>
      <w:r>
        <w:rPr>
          <w:rFonts w:ascii="Segoe UI"/>
          <w:spacing w:val="-4"/>
        </w:rPr>
        <w:t> </w:t>
      </w:r>
      <w:r>
        <w:rPr>
          <w:rFonts w:ascii="Segoe UI"/>
        </w:rPr>
        <w:t>arrangements</w:t>
      </w:r>
      <w:r>
        <w:rPr>
          <w:rFonts w:ascii="Segoe UI"/>
          <w:spacing w:val="-7"/>
        </w:rPr>
        <w:t> </w:t>
      </w:r>
      <w:r>
        <w:rPr>
          <w:rFonts w:ascii="Segoe UI"/>
        </w:rPr>
        <w:t>required</w:t>
      </w:r>
      <w:r>
        <w:rPr>
          <w:rFonts w:ascii="Segoe UI"/>
          <w:spacing w:val="-7"/>
        </w:rPr>
        <w:t> </w:t>
      </w:r>
      <w:r>
        <w:rPr>
          <w:rFonts w:ascii="Segoe UI"/>
        </w:rPr>
        <w:t>to</w:t>
      </w:r>
      <w:r>
        <w:rPr>
          <w:rFonts w:ascii="Segoe UI"/>
          <w:spacing w:val="-2"/>
        </w:rPr>
        <w:t> </w:t>
      </w:r>
      <w:r>
        <w:rPr>
          <w:rFonts w:ascii="Segoe UI"/>
        </w:rPr>
        <w:t>support</w:t>
      </w:r>
      <w:r>
        <w:rPr>
          <w:rFonts w:ascii="Segoe UI"/>
          <w:spacing w:val="-7"/>
        </w:rPr>
        <w:t> </w:t>
      </w:r>
      <w:r>
        <w:rPr>
          <w:rFonts w:ascii="Segoe UI"/>
        </w:rPr>
        <w:t>greater</w:t>
      </w:r>
      <w:r>
        <w:rPr>
          <w:rFonts w:ascii="Segoe UI"/>
          <w:spacing w:val="-4"/>
        </w:rPr>
        <w:t> </w:t>
      </w:r>
      <w:r>
        <w:rPr>
          <w:rFonts w:ascii="Segoe UI"/>
        </w:rPr>
        <w:t>collaboration</w:t>
      </w:r>
      <w:r>
        <w:rPr>
          <w:rFonts w:ascii="Segoe UI"/>
          <w:spacing w:val="-7"/>
        </w:rPr>
        <w:t> </w:t>
      </w:r>
      <w:r>
        <w:rPr>
          <w:rFonts w:ascii="Segoe UI"/>
        </w:rPr>
        <w:t>between</w:t>
      </w:r>
      <w:r>
        <w:rPr>
          <w:rFonts w:ascii="Segoe UI"/>
          <w:spacing w:val="-2"/>
        </w:rPr>
        <w:t> </w:t>
      </w:r>
      <w:r>
        <w:rPr>
          <w:rFonts w:ascii="Segoe UI"/>
        </w:rPr>
        <w:t>both</w:t>
      </w:r>
      <w:r>
        <w:rPr>
          <w:rFonts w:ascii="Segoe UI"/>
          <w:spacing w:val="-6"/>
        </w:rPr>
        <w:t> </w:t>
      </w:r>
      <w:r>
        <w:rPr>
          <w:rFonts w:ascii="Segoe UI"/>
        </w:rPr>
        <w:t>Health Boards; implementing regional arthroplasty SOP; adopting shared pathway approaches; recruiting to roles with regional responsibilities; establishing regular Regional Operations Group meetings, and developing regional clinical networks across a number of orthopaedic </w:t>
      </w:r>
      <w:r>
        <w:rPr>
          <w:rFonts w:ascii="Segoe UI"/>
          <w:spacing w:val="-2"/>
        </w:rPr>
        <w:t>sub-specialties.</w:t>
      </w:r>
    </w:p>
    <w:p>
      <w:pPr>
        <w:pStyle w:val="BodyText"/>
        <w:rPr>
          <w:rFonts w:ascii="Segoe UI"/>
          <w:sz w:val="16"/>
        </w:rPr>
      </w:pPr>
    </w:p>
    <w:p>
      <w:pPr>
        <w:pStyle w:val="BodyText"/>
        <w:rPr>
          <w:rFonts w:ascii="Segoe UI"/>
          <w:sz w:val="16"/>
        </w:rPr>
      </w:pPr>
    </w:p>
    <w:p>
      <w:pPr>
        <w:pStyle w:val="BodyText"/>
        <w:spacing w:before="153"/>
        <w:rPr>
          <w:rFonts w:ascii="Segoe U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20" name="Image 220"/>
            <wp:cNvGraphicFramePr>
              <a:graphicFrameLocks/>
            </wp:cNvGraphicFramePr>
            <a:graphic>
              <a:graphicData uri="http://schemas.openxmlformats.org/drawingml/2006/picture">
                <pic:pic>
                  <pic:nvPicPr>
                    <pic:cNvPr id="220" name="Image 220"/>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21" name="Image 221"/>
            <wp:cNvGraphicFramePr>
              <a:graphicFrameLocks/>
            </wp:cNvGraphicFramePr>
            <a:graphic>
              <a:graphicData uri="http://schemas.openxmlformats.org/drawingml/2006/picture">
                <pic:pic>
                  <pic:nvPicPr>
                    <pic:cNvPr id="221" name="Image 221"/>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59"/>
        <w:rPr>
          <w:rFonts w:ascii="Calibri"/>
        </w:rPr>
      </w:pPr>
    </w:p>
    <w:p>
      <w:pPr>
        <w:pStyle w:val="BodyText"/>
        <w:ind w:left="1009" w:right="1269"/>
        <w:rPr>
          <w:rFonts w:ascii="Segoe UI"/>
        </w:rPr>
      </w:pPr>
      <w:r>
        <w:rPr>
          <w:rFonts w:ascii="Segoe UI"/>
        </w:rPr>
        <w:t>Further progress has been made through cross-Health Board theatre activity, regional multidisciplinary working, shared approaches to patient preparation and risk stratification, and improved visibility of regional activity through the Regional Dashboard.</w:t>
      </w:r>
      <w:r>
        <w:rPr>
          <w:rFonts w:ascii="Segoe UI"/>
          <w:spacing w:val="40"/>
        </w:rPr>
        <w:t> </w:t>
      </w:r>
      <w:r>
        <w:rPr>
          <w:rFonts w:ascii="Segoe UI"/>
        </w:rPr>
        <w:t>Executive agreement in October 2025 on the strategic direction and guiding principles for regional orthopaedics provided a shared framework for the next phase of development, supporting continued</w:t>
      </w:r>
      <w:r>
        <w:rPr>
          <w:rFonts w:ascii="Segoe UI"/>
          <w:spacing w:val="-3"/>
        </w:rPr>
        <w:t> </w:t>
      </w:r>
      <w:r>
        <w:rPr>
          <w:rFonts w:ascii="Segoe UI"/>
        </w:rPr>
        <w:t>alignment</w:t>
      </w:r>
      <w:r>
        <w:rPr>
          <w:rFonts w:ascii="Segoe UI"/>
          <w:spacing w:val="-8"/>
        </w:rPr>
        <w:t> </w:t>
      </w:r>
      <w:r>
        <w:rPr>
          <w:rFonts w:ascii="Segoe UI"/>
        </w:rPr>
        <w:t>of</w:t>
      </w:r>
      <w:r>
        <w:rPr>
          <w:rFonts w:ascii="Segoe UI"/>
          <w:spacing w:val="-2"/>
        </w:rPr>
        <w:t> </w:t>
      </w:r>
      <w:r>
        <w:rPr>
          <w:rFonts w:ascii="Segoe UI"/>
        </w:rPr>
        <w:t>clinical</w:t>
      </w:r>
      <w:r>
        <w:rPr>
          <w:rFonts w:ascii="Segoe UI"/>
          <w:spacing w:val="-5"/>
        </w:rPr>
        <w:t> </w:t>
      </w:r>
      <w:r>
        <w:rPr>
          <w:rFonts w:ascii="Segoe UI"/>
        </w:rPr>
        <w:t>pathways,</w:t>
      </w:r>
      <w:r>
        <w:rPr>
          <w:rFonts w:ascii="Segoe UI"/>
          <w:spacing w:val="-4"/>
        </w:rPr>
        <w:t> </w:t>
      </w:r>
      <w:r>
        <w:rPr>
          <w:rFonts w:ascii="Segoe UI"/>
        </w:rPr>
        <w:t>workforce,</w:t>
      </w:r>
      <w:r>
        <w:rPr>
          <w:rFonts w:ascii="Segoe UI"/>
          <w:spacing w:val="-9"/>
        </w:rPr>
        <w:t> </w:t>
      </w:r>
      <w:r>
        <w:rPr>
          <w:rFonts w:ascii="Segoe UI"/>
        </w:rPr>
        <w:t>theatre</w:t>
      </w:r>
      <w:r>
        <w:rPr>
          <w:rFonts w:ascii="Segoe UI"/>
          <w:spacing w:val="-7"/>
        </w:rPr>
        <w:t> </w:t>
      </w:r>
      <w:r>
        <w:rPr>
          <w:rFonts w:ascii="Segoe UI"/>
        </w:rPr>
        <w:t>capacity,</w:t>
      </w:r>
      <w:r>
        <w:rPr>
          <w:rFonts w:ascii="Segoe UI"/>
          <w:spacing w:val="-8"/>
        </w:rPr>
        <w:t> </w:t>
      </w:r>
      <w:r>
        <w:rPr>
          <w:rFonts w:ascii="Segoe UI"/>
        </w:rPr>
        <w:t>demand</w:t>
      </w:r>
      <w:r>
        <w:rPr>
          <w:rFonts w:ascii="Segoe UI"/>
          <w:spacing w:val="-3"/>
        </w:rPr>
        <w:t> </w:t>
      </w:r>
      <w:r>
        <w:rPr>
          <w:rFonts w:ascii="Segoe UI"/>
        </w:rPr>
        <w:t>and</w:t>
      </w:r>
      <w:r>
        <w:rPr>
          <w:rFonts w:ascii="Segoe UI"/>
          <w:spacing w:val="-3"/>
        </w:rPr>
        <w:t> </w:t>
      </w:r>
      <w:r>
        <w:rPr>
          <w:rFonts w:ascii="Segoe UI"/>
        </w:rPr>
        <w:t>capacity planning, and regional performance oversight and is reflected in this PID.</w:t>
      </w:r>
    </w:p>
    <w:p>
      <w:pPr>
        <w:pStyle w:val="BodyText"/>
        <w:spacing w:before="163"/>
        <w:rPr>
          <w:rFonts w:ascii="Segoe UI"/>
        </w:rPr>
      </w:pPr>
    </w:p>
    <w:p>
      <w:pPr>
        <w:pStyle w:val="Heading3"/>
        <w:numPr>
          <w:ilvl w:val="2"/>
          <w:numId w:val="10"/>
        </w:numPr>
        <w:tabs>
          <w:tab w:pos="1009" w:val="left" w:leader="none"/>
        </w:tabs>
        <w:spacing w:line="240" w:lineRule="auto" w:before="0" w:after="0"/>
        <w:ind w:left="1009" w:right="0" w:hanging="565"/>
        <w:jc w:val="left"/>
      </w:pPr>
      <w:r>
        <w:rPr>
          <w:color w:val="1F4E79"/>
        </w:rPr>
        <w:t>Programme</w:t>
      </w:r>
      <w:r>
        <w:rPr>
          <w:color w:val="1F4E79"/>
          <w:spacing w:val="1"/>
        </w:rPr>
        <w:t> </w:t>
      </w:r>
      <w:r>
        <w:rPr>
          <w:color w:val="1F4E79"/>
        </w:rPr>
        <w:t>Ambition</w:t>
      </w:r>
      <w:r>
        <w:rPr>
          <w:color w:val="1F4E79"/>
          <w:spacing w:val="-4"/>
        </w:rPr>
        <w:t> </w:t>
      </w:r>
      <w:r>
        <w:rPr>
          <w:color w:val="1F4E79"/>
          <w:spacing w:val="-2"/>
        </w:rPr>
        <w:t>Statement</w:t>
      </w:r>
    </w:p>
    <w:p>
      <w:pPr>
        <w:pStyle w:val="BodyText"/>
        <w:spacing w:before="221"/>
        <w:ind w:left="1009" w:right="1423"/>
        <w:rPr>
          <w:rFonts w:ascii="Segoe UI"/>
        </w:rPr>
      </w:pPr>
      <w:r>
        <w:rPr>
          <w:rFonts w:ascii="Segoe UI"/>
        </w:rPr>
        <w:t>To</w:t>
      </w:r>
      <w:r>
        <w:rPr>
          <w:rFonts w:ascii="Segoe UI"/>
          <w:spacing w:val="-5"/>
        </w:rPr>
        <w:t> </w:t>
      </w:r>
      <w:r>
        <w:rPr>
          <w:rFonts w:ascii="Segoe UI"/>
        </w:rPr>
        <w:t>develop</w:t>
      </w:r>
      <w:r>
        <w:rPr>
          <w:rFonts w:ascii="Segoe UI"/>
          <w:spacing w:val="-6"/>
        </w:rPr>
        <w:t> </w:t>
      </w:r>
      <w:r>
        <w:rPr>
          <w:rFonts w:ascii="Segoe UI"/>
        </w:rPr>
        <w:t>a</w:t>
      </w:r>
      <w:r>
        <w:rPr>
          <w:rFonts w:ascii="Segoe UI"/>
          <w:spacing w:val="-2"/>
        </w:rPr>
        <w:t> </w:t>
      </w:r>
      <w:r>
        <w:rPr>
          <w:rFonts w:ascii="Segoe UI"/>
        </w:rPr>
        <w:t>clinically</w:t>
      </w:r>
      <w:r>
        <w:rPr>
          <w:rFonts w:ascii="Segoe UI"/>
          <w:spacing w:val="-5"/>
        </w:rPr>
        <w:t> </w:t>
      </w:r>
      <w:r>
        <w:rPr>
          <w:rFonts w:ascii="Segoe UI"/>
        </w:rPr>
        <w:t>led</w:t>
      </w:r>
      <w:r>
        <w:rPr>
          <w:rFonts w:ascii="Segoe UI"/>
          <w:spacing w:val="-6"/>
        </w:rPr>
        <w:t> </w:t>
      </w:r>
      <w:r>
        <w:rPr>
          <w:rFonts w:ascii="Segoe UI"/>
        </w:rPr>
        <w:t>regional</w:t>
      </w:r>
      <w:r>
        <w:rPr>
          <w:rFonts w:ascii="Segoe UI"/>
          <w:spacing w:val="-3"/>
        </w:rPr>
        <w:t> </w:t>
      </w:r>
      <w:r>
        <w:rPr>
          <w:rFonts w:ascii="Segoe UI"/>
        </w:rPr>
        <w:t>orthopaedic service</w:t>
      </w:r>
      <w:r>
        <w:rPr>
          <w:rFonts w:ascii="Segoe UI"/>
          <w:spacing w:val="-5"/>
        </w:rPr>
        <w:t> </w:t>
      </w:r>
      <w:r>
        <w:rPr>
          <w:rFonts w:ascii="Segoe UI"/>
        </w:rPr>
        <w:t>model</w:t>
      </w:r>
      <w:r>
        <w:rPr>
          <w:rFonts w:ascii="Segoe UI"/>
          <w:spacing w:val="-3"/>
        </w:rPr>
        <w:t> </w:t>
      </w:r>
      <w:r>
        <w:rPr>
          <w:rFonts w:ascii="Segoe UI"/>
        </w:rPr>
        <w:t>that</w:t>
      </w:r>
      <w:r>
        <w:rPr>
          <w:rFonts w:ascii="Segoe UI"/>
          <w:spacing w:val="-6"/>
        </w:rPr>
        <w:t> </w:t>
      </w:r>
      <w:r>
        <w:rPr>
          <w:rFonts w:ascii="Segoe UI"/>
        </w:rPr>
        <w:t>achieves</w:t>
      </w:r>
      <w:r>
        <w:rPr>
          <w:rFonts w:ascii="Segoe UI"/>
          <w:spacing w:val="-6"/>
        </w:rPr>
        <w:t> </w:t>
      </w:r>
      <w:r>
        <w:rPr>
          <w:rFonts w:ascii="Segoe UI"/>
        </w:rPr>
        <w:t>the</w:t>
      </w:r>
      <w:r>
        <w:rPr>
          <w:rFonts w:ascii="Segoe UI"/>
          <w:spacing w:val="-5"/>
        </w:rPr>
        <w:t> </w:t>
      </w:r>
      <w:r>
        <w:rPr>
          <w:rFonts w:ascii="Segoe UI"/>
        </w:rPr>
        <w:t>Ministerial 36-week waiting time target by 2030, responds positively to GIRFT, implements National Clinical Strategy for Orthopaedic Surgery recommendations, and establishes South-West Wales as a leading example of integrated regional orthopaedic care.</w:t>
      </w:r>
    </w:p>
    <w:p>
      <w:pPr>
        <w:pStyle w:val="BodyText"/>
        <w:spacing w:before="159"/>
        <w:rPr>
          <w:rFonts w:ascii="Segoe UI"/>
        </w:rPr>
      </w:pPr>
    </w:p>
    <w:p>
      <w:pPr>
        <w:pStyle w:val="Heading3"/>
        <w:numPr>
          <w:ilvl w:val="2"/>
          <w:numId w:val="10"/>
        </w:numPr>
        <w:tabs>
          <w:tab w:pos="1009" w:val="left" w:leader="none"/>
        </w:tabs>
        <w:spacing w:line="240" w:lineRule="auto" w:before="0" w:after="0"/>
        <w:ind w:left="1009" w:right="0" w:hanging="565"/>
        <w:jc w:val="left"/>
      </w:pPr>
      <w:r>
        <w:rPr>
          <w:color w:val="1F4E79"/>
        </w:rPr>
        <w:t>Desired</w:t>
      </w:r>
      <w:r>
        <w:rPr>
          <w:color w:val="1F4E79"/>
          <w:spacing w:val="-2"/>
        </w:rPr>
        <w:t> </w:t>
      </w:r>
      <w:r>
        <w:rPr>
          <w:color w:val="1F4E79"/>
        </w:rPr>
        <w:t>Programme</w:t>
      </w:r>
      <w:r>
        <w:rPr>
          <w:color w:val="1F4E79"/>
          <w:spacing w:val="-1"/>
        </w:rPr>
        <w:t> </w:t>
      </w:r>
      <w:r>
        <w:rPr>
          <w:color w:val="1F4E79"/>
        </w:rPr>
        <w:t>Outcomes</w:t>
      </w:r>
      <w:r>
        <w:rPr>
          <w:color w:val="1F4E79"/>
          <w:spacing w:val="1"/>
        </w:rPr>
        <w:t> </w:t>
      </w:r>
      <w:r>
        <w:rPr>
          <w:color w:val="1F4E79"/>
        </w:rPr>
        <w:t>-</w:t>
      </w:r>
      <w:r>
        <w:rPr>
          <w:color w:val="1F4E79"/>
          <w:spacing w:val="-7"/>
        </w:rPr>
        <w:t> </w:t>
      </w:r>
      <w:r>
        <w:rPr>
          <w:color w:val="1F4E79"/>
        </w:rPr>
        <w:t>Objectives</w:t>
      </w:r>
      <w:r>
        <w:rPr>
          <w:color w:val="1F4E79"/>
          <w:spacing w:val="-6"/>
        </w:rPr>
        <w:t> </w:t>
      </w:r>
      <w:r>
        <w:rPr>
          <w:color w:val="1F4E79"/>
        </w:rPr>
        <w:t>/</w:t>
      </w:r>
      <w:r>
        <w:rPr>
          <w:color w:val="1F4E79"/>
          <w:spacing w:val="2"/>
        </w:rPr>
        <w:t> </w:t>
      </w:r>
      <w:r>
        <w:rPr>
          <w:color w:val="1F4E79"/>
        </w:rPr>
        <w:t>Aims</w:t>
      </w:r>
      <w:r>
        <w:rPr>
          <w:color w:val="1F4E79"/>
          <w:spacing w:val="-6"/>
        </w:rPr>
        <w:t> </w:t>
      </w:r>
      <w:r>
        <w:rPr>
          <w:color w:val="1F4E79"/>
        </w:rPr>
        <w:t>/</w:t>
      </w:r>
      <w:r>
        <w:rPr>
          <w:color w:val="1F4E79"/>
          <w:spacing w:val="2"/>
        </w:rPr>
        <w:t> </w:t>
      </w:r>
      <w:r>
        <w:rPr>
          <w:color w:val="1F4E79"/>
          <w:spacing w:val="-2"/>
        </w:rPr>
        <w:t>Benefits</w:t>
      </w:r>
    </w:p>
    <w:p>
      <w:pPr>
        <w:spacing w:before="341"/>
        <w:ind w:left="1009" w:right="0" w:firstLine="0"/>
        <w:jc w:val="left"/>
        <w:rPr>
          <w:rFonts w:ascii="Segoe UI"/>
          <w:b/>
          <w:sz w:val="24"/>
        </w:rPr>
      </w:pPr>
      <w:r>
        <w:rPr>
          <w:rFonts w:ascii="Segoe UI"/>
          <w:b/>
          <w:sz w:val="24"/>
        </w:rPr>
        <w:t>Aims</w:t>
      </w:r>
      <w:r>
        <w:rPr>
          <w:rFonts w:ascii="Segoe UI"/>
          <w:b/>
          <w:spacing w:val="-2"/>
          <w:sz w:val="24"/>
        </w:rPr>
        <w:t> </w:t>
      </w:r>
      <w:r>
        <w:rPr>
          <w:rFonts w:ascii="Segoe UI"/>
          <w:b/>
          <w:sz w:val="24"/>
        </w:rPr>
        <w:t>and</w:t>
      </w:r>
      <w:r>
        <w:rPr>
          <w:rFonts w:ascii="Segoe UI"/>
          <w:b/>
          <w:spacing w:val="-1"/>
          <w:sz w:val="24"/>
        </w:rPr>
        <w:t> </w:t>
      </w:r>
      <w:r>
        <w:rPr>
          <w:rFonts w:ascii="Segoe UI"/>
          <w:b/>
          <w:spacing w:val="-2"/>
          <w:sz w:val="24"/>
        </w:rPr>
        <w:t>Objectives</w:t>
      </w:r>
    </w:p>
    <w:p>
      <w:pPr>
        <w:pStyle w:val="BodyText"/>
        <w:tabs>
          <w:tab w:pos="1729" w:val="left" w:leader="none"/>
        </w:tabs>
        <w:spacing w:line="317" w:lineRule="exact" w:before="281"/>
        <w:ind w:left="1369"/>
        <w:rPr>
          <w:rFonts w:ascii="Segoe UI" w:hAnsi="Segoe UI"/>
        </w:rPr>
      </w:pPr>
      <w:r>
        <w:rPr>
          <w:rFonts w:ascii="Calibri" w:hAnsi="Calibri"/>
          <w:spacing w:val="-10"/>
          <w:sz w:val="20"/>
        </w:rPr>
        <w:t>−</w:t>
      </w:r>
      <w:r>
        <w:rPr>
          <w:rFonts w:ascii="Calibri" w:hAnsi="Calibri"/>
          <w:sz w:val="20"/>
        </w:rPr>
        <w:tab/>
      </w:r>
      <w:r>
        <w:rPr>
          <w:rFonts w:ascii="Segoe UI" w:hAnsi="Segoe UI"/>
        </w:rPr>
        <w:t>Achieve</w:t>
      </w:r>
      <w:r>
        <w:rPr>
          <w:rFonts w:ascii="Segoe UI" w:hAnsi="Segoe UI"/>
          <w:spacing w:val="-6"/>
        </w:rPr>
        <w:t> </w:t>
      </w:r>
      <w:r>
        <w:rPr>
          <w:rFonts w:ascii="Segoe UI" w:hAnsi="Segoe UI"/>
        </w:rPr>
        <w:t>the</w:t>
      </w:r>
      <w:r>
        <w:rPr>
          <w:rFonts w:ascii="Segoe UI" w:hAnsi="Segoe UI"/>
          <w:spacing w:val="-3"/>
        </w:rPr>
        <w:t> </w:t>
      </w:r>
      <w:r>
        <w:rPr>
          <w:rFonts w:ascii="Segoe UI" w:hAnsi="Segoe UI"/>
        </w:rPr>
        <w:t>ministerial</w:t>
      </w:r>
      <w:r>
        <w:rPr>
          <w:rFonts w:ascii="Segoe UI" w:hAnsi="Segoe UI"/>
          <w:spacing w:val="-2"/>
        </w:rPr>
        <w:t> </w:t>
      </w:r>
      <w:r>
        <w:rPr>
          <w:rFonts w:ascii="Segoe UI" w:hAnsi="Segoe UI"/>
        </w:rPr>
        <w:t>ambition</w:t>
      </w:r>
      <w:r>
        <w:rPr>
          <w:rFonts w:ascii="Segoe UI" w:hAnsi="Segoe UI"/>
          <w:spacing w:val="-4"/>
        </w:rPr>
        <w:t> </w:t>
      </w:r>
      <w:r>
        <w:rPr>
          <w:rFonts w:ascii="Segoe UI" w:hAnsi="Segoe UI"/>
        </w:rPr>
        <w:t>of</w:t>
      </w:r>
      <w:r>
        <w:rPr>
          <w:rFonts w:ascii="Segoe UI" w:hAnsi="Segoe UI"/>
          <w:spacing w:val="-3"/>
        </w:rPr>
        <w:t> </w:t>
      </w:r>
      <w:r>
        <w:rPr>
          <w:rFonts w:ascii="Segoe UI" w:hAnsi="Segoe UI"/>
        </w:rPr>
        <w:t>36-week</w:t>
      </w:r>
      <w:r>
        <w:rPr>
          <w:rFonts w:ascii="Segoe UI" w:hAnsi="Segoe UI"/>
          <w:spacing w:val="-2"/>
        </w:rPr>
        <w:t> </w:t>
      </w:r>
      <w:r>
        <w:rPr>
          <w:rFonts w:ascii="Segoe UI" w:hAnsi="Segoe UI"/>
        </w:rPr>
        <w:t>waits</w:t>
      </w:r>
      <w:r>
        <w:rPr>
          <w:rFonts w:ascii="Segoe UI" w:hAnsi="Segoe UI"/>
          <w:spacing w:val="-4"/>
        </w:rPr>
        <w:t> </w:t>
      </w:r>
      <w:r>
        <w:rPr>
          <w:rFonts w:ascii="Segoe UI" w:hAnsi="Segoe UI"/>
        </w:rPr>
        <w:t>by</w:t>
      </w:r>
      <w:r>
        <w:rPr>
          <w:rFonts w:ascii="Segoe UI" w:hAnsi="Segoe UI"/>
          <w:spacing w:val="-3"/>
        </w:rPr>
        <w:t> </w:t>
      </w:r>
      <w:r>
        <w:rPr>
          <w:rFonts w:ascii="Segoe UI" w:hAnsi="Segoe UI"/>
          <w:spacing w:val="-2"/>
        </w:rPr>
        <w:t>2030.</w:t>
      </w:r>
    </w:p>
    <w:p>
      <w:pPr>
        <w:pStyle w:val="BodyText"/>
        <w:tabs>
          <w:tab w:pos="1729" w:val="left" w:leader="none"/>
        </w:tabs>
        <w:spacing w:line="317"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rPr>
        <w:t>Respond</w:t>
      </w:r>
      <w:r>
        <w:rPr>
          <w:rFonts w:ascii="Segoe UI" w:hAnsi="Segoe UI"/>
          <w:spacing w:val="-6"/>
        </w:rPr>
        <w:t> </w:t>
      </w:r>
      <w:r>
        <w:rPr>
          <w:rFonts w:ascii="Segoe UI" w:hAnsi="Segoe UI"/>
        </w:rPr>
        <w:t>positively</w:t>
      </w:r>
      <w:r>
        <w:rPr>
          <w:rFonts w:ascii="Segoe UI" w:hAnsi="Segoe UI"/>
          <w:spacing w:val="-5"/>
        </w:rPr>
        <w:t> </w:t>
      </w:r>
      <w:r>
        <w:rPr>
          <w:rFonts w:ascii="Segoe UI" w:hAnsi="Segoe UI"/>
        </w:rPr>
        <w:t>to</w:t>
      </w:r>
      <w:r>
        <w:rPr>
          <w:rFonts w:ascii="Segoe UI" w:hAnsi="Segoe UI"/>
          <w:spacing w:val="-5"/>
        </w:rPr>
        <w:t> </w:t>
      </w:r>
      <w:r>
        <w:rPr>
          <w:rFonts w:ascii="Segoe UI" w:hAnsi="Segoe UI"/>
        </w:rPr>
        <w:t>GIRFT</w:t>
      </w:r>
      <w:r>
        <w:rPr>
          <w:rFonts w:ascii="Segoe UI" w:hAnsi="Segoe UI"/>
          <w:spacing w:val="-5"/>
        </w:rPr>
        <w:t> </w:t>
      </w:r>
      <w:r>
        <w:rPr>
          <w:rFonts w:ascii="Segoe UI" w:hAnsi="Segoe UI"/>
          <w:spacing w:val="-2"/>
        </w:rPr>
        <w:t>recommendations.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Deliver</w:t>
      </w:r>
      <w:r>
        <w:rPr>
          <w:rFonts w:ascii="Segoe UI" w:hAnsi="Segoe UI"/>
          <w:spacing w:val="-3"/>
        </w:rPr>
        <w:t> </w:t>
      </w:r>
      <w:r>
        <w:rPr>
          <w:rFonts w:ascii="Segoe UI" w:hAnsi="Segoe UI"/>
        </w:rPr>
        <w:t>against</w:t>
      </w:r>
      <w:r>
        <w:rPr>
          <w:rFonts w:ascii="Segoe UI" w:hAnsi="Segoe UI"/>
          <w:spacing w:val="-5"/>
        </w:rPr>
        <w:t> </w:t>
      </w:r>
      <w:r>
        <w:rPr>
          <w:rFonts w:ascii="Segoe UI" w:hAnsi="Segoe UI"/>
        </w:rPr>
        <w:t>NCSOS</w:t>
      </w:r>
      <w:r>
        <w:rPr>
          <w:rFonts w:ascii="Segoe UI" w:hAnsi="Segoe UI"/>
          <w:spacing w:val="-1"/>
        </w:rPr>
        <w:t> </w:t>
      </w:r>
      <w:r>
        <w:rPr>
          <w:rFonts w:ascii="Segoe UI" w:hAnsi="Segoe UI"/>
          <w:spacing w:val="-2"/>
        </w:rPr>
        <w:t>recommendations.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Prepare</w:t>
      </w:r>
      <w:r>
        <w:rPr>
          <w:rFonts w:ascii="Segoe UI" w:hAnsi="Segoe UI"/>
          <w:spacing w:val="-6"/>
        </w:rPr>
        <w:t> </w:t>
      </w:r>
      <w:r>
        <w:rPr>
          <w:rFonts w:ascii="Segoe UI" w:hAnsi="Segoe UI"/>
        </w:rPr>
        <w:t>for</w:t>
      </w:r>
      <w:r>
        <w:rPr>
          <w:rFonts w:ascii="Segoe UI" w:hAnsi="Segoe UI"/>
          <w:spacing w:val="-3"/>
        </w:rPr>
        <w:t> </w:t>
      </w:r>
      <w:r>
        <w:rPr>
          <w:rFonts w:ascii="Segoe UI" w:hAnsi="Segoe UI"/>
        </w:rPr>
        <w:t>regional</w:t>
      </w:r>
      <w:r>
        <w:rPr>
          <w:rFonts w:ascii="Segoe UI" w:hAnsi="Segoe UI"/>
          <w:spacing w:val="-4"/>
        </w:rPr>
        <w:t> </w:t>
      </w:r>
      <w:r>
        <w:rPr>
          <w:rFonts w:ascii="Segoe UI" w:hAnsi="Segoe UI"/>
        </w:rPr>
        <w:t>surgical</w:t>
      </w:r>
      <w:r>
        <w:rPr>
          <w:rFonts w:ascii="Segoe UI" w:hAnsi="Segoe UI"/>
          <w:spacing w:val="-3"/>
        </w:rPr>
        <w:t> </w:t>
      </w:r>
      <w:r>
        <w:rPr>
          <w:rFonts w:ascii="Segoe UI" w:hAnsi="Segoe UI"/>
        </w:rPr>
        <w:t>hub</w:t>
      </w:r>
      <w:r>
        <w:rPr>
          <w:rFonts w:ascii="Segoe UI" w:hAnsi="Segoe UI"/>
          <w:spacing w:val="-1"/>
        </w:rPr>
        <w:t> </w:t>
      </w:r>
      <w:r>
        <w:rPr>
          <w:rFonts w:ascii="Segoe UI" w:hAnsi="Segoe UI"/>
          <w:spacing w:val="-2"/>
        </w:rPr>
        <w:t>developments.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Develop</w:t>
      </w:r>
      <w:r>
        <w:rPr>
          <w:rFonts w:ascii="Segoe UI" w:hAnsi="Segoe UI"/>
          <w:spacing w:val="-8"/>
        </w:rPr>
        <w:t> </w:t>
      </w:r>
      <w:r>
        <w:rPr>
          <w:rFonts w:ascii="Segoe UI" w:hAnsi="Segoe UI"/>
        </w:rPr>
        <w:t>a</w:t>
      </w:r>
      <w:r>
        <w:rPr>
          <w:rFonts w:ascii="Segoe UI" w:hAnsi="Segoe UI"/>
          <w:spacing w:val="-6"/>
        </w:rPr>
        <w:t> </w:t>
      </w:r>
      <w:r>
        <w:rPr>
          <w:rFonts w:ascii="Segoe UI" w:hAnsi="Segoe UI"/>
        </w:rPr>
        <w:t>long-term clinically</w:t>
      </w:r>
      <w:r>
        <w:rPr>
          <w:rFonts w:ascii="Segoe UI" w:hAnsi="Segoe UI"/>
          <w:spacing w:val="-5"/>
        </w:rPr>
        <w:t> </w:t>
      </w:r>
      <w:r>
        <w:rPr>
          <w:rFonts w:ascii="Segoe UI" w:hAnsi="Segoe UI"/>
        </w:rPr>
        <w:t>led</w:t>
      </w:r>
      <w:r>
        <w:rPr>
          <w:rFonts w:ascii="Segoe UI" w:hAnsi="Segoe UI"/>
          <w:spacing w:val="-5"/>
        </w:rPr>
        <w:t> </w:t>
      </w:r>
      <w:r>
        <w:rPr>
          <w:rFonts w:ascii="Segoe UI" w:hAnsi="Segoe UI"/>
        </w:rPr>
        <w:t>regional</w:t>
      </w:r>
      <w:r>
        <w:rPr>
          <w:rFonts w:ascii="Segoe UI" w:hAnsi="Segoe UI"/>
          <w:spacing w:val="-3"/>
        </w:rPr>
        <w:t> </w:t>
      </w:r>
      <w:r>
        <w:rPr>
          <w:rFonts w:ascii="Segoe UI" w:hAnsi="Segoe UI"/>
        </w:rPr>
        <w:t>orthopaedic</w:t>
      </w:r>
      <w:r>
        <w:rPr>
          <w:rFonts w:ascii="Segoe UI" w:hAnsi="Segoe UI"/>
          <w:spacing w:val="-4"/>
        </w:rPr>
        <w:t> </w:t>
      </w:r>
      <w:r>
        <w:rPr>
          <w:rFonts w:ascii="Segoe UI" w:hAnsi="Segoe UI"/>
          <w:spacing w:val="-2"/>
        </w:rPr>
        <w:t>model.</w:t>
      </w:r>
    </w:p>
    <w:p>
      <w:pPr>
        <w:spacing w:before="281"/>
        <w:ind w:left="1009" w:right="0" w:firstLine="0"/>
        <w:jc w:val="left"/>
        <w:rPr>
          <w:rFonts w:ascii="Segoe UI"/>
          <w:b/>
          <w:sz w:val="24"/>
        </w:rPr>
      </w:pPr>
      <w:r>
        <w:rPr>
          <w:rFonts w:ascii="Segoe UI"/>
          <w:b/>
          <w:sz w:val="24"/>
        </w:rPr>
        <w:t>Patient</w:t>
      </w:r>
      <w:r>
        <w:rPr>
          <w:rFonts w:ascii="Segoe UI"/>
          <w:b/>
          <w:spacing w:val="-2"/>
          <w:sz w:val="24"/>
        </w:rPr>
        <w:t> Benefits</w:t>
      </w:r>
    </w:p>
    <w:p>
      <w:pPr>
        <w:pStyle w:val="BodyText"/>
        <w:tabs>
          <w:tab w:pos="1729" w:val="left" w:leader="none"/>
        </w:tabs>
        <w:spacing w:line="317" w:lineRule="exact" w:before="281"/>
        <w:ind w:left="1369"/>
        <w:rPr>
          <w:rFonts w:ascii="Segoe UI" w:hAnsi="Segoe UI"/>
        </w:rPr>
      </w:pPr>
      <w:r>
        <w:rPr>
          <w:rFonts w:ascii="Calibri" w:hAnsi="Calibri"/>
          <w:spacing w:val="-10"/>
          <w:sz w:val="20"/>
        </w:rPr>
        <w:t>−</w:t>
      </w:r>
      <w:r>
        <w:rPr>
          <w:rFonts w:ascii="Calibri" w:hAnsi="Calibri"/>
          <w:sz w:val="20"/>
        </w:rPr>
        <w:tab/>
      </w:r>
      <w:r>
        <w:rPr>
          <w:rFonts w:ascii="Segoe UI" w:hAnsi="Segoe UI"/>
        </w:rPr>
        <w:t>Reduced</w:t>
      </w:r>
      <w:r>
        <w:rPr>
          <w:rFonts w:ascii="Segoe UI" w:hAnsi="Segoe UI"/>
          <w:spacing w:val="-6"/>
        </w:rPr>
        <w:t> </w:t>
      </w:r>
      <w:r>
        <w:rPr>
          <w:rFonts w:ascii="Segoe UI" w:hAnsi="Segoe UI"/>
        </w:rPr>
        <w:t>waiting</w:t>
      </w:r>
      <w:r>
        <w:rPr>
          <w:rFonts w:ascii="Segoe UI" w:hAnsi="Segoe UI"/>
          <w:spacing w:val="-6"/>
        </w:rPr>
        <w:t> </w:t>
      </w:r>
      <w:r>
        <w:rPr>
          <w:rFonts w:ascii="Segoe UI" w:hAnsi="Segoe UI"/>
          <w:spacing w:val="-2"/>
        </w:rPr>
        <w:t>times.</w:t>
      </w:r>
    </w:p>
    <w:p>
      <w:pPr>
        <w:pStyle w:val="BodyText"/>
        <w:tabs>
          <w:tab w:pos="1729" w:val="left" w:leader="none"/>
        </w:tabs>
        <w:spacing w:line="317"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rPr>
        <w:t>Improved</w:t>
      </w:r>
      <w:r>
        <w:rPr>
          <w:rFonts w:ascii="Segoe UI" w:hAnsi="Segoe UI"/>
          <w:spacing w:val="-5"/>
        </w:rPr>
        <w:t> </w:t>
      </w:r>
      <w:r>
        <w:rPr>
          <w:rFonts w:ascii="Segoe UI" w:hAnsi="Segoe UI"/>
        </w:rPr>
        <w:t>and</w:t>
      </w:r>
      <w:r>
        <w:rPr>
          <w:rFonts w:ascii="Segoe UI" w:hAnsi="Segoe UI"/>
          <w:spacing w:val="-6"/>
        </w:rPr>
        <w:t> </w:t>
      </w:r>
      <w:r>
        <w:rPr>
          <w:rFonts w:ascii="Segoe UI" w:hAnsi="Segoe UI"/>
        </w:rPr>
        <w:t>equitable</w:t>
      </w:r>
      <w:r>
        <w:rPr>
          <w:rFonts w:ascii="Segoe UI" w:hAnsi="Segoe UI"/>
          <w:spacing w:val="-2"/>
        </w:rPr>
        <w:t> </w:t>
      </w:r>
      <w:r>
        <w:rPr>
          <w:rFonts w:ascii="Segoe UI" w:hAnsi="Segoe UI"/>
        </w:rPr>
        <w:t>access</w:t>
      </w:r>
      <w:r>
        <w:rPr>
          <w:rFonts w:ascii="Segoe UI" w:hAnsi="Segoe UI"/>
          <w:spacing w:val="-1"/>
        </w:rPr>
        <w:t> </w:t>
      </w:r>
      <w:r>
        <w:rPr>
          <w:rFonts w:ascii="Segoe UI" w:hAnsi="Segoe UI"/>
        </w:rPr>
        <w:t>to</w:t>
      </w:r>
      <w:r>
        <w:rPr>
          <w:rFonts w:ascii="Segoe UI" w:hAnsi="Segoe UI"/>
          <w:spacing w:val="-4"/>
        </w:rPr>
        <w:t> </w:t>
      </w:r>
      <w:r>
        <w:rPr>
          <w:rFonts w:ascii="Segoe UI" w:hAnsi="Segoe UI"/>
          <w:spacing w:val="-2"/>
        </w:rPr>
        <w:t>services.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Consistent</w:t>
      </w:r>
      <w:r>
        <w:rPr>
          <w:rFonts w:ascii="Segoe UI" w:hAnsi="Segoe UI"/>
          <w:spacing w:val="-8"/>
        </w:rPr>
        <w:t> </w:t>
      </w:r>
      <w:r>
        <w:rPr>
          <w:rFonts w:ascii="Segoe UI" w:hAnsi="Segoe UI"/>
        </w:rPr>
        <w:t>clinical</w:t>
      </w:r>
      <w:r>
        <w:rPr>
          <w:rFonts w:ascii="Segoe UI" w:hAnsi="Segoe UI"/>
          <w:spacing w:val="-5"/>
        </w:rPr>
        <w:t> </w:t>
      </w:r>
      <w:r>
        <w:rPr>
          <w:rFonts w:ascii="Segoe UI" w:hAnsi="Segoe UI"/>
        </w:rPr>
        <w:t>standards</w:t>
      </w:r>
      <w:r>
        <w:rPr>
          <w:rFonts w:ascii="Segoe UI" w:hAnsi="Segoe UI"/>
          <w:spacing w:val="-3"/>
        </w:rPr>
        <w:t> </w:t>
      </w:r>
      <w:r>
        <w:rPr>
          <w:rFonts w:ascii="Segoe UI" w:hAnsi="Segoe UI"/>
        </w:rPr>
        <w:t>across</w:t>
      </w:r>
      <w:r>
        <w:rPr>
          <w:rFonts w:ascii="Segoe UI" w:hAnsi="Segoe UI"/>
          <w:spacing w:val="-4"/>
        </w:rPr>
        <w:t> </w:t>
      </w:r>
      <w:r>
        <w:rPr>
          <w:rFonts w:ascii="Segoe UI" w:hAnsi="Segoe UI"/>
        </w:rPr>
        <w:t>the</w:t>
      </w:r>
      <w:r>
        <w:rPr>
          <w:rFonts w:ascii="Segoe UI" w:hAnsi="Segoe UI"/>
          <w:spacing w:val="-6"/>
        </w:rPr>
        <w:t> </w:t>
      </w:r>
      <w:r>
        <w:rPr>
          <w:rFonts w:ascii="Segoe UI" w:hAnsi="Segoe UI"/>
          <w:spacing w:val="-2"/>
        </w:rPr>
        <w:t>region.</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Reduced</w:t>
      </w:r>
      <w:r>
        <w:rPr>
          <w:rFonts w:ascii="Segoe UI" w:hAnsi="Segoe UI"/>
          <w:spacing w:val="-5"/>
        </w:rPr>
        <w:t> </w:t>
      </w:r>
      <w:r>
        <w:rPr>
          <w:rFonts w:ascii="Segoe UI" w:hAnsi="Segoe UI"/>
        </w:rPr>
        <w:t>unwarranted</w:t>
      </w:r>
      <w:r>
        <w:rPr>
          <w:rFonts w:ascii="Segoe UI" w:hAnsi="Segoe UI"/>
          <w:spacing w:val="-3"/>
        </w:rPr>
        <w:t> </w:t>
      </w:r>
      <w:r>
        <w:rPr>
          <w:rFonts w:ascii="Segoe UI" w:hAnsi="Segoe UI"/>
        </w:rPr>
        <w:t>variation</w:t>
      </w:r>
      <w:r>
        <w:rPr>
          <w:rFonts w:ascii="Segoe UI" w:hAnsi="Segoe UI"/>
          <w:spacing w:val="-5"/>
        </w:rPr>
        <w:t> </w:t>
      </w:r>
      <w:r>
        <w:rPr>
          <w:rFonts w:ascii="Segoe UI" w:hAnsi="Segoe UI"/>
        </w:rPr>
        <w:t>in</w:t>
      </w:r>
      <w:r>
        <w:rPr>
          <w:rFonts w:ascii="Segoe UI" w:hAnsi="Segoe UI"/>
          <w:spacing w:val="-3"/>
        </w:rPr>
        <w:t> </w:t>
      </w:r>
      <w:r>
        <w:rPr>
          <w:rFonts w:ascii="Segoe UI" w:hAnsi="Segoe UI"/>
          <w:spacing w:val="-2"/>
        </w:rPr>
        <w:t>treatment.</w:t>
      </w:r>
    </w:p>
    <w:p>
      <w:pPr>
        <w:pStyle w:val="BodyText"/>
        <w:tabs>
          <w:tab w:pos="1729" w:val="left" w:leader="none"/>
        </w:tabs>
        <w:spacing w:before="1"/>
        <w:ind w:left="1730" w:right="1839" w:hanging="361"/>
        <w:rPr>
          <w:rFonts w:ascii="Segoe UI" w:hAnsi="Segoe UI"/>
        </w:rPr>
      </w:pPr>
      <w:r>
        <w:rPr>
          <w:rFonts w:ascii="Calibri" w:hAnsi="Calibri"/>
          <w:spacing w:val="-10"/>
          <w:sz w:val="20"/>
        </w:rPr>
        <w:t>−</w:t>
      </w:r>
      <w:r>
        <w:rPr>
          <w:rFonts w:ascii="Calibri" w:hAnsi="Calibri"/>
          <w:sz w:val="20"/>
        </w:rPr>
        <w:tab/>
      </w:r>
      <w:r>
        <w:rPr>
          <w:rFonts w:ascii="Segoe UI" w:hAnsi="Segoe UI"/>
        </w:rPr>
        <w:t>Improving</w:t>
      </w:r>
      <w:r>
        <w:rPr>
          <w:rFonts w:ascii="Segoe UI" w:hAnsi="Segoe UI"/>
          <w:spacing w:val="-7"/>
        </w:rPr>
        <w:t> </w:t>
      </w:r>
      <w:r>
        <w:rPr>
          <w:rFonts w:ascii="Segoe UI" w:hAnsi="Segoe UI"/>
        </w:rPr>
        <w:t>transparency,</w:t>
      </w:r>
      <w:r>
        <w:rPr>
          <w:rFonts w:ascii="Segoe UI" w:hAnsi="Segoe UI"/>
          <w:spacing w:val="-7"/>
        </w:rPr>
        <w:t> </w:t>
      </w:r>
      <w:r>
        <w:rPr>
          <w:rFonts w:ascii="Segoe UI" w:hAnsi="Segoe UI"/>
        </w:rPr>
        <w:t>communication,</w:t>
      </w:r>
      <w:r>
        <w:rPr>
          <w:rFonts w:ascii="Segoe UI" w:hAnsi="Segoe UI"/>
          <w:spacing w:val="-7"/>
        </w:rPr>
        <w:t> </w:t>
      </w:r>
      <w:r>
        <w:rPr>
          <w:rFonts w:ascii="Segoe UI" w:hAnsi="Segoe UI"/>
        </w:rPr>
        <w:t>and</w:t>
      </w:r>
      <w:r>
        <w:rPr>
          <w:rFonts w:ascii="Segoe UI" w:hAnsi="Segoe UI"/>
          <w:spacing w:val="-7"/>
        </w:rPr>
        <w:t> </w:t>
      </w:r>
      <w:r>
        <w:rPr>
          <w:rFonts w:ascii="Segoe UI" w:hAnsi="Segoe UI"/>
        </w:rPr>
        <w:t>outcomes</w:t>
      </w:r>
      <w:r>
        <w:rPr>
          <w:rFonts w:ascii="Segoe UI" w:hAnsi="Segoe UI"/>
          <w:spacing w:val="-7"/>
        </w:rPr>
        <w:t> </w:t>
      </w:r>
      <w:r>
        <w:rPr>
          <w:rFonts w:ascii="Segoe UI" w:hAnsi="Segoe UI"/>
        </w:rPr>
        <w:t>throughout</w:t>
      </w:r>
      <w:r>
        <w:rPr>
          <w:rFonts w:ascii="Segoe UI" w:hAnsi="Segoe UI"/>
          <w:spacing w:val="-7"/>
        </w:rPr>
        <w:t> </w:t>
      </w:r>
      <w:r>
        <w:rPr>
          <w:rFonts w:ascii="Segoe UI" w:hAnsi="Segoe UI"/>
        </w:rPr>
        <w:t>the</w:t>
      </w:r>
      <w:r>
        <w:rPr>
          <w:rFonts w:ascii="Segoe UI" w:hAnsi="Segoe UI"/>
          <w:spacing w:val="-6"/>
        </w:rPr>
        <w:t> </w:t>
      </w:r>
      <w:r>
        <w:rPr>
          <w:rFonts w:ascii="Segoe UI" w:hAnsi="Segoe UI"/>
        </w:rPr>
        <w:t>patient </w:t>
      </w:r>
      <w:r>
        <w:rPr>
          <w:rFonts w:ascii="Segoe UI" w:hAnsi="Segoe UI"/>
          <w:spacing w:val="-2"/>
        </w:rPr>
        <w:t>journey.</w:t>
      </w:r>
    </w:p>
    <w:p>
      <w:pPr>
        <w:spacing w:before="281"/>
        <w:ind w:left="1009" w:right="0" w:firstLine="0"/>
        <w:jc w:val="left"/>
        <w:rPr>
          <w:rFonts w:ascii="Segoe UI"/>
          <w:b/>
          <w:sz w:val="24"/>
        </w:rPr>
      </w:pPr>
      <w:r>
        <w:rPr>
          <w:rFonts w:ascii="Segoe UI"/>
          <w:b/>
          <w:sz w:val="24"/>
        </w:rPr>
        <w:t>Clinical</w:t>
      </w:r>
      <w:r>
        <w:rPr>
          <w:rFonts w:ascii="Segoe UI"/>
          <w:b/>
          <w:spacing w:val="-5"/>
          <w:sz w:val="24"/>
        </w:rPr>
        <w:t> </w:t>
      </w:r>
      <w:r>
        <w:rPr>
          <w:rFonts w:ascii="Segoe UI"/>
          <w:b/>
          <w:spacing w:val="-2"/>
          <w:sz w:val="24"/>
        </w:rPr>
        <w:t>Benefits</w:t>
      </w:r>
    </w:p>
    <w:p>
      <w:pPr>
        <w:pStyle w:val="BodyText"/>
        <w:tabs>
          <w:tab w:pos="1729" w:val="left" w:leader="none"/>
        </w:tabs>
        <w:spacing w:before="277"/>
        <w:ind w:left="1369"/>
        <w:rPr>
          <w:rFonts w:ascii="Segoe UI" w:hAnsi="Segoe UI"/>
        </w:rPr>
      </w:pPr>
      <w:r>
        <w:rPr>
          <w:rFonts w:ascii="Calibri" w:hAnsi="Calibri"/>
          <w:spacing w:val="-10"/>
          <w:sz w:val="20"/>
        </w:rPr>
        <w:t>−</w:t>
      </w:r>
      <w:r>
        <w:rPr>
          <w:rFonts w:ascii="Calibri" w:hAnsi="Calibri"/>
          <w:sz w:val="20"/>
        </w:rPr>
        <w:tab/>
      </w:r>
      <w:r>
        <w:rPr>
          <w:rFonts w:ascii="Segoe UI" w:hAnsi="Segoe UI"/>
        </w:rPr>
        <w:t>Increased</w:t>
      </w:r>
      <w:r>
        <w:rPr>
          <w:rFonts w:ascii="Segoe UI" w:hAnsi="Segoe UI"/>
          <w:spacing w:val="-6"/>
        </w:rPr>
        <w:t> </w:t>
      </w:r>
      <w:r>
        <w:rPr>
          <w:rFonts w:ascii="Segoe UI" w:hAnsi="Segoe UI"/>
        </w:rPr>
        <w:t>regional</w:t>
      </w:r>
      <w:r>
        <w:rPr>
          <w:rFonts w:ascii="Segoe UI" w:hAnsi="Segoe UI"/>
          <w:spacing w:val="-3"/>
        </w:rPr>
        <w:t> </w:t>
      </w:r>
      <w:r>
        <w:rPr>
          <w:rFonts w:ascii="Segoe UI" w:hAnsi="Segoe UI"/>
          <w:spacing w:val="-2"/>
        </w:rPr>
        <w:t>collaboration.</w:t>
      </w:r>
    </w:p>
    <w:p>
      <w:pPr>
        <w:pStyle w:val="BodyText"/>
        <w:tabs>
          <w:tab w:pos="1729" w:val="left" w:leader="none"/>
        </w:tabs>
        <w:ind w:left="1369"/>
        <w:rPr>
          <w:rFonts w:ascii="Segoe UI" w:hAnsi="Segoe UI"/>
        </w:rPr>
      </w:pPr>
      <w:r>
        <w:rPr>
          <w:rFonts w:ascii="Calibri" w:hAnsi="Calibri"/>
          <w:spacing w:val="-10"/>
          <w:sz w:val="20"/>
        </w:rPr>
        <w:t>−</w:t>
      </w:r>
      <w:r>
        <w:rPr>
          <w:rFonts w:ascii="Calibri" w:hAnsi="Calibri"/>
          <w:sz w:val="20"/>
        </w:rPr>
        <w:tab/>
      </w:r>
      <w:r>
        <w:rPr>
          <w:rFonts w:ascii="Segoe UI" w:hAnsi="Segoe UI"/>
        </w:rPr>
        <w:t>Improved</w:t>
      </w:r>
      <w:r>
        <w:rPr>
          <w:rFonts w:ascii="Segoe UI" w:hAnsi="Segoe UI"/>
          <w:spacing w:val="-7"/>
        </w:rPr>
        <w:t> </w:t>
      </w:r>
      <w:r>
        <w:rPr>
          <w:rFonts w:ascii="Segoe UI" w:hAnsi="Segoe UI"/>
        </w:rPr>
        <w:t>access</w:t>
      </w:r>
      <w:r>
        <w:rPr>
          <w:rFonts w:ascii="Segoe UI" w:hAnsi="Segoe UI"/>
          <w:spacing w:val="-2"/>
        </w:rPr>
        <w:t> </w:t>
      </w:r>
      <w:r>
        <w:rPr>
          <w:rFonts w:ascii="Segoe UI" w:hAnsi="Segoe UI"/>
        </w:rPr>
        <w:t>to</w:t>
      </w:r>
      <w:r>
        <w:rPr>
          <w:rFonts w:ascii="Segoe UI" w:hAnsi="Segoe UI"/>
          <w:spacing w:val="-6"/>
        </w:rPr>
        <w:t> </w:t>
      </w:r>
      <w:r>
        <w:rPr>
          <w:rFonts w:ascii="Segoe UI" w:hAnsi="Segoe UI"/>
        </w:rPr>
        <w:t>specialist</w:t>
      </w:r>
      <w:r>
        <w:rPr>
          <w:rFonts w:ascii="Segoe UI" w:hAnsi="Segoe UI"/>
          <w:spacing w:val="-6"/>
        </w:rPr>
        <w:t> </w:t>
      </w:r>
      <w:r>
        <w:rPr>
          <w:rFonts w:ascii="Segoe UI" w:hAnsi="Segoe UI"/>
          <w:spacing w:val="-2"/>
        </w:rPr>
        <w:t>expertise.</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Enhanced</w:t>
      </w:r>
      <w:r>
        <w:rPr>
          <w:rFonts w:ascii="Segoe UI" w:hAnsi="Segoe UI"/>
          <w:spacing w:val="-10"/>
        </w:rPr>
        <w:t> </w:t>
      </w:r>
      <w:r>
        <w:rPr>
          <w:rFonts w:ascii="Segoe UI" w:hAnsi="Segoe UI"/>
        </w:rPr>
        <w:t>multidisciplinary</w:t>
      </w:r>
      <w:r>
        <w:rPr>
          <w:rFonts w:ascii="Segoe UI" w:hAnsi="Segoe UI"/>
          <w:spacing w:val="-9"/>
        </w:rPr>
        <w:t> </w:t>
      </w:r>
      <w:r>
        <w:rPr>
          <w:rFonts w:ascii="Segoe UI" w:hAnsi="Segoe UI"/>
          <w:spacing w:val="-2"/>
        </w:rPr>
        <w:t>working.</w:t>
      </w:r>
    </w:p>
    <w:p>
      <w:pPr>
        <w:pStyle w:val="BodyText"/>
        <w:rPr>
          <w:rFonts w:ascii="Segoe UI"/>
          <w:sz w:val="16"/>
        </w:rPr>
      </w:pPr>
    </w:p>
    <w:p>
      <w:pPr>
        <w:pStyle w:val="BodyText"/>
        <w:rPr>
          <w:rFonts w:ascii="Segoe UI"/>
          <w:sz w:val="16"/>
        </w:rPr>
      </w:pPr>
    </w:p>
    <w:p>
      <w:pPr>
        <w:pStyle w:val="BodyText"/>
        <w:spacing w:before="70"/>
        <w:rPr>
          <w:rFonts w:ascii="Segoe U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22" name="Image 222"/>
            <wp:cNvGraphicFramePr>
              <a:graphicFrameLocks/>
            </wp:cNvGraphicFramePr>
            <a:graphic>
              <a:graphicData uri="http://schemas.openxmlformats.org/drawingml/2006/picture">
                <pic:pic>
                  <pic:nvPicPr>
                    <pic:cNvPr id="222" name="Image 222"/>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23" name="Image 223"/>
            <wp:cNvGraphicFramePr>
              <a:graphicFrameLocks/>
            </wp:cNvGraphicFramePr>
            <a:graphic>
              <a:graphicData uri="http://schemas.openxmlformats.org/drawingml/2006/picture">
                <pic:pic>
                  <pic:nvPicPr>
                    <pic:cNvPr id="223" name="Image 223"/>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59"/>
        <w:rPr>
          <w:rFonts w:ascii="Calibri"/>
        </w:rPr>
      </w:pPr>
    </w:p>
    <w:p>
      <w:pPr>
        <w:pStyle w:val="BodyText"/>
        <w:tabs>
          <w:tab w:pos="1729" w:val="left" w:leader="none"/>
        </w:tabs>
        <w:ind w:left="1369"/>
        <w:rPr>
          <w:rFonts w:ascii="Segoe UI" w:hAnsi="Segoe UI"/>
        </w:rPr>
      </w:pPr>
      <w:r>
        <w:rPr>
          <w:rFonts w:ascii="Calibri" w:hAnsi="Calibri"/>
          <w:spacing w:val="-10"/>
          <w:sz w:val="20"/>
        </w:rPr>
        <w:t>−</w:t>
      </w:r>
      <w:r>
        <w:rPr>
          <w:rFonts w:ascii="Calibri" w:hAnsi="Calibri"/>
          <w:sz w:val="20"/>
        </w:rPr>
        <w:tab/>
      </w:r>
      <w:r>
        <w:rPr>
          <w:rFonts w:ascii="Segoe UI" w:hAnsi="Segoe UI"/>
        </w:rPr>
        <w:t>Stronger</w:t>
      </w:r>
      <w:r>
        <w:rPr>
          <w:rFonts w:ascii="Segoe UI" w:hAnsi="Segoe UI"/>
          <w:spacing w:val="-3"/>
        </w:rPr>
        <w:t> </w:t>
      </w:r>
      <w:r>
        <w:rPr>
          <w:rFonts w:ascii="Segoe UI" w:hAnsi="Segoe UI"/>
        </w:rPr>
        <w:t>clinical</w:t>
      </w:r>
      <w:r>
        <w:rPr>
          <w:rFonts w:ascii="Segoe UI" w:hAnsi="Segoe UI"/>
          <w:spacing w:val="-3"/>
        </w:rPr>
        <w:t> </w:t>
      </w:r>
      <w:r>
        <w:rPr>
          <w:rFonts w:ascii="Segoe UI" w:hAnsi="Segoe UI"/>
          <w:spacing w:val="-2"/>
        </w:rPr>
        <w:t>leadership.</w:t>
      </w:r>
    </w:p>
    <w:p>
      <w:pPr>
        <w:spacing w:before="282"/>
        <w:ind w:left="1009" w:right="0" w:firstLine="0"/>
        <w:jc w:val="left"/>
        <w:rPr>
          <w:rFonts w:ascii="Segoe UI"/>
          <w:b/>
          <w:sz w:val="24"/>
        </w:rPr>
      </w:pPr>
      <w:r>
        <w:rPr>
          <w:rFonts w:ascii="Segoe UI"/>
          <w:b/>
          <w:sz w:val="24"/>
        </w:rPr>
        <w:t>Organisational</w:t>
      </w:r>
      <w:r>
        <w:rPr>
          <w:rFonts w:ascii="Segoe UI"/>
          <w:b/>
          <w:spacing w:val="-7"/>
          <w:sz w:val="24"/>
        </w:rPr>
        <w:t> </w:t>
      </w:r>
      <w:r>
        <w:rPr>
          <w:rFonts w:ascii="Segoe UI"/>
          <w:b/>
          <w:spacing w:val="-2"/>
          <w:sz w:val="24"/>
        </w:rPr>
        <w:t>Benefits</w:t>
      </w:r>
    </w:p>
    <w:p>
      <w:pPr>
        <w:pStyle w:val="BodyText"/>
        <w:tabs>
          <w:tab w:pos="1729" w:val="left" w:leader="none"/>
        </w:tabs>
        <w:spacing w:line="317" w:lineRule="exact" w:before="280"/>
        <w:ind w:left="1369"/>
        <w:rPr>
          <w:rFonts w:ascii="Segoe UI" w:hAnsi="Segoe UI"/>
        </w:rPr>
      </w:pPr>
      <w:r>
        <w:rPr>
          <w:rFonts w:ascii="Calibri" w:hAnsi="Calibri"/>
          <w:spacing w:val="-10"/>
          <w:sz w:val="20"/>
        </w:rPr>
        <w:t>−</w:t>
      </w:r>
      <w:r>
        <w:rPr>
          <w:rFonts w:ascii="Calibri" w:hAnsi="Calibri"/>
          <w:sz w:val="20"/>
        </w:rPr>
        <w:tab/>
      </w:r>
      <w:r>
        <w:rPr>
          <w:rFonts w:ascii="Segoe UI" w:hAnsi="Segoe UI"/>
        </w:rPr>
        <w:t>Improved</w:t>
      </w:r>
      <w:r>
        <w:rPr>
          <w:rFonts w:ascii="Segoe UI" w:hAnsi="Segoe UI"/>
          <w:spacing w:val="-7"/>
        </w:rPr>
        <w:t> </w:t>
      </w:r>
      <w:r>
        <w:rPr>
          <w:rFonts w:ascii="Segoe UI" w:hAnsi="Segoe UI"/>
        </w:rPr>
        <w:t>utilisation</w:t>
      </w:r>
      <w:r>
        <w:rPr>
          <w:rFonts w:ascii="Segoe UI" w:hAnsi="Segoe UI"/>
          <w:spacing w:val="-5"/>
        </w:rPr>
        <w:t> </w:t>
      </w:r>
      <w:r>
        <w:rPr>
          <w:rFonts w:ascii="Segoe UI" w:hAnsi="Segoe UI"/>
        </w:rPr>
        <w:t>of</w:t>
      </w:r>
      <w:r>
        <w:rPr>
          <w:rFonts w:ascii="Segoe UI" w:hAnsi="Segoe UI"/>
          <w:spacing w:val="-4"/>
        </w:rPr>
        <w:t> </w:t>
      </w:r>
      <w:r>
        <w:rPr>
          <w:rFonts w:ascii="Segoe UI" w:hAnsi="Segoe UI"/>
        </w:rPr>
        <w:t>workforce</w:t>
      </w:r>
      <w:r>
        <w:rPr>
          <w:rFonts w:ascii="Segoe UI" w:hAnsi="Segoe UI"/>
          <w:spacing w:val="-4"/>
        </w:rPr>
        <w:t> </w:t>
      </w:r>
      <w:r>
        <w:rPr>
          <w:rFonts w:ascii="Segoe UI" w:hAnsi="Segoe UI"/>
        </w:rPr>
        <w:t>and</w:t>
      </w:r>
      <w:r>
        <w:rPr>
          <w:rFonts w:ascii="Segoe UI" w:hAnsi="Segoe UI"/>
          <w:spacing w:val="-5"/>
        </w:rPr>
        <w:t> </w:t>
      </w:r>
      <w:r>
        <w:rPr>
          <w:rFonts w:ascii="Segoe UI" w:hAnsi="Segoe UI"/>
        </w:rPr>
        <w:t>theatre</w:t>
      </w:r>
      <w:r>
        <w:rPr>
          <w:rFonts w:ascii="Segoe UI" w:hAnsi="Segoe UI"/>
          <w:spacing w:val="-4"/>
        </w:rPr>
        <w:t> </w:t>
      </w:r>
      <w:r>
        <w:rPr>
          <w:rFonts w:ascii="Segoe UI" w:hAnsi="Segoe UI"/>
          <w:spacing w:val="-2"/>
        </w:rPr>
        <w:t>capacity.</w:t>
      </w:r>
    </w:p>
    <w:p>
      <w:pPr>
        <w:pStyle w:val="BodyText"/>
        <w:tabs>
          <w:tab w:pos="1729" w:val="left" w:leader="none"/>
        </w:tabs>
        <w:spacing w:line="317"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rPr>
        <w:t>Better</w:t>
      </w:r>
      <w:r>
        <w:rPr>
          <w:rFonts w:ascii="Segoe UI" w:hAnsi="Segoe UI"/>
          <w:spacing w:val="-4"/>
        </w:rPr>
        <w:t> </w:t>
      </w:r>
      <w:r>
        <w:rPr>
          <w:rFonts w:ascii="Segoe UI" w:hAnsi="Segoe UI"/>
        </w:rPr>
        <w:t>demand</w:t>
      </w:r>
      <w:r>
        <w:rPr>
          <w:rFonts w:ascii="Segoe UI" w:hAnsi="Segoe UI"/>
          <w:spacing w:val="-6"/>
        </w:rPr>
        <w:t> </w:t>
      </w:r>
      <w:r>
        <w:rPr>
          <w:rFonts w:ascii="Segoe UI" w:hAnsi="Segoe UI"/>
        </w:rPr>
        <w:t>and</w:t>
      </w:r>
      <w:r>
        <w:rPr>
          <w:rFonts w:ascii="Segoe UI" w:hAnsi="Segoe UI"/>
          <w:spacing w:val="-7"/>
        </w:rPr>
        <w:t> </w:t>
      </w:r>
      <w:r>
        <w:rPr>
          <w:rFonts w:ascii="Segoe UI" w:hAnsi="Segoe UI"/>
        </w:rPr>
        <w:t>capacity</w:t>
      </w:r>
      <w:r>
        <w:rPr>
          <w:rFonts w:ascii="Segoe UI" w:hAnsi="Segoe UI"/>
          <w:spacing w:val="-1"/>
        </w:rPr>
        <w:t> </w:t>
      </w:r>
      <w:r>
        <w:rPr>
          <w:rFonts w:ascii="Segoe UI" w:hAnsi="Segoe UI"/>
          <w:spacing w:val="-2"/>
        </w:rPr>
        <w:t>planning.</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Improved</w:t>
      </w:r>
      <w:r>
        <w:rPr>
          <w:rFonts w:ascii="Segoe UI" w:hAnsi="Segoe UI"/>
          <w:spacing w:val="-8"/>
        </w:rPr>
        <w:t> </w:t>
      </w:r>
      <w:r>
        <w:rPr>
          <w:rFonts w:ascii="Segoe UI" w:hAnsi="Segoe UI"/>
        </w:rPr>
        <w:t>regional</w:t>
      </w:r>
      <w:r>
        <w:rPr>
          <w:rFonts w:ascii="Segoe UI" w:hAnsi="Segoe UI"/>
          <w:spacing w:val="-5"/>
        </w:rPr>
        <w:t> </w:t>
      </w:r>
      <w:r>
        <w:rPr>
          <w:rFonts w:ascii="Segoe UI" w:hAnsi="Segoe UI"/>
        </w:rPr>
        <w:t>performance</w:t>
      </w:r>
      <w:r>
        <w:rPr>
          <w:rFonts w:ascii="Segoe UI" w:hAnsi="Segoe UI"/>
          <w:spacing w:val="-6"/>
        </w:rPr>
        <w:t> </w:t>
      </w:r>
      <w:r>
        <w:rPr>
          <w:rFonts w:ascii="Segoe UI" w:hAnsi="Segoe UI"/>
          <w:spacing w:val="-2"/>
        </w:rPr>
        <w:t>management.</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Increased</w:t>
      </w:r>
      <w:r>
        <w:rPr>
          <w:rFonts w:ascii="Segoe UI" w:hAnsi="Segoe UI"/>
          <w:spacing w:val="-5"/>
        </w:rPr>
        <w:t> </w:t>
      </w:r>
      <w:r>
        <w:rPr>
          <w:rFonts w:ascii="Segoe UI" w:hAnsi="Segoe UI"/>
        </w:rPr>
        <w:t>system-wide</w:t>
      </w:r>
      <w:r>
        <w:rPr>
          <w:rFonts w:ascii="Segoe UI" w:hAnsi="Segoe UI"/>
          <w:spacing w:val="-7"/>
        </w:rPr>
        <w:t> </w:t>
      </w:r>
      <w:r>
        <w:rPr>
          <w:rFonts w:ascii="Segoe UI" w:hAnsi="Segoe UI"/>
          <w:spacing w:val="-2"/>
        </w:rPr>
        <w:t>efficiency.</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Stronger</w:t>
      </w:r>
      <w:r>
        <w:rPr>
          <w:rFonts w:ascii="Segoe UI" w:hAnsi="Segoe UI"/>
          <w:spacing w:val="-4"/>
        </w:rPr>
        <w:t> </w:t>
      </w:r>
      <w:r>
        <w:rPr>
          <w:rFonts w:ascii="Segoe UI" w:hAnsi="Segoe UI"/>
        </w:rPr>
        <w:t>regional</w:t>
      </w:r>
      <w:r>
        <w:rPr>
          <w:rFonts w:ascii="Segoe UI" w:hAnsi="Segoe UI"/>
          <w:spacing w:val="-4"/>
        </w:rPr>
        <w:t> </w:t>
      </w:r>
      <w:r>
        <w:rPr>
          <w:rFonts w:ascii="Segoe UI" w:hAnsi="Segoe UI"/>
          <w:spacing w:val="-2"/>
        </w:rPr>
        <w:t>accountability.</w:t>
      </w:r>
    </w:p>
    <w:p>
      <w:pPr>
        <w:spacing w:before="281"/>
        <w:ind w:left="1009" w:right="0" w:firstLine="0"/>
        <w:jc w:val="left"/>
        <w:rPr>
          <w:rFonts w:ascii="Segoe UI"/>
          <w:b/>
          <w:sz w:val="24"/>
        </w:rPr>
      </w:pPr>
      <w:r>
        <w:rPr>
          <w:rFonts w:ascii="Segoe UI"/>
          <w:b/>
          <w:sz w:val="24"/>
        </w:rPr>
        <w:t>Strategic</w:t>
      </w:r>
      <w:r>
        <w:rPr>
          <w:rFonts w:ascii="Segoe UI"/>
          <w:b/>
          <w:spacing w:val="-2"/>
          <w:sz w:val="24"/>
        </w:rPr>
        <w:t> Benefits</w:t>
      </w:r>
    </w:p>
    <w:p>
      <w:pPr>
        <w:pStyle w:val="BodyText"/>
        <w:tabs>
          <w:tab w:pos="1729" w:val="left" w:leader="none"/>
        </w:tabs>
        <w:spacing w:line="317" w:lineRule="exact" w:before="281"/>
        <w:ind w:left="1369"/>
        <w:rPr>
          <w:rFonts w:ascii="Segoe UI" w:hAnsi="Segoe UI"/>
        </w:rPr>
      </w:pPr>
      <w:r>
        <w:rPr>
          <w:rFonts w:ascii="Calibri" w:hAnsi="Calibri"/>
          <w:spacing w:val="-10"/>
          <w:sz w:val="20"/>
        </w:rPr>
        <w:t>−</w:t>
      </w:r>
      <w:r>
        <w:rPr>
          <w:rFonts w:ascii="Calibri" w:hAnsi="Calibri"/>
          <w:sz w:val="20"/>
        </w:rPr>
        <w:tab/>
      </w:r>
      <w:r>
        <w:rPr>
          <w:rFonts w:ascii="Segoe UI" w:hAnsi="Segoe UI"/>
        </w:rPr>
        <w:t>Supports</w:t>
      </w:r>
      <w:r>
        <w:rPr>
          <w:rFonts w:ascii="Segoe UI" w:hAnsi="Segoe UI"/>
          <w:spacing w:val="-5"/>
        </w:rPr>
        <w:t> </w:t>
      </w:r>
      <w:r>
        <w:rPr>
          <w:rFonts w:ascii="Segoe UI" w:hAnsi="Segoe UI"/>
        </w:rPr>
        <w:t>delivery</w:t>
      </w:r>
      <w:r>
        <w:rPr>
          <w:rFonts w:ascii="Segoe UI" w:hAnsi="Segoe UI"/>
          <w:spacing w:val="-4"/>
        </w:rPr>
        <w:t> </w:t>
      </w:r>
      <w:r>
        <w:rPr>
          <w:rFonts w:ascii="Segoe UI" w:hAnsi="Segoe UI"/>
        </w:rPr>
        <w:t>of</w:t>
      </w:r>
      <w:r>
        <w:rPr>
          <w:rFonts w:ascii="Segoe UI" w:hAnsi="Segoe UI"/>
          <w:spacing w:val="-4"/>
        </w:rPr>
        <w:t> </w:t>
      </w:r>
      <w:r>
        <w:rPr>
          <w:rFonts w:ascii="Segoe UI" w:hAnsi="Segoe UI"/>
        </w:rPr>
        <w:t>the</w:t>
      </w:r>
      <w:r>
        <w:rPr>
          <w:rFonts w:ascii="Segoe UI" w:hAnsi="Segoe UI"/>
          <w:spacing w:val="-4"/>
        </w:rPr>
        <w:t> </w:t>
      </w:r>
      <w:r>
        <w:rPr>
          <w:rFonts w:ascii="Segoe UI" w:hAnsi="Segoe UI"/>
        </w:rPr>
        <w:t>RJC</w:t>
      </w:r>
      <w:r>
        <w:rPr>
          <w:rFonts w:ascii="Segoe UI" w:hAnsi="Segoe UI"/>
          <w:spacing w:val="3"/>
        </w:rPr>
        <w:t> </w:t>
      </w:r>
      <w:r>
        <w:rPr>
          <w:rFonts w:ascii="Segoe UI" w:hAnsi="Segoe UI"/>
          <w:spacing w:val="-2"/>
        </w:rPr>
        <w:t>agenda.</w:t>
      </w:r>
    </w:p>
    <w:p>
      <w:pPr>
        <w:pStyle w:val="BodyText"/>
        <w:tabs>
          <w:tab w:pos="1729" w:val="left" w:leader="none"/>
        </w:tabs>
        <w:spacing w:line="317"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rPr>
        <w:t>Supports</w:t>
      </w:r>
      <w:r>
        <w:rPr>
          <w:rFonts w:ascii="Segoe UI" w:hAnsi="Segoe UI"/>
          <w:spacing w:val="-8"/>
        </w:rPr>
        <w:t> </w:t>
      </w:r>
      <w:r>
        <w:rPr>
          <w:rFonts w:ascii="Segoe UI" w:hAnsi="Segoe UI"/>
        </w:rPr>
        <w:t>national</w:t>
      </w:r>
      <w:r>
        <w:rPr>
          <w:rFonts w:ascii="Segoe UI" w:hAnsi="Segoe UI"/>
          <w:spacing w:val="-4"/>
        </w:rPr>
        <w:t> </w:t>
      </w:r>
      <w:r>
        <w:rPr>
          <w:rFonts w:ascii="Segoe UI" w:hAnsi="Segoe UI"/>
        </w:rPr>
        <w:t>policy</w:t>
      </w:r>
      <w:r>
        <w:rPr>
          <w:rFonts w:ascii="Segoe UI" w:hAnsi="Segoe UI"/>
          <w:spacing w:val="-6"/>
        </w:rPr>
        <w:t> </w:t>
      </w:r>
      <w:r>
        <w:rPr>
          <w:rFonts w:ascii="Segoe UI" w:hAnsi="Segoe UI"/>
          <w:spacing w:val="-2"/>
        </w:rPr>
        <w:t>direction.</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Creates</w:t>
      </w:r>
      <w:r>
        <w:rPr>
          <w:rFonts w:ascii="Segoe UI" w:hAnsi="Segoe UI"/>
          <w:spacing w:val="-7"/>
        </w:rPr>
        <w:t> </w:t>
      </w:r>
      <w:r>
        <w:rPr>
          <w:rFonts w:ascii="Segoe UI" w:hAnsi="Segoe UI"/>
        </w:rPr>
        <w:t>foundations</w:t>
      </w:r>
      <w:r>
        <w:rPr>
          <w:rFonts w:ascii="Segoe UI" w:hAnsi="Segoe UI"/>
          <w:spacing w:val="-6"/>
        </w:rPr>
        <w:t> </w:t>
      </w:r>
      <w:r>
        <w:rPr>
          <w:rFonts w:ascii="Segoe UI" w:hAnsi="Segoe UI"/>
        </w:rPr>
        <w:t>for</w:t>
      </w:r>
      <w:r>
        <w:rPr>
          <w:rFonts w:ascii="Segoe UI" w:hAnsi="Segoe UI"/>
          <w:spacing w:val="-3"/>
        </w:rPr>
        <w:t> </w:t>
      </w:r>
      <w:r>
        <w:rPr>
          <w:rFonts w:ascii="Segoe UI" w:hAnsi="Segoe UI"/>
        </w:rPr>
        <w:t>Regional</w:t>
      </w:r>
      <w:r>
        <w:rPr>
          <w:rFonts w:ascii="Segoe UI" w:hAnsi="Segoe UI"/>
          <w:spacing w:val="-3"/>
        </w:rPr>
        <w:t> </w:t>
      </w:r>
      <w:r>
        <w:rPr>
          <w:rFonts w:ascii="Segoe UI" w:hAnsi="Segoe UI"/>
        </w:rPr>
        <w:t>Surgical</w:t>
      </w:r>
      <w:r>
        <w:rPr>
          <w:rFonts w:ascii="Segoe UI" w:hAnsi="Segoe UI"/>
          <w:spacing w:val="-3"/>
        </w:rPr>
        <w:t> </w:t>
      </w:r>
      <w:r>
        <w:rPr>
          <w:rFonts w:ascii="Segoe UI" w:hAnsi="Segoe UI"/>
          <w:spacing w:val="-2"/>
        </w:rPr>
        <w:t>Hubs.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Establishes</w:t>
      </w:r>
      <w:r>
        <w:rPr>
          <w:rFonts w:ascii="Segoe UI" w:hAnsi="Segoe UI"/>
          <w:spacing w:val="-8"/>
        </w:rPr>
        <w:t> </w:t>
      </w:r>
      <w:r>
        <w:rPr>
          <w:rFonts w:ascii="Segoe UI" w:hAnsi="Segoe UI"/>
        </w:rPr>
        <w:t>a</w:t>
      </w:r>
      <w:r>
        <w:rPr>
          <w:rFonts w:ascii="Segoe UI" w:hAnsi="Segoe UI"/>
          <w:spacing w:val="-3"/>
        </w:rPr>
        <w:t> </w:t>
      </w:r>
      <w:r>
        <w:rPr>
          <w:rFonts w:ascii="Segoe UI" w:hAnsi="Segoe UI"/>
        </w:rPr>
        <w:t>sustainable</w:t>
      </w:r>
      <w:r>
        <w:rPr>
          <w:rFonts w:ascii="Segoe UI" w:hAnsi="Segoe UI"/>
          <w:spacing w:val="-5"/>
        </w:rPr>
        <w:t> </w:t>
      </w:r>
      <w:r>
        <w:rPr>
          <w:rFonts w:ascii="Segoe UI" w:hAnsi="Segoe UI"/>
        </w:rPr>
        <w:t>regional</w:t>
      </w:r>
      <w:r>
        <w:rPr>
          <w:rFonts w:ascii="Segoe UI" w:hAnsi="Segoe UI"/>
          <w:spacing w:val="-4"/>
        </w:rPr>
        <w:t> </w:t>
      </w:r>
      <w:r>
        <w:rPr>
          <w:rFonts w:ascii="Segoe UI" w:hAnsi="Segoe UI"/>
        </w:rPr>
        <w:t>model</w:t>
      </w:r>
      <w:r>
        <w:rPr>
          <w:rFonts w:ascii="Segoe UI" w:hAnsi="Segoe UI"/>
          <w:spacing w:val="-4"/>
        </w:rPr>
        <w:t> </w:t>
      </w:r>
      <w:r>
        <w:rPr>
          <w:rFonts w:ascii="Segoe UI" w:hAnsi="Segoe UI"/>
        </w:rPr>
        <w:t>of </w:t>
      </w:r>
      <w:r>
        <w:rPr>
          <w:rFonts w:ascii="Segoe UI" w:hAnsi="Segoe UI"/>
          <w:spacing w:val="-2"/>
        </w:rPr>
        <w:t>care.</w:t>
      </w:r>
    </w:p>
    <w:p>
      <w:pPr>
        <w:pStyle w:val="BodyText"/>
        <w:spacing w:before="162"/>
        <w:rPr>
          <w:rFonts w:ascii="Segoe UI"/>
        </w:rPr>
      </w:pPr>
    </w:p>
    <w:p>
      <w:pPr>
        <w:pStyle w:val="Heading3"/>
        <w:numPr>
          <w:ilvl w:val="2"/>
          <w:numId w:val="10"/>
        </w:numPr>
        <w:tabs>
          <w:tab w:pos="1009" w:val="left" w:leader="none"/>
        </w:tabs>
        <w:spacing w:line="240" w:lineRule="auto" w:before="0" w:after="0"/>
        <w:ind w:left="1009" w:right="0" w:hanging="565"/>
        <w:jc w:val="left"/>
      </w:pPr>
      <w:r>
        <w:rPr>
          <w:color w:val="1F4E79"/>
        </w:rPr>
        <w:t>Programme</w:t>
      </w:r>
      <w:r>
        <w:rPr>
          <w:color w:val="1F4E79"/>
          <w:spacing w:val="-4"/>
        </w:rPr>
        <w:t> Scope</w:t>
      </w:r>
    </w:p>
    <w:p>
      <w:pPr>
        <w:spacing w:before="341"/>
        <w:ind w:left="1009" w:right="0" w:firstLine="0"/>
        <w:jc w:val="left"/>
        <w:rPr>
          <w:rFonts w:ascii="Segoe UI" w:hAnsi="Segoe UI"/>
          <w:b/>
          <w:sz w:val="24"/>
        </w:rPr>
      </w:pPr>
      <w:r>
        <w:rPr>
          <w:rFonts w:ascii="Segoe UI" w:hAnsi="Segoe UI"/>
          <w:b/>
          <w:sz w:val="24"/>
        </w:rPr>
        <w:t>Sub-specialities</w:t>
      </w:r>
      <w:r>
        <w:rPr>
          <w:rFonts w:ascii="Segoe UI" w:hAnsi="Segoe UI"/>
          <w:b/>
          <w:spacing w:val="-6"/>
          <w:sz w:val="24"/>
        </w:rPr>
        <w:t> </w:t>
      </w:r>
      <w:r>
        <w:rPr>
          <w:rFonts w:ascii="Segoe UI" w:hAnsi="Segoe UI"/>
          <w:b/>
          <w:sz w:val="24"/>
        </w:rPr>
        <w:t>–</w:t>
      </w:r>
      <w:r>
        <w:rPr>
          <w:rFonts w:ascii="Segoe UI" w:hAnsi="Segoe UI"/>
          <w:b/>
          <w:spacing w:val="-7"/>
          <w:sz w:val="24"/>
        </w:rPr>
        <w:t> </w:t>
      </w:r>
      <w:r>
        <w:rPr>
          <w:rFonts w:ascii="Segoe UI" w:hAnsi="Segoe UI"/>
          <w:b/>
          <w:sz w:val="24"/>
        </w:rPr>
        <w:t>In-</w:t>
      </w:r>
      <w:r>
        <w:rPr>
          <w:rFonts w:ascii="Segoe UI" w:hAnsi="Segoe UI"/>
          <w:b/>
          <w:spacing w:val="-2"/>
          <w:sz w:val="24"/>
        </w:rPr>
        <w:t>scope</w:t>
      </w:r>
    </w:p>
    <w:p>
      <w:pPr>
        <w:pStyle w:val="BodyText"/>
        <w:spacing w:before="280"/>
        <w:ind w:left="1009" w:right="1269"/>
        <w:rPr>
          <w:rFonts w:ascii="Segoe UI"/>
        </w:rPr>
      </w:pPr>
      <w:r>
        <w:rPr>
          <w:rFonts w:ascii="Segoe UI"/>
        </w:rPr>
        <w:t>The</w:t>
      </w:r>
      <w:r>
        <w:rPr>
          <w:rFonts w:ascii="Segoe UI"/>
          <w:spacing w:val="-7"/>
        </w:rPr>
        <w:t> </w:t>
      </w:r>
      <w:r>
        <w:rPr>
          <w:rFonts w:ascii="Segoe UI"/>
        </w:rPr>
        <w:t>programme</w:t>
      </w:r>
      <w:r>
        <w:rPr>
          <w:rFonts w:ascii="Segoe UI"/>
          <w:spacing w:val="-7"/>
        </w:rPr>
        <w:t> </w:t>
      </w:r>
      <w:r>
        <w:rPr>
          <w:rFonts w:ascii="Segoe UI"/>
        </w:rPr>
        <w:t>will</w:t>
      </w:r>
      <w:r>
        <w:rPr>
          <w:rFonts w:ascii="Segoe UI"/>
          <w:spacing w:val="-5"/>
        </w:rPr>
        <w:t> </w:t>
      </w:r>
      <w:r>
        <w:rPr>
          <w:rFonts w:ascii="Segoe UI"/>
        </w:rPr>
        <w:t>consider</w:t>
      </w:r>
      <w:r>
        <w:rPr>
          <w:rFonts w:ascii="Segoe UI"/>
          <w:spacing w:val="-5"/>
        </w:rPr>
        <w:t> </w:t>
      </w:r>
      <w:r>
        <w:rPr>
          <w:rFonts w:ascii="Segoe UI"/>
        </w:rPr>
        <w:t>opportunities</w:t>
      </w:r>
      <w:r>
        <w:rPr>
          <w:rFonts w:ascii="Segoe UI"/>
          <w:spacing w:val="-9"/>
        </w:rPr>
        <w:t> </w:t>
      </w:r>
      <w:r>
        <w:rPr>
          <w:rFonts w:ascii="Segoe UI"/>
        </w:rPr>
        <w:t>for</w:t>
      </w:r>
      <w:r>
        <w:rPr>
          <w:rFonts w:ascii="Segoe UI"/>
          <w:spacing w:val="-6"/>
        </w:rPr>
        <w:t> </w:t>
      </w:r>
      <w:r>
        <w:rPr>
          <w:rFonts w:ascii="Segoe UI"/>
        </w:rPr>
        <w:t>regional</w:t>
      </w:r>
      <w:r>
        <w:rPr>
          <w:rFonts w:ascii="Segoe UI"/>
          <w:spacing w:val="-5"/>
        </w:rPr>
        <w:t> </w:t>
      </w:r>
      <w:r>
        <w:rPr>
          <w:rFonts w:ascii="Segoe UI"/>
        </w:rPr>
        <w:t>collaboration</w:t>
      </w:r>
      <w:r>
        <w:rPr>
          <w:rFonts w:ascii="Segoe UI"/>
          <w:spacing w:val="-3"/>
        </w:rPr>
        <w:t> </w:t>
      </w:r>
      <w:r>
        <w:rPr>
          <w:rFonts w:ascii="Segoe UI"/>
        </w:rPr>
        <w:t>and</w:t>
      </w:r>
      <w:r>
        <w:rPr>
          <w:rFonts w:ascii="Segoe UI"/>
          <w:spacing w:val="-3"/>
        </w:rPr>
        <w:t> </w:t>
      </w:r>
      <w:r>
        <w:rPr>
          <w:rFonts w:ascii="Segoe UI"/>
        </w:rPr>
        <w:t>service optimisation across orthopaedic sub-specialities, including but not limited to:</w:t>
      </w:r>
    </w:p>
    <w:p>
      <w:pPr>
        <w:pStyle w:val="BodyText"/>
        <w:tabs>
          <w:tab w:pos="1729" w:val="left" w:leader="none"/>
        </w:tabs>
        <w:spacing w:before="278"/>
        <w:ind w:left="1369"/>
        <w:rPr>
          <w:rFonts w:ascii="Segoe UI" w:hAnsi="Segoe UI"/>
        </w:rPr>
      </w:pPr>
      <w:r>
        <w:rPr>
          <w:rFonts w:ascii="Calibri" w:hAnsi="Calibri"/>
          <w:spacing w:val="-10"/>
          <w:sz w:val="20"/>
        </w:rPr>
        <w:t>−</w:t>
      </w:r>
      <w:r>
        <w:rPr>
          <w:rFonts w:ascii="Calibri" w:hAnsi="Calibri"/>
          <w:sz w:val="20"/>
        </w:rPr>
        <w:tab/>
      </w:r>
      <w:r>
        <w:rPr>
          <w:rFonts w:ascii="Segoe UI" w:hAnsi="Segoe UI"/>
        </w:rPr>
        <w:t>Hip</w:t>
      </w:r>
      <w:r>
        <w:rPr>
          <w:rFonts w:ascii="Segoe UI" w:hAnsi="Segoe UI"/>
          <w:spacing w:val="-4"/>
        </w:rPr>
        <w:t> </w:t>
      </w:r>
      <w:r>
        <w:rPr>
          <w:rFonts w:ascii="Segoe UI" w:hAnsi="Segoe UI"/>
        </w:rPr>
        <w:t>and</w:t>
      </w:r>
      <w:r>
        <w:rPr>
          <w:rFonts w:ascii="Segoe UI" w:hAnsi="Segoe UI"/>
          <w:spacing w:val="-5"/>
        </w:rPr>
        <w:t> </w:t>
      </w:r>
      <w:r>
        <w:rPr>
          <w:rFonts w:ascii="Segoe UI" w:hAnsi="Segoe UI"/>
        </w:rPr>
        <w:t>Knee</w:t>
      </w:r>
      <w:r>
        <w:rPr>
          <w:rFonts w:ascii="Segoe UI" w:hAnsi="Segoe UI"/>
          <w:spacing w:val="-3"/>
        </w:rPr>
        <w:t> </w:t>
      </w:r>
      <w:r>
        <w:rPr>
          <w:rFonts w:ascii="Segoe UI" w:hAnsi="Segoe UI"/>
          <w:spacing w:val="-2"/>
        </w:rPr>
        <w:t>Surgery.</w:t>
      </w:r>
    </w:p>
    <w:p>
      <w:pPr>
        <w:pStyle w:val="BodyText"/>
        <w:tabs>
          <w:tab w:pos="1729" w:val="left" w:leader="none"/>
        </w:tabs>
        <w:ind w:left="1369"/>
        <w:rPr>
          <w:rFonts w:ascii="Segoe UI" w:hAnsi="Segoe UI"/>
        </w:rPr>
      </w:pPr>
      <w:r>
        <w:rPr>
          <w:rFonts w:ascii="Calibri" w:hAnsi="Calibri"/>
          <w:spacing w:val="-10"/>
          <w:sz w:val="20"/>
        </w:rPr>
        <w:t>−</w:t>
      </w:r>
      <w:r>
        <w:rPr>
          <w:rFonts w:ascii="Calibri" w:hAnsi="Calibri"/>
          <w:sz w:val="20"/>
        </w:rPr>
        <w:tab/>
      </w:r>
      <w:r>
        <w:rPr>
          <w:rFonts w:ascii="Segoe UI" w:hAnsi="Segoe UI"/>
        </w:rPr>
        <w:t>Foot</w:t>
      </w:r>
      <w:r>
        <w:rPr>
          <w:rFonts w:ascii="Segoe UI" w:hAnsi="Segoe UI"/>
          <w:spacing w:val="-2"/>
        </w:rPr>
        <w:t> </w:t>
      </w:r>
      <w:r>
        <w:rPr>
          <w:rFonts w:ascii="Segoe UI" w:hAnsi="Segoe UI"/>
        </w:rPr>
        <w:t>and</w:t>
      </w:r>
      <w:r>
        <w:rPr>
          <w:rFonts w:ascii="Segoe UI" w:hAnsi="Segoe UI"/>
          <w:spacing w:val="-7"/>
        </w:rPr>
        <w:t> </w:t>
      </w:r>
      <w:r>
        <w:rPr>
          <w:rFonts w:ascii="Segoe UI" w:hAnsi="Segoe UI"/>
        </w:rPr>
        <w:t>Ankle</w:t>
      </w:r>
      <w:r>
        <w:rPr>
          <w:rFonts w:ascii="Segoe UI" w:hAnsi="Segoe UI"/>
          <w:spacing w:val="-5"/>
        </w:rPr>
        <w:t> </w:t>
      </w:r>
      <w:r>
        <w:rPr>
          <w:rFonts w:ascii="Segoe UI" w:hAnsi="Segoe UI"/>
          <w:spacing w:val="-2"/>
        </w:rPr>
        <w:t>Services.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Shoulder</w:t>
      </w:r>
      <w:r>
        <w:rPr>
          <w:rFonts w:ascii="Segoe UI" w:hAnsi="Segoe UI"/>
          <w:spacing w:val="-4"/>
        </w:rPr>
        <w:t> </w:t>
      </w:r>
      <w:r>
        <w:rPr>
          <w:rFonts w:ascii="Segoe UI" w:hAnsi="Segoe UI"/>
        </w:rPr>
        <w:t>and</w:t>
      </w:r>
      <w:r>
        <w:rPr>
          <w:rFonts w:ascii="Segoe UI" w:hAnsi="Segoe UI"/>
          <w:spacing w:val="-5"/>
        </w:rPr>
        <w:t> </w:t>
      </w:r>
      <w:r>
        <w:rPr>
          <w:rFonts w:ascii="Segoe UI" w:hAnsi="Segoe UI"/>
        </w:rPr>
        <w:t>Elbow</w:t>
      </w:r>
      <w:r>
        <w:rPr>
          <w:rFonts w:ascii="Segoe UI" w:hAnsi="Segoe UI"/>
          <w:spacing w:val="-4"/>
        </w:rPr>
        <w:t> </w:t>
      </w:r>
      <w:r>
        <w:rPr>
          <w:rFonts w:ascii="Segoe UI" w:hAnsi="Segoe UI"/>
          <w:spacing w:val="-2"/>
        </w:rPr>
        <w:t>Services.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Hand</w:t>
      </w:r>
      <w:r>
        <w:rPr>
          <w:rFonts w:ascii="Segoe UI" w:hAnsi="Segoe UI"/>
          <w:spacing w:val="-1"/>
        </w:rPr>
        <w:t> </w:t>
      </w:r>
      <w:r>
        <w:rPr>
          <w:rFonts w:ascii="Segoe UI" w:hAnsi="Segoe UI"/>
        </w:rPr>
        <w:t>and</w:t>
      </w:r>
      <w:r>
        <w:rPr>
          <w:rFonts w:ascii="Segoe UI" w:hAnsi="Segoe UI"/>
          <w:spacing w:val="-6"/>
        </w:rPr>
        <w:t> </w:t>
      </w:r>
      <w:r>
        <w:rPr>
          <w:rFonts w:ascii="Segoe UI" w:hAnsi="Segoe UI"/>
        </w:rPr>
        <w:t>Wrist</w:t>
      </w:r>
      <w:r>
        <w:rPr>
          <w:rFonts w:ascii="Segoe UI" w:hAnsi="Segoe UI"/>
          <w:spacing w:val="-5"/>
        </w:rPr>
        <w:t> </w:t>
      </w:r>
      <w:r>
        <w:rPr>
          <w:rFonts w:ascii="Segoe UI" w:hAnsi="Segoe UI"/>
          <w:spacing w:val="-2"/>
        </w:rPr>
        <w:t>Surgery.</w:t>
      </w:r>
    </w:p>
    <w:p>
      <w:pPr>
        <w:pStyle w:val="BodyText"/>
        <w:tabs>
          <w:tab w:pos="1729" w:val="left" w:leader="none"/>
        </w:tabs>
        <w:spacing w:line="317" w:lineRule="exact"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Spinal</w:t>
      </w:r>
      <w:r>
        <w:rPr>
          <w:rFonts w:ascii="Segoe UI" w:hAnsi="Segoe UI"/>
          <w:spacing w:val="-3"/>
        </w:rPr>
        <w:t> </w:t>
      </w:r>
      <w:r>
        <w:rPr>
          <w:rFonts w:ascii="Segoe UI" w:hAnsi="Segoe UI"/>
          <w:spacing w:val="-2"/>
        </w:rPr>
        <w:t>Services.</w:t>
      </w:r>
    </w:p>
    <w:p>
      <w:pPr>
        <w:pStyle w:val="BodyText"/>
        <w:tabs>
          <w:tab w:pos="1729" w:val="left" w:leader="none"/>
        </w:tabs>
        <w:spacing w:line="317"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rPr>
        <w:t>Paediatric</w:t>
      </w:r>
      <w:r>
        <w:rPr>
          <w:rFonts w:ascii="Segoe UI" w:hAnsi="Segoe UI"/>
          <w:spacing w:val="-8"/>
        </w:rPr>
        <w:t> </w:t>
      </w:r>
      <w:r>
        <w:rPr>
          <w:rFonts w:ascii="Segoe UI" w:hAnsi="Segoe UI"/>
          <w:spacing w:val="-2"/>
        </w:rPr>
        <w:t>Orthopaedics.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Orthopaedic</w:t>
      </w:r>
      <w:r>
        <w:rPr>
          <w:rFonts w:ascii="Segoe UI" w:hAnsi="Segoe UI"/>
          <w:spacing w:val="-6"/>
        </w:rPr>
        <w:t> </w:t>
      </w:r>
      <w:r>
        <w:rPr>
          <w:rFonts w:ascii="Segoe UI" w:hAnsi="Segoe UI"/>
          <w:spacing w:val="-2"/>
        </w:rPr>
        <w:t>Trauma.</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Revision</w:t>
      </w:r>
      <w:r>
        <w:rPr>
          <w:rFonts w:ascii="Segoe UI" w:hAnsi="Segoe UI"/>
          <w:spacing w:val="-7"/>
        </w:rPr>
        <w:t> </w:t>
      </w:r>
      <w:r>
        <w:rPr>
          <w:rFonts w:ascii="Segoe UI" w:hAnsi="Segoe UI"/>
        </w:rPr>
        <w:t>and</w:t>
      </w:r>
      <w:r>
        <w:rPr>
          <w:rFonts w:ascii="Segoe UI" w:hAnsi="Segoe UI"/>
          <w:spacing w:val="-6"/>
        </w:rPr>
        <w:t> </w:t>
      </w:r>
      <w:r>
        <w:rPr>
          <w:rFonts w:ascii="Segoe UI" w:hAnsi="Segoe UI"/>
        </w:rPr>
        <w:t>Complex</w:t>
      </w:r>
      <w:r>
        <w:rPr>
          <w:rFonts w:ascii="Segoe UI" w:hAnsi="Segoe UI"/>
          <w:spacing w:val="-5"/>
        </w:rPr>
        <w:t> </w:t>
      </w:r>
      <w:r>
        <w:rPr>
          <w:rFonts w:ascii="Segoe UI" w:hAnsi="Segoe UI"/>
        </w:rPr>
        <w:t>Reconstruction</w:t>
      </w:r>
      <w:r>
        <w:rPr>
          <w:rFonts w:ascii="Segoe UI" w:hAnsi="Segoe UI"/>
          <w:spacing w:val="-6"/>
        </w:rPr>
        <w:t> </w:t>
      </w:r>
      <w:r>
        <w:rPr>
          <w:rFonts w:ascii="Segoe UI" w:hAnsi="Segoe UI"/>
          <w:spacing w:val="-2"/>
        </w:rPr>
        <w:t>Surgery.</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Musculoskeletal</w:t>
      </w:r>
      <w:r>
        <w:rPr>
          <w:rFonts w:ascii="Segoe UI" w:hAnsi="Segoe UI"/>
          <w:spacing w:val="-7"/>
        </w:rPr>
        <w:t> </w:t>
      </w:r>
      <w:r>
        <w:rPr>
          <w:rFonts w:ascii="Segoe UI" w:hAnsi="Segoe UI"/>
        </w:rPr>
        <w:t>Interface</w:t>
      </w:r>
      <w:r>
        <w:rPr>
          <w:rFonts w:ascii="Segoe UI" w:hAnsi="Segoe UI"/>
          <w:spacing w:val="-1"/>
        </w:rPr>
        <w:t> </w:t>
      </w:r>
      <w:r>
        <w:rPr>
          <w:rFonts w:ascii="Segoe UI" w:hAnsi="Segoe UI"/>
        </w:rPr>
        <w:t>and</w:t>
      </w:r>
      <w:r>
        <w:rPr>
          <w:rFonts w:ascii="Segoe UI" w:hAnsi="Segoe UI"/>
          <w:spacing w:val="-7"/>
        </w:rPr>
        <w:t> </w:t>
      </w:r>
      <w:r>
        <w:rPr>
          <w:rFonts w:ascii="Segoe UI" w:hAnsi="Segoe UI"/>
        </w:rPr>
        <w:t>Community-Based</w:t>
      </w:r>
      <w:r>
        <w:rPr>
          <w:rFonts w:ascii="Segoe UI" w:hAnsi="Segoe UI"/>
          <w:spacing w:val="-7"/>
        </w:rPr>
        <w:t> </w:t>
      </w:r>
      <w:r>
        <w:rPr>
          <w:rFonts w:ascii="Segoe UI" w:hAnsi="Segoe UI"/>
          <w:spacing w:val="-2"/>
        </w:rPr>
        <w:t>Services.</w:t>
      </w:r>
    </w:p>
    <w:p>
      <w:pPr>
        <w:spacing w:before="281"/>
        <w:ind w:left="1009" w:right="0" w:firstLine="0"/>
        <w:jc w:val="left"/>
        <w:rPr>
          <w:rFonts w:ascii="Segoe UI" w:hAnsi="Segoe UI"/>
          <w:b/>
          <w:sz w:val="24"/>
        </w:rPr>
      </w:pPr>
      <w:r>
        <w:rPr>
          <w:rFonts w:ascii="Segoe UI" w:hAnsi="Segoe UI"/>
          <w:b/>
          <w:sz w:val="24"/>
        </w:rPr>
        <w:t>Sites/Locations</w:t>
      </w:r>
      <w:r>
        <w:rPr>
          <w:rFonts w:ascii="Segoe UI" w:hAnsi="Segoe UI"/>
          <w:b/>
          <w:spacing w:val="-5"/>
          <w:sz w:val="24"/>
        </w:rPr>
        <w:t> </w:t>
      </w:r>
      <w:r>
        <w:rPr>
          <w:rFonts w:ascii="Segoe UI" w:hAnsi="Segoe UI"/>
          <w:b/>
          <w:sz w:val="24"/>
        </w:rPr>
        <w:t>–</w:t>
      </w:r>
      <w:r>
        <w:rPr>
          <w:rFonts w:ascii="Segoe UI" w:hAnsi="Segoe UI"/>
          <w:b/>
          <w:spacing w:val="-5"/>
          <w:sz w:val="24"/>
        </w:rPr>
        <w:t> </w:t>
      </w:r>
      <w:r>
        <w:rPr>
          <w:rFonts w:ascii="Segoe UI" w:hAnsi="Segoe UI"/>
          <w:b/>
          <w:sz w:val="24"/>
        </w:rPr>
        <w:t>In-</w:t>
      </w:r>
      <w:r>
        <w:rPr>
          <w:rFonts w:ascii="Segoe UI" w:hAnsi="Segoe UI"/>
          <w:b/>
          <w:spacing w:val="-4"/>
          <w:sz w:val="24"/>
        </w:rPr>
        <w:t>scope</w:t>
      </w:r>
    </w:p>
    <w:p>
      <w:pPr>
        <w:pStyle w:val="BodyText"/>
        <w:spacing w:before="281"/>
        <w:ind w:left="1009"/>
        <w:rPr>
          <w:rFonts w:ascii="Segoe UI"/>
        </w:rPr>
      </w:pPr>
      <w:r>
        <w:rPr>
          <w:rFonts w:ascii="Segoe UI"/>
        </w:rPr>
        <w:t>The</w:t>
      </w:r>
      <w:r>
        <w:rPr>
          <w:rFonts w:ascii="Segoe UI"/>
          <w:spacing w:val="-6"/>
        </w:rPr>
        <w:t> </w:t>
      </w:r>
      <w:r>
        <w:rPr>
          <w:rFonts w:ascii="Segoe UI"/>
        </w:rPr>
        <w:t>programme</w:t>
      </w:r>
      <w:r>
        <w:rPr>
          <w:rFonts w:ascii="Segoe UI"/>
          <w:spacing w:val="-5"/>
        </w:rPr>
        <w:t> </w:t>
      </w:r>
      <w:r>
        <w:rPr>
          <w:rFonts w:ascii="Segoe UI"/>
        </w:rPr>
        <w:t>will include</w:t>
      </w:r>
      <w:r>
        <w:rPr>
          <w:rFonts w:ascii="Segoe UI"/>
          <w:spacing w:val="-5"/>
        </w:rPr>
        <w:t> </w:t>
      </w:r>
      <w:r>
        <w:rPr>
          <w:rFonts w:ascii="Segoe UI"/>
        </w:rPr>
        <w:t>consideration</w:t>
      </w:r>
      <w:r>
        <w:rPr>
          <w:rFonts w:ascii="Segoe UI"/>
          <w:spacing w:val="-6"/>
        </w:rPr>
        <w:t> </w:t>
      </w:r>
      <w:r>
        <w:rPr>
          <w:rFonts w:ascii="Segoe UI"/>
          <w:spacing w:val="-5"/>
        </w:rPr>
        <w:t>of:</w:t>
      </w:r>
    </w:p>
    <w:p>
      <w:pPr>
        <w:pStyle w:val="BodyText"/>
        <w:tabs>
          <w:tab w:pos="1729" w:val="left" w:leader="none"/>
        </w:tabs>
        <w:spacing w:line="317" w:lineRule="exact" w:before="281"/>
        <w:ind w:left="1369"/>
        <w:rPr>
          <w:rFonts w:ascii="Segoe UI" w:hAnsi="Segoe UI"/>
        </w:rPr>
      </w:pPr>
      <w:r>
        <w:rPr>
          <w:rFonts w:ascii="Calibri" w:hAnsi="Calibri"/>
          <w:spacing w:val="-10"/>
          <w:sz w:val="20"/>
        </w:rPr>
        <w:t>−</w:t>
      </w:r>
      <w:r>
        <w:rPr>
          <w:rFonts w:ascii="Calibri" w:hAnsi="Calibri"/>
          <w:sz w:val="20"/>
        </w:rPr>
        <w:tab/>
      </w:r>
      <w:r>
        <w:rPr>
          <w:rFonts w:ascii="Segoe UI" w:hAnsi="Segoe UI"/>
          <w:spacing w:val="-2"/>
        </w:rPr>
        <w:t>Bronglais</w:t>
      </w:r>
    </w:p>
    <w:p>
      <w:pPr>
        <w:pStyle w:val="BodyText"/>
        <w:tabs>
          <w:tab w:pos="1729" w:val="left" w:leader="none"/>
        </w:tabs>
        <w:spacing w:line="317"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spacing w:val="-2"/>
        </w:rPr>
        <w:t>Morriston</w:t>
      </w:r>
    </w:p>
    <w:p>
      <w:pPr>
        <w:pStyle w:val="BodyText"/>
        <w:rPr>
          <w:rFonts w:ascii="Segoe UI"/>
          <w:sz w:val="16"/>
        </w:rPr>
      </w:pPr>
    </w:p>
    <w:p>
      <w:pPr>
        <w:pStyle w:val="BodyText"/>
        <w:rPr>
          <w:rFonts w:ascii="Segoe UI"/>
          <w:sz w:val="16"/>
        </w:rPr>
      </w:pPr>
    </w:p>
    <w:p>
      <w:pPr>
        <w:pStyle w:val="BodyText"/>
        <w:spacing w:before="49"/>
        <w:rPr>
          <w:rFonts w:ascii="Segoe U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24" name="Image 224"/>
            <wp:cNvGraphicFramePr>
              <a:graphicFrameLocks/>
            </wp:cNvGraphicFramePr>
            <a:graphic>
              <a:graphicData uri="http://schemas.openxmlformats.org/drawingml/2006/picture">
                <pic:pic>
                  <pic:nvPicPr>
                    <pic:cNvPr id="224" name="Image 224"/>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25" name="Image 225"/>
            <wp:cNvGraphicFramePr>
              <a:graphicFrameLocks/>
            </wp:cNvGraphicFramePr>
            <a:graphic>
              <a:graphicData uri="http://schemas.openxmlformats.org/drawingml/2006/picture">
                <pic:pic>
                  <pic:nvPicPr>
                    <pic:cNvPr id="225" name="Image 225"/>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59"/>
        <w:rPr>
          <w:rFonts w:ascii="Calibri"/>
        </w:rPr>
      </w:pPr>
    </w:p>
    <w:p>
      <w:pPr>
        <w:pStyle w:val="BodyText"/>
        <w:tabs>
          <w:tab w:pos="1729" w:val="left" w:leader="none"/>
        </w:tabs>
        <w:ind w:left="1369"/>
        <w:rPr>
          <w:rFonts w:ascii="Segoe UI" w:hAnsi="Segoe UI"/>
        </w:rPr>
      </w:pPr>
      <w:r>
        <w:rPr>
          <w:rFonts w:ascii="Calibri" w:hAnsi="Calibri"/>
          <w:spacing w:val="-10"/>
          <w:sz w:val="20"/>
        </w:rPr>
        <w:t>−</w:t>
      </w:r>
      <w:r>
        <w:rPr>
          <w:rFonts w:ascii="Calibri" w:hAnsi="Calibri"/>
          <w:sz w:val="20"/>
        </w:rPr>
        <w:tab/>
      </w:r>
      <w:r>
        <w:rPr>
          <w:rFonts w:ascii="Segoe UI" w:hAnsi="Segoe UI"/>
        </w:rPr>
        <w:t>Neath</w:t>
      </w:r>
      <w:r>
        <w:rPr>
          <w:rFonts w:ascii="Segoe UI" w:hAnsi="Segoe UI"/>
          <w:spacing w:val="-5"/>
        </w:rPr>
        <w:t> </w:t>
      </w:r>
      <w:r>
        <w:rPr>
          <w:rFonts w:ascii="Segoe UI" w:hAnsi="Segoe UI"/>
        </w:rPr>
        <w:t>Port</w:t>
      </w:r>
      <w:r>
        <w:rPr>
          <w:rFonts w:ascii="Segoe UI" w:hAnsi="Segoe UI"/>
          <w:spacing w:val="-4"/>
        </w:rPr>
        <w:t> </w:t>
      </w:r>
      <w:r>
        <w:rPr>
          <w:rFonts w:ascii="Segoe UI" w:hAnsi="Segoe UI"/>
          <w:spacing w:val="-2"/>
        </w:rPr>
        <w:t>Talbot</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spacing w:val="-2"/>
        </w:rPr>
        <w:t>Glangwili</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Prince</w:t>
      </w:r>
      <w:r>
        <w:rPr>
          <w:rFonts w:ascii="Segoe UI" w:hAnsi="Segoe UI"/>
          <w:spacing w:val="-1"/>
        </w:rPr>
        <w:t> </w:t>
      </w:r>
      <w:r>
        <w:rPr>
          <w:rFonts w:ascii="Segoe UI" w:hAnsi="Segoe UI"/>
          <w:spacing w:val="-2"/>
        </w:rPr>
        <w:t>Philip</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spacing w:val="-2"/>
        </w:rPr>
        <w:t>Withybush</w:t>
      </w:r>
    </w:p>
    <w:p>
      <w:pPr>
        <w:spacing w:before="276"/>
        <w:ind w:left="1009" w:right="0" w:firstLine="0"/>
        <w:jc w:val="left"/>
        <w:rPr>
          <w:rFonts w:ascii="Segoe UI" w:hAnsi="Segoe UI"/>
          <w:b/>
          <w:sz w:val="24"/>
        </w:rPr>
      </w:pPr>
      <w:r>
        <w:rPr>
          <w:rFonts w:ascii="Segoe UI" w:hAnsi="Segoe UI"/>
          <w:b/>
          <w:sz w:val="24"/>
        </w:rPr>
        <w:t>Sites/Locations</w:t>
      </w:r>
      <w:r>
        <w:rPr>
          <w:rFonts w:ascii="Segoe UI" w:hAnsi="Segoe UI"/>
          <w:b/>
          <w:spacing w:val="-4"/>
          <w:sz w:val="24"/>
        </w:rPr>
        <w:t> </w:t>
      </w:r>
      <w:r>
        <w:rPr>
          <w:rFonts w:ascii="Segoe UI" w:hAnsi="Segoe UI"/>
          <w:b/>
          <w:sz w:val="24"/>
        </w:rPr>
        <w:t>–</w:t>
      </w:r>
      <w:r>
        <w:rPr>
          <w:rFonts w:ascii="Segoe UI" w:hAnsi="Segoe UI"/>
          <w:b/>
          <w:spacing w:val="-3"/>
          <w:sz w:val="24"/>
        </w:rPr>
        <w:t> </w:t>
      </w:r>
      <w:r>
        <w:rPr>
          <w:rFonts w:ascii="Segoe UI" w:hAnsi="Segoe UI"/>
          <w:b/>
          <w:sz w:val="24"/>
        </w:rPr>
        <w:t>Out</w:t>
      </w:r>
      <w:r>
        <w:rPr>
          <w:rFonts w:ascii="Segoe UI" w:hAnsi="Segoe UI"/>
          <w:b/>
          <w:spacing w:val="-2"/>
          <w:sz w:val="24"/>
        </w:rPr>
        <w:t> </w:t>
      </w:r>
      <w:r>
        <w:rPr>
          <w:rFonts w:ascii="Segoe UI" w:hAnsi="Segoe UI"/>
          <w:b/>
          <w:sz w:val="24"/>
        </w:rPr>
        <w:t>of</w:t>
      </w:r>
      <w:r>
        <w:rPr>
          <w:rFonts w:ascii="Segoe UI" w:hAnsi="Segoe UI"/>
          <w:b/>
          <w:spacing w:val="-6"/>
          <w:sz w:val="24"/>
        </w:rPr>
        <w:t> </w:t>
      </w:r>
      <w:r>
        <w:rPr>
          <w:rFonts w:ascii="Segoe UI" w:hAnsi="Segoe UI"/>
          <w:b/>
          <w:spacing w:val="-4"/>
          <w:sz w:val="24"/>
        </w:rPr>
        <w:t>scope</w:t>
      </w:r>
    </w:p>
    <w:p>
      <w:pPr>
        <w:pStyle w:val="BodyText"/>
        <w:tabs>
          <w:tab w:pos="1729" w:val="left" w:leader="none"/>
        </w:tabs>
        <w:spacing w:before="281"/>
        <w:ind w:left="1369"/>
        <w:rPr>
          <w:rFonts w:ascii="Segoe UI" w:hAnsi="Segoe UI"/>
        </w:rPr>
      </w:pPr>
      <w:r>
        <w:rPr>
          <w:rFonts w:ascii="Calibri" w:hAnsi="Calibri"/>
          <w:spacing w:val="-10"/>
          <w:sz w:val="20"/>
        </w:rPr>
        <w:t>−</w:t>
      </w:r>
      <w:r>
        <w:rPr>
          <w:rFonts w:ascii="Calibri" w:hAnsi="Calibri"/>
          <w:sz w:val="20"/>
        </w:rPr>
        <w:tab/>
      </w:r>
      <w:r>
        <w:rPr>
          <w:rFonts w:ascii="Segoe UI" w:hAnsi="Segoe UI"/>
        </w:rPr>
        <w:t>Singleton</w:t>
      </w:r>
      <w:r>
        <w:rPr>
          <w:rFonts w:ascii="Segoe UI" w:hAnsi="Segoe UI"/>
          <w:spacing w:val="-4"/>
        </w:rPr>
        <w:t> </w:t>
      </w:r>
      <w:r>
        <w:rPr>
          <w:rFonts w:ascii="Segoe UI" w:hAnsi="Segoe UI"/>
          <w:spacing w:val="-2"/>
        </w:rPr>
        <w:t>Hospital</w:t>
      </w:r>
    </w:p>
    <w:p>
      <w:pPr>
        <w:spacing w:before="281"/>
        <w:ind w:left="1009" w:right="0" w:firstLine="0"/>
        <w:jc w:val="left"/>
        <w:rPr>
          <w:rFonts w:ascii="Segoe UI" w:hAnsi="Segoe UI"/>
          <w:b/>
          <w:sz w:val="24"/>
        </w:rPr>
      </w:pPr>
      <w:r>
        <w:rPr>
          <w:rFonts w:ascii="Segoe UI" w:hAnsi="Segoe UI"/>
          <w:b/>
          <w:sz w:val="24"/>
        </w:rPr>
        <w:t>Geography</w:t>
      </w:r>
      <w:r>
        <w:rPr>
          <w:rFonts w:ascii="Segoe UI" w:hAnsi="Segoe UI"/>
          <w:b/>
          <w:spacing w:val="-8"/>
          <w:sz w:val="24"/>
        </w:rPr>
        <w:t> </w:t>
      </w:r>
      <w:r>
        <w:rPr>
          <w:rFonts w:ascii="Segoe UI" w:hAnsi="Segoe UI"/>
          <w:b/>
          <w:sz w:val="24"/>
        </w:rPr>
        <w:t>–</w:t>
      </w:r>
      <w:r>
        <w:rPr>
          <w:rFonts w:ascii="Segoe UI" w:hAnsi="Segoe UI"/>
          <w:b/>
          <w:spacing w:val="-7"/>
          <w:sz w:val="24"/>
        </w:rPr>
        <w:t> </w:t>
      </w:r>
      <w:r>
        <w:rPr>
          <w:rFonts w:ascii="Segoe UI" w:hAnsi="Segoe UI"/>
          <w:b/>
          <w:sz w:val="24"/>
        </w:rPr>
        <w:t>In-</w:t>
      </w:r>
      <w:r>
        <w:rPr>
          <w:rFonts w:ascii="Segoe UI" w:hAnsi="Segoe UI"/>
          <w:b/>
          <w:spacing w:val="-4"/>
          <w:sz w:val="24"/>
        </w:rPr>
        <w:t>scope</w:t>
      </w:r>
    </w:p>
    <w:p>
      <w:pPr>
        <w:pStyle w:val="BodyText"/>
        <w:spacing w:before="161"/>
        <w:ind w:left="1009"/>
        <w:rPr>
          <w:rFonts w:ascii="Segoe UI"/>
        </w:rPr>
      </w:pPr>
      <w:r>
        <w:rPr>
          <w:rFonts w:ascii="Segoe UI"/>
        </w:rPr>
        <w:t>The</w:t>
      </w:r>
      <w:r>
        <w:rPr>
          <w:rFonts w:ascii="Segoe UI"/>
          <w:spacing w:val="-7"/>
        </w:rPr>
        <w:t> </w:t>
      </w:r>
      <w:r>
        <w:rPr>
          <w:rFonts w:ascii="Segoe UI"/>
        </w:rPr>
        <w:t>programme</w:t>
      </w:r>
      <w:r>
        <w:rPr>
          <w:rFonts w:ascii="Segoe UI"/>
          <w:spacing w:val="-5"/>
        </w:rPr>
        <w:t> </w:t>
      </w:r>
      <w:r>
        <w:rPr>
          <w:rFonts w:ascii="Segoe UI"/>
        </w:rPr>
        <w:t>will include</w:t>
      </w:r>
      <w:r>
        <w:rPr>
          <w:rFonts w:ascii="Segoe UI"/>
          <w:spacing w:val="-4"/>
        </w:rPr>
        <w:t> </w:t>
      </w:r>
      <w:r>
        <w:rPr>
          <w:rFonts w:ascii="Segoe UI"/>
        </w:rPr>
        <w:t>consideration</w:t>
      </w:r>
      <w:r>
        <w:rPr>
          <w:rFonts w:ascii="Segoe UI"/>
          <w:spacing w:val="-6"/>
        </w:rPr>
        <w:t> </w:t>
      </w:r>
      <w:r>
        <w:rPr>
          <w:rFonts w:ascii="Segoe UI"/>
        </w:rPr>
        <w:t>of</w:t>
      </w:r>
      <w:r>
        <w:rPr>
          <w:rFonts w:ascii="Segoe UI"/>
          <w:spacing w:val="2"/>
        </w:rPr>
        <w:t> </w:t>
      </w:r>
      <w:r>
        <w:rPr>
          <w:rFonts w:ascii="Segoe UI"/>
          <w:u w:val="single"/>
        </w:rPr>
        <w:t>patient</w:t>
      </w:r>
      <w:r>
        <w:rPr>
          <w:rFonts w:ascii="Segoe UI"/>
          <w:spacing w:val="-5"/>
          <w:u w:val="single"/>
        </w:rPr>
        <w:t> </w:t>
      </w:r>
      <w:r>
        <w:rPr>
          <w:rFonts w:ascii="Segoe UI"/>
          <w:spacing w:val="-2"/>
          <w:u w:val="single"/>
        </w:rPr>
        <w:t>flows</w:t>
      </w:r>
      <w:r>
        <w:rPr>
          <w:rFonts w:ascii="Segoe UI"/>
          <w:spacing w:val="-2"/>
          <w:u w:val="none"/>
        </w:rPr>
        <w:t>:</w:t>
      </w:r>
    </w:p>
    <w:p>
      <w:pPr>
        <w:pStyle w:val="BodyText"/>
        <w:tabs>
          <w:tab w:pos="1729" w:val="left" w:leader="none"/>
        </w:tabs>
        <w:spacing w:line="317" w:lineRule="exact" w:before="281"/>
        <w:ind w:left="1369"/>
        <w:rPr>
          <w:rFonts w:ascii="Segoe UI" w:hAnsi="Segoe UI"/>
        </w:rPr>
      </w:pPr>
      <w:r>
        <w:rPr>
          <w:rFonts w:ascii="Calibri" w:hAnsi="Calibri"/>
          <w:spacing w:val="-10"/>
          <w:sz w:val="20"/>
        </w:rPr>
        <w:t>−</w:t>
      </w:r>
      <w:r>
        <w:rPr>
          <w:rFonts w:ascii="Calibri" w:hAnsi="Calibri"/>
          <w:sz w:val="20"/>
        </w:rPr>
        <w:tab/>
      </w:r>
      <w:r>
        <w:rPr>
          <w:rFonts w:ascii="Segoe UI" w:hAnsi="Segoe UI"/>
        </w:rPr>
        <w:t>Hywel</w:t>
      </w:r>
      <w:r>
        <w:rPr>
          <w:rFonts w:ascii="Segoe UI" w:hAnsi="Segoe UI"/>
          <w:spacing w:val="-2"/>
        </w:rPr>
        <w:t> </w:t>
      </w:r>
      <w:r>
        <w:rPr>
          <w:rFonts w:ascii="Segoe UI" w:hAnsi="Segoe UI"/>
        </w:rPr>
        <w:t>Dda</w:t>
      </w:r>
      <w:r>
        <w:rPr>
          <w:rFonts w:ascii="Segoe UI" w:hAnsi="Segoe UI"/>
          <w:spacing w:val="-4"/>
        </w:rPr>
        <w:t> </w:t>
      </w:r>
      <w:r>
        <w:rPr>
          <w:rFonts w:ascii="Segoe UI" w:hAnsi="Segoe UI"/>
          <w:spacing w:val="-5"/>
        </w:rPr>
        <w:t>UHB</w:t>
      </w:r>
    </w:p>
    <w:p>
      <w:pPr>
        <w:pStyle w:val="BodyText"/>
        <w:tabs>
          <w:tab w:pos="1729" w:val="left" w:leader="none"/>
        </w:tabs>
        <w:spacing w:line="317"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rPr>
        <w:t>Swansea</w:t>
      </w:r>
      <w:r>
        <w:rPr>
          <w:rFonts w:ascii="Segoe UI" w:hAnsi="Segoe UI"/>
          <w:spacing w:val="-6"/>
        </w:rPr>
        <w:t> </w:t>
      </w:r>
      <w:r>
        <w:rPr>
          <w:rFonts w:ascii="Segoe UI" w:hAnsi="Segoe UI"/>
        </w:rPr>
        <w:t>Bay</w:t>
      </w:r>
      <w:r>
        <w:rPr>
          <w:rFonts w:ascii="Segoe UI" w:hAnsi="Segoe UI"/>
          <w:spacing w:val="-4"/>
        </w:rPr>
        <w:t> </w:t>
      </w:r>
      <w:r>
        <w:rPr>
          <w:rFonts w:ascii="Segoe UI" w:hAnsi="Segoe UI"/>
          <w:spacing w:val="-5"/>
        </w:rPr>
        <w:t>UHB</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Powys</w:t>
      </w:r>
      <w:r>
        <w:rPr>
          <w:rFonts w:ascii="Segoe UI" w:hAnsi="Segoe UI"/>
          <w:spacing w:val="-4"/>
        </w:rPr>
        <w:t> </w:t>
      </w:r>
      <w:r>
        <w:rPr>
          <w:rFonts w:ascii="Segoe UI" w:hAnsi="Segoe UI"/>
          <w:spacing w:val="-5"/>
        </w:rPr>
        <w:t>THB</w:t>
      </w:r>
    </w:p>
    <w:p>
      <w:pPr>
        <w:tabs>
          <w:tab w:pos="1729" w:val="left" w:leader="none"/>
        </w:tabs>
        <w:spacing w:before="1"/>
        <w:ind w:left="1369" w:right="0" w:firstLine="0"/>
        <w:jc w:val="left"/>
        <w:rPr>
          <w:rFonts w:ascii="Segoe UI" w:hAnsi="Segoe UI"/>
          <w:sz w:val="24"/>
        </w:rPr>
      </w:pPr>
      <w:r>
        <w:rPr>
          <w:rFonts w:ascii="Calibri" w:hAnsi="Calibri"/>
          <w:spacing w:val="-10"/>
          <w:sz w:val="20"/>
        </w:rPr>
        <w:t>−</w:t>
      </w:r>
      <w:r>
        <w:rPr>
          <w:rFonts w:ascii="Calibri" w:hAnsi="Calibri"/>
          <w:sz w:val="20"/>
        </w:rPr>
        <w:tab/>
      </w:r>
      <w:r>
        <w:rPr>
          <w:rFonts w:ascii="Segoe UI" w:hAnsi="Segoe UI"/>
          <w:spacing w:val="-2"/>
          <w:sz w:val="24"/>
        </w:rPr>
        <w:t>BCUHB</w:t>
      </w:r>
    </w:p>
    <w:p>
      <w:pPr>
        <w:pStyle w:val="BodyText"/>
        <w:tabs>
          <w:tab w:pos="1729" w:val="left" w:leader="none"/>
        </w:tabs>
        <w:ind w:left="1369"/>
        <w:rPr>
          <w:rFonts w:ascii="Segoe UI" w:hAnsi="Segoe UI"/>
        </w:rPr>
      </w:pPr>
      <w:r>
        <w:rPr>
          <w:rFonts w:ascii="Calibri" w:hAnsi="Calibri"/>
          <w:spacing w:val="-10"/>
          <w:sz w:val="20"/>
        </w:rPr>
        <w:t>−</w:t>
      </w:r>
      <w:r>
        <w:rPr>
          <w:rFonts w:ascii="Calibri" w:hAnsi="Calibri"/>
          <w:sz w:val="20"/>
        </w:rPr>
        <w:tab/>
      </w:r>
      <w:r>
        <w:rPr>
          <w:rFonts w:ascii="Segoe UI" w:hAnsi="Segoe UI"/>
        </w:rPr>
        <w:t>Cwm</w:t>
      </w:r>
      <w:r>
        <w:rPr>
          <w:rFonts w:ascii="Segoe UI" w:hAnsi="Segoe UI"/>
          <w:spacing w:val="-5"/>
        </w:rPr>
        <w:t> </w:t>
      </w:r>
      <w:r>
        <w:rPr>
          <w:rFonts w:ascii="Segoe UI" w:hAnsi="Segoe UI"/>
        </w:rPr>
        <w:t>Taf</w:t>
      </w:r>
      <w:r>
        <w:rPr>
          <w:rFonts w:ascii="Segoe UI" w:hAnsi="Segoe UI"/>
          <w:spacing w:val="-3"/>
        </w:rPr>
        <w:t> </w:t>
      </w:r>
      <w:r>
        <w:rPr>
          <w:rFonts w:ascii="Segoe UI" w:hAnsi="Segoe UI"/>
        </w:rPr>
        <w:t>Morgannwg</w:t>
      </w:r>
      <w:r>
        <w:rPr>
          <w:rFonts w:ascii="Segoe UI" w:hAnsi="Segoe UI"/>
          <w:spacing w:val="-4"/>
        </w:rPr>
        <w:t> </w:t>
      </w:r>
      <w:r>
        <w:rPr>
          <w:rFonts w:ascii="Segoe UI" w:hAnsi="Segoe UI"/>
          <w:spacing w:val="-5"/>
        </w:rPr>
        <w:t>UHB</w:t>
      </w:r>
    </w:p>
    <w:p>
      <w:pPr>
        <w:pStyle w:val="BodyText"/>
        <w:tabs>
          <w:tab w:pos="1729" w:val="left" w:leader="none"/>
        </w:tabs>
        <w:spacing w:before="2"/>
        <w:ind w:left="1369"/>
        <w:rPr>
          <w:rFonts w:ascii="Segoe UI" w:hAnsi="Segoe UI"/>
        </w:rPr>
      </w:pPr>
      <w:r>
        <w:rPr>
          <w:rFonts w:ascii="Calibri" w:hAnsi="Calibri"/>
          <w:spacing w:val="-10"/>
          <w:sz w:val="20"/>
        </w:rPr>
        <w:t>−</w:t>
      </w:r>
      <w:r>
        <w:rPr>
          <w:rFonts w:ascii="Calibri" w:hAnsi="Calibri"/>
          <w:sz w:val="20"/>
        </w:rPr>
        <w:tab/>
      </w:r>
      <w:r>
        <w:rPr>
          <w:rFonts w:ascii="Segoe UI" w:hAnsi="Segoe UI"/>
        </w:rPr>
        <w:t>Cardiff</w:t>
      </w:r>
      <w:r>
        <w:rPr>
          <w:rFonts w:ascii="Segoe UI" w:hAnsi="Segoe UI"/>
          <w:spacing w:val="-6"/>
        </w:rPr>
        <w:t> </w:t>
      </w:r>
      <w:r>
        <w:rPr>
          <w:rFonts w:ascii="Segoe UI" w:hAnsi="Segoe UI"/>
        </w:rPr>
        <w:t>and</w:t>
      </w:r>
      <w:r>
        <w:rPr>
          <w:rFonts w:ascii="Segoe UI" w:hAnsi="Segoe UI"/>
          <w:spacing w:val="-6"/>
        </w:rPr>
        <w:t> </w:t>
      </w:r>
      <w:r>
        <w:rPr>
          <w:rFonts w:ascii="Segoe UI" w:hAnsi="Segoe UI"/>
        </w:rPr>
        <w:t>Vale</w:t>
      </w:r>
      <w:r>
        <w:rPr>
          <w:rFonts w:ascii="Segoe UI" w:hAnsi="Segoe UI"/>
          <w:spacing w:val="-4"/>
        </w:rPr>
        <w:t> </w:t>
      </w:r>
      <w:r>
        <w:rPr>
          <w:rFonts w:ascii="Segoe UI" w:hAnsi="Segoe UI"/>
          <w:spacing w:val="-5"/>
        </w:rPr>
        <w:t>UHB</w:t>
      </w:r>
    </w:p>
    <w:p>
      <w:pPr>
        <w:spacing w:before="280"/>
        <w:ind w:left="1009" w:right="0" w:firstLine="0"/>
        <w:jc w:val="left"/>
        <w:rPr>
          <w:rFonts w:ascii="Segoe UI" w:hAnsi="Segoe UI"/>
          <w:b/>
          <w:sz w:val="24"/>
        </w:rPr>
      </w:pPr>
      <w:r>
        <w:rPr>
          <w:rFonts w:ascii="Segoe UI" w:hAnsi="Segoe UI"/>
          <w:b/>
          <w:sz w:val="24"/>
        </w:rPr>
        <w:t>Pathway</w:t>
      </w:r>
      <w:r>
        <w:rPr>
          <w:rFonts w:ascii="Segoe UI" w:hAnsi="Segoe UI"/>
          <w:b/>
          <w:spacing w:val="-5"/>
          <w:sz w:val="24"/>
        </w:rPr>
        <w:t> </w:t>
      </w:r>
      <w:r>
        <w:rPr>
          <w:rFonts w:ascii="Segoe UI" w:hAnsi="Segoe UI"/>
          <w:b/>
          <w:sz w:val="24"/>
        </w:rPr>
        <w:t>–</w:t>
      </w:r>
      <w:r>
        <w:rPr>
          <w:rFonts w:ascii="Segoe UI" w:hAnsi="Segoe UI"/>
          <w:b/>
          <w:spacing w:val="-4"/>
          <w:sz w:val="24"/>
        </w:rPr>
        <w:t> </w:t>
      </w:r>
      <w:r>
        <w:rPr>
          <w:rFonts w:ascii="Segoe UI" w:hAnsi="Segoe UI"/>
          <w:b/>
          <w:sz w:val="24"/>
        </w:rPr>
        <w:t>In-</w:t>
      </w:r>
      <w:r>
        <w:rPr>
          <w:rFonts w:ascii="Segoe UI" w:hAnsi="Segoe UI"/>
          <w:b/>
          <w:spacing w:val="-4"/>
          <w:sz w:val="24"/>
        </w:rPr>
        <w:t>scope</w:t>
      </w:r>
    </w:p>
    <w:p>
      <w:pPr>
        <w:pStyle w:val="BodyText"/>
        <w:tabs>
          <w:tab w:pos="1729" w:val="left" w:leader="none"/>
        </w:tabs>
        <w:spacing w:line="317" w:lineRule="exact" w:before="281"/>
        <w:ind w:left="1369"/>
        <w:rPr>
          <w:rFonts w:ascii="Segoe UI" w:hAnsi="Segoe UI"/>
        </w:rPr>
      </w:pPr>
      <w:r>
        <w:rPr>
          <w:rFonts w:ascii="Calibri" w:hAnsi="Calibri"/>
          <w:spacing w:val="-10"/>
          <w:sz w:val="20"/>
        </w:rPr>
        <w:t>−</w:t>
      </w:r>
      <w:r>
        <w:rPr>
          <w:rFonts w:ascii="Calibri" w:hAnsi="Calibri"/>
          <w:sz w:val="20"/>
        </w:rPr>
        <w:tab/>
      </w:r>
      <w:r>
        <w:rPr>
          <w:rFonts w:ascii="Segoe UI" w:hAnsi="Segoe UI"/>
        </w:rPr>
        <w:t>Initial</w:t>
      </w:r>
      <w:r>
        <w:rPr>
          <w:rFonts w:ascii="Segoe UI" w:hAnsi="Segoe UI"/>
          <w:spacing w:val="-4"/>
        </w:rPr>
        <w:t> </w:t>
      </w:r>
      <w:r>
        <w:rPr>
          <w:rFonts w:ascii="Segoe UI" w:hAnsi="Segoe UI"/>
          <w:spacing w:val="-2"/>
        </w:rPr>
        <w:t>assessment</w:t>
      </w:r>
    </w:p>
    <w:p>
      <w:pPr>
        <w:pStyle w:val="BodyText"/>
        <w:tabs>
          <w:tab w:pos="1729" w:val="left" w:leader="none"/>
        </w:tabs>
        <w:ind w:left="1730" w:right="1269" w:hanging="361"/>
        <w:rPr>
          <w:rFonts w:ascii="Segoe UI" w:hAnsi="Segoe UI"/>
        </w:rPr>
      </w:pPr>
      <w:r>
        <w:rPr>
          <w:rFonts w:ascii="Calibri" w:hAnsi="Calibri"/>
          <w:spacing w:val="-10"/>
          <w:sz w:val="20"/>
        </w:rPr>
        <w:t>−</w:t>
      </w:r>
      <w:r>
        <w:rPr>
          <w:rFonts w:ascii="Calibri" w:hAnsi="Calibri"/>
          <w:sz w:val="20"/>
        </w:rPr>
        <w:tab/>
      </w:r>
      <w:r>
        <w:rPr>
          <w:rFonts w:ascii="Segoe UI" w:hAnsi="Segoe UI"/>
        </w:rPr>
        <w:t>Preventative/Conservative</w:t>
      </w:r>
      <w:r>
        <w:rPr>
          <w:rFonts w:ascii="Segoe UI" w:hAnsi="Segoe UI"/>
          <w:spacing w:val="-8"/>
        </w:rPr>
        <w:t> </w:t>
      </w:r>
      <w:r>
        <w:rPr>
          <w:rFonts w:ascii="Segoe UI" w:hAnsi="Segoe UI"/>
        </w:rPr>
        <w:t>care</w:t>
      </w:r>
      <w:r>
        <w:rPr>
          <w:rFonts w:ascii="Segoe UI" w:hAnsi="Segoe UI"/>
          <w:spacing w:val="-6"/>
        </w:rPr>
        <w:t> </w:t>
      </w:r>
      <w:r>
        <w:rPr>
          <w:rFonts w:ascii="Segoe UI" w:hAnsi="Segoe UI"/>
        </w:rPr>
        <w:t>—</w:t>
      </w:r>
      <w:r>
        <w:rPr>
          <w:rFonts w:ascii="Segoe UI" w:hAnsi="Segoe UI"/>
          <w:spacing w:val="-7"/>
        </w:rPr>
        <w:t> </w:t>
      </w:r>
      <w:r>
        <w:rPr>
          <w:rFonts w:ascii="Segoe UI" w:hAnsi="Segoe UI"/>
        </w:rPr>
        <w:t>information,</w:t>
      </w:r>
      <w:r>
        <w:rPr>
          <w:rFonts w:ascii="Segoe UI" w:hAnsi="Segoe UI"/>
          <w:spacing w:val="-9"/>
        </w:rPr>
        <w:t> </w:t>
      </w:r>
      <w:r>
        <w:rPr>
          <w:rFonts w:ascii="Segoe UI" w:hAnsi="Segoe UI"/>
        </w:rPr>
        <w:t>supported</w:t>
      </w:r>
      <w:r>
        <w:rPr>
          <w:rFonts w:ascii="Segoe UI" w:hAnsi="Segoe UI"/>
          <w:spacing w:val="-4"/>
        </w:rPr>
        <w:t> </w:t>
      </w:r>
      <w:r>
        <w:rPr>
          <w:rFonts w:ascii="Segoe UI" w:hAnsi="Segoe UI"/>
        </w:rPr>
        <w:t>self-management,</w:t>
      </w:r>
      <w:r>
        <w:rPr>
          <w:rFonts w:ascii="Segoe UI" w:hAnsi="Segoe UI"/>
          <w:spacing w:val="-9"/>
        </w:rPr>
        <w:t> </w:t>
      </w:r>
      <w:r>
        <w:rPr>
          <w:rFonts w:ascii="Segoe UI" w:hAnsi="Segoe UI"/>
        </w:rPr>
        <w:t>exercise or physiotherapy, pain management and lifestyle support.</w:t>
      </w:r>
    </w:p>
    <w:p>
      <w:pPr>
        <w:pStyle w:val="BodyText"/>
        <w:tabs>
          <w:tab w:pos="1729" w:val="left" w:leader="none"/>
        </w:tabs>
        <w:ind w:left="1730" w:right="1277" w:hanging="361"/>
        <w:rPr>
          <w:rFonts w:ascii="Segoe UI" w:hAnsi="Segoe UI"/>
        </w:rPr>
      </w:pPr>
      <w:r>
        <w:rPr>
          <w:rFonts w:ascii="Calibri" w:hAnsi="Calibri"/>
          <w:spacing w:val="-10"/>
          <w:sz w:val="20"/>
        </w:rPr>
        <w:t>−</w:t>
      </w:r>
      <w:r>
        <w:rPr>
          <w:rFonts w:ascii="Calibri" w:hAnsi="Calibri"/>
          <w:sz w:val="20"/>
        </w:rPr>
        <w:tab/>
      </w:r>
      <w:r>
        <w:rPr>
          <w:rFonts w:ascii="Segoe UI" w:hAnsi="Segoe UI"/>
        </w:rPr>
        <w:t>Specialist</w:t>
      </w:r>
      <w:r>
        <w:rPr>
          <w:rFonts w:ascii="Segoe UI" w:hAnsi="Segoe UI"/>
          <w:spacing w:val="-5"/>
        </w:rPr>
        <w:t> </w:t>
      </w:r>
      <w:r>
        <w:rPr>
          <w:rFonts w:ascii="Segoe UI" w:hAnsi="Segoe UI"/>
        </w:rPr>
        <w:t>triage</w:t>
      </w:r>
      <w:r>
        <w:rPr>
          <w:rFonts w:ascii="Segoe UI" w:hAnsi="Segoe UI"/>
          <w:spacing w:val="-2"/>
        </w:rPr>
        <w:t> </w:t>
      </w:r>
      <w:r>
        <w:rPr>
          <w:rFonts w:ascii="Segoe UI" w:hAnsi="Segoe UI"/>
        </w:rPr>
        <w:t>—</w:t>
      </w:r>
      <w:r>
        <w:rPr>
          <w:rFonts w:ascii="Segoe UI" w:hAnsi="Segoe UI"/>
          <w:spacing w:val="-3"/>
        </w:rPr>
        <w:t> </w:t>
      </w:r>
      <w:r>
        <w:rPr>
          <w:rFonts w:ascii="Segoe UI" w:hAnsi="Segoe UI"/>
        </w:rPr>
        <w:t>such</w:t>
      </w:r>
      <w:r>
        <w:rPr>
          <w:rFonts w:ascii="Segoe UI" w:hAnsi="Segoe UI"/>
          <w:spacing w:val="-4"/>
        </w:rPr>
        <w:t> </w:t>
      </w:r>
      <w:r>
        <w:rPr>
          <w:rFonts w:ascii="Segoe UI" w:hAnsi="Segoe UI"/>
        </w:rPr>
        <w:t>as</w:t>
      </w:r>
      <w:r>
        <w:rPr>
          <w:rFonts w:ascii="Segoe UI" w:hAnsi="Segoe UI"/>
          <w:spacing w:val="-5"/>
        </w:rPr>
        <w:t> </w:t>
      </w:r>
      <w:r>
        <w:rPr>
          <w:rFonts w:ascii="Segoe UI" w:hAnsi="Segoe UI"/>
        </w:rPr>
        <w:t>an experienced</w:t>
      </w:r>
      <w:r>
        <w:rPr>
          <w:rFonts w:ascii="Segoe UI" w:hAnsi="Segoe UI"/>
          <w:spacing w:val="-5"/>
        </w:rPr>
        <w:t> </w:t>
      </w:r>
      <w:r>
        <w:rPr>
          <w:rFonts w:ascii="Segoe UI" w:hAnsi="Segoe UI"/>
        </w:rPr>
        <w:t>MSK clinician</w:t>
      </w:r>
      <w:r>
        <w:rPr>
          <w:rFonts w:ascii="Segoe UI" w:hAnsi="Segoe UI"/>
          <w:spacing w:val="-4"/>
        </w:rPr>
        <w:t> </w:t>
      </w:r>
      <w:r>
        <w:rPr>
          <w:rFonts w:ascii="Segoe UI" w:hAnsi="Segoe UI"/>
        </w:rPr>
        <w:t>reviewing</w:t>
      </w:r>
      <w:r>
        <w:rPr>
          <w:rFonts w:ascii="Segoe UI" w:hAnsi="Segoe UI"/>
          <w:spacing w:val="-4"/>
        </w:rPr>
        <w:t> </w:t>
      </w:r>
      <w:r>
        <w:rPr>
          <w:rFonts w:ascii="Segoe UI" w:hAnsi="Segoe UI"/>
        </w:rPr>
        <w:t>cases</w:t>
      </w:r>
      <w:r>
        <w:rPr>
          <w:rFonts w:ascii="Segoe UI" w:hAnsi="Segoe UI"/>
          <w:spacing w:val="-6"/>
        </w:rPr>
        <w:t> </w:t>
      </w:r>
      <w:r>
        <w:rPr>
          <w:rFonts w:ascii="Segoe UI" w:hAnsi="Segoe UI"/>
        </w:rPr>
        <w:t>that</w:t>
      </w:r>
      <w:r>
        <w:rPr>
          <w:rFonts w:ascii="Segoe UI" w:hAnsi="Segoe UI"/>
          <w:spacing w:val="-5"/>
        </w:rPr>
        <w:t> </w:t>
      </w:r>
      <w:r>
        <w:rPr>
          <w:rFonts w:ascii="Segoe UI" w:hAnsi="Segoe UI"/>
        </w:rPr>
        <w:t>persist, deteriorate or may require specialist treatment.</w:t>
      </w:r>
    </w:p>
    <w:p>
      <w:pPr>
        <w:pStyle w:val="BodyText"/>
        <w:tabs>
          <w:tab w:pos="1729" w:val="left" w:leader="none"/>
        </w:tabs>
        <w:spacing w:before="1"/>
        <w:ind w:left="1730" w:right="1292" w:hanging="361"/>
        <w:rPr>
          <w:rFonts w:ascii="Segoe UI" w:hAnsi="Segoe UI"/>
        </w:rPr>
      </w:pPr>
      <w:r>
        <w:rPr>
          <w:rFonts w:ascii="Calibri" w:hAnsi="Calibri"/>
          <w:spacing w:val="-10"/>
          <w:sz w:val="20"/>
        </w:rPr>
        <w:t>−</w:t>
      </w:r>
      <w:r>
        <w:rPr>
          <w:rFonts w:ascii="Calibri" w:hAnsi="Calibri"/>
          <w:sz w:val="20"/>
        </w:rPr>
        <w:tab/>
      </w:r>
      <w:r>
        <w:rPr>
          <w:rFonts w:ascii="Segoe UI" w:hAnsi="Segoe UI"/>
        </w:rPr>
        <w:t>Orthopaedic</w:t>
      </w:r>
      <w:r>
        <w:rPr>
          <w:rFonts w:ascii="Segoe UI" w:hAnsi="Segoe UI"/>
          <w:spacing w:val="-2"/>
        </w:rPr>
        <w:t> </w:t>
      </w:r>
      <w:r>
        <w:rPr>
          <w:rFonts w:ascii="Segoe UI" w:hAnsi="Segoe UI"/>
        </w:rPr>
        <w:t>assessment</w:t>
      </w:r>
      <w:r>
        <w:rPr>
          <w:rFonts w:ascii="Segoe UI" w:hAnsi="Segoe UI"/>
          <w:spacing w:val="-4"/>
        </w:rPr>
        <w:t> </w:t>
      </w:r>
      <w:r>
        <w:rPr>
          <w:rFonts w:ascii="Segoe UI" w:hAnsi="Segoe UI"/>
        </w:rPr>
        <w:t>—</w:t>
      </w:r>
      <w:r>
        <w:rPr>
          <w:rFonts w:ascii="Segoe UI" w:hAnsi="Segoe UI"/>
          <w:spacing w:val="-1"/>
        </w:rPr>
        <w:t> </w:t>
      </w:r>
      <w:r>
        <w:rPr>
          <w:rFonts w:ascii="Segoe UI" w:hAnsi="Segoe UI"/>
        </w:rPr>
        <w:t>imaging</w:t>
      </w:r>
      <w:r>
        <w:rPr>
          <w:rFonts w:ascii="Segoe UI" w:hAnsi="Segoe UI"/>
          <w:spacing w:val="-7"/>
        </w:rPr>
        <w:t> </w:t>
      </w:r>
      <w:r>
        <w:rPr>
          <w:rFonts w:ascii="Segoe UI" w:hAnsi="Segoe UI"/>
        </w:rPr>
        <w:t>where</w:t>
      </w:r>
      <w:r>
        <w:rPr>
          <w:rFonts w:ascii="Segoe UI" w:hAnsi="Segoe UI"/>
          <w:spacing w:val="-6"/>
        </w:rPr>
        <w:t> </w:t>
      </w:r>
      <w:r>
        <w:rPr>
          <w:rFonts w:ascii="Segoe UI" w:hAnsi="Segoe UI"/>
        </w:rPr>
        <w:t>clinically</w:t>
      </w:r>
      <w:r>
        <w:rPr>
          <w:rFonts w:ascii="Segoe UI" w:hAnsi="Segoe UI"/>
          <w:spacing w:val="-6"/>
        </w:rPr>
        <w:t> </w:t>
      </w:r>
      <w:r>
        <w:rPr>
          <w:rFonts w:ascii="Segoe UI" w:hAnsi="Segoe UI"/>
        </w:rPr>
        <w:t>necessary,</w:t>
      </w:r>
      <w:r>
        <w:rPr>
          <w:rFonts w:ascii="Segoe UI" w:hAnsi="Segoe UI"/>
          <w:spacing w:val="-3"/>
        </w:rPr>
        <w:t> </w:t>
      </w:r>
      <w:r>
        <w:rPr>
          <w:rFonts w:ascii="Segoe UI" w:hAnsi="Segoe UI"/>
        </w:rPr>
        <w:t>diagnosis</w:t>
      </w:r>
      <w:r>
        <w:rPr>
          <w:rFonts w:ascii="Segoe UI" w:hAnsi="Segoe UI"/>
          <w:spacing w:val="-7"/>
        </w:rPr>
        <w:t> </w:t>
      </w:r>
      <w:r>
        <w:rPr>
          <w:rFonts w:ascii="Segoe UI" w:hAnsi="Segoe UI"/>
        </w:rPr>
        <w:t>and</w:t>
      </w:r>
      <w:r>
        <w:rPr>
          <w:rFonts w:ascii="Segoe UI" w:hAnsi="Segoe UI"/>
          <w:spacing w:val="-7"/>
        </w:rPr>
        <w:t> </w:t>
      </w:r>
      <w:r>
        <w:rPr>
          <w:rFonts w:ascii="Segoe UI" w:hAnsi="Segoe UI"/>
        </w:rPr>
        <w:t>shared </w:t>
      </w:r>
      <w:r>
        <w:rPr>
          <w:rFonts w:ascii="Segoe UI" w:hAnsi="Segoe UI"/>
          <w:spacing w:val="-2"/>
        </w:rPr>
        <w:t>decision-making.</w:t>
      </w:r>
    </w:p>
    <w:p>
      <w:pPr>
        <w:pStyle w:val="BodyText"/>
        <w:tabs>
          <w:tab w:pos="1729" w:val="left" w:leader="none"/>
        </w:tabs>
        <w:spacing w:line="316"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rPr>
        <w:t>Treatment</w:t>
      </w:r>
      <w:r>
        <w:rPr>
          <w:rFonts w:ascii="Segoe UI" w:hAnsi="Segoe UI"/>
          <w:spacing w:val="-5"/>
        </w:rPr>
        <w:t> </w:t>
      </w:r>
      <w:r>
        <w:rPr>
          <w:rFonts w:ascii="Segoe UI" w:hAnsi="Segoe UI"/>
        </w:rPr>
        <w:t>—</w:t>
      </w:r>
      <w:r>
        <w:rPr>
          <w:rFonts w:ascii="Segoe UI" w:hAnsi="Segoe UI"/>
          <w:spacing w:val="-2"/>
        </w:rPr>
        <w:t> </w:t>
      </w:r>
      <w:r>
        <w:rPr>
          <w:rFonts w:ascii="Segoe UI" w:hAnsi="Segoe UI"/>
        </w:rPr>
        <w:t>continued</w:t>
      </w:r>
      <w:r>
        <w:rPr>
          <w:rFonts w:ascii="Segoe UI" w:hAnsi="Segoe UI"/>
          <w:spacing w:val="-4"/>
        </w:rPr>
        <w:t> </w:t>
      </w:r>
      <w:r>
        <w:rPr>
          <w:rFonts w:ascii="Segoe UI" w:hAnsi="Segoe UI"/>
        </w:rPr>
        <w:t>non-operative</w:t>
      </w:r>
      <w:r>
        <w:rPr>
          <w:rFonts w:ascii="Segoe UI" w:hAnsi="Segoe UI"/>
          <w:spacing w:val="1"/>
        </w:rPr>
        <w:t> </w:t>
      </w:r>
      <w:r>
        <w:rPr>
          <w:rFonts w:ascii="Segoe UI" w:hAnsi="Segoe UI"/>
        </w:rPr>
        <w:t>care,</w:t>
      </w:r>
      <w:r>
        <w:rPr>
          <w:rFonts w:ascii="Segoe UI" w:hAnsi="Segoe UI"/>
          <w:spacing w:val="-5"/>
        </w:rPr>
        <w:t> </w:t>
      </w:r>
      <w:r>
        <w:rPr>
          <w:rFonts w:ascii="Segoe UI" w:hAnsi="Segoe UI"/>
        </w:rPr>
        <w:t>injection</w:t>
      </w:r>
      <w:r>
        <w:rPr>
          <w:rFonts w:ascii="Segoe UI" w:hAnsi="Segoe UI"/>
          <w:spacing w:val="-4"/>
        </w:rPr>
        <w:t> </w:t>
      </w:r>
      <w:r>
        <w:rPr>
          <w:rFonts w:ascii="Segoe UI" w:hAnsi="Segoe UI"/>
        </w:rPr>
        <w:t>or</w:t>
      </w:r>
      <w:r>
        <w:rPr>
          <w:rFonts w:ascii="Segoe UI" w:hAnsi="Segoe UI"/>
          <w:spacing w:val="-2"/>
        </w:rPr>
        <w:t> surgery.</w:t>
      </w:r>
    </w:p>
    <w:p>
      <w:pPr>
        <w:pStyle w:val="BodyText"/>
        <w:tabs>
          <w:tab w:pos="1729" w:val="left" w:leader="none"/>
        </w:tabs>
        <w:spacing w:before="1"/>
        <w:ind w:left="1730" w:right="1265" w:hanging="361"/>
        <w:rPr>
          <w:rFonts w:ascii="Segoe UI" w:hAnsi="Segoe UI"/>
        </w:rPr>
      </w:pPr>
      <w:r>
        <w:rPr>
          <w:rFonts w:ascii="Calibri" w:hAnsi="Calibri"/>
          <w:spacing w:val="-10"/>
          <w:sz w:val="20"/>
        </w:rPr>
        <w:t>−</w:t>
      </w:r>
      <w:r>
        <w:rPr>
          <w:rFonts w:ascii="Calibri" w:hAnsi="Calibri"/>
          <w:sz w:val="20"/>
        </w:rPr>
        <w:tab/>
      </w:r>
      <w:r>
        <w:rPr>
          <w:rFonts w:ascii="Segoe UI" w:hAnsi="Segoe UI"/>
        </w:rPr>
        <w:t>Recovery</w:t>
      </w:r>
      <w:r>
        <w:rPr>
          <w:rFonts w:ascii="Segoe UI" w:hAnsi="Segoe UI"/>
          <w:spacing w:val="-5"/>
        </w:rPr>
        <w:t> </w:t>
      </w:r>
      <w:r>
        <w:rPr>
          <w:rFonts w:ascii="Segoe UI" w:hAnsi="Segoe UI"/>
        </w:rPr>
        <w:t>and</w:t>
      </w:r>
      <w:r>
        <w:rPr>
          <w:rFonts w:ascii="Segoe UI" w:hAnsi="Segoe UI"/>
          <w:spacing w:val="-6"/>
        </w:rPr>
        <w:t> </w:t>
      </w:r>
      <w:r>
        <w:rPr>
          <w:rFonts w:ascii="Segoe UI" w:hAnsi="Segoe UI"/>
        </w:rPr>
        <w:t>follow-up</w:t>
      </w:r>
      <w:r>
        <w:rPr>
          <w:rFonts w:ascii="Segoe UI" w:hAnsi="Segoe UI"/>
          <w:spacing w:val="-5"/>
        </w:rPr>
        <w:t> </w:t>
      </w:r>
      <w:r>
        <w:rPr>
          <w:rFonts w:ascii="Segoe UI" w:hAnsi="Segoe UI"/>
        </w:rPr>
        <w:t>—</w:t>
      </w:r>
      <w:r>
        <w:rPr>
          <w:rFonts w:ascii="Segoe UI" w:hAnsi="Segoe UI"/>
          <w:spacing w:val="-4"/>
        </w:rPr>
        <w:t> </w:t>
      </w:r>
      <w:r>
        <w:rPr>
          <w:rFonts w:ascii="Segoe UI" w:hAnsi="Segoe UI"/>
        </w:rPr>
        <w:t>rehabilitation,</w:t>
      </w:r>
      <w:r>
        <w:rPr>
          <w:rFonts w:ascii="Segoe UI" w:hAnsi="Segoe UI"/>
          <w:spacing w:val="-6"/>
        </w:rPr>
        <w:t> </w:t>
      </w:r>
      <w:r>
        <w:rPr>
          <w:rFonts w:ascii="Segoe UI" w:hAnsi="Segoe UI"/>
        </w:rPr>
        <w:t>outcome</w:t>
      </w:r>
      <w:r>
        <w:rPr>
          <w:rFonts w:ascii="Segoe UI" w:hAnsi="Segoe UI"/>
          <w:spacing w:val="-5"/>
        </w:rPr>
        <w:t> </w:t>
      </w:r>
      <w:r>
        <w:rPr>
          <w:rFonts w:ascii="Segoe UI" w:hAnsi="Segoe UI"/>
        </w:rPr>
        <w:t>measurement</w:t>
      </w:r>
      <w:r>
        <w:rPr>
          <w:rFonts w:ascii="Segoe UI" w:hAnsi="Segoe UI"/>
          <w:spacing w:val="-6"/>
        </w:rPr>
        <w:t> </w:t>
      </w:r>
      <w:r>
        <w:rPr>
          <w:rFonts w:ascii="Segoe UI" w:hAnsi="Segoe UI"/>
        </w:rPr>
        <w:t>and</w:t>
      </w:r>
      <w:r>
        <w:rPr>
          <w:rFonts w:ascii="Segoe UI" w:hAnsi="Segoe UI"/>
          <w:spacing w:val="-6"/>
        </w:rPr>
        <w:t> </w:t>
      </w:r>
      <w:r>
        <w:rPr>
          <w:rFonts w:ascii="Segoe UI" w:hAnsi="Segoe UI"/>
        </w:rPr>
        <w:t>discharge</w:t>
      </w:r>
      <w:r>
        <w:rPr>
          <w:rFonts w:ascii="Segoe UI" w:hAnsi="Segoe UI"/>
          <w:spacing w:val="-5"/>
        </w:rPr>
        <w:t> </w:t>
      </w:r>
      <w:r>
        <w:rPr>
          <w:rFonts w:ascii="Segoe UI" w:hAnsi="Segoe UI"/>
        </w:rPr>
        <w:t>back to primary or community care</w:t>
      </w:r>
    </w:p>
    <w:p>
      <w:pPr>
        <w:spacing w:before="282"/>
        <w:ind w:left="1009" w:right="0" w:firstLine="0"/>
        <w:jc w:val="left"/>
        <w:rPr>
          <w:rFonts w:ascii="Segoe UI" w:hAnsi="Segoe UI"/>
          <w:b/>
          <w:sz w:val="24"/>
        </w:rPr>
      </w:pPr>
      <w:r>
        <w:rPr>
          <w:rFonts w:ascii="Segoe UI" w:hAnsi="Segoe UI"/>
          <w:b/>
          <w:sz w:val="24"/>
        </w:rPr>
        <w:t>Pathway</w:t>
      </w:r>
      <w:r>
        <w:rPr>
          <w:rFonts w:ascii="Segoe UI" w:hAnsi="Segoe UI"/>
          <w:b/>
          <w:spacing w:val="-2"/>
          <w:sz w:val="24"/>
        </w:rPr>
        <w:t> </w:t>
      </w:r>
      <w:r>
        <w:rPr>
          <w:rFonts w:ascii="Segoe UI" w:hAnsi="Segoe UI"/>
          <w:b/>
          <w:sz w:val="24"/>
        </w:rPr>
        <w:t>–</w:t>
      </w:r>
      <w:r>
        <w:rPr>
          <w:rFonts w:ascii="Segoe UI" w:hAnsi="Segoe UI"/>
          <w:b/>
          <w:spacing w:val="-3"/>
          <w:sz w:val="24"/>
        </w:rPr>
        <w:t> </w:t>
      </w:r>
      <w:r>
        <w:rPr>
          <w:rFonts w:ascii="Segoe UI" w:hAnsi="Segoe UI"/>
          <w:b/>
          <w:sz w:val="24"/>
        </w:rPr>
        <w:t>Out</w:t>
      </w:r>
      <w:r>
        <w:rPr>
          <w:rFonts w:ascii="Segoe UI" w:hAnsi="Segoe UI"/>
          <w:b/>
          <w:spacing w:val="-1"/>
          <w:sz w:val="24"/>
        </w:rPr>
        <w:t> </w:t>
      </w:r>
      <w:r>
        <w:rPr>
          <w:rFonts w:ascii="Segoe UI" w:hAnsi="Segoe UI"/>
          <w:b/>
          <w:sz w:val="24"/>
        </w:rPr>
        <w:t>of</w:t>
      </w:r>
      <w:r>
        <w:rPr>
          <w:rFonts w:ascii="Segoe UI" w:hAnsi="Segoe UI"/>
          <w:b/>
          <w:spacing w:val="-4"/>
          <w:sz w:val="24"/>
        </w:rPr>
        <w:t> scope</w:t>
      </w:r>
    </w:p>
    <w:p>
      <w:pPr>
        <w:pStyle w:val="BodyText"/>
        <w:tabs>
          <w:tab w:pos="1729" w:val="left" w:leader="none"/>
        </w:tabs>
        <w:spacing w:before="281"/>
        <w:ind w:left="1369"/>
        <w:rPr>
          <w:rFonts w:ascii="Segoe UI" w:hAnsi="Segoe UI"/>
        </w:rPr>
      </w:pPr>
      <w:r>
        <w:rPr>
          <w:rFonts w:ascii="Calibri" w:hAnsi="Calibri"/>
          <w:spacing w:val="-10"/>
          <w:sz w:val="20"/>
        </w:rPr>
        <w:t>−</w:t>
      </w:r>
      <w:r>
        <w:rPr>
          <w:rFonts w:ascii="Calibri" w:hAnsi="Calibri"/>
          <w:sz w:val="20"/>
        </w:rPr>
        <w:tab/>
      </w:r>
      <w:r>
        <w:rPr>
          <w:rFonts w:ascii="Segoe UI" w:hAnsi="Segoe UI"/>
        </w:rPr>
        <w:t>Access</w:t>
      </w:r>
      <w:r>
        <w:rPr>
          <w:rFonts w:ascii="Segoe UI" w:hAnsi="Segoe UI"/>
          <w:spacing w:val="-8"/>
        </w:rPr>
        <w:t> </w:t>
      </w:r>
      <w:r>
        <w:rPr>
          <w:rFonts w:ascii="Segoe UI" w:hAnsi="Segoe UI"/>
        </w:rPr>
        <w:t>/</w:t>
      </w:r>
      <w:r>
        <w:rPr>
          <w:rFonts w:ascii="Segoe UI" w:hAnsi="Segoe UI"/>
          <w:spacing w:val="2"/>
        </w:rPr>
        <w:t> </w:t>
      </w:r>
      <w:r>
        <w:rPr>
          <w:rFonts w:ascii="Segoe UI" w:hAnsi="Segoe UI"/>
        </w:rPr>
        <w:t>First</w:t>
      </w:r>
      <w:r>
        <w:rPr>
          <w:rFonts w:ascii="Segoe UI" w:hAnsi="Segoe UI"/>
          <w:spacing w:val="-5"/>
        </w:rPr>
        <w:t> </w:t>
      </w:r>
      <w:r>
        <w:rPr>
          <w:rFonts w:ascii="Segoe UI" w:hAnsi="Segoe UI"/>
        </w:rPr>
        <w:t>contact</w:t>
      </w:r>
      <w:r>
        <w:rPr>
          <w:rFonts w:ascii="Segoe UI" w:hAnsi="Segoe UI"/>
          <w:spacing w:val="-4"/>
        </w:rPr>
        <w:t> </w:t>
      </w:r>
      <w:r>
        <w:rPr>
          <w:rFonts w:ascii="Segoe UI" w:hAnsi="Segoe UI"/>
        </w:rPr>
        <w:t>—</w:t>
      </w:r>
      <w:r>
        <w:rPr>
          <w:rFonts w:ascii="Segoe UI" w:hAnsi="Segoe UI"/>
          <w:spacing w:val="1"/>
        </w:rPr>
        <w:t> </w:t>
      </w:r>
      <w:r>
        <w:rPr>
          <w:rFonts w:ascii="Segoe UI" w:hAnsi="Segoe UI"/>
        </w:rPr>
        <w:t>GP,</w:t>
      </w:r>
      <w:r>
        <w:rPr>
          <w:rFonts w:ascii="Segoe UI" w:hAnsi="Segoe UI"/>
          <w:spacing w:val="-5"/>
        </w:rPr>
        <w:t> </w:t>
      </w:r>
      <w:r>
        <w:rPr>
          <w:rFonts w:ascii="Segoe UI" w:hAnsi="Segoe UI"/>
        </w:rPr>
        <w:t>physiotherapist,</w:t>
      </w:r>
      <w:r>
        <w:rPr>
          <w:rFonts w:ascii="Segoe UI" w:hAnsi="Segoe UI"/>
          <w:spacing w:val="-6"/>
        </w:rPr>
        <w:t> </w:t>
      </w:r>
      <w:r>
        <w:rPr>
          <w:rFonts w:ascii="Segoe UI" w:hAnsi="Segoe UI"/>
        </w:rPr>
        <w:t>NHS</w:t>
      </w:r>
      <w:r>
        <w:rPr>
          <w:rFonts w:ascii="Segoe UI" w:hAnsi="Segoe UI"/>
          <w:spacing w:val="-2"/>
        </w:rPr>
        <w:t> </w:t>
      </w:r>
      <w:r>
        <w:rPr>
          <w:rFonts w:ascii="Segoe UI" w:hAnsi="Segoe UI"/>
        </w:rPr>
        <w:t>111</w:t>
      </w:r>
      <w:r>
        <w:rPr>
          <w:rFonts w:ascii="Segoe UI" w:hAnsi="Segoe UI"/>
          <w:spacing w:val="-2"/>
        </w:rPr>
        <w:t> </w:t>
      </w:r>
      <w:r>
        <w:rPr>
          <w:rFonts w:ascii="Segoe UI" w:hAnsi="Segoe UI"/>
        </w:rPr>
        <w:t>or</w:t>
      </w:r>
      <w:r>
        <w:rPr>
          <w:rFonts w:ascii="Segoe UI" w:hAnsi="Segoe UI"/>
          <w:spacing w:val="-3"/>
        </w:rPr>
        <w:t> </w:t>
      </w:r>
      <w:r>
        <w:rPr>
          <w:rFonts w:ascii="Segoe UI" w:hAnsi="Segoe UI"/>
        </w:rPr>
        <w:t>emergency</w:t>
      </w:r>
      <w:r>
        <w:rPr>
          <w:rFonts w:ascii="Segoe UI" w:hAnsi="Segoe UI"/>
          <w:spacing w:val="-4"/>
        </w:rPr>
        <w:t> </w:t>
      </w:r>
      <w:r>
        <w:rPr>
          <w:rFonts w:ascii="Segoe UI" w:hAnsi="Segoe UI"/>
          <w:spacing w:val="-2"/>
        </w:rPr>
        <w:t>department.</w:t>
      </w:r>
    </w:p>
    <w:p>
      <w:pPr>
        <w:spacing w:before="281"/>
        <w:ind w:left="1009" w:right="0" w:firstLine="0"/>
        <w:jc w:val="left"/>
        <w:rPr>
          <w:rFonts w:ascii="Segoe UI"/>
          <w:b/>
          <w:sz w:val="24"/>
        </w:rPr>
      </w:pPr>
      <w:r>
        <w:rPr>
          <w:rFonts w:ascii="Segoe UI"/>
          <w:b/>
          <w:sz w:val="24"/>
        </w:rPr>
        <w:t>The</w:t>
      </w:r>
      <w:r>
        <w:rPr>
          <w:rFonts w:ascii="Segoe UI"/>
          <w:b/>
          <w:spacing w:val="-3"/>
          <w:sz w:val="24"/>
        </w:rPr>
        <w:t> </w:t>
      </w:r>
      <w:r>
        <w:rPr>
          <w:rFonts w:ascii="Segoe UI"/>
          <w:b/>
          <w:sz w:val="24"/>
        </w:rPr>
        <w:t>programme</w:t>
      </w:r>
      <w:r>
        <w:rPr>
          <w:rFonts w:ascii="Segoe UI"/>
          <w:b/>
          <w:spacing w:val="-2"/>
          <w:sz w:val="24"/>
        </w:rPr>
        <w:t> </w:t>
      </w:r>
      <w:r>
        <w:rPr>
          <w:rFonts w:ascii="Segoe UI"/>
          <w:b/>
          <w:sz w:val="24"/>
        </w:rPr>
        <w:t>will</w:t>
      </w:r>
      <w:r>
        <w:rPr>
          <w:rFonts w:ascii="Segoe UI"/>
          <w:b/>
          <w:spacing w:val="-1"/>
          <w:sz w:val="24"/>
        </w:rPr>
        <w:t> </w:t>
      </w:r>
      <w:r>
        <w:rPr>
          <w:rFonts w:ascii="Segoe UI"/>
          <w:b/>
          <w:spacing w:val="-2"/>
          <w:sz w:val="24"/>
        </w:rPr>
        <w:t>explore:</w:t>
      </w:r>
    </w:p>
    <w:p>
      <w:pPr>
        <w:pStyle w:val="BodyText"/>
        <w:tabs>
          <w:tab w:pos="1729" w:val="left" w:leader="none"/>
        </w:tabs>
        <w:spacing w:before="276"/>
        <w:ind w:left="1369"/>
        <w:rPr>
          <w:rFonts w:ascii="Segoe UI" w:hAnsi="Segoe UI"/>
        </w:rPr>
      </w:pPr>
      <w:r>
        <w:rPr>
          <w:rFonts w:ascii="Calibri" w:hAnsi="Calibri"/>
          <w:spacing w:val="-10"/>
          <w:sz w:val="20"/>
        </w:rPr>
        <w:t>−</w:t>
      </w:r>
      <w:r>
        <w:rPr>
          <w:rFonts w:ascii="Calibri" w:hAnsi="Calibri"/>
          <w:sz w:val="20"/>
        </w:rPr>
        <w:tab/>
      </w:r>
      <w:r>
        <w:rPr>
          <w:rFonts w:ascii="Segoe UI" w:hAnsi="Segoe UI"/>
        </w:rPr>
        <w:t>Standardised</w:t>
      </w:r>
      <w:r>
        <w:rPr>
          <w:rFonts w:ascii="Segoe UI" w:hAnsi="Segoe UI"/>
          <w:spacing w:val="-5"/>
        </w:rPr>
        <w:t> </w:t>
      </w:r>
      <w:r>
        <w:rPr>
          <w:rFonts w:ascii="Segoe UI" w:hAnsi="Segoe UI"/>
        </w:rPr>
        <w:t>Clinical</w:t>
      </w:r>
      <w:r>
        <w:rPr>
          <w:rFonts w:ascii="Segoe UI" w:hAnsi="Segoe UI"/>
          <w:spacing w:val="-6"/>
        </w:rPr>
        <w:t> </w:t>
      </w:r>
      <w:r>
        <w:rPr>
          <w:rFonts w:ascii="Segoe UI" w:hAnsi="Segoe UI"/>
        </w:rPr>
        <w:t>Pathways</w:t>
      </w:r>
      <w:r>
        <w:rPr>
          <w:rFonts w:ascii="Segoe UI" w:hAnsi="Segoe UI"/>
          <w:spacing w:val="-5"/>
        </w:rPr>
        <w:t> </w:t>
      </w:r>
      <w:r>
        <w:rPr>
          <w:rFonts w:ascii="Segoe UI" w:hAnsi="Segoe UI"/>
        </w:rPr>
        <w:t>and</w:t>
      </w:r>
      <w:r>
        <w:rPr>
          <w:rFonts w:ascii="Segoe UI" w:hAnsi="Segoe UI"/>
          <w:spacing w:val="-8"/>
        </w:rPr>
        <w:t> </w:t>
      </w:r>
      <w:r>
        <w:rPr>
          <w:rFonts w:ascii="Segoe UI" w:hAnsi="Segoe UI"/>
          <w:spacing w:val="-2"/>
        </w:rPr>
        <w:t>Protocols.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Integrated</w:t>
      </w:r>
      <w:r>
        <w:rPr>
          <w:rFonts w:ascii="Segoe UI" w:hAnsi="Segoe UI"/>
          <w:spacing w:val="-10"/>
        </w:rPr>
        <w:t> </w:t>
      </w:r>
      <w:r>
        <w:rPr>
          <w:rFonts w:ascii="Segoe UI" w:hAnsi="Segoe UI"/>
        </w:rPr>
        <w:t>Digital</w:t>
      </w:r>
      <w:r>
        <w:rPr>
          <w:rFonts w:ascii="Segoe UI" w:hAnsi="Segoe UI"/>
          <w:spacing w:val="-4"/>
        </w:rPr>
        <w:t> </w:t>
      </w:r>
      <w:r>
        <w:rPr>
          <w:rFonts w:ascii="Segoe UI" w:hAnsi="Segoe UI"/>
        </w:rPr>
        <w:t>Enabling</w:t>
      </w:r>
      <w:r>
        <w:rPr>
          <w:rFonts w:ascii="Segoe UI" w:hAnsi="Segoe UI"/>
          <w:spacing w:val="-7"/>
        </w:rPr>
        <w:t> </w:t>
      </w:r>
      <w:r>
        <w:rPr>
          <w:rFonts w:ascii="Segoe UI" w:hAnsi="Segoe UI"/>
        </w:rPr>
        <w:t>Infrastructure,</w:t>
      </w:r>
      <w:r>
        <w:rPr>
          <w:rFonts w:ascii="Segoe UI" w:hAnsi="Segoe UI"/>
          <w:spacing w:val="-3"/>
        </w:rPr>
        <w:t> </w:t>
      </w:r>
      <w:r>
        <w:rPr>
          <w:rFonts w:ascii="Segoe UI" w:hAnsi="Segoe UI"/>
        </w:rPr>
        <w:t>transformation</w:t>
      </w:r>
      <w:r>
        <w:rPr>
          <w:rFonts w:ascii="Segoe UI" w:hAnsi="Segoe UI"/>
          <w:spacing w:val="-7"/>
        </w:rPr>
        <w:t> </w:t>
      </w:r>
      <w:r>
        <w:rPr>
          <w:rFonts w:ascii="Segoe UI" w:hAnsi="Segoe UI"/>
        </w:rPr>
        <w:t>and</w:t>
      </w:r>
      <w:r>
        <w:rPr>
          <w:rFonts w:ascii="Segoe UI" w:hAnsi="Segoe UI"/>
          <w:spacing w:val="-7"/>
        </w:rPr>
        <w:t> </w:t>
      </w:r>
      <w:r>
        <w:rPr>
          <w:rFonts w:ascii="Segoe UI" w:hAnsi="Segoe UI"/>
          <w:spacing w:val="-2"/>
        </w:rPr>
        <w:t>interoperability</w:t>
      </w:r>
    </w:p>
    <w:p>
      <w:pPr>
        <w:pStyle w:val="BodyText"/>
        <w:rPr>
          <w:rFonts w:ascii="Segoe UI"/>
          <w:sz w:val="16"/>
        </w:rPr>
      </w:pPr>
    </w:p>
    <w:p>
      <w:pPr>
        <w:pStyle w:val="BodyText"/>
        <w:rPr>
          <w:rFonts w:ascii="Segoe UI"/>
          <w:sz w:val="16"/>
        </w:rPr>
      </w:pPr>
    </w:p>
    <w:p>
      <w:pPr>
        <w:pStyle w:val="BodyText"/>
        <w:spacing w:before="189"/>
        <w:rPr>
          <w:rFonts w:ascii="Segoe U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26" name="Image 226"/>
            <wp:cNvGraphicFramePr>
              <a:graphicFrameLocks/>
            </wp:cNvGraphicFramePr>
            <a:graphic>
              <a:graphicData uri="http://schemas.openxmlformats.org/drawingml/2006/picture">
                <pic:pic>
                  <pic:nvPicPr>
                    <pic:cNvPr id="226" name="Image 226"/>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27" name="Image 227"/>
            <wp:cNvGraphicFramePr>
              <a:graphicFrameLocks/>
            </wp:cNvGraphicFramePr>
            <a:graphic>
              <a:graphicData uri="http://schemas.openxmlformats.org/drawingml/2006/picture">
                <pic:pic>
                  <pic:nvPicPr>
                    <pic:cNvPr id="227" name="Image 227"/>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59"/>
        <w:rPr>
          <w:rFonts w:ascii="Calibri"/>
        </w:rPr>
      </w:pPr>
    </w:p>
    <w:p>
      <w:pPr>
        <w:pStyle w:val="BodyText"/>
        <w:tabs>
          <w:tab w:pos="1729" w:val="left" w:leader="none"/>
        </w:tabs>
        <w:ind w:left="1369"/>
        <w:rPr>
          <w:rFonts w:ascii="Segoe UI" w:hAnsi="Segoe UI"/>
        </w:rPr>
      </w:pPr>
      <w:r>
        <w:rPr>
          <w:rFonts w:ascii="Calibri" w:hAnsi="Calibri"/>
          <w:spacing w:val="-10"/>
          <w:sz w:val="20"/>
        </w:rPr>
        <w:t>−</w:t>
      </w:r>
      <w:r>
        <w:rPr>
          <w:rFonts w:ascii="Calibri" w:hAnsi="Calibri"/>
          <w:sz w:val="20"/>
        </w:rPr>
        <w:tab/>
      </w:r>
      <w:r>
        <w:rPr>
          <w:rFonts w:ascii="Segoe UI" w:hAnsi="Segoe UI"/>
        </w:rPr>
        <w:t>Centralised</w:t>
      </w:r>
      <w:r>
        <w:rPr>
          <w:rFonts w:ascii="Segoe UI" w:hAnsi="Segoe UI"/>
          <w:spacing w:val="-9"/>
        </w:rPr>
        <w:t> </w:t>
      </w:r>
      <w:r>
        <w:rPr>
          <w:rFonts w:ascii="Segoe UI" w:hAnsi="Segoe UI"/>
        </w:rPr>
        <w:t>Operational</w:t>
      </w:r>
      <w:r>
        <w:rPr>
          <w:rFonts w:ascii="Segoe UI" w:hAnsi="Segoe UI"/>
          <w:spacing w:val="-6"/>
        </w:rPr>
        <w:t> </w:t>
      </w:r>
      <w:r>
        <w:rPr>
          <w:rFonts w:ascii="Segoe UI" w:hAnsi="Segoe UI"/>
          <w:spacing w:val="-2"/>
        </w:rPr>
        <w:t>Functions.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Unified</w:t>
      </w:r>
      <w:r>
        <w:rPr>
          <w:rFonts w:ascii="Segoe UI" w:hAnsi="Segoe UI"/>
          <w:spacing w:val="-5"/>
        </w:rPr>
        <w:t> </w:t>
      </w:r>
      <w:r>
        <w:rPr>
          <w:rFonts w:ascii="Segoe UI" w:hAnsi="Segoe UI"/>
        </w:rPr>
        <w:t>Governance</w:t>
      </w:r>
      <w:r>
        <w:rPr>
          <w:rFonts w:ascii="Segoe UI" w:hAnsi="Segoe UI"/>
          <w:spacing w:val="-4"/>
        </w:rPr>
        <w:t> </w:t>
      </w:r>
      <w:r>
        <w:rPr>
          <w:rFonts w:ascii="Segoe UI" w:hAnsi="Segoe UI"/>
        </w:rPr>
        <w:t>and</w:t>
      </w:r>
      <w:r>
        <w:rPr>
          <w:rFonts w:ascii="Segoe UI" w:hAnsi="Segoe UI"/>
          <w:spacing w:val="-4"/>
        </w:rPr>
        <w:t> </w:t>
      </w:r>
      <w:r>
        <w:rPr>
          <w:rFonts w:ascii="Segoe UI" w:hAnsi="Segoe UI"/>
          <w:spacing w:val="-2"/>
        </w:rPr>
        <w:t>Leadership.</w:t>
      </w:r>
    </w:p>
    <w:p>
      <w:pPr>
        <w:pStyle w:val="BodyText"/>
        <w:tabs>
          <w:tab w:pos="1729" w:val="left" w:leader="none"/>
        </w:tabs>
        <w:spacing w:line="317" w:lineRule="exact"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A</w:t>
      </w:r>
      <w:r>
        <w:rPr>
          <w:rFonts w:ascii="Segoe UI" w:hAnsi="Segoe UI"/>
          <w:spacing w:val="-3"/>
        </w:rPr>
        <w:t> </w:t>
      </w:r>
      <w:r>
        <w:rPr>
          <w:rFonts w:ascii="Segoe UI" w:hAnsi="Segoe UI"/>
        </w:rPr>
        <w:t>Regional</w:t>
      </w:r>
      <w:r>
        <w:rPr>
          <w:rFonts w:ascii="Segoe UI" w:hAnsi="Segoe UI"/>
          <w:spacing w:val="-2"/>
        </w:rPr>
        <w:t> </w:t>
      </w:r>
      <w:r>
        <w:rPr>
          <w:rFonts w:ascii="Segoe UI" w:hAnsi="Segoe UI"/>
        </w:rPr>
        <w:t>Workforce</w:t>
      </w:r>
      <w:r>
        <w:rPr>
          <w:rFonts w:ascii="Segoe UI" w:hAnsi="Segoe UI"/>
          <w:spacing w:val="-2"/>
        </w:rPr>
        <w:t> </w:t>
      </w:r>
      <w:r>
        <w:rPr>
          <w:rFonts w:ascii="Segoe UI" w:hAnsi="Segoe UI"/>
        </w:rPr>
        <w:t>planning</w:t>
      </w:r>
      <w:r>
        <w:rPr>
          <w:rFonts w:ascii="Segoe UI" w:hAnsi="Segoe UI"/>
          <w:spacing w:val="-5"/>
        </w:rPr>
        <w:t> </w:t>
      </w:r>
      <w:r>
        <w:rPr>
          <w:rFonts w:ascii="Segoe UI" w:hAnsi="Segoe UI"/>
        </w:rPr>
        <w:t>and</w:t>
      </w:r>
      <w:r>
        <w:rPr>
          <w:rFonts w:ascii="Segoe UI" w:hAnsi="Segoe UI"/>
          <w:spacing w:val="-5"/>
        </w:rPr>
        <w:t> </w:t>
      </w:r>
      <w:r>
        <w:rPr>
          <w:rFonts w:ascii="Segoe UI" w:hAnsi="Segoe UI"/>
          <w:spacing w:val="-2"/>
        </w:rPr>
        <w:t>strategy.</w:t>
      </w:r>
    </w:p>
    <w:p>
      <w:pPr>
        <w:pStyle w:val="BodyText"/>
        <w:tabs>
          <w:tab w:pos="1729" w:val="left" w:leader="none"/>
        </w:tabs>
        <w:spacing w:line="317" w:lineRule="exact"/>
        <w:ind w:left="1369"/>
        <w:rPr>
          <w:rFonts w:ascii="Segoe UI" w:hAnsi="Segoe UI"/>
        </w:rPr>
      </w:pPr>
      <w:r>
        <w:rPr>
          <w:rFonts w:ascii="Calibri" w:hAnsi="Calibri"/>
          <w:spacing w:val="-10"/>
          <w:sz w:val="20"/>
        </w:rPr>
        <w:t>−</w:t>
      </w:r>
      <w:r>
        <w:rPr>
          <w:rFonts w:ascii="Calibri" w:hAnsi="Calibri"/>
          <w:sz w:val="20"/>
        </w:rPr>
        <w:tab/>
      </w:r>
      <w:r>
        <w:rPr>
          <w:rFonts w:ascii="Segoe UI" w:hAnsi="Segoe UI"/>
        </w:rPr>
        <w:t>Clinical</w:t>
      </w:r>
      <w:r>
        <w:rPr>
          <w:rFonts w:ascii="Segoe UI" w:hAnsi="Segoe UI"/>
          <w:spacing w:val="-6"/>
        </w:rPr>
        <w:t> </w:t>
      </w:r>
      <w:r>
        <w:rPr>
          <w:rFonts w:ascii="Segoe UI" w:hAnsi="Segoe UI"/>
        </w:rPr>
        <w:t>pathway</w:t>
      </w:r>
      <w:r>
        <w:rPr>
          <w:rFonts w:ascii="Segoe UI" w:hAnsi="Segoe UI"/>
          <w:spacing w:val="-7"/>
        </w:rPr>
        <w:t> </w:t>
      </w:r>
      <w:r>
        <w:rPr>
          <w:rFonts w:ascii="Segoe UI" w:hAnsi="Segoe UI"/>
          <w:spacing w:val="-2"/>
        </w:rPr>
        <w:t>standardisation.</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Financial</w:t>
      </w:r>
      <w:r>
        <w:rPr>
          <w:rFonts w:ascii="Segoe UI" w:hAnsi="Segoe UI"/>
          <w:spacing w:val="-6"/>
        </w:rPr>
        <w:t> </w:t>
      </w:r>
      <w:r>
        <w:rPr>
          <w:rFonts w:ascii="Segoe UI" w:hAnsi="Segoe UI"/>
        </w:rPr>
        <w:t>and</w:t>
      </w:r>
      <w:r>
        <w:rPr>
          <w:rFonts w:ascii="Segoe UI" w:hAnsi="Segoe UI"/>
          <w:spacing w:val="-7"/>
        </w:rPr>
        <w:t> </w:t>
      </w:r>
      <w:r>
        <w:rPr>
          <w:rFonts w:ascii="Segoe UI" w:hAnsi="Segoe UI"/>
        </w:rPr>
        <w:t>contractual</w:t>
      </w:r>
      <w:r>
        <w:rPr>
          <w:rFonts w:ascii="Segoe UI" w:hAnsi="Segoe UI"/>
          <w:spacing w:val="-5"/>
        </w:rPr>
        <w:t> </w:t>
      </w:r>
      <w:r>
        <w:rPr>
          <w:rFonts w:ascii="Segoe UI" w:hAnsi="Segoe UI"/>
          <w:spacing w:val="-2"/>
        </w:rPr>
        <w:t>arrangements.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Single</w:t>
      </w:r>
      <w:r>
        <w:rPr>
          <w:rFonts w:ascii="Segoe UI" w:hAnsi="Segoe UI"/>
          <w:spacing w:val="-4"/>
        </w:rPr>
        <w:t> </w:t>
      </w:r>
      <w:r>
        <w:rPr>
          <w:rFonts w:ascii="Segoe UI" w:hAnsi="Segoe UI"/>
        </w:rPr>
        <w:t>regional</w:t>
      </w:r>
      <w:r>
        <w:rPr>
          <w:rFonts w:ascii="Segoe UI" w:hAnsi="Segoe UI"/>
          <w:spacing w:val="-2"/>
        </w:rPr>
        <w:t> </w:t>
      </w:r>
      <w:r>
        <w:rPr>
          <w:rFonts w:ascii="Segoe UI" w:hAnsi="Segoe UI"/>
        </w:rPr>
        <w:t>waiting</w:t>
      </w:r>
      <w:r>
        <w:rPr>
          <w:rFonts w:ascii="Segoe UI" w:hAnsi="Segoe UI"/>
          <w:spacing w:val="-5"/>
        </w:rPr>
        <w:t> </w:t>
      </w:r>
      <w:r>
        <w:rPr>
          <w:rFonts w:ascii="Segoe UI" w:hAnsi="Segoe UI"/>
        </w:rPr>
        <w:t>list</w:t>
      </w:r>
      <w:r>
        <w:rPr>
          <w:rFonts w:ascii="Segoe UI" w:hAnsi="Segoe UI"/>
          <w:spacing w:val="-4"/>
        </w:rPr>
        <w:t> </w:t>
      </w:r>
      <w:r>
        <w:rPr>
          <w:rFonts w:ascii="Segoe UI" w:hAnsi="Segoe UI"/>
          <w:spacing w:val="-2"/>
        </w:rPr>
        <w:t>development.</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Patient</w:t>
      </w:r>
      <w:r>
        <w:rPr>
          <w:rFonts w:ascii="Segoe UI" w:hAnsi="Segoe UI"/>
          <w:spacing w:val="-5"/>
        </w:rPr>
        <w:t> </w:t>
      </w:r>
      <w:r>
        <w:rPr>
          <w:rFonts w:ascii="Segoe UI" w:hAnsi="Segoe UI"/>
        </w:rPr>
        <w:t>outcomes</w:t>
      </w:r>
      <w:r>
        <w:rPr>
          <w:rFonts w:ascii="Segoe UI" w:hAnsi="Segoe UI"/>
          <w:spacing w:val="-5"/>
        </w:rPr>
        <w:t> </w:t>
      </w:r>
      <w:r>
        <w:rPr>
          <w:rFonts w:ascii="Segoe UI" w:hAnsi="Segoe UI"/>
        </w:rPr>
        <w:t>and</w:t>
      </w:r>
      <w:r>
        <w:rPr>
          <w:rFonts w:ascii="Segoe UI" w:hAnsi="Segoe UI"/>
          <w:spacing w:val="-4"/>
        </w:rPr>
        <w:t> </w:t>
      </w:r>
      <w:r>
        <w:rPr>
          <w:rFonts w:ascii="Segoe UI" w:hAnsi="Segoe UI"/>
          <w:spacing w:val="-2"/>
        </w:rPr>
        <w:t>experiences.</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Regional</w:t>
      </w:r>
      <w:r>
        <w:rPr>
          <w:rFonts w:ascii="Segoe UI" w:hAnsi="Segoe UI"/>
          <w:spacing w:val="-4"/>
        </w:rPr>
        <w:t> </w:t>
      </w:r>
      <w:r>
        <w:rPr>
          <w:rFonts w:ascii="Segoe UI" w:hAnsi="Segoe UI"/>
        </w:rPr>
        <w:t>Surgical</w:t>
      </w:r>
      <w:r>
        <w:rPr>
          <w:rFonts w:ascii="Segoe UI" w:hAnsi="Segoe UI"/>
          <w:spacing w:val="-3"/>
        </w:rPr>
        <w:t> </w:t>
      </w:r>
      <w:r>
        <w:rPr>
          <w:rFonts w:ascii="Segoe UI" w:hAnsi="Segoe UI"/>
        </w:rPr>
        <w:t>Hub</w:t>
      </w:r>
      <w:r>
        <w:rPr>
          <w:rFonts w:ascii="Segoe UI" w:hAnsi="Segoe UI"/>
          <w:spacing w:val="-5"/>
        </w:rPr>
        <w:t> </w:t>
      </w:r>
      <w:r>
        <w:rPr>
          <w:rFonts w:ascii="Segoe UI" w:hAnsi="Segoe UI"/>
          <w:spacing w:val="-2"/>
        </w:rPr>
        <w:t>planning</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Capital</w:t>
      </w:r>
      <w:r>
        <w:rPr>
          <w:rFonts w:ascii="Segoe UI" w:hAnsi="Segoe UI"/>
          <w:spacing w:val="-9"/>
        </w:rPr>
        <w:t> </w:t>
      </w:r>
      <w:r>
        <w:rPr>
          <w:rFonts w:ascii="Segoe UI" w:hAnsi="Segoe UI"/>
        </w:rPr>
        <w:t>infrastructure</w:t>
      </w:r>
      <w:r>
        <w:rPr>
          <w:rFonts w:ascii="Segoe UI" w:hAnsi="Segoe UI"/>
          <w:spacing w:val="-10"/>
        </w:rPr>
        <w:t> </w:t>
      </w:r>
      <w:r>
        <w:rPr>
          <w:rFonts w:ascii="Segoe UI" w:hAnsi="Segoe UI"/>
          <w:spacing w:val="-2"/>
        </w:rPr>
        <w:t>investment.</w:t>
      </w:r>
    </w:p>
    <w:p>
      <w:pPr>
        <w:pStyle w:val="BodyText"/>
        <w:tabs>
          <w:tab w:pos="1729" w:val="left" w:leader="none"/>
        </w:tabs>
        <w:spacing w:before="1"/>
        <w:ind w:left="1369"/>
        <w:rPr>
          <w:rFonts w:ascii="Segoe UI" w:hAnsi="Segoe UI"/>
        </w:rPr>
      </w:pPr>
      <w:r>
        <w:rPr>
          <w:rFonts w:ascii="Calibri" w:hAnsi="Calibri"/>
          <w:spacing w:val="-10"/>
          <w:sz w:val="20"/>
        </w:rPr>
        <w:t>−</w:t>
      </w:r>
      <w:r>
        <w:rPr>
          <w:rFonts w:ascii="Calibri" w:hAnsi="Calibri"/>
          <w:sz w:val="20"/>
        </w:rPr>
        <w:tab/>
      </w:r>
      <w:r>
        <w:rPr>
          <w:rFonts w:ascii="Segoe UI" w:hAnsi="Segoe UI"/>
        </w:rPr>
        <w:t>Governance,</w:t>
      </w:r>
      <w:r>
        <w:rPr>
          <w:rFonts w:ascii="Segoe UI" w:hAnsi="Segoe UI"/>
          <w:spacing w:val="-7"/>
        </w:rPr>
        <w:t> </w:t>
      </w:r>
      <w:r>
        <w:rPr>
          <w:rFonts w:ascii="Segoe UI" w:hAnsi="Segoe UI"/>
        </w:rPr>
        <w:t>quality,</w:t>
      </w:r>
      <w:r>
        <w:rPr>
          <w:rFonts w:ascii="Segoe UI" w:hAnsi="Segoe UI"/>
          <w:spacing w:val="-5"/>
        </w:rPr>
        <w:t> </w:t>
      </w:r>
      <w:r>
        <w:rPr>
          <w:rFonts w:ascii="Segoe UI" w:hAnsi="Segoe UI"/>
        </w:rPr>
        <w:t>and</w:t>
      </w:r>
      <w:r>
        <w:rPr>
          <w:rFonts w:ascii="Segoe UI" w:hAnsi="Segoe UI"/>
          <w:spacing w:val="-4"/>
        </w:rPr>
        <w:t> </w:t>
      </w:r>
      <w:r>
        <w:rPr>
          <w:rFonts w:ascii="Segoe UI" w:hAnsi="Segoe UI"/>
        </w:rPr>
        <w:t>performance</w:t>
      </w:r>
      <w:r>
        <w:rPr>
          <w:rFonts w:ascii="Segoe UI" w:hAnsi="Segoe UI"/>
          <w:spacing w:val="-8"/>
        </w:rPr>
        <w:t> </w:t>
      </w:r>
      <w:r>
        <w:rPr>
          <w:rFonts w:ascii="Segoe UI" w:hAnsi="Segoe UI"/>
        </w:rPr>
        <w:t>management</w:t>
      </w:r>
      <w:r>
        <w:rPr>
          <w:rFonts w:ascii="Segoe UI" w:hAnsi="Segoe UI"/>
          <w:spacing w:val="-8"/>
        </w:rPr>
        <w:t> </w:t>
      </w:r>
      <w:r>
        <w:rPr>
          <w:rFonts w:ascii="Segoe UI" w:hAnsi="Segoe UI"/>
          <w:spacing w:val="-2"/>
        </w:rPr>
        <w:t>arrangements.</w:t>
      </w:r>
    </w:p>
    <w:p>
      <w:pPr>
        <w:pStyle w:val="BodyText"/>
        <w:spacing w:before="157"/>
        <w:rPr>
          <w:rFonts w:ascii="Segoe UI"/>
        </w:rPr>
      </w:pPr>
    </w:p>
    <w:p>
      <w:pPr>
        <w:pStyle w:val="Heading3"/>
        <w:numPr>
          <w:ilvl w:val="2"/>
          <w:numId w:val="10"/>
        </w:numPr>
        <w:tabs>
          <w:tab w:pos="1009" w:val="left" w:leader="none"/>
        </w:tabs>
        <w:spacing w:line="240" w:lineRule="auto" w:before="0" w:after="0"/>
        <w:ind w:left="1009" w:right="0" w:hanging="565"/>
        <w:jc w:val="left"/>
      </w:pPr>
      <w:r>
        <w:rPr>
          <w:color w:val="1F4E79"/>
        </w:rPr>
        <w:t>Programme</w:t>
      </w:r>
      <w:r>
        <w:rPr>
          <w:color w:val="1F4E79"/>
          <w:spacing w:val="2"/>
        </w:rPr>
        <w:t> </w:t>
      </w:r>
      <w:r>
        <w:rPr>
          <w:color w:val="1F4E79"/>
          <w:spacing w:val="-2"/>
        </w:rPr>
        <w:t>Deliverables</w:t>
      </w:r>
    </w:p>
    <w:p>
      <w:pPr>
        <w:pStyle w:val="BodyText"/>
        <w:spacing w:before="221"/>
        <w:ind w:left="1009"/>
        <w:rPr>
          <w:rFonts w:ascii="Segoe UI"/>
        </w:rPr>
      </w:pPr>
      <w:r>
        <w:rPr>
          <w:rFonts w:ascii="Segoe UI"/>
        </w:rPr>
        <w:t>The</w:t>
      </w:r>
      <w:r>
        <w:rPr>
          <w:rFonts w:ascii="Segoe UI"/>
          <w:spacing w:val="-6"/>
        </w:rPr>
        <w:t> </w:t>
      </w:r>
      <w:r>
        <w:rPr>
          <w:rFonts w:ascii="Segoe UI"/>
        </w:rPr>
        <w:t>programme</w:t>
      </w:r>
      <w:r>
        <w:rPr>
          <w:rFonts w:ascii="Segoe UI"/>
          <w:spacing w:val="-4"/>
        </w:rPr>
        <w:t> </w:t>
      </w:r>
      <w:r>
        <w:rPr>
          <w:rFonts w:ascii="Segoe UI"/>
        </w:rPr>
        <w:t>reset uses</w:t>
      </w:r>
      <w:r>
        <w:rPr>
          <w:rFonts w:ascii="Segoe UI"/>
          <w:spacing w:val="-5"/>
        </w:rPr>
        <w:t> </w:t>
      </w:r>
      <w:r>
        <w:rPr>
          <w:rFonts w:ascii="Segoe UI"/>
        </w:rPr>
        <w:t>a</w:t>
      </w:r>
      <w:r>
        <w:rPr>
          <w:rFonts w:ascii="Segoe UI"/>
          <w:spacing w:val="-1"/>
        </w:rPr>
        <w:t> </w:t>
      </w:r>
      <w:r>
        <w:rPr>
          <w:rFonts w:ascii="Segoe UI"/>
        </w:rPr>
        <w:t>dual-track</w:t>
      </w:r>
      <w:r>
        <w:rPr>
          <w:rFonts w:ascii="Segoe UI"/>
          <w:spacing w:val="-2"/>
        </w:rPr>
        <w:t> </w:t>
      </w:r>
      <w:r>
        <w:rPr>
          <w:rFonts w:ascii="Segoe UI"/>
        </w:rPr>
        <w:t>approach</w:t>
      </w:r>
      <w:r>
        <w:rPr>
          <w:rFonts w:ascii="Segoe UI"/>
          <w:spacing w:val="-4"/>
        </w:rPr>
        <w:t> </w:t>
      </w:r>
      <w:r>
        <w:rPr>
          <w:rFonts w:ascii="Segoe UI"/>
        </w:rPr>
        <w:t>during</w:t>
      </w:r>
      <w:r>
        <w:rPr>
          <w:rFonts w:ascii="Segoe UI"/>
          <w:spacing w:val="-4"/>
        </w:rPr>
        <w:t> </w:t>
      </w:r>
      <w:r>
        <w:rPr>
          <w:rFonts w:ascii="Segoe UI"/>
          <w:spacing w:val="-2"/>
        </w:rPr>
        <w:t>2026/27:</w:t>
      </w:r>
    </w:p>
    <w:p>
      <w:pPr>
        <w:spacing w:before="160"/>
        <w:ind w:left="1009" w:right="890" w:firstLine="0"/>
        <w:jc w:val="left"/>
        <w:rPr>
          <w:rFonts w:ascii="Segoe UI" w:hAnsi="Segoe UI"/>
          <w:sz w:val="24"/>
        </w:rPr>
      </w:pPr>
      <w:r>
        <w:rPr>
          <w:rFonts w:ascii="Segoe UI" w:hAnsi="Segoe UI"/>
          <w:b/>
          <w:sz w:val="24"/>
        </w:rPr>
        <w:t>Track</w:t>
      </w:r>
      <w:r>
        <w:rPr>
          <w:rFonts w:ascii="Segoe UI" w:hAnsi="Segoe UI"/>
          <w:b/>
          <w:spacing w:val="-2"/>
          <w:sz w:val="24"/>
        </w:rPr>
        <w:t> </w:t>
      </w:r>
      <w:r>
        <w:rPr>
          <w:rFonts w:ascii="Segoe UI" w:hAnsi="Segoe UI"/>
          <w:b/>
          <w:sz w:val="24"/>
        </w:rPr>
        <w:t>1</w:t>
      </w:r>
      <w:r>
        <w:rPr>
          <w:rFonts w:ascii="Segoe UI" w:hAnsi="Segoe UI"/>
          <w:b/>
          <w:spacing w:val="-2"/>
          <w:sz w:val="24"/>
        </w:rPr>
        <w:t> </w:t>
      </w:r>
      <w:r>
        <w:rPr>
          <w:rFonts w:ascii="Segoe UI" w:hAnsi="Segoe UI"/>
          <w:b/>
          <w:sz w:val="24"/>
        </w:rPr>
        <w:t>–</w:t>
      </w:r>
      <w:r>
        <w:rPr>
          <w:rFonts w:ascii="Segoe UI" w:hAnsi="Segoe UI"/>
          <w:b/>
          <w:spacing w:val="-4"/>
          <w:sz w:val="24"/>
        </w:rPr>
        <w:t> </w:t>
      </w:r>
      <w:r>
        <w:rPr>
          <w:rFonts w:ascii="Segoe UI" w:hAnsi="Segoe UI"/>
          <w:b/>
          <w:sz w:val="24"/>
        </w:rPr>
        <w:t>Setting</w:t>
      </w:r>
      <w:r>
        <w:rPr>
          <w:rFonts w:ascii="Segoe UI" w:hAnsi="Segoe UI"/>
          <w:b/>
          <w:spacing w:val="-3"/>
          <w:sz w:val="24"/>
        </w:rPr>
        <w:t> </w:t>
      </w:r>
      <w:r>
        <w:rPr>
          <w:rFonts w:ascii="Segoe UI" w:hAnsi="Segoe UI"/>
          <w:b/>
          <w:sz w:val="24"/>
        </w:rPr>
        <w:t>the</w:t>
      </w:r>
      <w:r>
        <w:rPr>
          <w:rFonts w:ascii="Segoe UI" w:hAnsi="Segoe UI"/>
          <w:b/>
          <w:spacing w:val="-2"/>
          <w:sz w:val="24"/>
        </w:rPr>
        <w:t> </w:t>
      </w:r>
      <w:r>
        <w:rPr>
          <w:rFonts w:ascii="Segoe UI" w:hAnsi="Segoe UI"/>
          <w:b/>
          <w:sz w:val="24"/>
        </w:rPr>
        <w:t>future</w:t>
      </w:r>
      <w:r>
        <w:rPr>
          <w:rFonts w:ascii="Segoe UI" w:hAnsi="Segoe UI"/>
          <w:b/>
          <w:spacing w:val="-4"/>
          <w:sz w:val="24"/>
        </w:rPr>
        <w:t> </w:t>
      </w:r>
      <w:r>
        <w:rPr>
          <w:rFonts w:ascii="Segoe UI" w:hAnsi="Segoe UI"/>
          <w:b/>
          <w:sz w:val="24"/>
        </w:rPr>
        <w:t>direction </w:t>
      </w:r>
      <w:r>
        <w:rPr>
          <w:rFonts w:ascii="Segoe UI" w:hAnsi="Segoe UI"/>
          <w:sz w:val="24"/>
        </w:rPr>
        <w:t>–</w:t>
      </w:r>
      <w:r>
        <w:rPr>
          <w:rFonts w:ascii="Segoe UI" w:hAnsi="Segoe UI"/>
          <w:spacing w:val="-3"/>
          <w:sz w:val="24"/>
        </w:rPr>
        <w:t> </w:t>
      </w:r>
      <w:r>
        <w:rPr>
          <w:rFonts w:ascii="Segoe UI" w:hAnsi="Segoe UI"/>
          <w:sz w:val="24"/>
        </w:rPr>
        <w:t>reflecting</w:t>
      </w:r>
      <w:r>
        <w:rPr>
          <w:rFonts w:ascii="Segoe UI" w:hAnsi="Segoe UI"/>
          <w:spacing w:val="-5"/>
          <w:sz w:val="24"/>
        </w:rPr>
        <w:t> </w:t>
      </w:r>
      <w:r>
        <w:rPr>
          <w:rFonts w:ascii="Segoe UI" w:hAnsi="Segoe UI"/>
          <w:sz w:val="24"/>
        </w:rPr>
        <w:t>the</w:t>
      </w:r>
      <w:r>
        <w:rPr>
          <w:rFonts w:ascii="Segoe UI" w:hAnsi="Segoe UI"/>
          <w:spacing w:val="-4"/>
          <w:sz w:val="24"/>
        </w:rPr>
        <w:t> </w:t>
      </w:r>
      <w:r>
        <w:rPr>
          <w:rFonts w:ascii="Segoe UI" w:hAnsi="Segoe UI"/>
          <w:sz w:val="24"/>
        </w:rPr>
        <w:t>need</w:t>
      </w:r>
      <w:r>
        <w:rPr>
          <w:rFonts w:ascii="Segoe UI" w:hAnsi="Segoe UI"/>
          <w:spacing w:val="-5"/>
          <w:sz w:val="24"/>
        </w:rPr>
        <w:t> </w:t>
      </w:r>
      <w:r>
        <w:rPr>
          <w:rFonts w:ascii="Segoe UI" w:hAnsi="Segoe UI"/>
          <w:sz w:val="24"/>
        </w:rPr>
        <w:t>for</w:t>
      </w:r>
      <w:r>
        <w:rPr>
          <w:rFonts w:ascii="Segoe UI" w:hAnsi="Segoe UI"/>
          <w:spacing w:val="-2"/>
          <w:sz w:val="24"/>
        </w:rPr>
        <w:t> </w:t>
      </w:r>
      <w:r>
        <w:rPr>
          <w:rFonts w:ascii="Segoe UI" w:hAnsi="Segoe UI"/>
          <w:sz w:val="24"/>
        </w:rPr>
        <w:t>a</w:t>
      </w:r>
      <w:r>
        <w:rPr>
          <w:rFonts w:ascii="Segoe UI" w:hAnsi="Segoe UI"/>
          <w:spacing w:val="-5"/>
          <w:sz w:val="24"/>
        </w:rPr>
        <w:t> </w:t>
      </w:r>
      <w:r>
        <w:rPr>
          <w:rFonts w:ascii="Segoe UI" w:hAnsi="Segoe UI"/>
          <w:sz w:val="24"/>
        </w:rPr>
        <w:t>clear</w:t>
      </w:r>
      <w:r>
        <w:rPr>
          <w:rFonts w:ascii="Segoe UI" w:hAnsi="Segoe UI"/>
          <w:spacing w:val="-2"/>
          <w:sz w:val="24"/>
        </w:rPr>
        <w:t> </w:t>
      </w:r>
      <w:r>
        <w:rPr>
          <w:rFonts w:ascii="Segoe UI" w:hAnsi="Segoe UI"/>
          <w:sz w:val="24"/>
        </w:rPr>
        <w:t>and agreed</w:t>
      </w:r>
      <w:r>
        <w:rPr>
          <w:rFonts w:ascii="Segoe UI" w:hAnsi="Segoe UI"/>
          <w:spacing w:val="-5"/>
          <w:sz w:val="24"/>
        </w:rPr>
        <w:t> </w:t>
      </w:r>
      <w:r>
        <w:rPr>
          <w:rFonts w:ascii="Segoe UI" w:hAnsi="Segoe UI"/>
          <w:sz w:val="24"/>
        </w:rPr>
        <w:t>evidence-based strategy.</w:t>
      </w:r>
    </w:p>
    <w:p>
      <w:pPr>
        <w:pStyle w:val="BodyText"/>
        <w:spacing w:before="1" w:after="1"/>
        <w:rPr>
          <w:rFonts w:ascii="Segoe UI"/>
          <w:sz w:val="12"/>
        </w:rPr>
      </w:pPr>
    </w:p>
    <w:tbl>
      <w:tblPr>
        <w:tblW w:w="0" w:type="auto"/>
        <w:jc w:val="left"/>
        <w:tblInd w:w="10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42"/>
        <w:gridCol w:w="5427"/>
      </w:tblGrid>
      <w:tr>
        <w:trPr>
          <w:trHeight w:val="490" w:hRule="atLeast"/>
        </w:trPr>
        <w:tc>
          <w:tcPr>
            <w:tcW w:w="4642" w:type="dxa"/>
            <w:shd w:val="clear" w:color="auto" w:fill="D9E1F3"/>
          </w:tcPr>
          <w:p>
            <w:pPr>
              <w:pStyle w:val="TableParagraph"/>
              <w:spacing w:before="96"/>
              <w:ind w:left="120"/>
              <w:rPr>
                <w:rFonts w:ascii="Calibri"/>
                <w:b/>
                <w:sz w:val="24"/>
              </w:rPr>
            </w:pPr>
            <w:r>
              <w:rPr>
                <w:rFonts w:ascii="Calibri"/>
                <w:b/>
                <w:color w:val="1F4E79"/>
                <w:spacing w:val="-2"/>
                <w:sz w:val="24"/>
              </w:rPr>
              <w:t>Deliverable</w:t>
            </w:r>
          </w:p>
        </w:tc>
        <w:tc>
          <w:tcPr>
            <w:tcW w:w="5427" w:type="dxa"/>
            <w:shd w:val="clear" w:color="auto" w:fill="D9E1F3"/>
          </w:tcPr>
          <w:p>
            <w:pPr>
              <w:pStyle w:val="TableParagraph"/>
              <w:spacing w:before="96"/>
              <w:ind w:left="125"/>
              <w:rPr>
                <w:rFonts w:ascii="Calibri"/>
                <w:b/>
                <w:sz w:val="24"/>
              </w:rPr>
            </w:pPr>
            <w:r>
              <w:rPr>
                <w:rFonts w:ascii="Calibri"/>
                <w:b/>
                <w:color w:val="1F4E79"/>
                <w:spacing w:val="-2"/>
                <w:sz w:val="24"/>
              </w:rPr>
              <w:t>Description</w:t>
            </w:r>
          </w:p>
        </w:tc>
      </w:tr>
      <w:tr>
        <w:trPr>
          <w:trHeight w:val="760" w:hRule="atLeast"/>
        </w:trPr>
        <w:tc>
          <w:tcPr>
            <w:tcW w:w="4642" w:type="dxa"/>
          </w:tcPr>
          <w:p>
            <w:pPr>
              <w:pStyle w:val="TableParagraph"/>
              <w:spacing w:before="58"/>
              <w:ind w:left="120"/>
              <w:rPr>
                <w:rFonts w:ascii="Segoe UI"/>
                <w:sz w:val="21"/>
              </w:rPr>
            </w:pPr>
            <w:r>
              <w:rPr>
                <w:rFonts w:ascii="Segoe UI"/>
                <w:sz w:val="21"/>
              </w:rPr>
              <w:t>Demand</w:t>
            </w:r>
            <w:r>
              <w:rPr>
                <w:rFonts w:ascii="Segoe UI"/>
                <w:spacing w:val="-3"/>
                <w:sz w:val="21"/>
              </w:rPr>
              <w:t> </w:t>
            </w:r>
            <w:r>
              <w:rPr>
                <w:rFonts w:ascii="Segoe UI"/>
                <w:sz w:val="21"/>
              </w:rPr>
              <w:t>&amp;</w:t>
            </w:r>
            <w:r>
              <w:rPr>
                <w:rFonts w:ascii="Segoe UI"/>
                <w:spacing w:val="-1"/>
                <w:sz w:val="21"/>
              </w:rPr>
              <w:t> </w:t>
            </w:r>
            <w:r>
              <w:rPr>
                <w:rFonts w:ascii="Segoe UI"/>
                <w:sz w:val="21"/>
              </w:rPr>
              <w:t>Capacity</w:t>
            </w:r>
            <w:r>
              <w:rPr>
                <w:rFonts w:ascii="Segoe UI"/>
                <w:spacing w:val="-5"/>
                <w:sz w:val="21"/>
              </w:rPr>
              <w:t> </w:t>
            </w:r>
            <w:r>
              <w:rPr>
                <w:rFonts w:ascii="Segoe UI"/>
                <w:spacing w:val="-2"/>
                <w:sz w:val="21"/>
              </w:rPr>
              <w:t>Model</w:t>
            </w:r>
          </w:p>
        </w:tc>
        <w:tc>
          <w:tcPr>
            <w:tcW w:w="5427" w:type="dxa"/>
          </w:tcPr>
          <w:p>
            <w:pPr>
              <w:pStyle w:val="TableParagraph"/>
              <w:spacing w:line="276" w:lineRule="auto" w:before="58"/>
              <w:ind w:left="125"/>
              <w:rPr>
                <w:rFonts w:ascii="Segoe UI"/>
                <w:sz w:val="21"/>
              </w:rPr>
            </w:pPr>
            <w:r>
              <w:rPr>
                <w:rFonts w:ascii="Segoe UI"/>
                <w:sz w:val="21"/>
              </w:rPr>
              <w:t>Regional</w:t>
            </w:r>
            <w:r>
              <w:rPr>
                <w:rFonts w:ascii="Segoe UI"/>
                <w:spacing w:val="-7"/>
                <w:sz w:val="21"/>
              </w:rPr>
              <w:t> </w:t>
            </w:r>
            <w:r>
              <w:rPr>
                <w:rFonts w:ascii="Segoe UI"/>
                <w:sz w:val="21"/>
              </w:rPr>
              <w:t>modelling</w:t>
            </w:r>
            <w:r>
              <w:rPr>
                <w:rFonts w:ascii="Segoe UI"/>
                <w:spacing w:val="-10"/>
                <w:sz w:val="21"/>
              </w:rPr>
              <w:t> </w:t>
            </w:r>
            <w:r>
              <w:rPr>
                <w:rFonts w:ascii="Segoe UI"/>
                <w:sz w:val="21"/>
              </w:rPr>
              <w:t>refresh</w:t>
            </w:r>
            <w:r>
              <w:rPr>
                <w:rFonts w:ascii="Segoe UI"/>
                <w:spacing w:val="-5"/>
                <w:sz w:val="21"/>
              </w:rPr>
              <w:t> </w:t>
            </w:r>
            <w:r>
              <w:rPr>
                <w:rFonts w:ascii="Segoe UI"/>
                <w:sz w:val="21"/>
              </w:rPr>
              <w:t>informing</w:t>
            </w:r>
            <w:r>
              <w:rPr>
                <w:rFonts w:ascii="Segoe UI"/>
                <w:spacing w:val="-10"/>
                <w:sz w:val="21"/>
              </w:rPr>
              <w:t> </w:t>
            </w:r>
            <w:r>
              <w:rPr>
                <w:rFonts w:ascii="Segoe UI"/>
                <w:sz w:val="21"/>
              </w:rPr>
              <w:t>future</w:t>
            </w:r>
            <w:r>
              <w:rPr>
                <w:rFonts w:ascii="Segoe UI"/>
                <w:spacing w:val="-11"/>
                <w:sz w:val="21"/>
              </w:rPr>
              <w:t> </w:t>
            </w:r>
            <w:r>
              <w:rPr>
                <w:rFonts w:ascii="Segoe UI"/>
                <w:sz w:val="21"/>
              </w:rPr>
              <w:t>service </w:t>
            </w:r>
            <w:r>
              <w:rPr>
                <w:rFonts w:ascii="Segoe UI"/>
                <w:spacing w:val="-2"/>
                <w:sz w:val="21"/>
              </w:rPr>
              <w:t>design</w:t>
            </w:r>
          </w:p>
        </w:tc>
      </w:tr>
      <w:tr>
        <w:trPr>
          <w:trHeight w:val="435" w:hRule="atLeast"/>
        </w:trPr>
        <w:tc>
          <w:tcPr>
            <w:tcW w:w="4642" w:type="dxa"/>
          </w:tcPr>
          <w:p>
            <w:pPr>
              <w:pStyle w:val="TableParagraph"/>
              <w:spacing w:before="54"/>
              <w:ind w:left="120"/>
              <w:rPr>
                <w:rFonts w:ascii="Segoe UI"/>
                <w:sz w:val="21"/>
              </w:rPr>
            </w:pPr>
            <w:r>
              <w:rPr>
                <w:rFonts w:ascii="Segoe UI"/>
                <w:sz w:val="21"/>
              </w:rPr>
              <w:t>Financial</w:t>
            </w:r>
            <w:r>
              <w:rPr>
                <w:rFonts w:ascii="Segoe UI"/>
                <w:spacing w:val="-6"/>
                <w:sz w:val="21"/>
              </w:rPr>
              <w:t> </w:t>
            </w:r>
            <w:r>
              <w:rPr>
                <w:rFonts w:ascii="Segoe UI"/>
                <w:spacing w:val="-2"/>
                <w:sz w:val="21"/>
              </w:rPr>
              <w:t>Framework</w:t>
            </w:r>
          </w:p>
        </w:tc>
        <w:tc>
          <w:tcPr>
            <w:tcW w:w="5427" w:type="dxa"/>
          </w:tcPr>
          <w:p>
            <w:pPr>
              <w:pStyle w:val="TableParagraph"/>
              <w:spacing w:before="54"/>
              <w:ind w:left="125"/>
              <w:rPr>
                <w:rFonts w:ascii="Segoe UI"/>
                <w:sz w:val="21"/>
              </w:rPr>
            </w:pPr>
            <w:r>
              <w:rPr>
                <w:rFonts w:ascii="Segoe UI"/>
                <w:sz w:val="21"/>
              </w:rPr>
              <w:t>Regional</w:t>
            </w:r>
            <w:r>
              <w:rPr>
                <w:rFonts w:ascii="Segoe UI"/>
                <w:spacing w:val="-4"/>
                <w:sz w:val="21"/>
              </w:rPr>
              <w:t> </w:t>
            </w:r>
            <w:r>
              <w:rPr>
                <w:rFonts w:ascii="Segoe UI"/>
                <w:sz w:val="21"/>
              </w:rPr>
              <w:t>funding</w:t>
            </w:r>
            <w:r>
              <w:rPr>
                <w:rFonts w:ascii="Segoe UI"/>
                <w:spacing w:val="-5"/>
                <w:sz w:val="21"/>
              </w:rPr>
              <w:t> </w:t>
            </w:r>
            <w:r>
              <w:rPr>
                <w:rFonts w:ascii="Segoe UI"/>
                <w:sz w:val="21"/>
              </w:rPr>
              <w:t>and</w:t>
            </w:r>
            <w:r>
              <w:rPr>
                <w:rFonts w:ascii="Segoe UI"/>
                <w:spacing w:val="-6"/>
                <w:sz w:val="21"/>
              </w:rPr>
              <w:t> </w:t>
            </w:r>
            <w:r>
              <w:rPr>
                <w:rFonts w:ascii="Segoe UI"/>
                <w:sz w:val="21"/>
              </w:rPr>
              <w:t>contracting</w:t>
            </w:r>
            <w:r>
              <w:rPr>
                <w:rFonts w:ascii="Segoe UI"/>
                <w:spacing w:val="-1"/>
                <w:sz w:val="21"/>
              </w:rPr>
              <w:t> </w:t>
            </w:r>
            <w:r>
              <w:rPr>
                <w:rFonts w:ascii="Segoe UI"/>
                <w:spacing w:val="-4"/>
                <w:sz w:val="21"/>
              </w:rPr>
              <w:t>model</w:t>
            </w:r>
          </w:p>
        </w:tc>
      </w:tr>
      <w:tr>
        <w:trPr>
          <w:trHeight w:val="755" w:hRule="atLeast"/>
        </w:trPr>
        <w:tc>
          <w:tcPr>
            <w:tcW w:w="4642" w:type="dxa"/>
          </w:tcPr>
          <w:p>
            <w:pPr>
              <w:pStyle w:val="TableParagraph"/>
              <w:spacing w:line="276" w:lineRule="auto" w:before="53"/>
              <w:ind w:left="120" w:right="170"/>
              <w:rPr>
                <w:rFonts w:ascii="Segoe UI"/>
                <w:sz w:val="21"/>
              </w:rPr>
            </w:pPr>
            <w:r>
              <w:rPr>
                <w:rFonts w:ascii="Segoe UI"/>
                <w:sz w:val="21"/>
              </w:rPr>
              <w:t>Strategic</w:t>
            </w:r>
            <w:r>
              <w:rPr>
                <w:rFonts w:ascii="Segoe UI"/>
                <w:spacing w:val="-8"/>
                <w:sz w:val="21"/>
              </w:rPr>
              <w:t> </w:t>
            </w:r>
            <w:r>
              <w:rPr>
                <w:rFonts w:ascii="Segoe UI"/>
                <w:sz w:val="21"/>
              </w:rPr>
              <w:t>vision</w:t>
            </w:r>
            <w:r>
              <w:rPr>
                <w:rFonts w:ascii="Segoe UI"/>
                <w:spacing w:val="-5"/>
                <w:sz w:val="21"/>
              </w:rPr>
              <w:t> </w:t>
            </w:r>
            <w:r>
              <w:rPr>
                <w:rFonts w:ascii="Segoe UI"/>
                <w:sz w:val="21"/>
              </w:rPr>
              <w:t>and</w:t>
            </w:r>
            <w:r>
              <w:rPr>
                <w:rFonts w:ascii="Segoe UI"/>
                <w:spacing w:val="-5"/>
                <w:sz w:val="21"/>
              </w:rPr>
              <w:t> </w:t>
            </w:r>
            <w:r>
              <w:rPr>
                <w:rFonts w:ascii="Segoe UI"/>
                <w:sz w:val="21"/>
              </w:rPr>
              <w:t>plans</w:t>
            </w:r>
            <w:r>
              <w:rPr>
                <w:rFonts w:ascii="Segoe UI"/>
                <w:spacing w:val="-9"/>
                <w:sz w:val="21"/>
              </w:rPr>
              <w:t> </w:t>
            </w:r>
            <w:r>
              <w:rPr>
                <w:rFonts w:ascii="Segoe UI"/>
                <w:sz w:val="21"/>
              </w:rPr>
              <w:t>for</w:t>
            </w:r>
            <w:r>
              <w:rPr>
                <w:rFonts w:ascii="Segoe UI"/>
                <w:spacing w:val="-8"/>
                <w:sz w:val="21"/>
              </w:rPr>
              <w:t> </w:t>
            </w:r>
            <w:r>
              <w:rPr>
                <w:rFonts w:ascii="Segoe UI"/>
                <w:sz w:val="21"/>
              </w:rPr>
              <w:t>2027/28, including a Digital Enablement Plan</w:t>
            </w:r>
          </w:p>
        </w:tc>
        <w:tc>
          <w:tcPr>
            <w:tcW w:w="5427" w:type="dxa"/>
          </w:tcPr>
          <w:p>
            <w:pPr>
              <w:pStyle w:val="TableParagraph"/>
              <w:spacing w:line="276" w:lineRule="auto" w:before="53"/>
              <w:ind w:left="125"/>
              <w:rPr>
                <w:rFonts w:ascii="Segoe UI"/>
                <w:sz w:val="21"/>
              </w:rPr>
            </w:pPr>
            <w:r>
              <w:rPr>
                <w:rFonts w:ascii="Segoe UI"/>
                <w:sz w:val="21"/>
              </w:rPr>
              <w:t>Strategic</w:t>
            </w:r>
            <w:r>
              <w:rPr>
                <w:rFonts w:ascii="Segoe UI"/>
                <w:spacing w:val="-7"/>
                <w:sz w:val="21"/>
              </w:rPr>
              <w:t> </w:t>
            </w:r>
            <w:r>
              <w:rPr>
                <w:rFonts w:ascii="Segoe UI"/>
                <w:sz w:val="21"/>
              </w:rPr>
              <w:t>plan</w:t>
            </w:r>
            <w:r>
              <w:rPr>
                <w:rFonts w:ascii="Segoe UI"/>
                <w:spacing w:val="-4"/>
                <w:sz w:val="21"/>
              </w:rPr>
              <w:t> </w:t>
            </w:r>
            <w:r>
              <w:rPr>
                <w:rFonts w:ascii="Segoe UI"/>
                <w:sz w:val="21"/>
              </w:rPr>
              <w:t>for</w:t>
            </w:r>
            <w:r>
              <w:rPr>
                <w:rFonts w:ascii="Segoe UI"/>
                <w:spacing w:val="-3"/>
                <w:sz w:val="21"/>
              </w:rPr>
              <w:t> </w:t>
            </w:r>
            <w:r>
              <w:rPr>
                <w:rFonts w:ascii="Segoe UI"/>
                <w:sz w:val="21"/>
              </w:rPr>
              <w:t>2027/28</w:t>
            </w:r>
            <w:r>
              <w:rPr>
                <w:rFonts w:ascii="Segoe UI"/>
                <w:spacing w:val="-8"/>
                <w:sz w:val="21"/>
              </w:rPr>
              <w:t> </w:t>
            </w:r>
            <w:r>
              <w:rPr>
                <w:rFonts w:ascii="Segoe UI"/>
                <w:sz w:val="21"/>
              </w:rPr>
              <w:t>onwards</w:t>
            </w:r>
            <w:r>
              <w:rPr>
                <w:rFonts w:ascii="Segoe UI"/>
                <w:spacing w:val="-4"/>
                <w:sz w:val="21"/>
              </w:rPr>
              <w:t> </w:t>
            </w:r>
            <w:r>
              <w:rPr>
                <w:rFonts w:ascii="Segoe UI"/>
                <w:sz w:val="21"/>
              </w:rPr>
              <w:t>and</w:t>
            </w:r>
            <w:r>
              <w:rPr>
                <w:rFonts w:ascii="Segoe UI"/>
                <w:spacing w:val="-9"/>
                <w:sz w:val="21"/>
              </w:rPr>
              <w:t> </w:t>
            </w:r>
            <w:r>
              <w:rPr>
                <w:rFonts w:ascii="Segoe UI"/>
                <w:sz w:val="21"/>
              </w:rPr>
              <w:t>roadmap</w:t>
            </w:r>
            <w:r>
              <w:rPr>
                <w:rFonts w:ascii="Segoe UI"/>
                <w:spacing w:val="-4"/>
                <w:sz w:val="21"/>
              </w:rPr>
              <w:t> </w:t>
            </w:r>
            <w:r>
              <w:rPr>
                <w:rFonts w:ascii="Segoe UI"/>
                <w:sz w:val="21"/>
              </w:rPr>
              <w:t>for integrated regional digital systems</w:t>
            </w:r>
          </w:p>
        </w:tc>
      </w:tr>
    </w:tbl>
    <w:p>
      <w:pPr>
        <w:spacing w:before="161"/>
        <w:ind w:left="1009" w:right="0" w:firstLine="0"/>
        <w:jc w:val="left"/>
        <w:rPr>
          <w:rFonts w:ascii="Segoe UI" w:hAnsi="Segoe UI"/>
          <w:sz w:val="24"/>
        </w:rPr>
      </w:pPr>
      <w:r>
        <w:rPr>
          <w:rFonts w:ascii="Segoe UI" w:hAnsi="Segoe UI"/>
          <w:b/>
          <w:sz w:val="24"/>
        </w:rPr>
        <w:t>Track</w:t>
      </w:r>
      <w:r>
        <w:rPr>
          <w:rFonts w:ascii="Segoe UI" w:hAnsi="Segoe UI"/>
          <w:b/>
          <w:spacing w:val="-4"/>
          <w:sz w:val="24"/>
        </w:rPr>
        <w:t> </w:t>
      </w:r>
      <w:r>
        <w:rPr>
          <w:rFonts w:ascii="Segoe UI" w:hAnsi="Segoe UI"/>
          <w:b/>
          <w:sz w:val="24"/>
        </w:rPr>
        <w:t>2</w:t>
      </w:r>
      <w:r>
        <w:rPr>
          <w:rFonts w:ascii="Segoe UI" w:hAnsi="Segoe UI"/>
          <w:b/>
          <w:spacing w:val="-1"/>
          <w:sz w:val="24"/>
        </w:rPr>
        <w:t> </w:t>
      </w:r>
      <w:r>
        <w:rPr>
          <w:rFonts w:ascii="Segoe UI" w:hAnsi="Segoe UI"/>
          <w:b/>
          <w:sz w:val="24"/>
        </w:rPr>
        <w:t>–</w:t>
      </w:r>
      <w:r>
        <w:rPr>
          <w:rFonts w:ascii="Segoe UI" w:hAnsi="Segoe UI"/>
          <w:b/>
          <w:spacing w:val="-3"/>
          <w:sz w:val="24"/>
        </w:rPr>
        <w:t> </w:t>
      </w:r>
      <w:r>
        <w:rPr>
          <w:rFonts w:ascii="Segoe UI" w:hAnsi="Segoe UI"/>
          <w:b/>
          <w:sz w:val="24"/>
        </w:rPr>
        <w:t>Setting</w:t>
      </w:r>
      <w:r>
        <w:rPr>
          <w:rFonts w:ascii="Segoe UI" w:hAnsi="Segoe UI"/>
          <w:b/>
          <w:spacing w:val="-2"/>
          <w:sz w:val="24"/>
        </w:rPr>
        <w:t> </w:t>
      </w:r>
      <w:r>
        <w:rPr>
          <w:rFonts w:ascii="Segoe UI" w:hAnsi="Segoe UI"/>
          <w:b/>
          <w:sz w:val="24"/>
        </w:rPr>
        <w:t>the</w:t>
      </w:r>
      <w:r>
        <w:rPr>
          <w:rFonts w:ascii="Segoe UI" w:hAnsi="Segoe UI"/>
          <w:b/>
          <w:spacing w:val="-1"/>
          <w:sz w:val="24"/>
        </w:rPr>
        <w:t> </w:t>
      </w:r>
      <w:r>
        <w:rPr>
          <w:rFonts w:ascii="Segoe UI" w:hAnsi="Segoe UI"/>
          <w:b/>
          <w:sz w:val="24"/>
        </w:rPr>
        <w:t>foundations</w:t>
      </w:r>
      <w:r>
        <w:rPr>
          <w:rFonts w:ascii="Segoe UI" w:hAnsi="Segoe UI"/>
          <w:b/>
          <w:spacing w:val="-3"/>
          <w:sz w:val="24"/>
        </w:rPr>
        <w:t> </w:t>
      </w:r>
      <w:r>
        <w:rPr>
          <w:rFonts w:ascii="Segoe UI" w:hAnsi="Segoe UI"/>
          <w:b/>
          <w:sz w:val="24"/>
        </w:rPr>
        <w:t>for</w:t>
      </w:r>
      <w:r>
        <w:rPr>
          <w:rFonts w:ascii="Segoe UI" w:hAnsi="Segoe UI"/>
          <w:b/>
          <w:spacing w:val="-3"/>
          <w:sz w:val="24"/>
        </w:rPr>
        <w:t> </w:t>
      </w:r>
      <w:r>
        <w:rPr>
          <w:rFonts w:ascii="Segoe UI" w:hAnsi="Segoe UI"/>
          <w:b/>
          <w:sz w:val="24"/>
        </w:rPr>
        <w:t>the</w:t>
      </w:r>
      <w:r>
        <w:rPr>
          <w:rFonts w:ascii="Segoe UI" w:hAnsi="Segoe UI"/>
          <w:b/>
          <w:spacing w:val="-1"/>
          <w:sz w:val="24"/>
        </w:rPr>
        <w:t> </w:t>
      </w:r>
      <w:r>
        <w:rPr>
          <w:rFonts w:ascii="Segoe UI" w:hAnsi="Segoe UI"/>
          <w:b/>
          <w:sz w:val="24"/>
        </w:rPr>
        <w:t>future</w:t>
      </w:r>
      <w:r>
        <w:rPr>
          <w:rFonts w:ascii="Segoe UI" w:hAnsi="Segoe UI"/>
          <w:b/>
          <w:spacing w:val="1"/>
          <w:sz w:val="24"/>
        </w:rPr>
        <w:t> </w:t>
      </w:r>
      <w:r>
        <w:rPr>
          <w:rFonts w:ascii="Segoe UI" w:hAnsi="Segoe UI"/>
          <w:sz w:val="24"/>
        </w:rPr>
        <w:t>–</w:t>
      </w:r>
      <w:r>
        <w:rPr>
          <w:rFonts w:ascii="Segoe UI" w:hAnsi="Segoe UI"/>
          <w:spacing w:val="-2"/>
          <w:sz w:val="24"/>
        </w:rPr>
        <w:t> </w:t>
      </w:r>
      <w:r>
        <w:rPr>
          <w:rFonts w:ascii="Segoe UI" w:hAnsi="Segoe UI"/>
          <w:sz w:val="24"/>
        </w:rPr>
        <w:t>because</w:t>
      </w:r>
      <w:r>
        <w:rPr>
          <w:rFonts w:ascii="Segoe UI" w:hAnsi="Segoe UI"/>
          <w:spacing w:val="-3"/>
          <w:sz w:val="24"/>
        </w:rPr>
        <w:t> </w:t>
      </w:r>
      <w:r>
        <w:rPr>
          <w:rFonts w:ascii="Segoe UI" w:hAnsi="Segoe UI"/>
          <w:sz w:val="24"/>
        </w:rPr>
        <w:t>we</w:t>
      </w:r>
      <w:r>
        <w:rPr>
          <w:rFonts w:ascii="Segoe UI" w:hAnsi="Segoe UI"/>
          <w:spacing w:val="-3"/>
          <w:sz w:val="24"/>
        </w:rPr>
        <w:t> </w:t>
      </w:r>
      <w:r>
        <w:rPr>
          <w:rFonts w:ascii="Segoe UI" w:hAnsi="Segoe UI"/>
          <w:sz w:val="24"/>
        </w:rPr>
        <w:t>don’t</w:t>
      </w:r>
      <w:r>
        <w:rPr>
          <w:rFonts w:ascii="Segoe UI" w:hAnsi="Segoe UI"/>
          <w:spacing w:val="-3"/>
          <w:sz w:val="24"/>
        </w:rPr>
        <w:t> </w:t>
      </w:r>
      <w:r>
        <w:rPr>
          <w:rFonts w:ascii="Segoe UI" w:hAnsi="Segoe UI"/>
          <w:sz w:val="24"/>
        </w:rPr>
        <w:t>need</w:t>
      </w:r>
      <w:r>
        <w:rPr>
          <w:rFonts w:ascii="Segoe UI" w:hAnsi="Segoe UI"/>
          <w:spacing w:val="-4"/>
          <w:sz w:val="24"/>
        </w:rPr>
        <w:t> </w:t>
      </w:r>
      <w:r>
        <w:rPr>
          <w:rFonts w:ascii="Segoe UI" w:hAnsi="Segoe UI"/>
          <w:sz w:val="24"/>
        </w:rPr>
        <w:t>to</w:t>
      </w:r>
      <w:r>
        <w:rPr>
          <w:rFonts w:ascii="Segoe UI" w:hAnsi="Segoe UI"/>
          <w:spacing w:val="-3"/>
          <w:sz w:val="24"/>
        </w:rPr>
        <w:t> </w:t>
      </w:r>
      <w:r>
        <w:rPr>
          <w:rFonts w:ascii="Segoe UI" w:hAnsi="Segoe UI"/>
          <w:sz w:val="24"/>
        </w:rPr>
        <w:t>wait</w:t>
      </w:r>
      <w:r>
        <w:rPr>
          <w:rFonts w:ascii="Segoe UI" w:hAnsi="Segoe UI"/>
          <w:spacing w:val="-3"/>
          <w:sz w:val="24"/>
        </w:rPr>
        <w:t> </w:t>
      </w:r>
      <w:r>
        <w:rPr>
          <w:rFonts w:ascii="Segoe UI" w:hAnsi="Segoe UI"/>
          <w:sz w:val="24"/>
        </w:rPr>
        <w:t>for</w:t>
      </w:r>
      <w:r>
        <w:rPr>
          <w:rFonts w:ascii="Segoe UI" w:hAnsi="Segoe UI"/>
          <w:spacing w:val="-2"/>
          <w:sz w:val="24"/>
        </w:rPr>
        <w:t> </w:t>
      </w:r>
      <w:r>
        <w:rPr>
          <w:rFonts w:ascii="Segoe UI" w:hAnsi="Segoe UI"/>
          <w:spacing w:val="-5"/>
          <w:sz w:val="24"/>
        </w:rPr>
        <w:t>the</w:t>
      </w:r>
    </w:p>
    <w:p>
      <w:pPr>
        <w:pStyle w:val="BodyText"/>
        <w:spacing w:before="1"/>
        <w:ind w:left="1009"/>
        <w:rPr>
          <w:rFonts w:ascii="Segoe UI"/>
        </w:rPr>
      </w:pPr>
      <w:r>
        <w:rPr>
          <w:rFonts w:ascii="Segoe UI"/>
        </w:rPr>
        <w:t>strategy</w:t>
      </w:r>
      <w:r>
        <w:rPr>
          <w:rFonts w:ascii="Segoe UI"/>
          <w:spacing w:val="-7"/>
        </w:rPr>
        <w:t> </w:t>
      </w:r>
      <w:r>
        <w:rPr>
          <w:rFonts w:ascii="Segoe UI"/>
        </w:rPr>
        <w:t>to</w:t>
      </w:r>
      <w:r>
        <w:rPr>
          <w:rFonts w:ascii="Segoe UI"/>
          <w:spacing w:val="-1"/>
        </w:rPr>
        <w:t> </w:t>
      </w:r>
      <w:r>
        <w:rPr>
          <w:rFonts w:ascii="Segoe UI"/>
        </w:rPr>
        <w:t>make</w:t>
      </w:r>
      <w:r>
        <w:rPr>
          <w:rFonts w:ascii="Segoe UI"/>
          <w:spacing w:val="-4"/>
        </w:rPr>
        <w:t> </w:t>
      </w:r>
      <w:r>
        <w:rPr>
          <w:rFonts w:ascii="Segoe UI"/>
          <w:spacing w:val="-2"/>
        </w:rPr>
        <w:t>progress</w:t>
      </w:r>
    </w:p>
    <w:p>
      <w:pPr>
        <w:pStyle w:val="BodyText"/>
        <w:spacing w:after="1"/>
        <w:rPr>
          <w:rFonts w:ascii="Segoe UI"/>
          <w:sz w:val="12"/>
        </w:rPr>
      </w:pPr>
    </w:p>
    <w:tbl>
      <w:tblPr>
        <w:tblW w:w="0" w:type="auto"/>
        <w:jc w:val="left"/>
        <w:tblInd w:w="10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42"/>
        <w:gridCol w:w="5427"/>
      </w:tblGrid>
      <w:tr>
        <w:trPr>
          <w:trHeight w:val="489" w:hRule="atLeast"/>
        </w:trPr>
        <w:tc>
          <w:tcPr>
            <w:tcW w:w="4642" w:type="dxa"/>
            <w:shd w:val="clear" w:color="auto" w:fill="D9E1F3"/>
          </w:tcPr>
          <w:p>
            <w:pPr>
              <w:pStyle w:val="TableParagraph"/>
              <w:spacing w:before="96"/>
              <w:ind w:left="120"/>
              <w:rPr>
                <w:rFonts w:ascii="Calibri"/>
                <w:b/>
                <w:sz w:val="24"/>
              </w:rPr>
            </w:pPr>
            <w:r>
              <w:rPr>
                <w:rFonts w:ascii="Calibri"/>
                <w:b/>
                <w:color w:val="1F4E79"/>
                <w:spacing w:val="-2"/>
                <w:sz w:val="24"/>
              </w:rPr>
              <w:t>Deliverable</w:t>
            </w:r>
          </w:p>
        </w:tc>
        <w:tc>
          <w:tcPr>
            <w:tcW w:w="5427" w:type="dxa"/>
            <w:shd w:val="clear" w:color="auto" w:fill="D9E1F3"/>
          </w:tcPr>
          <w:p>
            <w:pPr>
              <w:pStyle w:val="TableParagraph"/>
              <w:spacing w:before="96"/>
              <w:ind w:left="125"/>
              <w:rPr>
                <w:rFonts w:ascii="Calibri"/>
                <w:b/>
                <w:sz w:val="24"/>
              </w:rPr>
            </w:pPr>
            <w:r>
              <w:rPr>
                <w:rFonts w:ascii="Calibri"/>
                <w:b/>
                <w:color w:val="1F4E79"/>
                <w:spacing w:val="-2"/>
                <w:sz w:val="24"/>
              </w:rPr>
              <w:t>Description</w:t>
            </w:r>
          </w:p>
        </w:tc>
      </w:tr>
      <w:tr>
        <w:trPr>
          <w:trHeight w:val="435" w:hRule="atLeast"/>
        </w:trPr>
        <w:tc>
          <w:tcPr>
            <w:tcW w:w="4642" w:type="dxa"/>
          </w:tcPr>
          <w:p>
            <w:pPr>
              <w:pStyle w:val="TableParagraph"/>
              <w:spacing w:before="58"/>
              <w:ind w:left="110"/>
              <w:rPr>
                <w:rFonts w:ascii="Segoe UI"/>
                <w:sz w:val="21"/>
              </w:rPr>
            </w:pPr>
            <w:r>
              <w:rPr>
                <w:rFonts w:ascii="Segoe UI"/>
                <w:sz w:val="21"/>
              </w:rPr>
              <w:t>Single</w:t>
            </w:r>
            <w:r>
              <w:rPr>
                <w:rFonts w:ascii="Segoe UI"/>
                <w:spacing w:val="-2"/>
                <w:sz w:val="21"/>
              </w:rPr>
              <w:t> </w:t>
            </w:r>
            <w:r>
              <w:rPr>
                <w:rFonts w:ascii="Segoe UI"/>
                <w:sz w:val="21"/>
              </w:rPr>
              <w:t>Waiting</w:t>
            </w:r>
            <w:r>
              <w:rPr>
                <w:rFonts w:ascii="Segoe UI"/>
                <w:spacing w:val="-2"/>
                <w:sz w:val="21"/>
              </w:rPr>
              <w:t> </w:t>
            </w:r>
            <w:r>
              <w:rPr>
                <w:rFonts w:ascii="Segoe UI"/>
                <w:sz w:val="21"/>
              </w:rPr>
              <w:t>List</w:t>
            </w:r>
            <w:r>
              <w:rPr>
                <w:rFonts w:ascii="Segoe UI"/>
                <w:spacing w:val="-2"/>
                <w:sz w:val="21"/>
              </w:rPr>
              <w:t> Design</w:t>
            </w:r>
          </w:p>
        </w:tc>
        <w:tc>
          <w:tcPr>
            <w:tcW w:w="5427" w:type="dxa"/>
          </w:tcPr>
          <w:p>
            <w:pPr>
              <w:pStyle w:val="TableParagraph"/>
              <w:spacing w:before="58"/>
              <w:ind w:left="110"/>
              <w:rPr>
                <w:rFonts w:ascii="Segoe UI"/>
                <w:sz w:val="21"/>
              </w:rPr>
            </w:pPr>
            <w:r>
              <w:rPr>
                <w:rFonts w:ascii="Segoe UI"/>
                <w:sz w:val="21"/>
              </w:rPr>
              <w:t>Patient</w:t>
            </w:r>
            <w:r>
              <w:rPr>
                <w:rFonts w:ascii="Segoe UI"/>
                <w:spacing w:val="-1"/>
                <w:sz w:val="21"/>
              </w:rPr>
              <w:t> </w:t>
            </w:r>
            <w:r>
              <w:rPr>
                <w:rFonts w:ascii="Segoe UI"/>
                <w:sz w:val="21"/>
              </w:rPr>
              <w:t>pooling</w:t>
            </w:r>
            <w:r>
              <w:rPr>
                <w:rFonts w:ascii="Segoe UI"/>
                <w:spacing w:val="-3"/>
                <w:sz w:val="21"/>
              </w:rPr>
              <w:t> </w:t>
            </w:r>
            <w:r>
              <w:rPr>
                <w:rFonts w:ascii="Segoe UI"/>
                <w:sz w:val="21"/>
              </w:rPr>
              <w:t>and</w:t>
            </w:r>
            <w:r>
              <w:rPr>
                <w:rFonts w:ascii="Segoe UI"/>
                <w:spacing w:val="-3"/>
                <w:sz w:val="21"/>
              </w:rPr>
              <w:t> </w:t>
            </w:r>
            <w:r>
              <w:rPr>
                <w:rFonts w:ascii="Segoe UI"/>
                <w:sz w:val="21"/>
              </w:rPr>
              <w:t>central PTL</w:t>
            </w:r>
            <w:r>
              <w:rPr>
                <w:rFonts w:ascii="Segoe UI"/>
                <w:spacing w:val="-3"/>
                <w:sz w:val="21"/>
              </w:rPr>
              <w:t> </w:t>
            </w:r>
            <w:r>
              <w:rPr>
                <w:rFonts w:ascii="Segoe UI"/>
                <w:spacing w:val="-4"/>
                <w:sz w:val="21"/>
              </w:rPr>
              <w:t>model</w:t>
            </w:r>
          </w:p>
        </w:tc>
      </w:tr>
      <w:tr>
        <w:trPr>
          <w:trHeight w:val="760" w:hRule="atLeast"/>
        </w:trPr>
        <w:tc>
          <w:tcPr>
            <w:tcW w:w="4642" w:type="dxa"/>
          </w:tcPr>
          <w:p>
            <w:pPr>
              <w:pStyle w:val="TableParagraph"/>
              <w:spacing w:before="59"/>
              <w:ind w:left="110"/>
              <w:rPr>
                <w:rFonts w:ascii="Segoe UI"/>
                <w:sz w:val="21"/>
              </w:rPr>
            </w:pPr>
            <w:r>
              <w:rPr>
                <w:rFonts w:ascii="Segoe UI"/>
                <w:sz w:val="21"/>
              </w:rPr>
              <w:t>Electronic</w:t>
            </w:r>
            <w:r>
              <w:rPr>
                <w:rFonts w:ascii="Segoe UI"/>
                <w:spacing w:val="-5"/>
                <w:sz w:val="21"/>
              </w:rPr>
              <w:t> </w:t>
            </w:r>
            <w:r>
              <w:rPr>
                <w:rFonts w:ascii="Segoe UI"/>
                <w:sz w:val="21"/>
              </w:rPr>
              <w:t>Pre-Operative</w:t>
            </w:r>
            <w:r>
              <w:rPr>
                <w:rFonts w:ascii="Segoe UI"/>
                <w:spacing w:val="-4"/>
                <w:sz w:val="21"/>
              </w:rPr>
              <w:t> </w:t>
            </w:r>
            <w:r>
              <w:rPr>
                <w:rFonts w:ascii="Segoe UI"/>
                <w:sz w:val="21"/>
              </w:rPr>
              <w:t>Assessment</w:t>
            </w:r>
            <w:r>
              <w:rPr>
                <w:rFonts w:ascii="Segoe UI"/>
                <w:spacing w:val="-4"/>
                <w:sz w:val="21"/>
              </w:rPr>
              <w:t> </w:t>
            </w:r>
            <w:r>
              <w:rPr>
                <w:rFonts w:ascii="Segoe UI"/>
                <w:spacing w:val="-2"/>
                <w:sz w:val="21"/>
              </w:rPr>
              <w:t>(EPOA)</w:t>
            </w:r>
          </w:p>
        </w:tc>
        <w:tc>
          <w:tcPr>
            <w:tcW w:w="5427" w:type="dxa"/>
          </w:tcPr>
          <w:p>
            <w:pPr>
              <w:pStyle w:val="TableParagraph"/>
              <w:spacing w:line="276" w:lineRule="auto" w:before="59"/>
              <w:ind w:left="110"/>
              <w:rPr>
                <w:rFonts w:ascii="Segoe UI"/>
                <w:sz w:val="21"/>
              </w:rPr>
            </w:pPr>
            <w:r>
              <w:rPr>
                <w:rFonts w:ascii="Segoe UI"/>
                <w:sz w:val="21"/>
              </w:rPr>
              <w:t>Implementation</w:t>
            </w:r>
            <w:r>
              <w:rPr>
                <w:rFonts w:ascii="Segoe UI"/>
                <w:spacing w:val="-4"/>
                <w:sz w:val="21"/>
              </w:rPr>
              <w:t> </w:t>
            </w:r>
            <w:r>
              <w:rPr>
                <w:rFonts w:ascii="Segoe UI"/>
                <w:sz w:val="21"/>
              </w:rPr>
              <w:t>and</w:t>
            </w:r>
            <w:r>
              <w:rPr>
                <w:rFonts w:ascii="Segoe UI"/>
                <w:spacing w:val="-4"/>
                <w:sz w:val="21"/>
              </w:rPr>
              <w:t> </w:t>
            </w:r>
            <w:r>
              <w:rPr>
                <w:rFonts w:ascii="Segoe UI"/>
                <w:sz w:val="21"/>
              </w:rPr>
              <w:t>Support</w:t>
            </w:r>
            <w:r>
              <w:rPr>
                <w:rFonts w:ascii="Segoe UI"/>
                <w:spacing w:val="-10"/>
                <w:sz w:val="21"/>
              </w:rPr>
              <w:t> </w:t>
            </w:r>
            <w:r>
              <w:rPr>
                <w:rFonts w:ascii="Segoe UI"/>
                <w:sz w:val="21"/>
              </w:rPr>
              <w:t>of</w:t>
            </w:r>
            <w:r>
              <w:rPr>
                <w:rFonts w:ascii="Segoe UI"/>
                <w:spacing w:val="-6"/>
                <w:sz w:val="21"/>
              </w:rPr>
              <w:t> </w:t>
            </w:r>
            <w:r>
              <w:rPr>
                <w:rFonts w:ascii="Segoe UI"/>
                <w:sz w:val="21"/>
              </w:rPr>
              <w:t>(EPOA)</w:t>
            </w:r>
            <w:r>
              <w:rPr>
                <w:rFonts w:ascii="Segoe UI"/>
                <w:spacing w:val="-8"/>
                <w:sz w:val="21"/>
              </w:rPr>
              <w:t> </w:t>
            </w:r>
            <w:r>
              <w:rPr>
                <w:rFonts w:ascii="Segoe UI"/>
                <w:sz w:val="21"/>
              </w:rPr>
              <w:t>for</w:t>
            </w:r>
            <w:r>
              <w:rPr>
                <w:rFonts w:ascii="Segoe UI"/>
                <w:spacing w:val="-7"/>
                <w:sz w:val="21"/>
              </w:rPr>
              <w:t> </w:t>
            </w:r>
            <w:r>
              <w:rPr>
                <w:rFonts w:ascii="Segoe UI"/>
                <w:sz w:val="21"/>
              </w:rPr>
              <w:t>Hywel</w:t>
            </w:r>
            <w:r>
              <w:rPr>
                <w:rFonts w:ascii="Segoe UI"/>
                <w:spacing w:val="-6"/>
                <w:sz w:val="21"/>
              </w:rPr>
              <w:t> </w:t>
            </w:r>
            <w:r>
              <w:rPr>
                <w:rFonts w:ascii="Segoe UI"/>
                <w:sz w:val="21"/>
              </w:rPr>
              <w:t>Dda University Health Board</w:t>
            </w:r>
          </w:p>
        </w:tc>
      </w:tr>
    </w:tbl>
    <w:p>
      <w:pPr>
        <w:pStyle w:val="BodyText"/>
        <w:spacing w:before="163"/>
        <w:rPr>
          <w:rFonts w:ascii="Segoe UI"/>
        </w:rPr>
      </w:pPr>
    </w:p>
    <w:p>
      <w:pPr>
        <w:pStyle w:val="Heading3"/>
        <w:numPr>
          <w:ilvl w:val="2"/>
          <w:numId w:val="10"/>
        </w:numPr>
        <w:tabs>
          <w:tab w:pos="1009" w:val="left" w:leader="none"/>
        </w:tabs>
        <w:spacing w:line="240" w:lineRule="auto" w:before="0" w:after="0"/>
        <w:ind w:left="1009" w:right="0" w:hanging="565"/>
        <w:jc w:val="left"/>
      </w:pPr>
      <w:r>
        <w:rPr>
          <w:color w:val="1F4E79"/>
        </w:rPr>
        <w:t>Programme</w:t>
      </w:r>
      <w:r>
        <w:rPr>
          <w:color w:val="1F4E79"/>
          <w:spacing w:val="2"/>
        </w:rPr>
        <w:t> </w:t>
      </w:r>
      <w:r>
        <w:rPr>
          <w:color w:val="1F4E79"/>
        </w:rPr>
        <w:t>Plan</w:t>
      </w:r>
      <w:r>
        <w:rPr>
          <w:color w:val="1F4E79"/>
          <w:spacing w:val="-4"/>
        </w:rPr>
        <w:t> </w:t>
      </w:r>
      <w:r>
        <w:rPr>
          <w:color w:val="1F4E79"/>
        </w:rPr>
        <w:t>and</w:t>
      </w:r>
      <w:r>
        <w:rPr>
          <w:color w:val="1F4E79"/>
          <w:spacing w:val="-1"/>
        </w:rPr>
        <w:t> </w:t>
      </w:r>
      <w:r>
        <w:rPr>
          <w:color w:val="1F4E79"/>
        </w:rPr>
        <w:t>Key</w:t>
      </w:r>
      <w:r>
        <w:rPr>
          <w:color w:val="1F4E79"/>
          <w:spacing w:val="-2"/>
        </w:rPr>
        <w:t> Milestones</w:t>
      </w:r>
    </w:p>
    <w:p>
      <w:pPr>
        <w:pStyle w:val="BodyText"/>
        <w:spacing w:before="216"/>
        <w:ind w:left="1009"/>
        <w:rPr>
          <w:rFonts w:ascii="Segoe UI"/>
        </w:rPr>
      </w:pPr>
      <w:r>
        <w:rPr>
          <w:rFonts w:ascii="Segoe UI"/>
        </w:rPr>
        <w:t>The</w:t>
      </w:r>
      <w:r>
        <w:rPr>
          <w:rFonts w:ascii="Segoe UI"/>
          <w:spacing w:val="-7"/>
        </w:rPr>
        <w:t> </w:t>
      </w:r>
      <w:r>
        <w:rPr>
          <w:rFonts w:ascii="Segoe UI"/>
        </w:rPr>
        <w:t>programme</w:t>
      </w:r>
      <w:r>
        <w:rPr>
          <w:rFonts w:ascii="Segoe UI"/>
          <w:spacing w:val="-4"/>
        </w:rPr>
        <w:t> </w:t>
      </w:r>
      <w:r>
        <w:rPr>
          <w:rFonts w:ascii="Segoe UI"/>
        </w:rPr>
        <w:t>reset</w:t>
      </w:r>
      <w:r>
        <w:rPr>
          <w:rFonts w:ascii="Segoe UI"/>
          <w:spacing w:val="2"/>
        </w:rPr>
        <w:t> </w:t>
      </w:r>
      <w:r>
        <w:rPr>
          <w:rFonts w:ascii="Segoe UI"/>
        </w:rPr>
        <w:t>uses</w:t>
      </w:r>
      <w:r>
        <w:rPr>
          <w:rFonts w:ascii="Segoe UI"/>
          <w:spacing w:val="-5"/>
        </w:rPr>
        <w:t> </w:t>
      </w:r>
      <w:r>
        <w:rPr>
          <w:rFonts w:ascii="Segoe UI"/>
        </w:rPr>
        <w:t>a</w:t>
      </w:r>
      <w:r>
        <w:rPr>
          <w:rFonts w:ascii="Segoe UI"/>
          <w:spacing w:val="-1"/>
        </w:rPr>
        <w:t> </w:t>
      </w:r>
      <w:r>
        <w:rPr>
          <w:rFonts w:ascii="Segoe UI"/>
        </w:rPr>
        <w:t>dual-track</w:t>
      </w:r>
      <w:r>
        <w:rPr>
          <w:rFonts w:ascii="Segoe UI"/>
          <w:spacing w:val="-2"/>
        </w:rPr>
        <w:t> </w:t>
      </w:r>
      <w:r>
        <w:rPr>
          <w:rFonts w:ascii="Segoe UI"/>
        </w:rPr>
        <w:t>approach</w:t>
      </w:r>
      <w:r>
        <w:rPr>
          <w:rFonts w:ascii="Segoe UI"/>
          <w:spacing w:val="-4"/>
        </w:rPr>
        <w:t> </w:t>
      </w:r>
      <w:r>
        <w:rPr>
          <w:rFonts w:ascii="Segoe UI"/>
        </w:rPr>
        <w:t>during</w:t>
      </w:r>
      <w:r>
        <w:rPr>
          <w:rFonts w:ascii="Segoe UI"/>
          <w:spacing w:val="-5"/>
        </w:rPr>
        <w:t> </w:t>
      </w:r>
      <w:r>
        <w:rPr>
          <w:rFonts w:ascii="Segoe UI"/>
          <w:spacing w:val="-2"/>
        </w:rPr>
        <w:t>2026/27:</w:t>
      </w: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spacing w:before="139"/>
        <w:rPr>
          <w:rFonts w:ascii="Segoe U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28" name="Image 228"/>
            <wp:cNvGraphicFramePr>
              <a:graphicFrameLocks/>
            </wp:cNvGraphicFramePr>
            <a:graphic>
              <a:graphicData uri="http://schemas.openxmlformats.org/drawingml/2006/picture">
                <pic:pic>
                  <pic:nvPicPr>
                    <pic:cNvPr id="228" name="Image 228"/>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29" name="Image 229"/>
            <wp:cNvGraphicFramePr>
              <a:graphicFrameLocks/>
            </wp:cNvGraphicFramePr>
            <a:graphic>
              <a:graphicData uri="http://schemas.openxmlformats.org/drawingml/2006/picture">
                <pic:pic>
                  <pic:nvPicPr>
                    <pic:cNvPr id="229" name="Image 229"/>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59"/>
        <w:rPr>
          <w:rFonts w:ascii="Calibri"/>
        </w:rPr>
      </w:pPr>
    </w:p>
    <w:p>
      <w:pPr>
        <w:spacing w:before="0"/>
        <w:ind w:left="1009" w:right="890" w:firstLine="0"/>
        <w:jc w:val="left"/>
        <w:rPr>
          <w:rFonts w:ascii="Segoe UI" w:hAnsi="Segoe UI"/>
          <w:sz w:val="24"/>
        </w:rPr>
      </w:pPr>
      <w:r>
        <w:rPr>
          <w:rFonts w:ascii="Segoe UI" w:hAnsi="Segoe UI"/>
          <w:b/>
          <w:sz w:val="24"/>
        </w:rPr>
        <w:t>Track</w:t>
      </w:r>
      <w:r>
        <w:rPr>
          <w:rFonts w:ascii="Segoe UI" w:hAnsi="Segoe UI"/>
          <w:b/>
          <w:spacing w:val="-2"/>
          <w:sz w:val="24"/>
        </w:rPr>
        <w:t> </w:t>
      </w:r>
      <w:r>
        <w:rPr>
          <w:rFonts w:ascii="Segoe UI" w:hAnsi="Segoe UI"/>
          <w:b/>
          <w:sz w:val="24"/>
        </w:rPr>
        <w:t>1</w:t>
      </w:r>
      <w:r>
        <w:rPr>
          <w:rFonts w:ascii="Segoe UI" w:hAnsi="Segoe UI"/>
          <w:b/>
          <w:spacing w:val="-2"/>
          <w:sz w:val="24"/>
        </w:rPr>
        <w:t> </w:t>
      </w:r>
      <w:r>
        <w:rPr>
          <w:rFonts w:ascii="Segoe UI" w:hAnsi="Segoe UI"/>
          <w:b/>
          <w:sz w:val="24"/>
        </w:rPr>
        <w:t>–</w:t>
      </w:r>
      <w:r>
        <w:rPr>
          <w:rFonts w:ascii="Segoe UI" w:hAnsi="Segoe UI"/>
          <w:b/>
          <w:spacing w:val="-4"/>
          <w:sz w:val="24"/>
        </w:rPr>
        <w:t> </w:t>
      </w:r>
      <w:r>
        <w:rPr>
          <w:rFonts w:ascii="Segoe UI" w:hAnsi="Segoe UI"/>
          <w:b/>
          <w:sz w:val="24"/>
        </w:rPr>
        <w:t>Setting</w:t>
      </w:r>
      <w:r>
        <w:rPr>
          <w:rFonts w:ascii="Segoe UI" w:hAnsi="Segoe UI"/>
          <w:b/>
          <w:spacing w:val="-3"/>
          <w:sz w:val="24"/>
        </w:rPr>
        <w:t> </w:t>
      </w:r>
      <w:r>
        <w:rPr>
          <w:rFonts w:ascii="Segoe UI" w:hAnsi="Segoe UI"/>
          <w:b/>
          <w:sz w:val="24"/>
        </w:rPr>
        <w:t>the</w:t>
      </w:r>
      <w:r>
        <w:rPr>
          <w:rFonts w:ascii="Segoe UI" w:hAnsi="Segoe UI"/>
          <w:b/>
          <w:spacing w:val="-2"/>
          <w:sz w:val="24"/>
        </w:rPr>
        <w:t> </w:t>
      </w:r>
      <w:r>
        <w:rPr>
          <w:rFonts w:ascii="Segoe UI" w:hAnsi="Segoe UI"/>
          <w:b/>
          <w:sz w:val="24"/>
        </w:rPr>
        <w:t>future</w:t>
      </w:r>
      <w:r>
        <w:rPr>
          <w:rFonts w:ascii="Segoe UI" w:hAnsi="Segoe UI"/>
          <w:b/>
          <w:spacing w:val="-4"/>
          <w:sz w:val="24"/>
        </w:rPr>
        <w:t> </w:t>
      </w:r>
      <w:r>
        <w:rPr>
          <w:rFonts w:ascii="Segoe UI" w:hAnsi="Segoe UI"/>
          <w:b/>
          <w:sz w:val="24"/>
        </w:rPr>
        <w:t>direction </w:t>
      </w:r>
      <w:r>
        <w:rPr>
          <w:rFonts w:ascii="Segoe UI" w:hAnsi="Segoe UI"/>
          <w:sz w:val="24"/>
        </w:rPr>
        <w:t>–</w:t>
      </w:r>
      <w:r>
        <w:rPr>
          <w:rFonts w:ascii="Segoe UI" w:hAnsi="Segoe UI"/>
          <w:spacing w:val="-3"/>
          <w:sz w:val="24"/>
        </w:rPr>
        <w:t> </w:t>
      </w:r>
      <w:r>
        <w:rPr>
          <w:rFonts w:ascii="Segoe UI" w:hAnsi="Segoe UI"/>
          <w:sz w:val="24"/>
        </w:rPr>
        <w:t>reflecting</w:t>
      </w:r>
      <w:r>
        <w:rPr>
          <w:rFonts w:ascii="Segoe UI" w:hAnsi="Segoe UI"/>
          <w:spacing w:val="-5"/>
          <w:sz w:val="24"/>
        </w:rPr>
        <w:t> </w:t>
      </w:r>
      <w:r>
        <w:rPr>
          <w:rFonts w:ascii="Segoe UI" w:hAnsi="Segoe UI"/>
          <w:sz w:val="24"/>
        </w:rPr>
        <w:t>the</w:t>
      </w:r>
      <w:r>
        <w:rPr>
          <w:rFonts w:ascii="Segoe UI" w:hAnsi="Segoe UI"/>
          <w:spacing w:val="-4"/>
          <w:sz w:val="24"/>
        </w:rPr>
        <w:t> </w:t>
      </w:r>
      <w:r>
        <w:rPr>
          <w:rFonts w:ascii="Segoe UI" w:hAnsi="Segoe UI"/>
          <w:sz w:val="24"/>
        </w:rPr>
        <w:t>need</w:t>
      </w:r>
      <w:r>
        <w:rPr>
          <w:rFonts w:ascii="Segoe UI" w:hAnsi="Segoe UI"/>
          <w:spacing w:val="-5"/>
          <w:sz w:val="24"/>
        </w:rPr>
        <w:t> </w:t>
      </w:r>
      <w:r>
        <w:rPr>
          <w:rFonts w:ascii="Segoe UI" w:hAnsi="Segoe UI"/>
          <w:sz w:val="24"/>
        </w:rPr>
        <w:t>for</w:t>
      </w:r>
      <w:r>
        <w:rPr>
          <w:rFonts w:ascii="Segoe UI" w:hAnsi="Segoe UI"/>
          <w:spacing w:val="-2"/>
          <w:sz w:val="24"/>
        </w:rPr>
        <w:t> </w:t>
      </w:r>
      <w:r>
        <w:rPr>
          <w:rFonts w:ascii="Segoe UI" w:hAnsi="Segoe UI"/>
          <w:sz w:val="24"/>
        </w:rPr>
        <w:t>a</w:t>
      </w:r>
      <w:r>
        <w:rPr>
          <w:rFonts w:ascii="Segoe UI" w:hAnsi="Segoe UI"/>
          <w:spacing w:val="-5"/>
          <w:sz w:val="24"/>
        </w:rPr>
        <w:t> </w:t>
      </w:r>
      <w:r>
        <w:rPr>
          <w:rFonts w:ascii="Segoe UI" w:hAnsi="Segoe UI"/>
          <w:sz w:val="24"/>
        </w:rPr>
        <w:t>clear</w:t>
      </w:r>
      <w:r>
        <w:rPr>
          <w:rFonts w:ascii="Segoe UI" w:hAnsi="Segoe UI"/>
          <w:spacing w:val="-2"/>
          <w:sz w:val="24"/>
        </w:rPr>
        <w:t> </w:t>
      </w:r>
      <w:r>
        <w:rPr>
          <w:rFonts w:ascii="Segoe UI" w:hAnsi="Segoe UI"/>
          <w:sz w:val="24"/>
        </w:rPr>
        <w:t>and agreed</w:t>
      </w:r>
      <w:r>
        <w:rPr>
          <w:rFonts w:ascii="Segoe UI" w:hAnsi="Segoe UI"/>
          <w:spacing w:val="-5"/>
          <w:sz w:val="24"/>
        </w:rPr>
        <w:t> </w:t>
      </w:r>
      <w:r>
        <w:rPr>
          <w:rFonts w:ascii="Segoe UI" w:hAnsi="Segoe UI"/>
          <w:sz w:val="24"/>
        </w:rPr>
        <w:t>evidence-based strategy.</w:t>
      </w:r>
    </w:p>
    <w:p>
      <w:pPr>
        <w:pStyle w:val="BodyText"/>
        <w:spacing w:before="1" w:after="1"/>
        <w:rPr>
          <w:rFonts w:ascii="Segoe UI"/>
          <w:sz w:val="12"/>
        </w:rPr>
      </w:pPr>
    </w:p>
    <w:tbl>
      <w:tblPr>
        <w:tblW w:w="0" w:type="auto"/>
        <w:jc w:val="left"/>
        <w:tblInd w:w="3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523"/>
        <w:gridCol w:w="2556"/>
        <w:gridCol w:w="2411"/>
      </w:tblGrid>
      <w:tr>
        <w:trPr>
          <w:trHeight w:val="575" w:hRule="atLeast"/>
        </w:trPr>
        <w:tc>
          <w:tcPr>
            <w:tcW w:w="6523" w:type="dxa"/>
            <w:shd w:val="clear" w:color="auto" w:fill="DBE4F0"/>
          </w:tcPr>
          <w:p>
            <w:pPr>
              <w:pStyle w:val="TableParagraph"/>
              <w:spacing w:before="141"/>
              <w:ind w:left="110"/>
              <w:rPr>
                <w:rFonts w:ascii="Calibri"/>
                <w:b/>
                <w:sz w:val="24"/>
              </w:rPr>
            </w:pPr>
            <w:r>
              <w:rPr>
                <w:rFonts w:ascii="Calibri"/>
                <w:b/>
                <w:color w:val="1F4E79"/>
                <w:sz w:val="24"/>
              </w:rPr>
              <w:t>Action /</w:t>
            </w:r>
            <w:r>
              <w:rPr>
                <w:rFonts w:ascii="Calibri"/>
                <w:b/>
                <w:color w:val="1F4E79"/>
                <w:spacing w:val="-3"/>
                <w:sz w:val="24"/>
              </w:rPr>
              <w:t> </w:t>
            </w:r>
            <w:r>
              <w:rPr>
                <w:rFonts w:ascii="Calibri"/>
                <w:b/>
                <w:color w:val="1F4E79"/>
                <w:spacing w:val="-2"/>
                <w:sz w:val="24"/>
              </w:rPr>
              <w:t>Deliverable</w:t>
            </w:r>
          </w:p>
        </w:tc>
        <w:tc>
          <w:tcPr>
            <w:tcW w:w="2556" w:type="dxa"/>
            <w:shd w:val="clear" w:color="auto" w:fill="DBE4F0"/>
          </w:tcPr>
          <w:p>
            <w:pPr>
              <w:pStyle w:val="TableParagraph"/>
              <w:spacing w:before="141"/>
              <w:ind w:left="110"/>
              <w:rPr>
                <w:rFonts w:ascii="Calibri"/>
                <w:b/>
                <w:sz w:val="24"/>
              </w:rPr>
            </w:pPr>
            <w:r>
              <w:rPr>
                <w:rFonts w:ascii="Calibri"/>
                <w:b/>
                <w:color w:val="1F4E79"/>
                <w:spacing w:val="-4"/>
                <w:sz w:val="24"/>
              </w:rPr>
              <w:t>Lead</w:t>
            </w:r>
          </w:p>
        </w:tc>
        <w:tc>
          <w:tcPr>
            <w:tcW w:w="2411" w:type="dxa"/>
            <w:shd w:val="clear" w:color="auto" w:fill="DBE4F0"/>
          </w:tcPr>
          <w:p>
            <w:pPr>
              <w:pStyle w:val="TableParagraph"/>
              <w:spacing w:before="141"/>
              <w:ind w:left="110"/>
              <w:rPr>
                <w:rFonts w:ascii="Calibri"/>
                <w:b/>
                <w:sz w:val="24"/>
              </w:rPr>
            </w:pPr>
            <w:r>
              <w:rPr>
                <w:rFonts w:ascii="Calibri"/>
                <w:b/>
                <w:color w:val="1F4E79"/>
                <w:sz w:val="24"/>
              </w:rPr>
              <w:t>By </w:t>
            </w:r>
            <w:r>
              <w:rPr>
                <w:rFonts w:ascii="Calibri"/>
                <w:b/>
                <w:color w:val="1F4E79"/>
                <w:spacing w:val="-4"/>
                <w:sz w:val="24"/>
              </w:rPr>
              <w:t>when</w:t>
            </w:r>
          </w:p>
        </w:tc>
      </w:tr>
      <w:tr>
        <w:trPr>
          <w:trHeight w:val="435" w:hRule="atLeast"/>
        </w:trPr>
        <w:tc>
          <w:tcPr>
            <w:tcW w:w="6523" w:type="dxa"/>
          </w:tcPr>
          <w:p>
            <w:pPr>
              <w:pStyle w:val="TableParagraph"/>
              <w:spacing w:before="53"/>
              <w:ind w:left="110"/>
              <w:rPr>
                <w:rFonts w:ascii="Segoe UI"/>
                <w:sz w:val="21"/>
              </w:rPr>
            </w:pPr>
            <w:r>
              <w:rPr>
                <w:rFonts w:ascii="Segoe UI"/>
                <w:sz w:val="21"/>
              </w:rPr>
              <w:t>Governance</w:t>
            </w:r>
            <w:r>
              <w:rPr>
                <w:rFonts w:ascii="Segoe UI"/>
                <w:spacing w:val="-2"/>
                <w:sz w:val="21"/>
              </w:rPr>
              <w:t> </w:t>
            </w:r>
            <w:r>
              <w:rPr>
                <w:rFonts w:ascii="Segoe UI"/>
                <w:sz w:val="21"/>
              </w:rPr>
              <w:t>Review</w:t>
            </w:r>
            <w:r>
              <w:rPr>
                <w:rFonts w:ascii="Segoe UI"/>
                <w:spacing w:val="-2"/>
                <w:sz w:val="21"/>
              </w:rPr>
              <w:t> Complete</w:t>
            </w:r>
          </w:p>
        </w:tc>
        <w:tc>
          <w:tcPr>
            <w:tcW w:w="2556" w:type="dxa"/>
          </w:tcPr>
          <w:p>
            <w:pPr>
              <w:pStyle w:val="TableParagraph"/>
              <w:spacing w:before="53"/>
              <w:ind w:left="110"/>
              <w:rPr>
                <w:rFonts w:ascii="Segoe UI"/>
                <w:sz w:val="21"/>
              </w:rPr>
            </w:pPr>
            <w:r>
              <w:rPr>
                <w:rFonts w:ascii="Segoe UI"/>
                <w:sz w:val="21"/>
              </w:rPr>
              <w:t>RJC</w:t>
            </w:r>
            <w:r>
              <w:rPr>
                <w:rFonts w:ascii="Segoe UI"/>
                <w:spacing w:val="-1"/>
                <w:sz w:val="21"/>
              </w:rPr>
              <w:t> </w:t>
            </w:r>
            <w:r>
              <w:rPr>
                <w:rFonts w:ascii="Segoe UI"/>
                <w:spacing w:val="-5"/>
                <w:sz w:val="21"/>
              </w:rPr>
              <w:t>PMO</w:t>
            </w:r>
          </w:p>
        </w:tc>
        <w:tc>
          <w:tcPr>
            <w:tcW w:w="2411" w:type="dxa"/>
          </w:tcPr>
          <w:p>
            <w:pPr>
              <w:pStyle w:val="TableParagraph"/>
              <w:spacing w:before="53"/>
              <w:ind w:left="110"/>
              <w:rPr>
                <w:rFonts w:ascii="Segoe UI"/>
                <w:sz w:val="21"/>
              </w:rPr>
            </w:pPr>
            <w:r>
              <w:rPr>
                <w:rFonts w:ascii="Segoe UI"/>
                <w:spacing w:val="-2"/>
                <w:sz w:val="21"/>
              </w:rPr>
              <w:t>Complete</w:t>
            </w:r>
          </w:p>
        </w:tc>
      </w:tr>
      <w:tr>
        <w:trPr>
          <w:trHeight w:val="435" w:hRule="atLeast"/>
        </w:trPr>
        <w:tc>
          <w:tcPr>
            <w:tcW w:w="6523" w:type="dxa"/>
          </w:tcPr>
          <w:p>
            <w:pPr>
              <w:pStyle w:val="TableParagraph"/>
              <w:spacing w:before="58"/>
              <w:ind w:left="110"/>
              <w:rPr>
                <w:rFonts w:ascii="Segoe UI"/>
                <w:sz w:val="21"/>
              </w:rPr>
            </w:pPr>
            <w:r>
              <w:rPr>
                <w:rFonts w:ascii="Segoe UI"/>
                <w:sz w:val="21"/>
              </w:rPr>
              <w:t>Booking</w:t>
            </w:r>
            <w:r>
              <w:rPr>
                <w:rFonts w:ascii="Segoe UI"/>
                <w:spacing w:val="-4"/>
                <w:sz w:val="21"/>
              </w:rPr>
              <w:t> </w:t>
            </w:r>
            <w:r>
              <w:rPr>
                <w:rFonts w:ascii="Segoe UI"/>
                <w:sz w:val="21"/>
              </w:rPr>
              <w:t>Process</w:t>
            </w:r>
            <w:r>
              <w:rPr>
                <w:rFonts w:ascii="Segoe UI"/>
                <w:spacing w:val="-3"/>
                <w:sz w:val="21"/>
              </w:rPr>
              <w:t> </w:t>
            </w:r>
            <w:r>
              <w:rPr>
                <w:rFonts w:ascii="Segoe UI"/>
                <w:spacing w:val="-2"/>
                <w:sz w:val="21"/>
              </w:rPr>
              <w:t>Mapping</w:t>
            </w:r>
          </w:p>
        </w:tc>
        <w:tc>
          <w:tcPr>
            <w:tcW w:w="2556" w:type="dxa"/>
          </w:tcPr>
          <w:p>
            <w:pPr>
              <w:pStyle w:val="TableParagraph"/>
              <w:spacing w:before="58"/>
              <w:ind w:left="110"/>
              <w:rPr>
                <w:rFonts w:ascii="Segoe UI"/>
                <w:sz w:val="21"/>
              </w:rPr>
            </w:pPr>
            <w:r>
              <w:rPr>
                <w:rFonts w:ascii="Segoe UI"/>
                <w:sz w:val="21"/>
              </w:rPr>
              <w:t>Mollie</w:t>
            </w:r>
            <w:r>
              <w:rPr>
                <w:rFonts w:ascii="Segoe UI"/>
                <w:spacing w:val="-1"/>
                <w:sz w:val="21"/>
              </w:rPr>
              <w:t> </w:t>
            </w:r>
            <w:r>
              <w:rPr>
                <w:rFonts w:ascii="Segoe UI"/>
                <w:spacing w:val="-2"/>
                <w:sz w:val="21"/>
              </w:rPr>
              <w:t>Preece</w:t>
            </w:r>
          </w:p>
        </w:tc>
        <w:tc>
          <w:tcPr>
            <w:tcW w:w="2411" w:type="dxa"/>
          </w:tcPr>
          <w:p>
            <w:pPr>
              <w:pStyle w:val="TableParagraph"/>
              <w:spacing w:before="58"/>
              <w:ind w:left="110"/>
              <w:rPr>
                <w:rFonts w:ascii="Segoe UI"/>
                <w:sz w:val="21"/>
              </w:rPr>
            </w:pPr>
            <w:r>
              <w:rPr>
                <w:rFonts w:ascii="Segoe UI"/>
                <w:spacing w:val="-2"/>
                <w:sz w:val="21"/>
              </w:rPr>
              <w:t>Complete</w:t>
            </w:r>
          </w:p>
        </w:tc>
      </w:tr>
      <w:tr>
        <w:trPr>
          <w:trHeight w:val="435" w:hRule="atLeast"/>
        </w:trPr>
        <w:tc>
          <w:tcPr>
            <w:tcW w:w="6523" w:type="dxa"/>
          </w:tcPr>
          <w:p>
            <w:pPr>
              <w:pStyle w:val="TableParagraph"/>
              <w:spacing w:before="59"/>
              <w:ind w:left="110"/>
              <w:rPr>
                <w:rFonts w:ascii="Segoe UI"/>
                <w:sz w:val="21"/>
              </w:rPr>
            </w:pPr>
            <w:r>
              <w:rPr>
                <w:rFonts w:ascii="Segoe UI"/>
                <w:sz w:val="21"/>
              </w:rPr>
              <w:t>Regional</w:t>
            </w:r>
            <w:r>
              <w:rPr>
                <w:rFonts w:ascii="Segoe UI"/>
                <w:spacing w:val="-1"/>
                <w:sz w:val="21"/>
              </w:rPr>
              <w:t> </w:t>
            </w:r>
            <w:r>
              <w:rPr>
                <w:rFonts w:ascii="Segoe UI"/>
                <w:spacing w:val="-2"/>
                <w:sz w:val="21"/>
              </w:rPr>
              <w:t>Dashboard</w:t>
            </w:r>
          </w:p>
        </w:tc>
        <w:tc>
          <w:tcPr>
            <w:tcW w:w="2556" w:type="dxa"/>
          </w:tcPr>
          <w:p>
            <w:pPr>
              <w:pStyle w:val="TableParagraph"/>
              <w:spacing w:before="59"/>
              <w:ind w:left="110"/>
              <w:rPr>
                <w:rFonts w:ascii="Segoe UI"/>
                <w:sz w:val="21"/>
              </w:rPr>
            </w:pPr>
            <w:r>
              <w:rPr>
                <w:rFonts w:ascii="Segoe UI"/>
                <w:sz w:val="21"/>
              </w:rPr>
              <w:t>Lee</w:t>
            </w:r>
            <w:r>
              <w:rPr>
                <w:rFonts w:ascii="Segoe UI"/>
                <w:spacing w:val="2"/>
                <w:sz w:val="21"/>
              </w:rPr>
              <w:t> </w:t>
            </w:r>
            <w:r>
              <w:rPr>
                <w:rFonts w:ascii="Segoe UI"/>
                <w:spacing w:val="-2"/>
                <w:sz w:val="21"/>
              </w:rPr>
              <w:t>Talbot</w:t>
            </w:r>
          </w:p>
        </w:tc>
        <w:tc>
          <w:tcPr>
            <w:tcW w:w="2411" w:type="dxa"/>
          </w:tcPr>
          <w:p>
            <w:pPr>
              <w:pStyle w:val="TableParagraph"/>
              <w:spacing w:before="59"/>
              <w:ind w:left="110"/>
              <w:rPr>
                <w:rFonts w:ascii="Segoe UI"/>
                <w:sz w:val="21"/>
              </w:rPr>
            </w:pPr>
            <w:r>
              <w:rPr>
                <w:rFonts w:ascii="Segoe UI"/>
                <w:spacing w:val="-2"/>
                <w:sz w:val="21"/>
              </w:rPr>
              <w:t>Complete</w:t>
            </w:r>
          </w:p>
        </w:tc>
      </w:tr>
      <w:tr>
        <w:trPr>
          <w:trHeight w:val="435" w:hRule="atLeast"/>
        </w:trPr>
        <w:tc>
          <w:tcPr>
            <w:tcW w:w="6523" w:type="dxa"/>
          </w:tcPr>
          <w:p>
            <w:pPr>
              <w:pStyle w:val="TableParagraph"/>
              <w:spacing w:before="58"/>
              <w:ind w:left="110"/>
              <w:rPr>
                <w:rFonts w:ascii="Segoe UI"/>
                <w:sz w:val="21"/>
              </w:rPr>
            </w:pPr>
            <w:r>
              <w:rPr>
                <w:rFonts w:ascii="Segoe UI"/>
                <w:sz w:val="21"/>
              </w:rPr>
              <w:t>Demand</w:t>
            </w:r>
            <w:r>
              <w:rPr>
                <w:rFonts w:ascii="Segoe UI"/>
                <w:spacing w:val="-1"/>
                <w:sz w:val="21"/>
              </w:rPr>
              <w:t> </w:t>
            </w:r>
            <w:r>
              <w:rPr>
                <w:rFonts w:ascii="Segoe UI"/>
                <w:sz w:val="21"/>
              </w:rPr>
              <w:t>&amp;</w:t>
            </w:r>
            <w:r>
              <w:rPr>
                <w:rFonts w:ascii="Segoe UI"/>
                <w:spacing w:val="1"/>
                <w:sz w:val="21"/>
              </w:rPr>
              <w:t> </w:t>
            </w:r>
            <w:r>
              <w:rPr>
                <w:rFonts w:ascii="Segoe UI"/>
                <w:sz w:val="21"/>
              </w:rPr>
              <w:t>Capacity</w:t>
            </w:r>
            <w:r>
              <w:rPr>
                <w:rFonts w:ascii="Segoe UI"/>
                <w:spacing w:val="-3"/>
                <w:sz w:val="21"/>
              </w:rPr>
              <w:t> </w:t>
            </w:r>
            <w:r>
              <w:rPr>
                <w:rFonts w:ascii="Segoe UI"/>
                <w:sz w:val="21"/>
              </w:rPr>
              <w:t>Modelling</w:t>
            </w:r>
            <w:r>
              <w:rPr>
                <w:rFonts w:ascii="Segoe UI"/>
                <w:spacing w:val="-5"/>
                <w:sz w:val="21"/>
              </w:rPr>
              <w:t> </w:t>
            </w:r>
            <w:r>
              <w:rPr>
                <w:rFonts w:ascii="Segoe UI"/>
                <w:sz w:val="21"/>
              </w:rPr>
              <w:t>First</w:t>
            </w:r>
            <w:r>
              <w:rPr>
                <w:rFonts w:ascii="Segoe UI"/>
                <w:spacing w:val="-1"/>
                <w:sz w:val="21"/>
              </w:rPr>
              <w:t> </w:t>
            </w:r>
            <w:r>
              <w:rPr>
                <w:rFonts w:ascii="Segoe UI"/>
                <w:spacing w:val="-5"/>
                <w:sz w:val="21"/>
              </w:rPr>
              <w:t>Cut</w:t>
            </w:r>
          </w:p>
        </w:tc>
        <w:tc>
          <w:tcPr>
            <w:tcW w:w="2556" w:type="dxa"/>
          </w:tcPr>
          <w:p>
            <w:pPr>
              <w:pStyle w:val="TableParagraph"/>
              <w:spacing w:before="58"/>
              <w:ind w:left="110"/>
              <w:rPr>
                <w:rFonts w:ascii="Segoe UI"/>
                <w:sz w:val="21"/>
              </w:rPr>
            </w:pPr>
            <w:r>
              <w:rPr>
                <w:rFonts w:ascii="Segoe UI"/>
                <w:sz w:val="21"/>
              </w:rPr>
              <w:t>Andrew</w:t>
            </w:r>
            <w:r>
              <w:rPr>
                <w:rFonts w:ascii="Segoe UI"/>
                <w:spacing w:val="2"/>
                <w:sz w:val="21"/>
              </w:rPr>
              <w:t> </w:t>
            </w:r>
            <w:r>
              <w:rPr>
                <w:rFonts w:ascii="Segoe UI"/>
                <w:spacing w:val="-2"/>
                <w:sz w:val="21"/>
              </w:rPr>
              <w:t>Nelson</w:t>
            </w:r>
          </w:p>
        </w:tc>
        <w:tc>
          <w:tcPr>
            <w:tcW w:w="2411" w:type="dxa"/>
          </w:tcPr>
          <w:p>
            <w:pPr>
              <w:pStyle w:val="TableParagraph"/>
              <w:spacing w:before="58"/>
              <w:ind w:left="110"/>
              <w:rPr>
                <w:rFonts w:ascii="Segoe UI"/>
                <w:sz w:val="21"/>
              </w:rPr>
            </w:pPr>
            <w:r>
              <w:rPr>
                <w:rFonts w:ascii="Segoe UI"/>
                <w:sz w:val="21"/>
              </w:rPr>
              <w:t>30</w:t>
            </w:r>
            <w:r>
              <w:rPr>
                <w:rFonts w:ascii="Segoe UI"/>
                <w:spacing w:val="-2"/>
                <w:sz w:val="21"/>
              </w:rPr>
              <w:t> </w:t>
            </w:r>
            <w:r>
              <w:rPr>
                <w:rFonts w:ascii="Segoe UI"/>
                <w:sz w:val="21"/>
              </w:rPr>
              <w:t>September </w:t>
            </w:r>
            <w:r>
              <w:rPr>
                <w:rFonts w:ascii="Segoe UI"/>
                <w:spacing w:val="-4"/>
                <w:sz w:val="21"/>
              </w:rPr>
              <w:t>2026</w:t>
            </w:r>
          </w:p>
        </w:tc>
      </w:tr>
      <w:tr>
        <w:trPr>
          <w:trHeight w:val="435" w:hRule="atLeast"/>
        </w:trPr>
        <w:tc>
          <w:tcPr>
            <w:tcW w:w="6523" w:type="dxa"/>
          </w:tcPr>
          <w:p>
            <w:pPr>
              <w:pStyle w:val="TableParagraph"/>
              <w:spacing w:before="58"/>
              <w:ind w:left="110"/>
              <w:rPr>
                <w:rFonts w:ascii="Segoe UI"/>
                <w:sz w:val="21"/>
              </w:rPr>
            </w:pPr>
            <w:r>
              <w:rPr>
                <w:rFonts w:ascii="Segoe UI"/>
                <w:sz w:val="21"/>
              </w:rPr>
              <w:t>Multi</w:t>
            </w:r>
            <w:r>
              <w:rPr>
                <w:rFonts w:ascii="Segoe UI"/>
                <w:spacing w:val="-3"/>
                <w:sz w:val="21"/>
              </w:rPr>
              <w:t> </w:t>
            </w:r>
            <w:r>
              <w:rPr>
                <w:rFonts w:ascii="Segoe UI"/>
                <w:sz w:val="21"/>
              </w:rPr>
              <w:t>stakeholder</w:t>
            </w:r>
            <w:r>
              <w:rPr>
                <w:rFonts w:ascii="Segoe UI"/>
                <w:spacing w:val="-5"/>
                <w:sz w:val="21"/>
              </w:rPr>
              <w:t> </w:t>
            </w:r>
            <w:r>
              <w:rPr>
                <w:rFonts w:ascii="Segoe UI"/>
                <w:sz w:val="21"/>
              </w:rPr>
              <w:t>clinically</w:t>
            </w:r>
            <w:r>
              <w:rPr>
                <w:rFonts w:ascii="Segoe UI"/>
                <w:spacing w:val="-4"/>
                <w:sz w:val="21"/>
              </w:rPr>
              <w:t> </w:t>
            </w:r>
            <w:r>
              <w:rPr>
                <w:rFonts w:ascii="Segoe UI"/>
                <w:sz w:val="21"/>
              </w:rPr>
              <w:t>led</w:t>
            </w:r>
            <w:r>
              <w:rPr>
                <w:rFonts w:ascii="Segoe UI"/>
                <w:spacing w:val="-1"/>
                <w:sz w:val="21"/>
              </w:rPr>
              <w:t> </w:t>
            </w:r>
            <w:r>
              <w:rPr>
                <w:rFonts w:ascii="Segoe UI"/>
                <w:sz w:val="21"/>
              </w:rPr>
              <w:t>regional</w:t>
            </w:r>
            <w:r>
              <w:rPr>
                <w:rFonts w:ascii="Segoe UI"/>
                <w:spacing w:val="-3"/>
                <w:sz w:val="21"/>
              </w:rPr>
              <w:t> </w:t>
            </w:r>
            <w:r>
              <w:rPr>
                <w:rFonts w:ascii="Segoe UI"/>
                <w:sz w:val="21"/>
              </w:rPr>
              <w:t>design</w:t>
            </w:r>
            <w:r>
              <w:rPr>
                <w:rFonts w:ascii="Segoe UI"/>
                <w:spacing w:val="-1"/>
                <w:sz w:val="21"/>
              </w:rPr>
              <w:t> </w:t>
            </w:r>
            <w:r>
              <w:rPr>
                <w:rFonts w:ascii="Segoe UI"/>
                <w:spacing w:val="-2"/>
                <w:sz w:val="21"/>
              </w:rPr>
              <w:t>workshop</w:t>
            </w:r>
          </w:p>
        </w:tc>
        <w:tc>
          <w:tcPr>
            <w:tcW w:w="2556" w:type="dxa"/>
          </w:tcPr>
          <w:p>
            <w:pPr>
              <w:pStyle w:val="TableParagraph"/>
              <w:spacing w:before="58"/>
              <w:ind w:left="110"/>
              <w:rPr>
                <w:rFonts w:ascii="Segoe UI"/>
                <w:sz w:val="21"/>
              </w:rPr>
            </w:pPr>
            <w:r>
              <w:rPr>
                <w:rFonts w:ascii="Segoe UI"/>
                <w:sz w:val="21"/>
              </w:rPr>
              <w:t>RJC</w:t>
            </w:r>
            <w:r>
              <w:rPr>
                <w:rFonts w:ascii="Segoe UI"/>
                <w:spacing w:val="-1"/>
                <w:sz w:val="21"/>
              </w:rPr>
              <w:t> </w:t>
            </w:r>
            <w:r>
              <w:rPr>
                <w:rFonts w:ascii="Segoe UI"/>
                <w:spacing w:val="-5"/>
                <w:sz w:val="21"/>
              </w:rPr>
              <w:t>PMO</w:t>
            </w:r>
          </w:p>
        </w:tc>
        <w:tc>
          <w:tcPr>
            <w:tcW w:w="2411" w:type="dxa"/>
          </w:tcPr>
          <w:p>
            <w:pPr>
              <w:pStyle w:val="TableParagraph"/>
              <w:spacing w:before="58"/>
              <w:ind w:left="110"/>
              <w:rPr>
                <w:rFonts w:ascii="Segoe UI"/>
                <w:sz w:val="21"/>
              </w:rPr>
            </w:pPr>
            <w:r>
              <w:rPr>
                <w:rFonts w:ascii="Segoe UI"/>
                <w:sz w:val="21"/>
              </w:rPr>
              <w:t>November</w:t>
            </w:r>
            <w:r>
              <w:rPr>
                <w:rFonts w:ascii="Segoe UI"/>
                <w:spacing w:val="-3"/>
                <w:sz w:val="21"/>
              </w:rPr>
              <w:t> </w:t>
            </w:r>
            <w:r>
              <w:rPr>
                <w:rFonts w:ascii="Segoe UI"/>
                <w:spacing w:val="-4"/>
                <w:sz w:val="21"/>
              </w:rPr>
              <w:t>2026</w:t>
            </w:r>
          </w:p>
        </w:tc>
      </w:tr>
      <w:tr>
        <w:trPr>
          <w:trHeight w:val="435" w:hRule="atLeast"/>
        </w:trPr>
        <w:tc>
          <w:tcPr>
            <w:tcW w:w="6523" w:type="dxa"/>
          </w:tcPr>
          <w:p>
            <w:pPr>
              <w:pStyle w:val="TableParagraph"/>
              <w:spacing w:before="58"/>
              <w:ind w:left="110"/>
              <w:rPr>
                <w:rFonts w:ascii="Segoe UI"/>
                <w:sz w:val="21"/>
              </w:rPr>
            </w:pPr>
            <w:r>
              <w:rPr>
                <w:rFonts w:ascii="Segoe UI"/>
                <w:sz w:val="21"/>
              </w:rPr>
              <w:t>Strategic</w:t>
            </w:r>
            <w:r>
              <w:rPr>
                <w:rFonts w:ascii="Segoe UI"/>
                <w:spacing w:val="-3"/>
                <w:sz w:val="21"/>
              </w:rPr>
              <w:t> </w:t>
            </w:r>
            <w:r>
              <w:rPr>
                <w:rFonts w:ascii="Segoe UI"/>
                <w:sz w:val="21"/>
              </w:rPr>
              <w:t>vision and plans</w:t>
            </w:r>
            <w:r>
              <w:rPr>
                <w:rFonts w:ascii="Segoe UI"/>
                <w:spacing w:val="-5"/>
                <w:sz w:val="21"/>
              </w:rPr>
              <w:t> </w:t>
            </w:r>
            <w:r>
              <w:rPr>
                <w:rFonts w:ascii="Segoe UI"/>
                <w:sz w:val="21"/>
              </w:rPr>
              <w:t>for</w:t>
            </w:r>
            <w:r>
              <w:rPr>
                <w:rFonts w:ascii="Segoe UI"/>
                <w:spacing w:val="-3"/>
                <w:sz w:val="21"/>
              </w:rPr>
              <w:t> </w:t>
            </w:r>
            <w:r>
              <w:rPr>
                <w:rFonts w:ascii="Segoe UI"/>
                <w:spacing w:val="-2"/>
                <w:sz w:val="21"/>
              </w:rPr>
              <w:t>2027/28.</w:t>
            </w:r>
          </w:p>
        </w:tc>
        <w:tc>
          <w:tcPr>
            <w:tcW w:w="2556" w:type="dxa"/>
          </w:tcPr>
          <w:p>
            <w:pPr>
              <w:pStyle w:val="TableParagraph"/>
              <w:spacing w:before="58"/>
              <w:ind w:left="110"/>
              <w:rPr>
                <w:rFonts w:ascii="Segoe UI"/>
                <w:sz w:val="21"/>
              </w:rPr>
            </w:pPr>
            <w:r>
              <w:rPr>
                <w:rFonts w:ascii="Segoe UI"/>
                <w:sz w:val="21"/>
              </w:rPr>
              <w:t>Programme</w:t>
            </w:r>
            <w:r>
              <w:rPr>
                <w:rFonts w:ascii="Segoe UI"/>
                <w:spacing w:val="-3"/>
                <w:sz w:val="21"/>
              </w:rPr>
              <w:t> </w:t>
            </w:r>
            <w:r>
              <w:rPr>
                <w:rFonts w:ascii="Segoe UI"/>
                <w:spacing w:val="-4"/>
                <w:sz w:val="21"/>
              </w:rPr>
              <w:t>Board</w:t>
            </w:r>
          </w:p>
        </w:tc>
        <w:tc>
          <w:tcPr>
            <w:tcW w:w="2411" w:type="dxa"/>
          </w:tcPr>
          <w:p>
            <w:pPr>
              <w:pStyle w:val="TableParagraph"/>
              <w:spacing w:before="58"/>
              <w:ind w:left="110"/>
              <w:rPr>
                <w:rFonts w:ascii="Segoe UI"/>
                <w:sz w:val="21"/>
              </w:rPr>
            </w:pPr>
            <w:r>
              <w:rPr>
                <w:rFonts w:ascii="Segoe UI"/>
                <w:sz w:val="21"/>
              </w:rPr>
              <w:t>March</w:t>
            </w:r>
            <w:r>
              <w:rPr>
                <w:rFonts w:ascii="Segoe UI"/>
                <w:spacing w:val="-1"/>
                <w:sz w:val="21"/>
              </w:rPr>
              <w:t> </w:t>
            </w:r>
            <w:r>
              <w:rPr>
                <w:rFonts w:ascii="Segoe UI"/>
                <w:spacing w:val="-4"/>
                <w:sz w:val="21"/>
              </w:rPr>
              <w:t>2027</w:t>
            </w:r>
          </w:p>
        </w:tc>
      </w:tr>
    </w:tbl>
    <w:p>
      <w:pPr>
        <w:spacing w:before="162"/>
        <w:ind w:left="1009" w:right="0" w:firstLine="0"/>
        <w:jc w:val="left"/>
        <w:rPr>
          <w:rFonts w:ascii="Segoe UI" w:hAnsi="Segoe UI"/>
          <w:sz w:val="24"/>
        </w:rPr>
      </w:pPr>
      <w:r>
        <w:rPr>
          <w:rFonts w:ascii="Segoe UI" w:hAnsi="Segoe UI"/>
          <w:b/>
          <w:sz w:val="24"/>
        </w:rPr>
        <w:t>Track</w:t>
      </w:r>
      <w:r>
        <w:rPr>
          <w:rFonts w:ascii="Segoe UI" w:hAnsi="Segoe UI"/>
          <w:b/>
          <w:spacing w:val="-4"/>
          <w:sz w:val="24"/>
        </w:rPr>
        <w:t> </w:t>
      </w:r>
      <w:r>
        <w:rPr>
          <w:rFonts w:ascii="Segoe UI" w:hAnsi="Segoe UI"/>
          <w:b/>
          <w:sz w:val="24"/>
        </w:rPr>
        <w:t>2</w:t>
      </w:r>
      <w:r>
        <w:rPr>
          <w:rFonts w:ascii="Segoe UI" w:hAnsi="Segoe UI"/>
          <w:b/>
          <w:spacing w:val="-1"/>
          <w:sz w:val="24"/>
        </w:rPr>
        <w:t> </w:t>
      </w:r>
      <w:r>
        <w:rPr>
          <w:rFonts w:ascii="Segoe UI" w:hAnsi="Segoe UI"/>
          <w:b/>
          <w:sz w:val="24"/>
        </w:rPr>
        <w:t>–</w:t>
      </w:r>
      <w:r>
        <w:rPr>
          <w:rFonts w:ascii="Segoe UI" w:hAnsi="Segoe UI"/>
          <w:b/>
          <w:spacing w:val="-3"/>
          <w:sz w:val="24"/>
        </w:rPr>
        <w:t> </w:t>
      </w:r>
      <w:r>
        <w:rPr>
          <w:rFonts w:ascii="Segoe UI" w:hAnsi="Segoe UI"/>
          <w:b/>
          <w:sz w:val="24"/>
        </w:rPr>
        <w:t>Setting</w:t>
      </w:r>
      <w:r>
        <w:rPr>
          <w:rFonts w:ascii="Segoe UI" w:hAnsi="Segoe UI"/>
          <w:b/>
          <w:spacing w:val="-2"/>
          <w:sz w:val="24"/>
        </w:rPr>
        <w:t> </w:t>
      </w:r>
      <w:r>
        <w:rPr>
          <w:rFonts w:ascii="Segoe UI" w:hAnsi="Segoe UI"/>
          <w:b/>
          <w:sz w:val="24"/>
        </w:rPr>
        <w:t>the</w:t>
      </w:r>
      <w:r>
        <w:rPr>
          <w:rFonts w:ascii="Segoe UI" w:hAnsi="Segoe UI"/>
          <w:b/>
          <w:spacing w:val="-1"/>
          <w:sz w:val="24"/>
        </w:rPr>
        <w:t> </w:t>
      </w:r>
      <w:r>
        <w:rPr>
          <w:rFonts w:ascii="Segoe UI" w:hAnsi="Segoe UI"/>
          <w:b/>
          <w:sz w:val="24"/>
        </w:rPr>
        <w:t>foundations</w:t>
      </w:r>
      <w:r>
        <w:rPr>
          <w:rFonts w:ascii="Segoe UI" w:hAnsi="Segoe UI"/>
          <w:b/>
          <w:spacing w:val="-3"/>
          <w:sz w:val="24"/>
        </w:rPr>
        <w:t> </w:t>
      </w:r>
      <w:r>
        <w:rPr>
          <w:rFonts w:ascii="Segoe UI" w:hAnsi="Segoe UI"/>
          <w:b/>
          <w:sz w:val="24"/>
        </w:rPr>
        <w:t>for</w:t>
      </w:r>
      <w:r>
        <w:rPr>
          <w:rFonts w:ascii="Segoe UI" w:hAnsi="Segoe UI"/>
          <w:b/>
          <w:spacing w:val="-3"/>
          <w:sz w:val="24"/>
        </w:rPr>
        <w:t> </w:t>
      </w:r>
      <w:r>
        <w:rPr>
          <w:rFonts w:ascii="Segoe UI" w:hAnsi="Segoe UI"/>
          <w:b/>
          <w:sz w:val="24"/>
        </w:rPr>
        <w:t>the</w:t>
      </w:r>
      <w:r>
        <w:rPr>
          <w:rFonts w:ascii="Segoe UI" w:hAnsi="Segoe UI"/>
          <w:b/>
          <w:spacing w:val="-1"/>
          <w:sz w:val="24"/>
        </w:rPr>
        <w:t> </w:t>
      </w:r>
      <w:r>
        <w:rPr>
          <w:rFonts w:ascii="Segoe UI" w:hAnsi="Segoe UI"/>
          <w:b/>
          <w:sz w:val="24"/>
        </w:rPr>
        <w:t>future</w:t>
      </w:r>
      <w:r>
        <w:rPr>
          <w:rFonts w:ascii="Segoe UI" w:hAnsi="Segoe UI"/>
          <w:b/>
          <w:spacing w:val="1"/>
          <w:sz w:val="24"/>
        </w:rPr>
        <w:t> </w:t>
      </w:r>
      <w:r>
        <w:rPr>
          <w:rFonts w:ascii="Segoe UI" w:hAnsi="Segoe UI"/>
          <w:sz w:val="24"/>
        </w:rPr>
        <w:t>–</w:t>
      </w:r>
      <w:r>
        <w:rPr>
          <w:rFonts w:ascii="Segoe UI" w:hAnsi="Segoe UI"/>
          <w:spacing w:val="-2"/>
          <w:sz w:val="24"/>
        </w:rPr>
        <w:t> </w:t>
      </w:r>
      <w:r>
        <w:rPr>
          <w:rFonts w:ascii="Segoe UI" w:hAnsi="Segoe UI"/>
          <w:sz w:val="24"/>
        </w:rPr>
        <w:t>because</w:t>
      </w:r>
      <w:r>
        <w:rPr>
          <w:rFonts w:ascii="Segoe UI" w:hAnsi="Segoe UI"/>
          <w:spacing w:val="-3"/>
          <w:sz w:val="24"/>
        </w:rPr>
        <w:t> </w:t>
      </w:r>
      <w:r>
        <w:rPr>
          <w:rFonts w:ascii="Segoe UI" w:hAnsi="Segoe UI"/>
          <w:sz w:val="24"/>
        </w:rPr>
        <w:t>we</w:t>
      </w:r>
      <w:r>
        <w:rPr>
          <w:rFonts w:ascii="Segoe UI" w:hAnsi="Segoe UI"/>
          <w:spacing w:val="-3"/>
          <w:sz w:val="24"/>
        </w:rPr>
        <w:t> </w:t>
      </w:r>
      <w:r>
        <w:rPr>
          <w:rFonts w:ascii="Segoe UI" w:hAnsi="Segoe UI"/>
          <w:sz w:val="24"/>
        </w:rPr>
        <w:t>don’t</w:t>
      </w:r>
      <w:r>
        <w:rPr>
          <w:rFonts w:ascii="Segoe UI" w:hAnsi="Segoe UI"/>
          <w:spacing w:val="-3"/>
          <w:sz w:val="24"/>
        </w:rPr>
        <w:t> </w:t>
      </w:r>
      <w:r>
        <w:rPr>
          <w:rFonts w:ascii="Segoe UI" w:hAnsi="Segoe UI"/>
          <w:sz w:val="24"/>
        </w:rPr>
        <w:t>need</w:t>
      </w:r>
      <w:r>
        <w:rPr>
          <w:rFonts w:ascii="Segoe UI" w:hAnsi="Segoe UI"/>
          <w:spacing w:val="-4"/>
          <w:sz w:val="24"/>
        </w:rPr>
        <w:t> </w:t>
      </w:r>
      <w:r>
        <w:rPr>
          <w:rFonts w:ascii="Segoe UI" w:hAnsi="Segoe UI"/>
          <w:sz w:val="24"/>
        </w:rPr>
        <w:t>to</w:t>
      </w:r>
      <w:r>
        <w:rPr>
          <w:rFonts w:ascii="Segoe UI" w:hAnsi="Segoe UI"/>
          <w:spacing w:val="-3"/>
          <w:sz w:val="24"/>
        </w:rPr>
        <w:t> </w:t>
      </w:r>
      <w:r>
        <w:rPr>
          <w:rFonts w:ascii="Segoe UI" w:hAnsi="Segoe UI"/>
          <w:sz w:val="24"/>
        </w:rPr>
        <w:t>wait</w:t>
      </w:r>
      <w:r>
        <w:rPr>
          <w:rFonts w:ascii="Segoe UI" w:hAnsi="Segoe UI"/>
          <w:spacing w:val="-3"/>
          <w:sz w:val="24"/>
        </w:rPr>
        <w:t> </w:t>
      </w:r>
      <w:r>
        <w:rPr>
          <w:rFonts w:ascii="Segoe UI" w:hAnsi="Segoe UI"/>
          <w:sz w:val="24"/>
        </w:rPr>
        <w:t>for</w:t>
      </w:r>
      <w:r>
        <w:rPr>
          <w:rFonts w:ascii="Segoe UI" w:hAnsi="Segoe UI"/>
          <w:spacing w:val="-2"/>
          <w:sz w:val="24"/>
        </w:rPr>
        <w:t> </w:t>
      </w:r>
      <w:r>
        <w:rPr>
          <w:rFonts w:ascii="Segoe UI" w:hAnsi="Segoe UI"/>
          <w:spacing w:val="-5"/>
          <w:sz w:val="24"/>
        </w:rPr>
        <w:t>the</w:t>
      </w:r>
    </w:p>
    <w:p>
      <w:pPr>
        <w:pStyle w:val="BodyText"/>
        <w:ind w:left="1009"/>
        <w:rPr>
          <w:rFonts w:ascii="Segoe UI"/>
        </w:rPr>
      </w:pPr>
      <w:r>
        <w:rPr>
          <w:rFonts w:ascii="Segoe UI"/>
        </w:rPr>
        <w:t>strategy</w:t>
      </w:r>
      <w:r>
        <w:rPr>
          <w:rFonts w:ascii="Segoe UI"/>
          <w:spacing w:val="-7"/>
        </w:rPr>
        <w:t> </w:t>
      </w:r>
      <w:r>
        <w:rPr>
          <w:rFonts w:ascii="Segoe UI"/>
        </w:rPr>
        <w:t>to</w:t>
      </w:r>
      <w:r>
        <w:rPr>
          <w:rFonts w:ascii="Segoe UI"/>
          <w:spacing w:val="-1"/>
        </w:rPr>
        <w:t> </w:t>
      </w:r>
      <w:r>
        <w:rPr>
          <w:rFonts w:ascii="Segoe UI"/>
        </w:rPr>
        <w:t>make</w:t>
      </w:r>
      <w:r>
        <w:rPr>
          <w:rFonts w:ascii="Segoe UI"/>
          <w:spacing w:val="-4"/>
        </w:rPr>
        <w:t> </w:t>
      </w:r>
      <w:r>
        <w:rPr>
          <w:rFonts w:ascii="Segoe UI"/>
          <w:spacing w:val="-2"/>
        </w:rPr>
        <w:t>progress</w:t>
      </w:r>
    </w:p>
    <w:p>
      <w:pPr>
        <w:pStyle w:val="BodyText"/>
        <w:rPr>
          <w:rFonts w:ascii="Segoe UI"/>
          <w:sz w:val="12"/>
        </w:rPr>
      </w:pPr>
    </w:p>
    <w:tbl>
      <w:tblPr>
        <w:tblW w:w="0" w:type="auto"/>
        <w:jc w:val="left"/>
        <w:tblInd w:w="3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523"/>
        <w:gridCol w:w="2556"/>
        <w:gridCol w:w="2411"/>
      </w:tblGrid>
      <w:tr>
        <w:trPr>
          <w:trHeight w:val="575" w:hRule="atLeast"/>
        </w:trPr>
        <w:tc>
          <w:tcPr>
            <w:tcW w:w="6523" w:type="dxa"/>
            <w:shd w:val="clear" w:color="auto" w:fill="DBE4F0"/>
          </w:tcPr>
          <w:p>
            <w:pPr>
              <w:pStyle w:val="TableParagraph"/>
              <w:spacing w:before="141"/>
              <w:ind w:left="110"/>
              <w:rPr>
                <w:rFonts w:ascii="Calibri"/>
                <w:b/>
                <w:sz w:val="24"/>
              </w:rPr>
            </w:pPr>
            <w:r>
              <w:rPr>
                <w:rFonts w:ascii="Calibri"/>
                <w:b/>
                <w:color w:val="1F4E79"/>
                <w:sz w:val="24"/>
              </w:rPr>
              <w:t>Action /</w:t>
            </w:r>
            <w:r>
              <w:rPr>
                <w:rFonts w:ascii="Calibri"/>
                <w:b/>
                <w:color w:val="1F4E79"/>
                <w:spacing w:val="-3"/>
                <w:sz w:val="24"/>
              </w:rPr>
              <w:t> </w:t>
            </w:r>
            <w:r>
              <w:rPr>
                <w:rFonts w:ascii="Calibri"/>
                <w:b/>
                <w:color w:val="1F4E79"/>
                <w:spacing w:val="-2"/>
                <w:sz w:val="24"/>
              </w:rPr>
              <w:t>Deliverable</w:t>
            </w:r>
          </w:p>
        </w:tc>
        <w:tc>
          <w:tcPr>
            <w:tcW w:w="2556" w:type="dxa"/>
            <w:shd w:val="clear" w:color="auto" w:fill="DBE4F0"/>
          </w:tcPr>
          <w:p>
            <w:pPr>
              <w:pStyle w:val="TableParagraph"/>
              <w:spacing w:before="141"/>
              <w:ind w:left="110"/>
              <w:rPr>
                <w:rFonts w:ascii="Calibri"/>
                <w:b/>
                <w:sz w:val="24"/>
              </w:rPr>
            </w:pPr>
            <w:r>
              <w:rPr>
                <w:rFonts w:ascii="Calibri"/>
                <w:b/>
                <w:color w:val="1F4E79"/>
                <w:spacing w:val="-4"/>
                <w:sz w:val="24"/>
              </w:rPr>
              <w:t>Lead</w:t>
            </w:r>
          </w:p>
        </w:tc>
        <w:tc>
          <w:tcPr>
            <w:tcW w:w="2411" w:type="dxa"/>
            <w:shd w:val="clear" w:color="auto" w:fill="DBE4F0"/>
          </w:tcPr>
          <w:p>
            <w:pPr>
              <w:pStyle w:val="TableParagraph"/>
              <w:spacing w:before="141"/>
              <w:ind w:left="110"/>
              <w:rPr>
                <w:rFonts w:ascii="Calibri"/>
                <w:b/>
                <w:sz w:val="24"/>
              </w:rPr>
            </w:pPr>
            <w:r>
              <w:rPr>
                <w:rFonts w:ascii="Calibri"/>
                <w:b/>
                <w:color w:val="1F4E79"/>
                <w:sz w:val="24"/>
              </w:rPr>
              <w:t>By </w:t>
            </w:r>
            <w:r>
              <w:rPr>
                <w:rFonts w:ascii="Calibri"/>
                <w:b/>
                <w:color w:val="1F4E79"/>
                <w:spacing w:val="-4"/>
                <w:sz w:val="24"/>
              </w:rPr>
              <w:t>when</w:t>
            </w:r>
          </w:p>
        </w:tc>
      </w:tr>
      <w:tr>
        <w:trPr>
          <w:trHeight w:val="435" w:hRule="atLeast"/>
        </w:trPr>
        <w:tc>
          <w:tcPr>
            <w:tcW w:w="6523" w:type="dxa"/>
          </w:tcPr>
          <w:p>
            <w:pPr>
              <w:pStyle w:val="TableParagraph"/>
              <w:spacing w:before="58"/>
              <w:ind w:left="110"/>
              <w:rPr>
                <w:rFonts w:ascii="Segoe UI"/>
                <w:sz w:val="21"/>
              </w:rPr>
            </w:pPr>
            <w:r>
              <w:rPr>
                <w:rFonts w:ascii="Segoe UI"/>
                <w:sz w:val="21"/>
              </w:rPr>
              <w:t>Pathway</w:t>
            </w:r>
            <w:r>
              <w:rPr>
                <w:rFonts w:ascii="Segoe UI"/>
                <w:spacing w:val="-4"/>
                <w:sz w:val="21"/>
              </w:rPr>
              <w:t> </w:t>
            </w:r>
            <w:r>
              <w:rPr>
                <w:rFonts w:ascii="Segoe UI"/>
                <w:sz w:val="21"/>
              </w:rPr>
              <w:t>Mapping Arthroplasty</w:t>
            </w:r>
            <w:r>
              <w:rPr>
                <w:rFonts w:ascii="Segoe UI"/>
                <w:spacing w:val="-3"/>
                <w:sz w:val="21"/>
              </w:rPr>
              <w:t> </w:t>
            </w:r>
            <w:r>
              <w:rPr>
                <w:rFonts w:ascii="Segoe UI"/>
                <w:sz w:val="21"/>
              </w:rPr>
              <w:t>&amp;</w:t>
            </w:r>
            <w:r>
              <w:rPr>
                <w:rFonts w:ascii="Segoe UI"/>
                <w:spacing w:val="-4"/>
                <w:sz w:val="21"/>
              </w:rPr>
              <w:t> Hands</w:t>
            </w:r>
          </w:p>
        </w:tc>
        <w:tc>
          <w:tcPr>
            <w:tcW w:w="2556" w:type="dxa"/>
          </w:tcPr>
          <w:p>
            <w:pPr>
              <w:pStyle w:val="TableParagraph"/>
              <w:spacing w:before="58"/>
              <w:ind w:left="110"/>
              <w:rPr>
                <w:rFonts w:ascii="Segoe UI"/>
                <w:sz w:val="21"/>
              </w:rPr>
            </w:pPr>
            <w:r>
              <w:rPr>
                <w:rFonts w:ascii="Segoe UI"/>
                <w:sz w:val="21"/>
              </w:rPr>
              <w:t>Operational</w:t>
            </w:r>
            <w:r>
              <w:rPr>
                <w:rFonts w:ascii="Segoe UI"/>
                <w:spacing w:val="-4"/>
                <w:sz w:val="21"/>
              </w:rPr>
              <w:t> Teams</w:t>
            </w:r>
          </w:p>
        </w:tc>
        <w:tc>
          <w:tcPr>
            <w:tcW w:w="2411" w:type="dxa"/>
          </w:tcPr>
          <w:p>
            <w:pPr>
              <w:pStyle w:val="TableParagraph"/>
              <w:spacing w:before="58"/>
              <w:ind w:left="110"/>
              <w:rPr>
                <w:rFonts w:ascii="Segoe UI"/>
                <w:sz w:val="21"/>
              </w:rPr>
            </w:pPr>
            <w:r>
              <w:rPr>
                <w:rFonts w:ascii="Segoe UI"/>
                <w:sz w:val="21"/>
              </w:rPr>
              <w:t>September</w:t>
            </w:r>
            <w:r>
              <w:rPr>
                <w:rFonts w:ascii="Segoe UI"/>
                <w:spacing w:val="-2"/>
                <w:sz w:val="21"/>
              </w:rPr>
              <w:t> </w:t>
            </w:r>
            <w:r>
              <w:rPr>
                <w:rFonts w:ascii="Segoe UI"/>
                <w:spacing w:val="-4"/>
                <w:sz w:val="21"/>
              </w:rPr>
              <w:t>2026</w:t>
            </w:r>
          </w:p>
        </w:tc>
      </w:tr>
      <w:tr>
        <w:trPr>
          <w:trHeight w:val="440" w:hRule="atLeast"/>
        </w:trPr>
        <w:tc>
          <w:tcPr>
            <w:tcW w:w="6523" w:type="dxa"/>
          </w:tcPr>
          <w:p>
            <w:pPr>
              <w:pStyle w:val="TableParagraph"/>
              <w:spacing w:before="58"/>
              <w:ind w:left="110"/>
              <w:rPr>
                <w:rFonts w:ascii="Segoe UI"/>
                <w:sz w:val="21"/>
              </w:rPr>
            </w:pPr>
            <w:r>
              <w:rPr>
                <w:rFonts w:ascii="Segoe UI"/>
                <w:sz w:val="21"/>
              </w:rPr>
              <w:t>Pathway</w:t>
            </w:r>
            <w:r>
              <w:rPr>
                <w:rFonts w:ascii="Segoe UI"/>
                <w:spacing w:val="-3"/>
                <w:sz w:val="21"/>
              </w:rPr>
              <w:t> </w:t>
            </w:r>
            <w:r>
              <w:rPr>
                <w:rFonts w:ascii="Segoe UI"/>
                <w:sz w:val="21"/>
              </w:rPr>
              <w:t>Mapping Foot,</w:t>
            </w:r>
            <w:r>
              <w:rPr>
                <w:rFonts w:ascii="Segoe UI"/>
                <w:spacing w:val="-2"/>
                <w:sz w:val="21"/>
              </w:rPr>
              <w:t> </w:t>
            </w:r>
            <w:r>
              <w:rPr>
                <w:rFonts w:ascii="Segoe UI"/>
                <w:sz w:val="21"/>
              </w:rPr>
              <w:t>Ankle</w:t>
            </w:r>
            <w:r>
              <w:rPr>
                <w:rFonts w:ascii="Segoe UI"/>
                <w:spacing w:val="-1"/>
                <w:sz w:val="21"/>
              </w:rPr>
              <w:t> </w:t>
            </w:r>
            <w:r>
              <w:rPr>
                <w:rFonts w:ascii="Segoe UI"/>
                <w:sz w:val="21"/>
              </w:rPr>
              <w:t>&amp;</w:t>
            </w:r>
            <w:r>
              <w:rPr>
                <w:rFonts w:ascii="Segoe UI"/>
                <w:spacing w:val="-3"/>
                <w:sz w:val="21"/>
              </w:rPr>
              <w:t> </w:t>
            </w:r>
            <w:r>
              <w:rPr>
                <w:rFonts w:ascii="Segoe UI"/>
                <w:spacing w:val="-2"/>
                <w:sz w:val="21"/>
              </w:rPr>
              <w:t>Shoulder</w:t>
            </w:r>
          </w:p>
        </w:tc>
        <w:tc>
          <w:tcPr>
            <w:tcW w:w="2556" w:type="dxa"/>
          </w:tcPr>
          <w:p>
            <w:pPr>
              <w:pStyle w:val="TableParagraph"/>
              <w:spacing w:before="58"/>
              <w:ind w:left="110"/>
              <w:rPr>
                <w:rFonts w:ascii="Segoe UI"/>
                <w:sz w:val="21"/>
              </w:rPr>
            </w:pPr>
            <w:r>
              <w:rPr>
                <w:rFonts w:ascii="Segoe UI"/>
                <w:sz w:val="21"/>
              </w:rPr>
              <w:t>Operational</w:t>
            </w:r>
            <w:r>
              <w:rPr>
                <w:rFonts w:ascii="Segoe UI"/>
                <w:spacing w:val="-4"/>
                <w:sz w:val="21"/>
              </w:rPr>
              <w:t> Teams</w:t>
            </w:r>
          </w:p>
        </w:tc>
        <w:tc>
          <w:tcPr>
            <w:tcW w:w="2411" w:type="dxa"/>
          </w:tcPr>
          <w:p>
            <w:pPr>
              <w:pStyle w:val="TableParagraph"/>
              <w:spacing w:before="58"/>
              <w:ind w:left="110"/>
              <w:rPr>
                <w:rFonts w:ascii="Segoe UI"/>
                <w:sz w:val="21"/>
              </w:rPr>
            </w:pPr>
            <w:r>
              <w:rPr>
                <w:rFonts w:ascii="Segoe UI"/>
                <w:sz w:val="21"/>
              </w:rPr>
              <w:t>October</w:t>
            </w:r>
            <w:r>
              <w:rPr>
                <w:rFonts w:ascii="Segoe UI"/>
                <w:spacing w:val="-3"/>
                <w:sz w:val="21"/>
              </w:rPr>
              <w:t> </w:t>
            </w:r>
            <w:r>
              <w:rPr>
                <w:rFonts w:ascii="Segoe UI"/>
                <w:spacing w:val="-4"/>
                <w:sz w:val="21"/>
              </w:rPr>
              <w:t>2026</w:t>
            </w:r>
          </w:p>
        </w:tc>
      </w:tr>
      <w:tr>
        <w:trPr>
          <w:trHeight w:val="430" w:hRule="atLeast"/>
        </w:trPr>
        <w:tc>
          <w:tcPr>
            <w:tcW w:w="6523" w:type="dxa"/>
            <w:tcBorders>
              <w:bottom w:val="single" w:sz="12" w:space="0" w:color="000000"/>
            </w:tcBorders>
          </w:tcPr>
          <w:p>
            <w:pPr>
              <w:pStyle w:val="TableParagraph"/>
              <w:spacing w:before="53"/>
              <w:ind w:left="110"/>
              <w:rPr>
                <w:rFonts w:ascii="Segoe UI"/>
                <w:sz w:val="21"/>
              </w:rPr>
            </w:pPr>
            <w:r>
              <w:rPr>
                <w:rFonts w:ascii="Segoe UI"/>
                <w:sz w:val="21"/>
              </w:rPr>
              <w:t>Electronic</w:t>
            </w:r>
            <w:r>
              <w:rPr>
                <w:rFonts w:ascii="Segoe UI"/>
                <w:spacing w:val="-5"/>
                <w:sz w:val="21"/>
              </w:rPr>
              <w:t> </w:t>
            </w:r>
            <w:r>
              <w:rPr>
                <w:rFonts w:ascii="Segoe UI"/>
                <w:sz w:val="21"/>
              </w:rPr>
              <w:t>Pre-Operative</w:t>
            </w:r>
            <w:r>
              <w:rPr>
                <w:rFonts w:ascii="Segoe UI"/>
                <w:spacing w:val="-4"/>
                <w:sz w:val="21"/>
              </w:rPr>
              <w:t> </w:t>
            </w:r>
            <w:r>
              <w:rPr>
                <w:rFonts w:ascii="Segoe UI"/>
                <w:sz w:val="21"/>
              </w:rPr>
              <w:t>Assessment</w:t>
            </w:r>
            <w:r>
              <w:rPr>
                <w:rFonts w:ascii="Segoe UI"/>
                <w:spacing w:val="-4"/>
                <w:sz w:val="21"/>
              </w:rPr>
              <w:t> </w:t>
            </w:r>
            <w:r>
              <w:rPr>
                <w:rFonts w:ascii="Segoe UI"/>
                <w:spacing w:val="-2"/>
                <w:sz w:val="21"/>
              </w:rPr>
              <w:t>(EPOA)</w:t>
            </w:r>
          </w:p>
        </w:tc>
        <w:tc>
          <w:tcPr>
            <w:tcW w:w="2556" w:type="dxa"/>
            <w:tcBorders>
              <w:bottom w:val="single" w:sz="12" w:space="0" w:color="000000"/>
            </w:tcBorders>
          </w:tcPr>
          <w:p>
            <w:pPr>
              <w:pStyle w:val="TableParagraph"/>
              <w:spacing w:before="53"/>
              <w:ind w:left="110"/>
              <w:rPr>
                <w:rFonts w:ascii="Segoe UI"/>
                <w:sz w:val="21"/>
              </w:rPr>
            </w:pPr>
            <w:r>
              <w:rPr>
                <w:rFonts w:ascii="Segoe UI"/>
                <w:sz w:val="21"/>
              </w:rPr>
              <w:t>Craig</w:t>
            </w:r>
            <w:r>
              <w:rPr>
                <w:rFonts w:ascii="Segoe UI"/>
                <w:spacing w:val="1"/>
                <w:sz w:val="21"/>
              </w:rPr>
              <w:t> </w:t>
            </w:r>
            <w:r>
              <w:rPr>
                <w:rFonts w:ascii="Segoe UI"/>
                <w:spacing w:val="-2"/>
                <w:sz w:val="21"/>
              </w:rPr>
              <w:t>Toutt</w:t>
            </w:r>
          </w:p>
        </w:tc>
        <w:tc>
          <w:tcPr>
            <w:tcW w:w="2411" w:type="dxa"/>
            <w:tcBorders>
              <w:bottom w:val="single" w:sz="12" w:space="0" w:color="000000"/>
            </w:tcBorders>
          </w:tcPr>
          <w:p>
            <w:pPr>
              <w:pStyle w:val="TableParagraph"/>
              <w:spacing w:before="53"/>
              <w:ind w:left="110"/>
              <w:rPr>
                <w:rFonts w:ascii="Segoe UI"/>
                <w:sz w:val="21"/>
              </w:rPr>
            </w:pPr>
            <w:r>
              <w:rPr>
                <w:rFonts w:ascii="Segoe UI"/>
                <w:sz w:val="21"/>
              </w:rPr>
              <w:t>March</w:t>
            </w:r>
            <w:r>
              <w:rPr>
                <w:rFonts w:ascii="Segoe UI"/>
                <w:spacing w:val="-2"/>
                <w:sz w:val="21"/>
              </w:rPr>
              <w:t> </w:t>
            </w:r>
            <w:r>
              <w:rPr>
                <w:rFonts w:ascii="Segoe UI"/>
                <w:spacing w:val="-4"/>
                <w:sz w:val="21"/>
              </w:rPr>
              <w:t>2027</w:t>
            </w:r>
          </w:p>
        </w:tc>
      </w:tr>
    </w:tbl>
    <w:p>
      <w:pPr>
        <w:pStyle w:val="BodyText"/>
        <w:spacing w:before="158"/>
        <w:rPr>
          <w:rFonts w:ascii="Segoe UI"/>
        </w:rPr>
      </w:pPr>
    </w:p>
    <w:p>
      <w:pPr>
        <w:pStyle w:val="Heading3"/>
        <w:numPr>
          <w:ilvl w:val="2"/>
          <w:numId w:val="10"/>
        </w:numPr>
        <w:tabs>
          <w:tab w:pos="1009" w:val="left" w:leader="none"/>
        </w:tabs>
        <w:spacing w:line="240" w:lineRule="auto" w:before="0" w:after="0"/>
        <w:ind w:left="1009" w:right="0" w:hanging="565"/>
        <w:jc w:val="left"/>
      </w:pPr>
      <w:r>
        <w:rPr>
          <w:color w:val="1F4E79"/>
        </w:rPr>
        <w:t>Programme</w:t>
      </w:r>
      <w:r>
        <w:rPr>
          <w:color w:val="1F4E79"/>
          <w:spacing w:val="-3"/>
        </w:rPr>
        <w:t> </w:t>
      </w:r>
      <w:r>
        <w:rPr>
          <w:color w:val="1F4E79"/>
          <w:spacing w:val="-2"/>
        </w:rPr>
        <w:t>Governance</w:t>
      </w:r>
    </w:p>
    <w:p>
      <w:pPr>
        <w:pStyle w:val="BodyText"/>
        <w:spacing w:before="216"/>
        <w:ind w:left="1009" w:right="1086"/>
        <w:rPr>
          <w:rFonts w:ascii="Segoe UI"/>
        </w:rPr>
      </w:pPr>
      <w:r>
        <w:rPr>
          <w:rFonts w:ascii="Segoe UI"/>
        </w:rPr>
        <w:t>Programme</w:t>
      </w:r>
      <w:r>
        <w:rPr>
          <w:rFonts w:ascii="Segoe UI"/>
          <w:spacing w:val="-6"/>
        </w:rPr>
        <w:t> </w:t>
      </w:r>
      <w:r>
        <w:rPr>
          <w:rFonts w:ascii="Segoe UI"/>
        </w:rPr>
        <w:t>Governance</w:t>
      </w:r>
      <w:r>
        <w:rPr>
          <w:rFonts w:ascii="Segoe UI"/>
          <w:spacing w:val="-6"/>
        </w:rPr>
        <w:t> </w:t>
      </w:r>
      <w:r>
        <w:rPr>
          <w:rFonts w:ascii="Segoe UI"/>
        </w:rPr>
        <w:t>sits</w:t>
      </w:r>
      <w:r>
        <w:rPr>
          <w:rFonts w:ascii="Segoe UI"/>
          <w:spacing w:val="-7"/>
        </w:rPr>
        <w:t> </w:t>
      </w:r>
      <w:r>
        <w:rPr>
          <w:rFonts w:ascii="Segoe UI"/>
        </w:rPr>
        <w:t>within</w:t>
      </w:r>
      <w:r>
        <w:rPr>
          <w:rFonts w:ascii="Segoe UI"/>
          <w:spacing w:val="-6"/>
        </w:rPr>
        <w:t> </w:t>
      </w:r>
      <w:r>
        <w:rPr>
          <w:rFonts w:ascii="Segoe UI"/>
        </w:rPr>
        <w:t>the</w:t>
      </w:r>
      <w:r>
        <w:rPr>
          <w:rFonts w:ascii="Segoe UI"/>
          <w:spacing w:val="-6"/>
        </w:rPr>
        <w:t> </w:t>
      </w:r>
      <w:r>
        <w:rPr>
          <w:rFonts w:ascii="Segoe UI"/>
        </w:rPr>
        <w:t>RJC</w:t>
      </w:r>
      <w:r>
        <w:rPr>
          <w:rFonts w:ascii="Segoe UI"/>
          <w:spacing w:val="-5"/>
        </w:rPr>
        <w:t> </w:t>
      </w:r>
      <w:r>
        <w:rPr>
          <w:rFonts w:ascii="Segoe UI"/>
        </w:rPr>
        <w:t>governance</w:t>
      </w:r>
      <w:r>
        <w:rPr>
          <w:rFonts w:ascii="Segoe UI"/>
          <w:spacing w:val="-6"/>
        </w:rPr>
        <w:t> </w:t>
      </w:r>
      <w:r>
        <w:rPr>
          <w:rFonts w:ascii="Segoe UI"/>
        </w:rPr>
        <w:t>structure.</w:t>
      </w:r>
      <w:r>
        <w:rPr>
          <w:rFonts w:ascii="Segoe UI"/>
          <w:spacing w:val="40"/>
        </w:rPr>
        <w:t> </w:t>
      </w:r>
      <w:r>
        <w:rPr>
          <w:rFonts w:ascii="Segoe UI"/>
        </w:rPr>
        <w:t>Members</w:t>
      </w:r>
      <w:r>
        <w:rPr>
          <w:rFonts w:ascii="Segoe UI"/>
          <w:spacing w:val="-2"/>
        </w:rPr>
        <w:t> </w:t>
      </w:r>
      <w:r>
        <w:rPr>
          <w:rFonts w:ascii="Segoe UI"/>
        </w:rPr>
        <w:t>of</w:t>
      </w:r>
      <w:r>
        <w:rPr>
          <w:rFonts w:ascii="Segoe UI"/>
          <w:spacing w:val="-6"/>
        </w:rPr>
        <w:t> </w:t>
      </w:r>
      <w:r>
        <w:rPr>
          <w:rFonts w:ascii="Segoe UI"/>
        </w:rPr>
        <w:t>the Orthopaedics Governance are provided at Appendix 1.</w:t>
      </w:r>
    </w:p>
    <w:p>
      <w:pPr>
        <w:spacing w:before="242"/>
        <w:ind w:left="1009" w:right="0" w:firstLine="0"/>
        <w:jc w:val="left"/>
        <w:rPr>
          <w:rFonts w:ascii="Segoe UI"/>
          <w:b/>
          <w:sz w:val="24"/>
        </w:rPr>
      </w:pPr>
      <w:r>
        <w:rPr>
          <w:rFonts w:ascii="Segoe UI"/>
          <w:b/>
          <w:sz w:val="24"/>
        </w:rPr>
        <w:t>Regional</w:t>
      </w:r>
      <w:r>
        <w:rPr>
          <w:rFonts w:ascii="Segoe UI"/>
          <w:b/>
          <w:spacing w:val="-5"/>
          <w:sz w:val="24"/>
        </w:rPr>
        <w:t> </w:t>
      </w:r>
      <w:r>
        <w:rPr>
          <w:rFonts w:ascii="Segoe UI"/>
          <w:b/>
          <w:sz w:val="24"/>
        </w:rPr>
        <w:t>Clinical</w:t>
      </w:r>
      <w:r>
        <w:rPr>
          <w:rFonts w:ascii="Segoe UI"/>
          <w:b/>
          <w:spacing w:val="-4"/>
          <w:sz w:val="24"/>
        </w:rPr>
        <w:t> </w:t>
      </w:r>
      <w:r>
        <w:rPr>
          <w:rFonts w:ascii="Segoe UI"/>
          <w:b/>
          <w:sz w:val="24"/>
        </w:rPr>
        <w:t>Services</w:t>
      </w:r>
      <w:r>
        <w:rPr>
          <w:rFonts w:ascii="Segoe UI"/>
          <w:b/>
          <w:spacing w:val="-6"/>
          <w:sz w:val="24"/>
        </w:rPr>
        <w:t> </w:t>
      </w:r>
      <w:r>
        <w:rPr>
          <w:rFonts w:ascii="Segoe UI"/>
          <w:b/>
          <w:sz w:val="24"/>
        </w:rPr>
        <w:t>Planning</w:t>
      </w:r>
      <w:r>
        <w:rPr>
          <w:rFonts w:ascii="Segoe UI"/>
          <w:b/>
          <w:spacing w:val="-5"/>
          <w:sz w:val="24"/>
        </w:rPr>
        <w:t> </w:t>
      </w:r>
      <w:r>
        <w:rPr>
          <w:rFonts w:ascii="Segoe UI"/>
          <w:b/>
          <w:spacing w:val="-4"/>
          <w:sz w:val="24"/>
        </w:rPr>
        <w:t>Group</w:t>
      </w:r>
    </w:p>
    <w:p>
      <w:pPr>
        <w:pStyle w:val="BodyText"/>
        <w:spacing w:before="160"/>
        <w:ind w:left="1009"/>
        <w:rPr>
          <w:rFonts w:ascii="Segoe UI"/>
        </w:rPr>
      </w:pPr>
      <w:r>
        <w:rPr>
          <w:rFonts w:ascii="Segoe UI"/>
        </w:rPr>
        <w:t>Strategic</w:t>
      </w:r>
      <w:r>
        <w:rPr>
          <w:rFonts w:ascii="Segoe UI"/>
          <w:spacing w:val="-7"/>
        </w:rPr>
        <w:t> </w:t>
      </w:r>
      <w:r>
        <w:rPr>
          <w:rFonts w:ascii="Segoe UI"/>
        </w:rPr>
        <w:t>direction</w:t>
      </w:r>
      <w:r>
        <w:rPr>
          <w:rFonts w:ascii="Segoe UI"/>
          <w:spacing w:val="-5"/>
        </w:rPr>
        <w:t> </w:t>
      </w:r>
      <w:r>
        <w:rPr>
          <w:rFonts w:ascii="Segoe UI"/>
        </w:rPr>
        <w:t>and assurance</w:t>
      </w:r>
      <w:r>
        <w:rPr>
          <w:rFonts w:ascii="Segoe UI"/>
          <w:spacing w:val="-4"/>
        </w:rPr>
        <w:t> </w:t>
      </w:r>
      <w:r>
        <w:rPr>
          <w:rFonts w:ascii="Segoe UI"/>
        </w:rPr>
        <w:t>to</w:t>
      </w:r>
      <w:r>
        <w:rPr>
          <w:rFonts w:ascii="Segoe UI"/>
          <w:spacing w:val="-4"/>
        </w:rPr>
        <w:t> </w:t>
      </w:r>
      <w:r>
        <w:rPr>
          <w:rFonts w:ascii="Segoe UI"/>
        </w:rPr>
        <w:t>the</w:t>
      </w:r>
      <w:r>
        <w:rPr>
          <w:rFonts w:ascii="Segoe UI"/>
          <w:spacing w:val="-4"/>
        </w:rPr>
        <w:t> </w:t>
      </w:r>
      <w:r>
        <w:rPr>
          <w:rFonts w:ascii="Segoe UI"/>
        </w:rPr>
        <w:t>Regional</w:t>
      </w:r>
      <w:r>
        <w:rPr>
          <w:rFonts w:ascii="Segoe UI"/>
          <w:spacing w:val="-2"/>
        </w:rPr>
        <w:t> </w:t>
      </w:r>
      <w:r>
        <w:rPr>
          <w:rFonts w:ascii="Segoe UI"/>
        </w:rPr>
        <w:t>Joint</w:t>
      </w:r>
      <w:r>
        <w:rPr>
          <w:rFonts w:ascii="Segoe UI"/>
          <w:spacing w:val="-5"/>
        </w:rPr>
        <w:t> </w:t>
      </w:r>
      <w:r>
        <w:rPr>
          <w:rFonts w:ascii="Segoe UI"/>
          <w:spacing w:val="-2"/>
        </w:rPr>
        <w:t>Committee.</w:t>
      </w:r>
    </w:p>
    <w:p>
      <w:pPr>
        <w:spacing w:before="242"/>
        <w:ind w:left="1009" w:right="0" w:firstLine="0"/>
        <w:jc w:val="left"/>
        <w:rPr>
          <w:rFonts w:ascii="Segoe UI"/>
          <w:b/>
          <w:sz w:val="24"/>
        </w:rPr>
      </w:pPr>
      <w:r>
        <w:rPr>
          <w:rFonts w:ascii="Segoe UI"/>
          <w:b/>
          <w:sz w:val="24"/>
        </w:rPr>
        <w:t>Orthopaedic</w:t>
      </w:r>
      <w:r>
        <w:rPr>
          <w:rFonts w:ascii="Segoe UI"/>
          <w:b/>
          <w:spacing w:val="-6"/>
          <w:sz w:val="24"/>
        </w:rPr>
        <w:t> </w:t>
      </w:r>
      <w:r>
        <w:rPr>
          <w:rFonts w:ascii="Segoe UI"/>
          <w:b/>
          <w:sz w:val="24"/>
        </w:rPr>
        <w:t>Programme</w:t>
      </w:r>
      <w:r>
        <w:rPr>
          <w:rFonts w:ascii="Segoe UI"/>
          <w:b/>
          <w:spacing w:val="-3"/>
          <w:sz w:val="24"/>
        </w:rPr>
        <w:t> </w:t>
      </w:r>
      <w:r>
        <w:rPr>
          <w:rFonts w:ascii="Segoe UI"/>
          <w:b/>
          <w:sz w:val="24"/>
        </w:rPr>
        <w:t>Board</w:t>
      </w:r>
      <w:r>
        <w:rPr>
          <w:rFonts w:ascii="Segoe UI"/>
          <w:b/>
          <w:spacing w:val="-2"/>
          <w:sz w:val="24"/>
        </w:rPr>
        <w:t> </w:t>
      </w:r>
      <w:r>
        <w:rPr>
          <w:rFonts w:ascii="Segoe UI"/>
          <w:b/>
          <w:sz w:val="24"/>
        </w:rPr>
        <w:t>(Terms</w:t>
      </w:r>
      <w:r>
        <w:rPr>
          <w:rFonts w:ascii="Segoe UI"/>
          <w:b/>
          <w:spacing w:val="-4"/>
          <w:sz w:val="24"/>
        </w:rPr>
        <w:t> </w:t>
      </w:r>
      <w:r>
        <w:rPr>
          <w:rFonts w:ascii="Segoe UI"/>
          <w:b/>
          <w:sz w:val="24"/>
        </w:rPr>
        <w:t>of</w:t>
      </w:r>
      <w:r>
        <w:rPr>
          <w:rFonts w:ascii="Segoe UI"/>
          <w:b/>
          <w:spacing w:val="-5"/>
          <w:sz w:val="24"/>
        </w:rPr>
        <w:t> </w:t>
      </w:r>
      <w:r>
        <w:rPr>
          <w:rFonts w:ascii="Segoe UI"/>
          <w:b/>
          <w:sz w:val="24"/>
        </w:rPr>
        <w:t>Reference</w:t>
      </w:r>
      <w:r>
        <w:rPr>
          <w:rFonts w:ascii="Segoe UI"/>
          <w:b/>
          <w:spacing w:val="-4"/>
          <w:sz w:val="24"/>
        </w:rPr>
        <w:t> </w:t>
      </w:r>
      <w:r>
        <w:rPr>
          <w:rFonts w:ascii="Segoe UI"/>
          <w:b/>
          <w:sz w:val="24"/>
        </w:rPr>
        <w:t>Appendix </w:t>
      </w:r>
      <w:r>
        <w:rPr>
          <w:rFonts w:ascii="Segoe UI"/>
          <w:b/>
          <w:spacing w:val="-5"/>
          <w:sz w:val="24"/>
        </w:rPr>
        <w:t>2)</w:t>
      </w:r>
    </w:p>
    <w:p>
      <w:pPr>
        <w:pStyle w:val="BodyText"/>
        <w:spacing w:before="161"/>
        <w:ind w:left="1009"/>
        <w:rPr>
          <w:rFonts w:ascii="Segoe UI"/>
        </w:rPr>
      </w:pPr>
      <w:r>
        <w:rPr>
          <w:rFonts w:ascii="Segoe UI"/>
        </w:rPr>
        <w:t>Programme</w:t>
      </w:r>
      <w:r>
        <w:rPr>
          <w:rFonts w:ascii="Segoe UI"/>
          <w:spacing w:val="-6"/>
        </w:rPr>
        <w:t> </w:t>
      </w:r>
      <w:r>
        <w:rPr>
          <w:rFonts w:ascii="Segoe UI"/>
        </w:rPr>
        <w:t>oversight,</w:t>
      </w:r>
      <w:r>
        <w:rPr>
          <w:rFonts w:ascii="Segoe UI"/>
          <w:spacing w:val="-7"/>
        </w:rPr>
        <w:t> </w:t>
      </w:r>
      <w:r>
        <w:rPr>
          <w:rFonts w:ascii="Segoe UI"/>
        </w:rPr>
        <w:t>performance</w:t>
      </w:r>
      <w:r>
        <w:rPr>
          <w:rFonts w:ascii="Segoe UI"/>
          <w:spacing w:val="-1"/>
        </w:rPr>
        <w:t> </w:t>
      </w:r>
      <w:r>
        <w:rPr>
          <w:rFonts w:ascii="Segoe UI"/>
        </w:rPr>
        <w:t>management</w:t>
      </w:r>
      <w:r>
        <w:rPr>
          <w:rFonts w:ascii="Segoe UI"/>
          <w:spacing w:val="-7"/>
        </w:rPr>
        <w:t> </w:t>
      </w:r>
      <w:r>
        <w:rPr>
          <w:rFonts w:ascii="Segoe UI"/>
        </w:rPr>
        <w:t>and</w:t>
      </w:r>
      <w:r>
        <w:rPr>
          <w:rFonts w:ascii="Segoe UI"/>
          <w:spacing w:val="-2"/>
        </w:rPr>
        <w:t> direction.</w:t>
      </w:r>
    </w:p>
    <w:p>
      <w:pPr>
        <w:spacing w:before="235"/>
        <w:ind w:left="1009" w:right="0" w:firstLine="0"/>
        <w:jc w:val="left"/>
        <w:rPr>
          <w:rFonts w:ascii="Segoe UI"/>
          <w:b/>
          <w:sz w:val="24"/>
        </w:rPr>
      </w:pPr>
      <w:r>
        <w:rPr>
          <w:rFonts w:ascii="Segoe UI"/>
          <w:b/>
          <w:sz w:val="24"/>
        </w:rPr>
        <w:t>Orthopaedic</w:t>
      </w:r>
      <w:r>
        <w:rPr>
          <w:rFonts w:ascii="Segoe UI"/>
          <w:b/>
          <w:spacing w:val="-7"/>
          <w:sz w:val="24"/>
        </w:rPr>
        <w:t> </w:t>
      </w:r>
      <w:r>
        <w:rPr>
          <w:rFonts w:ascii="Segoe UI"/>
          <w:b/>
          <w:sz w:val="24"/>
        </w:rPr>
        <w:t>Operational</w:t>
      </w:r>
      <w:r>
        <w:rPr>
          <w:rFonts w:ascii="Segoe UI"/>
          <w:b/>
          <w:spacing w:val="-4"/>
          <w:sz w:val="24"/>
        </w:rPr>
        <w:t> </w:t>
      </w:r>
      <w:r>
        <w:rPr>
          <w:rFonts w:ascii="Segoe UI"/>
          <w:b/>
          <w:sz w:val="24"/>
        </w:rPr>
        <w:t>Delivery</w:t>
      </w:r>
      <w:r>
        <w:rPr>
          <w:rFonts w:ascii="Segoe UI"/>
          <w:b/>
          <w:spacing w:val="-5"/>
          <w:sz w:val="24"/>
        </w:rPr>
        <w:t> </w:t>
      </w:r>
      <w:r>
        <w:rPr>
          <w:rFonts w:ascii="Segoe UI"/>
          <w:b/>
          <w:sz w:val="24"/>
        </w:rPr>
        <w:t>Group</w:t>
      </w:r>
      <w:r>
        <w:rPr>
          <w:rFonts w:ascii="Segoe UI"/>
          <w:b/>
          <w:spacing w:val="-1"/>
          <w:sz w:val="24"/>
        </w:rPr>
        <w:t> </w:t>
      </w:r>
      <w:r>
        <w:rPr>
          <w:rFonts w:ascii="Segoe UI"/>
          <w:b/>
          <w:sz w:val="24"/>
        </w:rPr>
        <w:t>(Terms</w:t>
      </w:r>
      <w:r>
        <w:rPr>
          <w:rFonts w:ascii="Segoe UI"/>
          <w:b/>
          <w:spacing w:val="-6"/>
          <w:sz w:val="24"/>
        </w:rPr>
        <w:t> </w:t>
      </w:r>
      <w:r>
        <w:rPr>
          <w:rFonts w:ascii="Segoe UI"/>
          <w:b/>
          <w:sz w:val="24"/>
        </w:rPr>
        <w:t>of</w:t>
      </w:r>
      <w:r>
        <w:rPr>
          <w:rFonts w:ascii="Segoe UI"/>
          <w:b/>
          <w:spacing w:val="-3"/>
          <w:sz w:val="24"/>
        </w:rPr>
        <w:t> </w:t>
      </w:r>
      <w:r>
        <w:rPr>
          <w:rFonts w:ascii="Segoe UI"/>
          <w:b/>
          <w:sz w:val="24"/>
        </w:rPr>
        <w:t>Reference</w:t>
      </w:r>
      <w:r>
        <w:rPr>
          <w:rFonts w:ascii="Segoe UI"/>
          <w:b/>
          <w:spacing w:val="-6"/>
          <w:sz w:val="24"/>
        </w:rPr>
        <w:t> </w:t>
      </w:r>
      <w:r>
        <w:rPr>
          <w:rFonts w:ascii="Segoe UI"/>
          <w:b/>
          <w:sz w:val="24"/>
        </w:rPr>
        <w:t>Appendix</w:t>
      </w:r>
      <w:r>
        <w:rPr>
          <w:rFonts w:ascii="Segoe UI"/>
          <w:b/>
          <w:spacing w:val="-3"/>
          <w:sz w:val="24"/>
        </w:rPr>
        <w:t> </w:t>
      </w:r>
      <w:r>
        <w:rPr>
          <w:rFonts w:ascii="Segoe UI"/>
          <w:b/>
          <w:spacing w:val="-5"/>
          <w:sz w:val="24"/>
        </w:rPr>
        <w:t>3)</w:t>
      </w:r>
    </w:p>
    <w:p>
      <w:pPr>
        <w:pStyle w:val="BodyText"/>
        <w:spacing w:before="162"/>
        <w:ind w:left="1009" w:right="1086"/>
        <w:rPr>
          <w:rFonts w:ascii="Segoe UI"/>
        </w:rPr>
      </w:pPr>
      <w:r>
        <w:rPr>
          <w:rFonts w:ascii="Segoe UI"/>
        </w:rPr>
        <w:t>Day</w:t>
      </w:r>
      <w:r>
        <w:rPr>
          <w:rFonts w:ascii="Segoe UI"/>
          <w:spacing w:val="-4"/>
        </w:rPr>
        <w:t> </w:t>
      </w:r>
      <w:r>
        <w:rPr>
          <w:rFonts w:ascii="Segoe UI"/>
        </w:rPr>
        <w:t>to</w:t>
      </w:r>
      <w:r>
        <w:rPr>
          <w:rFonts w:ascii="Segoe UI"/>
          <w:spacing w:val="-4"/>
        </w:rPr>
        <w:t> </w:t>
      </w:r>
      <w:r>
        <w:rPr>
          <w:rFonts w:ascii="Segoe UI"/>
        </w:rPr>
        <w:t>day</w:t>
      </w:r>
      <w:r>
        <w:rPr>
          <w:rFonts w:ascii="Segoe UI"/>
          <w:spacing w:val="-4"/>
        </w:rPr>
        <w:t> </w:t>
      </w:r>
      <w:r>
        <w:rPr>
          <w:rFonts w:ascii="Segoe UI"/>
        </w:rPr>
        <w:t>management</w:t>
      </w:r>
      <w:r>
        <w:rPr>
          <w:rFonts w:ascii="Segoe UI"/>
          <w:spacing w:val="-5"/>
        </w:rPr>
        <w:t> </w:t>
      </w:r>
      <w:r>
        <w:rPr>
          <w:rFonts w:ascii="Segoe UI"/>
        </w:rPr>
        <w:t>of</w:t>
      </w:r>
      <w:r>
        <w:rPr>
          <w:rFonts w:ascii="Segoe UI"/>
          <w:spacing w:val="-4"/>
        </w:rPr>
        <w:t> </w:t>
      </w:r>
      <w:r>
        <w:rPr>
          <w:rFonts w:ascii="Segoe UI"/>
        </w:rPr>
        <w:t>delivery,</w:t>
      </w:r>
      <w:r>
        <w:rPr>
          <w:rFonts w:ascii="Segoe UI"/>
          <w:spacing w:val="-5"/>
        </w:rPr>
        <w:t> </w:t>
      </w:r>
      <w:r>
        <w:rPr>
          <w:rFonts w:ascii="Segoe UI"/>
        </w:rPr>
        <w:t>issues,</w:t>
      </w:r>
      <w:r>
        <w:rPr>
          <w:rFonts w:ascii="Segoe UI"/>
          <w:spacing w:val="-5"/>
        </w:rPr>
        <w:t> </w:t>
      </w:r>
      <w:r>
        <w:rPr>
          <w:rFonts w:ascii="Segoe UI"/>
        </w:rPr>
        <w:t>performance and</w:t>
      </w:r>
      <w:r>
        <w:rPr>
          <w:rFonts w:ascii="Segoe UI"/>
          <w:spacing w:val="-5"/>
        </w:rPr>
        <w:t> </w:t>
      </w:r>
      <w:r>
        <w:rPr>
          <w:rFonts w:ascii="Segoe UI"/>
        </w:rPr>
        <w:t>risk.</w:t>
      </w:r>
      <w:r>
        <w:rPr>
          <w:rFonts w:ascii="Segoe UI"/>
          <w:spacing w:val="40"/>
        </w:rPr>
        <w:t> </w:t>
      </w:r>
      <w:r>
        <w:rPr>
          <w:rFonts w:ascii="Segoe UI"/>
        </w:rPr>
        <w:t>Developing and delivering </w:t>
      </w:r>
      <w:r>
        <w:rPr>
          <w:rFonts w:ascii="Segoe UI"/>
          <w:spacing w:val="-2"/>
        </w:rPr>
        <w:t>plans.</w:t>
      </w: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spacing w:before="39"/>
        <w:rPr>
          <w:rFonts w:ascii="Segoe U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30" name="Image 230"/>
            <wp:cNvGraphicFramePr>
              <a:graphicFrameLocks/>
            </wp:cNvGraphicFramePr>
            <a:graphic>
              <a:graphicData uri="http://schemas.openxmlformats.org/drawingml/2006/picture">
                <pic:pic>
                  <pic:nvPicPr>
                    <pic:cNvPr id="230" name="Image 230"/>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31" name="Image 231"/>
            <wp:cNvGraphicFramePr>
              <a:graphicFrameLocks/>
            </wp:cNvGraphicFramePr>
            <a:graphic>
              <a:graphicData uri="http://schemas.openxmlformats.org/drawingml/2006/picture">
                <pic:pic>
                  <pic:nvPicPr>
                    <pic:cNvPr id="231" name="Image 231"/>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59"/>
        <w:rPr>
          <w:rFonts w:ascii="Calibri"/>
        </w:rPr>
      </w:pPr>
    </w:p>
    <w:p>
      <w:pPr>
        <w:pStyle w:val="BodyText"/>
        <w:ind w:left="1009"/>
        <w:rPr>
          <w:rFonts w:ascii="Segoe UI"/>
        </w:rPr>
      </w:pPr>
      <w:r>
        <w:rPr>
          <w:rFonts w:ascii="Segoe UI"/>
        </w:rPr>
        <w:t>The</w:t>
      </w:r>
      <w:r>
        <w:rPr>
          <w:rFonts w:ascii="Segoe UI"/>
          <w:spacing w:val="-7"/>
        </w:rPr>
        <w:t> </w:t>
      </w:r>
      <w:r>
        <w:rPr>
          <w:rFonts w:ascii="Segoe UI"/>
        </w:rPr>
        <w:t>Orthopaedic</w:t>
      </w:r>
      <w:r>
        <w:rPr>
          <w:rFonts w:ascii="Segoe UI"/>
          <w:spacing w:val="-4"/>
        </w:rPr>
        <w:t> </w:t>
      </w:r>
      <w:r>
        <w:rPr>
          <w:rFonts w:ascii="Segoe UI"/>
        </w:rPr>
        <w:t>delivery</w:t>
      </w:r>
      <w:r>
        <w:rPr>
          <w:rFonts w:ascii="Segoe UI"/>
          <w:spacing w:val="-4"/>
        </w:rPr>
        <w:t> </w:t>
      </w:r>
      <w:r>
        <w:rPr>
          <w:rFonts w:ascii="Segoe UI"/>
        </w:rPr>
        <w:t>group can</w:t>
      </w:r>
      <w:r>
        <w:rPr>
          <w:rFonts w:ascii="Segoe UI"/>
          <w:spacing w:val="-4"/>
        </w:rPr>
        <w:t> </w:t>
      </w:r>
      <w:r>
        <w:rPr>
          <w:rFonts w:ascii="Segoe UI"/>
        </w:rPr>
        <w:t>establish</w:t>
      </w:r>
      <w:r>
        <w:rPr>
          <w:rFonts w:ascii="Segoe UI"/>
          <w:spacing w:val="-4"/>
        </w:rPr>
        <w:t> </w:t>
      </w:r>
      <w:r>
        <w:rPr>
          <w:rFonts w:ascii="Segoe UI"/>
        </w:rPr>
        <w:t>specific</w:t>
      </w:r>
      <w:r>
        <w:rPr>
          <w:rFonts w:ascii="Segoe UI"/>
          <w:spacing w:val="-4"/>
        </w:rPr>
        <w:t> </w:t>
      </w:r>
      <w:r>
        <w:rPr>
          <w:rFonts w:ascii="Segoe UI"/>
          <w:spacing w:val="-2"/>
        </w:rPr>
        <w:t>deliverables</w:t>
      </w:r>
    </w:p>
    <w:p>
      <w:pPr>
        <w:pStyle w:val="BodyText"/>
        <w:spacing w:before="162"/>
        <w:rPr>
          <w:rFonts w:ascii="Segoe UI"/>
        </w:rPr>
      </w:pPr>
    </w:p>
    <w:p>
      <w:pPr>
        <w:pStyle w:val="Heading3"/>
        <w:numPr>
          <w:ilvl w:val="2"/>
          <w:numId w:val="10"/>
        </w:numPr>
        <w:tabs>
          <w:tab w:pos="1009" w:val="left" w:leader="none"/>
        </w:tabs>
        <w:spacing w:line="240" w:lineRule="auto" w:before="1" w:after="0"/>
        <w:ind w:left="1009" w:right="0" w:hanging="565"/>
        <w:jc w:val="left"/>
      </w:pPr>
      <w:r>
        <w:rPr>
          <w:color w:val="1F4E79"/>
        </w:rPr>
        <w:t>Roles</w:t>
      </w:r>
      <w:r>
        <w:rPr>
          <w:color w:val="1F4E79"/>
          <w:spacing w:val="-2"/>
        </w:rPr>
        <w:t> </w:t>
      </w:r>
      <w:r>
        <w:rPr>
          <w:color w:val="1F4E79"/>
        </w:rPr>
        <w:t>and </w:t>
      </w:r>
      <w:r>
        <w:rPr>
          <w:color w:val="1F4E79"/>
          <w:spacing w:val="-2"/>
        </w:rPr>
        <w:t>Responsibilities</w:t>
      </w:r>
    </w:p>
    <w:p>
      <w:pPr>
        <w:pStyle w:val="BodyText"/>
        <w:spacing w:before="220"/>
        <w:ind w:left="1009"/>
        <w:rPr>
          <w:rFonts w:ascii="Segoe UI"/>
        </w:rPr>
      </w:pPr>
      <w:r>
        <w:rPr>
          <w:rFonts w:ascii="Segoe UI"/>
        </w:rPr>
        <w:t>Roles</w:t>
      </w:r>
      <w:r>
        <w:rPr>
          <w:rFonts w:ascii="Segoe UI"/>
          <w:spacing w:val="-6"/>
        </w:rPr>
        <w:t> </w:t>
      </w:r>
      <w:r>
        <w:rPr>
          <w:rFonts w:ascii="Segoe UI"/>
        </w:rPr>
        <w:t>and</w:t>
      </w:r>
      <w:r>
        <w:rPr>
          <w:rFonts w:ascii="Segoe UI"/>
          <w:spacing w:val="-5"/>
        </w:rPr>
        <w:t> </w:t>
      </w:r>
      <w:r>
        <w:rPr>
          <w:rFonts w:ascii="Segoe UI"/>
        </w:rPr>
        <w:t>responsibilities</w:t>
      </w:r>
      <w:r>
        <w:rPr>
          <w:rFonts w:ascii="Segoe UI"/>
          <w:spacing w:val="-6"/>
        </w:rPr>
        <w:t> </w:t>
      </w:r>
      <w:r>
        <w:rPr>
          <w:rFonts w:ascii="Segoe UI"/>
        </w:rPr>
        <w:t>are</w:t>
      </w:r>
      <w:r>
        <w:rPr>
          <w:rFonts w:ascii="Segoe UI"/>
          <w:spacing w:val="-3"/>
        </w:rPr>
        <w:t> </w:t>
      </w:r>
      <w:r>
        <w:rPr>
          <w:rFonts w:ascii="Segoe UI"/>
        </w:rPr>
        <w:t>detailed</w:t>
      </w:r>
      <w:r>
        <w:rPr>
          <w:rFonts w:ascii="Segoe UI"/>
          <w:spacing w:val="-5"/>
        </w:rPr>
        <w:t> </w:t>
      </w:r>
      <w:r>
        <w:rPr>
          <w:rFonts w:ascii="Segoe UI"/>
        </w:rPr>
        <w:t>at</w:t>
      </w:r>
      <w:r>
        <w:rPr>
          <w:rFonts w:ascii="Segoe UI"/>
          <w:spacing w:val="-5"/>
        </w:rPr>
        <w:t> </w:t>
      </w:r>
      <w:r>
        <w:rPr>
          <w:rFonts w:ascii="Segoe UI"/>
        </w:rPr>
        <w:t>Appendix</w:t>
      </w:r>
      <w:r>
        <w:rPr>
          <w:rFonts w:ascii="Segoe UI"/>
          <w:spacing w:val="-2"/>
        </w:rPr>
        <w:t> </w:t>
      </w:r>
      <w:r>
        <w:rPr>
          <w:rFonts w:ascii="Segoe UI"/>
          <w:spacing w:val="-5"/>
        </w:rPr>
        <w:t>1.</w:t>
      </w:r>
    </w:p>
    <w:p>
      <w:pPr>
        <w:pStyle w:val="BodyText"/>
        <w:spacing w:before="158"/>
        <w:rPr>
          <w:rFonts w:ascii="Segoe UI"/>
        </w:rPr>
      </w:pPr>
    </w:p>
    <w:p>
      <w:pPr>
        <w:pStyle w:val="Heading3"/>
        <w:numPr>
          <w:ilvl w:val="2"/>
          <w:numId w:val="10"/>
        </w:numPr>
        <w:tabs>
          <w:tab w:pos="1007" w:val="left" w:leader="none"/>
        </w:tabs>
        <w:spacing w:line="240" w:lineRule="auto" w:before="0" w:after="0"/>
        <w:ind w:left="1007" w:right="0" w:hanging="563"/>
        <w:jc w:val="left"/>
      </w:pPr>
      <w:r>
        <w:rPr>
          <w:color w:val="1F4E79"/>
          <w:spacing w:val="-2"/>
        </w:rPr>
        <w:t>Budget</w:t>
      </w:r>
    </w:p>
    <w:p>
      <w:pPr>
        <w:pStyle w:val="BodyText"/>
        <w:spacing w:before="220"/>
        <w:ind w:left="1009" w:right="890"/>
        <w:rPr>
          <w:rFonts w:ascii="Segoe UI"/>
        </w:rPr>
      </w:pPr>
      <w:r>
        <w:rPr>
          <w:rFonts w:ascii="Segoe UI"/>
        </w:rPr>
        <w:t>The Regional Orthopaedic Programme does not have an allocated budget. Any funding requirement</w:t>
      </w:r>
      <w:r>
        <w:rPr>
          <w:rFonts w:ascii="Segoe UI"/>
          <w:spacing w:val="-6"/>
        </w:rPr>
        <w:t> </w:t>
      </w:r>
      <w:r>
        <w:rPr>
          <w:rFonts w:ascii="Segoe UI"/>
        </w:rPr>
        <w:t>will</w:t>
      </w:r>
      <w:r>
        <w:rPr>
          <w:rFonts w:ascii="Segoe UI"/>
          <w:spacing w:val="-3"/>
        </w:rPr>
        <w:t> </w:t>
      </w:r>
      <w:r>
        <w:rPr>
          <w:rFonts w:ascii="Segoe UI"/>
        </w:rPr>
        <w:t>be</w:t>
      </w:r>
      <w:r>
        <w:rPr>
          <w:rFonts w:ascii="Segoe UI"/>
          <w:spacing w:val="-5"/>
        </w:rPr>
        <w:t> </w:t>
      </w:r>
      <w:r>
        <w:rPr>
          <w:rFonts w:ascii="Segoe UI"/>
        </w:rPr>
        <w:t>subject</w:t>
      </w:r>
      <w:r>
        <w:rPr>
          <w:rFonts w:ascii="Segoe UI"/>
          <w:spacing w:val="-6"/>
        </w:rPr>
        <w:t> </w:t>
      </w:r>
      <w:r>
        <w:rPr>
          <w:rFonts w:ascii="Segoe UI"/>
        </w:rPr>
        <w:t>to separate</w:t>
      </w:r>
      <w:r>
        <w:rPr>
          <w:rFonts w:ascii="Segoe UI"/>
          <w:spacing w:val="-5"/>
        </w:rPr>
        <w:t> </w:t>
      </w:r>
      <w:r>
        <w:rPr>
          <w:rFonts w:ascii="Segoe UI"/>
        </w:rPr>
        <w:t>proposals.</w:t>
      </w:r>
      <w:r>
        <w:rPr>
          <w:rFonts w:ascii="Segoe UI"/>
          <w:spacing w:val="40"/>
        </w:rPr>
        <w:t> </w:t>
      </w:r>
      <w:r>
        <w:rPr>
          <w:rFonts w:ascii="Segoe UI"/>
        </w:rPr>
        <w:t>At</w:t>
      </w:r>
      <w:r>
        <w:rPr>
          <w:rFonts w:ascii="Segoe UI"/>
          <w:spacing w:val="-5"/>
        </w:rPr>
        <w:t> </w:t>
      </w:r>
      <w:r>
        <w:rPr>
          <w:rFonts w:ascii="Segoe UI"/>
        </w:rPr>
        <w:t>present,</w:t>
      </w:r>
      <w:r>
        <w:rPr>
          <w:rFonts w:ascii="Segoe UI"/>
          <w:spacing w:val="-2"/>
        </w:rPr>
        <w:t> </w:t>
      </w:r>
      <w:r>
        <w:rPr>
          <w:rFonts w:ascii="Segoe UI"/>
        </w:rPr>
        <w:t>programme</w:t>
      </w:r>
      <w:r>
        <w:rPr>
          <w:rFonts w:ascii="Segoe UI"/>
          <w:spacing w:val="-5"/>
        </w:rPr>
        <w:t> </w:t>
      </w:r>
      <w:r>
        <w:rPr>
          <w:rFonts w:ascii="Segoe UI"/>
        </w:rPr>
        <w:t>activities</w:t>
      </w:r>
      <w:r>
        <w:rPr>
          <w:rFonts w:ascii="Segoe UI"/>
          <w:spacing w:val="-7"/>
        </w:rPr>
        <w:t> </w:t>
      </w:r>
      <w:r>
        <w:rPr>
          <w:rFonts w:ascii="Segoe UI"/>
        </w:rPr>
        <w:t>are</w:t>
      </w:r>
      <w:r>
        <w:rPr>
          <w:rFonts w:ascii="Segoe UI"/>
          <w:spacing w:val="-5"/>
        </w:rPr>
        <w:t> </w:t>
      </w:r>
      <w:r>
        <w:rPr>
          <w:rFonts w:ascii="Segoe UI"/>
        </w:rPr>
        <w:t>being supported through existing regional programme resources and Health Board contributions.</w:t>
      </w:r>
    </w:p>
    <w:p>
      <w:pPr>
        <w:pStyle w:val="BodyText"/>
        <w:spacing w:before="3"/>
        <w:ind w:left="1009"/>
        <w:rPr>
          <w:rFonts w:ascii="Segoe UI"/>
        </w:rPr>
      </w:pPr>
      <w:r>
        <w:rPr>
          <w:rFonts w:ascii="Segoe UI"/>
        </w:rPr>
        <w:t>Work</w:t>
      </w:r>
      <w:r>
        <w:rPr>
          <w:rFonts w:ascii="Segoe UI"/>
          <w:spacing w:val="-4"/>
        </w:rPr>
        <w:t> </w:t>
      </w:r>
      <w:r>
        <w:rPr>
          <w:rFonts w:ascii="Segoe UI"/>
        </w:rPr>
        <w:t>is</w:t>
      </w:r>
      <w:r>
        <w:rPr>
          <w:rFonts w:ascii="Segoe UI"/>
          <w:spacing w:val="-4"/>
        </w:rPr>
        <w:t> </w:t>
      </w:r>
      <w:r>
        <w:rPr>
          <w:rFonts w:ascii="Segoe UI"/>
        </w:rPr>
        <w:t>required</w:t>
      </w:r>
      <w:r>
        <w:rPr>
          <w:rFonts w:ascii="Segoe UI"/>
          <w:spacing w:val="-2"/>
        </w:rPr>
        <w:t> </w:t>
      </w:r>
      <w:r>
        <w:rPr>
          <w:rFonts w:ascii="Segoe UI"/>
        </w:rPr>
        <w:t>during</w:t>
      </w:r>
      <w:r>
        <w:rPr>
          <w:rFonts w:ascii="Segoe UI"/>
          <w:spacing w:val="-4"/>
        </w:rPr>
        <w:t> </w:t>
      </w:r>
      <w:r>
        <w:rPr>
          <w:rFonts w:ascii="Segoe UI"/>
        </w:rPr>
        <w:t>the</w:t>
      </w:r>
      <w:r>
        <w:rPr>
          <w:rFonts w:ascii="Segoe UI"/>
          <w:spacing w:val="-3"/>
        </w:rPr>
        <w:t> </w:t>
      </w:r>
      <w:r>
        <w:rPr>
          <w:rFonts w:ascii="Segoe UI"/>
        </w:rPr>
        <w:t>first</w:t>
      </w:r>
      <w:r>
        <w:rPr>
          <w:rFonts w:ascii="Segoe UI"/>
          <w:spacing w:val="-4"/>
        </w:rPr>
        <w:t> </w:t>
      </w:r>
      <w:r>
        <w:rPr>
          <w:rFonts w:ascii="Segoe UI"/>
        </w:rPr>
        <w:t>phase</w:t>
      </w:r>
      <w:r>
        <w:rPr>
          <w:rFonts w:ascii="Segoe UI"/>
          <w:spacing w:val="2"/>
        </w:rPr>
        <w:t> </w:t>
      </w:r>
      <w:r>
        <w:rPr>
          <w:rFonts w:ascii="Segoe UI"/>
        </w:rPr>
        <w:t>of</w:t>
      </w:r>
      <w:r>
        <w:rPr>
          <w:rFonts w:ascii="Segoe UI"/>
          <w:spacing w:val="-3"/>
        </w:rPr>
        <w:t> </w:t>
      </w:r>
      <w:r>
        <w:rPr>
          <w:rFonts w:ascii="Segoe UI"/>
        </w:rPr>
        <w:t>delivery</w:t>
      </w:r>
      <w:r>
        <w:rPr>
          <w:rFonts w:ascii="Segoe UI"/>
          <w:spacing w:val="-3"/>
        </w:rPr>
        <w:t> </w:t>
      </w:r>
      <w:r>
        <w:rPr>
          <w:rFonts w:ascii="Segoe UI"/>
          <w:spacing w:val="-5"/>
        </w:rPr>
        <w:t>to:</w:t>
      </w:r>
    </w:p>
    <w:p>
      <w:pPr>
        <w:pStyle w:val="BodyText"/>
        <w:tabs>
          <w:tab w:pos="1729" w:val="left" w:leader="none"/>
        </w:tabs>
        <w:spacing w:line="322" w:lineRule="exact" w:before="276"/>
        <w:ind w:left="1369"/>
        <w:rPr>
          <w:rFonts w:ascii="Segoe UI" w:hAnsi="Segoe UI"/>
        </w:rPr>
      </w:pPr>
      <w:r>
        <w:rPr>
          <w:rFonts w:ascii="Calibri" w:hAnsi="Calibri"/>
          <w:spacing w:val="-10"/>
        </w:rPr>
        <w:t>−</w:t>
      </w:r>
      <w:r>
        <w:rPr>
          <w:rFonts w:ascii="Calibri" w:hAnsi="Calibri"/>
        </w:rPr>
        <w:tab/>
      </w:r>
      <w:r>
        <w:rPr>
          <w:rFonts w:ascii="Segoe UI" w:hAnsi="Segoe UI"/>
        </w:rPr>
        <w:t>Define</w:t>
      </w:r>
      <w:r>
        <w:rPr>
          <w:rFonts w:ascii="Segoe UI" w:hAnsi="Segoe UI"/>
          <w:spacing w:val="-6"/>
        </w:rPr>
        <w:t> </w:t>
      </w:r>
      <w:r>
        <w:rPr>
          <w:rFonts w:ascii="Segoe UI" w:hAnsi="Segoe UI"/>
        </w:rPr>
        <w:t>regional</w:t>
      </w:r>
      <w:r>
        <w:rPr>
          <w:rFonts w:ascii="Segoe UI" w:hAnsi="Segoe UI"/>
          <w:spacing w:val="-4"/>
        </w:rPr>
        <w:t> </w:t>
      </w:r>
      <w:r>
        <w:rPr>
          <w:rFonts w:ascii="Segoe UI" w:hAnsi="Segoe UI"/>
        </w:rPr>
        <w:t>funding</w:t>
      </w:r>
      <w:r>
        <w:rPr>
          <w:rFonts w:ascii="Segoe UI" w:hAnsi="Segoe UI"/>
          <w:spacing w:val="-6"/>
        </w:rPr>
        <w:t> </w:t>
      </w:r>
      <w:r>
        <w:rPr>
          <w:rFonts w:ascii="Segoe UI" w:hAnsi="Segoe UI"/>
          <w:spacing w:val="-2"/>
        </w:rPr>
        <w:t>requirements.</w:t>
      </w:r>
    </w:p>
    <w:p>
      <w:pPr>
        <w:pStyle w:val="BodyText"/>
        <w:tabs>
          <w:tab w:pos="1729" w:val="left" w:leader="none"/>
        </w:tabs>
        <w:spacing w:line="320" w:lineRule="exact"/>
        <w:ind w:left="1369"/>
        <w:rPr>
          <w:rFonts w:ascii="Segoe UI" w:hAnsi="Segoe UI"/>
        </w:rPr>
      </w:pPr>
      <w:r>
        <w:rPr>
          <w:rFonts w:ascii="Calibri" w:hAnsi="Calibri"/>
          <w:spacing w:val="-10"/>
        </w:rPr>
        <w:t>−</w:t>
      </w:r>
      <w:r>
        <w:rPr>
          <w:rFonts w:ascii="Calibri" w:hAnsi="Calibri"/>
        </w:rPr>
        <w:tab/>
      </w:r>
      <w:r>
        <w:rPr>
          <w:rFonts w:ascii="Segoe UI" w:hAnsi="Segoe UI"/>
        </w:rPr>
        <w:t>Explore</w:t>
      </w:r>
      <w:r>
        <w:rPr>
          <w:rFonts w:ascii="Segoe UI" w:hAnsi="Segoe UI"/>
          <w:spacing w:val="-8"/>
        </w:rPr>
        <w:t> </w:t>
      </w:r>
      <w:r>
        <w:rPr>
          <w:rFonts w:ascii="Segoe UI" w:hAnsi="Segoe UI"/>
        </w:rPr>
        <w:t>Regional</w:t>
      </w:r>
      <w:r>
        <w:rPr>
          <w:rFonts w:ascii="Segoe UI" w:hAnsi="Segoe UI"/>
          <w:spacing w:val="-3"/>
        </w:rPr>
        <w:t> </w:t>
      </w:r>
      <w:r>
        <w:rPr>
          <w:rFonts w:ascii="Segoe UI" w:hAnsi="Segoe UI"/>
        </w:rPr>
        <w:t>Surgical</w:t>
      </w:r>
      <w:r>
        <w:rPr>
          <w:rFonts w:ascii="Segoe UI" w:hAnsi="Segoe UI"/>
          <w:spacing w:val="-4"/>
        </w:rPr>
        <w:t> </w:t>
      </w:r>
      <w:r>
        <w:rPr>
          <w:rFonts w:ascii="Segoe UI" w:hAnsi="Segoe UI"/>
        </w:rPr>
        <w:t>Hub</w:t>
      </w:r>
      <w:r>
        <w:rPr>
          <w:rFonts w:ascii="Segoe UI" w:hAnsi="Segoe UI"/>
          <w:spacing w:val="-5"/>
        </w:rPr>
        <w:t> </w:t>
      </w:r>
      <w:r>
        <w:rPr>
          <w:rFonts w:ascii="Segoe UI" w:hAnsi="Segoe UI"/>
        </w:rPr>
        <w:t>funding</w:t>
      </w:r>
      <w:r>
        <w:rPr>
          <w:rFonts w:ascii="Segoe UI" w:hAnsi="Segoe UI"/>
          <w:spacing w:val="-1"/>
        </w:rPr>
        <w:t> </w:t>
      </w:r>
      <w:r>
        <w:rPr>
          <w:rFonts w:ascii="Segoe UI" w:hAnsi="Segoe UI"/>
          <w:spacing w:val="-2"/>
        </w:rPr>
        <w:t>opportunities.</w:t>
      </w:r>
    </w:p>
    <w:p>
      <w:pPr>
        <w:pStyle w:val="BodyText"/>
        <w:tabs>
          <w:tab w:pos="1729" w:val="left" w:leader="none"/>
        </w:tabs>
        <w:spacing w:line="320" w:lineRule="exact"/>
        <w:ind w:left="1369"/>
        <w:rPr>
          <w:rFonts w:ascii="Segoe UI" w:hAnsi="Segoe UI"/>
        </w:rPr>
      </w:pPr>
      <w:r>
        <w:rPr>
          <w:rFonts w:ascii="Calibri" w:hAnsi="Calibri"/>
          <w:spacing w:val="-10"/>
        </w:rPr>
        <w:t>−</w:t>
      </w:r>
      <w:r>
        <w:rPr>
          <w:rFonts w:ascii="Calibri" w:hAnsi="Calibri"/>
        </w:rPr>
        <w:tab/>
      </w:r>
      <w:r>
        <w:rPr>
          <w:rFonts w:ascii="Segoe UI" w:hAnsi="Segoe UI"/>
        </w:rPr>
        <w:t>Establish</w:t>
      </w:r>
      <w:r>
        <w:rPr>
          <w:rFonts w:ascii="Segoe UI" w:hAnsi="Segoe UI"/>
          <w:spacing w:val="-5"/>
        </w:rPr>
        <w:t> </w:t>
      </w:r>
      <w:r>
        <w:rPr>
          <w:rFonts w:ascii="Segoe UI" w:hAnsi="Segoe UI"/>
        </w:rPr>
        <w:t>future</w:t>
      </w:r>
      <w:r>
        <w:rPr>
          <w:rFonts w:ascii="Segoe UI" w:hAnsi="Segoe UI"/>
          <w:spacing w:val="-4"/>
        </w:rPr>
        <w:t> </w:t>
      </w:r>
      <w:r>
        <w:rPr>
          <w:rFonts w:ascii="Segoe UI" w:hAnsi="Segoe UI"/>
        </w:rPr>
        <w:t>pooled</w:t>
      </w:r>
      <w:r>
        <w:rPr>
          <w:rFonts w:ascii="Segoe UI" w:hAnsi="Segoe UI"/>
          <w:spacing w:val="-6"/>
        </w:rPr>
        <w:t> </w:t>
      </w:r>
      <w:r>
        <w:rPr>
          <w:rFonts w:ascii="Segoe UI" w:hAnsi="Segoe UI"/>
        </w:rPr>
        <w:t>budget </w:t>
      </w:r>
      <w:r>
        <w:rPr>
          <w:rFonts w:ascii="Segoe UI" w:hAnsi="Segoe UI"/>
          <w:spacing w:val="-2"/>
        </w:rPr>
        <w:t>arrangements.</w:t>
      </w:r>
    </w:p>
    <w:p>
      <w:pPr>
        <w:pStyle w:val="BodyText"/>
        <w:tabs>
          <w:tab w:pos="1729" w:val="left" w:leader="none"/>
        </w:tabs>
        <w:spacing w:line="322" w:lineRule="exact"/>
        <w:ind w:left="1369"/>
        <w:rPr>
          <w:rFonts w:ascii="Segoe UI" w:hAnsi="Segoe UI"/>
        </w:rPr>
      </w:pPr>
      <w:r>
        <w:rPr>
          <w:rFonts w:ascii="Calibri" w:hAnsi="Calibri"/>
          <w:spacing w:val="-10"/>
        </w:rPr>
        <w:t>−</w:t>
      </w:r>
      <w:r>
        <w:rPr>
          <w:rFonts w:ascii="Calibri" w:hAnsi="Calibri"/>
        </w:rPr>
        <w:tab/>
      </w:r>
      <w:r>
        <w:rPr>
          <w:rFonts w:ascii="Segoe UI" w:hAnsi="Segoe UI"/>
        </w:rPr>
        <w:t>Develop</w:t>
      </w:r>
      <w:r>
        <w:rPr>
          <w:rFonts w:ascii="Segoe UI" w:hAnsi="Segoe UI"/>
          <w:spacing w:val="-6"/>
        </w:rPr>
        <w:t> </w:t>
      </w:r>
      <w:r>
        <w:rPr>
          <w:rFonts w:ascii="Segoe UI" w:hAnsi="Segoe UI"/>
        </w:rPr>
        <w:t>a</w:t>
      </w:r>
      <w:r>
        <w:rPr>
          <w:rFonts w:ascii="Segoe UI" w:hAnsi="Segoe UI"/>
          <w:spacing w:val="-6"/>
        </w:rPr>
        <w:t> </w:t>
      </w:r>
      <w:r>
        <w:rPr>
          <w:rFonts w:ascii="Segoe UI" w:hAnsi="Segoe UI"/>
        </w:rPr>
        <w:t>regional</w:t>
      </w:r>
      <w:r>
        <w:rPr>
          <w:rFonts w:ascii="Segoe UI" w:hAnsi="Segoe UI"/>
          <w:spacing w:val="-3"/>
        </w:rPr>
        <w:t> </w:t>
      </w:r>
      <w:r>
        <w:rPr>
          <w:rFonts w:ascii="Segoe UI" w:hAnsi="Segoe UI"/>
        </w:rPr>
        <w:t>financial</w:t>
      </w:r>
      <w:r>
        <w:rPr>
          <w:rFonts w:ascii="Segoe UI" w:hAnsi="Segoe UI"/>
          <w:spacing w:val="-3"/>
        </w:rPr>
        <w:t> </w:t>
      </w:r>
      <w:r>
        <w:rPr>
          <w:rFonts w:ascii="Segoe UI" w:hAnsi="Segoe UI"/>
          <w:spacing w:val="-2"/>
        </w:rPr>
        <w:t>framework.</w:t>
      </w:r>
    </w:p>
    <w:p>
      <w:pPr>
        <w:pStyle w:val="BodyText"/>
        <w:spacing w:before="157"/>
        <w:rPr>
          <w:rFonts w:ascii="Segoe UI"/>
        </w:rPr>
      </w:pPr>
    </w:p>
    <w:p>
      <w:pPr>
        <w:pStyle w:val="Heading3"/>
        <w:numPr>
          <w:ilvl w:val="2"/>
          <w:numId w:val="10"/>
        </w:numPr>
        <w:tabs>
          <w:tab w:pos="1007" w:val="left" w:leader="none"/>
        </w:tabs>
        <w:spacing w:line="240" w:lineRule="auto" w:before="1" w:after="0"/>
        <w:ind w:left="1007" w:right="0" w:hanging="563"/>
        <w:jc w:val="left"/>
      </w:pPr>
      <w:r>
        <w:rPr>
          <w:color w:val="1F4E79"/>
          <w:spacing w:val="-2"/>
        </w:rPr>
        <w:t>Dependencies</w:t>
      </w:r>
    </w:p>
    <w:p>
      <w:pPr>
        <w:pStyle w:val="BodyText"/>
        <w:spacing w:before="6"/>
        <w:rPr>
          <w:rFonts w:ascii="Segoe UI"/>
          <w:b/>
          <w:sz w:val="13"/>
        </w:rPr>
      </w:pPr>
    </w:p>
    <w:tbl>
      <w:tblPr>
        <w:tblW w:w="0" w:type="auto"/>
        <w:jc w:val="left"/>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72"/>
        <w:gridCol w:w="6808"/>
        <w:gridCol w:w="1877"/>
      </w:tblGrid>
      <w:tr>
        <w:trPr>
          <w:trHeight w:val="490" w:hRule="atLeast"/>
        </w:trPr>
        <w:tc>
          <w:tcPr>
            <w:tcW w:w="2872" w:type="dxa"/>
            <w:shd w:val="clear" w:color="auto" w:fill="D9E1F3"/>
          </w:tcPr>
          <w:p>
            <w:pPr>
              <w:pStyle w:val="TableParagraph"/>
              <w:spacing w:before="96"/>
              <w:ind w:left="120"/>
              <w:rPr>
                <w:rFonts w:ascii="Calibri"/>
                <w:b/>
                <w:sz w:val="24"/>
              </w:rPr>
            </w:pPr>
            <w:r>
              <w:rPr>
                <w:rFonts w:ascii="Calibri"/>
                <w:b/>
                <w:color w:val="1F4E79"/>
                <w:spacing w:val="-2"/>
                <w:sz w:val="24"/>
              </w:rPr>
              <w:t>Dependencies</w:t>
            </w:r>
          </w:p>
        </w:tc>
        <w:tc>
          <w:tcPr>
            <w:tcW w:w="6808" w:type="dxa"/>
            <w:shd w:val="clear" w:color="auto" w:fill="D9E1F3"/>
          </w:tcPr>
          <w:p>
            <w:pPr>
              <w:pStyle w:val="TableParagraph"/>
              <w:spacing w:before="96"/>
              <w:ind w:left="124"/>
              <w:rPr>
                <w:rFonts w:ascii="Calibri"/>
                <w:b/>
                <w:sz w:val="24"/>
              </w:rPr>
            </w:pPr>
            <w:r>
              <w:rPr>
                <w:rFonts w:ascii="Calibri"/>
                <w:b/>
                <w:color w:val="1F4E79"/>
                <w:sz w:val="24"/>
              </w:rPr>
              <w:t>Impact</w:t>
            </w:r>
            <w:r>
              <w:rPr>
                <w:rFonts w:ascii="Calibri"/>
                <w:b/>
                <w:color w:val="1F4E79"/>
                <w:spacing w:val="-1"/>
                <w:sz w:val="24"/>
              </w:rPr>
              <w:t> </w:t>
            </w:r>
            <w:r>
              <w:rPr>
                <w:rFonts w:ascii="Calibri"/>
                <w:b/>
                <w:color w:val="1F4E79"/>
                <w:sz w:val="24"/>
              </w:rPr>
              <w:t>/</w:t>
            </w:r>
            <w:r>
              <w:rPr>
                <w:rFonts w:ascii="Calibri"/>
                <w:b/>
                <w:color w:val="1F4E79"/>
                <w:spacing w:val="-2"/>
                <w:sz w:val="24"/>
              </w:rPr>
              <w:t> relevance</w:t>
            </w:r>
          </w:p>
        </w:tc>
        <w:tc>
          <w:tcPr>
            <w:tcW w:w="1877" w:type="dxa"/>
            <w:shd w:val="clear" w:color="auto" w:fill="D9E1F3"/>
          </w:tcPr>
          <w:p>
            <w:pPr>
              <w:pStyle w:val="TableParagraph"/>
              <w:spacing w:before="96"/>
              <w:ind w:left="124"/>
              <w:rPr>
                <w:rFonts w:ascii="Calibri"/>
                <w:b/>
                <w:sz w:val="24"/>
              </w:rPr>
            </w:pPr>
            <w:r>
              <w:rPr>
                <w:rFonts w:ascii="Calibri"/>
                <w:b/>
                <w:color w:val="1F4E79"/>
                <w:spacing w:val="-2"/>
                <w:sz w:val="24"/>
              </w:rPr>
              <w:t>Owner</w:t>
            </w:r>
          </w:p>
        </w:tc>
      </w:tr>
      <w:tr>
        <w:trPr>
          <w:trHeight w:val="1080" w:hRule="atLeast"/>
        </w:trPr>
        <w:tc>
          <w:tcPr>
            <w:tcW w:w="2872" w:type="dxa"/>
          </w:tcPr>
          <w:p>
            <w:pPr>
              <w:pStyle w:val="TableParagraph"/>
              <w:spacing w:before="58"/>
              <w:ind w:left="120"/>
              <w:rPr>
                <w:rFonts w:ascii="Segoe UI"/>
                <w:sz w:val="21"/>
              </w:rPr>
            </w:pPr>
            <w:r>
              <w:rPr>
                <w:rFonts w:ascii="Segoe UI"/>
                <w:sz w:val="21"/>
              </w:rPr>
              <w:t>Finance</w:t>
            </w:r>
            <w:r>
              <w:rPr>
                <w:rFonts w:ascii="Segoe UI"/>
                <w:spacing w:val="-1"/>
                <w:sz w:val="21"/>
              </w:rPr>
              <w:t> </w:t>
            </w:r>
            <w:r>
              <w:rPr>
                <w:rFonts w:ascii="Segoe UI"/>
                <w:sz w:val="21"/>
              </w:rPr>
              <w:t>and </w:t>
            </w:r>
            <w:r>
              <w:rPr>
                <w:rFonts w:ascii="Segoe UI"/>
                <w:spacing w:val="-2"/>
                <w:sz w:val="21"/>
              </w:rPr>
              <w:t>contracting</w:t>
            </w:r>
          </w:p>
        </w:tc>
        <w:tc>
          <w:tcPr>
            <w:tcW w:w="6808" w:type="dxa"/>
          </w:tcPr>
          <w:p>
            <w:pPr>
              <w:pStyle w:val="TableParagraph"/>
              <w:spacing w:line="276" w:lineRule="auto" w:before="58"/>
              <w:ind w:left="124" w:right="143"/>
              <w:rPr>
                <w:rFonts w:ascii="Segoe UI"/>
                <w:sz w:val="21"/>
              </w:rPr>
            </w:pPr>
            <w:r>
              <w:rPr>
                <w:rFonts w:ascii="Segoe UI"/>
                <w:sz w:val="21"/>
              </w:rPr>
              <w:t>Resolving the ongoing financial and contracting challenges linked to the</w:t>
            </w:r>
            <w:r>
              <w:rPr>
                <w:rFonts w:ascii="Segoe UI"/>
                <w:spacing w:val="-3"/>
                <w:sz w:val="21"/>
              </w:rPr>
              <w:t> </w:t>
            </w:r>
            <w:r>
              <w:rPr>
                <w:rFonts w:ascii="Segoe UI"/>
                <w:sz w:val="21"/>
              </w:rPr>
              <w:t>additional</w:t>
            </w:r>
            <w:r>
              <w:rPr>
                <w:rFonts w:ascii="Segoe UI"/>
                <w:spacing w:val="-4"/>
                <w:sz w:val="21"/>
              </w:rPr>
              <w:t> </w:t>
            </w:r>
            <w:r>
              <w:rPr>
                <w:rFonts w:ascii="Segoe UI"/>
                <w:sz w:val="21"/>
              </w:rPr>
              <w:t>funding</w:t>
            </w:r>
            <w:r>
              <w:rPr>
                <w:rFonts w:ascii="Segoe UI"/>
                <w:spacing w:val="-2"/>
                <w:sz w:val="21"/>
              </w:rPr>
              <w:t> </w:t>
            </w:r>
            <w:r>
              <w:rPr>
                <w:rFonts w:ascii="Segoe UI"/>
                <w:sz w:val="21"/>
              </w:rPr>
              <w:t>credited</w:t>
            </w:r>
            <w:r>
              <w:rPr>
                <w:rFonts w:ascii="Segoe UI"/>
                <w:spacing w:val="-7"/>
                <w:sz w:val="21"/>
              </w:rPr>
              <w:t> </w:t>
            </w:r>
            <w:r>
              <w:rPr>
                <w:rFonts w:ascii="Segoe UI"/>
                <w:sz w:val="21"/>
              </w:rPr>
              <w:t>to</w:t>
            </w:r>
            <w:r>
              <w:rPr>
                <w:rFonts w:ascii="Segoe UI"/>
                <w:spacing w:val="-6"/>
                <w:sz w:val="21"/>
              </w:rPr>
              <w:t> </w:t>
            </w:r>
            <w:r>
              <w:rPr>
                <w:rFonts w:ascii="Segoe UI"/>
                <w:sz w:val="21"/>
              </w:rPr>
              <w:t>health</w:t>
            </w:r>
            <w:r>
              <w:rPr>
                <w:rFonts w:ascii="Segoe UI"/>
                <w:spacing w:val="-2"/>
                <w:sz w:val="21"/>
              </w:rPr>
              <w:t> </w:t>
            </w:r>
            <w:r>
              <w:rPr>
                <w:rFonts w:ascii="Segoe UI"/>
                <w:sz w:val="21"/>
              </w:rPr>
              <w:t>boards</w:t>
            </w:r>
            <w:r>
              <w:rPr>
                <w:rFonts w:ascii="Segoe UI"/>
                <w:spacing w:val="-2"/>
                <w:sz w:val="21"/>
              </w:rPr>
              <w:t> </w:t>
            </w:r>
            <w:r>
              <w:rPr>
                <w:rFonts w:ascii="Segoe UI"/>
                <w:sz w:val="21"/>
              </w:rPr>
              <w:t>in</w:t>
            </w:r>
            <w:r>
              <w:rPr>
                <w:rFonts w:ascii="Segoe UI"/>
                <w:spacing w:val="-7"/>
                <w:sz w:val="21"/>
              </w:rPr>
              <w:t> </w:t>
            </w:r>
            <w:r>
              <w:rPr>
                <w:rFonts w:ascii="Segoe UI"/>
                <w:sz w:val="21"/>
              </w:rPr>
              <w:t>2023</w:t>
            </w:r>
            <w:r>
              <w:rPr>
                <w:rFonts w:ascii="Segoe UI"/>
                <w:spacing w:val="-1"/>
                <w:sz w:val="21"/>
              </w:rPr>
              <w:t> </w:t>
            </w:r>
            <w:r>
              <w:rPr>
                <w:rFonts w:ascii="Segoe UI"/>
                <w:sz w:val="21"/>
              </w:rPr>
              <w:t>and</w:t>
            </w:r>
            <w:r>
              <w:rPr>
                <w:rFonts w:ascii="Segoe UI"/>
                <w:spacing w:val="-7"/>
                <w:sz w:val="21"/>
              </w:rPr>
              <w:t> </w:t>
            </w:r>
            <w:r>
              <w:rPr>
                <w:rFonts w:ascii="Segoe UI"/>
                <w:sz w:val="21"/>
              </w:rPr>
              <w:t>set</w:t>
            </w:r>
            <w:r>
              <w:rPr>
                <w:rFonts w:ascii="Segoe UI"/>
                <w:spacing w:val="-4"/>
                <w:sz w:val="21"/>
              </w:rPr>
              <w:t> </w:t>
            </w:r>
            <w:r>
              <w:rPr>
                <w:rFonts w:ascii="Segoe UI"/>
                <w:sz w:val="21"/>
              </w:rPr>
              <w:t>out</w:t>
            </w:r>
            <w:r>
              <w:rPr>
                <w:rFonts w:ascii="Segoe UI"/>
                <w:spacing w:val="-4"/>
                <w:sz w:val="21"/>
              </w:rPr>
              <w:t> </w:t>
            </w:r>
            <w:r>
              <w:rPr>
                <w:rFonts w:ascii="Segoe UI"/>
                <w:sz w:val="21"/>
              </w:rPr>
              <w:t>a regional approach to funding orthopaedics.</w:t>
            </w:r>
          </w:p>
        </w:tc>
        <w:tc>
          <w:tcPr>
            <w:tcW w:w="1877" w:type="dxa"/>
          </w:tcPr>
          <w:p>
            <w:pPr>
              <w:pStyle w:val="TableParagraph"/>
              <w:spacing w:line="276" w:lineRule="auto" w:before="58"/>
              <w:ind w:left="124" w:right="628"/>
              <w:jc w:val="both"/>
              <w:rPr>
                <w:rFonts w:ascii="Segoe UI"/>
                <w:sz w:val="21"/>
              </w:rPr>
            </w:pPr>
            <w:r>
              <w:rPr>
                <w:rFonts w:ascii="Segoe UI"/>
                <w:sz w:val="21"/>
              </w:rPr>
              <w:t>Finance</w:t>
            </w:r>
            <w:r>
              <w:rPr>
                <w:rFonts w:ascii="Segoe UI"/>
                <w:spacing w:val="-15"/>
                <w:sz w:val="21"/>
              </w:rPr>
              <w:t> </w:t>
            </w:r>
            <w:r>
              <w:rPr>
                <w:rFonts w:ascii="Segoe UI"/>
                <w:sz w:val="21"/>
              </w:rPr>
              <w:t>and </w:t>
            </w:r>
            <w:r>
              <w:rPr>
                <w:rFonts w:ascii="Segoe UI"/>
                <w:spacing w:val="-2"/>
                <w:sz w:val="21"/>
              </w:rPr>
              <w:t>Contracting Subgroup</w:t>
            </w:r>
          </w:p>
        </w:tc>
      </w:tr>
      <w:tr>
        <w:trPr>
          <w:trHeight w:val="755" w:hRule="atLeast"/>
        </w:trPr>
        <w:tc>
          <w:tcPr>
            <w:tcW w:w="2872" w:type="dxa"/>
          </w:tcPr>
          <w:p>
            <w:pPr>
              <w:pStyle w:val="TableParagraph"/>
              <w:spacing w:line="278" w:lineRule="auto" w:before="53"/>
              <w:ind w:left="120" w:right="135"/>
              <w:rPr>
                <w:rFonts w:ascii="Segoe UI"/>
                <w:sz w:val="21"/>
              </w:rPr>
            </w:pPr>
            <w:r>
              <w:rPr>
                <w:rFonts w:ascii="Segoe UI"/>
                <w:sz w:val="21"/>
              </w:rPr>
              <w:t>Digital solution development</w:t>
            </w:r>
            <w:r>
              <w:rPr>
                <w:rFonts w:ascii="Segoe UI"/>
                <w:spacing w:val="-15"/>
                <w:sz w:val="21"/>
              </w:rPr>
              <w:t> </w:t>
            </w:r>
            <w:r>
              <w:rPr>
                <w:rFonts w:ascii="Segoe UI"/>
                <w:sz w:val="21"/>
              </w:rPr>
              <w:t>and</w:t>
            </w:r>
            <w:r>
              <w:rPr>
                <w:rFonts w:ascii="Segoe UI"/>
                <w:spacing w:val="-14"/>
                <w:sz w:val="21"/>
              </w:rPr>
              <w:t> </w:t>
            </w:r>
            <w:r>
              <w:rPr>
                <w:rFonts w:ascii="Segoe UI"/>
                <w:sz w:val="21"/>
              </w:rPr>
              <w:t>delivery</w:t>
            </w:r>
          </w:p>
        </w:tc>
        <w:tc>
          <w:tcPr>
            <w:tcW w:w="6808" w:type="dxa"/>
          </w:tcPr>
          <w:p>
            <w:pPr>
              <w:pStyle w:val="TableParagraph"/>
              <w:spacing w:line="278" w:lineRule="auto" w:before="53"/>
              <w:ind w:left="124" w:right="143"/>
              <w:rPr>
                <w:rFonts w:ascii="Segoe UI"/>
                <w:sz w:val="21"/>
              </w:rPr>
            </w:pPr>
            <w:r>
              <w:rPr>
                <w:rFonts w:ascii="Segoe UI"/>
                <w:sz w:val="21"/>
              </w:rPr>
              <w:t>Regional</w:t>
            </w:r>
            <w:r>
              <w:rPr>
                <w:rFonts w:ascii="Segoe UI"/>
                <w:spacing w:val="-5"/>
                <w:sz w:val="21"/>
              </w:rPr>
              <w:t> </w:t>
            </w:r>
            <w:r>
              <w:rPr>
                <w:rFonts w:ascii="Segoe UI"/>
                <w:sz w:val="21"/>
              </w:rPr>
              <w:t>Orthopaedics</w:t>
            </w:r>
            <w:r>
              <w:rPr>
                <w:rFonts w:ascii="Segoe UI"/>
                <w:spacing w:val="-3"/>
                <w:sz w:val="21"/>
              </w:rPr>
              <w:t> </w:t>
            </w:r>
            <w:r>
              <w:rPr>
                <w:rFonts w:ascii="Segoe UI"/>
                <w:sz w:val="21"/>
              </w:rPr>
              <w:t>solution</w:t>
            </w:r>
            <w:r>
              <w:rPr>
                <w:rFonts w:ascii="Segoe UI"/>
                <w:spacing w:val="-8"/>
                <w:sz w:val="21"/>
              </w:rPr>
              <w:t> </w:t>
            </w:r>
            <w:r>
              <w:rPr>
                <w:rFonts w:ascii="Segoe UI"/>
                <w:sz w:val="21"/>
              </w:rPr>
              <w:t>delivery</w:t>
            </w:r>
            <w:r>
              <w:rPr>
                <w:rFonts w:ascii="Segoe UI"/>
                <w:spacing w:val="-6"/>
                <w:sz w:val="21"/>
              </w:rPr>
              <w:t> </w:t>
            </w:r>
            <w:r>
              <w:rPr>
                <w:rFonts w:ascii="Segoe UI"/>
                <w:sz w:val="21"/>
              </w:rPr>
              <w:t>will</w:t>
            </w:r>
            <w:r>
              <w:rPr>
                <w:rFonts w:ascii="Segoe UI"/>
                <w:spacing w:val="-5"/>
                <w:sz w:val="21"/>
              </w:rPr>
              <w:t> </w:t>
            </w:r>
            <w:r>
              <w:rPr>
                <w:rFonts w:ascii="Segoe UI"/>
                <w:sz w:val="21"/>
              </w:rPr>
              <w:t>be</w:t>
            </w:r>
            <w:r>
              <w:rPr>
                <w:rFonts w:ascii="Segoe UI"/>
                <w:spacing w:val="-9"/>
                <w:sz w:val="21"/>
              </w:rPr>
              <w:t> </w:t>
            </w:r>
            <w:r>
              <w:rPr>
                <w:rFonts w:ascii="Segoe UI"/>
                <w:sz w:val="21"/>
              </w:rPr>
              <w:t>dependent</w:t>
            </w:r>
            <w:r>
              <w:rPr>
                <w:rFonts w:ascii="Segoe UI"/>
                <w:spacing w:val="-5"/>
                <w:sz w:val="21"/>
              </w:rPr>
              <w:t> </w:t>
            </w:r>
            <w:r>
              <w:rPr>
                <w:rFonts w:ascii="Segoe UI"/>
                <w:sz w:val="21"/>
              </w:rPr>
              <w:t>on delivering regional solutions</w:t>
            </w:r>
          </w:p>
        </w:tc>
        <w:tc>
          <w:tcPr>
            <w:tcW w:w="1877" w:type="dxa"/>
          </w:tcPr>
          <w:p>
            <w:pPr>
              <w:pStyle w:val="TableParagraph"/>
              <w:spacing w:line="278" w:lineRule="auto" w:before="53"/>
              <w:ind w:left="124"/>
              <w:rPr>
                <w:rFonts w:ascii="Segoe UI"/>
                <w:sz w:val="21"/>
              </w:rPr>
            </w:pPr>
            <w:r>
              <w:rPr>
                <w:rFonts w:ascii="Segoe UI"/>
                <w:sz w:val="21"/>
              </w:rPr>
              <w:t>Data</w:t>
            </w:r>
            <w:r>
              <w:rPr>
                <w:rFonts w:ascii="Segoe UI"/>
                <w:spacing w:val="-15"/>
                <w:sz w:val="21"/>
              </w:rPr>
              <w:t> </w:t>
            </w:r>
            <w:r>
              <w:rPr>
                <w:rFonts w:ascii="Segoe UI"/>
                <w:sz w:val="21"/>
              </w:rPr>
              <w:t>and</w:t>
            </w:r>
            <w:r>
              <w:rPr>
                <w:rFonts w:ascii="Segoe UI"/>
                <w:spacing w:val="-14"/>
                <w:sz w:val="21"/>
              </w:rPr>
              <w:t> </w:t>
            </w:r>
            <w:r>
              <w:rPr>
                <w:rFonts w:ascii="Segoe UI"/>
                <w:sz w:val="21"/>
              </w:rPr>
              <w:t>Digital </w:t>
            </w:r>
            <w:r>
              <w:rPr>
                <w:rFonts w:ascii="Segoe UI"/>
                <w:spacing w:val="-2"/>
                <w:sz w:val="21"/>
              </w:rPr>
              <w:t>Subgroup</w:t>
            </w:r>
          </w:p>
        </w:tc>
      </w:tr>
    </w:tbl>
    <w:p>
      <w:pPr>
        <w:pStyle w:val="BodyText"/>
        <w:spacing w:before="83"/>
        <w:rPr>
          <w:rFonts w:ascii="Segoe UI"/>
          <w:b/>
          <w:sz w:val="30"/>
        </w:rPr>
      </w:pPr>
    </w:p>
    <w:p>
      <w:pPr>
        <w:pStyle w:val="Heading3"/>
        <w:numPr>
          <w:ilvl w:val="2"/>
          <w:numId w:val="10"/>
        </w:numPr>
        <w:tabs>
          <w:tab w:pos="1007" w:val="left" w:leader="none"/>
        </w:tabs>
        <w:spacing w:line="240" w:lineRule="auto" w:before="0" w:after="0"/>
        <w:ind w:left="1007" w:right="0" w:hanging="563"/>
        <w:jc w:val="left"/>
      </w:pPr>
      <w:r>
        <w:rPr>
          <w:color w:val="1F4E79"/>
        </w:rPr>
        <w:t>Risks</w:t>
      </w:r>
      <w:r>
        <w:rPr>
          <w:color w:val="1F4E79"/>
          <w:spacing w:val="-4"/>
        </w:rPr>
        <w:t> </w:t>
      </w:r>
      <w:r>
        <w:rPr>
          <w:color w:val="1F4E79"/>
        </w:rPr>
        <w:t>and</w:t>
      </w:r>
      <w:r>
        <w:rPr>
          <w:color w:val="1F4E79"/>
          <w:spacing w:val="-2"/>
        </w:rPr>
        <w:t> Mitigations</w:t>
      </w:r>
    </w:p>
    <w:p>
      <w:pPr>
        <w:pStyle w:val="BodyText"/>
        <w:spacing w:before="221"/>
        <w:ind w:left="1009" w:right="1086"/>
        <w:rPr>
          <w:rFonts w:ascii="Segoe UI"/>
        </w:rPr>
      </w:pPr>
      <w:r>
        <w:rPr>
          <w:rFonts w:ascii="Segoe UI"/>
        </w:rPr>
        <w:t>Whilst</w:t>
      </w:r>
      <w:r>
        <w:rPr>
          <w:rFonts w:ascii="Segoe UI"/>
          <w:spacing w:val="-6"/>
        </w:rPr>
        <w:t> </w:t>
      </w:r>
      <w:r>
        <w:rPr>
          <w:rFonts w:ascii="Segoe UI"/>
        </w:rPr>
        <w:t>considerable</w:t>
      </w:r>
      <w:r>
        <w:rPr>
          <w:rFonts w:ascii="Segoe UI"/>
          <w:spacing w:val="-5"/>
        </w:rPr>
        <w:t> </w:t>
      </w:r>
      <w:r>
        <w:rPr>
          <w:rFonts w:ascii="Segoe UI"/>
        </w:rPr>
        <w:t>progress</w:t>
      </w:r>
      <w:r>
        <w:rPr>
          <w:rFonts w:ascii="Segoe UI"/>
          <w:spacing w:val="-6"/>
        </w:rPr>
        <w:t> </w:t>
      </w:r>
      <w:r>
        <w:rPr>
          <w:rFonts w:ascii="Segoe UI"/>
        </w:rPr>
        <w:t>has</w:t>
      </w:r>
      <w:r>
        <w:rPr>
          <w:rFonts w:ascii="Segoe UI"/>
          <w:spacing w:val="-6"/>
        </w:rPr>
        <w:t> </w:t>
      </w:r>
      <w:r>
        <w:rPr>
          <w:rFonts w:ascii="Segoe UI"/>
        </w:rPr>
        <w:t>been</w:t>
      </w:r>
      <w:r>
        <w:rPr>
          <w:rFonts w:ascii="Segoe UI"/>
          <w:spacing w:val="-6"/>
        </w:rPr>
        <w:t> </w:t>
      </w:r>
      <w:r>
        <w:rPr>
          <w:rFonts w:ascii="Segoe UI"/>
        </w:rPr>
        <w:t>achieved,</w:t>
      </w:r>
      <w:r>
        <w:rPr>
          <w:rFonts w:ascii="Segoe UI"/>
          <w:spacing w:val="-6"/>
        </w:rPr>
        <w:t> </w:t>
      </w:r>
      <w:r>
        <w:rPr>
          <w:rFonts w:ascii="Segoe UI"/>
        </w:rPr>
        <w:t>barriers</w:t>
      </w:r>
      <w:r>
        <w:rPr>
          <w:rFonts w:ascii="Segoe UI"/>
          <w:spacing w:val="-6"/>
        </w:rPr>
        <w:t> </w:t>
      </w:r>
      <w:r>
        <w:rPr>
          <w:rFonts w:ascii="Segoe UI"/>
        </w:rPr>
        <w:t>to</w:t>
      </w:r>
      <w:r>
        <w:rPr>
          <w:rFonts w:ascii="Segoe UI"/>
          <w:spacing w:val="-5"/>
        </w:rPr>
        <w:t> </w:t>
      </w:r>
      <w:r>
        <w:rPr>
          <w:rFonts w:ascii="Segoe UI"/>
        </w:rPr>
        <w:t>wider</w:t>
      </w:r>
      <w:r>
        <w:rPr>
          <w:rFonts w:ascii="Segoe UI"/>
          <w:spacing w:val="-3"/>
        </w:rPr>
        <w:t> </w:t>
      </w:r>
      <w:r>
        <w:rPr>
          <w:rFonts w:ascii="Segoe UI"/>
        </w:rPr>
        <w:t>transformation</w:t>
      </w:r>
      <w:r>
        <w:rPr>
          <w:rFonts w:ascii="Segoe UI"/>
          <w:spacing w:val="-1"/>
        </w:rPr>
        <w:t> </w:t>
      </w:r>
      <w:r>
        <w:rPr>
          <w:rFonts w:ascii="Segoe UI"/>
        </w:rPr>
        <w:t>have </w:t>
      </w:r>
      <w:r>
        <w:rPr>
          <w:rFonts w:ascii="Segoe UI"/>
          <w:spacing w:val="-2"/>
        </w:rPr>
        <w:t>included:</w:t>
      </w:r>
    </w:p>
    <w:p>
      <w:pPr>
        <w:pStyle w:val="BodyText"/>
        <w:tabs>
          <w:tab w:pos="1729" w:val="left" w:leader="none"/>
        </w:tabs>
        <w:spacing w:line="322" w:lineRule="exact" w:before="277"/>
        <w:ind w:left="1369"/>
        <w:rPr>
          <w:rFonts w:ascii="Segoe UI" w:hAnsi="Segoe UI"/>
        </w:rPr>
      </w:pPr>
      <w:r>
        <w:rPr>
          <w:rFonts w:ascii="Calibri" w:hAnsi="Calibri"/>
          <w:spacing w:val="-10"/>
        </w:rPr>
        <w:t>−</w:t>
      </w:r>
      <w:r>
        <w:rPr>
          <w:rFonts w:ascii="Calibri" w:hAnsi="Calibri"/>
        </w:rPr>
        <w:tab/>
      </w:r>
      <w:r>
        <w:rPr>
          <w:rFonts w:ascii="Segoe UI" w:hAnsi="Segoe UI"/>
        </w:rPr>
        <w:t>A</w:t>
      </w:r>
      <w:r>
        <w:rPr>
          <w:rFonts w:ascii="Segoe UI" w:hAnsi="Segoe UI"/>
          <w:spacing w:val="-6"/>
        </w:rPr>
        <w:t> </w:t>
      </w:r>
      <w:r>
        <w:rPr>
          <w:rFonts w:ascii="Segoe UI" w:hAnsi="Segoe UI"/>
        </w:rPr>
        <w:t>focus</w:t>
      </w:r>
      <w:r>
        <w:rPr>
          <w:rFonts w:ascii="Segoe UI" w:hAnsi="Segoe UI"/>
          <w:spacing w:val="-7"/>
        </w:rPr>
        <w:t> </w:t>
      </w:r>
      <w:r>
        <w:rPr>
          <w:rFonts w:ascii="Segoe UI" w:hAnsi="Segoe UI"/>
        </w:rPr>
        <w:t>on</w:t>
      </w:r>
      <w:r>
        <w:rPr>
          <w:rFonts w:ascii="Segoe UI" w:hAnsi="Segoe UI"/>
          <w:spacing w:val="-1"/>
        </w:rPr>
        <w:t> </w:t>
      </w:r>
      <w:r>
        <w:rPr>
          <w:rFonts w:ascii="Segoe UI" w:hAnsi="Segoe UI"/>
        </w:rPr>
        <w:t>individual</w:t>
      </w:r>
      <w:r>
        <w:rPr>
          <w:rFonts w:ascii="Segoe UI" w:hAnsi="Segoe UI"/>
          <w:spacing w:val="-4"/>
        </w:rPr>
        <w:t> </w:t>
      </w:r>
      <w:r>
        <w:rPr>
          <w:rFonts w:ascii="Segoe UI" w:hAnsi="Segoe UI"/>
        </w:rPr>
        <w:t>Health</w:t>
      </w:r>
      <w:r>
        <w:rPr>
          <w:rFonts w:ascii="Segoe UI" w:hAnsi="Segoe UI"/>
          <w:spacing w:val="-5"/>
        </w:rPr>
        <w:t> </w:t>
      </w:r>
      <w:r>
        <w:rPr>
          <w:rFonts w:ascii="Segoe UI" w:hAnsi="Segoe UI"/>
        </w:rPr>
        <w:t>Board</w:t>
      </w:r>
      <w:r>
        <w:rPr>
          <w:rFonts w:ascii="Segoe UI" w:hAnsi="Segoe UI"/>
          <w:spacing w:val="-2"/>
        </w:rPr>
        <w:t> </w:t>
      </w:r>
      <w:r>
        <w:rPr>
          <w:rFonts w:ascii="Segoe UI" w:hAnsi="Segoe UI"/>
        </w:rPr>
        <w:t>performance</w:t>
      </w:r>
      <w:r>
        <w:rPr>
          <w:rFonts w:ascii="Segoe UI" w:hAnsi="Segoe UI"/>
          <w:spacing w:val="-1"/>
        </w:rPr>
        <w:t> </w:t>
      </w:r>
      <w:r>
        <w:rPr>
          <w:rFonts w:ascii="Segoe UI" w:hAnsi="Segoe UI"/>
        </w:rPr>
        <w:t>rather</w:t>
      </w:r>
      <w:r>
        <w:rPr>
          <w:rFonts w:ascii="Segoe UI" w:hAnsi="Segoe UI"/>
          <w:spacing w:val="-3"/>
        </w:rPr>
        <w:t> </w:t>
      </w:r>
      <w:r>
        <w:rPr>
          <w:rFonts w:ascii="Segoe UI" w:hAnsi="Segoe UI"/>
        </w:rPr>
        <w:t>than</w:t>
      </w:r>
      <w:r>
        <w:rPr>
          <w:rFonts w:ascii="Segoe UI" w:hAnsi="Segoe UI"/>
          <w:spacing w:val="-6"/>
        </w:rPr>
        <w:t> </w:t>
      </w:r>
      <w:r>
        <w:rPr>
          <w:rFonts w:ascii="Segoe UI" w:hAnsi="Segoe UI"/>
        </w:rPr>
        <w:t>regional</w:t>
      </w:r>
      <w:r>
        <w:rPr>
          <w:rFonts w:ascii="Segoe UI" w:hAnsi="Segoe UI"/>
          <w:spacing w:val="-3"/>
        </w:rPr>
        <w:t> </w:t>
      </w:r>
      <w:r>
        <w:rPr>
          <w:rFonts w:ascii="Segoe UI" w:hAnsi="Segoe UI"/>
          <w:spacing w:val="-2"/>
        </w:rPr>
        <w:t>performance.</w:t>
      </w:r>
    </w:p>
    <w:p>
      <w:pPr>
        <w:pStyle w:val="BodyText"/>
        <w:tabs>
          <w:tab w:pos="1729" w:val="left" w:leader="none"/>
        </w:tabs>
        <w:spacing w:line="320" w:lineRule="exact"/>
        <w:ind w:left="1369"/>
        <w:rPr>
          <w:rFonts w:ascii="Segoe UI" w:hAnsi="Segoe UI"/>
        </w:rPr>
      </w:pPr>
      <w:r>
        <w:rPr>
          <w:rFonts w:ascii="Calibri" w:hAnsi="Calibri"/>
          <w:spacing w:val="-10"/>
        </w:rPr>
        <w:t>−</w:t>
      </w:r>
      <w:r>
        <w:rPr>
          <w:rFonts w:ascii="Calibri" w:hAnsi="Calibri"/>
        </w:rPr>
        <w:tab/>
      </w:r>
      <w:r>
        <w:rPr>
          <w:rFonts w:ascii="Segoe UI" w:hAnsi="Segoe UI"/>
        </w:rPr>
        <w:t>Challenges</w:t>
      </w:r>
      <w:r>
        <w:rPr>
          <w:rFonts w:ascii="Segoe UI" w:hAnsi="Segoe UI"/>
          <w:spacing w:val="-9"/>
        </w:rPr>
        <w:t> </w:t>
      </w:r>
      <w:r>
        <w:rPr>
          <w:rFonts w:ascii="Segoe UI" w:hAnsi="Segoe UI"/>
        </w:rPr>
        <w:t>associated</w:t>
      </w:r>
      <w:r>
        <w:rPr>
          <w:rFonts w:ascii="Segoe UI" w:hAnsi="Segoe UI"/>
          <w:spacing w:val="-7"/>
        </w:rPr>
        <w:t> </w:t>
      </w:r>
      <w:r>
        <w:rPr>
          <w:rFonts w:ascii="Segoe UI" w:hAnsi="Segoe UI"/>
          <w:spacing w:val="-5"/>
        </w:rPr>
        <w:t>wit</w:t>
      </w:r>
    </w:p>
    <w:p>
      <w:pPr>
        <w:pStyle w:val="BodyText"/>
        <w:tabs>
          <w:tab w:pos="1729" w:val="left" w:leader="none"/>
        </w:tabs>
        <w:spacing w:line="320" w:lineRule="exact"/>
        <w:ind w:left="1369"/>
        <w:rPr>
          <w:rFonts w:ascii="Segoe UI" w:hAnsi="Segoe UI"/>
        </w:rPr>
      </w:pPr>
      <w:r>
        <w:rPr>
          <w:rFonts w:ascii="Calibri" w:hAnsi="Calibri"/>
          <w:spacing w:val="-10"/>
        </w:rPr>
        <w:t>−</w:t>
      </w:r>
      <w:r>
        <w:rPr>
          <w:rFonts w:ascii="Calibri" w:hAnsi="Calibri"/>
        </w:rPr>
        <w:tab/>
      </w:r>
      <w:r>
        <w:rPr>
          <w:rFonts w:ascii="Segoe UI" w:hAnsi="Segoe UI"/>
        </w:rPr>
        <w:t>h</w:t>
      </w:r>
      <w:r>
        <w:rPr>
          <w:rFonts w:ascii="Segoe UI" w:hAnsi="Segoe UI"/>
          <w:spacing w:val="-6"/>
        </w:rPr>
        <w:t> </w:t>
      </w:r>
      <w:r>
        <w:rPr>
          <w:rFonts w:ascii="Segoe UI" w:hAnsi="Segoe UI"/>
        </w:rPr>
        <w:t>funding</w:t>
      </w:r>
      <w:r>
        <w:rPr>
          <w:rFonts w:ascii="Segoe UI" w:hAnsi="Segoe UI"/>
          <w:spacing w:val="-4"/>
        </w:rPr>
        <w:t> </w:t>
      </w:r>
      <w:r>
        <w:rPr>
          <w:rFonts w:ascii="Segoe UI" w:hAnsi="Segoe UI"/>
        </w:rPr>
        <w:t>flows and</w:t>
      </w:r>
      <w:r>
        <w:rPr>
          <w:rFonts w:ascii="Segoe UI" w:hAnsi="Segoe UI"/>
          <w:spacing w:val="-4"/>
        </w:rPr>
        <w:t> </w:t>
      </w:r>
      <w:r>
        <w:rPr>
          <w:rFonts w:ascii="Segoe UI" w:hAnsi="Segoe UI"/>
        </w:rPr>
        <w:t>planned</w:t>
      </w:r>
      <w:r>
        <w:rPr>
          <w:rFonts w:ascii="Segoe UI" w:hAnsi="Segoe UI"/>
          <w:spacing w:val="-5"/>
        </w:rPr>
        <w:t> </w:t>
      </w:r>
      <w:r>
        <w:rPr>
          <w:rFonts w:ascii="Segoe UI" w:hAnsi="Segoe UI"/>
        </w:rPr>
        <w:t>care</w:t>
      </w:r>
      <w:r>
        <w:rPr>
          <w:rFonts w:ascii="Segoe UI" w:hAnsi="Segoe UI"/>
          <w:spacing w:val="-3"/>
        </w:rPr>
        <w:t> </w:t>
      </w:r>
      <w:r>
        <w:rPr>
          <w:rFonts w:ascii="Segoe UI" w:hAnsi="Segoe UI"/>
        </w:rPr>
        <w:t>recovery</w:t>
      </w:r>
      <w:r>
        <w:rPr>
          <w:rFonts w:ascii="Segoe UI" w:hAnsi="Segoe UI"/>
          <w:spacing w:val="-3"/>
        </w:rPr>
        <w:t> </w:t>
      </w:r>
      <w:r>
        <w:rPr>
          <w:rFonts w:ascii="Segoe UI" w:hAnsi="Segoe UI"/>
          <w:spacing w:val="-2"/>
        </w:rPr>
        <w:t>funding.</w:t>
      </w:r>
    </w:p>
    <w:p>
      <w:pPr>
        <w:pStyle w:val="BodyText"/>
        <w:tabs>
          <w:tab w:pos="1729" w:val="left" w:leader="none"/>
        </w:tabs>
        <w:spacing w:line="320" w:lineRule="exact"/>
        <w:ind w:left="1369"/>
        <w:rPr>
          <w:rFonts w:ascii="Segoe UI" w:hAnsi="Segoe UI"/>
        </w:rPr>
      </w:pPr>
      <w:r>
        <w:rPr>
          <w:rFonts w:ascii="Calibri" w:hAnsi="Calibri"/>
          <w:spacing w:val="-10"/>
        </w:rPr>
        <w:t>−</w:t>
      </w:r>
      <w:r>
        <w:rPr>
          <w:rFonts w:ascii="Calibri" w:hAnsi="Calibri"/>
        </w:rPr>
        <w:tab/>
      </w:r>
      <w:r>
        <w:rPr>
          <w:rFonts w:ascii="Segoe UI" w:hAnsi="Segoe UI"/>
        </w:rPr>
        <w:t>Variable</w:t>
      </w:r>
      <w:r>
        <w:rPr>
          <w:rFonts w:ascii="Segoe UI" w:hAnsi="Segoe UI"/>
          <w:spacing w:val="-6"/>
        </w:rPr>
        <w:t> </w:t>
      </w:r>
      <w:r>
        <w:rPr>
          <w:rFonts w:ascii="Segoe UI" w:hAnsi="Segoe UI"/>
        </w:rPr>
        <w:t>clinical</w:t>
      </w:r>
      <w:r>
        <w:rPr>
          <w:rFonts w:ascii="Segoe UI" w:hAnsi="Segoe UI"/>
          <w:spacing w:val="-4"/>
        </w:rPr>
        <w:t> </w:t>
      </w:r>
      <w:r>
        <w:rPr>
          <w:rFonts w:ascii="Segoe UI" w:hAnsi="Segoe UI"/>
          <w:spacing w:val="-2"/>
        </w:rPr>
        <w:t>engagement.</w:t>
      </w:r>
    </w:p>
    <w:p>
      <w:pPr>
        <w:pStyle w:val="BodyText"/>
        <w:tabs>
          <w:tab w:pos="1729" w:val="left" w:leader="none"/>
        </w:tabs>
        <w:spacing w:line="322" w:lineRule="exact"/>
        <w:ind w:left="1369"/>
        <w:rPr>
          <w:rFonts w:ascii="Segoe UI" w:hAnsi="Segoe UI"/>
        </w:rPr>
      </w:pPr>
      <w:r>
        <w:rPr>
          <w:rFonts w:ascii="Calibri" w:hAnsi="Calibri"/>
          <w:spacing w:val="-10"/>
        </w:rPr>
        <w:t>−</w:t>
      </w:r>
      <w:r>
        <w:rPr>
          <w:rFonts w:ascii="Calibri" w:hAnsi="Calibri"/>
        </w:rPr>
        <w:tab/>
      </w:r>
      <w:r>
        <w:rPr>
          <w:rFonts w:ascii="Segoe UI" w:hAnsi="Segoe UI"/>
        </w:rPr>
        <w:t>Lack</w:t>
      </w:r>
      <w:r>
        <w:rPr>
          <w:rFonts w:ascii="Segoe UI" w:hAnsi="Segoe UI"/>
          <w:spacing w:val="-4"/>
        </w:rPr>
        <w:t> </w:t>
      </w:r>
      <w:r>
        <w:rPr>
          <w:rFonts w:ascii="Segoe UI" w:hAnsi="Segoe UI"/>
        </w:rPr>
        <w:t>of</w:t>
      </w:r>
      <w:r>
        <w:rPr>
          <w:rFonts w:ascii="Segoe UI" w:hAnsi="Segoe UI"/>
          <w:spacing w:val="-4"/>
        </w:rPr>
        <w:t> </w:t>
      </w:r>
      <w:r>
        <w:rPr>
          <w:rFonts w:ascii="Segoe UI" w:hAnsi="Segoe UI"/>
        </w:rPr>
        <w:t>an</w:t>
      </w:r>
      <w:r>
        <w:rPr>
          <w:rFonts w:ascii="Segoe UI" w:hAnsi="Segoe UI"/>
          <w:spacing w:val="1"/>
        </w:rPr>
        <w:t> </w:t>
      </w:r>
      <w:r>
        <w:rPr>
          <w:rFonts w:ascii="Segoe UI" w:hAnsi="Segoe UI"/>
        </w:rPr>
        <w:t>agreed</w:t>
      </w:r>
      <w:r>
        <w:rPr>
          <w:rFonts w:ascii="Segoe UI" w:hAnsi="Segoe UI"/>
          <w:spacing w:val="-5"/>
        </w:rPr>
        <w:t> </w:t>
      </w:r>
      <w:r>
        <w:rPr>
          <w:rFonts w:ascii="Segoe UI" w:hAnsi="Segoe UI"/>
        </w:rPr>
        <w:t>long-term</w:t>
      </w:r>
      <w:r>
        <w:rPr>
          <w:rFonts w:ascii="Segoe UI" w:hAnsi="Segoe UI"/>
          <w:spacing w:val="-5"/>
        </w:rPr>
        <w:t> </w:t>
      </w:r>
      <w:r>
        <w:rPr>
          <w:rFonts w:ascii="Segoe UI" w:hAnsi="Segoe UI"/>
        </w:rPr>
        <w:t>regional</w:t>
      </w:r>
      <w:r>
        <w:rPr>
          <w:rFonts w:ascii="Segoe UI" w:hAnsi="Segoe UI"/>
          <w:spacing w:val="-2"/>
        </w:rPr>
        <w:t> </w:t>
      </w:r>
      <w:r>
        <w:rPr>
          <w:rFonts w:ascii="Segoe UI" w:hAnsi="Segoe UI"/>
        </w:rPr>
        <w:t>service</w:t>
      </w:r>
      <w:r>
        <w:rPr>
          <w:rFonts w:ascii="Segoe UI" w:hAnsi="Segoe UI"/>
          <w:spacing w:val="-3"/>
        </w:rPr>
        <w:t> </w:t>
      </w:r>
      <w:r>
        <w:rPr>
          <w:rFonts w:ascii="Segoe UI" w:hAnsi="Segoe UI"/>
          <w:spacing w:val="-2"/>
        </w:rPr>
        <w:t>model.</w:t>
      </w:r>
    </w:p>
    <w:p>
      <w:pPr>
        <w:pStyle w:val="BodyText"/>
        <w:rPr>
          <w:rFonts w:ascii="Segoe UI"/>
          <w:sz w:val="16"/>
        </w:rPr>
      </w:pPr>
    </w:p>
    <w:p>
      <w:pPr>
        <w:pStyle w:val="BodyText"/>
        <w:rPr>
          <w:rFonts w:ascii="Segoe UI"/>
          <w:sz w:val="16"/>
        </w:rPr>
      </w:pPr>
    </w:p>
    <w:p>
      <w:pPr>
        <w:pStyle w:val="BodyText"/>
        <w:spacing w:before="10"/>
        <w:rPr>
          <w:rFonts w:ascii="Segoe U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32" name="Image 232"/>
            <wp:cNvGraphicFramePr>
              <a:graphicFrameLocks/>
            </wp:cNvGraphicFramePr>
            <a:graphic>
              <a:graphicData uri="http://schemas.openxmlformats.org/drawingml/2006/picture">
                <pic:pic>
                  <pic:nvPicPr>
                    <pic:cNvPr id="232" name="Image 232"/>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33" name="Image 233"/>
            <wp:cNvGraphicFramePr>
              <a:graphicFrameLocks/>
            </wp:cNvGraphicFramePr>
            <a:graphic>
              <a:graphicData uri="http://schemas.openxmlformats.org/drawingml/2006/picture">
                <pic:pic>
                  <pic:nvPicPr>
                    <pic:cNvPr id="233" name="Image 233"/>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107"/>
        <w:rPr>
          <w:rFonts w:ascii="Calibri"/>
          <w:sz w:val="20"/>
        </w:rPr>
      </w:pPr>
    </w:p>
    <w:tbl>
      <w:tblPr>
        <w:tblW w:w="0" w:type="auto"/>
        <w:jc w:val="left"/>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07"/>
        <w:gridCol w:w="1061"/>
        <w:gridCol w:w="4347"/>
        <w:gridCol w:w="2052"/>
      </w:tblGrid>
      <w:tr>
        <w:trPr>
          <w:trHeight w:val="495" w:hRule="atLeast"/>
        </w:trPr>
        <w:tc>
          <w:tcPr>
            <w:tcW w:w="4207" w:type="dxa"/>
            <w:shd w:val="clear" w:color="auto" w:fill="D9E1F3"/>
          </w:tcPr>
          <w:p>
            <w:pPr>
              <w:pStyle w:val="TableParagraph"/>
              <w:spacing w:before="101"/>
              <w:ind w:left="120"/>
              <w:rPr>
                <w:rFonts w:ascii="Calibri"/>
                <w:b/>
                <w:sz w:val="24"/>
              </w:rPr>
            </w:pPr>
            <w:r>
              <w:rPr>
                <w:rFonts w:ascii="Calibri"/>
                <w:b/>
                <w:color w:val="1F4E79"/>
                <w:spacing w:val="-4"/>
                <w:sz w:val="24"/>
              </w:rPr>
              <w:t>Risk</w:t>
            </w:r>
          </w:p>
        </w:tc>
        <w:tc>
          <w:tcPr>
            <w:tcW w:w="1061" w:type="dxa"/>
            <w:shd w:val="clear" w:color="auto" w:fill="D9E1F3"/>
          </w:tcPr>
          <w:p>
            <w:pPr>
              <w:pStyle w:val="TableParagraph"/>
              <w:spacing w:before="101"/>
              <w:ind w:left="120"/>
              <w:rPr>
                <w:rFonts w:ascii="Calibri"/>
                <w:b/>
                <w:sz w:val="24"/>
              </w:rPr>
            </w:pPr>
            <w:r>
              <w:rPr>
                <w:rFonts w:ascii="Calibri"/>
                <w:b/>
                <w:color w:val="1F4E79"/>
                <w:spacing w:val="-2"/>
                <w:sz w:val="24"/>
              </w:rPr>
              <w:t>Score</w:t>
            </w:r>
          </w:p>
        </w:tc>
        <w:tc>
          <w:tcPr>
            <w:tcW w:w="4347" w:type="dxa"/>
            <w:shd w:val="clear" w:color="auto" w:fill="D9E1F3"/>
          </w:tcPr>
          <w:p>
            <w:pPr>
              <w:pStyle w:val="TableParagraph"/>
              <w:spacing w:before="101"/>
              <w:ind w:left="124"/>
              <w:rPr>
                <w:rFonts w:ascii="Calibri"/>
                <w:b/>
                <w:sz w:val="24"/>
              </w:rPr>
            </w:pPr>
            <w:r>
              <w:rPr>
                <w:rFonts w:ascii="Calibri"/>
                <w:b/>
                <w:color w:val="1F4E79"/>
                <w:sz w:val="24"/>
              </w:rPr>
              <w:t>Mitigation</w:t>
            </w:r>
            <w:r>
              <w:rPr>
                <w:rFonts w:ascii="Calibri"/>
                <w:b/>
                <w:color w:val="1F4E79"/>
                <w:spacing w:val="-5"/>
                <w:sz w:val="24"/>
              </w:rPr>
              <w:t> </w:t>
            </w:r>
            <w:r>
              <w:rPr>
                <w:rFonts w:ascii="Calibri"/>
                <w:b/>
                <w:color w:val="1F4E79"/>
                <w:sz w:val="24"/>
              </w:rPr>
              <w:t>/</w:t>
            </w:r>
            <w:r>
              <w:rPr>
                <w:rFonts w:ascii="Calibri"/>
                <w:b/>
                <w:color w:val="1F4E79"/>
                <w:spacing w:val="1"/>
                <w:sz w:val="24"/>
              </w:rPr>
              <w:t> </w:t>
            </w:r>
            <w:r>
              <w:rPr>
                <w:rFonts w:ascii="Calibri"/>
                <w:b/>
                <w:color w:val="1F4E79"/>
                <w:spacing w:val="-2"/>
                <w:sz w:val="24"/>
              </w:rPr>
              <w:t>response</w:t>
            </w:r>
          </w:p>
        </w:tc>
        <w:tc>
          <w:tcPr>
            <w:tcW w:w="2052" w:type="dxa"/>
            <w:shd w:val="clear" w:color="auto" w:fill="D9E1F3"/>
          </w:tcPr>
          <w:p>
            <w:pPr>
              <w:pStyle w:val="TableParagraph"/>
              <w:spacing w:before="101"/>
              <w:ind w:left="118"/>
              <w:rPr>
                <w:rFonts w:ascii="Calibri"/>
                <w:b/>
                <w:sz w:val="24"/>
              </w:rPr>
            </w:pPr>
            <w:r>
              <w:rPr>
                <w:rFonts w:ascii="Calibri"/>
                <w:b/>
                <w:color w:val="1F4E79"/>
                <w:spacing w:val="-2"/>
                <w:sz w:val="24"/>
              </w:rPr>
              <w:t>Owner</w:t>
            </w:r>
          </w:p>
        </w:tc>
      </w:tr>
      <w:tr>
        <w:trPr>
          <w:trHeight w:val="1395" w:hRule="atLeast"/>
        </w:trPr>
        <w:tc>
          <w:tcPr>
            <w:tcW w:w="4207" w:type="dxa"/>
          </w:tcPr>
          <w:p>
            <w:pPr>
              <w:pStyle w:val="TableParagraph"/>
              <w:spacing w:line="276" w:lineRule="auto" w:before="53"/>
              <w:ind w:left="110"/>
              <w:rPr>
                <w:rFonts w:ascii="Segoe UI"/>
                <w:sz w:val="21"/>
              </w:rPr>
            </w:pPr>
            <w:r>
              <w:rPr>
                <w:rFonts w:ascii="Segoe UI"/>
                <w:sz w:val="21"/>
              </w:rPr>
              <w:t>Ongoing financial and contracting challenges</w:t>
            </w:r>
            <w:r>
              <w:rPr>
                <w:rFonts w:ascii="Segoe UI"/>
                <w:spacing w:val="-7"/>
                <w:sz w:val="21"/>
              </w:rPr>
              <w:t> </w:t>
            </w:r>
            <w:r>
              <w:rPr>
                <w:rFonts w:ascii="Segoe UI"/>
                <w:sz w:val="21"/>
              </w:rPr>
              <w:t>linked</w:t>
            </w:r>
            <w:r>
              <w:rPr>
                <w:rFonts w:ascii="Segoe UI"/>
                <w:spacing w:val="-7"/>
                <w:sz w:val="21"/>
              </w:rPr>
              <w:t> </w:t>
            </w:r>
            <w:r>
              <w:rPr>
                <w:rFonts w:ascii="Segoe UI"/>
                <w:sz w:val="21"/>
              </w:rPr>
              <w:t>to</w:t>
            </w:r>
            <w:r>
              <w:rPr>
                <w:rFonts w:ascii="Segoe UI"/>
                <w:spacing w:val="-10"/>
                <w:sz w:val="21"/>
              </w:rPr>
              <w:t> </w:t>
            </w:r>
            <w:r>
              <w:rPr>
                <w:rFonts w:ascii="Segoe UI"/>
                <w:sz w:val="21"/>
              </w:rPr>
              <w:t>the</w:t>
            </w:r>
            <w:r>
              <w:rPr>
                <w:rFonts w:ascii="Segoe UI"/>
                <w:spacing w:val="-8"/>
                <w:sz w:val="21"/>
              </w:rPr>
              <w:t> </w:t>
            </w:r>
            <w:r>
              <w:rPr>
                <w:rFonts w:ascii="Segoe UI"/>
                <w:sz w:val="21"/>
              </w:rPr>
              <w:t>additional</w:t>
            </w:r>
            <w:r>
              <w:rPr>
                <w:rFonts w:ascii="Segoe UI"/>
                <w:spacing w:val="-8"/>
                <w:sz w:val="21"/>
              </w:rPr>
              <w:t> </w:t>
            </w:r>
            <w:r>
              <w:rPr>
                <w:rFonts w:ascii="Segoe UI"/>
                <w:sz w:val="21"/>
              </w:rPr>
              <w:t>funding credited to health boards in 2023 remains </w:t>
            </w:r>
            <w:r>
              <w:rPr>
                <w:rFonts w:ascii="Segoe UI"/>
                <w:spacing w:val="-2"/>
                <w:sz w:val="21"/>
              </w:rPr>
              <w:t>unresolved</w:t>
            </w:r>
          </w:p>
        </w:tc>
        <w:tc>
          <w:tcPr>
            <w:tcW w:w="1061" w:type="dxa"/>
          </w:tcPr>
          <w:p>
            <w:pPr>
              <w:pStyle w:val="TableParagraph"/>
              <w:spacing w:before="53"/>
              <w:ind w:left="110"/>
              <w:rPr>
                <w:rFonts w:ascii="Segoe UI"/>
                <w:sz w:val="21"/>
              </w:rPr>
            </w:pPr>
            <w:r>
              <w:rPr>
                <w:rFonts w:ascii="Segoe UI"/>
                <w:spacing w:val="-4"/>
                <w:sz w:val="21"/>
              </w:rPr>
              <w:t>High</w:t>
            </w:r>
          </w:p>
        </w:tc>
        <w:tc>
          <w:tcPr>
            <w:tcW w:w="4347" w:type="dxa"/>
          </w:tcPr>
          <w:p>
            <w:pPr>
              <w:pStyle w:val="TableParagraph"/>
              <w:spacing w:line="276" w:lineRule="auto" w:before="53"/>
              <w:ind w:left="109" w:right="127"/>
              <w:rPr>
                <w:rFonts w:ascii="Segoe UI"/>
                <w:sz w:val="21"/>
              </w:rPr>
            </w:pPr>
            <w:r>
              <w:rPr>
                <w:rFonts w:ascii="Segoe UI"/>
                <w:sz w:val="21"/>
              </w:rPr>
              <w:t>Prioritised</w:t>
            </w:r>
            <w:r>
              <w:rPr>
                <w:rFonts w:ascii="Segoe UI"/>
                <w:spacing w:val="-15"/>
                <w:sz w:val="21"/>
              </w:rPr>
              <w:t> </w:t>
            </w:r>
            <w:r>
              <w:rPr>
                <w:rFonts w:ascii="Segoe UI"/>
                <w:sz w:val="21"/>
              </w:rPr>
              <w:t>Finance</w:t>
            </w:r>
            <w:r>
              <w:rPr>
                <w:rFonts w:ascii="Segoe UI"/>
                <w:spacing w:val="-12"/>
                <w:sz w:val="21"/>
              </w:rPr>
              <w:t> </w:t>
            </w:r>
            <w:r>
              <w:rPr>
                <w:rFonts w:ascii="Segoe UI"/>
                <w:sz w:val="21"/>
              </w:rPr>
              <w:t>and</w:t>
            </w:r>
            <w:r>
              <w:rPr>
                <w:rFonts w:ascii="Segoe UI"/>
                <w:spacing w:val="-12"/>
                <w:sz w:val="21"/>
              </w:rPr>
              <w:t> </w:t>
            </w:r>
            <w:r>
              <w:rPr>
                <w:rFonts w:ascii="Segoe UI"/>
                <w:sz w:val="21"/>
              </w:rPr>
              <w:t>Contracting Subgroup workplan</w:t>
            </w:r>
          </w:p>
        </w:tc>
        <w:tc>
          <w:tcPr>
            <w:tcW w:w="2052" w:type="dxa"/>
          </w:tcPr>
          <w:p>
            <w:pPr>
              <w:pStyle w:val="TableParagraph"/>
              <w:spacing w:line="276" w:lineRule="auto" w:before="53"/>
              <w:ind w:left="108" w:right="357"/>
              <w:rPr>
                <w:rFonts w:ascii="Segoe UI"/>
                <w:sz w:val="21"/>
              </w:rPr>
            </w:pPr>
            <w:r>
              <w:rPr>
                <w:rFonts w:ascii="Segoe UI"/>
                <w:sz w:val="21"/>
              </w:rPr>
              <w:t>Regional</w:t>
            </w:r>
            <w:r>
              <w:rPr>
                <w:rFonts w:ascii="Segoe UI"/>
                <w:spacing w:val="-15"/>
                <w:sz w:val="21"/>
              </w:rPr>
              <w:t> </w:t>
            </w:r>
            <w:r>
              <w:rPr>
                <w:rFonts w:ascii="Segoe UI"/>
                <w:sz w:val="21"/>
              </w:rPr>
              <w:t>Finance and Contracting </w:t>
            </w:r>
            <w:r>
              <w:rPr>
                <w:rFonts w:ascii="Segoe UI"/>
                <w:spacing w:val="-2"/>
                <w:sz w:val="21"/>
              </w:rPr>
              <w:t>Subgroup</w:t>
            </w:r>
          </w:p>
        </w:tc>
      </w:tr>
      <w:tr>
        <w:trPr>
          <w:trHeight w:val="1080" w:hRule="atLeast"/>
        </w:trPr>
        <w:tc>
          <w:tcPr>
            <w:tcW w:w="4207" w:type="dxa"/>
          </w:tcPr>
          <w:p>
            <w:pPr>
              <w:pStyle w:val="TableParagraph"/>
              <w:spacing w:line="276" w:lineRule="auto" w:before="58"/>
              <w:ind w:left="110" w:right="136"/>
              <w:rPr>
                <w:rFonts w:ascii="Segoe UI" w:hAnsi="Segoe UI"/>
                <w:sz w:val="21"/>
              </w:rPr>
            </w:pPr>
            <w:r>
              <w:rPr>
                <w:rFonts w:ascii="Segoe UI" w:hAnsi="Segoe UI"/>
                <w:sz w:val="21"/>
              </w:rPr>
              <w:t>Digital</w:t>
            </w:r>
            <w:r>
              <w:rPr>
                <w:rFonts w:ascii="Segoe UI" w:hAnsi="Segoe UI"/>
                <w:spacing w:val="-12"/>
                <w:sz w:val="21"/>
              </w:rPr>
              <w:t> </w:t>
            </w:r>
            <w:r>
              <w:rPr>
                <w:rFonts w:ascii="Segoe UI" w:hAnsi="Segoe UI"/>
                <w:sz w:val="21"/>
              </w:rPr>
              <w:t>Constraints</w:t>
            </w:r>
            <w:r>
              <w:rPr>
                <w:rFonts w:ascii="Segoe UI" w:hAnsi="Segoe UI"/>
                <w:spacing w:val="-8"/>
                <w:sz w:val="21"/>
              </w:rPr>
              <w:t> </w:t>
            </w:r>
            <w:r>
              <w:rPr>
                <w:rFonts w:ascii="Segoe UI" w:hAnsi="Segoe UI"/>
                <w:sz w:val="21"/>
              </w:rPr>
              <w:t>–</w:t>
            </w:r>
            <w:r>
              <w:rPr>
                <w:rFonts w:ascii="Segoe UI" w:hAnsi="Segoe UI"/>
                <w:spacing w:val="-12"/>
                <w:sz w:val="21"/>
              </w:rPr>
              <w:t> </w:t>
            </w:r>
            <w:r>
              <w:rPr>
                <w:rFonts w:ascii="Segoe UI" w:hAnsi="Segoe UI"/>
                <w:sz w:val="21"/>
              </w:rPr>
              <w:t>Orthopaedics</w:t>
            </w:r>
            <w:r>
              <w:rPr>
                <w:rFonts w:ascii="Segoe UI" w:hAnsi="Segoe UI"/>
                <w:spacing w:val="-11"/>
                <w:sz w:val="21"/>
              </w:rPr>
              <w:t> </w:t>
            </w:r>
            <w:r>
              <w:rPr>
                <w:rFonts w:ascii="Segoe UI" w:hAnsi="Segoe UI"/>
                <w:sz w:val="21"/>
              </w:rPr>
              <w:t>activity is not currently in the Data and Digital</w:t>
            </w:r>
          </w:p>
          <w:p>
            <w:pPr>
              <w:pStyle w:val="TableParagraph"/>
              <w:spacing w:line="277" w:lineRule="exact"/>
              <w:ind w:left="110"/>
              <w:rPr>
                <w:rFonts w:ascii="Segoe UI" w:hAnsi="Segoe UI"/>
                <w:sz w:val="21"/>
              </w:rPr>
            </w:pPr>
            <w:r>
              <w:rPr>
                <w:rFonts w:ascii="Segoe UI" w:hAnsi="Segoe UI"/>
                <w:sz w:val="21"/>
              </w:rPr>
              <w:t>Teams’ work</w:t>
            </w:r>
            <w:r>
              <w:rPr>
                <w:rFonts w:ascii="Segoe UI" w:hAnsi="Segoe UI"/>
                <w:spacing w:val="-6"/>
                <w:sz w:val="21"/>
              </w:rPr>
              <w:t> </w:t>
            </w:r>
            <w:r>
              <w:rPr>
                <w:rFonts w:ascii="Segoe UI" w:hAnsi="Segoe UI"/>
                <w:sz w:val="21"/>
              </w:rPr>
              <w:t>programmes for</w:t>
            </w:r>
            <w:r>
              <w:rPr>
                <w:rFonts w:ascii="Segoe UI" w:hAnsi="Segoe UI"/>
                <w:spacing w:val="-4"/>
                <w:sz w:val="21"/>
              </w:rPr>
              <w:t> </w:t>
            </w:r>
            <w:r>
              <w:rPr>
                <w:rFonts w:ascii="Segoe UI" w:hAnsi="Segoe UI"/>
                <w:spacing w:val="-2"/>
                <w:sz w:val="21"/>
              </w:rPr>
              <w:t>2026/27.</w:t>
            </w:r>
          </w:p>
        </w:tc>
        <w:tc>
          <w:tcPr>
            <w:tcW w:w="1061" w:type="dxa"/>
          </w:tcPr>
          <w:p>
            <w:pPr>
              <w:pStyle w:val="TableParagraph"/>
              <w:spacing w:before="58"/>
              <w:ind w:left="110"/>
              <w:rPr>
                <w:rFonts w:ascii="Segoe UI"/>
                <w:sz w:val="21"/>
              </w:rPr>
            </w:pPr>
            <w:r>
              <w:rPr>
                <w:rFonts w:ascii="Segoe UI"/>
                <w:spacing w:val="-2"/>
                <w:sz w:val="21"/>
              </w:rPr>
              <w:t>Medium</w:t>
            </w:r>
          </w:p>
        </w:tc>
        <w:tc>
          <w:tcPr>
            <w:tcW w:w="4347" w:type="dxa"/>
          </w:tcPr>
          <w:p>
            <w:pPr>
              <w:pStyle w:val="TableParagraph"/>
              <w:spacing w:before="58"/>
              <w:ind w:left="109"/>
              <w:rPr>
                <w:rFonts w:ascii="Segoe UI"/>
                <w:sz w:val="21"/>
              </w:rPr>
            </w:pPr>
            <w:r>
              <w:rPr>
                <w:rFonts w:ascii="Segoe UI"/>
                <w:sz w:val="21"/>
              </w:rPr>
              <w:t>Build digital</w:t>
            </w:r>
            <w:r>
              <w:rPr>
                <w:rFonts w:ascii="Segoe UI"/>
                <w:spacing w:val="-2"/>
                <w:sz w:val="21"/>
              </w:rPr>
              <w:t> </w:t>
            </w:r>
            <w:r>
              <w:rPr>
                <w:rFonts w:ascii="Segoe UI"/>
                <w:sz w:val="21"/>
              </w:rPr>
              <w:t>developments</w:t>
            </w:r>
            <w:r>
              <w:rPr>
                <w:rFonts w:ascii="Segoe UI"/>
                <w:spacing w:val="-4"/>
                <w:sz w:val="21"/>
              </w:rPr>
              <w:t> </w:t>
            </w:r>
            <w:r>
              <w:rPr>
                <w:rFonts w:ascii="Segoe UI"/>
                <w:sz w:val="21"/>
              </w:rPr>
              <w:t>in to</w:t>
            </w:r>
            <w:r>
              <w:rPr>
                <w:rFonts w:ascii="Segoe UI"/>
                <w:spacing w:val="-3"/>
                <w:sz w:val="21"/>
              </w:rPr>
              <w:t> </w:t>
            </w:r>
            <w:r>
              <w:rPr>
                <w:rFonts w:ascii="Segoe UI"/>
                <w:spacing w:val="-4"/>
                <w:sz w:val="21"/>
              </w:rPr>
              <w:t>plans</w:t>
            </w:r>
          </w:p>
        </w:tc>
        <w:tc>
          <w:tcPr>
            <w:tcW w:w="2052" w:type="dxa"/>
          </w:tcPr>
          <w:p>
            <w:pPr>
              <w:pStyle w:val="TableParagraph"/>
              <w:spacing w:line="276" w:lineRule="auto" w:before="58"/>
              <w:ind w:left="108"/>
              <w:rPr>
                <w:rFonts w:ascii="Segoe UI"/>
                <w:sz w:val="21"/>
              </w:rPr>
            </w:pPr>
            <w:r>
              <w:rPr>
                <w:rFonts w:ascii="Segoe UI"/>
                <w:sz w:val="21"/>
              </w:rPr>
              <w:t>Regional</w:t>
            </w:r>
            <w:r>
              <w:rPr>
                <w:rFonts w:ascii="Segoe UI"/>
                <w:spacing w:val="-15"/>
                <w:sz w:val="21"/>
              </w:rPr>
              <w:t> </w:t>
            </w:r>
            <w:r>
              <w:rPr>
                <w:rFonts w:ascii="Segoe UI"/>
                <w:sz w:val="21"/>
              </w:rPr>
              <w:t>Data</w:t>
            </w:r>
            <w:r>
              <w:rPr>
                <w:rFonts w:ascii="Segoe UI"/>
                <w:spacing w:val="-14"/>
                <w:sz w:val="21"/>
              </w:rPr>
              <w:t> </w:t>
            </w:r>
            <w:r>
              <w:rPr>
                <w:rFonts w:ascii="Segoe UI"/>
                <w:sz w:val="21"/>
              </w:rPr>
              <w:t>and Digital Subgroup</w:t>
            </w:r>
          </w:p>
        </w:tc>
      </w:tr>
      <w:tr>
        <w:trPr>
          <w:trHeight w:val="1400" w:hRule="atLeast"/>
        </w:trPr>
        <w:tc>
          <w:tcPr>
            <w:tcW w:w="4207" w:type="dxa"/>
          </w:tcPr>
          <w:p>
            <w:pPr>
              <w:pStyle w:val="TableParagraph"/>
              <w:spacing w:before="53"/>
              <w:ind w:left="110"/>
              <w:rPr>
                <w:rFonts w:ascii="Segoe UI"/>
                <w:sz w:val="21"/>
              </w:rPr>
            </w:pPr>
            <w:r>
              <w:rPr>
                <w:rFonts w:ascii="Segoe UI"/>
                <w:sz w:val="21"/>
              </w:rPr>
              <w:t>Clinical</w:t>
            </w:r>
            <w:r>
              <w:rPr>
                <w:rFonts w:ascii="Segoe UI"/>
                <w:spacing w:val="-6"/>
                <w:sz w:val="21"/>
              </w:rPr>
              <w:t> </w:t>
            </w:r>
            <w:r>
              <w:rPr>
                <w:rFonts w:ascii="Segoe UI"/>
                <w:sz w:val="21"/>
              </w:rPr>
              <w:t>Services</w:t>
            </w:r>
            <w:r>
              <w:rPr>
                <w:rFonts w:ascii="Segoe UI"/>
                <w:spacing w:val="-3"/>
                <w:sz w:val="21"/>
              </w:rPr>
              <w:t> </w:t>
            </w:r>
            <w:r>
              <w:rPr>
                <w:rFonts w:ascii="Segoe UI"/>
                <w:sz w:val="21"/>
              </w:rPr>
              <w:t>Planning</w:t>
            </w:r>
            <w:r>
              <w:rPr>
                <w:rFonts w:ascii="Segoe UI"/>
                <w:spacing w:val="-3"/>
                <w:sz w:val="21"/>
              </w:rPr>
              <w:t> </w:t>
            </w:r>
            <w:r>
              <w:rPr>
                <w:rFonts w:ascii="Segoe UI"/>
                <w:spacing w:val="-2"/>
                <w:sz w:val="21"/>
              </w:rPr>
              <w:t>alignment</w:t>
            </w:r>
          </w:p>
        </w:tc>
        <w:tc>
          <w:tcPr>
            <w:tcW w:w="1061" w:type="dxa"/>
          </w:tcPr>
          <w:p>
            <w:pPr>
              <w:pStyle w:val="TableParagraph"/>
              <w:spacing w:before="53"/>
              <w:ind w:left="110"/>
              <w:rPr>
                <w:rFonts w:ascii="Segoe UI"/>
                <w:sz w:val="21"/>
              </w:rPr>
            </w:pPr>
            <w:r>
              <w:rPr>
                <w:rFonts w:ascii="Segoe UI"/>
                <w:spacing w:val="-2"/>
                <w:sz w:val="21"/>
              </w:rPr>
              <w:t>Medium</w:t>
            </w:r>
          </w:p>
        </w:tc>
        <w:tc>
          <w:tcPr>
            <w:tcW w:w="4347" w:type="dxa"/>
          </w:tcPr>
          <w:p>
            <w:pPr>
              <w:pStyle w:val="TableParagraph"/>
              <w:spacing w:line="276" w:lineRule="auto" w:before="53"/>
              <w:ind w:left="109" w:right="127"/>
              <w:rPr>
                <w:rFonts w:ascii="Segoe UI"/>
                <w:sz w:val="21"/>
              </w:rPr>
            </w:pPr>
            <w:r>
              <w:rPr>
                <w:rFonts w:ascii="Segoe UI"/>
                <w:sz w:val="21"/>
              </w:rPr>
              <w:t>Ongoing planning engagement to ensure that plans work with the recently agreed Hywel</w:t>
            </w:r>
            <w:r>
              <w:rPr>
                <w:rFonts w:ascii="Segoe UI"/>
                <w:spacing w:val="-4"/>
                <w:sz w:val="21"/>
              </w:rPr>
              <w:t> </w:t>
            </w:r>
            <w:r>
              <w:rPr>
                <w:rFonts w:ascii="Segoe UI"/>
                <w:sz w:val="21"/>
              </w:rPr>
              <w:t>Dda</w:t>
            </w:r>
            <w:r>
              <w:rPr>
                <w:rFonts w:ascii="Segoe UI"/>
                <w:spacing w:val="-5"/>
                <w:sz w:val="21"/>
              </w:rPr>
              <w:t> </w:t>
            </w:r>
            <w:r>
              <w:rPr>
                <w:rFonts w:ascii="Segoe UI"/>
                <w:sz w:val="21"/>
              </w:rPr>
              <w:t>CSP</w:t>
            </w:r>
            <w:r>
              <w:rPr>
                <w:rFonts w:ascii="Segoe UI"/>
                <w:spacing w:val="-2"/>
                <w:sz w:val="21"/>
              </w:rPr>
              <w:t> </w:t>
            </w:r>
            <w:r>
              <w:rPr>
                <w:rFonts w:ascii="Segoe UI"/>
                <w:sz w:val="21"/>
              </w:rPr>
              <w:t>and</w:t>
            </w:r>
            <w:r>
              <w:rPr>
                <w:rFonts w:ascii="Segoe UI"/>
                <w:spacing w:val="-3"/>
                <w:sz w:val="21"/>
              </w:rPr>
              <w:t> </w:t>
            </w:r>
            <w:r>
              <w:rPr>
                <w:rFonts w:ascii="Segoe UI"/>
                <w:sz w:val="21"/>
              </w:rPr>
              <w:t>the</w:t>
            </w:r>
            <w:r>
              <w:rPr>
                <w:rFonts w:ascii="Segoe UI"/>
                <w:spacing w:val="-8"/>
                <w:sz w:val="21"/>
              </w:rPr>
              <w:t> </w:t>
            </w:r>
            <w:r>
              <w:rPr>
                <w:rFonts w:ascii="Segoe UI"/>
                <w:sz w:val="21"/>
              </w:rPr>
              <w:t>current</w:t>
            </w:r>
            <w:r>
              <w:rPr>
                <w:rFonts w:ascii="Segoe UI"/>
                <w:spacing w:val="-4"/>
                <w:sz w:val="21"/>
              </w:rPr>
              <w:t> </w:t>
            </w:r>
            <w:r>
              <w:rPr>
                <w:rFonts w:ascii="Segoe UI"/>
                <w:sz w:val="21"/>
              </w:rPr>
              <w:t>work</w:t>
            </w:r>
            <w:r>
              <w:rPr>
                <w:rFonts w:ascii="Segoe UI"/>
                <w:spacing w:val="-8"/>
                <w:sz w:val="21"/>
              </w:rPr>
              <w:t> </w:t>
            </w:r>
            <w:r>
              <w:rPr>
                <w:rFonts w:ascii="Segoe UI"/>
                <w:sz w:val="21"/>
              </w:rPr>
              <w:t>on</w:t>
            </w:r>
            <w:r>
              <w:rPr>
                <w:rFonts w:ascii="Segoe UI"/>
                <w:spacing w:val="-7"/>
                <w:sz w:val="21"/>
              </w:rPr>
              <w:t> </w:t>
            </w:r>
            <w:r>
              <w:rPr>
                <w:rFonts w:ascii="Segoe UI"/>
                <w:sz w:val="21"/>
              </w:rPr>
              <w:t>the Swansea Bay CSP.</w:t>
            </w:r>
          </w:p>
        </w:tc>
        <w:tc>
          <w:tcPr>
            <w:tcW w:w="2052" w:type="dxa"/>
          </w:tcPr>
          <w:p>
            <w:pPr>
              <w:pStyle w:val="TableParagraph"/>
              <w:spacing w:before="53"/>
              <w:ind w:left="108"/>
              <w:rPr>
                <w:rFonts w:ascii="Segoe UI"/>
                <w:sz w:val="21"/>
              </w:rPr>
            </w:pPr>
            <w:r>
              <w:rPr>
                <w:rFonts w:ascii="Segoe UI"/>
                <w:sz w:val="21"/>
              </w:rPr>
              <w:t>Programme</w:t>
            </w:r>
            <w:r>
              <w:rPr>
                <w:rFonts w:ascii="Segoe UI"/>
                <w:spacing w:val="-3"/>
                <w:sz w:val="21"/>
              </w:rPr>
              <w:t> </w:t>
            </w:r>
            <w:r>
              <w:rPr>
                <w:rFonts w:ascii="Segoe UI"/>
                <w:spacing w:val="-4"/>
                <w:sz w:val="21"/>
              </w:rPr>
              <w:t>Board</w:t>
            </w:r>
          </w:p>
        </w:tc>
      </w:tr>
      <w:tr>
        <w:trPr>
          <w:trHeight w:val="435" w:hRule="atLeast"/>
        </w:trPr>
        <w:tc>
          <w:tcPr>
            <w:tcW w:w="4207" w:type="dxa"/>
          </w:tcPr>
          <w:p>
            <w:pPr>
              <w:pStyle w:val="TableParagraph"/>
              <w:spacing w:before="53"/>
              <w:ind w:left="110"/>
              <w:rPr>
                <w:rFonts w:ascii="Segoe UI"/>
                <w:sz w:val="21"/>
              </w:rPr>
            </w:pPr>
            <w:r>
              <w:rPr>
                <w:rFonts w:ascii="Segoe UI"/>
                <w:sz w:val="21"/>
              </w:rPr>
              <w:t>Organisational</w:t>
            </w:r>
            <w:r>
              <w:rPr>
                <w:rFonts w:ascii="Segoe UI"/>
                <w:spacing w:val="-5"/>
                <w:sz w:val="21"/>
              </w:rPr>
              <w:t> </w:t>
            </w:r>
            <w:r>
              <w:rPr>
                <w:rFonts w:ascii="Segoe UI"/>
                <w:sz w:val="21"/>
              </w:rPr>
              <w:t>Priorities</w:t>
            </w:r>
            <w:r>
              <w:rPr>
                <w:rFonts w:ascii="Segoe UI"/>
                <w:spacing w:val="-3"/>
                <w:sz w:val="21"/>
              </w:rPr>
              <w:t> </w:t>
            </w:r>
            <w:r>
              <w:rPr>
                <w:rFonts w:ascii="Segoe UI"/>
                <w:spacing w:val="-2"/>
                <w:sz w:val="21"/>
              </w:rPr>
              <w:t>Conflict</w:t>
            </w:r>
          </w:p>
        </w:tc>
        <w:tc>
          <w:tcPr>
            <w:tcW w:w="1061" w:type="dxa"/>
          </w:tcPr>
          <w:p>
            <w:pPr>
              <w:pStyle w:val="TableParagraph"/>
              <w:spacing w:before="53"/>
              <w:ind w:left="110"/>
              <w:rPr>
                <w:rFonts w:ascii="Segoe UI"/>
                <w:sz w:val="21"/>
              </w:rPr>
            </w:pPr>
            <w:r>
              <w:rPr>
                <w:rFonts w:ascii="Segoe UI"/>
                <w:spacing w:val="-4"/>
                <w:sz w:val="21"/>
              </w:rPr>
              <w:t>High</w:t>
            </w:r>
          </w:p>
        </w:tc>
        <w:tc>
          <w:tcPr>
            <w:tcW w:w="4347" w:type="dxa"/>
          </w:tcPr>
          <w:p>
            <w:pPr>
              <w:pStyle w:val="TableParagraph"/>
              <w:spacing w:before="53"/>
              <w:ind w:left="109"/>
              <w:rPr>
                <w:rFonts w:ascii="Segoe UI"/>
                <w:sz w:val="21"/>
              </w:rPr>
            </w:pPr>
            <w:r>
              <w:rPr>
                <w:rFonts w:ascii="Segoe UI"/>
                <w:sz w:val="21"/>
              </w:rPr>
              <w:t>Executive</w:t>
            </w:r>
            <w:r>
              <w:rPr>
                <w:rFonts w:ascii="Segoe UI"/>
                <w:spacing w:val="-2"/>
                <w:sz w:val="21"/>
              </w:rPr>
              <w:t> </w:t>
            </w:r>
            <w:r>
              <w:rPr>
                <w:rFonts w:ascii="Segoe UI"/>
                <w:sz w:val="21"/>
              </w:rPr>
              <w:t>oversight</w:t>
            </w:r>
            <w:r>
              <w:rPr>
                <w:rFonts w:ascii="Segoe UI"/>
                <w:spacing w:val="-2"/>
                <w:sz w:val="21"/>
              </w:rPr>
              <w:t> </w:t>
            </w:r>
            <w:r>
              <w:rPr>
                <w:rFonts w:ascii="Segoe UI"/>
                <w:sz w:val="21"/>
              </w:rPr>
              <w:t>and </w:t>
            </w:r>
            <w:r>
              <w:rPr>
                <w:rFonts w:ascii="Segoe UI"/>
                <w:spacing w:val="-2"/>
                <w:sz w:val="21"/>
              </w:rPr>
              <w:t>escalation</w:t>
            </w:r>
          </w:p>
        </w:tc>
        <w:tc>
          <w:tcPr>
            <w:tcW w:w="2052" w:type="dxa"/>
          </w:tcPr>
          <w:p>
            <w:pPr>
              <w:pStyle w:val="TableParagraph"/>
              <w:spacing w:before="53"/>
              <w:ind w:left="108"/>
              <w:rPr>
                <w:rFonts w:ascii="Segoe UI"/>
                <w:sz w:val="21"/>
              </w:rPr>
            </w:pPr>
            <w:r>
              <w:rPr>
                <w:rFonts w:ascii="Segoe UI"/>
                <w:sz w:val="21"/>
              </w:rPr>
              <w:t>Programme</w:t>
            </w:r>
            <w:r>
              <w:rPr>
                <w:rFonts w:ascii="Segoe UI"/>
                <w:spacing w:val="-3"/>
                <w:sz w:val="21"/>
              </w:rPr>
              <w:t> </w:t>
            </w:r>
            <w:r>
              <w:rPr>
                <w:rFonts w:ascii="Segoe UI"/>
                <w:spacing w:val="-4"/>
                <w:sz w:val="21"/>
              </w:rPr>
              <w:t>Board</w:t>
            </w:r>
          </w:p>
        </w:tc>
      </w:tr>
      <w:tr>
        <w:trPr>
          <w:trHeight w:val="1230" w:hRule="atLeast"/>
        </w:trPr>
        <w:tc>
          <w:tcPr>
            <w:tcW w:w="4207" w:type="dxa"/>
          </w:tcPr>
          <w:p>
            <w:pPr>
              <w:pStyle w:val="TableParagraph"/>
              <w:spacing w:before="53"/>
              <w:ind w:left="110"/>
              <w:rPr>
                <w:rFonts w:ascii="Segoe UI"/>
                <w:sz w:val="21"/>
              </w:rPr>
            </w:pPr>
            <w:r>
              <w:rPr>
                <w:rFonts w:ascii="Segoe UI"/>
                <w:sz w:val="21"/>
              </w:rPr>
              <w:t>Variation</w:t>
            </w:r>
            <w:r>
              <w:rPr>
                <w:rFonts w:ascii="Segoe UI"/>
                <w:spacing w:val="-7"/>
                <w:sz w:val="21"/>
              </w:rPr>
              <w:t> </w:t>
            </w:r>
            <w:r>
              <w:rPr>
                <w:rFonts w:ascii="Segoe UI"/>
                <w:sz w:val="21"/>
              </w:rPr>
              <w:t>in</w:t>
            </w:r>
            <w:r>
              <w:rPr>
                <w:rFonts w:ascii="Segoe UI"/>
                <w:spacing w:val="-5"/>
                <w:sz w:val="21"/>
              </w:rPr>
              <w:t> </w:t>
            </w:r>
            <w:r>
              <w:rPr>
                <w:rFonts w:ascii="Segoe UI"/>
                <w:sz w:val="21"/>
              </w:rPr>
              <w:t>Welsh</w:t>
            </w:r>
            <w:r>
              <w:rPr>
                <w:rFonts w:ascii="Segoe UI"/>
                <w:spacing w:val="-7"/>
                <w:sz w:val="21"/>
              </w:rPr>
              <w:t> </w:t>
            </w:r>
            <w:r>
              <w:rPr>
                <w:rFonts w:ascii="Segoe UI"/>
                <w:sz w:val="21"/>
              </w:rPr>
              <w:t>Government</w:t>
            </w:r>
            <w:r>
              <w:rPr>
                <w:rFonts w:ascii="Segoe UI"/>
                <w:spacing w:val="-12"/>
                <w:sz w:val="21"/>
              </w:rPr>
              <w:t> </w:t>
            </w:r>
            <w:r>
              <w:rPr>
                <w:rFonts w:ascii="Segoe UI"/>
                <w:sz w:val="21"/>
              </w:rPr>
              <w:t>and</w:t>
            </w:r>
            <w:r>
              <w:rPr>
                <w:rFonts w:ascii="Segoe UI"/>
                <w:spacing w:val="-7"/>
                <w:sz w:val="21"/>
              </w:rPr>
              <w:t> </w:t>
            </w:r>
            <w:r>
              <w:rPr>
                <w:rFonts w:ascii="Segoe UI"/>
                <w:sz w:val="21"/>
              </w:rPr>
              <w:t>NHS Wales priorities are assumed to remain broadly aligned with the Orthopaedic Optimisation Framework</w:t>
            </w:r>
          </w:p>
        </w:tc>
        <w:tc>
          <w:tcPr>
            <w:tcW w:w="1061" w:type="dxa"/>
          </w:tcPr>
          <w:p>
            <w:pPr>
              <w:pStyle w:val="TableParagraph"/>
              <w:spacing w:before="53"/>
              <w:ind w:left="110"/>
              <w:rPr>
                <w:rFonts w:ascii="Segoe UI"/>
                <w:sz w:val="21"/>
              </w:rPr>
            </w:pPr>
            <w:r>
              <w:rPr>
                <w:rFonts w:ascii="Segoe UI"/>
                <w:spacing w:val="-2"/>
                <w:sz w:val="21"/>
              </w:rPr>
              <w:t>Medium</w:t>
            </w:r>
          </w:p>
        </w:tc>
        <w:tc>
          <w:tcPr>
            <w:tcW w:w="4347" w:type="dxa"/>
          </w:tcPr>
          <w:p>
            <w:pPr>
              <w:pStyle w:val="TableParagraph"/>
              <w:spacing w:before="53"/>
              <w:ind w:left="109" w:right="613"/>
              <w:jc w:val="both"/>
              <w:rPr>
                <w:rFonts w:ascii="Segoe UI"/>
                <w:sz w:val="21"/>
              </w:rPr>
            </w:pPr>
            <w:r>
              <w:rPr>
                <w:rFonts w:ascii="Segoe UI"/>
                <w:sz w:val="21"/>
              </w:rPr>
              <w:t>Manage</w:t>
            </w:r>
            <w:r>
              <w:rPr>
                <w:rFonts w:ascii="Segoe UI"/>
                <w:spacing w:val="-8"/>
                <w:sz w:val="21"/>
              </w:rPr>
              <w:t> </w:t>
            </w:r>
            <w:r>
              <w:rPr>
                <w:rFonts w:ascii="Segoe UI"/>
                <w:sz w:val="21"/>
              </w:rPr>
              <w:t>relation</w:t>
            </w:r>
            <w:r>
              <w:rPr>
                <w:rFonts w:ascii="Segoe UI"/>
                <w:spacing w:val="-7"/>
                <w:sz w:val="21"/>
              </w:rPr>
              <w:t> </w:t>
            </w:r>
            <w:r>
              <w:rPr>
                <w:rFonts w:ascii="Segoe UI"/>
                <w:sz w:val="21"/>
              </w:rPr>
              <w:t>with</w:t>
            </w:r>
            <w:r>
              <w:rPr>
                <w:rFonts w:ascii="Segoe UI"/>
                <w:spacing w:val="-7"/>
                <w:sz w:val="21"/>
              </w:rPr>
              <w:t> </w:t>
            </w:r>
            <w:r>
              <w:rPr>
                <w:rFonts w:ascii="Segoe UI"/>
                <w:sz w:val="21"/>
              </w:rPr>
              <w:t>WG</w:t>
            </w:r>
            <w:r>
              <w:rPr>
                <w:rFonts w:ascii="Segoe UI"/>
                <w:spacing w:val="-12"/>
                <w:sz w:val="21"/>
              </w:rPr>
              <w:t> </w:t>
            </w:r>
            <w:r>
              <w:rPr>
                <w:rFonts w:ascii="Segoe UI"/>
                <w:sz w:val="21"/>
              </w:rPr>
              <w:t>and</w:t>
            </w:r>
            <w:r>
              <w:rPr>
                <w:rFonts w:ascii="Segoe UI"/>
                <w:spacing w:val="-7"/>
                <w:sz w:val="21"/>
              </w:rPr>
              <w:t> </w:t>
            </w:r>
            <w:r>
              <w:rPr>
                <w:rFonts w:ascii="Segoe UI"/>
                <w:sz w:val="21"/>
              </w:rPr>
              <w:t>National Orthopaedic</w:t>
            </w:r>
            <w:r>
              <w:rPr>
                <w:rFonts w:ascii="Segoe UI"/>
                <w:spacing w:val="-4"/>
                <w:sz w:val="21"/>
              </w:rPr>
              <w:t> </w:t>
            </w:r>
            <w:r>
              <w:rPr>
                <w:rFonts w:ascii="Segoe UI"/>
                <w:sz w:val="21"/>
              </w:rPr>
              <w:t>Programmes to positively influence policy direction.</w:t>
            </w:r>
          </w:p>
        </w:tc>
        <w:tc>
          <w:tcPr>
            <w:tcW w:w="2052" w:type="dxa"/>
          </w:tcPr>
          <w:p>
            <w:pPr>
              <w:pStyle w:val="TableParagraph"/>
              <w:spacing w:before="53"/>
              <w:ind w:left="108"/>
              <w:rPr>
                <w:rFonts w:ascii="Segoe UI"/>
                <w:sz w:val="21"/>
              </w:rPr>
            </w:pPr>
            <w:r>
              <w:rPr>
                <w:rFonts w:ascii="Segoe UI"/>
                <w:sz w:val="21"/>
              </w:rPr>
              <w:t>Programme</w:t>
            </w:r>
            <w:r>
              <w:rPr>
                <w:rFonts w:ascii="Segoe UI"/>
                <w:spacing w:val="-3"/>
                <w:sz w:val="21"/>
              </w:rPr>
              <w:t> </w:t>
            </w:r>
            <w:r>
              <w:rPr>
                <w:rFonts w:ascii="Segoe UI"/>
                <w:spacing w:val="-4"/>
                <w:sz w:val="21"/>
              </w:rPr>
              <w:t>Board</w:t>
            </w:r>
          </w:p>
        </w:tc>
      </w:tr>
    </w:tbl>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spacing w:before="35"/>
        <w:rPr>
          <w:rFonts w:ascii="Calibr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34" name="Image 234"/>
            <wp:cNvGraphicFramePr>
              <a:graphicFrameLocks/>
            </wp:cNvGraphicFramePr>
            <a:graphic>
              <a:graphicData uri="http://schemas.openxmlformats.org/drawingml/2006/picture">
                <pic:pic>
                  <pic:nvPicPr>
                    <pic:cNvPr id="234" name="Image 234"/>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35" name="Image 235"/>
            <wp:cNvGraphicFramePr>
              <a:graphicFrameLocks/>
            </wp:cNvGraphicFramePr>
            <a:graphic>
              <a:graphicData uri="http://schemas.openxmlformats.org/drawingml/2006/picture">
                <pic:pic>
                  <pic:nvPicPr>
                    <pic:cNvPr id="235" name="Image 235"/>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Heading3"/>
        <w:numPr>
          <w:ilvl w:val="2"/>
          <w:numId w:val="10"/>
        </w:numPr>
        <w:tabs>
          <w:tab w:pos="1007" w:val="left" w:leader="none"/>
        </w:tabs>
        <w:spacing w:line="240" w:lineRule="auto" w:before="353" w:after="0"/>
        <w:ind w:left="1007" w:right="0" w:hanging="563"/>
        <w:jc w:val="left"/>
      </w:pPr>
      <w:r>
        <w:rPr>
          <w:color w:val="1F4E79"/>
        </w:rPr>
        <w:t>Appendix</w:t>
      </w:r>
      <w:r>
        <w:rPr>
          <w:color w:val="1F4E79"/>
          <w:spacing w:val="-6"/>
        </w:rPr>
        <w:t> </w:t>
      </w:r>
      <w:r>
        <w:rPr>
          <w:color w:val="1F4E79"/>
        </w:rPr>
        <w:t>1 –</w:t>
      </w:r>
      <w:r>
        <w:rPr>
          <w:color w:val="1F4E79"/>
          <w:spacing w:val="-3"/>
        </w:rPr>
        <w:t> </w:t>
      </w:r>
      <w:r>
        <w:rPr>
          <w:color w:val="1F4E79"/>
        </w:rPr>
        <w:t>Roles,</w:t>
      </w:r>
      <w:r>
        <w:rPr>
          <w:color w:val="1F4E79"/>
          <w:spacing w:val="-5"/>
        </w:rPr>
        <w:t> </w:t>
      </w:r>
      <w:r>
        <w:rPr>
          <w:color w:val="1F4E79"/>
        </w:rPr>
        <w:t>Responsibilities,</w:t>
      </w:r>
      <w:r>
        <w:rPr>
          <w:color w:val="1F4E79"/>
          <w:spacing w:val="-4"/>
        </w:rPr>
        <w:t> </w:t>
      </w:r>
      <w:r>
        <w:rPr>
          <w:color w:val="1F4E79"/>
          <w:spacing w:val="-2"/>
        </w:rPr>
        <w:t>Governance</w:t>
      </w:r>
    </w:p>
    <w:p>
      <w:pPr>
        <w:spacing w:before="301"/>
        <w:ind w:left="1009" w:right="0" w:firstLine="0"/>
        <w:jc w:val="left"/>
        <w:rPr>
          <w:rFonts w:ascii="Segoe UI"/>
          <w:b/>
          <w:sz w:val="24"/>
        </w:rPr>
      </w:pPr>
      <w:r>
        <w:rPr>
          <w:rFonts w:ascii="Segoe UI"/>
          <w:b/>
          <w:sz w:val="24"/>
        </w:rPr>
        <w:t>Orthopaedics</w:t>
      </w:r>
      <w:r>
        <w:rPr>
          <w:rFonts w:ascii="Segoe UI"/>
          <w:b/>
          <w:spacing w:val="-6"/>
          <w:sz w:val="24"/>
        </w:rPr>
        <w:t> </w:t>
      </w:r>
      <w:r>
        <w:rPr>
          <w:rFonts w:ascii="Segoe UI"/>
          <w:b/>
          <w:sz w:val="24"/>
        </w:rPr>
        <w:t>Programme</w:t>
      </w:r>
      <w:r>
        <w:rPr>
          <w:rFonts w:ascii="Segoe UI"/>
          <w:b/>
          <w:spacing w:val="-4"/>
          <w:sz w:val="24"/>
        </w:rPr>
        <w:t> Board</w:t>
      </w:r>
    </w:p>
    <w:p>
      <w:pPr>
        <w:pStyle w:val="BodyText"/>
        <w:rPr>
          <w:rFonts w:ascii="Segoe UI"/>
          <w:b/>
          <w:sz w:val="12"/>
        </w:rPr>
      </w:pPr>
    </w:p>
    <w:tbl>
      <w:tblPr>
        <w:tblW w:w="0" w:type="auto"/>
        <w:jc w:val="left"/>
        <w:tblInd w:w="163"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2837"/>
        <w:gridCol w:w="2411"/>
        <w:gridCol w:w="1415"/>
        <w:gridCol w:w="4822"/>
      </w:tblGrid>
      <w:tr>
        <w:trPr>
          <w:trHeight w:val="575" w:hRule="atLeast"/>
        </w:trPr>
        <w:tc>
          <w:tcPr>
            <w:tcW w:w="2837" w:type="dxa"/>
            <w:shd w:val="clear" w:color="auto" w:fill="DBE4F0"/>
          </w:tcPr>
          <w:p>
            <w:pPr>
              <w:pStyle w:val="TableParagraph"/>
              <w:spacing w:before="141"/>
              <w:ind w:left="110"/>
              <w:rPr>
                <w:rFonts w:ascii="Calibri"/>
                <w:b/>
                <w:sz w:val="24"/>
              </w:rPr>
            </w:pPr>
            <w:r>
              <w:rPr>
                <w:rFonts w:ascii="Calibri"/>
                <w:b/>
                <w:color w:val="1F4E79"/>
                <w:spacing w:val="-4"/>
                <w:sz w:val="24"/>
              </w:rPr>
              <w:t>Role</w:t>
            </w:r>
          </w:p>
        </w:tc>
        <w:tc>
          <w:tcPr>
            <w:tcW w:w="2411" w:type="dxa"/>
            <w:shd w:val="clear" w:color="auto" w:fill="DBE4F0"/>
          </w:tcPr>
          <w:p>
            <w:pPr>
              <w:pStyle w:val="TableParagraph"/>
              <w:spacing w:before="141"/>
              <w:ind w:left="109"/>
              <w:rPr>
                <w:rFonts w:ascii="Calibri"/>
                <w:b/>
                <w:sz w:val="24"/>
              </w:rPr>
            </w:pPr>
            <w:r>
              <w:rPr>
                <w:rFonts w:ascii="Calibri"/>
                <w:b/>
                <w:color w:val="1F4E79"/>
                <w:spacing w:val="-5"/>
                <w:sz w:val="24"/>
              </w:rPr>
              <w:t>Org</w:t>
            </w:r>
          </w:p>
        </w:tc>
        <w:tc>
          <w:tcPr>
            <w:tcW w:w="1415" w:type="dxa"/>
            <w:shd w:val="clear" w:color="auto" w:fill="DBE4F0"/>
          </w:tcPr>
          <w:p>
            <w:pPr>
              <w:pStyle w:val="TableParagraph"/>
              <w:spacing w:before="141"/>
              <w:ind w:left="109"/>
              <w:rPr>
                <w:rFonts w:ascii="Calibri"/>
                <w:b/>
                <w:sz w:val="24"/>
              </w:rPr>
            </w:pPr>
            <w:r>
              <w:rPr>
                <w:rFonts w:ascii="Calibri"/>
                <w:b/>
                <w:color w:val="1F4E79"/>
                <w:spacing w:val="-4"/>
                <w:sz w:val="24"/>
              </w:rPr>
              <w:t>Name</w:t>
            </w:r>
          </w:p>
        </w:tc>
        <w:tc>
          <w:tcPr>
            <w:tcW w:w="4822" w:type="dxa"/>
            <w:shd w:val="clear" w:color="auto" w:fill="DBE4F0"/>
          </w:tcPr>
          <w:p>
            <w:pPr>
              <w:pStyle w:val="TableParagraph"/>
              <w:spacing w:before="141"/>
              <w:ind w:left="110"/>
              <w:rPr>
                <w:rFonts w:ascii="Calibri"/>
                <w:b/>
                <w:sz w:val="24"/>
              </w:rPr>
            </w:pPr>
            <w:r>
              <w:rPr>
                <w:rFonts w:ascii="Calibri"/>
                <w:b/>
                <w:color w:val="1F4E79"/>
                <w:spacing w:val="-2"/>
                <w:sz w:val="24"/>
              </w:rPr>
              <w:t>Responsibility</w:t>
            </w:r>
          </w:p>
        </w:tc>
      </w:tr>
      <w:tr>
        <w:trPr>
          <w:trHeight w:val="1400" w:hRule="atLeast"/>
        </w:trPr>
        <w:tc>
          <w:tcPr>
            <w:tcW w:w="2837" w:type="dxa"/>
          </w:tcPr>
          <w:p>
            <w:pPr>
              <w:pStyle w:val="TableParagraph"/>
              <w:spacing w:before="53"/>
              <w:ind w:left="110"/>
              <w:rPr>
                <w:rFonts w:ascii="Segoe UI"/>
                <w:sz w:val="21"/>
              </w:rPr>
            </w:pPr>
            <w:r>
              <w:rPr>
                <w:rFonts w:ascii="Segoe UI"/>
                <w:sz w:val="21"/>
              </w:rPr>
              <w:t>Chief</w:t>
            </w:r>
            <w:r>
              <w:rPr>
                <w:rFonts w:ascii="Segoe UI"/>
                <w:spacing w:val="-3"/>
                <w:sz w:val="21"/>
              </w:rPr>
              <w:t> </w:t>
            </w:r>
            <w:r>
              <w:rPr>
                <w:rFonts w:ascii="Segoe UI"/>
                <w:sz w:val="21"/>
              </w:rPr>
              <w:t>Operating</w:t>
            </w:r>
            <w:r>
              <w:rPr>
                <w:rFonts w:ascii="Segoe UI"/>
                <w:spacing w:val="-1"/>
                <w:sz w:val="21"/>
              </w:rPr>
              <w:t> </w:t>
            </w:r>
            <w:r>
              <w:rPr>
                <w:rFonts w:ascii="Segoe UI"/>
                <w:spacing w:val="-2"/>
                <w:sz w:val="21"/>
              </w:rPr>
              <w:t>Officer</w:t>
            </w:r>
          </w:p>
        </w:tc>
        <w:tc>
          <w:tcPr>
            <w:tcW w:w="2411" w:type="dxa"/>
          </w:tcPr>
          <w:p>
            <w:pPr>
              <w:pStyle w:val="TableParagraph"/>
              <w:spacing w:line="280" w:lineRule="auto" w:before="53"/>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415" w:type="dxa"/>
          </w:tcPr>
          <w:p>
            <w:pPr>
              <w:pStyle w:val="TableParagraph"/>
              <w:spacing w:line="280" w:lineRule="auto" w:before="53"/>
              <w:ind w:left="109"/>
              <w:rPr>
                <w:rFonts w:ascii="Segoe UI"/>
                <w:sz w:val="21"/>
              </w:rPr>
            </w:pPr>
            <w:r>
              <w:rPr>
                <w:rFonts w:ascii="Segoe UI"/>
                <w:spacing w:val="-2"/>
                <w:sz w:val="21"/>
              </w:rPr>
              <w:t>Andrew Carruthers</w:t>
            </w:r>
          </w:p>
        </w:tc>
        <w:tc>
          <w:tcPr>
            <w:tcW w:w="4822" w:type="dxa"/>
          </w:tcPr>
          <w:p>
            <w:pPr>
              <w:pStyle w:val="TableParagraph"/>
              <w:spacing w:line="276" w:lineRule="auto" w:before="53"/>
              <w:ind w:left="110"/>
              <w:rPr>
                <w:rFonts w:ascii="Segoe UI"/>
                <w:sz w:val="21"/>
              </w:rPr>
            </w:pPr>
            <w:r>
              <w:rPr>
                <w:rFonts w:ascii="Segoe UI"/>
                <w:sz w:val="21"/>
              </w:rPr>
              <w:t>SRO- Accountable for programme vision, governance, benefits realisation, funding, risk management,</w:t>
            </w:r>
            <w:r>
              <w:rPr>
                <w:rFonts w:ascii="Segoe UI"/>
                <w:spacing w:val="-7"/>
                <w:sz w:val="21"/>
              </w:rPr>
              <w:t> </w:t>
            </w:r>
            <w:r>
              <w:rPr>
                <w:rFonts w:ascii="Segoe UI"/>
                <w:sz w:val="21"/>
              </w:rPr>
              <w:t>and</w:t>
            </w:r>
            <w:r>
              <w:rPr>
                <w:rFonts w:ascii="Segoe UI"/>
                <w:spacing w:val="-6"/>
                <w:sz w:val="21"/>
              </w:rPr>
              <w:t> </w:t>
            </w:r>
            <w:r>
              <w:rPr>
                <w:rFonts w:ascii="Segoe UI"/>
                <w:sz w:val="21"/>
              </w:rPr>
              <w:t>successful</w:t>
            </w:r>
            <w:r>
              <w:rPr>
                <w:rFonts w:ascii="Segoe UI"/>
                <w:spacing w:val="-7"/>
                <w:sz w:val="21"/>
              </w:rPr>
              <w:t> </w:t>
            </w:r>
            <w:r>
              <w:rPr>
                <w:rFonts w:ascii="Segoe UI"/>
                <w:sz w:val="21"/>
              </w:rPr>
              <w:t>delivery</w:t>
            </w:r>
            <w:r>
              <w:rPr>
                <w:rFonts w:ascii="Segoe UI"/>
                <w:spacing w:val="-12"/>
                <w:sz w:val="21"/>
              </w:rPr>
              <w:t> </w:t>
            </w:r>
            <w:r>
              <w:rPr>
                <w:rFonts w:ascii="Segoe UI"/>
                <w:sz w:val="21"/>
              </w:rPr>
              <w:t>of</w:t>
            </w:r>
            <w:r>
              <w:rPr>
                <w:rFonts w:ascii="Segoe UI"/>
                <w:spacing w:val="-7"/>
                <w:sz w:val="21"/>
              </w:rPr>
              <w:t> </w:t>
            </w:r>
            <w:r>
              <w:rPr>
                <w:rFonts w:ascii="Segoe UI"/>
                <w:sz w:val="21"/>
              </w:rPr>
              <w:t>strategic </w:t>
            </w:r>
            <w:r>
              <w:rPr>
                <w:rFonts w:ascii="Segoe UI"/>
                <w:spacing w:val="-2"/>
                <w:sz w:val="21"/>
              </w:rPr>
              <w:t>outcomes.</w:t>
            </w:r>
          </w:p>
        </w:tc>
      </w:tr>
      <w:tr>
        <w:trPr>
          <w:trHeight w:val="575" w:hRule="atLeast"/>
        </w:trPr>
        <w:tc>
          <w:tcPr>
            <w:tcW w:w="2837" w:type="dxa"/>
            <w:shd w:val="clear" w:color="auto" w:fill="DBE4F0"/>
          </w:tcPr>
          <w:p>
            <w:pPr>
              <w:pStyle w:val="TableParagraph"/>
              <w:spacing w:before="141"/>
              <w:ind w:left="110"/>
              <w:rPr>
                <w:rFonts w:ascii="Calibri"/>
                <w:b/>
                <w:sz w:val="24"/>
              </w:rPr>
            </w:pPr>
            <w:r>
              <w:rPr>
                <w:rFonts w:ascii="Calibri"/>
                <w:b/>
                <w:color w:val="1F4E79"/>
                <w:spacing w:val="-2"/>
                <w:sz w:val="24"/>
              </w:rPr>
              <w:t>Members</w:t>
            </w:r>
          </w:p>
        </w:tc>
        <w:tc>
          <w:tcPr>
            <w:tcW w:w="2411" w:type="dxa"/>
            <w:shd w:val="clear" w:color="auto" w:fill="DBE4F0"/>
          </w:tcPr>
          <w:p>
            <w:pPr>
              <w:pStyle w:val="TableParagraph"/>
              <w:spacing w:before="141"/>
              <w:ind w:left="109"/>
              <w:rPr>
                <w:rFonts w:ascii="Calibri"/>
                <w:b/>
                <w:sz w:val="24"/>
              </w:rPr>
            </w:pPr>
            <w:r>
              <w:rPr>
                <w:rFonts w:ascii="Calibri"/>
                <w:b/>
                <w:color w:val="1F4E79"/>
                <w:spacing w:val="-2"/>
                <w:sz w:val="24"/>
              </w:rPr>
              <w:t>Organisation</w:t>
            </w:r>
          </w:p>
        </w:tc>
        <w:tc>
          <w:tcPr>
            <w:tcW w:w="1415" w:type="dxa"/>
            <w:shd w:val="clear" w:color="auto" w:fill="DBE4F0"/>
          </w:tcPr>
          <w:p>
            <w:pPr>
              <w:pStyle w:val="TableParagraph"/>
              <w:rPr>
                <w:rFonts w:ascii="Times New Roman"/>
                <w:sz w:val="20"/>
              </w:rPr>
            </w:pPr>
          </w:p>
        </w:tc>
        <w:tc>
          <w:tcPr>
            <w:tcW w:w="4822" w:type="dxa"/>
            <w:shd w:val="clear" w:color="auto" w:fill="DBE4F0"/>
          </w:tcPr>
          <w:p>
            <w:pPr>
              <w:pStyle w:val="TableParagraph"/>
              <w:rPr>
                <w:rFonts w:ascii="Times New Roman"/>
                <w:sz w:val="20"/>
              </w:rPr>
            </w:pPr>
          </w:p>
        </w:tc>
      </w:tr>
      <w:tr>
        <w:trPr>
          <w:trHeight w:val="755" w:hRule="atLeast"/>
        </w:trPr>
        <w:tc>
          <w:tcPr>
            <w:tcW w:w="2837" w:type="dxa"/>
          </w:tcPr>
          <w:p>
            <w:pPr>
              <w:pStyle w:val="TableParagraph"/>
              <w:spacing w:line="276" w:lineRule="auto" w:before="58"/>
              <w:ind w:left="110"/>
              <w:rPr>
                <w:rFonts w:ascii="Segoe UI" w:hAnsi="Segoe UI"/>
                <w:sz w:val="21"/>
              </w:rPr>
            </w:pPr>
            <w:r>
              <w:rPr>
                <w:rFonts w:ascii="Segoe UI" w:hAnsi="Segoe UI"/>
                <w:sz w:val="21"/>
              </w:rPr>
              <w:t>Assistant Director of Operations</w:t>
            </w:r>
            <w:r>
              <w:rPr>
                <w:rFonts w:ascii="Segoe UI" w:hAnsi="Segoe UI"/>
                <w:spacing w:val="-11"/>
                <w:sz w:val="21"/>
              </w:rPr>
              <w:t> </w:t>
            </w:r>
            <w:r>
              <w:rPr>
                <w:rFonts w:ascii="Segoe UI" w:hAnsi="Segoe UI"/>
                <w:sz w:val="21"/>
              </w:rPr>
              <w:t>–</w:t>
            </w:r>
            <w:r>
              <w:rPr>
                <w:rFonts w:ascii="Segoe UI" w:hAnsi="Segoe UI"/>
                <w:spacing w:val="-14"/>
                <w:sz w:val="21"/>
              </w:rPr>
              <w:t> </w:t>
            </w:r>
            <w:r>
              <w:rPr>
                <w:rFonts w:ascii="Segoe UI" w:hAnsi="Segoe UI"/>
                <w:sz w:val="21"/>
              </w:rPr>
              <w:t>Planned</w:t>
            </w:r>
            <w:r>
              <w:rPr>
                <w:rFonts w:ascii="Segoe UI" w:hAnsi="Segoe UI"/>
                <w:spacing w:val="-9"/>
                <w:sz w:val="21"/>
              </w:rPr>
              <w:t> </w:t>
            </w:r>
            <w:r>
              <w:rPr>
                <w:rFonts w:ascii="Segoe UI" w:hAnsi="Segoe UI"/>
                <w:sz w:val="21"/>
              </w:rPr>
              <w:t>Care</w:t>
            </w:r>
          </w:p>
        </w:tc>
        <w:tc>
          <w:tcPr>
            <w:tcW w:w="2411" w:type="dxa"/>
          </w:tcPr>
          <w:p>
            <w:pPr>
              <w:pStyle w:val="TableParagraph"/>
              <w:spacing w:line="276" w:lineRule="auto" w:before="58"/>
              <w:ind w:left="109"/>
              <w:rPr>
                <w:rFonts w:ascii="Segoe UI"/>
                <w:sz w:val="21"/>
              </w:rPr>
            </w:pPr>
            <w:r>
              <w:rPr>
                <w:rFonts w:ascii="Segoe UI"/>
                <w:sz w:val="21"/>
              </w:rPr>
              <w:t>Swansea</w:t>
            </w:r>
            <w:r>
              <w:rPr>
                <w:rFonts w:ascii="Segoe UI"/>
                <w:spacing w:val="-15"/>
                <w:sz w:val="21"/>
              </w:rPr>
              <w:t> </w:t>
            </w:r>
            <w:r>
              <w:rPr>
                <w:rFonts w:ascii="Segoe UI"/>
                <w:sz w:val="21"/>
              </w:rPr>
              <w:t>Bay</w:t>
            </w:r>
            <w:r>
              <w:rPr>
                <w:rFonts w:ascii="Segoe UI"/>
                <w:spacing w:val="-14"/>
                <w:sz w:val="21"/>
              </w:rPr>
              <w:t> </w:t>
            </w:r>
            <w:r>
              <w:rPr>
                <w:rFonts w:ascii="Segoe UI"/>
                <w:sz w:val="21"/>
              </w:rPr>
              <w:t>University Health Board</w:t>
            </w:r>
          </w:p>
        </w:tc>
        <w:tc>
          <w:tcPr>
            <w:tcW w:w="1415" w:type="dxa"/>
          </w:tcPr>
          <w:p>
            <w:pPr>
              <w:pStyle w:val="TableParagraph"/>
              <w:spacing w:line="276" w:lineRule="auto" w:before="58"/>
              <w:ind w:left="109" w:right="568"/>
              <w:rPr>
                <w:rFonts w:ascii="Segoe UI"/>
                <w:sz w:val="21"/>
              </w:rPr>
            </w:pPr>
            <w:r>
              <w:rPr>
                <w:rFonts w:ascii="Segoe UI"/>
                <w:spacing w:val="-2"/>
                <w:sz w:val="21"/>
              </w:rPr>
              <w:t>Hannah Parsons</w:t>
            </w:r>
          </w:p>
        </w:tc>
        <w:tc>
          <w:tcPr>
            <w:tcW w:w="4822" w:type="dxa"/>
          </w:tcPr>
          <w:p>
            <w:pPr>
              <w:pStyle w:val="TableParagraph"/>
              <w:spacing w:line="276" w:lineRule="auto" w:before="58"/>
              <w:ind w:left="110" w:right="1319"/>
              <w:rPr>
                <w:rFonts w:ascii="Segoe UI"/>
                <w:sz w:val="21"/>
              </w:rPr>
            </w:pPr>
            <w:r>
              <w:rPr>
                <w:rFonts w:ascii="Segoe UI"/>
                <w:sz w:val="21"/>
              </w:rPr>
              <w:t>Planned</w:t>
            </w:r>
            <w:r>
              <w:rPr>
                <w:rFonts w:ascii="Segoe UI"/>
                <w:spacing w:val="-8"/>
                <w:sz w:val="21"/>
              </w:rPr>
              <w:t> </w:t>
            </w:r>
            <w:r>
              <w:rPr>
                <w:rFonts w:ascii="Segoe UI"/>
                <w:sz w:val="21"/>
              </w:rPr>
              <w:t>Care</w:t>
            </w:r>
            <w:r>
              <w:rPr>
                <w:rFonts w:ascii="Segoe UI"/>
                <w:spacing w:val="-13"/>
                <w:sz w:val="21"/>
              </w:rPr>
              <w:t> </w:t>
            </w:r>
            <w:r>
              <w:rPr>
                <w:rFonts w:ascii="Segoe UI"/>
                <w:sz w:val="21"/>
              </w:rPr>
              <w:t>Programme</w:t>
            </w:r>
            <w:r>
              <w:rPr>
                <w:rFonts w:ascii="Segoe UI"/>
                <w:spacing w:val="-8"/>
                <w:sz w:val="21"/>
              </w:rPr>
              <w:t> </w:t>
            </w:r>
            <w:r>
              <w:rPr>
                <w:rFonts w:ascii="Segoe UI"/>
                <w:sz w:val="21"/>
              </w:rPr>
              <w:t>Board</w:t>
            </w:r>
            <w:r>
              <w:rPr>
                <w:rFonts w:ascii="Segoe UI"/>
                <w:spacing w:val="-12"/>
                <w:sz w:val="21"/>
              </w:rPr>
              <w:t> </w:t>
            </w:r>
            <w:r>
              <w:rPr>
                <w:rFonts w:ascii="Segoe UI"/>
                <w:sz w:val="21"/>
              </w:rPr>
              <w:t>and Organisational alignment</w:t>
            </w:r>
          </w:p>
        </w:tc>
      </w:tr>
      <w:tr>
        <w:trPr>
          <w:trHeight w:val="760" w:hRule="atLeast"/>
        </w:trPr>
        <w:tc>
          <w:tcPr>
            <w:tcW w:w="2837" w:type="dxa"/>
          </w:tcPr>
          <w:p>
            <w:pPr>
              <w:pStyle w:val="TableParagraph"/>
              <w:spacing w:line="276" w:lineRule="auto" w:before="58"/>
              <w:ind w:left="110"/>
              <w:rPr>
                <w:rFonts w:ascii="Segoe UI"/>
                <w:sz w:val="21"/>
              </w:rPr>
            </w:pPr>
            <w:r>
              <w:rPr>
                <w:rFonts w:ascii="Segoe UI"/>
                <w:sz w:val="21"/>
              </w:rPr>
              <w:t>Service</w:t>
            </w:r>
            <w:r>
              <w:rPr>
                <w:rFonts w:ascii="Segoe UI"/>
                <w:spacing w:val="-12"/>
                <w:sz w:val="21"/>
              </w:rPr>
              <w:t> </w:t>
            </w:r>
            <w:r>
              <w:rPr>
                <w:rFonts w:ascii="Segoe UI"/>
                <w:sz w:val="21"/>
              </w:rPr>
              <w:t>Director</w:t>
            </w:r>
            <w:r>
              <w:rPr>
                <w:rFonts w:ascii="Segoe UI"/>
                <w:spacing w:val="-11"/>
                <w:sz w:val="21"/>
              </w:rPr>
              <w:t> </w:t>
            </w:r>
            <w:r>
              <w:rPr>
                <w:rFonts w:ascii="Segoe UI"/>
                <w:sz w:val="21"/>
              </w:rPr>
              <w:t>for</w:t>
            </w:r>
            <w:r>
              <w:rPr>
                <w:rFonts w:ascii="Segoe UI"/>
                <w:spacing w:val="-14"/>
                <w:sz w:val="21"/>
              </w:rPr>
              <w:t> </w:t>
            </w:r>
            <w:r>
              <w:rPr>
                <w:rFonts w:ascii="Segoe UI"/>
                <w:sz w:val="21"/>
              </w:rPr>
              <w:t>Planned and Specialist Care</w:t>
            </w:r>
          </w:p>
        </w:tc>
        <w:tc>
          <w:tcPr>
            <w:tcW w:w="2411" w:type="dxa"/>
          </w:tcPr>
          <w:p>
            <w:pPr>
              <w:pStyle w:val="TableParagraph"/>
              <w:spacing w:line="276" w:lineRule="auto" w:before="58"/>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415" w:type="dxa"/>
          </w:tcPr>
          <w:p>
            <w:pPr>
              <w:pStyle w:val="TableParagraph"/>
              <w:spacing w:before="58"/>
              <w:ind w:left="109"/>
              <w:rPr>
                <w:rFonts w:ascii="Segoe UI"/>
                <w:sz w:val="21"/>
              </w:rPr>
            </w:pPr>
            <w:r>
              <w:rPr>
                <w:rFonts w:ascii="Segoe UI"/>
                <w:sz w:val="21"/>
              </w:rPr>
              <w:t>Paula</w:t>
            </w:r>
            <w:r>
              <w:rPr>
                <w:rFonts w:ascii="Segoe UI"/>
                <w:spacing w:val="-3"/>
                <w:sz w:val="21"/>
              </w:rPr>
              <w:t> </w:t>
            </w:r>
            <w:r>
              <w:rPr>
                <w:rFonts w:ascii="Segoe UI"/>
                <w:spacing w:val="-2"/>
                <w:sz w:val="21"/>
              </w:rPr>
              <w:t>Goode</w:t>
            </w:r>
          </w:p>
        </w:tc>
        <w:tc>
          <w:tcPr>
            <w:tcW w:w="4822" w:type="dxa"/>
          </w:tcPr>
          <w:p>
            <w:pPr>
              <w:pStyle w:val="TableParagraph"/>
              <w:spacing w:before="58"/>
              <w:ind w:left="110"/>
              <w:rPr>
                <w:rFonts w:ascii="Segoe UI"/>
                <w:sz w:val="21"/>
              </w:rPr>
            </w:pPr>
            <w:r>
              <w:rPr>
                <w:rFonts w:ascii="Segoe UI"/>
                <w:sz w:val="21"/>
              </w:rPr>
              <w:t>Clinical</w:t>
            </w:r>
            <w:r>
              <w:rPr>
                <w:rFonts w:ascii="Segoe UI"/>
                <w:spacing w:val="-3"/>
                <w:sz w:val="21"/>
              </w:rPr>
              <w:t> </w:t>
            </w:r>
            <w:r>
              <w:rPr>
                <w:rFonts w:ascii="Segoe UI"/>
                <w:sz w:val="21"/>
              </w:rPr>
              <w:t>Care</w:t>
            </w:r>
            <w:r>
              <w:rPr>
                <w:rFonts w:ascii="Segoe UI"/>
                <w:spacing w:val="-1"/>
                <w:sz w:val="21"/>
              </w:rPr>
              <w:t> </w:t>
            </w:r>
            <w:r>
              <w:rPr>
                <w:rFonts w:ascii="Segoe UI"/>
                <w:sz w:val="21"/>
              </w:rPr>
              <w:t>Group</w:t>
            </w:r>
            <w:r>
              <w:rPr>
                <w:rFonts w:ascii="Segoe UI"/>
                <w:spacing w:val="-5"/>
                <w:sz w:val="21"/>
              </w:rPr>
              <w:t> </w:t>
            </w:r>
            <w:r>
              <w:rPr>
                <w:rFonts w:ascii="Segoe UI"/>
                <w:sz w:val="21"/>
              </w:rPr>
              <w:t>and</w:t>
            </w:r>
            <w:r>
              <w:rPr>
                <w:rFonts w:ascii="Segoe UI"/>
                <w:spacing w:val="-5"/>
                <w:sz w:val="21"/>
              </w:rPr>
              <w:t> </w:t>
            </w:r>
            <w:r>
              <w:rPr>
                <w:rFonts w:ascii="Segoe UI"/>
                <w:sz w:val="21"/>
              </w:rPr>
              <w:t>Organisational</w:t>
            </w:r>
            <w:r>
              <w:rPr>
                <w:rFonts w:ascii="Segoe UI"/>
                <w:spacing w:val="-2"/>
                <w:sz w:val="21"/>
              </w:rPr>
              <w:t> alignment</w:t>
            </w:r>
          </w:p>
        </w:tc>
      </w:tr>
      <w:tr>
        <w:trPr>
          <w:trHeight w:val="755" w:hRule="atLeast"/>
        </w:trPr>
        <w:tc>
          <w:tcPr>
            <w:tcW w:w="2837" w:type="dxa"/>
          </w:tcPr>
          <w:p>
            <w:pPr>
              <w:pStyle w:val="TableParagraph"/>
              <w:spacing w:line="276" w:lineRule="auto" w:before="53"/>
              <w:ind w:left="110" w:right="320"/>
              <w:rPr>
                <w:rFonts w:ascii="Segoe UI"/>
                <w:sz w:val="21"/>
              </w:rPr>
            </w:pPr>
            <w:r>
              <w:rPr>
                <w:rFonts w:ascii="Segoe UI"/>
                <w:sz w:val="21"/>
              </w:rPr>
              <w:t>Clinical Lead for the Orthopaedics</w:t>
            </w:r>
            <w:r>
              <w:rPr>
                <w:rFonts w:ascii="Segoe UI"/>
                <w:spacing w:val="-15"/>
                <w:sz w:val="21"/>
              </w:rPr>
              <w:t> </w:t>
            </w:r>
            <w:r>
              <w:rPr>
                <w:rFonts w:ascii="Segoe UI"/>
                <w:sz w:val="21"/>
              </w:rPr>
              <w:t>Programme</w:t>
            </w:r>
          </w:p>
        </w:tc>
        <w:tc>
          <w:tcPr>
            <w:tcW w:w="2411" w:type="dxa"/>
          </w:tcPr>
          <w:p>
            <w:pPr>
              <w:pStyle w:val="TableParagraph"/>
              <w:spacing w:line="276" w:lineRule="auto" w:before="53"/>
              <w:ind w:left="109"/>
              <w:rPr>
                <w:rFonts w:ascii="Segoe UI"/>
                <w:sz w:val="21"/>
              </w:rPr>
            </w:pPr>
            <w:r>
              <w:rPr>
                <w:rFonts w:ascii="Segoe UI"/>
                <w:sz w:val="21"/>
              </w:rPr>
              <w:t>Swansea</w:t>
            </w:r>
            <w:r>
              <w:rPr>
                <w:rFonts w:ascii="Segoe UI"/>
                <w:spacing w:val="-15"/>
                <w:sz w:val="21"/>
              </w:rPr>
              <w:t> </w:t>
            </w:r>
            <w:r>
              <w:rPr>
                <w:rFonts w:ascii="Segoe UI"/>
                <w:sz w:val="21"/>
              </w:rPr>
              <w:t>Bay</w:t>
            </w:r>
            <w:r>
              <w:rPr>
                <w:rFonts w:ascii="Segoe UI"/>
                <w:spacing w:val="-14"/>
                <w:sz w:val="21"/>
              </w:rPr>
              <w:t> </w:t>
            </w:r>
            <w:r>
              <w:rPr>
                <w:rFonts w:ascii="Segoe UI"/>
                <w:sz w:val="21"/>
              </w:rPr>
              <w:t>University Health Board</w:t>
            </w:r>
          </w:p>
        </w:tc>
        <w:tc>
          <w:tcPr>
            <w:tcW w:w="1415" w:type="dxa"/>
          </w:tcPr>
          <w:p>
            <w:pPr>
              <w:pStyle w:val="TableParagraph"/>
              <w:spacing w:line="276" w:lineRule="auto" w:before="53"/>
              <w:ind w:left="109" w:right="291"/>
              <w:rPr>
                <w:rFonts w:ascii="Segoe UI"/>
                <w:sz w:val="21"/>
              </w:rPr>
            </w:pPr>
            <w:r>
              <w:rPr>
                <w:rFonts w:ascii="Segoe UI"/>
                <w:spacing w:val="-4"/>
                <w:sz w:val="21"/>
              </w:rPr>
              <w:t>Mark </w:t>
            </w:r>
            <w:r>
              <w:rPr>
                <w:rFonts w:ascii="Segoe UI"/>
                <w:spacing w:val="-2"/>
                <w:sz w:val="21"/>
              </w:rPr>
              <w:t>Pritchard</w:t>
            </w:r>
          </w:p>
        </w:tc>
        <w:tc>
          <w:tcPr>
            <w:tcW w:w="4822" w:type="dxa"/>
          </w:tcPr>
          <w:p>
            <w:pPr>
              <w:pStyle w:val="TableParagraph"/>
              <w:spacing w:line="276" w:lineRule="auto" w:before="53"/>
              <w:ind w:left="110" w:right="213"/>
              <w:rPr>
                <w:rFonts w:ascii="Segoe UI"/>
                <w:sz w:val="21"/>
              </w:rPr>
            </w:pPr>
            <w:r>
              <w:rPr>
                <w:rFonts w:ascii="Segoe UI"/>
                <w:sz w:val="21"/>
              </w:rPr>
              <w:t>Represents</w:t>
            </w:r>
            <w:r>
              <w:rPr>
                <w:rFonts w:ascii="Segoe UI"/>
                <w:spacing w:val="-11"/>
                <w:sz w:val="21"/>
              </w:rPr>
              <w:t> </w:t>
            </w:r>
            <w:r>
              <w:rPr>
                <w:rFonts w:ascii="Segoe UI"/>
                <w:sz w:val="21"/>
              </w:rPr>
              <w:t>clinical</w:t>
            </w:r>
            <w:r>
              <w:rPr>
                <w:rFonts w:ascii="Segoe UI"/>
                <w:spacing w:val="-8"/>
                <w:sz w:val="21"/>
              </w:rPr>
              <w:t> </w:t>
            </w:r>
            <w:r>
              <w:rPr>
                <w:rFonts w:ascii="Segoe UI"/>
                <w:sz w:val="21"/>
              </w:rPr>
              <w:t>body.</w:t>
            </w:r>
            <w:r>
              <w:rPr>
                <w:rFonts w:ascii="Segoe UI"/>
                <w:spacing w:val="40"/>
                <w:sz w:val="21"/>
              </w:rPr>
              <w:t> </w:t>
            </w:r>
            <w:r>
              <w:rPr>
                <w:rFonts w:ascii="Segoe UI"/>
                <w:sz w:val="21"/>
              </w:rPr>
              <w:t>Clinical</w:t>
            </w:r>
            <w:r>
              <w:rPr>
                <w:rFonts w:ascii="Segoe UI"/>
                <w:spacing w:val="-8"/>
                <w:sz w:val="21"/>
              </w:rPr>
              <w:t> </w:t>
            </w:r>
            <w:r>
              <w:rPr>
                <w:rFonts w:ascii="Segoe UI"/>
                <w:sz w:val="21"/>
              </w:rPr>
              <w:t>decision making and assurance.</w:t>
            </w:r>
          </w:p>
        </w:tc>
      </w:tr>
      <w:tr>
        <w:trPr>
          <w:trHeight w:val="1080" w:hRule="atLeast"/>
        </w:trPr>
        <w:tc>
          <w:tcPr>
            <w:tcW w:w="2837" w:type="dxa"/>
          </w:tcPr>
          <w:p>
            <w:pPr>
              <w:pStyle w:val="TableParagraph"/>
              <w:spacing w:line="278" w:lineRule="auto" w:before="53"/>
              <w:ind w:left="110"/>
              <w:rPr>
                <w:rFonts w:ascii="Segoe UI"/>
                <w:sz w:val="21"/>
              </w:rPr>
            </w:pPr>
            <w:r>
              <w:rPr>
                <w:rFonts w:ascii="Segoe UI"/>
                <w:sz w:val="21"/>
              </w:rPr>
              <w:t>Clinical</w:t>
            </w:r>
            <w:r>
              <w:rPr>
                <w:rFonts w:ascii="Segoe UI"/>
                <w:spacing w:val="-14"/>
                <w:sz w:val="21"/>
              </w:rPr>
              <w:t> </w:t>
            </w:r>
            <w:r>
              <w:rPr>
                <w:rFonts w:ascii="Segoe UI"/>
                <w:sz w:val="21"/>
              </w:rPr>
              <w:t>Lead,</w:t>
            </w:r>
            <w:r>
              <w:rPr>
                <w:rFonts w:ascii="Segoe UI"/>
                <w:spacing w:val="-14"/>
                <w:sz w:val="21"/>
              </w:rPr>
              <w:t> </w:t>
            </w:r>
            <w:r>
              <w:rPr>
                <w:rFonts w:ascii="Segoe UI"/>
                <w:sz w:val="21"/>
              </w:rPr>
              <w:t>Trauma</w:t>
            </w:r>
            <w:r>
              <w:rPr>
                <w:rFonts w:ascii="Segoe UI"/>
                <w:spacing w:val="-14"/>
                <w:sz w:val="21"/>
              </w:rPr>
              <w:t> </w:t>
            </w:r>
            <w:r>
              <w:rPr>
                <w:rFonts w:ascii="Segoe UI"/>
                <w:sz w:val="21"/>
              </w:rPr>
              <w:t>and </w:t>
            </w:r>
            <w:r>
              <w:rPr>
                <w:rFonts w:ascii="Segoe UI"/>
                <w:spacing w:val="-2"/>
                <w:sz w:val="21"/>
              </w:rPr>
              <w:t>Orthopaedics</w:t>
            </w:r>
          </w:p>
        </w:tc>
        <w:tc>
          <w:tcPr>
            <w:tcW w:w="2411" w:type="dxa"/>
          </w:tcPr>
          <w:p>
            <w:pPr>
              <w:pStyle w:val="TableParagraph"/>
              <w:spacing w:line="278" w:lineRule="auto" w:before="53"/>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415" w:type="dxa"/>
          </w:tcPr>
          <w:p>
            <w:pPr>
              <w:pStyle w:val="TableParagraph"/>
              <w:spacing w:before="53"/>
              <w:ind w:left="109"/>
              <w:rPr>
                <w:rFonts w:ascii="Segoe UI"/>
                <w:sz w:val="21"/>
              </w:rPr>
            </w:pPr>
            <w:r>
              <w:rPr>
                <w:rFonts w:ascii="Segoe UI"/>
                <w:sz w:val="21"/>
              </w:rPr>
              <w:t>Owain</w:t>
            </w:r>
            <w:r>
              <w:rPr>
                <w:rFonts w:ascii="Segoe UI"/>
                <w:spacing w:val="-1"/>
                <w:sz w:val="21"/>
              </w:rPr>
              <w:t> </w:t>
            </w:r>
            <w:r>
              <w:rPr>
                <w:rFonts w:ascii="Segoe UI"/>
                <w:spacing w:val="-2"/>
                <w:sz w:val="21"/>
              </w:rPr>
              <w:t>Ennis</w:t>
            </w:r>
          </w:p>
        </w:tc>
        <w:tc>
          <w:tcPr>
            <w:tcW w:w="4822" w:type="dxa"/>
          </w:tcPr>
          <w:p>
            <w:pPr>
              <w:pStyle w:val="TableParagraph"/>
              <w:spacing w:line="276" w:lineRule="auto" w:before="53"/>
              <w:ind w:left="110" w:right="213"/>
              <w:rPr>
                <w:rFonts w:ascii="Segoe UI"/>
                <w:sz w:val="21"/>
              </w:rPr>
            </w:pPr>
            <w:r>
              <w:rPr>
                <w:rFonts w:ascii="Segoe UI"/>
                <w:sz w:val="21"/>
              </w:rPr>
              <w:t>Deputy</w:t>
            </w:r>
            <w:r>
              <w:rPr>
                <w:rFonts w:ascii="Segoe UI"/>
                <w:spacing w:val="-7"/>
                <w:sz w:val="21"/>
              </w:rPr>
              <w:t> </w:t>
            </w:r>
            <w:r>
              <w:rPr>
                <w:rFonts w:ascii="Segoe UI"/>
                <w:sz w:val="21"/>
              </w:rPr>
              <w:t>Clinical</w:t>
            </w:r>
            <w:r>
              <w:rPr>
                <w:rFonts w:ascii="Segoe UI"/>
                <w:spacing w:val="-7"/>
                <w:sz w:val="21"/>
              </w:rPr>
              <w:t> </w:t>
            </w:r>
            <w:r>
              <w:rPr>
                <w:rFonts w:ascii="Segoe UI"/>
                <w:sz w:val="21"/>
              </w:rPr>
              <w:t>Lead.</w:t>
            </w:r>
            <w:r>
              <w:rPr>
                <w:rFonts w:ascii="Segoe UI"/>
                <w:spacing w:val="40"/>
                <w:sz w:val="21"/>
              </w:rPr>
              <w:t> </w:t>
            </w:r>
            <w:r>
              <w:rPr>
                <w:rFonts w:ascii="Segoe UI"/>
                <w:sz w:val="21"/>
              </w:rPr>
              <w:t>Represents</w:t>
            </w:r>
            <w:r>
              <w:rPr>
                <w:rFonts w:ascii="Segoe UI"/>
                <w:spacing w:val="-9"/>
                <w:sz w:val="21"/>
              </w:rPr>
              <w:t> </w:t>
            </w:r>
            <w:r>
              <w:rPr>
                <w:rFonts w:ascii="Segoe UI"/>
                <w:sz w:val="21"/>
              </w:rPr>
              <w:t>Hywel</w:t>
            </w:r>
            <w:r>
              <w:rPr>
                <w:rFonts w:ascii="Segoe UI"/>
                <w:spacing w:val="-7"/>
                <w:sz w:val="21"/>
              </w:rPr>
              <w:t> </w:t>
            </w:r>
            <w:r>
              <w:rPr>
                <w:rFonts w:ascii="Segoe UI"/>
                <w:sz w:val="21"/>
              </w:rPr>
              <w:t>Dda clinical body.</w:t>
            </w:r>
            <w:r>
              <w:rPr>
                <w:rFonts w:ascii="Segoe UI"/>
                <w:spacing w:val="40"/>
                <w:sz w:val="21"/>
              </w:rPr>
              <w:t> </w:t>
            </w:r>
            <w:r>
              <w:rPr>
                <w:rFonts w:ascii="Segoe UI"/>
                <w:sz w:val="21"/>
              </w:rPr>
              <w:t>Clinical decision making and </w:t>
            </w:r>
            <w:r>
              <w:rPr>
                <w:rFonts w:ascii="Segoe UI"/>
                <w:spacing w:val="-2"/>
                <w:sz w:val="21"/>
              </w:rPr>
              <w:t>assurance.</w:t>
            </w:r>
          </w:p>
        </w:tc>
      </w:tr>
      <w:tr>
        <w:trPr>
          <w:trHeight w:val="755" w:hRule="atLeast"/>
        </w:trPr>
        <w:tc>
          <w:tcPr>
            <w:tcW w:w="2837" w:type="dxa"/>
          </w:tcPr>
          <w:p>
            <w:pPr>
              <w:pStyle w:val="TableParagraph"/>
              <w:spacing w:line="276" w:lineRule="auto" w:before="53"/>
              <w:ind w:left="110"/>
              <w:rPr>
                <w:rFonts w:ascii="Segoe UI"/>
                <w:sz w:val="21"/>
              </w:rPr>
            </w:pPr>
            <w:r>
              <w:rPr>
                <w:rFonts w:ascii="Segoe UI"/>
                <w:sz w:val="21"/>
              </w:rPr>
              <w:t>Director of Operational Planning</w:t>
            </w:r>
            <w:r>
              <w:rPr>
                <w:rFonts w:ascii="Segoe UI"/>
                <w:spacing w:val="-15"/>
                <w:sz w:val="21"/>
              </w:rPr>
              <w:t> </w:t>
            </w:r>
            <w:r>
              <w:rPr>
                <w:rFonts w:ascii="Segoe UI"/>
                <w:sz w:val="21"/>
              </w:rPr>
              <w:t>&amp;</w:t>
            </w:r>
            <w:r>
              <w:rPr>
                <w:rFonts w:ascii="Segoe UI"/>
                <w:spacing w:val="-14"/>
                <w:sz w:val="21"/>
              </w:rPr>
              <w:t> </w:t>
            </w:r>
            <w:r>
              <w:rPr>
                <w:rFonts w:ascii="Segoe UI"/>
                <w:sz w:val="21"/>
              </w:rPr>
              <w:t>Performance</w:t>
            </w:r>
          </w:p>
        </w:tc>
        <w:tc>
          <w:tcPr>
            <w:tcW w:w="2411" w:type="dxa"/>
          </w:tcPr>
          <w:p>
            <w:pPr>
              <w:pStyle w:val="TableParagraph"/>
              <w:spacing w:line="276" w:lineRule="auto" w:before="53"/>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415" w:type="dxa"/>
          </w:tcPr>
          <w:p>
            <w:pPr>
              <w:pStyle w:val="TableParagraph"/>
              <w:spacing w:before="53"/>
              <w:ind w:left="109"/>
              <w:rPr>
                <w:rFonts w:ascii="Segoe UI"/>
                <w:sz w:val="21"/>
              </w:rPr>
            </w:pPr>
            <w:r>
              <w:rPr>
                <w:rFonts w:ascii="Segoe UI"/>
                <w:sz w:val="21"/>
              </w:rPr>
              <w:t>Keith</w:t>
            </w:r>
            <w:r>
              <w:rPr>
                <w:rFonts w:ascii="Segoe UI"/>
                <w:spacing w:val="-5"/>
                <w:sz w:val="21"/>
              </w:rPr>
              <w:t> </w:t>
            </w:r>
            <w:r>
              <w:rPr>
                <w:rFonts w:ascii="Segoe UI"/>
                <w:spacing w:val="-2"/>
                <w:sz w:val="21"/>
              </w:rPr>
              <w:t>Jones</w:t>
            </w:r>
          </w:p>
        </w:tc>
        <w:tc>
          <w:tcPr>
            <w:tcW w:w="4822" w:type="dxa"/>
          </w:tcPr>
          <w:p>
            <w:pPr>
              <w:pStyle w:val="TableParagraph"/>
              <w:spacing w:before="53"/>
              <w:ind w:left="110"/>
              <w:rPr>
                <w:rFonts w:ascii="Segoe UI"/>
                <w:sz w:val="21"/>
              </w:rPr>
            </w:pPr>
            <w:r>
              <w:rPr>
                <w:rFonts w:ascii="Segoe UI"/>
                <w:sz w:val="21"/>
              </w:rPr>
              <w:t>Regional</w:t>
            </w:r>
            <w:r>
              <w:rPr>
                <w:rFonts w:ascii="Segoe UI"/>
                <w:spacing w:val="-3"/>
                <w:sz w:val="21"/>
              </w:rPr>
              <w:t> </w:t>
            </w:r>
            <w:r>
              <w:rPr>
                <w:rFonts w:ascii="Segoe UI"/>
                <w:sz w:val="21"/>
              </w:rPr>
              <w:t>planning</w:t>
            </w:r>
            <w:r>
              <w:rPr>
                <w:rFonts w:ascii="Segoe UI"/>
                <w:spacing w:val="-5"/>
                <w:sz w:val="21"/>
              </w:rPr>
              <w:t> </w:t>
            </w:r>
            <w:r>
              <w:rPr>
                <w:rFonts w:ascii="Segoe UI"/>
                <w:sz w:val="21"/>
              </w:rPr>
              <w:t>lead Hywel</w:t>
            </w:r>
            <w:r>
              <w:rPr>
                <w:rFonts w:ascii="Segoe UI"/>
                <w:spacing w:val="-2"/>
                <w:sz w:val="21"/>
              </w:rPr>
              <w:t> </w:t>
            </w:r>
            <w:r>
              <w:rPr>
                <w:rFonts w:ascii="Segoe UI"/>
                <w:spacing w:val="-5"/>
                <w:sz w:val="21"/>
              </w:rPr>
              <w:t>Dda</w:t>
            </w:r>
          </w:p>
        </w:tc>
      </w:tr>
      <w:tr>
        <w:trPr>
          <w:trHeight w:val="1720" w:hRule="atLeast"/>
        </w:trPr>
        <w:tc>
          <w:tcPr>
            <w:tcW w:w="2837" w:type="dxa"/>
          </w:tcPr>
          <w:p>
            <w:pPr>
              <w:pStyle w:val="TableParagraph"/>
              <w:spacing w:line="278" w:lineRule="auto" w:before="53"/>
              <w:ind w:left="110" w:right="320"/>
              <w:rPr>
                <w:rFonts w:ascii="Segoe UI"/>
                <w:sz w:val="21"/>
              </w:rPr>
            </w:pPr>
            <w:r>
              <w:rPr>
                <w:rFonts w:ascii="Segoe UI"/>
                <w:sz w:val="21"/>
              </w:rPr>
              <w:t>Data</w:t>
            </w:r>
            <w:r>
              <w:rPr>
                <w:rFonts w:ascii="Segoe UI"/>
                <w:spacing w:val="-15"/>
                <w:sz w:val="21"/>
              </w:rPr>
              <w:t> </w:t>
            </w:r>
            <w:r>
              <w:rPr>
                <w:rFonts w:ascii="Segoe UI"/>
                <w:sz w:val="21"/>
              </w:rPr>
              <w:t>and</w:t>
            </w:r>
            <w:r>
              <w:rPr>
                <w:rFonts w:ascii="Segoe UI"/>
                <w:spacing w:val="-13"/>
                <w:sz w:val="21"/>
              </w:rPr>
              <w:t> </w:t>
            </w:r>
            <w:r>
              <w:rPr>
                <w:rFonts w:ascii="Segoe UI"/>
                <w:sz w:val="21"/>
              </w:rPr>
              <w:t>Digital</w:t>
            </w:r>
            <w:r>
              <w:rPr>
                <w:rFonts w:ascii="Segoe UI"/>
                <w:spacing w:val="-14"/>
                <w:sz w:val="21"/>
              </w:rPr>
              <w:t> </w:t>
            </w:r>
            <w:r>
              <w:rPr>
                <w:rFonts w:ascii="Segoe UI"/>
                <w:sz w:val="21"/>
              </w:rPr>
              <w:t>Directors (two invitations, one </w:t>
            </w:r>
            <w:r>
              <w:rPr>
                <w:rFonts w:ascii="Segoe UI"/>
                <w:spacing w:val="-2"/>
                <w:sz w:val="21"/>
              </w:rPr>
              <w:t>attends)</w:t>
            </w:r>
          </w:p>
        </w:tc>
        <w:tc>
          <w:tcPr>
            <w:tcW w:w="2411" w:type="dxa"/>
          </w:tcPr>
          <w:p>
            <w:pPr>
              <w:pStyle w:val="TableParagraph"/>
              <w:spacing w:line="278" w:lineRule="auto" w:before="53"/>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p>
            <w:pPr>
              <w:pStyle w:val="TableParagraph"/>
              <w:spacing w:line="276" w:lineRule="auto"/>
              <w:ind w:left="109"/>
              <w:rPr>
                <w:rFonts w:ascii="Segoe UI"/>
                <w:sz w:val="21"/>
              </w:rPr>
            </w:pPr>
            <w:r>
              <w:rPr>
                <w:rFonts w:ascii="Segoe UI"/>
                <w:sz w:val="21"/>
              </w:rPr>
              <w:t>Swansea</w:t>
            </w:r>
            <w:r>
              <w:rPr>
                <w:rFonts w:ascii="Segoe UI"/>
                <w:spacing w:val="-15"/>
                <w:sz w:val="21"/>
              </w:rPr>
              <w:t> </w:t>
            </w:r>
            <w:r>
              <w:rPr>
                <w:rFonts w:ascii="Segoe UI"/>
                <w:sz w:val="21"/>
              </w:rPr>
              <w:t>Bay</w:t>
            </w:r>
            <w:r>
              <w:rPr>
                <w:rFonts w:ascii="Segoe UI"/>
                <w:spacing w:val="-14"/>
                <w:sz w:val="21"/>
              </w:rPr>
              <w:t> </w:t>
            </w:r>
            <w:r>
              <w:rPr>
                <w:rFonts w:ascii="Segoe UI"/>
                <w:sz w:val="21"/>
              </w:rPr>
              <w:t>University Health Board</w:t>
            </w:r>
          </w:p>
        </w:tc>
        <w:tc>
          <w:tcPr>
            <w:tcW w:w="1415" w:type="dxa"/>
          </w:tcPr>
          <w:p>
            <w:pPr>
              <w:pStyle w:val="TableParagraph"/>
              <w:spacing w:line="278" w:lineRule="auto" w:before="53"/>
              <w:ind w:left="109" w:right="291"/>
              <w:rPr>
                <w:rFonts w:ascii="Segoe UI"/>
                <w:sz w:val="21"/>
              </w:rPr>
            </w:pPr>
            <w:r>
              <w:rPr>
                <w:rFonts w:ascii="Segoe UI"/>
                <w:spacing w:val="-2"/>
                <w:sz w:val="21"/>
              </w:rPr>
              <w:t>Anthony Tracey </w:t>
            </w:r>
            <w:r>
              <w:rPr>
                <w:rFonts w:ascii="Segoe UI"/>
                <w:sz w:val="21"/>
              </w:rPr>
              <w:t>Matt</w:t>
            </w:r>
            <w:r>
              <w:rPr>
                <w:rFonts w:ascii="Segoe UI"/>
                <w:spacing w:val="-15"/>
                <w:sz w:val="21"/>
              </w:rPr>
              <w:t> </w:t>
            </w:r>
            <w:r>
              <w:rPr>
                <w:rFonts w:ascii="Segoe UI"/>
                <w:sz w:val="21"/>
              </w:rPr>
              <w:t>John</w:t>
            </w:r>
          </w:p>
        </w:tc>
        <w:tc>
          <w:tcPr>
            <w:tcW w:w="4822" w:type="dxa"/>
          </w:tcPr>
          <w:p>
            <w:pPr>
              <w:pStyle w:val="TableParagraph"/>
              <w:spacing w:line="276" w:lineRule="auto" w:before="53"/>
              <w:ind w:left="110" w:right="169"/>
              <w:rPr>
                <w:rFonts w:ascii="Segoe UI"/>
                <w:sz w:val="21"/>
              </w:rPr>
            </w:pPr>
            <w:r>
              <w:rPr>
                <w:rFonts w:ascii="Segoe UI"/>
                <w:sz w:val="21"/>
              </w:rPr>
              <w:t>Represent regional Data and Digital subgroup Alignment</w:t>
            </w:r>
            <w:r>
              <w:rPr>
                <w:rFonts w:ascii="Segoe UI"/>
                <w:spacing w:val="-10"/>
                <w:sz w:val="21"/>
              </w:rPr>
              <w:t> </w:t>
            </w:r>
            <w:r>
              <w:rPr>
                <w:rFonts w:ascii="Segoe UI"/>
                <w:sz w:val="21"/>
              </w:rPr>
              <w:t>with</w:t>
            </w:r>
            <w:r>
              <w:rPr>
                <w:rFonts w:ascii="Segoe UI"/>
                <w:spacing w:val="-8"/>
                <w:sz w:val="21"/>
              </w:rPr>
              <w:t> </w:t>
            </w:r>
            <w:r>
              <w:rPr>
                <w:rFonts w:ascii="Segoe UI"/>
                <w:sz w:val="21"/>
              </w:rPr>
              <w:t>Organisational</w:t>
            </w:r>
            <w:r>
              <w:rPr>
                <w:rFonts w:ascii="Segoe UI"/>
                <w:spacing w:val="-10"/>
                <w:sz w:val="21"/>
              </w:rPr>
              <w:t> </w:t>
            </w:r>
            <w:r>
              <w:rPr>
                <w:rFonts w:ascii="Segoe UI"/>
                <w:sz w:val="21"/>
              </w:rPr>
              <w:t>Data</w:t>
            </w:r>
            <w:r>
              <w:rPr>
                <w:rFonts w:ascii="Segoe UI"/>
                <w:spacing w:val="-11"/>
                <w:sz w:val="21"/>
              </w:rPr>
              <w:t> </w:t>
            </w:r>
            <w:r>
              <w:rPr>
                <w:rFonts w:ascii="Segoe UI"/>
                <w:sz w:val="21"/>
              </w:rPr>
              <w:t>Digital</w:t>
            </w:r>
            <w:r>
              <w:rPr>
                <w:rFonts w:ascii="Segoe UI"/>
                <w:spacing w:val="-10"/>
                <w:sz w:val="21"/>
              </w:rPr>
              <w:t> </w:t>
            </w:r>
            <w:r>
              <w:rPr>
                <w:rFonts w:ascii="Segoe UI"/>
                <w:sz w:val="21"/>
              </w:rPr>
              <w:t>plans Data and Digital governance and Decision </w:t>
            </w:r>
            <w:r>
              <w:rPr>
                <w:rFonts w:ascii="Segoe UI"/>
                <w:spacing w:val="-2"/>
                <w:sz w:val="21"/>
              </w:rPr>
              <w:t>making</w:t>
            </w:r>
          </w:p>
          <w:p>
            <w:pPr>
              <w:pStyle w:val="TableParagraph"/>
              <w:spacing w:before="1"/>
              <w:ind w:left="110"/>
              <w:rPr>
                <w:rFonts w:ascii="Segoe UI"/>
                <w:sz w:val="21"/>
              </w:rPr>
            </w:pPr>
            <w:r>
              <w:rPr>
                <w:rFonts w:ascii="Segoe UI"/>
                <w:sz w:val="21"/>
              </w:rPr>
              <w:t>Accountable</w:t>
            </w:r>
            <w:r>
              <w:rPr>
                <w:rFonts w:ascii="Segoe UI"/>
                <w:spacing w:val="-2"/>
                <w:sz w:val="21"/>
              </w:rPr>
              <w:t> </w:t>
            </w:r>
            <w:r>
              <w:rPr>
                <w:rFonts w:ascii="Segoe UI"/>
                <w:sz w:val="21"/>
              </w:rPr>
              <w:t>for</w:t>
            </w:r>
            <w:r>
              <w:rPr>
                <w:rFonts w:ascii="Segoe UI"/>
                <w:spacing w:val="-4"/>
                <w:sz w:val="21"/>
              </w:rPr>
              <w:t> </w:t>
            </w:r>
            <w:r>
              <w:rPr>
                <w:rFonts w:ascii="Segoe UI"/>
                <w:sz w:val="21"/>
              </w:rPr>
              <w:t>regional</w:t>
            </w:r>
            <w:r>
              <w:rPr>
                <w:rFonts w:ascii="Segoe UI"/>
                <w:spacing w:val="-6"/>
                <w:sz w:val="21"/>
              </w:rPr>
              <w:t> </w:t>
            </w:r>
            <w:r>
              <w:rPr>
                <w:rFonts w:ascii="Segoe UI"/>
                <w:sz w:val="21"/>
              </w:rPr>
              <w:t>data</w:t>
            </w:r>
            <w:r>
              <w:rPr>
                <w:rFonts w:ascii="Segoe UI"/>
                <w:spacing w:val="-3"/>
                <w:sz w:val="21"/>
              </w:rPr>
              <w:t> </w:t>
            </w:r>
            <w:r>
              <w:rPr>
                <w:rFonts w:ascii="Segoe UI"/>
                <w:sz w:val="21"/>
              </w:rPr>
              <w:t>and digital</w:t>
            </w:r>
            <w:r>
              <w:rPr>
                <w:rFonts w:ascii="Segoe UI"/>
                <w:spacing w:val="-2"/>
                <w:sz w:val="21"/>
              </w:rPr>
              <w:t> delivery</w:t>
            </w:r>
          </w:p>
        </w:tc>
      </w:tr>
      <w:tr>
        <w:trPr>
          <w:trHeight w:val="572" w:hRule="atLeast"/>
        </w:trPr>
        <w:tc>
          <w:tcPr>
            <w:tcW w:w="2837" w:type="dxa"/>
            <w:tcBorders>
              <w:bottom w:val="single" w:sz="6" w:space="0" w:color="394871"/>
            </w:tcBorders>
            <w:shd w:val="clear" w:color="auto" w:fill="DBE4F0"/>
          </w:tcPr>
          <w:p>
            <w:pPr>
              <w:pStyle w:val="TableParagraph"/>
              <w:spacing w:before="141"/>
              <w:ind w:left="110"/>
              <w:rPr>
                <w:rFonts w:ascii="Calibri"/>
                <w:b/>
                <w:sz w:val="24"/>
              </w:rPr>
            </w:pPr>
            <w:r>
              <w:rPr>
                <w:rFonts w:ascii="Calibri"/>
                <w:b/>
                <w:color w:val="1F4E79"/>
                <w:sz w:val="24"/>
              </w:rPr>
              <w:t>In</w:t>
            </w:r>
            <w:r>
              <w:rPr>
                <w:rFonts w:ascii="Calibri"/>
                <w:b/>
                <w:color w:val="1F4E79"/>
                <w:spacing w:val="1"/>
                <w:sz w:val="24"/>
              </w:rPr>
              <w:t> </w:t>
            </w:r>
            <w:r>
              <w:rPr>
                <w:rFonts w:ascii="Calibri"/>
                <w:b/>
                <w:color w:val="1F4E79"/>
                <w:spacing w:val="-2"/>
                <w:sz w:val="24"/>
              </w:rPr>
              <w:t>Attendance</w:t>
            </w:r>
          </w:p>
        </w:tc>
        <w:tc>
          <w:tcPr>
            <w:tcW w:w="2411" w:type="dxa"/>
            <w:tcBorders>
              <w:bottom w:val="single" w:sz="6" w:space="0" w:color="394871"/>
            </w:tcBorders>
            <w:shd w:val="clear" w:color="auto" w:fill="DBE4F0"/>
          </w:tcPr>
          <w:p>
            <w:pPr>
              <w:pStyle w:val="TableParagraph"/>
              <w:rPr>
                <w:rFonts w:ascii="Times New Roman"/>
                <w:sz w:val="20"/>
              </w:rPr>
            </w:pPr>
          </w:p>
        </w:tc>
        <w:tc>
          <w:tcPr>
            <w:tcW w:w="1415" w:type="dxa"/>
            <w:tcBorders>
              <w:bottom w:val="single" w:sz="6" w:space="0" w:color="394871"/>
            </w:tcBorders>
            <w:shd w:val="clear" w:color="auto" w:fill="DBE4F0"/>
          </w:tcPr>
          <w:p>
            <w:pPr>
              <w:pStyle w:val="TableParagraph"/>
              <w:rPr>
                <w:rFonts w:ascii="Times New Roman"/>
                <w:sz w:val="20"/>
              </w:rPr>
            </w:pPr>
          </w:p>
        </w:tc>
        <w:tc>
          <w:tcPr>
            <w:tcW w:w="4822" w:type="dxa"/>
            <w:tcBorders>
              <w:bottom w:val="single" w:sz="6" w:space="0" w:color="394871"/>
            </w:tcBorders>
            <w:shd w:val="clear" w:color="auto" w:fill="DBE4F0"/>
          </w:tcPr>
          <w:p>
            <w:pPr>
              <w:pStyle w:val="TableParagraph"/>
              <w:rPr>
                <w:rFonts w:ascii="Times New Roman"/>
                <w:sz w:val="20"/>
              </w:rPr>
            </w:pPr>
          </w:p>
        </w:tc>
      </w:tr>
      <w:tr>
        <w:trPr>
          <w:trHeight w:val="1718" w:hRule="atLeast"/>
        </w:trPr>
        <w:tc>
          <w:tcPr>
            <w:tcW w:w="2837" w:type="dxa"/>
            <w:tcBorders>
              <w:top w:val="single" w:sz="6" w:space="0" w:color="394871"/>
            </w:tcBorders>
          </w:tcPr>
          <w:p>
            <w:pPr>
              <w:pStyle w:val="TableParagraph"/>
              <w:spacing w:line="276" w:lineRule="auto" w:before="56"/>
              <w:ind w:left="110"/>
              <w:rPr>
                <w:rFonts w:ascii="Segoe UI"/>
                <w:sz w:val="21"/>
              </w:rPr>
            </w:pPr>
            <w:r>
              <w:rPr>
                <w:rFonts w:ascii="Segoe UI"/>
                <w:sz w:val="21"/>
              </w:rPr>
              <w:t>General</w:t>
            </w:r>
            <w:r>
              <w:rPr>
                <w:rFonts w:ascii="Segoe UI"/>
                <w:spacing w:val="-15"/>
                <w:sz w:val="21"/>
              </w:rPr>
              <w:t> </w:t>
            </w:r>
            <w:r>
              <w:rPr>
                <w:rFonts w:ascii="Segoe UI"/>
                <w:sz w:val="21"/>
              </w:rPr>
              <w:t>Manager</w:t>
            </w:r>
            <w:r>
              <w:rPr>
                <w:rFonts w:ascii="Segoe UI"/>
                <w:spacing w:val="-14"/>
                <w:sz w:val="21"/>
              </w:rPr>
              <w:t> </w:t>
            </w:r>
            <w:r>
              <w:rPr>
                <w:rFonts w:ascii="Segoe UI"/>
                <w:sz w:val="21"/>
              </w:rPr>
              <w:t>Planned Care and Cancer</w:t>
            </w:r>
          </w:p>
        </w:tc>
        <w:tc>
          <w:tcPr>
            <w:tcW w:w="2411" w:type="dxa"/>
            <w:tcBorders>
              <w:top w:val="single" w:sz="6" w:space="0" w:color="394871"/>
            </w:tcBorders>
          </w:tcPr>
          <w:p>
            <w:pPr>
              <w:pStyle w:val="TableParagraph"/>
              <w:spacing w:line="276" w:lineRule="auto" w:before="56"/>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415" w:type="dxa"/>
            <w:tcBorders>
              <w:top w:val="single" w:sz="6" w:space="0" w:color="394871"/>
            </w:tcBorders>
          </w:tcPr>
          <w:p>
            <w:pPr>
              <w:pStyle w:val="TableParagraph"/>
              <w:spacing w:line="276" w:lineRule="auto" w:before="56"/>
              <w:ind w:left="109" w:right="291"/>
              <w:rPr>
                <w:rFonts w:ascii="Segoe UI"/>
                <w:sz w:val="21"/>
              </w:rPr>
            </w:pPr>
            <w:r>
              <w:rPr>
                <w:rFonts w:ascii="Segoe UI"/>
                <w:spacing w:val="-4"/>
                <w:sz w:val="21"/>
              </w:rPr>
              <w:t>Lisa </w:t>
            </w:r>
            <w:r>
              <w:rPr>
                <w:rFonts w:ascii="Segoe UI"/>
                <w:spacing w:val="-2"/>
                <w:sz w:val="21"/>
              </w:rPr>
              <w:t>Humphrey</w:t>
            </w:r>
          </w:p>
        </w:tc>
        <w:tc>
          <w:tcPr>
            <w:tcW w:w="4822" w:type="dxa"/>
            <w:tcBorders>
              <w:top w:val="single" w:sz="6" w:space="0" w:color="394871"/>
            </w:tcBorders>
          </w:tcPr>
          <w:p>
            <w:pPr>
              <w:pStyle w:val="TableParagraph"/>
              <w:spacing w:before="56"/>
              <w:ind w:left="110"/>
              <w:rPr>
                <w:rFonts w:ascii="Segoe UI"/>
                <w:sz w:val="21"/>
              </w:rPr>
            </w:pPr>
            <w:r>
              <w:rPr>
                <w:rFonts w:ascii="Segoe UI"/>
                <w:sz w:val="21"/>
              </w:rPr>
              <w:t>Operational</w:t>
            </w:r>
            <w:r>
              <w:rPr>
                <w:rFonts w:ascii="Segoe UI"/>
                <w:spacing w:val="-3"/>
                <w:sz w:val="21"/>
              </w:rPr>
              <w:t> </w:t>
            </w:r>
            <w:r>
              <w:rPr>
                <w:rFonts w:ascii="Segoe UI"/>
                <w:sz w:val="21"/>
              </w:rPr>
              <w:t>Delivery</w:t>
            </w:r>
            <w:r>
              <w:rPr>
                <w:rFonts w:ascii="Segoe UI"/>
                <w:spacing w:val="-4"/>
                <w:sz w:val="21"/>
              </w:rPr>
              <w:t> </w:t>
            </w:r>
            <w:r>
              <w:rPr>
                <w:rFonts w:ascii="Segoe UI"/>
                <w:sz w:val="21"/>
              </w:rPr>
              <w:t>Group</w:t>
            </w:r>
            <w:r>
              <w:rPr>
                <w:rFonts w:ascii="Segoe UI"/>
                <w:spacing w:val="-5"/>
                <w:sz w:val="21"/>
              </w:rPr>
              <w:t> </w:t>
            </w:r>
            <w:r>
              <w:rPr>
                <w:rFonts w:ascii="Segoe UI"/>
                <w:spacing w:val="-4"/>
                <w:sz w:val="21"/>
              </w:rPr>
              <w:t>Lead.</w:t>
            </w:r>
          </w:p>
          <w:p>
            <w:pPr>
              <w:pStyle w:val="TableParagraph"/>
              <w:spacing w:line="276" w:lineRule="auto" w:before="41"/>
              <w:ind w:left="110" w:right="169"/>
              <w:rPr>
                <w:rFonts w:ascii="Segoe UI"/>
                <w:sz w:val="21"/>
              </w:rPr>
            </w:pPr>
            <w:r>
              <w:rPr>
                <w:rFonts w:ascii="Segoe UI"/>
                <w:sz w:val="21"/>
              </w:rPr>
              <w:t>Leads organisational change, stakeholder engagement, communications, training, adoption,</w:t>
            </w:r>
            <w:r>
              <w:rPr>
                <w:rFonts w:ascii="Segoe UI"/>
                <w:spacing w:val="-6"/>
                <w:sz w:val="21"/>
              </w:rPr>
              <w:t> </w:t>
            </w:r>
            <w:r>
              <w:rPr>
                <w:rFonts w:ascii="Segoe UI"/>
                <w:sz w:val="21"/>
              </w:rPr>
              <w:t>and</w:t>
            </w:r>
            <w:r>
              <w:rPr>
                <w:rFonts w:ascii="Segoe UI"/>
                <w:spacing w:val="-9"/>
                <w:sz w:val="21"/>
              </w:rPr>
              <w:t> </w:t>
            </w:r>
            <w:r>
              <w:rPr>
                <w:rFonts w:ascii="Segoe UI"/>
                <w:sz w:val="21"/>
              </w:rPr>
              <w:t>benefits</w:t>
            </w:r>
            <w:r>
              <w:rPr>
                <w:rFonts w:ascii="Segoe UI"/>
                <w:spacing w:val="-9"/>
                <w:sz w:val="21"/>
              </w:rPr>
              <w:t> </w:t>
            </w:r>
            <w:r>
              <w:rPr>
                <w:rFonts w:ascii="Segoe UI"/>
                <w:sz w:val="21"/>
              </w:rPr>
              <w:t>realisation</w:t>
            </w:r>
            <w:r>
              <w:rPr>
                <w:rFonts w:ascii="Segoe UI"/>
                <w:spacing w:val="-5"/>
                <w:sz w:val="21"/>
              </w:rPr>
              <w:t> </w:t>
            </w:r>
            <w:r>
              <w:rPr>
                <w:rFonts w:ascii="Segoe UI"/>
                <w:sz w:val="21"/>
              </w:rPr>
              <w:t>to</w:t>
            </w:r>
            <w:r>
              <w:rPr>
                <w:rFonts w:ascii="Segoe UI"/>
                <w:spacing w:val="-4"/>
                <w:sz w:val="21"/>
              </w:rPr>
              <w:t> </w:t>
            </w:r>
            <w:r>
              <w:rPr>
                <w:rFonts w:ascii="Segoe UI"/>
                <w:sz w:val="21"/>
              </w:rPr>
              <w:t>embed</w:t>
            </w:r>
            <w:r>
              <w:rPr>
                <w:rFonts w:ascii="Segoe UI"/>
                <w:spacing w:val="-9"/>
                <w:sz w:val="21"/>
              </w:rPr>
              <w:t> </w:t>
            </w:r>
            <w:r>
              <w:rPr>
                <w:rFonts w:ascii="Segoe UI"/>
                <w:sz w:val="21"/>
              </w:rPr>
              <w:t>new ways of working.</w:t>
            </w:r>
          </w:p>
        </w:tc>
      </w:tr>
    </w:tbl>
    <w:p>
      <w:pPr>
        <w:pStyle w:val="BodyText"/>
        <w:rPr>
          <w:rFonts w:ascii="Segoe UI"/>
          <w:b/>
        </w:rPr>
      </w:pPr>
    </w:p>
    <w:p>
      <w:pPr>
        <w:pStyle w:val="BodyText"/>
        <w:rPr>
          <w:rFonts w:ascii="Segoe UI"/>
          <w:b/>
        </w:rPr>
      </w:pPr>
    </w:p>
    <w:p>
      <w:pPr>
        <w:pStyle w:val="BodyText"/>
        <w:rPr>
          <w:rFonts w:ascii="Segoe UI"/>
          <w:b/>
        </w:rPr>
      </w:pPr>
    </w:p>
    <w:p>
      <w:pPr>
        <w:pStyle w:val="BodyText"/>
        <w:spacing w:before="119"/>
        <w:rPr>
          <w:rFonts w:ascii="Segoe UI"/>
          <w:b/>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36" name="Image 236"/>
            <wp:cNvGraphicFramePr>
              <a:graphicFrameLocks/>
            </wp:cNvGraphicFramePr>
            <a:graphic>
              <a:graphicData uri="http://schemas.openxmlformats.org/drawingml/2006/picture">
                <pic:pic>
                  <pic:nvPicPr>
                    <pic:cNvPr id="236" name="Image 236"/>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37" name="Image 237"/>
            <wp:cNvGraphicFramePr>
              <a:graphicFrameLocks/>
            </wp:cNvGraphicFramePr>
            <a:graphic>
              <a:graphicData uri="http://schemas.openxmlformats.org/drawingml/2006/picture">
                <pic:pic>
                  <pic:nvPicPr>
                    <pic:cNvPr id="237" name="Image 237"/>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107"/>
        <w:rPr>
          <w:rFonts w:ascii="Calibri"/>
          <w:sz w:val="20"/>
        </w:rPr>
      </w:pPr>
    </w:p>
    <w:tbl>
      <w:tblPr>
        <w:tblW w:w="0" w:type="auto"/>
        <w:jc w:val="left"/>
        <w:tblInd w:w="163"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2837"/>
        <w:gridCol w:w="2411"/>
        <w:gridCol w:w="1415"/>
        <w:gridCol w:w="4822"/>
      </w:tblGrid>
      <w:tr>
        <w:trPr>
          <w:trHeight w:val="1720" w:hRule="atLeast"/>
        </w:trPr>
        <w:tc>
          <w:tcPr>
            <w:tcW w:w="2837" w:type="dxa"/>
          </w:tcPr>
          <w:p>
            <w:pPr>
              <w:pStyle w:val="TableParagraph"/>
              <w:spacing w:line="278" w:lineRule="auto" w:before="53"/>
              <w:ind w:left="110"/>
              <w:rPr>
                <w:rFonts w:ascii="Segoe UI" w:hAnsi="Segoe UI"/>
                <w:sz w:val="21"/>
              </w:rPr>
            </w:pPr>
            <w:r>
              <w:rPr>
                <w:rFonts w:ascii="Segoe UI" w:hAnsi="Segoe UI"/>
                <w:sz w:val="21"/>
              </w:rPr>
              <w:t>Associate</w:t>
            </w:r>
            <w:r>
              <w:rPr>
                <w:rFonts w:ascii="Segoe UI" w:hAnsi="Segoe UI"/>
                <w:spacing w:val="-15"/>
                <w:sz w:val="21"/>
              </w:rPr>
              <w:t> </w:t>
            </w:r>
            <w:r>
              <w:rPr>
                <w:rFonts w:ascii="Segoe UI" w:hAnsi="Segoe UI"/>
                <w:sz w:val="21"/>
              </w:rPr>
              <w:t>Service</w:t>
            </w:r>
            <w:r>
              <w:rPr>
                <w:rFonts w:ascii="Segoe UI" w:hAnsi="Segoe UI"/>
                <w:spacing w:val="-14"/>
                <w:sz w:val="21"/>
              </w:rPr>
              <w:t> </w:t>
            </w:r>
            <w:r>
              <w:rPr>
                <w:rFonts w:ascii="Segoe UI" w:hAnsi="Segoe UI"/>
                <w:sz w:val="21"/>
              </w:rPr>
              <w:t>Group Director – NPTSSG</w:t>
            </w:r>
          </w:p>
        </w:tc>
        <w:tc>
          <w:tcPr>
            <w:tcW w:w="2411" w:type="dxa"/>
          </w:tcPr>
          <w:p>
            <w:pPr>
              <w:pStyle w:val="TableParagraph"/>
              <w:spacing w:line="278" w:lineRule="auto" w:before="53"/>
              <w:ind w:left="109"/>
              <w:rPr>
                <w:rFonts w:ascii="Segoe UI"/>
                <w:sz w:val="21"/>
              </w:rPr>
            </w:pPr>
            <w:r>
              <w:rPr>
                <w:rFonts w:ascii="Segoe UI"/>
                <w:sz w:val="21"/>
              </w:rPr>
              <w:t>Swansea</w:t>
            </w:r>
            <w:r>
              <w:rPr>
                <w:rFonts w:ascii="Segoe UI"/>
                <w:spacing w:val="-15"/>
                <w:sz w:val="21"/>
              </w:rPr>
              <w:t> </w:t>
            </w:r>
            <w:r>
              <w:rPr>
                <w:rFonts w:ascii="Segoe UI"/>
                <w:sz w:val="21"/>
              </w:rPr>
              <w:t>Bay</w:t>
            </w:r>
            <w:r>
              <w:rPr>
                <w:rFonts w:ascii="Segoe UI"/>
                <w:spacing w:val="-14"/>
                <w:sz w:val="21"/>
              </w:rPr>
              <w:t> </w:t>
            </w:r>
            <w:r>
              <w:rPr>
                <w:rFonts w:ascii="Segoe UI"/>
                <w:sz w:val="21"/>
              </w:rPr>
              <w:t>University Health Board</w:t>
            </w:r>
          </w:p>
        </w:tc>
        <w:tc>
          <w:tcPr>
            <w:tcW w:w="1415" w:type="dxa"/>
          </w:tcPr>
          <w:p>
            <w:pPr>
              <w:pStyle w:val="TableParagraph"/>
              <w:spacing w:line="278" w:lineRule="auto" w:before="53"/>
              <w:ind w:left="109" w:right="672"/>
              <w:rPr>
                <w:rFonts w:ascii="Segoe UI"/>
                <w:sz w:val="21"/>
              </w:rPr>
            </w:pPr>
            <w:r>
              <w:rPr>
                <w:rFonts w:ascii="Segoe UI"/>
                <w:spacing w:val="-2"/>
                <w:sz w:val="21"/>
              </w:rPr>
              <w:t>Rhodri Davies</w:t>
            </w:r>
          </w:p>
        </w:tc>
        <w:tc>
          <w:tcPr>
            <w:tcW w:w="4822" w:type="dxa"/>
          </w:tcPr>
          <w:p>
            <w:pPr>
              <w:pStyle w:val="TableParagraph"/>
              <w:spacing w:before="53"/>
              <w:ind w:left="110"/>
              <w:rPr>
                <w:rFonts w:ascii="Segoe UI"/>
                <w:sz w:val="21"/>
              </w:rPr>
            </w:pPr>
            <w:r>
              <w:rPr>
                <w:rFonts w:ascii="Segoe UI"/>
                <w:sz w:val="21"/>
              </w:rPr>
              <w:t>Operational</w:t>
            </w:r>
            <w:r>
              <w:rPr>
                <w:rFonts w:ascii="Segoe UI"/>
                <w:spacing w:val="-3"/>
                <w:sz w:val="21"/>
              </w:rPr>
              <w:t> </w:t>
            </w:r>
            <w:r>
              <w:rPr>
                <w:rFonts w:ascii="Segoe UI"/>
                <w:sz w:val="21"/>
              </w:rPr>
              <w:t>Delivery</w:t>
            </w:r>
            <w:r>
              <w:rPr>
                <w:rFonts w:ascii="Segoe UI"/>
                <w:spacing w:val="-4"/>
                <w:sz w:val="21"/>
              </w:rPr>
              <w:t> </w:t>
            </w:r>
            <w:r>
              <w:rPr>
                <w:rFonts w:ascii="Segoe UI"/>
                <w:sz w:val="21"/>
              </w:rPr>
              <w:t>Group</w:t>
            </w:r>
            <w:r>
              <w:rPr>
                <w:rFonts w:ascii="Segoe UI"/>
                <w:spacing w:val="-5"/>
                <w:sz w:val="21"/>
              </w:rPr>
              <w:t> </w:t>
            </w:r>
            <w:r>
              <w:rPr>
                <w:rFonts w:ascii="Segoe UI"/>
                <w:spacing w:val="-4"/>
                <w:sz w:val="21"/>
              </w:rPr>
              <w:t>Lead.</w:t>
            </w:r>
          </w:p>
          <w:p>
            <w:pPr>
              <w:pStyle w:val="TableParagraph"/>
              <w:spacing w:line="276" w:lineRule="auto" w:before="46"/>
              <w:ind w:left="110" w:right="169"/>
              <w:rPr>
                <w:rFonts w:ascii="Segoe UI"/>
                <w:sz w:val="21"/>
              </w:rPr>
            </w:pPr>
            <w:r>
              <w:rPr>
                <w:rFonts w:ascii="Segoe UI"/>
                <w:sz w:val="21"/>
              </w:rPr>
              <w:t>Leads organisational change, stakeholder engagement, communications, training, adoption,</w:t>
            </w:r>
            <w:r>
              <w:rPr>
                <w:rFonts w:ascii="Segoe UI"/>
                <w:spacing w:val="-6"/>
                <w:sz w:val="21"/>
              </w:rPr>
              <w:t> </w:t>
            </w:r>
            <w:r>
              <w:rPr>
                <w:rFonts w:ascii="Segoe UI"/>
                <w:sz w:val="21"/>
              </w:rPr>
              <w:t>and</w:t>
            </w:r>
            <w:r>
              <w:rPr>
                <w:rFonts w:ascii="Segoe UI"/>
                <w:spacing w:val="-9"/>
                <w:sz w:val="21"/>
              </w:rPr>
              <w:t> </w:t>
            </w:r>
            <w:r>
              <w:rPr>
                <w:rFonts w:ascii="Segoe UI"/>
                <w:sz w:val="21"/>
              </w:rPr>
              <w:t>benefits</w:t>
            </w:r>
            <w:r>
              <w:rPr>
                <w:rFonts w:ascii="Segoe UI"/>
                <w:spacing w:val="-9"/>
                <w:sz w:val="21"/>
              </w:rPr>
              <w:t> </w:t>
            </w:r>
            <w:r>
              <w:rPr>
                <w:rFonts w:ascii="Segoe UI"/>
                <w:sz w:val="21"/>
              </w:rPr>
              <w:t>realisation</w:t>
            </w:r>
            <w:r>
              <w:rPr>
                <w:rFonts w:ascii="Segoe UI"/>
                <w:spacing w:val="-5"/>
                <w:sz w:val="21"/>
              </w:rPr>
              <w:t> </w:t>
            </w:r>
            <w:r>
              <w:rPr>
                <w:rFonts w:ascii="Segoe UI"/>
                <w:sz w:val="21"/>
              </w:rPr>
              <w:t>to</w:t>
            </w:r>
            <w:r>
              <w:rPr>
                <w:rFonts w:ascii="Segoe UI"/>
                <w:spacing w:val="-4"/>
                <w:sz w:val="21"/>
              </w:rPr>
              <w:t> </w:t>
            </w:r>
            <w:r>
              <w:rPr>
                <w:rFonts w:ascii="Segoe UI"/>
                <w:sz w:val="21"/>
              </w:rPr>
              <w:t>embed</w:t>
            </w:r>
            <w:r>
              <w:rPr>
                <w:rFonts w:ascii="Segoe UI"/>
                <w:spacing w:val="-9"/>
                <w:sz w:val="21"/>
              </w:rPr>
              <w:t> </w:t>
            </w:r>
            <w:r>
              <w:rPr>
                <w:rFonts w:ascii="Segoe UI"/>
                <w:sz w:val="21"/>
              </w:rPr>
              <w:t>new ways of working.</w:t>
            </w:r>
          </w:p>
        </w:tc>
      </w:tr>
      <w:tr>
        <w:trPr>
          <w:trHeight w:val="755" w:hRule="atLeast"/>
        </w:trPr>
        <w:tc>
          <w:tcPr>
            <w:tcW w:w="2837" w:type="dxa"/>
          </w:tcPr>
          <w:p>
            <w:pPr>
              <w:pStyle w:val="TableParagraph"/>
              <w:spacing w:line="280" w:lineRule="auto" w:before="53"/>
              <w:ind w:left="110"/>
              <w:rPr>
                <w:rFonts w:ascii="Segoe UI"/>
                <w:sz w:val="21"/>
              </w:rPr>
            </w:pPr>
            <w:r>
              <w:rPr>
                <w:rFonts w:ascii="Segoe UI"/>
                <w:sz w:val="21"/>
              </w:rPr>
              <w:t>Clinical Lead - Wales Orthopaedic</w:t>
            </w:r>
            <w:r>
              <w:rPr>
                <w:rFonts w:ascii="Segoe UI"/>
                <w:spacing w:val="-15"/>
                <w:sz w:val="21"/>
              </w:rPr>
              <w:t> </w:t>
            </w:r>
            <w:r>
              <w:rPr>
                <w:rFonts w:ascii="Segoe UI"/>
                <w:sz w:val="21"/>
              </w:rPr>
              <w:t>Network</w:t>
            </w:r>
          </w:p>
        </w:tc>
        <w:tc>
          <w:tcPr>
            <w:tcW w:w="2411" w:type="dxa"/>
          </w:tcPr>
          <w:p>
            <w:pPr>
              <w:pStyle w:val="TableParagraph"/>
              <w:spacing w:line="280" w:lineRule="auto" w:before="53"/>
              <w:ind w:left="109"/>
              <w:rPr>
                <w:rFonts w:ascii="Segoe UI"/>
                <w:sz w:val="21"/>
              </w:rPr>
            </w:pPr>
            <w:r>
              <w:rPr>
                <w:rFonts w:ascii="Segoe UI"/>
                <w:sz w:val="21"/>
              </w:rPr>
              <w:t>Swansea</w:t>
            </w:r>
            <w:r>
              <w:rPr>
                <w:rFonts w:ascii="Segoe UI"/>
                <w:spacing w:val="-15"/>
                <w:sz w:val="21"/>
              </w:rPr>
              <w:t> </w:t>
            </w:r>
            <w:r>
              <w:rPr>
                <w:rFonts w:ascii="Segoe UI"/>
                <w:sz w:val="21"/>
              </w:rPr>
              <w:t>Bay</w:t>
            </w:r>
            <w:r>
              <w:rPr>
                <w:rFonts w:ascii="Segoe UI"/>
                <w:spacing w:val="-14"/>
                <w:sz w:val="21"/>
              </w:rPr>
              <w:t> </w:t>
            </w:r>
            <w:r>
              <w:rPr>
                <w:rFonts w:ascii="Segoe UI"/>
                <w:sz w:val="21"/>
              </w:rPr>
              <w:t>University Health Board</w:t>
            </w:r>
          </w:p>
        </w:tc>
        <w:tc>
          <w:tcPr>
            <w:tcW w:w="1415" w:type="dxa"/>
          </w:tcPr>
          <w:p>
            <w:pPr>
              <w:pStyle w:val="TableParagraph"/>
              <w:spacing w:line="280" w:lineRule="auto" w:before="53"/>
              <w:ind w:left="109"/>
              <w:rPr>
                <w:rFonts w:ascii="Segoe UI"/>
                <w:sz w:val="21"/>
              </w:rPr>
            </w:pPr>
            <w:r>
              <w:rPr>
                <w:rFonts w:ascii="Segoe UI"/>
                <w:spacing w:val="-2"/>
                <w:sz w:val="21"/>
              </w:rPr>
              <w:t>Navin Verghese</w:t>
            </w:r>
          </w:p>
        </w:tc>
        <w:tc>
          <w:tcPr>
            <w:tcW w:w="4822" w:type="dxa"/>
          </w:tcPr>
          <w:p>
            <w:pPr>
              <w:pStyle w:val="TableParagraph"/>
              <w:spacing w:line="280" w:lineRule="auto" w:before="53"/>
              <w:ind w:left="110" w:right="213"/>
              <w:rPr>
                <w:rFonts w:ascii="Segoe UI"/>
                <w:sz w:val="21"/>
              </w:rPr>
            </w:pPr>
            <w:r>
              <w:rPr>
                <w:rFonts w:ascii="Segoe UI"/>
                <w:sz w:val="21"/>
              </w:rPr>
              <w:t>Wales</w:t>
            </w:r>
            <w:r>
              <w:rPr>
                <w:rFonts w:ascii="Segoe UI"/>
                <w:spacing w:val="-15"/>
                <w:sz w:val="21"/>
              </w:rPr>
              <w:t> </w:t>
            </w:r>
            <w:r>
              <w:rPr>
                <w:rFonts w:ascii="Segoe UI"/>
                <w:sz w:val="21"/>
              </w:rPr>
              <w:t>Orthopaedic</w:t>
            </w:r>
            <w:r>
              <w:rPr>
                <w:rFonts w:ascii="Segoe UI"/>
                <w:spacing w:val="-14"/>
                <w:sz w:val="21"/>
              </w:rPr>
              <w:t> </w:t>
            </w:r>
            <w:r>
              <w:rPr>
                <w:rFonts w:ascii="Segoe UI"/>
                <w:sz w:val="21"/>
              </w:rPr>
              <w:t>Network</w:t>
            </w:r>
            <w:r>
              <w:rPr>
                <w:rFonts w:ascii="Segoe UI"/>
                <w:spacing w:val="-15"/>
                <w:sz w:val="21"/>
              </w:rPr>
              <w:t> </w:t>
            </w:r>
            <w:r>
              <w:rPr>
                <w:rFonts w:ascii="Segoe UI"/>
                <w:sz w:val="21"/>
              </w:rPr>
              <w:t>Clinical </w:t>
            </w:r>
            <w:r>
              <w:rPr>
                <w:rFonts w:ascii="Segoe UI"/>
                <w:spacing w:val="-2"/>
                <w:sz w:val="21"/>
              </w:rPr>
              <w:t>Representative</w:t>
            </w:r>
          </w:p>
        </w:tc>
      </w:tr>
      <w:tr>
        <w:trPr>
          <w:trHeight w:val="1400" w:hRule="atLeast"/>
        </w:trPr>
        <w:tc>
          <w:tcPr>
            <w:tcW w:w="2837" w:type="dxa"/>
          </w:tcPr>
          <w:p>
            <w:pPr>
              <w:pStyle w:val="TableParagraph"/>
              <w:spacing w:line="276" w:lineRule="auto" w:before="58"/>
              <w:ind w:left="110"/>
              <w:rPr>
                <w:rFonts w:ascii="Segoe UI"/>
                <w:sz w:val="21"/>
              </w:rPr>
            </w:pPr>
            <w:r>
              <w:rPr>
                <w:rFonts w:ascii="Segoe UI"/>
                <w:sz w:val="21"/>
              </w:rPr>
              <w:t>Assistant</w:t>
            </w:r>
            <w:r>
              <w:rPr>
                <w:rFonts w:ascii="Segoe UI"/>
                <w:spacing w:val="-13"/>
                <w:sz w:val="21"/>
              </w:rPr>
              <w:t> </w:t>
            </w:r>
            <w:r>
              <w:rPr>
                <w:rFonts w:ascii="Segoe UI"/>
                <w:sz w:val="21"/>
              </w:rPr>
              <w:t>Director</w:t>
            </w:r>
            <w:r>
              <w:rPr>
                <w:rFonts w:ascii="Segoe UI"/>
                <w:spacing w:val="-8"/>
                <w:sz w:val="21"/>
              </w:rPr>
              <w:t> </w:t>
            </w:r>
            <w:r>
              <w:rPr>
                <w:rFonts w:ascii="Segoe UI"/>
                <w:sz w:val="21"/>
              </w:rPr>
              <w:t>-</w:t>
            </w:r>
            <w:r>
              <w:rPr>
                <w:rFonts w:ascii="Segoe UI"/>
                <w:spacing w:val="-15"/>
                <w:sz w:val="21"/>
              </w:rPr>
              <w:t> </w:t>
            </w:r>
            <w:r>
              <w:rPr>
                <w:rFonts w:ascii="Segoe UI"/>
                <w:sz w:val="21"/>
              </w:rPr>
              <w:t>Planned </w:t>
            </w:r>
            <w:r>
              <w:rPr>
                <w:rFonts w:ascii="Segoe UI"/>
                <w:spacing w:val="-4"/>
                <w:sz w:val="21"/>
              </w:rPr>
              <w:t>Care</w:t>
            </w:r>
          </w:p>
        </w:tc>
        <w:tc>
          <w:tcPr>
            <w:tcW w:w="2411" w:type="dxa"/>
          </w:tcPr>
          <w:p>
            <w:pPr>
              <w:pStyle w:val="TableParagraph"/>
              <w:spacing w:before="58"/>
              <w:ind w:left="109"/>
              <w:rPr>
                <w:rFonts w:ascii="Segoe UI"/>
                <w:sz w:val="21"/>
              </w:rPr>
            </w:pPr>
            <w:r>
              <w:rPr>
                <w:rFonts w:ascii="Segoe UI"/>
                <w:sz w:val="21"/>
              </w:rPr>
              <w:t>NHS</w:t>
            </w:r>
            <w:r>
              <w:rPr>
                <w:rFonts w:ascii="Segoe UI"/>
                <w:spacing w:val="-3"/>
                <w:sz w:val="21"/>
              </w:rPr>
              <w:t> </w:t>
            </w:r>
            <w:r>
              <w:rPr>
                <w:rFonts w:ascii="Segoe UI"/>
                <w:spacing w:val="-5"/>
                <w:sz w:val="21"/>
              </w:rPr>
              <w:t>P&amp;I</w:t>
            </w:r>
          </w:p>
        </w:tc>
        <w:tc>
          <w:tcPr>
            <w:tcW w:w="1415" w:type="dxa"/>
          </w:tcPr>
          <w:p>
            <w:pPr>
              <w:pStyle w:val="TableParagraph"/>
              <w:spacing w:line="276" w:lineRule="auto" w:before="58"/>
              <w:ind w:left="109" w:right="501"/>
              <w:rPr>
                <w:rFonts w:ascii="Segoe UI"/>
                <w:sz w:val="21"/>
              </w:rPr>
            </w:pPr>
            <w:r>
              <w:rPr>
                <w:rFonts w:ascii="Segoe UI"/>
                <w:spacing w:val="-2"/>
                <w:sz w:val="21"/>
              </w:rPr>
              <w:t>Loretta Reilly Brett Denning</w:t>
            </w:r>
          </w:p>
        </w:tc>
        <w:tc>
          <w:tcPr>
            <w:tcW w:w="4822" w:type="dxa"/>
          </w:tcPr>
          <w:p>
            <w:pPr>
              <w:pStyle w:val="TableParagraph"/>
              <w:rPr>
                <w:rFonts w:ascii="Times New Roman"/>
                <w:sz w:val="20"/>
              </w:rPr>
            </w:pPr>
          </w:p>
        </w:tc>
      </w:tr>
      <w:tr>
        <w:trPr>
          <w:trHeight w:val="755" w:hRule="atLeast"/>
        </w:trPr>
        <w:tc>
          <w:tcPr>
            <w:tcW w:w="2837" w:type="dxa"/>
          </w:tcPr>
          <w:p>
            <w:pPr>
              <w:pStyle w:val="TableParagraph"/>
              <w:spacing w:line="278" w:lineRule="auto" w:before="53"/>
              <w:ind w:left="110"/>
              <w:rPr>
                <w:rFonts w:ascii="Segoe UI"/>
                <w:sz w:val="21"/>
              </w:rPr>
            </w:pPr>
            <w:r>
              <w:rPr>
                <w:rFonts w:ascii="Segoe UI"/>
                <w:sz w:val="21"/>
              </w:rPr>
              <w:t>RJC</w:t>
            </w:r>
            <w:r>
              <w:rPr>
                <w:rFonts w:ascii="Segoe UI"/>
                <w:spacing w:val="-9"/>
                <w:sz w:val="21"/>
              </w:rPr>
              <w:t> </w:t>
            </w:r>
            <w:r>
              <w:rPr>
                <w:rFonts w:ascii="Segoe UI"/>
                <w:sz w:val="21"/>
              </w:rPr>
              <w:t>Head</w:t>
            </w:r>
            <w:r>
              <w:rPr>
                <w:rFonts w:ascii="Segoe UI"/>
                <w:spacing w:val="-8"/>
                <w:sz w:val="21"/>
              </w:rPr>
              <w:t> </w:t>
            </w:r>
            <w:r>
              <w:rPr>
                <w:rFonts w:ascii="Segoe UI"/>
                <w:sz w:val="21"/>
              </w:rPr>
              <w:t>of</w:t>
            </w:r>
            <w:r>
              <w:rPr>
                <w:rFonts w:ascii="Segoe UI"/>
                <w:spacing w:val="-13"/>
                <w:sz w:val="21"/>
              </w:rPr>
              <w:t> </w:t>
            </w:r>
            <w:r>
              <w:rPr>
                <w:rFonts w:ascii="Segoe UI"/>
                <w:sz w:val="21"/>
              </w:rPr>
              <w:t>Strategy</w:t>
            </w:r>
            <w:r>
              <w:rPr>
                <w:rFonts w:ascii="Segoe UI"/>
                <w:spacing w:val="-10"/>
                <w:sz w:val="21"/>
              </w:rPr>
              <w:t> </w:t>
            </w:r>
            <w:r>
              <w:rPr>
                <w:rFonts w:ascii="Segoe UI"/>
                <w:sz w:val="21"/>
              </w:rPr>
              <w:t>and Service Planning</w:t>
            </w:r>
          </w:p>
        </w:tc>
        <w:tc>
          <w:tcPr>
            <w:tcW w:w="2411" w:type="dxa"/>
          </w:tcPr>
          <w:p>
            <w:pPr>
              <w:pStyle w:val="TableParagraph"/>
              <w:spacing w:line="278" w:lineRule="auto" w:before="53"/>
              <w:ind w:left="109" w:right="11"/>
              <w:rPr>
                <w:rFonts w:ascii="Segoe UI"/>
                <w:sz w:val="21"/>
              </w:rPr>
            </w:pPr>
            <w:r>
              <w:rPr>
                <w:rFonts w:ascii="Segoe UI"/>
                <w:sz w:val="21"/>
              </w:rPr>
              <w:t>Regional</w:t>
            </w:r>
            <w:r>
              <w:rPr>
                <w:rFonts w:ascii="Segoe UI"/>
                <w:spacing w:val="-15"/>
                <w:sz w:val="21"/>
              </w:rPr>
              <w:t> </w:t>
            </w:r>
            <w:r>
              <w:rPr>
                <w:rFonts w:ascii="Segoe UI"/>
                <w:sz w:val="21"/>
              </w:rPr>
              <w:t>Joint </w:t>
            </w:r>
            <w:r>
              <w:rPr>
                <w:rFonts w:ascii="Segoe UI"/>
                <w:spacing w:val="-2"/>
                <w:sz w:val="21"/>
              </w:rPr>
              <w:t>Committee</w:t>
            </w:r>
          </w:p>
        </w:tc>
        <w:tc>
          <w:tcPr>
            <w:tcW w:w="1415" w:type="dxa"/>
          </w:tcPr>
          <w:p>
            <w:pPr>
              <w:pStyle w:val="TableParagraph"/>
              <w:spacing w:before="53"/>
              <w:ind w:left="109"/>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4822" w:type="dxa"/>
          </w:tcPr>
          <w:p>
            <w:pPr>
              <w:pStyle w:val="TableParagraph"/>
              <w:spacing w:line="278" w:lineRule="auto" w:before="53"/>
              <w:ind w:left="110" w:right="213"/>
              <w:rPr>
                <w:rFonts w:ascii="Segoe UI"/>
                <w:sz w:val="21"/>
              </w:rPr>
            </w:pPr>
            <w:r>
              <w:rPr>
                <w:rFonts w:ascii="Segoe UI"/>
                <w:sz w:val="21"/>
              </w:rPr>
              <w:t>Regional</w:t>
            </w:r>
            <w:r>
              <w:rPr>
                <w:rFonts w:ascii="Segoe UI"/>
                <w:spacing w:val="-15"/>
                <w:sz w:val="21"/>
              </w:rPr>
              <w:t> </w:t>
            </w:r>
            <w:r>
              <w:rPr>
                <w:rFonts w:ascii="Segoe UI"/>
                <w:sz w:val="21"/>
              </w:rPr>
              <w:t>Programme,</w:t>
            </w:r>
            <w:r>
              <w:rPr>
                <w:rFonts w:ascii="Segoe UI"/>
                <w:spacing w:val="-14"/>
                <w:sz w:val="21"/>
              </w:rPr>
              <w:t> </w:t>
            </w:r>
            <w:r>
              <w:rPr>
                <w:rFonts w:ascii="Segoe UI"/>
                <w:sz w:val="21"/>
              </w:rPr>
              <w:t>dependencies, </w:t>
            </w:r>
            <w:r>
              <w:rPr>
                <w:rFonts w:ascii="Segoe UI"/>
                <w:spacing w:val="-2"/>
                <w:sz w:val="21"/>
              </w:rPr>
              <w:t>coordination</w:t>
            </w:r>
          </w:p>
        </w:tc>
      </w:tr>
      <w:tr>
        <w:trPr>
          <w:trHeight w:val="760" w:hRule="atLeast"/>
        </w:trPr>
        <w:tc>
          <w:tcPr>
            <w:tcW w:w="2837" w:type="dxa"/>
          </w:tcPr>
          <w:p>
            <w:pPr>
              <w:pStyle w:val="TableParagraph"/>
              <w:spacing w:line="276" w:lineRule="auto" w:before="58"/>
              <w:ind w:left="110" w:right="599"/>
              <w:rPr>
                <w:rFonts w:ascii="Segoe UI"/>
                <w:sz w:val="21"/>
              </w:rPr>
            </w:pPr>
            <w:r>
              <w:rPr>
                <w:rFonts w:ascii="Segoe UI"/>
                <w:sz w:val="21"/>
              </w:rPr>
              <w:t>Regional</w:t>
            </w:r>
            <w:r>
              <w:rPr>
                <w:rFonts w:ascii="Segoe UI"/>
                <w:spacing w:val="-15"/>
                <w:sz w:val="21"/>
              </w:rPr>
              <w:t> </w:t>
            </w:r>
            <w:r>
              <w:rPr>
                <w:rFonts w:ascii="Segoe UI"/>
                <w:sz w:val="21"/>
              </w:rPr>
              <w:t>Orthopaedics Programme Manager</w:t>
            </w:r>
          </w:p>
        </w:tc>
        <w:tc>
          <w:tcPr>
            <w:tcW w:w="2411" w:type="dxa"/>
          </w:tcPr>
          <w:p>
            <w:pPr>
              <w:pStyle w:val="TableParagraph"/>
              <w:spacing w:before="58"/>
              <w:ind w:left="109"/>
              <w:rPr>
                <w:rFonts w:ascii="Segoe UI"/>
                <w:sz w:val="21"/>
              </w:rPr>
            </w:pPr>
            <w:r>
              <w:rPr>
                <w:rFonts w:ascii="Segoe UI"/>
                <w:sz w:val="21"/>
              </w:rPr>
              <w:t>RJC</w:t>
            </w:r>
            <w:r>
              <w:rPr>
                <w:rFonts w:ascii="Segoe UI"/>
                <w:spacing w:val="-1"/>
                <w:sz w:val="21"/>
              </w:rPr>
              <w:t> </w:t>
            </w:r>
            <w:r>
              <w:rPr>
                <w:rFonts w:ascii="Segoe UI"/>
                <w:spacing w:val="-5"/>
                <w:sz w:val="21"/>
              </w:rPr>
              <w:t>PMO</w:t>
            </w:r>
          </w:p>
        </w:tc>
        <w:tc>
          <w:tcPr>
            <w:tcW w:w="1415" w:type="dxa"/>
          </w:tcPr>
          <w:p>
            <w:pPr>
              <w:pStyle w:val="TableParagraph"/>
              <w:spacing w:line="276" w:lineRule="auto" w:before="58"/>
              <w:ind w:left="109" w:right="631"/>
              <w:rPr>
                <w:rFonts w:ascii="Segoe UI"/>
                <w:sz w:val="21"/>
              </w:rPr>
            </w:pPr>
            <w:r>
              <w:rPr>
                <w:rFonts w:ascii="Segoe UI"/>
                <w:spacing w:val="-2"/>
                <w:sz w:val="21"/>
              </w:rPr>
              <w:t>Berian Allcock</w:t>
            </w:r>
          </w:p>
        </w:tc>
        <w:tc>
          <w:tcPr>
            <w:tcW w:w="4822" w:type="dxa"/>
          </w:tcPr>
          <w:p>
            <w:pPr>
              <w:pStyle w:val="TableParagraph"/>
              <w:spacing w:before="58"/>
              <w:ind w:left="110"/>
              <w:rPr>
                <w:rFonts w:ascii="Segoe UI"/>
                <w:sz w:val="21"/>
              </w:rPr>
            </w:pPr>
            <w:r>
              <w:rPr>
                <w:rFonts w:ascii="Segoe UI"/>
                <w:sz w:val="21"/>
              </w:rPr>
              <w:t>Programme</w:t>
            </w:r>
            <w:r>
              <w:rPr>
                <w:rFonts w:ascii="Segoe UI"/>
                <w:spacing w:val="-1"/>
                <w:sz w:val="21"/>
              </w:rPr>
              <w:t> </w:t>
            </w:r>
            <w:r>
              <w:rPr>
                <w:rFonts w:ascii="Segoe UI"/>
                <w:spacing w:val="-2"/>
                <w:sz w:val="21"/>
              </w:rPr>
              <w:t>Management</w:t>
            </w:r>
          </w:p>
        </w:tc>
      </w:tr>
      <w:tr>
        <w:trPr>
          <w:trHeight w:val="755" w:hRule="atLeast"/>
        </w:trPr>
        <w:tc>
          <w:tcPr>
            <w:tcW w:w="2837" w:type="dxa"/>
          </w:tcPr>
          <w:p>
            <w:pPr>
              <w:pStyle w:val="TableParagraph"/>
              <w:spacing w:line="276" w:lineRule="auto" w:before="53"/>
              <w:ind w:left="110" w:right="320"/>
              <w:rPr>
                <w:rFonts w:ascii="Segoe UI"/>
                <w:sz w:val="21"/>
              </w:rPr>
            </w:pPr>
            <w:r>
              <w:rPr>
                <w:rFonts w:ascii="Segoe UI"/>
                <w:sz w:val="21"/>
              </w:rPr>
              <w:t>Senior</w:t>
            </w:r>
            <w:r>
              <w:rPr>
                <w:rFonts w:ascii="Segoe UI"/>
                <w:spacing w:val="-15"/>
                <w:sz w:val="21"/>
              </w:rPr>
              <w:t> </w:t>
            </w:r>
            <w:r>
              <w:rPr>
                <w:rFonts w:ascii="Segoe UI"/>
                <w:sz w:val="21"/>
              </w:rPr>
              <w:t>Project</w:t>
            </w:r>
            <w:r>
              <w:rPr>
                <w:rFonts w:ascii="Segoe UI"/>
                <w:spacing w:val="-14"/>
                <w:sz w:val="21"/>
              </w:rPr>
              <w:t> </w:t>
            </w:r>
            <w:r>
              <w:rPr>
                <w:rFonts w:ascii="Segoe UI"/>
                <w:sz w:val="21"/>
              </w:rPr>
              <w:t>Support </w:t>
            </w:r>
            <w:r>
              <w:rPr>
                <w:rFonts w:ascii="Segoe UI"/>
                <w:spacing w:val="-2"/>
                <w:sz w:val="21"/>
              </w:rPr>
              <w:t>Officer</w:t>
            </w:r>
          </w:p>
        </w:tc>
        <w:tc>
          <w:tcPr>
            <w:tcW w:w="2411" w:type="dxa"/>
          </w:tcPr>
          <w:p>
            <w:pPr>
              <w:pStyle w:val="TableParagraph"/>
              <w:spacing w:before="53"/>
              <w:ind w:left="109"/>
              <w:rPr>
                <w:rFonts w:ascii="Segoe UI"/>
                <w:sz w:val="21"/>
              </w:rPr>
            </w:pPr>
            <w:r>
              <w:rPr>
                <w:rFonts w:ascii="Segoe UI"/>
                <w:sz w:val="21"/>
              </w:rPr>
              <w:t>RJC</w:t>
            </w:r>
            <w:r>
              <w:rPr>
                <w:rFonts w:ascii="Segoe UI"/>
                <w:spacing w:val="-1"/>
                <w:sz w:val="21"/>
              </w:rPr>
              <w:t> </w:t>
            </w:r>
            <w:r>
              <w:rPr>
                <w:rFonts w:ascii="Segoe UI"/>
                <w:spacing w:val="-5"/>
                <w:sz w:val="21"/>
              </w:rPr>
              <w:t>PMO</w:t>
            </w:r>
          </w:p>
        </w:tc>
        <w:tc>
          <w:tcPr>
            <w:tcW w:w="1415" w:type="dxa"/>
          </w:tcPr>
          <w:p>
            <w:pPr>
              <w:pStyle w:val="TableParagraph"/>
              <w:spacing w:line="276" w:lineRule="auto" w:before="53"/>
              <w:ind w:left="109" w:right="405"/>
              <w:rPr>
                <w:rFonts w:ascii="Segoe UI"/>
                <w:sz w:val="21"/>
              </w:rPr>
            </w:pPr>
            <w:r>
              <w:rPr>
                <w:rFonts w:ascii="Segoe UI"/>
                <w:spacing w:val="-4"/>
                <w:sz w:val="21"/>
              </w:rPr>
              <w:t>Lucy </w:t>
            </w:r>
            <w:r>
              <w:rPr>
                <w:rFonts w:ascii="Segoe UI"/>
                <w:spacing w:val="-2"/>
                <w:sz w:val="21"/>
              </w:rPr>
              <w:t>Blackman</w:t>
            </w:r>
          </w:p>
        </w:tc>
        <w:tc>
          <w:tcPr>
            <w:tcW w:w="4822" w:type="dxa"/>
          </w:tcPr>
          <w:p>
            <w:pPr>
              <w:pStyle w:val="TableParagraph"/>
              <w:spacing w:before="53"/>
              <w:ind w:left="110"/>
              <w:rPr>
                <w:rFonts w:ascii="Segoe UI"/>
                <w:sz w:val="21"/>
              </w:rPr>
            </w:pPr>
            <w:r>
              <w:rPr>
                <w:rFonts w:ascii="Segoe UI"/>
                <w:sz w:val="21"/>
              </w:rPr>
              <w:t>Programme</w:t>
            </w:r>
            <w:r>
              <w:rPr>
                <w:rFonts w:ascii="Segoe UI"/>
                <w:spacing w:val="-1"/>
                <w:sz w:val="21"/>
              </w:rPr>
              <w:t> </w:t>
            </w:r>
            <w:r>
              <w:rPr>
                <w:rFonts w:ascii="Segoe UI"/>
                <w:spacing w:val="-2"/>
                <w:sz w:val="21"/>
              </w:rPr>
              <w:t>Management</w:t>
            </w:r>
          </w:p>
        </w:tc>
      </w:tr>
    </w:tbl>
    <w:p>
      <w:pPr>
        <w:spacing w:before="243"/>
        <w:ind w:left="1009" w:right="0" w:firstLine="0"/>
        <w:jc w:val="left"/>
        <w:rPr>
          <w:rFonts w:ascii="Segoe UI"/>
          <w:b/>
          <w:sz w:val="24"/>
        </w:rPr>
      </w:pPr>
      <w:r>
        <w:rPr>
          <w:rFonts w:ascii="Segoe UI"/>
          <w:b/>
          <w:sz w:val="24"/>
        </w:rPr>
        <w:t>Orthopaedics</w:t>
      </w:r>
      <w:r>
        <w:rPr>
          <w:rFonts w:ascii="Segoe UI"/>
          <w:b/>
          <w:spacing w:val="-8"/>
          <w:sz w:val="24"/>
        </w:rPr>
        <w:t> </w:t>
      </w:r>
      <w:r>
        <w:rPr>
          <w:rFonts w:ascii="Segoe UI"/>
          <w:b/>
          <w:sz w:val="24"/>
        </w:rPr>
        <w:t>Operational</w:t>
      </w:r>
      <w:r>
        <w:rPr>
          <w:rFonts w:ascii="Segoe UI"/>
          <w:b/>
          <w:spacing w:val="-5"/>
          <w:sz w:val="24"/>
        </w:rPr>
        <w:t> </w:t>
      </w:r>
      <w:r>
        <w:rPr>
          <w:rFonts w:ascii="Segoe UI"/>
          <w:b/>
          <w:sz w:val="24"/>
        </w:rPr>
        <w:t>Delivery</w:t>
      </w:r>
      <w:r>
        <w:rPr>
          <w:rFonts w:ascii="Segoe UI"/>
          <w:b/>
          <w:spacing w:val="-6"/>
          <w:sz w:val="24"/>
        </w:rPr>
        <w:t> </w:t>
      </w:r>
      <w:r>
        <w:rPr>
          <w:rFonts w:ascii="Segoe UI"/>
          <w:b/>
          <w:spacing w:val="-4"/>
          <w:sz w:val="24"/>
        </w:rPr>
        <w:t>Group</w:t>
      </w:r>
    </w:p>
    <w:p>
      <w:pPr>
        <w:pStyle w:val="BodyText"/>
        <w:spacing w:before="13"/>
        <w:rPr>
          <w:rFonts w:ascii="Segoe UI"/>
          <w:b/>
          <w:sz w:val="11"/>
        </w:rPr>
      </w:pPr>
    </w:p>
    <w:tbl>
      <w:tblPr>
        <w:tblW w:w="0" w:type="auto"/>
        <w:jc w:val="left"/>
        <w:tblInd w:w="163"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2697"/>
        <w:gridCol w:w="2256"/>
        <w:gridCol w:w="1997"/>
        <w:gridCol w:w="4538"/>
      </w:tblGrid>
      <w:tr>
        <w:trPr>
          <w:trHeight w:val="575" w:hRule="atLeast"/>
        </w:trPr>
        <w:tc>
          <w:tcPr>
            <w:tcW w:w="2697" w:type="dxa"/>
            <w:shd w:val="clear" w:color="auto" w:fill="DBE4F0"/>
          </w:tcPr>
          <w:p>
            <w:pPr>
              <w:pStyle w:val="TableParagraph"/>
              <w:spacing w:before="142"/>
              <w:ind w:left="110"/>
              <w:rPr>
                <w:rFonts w:ascii="Calibri"/>
                <w:b/>
                <w:sz w:val="24"/>
              </w:rPr>
            </w:pPr>
            <w:r>
              <w:rPr>
                <w:rFonts w:ascii="Calibri"/>
                <w:b/>
                <w:color w:val="1F4E79"/>
                <w:spacing w:val="-4"/>
                <w:sz w:val="24"/>
              </w:rPr>
              <w:t>Role</w:t>
            </w:r>
          </w:p>
        </w:tc>
        <w:tc>
          <w:tcPr>
            <w:tcW w:w="2256" w:type="dxa"/>
            <w:shd w:val="clear" w:color="auto" w:fill="DBE4F0"/>
          </w:tcPr>
          <w:p>
            <w:pPr>
              <w:pStyle w:val="TableParagraph"/>
              <w:spacing w:before="142"/>
              <w:ind w:left="109"/>
              <w:rPr>
                <w:rFonts w:ascii="Calibri"/>
                <w:b/>
                <w:sz w:val="24"/>
              </w:rPr>
            </w:pPr>
            <w:r>
              <w:rPr>
                <w:rFonts w:ascii="Calibri"/>
                <w:b/>
                <w:color w:val="1F4E79"/>
                <w:spacing w:val="-5"/>
                <w:sz w:val="24"/>
              </w:rPr>
              <w:t>Org</w:t>
            </w:r>
          </w:p>
        </w:tc>
        <w:tc>
          <w:tcPr>
            <w:tcW w:w="1997" w:type="dxa"/>
            <w:shd w:val="clear" w:color="auto" w:fill="DBE4F0"/>
          </w:tcPr>
          <w:p>
            <w:pPr>
              <w:pStyle w:val="TableParagraph"/>
              <w:spacing w:before="142"/>
              <w:ind w:left="109"/>
              <w:rPr>
                <w:rFonts w:ascii="Calibri"/>
                <w:b/>
                <w:sz w:val="24"/>
              </w:rPr>
            </w:pPr>
            <w:r>
              <w:rPr>
                <w:rFonts w:ascii="Calibri"/>
                <w:b/>
                <w:color w:val="1F4E79"/>
                <w:spacing w:val="-4"/>
                <w:sz w:val="24"/>
              </w:rPr>
              <w:t>Name</w:t>
            </w:r>
          </w:p>
        </w:tc>
        <w:tc>
          <w:tcPr>
            <w:tcW w:w="4538" w:type="dxa"/>
            <w:shd w:val="clear" w:color="auto" w:fill="DBE4F0"/>
          </w:tcPr>
          <w:p>
            <w:pPr>
              <w:pStyle w:val="TableParagraph"/>
              <w:spacing w:before="142"/>
              <w:ind w:left="107"/>
              <w:rPr>
                <w:rFonts w:ascii="Calibri"/>
                <w:b/>
                <w:sz w:val="24"/>
              </w:rPr>
            </w:pPr>
            <w:r>
              <w:rPr>
                <w:rFonts w:ascii="Calibri"/>
                <w:b/>
                <w:color w:val="1F4E79"/>
                <w:spacing w:val="-2"/>
                <w:sz w:val="24"/>
              </w:rPr>
              <w:t>Responsibility</w:t>
            </w:r>
          </w:p>
        </w:tc>
      </w:tr>
      <w:tr>
        <w:trPr>
          <w:trHeight w:val="1400" w:hRule="atLeast"/>
        </w:trPr>
        <w:tc>
          <w:tcPr>
            <w:tcW w:w="2697" w:type="dxa"/>
          </w:tcPr>
          <w:p>
            <w:pPr>
              <w:pStyle w:val="TableParagraph"/>
              <w:spacing w:line="276" w:lineRule="auto" w:before="58"/>
              <w:ind w:left="110"/>
              <w:rPr>
                <w:rFonts w:ascii="Segoe UI"/>
                <w:sz w:val="21"/>
              </w:rPr>
            </w:pPr>
            <w:r>
              <w:rPr>
                <w:rFonts w:ascii="Segoe UI"/>
                <w:sz w:val="21"/>
              </w:rPr>
              <w:t>T&amp;O</w:t>
            </w:r>
            <w:r>
              <w:rPr>
                <w:rFonts w:ascii="Segoe UI"/>
                <w:spacing w:val="-15"/>
                <w:sz w:val="21"/>
              </w:rPr>
              <w:t> </w:t>
            </w:r>
            <w:r>
              <w:rPr>
                <w:rFonts w:ascii="Segoe UI"/>
                <w:sz w:val="21"/>
              </w:rPr>
              <w:t>Service</w:t>
            </w:r>
            <w:r>
              <w:rPr>
                <w:rFonts w:ascii="Segoe UI"/>
                <w:spacing w:val="-14"/>
                <w:sz w:val="21"/>
              </w:rPr>
              <w:t> </w:t>
            </w:r>
            <w:r>
              <w:rPr>
                <w:rFonts w:ascii="Segoe UI"/>
                <w:sz w:val="21"/>
              </w:rPr>
              <w:t>Delivery </w:t>
            </w:r>
            <w:r>
              <w:rPr>
                <w:rFonts w:ascii="Segoe UI"/>
                <w:spacing w:val="-2"/>
                <w:sz w:val="21"/>
              </w:rPr>
              <w:t>Manager</w:t>
            </w:r>
          </w:p>
        </w:tc>
        <w:tc>
          <w:tcPr>
            <w:tcW w:w="2256" w:type="dxa"/>
          </w:tcPr>
          <w:p>
            <w:pPr>
              <w:pStyle w:val="TableParagraph"/>
              <w:spacing w:line="276" w:lineRule="auto" w:before="58"/>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997" w:type="dxa"/>
          </w:tcPr>
          <w:p>
            <w:pPr>
              <w:pStyle w:val="TableParagraph"/>
              <w:spacing w:before="58"/>
              <w:ind w:left="109"/>
              <w:rPr>
                <w:rFonts w:ascii="Segoe UI"/>
                <w:sz w:val="21"/>
              </w:rPr>
            </w:pPr>
            <w:r>
              <w:rPr>
                <w:rFonts w:ascii="Segoe UI"/>
                <w:sz w:val="21"/>
              </w:rPr>
              <w:t>Lianne</w:t>
            </w:r>
            <w:r>
              <w:rPr>
                <w:rFonts w:ascii="Segoe UI"/>
                <w:spacing w:val="-1"/>
                <w:sz w:val="21"/>
              </w:rPr>
              <w:t> </w:t>
            </w:r>
            <w:r>
              <w:rPr>
                <w:rFonts w:ascii="Segoe UI"/>
                <w:spacing w:val="-2"/>
                <w:sz w:val="21"/>
              </w:rPr>
              <w:t>Gregory</w:t>
            </w:r>
          </w:p>
        </w:tc>
        <w:tc>
          <w:tcPr>
            <w:tcW w:w="4538" w:type="dxa"/>
          </w:tcPr>
          <w:p>
            <w:pPr>
              <w:pStyle w:val="TableParagraph"/>
              <w:spacing w:line="276" w:lineRule="auto" w:before="58"/>
              <w:ind w:left="107" w:right="184"/>
              <w:rPr>
                <w:rFonts w:ascii="Segoe UI"/>
                <w:sz w:val="21"/>
              </w:rPr>
            </w:pPr>
            <w:r>
              <w:rPr>
                <w:rFonts w:ascii="Segoe UI"/>
                <w:sz w:val="21"/>
              </w:rPr>
              <w:t>Delivering</w:t>
            </w:r>
            <w:r>
              <w:rPr>
                <w:rFonts w:ascii="Segoe UI"/>
                <w:spacing w:val="-11"/>
                <w:sz w:val="21"/>
              </w:rPr>
              <w:t> </w:t>
            </w:r>
            <w:r>
              <w:rPr>
                <w:rFonts w:ascii="Segoe UI"/>
                <w:sz w:val="21"/>
              </w:rPr>
              <w:t>organisational</w:t>
            </w:r>
            <w:r>
              <w:rPr>
                <w:rFonts w:ascii="Segoe UI"/>
                <w:spacing w:val="-12"/>
                <w:sz w:val="21"/>
              </w:rPr>
              <w:t> </w:t>
            </w:r>
            <w:r>
              <w:rPr>
                <w:rFonts w:ascii="Segoe UI"/>
                <w:sz w:val="21"/>
              </w:rPr>
              <w:t>change,</w:t>
            </w:r>
            <w:r>
              <w:rPr>
                <w:rFonts w:ascii="Segoe UI"/>
                <w:spacing w:val="-15"/>
                <w:sz w:val="21"/>
              </w:rPr>
              <w:t> </w:t>
            </w:r>
            <w:r>
              <w:rPr>
                <w:rFonts w:ascii="Segoe UI"/>
                <w:sz w:val="21"/>
              </w:rPr>
              <w:t>stakeholder engagement, communications, training, adoption, and benefits realisation to embed new ways of working.</w:t>
            </w:r>
          </w:p>
        </w:tc>
      </w:tr>
      <w:tr>
        <w:trPr>
          <w:trHeight w:val="1400" w:hRule="atLeast"/>
        </w:trPr>
        <w:tc>
          <w:tcPr>
            <w:tcW w:w="2697" w:type="dxa"/>
          </w:tcPr>
          <w:p>
            <w:pPr>
              <w:pStyle w:val="TableParagraph"/>
              <w:spacing w:line="276" w:lineRule="auto" w:before="53"/>
              <w:ind w:left="110" w:right="130"/>
              <w:rPr>
                <w:rFonts w:ascii="Segoe UI"/>
                <w:sz w:val="21"/>
              </w:rPr>
            </w:pPr>
            <w:r>
              <w:rPr>
                <w:rFonts w:ascii="Segoe UI"/>
                <w:sz w:val="21"/>
              </w:rPr>
              <w:t>Trauma,</w:t>
            </w:r>
            <w:r>
              <w:rPr>
                <w:rFonts w:ascii="Segoe UI"/>
                <w:spacing w:val="-15"/>
                <w:sz w:val="21"/>
              </w:rPr>
              <w:t> </w:t>
            </w:r>
            <w:r>
              <w:rPr>
                <w:rFonts w:ascii="Segoe UI"/>
                <w:sz w:val="21"/>
              </w:rPr>
              <w:t>Orthopaedic</w:t>
            </w:r>
            <w:r>
              <w:rPr>
                <w:rFonts w:ascii="Segoe UI"/>
                <w:spacing w:val="-14"/>
                <w:sz w:val="21"/>
              </w:rPr>
              <w:t> </w:t>
            </w:r>
            <w:r>
              <w:rPr>
                <w:rFonts w:ascii="Segoe UI"/>
                <w:sz w:val="21"/>
              </w:rPr>
              <w:t>and Spinal Directorate </w:t>
            </w:r>
            <w:r>
              <w:rPr>
                <w:rFonts w:ascii="Segoe UI"/>
                <w:spacing w:val="-2"/>
                <w:sz w:val="21"/>
              </w:rPr>
              <w:t>Manager</w:t>
            </w:r>
          </w:p>
        </w:tc>
        <w:tc>
          <w:tcPr>
            <w:tcW w:w="2256" w:type="dxa"/>
          </w:tcPr>
          <w:p>
            <w:pPr>
              <w:pStyle w:val="TableParagraph"/>
              <w:spacing w:line="276" w:lineRule="auto" w:before="53"/>
              <w:ind w:left="109" w:right="557"/>
              <w:rPr>
                <w:rFonts w:ascii="Segoe UI"/>
                <w:sz w:val="21"/>
              </w:rPr>
            </w:pPr>
            <w:r>
              <w:rPr>
                <w:rFonts w:ascii="Segoe UI"/>
                <w:sz w:val="21"/>
              </w:rPr>
              <w:t>Swansea Bay University</w:t>
            </w:r>
            <w:r>
              <w:rPr>
                <w:rFonts w:ascii="Segoe UI"/>
                <w:spacing w:val="-15"/>
                <w:sz w:val="21"/>
              </w:rPr>
              <w:t> </w:t>
            </w:r>
            <w:r>
              <w:rPr>
                <w:rFonts w:ascii="Segoe UI"/>
                <w:sz w:val="21"/>
              </w:rPr>
              <w:t>Health </w:t>
            </w:r>
            <w:r>
              <w:rPr>
                <w:rFonts w:ascii="Segoe UI"/>
                <w:spacing w:val="-2"/>
                <w:sz w:val="21"/>
              </w:rPr>
              <w:t>Board</w:t>
            </w:r>
          </w:p>
        </w:tc>
        <w:tc>
          <w:tcPr>
            <w:tcW w:w="1997" w:type="dxa"/>
          </w:tcPr>
          <w:p>
            <w:pPr>
              <w:pStyle w:val="TableParagraph"/>
              <w:spacing w:before="53"/>
              <w:ind w:left="109"/>
              <w:rPr>
                <w:rFonts w:ascii="Segoe UI"/>
                <w:sz w:val="21"/>
              </w:rPr>
            </w:pPr>
            <w:r>
              <w:rPr>
                <w:rFonts w:ascii="Segoe UI"/>
                <w:sz w:val="21"/>
              </w:rPr>
              <w:t>Sam</w:t>
            </w:r>
            <w:r>
              <w:rPr>
                <w:rFonts w:ascii="Segoe UI"/>
                <w:spacing w:val="-3"/>
                <w:sz w:val="21"/>
              </w:rPr>
              <w:t> </w:t>
            </w:r>
            <w:r>
              <w:rPr>
                <w:rFonts w:ascii="Segoe UI"/>
                <w:spacing w:val="-2"/>
                <w:sz w:val="21"/>
              </w:rPr>
              <w:t>Jenkins</w:t>
            </w:r>
          </w:p>
        </w:tc>
        <w:tc>
          <w:tcPr>
            <w:tcW w:w="4538" w:type="dxa"/>
          </w:tcPr>
          <w:p>
            <w:pPr>
              <w:pStyle w:val="TableParagraph"/>
              <w:spacing w:line="276" w:lineRule="auto" w:before="53"/>
              <w:ind w:left="107" w:right="184"/>
              <w:rPr>
                <w:rFonts w:ascii="Segoe UI"/>
                <w:sz w:val="21"/>
              </w:rPr>
            </w:pPr>
            <w:r>
              <w:rPr>
                <w:rFonts w:ascii="Segoe UI"/>
                <w:sz w:val="21"/>
              </w:rPr>
              <w:t>Delivering</w:t>
            </w:r>
            <w:r>
              <w:rPr>
                <w:rFonts w:ascii="Segoe UI"/>
                <w:spacing w:val="-11"/>
                <w:sz w:val="21"/>
              </w:rPr>
              <w:t> </w:t>
            </w:r>
            <w:r>
              <w:rPr>
                <w:rFonts w:ascii="Segoe UI"/>
                <w:sz w:val="21"/>
              </w:rPr>
              <w:t>organisational</w:t>
            </w:r>
            <w:r>
              <w:rPr>
                <w:rFonts w:ascii="Segoe UI"/>
                <w:spacing w:val="-12"/>
                <w:sz w:val="21"/>
              </w:rPr>
              <w:t> </w:t>
            </w:r>
            <w:r>
              <w:rPr>
                <w:rFonts w:ascii="Segoe UI"/>
                <w:sz w:val="21"/>
              </w:rPr>
              <w:t>change,</w:t>
            </w:r>
            <w:r>
              <w:rPr>
                <w:rFonts w:ascii="Segoe UI"/>
                <w:spacing w:val="-15"/>
                <w:sz w:val="21"/>
              </w:rPr>
              <w:t> </w:t>
            </w:r>
            <w:r>
              <w:rPr>
                <w:rFonts w:ascii="Segoe UI"/>
                <w:sz w:val="21"/>
              </w:rPr>
              <w:t>stakeholder engagement, communications, training, adoption, and benefits realisation to embed new ways of working.</w:t>
            </w:r>
          </w:p>
        </w:tc>
      </w:tr>
      <w:tr>
        <w:trPr>
          <w:trHeight w:val="1720" w:hRule="atLeast"/>
        </w:trPr>
        <w:tc>
          <w:tcPr>
            <w:tcW w:w="2697" w:type="dxa"/>
          </w:tcPr>
          <w:p>
            <w:pPr>
              <w:pStyle w:val="TableParagraph"/>
              <w:spacing w:line="276" w:lineRule="auto" w:before="53"/>
              <w:ind w:left="110"/>
              <w:rPr>
                <w:rFonts w:ascii="Segoe UI"/>
                <w:sz w:val="21"/>
              </w:rPr>
            </w:pPr>
            <w:r>
              <w:rPr>
                <w:rFonts w:ascii="Segoe UI"/>
                <w:sz w:val="21"/>
              </w:rPr>
              <w:t>Patient</w:t>
            </w:r>
            <w:r>
              <w:rPr>
                <w:rFonts w:ascii="Segoe UI"/>
                <w:spacing w:val="-15"/>
                <w:sz w:val="21"/>
              </w:rPr>
              <w:t> </w:t>
            </w:r>
            <w:r>
              <w:rPr>
                <w:rFonts w:ascii="Segoe UI"/>
                <w:sz w:val="21"/>
              </w:rPr>
              <w:t>Booking</w:t>
            </w:r>
            <w:r>
              <w:rPr>
                <w:rFonts w:ascii="Segoe UI"/>
                <w:spacing w:val="-14"/>
                <w:sz w:val="21"/>
              </w:rPr>
              <w:t> </w:t>
            </w:r>
            <w:r>
              <w:rPr>
                <w:rFonts w:ascii="Segoe UI"/>
                <w:sz w:val="21"/>
              </w:rPr>
              <w:t>Team Waiting List Team</w:t>
            </w:r>
          </w:p>
        </w:tc>
        <w:tc>
          <w:tcPr>
            <w:tcW w:w="2256" w:type="dxa"/>
          </w:tcPr>
          <w:p>
            <w:pPr>
              <w:pStyle w:val="TableParagraph"/>
              <w:spacing w:line="276" w:lineRule="auto" w:before="53"/>
              <w:ind w:left="109" w:right="557"/>
              <w:rPr>
                <w:rFonts w:ascii="Segoe UI"/>
                <w:sz w:val="21"/>
              </w:rPr>
            </w:pPr>
            <w:r>
              <w:rPr>
                <w:rFonts w:ascii="Segoe UI"/>
                <w:sz w:val="21"/>
              </w:rPr>
              <w:t>Swansea Bay University</w:t>
            </w:r>
            <w:r>
              <w:rPr>
                <w:rFonts w:ascii="Segoe UI"/>
                <w:spacing w:val="-15"/>
                <w:sz w:val="21"/>
              </w:rPr>
              <w:t> </w:t>
            </w:r>
            <w:r>
              <w:rPr>
                <w:rFonts w:ascii="Segoe UI"/>
                <w:sz w:val="21"/>
              </w:rPr>
              <w:t>Health </w:t>
            </w:r>
            <w:r>
              <w:rPr>
                <w:rFonts w:ascii="Segoe UI"/>
                <w:spacing w:val="-2"/>
                <w:sz w:val="21"/>
              </w:rPr>
              <w:t>Board</w:t>
            </w:r>
          </w:p>
          <w:p>
            <w:pPr>
              <w:pStyle w:val="TableParagraph"/>
              <w:spacing w:line="276" w:lineRule="auto" w:before="1"/>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997" w:type="dxa"/>
          </w:tcPr>
          <w:p>
            <w:pPr>
              <w:pStyle w:val="TableParagraph"/>
              <w:spacing w:line="276" w:lineRule="auto" w:before="53"/>
              <w:ind w:left="109" w:right="624"/>
              <w:rPr>
                <w:rFonts w:ascii="Segoe UI"/>
                <w:sz w:val="21"/>
              </w:rPr>
            </w:pPr>
            <w:r>
              <w:rPr>
                <w:rFonts w:ascii="Segoe UI"/>
                <w:sz w:val="21"/>
              </w:rPr>
              <w:t>Clare Taylor Mollie</w:t>
            </w:r>
            <w:r>
              <w:rPr>
                <w:rFonts w:ascii="Segoe UI"/>
                <w:spacing w:val="-15"/>
                <w:sz w:val="21"/>
              </w:rPr>
              <w:t> </w:t>
            </w:r>
            <w:r>
              <w:rPr>
                <w:rFonts w:ascii="Segoe UI"/>
                <w:sz w:val="21"/>
              </w:rPr>
              <w:t>Preece</w:t>
            </w:r>
          </w:p>
        </w:tc>
        <w:tc>
          <w:tcPr>
            <w:tcW w:w="4538" w:type="dxa"/>
          </w:tcPr>
          <w:p>
            <w:pPr>
              <w:pStyle w:val="TableParagraph"/>
              <w:spacing w:before="53"/>
              <w:ind w:left="107"/>
              <w:rPr>
                <w:rFonts w:ascii="Segoe UI"/>
                <w:sz w:val="21"/>
              </w:rPr>
            </w:pPr>
            <w:r>
              <w:rPr>
                <w:rFonts w:ascii="Segoe UI"/>
                <w:sz w:val="21"/>
              </w:rPr>
              <w:t>Patient</w:t>
            </w:r>
            <w:r>
              <w:rPr>
                <w:rFonts w:ascii="Segoe UI"/>
                <w:spacing w:val="-4"/>
                <w:sz w:val="21"/>
              </w:rPr>
              <w:t> </w:t>
            </w:r>
            <w:r>
              <w:rPr>
                <w:rFonts w:ascii="Segoe UI"/>
                <w:sz w:val="21"/>
              </w:rPr>
              <w:t>pathway</w:t>
            </w:r>
            <w:r>
              <w:rPr>
                <w:rFonts w:ascii="Segoe UI"/>
                <w:spacing w:val="-4"/>
                <w:sz w:val="21"/>
              </w:rPr>
              <w:t> </w:t>
            </w:r>
            <w:r>
              <w:rPr>
                <w:rFonts w:ascii="Segoe UI"/>
                <w:sz w:val="21"/>
              </w:rPr>
              <w:t>and</w:t>
            </w:r>
            <w:r>
              <w:rPr>
                <w:rFonts w:ascii="Segoe UI"/>
                <w:spacing w:val="-1"/>
                <w:sz w:val="21"/>
              </w:rPr>
              <w:t> </w:t>
            </w:r>
            <w:r>
              <w:rPr>
                <w:rFonts w:ascii="Segoe UI"/>
                <w:sz w:val="21"/>
              </w:rPr>
              <w:t>waiting</w:t>
            </w:r>
            <w:r>
              <w:rPr>
                <w:rFonts w:ascii="Segoe UI"/>
                <w:spacing w:val="-1"/>
                <w:sz w:val="21"/>
              </w:rPr>
              <w:t> </w:t>
            </w:r>
            <w:r>
              <w:rPr>
                <w:rFonts w:ascii="Segoe UI"/>
                <w:sz w:val="21"/>
              </w:rPr>
              <w:t>list</w:t>
            </w:r>
            <w:r>
              <w:rPr>
                <w:rFonts w:ascii="Segoe UI"/>
                <w:spacing w:val="-3"/>
                <w:sz w:val="21"/>
              </w:rPr>
              <w:t> </w:t>
            </w:r>
            <w:r>
              <w:rPr>
                <w:rFonts w:ascii="Segoe UI"/>
                <w:spacing w:val="-2"/>
                <w:sz w:val="21"/>
              </w:rPr>
              <w:t>changes</w:t>
            </w:r>
          </w:p>
        </w:tc>
      </w:tr>
    </w:tbl>
    <w:p>
      <w:pPr>
        <w:pStyle w:val="BodyText"/>
        <w:rPr>
          <w:rFonts w:ascii="Segoe UI"/>
          <w:b/>
        </w:rPr>
      </w:pPr>
    </w:p>
    <w:p>
      <w:pPr>
        <w:pStyle w:val="BodyText"/>
        <w:rPr>
          <w:rFonts w:ascii="Segoe UI"/>
          <w:b/>
        </w:rPr>
      </w:pPr>
    </w:p>
    <w:p>
      <w:pPr>
        <w:pStyle w:val="BodyText"/>
        <w:rPr>
          <w:rFonts w:ascii="Segoe UI"/>
          <w:b/>
        </w:rPr>
      </w:pPr>
    </w:p>
    <w:p>
      <w:pPr>
        <w:pStyle w:val="BodyText"/>
        <w:spacing w:before="8"/>
        <w:rPr>
          <w:rFonts w:ascii="Segoe UI"/>
          <w:b/>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38" name="Image 238"/>
            <wp:cNvGraphicFramePr>
              <a:graphicFrameLocks/>
            </wp:cNvGraphicFramePr>
            <a:graphic>
              <a:graphicData uri="http://schemas.openxmlformats.org/drawingml/2006/picture">
                <pic:pic>
                  <pic:nvPicPr>
                    <pic:cNvPr id="238" name="Image 238"/>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39" name="Image 239"/>
            <wp:cNvGraphicFramePr>
              <a:graphicFrameLocks/>
            </wp:cNvGraphicFramePr>
            <a:graphic>
              <a:graphicData uri="http://schemas.openxmlformats.org/drawingml/2006/picture">
                <pic:pic>
                  <pic:nvPicPr>
                    <pic:cNvPr id="239" name="Image 239"/>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107"/>
        <w:rPr>
          <w:rFonts w:ascii="Calibri"/>
          <w:sz w:val="20"/>
        </w:rPr>
      </w:pPr>
    </w:p>
    <w:tbl>
      <w:tblPr>
        <w:tblW w:w="0" w:type="auto"/>
        <w:jc w:val="left"/>
        <w:tblInd w:w="163"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2697"/>
        <w:gridCol w:w="2256"/>
        <w:gridCol w:w="1997"/>
        <w:gridCol w:w="4538"/>
      </w:tblGrid>
      <w:tr>
        <w:trPr>
          <w:trHeight w:val="755" w:hRule="atLeast"/>
        </w:trPr>
        <w:tc>
          <w:tcPr>
            <w:tcW w:w="2697" w:type="dxa"/>
          </w:tcPr>
          <w:p>
            <w:pPr>
              <w:pStyle w:val="TableParagraph"/>
              <w:spacing w:line="278" w:lineRule="auto" w:before="53"/>
              <w:ind w:left="110" w:right="432"/>
              <w:rPr>
                <w:rFonts w:ascii="Segoe UI"/>
                <w:sz w:val="21"/>
              </w:rPr>
            </w:pPr>
            <w:r>
              <w:rPr>
                <w:rFonts w:ascii="Segoe UI"/>
                <w:sz w:val="21"/>
              </w:rPr>
              <w:t>Healthcare</w:t>
            </w:r>
            <w:r>
              <w:rPr>
                <w:rFonts w:ascii="Segoe UI"/>
                <w:spacing w:val="-15"/>
                <w:sz w:val="21"/>
              </w:rPr>
              <w:t> </w:t>
            </w:r>
            <w:r>
              <w:rPr>
                <w:rFonts w:ascii="Segoe UI"/>
                <w:sz w:val="21"/>
              </w:rPr>
              <w:t>Programme </w:t>
            </w:r>
            <w:r>
              <w:rPr>
                <w:rFonts w:ascii="Segoe UI"/>
                <w:spacing w:val="-2"/>
                <w:sz w:val="21"/>
              </w:rPr>
              <w:t>Manager</w:t>
            </w:r>
          </w:p>
        </w:tc>
        <w:tc>
          <w:tcPr>
            <w:tcW w:w="2256" w:type="dxa"/>
          </w:tcPr>
          <w:p>
            <w:pPr>
              <w:pStyle w:val="TableParagraph"/>
              <w:spacing w:line="278" w:lineRule="auto" w:before="53"/>
              <w:ind w:left="109"/>
              <w:rPr>
                <w:rFonts w:ascii="Segoe UI"/>
                <w:sz w:val="21"/>
              </w:rPr>
            </w:pPr>
            <w:r>
              <w:rPr>
                <w:rFonts w:ascii="Segoe UI"/>
                <w:sz w:val="21"/>
              </w:rPr>
              <w:t>Wales</w:t>
            </w:r>
            <w:r>
              <w:rPr>
                <w:rFonts w:ascii="Segoe UI"/>
                <w:spacing w:val="-15"/>
                <w:sz w:val="21"/>
              </w:rPr>
              <w:t> </w:t>
            </w:r>
            <w:r>
              <w:rPr>
                <w:rFonts w:ascii="Segoe UI"/>
                <w:sz w:val="21"/>
              </w:rPr>
              <w:t>Orthopaedic </w:t>
            </w:r>
            <w:r>
              <w:rPr>
                <w:rFonts w:ascii="Segoe UI"/>
                <w:spacing w:val="-2"/>
                <w:sz w:val="21"/>
              </w:rPr>
              <w:t>Network</w:t>
            </w:r>
          </w:p>
        </w:tc>
        <w:tc>
          <w:tcPr>
            <w:tcW w:w="1997" w:type="dxa"/>
          </w:tcPr>
          <w:p>
            <w:pPr>
              <w:pStyle w:val="TableParagraph"/>
              <w:spacing w:before="53"/>
              <w:ind w:left="109"/>
              <w:rPr>
                <w:rFonts w:ascii="Segoe UI"/>
                <w:sz w:val="21"/>
              </w:rPr>
            </w:pPr>
            <w:r>
              <w:rPr>
                <w:rFonts w:ascii="Segoe UI"/>
                <w:sz w:val="21"/>
              </w:rPr>
              <w:t>Amanda</w:t>
            </w:r>
            <w:r>
              <w:rPr>
                <w:rFonts w:ascii="Segoe UI"/>
                <w:spacing w:val="-4"/>
                <w:sz w:val="21"/>
              </w:rPr>
              <w:t> </w:t>
            </w:r>
            <w:r>
              <w:rPr>
                <w:rFonts w:ascii="Segoe UI"/>
                <w:spacing w:val="-2"/>
                <w:sz w:val="21"/>
              </w:rPr>
              <w:t>Willacott</w:t>
            </w:r>
          </w:p>
        </w:tc>
        <w:tc>
          <w:tcPr>
            <w:tcW w:w="4538" w:type="dxa"/>
          </w:tcPr>
          <w:p>
            <w:pPr>
              <w:pStyle w:val="TableParagraph"/>
              <w:spacing w:line="278" w:lineRule="auto" w:before="53"/>
              <w:ind w:left="107"/>
              <w:rPr>
                <w:rFonts w:ascii="Segoe UI"/>
                <w:sz w:val="21"/>
              </w:rPr>
            </w:pPr>
            <w:r>
              <w:rPr>
                <w:rFonts w:ascii="Segoe UI"/>
                <w:sz w:val="21"/>
              </w:rPr>
              <w:t>Wales</w:t>
            </w:r>
            <w:r>
              <w:rPr>
                <w:rFonts w:ascii="Segoe UI"/>
                <w:spacing w:val="-11"/>
                <w:sz w:val="21"/>
              </w:rPr>
              <w:t> </w:t>
            </w:r>
            <w:r>
              <w:rPr>
                <w:rFonts w:ascii="Segoe UI"/>
                <w:sz w:val="21"/>
              </w:rPr>
              <w:t>Orthopaedic</w:t>
            </w:r>
            <w:r>
              <w:rPr>
                <w:rFonts w:ascii="Segoe UI"/>
                <w:spacing w:val="-13"/>
                <w:sz w:val="21"/>
              </w:rPr>
              <w:t> </w:t>
            </w:r>
            <w:r>
              <w:rPr>
                <w:rFonts w:ascii="Segoe UI"/>
                <w:sz w:val="21"/>
              </w:rPr>
              <w:t>Network</w:t>
            </w:r>
            <w:r>
              <w:rPr>
                <w:rFonts w:ascii="Segoe UI"/>
                <w:spacing w:val="-15"/>
                <w:sz w:val="21"/>
              </w:rPr>
              <w:t> </w:t>
            </w:r>
            <w:r>
              <w:rPr>
                <w:rFonts w:ascii="Segoe UI"/>
                <w:sz w:val="21"/>
              </w:rPr>
              <w:t>programme </w:t>
            </w:r>
            <w:r>
              <w:rPr>
                <w:rFonts w:ascii="Segoe UI"/>
                <w:spacing w:val="-2"/>
                <w:sz w:val="21"/>
              </w:rPr>
              <w:t>management</w:t>
            </w:r>
          </w:p>
        </w:tc>
      </w:tr>
      <w:tr>
        <w:trPr>
          <w:trHeight w:val="1720" w:hRule="atLeast"/>
        </w:trPr>
        <w:tc>
          <w:tcPr>
            <w:tcW w:w="2697" w:type="dxa"/>
          </w:tcPr>
          <w:p>
            <w:pPr>
              <w:pStyle w:val="TableParagraph"/>
              <w:spacing w:before="58"/>
              <w:ind w:left="110"/>
              <w:rPr>
                <w:rFonts w:ascii="Segoe UI"/>
                <w:sz w:val="21"/>
              </w:rPr>
            </w:pPr>
            <w:r>
              <w:rPr>
                <w:rFonts w:ascii="Segoe UI"/>
                <w:spacing w:val="-2"/>
                <w:sz w:val="21"/>
              </w:rPr>
              <w:t>Digital</w:t>
            </w:r>
          </w:p>
        </w:tc>
        <w:tc>
          <w:tcPr>
            <w:tcW w:w="2256" w:type="dxa"/>
          </w:tcPr>
          <w:p>
            <w:pPr>
              <w:pStyle w:val="TableParagraph"/>
              <w:spacing w:line="276" w:lineRule="auto" w:before="58"/>
              <w:ind w:left="109" w:right="557"/>
              <w:rPr>
                <w:rFonts w:ascii="Segoe UI"/>
                <w:sz w:val="21"/>
              </w:rPr>
            </w:pPr>
            <w:r>
              <w:rPr>
                <w:rFonts w:ascii="Segoe UI"/>
                <w:sz w:val="21"/>
              </w:rPr>
              <w:t>Swansea Bay University</w:t>
            </w:r>
            <w:r>
              <w:rPr>
                <w:rFonts w:ascii="Segoe UI"/>
                <w:spacing w:val="-15"/>
                <w:sz w:val="21"/>
              </w:rPr>
              <w:t> </w:t>
            </w:r>
            <w:r>
              <w:rPr>
                <w:rFonts w:ascii="Segoe UI"/>
                <w:sz w:val="21"/>
              </w:rPr>
              <w:t>Health </w:t>
            </w:r>
            <w:r>
              <w:rPr>
                <w:rFonts w:ascii="Segoe UI"/>
                <w:spacing w:val="-2"/>
                <w:sz w:val="21"/>
              </w:rPr>
              <w:t>Board</w:t>
            </w:r>
          </w:p>
          <w:p>
            <w:pPr>
              <w:pStyle w:val="TableParagraph"/>
              <w:spacing w:line="280" w:lineRule="auto"/>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997" w:type="dxa"/>
          </w:tcPr>
          <w:p>
            <w:pPr>
              <w:pStyle w:val="TableParagraph"/>
              <w:spacing w:line="276" w:lineRule="auto" w:before="58"/>
              <w:ind w:left="109" w:right="334"/>
              <w:rPr>
                <w:rFonts w:ascii="Segoe UI"/>
                <w:sz w:val="21"/>
              </w:rPr>
            </w:pPr>
            <w:r>
              <w:rPr>
                <w:rFonts w:ascii="Segoe UI"/>
                <w:sz w:val="21"/>
              </w:rPr>
              <w:t>Rachael Levi Carolyn</w:t>
            </w:r>
            <w:r>
              <w:rPr>
                <w:rFonts w:ascii="Segoe UI"/>
                <w:spacing w:val="-15"/>
                <w:sz w:val="21"/>
              </w:rPr>
              <w:t> </w:t>
            </w:r>
            <w:r>
              <w:rPr>
                <w:rFonts w:ascii="Segoe UI"/>
                <w:sz w:val="21"/>
              </w:rPr>
              <w:t>Williams</w:t>
            </w:r>
          </w:p>
        </w:tc>
        <w:tc>
          <w:tcPr>
            <w:tcW w:w="4538" w:type="dxa"/>
          </w:tcPr>
          <w:p>
            <w:pPr>
              <w:pStyle w:val="TableParagraph"/>
              <w:spacing w:line="276" w:lineRule="auto" w:before="58"/>
              <w:ind w:left="107"/>
              <w:rPr>
                <w:rFonts w:ascii="Segoe UI" w:hAnsi="Segoe UI"/>
                <w:sz w:val="21"/>
              </w:rPr>
            </w:pPr>
            <w:r>
              <w:rPr>
                <w:rFonts w:ascii="Segoe UI" w:hAnsi="Segoe UI"/>
                <w:sz w:val="21"/>
              </w:rPr>
              <w:t>Data and Digital Workstream leads – leading change</w:t>
            </w:r>
            <w:r>
              <w:rPr>
                <w:rFonts w:ascii="Segoe UI" w:hAnsi="Segoe UI"/>
                <w:spacing w:val="-8"/>
                <w:sz w:val="21"/>
              </w:rPr>
              <w:t> </w:t>
            </w:r>
            <w:r>
              <w:rPr>
                <w:rFonts w:ascii="Segoe UI" w:hAnsi="Segoe UI"/>
                <w:sz w:val="21"/>
              </w:rPr>
              <w:t>to</w:t>
            </w:r>
            <w:r>
              <w:rPr>
                <w:rFonts w:ascii="Segoe UI" w:hAnsi="Segoe UI"/>
                <w:spacing w:val="-7"/>
                <w:sz w:val="21"/>
              </w:rPr>
              <w:t> </w:t>
            </w:r>
            <w:r>
              <w:rPr>
                <w:rFonts w:ascii="Segoe UI" w:hAnsi="Segoe UI"/>
                <w:sz w:val="21"/>
              </w:rPr>
              <w:t>digital</w:t>
            </w:r>
            <w:r>
              <w:rPr>
                <w:rFonts w:ascii="Segoe UI" w:hAnsi="Segoe UI"/>
                <w:spacing w:val="-9"/>
                <w:sz w:val="21"/>
              </w:rPr>
              <w:t> </w:t>
            </w:r>
            <w:r>
              <w:rPr>
                <w:rFonts w:ascii="Segoe UI" w:hAnsi="Segoe UI"/>
                <w:sz w:val="21"/>
              </w:rPr>
              <w:t>arrangements,</w:t>
            </w:r>
            <w:r>
              <w:rPr>
                <w:rFonts w:ascii="Segoe UI" w:hAnsi="Segoe UI"/>
                <w:spacing w:val="-9"/>
                <w:sz w:val="21"/>
              </w:rPr>
              <w:t> </w:t>
            </w:r>
            <w:r>
              <w:rPr>
                <w:rFonts w:ascii="Segoe UI" w:hAnsi="Segoe UI"/>
                <w:sz w:val="21"/>
              </w:rPr>
              <w:t>planning</w:t>
            </w:r>
            <w:r>
              <w:rPr>
                <w:rFonts w:ascii="Segoe UI" w:hAnsi="Segoe UI"/>
                <w:spacing w:val="-7"/>
                <w:sz w:val="21"/>
              </w:rPr>
              <w:t> </w:t>
            </w:r>
            <w:r>
              <w:rPr>
                <w:rFonts w:ascii="Segoe UI" w:hAnsi="Segoe UI"/>
                <w:sz w:val="21"/>
              </w:rPr>
              <w:t>and </w:t>
            </w:r>
            <w:r>
              <w:rPr>
                <w:rFonts w:ascii="Segoe UI" w:hAnsi="Segoe UI"/>
                <w:spacing w:val="-2"/>
                <w:sz w:val="21"/>
              </w:rPr>
              <w:t>delivery</w:t>
            </w:r>
          </w:p>
        </w:tc>
      </w:tr>
      <w:tr>
        <w:trPr>
          <w:trHeight w:val="1720" w:hRule="atLeast"/>
        </w:trPr>
        <w:tc>
          <w:tcPr>
            <w:tcW w:w="2697" w:type="dxa"/>
          </w:tcPr>
          <w:p>
            <w:pPr>
              <w:pStyle w:val="TableParagraph"/>
              <w:spacing w:line="276" w:lineRule="auto" w:before="58"/>
              <w:ind w:left="110"/>
              <w:rPr>
                <w:rFonts w:ascii="Segoe UI"/>
                <w:sz w:val="21"/>
              </w:rPr>
            </w:pPr>
            <w:r>
              <w:rPr>
                <w:rFonts w:ascii="Segoe UI"/>
                <w:sz w:val="21"/>
              </w:rPr>
              <w:t>Head</w:t>
            </w:r>
            <w:r>
              <w:rPr>
                <w:rFonts w:ascii="Segoe UI"/>
                <w:spacing w:val="-15"/>
                <w:sz w:val="21"/>
              </w:rPr>
              <w:t> </w:t>
            </w:r>
            <w:r>
              <w:rPr>
                <w:rFonts w:ascii="Segoe UI"/>
                <w:sz w:val="21"/>
              </w:rPr>
              <w:t>of</w:t>
            </w:r>
            <w:r>
              <w:rPr>
                <w:rFonts w:ascii="Segoe UI"/>
                <w:spacing w:val="-14"/>
                <w:sz w:val="21"/>
              </w:rPr>
              <w:t> </w:t>
            </w:r>
            <w:r>
              <w:rPr>
                <w:rFonts w:ascii="Segoe UI"/>
                <w:sz w:val="21"/>
              </w:rPr>
              <w:t>Strategic </w:t>
            </w:r>
            <w:r>
              <w:rPr>
                <w:rFonts w:ascii="Segoe UI"/>
                <w:spacing w:val="-2"/>
                <w:sz w:val="21"/>
              </w:rPr>
              <w:t>Commissioning</w:t>
            </w:r>
          </w:p>
          <w:p>
            <w:pPr>
              <w:pStyle w:val="TableParagraph"/>
              <w:spacing w:line="277" w:lineRule="exact"/>
              <w:ind w:left="110"/>
              <w:rPr>
                <w:rFonts w:ascii="Segoe UI"/>
                <w:sz w:val="21"/>
              </w:rPr>
            </w:pPr>
            <w:r>
              <w:rPr>
                <w:rFonts w:ascii="Segoe UI"/>
                <w:sz w:val="21"/>
              </w:rPr>
              <w:t>Head</w:t>
            </w:r>
            <w:r>
              <w:rPr>
                <w:rFonts w:ascii="Segoe UI"/>
                <w:spacing w:val="2"/>
                <w:sz w:val="21"/>
              </w:rPr>
              <w:t> </w:t>
            </w:r>
            <w:r>
              <w:rPr>
                <w:rFonts w:ascii="Segoe UI"/>
                <w:sz w:val="21"/>
              </w:rPr>
              <w:t>of</w:t>
            </w:r>
            <w:r>
              <w:rPr>
                <w:rFonts w:ascii="Segoe UI"/>
                <w:spacing w:val="1"/>
                <w:sz w:val="21"/>
              </w:rPr>
              <w:t> </w:t>
            </w:r>
            <w:r>
              <w:rPr>
                <w:rFonts w:ascii="Segoe UI"/>
                <w:spacing w:val="-2"/>
                <w:sz w:val="21"/>
              </w:rPr>
              <w:t>Commissioning</w:t>
            </w:r>
          </w:p>
        </w:tc>
        <w:tc>
          <w:tcPr>
            <w:tcW w:w="2256" w:type="dxa"/>
          </w:tcPr>
          <w:p>
            <w:pPr>
              <w:pStyle w:val="TableParagraph"/>
              <w:spacing w:line="276" w:lineRule="auto" w:before="58"/>
              <w:ind w:left="109" w:right="151"/>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 Swansea Bay University Health </w:t>
            </w:r>
            <w:r>
              <w:rPr>
                <w:rFonts w:ascii="Segoe UI"/>
                <w:spacing w:val="-2"/>
                <w:sz w:val="21"/>
              </w:rPr>
              <w:t>Board</w:t>
            </w:r>
          </w:p>
        </w:tc>
        <w:tc>
          <w:tcPr>
            <w:tcW w:w="1997" w:type="dxa"/>
          </w:tcPr>
          <w:p>
            <w:pPr>
              <w:pStyle w:val="TableParagraph"/>
              <w:spacing w:line="276" w:lineRule="auto" w:before="58"/>
              <w:ind w:left="109" w:right="456"/>
              <w:rPr>
                <w:rFonts w:ascii="Segoe UI"/>
                <w:sz w:val="21"/>
              </w:rPr>
            </w:pPr>
            <w:r>
              <w:rPr>
                <w:rFonts w:ascii="Segoe UI"/>
                <w:sz w:val="21"/>
              </w:rPr>
              <w:t>Anne Simpson Joshua</w:t>
            </w:r>
            <w:r>
              <w:rPr>
                <w:rFonts w:ascii="Segoe UI"/>
                <w:spacing w:val="1"/>
                <w:sz w:val="21"/>
              </w:rPr>
              <w:t> </w:t>
            </w:r>
            <w:r>
              <w:rPr>
                <w:rFonts w:ascii="Segoe UI"/>
                <w:spacing w:val="-2"/>
                <w:sz w:val="21"/>
              </w:rPr>
              <w:t>Griffiths</w:t>
            </w:r>
          </w:p>
        </w:tc>
        <w:tc>
          <w:tcPr>
            <w:tcW w:w="4538" w:type="dxa"/>
          </w:tcPr>
          <w:p>
            <w:pPr>
              <w:pStyle w:val="TableParagraph"/>
              <w:spacing w:line="276" w:lineRule="auto" w:before="58"/>
              <w:ind w:left="107"/>
              <w:rPr>
                <w:rFonts w:ascii="Segoe UI" w:hAnsi="Segoe UI"/>
                <w:sz w:val="21"/>
              </w:rPr>
            </w:pPr>
            <w:r>
              <w:rPr>
                <w:rFonts w:ascii="Segoe UI" w:hAnsi="Segoe UI"/>
                <w:sz w:val="21"/>
              </w:rPr>
              <w:t>Contracting</w:t>
            </w:r>
            <w:r>
              <w:rPr>
                <w:rFonts w:ascii="Segoe UI" w:hAnsi="Segoe UI"/>
                <w:spacing w:val="-14"/>
                <w:sz w:val="21"/>
              </w:rPr>
              <w:t> </w:t>
            </w:r>
            <w:r>
              <w:rPr>
                <w:rFonts w:ascii="Segoe UI" w:hAnsi="Segoe UI"/>
                <w:sz w:val="21"/>
              </w:rPr>
              <w:t>and</w:t>
            </w:r>
            <w:r>
              <w:rPr>
                <w:rFonts w:ascii="Segoe UI" w:hAnsi="Segoe UI"/>
                <w:spacing w:val="-13"/>
                <w:sz w:val="21"/>
              </w:rPr>
              <w:t> </w:t>
            </w:r>
            <w:r>
              <w:rPr>
                <w:rFonts w:ascii="Segoe UI" w:hAnsi="Segoe UI"/>
                <w:sz w:val="21"/>
              </w:rPr>
              <w:t>Commissioning</w:t>
            </w:r>
            <w:r>
              <w:rPr>
                <w:rFonts w:ascii="Segoe UI" w:hAnsi="Segoe UI"/>
                <w:spacing w:val="-15"/>
                <w:sz w:val="21"/>
              </w:rPr>
              <w:t> </w:t>
            </w:r>
            <w:r>
              <w:rPr>
                <w:rFonts w:ascii="Segoe UI" w:hAnsi="Segoe UI"/>
                <w:sz w:val="21"/>
              </w:rPr>
              <w:t>workstream leads – leading change to contracting and commission arrangements, planning and </w:t>
            </w:r>
            <w:r>
              <w:rPr>
                <w:rFonts w:ascii="Segoe UI" w:hAnsi="Segoe UI"/>
                <w:spacing w:val="-2"/>
                <w:sz w:val="21"/>
              </w:rPr>
              <w:t>delivery</w:t>
            </w:r>
          </w:p>
        </w:tc>
      </w:tr>
      <w:tr>
        <w:trPr>
          <w:trHeight w:val="2365" w:hRule="atLeast"/>
        </w:trPr>
        <w:tc>
          <w:tcPr>
            <w:tcW w:w="2697" w:type="dxa"/>
          </w:tcPr>
          <w:p>
            <w:pPr>
              <w:pStyle w:val="TableParagraph"/>
              <w:spacing w:line="276" w:lineRule="auto" w:before="58"/>
              <w:ind w:left="110" w:right="455"/>
              <w:rPr>
                <w:rFonts w:ascii="Segoe UI"/>
                <w:sz w:val="21"/>
              </w:rPr>
            </w:pPr>
            <w:r>
              <w:rPr>
                <w:rFonts w:ascii="Segoe UI"/>
                <w:sz w:val="21"/>
              </w:rPr>
              <w:t>Assistant</w:t>
            </w:r>
            <w:r>
              <w:rPr>
                <w:rFonts w:ascii="Segoe UI"/>
                <w:spacing w:val="-15"/>
                <w:sz w:val="21"/>
              </w:rPr>
              <w:t> </w:t>
            </w:r>
            <w:r>
              <w:rPr>
                <w:rFonts w:ascii="Segoe UI"/>
                <w:sz w:val="21"/>
              </w:rPr>
              <w:t>Director</w:t>
            </w:r>
            <w:r>
              <w:rPr>
                <w:rFonts w:ascii="Segoe UI"/>
                <w:spacing w:val="-14"/>
                <w:sz w:val="21"/>
              </w:rPr>
              <w:t> </w:t>
            </w:r>
            <w:r>
              <w:rPr>
                <w:rFonts w:ascii="Segoe UI"/>
                <w:sz w:val="21"/>
              </w:rPr>
              <w:t>of People Planning Project Managers - Workforce Planning</w:t>
            </w:r>
          </w:p>
          <w:p>
            <w:pPr>
              <w:pStyle w:val="TableParagraph"/>
              <w:spacing w:line="276" w:lineRule="auto" w:before="1"/>
              <w:ind w:left="110"/>
              <w:rPr>
                <w:rFonts w:ascii="Segoe UI"/>
                <w:sz w:val="21"/>
              </w:rPr>
            </w:pPr>
            <w:r>
              <w:rPr>
                <w:rFonts w:ascii="Segoe UI"/>
                <w:sz w:val="21"/>
              </w:rPr>
              <w:t>Senior</w:t>
            </w:r>
            <w:r>
              <w:rPr>
                <w:rFonts w:ascii="Segoe UI"/>
                <w:spacing w:val="-13"/>
                <w:sz w:val="21"/>
              </w:rPr>
              <w:t> </w:t>
            </w:r>
            <w:r>
              <w:rPr>
                <w:rFonts w:ascii="Segoe UI"/>
                <w:sz w:val="21"/>
              </w:rPr>
              <w:t>Planning</w:t>
            </w:r>
            <w:r>
              <w:rPr>
                <w:rFonts w:ascii="Segoe UI"/>
                <w:spacing w:val="-9"/>
                <w:sz w:val="21"/>
              </w:rPr>
              <w:t> </w:t>
            </w:r>
            <w:r>
              <w:rPr>
                <w:rFonts w:ascii="Segoe UI"/>
                <w:sz w:val="21"/>
              </w:rPr>
              <w:t>and</w:t>
            </w:r>
            <w:r>
              <w:rPr>
                <w:rFonts w:ascii="Segoe UI"/>
                <w:spacing w:val="-13"/>
                <w:sz w:val="21"/>
              </w:rPr>
              <w:t> </w:t>
            </w:r>
            <w:r>
              <w:rPr>
                <w:rFonts w:ascii="Segoe UI"/>
                <w:sz w:val="21"/>
              </w:rPr>
              <w:t>OD </w:t>
            </w:r>
            <w:r>
              <w:rPr>
                <w:rFonts w:ascii="Segoe UI"/>
                <w:spacing w:val="-2"/>
                <w:sz w:val="21"/>
              </w:rPr>
              <w:t>Manager</w:t>
            </w:r>
          </w:p>
        </w:tc>
        <w:tc>
          <w:tcPr>
            <w:tcW w:w="2256" w:type="dxa"/>
          </w:tcPr>
          <w:p>
            <w:pPr>
              <w:pStyle w:val="TableParagraph"/>
              <w:spacing w:line="276" w:lineRule="auto" w:before="58"/>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p>
            <w:pPr>
              <w:pStyle w:val="TableParagraph"/>
              <w:spacing w:line="276" w:lineRule="auto"/>
              <w:ind w:left="109" w:right="151"/>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 Swansea Bay University Health </w:t>
            </w:r>
            <w:r>
              <w:rPr>
                <w:rFonts w:ascii="Segoe UI"/>
                <w:spacing w:val="-2"/>
                <w:sz w:val="21"/>
              </w:rPr>
              <w:t>Board</w:t>
            </w:r>
          </w:p>
        </w:tc>
        <w:tc>
          <w:tcPr>
            <w:tcW w:w="1997" w:type="dxa"/>
          </w:tcPr>
          <w:p>
            <w:pPr>
              <w:pStyle w:val="TableParagraph"/>
              <w:spacing w:line="276" w:lineRule="auto" w:before="58"/>
              <w:ind w:left="109" w:right="331"/>
              <w:rPr>
                <w:rFonts w:ascii="Segoe UI"/>
                <w:sz w:val="21"/>
              </w:rPr>
            </w:pPr>
            <w:r>
              <w:rPr>
                <w:rFonts w:ascii="Segoe UI"/>
                <w:sz w:val="21"/>
              </w:rPr>
              <w:t>Tracey</w:t>
            </w:r>
            <w:r>
              <w:rPr>
                <w:rFonts w:ascii="Segoe UI"/>
                <w:spacing w:val="-15"/>
                <w:sz w:val="21"/>
              </w:rPr>
              <w:t> </w:t>
            </w:r>
            <w:r>
              <w:rPr>
                <w:rFonts w:ascii="Segoe UI"/>
                <w:sz w:val="21"/>
              </w:rPr>
              <w:t>Walmsley Wendy Davies</w:t>
            </w:r>
          </w:p>
          <w:p>
            <w:pPr>
              <w:pStyle w:val="TableParagraph"/>
              <w:rPr>
                <w:rFonts w:ascii="Calibri"/>
                <w:sz w:val="21"/>
              </w:rPr>
            </w:pPr>
          </w:p>
          <w:p>
            <w:pPr>
              <w:pStyle w:val="TableParagraph"/>
              <w:spacing w:before="130"/>
              <w:rPr>
                <w:rFonts w:ascii="Calibri"/>
                <w:sz w:val="21"/>
              </w:rPr>
            </w:pPr>
          </w:p>
          <w:p>
            <w:pPr>
              <w:pStyle w:val="TableParagraph"/>
              <w:ind w:left="109"/>
              <w:rPr>
                <w:rFonts w:ascii="Segoe UI"/>
                <w:sz w:val="21"/>
              </w:rPr>
            </w:pPr>
            <w:r>
              <w:rPr>
                <w:rFonts w:ascii="Segoe UI"/>
                <w:sz w:val="21"/>
              </w:rPr>
              <w:t>Mark</w:t>
            </w:r>
            <w:r>
              <w:rPr>
                <w:rFonts w:ascii="Segoe UI"/>
                <w:spacing w:val="2"/>
                <w:sz w:val="21"/>
              </w:rPr>
              <w:t> </w:t>
            </w:r>
            <w:r>
              <w:rPr>
                <w:rFonts w:ascii="Segoe UI"/>
                <w:spacing w:val="-4"/>
                <w:sz w:val="21"/>
              </w:rPr>
              <w:t>Turp</w:t>
            </w:r>
          </w:p>
        </w:tc>
        <w:tc>
          <w:tcPr>
            <w:tcW w:w="4538" w:type="dxa"/>
          </w:tcPr>
          <w:p>
            <w:pPr>
              <w:pStyle w:val="TableParagraph"/>
              <w:spacing w:before="58"/>
              <w:ind w:left="107"/>
              <w:rPr>
                <w:rFonts w:ascii="Segoe UI"/>
                <w:sz w:val="21"/>
              </w:rPr>
            </w:pPr>
            <w:r>
              <w:rPr>
                <w:rFonts w:ascii="Segoe UI"/>
                <w:sz w:val="21"/>
              </w:rPr>
              <w:t>Workforce</w:t>
            </w:r>
            <w:r>
              <w:rPr>
                <w:rFonts w:ascii="Segoe UI"/>
                <w:spacing w:val="-2"/>
                <w:sz w:val="21"/>
              </w:rPr>
              <w:t> </w:t>
            </w:r>
            <w:r>
              <w:rPr>
                <w:rFonts w:ascii="Segoe UI"/>
                <w:sz w:val="21"/>
              </w:rPr>
              <w:t>and</w:t>
            </w:r>
            <w:r>
              <w:rPr>
                <w:rFonts w:ascii="Segoe UI"/>
                <w:spacing w:val="-1"/>
                <w:sz w:val="21"/>
              </w:rPr>
              <w:t> </w:t>
            </w:r>
            <w:r>
              <w:rPr>
                <w:rFonts w:ascii="Segoe UI"/>
                <w:sz w:val="21"/>
              </w:rPr>
              <w:t>OD</w:t>
            </w:r>
            <w:r>
              <w:rPr>
                <w:rFonts w:ascii="Segoe UI"/>
                <w:spacing w:val="-4"/>
                <w:sz w:val="21"/>
              </w:rPr>
              <w:t> </w:t>
            </w:r>
            <w:r>
              <w:rPr>
                <w:rFonts w:ascii="Segoe UI"/>
                <w:sz w:val="21"/>
              </w:rPr>
              <w:t>workstream</w:t>
            </w:r>
            <w:r>
              <w:rPr>
                <w:rFonts w:ascii="Segoe UI"/>
                <w:spacing w:val="-2"/>
                <w:sz w:val="21"/>
              </w:rPr>
              <w:t> </w:t>
            </w:r>
            <w:r>
              <w:rPr>
                <w:rFonts w:ascii="Segoe UI"/>
                <w:spacing w:val="-4"/>
                <w:sz w:val="21"/>
              </w:rPr>
              <w:t>leads</w:t>
            </w:r>
          </w:p>
        </w:tc>
      </w:tr>
      <w:tr>
        <w:trPr>
          <w:trHeight w:val="760" w:hRule="atLeast"/>
        </w:trPr>
        <w:tc>
          <w:tcPr>
            <w:tcW w:w="2697" w:type="dxa"/>
          </w:tcPr>
          <w:p>
            <w:pPr>
              <w:pStyle w:val="TableParagraph"/>
              <w:spacing w:before="57"/>
              <w:ind w:left="110"/>
              <w:rPr>
                <w:sz w:val="20"/>
              </w:rPr>
            </w:pPr>
            <w:r>
              <w:rPr>
                <w:sz w:val="20"/>
              </w:rPr>
              <w:t>Project</w:t>
            </w:r>
            <w:r>
              <w:rPr>
                <w:spacing w:val="-6"/>
                <w:sz w:val="20"/>
              </w:rPr>
              <w:t> </w:t>
            </w:r>
            <w:r>
              <w:rPr>
                <w:spacing w:val="-2"/>
                <w:sz w:val="20"/>
              </w:rPr>
              <w:t>Manager</w:t>
            </w:r>
          </w:p>
        </w:tc>
        <w:tc>
          <w:tcPr>
            <w:tcW w:w="2256" w:type="dxa"/>
          </w:tcPr>
          <w:p>
            <w:pPr>
              <w:pStyle w:val="TableParagraph"/>
              <w:spacing w:line="276" w:lineRule="auto" w:before="57"/>
              <w:ind w:left="109"/>
              <w:rPr>
                <w:sz w:val="20"/>
              </w:rPr>
            </w:pPr>
            <w:r>
              <w:rPr>
                <w:sz w:val="20"/>
              </w:rPr>
              <w:t>Hywel</w:t>
            </w:r>
            <w:r>
              <w:rPr>
                <w:spacing w:val="-14"/>
                <w:sz w:val="20"/>
              </w:rPr>
              <w:t> </w:t>
            </w:r>
            <w:r>
              <w:rPr>
                <w:sz w:val="20"/>
              </w:rPr>
              <w:t>Dda</w:t>
            </w:r>
            <w:r>
              <w:rPr>
                <w:spacing w:val="-14"/>
                <w:sz w:val="20"/>
              </w:rPr>
              <w:t> </w:t>
            </w:r>
            <w:r>
              <w:rPr>
                <w:sz w:val="20"/>
              </w:rPr>
              <w:t>University Health Board</w:t>
            </w:r>
          </w:p>
        </w:tc>
        <w:tc>
          <w:tcPr>
            <w:tcW w:w="1997" w:type="dxa"/>
          </w:tcPr>
          <w:p>
            <w:pPr>
              <w:pStyle w:val="TableParagraph"/>
              <w:spacing w:line="276" w:lineRule="auto" w:before="57"/>
              <w:ind w:left="109" w:right="671"/>
              <w:rPr>
                <w:sz w:val="20"/>
              </w:rPr>
            </w:pPr>
            <w:r>
              <w:rPr>
                <w:sz w:val="20"/>
              </w:rPr>
              <w:t>Carly</w:t>
            </w:r>
            <w:r>
              <w:rPr>
                <w:spacing w:val="-14"/>
                <w:sz w:val="20"/>
              </w:rPr>
              <w:t> </w:t>
            </w:r>
            <w:r>
              <w:rPr>
                <w:sz w:val="20"/>
              </w:rPr>
              <w:t>Tucker-</w:t>
            </w:r>
            <w:r>
              <w:rPr>
                <w:spacing w:val="-2"/>
                <w:sz w:val="20"/>
              </w:rPr>
              <w:t>Williams</w:t>
            </w:r>
          </w:p>
        </w:tc>
        <w:tc>
          <w:tcPr>
            <w:tcW w:w="4538" w:type="dxa"/>
          </w:tcPr>
          <w:p>
            <w:pPr>
              <w:pStyle w:val="TableParagraph"/>
              <w:spacing w:line="276" w:lineRule="auto" w:before="57"/>
              <w:ind w:left="107"/>
              <w:rPr>
                <w:sz w:val="20"/>
              </w:rPr>
            </w:pPr>
            <w:r>
              <w:rPr>
                <w:sz w:val="20"/>
              </w:rPr>
              <w:t>Hywel</w:t>
            </w:r>
            <w:r>
              <w:rPr>
                <w:spacing w:val="-8"/>
                <w:sz w:val="20"/>
              </w:rPr>
              <w:t> </w:t>
            </w:r>
            <w:r>
              <w:rPr>
                <w:sz w:val="20"/>
              </w:rPr>
              <w:t>Dda</w:t>
            </w:r>
            <w:r>
              <w:rPr>
                <w:spacing w:val="-10"/>
                <w:sz w:val="20"/>
              </w:rPr>
              <w:t> </w:t>
            </w:r>
            <w:r>
              <w:rPr>
                <w:sz w:val="20"/>
              </w:rPr>
              <w:t>Clinical</w:t>
            </w:r>
            <w:r>
              <w:rPr>
                <w:spacing w:val="-8"/>
                <w:sz w:val="20"/>
              </w:rPr>
              <w:t> </w:t>
            </w:r>
            <w:r>
              <w:rPr>
                <w:sz w:val="20"/>
              </w:rPr>
              <w:t>Service</w:t>
            </w:r>
            <w:r>
              <w:rPr>
                <w:spacing w:val="-10"/>
                <w:sz w:val="20"/>
              </w:rPr>
              <w:t> </w:t>
            </w:r>
            <w:r>
              <w:rPr>
                <w:sz w:val="20"/>
              </w:rPr>
              <w:t>Plan</w:t>
            </w:r>
            <w:r>
              <w:rPr>
                <w:spacing w:val="-10"/>
                <w:sz w:val="20"/>
              </w:rPr>
              <w:t> </w:t>
            </w:r>
            <w:r>
              <w:rPr>
                <w:sz w:val="20"/>
              </w:rPr>
              <w:t>connections, dependencies, impacts etc.</w:t>
            </w:r>
          </w:p>
        </w:tc>
      </w:tr>
      <w:tr>
        <w:trPr>
          <w:trHeight w:val="3331" w:hRule="atLeast"/>
        </w:trPr>
        <w:tc>
          <w:tcPr>
            <w:tcW w:w="2697" w:type="dxa"/>
          </w:tcPr>
          <w:p>
            <w:pPr>
              <w:pStyle w:val="TableParagraph"/>
              <w:spacing w:line="276" w:lineRule="auto" w:before="58"/>
              <w:ind w:left="110" w:right="130"/>
              <w:rPr>
                <w:rFonts w:ascii="Segoe UI"/>
                <w:sz w:val="21"/>
              </w:rPr>
            </w:pPr>
            <w:r>
              <w:rPr>
                <w:rFonts w:ascii="Segoe UI"/>
                <w:sz w:val="21"/>
              </w:rPr>
              <w:t>Data,</w:t>
            </w:r>
            <w:r>
              <w:rPr>
                <w:rFonts w:ascii="Segoe UI"/>
                <w:spacing w:val="-15"/>
                <w:sz w:val="21"/>
              </w:rPr>
              <w:t> </w:t>
            </w:r>
            <w:r>
              <w:rPr>
                <w:rFonts w:ascii="Segoe UI"/>
                <w:sz w:val="21"/>
              </w:rPr>
              <w:t>Modelling</w:t>
            </w:r>
            <w:r>
              <w:rPr>
                <w:rFonts w:ascii="Segoe UI"/>
                <w:spacing w:val="-14"/>
                <w:sz w:val="21"/>
              </w:rPr>
              <w:t> </w:t>
            </w:r>
            <w:r>
              <w:rPr>
                <w:rFonts w:ascii="Segoe UI"/>
                <w:sz w:val="21"/>
              </w:rPr>
              <w:t>and </w:t>
            </w:r>
            <w:r>
              <w:rPr>
                <w:rFonts w:ascii="Segoe UI"/>
                <w:spacing w:val="-2"/>
                <w:sz w:val="21"/>
              </w:rPr>
              <w:t>Analysis</w:t>
            </w:r>
          </w:p>
        </w:tc>
        <w:tc>
          <w:tcPr>
            <w:tcW w:w="2256" w:type="dxa"/>
          </w:tcPr>
          <w:p>
            <w:pPr>
              <w:pStyle w:val="TableParagraph"/>
              <w:spacing w:line="276" w:lineRule="auto" w:before="58"/>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p>
            <w:pPr>
              <w:pStyle w:val="TableParagraph"/>
              <w:spacing w:line="276" w:lineRule="auto"/>
              <w:ind w:left="109" w:right="151"/>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 Swansea Bay University Health </w:t>
            </w:r>
            <w:r>
              <w:rPr>
                <w:rFonts w:ascii="Segoe UI"/>
                <w:spacing w:val="-2"/>
                <w:sz w:val="21"/>
              </w:rPr>
              <w:t>Board</w:t>
            </w:r>
          </w:p>
          <w:p>
            <w:pPr>
              <w:pStyle w:val="TableParagraph"/>
              <w:spacing w:line="276" w:lineRule="auto" w:before="2"/>
              <w:ind w:left="109" w:right="557"/>
              <w:rPr>
                <w:rFonts w:ascii="Segoe UI"/>
                <w:sz w:val="21"/>
              </w:rPr>
            </w:pPr>
            <w:r>
              <w:rPr>
                <w:rFonts w:ascii="Segoe UI"/>
                <w:sz w:val="21"/>
              </w:rPr>
              <w:t>Swansea Bay University</w:t>
            </w:r>
            <w:r>
              <w:rPr>
                <w:rFonts w:ascii="Segoe UI"/>
                <w:spacing w:val="-15"/>
                <w:sz w:val="21"/>
              </w:rPr>
              <w:t> </w:t>
            </w:r>
            <w:r>
              <w:rPr>
                <w:rFonts w:ascii="Segoe UI"/>
                <w:sz w:val="21"/>
              </w:rPr>
              <w:t>Health </w:t>
            </w:r>
            <w:r>
              <w:rPr>
                <w:rFonts w:ascii="Segoe UI"/>
                <w:spacing w:val="-2"/>
                <w:sz w:val="21"/>
              </w:rPr>
              <w:t>Board</w:t>
            </w:r>
          </w:p>
        </w:tc>
        <w:tc>
          <w:tcPr>
            <w:tcW w:w="1997" w:type="dxa"/>
          </w:tcPr>
          <w:p>
            <w:pPr>
              <w:pStyle w:val="TableParagraph"/>
              <w:spacing w:line="276" w:lineRule="auto" w:before="58"/>
              <w:ind w:left="109"/>
              <w:rPr>
                <w:rFonts w:ascii="Segoe UI"/>
                <w:sz w:val="21"/>
              </w:rPr>
            </w:pPr>
            <w:r>
              <w:rPr>
                <w:rFonts w:ascii="Segoe UI"/>
                <w:sz w:val="21"/>
              </w:rPr>
              <w:t>Gareth</w:t>
            </w:r>
            <w:r>
              <w:rPr>
                <w:rFonts w:ascii="Segoe UI"/>
                <w:spacing w:val="-15"/>
                <w:sz w:val="21"/>
              </w:rPr>
              <w:t> </w:t>
            </w:r>
            <w:r>
              <w:rPr>
                <w:rFonts w:ascii="Segoe UI"/>
                <w:sz w:val="21"/>
              </w:rPr>
              <w:t>Beynon Gareth</w:t>
            </w:r>
            <w:r>
              <w:rPr>
                <w:rFonts w:ascii="Segoe UI"/>
                <w:spacing w:val="-2"/>
                <w:sz w:val="21"/>
              </w:rPr>
              <w:t> Jenkins</w:t>
            </w:r>
          </w:p>
          <w:p>
            <w:pPr>
              <w:pStyle w:val="TableParagraph"/>
              <w:rPr>
                <w:rFonts w:ascii="Calibri"/>
                <w:sz w:val="21"/>
              </w:rPr>
            </w:pPr>
          </w:p>
          <w:p>
            <w:pPr>
              <w:pStyle w:val="TableParagraph"/>
              <w:spacing w:before="130"/>
              <w:rPr>
                <w:rFonts w:ascii="Calibri"/>
                <w:sz w:val="21"/>
              </w:rPr>
            </w:pPr>
          </w:p>
          <w:p>
            <w:pPr>
              <w:pStyle w:val="TableParagraph"/>
              <w:spacing w:line="276" w:lineRule="auto"/>
              <w:ind w:left="109" w:right="493"/>
              <w:rPr>
                <w:rFonts w:ascii="Segoe UI"/>
                <w:sz w:val="21"/>
              </w:rPr>
            </w:pPr>
            <w:r>
              <w:rPr>
                <w:rFonts w:ascii="Segoe UI"/>
                <w:sz w:val="21"/>
              </w:rPr>
              <w:t>Andrew</w:t>
            </w:r>
            <w:r>
              <w:rPr>
                <w:rFonts w:ascii="Segoe UI"/>
                <w:spacing w:val="-15"/>
                <w:sz w:val="21"/>
              </w:rPr>
              <w:t> </w:t>
            </w:r>
            <w:r>
              <w:rPr>
                <w:rFonts w:ascii="Segoe UI"/>
                <w:sz w:val="21"/>
              </w:rPr>
              <w:t>nelson Chris Jones</w:t>
            </w:r>
            <w:r>
              <w:rPr>
                <w:rFonts w:ascii="Segoe UI"/>
                <w:spacing w:val="40"/>
                <w:sz w:val="21"/>
              </w:rPr>
              <w:t> </w:t>
            </w:r>
            <w:r>
              <w:rPr>
                <w:rFonts w:ascii="Segoe UI"/>
                <w:sz w:val="21"/>
              </w:rPr>
              <w:t>Lee Talbot</w:t>
            </w:r>
          </w:p>
        </w:tc>
        <w:tc>
          <w:tcPr>
            <w:tcW w:w="4538" w:type="dxa"/>
          </w:tcPr>
          <w:p>
            <w:pPr>
              <w:pStyle w:val="TableParagraph"/>
              <w:spacing w:before="58"/>
              <w:ind w:left="107"/>
              <w:rPr>
                <w:rFonts w:ascii="Segoe UI"/>
                <w:sz w:val="21"/>
              </w:rPr>
            </w:pPr>
            <w:r>
              <w:rPr>
                <w:rFonts w:ascii="Segoe UI"/>
                <w:sz w:val="21"/>
              </w:rPr>
              <w:t>Modelling</w:t>
            </w:r>
            <w:r>
              <w:rPr>
                <w:rFonts w:ascii="Segoe UI"/>
                <w:spacing w:val="-2"/>
                <w:sz w:val="21"/>
              </w:rPr>
              <w:t> </w:t>
            </w:r>
            <w:r>
              <w:rPr>
                <w:rFonts w:ascii="Segoe UI"/>
                <w:sz w:val="21"/>
              </w:rPr>
              <w:t>and</w:t>
            </w:r>
            <w:r>
              <w:rPr>
                <w:rFonts w:ascii="Segoe UI"/>
                <w:spacing w:val="-1"/>
                <w:sz w:val="21"/>
              </w:rPr>
              <w:t> </w:t>
            </w:r>
            <w:r>
              <w:rPr>
                <w:rFonts w:ascii="Segoe UI"/>
                <w:sz w:val="21"/>
              </w:rPr>
              <w:t>Analysis</w:t>
            </w:r>
            <w:r>
              <w:rPr>
                <w:rFonts w:ascii="Segoe UI"/>
                <w:spacing w:val="-1"/>
                <w:sz w:val="21"/>
              </w:rPr>
              <w:t> </w:t>
            </w:r>
            <w:r>
              <w:rPr>
                <w:rFonts w:ascii="Segoe UI"/>
                <w:spacing w:val="-2"/>
                <w:sz w:val="21"/>
              </w:rPr>
              <w:t>workstreams</w:t>
            </w:r>
          </w:p>
        </w:tc>
      </w:tr>
      <w:tr>
        <w:trPr>
          <w:trHeight w:val="1720" w:hRule="atLeast"/>
        </w:trPr>
        <w:tc>
          <w:tcPr>
            <w:tcW w:w="2697" w:type="dxa"/>
          </w:tcPr>
          <w:p>
            <w:pPr>
              <w:pStyle w:val="TableParagraph"/>
              <w:spacing w:before="117"/>
              <w:rPr>
                <w:rFonts w:ascii="Calibri"/>
                <w:sz w:val="21"/>
              </w:rPr>
            </w:pPr>
          </w:p>
          <w:p>
            <w:pPr>
              <w:pStyle w:val="TableParagraph"/>
              <w:ind w:left="110"/>
              <w:rPr>
                <w:rFonts w:ascii="Segoe UI"/>
                <w:sz w:val="21"/>
              </w:rPr>
            </w:pPr>
            <w:r>
              <w:rPr>
                <w:rFonts w:ascii="Segoe UI"/>
                <w:sz w:val="21"/>
              </w:rPr>
              <w:t>ADD</w:t>
            </w:r>
            <w:r>
              <w:rPr>
                <w:rFonts w:ascii="Segoe UI"/>
                <w:spacing w:val="-7"/>
                <w:sz w:val="21"/>
              </w:rPr>
              <w:t> </w:t>
            </w:r>
            <w:r>
              <w:rPr>
                <w:rFonts w:ascii="Segoe UI"/>
                <w:spacing w:val="-2"/>
                <w:sz w:val="21"/>
              </w:rPr>
              <w:t>Finance</w:t>
            </w:r>
          </w:p>
        </w:tc>
        <w:tc>
          <w:tcPr>
            <w:tcW w:w="2256" w:type="dxa"/>
          </w:tcPr>
          <w:p>
            <w:pPr>
              <w:pStyle w:val="TableParagraph"/>
              <w:spacing w:line="276" w:lineRule="auto" w:before="53"/>
              <w:ind w:left="109" w:right="151"/>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 Swansea Bay University Health </w:t>
            </w:r>
            <w:r>
              <w:rPr>
                <w:rFonts w:ascii="Segoe UI"/>
                <w:spacing w:val="-2"/>
                <w:sz w:val="21"/>
              </w:rPr>
              <w:t>Board</w:t>
            </w:r>
          </w:p>
        </w:tc>
        <w:tc>
          <w:tcPr>
            <w:tcW w:w="1997" w:type="dxa"/>
          </w:tcPr>
          <w:p>
            <w:pPr>
              <w:pStyle w:val="TableParagraph"/>
              <w:spacing w:line="276" w:lineRule="auto" w:before="53"/>
              <w:ind w:left="109" w:right="452"/>
              <w:rPr>
                <w:rFonts w:ascii="Segoe UI"/>
                <w:sz w:val="21"/>
              </w:rPr>
            </w:pPr>
            <w:r>
              <w:rPr>
                <w:rFonts w:ascii="Segoe UI"/>
                <w:sz w:val="21"/>
              </w:rPr>
              <w:t>Richard</w:t>
            </w:r>
            <w:r>
              <w:rPr>
                <w:rFonts w:ascii="Segoe UI"/>
                <w:spacing w:val="-15"/>
                <w:sz w:val="21"/>
              </w:rPr>
              <w:t> </w:t>
            </w:r>
            <w:r>
              <w:rPr>
                <w:rFonts w:ascii="Segoe UI"/>
                <w:sz w:val="21"/>
              </w:rPr>
              <w:t>Jenkins Catherine</w:t>
            </w:r>
            <w:r>
              <w:rPr>
                <w:rFonts w:ascii="Segoe UI"/>
                <w:spacing w:val="-2"/>
                <w:sz w:val="21"/>
              </w:rPr>
              <w:t> </w:t>
            </w:r>
            <w:r>
              <w:rPr>
                <w:rFonts w:ascii="Segoe UI"/>
                <w:spacing w:val="-4"/>
                <w:sz w:val="21"/>
              </w:rPr>
              <w:t>Hunt</w:t>
            </w:r>
          </w:p>
        </w:tc>
        <w:tc>
          <w:tcPr>
            <w:tcW w:w="4538" w:type="dxa"/>
          </w:tcPr>
          <w:p>
            <w:pPr>
              <w:pStyle w:val="TableParagraph"/>
              <w:spacing w:line="276" w:lineRule="auto" w:before="53"/>
              <w:ind w:left="107"/>
              <w:rPr>
                <w:rFonts w:ascii="Segoe UI"/>
                <w:sz w:val="21"/>
              </w:rPr>
            </w:pPr>
            <w:r>
              <w:rPr>
                <w:rFonts w:ascii="Segoe UI"/>
                <w:sz w:val="21"/>
              </w:rPr>
              <w:t>Finance</w:t>
            </w:r>
            <w:r>
              <w:rPr>
                <w:rFonts w:ascii="Segoe UI"/>
                <w:spacing w:val="-7"/>
                <w:sz w:val="21"/>
              </w:rPr>
              <w:t> </w:t>
            </w:r>
            <w:r>
              <w:rPr>
                <w:rFonts w:ascii="Segoe UI"/>
                <w:sz w:val="21"/>
              </w:rPr>
              <w:t>Workstream</w:t>
            </w:r>
            <w:r>
              <w:rPr>
                <w:rFonts w:ascii="Segoe UI"/>
                <w:spacing w:val="-8"/>
                <w:sz w:val="21"/>
              </w:rPr>
              <w:t> </w:t>
            </w:r>
            <w:r>
              <w:rPr>
                <w:rFonts w:ascii="Segoe UI"/>
                <w:sz w:val="21"/>
              </w:rPr>
              <w:t>lead,</w:t>
            </w:r>
            <w:r>
              <w:rPr>
                <w:rFonts w:ascii="Segoe UI"/>
                <w:spacing w:val="-8"/>
                <w:sz w:val="21"/>
              </w:rPr>
              <w:t> </w:t>
            </w:r>
            <w:r>
              <w:rPr>
                <w:rFonts w:ascii="Segoe UI"/>
                <w:sz w:val="21"/>
              </w:rPr>
              <w:t>linking</w:t>
            </w:r>
            <w:r>
              <w:rPr>
                <w:rFonts w:ascii="Segoe UI"/>
                <w:spacing w:val="-11"/>
                <w:sz w:val="21"/>
              </w:rPr>
              <w:t> </w:t>
            </w:r>
            <w:r>
              <w:rPr>
                <w:rFonts w:ascii="Segoe UI"/>
                <w:sz w:val="21"/>
              </w:rPr>
              <w:t>with</w:t>
            </w:r>
            <w:r>
              <w:rPr>
                <w:rFonts w:ascii="Segoe UI"/>
                <w:spacing w:val="-6"/>
                <w:sz w:val="21"/>
              </w:rPr>
              <w:t> </w:t>
            </w:r>
            <w:r>
              <w:rPr>
                <w:rFonts w:ascii="Segoe UI"/>
                <w:sz w:val="21"/>
              </w:rPr>
              <w:t>the Regional Subgroup</w:t>
            </w:r>
          </w:p>
        </w:tc>
      </w:tr>
    </w:tbl>
    <w:p>
      <w:pPr>
        <w:pStyle w:val="BodyText"/>
        <w:rPr>
          <w:rFonts w:ascii="Calibri"/>
          <w:sz w:val="16"/>
        </w:rPr>
      </w:pPr>
    </w:p>
    <w:p>
      <w:pPr>
        <w:pStyle w:val="BodyText"/>
        <w:rPr>
          <w:rFonts w:ascii="Calibri"/>
          <w:sz w:val="16"/>
        </w:rPr>
      </w:pPr>
    </w:p>
    <w:p>
      <w:pPr>
        <w:pStyle w:val="BodyText"/>
        <w:rPr>
          <w:rFonts w:ascii="Calibri"/>
          <w:sz w:val="16"/>
        </w:rPr>
      </w:pPr>
    </w:p>
    <w:p>
      <w:pPr>
        <w:pStyle w:val="BodyText"/>
        <w:spacing w:before="134"/>
        <w:rPr>
          <w:rFonts w:ascii="Calibri"/>
          <w:sz w:val="16"/>
        </w:rPr>
      </w:pPr>
    </w:p>
    <w:p>
      <w:pPr>
        <w:spacing w:before="1"/>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tabs>
          <w:tab w:pos="8592" w:val="left" w:leader="none"/>
        </w:tabs>
        <w:spacing w:line="240" w:lineRule="auto"/>
        <w:ind w:left="223" w:right="0" w:firstLine="0"/>
        <w:rPr>
          <w:rFonts w:ascii="Calibri"/>
          <w:position w:val="7"/>
          <w:sz w:val="20"/>
        </w:rPr>
      </w:pPr>
      <w:r>
        <w:rPr>
          <w:rFonts w:ascii="Calibri"/>
          <w:sz w:val="20"/>
        </w:rPr>
        <w:drawing>
          <wp:inline distT="0" distB="0" distL="0" distR="0">
            <wp:extent cx="1985031" cy="536448"/>
            <wp:effectExtent l="0" t="0" r="0" b="0"/>
            <wp:docPr id="240" name="Image 240"/>
            <wp:cNvGraphicFramePr>
              <a:graphicFrameLocks/>
            </wp:cNvGraphicFramePr>
            <a:graphic>
              <a:graphicData uri="http://schemas.openxmlformats.org/drawingml/2006/picture">
                <pic:pic>
                  <pic:nvPicPr>
                    <pic:cNvPr id="240" name="Image 240"/>
                    <pic:cNvPicPr/>
                  </pic:nvPicPr>
                  <pic:blipFill>
                    <a:blip r:embed="rId56" cstate="print"/>
                    <a:stretch>
                      <a:fillRect/>
                    </a:stretch>
                  </pic:blipFill>
                  <pic:spPr>
                    <a:xfrm>
                      <a:off x="0" y="0"/>
                      <a:ext cx="1985031" cy="536448"/>
                    </a:xfrm>
                    <a:prstGeom prst="rect">
                      <a:avLst/>
                    </a:prstGeom>
                  </pic:spPr>
                </pic:pic>
              </a:graphicData>
            </a:graphic>
          </wp:inline>
        </w:drawing>
      </w:r>
      <w:r>
        <w:rPr>
          <w:rFonts w:ascii="Calibri"/>
          <w:sz w:val="20"/>
        </w:rPr>
      </w:r>
      <w:r>
        <w:rPr>
          <w:rFonts w:ascii="Calibri"/>
          <w:sz w:val="20"/>
        </w:rPr>
        <w:tab/>
      </w:r>
      <w:r>
        <w:rPr>
          <w:rFonts w:ascii="Calibri"/>
          <w:position w:val="7"/>
          <w:sz w:val="20"/>
        </w:rPr>
        <w:drawing>
          <wp:inline distT="0" distB="0" distL="0" distR="0">
            <wp:extent cx="1950268" cy="495585"/>
            <wp:effectExtent l="0" t="0" r="0" b="0"/>
            <wp:docPr id="241" name="Image 241"/>
            <wp:cNvGraphicFramePr>
              <a:graphicFrameLocks/>
            </wp:cNvGraphicFramePr>
            <a:graphic>
              <a:graphicData uri="http://schemas.openxmlformats.org/drawingml/2006/picture">
                <pic:pic>
                  <pic:nvPicPr>
                    <pic:cNvPr id="241" name="Image 241"/>
                    <pic:cNvPicPr/>
                  </pic:nvPicPr>
                  <pic:blipFill>
                    <a:blip r:embed="rId57" cstate="print"/>
                    <a:stretch>
                      <a:fillRect/>
                    </a:stretch>
                  </pic:blipFill>
                  <pic:spPr>
                    <a:xfrm>
                      <a:off x="0" y="0"/>
                      <a:ext cx="1950268" cy="495585"/>
                    </a:xfrm>
                    <a:prstGeom prst="rect">
                      <a:avLst/>
                    </a:prstGeom>
                  </pic:spPr>
                </pic:pic>
              </a:graphicData>
            </a:graphic>
          </wp:inline>
        </w:drawing>
      </w:r>
      <w:r>
        <w:rPr>
          <w:rFonts w:ascii="Calibri"/>
          <w:position w:val="7"/>
          <w:sz w:val="20"/>
        </w:rPr>
      </w:r>
    </w:p>
    <w:p>
      <w:pPr>
        <w:pStyle w:val="BodyText"/>
        <w:spacing w:before="107"/>
        <w:rPr>
          <w:rFonts w:ascii="Calibri"/>
          <w:sz w:val="20"/>
        </w:rPr>
      </w:pPr>
    </w:p>
    <w:tbl>
      <w:tblPr>
        <w:tblW w:w="0" w:type="auto"/>
        <w:jc w:val="left"/>
        <w:tblInd w:w="163"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2697"/>
        <w:gridCol w:w="2256"/>
        <w:gridCol w:w="1997"/>
        <w:gridCol w:w="4538"/>
      </w:tblGrid>
      <w:tr>
        <w:trPr>
          <w:trHeight w:val="1720" w:hRule="atLeast"/>
        </w:trPr>
        <w:tc>
          <w:tcPr>
            <w:tcW w:w="2697" w:type="dxa"/>
          </w:tcPr>
          <w:p>
            <w:pPr>
              <w:pStyle w:val="TableParagraph"/>
              <w:spacing w:before="53"/>
              <w:ind w:left="110"/>
              <w:rPr>
                <w:rFonts w:ascii="Segoe UI"/>
                <w:sz w:val="21"/>
              </w:rPr>
            </w:pPr>
            <w:r>
              <w:rPr>
                <w:rFonts w:ascii="Segoe UI"/>
                <w:sz w:val="21"/>
              </w:rPr>
              <w:t>Public</w:t>
            </w:r>
            <w:r>
              <w:rPr>
                <w:rFonts w:ascii="Segoe UI"/>
                <w:spacing w:val="1"/>
                <w:sz w:val="21"/>
              </w:rPr>
              <w:t> </w:t>
            </w:r>
            <w:r>
              <w:rPr>
                <w:rFonts w:ascii="Segoe UI"/>
                <w:spacing w:val="-2"/>
                <w:sz w:val="21"/>
              </w:rPr>
              <w:t>Engagement</w:t>
            </w:r>
          </w:p>
        </w:tc>
        <w:tc>
          <w:tcPr>
            <w:tcW w:w="2256" w:type="dxa"/>
          </w:tcPr>
          <w:p>
            <w:pPr>
              <w:pStyle w:val="TableParagraph"/>
              <w:spacing w:line="278" w:lineRule="auto" w:before="53"/>
              <w:ind w:left="109" w:right="557"/>
              <w:rPr>
                <w:rFonts w:ascii="Segoe UI"/>
                <w:sz w:val="21"/>
              </w:rPr>
            </w:pPr>
            <w:r>
              <w:rPr>
                <w:rFonts w:ascii="Segoe UI"/>
                <w:sz w:val="21"/>
              </w:rPr>
              <w:t>Swansea Bay University</w:t>
            </w:r>
            <w:r>
              <w:rPr>
                <w:rFonts w:ascii="Segoe UI"/>
                <w:spacing w:val="-15"/>
                <w:sz w:val="21"/>
              </w:rPr>
              <w:t> </w:t>
            </w:r>
            <w:r>
              <w:rPr>
                <w:rFonts w:ascii="Segoe UI"/>
                <w:sz w:val="21"/>
              </w:rPr>
              <w:t>Health </w:t>
            </w:r>
            <w:r>
              <w:rPr>
                <w:rFonts w:ascii="Segoe UI"/>
                <w:spacing w:val="-2"/>
                <w:sz w:val="21"/>
              </w:rPr>
              <w:t>Board</w:t>
            </w:r>
          </w:p>
          <w:p>
            <w:pPr>
              <w:pStyle w:val="TableParagraph"/>
              <w:spacing w:line="276" w:lineRule="auto"/>
              <w:ind w:left="109"/>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w:t>
            </w:r>
          </w:p>
        </w:tc>
        <w:tc>
          <w:tcPr>
            <w:tcW w:w="1997" w:type="dxa"/>
          </w:tcPr>
          <w:p>
            <w:pPr>
              <w:pStyle w:val="TableParagraph"/>
              <w:spacing w:line="278" w:lineRule="auto" w:before="53"/>
              <w:ind w:left="109"/>
              <w:rPr>
                <w:rFonts w:ascii="Segoe UI" w:hAnsi="Segoe UI"/>
                <w:sz w:val="21"/>
              </w:rPr>
            </w:pPr>
            <w:r>
              <w:rPr>
                <w:rFonts w:ascii="Segoe UI" w:hAnsi="Segoe UI"/>
                <w:sz w:val="21"/>
              </w:rPr>
              <w:t>Nic O’Sullivan Alwena</w:t>
            </w:r>
            <w:r>
              <w:rPr>
                <w:rFonts w:ascii="Segoe UI" w:hAnsi="Segoe UI"/>
                <w:spacing w:val="-15"/>
                <w:sz w:val="21"/>
              </w:rPr>
              <w:t> </w:t>
            </w:r>
            <w:r>
              <w:rPr>
                <w:rFonts w:ascii="Segoe UI" w:hAnsi="Segoe UI"/>
                <w:sz w:val="21"/>
              </w:rPr>
              <w:t>Hughes-</w:t>
            </w:r>
            <w:r>
              <w:rPr>
                <w:rFonts w:ascii="Segoe UI" w:hAnsi="Segoe UI"/>
                <w:spacing w:val="-2"/>
                <w:sz w:val="21"/>
              </w:rPr>
              <w:t>Moakes</w:t>
            </w:r>
          </w:p>
        </w:tc>
        <w:tc>
          <w:tcPr>
            <w:tcW w:w="4538" w:type="dxa"/>
          </w:tcPr>
          <w:p>
            <w:pPr>
              <w:pStyle w:val="TableParagraph"/>
              <w:spacing w:line="278" w:lineRule="auto" w:before="53"/>
              <w:ind w:left="107"/>
              <w:rPr>
                <w:rFonts w:ascii="Segoe UI"/>
                <w:sz w:val="21"/>
              </w:rPr>
            </w:pPr>
            <w:r>
              <w:rPr>
                <w:rFonts w:ascii="Segoe UI"/>
                <w:sz w:val="21"/>
              </w:rPr>
              <w:t>Public</w:t>
            </w:r>
            <w:r>
              <w:rPr>
                <w:rFonts w:ascii="Segoe UI"/>
                <w:spacing w:val="-7"/>
                <w:sz w:val="21"/>
              </w:rPr>
              <w:t> </w:t>
            </w:r>
            <w:r>
              <w:rPr>
                <w:rFonts w:ascii="Segoe UI"/>
                <w:sz w:val="21"/>
              </w:rPr>
              <w:t>engagement</w:t>
            </w:r>
            <w:r>
              <w:rPr>
                <w:rFonts w:ascii="Segoe UI"/>
                <w:spacing w:val="-8"/>
                <w:sz w:val="21"/>
              </w:rPr>
              <w:t> </w:t>
            </w:r>
            <w:r>
              <w:rPr>
                <w:rFonts w:ascii="Segoe UI"/>
                <w:sz w:val="21"/>
              </w:rPr>
              <w:t>-</w:t>
            </w:r>
            <w:r>
              <w:rPr>
                <w:rFonts w:ascii="Segoe UI"/>
                <w:spacing w:val="-5"/>
                <w:sz w:val="21"/>
              </w:rPr>
              <w:t> </w:t>
            </w:r>
            <w:r>
              <w:rPr>
                <w:rFonts w:ascii="Segoe UI"/>
                <w:sz w:val="21"/>
              </w:rPr>
              <w:t>leading</w:t>
            </w:r>
            <w:r>
              <w:rPr>
                <w:rFonts w:ascii="Segoe UI"/>
                <w:spacing w:val="-9"/>
                <w:sz w:val="21"/>
              </w:rPr>
              <w:t> </w:t>
            </w:r>
            <w:r>
              <w:rPr>
                <w:rFonts w:ascii="Segoe UI"/>
                <w:sz w:val="21"/>
              </w:rPr>
              <w:t>change</w:t>
            </w:r>
            <w:r>
              <w:rPr>
                <w:rFonts w:ascii="Segoe UI"/>
                <w:spacing w:val="-6"/>
                <w:sz w:val="21"/>
              </w:rPr>
              <w:t> </w:t>
            </w:r>
            <w:r>
              <w:rPr>
                <w:rFonts w:ascii="Segoe UI"/>
                <w:sz w:val="21"/>
              </w:rPr>
              <w:t>to</w:t>
            </w:r>
            <w:r>
              <w:rPr>
                <w:rFonts w:ascii="Segoe UI"/>
                <w:spacing w:val="-4"/>
                <w:sz w:val="21"/>
              </w:rPr>
              <w:t> </w:t>
            </w:r>
            <w:r>
              <w:rPr>
                <w:rFonts w:ascii="Segoe UI"/>
                <w:sz w:val="21"/>
              </w:rPr>
              <w:t>public engagement arrangements, planning and </w:t>
            </w:r>
            <w:r>
              <w:rPr>
                <w:rFonts w:ascii="Segoe UI"/>
                <w:spacing w:val="-2"/>
                <w:sz w:val="21"/>
              </w:rPr>
              <w:t>delivery</w:t>
            </w:r>
          </w:p>
        </w:tc>
      </w:tr>
      <w:tr>
        <w:trPr>
          <w:trHeight w:val="1720" w:hRule="atLeast"/>
        </w:trPr>
        <w:tc>
          <w:tcPr>
            <w:tcW w:w="2697" w:type="dxa"/>
          </w:tcPr>
          <w:p>
            <w:pPr>
              <w:pStyle w:val="TableParagraph"/>
              <w:spacing w:before="53"/>
              <w:ind w:left="110"/>
              <w:rPr>
                <w:rFonts w:ascii="Segoe UI"/>
                <w:sz w:val="21"/>
              </w:rPr>
            </w:pPr>
            <w:r>
              <w:rPr>
                <w:rFonts w:ascii="Segoe UI"/>
                <w:sz w:val="21"/>
              </w:rPr>
              <w:t>Clinical</w:t>
            </w:r>
            <w:r>
              <w:rPr>
                <w:rFonts w:ascii="Segoe UI"/>
                <w:spacing w:val="-8"/>
                <w:sz w:val="21"/>
              </w:rPr>
              <w:t> </w:t>
            </w:r>
            <w:r>
              <w:rPr>
                <w:rFonts w:ascii="Segoe UI"/>
                <w:spacing w:val="-2"/>
                <w:sz w:val="21"/>
              </w:rPr>
              <w:t>Representative</w:t>
            </w:r>
          </w:p>
        </w:tc>
        <w:tc>
          <w:tcPr>
            <w:tcW w:w="2256" w:type="dxa"/>
          </w:tcPr>
          <w:p>
            <w:pPr>
              <w:pStyle w:val="TableParagraph"/>
              <w:spacing w:line="278" w:lineRule="auto" w:before="53"/>
              <w:ind w:left="109" w:right="332"/>
              <w:rPr>
                <w:rFonts w:ascii="Segoe UI" w:hAnsi="Segoe UI"/>
                <w:sz w:val="21"/>
              </w:rPr>
            </w:pPr>
            <w:r>
              <w:rPr>
                <w:rFonts w:ascii="Segoe UI" w:hAnsi="Segoe UI"/>
                <w:sz w:val="21"/>
              </w:rPr>
              <w:t>Swansea</w:t>
            </w:r>
            <w:r>
              <w:rPr>
                <w:rFonts w:ascii="Segoe UI" w:hAnsi="Segoe UI"/>
                <w:spacing w:val="-14"/>
                <w:sz w:val="21"/>
              </w:rPr>
              <w:t> </w:t>
            </w:r>
            <w:r>
              <w:rPr>
                <w:rFonts w:ascii="Segoe UI" w:hAnsi="Segoe UI"/>
                <w:sz w:val="21"/>
              </w:rPr>
              <w:t>Bay</w:t>
            </w:r>
            <w:r>
              <w:rPr>
                <w:rFonts w:ascii="Segoe UI" w:hAnsi="Segoe UI"/>
                <w:spacing w:val="-14"/>
                <w:sz w:val="21"/>
              </w:rPr>
              <w:t> </w:t>
            </w:r>
            <w:r>
              <w:rPr>
                <w:rFonts w:ascii="Segoe UI" w:hAnsi="Segoe UI"/>
                <w:sz w:val="21"/>
              </w:rPr>
              <w:t>UHB</w:t>
            </w:r>
            <w:r>
              <w:rPr>
                <w:rFonts w:ascii="Segoe UI" w:hAnsi="Segoe UI"/>
                <w:spacing w:val="-12"/>
                <w:sz w:val="21"/>
              </w:rPr>
              <w:t> </w:t>
            </w:r>
            <w:r>
              <w:rPr>
                <w:rFonts w:ascii="Segoe UI" w:hAnsi="Segoe UI"/>
                <w:sz w:val="21"/>
              </w:rPr>
              <w:t>– </w:t>
            </w:r>
            <w:r>
              <w:rPr>
                <w:rFonts w:ascii="Segoe UI" w:hAnsi="Segoe UI"/>
                <w:spacing w:val="-2"/>
                <w:sz w:val="21"/>
              </w:rPr>
              <w:t>Orthopaedics</w:t>
            </w:r>
            <w:r>
              <w:rPr>
                <w:rFonts w:ascii="Segoe UI" w:hAnsi="Segoe UI"/>
                <w:spacing w:val="40"/>
                <w:sz w:val="21"/>
              </w:rPr>
              <w:t> </w:t>
            </w:r>
            <w:r>
              <w:rPr>
                <w:rFonts w:ascii="Segoe UI" w:hAnsi="Segoe UI"/>
                <w:sz w:val="21"/>
              </w:rPr>
              <w:t>Hywel Dda</w:t>
            </w:r>
          </w:p>
        </w:tc>
        <w:tc>
          <w:tcPr>
            <w:tcW w:w="1997" w:type="dxa"/>
          </w:tcPr>
          <w:p>
            <w:pPr>
              <w:pStyle w:val="TableParagraph"/>
              <w:spacing w:line="554" w:lineRule="auto" w:before="53"/>
              <w:ind w:left="109" w:right="510"/>
              <w:rPr>
                <w:rFonts w:ascii="Segoe UI"/>
                <w:sz w:val="21"/>
              </w:rPr>
            </w:pPr>
            <w:r>
              <w:rPr>
                <w:rFonts w:ascii="Segoe UI"/>
                <w:sz w:val="21"/>
              </w:rPr>
              <w:t>Mark</w:t>
            </w:r>
            <w:r>
              <w:rPr>
                <w:rFonts w:ascii="Segoe UI"/>
                <w:spacing w:val="-15"/>
                <w:sz w:val="21"/>
              </w:rPr>
              <w:t> </w:t>
            </w:r>
            <w:r>
              <w:rPr>
                <w:rFonts w:ascii="Segoe UI"/>
                <w:sz w:val="21"/>
              </w:rPr>
              <w:t>Pritchard Owen Ennis</w:t>
            </w:r>
          </w:p>
        </w:tc>
        <w:tc>
          <w:tcPr>
            <w:tcW w:w="4538" w:type="dxa"/>
          </w:tcPr>
          <w:p>
            <w:pPr>
              <w:pStyle w:val="TableParagraph"/>
              <w:spacing w:line="276" w:lineRule="auto" w:before="53"/>
              <w:ind w:left="107" w:right="184"/>
              <w:rPr>
                <w:rFonts w:ascii="Segoe UI" w:hAnsi="Segoe UI"/>
                <w:sz w:val="21"/>
              </w:rPr>
            </w:pPr>
            <w:r>
              <w:rPr>
                <w:rFonts w:ascii="Segoe UI" w:hAnsi="Segoe UI"/>
                <w:sz w:val="21"/>
              </w:rPr>
              <w:t>Clinical Representative Role – input into and guide all workstream plans and decision making.</w:t>
            </w:r>
            <w:r>
              <w:rPr>
                <w:rFonts w:ascii="Segoe UI" w:hAnsi="Segoe UI"/>
                <w:spacing w:val="40"/>
                <w:sz w:val="21"/>
              </w:rPr>
              <w:t> </w:t>
            </w:r>
            <w:r>
              <w:rPr>
                <w:rFonts w:ascii="Segoe UI" w:hAnsi="Segoe UI"/>
                <w:sz w:val="21"/>
              </w:rPr>
              <w:t>Identify where</w:t>
            </w:r>
            <w:r>
              <w:rPr>
                <w:rFonts w:ascii="Segoe UI" w:hAnsi="Segoe UI"/>
                <w:spacing w:val="-2"/>
                <w:sz w:val="21"/>
              </w:rPr>
              <w:t> </w:t>
            </w:r>
            <w:r>
              <w:rPr>
                <w:rFonts w:ascii="Segoe UI" w:hAnsi="Segoe UI"/>
                <w:sz w:val="21"/>
              </w:rPr>
              <w:t>specific clinical input and</w:t>
            </w:r>
            <w:r>
              <w:rPr>
                <w:rFonts w:ascii="Segoe UI" w:hAnsi="Segoe UI"/>
                <w:spacing w:val="-4"/>
                <w:sz w:val="21"/>
              </w:rPr>
              <w:t> </w:t>
            </w:r>
            <w:r>
              <w:rPr>
                <w:rFonts w:ascii="Segoe UI" w:hAnsi="Segoe UI"/>
                <w:sz w:val="21"/>
              </w:rPr>
              <w:t>guidance</w:t>
            </w:r>
            <w:r>
              <w:rPr>
                <w:rFonts w:ascii="Segoe UI" w:hAnsi="Segoe UI"/>
                <w:spacing w:val="-5"/>
                <w:sz w:val="21"/>
              </w:rPr>
              <w:t> </w:t>
            </w:r>
            <w:r>
              <w:rPr>
                <w:rFonts w:ascii="Segoe UI" w:hAnsi="Segoe UI"/>
                <w:sz w:val="21"/>
              </w:rPr>
              <w:t>is</w:t>
            </w:r>
            <w:r>
              <w:rPr>
                <w:rFonts w:ascii="Segoe UI" w:hAnsi="Segoe UI"/>
                <w:spacing w:val="-9"/>
                <w:sz w:val="21"/>
              </w:rPr>
              <w:t> </w:t>
            </w:r>
            <w:r>
              <w:rPr>
                <w:rFonts w:ascii="Segoe UI" w:hAnsi="Segoe UI"/>
                <w:sz w:val="21"/>
              </w:rPr>
              <w:t>needed</w:t>
            </w:r>
            <w:r>
              <w:rPr>
                <w:rFonts w:ascii="Segoe UI" w:hAnsi="Segoe UI"/>
                <w:spacing w:val="-4"/>
                <w:sz w:val="21"/>
              </w:rPr>
              <w:t> </w:t>
            </w:r>
            <w:r>
              <w:rPr>
                <w:rFonts w:ascii="Segoe UI" w:hAnsi="Segoe UI"/>
                <w:sz w:val="21"/>
              </w:rPr>
              <w:t>and</w:t>
            </w:r>
            <w:r>
              <w:rPr>
                <w:rFonts w:ascii="Segoe UI" w:hAnsi="Segoe UI"/>
                <w:spacing w:val="-9"/>
                <w:sz w:val="21"/>
              </w:rPr>
              <w:t> </w:t>
            </w:r>
            <w:r>
              <w:rPr>
                <w:rFonts w:ascii="Segoe UI" w:hAnsi="Segoe UI"/>
                <w:sz w:val="21"/>
              </w:rPr>
              <w:t>identify</w:t>
            </w:r>
            <w:r>
              <w:rPr>
                <w:rFonts w:ascii="Segoe UI" w:hAnsi="Segoe UI"/>
                <w:spacing w:val="-7"/>
                <w:sz w:val="21"/>
              </w:rPr>
              <w:t> </w:t>
            </w:r>
            <w:r>
              <w:rPr>
                <w:rFonts w:ascii="Segoe UI" w:hAnsi="Segoe UI"/>
                <w:sz w:val="21"/>
              </w:rPr>
              <w:t>who</w:t>
            </w:r>
            <w:r>
              <w:rPr>
                <w:rFonts w:ascii="Segoe UI" w:hAnsi="Segoe UI"/>
                <w:spacing w:val="-3"/>
                <w:sz w:val="21"/>
              </w:rPr>
              <w:t> </w:t>
            </w:r>
            <w:r>
              <w:rPr>
                <w:rFonts w:ascii="Segoe UI" w:hAnsi="Segoe UI"/>
                <w:sz w:val="21"/>
              </w:rPr>
              <w:t>will provide that.</w:t>
            </w:r>
          </w:p>
        </w:tc>
      </w:tr>
      <w:tr>
        <w:trPr>
          <w:trHeight w:val="1720" w:hRule="atLeast"/>
        </w:trPr>
        <w:tc>
          <w:tcPr>
            <w:tcW w:w="2697" w:type="dxa"/>
          </w:tcPr>
          <w:p>
            <w:pPr>
              <w:pStyle w:val="TableParagraph"/>
              <w:spacing w:line="278" w:lineRule="auto" w:before="53"/>
              <w:ind w:left="110"/>
              <w:rPr>
                <w:rFonts w:ascii="Segoe UI"/>
                <w:sz w:val="21"/>
              </w:rPr>
            </w:pPr>
            <w:r>
              <w:rPr>
                <w:rFonts w:ascii="Segoe UI"/>
                <w:sz w:val="21"/>
              </w:rPr>
              <w:t>Deputy</w:t>
            </w:r>
            <w:r>
              <w:rPr>
                <w:rFonts w:ascii="Segoe UI"/>
                <w:spacing w:val="-14"/>
                <w:sz w:val="21"/>
              </w:rPr>
              <w:t> </w:t>
            </w:r>
            <w:r>
              <w:rPr>
                <w:rFonts w:ascii="Segoe UI"/>
                <w:sz w:val="21"/>
              </w:rPr>
              <w:t>Director</w:t>
            </w:r>
            <w:r>
              <w:rPr>
                <w:rFonts w:ascii="Segoe UI"/>
                <w:spacing w:val="-11"/>
                <w:sz w:val="21"/>
              </w:rPr>
              <w:t> </w:t>
            </w:r>
            <w:r>
              <w:rPr>
                <w:rFonts w:ascii="Segoe UI"/>
                <w:sz w:val="21"/>
              </w:rPr>
              <w:t>of</w:t>
            </w:r>
            <w:r>
              <w:rPr>
                <w:rFonts w:ascii="Segoe UI"/>
                <w:spacing w:val="-13"/>
                <w:sz w:val="21"/>
              </w:rPr>
              <w:t> </w:t>
            </w:r>
            <w:r>
              <w:rPr>
                <w:rFonts w:ascii="Segoe UI"/>
                <w:sz w:val="21"/>
              </w:rPr>
              <w:t>Allied Health Professions</w:t>
            </w:r>
          </w:p>
        </w:tc>
        <w:tc>
          <w:tcPr>
            <w:tcW w:w="2256" w:type="dxa"/>
          </w:tcPr>
          <w:p>
            <w:pPr>
              <w:pStyle w:val="TableParagraph"/>
              <w:spacing w:line="276" w:lineRule="auto" w:before="53"/>
              <w:ind w:left="109" w:right="151"/>
              <w:rPr>
                <w:rFonts w:ascii="Segoe UI"/>
                <w:sz w:val="21"/>
              </w:rPr>
            </w:pPr>
            <w:r>
              <w:rPr>
                <w:rFonts w:ascii="Segoe UI"/>
                <w:sz w:val="21"/>
              </w:rPr>
              <w:t>Hywel</w:t>
            </w:r>
            <w:r>
              <w:rPr>
                <w:rFonts w:ascii="Segoe UI"/>
                <w:spacing w:val="-15"/>
                <w:sz w:val="21"/>
              </w:rPr>
              <w:t> </w:t>
            </w:r>
            <w:r>
              <w:rPr>
                <w:rFonts w:ascii="Segoe UI"/>
                <w:sz w:val="21"/>
              </w:rPr>
              <w:t>Dda</w:t>
            </w:r>
            <w:r>
              <w:rPr>
                <w:rFonts w:ascii="Segoe UI"/>
                <w:spacing w:val="-14"/>
                <w:sz w:val="21"/>
              </w:rPr>
              <w:t> </w:t>
            </w:r>
            <w:r>
              <w:rPr>
                <w:rFonts w:ascii="Segoe UI"/>
                <w:sz w:val="21"/>
              </w:rPr>
              <w:t>University Health Board Swansea Bay University Health </w:t>
            </w:r>
            <w:r>
              <w:rPr>
                <w:rFonts w:ascii="Segoe UI"/>
                <w:spacing w:val="-2"/>
                <w:sz w:val="21"/>
              </w:rPr>
              <w:t>Board</w:t>
            </w:r>
          </w:p>
        </w:tc>
        <w:tc>
          <w:tcPr>
            <w:tcW w:w="1997" w:type="dxa"/>
          </w:tcPr>
          <w:p>
            <w:pPr>
              <w:pStyle w:val="TableParagraph"/>
              <w:spacing w:line="278" w:lineRule="auto" w:before="53"/>
              <w:ind w:left="109"/>
              <w:rPr>
                <w:rFonts w:ascii="Segoe UI"/>
                <w:sz w:val="21"/>
              </w:rPr>
            </w:pPr>
            <w:r>
              <w:rPr>
                <w:rFonts w:ascii="Segoe UI"/>
                <w:sz w:val="21"/>
              </w:rPr>
              <w:t>Jo Bradburn Jordanna</w:t>
            </w:r>
            <w:r>
              <w:rPr>
                <w:rFonts w:ascii="Segoe UI"/>
                <w:spacing w:val="-15"/>
                <w:sz w:val="21"/>
              </w:rPr>
              <w:t> </w:t>
            </w:r>
            <w:r>
              <w:rPr>
                <w:rFonts w:ascii="Segoe UI"/>
                <w:sz w:val="21"/>
              </w:rPr>
              <w:t>Roberts</w:t>
            </w:r>
          </w:p>
        </w:tc>
        <w:tc>
          <w:tcPr>
            <w:tcW w:w="4538" w:type="dxa"/>
          </w:tcPr>
          <w:p>
            <w:pPr>
              <w:pStyle w:val="TableParagraph"/>
              <w:spacing w:line="276" w:lineRule="auto" w:before="53"/>
              <w:ind w:left="107" w:right="184"/>
              <w:rPr>
                <w:rFonts w:ascii="Segoe UI" w:hAnsi="Segoe UI"/>
                <w:sz w:val="21"/>
              </w:rPr>
            </w:pPr>
            <w:r>
              <w:rPr>
                <w:rFonts w:ascii="Segoe UI" w:hAnsi="Segoe UI"/>
                <w:sz w:val="21"/>
              </w:rPr>
              <w:t>Therapies</w:t>
            </w:r>
            <w:r>
              <w:rPr>
                <w:rFonts w:ascii="Segoe UI" w:hAnsi="Segoe UI"/>
                <w:spacing w:val="-8"/>
                <w:sz w:val="21"/>
              </w:rPr>
              <w:t> </w:t>
            </w:r>
            <w:r>
              <w:rPr>
                <w:rFonts w:ascii="Segoe UI" w:hAnsi="Segoe UI"/>
                <w:sz w:val="21"/>
              </w:rPr>
              <w:t>representatives</w:t>
            </w:r>
            <w:r>
              <w:rPr>
                <w:rFonts w:ascii="Segoe UI" w:hAnsi="Segoe UI"/>
                <w:spacing w:val="-1"/>
                <w:sz w:val="21"/>
              </w:rPr>
              <w:t> </w:t>
            </w:r>
            <w:r>
              <w:rPr>
                <w:rFonts w:ascii="Segoe UI" w:hAnsi="Segoe UI"/>
                <w:sz w:val="21"/>
              </w:rPr>
              <w:t>–</w:t>
            </w:r>
            <w:r>
              <w:rPr>
                <w:rFonts w:ascii="Segoe UI" w:hAnsi="Segoe UI"/>
                <w:spacing w:val="-4"/>
                <w:sz w:val="21"/>
              </w:rPr>
              <w:t> </w:t>
            </w:r>
            <w:r>
              <w:rPr>
                <w:rFonts w:ascii="Segoe UI" w:hAnsi="Segoe UI"/>
                <w:sz w:val="21"/>
              </w:rPr>
              <w:t>input</w:t>
            </w:r>
            <w:r>
              <w:rPr>
                <w:rFonts w:ascii="Segoe UI" w:hAnsi="Segoe UI"/>
                <w:spacing w:val="-10"/>
                <w:sz w:val="21"/>
              </w:rPr>
              <w:t> </w:t>
            </w:r>
            <w:r>
              <w:rPr>
                <w:rFonts w:ascii="Segoe UI" w:hAnsi="Segoe UI"/>
                <w:sz w:val="21"/>
              </w:rPr>
              <w:t>into</w:t>
            </w:r>
            <w:r>
              <w:rPr>
                <w:rFonts w:ascii="Segoe UI" w:hAnsi="Segoe UI"/>
                <w:spacing w:val="-2"/>
                <w:sz w:val="21"/>
              </w:rPr>
              <w:t> </w:t>
            </w:r>
            <w:r>
              <w:rPr>
                <w:rFonts w:ascii="Segoe UI" w:hAnsi="Segoe UI"/>
                <w:sz w:val="21"/>
              </w:rPr>
              <w:t>and guide all workstream plans and decision making.</w:t>
            </w:r>
            <w:r>
              <w:rPr>
                <w:rFonts w:ascii="Segoe UI" w:hAnsi="Segoe UI"/>
                <w:spacing w:val="40"/>
                <w:sz w:val="21"/>
              </w:rPr>
              <w:t> </w:t>
            </w:r>
            <w:r>
              <w:rPr>
                <w:rFonts w:ascii="Segoe UI" w:hAnsi="Segoe UI"/>
                <w:sz w:val="21"/>
              </w:rPr>
              <w:t>Identify where specific therapies input</w:t>
            </w:r>
            <w:r>
              <w:rPr>
                <w:rFonts w:ascii="Segoe UI" w:hAnsi="Segoe UI"/>
                <w:spacing w:val="-5"/>
                <w:sz w:val="21"/>
              </w:rPr>
              <w:t> </w:t>
            </w:r>
            <w:r>
              <w:rPr>
                <w:rFonts w:ascii="Segoe UI" w:hAnsi="Segoe UI"/>
                <w:sz w:val="21"/>
              </w:rPr>
              <w:t>and</w:t>
            </w:r>
            <w:r>
              <w:rPr>
                <w:rFonts w:ascii="Segoe UI" w:hAnsi="Segoe UI"/>
                <w:spacing w:val="-8"/>
                <w:sz w:val="21"/>
              </w:rPr>
              <w:t> </w:t>
            </w:r>
            <w:r>
              <w:rPr>
                <w:rFonts w:ascii="Segoe UI" w:hAnsi="Segoe UI"/>
                <w:sz w:val="21"/>
              </w:rPr>
              <w:t>guidance</w:t>
            </w:r>
            <w:r>
              <w:rPr>
                <w:rFonts w:ascii="Segoe UI" w:hAnsi="Segoe UI"/>
                <w:spacing w:val="-5"/>
                <w:sz w:val="21"/>
              </w:rPr>
              <w:t> </w:t>
            </w:r>
            <w:r>
              <w:rPr>
                <w:rFonts w:ascii="Segoe UI" w:hAnsi="Segoe UI"/>
                <w:sz w:val="21"/>
              </w:rPr>
              <w:t>is</w:t>
            </w:r>
            <w:r>
              <w:rPr>
                <w:rFonts w:ascii="Segoe UI" w:hAnsi="Segoe UI"/>
                <w:spacing w:val="-8"/>
                <w:sz w:val="21"/>
              </w:rPr>
              <w:t> </w:t>
            </w:r>
            <w:r>
              <w:rPr>
                <w:rFonts w:ascii="Segoe UI" w:hAnsi="Segoe UI"/>
                <w:sz w:val="21"/>
              </w:rPr>
              <w:t>needed</w:t>
            </w:r>
            <w:r>
              <w:rPr>
                <w:rFonts w:ascii="Segoe UI" w:hAnsi="Segoe UI"/>
                <w:spacing w:val="-8"/>
                <w:sz w:val="21"/>
              </w:rPr>
              <w:t> </w:t>
            </w:r>
            <w:r>
              <w:rPr>
                <w:rFonts w:ascii="Segoe UI" w:hAnsi="Segoe UI"/>
                <w:sz w:val="21"/>
              </w:rPr>
              <w:t>and</w:t>
            </w:r>
            <w:r>
              <w:rPr>
                <w:rFonts w:ascii="Segoe UI" w:hAnsi="Segoe UI"/>
                <w:spacing w:val="-8"/>
                <w:sz w:val="21"/>
              </w:rPr>
              <w:t> </w:t>
            </w:r>
            <w:r>
              <w:rPr>
                <w:rFonts w:ascii="Segoe UI" w:hAnsi="Segoe UI"/>
                <w:sz w:val="21"/>
              </w:rPr>
              <w:t>identify who will provide that.</w:t>
            </w:r>
          </w:p>
        </w:tc>
      </w:tr>
    </w:tbl>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spacing w:before="159"/>
        <w:rPr>
          <w:rFonts w:ascii="Calibri"/>
          <w:sz w:val="16"/>
        </w:rPr>
      </w:pPr>
    </w:p>
    <w:p>
      <w:pPr>
        <w:spacing w:before="0"/>
        <w:ind w:left="55" w:right="57" w:firstLine="0"/>
        <w:jc w:val="center"/>
        <w:rPr>
          <w:rFonts w:ascii="Calibri"/>
          <w:sz w:val="16"/>
        </w:rPr>
      </w:pPr>
      <w:r>
        <w:rPr>
          <w:rFonts w:ascii="Calibri"/>
          <w:color w:val="787878"/>
          <w:w w:val="105"/>
          <w:sz w:val="16"/>
        </w:rPr>
        <w:t>Regional</w:t>
      </w:r>
      <w:r>
        <w:rPr>
          <w:rFonts w:ascii="Calibri"/>
          <w:color w:val="787878"/>
          <w:spacing w:val="-4"/>
          <w:w w:val="105"/>
          <w:sz w:val="16"/>
        </w:rPr>
        <w:t> </w:t>
      </w:r>
      <w:r>
        <w:rPr>
          <w:rFonts w:ascii="Calibri"/>
          <w:color w:val="787878"/>
          <w:w w:val="105"/>
          <w:sz w:val="16"/>
        </w:rPr>
        <w:t>Orthopaedic</w:t>
      </w:r>
      <w:r>
        <w:rPr>
          <w:rFonts w:ascii="Calibri"/>
          <w:color w:val="787878"/>
          <w:spacing w:val="-3"/>
          <w:w w:val="105"/>
          <w:sz w:val="16"/>
        </w:rPr>
        <w:t> </w:t>
      </w:r>
      <w:r>
        <w:rPr>
          <w:rFonts w:ascii="Calibri"/>
          <w:color w:val="787878"/>
          <w:w w:val="105"/>
          <w:sz w:val="16"/>
        </w:rPr>
        <w:t>Project</w:t>
      </w:r>
      <w:r>
        <w:rPr>
          <w:rFonts w:ascii="Calibri"/>
          <w:color w:val="787878"/>
          <w:spacing w:val="-5"/>
          <w:w w:val="105"/>
          <w:sz w:val="16"/>
        </w:rPr>
        <w:t> </w:t>
      </w:r>
      <w:r>
        <w:rPr>
          <w:rFonts w:ascii="Calibri"/>
          <w:color w:val="787878"/>
          <w:w w:val="105"/>
          <w:sz w:val="16"/>
        </w:rPr>
        <w:t>Initiation</w:t>
      </w:r>
      <w:r>
        <w:rPr>
          <w:rFonts w:ascii="Calibri"/>
          <w:color w:val="787878"/>
          <w:spacing w:val="-5"/>
          <w:w w:val="105"/>
          <w:sz w:val="16"/>
        </w:rPr>
        <w:t> </w:t>
      </w:r>
      <w:r>
        <w:rPr>
          <w:rFonts w:ascii="Calibri"/>
          <w:color w:val="787878"/>
          <w:w w:val="105"/>
          <w:sz w:val="16"/>
        </w:rPr>
        <w:t>Document</w:t>
      </w:r>
      <w:r>
        <w:rPr>
          <w:rFonts w:ascii="Calibri"/>
          <w:color w:val="787878"/>
          <w:spacing w:val="-1"/>
          <w:w w:val="105"/>
          <w:sz w:val="16"/>
        </w:rPr>
        <w:t> </w:t>
      </w:r>
      <w:r>
        <w:rPr>
          <w:rFonts w:ascii="Calibri"/>
          <w:color w:val="787878"/>
          <w:spacing w:val="-2"/>
          <w:w w:val="105"/>
          <w:sz w:val="16"/>
        </w:rPr>
        <w:t>08/09/2026</w:t>
      </w:r>
    </w:p>
    <w:p>
      <w:pPr>
        <w:spacing w:after="0"/>
        <w:jc w:val="center"/>
        <w:rPr>
          <w:rFonts w:ascii="Calibri"/>
          <w:sz w:val="16"/>
        </w:rPr>
        <w:sectPr>
          <w:pgSz w:w="12240" w:h="15840"/>
          <w:pgMar w:header="0" w:footer="147" w:top="360" w:bottom="340" w:left="141" w:right="141"/>
        </w:sectPr>
      </w:pPr>
    </w:p>
    <w:p>
      <w:pPr>
        <w:spacing w:before="320"/>
        <w:ind w:left="879" w:right="0" w:firstLine="0"/>
        <w:jc w:val="left"/>
        <w:rPr>
          <w:rFonts w:ascii="Calibri"/>
          <w:b/>
          <w:sz w:val="52"/>
        </w:rPr>
      </w:pPr>
      <w:bookmarkStart w:name="RJC 37a(iii) Clinical Services Planning " w:id="21"/>
      <w:bookmarkEnd w:id="21"/>
      <w:r>
        <w:rPr/>
      </w:r>
      <w:r>
        <w:rPr>
          <w:rFonts w:ascii="Calibri"/>
          <w:b/>
          <w:color w:val="1F4E79"/>
          <w:sz w:val="52"/>
        </w:rPr>
        <w:t>Programme</w:t>
      </w:r>
      <w:r>
        <w:rPr>
          <w:rFonts w:ascii="Calibri"/>
          <w:b/>
          <w:color w:val="1F4E79"/>
          <w:spacing w:val="19"/>
          <w:sz w:val="52"/>
        </w:rPr>
        <w:t> </w:t>
      </w:r>
      <w:r>
        <w:rPr>
          <w:rFonts w:ascii="Calibri"/>
          <w:b/>
          <w:color w:val="1F4E79"/>
          <w:sz w:val="52"/>
        </w:rPr>
        <w:t>Initiation</w:t>
      </w:r>
      <w:r>
        <w:rPr>
          <w:rFonts w:ascii="Calibri"/>
          <w:b/>
          <w:color w:val="1F4E79"/>
          <w:spacing w:val="16"/>
          <w:sz w:val="52"/>
        </w:rPr>
        <w:t> </w:t>
      </w:r>
      <w:r>
        <w:rPr>
          <w:rFonts w:ascii="Calibri"/>
          <w:b/>
          <w:color w:val="1F4E79"/>
          <w:spacing w:val="-2"/>
          <w:sz w:val="52"/>
        </w:rPr>
        <w:t>Document</w:t>
      </w:r>
    </w:p>
    <w:p>
      <w:pPr>
        <w:spacing w:before="78"/>
        <w:ind w:left="879" w:right="0" w:firstLine="0"/>
        <w:jc w:val="left"/>
        <w:rPr>
          <w:rFonts w:ascii="Calibri"/>
          <w:sz w:val="16"/>
        </w:rPr>
      </w:pPr>
      <w:r>
        <w:rPr/>
        <w:br w:type="column"/>
      </w: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p>
      <w:pPr>
        <w:spacing w:after="0"/>
        <w:jc w:val="left"/>
        <w:rPr>
          <w:rFonts w:ascii="Calibri"/>
          <w:sz w:val="16"/>
        </w:rPr>
        <w:sectPr>
          <w:pgSz w:w="12240" w:h="15840"/>
          <w:pgMar w:header="0" w:footer="147" w:top="640" w:bottom="340" w:left="141" w:right="141"/>
          <w:cols w:num="2" w:equalWidth="0">
            <w:col w:w="8086" w:space="218"/>
            <w:col w:w="3654"/>
          </w:cols>
        </w:sectPr>
      </w:pPr>
    </w:p>
    <w:p>
      <w:pPr>
        <w:pStyle w:val="BodyText"/>
        <w:rPr>
          <w:rFonts w:ascii="Calibri"/>
          <w:sz w:val="7"/>
        </w:rPr>
      </w:pPr>
    </w:p>
    <w:p>
      <w:pPr>
        <w:spacing w:line="20" w:lineRule="exact"/>
        <w:ind w:left="849" w:right="0" w:firstLine="0"/>
        <w:rPr>
          <w:rFonts w:ascii="Calibri"/>
          <w:sz w:val="2"/>
        </w:rPr>
      </w:pPr>
      <w:r>
        <w:rPr>
          <w:rFonts w:ascii="Calibri"/>
          <w:sz w:val="2"/>
        </w:rPr>
        <mc:AlternateContent>
          <mc:Choice Requires="wps">
            <w:drawing>
              <wp:inline distT="0" distB="0" distL="0" distR="0">
                <wp:extent cx="6517640" cy="12700"/>
                <wp:effectExtent l="0" t="0" r="0" b="0"/>
                <wp:docPr id="242" name="Group 242"/>
                <wp:cNvGraphicFramePr>
                  <a:graphicFrameLocks/>
                </wp:cNvGraphicFramePr>
                <a:graphic>
                  <a:graphicData uri="http://schemas.microsoft.com/office/word/2010/wordprocessingGroup">
                    <wpg:wgp>
                      <wpg:cNvPr id="242" name="Group 242"/>
                      <wpg:cNvGrpSpPr/>
                      <wpg:grpSpPr>
                        <a:xfrm>
                          <a:off x="0" y="0"/>
                          <a:ext cx="6517640" cy="12700"/>
                          <a:chExt cx="6517640" cy="12700"/>
                        </a:xfrm>
                      </wpg:grpSpPr>
                      <wps:wsp>
                        <wps:cNvPr id="243" name="Graphic 243"/>
                        <wps:cNvSpPr/>
                        <wps:spPr>
                          <a:xfrm>
                            <a:off x="0" y="0"/>
                            <a:ext cx="6517640" cy="12700"/>
                          </a:xfrm>
                          <a:custGeom>
                            <a:avLst/>
                            <a:gdLst/>
                            <a:ahLst/>
                            <a:cxnLst/>
                            <a:rect l="l" t="t" r="r" b="b"/>
                            <a:pathLst>
                              <a:path w="6517640" h="12700">
                                <a:moveTo>
                                  <a:pt x="6517640" y="0"/>
                                </a:moveTo>
                                <a:lnTo>
                                  <a:pt x="0" y="0"/>
                                </a:lnTo>
                                <a:lnTo>
                                  <a:pt x="0" y="12700"/>
                                </a:lnTo>
                                <a:lnTo>
                                  <a:pt x="6517640" y="12700"/>
                                </a:lnTo>
                                <a:lnTo>
                                  <a:pt x="6517640" y="0"/>
                                </a:lnTo>
                                <a:close/>
                              </a:path>
                            </a:pathLst>
                          </a:custGeom>
                          <a:solidFill>
                            <a:srgbClr val="4F81BC"/>
                          </a:solidFill>
                        </wps:spPr>
                        <wps:bodyPr wrap="square" lIns="0" tIns="0" rIns="0" bIns="0" rtlCol="0">
                          <a:prstTxWarp prst="textNoShape">
                            <a:avLst/>
                          </a:prstTxWarp>
                          <a:noAutofit/>
                        </wps:bodyPr>
                      </wps:wsp>
                    </wpg:wgp>
                  </a:graphicData>
                </a:graphic>
              </wp:inline>
            </w:drawing>
          </mc:Choice>
          <mc:Fallback>
            <w:pict>
              <v:group style="width:513.2pt;height:1pt;mso-position-horizontal-relative:char;mso-position-vertical-relative:line" id="docshapegroup139" coordorigin="0,0" coordsize="10264,20">
                <v:rect style="position:absolute;left:0;top:0;width:10264;height:20" id="docshape140" filled="true" fillcolor="#4f81bc" stroked="false">
                  <v:fill type="solid"/>
                </v:rect>
              </v:group>
            </w:pict>
          </mc:Fallback>
        </mc:AlternateContent>
      </w:r>
      <w:r>
        <w:rPr>
          <w:rFonts w:ascii="Calibri"/>
          <w:sz w:val="2"/>
        </w:rPr>
      </w:r>
    </w:p>
    <w:p>
      <w:pPr>
        <w:pStyle w:val="BodyText"/>
        <w:rPr>
          <w:rFonts w:ascii="Calibri"/>
          <w:sz w:val="20"/>
        </w:rPr>
      </w:pPr>
    </w:p>
    <w:p>
      <w:pPr>
        <w:pStyle w:val="BodyText"/>
        <w:rPr>
          <w:rFonts w:ascii="Calibri"/>
          <w:sz w:val="20"/>
        </w:rPr>
      </w:pPr>
    </w:p>
    <w:p>
      <w:pPr>
        <w:pStyle w:val="BodyText"/>
        <w:spacing w:before="123"/>
        <w:rPr>
          <w:rFonts w:ascii="Calibri"/>
          <w:sz w:val="20"/>
        </w:rPr>
      </w:pPr>
    </w:p>
    <w:tbl>
      <w:tblPr>
        <w:tblW w:w="0" w:type="auto"/>
        <w:jc w:val="left"/>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72"/>
        <w:gridCol w:w="4967"/>
      </w:tblGrid>
      <w:tr>
        <w:trPr>
          <w:trHeight w:val="620" w:hRule="atLeast"/>
        </w:trPr>
        <w:tc>
          <w:tcPr>
            <w:tcW w:w="4972" w:type="dxa"/>
            <w:shd w:val="clear" w:color="auto" w:fill="1F4E79"/>
          </w:tcPr>
          <w:p>
            <w:pPr>
              <w:pStyle w:val="TableParagraph"/>
              <w:spacing w:before="91"/>
              <w:ind w:left="90"/>
              <w:rPr>
                <w:rFonts w:ascii="Segoe UI"/>
                <w:b/>
                <w:sz w:val="24"/>
              </w:rPr>
            </w:pPr>
            <w:r>
              <w:rPr>
                <w:rFonts w:ascii="Segoe UI"/>
                <w:b/>
                <w:color w:val="FFFFFF"/>
                <w:sz w:val="24"/>
              </w:rPr>
              <w:t>Programme</w:t>
            </w:r>
            <w:r>
              <w:rPr>
                <w:rFonts w:ascii="Segoe UI"/>
                <w:b/>
                <w:color w:val="FFFFFF"/>
                <w:spacing w:val="-1"/>
                <w:sz w:val="24"/>
              </w:rPr>
              <w:t> </w:t>
            </w:r>
            <w:r>
              <w:rPr>
                <w:rFonts w:ascii="Segoe UI"/>
                <w:b/>
                <w:color w:val="FFFFFF"/>
                <w:spacing w:val="-4"/>
                <w:sz w:val="24"/>
              </w:rPr>
              <w:t>name</w:t>
            </w:r>
          </w:p>
        </w:tc>
        <w:tc>
          <w:tcPr>
            <w:tcW w:w="4967" w:type="dxa"/>
            <w:shd w:val="clear" w:color="auto" w:fill="1F4E79"/>
          </w:tcPr>
          <w:p>
            <w:pPr>
              <w:pStyle w:val="TableParagraph"/>
              <w:spacing w:before="151"/>
              <w:ind w:left="90"/>
              <w:rPr>
                <w:rFonts w:ascii="Segoe UI"/>
                <w:b/>
                <w:sz w:val="24"/>
              </w:rPr>
            </w:pPr>
            <w:r>
              <w:rPr>
                <w:rFonts w:ascii="Segoe UI"/>
                <w:b/>
                <w:color w:val="FFFFFF"/>
                <w:sz w:val="24"/>
              </w:rPr>
              <w:t>Regional</w:t>
            </w:r>
            <w:r>
              <w:rPr>
                <w:rFonts w:ascii="Segoe UI"/>
                <w:b/>
                <w:color w:val="FFFFFF"/>
                <w:spacing w:val="-2"/>
                <w:sz w:val="24"/>
              </w:rPr>
              <w:t> </w:t>
            </w:r>
            <w:r>
              <w:rPr>
                <w:rFonts w:ascii="Segoe UI"/>
                <w:b/>
                <w:color w:val="FFFFFF"/>
                <w:sz w:val="24"/>
              </w:rPr>
              <w:t>Eye</w:t>
            </w:r>
            <w:r>
              <w:rPr>
                <w:rFonts w:ascii="Segoe UI"/>
                <w:b/>
                <w:color w:val="FFFFFF"/>
                <w:spacing w:val="-3"/>
                <w:sz w:val="24"/>
              </w:rPr>
              <w:t> </w:t>
            </w:r>
            <w:r>
              <w:rPr>
                <w:rFonts w:ascii="Segoe UI"/>
                <w:b/>
                <w:color w:val="FFFFFF"/>
                <w:sz w:val="24"/>
              </w:rPr>
              <w:t>Care</w:t>
            </w:r>
            <w:r>
              <w:rPr>
                <w:rFonts w:ascii="Segoe UI"/>
                <w:b/>
                <w:color w:val="FFFFFF"/>
                <w:spacing w:val="-3"/>
                <w:sz w:val="24"/>
              </w:rPr>
              <w:t> </w:t>
            </w:r>
            <w:r>
              <w:rPr>
                <w:rFonts w:ascii="Segoe UI"/>
                <w:b/>
                <w:color w:val="FFFFFF"/>
                <w:spacing w:val="-2"/>
                <w:sz w:val="24"/>
              </w:rPr>
              <w:t>Programme</w:t>
            </w:r>
          </w:p>
        </w:tc>
      </w:tr>
      <w:tr>
        <w:trPr>
          <w:trHeight w:val="615" w:hRule="atLeast"/>
        </w:trPr>
        <w:tc>
          <w:tcPr>
            <w:tcW w:w="4972" w:type="dxa"/>
            <w:shd w:val="clear" w:color="auto" w:fill="D9E1F3"/>
          </w:tcPr>
          <w:p>
            <w:pPr>
              <w:pStyle w:val="TableParagraph"/>
              <w:spacing w:before="91"/>
              <w:ind w:left="90"/>
              <w:rPr>
                <w:rFonts w:ascii="Segoe UI"/>
                <w:b/>
                <w:sz w:val="24"/>
              </w:rPr>
            </w:pPr>
            <w:r>
              <w:rPr>
                <w:rFonts w:ascii="Segoe UI"/>
                <w:b/>
                <w:color w:val="1F4E79"/>
                <w:sz w:val="24"/>
              </w:rPr>
              <w:t>Programme</w:t>
            </w:r>
            <w:r>
              <w:rPr>
                <w:rFonts w:ascii="Segoe UI"/>
                <w:b/>
                <w:color w:val="1F4E79"/>
                <w:spacing w:val="-1"/>
                <w:sz w:val="24"/>
              </w:rPr>
              <w:t> </w:t>
            </w:r>
            <w:r>
              <w:rPr>
                <w:rFonts w:ascii="Segoe UI"/>
                <w:b/>
                <w:color w:val="1F4E79"/>
                <w:spacing w:val="-2"/>
                <w:sz w:val="24"/>
              </w:rPr>
              <w:t>sponsor</w:t>
            </w:r>
          </w:p>
        </w:tc>
        <w:tc>
          <w:tcPr>
            <w:tcW w:w="4967" w:type="dxa"/>
          </w:tcPr>
          <w:p>
            <w:pPr>
              <w:pStyle w:val="TableParagraph"/>
              <w:spacing w:before="151"/>
              <w:ind w:left="90"/>
              <w:rPr>
                <w:rFonts w:ascii="Segoe UI"/>
                <w:sz w:val="24"/>
              </w:rPr>
            </w:pPr>
            <w:r>
              <w:rPr>
                <w:rFonts w:ascii="Segoe UI"/>
                <w:sz w:val="24"/>
              </w:rPr>
              <w:t>Craige</w:t>
            </w:r>
            <w:r>
              <w:rPr>
                <w:rFonts w:ascii="Segoe UI"/>
                <w:spacing w:val="-6"/>
                <w:sz w:val="24"/>
              </w:rPr>
              <w:t> </w:t>
            </w:r>
            <w:r>
              <w:rPr>
                <w:rFonts w:ascii="Segoe UI"/>
                <w:spacing w:val="-2"/>
                <w:sz w:val="24"/>
              </w:rPr>
              <w:t>Wilson</w:t>
            </w:r>
          </w:p>
        </w:tc>
      </w:tr>
      <w:tr>
        <w:trPr>
          <w:trHeight w:val="620" w:hRule="atLeast"/>
        </w:trPr>
        <w:tc>
          <w:tcPr>
            <w:tcW w:w="4972" w:type="dxa"/>
            <w:shd w:val="clear" w:color="auto" w:fill="D9E1F3"/>
          </w:tcPr>
          <w:p>
            <w:pPr>
              <w:pStyle w:val="TableParagraph"/>
              <w:spacing w:before="91"/>
              <w:ind w:left="90"/>
              <w:rPr>
                <w:rFonts w:ascii="Segoe UI"/>
                <w:b/>
                <w:sz w:val="24"/>
              </w:rPr>
            </w:pPr>
            <w:r>
              <w:rPr>
                <w:rFonts w:ascii="Segoe UI"/>
                <w:b/>
                <w:color w:val="1F4E79"/>
                <w:sz w:val="24"/>
              </w:rPr>
              <w:t>Programme</w:t>
            </w:r>
            <w:r>
              <w:rPr>
                <w:rFonts w:ascii="Segoe UI"/>
                <w:b/>
                <w:color w:val="1F4E79"/>
                <w:spacing w:val="-2"/>
                <w:sz w:val="24"/>
              </w:rPr>
              <w:t> </w:t>
            </w:r>
            <w:r>
              <w:rPr>
                <w:rFonts w:ascii="Segoe UI"/>
                <w:b/>
                <w:color w:val="1F4E79"/>
                <w:sz w:val="24"/>
              </w:rPr>
              <w:t>manager</w:t>
            </w:r>
            <w:r>
              <w:rPr>
                <w:rFonts w:ascii="Segoe UI"/>
                <w:b/>
                <w:color w:val="1F4E79"/>
                <w:spacing w:val="-3"/>
                <w:sz w:val="24"/>
              </w:rPr>
              <w:t> </w:t>
            </w:r>
            <w:r>
              <w:rPr>
                <w:rFonts w:ascii="Segoe UI"/>
                <w:b/>
                <w:color w:val="1F4E79"/>
                <w:sz w:val="24"/>
              </w:rPr>
              <w:t>/</w:t>
            </w:r>
            <w:r>
              <w:rPr>
                <w:rFonts w:ascii="Segoe UI"/>
                <w:b/>
                <w:color w:val="1F4E79"/>
                <w:spacing w:val="-3"/>
                <w:sz w:val="24"/>
              </w:rPr>
              <w:t> </w:t>
            </w:r>
            <w:r>
              <w:rPr>
                <w:rFonts w:ascii="Segoe UI"/>
                <w:b/>
                <w:color w:val="1F4E79"/>
                <w:spacing w:val="-4"/>
                <w:sz w:val="24"/>
              </w:rPr>
              <w:t>lead</w:t>
            </w:r>
          </w:p>
        </w:tc>
        <w:tc>
          <w:tcPr>
            <w:tcW w:w="4967" w:type="dxa"/>
          </w:tcPr>
          <w:p>
            <w:pPr>
              <w:pStyle w:val="TableParagraph"/>
              <w:spacing w:before="151"/>
              <w:ind w:left="90"/>
              <w:rPr>
                <w:rFonts w:ascii="Segoe UI"/>
                <w:sz w:val="24"/>
              </w:rPr>
            </w:pPr>
            <w:r>
              <w:rPr>
                <w:rFonts w:ascii="Segoe UI"/>
                <w:sz w:val="24"/>
              </w:rPr>
              <w:t>Berian</w:t>
            </w:r>
            <w:r>
              <w:rPr>
                <w:rFonts w:ascii="Segoe UI"/>
                <w:spacing w:val="-2"/>
                <w:sz w:val="24"/>
              </w:rPr>
              <w:t> Allcock</w:t>
            </w:r>
          </w:p>
        </w:tc>
      </w:tr>
      <w:tr>
        <w:trPr>
          <w:trHeight w:val="620" w:hRule="atLeast"/>
        </w:trPr>
        <w:tc>
          <w:tcPr>
            <w:tcW w:w="4972" w:type="dxa"/>
            <w:shd w:val="clear" w:color="auto" w:fill="D9E1F3"/>
          </w:tcPr>
          <w:p>
            <w:pPr>
              <w:pStyle w:val="TableParagraph"/>
              <w:spacing w:before="91"/>
              <w:ind w:left="90"/>
              <w:rPr>
                <w:rFonts w:ascii="Segoe UI"/>
                <w:b/>
                <w:sz w:val="24"/>
              </w:rPr>
            </w:pPr>
            <w:r>
              <w:rPr>
                <w:rFonts w:ascii="Segoe UI"/>
                <w:b/>
                <w:color w:val="1F4E79"/>
                <w:sz w:val="24"/>
              </w:rPr>
              <w:t>Document</w:t>
            </w:r>
            <w:r>
              <w:rPr>
                <w:rFonts w:ascii="Segoe UI"/>
                <w:b/>
                <w:color w:val="1F4E79"/>
                <w:spacing w:val="-9"/>
                <w:sz w:val="24"/>
              </w:rPr>
              <w:t> </w:t>
            </w:r>
            <w:r>
              <w:rPr>
                <w:rFonts w:ascii="Segoe UI"/>
                <w:b/>
                <w:color w:val="1F4E79"/>
                <w:spacing w:val="-2"/>
                <w:sz w:val="24"/>
              </w:rPr>
              <w:t>owner</w:t>
            </w:r>
          </w:p>
        </w:tc>
        <w:tc>
          <w:tcPr>
            <w:tcW w:w="4967" w:type="dxa"/>
          </w:tcPr>
          <w:p>
            <w:pPr>
              <w:pStyle w:val="TableParagraph"/>
              <w:spacing w:before="151"/>
              <w:ind w:left="90"/>
              <w:rPr>
                <w:rFonts w:ascii="Segoe UI"/>
                <w:sz w:val="24"/>
              </w:rPr>
            </w:pPr>
            <w:r>
              <w:rPr>
                <w:rFonts w:ascii="Segoe UI"/>
                <w:sz w:val="24"/>
              </w:rPr>
              <w:t>Berian</w:t>
            </w:r>
            <w:r>
              <w:rPr>
                <w:rFonts w:ascii="Segoe UI"/>
                <w:spacing w:val="-2"/>
                <w:sz w:val="24"/>
              </w:rPr>
              <w:t> Allcock</w:t>
            </w:r>
          </w:p>
        </w:tc>
      </w:tr>
      <w:tr>
        <w:trPr>
          <w:trHeight w:val="620" w:hRule="atLeast"/>
        </w:trPr>
        <w:tc>
          <w:tcPr>
            <w:tcW w:w="4972" w:type="dxa"/>
            <w:shd w:val="clear" w:color="auto" w:fill="D9E1F3"/>
          </w:tcPr>
          <w:p>
            <w:pPr>
              <w:pStyle w:val="TableParagraph"/>
              <w:spacing w:before="91"/>
              <w:ind w:left="90"/>
              <w:rPr>
                <w:rFonts w:ascii="Segoe UI"/>
                <w:b/>
                <w:sz w:val="24"/>
              </w:rPr>
            </w:pPr>
            <w:r>
              <w:rPr>
                <w:rFonts w:ascii="Segoe UI"/>
                <w:b/>
                <w:color w:val="1F4E79"/>
                <w:spacing w:val="-2"/>
                <w:sz w:val="24"/>
              </w:rPr>
              <w:t>Version</w:t>
            </w:r>
          </w:p>
        </w:tc>
        <w:tc>
          <w:tcPr>
            <w:tcW w:w="4967" w:type="dxa"/>
          </w:tcPr>
          <w:p>
            <w:pPr>
              <w:pStyle w:val="TableParagraph"/>
              <w:spacing w:before="151"/>
              <w:ind w:left="90"/>
              <w:rPr>
                <w:rFonts w:ascii="Segoe UI"/>
                <w:sz w:val="24"/>
              </w:rPr>
            </w:pPr>
            <w:r>
              <w:rPr>
                <w:rFonts w:ascii="Segoe UI"/>
                <w:spacing w:val="-5"/>
                <w:sz w:val="24"/>
              </w:rPr>
              <w:t>0.3</w:t>
            </w:r>
          </w:p>
        </w:tc>
      </w:tr>
      <w:tr>
        <w:trPr>
          <w:trHeight w:val="620" w:hRule="atLeast"/>
        </w:trPr>
        <w:tc>
          <w:tcPr>
            <w:tcW w:w="4972" w:type="dxa"/>
            <w:shd w:val="clear" w:color="auto" w:fill="D9E1F3"/>
          </w:tcPr>
          <w:p>
            <w:pPr>
              <w:pStyle w:val="TableParagraph"/>
              <w:spacing w:before="91"/>
              <w:ind w:left="90"/>
              <w:rPr>
                <w:rFonts w:ascii="Segoe UI"/>
                <w:b/>
                <w:sz w:val="24"/>
              </w:rPr>
            </w:pPr>
            <w:r>
              <w:rPr>
                <w:rFonts w:ascii="Segoe UI"/>
                <w:b/>
                <w:color w:val="1F4E79"/>
                <w:spacing w:val="-4"/>
                <w:sz w:val="24"/>
              </w:rPr>
              <w:t>Date</w:t>
            </w:r>
          </w:p>
        </w:tc>
        <w:tc>
          <w:tcPr>
            <w:tcW w:w="4967" w:type="dxa"/>
          </w:tcPr>
          <w:p>
            <w:pPr>
              <w:pStyle w:val="TableParagraph"/>
              <w:spacing w:before="151"/>
              <w:ind w:left="90"/>
              <w:rPr>
                <w:rFonts w:ascii="Segoe UI"/>
                <w:sz w:val="24"/>
              </w:rPr>
            </w:pPr>
            <w:r>
              <w:rPr>
                <w:rFonts w:ascii="Segoe UI"/>
                <w:sz w:val="24"/>
              </w:rPr>
              <w:t>21</w:t>
            </w:r>
            <w:r>
              <w:rPr>
                <w:rFonts w:ascii="Segoe UI"/>
                <w:spacing w:val="-7"/>
                <w:sz w:val="24"/>
              </w:rPr>
              <w:t> </w:t>
            </w:r>
            <w:r>
              <w:rPr>
                <w:rFonts w:ascii="Segoe UI"/>
                <w:sz w:val="24"/>
              </w:rPr>
              <w:t>September</w:t>
            </w:r>
            <w:r>
              <w:rPr>
                <w:rFonts w:ascii="Segoe UI"/>
                <w:spacing w:val="-4"/>
                <w:sz w:val="24"/>
              </w:rPr>
              <w:t> 2026</w:t>
            </w:r>
          </w:p>
        </w:tc>
      </w:tr>
    </w:tbl>
    <w:p>
      <w:pPr>
        <w:spacing w:before="363"/>
        <w:ind w:left="53" w:right="57" w:firstLine="0"/>
        <w:jc w:val="center"/>
        <w:rPr>
          <w:rFonts w:ascii="Segoe UI"/>
          <w:sz w:val="36"/>
        </w:rPr>
      </w:pPr>
      <w:r>
        <w:rPr>
          <w:rFonts w:ascii="Segoe UI"/>
          <w:color w:val="FF0000"/>
          <w:sz w:val="36"/>
        </w:rPr>
        <w:t>Draft</w:t>
      </w:r>
      <w:r>
        <w:rPr>
          <w:rFonts w:ascii="Segoe UI"/>
          <w:color w:val="FF0000"/>
          <w:spacing w:val="-7"/>
          <w:sz w:val="36"/>
        </w:rPr>
        <w:t> </w:t>
      </w:r>
      <w:r>
        <w:rPr>
          <w:rFonts w:ascii="Segoe UI"/>
          <w:color w:val="FF0000"/>
          <w:sz w:val="36"/>
        </w:rPr>
        <w:t>for</w:t>
      </w:r>
      <w:r>
        <w:rPr>
          <w:rFonts w:ascii="Segoe UI"/>
          <w:color w:val="FF0000"/>
          <w:spacing w:val="-1"/>
          <w:sz w:val="36"/>
        </w:rPr>
        <w:t> </w:t>
      </w:r>
      <w:r>
        <w:rPr>
          <w:rFonts w:ascii="Segoe UI"/>
          <w:color w:val="FF0000"/>
          <w:sz w:val="36"/>
        </w:rPr>
        <w:t>Programme</w:t>
      </w:r>
      <w:r>
        <w:rPr>
          <w:rFonts w:ascii="Segoe UI"/>
          <w:color w:val="FF0000"/>
          <w:spacing w:val="1"/>
          <w:sz w:val="36"/>
        </w:rPr>
        <w:t> </w:t>
      </w:r>
      <w:r>
        <w:rPr>
          <w:rFonts w:ascii="Segoe UI"/>
          <w:color w:val="FF0000"/>
          <w:sz w:val="36"/>
        </w:rPr>
        <w:t>Board</w:t>
      </w:r>
      <w:r>
        <w:rPr>
          <w:rFonts w:ascii="Segoe UI"/>
          <w:color w:val="FF0000"/>
          <w:spacing w:val="-1"/>
          <w:sz w:val="36"/>
        </w:rPr>
        <w:t> </w:t>
      </w:r>
      <w:r>
        <w:rPr>
          <w:rFonts w:ascii="Segoe UI"/>
          <w:color w:val="FF0000"/>
          <w:spacing w:val="-2"/>
          <w:sz w:val="36"/>
        </w:rPr>
        <w:t>review</w:t>
      </w: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spacing w:before="83"/>
        <w:rPr>
          <w:rFonts w:ascii="Segoe UI"/>
          <w:sz w:val="16"/>
        </w:rPr>
      </w:pPr>
    </w:p>
    <w:p>
      <w:pPr>
        <w:spacing w:before="0"/>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type w:val="continuous"/>
          <w:pgSz w:w="12240" w:h="15840"/>
          <w:pgMar w:header="0" w:footer="147" w:top="760" w:bottom="280" w:left="141" w:right="141"/>
        </w:sectPr>
      </w:pPr>
    </w:p>
    <w:p>
      <w:pPr>
        <w:pStyle w:val="Heading3"/>
        <w:numPr>
          <w:ilvl w:val="0"/>
          <w:numId w:val="13"/>
        </w:numPr>
        <w:tabs>
          <w:tab w:pos="879" w:val="left" w:leader="none"/>
        </w:tabs>
        <w:spacing w:line="240" w:lineRule="auto" w:before="327" w:after="0"/>
        <w:ind w:left="879" w:right="0" w:hanging="565"/>
        <w:jc w:val="left"/>
        <w:rPr>
          <w:color w:val="1F4E79"/>
        </w:rPr>
      </w:pPr>
      <w:r>
        <w:rPr>
          <w:color w:val="1F4E79"/>
          <w:spacing w:val="-2"/>
        </w:rPr>
        <w:t>Summary</w:t>
      </w:r>
    </w:p>
    <w:p>
      <w:pPr>
        <w:spacing w:before="78"/>
        <w:ind w:left="313" w:right="0" w:firstLine="0"/>
        <w:jc w:val="left"/>
        <w:rPr>
          <w:rFonts w:ascii="Calibri"/>
          <w:sz w:val="16"/>
        </w:rPr>
      </w:pPr>
      <w:r>
        <w:rPr/>
        <w:br w:type="column"/>
      </w: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p>
      <w:pPr>
        <w:spacing w:after="0"/>
        <w:jc w:val="left"/>
        <w:rPr>
          <w:rFonts w:ascii="Calibri"/>
          <w:sz w:val="16"/>
        </w:rPr>
        <w:sectPr>
          <w:pgSz w:w="12240" w:h="15840"/>
          <w:pgMar w:header="0" w:footer="147" w:top="640" w:bottom="340" w:left="141" w:right="141"/>
          <w:cols w:num="2" w:equalWidth="0">
            <w:col w:w="2261" w:space="6608"/>
            <w:col w:w="3089"/>
          </w:cols>
        </w:sectPr>
      </w:pPr>
    </w:p>
    <w:p>
      <w:pPr>
        <w:pStyle w:val="BodyText"/>
        <w:spacing w:line="252" w:lineRule="auto" w:before="180"/>
        <w:ind w:left="879" w:right="890"/>
        <w:rPr>
          <w:rFonts w:ascii="Segoe UI"/>
        </w:rPr>
      </w:pPr>
      <w:r>
        <w:rPr>
          <w:rFonts w:ascii="Segoe UI"/>
        </w:rPr>
        <w:t>This</w:t>
      </w:r>
      <w:r>
        <w:rPr>
          <w:rFonts w:ascii="Segoe UI"/>
          <w:spacing w:val="-2"/>
        </w:rPr>
        <w:t> </w:t>
      </w:r>
      <w:r>
        <w:rPr>
          <w:rFonts w:ascii="Segoe UI"/>
        </w:rPr>
        <w:t>Programme Initiation</w:t>
      </w:r>
      <w:r>
        <w:rPr>
          <w:rFonts w:ascii="Segoe UI"/>
          <w:spacing w:val="-2"/>
        </w:rPr>
        <w:t> </w:t>
      </w:r>
      <w:r>
        <w:rPr>
          <w:rFonts w:ascii="Segoe UI"/>
        </w:rPr>
        <w:t>Document</w:t>
      </w:r>
      <w:r>
        <w:rPr>
          <w:rFonts w:ascii="Segoe UI"/>
          <w:spacing w:val="-2"/>
        </w:rPr>
        <w:t> </w:t>
      </w:r>
      <w:r>
        <w:rPr>
          <w:rFonts w:ascii="Segoe UI"/>
        </w:rPr>
        <w:t>(PID) sets out</w:t>
      </w:r>
      <w:r>
        <w:rPr>
          <w:rFonts w:ascii="Segoe UI"/>
          <w:spacing w:val="-2"/>
        </w:rPr>
        <w:t> </w:t>
      </w:r>
      <w:r>
        <w:rPr>
          <w:rFonts w:ascii="Segoe UI"/>
        </w:rPr>
        <w:t>a</w:t>
      </w:r>
      <w:r>
        <w:rPr>
          <w:rFonts w:ascii="Segoe UI"/>
          <w:spacing w:val="-2"/>
        </w:rPr>
        <w:t> </w:t>
      </w:r>
      <w:r>
        <w:rPr>
          <w:rFonts w:ascii="Segoe UI"/>
        </w:rPr>
        <w:t>joint</w:t>
      </w:r>
      <w:r>
        <w:rPr>
          <w:rFonts w:ascii="Segoe UI"/>
          <w:spacing w:val="-2"/>
        </w:rPr>
        <w:t> </w:t>
      </w:r>
      <w:r>
        <w:rPr>
          <w:rFonts w:ascii="Segoe UI"/>
        </w:rPr>
        <w:t>programme across</w:t>
      </w:r>
      <w:r>
        <w:rPr>
          <w:rFonts w:ascii="Segoe UI"/>
          <w:spacing w:val="-2"/>
        </w:rPr>
        <w:t> </w:t>
      </w:r>
      <w:r>
        <w:rPr>
          <w:rFonts w:ascii="Segoe UI"/>
        </w:rPr>
        <w:t>Swansea</w:t>
      </w:r>
      <w:r>
        <w:rPr>
          <w:rFonts w:ascii="Segoe UI"/>
          <w:spacing w:val="-2"/>
        </w:rPr>
        <w:t> </w:t>
      </w:r>
      <w:r>
        <w:rPr>
          <w:rFonts w:ascii="Segoe UI"/>
        </w:rPr>
        <w:t>Bay and Hywel Dda University Health Boards. It responds to sustained growth in demand, workforce fragility, capacity constraints, increasing waiting times and risks to patients requiring timely intervention, including those at highest risk of irreversible sight loss. Established in November 2024, the programme has a dual purpose: to deliver short-term recovery and operational resilience,</w:t>
      </w:r>
      <w:r>
        <w:rPr>
          <w:rFonts w:ascii="Segoe UI"/>
          <w:spacing w:val="-7"/>
        </w:rPr>
        <w:t> </w:t>
      </w:r>
      <w:r>
        <w:rPr>
          <w:rFonts w:ascii="Segoe UI"/>
        </w:rPr>
        <w:t>and</w:t>
      </w:r>
      <w:r>
        <w:rPr>
          <w:rFonts w:ascii="Segoe UI"/>
          <w:spacing w:val="-6"/>
        </w:rPr>
        <w:t> </w:t>
      </w:r>
      <w:r>
        <w:rPr>
          <w:rFonts w:ascii="Segoe UI"/>
        </w:rPr>
        <w:t>to</w:t>
      </w:r>
      <w:r>
        <w:rPr>
          <w:rFonts w:ascii="Segoe UI"/>
          <w:spacing w:val="-5"/>
        </w:rPr>
        <w:t> </w:t>
      </w:r>
      <w:r>
        <w:rPr>
          <w:rFonts w:ascii="Segoe UI"/>
        </w:rPr>
        <w:t>build</w:t>
      </w:r>
      <w:r>
        <w:rPr>
          <w:rFonts w:ascii="Segoe UI"/>
          <w:spacing w:val="-6"/>
        </w:rPr>
        <w:t> </w:t>
      </w:r>
      <w:r>
        <w:rPr>
          <w:rFonts w:ascii="Segoe UI"/>
        </w:rPr>
        <w:t>the</w:t>
      </w:r>
      <w:r>
        <w:rPr>
          <w:rFonts w:ascii="Segoe UI"/>
          <w:spacing w:val="-5"/>
        </w:rPr>
        <w:t> </w:t>
      </w:r>
      <w:r>
        <w:rPr>
          <w:rFonts w:ascii="Segoe UI"/>
        </w:rPr>
        <w:t>foundations</w:t>
      </w:r>
      <w:r>
        <w:rPr>
          <w:rFonts w:ascii="Segoe UI"/>
          <w:spacing w:val="-6"/>
        </w:rPr>
        <w:t> </w:t>
      </w:r>
      <w:r>
        <w:rPr>
          <w:rFonts w:ascii="Segoe UI"/>
        </w:rPr>
        <w:t>for a</w:t>
      </w:r>
      <w:r>
        <w:rPr>
          <w:rFonts w:ascii="Segoe UI"/>
          <w:spacing w:val="-6"/>
        </w:rPr>
        <w:t> </w:t>
      </w:r>
      <w:r>
        <w:rPr>
          <w:rFonts w:ascii="Segoe UI"/>
        </w:rPr>
        <w:t>more</w:t>
      </w:r>
      <w:r>
        <w:rPr>
          <w:rFonts w:ascii="Segoe UI"/>
          <w:spacing w:val="-5"/>
        </w:rPr>
        <w:t> </w:t>
      </w:r>
      <w:r>
        <w:rPr>
          <w:rFonts w:ascii="Segoe UI"/>
        </w:rPr>
        <w:t>integrated</w:t>
      </w:r>
      <w:r>
        <w:rPr>
          <w:rFonts w:ascii="Segoe UI"/>
          <w:spacing w:val="-1"/>
        </w:rPr>
        <w:t> </w:t>
      </w:r>
      <w:r>
        <w:rPr>
          <w:rFonts w:ascii="Segoe UI"/>
        </w:rPr>
        <w:t>and</w:t>
      </w:r>
      <w:r>
        <w:rPr>
          <w:rFonts w:ascii="Segoe UI"/>
          <w:spacing w:val="-1"/>
        </w:rPr>
        <w:t> </w:t>
      </w:r>
      <w:r>
        <w:rPr>
          <w:rFonts w:ascii="Segoe UI"/>
        </w:rPr>
        <w:t>sustainable</w:t>
      </w:r>
      <w:r>
        <w:rPr>
          <w:rFonts w:ascii="Segoe UI"/>
          <w:spacing w:val="-5"/>
        </w:rPr>
        <w:t> </w:t>
      </w:r>
      <w:r>
        <w:rPr>
          <w:rFonts w:ascii="Segoe UI"/>
        </w:rPr>
        <w:t>regional</w:t>
      </w:r>
      <w:r>
        <w:rPr>
          <w:rFonts w:ascii="Segoe UI"/>
          <w:spacing w:val="-3"/>
        </w:rPr>
        <w:t> </w:t>
      </w:r>
      <w:r>
        <w:rPr>
          <w:rFonts w:ascii="Segoe UI"/>
        </w:rPr>
        <w:t>Eye</w:t>
      </w:r>
      <w:r>
        <w:rPr>
          <w:rFonts w:ascii="Segoe UI"/>
          <w:spacing w:val="-5"/>
        </w:rPr>
        <w:t> </w:t>
      </w:r>
      <w:r>
        <w:rPr>
          <w:rFonts w:ascii="Segoe UI"/>
        </w:rPr>
        <w:t>Care </w:t>
      </w:r>
      <w:r>
        <w:rPr>
          <w:rFonts w:ascii="Segoe UI"/>
          <w:spacing w:val="-2"/>
        </w:rPr>
        <w:t>Service.</w:t>
      </w:r>
    </w:p>
    <w:p>
      <w:pPr>
        <w:pStyle w:val="BodyText"/>
        <w:spacing w:line="252" w:lineRule="auto" w:before="120"/>
        <w:ind w:left="879" w:right="890"/>
        <w:rPr>
          <w:rFonts w:ascii="Segoe UI"/>
        </w:rPr>
      </w:pPr>
      <w:r>
        <w:rPr>
          <w:rFonts w:ascii="Segoe UI"/>
        </w:rPr>
        <w:t>Delivery</w:t>
      </w:r>
      <w:r>
        <w:rPr>
          <w:rFonts w:ascii="Segoe UI"/>
          <w:spacing w:val="-5"/>
        </w:rPr>
        <w:t> </w:t>
      </w:r>
      <w:r>
        <w:rPr>
          <w:rFonts w:ascii="Segoe UI"/>
        </w:rPr>
        <w:t>in</w:t>
      </w:r>
      <w:r>
        <w:rPr>
          <w:rFonts w:ascii="Segoe UI"/>
          <w:spacing w:val="-5"/>
        </w:rPr>
        <w:t> </w:t>
      </w:r>
      <w:r>
        <w:rPr>
          <w:rFonts w:ascii="Segoe UI"/>
        </w:rPr>
        <w:t>2026/27</w:t>
      </w:r>
      <w:r>
        <w:rPr>
          <w:rFonts w:ascii="Segoe UI"/>
          <w:spacing w:val="-3"/>
        </w:rPr>
        <w:t> </w:t>
      </w:r>
      <w:r>
        <w:rPr>
          <w:rFonts w:ascii="Segoe UI"/>
        </w:rPr>
        <w:t>is</w:t>
      </w:r>
      <w:r>
        <w:rPr>
          <w:rFonts w:ascii="Segoe UI"/>
          <w:spacing w:val="-6"/>
        </w:rPr>
        <w:t> </w:t>
      </w:r>
      <w:r>
        <w:rPr>
          <w:rFonts w:ascii="Segoe UI"/>
        </w:rPr>
        <w:t>structured</w:t>
      </w:r>
      <w:r>
        <w:rPr>
          <w:rFonts w:ascii="Segoe UI"/>
          <w:spacing w:val="-6"/>
        </w:rPr>
        <w:t> </w:t>
      </w:r>
      <w:r>
        <w:rPr>
          <w:rFonts w:ascii="Segoe UI"/>
        </w:rPr>
        <w:t>around</w:t>
      </w:r>
      <w:r>
        <w:rPr>
          <w:rFonts w:ascii="Segoe UI"/>
          <w:spacing w:val="-1"/>
        </w:rPr>
        <w:t> </w:t>
      </w:r>
      <w:r>
        <w:rPr>
          <w:rFonts w:ascii="Segoe UI"/>
        </w:rPr>
        <w:t>three</w:t>
      </w:r>
      <w:r>
        <w:rPr>
          <w:rFonts w:ascii="Segoe UI"/>
          <w:spacing w:val="-5"/>
        </w:rPr>
        <w:t> </w:t>
      </w:r>
      <w:r>
        <w:rPr>
          <w:rFonts w:ascii="Segoe UI"/>
        </w:rPr>
        <w:t>linked</w:t>
      </w:r>
      <w:r>
        <w:rPr>
          <w:rFonts w:ascii="Segoe UI"/>
          <w:spacing w:val="-5"/>
        </w:rPr>
        <w:t> </w:t>
      </w:r>
      <w:r>
        <w:rPr>
          <w:rFonts w:ascii="Segoe UI"/>
        </w:rPr>
        <w:t>programmes:</w:t>
      </w:r>
      <w:r>
        <w:rPr>
          <w:rFonts w:ascii="Segoe UI"/>
          <w:spacing w:val="-6"/>
        </w:rPr>
        <w:t> </w:t>
      </w:r>
      <w:r>
        <w:rPr>
          <w:rFonts w:ascii="Segoe UI"/>
        </w:rPr>
        <w:t>Intelligence,</w:t>
      </w:r>
      <w:r>
        <w:rPr>
          <w:rFonts w:ascii="Segoe UI"/>
          <w:spacing w:val="-7"/>
        </w:rPr>
        <w:t> </w:t>
      </w:r>
      <w:r>
        <w:rPr>
          <w:rFonts w:ascii="Segoe UI"/>
        </w:rPr>
        <w:t>Productivity</w:t>
      </w:r>
      <w:r>
        <w:rPr>
          <w:rFonts w:ascii="Segoe UI"/>
          <w:spacing w:val="-5"/>
        </w:rPr>
        <w:t> </w:t>
      </w:r>
      <w:r>
        <w:rPr>
          <w:rFonts w:ascii="Segoe UI"/>
        </w:rPr>
        <w:t>and Recovery; Workforce and Service Resilience; and Development of the Future Regional Service Model. Immediate work will establish validated regional baselines, improve productivity and recovery, strengthen workforce resilience, progress digital convergence and develop standardised</w:t>
      </w:r>
      <w:r>
        <w:rPr>
          <w:rFonts w:ascii="Segoe UI"/>
          <w:spacing w:val="-2"/>
        </w:rPr>
        <w:t> </w:t>
      </w:r>
      <w:r>
        <w:rPr>
          <w:rFonts w:ascii="Segoe UI"/>
        </w:rPr>
        <w:t>pathways.</w:t>
      </w:r>
      <w:r>
        <w:rPr>
          <w:rFonts w:ascii="Segoe UI"/>
          <w:spacing w:val="-6"/>
        </w:rPr>
        <w:t> </w:t>
      </w:r>
      <w:r>
        <w:rPr>
          <w:rFonts w:ascii="Segoe UI"/>
        </w:rPr>
        <w:t>More</w:t>
      </w:r>
      <w:r>
        <w:rPr>
          <w:rFonts w:ascii="Segoe UI"/>
          <w:spacing w:val="-5"/>
        </w:rPr>
        <w:t> </w:t>
      </w:r>
      <w:r>
        <w:rPr>
          <w:rFonts w:ascii="Segoe UI"/>
        </w:rPr>
        <w:t>advanced</w:t>
      </w:r>
      <w:r>
        <w:rPr>
          <w:rFonts w:ascii="Segoe UI"/>
          <w:spacing w:val="-6"/>
        </w:rPr>
        <w:t> </w:t>
      </w:r>
      <w:r>
        <w:rPr>
          <w:rFonts w:ascii="Segoe UI"/>
        </w:rPr>
        <w:t>service</w:t>
      </w:r>
      <w:r>
        <w:rPr>
          <w:rFonts w:ascii="Segoe UI"/>
          <w:spacing w:val="-1"/>
        </w:rPr>
        <w:t> </w:t>
      </w:r>
      <w:r>
        <w:rPr>
          <w:rFonts w:ascii="Segoe UI"/>
        </w:rPr>
        <w:t>changes</w:t>
      </w:r>
      <w:r>
        <w:rPr>
          <w:rFonts w:ascii="Segoe UI"/>
          <w:spacing w:val="-6"/>
        </w:rPr>
        <w:t> </w:t>
      </w:r>
      <w:r>
        <w:rPr>
          <w:rFonts w:ascii="Segoe UI"/>
        </w:rPr>
        <w:t>will</w:t>
      </w:r>
      <w:r>
        <w:rPr>
          <w:rFonts w:ascii="Segoe UI"/>
          <w:spacing w:val="-4"/>
        </w:rPr>
        <w:t> </w:t>
      </w:r>
      <w:r>
        <w:rPr>
          <w:rFonts w:ascii="Segoe UI"/>
        </w:rPr>
        <w:t>proceed</w:t>
      </w:r>
      <w:r>
        <w:rPr>
          <w:rFonts w:ascii="Segoe UI"/>
          <w:spacing w:val="-6"/>
        </w:rPr>
        <w:t> </w:t>
      </w:r>
      <w:r>
        <w:rPr>
          <w:rFonts w:ascii="Segoe UI"/>
        </w:rPr>
        <w:t>only</w:t>
      </w:r>
      <w:r>
        <w:rPr>
          <w:rFonts w:ascii="Segoe UI"/>
          <w:spacing w:val="-5"/>
        </w:rPr>
        <w:t> </w:t>
      </w:r>
      <w:r>
        <w:rPr>
          <w:rFonts w:ascii="Segoe UI"/>
        </w:rPr>
        <w:t>after</w:t>
      </w:r>
      <w:r>
        <w:rPr>
          <w:rFonts w:ascii="Segoe UI"/>
          <w:spacing w:val="-4"/>
        </w:rPr>
        <w:t> </w:t>
      </w:r>
      <w:r>
        <w:rPr>
          <w:rFonts w:ascii="Segoe UI"/>
        </w:rPr>
        <w:t>evidence,</w:t>
      </w:r>
      <w:r>
        <w:rPr>
          <w:rFonts w:ascii="Segoe UI"/>
          <w:spacing w:val="-3"/>
        </w:rPr>
        <w:t> </w:t>
      </w:r>
      <w:r>
        <w:rPr>
          <w:rFonts w:ascii="Segoe UI"/>
        </w:rPr>
        <w:t>clinical agreement, affordability assessment, governance review and formal approval.</w:t>
      </w:r>
    </w:p>
    <w:p>
      <w:pPr>
        <w:pStyle w:val="BodyText"/>
        <w:spacing w:line="252" w:lineRule="auto" w:before="119"/>
        <w:ind w:left="879" w:right="890"/>
        <w:rPr>
          <w:rFonts w:ascii="Segoe UI"/>
        </w:rPr>
      </w:pPr>
      <w:r>
        <w:rPr>
          <w:rFonts w:ascii="Segoe UI"/>
        </w:rPr>
        <w:t>No overall programme budget has been identified at this stage. Funding requirements will be defined through evidence, options appraisal and business cases. Principal risks relate to workforce capacity, demand-capacity imbalance, funding and affordability, digital readiness, theatre</w:t>
      </w:r>
      <w:r>
        <w:rPr>
          <w:rFonts w:ascii="Segoe UI"/>
          <w:spacing w:val="-4"/>
        </w:rPr>
        <w:t> </w:t>
      </w:r>
      <w:r>
        <w:rPr>
          <w:rFonts w:ascii="Segoe UI"/>
        </w:rPr>
        <w:t>capacity,</w:t>
      </w:r>
      <w:r>
        <w:rPr>
          <w:rFonts w:ascii="Segoe UI"/>
          <w:spacing w:val="-5"/>
        </w:rPr>
        <w:t> </w:t>
      </w:r>
      <w:r>
        <w:rPr>
          <w:rFonts w:ascii="Segoe UI"/>
        </w:rPr>
        <w:t>on-call</w:t>
      </w:r>
      <w:r>
        <w:rPr>
          <w:rFonts w:ascii="Segoe UI"/>
          <w:spacing w:val="-2"/>
        </w:rPr>
        <w:t> </w:t>
      </w:r>
      <w:r>
        <w:rPr>
          <w:rFonts w:ascii="Segoe UI"/>
        </w:rPr>
        <w:t>deliverability,</w:t>
      </w:r>
      <w:r>
        <w:rPr>
          <w:rFonts w:ascii="Segoe UI"/>
          <w:spacing w:val="-5"/>
        </w:rPr>
        <w:t> </w:t>
      </w:r>
      <w:r>
        <w:rPr>
          <w:rFonts w:ascii="Segoe UI"/>
        </w:rPr>
        <w:t>patient</w:t>
      </w:r>
      <w:r>
        <w:rPr>
          <w:rFonts w:ascii="Segoe UI"/>
          <w:spacing w:val="-5"/>
        </w:rPr>
        <w:t> </w:t>
      </w:r>
      <w:r>
        <w:rPr>
          <w:rFonts w:ascii="Segoe UI"/>
        </w:rPr>
        <w:t>equity,</w:t>
      </w:r>
      <w:r>
        <w:rPr>
          <w:rFonts w:ascii="Segoe UI"/>
          <w:spacing w:val="-5"/>
        </w:rPr>
        <w:t> </w:t>
      </w:r>
      <w:r>
        <w:rPr>
          <w:rFonts w:ascii="Segoe UI"/>
        </w:rPr>
        <w:t>clinical</w:t>
      </w:r>
      <w:r>
        <w:rPr>
          <w:rFonts w:ascii="Segoe UI"/>
          <w:spacing w:val="-2"/>
        </w:rPr>
        <w:t> </w:t>
      </w:r>
      <w:r>
        <w:rPr>
          <w:rFonts w:ascii="Segoe UI"/>
        </w:rPr>
        <w:t>engagement</w:t>
      </w:r>
      <w:r>
        <w:rPr>
          <w:rFonts w:ascii="Segoe UI"/>
          <w:spacing w:val="-5"/>
        </w:rPr>
        <w:t> </w:t>
      </w:r>
      <w:r>
        <w:rPr>
          <w:rFonts w:ascii="Segoe UI"/>
        </w:rPr>
        <w:t>and</w:t>
      </w:r>
      <w:r>
        <w:rPr>
          <w:rFonts w:ascii="Segoe UI"/>
          <w:spacing w:val="-5"/>
        </w:rPr>
        <w:t> </w:t>
      </w:r>
      <w:r>
        <w:rPr>
          <w:rFonts w:ascii="Segoe UI"/>
        </w:rPr>
        <w:t>alignment</w:t>
      </w:r>
      <w:r>
        <w:rPr>
          <w:rFonts w:ascii="Segoe UI"/>
          <w:spacing w:val="-5"/>
        </w:rPr>
        <w:t> </w:t>
      </w:r>
      <w:r>
        <w:rPr>
          <w:rFonts w:ascii="Segoe UI"/>
        </w:rPr>
        <w:t>of</w:t>
      </w:r>
      <w:r>
        <w:rPr>
          <w:rFonts w:ascii="Segoe UI"/>
          <w:spacing w:val="-4"/>
        </w:rPr>
        <w:t> </w:t>
      </w:r>
      <w:r>
        <w:rPr>
          <w:rFonts w:ascii="Segoe UI"/>
        </w:rPr>
        <w:t>local </w:t>
      </w:r>
      <w:r>
        <w:rPr>
          <w:rFonts w:ascii="Segoe UI"/>
          <w:spacing w:val="-2"/>
        </w:rPr>
        <w:t>plans.</w:t>
      </w:r>
    </w:p>
    <w:p>
      <w:pPr>
        <w:pStyle w:val="BodyText"/>
        <w:spacing w:before="161"/>
        <w:rPr>
          <w:rFonts w:ascii="Segoe UI"/>
        </w:rPr>
      </w:pPr>
    </w:p>
    <w:p>
      <w:pPr>
        <w:pStyle w:val="Heading3"/>
        <w:numPr>
          <w:ilvl w:val="0"/>
          <w:numId w:val="13"/>
        </w:numPr>
        <w:tabs>
          <w:tab w:pos="879" w:val="left" w:leader="none"/>
        </w:tabs>
        <w:spacing w:line="240" w:lineRule="auto" w:before="0" w:after="0"/>
        <w:ind w:left="879" w:right="0" w:hanging="565"/>
        <w:jc w:val="left"/>
        <w:rPr>
          <w:rFonts w:ascii="Calibri"/>
          <w:color w:val="1F4E79"/>
        </w:rPr>
      </w:pPr>
      <w:r>
        <w:rPr>
          <w:color w:val="1F4E79"/>
        </w:rPr>
        <w:t>Programme</w:t>
      </w:r>
      <w:r>
        <w:rPr>
          <w:color w:val="1F4E79"/>
          <w:spacing w:val="-5"/>
        </w:rPr>
        <w:t> </w:t>
      </w:r>
      <w:r>
        <w:rPr>
          <w:color w:val="1F4E79"/>
        </w:rPr>
        <w:t>Background</w:t>
      </w:r>
      <w:r>
        <w:rPr>
          <w:color w:val="1F4E79"/>
          <w:spacing w:val="-3"/>
        </w:rPr>
        <w:t> </w:t>
      </w:r>
      <w:r>
        <w:rPr>
          <w:color w:val="1F4E79"/>
          <w:spacing w:val="-2"/>
        </w:rPr>
        <w:t>Context</w:t>
      </w:r>
    </w:p>
    <w:p>
      <w:pPr>
        <w:pStyle w:val="BodyText"/>
        <w:spacing w:line="252" w:lineRule="auto" w:before="176"/>
        <w:ind w:left="879" w:right="890"/>
        <w:rPr>
          <w:rFonts w:ascii="Segoe UI"/>
        </w:rPr>
      </w:pPr>
      <w:r>
        <w:rPr>
          <w:rFonts w:ascii="Segoe UI"/>
        </w:rPr>
        <w:t>Eye</w:t>
      </w:r>
      <w:r>
        <w:rPr>
          <w:rFonts w:ascii="Segoe UI"/>
          <w:spacing w:val="-3"/>
        </w:rPr>
        <w:t> </w:t>
      </w:r>
      <w:r>
        <w:rPr>
          <w:rFonts w:ascii="Segoe UI"/>
        </w:rPr>
        <w:t>Care</w:t>
      </w:r>
      <w:r>
        <w:rPr>
          <w:rFonts w:ascii="Segoe UI"/>
          <w:spacing w:val="-3"/>
        </w:rPr>
        <w:t> </w:t>
      </w:r>
      <w:r>
        <w:rPr>
          <w:rFonts w:ascii="Segoe UI"/>
        </w:rPr>
        <w:t>services across</w:t>
      </w:r>
      <w:r>
        <w:rPr>
          <w:rFonts w:ascii="Segoe UI"/>
          <w:spacing w:val="-4"/>
        </w:rPr>
        <w:t> </w:t>
      </w:r>
      <w:r>
        <w:rPr>
          <w:rFonts w:ascii="Segoe UI"/>
        </w:rPr>
        <w:t>South</w:t>
      </w:r>
      <w:r>
        <w:rPr>
          <w:rFonts w:ascii="Segoe UI"/>
          <w:spacing w:val="-3"/>
        </w:rPr>
        <w:t> </w:t>
      </w:r>
      <w:r>
        <w:rPr>
          <w:rFonts w:ascii="Segoe UI"/>
        </w:rPr>
        <w:t>West Wales</w:t>
      </w:r>
      <w:r>
        <w:rPr>
          <w:rFonts w:ascii="Segoe UI"/>
          <w:spacing w:val="-5"/>
        </w:rPr>
        <w:t> </w:t>
      </w:r>
      <w:r>
        <w:rPr>
          <w:rFonts w:ascii="Segoe UI"/>
        </w:rPr>
        <w:t>have a</w:t>
      </w:r>
      <w:r>
        <w:rPr>
          <w:rFonts w:ascii="Segoe UI"/>
          <w:spacing w:val="-4"/>
        </w:rPr>
        <w:t> </w:t>
      </w:r>
      <w:r>
        <w:rPr>
          <w:rFonts w:ascii="Segoe UI"/>
        </w:rPr>
        <w:t>long</w:t>
      </w:r>
      <w:r>
        <w:rPr>
          <w:rFonts w:ascii="Segoe UI"/>
          <w:spacing w:val="-4"/>
        </w:rPr>
        <w:t> </w:t>
      </w:r>
      <w:r>
        <w:rPr>
          <w:rFonts w:ascii="Segoe UI"/>
        </w:rPr>
        <w:t>history</w:t>
      </w:r>
      <w:r>
        <w:rPr>
          <w:rFonts w:ascii="Segoe UI"/>
          <w:spacing w:val="-3"/>
        </w:rPr>
        <w:t> </w:t>
      </w:r>
      <w:r>
        <w:rPr>
          <w:rFonts w:ascii="Segoe UI"/>
        </w:rPr>
        <w:t>of</w:t>
      </w:r>
      <w:r>
        <w:rPr>
          <w:rFonts w:ascii="Segoe UI"/>
          <w:spacing w:val="-3"/>
        </w:rPr>
        <w:t> </w:t>
      </w:r>
      <w:r>
        <w:rPr>
          <w:rFonts w:ascii="Segoe UI"/>
        </w:rPr>
        <w:t>collaboration,</w:t>
      </w:r>
      <w:r>
        <w:rPr>
          <w:rFonts w:ascii="Segoe UI"/>
          <w:spacing w:val="-4"/>
        </w:rPr>
        <w:t> </w:t>
      </w:r>
      <w:r>
        <w:rPr>
          <w:rFonts w:ascii="Segoe UI"/>
        </w:rPr>
        <w:t>including</w:t>
      </w:r>
      <w:r>
        <w:rPr>
          <w:rFonts w:ascii="Segoe UI"/>
          <w:spacing w:val="-4"/>
        </w:rPr>
        <w:t> </w:t>
      </w:r>
      <w:r>
        <w:rPr>
          <w:rFonts w:ascii="Segoe UI"/>
        </w:rPr>
        <w:t>long-term agreements, joint recruitment, workforce development, emergency cover and sharing specialist expertise. Despite this, services remain fragile, with workforce shortages, capacity constraints and rising demand, contributing to increasing waits and risks to timely treatment.</w:t>
      </w:r>
    </w:p>
    <w:p>
      <w:pPr>
        <w:pStyle w:val="BodyText"/>
        <w:spacing w:line="252" w:lineRule="auto" w:before="120"/>
        <w:ind w:left="879" w:right="890"/>
        <w:rPr>
          <w:rFonts w:ascii="Segoe UI"/>
        </w:rPr>
      </w:pPr>
      <w:r>
        <w:rPr>
          <w:rFonts w:ascii="Segoe UI"/>
        </w:rPr>
        <w:t>The current programme was established in November 2023, and followed on from long-standing</w:t>
      </w:r>
      <w:r>
        <w:rPr>
          <w:rFonts w:ascii="Segoe UI"/>
          <w:spacing w:val="-5"/>
        </w:rPr>
        <w:t> </w:t>
      </w:r>
      <w:r>
        <w:rPr>
          <w:rFonts w:ascii="Segoe UI"/>
        </w:rPr>
        <w:t>regional</w:t>
      </w:r>
      <w:r>
        <w:rPr>
          <w:rFonts w:ascii="Segoe UI"/>
          <w:spacing w:val="-2"/>
        </w:rPr>
        <w:t> </w:t>
      </w:r>
      <w:r>
        <w:rPr>
          <w:rFonts w:ascii="Segoe UI"/>
        </w:rPr>
        <w:t>collaboration</w:t>
      </w:r>
      <w:r>
        <w:rPr>
          <w:rFonts w:ascii="Segoe UI"/>
          <w:spacing w:val="-5"/>
        </w:rPr>
        <w:t> </w:t>
      </w:r>
      <w:r>
        <w:rPr>
          <w:rFonts w:ascii="Segoe UI"/>
        </w:rPr>
        <w:t>for</w:t>
      </w:r>
      <w:r>
        <w:rPr>
          <w:rFonts w:ascii="Segoe UI"/>
          <w:spacing w:val="-2"/>
        </w:rPr>
        <w:t> </w:t>
      </w:r>
      <w:r>
        <w:rPr>
          <w:rFonts w:ascii="Segoe UI"/>
        </w:rPr>
        <w:t>Eye</w:t>
      </w:r>
      <w:r>
        <w:rPr>
          <w:rFonts w:ascii="Segoe UI"/>
          <w:spacing w:val="-4"/>
        </w:rPr>
        <w:t> </w:t>
      </w:r>
      <w:r>
        <w:rPr>
          <w:rFonts w:ascii="Segoe UI"/>
        </w:rPr>
        <w:t>Care under</w:t>
      </w:r>
      <w:r>
        <w:rPr>
          <w:rFonts w:ascii="Segoe UI"/>
          <w:spacing w:val="-2"/>
        </w:rPr>
        <w:t> </w:t>
      </w:r>
      <w:r>
        <w:rPr>
          <w:rFonts w:ascii="Segoe UI"/>
        </w:rPr>
        <w:t>ARCH.</w:t>
      </w:r>
      <w:r>
        <w:rPr>
          <w:rFonts w:ascii="Segoe UI"/>
          <w:spacing w:val="-5"/>
        </w:rPr>
        <w:t> </w:t>
      </w:r>
      <w:r>
        <w:rPr>
          <w:rFonts w:ascii="Segoe UI"/>
        </w:rPr>
        <w:t>Key</w:t>
      </w:r>
      <w:r>
        <w:rPr>
          <w:rFonts w:ascii="Segoe UI"/>
          <w:spacing w:val="-5"/>
        </w:rPr>
        <w:t> </w:t>
      </w:r>
      <w:r>
        <w:rPr>
          <w:rFonts w:ascii="Segoe UI"/>
        </w:rPr>
        <w:t>milestones</w:t>
      </w:r>
      <w:r>
        <w:rPr>
          <w:rFonts w:ascii="Segoe UI"/>
          <w:spacing w:val="-5"/>
        </w:rPr>
        <w:t> </w:t>
      </w:r>
      <w:r>
        <w:rPr>
          <w:rFonts w:ascii="Segoe UI"/>
        </w:rPr>
        <w:t>include</w:t>
      </w:r>
      <w:r>
        <w:rPr>
          <w:rFonts w:ascii="Segoe UI"/>
          <w:spacing w:val="-4"/>
        </w:rPr>
        <w:t> </w:t>
      </w:r>
      <w:r>
        <w:rPr>
          <w:rFonts w:ascii="Segoe UI"/>
        </w:rPr>
        <w:t>agreement</w:t>
      </w:r>
      <w:r>
        <w:rPr>
          <w:rFonts w:ascii="Segoe UI"/>
          <w:spacing w:val="-5"/>
        </w:rPr>
        <w:t> </w:t>
      </w:r>
      <w:r>
        <w:rPr>
          <w:rFonts w:ascii="Segoe UI"/>
        </w:rPr>
        <w:t>of regional Principles and Intentions and priority pathway areas in May 2025; establishment of a Regional Operational Group in July 2025; regional workforce recruitment; development of vitreoretinal, glaucoma, cataract and medical retina/intravitreal therapy pathway proposals; OpenEyes implementation and planning; and alignment with planned care recovery work.</w:t>
      </w:r>
    </w:p>
    <w:p>
      <w:pPr>
        <w:pStyle w:val="BodyText"/>
        <w:spacing w:line="252" w:lineRule="auto" w:before="119"/>
        <w:ind w:left="879" w:right="1029"/>
        <w:rPr>
          <w:rFonts w:ascii="Segoe UI"/>
        </w:rPr>
      </w:pPr>
      <w:r>
        <w:rPr>
          <w:rFonts w:ascii="Segoe UI"/>
        </w:rPr>
        <w:t>The</w:t>
      </w:r>
      <w:r>
        <w:rPr>
          <w:rFonts w:ascii="Segoe UI"/>
          <w:spacing w:val="-5"/>
        </w:rPr>
        <w:t> </w:t>
      </w:r>
      <w:r>
        <w:rPr>
          <w:rFonts w:ascii="Segoe UI"/>
        </w:rPr>
        <w:t>programme</w:t>
      </w:r>
      <w:r>
        <w:rPr>
          <w:rFonts w:ascii="Segoe UI"/>
          <w:spacing w:val="-5"/>
        </w:rPr>
        <w:t> </w:t>
      </w:r>
      <w:r>
        <w:rPr>
          <w:rFonts w:ascii="Segoe UI"/>
        </w:rPr>
        <w:t>has</w:t>
      </w:r>
      <w:r>
        <w:rPr>
          <w:rFonts w:ascii="Segoe UI"/>
          <w:spacing w:val="-6"/>
        </w:rPr>
        <w:t> </w:t>
      </w:r>
      <w:r>
        <w:rPr>
          <w:rFonts w:ascii="Segoe UI"/>
        </w:rPr>
        <w:t>moved</w:t>
      </w:r>
      <w:r>
        <w:rPr>
          <w:rFonts w:ascii="Segoe UI"/>
          <w:spacing w:val="-6"/>
        </w:rPr>
        <w:t> </w:t>
      </w:r>
      <w:r>
        <w:rPr>
          <w:rFonts w:ascii="Segoe UI"/>
        </w:rPr>
        <w:t>from</w:t>
      </w:r>
      <w:r>
        <w:rPr>
          <w:rFonts w:ascii="Segoe UI"/>
          <w:spacing w:val="-2"/>
        </w:rPr>
        <w:t> </w:t>
      </w:r>
      <w:r>
        <w:rPr>
          <w:rFonts w:ascii="Segoe UI"/>
        </w:rPr>
        <w:t>mobilisation</w:t>
      </w:r>
      <w:r>
        <w:rPr>
          <w:rFonts w:ascii="Segoe UI"/>
          <w:spacing w:val="-6"/>
        </w:rPr>
        <w:t> </w:t>
      </w:r>
      <w:r>
        <w:rPr>
          <w:rFonts w:ascii="Segoe UI"/>
        </w:rPr>
        <w:t>into early</w:t>
      </w:r>
      <w:r>
        <w:rPr>
          <w:rFonts w:ascii="Segoe UI"/>
          <w:spacing w:val="-5"/>
        </w:rPr>
        <w:t> </w:t>
      </w:r>
      <w:r>
        <w:rPr>
          <w:rFonts w:ascii="Segoe UI"/>
        </w:rPr>
        <w:t>delivery.</w:t>
      </w:r>
      <w:r>
        <w:rPr>
          <w:rFonts w:ascii="Segoe UI"/>
          <w:spacing w:val="-6"/>
        </w:rPr>
        <w:t> </w:t>
      </w:r>
      <w:r>
        <w:rPr>
          <w:rFonts w:ascii="Segoe UI"/>
        </w:rPr>
        <w:t>Progress</w:t>
      </w:r>
      <w:r>
        <w:rPr>
          <w:rFonts w:ascii="Segoe UI"/>
          <w:spacing w:val="-6"/>
        </w:rPr>
        <w:t> </w:t>
      </w:r>
      <w:r>
        <w:rPr>
          <w:rFonts w:ascii="Segoe UI"/>
        </w:rPr>
        <w:t>remains</w:t>
      </w:r>
      <w:r>
        <w:rPr>
          <w:rFonts w:ascii="Segoe UI"/>
          <w:spacing w:val="-1"/>
        </w:rPr>
        <w:t> </w:t>
      </w:r>
      <w:r>
        <w:rPr>
          <w:rFonts w:ascii="Segoe UI"/>
        </w:rPr>
        <w:t>constrained by workforce shortages, variation in theatre capacity and utilisation, digital dependencies, operational pressures and the need for a shared regional understanding of demand and </w:t>
      </w:r>
      <w:r>
        <w:rPr>
          <w:rFonts w:ascii="Segoe UI"/>
          <w:spacing w:val="-2"/>
        </w:rPr>
        <w:t>capacity.</w:t>
      </w: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spacing w:before="53"/>
        <w:rPr>
          <w:rFonts w:ascii="Segoe UI"/>
          <w:sz w:val="16"/>
        </w:rPr>
      </w:pPr>
    </w:p>
    <w:p>
      <w:pPr>
        <w:spacing w:before="0"/>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type w:val="continuous"/>
          <w:pgSz w:w="12240" w:h="15840"/>
          <w:pgMar w:header="0" w:footer="147" w:top="760" w:bottom="280" w:left="141" w:right="141"/>
        </w:sectPr>
      </w:pPr>
    </w:p>
    <w:p>
      <w:pPr>
        <w:pStyle w:val="Heading3"/>
        <w:numPr>
          <w:ilvl w:val="0"/>
          <w:numId w:val="13"/>
        </w:numPr>
        <w:tabs>
          <w:tab w:pos="879" w:val="left" w:leader="none"/>
        </w:tabs>
        <w:spacing w:line="240" w:lineRule="auto" w:before="327" w:after="0"/>
        <w:ind w:left="879" w:right="0" w:hanging="565"/>
        <w:jc w:val="left"/>
        <w:rPr>
          <w:color w:val="1F4E79"/>
        </w:rPr>
      </w:pPr>
      <w:r>
        <w:rPr>
          <w:color w:val="1F4E79"/>
        </w:rPr>
        <w:t>Programme</w:t>
      </w:r>
      <w:r>
        <w:rPr>
          <w:color w:val="1F4E79"/>
          <w:spacing w:val="1"/>
        </w:rPr>
        <w:t> </w:t>
      </w:r>
      <w:r>
        <w:rPr>
          <w:color w:val="1F4E79"/>
        </w:rPr>
        <w:t>Ambition</w:t>
      </w:r>
      <w:r>
        <w:rPr>
          <w:color w:val="1F4E79"/>
          <w:spacing w:val="-4"/>
        </w:rPr>
        <w:t> </w:t>
      </w:r>
      <w:r>
        <w:rPr>
          <w:color w:val="1F4E79"/>
          <w:spacing w:val="-2"/>
        </w:rPr>
        <w:t>Statement</w:t>
      </w:r>
    </w:p>
    <w:p>
      <w:pPr>
        <w:spacing w:before="78"/>
        <w:ind w:left="313" w:right="0" w:firstLine="0"/>
        <w:jc w:val="left"/>
        <w:rPr>
          <w:rFonts w:ascii="Calibri"/>
          <w:sz w:val="16"/>
        </w:rPr>
      </w:pPr>
      <w:r>
        <w:rPr/>
        <w:br w:type="column"/>
      </w: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p>
      <w:pPr>
        <w:spacing w:after="0"/>
        <w:jc w:val="left"/>
        <w:rPr>
          <w:rFonts w:ascii="Calibri"/>
          <w:sz w:val="16"/>
        </w:rPr>
        <w:sectPr>
          <w:pgSz w:w="12240" w:h="15840"/>
          <w:pgMar w:header="0" w:footer="147" w:top="640" w:bottom="340" w:left="141" w:right="141"/>
          <w:cols w:num="2" w:equalWidth="0">
            <w:col w:w="5535" w:space="3334"/>
            <w:col w:w="3089"/>
          </w:cols>
        </w:sectPr>
      </w:pPr>
    </w:p>
    <w:p>
      <w:pPr>
        <w:pStyle w:val="BodyText"/>
        <w:spacing w:line="252" w:lineRule="auto" w:before="180"/>
        <w:ind w:left="879" w:right="890"/>
        <w:rPr>
          <w:rFonts w:ascii="Segoe UI"/>
        </w:rPr>
      </w:pPr>
      <w:r>
        <w:rPr>
          <w:rFonts w:ascii="Segoe UI"/>
        </w:rPr>
        <w:t>To</w:t>
      </w:r>
      <w:r>
        <w:rPr>
          <w:rFonts w:ascii="Segoe UI"/>
          <w:spacing w:val="-4"/>
        </w:rPr>
        <w:t> </w:t>
      </w:r>
      <w:r>
        <w:rPr>
          <w:rFonts w:ascii="Segoe UI"/>
        </w:rPr>
        <w:t>develop</w:t>
      </w:r>
      <w:r>
        <w:rPr>
          <w:rFonts w:ascii="Segoe UI"/>
          <w:spacing w:val="-5"/>
        </w:rPr>
        <w:t> </w:t>
      </w:r>
      <w:r>
        <w:rPr>
          <w:rFonts w:ascii="Segoe UI"/>
        </w:rPr>
        <w:t>a</w:t>
      </w:r>
      <w:r>
        <w:rPr>
          <w:rFonts w:ascii="Segoe UI"/>
          <w:spacing w:val="-1"/>
        </w:rPr>
        <w:t> </w:t>
      </w:r>
      <w:r>
        <w:rPr>
          <w:rFonts w:ascii="Segoe UI"/>
        </w:rPr>
        <w:t>clinically</w:t>
      </w:r>
      <w:r>
        <w:rPr>
          <w:rFonts w:ascii="Segoe UI"/>
          <w:spacing w:val="-4"/>
        </w:rPr>
        <w:t> </w:t>
      </w:r>
      <w:r>
        <w:rPr>
          <w:rFonts w:ascii="Segoe UI"/>
        </w:rPr>
        <w:t>led,</w:t>
      </w:r>
      <w:r>
        <w:rPr>
          <w:rFonts w:ascii="Segoe UI"/>
          <w:spacing w:val="-5"/>
        </w:rPr>
        <w:t> </w:t>
      </w:r>
      <w:r>
        <w:rPr>
          <w:rFonts w:ascii="Segoe UI"/>
        </w:rPr>
        <w:t>integrated</w:t>
      </w:r>
      <w:r>
        <w:rPr>
          <w:rFonts w:ascii="Segoe UI"/>
          <w:spacing w:val="-5"/>
        </w:rPr>
        <w:t> </w:t>
      </w:r>
      <w:r>
        <w:rPr>
          <w:rFonts w:ascii="Segoe UI"/>
        </w:rPr>
        <w:t>Regional</w:t>
      </w:r>
      <w:r>
        <w:rPr>
          <w:rFonts w:ascii="Segoe UI"/>
          <w:spacing w:val="-2"/>
        </w:rPr>
        <w:t> </w:t>
      </w:r>
      <w:r>
        <w:rPr>
          <w:rFonts w:ascii="Segoe UI"/>
        </w:rPr>
        <w:t>Eye</w:t>
      </w:r>
      <w:r>
        <w:rPr>
          <w:rFonts w:ascii="Segoe UI"/>
          <w:spacing w:val="-4"/>
        </w:rPr>
        <w:t> </w:t>
      </w:r>
      <w:r>
        <w:rPr>
          <w:rFonts w:ascii="Segoe UI"/>
        </w:rPr>
        <w:t>Care</w:t>
      </w:r>
      <w:r>
        <w:rPr>
          <w:rFonts w:ascii="Segoe UI"/>
          <w:spacing w:val="-4"/>
        </w:rPr>
        <w:t> </w:t>
      </w:r>
      <w:r>
        <w:rPr>
          <w:rFonts w:ascii="Segoe UI"/>
        </w:rPr>
        <w:t>Service</w:t>
      </w:r>
      <w:r>
        <w:rPr>
          <w:rFonts w:ascii="Segoe UI"/>
          <w:spacing w:val="-4"/>
        </w:rPr>
        <w:t> </w:t>
      </w:r>
      <w:r>
        <w:rPr>
          <w:rFonts w:ascii="Segoe UI"/>
        </w:rPr>
        <w:t>that</w:t>
      </w:r>
      <w:r>
        <w:rPr>
          <w:rFonts w:ascii="Segoe UI"/>
          <w:spacing w:val="-5"/>
        </w:rPr>
        <w:t> </w:t>
      </w:r>
      <w:r>
        <w:rPr>
          <w:rFonts w:ascii="Segoe UI"/>
        </w:rPr>
        <w:t>improves</w:t>
      </w:r>
      <w:r>
        <w:rPr>
          <w:rFonts w:ascii="Segoe UI"/>
          <w:spacing w:val="-5"/>
        </w:rPr>
        <w:t> </w:t>
      </w:r>
      <w:r>
        <w:rPr>
          <w:rFonts w:ascii="Segoe UI"/>
        </w:rPr>
        <w:t>resilience,</w:t>
      </w:r>
      <w:r>
        <w:rPr>
          <w:rFonts w:ascii="Segoe UI"/>
          <w:spacing w:val="-6"/>
        </w:rPr>
        <w:t> </w:t>
      </w:r>
      <w:r>
        <w:rPr>
          <w:rFonts w:ascii="Segoe UI"/>
        </w:rPr>
        <w:t>equity of</w:t>
      </w:r>
      <w:r>
        <w:rPr>
          <w:rFonts w:ascii="Segoe UI"/>
          <w:spacing w:val="-4"/>
        </w:rPr>
        <w:t> </w:t>
      </w:r>
      <w:r>
        <w:rPr>
          <w:rFonts w:ascii="Segoe UI"/>
        </w:rPr>
        <w:t>access</w:t>
      </w:r>
      <w:r>
        <w:rPr>
          <w:rFonts w:ascii="Segoe UI"/>
          <w:spacing w:val="-5"/>
        </w:rPr>
        <w:t> </w:t>
      </w:r>
      <w:r>
        <w:rPr>
          <w:rFonts w:ascii="Segoe UI"/>
        </w:rPr>
        <w:t>and</w:t>
      </w:r>
      <w:r>
        <w:rPr>
          <w:rFonts w:ascii="Segoe UI"/>
          <w:spacing w:val="-5"/>
        </w:rPr>
        <w:t> </w:t>
      </w:r>
      <w:r>
        <w:rPr>
          <w:rFonts w:ascii="Segoe UI"/>
        </w:rPr>
        <w:t>patient</w:t>
      </w:r>
      <w:r>
        <w:rPr>
          <w:rFonts w:ascii="Segoe UI"/>
          <w:spacing w:val="-5"/>
        </w:rPr>
        <w:t> </w:t>
      </w:r>
      <w:r>
        <w:rPr>
          <w:rFonts w:ascii="Segoe UI"/>
        </w:rPr>
        <w:t>outcomes;</w:t>
      </w:r>
      <w:r>
        <w:rPr>
          <w:rFonts w:ascii="Segoe UI"/>
          <w:spacing w:val="-5"/>
        </w:rPr>
        <w:t> </w:t>
      </w:r>
      <w:r>
        <w:rPr>
          <w:rFonts w:ascii="Segoe UI"/>
        </w:rPr>
        <w:t>reduces</w:t>
      </w:r>
      <w:r>
        <w:rPr>
          <w:rFonts w:ascii="Segoe UI"/>
          <w:spacing w:val="-1"/>
        </w:rPr>
        <w:t> </w:t>
      </w:r>
      <w:r>
        <w:rPr>
          <w:rFonts w:ascii="Segoe UI"/>
        </w:rPr>
        <w:t>avoidable</w:t>
      </w:r>
      <w:r>
        <w:rPr>
          <w:rFonts w:ascii="Segoe UI"/>
          <w:spacing w:val="-4"/>
        </w:rPr>
        <w:t> </w:t>
      </w:r>
      <w:r>
        <w:rPr>
          <w:rFonts w:ascii="Segoe UI"/>
        </w:rPr>
        <w:t>sight</w:t>
      </w:r>
      <w:r>
        <w:rPr>
          <w:rFonts w:ascii="Segoe UI"/>
          <w:spacing w:val="-5"/>
        </w:rPr>
        <w:t> </w:t>
      </w:r>
      <w:r>
        <w:rPr>
          <w:rFonts w:ascii="Segoe UI"/>
        </w:rPr>
        <w:t>loss and long</w:t>
      </w:r>
      <w:r>
        <w:rPr>
          <w:rFonts w:ascii="Segoe UI"/>
          <w:spacing w:val="-5"/>
        </w:rPr>
        <w:t> </w:t>
      </w:r>
      <w:r>
        <w:rPr>
          <w:rFonts w:ascii="Segoe UI"/>
        </w:rPr>
        <w:t>waits;</w:t>
      </w:r>
      <w:r>
        <w:rPr>
          <w:rFonts w:ascii="Segoe UI"/>
          <w:spacing w:val="-5"/>
        </w:rPr>
        <w:t> </w:t>
      </w:r>
      <w:r>
        <w:rPr>
          <w:rFonts w:ascii="Segoe UI"/>
        </w:rPr>
        <w:t>makes</w:t>
      </w:r>
      <w:r>
        <w:rPr>
          <w:rFonts w:ascii="Segoe UI"/>
          <w:spacing w:val="-5"/>
        </w:rPr>
        <w:t> </w:t>
      </w:r>
      <w:r>
        <w:rPr>
          <w:rFonts w:ascii="Segoe UI"/>
        </w:rPr>
        <w:t>best</w:t>
      </w:r>
      <w:r>
        <w:rPr>
          <w:rFonts w:ascii="Segoe UI"/>
          <w:spacing w:val="-5"/>
        </w:rPr>
        <w:t> </w:t>
      </w:r>
      <w:r>
        <w:rPr>
          <w:rFonts w:ascii="Segoe UI"/>
        </w:rPr>
        <w:t>use</w:t>
      </w:r>
      <w:r>
        <w:rPr>
          <w:rFonts w:ascii="Segoe UI"/>
          <w:spacing w:val="-4"/>
        </w:rPr>
        <w:t> </w:t>
      </w:r>
      <w:r>
        <w:rPr>
          <w:rFonts w:ascii="Segoe UI"/>
        </w:rPr>
        <w:t>of regional capacity and expertise; and is supported by aligned pathways, digital systems, governance and workforce arrangements.</w:t>
      </w:r>
    </w:p>
    <w:p>
      <w:pPr>
        <w:pStyle w:val="BodyText"/>
        <w:spacing w:before="161"/>
        <w:rPr>
          <w:rFonts w:ascii="Segoe UI"/>
        </w:rPr>
      </w:pPr>
    </w:p>
    <w:p>
      <w:pPr>
        <w:pStyle w:val="Heading3"/>
        <w:numPr>
          <w:ilvl w:val="0"/>
          <w:numId w:val="13"/>
        </w:numPr>
        <w:tabs>
          <w:tab w:pos="879" w:val="left" w:leader="none"/>
        </w:tabs>
        <w:spacing w:line="240" w:lineRule="auto" w:before="0" w:after="0"/>
        <w:ind w:left="879" w:right="0" w:hanging="565"/>
        <w:jc w:val="left"/>
        <w:rPr>
          <w:color w:val="1F4E79"/>
        </w:rPr>
      </w:pPr>
      <w:r>
        <w:rPr>
          <w:color w:val="1F4E79"/>
        </w:rPr>
        <w:t>Desired</w:t>
      </w:r>
      <w:r>
        <w:rPr>
          <w:color w:val="1F4E79"/>
          <w:spacing w:val="-2"/>
        </w:rPr>
        <w:t> </w:t>
      </w:r>
      <w:r>
        <w:rPr>
          <w:color w:val="1F4E79"/>
        </w:rPr>
        <w:t>Programme</w:t>
      </w:r>
      <w:r>
        <w:rPr>
          <w:color w:val="1F4E79"/>
          <w:spacing w:val="-1"/>
        </w:rPr>
        <w:t> </w:t>
      </w:r>
      <w:r>
        <w:rPr>
          <w:color w:val="1F4E79"/>
        </w:rPr>
        <w:t>Outcomes</w:t>
      </w:r>
      <w:r>
        <w:rPr>
          <w:color w:val="1F4E79"/>
          <w:spacing w:val="1"/>
        </w:rPr>
        <w:t> </w:t>
      </w:r>
      <w:r>
        <w:rPr>
          <w:color w:val="1F4E79"/>
        </w:rPr>
        <w:t>-</w:t>
      </w:r>
      <w:r>
        <w:rPr>
          <w:color w:val="1F4E79"/>
          <w:spacing w:val="-7"/>
        </w:rPr>
        <w:t> </w:t>
      </w:r>
      <w:r>
        <w:rPr>
          <w:color w:val="1F4E79"/>
        </w:rPr>
        <w:t>Objectives</w:t>
      </w:r>
      <w:r>
        <w:rPr>
          <w:color w:val="1F4E79"/>
          <w:spacing w:val="-6"/>
        </w:rPr>
        <w:t> </w:t>
      </w:r>
      <w:r>
        <w:rPr>
          <w:color w:val="1F4E79"/>
        </w:rPr>
        <w:t>/</w:t>
      </w:r>
      <w:r>
        <w:rPr>
          <w:color w:val="1F4E79"/>
          <w:spacing w:val="2"/>
        </w:rPr>
        <w:t> </w:t>
      </w:r>
      <w:r>
        <w:rPr>
          <w:color w:val="1F4E79"/>
        </w:rPr>
        <w:t>Aims</w:t>
      </w:r>
      <w:r>
        <w:rPr>
          <w:color w:val="1F4E79"/>
          <w:spacing w:val="-6"/>
        </w:rPr>
        <w:t> </w:t>
      </w:r>
      <w:r>
        <w:rPr>
          <w:color w:val="1F4E79"/>
        </w:rPr>
        <w:t>/</w:t>
      </w:r>
      <w:r>
        <w:rPr>
          <w:color w:val="1F4E79"/>
          <w:spacing w:val="2"/>
        </w:rPr>
        <w:t> </w:t>
      </w:r>
      <w:r>
        <w:rPr>
          <w:color w:val="1F4E79"/>
          <w:spacing w:val="-2"/>
        </w:rPr>
        <w:t>Benefits</w:t>
      </w:r>
    </w:p>
    <w:p>
      <w:pPr>
        <w:spacing w:before="336"/>
        <w:ind w:left="879" w:right="0" w:firstLine="0"/>
        <w:jc w:val="left"/>
        <w:rPr>
          <w:rFonts w:ascii="Segoe UI"/>
          <w:b/>
          <w:sz w:val="24"/>
        </w:rPr>
      </w:pPr>
      <w:r>
        <w:rPr>
          <w:rFonts w:ascii="Segoe UI"/>
          <w:b/>
          <w:sz w:val="24"/>
        </w:rPr>
        <w:t>Aims</w:t>
      </w:r>
      <w:r>
        <w:rPr>
          <w:rFonts w:ascii="Segoe UI"/>
          <w:b/>
          <w:spacing w:val="-2"/>
          <w:sz w:val="24"/>
        </w:rPr>
        <w:t> </w:t>
      </w:r>
      <w:r>
        <w:rPr>
          <w:rFonts w:ascii="Segoe UI"/>
          <w:b/>
          <w:sz w:val="24"/>
        </w:rPr>
        <w:t>and</w:t>
      </w:r>
      <w:r>
        <w:rPr>
          <w:rFonts w:ascii="Segoe UI"/>
          <w:b/>
          <w:spacing w:val="-1"/>
          <w:sz w:val="24"/>
        </w:rPr>
        <w:t> </w:t>
      </w:r>
      <w:r>
        <w:rPr>
          <w:rFonts w:ascii="Segoe UI"/>
          <w:b/>
          <w:spacing w:val="-2"/>
          <w:sz w:val="24"/>
        </w:rPr>
        <w:t>Objectives</w:t>
      </w:r>
    </w:p>
    <w:p>
      <w:pPr>
        <w:pStyle w:val="BodyText"/>
        <w:tabs>
          <w:tab w:pos="1599" w:val="left" w:leader="none"/>
        </w:tabs>
        <w:spacing w:before="281"/>
        <w:ind w:left="1239"/>
        <w:rPr>
          <w:rFonts w:ascii="Segoe UI" w:hAnsi="Segoe UI"/>
        </w:rPr>
      </w:pPr>
      <w:r>
        <w:rPr>
          <w:rFonts w:ascii="Calibri" w:hAnsi="Calibri"/>
          <w:spacing w:val="-10"/>
          <w:sz w:val="20"/>
        </w:rPr>
        <w:t>−</w:t>
      </w:r>
      <w:r>
        <w:rPr>
          <w:rFonts w:ascii="Calibri" w:hAnsi="Calibri"/>
          <w:sz w:val="20"/>
        </w:rPr>
        <w:tab/>
      </w:r>
      <w:r>
        <w:rPr>
          <w:rFonts w:ascii="Segoe UI" w:hAnsi="Segoe UI"/>
        </w:rPr>
        <w:t>Achieve</w:t>
      </w:r>
      <w:r>
        <w:rPr>
          <w:rFonts w:ascii="Segoe UI" w:hAnsi="Segoe UI"/>
          <w:spacing w:val="-6"/>
        </w:rPr>
        <w:t> </w:t>
      </w:r>
      <w:r>
        <w:rPr>
          <w:rFonts w:ascii="Segoe UI" w:hAnsi="Segoe UI"/>
        </w:rPr>
        <w:t>the</w:t>
      </w:r>
      <w:r>
        <w:rPr>
          <w:rFonts w:ascii="Segoe UI" w:hAnsi="Segoe UI"/>
          <w:spacing w:val="-3"/>
        </w:rPr>
        <w:t> </w:t>
      </w:r>
      <w:r>
        <w:rPr>
          <w:rFonts w:ascii="Segoe UI" w:hAnsi="Segoe UI"/>
        </w:rPr>
        <w:t>ministerial</w:t>
      </w:r>
      <w:r>
        <w:rPr>
          <w:rFonts w:ascii="Segoe UI" w:hAnsi="Segoe UI"/>
          <w:spacing w:val="-1"/>
        </w:rPr>
        <w:t> </w:t>
      </w:r>
      <w:r>
        <w:rPr>
          <w:rFonts w:ascii="Segoe UI" w:hAnsi="Segoe UI"/>
        </w:rPr>
        <w:t>ambition</w:t>
      </w:r>
      <w:r>
        <w:rPr>
          <w:rFonts w:ascii="Segoe UI" w:hAnsi="Segoe UI"/>
          <w:spacing w:val="-4"/>
        </w:rPr>
        <w:t> </w:t>
      </w:r>
      <w:r>
        <w:rPr>
          <w:rFonts w:ascii="Segoe UI" w:hAnsi="Segoe UI"/>
        </w:rPr>
        <w:t>of</w:t>
      </w:r>
      <w:r>
        <w:rPr>
          <w:rFonts w:ascii="Segoe UI" w:hAnsi="Segoe UI"/>
          <w:spacing w:val="-4"/>
        </w:rPr>
        <w:t> </w:t>
      </w:r>
      <w:r>
        <w:rPr>
          <w:rFonts w:ascii="Segoe UI" w:hAnsi="Segoe UI"/>
        </w:rPr>
        <w:t>36-week</w:t>
      </w:r>
      <w:r>
        <w:rPr>
          <w:rFonts w:ascii="Segoe UI" w:hAnsi="Segoe UI"/>
          <w:spacing w:val="-1"/>
        </w:rPr>
        <w:t> </w:t>
      </w:r>
      <w:r>
        <w:rPr>
          <w:rFonts w:ascii="Segoe UI" w:hAnsi="Segoe UI"/>
        </w:rPr>
        <w:t>waits</w:t>
      </w:r>
      <w:r>
        <w:rPr>
          <w:rFonts w:ascii="Segoe UI" w:hAnsi="Segoe UI"/>
          <w:spacing w:val="-4"/>
        </w:rPr>
        <w:t> </w:t>
      </w:r>
      <w:r>
        <w:rPr>
          <w:rFonts w:ascii="Segoe UI" w:hAnsi="Segoe UI"/>
        </w:rPr>
        <w:t>by</w:t>
      </w:r>
      <w:r>
        <w:rPr>
          <w:rFonts w:ascii="Segoe UI" w:hAnsi="Segoe UI"/>
          <w:spacing w:val="-3"/>
        </w:rPr>
        <w:t> </w:t>
      </w:r>
      <w:r>
        <w:rPr>
          <w:rFonts w:ascii="Segoe UI" w:hAnsi="Segoe UI"/>
          <w:spacing w:val="-2"/>
        </w:rPr>
        <w:t>2030.</w:t>
      </w:r>
    </w:p>
    <w:p>
      <w:pPr>
        <w:pStyle w:val="BodyText"/>
        <w:tabs>
          <w:tab w:pos="1599" w:val="left" w:leader="none"/>
        </w:tabs>
        <w:spacing w:before="1"/>
        <w:ind w:left="1599" w:right="1156" w:hanging="360"/>
        <w:rPr>
          <w:rFonts w:ascii="Segoe UI" w:hAnsi="Segoe UI"/>
        </w:rPr>
      </w:pPr>
      <w:r>
        <w:rPr>
          <w:rFonts w:ascii="Calibri" w:hAnsi="Calibri"/>
          <w:spacing w:val="-10"/>
          <w:sz w:val="20"/>
        </w:rPr>
        <w:t>−</w:t>
      </w:r>
      <w:r>
        <w:rPr>
          <w:rFonts w:ascii="Calibri" w:hAnsi="Calibri"/>
          <w:sz w:val="20"/>
        </w:rPr>
        <w:tab/>
      </w:r>
      <w:r>
        <w:rPr>
          <w:rFonts w:ascii="Segoe UI" w:hAnsi="Segoe UI"/>
        </w:rPr>
        <w:t>Establish</w:t>
      </w:r>
      <w:r>
        <w:rPr>
          <w:rFonts w:ascii="Segoe UI" w:hAnsi="Segoe UI"/>
          <w:spacing w:val="-5"/>
        </w:rPr>
        <w:t> </w:t>
      </w:r>
      <w:r>
        <w:rPr>
          <w:rFonts w:ascii="Segoe UI" w:hAnsi="Segoe UI"/>
        </w:rPr>
        <w:t>a</w:t>
      </w:r>
      <w:r>
        <w:rPr>
          <w:rFonts w:ascii="Segoe UI" w:hAnsi="Segoe UI"/>
          <w:spacing w:val="-6"/>
        </w:rPr>
        <w:t> </w:t>
      </w:r>
      <w:r>
        <w:rPr>
          <w:rFonts w:ascii="Segoe UI" w:hAnsi="Segoe UI"/>
        </w:rPr>
        <w:t>single</w:t>
      </w:r>
      <w:r>
        <w:rPr>
          <w:rFonts w:ascii="Segoe UI" w:hAnsi="Segoe UI"/>
          <w:spacing w:val="-5"/>
        </w:rPr>
        <w:t> </w:t>
      </w:r>
      <w:r>
        <w:rPr>
          <w:rFonts w:ascii="Segoe UI" w:hAnsi="Segoe UI"/>
        </w:rPr>
        <w:t>regional</w:t>
      </w:r>
      <w:r>
        <w:rPr>
          <w:rFonts w:ascii="Segoe UI" w:hAnsi="Segoe UI"/>
          <w:spacing w:val="-3"/>
        </w:rPr>
        <w:t> </w:t>
      </w:r>
      <w:r>
        <w:rPr>
          <w:rFonts w:ascii="Segoe UI" w:hAnsi="Segoe UI"/>
        </w:rPr>
        <w:t>evidence</w:t>
      </w:r>
      <w:r>
        <w:rPr>
          <w:rFonts w:ascii="Segoe UI" w:hAnsi="Segoe UI"/>
          <w:spacing w:val="-5"/>
        </w:rPr>
        <w:t> </w:t>
      </w:r>
      <w:r>
        <w:rPr>
          <w:rFonts w:ascii="Segoe UI" w:hAnsi="Segoe UI"/>
        </w:rPr>
        <w:t>base</w:t>
      </w:r>
      <w:r>
        <w:rPr>
          <w:rFonts w:ascii="Segoe UI" w:hAnsi="Segoe UI"/>
          <w:spacing w:val="-5"/>
        </w:rPr>
        <w:t> </w:t>
      </w:r>
      <w:r>
        <w:rPr>
          <w:rFonts w:ascii="Segoe UI" w:hAnsi="Segoe UI"/>
        </w:rPr>
        <w:t>for</w:t>
      </w:r>
      <w:r>
        <w:rPr>
          <w:rFonts w:ascii="Segoe UI" w:hAnsi="Segoe UI"/>
          <w:spacing w:val="-4"/>
        </w:rPr>
        <w:t> </w:t>
      </w:r>
      <w:r>
        <w:rPr>
          <w:rFonts w:ascii="Segoe UI" w:hAnsi="Segoe UI"/>
        </w:rPr>
        <w:t>demand,</w:t>
      </w:r>
      <w:r>
        <w:rPr>
          <w:rFonts w:ascii="Segoe UI" w:hAnsi="Segoe UI"/>
          <w:spacing w:val="-6"/>
        </w:rPr>
        <w:t> </w:t>
      </w:r>
      <w:r>
        <w:rPr>
          <w:rFonts w:ascii="Segoe UI" w:hAnsi="Segoe UI"/>
        </w:rPr>
        <w:t>capacity,</w:t>
      </w:r>
      <w:r>
        <w:rPr>
          <w:rFonts w:ascii="Segoe UI" w:hAnsi="Segoe UI"/>
          <w:spacing w:val="-6"/>
        </w:rPr>
        <w:t> </w:t>
      </w:r>
      <w:r>
        <w:rPr>
          <w:rFonts w:ascii="Segoe UI" w:hAnsi="Segoe UI"/>
        </w:rPr>
        <w:t>performance,</w:t>
      </w:r>
      <w:r>
        <w:rPr>
          <w:rFonts w:ascii="Segoe UI" w:hAnsi="Segoe UI"/>
          <w:spacing w:val="-7"/>
        </w:rPr>
        <w:t> </w:t>
      </w:r>
      <w:r>
        <w:rPr>
          <w:rFonts w:ascii="Segoe UI" w:hAnsi="Segoe UI"/>
        </w:rPr>
        <w:t>workforce and expenditure</w:t>
      </w:r>
    </w:p>
    <w:p>
      <w:pPr>
        <w:pStyle w:val="BodyText"/>
        <w:tabs>
          <w:tab w:pos="1599" w:val="left" w:leader="none"/>
        </w:tabs>
        <w:spacing w:before="2"/>
        <w:ind w:left="1239"/>
        <w:rPr>
          <w:rFonts w:ascii="Segoe UI" w:hAnsi="Segoe UI"/>
        </w:rPr>
      </w:pPr>
      <w:r>
        <w:rPr>
          <w:rFonts w:ascii="Calibri" w:hAnsi="Calibri"/>
          <w:spacing w:val="-10"/>
          <w:sz w:val="20"/>
        </w:rPr>
        <w:t>−</w:t>
      </w:r>
      <w:r>
        <w:rPr>
          <w:rFonts w:ascii="Calibri" w:hAnsi="Calibri"/>
          <w:sz w:val="20"/>
        </w:rPr>
        <w:tab/>
      </w:r>
      <w:r>
        <w:rPr>
          <w:rFonts w:ascii="Segoe UI" w:hAnsi="Segoe UI"/>
        </w:rPr>
        <w:t>Respond</w:t>
      </w:r>
      <w:r>
        <w:rPr>
          <w:rFonts w:ascii="Segoe UI" w:hAnsi="Segoe UI"/>
          <w:spacing w:val="-6"/>
        </w:rPr>
        <w:t> </w:t>
      </w:r>
      <w:r>
        <w:rPr>
          <w:rFonts w:ascii="Segoe UI" w:hAnsi="Segoe UI"/>
        </w:rPr>
        <w:t>positively</w:t>
      </w:r>
      <w:r>
        <w:rPr>
          <w:rFonts w:ascii="Segoe UI" w:hAnsi="Segoe UI"/>
          <w:spacing w:val="-5"/>
        </w:rPr>
        <w:t> </w:t>
      </w:r>
      <w:r>
        <w:rPr>
          <w:rFonts w:ascii="Segoe UI" w:hAnsi="Segoe UI"/>
        </w:rPr>
        <w:t>to</w:t>
      </w:r>
      <w:r>
        <w:rPr>
          <w:rFonts w:ascii="Segoe UI" w:hAnsi="Segoe UI"/>
          <w:spacing w:val="-5"/>
        </w:rPr>
        <w:t> </w:t>
      </w:r>
      <w:r>
        <w:rPr>
          <w:rFonts w:ascii="Segoe UI" w:hAnsi="Segoe UI"/>
        </w:rPr>
        <w:t>GIRFT</w:t>
      </w:r>
      <w:r>
        <w:rPr>
          <w:rFonts w:ascii="Segoe UI" w:hAnsi="Segoe UI"/>
          <w:spacing w:val="-5"/>
        </w:rPr>
        <w:t> </w:t>
      </w:r>
      <w:r>
        <w:rPr>
          <w:rFonts w:ascii="Segoe UI" w:hAnsi="Segoe UI"/>
          <w:spacing w:val="-2"/>
        </w:rPr>
        <w:t>recommendations.</w:t>
      </w:r>
    </w:p>
    <w:p>
      <w:pPr>
        <w:pStyle w:val="BodyText"/>
        <w:tabs>
          <w:tab w:pos="1599" w:val="left" w:leader="none"/>
        </w:tabs>
        <w:spacing w:line="317" w:lineRule="exact"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Deliver</w:t>
      </w:r>
      <w:r>
        <w:rPr>
          <w:rFonts w:ascii="Segoe UI" w:hAnsi="Segoe UI"/>
          <w:spacing w:val="-3"/>
        </w:rPr>
        <w:t> </w:t>
      </w:r>
      <w:r>
        <w:rPr>
          <w:rFonts w:ascii="Segoe UI" w:hAnsi="Segoe UI"/>
        </w:rPr>
        <w:t>against</w:t>
      </w:r>
      <w:r>
        <w:rPr>
          <w:rFonts w:ascii="Segoe UI" w:hAnsi="Segoe UI"/>
          <w:spacing w:val="-5"/>
        </w:rPr>
        <w:t> </w:t>
      </w:r>
      <w:r>
        <w:rPr>
          <w:rFonts w:ascii="Segoe UI" w:hAnsi="Segoe UI"/>
        </w:rPr>
        <w:t>NCSOS</w:t>
      </w:r>
      <w:r>
        <w:rPr>
          <w:rFonts w:ascii="Segoe UI" w:hAnsi="Segoe UI"/>
          <w:spacing w:val="-1"/>
        </w:rPr>
        <w:t> </w:t>
      </w:r>
      <w:r>
        <w:rPr>
          <w:rFonts w:ascii="Segoe UI" w:hAnsi="Segoe UI"/>
          <w:spacing w:val="-2"/>
        </w:rPr>
        <w:t>recommendations.</w:t>
      </w:r>
    </w:p>
    <w:p>
      <w:pPr>
        <w:pStyle w:val="BodyText"/>
        <w:tabs>
          <w:tab w:pos="1599" w:val="left" w:leader="none"/>
        </w:tabs>
        <w:spacing w:line="317" w:lineRule="exact"/>
        <w:ind w:left="1239"/>
        <w:rPr>
          <w:rFonts w:ascii="Segoe UI" w:hAnsi="Segoe UI"/>
        </w:rPr>
      </w:pPr>
      <w:r>
        <w:rPr>
          <w:rFonts w:ascii="Calibri" w:hAnsi="Calibri"/>
          <w:spacing w:val="-10"/>
          <w:sz w:val="20"/>
        </w:rPr>
        <w:t>−</w:t>
      </w:r>
      <w:r>
        <w:rPr>
          <w:rFonts w:ascii="Calibri" w:hAnsi="Calibri"/>
          <w:sz w:val="20"/>
        </w:rPr>
        <w:tab/>
      </w:r>
      <w:r>
        <w:rPr>
          <w:rFonts w:ascii="Segoe UI" w:hAnsi="Segoe UI"/>
        </w:rPr>
        <w:t>Deliver</w:t>
      </w:r>
      <w:r>
        <w:rPr>
          <w:rFonts w:ascii="Segoe UI" w:hAnsi="Segoe UI"/>
          <w:spacing w:val="-5"/>
        </w:rPr>
        <w:t> </w:t>
      </w:r>
      <w:r>
        <w:rPr>
          <w:rFonts w:ascii="Segoe UI" w:hAnsi="Segoe UI"/>
        </w:rPr>
        <w:t>immediate</w:t>
      </w:r>
      <w:r>
        <w:rPr>
          <w:rFonts w:ascii="Segoe UI" w:hAnsi="Segoe UI"/>
          <w:spacing w:val="-4"/>
        </w:rPr>
        <w:t> </w:t>
      </w:r>
      <w:r>
        <w:rPr>
          <w:rFonts w:ascii="Segoe UI" w:hAnsi="Segoe UI"/>
        </w:rPr>
        <w:t>planned</w:t>
      </w:r>
      <w:r>
        <w:rPr>
          <w:rFonts w:ascii="Segoe UI" w:hAnsi="Segoe UI"/>
          <w:spacing w:val="-5"/>
        </w:rPr>
        <w:t> </w:t>
      </w:r>
      <w:r>
        <w:rPr>
          <w:rFonts w:ascii="Segoe UI" w:hAnsi="Segoe UI"/>
        </w:rPr>
        <w:t>care</w:t>
      </w:r>
      <w:r>
        <w:rPr>
          <w:rFonts w:ascii="Segoe UI" w:hAnsi="Segoe UI"/>
          <w:spacing w:val="-4"/>
        </w:rPr>
        <w:t> </w:t>
      </w:r>
      <w:r>
        <w:rPr>
          <w:rFonts w:ascii="Segoe UI" w:hAnsi="Segoe UI"/>
        </w:rPr>
        <w:t>recovery</w:t>
      </w:r>
      <w:r>
        <w:rPr>
          <w:rFonts w:ascii="Segoe UI" w:hAnsi="Segoe UI"/>
          <w:spacing w:val="-4"/>
        </w:rPr>
        <w:t> </w:t>
      </w:r>
      <w:r>
        <w:rPr>
          <w:rFonts w:ascii="Segoe UI" w:hAnsi="Segoe UI"/>
        </w:rPr>
        <w:t>and</w:t>
      </w:r>
      <w:r>
        <w:rPr>
          <w:rFonts w:ascii="Segoe UI" w:hAnsi="Segoe UI"/>
          <w:spacing w:val="-5"/>
        </w:rPr>
        <w:t> </w:t>
      </w:r>
      <w:r>
        <w:rPr>
          <w:rFonts w:ascii="Segoe UI" w:hAnsi="Segoe UI"/>
        </w:rPr>
        <w:t>productivity</w:t>
      </w:r>
      <w:r>
        <w:rPr>
          <w:rFonts w:ascii="Segoe UI" w:hAnsi="Segoe UI"/>
          <w:spacing w:val="-4"/>
        </w:rPr>
        <w:t> </w:t>
      </w:r>
      <w:r>
        <w:rPr>
          <w:rFonts w:ascii="Segoe UI" w:hAnsi="Segoe UI"/>
          <w:spacing w:val="-2"/>
        </w:rPr>
        <w:t>improvements</w:t>
      </w:r>
    </w:p>
    <w:p>
      <w:pPr>
        <w:pStyle w:val="BodyText"/>
        <w:tabs>
          <w:tab w:pos="1599" w:val="left" w:leader="none"/>
        </w:tabs>
        <w:ind w:left="1239"/>
        <w:rPr>
          <w:rFonts w:ascii="Segoe UI" w:hAnsi="Segoe UI"/>
        </w:rPr>
      </w:pPr>
      <w:r>
        <w:rPr>
          <w:rFonts w:ascii="Calibri" w:hAnsi="Calibri"/>
          <w:spacing w:val="-10"/>
          <w:sz w:val="20"/>
        </w:rPr>
        <w:t>−</w:t>
      </w:r>
      <w:r>
        <w:rPr>
          <w:rFonts w:ascii="Calibri" w:hAnsi="Calibri"/>
          <w:sz w:val="20"/>
        </w:rPr>
        <w:tab/>
      </w:r>
      <w:r>
        <w:rPr>
          <w:rFonts w:ascii="Segoe UI" w:hAnsi="Segoe UI"/>
        </w:rPr>
        <w:t>Develop</w:t>
      </w:r>
      <w:r>
        <w:rPr>
          <w:rFonts w:ascii="Segoe UI" w:hAnsi="Segoe UI"/>
          <w:spacing w:val="-8"/>
        </w:rPr>
        <w:t> </w:t>
      </w:r>
      <w:r>
        <w:rPr>
          <w:rFonts w:ascii="Segoe UI" w:hAnsi="Segoe UI"/>
        </w:rPr>
        <w:t>a</w:t>
      </w:r>
      <w:r>
        <w:rPr>
          <w:rFonts w:ascii="Segoe UI" w:hAnsi="Segoe UI"/>
          <w:spacing w:val="-5"/>
        </w:rPr>
        <w:t> </w:t>
      </w:r>
      <w:r>
        <w:rPr>
          <w:rFonts w:ascii="Segoe UI" w:hAnsi="Segoe UI"/>
        </w:rPr>
        <w:t>long-term</w:t>
      </w:r>
      <w:r>
        <w:rPr>
          <w:rFonts w:ascii="Segoe UI" w:hAnsi="Segoe UI"/>
          <w:spacing w:val="-1"/>
        </w:rPr>
        <w:t> </w:t>
      </w:r>
      <w:r>
        <w:rPr>
          <w:rFonts w:ascii="Segoe UI" w:hAnsi="Segoe UI"/>
        </w:rPr>
        <w:t>clinically</w:t>
      </w:r>
      <w:r>
        <w:rPr>
          <w:rFonts w:ascii="Segoe UI" w:hAnsi="Segoe UI"/>
          <w:spacing w:val="-4"/>
        </w:rPr>
        <w:t> </w:t>
      </w:r>
      <w:r>
        <w:rPr>
          <w:rFonts w:ascii="Segoe UI" w:hAnsi="Segoe UI"/>
        </w:rPr>
        <w:t>led</w:t>
      </w:r>
      <w:r>
        <w:rPr>
          <w:rFonts w:ascii="Segoe UI" w:hAnsi="Segoe UI"/>
          <w:spacing w:val="-6"/>
        </w:rPr>
        <w:t> </w:t>
      </w:r>
      <w:r>
        <w:rPr>
          <w:rFonts w:ascii="Segoe UI" w:hAnsi="Segoe UI"/>
        </w:rPr>
        <w:t>regional</w:t>
      </w:r>
      <w:r>
        <w:rPr>
          <w:rFonts w:ascii="Segoe UI" w:hAnsi="Segoe UI"/>
          <w:spacing w:val="-2"/>
        </w:rPr>
        <w:t> </w:t>
      </w:r>
      <w:r>
        <w:rPr>
          <w:rFonts w:ascii="Segoe UI" w:hAnsi="Segoe UI"/>
        </w:rPr>
        <w:t>orthopaedic</w:t>
      </w:r>
      <w:r>
        <w:rPr>
          <w:rFonts w:ascii="Segoe UI" w:hAnsi="Segoe UI"/>
          <w:spacing w:val="-4"/>
        </w:rPr>
        <w:t> </w:t>
      </w:r>
      <w:r>
        <w:rPr>
          <w:rFonts w:ascii="Segoe UI" w:hAnsi="Segoe UI"/>
          <w:spacing w:val="-2"/>
        </w:rPr>
        <w:t>model.</w:t>
      </w:r>
    </w:p>
    <w:p>
      <w:pPr>
        <w:spacing w:before="282"/>
        <w:ind w:left="879" w:right="0" w:firstLine="0"/>
        <w:jc w:val="left"/>
        <w:rPr>
          <w:rFonts w:ascii="Segoe UI"/>
          <w:b/>
          <w:sz w:val="24"/>
        </w:rPr>
      </w:pPr>
      <w:r>
        <w:rPr>
          <w:rFonts w:ascii="Segoe UI"/>
          <w:b/>
          <w:sz w:val="24"/>
        </w:rPr>
        <w:t>Patient</w:t>
      </w:r>
      <w:r>
        <w:rPr>
          <w:rFonts w:ascii="Segoe UI"/>
          <w:b/>
          <w:spacing w:val="-2"/>
          <w:sz w:val="24"/>
        </w:rPr>
        <w:t> Benefits</w:t>
      </w:r>
    </w:p>
    <w:p>
      <w:pPr>
        <w:pStyle w:val="BodyText"/>
        <w:tabs>
          <w:tab w:pos="1599" w:val="left" w:leader="none"/>
        </w:tabs>
        <w:spacing w:before="280"/>
        <w:ind w:left="1239"/>
        <w:rPr>
          <w:rFonts w:ascii="Segoe UI" w:hAnsi="Segoe UI"/>
        </w:rPr>
      </w:pPr>
      <w:r>
        <w:rPr>
          <w:rFonts w:ascii="Calibri" w:hAnsi="Calibri"/>
          <w:spacing w:val="-10"/>
          <w:sz w:val="20"/>
        </w:rPr>
        <w:t>−</w:t>
      </w:r>
      <w:r>
        <w:rPr>
          <w:rFonts w:ascii="Calibri" w:hAnsi="Calibri"/>
          <w:sz w:val="20"/>
        </w:rPr>
        <w:tab/>
      </w:r>
      <w:r>
        <w:rPr>
          <w:rFonts w:ascii="Segoe UI" w:hAnsi="Segoe UI"/>
        </w:rPr>
        <w:t>Reduced</w:t>
      </w:r>
      <w:r>
        <w:rPr>
          <w:rFonts w:ascii="Segoe UI" w:hAnsi="Segoe UI"/>
          <w:spacing w:val="-6"/>
        </w:rPr>
        <w:t> </w:t>
      </w:r>
      <w:r>
        <w:rPr>
          <w:rFonts w:ascii="Segoe UI" w:hAnsi="Segoe UI"/>
        </w:rPr>
        <w:t>waiting</w:t>
      </w:r>
      <w:r>
        <w:rPr>
          <w:rFonts w:ascii="Segoe UI" w:hAnsi="Segoe UI"/>
          <w:spacing w:val="-6"/>
        </w:rPr>
        <w:t> </w:t>
      </w:r>
      <w:r>
        <w:rPr>
          <w:rFonts w:ascii="Segoe UI" w:hAnsi="Segoe UI"/>
          <w:spacing w:val="-2"/>
        </w:rPr>
        <w:t>times.</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Improved</w:t>
      </w:r>
      <w:r>
        <w:rPr>
          <w:rFonts w:ascii="Segoe UI" w:hAnsi="Segoe UI"/>
          <w:spacing w:val="-6"/>
        </w:rPr>
        <w:t> </w:t>
      </w:r>
      <w:r>
        <w:rPr>
          <w:rFonts w:ascii="Segoe UI" w:hAnsi="Segoe UI"/>
        </w:rPr>
        <w:t>and</w:t>
      </w:r>
      <w:r>
        <w:rPr>
          <w:rFonts w:ascii="Segoe UI" w:hAnsi="Segoe UI"/>
          <w:spacing w:val="-6"/>
        </w:rPr>
        <w:t> </w:t>
      </w:r>
      <w:r>
        <w:rPr>
          <w:rFonts w:ascii="Segoe UI" w:hAnsi="Segoe UI"/>
        </w:rPr>
        <w:t>equitable</w:t>
      </w:r>
      <w:r>
        <w:rPr>
          <w:rFonts w:ascii="Segoe UI" w:hAnsi="Segoe UI"/>
          <w:spacing w:val="-4"/>
        </w:rPr>
        <w:t> </w:t>
      </w:r>
      <w:r>
        <w:rPr>
          <w:rFonts w:ascii="Segoe UI" w:hAnsi="Segoe UI"/>
        </w:rPr>
        <w:t>access</w:t>
      </w:r>
      <w:r>
        <w:rPr>
          <w:rFonts w:ascii="Segoe UI" w:hAnsi="Segoe UI"/>
          <w:spacing w:val="-1"/>
        </w:rPr>
        <w:t> </w:t>
      </w:r>
      <w:r>
        <w:rPr>
          <w:rFonts w:ascii="Segoe UI" w:hAnsi="Segoe UI"/>
        </w:rPr>
        <w:t>to</w:t>
      </w:r>
      <w:r>
        <w:rPr>
          <w:rFonts w:ascii="Segoe UI" w:hAnsi="Segoe UI"/>
          <w:spacing w:val="-4"/>
        </w:rPr>
        <w:t> </w:t>
      </w:r>
      <w:r>
        <w:rPr>
          <w:rFonts w:ascii="Segoe UI" w:hAnsi="Segoe UI"/>
          <w:spacing w:val="-2"/>
        </w:rPr>
        <w:t>services.</w:t>
      </w:r>
    </w:p>
    <w:p>
      <w:pPr>
        <w:pStyle w:val="BodyText"/>
        <w:tabs>
          <w:tab w:pos="1599" w:val="left" w:leader="none"/>
        </w:tabs>
        <w:spacing w:line="317" w:lineRule="exact" w:before="2"/>
        <w:ind w:left="1239"/>
        <w:rPr>
          <w:rFonts w:ascii="Segoe UI" w:hAnsi="Segoe UI"/>
        </w:rPr>
      </w:pPr>
      <w:r>
        <w:rPr>
          <w:rFonts w:ascii="Calibri" w:hAnsi="Calibri"/>
          <w:spacing w:val="-10"/>
          <w:sz w:val="20"/>
        </w:rPr>
        <w:t>−</w:t>
      </w:r>
      <w:r>
        <w:rPr>
          <w:rFonts w:ascii="Calibri" w:hAnsi="Calibri"/>
          <w:sz w:val="20"/>
        </w:rPr>
        <w:tab/>
      </w:r>
      <w:r>
        <w:rPr>
          <w:rFonts w:ascii="Segoe UI" w:hAnsi="Segoe UI"/>
        </w:rPr>
        <w:t>Consistent</w:t>
      </w:r>
      <w:r>
        <w:rPr>
          <w:rFonts w:ascii="Segoe UI" w:hAnsi="Segoe UI"/>
          <w:spacing w:val="-8"/>
        </w:rPr>
        <w:t> </w:t>
      </w:r>
      <w:r>
        <w:rPr>
          <w:rFonts w:ascii="Segoe UI" w:hAnsi="Segoe UI"/>
        </w:rPr>
        <w:t>clinical</w:t>
      </w:r>
      <w:r>
        <w:rPr>
          <w:rFonts w:ascii="Segoe UI" w:hAnsi="Segoe UI"/>
          <w:spacing w:val="-5"/>
        </w:rPr>
        <w:t> </w:t>
      </w:r>
      <w:r>
        <w:rPr>
          <w:rFonts w:ascii="Segoe UI" w:hAnsi="Segoe UI"/>
        </w:rPr>
        <w:t>standards</w:t>
      </w:r>
      <w:r>
        <w:rPr>
          <w:rFonts w:ascii="Segoe UI" w:hAnsi="Segoe UI"/>
          <w:spacing w:val="-3"/>
        </w:rPr>
        <w:t> </w:t>
      </w:r>
      <w:r>
        <w:rPr>
          <w:rFonts w:ascii="Segoe UI" w:hAnsi="Segoe UI"/>
        </w:rPr>
        <w:t>across</w:t>
      </w:r>
      <w:r>
        <w:rPr>
          <w:rFonts w:ascii="Segoe UI" w:hAnsi="Segoe UI"/>
          <w:spacing w:val="-4"/>
        </w:rPr>
        <w:t> </w:t>
      </w:r>
      <w:r>
        <w:rPr>
          <w:rFonts w:ascii="Segoe UI" w:hAnsi="Segoe UI"/>
        </w:rPr>
        <w:t>the</w:t>
      </w:r>
      <w:r>
        <w:rPr>
          <w:rFonts w:ascii="Segoe UI" w:hAnsi="Segoe UI"/>
          <w:spacing w:val="-6"/>
        </w:rPr>
        <w:t> </w:t>
      </w:r>
      <w:r>
        <w:rPr>
          <w:rFonts w:ascii="Segoe UI" w:hAnsi="Segoe UI"/>
          <w:spacing w:val="-2"/>
        </w:rPr>
        <w:t>region.</w:t>
      </w:r>
    </w:p>
    <w:p>
      <w:pPr>
        <w:pStyle w:val="BodyText"/>
        <w:tabs>
          <w:tab w:pos="1599" w:val="left" w:leader="none"/>
        </w:tabs>
        <w:spacing w:line="317" w:lineRule="exact"/>
        <w:ind w:left="1239"/>
        <w:rPr>
          <w:rFonts w:ascii="Segoe UI" w:hAnsi="Segoe UI"/>
        </w:rPr>
      </w:pPr>
      <w:r>
        <w:rPr>
          <w:rFonts w:ascii="Calibri" w:hAnsi="Calibri"/>
          <w:spacing w:val="-10"/>
          <w:sz w:val="20"/>
        </w:rPr>
        <w:t>−</w:t>
      </w:r>
      <w:r>
        <w:rPr>
          <w:rFonts w:ascii="Calibri" w:hAnsi="Calibri"/>
          <w:sz w:val="20"/>
        </w:rPr>
        <w:tab/>
      </w:r>
      <w:r>
        <w:rPr>
          <w:rFonts w:ascii="Segoe UI" w:hAnsi="Segoe UI"/>
        </w:rPr>
        <w:t>Reduced</w:t>
      </w:r>
      <w:r>
        <w:rPr>
          <w:rFonts w:ascii="Segoe UI" w:hAnsi="Segoe UI"/>
          <w:spacing w:val="-5"/>
        </w:rPr>
        <w:t> </w:t>
      </w:r>
      <w:r>
        <w:rPr>
          <w:rFonts w:ascii="Segoe UI" w:hAnsi="Segoe UI"/>
        </w:rPr>
        <w:t>unwarranted</w:t>
      </w:r>
      <w:r>
        <w:rPr>
          <w:rFonts w:ascii="Segoe UI" w:hAnsi="Segoe UI"/>
          <w:spacing w:val="-5"/>
        </w:rPr>
        <w:t> </w:t>
      </w:r>
      <w:r>
        <w:rPr>
          <w:rFonts w:ascii="Segoe UI" w:hAnsi="Segoe UI"/>
        </w:rPr>
        <w:t>variation</w:t>
      </w:r>
      <w:r>
        <w:rPr>
          <w:rFonts w:ascii="Segoe UI" w:hAnsi="Segoe UI"/>
          <w:spacing w:val="-5"/>
        </w:rPr>
        <w:t> </w:t>
      </w:r>
      <w:r>
        <w:rPr>
          <w:rFonts w:ascii="Segoe UI" w:hAnsi="Segoe UI"/>
        </w:rPr>
        <w:t>in</w:t>
      </w:r>
      <w:r>
        <w:rPr>
          <w:rFonts w:ascii="Segoe UI" w:hAnsi="Segoe UI"/>
          <w:spacing w:val="-3"/>
        </w:rPr>
        <w:t> </w:t>
      </w:r>
      <w:r>
        <w:rPr>
          <w:rFonts w:ascii="Segoe UI" w:hAnsi="Segoe UI"/>
          <w:spacing w:val="-2"/>
        </w:rPr>
        <w:t>treatment.</w:t>
      </w:r>
    </w:p>
    <w:p>
      <w:pPr>
        <w:pStyle w:val="BodyText"/>
        <w:tabs>
          <w:tab w:pos="1599" w:val="left" w:leader="none"/>
        </w:tabs>
        <w:ind w:left="1239"/>
        <w:rPr>
          <w:rFonts w:ascii="Segoe UI" w:hAnsi="Segoe UI"/>
        </w:rPr>
      </w:pPr>
      <w:r>
        <w:rPr>
          <w:rFonts w:ascii="Calibri" w:hAnsi="Calibri"/>
          <w:spacing w:val="-10"/>
          <w:sz w:val="20"/>
        </w:rPr>
        <w:t>−</w:t>
      </w:r>
      <w:r>
        <w:rPr>
          <w:rFonts w:ascii="Calibri" w:hAnsi="Calibri"/>
          <w:sz w:val="20"/>
        </w:rPr>
        <w:tab/>
      </w:r>
      <w:r>
        <w:rPr>
          <w:rFonts w:ascii="Segoe UI" w:hAnsi="Segoe UI"/>
        </w:rPr>
        <w:t>Improving</w:t>
      </w:r>
      <w:r>
        <w:rPr>
          <w:rFonts w:ascii="Segoe UI" w:hAnsi="Segoe UI"/>
          <w:spacing w:val="-8"/>
        </w:rPr>
        <w:t> </w:t>
      </w:r>
      <w:r>
        <w:rPr>
          <w:rFonts w:ascii="Segoe UI" w:hAnsi="Segoe UI"/>
        </w:rPr>
        <w:t>transparency,</w:t>
      </w:r>
      <w:r>
        <w:rPr>
          <w:rFonts w:ascii="Segoe UI" w:hAnsi="Segoe UI"/>
          <w:spacing w:val="-6"/>
        </w:rPr>
        <w:t> </w:t>
      </w:r>
      <w:r>
        <w:rPr>
          <w:rFonts w:ascii="Segoe UI" w:hAnsi="Segoe UI"/>
        </w:rPr>
        <w:t>communication,</w:t>
      </w:r>
      <w:r>
        <w:rPr>
          <w:rFonts w:ascii="Segoe UI" w:hAnsi="Segoe UI"/>
          <w:spacing w:val="-5"/>
        </w:rPr>
        <w:t> </w:t>
      </w:r>
      <w:r>
        <w:rPr>
          <w:rFonts w:ascii="Segoe UI" w:hAnsi="Segoe UI"/>
        </w:rPr>
        <w:t>and</w:t>
      </w:r>
      <w:r>
        <w:rPr>
          <w:rFonts w:ascii="Segoe UI" w:hAnsi="Segoe UI"/>
          <w:spacing w:val="-6"/>
        </w:rPr>
        <w:t> </w:t>
      </w:r>
      <w:r>
        <w:rPr>
          <w:rFonts w:ascii="Segoe UI" w:hAnsi="Segoe UI"/>
        </w:rPr>
        <w:t>outcomes</w:t>
      </w:r>
      <w:r>
        <w:rPr>
          <w:rFonts w:ascii="Segoe UI" w:hAnsi="Segoe UI"/>
          <w:spacing w:val="-6"/>
        </w:rPr>
        <w:t> </w:t>
      </w:r>
      <w:r>
        <w:rPr>
          <w:rFonts w:ascii="Segoe UI" w:hAnsi="Segoe UI"/>
        </w:rPr>
        <w:t>throughout</w:t>
      </w:r>
      <w:r>
        <w:rPr>
          <w:rFonts w:ascii="Segoe UI" w:hAnsi="Segoe UI"/>
          <w:spacing w:val="-5"/>
        </w:rPr>
        <w:t> </w:t>
      </w:r>
      <w:r>
        <w:rPr>
          <w:rFonts w:ascii="Segoe UI" w:hAnsi="Segoe UI"/>
        </w:rPr>
        <w:t>the</w:t>
      </w:r>
      <w:r>
        <w:rPr>
          <w:rFonts w:ascii="Segoe UI" w:hAnsi="Segoe UI"/>
          <w:spacing w:val="-5"/>
        </w:rPr>
        <w:t> </w:t>
      </w:r>
      <w:r>
        <w:rPr>
          <w:rFonts w:ascii="Segoe UI" w:hAnsi="Segoe UI"/>
        </w:rPr>
        <w:t>patient</w:t>
      </w:r>
      <w:r>
        <w:rPr>
          <w:rFonts w:ascii="Segoe UI" w:hAnsi="Segoe UI"/>
          <w:spacing w:val="-5"/>
        </w:rPr>
        <w:t> </w:t>
      </w:r>
      <w:r>
        <w:rPr>
          <w:rFonts w:ascii="Segoe UI" w:hAnsi="Segoe UI"/>
          <w:spacing w:val="-2"/>
        </w:rPr>
        <w:t>journey.</w:t>
      </w:r>
    </w:p>
    <w:p>
      <w:pPr>
        <w:pStyle w:val="BodyText"/>
        <w:tabs>
          <w:tab w:pos="1599" w:val="left" w:leader="none"/>
        </w:tabs>
        <w:spacing w:before="1"/>
        <w:ind w:left="1599" w:right="1029" w:hanging="360"/>
        <w:rPr>
          <w:rFonts w:ascii="Segoe UI" w:hAnsi="Segoe UI"/>
        </w:rPr>
      </w:pPr>
      <w:r>
        <w:rPr>
          <w:rFonts w:ascii="Calibri" w:hAnsi="Calibri"/>
          <w:spacing w:val="-10"/>
          <w:sz w:val="20"/>
        </w:rPr>
        <w:t>−</w:t>
      </w:r>
      <w:r>
        <w:rPr>
          <w:rFonts w:ascii="Calibri" w:hAnsi="Calibri"/>
          <w:sz w:val="20"/>
        </w:rPr>
        <w:tab/>
      </w:r>
      <w:r>
        <w:rPr>
          <w:rFonts w:ascii="Segoe UI" w:hAnsi="Segoe UI"/>
        </w:rPr>
        <w:t>Embed person-centred support within eye care pathways, including accessible information,</w:t>
      </w:r>
      <w:r>
        <w:rPr>
          <w:rFonts w:ascii="Segoe UI" w:hAnsi="Segoe UI"/>
          <w:spacing w:val="-5"/>
        </w:rPr>
        <w:t> </w:t>
      </w:r>
      <w:r>
        <w:rPr>
          <w:rFonts w:ascii="Segoe UI" w:hAnsi="Segoe UI"/>
        </w:rPr>
        <w:t>emotional</w:t>
      </w:r>
      <w:r>
        <w:rPr>
          <w:rFonts w:ascii="Segoe UI" w:hAnsi="Segoe UI"/>
          <w:spacing w:val="-2"/>
        </w:rPr>
        <w:t> </w:t>
      </w:r>
      <w:r>
        <w:rPr>
          <w:rFonts w:ascii="Segoe UI" w:hAnsi="Segoe UI"/>
        </w:rPr>
        <w:t>support,</w:t>
      </w:r>
      <w:r>
        <w:rPr>
          <w:rFonts w:ascii="Segoe UI" w:hAnsi="Segoe UI"/>
          <w:spacing w:val="-5"/>
        </w:rPr>
        <w:t> </w:t>
      </w:r>
      <w:r>
        <w:rPr>
          <w:rFonts w:ascii="Segoe UI" w:hAnsi="Segoe UI"/>
        </w:rPr>
        <w:t>certification</w:t>
      </w:r>
      <w:r>
        <w:rPr>
          <w:rFonts w:ascii="Segoe UI" w:hAnsi="Segoe UI"/>
          <w:spacing w:val="-5"/>
        </w:rPr>
        <w:t> </w:t>
      </w:r>
      <w:r>
        <w:rPr>
          <w:rFonts w:ascii="Segoe UI" w:hAnsi="Segoe UI"/>
        </w:rPr>
        <w:t>support,</w:t>
      </w:r>
      <w:r>
        <w:rPr>
          <w:rFonts w:ascii="Segoe UI" w:hAnsi="Segoe UI"/>
          <w:spacing w:val="-5"/>
        </w:rPr>
        <w:t> </w:t>
      </w:r>
      <w:r>
        <w:rPr>
          <w:rFonts w:ascii="Segoe UI" w:hAnsi="Segoe UI"/>
        </w:rPr>
        <w:t>and</w:t>
      </w:r>
      <w:r>
        <w:rPr>
          <w:rFonts w:ascii="Segoe UI" w:hAnsi="Segoe UI"/>
          <w:spacing w:val="-5"/>
        </w:rPr>
        <w:t> </w:t>
      </w:r>
      <w:r>
        <w:rPr>
          <w:rFonts w:ascii="Segoe UI" w:hAnsi="Segoe UI"/>
        </w:rPr>
        <w:t>referral</w:t>
      </w:r>
      <w:r>
        <w:rPr>
          <w:rFonts w:ascii="Segoe UI" w:hAnsi="Segoe UI"/>
          <w:spacing w:val="-2"/>
        </w:rPr>
        <w:t> </w:t>
      </w:r>
      <w:r>
        <w:rPr>
          <w:rFonts w:ascii="Segoe UI" w:hAnsi="Segoe UI"/>
        </w:rPr>
        <w:t>to</w:t>
      </w:r>
      <w:r>
        <w:rPr>
          <w:rFonts w:ascii="Segoe UI" w:hAnsi="Segoe UI"/>
          <w:spacing w:val="-4"/>
        </w:rPr>
        <w:t> </w:t>
      </w:r>
      <w:r>
        <w:rPr>
          <w:rFonts w:ascii="Segoe UI" w:hAnsi="Segoe UI"/>
        </w:rPr>
        <w:t>statutory</w:t>
      </w:r>
      <w:r>
        <w:rPr>
          <w:rFonts w:ascii="Segoe UI" w:hAnsi="Segoe UI"/>
          <w:spacing w:val="-4"/>
        </w:rPr>
        <w:t> </w:t>
      </w:r>
      <w:r>
        <w:rPr>
          <w:rFonts w:ascii="Segoe UI" w:hAnsi="Segoe UI"/>
        </w:rPr>
        <w:t>and</w:t>
      </w:r>
      <w:r>
        <w:rPr>
          <w:rFonts w:ascii="Segoe UI" w:hAnsi="Segoe UI"/>
          <w:spacing w:val="-5"/>
        </w:rPr>
        <w:t> </w:t>
      </w:r>
      <w:r>
        <w:rPr>
          <w:rFonts w:ascii="Segoe UI" w:hAnsi="Segoe UI"/>
        </w:rPr>
        <w:t>third-sector services,</w:t>
      </w:r>
    </w:p>
    <w:p>
      <w:pPr>
        <w:pStyle w:val="BodyText"/>
        <w:tabs>
          <w:tab w:pos="1599" w:val="left" w:leader="none"/>
        </w:tabs>
        <w:spacing w:before="3"/>
        <w:ind w:left="1599" w:right="1094" w:hanging="360"/>
        <w:rPr>
          <w:rFonts w:ascii="Segoe UI" w:hAnsi="Segoe UI"/>
        </w:rPr>
      </w:pPr>
      <w:r>
        <w:rPr>
          <w:rFonts w:ascii="Calibri" w:hAnsi="Calibri"/>
          <w:spacing w:val="-10"/>
          <w:sz w:val="20"/>
        </w:rPr>
        <w:t>−</w:t>
      </w:r>
      <w:r>
        <w:rPr>
          <w:rFonts w:ascii="Calibri" w:hAnsi="Calibri"/>
          <w:sz w:val="20"/>
        </w:rPr>
        <w:tab/>
      </w:r>
      <w:r>
        <w:rPr>
          <w:rFonts w:ascii="Segoe UI" w:hAnsi="Segoe UI"/>
        </w:rPr>
        <w:t>Identify</w:t>
      </w:r>
      <w:r>
        <w:rPr>
          <w:rFonts w:ascii="Segoe UI" w:hAnsi="Segoe UI"/>
          <w:spacing w:val="-6"/>
        </w:rPr>
        <w:t> </w:t>
      </w:r>
      <w:r>
        <w:rPr>
          <w:rFonts w:ascii="Segoe UI" w:hAnsi="Segoe UI"/>
        </w:rPr>
        <w:t>and</w:t>
      </w:r>
      <w:r>
        <w:rPr>
          <w:rFonts w:ascii="Segoe UI" w:hAnsi="Segoe UI"/>
          <w:spacing w:val="-2"/>
        </w:rPr>
        <w:t> </w:t>
      </w:r>
      <w:r>
        <w:rPr>
          <w:rFonts w:ascii="Segoe UI" w:hAnsi="Segoe UI"/>
        </w:rPr>
        <w:t>reduce</w:t>
      </w:r>
      <w:r>
        <w:rPr>
          <w:rFonts w:ascii="Segoe UI" w:hAnsi="Segoe UI"/>
          <w:spacing w:val="-6"/>
        </w:rPr>
        <w:t> </w:t>
      </w:r>
      <w:r>
        <w:rPr>
          <w:rFonts w:ascii="Segoe UI" w:hAnsi="Segoe UI"/>
        </w:rPr>
        <w:t>inequalities</w:t>
      </w:r>
      <w:r>
        <w:rPr>
          <w:rFonts w:ascii="Segoe UI" w:hAnsi="Segoe UI"/>
          <w:spacing w:val="-8"/>
        </w:rPr>
        <w:t> </w:t>
      </w:r>
      <w:r>
        <w:rPr>
          <w:rFonts w:ascii="Segoe UI" w:hAnsi="Segoe UI"/>
        </w:rPr>
        <w:t>associated</w:t>
      </w:r>
      <w:r>
        <w:rPr>
          <w:rFonts w:ascii="Segoe UI" w:hAnsi="Segoe UI"/>
          <w:spacing w:val="-7"/>
        </w:rPr>
        <w:t> </w:t>
      </w:r>
      <w:r>
        <w:rPr>
          <w:rFonts w:ascii="Segoe UI" w:hAnsi="Segoe UI"/>
        </w:rPr>
        <w:t>with</w:t>
      </w:r>
      <w:r>
        <w:rPr>
          <w:rFonts w:ascii="Segoe UI" w:hAnsi="Segoe UI"/>
          <w:spacing w:val="-1"/>
        </w:rPr>
        <w:t> </w:t>
      </w:r>
      <w:r>
        <w:rPr>
          <w:rFonts w:ascii="Segoe UI" w:hAnsi="Segoe UI"/>
        </w:rPr>
        <w:t>geography,</w:t>
      </w:r>
      <w:r>
        <w:rPr>
          <w:rFonts w:ascii="Segoe UI" w:hAnsi="Segoe UI"/>
          <w:spacing w:val="-7"/>
        </w:rPr>
        <w:t> </w:t>
      </w:r>
      <w:r>
        <w:rPr>
          <w:rFonts w:ascii="Segoe UI" w:hAnsi="Segoe UI"/>
        </w:rPr>
        <w:t>disability,</w:t>
      </w:r>
      <w:r>
        <w:rPr>
          <w:rFonts w:ascii="Segoe UI" w:hAnsi="Segoe UI"/>
          <w:spacing w:val="-7"/>
        </w:rPr>
        <w:t> </w:t>
      </w:r>
      <w:r>
        <w:rPr>
          <w:rFonts w:ascii="Segoe UI" w:hAnsi="Segoe UI"/>
        </w:rPr>
        <w:t>language,</w:t>
      </w:r>
      <w:r>
        <w:rPr>
          <w:rFonts w:ascii="Segoe UI" w:hAnsi="Segoe UI"/>
          <w:spacing w:val="-7"/>
        </w:rPr>
        <w:t> </w:t>
      </w:r>
      <w:r>
        <w:rPr>
          <w:rFonts w:ascii="Segoe UI" w:hAnsi="Segoe UI"/>
        </w:rPr>
        <w:t>culture, ethnicity, deprivation and digital exclusion</w:t>
      </w:r>
    </w:p>
    <w:p>
      <w:pPr>
        <w:pStyle w:val="BodyText"/>
        <w:tabs>
          <w:tab w:pos="1599" w:val="left" w:leader="none"/>
        </w:tabs>
        <w:ind w:left="1599" w:right="1006" w:hanging="360"/>
        <w:rPr>
          <w:rFonts w:ascii="Segoe UI" w:hAnsi="Segoe UI"/>
        </w:rPr>
      </w:pPr>
      <w:r>
        <w:rPr>
          <w:rFonts w:ascii="Calibri" w:hAnsi="Calibri"/>
          <w:spacing w:val="-10"/>
          <w:sz w:val="20"/>
        </w:rPr>
        <w:t>−</w:t>
      </w:r>
      <w:r>
        <w:rPr>
          <w:rFonts w:ascii="Calibri" w:hAnsi="Calibri"/>
          <w:sz w:val="20"/>
        </w:rPr>
        <w:tab/>
      </w:r>
      <w:r>
        <w:rPr>
          <w:rFonts w:ascii="Segoe UI" w:hAnsi="Segoe UI"/>
        </w:rPr>
        <w:t>Assess</w:t>
      </w:r>
      <w:r>
        <w:rPr>
          <w:rFonts w:ascii="Segoe UI" w:hAnsi="Segoe UI"/>
          <w:spacing w:val="-6"/>
        </w:rPr>
        <w:t> </w:t>
      </w:r>
      <w:r>
        <w:rPr>
          <w:rFonts w:ascii="Segoe UI" w:hAnsi="Segoe UI"/>
        </w:rPr>
        <w:t>and</w:t>
      </w:r>
      <w:r>
        <w:rPr>
          <w:rFonts w:ascii="Segoe UI" w:hAnsi="Segoe UI"/>
          <w:spacing w:val="-6"/>
        </w:rPr>
        <w:t> </w:t>
      </w:r>
      <w:r>
        <w:rPr>
          <w:rFonts w:ascii="Segoe UI" w:hAnsi="Segoe UI"/>
        </w:rPr>
        <w:t>mitigate</w:t>
      </w:r>
      <w:r>
        <w:rPr>
          <w:rFonts w:ascii="Segoe UI" w:hAnsi="Segoe UI"/>
          <w:spacing w:val="-5"/>
        </w:rPr>
        <w:t> </w:t>
      </w:r>
      <w:r>
        <w:rPr>
          <w:rFonts w:ascii="Segoe UI" w:hAnsi="Segoe UI"/>
        </w:rPr>
        <w:t>barriers</w:t>
      </w:r>
      <w:r>
        <w:rPr>
          <w:rFonts w:ascii="Segoe UI" w:hAnsi="Segoe UI"/>
          <w:spacing w:val="-6"/>
        </w:rPr>
        <w:t> </w:t>
      </w:r>
      <w:r>
        <w:rPr>
          <w:rFonts w:ascii="Segoe UI" w:hAnsi="Segoe UI"/>
        </w:rPr>
        <w:t>associated</w:t>
      </w:r>
      <w:r>
        <w:rPr>
          <w:rFonts w:ascii="Segoe UI" w:hAnsi="Segoe UI"/>
          <w:spacing w:val="-6"/>
        </w:rPr>
        <w:t> </w:t>
      </w:r>
      <w:r>
        <w:rPr>
          <w:rFonts w:ascii="Segoe UI" w:hAnsi="Segoe UI"/>
        </w:rPr>
        <w:t>with</w:t>
      </w:r>
      <w:r>
        <w:rPr>
          <w:rFonts w:ascii="Segoe UI" w:hAnsi="Segoe UI"/>
          <w:spacing w:val="-5"/>
        </w:rPr>
        <w:t> </w:t>
      </w:r>
      <w:r>
        <w:rPr>
          <w:rFonts w:ascii="Segoe UI" w:hAnsi="Segoe UI"/>
        </w:rPr>
        <w:t>transport</w:t>
      </w:r>
      <w:r>
        <w:rPr>
          <w:rFonts w:ascii="Segoe UI" w:hAnsi="Segoe UI"/>
          <w:spacing w:val="-6"/>
        </w:rPr>
        <w:t> </w:t>
      </w:r>
      <w:r>
        <w:rPr>
          <w:rFonts w:ascii="Segoe UI" w:hAnsi="Segoe UI"/>
        </w:rPr>
        <w:t>and</w:t>
      </w:r>
      <w:r>
        <w:rPr>
          <w:rFonts w:ascii="Segoe UI" w:hAnsi="Segoe UI"/>
          <w:spacing w:val="-6"/>
        </w:rPr>
        <w:t> </w:t>
      </w:r>
      <w:r>
        <w:rPr>
          <w:rFonts w:ascii="Segoe UI" w:hAnsi="Segoe UI"/>
        </w:rPr>
        <w:t>travel,</w:t>
      </w:r>
      <w:r>
        <w:rPr>
          <w:rFonts w:ascii="Segoe UI" w:hAnsi="Segoe UI"/>
          <w:spacing w:val="-2"/>
        </w:rPr>
        <w:t> </w:t>
      </w:r>
      <w:r>
        <w:rPr>
          <w:rFonts w:ascii="Segoe UI" w:hAnsi="Segoe UI"/>
        </w:rPr>
        <w:t>particularly</w:t>
      </w:r>
      <w:r>
        <w:rPr>
          <w:rFonts w:ascii="Segoe UI" w:hAnsi="Segoe UI"/>
          <w:spacing w:val="-5"/>
        </w:rPr>
        <w:t> </w:t>
      </w:r>
      <w:r>
        <w:rPr>
          <w:rFonts w:ascii="Segoe UI" w:hAnsi="Segoe UI"/>
        </w:rPr>
        <w:t>for</w:t>
      </w:r>
      <w:r>
        <w:rPr>
          <w:rFonts w:ascii="Segoe UI" w:hAnsi="Segoe UI"/>
          <w:spacing w:val="-3"/>
        </w:rPr>
        <w:t> </w:t>
      </w:r>
      <w:r>
        <w:rPr>
          <w:rFonts w:ascii="Segoe UI" w:hAnsi="Segoe UI"/>
        </w:rPr>
        <w:t>patients who cannot drive or who rely on public transport.</w:t>
      </w:r>
    </w:p>
    <w:p>
      <w:pPr>
        <w:spacing w:before="279"/>
        <w:ind w:left="879" w:right="0" w:firstLine="0"/>
        <w:jc w:val="left"/>
        <w:rPr>
          <w:rFonts w:ascii="Segoe UI"/>
          <w:b/>
          <w:sz w:val="24"/>
        </w:rPr>
      </w:pPr>
      <w:r>
        <w:rPr>
          <w:rFonts w:ascii="Segoe UI"/>
          <w:b/>
          <w:sz w:val="24"/>
        </w:rPr>
        <w:t>Clinical</w:t>
      </w:r>
      <w:r>
        <w:rPr>
          <w:rFonts w:ascii="Segoe UI"/>
          <w:b/>
          <w:spacing w:val="-5"/>
          <w:sz w:val="24"/>
        </w:rPr>
        <w:t> </w:t>
      </w:r>
      <w:r>
        <w:rPr>
          <w:rFonts w:ascii="Segoe UI"/>
          <w:b/>
          <w:spacing w:val="-2"/>
          <w:sz w:val="24"/>
        </w:rPr>
        <w:t>Benefits</w:t>
      </w:r>
    </w:p>
    <w:p>
      <w:pPr>
        <w:pStyle w:val="BodyText"/>
        <w:tabs>
          <w:tab w:pos="1599" w:val="left" w:leader="none"/>
        </w:tabs>
        <w:spacing w:before="280"/>
        <w:ind w:left="1239"/>
        <w:rPr>
          <w:rFonts w:ascii="Segoe UI" w:hAnsi="Segoe UI"/>
        </w:rPr>
      </w:pPr>
      <w:r>
        <w:rPr>
          <w:rFonts w:ascii="Calibri" w:hAnsi="Calibri"/>
          <w:spacing w:val="-10"/>
          <w:sz w:val="20"/>
        </w:rPr>
        <w:t>−</w:t>
      </w:r>
      <w:r>
        <w:rPr>
          <w:rFonts w:ascii="Calibri" w:hAnsi="Calibri"/>
          <w:sz w:val="20"/>
        </w:rPr>
        <w:tab/>
      </w:r>
      <w:r>
        <w:rPr>
          <w:rFonts w:ascii="Segoe UI" w:hAnsi="Segoe UI"/>
        </w:rPr>
        <w:t>Increased</w:t>
      </w:r>
      <w:r>
        <w:rPr>
          <w:rFonts w:ascii="Segoe UI" w:hAnsi="Segoe UI"/>
          <w:spacing w:val="-6"/>
        </w:rPr>
        <w:t> </w:t>
      </w:r>
      <w:r>
        <w:rPr>
          <w:rFonts w:ascii="Segoe UI" w:hAnsi="Segoe UI"/>
        </w:rPr>
        <w:t>regional</w:t>
      </w:r>
      <w:r>
        <w:rPr>
          <w:rFonts w:ascii="Segoe UI" w:hAnsi="Segoe UI"/>
          <w:spacing w:val="-3"/>
        </w:rPr>
        <w:t> </w:t>
      </w:r>
      <w:r>
        <w:rPr>
          <w:rFonts w:ascii="Segoe UI" w:hAnsi="Segoe UI"/>
          <w:spacing w:val="-2"/>
        </w:rPr>
        <w:t>collaboration.</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Improved</w:t>
      </w:r>
      <w:r>
        <w:rPr>
          <w:rFonts w:ascii="Segoe UI" w:hAnsi="Segoe UI"/>
          <w:spacing w:val="-7"/>
        </w:rPr>
        <w:t> </w:t>
      </w:r>
      <w:r>
        <w:rPr>
          <w:rFonts w:ascii="Segoe UI" w:hAnsi="Segoe UI"/>
        </w:rPr>
        <w:t>access</w:t>
      </w:r>
      <w:r>
        <w:rPr>
          <w:rFonts w:ascii="Segoe UI" w:hAnsi="Segoe UI"/>
          <w:spacing w:val="-2"/>
        </w:rPr>
        <w:t> </w:t>
      </w:r>
      <w:r>
        <w:rPr>
          <w:rFonts w:ascii="Segoe UI" w:hAnsi="Segoe UI"/>
        </w:rPr>
        <w:t>to</w:t>
      </w:r>
      <w:r>
        <w:rPr>
          <w:rFonts w:ascii="Segoe UI" w:hAnsi="Segoe UI"/>
          <w:spacing w:val="-6"/>
        </w:rPr>
        <w:t> </w:t>
      </w:r>
      <w:r>
        <w:rPr>
          <w:rFonts w:ascii="Segoe UI" w:hAnsi="Segoe UI"/>
        </w:rPr>
        <w:t>specialist</w:t>
      </w:r>
      <w:r>
        <w:rPr>
          <w:rFonts w:ascii="Segoe UI" w:hAnsi="Segoe UI"/>
          <w:spacing w:val="-6"/>
        </w:rPr>
        <w:t> </w:t>
      </w:r>
      <w:r>
        <w:rPr>
          <w:rFonts w:ascii="Segoe UI" w:hAnsi="Segoe UI"/>
          <w:spacing w:val="-2"/>
        </w:rPr>
        <w:t>expertise.</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Enhanced</w:t>
      </w:r>
      <w:r>
        <w:rPr>
          <w:rFonts w:ascii="Segoe UI" w:hAnsi="Segoe UI"/>
          <w:spacing w:val="-10"/>
        </w:rPr>
        <w:t> </w:t>
      </w:r>
      <w:r>
        <w:rPr>
          <w:rFonts w:ascii="Segoe UI" w:hAnsi="Segoe UI"/>
        </w:rPr>
        <w:t>multidisciplinary</w:t>
      </w:r>
      <w:r>
        <w:rPr>
          <w:rFonts w:ascii="Segoe UI" w:hAnsi="Segoe UI"/>
          <w:spacing w:val="-9"/>
        </w:rPr>
        <w:t> </w:t>
      </w:r>
      <w:r>
        <w:rPr>
          <w:rFonts w:ascii="Segoe UI" w:hAnsi="Segoe UI"/>
          <w:spacing w:val="-2"/>
        </w:rPr>
        <w:t>working.</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Stronger</w:t>
      </w:r>
      <w:r>
        <w:rPr>
          <w:rFonts w:ascii="Segoe UI" w:hAnsi="Segoe UI"/>
          <w:spacing w:val="-3"/>
        </w:rPr>
        <w:t> </w:t>
      </w:r>
      <w:r>
        <w:rPr>
          <w:rFonts w:ascii="Segoe UI" w:hAnsi="Segoe UI"/>
        </w:rPr>
        <w:t>clinical</w:t>
      </w:r>
      <w:r>
        <w:rPr>
          <w:rFonts w:ascii="Segoe UI" w:hAnsi="Segoe UI"/>
          <w:spacing w:val="-3"/>
        </w:rPr>
        <w:t> </w:t>
      </w:r>
      <w:r>
        <w:rPr>
          <w:rFonts w:ascii="Segoe UI" w:hAnsi="Segoe UI"/>
          <w:spacing w:val="-2"/>
        </w:rPr>
        <w:t>leadership.</w:t>
      </w:r>
    </w:p>
    <w:p>
      <w:pPr>
        <w:spacing w:before="276"/>
        <w:ind w:left="879" w:right="0" w:firstLine="0"/>
        <w:jc w:val="left"/>
        <w:rPr>
          <w:rFonts w:ascii="Segoe UI"/>
          <w:b/>
          <w:sz w:val="24"/>
        </w:rPr>
      </w:pPr>
      <w:r>
        <w:rPr>
          <w:rFonts w:ascii="Segoe UI"/>
          <w:b/>
          <w:sz w:val="24"/>
        </w:rPr>
        <w:t>Organisational</w:t>
      </w:r>
      <w:r>
        <w:rPr>
          <w:rFonts w:ascii="Segoe UI"/>
          <w:b/>
          <w:spacing w:val="-7"/>
          <w:sz w:val="24"/>
        </w:rPr>
        <w:t> </w:t>
      </w:r>
      <w:r>
        <w:rPr>
          <w:rFonts w:ascii="Segoe UI"/>
          <w:b/>
          <w:spacing w:val="-2"/>
          <w:sz w:val="24"/>
        </w:rPr>
        <w:t>Benefits</w:t>
      </w:r>
    </w:p>
    <w:p>
      <w:pPr>
        <w:pStyle w:val="BodyText"/>
        <w:rPr>
          <w:rFonts w:ascii="Segoe UI"/>
          <w:b/>
          <w:sz w:val="16"/>
        </w:rPr>
      </w:pPr>
    </w:p>
    <w:p>
      <w:pPr>
        <w:pStyle w:val="BodyText"/>
        <w:spacing w:before="97"/>
        <w:rPr>
          <w:rFonts w:ascii="Segoe UI"/>
          <w:b/>
          <w:sz w:val="16"/>
        </w:rPr>
      </w:pPr>
    </w:p>
    <w:p>
      <w:pPr>
        <w:spacing w:before="0"/>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type w:val="continuous"/>
          <w:pgSz w:w="12240" w:h="15840"/>
          <w:pgMar w:header="0" w:footer="147" w:top="760" w:bottom="280" w:left="141" w:right="141"/>
        </w:sectPr>
      </w:pPr>
    </w:p>
    <w:p>
      <w:pPr>
        <w:spacing w:before="78"/>
        <w:ind w:left="0" w:right="873" w:firstLine="0"/>
        <w:jc w:val="right"/>
        <w:rPr>
          <w:rFonts w:ascii="Calibri"/>
          <w:sz w:val="16"/>
        </w:rPr>
      </w:pP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p>
      <w:pPr>
        <w:pStyle w:val="BodyText"/>
        <w:tabs>
          <w:tab w:pos="1599" w:val="left" w:leader="none"/>
        </w:tabs>
        <w:spacing w:line="317" w:lineRule="exact" w:before="53"/>
        <w:ind w:left="1239"/>
        <w:rPr>
          <w:rFonts w:ascii="Segoe UI" w:hAnsi="Segoe UI"/>
        </w:rPr>
      </w:pPr>
      <w:r>
        <w:rPr>
          <w:rFonts w:ascii="Calibri" w:hAnsi="Calibri"/>
          <w:spacing w:val="-10"/>
          <w:sz w:val="20"/>
        </w:rPr>
        <w:t>−</w:t>
      </w:r>
      <w:r>
        <w:rPr>
          <w:rFonts w:ascii="Calibri" w:hAnsi="Calibri"/>
          <w:sz w:val="20"/>
        </w:rPr>
        <w:tab/>
      </w:r>
      <w:r>
        <w:rPr>
          <w:rFonts w:ascii="Segoe UI" w:hAnsi="Segoe UI"/>
        </w:rPr>
        <w:t>Improved</w:t>
      </w:r>
      <w:r>
        <w:rPr>
          <w:rFonts w:ascii="Segoe UI" w:hAnsi="Segoe UI"/>
          <w:spacing w:val="-7"/>
        </w:rPr>
        <w:t> </w:t>
      </w:r>
      <w:r>
        <w:rPr>
          <w:rFonts w:ascii="Segoe UI" w:hAnsi="Segoe UI"/>
        </w:rPr>
        <w:t>utilisation</w:t>
      </w:r>
      <w:r>
        <w:rPr>
          <w:rFonts w:ascii="Segoe UI" w:hAnsi="Segoe UI"/>
          <w:spacing w:val="-5"/>
        </w:rPr>
        <w:t> </w:t>
      </w:r>
      <w:r>
        <w:rPr>
          <w:rFonts w:ascii="Segoe UI" w:hAnsi="Segoe UI"/>
        </w:rPr>
        <w:t>of</w:t>
      </w:r>
      <w:r>
        <w:rPr>
          <w:rFonts w:ascii="Segoe UI" w:hAnsi="Segoe UI"/>
          <w:spacing w:val="-4"/>
        </w:rPr>
        <w:t> </w:t>
      </w:r>
      <w:r>
        <w:rPr>
          <w:rFonts w:ascii="Segoe UI" w:hAnsi="Segoe UI"/>
        </w:rPr>
        <w:t>workforce</w:t>
      </w:r>
      <w:r>
        <w:rPr>
          <w:rFonts w:ascii="Segoe UI" w:hAnsi="Segoe UI"/>
          <w:spacing w:val="-4"/>
        </w:rPr>
        <w:t> </w:t>
      </w:r>
      <w:r>
        <w:rPr>
          <w:rFonts w:ascii="Segoe UI" w:hAnsi="Segoe UI"/>
        </w:rPr>
        <w:t>and</w:t>
      </w:r>
      <w:r>
        <w:rPr>
          <w:rFonts w:ascii="Segoe UI" w:hAnsi="Segoe UI"/>
          <w:spacing w:val="-5"/>
        </w:rPr>
        <w:t> </w:t>
      </w:r>
      <w:r>
        <w:rPr>
          <w:rFonts w:ascii="Segoe UI" w:hAnsi="Segoe UI"/>
        </w:rPr>
        <w:t>theatre</w:t>
      </w:r>
      <w:r>
        <w:rPr>
          <w:rFonts w:ascii="Segoe UI" w:hAnsi="Segoe UI"/>
          <w:spacing w:val="-4"/>
        </w:rPr>
        <w:t> </w:t>
      </w:r>
      <w:r>
        <w:rPr>
          <w:rFonts w:ascii="Segoe UI" w:hAnsi="Segoe UI"/>
          <w:spacing w:val="-2"/>
        </w:rPr>
        <w:t>capacity.</w:t>
      </w:r>
    </w:p>
    <w:p>
      <w:pPr>
        <w:pStyle w:val="BodyText"/>
        <w:tabs>
          <w:tab w:pos="1599" w:val="left" w:leader="none"/>
        </w:tabs>
        <w:spacing w:line="317" w:lineRule="exact"/>
        <w:ind w:left="1239"/>
        <w:rPr>
          <w:rFonts w:ascii="Segoe UI" w:hAnsi="Segoe UI"/>
        </w:rPr>
      </w:pPr>
      <w:r>
        <w:rPr>
          <w:rFonts w:ascii="Calibri" w:hAnsi="Calibri"/>
          <w:spacing w:val="-10"/>
          <w:sz w:val="20"/>
        </w:rPr>
        <w:t>−</w:t>
      </w:r>
      <w:r>
        <w:rPr>
          <w:rFonts w:ascii="Calibri" w:hAnsi="Calibri"/>
          <w:sz w:val="20"/>
        </w:rPr>
        <w:tab/>
      </w:r>
      <w:r>
        <w:rPr>
          <w:rFonts w:ascii="Segoe UI" w:hAnsi="Segoe UI"/>
        </w:rPr>
        <w:t>Better</w:t>
      </w:r>
      <w:r>
        <w:rPr>
          <w:rFonts w:ascii="Segoe UI" w:hAnsi="Segoe UI"/>
          <w:spacing w:val="-4"/>
        </w:rPr>
        <w:t> </w:t>
      </w:r>
      <w:r>
        <w:rPr>
          <w:rFonts w:ascii="Segoe UI" w:hAnsi="Segoe UI"/>
        </w:rPr>
        <w:t>demand</w:t>
      </w:r>
      <w:r>
        <w:rPr>
          <w:rFonts w:ascii="Segoe UI" w:hAnsi="Segoe UI"/>
          <w:spacing w:val="-6"/>
        </w:rPr>
        <w:t> </w:t>
      </w:r>
      <w:r>
        <w:rPr>
          <w:rFonts w:ascii="Segoe UI" w:hAnsi="Segoe UI"/>
        </w:rPr>
        <w:t>and</w:t>
      </w:r>
      <w:r>
        <w:rPr>
          <w:rFonts w:ascii="Segoe UI" w:hAnsi="Segoe UI"/>
          <w:spacing w:val="-7"/>
        </w:rPr>
        <w:t> </w:t>
      </w:r>
      <w:r>
        <w:rPr>
          <w:rFonts w:ascii="Segoe UI" w:hAnsi="Segoe UI"/>
        </w:rPr>
        <w:t>capacity</w:t>
      </w:r>
      <w:r>
        <w:rPr>
          <w:rFonts w:ascii="Segoe UI" w:hAnsi="Segoe UI"/>
          <w:spacing w:val="-1"/>
        </w:rPr>
        <w:t> </w:t>
      </w:r>
      <w:r>
        <w:rPr>
          <w:rFonts w:ascii="Segoe UI" w:hAnsi="Segoe UI"/>
          <w:spacing w:val="-2"/>
        </w:rPr>
        <w:t>planning.</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Improved</w:t>
      </w:r>
      <w:r>
        <w:rPr>
          <w:rFonts w:ascii="Segoe UI" w:hAnsi="Segoe UI"/>
          <w:spacing w:val="-8"/>
        </w:rPr>
        <w:t> </w:t>
      </w:r>
      <w:r>
        <w:rPr>
          <w:rFonts w:ascii="Segoe UI" w:hAnsi="Segoe UI"/>
        </w:rPr>
        <w:t>regional</w:t>
      </w:r>
      <w:r>
        <w:rPr>
          <w:rFonts w:ascii="Segoe UI" w:hAnsi="Segoe UI"/>
          <w:spacing w:val="-5"/>
        </w:rPr>
        <w:t> </w:t>
      </w:r>
      <w:r>
        <w:rPr>
          <w:rFonts w:ascii="Segoe UI" w:hAnsi="Segoe UI"/>
        </w:rPr>
        <w:t>performance</w:t>
      </w:r>
      <w:r>
        <w:rPr>
          <w:rFonts w:ascii="Segoe UI" w:hAnsi="Segoe UI"/>
          <w:spacing w:val="-6"/>
        </w:rPr>
        <w:t> </w:t>
      </w:r>
      <w:r>
        <w:rPr>
          <w:rFonts w:ascii="Segoe UI" w:hAnsi="Segoe UI"/>
          <w:spacing w:val="-2"/>
        </w:rPr>
        <w:t>management.</w:t>
      </w:r>
    </w:p>
    <w:p>
      <w:pPr>
        <w:pStyle w:val="BodyText"/>
        <w:tabs>
          <w:tab w:pos="1599" w:val="left" w:leader="none"/>
        </w:tabs>
        <w:spacing w:before="1"/>
        <w:ind w:left="1599" w:right="1491" w:hanging="360"/>
        <w:rPr>
          <w:rFonts w:ascii="Segoe UI" w:hAnsi="Segoe UI"/>
        </w:rPr>
      </w:pPr>
      <w:r>
        <w:rPr>
          <w:rFonts w:ascii="Calibri" w:hAnsi="Calibri"/>
          <w:spacing w:val="-10"/>
          <w:sz w:val="20"/>
        </w:rPr>
        <w:t>−</w:t>
      </w:r>
      <w:r>
        <w:rPr>
          <w:rFonts w:ascii="Calibri" w:hAnsi="Calibri"/>
          <w:sz w:val="20"/>
        </w:rPr>
        <w:tab/>
      </w:r>
      <w:r>
        <w:rPr>
          <w:rFonts w:ascii="Segoe UI" w:hAnsi="Segoe UI"/>
        </w:rPr>
        <w:t>Develop</w:t>
      </w:r>
      <w:r>
        <w:rPr>
          <w:rFonts w:ascii="Segoe UI" w:hAnsi="Segoe UI"/>
          <w:spacing w:val="-7"/>
        </w:rPr>
        <w:t> </w:t>
      </w:r>
      <w:r>
        <w:rPr>
          <w:rFonts w:ascii="Segoe UI" w:hAnsi="Segoe UI"/>
        </w:rPr>
        <w:t>evidence-based</w:t>
      </w:r>
      <w:r>
        <w:rPr>
          <w:rFonts w:ascii="Segoe UI" w:hAnsi="Segoe UI"/>
          <w:spacing w:val="-7"/>
        </w:rPr>
        <w:t> </w:t>
      </w:r>
      <w:r>
        <w:rPr>
          <w:rFonts w:ascii="Segoe UI" w:hAnsi="Segoe UI"/>
        </w:rPr>
        <w:t>options</w:t>
      </w:r>
      <w:r>
        <w:rPr>
          <w:rFonts w:ascii="Segoe UI" w:hAnsi="Segoe UI"/>
          <w:spacing w:val="-7"/>
        </w:rPr>
        <w:t> </w:t>
      </w:r>
      <w:r>
        <w:rPr>
          <w:rFonts w:ascii="Segoe UI" w:hAnsi="Segoe UI"/>
        </w:rPr>
        <w:t>for sustainable</w:t>
      </w:r>
      <w:r>
        <w:rPr>
          <w:rFonts w:ascii="Segoe UI" w:hAnsi="Segoe UI"/>
          <w:spacing w:val="-2"/>
        </w:rPr>
        <w:t> </w:t>
      </w:r>
      <w:r>
        <w:rPr>
          <w:rFonts w:ascii="Segoe UI" w:hAnsi="Segoe UI"/>
        </w:rPr>
        <w:t>regional</w:t>
      </w:r>
      <w:r>
        <w:rPr>
          <w:rFonts w:ascii="Segoe UI" w:hAnsi="Segoe UI"/>
          <w:spacing w:val="-4"/>
        </w:rPr>
        <w:t> </w:t>
      </w:r>
      <w:r>
        <w:rPr>
          <w:rFonts w:ascii="Segoe UI" w:hAnsi="Segoe UI"/>
        </w:rPr>
        <w:t>on-call,</w:t>
      </w:r>
      <w:r>
        <w:rPr>
          <w:rFonts w:ascii="Segoe UI" w:hAnsi="Segoe UI"/>
          <w:spacing w:val="-7"/>
        </w:rPr>
        <w:t> </w:t>
      </w:r>
      <w:r>
        <w:rPr>
          <w:rFonts w:ascii="Segoe UI" w:hAnsi="Segoe UI"/>
        </w:rPr>
        <w:t>cataract</w:t>
      </w:r>
      <w:r>
        <w:rPr>
          <w:rFonts w:ascii="Segoe UI" w:hAnsi="Segoe UI"/>
          <w:spacing w:val="-3"/>
        </w:rPr>
        <w:t> </w:t>
      </w:r>
      <w:r>
        <w:rPr>
          <w:rFonts w:ascii="Segoe UI" w:hAnsi="Segoe UI"/>
        </w:rPr>
        <w:t>and</w:t>
      </w:r>
      <w:r>
        <w:rPr>
          <w:rFonts w:ascii="Segoe UI" w:hAnsi="Segoe UI"/>
          <w:spacing w:val="-7"/>
        </w:rPr>
        <w:t> </w:t>
      </w:r>
      <w:r>
        <w:rPr>
          <w:rFonts w:ascii="Segoe UI" w:hAnsi="Segoe UI"/>
        </w:rPr>
        <w:t>wider service models.</w:t>
      </w:r>
    </w:p>
    <w:p>
      <w:pPr>
        <w:pStyle w:val="BodyText"/>
        <w:tabs>
          <w:tab w:pos="1599" w:val="left" w:leader="none"/>
        </w:tabs>
        <w:spacing w:before="2"/>
        <w:ind w:left="1239"/>
        <w:rPr>
          <w:rFonts w:ascii="Segoe UI" w:hAnsi="Segoe UI"/>
        </w:rPr>
      </w:pPr>
      <w:r>
        <w:rPr>
          <w:rFonts w:ascii="Calibri" w:hAnsi="Calibri"/>
          <w:spacing w:val="-10"/>
          <w:sz w:val="20"/>
        </w:rPr>
        <w:t>−</w:t>
      </w:r>
      <w:r>
        <w:rPr>
          <w:rFonts w:ascii="Calibri" w:hAnsi="Calibri"/>
          <w:sz w:val="20"/>
        </w:rPr>
        <w:tab/>
      </w:r>
      <w:r>
        <w:rPr>
          <w:rFonts w:ascii="Segoe UI" w:hAnsi="Segoe UI"/>
        </w:rPr>
        <w:t>Progress</w:t>
      </w:r>
      <w:r>
        <w:rPr>
          <w:rFonts w:ascii="Segoe UI" w:hAnsi="Segoe UI"/>
          <w:spacing w:val="-9"/>
        </w:rPr>
        <w:t> </w:t>
      </w:r>
      <w:r>
        <w:rPr>
          <w:rFonts w:ascii="Segoe UI" w:hAnsi="Segoe UI"/>
        </w:rPr>
        <w:t>Digital</w:t>
      </w:r>
      <w:r>
        <w:rPr>
          <w:rFonts w:ascii="Segoe UI" w:hAnsi="Segoe UI"/>
          <w:spacing w:val="-5"/>
        </w:rPr>
        <w:t> </w:t>
      </w:r>
      <w:r>
        <w:rPr>
          <w:rFonts w:ascii="Segoe UI" w:hAnsi="Segoe UI"/>
        </w:rPr>
        <w:t>convergence</w:t>
      </w:r>
      <w:r>
        <w:rPr>
          <w:rFonts w:ascii="Segoe UI" w:hAnsi="Segoe UI"/>
          <w:spacing w:val="-2"/>
        </w:rPr>
        <w:t> </w:t>
      </w:r>
      <w:r>
        <w:rPr>
          <w:rFonts w:ascii="Segoe UI" w:hAnsi="Segoe UI"/>
        </w:rPr>
        <w:t>and</w:t>
      </w:r>
      <w:r>
        <w:rPr>
          <w:rFonts w:ascii="Segoe UI" w:hAnsi="Segoe UI"/>
          <w:spacing w:val="-3"/>
        </w:rPr>
        <w:t> </w:t>
      </w:r>
      <w:r>
        <w:rPr>
          <w:rFonts w:ascii="Segoe UI" w:hAnsi="Segoe UI"/>
        </w:rPr>
        <w:t>OpenEyes</w:t>
      </w:r>
      <w:r>
        <w:rPr>
          <w:rFonts w:ascii="Segoe UI" w:hAnsi="Segoe UI"/>
          <w:spacing w:val="-8"/>
        </w:rPr>
        <w:t> </w:t>
      </w:r>
      <w:r>
        <w:rPr>
          <w:rFonts w:ascii="Segoe UI" w:hAnsi="Segoe UI"/>
          <w:spacing w:val="-2"/>
        </w:rPr>
        <w:t>enablement.</w:t>
      </w:r>
    </w:p>
    <w:p>
      <w:pPr>
        <w:pStyle w:val="BodyText"/>
        <w:tabs>
          <w:tab w:pos="1599" w:val="left" w:leader="none"/>
        </w:tabs>
        <w:ind w:left="1239"/>
        <w:rPr>
          <w:rFonts w:ascii="Segoe UI" w:hAnsi="Segoe UI"/>
        </w:rPr>
      </w:pPr>
      <w:r>
        <w:rPr>
          <w:rFonts w:ascii="Calibri" w:hAnsi="Calibri"/>
          <w:spacing w:val="-10"/>
          <w:sz w:val="20"/>
        </w:rPr>
        <w:t>−</w:t>
      </w:r>
      <w:r>
        <w:rPr>
          <w:rFonts w:ascii="Calibri" w:hAnsi="Calibri"/>
          <w:sz w:val="20"/>
        </w:rPr>
        <w:tab/>
      </w:r>
      <w:r>
        <w:rPr>
          <w:rFonts w:ascii="Segoe UI" w:hAnsi="Segoe UI"/>
        </w:rPr>
        <w:t>Increased</w:t>
      </w:r>
      <w:r>
        <w:rPr>
          <w:rFonts w:ascii="Segoe UI" w:hAnsi="Segoe UI"/>
          <w:spacing w:val="-5"/>
        </w:rPr>
        <w:t> </w:t>
      </w:r>
      <w:r>
        <w:rPr>
          <w:rFonts w:ascii="Segoe UI" w:hAnsi="Segoe UI"/>
        </w:rPr>
        <w:t>system-wide</w:t>
      </w:r>
      <w:r>
        <w:rPr>
          <w:rFonts w:ascii="Segoe UI" w:hAnsi="Segoe UI"/>
          <w:spacing w:val="-7"/>
        </w:rPr>
        <w:t> </w:t>
      </w:r>
      <w:r>
        <w:rPr>
          <w:rFonts w:ascii="Segoe UI" w:hAnsi="Segoe UI"/>
          <w:spacing w:val="-2"/>
        </w:rPr>
        <w:t>efficiency.</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Stronger</w:t>
      </w:r>
      <w:r>
        <w:rPr>
          <w:rFonts w:ascii="Segoe UI" w:hAnsi="Segoe UI"/>
          <w:spacing w:val="-4"/>
        </w:rPr>
        <w:t> </w:t>
      </w:r>
      <w:r>
        <w:rPr>
          <w:rFonts w:ascii="Segoe UI" w:hAnsi="Segoe UI"/>
        </w:rPr>
        <w:t>regional</w:t>
      </w:r>
      <w:r>
        <w:rPr>
          <w:rFonts w:ascii="Segoe UI" w:hAnsi="Segoe UI"/>
          <w:spacing w:val="-4"/>
        </w:rPr>
        <w:t> </w:t>
      </w:r>
      <w:r>
        <w:rPr>
          <w:rFonts w:ascii="Segoe UI" w:hAnsi="Segoe UI"/>
          <w:spacing w:val="-2"/>
        </w:rPr>
        <w:t>accountability.</w:t>
      </w:r>
    </w:p>
    <w:p>
      <w:pPr>
        <w:spacing w:before="281"/>
        <w:ind w:left="879" w:right="0" w:firstLine="0"/>
        <w:jc w:val="left"/>
        <w:rPr>
          <w:rFonts w:ascii="Segoe UI"/>
          <w:b/>
          <w:sz w:val="24"/>
        </w:rPr>
      </w:pPr>
      <w:r>
        <w:rPr>
          <w:rFonts w:ascii="Segoe UI"/>
          <w:b/>
          <w:sz w:val="24"/>
        </w:rPr>
        <w:t>Strategic</w:t>
      </w:r>
      <w:r>
        <w:rPr>
          <w:rFonts w:ascii="Segoe UI"/>
          <w:b/>
          <w:spacing w:val="-2"/>
          <w:sz w:val="24"/>
        </w:rPr>
        <w:t> Benefits</w:t>
      </w:r>
    </w:p>
    <w:p>
      <w:pPr>
        <w:pStyle w:val="BodyText"/>
        <w:tabs>
          <w:tab w:pos="1599" w:val="left" w:leader="none"/>
        </w:tabs>
        <w:spacing w:line="276" w:lineRule="auto" w:before="276"/>
        <w:ind w:left="1599" w:right="936" w:hanging="360"/>
        <w:rPr>
          <w:rFonts w:ascii="Segoe UI" w:hAnsi="Segoe UI"/>
        </w:rPr>
      </w:pPr>
      <w:r>
        <w:rPr>
          <w:rFonts w:ascii="Calibri" w:hAnsi="Calibri"/>
          <w:spacing w:val="-10"/>
          <w:sz w:val="20"/>
        </w:rPr>
        <w:t>−</w:t>
      </w:r>
      <w:r>
        <w:rPr>
          <w:rFonts w:ascii="Calibri" w:hAnsi="Calibri"/>
          <w:sz w:val="20"/>
        </w:rPr>
        <w:tab/>
      </w:r>
      <w:r>
        <w:rPr>
          <w:rFonts w:ascii="Segoe UI" w:hAnsi="Segoe UI"/>
        </w:rPr>
        <w:t>Supports delivery of the Regional Clinical Services Planning Subgroup objectives set by the RJC by progressing aligned, evidence-led regional service planning and delivery that improves</w:t>
      </w:r>
      <w:r>
        <w:rPr>
          <w:rFonts w:ascii="Segoe UI" w:hAnsi="Segoe UI"/>
          <w:spacing w:val="-6"/>
        </w:rPr>
        <w:t> </w:t>
      </w:r>
      <w:r>
        <w:rPr>
          <w:rFonts w:ascii="Segoe UI" w:hAnsi="Segoe UI"/>
        </w:rPr>
        <w:t>resilience,</w:t>
      </w:r>
      <w:r>
        <w:rPr>
          <w:rFonts w:ascii="Segoe UI" w:hAnsi="Segoe UI"/>
          <w:spacing w:val="-7"/>
        </w:rPr>
        <w:t> </w:t>
      </w:r>
      <w:r>
        <w:rPr>
          <w:rFonts w:ascii="Segoe UI" w:hAnsi="Segoe UI"/>
        </w:rPr>
        <w:t>equity,</w:t>
      </w:r>
      <w:r>
        <w:rPr>
          <w:rFonts w:ascii="Segoe UI" w:hAnsi="Segoe UI"/>
          <w:spacing w:val="-6"/>
        </w:rPr>
        <w:t> </w:t>
      </w:r>
      <w:r>
        <w:rPr>
          <w:rFonts w:ascii="Segoe UI" w:hAnsi="Segoe UI"/>
        </w:rPr>
        <w:t>outcomes</w:t>
      </w:r>
      <w:r>
        <w:rPr>
          <w:rFonts w:ascii="Segoe UI" w:hAnsi="Segoe UI"/>
          <w:spacing w:val="-6"/>
        </w:rPr>
        <w:t> </w:t>
      </w:r>
      <w:r>
        <w:rPr>
          <w:rFonts w:ascii="Segoe UI" w:hAnsi="Segoe UI"/>
        </w:rPr>
        <w:t>and</w:t>
      </w:r>
      <w:r>
        <w:rPr>
          <w:rFonts w:ascii="Segoe UI" w:hAnsi="Segoe UI"/>
          <w:spacing w:val="-6"/>
        </w:rPr>
        <w:t> </w:t>
      </w:r>
      <w:r>
        <w:rPr>
          <w:rFonts w:ascii="Segoe UI" w:hAnsi="Segoe UI"/>
        </w:rPr>
        <w:t>value,</w:t>
      </w:r>
      <w:r>
        <w:rPr>
          <w:rFonts w:ascii="Segoe UI" w:hAnsi="Segoe UI"/>
          <w:spacing w:val="-2"/>
        </w:rPr>
        <w:t> </w:t>
      </w:r>
      <w:r>
        <w:rPr>
          <w:rFonts w:ascii="Segoe UI" w:hAnsi="Segoe UI"/>
        </w:rPr>
        <w:t>while</w:t>
      </w:r>
      <w:r>
        <w:rPr>
          <w:rFonts w:ascii="Segoe UI" w:hAnsi="Segoe UI"/>
          <w:spacing w:val="-5"/>
        </w:rPr>
        <w:t> </w:t>
      </w:r>
      <w:r>
        <w:rPr>
          <w:rFonts w:ascii="Segoe UI" w:hAnsi="Segoe UI"/>
        </w:rPr>
        <w:t>managing</w:t>
      </w:r>
      <w:r>
        <w:rPr>
          <w:rFonts w:ascii="Segoe UI" w:hAnsi="Segoe UI"/>
          <w:spacing w:val="-1"/>
        </w:rPr>
        <w:t> </w:t>
      </w:r>
      <w:r>
        <w:rPr>
          <w:rFonts w:ascii="Segoe UI" w:hAnsi="Segoe UI"/>
        </w:rPr>
        <w:t>dependencies,</w:t>
      </w:r>
      <w:r>
        <w:rPr>
          <w:rFonts w:ascii="Segoe UI" w:hAnsi="Segoe UI"/>
          <w:spacing w:val="-2"/>
        </w:rPr>
        <w:t> </w:t>
      </w:r>
      <w:r>
        <w:rPr>
          <w:rFonts w:ascii="Segoe UI" w:hAnsi="Segoe UI"/>
        </w:rPr>
        <w:t>risks</w:t>
      </w:r>
      <w:r>
        <w:rPr>
          <w:rFonts w:ascii="Segoe UI" w:hAnsi="Segoe UI"/>
          <w:spacing w:val="-5"/>
        </w:rPr>
        <w:t> </w:t>
      </w:r>
      <w:r>
        <w:rPr>
          <w:rFonts w:ascii="Segoe UI" w:hAnsi="Segoe UI"/>
        </w:rPr>
        <w:t>and governance across partner organisations.</w:t>
      </w:r>
    </w:p>
    <w:p>
      <w:pPr>
        <w:pStyle w:val="BodyText"/>
        <w:tabs>
          <w:tab w:pos="1599" w:val="left" w:leader="none"/>
        </w:tabs>
        <w:spacing w:before="2"/>
        <w:ind w:left="1239"/>
        <w:rPr>
          <w:rFonts w:ascii="Segoe UI" w:hAnsi="Segoe UI"/>
        </w:rPr>
      </w:pPr>
      <w:r>
        <w:rPr>
          <w:rFonts w:ascii="Calibri" w:hAnsi="Calibri"/>
          <w:spacing w:val="-10"/>
          <w:sz w:val="20"/>
        </w:rPr>
        <w:t>−</w:t>
      </w:r>
      <w:r>
        <w:rPr>
          <w:rFonts w:ascii="Calibri" w:hAnsi="Calibri"/>
          <w:sz w:val="20"/>
        </w:rPr>
        <w:tab/>
      </w:r>
      <w:r>
        <w:rPr>
          <w:rFonts w:ascii="Segoe UI" w:hAnsi="Segoe UI"/>
        </w:rPr>
        <w:t>Supports</w:t>
      </w:r>
      <w:r>
        <w:rPr>
          <w:rFonts w:ascii="Segoe UI" w:hAnsi="Segoe UI"/>
          <w:spacing w:val="-8"/>
        </w:rPr>
        <w:t> </w:t>
      </w:r>
      <w:r>
        <w:rPr>
          <w:rFonts w:ascii="Segoe UI" w:hAnsi="Segoe UI"/>
        </w:rPr>
        <w:t>national</w:t>
      </w:r>
      <w:r>
        <w:rPr>
          <w:rFonts w:ascii="Segoe UI" w:hAnsi="Segoe UI"/>
          <w:spacing w:val="-4"/>
        </w:rPr>
        <w:t> </w:t>
      </w:r>
      <w:r>
        <w:rPr>
          <w:rFonts w:ascii="Segoe UI" w:hAnsi="Segoe UI"/>
        </w:rPr>
        <w:t>policy</w:t>
      </w:r>
      <w:r>
        <w:rPr>
          <w:rFonts w:ascii="Segoe UI" w:hAnsi="Segoe UI"/>
          <w:spacing w:val="-6"/>
        </w:rPr>
        <w:t> </w:t>
      </w:r>
      <w:r>
        <w:rPr>
          <w:rFonts w:ascii="Segoe UI" w:hAnsi="Segoe UI"/>
          <w:spacing w:val="-2"/>
        </w:rPr>
        <w:t>direction.</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Creates</w:t>
      </w:r>
      <w:r>
        <w:rPr>
          <w:rFonts w:ascii="Segoe UI" w:hAnsi="Segoe UI"/>
          <w:spacing w:val="-7"/>
        </w:rPr>
        <w:t> </w:t>
      </w:r>
      <w:r>
        <w:rPr>
          <w:rFonts w:ascii="Segoe UI" w:hAnsi="Segoe UI"/>
        </w:rPr>
        <w:t>foundations</w:t>
      </w:r>
      <w:r>
        <w:rPr>
          <w:rFonts w:ascii="Segoe UI" w:hAnsi="Segoe UI"/>
          <w:spacing w:val="-6"/>
        </w:rPr>
        <w:t> </w:t>
      </w:r>
      <w:r>
        <w:rPr>
          <w:rFonts w:ascii="Segoe UI" w:hAnsi="Segoe UI"/>
        </w:rPr>
        <w:t>for</w:t>
      </w:r>
      <w:r>
        <w:rPr>
          <w:rFonts w:ascii="Segoe UI" w:hAnsi="Segoe UI"/>
          <w:spacing w:val="-3"/>
        </w:rPr>
        <w:t> </w:t>
      </w:r>
      <w:r>
        <w:rPr>
          <w:rFonts w:ascii="Segoe UI" w:hAnsi="Segoe UI"/>
        </w:rPr>
        <w:t>Regional</w:t>
      </w:r>
      <w:r>
        <w:rPr>
          <w:rFonts w:ascii="Segoe UI" w:hAnsi="Segoe UI"/>
          <w:spacing w:val="1"/>
        </w:rPr>
        <w:t> </w:t>
      </w:r>
      <w:r>
        <w:rPr>
          <w:rFonts w:ascii="Segoe UI" w:hAnsi="Segoe UI"/>
        </w:rPr>
        <w:t>Eye Care</w:t>
      </w:r>
      <w:r>
        <w:rPr>
          <w:rFonts w:ascii="Segoe UI" w:hAnsi="Segoe UI"/>
          <w:spacing w:val="-2"/>
        </w:rPr>
        <w:t> provision.</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Establishes</w:t>
      </w:r>
      <w:r>
        <w:rPr>
          <w:rFonts w:ascii="Segoe UI" w:hAnsi="Segoe UI"/>
          <w:spacing w:val="-8"/>
        </w:rPr>
        <w:t> </w:t>
      </w:r>
      <w:r>
        <w:rPr>
          <w:rFonts w:ascii="Segoe UI" w:hAnsi="Segoe UI"/>
        </w:rPr>
        <w:t>a</w:t>
      </w:r>
      <w:r>
        <w:rPr>
          <w:rFonts w:ascii="Segoe UI" w:hAnsi="Segoe UI"/>
          <w:spacing w:val="-3"/>
        </w:rPr>
        <w:t> </w:t>
      </w:r>
      <w:r>
        <w:rPr>
          <w:rFonts w:ascii="Segoe UI" w:hAnsi="Segoe UI"/>
        </w:rPr>
        <w:t>sustainable</w:t>
      </w:r>
      <w:r>
        <w:rPr>
          <w:rFonts w:ascii="Segoe UI" w:hAnsi="Segoe UI"/>
          <w:spacing w:val="-5"/>
        </w:rPr>
        <w:t> </w:t>
      </w:r>
      <w:r>
        <w:rPr>
          <w:rFonts w:ascii="Segoe UI" w:hAnsi="Segoe UI"/>
        </w:rPr>
        <w:t>regional</w:t>
      </w:r>
      <w:r>
        <w:rPr>
          <w:rFonts w:ascii="Segoe UI" w:hAnsi="Segoe UI"/>
          <w:spacing w:val="-4"/>
        </w:rPr>
        <w:t> </w:t>
      </w:r>
      <w:r>
        <w:rPr>
          <w:rFonts w:ascii="Segoe UI" w:hAnsi="Segoe UI"/>
        </w:rPr>
        <w:t>model</w:t>
      </w:r>
      <w:r>
        <w:rPr>
          <w:rFonts w:ascii="Segoe UI" w:hAnsi="Segoe UI"/>
          <w:spacing w:val="-4"/>
        </w:rPr>
        <w:t> </w:t>
      </w:r>
      <w:r>
        <w:rPr>
          <w:rFonts w:ascii="Segoe UI" w:hAnsi="Segoe UI"/>
        </w:rPr>
        <w:t>of </w:t>
      </w:r>
      <w:r>
        <w:rPr>
          <w:rFonts w:ascii="Segoe UI" w:hAnsi="Segoe UI"/>
          <w:spacing w:val="-2"/>
        </w:rPr>
        <w:t>care.</w:t>
      </w:r>
    </w:p>
    <w:p>
      <w:pPr>
        <w:pStyle w:val="BodyText"/>
        <w:spacing w:line="252" w:lineRule="auto" w:before="281"/>
        <w:ind w:left="879" w:right="1086"/>
        <w:rPr>
          <w:sz w:val="20"/>
        </w:rPr>
      </w:pPr>
      <w:r>
        <w:rPr>
          <w:rFonts w:ascii="Segoe UI"/>
        </w:rPr>
        <w:t>Benefits</w:t>
      </w:r>
      <w:r>
        <w:rPr>
          <w:rFonts w:ascii="Segoe UI"/>
          <w:spacing w:val="-6"/>
        </w:rPr>
        <w:t> </w:t>
      </w:r>
      <w:r>
        <w:rPr>
          <w:rFonts w:ascii="Segoe UI"/>
        </w:rPr>
        <w:t>will</w:t>
      </w:r>
      <w:r>
        <w:rPr>
          <w:rFonts w:ascii="Segoe UI"/>
          <w:spacing w:val="-3"/>
        </w:rPr>
        <w:t> </w:t>
      </w:r>
      <w:r>
        <w:rPr>
          <w:rFonts w:ascii="Segoe UI"/>
        </w:rPr>
        <w:t>be</w:t>
      </w:r>
      <w:r>
        <w:rPr>
          <w:rFonts w:ascii="Segoe UI"/>
          <w:spacing w:val="-5"/>
        </w:rPr>
        <w:t> </w:t>
      </w:r>
      <w:r>
        <w:rPr>
          <w:rFonts w:ascii="Segoe UI"/>
        </w:rPr>
        <w:t>demonstrated</w:t>
      </w:r>
      <w:r>
        <w:rPr>
          <w:rFonts w:ascii="Segoe UI"/>
          <w:spacing w:val="-6"/>
        </w:rPr>
        <w:t> </w:t>
      </w:r>
      <w:r>
        <w:rPr>
          <w:rFonts w:ascii="Segoe UI"/>
        </w:rPr>
        <w:t>through</w:t>
      </w:r>
      <w:r>
        <w:rPr>
          <w:rFonts w:ascii="Segoe UI"/>
          <w:spacing w:val="-5"/>
        </w:rPr>
        <w:t> </w:t>
      </w:r>
      <w:r>
        <w:rPr>
          <w:rFonts w:ascii="Segoe UI"/>
        </w:rPr>
        <w:t>Programme</w:t>
      </w:r>
      <w:r>
        <w:rPr>
          <w:rFonts w:ascii="Segoe UI"/>
          <w:spacing w:val="-5"/>
        </w:rPr>
        <w:t> </w:t>
      </w:r>
      <w:r>
        <w:rPr>
          <w:rFonts w:ascii="Segoe UI"/>
        </w:rPr>
        <w:t>Board-approved</w:t>
      </w:r>
      <w:r>
        <w:rPr>
          <w:rFonts w:ascii="Segoe UI"/>
          <w:spacing w:val="-6"/>
        </w:rPr>
        <w:t> </w:t>
      </w:r>
      <w:r>
        <w:rPr>
          <w:rFonts w:ascii="Segoe UI"/>
        </w:rPr>
        <w:t>measures</w:t>
      </w:r>
      <w:r>
        <w:rPr>
          <w:rFonts w:ascii="Segoe UI"/>
          <w:spacing w:val="-6"/>
        </w:rPr>
        <w:t> </w:t>
      </w:r>
      <w:r>
        <w:rPr>
          <w:rFonts w:ascii="Segoe UI"/>
        </w:rPr>
        <w:t>covering</w:t>
      </w:r>
      <w:r>
        <w:rPr>
          <w:rFonts w:ascii="Segoe UI"/>
          <w:spacing w:val="-6"/>
        </w:rPr>
        <w:t> </w:t>
      </w:r>
      <w:r>
        <w:rPr>
          <w:rFonts w:ascii="Segoe UI"/>
        </w:rPr>
        <w:t>access and equity, high-risk pathways, cataract recovery, theatre productivity, outpatients, workforce, digital delivery, finance and value, and quality and outcomes. Baselines, targets, data sources, owners and reporting frequency are to be confirmed through the performance and benefits </w:t>
      </w:r>
      <w:r>
        <w:rPr>
          <w:rFonts w:ascii="Segoe UI"/>
          <w:spacing w:val="-2"/>
        </w:rPr>
        <w:t>framework</w:t>
      </w:r>
      <w:r>
        <w:rPr>
          <w:spacing w:val="-2"/>
          <w:sz w:val="20"/>
        </w:rPr>
        <w:t>.</w:t>
      </w:r>
    </w:p>
    <w:p>
      <w:pPr>
        <w:pStyle w:val="BodyText"/>
        <w:spacing w:before="204"/>
      </w:pPr>
    </w:p>
    <w:p>
      <w:pPr>
        <w:pStyle w:val="Heading3"/>
        <w:numPr>
          <w:ilvl w:val="0"/>
          <w:numId w:val="13"/>
        </w:numPr>
        <w:tabs>
          <w:tab w:pos="879" w:val="left" w:leader="none"/>
        </w:tabs>
        <w:spacing w:line="240" w:lineRule="auto" w:before="0" w:after="0"/>
        <w:ind w:left="879" w:right="0" w:hanging="565"/>
        <w:jc w:val="left"/>
        <w:rPr>
          <w:color w:val="1F4E79"/>
        </w:rPr>
      </w:pPr>
      <w:r>
        <w:rPr>
          <w:color w:val="1F4E79"/>
        </w:rPr>
        <w:t>Programme</w:t>
      </w:r>
      <w:r>
        <w:rPr>
          <w:color w:val="1F4E79"/>
          <w:spacing w:val="-4"/>
        </w:rPr>
        <w:t> Scope</w:t>
      </w:r>
    </w:p>
    <w:p>
      <w:pPr>
        <w:numPr>
          <w:ilvl w:val="1"/>
          <w:numId w:val="13"/>
        </w:numPr>
        <w:tabs>
          <w:tab w:pos="1286" w:val="left" w:leader="none"/>
          <w:tab w:pos="11113" w:val="left" w:leader="none"/>
        </w:tabs>
        <w:spacing w:before="301"/>
        <w:ind w:left="1286" w:right="0" w:hanging="407"/>
        <w:jc w:val="left"/>
        <w:rPr>
          <w:rFonts w:ascii="Segoe UI"/>
          <w:b/>
          <w:color w:val="1F4E79"/>
          <w:sz w:val="24"/>
        </w:rPr>
      </w:pPr>
      <w:r>
        <w:rPr>
          <w:rFonts w:ascii="Segoe UI"/>
          <w:b/>
          <w:color w:val="1F4E79"/>
          <w:spacing w:val="-2"/>
          <w:sz w:val="24"/>
          <w:shd w:fill="EAF1F8" w:color="auto" w:val="clear"/>
        </w:rPr>
        <w:t>In-Scope</w:t>
      </w:r>
      <w:r>
        <w:rPr>
          <w:rFonts w:ascii="Segoe UI"/>
          <w:b/>
          <w:color w:val="1F4E79"/>
          <w:sz w:val="24"/>
          <w:shd w:fill="EAF1F8" w:color="auto" w:val="clear"/>
        </w:rPr>
        <w:tab/>
      </w:r>
    </w:p>
    <w:p>
      <w:pPr>
        <w:pStyle w:val="BodyText"/>
        <w:spacing w:before="6"/>
        <w:rPr>
          <w:rFonts w:ascii="Segoe UI"/>
          <w:b/>
        </w:rPr>
      </w:pPr>
    </w:p>
    <w:p>
      <w:pPr>
        <w:pStyle w:val="BodyText"/>
        <w:spacing w:before="1"/>
        <w:ind w:left="879" w:right="890"/>
        <w:rPr>
          <w:rFonts w:ascii="Segoe UI"/>
        </w:rPr>
      </w:pPr>
      <w:r>
        <w:rPr>
          <w:rFonts w:ascii="Segoe UI"/>
        </w:rPr>
        <w:t>The</w:t>
      </w:r>
      <w:r>
        <w:rPr>
          <w:rFonts w:ascii="Segoe UI"/>
          <w:spacing w:val="-6"/>
        </w:rPr>
        <w:t> </w:t>
      </w:r>
      <w:r>
        <w:rPr>
          <w:rFonts w:ascii="Segoe UI"/>
        </w:rPr>
        <w:t>programme</w:t>
      </w:r>
      <w:r>
        <w:rPr>
          <w:rFonts w:ascii="Segoe UI"/>
          <w:spacing w:val="-6"/>
        </w:rPr>
        <w:t> </w:t>
      </w:r>
      <w:r>
        <w:rPr>
          <w:rFonts w:ascii="Segoe UI"/>
        </w:rPr>
        <w:t>will</w:t>
      </w:r>
      <w:r>
        <w:rPr>
          <w:rFonts w:ascii="Segoe UI"/>
          <w:spacing w:val="-5"/>
        </w:rPr>
        <w:t> </w:t>
      </w:r>
      <w:r>
        <w:rPr>
          <w:rFonts w:ascii="Segoe UI"/>
        </w:rPr>
        <w:t>consider</w:t>
      </w:r>
      <w:r>
        <w:rPr>
          <w:rFonts w:ascii="Segoe UI"/>
          <w:spacing w:val="-5"/>
        </w:rPr>
        <w:t> </w:t>
      </w:r>
      <w:r>
        <w:rPr>
          <w:rFonts w:ascii="Segoe UI"/>
        </w:rPr>
        <w:t>opportunities</w:t>
      </w:r>
      <w:r>
        <w:rPr>
          <w:rFonts w:ascii="Segoe UI"/>
          <w:spacing w:val="-8"/>
        </w:rPr>
        <w:t> </w:t>
      </w:r>
      <w:r>
        <w:rPr>
          <w:rFonts w:ascii="Segoe UI"/>
        </w:rPr>
        <w:t>for</w:t>
      </w:r>
      <w:r>
        <w:rPr>
          <w:rFonts w:ascii="Segoe UI"/>
          <w:spacing w:val="-6"/>
        </w:rPr>
        <w:t> </w:t>
      </w:r>
      <w:r>
        <w:rPr>
          <w:rFonts w:ascii="Segoe UI"/>
        </w:rPr>
        <w:t>regional</w:t>
      </w:r>
      <w:r>
        <w:rPr>
          <w:rFonts w:ascii="Segoe UI"/>
          <w:spacing w:val="-5"/>
        </w:rPr>
        <w:t> </w:t>
      </w:r>
      <w:r>
        <w:rPr>
          <w:rFonts w:ascii="Segoe UI"/>
        </w:rPr>
        <w:t>collaboration</w:t>
      </w:r>
      <w:r>
        <w:rPr>
          <w:rFonts w:ascii="Segoe UI"/>
          <w:spacing w:val="-3"/>
        </w:rPr>
        <w:t> </w:t>
      </w:r>
      <w:r>
        <w:rPr>
          <w:rFonts w:ascii="Segoe UI"/>
        </w:rPr>
        <w:t>and</w:t>
      </w:r>
      <w:r>
        <w:rPr>
          <w:rFonts w:ascii="Segoe UI"/>
          <w:spacing w:val="-3"/>
        </w:rPr>
        <w:t> </w:t>
      </w:r>
      <w:r>
        <w:rPr>
          <w:rFonts w:ascii="Segoe UI"/>
        </w:rPr>
        <w:t>service</w:t>
      </w:r>
      <w:r>
        <w:rPr>
          <w:rFonts w:ascii="Segoe UI"/>
          <w:spacing w:val="-6"/>
        </w:rPr>
        <w:t> </w:t>
      </w:r>
      <w:r>
        <w:rPr>
          <w:rFonts w:ascii="Segoe UI"/>
        </w:rPr>
        <w:t>optimisation, including but not limited to:</w:t>
      </w:r>
    </w:p>
    <w:p>
      <w:pPr>
        <w:pStyle w:val="BodyText"/>
        <w:tabs>
          <w:tab w:pos="1599" w:val="left" w:leader="none"/>
        </w:tabs>
        <w:spacing w:line="317" w:lineRule="exact" w:before="281"/>
        <w:ind w:left="1239"/>
        <w:rPr>
          <w:rFonts w:ascii="Segoe UI" w:hAnsi="Segoe UI"/>
        </w:rPr>
      </w:pPr>
      <w:r>
        <w:rPr>
          <w:rFonts w:ascii="Calibri" w:hAnsi="Calibri"/>
          <w:spacing w:val="-10"/>
          <w:sz w:val="20"/>
        </w:rPr>
        <w:t>−</w:t>
      </w:r>
      <w:r>
        <w:rPr>
          <w:rFonts w:ascii="Calibri" w:hAnsi="Calibri"/>
          <w:sz w:val="20"/>
        </w:rPr>
        <w:tab/>
      </w:r>
      <w:r>
        <w:rPr>
          <w:rFonts w:ascii="Segoe UI" w:hAnsi="Segoe UI"/>
        </w:rPr>
        <w:t>Regional</w:t>
      </w:r>
      <w:r>
        <w:rPr>
          <w:rFonts w:ascii="Segoe UI" w:hAnsi="Segoe UI"/>
          <w:spacing w:val="-5"/>
        </w:rPr>
        <w:t> </w:t>
      </w:r>
      <w:r>
        <w:rPr>
          <w:rFonts w:ascii="Segoe UI" w:hAnsi="Segoe UI"/>
        </w:rPr>
        <w:t>VR</w:t>
      </w:r>
      <w:r>
        <w:rPr>
          <w:rFonts w:ascii="Segoe UI" w:hAnsi="Segoe UI"/>
          <w:spacing w:val="-3"/>
        </w:rPr>
        <w:t> </w:t>
      </w:r>
      <w:r>
        <w:rPr>
          <w:rFonts w:ascii="Segoe UI" w:hAnsi="Segoe UI"/>
        </w:rPr>
        <w:t>on-call</w:t>
      </w:r>
      <w:r>
        <w:rPr>
          <w:rFonts w:ascii="Segoe UI" w:hAnsi="Segoe UI"/>
          <w:spacing w:val="-2"/>
        </w:rPr>
        <w:t> </w:t>
      </w:r>
      <w:r>
        <w:rPr>
          <w:rFonts w:ascii="Segoe UI" w:hAnsi="Segoe UI"/>
        </w:rPr>
        <w:t>assessment</w:t>
      </w:r>
      <w:r>
        <w:rPr>
          <w:rFonts w:ascii="Segoe UI" w:hAnsi="Segoe UI"/>
          <w:spacing w:val="-1"/>
        </w:rPr>
        <w:t> </w:t>
      </w:r>
      <w:r>
        <w:rPr>
          <w:rFonts w:ascii="Segoe UI" w:hAnsi="Segoe UI"/>
        </w:rPr>
        <w:t>and</w:t>
      </w:r>
      <w:r>
        <w:rPr>
          <w:rFonts w:ascii="Segoe UI" w:hAnsi="Segoe UI"/>
          <w:spacing w:val="-5"/>
        </w:rPr>
        <w:t> </w:t>
      </w:r>
      <w:r>
        <w:rPr>
          <w:rFonts w:ascii="Segoe UI" w:hAnsi="Segoe UI"/>
        </w:rPr>
        <w:t>wider</w:t>
      </w:r>
      <w:r>
        <w:rPr>
          <w:rFonts w:ascii="Segoe UI" w:hAnsi="Segoe UI"/>
          <w:spacing w:val="-3"/>
        </w:rPr>
        <w:t> </w:t>
      </w:r>
      <w:r>
        <w:rPr>
          <w:rFonts w:ascii="Segoe UI" w:hAnsi="Segoe UI"/>
        </w:rPr>
        <w:t>ophthalmology</w:t>
      </w:r>
      <w:r>
        <w:rPr>
          <w:rFonts w:ascii="Segoe UI" w:hAnsi="Segoe UI"/>
          <w:spacing w:val="-4"/>
        </w:rPr>
        <w:t> </w:t>
      </w:r>
      <w:r>
        <w:rPr>
          <w:rFonts w:ascii="Segoe UI" w:hAnsi="Segoe UI"/>
        </w:rPr>
        <w:t>on-call</w:t>
      </w:r>
      <w:r>
        <w:rPr>
          <w:rFonts w:ascii="Segoe UI" w:hAnsi="Segoe UI"/>
          <w:spacing w:val="-2"/>
        </w:rPr>
        <w:t> strategy.</w:t>
      </w:r>
    </w:p>
    <w:p>
      <w:pPr>
        <w:pStyle w:val="BodyText"/>
        <w:tabs>
          <w:tab w:pos="1599" w:val="left" w:leader="none"/>
        </w:tabs>
        <w:spacing w:line="317" w:lineRule="exact"/>
        <w:ind w:left="1239"/>
        <w:rPr>
          <w:rFonts w:ascii="Segoe UI" w:hAnsi="Segoe UI"/>
        </w:rPr>
      </w:pPr>
      <w:r>
        <w:rPr>
          <w:rFonts w:ascii="Calibri" w:hAnsi="Calibri"/>
          <w:spacing w:val="-10"/>
          <w:sz w:val="20"/>
        </w:rPr>
        <w:t>−</w:t>
      </w:r>
      <w:r>
        <w:rPr>
          <w:rFonts w:ascii="Calibri" w:hAnsi="Calibri"/>
          <w:sz w:val="20"/>
        </w:rPr>
        <w:tab/>
      </w:r>
      <w:r>
        <w:rPr>
          <w:rFonts w:ascii="Segoe UI" w:hAnsi="Segoe UI"/>
        </w:rPr>
        <w:t>Medical</w:t>
      </w:r>
      <w:r>
        <w:rPr>
          <w:rFonts w:ascii="Segoe UI" w:hAnsi="Segoe UI"/>
          <w:spacing w:val="-7"/>
        </w:rPr>
        <w:t> </w:t>
      </w:r>
      <w:r>
        <w:rPr>
          <w:rFonts w:ascii="Segoe UI" w:hAnsi="Segoe UI"/>
        </w:rPr>
        <w:t>retina</w:t>
      </w:r>
      <w:r>
        <w:rPr>
          <w:rFonts w:ascii="Segoe UI" w:hAnsi="Segoe UI"/>
          <w:spacing w:val="-7"/>
        </w:rPr>
        <w:t> </w:t>
      </w:r>
      <w:r>
        <w:rPr>
          <w:rFonts w:ascii="Segoe UI" w:hAnsi="Segoe UI"/>
        </w:rPr>
        <w:t>recruitment</w:t>
      </w:r>
      <w:r>
        <w:rPr>
          <w:rFonts w:ascii="Segoe UI" w:hAnsi="Segoe UI"/>
          <w:spacing w:val="-3"/>
        </w:rPr>
        <w:t> </w:t>
      </w:r>
      <w:r>
        <w:rPr>
          <w:rFonts w:ascii="Segoe UI" w:hAnsi="Segoe UI"/>
        </w:rPr>
        <w:t>and</w:t>
      </w:r>
      <w:r>
        <w:rPr>
          <w:rFonts w:ascii="Segoe UI" w:hAnsi="Segoe UI"/>
          <w:spacing w:val="-2"/>
        </w:rPr>
        <w:t> </w:t>
      </w:r>
      <w:r>
        <w:rPr>
          <w:rFonts w:ascii="Segoe UI" w:hAnsi="Segoe UI"/>
        </w:rPr>
        <w:t>regional</w:t>
      </w:r>
      <w:r>
        <w:rPr>
          <w:rFonts w:ascii="Segoe UI" w:hAnsi="Segoe UI"/>
          <w:spacing w:val="-4"/>
        </w:rPr>
        <w:t> </w:t>
      </w:r>
      <w:r>
        <w:rPr>
          <w:rFonts w:ascii="Segoe UI" w:hAnsi="Segoe UI"/>
          <w:spacing w:val="-2"/>
        </w:rPr>
        <w:t>onboarding.</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Ophthalmic</w:t>
      </w:r>
      <w:r>
        <w:rPr>
          <w:rFonts w:ascii="Segoe UI" w:hAnsi="Segoe UI"/>
          <w:spacing w:val="-4"/>
        </w:rPr>
        <w:t> </w:t>
      </w:r>
      <w:r>
        <w:rPr>
          <w:rFonts w:ascii="Segoe UI" w:hAnsi="Segoe UI"/>
        </w:rPr>
        <w:t>nursing</w:t>
      </w:r>
      <w:r>
        <w:rPr>
          <w:rFonts w:ascii="Segoe UI" w:hAnsi="Segoe UI"/>
          <w:spacing w:val="-7"/>
        </w:rPr>
        <w:t> </w:t>
      </w:r>
      <w:r>
        <w:rPr>
          <w:rFonts w:ascii="Segoe UI" w:hAnsi="Segoe UI"/>
        </w:rPr>
        <w:t>resilience</w:t>
      </w:r>
      <w:r>
        <w:rPr>
          <w:rFonts w:ascii="Segoe UI" w:hAnsi="Segoe UI"/>
          <w:spacing w:val="-5"/>
        </w:rPr>
        <w:t> </w:t>
      </w:r>
      <w:r>
        <w:rPr>
          <w:rFonts w:ascii="Segoe UI" w:hAnsi="Segoe UI"/>
        </w:rPr>
        <w:t>and</w:t>
      </w:r>
      <w:r>
        <w:rPr>
          <w:rFonts w:ascii="Segoe UI" w:hAnsi="Segoe UI"/>
          <w:spacing w:val="-3"/>
        </w:rPr>
        <w:t> </w:t>
      </w:r>
      <w:r>
        <w:rPr>
          <w:rFonts w:ascii="Segoe UI" w:hAnsi="Segoe UI"/>
        </w:rPr>
        <w:t>regional</w:t>
      </w:r>
      <w:r>
        <w:rPr>
          <w:rFonts w:ascii="Segoe UI" w:hAnsi="Segoe UI"/>
          <w:spacing w:val="-4"/>
        </w:rPr>
        <w:t> </w:t>
      </w:r>
      <w:r>
        <w:rPr>
          <w:rFonts w:ascii="Segoe UI" w:hAnsi="Segoe UI"/>
        </w:rPr>
        <w:t>workforce</w:t>
      </w:r>
      <w:r>
        <w:rPr>
          <w:rFonts w:ascii="Segoe UI" w:hAnsi="Segoe UI"/>
          <w:spacing w:val="-5"/>
        </w:rPr>
        <w:t> </w:t>
      </w:r>
      <w:r>
        <w:rPr>
          <w:rFonts w:ascii="Segoe UI" w:hAnsi="Segoe UI"/>
          <w:spacing w:val="-2"/>
        </w:rPr>
        <w:t>principles/strategy.</w:t>
      </w:r>
    </w:p>
    <w:p>
      <w:pPr>
        <w:pStyle w:val="BodyText"/>
        <w:tabs>
          <w:tab w:pos="1599" w:val="left" w:leader="none"/>
        </w:tabs>
        <w:spacing w:before="1"/>
        <w:ind w:left="1599" w:right="890" w:hanging="360"/>
        <w:rPr>
          <w:rFonts w:ascii="Segoe UI" w:hAnsi="Segoe UI"/>
        </w:rPr>
      </w:pPr>
      <w:r>
        <w:rPr>
          <w:rFonts w:ascii="Calibri" w:hAnsi="Calibri"/>
          <w:spacing w:val="-10"/>
          <w:sz w:val="20"/>
        </w:rPr>
        <w:t>−</w:t>
      </w:r>
      <w:r>
        <w:rPr>
          <w:rFonts w:ascii="Calibri" w:hAnsi="Calibri"/>
          <w:sz w:val="20"/>
        </w:rPr>
        <w:tab/>
      </w:r>
      <w:r>
        <w:rPr>
          <w:rFonts w:ascii="Segoe UI" w:hAnsi="Segoe UI"/>
        </w:rPr>
        <w:t>Waiting-list</w:t>
      </w:r>
      <w:r>
        <w:rPr>
          <w:rFonts w:ascii="Segoe UI" w:hAnsi="Segoe UI"/>
          <w:spacing w:val="-7"/>
        </w:rPr>
        <w:t> </w:t>
      </w:r>
      <w:r>
        <w:rPr>
          <w:rFonts w:ascii="Segoe UI" w:hAnsi="Segoe UI"/>
        </w:rPr>
        <w:t>validation,</w:t>
      </w:r>
      <w:r>
        <w:rPr>
          <w:rFonts w:ascii="Segoe UI" w:hAnsi="Segoe UI"/>
          <w:spacing w:val="-4"/>
        </w:rPr>
        <w:t> </w:t>
      </w:r>
      <w:r>
        <w:rPr>
          <w:rFonts w:ascii="Segoe UI" w:hAnsi="Segoe UI"/>
        </w:rPr>
        <w:t>outpatient</w:t>
      </w:r>
      <w:r>
        <w:rPr>
          <w:rFonts w:ascii="Segoe UI" w:hAnsi="Segoe UI"/>
          <w:spacing w:val="-3"/>
        </w:rPr>
        <w:t> </w:t>
      </w:r>
      <w:r>
        <w:rPr>
          <w:rFonts w:ascii="Segoe UI" w:hAnsi="Segoe UI"/>
        </w:rPr>
        <w:t>productivity,</w:t>
      </w:r>
      <w:r>
        <w:rPr>
          <w:rFonts w:ascii="Segoe UI" w:hAnsi="Segoe UI"/>
          <w:spacing w:val="-7"/>
        </w:rPr>
        <w:t> </w:t>
      </w:r>
      <w:r>
        <w:rPr>
          <w:rFonts w:ascii="Segoe UI" w:hAnsi="Segoe UI"/>
        </w:rPr>
        <w:t>referral</w:t>
      </w:r>
      <w:r>
        <w:rPr>
          <w:rFonts w:ascii="Segoe UI" w:hAnsi="Segoe UI"/>
          <w:spacing w:val="-5"/>
        </w:rPr>
        <w:t> </w:t>
      </w:r>
      <w:r>
        <w:rPr>
          <w:rFonts w:ascii="Segoe UI" w:hAnsi="Segoe UI"/>
        </w:rPr>
        <w:t>triage,</w:t>
      </w:r>
      <w:r>
        <w:rPr>
          <w:rFonts w:ascii="Segoe UI" w:hAnsi="Segoe UI"/>
          <w:spacing w:val="-8"/>
        </w:rPr>
        <w:t> </w:t>
      </w:r>
      <w:r>
        <w:rPr>
          <w:rFonts w:ascii="Segoe UI" w:hAnsi="Segoe UI"/>
        </w:rPr>
        <w:t>virtual</w:t>
      </w:r>
      <w:r>
        <w:rPr>
          <w:rFonts w:ascii="Segoe UI" w:hAnsi="Segoe UI"/>
          <w:spacing w:val="-5"/>
        </w:rPr>
        <w:t> </w:t>
      </w:r>
      <w:r>
        <w:rPr>
          <w:rFonts w:ascii="Segoe UI" w:hAnsi="Segoe UI"/>
        </w:rPr>
        <w:t>review</w:t>
      </w:r>
      <w:r>
        <w:rPr>
          <w:rFonts w:ascii="Segoe UI" w:hAnsi="Segoe UI"/>
          <w:spacing w:val="-5"/>
        </w:rPr>
        <w:t> </w:t>
      </w:r>
      <w:r>
        <w:rPr>
          <w:rFonts w:ascii="Segoe UI" w:hAnsi="Segoe UI"/>
        </w:rPr>
        <w:t>and</w:t>
      </w:r>
      <w:r>
        <w:rPr>
          <w:rFonts w:ascii="Segoe UI" w:hAnsi="Segoe UI"/>
          <w:spacing w:val="-7"/>
        </w:rPr>
        <w:t> </w:t>
      </w:r>
      <w:r>
        <w:rPr>
          <w:rFonts w:ascii="Segoe UI" w:hAnsi="Segoe UI"/>
        </w:rPr>
        <w:t>PIFU/SOS </w:t>
      </w:r>
      <w:r>
        <w:rPr>
          <w:rFonts w:ascii="Segoe UI" w:hAnsi="Segoe UI"/>
          <w:spacing w:val="-2"/>
        </w:rPr>
        <w:t>opportunities.</w:t>
      </w:r>
    </w:p>
    <w:p>
      <w:pPr>
        <w:pStyle w:val="BodyText"/>
        <w:tabs>
          <w:tab w:pos="1599" w:val="left" w:leader="none"/>
        </w:tabs>
        <w:spacing w:before="2"/>
        <w:ind w:left="1239"/>
        <w:rPr>
          <w:rFonts w:ascii="Segoe UI" w:hAnsi="Segoe UI"/>
        </w:rPr>
      </w:pPr>
      <w:r>
        <w:rPr>
          <w:rFonts w:ascii="Calibri" w:hAnsi="Calibri"/>
          <w:spacing w:val="-10"/>
          <w:sz w:val="20"/>
        </w:rPr>
        <w:t>−</w:t>
      </w:r>
      <w:r>
        <w:rPr>
          <w:rFonts w:ascii="Calibri" w:hAnsi="Calibri"/>
          <w:sz w:val="20"/>
        </w:rPr>
        <w:tab/>
      </w:r>
      <w:r>
        <w:rPr>
          <w:rFonts w:ascii="Segoe UI" w:hAnsi="Segoe UI"/>
        </w:rPr>
        <w:t>Regional</w:t>
      </w:r>
      <w:r>
        <w:rPr>
          <w:rFonts w:ascii="Segoe UI" w:hAnsi="Segoe UI"/>
          <w:spacing w:val="-6"/>
        </w:rPr>
        <w:t> </w:t>
      </w:r>
      <w:r>
        <w:rPr>
          <w:rFonts w:ascii="Segoe UI" w:hAnsi="Segoe UI"/>
        </w:rPr>
        <w:t>demand</w:t>
      </w:r>
      <w:r>
        <w:rPr>
          <w:rFonts w:ascii="Segoe UI" w:hAnsi="Segoe UI"/>
          <w:spacing w:val="-6"/>
        </w:rPr>
        <w:t> </w:t>
      </w:r>
      <w:r>
        <w:rPr>
          <w:rFonts w:ascii="Segoe UI" w:hAnsi="Segoe UI"/>
        </w:rPr>
        <w:t>and</w:t>
      </w:r>
      <w:r>
        <w:rPr>
          <w:rFonts w:ascii="Segoe UI" w:hAnsi="Segoe UI"/>
          <w:spacing w:val="-6"/>
        </w:rPr>
        <w:t> </w:t>
      </w:r>
      <w:r>
        <w:rPr>
          <w:rFonts w:ascii="Segoe UI" w:hAnsi="Segoe UI"/>
        </w:rPr>
        <w:t>capacity</w:t>
      </w:r>
      <w:r>
        <w:rPr>
          <w:rFonts w:ascii="Segoe UI" w:hAnsi="Segoe UI"/>
          <w:spacing w:val="-2"/>
        </w:rPr>
        <w:t> </w:t>
      </w:r>
      <w:r>
        <w:rPr>
          <w:rFonts w:ascii="Segoe UI" w:hAnsi="Segoe UI"/>
        </w:rPr>
        <w:t>modelling</w:t>
      </w:r>
      <w:r>
        <w:rPr>
          <w:rFonts w:ascii="Segoe UI" w:hAnsi="Segoe UI"/>
          <w:spacing w:val="-6"/>
        </w:rPr>
        <w:t> </w:t>
      </w:r>
      <w:r>
        <w:rPr>
          <w:rFonts w:ascii="Segoe UI" w:hAnsi="Segoe UI"/>
        </w:rPr>
        <w:t>and</w:t>
      </w:r>
      <w:r>
        <w:rPr>
          <w:rFonts w:ascii="Segoe UI" w:hAnsi="Segoe UI"/>
          <w:spacing w:val="-6"/>
        </w:rPr>
        <w:t> </w:t>
      </w:r>
      <w:r>
        <w:rPr>
          <w:rFonts w:ascii="Segoe UI" w:hAnsi="Segoe UI"/>
          <w:spacing w:val="-2"/>
        </w:rPr>
        <w:t>validation.</w:t>
      </w:r>
    </w:p>
    <w:p>
      <w:pPr>
        <w:pStyle w:val="BodyText"/>
        <w:tabs>
          <w:tab w:pos="1599" w:val="left" w:leader="none"/>
        </w:tabs>
        <w:spacing w:line="317" w:lineRule="exact"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Regional</w:t>
      </w:r>
      <w:r>
        <w:rPr>
          <w:rFonts w:ascii="Segoe UI" w:hAnsi="Segoe UI"/>
          <w:spacing w:val="-6"/>
        </w:rPr>
        <w:t> </w:t>
      </w:r>
      <w:r>
        <w:rPr>
          <w:rFonts w:ascii="Segoe UI" w:hAnsi="Segoe UI"/>
        </w:rPr>
        <w:t>performance</w:t>
      </w:r>
      <w:r>
        <w:rPr>
          <w:rFonts w:ascii="Segoe UI" w:hAnsi="Segoe UI"/>
          <w:spacing w:val="-1"/>
        </w:rPr>
        <w:t> </w:t>
      </w:r>
      <w:r>
        <w:rPr>
          <w:rFonts w:ascii="Segoe UI" w:hAnsi="Segoe UI"/>
        </w:rPr>
        <w:t>and</w:t>
      </w:r>
      <w:r>
        <w:rPr>
          <w:rFonts w:ascii="Segoe UI" w:hAnsi="Segoe UI"/>
          <w:spacing w:val="-2"/>
        </w:rPr>
        <w:t> </w:t>
      </w:r>
      <w:r>
        <w:rPr>
          <w:rFonts w:ascii="Segoe UI" w:hAnsi="Segoe UI"/>
        </w:rPr>
        <w:t>benefits</w:t>
      </w:r>
      <w:r>
        <w:rPr>
          <w:rFonts w:ascii="Segoe UI" w:hAnsi="Segoe UI"/>
          <w:spacing w:val="-6"/>
        </w:rPr>
        <w:t> </w:t>
      </w:r>
      <w:r>
        <w:rPr>
          <w:rFonts w:ascii="Segoe UI" w:hAnsi="Segoe UI"/>
        </w:rPr>
        <w:t>framework</w:t>
      </w:r>
      <w:r>
        <w:rPr>
          <w:rFonts w:ascii="Segoe UI" w:hAnsi="Segoe UI"/>
          <w:spacing w:val="-4"/>
        </w:rPr>
        <w:t> </w:t>
      </w:r>
      <w:r>
        <w:rPr>
          <w:rFonts w:ascii="Segoe UI" w:hAnsi="Segoe UI"/>
        </w:rPr>
        <w:t>and</w:t>
      </w:r>
      <w:r>
        <w:rPr>
          <w:rFonts w:ascii="Segoe UI" w:hAnsi="Segoe UI"/>
          <w:spacing w:val="-6"/>
        </w:rPr>
        <w:t> </w:t>
      </w:r>
      <w:r>
        <w:rPr>
          <w:rFonts w:ascii="Segoe UI" w:hAnsi="Segoe UI"/>
        </w:rPr>
        <w:t>routine</w:t>
      </w:r>
      <w:r>
        <w:rPr>
          <w:rFonts w:ascii="Segoe UI" w:hAnsi="Segoe UI"/>
          <w:spacing w:val="-6"/>
        </w:rPr>
        <w:t> </w:t>
      </w:r>
      <w:r>
        <w:rPr>
          <w:rFonts w:ascii="Segoe UI" w:hAnsi="Segoe UI"/>
        </w:rPr>
        <w:t>comparative</w:t>
      </w:r>
      <w:r>
        <w:rPr>
          <w:rFonts w:ascii="Segoe UI" w:hAnsi="Segoe UI"/>
          <w:spacing w:val="-5"/>
        </w:rPr>
        <w:t> </w:t>
      </w:r>
      <w:r>
        <w:rPr>
          <w:rFonts w:ascii="Segoe UI" w:hAnsi="Segoe UI"/>
          <w:spacing w:val="-2"/>
        </w:rPr>
        <w:t>reporting.</w:t>
      </w:r>
    </w:p>
    <w:p>
      <w:pPr>
        <w:pStyle w:val="BodyText"/>
        <w:tabs>
          <w:tab w:pos="1599" w:val="left" w:leader="none"/>
        </w:tabs>
        <w:spacing w:line="317" w:lineRule="exact"/>
        <w:ind w:left="1239"/>
        <w:rPr>
          <w:rFonts w:ascii="Segoe UI" w:hAnsi="Segoe UI"/>
        </w:rPr>
      </w:pPr>
      <w:r>
        <w:rPr>
          <w:rFonts w:ascii="Calibri" w:hAnsi="Calibri"/>
          <w:spacing w:val="-10"/>
          <w:sz w:val="20"/>
        </w:rPr>
        <w:t>−</w:t>
      </w:r>
      <w:r>
        <w:rPr>
          <w:rFonts w:ascii="Calibri" w:hAnsi="Calibri"/>
          <w:sz w:val="20"/>
        </w:rPr>
        <w:tab/>
      </w:r>
      <w:r>
        <w:rPr>
          <w:rFonts w:ascii="Segoe UI" w:hAnsi="Segoe UI"/>
        </w:rPr>
        <w:t>Theatre</w:t>
      </w:r>
      <w:r>
        <w:rPr>
          <w:rFonts w:ascii="Segoe UI" w:hAnsi="Segoe UI"/>
          <w:spacing w:val="-8"/>
        </w:rPr>
        <w:t> </w:t>
      </w:r>
      <w:r>
        <w:rPr>
          <w:rFonts w:ascii="Segoe UI" w:hAnsi="Segoe UI"/>
        </w:rPr>
        <w:t>utilisation,</w:t>
      </w:r>
      <w:r>
        <w:rPr>
          <w:rFonts w:ascii="Segoe UI" w:hAnsi="Segoe UI"/>
          <w:spacing w:val="-7"/>
        </w:rPr>
        <w:t> </w:t>
      </w:r>
      <w:r>
        <w:rPr>
          <w:rFonts w:ascii="Segoe UI" w:hAnsi="Segoe UI"/>
        </w:rPr>
        <w:t>productivity</w:t>
      </w:r>
      <w:r>
        <w:rPr>
          <w:rFonts w:ascii="Segoe UI" w:hAnsi="Segoe UI"/>
          <w:spacing w:val="-6"/>
        </w:rPr>
        <w:t> </w:t>
      </w:r>
      <w:r>
        <w:rPr>
          <w:rFonts w:ascii="Segoe UI" w:hAnsi="Segoe UI"/>
        </w:rPr>
        <w:t>improvement</w:t>
      </w:r>
      <w:r>
        <w:rPr>
          <w:rFonts w:ascii="Segoe UI" w:hAnsi="Segoe UI"/>
          <w:spacing w:val="-7"/>
        </w:rPr>
        <w:t> </w:t>
      </w:r>
      <w:r>
        <w:rPr>
          <w:rFonts w:ascii="Segoe UI" w:hAnsi="Segoe UI"/>
        </w:rPr>
        <w:t>and</w:t>
      </w:r>
      <w:r>
        <w:rPr>
          <w:rFonts w:ascii="Segoe UI" w:hAnsi="Segoe UI"/>
          <w:spacing w:val="-7"/>
        </w:rPr>
        <w:t> </w:t>
      </w:r>
      <w:r>
        <w:rPr>
          <w:rFonts w:ascii="Segoe UI" w:hAnsi="Segoe UI"/>
        </w:rPr>
        <w:t>benefits</w:t>
      </w:r>
      <w:r>
        <w:rPr>
          <w:rFonts w:ascii="Segoe UI" w:hAnsi="Segoe UI"/>
          <w:spacing w:val="-2"/>
        </w:rPr>
        <w:t> monitoring.</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Cataract</w:t>
      </w:r>
      <w:r>
        <w:rPr>
          <w:rFonts w:ascii="Segoe UI" w:hAnsi="Segoe UI"/>
          <w:spacing w:val="-4"/>
        </w:rPr>
        <w:t> </w:t>
      </w:r>
      <w:r>
        <w:rPr>
          <w:rFonts w:ascii="Segoe UI" w:hAnsi="Segoe UI"/>
        </w:rPr>
        <w:t>recovery</w:t>
      </w:r>
      <w:r>
        <w:rPr>
          <w:rFonts w:ascii="Segoe UI" w:hAnsi="Segoe UI"/>
          <w:spacing w:val="-5"/>
        </w:rPr>
        <w:t> </w:t>
      </w:r>
      <w:r>
        <w:rPr>
          <w:rFonts w:ascii="Segoe UI" w:hAnsi="Segoe UI"/>
        </w:rPr>
        <w:t>delivery,</w:t>
      </w:r>
      <w:r>
        <w:rPr>
          <w:rFonts w:ascii="Segoe UI" w:hAnsi="Segoe UI"/>
          <w:spacing w:val="-7"/>
        </w:rPr>
        <w:t> </w:t>
      </w:r>
      <w:r>
        <w:rPr>
          <w:rFonts w:ascii="Segoe UI" w:hAnsi="Segoe UI"/>
        </w:rPr>
        <w:t>subject</w:t>
      </w:r>
      <w:r>
        <w:rPr>
          <w:rFonts w:ascii="Segoe UI" w:hAnsi="Segoe UI"/>
          <w:spacing w:val="-6"/>
        </w:rPr>
        <w:t> </w:t>
      </w:r>
      <w:r>
        <w:rPr>
          <w:rFonts w:ascii="Segoe UI" w:hAnsi="Segoe UI"/>
        </w:rPr>
        <w:t>to</w:t>
      </w:r>
      <w:r>
        <w:rPr>
          <w:rFonts w:ascii="Segoe UI" w:hAnsi="Segoe UI"/>
          <w:spacing w:val="-1"/>
        </w:rPr>
        <w:t> </w:t>
      </w:r>
      <w:r>
        <w:rPr>
          <w:rFonts w:ascii="Segoe UI" w:hAnsi="Segoe UI"/>
        </w:rPr>
        <w:t>formal</w:t>
      </w:r>
      <w:r>
        <w:rPr>
          <w:rFonts w:ascii="Segoe UI" w:hAnsi="Segoe UI"/>
          <w:spacing w:val="-3"/>
        </w:rPr>
        <w:t> </w:t>
      </w:r>
      <w:r>
        <w:rPr>
          <w:rFonts w:ascii="Segoe UI" w:hAnsi="Segoe UI"/>
        </w:rPr>
        <w:t>funding</w:t>
      </w:r>
      <w:r>
        <w:rPr>
          <w:rFonts w:ascii="Segoe UI" w:hAnsi="Segoe UI"/>
          <w:spacing w:val="-6"/>
        </w:rPr>
        <w:t> </w:t>
      </w:r>
      <w:r>
        <w:rPr>
          <w:rFonts w:ascii="Segoe UI" w:hAnsi="Segoe UI"/>
          <w:spacing w:val="-2"/>
        </w:rPr>
        <w:t>decisions.</w:t>
      </w:r>
    </w:p>
    <w:p>
      <w:pPr>
        <w:pStyle w:val="BodyText"/>
        <w:tabs>
          <w:tab w:pos="1599" w:val="left" w:leader="none"/>
        </w:tabs>
        <w:ind w:left="1239"/>
        <w:rPr>
          <w:rFonts w:ascii="Segoe UI" w:hAnsi="Segoe UI"/>
        </w:rPr>
      </w:pPr>
      <w:r>
        <w:rPr>
          <w:rFonts w:ascii="Calibri" w:hAnsi="Calibri"/>
          <w:spacing w:val="-10"/>
          <w:sz w:val="20"/>
        </w:rPr>
        <w:t>−</w:t>
      </w:r>
      <w:r>
        <w:rPr>
          <w:rFonts w:ascii="Calibri" w:hAnsi="Calibri"/>
          <w:sz w:val="20"/>
        </w:rPr>
        <w:tab/>
      </w:r>
      <w:r>
        <w:rPr>
          <w:rFonts w:ascii="Segoe UI" w:hAnsi="Segoe UI"/>
        </w:rPr>
        <w:t>Regional</w:t>
      </w:r>
      <w:r>
        <w:rPr>
          <w:rFonts w:ascii="Segoe UI" w:hAnsi="Segoe UI"/>
          <w:spacing w:val="-7"/>
        </w:rPr>
        <w:t> </w:t>
      </w:r>
      <w:r>
        <w:rPr>
          <w:rFonts w:ascii="Segoe UI" w:hAnsi="Segoe UI"/>
        </w:rPr>
        <w:t>expenditure</w:t>
      </w:r>
      <w:r>
        <w:rPr>
          <w:rFonts w:ascii="Segoe UI" w:hAnsi="Segoe UI"/>
          <w:spacing w:val="-6"/>
        </w:rPr>
        <w:t> </w:t>
      </w:r>
      <w:r>
        <w:rPr>
          <w:rFonts w:ascii="Segoe UI" w:hAnsi="Segoe UI"/>
        </w:rPr>
        <w:t>baseline</w:t>
      </w:r>
      <w:r>
        <w:rPr>
          <w:rFonts w:ascii="Segoe UI" w:hAnsi="Segoe UI"/>
          <w:spacing w:val="-6"/>
        </w:rPr>
        <w:t> </w:t>
      </w:r>
      <w:r>
        <w:rPr>
          <w:rFonts w:ascii="Segoe UI" w:hAnsi="Segoe UI"/>
        </w:rPr>
        <w:t>and</w:t>
      </w:r>
      <w:r>
        <w:rPr>
          <w:rFonts w:ascii="Segoe UI" w:hAnsi="Segoe UI"/>
          <w:spacing w:val="-7"/>
        </w:rPr>
        <w:t> </w:t>
      </w:r>
      <w:r>
        <w:rPr>
          <w:rFonts w:ascii="Segoe UI" w:hAnsi="Segoe UI"/>
        </w:rPr>
        <w:t>definition</w:t>
      </w:r>
      <w:r>
        <w:rPr>
          <w:rFonts w:ascii="Segoe UI" w:hAnsi="Segoe UI"/>
          <w:spacing w:val="-7"/>
        </w:rPr>
        <w:t> </w:t>
      </w:r>
      <w:r>
        <w:rPr>
          <w:rFonts w:ascii="Segoe UI" w:hAnsi="Segoe UI"/>
        </w:rPr>
        <w:t>of</w:t>
      </w:r>
      <w:r>
        <w:rPr>
          <w:rFonts w:ascii="Segoe UI" w:hAnsi="Segoe UI"/>
          <w:spacing w:val="-1"/>
        </w:rPr>
        <w:t> </w:t>
      </w:r>
      <w:r>
        <w:rPr>
          <w:rFonts w:ascii="Segoe UI" w:hAnsi="Segoe UI"/>
        </w:rPr>
        <w:t>residual</w:t>
      </w:r>
      <w:r>
        <w:rPr>
          <w:rFonts w:ascii="Segoe UI" w:hAnsi="Segoe UI"/>
          <w:spacing w:val="-4"/>
        </w:rPr>
        <w:t> </w:t>
      </w:r>
      <w:r>
        <w:rPr>
          <w:rFonts w:ascii="Segoe UI" w:hAnsi="Segoe UI"/>
        </w:rPr>
        <w:t>investment</w:t>
      </w:r>
      <w:r>
        <w:rPr>
          <w:rFonts w:ascii="Segoe UI" w:hAnsi="Segoe UI"/>
          <w:spacing w:val="-7"/>
        </w:rPr>
        <w:t> </w:t>
      </w:r>
      <w:r>
        <w:rPr>
          <w:rFonts w:ascii="Segoe UI" w:hAnsi="Segoe UI"/>
          <w:spacing w:val="-2"/>
        </w:rPr>
        <w:t>requirements.</w:t>
      </w:r>
    </w:p>
    <w:p>
      <w:pPr>
        <w:spacing w:before="208"/>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spacing w:before="78"/>
        <w:ind w:left="0" w:right="873" w:firstLine="0"/>
        <w:jc w:val="right"/>
        <w:rPr>
          <w:rFonts w:ascii="Calibri"/>
          <w:sz w:val="16"/>
        </w:rPr>
      </w:pP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p>
      <w:pPr>
        <w:pStyle w:val="BodyText"/>
        <w:tabs>
          <w:tab w:pos="1599" w:val="left" w:leader="none"/>
        </w:tabs>
        <w:spacing w:line="237" w:lineRule="auto" w:before="56"/>
        <w:ind w:left="1599" w:right="1041" w:hanging="360"/>
        <w:rPr>
          <w:rFonts w:ascii="Segoe UI" w:hAnsi="Segoe UI"/>
        </w:rPr>
      </w:pPr>
      <w:r>
        <w:rPr>
          <w:rFonts w:ascii="Calibri" w:hAnsi="Calibri"/>
          <w:spacing w:val="-10"/>
          <w:sz w:val="20"/>
        </w:rPr>
        <w:t>−</w:t>
      </w:r>
      <w:r>
        <w:rPr>
          <w:rFonts w:ascii="Calibri" w:hAnsi="Calibri"/>
          <w:sz w:val="20"/>
        </w:rPr>
        <w:tab/>
      </w:r>
      <w:r>
        <w:rPr>
          <w:rFonts w:ascii="Segoe UI" w:hAnsi="Segoe UI"/>
        </w:rPr>
        <w:t>Governance</w:t>
      </w:r>
      <w:r>
        <w:rPr>
          <w:rFonts w:ascii="Segoe UI" w:hAnsi="Segoe UI"/>
          <w:spacing w:val="-6"/>
        </w:rPr>
        <w:t> </w:t>
      </w:r>
      <w:r>
        <w:rPr>
          <w:rFonts w:ascii="Segoe UI" w:hAnsi="Segoe UI"/>
        </w:rPr>
        <w:t>reset,</w:t>
      </w:r>
      <w:r>
        <w:rPr>
          <w:rFonts w:ascii="Segoe UI" w:hAnsi="Segoe UI"/>
          <w:spacing w:val="-7"/>
        </w:rPr>
        <w:t> </w:t>
      </w:r>
      <w:r>
        <w:rPr>
          <w:rFonts w:ascii="Segoe UI" w:hAnsi="Segoe UI"/>
        </w:rPr>
        <w:t>digital</w:t>
      </w:r>
      <w:r>
        <w:rPr>
          <w:rFonts w:ascii="Segoe UI" w:hAnsi="Segoe UI"/>
          <w:spacing w:val="-4"/>
        </w:rPr>
        <w:t> </w:t>
      </w:r>
      <w:r>
        <w:rPr>
          <w:rFonts w:ascii="Segoe UI" w:hAnsi="Segoe UI"/>
        </w:rPr>
        <w:t>convergence,</w:t>
      </w:r>
      <w:r>
        <w:rPr>
          <w:rFonts w:ascii="Segoe UI" w:hAnsi="Segoe UI"/>
          <w:spacing w:val="-7"/>
        </w:rPr>
        <w:t> </w:t>
      </w:r>
      <w:r>
        <w:rPr>
          <w:rFonts w:ascii="Segoe UI" w:hAnsi="Segoe UI"/>
        </w:rPr>
        <w:t>standardised</w:t>
      </w:r>
      <w:r>
        <w:rPr>
          <w:rFonts w:ascii="Segoe UI" w:hAnsi="Segoe UI"/>
          <w:spacing w:val="-7"/>
        </w:rPr>
        <w:t> </w:t>
      </w:r>
      <w:r>
        <w:rPr>
          <w:rFonts w:ascii="Segoe UI" w:hAnsi="Segoe UI"/>
        </w:rPr>
        <w:t>priority</w:t>
      </w:r>
      <w:r>
        <w:rPr>
          <w:rFonts w:ascii="Segoe UI" w:hAnsi="Segoe UI"/>
          <w:spacing w:val="-6"/>
        </w:rPr>
        <w:t> </w:t>
      </w:r>
      <w:r>
        <w:rPr>
          <w:rFonts w:ascii="Segoe UI" w:hAnsi="Segoe UI"/>
        </w:rPr>
        <w:t>pathways</w:t>
      </w:r>
      <w:r>
        <w:rPr>
          <w:rFonts w:ascii="Segoe UI" w:hAnsi="Segoe UI"/>
          <w:spacing w:val="-7"/>
        </w:rPr>
        <w:t> </w:t>
      </w:r>
      <w:r>
        <w:rPr>
          <w:rFonts w:ascii="Segoe UI" w:hAnsi="Segoe UI"/>
        </w:rPr>
        <w:t>and</w:t>
      </w:r>
      <w:r>
        <w:rPr>
          <w:rFonts w:ascii="Segoe UI" w:hAnsi="Segoe UI"/>
          <w:spacing w:val="-7"/>
        </w:rPr>
        <w:t> </w:t>
      </w:r>
      <w:r>
        <w:rPr>
          <w:rFonts w:ascii="Segoe UI" w:hAnsi="Segoe UI"/>
        </w:rPr>
        <w:t>development of future regional service-model options.</w:t>
      </w:r>
    </w:p>
    <w:p>
      <w:pPr>
        <w:pStyle w:val="BodyText"/>
        <w:tabs>
          <w:tab w:pos="1599" w:val="left" w:leader="none"/>
        </w:tabs>
        <w:ind w:left="1239"/>
        <w:rPr>
          <w:rFonts w:ascii="Segoe UI" w:hAnsi="Segoe UI"/>
        </w:rPr>
      </w:pPr>
      <w:r>
        <w:rPr>
          <w:rFonts w:ascii="Calibri" w:hAnsi="Calibri"/>
          <w:spacing w:val="-10"/>
          <w:sz w:val="20"/>
        </w:rPr>
        <w:t>−</w:t>
      </w:r>
      <w:r>
        <w:rPr>
          <w:rFonts w:ascii="Calibri" w:hAnsi="Calibri"/>
          <w:sz w:val="20"/>
        </w:rPr>
        <w:tab/>
      </w:r>
      <w:r>
        <w:rPr>
          <w:rFonts w:ascii="Segoe UI" w:hAnsi="Segoe UI"/>
        </w:rPr>
        <w:t>Development</w:t>
      </w:r>
      <w:r>
        <w:rPr>
          <w:rFonts w:ascii="Segoe UI" w:hAnsi="Segoe UI"/>
          <w:spacing w:val="-8"/>
        </w:rPr>
        <w:t> </w:t>
      </w:r>
      <w:r>
        <w:rPr>
          <w:rFonts w:ascii="Segoe UI" w:hAnsi="Segoe UI"/>
        </w:rPr>
        <w:t>of</w:t>
      </w:r>
      <w:r>
        <w:rPr>
          <w:rFonts w:ascii="Segoe UI" w:hAnsi="Segoe UI"/>
          <w:spacing w:val="1"/>
        </w:rPr>
        <w:t> </w:t>
      </w:r>
      <w:r>
        <w:rPr>
          <w:rFonts w:ascii="Segoe UI" w:hAnsi="Segoe UI"/>
        </w:rPr>
        <w:t>a</w:t>
      </w:r>
      <w:r>
        <w:rPr>
          <w:rFonts w:ascii="Segoe UI" w:hAnsi="Segoe UI"/>
          <w:spacing w:val="-5"/>
        </w:rPr>
        <w:t> </w:t>
      </w:r>
      <w:r>
        <w:rPr>
          <w:rFonts w:ascii="Segoe UI" w:hAnsi="Segoe UI"/>
        </w:rPr>
        <w:t>regional</w:t>
      </w:r>
      <w:r>
        <w:rPr>
          <w:rFonts w:ascii="Segoe UI" w:hAnsi="Segoe UI"/>
          <w:spacing w:val="-2"/>
        </w:rPr>
        <w:t> </w:t>
      </w:r>
      <w:r>
        <w:rPr>
          <w:rFonts w:ascii="Segoe UI" w:hAnsi="Segoe UI"/>
        </w:rPr>
        <w:t>patient</w:t>
      </w:r>
      <w:r>
        <w:rPr>
          <w:rFonts w:ascii="Segoe UI" w:hAnsi="Segoe UI"/>
          <w:spacing w:val="-5"/>
        </w:rPr>
        <w:t> </w:t>
      </w:r>
      <w:r>
        <w:rPr>
          <w:rFonts w:ascii="Segoe UI" w:hAnsi="Segoe UI"/>
        </w:rPr>
        <w:t>experience</w:t>
      </w:r>
      <w:r>
        <w:rPr>
          <w:rFonts w:ascii="Segoe UI" w:hAnsi="Segoe UI"/>
          <w:spacing w:val="-4"/>
        </w:rPr>
        <w:t> </w:t>
      </w:r>
      <w:r>
        <w:rPr>
          <w:rFonts w:ascii="Segoe UI" w:hAnsi="Segoe UI"/>
          <w:spacing w:val="-2"/>
        </w:rPr>
        <w:t>framework.</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Regional</w:t>
      </w:r>
      <w:r>
        <w:rPr>
          <w:rFonts w:ascii="Segoe UI" w:hAnsi="Segoe UI"/>
          <w:spacing w:val="-6"/>
        </w:rPr>
        <w:t> </w:t>
      </w:r>
      <w:r>
        <w:rPr>
          <w:rFonts w:ascii="Segoe UI" w:hAnsi="Segoe UI"/>
        </w:rPr>
        <w:t>standards</w:t>
      </w:r>
      <w:r>
        <w:rPr>
          <w:rFonts w:ascii="Segoe UI" w:hAnsi="Segoe UI"/>
          <w:spacing w:val="-2"/>
        </w:rPr>
        <w:t> </w:t>
      </w:r>
      <w:r>
        <w:rPr>
          <w:rFonts w:ascii="Segoe UI" w:hAnsi="Segoe UI"/>
        </w:rPr>
        <w:t>for</w:t>
      </w:r>
      <w:r>
        <w:rPr>
          <w:rFonts w:ascii="Segoe UI" w:hAnsi="Segoe UI"/>
          <w:spacing w:val="-3"/>
        </w:rPr>
        <w:t> </w:t>
      </w:r>
      <w:r>
        <w:rPr>
          <w:rFonts w:ascii="Segoe UI" w:hAnsi="Segoe UI"/>
        </w:rPr>
        <w:t>accessible</w:t>
      </w:r>
      <w:r>
        <w:rPr>
          <w:rFonts w:ascii="Segoe UI" w:hAnsi="Segoe UI"/>
          <w:spacing w:val="-6"/>
        </w:rPr>
        <w:t> </w:t>
      </w:r>
      <w:r>
        <w:rPr>
          <w:rFonts w:ascii="Segoe UI" w:hAnsi="Segoe UI"/>
        </w:rPr>
        <w:t>information</w:t>
      </w:r>
      <w:r>
        <w:rPr>
          <w:rFonts w:ascii="Segoe UI" w:hAnsi="Segoe UI"/>
          <w:spacing w:val="-6"/>
        </w:rPr>
        <w:t> </w:t>
      </w:r>
      <w:r>
        <w:rPr>
          <w:rFonts w:ascii="Segoe UI" w:hAnsi="Segoe UI"/>
        </w:rPr>
        <w:t>and</w:t>
      </w:r>
      <w:r>
        <w:rPr>
          <w:rFonts w:ascii="Segoe UI" w:hAnsi="Segoe UI"/>
          <w:spacing w:val="-6"/>
        </w:rPr>
        <w:t> </w:t>
      </w:r>
      <w:r>
        <w:rPr>
          <w:rFonts w:ascii="Segoe UI" w:hAnsi="Segoe UI"/>
          <w:spacing w:val="-2"/>
        </w:rPr>
        <w:t>communications.</w:t>
      </w:r>
    </w:p>
    <w:p>
      <w:pPr>
        <w:pStyle w:val="BodyText"/>
        <w:tabs>
          <w:tab w:pos="1599" w:val="left" w:leader="none"/>
        </w:tabs>
        <w:spacing w:before="1"/>
        <w:ind w:left="1599" w:right="1794" w:hanging="360"/>
        <w:rPr>
          <w:rFonts w:ascii="Segoe UI" w:hAnsi="Segoe UI"/>
        </w:rPr>
      </w:pPr>
      <w:r>
        <w:rPr>
          <w:rFonts w:ascii="Calibri" w:hAnsi="Calibri"/>
          <w:spacing w:val="-10"/>
          <w:sz w:val="20"/>
        </w:rPr>
        <w:t>−</w:t>
      </w:r>
      <w:r>
        <w:rPr>
          <w:rFonts w:ascii="Calibri" w:hAnsi="Calibri"/>
          <w:sz w:val="20"/>
        </w:rPr>
        <w:tab/>
      </w:r>
      <w:r>
        <w:rPr>
          <w:rFonts w:ascii="Segoe UI" w:hAnsi="Segoe UI"/>
        </w:rPr>
        <w:t>Regional</w:t>
      </w:r>
      <w:r>
        <w:rPr>
          <w:rFonts w:ascii="Segoe UI" w:hAnsi="Segoe UI"/>
          <w:spacing w:val="-3"/>
        </w:rPr>
        <w:t> </w:t>
      </w:r>
      <w:r>
        <w:rPr>
          <w:rFonts w:ascii="Segoe UI" w:hAnsi="Segoe UI"/>
        </w:rPr>
        <w:t>referral</w:t>
      </w:r>
      <w:r>
        <w:rPr>
          <w:rFonts w:ascii="Segoe UI" w:hAnsi="Segoe UI"/>
          <w:spacing w:val="-3"/>
        </w:rPr>
        <w:t> </w:t>
      </w:r>
      <w:r>
        <w:rPr>
          <w:rFonts w:ascii="Segoe UI" w:hAnsi="Segoe UI"/>
        </w:rPr>
        <w:t>pathways</w:t>
      </w:r>
      <w:r>
        <w:rPr>
          <w:rFonts w:ascii="Segoe UI" w:hAnsi="Segoe UI"/>
          <w:spacing w:val="-1"/>
        </w:rPr>
        <w:t> </w:t>
      </w:r>
      <w:r>
        <w:rPr>
          <w:rFonts w:ascii="Segoe UI" w:hAnsi="Segoe UI"/>
        </w:rPr>
        <w:t>into</w:t>
      </w:r>
      <w:r>
        <w:rPr>
          <w:rFonts w:ascii="Segoe UI" w:hAnsi="Segoe UI"/>
          <w:spacing w:val="-5"/>
        </w:rPr>
        <w:t> </w:t>
      </w:r>
      <w:r>
        <w:rPr>
          <w:rFonts w:ascii="Segoe UI" w:hAnsi="Segoe UI"/>
        </w:rPr>
        <w:t>support</w:t>
      </w:r>
      <w:r>
        <w:rPr>
          <w:rFonts w:ascii="Segoe UI" w:hAnsi="Segoe UI"/>
          <w:spacing w:val="-6"/>
        </w:rPr>
        <w:t> </w:t>
      </w:r>
      <w:r>
        <w:rPr>
          <w:rFonts w:ascii="Segoe UI" w:hAnsi="Segoe UI"/>
        </w:rPr>
        <w:t>services,</w:t>
      </w:r>
      <w:r>
        <w:rPr>
          <w:rFonts w:ascii="Segoe UI" w:hAnsi="Segoe UI"/>
          <w:spacing w:val="-6"/>
        </w:rPr>
        <w:t> </w:t>
      </w:r>
      <w:r>
        <w:rPr>
          <w:rFonts w:ascii="Segoe UI" w:hAnsi="Segoe UI"/>
        </w:rPr>
        <w:t>including</w:t>
      </w:r>
      <w:r>
        <w:rPr>
          <w:rFonts w:ascii="Segoe UI" w:hAnsi="Segoe UI"/>
          <w:spacing w:val="-6"/>
        </w:rPr>
        <w:t> </w:t>
      </w:r>
      <w:r>
        <w:rPr>
          <w:rFonts w:ascii="Segoe UI" w:hAnsi="Segoe UI"/>
        </w:rPr>
        <w:t>ECLO</w:t>
      </w:r>
      <w:r>
        <w:rPr>
          <w:rFonts w:ascii="Segoe UI" w:hAnsi="Segoe UI"/>
          <w:spacing w:val="-5"/>
        </w:rPr>
        <w:t> </w:t>
      </w:r>
      <w:r>
        <w:rPr>
          <w:rFonts w:ascii="Segoe UI" w:hAnsi="Segoe UI"/>
        </w:rPr>
        <w:t>and</w:t>
      </w:r>
      <w:r>
        <w:rPr>
          <w:rFonts w:ascii="Segoe UI" w:hAnsi="Segoe UI"/>
          <w:spacing w:val="-6"/>
        </w:rPr>
        <w:t> </w:t>
      </w:r>
      <w:r>
        <w:rPr>
          <w:rFonts w:ascii="Segoe UI" w:hAnsi="Segoe UI"/>
        </w:rPr>
        <w:t>third-sector </w:t>
      </w:r>
      <w:r>
        <w:rPr>
          <w:rFonts w:ascii="Segoe UI" w:hAnsi="Segoe UI"/>
          <w:spacing w:val="-2"/>
        </w:rPr>
        <w:t>provision.</w:t>
      </w:r>
    </w:p>
    <w:p>
      <w:pPr>
        <w:pStyle w:val="BodyText"/>
        <w:tabs>
          <w:tab w:pos="1599" w:val="left" w:leader="none"/>
        </w:tabs>
        <w:spacing w:before="1"/>
        <w:ind w:left="1239"/>
        <w:rPr>
          <w:rFonts w:ascii="Segoe UI" w:hAnsi="Segoe UI"/>
        </w:rPr>
      </w:pPr>
      <w:r>
        <w:rPr>
          <w:rFonts w:ascii="Calibri" w:hAnsi="Calibri"/>
          <w:spacing w:val="-10"/>
          <w:sz w:val="20"/>
        </w:rPr>
        <w:t>−</w:t>
      </w:r>
      <w:r>
        <w:rPr>
          <w:rFonts w:ascii="Calibri" w:hAnsi="Calibri"/>
          <w:sz w:val="20"/>
        </w:rPr>
        <w:tab/>
      </w:r>
      <w:r>
        <w:rPr>
          <w:rFonts w:ascii="Segoe UI" w:hAnsi="Segoe UI"/>
        </w:rPr>
        <w:t>Assessment</w:t>
      </w:r>
      <w:r>
        <w:rPr>
          <w:rFonts w:ascii="Segoe UI" w:hAnsi="Segoe UI"/>
          <w:spacing w:val="-5"/>
        </w:rPr>
        <w:t> </w:t>
      </w:r>
      <w:r>
        <w:rPr>
          <w:rFonts w:ascii="Segoe UI" w:hAnsi="Segoe UI"/>
        </w:rPr>
        <w:t>of</w:t>
      </w:r>
      <w:r>
        <w:rPr>
          <w:rFonts w:ascii="Segoe UI" w:hAnsi="Segoe UI"/>
          <w:spacing w:val="-7"/>
        </w:rPr>
        <w:t> </w:t>
      </w:r>
      <w:r>
        <w:rPr>
          <w:rFonts w:ascii="Segoe UI" w:hAnsi="Segoe UI"/>
        </w:rPr>
        <w:t>patient</w:t>
      </w:r>
      <w:r>
        <w:rPr>
          <w:rFonts w:ascii="Segoe UI" w:hAnsi="Segoe UI"/>
          <w:spacing w:val="-7"/>
        </w:rPr>
        <w:t> </w:t>
      </w:r>
      <w:r>
        <w:rPr>
          <w:rFonts w:ascii="Segoe UI" w:hAnsi="Segoe UI"/>
        </w:rPr>
        <w:t>transport</w:t>
      </w:r>
      <w:r>
        <w:rPr>
          <w:rFonts w:ascii="Segoe UI" w:hAnsi="Segoe UI"/>
          <w:spacing w:val="-3"/>
        </w:rPr>
        <w:t> </w:t>
      </w:r>
      <w:r>
        <w:rPr>
          <w:rFonts w:ascii="Segoe UI" w:hAnsi="Segoe UI"/>
        </w:rPr>
        <w:t>and</w:t>
      </w:r>
      <w:r>
        <w:rPr>
          <w:rFonts w:ascii="Segoe UI" w:hAnsi="Segoe UI"/>
          <w:spacing w:val="-3"/>
        </w:rPr>
        <w:t> </w:t>
      </w:r>
      <w:r>
        <w:rPr>
          <w:rFonts w:ascii="Segoe UI" w:hAnsi="Segoe UI"/>
        </w:rPr>
        <w:t>travel</w:t>
      </w:r>
      <w:r>
        <w:rPr>
          <w:rFonts w:ascii="Segoe UI" w:hAnsi="Segoe UI"/>
          <w:spacing w:val="-4"/>
        </w:rPr>
        <w:t> </w:t>
      </w:r>
      <w:r>
        <w:rPr>
          <w:rFonts w:ascii="Segoe UI" w:hAnsi="Segoe UI"/>
        </w:rPr>
        <w:t>implications</w:t>
      </w:r>
      <w:r>
        <w:rPr>
          <w:rFonts w:ascii="Segoe UI" w:hAnsi="Segoe UI"/>
          <w:spacing w:val="-3"/>
        </w:rPr>
        <w:t> </w:t>
      </w:r>
      <w:r>
        <w:rPr>
          <w:rFonts w:ascii="Segoe UI" w:hAnsi="Segoe UI"/>
        </w:rPr>
        <w:t>associated</w:t>
      </w:r>
      <w:r>
        <w:rPr>
          <w:rFonts w:ascii="Segoe UI" w:hAnsi="Segoe UI"/>
          <w:spacing w:val="-3"/>
        </w:rPr>
        <w:t> </w:t>
      </w:r>
      <w:r>
        <w:rPr>
          <w:rFonts w:ascii="Segoe UI" w:hAnsi="Segoe UI"/>
        </w:rPr>
        <w:t>with</w:t>
      </w:r>
      <w:r>
        <w:rPr>
          <w:rFonts w:ascii="Segoe UI" w:hAnsi="Segoe UI"/>
          <w:spacing w:val="-6"/>
        </w:rPr>
        <w:t> </w:t>
      </w:r>
      <w:r>
        <w:rPr>
          <w:rFonts w:ascii="Segoe UI" w:hAnsi="Segoe UI"/>
        </w:rPr>
        <w:t>service</w:t>
      </w:r>
      <w:r>
        <w:rPr>
          <w:rFonts w:ascii="Segoe UI" w:hAnsi="Segoe UI"/>
          <w:spacing w:val="-6"/>
        </w:rPr>
        <w:t> </w:t>
      </w:r>
      <w:r>
        <w:rPr>
          <w:rFonts w:ascii="Segoe UI" w:hAnsi="Segoe UI"/>
          <w:spacing w:val="-2"/>
        </w:rPr>
        <w:t>redesign.</w:t>
      </w:r>
    </w:p>
    <w:p>
      <w:pPr>
        <w:pStyle w:val="BodyText"/>
        <w:tabs>
          <w:tab w:pos="1599" w:val="left" w:leader="none"/>
        </w:tabs>
        <w:spacing w:before="1"/>
        <w:ind w:left="1599" w:right="2339" w:hanging="360"/>
        <w:rPr>
          <w:rFonts w:ascii="Segoe UI" w:hAnsi="Segoe UI"/>
        </w:rPr>
      </w:pPr>
      <w:r>
        <w:rPr>
          <w:rFonts w:ascii="Calibri" w:hAnsi="Calibri"/>
          <w:spacing w:val="-10"/>
          <w:sz w:val="20"/>
        </w:rPr>
        <w:t>−</w:t>
      </w:r>
      <w:r>
        <w:rPr>
          <w:rFonts w:ascii="Calibri" w:hAnsi="Calibri"/>
          <w:sz w:val="20"/>
        </w:rPr>
        <w:tab/>
      </w:r>
      <w:r>
        <w:rPr>
          <w:rFonts w:ascii="Segoe UI" w:hAnsi="Segoe UI"/>
        </w:rPr>
        <w:t>Equity</w:t>
      </w:r>
      <w:r>
        <w:rPr>
          <w:rFonts w:ascii="Segoe UI" w:hAnsi="Segoe UI"/>
          <w:spacing w:val="-8"/>
        </w:rPr>
        <w:t> </w:t>
      </w:r>
      <w:r>
        <w:rPr>
          <w:rFonts w:ascii="Segoe UI" w:hAnsi="Segoe UI"/>
        </w:rPr>
        <w:t>assessments</w:t>
      </w:r>
      <w:r>
        <w:rPr>
          <w:rFonts w:ascii="Segoe UI" w:hAnsi="Segoe UI"/>
          <w:spacing w:val="-4"/>
        </w:rPr>
        <w:t> </w:t>
      </w:r>
      <w:r>
        <w:rPr>
          <w:rFonts w:ascii="Segoe UI" w:hAnsi="Segoe UI"/>
        </w:rPr>
        <w:t>addressing</w:t>
      </w:r>
      <w:r>
        <w:rPr>
          <w:rFonts w:ascii="Segoe UI" w:hAnsi="Segoe UI"/>
          <w:spacing w:val="-9"/>
        </w:rPr>
        <w:t> </w:t>
      </w:r>
      <w:r>
        <w:rPr>
          <w:rFonts w:ascii="Segoe UI" w:hAnsi="Segoe UI"/>
        </w:rPr>
        <w:t>language,</w:t>
      </w:r>
      <w:r>
        <w:rPr>
          <w:rFonts w:ascii="Segoe UI" w:hAnsi="Segoe UI"/>
          <w:spacing w:val="-9"/>
        </w:rPr>
        <w:t> </w:t>
      </w:r>
      <w:r>
        <w:rPr>
          <w:rFonts w:ascii="Segoe UI" w:hAnsi="Segoe UI"/>
        </w:rPr>
        <w:t>culture,</w:t>
      </w:r>
      <w:r>
        <w:rPr>
          <w:rFonts w:ascii="Segoe UI" w:hAnsi="Segoe UI"/>
          <w:spacing w:val="-10"/>
        </w:rPr>
        <w:t> </w:t>
      </w:r>
      <w:r>
        <w:rPr>
          <w:rFonts w:ascii="Segoe UI" w:hAnsi="Segoe UI"/>
        </w:rPr>
        <w:t>deprivation</w:t>
      </w:r>
      <w:r>
        <w:rPr>
          <w:rFonts w:ascii="Segoe UI" w:hAnsi="Segoe UI"/>
          <w:spacing w:val="-4"/>
        </w:rPr>
        <w:t> </w:t>
      </w:r>
      <w:r>
        <w:rPr>
          <w:rFonts w:ascii="Segoe UI" w:hAnsi="Segoe UI"/>
        </w:rPr>
        <w:t>and</w:t>
      </w:r>
      <w:r>
        <w:rPr>
          <w:rFonts w:ascii="Segoe UI" w:hAnsi="Segoe UI"/>
          <w:spacing w:val="-4"/>
        </w:rPr>
        <w:t> </w:t>
      </w:r>
      <w:r>
        <w:rPr>
          <w:rFonts w:ascii="Segoe UI" w:hAnsi="Segoe UI"/>
        </w:rPr>
        <w:t>protected </w:t>
      </w:r>
      <w:r>
        <w:rPr>
          <w:rFonts w:ascii="Segoe UI" w:hAnsi="Segoe UI"/>
          <w:spacing w:val="-2"/>
        </w:rPr>
        <w:t>characteristics.</w:t>
      </w:r>
    </w:p>
    <w:p>
      <w:pPr>
        <w:pStyle w:val="ListParagraph"/>
        <w:numPr>
          <w:ilvl w:val="1"/>
          <w:numId w:val="13"/>
        </w:numPr>
        <w:tabs>
          <w:tab w:pos="1217" w:val="left" w:leader="none"/>
          <w:tab w:pos="11113" w:val="left" w:leader="none"/>
        </w:tabs>
        <w:spacing w:line="240" w:lineRule="auto" w:before="274" w:after="0"/>
        <w:ind w:left="1217" w:right="0" w:hanging="368"/>
        <w:jc w:val="left"/>
        <w:rPr>
          <w:rFonts w:ascii="Segoe UI"/>
          <w:b/>
          <w:color w:val="1F4E79"/>
          <w:sz w:val="22"/>
        </w:rPr>
      </w:pPr>
      <w:r>
        <w:rPr>
          <w:rFonts w:ascii="Segoe UI"/>
          <w:b/>
          <w:color w:val="1F4E79"/>
          <w:sz w:val="22"/>
          <w:shd w:fill="EAF1F8" w:color="auto" w:val="clear"/>
        </w:rPr>
        <w:t>Out</w:t>
      </w:r>
      <w:r>
        <w:rPr>
          <w:rFonts w:ascii="Segoe UI"/>
          <w:b/>
          <w:color w:val="1F4E79"/>
          <w:spacing w:val="-5"/>
          <w:sz w:val="22"/>
          <w:shd w:fill="EAF1F8" w:color="auto" w:val="clear"/>
        </w:rPr>
        <w:t> </w:t>
      </w:r>
      <w:r>
        <w:rPr>
          <w:rFonts w:ascii="Segoe UI"/>
          <w:b/>
          <w:color w:val="1F4E79"/>
          <w:sz w:val="22"/>
          <w:shd w:fill="EAF1F8" w:color="auto" w:val="clear"/>
        </w:rPr>
        <w:t>of</w:t>
      </w:r>
      <w:r>
        <w:rPr>
          <w:rFonts w:ascii="Segoe UI"/>
          <w:b/>
          <w:color w:val="1F4E79"/>
          <w:spacing w:val="-1"/>
          <w:sz w:val="22"/>
          <w:shd w:fill="EAF1F8" w:color="auto" w:val="clear"/>
        </w:rPr>
        <w:t> </w:t>
      </w:r>
      <w:r>
        <w:rPr>
          <w:rFonts w:ascii="Segoe UI"/>
          <w:b/>
          <w:color w:val="1F4E79"/>
          <w:spacing w:val="-2"/>
          <w:sz w:val="22"/>
          <w:shd w:fill="EAF1F8" w:color="auto" w:val="clear"/>
        </w:rPr>
        <w:t>Scope</w:t>
      </w:r>
      <w:r>
        <w:rPr>
          <w:rFonts w:ascii="Segoe UI"/>
          <w:b/>
          <w:color w:val="1F4E79"/>
          <w:sz w:val="22"/>
          <w:shd w:fill="EAF1F8" w:color="auto" w:val="clear"/>
        </w:rPr>
        <w:tab/>
      </w:r>
    </w:p>
    <w:p>
      <w:pPr>
        <w:pStyle w:val="BodyText"/>
        <w:spacing w:before="38"/>
        <w:rPr>
          <w:rFonts w:ascii="Segoe UI"/>
          <w:b/>
          <w:sz w:val="22"/>
        </w:rPr>
      </w:pPr>
    </w:p>
    <w:p>
      <w:pPr>
        <w:pStyle w:val="BodyText"/>
        <w:ind w:left="1599" w:right="1086"/>
        <w:rPr>
          <w:rFonts w:ascii="Segoe UI"/>
        </w:rPr>
      </w:pPr>
      <w:r>
        <w:rPr>
          <w:rFonts w:ascii="Segoe UI"/>
        </w:rPr>
        <w:t>Detailed</w:t>
      </w:r>
      <w:r>
        <w:rPr>
          <w:rFonts w:ascii="Segoe UI"/>
          <w:spacing w:val="-8"/>
        </w:rPr>
        <w:t> </w:t>
      </w:r>
      <w:r>
        <w:rPr>
          <w:rFonts w:ascii="Segoe UI"/>
        </w:rPr>
        <w:t>local</w:t>
      </w:r>
      <w:r>
        <w:rPr>
          <w:rFonts w:ascii="Segoe UI"/>
          <w:spacing w:val="-5"/>
        </w:rPr>
        <w:t> </w:t>
      </w:r>
      <w:r>
        <w:rPr>
          <w:rFonts w:ascii="Segoe UI"/>
        </w:rPr>
        <w:t>operational delivery</w:t>
      </w:r>
      <w:r>
        <w:rPr>
          <w:rFonts w:ascii="Segoe UI"/>
          <w:spacing w:val="-6"/>
        </w:rPr>
        <w:t> </w:t>
      </w:r>
      <w:r>
        <w:rPr>
          <w:rFonts w:ascii="Segoe UI"/>
        </w:rPr>
        <w:t>remains</w:t>
      </w:r>
      <w:r>
        <w:rPr>
          <w:rFonts w:ascii="Segoe UI"/>
          <w:spacing w:val="-8"/>
        </w:rPr>
        <w:t> </w:t>
      </w:r>
      <w:r>
        <w:rPr>
          <w:rFonts w:ascii="Segoe UI"/>
        </w:rPr>
        <w:t>the</w:t>
      </w:r>
      <w:r>
        <w:rPr>
          <w:rFonts w:ascii="Segoe UI"/>
          <w:spacing w:val="-2"/>
        </w:rPr>
        <w:t> </w:t>
      </w:r>
      <w:r>
        <w:rPr>
          <w:rFonts w:ascii="Segoe UI"/>
        </w:rPr>
        <w:t>responsibility</w:t>
      </w:r>
      <w:r>
        <w:rPr>
          <w:rFonts w:ascii="Segoe UI"/>
          <w:spacing w:val="-7"/>
        </w:rPr>
        <w:t> </w:t>
      </w:r>
      <w:r>
        <w:rPr>
          <w:rFonts w:ascii="Segoe UI"/>
        </w:rPr>
        <w:t>of</w:t>
      </w:r>
      <w:r>
        <w:rPr>
          <w:rFonts w:ascii="Segoe UI"/>
          <w:spacing w:val="-7"/>
        </w:rPr>
        <w:t> </w:t>
      </w:r>
      <w:r>
        <w:rPr>
          <w:rFonts w:ascii="Segoe UI"/>
        </w:rPr>
        <w:t>the</w:t>
      </w:r>
      <w:r>
        <w:rPr>
          <w:rFonts w:ascii="Segoe UI"/>
          <w:spacing w:val="-7"/>
        </w:rPr>
        <w:t> </w:t>
      </w:r>
      <w:r>
        <w:rPr>
          <w:rFonts w:ascii="Segoe UI"/>
        </w:rPr>
        <w:t>constituent</w:t>
      </w:r>
      <w:r>
        <w:rPr>
          <w:rFonts w:ascii="Segoe UI"/>
          <w:spacing w:val="-3"/>
        </w:rPr>
        <w:t> </w:t>
      </w:r>
      <w:r>
        <w:rPr>
          <w:rFonts w:ascii="Segoe UI"/>
        </w:rPr>
        <w:t>Health Boards, except where explicitly agreed as part of the regional programme.</w:t>
      </w:r>
    </w:p>
    <w:p>
      <w:pPr>
        <w:pStyle w:val="BodyText"/>
        <w:spacing w:before="158"/>
        <w:rPr>
          <w:rFonts w:ascii="Segoe UI"/>
        </w:rPr>
      </w:pPr>
    </w:p>
    <w:p>
      <w:pPr>
        <w:pStyle w:val="Heading3"/>
        <w:numPr>
          <w:ilvl w:val="0"/>
          <w:numId w:val="13"/>
        </w:numPr>
        <w:tabs>
          <w:tab w:pos="879" w:val="left" w:leader="none"/>
        </w:tabs>
        <w:spacing w:line="240" w:lineRule="auto" w:before="0" w:after="0"/>
        <w:ind w:left="879" w:right="0" w:hanging="565"/>
        <w:jc w:val="left"/>
        <w:rPr>
          <w:color w:val="1F4E79"/>
        </w:rPr>
      </w:pPr>
      <w:r>
        <w:rPr>
          <w:color w:val="1F4E79"/>
        </w:rPr>
        <w:t>Programme</w:t>
      </w:r>
      <w:r>
        <w:rPr>
          <w:color w:val="1F4E79"/>
          <w:spacing w:val="2"/>
        </w:rPr>
        <w:t> </w:t>
      </w:r>
      <w:r>
        <w:rPr>
          <w:color w:val="1F4E79"/>
          <w:spacing w:val="-2"/>
        </w:rPr>
        <w:t>Deliverables</w:t>
      </w:r>
    </w:p>
    <w:p>
      <w:pPr>
        <w:pStyle w:val="BodyText"/>
        <w:rPr>
          <w:rFonts w:ascii="Segoe UI"/>
          <w:b/>
          <w:sz w:val="20"/>
        </w:rPr>
      </w:pPr>
    </w:p>
    <w:p>
      <w:pPr>
        <w:pStyle w:val="BodyText"/>
        <w:spacing w:before="3"/>
        <w:rPr>
          <w:rFonts w:ascii="Segoe UI"/>
          <w:b/>
          <w:sz w:val="20"/>
        </w:rPr>
      </w:pPr>
    </w:p>
    <w:tbl>
      <w:tblPr>
        <w:tblW w:w="0" w:type="auto"/>
        <w:jc w:val="left"/>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71"/>
        <w:gridCol w:w="4647"/>
        <w:gridCol w:w="1705"/>
        <w:gridCol w:w="1570"/>
      </w:tblGrid>
      <w:tr>
        <w:trPr>
          <w:trHeight w:val="765" w:hRule="atLeast"/>
        </w:trPr>
        <w:tc>
          <w:tcPr>
            <w:tcW w:w="2271" w:type="dxa"/>
            <w:shd w:val="clear" w:color="auto" w:fill="DBE4F0"/>
          </w:tcPr>
          <w:p>
            <w:pPr>
              <w:pStyle w:val="TableParagraph"/>
              <w:spacing w:before="237"/>
              <w:ind w:left="90"/>
              <w:rPr>
                <w:rFonts w:ascii="Calibri"/>
                <w:b/>
                <w:sz w:val="24"/>
              </w:rPr>
            </w:pPr>
            <w:r>
              <w:rPr>
                <w:rFonts w:ascii="Calibri"/>
                <w:b/>
                <w:color w:val="1F4E79"/>
                <w:spacing w:val="-2"/>
                <w:sz w:val="24"/>
              </w:rPr>
              <w:t>Deliverable</w:t>
            </w:r>
          </w:p>
        </w:tc>
        <w:tc>
          <w:tcPr>
            <w:tcW w:w="4647" w:type="dxa"/>
            <w:shd w:val="clear" w:color="auto" w:fill="DBE4F0"/>
          </w:tcPr>
          <w:p>
            <w:pPr>
              <w:pStyle w:val="TableParagraph"/>
              <w:spacing w:before="237"/>
              <w:ind w:left="90"/>
              <w:rPr>
                <w:rFonts w:ascii="Calibri"/>
                <w:b/>
                <w:sz w:val="24"/>
              </w:rPr>
            </w:pPr>
            <w:r>
              <w:rPr>
                <w:rFonts w:ascii="Calibri"/>
                <w:b/>
                <w:color w:val="1F4E79"/>
                <w:spacing w:val="-2"/>
                <w:sz w:val="24"/>
              </w:rPr>
              <w:t>Description</w:t>
            </w:r>
          </w:p>
        </w:tc>
        <w:tc>
          <w:tcPr>
            <w:tcW w:w="1705" w:type="dxa"/>
            <w:shd w:val="clear" w:color="auto" w:fill="DBE4F0"/>
          </w:tcPr>
          <w:p>
            <w:pPr>
              <w:pStyle w:val="TableParagraph"/>
              <w:spacing w:line="242" w:lineRule="auto" w:before="87"/>
              <w:ind w:left="89" w:right="173"/>
              <w:rPr>
                <w:rFonts w:ascii="Calibri"/>
                <w:b/>
                <w:sz w:val="24"/>
              </w:rPr>
            </w:pPr>
            <w:r>
              <w:rPr>
                <w:rFonts w:ascii="Calibri"/>
                <w:b/>
                <w:color w:val="1F4E79"/>
                <w:spacing w:val="-2"/>
                <w:sz w:val="24"/>
              </w:rPr>
              <w:t>Proposed Owner</w:t>
            </w:r>
          </w:p>
        </w:tc>
        <w:tc>
          <w:tcPr>
            <w:tcW w:w="1570" w:type="dxa"/>
            <w:shd w:val="clear" w:color="auto" w:fill="DBE4F0"/>
          </w:tcPr>
          <w:p>
            <w:pPr>
              <w:pStyle w:val="TableParagraph"/>
              <w:spacing w:line="242" w:lineRule="auto" w:before="87"/>
              <w:ind w:left="90"/>
              <w:rPr>
                <w:rFonts w:ascii="Calibri"/>
                <w:b/>
                <w:sz w:val="24"/>
              </w:rPr>
            </w:pPr>
            <w:r>
              <w:rPr>
                <w:rFonts w:ascii="Calibri"/>
                <w:b/>
                <w:color w:val="1F4E79"/>
                <w:spacing w:val="-2"/>
                <w:sz w:val="24"/>
              </w:rPr>
              <w:t>Proposed </w:t>
            </w:r>
            <w:r>
              <w:rPr>
                <w:rFonts w:ascii="Calibri"/>
                <w:b/>
                <w:color w:val="1F4E79"/>
                <w:sz w:val="24"/>
              </w:rPr>
              <w:t>Target</w:t>
            </w:r>
            <w:r>
              <w:rPr>
                <w:rFonts w:ascii="Calibri"/>
                <w:b/>
                <w:color w:val="1F4E79"/>
                <w:spacing w:val="-14"/>
                <w:sz w:val="24"/>
              </w:rPr>
              <w:t> </w:t>
            </w:r>
            <w:r>
              <w:rPr>
                <w:rFonts w:ascii="Calibri"/>
                <w:b/>
                <w:color w:val="1F4E79"/>
                <w:sz w:val="24"/>
              </w:rPr>
              <w:t>date</w:t>
            </w:r>
          </w:p>
        </w:tc>
      </w:tr>
      <w:tr>
        <w:trPr>
          <w:trHeight w:val="910" w:hRule="atLeast"/>
        </w:trPr>
        <w:tc>
          <w:tcPr>
            <w:tcW w:w="2271" w:type="dxa"/>
          </w:tcPr>
          <w:p>
            <w:pPr>
              <w:pStyle w:val="TableParagraph"/>
              <w:spacing w:before="54"/>
              <w:ind w:left="55" w:right="58"/>
              <w:rPr>
                <w:rFonts w:ascii="Segoe UI"/>
                <w:sz w:val="20"/>
              </w:rPr>
            </w:pPr>
            <w:r>
              <w:rPr>
                <w:rFonts w:ascii="Segoe UI"/>
                <w:sz w:val="20"/>
              </w:rPr>
              <w:t>Programme</w:t>
            </w:r>
            <w:r>
              <w:rPr>
                <w:rFonts w:ascii="Segoe UI"/>
                <w:spacing w:val="-14"/>
                <w:sz w:val="20"/>
              </w:rPr>
              <w:t> </w:t>
            </w:r>
            <w:r>
              <w:rPr>
                <w:rFonts w:ascii="Segoe UI"/>
                <w:sz w:val="20"/>
              </w:rPr>
              <w:t>Governance </w:t>
            </w:r>
            <w:r>
              <w:rPr>
                <w:rFonts w:ascii="Segoe UI"/>
                <w:spacing w:val="-2"/>
                <w:sz w:val="20"/>
              </w:rPr>
              <w:t>Reset</w:t>
            </w:r>
          </w:p>
        </w:tc>
        <w:tc>
          <w:tcPr>
            <w:tcW w:w="4647" w:type="dxa"/>
          </w:tcPr>
          <w:p>
            <w:pPr>
              <w:pStyle w:val="TableParagraph"/>
              <w:spacing w:line="242" w:lineRule="auto" w:before="54"/>
              <w:ind w:left="55"/>
              <w:rPr>
                <w:rFonts w:ascii="Segoe UI"/>
                <w:sz w:val="20"/>
              </w:rPr>
            </w:pPr>
            <w:r>
              <w:rPr>
                <w:rFonts w:ascii="Segoe UI"/>
                <w:sz w:val="20"/>
              </w:rPr>
              <w:t>Leadership, decision rights, reporting, risk and escalation</w:t>
            </w:r>
            <w:r>
              <w:rPr>
                <w:rFonts w:ascii="Segoe UI"/>
                <w:spacing w:val="-13"/>
                <w:sz w:val="20"/>
              </w:rPr>
              <w:t> </w:t>
            </w:r>
            <w:r>
              <w:rPr>
                <w:rFonts w:ascii="Segoe UI"/>
                <w:sz w:val="20"/>
              </w:rPr>
              <w:t>arrangements</w:t>
            </w:r>
            <w:r>
              <w:rPr>
                <w:rFonts w:ascii="Segoe UI"/>
                <w:spacing w:val="-14"/>
                <w:sz w:val="20"/>
              </w:rPr>
              <w:t> </w:t>
            </w:r>
            <w:r>
              <w:rPr>
                <w:rFonts w:ascii="Segoe UI"/>
                <w:sz w:val="20"/>
              </w:rPr>
              <w:t>implemented</w:t>
            </w:r>
            <w:r>
              <w:rPr>
                <w:rFonts w:ascii="Segoe UI"/>
                <w:spacing w:val="-12"/>
                <w:sz w:val="20"/>
              </w:rPr>
              <w:t> </w:t>
            </w:r>
            <w:r>
              <w:rPr>
                <w:rFonts w:ascii="Segoe UI"/>
                <w:sz w:val="20"/>
              </w:rPr>
              <w:t>following Programme Board agreement.</w:t>
            </w:r>
          </w:p>
        </w:tc>
        <w:tc>
          <w:tcPr>
            <w:tcW w:w="1705" w:type="dxa"/>
          </w:tcPr>
          <w:p>
            <w:pPr>
              <w:pStyle w:val="TableParagraph"/>
              <w:spacing w:before="54"/>
              <w:ind w:left="54" w:right="173"/>
              <w:rPr>
                <w:rFonts w:ascii="Segoe UI"/>
                <w:sz w:val="20"/>
              </w:rPr>
            </w:pPr>
            <w:r>
              <w:rPr>
                <w:rFonts w:ascii="Segoe UI"/>
                <w:sz w:val="20"/>
              </w:rPr>
              <w:t>Proposed</w:t>
            </w:r>
            <w:r>
              <w:rPr>
                <w:rFonts w:ascii="Segoe UI"/>
                <w:spacing w:val="-14"/>
                <w:sz w:val="20"/>
              </w:rPr>
              <w:t> </w:t>
            </w:r>
            <w:r>
              <w:rPr>
                <w:rFonts w:ascii="Segoe UI"/>
                <w:sz w:val="20"/>
              </w:rPr>
              <w:t>Craige </w:t>
            </w:r>
            <w:r>
              <w:rPr>
                <w:rFonts w:ascii="Segoe UI"/>
                <w:spacing w:val="-2"/>
                <w:sz w:val="20"/>
              </w:rPr>
              <w:t>Wilson</w:t>
            </w:r>
          </w:p>
        </w:tc>
        <w:tc>
          <w:tcPr>
            <w:tcW w:w="1570" w:type="dxa"/>
          </w:tcPr>
          <w:p>
            <w:pPr>
              <w:pStyle w:val="TableParagraph"/>
              <w:spacing w:before="54"/>
              <w:ind w:left="60"/>
              <w:rPr>
                <w:rFonts w:ascii="Segoe UI"/>
                <w:sz w:val="20"/>
              </w:rPr>
            </w:pPr>
            <w:r>
              <w:rPr>
                <w:rFonts w:ascii="Segoe UI"/>
                <w:sz w:val="20"/>
              </w:rPr>
              <w:t>Nov</w:t>
            </w:r>
            <w:r>
              <w:rPr>
                <w:rFonts w:ascii="Segoe UI"/>
                <w:spacing w:val="-3"/>
                <w:sz w:val="20"/>
              </w:rPr>
              <w:t> </w:t>
            </w:r>
            <w:r>
              <w:rPr>
                <w:rFonts w:ascii="Segoe UI"/>
                <w:spacing w:val="-4"/>
                <w:sz w:val="20"/>
              </w:rPr>
              <w:t>2026</w:t>
            </w:r>
          </w:p>
        </w:tc>
      </w:tr>
      <w:tr>
        <w:trPr>
          <w:trHeight w:val="650" w:hRule="atLeast"/>
        </w:trPr>
        <w:tc>
          <w:tcPr>
            <w:tcW w:w="2271" w:type="dxa"/>
          </w:tcPr>
          <w:p>
            <w:pPr>
              <w:pStyle w:val="TableParagraph"/>
              <w:spacing w:before="59"/>
              <w:ind w:left="55"/>
              <w:rPr>
                <w:rFonts w:ascii="Segoe UI"/>
                <w:sz w:val="20"/>
              </w:rPr>
            </w:pPr>
            <w:r>
              <w:rPr>
                <w:rFonts w:ascii="Segoe UI"/>
                <w:sz w:val="20"/>
              </w:rPr>
              <w:t>Regional</w:t>
            </w:r>
            <w:r>
              <w:rPr>
                <w:rFonts w:ascii="Segoe UI"/>
                <w:spacing w:val="-14"/>
                <w:sz w:val="20"/>
              </w:rPr>
              <w:t> </w:t>
            </w:r>
            <w:r>
              <w:rPr>
                <w:rFonts w:ascii="Segoe UI"/>
                <w:sz w:val="20"/>
              </w:rPr>
              <w:t>Evidence </w:t>
            </w:r>
            <w:r>
              <w:rPr>
                <w:rFonts w:ascii="Segoe UI"/>
                <w:spacing w:val="-2"/>
                <w:sz w:val="20"/>
              </w:rPr>
              <w:t>Baseline</w:t>
            </w:r>
          </w:p>
        </w:tc>
        <w:tc>
          <w:tcPr>
            <w:tcW w:w="4647" w:type="dxa"/>
          </w:tcPr>
          <w:p>
            <w:pPr>
              <w:pStyle w:val="TableParagraph"/>
              <w:spacing w:before="59"/>
              <w:ind w:left="55" w:right="121"/>
              <w:rPr>
                <w:rFonts w:ascii="Segoe UI"/>
                <w:sz w:val="20"/>
              </w:rPr>
            </w:pPr>
            <w:r>
              <w:rPr>
                <w:rFonts w:ascii="Segoe UI"/>
                <w:sz w:val="20"/>
              </w:rPr>
              <w:t>Validated</w:t>
            </w:r>
            <w:r>
              <w:rPr>
                <w:rFonts w:ascii="Segoe UI"/>
                <w:spacing w:val="-10"/>
                <w:sz w:val="20"/>
              </w:rPr>
              <w:t> </w:t>
            </w:r>
            <w:r>
              <w:rPr>
                <w:rFonts w:ascii="Segoe UI"/>
                <w:sz w:val="20"/>
              </w:rPr>
              <w:t>demand</w:t>
            </w:r>
            <w:r>
              <w:rPr>
                <w:rFonts w:ascii="Segoe UI"/>
                <w:spacing w:val="-5"/>
                <w:sz w:val="20"/>
              </w:rPr>
              <w:t> </w:t>
            </w:r>
            <w:r>
              <w:rPr>
                <w:rFonts w:ascii="Segoe UI"/>
                <w:sz w:val="20"/>
              </w:rPr>
              <w:t>and</w:t>
            </w:r>
            <w:r>
              <w:rPr>
                <w:rFonts w:ascii="Segoe UI"/>
                <w:spacing w:val="-5"/>
                <w:sz w:val="20"/>
              </w:rPr>
              <w:t> </w:t>
            </w:r>
            <w:r>
              <w:rPr>
                <w:rFonts w:ascii="Segoe UI"/>
                <w:sz w:val="20"/>
              </w:rPr>
              <w:t>capacity,</w:t>
            </w:r>
            <w:r>
              <w:rPr>
                <w:rFonts w:ascii="Segoe UI"/>
                <w:spacing w:val="-11"/>
                <w:sz w:val="20"/>
              </w:rPr>
              <w:t> </w:t>
            </w:r>
            <w:r>
              <w:rPr>
                <w:rFonts w:ascii="Segoe UI"/>
                <w:sz w:val="20"/>
              </w:rPr>
              <w:t>theatre</w:t>
            </w:r>
            <w:r>
              <w:rPr>
                <w:rFonts w:ascii="Segoe UI"/>
                <w:spacing w:val="-11"/>
                <w:sz w:val="20"/>
              </w:rPr>
              <w:t> </w:t>
            </w:r>
            <w:r>
              <w:rPr>
                <w:rFonts w:ascii="Segoe UI"/>
                <w:sz w:val="20"/>
              </w:rPr>
              <w:t>utilisation, waiting-list, workforce and expenditure baselines.</w:t>
            </w:r>
          </w:p>
        </w:tc>
        <w:tc>
          <w:tcPr>
            <w:tcW w:w="1705" w:type="dxa"/>
          </w:tcPr>
          <w:p>
            <w:pPr>
              <w:pStyle w:val="TableParagraph"/>
              <w:spacing w:before="59"/>
              <w:ind w:left="54"/>
              <w:rPr>
                <w:rFonts w:ascii="Segoe UI"/>
                <w:sz w:val="20"/>
              </w:rPr>
            </w:pPr>
            <w:r>
              <w:rPr>
                <w:rFonts w:ascii="Segoe UI"/>
                <w:sz w:val="20"/>
              </w:rPr>
              <w:t>Proposed</w:t>
            </w:r>
            <w:r>
              <w:rPr>
                <w:rFonts w:ascii="Segoe UI"/>
                <w:spacing w:val="-14"/>
                <w:sz w:val="20"/>
              </w:rPr>
              <w:t> </w:t>
            </w:r>
            <w:r>
              <w:rPr>
                <w:rFonts w:ascii="Segoe UI"/>
                <w:sz w:val="20"/>
              </w:rPr>
              <w:t>Andrew </w:t>
            </w:r>
            <w:r>
              <w:rPr>
                <w:rFonts w:ascii="Segoe UI"/>
                <w:spacing w:val="-2"/>
                <w:sz w:val="20"/>
              </w:rPr>
              <w:t>Nelson</w:t>
            </w:r>
          </w:p>
        </w:tc>
        <w:tc>
          <w:tcPr>
            <w:tcW w:w="1570" w:type="dxa"/>
          </w:tcPr>
          <w:p>
            <w:pPr>
              <w:pStyle w:val="TableParagraph"/>
              <w:spacing w:before="59"/>
              <w:ind w:left="60"/>
              <w:rPr>
                <w:rFonts w:ascii="Segoe UI"/>
                <w:sz w:val="20"/>
              </w:rPr>
            </w:pPr>
            <w:r>
              <w:rPr>
                <w:rFonts w:ascii="Segoe UI"/>
                <w:sz w:val="20"/>
              </w:rPr>
              <w:t>Dec</w:t>
            </w:r>
            <w:r>
              <w:rPr>
                <w:rFonts w:ascii="Segoe UI"/>
                <w:spacing w:val="-12"/>
                <w:sz w:val="20"/>
              </w:rPr>
              <w:t> </w:t>
            </w:r>
            <w:r>
              <w:rPr>
                <w:rFonts w:ascii="Segoe UI"/>
                <w:sz w:val="20"/>
              </w:rPr>
              <w:t>2026</w:t>
            </w:r>
            <w:r>
              <w:rPr>
                <w:rFonts w:ascii="Segoe UI"/>
                <w:spacing w:val="-14"/>
                <w:sz w:val="20"/>
              </w:rPr>
              <w:t> </w:t>
            </w:r>
            <w:r>
              <w:rPr>
                <w:rFonts w:ascii="Segoe UI"/>
                <w:sz w:val="20"/>
              </w:rPr>
              <w:t>to</w:t>
            </w:r>
            <w:r>
              <w:rPr>
                <w:rFonts w:ascii="Segoe UI"/>
                <w:spacing w:val="-14"/>
                <w:sz w:val="20"/>
              </w:rPr>
              <w:t> </w:t>
            </w:r>
            <w:r>
              <w:rPr>
                <w:rFonts w:ascii="Segoe UI"/>
                <w:sz w:val="20"/>
              </w:rPr>
              <w:t>Jan </w:t>
            </w:r>
            <w:r>
              <w:rPr>
                <w:rFonts w:ascii="Segoe UI"/>
                <w:spacing w:val="-4"/>
                <w:sz w:val="20"/>
              </w:rPr>
              <w:t>2027</w:t>
            </w:r>
          </w:p>
        </w:tc>
      </w:tr>
      <w:tr>
        <w:trPr>
          <w:trHeight w:val="910" w:hRule="atLeast"/>
        </w:trPr>
        <w:tc>
          <w:tcPr>
            <w:tcW w:w="2271" w:type="dxa"/>
          </w:tcPr>
          <w:p>
            <w:pPr>
              <w:pStyle w:val="TableParagraph"/>
              <w:spacing w:before="54"/>
              <w:ind w:left="55" w:right="468"/>
              <w:rPr>
                <w:rFonts w:ascii="Segoe UI"/>
                <w:sz w:val="20"/>
              </w:rPr>
            </w:pPr>
            <w:r>
              <w:rPr>
                <w:rFonts w:ascii="Segoe UI"/>
                <w:sz w:val="20"/>
              </w:rPr>
              <w:t>Performance and Benefits</w:t>
            </w:r>
            <w:r>
              <w:rPr>
                <w:rFonts w:ascii="Segoe UI"/>
                <w:spacing w:val="-14"/>
                <w:sz w:val="20"/>
              </w:rPr>
              <w:t> </w:t>
            </w:r>
            <w:r>
              <w:rPr>
                <w:rFonts w:ascii="Segoe UI"/>
                <w:sz w:val="20"/>
              </w:rPr>
              <w:t>Framework</w:t>
            </w:r>
          </w:p>
        </w:tc>
        <w:tc>
          <w:tcPr>
            <w:tcW w:w="4647" w:type="dxa"/>
          </w:tcPr>
          <w:p>
            <w:pPr>
              <w:pStyle w:val="TableParagraph"/>
              <w:spacing w:before="54"/>
              <w:ind w:left="55"/>
              <w:rPr>
                <w:rFonts w:ascii="Segoe UI"/>
                <w:sz w:val="20"/>
              </w:rPr>
            </w:pPr>
            <w:r>
              <w:rPr>
                <w:rFonts w:ascii="Segoe UI"/>
                <w:sz w:val="20"/>
              </w:rPr>
              <w:t>Agreed measures, definitions, data sources and owners,</w:t>
            </w:r>
            <w:r>
              <w:rPr>
                <w:rFonts w:ascii="Segoe UI"/>
                <w:spacing w:val="-7"/>
                <w:sz w:val="20"/>
              </w:rPr>
              <w:t> </w:t>
            </w:r>
            <w:r>
              <w:rPr>
                <w:rFonts w:ascii="Segoe UI"/>
                <w:sz w:val="20"/>
              </w:rPr>
              <w:t>with</w:t>
            </w:r>
            <w:r>
              <w:rPr>
                <w:rFonts w:ascii="Segoe UI"/>
                <w:spacing w:val="-7"/>
                <w:sz w:val="20"/>
              </w:rPr>
              <w:t> </w:t>
            </w:r>
            <w:r>
              <w:rPr>
                <w:rFonts w:ascii="Segoe UI"/>
                <w:sz w:val="20"/>
              </w:rPr>
              <w:t>prototype</w:t>
            </w:r>
            <w:r>
              <w:rPr>
                <w:rFonts w:ascii="Segoe UI"/>
                <w:spacing w:val="-8"/>
                <w:sz w:val="20"/>
              </w:rPr>
              <w:t> </w:t>
            </w:r>
            <w:r>
              <w:rPr>
                <w:rFonts w:ascii="Segoe UI"/>
                <w:sz w:val="20"/>
              </w:rPr>
              <w:t>dashboard</w:t>
            </w:r>
            <w:r>
              <w:rPr>
                <w:rFonts w:ascii="Segoe UI"/>
                <w:spacing w:val="-6"/>
                <w:sz w:val="20"/>
              </w:rPr>
              <w:t> </w:t>
            </w:r>
            <w:r>
              <w:rPr>
                <w:rFonts w:ascii="Segoe UI"/>
                <w:sz w:val="20"/>
              </w:rPr>
              <w:t>and</w:t>
            </w:r>
            <w:r>
              <w:rPr>
                <w:rFonts w:ascii="Segoe UI"/>
                <w:spacing w:val="-6"/>
                <w:sz w:val="20"/>
              </w:rPr>
              <w:t> </w:t>
            </w:r>
            <w:r>
              <w:rPr>
                <w:rFonts w:ascii="Segoe UI"/>
                <w:sz w:val="20"/>
              </w:rPr>
              <w:t>first</w:t>
            </w:r>
            <w:r>
              <w:rPr>
                <w:rFonts w:ascii="Segoe UI"/>
                <w:spacing w:val="-6"/>
                <w:sz w:val="20"/>
              </w:rPr>
              <w:t> </w:t>
            </w:r>
            <w:r>
              <w:rPr>
                <w:rFonts w:ascii="Segoe UI"/>
                <w:sz w:val="20"/>
              </w:rPr>
              <w:t>routine </w:t>
            </w:r>
            <w:r>
              <w:rPr>
                <w:rFonts w:ascii="Segoe UI"/>
                <w:spacing w:val="-2"/>
                <w:sz w:val="20"/>
              </w:rPr>
              <w:t>report.</w:t>
            </w:r>
          </w:p>
        </w:tc>
        <w:tc>
          <w:tcPr>
            <w:tcW w:w="1705" w:type="dxa"/>
          </w:tcPr>
          <w:p>
            <w:pPr>
              <w:pStyle w:val="TableParagraph"/>
              <w:spacing w:before="54"/>
              <w:ind w:left="54" w:right="173"/>
              <w:rPr>
                <w:rFonts w:ascii="Segoe UI"/>
                <w:sz w:val="20"/>
              </w:rPr>
            </w:pPr>
            <w:r>
              <w:rPr>
                <w:rFonts w:ascii="Segoe UI"/>
                <w:spacing w:val="-2"/>
                <w:sz w:val="20"/>
              </w:rPr>
              <w:t>Proposed: </w:t>
            </w:r>
            <w:r>
              <w:rPr>
                <w:rFonts w:ascii="Segoe UI"/>
                <w:sz w:val="20"/>
              </w:rPr>
              <w:t>Anthony</w:t>
            </w:r>
            <w:r>
              <w:rPr>
                <w:rFonts w:ascii="Segoe UI"/>
                <w:spacing w:val="-14"/>
                <w:sz w:val="20"/>
              </w:rPr>
              <w:t> </w:t>
            </w:r>
            <w:r>
              <w:rPr>
                <w:rFonts w:ascii="Segoe UI"/>
                <w:sz w:val="20"/>
              </w:rPr>
              <w:t>Tracey</w:t>
            </w:r>
          </w:p>
        </w:tc>
        <w:tc>
          <w:tcPr>
            <w:tcW w:w="1570" w:type="dxa"/>
          </w:tcPr>
          <w:p>
            <w:pPr>
              <w:pStyle w:val="TableParagraph"/>
              <w:spacing w:before="54"/>
              <w:ind w:left="60"/>
              <w:rPr>
                <w:rFonts w:ascii="Segoe UI"/>
                <w:sz w:val="20"/>
              </w:rPr>
            </w:pPr>
            <w:r>
              <w:rPr>
                <w:rFonts w:ascii="Segoe UI"/>
                <w:sz w:val="20"/>
              </w:rPr>
              <w:t>Dec</w:t>
            </w:r>
            <w:r>
              <w:rPr>
                <w:rFonts w:ascii="Segoe UI"/>
                <w:spacing w:val="2"/>
                <w:sz w:val="20"/>
              </w:rPr>
              <w:t> </w:t>
            </w:r>
            <w:r>
              <w:rPr>
                <w:rFonts w:ascii="Segoe UI"/>
                <w:spacing w:val="-4"/>
                <w:sz w:val="20"/>
              </w:rPr>
              <w:t>2026</w:t>
            </w:r>
          </w:p>
        </w:tc>
      </w:tr>
      <w:tr>
        <w:trPr>
          <w:trHeight w:val="910" w:hRule="atLeast"/>
        </w:trPr>
        <w:tc>
          <w:tcPr>
            <w:tcW w:w="2271" w:type="dxa"/>
          </w:tcPr>
          <w:p>
            <w:pPr>
              <w:pStyle w:val="TableParagraph"/>
              <w:spacing w:line="242" w:lineRule="auto" w:before="54"/>
              <w:ind w:left="55" w:right="637"/>
              <w:rPr>
                <w:rFonts w:ascii="Segoe UI"/>
                <w:sz w:val="20"/>
              </w:rPr>
            </w:pPr>
            <w:r>
              <w:rPr>
                <w:rFonts w:ascii="Segoe UI"/>
                <w:sz w:val="20"/>
              </w:rPr>
              <w:t>Recovery and Productivity</w:t>
            </w:r>
            <w:r>
              <w:rPr>
                <w:rFonts w:ascii="Segoe UI"/>
                <w:spacing w:val="-14"/>
                <w:sz w:val="20"/>
              </w:rPr>
              <w:t> </w:t>
            </w:r>
            <w:r>
              <w:rPr>
                <w:rFonts w:ascii="Segoe UI"/>
                <w:sz w:val="20"/>
              </w:rPr>
              <w:t>Plans</w:t>
            </w:r>
          </w:p>
        </w:tc>
        <w:tc>
          <w:tcPr>
            <w:tcW w:w="4647" w:type="dxa"/>
          </w:tcPr>
          <w:p>
            <w:pPr>
              <w:pStyle w:val="TableParagraph"/>
              <w:spacing w:line="242" w:lineRule="auto" w:before="54"/>
              <w:ind w:left="55"/>
              <w:rPr>
                <w:rFonts w:ascii="Segoe UI"/>
                <w:sz w:val="20"/>
              </w:rPr>
            </w:pPr>
            <w:r>
              <w:rPr>
                <w:rFonts w:ascii="Segoe UI"/>
                <w:sz w:val="20"/>
              </w:rPr>
              <w:t>Cataract</w:t>
            </w:r>
            <w:r>
              <w:rPr>
                <w:rFonts w:ascii="Segoe UI"/>
                <w:spacing w:val="-9"/>
                <w:sz w:val="20"/>
              </w:rPr>
              <w:t> </w:t>
            </w:r>
            <w:r>
              <w:rPr>
                <w:rFonts w:ascii="Segoe UI"/>
                <w:sz w:val="20"/>
              </w:rPr>
              <w:t>recovery</w:t>
            </w:r>
            <w:r>
              <w:rPr>
                <w:rFonts w:ascii="Segoe UI"/>
                <w:spacing w:val="-12"/>
                <w:sz w:val="20"/>
              </w:rPr>
              <w:t> </w:t>
            </w:r>
            <w:r>
              <w:rPr>
                <w:rFonts w:ascii="Segoe UI"/>
                <w:sz w:val="20"/>
              </w:rPr>
              <w:t>controls,</w:t>
            </w:r>
            <w:r>
              <w:rPr>
                <w:rFonts w:ascii="Segoe UI"/>
                <w:spacing w:val="-10"/>
                <w:sz w:val="20"/>
              </w:rPr>
              <w:t> </w:t>
            </w:r>
            <w:r>
              <w:rPr>
                <w:rFonts w:ascii="Segoe UI"/>
                <w:sz w:val="20"/>
              </w:rPr>
              <w:t>theatre</w:t>
            </w:r>
            <w:r>
              <w:rPr>
                <w:rFonts w:ascii="Segoe UI"/>
                <w:spacing w:val="-11"/>
                <w:sz w:val="20"/>
              </w:rPr>
              <w:t> </w:t>
            </w:r>
            <w:r>
              <w:rPr>
                <w:rFonts w:ascii="Segoe UI"/>
                <w:sz w:val="20"/>
              </w:rPr>
              <w:t>improvement plans and outpatient productivity actions.</w:t>
            </w:r>
          </w:p>
        </w:tc>
        <w:tc>
          <w:tcPr>
            <w:tcW w:w="1705" w:type="dxa"/>
          </w:tcPr>
          <w:p>
            <w:pPr>
              <w:pStyle w:val="TableParagraph"/>
              <w:spacing w:line="242" w:lineRule="auto" w:before="54"/>
              <w:ind w:left="54" w:right="153"/>
              <w:rPr>
                <w:rFonts w:ascii="Segoe UI"/>
                <w:sz w:val="20"/>
              </w:rPr>
            </w:pPr>
            <w:r>
              <w:rPr>
                <w:rFonts w:ascii="Segoe UI"/>
                <w:sz w:val="20"/>
              </w:rPr>
              <w:t>Proposed</w:t>
            </w:r>
            <w:r>
              <w:rPr>
                <w:rFonts w:ascii="Segoe UI"/>
                <w:spacing w:val="-14"/>
                <w:sz w:val="20"/>
              </w:rPr>
              <w:t> </w:t>
            </w:r>
            <w:r>
              <w:rPr>
                <w:rFonts w:ascii="Segoe UI"/>
                <w:sz w:val="20"/>
              </w:rPr>
              <w:t>Rhodri Davies and Lisa </w:t>
            </w:r>
            <w:r>
              <w:rPr>
                <w:rFonts w:ascii="Segoe UI"/>
                <w:spacing w:val="-2"/>
                <w:sz w:val="20"/>
              </w:rPr>
              <w:t>Humphries</w:t>
            </w:r>
          </w:p>
        </w:tc>
        <w:tc>
          <w:tcPr>
            <w:tcW w:w="1570" w:type="dxa"/>
          </w:tcPr>
          <w:p>
            <w:pPr>
              <w:pStyle w:val="TableParagraph"/>
              <w:spacing w:line="242" w:lineRule="auto" w:before="54"/>
              <w:ind w:left="60"/>
              <w:rPr>
                <w:rFonts w:ascii="Segoe UI"/>
                <w:sz w:val="20"/>
              </w:rPr>
            </w:pPr>
            <w:r>
              <w:rPr>
                <w:rFonts w:ascii="Segoe UI"/>
                <w:sz w:val="20"/>
              </w:rPr>
              <w:t>Dec</w:t>
            </w:r>
            <w:r>
              <w:rPr>
                <w:rFonts w:ascii="Segoe UI"/>
                <w:spacing w:val="-14"/>
                <w:sz w:val="20"/>
              </w:rPr>
              <w:t> </w:t>
            </w:r>
            <w:r>
              <w:rPr>
                <w:rFonts w:ascii="Segoe UI"/>
                <w:sz w:val="20"/>
              </w:rPr>
              <w:t>2026,</w:t>
            </w:r>
            <w:r>
              <w:rPr>
                <w:rFonts w:ascii="Segoe UI"/>
                <w:spacing w:val="-14"/>
                <w:sz w:val="20"/>
              </w:rPr>
              <w:t> </w:t>
            </w:r>
            <w:r>
              <w:rPr>
                <w:rFonts w:ascii="Segoe UI"/>
                <w:sz w:val="20"/>
              </w:rPr>
              <w:t>then </w:t>
            </w:r>
            <w:r>
              <w:rPr>
                <w:rFonts w:ascii="Segoe UI"/>
                <w:spacing w:val="-2"/>
                <w:sz w:val="20"/>
              </w:rPr>
              <w:t>ongoing</w:t>
            </w:r>
          </w:p>
        </w:tc>
      </w:tr>
      <w:tr>
        <w:trPr>
          <w:trHeight w:val="915" w:hRule="atLeast"/>
        </w:trPr>
        <w:tc>
          <w:tcPr>
            <w:tcW w:w="2271" w:type="dxa"/>
          </w:tcPr>
          <w:p>
            <w:pPr>
              <w:pStyle w:val="TableParagraph"/>
              <w:spacing w:before="59"/>
              <w:ind w:left="55" w:right="58"/>
              <w:rPr>
                <w:rFonts w:ascii="Segoe UI"/>
                <w:sz w:val="20"/>
              </w:rPr>
            </w:pPr>
            <w:r>
              <w:rPr>
                <w:rFonts w:ascii="Segoe UI"/>
                <w:sz w:val="20"/>
              </w:rPr>
              <w:t>Workforce and Resilience</w:t>
            </w:r>
            <w:r>
              <w:rPr>
                <w:rFonts w:ascii="Segoe UI"/>
                <w:spacing w:val="-14"/>
                <w:sz w:val="20"/>
              </w:rPr>
              <w:t> </w:t>
            </w:r>
            <w:r>
              <w:rPr>
                <w:rFonts w:ascii="Segoe UI"/>
                <w:sz w:val="20"/>
              </w:rPr>
              <w:t>Package</w:t>
            </w:r>
          </w:p>
        </w:tc>
        <w:tc>
          <w:tcPr>
            <w:tcW w:w="4647" w:type="dxa"/>
          </w:tcPr>
          <w:p>
            <w:pPr>
              <w:pStyle w:val="TableParagraph"/>
              <w:spacing w:before="59"/>
              <w:ind w:left="55" w:right="262"/>
              <w:rPr>
                <w:rFonts w:ascii="Segoe UI"/>
                <w:sz w:val="20"/>
              </w:rPr>
            </w:pPr>
            <w:r>
              <w:rPr>
                <w:rFonts w:ascii="Segoe UI"/>
                <w:sz w:val="20"/>
              </w:rPr>
              <w:t>VR</w:t>
            </w:r>
            <w:r>
              <w:rPr>
                <w:rFonts w:ascii="Segoe UI"/>
                <w:spacing w:val="-10"/>
                <w:sz w:val="20"/>
              </w:rPr>
              <w:t> </w:t>
            </w:r>
            <w:r>
              <w:rPr>
                <w:rFonts w:ascii="Segoe UI"/>
                <w:sz w:val="20"/>
              </w:rPr>
              <w:t>on-call</w:t>
            </w:r>
            <w:r>
              <w:rPr>
                <w:rFonts w:ascii="Segoe UI"/>
                <w:spacing w:val="-10"/>
                <w:sz w:val="20"/>
              </w:rPr>
              <w:t> </w:t>
            </w:r>
            <w:r>
              <w:rPr>
                <w:rFonts w:ascii="Segoe UI"/>
                <w:sz w:val="20"/>
              </w:rPr>
              <w:t>recommendation,</w:t>
            </w:r>
            <w:r>
              <w:rPr>
                <w:rFonts w:ascii="Segoe UI"/>
                <w:spacing w:val="-10"/>
                <w:sz w:val="20"/>
              </w:rPr>
              <w:t> </w:t>
            </w:r>
            <w:r>
              <w:rPr>
                <w:rFonts w:ascii="Segoe UI"/>
                <w:sz w:val="20"/>
              </w:rPr>
              <w:t>nursing</w:t>
            </w:r>
            <w:r>
              <w:rPr>
                <w:rFonts w:ascii="Segoe UI"/>
                <w:spacing w:val="-9"/>
                <w:sz w:val="20"/>
              </w:rPr>
              <w:t> </w:t>
            </w:r>
            <w:r>
              <w:rPr>
                <w:rFonts w:ascii="Segoe UI"/>
                <w:sz w:val="20"/>
              </w:rPr>
              <w:t>resilience plan and regional workforce strategy.</w:t>
            </w:r>
          </w:p>
        </w:tc>
        <w:tc>
          <w:tcPr>
            <w:tcW w:w="1705" w:type="dxa"/>
          </w:tcPr>
          <w:p>
            <w:pPr>
              <w:pStyle w:val="TableParagraph"/>
              <w:spacing w:before="59"/>
              <w:ind w:left="54"/>
              <w:rPr>
                <w:rFonts w:ascii="Segoe UI"/>
                <w:sz w:val="20"/>
              </w:rPr>
            </w:pPr>
            <w:r>
              <w:rPr>
                <w:rFonts w:ascii="Segoe UI"/>
                <w:sz w:val="20"/>
              </w:rPr>
              <w:t>Proposed Huw Jenkins</w:t>
            </w:r>
            <w:r>
              <w:rPr>
                <w:rFonts w:ascii="Segoe UI"/>
                <w:spacing w:val="-14"/>
                <w:sz w:val="20"/>
              </w:rPr>
              <w:t> </w:t>
            </w:r>
            <w:r>
              <w:rPr>
                <w:rFonts w:ascii="Segoe UI"/>
                <w:sz w:val="20"/>
              </w:rPr>
              <w:t>and</w:t>
            </w:r>
            <w:r>
              <w:rPr>
                <w:rFonts w:ascii="Segoe UI"/>
                <w:spacing w:val="-14"/>
                <w:sz w:val="20"/>
              </w:rPr>
              <w:t> </w:t>
            </w:r>
            <w:r>
              <w:rPr>
                <w:rFonts w:ascii="Segoe UI"/>
                <w:sz w:val="20"/>
              </w:rPr>
              <w:t>David </w:t>
            </w:r>
            <w:r>
              <w:rPr>
                <w:rFonts w:ascii="Segoe UI"/>
                <w:spacing w:val="-2"/>
                <w:sz w:val="20"/>
              </w:rPr>
              <w:t>Janicek</w:t>
            </w:r>
          </w:p>
        </w:tc>
        <w:tc>
          <w:tcPr>
            <w:tcW w:w="1570" w:type="dxa"/>
          </w:tcPr>
          <w:p>
            <w:pPr>
              <w:pStyle w:val="TableParagraph"/>
              <w:spacing w:before="59"/>
              <w:ind w:left="60"/>
              <w:rPr>
                <w:rFonts w:ascii="Segoe UI"/>
                <w:sz w:val="20"/>
              </w:rPr>
            </w:pPr>
            <w:r>
              <w:rPr>
                <w:rFonts w:ascii="Segoe UI"/>
                <w:sz w:val="20"/>
              </w:rPr>
              <w:t>Dec</w:t>
            </w:r>
            <w:r>
              <w:rPr>
                <w:rFonts w:ascii="Segoe UI"/>
                <w:spacing w:val="-9"/>
                <w:sz w:val="20"/>
              </w:rPr>
              <w:t> </w:t>
            </w:r>
            <w:r>
              <w:rPr>
                <w:rFonts w:ascii="Segoe UI"/>
                <w:sz w:val="20"/>
              </w:rPr>
              <w:t>2026</w:t>
            </w:r>
            <w:r>
              <w:rPr>
                <w:rFonts w:ascii="Segoe UI"/>
                <w:spacing w:val="-13"/>
                <w:sz w:val="20"/>
              </w:rPr>
              <w:t> </w:t>
            </w:r>
            <w:r>
              <w:rPr>
                <w:rFonts w:ascii="Segoe UI"/>
                <w:sz w:val="20"/>
              </w:rPr>
              <w:t>to</w:t>
            </w:r>
            <w:r>
              <w:rPr>
                <w:rFonts w:ascii="Segoe UI"/>
                <w:spacing w:val="-13"/>
                <w:sz w:val="20"/>
              </w:rPr>
              <w:t> </w:t>
            </w:r>
            <w:r>
              <w:rPr>
                <w:rFonts w:ascii="Segoe UI"/>
                <w:sz w:val="20"/>
              </w:rPr>
              <w:t>Apr </w:t>
            </w:r>
            <w:r>
              <w:rPr>
                <w:rFonts w:ascii="Segoe UI"/>
                <w:spacing w:val="-4"/>
                <w:sz w:val="20"/>
              </w:rPr>
              <w:t>2027</w:t>
            </w:r>
          </w:p>
        </w:tc>
      </w:tr>
      <w:tr>
        <w:trPr>
          <w:trHeight w:val="910" w:hRule="atLeast"/>
        </w:trPr>
        <w:tc>
          <w:tcPr>
            <w:tcW w:w="2271" w:type="dxa"/>
          </w:tcPr>
          <w:p>
            <w:pPr>
              <w:pStyle w:val="TableParagraph"/>
              <w:spacing w:before="54"/>
              <w:ind w:left="55"/>
              <w:rPr>
                <w:rFonts w:ascii="Segoe UI"/>
                <w:sz w:val="20"/>
              </w:rPr>
            </w:pPr>
            <w:r>
              <w:rPr>
                <w:rFonts w:ascii="Segoe UI"/>
                <w:sz w:val="20"/>
              </w:rPr>
              <w:t>Digital</w:t>
            </w:r>
            <w:r>
              <w:rPr>
                <w:rFonts w:ascii="Segoe UI"/>
                <w:spacing w:val="-14"/>
                <w:sz w:val="20"/>
              </w:rPr>
              <w:t> </w:t>
            </w:r>
            <w:r>
              <w:rPr>
                <w:rFonts w:ascii="Segoe UI"/>
                <w:sz w:val="20"/>
              </w:rPr>
              <w:t>Convergence </w:t>
            </w:r>
            <w:r>
              <w:rPr>
                <w:rFonts w:ascii="Segoe UI"/>
                <w:spacing w:val="-2"/>
                <w:sz w:val="20"/>
              </w:rPr>
              <w:t>Roadmap</w:t>
            </w:r>
          </w:p>
        </w:tc>
        <w:tc>
          <w:tcPr>
            <w:tcW w:w="4647" w:type="dxa"/>
          </w:tcPr>
          <w:p>
            <w:pPr>
              <w:pStyle w:val="TableParagraph"/>
              <w:spacing w:before="54"/>
              <w:ind w:left="55"/>
              <w:rPr>
                <w:rFonts w:ascii="Segoe UI"/>
                <w:sz w:val="20"/>
              </w:rPr>
            </w:pPr>
            <w:r>
              <w:rPr>
                <w:rFonts w:ascii="Segoe UI"/>
                <w:sz w:val="20"/>
              </w:rPr>
              <w:t>Integrated</w:t>
            </w:r>
            <w:r>
              <w:rPr>
                <w:rFonts w:ascii="Segoe UI"/>
                <w:spacing w:val="-10"/>
                <w:sz w:val="20"/>
              </w:rPr>
              <w:t> </w:t>
            </w:r>
            <w:r>
              <w:rPr>
                <w:rFonts w:ascii="Segoe UI"/>
                <w:sz w:val="20"/>
              </w:rPr>
              <w:t>digital</w:t>
            </w:r>
            <w:r>
              <w:rPr>
                <w:rFonts w:ascii="Segoe UI"/>
                <w:spacing w:val="-10"/>
                <w:sz w:val="20"/>
              </w:rPr>
              <w:t> </w:t>
            </w:r>
            <w:r>
              <w:rPr>
                <w:rFonts w:ascii="Segoe UI"/>
                <w:sz w:val="20"/>
              </w:rPr>
              <w:t>roadmap</w:t>
            </w:r>
            <w:r>
              <w:rPr>
                <w:rFonts w:ascii="Segoe UI"/>
                <w:spacing w:val="-5"/>
                <w:sz w:val="20"/>
              </w:rPr>
              <w:t> </w:t>
            </w:r>
            <w:r>
              <w:rPr>
                <w:rFonts w:ascii="Segoe UI"/>
                <w:sz w:val="20"/>
              </w:rPr>
              <w:t>and</w:t>
            </w:r>
            <w:r>
              <w:rPr>
                <w:rFonts w:ascii="Segoe UI"/>
                <w:spacing w:val="-5"/>
                <w:sz w:val="20"/>
              </w:rPr>
              <w:t> </w:t>
            </w:r>
            <w:r>
              <w:rPr>
                <w:rFonts w:ascii="Segoe UI"/>
                <w:sz w:val="20"/>
              </w:rPr>
              <w:t>priority</w:t>
            </w:r>
            <w:r>
              <w:rPr>
                <w:rFonts w:ascii="Segoe UI"/>
                <w:spacing w:val="-9"/>
                <w:sz w:val="20"/>
              </w:rPr>
              <w:t> </w:t>
            </w:r>
            <w:r>
              <w:rPr>
                <w:rFonts w:ascii="Segoe UI"/>
                <w:sz w:val="20"/>
              </w:rPr>
              <w:t>pathway readiness assessment.</w:t>
            </w:r>
          </w:p>
        </w:tc>
        <w:tc>
          <w:tcPr>
            <w:tcW w:w="1705" w:type="dxa"/>
          </w:tcPr>
          <w:p>
            <w:pPr>
              <w:pStyle w:val="TableParagraph"/>
              <w:spacing w:line="242" w:lineRule="auto" w:before="54"/>
              <w:ind w:left="54" w:right="175"/>
              <w:jc w:val="both"/>
              <w:rPr>
                <w:rFonts w:ascii="Segoe UI"/>
                <w:sz w:val="20"/>
              </w:rPr>
            </w:pPr>
            <w:r>
              <w:rPr>
                <w:rFonts w:ascii="Segoe UI"/>
                <w:sz w:val="20"/>
              </w:rPr>
              <w:t>Proposed Nerys James</w:t>
            </w:r>
            <w:r>
              <w:rPr>
                <w:rFonts w:ascii="Segoe UI"/>
                <w:spacing w:val="-14"/>
                <w:sz w:val="20"/>
              </w:rPr>
              <w:t> </w:t>
            </w:r>
            <w:r>
              <w:rPr>
                <w:rFonts w:ascii="Segoe UI"/>
                <w:sz w:val="20"/>
              </w:rPr>
              <w:t>and</w:t>
            </w:r>
            <w:r>
              <w:rPr>
                <w:rFonts w:ascii="Segoe UI"/>
                <w:spacing w:val="-14"/>
                <w:sz w:val="20"/>
              </w:rPr>
              <w:t> </w:t>
            </w:r>
            <w:r>
              <w:rPr>
                <w:rFonts w:ascii="Segoe UI"/>
                <w:sz w:val="20"/>
              </w:rPr>
              <w:t>Sarah </w:t>
            </w:r>
            <w:r>
              <w:rPr>
                <w:rFonts w:ascii="Segoe UI"/>
                <w:spacing w:val="-2"/>
                <w:sz w:val="20"/>
              </w:rPr>
              <w:t>Dunderdale</w:t>
            </w:r>
          </w:p>
        </w:tc>
        <w:tc>
          <w:tcPr>
            <w:tcW w:w="1570" w:type="dxa"/>
          </w:tcPr>
          <w:p>
            <w:pPr>
              <w:pStyle w:val="TableParagraph"/>
              <w:spacing w:before="54"/>
              <w:ind w:left="60"/>
              <w:rPr>
                <w:rFonts w:ascii="Segoe UI"/>
                <w:sz w:val="20"/>
              </w:rPr>
            </w:pPr>
            <w:r>
              <w:rPr>
                <w:rFonts w:ascii="Segoe UI"/>
                <w:sz w:val="20"/>
              </w:rPr>
              <w:t>Mar</w:t>
            </w:r>
            <w:r>
              <w:rPr>
                <w:rFonts w:ascii="Segoe UI"/>
                <w:spacing w:val="-2"/>
                <w:sz w:val="20"/>
              </w:rPr>
              <w:t> </w:t>
            </w:r>
            <w:r>
              <w:rPr>
                <w:rFonts w:ascii="Segoe UI"/>
                <w:spacing w:val="-4"/>
                <w:sz w:val="20"/>
              </w:rPr>
              <w:t>2027</w:t>
            </w:r>
          </w:p>
        </w:tc>
      </w:tr>
      <w:tr>
        <w:trPr>
          <w:trHeight w:val="915" w:hRule="atLeast"/>
        </w:trPr>
        <w:tc>
          <w:tcPr>
            <w:tcW w:w="2271" w:type="dxa"/>
          </w:tcPr>
          <w:p>
            <w:pPr>
              <w:pStyle w:val="TableParagraph"/>
              <w:spacing w:before="59"/>
              <w:ind w:left="55" w:right="255"/>
              <w:rPr>
                <w:rFonts w:ascii="Segoe UI"/>
                <w:sz w:val="20"/>
              </w:rPr>
            </w:pPr>
            <w:r>
              <w:rPr>
                <w:rFonts w:ascii="Segoe UI"/>
                <w:sz w:val="20"/>
              </w:rPr>
              <w:t>Standardised</w:t>
            </w:r>
            <w:r>
              <w:rPr>
                <w:rFonts w:ascii="Segoe UI"/>
                <w:spacing w:val="-14"/>
                <w:sz w:val="20"/>
              </w:rPr>
              <w:t> </w:t>
            </w:r>
            <w:r>
              <w:rPr>
                <w:rFonts w:ascii="Segoe UI"/>
                <w:sz w:val="20"/>
              </w:rPr>
              <w:t>Pathway </w:t>
            </w:r>
            <w:r>
              <w:rPr>
                <w:rFonts w:ascii="Segoe UI"/>
                <w:spacing w:val="-2"/>
                <w:sz w:val="20"/>
              </w:rPr>
              <w:t>proposals</w:t>
            </w:r>
          </w:p>
        </w:tc>
        <w:tc>
          <w:tcPr>
            <w:tcW w:w="4647" w:type="dxa"/>
          </w:tcPr>
          <w:p>
            <w:pPr>
              <w:pStyle w:val="TableParagraph"/>
              <w:spacing w:before="59"/>
              <w:ind w:left="55"/>
              <w:rPr>
                <w:rFonts w:ascii="Segoe UI"/>
                <w:sz w:val="20"/>
              </w:rPr>
            </w:pPr>
            <w:r>
              <w:rPr>
                <w:rFonts w:ascii="Segoe UI"/>
                <w:sz w:val="20"/>
              </w:rPr>
              <w:t>Current-state</w:t>
            </w:r>
            <w:r>
              <w:rPr>
                <w:rFonts w:ascii="Segoe UI"/>
                <w:spacing w:val="-10"/>
                <w:sz w:val="20"/>
              </w:rPr>
              <w:t> </w:t>
            </w:r>
            <w:r>
              <w:rPr>
                <w:rFonts w:ascii="Segoe UI"/>
                <w:sz w:val="20"/>
              </w:rPr>
              <w:t>maps,</w:t>
            </w:r>
            <w:r>
              <w:rPr>
                <w:rFonts w:ascii="Segoe UI"/>
                <w:spacing w:val="-13"/>
                <w:sz w:val="20"/>
              </w:rPr>
              <w:t> </w:t>
            </w:r>
            <w:r>
              <w:rPr>
                <w:rFonts w:ascii="Segoe UI"/>
                <w:sz w:val="20"/>
              </w:rPr>
              <w:t>common</w:t>
            </w:r>
            <w:r>
              <w:rPr>
                <w:rFonts w:ascii="Segoe UI"/>
                <w:spacing w:val="-9"/>
                <w:sz w:val="20"/>
              </w:rPr>
              <w:t> </w:t>
            </w:r>
            <w:r>
              <w:rPr>
                <w:rFonts w:ascii="Segoe UI"/>
                <w:sz w:val="20"/>
              </w:rPr>
              <w:t>standards,</w:t>
            </w:r>
            <w:r>
              <w:rPr>
                <w:rFonts w:ascii="Segoe UI"/>
                <w:spacing w:val="-9"/>
                <w:sz w:val="20"/>
              </w:rPr>
              <w:t> </w:t>
            </w:r>
            <w:r>
              <w:rPr>
                <w:rFonts w:ascii="Segoe UI"/>
                <w:sz w:val="20"/>
              </w:rPr>
              <w:t>outcome measures and phased decisions.</w:t>
            </w:r>
          </w:p>
        </w:tc>
        <w:tc>
          <w:tcPr>
            <w:tcW w:w="1705" w:type="dxa"/>
          </w:tcPr>
          <w:p>
            <w:pPr>
              <w:pStyle w:val="TableParagraph"/>
              <w:spacing w:before="59"/>
              <w:ind w:left="54" w:right="159"/>
              <w:jc w:val="both"/>
              <w:rPr>
                <w:rFonts w:ascii="Segoe UI"/>
                <w:sz w:val="20"/>
              </w:rPr>
            </w:pPr>
            <w:r>
              <w:rPr>
                <w:rFonts w:ascii="Segoe UI"/>
                <w:sz w:val="20"/>
              </w:rPr>
              <w:t>Proposed:</w:t>
            </w:r>
            <w:r>
              <w:rPr>
                <w:rFonts w:ascii="Segoe UI"/>
                <w:spacing w:val="-2"/>
                <w:sz w:val="20"/>
              </w:rPr>
              <w:t> </w:t>
            </w:r>
            <w:r>
              <w:rPr>
                <w:rFonts w:ascii="Segoe UI"/>
                <w:sz w:val="20"/>
              </w:rPr>
              <w:t>David Janicek</w:t>
            </w:r>
            <w:r>
              <w:rPr>
                <w:rFonts w:ascii="Segoe UI"/>
                <w:spacing w:val="-14"/>
                <w:sz w:val="20"/>
              </w:rPr>
              <w:t> </w:t>
            </w:r>
            <w:r>
              <w:rPr>
                <w:rFonts w:ascii="Segoe UI"/>
                <w:sz w:val="20"/>
              </w:rPr>
              <w:t>and</w:t>
            </w:r>
            <w:r>
              <w:rPr>
                <w:rFonts w:ascii="Segoe UI"/>
                <w:spacing w:val="-14"/>
                <w:sz w:val="20"/>
              </w:rPr>
              <w:t> </w:t>
            </w:r>
            <w:r>
              <w:rPr>
                <w:rFonts w:ascii="Segoe UI"/>
                <w:sz w:val="20"/>
              </w:rPr>
              <w:t>Huw </w:t>
            </w:r>
            <w:r>
              <w:rPr>
                <w:rFonts w:ascii="Segoe UI"/>
                <w:spacing w:val="-2"/>
                <w:sz w:val="20"/>
              </w:rPr>
              <w:t>Jenkins</w:t>
            </w:r>
          </w:p>
        </w:tc>
        <w:tc>
          <w:tcPr>
            <w:tcW w:w="1570" w:type="dxa"/>
          </w:tcPr>
          <w:p>
            <w:pPr>
              <w:pStyle w:val="TableParagraph"/>
              <w:spacing w:before="59"/>
              <w:ind w:left="60"/>
              <w:rPr>
                <w:rFonts w:ascii="Segoe UI"/>
                <w:sz w:val="20"/>
              </w:rPr>
            </w:pPr>
            <w:r>
              <w:rPr>
                <w:rFonts w:ascii="Segoe UI"/>
                <w:sz w:val="20"/>
              </w:rPr>
              <w:t>Apr</w:t>
            </w:r>
            <w:r>
              <w:rPr>
                <w:rFonts w:ascii="Segoe UI"/>
                <w:spacing w:val="2"/>
                <w:sz w:val="20"/>
              </w:rPr>
              <w:t> </w:t>
            </w:r>
            <w:r>
              <w:rPr>
                <w:rFonts w:ascii="Segoe UI"/>
                <w:spacing w:val="-4"/>
                <w:sz w:val="20"/>
              </w:rPr>
              <w:t>2027</w:t>
            </w:r>
          </w:p>
        </w:tc>
      </w:tr>
      <w:tr>
        <w:trPr>
          <w:trHeight w:val="644" w:hRule="atLeast"/>
        </w:trPr>
        <w:tc>
          <w:tcPr>
            <w:tcW w:w="2271" w:type="dxa"/>
          </w:tcPr>
          <w:p>
            <w:pPr>
              <w:pStyle w:val="TableParagraph"/>
              <w:spacing w:before="54"/>
              <w:ind w:left="55"/>
              <w:rPr>
                <w:rFonts w:ascii="Segoe UI"/>
                <w:sz w:val="20"/>
              </w:rPr>
            </w:pPr>
            <w:r>
              <w:rPr>
                <w:rFonts w:ascii="Segoe UI"/>
                <w:sz w:val="20"/>
              </w:rPr>
              <w:t>Future</w:t>
            </w:r>
            <w:r>
              <w:rPr>
                <w:rFonts w:ascii="Segoe UI"/>
                <w:spacing w:val="-14"/>
                <w:sz w:val="20"/>
              </w:rPr>
              <w:t> </w:t>
            </w:r>
            <w:r>
              <w:rPr>
                <w:rFonts w:ascii="Segoe UI"/>
                <w:sz w:val="20"/>
              </w:rPr>
              <w:t>Regional</w:t>
            </w:r>
            <w:r>
              <w:rPr>
                <w:rFonts w:ascii="Segoe UI"/>
                <w:spacing w:val="-14"/>
                <w:sz w:val="20"/>
              </w:rPr>
              <w:t> </w:t>
            </w:r>
            <w:r>
              <w:rPr>
                <w:rFonts w:ascii="Segoe UI"/>
                <w:sz w:val="20"/>
              </w:rPr>
              <w:t>Service </w:t>
            </w:r>
            <w:r>
              <w:rPr>
                <w:rFonts w:ascii="Segoe UI"/>
                <w:spacing w:val="-4"/>
                <w:sz w:val="20"/>
              </w:rPr>
              <w:t>Model</w:t>
            </w:r>
          </w:p>
        </w:tc>
        <w:tc>
          <w:tcPr>
            <w:tcW w:w="4647" w:type="dxa"/>
          </w:tcPr>
          <w:p>
            <w:pPr>
              <w:pStyle w:val="TableParagraph"/>
              <w:spacing w:before="54"/>
              <w:ind w:left="55"/>
              <w:rPr>
                <w:rFonts w:ascii="Segoe UI"/>
                <w:sz w:val="20"/>
              </w:rPr>
            </w:pPr>
            <w:r>
              <w:rPr>
                <w:rFonts w:ascii="Segoe UI"/>
                <w:sz w:val="20"/>
              </w:rPr>
              <w:t>Evidence pack, clinically led design, draft 2030 model</w:t>
            </w:r>
            <w:r>
              <w:rPr>
                <w:rFonts w:ascii="Segoe UI"/>
                <w:spacing w:val="-6"/>
                <w:sz w:val="20"/>
              </w:rPr>
              <w:t> </w:t>
            </w:r>
            <w:r>
              <w:rPr>
                <w:rFonts w:ascii="Segoe UI"/>
                <w:sz w:val="20"/>
              </w:rPr>
              <w:t>and</w:t>
            </w:r>
            <w:r>
              <w:rPr>
                <w:rFonts w:ascii="Segoe UI"/>
                <w:spacing w:val="-5"/>
                <w:sz w:val="20"/>
              </w:rPr>
              <w:t> </w:t>
            </w:r>
            <w:r>
              <w:rPr>
                <w:rFonts w:ascii="Segoe UI"/>
                <w:sz w:val="20"/>
              </w:rPr>
              <w:t>formal</w:t>
            </w:r>
            <w:r>
              <w:rPr>
                <w:rFonts w:ascii="Segoe UI"/>
                <w:spacing w:val="-6"/>
                <w:sz w:val="20"/>
              </w:rPr>
              <w:t> </w:t>
            </w:r>
            <w:r>
              <w:rPr>
                <w:rFonts w:ascii="Segoe UI"/>
                <w:sz w:val="20"/>
              </w:rPr>
              <w:t>approval</w:t>
            </w:r>
            <w:r>
              <w:rPr>
                <w:rFonts w:ascii="Segoe UI"/>
                <w:spacing w:val="-6"/>
                <w:sz w:val="20"/>
              </w:rPr>
              <w:t> </w:t>
            </w:r>
            <w:r>
              <w:rPr>
                <w:rFonts w:ascii="Segoe UI"/>
                <w:sz w:val="20"/>
              </w:rPr>
              <w:t>route,</w:t>
            </w:r>
            <w:r>
              <w:rPr>
                <w:rFonts w:ascii="Segoe UI"/>
                <w:spacing w:val="-11"/>
                <w:sz w:val="20"/>
              </w:rPr>
              <w:t> </w:t>
            </w:r>
            <w:r>
              <w:rPr>
                <w:rFonts w:ascii="Segoe UI"/>
                <w:sz w:val="20"/>
              </w:rPr>
              <w:t>co-produced</w:t>
            </w:r>
          </w:p>
        </w:tc>
        <w:tc>
          <w:tcPr>
            <w:tcW w:w="1705" w:type="dxa"/>
          </w:tcPr>
          <w:p>
            <w:pPr>
              <w:pStyle w:val="TableParagraph"/>
              <w:spacing w:before="54"/>
              <w:ind w:left="54"/>
              <w:rPr>
                <w:rFonts w:ascii="Segoe UI"/>
                <w:sz w:val="20"/>
              </w:rPr>
            </w:pPr>
            <w:r>
              <w:rPr>
                <w:rFonts w:ascii="Segoe UI"/>
                <w:sz w:val="20"/>
              </w:rPr>
              <w:t>Proposed:</w:t>
            </w:r>
            <w:r>
              <w:rPr>
                <w:rFonts w:ascii="Segoe UI"/>
                <w:spacing w:val="-14"/>
                <w:sz w:val="20"/>
              </w:rPr>
              <w:t> </w:t>
            </w:r>
            <w:r>
              <w:rPr>
                <w:rFonts w:ascii="Segoe UI"/>
                <w:sz w:val="20"/>
              </w:rPr>
              <w:t>Craige </w:t>
            </w:r>
            <w:r>
              <w:rPr>
                <w:rFonts w:ascii="Segoe UI"/>
                <w:spacing w:val="-2"/>
                <w:sz w:val="20"/>
              </w:rPr>
              <w:t>Wilson</w:t>
            </w:r>
          </w:p>
        </w:tc>
        <w:tc>
          <w:tcPr>
            <w:tcW w:w="1570" w:type="dxa"/>
          </w:tcPr>
          <w:p>
            <w:pPr>
              <w:pStyle w:val="TableParagraph"/>
              <w:spacing w:before="54"/>
              <w:ind w:left="60"/>
              <w:rPr>
                <w:rFonts w:ascii="Segoe UI"/>
                <w:sz w:val="20"/>
              </w:rPr>
            </w:pPr>
            <w:r>
              <w:rPr>
                <w:rFonts w:ascii="Segoe UI"/>
                <w:sz w:val="20"/>
              </w:rPr>
              <w:t>Apr</w:t>
            </w:r>
            <w:r>
              <w:rPr>
                <w:rFonts w:ascii="Segoe UI"/>
                <w:spacing w:val="2"/>
                <w:sz w:val="20"/>
              </w:rPr>
              <w:t> </w:t>
            </w:r>
            <w:r>
              <w:rPr>
                <w:rFonts w:ascii="Segoe UI"/>
                <w:spacing w:val="-4"/>
                <w:sz w:val="20"/>
              </w:rPr>
              <w:t>2027</w:t>
            </w:r>
          </w:p>
        </w:tc>
      </w:tr>
    </w:tbl>
    <w:p>
      <w:pPr>
        <w:pStyle w:val="BodyText"/>
        <w:rPr>
          <w:rFonts w:ascii="Segoe UI"/>
          <w:b/>
          <w:sz w:val="16"/>
        </w:rPr>
      </w:pPr>
    </w:p>
    <w:p>
      <w:pPr>
        <w:pStyle w:val="BodyText"/>
        <w:spacing w:before="86"/>
        <w:rPr>
          <w:rFonts w:ascii="Segoe UI"/>
          <w:b/>
          <w:sz w:val="16"/>
        </w:rPr>
      </w:pPr>
    </w:p>
    <w:p>
      <w:pPr>
        <w:spacing w:before="0"/>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spacing w:before="78" w:after="52"/>
        <w:ind w:left="0" w:right="873" w:firstLine="0"/>
        <w:jc w:val="right"/>
        <w:rPr>
          <w:rFonts w:ascii="Calibri"/>
          <w:sz w:val="16"/>
        </w:rPr>
      </w:pP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tbl>
      <w:tblPr>
        <w:tblW w:w="0" w:type="auto"/>
        <w:jc w:val="left"/>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71"/>
        <w:gridCol w:w="4647"/>
        <w:gridCol w:w="1705"/>
        <w:gridCol w:w="1570"/>
      </w:tblGrid>
      <w:tr>
        <w:trPr>
          <w:trHeight w:val="765" w:hRule="atLeast"/>
        </w:trPr>
        <w:tc>
          <w:tcPr>
            <w:tcW w:w="2271" w:type="dxa"/>
            <w:shd w:val="clear" w:color="auto" w:fill="DBE4F0"/>
          </w:tcPr>
          <w:p>
            <w:pPr>
              <w:pStyle w:val="TableParagraph"/>
              <w:spacing w:before="236"/>
              <w:ind w:left="90"/>
              <w:rPr>
                <w:rFonts w:ascii="Calibri"/>
                <w:b/>
                <w:sz w:val="24"/>
              </w:rPr>
            </w:pPr>
            <w:r>
              <w:rPr>
                <w:rFonts w:ascii="Calibri"/>
                <w:b/>
                <w:color w:val="1F4E79"/>
                <w:spacing w:val="-2"/>
                <w:sz w:val="24"/>
              </w:rPr>
              <w:t>Deliverable</w:t>
            </w:r>
          </w:p>
        </w:tc>
        <w:tc>
          <w:tcPr>
            <w:tcW w:w="4647" w:type="dxa"/>
            <w:shd w:val="clear" w:color="auto" w:fill="DBE4F0"/>
          </w:tcPr>
          <w:p>
            <w:pPr>
              <w:pStyle w:val="TableParagraph"/>
              <w:spacing w:before="236"/>
              <w:ind w:left="90"/>
              <w:rPr>
                <w:rFonts w:ascii="Calibri"/>
                <w:b/>
                <w:sz w:val="24"/>
              </w:rPr>
            </w:pPr>
            <w:r>
              <w:rPr>
                <w:rFonts w:ascii="Calibri"/>
                <w:b/>
                <w:color w:val="1F4E79"/>
                <w:spacing w:val="-2"/>
                <w:sz w:val="24"/>
              </w:rPr>
              <w:t>Description</w:t>
            </w:r>
          </w:p>
        </w:tc>
        <w:tc>
          <w:tcPr>
            <w:tcW w:w="1705" w:type="dxa"/>
            <w:shd w:val="clear" w:color="auto" w:fill="DBE4F0"/>
          </w:tcPr>
          <w:p>
            <w:pPr>
              <w:pStyle w:val="TableParagraph"/>
              <w:spacing w:line="242" w:lineRule="auto" w:before="86"/>
              <w:ind w:left="89" w:right="173"/>
              <w:rPr>
                <w:rFonts w:ascii="Calibri"/>
                <w:b/>
                <w:sz w:val="24"/>
              </w:rPr>
            </w:pPr>
            <w:r>
              <w:rPr>
                <w:rFonts w:ascii="Calibri"/>
                <w:b/>
                <w:color w:val="1F4E79"/>
                <w:spacing w:val="-2"/>
                <w:sz w:val="24"/>
              </w:rPr>
              <w:t>Proposed Owner</w:t>
            </w:r>
          </w:p>
        </w:tc>
        <w:tc>
          <w:tcPr>
            <w:tcW w:w="1570" w:type="dxa"/>
            <w:shd w:val="clear" w:color="auto" w:fill="DBE4F0"/>
          </w:tcPr>
          <w:p>
            <w:pPr>
              <w:pStyle w:val="TableParagraph"/>
              <w:spacing w:line="242" w:lineRule="auto" w:before="86"/>
              <w:ind w:left="90"/>
              <w:rPr>
                <w:rFonts w:ascii="Calibri"/>
                <w:b/>
                <w:sz w:val="24"/>
              </w:rPr>
            </w:pPr>
            <w:r>
              <w:rPr>
                <w:rFonts w:ascii="Calibri"/>
                <w:b/>
                <w:color w:val="1F4E79"/>
                <w:spacing w:val="-2"/>
                <w:sz w:val="24"/>
              </w:rPr>
              <w:t>Proposed </w:t>
            </w:r>
            <w:r>
              <w:rPr>
                <w:rFonts w:ascii="Calibri"/>
                <w:b/>
                <w:color w:val="1F4E79"/>
                <w:sz w:val="24"/>
              </w:rPr>
              <w:t>Target</w:t>
            </w:r>
            <w:r>
              <w:rPr>
                <w:rFonts w:ascii="Calibri"/>
                <w:b/>
                <w:color w:val="1F4E79"/>
                <w:spacing w:val="-14"/>
                <w:sz w:val="24"/>
              </w:rPr>
              <w:t> </w:t>
            </w:r>
            <w:r>
              <w:rPr>
                <w:rFonts w:ascii="Calibri"/>
                <w:b/>
                <w:color w:val="1F4E79"/>
                <w:sz w:val="24"/>
              </w:rPr>
              <w:t>date</w:t>
            </w:r>
          </w:p>
        </w:tc>
      </w:tr>
      <w:tr>
        <w:trPr>
          <w:trHeight w:val="645" w:hRule="atLeast"/>
        </w:trPr>
        <w:tc>
          <w:tcPr>
            <w:tcW w:w="2271" w:type="dxa"/>
          </w:tcPr>
          <w:p>
            <w:pPr>
              <w:pStyle w:val="TableParagraph"/>
              <w:rPr>
                <w:rFonts w:ascii="Times New Roman"/>
                <w:sz w:val="20"/>
              </w:rPr>
            </w:pPr>
          </w:p>
        </w:tc>
        <w:tc>
          <w:tcPr>
            <w:tcW w:w="4647" w:type="dxa"/>
          </w:tcPr>
          <w:p>
            <w:pPr>
              <w:pStyle w:val="TableParagraph"/>
              <w:spacing w:line="242" w:lineRule="auto" w:before="54"/>
              <w:ind w:left="55" w:right="38"/>
              <w:rPr>
                <w:rFonts w:ascii="Segoe UI"/>
                <w:sz w:val="20"/>
              </w:rPr>
            </w:pPr>
            <w:r>
              <w:rPr>
                <w:rFonts w:ascii="Segoe UI"/>
                <w:sz w:val="20"/>
              </w:rPr>
              <w:t>with</w:t>
            </w:r>
            <w:r>
              <w:rPr>
                <w:rFonts w:ascii="Segoe UI"/>
                <w:spacing w:val="-11"/>
                <w:sz w:val="20"/>
              </w:rPr>
              <w:t> </w:t>
            </w:r>
            <w:r>
              <w:rPr>
                <w:rFonts w:ascii="Segoe UI"/>
                <w:sz w:val="20"/>
              </w:rPr>
              <w:t>patients,</w:t>
            </w:r>
            <w:r>
              <w:rPr>
                <w:rFonts w:ascii="Segoe UI"/>
                <w:spacing w:val="-11"/>
                <w:sz w:val="20"/>
              </w:rPr>
              <w:t> </w:t>
            </w:r>
            <w:r>
              <w:rPr>
                <w:rFonts w:ascii="Segoe UI"/>
                <w:sz w:val="20"/>
              </w:rPr>
              <w:t>carers</w:t>
            </w:r>
            <w:r>
              <w:rPr>
                <w:rFonts w:ascii="Segoe UI"/>
                <w:spacing w:val="-8"/>
                <w:sz w:val="20"/>
              </w:rPr>
              <w:t> </w:t>
            </w:r>
            <w:r>
              <w:rPr>
                <w:rFonts w:ascii="Segoe UI"/>
                <w:sz w:val="20"/>
              </w:rPr>
              <w:t>and</w:t>
            </w:r>
            <w:r>
              <w:rPr>
                <w:rFonts w:ascii="Segoe UI"/>
                <w:spacing w:val="-11"/>
                <w:sz w:val="20"/>
              </w:rPr>
              <w:t> </w:t>
            </w:r>
            <w:r>
              <w:rPr>
                <w:rFonts w:ascii="Segoe UI"/>
                <w:sz w:val="20"/>
              </w:rPr>
              <w:t>representative </w:t>
            </w:r>
            <w:r>
              <w:rPr>
                <w:rFonts w:ascii="Segoe UI"/>
                <w:spacing w:val="-2"/>
                <w:sz w:val="20"/>
              </w:rPr>
              <w:t>organisations.</w:t>
            </w:r>
          </w:p>
        </w:tc>
        <w:tc>
          <w:tcPr>
            <w:tcW w:w="1705" w:type="dxa"/>
          </w:tcPr>
          <w:p>
            <w:pPr>
              <w:pStyle w:val="TableParagraph"/>
              <w:rPr>
                <w:rFonts w:ascii="Times New Roman"/>
                <w:sz w:val="20"/>
              </w:rPr>
            </w:pPr>
          </w:p>
        </w:tc>
        <w:tc>
          <w:tcPr>
            <w:tcW w:w="1570" w:type="dxa"/>
          </w:tcPr>
          <w:p>
            <w:pPr>
              <w:pStyle w:val="TableParagraph"/>
              <w:rPr>
                <w:rFonts w:ascii="Times New Roman"/>
                <w:sz w:val="20"/>
              </w:rPr>
            </w:pPr>
          </w:p>
        </w:tc>
      </w:tr>
      <w:tr>
        <w:trPr>
          <w:trHeight w:val="915" w:hRule="atLeast"/>
        </w:trPr>
        <w:tc>
          <w:tcPr>
            <w:tcW w:w="2271" w:type="dxa"/>
          </w:tcPr>
          <w:p>
            <w:pPr>
              <w:pStyle w:val="TableParagraph"/>
              <w:spacing w:before="189"/>
              <w:ind w:left="55" w:right="516"/>
              <w:rPr>
                <w:rFonts w:ascii="Segoe UI"/>
                <w:sz w:val="20"/>
              </w:rPr>
            </w:pPr>
            <w:r>
              <w:rPr>
                <w:rFonts w:ascii="Segoe UI"/>
                <w:sz w:val="20"/>
              </w:rPr>
              <w:t>Regional patient support</w:t>
            </w:r>
            <w:r>
              <w:rPr>
                <w:rFonts w:ascii="Segoe UI"/>
                <w:spacing w:val="-14"/>
                <w:sz w:val="20"/>
              </w:rPr>
              <w:t> </w:t>
            </w:r>
            <w:r>
              <w:rPr>
                <w:rFonts w:ascii="Segoe UI"/>
                <w:sz w:val="20"/>
              </w:rPr>
              <w:t>framework</w:t>
            </w:r>
          </w:p>
        </w:tc>
        <w:tc>
          <w:tcPr>
            <w:tcW w:w="4647" w:type="dxa"/>
          </w:tcPr>
          <w:p>
            <w:pPr>
              <w:pStyle w:val="TableParagraph"/>
              <w:spacing w:before="59"/>
              <w:ind w:left="55"/>
              <w:rPr>
                <w:rFonts w:ascii="Segoe UI"/>
                <w:sz w:val="20"/>
              </w:rPr>
            </w:pPr>
            <w:r>
              <w:rPr>
                <w:rFonts w:ascii="Segoe UI"/>
                <w:sz w:val="20"/>
              </w:rPr>
              <w:t>Agreed</w:t>
            </w:r>
            <w:r>
              <w:rPr>
                <w:rFonts w:ascii="Segoe UI"/>
                <w:spacing w:val="-9"/>
                <w:sz w:val="20"/>
              </w:rPr>
              <w:t> </w:t>
            </w:r>
            <w:r>
              <w:rPr>
                <w:rFonts w:ascii="Segoe UI"/>
                <w:sz w:val="20"/>
              </w:rPr>
              <w:t>standards</w:t>
            </w:r>
            <w:r>
              <w:rPr>
                <w:rFonts w:ascii="Segoe UI"/>
                <w:spacing w:val="-12"/>
                <w:sz w:val="20"/>
              </w:rPr>
              <w:t> </w:t>
            </w:r>
            <w:r>
              <w:rPr>
                <w:rFonts w:ascii="Segoe UI"/>
                <w:sz w:val="20"/>
              </w:rPr>
              <w:t>covering</w:t>
            </w:r>
            <w:r>
              <w:rPr>
                <w:rFonts w:ascii="Segoe UI"/>
                <w:spacing w:val="-9"/>
                <w:sz w:val="20"/>
              </w:rPr>
              <w:t> </w:t>
            </w:r>
            <w:r>
              <w:rPr>
                <w:rFonts w:ascii="Segoe UI"/>
                <w:sz w:val="20"/>
              </w:rPr>
              <w:t>accessible</w:t>
            </w:r>
            <w:r>
              <w:rPr>
                <w:rFonts w:ascii="Segoe UI"/>
                <w:spacing w:val="-11"/>
                <w:sz w:val="20"/>
              </w:rPr>
              <w:t> </w:t>
            </w:r>
            <w:r>
              <w:rPr>
                <w:rFonts w:ascii="Segoe UI"/>
                <w:sz w:val="20"/>
              </w:rPr>
              <w:t>information, ECSP implementation, support referrals, care transfers and patient communications</w:t>
            </w:r>
          </w:p>
        </w:tc>
        <w:tc>
          <w:tcPr>
            <w:tcW w:w="1705" w:type="dxa"/>
          </w:tcPr>
          <w:p>
            <w:pPr>
              <w:pStyle w:val="TableParagraph"/>
              <w:rPr>
                <w:rFonts w:ascii="Times New Roman"/>
                <w:sz w:val="20"/>
              </w:rPr>
            </w:pPr>
          </w:p>
        </w:tc>
        <w:tc>
          <w:tcPr>
            <w:tcW w:w="1570" w:type="dxa"/>
          </w:tcPr>
          <w:p>
            <w:pPr>
              <w:pStyle w:val="TableParagraph"/>
              <w:rPr>
                <w:rFonts w:ascii="Times New Roman"/>
                <w:sz w:val="20"/>
              </w:rPr>
            </w:pPr>
          </w:p>
        </w:tc>
      </w:tr>
      <w:tr>
        <w:trPr>
          <w:trHeight w:val="910" w:hRule="atLeast"/>
        </w:trPr>
        <w:tc>
          <w:tcPr>
            <w:tcW w:w="2271" w:type="dxa"/>
          </w:tcPr>
          <w:p>
            <w:pPr>
              <w:pStyle w:val="TableParagraph"/>
              <w:spacing w:before="54"/>
              <w:ind w:left="55"/>
              <w:rPr>
                <w:rFonts w:ascii="Segoe UI"/>
                <w:sz w:val="20"/>
              </w:rPr>
            </w:pPr>
            <w:r>
              <w:rPr>
                <w:rFonts w:ascii="Segoe UI"/>
                <w:sz w:val="20"/>
              </w:rPr>
              <w:t>Equity</w:t>
            </w:r>
            <w:r>
              <w:rPr>
                <w:rFonts w:ascii="Segoe UI"/>
                <w:spacing w:val="-14"/>
                <w:sz w:val="20"/>
              </w:rPr>
              <w:t> </w:t>
            </w:r>
            <w:r>
              <w:rPr>
                <w:rFonts w:ascii="Segoe UI"/>
                <w:sz w:val="20"/>
              </w:rPr>
              <w:t>and</w:t>
            </w:r>
            <w:r>
              <w:rPr>
                <w:rFonts w:ascii="Segoe UI"/>
                <w:spacing w:val="-14"/>
                <w:sz w:val="20"/>
              </w:rPr>
              <w:t> </w:t>
            </w:r>
            <w:r>
              <w:rPr>
                <w:rFonts w:ascii="Segoe UI"/>
                <w:sz w:val="20"/>
              </w:rPr>
              <w:t>accessibility </w:t>
            </w:r>
            <w:r>
              <w:rPr>
                <w:rFonts w:ascii="Segoe UI"/>
                <w:spacing w:val="-2"/>
                <w:sz w:val="20"/>
              </w:rPr>
              <w:t>Framework</w:t>
            </w:r>
          </w:p>
        </w:tc>
        <w:tc>
          <w:tcPr>
            <w:tcW w:w="4647" w:type="dxa"/>
          </w:tcPr>
          <w:p>
            <w:pPr>
              <w:pStyle w:val="TableParagraph"/>
              <w:spacing w:before="54"/>
              <w:ind w:left="55"/>
              <w:rPr>
                <w:rFonts w:ascii="Segoe UI"/>
                <w:sz w:val="20"/>
              </w:rPr>
            </w:pPr>
            <w:r>
              <w:rPr>
                <w:rFonts w:ascii="Segoe UI"/>
                <w:sz w:val="20"/>
              </w:rPr>
              <w:t>Agreed</w:t>
            </w:r>
            <w:r>
              <w:rPr>
                <w:rFonts w:ascii="Segoe UI"/>
                <w:spacing w:val="-4"/>
                <w:sz w:val="20"/>
              </w:rPr>
              <w:t> </w:t>
            </w:r>
            <w:r>
              <w:rPr>
                <w:rFonts w:ascii="Segoe UI"/>
                <w:sz w:val="20"/>
              </w:rPr>
              <w:t>measures</w:t>
            </w:r>
            <w:r>
              <w:rPr>
                <w:rFonts w:ascii="Segoe UI"/>
                <w:spacing w:val="-7"/>
                <w:sz w:val="20"/>
              </w:rPr>
              <w:t> </w:t>
            </w:r>
            <w:r>
              <w:rPr>
                <w:rFonts w:ascii="Segoe UI"/>
                <w:sz w:val="20"/>
              </w:rPr>
              <w:t>and</w:t>
            </w:r>
            <w:r>
              <w:rPr>
                <w:rFonts w:ascii="Segoe UI"/>
                <w:spacing w:val="-4"/>
                <w:sz w:val="20"/>
              </w:rPr>
              <w:t> </w:t>
            </w:r>
            <w:r>
              <w:rPr>
                <w:rFonts w:ascii="Segoe UI"/>
                <w:sz w:val="20"/>
              </w:rPr>
              <w:t>actions</w:t>
            </w:r>
            <w:r>
              <w:rPr>
                <w:rFonts w:ascii="Segoe UI"/>
                <w:spacing w:val="-7"/>
                <w:sz w:val="20"/>
              </w:rPr>
              <w:t> </w:t>
            </w:r>
            <w:r>
              <w:rPr>
                <w:rFonts w:ascii="Segoe UI"/>
                <w:sz w:val="20"/>
              </w:rPr>
              <w:t>relating</w:t>
            </w:r>
            <w:r>
              <w:rPr>
                <w:rFonts w:ascii="Segoe UI"/>
                <w:spacing w:val="-9"/>
                <w:sz w:val="20"/>
              </w:rPr>
              <w:t> </w:t>
            </w:r>
            <w:r>
              <w:rPr>
                <w:rFonts w:ascii="Segoe UI"/>
                <w:sz w:val="20"/>
              </w:rPr>
              <w:t>to</w:t>
            </w:r>
            <w:r>
              <w:rPr>
                <w:rFonts w:ascii="Segoe UI"/>
                <w:spacing w:val="-9"/>
                <w:sz w:val="20"/>
              </w:rPr>
              <w:t> </w:t>
            </w:r>
            <w:r>
              <w:rPr>
                <w:rFonts w:ascii="Segoe UI"/>
                <w:sz w:val="20"/>
              </w:rPr>
              <w:t>language, culture, transport, digital inclusion, disability and geographic access</w:t>
            </w:r>
          </w:p>
        </w:tc>
        <w:tc>
          <w:tcPr>
            <w:tcW w:w="1705" w:type="dxa"/>
          </w:tcPr>
          <w:p>
            <w:pPr>
              <w:pStyle w:val="TableParagraph"/>
              <w:rPr>
                <w:rFonts w:ascii="Times New Roman"/>
                <w:sz w:val="20"/>
              </w:rPr>
            </w:pPr>
          </w:p>
        </w:tc>
        <w:tc>
          <w:tcPr>
            <w:tcW w:w="1570" w:type="dxa"/>
          </w:tcPr>
          <w:p>
            <w:pPr>
              <w:pStyle w:val="TableParagraph"/>
              <w:rPr>
                <w:rFonts w:ascii="Times New Roman"/>
                <w:sz w:val="20"/>
              </w:rPr>
            </w:pPr>
          </w:p>
        </w:tc>
      </w:tr>
    </w:tbl>
    <w:p>
      <w:pPr>
        <w:pStyle w:val="BodyText"/>
        <w:rPr>
          <w:rFonts w:ascii="Calibri"/>
          <w:sz w:val="16"/>
        </w:rPr>
      </w:pPr>
    </w:p>
    <w:p>
      <w:pPr>
        <w:pStyle w:val="BodyText"/>
        <w:spacing w:before="91"/>
        <w:rPr>
          <w:rFonts w:ascii="Calibri"/>
          <w:sz w:val="16"/>
        </w:rPr>
      </w:pPr>
    </w:p>
    <w:p>
      <w:pPr>
        <w:pStyle w:val="Heading3"/>
        <w:numPr>
          <w:ilvl w:val="0"/>
          <w:numId w:val="13"/>
        </w:numPr>
        <w:tabs>
          <w:tab w:pos="879" w:val="left" w:leader="none"/>
        </w:tabs>
        <w:spacing w:line="240" w:lineRule="auto" w:before="0" w:after="0"/>
        <w:ind w:left="879" w:right="0" w:hanging="565"/>
        <w:jc w:val="left"/>
        <w:rPr>
          <w:color w:val="1F4E79"/>
        </w:rPr>
      </w:pPr>
      <w:r>
        <w:rPr>
          <w:color w:val="1F4E79"/>
        </w:rPr>
        <w:t>Programme</w:t>
      </w:r>
      <w:r>
        <w:rPr>
          <w:color w:val="1F4E79"/>
          <w:spacing w:val="2"/>
        </w:rPr>
        <w:t> </w:t>
      </w:r>
      <w:r>
        <w:rPr>
          <w:color w:val="1F4E79"/>
        </w:rPr>
        <w:t>Plan</w:t>
      </w:r>
      <w:r>
        <w:rPr>
          <w:color w:val="1F4E79"/>
          <w:spacing w:val="-4"/>
        </w:rPr>
        <w:t> </w:t>
      </w:r>
      <w:r>
        <w:rPr>
          <w:color w:val="1F4E79"/>
        </w:rPr>
        <w:t>and</w:t>
      </w:r>
      <w:r>
        <w:rPr>
          <w:color w:val="1F4E79"/>
          <w:spacing w:val="-1"/>
        </w:rPr>
        <w:t> </w:t>
      </w:r>
      <w:r>
        <w:rPr>
          <w:color w:val="1F4E79"/>
        </w:rPr>
        <w:t>Key</w:t>
      </w:r>
      <w:r>
        <w:rPr>
          <w:color w:val="1F4E79"/>
          <w:spacing w:val="-2"/>
        </w:rPr>
        <w:t> Milestones</w:t>
      </w:r>
    </w:p>
    <w:p>
      <w:pPr>
        <w:pStyle w:val="BodyText"/>
        <w:spacing w:before="221"/>
        <w:ind w:left="879"/>
        <w:rPr>
          <w:rFonts w:ascii="Segoe UI"/>
        </w:rPr>
      </w:pPr>
      <w:r>
        <w:rPr>
          <w:rFonts w:ascii="Segoe UI"/>
        </w:rPr>
        <w:t>The</w:t>
      </w:r>
      <w:r>
        <w:rPr>
          <w:rFonts w:ascii="Segoe UI"/>
          <w:spacing w:val="-7"/>
        </w:rPr>
        <w:t> </w:t>
      </w:r>
      <w:r>
        <w:rPr>
          <w:rFonts w:ascii="Segoe UI"/>
        </w:rPr>
        <w:t>programme</w:t>
      </w:r>
      <w:r>
        <w:rPr>
          <w:rFonts w:ascii="Segoe UI"/>
          <w:spacing w:val="-3"/>
        </w:rPr>
        <w:t> </w:t>
      </w:r>
      <w:r>
        <w:rPr>
          <w:rFonts w:ascii="Segoe UI"/>
        </w:rPr>
        <w:t>outlines</w:t>
      </w:r>
      <w:r>
        <w:rPr>
          <w:rFonts w:ascii="Segoe UI"/>
          <w:spacing w:val="-1"/>
        </w:rPr>
        <w:t> </w:t>
      </w:r>
      <w:r>
        <w:rPr>
          <w:rFonts w:ascii="Segoe UI"/>
        </w:rPr>
        <w:t>a</w:t>
      </w:r>
      <w:r>
        <w:rPr>
          <w:rFonts w:ascii="Segoe UI"/>
          <w:spacing w:val="-5"/>
        </w:rPr>
        <w:t> </w:t>
      </w:r>
      <w:r>
        <w:rPr>
          <w:rFonts w:ascii="Segoe UI"/>
        </w:rPr>
        <w:t>need</w:t>
      </w:r>
      <w:r>
        <w:rPr>
          <w:rFonts w:ascii="Segoe UI"/>
          <w:spacing w:val="-5"/>
        </w:rPr>
        <w:t> </w:t>
      </w:r>
      <w:r>
        <w:rPr>
          <w:rFonts w:ascii="Segoe UI"/>
        </w:rPr>
        <w:t>for</w:t>
      </w:r>
      <w:r>
        <w:rPr>
          <w:rFonts w:ascii="Segoe UI"/>
          <w:spacing w:val="-2"/>
        </w:rPr>
        <w:t> </w:t>
      </w:r>
      <w:r>
        <w:rPr>
          <w:rFonts w:ascii="Segoe UI"/>
        </w:rPr>
        <w:t>a</w:t>
      </w:r>
      <w:r>
        <w:rPr>
          <w:rFonts w:ascii="Segoe UI"/>
          <w:spacing w:val="-1"/>
        </w:rPr>
        <w:t> </w:t>
      </w:r>
      <w:r>
        <w:rPr>
          <w:rFonts w:ascii="Segoe UI"/>
        </w:rPr>
        <w:t>clear</w:t>
      </w:r>
      <w:r>
        <w:rPr>
          <w:rFonts w:ascii="Segoe UI"/>
          <w:spacing w:val="-3"/>
        </w:rPr>
        <w:t> </w:t>
      </w:r>
      <w:r>
        <w:rPr>
          <w:rFonts w:ascii="Segoe UI"/>
        </w:rPr>
        <w:t>and</w:t>
      </w:r>
      <w:r>
        <w:rPr>
          <w:rFonts w:ascii="Segoe UI"/>
          <w:spacing w:val="5"/>
        </w:rPr>
        <w:t> </w:t>
      </w:r>
      <w:r>
        <w:rPr>
          <w:rFonts w:ascii="Segoe UI"/>
        </w:rPr>
        <w:t>agreed</w:t>
      </w:r>
      <w:r>
        <w:rPr>
          <w:rFonts w:ascii="Segoe UI"/>
          <w:spacing w:val="-6"/>
        </w:rPr>
        <w:t> </w:t>
      </w:r>
      <w:r>
        <w:rPr>
          <w:rFonts w:ascii="Segoe UI"/>
        </w:rPr>
        <w:t>evidence-based strategy</w:t>
      </w:r>
      <w:r>
        <w:rPr>
          <w:rFonts w:ascii="Segoe UI"/>
          <w:spacing w:val="-3"/>
        </w:rPr>
        <w:t> </w:t>
      </w:r>
      <w:r>
        <w:rPr>
          <w:rFonts w:ascii="Segoe UI"/>
        </w:rPr>
        <w:t>for</w:t>
      </w:r>
      <w:r>
        <w:rPr>
          <w:rFonts w:ascii="Segoe UI"/>
          <w:spacing w:val="-2"/>
        </w:rPr>
        <w:t> 2026/27:</w:t>
      </w:r>
    </w:p>
    <w:p>
      <w:pPr>
        <w:pStyle w:val="BodyText"/>
        <w:spacing w:before="244"/>
        <w:rPr>
          <w:rFonts w:ascii="Segoe UI"/>
          <w:sz w:val="20"/>
        </w:rPr>
      </w:pPr>
    </w:p>
    <w:tbl>
      <w:tblPr>
        <w:tblW w:w="0" w:type="auto"/>
        <w:jc w:val="left"/>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42"/>
        <w:gridCol w:w="1656"/>
        <w:gridCol w:w="1936"/>
        <w:gridCol w:w="2761"/>
      </w:tblGrid>
      <w:tr>
        <w:trPr>
          <w:trHeight w:val="475" w:hRule="atLeast"/>
        </w:trPr>
        <w:tc>
          <w:tcPr>
            <w:tcW w:w="3842" w:type="dxa"/>
            <w:shd w:val="clear" w:color="auto" w:fill="DBE4F0"/>
          </w:tcPr>
          <w:p>
            <w:pPr>
              <w:pStyle w:val="TableParagraph"/>
              <w:spacing w:before="91"/>
              <w:ind w:left="90"/>
              <w:rPr>
                <w:rFonts w:ascii="Calibri"/>
                <w:b/>
                <w:sz w:val="24"/>
              </w:rPr>
            </w:pPr>
            <w:r>
              <w:rPr>
                <w:rFonts w:ascii="Calibri"/>
                <w:b/>
                <w:color w:val="1F4E79"/>
                <w:sz w:val="24"/>
              </w:rPr>
              <w:t>Milestone</w:t>
            </w:r>
            <w:r>
              <w:rPr>
                <w:rFonts w:ascii="Calibri"/>
                <w:b/>
                <w:color w:val="1F4E79"/>
                <w:spacing w:val="-1"/>
                <w:sz w:val="24"/>
              </w:rPr>
              <w:t> </w:t>
            </w:r>
            <w:r>
              <w:rPr>
                <w:rFonts w:ascii="Calibri"/>
                <w:b/>
                <w:color w:val="1F4E79"/>
                <w:sz w:val="24"/>
              </w:rPr>
              <w:t>/</w:t>
            </w:r>
            <w:r>
              <w:rPr>
                <w:rFonts w:ascii="Calibri"/>
                <w:b/>
                <w:color w:val="1F4E79"/>
                <w:spacing w:val="5"/>
                <w:sz w:val="24"/>
              </w:rPr>
              <w:t> </w:t>
            </w:r>
            <w:r>
              <w:rPr>
                <w:rFonts w:ascii="Calibri"/>
                <w:b/>
                <w:color w:val="1F4E79"/>
                <w:spacing w:val="-2"/>
                <w:sz w:val="24"/>
              </w:rPr>
              <w:t>Activity</w:t>
            </w:r>
          </w:p>
        </w:tc>
        <w:tc>
          <w:tcPr>
            <w:tcW w:w="1656" w:type="dxa"/>
            <w:shd w:val="clear" w:color="auto" w:fill="DBE4F0"/>
          </w:tcPr>
          <w:p>
            <w:pPr>
              <w:pStyle w:val="TableParagraph"/>
              <w:spacing w:before="91"/>
              <w:ind w:left="89"/>
              <w:rPr>
                <w:rFonts w:ascii="Calibri"/>
                <w:b/>
                <w:sz w:val="24"/>
              </w:rPr>
            </w:pPr>
            <w:r>
              <w:rPr>
                <w:rFonts w:ascii="Calibri"/>
                <w:b/>
                <w:color w:val="1F4E79"/>
                <w:sz w:val="24"/>
              </w:rPr>
              <w:t>By </w:t>
            </w:r>
            <w:r>
              <w:rPr>
                <w:rFonts w:ascii="Calibri"/>
                <w:b/>
                <w:color w:val="1F4E79"/>
                <w:spacing w:val="-4"/>
                <w:sz w:val="24"/>
              </w:rPr>
              <w:t>When</w:t>
            </w:r>
          </w:p>
        </w:tc>
        <w:tc>
          <w:tcPr>
            <w:tcW w:w="1936" w:type="dxa"/>
            <w:shd w:val="clear" w:color="auto" w:fill="DBE4F0"/>
          </w:tcPr>
          <w:p>
            <w:pPr>
              <w:pStyle w:val="TableParagraph"/>
              <w:spacing w:before="91"/>
              <w:ind w:left="89"/>
              <w:rPr>
                <w:rFonts w:ascii="Calibri"/>
                <w:b/>
                <w:sz w:val="24"/>
              </w:rPr>
            </w:pPr>
            <w:r>
              <w:rPr>
                <w:rFonts w:ascii="Calibri"/>
                <w:b/>
                <w:color w:val="1F4E79"/>
                <w:spacing w:val="-4"/>
                <w:sz w:val="24"/>
              </w:rPr>
              <w:t>Lead</w:t>
            </w:r>
          </w:p>
        </w:tc>
        <w:tc>
          <w:tcPr>
            <w:tcW w:w="2761" w:type="dxa"/>
            <w:shd w:val="clear" w:color="auto" w:fill="DBE4F0"/>
          </w:tcPr>
          <w:p>
            <w:pPr>
              <w:pStyle w:val="TableParagraph"/>
              <w:spacing w:before="91"/>
              <w:ind w:left="88"/>
              <w:rPr>
                <w:rFonts w:ascii="Calibri"/>
                <w:b/>
                <w:sz w:val="24"/>
              </w:rPr>
            </w:pPr>
            <w:r>
              <w:rPr>
                <w:rFonts w:ascii="Calibri"/>
                <w:b/>
                <w:color w:val="1F4E79"/>
                <w:sz w:val="24"/>
              </w:rPr>
              <w:t>Status</w:t>
            </w:r>
            <w:r>
              <w:rPr>
                <w:rFonts w:ascii="Calibri"/>
                <w:b/>
                <w:color w:val="1F4E79"/>
                <w:spacing w:val="-1"/>
                <w:sz w:val="24"/>
              </w:rPr>
              <w:t> </w:t>
            </w:r>
            <w:r>
              <w:rPr>
                <w:rFonts w:ascii="Calibri"/>
                <w:b/>
                <w:color w:val="1F4E79"/>
                <w:sz w:val="24"/>
              </w:rPr>
              <w:t>/</w:t>
            </w:r>
            <w:r>
              <w:rPr>
                <w:rFonts w:ascii="Calibri"/>
                <w:b/>
                <w:color w:val="1F4E79"/>
                <w:spacing w:val="1"/>
                <w:sz w:val="24"/>
              </w:rPr>
              <w:t> </w:t>
            </w:r>
            <w:r>
              <w:rPr>
                <w:rFonts w:ascii="Calibri"/>
                <w:b/>
                <w:color w:val="1F4E79"/>
                <w:spacing w:val="-2"/>
                <w:sz w:val="24"/>
              </w:rPr>
              <w:t>notes</w:t>
            </w:r>
          </w:p>
        </w:tc>
      </w:tr>
      <w:tr>
        <w:trPr>
          <w:trHeight w:val="645" w:hRule="atLeast"/>
        </w:trPr>
        <w:tc>
          <w:tcPr>
            <w:tcW w:w="3842" w:type="dxa"/>
          </w:tcPr>
          <w:p>
            <w:pPr>
              <w:pStyle w:val="TableParagraph"/>
              <w:spacing w:before="54"/>
              <w:ind w:left="55"/>
              <w:rPr>
                <w:rFonts w:ascii="Segoe UI"/>
                <w:sz w:val="20"/>
              </w:rPr>
            </w:pPr>
            <w:r>
              <w:rPr>
                <w:rFonts w:ascii="Segoe UI"/>
                <w:sz w:val="20"/>
              </w:rPr>
              <w:t>Confirm</w:t>
            </w:r>
            <w:r>
              <w:rPr>
                <w:rFonts w:ascii="Segoe UI"/>
                <w:spacing w:val="-11"/>
                <w:sz w:val="20"/>
              </w:rPr>
              <w:t> </w:t>
            </w:r>
            <w:r>
              <w:rPr>
                <w:rFonts w:ascii="Segoe UI"/>
                <w:sz w:val="20"/>
              </w:rPr>
              <w:t>leadership,</w:t>
            </w:r>
            <w:r>
              <w:rPr>
                <w:rFonts w:ascii="Segoe UI"/>
                <w:spacing w:val="-9"/>
                <w:sz w:val="20"/>
              </w:rPr>
              <w:t> </w:t>
            </w:r>
            <w:r>
              <w:rPr>
                <w:rFonts w:ascii="Segoe UI"/>
                <w:sz w:val="20"/>
              </w:rPr>
              <w:t>meeting</w:t>
            </w:r>
            <w:r>
              <w:rPr>
                <w:rFonts w:ascii="Segoe UI"/>
                <w:spacing w:val="-12"/>
                <w:sz w:val="20"/>
              </w:rPr>
              <w:t> </w:t>
            </w:r>
            <w:r>
              <w:rPr>
                <w:rFonts w:ascii="Segoe UI"/>
                <w:sz w:val="20"/>
              </w:rPr>
              <w:t>cycle</w:t>
            </w:r>
            <w:r>
              <w:rPr>
                <w:rFonts w:ascii="Segoe UI"/>
                <w:spacing w:val="-9"/>
                <w:sz w:val="20"/>
              </w:rPr>
              <w:t> </w:t>
            </w:r>
            <w:r>
              <w:rPr>
                <w:rFonts w:ascii="Segoe UI"/>
                <w:sz w:val="20"/>
              </w:rPr>
              <w:t>and </w:t>
            </w:r>
            <w:r>
              <w:rPr>
                <w:rFonts w:ascii="Segoe UI"/>
                <w:spacing w:val="-2"/>
                <w:sz w:val="20"/>
              </w:rPr>
              <w:t>mobilisation</w:t>
            </w:r>
          </w:p>
        </w:tc>
        <w:tc>
          <w:tcPr>
            <w:tcW w:w="1656" w:type="dxa"/>
          </w:tcPr>
          <w:p>
            <w:pPr>
              <w:pStyle w:val="TableParagraph"/>
              <w:spacing w:before="189"/>
              <w:ind w:left="59"/>
              <w:rPr>
                <w:rFonts w:ascii="Segoe UI"/>
                <w:sz w:val="20"/>
              </w:rPr>
            </w:pPr>
            <w:r>
              <w:rPr>
                <w:rFonts w:ascii="Segoe UI"/>
                <w:sz w:val="20"/>
              </w:rPr>
              <w:t>Sep</w:t>
            </w:r>
            <w:r>
              <w:rPr>
                <w:rFonts w:ascii="Segoe UI"/>
                <w:spacing w:val="-2"/>
                <w:sz w:val="20"/>
              </w:rPr>
              <w:t> </w:t>
            </w:r>
            <w:r>
              <w:rPr>
                <w:rFonts w:ascii="Segoe UI"/>
                <w:spacing w:val="-4"/>
                <w:sz w:val="20"/>
              </w:rPr>
              <w:t>2026</w:t>
            </w:r>
          </w:p>
        </w:tc>
        <w:tc>
          <w:tcPr>
            <w:tcW w:w="1936" w:type="dxa"/>
          </w:tcPr>
          <w:p>
            <w:pPr>
              <w:pStyle w:val="TableParagraph"/>
              <w:spacing w:before="54"/>
              <w:ind w:left="54"/>
              <w:rPr>
                <w:rFonts w:ascii="Segoe UI"/>
                <w:sz w:val="20"/>
              </w:rPr>
            </w:pPr>
            <w:r>
              <w:rPr>
                <w:rFonts w:ascii="Segoe UI"/>
                <w:sz w:val="20"/>
              </w:rPr>
              <w:t>Proposed:</w:t>
            </w:r>
            <w:r>
              <w:rPr>
                <w:rFonts w:ascii="Segoe UI"/>
                <w:spacing w:val="-14"/>
                <w:sz w:val="20"/>
              </w:rPr>
              <w:t> </w:t>
            </w:r>
            <w:r>
              <w:rPr>
                <w:rFonts w:ascii="Segoe UI"/>
                <w:sz w:val="20"/>
              </w:rPr>
              <w:t>Craige </w:t>
            </w:r>
            <w:r>
              <w:rPr>
                <w:rFonts w:ascii="Segoe UI"/>
                <w:spacing w:val="-2"/>
                <w:sz w:val="20"/>
              </w:rPr>
              <w:t>Wilson</w:t>
            </w:r>
          </w:p>
        </w:tc>
        <w:tc>
          <w:tcPr>
            <w:tcW w:w="2761" w:type="dxa"/>
          </w:tcPr>
          <w:p>
            <w:pPr>
              <w:pStyle w:val="TableParagraph"/>
              <w:spacing w:before="54"/>
              <w:ind w:left="53"/>
              <w:rPr>
                <w:rFonts w:ascii="Segoe UI"/>
                <w:sz w:val="20"/>
              </w:rPr>
            </w:pPr>
            <w:r>
              <w:rPr>
                <w:rFonts w:ascii="Segoe UI"/>
                <w:sz w:val="20"/>
              </w:rPr>
              <w:t>For</w:t>
            </w:r>
            <w:r>
              <w:rPr>
                <w:rFonts w:ascii="Segoe UI"/>
                <w:spacing w:val="-14"/>
                <w:sz w:val="20"/>
              </w:rPr>
              <w:t> </w:t>
            </w:r>
            <w:r>
              <w:rPr>
                <w:rFonts w:ascii="Segoe UI"/>
                <w:sz w:val="20"/>
              </w:rPr>
              <w:t>Programme</w:t>
            </w:r>
            <w:r>
              <w:rPr>
                <w:rFonts w:ascii="Segoe UI"/>
                <w:spacing w:val="-14"/>
                <w:sz w:val="20"/>
              </w:rPr>
              <w:t> </w:t>
            </w:r>
            <w:r>
              <w:rPr>
                <w:rFonts w:ascii="Segoe UI"/>
                <w:sz w:val="20"/>
              </w:rPr>
              <w:t>Board </w:t>
            </w:r>
            <w:r>
              <w:rPr>
                <w:rFonts w:ascii="Segoe UI"/>
                <w:spacing w:val="-2"/>
                <w:sz w:val="20"/>
              </w:rPr>
              <w:t>agreement</w:t>
            </w:r>
          </w:p>
        </w:tc>
      </w:tr>
      <w:tr>
        <w:trPr>
          <w:trHeight w:val="645" w:hRule="atLeast"/>
        </w:trPr>
        <w:tc>
          <w:tcPr>
            <w:tcW w:w="3842" w:type="dxa"/>
          </w:tcPr>
          <w:p>
            <w:pPr>
              <w:pStyle w:val="TableParagraph"/>
              <w:spacing w:line="242" w:lineRule="auto" w:before="54"/>
              <w:ind w:left="55"/>
              <w:rPr>
                <w:rFonts w:ascii="Segoe UI"/>
                <w:sz w:val="20"/>
              </w:rPr>
            </w:pPr>
            <w:r>
              <w:rPr>
                <w:rFonts w:ascii="Segoe UI"/>
                <w:sz w:val="20"/>
              </w:rPr>
              <w:t>Agree</w:t>
            </w:r>
            <w:r>
              <w:rPr>
                <w:rFonts w:ascii="Segoe UI"/>
                <w:spacing w:val="-8"/>
                <w:sz w:val="20"/>
              </w:rPr>
              <w:t> </w:t>
            </w:r>
            <w:r>
              <w:rPr>
                <w:rFonts w:ascii="Segoe UI"/>
                <w:sz w:val="20"/>
              </w:rPr>
              <w:t>measures,</w:t>
            </w:r>
            <w:r>
              <w:rPr>
                <w:rFonts w:ascii="Segoe UI"/>
                <w:spacing w:val="-11"/>
                <w:sz w:val="20"/>
              </w:rPr>
              <w:t> </w:t>
            </w:r>
            <w:r>
              <w:rPr>
                <w:rFonts w:ascii="Segoe UI"/>
                <w:sz w:val="20"/>
              </w:rPr>
              <w:t>definitions</w:t>
            </w:r>
            <w:r>
              <w:rPr>
                <w:rFonts w:ascii="Segoe UI"/>
                <w:spacing w:val="-9"/>
                <w:sz w:val="20"/>
              </w:rPr>
              <w:t> </w:t>
            </w:r>
            <w:r>
              <w:rPr>
                <w:rFonts w:ascii="Segoe UI"/>
                <w:sz w:val="20"/>
              </w:rPr>
              <w:t>and</w:t>
            </w:r>
            <w:r>
              <w:rPr>
                <w:rFonts w:ascii="Segoe UI"/>
                <w:spacing w:val="-10"/>
                <w:sz w:val="20"/>
              </w:rPr>
              <w:t> </w:t>
            </w:r>
            <w:r>
              <w:rPr>
                <w:rFonts w:ascii="Segoe UI"/>
                <w:sz w:val="20"/>
              </w:rPr>
              <w:t>evidence </w:t>
            </w:r>
            <w:r>
              <w:rPr>
                <w:rFonts w:ascii="Segoe UI"/>
                <w:spacing w:val="-2"/>
                <w:sz w:val="20"/>
              </w:rPr>
              <w:t>scope</w:t>
            </w:r>
          </w:p>
        </w:tc>
        <w:tc>
          <w:tcPr>
            <w:tcW w:w="1656" w:type="dxa"/>
          </w:tcPr>
          <w:p>
            <w:pPr>
              <w:pStyle w:val="TableParagraph"/>
              <w:spacing w:before="189"/>
              <w:ind w:left="59"/>
              <w:rPr>
                <w:rFonts w:ascii="Segoe UI"/>
                <w:sz w:val="20"/>
              </w:rPr>
            </w:pPr>
            <w:r>
              <w:rPr>
                <w:rFonts w:ascii="Segoe UI"/>
                <w:sz w:val="20"/>
              </w:rPr>
              <w:t>Sep</w:t>
            </w:r>
            <w:r>
              <w:rPr>
                <w:rFonts w:ascii="Segoe UI"/>
                <w:spacing w:val="-2"/>
                <w:sz w:val="20"/>
              </w:rPr>
              <w:t> </w:t>
            </w:r>
            <w:r>
              <w:rPr>
                <w:rFonts w:ascii="Segoe UI"/>
                <w:spacing w:val="-4"/>
                <w:sz w:val="20"/>
              </w:rPr>
              <w:t>2026</w:t>
            </w:r>
          </w:p>
        </w:tc>
        <w:tc>
          <w:tcPr>
            <w:tcW w:w="1936" w:type="dxa"/>
          </w:tcPr>
          <w:p>
            <w:pPr>
              <w:pStyle w:val="TableParagraph"/>
              <w:spacing w:line="242" w:lineRule="auto" w:before="54"/>
              <w:ind w:left="54" w:right="422"/>
              <w:rPr>
                <w:rFonts w:ascii="Segoe UI"/>
                <w:sz w:val="20"/>
              </w:rPr>
            </w:pPr>
            <w:r>
              <w:rPr>
                <w:rFonts w:ascii="Segoe UI"/>
                <w:sz w:val="20"/>
              </w:rPr>
              <w:t>Proposed</w:t>
            </w:r>
            <w:r>
              <w:rPr>
                <w:rFonts w:ascii="Segoe UI"/>
                <w:spacing w:val="-14"/>
                <w:sz w:val="20"/>
              </w:rPr>
              <w:t> </w:t>
            </w:r>
            <w:r>
              <w:rPr>
                <w:rFonts w:ascii="Segoe UI"/>
                <w:sz w:val="20"/>
              </w:rPr>
              <w:t>Berian </w:t>
            </w:r>
            <w:r>
              <w:rPr>
                <w:rFonts w:ascii="Segoe UI"/>
                <w:spacing w:val="-2"/>
                <w:sz w:val="20"/>
              </w:rPr>
              <w:t>Allcock</w:t>
            </w:r>
          </w:p>
        </w:tc>
        <w:tc>
          <w:tcPr>
            <w:tcW w:w="2761" w:type="dxa"/>
          </w:tcPr>
          <w:p>
            <w:pPr>
              <w:pStyle w:val="TableParagraph"/>
              <w:spacing w:line="242" w:lineRule="auto" w:before="54"/>
              <w:ind w:left="53"/>
              <w:rPr>
                <w:rFonts w:ascii="Segoe UI"/>
                <w:sz w:val="20"/>
              </w:rPr>
            </w:pPr>
            <w:r>
              <w:rPr>
                <w:rFonts w:ascii="Segoe UI"/>
                <w:sz w:val="20"/>
              </w:rPr>
              <w:t>Leads</w:t>
            </w:r>
            <w:r>
              <w:rPr>
                <w:rFonts w:ascii="Segoe UI"/>
                <w:spacing w:val="-14"/>
                <w:sz w:val="20"/>
              </w:rPr>
              <w:t> </w:t>
            </w:r>
            <w:r>
              <w:rPr>
                <w:rFonts w:ascii="Segoe UI"/>
                <w:sz w:val="20"/>
              </w:rPr>
              <w:t>and</w:t>
            </w:r>
            <w:r>
              <w:rPr>
                <w:rFonts w:ascii="Segoe UI"/>
                <w:spacing w:val="-11"/>
                <w:sz w:val="20"/>
              </w:rPr>
              <w:t> </w:t>
            </w:r>
            <w:r>
              <w:rPr>
                <w:rFonts w:ascii="Segoe UI"/>
                <w:sz w:val="20"/>
              </w:rPr>
              <w:t>dates</w:t>
            </w:r>
            <w:r>
              <w:rPr>
                <w:rFonts w:ascii="Segoe UI"/>
                <w:spacing w:val="-13"/>
                <w:sz w:val="20"/>
              </w:rPr>
              <w:t> </w:t>
            </w:r>
            <w:r>
              <w:rPr>
                <w:rFonts w:ascii="Segoe UI"/>
                <w:sz w:val="20"/>
              </w:rPr>
              <w:t>remain </w:t>
            </w:r>
            <w:r>
              <w:rPr>
                <w:rFonts w:ascii="Segoe UI"/>
                <w:spacing w:val="-2"/>
                <w:sz w:val="20"/>
              </w:rPr>
              <w:t>recommended</w:t>
            </w:r>
          </w:p>
        </w:tc>
      </w:tr>
      <w:tr>
        <w:trPr>
          <w:trHeight w:val="642" w:hRule="atLeast"/>
        </w:trPr>
        <w:tc>
          <w:tcPr>
            <w:tcW w:w="3842" w:type="dxa"/>
            <w:tcBorders>
              <w:bottom w:val="single" w:sz="6" w:space="0" w:color="000000"/>
            </w:tcBorders>
          </w:tcPr>
          <w:p>
            <w:pPr>
              <w:pStyle w:val="TableParagraph"/>
              <w:spacing w:before="59"/>
              <w:ind w:left="55"/>
              <w:rPr>
                <w:rFonts w:ascii="Segoe UI"/>
                <w:sz w:val="20"/>
              </w:rPr>
            </w:pPr>
            <w:r>
              <w:rPr>
                <w:rFonts w:ascii="Segoe UI"/>
                <w:sz w:val="20"/>
              </w:rPr>
              <w:t>Complete</w:t>
            </w:r>
            <w:r>
              <w:rPr>
                <w:rFonts w:ascii="Segoe UI"/>
                <w:spacing w:val="-9"/>
                <w:sz w:val="20"/>
              </w:rPr>
              <w:t> </w:t>
            </w:r>
            <w:r>
              <w:rPr>
                <w:rFonts w:ascii="Segoe UI"/>
                <w:sz w:val="20"/>
              </w:rPr>
              <w:t>initial</w:t>
            </w:r>
            <w:r>
              <w:rPr>
                <w:rFonts w:ascii="Segoe UI"/>
                <w:spacing w:val="-8"/>
                <w:sz w:val="20"/>
              </w:rPr>
              <w:t> </w:t>
            </w:r>
            <w:r>
              <w:rPr>
                <w:rFonts w:ascii="Segoe UI"/>
                <w:sz w:val="20"/>
              </w:rPr>
              <w:t>baselines</w:t>
            </w:r>
            <w:r>
              <w:rPr>
                <w:rFonts w:ascii="Segoe UI"/>
                <w:spacing w:val="-9"/>
                <w:sz w:val="20"/>
              </w:rPr>
              <w:t> </w:t>
            </w:r>
            <w:r>
              <w:rPr>
                <w:rFonts w:ascii="Segoe UI"/>
                <w:sz w:val="20"/>
              </w:rPr>
              <w:t>and</w:t>
            </w:r>
            <w:r>
              <w:rPr>
                <w:rFonts w:ascii="Segoe UI"/>
                <w:spacing w:val="-12"/>
                <w:sz w:val="20"/>
              </w:rPr>
              <w:t> </w:t>
            </w:r>
            <w:r>
              <w:rPr>
                <w:rFonts w:ascii="Segoe UI"/>
                <w:sz w:val="20"/>
              </w:rPr>
              <w:t>prototype </w:t>
            </w:r>
            <w:r>
              <w:rPr>
                <w:rFonts w:ascii="Segoe UI"/>
                <w:spacing w:val="-2"/>
                <w:sz w:val="20"/>
              </w:rPr>
              <w:t>reporting</w:t>
            </w:r>
          </w:p>
        </w:tc>
        <w:tc>
          <w:tcPr>
            <w:tcW w:w="1656" w:type="dxa"/>
            <w:tcBorders>
              <w:bottom w:val="single" w:sz="6" w:space="0" w:color="000000"/>
            </w:tcBorders>
          </w:tcPr>
          <w:p>
            <w:pPr>
              <w:pStyle w:val="TableParagraph"/>
              <w:spacing w:before="189"/>
              <w:ind w:left="59"/>
              <w:rPr>
                <w:rFonts w:ascii="Segoe UI"/>
                <w:sz w:val="20"/>
              </w:rPr>
            </w:pPr>
            <w:r>
              <w:rPr>
                <w:rFonts w:ascii="Segoe UI"/>
                <w:sz w:val="20"/>
              </w:rPr>
              <w:t>Oct</w:t>
            </w:r>
            <w:r>
              <w:rPr>
                <w:rFonts w:ascii="Segoe UI"/>
                <w:spacing w:val="2"/>
                <w:sz w:val="20"/>
              </w:rPr>
              <w:t> </w:t>
            </w:r>
            <w:r>
              <w:rPr>
                <w:rFonts w:ascii="Segoe UI"/>
                <w:sz w:val="20"/>
              </w:rPr>
              <w:t>to</w:t>
            </w:r>
            <w:r>
              <w:rPr>
                <w:rFonts w:ascii="Segoe UI"/>
                <w:spacing w:val="-3"/>
                <w:sz w:val="20"/>
              </w:rPr>
              <w:t> </w:t>
            </w:r>
            <w:r>
              <w:rPr>
                <w:rFonts w:ascii="Segoe UI"/>
                <w:sz w:val="20"/>
              </w:rPr>
              <w:t>Nov </w:t>
            </w:r>
            <w:r>
              <w:rPr>
                <w:rFonts w:ascii="Segoe UI"/>
                <w:spacing w:val="-4"/>
                <w:sz w:val="20"/>
              </w:rPr>
              <w:t>2026</w:t>
            </w:r>
          </w:p>
        </w:tc>
        <w:tc>
          <w:tcPr>
            <w:tcW w:w="1936" w:type="dxa"/>
            <w:tcBorders>
              <w:bottom w:val="single" w:sz="6" w:space="0" w:color="000000"/>
            </w:tcBorders>
          </w:tcPr>
          <w:p>
            <w:pPr>
              <w:pStyle w:val="TableParagraph"/>
              <w:spacing w:before="59"/>
              <w:ind w:left="54"/>
              <w:rPr>
                <w:rFonts w:ascii="Segoe UI"/>
                <w:sz w:val="20"/>
              </w:rPr>
            </w:pPr>
            <w:r>
              <w:rPr>
                <w:rFonts w:ascii="Segoe UI"/>
                <w:sz w:val="20"/>
              </w:rPr>
              <w:t>Proposed</w:t>
            </w:r>
            <w:r>
              <w:rPr>
                <w:rFonts w:ascii="Segoe UI"/>
                <w:spacing w:val="-14"/>
                <w:sz w:val="20"/>
              </w:rPr>
              <w:t> </w:t>
            </w:r>
            <w:r>
              <w:rPr>
                <w:rFonts w:ascii="Segoe UI"/>
                <w:sz w:val="20"/>
              </w:rPr>
              <w:t>Andrew </w:t>
            </w:r>
            <w:r>
              <w:rPr>
                <w:rFonts w:ascii="Segoe UI"/>
                <w:spacing w:val="-2"/>
                <w:sz w:val="20"/>
              </w:rPr>
              <w:t>Nelson</w:t>
            </w:r>
          </w:p>
        </w:tc>
        <w:tc>
          <w:tcPr>
            <w:tcW w:w="2761" w:type="dxa"/>
            <w:tcBorders>
              <w:bottom w:val="single" w:sz="6" w:space="0" w:color="000000"/>
            </w:tcBorders>
          </w:tcPr>
          <w:p>
            <w:pPr>
              <w:pStyle w:val="TableParagraph"/>
              <w:spacing w:before="189"/>
              <w:ind w:left="53"/>
              <w:rPr>
                <w:rFonts w:ascii="Segoe UI"/>
                <w:sz w:val="20"/>
              </w:rPr>
            </w:pPr>
            <w:r>
              <w:rPr>
                <w:rFonts w:ascii="Segoe UI"/>
                <w:sz w:val="20"/>
              </w:rPr>
              <w:t>Subject</w:t>
            </w:r>
            <w:r>
              <w:rPr>
                <w:rFonts w:ascii="Segoe UI"/>
                <w:spacing w:val="1"/>
                <w:sz w:val="20"/>
              </w:rPr>
              <w:t> </w:t>
            </w:r>
            <w:r>
              <w:rPr>
                <w:rFonts w:ascii="Segoe UI"/>
                <w:sz w:val="20"/>
              </w:rPr>
              <w:t>to</w:t>
            </w:r>
            <w:r>
              <w:rPr>
                <w:rFonts w:ascii="Segoe UI"/>
                <w:spacing w:val="-4"/>
                <w:sz w:val="20"/>
              </w:rPr>
              <w:t> </w:t>
            </w:r>
            <w:r>
              <w:rPr>
                <w:rFonts w:ascii="Segoe UI"/>
                <w:sz w:val="20"/>
              </w:rPr>
              <w:t>data</w:t>
            </w:r>
            <w:r>
              <w:rPr>
                <w:rFonts w:ascii="Segoe UI"/>
                <w:spacing w:val="-2"/>
                <w:sz w:val="20"/>
              </w:rPr>
              <w:t> quality</w:t>
            </w:r>
          </w:p>
        </w:tc>
      </w:tr>
      <w:tr>
        <w:trPr>
          <w:trHeight w:val="647" w:hRule="atLeast"/>
        </w:trPr>
        <w:tc>
          <w:tcPr>
            <w:tcW w:w="3842" w:type="dxa"/>
            <w:tcBorders>
              <w:top w:val="single" w:sz="6" w:space="0" w:color="000000"/>
            </w:tcBorders>
          </w:tcPr>
          <w:p>
            <w:pPr>
              <w:pStyle w:val="TableParagraph"/>
              <w:spacing w:before="187"/>
              <w:ind w:left="55"/>
              <w:rPr>
                <w:rFonts w:ascii="Segoe UI"/>
                <w:sz w:val="20"/>
              </w:rPr>
            </w:pPr>
            <w:r>
              <w:rPr>
                <w:rFonts w:ascii="Segoe UI"/>
                <w:sz w:val="20"/>
              </w:rPr>
              <w:t>Validated</w:t>
            </w:r>
            <w:r>
              <w:rPr>
                <w:rFonts w:ascii="Segoe UI"/>
                <w:spacing w:val="-5"/>
                <w:sz w:val="20"/>
              </w:rPr>
              <w:t> </w:t>
            </w:r>
            <w:r>
              <w:rPr>
                <w:rFonts w:ascii="Segoe UI"/>
                <w:sz w:val="20"/>
              </w:rPr>
              <w:t>baseline</w:t>
            </w:r>
            <w:r>
              <w:rPr>
                <w:rFonts w:ascii="Segoe UI"/>
                <w:spacing w:val="-2"/>
                <w:sz w:val="20"/>
              </w:rPr>
              <w:t> </w:t>
            </w:r>
            <w:r>
              <w:rPr>
                <w:rFonts w:ascii="Segoe UI"/>
                <w:sz w:val="20"/>
              </w:rPr>
              <w:t>and</w:t>
            </w:r>
            <w:r>
              <w:rPr>
                <w:rFonts w:ascii="Segoe UI"/>
                <w:spacing w:val="-5"/>
                <w:sz w:val="20"/>
              </w:rPr>
              <w:t> </w:t>
            </w:r>
            <w:r>
              <w:rPr>
                <w:rFonts w:ascii="Segoe UI"/>
                <w:sz w:val="20"/>
              </w:rPr>
              <w:t>first routine</w:t>
            </w:r>
            <w:r>
              <w:rPr>
                <w:rFonts w:ascii="Segoe UI"/>
                <w:spacing w:val="-1"/>
                <w:sz w:val="20"/>
              </w:rPr>
              <w:t> </w:t>
            </w:r>
            <w:r>
              <w:rPr>
                <w:rFonts w:ascii="Segoe UI"/>
                <w:spacing w:val="-2"/>
                <w:sz w:val="20"/>
              </w:rPr>
              <w:t>report</w:t>
            </w:r>
          </w:p>
        </w:tc>
        <w:tc>
          <w:tcPr>
            <w:tcW w:w="1656" w:type="dxa"/>
            <w:tcBorders>
              <w:top w:val="single" w:sz="6" w:space="0" w:color="000000"/>
            </w:tcBorders>
          </w:tcPr>
          <w:p>
            <w:pPr>
              <w:pStyle w:val="TableParagraph"/>
              <w:spacing w:before="187"/>
              <w:ind w:left="59"/>
              <w:rPr>
                <w:rFonts w:ascii="Segoe UI"/>
                <w:sz w:val="20"/>
              </w:rPr>
            </w:pPr>
            <w:r>
              <w:rPr>
                <w:rFonts w:ascii="Segoe UI"/>
                <w:sz w:val="20"/>
              </w:rPr>
              <w:t>Dec</w:t>
            </w:r>
            <w:r>
              <w:rPr>
                <w:rFonts w:ascii="Segoe UI"/>
                <w:spacing w:val="2"/>
                <w:sz w:val="20"/>
              </w:rPr>
              <w:t> </w:t>
            </w:r>
            <w:r>
              <w:rPr>
                <w:rFonts w:ascii="Segoe UI"/>
                <w:spacing w:val="-4"/>
                <w:sz w:val="20"/>
              </w:rPr>
              <w:t>2026</w:t>
            </w:r>
          </w:p>
        </w:tc>
        <w:tc>
          <w:tcPr>
            <w:tcW w:w="1936" w:type="dxa"/>
            <w:tcBorders>
              <w:top w:val="single" w:sz="6" w:space="0" w:color="000000"/>
            </w:tcBorders>
          </w:tcPr>
          <w:p>
            <w:pPr>
              <w:pStyle w:val="TableParagraph"/>
              <w:spacing w:before="57"/>
              <w:ind w:left="54"/>
              <w:rPr>
                <w:rFonts w:ascii="Segoe UI"/>
                <w:sz w:val="20"/>
              </w:rPr>
            </w:pPr>
            <w:r>
              <w:rPr>
                <w:rFonts w:ascii="Segoe UI"/>
                <w:sz w:val="20"/>
              </w:rPr>
              <w:t>Proposed</w:t>
            </w:r>
            <w:r>
              <w:rPr>
                <w:rFonts w:ascii="Segoe UI"/>
                <w:spacing w:val="-14"/>
                <w:sz w:val="20"/>
              </w:rPr>
              <w:t> </w:t>
            </w:r>
            <w:r>
              <w:rPr>
                <w:rFonts w:ascii="Segoe UI"/>
                <w:sz w:val="20"/>
              </w:rPr>
              <w:t>Anthony </w:t>
            </w:r>
            <w:r>
              <w:rPr>
                <w:rFonts w:ascii="Segoe UI"/>
                <w:spacing w:val="-2"/>
                <w:sz w:val="20"/>
              </w:rPr>
              <w:t>Tracey</w:t>
            </w:r>
          </w:p>
        </w:tc>
        <w:tc>
          <w:tcPr>
            <w:tcW w:w="2761" w:type="dxa"/>
            <w:tcBorders>
              <w:top w:val="single" w:sz="6" w:space="0" w:color="000000"/>
            </w:tcBorders>
          </w:tcPr>
          <w:p>
            <w:pPr>
              <w:pStyle w:val="TableParagraph"/>
              <w:spacing w:before="187"/>
              <w:ind w:left="53"/>
              <w:rPr>
                <w:rFonts w:ascii="Segoe UI"/>
                <w:sz w:val="20"/>
              </w:rPr>
            </w:pPr>
            <w:r>
              <w:rPr>
                <w:rFonts w:ascii="Segoe UI"/>
                <w:sz w:val="20"/>
              </w:rPr>
              <w:t>Gateway</w:t>
            </w:r>
            <w:r>
              <w:rPr>
                <w:rFonts w:ascii="Segoe UI"/>
                <w:spacing w:val="-6"/>
                <w:sz w:val="20"/>
              </w:rPr>
              <w:t> </w:t>
            </w:r>
            <w:r>
              <w:rPr>
                <w:rFonts w:ascii="Segoe UI"/>
                <w:sz w:val="20"/>
              </w:rPr>
              <w:t>for</w:t>
            </w:r>
            <w:r>
              <w:rPr>
                <w:rFonts w:ascii="Segoe UI"/>
                <w:spacing w:val="-2"/>
                <w:sz w:val="20"/>
              </w:rPr>
              <w:t> </w:t>
            </w:r>
            <w:r>
              <w:rPr>
                <w:rFonts w:ascii="Segoe UI"/>
                <w:sz w:val="20"/>
              </w:rPr>
              <w:t>later</w:t>
            </w:r>
            <w:r>
              <w:rPr>
                <w:rFonts w:ascii="Segoe UI"/>
                <w:spacing w:val="-2"/>
                <w:sz w:val="20"/>
              </w:rPr>
              <w:t> </w:t>
            </w:r>
            <w:r>
              <w:rPr>
                <w:rFonts w:ascii="Segoe UI"/>
                <w:sz w:val="20"/>
              </w:rPr>
              <w:t>design </w:t>
            </w:r>
            <w:r>
              <w:rPr>
                <w:rFonts w:ascii="Segoe UI"/>
                <w:spacing w:val="-4"/>
                <w:sz w:val="20"/>
              </w:rPr>
              <w:t>work</w:t>
            </w:r>
          </w:p>
        </w:tc>
      </w:tr>
      <w:tr>
        <w:trPr>
          <w:trHeight w:val="645" w:hRule="atLeast"/>
        </w:trPr>
        <w:tc>
          <w:tcPr>
            <w:tcW w:w="3842" w:type="dxa"/>
          </w:tcPr>
          <w:p>
            <w:pPr>
              <w:pStyle w:val="TableParagraph"/>
              <w:spacing w:before="54"/>
              <w:ind w:left="55"/>
              <w:rPr>
                <w:rFonts w:ascii="Segoe UI"/>
                <w:sz w:val="20"/>
              </w:rPr>
            </w:pPr>
            <w:r>
              <w:rPr>
                <w:rFonts w:ascii="Segoe UI"/>
                <w:sz w:val="20"/>
              </w:rPr>
              <w:t>VR</w:t>
            </w:r>
            <w:r>
              <w:rPr>
                <w:rFonts w:ascii="Segoe UI"/>
                <w:spacing w:val="-14"/>
                <w:sz w:val="20"/>
              </w:rPr>
              <w:t> </w:t>
            </w:r>
            <w:r>
              <w:rPr>
                <w:rFonts w:ascii="Segoe UI"/>
                <w:sz w:val="20"/>
              </w:rPr>
              <w:t>on-call</w:t>
            </w:r>
            <w:r>
              <w:rPr>
                <w:rFonts w:ascii="Segoe UI"/>
                <w:spacing w:val="-14"/>
                <w:sz w:val="20"/>
              </w:rPr>
              <w:t> </w:t>
            </w:r>
            <w:r>
              <w:rPr>
                <w:rFonts w:ascii="Segoe UI"/>
                <w:sz w:val="20"/>
              </w:rPr>
              <w:t>implementation </w:t>
            </w:r>
            <w:r>
              <w:rPr>
                <w:rFonts w:ascii="Segoe UI"/>
                <w:spacing w:val="-2"/>
                <w:sz w:val="20"/>
              </w:rPr>
              <w:t>recommendation</w:t>
            </w:r>
          </w:p>
        </w:tc>
        <w:tc>
          <w:tcPr>
            <w:tcW w:w="1656" w:type="dxa"/>
          </w:tcPr>
          <w:p>
            <w:pPr>
              <w:pStyle w:val="TableParagraph"/>
              <w:spacing w:before="189"/>
              <w:ind w:left="59"/>
              <w:rPr>
                <w:rFonts w:ascii="Segoe UI"/>
                <w:sz w:val="20"/>
              </w:rPr>
            </w:pPr>
            <w:r>
              <w:rPr>
                <w:rFonts w:ascii="Segoe UI"/>
                <w:sz w:val="20"/>
              </w:rPr>
              <w:t>Dec</w:t>
            </w:r>
            <w:r>
              <w:rPr>
                <w:rFonts w:ascii="Segoe UI"/>
                <w:spacing w:val="2"/>
                <w:sz w:val="20"/>
              </w:rPr>
              <w:t> </w:t>
            </w:r>
            <w:r>
              <w:rPr>
                <w:rFonts w:ascii="Segoe UI"/>
                <w:spacing w:val="-4"/>
                <w:sz w:val="20"/>
              </w:rPr>
              <w:t>2026</w:t>
            </w:r>
          </w:p>
        </w:tc>
        <w:tc>
          <w:tcPr>
            <w:tcW w:w="1936" w:type="dxa"/>
          </w:tcPr>
          <w:p>
            <w:pPr>
              <w:pStyle w:val="TableParagraph"/>
              <w:spacing w:before="54"/>
              <w:ind w:left="54" w:right="423"/>
              <w:rPr>
                <w:rFonts w:ascii="Segoe UI"/>
                <w:sz w:val="20"/>
              </w:rPr>
            </w:pPr>
            <w:r>
              <w:rPr>
                <w:rFonts w:ascii="Segoe UI"/>
                <w:sz w:val="20"/>
              </w:rPr>
              <w:t>Proposed:</w:t>
            </w:r>
            <w:r>
              <w:rPr>
                <w:rFonts w:ascii="Segoe UI"/>
                <w:spacing w:val="-14"/>
                <w:sz w:val="20"/>
              </w:rPr>
              <w:t> </w:t>
            </w:r>
            <w:r>
              <w:rPr>
                <w:rFonts w:ascii="Segoe UI"/>
                <w:sz w:val="20"/>
              </w:rPr>
              <w:t>David </w:t>
            </w:r>
            <w:r>
              <w:rPr>
                <w:rFonts w:ascii="Segoe UI"/>
                <w:spacing w:val="-2"/>
                <w:sz w:val="20"/>
              </w:rPr>
              <w:t>Janicek</w:t>
            </w:r>
          </w:p>
        </w:tc>
        <w:tc>
          <w:tcPr>
            <w:tcW w:w="2761" w:type="dxa"/>
          </w:tcPr>
          <w:p>
            <w:pPr>
              <w:pStyle w:val="TableParagraph"/>
              <w:spacing w:before="189"/>
              <w:ind w:left="53"/>
              <w:rPr>
                <w:rFonts w:ascii="Segoe UI"/>
                <w:sz w:val="20"/>
              </w:rPr>
            </w:pPr>
            <w:r>
              <w:rPr>
                <w:rFonts w:ascii="Segoe UI"/>
                <w:sz w:val="20"/>
              </w:rPr>
              <w:t>Subject to</w:t>
            </w:r>
            <w:r>
              <w:rPr>
                <w:rFonts w:ascii="Segoe UI"/>
                <w:spacing w:val="-7"/>
                <w:sz w:val="20"/>
              </w:rPr>
              <w:t> </w:t>
            </w:r>
            <w:r>
              <w:rPr>
                <w:rFonts w:ascii="Segoe UI"/>
                <w:sz w:val="20"/>
              </w:rPr>
              <w:t>full</w:t>
            </w:r>
            <w:r>
              <w:rPr>
                <w:rFonts w:ascii="Segoe UI"/>
                <w:spacing w:val="1"/>
                <w:sz w:val="20"/>
              </w:rPr>
              <w:t> </w:t>
            </w:r>
            <w:r>
              <w:rPr>
                <w:rFonts w:ascii="Segoe UI"/>
                <w:spacing w:val="-2"/>
                <w:sz w:val="20"/>
              </w:rPr>
              <w:t>review</w:t>
            </w:r>
          </w:p>
        </w:tc>
      </w:tr>
      <w:tr>
        <w:trPr>
          <w:trHeight w:val="910" w:hRule="atLeast"/>
        </w:trPr>
        <w:tc>
          <w:tcPr>
            <w:tcW w:w="3842" w:type="dxa"/>
          </w:tcPr>
          <w:p>
            <w:pPr>
              <w:pStyle w:val="TableParagraph"/>
              <w:spacing w:before="189"/>
              <w:ind w:left="55"/>
              <w:rPr>
                <w:rFonts w:ascii="Segoe UI"/>
                <w:sz w:val="20"/>
              </w:rPr>
            </w:pPr>
            <w:r>
              <w:rPr>
                <w:rFonts w:ascii="Segoe UI"/>
                <w:sz w:val="20"/>
              </w:rPr>
              <w:t>Workforce</w:t>
            </w:r>
            <w:r>
              <w:rPr>
                <w:rFonts w:ascii="Segoe UI"/>
                <w:spacing w:val="-10"/>
                <w:sz w:val="20"/>
              </w:rPr>
              <w:t> </w:t>
            </w:r>
            <w:r>
              <w:rPr>
                <w:rFonts w:ascii="Segoe UI"/>
                <w:sz w:val="20"/>
              </w:rPr>
              <w:t>resilience</w:t>
            </w:r>
            <w:r>
              <w:rPr>
                <w:rFonts w:ascii="Segoe UI"/>
                <w:spacing w:val="-14"/>
                <w:sz w:val="20"/>
              </w:rPr>
              <w:t> </w:t>
            </w:r>
            <w:r>
              <w:rPr>
                <w:rFonts w:ascii="Segoe UI"/>
                <w:sz w:val="20"/>
              </w:rPr>
              <w:t>plan</w:t>
            </w:r>
            <w:r>
              <w:rPr>
                <w:rFonts w:ascii="Segoe UI"/>
                <w:spacing w:val="-9"/>
                <w:sz w:val="20"/>
              </w:rPr>
              <w:t> </w:t>
            </w:r>
            <w:r>
              <w:rPr>
                <w:rFonts w:ascii="Segoe UI"/>
                <w:sz w:val="20"/>
              </w:rPr>
              <w:t>and</w:t>
            </w:r>
            <w:r>
              <w:rPr>
                <w:rFonts w:ascii="Segoe UI"/>
                <w:spacing w:val="-8"/>
                <w:sz w:val="20"/>
              </w:rPr>
              <w:t> </w:t>
            </w:r>
            <w:r>
              <w:rPr>
                <w:rFonts w:ascii="Segoe UI"/>
                <w:sz w:val="20"/>
              </w:rPr>
              <w:t>evidence </w:t>
            </w:r>
            <w:r>
              <w:rPr>
                <w:rFonts w:ascii="Segoe UI"/>
                <w:spacing w:val="-2"/>
                <w:sz w:val="20"/>
              </w:rPr>
              <w:t>integration</w:t>
            </w:r>
          </w:p>
        </w:tc>
        <w:tc>
          <w:tcPr>
            <w:tcW w:w="1656" w:type="dxa"/>
          </w:tcPr>
          <w:p>
            <w:pPr>
              <w:pStyle w:val="TableParagraph"/>
              <w:spacing w:before="53"/>
              <w:rPr>
                <w:rFonts w:ascii="Segoe UI"/>
                <w:sz w:val="20"/>
              </w:rPr>
            </w:pPr>
          </w:p>
          <w:p>
            <w:pPr>
              <w:pStyle w:val="TableParagraph"/>
              <w:ind w:left="59"/>
              <w:rPr>
                <w:rFonts w:ascii="Segoe UI"/>
                <w:sz w:val="20"/>
              </w:rPr>
            </w:pPr>
            <w:r>
              <w:rPr>
                <w:rFonts w:ascii="Segoe UI"/>
                <w:sz w:val="20"/>
              </w:rPr>
              <w:t>Jan</w:t>
            </w:r>
            <w:r>
              <w:rPr>
                <w:rFonts w:ascii="Segoe UI"/>
                <w:spacing w:val="-3"/>
                <w:sz w:val="20"/>
              </w:rPr>
              <w:t> </w:t>
            </w:r>
            <w:r>
              <w:rPr>
                <w:rFonts w:ascii="Segoe UI"/>
                <w:spacing w:val="-4"/>
                <w:sz w:val="20"/>
              </w:rPr>
              <w:t>2027</w:t>
            </w:r>
          </w:p>
        </w:tc>
        <w:tc>
          <w:tcPr>
            <w:tcW w:w="1936" w:type="dxa"/>
          </w:tcPr>
          <w:p>
            <w:pPr>
              <w:pStyle w:val="TableParagraph"/>
              <w:spacing w:line="242" w:lineRule="auto" w:before="54"/>
              <w:ind w:left="54"/>
              <w:rPr>
                <w:rFonts w:ascii="Segoe UI"/>
                <w:sz w:val="20"/>
              </w:rPr>
            </w:pPr>
            <w:r>
              <w:rPr>
                <w:rFonts w:ascii="Segoe UI"/>
                <w:sz w:val="20"/>
              </w:rPr>
              <w:t>Proposed Huw Jenkins</w:t>
            </w:r>
            <w:r>
              <w:rPr>
                <w:rFonts w:ascii="Segoe UI"/>
                <w:spacing w:val="-14"/>
                <w:sz w:val="20"/>
              </w:rPr>
              <w:t> </w:t>
            </w:r>
            <w:r>
              <w:rPr>
                <w:rFonts w:ascii="Segoe UI"/>
                <w:sz w:val="20"/>
              </w:rPr>
              <w:t>and</w:t>
            </w:r>
            <w:r>
              <w:rPr>
                <w:rFonts w:ascii="Segoe UI"/>
                <w:spacing w:val="-14"/>
                <w:sz w:val="20"/>
              </w:rPr>
              <w:t> </w:t>
            </w:r>
            <w:r>
              <w:rPr>
                <w:rFonts w:ascii="Segoe UI"/>
                <w:sz w:val="20"/>
              </w:rPr>
              <w:t>David </w:t>
            </w:r>
            <w:r>
              <w:rPr>
                <w:rFonts w:ascii="Segoe UI"/>
                <w:spacing w:val="-2"/>
                <w:sz w:val="20"/>
              </w:rPr>
              <w:t>Janicek</w:t>
            </w:r>
          </w:p>
        </w:tc>
        <w:tc>
          <w:tcPr>
            <w:tcW w:w="2761" w:type="dxa"/>
          </w:tcPr>
          <w:p>
            <w:pPr>
              <w:pStyle w:val="TableParagraph"/>
              <w:spacing w:before="53"/>
              <w:rPr>
                <w:rFonts w:ascii="Segoe UI"/>
                <w:sz w:val="20"/>
              </w:rPr>
            </w:pPr>
          </w:p>
          <w:p>
            <w:pPr>
              <w:pStyle w:val="TableParagraph"/>
              <w:ind w:left="53"/>
              <w:rPr>
                <w:rFonts w:ascii="Segoe UI"/>
                <w:sz w:val="20"/>
              </w:rPr>
            </w:pPr>
            <w:r>
              <w:rPr>
                <w:rFonts w:ascii="Segoe UI"/>
                <w:sz w:val="20"/>
              </w:rPr>
              <w:t>Informed</w:t>
            </w:r>
            <w:r>
              <w:rPr>
                <w:rFonts w:ascii="Segoe UI"/>
                <w:spacing w:val="-2"/>
                <w:sz w:val="20"/>
              </w:rPr>
              <w:t> </w:t>
            </w:r>
            <w:r>
              <w:rPr>
                <w:rFonts w:ascii="Segoe UI"/>
                <w:sz w:val="20"/>
              </w:rPr>
              <w:t>by</w:t>
            </w:r>
            <w:r>
              <w:rPr>
                <w:rFonts w:ascii="Segoe UI"/>
                <w:spacing w:val="-5"/>
                <w:sz w:val="20"/>
              </w:rPr>
              <w:t> </w:t>
            </w:r>
            <w:r>
              <w:rPr>
                <w:rFonts w:ascii="Segoe UI"/>
                <w:sz w:val="20"/>
              </w:rPr>
              <w:t>Programme</w:t>
            </w:r>
            <w:r>
              <w:rPr>
                <w:rFonts w:ascii="Segoe UI"/>
                <w:spacing w:val="-3"/>
                <w:sz w:val="20"/>
              </w:rPr>
              <w:t> </w:t>
            </w:r>
            <w:r>
              <w:rPr>
                <w:rFonts w:ascii="Segoe UI"/>
                <w:spacing w:val="-10"/>
                <w:sz w:val="20"/>
              </w:rPr>
              <w:t>1</w:t>
            </w:r>
          </w:p>
        </w:tc>
      </w:tr>
      <w:tr>
        <w:trPr>
          <w:trHeight w:val="645" w:hRule="atLeast"/>
        </w:trPr>
        <w:tc>
          <w:tcPr>
            <w:tcW w:w="3842" w:type="dxa"/>
          </w:tcPr>
          <w:p>
            <w:pPr>
              <w:pStyle w:val="TableParagraph"/>
              <w:spacing w:before="59"/>
              <w:ind w:left="55" w:right="844"/>
              <w:rPr>
                <w:rFonts w:ascii="Segoe UI"/>
                <w:sz w:val="20"/>
              </w:rPr>
            </w:pPr>
            <w:r>
              <w:rPr>
                <w:rFonts w:ascii="Segoe UI"/>
                <w:sz w:val="20"/>
              </w:rPr>
              <w:t>Future</w:t>
            </w:r>
            <w:r>
              <w:rPr>
                <w:rFonts w:ascii="Segoe UI"/>
                <w:spacing w:val="-9"/>
                <w:sz w:val="20"/>
              </w:rPr>
              <w:t> </w:t>
            </w:r>
            <w:r>
              <w:rPr>
                <w:rFonts w:ascii="Segoe UI"/>
                <w:sz w:val="20"/>
              </w:rPr>
              <w:t>model</w:t>
            </w:r>
            <w:r>
              <w:rPr>
                <w:rFonts w:ascii="Segoe UI"/>
                <w:spacing w:val="-9"/>
                <w:sz w:val="20"/>
              </w:rPr>
              <w:t> </w:t>
            </w:r>
            <w:r>
              <w:rPr>
                <w:rFonts w:ascii="Segoe UI"/>
                <w:sz w:val="20"/>
              </w:rPr>
              <w:t>options</w:t>
            </w:r>
            <w:r>
              <w:rPr>
                <w:rFonts w:ascii="Segoe UI"/>
                <w:spacing w:val="-10"/>
                <w:sz w:val="20"/>
              </w:rPr>
              <w:t> </w:t>
            </w:r>
            <w:r>
              <w:rPr>
                <w:rFonts w:ascii="Segoe UI"/>
                <w:sz w:val="20"/>
              </w:rPr>
              <w:t>and</w:t>
            </w:r>
            <w:r>
              <w:rPr>
                <w:rFonts w:ascii="Segoe UI"/>
                <w:spacing w:val="-12"/>
                <w:sz w:val="20"/>
              </w:rPr>
              <w:t> </w:t>
            </w:r>
            <w:r>
              <w:rPr>
                <w:rFonts w:ascii="Segoe UI"/>
                <w:sz w:val="20"/>
              </w:rPr>
              <w:t>design </w:t>
            </w:r>
            <w:r>
              <w:rPr>
                <w:rFonts w:ascii="Segoe UI"/>
                <w:spacing w:val="-2"/>
                <w:sz w:val="20"/>
              </w:rPr>
              <w:t>engagement</w:t>
            </w:r>
          </w:p>
        </w:tc>
        <w:tc>
          <w:tcPr>
            <w:tcW w:w="1656" w:type="dxa"/>
          </w:tcPr>
          <w:p>
            <w:pPr>
              <w:pStyle w:val="TableParagraph"/>
              <w:spacing w:before="189"/>
              <w:ind w:left="59"/>
              <w:rPr>
                <w:rFonts w:ascii="Segoe UI"/>
                <w:sz w:val="20"/>
              </w:rPr>
            </w:pPr>
            <w:r>
              <w:rPr>
                <w:rFonts w:ascii="Segoe UI"/>
                <w:sz w:val="20"/>
              </w:rPr>
              <w:t>Feb</w:t>
            </w:r>
            <w:r>
              <w:rPr>
                <w:rFonts w:ascii="Segoe UI"/>
                <w:spacing w:val="-3"/>
                <w:sz w:val="20"/>
              </w:rPr>
              <w:t> </w:t>
            </w:r>
            <w:r>
              <w:rPr>
                <w:rFonts w:ascii="Segoe UI"/>
                <w:sz w:val="20"/>
              </w:rPr>
              <w:t>to</w:t>
            </w:r>
            <w:r>
              <w:rPr>
                <w:rFonts w:ascii="Segoe UI"/>
                <w:spacing w:val="-2"/>
                <w:sz w:val="20"/>
              </w:rPr>
              <w:t> </w:t>
            </w:r>
            <w:r>
              <w:rPr>
                <w:rFonts w:ascii="Segoe UI"/>
                <w:sz w:val="20"/>
              </w:rPr>
              <w:t>Mar</w:t>
            </w:r>
            <w:r>
              <w:rPr>
                <w:rFonts w:ascii="Segoe UI"/>
                <w:spacing w:val="1"/>
                <w:sz w:val="20"/>
              </w:rPr>
              <w:t> </w:t>
            </w:r>
            <w:r>
              <w:rPr>
                <w:rFonts w:ascii="Segoe UI"/>
                <w:spacing w:val="-4"/>
                <w:sz w:val="20"/>
              </w:rPr>
              <w:t>2027</w:t>
            </w:r>
          </w:p>
        </w:tc>
        <w:tc>
          <w:tcPr>
            <w:tcW w:w="1936" w:type="dxa"/>
          </w:tcPr>
          <w:p>
            <w:pPr>
              <w:pStyle w:val="TableParagraph"/>
              <w:spacing w:before="59"/>
              <w:ind w:left="54"/>
              <w:rPr>
                <w:rFonts w:ascii="Segoe UI"/>
                <w:sz w:val="20"/>
              </w:rPr>
            </w:pPr>
            <w:r>
              <w:rPr>
                <w:rFonts w:ascii="Segoe UI"/>
                <w:sz w:val="20"/>
              </w:rPr>
              <w:t>Proposed:</w:t>
            </w:r>
            <w:r>
              <w:rPr>
                <w:rFonts w:ascii="Segoe UI"/>
                <w:spacing w:val="-14"/>
                <w:sz w:val="20"/>
              </w:rPr>
              <w:t> </w:t>
            </w:r>
            <w:r>
              <w:rPr>
                <w:rFonts w:ascii="Segoe UI"/>
                <w:sz w:val="20"/>
              </w:rPr>
              <w:t>Craige </w:t>
            </w:r>
            <w:r>
              <w:rPr>
                <w:rFonts w:ascii="Segoe UI"/>
                <w:spacing w:val="-2"/>
                <w:sz w:val="20"/>
              </w:rPr>
              <w:t>Wilson</w:t>
            </w:r>
          </w:p>
        </w:tc>
        <w:tc>
          <w:tcPr>
            <w:tcW w:w="2761" w:type="dxa"/>
          </w:tcPr>
          <w:p>
            <w:pPr>
              <w:pStyle w:val="TableParagraph"/>
              <w:spacing w:before="189"/>
              <w:ind w:left="53"/>
              <w:rPr>
                <w:rFonts w:ascii="Segoe UI"/>
                <w:sz w:val="20"/>
              </w:rPr>
            </w:pPr>
            <w:r>
              <w:rPr>
                <w:rFonts w:ascii="Segoe UI"/>
                <w:sz w:val="20"/>
              </w:rPr>
              <w:t>Evidence</w:t>
            </w:r>
            <w:r>
              <w:rPr>
                <w:rFonts w:ascii="Segoe UI"/>
                <w:spacing w:val="-5"/>
                <w:sz w:val="20"/>
              </w:rPr>
              <w:t> </w:t>
            </w:r>
            <w:r>
              <w:rPr>
                <w:rFonts w:ascii="Segoe UI"/>
                <w:sz w:val="20"/>
              </w:rPr>
              <w:t>before </w:t>
            </w:r>
            <w:r>
              <w:rPr>
                <w:rFonts w:ascii="Segoe UI"/>
                <w:spacing w:val="-2"/>
                <w:sz w:val="20"/>
              </w:rPr>
              <w:t>design</w:t>
            </w:r>
          </w:p>
        </w:tc>
      </w:tr>
      <w:tr>
        <w:trPr>
          <w:trHeight w:val="650" w:hRule="atLeast"/>
        </w:trPr>
        <w:tc>
          <w:tcPr>
            <w:tcW w:w="3842" w:type="dxa"/>
          </w:tcPr>
          <w:p>
            <w:pPr>
              <w:pStyle w:val="TableParagraph"/>
              <w:spacing w:before="59"/>
              <w:ind w:left="55"/>
              <w:rPr>
                <w:rFonts w:ascii="Segoe UI"/>
                <w:sz w:val="20"/>
              </w:rPr>
            </w:pPr>
            <w:r>
              <w:rPr>
                <w:rFonts w:ascii="Segoe UI"/>
                <w:sz w:val="20"/>
              </w:rPr>
              <w:t>Regional patient and stakeholder engagement</w:t>
            </w:r>
            <w:r>
              <w:rPr>
                <w:rFonts w:ascii="Segoe UI"/>
                <w:spacing w:val="-14"/>
                <w:sz w:val="20"/>
              </w:rPr>
              <w:t> </w:t>
            </w:r>
            <w:r>
              <w:rPr>
                <w:rFonts w:ascii="Segoe UI"/>
                <w:sz w:val="20"/>
              </w:rPr>
              <w:t>programme</w:t>
            </w:r>
            <w:r>
              <w:rPr>
                <w:rFonts w:ascii="Segoe UI"/>
                <w:spacing w:val="-14"/>
                <w:sz w:val="20"/>
              </w:rPr>
              <w:t> </w:t>
            </w:r>
            <w:r>
              <w:rPr>
                <w:rFonts w:ascii="Segoe UI"/>
                <w:sz w:val="20"/>
              </w:rPr>
              <w:t>completed</w:t>
            </w:r>
          </w:p>
        </w:tc>
        <w:tc>
          <w:tcPr>
            <w:tcW w:w="1656" w:type="dxa"/>
          </w:tcPr>
          <w:p>
            <w:pPr>
              <w:pStyle w:val="TableParagraph"/>
              <w:rPr>
                <w:rFonts w:ascii="Times New Roman"/>
                <w:sz w:val="20"/>
              </w:rPr>
            </w:pPr>
          </w:p>
        </w:tc>
        <w:tc>
          <w:tcPr>
            <w:tcW w:w="1936" w:type="dxa"/>
          </w:tcPr>
          <w:p>
            <w:pPr>
              <w:pStyle w:val="TableParagraph"/>
              <w:rPr>
                <w:rFonts w:ascii="Times New Roman"/>
                <w:sz w:val="20"/>
              </w:rPr>
            </w:pPr>
          </w:p>
        </w:tc>
        <w:tc>
          <w:tcPr>
            <w:tcW w:w="2761" w:type="dxa"/>
          </w:tcPr>
          <w:p>
            <w:pPr>
              <w:pStyle w:val="TableParagraph"/>
              <w:rPr>
                <w:rFonts w:ascii="Times New Roman"/>
                <w:sz w:val="20"/>
              </w:rPr>
            </w:pPr>
          </w:p>
        </w:tc>
      </w:tr>
      <w:tr>
        <w:trPr>
          <w:trHeight w:val="380" w:hRule="atLeast"/>
        </w:trPr>
        <w:tc>
          <w:tcPr>
            <w:tcW w:w="3842" w:type="dxa"/>
          </w:tcPr>
          <w:p>
            <w:pPr>
              <w:pStyle w:val="TableParagraph"/>
              <w:spacing w:before="54"/>
              <w:ind w:left="55"/>
              <w:rPr>
                <w:rFonts w:ascii="Segoe UI"/>
                <w:sz w:val="20"/>
              </w:rPr>
            </w:pPr>
            <w:r>
              <w:rPr>
                <w:rFonts w:ascii="Segoe UI"/>
                <w:sz w:val="20"/>
              </w:rPr>
              <w:t>Patient</w:t>
            </w:r>
            <w:r>
              <w:rPr>
                <w:rFonts w:ascii="Segoe UI"/>
                <w:spacing w:val="-2"/>
                <w:sz w:val="20"/>
              </w:rPr>
              <w:t> </w:t>
            </w:r>
            <w:r>
              <w:rPr>
                <w:rFonts w:ascii="Segoe UI"/>
                <w:sz w:val="20"/>
              </w:rPr>
              <w:t>support</w:t>
            </w:r>
            <w:r>
              <w:rPr>
                <w:rFonts w:ascii="Segoe UI"/>
                <w:spacing w:val="-5"/>
                <w:sz w:val="20"/>
              </w:rPr>
              <w:t> </w:t>
            </w:r>
            <w:r>
              <w:rPr>
                <w:rFonts w:ascii="Segoe UI"/>
                <w:sz w:val="20"/>
              </w:rPr>
              <w:t>framework</w:t>
            </w:r>
            <w:r>
              <w:rPr>
                <w:rFonts w:ascii="Segoe UI"/>
                <w:spacing w:val="-3"/>
                <w:sz w:val="20"/>
              </w:rPr>
              <w:t> </w:t>
            </w:r>
            <w:r>
              <w:rPr>
                <w:rFonts w:ascii="Segoe UI"/>
                <w:spacing w:val="-2"/>
                <w:sz w:val="20"/>
              </w:rPr>
              <w:t>approved</w:t>
            </w:r>
          </w:p>
        </w:tc>
        <w:tc>
          <w:tcPr>
            <w:tcW w:w="1656" w:type="dxa"/>
          </w:tcPr>
          <w:p>
            <w:pPr>
              <w:pStyle w:val="TableParagraph"/>
              <w:rPr>
                <w:rFonts w:ascii="Times New Roman"/>
                <w:sz w:val="20"/>
              </w:rPr>
            </w:pPr>
          </w:p>
        </w:tc>
        <w:tc>
          <w:tcPr>
            <w:tcW w:w="1936" w:type="dxa"/>
          </w:tcPr>
          <w:p>
            <w:pPr>
              <w:pStyle w:val="TableParagraph"/>
              <w:rPr>
                <w:rFonts w:ascii="Times New Roman"/>
                <w:sz w:val="20"/>
              </w:rPr>
            </w:pPr>
          </w:p>
        </w:tc>
        <w:tc>
          <w:tcPr>
            <w:tcW w:w="2761" w:type="dxa"/>
          </w:tcPr>
          <w:p>
            <w:pPr>
              <w:pStyle w:val="TableParagraph"/>
              <w:rPr>
                <w:rFonts w:ascii="Times New Roman"/>
                <w:sz w:val="20"/>
              </w:rPr>
            </w:pPr>
          </w:p>
        </w:tc>
      </w:tr>
      <w:tr>
        <w:trPr>
          <w:trHeight w:val="645" w:hRule="atLeast"/>
        </w:trPr>
        <w:tc>
          <w:tcPr>
            <w:tcW w:w="3842" w:type="dxa"/>
          </w:tcPr>
          <w:p>
            <w:pPr>
              <w:pStyle w:val="TableParagraph"/>
              <w:spacing w:before="189"/>
              <w:ind w:left="55"/>
              <w:rPr>
                <w:rFonts w:ascii="Segoe UI"/>
                <w:sz w:val="20"/>
              </w:rPr>
            </w:pPr>
            <w:r>
              <w:rPr>
                <w:rFonts w:ascii="Segoe UI"/>
                <w:sz w:val="20"/>
              </w:rPr>
              <w:t>Phased</w:t>
            </w:r>
            <w:r>
              <w:rPr>
                <w:rFonts w:ascii="Segoe UI"/>
                <w:spacing w:val="-2"/>
                <w:sz w:val="20"/>
              </w:rPr>
              <w:t> </w:t>
            </w:r>
            <w:r>
              <w:rPr>
                <w:rFonts w:ascii="Segoe UI"/>
                <w:sz w:val="20"/>
              </w:rPr>
              <w:t>model</w:t>
            </w:r>
            <w:r>
              <w:rPr>
                <w:rFonts w:ascii="Segoe UI"/>
                <w:spacing w:val="-3"/>
                <w:sz w:val="20"/>
              </w:rPr>
              <w:t> </w:t>
            </w:r>
            <w:r>
              <w:rPr>
                <w:rFonts w:ascii="Segoe UI"/>
                <w:sz w:val="20"/>
              </w:rPr>
              <w:t>and</w:t>
            </w:r>
            <w:r>
              <w:rPr>
                <w:rFonts w:ascii="Segoe UI"/>
                <w:spacing w:val="-2"/>
                <w:sz w:val="20"/>
              </w:rPr>
              <w:t> </w:t>
            </w:r>
            <w:r>
              <w:rPr>
                <w:rFonts w:ascii="Segoe UI"/>
                <w:sz w:val="20"/>
              </w:rPr>
              <w:t>formal</w:t>
            </w:r>
            <w:r>
              <w:rPr>
                <w:rFonts w:ascii="Segoe UI"/>
                <w:spacing w:val="-3"/>
                <w:sz w:val="20"/>
              </w:rPr>
              <w:t> </w:t>
            </w:r>
            <w:r>
              <w:rPr>
                <w:rFonts w:ascii="Segoe UI"/>
                <w:sz w:val="20"/>
              </w:rPr>
              <w:t>approval</w:t>
            </w:r>
            <w:r>
              <w:rPr>
                <w:rFonts w:ascii="Segoe UI"/>
                <w:spacing w:val="-2"/>
                <w:sz w:val="20"/>
              </w:rPr>
              <w:t> </w:t>
            </w:r>
            <w:r>
              <w:rPr>
                <w:rFonts w:ascii="Segoe UI"/>
                <w:spacing w:val="-4"/>
                <w:sz w:val="20"/>
              </w:rPr>
              <w:t>route</w:t>
            </w:r>
          </w:p>
        </w:tc>
        <w:tc>
          <w:tcPr>
            <w:tcW w:w="1656" w:type="dxa"/>
          </w:tcPr>
          <w:p>
            <w:pPr>
              <w:pStyle w:val="TableParagraph"/>
              <w:spacing w:before="189"/>
              <w:ind w:left="59"/>
              <w:rPr>
                <w:rFonts w:ascii="Segoe UI"/>
                <w:sz w:val="20"/>
              </w:rPr>
            </w:pPr>
            <w:r>
              <w:rPr>
                <w:rFonts w:ascii="Segoe UI"/>
                <w:sz w:val="20"/>
              </w:rPr>
              <w:t>Apr</w:t>
            </w:r>
            <w:r>
              <w:rPr>
                <w:rFonts w:ascii="Segoe UI"/>
                <w:spacing w:val="2"/>
                <w:sz w:val="20"/>
              </w:rPr>
              <w:t> </w:t>
            </w:r>
            <w:r>
              <w:rPr>
                <w:rFonts w:ascii="Segoe UI"/>
                <w:spacing w:val="-4"/>
                <w:sz w:val="20"/>
              </w:rPr>
              <w:t>2027</w:t>
            </w:r>
          </w:p>
        </w:tc>
        <w:tc>
          <w:tcPr>
            <w:tcW w:w="1936" w:type="dxa"/>
          </w:tcPr>
          <w:p>
            <w:pPr>
              <w:pStyle w:val="TableParagraph"/>
              <w:spacing w:before="54"/>
              <w:ind w:left="54"/>
              <w:rPr>
                <w:rFonts w:ascii="Segoe UI"/>
                <w:sz w:val="20"/>
              </w:rPr>
            </w:pPr>
            <w:r>
              <w:rPr>
                <w:rFonts w:ascii="Segoe UI"/>
                <w:sz w:val="20"/>
              </w:rPr>
              <w:t>Proposed:</w:t>
            </w:r>
            <w:r>
              <w:rPr>
                <w:rFonts w:ascii="Segoe UI"/>
                <w:spacing w:val="-14"/>
                <w:sz w:val="20"/>
              </w:rPr>
              <w:t> </w:t>
            </w:r>
            <w:r>
              <w:rPr>
                <w:rFonts w:ascii="Segoe UI"/>
                <w:sz w:val="20"/>
              </w:rPr>
              <w:t>Craige </w:t>
            </w:r>
            <w:r>
              <w:rPr>
                <w:rFonts w:ascii="Segoe UI"/>
                <w:spacing w:val="-2"/>
                <w:sz w:val="20"/>
              </w:rPr>
              <w:t>Wilson</w:t>
            </w:r>
          </w:p>
        </w:tc>
        <w:tc>
          <w:tcPr>
            <w:tcW w:w="2761" w:type="dxa"/>
          </w:tcPr>
          <w:p>
            <w:pPr>
              <w:pStyle w:val="TableParagraph"/>
              <w:spacing w:before="54"/>
              <w:ind w:left="53"/>
              <w:rPr>
                <w:rFonts w:ascii="Segoe UI"/>
                <w:sz w:val="20"/>
              </w:rPr>
            </w:pPr>
            <w:r>
              <w:rPr>
                <w:rFonts w:ascii="Segoe UI"/>
                <w:sz w:val="20"/>
              </w:rPr>
              <w:t>Requires</w:t>
            </w:r>
            <w:r>
              <w:rPr>
                <w:rFonts w:ascii="Segoe UI"/>
                <w:spacing w:val="-14"/>
                <w:sz w:val="20"/>
              </w:rPr>
              <w:t> </w:t>
            </w:r>
            <w:r>
              <w:rPr>
                <w:rFonts w:ascii="Segoe UI"/>
                <w:sz w:val="20"/>
              </w:rPr>
              <w:t>organisational </w:t>
            </w:r>
            <w:r>
              <w:rPr>
                <w:rFonts w:ascii="Segoe UI"/>
                <w:spacing w:val="-2"/>
                <w:sz w:val="20"/>
              </w:rPr>
              <w:t>approvals</w:t>
            </w:r>
          </w:p>
        </w:tc>
      </w:tr>
    </w:tbl>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rPr>
          <w:rFonts w:ascii="Segoe UI"/>
          <w:sz w:val="16"/>
        </w:rPr>
      </w:pPr>
    </w:p>
    <w:p>
      <w:pPr>
        <w:pStyle w:val="BodyText"/>
        <w:spacing w:before="201"/>
        <w:rPr>
          <w:rFonts w:ascii="Segoe UI"/>
          <w:sz w:val="16"/>
        </w:rPr>
      </w:pPr>
    </w:p>
    <w:p>
      <w:pPr>
        <w:spacing w:before="1"/>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pStyle w:val="Heading3"/>
        <w:numPr>
          <w:ilvl w:val="0"/>
          <w:numId w:val="13"/>
        </w:numPr>
        <w:tabs>
          <w:tab w:pos="879" w:val="left" w:leader="none"/>
        </w:tabs>
        <w:spacing w:line="240" w:lineRule="auto" w:before="327" w:after="0"/>
        <w:ind w:left="879" w:right="0" w:hanging="565"/>
        <w:jc w:val="left"/>
        <w:rPr>
          <w:color w:val="1F4E79"/>
        </w:rPr>
      </w:pPr>
      <w:r>
        <w:rPr>
          <w:color w:val="1F4E79"/>
        </w:rPr>
        <w:t>Programme</w:t>
      </w:r>
      <w:r>
        <w:rPr>
          <w:color w:val="1F4E79"/>
          <w:spacing w:val="-3"/>
        </w:rPr>
        <w:t> </w:t>
      </w:r>
      <w:r>
        <w:rPr>
          <w:color w:val="1F4E79"/>
          <w:spacing w:val="-2"/>
        </w:rPr>
        <w:t>Governance</w:t>
      </w:r>
    </w:p>
    <w:p>
      <w:pPr>
        <w:spacing w:before="78"/>
        <w:ind w:left="313" w:right="0" w:firstLine="0"/>
        <w:jc w:val="left"/>
        <w:rPr>
          <w:rFonts w:ascii="Calibri"/>
          <w:sz w:val="16"/>
        </w:rPr>
      </w:pPr>
      <w:r>
        <w:rPr/>
        <w:br w:type="column"/>
      </w: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p>
      <w:pPr>
        <w:spacing w:after="0"/>
        <w:jc w:val="left"/>
        <w:rPr>
          <w:rFonts w:ascii="Calibri"/>
          <w:sz w:val="16"/>
        </w:rPr>
        <w:sectPr>
          <w:pgSz w:w="12240" w:h="15840"/>
          <w:pgMar w:header="0" w:footer="147" w:top="640" w:bottom="340" w:left="141" w:right="141"/>
          <w:cols w:num="2" w:equalWidth="0">
            <w:col w:w="4341" w:space="4528"/>
            <w:col w:w="3089"/>
          </w:cols>
        </w:sectPr>
      </w:pPr>
    </w:p>
    <w:p>
      <w:pPr>
        <w:pStyle w:val="BodyText"/>
        <w:spacing w:before="215"/>
        <w:ind w:left="879" w:right="1086"/>
        <w:rPr>
          <w:rFonts w:ascii="Segoe UI"/>
        </w:rPr>
      </w:pPr>
      <w:r>
        <w:rPr>
          <w:rFonts w:ascii="Segoe UI"/>
        </w:rPr>
        <w:t>Programme</w:t>
      </w:r>
      <w:r>
        <w:rPr>
          <w:rFonts w:ascii="Segoe UI"/>
          <w:spacing w:val="-5"/>
        </w:rPr>
        <w:t> </w:t>
      </w:r>
      <w:r>
        <w:rPr>
          <w:rFonts w:ascii="Segoe UI"/>
        </w:rPr>
        <w:t>Governance</w:t>
      </w:r>
      <w:r>
        <w:rPr>
          <w:rFonts w:ascii="Segoe UI"/>
          <w:spacing w:val="-5"/>
        </w:rPr>
        <w:t> </w:t>
      </w:r>
      <w:r>
        <w:rPr>
          <w:rFonts w:ascii="Segoe UI"/>
        </w:rPr>
        <w:t>sits</w:t>
      </w:r>
      <w:r>
        <w:rPr>
          <w:rFonts w:ascii="Segoe UI"/>
          <w:spacing w:val="-6"/>
        </w:rPr>
        <w:t> </w:t>
      </w:r>
      <w:r>
        <w:rPr>
          <w:rFonts w:ascii="Segoe UI"/>
        </w:rPr>
        <w:t>within</w:t>
      </w:r>
      <w:r>
        <w:rPr>
          <w:rFonts w:ascii="Segoe UI"/>
          <w:spacing w:val="-5"/>
        </w:rPr>
        <w:t> </w:t>
      </w:r>
      <w:r>
        <w:rPr>
          <w:rFonts w:ascii="Segoe UI"/>
        </w:rPr>
        <w:t>the</w:t>
      </w:r>
      <w:r>
        <w:rPr>
          <w:rFonts w:ascii="Segoe UI"/>
          <w:spacing w:val="-5"/>
        </w:rPr>
        <w:t> </w:t>
      </w:r>
      <w:r>
        <w:rPr>
          <w:rFonts w:ascii="Segoe UI"/>
        </w:rPr>
        <w:t>RJC</w:t>
      </w:r>
      <w:r>
        <w:rPr>
          <w:rFonts w:ascii="Segoe UI"/>
          <w:spacing w:val="-4"/>
        </w:rPr>
        <w:t> </w:t>
      </w:r>
      <w:r>
        <w:rPr>
          <w:rFonts w:ascii="Segoe UI"/>
        </w:rPr>
        <w:t>governance</w:t>
      </w:r>
      <w:r>
        <w:rPr>
          <w:rFonts w:ascii="Segoe UI"/>
          <w:spacing w:val="-5"/>
        </w:rPr>
        <w:t> </w:t>
      </w:r>
      <w:r>
        <w:rPr>
          <w:rFonts w:ascii="Segoe UI"/>
        </w:rPr>
        <w:t>structure.</w:t>
      </w:r>
      <w:r>
        <w:rPr>
          <w:rFonts w:ascii="Segoe UI"/>
          <w:spacing w:val="40"/>
        </w:rPr>
        <w:t> </w:t>
      </w:r>
      <w:r>
        <w:rPr>
          <w:rFonts w:ascii="Segoe UI"/>
        </w:rPr>
        <w:t>Members</w:t>
      </w:r>
      <w:r>
        <w:rPr>
          <w:rFonts w:ascii="Segoe UI"/>
          <w:spacing w:val="-1"/>
        </w:rPr>
        <w:t> </w:t>
      </w:r>
      <w:r>
        <w:rPr>
          <w:rFonts w:ascii="Segoe UI"/>
        </w:rPr>
        <w:t>of</w:t>
      </w:r>
      <w:r>
        <w:rPr>
          <w:rFonts w:ascii="Segoe UI"/>
          <w:spacing w:val="-5"/>
        </w:rPr>
        <w:t> </w:t>
      </w:r>
      <w:r>
        <w:rPr>
          <w:rFonts w:ascii="Segoe UI"/>
        </w:rPr>
        <w:t>the Eye</w:t>
      </w:r>
      <w:r>
        <w:rPr>
          <w:rFonts w:ascii="Segoe UI"/>
          <w:spacing w:val="-5"/>
        </w:rPr>
        <w:t> </w:t>
      </w:r>
      <w:r>
        <w:rPr>
          <w:rFonts w:ascii="Segoe UI"/>
        </w:rPr>
        <w:t>Care Governance are provided in Appendix 1. Patient and third-sector representation will be incorporated into programme governance and service redesign activity.</w:t>
      </w:r>
    </w:p>
    <w:p>
      <w:pPr>
        <w:spacing w:before="243"/>
        <w:ind w:left="879" w:right="0" w:firstLine="0"/>
        <w:jc w:val="left"/>
        <w:rPr>
          <w:rFonts w:ascii="Segoe UI"/>
          <w:b/>
          <w:sz w:val="24"/>
        </w:rPr>
      </w:pPr>
      <w:r>
        <w:rPr>
          <w:rFonts w:ascii="Segoe UI"/>
          <w:b/>
          <w:sz w:val="24"/>
        </w:rPr>
        <w:t>Regional</w:t>
      </w:r>
      <w:r>
        <w:rPr>
          <w:rFonts w:ascii="Segoe UI"/>
          <w:b/>
          <w:spacing w:val="-5"/>
          <w:sz w:val="24"/>
        </w:rPr>
        <w:t> </w:t>
      </w:r>
      <w:r>
        <w:rPr>
          <w:rFonts w:ascii="Segoe UI"/>
          <w:b/>
          <w:sz w:val="24"/>
        </w:rPr>
        <w:t>Clinical</w:t>
      </w:r>
      <w:r>
        <w:rPr>
          <w:rFonts w:ascii="Segoe UI"/>
          <w:b/>
          <w:spacing w:val="-4"/>
          <w:sz w:val="24"/>
        </w:rPr>
        <w:t> </w:t>
      </w:r>
      <w:r>
        <w:rPr>
          <w:rFonts w:ascii="Segoe UI"/>
          <w:b/>
          <w:sz w:val="24"/>
        </w:rPr>
        <w:t>Services</w:t>
      </w:r>
      <w:r>
        <w:rPr>
          <w:rFonts w:ascii="Segoe UI"/>
          <w:b/>
          <w:spacing w:val="-6"/>
          <w:sz w:val="24"/>
        </w:rPr>
        <w:t> </w:t>
      </w:r>
      <w:r>
        <w:rPr>
          <w:rFonts w:ascii="Segoe UI"/>
          <w:b/>
          <w:sz w:val="24"/>
        </w:rPr>
        <w:t>Planning</w:t>
      </w:r>
      <w:r>
        <w:rPr>
          <w:rFonts w:ascii="Segoe UI"/>
          <w:b/>
          <w:spacing w:val="-5"/>
          <w:sz w:val="24"/>
        </w:rPr>
        <w:t> </w:t>
      </w:r>
      <w:r>
        <w:rPr>
          <w:rFonts w:ascii="Segoe UI"/>
          <w:b/>
          <w:spacing w:val="-4"/>
          <w:sz w:val="24"/>
        </w:rPr>
        <w:t>Group</w:t>
      </w:r>
    </w:p>
    <w:p>
      <w:pPr>
        <w:pStyle w:val="BodyText"/>
        <w:spacing w:before="161"/>
        <w:ind w:left="879"/>
        <w:rPr>
          <w:rFonts w:ascii="Segoe UI"/>
        </w:rPr>
      </w:pPr>
      <w:r>
        <w:rPr>
          <w:rFonts w:ascii="Segoe UI"/>
        </w:rPr>
        <w:t>Strategic</w:t>
      </w:r>
      <w:r>
        <w:rPr>
          <w:rFonts w:ascii="Segoe UI"/>
          <w:spacing w:val="-7"/>
        </w:rPr>
        <w:t> </w:t>
      </w:r>
      <w:r>
        <w:rPr>
          <w:rFonts w:ascii="Segoe UI"/>
        </w:rPr>
        <w:t>direction</w:t>
      </w:r>
      <w:r>
        <w:rPr>
          <w:rFonts w:ascii="Segoe UI"/>
          <w:spacing w:val="-5"/>
        </w:rPr>
        <w:t> </w:t>
      </w:r>
      <w:r>
        <w:rPr>
          <w:rFonts w:ascii="Segoe UI"/>
        </w:rPr>
        <w:t>and assurance</w:t>
      </w:r>
      <w:r>
        <w:rPr>
          <w:rFonts w:ascii="Segoe UI"/>
          <w:spacing w:val="-4"/>
        </w:rPr>
        <w:t> </w:t>
      </w:r>
      <w:r>
        <w:rPr>
          <w:rFonts w:ascii="Segoe UI"/>
        </w:rPr>
        <w:t>to</w:t>
      </w:r>
      <w:r>
        <w:rPr>
          <w:rFonts w:ascii="Segoe UI"/>
          <w:spacing w:val="-4"/>
        </w:rPr>
        <w:t> </w:t>
      </w:r>
      <w:r>
        <w:rPr>
          <w:rFonts w:ascii="Segoe UI"/>
        </w:rPr>
        <w:t>the</w:t>
      </w:r>
      <w:r>
        <w:rPr>
          <w:rFonts w:ascii="Segoe UI"/>
          <w:spacing w:val="-4"/>
        </w:rPr>
        <w:t> </w:t>
      </w:r>
      <w:r>
        <w:rPr>
          <w:rFonts w:ascii="Segoe UI"/>
        </w:rPr>
        <w:t>Regional</w:t>
      </w:r>
      <w:r>
        <w:rPr>
          <w:rFonts w:ascii="Segoe UI"/>
          <w:spacing w:val="-2"/>
        </w:rPr>
        <w:t> </w:t>
      </w:r>
      <w:r>
        <w:rPr>
          <w:rFonts w:ascii="Segoe UI"/>
        </w:rPr>
        <w:t>Joint</w:t>
      </w:r>
      <w:r>
        <w:rPr>
          <w:rFonts w:ascii="Segoe UI"/>
          <w:spacing w:val="-5"/>
        </w:rPr>
        <w:t> </w:t>
      </w:r>
      <w:r>
        <w:rPr>
          <w:rFonts w:ascii="Segoe UI"/>
          <w:spacing w:val="-2"/>
        </w:rPr>
        <w:t>Committee.</w:t>
      </w:r>
    </w:p>
    <w:p>
      <w:pPr>
        <w:spacing w:before="241"/>
        <w:ind w:left="879" w:right="0" w:firstLine="0"/>
        <w:jc w:val="left"/>
        <w:rPr>
          <w:rFonts w:ascii="Segoe UI"/>
          <w:b/>
          <w:sz w:val="24"/>
        </w:rPr>
      </w:pPr>
      <w:r>
        <w:rPr>
          <w:rFonts w:ascii="Segoe UI"/>
          <w:b/>
          <w:sz w:val="24"/>
        </w:rPr>
        <w:t>Eye</w:t>
      </w:r>
      <w:r>
        <w:rPr>
          <w:rFonts w:ascii="Segoe UI"/>
          <w:b/>
          <w:spacing w:val="-6"/>
          <w:sz w:val="24"/>
        </w:rPr>
        <w:t> </w:t>
      </w:r>
      <w:r>
        <w:rPr>
          <w:rFonts w:ascii="Segoe UI"/>
          <w:b/>
          <w:sz w:val="24"/>
        </w:rPr>
        <w:t>Care</w:t>
      </w:r>
      <w:r>
        <w:rPr>
          <w:rFonts w:ascii="Segoe UI"/>
          <w:b/>
          <w:spacing w:val="-2"/>
          <w:sz w:val="24"/>
        </w:rPr>
        <w:t> </w:t>
      </w:r>
      <w:r>
        <w:rPr>
          <w:rFonts w:ascii="Segoe UI"/>
          <w:b/>
          <w:sz w:val="24"/>
        </w:rPr>
        <w:t>Programme</w:t>
      </w:r>
      <w:r>
        <w:rPr>
          <w:rFonts w:ascii="Segoe UI"/>
          <w:b/>
          <w:spacing w:val="-3"/>
          <w:sz w:val="24"/>
        </w:rPr>
        <w:t> </w:t>
      </w:r>
      <w:r>
        <w:rPr>
          <w:rFonts w:ascii="Segoe UI"/>
          <w:b/>
          <w:sz w:val="24"/>
        </w:rPr>
        <w:t>Board</w:t>
      </w:r>
      <w:r>
        <w:rPr>
          <w:rFonts w:ascii="Segoe UI"/>
          <w:b/>
          <w:spacing w:val="-2"/>
          <w:sz w:val="24"/>
        </w:rPr>
        <w:t> </w:t>
      </w:r>
      <w:r>
        <w:rPr>
          <w:rFonts w:ascii="Segoe UI"/>
          <w:b/>
          <w:sz w:val="24"/>
        </w:rPr>
        <w:t>(Terms</w:t>
      </w:r>
      <w:r>
        <w:rPr>
          <w:rFonts w:ascii="Segoe UI"/>
          <w:b/>
          <w:spacing w:val="-3"/>
          <w:sz w:val="24"/>
        </w:rPr>
        <w:t> </w:t>
      </w:r>
      <w:r>
        <w:rPr>
          <w:rFonts w:ascii="Segoe UI"/>
          <w:b/>
          <w:sz w:val="24"/>
        </w:rPr>
        <w:t>of</w:t>
      </w:r>
      <w:r>
        <w:rPr>
          <w:rFonts w:ascii="Segoe UI"/>
          <w:b/>
          <w:spacing w:val="-6"/>
          <w:sz w:val="24"/>
        </w:rPr>
        <w:t> </w:t>
      </w:r>
      <w:r>
        <w:rPr>
          <w:rFonts w:ascii="Segoe UI"/>
          <w:b/>
          <w:sz w:val="24"/>
        </w:rPr>
        <w:t>Reference</w:t>
      </w:r>
      <w:r>
        <w:rPr>
          <w:rFonts w:ascii="Segoe UI"/>
          <w:b/>
          <w:spacing w:val="-3"/>
          <w:sz w:val="24"/>
        </w:rPr>
        <w:t> </w:t>
      </w:r>
      <w:r>
        <w:rPr>
          <w:rFonts w:ascii="Segoe UI"/>
          <w:b/>
          <w:sz w:val="24"/>
        </w:rPr>
        <w:t>Appendix </w:t>
      </w:r>
      <w:r>
        <w:rPr>
          <w:rFonts w:ascii="Segoe UI"/>
          <w:b/>
          <w:spacing w:val="-5"/>
          <w:sz w:val="24"/>
        </w:rPr>
        <w:t>2)</w:t>
      </w:r>
    </w:p>
    <w:p>
      <w:pPr>
        <w:pStyle w:val="BodyText"/>
        <w:spacing w:before="161"/>
        <w:ind w:left="879"/>
        <w:rPr>
          <w:rFonts w:ascii="Segoe UI"/>
        </w:rPr>
      </w:pPr>
      <w:r>
        <w:rPr>
          <w:rFonts w:ascii="Segoe UI"/>
        </w:rPr>
        <w:t>Programme</w:t>
      </w:r>
      <w:r>
        <w:rPr>
          <w:rFonts w:ascii="Segoe UI"/>
          <w:spacing w:val="-6"/>
        </w:rPr>
        <w:t> </w:t>
      </w:r>
      <w:r>
        <w:rPr>
          <w:rFonts w:ascii="Segoe UI"/>
        </w:rPr>
        <w:t>oversight,</w:t>
      </w:r>
      <w:r>
        <w:rPr>
          <w:rFonts w:ascii="Segoe UI"/>
          <w:spacing w:val="-7"/>
        </w:rPr>
        <w:t> </w:t>
      </w:r>
      <w:r>
        <w:rPr>
          <w:rFonts w:ascii="Segoe UI"/>
        </w:rPr>
        <w:t>performance</w:t>
      </w:r>
      <w:r>
        <w:rPr>
          <w:rFonts w:ascii="Segoe UI"/>
          <w:spacing w:val="-1"/>
        </w:rPr>
        <w:t> </w:t>
      </w:r>
      <w:r>
        <w:rPr>
          <w:rFonts w:ascii="Segoe UI"/>
        </w:rPr>
        <w:t>management</w:t>
      </w:r>
      <w:r>
        <w:rPr>
          <w:rFonts w:ascii="Segoe UI"/>
          <w:spacing w:val="-7"/>
        </w:rPr>
        <w:t> </w:t>
      </w:r>
      <w:r>
        <w:rPr>
          <w:rFonts w:ascii="Segoe UI"/>
        </w:rPr>
        <w:t>and</w:t>
      </w:r>
      <w:r>
        <w:rPr>
          <w:rFonts w:ascii="Segoe UI"/>
          <w:spacing w:val="-2"/>
        </w:rPr>
        <w:t> direction.</w:t>
      </w:r>
    </w:p>
    <w:p>
      <w:pPr>
        <w:spacing w:before="236"/>
        <w:ind w:left="879" w:right="0" w:firstLine="0"/>
        <w:jc w:val="left"/>
        <w:rPr>
          <w:rFonts w:ascii="Segoe UI"/>
          <w:b/>
          <w:sz w:val="24"/>
        </w:rPr>
      </w:pPr>
      <w:r>
        <w:rPr>
          <w:rFonts w:ascii="Segoe UI"/>
          <w:b/>
          <w:sz w:val="24"/>
        </w:rPr>
        <w:t>Eye</w:t>
      </w:r>
      <w:r>
        <w:rPr>
          <w:rFonts w:ascii="Segoe UI"/>
          <w:b/>
          <w:spacing w:val="-6"/>
          <w:sz w:val="24"/>
        </w:rPr>
        <w:t> </w:t>
      </w:r>
      <w:r>
        <w:rPr>
          <w:rFonts w:ascii="Segoe UI"/>
          <w:b/>
          <w:sz w:val="24"/>
        </w:rPr>
        <w:t>Care</w:t>
      </w:r>
      <w:r>
        <w:rPr>
          <w:rFonts w:ascii="Segoe UI"/>
          <w:b/>
          <w:spacing w:val="-3"/>
          <w:sz w:val="24"/>
        </w:rPr>
        <w:t> </w:t>
      </w:r>
      <w:r>
        <w:rPr>
          <w:rFonts w:ascii="Segoe UI"/>
          <w:b/>
          <w:sz w:val="24"/>
        </w:rPr>
        <w:t>Operational</w:t>
      </w:r>
      <w:r>
        <w:rPr>
          <w:rFonts w:ascii="Segoe UI"/>
          <w:b/>
          <w:spacing w:val="-2"/>
          <w:sz w:val="24"/>
        </w:rPr>
        <w:t> </w:t>
      </w:r>
      <w:r>
        <w:rPr>
          <w:rFonts w:ascii="Segoe UI"/>
          <w:b/>
          <w:sz w:val="24"/>
        </w:rPr>
        <w:t>Delivery</w:t>
      </w:r>
      <w:r>
        <w:rPr>
          <w:rFonts w:ascii="Segoe UI"/>
          <w:b/>
          <w:spacing w:val="-3"/>
          <w:sz w:val="24"/>
        </w:rPr>
        <w:t> </w:t>
      </w:r>
      <w:r>
        <w:rPr>
          <w:rFonts w:ascii="Segoe UI"/>
          <w:b/>
          <w:sz w:val="24"/>
        </w:rPr>
        <w:t>Group</w:t>
      </w:r>
      <w:r>
        <w:rPr>
          <w:rFonts w:ascii="Segoe UI"/>
          <w:b/>
          <w:spacing w:val="-3"/>
          <w:sz w:val="24"/>
        </w:rPr>
        <w:t> </w:t>
      </w:r>
      <w:r>
        <w:rPr>
          <w:rFonts w:ascii="Segoe UI"/>
          <w:b/>
          <w:sz w:val="24"/>
        </w:rPr>
        <w:t>(Terms</w:t>
      </w:r>
      <w:r>
        <w:rPr>
          <w:rFonts w:ascii="Segoe UI"/>
          <w:b/>
          <w:spacing w:val="-4"/>
          <w:sz w:val="24"/>
        </w:rPr>
        <w:t> </w:t>
      </w:r>
      <w:r>
        <w:rPr>
          <w:rFonts w:ascii="Segoe UI"/>
          <w:b/>
          <w:sz w:val="24"/>
        </w:rPr>
        <w:t>of</w:t>
      </w:r>
      <w:r>
        <w:rPr>
          <w:rFonts w:ascii="Segoe UI"/>
          <w:b/>
          <w:spacing w:val="-6"/>
          <w:sz w:val="24"/>
        </w:rPr>
        <w:t> </w:t>
      </w:r>
      <w:r>
        <w:rPr>
          <w:rFonts w:ascii="Segoe UI"/>
          <w:b/>
          <w:sz w:val="24"/>
        </w:rPr>
        <w:t>Reference</w:t>
      </w:r>
      <w:r>
        <w:rPr>
          <w:rFonts w:ascii="Segoe UI"/>
          <w:b/>
          <w:spacing w:val="-4"/>
          <w:sz w:val="24"/>
        </w:rPr>
        <w:t> </w:t>
      </w:r>
      <w:r>
        <w:rPr>
          <w:rFonts w:ascii="Segoe UI"/>
          <w:b/>
          <w:sz w:val="24"/>
        </w:rPr>
        <w:t>Appendix </w:t>
      </w:r>
      <w:r>
        <w:rPr>
          <w:rFonts w:ascii="Segoe UI"/>
          <w:b/>
          <w:spacing w:val="-5"/>
          <w:sz w:val="24"/>
        </w:rPr>
        <w:t>3)</w:t>
      </w:r>
    </w:p>
    <w:p>
      <w:pPr>
        <w:pStyle w:val="BodyText"/>
        <w:spacing w:before="161"/>
        <w:ind w:left="879" w:right="1086"/>
        <w:rPr>
          <w:rFonts w:ascii="Segoe UI"/>
        </w:rPr>
      </w:pPr>
      <w:r>
        <w:rPr>
          <w:rFonts w:ascii="Segoe UI"/>
        </w:rPr>
        <w:t>Day</w:t>
      </w:r>
      <w:r>
        <w:rPr>
          <w:rFonts w:ascii="Segoe UI"/>
          <w:spacing w:val="-4"/>
        </w:rPr>
        <w:t> </w:t>
      </w:r>
      <w:r>
        <w:rPr>
          <w:rFonts w:ascii="Segoe UI"/>
        </w:rPr>
        <w:t>to</w:t>
      </w:r>
      <w:r>
        <w:rPr>
          <w:rFonts w:ascii="Segoe UI"/>
          <w:spacing w:val="-4"/>
        </w:rPr>
        <w:t> </w:t>
      </w:r>
      <w:r>
        <w:rPr>
          <w:rFonts w:ascii="Segoe UI"/>
        </w:rPr>
        <w:t>day</w:t>
      </w:r>
      <w:r>
        <w:rPr>
          <w:rFonts w:ascii="Segoe UI"/>
          <w:spacing w:val="-4"/>
        </w:rPr>
        <w:t> </w:t>
      </w:r>
      <w:r>
        <w:rPr>
          <w:rFonts w:ascii="Segoe UI"/>
        </w:rPr>
        <w:t>management</w:t>
      </w:r>
      <w:r>
        <w:rPr>
          <w:rFonts w:ascii="Segoe UI"/>
          <w:spacing w:val="-5"/>
        </w:rPr>
        <w:t> </w:t>
      </w:r>
      <w:r>
        <w:rPr>
          <w:rFonts w:ascii="Segoe UI"/>
        </w:rPr>
        <w:t>of</w:t>
      </w:r>
      <w:r>
        <w:rPr>
          <w:rFonts w:ascii="Segoe UI"/>
          <w:spacing w:val="-4"/>
        </w:rPr>
        <w:t> </w:t>
      </w:r>
      <w:r>
        <w:rPr>
          <w:rFonts w:ascii="Segoe UI"/>
        </w:rPr>
        <w:t>delivery,</w:t>
      </w:r>
      <w:r>
        <w:rPr>
          <w:rFonts w:ascii="Segoe UI"/>
          <w:spacing w:val="-5"/>
        </w:rPr>
        <w:t> </w:t>
      </w:r>
      <w:r>
        <w:rPr>
          <w:rFonts w:ascii="Segoe UI"/>
        </w:rPr>
        <w:t>issues,</w:t>
      </w:r>
      <w:r>
        <w:rPr>
          <w:rFonts w:ascii="Segoe UI"/>
          <w:spacing w:val="-5"/>
        </w:rPr>
        <w:t> </w:t>
      </w:r>
      <w:r>
        <w:rPr>
          <w:rFonts w:ascii="Segoe UI"/>
        </w:rPr>
        <w:t>performance and</w:t>
      </w:r>
      <w:r>
        <w:rPr>
          <w:rFonts w:ascii="Segoe UI"/>
          <w:spacing w:val="-5"/>
        </w:rPr>
        <w:t> </w:t>
      </w:r>
      <w:r>
        <w:rPr>
          <w:rFonts w:ascii="Segoe UI"/>
        </w:rPr>
        <w:t>risk.</w:t>
      </w:r>
      <w:r>
        <w:rPr>
          <w:rFonts w:ascii="Segoe UI"/>
          <w:spacing w:val="40"/>
        </w:rPr>
        <w:t> </w:t>
      </w:r>
      <w:r>
        <w:rPr>
          <w:rFonts w:ascii="Segoe UI"/>
        </w:rPr>
        <w:t>Developing and delivering </w:t>
      </w:r>
      <w:r>
        <w:rPr>
          <w:rFonts w:ascii="Segoe UI"/>
          <w:spacing w:val="-2"/>
        </w:rPr>
        <w:t>plans.</w:t>
      </w:r>
    </w:p>
    <w:p>
      <w:pPr>
        <w:pStyle w:val="BodyText"/>
        <w:spacing w:before="162"/>
        <w:ind w:left="879"/>
        <w:rPr>
          <w:rFonts w:ascii="Segoe UI"/>
        </w:rPr>
      </w:pPr>
      <w:r>
        <w:rPr>
          <w:rFonts w:ascii="Segoe UI"/>
        </w:rPr>
        <w:t>The</w:t>
      </w:r>
      <w:r>
        <w:rPr>
          <w:rFonts w:ascii="Segoe UI"/>
          <w:spacing w:val="-5"/>
        </w:rPr>
        <w:t> </w:t>
      </w:r>
      <w:r>
        <w:rPr>
          <w:rFonts w:ascii="Segoe UI"/>
        </w:rPr>
        <w:t>Eye</w:t>
      </w:r>
      <w:r>
        <w:rPr>
          <w:rFonts w:ascii="Segoe UI"/>
          <w:spacing w:val="-3"/>
        </w:rPr>
        <w:t> </w:t>
      </w:r>
      <w:r>
        <w:rPr>
          <w:rFonts w:ascii="Segoe UI"/>
        </w:rPr>
        <w:t>Care</w:t>
      </w:r>
      <w:r>
        <w:rPr>
          <w:rFonts w:ascii="Segoe UI"/>
          <w:spacing w:val="-2"/>
        </w:rPr>
        <w:t> </w:t>
      </w:r>
      <w:r>
        <w:rPr>
          <w:rFonts w:ascii="Segoe UI"/>
        </w:rPr>
        <w:t>Delivery</w:t>
      </w:r>
      <w:r>
        <w:rPr>
          <w:rFonts w:ascii="Segoe UI"/>
          <w:spacing w:val="-2"/>
        </w:rPr>
        <w:t> </w:t>
      </w:r>
      <w:r>
        <w:rPr>
          <w:rFonts w:ascii="Segoe UI"/>
        </w:rPr>
        <w:t>Group</w:t>
      </w:r>
      <w:r>
        <w:rPr>
          <w:rFonts w:ascii="Segoe UI"/>
          <w:spacing w:val="-2"/>
        </w:rPr>
        <w:t> </w:t>
      </w:r>
      <w:r>
        <w:rPr>
          <w:rFonts w:ascii="Segoe UI"/>
        </w:rPr>
        <w:t>can</w:t>
      </w:r>
      <w:r>
        <w:rPr>
          <w:rFonts w:ascii="Segoe UI"/>
          <w:spacing w:val="-3"/>
        </w:rPr>
        <w:t> </w:t>
      </w:r>
      <w:r>
        <w:rPr>
          <w:rFonts w:ascii="Segoe UI"/>
        </w:rPr>
        <w:t>establish</w:t>
      </w:r>
      <w:r>
        <w:rPr>
          <w:rFonts w:ascii="Segoe UI"/>
          <w:spacing w:val="-3"/>
        </w:rPr>
        <w:t> </w:t>
      </w:r>
      <w:r>
        <w:rPr>
          <w:rFonts w:ascii="Segoe UI"/>
        </w:rPr>
        <w:t>specific</w:t>
      </w:r>
      <w:r>
        <w:rPr>
          <w:rFonts w:ascii="Segoe UI"/>
          <w:spacing w:val="-2"/>
        </w:rPr>
        <w:t> deliverables</w:t>
      </w:r>
    </w:p>
    <w:p>
      <w:pPr>
        <w:pStyle w:val="BodyText"/>
        <w:spacing w:before="162"/>
        <w:rPr>
          <w:rFonts w:ascii="Segoe UI"/>
        </w:rPr>
      </w:pPr>
    </w:p>
    <w:p>
      <w:pPr>
        <w:pStyle w:val="Heading3"/>
        <w:numPr>
          <w:ilvl w:val="0"/>
          <w:numId w:val="13"/>
        </w:numPr>
        <w:tabs>
          <w:tab w:pos="879" w:val="left" w:leader="none"/>
        </w:tabs>
        <w:spacing w:line="240" w:lineRule="auto" w:before="0" w:after="0"/>
        <w:ind w:left="879" w:right="0" w:hanging="565"/>
        <w:jc w:val="left"/>
        <w:rPr>
          <w:color w:val="1F4E79"/>
        </w:rPr>
      </w:pPr>
      <w:r>
        <w:rPr>
          <w:color w:val="1F4E79"/>
        </w:rPr>
        <w:t>Roles</w:t>
      </w:r>
      <w:r>
        <w:rPr>
          <w:color w:val="1F4E79"/>
          <w:spacing w:val="-2"/>
        </w:rPr>
        <w:t> </w:t>
      </w:r>
      <w:r>
        <w:rPr>
          <w:color w:val="1F4E79"/>
        </w:rPr>
        <w:t>and </w:t>
      </w:r>
      <w:r>
        <w:rPr>
          <w:color w:val="1F4E79"/>
          <w:spacing w:val="-2"/>
        </w:rPr>
        <w:t>Responsibilities</w:t>
      </w:r>
    </w:p>
    <w:p>
      <w:pPr>
        <w:pStyle w:val="BodyText"/>
        <w:spacing w:before="220"/>
        <w:ind w:left="879"/>
        <w:rPr>
          <w:rFonts w:ascii="Segoe UI"/>
        </w:rPr>
      </w:pPr>
      <w:r>
        <w:rPr>
          <w:rFonts w:ascii="Segoe UI"/>
        </w:rPr>
        <w:t>Roles</w:t>
      </w:r>
      <w:r>
        <w:rPr>
          <w:rFonts w:ascii="Segoe UI"/>
          <w:spacing w:val="-6"/>
        </w:rPr>
        <w:t> </w:t>
      </w:r>
      <w:r>
        <w:rPr>
          <w:rFonts w:ascii="Segoe UI"/>
        </w:rPr>
        <w:t>and</w:t>
      </w:r>
      <w:r>
        <w:rPr>
          <w:rFonts w:ascii="Segoe UI"/>
          <w:spacing w:val="-5"/>
        </w:rPr>
        <w:t> </w:t>
      </w:r>
      <w:r>
        <w:rPr>
          <w:rFonts w:ascii="Segoe UI"/>
        </w:rPr>
        <w:t>responsibilities</w:t>
      </w:r>
      <w:r>
        <w:rPr>
          <w:rFonts w:ascii="Segoe UI"/>
          <w:spacing w:val="-6"/>
        </w:rPr>
        <w:t> </w:t>
      </w:r>
      <w:r>
        <w:rPr>
          <w:rFonts w:ascii="Segoe UI"/>
        </w:rPr>
        <w:t>are</w:t>
      </w:r>
      <w:r>
        <w:rPr>
          <w:rFonts w:ascii="Segoe UI"/>
          <w:spacing w:val="-3"/>
        </w:rPr>
        <w:t> </w:t>
      </w:r>
      <w:r>
        <w:rPr>
          <w:rFonts w:ascii="Segoe UI"/>
        </w:rPr>
        <w:t>detailed</w:t>
      </w:r>
      <w:r>
        <w:rPr>
          <w:rFonts w:ascii="Segoe UI"/>
          <w:spacing w:val="-5"/>
        </w:rPr>
        <w:t> </w:t>
      </w:r>
      <w:r>
        <w:rPr>
          <w:rFonts w:ascii="Segoe UI"/>
        </w:rPr>
        <w:t>at</w:t>
      </w:r>
      <w:r>
        <w:rPr>
          <w:rFonts w:ascii="Segoe UI"/>
          <w:spacing w:val="-5"/>
        </w:rPr>
        <w:t> </w:t>
      </w:r>
      <w:r>
        <w:rPr>
          <w:rFonts w:ascii="Segoe UI"/>
        </w:rPr>
        <w:t>Appendix</w:t>
      </w:r>
      <w:r>
        <w:rPr>
          <w:rFonts w:ascii="Segoe UI"/>
          <w:spacing w:val="-2"/>
        </w:rPr>
        <w:t> </w:t>
      </w:r>
      <w:r>
        <w:rPr>
          <w:rFonts w:ascii="Segoe UI"/>
          <w:spacing w:val="-5"/>
        </w:rPr>
        <w:t>1.</w:t>
      </w:r>
    </w:p>
    <w:p>
      <w:pPr>
        <w:pStyle w:val="BodyText"/>
        <w:spacing w:before="158"/>
        <w:rPr>
          <w:rFonts w:ascii="Segoe UI"/>
        </w:rPr>
      </w:pPr>
    </w:p>
    <w:p>
      <w:pPr>
        <w:pStyle w:val="Heading3"/>
        <w:numPr>
          <w:ilvl w:val="0"/>
          <w:numId w:val="13"/>
        </w:numPr>
        <w:tabs>
          <w:tab w:pos="877" w:val="left" w:leader="none"/>
        </w:tabs>
        <w:spacing w:line="240" w:lineRule="auto" w:before="0" w:after="0"/>
        <w:ind w:left="877" w:right="0" w:hanging="563"/>
        <w:jc w:val="left"/>
        <w:rPr>
          <w:color w:val="1F4E79"/>
        </w:rPr>
      </w:pPr>
      <w:r>
        <w:rPr>
          <w:color w:val="1F4E79"/>
          <w:spacing w:val="-2"/>
        </w:rPr>
        <w:t>Budget</w:t>
      </w:r>
    </w:p>
    <w:p>
      <w:pPr>
        <w:pStyle w:val="BodyText"/>
        <w:spacing w:before="221"/>
        <w:ind w:left="879" w:right="890"/>
        <w:rPr>
          <w:rFonts w:ascii="Segoe UI"/>
        </w:rPr>
      </w:pPr>
      <w:r>
        <w:rPr>
          <w:rFonts w:ascii="Segoe UI"/>
        </w:rPr>
        <w:t>The</w:t>
      </w:r>
      <w:r>
        <w:rPr>
          <w:rFonts w:ascii="Segoe UI"/>
          <w:spacing w:val="-5"/>
        </w:rPr>
        <w:t> </w:t>
      </w:r>
      <w:r>
        <w:rPr>
          <w:rFonts w:ascii="Segoe UI"/>
        </w:rPr>
        <w:t>Regional</w:t>
      </w:r>
      <w:r>
        <w:rPr>
          <w:rFonts w:ascii="Segoe UI"/>
          <w:spacing w:val="-2"/>
        </w:rPr>
        <w:t> </w:t>
      </w:r>
      <w:r>
        <w:rPr>
          <w:rFonts w:ascii="Segoe UI"/>
        </w:rPr>
        <w:t>Eye Care</w:t>
      </w:r>
      <w:r>
        <w:rPr>
          <w:rFonts w:ascii="Segoe UI"/>
          <w:spacing w:val="-3"/>
        </w:rPr>
        <w:t> </w:t>
      </w:r>
      <w:r>
        <w:rPr>
          <w:rFonts w:ascii="Segoe UI"/>
        </w:rPr>
        <w:t>Programme does</w:t>
      </w:r>
      <w:r>
        <w:rPr>
          <w:rFonts w:ascii="Segoe UI"/>
          <w:spacing w:val="-1"/>
        </w:rPr>
        <w:t> </w:t>
      </w:r>
      <w:r>
        <w:rPr>
          <w:rFonts w:ascii="Segoe UI"/>
        </w:rPr>
        <w:t>not</w:t>
      </w:r>
      <w:r>
        <w:rPr>
          <w:rFonts w:ascii="Segoe UI"/>
          <w:spacing w:val="-6"/>
        </w:rPr>
        <w:t> </w:t>
      </w:r>
      <w:r>
        <w:rPr>
          <w:rFonts w:ascii="Segoe UI"/>
        </w:rPr>
        <w:t>have</w:t>
      </w:r>
      <w:r>
        <w:rPr>
          <w:rFonts w:ascii="Segoe UI"/>
          <w:spacing w:val="-5"/>
        </w:rPr>
        <w:t> </w:t>
      </w:r>
      <w:r>
        <w:rPr>
          <w:rFonts w:ascii="Segoe UI"/>
        </w:rPr>
        <w:t>an</w:t>
      </w:r>
      <w:r>
        <w:rPr>
          <w:rFonts w:ascii="Segoe UI"/>
          <w:spacing w:val="-5"/>
        </w:rPr>
        <w:t> </w:t>
      </w:r>
      <w:r>
        <w:rPr>
          <w:rFonts w:ascii="Segoe UI"/>
        </w:rPr>
        <w:t>allocated</w:t>
      </w:r>
      <w:r>
        <w:rPr>
          <w:rFonts w:ascii="Segoe UI"/>
          <w:spacing w:val="-6"/>
        </w:rPr>
        <w:t> </w:t>
      </w:r>
      <w:r>
        <w:rPr>
          <w:rFonts w:ascii="Segoe UI"/>
        </w:rPr>
        <w:t>budget.</w:t>
      </w:r>
      <w:r>
        <w:rPr>
          <w:rFonts w:ascii="Segoe UI"/>
          <w:spacing w:val="-6"/>
        </w:rPr>
        <w:t> </w:t>
      </w:r>
      <w:r>
        <w:rPr>
          <w:rFonts w:ascii="Segoe UI"/>
        </w:rPr>
        <w:t>Any</w:t>
      </w:r>
      <w:r>
        <w:rPr>
          <w:rFonts w:ascii="Segoe UI"/>
          <w:spacing w:val="-1"/>
        </w:rPr>
        <w:t> </w:t>
      </w:r>
      <w:r>
        <w:rPr>
          <w:rFonts w:ascii="Segoe UI"/>
        </w:rPr>
        <w:t>funding</w:t>
      </w:r>
      <w:r>
        <w:rPr>
          <w:rFonts w:ascii="Segoe UI"/>
          <w:spacing w:val="-6"/>
        </w:rPr>
        <w:t> </w:t>
      </w:r>
      <w:r>
        <w:rPr>
          <w:rFonts w:ascii="Segoe UI"/>
        </w:rPr>
        <w:t>requirement will be subject to separate proposals.</w:t>
      </w:r>
      <w:r>
        <w:rPr>
          <w:rFonts w:ascii="Segoe UI"/>
          <w:spacing w:val="40"/>
        </w:rPr>
        <w:t> </w:t>
      </w:r>
      <w:r>
        <w:rPr>
          <w:rFonts w:ascii="Segoe UI"/>
        </w:rPr>
        <w:t>At present, programme activities are being supported through existing regional programme resources and Health Board contributions.</w:t>
      </w:r>
      <w:r>
        <w:rPr>
          <w:rFonts w:ascii="Segoe UI"/>
          <w:spacing w:val="40"/>
        </w:rPr>
        <w:t> </w:t>
      </w:r>
      <w:r>
        <w:rPr>
          <w:rFonts w:ascii="Segoe UI"/>
        </w:rPr>
        <w:t>Work is required during the first phase of delivery to:</w:t>
      </w:r>
    </w:p>
    <w:p>
      <w:pPr>
        <w:pStyle w:val="BodyText"/>
        <w:tabs>
          <w:tab w:pos="1599" w:val="left" w:leader="none"/>
        </w:tabs>
        <w:spacing w:line="322" w:lineRule="exact" w:before="278"/>
        <w:ind w:left="1239"/>
        <w:rPr>
          <w:rFonts w:ascii="Segoe UI" w:hAnsi="Segoe UI"/>
        </w:rPr>
      </w:pPr>
      <w:r>
        <w:rPr>
          <w:rFonts w:ascii="Calibri" w:hAnsi="Calibri"/>
          <w:spacing w:val="-10"/>
        </w:rPr>
        <w:t>−</w:t>
      </w:r>
      <w:r>
        <w:rPr>
          <w:rFonts w:ascii="Calibri" w:hAnsi="Calibri"/>
        </w:rPr>
        <w:tab/>
      </w:r>
      <w:r>
        <w:rPr>
          <w:rFonts w:ascii="Segoe UI" w:hAnsi="Segoe UI"/>
        </w:rPr>
        <w:t>Define</w:t>
      </w:r>
      <w:r>
        <w:rPr>
          <w:rFonts w:ascii="Segoe UI" w:hAnsi="Segoe UI"/>
          <w:spacing w:val="-6"/>
        </w:rPr>
        <w:t> </w:t>
      </w:r>
      <w:r>
        <w:rPr>
          <w:rFonts w:ascii="Segoe UI" w:hAnsi="Segoe UI"/>
        </w:rPr>
        <w:t>regional</w:t>
      </w:r>
      <w:r>
        <w:rPr>
          <w:rFonts w:ascii="Segoe UI" w:hAnsi="Segoe UI"/>
          <w:spacing w:val="-4"/>
        </w:rPr>
        <w:t> </w:t>
      </w:r>
      <w:r>
        <w:rPr>
          <w:rFonts w:ascii="Segoe UI" w:hAnsi="Segoe UI"/>
        </w:rPr>
        <w:t>funding</w:t>
      </w:r>
      <w:r>
        <w:rPr>
          <w:rFonts w:ascii="Segoe UI" w:hAnsi="Segoe UI"/>
          <w:spacing w:val="-6"/>
        </w:rPr>
        <w:t> </w:t>
      </w:r>
      <w:r>
        <w:rPr>
          <w:rFonts w:ascii="Segoe UI" w:hAnsi="Segoe UI"/>
          <w:spacing w:val="-2"/>
        </w:rPr>
        <w:t>requirements.</w:t>
      </w:r>
    </w:p>
    <w:p>
      <w:pPr>
        <w:pStyle w:val="BodyText"/>
        <w:tabs>
          <w:tab w:pos="1599" w:val="left" w:leader="none"/>
        </w:tabs>
        <w:spacing w:line="320" w:lineRule="exact"/>
        <w:ind w:left="1239"/>
        <w:rPr>
          <w:rFonts w:ascii="Segoe UI" w:hAnsi="Segoe UI"/>
        </w:rPr>
      </w:pPr>
      <w:r>
        <w:rPr>
          <w:rFonts w:ascii="Calibri" w:hAnsi="Calibri"/>
          <w:spacing w:val="-10"/>
        </w:rPr>
        <w:t>−</w:t>
      </w:r>
      <w:r>
        <w:rPr>
          <w:rFonts w:ascii="Calibri" w:hAnsi="Calibri"/>
        </w:rPr>
        <w:tab/>
      </w:r>
      <w:r>
        <w:rPr>
          <w:rFonts w:ascii="Segoe UI" w:hAnsi="Segoe UI"/>
        </w:rPr>
        <w:t>Explore</w:t>
      </w:r>
      <w:r>
        <w:rPr>
          <w:rFonts w:ascii="Segoe UI" w:hAnsi="Segoe UI"/>
          <w:spacing w:val="-6"/>
        </w:rPr>
        <w:t> </w:t>
      </w:r>
      <w:r>
        <w:rPr>
          <w:rFonts w:ascii="Segoe UI" w:hAnsi="Segoe UI"/>
        </w:rPr>
        <w:t>Regional</w:t>
      </w:r>
      <w:r>
        <w:rPr>
          <w:rFonts w:ascii="Segoe UI" w:hAnsi="Segoe UI"/>
          <w:spacing w:val="-2"/>
        </w:rPr>
        <w:t> </w:t>
      </w:r>
      <w:r>
        <w:rPr>
          <w:rFonts w:ascii="Segoe UI" w:hAnsi="Segoe UI"/>
        </w:rPr>
        <w:t>Capital</w:t>
      </w:r>
      <w:r>
        <w:rPr>
          <w:rFonts w:ascii="Segoe UI" w:hAnsi="Segoe UI"/>
          <w:spacing w:val="-2"/>
        </w:rPr>
        <w:t> </w:t>
      </w:r>
      <w:r>
        <w:rPr>
          <w:rFonts w:ascii="Segoe UI" w:hAnsi="Segoe UI"/>
        </w:rPr>
        <w:t>funding</w:t>
      </w:r>
      <w:r>
        <w:rPr>
          <w:rFonts w:ascii="Segoe UI" w:hAnsi="Segoe UI"/>
          <w:spacing w:val="-6"/>
        </w:rPr>
        <w:t> </w:t>
      </w:r>
      <w:r>
        <w:rPr>
          <w:rFonts w:ascii="Segoe UI" w:hAnsi="Segoe UI"/>
          <w:spacing w:val="-2"/>
        </w:rPr>
        <w:t>opportunities.</w:t>
      </w:r>
    </w:p>
    <w:p>
      <w:pPr>
        <w:pStyle w:val="BodyText"/>
        <w:tabs>
          <w:tab w:pos="1599" w:val="left" w:leader="none"/>
        </w:tabs>
        <w:spacing w:line="320" w:lineRule="exact"/>
        <w:ind w:left="1239"/>
        <w:rPr>
          <w:rFonts w:ascii="Segoe UI" w:hAnsi="Segoe UI"/>
        </w:rPr>
      </w:pPr>
      <w:r>
        <w:rPr>
          <w:rFonts w:ascii="Calibri" w:hAnsi="Calibri"/>
          <w:spacing w:val="-10"/>
        </w:rPr>
        <w:t>−</w:t>
      </w:r>
      <w:r>
        <w:rPr>
          <w:rFonts w:ascii="Calibri" w:hAnsi="Calibri"/>
        </w:rPr>
        <w:tab/>
      </w:r>
      <w:r>
        <w:rPr>
          <w:rFonts w:ascii="Segoe UI" w:hAnsi="Segoe UI"/>
        </w:rPr>
        <w:t>Establish</w:t>
      </w:r>
      <w:r>
        <w:rPr>
          <w:rFonts w:ascii="Segoe UI" w:hAnsi="Segoe UI"/>
          <w:spacing w:val="-5"/>
        </w:rPr>
        <w:t> </w:t>
      </w:r>
      <w:r>
        <w:rPr>
          <w:rFonts w:ascii="Segoe UI" w:hAnsi="Segoe UI"/>
        </w:rPr>
        <w:t>future</w:t>
      </w:r>
      <w:r>
        <w:rPr>
          <w:rFonts w:ascii="Segoe UI" w:hAnsi="Segoe UI"/>
          <w:spacing w:val="-4"/>
        </w:rPr>
        <w:t> </w:t>
      </w:r>
      <w:r>
        <w:rPr>
          <w:rFonts w:ascii="Segoe UI" w:hAnsi="Segoe UI"/>
        </w:rPr>
        <w:t>pooled</w:t>
      </w:r>
      <w:r>
        <w:rPr>
          <w:rFonts w:ascii="Segoe UI" w:hAnsi="Segoe UI"/>
          <w:spacing w:val="-6"/>
        </w:rPr>
        <w:t> </w:t>
      </w:r>
      <w:r>
        <w:rPr>
          <w:rFonts w:ascii="Segoe UI" w:hAnsi="Segoe UI"/>
        </w:rPr>
        <w:t>budget </w:t>
      </w:r>
      <w:r>
        <w:rPr>
          <w:rFonts w:ascii="Segoe UI" w:hAnsi="Segoe UI"/>
          <w:spacing w:val="-2"/>
        </w:rPr>
        <w:t>arrangements.</w:t>
      </w:r>
    </w:p>
    <w:p>
      <w:pPr>
        <w:pStyle w:val="BodyText"/>
        <w:tabs>
          <w:tab w:pos="1599" w:val="left" w:leader="none"/>
        </w:tabs>
        <w:spacing w:line="322" w:lineRule="exact"/>
        <w:ind w:left="1239"/>
        <w:rPr>
          <w:rFonts w:ascii="Segoe UI" w:hAnsi="Segoe UI"/>
        </w:rPr>
      </w:pPr>
      <w:r>
        <w:rPr>
          <w:rFonts w:ascii="Calibri" w:hAnsi="Calibri"/>
          <w:spacing w:val="-10"/>
        </w:rPr>
        <w:t>−</w:t>
      </w:r>
      <w:r>
        <w:rPr>
          <w:rFonts w:ascii="Calibri" w:hAnsi="Calibri"/>
        </w:rPr>
        <w:tab/>
      </w:r>
      <w:r>
        <w:rPr>
          <w:rFonts w:ascii="Segoe UI" w:hAnsi="Segoe UI"/>
        </w:rPr>
        <w:t>Develop</w:t>
      </w:r>
      <w:r>
        <w:rPr>
          <w:rFonts w:ascii="Segoe UI" w:hAnsi="Segoe UI"/>
          <w:spacing w:val="-6"/>
        </w:rPr>
        <w:t> </w:t>
      </w:r>
      <w:r>
        <w:rPr>
          <w:rFonts w:ascii="Segoe UI" w:hAnsi="Segoe UI"/>
        </w:rPr>
        <w:t>a</w:t>
      </w:r>
      <w:r>
        <w:rPr>
          <w:rFonts w:ascii="Segoe UI" w:hAnsi="Segoe UI"/>
          <w:spacing w:val="-6"/>
        </w:rPr>
        <w:t> </w:t>
      </w:r>
      <w:r>
        <w:rPr>
          <w:rFonts w:ascii="Segoe UI" w:hAnsi="Segoe UI"/>
        </w:rPr>
        <w:t>regional</w:t>
      </w:r>
      <w:r>
        <w:rPr>
          <w:rFonts w:ascii="Segoe UI" w:hAnsi="Segoe UI"/>
          <w:spacing w:val="-3"/>
        </w:rPr>
        <w:t> </w:t>
      </w:r>
      <w:r>
        <w:rPr>
          <w:rFonts w:ascii="Segoe UI" w:hAnsi="Segoe UI"/>
        </w:rPr>
        <w:t>financial</w:t>
      </w:r>
      <w:r>
        <w:rPr>
          <w:rFonts w:ascii="Segoe UI" w:hAnsi="Segoe UI"/>
          <w:spacing w:val="-3"/>
        </w:rPr>
        <w:t> </w:t>
      </w:r>
      <w:r>
        <w:rPr>
          <w:rFonts w:ascii="Segoe UI" w:hAnsi="Segoe UI"/>
          <w:spacing w:val="-2"/>
        </w:rPr>
        <w:t>framework.</w:t>
      </w:r>
    </w:p>
    <w:p>
      <w:pPr>
        <w:pStyle w:val="BodyText"/>
        <w:spacing w:before="158"/>
        <w:rPr>
          <w:rFonts w:ascii="Segoe UI"/>
        </w:rPr>
      </w:pPr>
    </w:p>
    <w:p>
      <w:pPr>
        <w:pStyle w:val="Heading3"/>
        <w:numPr>
          <w:ilvl w:val="0"/>
          <w:numId w:val="13"/>
        </w:numPr>
        <w:tabs>
          <w:tab w:pos="877" w:val="left" w:leader="none"/>
        </w:tabs>
        <w:spacing w:line="240" w:lineRule="auto" w:before="0" w:after="0"/>
        <w:ind w:left="877" w:right="0" w:hanging="563"/>
        <w:jc w:val="left"/>
        <w:rPr>
          <w:color w:val="1F4E79"/>
        </w:rPr>
      </w:pPr>
      <w:r>
        <w:rPr>
          <w:color w:val="1F4E79"/>
          <w:spacing w:val="-2"/>
        </w:rPr>
        <w:t>Dependencies</w:t>
      </w:r>
    </w:p>
    <w:p>
      <w:pPr>
        <w:pStyle w:val="BodyText"/>
        <w:spacing w:before="7"/>
        <w:rPr>
          <w:rFonts w:ascii="Segoe UI"/>
          <w:b/>
          <w:sz w:val="13"/>
        </w:rPr>
      </w:pPr>
    </w:p>
    <w:tbl>
      <w:tblPr>
        <w:tblW w:w="0" w:type="auto"/>
        <w:jc w:val="left"/>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72"/>
        <w:gridCol w:w="6808"/>
        <w:gridCol w:w="1877"/>
      </w:tblGrid>
      <w:tr>
        <w:trPr>
          <w:trHeight w:val="490" w:hRule="atLeast"/>
        </w:trPr>
        <w:tc>
          <w:tcPr>
            <w:tcW w:w="2872" w:type="dxa"/>
            <w:shd w:val="clear" w:color="auto" w:fill="DBE4F0"/>
          </w:tcPr>
          <w:p>
            <w:pPr>
              <w:pStyle w:val="TableParagraph"/>
              <w:spacing w:before="96"/>
              <w:ind w:left="120"/>
              <w:rPr>
                <w:rFonts w:ascii="Calibri"/>
                <w:b/>
                <w:sz w:val="24"/>
              </w:rPr>
            </w:pPr>
            <w:r>
              <w:rPr>
                <w:rFonts w:ascii="Calibri"/>
                <w:b/>
                <w:color w:val="1F4E79"/>
                <w:spacing w:val="-2"/>
                <w:sz w:val="24"/>
              </w:rPr>
              <w:t>Dependencies</w:t>
            </w:r>
          </w:p>
        </w:tc>
        <w:tc>
          <w:tcPr>
            <w:tcW w:w="6808" w:type="dxa"/>
            <w:shd w:val="clear" w:color="auto" w:fill="DBE4F0"/>
          </w:tcPr>
          <w:p>
            <w:pPr>
              <w:pStyle w:val="TableParagraph"/>
              <w:spacing w:before="96"/>
              <w:ind w:left="119"/>
              <w:rPr>
                <w:rFonts w:ascii="Calibri"/>
                <w:b/>
                <w:sz w:val="24"/>
              </w:rPr>
            </w:pPr>
            <w:r>
              <w:rPr>
                <w:rFonts w:ascii="Calibri"/>
                <w:b/>
                <w:color w:val="1F4E79"/>
                <w:sz w:val="24"/>
              </w:rPr>
              <w:t>Impact</w:t>
            </w:r>
            <w:r>
              <w:rPr>
                <w:rFonts w:ascii="Calibri"/>
                <w:b/>
                <w:color w:val="1F4E79"/>
                <w:spacing w:val="-1"/>
                <w:sz w:val="24"/>
              </w:rPr>
              <w:t> </w:t>
            </w:r>
            <w:r>
              <w:rPr>
                <w:rFonts w:ascii="Calibri"/>
                <w:b/>
                <w:color w:val="1F4E79"/>
                <w:sz w:val="24"/>
              </w:rPr>
              <w:t>/</w:t>
            </w:r>
            <w:r>
              <w:rPr>
                <w:rFonts w:ascii="Calibri"/>
                <w:b/>
                <w:color w:val="1F4E79"/>
                <w:spacing w:val="-2"/>
                <w:sz w:val="24"/>
              </w:rPr>
              <w:t> relevance</w:t>
            </w:r>
          </w:p>
        </w:tc>
        <w:tc>
          <w:tcPr>
            <w:tcW w:w="1877" w:type="dxa"/>
            <w:shd w:val="clear" w:color="auto" w:fill="DBE4F0"/>
          </w:tcPr>
          <w:p>
            <w:pPr>
              <w:pStyle w:val="TableParagraph"/>
              <w:spacing w:before="96"/>
              <w:ind w:left="118"/>
              <w:rPr>
                <w:rFonts w:ascii="Calibri"/>
                <w:b/>
                <w:sz w:val="24"/>
              </w:rPr>
            </w:pPr>
            <w:r>
              <w:rPr>
                <w:rFonts w:ascii="Calibri"/>
                <w:b/>
                <w:color w:val="1F4E79"/>
                <w:spacing w:val="-2"/>
                <w:sz w:val="24"/>
              </w:rPr>
              <w:t>Owner</w:t>
            </w:r>
          </w:p>
        </w:tc>
      </w:tr>
      <w:tr>
        <w:trPr>
          <w:trHeight w:val="915" w:hRule="atLeast"/>
        </w:trPr>
        <w:tc>
          <w:tcPr>
            <w:tcW w:w="2872" w:type="dxa"/>
          </w:tcPr>
          <w:p>
            <w:pPr>
              <w:pStyle w:val="TableParagraph"/>
              <w:spacing w:before="59"/>
              <w:ind w:left="55"/>
              <w:rPr>
                <w:rFonts w:ascii="Segoe UI"/>
                <w:sz w:val="20"/>
              </w:rPr>
            </w:pPr>
            <w:r>
              <w:rPr>
                <w:rFonts w:ascii="Segoe UI"/>
                <w:sz w:val="20"/>
              </w:rPr>
              <w:t>Finance</w:t>
            </w:r>
            <w:r>
              <w:rPr>
                <w:rFonts w:ascii="Segoe UI"/>
                <w:spacing w:val="-1"/>
                <w:sz w:val="20"/>
              </w:rPr>
              <w:t> </w:t>
            </w:r>
            <w:r>
              <w:rPr>
                <w:rFonts w:ascii="Segoe UI"/>
                <w:sz w:val="20"/>
              </w:rPr>
              <w:t>and</w:t>
            </w:r>
            <w:r>
              <w:rPr>
                <w:rFonts w:ascii="Segoe UI"/>
                <w:spacing w:val="-3"/>
                <w:sz w:val="20"/>
              </w:rPr>
              <w:t> </w:t>
            </w:r>
            <w:r>
              <w:rPr>
                <w:rFonts w:ascii="Segoe UI"/>
                <w:spacing w:val="-2"/>
                <w:sz w:val="20"/>
              </w:rPr>
              <w:t>contracting</w:t>
            </w:r>
          </w:p>
        </w:tc>
        <w:tc>
          <w:tcPr>
            <w:tcW w:w="6808" w:type="dxa"/>
          </w:tcPr>
          <w:p>
            <w:pPr>
              <w:pStyle w:val="TableParagraph"/>
              <w:spacing w:before="59"/>
              <w:ind w:left="59"/>
              <w:rPr>
                <w:rFonts w:ascii="Segoe UI"/>
                <w:sz w:val="20"/>
              </w:rPr>
            </w:pPr>
            <w:r>
              <w:rPr>
                <w:rFonts w:ascii="Segoe UI"/>
                <w:sz w:val="20"/>
              </w:rPr>
              <w:t>Resolving the ongoing financial and contracting challenges linked to the additional</w:t>
            </w:r>
            <w:r>
              <w:rPr>
                <w:rFonts w:ascii="Segoe UI"/>
                <w:spacing w:val="-2"/>
                <w:sz w:val="20"/>
              </w:rPr>
              <w:t> </w:t>
            </w:r>
            <w:r>
              <w:rPr>
                <w:rFonts w:ascii="Segoe UI"/>
                <w:sz w:val="20"/>
              </w:rPr>
              <w:t>funding</w:t>
            </w:r>
            <w:r>
              <w:rPr>
                <w:rFonts w:ascii="Segoe UI"/>
                <w:spacing w:val="-6"/>
                <w:sz w:val="20"/>
              </w:rPr>
              <w:t> </w:t>
            </w:r>
            <w:r>
              <w:rPr>
                <w:rFonts w:ascii="Segoe UI"/>
                <w:sz w:val="20"/>
              </w:rPr>
              <w:t>credited</w:t>
            </w:r>
            <w:r>
              <w:rPr>
                <w:rFonts w:ascii="Segoe UI"/>
                <w:spacing w:val="-1"/>
                <w:sz w:val="20"/>
              </w:rPr>
              <w:t> </w:t>
            </w:r>
            <w:r>
              <w:rPr>
                <w:rFonts w:ascii="Segoe UI"/>
                <w:sz w:val="20"/>
              </w:rPr>
              <w:t>to</w:t>
            </w:r>
            <w:r>
              <w:rPr>
                <w:rFonts w:ascii="Segoe UI"/>
                <w:spacing w:val="-6"/>
                <w:sz w:val="20"/>
              </w:rPr>
              <w:t> </w:t>
            </w:r>
            <w:r>
              <w:rPr>
                <w:rFonts w:ascii="Segoe UI"/>
                <w:sz w:val="20"/>
              </w:rPr>
              <w:t>health</w:t>
            </w:r>
            <w:r>
              <w:rPr>
                <w:rFonts w:ascii="Segoe UI"/>
                <w:spacing w:val="-7"/>
                <w:sz w:val="20"/>
              </w:rPr>
              <w:t> </w:t>
            </w:r>
            <w:r>
              <w:rPr>
                <w:rFonts w:ascii="Segoe UI"/>
                <w:sz w:val="20"/>
              </w:rPr>
              <w:t>boards</w:t>
            </w:r>
            <w:r>
              <w:rPr>
                <w:rFonts w:ascii="Segoe UI"/>
                <w:spacing w:val="-4"/>
                <w:sz w:val="20"/>
              </w:rPr>
              <w:t> </w:t>
            </w:r>
            <w:r>
              <w:rPr>
                <w:rFonts w:ascii="Segoe UI"/>
                <w:sz w:val="20"/>
              </w:rPr>
              <w:t>in</w:t>
            </w:r>
            <w:r>
              <w:rPr>
                <w:rFonts w:ascii="Segoe UI"/>
                <w:spacing w:val="-7"/>
                <w:sz w:val="20"/>
              </w:rPr>
              <w:t> </w:t>
            </w:r>
            <w:r>
              <w:rPr>
                <w:rFonts w:ascii="Segoe UI"/>
                <w:sz w:val="20"/>
              </w:rPr>
              <w:t>2023</w:t>
            </w:r>
            <w:r>
              <w:rPr>
                <w:rFonts w:ascii="Segoe UI"/>
                <w:spacing w:val="-1"/>
                <w:sz w:val="20"/>
              </w:rPr>
              <w:t> </w:t>
            </w:r>
            <w:r>
              <w:rPr>
                <w:rFonts w:ascii="Segoe UI"/>
                <w:sz w:val="20"/>
              </w:rPr>
              <w:t>and</w:t>
            </w:r>
            <w:r>
              <w:rPr>
                <w:rFonts w:ascii="Segoe UI"/>
                <w:spacing w:val="-6"/>
                <w:sz w:val="20"/>
              </w:rPr>
              <w:t> </w:t>
            </w:r>
            <w:r>
              <w:rPr>
                <w:rFonts w:ascii="Segoe UI"/>
                <w:sz w:val="20"/>
              </w:rPr>
              <w:t>set</w:t>
            </w:r>
            <w:r>
              <w:rPr>
                <w:rFonts w:ascii="Segoe UI"/>
                <w:spacing w:val="-1"/>
                <w:sz w:val="20"/>
              </w:rPr>
              <w:t> </w:t>
            </w:r>
            <w:r>
              <w:rPr>
                <w:rFonts w:ascii="Segoe UI"/>
                <w:sz w:val="20"/>
              </w:rPr>
              <w:t>out</w:t>
            </w:r>
            <w:r>
              <w:rPr>
                <w:rFonts w:ascii="Segoe UI"/>
                <w:spacing w:val="-1"/>
                <w:sz w:val="20"/>
              </w:rPr>
              <w:t> </w:t>
            </w:r>
            <w:r>
              <w:rPr>
                <w:rFonts w:ascii="Segoe UI"/>
                <w:sz w:val="20"/>
              </w:rPr>
              <w:t>a</w:t>
            </w:r>
            <w:r>
              <w:rPr>
                <w:rFonts w:ascii="Segoe UI"/>
                <w:spacing w:val="-5"/>
                <w:sz w:val="20"/>
              </w:rPr>
              <w:t> </w:t>
            </w:r>
            <w:r>
              <w:rPr>
                <w:rFonts w:ascii="Segoe UI"/>
                <w:sz w:val="20"/>
              </w:rPr>
              <w:t>regional approach to funding Eye Care</w:t>
            </w:r>
          </w:p>
        </w:tc>
        <w:tc>
          <w:tcPr>
            <w:tcW w:w="1877" w:type="dxa"/>
          </w:tcPr>
          <w:p>
            <w:pPr>
              <w:pStyle w:val="TableParagraph"/>
              <w:spacing w:before="59"/>
              <w:ind w:left="58" w:right="744"/>
              <w:jc w:val="both"/>
              <w:rPr>
                <w:rFonts w:ascii="Segoe UI"/>
                <w:sz w:val="20"/>
              </w:rPr>
            </w:pPr>
            <w:r>
              <w:rPr>
                <w:rFonts w:ascii="Segoe UI"/>
                <w:sz w:val="20"/>
              </w:rPr>
              <w:t>Finance</w:t>
            </w:r>
            <w:r>
              <w:rPr>
                <w:rFonts w:ascii="Segoe UI"/>
                <w:spacing w:val="-14"/>
                <w:sz w:val="20"/>
              </w:rPr>
              <w:t> </w:t>
            </w:r>
            <w:r>
              <w:rPr>
                <w:rFonts w:ascii="Segoe UI"/>
                <w:sz w:val="20"/>
              </w:rPr>
              <w:t>and </w:t>
            </w:r>
            <w:r>
              <w:rPr>
                <w:rFonts w:ascii="Segoe UI"/>
                <w:spacing w:val="-2"/>
                <w:sz w:val="20"/>
              </w:rPr>
              <w:t>Contracting Subgroup</w:t>
            </w:r>
          </w:p>
        </w:tc>
      </w:tr>
    </w:tbl>
    <w:p>
      <w:pPr>
        <w:pStyle w:val="BodyText"/>
        <w:spacing w:before="224"/>
        <w:rPr>
          <w:rFonts w:ascii="Segoe UI"/>
          <w:b/>
          <w:sz w:val="30"/>
        </w:rPr>
      </w:pPr>
    </w:p>
    <w:p>
      <w:pPr>
        <w:spacing w:before="0"/>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type w:val="continuous"/>
          <w:pgSz w:w="12240" w:h="15840"/>
          <w:pgMar w:header="0" w:footer="147" w:top="760" w:bottom="280" w:left="141" w:right="141"/>
        </w:sectPr>
      </w:pPr>
    </w:p>
    <w:p>
      <w:pPr>
        <w:spacing w:before="78" w:after="52"/>
        <w:ind w:left="0" w:right="873" w:firstLine="0"/>
        <w:jc w:val="right"/>
        <w:rPr>
          <w:rFonts w:ascii="Calibri"/>
          <w:sz w:val="16"/>
        </w:rPr>
      </w:pP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tbl>
      <w:tblPr>
        <w:tblW w:w="0" w:type="auto"/>
        <w:jc w:val="left"/>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72"/>
        <w:gridCol w:w="6808"/>
        <w:gridCol w:w="1877"/>
      </w:tblGrid>
      <w:tr>
        <w:trPr>
          <w:trHeight w:val="490" w:hRule="atLeast"/>
        </w:trPr>
        <w:tc>
          <w:tcPr>
            <w:tcW w:w="2872" w:type="dxa"/>
            <w:shd w:val="clear" w:color="auto" w:fill="DBE4F0"/>
          </w:tcPr>
          <w:p>
            <w:pPr>
              <w:pStyle w:val="TableParagraph"/>
              <w:spacing w:before="96"/>
              <w:ind w:left="120"/>
              <w:rPr>
                <w:rFonts w:ascii="Calibri"/>
                <w:b/>
                <w:sz w:val="24"/>
              </w:rPr>
            </w:pPr>
            <w:r>
              <w:rPr>
                <w:rFonts w:ascii="Calibri"/>
                <w:b/>
                <w:color w:val="1F4E79"/>
                <w:spacing w:val="-2"/>
                <w:sz w:val="24"/>
              </w:rPr>
              <w:t>Dependencies</w:t>
            </w:r>
          </w:p>
        </w:tc>
        <w:tc>
          <w:tcPr>
            <w:tcW w:w="6808" w:type="dxa"/>
            <w:shd w:val="clear" w:color="auto" w:fill="DBE4F0"/>
          </w:tcPr>
          <w:p>
            <w:pPr>
              <w:pStyle w:val="TableParagraph"/>
              <w:spacing w:before="96"/>
              <w:ind w:left="119"/>
              <w:rPr>
                <w:rFonts w:ascii="Calibri"/>
                <w:b/>
                <w:sz w:val="24"/>
              </w:rPr>
            </w:pPr>
            <w:r>
              <w:rPr>
                <w:rFonts w:ascii="Calibri"/>
                <w:b/>
                <w:color w:val="1F4E79"/>
                <w:sz w:val="24"/>
              </w:rPr>
              <w:t>Impact</w:t>
            </w:r>
            <w:r>
              <w:rPr>
                <w:rFonts w:ascii="Calibri"/>
                <w:b/>
                <w:color w:val="1F4E79"/>
                <w:spacing w:val="-1"/>
                <w:sz w:val="24"/>
              </w:rPr>
              <w:t> </w:t>
            </w:r>
            <w:r>
              <w:rPr>
                <w:rFonts w:ascii="Calibri"/>
                <w:b/>
                <w:color w:val="1F4E79"/>
                <w:sz w:val="24"/>
              </w:rPr>
              <w:t>/</w:t>
            </w:r>
            <w:r>
              <w:rPr>
                <w:rFonts w:ascii="Calibri"/>
                <w:b/>
                <w:color w:val="1F4E79"/>
                <w:spacing w:val="-2"/>
                <w:sz w:val="24"/>
              </w:rPr>
              <w:t> relevance</w:t>
            </w:r>
          </w:p>
        </w:tc>
        <w:tc>
          <w:tcPr>
            <w:tcW w:w="1877" w:type="dxa"/>
            <w:shd w:val="clear" w:color="auto" w:fill="DBE4F0"/>
          </w:tcPr>
          <w:p>
            <w:pPr>
              <w:pStyle w:val="TableParagraph"/>
              <w:spacing w:before="96"/>
              <w:ind w:left="118"/>
              <w:rPr>
                <w:rFonts w:ascii="Calibri"/>
                <w:b/>
                <w:sz w:val="24"/>
              </w:rPr>
            </w:pPr>
            <w:r>
              <w:rPr>
                <w:rFonts w:ascii="Calibri"/>
                <w:b/>
                <w:color w:val="1F4E79"/>
                <w:spacing w:val="-2"/>
                <w:sz w:val="24"/>
              </w:rPr>
              <w:t>Owner</w:t>
            </w:r>
          </w:p>
        </w:tc>
      </w:tr>
      <w:tr>
        <w:trPr>
          <w:trHeight w:val="650" w:hRule="atLeast"/>
        </w:trPr>
        <w:tc>
          <w:tcPr>
            <w:tcW w:w="2872" w:type="dxa"/>
          </w:tcPr>
          <w:p>
            <w:pPr>
              <w:pStyle w:val="TableParagraph"/>
              <w:spacing w:before="59"/>
              <w:ind w:left="55"/>
              <w:rPr>
                <w:rFonts w:ascii="Segoe UI"/>
                <w:sz w:val="20"/>
              </w:rPr>
            </w:pPr>
            <w:r>
              <w:rPr>
                <w:rFonts w:ascii="Segoe UI"/>
                <w:sz w:val="20"/>
              </w:rPr>
              <w:t>Digital</w:t>
            </w:r>
            <w:r>
              <w:rPr>
                <w:rFonts w:ascii="Segoe UI"/>
                <w:spacing w:val="-14"/>
                <w:sz w:val="20"/>
              </w:rPr>
              <w:t> </w:t>
            </w:r>
            <w:r>
              <w:rPr>
                <w:rFonts w:ascii="Segoe UI"/>
                <w:sz w:val="20"/>
              </w:rPr>
              <w:t>solution</w:t>
            </w:r>
            <w:r>
              <w:rPr>
                <w:rFonts w:ascii="Segoe UI"/>
                <w:spacing w:val="-14"/>
                <w:sz w:val="20"/>
              </w:rPr>
              <w:t> </w:t>
            </w:r>
            <w:r>
              <w:rPr>
                <w:rFonts w:ascii="Segoe UI"/>
                <w:sz w:val="20"/>
              </w:rPr>
              <w:t>development and delivery</w:t>
            </w:r>
          </w:p>
        </w:tc>
        <w:tc>
          <w:tcPr>
            <w:tcW w:w="6808" w:type="dxa"/>
          </w:tcPr>
          <w:p>
            <w:pPr>
              <w:pStyle w:val="TableParagraph"/>
              <w:spacing w:before="59"/>
              <w:ind w:left="59" w:right="143"/>
              <w:rPr>
                <w:rFonts w:ascii="Segoe UI"/>
                <w:sz w:val="20"/>
              </w:rPr>
            </w:pPr>
            <w:r>
              <w:rPr>
                <w:rFonts w:ascii="Segoe UI"/>
                <w:sz w:val="20"/>
              </w:rPr>
              <w:t>Regional</w:t>
            </w:r>
            <w:r>
              <w:rPr>
                <w:rFonts w:ascii="Segoe UI"/>
                <w:spacing w:val="-2"/>
                <w:sz w:val="20"/>
              </w:rPr>
              <w:t> </w:t>
            </w:r>
            <w:r>
              <w:rPr>
                <w:rFonts w:ascii="Segoe UI"/>
                <w:sz w:val="20"/>
              </w:rPr>
              <w:t>Eye</w:t>
            </w:r>
            <w:r>
              <w:rPr>
                <w:rFonts w:ascii="Segoe UI"/>
                <w:spacing w:val="-4"/>
                <w:sz w:val="20"/>
              </w:rPr>
              <w:t> </w:t>
            </w:r>
            <w:r>
              <w:rPr>
                <w:rFonts w:ascii="Segoe UI"/>
                <w:sz w:val="20"/>
              </w:rPr>
              <w:t>Care</w:t>
            </w:r>
            <w:r>
              <w:rPr>
                <w:rFonts w:ascii="Segoe UI"/>
                <w:spacing w:val="-3"/>
                <w:sz w:val="20"/>
              </w:rPr>
              <w:t> </w:t>
            </w:r>
            <w:r>
              <w:rPr>
                <w:rFonts w:ascii="Segoe UI"/>
                <w:sz w:val="20"/>
              </w:rPr>
              <w:t>solution</w:t>
            </w:r>
            <w:r>
              <w:rPr>
                <w:rFonts w:ascii="Segoe UI"/>
                <w:spacing w:val="-3"/>
                <w:sz w:val="20"/>
              </w:rPr>
              <w:t> </w:t>
            </w:r>
            <w:r>
              <w:rPr>
                <w:rFonts w:ascii="Segoe UI"/>
                <w:sz w:val="20"/>
              </w:rPr>
              <w:t>delivery</w:t>
            </w:r>
            <w:r>
              <w:rPr>
                <w:rFonts w:ascii="Segoe UI"/>
                <w:spacing w:val="-6"/>
                <w:sz w:val="20"/>
              </w:rPr>
              <w:t> </w:t>
            </w:r>
            <w:r>
              <w:rPr>
                <w:rFonts w:ascii="Segoe UI"/>
                <w:sz w:val="20"/>
              </w:rPr>
              <w:t>will</w:t>
            </w:r>
            <w:r>
              <w:rPr>
                <w:rFonts w:ascii="Segoe UI"/>
                <w:spacing w:val="-8"/>
                <w:sz w:val="20"/>
              </w:rPr>
              <w:t> </w:t>
            </w:r>
            <w:r>
              <w:rPr>
                <w:rFonts w:ascii="Segoe UI"/>
                <w:sz w:val="20"/>
              </w:rPr>
              <w:t>be</w:t>
            </w:r>
            <w:r>
              <w:rPr>
                <w:rFonts w:ascii="Segoe UI"/>
                <w:spacing w:val="-4"/>
                <w:sz w:val="20"/>
              </w:rPr>
              <w:t> </w:t>
            </w:r>
            <w:r>
              <w:rPr>
                <w:rFonts w:ascii="Segoe UI"/>
                <w:sz w:val="20"/>
              </w:rPr>
              <w:t>dependent</w:t>
            </w:r>
            <w:r>
              <w:rPr>
                <w:rFonts w:ascii="Segoe UI"/>
                <w:spacing w:val="-2"/>
                <w:sz w:val="20"/>
              </w:rPr>
              <w:t> </w:t>
            </w:r>
            <w:r>
              <w:rPr>
                <w:rFonts w:ascii="Segoe UI"/>
                <w:sz w:val="20"/>
              </w:rPr>
              <w:t>on</w:t>
            </w:r>
            <w:r>
              <w:rPr>
                <w:rFonts w:ascii="Segoe UI"/>
                <w:spacing w:val="-8"/>
                <w:sz w:val="20"/>
              </w:rPr>
              <w:t> </w:t>
            </w:r>
            <w:r>
              <w:rPr>
                <w:rFonts w:ascii="Segoe UI"/>
                <w:sz w:val="20"/>
              </w:rPr>
              <w:t>delivering regional solutions</w:t>
            </w:r>
          </w:p>
        </w:tc>
        <w:tc>
          <w:tcPr>
            <w:tcW w:w="1877" w:type="dxa"/>
          </w:tcPr>
          <w:p>
            <w:pPr>
              <w:pStyle w:val="TableParagraph"/>
              <w:spacing w:before="59"/>
              <w:ind w:left="58"/>
              <w:rPr>
                <w:rFonts w:ascii="Segoe UI"/>
                <w:sz w:val="20"/>
              </w:rPr>
            </w:pPr>
            <w:r>
              <w:rPr>
                <w:rFonts w:ascii="Segoe UI"/>
                <w:sz w:val="20"/>
              </w:rPr>
              <w:t>Data</w:t>
            </w:r>
            <w:r>
              <w:rPr>
                <w:rFonts w:ascii="Segoe UI"/>
                <w:spacing w:val="-14"/>
                <w:sz w:val="20"/>
              </w:rPr>
              <w:t> </w:t>
            </w:r>
            <w:r>
              <w:rPr>
                <w:rFonts w:ascii="Segoe UI"/>
                <w:sz w:val="20"/>
              </w:rPr>
              <w:t>and</w:t>
            </w:r>
            <w:r>
              <w:rPr>
                <w:rFonts w:ascii="Segoe UI"/>
                <w:spacing w:val="-14"/>
                <w:sz w:val="20"/>
              </w:rPr>
              <w:t> </w:t>
            </w:r>
            <w:r>
              <w:rPr>
                <w:rFonts w:ascii="Segoe UI"/>
                <w:sz w:val="20"/>
              </w:rPr>
              <w:t>Digital </w:t>
            </w:r>
            <w:r>
              <w:rPr>
                <w:rFonts w:ascii="Segoe UI"/>
                <w:spacing w:val="-2"/>
                <w:sz w:val="20"/>
              </w:rPr>
              <w:t>Subgroup</w:t>
            </w:r>
          </w:p>
        </w:tc>
      </w:tr>
      <w:tr>
        <w:trPr>
          <w:trHeight w:val="1440" w:hRule="atLeast"/>
        </w:trPr>
        <w:tc>
          <w:tcPr>
            <w:tcW w:w="2872" w:type="dxa"/>
          </w:tcPr>
          <w:p>
            <w:pPr>
              <w:pStyle w:val="TableParagraph"/>
              <w:spacing w:before="54"/>
              <w:ind w:left="55" w:right="89"/>
              <w:rPr>
                <w:rFonts w:ascii="Segoe UI"/>
                <w:sz w:val="20"/>
              </w:rPr>
            </w:pPr>
            <w:r>
              <w:rPr>
                <w:rFonts w:ascii="Segoe UI"/>
                <w:sz w:val="20"/>
              </w:rPr>
              <w:t>Availability</w:t>
            </w:r>
            <w:r>
              <w:rPr>
                <w:rFonts w:ascii="Segoe UI"/>
                <w:spacing w:val="-14"/>
                <w:sz w:val="20"/>
              </w:rPr>
              <w:t> </w:t>
            </w:r>
            <w:r>
              <w:rPr>
                <w:rFonts w:ascii="Segoe UI"/>
                <w:sz w:val="20"/>
              </w:rPr>
              <w:t>of</w:t>
            </w:r>
            <w:r>
              <w:rPr>
                <w:rFonts w:ascii="Segoe UI"/>
                <w:spacing w:val="-11"/>
                <w:sz w:val="20"/>
              </w:rPr>
              <w:t> </w:t>
            </w:r>
            <w:r>
              <w:rPr>
                <w:rFonts w:ascii="Segoe UI"/>
                <w:sz w:val="20"/>
              </w:rPr>
              <w:t>support</w:t>
            </w:r>
            <w:r>
              <w:rPr>
                <w:rFonts w:ascii="Segoe UI"/>
                <w:spacing w:val="-11"/>
                <w:sz w:val="20"/>
              </w:rPr>
              <w:t> </w:t>
            </w:r>
            <w:r>
              <w:rPr>
                <w:rFonts w:ascii="Segoe UI"/>
                <w:sz w:val="20"/>
              </w:rPr>
              <w:t>services, including ECLO provision, low vision services, vision rehabilitation services and third-sector support.</w:t>
            </w:r>
          </w:p>
        </w:tc>
        <w:tc>
          <w:tcPr>
            <w:tcW w:w="6808" w:type="dxa"/>
          </w:tcPr>
          <w:p>
            <w:pPr>
              <w:pStyle w:val="TableParagraph"/>
              <w:spacing w:before="54"/>
              <w:ind w:left="59"/>
              <w:rPr>
                <w:rFonts w:ascii="Segoe UI" w:hAnsi="Segoe UI"/>
                <w:sz w:val="20"/>
              </w:rPr>
            </w:pPr>
            <w:r>
              <w:rPr>
                <w:rFonts w:ascii="Segoe UI" w:hAnsi="Segoe UI"/>
                <w:sz w:val="20"/>
              </w:rPr>
              <w:t>The</w:t>
            </w:r>
            <w:r>
              <w:rPr>
                <w:rFonts w:ascii="Segoe UI" w:hAnsi="Segoe UI"/>
                <w:spacing w:val="-4"/>
                <w:sz w:val="20"/>
              </w:rPr>
              <w:t> </w:t>
            </w:r>
            <w:r>
              <w:rPr>
                <w:rFonts w:ascii="Segoe UI" w:hAnsi="Segoe UI"/>
                <w:sz w:val="20"/>
              </w:rPr>
              <w:t>programme’s</w:t>
            </w:r>
            <w:r>
              <w:rPr>
                <w:rFonts w:ascii="Segoe UI" w:hAnsi="Segoe UI"/>
                <w:spacing w:val="-3"/>
                <w:sz w:val="20"/>
              </w:rPr>
              <w:t> </w:t>
            </w:r>
            <w:r>
              <w:rPr>
                <w:rFonts w:ascii="Segoe UI" w:hAnsi="Segoe UI"/>
                <w:sz w:val="20"/>
              </w:rPr>
              <w:t>ability</w:t>
            </w:r>
            <w:r>
              <w:rPr>
                <w:rFonts w:ascii="Segoe UI" w:hAnsi="Segoe UI"/>
                <w:spacing w:val="-10"/>
                <w:sz w:val="20"/>
              </w:rPr>
              <w:t> </w:t>
            </w:r>
            <w:r>
              <w:rPr>
                <w:rFonts w:ascii="Segoe UI" w:hAnsi="Segoe UI"/>
                <w:sz w:val="20"/>
              </w:rPr>
              <w:t>to</w:t>
            </w:r>
            <w:r>
              <w:rPr>
                <w:rFonts w:ascii="Segoe UI" w:hAnsi="Segoe UI"/>
                <w:spacing w:val="-7"/>
                <w:sz w:val="20"/>
              </w:rPr>
              <w:t> </w:t>
            </w:r>
            <w:r>
              <w:rPr>
                <w:rFonts w:ascii="Segoe UI" w:hAnsi="Segoe UI"/>
                <w:sz w:val="20"/>
              </w:rPr>
              <w:t>deliver</w:t>
            </w:r>
            <w:r>
              <w:rPr>
                <w:rFonts w:ascii="Segoe UI" w:hAnsi="Segoe UI"/>
                <w:spacing w:val="-8"/>
                <w:sz w:val="20"/>
              </w:rPr>
              <w:t> </w:t>
            </w:r>
            <w:r>
              <w:rPr>
                <w:rFonts w:ascii="Segoe UI" w:hAnsi="Segoe UI"/>
                <w:sz w:val="20"/>
              </w:rPr>
              <w:t>person-centred</w:t>
            </w:r>
            <w:r>
              <w:rPr>
                <w:rFonts w:ascii="Segoe UI" w:hAnsi="Segoe UI"/>
                <w:spacing w:val="-2"/>
                <w:sz w:val="20"/>
              </w:rPr>
              <w:t> </w:t>
            </w:r>
            <w:r>
              <w:rPr>
                <w:rFonts w:ascii="Segoe UI" w:hAnsi="Segoe UI"/>
                <w:sz w:val="20"/>
              </w:rPr>
              <w:t>outcomes</w:t>
            </w:r>
            <w:r>
              <w:rPr>
                <w:rFonts w:ascii="Segoe UI" w:hAnsi="Segoe UI"/>
                <w:spacing w:val="-4"/>
                <w:sz w:val="20"/>
              </w:rPr>
              <w:t> </w:t>
            </w:r>
            <w:r>
              <w:rPr>
                <w:rFonts w:ascii="Segoe UI" w:hAnsi="Segoe UI"/>
                <w:sz w:val="20"/>
              </w:rPr>
              <w:t>depends</w:t>
            </w:r>
            <w:r>
              <w:rPr>
                <w:rFonts w:ascii="Segoe UI" w:hAnsi="Segoe UI"/>
                <w:spacing w:val="-5"/>
                <w:sz w:val="20"/>
              </w:rPr>
              <w:t> </w:t>
            </w:r>
            <w:r>
              <w:rPr>
                <w:rFonts w:ascii="Segoe UI" w:hAnsi="Segoe UI"/>
                <w:sz w:val="20"/>
              </w:rPr>
              <w:t>on patients receiving timely access to information, emotional and practical support, certification and registration advice, rehabilitation, and onward referral. Gaps in provision or weak referral arrangements could result in unmet need and inconsistent support between pathways or locations.</w:t>
            </w:r>
          </w:p>
        </w:tc>
        <w:tc>
          <w:tcPr>
            <w:tcW w:w="1877" w:type="dxa"/>
          </w:tcPr>
          <w:p>
            <w:pPr>
              <w:pStyle w:val="TableParagraph"/>
              <w:rPr>
                <w:rFonts w:ascii="Times New Roman"/>
                <w:sz w:val="20"/>
              </w:rPr>
            </w:pPr>
          </w:p>
        </w:tc>
      </w:tr>
      <w:tr>
        <w:trPr>
          <w:trHeight w:val="1445" w:hRule="atLeast"/>
        </w:trPr>
        <w:tc>
          <w:tcPr>
            <w:tcW w:w="2872" w:type="dxa"/>
          </w:tcPr>
          <w:p>
            <w:pPr>
              <w:pStyle w:val="TableParagraph"/>
              <w:spacing w:before="59"/>
              <w:ind w:left="55" w:right="112"/>
              <w:rPr>
                <w:rFonts w:ascii="Segoe UI"/>
                <w:sz w:val="20"/>
              </w:rPr>
            </w:pPr>
            <w:r>
              <w:rPr>
                <w:rFonts w:ascii="Segoe UI"/>
                <w:sz w:val="20"/>
              </w:rPr>
              <w:t>Accessible, bilingual and inclusive patient communication</w:t>
            </w:r>
            <w:r>
              <w:rPr>
                <w:rFonts w:ascii="Segoe UI"/>
                <w:spacing w:val="-14"/>
                <w:sz w:val="20"/>
              </w:rPr>
              <w:t> </w:t>
            </w:r>
            <w:r>
              <w:rPr>
                <w:rFonts w:ascii="Segoe UI"/>
                <w:sz w:val="20"/>
              </w:rPr>
              <w:t>arrangements.</w:t>
            </w:r>
          </w:p>
        </w:tc>
        <w:tc>
          <w:tcPr>
            <w:tcW w:w="6808" w:type="dxa"/>
          </w:tcPr>
          <w:p>
            <w:pPr>
              <w:pStyle w:val="TableParagraph"/>
              <w:spacing w:before="59"/>
              <w:ind w:left="59"/>
              <w:rPr>
                <w:rFonts w:ascii="Segoe UI" w:hAnsi="Segoe UI"/>
                <w:sz w:val="20"/>
              </w:rPr>
            </w:pPr>
            <w:r>
              <w:rPr>
                <w:rFonts w:ascii="Segoe UI" w:hAnsi="Segoe UI"/>
                <w:sz w:val="20"/>
              </w:rPr>
              <w:t>Patients</w:t>
            </w:r>
            <w:r>
              <w:rPr>
                <w:rFonts w:ascii="Segoe UI" w:hAnsi="Segoe UI"/>
                <w:spacing w:val="-5"/>
                <w:sz w:val="20"/>
              </w:rPr>
              <w:t> </w:t>
            </w:r>
            <w:r>
              <w:rPr>
                <w:rFonts w:ascii="Segoe UI" w:hAnsi="Segoe UI"/>
                <w:sz w:val="20"/>
              </w:rPr>
              <w:t>must</w:t>
            </w:r>
            <w:r>
              <w:rPr>
                <w:rFonts w:ascii="Segoe UI" w:hAnsi="Segoe UI"/>
                <w:spacing w:val="-7"/>
                <w:sz w:val="20"/>
              </w:rPr>
              <w:t> </w:t>
            </w:r>
            <w:r>
              <w:rPr>
                <w:rFonts w:ascii="Segoe UI" w:hAnsi="Segoe UI"/>
                <w:sz w:val="20"/>
              </w:rPr>
              <w:t>be</w:t>
            </w:r>
            <w:r>
              <w:rPr>
                <w:rFonts w:ascii="Segoe UI" w:hAnsi="Segoe UI"/>
                <w:spacing w:val="-4"/>
                <w:sz w:val="20"/>
              </w:rPr>
              <w:t> </w:t>
            </w:r>
            <w:r>
              <w:rPr>
                <w:rFonts w:ascii="Segoe UI" w:hAnsi="Segoe UI"/>
                <w:sz w:val="20"/>
              </w:rPr>
              <w:t>able</w:t>
            </w:r>
            <w:r>
              <w:rPr>
                <w:rFonts w:ascii="Segoe UI" w:hAnsi="Segoe UI"/>
                <w:spacing w:val="-4"/>
                <w:sz w:val="20"/>
              </w:rPr>
              <w:t> </w:t>
            </w:r>
            <w:r>
              <w:rPr>
                <w:rFonts w:ascii="Segoe UI" w:hAnsi="Segoe UI"/>
                <w:sz w:val="20"/>
              </w:rPr>
              <w:t>to</w:t>
            </w:r>
            <w:r>
              <w:rPr>
                <w:rFonts w:ascii="Segoe UI" w:hAnsi="Segoe UI"/>
                <w:spacing w:val="-7"/>
                <w:sz w:val="20"/>
              </w:rPr>
              <w:t> </w:t>
            </w:r>
            <w:r>
              <w:rPr>
                <w:rFonts w:ascii="Segoe UI" w:hAnsi="Segoe UI"/>
                <w:sz w:val="20"/>
              </w:rPr>
              <w:t>receive,</w:t>
            </w:r>
            <w:r>
              <w:rPr>
                <w:rFonts w:ascii="Segoe UI" w:hAnsi="Segoe UI"/>
                <w:spacing w:val="-3"/>
                <w:sz w:val="20"/>
              </w:rPr>
              <w:t> </w:t>
            </w:r>
            <w:r>
              <w:rPr>
                <w:rFonts w:ascii="Segoe UI" w:hAnsi="Segoe UI"/>
                <w:sz w:val="20"/>
              </w:rPr>
              <w:t>understand</w:t>
            </w:r>
            <w:r>
              <w:rPr>
                <w:rFonts w:ascii="Segoe UI" w:hAnsi="Segoe UI"/>
                <w:spacing w:val="-2"/>
                <w:sz w:val="20"/>
              </w:rPr>
              <w:t> </w:t>
            </w:r>
            <w:r>
              <w:rPr>
                <w:rFonts w:ascii="Segoe UI" w:hAnsi="Segoe UI"/>
                <w:sz w:val="20"/>
              </w:rPr>
              <w:t>and</w:t>
            </w:r>
            <w:r>
              <w:rPr>
                <w:rFonts w:ascii="Segoe UI" w:hAnsi="Segoe UI"/>
                <w:spacing w:val="-2"/>
                <w:sz w:val="20"/>
              </w:rPr>
              <w:t> </w:t>
            </w:r>
            <w:r>
              <w:rPr>
                <w:rFonts w:ascii="Segoe UI" w:hAnsi="Segoe UI"/>
                <w:sz w:val="20"/>
              </w:rPr>
              <w:t>act</w:t>
            </w:r>
            <w:r>
              <w:rPr>
                <w:rFonts w:ascii="Segoe UI" w:hAnsi="Segoe UI"/>
                <w:spacing w:val="-2"/>
                <w:sz w:val="20"/>
              </w:rPr>
              <w:t> </w:t>
            </w:r>
            <w:r>
              <w:rPr>
                <w:rFonts w:ascii="Segoe UI" w:hAnsi="Segoe UI"/>
                <w:sz w:val="20"/>
              </w:rPr>
              <w:t>on</w:t>
            </w:r>
            <w:r>
              <w:rPr>
                <w:rFonts w:ascii="Segoe UI" w:hAnsi="Segoe UI"/>
                <w:spacing w:val="-8"/>
                <w:sz w:val="20"/>
              </w:rPr>
              <w:t> </w:t>
            </w:r>
            <w:r>
              <w:rPr>
                <w:rFonts w:ascii="Segoe UI" w:hAnsi="Segoe UI"/>
                <w:sz w:val="20"/>
              </w:rPr>
              <w:t>information</w:t>
            </w:r>
            <w:r>
              <w:rPr>
                <w:rFonts w:ascii="Segoe UI" w:hAnsi="Segoe UI"/>
                <w:spacing w:val="-3"/>
                <w:sz w:val="20"/>
              </w:rPr>
              <w:t> </w:t>
            </w:r>
            <w:r>
              <w:rPr>
                <w:rFonts w:ascii="Segoe UI" w:hAnsi="Segoe UI"/>
                <w:sz w:val="20"/>
              </w:rPr>
              <w:t>about appointments, treatment, waiting times, pathway transfers and service changes. This requires information in patients’</w:t>
            </w:r>
            <w:r>
              <w:rPr>
                <w:rFonts w:ascii="Segoe UI" w:hAnsi="Segoe UI"/>
                <w:spacing w:val="-4"/>
                <w:sz w:val="20"/>
              </w:rPr>
              <w:t> </w:t>
            </w:r>
            <w:r>
              <w:rPr>
                <w:rFonts w:ascii="Segoe UI" w:hAnsi="Segoe UI"/>
                <w:sz w:val="20"/>
              </w:rPr>
              <w:t>preferred accessible</w:t>
            </w:r>
            <w:r>
              <w:rPr>
                <w:rFonts w:ascii="Segoe UI" w:hAnsi="Segoe UI"/>
                <w:spacing w:val="-3"/>
                <w:sz w:val="20"/>
              </w:rPr>
              <w:t> </w:t>
            </w:r>
            <w:r>
              <w:rPr>
                <w:rFonts w:ascii="Segoe UI" w:hAnsi="Segoe UI"/>
                <w:sz w:val="20"/>
              </w:rPr>
              <w:t>format and language, with</w:t>
            </w:r>
            <w:r>
              <w:rPr>
                <w:rFonts w:ascii="Segoe UI" w:hAnsi="Segoe UI"/>
                <w:spacing w:val="-5"/>
                <w:sz w:val="20"/>
              </w:rPr>
              <w:t> </w:t>
            </w:r>
            <w:r>
              <w:rPr>
                <w:rFonts w:ascii="Segoe UI" w:hAnsi="Segoe UI"/>
                <w:sz w:val="20"/>
              </w:rPr>
              <w:t>interpretation,</w:t>
            </w:r>
            <w:r>
              <w:rPr>
                <w:rFonts w:ascii="Segoe UI" w:hAnsi="Segoe UI"/>
                <w:spacing w:val="-5"/>
                <w:sz w:val="20"/>
              </w:rPr>
              <w:t> </w:t>
            </w:r>
            <w:r>
              <w:rPr>
                <w:rFonts w:ascii="Segoe UI" w:hAnsi="Segoe UI"/>
                <w:sz w:val="20"/>
              </w:rPr>
              <w:t>translation and</w:t>
            </w:r>
            <w:r>
              <w:rPr>
                <w:rFonts w:ascii="Segoe UI" w:hAnsi="Segoe UI"/>
                <w:spacing w:val="-4"/>
                <w:sz w:val="20"/>
              </w:rPr>
              <w:t> </w:t>
            </w:r>
            <w:r>
              <w:rPr>
                <w:rFonts w:ascii="Segoe UI" w:hAnsi="Segoe UI"/>
                <w:sz w:val="20"/>
              </w:rPr>
              <w:t>communication support available where needed.</w:t>
            </w:r>
          </w:p>
        </w:tc>
        <w:tc>
          <w:tcPr>
            <w:tcW w:w="1877" w:type="dxa"/>
          </w:tcPr>
          <w:p>
            <w:pPr>
              <w:pStyle w:val="TableParagraph"/>
              <w:rPr>
                <w:rFonts w:ascii="Times New Roman"/>
                <w:sz w:val="20"/>
              </w:rPr>
            </w:pPr>
          </w:p>
        </w:tc>
      </w:tr>
      <w:tr>
        <w:trPr>
          <w:trHeight w:val="1445" w:hRule="atLeast"/>
        </w:trPr>
        <w:tc>
          <w:tcPr>
            <w:tcW w:w="2872" w:type="dxa"/>
          </w:tcPr>
          <w:p>
            <w:pPr>
              <w:pStyle w:val="TableParagraph"/>
              <w:spacing w:before="59"/>
              <w:ind w:left="55"/>
              <w:rPr>
                <w:rFonts w:ascii="Segoe UI"/>
                <w:sz w:val="20"/>
              </w:rPr>
            </w:pPr>
            <w:r>
              <w:rPr>
                <w:rFonts w:ascii="Segoe UI"/>
                <w:sz w:val="20"/>
              </w:rPr>
              <w:t>Availability of accessible and affordable transport, and coordination</w:t>
            </w:r>
            <w:r>
              <w:rPr>
                <w:rFonts w:ascii="Segoe UI"/>
                <w:spacing w:val="-14"/>
                <w:sz w:val="20"/>
              </w:rPr>
              <w:t> </w:t>
            </w:r>
            <w:r>
              <w:rPr>
                <w:rFonts w:ascii="Segoe UI"/>
                <w:sz w:val="20"/>
              </w:rPr>
              <w:t>between</w:t>
            </w:r>
            <w:r>
              <w:rPr>
                <w:rFonts w:ascii="Segoe UI"/>
                <w:spacing w:val="-14"/>
                <w:sz w:val="20"/>
              </w:rPr>
              <w:t> </w:t>
            </w:r>
            <w:r>
              <w:rPr>
                <w:rFonts w:ascii="Segoe UI"/>
                <w:sz w:val="20"/>
              </w:rPr>
              <w:t>regional service locations and patient transport arrangements.</w:t>
            </w:r>
          </w:p>
        </w:tc>
        <w:tc>
          <w:tcPr>
            <w:tcW w:w="6808" w:type="dxa"/>
          </w:tcPr>
          <w:p>
            <w:pPr>
              <w:pStyle w:val="TableParagraph"/>
              <w:spacing w:before="59"/>
              <w:ind w:left="59" w:right="143"/>
              <w:rPr>
                <w:rFonts w:ascii="Segoe UI"/>
                <w:sz w:val="20"/>
              </w:rPr>
            </w:pPr>
            <w:r>
              <w:rPr>
                <w:rFonts w:ascii="Segoe UI"/>
                <w:sz w:val="20"/>
              </w:rPr>
              <w:t>Greater</w:t>
            </w:r>
            <w:r>
              <w:rPr>
                <w:rFonts w:ascii="Segoe UI"/>
                <w:spacing w:val="-5"/>
                <w:sz w:val="20"/>
              </w:rPr>
              <w:t> </w:t>
            </w:r>
            <w:r>
              <w:rPr>
                <w:rFonts w:ascii="Segoe UI"/>
                <w:sz w:val="20"/>
              </w:rPr>
              <w:t>regional</w:t>
            </w:r>
            <w:r>
              <w:rPr>
                <w:rFonts w:ascii="Segoe UI"/>
                <w:spacing w:val="-4"/>
                <w:sz w:val="20"/>
              </w:rPr>
              <w:t> </w:t>
            </w:r>
            <w:r>
              <w:rPr>
                <w:rFonts w:ascii="Segoe UI"/>
                <w:sz w:val="20"/>
              </w:rPr>
              <w:t>working may</w:t>
            </w:r>
            <w:r>
              <w:rPr>
                <w:rFonts w:ascii="Segoe UI"/>
                <w:spacing w:val="-7"/>
                <w:sz w:val="20"/>
              </w:rPr>
              <w:t> </w:t>
            </w:r>
            <w:r>
              <w:rPr>
                <w:rFonts w:ascii="Segoe UI"/>
                <w:sz w:val="20"/>
              </w:rPr>
              <w:t>increase</w:t>
            </w:r>
            <w:r>
              <w:rPr>
                <w:rFonts w:ascii="Segoe UI"/>
                <w:spacing w:val="-5"/>
                <w:sz w:val="20"/>
              </w:rPr>
              <w:t> </w:t>
            </w:r>
            <w:r>
              <w:rPr>
                <w:rFonts w:ascii="Segoe UI"/>
                <w:sz w:val="20"/>
              </w:rPr>
              <w:t>the</w:t>
            </w:r>
            <w:r>
              <w:rPr>
                <w:rFonts w:ascii="Segoe UI"/>
                <w:spacing w:val="-5"/>
                <w:sz w:val="20"/>
              </w:rPr>
              <w:t> </w:t>
            </w:r>
            <w:r>
              <w:rPr>
                <w:rFonts w:ascii="Segoe UI"/>
                <w:sz w:val="20"/>
              </w:rPr>
              <w:t>distance</w:t>
            </w:r>
            <w:r>
              <w:rPr>
                <w:rFonts w:ascii="Segoe UI"/>
                <w:spacing w:val="-5"/>
                <w:sz w:val="20"/>
              </w:rPr>
              <w:t> </w:t>
            </w:r>
            <w:r>
              <w:rPr>
                <w:rFonts w:ascii="Segoe UI"/>
                <w:sz w:val="20"/>
              </w:rPr>
              <w:t>or</w:t>
            </w:r>
            <w:r>
              <w:rPr>
                <w:rFonts w:ascii="Segoe UI"/>
                <w:spacing w:val="-5"/>
                <w:sz w:val="20"/>
              </w:rPr>
              <w:t> </w:t>
            </w:r>
            <w:r>
              <w:rPr>
                <w:rFonts w:ascii="Segoe UI"/>
                <w:sz w:val="20"/>
              </w:rPr>
              <w:t>complexity</w:t>
            </w:r>
            <w:r>
              <w:rPr>
                <w:rFonts w:ascii="Segoe UI"/>
                <w:spacing w:val="-7"/>
                <w:sz w:val="20"/>
              </w:rPr>
              <w:t> </w:t>
            </w:r>
            <w:r>
              <w:rPr>
                <w:rFonts w:ascii="Segoe UI"/>
                <w:sz w:val="20"/>
              </w:rPr>
              <w:t>of</w:t>
            </w:r>
            <w:r>
              <w:rPr>
                <w:rFonts w:ascii="Segoe UI"/>
                <w:spacing w:val="-3"/>
                <w:sz w:val="20"/>
              </w:rPr>
              <w:t> </w:t>
            </w:r>
            <w:r>
              <w:rPr>
                <w:rFonts w:ascii="Segoe UI"/>
                <w:sz w:val="20"/>
              </w:rPr>
              <w:t>travel for some patients. Inadequate transport could contribute to missed or delayed appointments, reduce access to treatment and support, and disproportionately affect people who cannot drive, have limited mobility, live in rural communities or rely on family and carers.</w:t>
            </w:r>
          </w:p>
        </w:tc>
        <w:tc>
          <w:tcPr>
            <w:tcW w:w="1877" w:type="dxa"/>
          </w:tcPr>
          <w:p>
            <w:pPr>
              <w:pStyle w:val="TableParagraph"/>
              <w:rPr>
                <w:rFonts w:ascii="Times New Roman"/>
                <w:sz w:val="20"/>
              </w:rPr>
            </w:pPr>
          </w:p>
        </w:tc>
      </w:tr>
      <w:tr>
        <w:trPr>
          <w:trHeight w:val="380" w:hRule="atLeast"/>
        </w:trPr>
        <w:tc>
          <w:tcPr>
            <w:tcW w:w="2872" w:type="dxa"/>
          </w:tcPr>
          <w:p>
            <w:pPr>
              <w:pStyle w:val="TableParagraph"/>
              <w:rPr>
                <w:rFonts w:ascii="Times New Roman"/>
                <w:sz w:val="20"/>
              </w:rPr>
            </w:pPr>
          </w:p>
        </w:tc>
        <w:tc>
          <w:tcPr>
            <w:tcW w:w="6808" w:type="dxa"/>
          </w:tcPr>
          <w:p>
            <w:pPr>
              <w:pStyle w:val="TableParagraph"/>
              <w:rPr>
                <w:rFonts w:ascii="Times New Roman"/>
                <w:sz w:val="20"/>
              </w:rPr>
            </w:pPr>
          </w:p>
        </w:tc>
        <w:tc>
          <w:tcPr>
            <w:tcW w:w="1877" w:type="dxa"/>
          </w:tcPr>
          <w:p>
            <w:pPr>
              <w:pStyle w:val="TableParagraph"/>
              <w:rPr>
                <w:rFonts w:ascii="Times New Roman"/>
                <w:sz w:val="20"/>
              </w:rPr>
            </w:pPr>
          </w:p>
        </w:tc>
      </w:tr>
    </w:tbl>
    <w:p>
      <w:pPr>
        <w:pStyle w:val="BodyText"/>
        <w:rPr>
          <w:rFonts w:ascii="Calibri"/>
          <w:sz w:val="16"/>
        </w:rPr>
      </w:pPr>
    </w:p>
    <w:p>
      <w:pPr>
        <w:pStyle w:val="BodyText"/>
        <w:rPr>
          <w:rFonts w:ascii="Calibri"/>
          <w:sz w:val="16"/>
        </w:rPr>
      </w:pPr>
    </w:p>
    <w:p>
      <w:pPr>
        <w:pStyle w:val="BodyText"/>
        <w:spacing w:before="192"/>
        <w:rPr>
          <w:rFonts w:ascii="Calibri"/>
          <w:sz w:val="16"/>
        </w:rPr>
      </w:pPr>
    </w:p>
    <w:p>
      <w:pPr>
        <w:pStyle w:val="Heading3"/>
        <w:numPr>
          <w:ilvl w:val="0"/>
          <w:numId w:val="13"/>
        </w:numPr>
        <w:tabs>
          <w:tab w:pos="877" w:val="left" w:leader="none"/>
        </w:tabs>
        <w:spacing w:line="240" w:lineRule="auto" w:before="0" w:after="0"/>
        <w:ind w:left="877" w:right="0" w:hanging="563"/>
        <w:jc w:val="left"/>
        <w:rPr>
          <w:color w:val="1F4E79"/>
        </w:rPr>
      </w:pPr>
      <w:r>
        <w:rPr>
          <w:color w:val="1F4E79"/>
        </w:rPr>
        <w:t>Risks</w:t>
      </w:r>
      <w:r>
        <w:rPr>
          <w:color w:val="1F4E79"/>
          <w:spacing w:val="-4"/>
        </w:rPr>
        <w:t> </w:t>
      </w:r>
      <w:r>
        <w:rPr>
          <w:color w:val="1F4E79"/>
        </w:rPr>
        <w:t>and</w:t>
      </w:r>
      <w:r>
        <w:rPr>
          <w:color w:val="1F4E79"/>
          <w:spacing w:val="-2"/>
        </w:rPr>
        <w:t> Mitigations</w:t>
      </w:r>
    </w:p>
    <w:p>
      <w:pPr>
        <w:pStyle w:val="BodyText"/>
        <w:spacing w:before="221"/>
        <w:ind w:left="3" w:right="60"/>
        <w:jc w:val="center"/>
        <w:rPr>
          <w:rFonts w:ascii="Segoe UI"/>
        </w:rPr>
      </w:pPr>
      <w:r>
        <w:rPr>
          <w:rFonts w:ascii="Segoe UI"/>
        </w:rPr>
        <w:t>Whilst</w:t>
      </w:r>
      <w:r>
        <w:rPr>
          <w:rFonts w:ascii="Segoe UI"/>
          <w:spacing w:val="-8"/>
        </w:rPr>
        <w:t> </w:t>
      </w:r>
      <w:r>
        <w:rPr>
          <w:rFonts w:ascii="Segoe UI"/>
        </w:rPr>
        <w:t>considerable</w:t>
      </w:r>
      <w:r>
        <w:rPr>
          <w:rFonts w:ascii="Segoe UI"/>
          <w:spacing w:val="-4"/>
        </w:rPr>
        <w:t> </w:t>
      </w:r>
      <w:r>
        <w:rPr>
          <w:rFonts w:ascii="Segoe UI"/>
        </w:rPr>
        <w:t>progress</w:t>
      </w:r>
      <w:r>
        <w:rPr>
          <w:rFonts w:ascii="Segoe UI"/>
          <w:spacing w:val="-5"/>
        </w:rPr>
        <w:t> </w:t>
      </w:r>
      <w:r>
        <w:rPr>
          <w:rFonts w:ascii="Segoe UI"/>
        </w:rPr>
        <w:t>has</w:t>
      </w:r>
      <w:r>
        <w:rPr>
          <w:rFonts w:ascii="Segoe UI"/>
          <w:spacing w:val="-5"/>
        </w:rPr>
        <w:t> </w:t>
      </w:r>
      <w:r>
        <w:rPr>
          <w:rFonts w:ascii="Segoe UI"/>
        </w:rPr>
        <w:t>been</w:t>
      </w:r>
      <w:r>
        <w:rPr>
          <w:rFonts w:ascii="Segoe UI"/>
          <w:spacing w:val="-5"/>
        </w:rPr>
        <w:t> </w:t>
      </w:r>
      <w:r>
        <w:rPr>
          <w:rFonts w:ascii="Segoe UI"/>
        </w:rPr>
        <w:t>achieved,</w:t>
      </w:r>
      <w:r>
        <w:rPr>
          <w:rFonts w:ascii="Segoe UI"/>
          <w:spacing w:val="-5"/>
        </w:rPr>
        <w:t> </w:t>
      </w:r>
      <w:r>
        <w:rPr>
          <w:rFonts w:ascii="Segoe UI"/>
        </w:rPr>
        <w:t>barriers</w:t>
      </w:r>
      <w:r>
        <w:rPr>
          <w:rFonts w:ascii="Segoe UI"/>
          <w:spacing w:val="-6"/>
        </w:rPr>
        <w:t> </w:t>
      </w:r>
      <w:r>
        <w:rPr>
          <w:rFonts w:ascii="Segoe UI"/>
        </w:rPr>
        <w:t>to</w:t>
      </w:r>
      <w:r>
        <w:rPr>
          <w:rFonts w:ascii="Segoe UI"/>
          <w:spacing w:val="-4"/>
        </w:rPr>
        <w:t> </w:t>
      </w:r>
      <w:r>
        <w:rPr>
          <w:rFonts w:ascii="Segoe UI"/>
        </w:rPr>
        <w:t>wider</w:t>
      </w:r>
      <w:r>
        <w:rPr>
          <w:rFonts w:ascii="Segoe UI"/>
          <w:spacing w:val="-2"/>
        </w:rPr>
        <w:t> </w:t>
      </w:r>
      <w:r>
        <w:rPr>
          <w:rFonts w:ascii="Segoe UI"/>
        </w:rPr>
        <w:t>transformation have</w:t>
      </w:r>
      <w:r>
        <w:rPr>
          <w:rFonts w:ascii="Segoe UI"/>
          <w:spacing w:val="-4"/>
        </w:rPr>
        <w:t> </w:t>
      </w:r>
      <w:r>
        <w:rPr>
          <w:rFonts w:ascii="Segoe UI"/>
          <w:spacing w:val="-2"/>
        </w:rPr>
        <w:t>included:</w:t>
      </w:r>
    </w:p>
    <w:p>
      <w:pPr>
        <w:pStyle w:val="BodyText"/>
        <w:tabs>
          <w:tab w:pos="1599" w:val="left" w:leader="none"/>
        </w:tabs>
        <w:spacing w:line="322" w:lineRule="exact" w:before="276"/>
        <w:ind w:left="1239"/>
        <w:rPr>
          <w:rFonts w:ascii="Segoe UI" w:hAnsi="Segoe UI"/>
        </w:rPr>
      </w:pPr>
      <w:r>
        <w:rPr>
          <w:rFonts w:ascii="Calibri" w:hAnsi="Calibri"/>
          <w:spacing w:val="-10"/>
        </w:rPr>
        <w:t>−</w:t>
      </w:r>
      <w:r>
        <w:rPr>
          <w:rFonts w:ascii="Calibri" w:hAnsi="Calibri"/>
        </w:rPr>
        <w:tab/>
      </w:r>
      <w:r>
        <w:rPr>
          <w:rFonts w:ascii="Segoe UI" w:hAnsi="Segoe UI"/>
        </w:rPr>
        <w:t>A</w:t>
      </w:r>
      <w:r>
        <w:rPr>
          <w:rFonts w:ascii="Segoe UI" w:hAnsi="Segoe UI"/>
          <w:spacing w:val="-6"/>
        </w:rPr>
        <w:t> </w:t>
      </w:r>
      <w:r>
        <w:rPr>
          <w:rFonts w:ascii="Segoe UI" w:hAnsi="Segoe UI"/>
        </w:rPr>
        <w:t>focus</w:t>
      </w:r>
      <w:r>
        <w:rPr>
          <w:rFonts w:ascii="Segoe UI" w:hAnsi="Segoe UI"/>
          <w:spacing w:val="-7"/>
        </w:rPr>
        <w:t> </w:t>
      </w:r>
      <w:r>
        <w:rPr>
          <w:rFonts w:ascii="Segoe UI" w:hAnsi="Segoe UI"/>
        </w:rPr>
        <w:t>on</w:t>
      </w:r>
      <w:r>
        <w:rPr>
          <w:rFonts w:ascii="Segoe UI" w:hAnsi="Segoe UI"/>
          <w:spacing w:val="-1"/>
        </w:rPr>
        <w:t> </w:t>
      </w:r>
      <w:r>
        <w:rPr>
          <w:rFonts w:ascii="Segoe UI" w:hAnsi="Segoe UI"/>
        </w:rPr>
        <w:t>individual</w:t>
      </w:r>
      <w:r>
        <w:rPr>
          <w:rFonts w:ascii="Segoe UI" w:hAnsi="Segoe UI"/>
          <w:spacing w:val="-4"/>
        </w:rPr>
        <w:t> </w:t>
      </w:r>
      <w:r>
        <w:rPr>
          <w:rFonts w:ascii="Segoe UI" w:hAnsi="Segoe UI"/>
        </w:rPr>
        <w:t>Health</w:t>
      </w:r>
      <w:r>
        <w:rPr>
          <w:rFonts w:ascii="Segoe UI" w:hAnsi="Segoe UI"/>
          <w:spacing w:val="-5"/>
        </w:rPr>
        <w:t> </w:t>
      </w:r>
      <w:r>
        <w:rPr>
          <w:rFonts w:ascii="Segoe UI" w:hAnsi="Segoe UI"/>
        </w:rPr>
        <w:t>Board</w:t>
      </w:r>
      <w:r>
        <w:rPr>
          <w:rFonts w:ascii="Segoe UI" w:hAnsi="Segoe UI"/>
          <w:spacing w:val="-2"/>
        </w:rPr>
        <w:t> </w:t>
      </w:r>
      <w:r>
        <w:rPr>
          <w:rFonts w:ascii="Segoe UI" w:hAnsi="Segoe UI"/>
        </w:rPr>
        <w:t>performance</w:t>
      </w:r>
      <w:r>
        <w:rPr>
          <w:rFonts w:ascii="Segoe UI" w:hAnsi="Segoe UI"/>
          <w:spacing w:val="-1"/>
        </w:rPr>
        <w:t> </w:t>
      </w:r>
      <w:r>
        <w:rPr>
          <w:rFonts w:ascii="Segoe UI" w:hAnsi="Segoe UI"/>
        </w:rPr>
        <w:t>rather</w:t>
      </w:r>
      <w:r>
        <w:rPr>
          <w:rFonts w:ascii="Segoe UI" w:hAnsi="Segoe UI"/>
          <w:spacing w:val="-3"/>
        </w:rPr>
        <w:t> </w:t>
      </w:r>
      <w:r>
        <w:rPr>
          <w:rFonts w:ascii="Segoe UI" w:hAnsi="Segoe UI"/>
        </w:rPr>
        <w:t>than</w:t>
      </w:r>
      <w:r>
        <w:rPr>
          <w:rFonts w:ascii="Segoe UI" w:hAnsi="Segoe UI"/>
          <w:spacing w:val="-6"/>
        </w:rPr>
        <w:t> </w:t>
      </w:r>
      <w:r>
        <w:rPr>
          <w:rFonts w:ascii="Segoe UI" w:hAnsi="Segoe UI"/>
        </w:rPr>
        <w:t>regional</w:t>
      </w:r>
      <w:r>
        <w:rPr>
          <w:rFonts w:ascii="Segoe UI" w:hAnsi="Segoe UI"/>
          <w:spacing w:val="-3"/>
        </w:rPr>
        <w:t> </w:t>
      </w:r>
      <w:r>
        <w:rPr>
          <w:rFonts w:ascii="Segoe UI" w:hAnsi="Segoe UI"/>
          <w:spacing w:val="-2"/>
        </w:rPr>
        <w:t>performance.</w:t>
      </w:r>
    </w:p>
    <w:p>
      <w:pPr>
        <w:pStyle w:val="BodyText"/>
        <w:tabs>
          <w:tab w:pos="1599" w:val="left" w:leader="none"/>
        </w:tabs>
        <w:spacing w:line="320" w:lineRule="exact"/>
        <w:ind w:left="1239"/>
        <w:rPr>
          <w:rFonts w:ascii="Segoe UI" w:hAnsi="Segoe UI"/>
        </w:rPr>
      </w:pPr>
      <w:r>
        <w:rPr>
          <w:rFonts w:ascii="Calibri" w:hAnsi="Calibri"/>
          <w:spacing w:val="-10"/>
        </w:rPr>
        <w:t>−</w:t>
      </w:r>
      <w:r>
        <w:rPr>
          <w:rFonts w:ascii="Calibri" w:hAnsi="Calibri"/>
        </w:rPr>
        <w:tab/>
      </w:r>
      <w:r>
        <w:rPr>
          <w:rFonts w:ascii="Segoe UI" w:hAnsi="Segoe UI"/>
        </w:rPr>
        <w:t>Challenges</w:t>
      </w:r>
      <w:r>
        <w:rPr>
          <w:rFonts w:ascii="Segoe UI" w:hAnsi="Segoe UI"/>
          <w:spacing w:val="-8"/>
        </w:rPr>
        <w:t> </w:t>
      </w:r>
      <w:r>
        <w:rPr>
          <w:rFonts w:ascii="Segoe UI" w:hAnsi="Segoe UI"/>
        </w:rPr>
        <w:t>associated</w:t>
      </w:r>
      <w:r>
        <w:rPr>
          <w:rFonts w:ascii="Segoe UI" w:hAnsi="Segoe UI"/>
          <w:spacing w:val="-4"/>
        </w:rPr>
        <w:t> </w:t>
      </w:r>
      <w:r>
        <w:rPr>
          <w:rFonts w:ascii="Segoe UI" w:hAnsi="Segoe UI"/>
        </w:rPr>
        <w:t>with</w:t>
      </w:r>
      <w:r>
        <w:rPr>
          <w:rFonts w:ascii="Segoe UI" w:hAnsi="Segoe UI"/>
          <w:spacing w:val="-3"/>
        </w:rPr>
        <w:t> </w:t>
      </w:r>
      <w:r>
        <w:rPr>
          <w:rFonts w:ascii="Segoe UI" w:hAnsi="Segoe UI"/>
        </w:rPr>
        <w:t>funding</w:t>
      </w:r>
      <w:r>
        <w:rPr>
          <w:rFonts w:ascii="Segoe UI" w:hAnsi="Segoe UI"/>
          <w:spacing w:val="-4"/>
        </w:rPr>
        <w:t> </w:t>
      </w:r>
      <w:r>
        <w:rPr>
          <w:rFonts w:ascii="Segoe UI" w:hAnsi="Segoe UI"/>
        </w:rPr>
        <w:t>flows</w:t>
      </w:r>
      <w:r>
        <w:rPr>
          <w:rFonts w:ascii="Segoe UI" w:hAnsi="Segoe UI"/>
          <w:spacing w:val="-5"/>
        </w:rPr>
        <w:t> </w:t>
      </w:r>
      <w:r>
        <w:rPr>
          <w:rFonts w:ascii="Segoe UI" w:hAnsi="Segoe UI"/>
        </w:rPr>
        <w:t>and</w:t>
      </w:r>
      <w:r>
        <w:rPr>
          <w:rFonts w:ascii="Segoe UI" w:hAnsi="Segoe UI"/>
          <w:spacing w:val="-4"/>
        </w:rPr>
        <w:t> </w:t>
      </w:r>
      <w:r>
        <w:rPr>
          <w:rFonts w:ascii="Segoe UI" w:hAnsi="Segoe UI"/>
        </w:rPr>
        <w:t>planned</w:t>
      </w:r>
      <w:r>
        <w:rPr>
          <w:rFonts w:ascii="Segoe UI" w:hAnsi="Segoe UI"/>
          <w:spacing w:val="-4"/>
        </w:rPr>
        <w:t> </w:t>
      </w:r>
      <w:r>
        <w:rPr>
          <w:rFonts w:ascii="Segoe UI" w:hAnsi="Segoe UI"/>
        </w:rPr>
        <w:t>care</w:t>
      </w:r>
      <w:r>
        <w:rPr>
          <w:rFonts w:ascii="Segoe UI" w:hAnsi="Segoe UI"/>
          <w:spacing w:val="-3"/>
        </w:rPr>
        <w:t> </w:t>
      </w:r>
      <w:r>
        <w:rPr>
          <w:rFonts w:ascii="Segoe UI" w:hAnsi="Segoe UI"/>
        </w:rPr>
        <w:t>recovery</w:t>
      </w:r>
      <w:r>
        <w:rPr>
          <w:rFonts w:ascii="Segoe UI" w:hAnsi="Segoe UI"/>
          <w:spacing w:val="-3"/>
        </w:rPr>
        <w:t> </w:t>
      </w:r>
      <w:r>
        <w:rPr>
          <w:rFonts w:ascii="Segoe UI" w:hAnsi="Segoe UI"/>
          <w:spacing w:val="-2"/>
        </w:rPr>
        <w:t>funding.</w:t>
      </w:r>
    </w:p>
    <w:p>
      <w:pPr>
        <w:pStyle w:val="BodyText"/>
        <w:tabs>
          <w:tab w:pos="1599" w:val="left" w:leader="none"/>
        </w:tabs>
        <w:spacing w:line="320" w:lineRule="exact"/>
        <w:ind w:left="1239"/>
        <w:rPr>
          <w:rFonts w:ascii="Segoe UI" w:hAnsi="Segoe UI"/>
        </w:rPr>
      </w:pPr>
      <w:r>
        <w:rPr>
          <w:rFonts w:ascii="Calibri" w:hAnsi="Calibri"/>
          <w:spacing w:val="-10"/>
        </w:rPr>
        <w:t>−</w:t>
      </w:r>
      <w:r>
        <w:rPr>
          <w:rFonts w:ascii="Calibri" w:hAnsi="Calibri"/>
        </w:rPr>
        <w:tab/>
      </w:r>
      <w:r>
        <w:rPr>
          <w:rFonts w:ascii="Segoe UI" w:hAnsi="Segoe UI"/>
        </w:rPr>
        <w:t>Variable</w:t>
      </w:r>
      <w:r>
        <w:rPr>
          <w:rFonts w:ascii="Segoe UI" w:hAnsi="Segoe UI"/>
          <w:spacing w:val="-6"/>
        </w:rPr>
        <w:t> </w:t>
      </w:r>
      <w:r>
        <w:rPr>
          <w:rFonts w:ascii="Segoe UI" w:hAnsi="Segoe UI"/>
        </w:rPr>
        <w:t>clinical</w:t>
      </w:r>
      <w:r>
        <w:rPr>
          <w:rFonts w:ascii="Segoe UI" w:hAnsi="Segoe UI"/>
          <w:spacing w:val="-4"/>
        </w:rPr>
        <w:t> </w:t>
      </w:r>
      <w:r>
        <w:rPr>
          <w:rFonts w:ascii="Segoe UI" w:hAnsi="Segoe UI"/>
          <w:spacing w:val="-2"/>
        </w:rPr>
        <w:t>engagement.</w:t>
      </w:r>
    </w:p>
    <w:p>
      <w:pPr>
        <w:pStyle w:val="BodyText"/>
        <w:tabs>
          <w:tab w:pos="1599" w:val="left" w:leader="none"/>
        </w:tabs>
        <w:spacing w:line="322" w:lineRule="exact"/>
        <w:ind w:left="1239"/>
        <w:rPr>
          <w:rFonts w:ascii="Segoe UI" w:hAnsi="Segoe UI"/>
        </w:rPr>
      </w:pPr>
      <w:r>
        <w:rPr>
          <w:rFonts w:ascii="Calibri" w:hAnsi="Calibri"/>
          <w:spacing w:val="-10"/>
        </w:rPr>
        <w:t>−</w:t>
      </w:r>
      <w:r>
        <w:rPr>
          <w:rFonts w:ascii="Calibri" w:hAnsi="Calibri"/>
        </w:rPr>
        <w:tab/>
      </w:r>
      <w:r>
        <w:rPr>
          <w:rFonts w:ascii="Segoe UI" w:hAnsi="Segoe UI"/>
        </w:rPr>
        <w:t>Lack</w:t>
      </w:r>
      <w:r>
        <w:rPr>
          <w:rFonts w:ascii="Segoe UI" w:hAnsi="Segoe UI"/>
          <w:spacing w:val="-4"/>
        </w:rPr>
        <w:t> </w:t>
      </w:r>
      <w:r>
        <w:rPr>
          <w:rFonts w:ascii="Segoe UI" w:hAnsi="Segoe UI"/>
        </w:rPr>
        <w:t>of</w:t>
      </w:r>
      <w:r>
        <w:rPr>
          <w:rFonts w:ascii="Segoe UI" w:hAnsi="Segoe UI"/>
          <w:spacing w:val="-4"/>
        </w:rPr>
        <w:t> </w:t>
      </w:r>
      <w:r>
        <w:rPr>
          <w:rFonts w:ascii="Segoe UI" w:hAnsi="Segoe UI"/>
        </w:rPr>
        <w:t>an</w:t>
      </w:r>
      <w:r>
        <w:rPr>
          <w:rFonts w:ascii="Segoe UI" w:hAnsi="Segoe UI"/>
          <w:spacing w:val="1"/>
        </w:rPr>
        <w:t> </w:t>
      </w:r>
      <w:r>
        <w:rPr>
          <w:rFonts w:ascii="Segoe UI" w:hAnsi="Segoe UI"/>
        </w:rPr>
        <w:t>agreed</w:t>
      </w:r>
      <w:r>
        <w:rPr>
          <w:rFonts w:ascii="Segoe UI" w:hAnsi="Segoe UI"/>
          <w:spacing w:val="-5"/>
        </w:rPr>
        <w:t> </w:t>
      </w:r>
      <w:r>
        <w:rPr>
          <w:rFonts w:ascii="Segoe UI" w:hAnsi="Segoe UI"/>
        </w:rPr>
        <w:t>long-term</w:t>
      </w:r>
      <w:r>
        <w:rPr>
          <w:rFonts w:ascii="Segoe UI" w:hAnsi="Segoe UI"/>
          <w:spacing w:val="-5"/>
        </w:rPr>
        <w:t> </w:t>
      </w:r>
      <w:r>
        <w:rPr>
          <w:rFonts w:ascii="Segoe UI" w:hAnsi="Segoe UI"/>
        </w:rPr>
        <w:t>regional</w:t>
      </w:r>
      <w:r>
        <w:rPr>
          <w:rFonts w:ascii="Segoe UI" w:hAnsi="Segoe UI"/>
          <w:spacing w:val="-2"/>
        </w:rPr>
        <w:t> </w:t>
      </w:r>
      <w:r>
        <w:rPr>
          <w:rFonts w:ascii="Segoe UI" w:hAnsi="Segoe UI"/>
        </w:rPr>
        <w:t>service</w:t>
      </w:r>
      <w:r>
        <w:rPr>
          <w:rFonts w:ascii="Segoe UI" w:hAnsi="Segoe UI"/>
          <w:spacing w:val="-3"/>
        </w:rPr>
        <w:t> </w:t>
      </w:r>
      <w:r>
        <w:rPr>
          <w:rFonts w:ascii="Segoe UI" w:hAnsi="Segoe UI"/>
          <w:spacing w:val="-2"/>
        </w:rPr>
        <w:t>model.</w:t>
      </w:r>
    </w:p>
    <w:p>
      <w:pPr>
        <w:pStyle w:val="BodyText"/>
        <w:spacing w:before="10"/>
        <w:rPr>
          <w:rFonts w:ascii="Segoe UI"/>
          <w:sz w:val="20"/>
        </w:rPr>
      </w:pPr>
    </w:p>
    <w:tbl>
      <w:tblPr>
        <w:tblW w:w="0" w:type="auto"/>
        <w:jc w:val="left"/>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07"/>
        <w:gridCol w:w="1041"/>
        <w:gridCol w:w="4347"/>
        <w:gridCol w:w="1722"/>
      </w:tblGrid>
      <w:tr>
        <w:trPr>
          <w:trHeight w:val="494" w:hRule="atLeast"/>
        </w:trPr>
        <w:tc>
          <w:tcPr>
            <w:tcW w:w="4507" w:type="dxa"/>
            <w:shd w:val="clear" w:color="auto" w:fill="D9E1F3"/>
          </w:tcPr>
          <w:p>
            <w:pPr>
              <w:pStyle w:val="TableParagraph"/>
              <w:spacing w:before="101"/>
              <w:ind w:left="120"/>
              <w:rPr>
                <w:rFonts w:ascii="Calibri"/>
                <w:b/>
                <w:sz w:val="24"/>
              </w:rPr>
            </w:pPr>
            <w:r>
              <w:rPr>
                <w:rFonts w:ascii="Calibri"/>
                <w:b/>
                <w:color w:val="1F4E79"/>
                <w:spacing w:val="-4"/>
                <w:sz w:val="24"/>
              </w:rPr>
              <w:t>Risk</w:t>
            </w:r>
          </w:p>
        </w:tc>
        <w:tc>
          <w:tcPr>
            <w:tcW w:w="1041" w:type="dxa"/>
            <w:shd w:val="clear" w:color="auto" w:fill="D9E1F3"/>
          </w:tcPr>
          <w:p>
            <w:pPr>
              <w:pStyle w:val="TableParagraph"/>
              <w:spacing w:before="101"/>
              <w:ind w:left="120"/>
              <w:rPr>
                <w:rFonts w:ascii="Calibri"/>
                <w:b/>
                <w:sz w:val="24"/>
              </w:rPr>
            </w:pPr>
            <w:r>
              <w:rPr>
                <w:rFonts w:ascii="Calibri"/>
                <w:b/>
                <w:color w:val="1F4E79"/>
                <w:spacing w:val="-2"/>
                <w:sz w:val="24"/>
              </w:rPr>
              <w:t>Score</w:t>
            </w:r>
          </w:p>
        </w:tc>
        <w:tc>
          <w:tcPr>
            <w:tcW w:w="4347" w:type="dxa"/>
            <w:shd w:val="clear" w:color="auto" w:fill="D9E1F3"/>
          </w:tcPr>
          <w:p>
            <w:pPr>
              <w:pStyle w:val="TableParagraph"/>
              <w:spacing w:before="101"/>
              <w:ind w:left="119"/>
              <w:rPr>
                <w:rFonts w:ascii="Calibri"/>
                <w:b/>
                <w:sz w:val="24"/>
              </w:rPr>
            </w:pPr>
            <w:r>
              <w:rPr>
                <w:rFonts w:ascii="Calibri"/>
                <w:b/>
                <w:color w:val="1F4E79"/>
                <w:sz w:val="24"/>
              </w:rPr>
              <w:t>Mitigation</w:t>
            </w:r>
            <w:r>
              <w:rPr>
                <w:rFonts w:ascii="Calibri"/>
                <w:b/>
                <w:color w:val="1F4E79"/>
                <w:spacing w:val="-5"/>
                <w:sz w:val="24"/>
              </w:rPr>
              <w:t> </w:t>
            </w:r>
            <w:r>
              <w:rPr>
                <w:rFonts w:ascii="Calibri"/>
                <w:b/>
                <w:color w:val="1F4E79"/>
                <w:sz w:val="24"/>
              </w:rPr>
              <w:t>/</w:t>
            </w:r>
            <w:r>
              <w:rPr>
                <w:rFonts w:ascii="Calibri"/>
                <w:b/>
                <w:color w:val="1F4E79"/>
                <w:spacing w:val="1"/>
                <w:sz w:val="24"/>
              </w:rPr>
              <w:t> </w:t>
            </w:r>
            <w:r>
              <w:rPr>
                <w:rFonts w:ascii="Calibri"/>
                <w:b/>
                <w:color w:val="1F4E79"/>
                <w:spacing w:val="-2"/>
                <w:sz w:val="24"/>
              </w:rPr>
              <w:t>response</w:t>
            </w:r>
          </w:p>
        </w:tc>
        <w:tc>
          <w:tcPr>
            <w:tcW w:w="1722" w:type="dxa"/>
            <w:shd w:val="clear" w:color="auto" w:fill="D9E1F3"/>
          </w:tcPr>
          <w:p>
            <w:pPr>
              <w:pStyle w:val="TableParagraph"/>
              <w:spacing w:before="101"/>
              <w:ind w:left="119"/>
              <w:rPr>
                <w:rFonts w:ascii="Calibri"/>
                <w:b/>
                <w:sz w:val="24"/>
              </w:rPr>
            </w:pPr>
            <w:r>
              <w:rPr>
                <w:rFonts w:ascii="Calibri"/>
                <w:b/>
                <w:color w:val="1F4E79"/>
                <w:spacing w:val="-2"/>
                <w:sz w:val="24"/>
              </w:rPr>
              <w:t>Owner</w:t>
            </w:r>
          </w:p>
        </w:tc>
      </w:tr>
      <w:tr>
        <w:trPr>
          <w:trHeight w:val="910" w:hRule="atLeast"/>
        </w:trPr>
        <w:tc>
          <w:tcPr>
            <w:tcW w:w="4507" w:type="dxa"/>
          </w:tcPr>
          <w:p>
            <w:pPr>
              <w:pStyle w:val="TableParagraph"/>
              <w:spacing w:before="54"/>
              <w:ind w:left="55" w:right="105"/>
              <w:rPr>
                <w:rFonts w:ascii="Segoe UI"/>
                <w:sz w:val="20"/>
              </w:rPr>
            </w:pPr>
            <w:r>
              <w:rPr>
                <w:rFonts w:ascii="Segoe UI"/>
                <w:sz w:val="20"/>
              </w:rPr>
              <w:t>Ongoing</w:t>
            </w:r>
            <w:r>
              <w:rPr>
                <w:rFonts w:ascii="Segoe UI"/>
                <w:spacing w:val="-13"/>
                <w:sz w:val="20"/>
              </w:rPr>
              <w:t> </w:t>
            </w:r>
            <w:r>
              <w:rPr>
                <w:rFonts w:ascii="Segoe UI"/>
                <w:sz w:val="20"/>
              </w:rPr>
              <w:t>financial</w:t>
            </w:r>
            <w:r>
              <w:rPr>
                <w:rFonts w:ascii="Segoe UI"/>
                <w:spacing w:val="-10"/>
                <w:sz w:val="20"/>
              </w:rPr>
              <w:t> </w:t>
            </w:r>
            <w:r>
              <w:rPr>
                <w:rFonts w:ascii="Segoe UI"/>
                <w:sz w:val="20"/>
              </w:rPr>
              <w:t>and</w:t>
            </w:r>
            <w:r>
              <w:rPr>
                <w:rFonts w:ascii="Segoe UI"/>
                <w:spacing w:val="-9"/>
                <w:sz w:val="20"/>
              </w:rPr>
              <w:t> </w:t>
            </w:r>
            <w:r>
              <w:rPr>
                <w:rFonts w:ascii="Segoe UI"/>
                <w:sz w:val="20"/>
              </w:rPr>
              <w:t>contracting</w:t>
            </w:r>
            <w:r>
              <w:rPr>
                <w:rFonts w:ascii="Segoe UI"/>
                <w:spacing w:val="-9"/>
                <w:sz w:val="20"/>
              </w:rPr>
              <w:t> </w:t>
            </w:r>
            <w:r>
              <w:rPr>
                <w:rFonts w:ascii="Segoe UI"/>
                <w:sz w:val="20"/>
              </w:rPr>
              <w:t>challenges linked to the additional funding credited to health boards in 2023 remains unresolved</w:t>
            </w:r>
          </w:p>
        </w:tc>
        <w:tc>
          <w:tcPr>
            <w:tcW w:w="1041" w:type="dxa"/>
          </w:tcPr>
          <w:p>
            <w:pPr>
              <w:pStyle w:val="TableParagraph"/>
              <w:spacing w:before="54"/>
              <w:ind w:left="60"/>
              <w:rPr>
                <w:rFonts w:ascii="Segoe UI"/>
                <w:sz w:val="20"/>
              </w:rPr>
            </w:pPr>
            <w:r>
              <w:rPr>
                <w:rFonts w:ascii="Segoe UI"/>
                <w:spacing w:val="-4"/>
                <w:sz w:val="20"/>
              </w:rPr>
              <w:t>High</w:t>
            </w:r>
          </w:p>
        </w:tc>
        <w:tc>
          <w:tcPr>
            <w:tcW w:w="4347" w:type="dxa"/>
          </w:tcPr>
          <w:p>
            <w:pPr>
              <w:pStyle w:val="TableParagraph"/>
              <w:spacing w:before="54"/>
              <w:ind w:left="59"/>
              <w:rPr>
                <w:rFonts w:ascii="Segoe UI"/>
                <w:sz w:val="20"/>
              </w:rPr>
            </w:pPr>
            <w:r>
              <w:rPr>
                <w:rFonts w:ascii="Segoe UI"/>
                <w:sz w:val="20"/>
              </w:rPr>
              <w:t>Prioritised</w:t>
            </w:r>
            <w:r>
              <w:rPr>
                <w:rFonts w:ascii="Segoe UI"/>
                <w:spacing w:val="-13"/>
                <w:sz w:val="20"/>
              </w:rPr>
              <w:t> </w:t>
            </w:r>
            <w:r>
              <w:rPr>
                <w:rFonts w:ascii="Segoe UI"/>
                <w:sz w:val="20"/>
              </w:rPr>
              <w:t>Finance</w:t>
            </w:r>
            <w:r>
              <w:rPr>
                <w:rFonts w:ascii="Segoe UI"/>
                <w:spacing w:val="-11"/>
                <w:sz w:val="20"/>
              </w:rPr>
              <w:t> </w:t>
            </w:r>
            <w:r>
              <w:rPr>
                <w:rFonts w:ascii="Segoe UI"/>
                <w:sz w:val="20"/>
              </w:rPr>
              <w:t>and</w:t>
            </w:r>
            <w:r>
              <w:rPr>
                <w:rFonts w:ascii="Segoe UI"/>
                <w:spacing w:val="-9"/>
                <w:sz w:val="20"/>
              </w:rPr>
              <w:t> </w:t>
            </w:r>
            <w:r>
              <w:rPr>
                <w:rFonts w:ascii="Segoe UI"/>
                <w:sz w:val="20"/>
              </w:rPr>
              <w:t>Contracting</w:t>
            </w:r>
            <w:r>
              <w:rPr>
                <w:rFonts w:ascii="Segoe UI"/>
                <w:spacing w:val="-9"/>
                <w:sz w:val="20"/>
              </w:rPr>
              <w:t> </w:t>
            </w:r>
            <w:r>
              <w:rPr>
                <w:rFonts w:ascii="Segoe UI"/>
                <w:sz w:val="20"/>
              </w:rPr>
              <w:t>Subgroup </w:t>
            </w:r>
            <w:r>
              <w:rPr>
                <w:rFonts w:ascii="Segoe UI"/>
                <w:spacing w:val="-2"/>
                <w:sz w:val="20"/>
              </w:rPr>
              <w:t>workplan</w:t>
            </w:r>
          </w:p>
        </w:tc>
        <w:tc>
          <w:tcPr>
            <w:tcW w:w="1722" w:type="dxa"/>
          </w:tcPr>
          <w:p>
            <w:pPr>
              <w:pStyle w:val="TableParagraph"/>
              <w:spacing w:before="54"/>
              <w:ind w:left="58" w:right="151"/>
              <w:rPr>
                <w:rFonts w:ascii="Segoe UI"/>
                <w:sz w:val="20"/>
              </w:rPr>
            </w:pPr>
            <w:r>
              <w:rPr>
                <w:rFonts w:ascii="Segoe UI"/>
                <w:sz w:val="20"/>
              </w:rPr>
              <w:t>Regional</w:t>
            </w:r>
            <w:r>
              <w:rPr>
                <w:rFonts w:ascii="Segoe UI"/>
                <w:spacing w:val="-14"/>
                <w:sz w:val="20"/>
              </w:rPr>
              <w:t> </w:t>
            </w:r>
            <w:r>
              <w:rPr>
                <w:rFonts w:ascii="Segoe UI"/>
                <w:sz w:val="20"/>
              </w:rPr>
              <w:t>Finance and Contracting </w:t>
            </w:r>
            <w:r>
              <w:rPr>
                <w:rFonts w:ascii="Segoe UI"/>
                <w:spacing w:val="-2"/>
                <w:sz w:val="20"/>
              </w:rPr>
              <w:t>Subgroup</w:t>
            </w:r>
          </w:p>
        </w:tc>
      </w:tr>
      <w:tr>
        <w:trPr>
          <w:trHeight w:val="910" w:hRule="atLeast"/>
        </w:trPr>
        <w:tc>
          <w:tcPr>
            <w:tcW w:w="4507" w:type="dxa"/>
          </w:tcPr>
          <w:p>
            <w:pPr>
              <w:pStyle w:val="TableParagraph"/>
              <w:spacing w:line="242" w:lineRule="auto" w:before="54"/>
              <w:ind w:left="55"/>
              <w:rPr>
                <w:rFonts w:ascii="Segoe UI" w:hAnsi="Segoe UI"/>
                <w:sz w:val="20"/>
              </w:rPr>
            </w:pPr>
            <w:r>
              <w:rPr>
                <w:rFonts w:ascii="Segoe UI" w:hAnsi="Segoe UI"/>
                <w:sz w:val="20"/>
              </w:rPr>
              <w:t>Digital Constraints – Eye Care activity is not currently</w:t>
            </w:r>
            <w:r>
              <w:rPr>
                <w:rFonts w:ascii="Segoe UI" w:hAnsi="Segoe UI"/>
                <w:spacing w:val="-8"/>
                <w:sz w:val="20"/>
              </w:rPr>
              <w:t> </w:t>
            </w:r>
            <w:r>
              <w:rPr>
                <w:rFonts w:ascii="Segoe UI" w:hAnsi="Segoe UI"/>
                <w:sz w:val="20"/>
              </w:rPr>
              <w:t>in</w:t>
            </w:r>
            <w:r>
              <w:rPr>
                <w:rFonts w:ascii="Segoe UI" w:hAnsi="Segoe UI"/>
                <w:spacing w:val="-5"/>
                <w:sz w:val="20"/>
              </w:rPr>
              <w:t> </w:t>
            </w:r>
            <w:r>
              <w:rPr>
                <w:rFonts w:ascii="Segoe UI" w:hAnsi="Segoe UI"/>
                <w:sz w:val="20"/>
              </w:rPr>
              <w:t>the</w:t>
            </w:r>
            <w:r>
              <w:rPr>
                <w:rFonts w:ascii="Segoe UI" w:hAnsi="Segoe UI"/>
                <w:spacing w:val="-6"/>
                <w:sz w:val="20"/>
              </w:rPr>
              <w:t> </w:t>
            </w:r>
            <w:r>
              <w:rPr>
                <w:rFonts w:ascii="Segoe UI" w:hAnsi="Segoe UI"/>
                <w:sz w:val="20"/>
              </w:rPr>
              <w:t>Data</w:t>
            </w:r>
            <w:r>
              <w:rPr>
                <w:rFonts w:ascii="Segoe UI" w:hAnsi="Segoe UI"/>
                <w:spacing w:val="-8"/>
                <w:sz w:val="20"/>
              </w:rPr>
              <w:t> </w:t>
            </w:r>
            <w:r>
              <w:rPr>
                <w:rFonts w:ascii="Segoe UI" w:hAnsi="Segoe UI"/>
                <w:sz w:val="20"/>
              </w:rPr>
              <w:t>and</w:t>
            </w:r>
            <w:r>
              <w:rPr>
                <w:rFonts w:ascii="Segoe UI" w:hAnsi="Segoe UI"/>
                <w:spacing w:val="-4"/>
                <w:sz w:val="20"/>
              </w:rPr>
              <w:t> </w:t>
            </w:r>
            <w:r>
              <w:rPr>
                <w:rFonts w:ascii="Segoe UI" w:hAnsi="Segoe UI"/>
                <w:sz w:val="20"/>
              </w:rPr>
              <w:t>Digital</w:t>
            </w:r>
            <w:r>
              <w:rPr>
                <w:rFonts w:ascii="Segoe UI" w:hAnsi="Segoe UI"/>
                <w:spacing w:val="-5"/>
                <w:sz w:val="20"/>
              </w:rPr>
              <w:t> </w:t>
            </w:r>
            <w:r>
              <w:rPr>
                <w:rFonts w:ascii="Segoe UI" w:hAnsi="Segoe UI"/>
                <w:sz w:val="20"/>
              </w:rPr>
              <w:t>Teams’</w:t>
            </w:r>
            <w:r>
              <w:rPr>
                <w:rFonts w:ascii="Segoe UI" w:hAnsi="Segoe UI"/>
                <w:spacing w:val="-7"/>
                <w:sz w:val="20"/>
              </w:rPr>
              <w:t> </w:t>
            </w:r>
            <w:r>
              <w:rPr>
                <w:rFonts w:ascii="Segoe UI" w:hAnsi="Segoe UI"/>
                <w:sz w:val="20"/>
              </w:rPr>
              <w:t>work programmes for 2026/27.</w:t>
            </w:r>
          </w:p>
        </w:tc>
        <w:tc>
          <w:tcPr>
            <w:tcW w:w="1041" w:type="dxa"/>
          </w:tcPr>
          <w:p>
            <w:pPr>
              <w:pStyle w:val="TableParagraph"/>
              <w:spacing w:before="54"/>
              <w:ind w:left="60"/>
              <w:rPr>
                <w:rFonts w:ascii="Segoe UI"/>
                <w:sz w:val="20"/>
              </w:rPr>
            </w:pPr>
            <w:r>
              <w:rPr>
                <w:rFonts w:ascii="Segoe UI"/>
                <w:spacing w:val="-5"/>
                <w:sz w:val="20"/>
              </w:rPr>
              <w:t>Med</w:t>
            </w:r>
          </w:p>
        </w:tc>
        <w:tc>
          <w:tcPr>
            <w:tcW w:w="4347" w:type="dxa"/>
          </w:tcPr>
          <w:p>
            <w:pPr>
              <w:pStyle w:val="TableParagraph"/>
              <w:spacing w:line="242" w:lineRule="auto" w:before="54"/>
              <w:ind w:left="59" w:right="26"/>
              <w:rPr>
                <w:rFonts w:ascii="Segoe UI"/>
                <w:sz w:val="20"/>
              </w:rPr>
            </w:pPr>
            <w:r>
              <w:rPr>
                <w:rFonts w:ascii="Segoe UI"/>
                <w:sz w:val="20"/>
              </w:rPr>
              <w:t>Build</w:t>
            </w:r>
            <w:r>
              <w:rPr>
                <w:rFonts w:ascii="Segoe UI"/>
                <w:spacing w:val="-4"/>
                <w:sz w:val="20"/>
              </w:rPr>
              <w:t> </w:t>
            </w:r>
            <w:r>
              <w:rPr>
                <w:rFonts w:ascii="Segoe UI"/>
                <w:sz w:val="20"/>
              </w:rPr>
              <w:t>digital</w:t>
            </w:r>
            <w:r>
              <w:rPr>
                <w:rFonts w:ascii="Segoe UI"/>
                <w:spacing w:val="-5"/>
                <w:sz w:val="20"/>
              </w:rPr>
              <w:t> </w:t>
            </w:r>
            <w:r>
              <w:rPr>
                <w:rFonts w:ascii="Segoe UI"/>
                <w:sz w:val="20"/>
              </w:rPr>
              <w:t>developments</w:t>
            </w:r>
            <w:r>
              <w:rPr>
                <w:rFonts w:ascii="Segoe UI"/>
                <w:spacing w:val="-7"/>
                <w:sz w:val="20"/>
              </w:rPr>
              <w:t> </w:t>
            </w:r>
            <w:r>
              <w:rPr>
                <w:rFonts w:ascii="Segoe UI"/>
                <w:sz w:val="20"/>
              </w:rPr>
              <w:t>in</w:t>
            </w:r>
            <w:r>
              <w:rPr>
                <w:rFonts w:ascii="Segoe UI"/>
                <w:spacing w:val="-5"/>
                <w:sz w:val="20"/>
              </w:rPr>
              <w:t> </w:t>
            </w:r>
            <w:r>
              <w:rPr>
                <w:rFonts w:ascii="Segoe UI"/>
                <w:sz w:val="20"/>
              </w:rPr>
              <w:t>to</w:t>
            </w:r>
            <w:r>
              <w:rPr>
                <w:rFonts w:ascii="Segoe UI"/>
                <w:spacing w:val="-9"/>
                <w:sz w:val="20"/>
              </w:rPr>
              <w:t> </w:t>
            </w:r>
            <w:r>
              <w:rPr>
                <w:rFonts w:ascii="Segoe UI"/>
                <w:sz w:val="20"/>
              </w:rPr>
              <w:t>plans</w:t>
            </w:r>
            <w:r>
              <w:rPr>
                <w:rFonts w:ascii="Segoe UI"/>
                <w:spacing w:val="-11"/>
                <w:sz w:val="20"/>
              </w:rPr>
              <w:t> </w:t>
            </w:r>
            <w:r>
              <w:rPr>
                <w:rFonts w:ascii="Segoe UI"/>
                <w:sz w:val="20"/>
              </w:rPr>
              <w:t>for </w:t>
            </w:r>
            <w:r>
              <w:rPr>
                <w:rFonts w:ascii="Segoe UI"/>
                <w:spacing w:val="-2"/>
                <w:sz w:val="20"/>
              </w:rPr>
              <w:t>2026/27.</w:t>
            </w:r>
          </w:p>
        </w:tc>
        <w:tc>
          <w:tcPr>
            <w:tcW w:w="1722" w:type="dxa"/>
          </w:tcPr>
          <w:p>
            <w:pPr>
              <w:pStyle w:val="TableParagraph"/>
              <w:spacing w:line="242" w:lineRule="auto" w:before="54"/>
              <w:ind w:left="58" w:right="151"/>
              <w:rPr>
                <w:rFonts w:ascii="Segoe UI"/>
                <w:sz w:val="20"/>
              </w:rPr>
            </w:pPr>
            <w:r>
              <w:rPr>
                <w:rFonts w:ascii="Segoe UI"/>
                <w:sz w:val="20"/>
              </w:rPr>
              <w:t>Regional</w:t>
            </w:r>
            <w:r>
              <w:rPr>
                <w:rFonts w:ascii="Segoe UI"/>
                <w:spacing w:val="-14"/>
                <w:sz w:val="20"/>
              </w:rPr>
              <w:t> </w:t>
            </w:r>
            <w:r>
              <w:rPr>
                <w:rFonts w:ascii="Segoe UI"/>
                <w:sz w:val="20"/>
              </w:rPr>
              <w:t>Data and Digital </w:t>
            </w:r>
            <w:r>
              <w:rPr>
                <w:rFonts w:ascii="Segoe UI"/>
                <w:spacing w:val="-2"/>
                <w:sz w:val="20"/>
              </w:rPr>
              <w:t>Subgroup</w:t>
            </w:r>
          </w:p>
        </w:tc>
      </w:tr>
      <w:tr>
        <w:trPr>
          <w:trHeight w:val="1180" w:hRule="atLeast"/>
        </w:trPr>
        <w:tc>
          <w:tcPr>
            <w:tcW w:w="4507" w:type="dxa"/>
          </w:tcPr>
          <w:p>
            <w:pPr>
              <w:pStyle w:val="TableParagraph"/>
              <w:spacing w:before="59"/>
              <w:ind w:left="55"/>
              <w:rPr>
                <w:rFonts w:ascii="Segoe UI"/>
                <w:sz w:val="20"/>
              </w:rPr>
            </w:pPr>
            <w:r>
              <w:rPr>
                <w:rFonts w:ascii="Segoe UI"/>
                <w:sz w:val="20"/>
              </w:rPr>
              <w:t>Clinical</w:t>
            </w:r>
            <w:r>
              <w:rPr>
                <w:rFonts w:ascii="Segoe UI"/>
                <w:spacing w:val="-3"/>
                <w:sz w:val="20"/>
              </w:rPr>
              <w:t> </w:t>
            </w:r>
            <w:r>
              <w:rPr>
                <w:rFonts w:ascii="Segoe UI"/>
                <w:sz w:val="20"/>
              </w:rPr>
              <w:t>Services</w:t>
            </w:r>
            <w:r>
              <w:rPr>
                <w:rFonts w:ascii="Segoe UI"/>
                <w:spacing w:val="-4"/>
                <w:sz w:val="20"/>
              </w:rPr>
              <w:t> </w:t>
            </w:r>
            <w:r>
              <w:rPr>
                <w:rFonts w:ascii="Segoe UI"/>
                <w:sz w:val="20"/>
              </w:rPr>
              <w:t>Planning</w:t>
            </w:r>
            <w:r>
              <w:rPr>
                <w:rFonts w:ascii="Segoe UI"/>
                <w:spacing w:val="-2"/>
                <w:sz w:val="20"/>
              </w:rPr>
              <w:t> alignment</w:t>
            </w:r>
          </w:p>
        </w:tc>
        <w:tc>
          <w:tcPr>
            <w:tcW w:w="1041" w:type="dxa"/>
          </w:tcPr>
          <w:p>
            <w:pPr>
              <w:pStyle w:val="TableParagraph"/>
              <w:spacing w:before="59"/>
              <w:ind w:left="60"/>
              <w:rPr>
                <w:rFonts w:ascii="Segoe UI"/>
                <w:sz w:val="20"/>
              </w:rPr>
            </w:pPr>
            <w:r>
              <w:rPr>
                <w:rFonts w:ascii="Segoe UI"/>
                <w:spacing w:val="-5"/>
                <w:sz w:val="20"/>
              </w:rPr>
              <w:t>Med</w:t>
            </w:r>
          </w:p>
        </w:tc>
        <w:tc>
          <w:tcPr>
            <w:tcW w:w="4347" w:type="dxa"/>
          </w:tcPr>
          <w:p>
            <w:pPr>
              <w:pStyle w:val="TableParagraph"/>
              <w:spacing w:before="59"/>
              <w:ind w:left="59"/>
              <w:rPr>
                <w:rFonts w:ascii="Segoe UI"/>
                <w:sz w:val="20"/>
              </w:rPr>
            </w:pPr>
            <w:r>
              <w:rPr>
                <w:rFonts w:ascii="Segoe UI"/>
                <w:sz w:val="20"/>
              </w:rPr>
              <w:t>Ongoing planning engagement to ensure that plans</w:t>
            </w:r>
            <w:r>
              <w:rPr>
                <w:rFonts w:ascii="Segoe UI"/>
                <w:spacing w:val="-7"/>
                <w:sz w:val="20"/>
              </w:rPr>
              <w:t> </w:t>
            </w:r>
            <w:r>
              <w:rPr>
                <w:rFonts w:ascii="Segoe UI"/>
                <w:sz w:val="20"/>
              </w:rPr>
              <w:t>work</w:t>
            </w:r>
            <w:r>
              <w:rPr>
                <w:rFonts w:ascii="Segoe UI"/>
                <w:spacing w:val="-6"/>
                <w:sz w:val="20"/>
              </w:rPr>
              <w:t> </w:t>
            </w:r>
            <w:r>
              <w:rPr>
                <w:rFonts w:ascii="Segoe UI"/>
                <w:sz w:val="20"/>
              </w:rPr>
              <w:t>with</w:t>
            </w:r>
            <w:r>
              <w:rPr>
                <w:rFonts w:ascii="Segoe UI"/>
                <w:spacing w:val="-5"/>
                <w:sz w:val="20"/>
              </w:rPr>
              <w:t> </w:t>
            </w:r>
            <w:r>
              <w:rPr>
                <w:rFonts w:ascii="Segoe UI"/>
                <w:sz w:val="20"/>
              </w:rPr>
              <w:t>the</w:t>
            </w:r>
            <w:r>
              <w:rPr>
                <w:rFonts w:ascii="Segoe UI"/>
                <w:spacing w:val="-6"/>
                <w:sz w:val="20"/>
              </w:rPr>
              <w:t> </w:t>
            </w:r>
            <w:r>
              <w:rPr>
                <w:rFonts w:ascii="Segoe UI"/>
                <w:sz w:val="20"/>
              </w:rPr>
              <w:t>recently</w:t>
            </w:r>
            <w:r>
              <w:rPr>
                <w:rFonts w:ascii="Segoe UI"/>
                <w:spacing w:val="-8"/>
                <w:sz w:val="20"/>
              </w:rPr>
              <w:t> </w:t>
            </w:r>
            <w:r>
              <w:rPr>
                <w:rFonts w:ascii="Segoe UI"/>
                <w:sz w:val="20"/>
              </w:rPr>
              <w:t>agreed</w:t>
            </w:r>
            <w:r>
              <w:rPr>
                <w:rFonts w:ascii="Segoe UI"/>
                <w:spacing w:val="-4"/>
                <w:sz w:val="20"/>
              </w:rPr>
              <w:t> </w:t>
            </w:r>
            <w:r>
              <w:rPr>
                <w:rFonts w:ascii="Segoe UI"/>
                <w:sz w:val="20"/>
              </w:rPr>
              <w:t>Hywel</w:t>
            </w:r>
            <w:r>
              <w:rPr>
                <w:rFonts w:ascii="Segoe UI"/>
                <w:spacing w:val="-5"/>
                <w:sz w:val="20"/>
              </w:rPr>
              <w:t> </w:t>
            </w:r>
            <w:r>
              <w:rPr>
                <w:rFonts w:ascii="Segoe UI"/>
                <w:sz w:val="20"/>
              </w:rPr>
              <w:t>Dda CSP and the current work on the Swansea Bay </w:t>
            </w:r>
            <w:r>
              <w:rPr>
                <w:rFonts w:ascii="Segoe UI"/>
                <w:spacing w:val="-4"/>
                <w:sz w:val="20"/>
              </w:rPr>
              <w:t>CSP.</w:t>
            </w:r>
          </w:p>
        </w:tc>
        <w:tc>
          <w:tcPr>
            <w:tcW w:w="1722" w:type="dxa"/>
          </w:tcPr>
          <w:p>
            <w:pPr>
              <w:pStyle w:val="TableParagraph"/>
              <w:spacing w:before="59"/>
              <w:ind w:left="58" w:right="615"/>
              <w:rPr>
                <w:rFonts w:ascii="Segoe UI"/>
                <w:sz w:val="20"/>
              </w:rPr>
            </w:pPr>
            <w:r>
              <w:rPr>
                <w:rFonts w:ascii="Segoe UI"/>
                <w:spacing w:val="-2"/>
                <w:sz w:val="20"/>
              </w:rPr>
              <w:t>Programme </w:t>
            </w:r>
            <w:r>
              <w:rPr>
                <w:rFonts w:ascii="Segoe UI"/>
                <w:spacing w:val="-4"/>
                <w:sz w:val="20"/>
              </w:rPr>
              <w:t>Board</w:t>
            </w:r>
          </w:p>
        </w:tc>
      </w:tr>
      <w:tr>
        <w:trPr>
          <w:trHeight w:val="645" w:hRule="atLeast"/>
        </w:trPr>
        <w:tc>
          <w:tcPr>
            <w:tcW w:w="4507" w:type="dxa"/>
          </w:tcPr>
          <w:p>
            <w:pPr>
              <w:pStyle w:val="TableParagraph"/>
              <w:spacing w:before="54"/>
              <w:ind w:left="55"/>
              <w:rPr>
                <w:rFonts w:ascii="Segoe UI"/>
                <w:sz w:val="20"/>
              </w:rPr>
            </w:pPr>
            <w:r>
              <w:rPr>
                <w:rFonts w:ascii="Segoe UI"/>
                <w:sz w:val="20"/>
              </w:rPr>
              <w:t>Organisational</w:t>
            </w:r>
            <w:r>
              <w:rPr>
                <w:rFonts w:ascii="Segoe UI"/>
                <w:spacing w:val="-5"/>
                <w:sz w:val="20"/>
              </w:rPr>
              <w:t> </w:t>
            </w:r>
            <w:r>
              <w:rPr>
                <w:rFonts w:ascii="Segoe UI"/>
                <w:sz w:val="20"/>
              </w:rPr>
              <w:t>Priorities</w:t>
            </w:r>
            <w:r>
              <w:rPr>
                <w:rFonts w:ascii="Segoe UI"/>
                <w:spacing w:val="-4"/>
                <w:sz w:val="20"/>
              </w:rPr>
              <w:t> </w:t>
            </w:r>
            <w:r>
              <w:rPr>
                <w:rFonts w:ascii="Segoe UI"/>
                <w:spacing w:val="-2"/>
                <w:sz w:val="20"/>
              </w:rPr>
              <w:t>Conflict</w:t>
            </w:r>
          </w:p>
        </w:tc>
        <w:tc>
          <w:tcPr>
            <w:tcW w:w="1041" w:type="dxa"/>
          </w:tcPr>
          <w:p>
            <w:pPr>
              <w:pStyle w:val="TableParagraph"/>
              <w:spacing w:before="54"/>
              <w:ind w:left="60"/>
              <w:rPr>
                <w:rFonts w:ascii="Segoe UI"/>
                <w:sz w:val="20"/>
              </w:rPr>
            </w:pPr>
            <w:r>
              <w:rPr>
                <w:rFonts w:ascii="Segoe UI"/>
                <w:spacing w:val="-4"/>
                <w:sz w:val="20"/>
              </w:rPr>
              <w:t>High</w:t>
            </w:r>
          </w:p>
        </w:tc>
        <w:tc>
          <w:tcPr>
            <w:tcW w:w="4347" w:type="dxa"/>
          </w:tcPr>
          <w:p>
            <w:pPr>
              <w:pStyle w:val="TableParagraph"/>
              <w:spacing w:before="54"/>
              <w:ind w:left="59"/>
              <w:rPr>
                <w:rFonts w:ascii="Segoe UI"/>
                <w:sz w:val="20"/>
              </w:rPr>
            </w:pPr>
            <w:r>
              <w:rPr>
                <w:rFonts w:ascii="Segoe UI"/>
                <w:sz w:val="20"/>
              </w:rPr>
              <w:t>Executive</w:t>
            </w:r>
            <w:r>
              <w:rPr>
                <w:rFonts w:ascii="Segoe UI"/>
                <w:spacing w:val="-4"/>
                <w:sz w:val="20"/>
              </w:rPr>
              <w:t> </w:t>
            </w:r>
            <w:r>
              <w:rPr>
                <w:rFonts w:ascii="Segoe UI"/>
                <w:sz w:val="20"/>
              </w:rPr>
              <w:t>oversight</w:t>
            </w:r>
            <w:r>
              <w:rPr>
                <w:rFonts w:ascii="Segoe UI"/>
                <w:spacing w:val="-1"/>
                <w:sz w:val="20"/>
              </w:rPr>
              <w:t> </w:t>
            </w:r>
            <w:r>
              <w:rPr>
                <w:rFonts w:ascii="Segoe UI"/>
                <w:sz w:val="20"/>
              </w:rPr>
              <w:t>and</w:t>
            </w:r>
            <w:r>
              <w:rPr>
                <w:rFonts w:ascii="Segoe UI"/>
                <w:spacing w:val="-1"/>
                <w:sz w:val="20"/>
              </w:rPr>
              <w:t> </w:t>
            </w:r>
            <w:r>
              <w:rPr>
                <w:rFonts w:ascii="Segoe UI"/>
                <w:spacing w:val="-2"/>
                <w:sz w:val="20"/>
              </w:rPr>
              <w:t>escalation</w:t>
            </w:r>
          </w:p>
        </w:tc>
        <w:tc>
          <w:tcPr>
            <w:tcW w:w="1722" w:type="dxa"/>
          </w:tcPr>
          <w:p>
            <w:pPr>
              <w:pStyle w:val="TableParagraph"/>
              <w:spacing w:line="242" w:lineRule="auto" w:before="54"/>
              <w:ind w:left="58" w:right="615"/>
              <w:rPr>
                <w:rFonts w:ascii="Segoe UI"/>
                <w:sz w:val="20"/>
              </w:rPr>
            </w:pPr>
            <w:r>
              <w:rPr>
                <w:rFonts w:ascii="Segoe UI"/>
                <w:spacing w:val="-2"/>
                <w:sz w:val="20"/>
              </w:rPr>
              <w:t>Programme </w:t>
            </w:r>
            <w:r>
              <w:rPr>
                <w:rFonts w:ascii="Segoe UI"/>
                <w:spacing w:val="-4"/>
                <w:sz w:val="20"/>
              </w:rPr>
              <w:t>Board</w:t>
            </w:r>
          </w:p>
        </w:tc>
      </w:tr>
    </w:tbl>
    <w:p>
      <w:pPr>
        <w:spacing w:before="290"/>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spacing w:before="78" w:after="52"/>
        <w:ind w:left="0" w:right="873" w:firstLine="0"/>
        <w:jc w:val="right"/>
        <w:rPr>
          <w:rFonts w:ascii="Calibri"/>
          <w:sz w:val="16"/>
        </w:rPr>
      </w:pP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tbl>
      <w:tblPr>
        <w:tblW w:w="0" w:type="auto"/>
        <w:jc w:val="left"/>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07"/>
        <w:gridCol w:w="1041"/>
        <w:gridCol w:w="4347"/>
        <w:gridCol w:w="1722"/>
      </w:tblGrid>
      <w:tr>
        <w:trPr>
          <w:trHeight w:val="490" w:hRule="atLeast"/>
        </w:trPr>
        <w:tc>
          <w:tcPr>
            <w:tcW w:w="4507" w:type="dxa"/>
            <w:shd w:val="clear" w:color="auto" w:fill="D9E1F3"/>
          </w:tcPr>
          <w:p>
            <w:pPr>
              <w:pStyle w:val="TableParagraph"/>
              <w:spacing w:before="96"/>
              <w:ind w:left="120"/>
              <w:rPr>
                <w:rFonts w:ascii="Calibri"/>
                <w:b/>
                <w:sz w:val="24"/>
              </w:rPr>
            </w:pPr>
            <w:r>
              <w:rPr>
                <w:rFonts w:ascii="Calibri"/>
                <w:b/>
                <w:color w:val="1F4E79"/>
                <w:spacing w:val="-4"/>
                <w:sz w:val="24"/>
              </w:rPr>
              <w:t>Risk</w:t>
            </w:r>
          </w:p>
        </w:tc>
        <w:tc>
          <w:tcPr>
            <w:tcW w:w="1041" w:type="dxa"/>
            <w:shd w:val="clear" w:color="auto" w:fill="D9E1F3"/>
          </w:tcPr>
          <w:p>
            <w:pPr>
              <w:pStyle w:val="TableParagraph"/>
              <w:spacing w:before="96"/>
              <w:ind w:left="120"/>
              <w:rPr>
                <w:rFonts w:ascii="Calibri"/>
                <w:b/>
                <w:sz w:val="24"/>
              </w:rPr>
            </w:pPr>
            <w:r>
              <w:rPr>
                <w:rFonts w:ascii="Calibri"/>
                <w:b/>
                <w:color w:val="1F4E79"/>
                <w:spacing w:val="-2"/>
                <w:sz w:val="24"/>
              </w:rPr>
              <w:t>Score</w:t>
            </w:r>
          </w:p>
        </w:tc>
        <w:tc>
          <w:tcPr>
            <w:tcW w:w="4347" w:type="dxa"/>
            <w:shd w:val="clear" w:color="auto" w:fill="D9E1F3"/>
          </w:tcPr>
          <w:p>
            <w:pPr>
              <w:pStyle w:val="TableParagraph"/>
              <w:spacing w:before="96"/>
              <w:ind w:left="119"/>
              <w:rPr>
                <w:rFonts w:ascii="Calibri"/>
                <w:b/>
                <w:sz w:val="24"/>
              </w:rPr>
            </w:pPr>
            <w:r>
              <w:rPr>
                <w:rFonts w:ascii="Calibri"/>
                <w:b/>
                <w:color w:val="1F4E79"/>
                <w:sz w:val="24"/>
              </w:rPr>
              <w:t>Mitigation</w:t>
            </w:r>
            <w:r>
              <w:rPr>
                <w:rFonts w:ascii="Calibri"/>
                <w:b/>
                <w:color w:val="1F4E79"/>
                <w:spacing w:val="-5"/>
                <w:sz w:val="24"/>
              </w:rPr>
              <w:t> </w:t>
            </w:r>
            <w:r>
              <w:rPr>
                <w:rFonts w:ascii="Calibri"/>
                <w:b/>
                <w:color w:val="1F4E79"/>
                <w:sz w:val="24"/>
              </w:rPr>
              <w:t>/</w:t>
            </w:r>
            <w:r>
              <w:rPr>
                <w:rFonts w:ascii="Calibri"/>
                <w:b/>
                <w:color w:val="1F4E79"/>
                <w:spacing w:val="1"/>
                <w:sz w:val="24"/>
              </w:rPr>
              <w:t> </w:t>
            </w:r>
            <w:r>
              <w:rPr>
                <w:rFonts w:ascii="Calibri"/>
                <w:b/>
                <w:color w:val="1F4E79"/>
                <w:spacing w:val="-2"/>
                <w:sz w:val="24"/>
              </w:rPr>
              <w:t>response</w:t>
            </w:r>
          </w:p>
        </w:tc>
        <w:tc>
          <w:tcPr>
            <w:tcW w:w="1722" w:type="dxa"/>
            <w:shd w:val="clear" w:color="auto" w:fill="D9E1F3"/>
          </w:tcPr>
          <w:p>
            <w:pPr>
              <w:pStyle w:val="TableParagraph"/>
              <w:spacing w:before="96"/>
              <w:ind w:left="119"/>
              <w:rPr>
                <w:rFonts w:ascii="Calibri"/>
                <w:b/>
                <w:sz w:val="24"/>
              </w:rPr>
            </w:pPr>
            <w:r>
              <w:rPr>
                <w:rFonts w:ascii="Calibri"/>
                <w:b/>
                <w:color w:val="1F4E79"/>
                <w:spacing w:val="-2"/>
                <w:sz w:val="24"/>
              </w:rPr>
              <w:t>Owner</w:t>
            </w:r>
          </w:p>
        </w:tc>
      </w:tr>
      <w:tr>
        <w:trPr>
          <w:trHeight w:val="915" w:hRule="atLeast"/>
        </w:trPr>
        <w:tc>
          <w:tcPr>
            <w:tcW w:w="4507" w:type="dxa"/>
          </w:tcPr>
          <w:p>
            <w:pPr>
              <w:pStyle w:val="TableParagraph"/>
              <w:spacing w:before="59"/>
              <w:ind w:left="55"/>
              <w:rPr>
                <w:rFonts w:ascii="Segoe UI"/>
                <w:sz w:val="20"/>
              </w:rPr>
            </w:pPr>
            <w:r>
              <w:rPr>
                <w:rFonts w:ascii="Segoe UI"/>
                <w:sz w:val="20"/>
              </w:rPr>
              <w:t>Variation in Welsh Government and NHS Wales priorities</w:t>
            </w:r>
            <w:r>
              <w:rPr>
                <w:rFonts w:ascii="Segoe UI"/>
                <w:spacing w:val="-7"/>
                <w:sz w:val="20"/>
              </w:rPr>
              <w:t> </w:t>
            </w:r>
            <w:r>
              <w:rPr>
                <w:rFonts w:ascii="Segoe UI"/>
                <w:sz w:val="20"/>
              </w:rPr>
              <w:t>are</w:t>
            </w:r>
            <w:r>
              <w:rPr>
                <w:rFonts w:ascii="Segoe UI"/>
                <w:spacing w:val="-7"/>
                <w:sz w:val="20"/>
              </w:rPr>
              <w:t> </w:t>
            </w:r>
            <w:r>
              <w:rPr>
                <w:rFonts w:ascii="Segoe UI"/>
                <w:sz w:val="20"/>
              </w:rPr>
              <w:t>assumed</w:t>
            </w:r>
            <w:r>
              <w:rPr>
                <w:rFonts w:ascii="Segoe UI"/>
                <w:spacing w:val="-5"/>
                <w:sz w:val="20"/>
              </w:rPr>
              <w:t> </w:t>
            </w:r>
            <w:r>
              <w:rPr>
                <w:rFonts w:ascii="Segoe UI"/>
                <w:sz w:val="20"/>
              </w:rPr>
              <w:t>to</w:t>
            </w:r>
            <w:r>
              <w:rPr>
                <w:rFonts w:ascii="Segoe UI"/>
                <w:spacing w:val="-10"/>
                <w:sz w:val="20"/>
              </w:rPr>
              <w:t> </w:t>
            </w:r>
            <w:r>
              <w:rPr>
                <w:rFonts w:ascii="Segoe UI"/>
                <w:sz w:val="20"/>
              </w:rPr>
              <w:t>remain</w:t>
            </w:r>
            <w:r>
              <w:rPr>
                <w:rFonts w:ascii="Segoe UI"/>
                <w:spacing w:val="-6"/>
                <w:sz w:val="20"/>
              </w:rPr>
              <w:t> </w:t>
            </w:r>
            <w:r>
              <w:rPr>
                <w:rFonts w:ascii="Segoe UI"/>
                <w:sz w:val="20"/>
              </w:rPr>
              <w:t>broadly</w:t>
            </w:r>
            <w:r>
              <w:rPr>
                <w:rFonts w:ascii="Segoe UI"/>
                <w:spacing w:val="-9"/>
                <w:sz w:val="20"/>
              </w:rPr>
              <w:t> </w:t>
            </w:r>
            <w:r>
              <w:rPr>
                <w:rFonts w:ascii="Segoe UI"/>
                <w:sz w:val="20"/>
              </w:rPr>
              <w:t>aligned with the Eye Care Optimisation Framework</w:t>
            </w:r>
          </w:p>
        </w:tc>
        <w:tc>
          <w:tcPr>
            <w:tcW w:w="1041" w:type="dxa"/>
          </w:tcPr>
          <w:p>
            <w:pPr>
              <w:pStyle w:val="TableParagraph"/>
              <w:spacing w:before="59"/>
              <w:ind w:left="60"/>
              <w:rPr>
                <w:rFonts w:ascii="Segoe UI"/>
                <w:sz w:val="20"/>
              </w:rPr>
            </w:pPr>
            <w:r>
              <w:rPr>
                <w:rFonts w:ascii="Segoe UI"/>
                <w:spacing w:val="-5"/>
                <w:sz w:val="20"/>
              </w:rPr>
              <w:t>Med</w:t>
            </w:r>
          </w:p>
        </w:tc>
        <w:tc>
          <w:tcPr>
            <w:tcW w:w="4347" w:type="dxa"/>
          </w:tcPr>
          <w:p>
            <w:pPr>
              <w:pStyle w:val="TableParagraph"/>
              <w:spacing w:before="59"/>
              <w:ind w:left="59" w:right="127"/>
              <w:rPr>
                <w:rFonts w:ascii="Segoe UI"/>
                <w:sz w:val="20"/>
              </w:rPr>
            </w:pPr>
            <w:r>
              <w:rPr>
                <w:rFonts w:ascii="Segoe UI"/>
                <w:sz w:val="20"/>
              </w:rPr>
              <w:t>Manage relation with WG and National Eye Care</w:t>
            </w:r>
            <w:r>
              <w:rPr>
                <w:rFonts w:ascii="Segoe UI"/>
                <w:spacing w:val="-7"/>
                <w:sz w:val="20"/>
              </w:rPr>
              <w:t> </w:t>
            </w:r>
            <w:r>
              <w:rPr>
                <w:rFonts w:ascii="Segoe UI"/>
                <w:sz w:val="20"/>
              </w:rPr>
              <w:t>Programmes</w:t>
            </w:r>
            <w:r>
              <w:rPr>
                <w:rFonts w:ascii="Segoe UI"/>
                <w:spacing w:val="-7"/>
                <w:sz w:val="20"/>
              </w:rPr>
              <w:t> </w:t>
            </w:r>
            <w:r>
              <w:rPr>
                <w:rFonts w:ascii="Segoe UI"/>
                <w:sz w:val="20"/>
              </w:rPr>
              <w:t>to</w:t>
            </w:r>
            <w:r>
              <w:rPr>
                <w:rFonts w:ascii="Segoe UI"/>
                <w:spacing w:val="-9"/>
                <w:sz w:val="20"/>
              </w:rPr>
              <w:t> </w:t>
            </w:r>
            <w:r>
              <w:rPr>
                <w:rFonts w:ascii="Segoe UI"/>
                <w:sz w:val="20"/>
              </w:rPr>
              <w:t>positively</w:t>
            </w:r>
            <w:r>
              <w:rPr>
                <w:rFonts w:ascii="Segoe UI"/>
                <w:spacing w:val="-9"/>
                <w:sz w:val="20"/>
              </w:rPr>
              <w:t> </w:t>
            </w:r>
            <w:r>
              <w:rPr>
                <w:rFonts w:ascii="Segoe UI"/>
                <w:sz w:val="20"/>
              </w:rPr>
              <w:t>influence</w:t>
            </w:r>
            <w:r>
              <w:rPr>
                <w:rFonts w:ascii="Segoe UI"/>
                <w:spacing w:val="-7"/>
                <w:sz w:val="20"/>
              </w:rPr>
              <w:t> </w:t>
            </w:r>
            <w:r>
              <w:rPr>
                <w:rFonts w:ascii="Segoe UI"/>
                <w:sz w:val="20"/>
              </w:rPr>
              <w:t>policy </w:t>
            </w:r>
            <w:r>
              <w:rPr>
                <w:rFonts w:ascii="Segoe UI"/>
                <w:spacing w:val="-2"/>
                <w:sz w:val="20"/>
              </w:rPr>
              <w:t>direction.</w:t>
            </w:r>
          </w:p>
        </w:tc>
        <w:tc>
          <w:tcPr>
            <w:tcW w:w="1722" w:type="dxa"/>
          </w:tcPr>
          <w:p>
            <w:pPr>
              <w:pStyle w:val="TableParagraph"/>
              <w:spacing w:before="59"/>
              <w:ind w:left="58" w:right="615"/>
              <w:rPr>
                <w:rFonts w:ascii="Segoe UI"/>
                <w:sz w:val="20"/>
              </w:rPr>
            </w:pPr>
            <w:r>
              <w:rPr>
                <w:rFonts w:ascii="Segoe UI"/>
                <w:spacing w:val="-2"/>
                <w:sz w:val="20"/>
              </w:rPr>
              <w:t>Programme </w:t>
            </w:r>
            <w:r>
              <w:rPr>
                <w:rFonts w:ascii="Segoe UI"/>
                <w:spacing w:val="-4"/>
                <w:sz w:val="20"/>
              </w:rPr>
              <w:t>Board</w:t>
            </w:r>
          </w:p>
        </w:tc>
      </w:tr>
      <w:tr>
        <w:trPr>
          <w:trHeight w:val="645" w:hRule="atLeast"/>
        </w:trPr>
        <w:tc>
          <w:tcPr>
            <w:tcW w:w="4507" w:type="dxa"/>
          </w:tcPr>
          <w:p>
            <w:pPr>
              <w:pStyle w:val="TableParagraph"/>
              <w:spacing w:before="54"/>
              <w:ind w:left="55"/>
              <w:rPr>
                <w:rFonts w:ascii="Segoe UI"/>
                <w:sz w:val="20"/>
              </w:rPr>
            </w:pPr>
            <w:r>
              <w:rPr>
                <w:rFonts w:ascii="Segoe UI"/>
                <w:sz w:val="20"/>
              </w:rPr>
              <w:t>Theatre</w:t>
            </w:r>
            <w:r>
              <w:rPr>
                <w:rFonts w:ascii="Segoe UI"/>
                <w:spacing w:val="1"/>
                <w:sz w:val="20"/>
              </w:rPr>
              <w:t> </w:t>
            </w:r>
            <w:r>
              <w:rPr>
                <w:rFonts w:ascii="Segoe UI"/>
                <w:spacing w:val="-2"/>
                <w:sz w:val="20"/>
              </w:rPr>
              <w:t>capacity</w:t>
            </w:r>
          </w:p>
        </w:tc>
        <w:tc>
          <w:tcPr>
            <w:tcW w:w="1041" w:type="dxa"/>
          </w:tcPr>
          <w:p>
            <w:pPr>
              <w:pStyle w:val="TableParagraph"/>
              <w:spacing w:before="54"/>
              <w:ind w:left="60"/>
              <w:rPr>
                <w:rFonts w:ascii="Segoe UI"/>
                <w:sz w:val="20"/>
              </w:rPr>
            </w:pPr>
            <w:r>
              <w:rPr>
                <w:rFonts w:ascii="Segoe UI"/>
                <w:spacing w:val="-4"/>
                <w:sz w:val="20"/>
              </w:rPr>
              <w:t>High</w:t>
            </w:r>
          </w:p>
        </w:tc>
        <w:tc>
          <w:tcPr>
            <w:tcW w:w="4347" w:type="dxa"/>
          </w:tcPr>
          <w:p>
            <w:pPr>
              <w:pStyle w:val="TableParagraph"/>
              <w:spacing w:before="54"/>
              <w:ind w:left="59" w:right="26"/>
              <w:rPr>
                <w:rFonts w:ascii="Segoe UI"/>
                <w:sz w:val="20"/>
              </w:rPr>
            </w:pPr>
            <w:r>
              <w:rPr>
                <w:rFonts w:ascii="Segoe UI"/>
                <w:sz w:val="20"/>
              </w:rPr>
              <w:t>Validated</w:t>
            </w:r>
            <w:r>
              <w:rPr>
                <w:rFonts w:ascii="Segoe UI"/>
                <w:spacing w:val="-14"/>
                <w:sz w:val="20"/>
              </w:rPr>
              <w:t> </w:t>
            </w:r>
            <w:r>
              <w:rPr>
                <w:rFonts w:ascii="Segoe UI"/>
                <w:sz w:val="20"/>
              </w:rPr>
              <w:t>baseline</w:t>
            </w:r>
            <w:r>
              <w:rPr>
                <w:rFonts w:ascii="Segoe UI"/>
                <w:spacing w:val="-11"/>
                <w:sz w:val="20"/>
              </w:rPr>
              <w:t> </w:t>
            </w:r>
            <w:r>
              <w:rPr>
                <w:rFonts w:ascii="Segoe UI"/>
                <w:sz w:val="20"/>
              </w:rPr>
              <w:t>and</w:t>
            </w:r>
            <w:r>
              <w:rPr>
                <w:rFonts w:ascii="Segoe UI"/>
                <w:spacing w:val="-10"/>
                <w:sz w:val="20"/>
              </w:rPr>
              <w:t> </w:t>
            </w:r>
            <w:r>
              <w:rPr>
                <w:rFonts w:ascii="Segoe UI"/>
                <w:sz w:val="20"/>
              </w:rPr>
              <w:t>accountable improvement plans.</w:t>
            </w:r>
          </w:p>
        </w:tc>
        <w:tc>
          <w:tcPr>
            <w:tcW w:w="1722" w:type="dxa"/>
          </w:tcPr>
          <w:p>
            <w:pPr>
              <w:pStyle w:val="TableParagraph"/>
              <w:spacing w:before="54"/>
              <w:ind w:left="58" w:right="151"/>
              <w:rPr>
                <w:rFonts w:ascii="Segoe UI"/>
                <w:sz w:val="20"/>
              </w:rPr>
            </w:pPr>
            <w:r>
              <w:rPr>
                <w:rFonts w:ascii="Segoe UI"/>
                <w:sz w:val="20"/>
              </w:rPr>
              <w:t>Amorelle Jones and</w:t>
            </w:r>
            <w:r>
              <w:rPr>
                <w:rFonts w:ascii="Segoe UI"/>
                <w:spacing w:val="-14"/>
                <w:sz w:val="20"/>
              </w:rPr>
              <w:t> </w:t>
            </w:r>
            <w:r>
              <w:rPr>
                <w:rFonts w:ascii="Segoe UI"/>
                <w:sz w:val="20"/>
              </w:rPr>
              <w:t>Sam</w:t>
            </w:r>
            <w:r>
              <w:rPr>
                <w:rFonts w:ascii="Segoe UI"/>
                <w:spacing w:val="-14"/>
                <w:sz w:val="20"/>
              </w:rPr>
              <w:t> </w:t>
            </w:r>
            <w:r>
              <w:rPr>
                <w:rFonts w:ascii="Segoe UI"/>
                <w:sz w:val="20"/>
              </w:rPr>
              <w:t>Jenkins</w:t>
            </w:r>
          </w:p>
        </w:tc>
      </w:tr>
      <w:tr>
        <w:trPr>
          <w:trHeight w:val="645" w:hRule="atLeast"/>
        </w:trPr>
        <w:tc>
          <w:tcPr>
            <w:tcW w:w="4507" w:type="dxa"/>
          </w:tcPr>
          <w:p>
            <w:pPr>
              <w:pStyle w:val="TableParagraph"/>
              <w:spacing w:before="54"/>
              <w:ind w:left="55"/>
              <w:rPr>
                <w:rFonts w:ascii="Segoe UI"/>
                <w:sz w:val="20"/>
              </w:rPr>
            </w:pPr>
            <w:r>
              <w:rPr>
                <w:rFonts w:ascii="Segoe UI"/>
                <w:sz w:val="20"/>
              </w:rPr>
              <w:t>On-call</w:t>
            </w:r>
            <w:r>
              <w:rPr>
                <w:rFonts w:ascii="Segoe UI"/>
                <w:spacing w:val="2"/>
                <w:sz w:val="20"/>
              </w:rPr>
              <w:t> </w:t>
            </w:r>
            <w:r>
              <w:rPr>
                <w:rFonts w:ascii="Segoe UI"/>
                <w:spacing w:val="-2"/>
                <w:sz w:val="20"/>
              </w:rPr>
              <w:t>deliverability</w:t>
            </w:r>
          </w:p>
        </w:tc>
        <w:tc>
          <w:tcPr>
            <w:tcW w:w="1041" w:type="dxa"/>
          </w:tcPr>
          <w:p>
            <w:pPr>
              <w:pStyle w:val="TableParagraph"/>
              <w:spacing w:before="54"/>
              <w:ind w:left="60"/>
              <w:rPr>
                <w:rFonts w:ascii="Segoe UI"/>
                <w:sz w:val="20"/>
              </w:rPr>
            </w:pPr>
            <w:r>
              <w:rPr>
                <w:rFonts w:ascii="Segoe UI"/>
                <w:spacing w:val="-4"/>
                <w:sz w:val="20"/>
              </w:rPr>
              <w:t>High</w:t>
            </w:r>
          </w:p>
        </w:tc>
        <w:tc>
          <w:tcPr>
            <w:tcW w:w="4347" w:type="dxa"/>
          </w:tcPr>
          <w:p>
            <w:pPr>
              <w:pStyle w:val="TableParagraph"/>
              <w:spacing w:line="242" w:lineRule="auto" w:before="54"/>
              <w:ind w:left="59"/>
              <w:rPr>
                <w:rFonts w:ascii="Segoe UI"/>
                <w:sz w:val="20"/>
              </w:rPr>
            </w:pPr>
            <w:r>
              <w:rPr>
                <w:rFonts w:ascii="Segoe UI"/>
                <w:sz w:val="20"/>
              </w:rPr>
              <w:t>Phase</w:t>
            </w:r>
            <w:r>
              <w:rPr>
                <w:rFonts w:ascii="Segoe UI"/>
                <w:spacing w:val="-6"/>
                <w:sz w:val="20"/>
              </w:rPr>
              <w:t> </w:t>
            </w:r>
            <w:r>
              <w:rPr>
                <w:rFonts w:ascii="Segoe UI"/>
                <w:sz w:val="20"/>
              </w:rPr>
              <w:t>VR</w:t>
            </w:r>
            <w:r>
              <w:rPr>
                <w:rFonts w:ascii="Segoe UI"/>
                <w:spacing w:val="-6"/>
                <w:sz w:val="20"/>
              </w:rPr>
              <w:t> </w:t>
            </w:r>
            <w:r>
              <w:rPr>
                <w:rFonts w:ascii="Segoe UI"/>
                <w:sz w:val="20"/>
              </w:rPr>
              <w:t>first;</w:t>
            </w:r>
            <w:r>
              <w:rPr>
                <w:rFonts w:ascii="Segoe UI"/>
                <w:spacing w:val="-5"/>
                <w:sz w:val="20"/>
              </w:rPr>
              <w:t> </w:t>
            </w:r>
            <w:r>
              <w:rPr>
                <w:rFonts w:ascii="Segoe UI"/>
                <w:sz w:val="20"/>
              </w:rPr>
              <w:t>assess</w:t>
            </w:r>
            <w:r>
              <w:rPr>
                <w:rFonts w:ascii="Segoe UI"/>
                <w:spacing w:val="-6"/>
                <w:sz w:val="20"/>
              </w:rPr>
              <w:t> </w:t>
            </w:r>
            <w:r>
              <w:rPr>
                <w:rFonts w:ascii="Segoe UI"/>
                <w:sz w:val="20"/>
              </w:rPr>
              <w:t>quality,</w:t>
            </w:r>
            <w:r>
              <w:rPr>
                <w:rFonts w:ascii="Segoe UI"/>
                <w:spacing w:val="-10"/>
                <w:sz w:val="20"/>
              </w:rPr>
              <w:t> </w:t>
            </w:r>
            <w:r>
              <w:rPr>
                <w:rFonts w:ascii="Segoe UI"/>
                <w:sz w:val="20"/>
              </w:rPr>
              <w:t>feasibility</w:t>
            </w:r>
            <w:r>
              <w:rPr>
                <w:rFonts w:ascii="Segoe UI"/>
                <w:spacing w:val="-8"/>
                <w:sz w:val="20"/>
              </w:rPr>
              <w:t> </w:t>
            </w:r>
            <w:r>
              <w:rPr>
                <w:rFonts w:ascii="Segoe UI"/>
                <w:sz w:val="20"/>
              </w:rPr>
              <w:t>and </w:t>
            </w:r>
            <w:r>
              <w:rPr>
                <w:rFonts w:ascii="Segoe UI"/>
                <w:spacing w:val="-2"/>
                <w:sz w:val="20"/>
              </w:rPr>
              <w:t>affordability.</w:t>
            </w:r>
          </w:p>
        </w:tc>
        <w:tc>
          <w:tcPr>
            <w:tcW w:w="1722" w:type="dxa"/>
          </w:tcPr>
          <w:p>
            <w:pPr>
              <w:pStyle w:val="TableParagraph"/>
              <w:spacing w:line="242" w:lineRule="auto" w:before="54"/>
              <w:ind w:left="58"/>
              <w:rPr>
                <w:rFonts w:ascii="Segoe UI"/>
                <w:sz w:val="20"/>
              </w:rPr>
            </w:pPr>
            <w:r>
              <w:rPr>
                <w:rFonts w:ascii="Segoe UI"/>
                <w:sz w:val="20"/>
              </w:rPr>
              <w:t>Rhodri</w:t>
            </w:r>
            <w:r>
              <w:rPr>
                <w:rFonts w:ascii="Segoe UI"/>
                <w:spacing w:val="-14"/>
                <w:sz w:val="20"/>
              </w:rPr>
              <w:t> </w:t>
            </w:r>
            <w:r>
              <w:rPr>
                <w:rFonts w:ascii="Segoe UI"/>
                <w:sz w:val="20"/>
              </w:rPr>
              <w:t>Davies</w:t>
            </w:r>
            <w:r>
              <w:rPr>
                <w:rFonts w:ascii="Segoe UI"/>
                <w:spacing w:val="-14"/>
                <w:sz w:val="20"/>
              </w:rPr>
              <w:t> </w:t>
            </w:r>
            <w:r>
              <w:rPr>
                <w:rFonts w:ascii="Segoe UI"/>
                <w:sz w:val="20"/>
              </w:rPr>
              <w:t>and Lisa Humphrey</w:t>
            </w:r>
          </w:p>
        </w:tc>
      </w:tr>
      <w:tr>
        <w:trPr>
          <w:trHeight w:val="915" w:hRule="atLeast"/>
        </w:trPr>
        <w:tc>
          <w:tcPr>
            <w:tcW w:w="4507" w:type="dxa"/>
          </w:tcPr>
          <w:p>
            <w:pPr>
              <w:pStyle w:val="TableParagraph"/>
              <w:spacing w:before="59"/>
              <w:ind w:left="55"/>
              <w:rPr>
                <w:rFonts w:ascii="Segoe UI"/>
                <w:sz w:val="20"/>
              </w:rPr>
            </w:pPr>
            <w:r>
              <w:rPr>
                <w:rFonts w:ascii="Segoe UI"/>
                <w:sz w:val="20"/>
              </w:rPr>
              <w:t>Clinical </w:t>
            </w:r>
            <w:r>
              <w:rPr>
                <w:rFonts w:ascii="Segoe UI"/>
                <w:spacing w:val="-2"/>
                <w:sz w:val="20"/>
              </w:rPr>
              <w:t>engagement</w:t>
            </w:r>
          </w:p>
        </w:tc>
        <w:tc>
          <w:tcPr>
            <w:tcW w:w="1041" w:type="dxa"/>
          </w:tcPr>
          <w:p>
            <w:pPr>
              <w:pStyle w:val="TableParagraph"/>
              <w:spacing w:before="59"/>
              <w:ind w:left="60"/>
              <w:rPr>
                <w:rFonts w:ascii="Segoe UI"/>
                <w:sz w:val="20"/>
              </w:rPr>
            </w:pPr>
            <w:r>
              <w:rPr>
                <w:rFonts w:ascii="Segoe UI"/>
                <w:spacing w:val="-4"/>
                <w:sz w:val="20"/>
              </w:rPr>
              <w:t>High</w:t>
            </w:r>
          </w:p>
        </w:tc>
        <w:tc>
          <w:tcPr>
            <w:tcW w:w="4347" w:type="dxa"/>
          </w:tcPr>
          <w:p>
            <w:pPr>
              <w:pStyle w:val="TableParagraph"/>
              <w:spacing w:before="59"/>
              <w:ind w:left="59"/>
              <w:rPr>
                <w:rFonts w:ascii="Segoe UI"/>
                <w:sz w:val="20"/>
              </w:rPr>
            </w:pPr>
            <w:r>
              <w:rPr>
                <w:rFonts w:ascii="Segoe UI"/>
                <w:sz w:val="20"/>
              </w:rPr>
              <w:t>Named</w:t>
            </w:r>
            <w:r>
              <w:rPr>
                <w:rFonts w:ascii="Segoe UI"/>
                <w:spacing w:val="-8"/>
                <w:sz w:val="20"/>
              </w:rPr>
              <w:t> </w:t>
            </w:r>
            <w:r>
              <w:rPr>
                <w:rFonts w:ascii="Segoe UI"/>
                <w:sz w:val="20"/>
              </w:rPr>
              <w:t>leadership,</w:t>
            </w:r>
            <w:r>
              <w:rPr>
                <w:rFonts w:ascii="Segoe UI"/>
                <w:spacing w:val="-13"/>
                <w:sz w:val="20"/>
              </w:rPr>
              <w:t> </w:t>
            </w:r>
            <w:r>
              <w:rPr>
                <w:rFonts w:ascii="Segoe UI"/>
                <w:sz w:val="20"/>
              </w:rPr>
              <w:t>documented</w:t>
            </w:r>
            <w:r>
              <w:rPr>
                <w:rFonts w:ascii="Segoe UI"/>
                <w:spacing w:val="-8"/>
                <w:sz w:val="20"/>
              </w:rPr>
              <w:t> </w:t>
            </w:r>
            <w:r>
              <w:rPr>
                <w:rFonts w:ascii="Segoe UI"/>
                <w:sz w:val="20"/>
              </w:rPr>
              <w:t>decisions</w:t>
            </w:r>
            <w:r>
              <w:rPr>
                <w:rFonts w:ascii="Segoe UI"/>
                <w:spacing w:val="-11"/>
                <w:sz w:val="20"/>
              </w:rPr>
              <w:t> </w:t>
            </w:r>
            <w:r>
              <w:rPr>
                <w:rFonts w:ascii="Segoe UI"/>
                <w:sz w:val="20"/>
              </w:rPr>
              <w:t>and visible progress.</w:t>
            </w:r>
          </w:p>
        </w:tc>
        <w:tc>
          <w:tcPr>
            <w:tcW w:w="1722" w:type="dxa"/>
          </w:tcPr>
          <w:p>
            <w:pPr>
              <w:pStyle w:val="TableParagraph"/>
              <w:spacing w:before="59"/>
              <w:ind w:left="58"/>
              <w:rPr>
                <w:rFonts w:ascii="Segoe UI"/>
                <w:sz w:val="20"/>
              </w:rPr>
            </w:pPr>
            <w:r>
              <w:rPr>
                <w:rFonts w:ascii="Segoe UI"/>
                <w:sz w:val="20"/>
              </w:rPr>
              <w:t>Louise King + Cheryl</w:t>
            </w:r>
            <w:r>
              <w:rPr>
                <w:rFonts w:ascii="Segoe UI"/>
                <w:spacing w:val="-14"/>
                <w:sz w:val="20"/>
              </w:rPr>
              <w:t> </w:t>
            </w:r>
            <w:r>
              <w:rPr>
                <w:rFonts w:ascii="Segoe UI"/>
                <w:sz w:val="20"/>
              </w:rPr>
              <w:t>Madeira </w:t>
            </w:r>
            <w:r>
              <w:rPr>
                <w:rFonts w:ascii="Segoe UI"/>
                <w:spacing w:val="-4"/>
                <w:sz w:val="20"/>
              </w:rPr>
              <w:t>Cole</w:t>
            </w:r>
          </w:p>
        </w:tc>
      </w:tr>
      <w:tr>
        <w:trPr>
          <w:trHeight w:val="910" w:hRule="atLeast"/>
        </w:trPr>
        <w:tc>
          <w:tcPr>
            <w:tcW w:w="4507" w:type="dxa"/>
          </w:tcPr>
          <w:p>
            <w:pPr>
              <w:pStyle w:val="TableParagraph"/>
              <w:spacing w:before="54"/>
              <w:ind w:left="55"/>
              <w:rPr>
                <w:rFonts w:ascii="Segoe UI"/>
                <w:sz w:val="20"/>
              </w:rPr>
            </w:pPr>
            <w:r>
              <w:rPr>
                <w:rFonts w:ascii="Segoe UI"/>
                <w:sz w:val="20"/>
              </w:rPr>
              <w:t>Demand-capacity</w:t>
            </w:r>
            <w:r>
              <w:rPr>
                <w:rFonts w:ascii="Segoe UI"/>
                <w:spacing w:val="-5"/>
                <w:sz w:val="20"/>
              </w:rPr>
              <w:t> </w:t>
            </w:r>
            <w:r>
              <w:rPr>
                <w:rFonts w:ascii="Segoe UI"/>
                <w:spacing w:val="-2"/>
                <w:sz w:val="20"/>
              </w:rPr>
              <w:t>imbalance</w:t>
            </w:r>
          </w:p>
        </w:tc>
        <w:tc>
          <w:tcPr>
            <w:tcW w:w="1041" w:type="dxa"/>
          </w:tcPr>
          <w:p>
            <w:pPr>
              <w:pStyle w:val="TableParagraph"/>
              <w:spacing w:before="54"/>
              <w:ind w:left="60"/>
              <w:rPr>
                <w:rFonts w:ascii="Segoe UI"/>
                <w:sz w:val="20"/>
              </w:rPr>
            </w:pPr>
            <w:r>
              <w:rPr>
                <w:rFonts w:ascii="Segoe UI"/>
                <w:spacing w:val="-4"/>
                <w:sz w:val="20"/>
              </w:rPr>
              <w:t>High</w:t>
            </w:r>
          </w:p>
        </w:tc>
        <w:tc>
          <w:tcPr>
            <w:tcW w:w="4347" w:type="dxa"/>
          </w:tcPr>
          <w:p>
            <w:pPr>
              <w:pStyle w:val="TableParagraph"/>
              <w:spacing w:before="54"/>
              <w:ind w:left="59"/>
              <w:rPr>
                <w:rFonts w:ascii="Segoe UI"/>
                <w:sz w:val="20"/>
              </w:rPr>
            </w:pPr>
            <w:r>
              <w:rPr>
                <w:rFonts w:ascii="Segoe UI"/>
                <w:sz w:val="20"/>
              </w:rPr>
              <w:t>Validated</w:t>
            </w:r>
            <w:r>
              <w:rPr>
                <w:rFonts w:ascii="Segoe UI"/>
                <w:spacing w:val="-12"/>
                <w:sz w:val="20"/>
              </w:rPr>
              <w:t> </w:t>
            </w:r>
            <w:r>
              <w:rPr>
                <w:rFonts w:ascii="Segoe UI"/>
                <w:sz w:val="20"/>
              </w:rPr>
              <w:t>modelling</w:t>
            </w:r>
            <w:r>
              <w:rPr>
                <w:rFonts w:ascii="Segoe UI"/>
                <w:spacing w:val="-7"/>
                <w:sz w:val="20"/>
              </w:rPr>
              <w:t> </w:t>
            </w:r>
            <w:r>
              <w:rPr>
                <w:rFonts w:ascii="Segoe UI"/>
                <w:sz w:val="20"/>
              </w:rPr>
              <w:t>to</w:t>
            </w:r>
            <w:r>
              <w:rPr>
                <w:rFonts w:ascii="Segoe UI"/>
                <w:spacing w:val="-12"/>
                <w:sz w:val="20"/>
              </w:rPr>
              <w:t> </w:t>
            </w:r>
            <w:r>
              <w:rPr>
                <w:rFonts w:ascii="Segoe UI"/>
                <w:sz w:val="20"/>
              </w:rPr>
              <w:t>define</w:t>
            </w:r>
            <w:r>
              <w:rPr>
                <w:rFonts w:ascii="Segoe UI"/>
                <w:spacing w:val="-9"/>
                <w:sz w:val="20"/>
              </w:rPr>
              <w:t> </w:t>
            </w:r>
            <w:r>
              <w:rPr>
                <w:rFonts w:ascii="Segoe UI"/>
                <w:sz w:val="20"/>
              </w:rPr>
              <w:t>productivity opportunity and structural gap.</w:t>
            </w:r>
          </w:p>
        </w:tc>
        <w:tc>
          <w:tcPr>
            <w:tcW w:w="1722" w:type="dxa"/>
          </w:tcPr>
          <w:p>
            <w:pPr>
              <w:pStyle w:val="TableParagraph"/>
              <w:spacing w:before="54"/>
              <w:ind w:left="58" w:right="296"/>
              <w:rPr>
                <w:rFonts w:ascii="Segoe UI"/>
                <w:sz w:val="20"/>
              </w:rPr>
            </w:pPr>
            <w:r>
              <w:rPr>
                <w:rFonts w:ascii="Segoe UI"/>
                <w:sz w:val="20"/>
              </w:rPr>
              <w:t>Andrew</w:t>
            </w:r>
            <w:r>
              <w:rPr>
                <w:rFonts w:ascii="Segoe UI"/>
                <w:spacing w:val="-14"/>
                <w:sz w:val="20"/>
              </w:rPr>
              <w:t> </w:t>
            </w:r>
            <w:r>
              <w:rPr>
                <w:rFonts w:ascii="Segoe UI"/>
                <w:sz w:val="20"/>
              </w:rPr>
              <w:t>Nelson and Anthony </w:t>
            </w:r>
            <w:r>
              <w:rPr>
                <w:rFonts w:ascii="Segoe UI"/>
                <w:spacing w:val="-2"/>
                <w:sz w:val="20"/>
              </w:rPr>
              <w:t>Tracey</w:t>
            </w:r>
          </w:p>
        </w:tc>
      </w:tr>
      <w:tr>
        <w:trPr>
          <w:trHeight w:val="1710" w:hRule="atLeast"/>
        </w:trPr>
        <w:tc>
          <w:tcPr>
            <w:tcW w:w="4507" w:type="dxa"/>
          </w:tcPr>
          <w:p>
            <w:pPr>
              <w:pStyle w:val="TableParagraph"/>
              <w:spacing w:before="54"/>
              <w:ind w:left="55"/>
              <w:rPr>
                <w:rFonts w:ascii="Segoe UI"/>
                <w:sz w:val="20"/>
              </w:rPr>
            </w:pPr>
            <w:r>
              <w:rPr>
                <w:rFonts w:ascii="Segoe UI"/>
                <w:sz w:val="20"/>
              </w:rPr>
              <w:t>Patient </w:t>
            </w:r>
            <w:r>
              <w:rPr>
                <w:rFonts w:ascii="Segoe UI"/>
                <w:spacing w:val="-2"/>
                <w:sz w:val="20"/>
              </w:rPr>
              <w:t>equity</w:t>
            </w:r>
          </w:p>
        </w:tc>
        <w:tc>
          <w:tcPr>
            <w:tcW w:w="1041" w:type="dxa"/>
          </w:tcPr>
          <w:p>
            <w:pPr>
              <w:pStyle w:val="TableParagraph"/>
              <w:spacing w:before="54"/>
              <w:ind w:left="60" w:right="36"/>
              <w:rPr>
                <w:rFonts w:ascii="Segoe UI"/>
                <w:sz w:val="20"/>
              </w:rPr>
            </w:pPr>
            <w:r>
              <w:rPr>
                <w:rFonts w:ascii="Segoe UI"/>
                <w:spacing w:val="-2"/>
                <w:sz w:val="20"/>
              </w:rPr>
              <w:t>Significant impact; likelihood </w:t>
            </w:r>
            <w:r>
              <w:rPr>
                <w:rFonts w:ascii="Segoe UI"/>
                <w:sz w:val="20"/>
              </w:rPr>
              <w:t>to be </w:t>
            </w:r>
            <w:r>
              <w:rPr>
                <w:rFonts w:ascii="Segoe UI"/>
                <w:spacing w:val="-2"/>
                <w:sz w:val="20"/>
              </w:rPr>
              <w:t>rated.</w:t>
            </w:r>
          </w:p>
        </w:tc>
        <w:tc>
          <w:tcPr>
            <w:tcW w:w="4347" w:type="dxa"/>
          </w:tcPr>
          <w:p>
            <w:pPr>
              <w:pStyle w:val="TableParagraph"/>
              <w:spacing w:before="54"/>
              <w:ind w:left="59" w:right="127"/>
              <w:rPr>
                <w:rFonts w:ascii="Segoe UI"/>
                <w:sz w:val="20"/>
              </w:rPr>
            </w:pPr>
            <w:r>
              <w:rPr>
                <w:rFonts w:ascii="Segoe UI"/>
                <w:sz w:val="20"/>
              </w:rPr>
              <w:t>Comprehensive</w:t>
            </w:r>
            <w:r>
              <w:rPr>
                <w:rFonts w:ascii="Segoe UI"/>
                <w:spacing w:val="-9"/>
                <w:sz w:val="20"/>
              </w:rPr>
              <w:t> </w:t>
            </w:r>
            <w:r>
              <w:rPr>
                <w:rFonts w:ascii="Segoe UI"/>
                <w:sz w:val="20"/>
              </w:rPr>
              <w:t>equality</w:t>
            </w:r>
            <w:r>
              <w:rPr>
                <w:rFonts w:ascii="Segoe UI"/>
                <w:spacing w:val="-11"/>
                <w:sz w:val="20"/>
              </w:rPr>
              <w:t> </w:t>
            </w:r>
            <w:r>
              <w:rPr>
                <w:rFonts w:ascii="Segoe UI"/>
                <w:sz w:val="20"/>
              </w:rPr>
              <w:t>and</w:t>
            </w:r>
            <w:r>
              <w:rPr>
                <w:rFonts w:ascii="Segoe UI"/>
                <w:spacing w:val="-8"/>
                <w:sz w:val="20"/>
              </w:rPr>
              <w:t> </w:t>
            </w:r>
            <w:r>
              <w:rPr>
                <w:rFonts w:ascii="Segoe UI"/>
                <w:sz w:val="20"/>
              </w:rPr>
              <w:t>equity</w:t>
            </w:r>
            <w:r>
              <w:rPr>
                <w:rFonts w:ascii="Segoe UI"/>
                <w:spacing w:val="-11"/>
                <w:sz w:val="20"/>
              </w:rPr>
              <w:t> </w:t>
            </w:r>
            <w:r>
              <w:rPr>
                <w:rFonts w:ascii="Segoe UI"/>
                <w:sz w:val="20"/>
              </w:rPr>
              <w:t>impact assessment, including assessment of geography, transport, disability, language, ethnicity, culture, deprivation and digital exclusion. Ongoing monitoring of patient experience and access outcomes.</w:t>
            </w:r>
          </w:p>
        </w:tc>
        <w:tc>
          <w:tcPr>
            <w:tcW w:w="1722" w:type="dxa"/>
          </w:tcPr>
          <w:p>
            <w:pPr>
              <w:pStyle w:val="TableParagraph"/>
              <w:rPr>
                <w:rFonts w:ascii="Times New Roman"/>
                <w:sz w:val="20"/>
              </w:rPr>
            </w:pPr>
          </w:p>
        </w:tc>
      </w:tr>
      <w:tr>
        <w:trPr>
          <w:trHeight w:val="910" w:hRule="atLeast"/>
        </w:trPr>
        <w:tc>
          <w:tcPr>
            <w:tcW w:w="4507" w:type="dxa"/>
          </w:tcPr>
          <w:p>
            <w:pPr>
              <w:pStyle w:val="TableParagraph"/>
              <w:spacing w:line="242" w:lineRule="auto" w:before="54"/>
              <w:ind w:left="55"/>
              <w:rPr>
                <w:rFonts w:ascii="Segoe UI"/>
                <w:sz w:val="20"/>
              </w:rPr>
            </w:pPr>
            <w:r>
              <w:rPr>
                <w:rFonts w:ascii="Segoe UI"/>
                <w:sz w:val="20"/>
              </w:rPr>
              <w:t>Patients</w:t>
            </w:r>
            <w:r>
              <w:rPr>
                <w:rFonts w:ascii="Segoe UI"/>
                <w:spacing w:val="-8"/>
                <w:sz w:val="20"/>
              </w:rPr>
              <w:t> </w:t>
            </w:r>
            <w:r>
              <w:rPr>
                <w:rFonts w:ascii="Segoe UI"/>
                <w:sz w:val="20"/>
              </w:rPr>
              <w:t>do</w:t>
            </w:r>
            <w:r>
              <w:rPr>
                <w:rFonts w:ascii="Segoe UI"/>
                <w:spacing w:val="-10"/>
                <w:sz w:val="20"/>
              </w:rPr>
              <w:t> </w:t>
            </w:r>
            <w:r>
              <w:rPr>
                <w:rFonts w:ascii="Segoe UI"/>
                <w:sz w:val="20"/>
              </w:rPr>
              <w:t>not</w:t>
            </w:r>
            <w:r>
              <w:rPr>
                <w:rFonts w:ascii="Segoe UI"/>
                <w:spacing w:val="-10"/>
                <w:sz w:val="20"/>
              </w:rPr>
              <w:t> </w:t>
            </w:r>
            <w:r>
              <w:rPr>
                <w:rFonts w:ascii="Segoe UI"/>
                <w:sz w:val="20"/>
              </w:rPr>
              <w:t>receive</w:t>
            </w:r>
            <w:r>
              <w:rPr>
                <w:rFonts w:ascii="Segoe UI"/>
                <w:spacing w:val="-7"/>
                <w:sz w:val="20"/>
              </w:rPr>
              <w:t> </w:t>
            </w:r>
            <w:r>
              <w:rPr>
                <w:rFonts w:ascii="Segoe UI"/>
                <w:sz w:val="20"/>
              </w:rPr>
              <w:t>adequate</w:t>
            </w:r>
            <w:r>
              <w:rPr>
                <w:rFonts w:ascii="Segoe UI"/>
                <w:spacing w:val="-7"/>
                <w:sz w:val="20"/>
              </w:rPr>
              <w:t> </w:t>
            </w:r>
            <w:r>
              <w:rPr>
                <w:rFonts w:ascii="Segoe UI"/>
                <w:sz w:val="20"/>
              </w:rPr>
              <w:t>information, emotional support or onward referral during pathway redesign and service change.</w:t>
            </w:r>
          </w:p>
        </w:tc>
        <w:tc>
          <w:tcPr>
            <w:tcW w:w="1041" w:type="dxa"/>
          </w:tcPr>
          <w:p>
            <w:pPr>
              <w:pStyle w:val="TableParagraph"/>
              <w:rPr>
                <w:rFonts w:ascii="Times New Roman"/>
                <w:sz w:val="20"/>
              </w:rPr>
            </w:pPr>
          </w:p>
        </w:tc>
        <w:tc>
          <w:tcPr>
            <w:tcW w:w="4347" w:type="dxa"/>
          </w:tcPr>
          <w:p>
            <w:pPr>
              <w:pStyle w:val="TableParagraph"/>
              <w:spacing w:line="242" w:lineRule="auto" w:before="54"/>
              <w:ind w:left="59"/>
              <w:rPr>
                <w:rFonts w:ascii="Segoe UI"/>
                <w:sz w:val="20"/>
              </w:rPr>
            </w:pPr>
            <w:r>
              <w:rPr>
                <w:rFonts w:ascii="Segoe UI"/>
                <w:sz w:val="20"/>
              </w:rPr>
              <w:t>Regional</w:t>
            </w:r>
            <w:r>
              <w:rPr>
                <w:rFonts w:ascii="Segoe UI"/>
                <w:spacing w:val="-8"/>
                <w:sz w:val="20"/>
              </w:rPr>
              <w:t> </w:t>
            </w:r>
            <w:r>
              <w:rPr>
                <w:rFonts w:ascii="Segoe UI"/>
                <w:sz w:val="20"/>
              </w:rPr>
              <w:t>implementation</w:t>
            </w:r>
            <w:r>
              <w:rPr>
                <w:rFonts w:ascii="Segoe UI"/>
                <w:spacing w:val="-8"/>
                <w:sz w:val="20"/>
              </w:rPr>
              <w:t> </w:t>
            </w:r>
            <w:r>
              <w:rPr>
                <w:rFonts w:ascii="Segoe UI"/>
                <w:sz w:val="20"/>
              </w:rPr>
              <w:t>of</w:t>
            </w:r>
            <w:r>
              <w:rPr>
                <w:rFonts w:ascii="Segoe UI"/>
                <w:spacing w:val="-7"/>
                <w:sz w:val="20"/>
              </w:rPr>
              <w:t> </w:t>
            </w:r>
            <w:r>
              <w:rPr>
                <w:rFonts w:ascii="Segoe UI"/>
                <w:sz w:val="20"/>
              </w:rPr>
              <w:t>Eye</w:t>
            </w:r>
            <w:r>
              <w:rPr>
                <w:rFonts w:ascii="Segoe UI"/>
                <w:spacing w:val="-9"/>
                <w:sz w:val="20"/>
              </w:rPr>
              <w:t> </w:t>
            </w:r>
            <w:r>
              <w:rPr>
                <w:rFonts w:ascii="Segoe UI"/>
                <w:sz w:val="20"/>
              </w:rPr>
              <w:t>Care</w:t>
            </w:r>
            <w:r>
              <w:rPr>
                <w:rFonts w:ascii="Segoe UI"/>
                <w:spacing w:val="-9"/>
                <w:sz w:val="20"/>
              </w:rPr>
              <w:t> </w:t>
            </w:r>
            <w:r>
              <w:rPr>
                <w:rFonts w:ascii="Segoe UI"/>
                <w:sz w:val="20"/>
              </w:rPr>
              <w:t>Support Pathway principles and support referral </w:t>
            </w:r>
            <w:r>
              <w:rPr>
                <w:rFonts w:ascii="Segoe UI"/>
                <w:spacing w:val="-2"/>
                <w:sz w:val="20"/>
              </w:rPr>
              <w:t>standards.</w:t>
            </w:r>
          </w:p>
        </w:tc>
        <w:tc>
          <w:tcPr>
            <w:tcW w:w="1722" w:type="dxa"/>
          </w:tcPr>
          <w:p>
            <w:pPr>
              <w:pStyle w:val="TableParagraph"/>
              <w:rPr>
                <w:rFonts w:ascii="Times New Roman"/>
                <w:sz w:val="20"/>
              </w:rPr>
            </w:pPr>
          </w:p>
        </w:tc>
      </w:tr>
      <w:tr>
        <w:trPr>
          <w:trHeight w:val="915" w:hRule="atLeast"/>
        </w:trPr>
        <w:tc>
          <w:tcPr>
            <w:tcW w:w="4507" w:type="dxa"/>
          </w:tcPr>
          <w:p>
            <w:pPr>
              <w:pStyle w:val="TableParagraph"/>
              <w:spacing w:before="59"/>
              <w:ind w:left="55" w:right="202"/>
              <w:jc w:val="both"/>
              <w:rPr>
                <w:rFonts w:ascii="Segoe UI"/>
                <w:sz w:val="20"/>
              </w:rPr>
            </w:pPr>
            <w:r>
              <w:rPr>
                <w:rFonts w:ascii="Segoe UI"/>
                <w:sz w:val="20"/>
              </w:rPr>
              <w:t>Service</w:t>
            </w:r>
            <w:r>
              <w:rPr>
                <w:rFonts w:ascii="Segoe UI"/>
                <w:spacing w:val="-3"/>
                <w:sz w:val="20"/>
              </w:rPr>
              <w:t> </w:t>
            </w:r>
            <w:r>
              <w:rPr>
                <w:rFonts w:ascii="Segoe UI"/>
                <w:sz w:val="20"/>
              </w:rPr>
              <w:t>redesign unintentionally</w:t>
            </w:r>
            <w:r>
              <w:rPr>
                <w:rFonts w:ascii="Segoe UI"/>
                <w:spacing w:val="-5"/>
                <w:sz w:val="20"/>
              </w:rPr>
              <w:t> </w:t>
            </w:r>
            <w:r>
              <w:rPr>
                <w:rFonts w:ascii="Segoe UI"/>
                <w:sz w:val="20"/>
              </w:rPr>
              <w:t>increases</w:t>
            </w:r>
            <w:r>
              <w:rPr>
                <w:rFonts w:ascii="Segoe UI"/>
                <w:spacing w:val="-3"/>
                <w:sz w:val="20"/>
              </w:rPr>
              <w:t> </w:t>
            </w:r>
            <w:r>
              <w:rPr>
                <w:rFonts w:ascii="Segoe UI"/>
                <w:sz w:val="20"/>
              </w:rPr>
              <w:t>travel burden</w:t>
            </w:r>
            <w:r>
              <w:rPr>
                <w:rFonts w:ascii="Segoe UI"/>
                <w:spacing w:val="-3"/>
                <w:sz w:val="20"/>
              </w:rPr>
              <w:t> </w:t>
            </w:r>
            <w:r>
              <w:rPr>
                <w:rFonts w:ascii="Segoe UI"/>
                <w:sz w:val="20"/>
              </w:rPr>
              <w:t>or</w:t>
            </w:r>
            <w:r>
              <w:rPr>
                <w:rFonts w:ascii="Segoe UI"/>
                <w:spacing w:val="-4"/>
                <w:sz w:val="20"/>
              </w:rPr>
              <w:t> </w:t>
            </w:r>
            <w:r>
              <w:rPr>
                <w:rFonts w:ascii="Segoe UI"/>
                <w:sz w:val="20"/>
              </w:rPr>
              <w:t>creates</w:t>
            </w:r>
            <w:r>
              <w:rPr>
                <w:rFonts w:ascii="Segoe UI"/>
                <w:spacing w:val="-9"/>
                <w:sz w:val="20"/>
              </w:rPr>
              <w:t> </w:t>
            </w:r>
            <w:r>
              <w:rPr>
                <w:rFonts w:ascii="Segoe UI"/>
                <w:sz w:val="20"/>
              </w:rPr>
              <w:t>barriers</w:t>
            </w:r>
            <w:r>
              <w:rPr>
                <w:rFonts w:ascii="Segoe UI"/>
                <w:spacing w:val="-9"/>
                <w:sz w:val="20"/>
              </w:rPr>
              <w:t> </w:t>
            </w:r>
            <w:r>
              <w:rPr>
                <w:rFonts w:ascii="Segoe UI"/>
                <w:sz w:val="20"/>
              </w:rPr>
              <w:t>for</w:t>
            </w:r>
            <w:r>
              <w:rPr>
                <w:rFonts w:ascii="Segoe UI"/>
                <w:spacing w:val="-4"/>
                <w:sz w:val="20"/>
              </w:rPr>
              <w:t> </w:t>
            </w:r>
            <w:r>
              <w:rPr>
                <w:rFonts w:ascii="Segoe UI"/>
                <w:sz w:val="20"/>
              </w:rPr>
              <w:t>patients</w:t>
            </w:r>
            <w:r>
              <w:rPr>
                <w:rFonts w:ascii="Segoe UI"/>
                <w:spacing w:val="-9"/>
                <w:sz w:val="20"/>
              </w:rPr>
              <w:t> </w:t>
            </w:r>
            <w:r>
              <w:rPr>
                <w:rFonts w:ascii="Segoe UI"/>
                <w:sz w:val="20"/>
              </w:rPr>
              <w:t>unable</w:t>
            </w:r>
            <w:r>
              <w:rPr>
                <w:rFonts w:ascii="Segoe UI"/>
                <w:spacing w:val="-4"/>
                <w:sz w:val="20"/>
              </w:rPr>
              <w:t> </w:t>
            </w:r>
            <w:r>
              <w:rPr>
                <w:rFonts w:ascii="Segoe UI"/>
                <w:sz w:val="20"/>
              </w:rPr>
              <w:t>to access transport.</w:t>
            </w:r>
          </w:p>
        </w:tc>
        <w:tc>
          <w:tcPr>
            <w:tcW w:w="1041" w:type="dxa"/>
          </w:tcPr>
          <w:p>
            <w:pPr>
              <w:pStyle w:val="TableParagraph"/>
              <w:rPr>
                <w:rFonts w:ascii="Times New Roman"/>
                <w:sz w:val="20"/>
              </w:rPr>
            </w:pPr>
          </w:p>
        </w:tc>
        <w:tc>
          <w:tcPr>
            <w:tcW w:w="4347" w:type="dxa"/>
          </w:tcPr>
          <w:p>
            <w:pPr>
              <w:pStyle w:val="TableParagraph"/>
              <w:spacing w:before="59"/>
              <w:ind w:left="59" w:right="127"/>
              <w:rPr>
                <w:rFonts w:ascii="Segoe UI"/>
                <w:sz w:val="20"/>
              </w:rPr>
            </w:pPr>
            <w:r>
              <w:rPr>
                <w:rFonts w:ascii="Segoe UI"/>
                <w:sz w:val="20"/>
              </w:rPr>
              <w:t>Patient</w:t>
            </w:r>
            <w:r>
              <w:rPr>
                <w:rFonts w:ascii="Segoe UI"/>
                <w:spacing w:val="-6"/>
                <w:sz w:val="20"/>
              </w:rPr>
              <w:t> </w:t>
            </w:r>
            <w:r>
              <w:rPr>
                <w:rFonts w:ascii="Segoe UI"/>
                <w:sz w:val="20"/>
              </w:rPr>
              <w:t>transport</w:t>
            </w:r>
            <w:r>
              <w:rPr>
                <w:rFonts w:ascii="Segoe UI"/>
                <w:spacing w:val="-6"/>
                <w:sz w:val="20"/>
              </w:rPr>
              <w:t> </w:t>
            </w:r>
            <w:r>
              <w:rPr>
                <w:rFonts w:ascii="Segoe UI"/>
                <w:sz w:val="20"/>
              </w:rPr>
              <w:t>assessment</w:t>
            </w:r>
            <w:r>
              <w:rPr>
                <w:rFonts w:ascii="Segoe UI"/>
                <w:spacing w:val="-10"/>
                <w:sz w:val="20"/>
              </w:rPr>
              <w:t> </w:t>
            </w:r>
            <w:r>
              <w:rPr>
                <w:rFonts w:ascii="Segoe UI"/>
                <w:sz w:val="20"/>
              </w:rPr>
              <w:t>included</w:t>
            </w:r>
            <w:r>
              <w:rPr>
                <w:rFonts w:ascii="Segoe UI"/>
                <w:spacing w:val="-10"/>
                <w:sz w:val="20"/>
              </w:rPr>
              <w:t> </w:t>
            </w:r>
            <w:r>
              <w:rPr>
                <w:rFonts w:ascii="Segoe UI"/>
                <w:sz w:val="20"/>
              </w:rPr>
              <w:t>in</w:t>
            </w:r>
            <w:r>
              <w:rPr>
                <w:rFonts w:ascii="Segoe UI"/>
                <w:spacing w:val="-7"/>
                <w:sz w:val="20"/>
              </w:rPr>
              <w:t> </w:t>
            </w:r>
            <w:r>
              <w:rPr>
                <w:rFonts w:ascii="Segoe UI"/>
                <w:sz w:val="20"/>
              </w:rPr>
              <w:t>all pathway redesign and service change </w:t>
            </w:r>
            <w:r>
              <w:rPr>
                <w:rFonts w:ascii="Segoe UI"/>
                <w:spacing w:val="-2"/>
                <w:sz w:val="20"/>
              </w:rPr>
              <w:t>proposals.</w:t>
            </w:r>
          </w:p>
        </w:tc>
        <w:tc>
          <w:tcPr>
            <w:tcW w:w="1722" w:type="dxa"/>
          </w:tcPr>
          <w:p>
            <w:pPr>
              <w:pStyle w:val="TableParagraph"/>
              <w:rPr>
                <w:rFonts w:ascii="Times New Roman"/>
                <w:sz w:val="20"/>
              </w:rPr>
            </w:pPr>
          </w:p>
        </w:tc>
      </w:tr>
    </w:tbl>
    <w:p>
      <w:pPr>
        <w:pStyle w:val="BodyText"/>
        <w:rPr>
          <w:rFonts w:ascii="Calibri"/>
          <w:sz w:val="30"/>
        </w:rPr>
      </w:pPr>
    </w:p>
    <w:p>
      <w:pPr>
        <w:pStyle w:val="BodyText"/>
        <w:rPr>
          <w:rFonts w:ascii="Calibri"/>
          <w:sz w:val="30"/>
        </w:rPr>
      </w:pPr>
    </w:p>
    <w:p>
      <w:pPr>
        <w:pStyle w:val="BodyText"/>
        <w:rPr>
          <w:rFonts w:ascii="Calibri"/>
          <w:sz w:val="30"/>
        </w:rPr>
      </w:pPr>
    </w:p>
    <w:p>
      <w:pPr>
        <w:pStyle w:val="BodyText"/>
        <w:rPr>
          <w:rFonts w:ascii="Calibri"/>
          <w:sz w:val="30"/>
        </w:rPr>
      </w:pPr>
    </w:p>
    <w:p>
      <w:pPr>
        <w:pStyle w:val="BodyText"/>
        <w:rPr>
          <w:rFonts w:ascii="Calibri"/>
          <w:sz w:val="30"/>
        </w:rPr>
      </w:pPr>
    </w:p>
    <w:p>
      <w:pPr>
        <w:pStyle w:val="BodyText"/>
        <w:spacing w:before="352"/>
        <w:rPr>
          <w:rFonts w:ascii="Calibri"/>
          <w:sz w:val="30"/>
        </w:rPr>
      </w:pPr>
    </w:p>
    <w:p>
      <w:pPr>
        <w:pStyle w:val="Heading3"/>
        <w:numPr>
          <w:ilvl w:val="0"/>
          <w:numId w:val="13"/>
        </w:numPr>
        <w:tabs>
          <w:tab w:pos="877" w:val="left" w:leader="none"/>
        </w:tabs>
        <w:spacing w:line="240" w:lineRule="auto" w:before="0" w:after="0"/>
        <w:ind w:left="877" w:right="0" w:hanging="563"/>
        <w:jc w:val="left"/>
        <w:rPr>
          <w:color w:val="1F4E79"/>
        </w:rPr>
      </w:pPr>
      <w:r>
        <w:rPr>
          <w:color w:val="1F4E79"/>
        </w:rPr>
        <w:t>Appendix</w:t>
      </w:r>
      <w:r>
        <w:rPr>
          <w:color w:val="1F4E79"/>
          <w:spacing w:val="-6"/>
        </w:rPr>
        <w:t> </w:t>
      </w:r>
      <w:r>
        <w:rPr>
          <w:color w:val="1F4E79"/>
        </w:rPr>
        <w:t>–</w:t>
      </w:r>
      <w:r>
        <w:rPr>
          <w:color w:val="1F4E79"/>
          <w:spacing w:val="-4"/>
        </w:rPr>
        <w:t> </w:t>
      </w:r>
      <w:r>
        <w:rPr>
          <w:color w:val="1F4E79"/>
        </w:rPr>
        <w:t>Roles,</w:t>
      </w:r>
      <w:r>
        <w:rPr>
          <w:color w:val="1F4E79"/>
          <w:spacing w:val="-6"/>
        </w:rPr>
        <w:t> </w:t>
      </w:r>
      <w:r>
        <w:rPr>
          <w:color w:val="1F4E79"/>
        </w:rPr>
        <w:t>Responsibilities,</w:t>
      </w:r>
      <w:r>
        <w:rPr>
          <w:color w:val="1F4E79"/>
          <w:spacing w:val="-5"/>
        </w:rPr>
        <w:t> </w:t>
      </w:r>
      <w:r>
        <w:rPr>
          <w:color w:val="1F4E79"/>
          <w:spacing w:val="-2"/>
        </w:rPr>
        <w:t>Governance</w:t>
      </w:r>
    </w:p>
    <w:p>
      <w:pPr>
        <w:pStyle w:val="BodyText"/>
        <w:spacing w:before="240"/>
        <w:rPr>
          <w:rFonts w:ascii="Segoe UI"/>
          <w:b/>
          <w:sz w:val="20"/>
        </w:rPr>
      </w:pPr>
      <w:r>
        <w:rPr>
          <w:rFonts w:ascii="Segoe UI"/>
          <w:b/>
          <w:sz w:val="20"/>
        </w:rPr>
        <mc:AlternateContent>
          <mc:Choice Requires="wps">
            <w:drawing>
              <wp:anchor distT="0" distB="0" distL="0" distR="0" allowOverlap="1" layoutInCell="1" locked="0" behindDoc="1" simplePos="0" relativeHeight="487634432">
                <wp:simplePos x="0" y="0"/>
                <wp:positionH relativeFrom="page">
                  <wp:posOffset>574992</wp:posOffset>
                </wp:positionH>
                <wp:positionV relativeFrom="paragraph">
                  <wp:posOffset>342970</wp:posOffset>
                </wp:positionV>
                <wp:extent cx="6553200" cy="190500"/>
                <wp:effectExtent l="0" t="0" r="0" b="0"/>
                <wp:wrapTopAndBottom/>
                <wp:docPr id="244" name="Textbox 244"/>
                <wp:cNvGraphicFramePr>
                  <a:graphicFrameLocks/>
                </wp:cNvGraphicFramePr>
                <a:graphic>
                  <a:graphicData uri="http://schemas.microsoft.com/office/word/2010/wordprocessingShape">
                    <wps:wsp>
                      <wps:cNvPr id="244" name="Textbox 244"/>
                      <wps:cNvSpPr txBox="1"/>
                      <wps:spPr>
                        <a:xfrm>
                          <a:off x="0" y="0"/>
                          <a:ext cx="6553200" cy="19050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Appendix</w:t>
                            </w:r>
                            <w:r>
                              <w:rPr>
                                <w:b/>
                                <w:color w:val="000000"/>
                                <w:spacing w:val="-4"/>
                                <w:sz w:val="24"/>
                              </w:rPr>
                              <w:t> </w:t>
                            </w:r>
                            <w:r>
                              <w:rPr>
                                <w:b/>
                                <w:color w:val="000000"/>
                                <w:sz w:val="24"/>
                              </w:rPr>
                              <w:t>1</w:t>
                            </w:r>
                            <w:r>
                              <w:rPr>
                                <w:b/>
                                <w:color w:val="000000"/>
                                <w:spacing w:val="-1"/>
                                <w:sz w:val="24"/>
                              </w:rPr>
                              <w:t> </w:t>
                            </w:r>
                            <w:r>
                              <w:rPr>
                                <w:b/>
                                <w:color w:val="000000"/>
                                <w:sz w:val="24"/>
                              </w:rPr>
                              <w:t>–</w:t>
                            </w:r>
                            <w:r>
                              <w:rPr>
                                <w:b/>
                                <w:color w:val="000000"/>
                                <w:spacing w:val="-2"/>
                                <w:sz w:val="24"/>
                              </w:rPr>
                              <w:t> </w:t>
                            </w:r>
                            <w:r>
                              <w:rPr>
                                <w:b/>
                                <w:color w:val="000000"/>
                                <w:sz w:val="24"/>
                              </w:rPr>
                              <w:t>Regional</w:t>
                            </w:r>
                            <w:r>
                              <w:rPr>
                                <w:b/>
                                <w:color w:val="000000"/>
                                <w:spacing w:val="-4"/>
                                <w:sz w:val="24"/>
                              </w:rPr>
                              <w:t> </w:t>
                            </w:r>
                            <w:r>
                              <w:rPr>
                                <w:b/>
                                <w:color w:val="000000"/>
                                <w:sz w:val="24"/>
                              </w:rPr>
                              <w:t>Eye</w:t>
                            </w:r>
                            <w:r>
                              <w:rPr>
                                <w:b/>
                                <w:color w:val="000000"/>
                                <w:spacing w:val="-2"/>
                                <w:sz w:val="24"/>
                              </w:rPr>
                              <w:t> </w:t>
                            </w:r>
                            <w:r>
                              <w:rPr>
                                <w:b/>
                                <w:color w:val="000000"/>
                                <w:sz w:val="24"/>
                              </w:rPr>
                              <w:t>Care</w:t>
                            </w:r>
                            <w:r>
                              <w:rPr>
                                <w:b/>
                                <w:color w:val="000000"/>
                                <w:spacing w:val="-2"/>
                                <w:sz w:val="24"/>
                              </w:rPr>
                              <w:t> </w:t>
                            </w:r>
                            <w:r>
                              <w:rPr>
                                <w:b/>
                                <w:color w:val="000000"/>
                                <w:sz w:val="24"/>
                              </w:rPr>
                              <w:t>Programme</w:t>
                            </w:r>
                            <w:r>
                              <w:rPr>
                                <w:b/>
                                <w:color w:val="000000"/>
                                <w:spacing w:val="-6"/>
                                <w:sz w:val="24"/>
                              </w:rPr>
                              <w:t> </w:t>
                            </w:r>
                            <w:r>
                              <w:rPr>
                                <w:b/>
                                <w:color w:val="000000"/>
                                <w:sz w:val="24"/>
                              </w:rPr>
                              <w:t>Board</w:t>
                            </w:r>
                            <w:r>
                              <w:rPr>
                                <w:b/>
                                <w:color w:val="000000"/>
                                <w:spacing w:val="-5"/>
                                <w:sz w:val="24"/>
                              </w:rPr>
                              <w:t> </w:t>
                            </w:r>
                            <w:r>
                              <w:rPr>
                                <w:b/>
                                <w:color w:val="000000"/>
                                <w:sz w:val="24"/>
                              </w:rPr>
                              <w:t>(Attendees</w:t>
                            </w:r>
                            <w:r>
                              <w:rPr>
                                <w:b/>
                                <w:color w:val="000000"/>
                                <w:spacing w:val="-2"/>
                                <w:sz w:val="24"/>
                              </w:rPr>
                              <w:t> </w:t>
                            </w:r>
                            <w:r>
                              <w:rPr>
                                <w:b/>
                                <w:color w:val="000000"/>
                                <w:sz w:val="24"/>
                              </w:rPr>
                              <w:t>+</w:t>
                            </w:r>
                            <w:r>
                              <w:rPr>
                                <w:b/>
                                <w:color w:val="000000"/>
                                <w:spacing w:val="-2"/>
                                <w:sz w:val="24"/>
                              </w:rPr>
                              <w:t> Responsibilities)</w:t>
                            </w:r>
                          </w:p>
                        </w:txbxContent>
                      </wps:txbx>
                      <wps:bodyPr wrap="square" lIns="0" tIns="0" rIns="0" bIns="0" rtlCol="0">
                        <a:noAutofit/>
                      </wps:bodyPr>
                    </wps:wsp>
                  </a:graphicData>
                </a:graphic>
              </wp:anchor>
            </w:drawing>
          </mc:Choice>
          <mc:Fallback>
            <w:pict>
              <v:shape style="position:absolute;margin-left:45.275002pt;margin-top:27.005547pt;width:516pt;height:15pt;mso-position-horizontal-relative:page;mso-position-vertical-relative:paragraph;z-index:-15682048;mso-wrap-distance-left:0;mso-wrap-distance-right:0" type="#_x0000_t202" id="docshape141" filled="true" fillcolor="#c1a875" stroked="true" strokeweight="1pt" strokecolor="#394871">
                <v:textbox inset="0,0,0,0">
                  <w:txbxContent>
                    <w:p>
                      <w:pPr>
                        <w:spacing w:before="0"/>
                        <w:ind w:left="95" w:right="0" w:firstLine="0"/>
                        <w:jc w:val="left"/>
                        <w:rPr>
                          <w:b/>
                          <w:color w:val="000000"/>
                          <w:sz w:val="24"/>
                        </w:rPr>
                      </w:pPr>
                      <w:r>
                        <w:rPr>
                          <w:b/>
                          <w:color w:val="000000"/>
                          <w:sz w:val="24"/>
                        </w:rPr>
                        <w:t>Appendix</w:t>
                      </w:r>
                      <w:r>
                        <w:rPr>
                          <w:b/>
                          <w:color w:val="000000"/>
                          <w:spacing w:val="-4"/>
                          <w:sz w:val="24"/>
                        </w:rPr>
                        <w:t> </w:t>
                      </w:r>
                      <w:r>
                        <w:rPr>
                          <w:b/>
                          <w:color w:val="000000"/>
                          <w:sz w:val="24"/>
                        </w:rPr>
                        <w:t>1</w:t>
                      </w:r>
                      <w:r>
                        <w:rPr>
                          <w:b/>
                          <w:color w:val="000000"/>
                          <w:spacing w:val="-1"/>
                          <w:sz w:val="24"/>
                        </w:rPr>
                        <w:t> </w:t>
                      </w:r>
                      <w:r>
                        <w:rPr>
                          <w:b/>
                          <w:color w:val="000000"/>
                          <w:sz w:val="24"/>
                        </w:rPr>
                        <w:t>–</w:t>
                      </w:r>
                      <w:r>
                        <w:rPr>
                          <w:b/>
                          <w:color w:val="000000"/>
                          <w:spacing w:val="-2"/>
                          <w:sz w:val="24"/>
                        </w:rPr>
                        <w:t> </w:t>
                      </w:r>
                      <w:r>
                        <w:rPr>
                          <w:b/>
                          <w:color w:val="000000"/>
                          <w:sz w:val="24"/>
                        </w:rPr>
                        <w:t>Regional</w:t>
                      </w:r>
                      <w:r>
                        <w:rPr>
                          <w:b/>
                          <w:color w:val="000000"/>
                          <w:spacing w:val="-4"/>
                          <w:sz w:val="24"/>
                        </w:rPr>
                        <w:t> </w:t>
                      </w:r>
                      <w:r>
                        <w:rPr>
                          <w:b/>
                          <w:color w:val="000000"/>
                          <w:sz w:val="24"/>
                        </w:rPr>
                        <w:t>Eye</w:t>
                      </w:r>
                      <w:r>
                        <w:rPr>
                          <w:b/>
                          <w:color w:val="000000"/>
                          <w:spacing w:val="-2"/>
                          <w:sz w:val="24"/>
                        </w:rPr>
                        <w:t> </w:t>
                      </w:r>
                      <w:r>
                        <w:rPr>
                          <w:b/>
                          <w:color w:val="000000"/>
                          <w:sz w:val="24"/>
                        </w:rPr>
                        <w:t>Care</w:t>
                      </w:r>
                      <w:r>
                        <w:rPr>
                          <w:b/>
                          <w:color w:val="000000"/>
                          <w:spacing w:val="-2"/>
                          <w:sz w:val="24"/>
                        </w:rPr>
                        <w:t> </w:t>
                      </w:r>
                      <w:r>
                        <w:rPr>
                          <w:b/>
                          <w:color w:val="000000"/>
                          <w:sz w:val="24"/>
                        </w:rPr>
                        <w:t>Programme</w:t>
                      </w:r>
                      <w:r>
                        <w:rPr>
                          <w:b/>
                          <w:color w:val="000000"/>
                          <w:spacing w:val="-6"/>
                          <w:sz w:val="24"/>
                        </w:rPr>
                        <w:t> </w:t>
                      </w:r>
                      <w:r>
                        <w:rPr>
                          <w:b/>
                          <w:color w:val="000000"/>
                          <w:sz w:val="24"/>
                        </w:rPr>
                        <w:t>Board</w:t>
                      </w:r>
                      <w:r>
                        <w:rPr>
                          <w:b/>
                          <w:color w:val="000000"/>
                          <w:spacing w:val="-5"/>
                          <w:sz w:val="24"/>
                        </w:rPr>
                        <w:t> </w:t>
                      </w:r>
                      <w:r>
                        <w:rPr>
                          <w:b/>
                          <w:color w:val="000000"/>
                          <w:sz w:val="24"/>
                        </w:rPr>
                        <w:t>(Attendees</w:t>
                      </w:r>
                      <w:r>
                        <w:rPr>
                          <w:b/>
                          <w:color w:val="000000"/>
                          <w:spacing w:val="-2"/>
                          <w:sz w:val="24"/>
                        </w:rPr>
                        <w:t> </w:t>
                      </w:r>
                      <w:r>
                        <w:rPr>
                          <w:b/>
                          <w:color w:val="000000"/>
                          <w:sz w:val="24"/>
                        </w:rPr>
                        <w:t>+</w:t>
                      </w:r>
                      <w:r>
                        <w:rPr>
                          <w:b/>
                          <w:color w:val="000000"/>
                          <w:spacing w:val="-2"/>
                          <w:sz w:val="24"/>
                        </w:rPr>
                        <w:t> Responsibilities)</w:t>
                      </w:r>
                    </w:p>
                  </w:txbxContent>
                </v:textbox>
                <v:fill type="solid"/>
                <v:stroke dashstyle="solid"/>
                <w10:wrap type="topAndBottom"/>
              </v:shape>
            </w:pict>
          </mc:Fallback>
        </mc:AlternateContent>
      </w:r>
    </w:p>
    <w:p>
      <w:pPr>
        <w:pStyle w:val="BodyText"/>
        <w:spacing w:before="249"/>
        <w:rPr>
          <w:rFonts w:ascii="Segoe UI"/>
          <w:b/>
          <w:sz w:val="20"/>
        </w:rPr>
      </w:pPr>
    </w:p>
    <w:tbl>
      <w:tblPr>
        <w:tblW w:w="0" w:type="auto"/>
        <w:jc w:val="left"/>
        <w:tblInd w:w="34"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3262"/>
        <w:gridCol w:w="2411"/>
        <w:gridCol w:w="1700"/>
        <w:gridCol w:w="4257"/>
      </w:tblGrid>
      <w:tr>
        <w:trPr>
          <w:trHeight w:val="424" w:hRule="atLeast"/>
        </w:trPr>
        <w:tc>
          <w:tcPr>
            <w:tcW w:w="3262" w:type="dxa"/>
            <w:shd w:val="clear" w:color="auto" w:fill="C1A875"/>
          </w:tcPr>
          <w:p>
            <w:pPr>
              <w:pStyle w:val="TableParagraph"/>
              <w:spacing w:line="265" w:lineRule="exact"/>
              <w:ind w:left="105"/>
              <w:rPr>
                <w:rFonts w:ascii="Segoe UI"/>
                <w:b/>
                <w:sz w:val="20"/>
              </w:rPr>
            </w:pPr>
            <w:r>
              <w:rPr>
                <w:rFonts w:ascii="Segoe UI"/>
                <w:b/>
                <w:spacing w:val="-5"/>
                <w:sz w:val="20"/>
              </w:rPr>
              <w:t>SRO</w:t>
            </w:r>
          </w:p>
        </w:tc>
        <w:tc>
          <w:tcPr>
            <w:tcW w:w="2411" w:type="dxa"/>
            <w:shd w:val="clear" w:color="auto" w:fill="C1A875"/>
          </w:tcPr>
          <w:p>
            <w:pPr>
              <w:pStyle w:val="TableParagraph"/>
              <w:rPr>
                <w:rFonts w:ascii="Times New Roman"/>
                <w:sz w:val="20"/>
              </w:rPr>
            </w:pPr>
          </w:p>
        </w:tc>
        <w:tc>
          <w:tcPr>
            <w:tcW w:w="1700" w:type="dxa"/>
            <w:shd w:val="clear" w:color="auto" w:fill="C1A875"/>
          </w:tcPr>
          <w:p>
            <w:pPr>
              <w:pStyle w:val="TableParagraph"/>
              <w:rPr>
                <w:rFonts w:ascii="Times New Roman"/>
                <w:sz w:val="20"/>
              </w:rPr>
            </w:pPr>
          </w:p>
        </w:tc>
        <w:tc>
          <w:tcPr>
            <w:tcW w:w="4257" w:type="dxa"/>
            <w:shd w:val="clear" w:color="auto" w:fill="C1A875"/>
          </w:tcPr>
          <w:p>
            <w:pPr>
              <w:pStyle w:val="TableParagraph"/>
              <w:spacing w:line="265" w:lineRule="exact"/>
              <w:ind w:left="110"/>
              <w:rPr>
                <w:rFonts w:ascii="Segoe UI"/>
                <w:b/>
                <w:sz w:val="20"/>
              </w:rPr>
            </w:pPr>
            <w:r>
              <w:rPr>
                <w:rFonts w:ascii="Segoe UI"/>
                <w:b/>
                <w:spacing w:val="-2"/>
                <w:sz w:val="20"/>
              </w:rPr>
              <w:t>Responsibility</w:t>
            </w:r>
          </w:p>
        </w:tc>
      </w:tr>
      <w:tr>
        <w:trPr>
          <w:trHeight w:val="920" w:hRule="atLeast"/>
        </w:trPr>
        <w:tc>
          <w:tcPr>
            <w:tcW w:w="3262" w:type="dxa"/>
          </w:tcPr>
          <w:p>
            <w:pPr>
              <w:pStyle w:val="TableParagraph"/>
              <w:spacing w:line="265" w:lineRule="exact"/>
              <w:ind w:left="105"/>
              <w:rPr>
                <w:rFonts w:ascii="Segoe UI"/>
                <w:sz w:val="20"/>
              </w:rPr>
            </w:pPr>
            <w:r>
              <w:rPr>
                <w:rFonts w:ascii="Segoe UI"/>
                <w:sz w:val="20"/>
              </w:rPr>
              <w:t>Deputy</w:t>
            </w:r>
            <w:r>
              <w:rPr>
                <w:rFonts w:ascii="Segoe UI"/>
                <w:spacing w:val="-4"/>
                <w:sz w:val="20"/>
              </w:rPr>
              <w:t> </w:t>
            </w:r>
            <w:r>
              <w:rPr>
                <w:rFonts w:ascii="Segoe UI"/>
                <w:sz w:val="20"/>
              </w:rPr>
              <w:t>Chief</w:t>
            </w:r>
            <w:r>
              <w:rPr>
                <w:rFonts w:ascii="Segoe UI"/>
                <w:spacing w:val="-3"/>
                <w:sz w:val="20"/>
              </w:rPr>
              <w:t> </w:t>
            </w:r>
            <w:r>
              <w:rPr>
                <w:rFonts w:ascii="Segoe UI"/>
                <w:sz w:val="20"/>
              </w:rPr>
              <w:t>Operating</w:t>
            </w:r>
            <w:r>
              <w:rPr>
                <w:rFonts w:ascii="Segoe UI"/>
                <w:spacing w:val="3"/>
                <w:sz w:val="20"/>
              </w:rPr>
              <w:t> </w:t>
            </w:r>
            <w:r>
              <w:rPr>
                <w:rFonts w:ascii="Segoe UI"/>
                <w:spacing w:val="-2"/>
                <w:sz w:val="20"/>
              </w:rPr>
              <w:t>Officer</w:t>
            </w:r>
          </w:p>
        </w:tc>
        <w:tc>
          <w:tcPr>
            <w:tcW w:w="2411" w:type="dxa"/>
          </w:tcPr>
          <w:p>
            <w:pPr>
              <w:pStyle w:val="TableParagraph"/>
              <w:spacing w:line="280" w:lineRule="auto"/>
              <w:ind w:left="109"/>
              <w:rPr>
                <w:rFonts w:ascii="Segoe UI"/>
                <w:sz w:val="20"/>
              </w:rPr>
            </w:pPr>
            <w:r>
              <w:rPr>
                <w:rFonts w:ascii="Segoe UI"/>
                <w:sz w:val="20"/>
              </w:rPr>
              <w:t>Swansea</w:t>
            </w:r>
            <w:r>
              <w:rPr>
                <w:rFonts w:ascii="Segoe UI"/>
                <w:spacing w:val="-14"/>
                <w:sz w:val="20"/>
              </w:rPr>
              <w:t> </w:t>
            </w:r>
            <w:r>
              <w:rPr>
                <w:rFonts w:ascii="Segoe UI"/>
                <w:sz w:val="20"/>
              </w:rPr>
              <w:t>Bay</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Craige</w:t>
            </w:r>
            <w:r>
              <w:rPr>
                <w:rFonts w:ascii="Segoe UI"/>
                <w:spacing w:val="-1"/>
                <w:sz w:val="20"/>
              </w:rPr>
              <w:t> </w:t>
            </w:r>
            <w:r>
              <w:rPr>
                <w:rFonts w:ascii="Segoe UI"/>
                <w:spacing w:val="-2"/>
                <w:sz w:val="20"/>
              </w:rPr>
              <w:t>Wilson</w:t>
            </w:r>
          </w:p>
        </w:tc>
        <w:tc>
          <w:tcPr>
            <w:tcW w:w="4257" w:type="dxa"/>
          </w:tcPr>
          <w:p>
            <w:pPr>
              <w:pStyle w:val="TableParagraph"/>
              <w:spacing w:line="265" w:lineRule="exact"/>
              <w:ind w:left="110"/>
              <w:rPr>
                <w:rFonts w:ascii="Segoe UI"/>
                <w:sz w:val="20"/>
              </w:rPr>
            </w:pPr>
            <w:r>
              <w:rPr>
                <w:rFonts w:ascii="Segoe UI"/>
                <w:sz w:val="20"/>
              </w:rPr>
              <w:t>Accountable</w:t>
            </w:r>
            <w:r>
              <w:rPr>
                <w:rFonts w:ascii="Segoe UI"/>
                <w:spacing w:val="-4"/>
                <w:sz w:val="20"/>
              </w:rPr>
              <w:t> </w:t>
            </w:r>
            <w:r>
              <w:rPr>
                <w:rFonts w:ascii="Segoe UI"/>
                <w:sz w:val="20"/>
              </w:rPr>
              <w:t>for</w:t>
            </w:r>
            <w:r>
              <w:rPr>
                <w:rFonts w:ascii="Segoe UI"/>
                <w:spacing w:val="-4"/>
                <w:sz w:val="20"/>
              </w:rPr>
              <w:t> </w:t>
            </w:r>
            <w:r>
              <w:rPr>
                <w:rFonts w:ascii="Segoe UI"/>
                <w:sz w:val="20"/>
              </w:rPr>
              <w:t>programme</w:t>
            </w:r>
            <w:r>
              <w:rPr>
                <w:rFonts w:ascii="Segoe UI"/>
                <w:spacing w:val="-3"/>
                <w:sz w:val="20"/>
              </w:rPr>
              <w:t> </w:t>
            </w:r>
            <w:r>
              <w:rPr>
                <w:rFonts w:ascii="Segoe UI"/>
                <w:spacing w:val="-2"/>
                <w:sz w:val="20"/>
              </w:rPr>
              <w:t>vision,</w:t>
            </w:r>
          </w:p>
          <w:p>
            <w:pPr>
              <w:pStyle w:val="TableParagraph"/>
              <w:spacing w:line="300" w:lineRule="atLeast" w:before="10"/>
              <w:ind w:left="110"/>
              <w:rPr>
                <w:rFonts w:ascii="Segoe UI"/>
                <w:sz w:val="20"/>
              </w:rPr>
            </w:pPr>
            <w:r>
              <w:rPr>
                <w:rFonts w:ascii="Segoe UI"/>
                <w:sz w:val="20"/>
              </w:rPr>
              <w:t>governance,</w:t>
            </w:r>
            <w:r>
              <w:rPr>
                <w:rFonts w:ascii="Segoe UI"/>
                <w:spacing w:val="-11"/>
                <w:sz w:val="20"/>
              </w:rPr>
              <w:t> </w:t>
            </w:r>
            <w:r>
              <w:rPr>
                <w:rFonts w:ascii="Segoe UI"/>
                <w:sz w:val="20"/>
              </w:rPr>
              <w:t>benefits</w:t>
            </w:r>
            <w:r>
              <w:rPr>
                <w:rFonts w:ascii="Segoe UI"/>
                <w:spacing w:val="-10"/>
                <w:sz w:val="20"/>
              </w:rPr>
              <w:t> </w:t>
            </w:r>
            <w:r>
              <w:rPr>
                <w:rFonts w:ascii="Segoe UI"/>
                <w:sz w:val="20"/>
              </w:rPr>
              <w:t>realisation,</w:t>
            </w:r>
            <w:r>
              <w:rPr>
                <w:rFonts w:ascii="Segoe UI"/>
                <w:spacing w:val="-8"/>
                <w:sz w:val="20"/>
              </w:rPr>
              <w:t> </w:t>
            </w:r>
            <w:r>
              <w:rPr>
                <w:rFonts w:ascii="Segoe UI"/>
                <w:sz w:val="20"/>
              </w:rPr>
              <w:t>funding,</w:t>
            </w:r>
            <w:r>
              <w:rPr>
                <w:rFonts w:ascii="Segoe UI"/>
                <w:spacing w:val="-8"/>
                <w:sz w:val="20"/>
              </w:rPr>
              <w:t> </w:t>
            </w:r>
            <w:r>
              <w:rPr>
                <w:rFonts w:ascii="Segoe UI"/>
                <w:sz w:val="20"/>
              </w:rPr>
              <w:t>risk management, and successful delivery of</w:t>
            </w:r>
          </w:p>
        </w:tc>
      </w:tr>
    </w:tbl>
    <w:p>
      <w:pPr>
        <w:spacing w:before="129"/>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spacing w:before="78" w:after="52"/>
        <w:ind w:left="0" w:right="873" w:firstLine="0"/>
        <w:jc w:val="right"/>
        <w:rPr>
          <w:rFonts w:ascii="Calibri"/>
          <w:sz w:val="16"/>
        </w:rPr>
      </w:pP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tbl>
      <w:tblPr>
        <w:tblW w:w="0" w:type="auto"/>
        <w:jc w:val="left"/>
        <w:tblInd w:w="34"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3262"/>
        <w:gridCol w:w="2411"/>
        <w:gridCol w:w="1700"/>
        <w:gridCol w:w="4257"/>
      </w:tblGrid>
      <w:tr>
        <w:trPr>
          <w:trHeight w:val="425" w:hRule="atLeast"/>
        </w:trPr>
        <w:tc>
          <w:tcPr>
            <w:tcW w:w="3262" w:type="dxa"/>
          </w:tcPr>
          <w:p>
            <w:pPr>
              <w:pStyle w:val="TableParagraph"/>
              <w:rPr>
                <w:rFonts w:ascii="Times New Roman"/>
                <w:sz w:val="18"/>
              </w:rPr>
            </w:pPr>
          </w:p>
        </w:tc>
        <w:tc>
          <w:tcPr>
            <w:tcW w:w="2411" w:type="dxa"/>
          </w:tcPr>
          <w:p>
            <w:pPr>
              <w:pStyle w:val="TableParagraph"/>
              <w:rPr>
                <w:rFonts w:ascii="Times New Roman"/>
                <w:sz w:val="18"/>
              </w:rPr>
            </w:pPr>
          </w:p>
        </w:tc>
        <w:tc>
          <w:tcPr>
            <w:tcW w:w="1700" w:type="dxa"/>
          </w:tcPr>
          <w:p>
            <w:pPr>
              <w:pStyle w:val="TableParagraph"/>
              <w:rPr>
                <w:rFonts w:ascii="Times New Roman"/>
                <w:sz w:val="18"/>
              </w:rPr>
            </w:pPr>
          </w:p>
        </w:tc>
        <w:tc>
          <w:tcPr>
            <w:tcW w:w="4257" w:type="dxa"/>
          </w:tcPr>
          <w:p>
            <w:pPr>
              <w:pStyle w:val="TableParagraph"/>
              <w:spacing w:line="265" w:lineRule="exact"/>
              <w:ind w:left="110"/>
              <w:rPr>
                <w:rFonts w:ascii="Segoe UI"/>
                <w:sz w:val="20"/>
              </w:rPr>
            </w:pPr>
            <w:r>
              <w:rPr>
                <w:rFonts w:ascii="Segoe UI"/>
                <w:sz w:val="20"/>
              </w:rPr>
              <w:t>strategic </w:t>
            </w:r>
            <w:r>
              <w:rPr>
                <w:rFonts w:ascii="Segoe UI"/>
                <w:spacing w:val="-2"/>
                <w:sz w:val="20"/>
              </w:rPr>
              <w:t>outcomes.</w:t>
            </w:r>
          </w:p>
        </w:tc>
      </w:tr>
      <w:tr>
        <w:trPr>
          <w:trHeight w:val="425" w:hRule="atLeast"/>
        </w:trPr>
        <w:tc>
          <w:tcPr>
            <w:tcW w:w="3262" w:type="dxa"/>
            <w:shd w:val="clear" w:color="auto" w:fill="C1A875"/>
          </w:tcPr>
          <w:p>
            <w:pPr>
              <w:pStyle w:val="TableParagraph"/>
              <w:spacing w:line="265" w:lineRule="exact"/>
              <w:ind w:left="105"/>
              <w:rPr>
                <w:rFonts w:ascii="Segoe UI"/>
                <w:b/>
                <w:sz w:val="20"/>
              </w:rPr>
            </w:pPr>
            <w:r>
              <w:rPr>
                <w:rFonts w:ascii="Segoe UI"/>
                <w:b/>
                <w:spacing w:val="-2"/>
                <w:sz w:val="20"/>
              </w:rPr>
              <w:t>Members</w:t>
            </w:r>
          </w:p>
        </w:tc>
        <w:tc>
          <w:tcPr>
            <w:tcW w:w="2411" w:type="dxa"/>
            <w:shd w:val="clear" w:color="auto" w:fill="C1A875"/>
          </w:tcPr>
          <w:p>
            <w:pPr>
              <w:pStyle w:val="TableParagraph"/>
              <w:spacing w:line="265" w:lineRule="exact"/>
              <w:ind w:left="109"/>
              <w:rPr>
                <w:rFonts w:ascii="Segoe UI"/>
                <w:b/>
                <w:sz w:val="20"/>
              </w:rPr>
            </w:pPr>
            <w:r>
              <w:rPr>
                <w:rFonts w:ascii="Segoe UI"/>
                <w:b/>
                <w:spacing w:val="-2"/>
                <w:sz w:val="20"/>
              </w:rPr>
              <w:t>Organisation</w:t>
            </w:r>
          </w:p>
        </w:tc>
        <w:tc>
          <w:tcPr>
            <w:tcW w:w="1700" w:type="dxa"/>
            <w:shd w:val="clear" w:color="auto" w:fill="C1A875"/>
          </w:tcPr>
          <w:p>
            <w:pPr>
              <w:pStyle w:val="TableParagraph"/>
              <w:rPr>
                <w:rFonts w:ascii="Times New Roman"/>
                <w:sz w:val="18"/>
              </w:rPr>
            </w:pPr>
          </w:p>
        </w:tc>
        <w:tc>
          <w:tcPr>
            <w:tcW w:w="4257" w:type="dxa"/>
            <w:shd w:val="clear" w:color="auto" w:fill="C1A875"/>
          </w:tcPr>
          <w:p>
            <w:pPr>
              <w:pStyle w:val="TableParagraph"/>
              <w:rPr>
                <w:rFonts w:ascii="Times New Roman"/>
                <w:sz w:val="18"/>
              </w:rPr>
            </w:pPr>
          </w:p>
        </w:tc>
      </w:tr>
      <w:tr>
        <w:trPr>
          <w:trHeight w:val="735" w:hRule="atLeast"/>
        </w:trPr>
        <w:tc>
          <w:tcPr>
            <w:tcW w:w="3262" w:type="dxa"/>
          </w:tcPr>
          <w:p>
            <w:pPr>
              <w:pStyle w:val="TableParagraph"/>
              <w:spacing w:line="265" w:lineRule="exact"/>
              <w:ind w:left="105"/>
              <w:rPr>
                <w:rFonts w:ascii="Segoe UI" w:hAnsi="Segoe UI"/>
                <w:sz w:val="20"/>
              </w:rPr>
            </w:pPr>
            <w:r>
              <w:rPr>
                <w:rFonts w:ascii="Segoe UI" w:hAnsi="Segoe UI"/>
                <w:sz w:val="20"/>
              </w:rPr>
              <w:t>Assistant</w:t>
            </w:r>
            <w:r>
              <w:rPr>
                <w:rFonts w:ascii="Segoe UI" w:hAnsi="Segoe UI"/>
                <w:spacing w:val="-8"/>
                <w:sz w:val="20"/>
              </w:rPr>
              <w:t> </w:t>
            </w:r>
            <w:r>
              <w:rPr>
                <w:rFonts w:ascii="Segoe UI" w:hAnsi="Segoe UI"/>
                <w:sz w:val="20"/>
              </w:rPr>
              <w:t>Director</w:t>
            </w:r>
            <w:r>
              <w:rPr>
                <w:rFonts w:ascii="Segoe UI" w:hAnsi="Segoe UI"/>
                <w:spacing w:val="-3"/>
                <w:sz w:val="20"/>
              </w:rPr>
              <w:t> </w:t>
            </w:r>
            <w:r>
              <w:rPr>
                <w:rFonts w:ascii="Segoe UI" w:hAnsi="Segoe UI"/>
                <w:sz w:val="20"/>
              </w:rPr>
              <w:t>of</w:t>
            </w:r>
            <w:r>
              <w:rPr>
                <w:rFonts w:ascii="Segoe UI" w:hAnsi="Segoe UI"/>
                <w:spacing w:val="-1"/>
                <w:sz w:val="20"/>
              </w:rPr>
              <w:t> </w:t>
            </w:r>
            <w:r>
              <w:rPr>
                <w:rFonts w:ascii="Segoe UI" w:hAnsi="Segoe UI"/>
                <w:sz w:val="20"/>
              </w:rPr>
              <w:t>Operations</w:t>
            </w:r>
            <w:r>
              <w:rPr>
                <w:rFonts w:ascii="Segoe UI" w:hAnsi="Segoe UI"/>
                <w:spacing w:val="1"/>
                <w:sz w:val="20"/>
              </w:rPr>
              <w:t> </w:t>
            </w:r>
            <w:r>
              <w:rPr>
                <w:rFonts w:ascii="Segoe UI" w:hAnsi="Segoe UI"/>
                <w:spacing w:val="-10"/>
                <w:sz w:val="20"/>
              </w:rPr>
              <w:t>–</w:t>
            </w:r>
          </w:p>
          <w:p>
            <w:pPr>
              <w:pStyle w:val="TableParagraph"/>
              <w:spacing w:before="39"/>
              <w:ind w:left="105"/>
              <w:rPr>
                <w:rFonts w:ascii="Segoe UI"/>
                <w:sz w:val="20"/>
              </w:rPr>
            </w:pPr>
            <w:r>
              <w:rPr>
                <w:rFonts w:ascii="Segoe UI"/>
                <w:sz w:val="20"/>
              </w:rPr>
              <w:t>Planned</w:t>
            </w:r>
            <w:r>
              <w:rPr>
                <w:rFonts w:ascii="Segoe UI"/>
                <w:spacing w:val="-2"/>
                <w:sz w:val="20"/>
              </w:rPr>
              <w:t> </w:t>
            </w:r>
            <w:r>
              <w:rPr>
                <w:rFonts w:ascii="Segoe UI"/>
                <w:spacing w:val="-4"/>
                <w:sz w:val="20"/>
              </w:rPr>
              <w:t>Care</w:t>
            </w:r>
          </w:p>
        </w:tc>
        <w:tc>
          <w:tcPr>
            <w:tcW w:w="2411" w:type="dxa"/>
          </w:tcPr>
          <w:p>
            <w:pPr>
              <w:pStyle w:val="TableParagraph"/>
              <w:spacing w:line="276" w:lineRule="auto"/>
              <w:ind w:left="109"/>
              <w:rPr>
                <w:rFonts w:ascii="Segoe UI"/>
                <w:sz w:val="20"/>
              </w:rPr>
            </w:pPr>
            <w:r>
              <w:rPr>
                <w:rFonts w:ascii="Segoe UI"/>
                <w:sz w:val="20"/>
              </w:rPr>
              <w:t>Swansea</w:t>
            </w:r>
            <w:r>
              <w:rPr>
                <w:rFonts w:ascii="Segoe UI"/>
                <w:spacing w:val="-14"/>
                <w:sz w:val="20"/>
              </w:rPr>
              <w:t> </w:t>
            </w:r>
            <w:r>
              <w:rPr>
                <w:rFonts w:ascii="Segoe UI"/>
                <w:sz w:val="20"/>
              </w:rPr>
              <w:t>Bay</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Hannah</w:t>
            </w:r>
            <w:r>
              <w:rPr>
                <w:rFonts w:ascii="Segoe UI"/>
                <w:spacing w:val="-5"/>
                <w:sz w:val="20"/>
              </w:rPr>
              <w:t> </w:t>
            </w:r>
            <w:r>
              <w:rPr>
                <w:rFonts w:ascii="Segoe UI"/>
                <w:spacing w:val="-2"/>
                <w:sz w:val="20"/>
              </w:rPr>
              <w:t>Parsons</w:t>
            </w:r>
          </w:p>
        </w:tc>
        <w:tc>
          <w:tcPr>
            <w:tcW w:w="4257" w:type="dxa"/>
          </w:tcPr>
          <w:p>
            <w:pPr>
              <w:pStyle w:val="TableParagraph"/>
              <w:spacing w:line="276" w:lineRule="auto"/>
              <w:ind w:left="110" w:right="215"/>
              <w:rPr>
                <w:rFonts w:ascii="Segoe UI"/>
                <w:sz w:val="20"/>
              </w:rPr>
            </w:pPr>
            <w:r>
              <w:rPr>
                <w:rFonts w:ascii="Segoe UI"/>
                <w:sz w:val="20"/>
              </w:rPr>
              <w:t>Planned</w:t>
            </w:r>
            <w:r>
              <w:rPr>
                <w:rFonts w:ascii="Segoe UI"/>
                <w:spacing w:val="-10"/>
                <w:sz w:val="20"/>
              </w:rPr>
              <w:t> </w:t>
            </w:r>
            <w:r>
              <w:rPr>
                <w:rFonts w:ascii="Segoe UI"/>
                <w:sz w:val="20"/>
              </w:rPr>
              <w:t>Care</w:t>
            </w:r>
            <w:r>
              <w:rPr>
                <w:rFonts w:ascii="Segoe UI"/>
                <w:spacing w:val="-12"/>
                <w:sz w:val="20"/>
              </w:rPr>
              <w:t> </w:t>
            </w:r>
            <w:r>
              <w:rPr>
                <w:rFonts w:ascii="Segoe UI"/>
                <w:sz w:val="20"/>
              </w:rPr>
              <w:t>Programme</w:t>
            </w:r>
            <w:r>
              <w:rPr>
                <w:rFonts w:ascii="Segoe UI"/>
                <w:spacing w:val="-12"/>
                <w:sz w:val="20"/>
              </w:rPr>
              <w:t> </w:t>
            </w:r>
            <w:r>
              <w:rPr>
                <w:rFonts w:ascii="Segoe UI"/>
                <w:sz w:val="20"/>
              </w:rPr>
              <w:t>Board</w:t>
            </w:r>
            <w:r>
              <w:rPr>
                <w:rFonts w:ascii="Segoe UI"/>
                <w:spacing w:val="-10"/>
                <w:sz w:val="20"/>
              </w:rPr>
              <w:t> </w:t>
            </w:r>
            <w:r>
              <w:rPr>
                <w:rFonts w:ascii="Segoe UI"/>
                <w:sz w:val="20"/>
              </w:rPr>
              <w:t>and Organisational alignment</w:t>
            </w:r>
          </w:p>
        </w:tc>
      </w:tr>
      <w:tr>
        <w:trPr>
          <w:trHeight w:val="730" w:hRule="atLeast"/>
        </w:trPr>
        <w:tc>
          <w:tcPr>
            <w:tcW w:w="3262" w:type="dxa"/>
          </w:tcPr>
          <w:p>
            <w:pPr>
              <w:pStyle w:val="TableParagraph"/>
              <w:spacing w:line="276" w:lineRule="auto"/>
              <w:ind w:left="105"/>
              <w:rPr>
                <w:rFonts w:ascii="Segoe UI"/>
                <w:sz w:val="20"/>
              </w:rPr>
            </w:pPr>
            <w:r>
              <w:rPr>
                <w:rFonts w:ascii="Segoe UI"/>
                <w:sz w:val="20"/>
              </w:rPr>
              <w:t>Service</w:t>
            </w:r>
            <w:r>
              <w:rPr>
                <w:rFonts w:ascii="Segoe UI"/>
                <w:spacing w:val="-10"/>
                <w:sz w:val="20"/>
              </w:rPr>
              <w:t> </w:t>
            </w:r>
            <w:r>
              <w:rPr>
                <w:rFonts w:ascii="Segoe UI"/>
                <w:sz w:val="20"/>
              </w:rPr>
              <w:t>Director</w:t>
            </w:r>
            <w:r>
              <w:rPr>
                <w:rFonts w:ascii="Segoe UI"/>
                <w:spacing w:val="-10"/>
                <w:sz w:val="20"/>
              </w:rPr>
              <w:t> </w:t>
            </w:r>
            <w:r>
              <w:rPr>
                <w:rFonts w:ascii="Segoe UI"/>
                <w:sz w:val="20"/>
              </w:rPr>
              <w:t>for</w:t>
            </w:r>
            <w:r>
              <w:rPr>
                <w:rFonts w:ascii="Segoe UI"/>
                <w:spacing w:val="-10"/>
                <w:sz w:val="20"/>
              </w:rPr>
              <w:t> </w:t>
            </w:r>
            <w:r>
              <w:rPr>
                <w:rFonts w:ascii="Segoe UI"/>
                <w:sz w:val="20"/>
              </w:rPr>
              <w:t>Planned</w:t>
            </w:r>
            <w:r>
              <w:rPr>
                <w:rFonts w:ascii="Segoe UI"/>
                <w:spacing w:val="-8"/>
                <w:sz w:val="20"/>
              </w:rPr>
              <w:t> </w:t>
            </w:r>
            <w:r>
              <w:rPr>
                <w:rFonts w:ascii="Segoe UI"/>
                <w:sz w:val="20"/>
              </w:rPr>
              <w:t>and Specialist Care</w:t>
            </w:r>
          </w:p>
        </w:tc>
        <w:tc>
          <w:tcPr>
            <w:tcW w:w="2411" w:type="dxa"/>
          </w:tcPr>
          <w:p>
            <w:pPr>
              <w:pStyle w:val="TableParagraph"/>
              <w:spacing w:line="276" w:lineRule="auto"/>
              <w:ind w:left="109"/>
              <w:rPr>
                <w:rFonts w:ascii="Segoe UI"/>
                <w:sz w:val="20"/>
              </w:rPr>
            </w:pPr>
            <w:r>
              <w:rPr>
                <w:rFonts w:ascii="Segoe UI"/>
                <w:sz w:val="20"/>
              </w:rPr>
              <w:t>Hywel</w:t>
            </w:r>
            <w:r>
              <w:rPr>
                <w:rFonts w:ascii="Segoe UI"/>
                <w:spacing w:val="-14"/>
                <w:sz w:val="20"/>
              </w:rPr>
              <w:t> </w:t>
            </w:r>
            <w:r>
              <w:rPr>
                <w:rFonts w:ascii="Segoe UI"/>
                <w:sz w:val="20"/>
              </w:rPr>
              <w:t>Dda</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Paula</w:t>
            </w:r>
            <w:r>
              <w:rPr>
                <w:rFonts w:ascii="Segoe UI"/>
                <w:spacing w:val="-7"/>
                <w:sz w:val="20"/>
              </w:rPr>
              <w:t> </w:t>
            </w:r>
            <w:r>
              <w:rPr>
                <w:rFonts w:ascii="Segoe UI"/>
                <w:spacing w:val="-2"/>
                <w:sz w:val="20"/>
              </w:rPr>
              <w:t>Goode</w:t>
            </w:r>
          </w:p>
        </w:tc>
        <w:tc>
          <w:tcPr>
            <w:tcW w:w="4257" w:type="dxa"/>
          </w:tcPr>
          <w:p>
            <w:pPr>
              <w:pStyle w:val="TableParagraph"/>
              <w:spacing w:line="276" w:lineRule="auto"/>
              <w:ind w:left="110" w:right="215"/>
              <w:rPr>
                <w:rFonts w:ascii="Segoe UI"/>
                <w:sz w:val="20"/>
              </w:rPr>
            </w:pPr>
            <w:r>
              <w:rPr>
                <w:rFonts w:ascii="Segoe UI"/>
                <w:sz w:val="20"/>
              </w:rPr>
              <w:t>Clinical</w:t>
            </w:r>
            <w:r>
              <w:rPr>
                <w:rFonts w:ascii="Segoe UI"/>
                <w:spacing w:val="-10"/>
                <w:sz w:val="20"/>
              </w:rPr>
              <w:t> </w:t>
            </w:r>
            <w:r>
              <w:rPr>
                <w:rFonts w:ascii="Segoe UI"/>
                <w:sz w:val="20"/>
              </w:rPr>
              <w:t>Care</w:t>
            </w:r>
            <w:r>
              <w:rPr>
                <w:rFonts w:ascii="Segoe UI"/>
                <w:spacing w:val="-11"/>
                <w:sz w:val="20"/>
              </w:rPr>
              <w:t> </w:t>
            </w:r>
            <w:r>
              <w:rPr>
                <w:rFonts w:ascii="Segoe UI"/>
                <w:sz w:val="20"/>
              </w:rPr>
              <w:t>Group</w:t>
            </w:r>
            <w:r>
              <w:rPr>
                <w:rFonts w:ascii="Segoe UI"/>
                <w:spacing w:val="-9"/>
                <w:sz w:val="20"/>
              </w:rPr>
              <w:t> </w:t>
            </w:r>
            <w:r>
              <w:rPr>
                <w:rFonts w:ascii="Segoe UI"/>
                <w:sz w:val="20"/>
              </w:rPr>
              <w:t>and</w:t>
            </w:r>
            <w:r>
              <w:rPr>
                <w:rFonts w:ascii="Segoe UI"/>
                <w:spacing w:val="-9"/>
                <w:sz w:val="20"/>
              </w:rPr>
              <w:t> </w:t>
            </w:r>
            <w:r>
              <w:rPr>
                <w:rFonts w:ascii="Segoe UI"/>
                <w:sz w:val="20"/>
              </w:rPr>
              <w:t>Organisational </w:t>
            </w:r>
            <w:r>
              <w:rPr>
                <w:rFonts w:ascii="Segoe UI"/>
                <w:spacing w:val="-2"/>
                <w:sz w:val="20"/>
              </w:rPr>
              <w:t>alignment</w:t>
            </w:r>
          </w:p>
        </w:tc>
      </w:tr>
      <w:tr>
        <w:trPr>
          <w:trHeight w:val="730" w:hRule="atLeast"/>
        </w:trPr>
        <w:tc>
          <w:tcPr>
            <w:tcW w:w="3262" w:type="dxa"/>
          </w:tcPr>
          <w:p>
            <w:pPr>
              <w:pStyle w:val="TableParagraph"/>
              <w:spacing w:line="265" w:lineRule="exact"/>
              <w:ind w:left="105"/>
              <w:rPr>
                <w:rFonts w:ascii="Segoe UI"/>
                <w:sz w:val="20"/>
              </w:rPr>
            </w:pPr>
            <w:r>
              <w:rPr>
                <w:rFonts w:ascii="Segoe UI"/>
                <w:sz w:val="20"/>
              </w:rPr>
              <w:t>Clinical</w:t>
            </w:r>
            <w:r>
              <w:rPr>
                <w:rFonts w:ascii="Segoe UI"/>
                <w:spacing w:val="-4"/>
                <w:sz w:val="20"/>
              </w:rPr>
              <w:t> </w:t>
            </w:r>
            <w:r>
              <w:rPr>
                <w:rFonts w:ascii="Segoe UI"/>
                <w:sz w:val="20"/>
              </w:rPr>
              <w:t>Lead</w:t>
            </w:r>
            <w:r>
              <w:rPr>
                <w:rFonts w:ascii="Segoe UI"/>
                <w:spacing w:val="-4"/>
                <w:sz w:val="20"/>
              </w:rPr>
              <w:t> </w:t>
            </w:r>
            <w:r>
              <w:rPr>
                <w:rFonts w:ascii="Segoe UI"/>
                <w:sz w:val="20"/>
              </w:rPr>
              <w:t>for</w:t>
            </w:r>
            <w:r>
              <w:rPr>
                <w:rFonts w:ascii="Segoe UI"/>
                <w:spacing w:val="-2"/>
                <w:sz w:val="20"/>
              </w:rPr>
              <w:t> </w:t>
            </w:r>
            <w:r>
              <w:rPr>
                <w:rFonts w:ascii="Segoe UI"/>
                <w:sz w:val="20"/>
              </w:rPr>
              <w:t>Eye</w:t>
            </w:r>
            <w:r>
              <w:rPr>
                <w:rFonts w:ascii="Segoe UI"/>
                <w:spacing w:val="-2"/>
                <w:sz w:val="20"/>
              </w:rPr>
              <w:t> </w:t>
            </w:r>
            <w:r>
              <w:rPr>
                <w:rFonts w:ascii="Segoe UI"/>
                <w:spacing w:val="-4"/>
                <w:sz w:val="20"/>
              </w:rPr>
              <w:t>Care</w:t>
            </w:r>
          </w:p>
        </w:tc>
        <w:tc>
          <w:tcPr>
            <w:tcW w:w="2411" w:type="dxa"/>
          </w:tcPr>
          <w:p>
            <w:pPr>
              <w:pStyle w:val="TableParagraph"/>
              <w:spacing w:line="276" w:lineRule="auto"/>
              <w:ind w:left="109"/>
              <w:rPr>
                <w:rFonts w:ascii="Segoe UI"/>
                <w:sz w:val="20"/>
              </w:rPr>
            </w:pPr>
            <w:r>
              <w:rPr>
                <w:rFonts w:ascii="Segoe UI"/>
                <w:sz w:val="20"/>
              </w:rPr>
              <w:t>Swansea</w:t>
            </w:r>
            <w:r>
              <w:rPr>
                <w:rFonts w:ascii="Segoe UI"/>
                <w:spacing w:val="-14"/>
                <w:sz w:val="20"/>
              </w:rPr>
              <w:t> </w:t>
            </w:r>
            <w:r>
              <w:rPr>
                <w:rFonts w:ascii="Segoe UI"/>
                <w:sz w:val="20"/>
              </w:rPr>
              <w:t>Bay</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David </w:t>
            </w:r>
            <w:r>
              <w:rPr>
                <w:rFonts w:ascii="Segoe UI"/>
                <w:spacing w:val="-2"/>
                <w:sz w:val="20"/>
              </w:rPr>
              <w:t>Janicek</w:t>
            </w:r>
          </w:p>
        </w:tc>
        <w:tc>
          <w:tcPr>
            <w:tcW w:w="4257" w:type="dxa"/>
          </w:tcPr>
          <w:p>
            <w:pPr>
              <w:pStyle w:val="TableParagraph"/>
              <w:spacing w:line="276" w:lineRule="auto"/>
              <w:ind w:left="110"/>
              <w:rPr>
                <w:rFonts w:ascii="Segoe UI"/>
                <w:sz w:val="20"/>
              </w:rPr>
            </w:pPr>
            <w:r>
              <w:rPr>
                <w:rFonts w:ascii="Segoe UI"/>
                <w:sz w:val="20"/>
              </w:rPr>
              <w:t>Represents</w:t>
            </w:r>
            <w:r>
              <w:rPr>
                <w:rFonts w:ascii="Segoe UI"/>
                <w:spacing w:val="-8"/>
                <w:sz w:val="20"/>
              </w:rPr>
              <w:t> </w:t>
            </w:r>
            <w:r>
              <w:rPr>
                <w:rFonts w:ascii="Segoe UI"/>
                <w:sz w:val="20"/>
              </w:rPr>
              <w:t>clinical</w:t>
            </w:r>
            <w:r>
              <w:rPr>
                <w:rFonts w:ascii="Segoe UI"/>
                <w:spacing w:val="-11"/>
                <w:sz w:val="20"/>
              </w:rPr>
              <w:t> </w:t>
            </w:r>
            <w:r>
              <w:rPr>
                <w:rFonts w:ascii="Segoe UI"/>
                <w:sz w:val="20"/>
              </w:rPr>
              <w:t>body.</w:t>
            </w:r>
            <w:r>
              <w:rPr>
                <w:rFonts w:ascii="Segoe UI"/>
                <w:spacing w:val="40"/>
                <w:sz w:val="20"/>
              </w:rPr>
              <w:t> </w:t>
            </w:r>
            <w:r>
              <w:rPr>
                <w:rFonts w:ascii="Segoe UI"/>
                <w:sz w:val="20"/>
              </w:rPr>
              <w:t>Clinical</w:t>
            </w:r>
            <w:r>
              <w:rPr>
                <w:rFonts w:ascii="Segoe UI"/>
                <w:spacing w:val="-6"/>
                <w:sz w:val="20"/>
              </w:rPr>
              <w:t> </w:t>
            </w:r>
            <w:r>
              <w:rPr>
                <w:rFonts w:ascii="Segoe UI"/>
                <w:sz w:val="20"/>
              </w:rPr>
              <w:t>decision making and assurance.</w:t>
            </w:r>
          </w:p>
        </w:tc>
      </w:tr>
      <w:tr>
        <w:trPr>
          <w:trHeight w:val="1039" w:hRule="atLeast"/>
        </w:trPr>
        <w:tc>
          <w:tcPr>
            <w:tcW w:w="3262" w:type="dxa"/>
          </w:tcPr>
          <w:p>
            <w:pPr>
              <w:pStyle w:val="TableParagraph"/>
              <w:spacing w:line="265" w:lineRule="exact"/>
              <w:ind w:left="105"/>
              <w:rPr>
                <w:rFonts w:ascii="Segoe UI"/>
                <w:sz w:val="20"/>
              </w:rPr>
            </w:pPr>
            <w:r>
              <w:rPr>
                <w:rFonts w:ascii="Segoe UI"/>
                <w:sz w:val="20"/>
              </w:rPr>
              <w:t>Clinical</w:t>
            </w:r>
            <w:r>
              <w:rPr>
                <w:rFonts w:ascii="Segoe UI"/>
                <w:spacing w:val="-4"/>
                <w:sz w:val="20"/>
              </w:rPr>
              <w:t> </w:t>
            </w:r>
            <w:r>
              <w:rPr>
                <w:rFonts w:ascii="Segoe UI"/>
                <w:sz w:val="20"/>
              </w:rPr>
              <w:t>Lead</w:t>
            </w:r>
            <w:r>
              <w:rPr>
                <w:rFonts w:ascii="Segoe UI"/>
                <w:spacing w:val="-4"/>
                <w:sz w:val="20"/>
              </w:rPr>
              <w:t> </w:t>
            </w:r>
            <w:r>
              <w:rPr>
                <w:rFonts w:ascii="Segoe UI"/>
                <w:sz w:val="20"/>
              </w:rPr>
              <w:t>for</w:t>
            </w:r>
            <w:r>
              <w:rPr>
                <w:rFonts w:ascii="Segoe UI"/>
                <w:spacing w:val="-2"/>
                <w:sz w:val="20"/>
              </w:rPr>
              <w:t> </w:t>
            </w:r>
            <w:r>
              <w:rPr>
                <w:rFonts w:ascii="Segoe UI"/>
                <w:sz w:val="20"/>
              </w:rPr>
              <w:t>Eye</w:t>
            </w:r>
            <w:r>
              <w:rPr>
                <w:rFonts w:ascii="Segoe UI"/>
                <w:spacing w:val="-2"/>
                <w:sz w:val="20"/>
              </w:rPr>
              <w:t> </w:t>
            </w:r>
            <w:r>
              <w:rPr>
                <w:rFonts w:ascii="Segoe UI"/>
                <w:spacing w:val="-4"/>
                <w:sz w:val="20"/>
              </w:rPr>
              <w:t>Care</w:t>
            </w:r>
          </w:p>
        </w:tc>
        <w:tc>
          <w:tcPr>
            <w:tcW w:w="2411" w:type="dxa"/>
          </w:tcPr>
          <w:p>
            <w:pPr>
              <w:pStyle w:val="TableParagraph"/>
              <w:spacing w:line="276" w:lineRule="auto"/>
              <w:ind w:left="109"/>
              <w:rPr>
                <w:rFonts w:ascii="Segoe UI"/>
                <w:sz w:val="20"/>
              </w:rPr>
            </w:pPr>
            <w:r>
              <w:rPr>
                <w:rFonts w:ascii="Segoe UI"/>
                <w:sz w:val="20"/>
              </w:rPr>
              <w:t>Hywel</w:t>
            </w:r>
            <w:r>
              <w:rPr>
                <w:rFonts w:ascii="Segoe UI"/>
                <w:spacing w:val="-14"/>
                <w:sz w:val="20"/>
              </w:rPr>
              <w:t> </w:t>
            </w:r>
            <w:r>
              <w:rPr>
                <w:rFonts w:ascii="Segoe UI"/>
                <w:sz w:val="20"/>
              </w:rPr>
              <w:t>Dda</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Huw</w:t>
            </w:r>
            <w:r>
              <w:rPr>
                <w:rFonts w:ascii="Segoe UI"/>
                <w:spacing w:val="-3"/>
                <w:sz w:val="20"/>
              </w:rPr>
              <w:t> </w:t>
            </w:r>
            <w:r>
              <w:rPr>
                <w:rFonts w:ascii="Segoe UI"/>
                <w:spacing w:val="-2"/>
                <w:sz w:val="20"/>
              </w:rPr>
              <w:t>Jenkins</w:t>
            </w:r>
          </w:p>
        </w:tc>
        <w:tc>
          <w:tcPr>
            <w:tcW w:w="4257" w:type="dxa"/>
          </w:tcPr>
          <w:p>
            <w:pPr>
              <w:pStyle w:val="TableParagraph"/>
              <w:spacing w:line="278" w:lineRule="auto"/>
              <w:ind w:left="110"/>
              <w:rPr>
                <w:rFonts w:ascii="Segoe UI"/>
                <w:sz w:val="20"/>
              </w:rPr>
            </w:pPr>
            <w:r>
              <w:rPr>
                <w:rFonts w:ascii="Segoe UI"/>
                <w:sz w:val="20"/>
              </w:rPr>
              <w:t>Deputy</w:t>
            </w:r>
            <w:r>
              <w:rPr>
                <w:rFonts w:ascii="Segoe UI"/>
                <w:spacing w:val="-8"/>
                <w:sz w:val="20"/>
              </w:rPr>
              <w:t> </w:t>
            </w:r>
            <w:r>
              <w:rPr>
                <w:rFonts w:ascii="Segoe UI"/>
                <w:sz w:val="20"/>
              </w:rPr>
              <w:t>Clinical</w:t>
            </w:r>
            <w:r>
              <w:rPr>
                <w:rFonts w:ascii="Segoe UI"/>
                <w:spacing w:val="-6"/>
                <w:sz w:val="20"/>
              </w:rPr>
              <w:t> </w:t>
            </w:r>
            <w:r>
              <w:rPr>
                <w:rFonts w:ascii="Segoe UI"/>
                <w:sz w:val="20"/>
              </w:rPr>
              <w:t>Lead.</w:t>
            </w:r>
            <w:r>
              <w:rPr>
                <w:rFonts w:ascii="Segoe UI"/>
                <w:spacing w:val="40"/>
                <w:sz w:val="20"/>
              </w:rPr>
              <w:t> </w:t>
            </w:r>
            <w:r>
              <w:rPr>
                <w:rFonts w:ascii="Segoe UI"/>
                <w:sz w:val="20"/>
              </w:rPr>
              <w:t>Represents</w:t>
            </w:r>
            <w:r>
              <w:rPr>
                <w:rFonts w:ascii="Segoe UI"/>
                <w:spacing w:val="-7"/>
                <w:sz w:val="20"/>
              </w:rPr>
              <w:t> </w:t>
            </w:r>
            <w:r>
              <w:rPr>
                <w:rFonts w:ascii="Segoe UI"/>
                <w:sz w:val="20"/>
              </w:rPr>
              <w:t>Hywel</w:t>
            </w:r>
            <w:r>
              <w:rPr>
                <w:rFonts w:ascii="Segoe UI"/>
                <w:spacing w:val="-6"/>
                <w:sz w:val="20"/>
              </w:rPr>
              <w:t> </w:t>
            </w:r>
            <w:r>
              <w:rPr>
                <w:rFonts w:ascii="Segoe UI"/>
                <w:sz w:val="20"/>
              </w:rPr>
              <w:t>Dda clinical body.</w:t>
            </w:r>
            <w:r>
              <w:rPr>
                <w:rFonts w:ascii="Segoe UI"/>
                <w:spacing w:val="40"/>
                <w:sz w:val="20"/>
              </w:rPr>
              <w:t> </w:t>
            </w:r>
            <w:r>
              <w:rPr>
                <w:rFonts w:ascii="Segoe UI"/>
                <w:sz w:val="20"/>
              </w:rPr>
              <w:t>Clinical decision making and </w:t>
            </w:r>
            <w:r>
              <w:rPr>
                <w:rFonts w:ascii="Segoe UI"/>
                <w:spacing w:val="-2"/>
                <w:sz w:val="20"/>
              </w:rPr>
              <w:t>assurance.</w:t>
            </w:r>
          </w:p>
        </w:tc>
      </w:tr>
      <w:tr>
        <w:trPr>
          <w:trHeight w:val="730" w:hRule="atLeast"/>
        </w:trPr>
        <w:tc>
          <w:tcPr>
            <w:tcW w:w="3262" w:type="dxa"/>
          </w:tcPr>
          <w:p>
            <w:pPr>
              <w:pStyle w:val="TableParagraph"/>
              <w:spacing w:line="276" w:lineRule="auto"/>
              <w:ind w:left="105" w:right="181"/>
              <w:rPr>
                <w:rFonts w:ascii="Segoe UI"/>
                <w:sz w:val="20"/>
              </w:rPr>
            </w:pPr>
            <w:r>
              <w:rPr>
                <w:rFonts w:ascii="Segoe UI"/>
                <w:sz w:val="20"/>
              </w:rPr>
              <w:t>Director</w:t>
            </w:r>
            <w:r>
              <w:rPr>
                <w:rFonts w:ascii="Segoe UI"/>
                <w:spacing w:val="-13"/>
                <w:sz w:val="20"/>
              </w:rPr>
              <w:t> </w:t>
            </w:r>
            <w:r>
              <w:rPr>
                <w:rFonts w:ascii="Segoe UI"/>
                <w:sz w:val="20"/>
              </w:rPr>
              <w:t>of</w:t>
            </w:r>
            <w:r>
              <w:rPr>
                <w:rFonts w:ascii="Segoe UI"/>
                <w:spacing w:val="-12"/>
                <w:sz w:val="20"/>
              </w:rPr>
              <w:t> </w:t>
            </w:r>
            <w:r>
              <w:rPr>
                <w:rFonts w:ascii="Segoe UI"/>
                <w:sz w:val="20"/>
              </w:rPr>
              <w:t>Operational</w:t>
            </w:r>
            <w:r>
              <w:rPr>
                <w:rFonts w:ascii="Segoe UI"/>
                <w:spacing w:val="-12"/>
                <w:sz w:val="20"/>
              </w:rPr>
              <w:t> </w:t>
            </w:r>
            <w:r>
              <w:rPr>
                <w:rFonts w:ascii="Segoe UI"/>
                <w:sz w:val="20"/>
              </w:rPr>
              <w:t>Planning &amp; Performance</w:t>
            </w:r>
          </w:p>
        </w:tc>
        <w:tc>
          <w:tcPr>
            <w:tcW w:w="2411" w:type="dxa"/>
          </w:tcPr>
          <w:p>
            <w:pPr>
              <w:pStyle w:val="TableParagraph"/>
              <w:spacing w:line="276" w:lineRule="auto"/>
              <w:ind w:left="109"/>
              <w:rPr>
                <w:rFonts w:ascii="Segoe UI"/>
                <w:sz w:val="20"/>
              </w:rPr>
            </w:pPr>
            <w:r>
              <w:rPr>
                <w:rFonts w:ascii="Segoe UI"/>
                <w:sz w:val="20"/>
              </w:rPr>
              <w:t>Hywel</w:t>
            </w:r>
            <w:r>
              <w:rPr>
                <w:rFonts w:ascii="Segoe UI"/>
                <w:spacing w:val="-14"/>
                <w:sz w:val="20"/>
              </w:rPr>
              <w:t> </w:t>
            </w:r>
            <w:r>
              <w:rPr>
                <w:rFonts w:ascii="Segoe UI"/>
                <w:sz w:val="20"/>
              </w:rPr>
              <w:t>Dda</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Keith</w:t>
            </w:r>
            <w:r>
              <w:rPr>
                <w:rFonts w:ascii="Segoe UI"/>
                <w:spacing w:val="1"/>
                <w:sz w:val="20"/>
              </w:rPr>
              <w:t> </w:t>
            </w:r>
            <w:r>
              <w:rPr>
                <w:rFonts w:ascii="Segoe UI"/>
                <w:spacing w:val="-2"/>
                <w:sz w:val="20"/>
              </w:rPr>
              <w:t>Jones</w:t>
            </w:r>
          </w:p>
        </w:tc>
        <w:tc>
          <w:tcPr>
            <w:tcW w:w="4257" w:type="dxa"/>
          </w:tcPr>
          <w:p>
            <w:pPr>
              <w:pStyle w:val="TableParagraph"/>
              <w:spacing w:line="265" w:lineRule="exact"/>
              <w:ind w:left="110"/>
              <w:rPr>
                <w:rFonts w:ascii="Segoe UI"/>
                <w:sz w:val="20"/>
              </w:rPr>
            </w:pPr>
            <w:r>
              <w:rPr>
                <w:rFonts w:ascii="Segoe UI"/>
                <w:sz w:val="20"/>
              </w:rPr>
              <w:t>Regional</w:t>
            </w:r>
            <w:r>
              <w:rPr>
                <w:rFonts w:ascii="Segoe UI"/>
                <w:spacing w:val="-3"/>
                <w:sz w:val="20"/>
              </w:rPr>
              <w:t> </w:t>
            </w:r>
            <w:r>
              <w:rPr>
                <w:rFonts w:ascii="Segoe UI"/>
                <w:sz w:val="20"/>
              </w:rPr>
              <w:t>planning</w:t>
            </w:r>
            <w:r>
              <w:rPr>
                <w:rFonts w:ascii="Segoe UI"/>
                <w:spacing w:val="-2"/>
                <w:sz w:val="20"/>
              </w:rPr>
              <w:t> </w:t>
            </w:r>
            <w:r>
              <w:rPr>
                <w:rFonts w:ascii="Segoe UI"/>
                <w:sz w:val="20"/>
              </w:rPr>
              <w:t>lead</w:t>
            </w:r>
            <w:r>
              <w:rPr>
                <w:rFonts w:ascii="Segoe UI"/>
                <w:spacing w:val="-3"/>
                <w:sz w:val="20"/>
              </w:rPr>
              <w:t> </w:t>
            </w:r>
            <w:r>
              <w:rPr>
                <w:rFonts w:ascii="Segoe UI"/>
                <w:sz w:val="20"/>
              </w:rPr>
              <w:t>Hywel</w:t>
            </w:r>
            <w:r>
              <w:rPr>
                <w:rFonts w:ascii="Segoe UI"/>
                <w:spacing w:val="-2"/>
                <w:sz w:val="20"/>
              </w:rPr>
              <w:t> </w:t>
            </w:r>
            <w:r>
              <w:rPr>
                <w:rFonts w:ascii="Segoe UI"/>
                <w:spacing w:val="-5"/>
                <w:sz w:val="20"/>
              </w:rPr>
              <w:t>Dda</w:t>
            </w:r>
          </w:p>
        </w:tc>
      </w:tr>
      <w:tr>
        <w:trPr>
          <w:trHeight w:val="2930" w:hRule="atLeast"/>
        </w:trPr>
        <w:tc>
          <w:tcPr>
            <w:tcW w:w="3262" w:type="dxa"/>
          </w:tcPr>
          <w:p>
            <w:pPr>
              <w:pStyle w:val="TableParagraph"/>
              <w:spacing w:line="384" w:lineRule="auto"/>
              <w:ind w:left="105" w:right="501"/>
              <w:rPr>
                <w:rFonts w:ascii="Segoe UI"/>
                <w:sz w:val="20"/>
              </w:rPr>
            </w:pPr>
            <w:r>
              <w:rPr>
                <w:rFonts w:ascii="Segoe UI"/>
                <w:sz w:val="20"/>
              </w:rPr>
              <w:t>Data and Digital Directors (two</w:t>
            </w:r>
            <w:r>
              <w:rPr>
                <w:rFonts w:ascii="Segoe UI"/>
                <w:spacing w:val="-14"/>
                <w:sz w:val="20"/>
              </w:rPr>
              <w:t> </w:t>
            </w:r>
            <w:r>
              <w:rPr>
                <w:rFonts w:ascii="Segoe UI"/>
                <w:sz w:val="20"/>
              </w:rPr>
              <w:t>invitations,</w:t>
            </w:r>
            <w:r>
              <w:rPr>
                <w:rFonts w:ascii="Segoe UI"/>
                <w:spacing w:val="-11"/>
                <w:sz w:val="20"/>
              </w:rPr>
              <w:t> </w:t>
            </w:r>
            <w:r>
              <w:rPr>
                <w:rFonts w:ascii="Segoe UI"/>
                <w:sz w:val="20"/>
              </w:rPr>
              <w:t>one</w:t>
            </w:r>
            <w:r>
              <w:rPr>
                <w:rFonts w:ascii="Segoe UI"/>
                <w:spacing w:val="-12"/>
                <w:sz w:val="20"/>
              </w:rPr>
              <w:t> </w:t>
            </w:r>
            <w:r>
              <w:rPr>
                <w:rFonts w:ascii="Segoe UI"/>
                <w:sz w:val="20"/>
              </w:rPr>
              <w:t>attends)</w:t>
            </w:r>
          </w:p>
        </w:tc>
        <w:tc>
          <w:tcPr>
            <w:tcW w:w="2411" w:type="dxa"/>
          </w:tcPr>
          <w:p>
            <w:pPr>
              <w:pStyle w:val="TableParagraph"/>
              <w:spacing w:line="276" w:lineRule="auto"/>
              <w:ind w:left="109"/>
              <w:rPr>
                <w:rFonts w:ascii="Segoe UI"/>
                <w:sz w:val="20"/>
              </w:rPr>
            </w:pPr>
            <w:r>
              <w:rPr>
                <w:rFonts w:ascii="Segoe UI"/>
                <w:sz w:val="20"/>
              </w:rPr>
              <w:t>Hywel</w:t>
            </w:r>
            <w:r>
              <w:rPr>
                <w:rFonts w:ascii="Segoe UI"/>
                <w:spacing w:val="-14"/>
                <w:sz w:val="20"/>
              </w:rPr>
              <w:t> </w:t>
            </w:r>
            <w:r>
              <w:rPr>
                <w:rFonts w:ascii="Segoe UI"/>
                <w:sz w:val="20"/>
              </w:rPr>
              <w:t>Dda</w:t>
            </w:r>
            <w:r>
              <w:rPr>
                <w:rFonts w:ascii="Segoe UI"/>
                <w:spacing w:val="-14"/>
                <w:sz w:val="20"/>
              </w:rPr>
              <w:t> </w:t>
            </w:r>
            <w:r>
              <w:rPr>
                <w:rFonts w:ascii="Segoe UI"/>
                <w:sz w:val="20"/>
              </w:rPr>
              <w:t>University Health Board</w:t>
            </w:r>
          </w:p>
          <w:p>
            <w:pPr>
              <w:pStyle w:val="TableParagraph"/>
              <w:spacing w:line="276" w:lineRule="auto" w:before="122"/>
              <w:ind w:left="109"/>
              <w:rPr>
                <w:rFonts w:ascii="Segoe UI"/>
                <w:sz w:val="20"/>
              </w:rPr>
            </w:pPr>
            <w:r>
              <w:rPr>
                <w:rFonts w:ascii="Segoe UI"/>
                <w:sz w:val="20"/>
              </w:rPr>
              <w:t>Swansea</w:t>
            </w:r>
            <w:r>
              <w:rPr>
                <w:rFonts w:ascii="Segoe UI"/>
                <w:spacing w:val="-14"/>
                <w:sz w:val="20"/>
              </w:rPr>
              <w:t> </w:t>
            </w:r>
            <w:r>
              <w:rPr>
                <w:rFonts w:ascii="Segoe UI"/>
                <w:sz w:val="20"/>
              </w:rPr>
              <w:t>Bay</w:t>
            </w:r>
            <w:r>
              <w:rPr>
                <w:rFonts w:ascii="Segoe UI"/>
                <w:spacing w:val="-14"/>
                <w:sz w:val="20"/>
              </w:rPr>
              <w:t> </w:t>
            </w:r>
            <w:r>
              <w:rPr>
                <w:rFonts w:ascii="Segoe UI"/>
                <w:sz w:val="20"/>
              </w:rPr>
              <w:t>University Health Board</w:t>
            </w:r>
          </w:p>
        </w:tc>
        <w:tc>
          <w:tcPr>
            <w:tcW w:w="1700" w:type="dxa"/>
          </w:tcPr>
          <w:p>
            <w:pPr>
              <w:pStyle w:val="TableParagraph"/>
              <w:spacing w:line="384" w:lineRule="auto"/>
              <w:ind w:left="109"/>
              <w:rPr>
                <w:rFonts w:ascii="Segoe UI"/>
                <w:sz w:val="20"/>
              </w:rPr>
            </w:pPr>
            <w:r>
              <w:rPr>
                <w:rFonts w:ascii="Segoe UI"/>
                <w:sz w:val="20"/>
              </w:rPr>
              <w:t>Anthony</w:t>
            </w:r>
            <w:r>
              <w:rPr>
                <w:rFonts w:ascii="Segoe UI"/>
                <w:spacing w:val="-14"/>
                <w:sz w:val="20"/>
              </w:rPr>
              <w:t> </w:t>
            </w:r>
            <w:r>
              <w:rPr>
                <w:rFonts w:ascii="Segoe UI"/>
                <w:sz w:val="20"/>
              </w:rPr>
              <w:t>Tracey Matt John</w:t>
            </w:r>
          </w:p>
        </w:tc>
        <w:tc>
          <w:tcPr>
            <w:tcW w:w="4257" w:type="dxa"/>
          </w:tcPr>
          <w:p>
            <w:pPr>
              <w:pStyle w:val="TableParagraph"/>
              <w:spacing w:line="276" w:lineRule="auto"/>
              <w:ind w:left="110" w:right="215"/>
              <w:rPr>
                <w:rFonts w:ascii="Segoe UI"/>
                <w:sz w:val="20"/>
              </w:rPr>
            </w:pPr>
            <w:r>
              <w:rPr>
                <w:rFonts w:ascii="Segoe UI"/>
                <w:sz w:val="20"/>
              </w:rPr>
              <w:t>Represent</w:t>
            </w:r>
            <w:r>
              <w:rPr>
                <w:rFonts w:ascii="Segoe UI"/>
                <w:spacing w:val="-8"/>
                <w:sz w:val="20"/>
              </w:rPr>
              <w:t> </w:t>
            </w:r>
            <w:r>
              <w:rPr>
                <w:rFonts w:ascii="Segoe UI"/>
                <w:sz w:val="20"/>
              </w:rPr>
              <w:t>regional</w:t>
            </w:r>
            <w:r>
              <w:rPr>
                <w:rFonts w:ascii="Segoe UI"/>
                <w:spacing w:val="-9"/>
                <w:sz w:val="20"/>
              </w:rPr>
              <w:t> </w:t>
            </w:r>
            <w:r>
              <w:rPr>
                <w:rFonts w:ascii="Segoe UI"/>
                <w:sz w:val="20"/>
              </w:rPr>
              <w:t>Data</w:t>
            </w:r>
            <w:r>
              <w:rPr>
                <w:rFonts w:ascii="Segoe UI"/>
                <w:spacing w:val="-12"/>
                <w:sz w:val="20"/>
              </w:rPr>
              <w:t> </w:t>
            </w:r>
            <w:r>
              <w:rPr>
                <w:rFonts w:ascii="Segoe UI"/>
                <w:sz w:val="20"/>
              </w:rPr>
              <w:t>and</w:t>
            </w:r>
            <w:r>
              <w:rPr>
                <w:rFonts w:ascii="Segoe UI"/>
                <w:spacing w:val="-8"/>
                <w:sz w:val="20"/>
              </w:rPr>
              <w:t> </w:t>
            </w:r>
            <w:r>
              <w:rPr>
                <w:rFonts w:ascii="Segoe UI"/>
                <w:sz w:val="20"/>
              </w:rPr>
              <w:t>Digital </w:t>
            </w:r>
            <w:r>
              <w:rPr>
                <w:rFonts w:ascii="Segoe UI"/>
                <w:spacing w:val="-2"/>
                <w:sz w:val="20"/>
              </w:rPr>
              <w:t>subgroup</w:t>
            </w:r>
          </w:p>
          <w:p>
            <w:pPr>
              <w:pStyle w:val="TableParagraph"/>
              <w:spacing w:line="276" w:lineRule="auto" w:before="122"/>
              <w:ind w:left="110"/>
              <w:rPr>
                <w:rFonts w:ascii="Segoe UI"/>
                <w:sz w:val="20"/>
              </w:rPr>
            </w:pPr>
            <w:r>
              <w:rPr>
                <w:rFonts w:ascii="Segoe UI"/>
                <w:sz w:val="20"/>
              </w:rPr>
              <w:t>Alignment</w:t>
            </w:r>
            <w:r>
              <w:rPr>
                <w:rFonts w:ascii="Segoe UI"/>
                <w:spacing w:val="-9"/>
                <w:sz w:val="20"/>
              </w:rPr>
              <w:t> </w:t>
            </w:r>
            <w:r>
              <w:rPr>
                <w:rFonts w:ascii="Segoe UI"/>
                <w:sz w:val="20"/>
              </w:rPr>
              <w:t>with</w:t>
            </w:r>
            <w:r>
              <w:rPr>
                <w:rFonts w:ascii="Segoe UI"/>
                <w:spacing w:val="-10"/>
                <w:sz w:val="20"/>
              </w:rPr>
              <w:t> </w:t>
            </w:r>
            <w:r>
              <w:rPr>
                <w:rFonts w:ascii="Segoe UI"/>
                <w:sz w:val="20"/>
              </w:rPr>
              <w:t>Organisational</w:t>
            </w:r>
            <w:r>
              <w:rPr>
                <w:rFonts w:ascii="Segoe UI"/>
                <w:spacing w:val="-10"/>
                <w:sz w:val="20"/>
              </w:rPr>
              <w:t> </w:t>
            </w:r>
            <w:r>
              <w:rPr>
                <w:rFonts w:ascii="Segoe UI"/>
                <w:sz w:val="20"/>
              </w:rPr>
              <w:t>Data</w:t>
            </w:r>
            <w:r>
              <w:rPr>
                <w:rFonts w:ascii="Segoe UI"/>
                <w:spacing w:val="-13"/>
                <w:sz w:val="20"/>
              </w:rPr>
              <w:t> </w:t>
            </w:r>
            <w:r>
              <w:rPr>
                <w:rFonts w:ascii="Segoe UI"/>
                <w:sz w:val="20"/>
              </w:rPr>
              <w:t>Digital </w:t>
            </w:r>
            <w:r>
              <w:rPr>
                <w:rFonts w:ascii="Segoe UI"/>
                <w:spacing w:val="-2"/>
                <w:sz w:val="20"/>
              </w:rPr>
              <w:t>plans</w:t>
            </w:r>
          </w:p>
          <w:p>
            <w:pPr>
              <w:pStyle w:val="TableParagraph"/>
              <w:spacing w:line="276" w:lineRule="auto" w:before="119"/>
              <w:ind w:left="110"/>
              <w:rPr>
                <w:rFonts w:ascii="Segoe UI"/>
                <w:sz w:val="20"/>
              </w:rPr>
            </w:pPr>
            <w:r>
              <w:rPr>
                <w:rFonts w:ascii="Segoe UI"/>
                <w:sz w:val="20"/>
              </w:rPr>
              <w:t>Data</w:t>
            </w:r>
            <w:r>
              <w:rPr>
                <w:rFonts w:ascii="Segoe UI"/>
                <w:spacing w:val="-10"/>
                <w:sz w:val="20"/>
              </w:rPr>
              <w:t> </w:t>
            </w:r>
            <w:r>
              <w:rPr>
                <w:rFonts w:ascii="Segoe UI"/>
                <w:sz w:val="20"/>
              </w:rPr>
              <w:t>and</w:t>
            </w:r>
            <w:r>
              <w:rPr>
                <w:rFonts w:ascii="Segoe UI"/>
                <w:spacing w:val="-6"/>
                <w:sz w:val="20"/>
              </w:rPr>
              <w:t> </w:t>
            </w:r>
            <w:r>
              <w:rPr>
                <w:rFonts w:ascii="Segoe UI"/>
                <w:sz w:val="20"/>
              </w:rPr>
              <w:t>Digital</w:t>
            </w:r>
            <w:r>
              <w:rPr>
                <w:rFonts w:ascii="Segoe UI"/>
                <w:spacing w:val="-7"/>
                <w:sz w:val="20"/>
              </w:rPr>
              <w:t> </w:t>
            </w:r>
            <w:r>
              <w:rPr>
                <w:rFonts w:ascii="Segoe UI"/>
                <w:sz w:val="20"/>
              </w:rPr>
              <w:t>governance</w:t>
            </w:r>
            <w:r>
              <w:rPr>
                <w:rFonts w:ascii="Segoe UI"/>
                <w:spacing w:val="-8"/>
                <w:sz w:val="20"/>
              </w:rPr>
              <w:t> </w:t>
            </w:r>
            <w:r>
              <w:rPr>
                <w:rFonts w:ascii="Segoe UI"/>
                <w:sz w:val="20"/>
              </w:rPr>
              <w:t>and</w:t>
            </w:r>
            <w:r>
              <w:rPr>
                <w:rFonts w:ascii="Segoe UI"/>
                <w:spacing w:val="-6"/>
                <w:sz w:val="20"/>
              </w:rPr>
              <w:t> </w:t>
            </w:r>
            <w:r>
              <w:rPr>
                <w:rFonts w:ascii="Segoe UI"/>
                <w:sz w:val="20"/>
              </w:rPr>
              <w:t>Decision </w:t>
            </w:r>
            <w:r>
              <w:rPr>
                <w:rFonts w:ascii="Segoe UI"/>
                <w:spacing w:val="-2"/>
                <w:sz w:val="20"/>
              </w:rPr>
              <w:t>making</w:t>
            </w:r>
          </w:p>
          <w:p>
            <w:pPr>
              <w:pStyle w:val="TableParagraph"/>
              <w:spacing w:line="276" w:lineRule="auto" w:before="118"/>
              <w:ind w:left="110"/>
              <w:rPr>
                <w:rFonts w:ascii="Segoe UI"/>
                <w:sz w:val="20"/>
              </w:rPr>
            </w:pPr>
            <w:r>
              <w:rPr>
                <w:rFonts w:ascii="Segoe UI"/>
                <w:sz w:val="20"/>
              </w:rPr>
              <w:t>Accountable</w:t>
            </w:r>
            <w:r>
              <w:rPr>
                <w:rFonts w:ascii="Segoe UI"/>
                <w:spacing w:val="-7"/>
                <w:sz w:val="20"/>
              </w:rPr>
              <w:t> </w:t>
            </w:r>
            <w:r>
              <w:rPr>
                <w:rFonts w:ascii="Segoe UI"/>
                <w:sz w:val="20"/>
              </w:rPr>
              <w:t>for</w:t>
            </w:r>
            <w:r>
              <w:rPr>
                <w:rFonts w:ascii="Segoe UI"/>
                <w:spacing w:val="-7"/>
                <w:sz w:val="20"/>
              </w:rPr>
              <w:t> </w:t>
            </w:r>
            <w:r>
              <w:rPr>
                <w:rFonts w:ascii="Segoe UI"/>
                <w:sz w:val="20"/>
              </w:rPr>
              <w:t>regional</w:t>
            </w:r>
            <w:r>
              <w:rPr>
                <w:rFonts w:ascii="Segoe UI"/>
                <w:spacing w:val="-6"/>
                <w:sz w:val="20"/>
              </w:rPr>
              <w:t> </w:t>
            </w:r>
            <w:r>
              <w:rPr>
                <w:rFonts w:ascii="Segoe UI"/>
                <w:sz w:val="20"/>
              </w:rPr>
              <w:t>data</w:t>
            </w:r>
            <w:r>
              <w:rPr>
                <w:rFonts w:ascii="Segoe UI"/>
                <w:spacing w:val="-9"/>
                <w:sz w:val="20"/>
              </w:rPr>
              <w:t> </w:t>
            </w:r>
            <w:r>
              <w:rPr>
                <w:rFonts w:ascii="Segoe UI"/>
                <w:sz w:val="20"/>
              </w:rPr>
              <w:t>and</w:t>
            </w:r>
            <w:r>
              <w:rPr>
                <w:rFonts w:ascii="Segoe UI"/>
                <w:spacing w:val="-10"/>
                <w:sz w:val="20"/>
              </w:rPr>
              <w:t> </w:t>
            </w:r>
            <w:r>
              <w:rPr>
                <w:rFonts w:ascii="Segoe UI"/>
                <w:sz w:val="20"/>
              </w:rPr>
              <w:t>digital </w:t>
            </w:r>
            <w:r>
              <w:rPr>
                <w:rFonts w:ascii="Segoe UI"/>
                <w:spacing w:val="-2"/>
                <w:sz w:val="20"/>
              </w:rPr>
              <w:t>delivery</w:t>
            </w:r>
          </w:p>
        </w:tc>
      </w:tr>
      <w:tr>
        <w:trPr>
          <w:trHeight w:val="425" w:hRule="atLeast"/>
        </w:trPr>
        <w:tc>
          <w:tcPr>
            <w:tcW w:w="3262" w:type="dxa"/>
            <w:shd w:val="clear" w:color="auto" w:fill="C1A875"/>
          </w:tcPr>
          <w:p>
            <w:pPr>
              <w:pStyle w:val="TableParagraph"/>
              <w:spacing w:line="265" w:lineRule="exact"/>
              <w:ind w:left="105"/>
              <w:rPr>
                <w:rFonts w:ascii="Segoe UI"/>
                <w:b/>
                <w:sz w:val="20"/>
              </w:rPr>
            </w:pPr>
            <w:r>
              <w:rPr>
                <w:rFonts w:ascii="Segoe UI"/>
                <w:b/>
                <w:sz w:val="20"/>
              </w:rPr>
              <w:t>In </w:t>
            </w:r>
            <w:r>
              <w:rPr>
                <w:rFonts w:ascii="Segoe UI"/>
                <w:b/>
                <w:spacing w:val="-2"/>
                <w:sz w:val="20"/>
              </w:rPr>
              <w:t>Attendance</w:t>
            </w:r>
          </w:p>
        </w:tc>
        <w:tc>
          <w:tcPr>
            <w:tcW w:w="2411" w:type="dxa"/>
            <w:shd w:val="clear" w:color="auto" w:fill="C1A875"/>
          </w:tcPr>
          <w:p>
            <w:pPr>
              <w:pStyle w:val="TableParagraph"/>
              <w:rPr>
                <w:rFonts w:ascii="Times New Roman"/>
                <w:sz w:val="18"/>
              </w:rPr>
            </w:pPr>
          </w:p>
        </w:tc>
        <w:tc>
          <w:tcPr>
            <w:tcW w:w="1700" w:type="dxa"/>
            <w:shd w:val="clear" w:color="auto" w:fill="C1A875"/>
          </w:tcPr>
          <w:p>
            <w:pPr>
              <w:pStyle w:val="TableParagraph"/>
              <w:rPr>
                <w:rFonts w:ascii="Times New Roman"/>
                <w:sz w:val="18"/>
              </w:rPr>
            </w:pPr>
          </w:p>
        </w:tc>
        <w:tc>
          <w:tcPr>
            <w:tcW w:w="4257" w:type="dxa"/>
            <w:shd w:val="clear" w:color="auto" w:fill="C1A875"/>
          </w:tcPr>
          <w:p>
            <w:pPr>
              <w:pStyle w:val="TableParagraph"/>
              <w:rPr>
                <w:rFonts w:ascii="Times New Roman"/>
                <w:sz w:val="18"/>
              </w:rPr>
            </w:pPr>
          </w:p>
        </w:tc>
      </w:tr>
      <w:tr>
        <w:trPr>
          <w:trHeight w:val="1770" w:hRule="atLeast"/>
        </w:trPr>
        <w:tc>
          <w:tcPr>
            <w:tcW w:w="3262" w:type="dxa"/>
          </w:tcPr>
          <w:p>
            <w:pPr>
              <w:pStyle w:val="TableParagraph"/>
              <w:spacing w:line="276" w:lineRule="auto"/>
              <w:ind w:left="105" w:right="181"/>
              <w:rPr>
                <w:rFonts w:ascii="Segoe UI"/>
                <w:sz w:val="20"/>
              </w:rPr>
            </w:pPr>
            <w:r>
              <w:rPr>
                <w:rFonts w:ascii="Segoe UI"/>
                <w:sz w:val="20"/>
              </w:rPr>
              <w:t>General</w:t>
            </w:r>
            <w:r>
              <w:rPr>
                <w:rFonts w:ascii="Segoe UI"/>
                <w:spacing w:val="-13"/>
                <w:sz w:val="20"/>
              </w:rPr>
              <w:t> </w:t>
            </w:r>
            <w:r>
              <w:rPr>
                <w:rFonts w:ascii="Segoe UI"/>
                <w:sz w:val="20"/>
              </w:rPr>
              <w:t>Manager</w:t>
            </w:r>
            <w:r>
              <w:rPr>
                <w:rFonts w:ascii="Segoe UI"/>
                <w:spacing w:val="-12"/>
                <w:sz w:val="20"/>
              </w:rPr>
              <w:t> </w:t>
            </w:r>
            <w:r>
              <w:rPr>
                <w:rFonts w:ascii="Segoe UI"/>
                <w:sz w:val="20"/>
              </w:rPr>
              <w:t>Planned</w:t>
            </w:r>
            <w:r>
              <w:rPr>
                <w:rFonts w:ascii="Segoe UI"/>
                <w:spacing w:val="-14"/>
                <w:sz w:val="20"/>
              </w:rPr>
              <w:t> </w:t>
            </w:r>
            <w:r>
              <w:rPr>
                <w:rFonts w:ascii="Segoe UI"/>
                <w:sz w:val="20"/>
              </w:rPr>
              <w:t>Care and Cancer</w:t>
            </w:r>
          </w:p>
        </w:tc>
        <w:tc>
          <w:tcPr>
            <w:tcW w:w="2411" w:type="dxa"/>
          </w:tcPr>
          <w:p>
            <w:pPr>
              <w:pStyle w:val="TableParagraph"/>
              <w:spacing w:line="276" w:lineRule="auto"/>
              <w:ind w:left="109"/>
              <w:rPr>
                <w:rFonts w:ascii="Segoe UI"/>
                <w:sz w:val="20"/>
              </w:rPr>
            </w:pPr>
            <w:r>
              <w:rPr>
                <w:rFonts w:ascii="Segoe UI"/>
                <w:sz w:val="20"/>
              </w:rPr>
              <w:t>Hywel</w:t>
            </w:r>
            <w:r>
              <w:rPr>
                <w:rFonts w:ascii="Segoe UI"/>
                <w:spacing w:val="-14"/>
                <w:sz w:val="20"/>
              </w:rPr>
              <w:t> </w:t>
            </w:r>
            <w:r>
              <w:rPr>
                <w:rFonts w:ascii="Segoe UI"/>
                <w:sz w:val="20"/>
              </w:rPr>
              <w:t>Dda</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Lisa</w:t>
            </w:r>
            <w:r>
              <w:rPr>
                <w:rFonts w:ascii="Segoe UI"/>
                <w:spacing w:val="-3"/>
                <w:sz w:val="20"/>
              </w:rPr>
              <w:t> </w:t>
            </w:r>
            <w:r>
              <w:rPr>
                <w:rFonts w:ascii="Segoe UI"/>
                <w:spacing w:val="-2"/>
                <w:sz w:val="20"/>
              </w:rPr>
              <w:t>Humphrey</w:t>
            </w:r>
          </w:p>
        </w:tc>
        <w:tc>
          <w:tcPr>
            <w:tcW w:w="4257" w:type="dxa"/>
          </w:tcPr>
          <w:p>
            <w:pPr>
              <w:pStyle w:val="TableParagraph"/>
              <w:spacing w:line="265" w:lineRule="exact"/>
              <w:ind w:left="110"/>
              <w:rPr>
                <w:rFonts w:ascii="Segoe UI"/>
                <w:sz w:val="20"/>
              </w:rPr>
            </w:pPr>
            <w:r>
              <w:rPr>
                <w:rFonts w:ascii="Segoe UI"/>
                <w:sz w:val="20"/>
              </w:rPr>
              <w:t>Operational</w:t>
            </w:r>
            <w:r>
              <w:rPr>
                <w:rFonts w:ascii="Segoe UI"/>
                <w:spacing w:val="-3"/>
                <w:sz w:val="20"/>
              </w:rPr>
              <w:t> </w:t>
            </w:r>
            <w:r>
              <w:rPr>
                <w:rFonts w:ascii="Segoe UI"/>
                <w:sz w:val="20"/>
              </w:rPr>
              <w:t>Delivery</w:t>
            </w:r>
            <w:r>
              <w:rPr>
                <w:rFonts w:ascii="Segoe UI"/>
                <w:spacing w:val="-6"/>
                <w:sz w:val="20"/>
              </w:rPr>
              <w:t> </w:t>
            </w:r>
            <w:r>
              <w:rPr>
                <w:rFonts w:ascii="Segoe UI"/>
                <w:sz w:val="20"/>
              </w:rPr>
              <w:t>Group</w:t>
            </w:r>
            <w:r>
              <w:rPr>
                <w:rFonts w:ascii="Segoe UI"/>
                <w:spacing w:val="-1"/>
                <w:sz w:val="20"/>
              </w:rPr>
              <w:t> </w:t>
            </w:r>
            <w:r>
              <w:rPr>
                <w:rFonts w:ascii="Segoe UI"/>
                <w:spacing w:val="-4"/>
                <w:sz w:val="20"/>
              </w:rPr>
              <w:t>Lead.</w:t>
            </w:r>
          </w:p>
          <w:p>
            <w:pPr>
              <w:pStyle w:val="TableParagraph"/>
              <w:spacing w:line="276" w:lineRule="auto" w:before="159"/>
              <w:ind w:left="110"/>
              <w:rPr>
                <w:rFonts w:ascii="Segoe UI"/>
                <w:sz w:val="20"/>
              </w:rPr>
            </w:pPr>
            <w:r>
              <w:rPr>
                <w:rFonts w:ascii="Segoe UI"/>
                <w:sz w:val="20"/>
              </w:rPr>
              <w:t>Leads organisational change, stakeholder engagement, communications, training, adoption,</w:t>
            </w:r>
            <w:r>
              <w:rPr>
                <w:rFonts w:ascii="Segoe UI"/>
                <w:spacing w:val="-8"/>
                <w:sz w:val="20"/>
              </w:rPr>
              <w:t> </w:t>
            </w:r>
            <w:r>
              <w:rPr>
                <w:rFonts w:ascii="Segoe UI"/>
                <w:sz w:val="20"/>
              </w:rPr>
              <w:t>and</w:t>
            </w:r>
            <w:r>
              <w:rPr>
                <w:rFonts w:ascii="Segoe UI"/>
                <w:spacing w:val="-7"/>
                <w:sz w:val="20"/>
              </w:rPr>
              <w:t> </w:t>
            </w:r>
            <w:r>
              <w:rPr>
                <w:rFonts w:ascii="Segoe UI"/>
                <w:sz w:val="20"/>
              </w:rPr>
              <w:t>benefits</w:t>
            </w:r>
            <w:r>
              <w:rPr>
                <w:rFonts w:ascii="Segoe UI"/>
                <w:spacing w:val="-9"/>
                <w:sz w:val="20"/>
              </w:rPr>
              <w:t> </w:t>
            </w:r>
            <w:r>
              <w:rPr>
                <w:rFonts w:ascii="Segoe UI"/>
                <w:sz w:val="20"/>
              </w:rPr>
              <w:t>realisation</w:t>
            </w:r>
            <w:r>
              <w:rPr>
                <w:rFonts w:ascii="Segoe UI"/>
                <w:spacing w:val="-8"/>
                <w:sz w:val="20"/>
              </w:rPr>
              <w:t> </w:t>
            </w:r>
            <w:r>
              <w:rPr>
                <w:rFonts w:ascii="Segoe UI"/>
                <w:sz w:val="20"/>
              </w:rPr>
              <w:t>to</w:t>
            </w:r>
            <w:r>
              <w:rPr>
                <w:rFonts w:ascii="Segoe UI"/>
                <w:spacing w:val="-11"/>
                <w:sz w:val="20"/>
              </w:rPr>
              <w:t> </w:t>
            </w:r>
            <w:r>
              <w:rPr>
                <w:rFonts w:ascii="Segoe UI"/>
                <w:sz w:val="20"/>
              </w:rPr>
              <w:t>embed new ways of working.</w:t>
            </w:r>
          </w:p>
        </w:tc>
      </w:tr>
      <w:tr>
        <w:trPr>
          <w:trHeight w:val="1770" w:hRule="atLeast"/>
        </w:trPr>
        <w:tc>
          <w:tcPr>
            <w:tcW w:w="3262" w:type="dxa"/>
          </w:tcPr>
          <w:p>
            <w:pPr>
              <w:pStyle w:val="TableParagraph"/>
              <w:spacing w:line="265" w:lineRule="exact"/>
              <w:ind w:left="105"/>
              <w:rPr>
                <w:rFonts w:ascii="Segoe UI" w:hAnsi="Segoe UI"/>
                <w:sz w:val="20"/>
              </w:rPr>
            </w:pPr>
            <w:r>
              <w:rPr>
                <w:rFonts w:ascii="Segoe UI" w:hAnsi="Segoe UI"/>
                <w:sz w:val="20"/>
              </w:rPr>
              <w:t>Associate</w:t>
            </w:r>
            <w:r>
              <w:rPr>
                <w:rFonts w:ascii="Segoe UI" w:hAnsi="Segoe UI"/>
                <w:spacing w:val="-3"/>
                <w:sz w:val="20"/>
              </w:rPr>
              <w:t> </w:t>
            </w:r>
            <w:r>
              <w:rPr>
                <w:rFonts w:ascii="Segoe UI" w:hAnsi="Segoe UI"/>
                <w:sz w:val="20"/>
              </w:rPr>
              <w:t>Service</w:t>
            </w:r>
            <w:r>
              <w:rPr>
                <w:rFonts w:ascii="Segoe UI" w:hAnsi="Segoe UI"/>
                <w:spacing w:val="-2"/>
                <w:sz w:val="20"/>
              </w:rPr>
              <w:t> </w:t>
            </w:r>
            <w:r>
              <w:rPr>
                <w:rFonts w:ascii="Segoe UI" w:hAnsi="Segoe UI"/>
                <w:sz w:val="20"/>
              </w:rPr>
              <w:t>Group</w:t>
            </w:r>
            <w:r>
              <w:rPr>
                <w:rFonts w:ascii="Segoe UI" w:hAnsi="Segoe UI"/>
                <w:spacing w:val="-1"/>
                <w:sz w:val="20"/>
              </w:rPr>
              <w:t> </w:t>
            </w:r>
            <w:r>
              <w:rPr>
                <w:rFonts w:ascii="Segoe UI" w:hAnsi="Segoe UI"/>
                <w:sz w:val="20"/>
              </w:rPr>
              <w:t>Director</w:t>
            </w:r>
            <w:r>
              <w:rPr>
                <w:rFonts w:ascii="Segoe UI" w:hAnsi="Segoe UI"/>
                <w:spacing w:val="2"/>
                <w:sz w:val="20"/>
              </w:rPr>
              <w:t> </w:t>
            </w:r>
            <w:r>
              <w:rPr>
                <w:rFonts w:ascii="Segoe UI" w:hAnsi="Segoe UI"/>
                <w:spacing w:val="-10"/>
                <w:sz w:val="20"/>
              </w:rPr>
              <w:t>–</w:t>
            </w:r>
          </w:p>
          <w:p>
            <w:pPr>
              <w:pStyle w:val="TableParagraph"/>
              <w:spacing w:before="39"/>
              <w:ind w:left="105"/>
              <w:rPr>
                <w:rFonts w:ascii="Segoe UI"/>
                <w:sz w:val="20"/>
              </w:rPr>
            </w:pPr>
            <w:r>
              <w:rPr>
                <w:rFonts w:ascii="Segoe UI"/>
                <w:spacing w:val="-2"/>
                <w:sz w:val="20"/>
              </w:rPr>
              <w:t>NPTSSG</w:t>
            </w:r>
          </w:p>
        </w:tc>
        <w:tc>
          <w:tcPr>
            <w:tcW w:w="2411" w:type="dxa"/>
          </w:tcPr>
          <w:p>
            <w:pPr>
              <w:pStyle w:val="TableParagraph"/>
              <w:spacing w:line="276" w:lineRule="auto"/>
              <w:ind w:left="109"/>
              <w:rPr>
                <w:rFonts w:ascii="Segoe UI"/>
                <w:sz w:val="20"/>
              </w:rPr>
            </w:pPr>
            <w:r>
              <w:rPr>
                <w:rFonts w:ascii="Segoe UI"/>
                <w:sz w:val="20"/>
              </w:rPr>
              <w:t>Swansea</w:t>
            </w:r>
            <w:r>
              <w:rPr>
                <w:rFonts w:ascii="Segoe UI"/>
                <w:spacing w:val="-14"/>
                <w:sz w:val="20"/>
              </w:rPr>
              <w:t> </w:t>
            </w:r>
            <w:r>
              <w:rPr>
                <w:rFonts w:ascii="Segoe UI"/>
                <w:sz w:val="20"/>
              </w:rPr>
              <w:t>Bay</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Rhodri</w:t>
            </w:r>
            <w:r>
              <w:rPr>
                <w:rFonts w:ascii="Segoe UI"/>
                <w:spacing w:val="-1"/>
                <w:sz w:val="20"/>
              </w:rPr>
              <w:t> </w:t>
            </w:r>
            <w:r>
              <w:rPr>
                <w:rFonts w:ascii="Segoe UI"/>
                <w:spacing w:val="-2"/>
                <w:sz w:val="20"/>
              </w:rPr>
              <w:t>Davies</w:t>
            </w:r>
          </w:p>
        </w:tc>
        <w:tc>
          <w:tcPr>
            <w:tcW w:w="4257" w:type="dxa"/>
          </w:tcPr>
          <w:p>
            <w:pPr>
              <w:pStyle w:val="TableParagraph"/>
              <w:spacing w:line="265" w:lineRule="exact"/>
              <w:ind w:left="110"/>
              <w:rPr>
                <w:rFonts w:ascii="Segoe UI"/>
                <w:sz w:val="20"/>
              </w:rPr>
            </w:pPr>
            <w:r>
              <w:rPr>
                <w:rFonts w:ascii="Segoe UI"/>
                <w:sz w:val="20"/>
              </w:rPr>
              <w:t>Operational</w:t>
            </w:r>
            <w:r>
              <w:rPr>
                <w:rFonts w:ascii="Segoe UI"/>
                <w:spacing w:val="-3"/>
                <w:sz w:val="20"/>
              </w:rPr>
              <w:t> </w:t>
            </w:r>
            <w:r>
              <w:rPr>
                <w:rFonts w:ascii="Segoe UI"/>
                <w:sz w:val="20"/>
              </w:rPr>
              <w:t>Delivery</w:t>
            </w:r>
            <w:r>
              <w:rPr>
                <w:rFonts w:ascii="Segoe UI"/>
                <w:spacing w:val="-6"/>
                <w:sz w:val="20"/>
              </w:rPr>
              <w:t> </w:t>
            </w:r>
            <w:r>
              <w:rPr>
                <w:rFonts w:ascii="Segoe UI"/>
                <w:sz w:val="20"/>
              </w:rPr>
              <w:t>Group</w:t>
            </w:r>
            <w:r>
              <w:rPr>
                <w:rFonts w:ascii="Segoe UI"/>
                <w:spacing w:val="-1"/>
                <w:sz w:val="20"/>
              </w:rPr>
              <w:t> </w:t>
            </w:r>
            <w:r>
              <w:rPr>
                <w:rFonts w:ascii="Segoe UI"/>
                <w:spacing w:val="-4"/>
                <w:sz w:val="20"/>
              </w:rPr>
              <w:t>Lead.</w:t>
            </w:r>
          </w:p>
          <w:p>
            <w:pPr>
              <w:pStyle w:val="TableParagraph"/>
              <w:spacing w:line="276" w:lineRule="auto" w:before="159"/>
              <w:ind w:left="110"/>
              <w:rPr>
                <w:rFonts w:ascii="Segoe UI"/>
                <w:sz w:val="20"/>
              </w:rPr>
            </w:pPr>
            <w:r>
              <w:rPr>
                <w:rFonts w:ascii="Segoe UI"/>
                <w:sz w:val="20"/>
              </w:rPr>
              <w:t>Leads organisational change, stakeholder engagement, communications, training, adoption,</w:t>
            </w:r>
            <w:r>
              <w:rPr>
                <w:rFonts w:ascii="Segoe UI"/>
                <w:spacing w:val="-8"/>
                <w:sz w:val="20"/>
              </w:rPr>
              <w:t> </w:t>
            </w:r>
            <w:r>
              <w:rPr>
                <w:rFonts w:ascii="Segoe UI"/>
                <w:sz w:val="20"/>
              </w:rPr>
              <w:t>and</w:t>
            </w:r>
            <w:r>
              <w:rPr>
                <w:rFonts w:ascii="Segoe UI"/>
                <w:spacing w:val="-7"/>
                <w:sz w:val="20"/>
              </w:rPr>
              <w:t> </w:t>
            </w:r>
            <w:r>
              <w:rPr>
                <w:rFonts w:ascii="Segoe UI"/>
                <w:sz w:val="20"/>
              </w:rPr>
              <w:t>benefits</w:t>
            </w:r>
            <w:r>
              <w:rPr>
                <w:rFonts w:ascii="Segoe UI"/>
                <w:spacing w:val="-9"/>
                <w:sz w:val="20"/>
              </w:rPr>
              <w:t> </w:t>
            </w:r>
            <w:r>
              <w:rPr>
                <w:rFonts w:ascii="Segoe UI"/>
                <w:sz w:val="20"/>
              </w:rPr>
              <w:t>realisation</w:t>
            </w:r>
            <w:r>
              <w:rPr>
                <w:rFonts w:ascii="Segoe UI"/>
                <w:spacing w:val="-8"/>
                <w:sz w:val="20"/>
              </w:rPr>
              <w:t> </w:t>
            </w:r>
            <w:r>
              <w:rPr>
                <w:rFonts w:ascii="Segoe UI"/>
                <w:sz w:val="20"/>
              </w:rPr>
              <w:t>to</w:t>
            </w:r>
            <w:r>
              <w:rPr>
                <w:rFonts w:ascii="Segoe UI"/>
                <w:spacing w:val="-11"/>
                <w:sz w:val="20"/>
              </w:rPr>
              <w:t> </w:t>
            </w:r>
            <w:r>
              <w:rPr>
                <w:rFonts w:ascii="Segoe UI"/>
                <w:sz w:val="20"/>
              </w:rPr>
              <w:t>embed new ways of working.</w:t>
            </w:r>
          </w:p>
        </w:tc>
      </w:tr>
      <w:tr>
        <w:trPr>
          <w:trHeight w:val="1340" w:hRule="atLeast"/>
        </w:trPr>
        <w:tc>
          <w:tcPr>
            <w:tcW w:w="3262" w:type="dxa"/>
          </w:tcPr>
          <w:p>
            <w:pPr>
              <w:pStyle w:val="TableParagraph"/>
              <w:spacing w:line="276" w:lineRule="auto"/>
              <w:ind w:left="105"/>
              <w:rPr>
                <w:rFonts w:ascii="Segoe UI"/>
                <w:sz w:val="20"/>
              </w:rPr>
            </w:pPr>
            <w:r>
              <w:rPr>
                <w:rFonts w:ascii="Segoe UI"/>
                <w:sz w:val="20"/>
              </w:rPr>
              <w:t>Ophthalmology</w:t>
            </w:r>
            <w:r>
              <w:rPr>
                <w:rFonts w:ascii="Segoe UI"/>
                <w:spacing w:val="-14"/>
                <w:sz w:val="20"/>
              </w:rPr>
              <w:t> </w:t>
            </w:r>
            <w:r>
              <w:rPr>
                <w:rFonts w:ascii="Segoe UI"/>
                <w:sz w:val="20"/>
              </w:rPr>
              <w:t>Service</w:t>
            </w:r>
            <w:r>
              <w:rPr>
                <w:rFonts w:ascii="Segoe UI"/>
                <w:spacing w:val="-14"/>
                <w:sz w:val="20"/>
              </w:rPr>
              <w:t> </w:t>
            </w:r>
            <w:r>
              <w:rPr>
                <w:rFonts w:ascii="Segoe UI"/>
                <w:sz w:val="20"/>
              </w:rPr>
              <w:t>Delivery </w:t>
            </w:r>
            <w:r>
              <w:rPr>
                <w:rFonts w:ascii="Segoe UI"/>
                <w:spacing w:val="-2"/>
                <w:sz w:val="20"/>
              </w:rPr>
              <w:t>Manager</w:t>
            </w:r>
          </w:p>
        </w:tc>
        <w:tc>
          <w:tcPr>
            <w:tcW w:w="2411" w:type="dxa"/>
          </w:tcPr>
          <w:p>
            <w:pPr>
              <w:pStyle w:val="TableParagraph"/>
              <w:spacing w:line="276" w:lineRule="auto"/>
              <w:ind w:left="109"/>
              <w:rPr>
                <w:rFonts w:ascii="Segoe UI"/>
                <w:sz w:val="20"/>
              </w:rPr>
            </w:pPr>
            <w:r>
              <w:rPr>
                <w:rFonts w:ascii="Segoe UI"/>
                <w:sz w:val="20"/>
              </w:rPr>
              <w:t>Hywel</w:t>
            </w:r>
            <w:r>
              <w:rPr>
                <w:rFonts w:ascii="Segoe UI"/>
                <w:spacing w:val="-14"/>
                <w:sz w:val="20"/>
              </w:rPr>
              <w:t> </w:t>
            </w:r>
            <w:r>
              <w:rPr>
                <w:rFonts w:ascii="Segoe UI"/>
                <w:sz w:val="20"/>
              </w:rPr>
              <w:t>Dda</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Amorelle</w:t>
            </w:r>
            <w:r>
              <w:rPr>
                <w:rFonts w:ascii="Segoe UI"/>
                <w:spacing w:val="-4"/>
                <w:sz w:val="20"/>
              </w:rPr>
              <w:t> </w:t>
            </w:r>
            <w:r>
              <w:rPr>
                <w:rFonts w:ascii="Segoe UI"/>
                <w:spacing w:val="-2"/>
                <w:sz w:val="20"/>
              </w:rPr>
              <w:t>Jones</w:t>
            </w:r>
          </w:p>
        </w:tc>
        <w:tc>
          <w:tcPr>
            <w:tcW w:w="4257" w:type="dxa"/>
          </w:tcPr>
          <w:p>
            <w:pPr>
              <w:pStyle w:val="TableParagraph"/>
              <w:spacing w:line="276" w:lineRule="auto"/>
              <w:ind w:left="110"/>
              <w:rPr>
                <w:rFonts w:ascii="Segoe UI"/>
                <w:sz w:val="20"/>
              </w:rPr>
            </w:pPr>
            <w:r>
              <w:rPr>
                <w:rFonts w:ascii="Segoe UI"/>
                <w:sz w:val="20"/>
              </w:rPr>
              <w:t>Delivering</w:t>
            </w:r>
            <w:r>
              <w:rPr>
                <w:rFonts w:ascii="Segoe UI"/>
                <w:spacing w:val="-13"/>
                <w:sz w:val="20"/>
              </w:rPr>
              <w:t> </w:t>
            </w:r>
            <w:r>
              <w:rPr>
                <w:rFonts w:ascii="Segoe UI"/>
                <w:sz w:val="20"/>
              </w:rPr>
              <w:t>organisational</w:t>
            </w:r>
            <w:r>
              <w:rPr>
                <w:rFonts w:ascii="Segoe UI"/>
                <w:spacing w:val="-14"/>
                <w:sz w:val="20"/>
              </w:rPr>
              <w:t> </w:t>
            </w:r>
            <w:r>
              <w:rPr>
                <w:rFonts w:ascii="Segoe UI"/>
                <w:sz w:val="20"/>
              </w:rPr>
              <w:t>change,</w:t>
            </w:r>
            <w:r>
              <w:rPr>
                <w:rFonts w:ascii="Segoe UI"/>
                <w:spacing w:val="-13"/>
                <w:sz w:val="20"/>
              </w:rPr>
              <w:t> </w:t>
            </w:r>
            <w:r>
              <w:rPr>
                <w:rFonts w:ascii="Segoe UI"/>
                <w:sz w:val="20"/>
              </w:rPr>
              <w:t>stakeholder engagement, communications, training, adoption, and benefits realisation to embed new ways of working.</w:t>
            </w:r>
          </w:p>
        </w:tc>
      </w:tr>
      <w:tr>
        <w:trPr>
          <w:trHeight w:val="615" w:hRule="atLeast"/>
        </w:trPr>
        <w:tc>
          <w:tcPr>
            <w:tcW w:w="3262" w:type="dxa"/>
          </w:tcPr>
          <w:p>
            <w:pPr>
              <w:pStyle w:val="TableParagraph"/>
              <w:spacing w:line="265" w:lineRule="exact"/>
              <w:ind w:left="105"/>
              <w:rPr>
                <w:rFonts w:ascii="Segoe UI" w:hAnsi="Segoe UI"/>
                <w:sz w:val="20"/>
              </w:rPr>
            </w:pPr>
            <w:r>
              <w:rPr>
                <w:rFonts w:ascii="Segoe UI" w:hAnsi="Segoe UI"/>
                <w:sz w:val="20"/>
              </w:rPr>
              <w:t>Interim</w:t>
            </w:r>
            <w:r>
              <w:rPr>
                <w:rFonts w:ascii="Segoe UI" w:hAnsi="Segoe UI"/>
                <w:spacing w:val="-5"/>
                <w:sz w:val="20"/>
              </w:rPr>
              <w:t> </w:t>
            </w:r>
            <w:r>
              <w:rPr>
                <w:rFonts w:ascii="Segoe UI" w:hAnsi="Segoe UI"/>
                <w:sz w:val="20"/>
              </w:rPr>
              <w:t>Divisional</w:t>
            </w:r>
            <w:r>
              <w:rPr>
                <w:rFonts w:ascii="Segoe UI" w:hAnsi="Segoe UI"/>
                <w:spacing w:val="-1"/>
                <w:sz w:val="20"/>
              </w:rPr>
              <w:t> </w:t>
            </w:r>
            <w:r>
              <w:rPr>
                <w:rFonts w:ascii="Segoe UI" w:hAnsi="Segoe UI"/>
                <w:sz w:val="20"/>
              </w:rPr>
              <w:t>Manager</w:t>
            </w:r>
            <w:r>
              <w:rPr>
                <w:rFonts w:ascii="Segoe UI" w:hAnsi="Segoe UI"/>
                <w:spacing w:val="-1"/>
                <w:sz w:val="20"/>
              </w:rPr>
              <w:t> </w:t>
            </w:r>
            <w:r>
              <w:rPr>
                <w:rFonts w:ascii="Segoe UI" w:hAnsi="Segoe UI"/>
                <w:spacing w:val="-10"/>
                <w:sz w:val="20"/>
              </w:rPr>
              <w:t>•</w:t>
            </w:r>
          </w:p>
        </w:tc>
        <w:tc>
          <w:tcPr>
            <w:tcW w:w="2411" w:type="dxa"/>
          </w:tcPr>
          <w:p>
            <w:pPr>
              <w:pStyle w:val="TableParagraph"/>
              <w:spacing w:line="265" w:lineRule="exact"/>
              <w:ind w:left="109"/>
              <w:rPr>
                <w:rFonts w:ascii="Segoe UI"/>
                <w:sz w:val="20"/>
              </w:rPr>
            </w:pPr>
            <w:r>
              <w:rPr>
                <w:rFonts w:ascii="Segoe UI"/>
                <w:sz w:val="20"/>
              </w:rPr>
              <w:t>Swansea</w:t>
            </w:r>
            <w:r>
              <w:rPr>
                <w:rFonts w:ascii="Segoe UI"/>
                <w:spacing w:val="-5"/>
                <w:sz w:val="20"/>
              </w:rPr>
              <w:t> </w:t>
            </w:r>
            <w:r>
              <w:rPr>
                <w:rFonts w:ascii="Segoe UI"/>
                <w:sz w:val="20"/>
              </w:rPr>
              <w:t>Bay</w:t>
            </w:r>
            <w:r>
              <w:rPr>
                <w:rFonts w:ascii="Segoe UI"/>
                <w:spacing w:val="-4"/>
                <w:sz w:val="20"/>
              </w:rPr>
              <w:t> </w:t>
            </w:r>
            <w:r>
              <w:rPr>
                <w:rFonts w:ascii="Segoe UI"/>
                <w:spacing w:val="-2"/>
                <w:sz w:val="20"/>
              </w:rPr>
              <w:t>University</w:t>
            </w:r>
          </w:p>
        </w:tc>
        <w:tc>
          <w:tcPr>
            <w:tcW w:w="1700" w:type="dxa"/>
          </w:tcPr>
          <w:p>
            <w:pPr>
              <w:pStyle w:val="TableParagraph"/>
              <w:spacing w:line="265" w:lineRule="exact"/>
              <w:ind w:left="109"/>
              <w:rPr>
                <w:rFonts w:ascii="Segoe UI"/>
                <w:sz w:val="20"/>
              </w:rPr>
            </w:pPr>
            <w:r>
              <w:rPr>
                <w:rFonts w:ascii="Segoe UI"/>
                <w:sz w:val="20"/>
              </w:rPr>
              <w:t>Sam</w:t>
            </w:r>
            <w:r>
              <w:rPr>
                <w:rFonts w:ascii="Segoe UI"/>
                <w:spacing w:val="-9"/>
                <w:sz w:val="20"/>
              </w:rPr>
              <w:t> </w:t>
            </w:r>
            <w:r>
              <w:rPr>
                <w:rFonts w:ascii="Segoe UI"/>
                <w:spacing w:val="-2"/>
                <w:sz w:val="20"/>
              </w:rPr>
              <w:t>Jenkins</w:t>
            </w:r>
          </w:p>
        </w:tc>
        <w:tc>
          <w:tcPr>
            <w:tcW w:w="4257" w:type="dxa"/>
          </w:tcPr>
          <w:p>
            <w:pPr>
              <w:pStyle w:val="TableParagraph"/>
              <w:spacing w:line="265" w:lineRule="exact"/>
              <w:ind w:left="110"/>
              <w:rPr>
                <w:rFonts w:ascii="Segoe UI"/>
                <w:sz w:val="20"/>
              </w:rPr>
            </w:pPr>
            <w:r>
              <w:rPr>
                <w:rFonts w:ascii="Segoe UI"/>
                <w:sz w:val="20"/>
              </w:rPr>
              <w:t>Delivering</w:t>
            </w:r>
            <w:r>
              <w:rPr>
                <w:rFonts w:ascii="Segoe UI"/>
                <w:spacing w:val="-3"/>
                <w:sz w:val="20"/>
              </w:rPr>
              <w:t> </w:t>
            </w:r>
            <w:r>
              <w:rPr>
                <w:rFonts w:ascii="Segoe UI"/>
                <w:sz w:val="20"/>
              </w:rPr>
              <w:t>organisational</w:t>
            </w:r>
            <w:r>
              <w:rPr>
                <w:rFonts w:ascii="Segoe UI"/>
                <w:spacing w:val="-3"/>
                <w:sz w:val="20"/>
              </w:rPr>
              <w:t> </w:t>
            </w:r>
            <w:r>
              <w:rPr>
                <w:rFonts w:ascii="Segoe UI"/>
                <w:sz w:val="20"/>
              </w:rPr>
              <w:t>change,</w:t>
            </w:r>
            <w:r>
              <w:rPr>
                <w:rFonts w:ascii="Segoe UI"/>
                <w:spacing w:val="-3"/>
                <w:sz w:val="20"/>
              </w:rPr>
              <w:t> </w:t>
            </w:r>
            <w:r>
              <w:rPr>
                <w:rFonts w:ascii="Segoe UI"/>
                <w:spacing w:val="-2"/>
                <w:sz w:val="20"/>
              </w:rPr>
              <w:t>stakeholder</w:t>
            </w:r>
          </w:p>
          <w:p>
            <w:pPr>
              <w:pStyle w:val="TableParagraph"/>
              <w:spacing w:before="44"/>
              <w:ind w:left="110"/>
              <w:rPr>
                <w:rFonts w:ascii="Segoe UI"/>
                <w:sz w:val="20"/>
              </w:rPr>
            </w:pPr>
            <w:r>
              <w:rPr>
                <w:rFonts w:ascii="Segoe UI"/>
                <w:sz w:val="20"/>
              </w:rPr>
              <w:t>engagement,</w:t>
            </w:r>
            <w:r>
              <w:rPr>
                <w:rFonts w:ascii="Segoe UI"/>
                <w:spacing w:val="-4"/>
                <w:sz w:val="20"/>
              </w:rPr>
              <w:t> </w:t>
            </w:r>
            <w:r>
              <w:rPr>
                <w:rFonts w:ascii="Segoe UI"/>
                <w:sz w:val="20"/>
              </w:rPr>
              <w:t>communications,</w:t>
            </w:r>
            <w:r>
              <w:rPr>
                <w:rFonts w:ascii="Segoe UI"/>
                <w:spacing w:val="-7"/>
                <w:sz w:val="20"/>
              </w:rPr>
              <w:t> </w:t>
            </w:r>
            <w:r>
              <w:rPr>
                <w:rFonts w:ascii="Segoe UI"/>
                <w:spacing w:val="-2"/>
                <w:sz w:val="20"/>
              </w:rPr>
              <w:t>training,</w:t>
            </w:r>
          </w:p>
        </w:tc>
      </w:tr>
    </w:tbl>
    <w:p>
      <w:pPr>
        <w:spacing w:before="158"/>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spacing w:before="78" w:after="52"/>
        <w:ind w:left="0" w:right="873" w:firstLine="0"/>
        <w:jc w:val="right"/>
        <w:rPr>
          <w:rFonts w:ascii="Calibri"/>
          <w:sz w:val="16"/>
        </w:rPr>
      </w:pP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tbl>
      <w:tblPr>
        <w:tblW w:w="0" w:type="auto"/>
        <w:jc w:val="left"/>
        <w:tblInd w:w="34"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3262"/>
        <w:gridCol w:w="2411"/>
        <w:gridCol w:w="1700"/>
        <w:gridCol w:w="4257"/>
      </w:tblGrid>
      <w:tr>
        <w:trPr>
          <w:trHeight w:val="730" w:hRule="atLeast"/>
        </w:trPr>
        <w:tc>
          <w:tcPr>
            <w:tcW w:w="3262" w:type="dxa"/>
          </w:tcPr>
          <w:p>
            <w:pPr>
              <w:pStyle w:val="TableParagraph"/>
              <w:spacing w:line="265" w:lineRule="exact"/>
              <w:ind w:left="105"/>
              <w:rPr>
                <w:rFonts w:ascii="Segoe UI"/>
                <w:sz w:val="20"/>
              </w:rPr>
            </w:pPr>
            <w:r>
              <w:rPr>
                <w:rFonts w:ascii="Segoe UI"/>
                <w:sz w:val="20"/>
              </w:rPr>
              <w:t>NPTSSG</w:t>
            </w:r>
            <w:r>
              <w:rPr>
                <w:rFonts w:ascii="Segoe UI"/>
                <w:spacing w:val="-7"/>
                <w:sz w:val="20"/>
              </w:rPr>
              <w:t> </w:t>
            </w:r>
            <w:r>
              <w:rPr>
                <w:rFonts w:ascii="Segoe UI"/>
                <w:sz w:val="20"/>
              </w:rPr>
              <w:t>Surgery</w:t>
            </w:r>
            <w:r>
              <w:rPr>
                <w:rFonts w:ascii="Segoe UI"/>
                <w:spacing w:val="-5"/>
                <w:sz w:val="20"/>
              </w:rPr>
              <w:t> </w:t>
            </w:r>
            <w:r>
              <w:rPr>
                <w:rFonts w:ascii="Segoe UI"/>
                <w:spacing w:val="-2"/>
                <w:sz w:val="20"/>
              </w:rPr>
              <w:t>Division</w:t>
            </w:r>
          </w:p>
        </w:tc>
        <w:tc>
          <w:tcPr>
            <w:tcW w:w="2411" w:type="dxa"/>
          </w:tcPr>
          <w:p>
            <w:pPr>
              <w:pStyle w:val="TableParagraph"/>
              <w:spacing w:line="265" w:lineRule="exact"/>
              <w:ind w:left="109"/>
              <w:rPr>
                <w:rFonts w:ascii="Segoe UI"/>
                <w:sz w:val="20"/>
              </w:rPr>
            </w:pPr>
            <w:r>
              <w:rPr>
                <w:rFonts w:ascii="Segoe UI"/>
                <w:sz w:val="20"/>
              </w:rPr>
              <w:t>Health </w:t>
            </w:r>
            <w:r>
              <w:rPr>
                <w:rFonts w:ascii="Segoe UI"/>
                <w:spacing w:val="-2"/>
                <w:sz w:val="20"/>
              </w:rPr>
              <w:t>Board</w:t>
            </w:r>
          </w:p>
        </w:tc>
        <w:tc>
          <w:tcPr>
            <w:tcW w:w="1700" w:type="dxa"/>
          </w:tcPr>
          <w:p>
            <w:pPr>
              <w:pStyle w:val="TableParagraph"/>
              <w:rPr>
                <w:rFonts w:ascii="Times New Roman"/>
                <w:sz w:val="18"/>
              </w:rPr>
            </w:pPr>
          </w:p>
        </w:tc>
        <w:tc>
          <w:tcPr>
            <w:tcW w:w="4257" w:type="dxa"/>
          </w:tcPr>
          <w:p>
            <w:pPr>
              <w:pStyle w:val="TableParagraph"/>
              <w:spacing w:line="276" w:lineRule="auto"/>
              <w:ind w:left="110"/>
              <w:rPr>
                <w:rFonts w:ascii="Segoe UI"/>
                <w:sz w:val="20"/>
              </w:rPr>
            </w:pPr>
            <w:r>
              <w:rPr>
                <w:rFonts w:ascii="Segoe UI"/>
                <w:sz w:val="20"/>
              </w:rPr>
              <w:t>adoption,</w:t>
            </w:r>
            <w:r>
              <w:rPr>
                <w:rFonts w:ascii="Segoe UI"/>
                <w:spacing w:val="-8"/>
                <w:sz w:val="20"/>
              </w:rPr>
              <w:t> </w:t>
            </w:r>
            <w:r>
              <w:rPr>
                <w:rFonts w:ascii="Segoe UI"/>
                <w:sz w:val="20"/>
              </w:rPr>
              <w:t>and</w:t>
            </w:r>
            <w:r>
              <w:rPr>
                <w:rFonts w:ascii="Segoe UI"/>
                <w:spacing w:val="-7"/>
                <w:sz w:val="20"/>
              </w:rPr>
              <w:t> </w:t>
            </w:r>
            <w:r>
              <w:rPr>
                <w:rFonts w:ascii="Segoe UI"/>
                <w:sz w:val="20"/>
              </w:rPr>
              <w:t>benefits</w:t>
            </w:r>
            <w:r>
              <w:rPr>
                <w:rFonts w:ascii="Segoe UI"/>
                <w:spacing w:val="-9"/>
                <w:sz w:val="20"/>
              </w:rPr>
              <w:t> </w:t>
            </w:r>
            <w:r>
              <w:rPr>
                <w:rFonts w:ascii="Segoe UI"/>
                <w:sz w:val="20"/>
              </w:rPr>
              <w:t>realisation</w:t>
            </w:r>
            <w:r>
              <w:rPr>
                <w:rFonts w:ascii="Segoe UI"/>
                <w:spacing w:val="-8"/>
                <w:sz w:val="20"/>
              </w:rPr>
              <w:t> </w:t>
            </w:r>
            <w:r>
              <w:rPr>
                <w:rFonts w:ascii="Segoe UI"/>
                <w:sz w:val="20"/>
              </w:rPr>
              <w:t>to</w:t>
            </w:r>
            <w:r>
              <w:rPr>
                <w:rFonts w:ascii="Segoe UI"/>
                <w:spacing w:val="-11"/>
                <w:sz w:val="20"/>
              </w:rPr>
              <w:t> </w:t>
            </w:r>
            <w:r>
              <w:rPr>
                <w:rFonts w:ascii="Segoe UI"/>
                <w:sz w:val="20"/>
              </w:rPr>
              <w:t>embed new ways of working.</w:t>
            </w:r>
          </w:p>
        </w:tc>
      </w:tr>
      <w:tr>
        <w:trPr>
          <w:trHeight w:val="1040" w:hRule="atLeast"/>
        </w:trPr>
        <w:tc>
          <w:tcPr>
            <w:tcW w:w="3262" w:type="dxa"/>
          </w:tcPr>
          <w:p>
            <w:pPr>
              <w:pStyle w:val="TableParagraph"/>
              <w:spacing w:line="276" w:lineRule="auto"/>
              <w:ind w:left="105"/>
              <w:rPr>
                <w:rFonts w:ascii="Segoe UI"/>
                <w:sz w:val="20"/>
              </w:rPr>
            </w:pPr>
            <w:r>
              <w:rPr>
                <w:rFonts w:ascii="Segoe UI"/>
                <w:sz w:val="20"/>
              </w:rPr>
              <w:t>Director</w:t>
            </w:r>
            <w:r>
              <w:rPr>
                <w:rFonts w:ascii="Segoe UI"/>
                <w:spacing w:val="-14"/>
                <w:sz w:val="20"/>
              </w:rPr>
              <w:t> </w:t>
            </w:r>
            <w:r>
              <w:rPr>
                <w:rFonts w:ascii="Segoe UI"/>
                <w:sz w:val="20"/>
              </w:rPr>
              <w:t>of</w:t>
            </w:r>
            <w:r>
              <w:rPr>
                <w:rFonts w:ascii="Segoe UI"/>
                <w:spacing w:val="-12"/>
                <w:sz w:val="20"/>
              </w:rPr>
              <w:t> </w:t>
            </w:r>
            <w:r>
              <w:rPr>
                <w:rFonts w:ascii="Segoe UI"/>
                <w:sz w:val="20"/>
              </w:rPr>
              <w:t>Performance</w:t>
            </w:r>
            <w:r>
              <w:rPr>
                <w:rFonts w:ascii="Segoe UI"/>
                <w:spacing w:val="-14"/>
                <w:sz w:val="20"/>
              </w:rPr>
              <w:t> </w:t>
            </w:r>
            <w:r>
              <w:rPr>
                <w:rFonts w:ascii="Segoe UI"/>
                <w:sz w:val="20"/>
              </w:rPr>
              <w:t>and Business Intelligence</w:t>
            </w:r>
          </w:p>
        </w:tc>
        <w:tc>
          <w:tcPr>
            <w:tcW w:w="2411" w:type="dxa"/>
          </w:tcPr>
          <w:p>
            <w:pPr>
              <w:pStyle w:val="TableParagraph"/>
              <w:spacing w:line="276" w:lineRule="auto"/>
              <w:ind w:left="109"/>
              <w:rPr>
                <w:rFonts w:ascii="Segoe UI"/>
                <w:sz w:val="20"/>
              </w:rPr>
            </w:pPr>
            <w:r>
              <w:rPr>
                <w:rFonts w:ascii="Segoe UI"/>
                <w:sz w:val="20"/>
              </w:rPr>
              <w:t>Swansea</w:t>
            </w:r>
            <w:r>
              <w:rPr>
                <w:rFonts w:ascii="Segoe UI"/>
                <w:spacing w:val="-14"/>
                <w:sz w:val="20"/>
              </w:rPr>
              <w:t> </w:t>
            </w:r>
            <w:r>
              <w:rPr>
                <w:rFonts w:ascii="Segoe UI"/>
                <w:sz w:val="20"/>
              </w:rPr>
              <w:t>Bay</w:t>
            </w:r>
            <w:r>
              <w:rPr>
                <w:rFonts w:ascii="Segoe UI"/>
                <w:spacing w:val="-14"/>
                <w:sz w:val="20"/>
              </w:rPr>
              <w:t> </w:t>
            </w:r>
            <w:r>
              <w:rPr>
                <w:rFonts w:ascii="Segoe UI"/>
                <w:sz w:val="20"/>
              </w:rPr>
              <w:t>University Health Board</w:t>
            </w:r>
          </w:p>
        </w:tc>
        <w:tc>
          <w:tcPr>
            <w:tcW w:w="1700" w:type="dxa"/>
          </w:tcPr>
          <w:p>
            <w:pPr>
              <w:pStyle w:val="TableParagraph"/>
              <w:spacing w:line="265" w:lineRule="exact"/>
              <w:ind w:left="109"/>
              <w:rPr>
                <w:rFonts w:ascii="Segoe UI"/>
                <w:sz w:val="20"/>
              </w:rPr>
            </w:pPr>
            <w:r>
              <w:rPr>
                <w:rFonts w:ascii="Segoe UI"/>
                <w:sz w:val="20"/>
              </w:rPr>
              <w:t>Andrew</w:t>
            </w:r>
            <w:r>
              <w:rPr>
                <w:rFonts w:ascii="Segoe UI"/>
                <w:spacing w:val="1"/>
                <w:sz w:val="20"/>
              </w:rPr>
              <w:t> </w:t>
            </w:r>
            <w:r>
              <w:rPr>
                <w:rFonts w:ascii="Segoe UI"/>
                <w:spacing w:val="-2"/>
                <w:sz w:val="20"/>
              </w:rPr>
              <w:t>Nelson</w:t>
            </w:r>
          </w:p>
        </w:tc>
        <w:tc>
          <w:tcPr>
            <w:tcW w:w="4257" w:type="dxa"/>
          </w:tcPr>
          <w:p>
            <w:pPr>
              <w:pStyle w:val="TableParagraph"/>
              <w:spacing w:line="278" w:lineRule="auto"/>
              <w:ind w:left="110" w:right="270"/>
              <w:jc w:val="both"/>
              <w:rPr>
                <w:rFonts w:ascii="Segoe UI" w:hAnsi="Segoe UI"/>
                <w:sz w:val="20"/>
              </w:rPr>
            </w:pPr>
            <w:r>
              <w:rPr>
                <w:rFonts w:ascii="Segoe UI" w:hAnsi="Segoe UI"/>
                <w:sz w:val="20"/>
              </w:rPr>
              <w:t>Data</w:t>
            </w:r>
            <w:r>
              <w:rPr>
                <w:rFonts w:ascii="Segoe UI" w:hAnsi="Segoe UI"/>
                <w:spacing w:val="-5"/>
                <w:sz w:val="20"/>
              </w:rPr>
              <w:t> </w:t>
            </w:r>
            <w:r>
              <w:rPr>
                <w:rFonts w:ascii="Segoe UI" w:hAnsi="Segoe UI"/>
                <w:sz w:val="20"/>
              </w:rPr>
              <w:t>Workstream</w:t>
            </w:r>
            <w:r>
              <w:rPr>
                <w:rFonts w:ascii="Segoe UI" w:hAnsi="Segoe UI"/>
                <w:spacing w:val="-6"/>
                <w:sz w:val="20"/>
              </w:rPr>
              <w:t> </w:t>
            </w:r>
            <w:r>
              <w:rPr>
                <w:rFonts w:ascii="Segoe UI" w:hAnsi="Segoe UI"/>
                <w:sz w:val="20"/>
              </w:rPr>
              <w:t>leads</w:t>
            </w:r>
            <w:r>
              <w:rPr>
                <w:rFonts w:ascii="Segoe UI" w:hAnsi="Segoe UI"/>
                <w:spacing w:val="-2"/>
                <w:sz w:val="20"/>
              </w:rPr>
              <w:t> </w:t>
            </w:r>
            <w:r>
              <w:rPr>
                <w:rFonts w:ascii="Segoe UI" w:hAnsi="Segoe UI"/>
                <w:sz w:val="20"/>
              </w:rPr>
              <w:t>–</w:t>
            </w:r>
            <w:r>
              <w:rPr>
                <w:rFonts w:ascii="Segoe UI" w:hAnsi="Segoe UI"/>
                <w:spacing w:val="-4"/>
                <w:sz w:val="20"/>
              </w:rPr>
              <w:t> </w:t>
            </w:r>
            <w:r>
              <w:rPr>
                <w:rFonts w:ascii="Segoe UI" w:hAnsi="Segoe UI"/>
                <w:sz w:val="20"/>
              </w:rPr>
              <w:t>leading</w:t>
            </w:r>
            <w:r>
              <w:rPr>
                <w:rFonts w:ascii="Segoe UI" w:hAnsi="Segoe UI"/>
                <w:spacing w:val="-6"/>
                <w:sz w:val="20"/>
              </w:rPr>
              <w:t> </w:t>
            </w:r>
            <w:r>
              <w:rPr>
                <w:rFonts w:ascii="Segoe UI" w:hAnsi="Segoe UI"/>
                <w:sz w:val="20"/>
              </w:rPr>
              <w:t>change</w:t>
            </w:r>
            <w:r>
              <w:rPr>
                <w:rFonts w:ascii="Segoe UI" w:hAnsi="Segoe UI"/>
                <w:spacing w:val="-4"/>
                <w:sz w:val="20"/>
              </w:rPr>
              <w:t> </w:t>
            </w:r>
            <w:r>
              <w:rPr>
                <w:rFonts w:ascii="Segoe UI" w:hAnsi="Segoe UI"/>
                <w:sz w:val="20"/>
              </w:rPr>
              <w:t>to data</w:t>
            </w:r>
            <w:r>
              <w:rPr>
                <w:rFonts w:ascii="Segoe UI" w:hAnsi="Segoe UI"/>
                <w:spacing w:val="-13"/>
                <w:sz w:val="20"/>
              </w:rPr>
              <w:t> </w:t>
            </w:r>
            <w:r>
              <w:rPr>
                <w:rFonts w:ascii="Segoe UI" w:hAnsi="Segoe UI"/>
                <w:sz w:val="20"/>
              </w:rPr>
              <w:t>modelling</w:t>
            </w:r>
            <w:r>
              <w:rPr>
                <w:rFonts w:ascii="Segoe UI" w:hAnsi="Segoe UI"/>
                <w:spacing w:val="-9"/>
                <w:sz w:val="20"/>
              </w:rPr>
              <w:t> </w:t>
            </w:r>
            <w:r>
              <w:rPr>
                <w:rFonts w:ascii="Segoe UI" w:hAnsi="Segoe UI"/>
                <w:sz w:val="20"/>
              </w:rPr>
              <w:t>arrangements,</w:t>
            </w:r>
            <w:r>
              <w:rPr>
                <w:rFonts w:ascii="Segoe UI" w:hAnsi="Segoe UI"/>
                <w:spacing w:val="-10"/>
                <w:sz w:val="20"/>
              </w:rPr>
              <w:t> </w:t>
            </w:r>
            <w:r>
              <w:rPr>
                <w:rFonts w:ascii="Segoe UI" w:hAnsi="Segoe UI"/>
                <w:sz w:val="20"/>
              </w:rPr>
              <w:t>planning</w:t>
            </w:r>
            <w:r>
              <w:rPr>
                <w:rFonts w:ascii="Segoe UI" w:hAnsi="Segoe UI"/>
                <w:spacing w:val="-9"/>
                <w:sz w:val="20"/>
              </w:rPr>
              <w:t> </w:t>
            </w:r>
            <w:r>
              <w:rPr>
                <w:rFonts w:ascii="Segoe UI" w:hAnsi="Segoe UI"/>
                <w:sz w:val="20"/>
              </w:rPr>
              <w:t>and </w:t>
            </w:r>
            <w:r>
              <w:rPr>
                <w:rFonts w:ascii="Segoe UI" w:hAnsi="Segoe UI"/>
                <w:spacing w:val="-2"/>
                <w:sz w:val="20"/>
              </w:rPr>
              <w:t>delivery</w:t>
            </w:r>
          </w:p>
        </w:tc>
      </w:tr>
      <w:tr>
        <w:trPr>
          <w:trHeight w:val="730" w:hRule="atLeast"/>
        </w:trPr>
        <w:tc>
          <w:tcPr>
            <w:tcW w:w="3262" w:type="dxa"/>
          </w:tcPr>
          <w:p>
            <w:pPr>
              <w:pStyle w:val="TableParagraph"/>
              <w:spacing w:line="276" w:lineRule="auto"/>
              <w:ind w:left="105"/>
              <w:rPr>
                <w:rFonts w:ascii="Segoe UI"/>
                <w:sz w:val="20"/>
              </w:rPr>
            </w:pPr>
            <w:r>
              <w:rPr>
                <w:rFonts w:ascii="Segoe UI"/>
                <w:sz w:val="20"/>
              </w:rPr>
              <w:t>RJC</w:t>
            </w:r>
            <w:r>
              <w:rPr>
                <w:rFonts w:ascii="Segoe UI"/>
                <w:spacing w:val="-8"/>
                <w:sz w:val="20"/>
              </w:rPr>
              <w:t> </w:t>
            </w:r>
            <w:r>
              <w:rPr>
                <w:rFonts w:ascii="Segoe UI"/>
                <w:sz w:val="20"/>
              </w:rPr>
              <w:t>Head</w:t>
            </w:r>
            <w:r>
              <w:rPr>
                <w:rFonts w:ascii="Segoe UI"/>
                <w:spacing w:val="-7"/>
                <w:sz w:val="20"/>
              </w:rPr>
              <w:t> </w:t>
            </w:r>
            <w:r>
              <w:rPr>
                <w:rFonts w:ascii="Segoe UI"/>
                <w:sz w:val="20"/>
              </w:rPr>
              <w:t>of</w:t>
            </w:r>
            <w:r>
              <w:rPr>
                <w:rFonts w:ascii="Segoe UI"/>
                <w:spacing w:val="-7"/>
                <w:sz w:val="20"/>
              </w:rPr>
              <w:t> </w:t>
            </w:r>
            <w:r>
              <w:rPr>
                <w:rFonts w:ascii="Segoe UI"/>
                <w:sz w:val="20"/>
              </w:rPr>
              <w:t>Strategy</w:t>
            </w:r>
            <w:r>
              <w:rPr>
                <w:rFonts w:ascii="Segoe UI"/>
                <w:spacing w:val="-10"/>
                <w:sz w:val="20"/>
              </w:rPr>
              <w:t> </w:t>
            </w:r>
            <w:r>
              <w:rPr>
                <w:rFonts w:ascii="Segoe UI"/>
                <w:sz w:val="20"/>
              </w:rPr>
              <w:t>and</w:t>
            </w:r>
            <w:r>
              <w:rPr>
                <w:rFonts w:ascii="Segoe UI"/>
                <w:spacing w:val="-7"/>
                <w:sz w:val="20"/>
              </w:rPr>
              <w:t> </w:t>
            </w:r>
            <w:r>
              <w:rPr>
                <w:rFonts w:ascii="Segoe UI"/>
                <w:sz w:val="20"/>
              </w:rPr>
              <w:t>Service </w:t>
            </w:r>
            <w:r>
              <w:rPr>
                <w:rFonts w:ascii="Segoe UI"/>
                <w:spacing w:val="-2"/>
                <w:sz w:val="20"/>
              </w:rPr>
              <w:t>Planning</w:t>
            </w:r>
          </w:p>
        </w:tc>
        <w:tc>
          <w:tcPr>
            <w:tcW w:w="2411" w:type="dxa"/>
          </w:tcPr>
          <w:p>
            <w:pPr>
              <w:pStyle w:val="TableParagraph"/>
              <w:spacing w:line="276" w:lineRule="auto"/>
              <w:ind w:left="109" w:right="1042"/>
              <w:rPr>
                <w:rFonts w:ascii="Segoe UI"/>
                <w:sz w:val="20"/>
              </w:rPr>
            </w:pPr>
            <w:r>
              <w:rPr>
                <w:rFonts w:ascii="Segoe UI"/>
                <w:sz w:val="20"/>
              </w:rPr>
              <w:t>Regional</w:t>
            </w:r>
            <w:r>
              <w:rPr>
                <w:rFonts w:ascii="Segoe UI"/>
                <w:spacing w:val="-14"/>
                <w:sz w:val="20"/>
              </w:rPr>
              <w:t> </w:t>
            </w:r>
            <w:r>
              <w:rPr>
                <w:rFonts w:ascii="Segoe UI"/>
                <w:sz w:val="20"/>
              </w:rPr>
              <w:t>Joint </w:t>
            </w:r>
            <w:r>
              <w:rPr>
                <w:rFonts w:ascii="Segoe UI"/>
                <w:spacing w:val="-2"/>
                <w:sz w:val="20"/>
              </w:rPr>
              <w:t>Committee</w:t>
            </w:r>
          </w:p>
        </w:tc>
        <w:tc>
          <w:tcPr>
            <w:tcW w:w="1700" w:type="dxa"/>
          </w:tcPr>
          <w:p>
            <w:pPr>
              <w:pStyle w:val="TableParagraph"/>
              <w:spacing w:line="265" w:lineRule="exact"/>
              <w:ind w:left="109"/>
              <w:rPr>
                <w:rFonts w:ascii="Segoe UI" w:hAnsi="Segoe UI"/>
                <w:sz w:val="20"/>
              </w:rPr>
            </w:pPr>
            <w:r>
              <w:rPr>
                <w:rFonts w:ascii="Segoe UI" w:hAnsi="Segoe UI"/>
                <w:sz w:val="20"/>
              </w:rPr>
              <w:t>Siôn</w:t>
            </w:r>
            <w:r>
              <w:rPr>
                <w:rFonts w:ascii="Segoe UI" w:hAnsi="Segoe UI"/>
                <w:spacing w:val="-5"/>
                <w:sz w:val="20"/>
              </w:rPr>
              <w:t> </w:t>
            </w:r>
            <w:r>
              <w:rPr>
                <w:rFonts w:ascii="Segoe UI" w:hAnsi="Segoe UI"/>
                <w:spacing w:val="-2"/>
                <w:sz w:val="20"/>
              </w:rPr>
              <w:t>Charles</w:t>
            </w:r>
          </w:p>
        </w:tc>
        <w:tc>
          <w:tcPr>
            <w:tcW w:w="4257" w:type="dxa"/>
          </w:tcPr>
          <w:p>
            <w:pPr>
              <w:pStyle w:val="TableParagraph"/>
              <w:spacing w:line="276" w:lineRule="auto"/>
              <w:ind w:left="110" w:right="215"/>
              <w:rPr>
                <w:rFonts w:ascii="Segoe UI"/>
                <w:sz w:val="20"/>
              </w:rPr>
            </w:pPr>
            <w:r>
              <w:rPr>
                <w:rFonts w:ascii="Segoe UI"/>
                <w:sz w:val="20"/>
              </w:rPr>
              <w:t>Regional</w:t>
            </w:r>
            <w:r>
              <w:rPr>
                <w:rFonts w:ascii="Segoe UI"/>
                <w:spacing w:val="-14"/>
                <w:sz w:val="20"/>
              </w:rPr>
              <w:t> </w:t>
            </w:r>
            <w:r>
              <w:rPr>
                <w:rFonts w:ascii="Segoe UI"/>
                <w:sz w:val="20"/>
              </w:rPr>
              <w:t>Programme,</w:t>
            </w:r>
            <w:r>
              <w:rPr>
                <w:rFonts w:ascii="Segoe UI"/>
                <w:spacing w:val="-14"/>
                <w:sz w:val="20"/>
              </w:rPr>
              <w:t> </w:t>
            </w:r>
            <w:r>
              <w:rPr>
                <w:rFonts w:ascii="Segoe UI"/>
                <w:sz w:val="20"/>
              </w:rPr>
              <w:t>dependencies, </w:t>
            </w:r>
            <w:r>
              <w:rPr>
                <w:rFonts w:ascii="Segoe UI"/>
                <w:spacing w:val="-2"/>
                <w:sz w:val="20"/>
              </w:rPr>
              <w:t>coordination</w:t>
            </w:r>
          </w:p>
        </w:tc>
      </w:tr>
      <w:tr>
        <w:trPr>
          <w:trHeight w:val="730" w:hRule="atLeast"/>
        </w:trPr>
        <w:tc>
          <w:tcPr>
            <w:tcW w:w="3262" w:type="dxa"/>
          </w:tcPr>
          <w:p>
            <w:pPr>
              <w:pStyle w:val="TableParagraph"/>
              <w:spacing w:line="276" w:lineRule="auto"/>
              <w:ind w:left="105" w:right="1129"/>
              <w:rPr>
                <w:rFonts w:ascii="Segoe UI"/>
                <w:sz w:val="20"/>
              </w:rPr>
            </w:pPr>
            <w:r>
              <w:rPr>
                <w:rFonts w:ascii="Segoe UI"/>
                <w:sz w:val="20"/>
              </w:rPr>
              <w:t>Regional</w:t>
            </w:r>
            <w:r>
              <w:rPr>
                <w:rFonts w:ascii="Segoe UI"/>
                <w:spacing w:val="-14"/>
                <w:sz w:val="20"/>
              </w:rPr>
              <w:t> </w:t>
            </w:r>
            <w:r>
              <w:rPr>
                <w:rFonts w:ascii="Segoe UI"/>
                <w:sz w:val="20"/>
              </w:rPr>
              <w:t>Orthopaedics Programme Manager</w:t>
            </w:r>
          </w:p>
        </w:tc>
        <w:tc>
          <w:tcPr>
            <w:tcW w:w="2411" w:type="dxa"/>
          </w:tcPr>
          <w:p>
            <w:pPr>
              <w:pStyle w:val="TableParagraph"/>
              <w:spacing w:line="265" w:lineRule="exact"/>
              <w:ind w:left="109"/>
              <w:rPr>
                <w:rFonts w:ascii="Segoe UI"/>
                <w:sz w:val="20"/>
              </w:rPr>
            </w:pPr>
            <w:r>
              <w:rPr>
                <w:rFonts w:ascii="Segoe UI"/>
                <w:sz w:val="20"/>
              </w:rPr>
              <w:t>RJC</w:t>
            </w:r>
            <w:r>
              <w:rPr>
                <w:rFonts w:ascii="Segoe UI"/>
                <w:spacing w:val="-1"/>
                <w:sz w:val="20"/>
              </w:rPr>
              <w:t> </w:t>
            </w:r>
            <w:r>
              <w:rPr>
                <w:rFonts w:ascii="Segoe UI"/>
                <w:spacing w:val="-5"/>
                <w:sz w:val="20"/>
              </w:rPr>
              <w:t>PMO</w:t>
            </w:r>
          </w:p>
        </w:tc>
        <w:tc>
          <w:tcPr>
            <w:tcW w:w="1700" w:type="dxa"/>
          </w:tcPr>
          <w:p>
            <w:pPr>
              <w:pStyle w:val="TableParagraph"/>
              <w:spacing w:line="265" w:lineRule="exact"/>
              <w:ind w:left="109"/>
              <w:rPr>
                <w:rFonts w:ascii="Segoe UI"/>
                <w:sz w:val="20"/>
              </w:rPr>
            </w:pPr>
            <w:r>
              <w:rPr>
                <w:rFonts w:ascii="Segoe UI"/>
                <w:sz w:val="20"/>
              </w:rPr>
              <w:t>Berian</w:t>
            </w:r>
            <w:r>
              <w:rPr>
                <w:rFonts w:ascii="Segoe UI"/>
                <w:spacing w:val="-3"/>
                <w:sz w:val="20"/>
              </w:rPr>
              <w:t> </w:t>
            </w:r>
            <w:r>
              <w:rPr>
                <w:rFonts w:ascii="Segoe UI"/>
                <w:spacing w:val="-2"/>
                <w:sz w:val="20"/>
              </w:rPr>
              <w:t>Allcock</w:t>
            </w:r>
          </w:p>
        </w:tc>
        <w:tc>
          <w:tcPr>
            <w:tcW w:w="4257" w:type="dxa"/>
          </w:tcPr>
          <w:p>
            <w:pPr>
              <w:pStyle w:val="TableParagraph"/>
              <w:spacing w:line="265" w:lineRule="exact"/>
              <w:ind w:left="110"/>
              <w:rPr>
                <w:rFonts w:ascii="Segoe UI"/>
                <w:sz w:val="20"/>
              </w:rPr>
            </w:pPr>
            <w:r>
              <w:rPr>
                <w:rFonts w:ascii="Segoe UI"/>
                <w:sz w:val="20"/>
              </w:rPr>
              <w:t>Programme</w:t>
            </w:r>
            <w:r>
              <w:rPr>
                <w:rFonts w:ascii="Segoe UI"/>
                <w:spacing w:val="-11"/>
                <w:sz w:val="20"/>
              </w:rPr>
              <w:t> </w:t>
            </w:r>
            <w:r>
              <w:rPr>
                <w:rFonts w:ascii="Segoe UI"/>
                <w:spacing w:val="-2"/>
                <w:sz w:val="20"/>
              </w:rPr>
              <w:t>Management</w:t>
            </w:r>
          </w:p>
        </w:tc>
      </w:tr>
      <w:tr>
        <w:trPr>
          <w:trHeight w:val="430" w:hRule="atLeast"/>
        </w:trPr>
        <w:tc>
          <w:tcPr>
            <w:tcW w:w="3262" w:type="dxa"/>
          </w:tcPr>
          <w:p>
            <w:pPr>
              <w:pStyle w:val="TableParagraph"/>
              <w:spacing w:line="265" w:lineRule="exact"/>
              <w:ind w:left="105"/>
              <w:rPr>
                <w:rFonts w:ascii="Segoe UI"/>
                <w:sz w:val="20"/>
              </w:rPr>
            </w:pPr>
            <w:r>
              <w:rPr>
                <w:rFonts w:ascii="Segoe UI"/>
                <w:sz w:val="20"/>
              </w:rPr>
              <w:t>Senior</w:t>
            </w:r>
            <w:r>
              <w:rPr>
                <w:rFonts w:ascii="Segoe UI"/>
                <w:spacing w:val="-3"/>
                <w:sz w:val="20"/>
              </w:rPr>
              <w:t> </w:t>
            </w:r>
            <w:r>
              <w:rPr>
                <w:rFonts w:ascii="Segoe UI"/>
                <w:sz w:val="20"/>
              </w:rPr>
              <w:t>Project</w:t>
            </w:r>
            <w:r>
              <w:rPr>
                <w:rFonts w:ascii="Segoe UI"/>
                <w:spacing w:val="-1"/>
                <w:sz w:val="20"/>
              </w:rPr>
              <w:t> </w:t>
            </w:r>
            <w:r>
              <w:rPr>
                <w:rFonts w:ascii="Segoe UI"/>
                <w:sz w:val="20"/>
              </w:rPr>
              <w:t>Support</w:t>
            </w:r>
            <w:r>
              <w:rPr>
                <w:rFonts w:ascii="Segoe UI"/>
                <w:spacing w:val="-1"/>
                <w:sz w:val="20"/>
              </w:rPr>
              <w:t> </w:t>
            </w:r>
            <w:r>
              <w:rPr>
                <w:rFonts w:ascii="Segoe UI"/>
                <w:spacing w:val="-2"/>
                <w:sz w:val="20"/>
              </w:rPr>
              <w:t>Officer</w:t>
            </w:r>
          </w:p>
        </w:tc>
        <w:tc>
          <w:tcPr>
            <w:tcW w:w="2411" w:type="dxa"/>
          </w:tcPr>
          <w:p>
            <w:pPr>
              <w:pStyle w:val="TableParagraph"/>
              <w:spacing w:line="265" w:lineRule="exact"/>
              <w:ind w:left="109"/>
              <w:rPr>
                <w:rFonts w:ascii="Segoe UI"/>
                <w:sz w:val="20"/>
              </w:rPr>
            </w:pPr>
            <w:r>
              <w:rPr>
                <w:rFonts w:ascii="Segoe UI"/>
                <w:sz w:val="20"/>
              </w:rPr>
              <w:t>RJC</w:t>
            </w:r>
            <w:r>
              <w:rPr>
                <w:rFonts w:ascii="Segoe UI"/>
                <w:spacing w:val="-1"/>
                <w:sz w:val="20"/>
              </w:rPr>
              <w:t> </w:t>
            </w:r>
            <w:r>
              <w:rPr>
                <w:rFonts w:ascii="Segoe UI"/>
                <w:spacing w:val="-5"/>
                <w:sz w:val="20"/>
              </w:rPr>
              <w:t>PMO</w:t>
            </w:r>
          </w:p>
        </w:tc>
        <w:tc>
          <w:tcPr>
            <w:tcW w:w="1700" w:type="dxa"/>
          </w:tcPr>
          <w:p>
            <w:pPr>
              <w:pStyle w:val="TableParagraph"/>
              <w:spacing w:line="265" w:lineRule="exact"/>
              <w:ind w:left="109"/>
              <w:rPr>
                <w:rFonts w:ascii="Segoe UI"/>
                <w:sz w:val="20"/>
              </w:rPr>
            </w:pPr>
            <w:r>
              <w:rPr>
                <w:rFonts w:ascii="Segoe UI"/>
                <w:sz w:val="20"/>
              </w:rPr>
              <w:t>Lucy</w:t>
            </w:r>
            <w:r>
              <w:rPr>
                <w:rFonts w:ascii="Segoe UI"/>
                <w:spacing w:val="1"/>
                <w:sz w:val="20"/>
              </w:rPr>
              <w:t> </w:t>
            </w:r>
            <w:r>
              <w:rPr>
                <w:rFonts w:ascii="Segoe UI"/>
                <w:spacing w:val="-2"/>
                <w:sz w:val="20"/>
              </w:rPr>
              <w:t>Blackman</w:t>
            </w:r>
          </w:p>
        </w:tc>
        <w:tc>
          <w:tcPr>
            <w:tcW w:w="4257" w:type="dxa"/>
          </w:tcPr>
          <w:p>
            <w:pPr>
              <w:pStyle w:val="TableParagraph"/>
              <w:spacing w:line="265" w:lineRule="exact"/>
              <w:ind w:left="110"/>
              <w:rPr>
                <w:rFonts w:ascii="Segoe UI"/>
                <w:sz w:val="20"/>
              </w:rPr>
            </w:pPr>
            <w:r>
              <w:rPr>
                <w:rFonts w:ascii="Segoe UI"/>
                <w:sz w:val="20"/>
              </w:rPr>
              <w:t>Programme</w:t>
            </w:r>
            <w:r>
              <w:rPr>
                <w:rFonts w:ascii="Segoe UI"/>
                <w:spacing w:val="-11"/>
                <w:sz w:val="20"/>
              </w:rPr>
              <w:t> </w:t>
            </w:r>
            <w:r>
              <w:rPr>
                <w:rFonts w:ascii="Segoe UI"/>
                <w:spacing w:val="-2"/>
                <w:sz w:val="20"/>
              </w:rPr>
              <w:t>Management</w:t>
            </w:r>
          </w:p>
        </w:tc>
      </w:tr>
    </w:tbl>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82"/>
        <w:rPr>
          <w:rFonts w:ascii="Calibri"/>
          <w:sz w:val="20"/>
        </w:rPr>
      </w:pPr>
      <w:r>
        <w:rPr>
          <w:rFonts w:ascii="Calibri"/>
          <w:sz w:val="20"/>
        </w:rPr>
        <mc:AlternateContent>
          <mc:Choice Requires="wps">
            <w:drawing>
              <wp:anchor distT="0" distB="0" distL="0" distR="0" allowOverlap="1" layoutInCell="1" locked="0" behindDoc="1" simplePos="0" relativeHeight="487634944">
                <wp:simplePos x="0" y="0"/>
                <wp:positionH relativeFrom="page">
                  <wp:posOffset>574992</wp:posOffset>
                </wp:positionH>
                <wp:positionV relativeFrom="paragraph">
                  <wp:posOffset>229042</wp:posOffset>
                </wp:positionV>
                <wp:extent cx="6553200" cy="361950"/>
                <wp:effectExtent l="0" t="0" r="0" b="0"/>
                <wp:wrapTopAndBottom/>
                <wp:docPr id="245" name="Textbox 245"/>
                <wp:cNvGraphicFramePr>
                  <a:graphicFrameLocks/>
                </wp:cNvGraphicFramePr>
                <a:graphic>
                  <a:graphicData uri="http://schemas.microsoft.com/office/word/2010/wordprocessingShape">
                    <wps:wsp>
                      <wps:cNvPr id="245" name="Textbox 245"/>
                      <wps:cNvSpPr txBox="1"/>
                      <wps:spPr>
                        <a:xfrm>
                          <a:off x="0" y="0"/>
                          <a:ext cx="6553200" cy="361950"/>
                        </a:xfrm>
                        <a:prstGeom prst="rect">
                          <a:avLst/>
                        </a:prstGeom>
                        <a:solidFill>
                          <a:srgbClr val="C1A875"/>
                        </a:solidFill>
                        <a:ln w="12700">
                          <a:solidFill>
                            <a:srgbClr val="394871"/>
                          </a:solidFill>
                          <a:prstDash val="solid"/>
                        </a:ln>
                      </wps:spPr>
                      <wps:txbx>
                        <w:txbxContent>
                          <w:p>
                            <w:pPr>
                              <w:spacing w:before="0"/>
                              <w:ind w:left="95" w:right="12" w:firstLine="0"/>
                              <w:jc w:val="left"/>
                              <w:rPr>
                                <w:b/>
                                <w:color w:val="000000"/>
                                <w:sz w:val="24"/>
                              </w:rPr>
                            </w:pPr>
                            <w:r>
                              <w:rPr>
                                <w:b/>
                                <w:color w:val="000000"/>
                                <w:sz w:val="24"/>
                              </w:rPr>
                              <w:t>Appendix</w:t>
                            </w:r>
                            <w:r>
                              <w:rPr>
                                <w:b/>
                                <w:color w:val="000000"/>
                                <w:spacing w:val="-4"/>
                                <w:sz w:val="24"/>
                              </w:rPr>
                              <w:t> </w:t>
                            </w:r>
                            <w:r>
                              <w:rPr>
                                <w:b/>
                                <w:color w:val="000000"/>
                                <w:sz w:val="24"/>
                              </w:rPr>
                              <w:t>2</w:t>
                            </w:r>
                            <w:r>
                              <w:rPr>
                                <w:b/>
                                <w:color w:val="000000"/>
                                <w:spacing w:val="-3"/>
                                <w:sz w:val="24"/>
                              </w:rPr>
                              <w:t> </w:t>
                            </w:r>
                            <w:r>
                              <w:rPr>
                                <w:b/>
                                <w:color w:val="000000"/>
                                <w:sz w:val="24"/>
                              </w:rPr>
                              <w:t>–</w:t>
                            </w:r>
                            <w:r>
                              <w:rPr>
                                <w:b/>
                                <w:color w:val="000000"/>
                                <w:spacing w:val="-4"/>
                                <w:sz w:val="24"/>
                              </w:rPr>
                              <w:t> </w:t>
                            </w:r>
                            <w:r>
                              <w:rPr>
                                <w:b/>
                                <w:color w:val="000000"/>
                                <w:sz w:val="24"/>
                              </w:rPr>
                              <w:t>Regional</w:t>
                            </w:r>
                            <w:r>
                              <w:rPr>
                                <w:b/>
                                <w:color w:val="000000"/>
                                <w:spacing w:val="-7"/>
                                <w:sz w:val="24"/>
                              </w:rPr>
                              <w:t> </w:t>
                            </w:r>
                            <w:r>
                              <w:rPr>
                                <w:b/>
                                <w:color w:val="000000"/>
                                <w:sz w:val="24"/>
                              </w:rPr>
                              <w:t>Eye</w:t>
                            </w:r>
                            <w:r>
                              <w:rPr>
                                <w:b/>
                                <w:color w:val="000000"/>
                                <w:spacing w:val="-4"/>
                                <w:sz w:val="24"/>
                              </w:rPr>
                              <w:t> </w:t>
                            </w:r>
                            <w:r>
                              <w:rPr>
                                <w:b/>
                                <w:color w:val="000000"/>
                                <w:sz w:val="24"/>
                              </w:rPr>
                              <w:t>Care</w:t>
                            </w:r>
                            <w:r>
                              <w:rPr>
                                <w:b/>
                                <w:color w:val="000000"/>
                                <w:spacing w:val="-4"/>
                                <w:sz w:val="24"/>
                              </w:rPr>
                              <w:t> </w:t>
                            </w:r>
                            <w:r>
                              <w:rPr>
                                <w:b/>
                                <w:color w:val="000000"/>
                                <w:sz w:val="24"/>
                              </w:rPr>
                              <w:t>Operational</w:t>
                            </w:r>
                            <w:r>
                              <w:rPr>
                                <w:b/>
                                <w:color w:val="000000"/>
                                <w:spacing w:val="-2"/>
                                <w:sz w:val="24"/>
                              </w:rPr>
                              <w:t> </w:t>
                            </w:r>
                            <w:r>
                              <w:rPr>
                                <w:b/>
                                <w:color w:val="000000"/>
                                <w:sz w:val="24"/>
                              </w:rPr>
                              <w:t>Delivery</w:t>
                            </w:r>
                            <w:r>
                              <w:rPr>
                                <w:b/>
                                <w:color w:val="000000"/>
                                <w:spacing w:val="-9"/>
                                <w:sz w:val="24"/>
                              </w:rPr>
                              <w:t> </w:t>
                            </w:r>
                            <w:r>
                              <w:rPr>
                                <w:b/>
                                <w:color w:val="000000"/>
                                <w:sz w:val="24"/>
                              </w:rPr>
                              <w:t>Group</w:t>
                            </w:r>
                            <w:r>
                              <w:rPr>
                                <w:b/>
                                <w:color w:val="000000"/>
                                <w:spacing w:val="-2"/>
                                <w:sz w:val="24"/>
                              </w:rPr>
                              <w:t> </w:t>
                            </w:r>
                            <w:r>
                              <w:rPr>
                                <w:b/>
                                <w:color w:val="000000"/>
                                <w:sz w:val="24"/>
                              </w:rPr>
                              <w:t>(Attendees</w:t>
                            </w:r>
                            <w:r>
                              <w:rPr>
                                <w:b/>
                                <w:color w:val="000000"/>
                                <w:spacing w:val="-4"/>
                                <w:sz w:val="24"/>
                              </w:rPr>
                              <w:t> </w:t>
                            </w:r>
                            <w:r>
                              <w:rPr>
                                <w:b/>
                                <w:color w:val="000000"/>
                                <w:sz w:val="24"/>
                              </w:rPr>
                              <w:t>+ </w:t>
                            </w:r>
                            <w:r>
                              <w:rPr>
                                <w:b/>
                                <w:color w:val="000000"/>
                                <w:spacing w:val="-2"/>
                                <w:sz w:val="24"/>
                              </w:rPr>
                              <w:t>Responsibilities)</w:t>
                            </w:r>
                          </w:p>
                        </w:txbxContent>
                      </wps:txbx>
                      <wps:bodyPr wrap="square" lIns="0" tIns="0" rIns="0" bIns="0" rtlCol="0">
                        <a:noAutofit/>
                      </wps:bodyPr>
                    </wps:wsp>
                  </a:graphicData>
                </a:graphic>
              </wp:anchor>
            </w:drawing>
          </mc:Choice>
          <mc:Fallback>
            <w:pict>
              <v:shape style="position:absolute;margin-left:45.275002pt;margin-top:18.034843pt;width:516pt;height:28.5pt;mso-position-horizontal-relative:page;mso-position-vertical-relative:paragraph;z-index:-15681536;mso-wrap-distance-left:0;mso-wrap-distance-right:0" type="#_x0000_t202" id="docshape142" filled="true" fillcolor="#c1a875" stroked="true" strokeweight="1pt" strokecolor="#394871">
                <v:textbox inset="0,0,0,0">
                  <w:txbxContent>
                    <w:p>
                      <w:pPr>
                        <w:spacing w:before="0"/>
                        <w:ind w:left="95" w:right="12" w:firstLine="0"/>
                        <w:jc w:val="left"/>
                        <w:rPr>
                          <w:b/>
                          <w:color w:val="000000"/>
                          <w:sz w:val="24"/>
                        </w:rPr>
                      </w:pPr>
                      <w:r>
                        <w:rPr>
                          <w:b/>
                          <w:color w:val="000000"/>
                          <w:sz w:val="24"/>
                        </w:rPr>
                        <w:t>Appendix</w:t>
                      </w:r>
                      <w:r>
                        <w:rPr>
                          <w:b/>
                          <w:color w:val="000000"/>
                          <w:spacing w:val="-4"/>
                          <w:sz w:val="24"/>
                        </w:rPr>
                        <w:t> </w:t>
                      </w:r>
                      <w:r>
                        <w:rPr>
                          <w:b/>
                          <w:color w:val="000000"/>
                          <w:sz w:val="24"/>
                        </w:rPr>
                        <w:t>2</w:t>
                      </w:r>
                      <w:r>
                        <w:rPr>
                          <w:b/>
                          <w:color w:val="000000"/>
                          <w:spacing w:val="-3"/>
                          <w:sz w:val="24"/>
                        </w:rPr>
                        <w:t> </w:t>
                      </w:r>
                      <w:r>
                        <w:rPr>
                          <w:b/>
                          <w:color w:val="000000"/>
                          <w:sz w:val="24"/>
                        </w:rPr>
                        <w:t>–</w:t>
                      </w:r>
                      <w:r>
                        <w:rPr>
                          <w:b/>
                          <w:color w:val="000000"/>
                          <w:spacing w:val="-4"/>
                          <w:sz w:val="24"/>
                        </w:rPr>
                        <w:t> </w:t>
                      </w:r>
                      <w:r>
                        <w:rPr>
                          <w:b/>
                          <w:color w:val="000000"/>
                          <w:sz w:val="24"/>
                        </w:rPr>
                        <w:t>Regional</w:t>
                      </w:r>
                      <w:r>
                        <w:rPr>
                          <w:b/>
                          <w:color w:val="000000"/>
                          <w:spacing w:val="-7"/>
                          <w:sz w:val="24"/>
                        </w:rPr>
                        <w:t> </w:t>
                      </w:r>
                      <w:r>
                        <w:rPr>
                          <w:b/>
                          <w:color w:val="000000"/>
                          <w:sz w:val="24"/>
                        </w:rPr>
                        <w:t>Eye</w:t>
                      </w:r>
                      <w:r>
                        <w:rPr>
                          <w:b/>
                          <w:color w:val="000000"/>
                          <w:spacing w:val="-4"/>
                          <w:sz w:val="24"/>
                        </w:rPr>
                        <w:t> </w:t>
                      </w:r>
                      <w:r>
                        <w:rPr>
                          <w:b/>
                          <w:color w:val="000000"/>
                          <w:sz w:val="24"/>
                        </w:rPr>
                        <w:t>Care</w:t>
                      </w:r>
                      <w:r>
                        <w:rPr>
                          <w:b/>
                          <w:color w:val="000000"/>
                          <w:spacing w:val="-4"/>
                          <w:sz w:val="24"/>
                        </w:rPr>
                        <w:t> </w:t>
                      </w:r>
                      <w:r>
                        <w:rPr>
                          <w:b/>
                          <w:color w:val="000000"/>
                          <w:sz w:val="24"/>
                        </w:rPr>
                        <w:t>Operational</w:t>
                      </w:r>
                      <w:r>
                        <w:rPr>
                          <w:b/>
                          <w:color w:val="000000"/>
                          <w:spacing w:val="-2"/>
                          <w:sz w:val="24"/>
                        </w:rPr>
                        <w:t> </w:t>
                      </w:r>
                      <w:r>
                        <w:rPr>
                          <w:b/>
                          <w:color w:val="000000"/>
                          <w:sz w:val="24"/>
                        </w:rPr>
                        <w:t>Delivery</w:t>
                      </w:r>
                      <w:r>
                        <w:rPr>
                          <w:b/>
                          <w:color w:val="000000"/>
                          <w:spacing w:val="-9"/>
                          <w:sz w:val="24"/>
                        </w:rPr>
                        <w:t> </w:t>
                      </w:r>
                      <w:r>
                        <w:rPr>
                          <w:b/>
                          <w:color w:val="000000"/>
                          <w:sz w:val="24"/>
                        </w:rPr>
                        <w:t>Group</w:t>
                      </w:r>
                      <w:r>
                        <w:rPr>
                          <w:b/>
                          <w:color w:val="000000"/>
                          <w:spacing w:val="-2"/>
                          <w:sz w:val="24"/>
                        </w:rPr>
                        <w:t> </w:t>
                      </w:r>
                      <w:r>
                        <w:rPr>
                          <w:b/>
                          <w:color w:val="000000"/>
                          <w:sz w:val="24"/>
                        </w:rPr>
                        <w:t>(Attendees</w:t>
                      </w:r>
                      <w:r>
                        <w:rPr>
                          <w:b/>
                          <w:color w:val="000000"/>
                          <w:spacing w:val="-4"/>
                          <w:sz w:val="24"/>
                        </w:rPr>
                        <w:t> </w:t>
                      </w:r>
                      <w:r>
                        <w:rPr>
                          <w:b/>
                          <w:color w:val="000000"/>
                          <w:sz w:val="24"/>
                        </w:rPr>
                        <w:t>+ </w:t>
                      </w:r>
                      <w:r>
                        <w:rPr>
                          <w:b/>
                          <w:color w:val="000000"/>
                          <w:spacing w:val="-2"/>
                          <w:sz w:val="24"/>
                        </w:rPr>
                        <w:t>Responsibilities)</w:t>
                      </w:r>
                    </w:p>
                  </w:txbxContent>
                </v:textbox>
                <v:fill type="solid"/>
                <v:stroke dashstyle="solid"/>
                <w10:wrap type="topAndBottom"/>
              </v:shape>
            </w:pict>
          </mc:Fallback>
        </mc:AlternateContent>
      </w:r>
    </w:p>
    <w:p>
      <w:pPr>
        <w:pStyle w:val="BodyText"/>
        <w:rPr>
          <w:rFonts w:ascii="Calibri"/>
          <w:sz w:val="20"/>
        </w:rPr>
      </w:pPr>
    </w:p>
    <w:p>
      <w:pPr>
        <w:pStyle w:val="BodyText"/>
        <w:spacing w:before="27"/>
        <w:rPr>
          <w:rFonts w:ascii="Calibri"/>
          <w:sz w:val="20"/>
        </w:rPr>
      </w:pPr>
    </w:p>
    <w:tbl>
      <w:tblPr>
        <w:tblW w:w="0" w:type="auto"/>
        <w:jc w:val="left"/>
        <w:tblInd w:w="34"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2551"/>
        <w:gridCol w:w="1986"/>
        <w:gridCol w:w="1701"/>
        <w:gridCol w:w="5393"/>
      </w:tblGrid>
      <w:tr>
        <w:trPr>
          <w:trHeight w:val="530" w:hRule="atLeast"/>
        </w:trPr>
        <w:tc>
          <w:tcPr>
            <w:tcW w:w="2551" w:type="dxa"/>
            <w:shd w:val="clear" w:color="auto" w:fill="C1A875"/>
          </w:tcPr>
          <w:p>
            <w:pPr>
              <w:pStyle w:val="TableParagraph"/>
              <w:spacing w:line="266" w:lineRule="exact"/>
              <w:ind w:left="105" w:right="488"/>
              <w:rPr>
                <w:rFonts w:ascii="Segoe UI"/>
                <w:b/>
                <w:sz w:val="20"/>
              </w:rPr>
            </w:pPr>
            <w:r>
              <w:rPr>
                <w:rFonts w:ascii="Segoe UI"/>
                <w:b/>
                <w:sz w:val="20"/>
              </w:rPr>
              <w:t>Operational</w:t>
            </w:r>
            <w:r>
              <w:rPr>
                <w:rFonts w:ascii="Segoe UI"/>
                <w:b/>
                <w:spacing w:val="-14"/>
                <w:sz w:val="20"/>
              </w:rPr>
              <w:t> </w:t>
            </w:r>
            <w:r>
              <w:rPr>
                <w:rFonts w:ascii="Segoe UI"/>
                <w:b/>
                <w:sz w:val="20"/>
              </w:rPr>
              <w:t>Delivery </w:t>
            </w:r>
            <w:r>
              <w:rPr>
                <w:rFonts w:ascii="Segoe UI"/>
                <w:b/>
                <w:spacing w:val="-2"/>
                <w:sz w:val="20"/>
              </w:rPr>
              <w:t>Group</w:t>
            </w:r>
          </w:p>
        </w:tc>
        <w:tc>
          <w:tcPr>
            <w:tcW w:w="1986" w:type="dxa"/>
            <w:shd w:val="clear" w:color="auto" w:fill="C1A875"/>
          </w:tcPr>
          <w:p>
            <w:pPr>
              <w:pStyle w:val="TableParagraph"/>
              <w:rPr>
                <w:rFonts w:ascii="Times New Roman"/>
                <w:sz w:val="18"/>
              </w:rPr>
            </w:pPr>
          </w:p>
        </w:tc>
        <w:tc>
          <w:tcPr>
            <w:tcW w:w="1701" w:type="dxa"/>
            <w:shd w:val="clear" w:color="auto" w:fill="C1A875"/>
          </w:tcPr>
          <w:p>
            <w:pPr>
              <w:pStyle w:val="TableParagraph"/>
              <w:rPr>
                <w:rFonts w:ascii="Times New Roman"/>
                <w:sz w:val="18"/>
              </w:rPr>
            </w:pPr>
          </w:p>
        </w:tc>
        <w:tc>
          <w:tcPr>
            <w:tcW w:w="5393" w:type="dxa"/>
            <w:shd w:val="clear" w:color="auto" w:fill="C1A875"/>
          </w:tcPr>
          <w:p>
            <w:pPr>
              <w:pStyle w:val="TableParagraph"/>
              <w:rPr>
                <w:rFonts w:ascii="Times New Roman"/>
                <w:sz w:val="18"/>
              </w:rPr>
            </w:pPr>
          </w:p>
        </w:tc>
      </w:tr>
      <w:tr>
        <w:trPr>
          <w:trHeight w:val="798" w:hRule="atLeast"/>
        </w:trPr>
        <w:tc>
          <w:tcPr>
            <w:tcW w:w="2551" w:type="dxa"/>
          </w:tcPr>
          <w:p>
            <w:pPr>
              <w:pStyle w:val="TableParagraph"/>
              <w:ind w:left="105"/>
              <w:rPr>
                <w:rFonts w:ascii="Segoe UI"/>
                <w:sz w:val="20"/>
              </w:rPr>
            </w:pPr>
            <w:r>
              <w:rPr>
                <w:rFonts w:ascii="Segoe UI"/>
                <w:sz w:val="20"/>
              </w:rPr>
              <w:t>Ophthalmology</w:t>
            </w:r>
            <w:r>
              <w:rPr>
                <w:rFonts w:ascii="Segoe UI"/>
                <w:spacing w:val="-14"/>
                <w:sz w:val="20"/>
              </w:rPr>
              <w:t> </w:t>
            </w:r>
            <w:r>
              <w:rPr>
                <w:rFonts w:ascii="Segoe UI"/>
                <w:sz w:val="20"/>
              </w:rPr>
              <w:t>Service Delivery Manager</w:t>
            </w:r>
          </w:p>
        </w:tc>
        <w:tc>
          <w:tcPr>
            <w:tcW w:w="1986" w:type="dxa"/>
          </w:tcPr>
          <w:p>
            <w:pPr>
              <w:pStyle w:val="TableParagraph"/>
              <w:ind w:left="110" w:right="360"/>
              <w:rPr>
                <w:rFonts w:ascii="Segoe UI"/>
                <w:sz w:val="20"/>
              </w:rPr>
            </w:pPr>
            <w:r>
              <w:rPr>
                <w:rFonts w:ascii="Segoe UI"/>
                <w:sz w:val="20"/>
              </w:rPr>
              <w:t>Hywel Dda University</w:t>
            </w:r>
            <w:r>
              <w:rPr>
                <w:rFonts w:ascii="Segoe UI"/>
                <w:spacing w:val="-14"/>
                <w:sz w:val="20"/>
              </w:rPr>
              <w:t> </w:t>
            </w:r>
            <w:r>
              <w:rPr>
                <w:rFonts w:ascii="Segoe UI"/>
                <w:sz w:val="20"/>
              </w:rPr>
              <w:t>Health</w:t>
            </w:r>
          </w:p>
          <w:p>
            <w:pPr>
              <w:pStyle w:val="TableParagraph"/>
              <w:spacing w:line="246" w:lineRule="exact"/>
              <w:ind w:left="110"/>
              <w:rPr>
                <w:rFonts w:ascii="Segoe UI"/>
                <w:sz w:val="20"/>
              </w:rPr>
            </w:pPr>
            <w:r>
              <w:rPr>
                <w:rFonts w:ascii="Segoe UI"/>
                <w:spacing w:val="-4"/>
                <w:sz w:val="20"/>
              </w:rPr>
              <w:t>Board</w:t>
            </w:r>
          </w:p>
        </w:tc>
        <w:tc>
          <w:tcPr>
            <w:tcW w:w="1701" w:type="dxa"/>
          </w:tcPr>
          <w:p>
            <w:pPr>
              <w:pStyle w:val="TableParagraph"/>
              <w:spacing w:line="263" w:lineRule="exact"/>
              <w:ind w:left="109"/>
              <w:rPr>
                <w:rFonts w:ascii="Segoe UI"/>
                <w:sz w:val="20"/>
              </w:rPr>
            </w:pPr>
            <w:r>
              <w:rPr>
                <w:rFonts w:ascii="Segoe UI"/>
                <w:sz w:val="20"/>
              </w:rPr>
              <w:t>Amorelle</w:t>
            </w:r>
            <w:r>
              <w:rPr>
                <w:rFonts w:ascii="Segoe UI"/>
                <w:spacing w:val="-4"/>
                <w:sz w:val="20"/>
              </w:rPr>
              <w:t> </w:t>
            </w:r>
            <w:r>
              <w:rPr>
                <w:rFonts w:ascii="Segoe UI"/>
                <w:spacing w:val="-2"/>
                <w:sz w:val="20"/>
              </w:rPr>
              <w:t>Jones</w:t>
            </w:r>
          </w:p>
        </w:tc>
        <w:tc>
          <w:tcPr>
            <w:tcW w:w="5393" w:type="dxa"/>
          </w:tcPr>
          <w:p>
            <w:pPr>
              <w:pStyle w:val="TableParagraph"/>
              <w:ind w:left="109" w:right="111"/>
              <w:rPr>
                <w:rFonts w:ascii="Segoe UI"/>
                <w:sz w:val="20"/>
              </w:rPr>
            </w:pPr>
            <w:r>
              <w:rPr>
                <w:rFonts w:ascii="Segoe UI"/>
                <w:sz w:val="20"/>
              </w:rPr>
              <w:t>Delivering organisational change, stakeholder engagement,</w:t>
            </w:r>
            <w:r>
              <w:rPr>
                <w:rFonts w:ascii="Segoe UI"/>
                <w:spacing w:val="-9"/>
                <w:sz w:val="20"/>
              </w:rPr>
              <w:t> </w:t>
            </w:r>
            <w:r>
              <w:rPr>
                <w:rFonts w:ascii="Segoe UI"/>
                <w:sz w:val="20"/>
              </w:rPr>
              <w:t>communications,</w:t>
            </w:r>
            <w:r>
              <w:rPr>
                <w:rFonts w:ascii="Segoe UI"/>
                <w:spacing w:val="-13"/>
                <w:sz w:val="20"/>
              </w:rPr>
              <w:t> </w:t>
            </w:r>
            <w:r>
              <w:rPr>
                <w:rFonts w:ascii="Segoe UI"/>
                <w:sz w:val="20"/>
              </w:rPr>
              <w:t>training,</w:t>
            </w:r>
            <w:r>
              <w:rPr>
                <w:rFonts w:ascii="Segoe UI"/>
                <w:spacing w:val="-9"/>
                <w:sz w:val="20"/>
              </w:rPr>
              <w:t> </w:t>
            </w:r>
            <w:r>
              <w:rPr>
                <w:rFonts w:ascii="Segoe UI"/>
                <w:sz w:val="20"/>
              </w:rPr>
              <w:t>adoption,</w:t>
            </w:r>
            <w:r>
              <w:rPr>
                <w:rFonts w:ascii="Segoe UI"/>
                <w:spacing w:val="-9"/>
                <w:sz w:val="20"/>
              </w:rPr>
              <w:t> </w:t>
            </w:r>
            <w:r>
              <w:rPr>
                <w:rFonts w:ascii="Segoe UI"/>
                <w:sz w:val="20"/>
              </w:rPr>
              <w:t>and</w:t>
            </w:r>
          </w:p>
          <w:p>
            <w:pPr>
              <w:pStyle w:val="TableParagraph"/>
              <w:spacing w:line="246" w:lineRule="exact"/>
              <w:ind w:left="109"/>
              <w:rPr>
                <w:rFonts w:ascii="Segoe UI"/>
                <w:sz w:val="20"/>
              </w:rPr>
            </w:pPr>
            <w:r>
              <w:rPr>
                <w:rFonts w:ascii="Segoe UI"/>
                <w:sz w:val="20"/>
              </w:rPr>
              <w:t>benefits</w:t>
            </w:r>
            <w:r>
              <w:rPr>
                <w:rFonts w:ascii="Segoe UI"/>
                <w:spacing w:val="-2"/>
                <w:sz w:val="20"/>
              </w:rPr>
              <w:t> </w:t>
            </w:r>
            <w:r>
              <w:rPr>
                <w:rFonts w:ascii="Segoe UI"/>
                <w:sz w:val="20"/>
              </w:rPr>
              <w:t>realisation</w:t>
            </w:r>
            <w:r>
              <w:rPr>
                <w:rFonts w:ascii="Segoe UI"/>
                <w:spacing w:val="-5"/>
                <w:sz w:val="20"/>
              </w:rPr>
              <w:t> </w:t>
            </w:r>
            <w:r>
              <w:rPr>
                <w:rFonts w:ascii="Segoe UI"/>
                <w:sz w:val="20"/>
              </w:rPr>
              <w:t>to</w:t>
            </w:r>
            <w:r>
              <w:rPr>
                <w:rFonts w:ascii="Segoe UI"/>
                <w:spacing w:val="-4"/>
                <w:sz w:val="20"/>
              </w:rPr>
              <w:t> </w:t>
            </w:r>
            <w:r>
              <w:rPr>
                <w:rFonts w:ascii="Segoe UI"/>
                <w:sz w:val="20"/>
              </w:rPr>
              <w:t>embed</w:t>
            </w:r>
            <w:r>
              <w:rPr>
                <w:rFonts w:ascii="Segoe UI"/>
                <w:spacing w:val="1"/>
                <w:sz w:val="20"/>
              </w:rPr>
              <w:t> </w:t>
            </w:r>
            <w:r>
              <w:rPr>
                <w:rFonts w:ascii="Segoe UI"/>
                <w:sz w:val="20"/>
              </w:rPr>
              <w:t>new</w:t>
            </w:r>
            <w:r>
              <w:rPr>
                <w:rFonts w:ascii="Segoe UI"/>
                <w:spacing w:val="-6"/>
                <w:sz w:val="20"/>
              </w:rPr>
              <w:t> </w:t>
            </w:r>
            <w:r>
              <w:rPr>
                <w:rFonts w:ascii="Segoe UI"/>
                <w:sz w:val="20"/>
              </w:rPr>
              <w:t>ways</w:t>
            </w:r>
            <w:r>
              <w:rPr>
                <w:rFonts w:ascii="Segoe UI"/>
                <w:spacing w:val="-2"/>
                <w:sz w:val="20"/>
              </w:rPr>
              <w:t> </w:t>
            </w:r>
            <w:r>
              <w:rPr>
                <w:rFonts w:ascii="Segoe UI"/>
                <w:sz w:val="20"/>
              </w:rPr>
              <w:t>of</w:t>
            </w:r>
            <w:r>
              <w:rPr>
                <w:rFonts w:ascii="Segoe UI"/>
                <w:spacing w:val="1"/>
                <w:sz w:val="20"/>
              </w:rPr>
              <w:t> </w:t>
            </w:r>
            <w:r>
              <w:rPr>
                <w:rFonts w:ascii="Segoe UI"/>
                <w:spacing w:val="-2"/>
                <w:sz w:val="20"/>
              </w:rPr>
              <w:t>working.</w:t>
            </w:r>
          </w:p>
        </w:tc>
      </w:tr>
      <w:tr>
        <w:trPr>
          <w:trHeight w:val="795" w:hRule="atLeast"/>
        </w:trPr>
        <w:tc>
          <w:tcPr>
            <w:tcW w:w="2551" w:type="dxa"/>
          </w:tcPr>
          <w:p>
            <w:pPr>
              <w:pStyle w:val="TableParagraph"/>
              <w:spacing w:line="266" w:lineRule="exact"/>
              <w:ind w:left="105" w:right="367"/>
              <w:rPr>
                <w:rFonts w:ascii="Segoe UI" w:hAnsi="Segoe UI"/>
                <w:sz w:val="20"/>
              </w:rPr>
            </w:pPr>
            <w:r>
              <w:rPr>
                <w:rFonts w:ascii="Segoe UI" w:hAnsi="Segoe UI"/>
                <w:sz w:val="20"/>
              </w:rPr>
              <w:t>Interim Divisional Manager</w:t>
            </w:r>
            <w:r>
              <w:rPr>
                <w:rFonts w:ascii="Segoe UI" w:hAnsi="Segoe UI"/>
                <w:spacing w:val="-14"/>
                <w:sz w:val="20"/>
              </w:rPr>
              <w:t> </w:t>
            </w:r>
            <w:r>
              <w:rPr>
                <w:rFonts w:ascii="Segoe UI" w:hAnsi="Segoe UI"/>
                <w:sz w:val="20"/>
              </w:rPr>
              <w:t>•</w:t>
            </w:r>
            <w:r>
              <w:rPr>
                <w:rFonts w:ascii="Segoe UI" w:hAnsi="Segoe UI"/>
                <w:spacing w:val="-14"/>
                <w:sz w:val="20"/>
              </w:rPr>
              <w:t> </w:t>
            </w:r>
            <w:r>
              <w:rPr>
                <w:rFonts w:ascii="Segoe UI" w:hAnsi="Segoe UI"/>
                <w:sz w:val="20"/>
              </w:rPr>
              <w:t>NPTSSG Surgery Division</w:t>
            </w:r>
          </w:p>
        </w:tc>
        <w:tc>
          <w:tcPr>
            <w:tcW w:w="1986" w:type="dxa"/>
          </w:tcPr>
          <w:p>
            <w:pPr>
              <w:pStyle w:val="TableParagraph"/>
              <w:spacing w:line="266" w:lineRule="exact"/>
              <w:ind w:left="110" w:right="360"/>
              <w:rPr>
                <w:rFonts w:ascii="Segoe UI"/>
                <w:sz w:val="20"/>
              </w:rPr>
            </w:pPr>
            <w:r>
              <w:rPr>
                <w:rFonts w:ascii="Segoe UI"/>
                <w:sz w:val="20"/>
              </w:rPr>
              <w:t>Swansea Bay 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spacing w:line="265" w:lineRule="exact"/>
              <w:ind w:left="109"/>
              <w:rPr>
                <w:rFonts w:ascii="Segoe UI"/>
                <w:sz w:val="20"/>
              </w:rPr>
            </w:pPr>
            <w:r>
              <w:rPr>
                <w:rFonts w:ascii="Segoe UI"/>
                <w:sz w:val="20"/>
              </w:rPr>
              <w:t>Sam</w:t>
            </w:r>
            <w:r>
              <w:rPr>
                <w:rFonts w:ascii="Segoe UI"/>
                <w:spacing w:val="-9"/>
                <w:sz w:val="20"/>
              </w:rPr>
              <w:t> </w:t>
            </w:r>
            <w:r>
              <w:rPr>
                <w:rFonts w:ascii="Segoe UI"/>
                <w:spacing w:val="-2"/>
                <w:sz w:val="20"/>
              </w:rPr>
              <w:t>Jenkins</w:t>
            </w:r>
          </w:p>
        </w:tc>
        <w:tc>
          <w:tcPr>
            <w:tcW w:w="5393" w:type="dxa"/>
          </w:tcPr>
          <w:p>
            <w:pPr>
              <w:pStyle w:val="TableParagraph"/>
              <w:spacing w:line="266" w:lineRule="exact"/>
              <w:ind w:left="109" w:right="111"/>
              <w:rPr>
                <w:rFonts w:ascii="Segoe UI"/>
                <w:sz w:val="20"/>
              </w:rPr>
            </w:pPr>
            <w:r>
              <w:rPr>
                <w:rFonts w:ascii="Segoe UI"/>
                <w:sz w:val="20"/>
              </w:rPr>
              <w:t>Delivering organisational change, stakeholder engagement,</w:t>
            </w:r>
            <w:r>
              <w:rPr>
                <w:rFonts w:ascii="Segoe UI"/>
                <w:spacing w:val="-9"/>
                <w:sz w:val="20"/>
              </w:rPr>
              <w:t> </w:t>
            </w:r>
            <w:r>
              <w:rPr>
                <w:rFonts w:ascii="Segoe UI"/>
                <w:sz w:val="20"/>
              </w:rPr>
              <w:t>communications,</w:t>
            </w:r>
            <w:r>
              <w:rPr>
                <w:rFonts w:ascii="Segoe UI"/>
                <w:spacing w:val="-13"/>
                <w:sz w:val="20"/>
              </w:rPr>
              <w:t> </w:t>
            </w:r>
            <w:r>
              <w:rPr>
                <w:rFonts w:ascii="Segoe UI"/>
                <w:sz w:val="20"/>
              </w:rPr>
              <w:t>training,</w:t>
            </w:r>
            <w:r>
              <w:rPr>
                <w:rFonts w:ascii="Segoe UI"/>
                <w:spacing w:val="-9"/>
                <w:sz w:val="20"/>
              </w:rPr>
              <w:t> </w:t>
            </w:r>
            <w:r>
              <w:rPr>
                <w:rFonts w:ascii="Segoe UI"/>
                <w:sz w:val="20"/>
              </w:rPr>
              <w:t>adoption,</w:t>
            </w:r>
            <w:r>
              <w:rPr>
                <w:rFonts w:ascii="Segoe UI"/>
                <w:spacing w:val="-9"/>
                <w:sz w:val="20"/>
              </w:rPr>
              <w:t> </w:t>
            </w:r>
            <w:r>
              <w:rPr>
                <w:rFonts w:ascii="Segoe UI"/>
                <w:sz w:val="20"/>
              </w:rPr>
              <w:t>and benefits realisation to embed new ways of working.</w:t>
            </w:r>
          </w:p>
        </w:tc>
      </w:tr>
      <w:tr>
        <w:trPr>
          <w:trHeight w:val="797" w:hRule="atLeast"/>
        </w:trPr>
        <w:tc>
          <w:tcPr>
            <w:tcW w:w="2551" w:type="dxa"/>
          </w:tcPr>
          <w:p>
            <w:pPr>
              <w:pStyle w:val="TableParagraph"/>
              <w:spacing w:line="242" w:lineRule="auto"/>
              <w:ind w:left="105"/>
              <w:rPr>
                <w:rFonts w:ascii="Segoe UI"/>
                <w:sz w:val="20"/>
              </w:rPr>
            </w:pPr>
            <w:r>
              <w:rPr>
                <w:rFonts w:ascii="Segoe UI"/>
                <w:sz w:val="20"/>
              </w:rPr>
              <w:t>Ophthalmology</w:t>
            </w:r>
            <w:r>
              <w:rPr>
                <w:rFonts w:ascii="Segoe UI"/>
                <w:spacing w:val="-14"/>
                <w:sz w:val="20"/>
              </w:rPr>
              <w:t> </w:t>
            </w:r>
            <w:r>
              <w:rPr>
                <w:rFonts w:ascii="Segoe UI"/>
                <w:sz w:val="20"/>
              </w:rPr>
              <w:t>Service </w:t>
            </w:r>
            <w:r>
              <w:rPr>
                <w:rFonts w:ascii="Segoe UI"/>
                <w:spacing w:val="-2"/>
                <w:sz w:val="20"/>
              </w:rPr>
              <w:t>Manager</w:t>
            </w:r>
          </w:p>
        </w:tc>
        <w:tc>
          <w:tcPr>
            <w:tcW w:w="1986" w:type="dxa"/>
          </w:tcPr>
          <w:p>
            <w:pPr>
              <w:pStyle w:val="TableParagraph"/>
              <w:spacing w:line="262" w:lineRule="exact"/>
              <w:ind w:left="110"/>
              <w:rPr>
                <w:rFonts w:ascii="Segoe UI"/>
                <w:sz w:val="20"/>
              </w:rPr>
            </w:pPr>
            <w:r>
              <w:rPr>
                <w:rFonts w:ascii="Segoe UI"/>
                <w:sz w:val="20"/>
              </w:rPr>
              <w:t>Swansea</w:t>
            </w:r>
            <w:r>
              <w:rPr>
                <w:rFonts w:ascii="Segoe UI"/>
                <w:spacing w:val="-5"/>
                <w:sz w:val="20"/>
              </w:rPr>
              <w:t> Bay</w:t>
            </w:r>
          </w:p>
          <w:p>
            <w:pPr>
              <w:pStyle w:val="TableParagraph"/>
              <w:spacing w:line="266" w:lineRule="exact"/>
              <w:ind w:left="110" w:right="360"/>
              <w:rPr>
                <w:rFonts w:ascii="Segoe UI"/>
                <w:sz w:val="20"/>
              </w:rPr>
            </w:pPr>
            <w:r>
              <w:rPr>
                <w:rFonts w:ascii="Segoe UI"/>
                <w:sz w:val="20"/>
              </w:rPr>
              <w:t>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spacing w:line="262" w:lineRule="exact"/>
              <w:ind w:left="109"/>
              <w:rPr>
                <w:rFonts w:ascii="Segoe UI"/>
                <w:sz w:val="20"/>
              </w:rPr>
            </w:pPr>
            <w:r>
              <w:rPr>
                <w:rFonts w:ascii="Segoe UI"/>
                <w:sz w:val="20"/>
              </w:rPr>
              <w:t>Suzanne</w:t>
            </w:r>
            <w:r>
              <w:rPr>
                <w:rFonts w:ascii="Segoe UI"/>
                <w:spacing w:val="-2"/>
                <w:sz w:val="20"/>
              </w:rPr>
              <w:t> James</w:t>
            </w:r>
          </w:p>
        </w:tc>
        <w:tc>
          <w:tcPr>
            <w:tcW w:w="5393" w:type="dxa"/>
          </w:tcPr>
          <w:p>
            <w:pPr>
              <w:pStyle w:val="TableParagraph"/>
              <w:spacing w:line="262" w:lineRule="exact"/>
              <w:ind w:left="109"/>
              <w:rPr>
                <w:rFonts w:ascii="Segoe UI"/>
                <w:sz w:val="20"/>
              </w:rPr>
            </w:pPr>
            <w:r>
              <w:rPr>
                <w:rFonts w:ascii="Segoe UI"/>
                <w:sz w:val="20"/>
              </w:rPr>
              <w:t>Delivering</w:t>
            </w:r>
            <w:r>
              <w:rPr>
                <w:rFonts w:ascii="Segoe UI"/>
                <w:spacing w:val="-3"/>
                <w:sz w:val="20"/>
              </w:rPr>
              <w:t> </w:t>
            </w:r>
            <w:r>
              <w:rPr>
                <w:rFonts w:ascii="Segoe UI"/>
                <w:sz w:val="20"/>
              </w:rPr>
              <w:t>organisational</w:t>
            </w:r>
            <w:r>
              <w:rPr>
                <w:rFonts w:ascii="Segoe UI"/>
                <w:spacing w:val="-3"/>
                <w:sz w:val="20"/>
              </w:rPr>
              <w:t> </w:t>
            </w:r>
            <w:r>
              <w:rPr>
                <w:rFonts w:ascii="Segoe UI"/>
                <w:sz w:val="20"/>
              </w:rPr>
              <w:t>change,</w:t>
            </w:r>
            <w:r>
              <w:rPr>
                <w:rFonts w:ascii="Segoe UI"/>
                <w:spacing w:val="-3"/>
                <w:sz w:val="20"/>
              </w:rPr>
              <w:t> </w:t>
            </w:r>
            <w:r>
              <w:rPr>
                <w:rFonts w:ascii="Segoe UI"/>
                <w:spacing w:val="-2"/>
                <w:sz w:val="20"/>
              </w:rPr>
              <w:t>stakeholder</w:t>
            </w:r>
          </w:p>
          <w:p>
            <w:pPr>
              <w:pStyle w:val="TableParagraph"/>
              <w:spacing w:line="266" w:lineRule="exact"/>
              <w:ind w:left="109" w:right="111"/>
              <w:rPr>
                <w:rFonts w:ascii="Segoe UI"/>
                <w:sz w:val="20"/>
              </w:rPr>
            </w:pPr>
            <w:r>
              <w:rPr>
                <w:rFonts w:ascii="Segoe UI"/>
                <w:sz w:val="20"/>
              </w:rPr>
              <w:t>engagement,</w:t>
            </w:r>
            <w:r>
              <w:rPr>
                <w:rFonts w:ascii="Segoe UI"/>
                <w:spacing w:val="-9"/>
                <w:sz w:val="20"/>
              </w:rPr>
              <w:t> </w:t>
            </w:r>
            <w:r>
              <w:rPr>
                <w:rFonts w:ascii="Segoe UI"/>
                <w:sz w:val="20"/>
              </w:rPr>
              <w:t>communications,</w:t>
            </w:r>
            <w:r>
              <w:rPr>
                <w:rFonts w:ascii="Segoe UI"/>
                <w:spacing w:val="-13"/>
                <w:sz w:val="20"/>
              </w:rPr>
              <w:t> </w:t>
            </w:r>
            <w:r>
              <w:rPr>
                <w:rFonts w:ascii="Segoe UI"/>
                <w:sz w:val="20"/>
              </w:rPr>
              <w:t>training,</w:t>
            </w:r>
            <w:r>
              <w:rPr>
                <w:rFonts w:ascii="Segoe UI"/>
                <w:spacing w:val="-9"/>
                <w:sz w:val="20"/>
              </w:rPr>
              <w:t> </w:t>
            </w:r>
            <w:r>
              <w:rPr>
                <w:rFonts w:ascii="Segoe UI"/>
                <w:sz w:val="20"/>
              </w:rPr>
              <w:t>adoption,</w:t>
            </w:r>
            <w:r>
              <w:rPr>
                <w:rFonts w:ascii="Segoe UI"/>
                <w:spacing w:val="-9"/>
                <w:sz w:val="20"/>
              </w:rPr>
              <w:t> </w:t>
            </w:r>
            <w:r>
              <w:rPr>
                <w:rFonts w:ascii="Segoe UI"/>
                <w:sz w:val="20"/>
              </w:rPr>
              <w:t>and benefits realisation to embed new ways of working.</w:t>
            </w:r>
          </w:p>
        </w:tc>
      </w:tr>
      <w:tr>
        <w:trPr>
          <w:trHeight w:val="799" w:hRule="atLeast"/>
        </w:trPr>
        <w:tc>
          <w:tcPr>
            <w:tcW w:w="2551" w:type="dxa"/>
          </w:tcPr>
          <w:p>
            <w:pPr>
              <w:pStyle w:val="TableParagraph"/>
              <w:ind w:left="105"/>
              <w:rPr>
                <w:rFonts w:ascii="Segoe UI"/>
                <w:sz w:val="20"/>
              </w:rPr>
            </w:pPr>
            <w:r>
              <w:rPr>
                <w:rFonts w:ascii="Segoe UI"/>
                <w:sz w:val="20"/>
              </w:rPr>
              <w:t>Ophthalmology</w:t>
            </w:r>
            <w:r>
              <w:rPr>
                <w:rFonts w:ascii="Segoe UI"/>
                <w:spacing w:val="-14"/>
                <w:sz w:val="20"/>
              </w:rPr>
              <w:t> </w:t>
            </w:r>
            <w:r>
              <w:rPr>
                <w:rFonts w:ascii="Segoe UI"/>
                <w:sz w:val="20"/>
              </w:rPr>
              <w:t>Service </w:t>
            </w:r>
            <w:r>
              <w:rPr>
                <w:rFonts w:ascii="Segoe UI"/>
                <w:spacing w:val="-2"/>
                <w:sz w:val="20"/>
              </w:rPr>
              <w:t>Manager</w:t>
            </w:r>
          </w:p>
        </w:tc>
        <w:tc>
          <w:tcPr>
            <w:tcW w:w="1986" w:type="dxa"/>
          </w:tcPr>
          <w:p>
            <w:pPr>
              <w:pStyle w:val="TableParagraph"/>
              <w:spacing w:line="264" w:lineRule="exact"/>
              <w:ind w:left="110" w:right="360"/>
              <w:rPr>
                <w:rFonts w:ascii="Segoe UI"/>
                <w:sz w:val="20"/>
              </w:rPr>
            </w:pPr>
            <w:r>
              <w:rPr>
                <w:rFonts w:ascii="Segoe UI"/>
                <w:sz w:val="20"/>
              </w:rPr>
              <w:t>Hywel Dda 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spacing w:line="265" w:lineRule="exact"/>
              <w:ind w:left="109"/>
              <w:rPr>
                <w:rFonts w:ascii="Segoe UI"/>
                <w:sz w:val="20"/>
              </w:rPr>
            </w:pPr>
            <w:r>
              <w:rPr>
                <w:rFonts w:ascii="Segoe UI"/>
                <w:sz w:val="20"/>
              </w:rPr>
              <w:t>Louise</w:t>
            </w:r>
            <w:r>
              <w:rPr>
                <w:rFonts w:ascii="Segoe UI"/>
                <w:spacing w:val="-3"/>
                <w:sz w:val="20"/>
              </w:rPr>
              <w:t> </w:t>
            </w:r>
            <w:r>
              <w:rPr>
                <w:rFonts w:ascii="Segoe UI"/>
                <w:spacing w:val="-4"/>
                <w:sz w:val="20"/>
              </w:rPr>
              <w:t>King</w:t>
            </w:r>
          </w:p>
        </w:tc>
        <w:tc>
          <w:tcPr>
            <w:tcW w:w="5393" w:type="dxa"/>
          </w:tcPr>
          <w:p>
            <w:pPr>
              <w:pStyle w:val="TableParagraph"/>
              <w:spacing w:line="264" w:lineRule="exact"/>
              <w:ind w:left="109" w:right="111"/>
              <w:rPr>
                <w:rFonts w:ascii="Segoe UI"/>
                <w:sz w:val="20"/>
              </w:rPr>
            </w:pPr>
            <w:r>
              <w:rPr>
                <w:rFonts w:ascii="Segoe UI"/>
                <w:sz w:val="20"/>
              </w:rPr>
              <w:t>Delivering organisational change, stakeholder engagement,</w:t>
            </w:r>
            <w:r>
              <w:rPr>
                <w:rFonts w:ascii="Segoe UI"/>
                <w:spacing w:val="-9"/>
                <w:sz w:val="20"/>
              </w:rPr>
              <w:t> </w:t>
            </w:r>
            <w:r>
              <w:rPr>
                <w:rFonts w:ascii="Segoe UI"/>
                <w:sz w:val="20"/>
              </w:rPr>
              <w:t>communications,</w:t>
            </w:r>
            <w:r>
              <w:rPr>
                <w:rFonts w:ascii="Segoe UI"/>
                <w:spacing w:val="-13"/>
                <w:sz w:val="20"/>
              </w:rPr>
              <w:t> </w:t>
            </w:r>
            <w:r>
              <w:rPr>
                <w:rFonts w:ascii="Segoe UI"/>
                <w:sz w:val="20"/>
              </w:rPr>
              <w:t>training,</w:t>
            </w:r>
            <w:r>
              <w:rPr>
                <w:rFonts w:ascii="Segoe UI"/>
                <w:spacing w:val="-9"/>
                <w:sz w:val="20"/>
              </w:rPr>
              <w:t> </w:t>
            </w:r>
            <w:r>
              <w:rPr>
                <w:rFonts w:ascii="Segoe UI"/>
                <w:sz w:val="20"/>
              </w:rPr>
              <w:t>adoption,</w:t>
            </w:r>
            <w:r>
              <w:rPr>
                <w:rFonts w:ascii="Segoe UI"/>
                <w:spacing w:val="-9"/>
                <w:sz w:val="20"/>
              </w:rPr>
              <w:t> </w:t>
            </w:r>
            <w:r>
              <w:rPr>
                <w:rFonts w:ascii="Segoe UI"/>
                <w:sz w:val="20"/>
              </w:rPr>
              <w:t>and benefits realisation to embed new ways of working.</w:t>
            </w:r>
          </w:p>
        </w:tc>
      </w:tr>
      <w:tr>
        <w:trPr>
          <w:trHeight w:val="795" w:hRule="atLeast"/>
        </w:trPr>
        <w:tc>
          <w:tcPr>
            <w:tcW w:w="2551" w:type="dxa"/>
          </w:tcPr>
          <w:p>
            <w:pPr>
              <w:pStyle w:val="TableParagraph"/>
              <w:ind w:left="105" w:right="367"/>
              <w:rPr>
                <w:rFonts w:ascii="Segoe UI"/>
                <w:sz w:val="20"/>
              </w:rPr>
            </w:pPr>
            <w:r>
              <w:rPr>
                <w:rFonts w:ascii="Segoe UI"/>
                <w:sz w:val="20"/>
              </w:rPr>
              <w:t>Ophthalmology</w:t>
            </w:r>
            <w:r>
              <w:rPr>
                <w:rFonts w:ascii="Segoe UI"/>
                <w:spacing w:val="-14"/>
                <w:sz w:val="20"/>
              </w:rPr>
              <w:t> </w:t>
            </w:r>
            <w:r>
              <w:rPr>
                <w:rFonts w:ascii="Segoe UI"/>
                <w:sz w:val="20"/>
              </w:rPr>
              <w:t>Clinical Service Manager</w:t>
            </w:r>
          </w:p>
        </w:tc>
        <w:tc>
          <w:tcPr>
            <w:tcW w:w="1986" w:type="dxa"/>
          </w:tcPr>
          <w:p>
            <w:pPr>
              <w:pStyle w:val="TableParagraph"/>
              <w:spacing w:line="266" w:lineRule="exact"/>
              <w:ind w:left="110" w:right="360"/>
              <w:rPr>
                <w:rFonts w:ascii="Segoe UI"/>
                <w:sz w:val="20"/>
              </w:rPr>
            </w:pPr>
            <w:r>
              <w:rPr>
                <w:rFonts w:ascii="Segoe UI"/>
                <w:sz w:val="20"/>
              </w:rPr>
              <w:t>Swansea Bay 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ind w:left="109"/>
              <w:rPr>
                <w:rFonts w:ascii="Segoe UI"/>
                <w:sz w:val="20"/>
              </w:rPr>
            </w:pPr>
            <w:r>
              <w:rPr>
                <w:rFonts w:ascii="Segoe UI"/>
                <w:sz w:val="20"/>
              </w:rPr>
              <w:t>Cheryl</w:t>
            </w:r>
            <w:r>
              <w:rPr>
                <w:rFonts w:ascii="Segoe UI"/>
                <w:spacing w:val="-14"/>
                <w:sz w:val="20"/>
              </w:rPr>
              <w:t> </w:t>
            </w:r>
            <w:r>
              <w:rPr>
                <w:rFonts w:ascii="Segoe UI"/>
                <w:sz w:val="20"/>
              </w:rPr>
              <w:t>Madeira-</w:t>
            </w:r>
            <w:r>
              <w:rPr>
                <w:rFonts w:ascii="Segoe UI"/>
                <w:spacing w:val="-4"/>
                <w:sz w:val="20"/>
              </w:rPr>
              <w:t>Cole</w:t>
            </w:r>
          </w:p>
        </w:tc>
        <w:tc>
          <w:tcPr>
            <w:tcW w:w="5393" w:type="dxa"/>
          </w:tcPr>
          <w:p>
            <w:pPr>
              <w:pStyle w:val="TableParagraph"/>
              <w:spacing w:line="266" w:lineRule="exact"/>
              <w:ind w:left="109" w:right="111"/>
              <w:rPr>
                <w:rFonts w:ascii="Segoe UI"/>
                <w:sz w:val="20"/>
              </w:rPr>
            </w:pPr>
            <w:r>
              <w:rPr>
                <w:rFonts w:ascii="Segoe UI"/>
                <w:sz w:val="20"/>
              </w:rPr>
              <w:t>Delivering clinical organisational change, stakeholder engagement,</w:t>
            </w:r>
            <w:r>
              <w:rPr>
                <w:rFonts w:ascii="Segoe UI"/>
                <w:spacing w:val="-9"/>
                <w:sz w:val="20"/>
              </w:rPr>
              <w:t> </w:t>
            </w:r>
            <w:r>
              <w:rPr>
                <w:rFonts w:ascii="Segoe UI"/>
                <w:sz w:val="20"/>
              </w:rPr>
              <w:t>communications,</w:t>
            </w:r>
            <w:r>
              <w:rPr>
                <w:rFonts w:ascii="Segoe UI"/>
                <w:spacing w:val="-13"/>
                <w:sz w:val="20"/>
              </w:rPr>
              <w:t> </w:t>
            </w:r>
            <w:r>
              <w:rPr>
                <w:rFonts w:ascii="Segoe UI"/>
                <w:sz w:val="20"/>
              </w:rPr>
              <w:t>training,</w:t>
            </w:r>
            <w:r>
              <w:rPr>
                <w:rFonts w:ascii="Segoe UI"/>
                <w:spacing w:val="-9"/>
                <w:sz w:val="20"/>
              </w:rPr>
              <w:t> </w:t>
            </w:r>
            <w:r>
              <w:rPr>
                <w:rFonts w:ascii="Segoe UI"/>
                <w:sz w:val="20"/>
              </w:rPr>
              <w:t>adoption,</w:t>
            </w:r>
            <w:r>
              <w:rPr>
                <w:rFonts w:ascii="Segoe UI"/>
                <w:spacing w:val="-9"/>
                <w:sz w:val="20"/>
              </w:rPr>
              <w:t> </w:t>
            </w:r>
            <w:r>
              <w:rPr>
                <w:rFonts w:ascii="Segoe UI"/>
                <w:sz w:val="20"/>
              </w:rPr>
              <w:t>and benefits realisation to embed new ways of working.</w:t>
            </w:r>
          </w:p>
        </w:tc>
      </w:tr>
      <w:tr>
        <w:trPr>
          <w:trHeight w:val="798" w:hRule="atLeast"/>
        </w:trPr>
        <w:tc>
          <w:tcPr>
            <w:tcW w:w="2551" w:type="dxa"/>
          </w:tcPr>
          <w:p>
            <w:pPr>
              <w:pStyle w:val="TableParagraph"/>
              <w:spacing w:line="263" w:lineRule="exact"/>
              <w:ind w:left="105"/>
              <w:rPr>
                <w:rFonts w:ascii="Segoe UI"/>
                <w:sz w:val="20"/>
              </w:rPr>
            </w:pPr>
            <w:r>
              <w:rPr>
                <w:rFonts w:ascii="Segoe UI"/>
                <w:sz w:val="20"/>
              </w:rPr>
              <w:t>Senior</w:t>
            </w:r>
            <w:r>
              <w:rPr>
                <w:rFonts w:ascii="Segoe UI"/>
                <w:spacing w:val="-1"/>
                <w:sz w:val="20"/>
              </w:rPr>
              <w:t> </w:t>
            </w:r>
            <w:r>
              <w:rPr>
                <w:rFonts w:ascii="Segoe UI"/>
                <w:sz w:val="20"/>
              </w:rPr>
              <w:t>Nurse </w:t>
            </w:r>
            <w:r>
              <w:rPr>
                <w:rFonts w:ascii="Segoe UI"/>
                <w:spacing w:val="-2"/>
                <w:sz w:val="20"/>
              </w:rPr>
              <w:t>Manager</w:t>
            </w:r>
          </w:p>
        </w:tc>
        <w:tc>
          <w:tcPr>
            <w:tcW w:w="1986" w:type="dxa"/>
          </w:tcPr>
          <w:p>
            <w:pPr>
              <w:pStyle w:val="TableParagraph"/>
              <w:ind w:left="110" w:right="360"/>
              <w:rPr>
                <w:rFonts w:ascii="Segoe UI"/>
                <w:sz w:val="20"/>
              </w:rPr>
            </w:pPr>
            <w:r>
              <w:rPr>
                <w:rFonts w:ascii="Segoe UI"/>
                <w:sz w:val="20"/>
              </w:rPr>
              <w:t>Hywel Dda University</w:t>
            </w:r>
            <w:r>
              <w:rPr>
                <w:rFonts w:ascii="Segoe UI"/>
                <w:spacing w:val="-14"/>
                <w:sz w:val="20"/>
              </w:rPr>
              <w:t> </w:t>
            </w:r>
            <w:r>
              <w:rPr>
                <w:rFonts w:ascii="Segoe UI"/>
                <w:sz w:val="20"/>
              </w:rPr>
              <w:t>Health</w:t>
            </w:r>
          </w:p>
          <w:p>
            <w:pPr>
              <w:pStyle w:val="TableParagraph"/>
              <w:spacing w:line="246" w:lineRule="exact"/>
              <w:ind w:left="110"/>
              <w:rPr>
                <w:rFonts w:ascii="Segoe UI"/>
                <w:sz w:val="20"/>
              </w:rPr>
            </w:pPr>
            <w:r>
              <w:rPr>
                <w:rFonts w:ascii="Segoe UI"/>
                <w:spacing w:val="-4"/>
                <w:sz w:val="20"/>
              </w:rPr>
              <w:t>Board</w:t>
            </w:r>
          </w:p>
        </w:tc>
        <w:tc>
          <w:tcPr>
            <w:tcW w:w="1701" w:type="dxa"/>
          </w:tcPr>
          <w:p>
            <w:pPr>
              <w:pStyle w:val="TableParagraph"/>
              <w:ind w:left="109" w:right="305"/>
              <w:rPr>
                <w:rFonts w:ascii="Segoe UI"/>
                <w:sz w:val="20"/>
              </w:rPr>
            </w:pPr>
            <w:r>
              <w:rPr>
                <w:rFonts w:ascii="Segoe UI"/>
                <w:sz w:val="20"/>
              </w:rPr>
              <w:t>Marta</w:t>
            </w:r>
            <w:r>
              <w:rPr>
                <w:rFonts w:ascii="Segoe UI"/>
                <w:spacing w:val="-14"/>
                <w:sz w:val="20"/>
              </w:rPr>
              <w:t> </w:t>
            </w:r>
            <w:r>
              <w:rPr>
                <w:rFonts w:ascii="Segoe UI"/>
                <w:sz w:val="20"/>
              </w:rPr>
              <w:t>Barreiro </w:t>
            </w:r>
            <w:r>
              <w:rPr>
                <w:rFonts w:ascii="Segoe UI"/>
                <w:spacing w:val="-2"/>
                <w:sz w:val="20"/>
              </w:rPr>
              <w:t>Martins</w:t>
            </w:r>
          </w:p>
        </w:tc>
        <w:tc>
          <w:tcPr>
            <w:tcW w:w="5393" w:type="dxa"/>
          </w:tcPr>
          <w:p>
            <w:pPr>
              <w:pStyle w:val="TableParagraph"/>
              <w:ind w:left="109" w:right="111"/>
              <w:rPr>
                <w:rFonts w:ascii="Segoe UI"/>
                <w:sz w:val="20"/>
              </w:rPr>
            </w:pPr>
            <w:r>
              <w:rPr>
                <w:rFonts w:ascii="Segoe UI"/>
                <w:sz w:val="20"/>
              </w:rPr>
              <w:t>Delivering clinical organisational change, stakeholder engagement,</w:t>
            </w:r>
            <w:r>
              <w:rPr>
                <w:rFonts w:ascii="Segoe UI"/>
                <w:spacing w:val="-9"/>
                <w:sz w:val="20"/>
              </w:rPr>
              <w:t> </w:t>
            </w:r>
            <w:r>
              <w:rPr>
                <w:rFonts w:ascii="Segoe UI"/>
                <w:sz w:val="20"/>
              </w:rPr>
              <w:t>communications,</w:t>
            </w:r>
            <w:r>
              <w:rPr>
                <w:rFonts w:ascii="Segoe UI"/>
                <w:spacing w:val="-13"/>
                <w:sz w:val="20"/>
              </w:rPr>
              <w:t> </w:t>
            </w:r>
            <w:r>
              <w:rPr>
                <w:rFonts w:ascii="Segoe UI"/>
                <w:sz w:val="20"/>
              </w:rPr>
              <w:t>training,</w:t>
            </w:r>
            <w:r>
              <w:rPr>
                <w:rFonts w:ascii="Segoe UI"/>
                <w:spacing w:val="-9"/>
                <w:sz w:val="20"/>
              </w:rPr>
              <w:t> </w:t>
            </w:r>
            <w:r>
              <w:rPr>
                <w:rFonts w:ascii="Segoe UI"/>
                <w:sz w:val="20"/>
              </w:rPr>
              <w:t>adoption,</w:t>
            </w:r>
            <w:r>
              <w:rPr>
                <w:rFonts w:ascii="Segoe UI"/>
                <w:spacing w:val="-9"/>
                <w:sz w:val="20"/>
              </w:rPr>
              <w:t> </w:t>
            </w:r>
            <w:r>
              <w:rPr>
                <w:rFonts w:ascii="Segoe UI"/>
                <w:sz w:val="20"/>
              </w:rPr>
              <w:t>and</w:t>
            </w:r>
          </w:p>
          <w:p>
            <w:pPr>
              <w:pStyle w:val="TableParagraph"/>
              <w:spacing w:line="246" w:lineRule="exact"/>
              <w:ind w:left="109"/>
              <w:rPr>
                <w:rFonts w:ascii="Segoe UI"/>
                <w:sz w:val="20"/>
              </w:rPr>
            </w:pPr>
            <w:r>
              <w:rPr>
                <w:rFonts w:ascii="Segoe UI"/>
                <w:sz w:val="20"/>
              </w:rPr>
              <w:t>benefits</w:t>
            </w:r>
            <w:r>
              <w:rPr>
                <w:rFonts w:ascii="Segoe UI"/>
                <w:spacing w:val="-2"/>
                <w:sz w:val="20"/>
              </w:rPr>
              <w:t> </w:t>
            </w:r>
            <w:r>
              <w:rPr>
                <w:rFonts w:ascii="Segoe UI"/>
                <w:sz w:val="20"/>
              </w:rPr>
              <w:t>realisation</w:t>
            </w:r>
            <w:r>
              <w:rPr>
                <w:rFonts w:ascii="Segoe UI"/>
                <w:spacing w:val="-5"/>
                <w:sz w:val="20"/>
              </w:rPr>
              <w:t> </w:t>
            </w:r>
            <w:r>
              <w:rPr>
                <w:rFonts w:ascii="Segoe UI"/>
                <w:sz w:val="20"/>
              </w:rPr>
              <w:t>to</w:t>
            </w:r>
            <w:r>
              <w:rPr>
                <w:rFonts w:ascii="Segoe UI"/>
                <w:spacing w:val="-4"/>
                <w:sz w:val="20"/>
              </w:rPr>
              <w:t> </w:t>
            </w:r>
            <w:r>
              <w:rPr>
                <w:rFonts w:ascii="Segoe UI"/>
                <w:sz w:val="20"/>
              </w:rPr>
              <w:t>embed</w:t>
            </w:r>
            <w:r>
              <w:rPr>
                <w:rFonts w:ascii="Segoe UI"/>
                <w:spacing w:val="1"/>
                <w:sz w:val="20"/>
              </w:rPr>
              <w:t> </w:t>
            </w:r>
            <w:r>
              <w:rPr>
                <w:rFonts w:ascii="Segoe UI"/>
                <w:sz w:val="20"/>
              </w:rPr>
              <w:t>new</w:t>
            </w:r>
            <w:r>
              <w:rPr>
                <w:rFonts w:ascii="Segoe UI"/>
                <w:spacing w:val="-6"/>
                <w:sz w:val="20"/>
              </w:rPr>
              <w:t> </w:t>
            </w:r>
            <w:r>
              <w:rPr>
                <w:rFonts w:ascii="Segoe UI"/>
                <w:sz w:val="20"/>
              </w:rPr>
              <w:t>ways</w:t>
            </w:r>
            <w:r>
              <w:rPr>
                <w:rFonts w:ascii="Segoe UI"/>
                <w:spacing w:val="-2"/>
                <w:sz w:val="20"/>
              </w:rPr>
              <w:t> </w:t>
            </w:r>
            <w:r>
              <w:rPr>
                <w:rFonts w:ascii="Segoe UI"/>
                <w:sz w:val="20"/>
              </w:rPr>
              <w:t>of</w:t>
            </w:r>
            <w:r>
              <w:rPr>
                <w:rFonts w:ascii="Segoe UI"/>
                <w:spacing w:val="1"/>
                <w:sz w:val="20"/>
              </w:rPr>
              <w:t> </w:t>
            </w:r>
            <w:r>
              <w:rPr>
                <w:rFonts w:ascii="Segoe UI"/>
                <w:spacing w:val="-2"/>
                <w:sz w:val="20"/>
              </w:rPr>
              <w:t>working.</w:t>
            </w:r>
          </w:p>
        </w:tc>
      </w:tr>
      <w:tr>
        <w:trPr>
          <w:trHeight w:val="795" w:hRule="atLeast"/>
        </w:trPr>
        <w:tc>
          <w:tcPr>
            <w:tcW w:w="2551" w:type="dxa"/>
          </w:tcPr>
          <w:p>
            <w:pPr>
              <w:pStyle w:val="TableParagraph"/>
              <w:spacing w:line="265" w:lineRule="exact"/>
              <w:ind w:left="105"/>
              <w:rPr>
                <w:rFonts w:ascii="Segoe UI" w:hAnsi="Segoe UI"/>
                <w:sz w:val="20"/>
              </w:rPr>
            </w:pPr>
            <w:r>
              <w:rPr>
                <w:rFonts w:ascii="Segoe UI" w:hAnsi="Segoe UI"/>
                <w:sz w:val="20"/>
              </w:rPr>
              <w:t>Orthoptist</w:t>
            </w:r>
            <w:r>
              <w:rPr>
                <w:rFonts w:ascii="Segoe UI" w:hAnsi="Segoe UI"/>
                <w:spacing w:val="1"/>
                <w:sz w:val="20"/>
              </w:rPr>
              <w:t> </w:t>
            </w:r>
            <w:r>
              <w:rPr>
                <w:rFonts w:ascii="Segoe UI" w:hAnsi="Segoe UI"/>
                <w:sz w:val="20"/>
              </w:rPr>
              <w:t>•</w:t>
            </w:r>
            <w:r>
              <w:rPr>
                <w:rFonts w:ascii="Segoe UI" w:hAnsi="Segoe UI"/>
                <w:spacing w:val="-2"/>
                <w:sz w:val="20"/>
              </w:rPr>
              <w:t> Surgical</w:t>
            </w:r>
          </w:p>
          <w:p>
            <w:pPr>
              <w:pStyle w:val="TableParagraph"/>
              <w:spacing w:line="266" w:lineRule="exact"/>
              <w:ind w:left="105"/>
              <w:rPr>
                <w:rFonts w:ascii="Segoe UI"/>
                <w:sz w:val="20"/>
              </w:rPr>
            </w:pPr>
            <w:r>
              <w:rPr>
                <w:rFonts w:ascii="Segoe UI"/>
                <w:spacing w:val="-2"/>
                <w:sz w:val="20"/>
              </w:rPr>
              <w:t>Specialties</w:t>
            </w:r>
          </w:p>
        </w:tc>
        <w:tc>
          <w:tcPr>
            <w:tcW w:w="1986" w:type="dxa"/>
          </w:tcPr>
          <w:p>
            <w:pPr>
              <w:pStyle w:val="TableParagraph"/>
              <w:ind w:left="110" w:right="360"/>
              <w:rPr>
                <w:rFonts w:ascii="Segoe UI"/>
                <w:sz w:val="20"/>
              </w:rPr>
            </w:pPr>
            <w:r>
              <w:rPr>
                <w:rFonts w:ascii="Segoe UI"/>
                <w:sz w:val="20"/>
              </w:rPr>
              <w:t>Swansea Bay University</w:t>
            </w:r>
            <w:r>
              <w:rPr>
                <w:rFonts w:ascii="Segoe UI"/>
                <w:spacing w:val="-14"/>
                <w:sz w:val="20"/>
              </w:rPr>
              <w:t> </w:t>
            </w:r>
            <w:r>
              <w:rPr>
                <w:rFonts w:ascii="Segoe UI"/>
                <w:sz w:val="20"/>
              </w:rPr>
              <w:t>Health</w:t>
            </w:r>
          </w:p>
          <w:p>
            <w:pPr>
              <w:pStyle w:val="TableParagraph"/>
              <w:spacing w:line="244" w:lineRule="exact"/>
              <w:ind w:left="110"/>
              <w:rPr>
                <w:rFonts w:ascii="Segoe UI"/>
                <w:sz w:val="20"/>
              </w:rPr>
            </w:pPr>
            <w:r>
              <w:rPr>
                <w:rFonts w:ascii="Segoe UI"/>
                <w:spacing w:val="-4"/>
                <w:sz w:val="20"/>
              </w:rPr>
              <w:t>Board</w:t>
            </w:r>
          </w:p>
        </w:tc>
        <w:tc>
          <w:tcPr>
            <w:tcW w:w="1701" w:type="dxa"/>
          </w:tcPr>
          <w:p>
            <w:pPr>
              <w:pStyle w:val="TableParagraph"/>
              <w:spacing w:line="265" w:lineRule="exact"/>
              <w:ind w:left="109"/>
              <w:rPr>
                <w:rFonts w:ascii="Segoe UI"/>
                <w:sz w:val="20"/>
              </w:rPr>
            </w:pPr>
            <w:r>
              <w:rPr>
                <w:rFonts w:ascii="Segoe UI"/>
                <w:sz w:val="20"/>
              </w:rPr>
              <w:t>Claire</w:t>
            </w:r>
            <w:r>
              <w:rPr>
                <w:rFonts w:ascii="Segoe UI"/>
                <w:spacing w:val="-2"/>
                <w:sz w:val="20"/>
              </w:rPr>
              <w:t> </w:t>
            </w:r>
            <w:r>
              <w:rPr>
                <w:rFonts w:ascii="Segoe UI"/>
                <w:spacing w:val="-4"/>
                <w:sz w:val="20"/>
              </w:rPr>
              <w:t>Shaw</w:t>
            </w:r>
          </w:p>
        </w:tc>
        <w:tc>
          <w:tcPr>
            <w:tcW w:w="5393" w:type="dxa"/>
          </w:tcPr>
          <w:p>
            <w:pPr>
              <w:pStyle w:val="TableParagraph"/>
              <w:ind w:left="109" w:right="111"/>
              <w:rPr>
                <w:rFonts w:ascii="Segoe UI" w:hAnsi="Segoe UI"/>
                <w:sz w:val="20"/>
              </w:rPr>
            </w:pPr>
            <w:r>
              <w:rPr>
                <w:rFonts w:ascii="Segoe UI" w:hAnsi="Segoe UI"/>
                <w:sz w:val="20"/>
              </w:rPr>
              <w:t>Orthoptist</w:t>
            </w:r>
            <w:r>
              <w:rPr>
                <w:rFonts w:ascii="Segoe UI" w:hAnsi="Segoe UI"/>
                <w:spacing w:val="-2"/>
                <w:sz w:val="20"/>
              </w:rPr>
              <w:t> </w:t>
            </w:r>
            <w:r>
              <w:rPr>
                <w:rFonts w:ascii="Segoe UI" w:hAnsi="Segoe UI"/>
                <w:sz w:val="20"/>
              </w:rPr>
              <w:t>Workstream</w:t>
            </w:r>
            <w:r>
              <w:rPr>
                <w:rFonts w:ascii="Segoe UI" w:hAnsi="Segoe UI"/>
                <w:spacing w:val="-6"/>
                <w:sz w:val="20"/>
              </w:rPr>
              <w:t> </w:t>
            </w:r>
            <w:r>
              <w:rPr>
                <w:rFonts w:ascii="Segoe UI" w:hAnsi="Segoe UI"/>
                <w:sz w:val="20"/>
              </w:rPr>
              <w:t>–</w:t>
            </w:r>
            <w:r>
              <w:rPr>
                <w:rFonts w:ascii="Segoe UI" w:hAnsi="Segoe UI"/>
                <w:spacing w:val="-5"/>
                <w:sz w:val="20"/>
              </w:rPr>
              <w:t> </w:t>
            </w:r>
            <w:r>
              <w:rPr>
                <w:rFonts w:ascii="Segoe UI" w:hAnsi="Segoe UI"/>
                <w:sz w:val="20"/>
              </w:rPr>
              <w:t>leading</w:t>
            </w:r>
            <w:r>
              <w:rPr>
                <w:rFonts w:ascii="Segoe UI" w:hAnsi="Segoe UI"/>
                <w:spacing w:val="-8"/>
                <w:sz w:val="20"/>
              </w:rPr>
              <w:t> </w:t>
            </w:r>
            <w:r>
              <w:rPr>
                <w:rFonts w:ascii="Segoe UI" w:hAnsi="Segoe UI"/>
                <w:sz w:val="20"/>
              </w:rPr>
              <w:t>change</w:t>
            </w:r>
            <w:r>
              <w:rPr>
                <w:rFonts w:ascii="Segoe UI" w:hAnsi="Segoe UI"/>
                <w:spacing w:val="-10"/>
                <w:sz w:val="20"/>
              </w:rPr>
              <w:t> </w:t>
            </w:r>
            <w:r>
              <w:rPr>
                <w:rFonts w:ascii="Segoe UI" w:hAnsi="Segoe UI"/>
                <w:sz w:val="20"/>
              </w:rPr>
              <w:t>to</w:t>
            </w:r>
            <w:r>
              <w:rPr>
                <w:rFonts w:ascii="Segoe UI" w:hAnsi="Segoe UI"/>
                <w:spacing w:val="-8"/>
                <w:sz w:val="20"/>
              </w:rPr>
              <w:t> </w:t>
            </w:r>
            <w:r>
              <w:rPr>
                <w:rFonts w:ascii="Segoe UI" w:hAnsi="Segoe UI"/>
                <w:sz w:val="20"/>
              </w:rPr>
              <w:t>optometry arrangements, planning and delivery</w:t>
            </w:r>
          </w:p>
        </w:tc>
      </w:tr>
      <w:tr>
        <w:trPr>
          <w:trHeight w:val="799" w:hRule="atLeast"/>
        </w:trPr>
        <w:tc>
          <w:tcPr>
            <w:tcW w:w="2551" w:type="dxa"/>
          </w:tcPr>
          <w:p>
            <w:pPr>
              <w:pStyle w:val="TableParagraph"/>
              <w:spacing w:line="265" w:lineRule="exact"/>
              <w:ind w:left="105"/>
              <w:rPr>
                <w:rFonts w:ascii="Segoe UI" w:hAnsi="Segoe UI"/>
                <w:sz w:val="20"/>
              </w:rPr>
            </w:pPr>
            <w:r>
              <w:rPr>
                <w:rFonts w:ascii="Segoe UI" w:hAnsi="Segoe UI"/>
                <w:sz w:val="20"/>
              </w:rPr>
              <w:t>Orthoptist</w:t>
            </w:r>
            <w:r>
              <w:rPr>
                <w:rFonts w:ascii="Segoe UI" w:hAnsi="Segoe UI"/>
                <w:spacing w:val="1"/>
                <w:sz w:val="20"/>
              </w:rPr>
              <w:t> </w:t>
            </w:r>
            <w:r>
              <w:rPr>
                <w:rFonts w:ascii="Segoe UI" w:hAnsi="Segoe UI"/>
                <w:sz w:val="20"/>
              </w:rPr>
              <w:t>•</w:t>
            </w:r>
            <w:r>
              <w:rPr>
                <w:rFonts w:ascii="Segoe UI" w:hAnsi="Segoe UI"/>
                <w:spacing w:val="-2"/>
                <w:sz w:val="20"/>
              </w:rPr>
              <w:t> Outpatients</w:t>
            </w:r>
          </w:p>
        </w:tc>
        <w:tc>
          <w:tcPr>
            <w:tcW w:w="1986" w:type="dxa"/>
          </w:tcPr>
          <w:p>
            <w:pPr>
              <w:pStyle w:val="TableParagraph"/>
              <w:spacing w:line="265" w:lineRule="exact"/>
              <w:ind w:left="110"/>
              <w:rPr>
                <w:rFonts w:ascii="Segoe UI"/>
                <w:sz w:val="20"/>
              </w:rPr>
            </w:pPr>
            <w:r>
              <w:rPr>
                <w:rFonts w:ascii="Segoe UI"/>
                <w:sz w:val="20"/>
              </w:rPr>
              <w:t>Hywel</w:t>
            </w:r>
            <w:r>
              <w:rPr>
                <w:rFonts w:ascii="Segoe UI"/>
                <w:spacing w:val="-3"/>
                <w:sz w:val="20"/>
              </w:rPr>
              <w:t> </w:t>
            </w:r>
            <w:r>
              <w:rPr>
                <w:rFonts w:ascii="Segoe UI"/>
                <w:spacing w:val="-5"/>
                <w:sz w:val="20"/>
              </w:rPr>
              <w:t>Dda</w:t>
            </w:r>
          </w:p>
          <w:p>
            <w:pPr>
              <w:pStyle w:val="TableParagraph"/>
              <w:spacing w:line="266" w:lineRule="exact"/>
              <w:ind w:left="110" w:right="360"/>
              <w:rPr>
                <w:rFonts w:ascii="Segoe UI"/>
                <w:sz w:val="20"/>
              </w:rPr>
            </w:pPr>
            <w:r>
              <w:rPr>
                <w:rFonts w:ascii="Segoe UI"/>
                <w:sz w:val="20"/>
              </w:rPr>
              <w:t>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spacing w:line="242" w:lineRule="auto"/>
              <w:ind w:left="109" w:right="305"/>
              <w:rPr>
                <w:rFonts w:ascii="Segoe UI"/>
                <w:sz w:val="20"/>
              </w:rPr>
            </w:pPr>
            <w:r>
              <w:rPr>
                <w:rFonts w:ascii="Segoe UI"/>
                <w:spacing w:val="-4"/>
                <w:sz w:val="20"/>
              </w:rPr>
              <w:t>Anwen </w:t>
            </w:r>
            <w:r>
              <w:rPr>
                <w:rFonts w:ascii="Segoe UI"/>
                <w:spacing w:val="-2"/>
                <w:sz w:val="20"/>
              </w:rPr>
              <w:t>Coughlan</w:t>
            </w:r>
          </w:p>
        </w:tc>
        <w:tc>
          <w:tcPr>
            <w:tcW w:w="5393" w:type="dxa"/>
          </w:tcPr>
          <w:p>
            <w:pPr>
              <w:pStyle w:val="TableParagraph"/>
              <w:spacing w:line="242" w:lineRule="auto"/>
              <w:ind w:left="109" w:right="111"/>
              <w:rPr>
                <w:rFonts w:ascii="Segoe UI" w:hAnsi="Segoe UI"/>
                <w:sz w:val="20"/>
              </w:rPr>
            </w:pPr>
            <w:r>
              <w:rPr>
                <w:rFonts w:ascii="Segoe UI" w:hAnsi="Segoe UI"/>
                <w:sz w:val="20"/>
              </w:rPr>
              <w:t>Orthoptist</w:t>
            </w:r>
            <w:r>
              <w:rPr>
                <w:rFonts w:ascii="Segoe UI" w:hAnsi="Segoe UI"/>
                <w:spacing w:val="-2"/>
                <w:sz w:val="20"/>
              </w:rPr>
              <w:t> </w:t>
            </w:r>
            <w:r>
              <w:rPr>
                <w:rFonts w:ascii="Segoe UI" w:hAnsi="Segoe UI"/>
                <w:sz w:val="20"/>
              </w:rPr>
              <w:t>Workstream</w:t>
            </w:r>
            <w:r>
              <w:rPr>
                <w:rFonts w:ascii="Segoe UI" w:hAnsi="Segoe UI"/>
                <w:spacing w:val="-6"/>
                <w:sz w:val="20"/>
              </w:rPr>
              <w:t> </w:t>
            </w:r>
            <w:r>
              <w:rPr>
                <w:rFonts w:ascii="Segoe UI" w:hAnsi="Segoe UI"/>
                <w:sz w:val="20"/>
              </w:rPr>
              <w:t>–</w:t>
            </w:r>
            <w:r>
              <w:rPr>
                <w:rFonts w:ascii="Segoe UI" w:hAnsi="Segoe UI"/>
                <w:spacing w:val="-5"/>
                <w:sz w:val="20"/>
              </w:rPr>
              <w:t> </w:t>
            </w:r>
            <w:r>
              <w:rPr>
                <w:rFonts w:ascii="Segoe UI" w:hAnsi="Segoe UI"/>
                <w:sz w:val="20"/>
              </w:rPr>
              <w:t>leading</w:t>
            </w:r>
            <w:r>
              <w:rPr>
                <w:rFonts w:ascii="Segoe UI" w:hAnsi="Segoe UI"/>
                <w:spacing w:val="-8"/>
                <w:sz w:val="20"/>
              </w:rPr>
              <w:t> </w:t>
            </w:r>
            <w:r>
              <w:rPr>
                <w:rFonts w:ascii="Segoe UI" w:hAnsi="Segoe UI"/>
                <w:sz w:val="20"/>
              </w:rPr>
              <w:t>change</w:t>
            </w:r>
            <w:r>
              <w:rPr>
                <w:rFonts w:ascii="Segoe UI" w:hAnsi="Segoe UI"/>
                <w:spacing w:val="-10"/>
                <w:sz w:val="20"/>
              </w:rPr>
              <w:t> </w:t>
            </w:r>
            <w:r>
              <w:rPr>
                <w:rFonts w:ascii="Segoe UI" w:hAnsi="Segoe UI"/>
                <w:sz w:val="20"/>
              </w:rPr>
              <w:t>to</w:t>
            </w:r>
            <w:r>
              <w:rPr>
                <w:rFonts w:ascii="Segoe UI" w:hAnsi="Segoe UI"/>
                <w:spacing w:val="-8"/>
                <w:sz w:val="20"/>
              </w:rPr>
              <w:t> </w:t>
            </w:r>
            <w:r>
              <w:rPr>
                <w:rFonts w:ascii="Segoe UI" w:hAnsi="Segoe UI"/>
                <w:sz w:val="20"/>
              </w:rPr>
              <w:t>optometry arrangements, planning and delivery</w:t>
            </w:r>
          </w:p>
        </w:tc>
      </w:tr>
      <w:tr>
        <w:trPr>
          <w:trHeight w:val="285" w:hRule="atLeast"/>
        </w:trPr>
        <w:tc>
          <w:tcPr>
            <w:tcW w:w="2551" w:type="dxa"/>
          </w:tcPr>
          <w:p>
            <w:pPr>
              <w:pStyle w:val="TableParagraph"/>
              <w:spacing w:line="265" w:lineRule="exact"/>
              <w:ind w:left="105"/>
              <w:rPr>
                <w:rFonts w:ascii="Segoe UI" w:hAnsi="Segoe UI"/>
                <w:sz w:val="20"/>
              </w:rPr>
            </w:pPr>
            <w:r>
              <w:rPr>
                <w:rFonts w:ascii="Segoe UI" w:hAnsi="Segoe UI"/>
                <w:sz w:val="20"/>
              </w:rPr>
              <w:t>Optometric</w:t>
            </w:r>
            <w:r>
              <w:rPr>
                <w:rFonts w:ascii="Segoe UI" w:hAnsi="Segoe UI"/>
                <w:spacing w:val="-4"/>
                <w:sz w:val="20"/>
              </w:rPr>
              <w:t> </w:t>
            </w:r>
            <w:r>
              <w:rPr>
                <w:rFonts w:ascii="Segoe UI" w:hAnsi="Segoe UI"/>
                <w:sz w:val="20"/>
              </w:rPr>
              <w:t>Advisor </w:t>
            </w:r>
            <w:r>
              <w:rPr>
                <w:rFonts w:ascii="Segoe UI" w:hAnsi="Segoe UI"/>
                <w:spacing w:val="-10"/>
                <w:sz w:val="20"/>
              </w:rPr>
              <w:t>•</w:t>
            </w:r>
          </w:p>
        </w:tc>
        <w:tc>
          <w:tcPr>
            <w:tcW w:w="1986" w:type="dxa"/>
          </w:tcPr>
          <w:p>
            <w:pPr>
              <w:pStyle w:val="TableParagraph"/>
              <w:spacing w:line="265" w:lineRule="exact"/>
              <w:ind w:left="110"/>
              <w:rPr>
                <w:rFonts w:ascii="Segoe UI"/>
                <w:sz w:val="20"/>
              </w:rPr>
            </w:pPr>
            <w:r>
              <w:rPr>
                <w:rFonts w:ascii="Segoe UI"/>
                <w:sz w:val="20"/>
              </w:rPr>
              <w:t>Swansea</w:t>
            </w:r>
            <w:r>
              <w:rPr>
                <w:rFonts w:ascii="Segoe UI"/>
                <w:spacing w:val="-5"/>
                <w:sz w:val="20"/>
              </w:rPr>
              <w:t> Bay</w:t>
            </w:r>
          </w:p>
        </w:tc>
        <w:tc>
          <w:tcPr>
            <w:tcW w:w="1701" w:type="dxa"/>
          </w:tcPr>
          <w:p>
            <w:pPr>
              <w:pStyle w:val="TableParagraph"/>
              <w:spacing w:line="265" w:lineRule="exact"/>
              <w:ind w:left="109"/>
              <w:rPr>
                <w:rFonts w:ascii="Segoe UI"/>
                <w:sz w:val="20"/>
              </w:rPr>
            </w:pPr>
            <w:r>
              <w:rPr>
                <w:rFonts w:ascii="Segoe UI"/>
                <w:spacing w:val="-2"/>
                <w:sz w:val="20"/>
              </w:rPr>
              <w:t>Mohammed</w:t>
            </w:r>
          </w:p>
        </w:tc>
        <w:tc>
          <w:tcPr>
            <w:tcW w:w="5393" w:type="dxa"/>
          </w:tcPr>
          <w:p>
            <w:pPr>
              <w:pStyle w:val="TableParagraph"/>
              <w:spacing w:line="265" w:lineRule="exact"/>
              <w:ind w:left="109"/>
              <w:rPr>
                <w:rFonts w:ascii="Segoe UI" w:hAnsi="Segoe UI"/>
                <w:sz w:val="20"/>
              </w:rPr>
            </w:pPr>
            <w:r>
              <w:rPr>
                <w:rFonts w:ascii="Segoe UI" w:hAnsi="Segoe UI"/>
                <w:sz w:val="20"/>
              </w:rPr>
              <w:t>Optometry</w:t>
            </w:r>
            <w:r>
              <w:rPr>
                <w:rFonts w:ascii="Segoe UI" w:hAnsi="Segoe UI"/>
                <w:spacing w:val="-2"/>
                <w:sz w:val="20"/>
              </w:rPr>
              <w:t> </w:t>
            </w:r>
            <w:r>
              <w:rPr>
                <w:rFonts w:ascii="Segoe UI" w:hAnsi="Segoe UI"/>
                <w:sz w:val="20"/>
              </w:rPr>
              <w:t>Workstream</w:t>
            </w:r>
            <w:r>
              <w:rPr>
                <w:rFonts w:ascii="Segoe UI" w:hAnsi="Segoe UI"/>
                <w:spacing w:val="-1"/>
                <w:sz w:val="20"/>
              </w:rPr>
              <w:t> </w:t>
            </w:r>
            <w:r>
              <w:rPr>
                <w:rFonts w:ascii="Segoe UI" w:hAnsi="Segoe UI"/>
                <w:sz w:val="20"/>
              </w:rPr>
              <w:t>–</w:t>
            </w:r>
            <w:r>
              <w:rPr>
                <w:rFonts w:ascii="Segoe UI" w:hAnsi="Segoe UI"/>
                <w:spacing w:val="-1"/>
                <w:sz w:val="20"/>
              </w:rPr>
              <w:t> </w:t>
            </w:r>
            <w:r>
              <w:rPr>
                <w:rFonts w:ascii="Segoe UI" w:hAnsi="Segoe UI"/>
                <w:sz w:val="20"/>
              </w:rPr>
              <w:t>leading</w:t>
            </w:r>
            <w:r>
              <w:rPr>
                <w:rFonts w:ascii="Segoe UI" w:hAnsi="Segoe UI"/>
                <w:spacing w:val="-3"/>
                <w:sz w:val="20"/>
              </w:rPr>
              <w:t> </w:t>
            </w:r>
            <w:r>
              <w:rPr>
                <w:rFonts w:ascii="Segoe UI" w:hAnsi="Segoe UI"/>
                <w:sz w:val="20"/>
              </w:rPr>
              <w:t>change</w:t>
            </w:r>
            <w:r>
              <w:rPr>
                <w:rFonts w:ascii="Segoe UI" w:hAnsi="Segoe UI"/>
                <w:spacing w:val="-1"/>
                <w:sz w:val="20"/>
              </w:rPr>
              <w:t> </w:t>
            </w:r>
            <w:r>
              <w:rPr>
                <w:rFonts w:ascii="Segoe UI" w:hAnsi="Segoe UI"/>
                <w:sz w:val="20"/>
              </w:rPr>
              <w:t>to</w:t>
            </w:r>
            <w:r>
              <w:rPr>
                <w:rFonts w:ascii="Segoe UI" w:hAnsi="Segoe UI"/>
                <w:spacing w:val="-3"/>
                <w:sz w:val="20"/>
              </w:rPr>
              <w:t> </w:t>
            </w:r>
            <w:r>
              <w:rPr>
                <w:rFonts w:ascii="Segoe UI" w:hAnsi="Segoe UI"/>
                <w:spacing w:val="-2"/>
                <w:sz w:val="20"/>
              </w:rPr>
              <w:t>optometry</w:t>
            </w:r>
          </w:p>
        </w:tc>
      </w:tr>
    </w:tbl>
    <w:p>
      <w:pPr>
        <w:pStyle w:val="BodyText"/>
        <w:spacing w:before="71"/>
        <w:rPr>
          <w:rFonts w:ascii="Calibri"/>
          <w:sz w:val="16"/>
        </w:rPr>
      </w:pPr>
    </w:p>
    <w:p>
      <w:pPr>
        <w:spacing w:before="1"/>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spacing w:before="78" w:after="52"/>
        <w:ind w:left="0" w:right="873" w:firstLine="0"/>
        <w:jc w:val="right"/>
        <w:rPr>
          <w:rFonts w:ascii="Calibri"/>
          <w:sz w:val="16"/>
        </w:rPr>
      </w:pP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tbl>
      <w:tblPr>
        <w:tblW w:w="0" w:type="auto"/>
        <w:jc w:val="left"/>
        <w:tblInd w:w="34"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2551"/>
        <w:gridCol w:w="1986"/>
        <w:gridCol w:w="1701"/>
        <w:gridCol w:w="5393"/>
      </w:tblGrid>
      <w:tr>
        <w:trPr>
          <w:trHeight w:val="795" w:hRule="atLeast"/>
        </w:trPr>
        <w:tc>
          <w:tcPr>
            <w:tcW w:w="2551" w:type="dxa"/>
          </w:tcPr>
          <w:p>
            <w:pPr>
              <w:pStyle w:val="TableParagraph"/>
              <w:spacing w:line="265" w:lineRule="exact"/>
              <w:ind w:left="105"/>
              <w:rPr>
                <w:rFonts w:ascii="Segoe UI"/>
                <w:sz w:val="20"/>
              </w:rPr>
            </w:pPr>
            <w:r>
              <w:rPr>
                <w:rFonts w:ascii="Segoe UI"/>
                <w:sz w:val="20"/>
              </w:rPr>
              <w:t>Primary</w:t>
            </w:r>
            <w:r>
              <w:rPr>
                <w:rFonts w:ascii="Segoe UI"/>
                <w:spacing w:val="-12"/>
                <w:sz w:val="20"/>
              </w:rPr>
              <w:t> </w:t>
            </w:r>
            <w:r>
              <w:rPr>
                <w:rFonts w:ascii="Segoe UI"/>
                <w:spacing w:val="-4"/>
                <w:sz w:val="20"/>
              </w:rPr>
              <w:t>Care</w:t>
            </w:r>
          </w:p>
        </w:tc>
        <w:tc>
          <w:tcPr>
            <w:tcW w:w="1986" w:type="dxa"/>
          </w:tcPr>
          <w:p>
            <w:pPr>
              <w:pStyle w:val="TableParagraph"/>
              <w:ind w:left="110" w:right="360"/>
              <w:rPr>
                <w:rFonts w:ascii="Segoe UI"/>
                <w:sz w:val="20"/>
              </w:rPr>
            </w:pPr>
            <w:r>
              <w:rPr>
                <w:rFonts w:ascii="Segoe UI"/>
                <w:sz w:val="20"/>
              </w:rPr>
              <w:t>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spacing w:line="265" w:lineRule="exact"/>
              <w:ind w:left="109"/>
              <w:rPr>
                <w:rFonts w:ascii="Segoe UI"/>
                <w:sz w:val="20"/>
              </w:rPr>
            </w:pPr>
            <w:r>
              <w:rPr>
                <w:rFonts w:ascii="Segoe UI"/>
                <w:spacing w:val="-2"/>
                <w:sz w:val="20"/>
              </w:rPr>
              <w:t>Islam</w:t>
            </w:r>
          </w:p>
        </w:tc>
        <w:tc>
          <w:tcPr>
            <w:tcW w:w="5393" w:type="dxa"/>
          </w:tcPr>
          <w:p>
            <w:pPr>
              <w:pStyle w:val="TableParagraph"/>
              <w:spacing w:line="265" w:lineRule="exact"/>
              <w:ind w:left="109"/>
              <w:rPr>
                <w:rFonts w:ascii="Segoe UI"/>
                <w:sz w:val="20"/>
              </w:rPr>
            </w:pPr>
            <w:r>
              <w:rPr>
                <w:rFonts w:ascii="Segoe UI"/>
                <w:sz w:val="20"/>
              </w:rPr>
              <w:t>arrangements,</w:t>
            </w:r>
            <w:r>
              <w:rPr>
                <w:rFonts w:ascii="Segoe UI"/>
                <w:spacing w:val="-8"/>
                <w:sz w:val="20"/>
              </w:rPr>
              <w:t> </w:t>
            </w:r>
            <w:r>
              <w:rPr>
                <w:rFonts w:ascii="Segoe UI"/>
                <w:sz w:val="20"/>
              </w:rPr>
              <w:t>planning and </w:t>
            </w:r>
            <w:r>
              <w:rPr>
                <w:rFonts w:ascii="Segoe UI"/>
                <w:spacing w:val="-2"/>
                <w:sz w:val="20"/>
              </w:rPr>
              <w:t>delivery</w:t>
            </w:r>
          </w:p>
        </w:tc>
      </w:tr>
      <w:tr>
        <w:trPr>
          <w:trHeight w:val="800" w:hRule="atLeast"/>
        </w:trPr>
        <w:tc>
          <w:tcPr>
            <w:tcW w:w="2551" w:type="dxa"/>
          </w:tcPr>
          <w:p>
            <w:pPr>
              <w:pStyle w:val="TableParagraph"/>
              <w:spacing w:line="265" w:lineRule="exact"/>
              <w:ind w:left="105"/>
              <w:rPr>
                <w:rFonts w:ascii="Segoe UI"/>
                <w:sz w:val="20"/>
              </w:rPr>
            </w:pPr>
            <w:r>
              <w:rPr>
                <w:rFonts w:ascii="Segoe UI"/>
                <w:sz w:val="20"/>
              </w:rPr>
              <w:t>Optometric</w:t>
            </w:r>
            <w:r>
              <w:rPr>
                <w:rFonts w:ascii="Segoe UI"/>
                <w:spacing w:val="-4"/>
                <w:sz w:val="20"/>
              </w:rPr>
              <w:t> </w:t>
            </w:r>
            <w:r>
              <w:rPr>
                <w:rFonts w:ascii="Segoe UI"/>
                <w:spacing w:val="-2"/>
                <w:sz w:val="20"/>
              </w:rPr>
              <w:t>Advisor</w:t>
            </w:r>
          </w:p>
        </w:tc>
        <w:tc>
          <w:tcPr>
            <w:tcW w:w="1986" w:type="dxa"/>
          </w:tcPr>
          <w:p>
            <w:pPr>
              <w:pStyle w:val="TableParagraph"/>
              <w:spacing w:line="265" w:lineRule="exact"/>
              <w:ind w:left="110"/>
              <w:rPr>
                <w:rFonts w:ascii="Segoe UI"/>
                <w:sz w:val="20"/>
              </w:rPr>
            </w:pPr>
            <w:r>
              <w:rPr>
                <w:rFonts w:ascii="Segoe UI"/>
                <w:sz w:val="20"/>
              </w:rPr>
              <w:t>Hywel</w:t>
            </w:r>
            <w:r>
              <w:rPr>
                <w:rFonts w:ascii="Segoe UI"/>
                <w:spacing w:val="-3"/>
                <w:sz w:val="20"/>
              </w:rPr>
              <w:t> </w:t>
            </w:r>
            <w:r>
              <w:rPr>
                <w:rFonts w:ascii="Segoe UI"/>
                <w:spacing w:val="-5"/>
                <w:sz w:val="20"/>
              </w:rPr>
              <w:t>Dda</w:t>
            </w:r>
          </w:p>
          <w:p>
            <w:pPr>
              <w:pStyle w:val="TableParagraph"/>
              <w:spacing w:line="266" w:lineRule="exact"/>
              <w:ind w:left="110" w:right="360"/>
              <w:rPr>
                <w:rFonts w:ascii="Segoe UI"/>
                <w:sz w:val="20"/>
              </w:rPr>
            </w:pPr>
            <w:r>
              <w:rPr>
                <w:rFonts w:ascii="Segoe UI"/>
                <w:sz w:val="20"/>
              </w:rPr>
              <w:t>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spacing w:line="265" w:lineRule="exact"/>
              <w:ind w:left="109"/>
              <w:rPr>
                <w:rFonts w:ascii="Segoe UI"/>
                <w:sz w:val="20"/>
              </w:rPr>
            </w:pPr>
            <w:r>
              <w:rPr>
                <w:rFonts w:ascii="Segoe UI"/>
                <w:sz w:val="20"/>
              </w:rPr>
              <w:t>Sally</w:t>
            </w:r>
            <w:r>
              <w:rPr>
                <w:rFonts w:ascii="Segoe UI"/>
                <w:spacing w:val="-6"/>
                <w:sz w:val="20"/>
              </w:rPr>
              <w:t> </w:t>
            </w:r>
            <w:r>
              <w:rPr>
                <w:rFonts w:ascii="Segoe UI"/>
                <w:spacing w:val="-2"/>
                <w:sz w:val="20"/>
              </w:rPr>
              <w:t>Hodson</w:t>
            </w:r>
          </w:p>
        </w:tc>
        <w:tc>
          <w:tcPr>
            <w:tcW w:w="5393" w:type="dxa"/>
          </w:tcPr>
          <w:p>
            <w:pPr>
              <w:pStyle w:val="TableParagraph"/>
              <w:spacing w:line="242" w:lineRule="auto"/>
              <w:ind w:left="109" w:right="111"/>
              <w:rPr>
                <w:rFonts w:ascii="Segoe UI" w:hAnsi="Segoe UI"/>
                <w:sz w:val="20"/>
              </w:rPr>
            </w:pPr>
            <w:r>
              <w:rPr>
                <w:rFonts w:ascii="Segoe UI" w:hAnsi="Segoe UI"/>
                <w:sz w:val="20"/>
              </w:rPr>
              <w:t>Optometry</w:t>
            </w:r>
            <w:r>
              <w:rPr>
                <w:rFonts w:ascii="Segoe UI" w:hAnsi="Segoe UI"/>
                <w:spacing w:val="-6"/>
                <w:sz w:val="20"/>
              </w:rPr>
              <w:t> </w:t>
            </w:r>
            <w:r>
              <w:rPr>
                <w:rFonts w:ascii="Segoe UI" w:hAnsi="Segoe UI"/>
                <w:sz w:val="20"/>
              </w:rPr>
              <w:t>Workstream</w:t>
            </w:r>
            <w:r>
              <w:rPr>
                <w:rFonts w:ascii="Segoe UI" w:hAnsi="Segoe UI"/>
                <w:spacing w:val="-6"/>
                <w:sz w:val="20"/>
              </w:rPr>
              <w:t> </w:t>
            </w:r>
            <w:r>
              <w:rPr>
                <w:rFonts w:ascii="Segoe UI" w:hAnsi="Segoe UI"/>
                <w:sz w:val="20"/>
              </w:rPr>
              <w:t>–</w:t>
            </w:r>
            <w:r>
              <w:rPr>
                <w:rFonts w:ascii="Segoe UI" w:hAnsi="Segoe UI"/>
                <w:spacing w:val="-5"/>
                <w:sz w:val="20"/>
              </w:rPr>
              <w:t> </w:t>
            </w:r>
            <w:r>
              <w:rPr>
                <w:rFonts w:ascii="Segoe UI" w:hAnsi="Segoe UI"/>
                <w:sz w:val="20"/>
              </w:rPr>
              <w:t>leading</w:t>
            </w:r>
            <w:r>
              <w:rPr>
                <w:rFonts w:ascii="Segoe UI" w:hAnsi="Segoe UI"/>
                <w:spacing w:val="-8"/>
                <w:sz w:val="20"/>
              </w:rPr>
              <w:t> </w:t>
            </w:r>
            <w:r>
              <w:rPr>
                <w:rFonts w:ascii="Segoe UI" w:hAnsi="Segoe UI"/>
                <w:sz w:val="20"/>
              </w:rPr>
              <w:t>change</w:t>
            </w:r>
            <w:r>
              <w:rPr>
                <w:rFonts w:ascii="Segoe UI" w:hAnsi="Segoe UI"/>
                <w:spacing w:val="-5"/>
                <w:sz w:val="20"/>
              </w:rPr>
              <w:t> </w:t>
            </w:r>
            <w:r>
              <w:rPr>
                <w:rFonts w:ascii="Segoe UI" w:hAnsi="Segoe UI"/>
                <w:sz w:val="20"/>
              </w:rPr>
              <w:t>to</w:t>
            </w:r>
            <w:r>
              <w:rPr>
                <w:rFonts w:ascii="Segoe UI" w:hAnsi="Segoe UI"/>
                <w:spacing w:val="-8"/>
                <w:sz w:val="20"/>
              </w:rPr>
              <w:t> </w:t>
            </w:r>
            <w:r>
              <w:rPr>
                <w:rFonts w:ascii="Segoe UI" w:hAnsi="Segoe UI"/>
                <w:sz w:val="20"/>
              </w:rPr>
              <w:t>optometry arrangements, planning and delivery</w:t>
            </w:r>
          </w:p>
        </w:tc>
      </w:tr>
      <w:tr>
        <w:trPr>
          <w:trHeight w:val="1065" w:hRule="atLeast"/>
        </w:trPr>
        <w:tc>
          <w:tcPr>
            <w:tcW w:w="2551" w:type="dxa"/>
          </w:tcPr>
          <w:p>
            <w:pPr>
              <w:pStyle w:val="TableParagraph"/>
              <w:ind w:left="105"/>
              <w:rPr>
                <w:rFonts w:ascii="Segoe UI" w:hAnsi="Segoe UI"/>
                <w:sz w:val="20"/>
              </w:rPr>
            </w:pPr>
            <w:r>
              <w:rPr>
                <w:rFonts w:ascii="Segoe UI" w:hAnsi="Segoe UI"/>
                <w:sz w:val="20"/>
              </w:rPr>
              <w:t>Head of Primary Care • Primary</w:t>
            </w:r>
            <w:r>
              <w:rPr>
                <w:rFonts w:ascii="Segoe UI" w:hAnsi="Segoe UI"/>
                <w:spacing w:val="-14"/>
                <w:sz w:val="20"/>
              </w:rPr>
              <w:t> </w:t>
            </w:r>
            <w:r>
              <w:rPr>
                <w:rFonts w:ascii="Segoe UI" w:hAnsi="Segoe UI"/>
                <w:sz w:val="20"/>
              </w:rPr>
              <w:t>and</w:t>
            </w:r>
            <w:r>
              <w:rPr>
                <w:rFonts w:ascii="Segoe UI" w:hAnsi="Segoe UI"/>
                <w:spacing w:val="-14"/>
                <w:sz w:val="20"/>
              </w:rPr>
              <w:t> </w:t>
            </w:r>
            <w:r>
              <w:rPr>
                <w:rFonts w:ascii="Segoe UI" w:hAnsi="Segoe UI"/>
                <w:sz w:val="20"/>
              </w:rPr>
              <w:t>Community </w:t>
            </w:r>
            <w:r>
              <w:rPr>
                <w:rFonts w:ascii="Segoe UI" w:hAnsi="Segoe UI"/>
                <w:spacing w:val="-2"/>
                <w:sz w:val="20"/>
              </w:rPr>
              <w:t>Services</w:t>
            </w:r>
          </w:p>
        </w:tc>
        <w:tc>
          <w:tcPr>
            <w:tcW w:w="1986" w:type="dxa"/>
          </w:tcPr>
          <w:p>
            <w:pPr>
              <w:pStyle w:val="TableParagraph"/>
              <w:ind w:left="110" w:right="360"/>
              <w:rPr>
                <w:rFonts w:ascii="Segoe UI"/>
                <w:sz w:val="20"/>
              </w:rPr>
            </w:pPr>
            <w:r>
              <w:rPr>
                <w:rFonts w:ascii="Segoe UI"/>
                <w:sz w:val="20"/>
              </w:rPr>
              <w:t>Swansea Bay 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spacing w:line="265" w:lineRule="exact"/>
              <w:ind w:left="109"/>
              <w:rPr>
                <w:rFonts w:ascii="Segoe UI"/>
                <w:sz w:val="20"/>
              </w:rPr>
            </w:pPr>
            <w:r>
              <w:rPr>
                <w:rFonts w:ascii="Segoe UI"/>
                <w:sz w:val="20"/>
              </w:rPr>
              <w:t>Sam</w:t>
            </w:r>
            <w:r>
              <w:rPr>
                <w:rFonts w:ascii="Segoe UI"/>
                <w:spacing w:val="-7"/>
                <w:sz w:val="20"/>
              </w:rPr>
              <w:t> </w:t>
            </w:r>
            <w:r>
              <w:rPr>
                <w:rFonts w:ascii="Segoe UI"/>
                <w:spacing w:val="-4"/>
                <w:sz w:val="20"/>
              </w:rPr>
              <w:t>Page</w:t>
            </w:r>
          </w:p>
        </w:tc>
        <w:tc>
          <w:tcPr>
            <w:tcW w:w="5393" w:type="dxa"/>
          </w:tcPr>
          <w:p>
            <w:pPr>
              <w:pStyle w:val="TableParagraph"/>
              <w:ind w:left="109" w:right="111"/>
              <w:rPr>
                <w:rFonts w:ascii="Segoe UI"/>
                <w:sz w:val="20"/>
              </w:rPr>
            </w:pPr>
            <w:r>
              <w:rPr>
                <w:rFonts w:ascii="Segoe UI"/>
                <w:sz w:val="20"/>
              </w:rPr>
              <w:t>Delivering primary care and community organisational change, stakeholder engagement, communications, training,</w:t>
            </w:r>
            <w:r>
              <w:rPr>
                <w:rFonts w:ascii="Segoe UI"/>
                <w:spacing w:val="-4"/>
                <w:sz w:val="20"/>
              </w:rPr>
              <w:t> </w:t>
            </w:r>
            <w:r>
              <w:rPr>
                <w:rFonts w:ascii="Segoe UI"/>
                <w:sz w:val="20"/>
              </w:rPr>
              <w:t>adoption,</w:t>
            </w:r>
            <w:r>
              <w:rPr>
                <w:rFonts w:ascii="Segoe UI"/>
                <w:spacing w:val="-4"/>
                <w:sz w:val="20"/>
              </w:rPr>
              <w:t> </w:t>
            </w:r>
            <w:r>
              <w:rPr>
                <w:rFonts w:ascii="Segoe UI"/>
                <w:sz w:val="20"/>
              </w:rPr>
              <w:t>and</w:t>
            </w:r>
            <w:r>
              <w:rPr>
                <w:rFonts w:ascii="Segoe UI"/>
                <w:spacing w:val="-7"/>
                <w:sz w:val="20"/>
              </w:rPr>
              <w:t> </w:t>
            </w:r>
            <w:r>
              <w:rPr>
                <w:rFonts w:ascii="Segoe UI"/>
                <w:sz w:val="20"/>
              </w:rPr>
              <w:t>benefits</w:t>
            </w:r>
            <w:r>
              <w:rPr>
                <w:rFonts w:ascii="Segoe UI"/>
                <w:spacing w:val="-6"/>
                <w:sz w:val="20"/>
              </w:rPr>
              <w:t> </w:t>
            </w:r>
            <w:r>
              <w:rPr>
                <w:rFonts w:ascii="Segoe UI"/>
                <w:sz w:val="20"/>
              </w:rPr>
              <w:t>realisation</w:t>
            </w:r>
            <w:r>
              <w:rPr>
                <w:rFonts w:ascii="Segoe UI"/>
                <w:spacing w:val="-8"/>
                <w:sz w:val="20"/>
              </w:rPr>
              <w:t> </w:t>
            </w:r>
            <w:r>
              <w:rPr>
                <w:rFonts w:ascii="Segoe UI"/>
                <w:sz w:val="20"/>
              </w:rPr>
              <w:t>to</w:t>
            </w:r>
            <w:r>
              <w:rPr>
                <w:rFonts w:ascii="Segoe UI"/>
                <w:spacing w:val="-7"/>
                <w:sz w:val="20"/>
              </w:rPr>
              <w:t> </w:t>
            </w:r>
            <w:r>
              <w:rPr>
                <w:rFonts w:ascii="Segoe UI"/>
                <w:sz w:val="20"/>
              </w:rPr>
              <w:t>embed</w:t>
            </w:r>
            <w:r>
              <w:rPr>
                <w:rFonts w:ascii="Segoe UI"/>
                <w:spacing w:val="-3"/>
                <w:sz w:val="20"/>
              </w:rPr>
              <w:t> </w:t>
            </w:r>
            <w:r>
              <w:rPr>
                <w:rFonts w:ascii="Segoe UI"/>
                <w:sz w:val="20"/>
              </w:rPr>
              <w:t>new</w:t>
            </w:r>
          </w:p>
          <w:p>
            <w:pPr>
              <w:pStyle w:val="TableParagraph"/>
              <w:spacing w:line="246" w:lineRule="exact" w:before="1"/>
              <w:ind w:left="109"/>
              <w:rPr>
                <w:rFonts w:ascii="Segoe UI"/>
                <w:sz w:val="20"/>
              </w:rPr>
            </w:pPr>
            <w:r>
              <w:rPr>
                <w:rFonts w:ascii="Segoe UI"/>
                <w:sz w:val="20"/>
              </w:rPr>
              <w:t>ways</w:t>
            </w:r>
            <w:r>
              <w:rPr>
                <w:rFonts w:ascii="Segoe UI"/>
                <w:spacing w:val="-4"/>
                <w:sz w:val="20"/>
              </w:rPr>
              <w:t> </w:t>
            </w:r>
            <w:r>
              <w:rPr>
                <w:rFonts w:ascii="Segoe UI"/>
                <w:sz w:val="20"/>
              </w:rPr>
              <w:t>of</w:t>
            </w:r>
            <w:r>
              <w:rPr>
                <w:rFonts w:ascii="Segoe UI"/>
                <w:spacing w:val="-1"/>
                <w:sz w:val="20"/>
              </w:rPr>
              <w:t> </w:t>
            </w:r>
            <w:r>
              <w:rPr>
                <w:rFonts w:ascii="Segoe UI"/>
                <w:spacing w:val="-2"/>
                <w:sz w:val="20"/>
              </w:rPr>
              <w:t>working.</w:t>
            </w:r>
          </w:p>
        </w:tc>
      </w:tr>
      <w:tr>
        <w:trPr>
          <w:trHeight w:val="1065" w:hRule="atLeast"/>
        </w:trPr>
        <w:tc>
          <w:tcPr>
            <w:tcW w:w="2551" w:type="dxa"/>
          </w:tcPr>
          <w:p>
            <w:pPr>
              <w:pStyle w:val="TableParagraph"/>
              <w:ind w:left="105" w:right="367"/>
              <w:rPr>
                <w:rFonts w:ascii="Segoe UI"/>
                <w:sz w:val="20"/>
              </w:rPr>
            </w:pPr>
            <w:r>
              <w:rPr>
                <w:rFonts w:ascii="Segoe UI"/>
                <w:sz w:val="20"/>
              </w:rPr>
              <w:t>Assistant</w:t>
            </w:r>
            <w:r>
              <w:rPr>
                <w:rFonts w:ascii="Segoe UI"/>
                <w:spacing w:val="-14"/>
                <w:sz w:val="20"/>
              </w:rPr>
              <w:t> </w:t>
            </w:r>
            <w:r>
              <w:rPr>
                <w:rFonts w:ascii="Segoe UI"/>
                <w:sz w:val="20"/>
              </w:rPr>
              <w:t>Director</w:t>
            </w:r>
            <w:r>
              <w:rPr>
                <w:rFonts w:ascii="Segoe UI"/>
                <w:spacing w:val="-14"/>
                <w:sz w:val="20"/>
              </w:rPr>
              <w:t> </w:t>
            </w:r>
            <w:r>
              <w:rPr>
                <w:rFonts w:ascii="Segoe UI"/>
                <w:sz w:val="20"/>
              </w:rPr>
              <w:t>of Primary Care</w:t>
            </w:r>
          </w:p>
        </w:tc>
        <w:tc>
          <w:tcPr>
            <w:tcW w:w="1986" w:type="dxa"/>
          </w:tcPr>
          <w:p>
            <w:pPr>
              <w:pStyle w:val="TableParagraph"/>
              <w:ind w:left="110" w:right="360"/>
              <w:rPr>
                <w:rFonts w:ascii="Segoe UI"/>
                <w:sz w:val="20"/>
              </w:rPr>
            </w:pPr>
            <w:r>
              <w:rPr>
                <w:rFonts w:ascii="Segoe UI"/>
                <w:sz w:val="20"/>
              </w:rPr>
              <w:t>Hywel Dda 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spacing w:line="265" w:lineRule="exact"/>
              <w:ind w:left="109"/>
              <w:rPr>
                <w:rFonts w:ascii="Segoe UI"/>
                <w:sz w:val="20"/>
              </w:rPr>
            </w:pPr>
            <w:r>
              <w:rPr>
                <w:rFonts w:ascii="Segoe UI"/>
                <w:sz w:val="20"/>
              </w:rPr>
              <w:t>Rhian </w:t>
            </w:r>
            <w:r>
              <w:rPr>
                <w:rFonts w:ascii="Segoe UI"/>
                <w:spacing w:val="-4"/>
                <w:sz w:val="20"/>
              </w:rPr>
              <w:t>Bond</w:t>
            </w:r>
          </w:p>
        </w:tc>
        <w:tc>
          <w:tcPr>
            <w:tcW w:w="5393" w:type="dxa"/>
          </w:tcPr>
          <w:p>
            <w:pPr>
              <w:pStyle w:val="TableParagraph"/>
              <w:ind w:left="109" w:right="111"/>
              <w:rPr>
                <w:rFonts w:ascii="Segoe UI"/>
                <w:sz w:val="20"/>
              </w:rPr>
            </w:pPr>
            <w:r>
              <w:rPr>
                <w:rFonts w:ascii="Segoe UI"/>
                <w:sz w:val="20"/>
              </w:rPr>
              <w:t>Delivering primary care and community organisational change, stakeholder engagement, communications,</w:t>
            </w:r>
          </w:p>
          <w:p>
            <w:pPr>
              <w:pStyle w:val="TableParagraph"/>
              <w:spacing w:line="266" w:lineRule="exact"/>
              <w:ind w:left="109" w:right="111"/>
              <w:rPr>
                <w:rFonts w:ascii="Segoe UI"/>
                <w:sz w:val="20"/>
              </w:rPr>
            </w:pPr>
            <w:r>
              <w:rPr>
                <w:rFonts w:ascii="Segoe UI"/>
                <w:sz w:val="20"/>
              </w:rPr>
              <w:t>training,</w:t>
            </w:r>
            <w:r>
              <w:rPr>
                <w:rFonts w:ascii="Segoe UI"/>
                <w:spacing w:val="-4"/>
                <w:sz w:val="20"/>
              </w:rPr>
              <w:t> </w:t>
            </w:r>
            <w:r>
              <w:rPr>
                <w:rFonts w:ascii="Segoe UI"/>
                <w:sz w:val="20"/>
              </w:rPr>
              <w:t>adoption,</w:t>
            </w:r>
            <w:r>
              <w:rPr>
                <w:rFonts w:ascii="Segoe UI"/>
                <w:spacing w:val="-4"/>
                <w:sz w:val="20"/>
              </w:rPr>
              <w:t> </w:t>
            </w:r>
            <w:r>
              <w:rPr>
                <w:rFonts w:ascii="Segoe UI"/>
                <w:sz w:val="20"/>
              </w:rPr>
              <w:t>and</w:t>
            </w:r>
            <w:r>
              <w:rPr>
                <w:rFonts w:ascii="Segoe UI"/>
                <w:spacing w:val="-7"/>
                <w:sz w:val="20"/>
              </w:rPr>
              <w:t> </w:t>
            </w:r>
            <w:r>
              <w:rPr>
                <w:rFonts w:ascii="Segoe UI"/>
                <w:sz w:val="20"/>
              </w:rPr>
              <w:t>benefits</w:t>
            </w:r>
            <w:r>
              <w:rPr>
                <w:rFonts w:ascii="Segoe UI"/>
                <w:spacing w:val="-6"/>
                <w:sz w:val="20"/>
              </w:rPr>
              <w:t> </w:t>
            </w:r>
            <w:r>
              <w:rPr>
                <w:rFonts w:ascii="Segoe UI"/>
                <w:sz w:val="20"/>
              </w:rPr>
              <w:t>realisation</w:t>
            </w:r>
            <w:r>
              <w:rPr>
                <w:rFonts w:ascii="Segoe UI"/>
                <w:spacing w:val="-8"/>
                <w:sz w:val="20"/>
              </w:rPr>
              <w:t> </w:t>
            </w:r>
            <w:r>
              <w:rPr>
                <w:rFonts w:ascii="Segoe UI"/>
                <w:sz w:val="20"/>
              </w:rPr>
              <w:t>to</w:t>
            </w:r>
            <w:r>
              <w:rPr>
                <w:rFonts w:ascii="Segoe UI"/>
                <w:spacing w:val="-7"/>
                <w:sz w:val="20"/>
              </w:rPr>
              <w:t> </w:t>
            </w:r>
            <w:r>
              <w:rPr>
                <w:rFonts w:ascii="Segoe UI"/>
                <w:sz w:val="20"/>
              </w:rPr>
              <w:t>embed</w:t>
            </w:r>
            <w:r>
              <w:rPr>
                <w:rFonts w:ascii="Segoe UI"/>
                <w:spacing w:val="-3"/>
                <w:sz w:val="20"/>
              </w:rPr>
              <w:t> </w:t>
            </w:r>
            <w:r>
              <w:rPr>
                <w:rFonts w:ascii="Segoe UI"/>
                <w:sz w:val="20"/>
              </w:rPr>
              <w:t>new ways of working.</w:t>
            </w:r>
          </w:p>
        </w:tc>
      </w:tr>
      <w:tr>
        <w:trPr>
          <w:trHeight w:val="1595" w:hRule="atLeast"/>
        </w:trPr>
        <w:tc>
          <w:tcPr>
            <w:tcW w:w="2551" w:type="dxa"/>
          </w:tcPr>
          <w:p>
            <w:pPr>
              <w:pStyle w:val="TableParagraph"/>
              <w:spacing w:line="265" w:lineRule="exact"/>
              <w:ind w:left="105"/>
              <w:rPr>
                <w:rFonts w:ascii="Segoe UI"/>
                <w:sz w:val="20"/>
              </w:rPr>
            </w:pPr>
            <w:r>
              <w:rPr>
                <w:rFonts w:ascii="Segoe UI"/>
                <w:sz w:val="20"/>
              </w:rPr>
              <w:t>Data</w:t>
            </w:r>
            <w:r>
              <w:rPr>
                <w:rFonts w:ascii="Segoe UI"/>
                <w:spacing w:val="-3"/>
                <w:sz w:val="20"/>
              </w:rPr>
              <w:t> </w:t>
            </w:r>
            <w:r>
              <w:rPr>
                <w:rFonts w:ascii="Segoe UI"/>
                <w:sz w:val="20"/>
              </w:rPr>
              <w:t>and</w:t>
            </w:r>
            <w:r>
              <w:rPr>
                <w:rFonts w:ascii="Segoe UI"/>
                <w:spacing w:val="2"/>
                <w:sz w:val="20"/>
              </w:rPr>
              <w:t> </w:t>
            </w:r>
            <w:r>
              <w:rPr>
                <w:rFonts w:ascii="Segoe UI"/>
                <w:spacing w:val="-2"/>
                <w:sz w:val="20"/>
              </w:rPr>
              <w:t>Digital</w:t>
            </w:r>
          </w:p>
        </w:tc>
        <w:tc>
          <w:tcPr>
            <w:tcW w:w="1986" w:type="dxa"/>
          </w:tcPr>
          <w:p>
            <w:pPr>
              <w:pStyle w:val="TableParagraph"/>
              <w:ind w:left="110" w:right="360"/>
              <w:rPr>
                <w:rFonts w:ascii="Segoe UI"/>
                <w:sz w:val="20"/>
              </w:rPr>
            </w:pPr>
            <w:r>
              <w:rPr>
                <w:rFonts w:ascii="Segoe UI"/>
                <w:sz w:val="20"/>
              </w:rPr>
              <w:t>Swansea Bay University</w:t>
            </w:r>
            <w:r>
              <w:rPr>
                <w:rFonts w:ascii="Segoe UI"/>
                <w:spacing w:val="-14"/>
                <w:sz w:val="20"/>
              </w:rPr>
              <w:t> </w:t>
            </w:r>
            <w:r>
              <w:rPr>
                <w:rFonts w:ascii="Segoe UI"/>
                <w:sz w:val="20"/>
              </w:rPr>
              <w:t>Health </w:t>
            </w:r>
            <w:r>
              <w:rPr>
                <w:rFonts w:ascii="Segoe UI"/>
                <w:spacing w:val="-4"/>
                <w:sz w:val="20"/>
              </w:rPr>
              <w:t>Board</w:t>
            </w:r>
          </w:p>
          <w:p>
            <w:pPr>
              <w:pStyle w:val="TableParagraph"/>
              <w:ind w:left="110" w:right="360"/>
              <w:rPr>
                <w:rFonts w:ascii="Segoe UI"/>
                <w:sz w:val="20"/>
              </w:rPr>
            </w:pPr>
            <w:r>
              <w:rPr>
                <w:rFonts w:ascii="Segoe UI"/>
                <w:sz w:val="20"/>
              </w:rPr>
              <w:t>Hywel Dda University</w:t>
            </w:r>
            <w:r>
              <w:rPr>
                <w:rFonts w:ascii="Segoe UI"/>
                <w:spacing w:val="-14"/>
                <w:sz w:val="20"/>
              </w:rPr>
              <w:t> </w:t>
            </w:r>
            <w:r>
              <w:rPr>
                <w:rFonts w:ascii="Segoe UI"/>
                <w:sz w:val="20"/>
              </w:rPr>
              <w:t>Health</w:t>
            </w:r>
          </w:p>
          <w:p>
            <w:pPr>
              <w:pStyle w:val="TableParagraph"/>
              <w:spacing w:line="246" w:lineRule="exact"/>
              <w:ind w:left="110"/>
              <w:rPr>
                <w:rFonts w:ascii="Segoe UI"/>
                <w:sz w:val="20"/>
              </w:rPr>
            </w:pPr>
            <w:r>
              <w:rPr>
                <w:rFonts w:ascii="Segoe UI"/>
                <w:spacing w:val="-4"/>
                <w:sz w:val="20"/>
              </w:rPr>
              <w:t>Board</w:t>
            </w:r>
          </w:p>
        </w:tc>
        <w:tc>
          <w:tcPr>
            <w:tcW w:w="1701" w:type="dxa"/>
          </w:tcPr>
          <w:p>
            <w:pPr>
              <w:pStyle w:val="TableParagraph"/>
              <w:ind w:left="109" w:right="480"/>
              <w:rPr>
                <w:rFonts w:ascii="Segoe UI"/>
                <w:sz w:val="20"/>
              </w:rPr>
            </w:pPr>
            <w:r>
              <w:rPr>
                <w:rFonts w:ascii="Segoe UI"/>
                <w:sz w:val="20"/>
              </w:rPr>
              <w:t>Nerys</w:t>
            </w:r>
            <w:r>
              <w:rPr>
                <w:rFonts w:ascii="Segoe UI"/>
                <w:spacing w:val="-14"/>
                <w:sz w:val="20"/>
              </w:rPr>
              <w:t> </w:t>
            </w:r>
            <w:r>
              <w:rPr>
                <w:rFonts w:ascii="Segoe UI"/>
                <w:sz w:val="20"/>
              </w:rPr>
              <w:t>James </w:t>
            </w:r>
            <w:r>
              <w:rPr>
                <w:rFonts w:ascii="Segoe UI"/>
                <w:spacing w:val="-2"/>
                <w:sz w:val="20"/>
              </w:rPr>
              <w:t>Sarah Dunderdale</w:t>
            </w:r>
          </w:p>
        </w:tc>
        <w:tc>
          <w:tcPr>
            <w:tcW w:w="5393" w:type="dxa"/>
          </w:tcPr>
          <w:p>
            <w:pPr>
              <w:pStyle w:val="TableParagraph"/>
              <w:ind w:left="109" w:right="111"/>
              <w:rPr>
                <w:rFonts w:ascii="Segoe UI" w:hAnsi="Segoe UI"/>
                <w:sz w:val="20"/>
              </w:rPr>
            </w:pPr>
            <w:r>
              <w:rPr>
                <w:rFonts w:ascii="Segoe UI" w:hAnsi="Segoe UI"/>
                <w:sz w:val="20"/>
              </w:rPr>
              <w:t>Data</w:t>
            </w:r>
            <w:r>
              <w:rPr>
                <w:rFonts w:ascii="Segoe UI" w:hAnsi="Segoe UI"/>
                <w:spacing w:val="-7"/>
                <w:sz w:val="20"/>
              </w:rPr>
              <w:t> </w:t>
            </w:r>
            <w:r>
              <w:rPr>
                <w:rFonts w:ascii="Segoe UI" w:hAnsi="Segoe UI"/>
                <w:sz w:val="20"/>
              </w:rPr>
              <w:t>and</w:t>
            </w:r>
            <w:r>
              <w:rPr>
                <w:rFonts w:ascii="Segoe UI" w:hAnsi="Segoe UI"/>
                <w:spacing w:val="-3"/>
                <w:sz w:val="20"/>
              </w:rPr>
              <w:t> </w:t>
            </w:r>
            <w:r>
              <w:rPr>
                <w:rFonts w:ascii="Segoe UI" w:hAnsi="Segoe UI"/>
                <w:sz w:val="20"/>
              </w:rPr>
              <w:t>Digital</w:t>
            </w:r>
            <w:r>
              <w:rPr>
                <w:rFonts w:ascii="Segoe UI" w:hAnsi="Segoe UI"/>
                <w:spacing w:val="-4"/>
                <w:sz w:val="20"/>
              </w:rPr>
              <w:t> </w:t>
            </w:r>
            <w:r>
              <w:rPr>
                <w:rFonts w:ascii="Segoe UI" w:hAnsi="Segoe UI"/>
                <w:sz w:val="20"/>
              </w:rPr>
              <w:t>Operational</w:t>
            </w:r>
            <w:r>
              <w:rPr>
                <w:rFonts w:ascii="Segoe UI" w:hAnsi="Segoe UI"/>
                <w:spacing w:val="-4"/>
                <w:sz w:val="20"/>
              </w:rPr>
              <w:t> </w:t>
            </w:r>
            <w:r>
              <w:rPr>
                <w:rFonts w:ascii="Segoe UI" w:hAnsi="Segoe UI"/>
                <w:sz w:val="20"/>
              </w:rPr>
              <w:t>leads</w:t>
            </w:r>
            <w:r>
              <w:rPr>
                <w:rFonts w:ascii="Segoe UI" w:hAnsi="Segoe UI"/>
                <w:spacing w:val="-1"/>
                <w:sz w:val="20"/>
              </w:rPr>
              <w:t> </w:t>
            </w:r>
            <w:r>
              <w:rPr>
                <w:rFonts w:ascii="Segoe UI" w:hAnsi="Segoe UI"/>
                <w:sz w:val="20"/>
              </w:rPr>
              <w:t>–</w:t>
            </w:r>
            <w:r>
              <w:rPr>
                <w:rFonts w:ascii="Segoe UI" w:hAnsi="Segoe UI"/>
                <w:spacing w:val="-5"/>
                <w:sz w:val="20"/>
              </w:rPr>
              <w:t> </w:t>
            </w:r>
            <w:r>
              <w:rPr>
                <w:rFonts w:ascii="Segoe UI" w:hAnsi="Segoe UI"/>
                <w:sz w:val="20"/>
              </w:rPr>
              <w:t>leading</w:t>
            </w:r>
            <w:r>
              <w:rPr>
                <w:rFonts w:ascii="Segoe UI" w:hAnsi="Segoe UI"/>
                <w:spacing w:val="-3"/>
                <w:sz w:val="20"/>
              </w:rPr>
              <w:t> </w:t>
            </w:r>
            <w:r>
              <w:rPr>
                <w:rFonts w:ascii="Segoe UI" w:hAnsi="Segoe UI"/>
                <w:sz w:val="20"/>
              </w:rPr>
              <w:t>change</w:t>
            </w:r>
            <w:r>
              <w:rPr>
                <w:rFonts w:ascii="Segoe UI" w:hAnsi="Segoe UI"/>
                <w:spacing w:val="-10"/>
                <w:sz w:val="20"/>
              </w:rPr>
              <w:t> </w:t>
            </w:r>
            <w:r>
              <w:rPr>
                <w:rFonts w:ascii="Segoe UI" w:hAnsi="Segoe UI"/>
                <w:sz w:val="20"/>
              </w:rPr>
              <w:t>to digital arrangements, planning and delivery</w:t>
            </w:r>
          </w:p>
        </w:tc>
      </w:tr>
      <w:tr>
        <w:trPr>
          <w:trHeight w:val="3190" w:hRule="atLeast"/>
        </w:trPr>
        <w:tc>
          <w:tcPr>
            <w:tcW w:w="2551" w:type="dxa"/>
          </w:tcPr>
          <w:p>
            <w:pPr>
              <w:pStyle w:val="TableParagraph"/>
              <w:ind w:left="105" w:right="416"/>
              <w:rPr>
                <w:rFonts w:ascii="Segoe UI"/>
                <w:sz w:val="20"/>
              </w:rPr>
            </w:pPr>
            <w:r>
              <w:rPr>
                <w:rFonts w:ascii="Segoe UI"/>
                <w:sz w:val="20"/>
              </w:rPr>
              <w:t>Assistant</w:t>
            </w:r>
            <w:r>
              <w:rPr>
                <w:rFonts w:ascii="Segoe UI"/>
                <w:spacing w:val="-14"/>
                <w:sz w:val="20"/>
              </w:rPr>
              <w:t> </w:t>
            </w:r>
            <w:r>
              <w:rPr>
                <w:rFonts w:ascii="Segoe UI"/>
                <w:sz w:val="20"/>
              </w:rPr>
              <w:t>Director</w:t>
            </w:r>
            <w:r>
              <w:rPr>
                <w:rFonts w:ascii="Segoe UI"/>
                <w:spacing w:val="-14"/>
                <w:sz w:val="20"/>
              </w:rPr>
              <w:t> </w:t>
            </w:r>
            <w:r>
              <w:rPr>
                <w:rFonts w:ascii="Segoe UI"/>
                <w:sz w:val="20"/>
              </w:rPr>
              <w:t>of People Planning Project Managers - Workforce Planning Project Managers - Workforce Planning</w:t>
            </w:r>
          </w:p>
          <w:p>
            <w:pPr>
              <w:pStyle w:val="TableParagraph"/>
              <w:ind w:left="105"/>
              <w:rPr>
                <w:rFonts w:ascii="Segoe UI"/>
                <w:sz w:val="20"/>
              </w:rPr>
            </w:pPr>
            <w:r>
              <w:rPr>
                <w:rFonts w:ascii="Segoe UI"/>
                <w:sz w:val="20"/>
              </w:rPr>
              <w:t>Senior</w:t>
            </w:r>
            <w:r>
              <w:rPr>
                <w:rFonts w:ascii="Segoe UI"/>
                <w:spacing w:val="-13"/>
                <w:sz w:val="20"/>
              </w:rPr>
              <w:t> </w:t>
            </w:r>
            <w:r>
              <w:rPr>
                <w:rFonts w:ascii="Segoe UI"/>
                <w:sz w:val="20"/>
              </w:rPr>
              <w:t>Planning</w:t>
            </w:r>
            <w:r>
              <w:rPr>
                <w:rFonts w:ascii="Segoe UI"/>
                <w:spacing w:val="-11"/>
                <w:sz w:val="20"/>
              </w:rPr>
              <w:t> </w:t>
            </w:r>
            <w:r>
              <w:rPr>
                <w:rFonts w:ascii="Segoe UI"/>
                <w:sz w:val="20"/>
              </w:rPr>
              <w:t>and</w:t>
            </w:r>
            <w:r>
              <w:rPr>
                <w:rFonts w:ascii="Segoe UI"/>
                <w:spacing w:val="-11"/>
                <w:sz w:val="20"/>
              </w:rPr>
              <w:t> </w:t>
            </w:r>
            <w:r>
              <w:rPr>
                <w:rFonts w:ascii="Segoe UI"/>
                <w:sz w:val="20"/>
              </w:rPr>
              <w:t>OD </w:t>
            </w:r>
            <w:r>
              <w:rPr>
                <w:rFonts w:ascii="Segoe UI"/>
                <w:spacing w:val="-2"/>
                <w:sz w:val="20"/>
              </w:rPr>
              <w:t>Manager</w:t>
            </w:r>
          </w:p>
        </w:tc>
        <w:tc>
          <w:tcPr>
            <w:tcW w:w="1986" w:type="dxa"/>
          </w:tcPr>
          <w:p>
            <w:pPr>
              <w:pStyle w:val="TableParagraph"/>
              <w:ind w:left="110" w:right="360"/>
              <w:rPr>
                <w:rFonts w:ascii="Segoe UI"/>
                <w:sz w:val="20"/>
              </w:rPr>
            </w:pPr>
            <w:r>
              <w:rPr>
                <w:rFonts w:ascii="Segoe UI"/>
                <w:sz w:val="20"/>
              </w:rPr>
              <w:t>Hywel Dda University</w:t>
            </w:r>
            <w:r>
              <w:rPr>
                <w:rFonts w:ascii="Segoe UI"/>
                <w:spacing w:val="-14"/>
                <w:sz w:val="20"/>
              </w:rPr>
              <w:t> </w:t>
            </w:r>
            <w:r>
              <w:rPr>
                <w:rFonts w:ascii="Segoe UI"/>
                <w:sz w:val="20"/>
              </w:rPr>
              <w:t>Health </w:t>
            </w:r>
            <w:r>
              <w:rPr>
                <w:rFonts w:ascii="Segoe UI"/>
                <w:spacing w:val="-4"/>
                <w:sz w:val="20"/>
              </w:rPr>
              <w:t>Board</w:t>
            </w:r>
          </w:p>
          <w:p>
            <w:pPr>
              <w:pStyle w:val="TableParagraph"/>
              <w:spacing w:line="242" w:lineRule="auto"/>
              <w:ind w:left="110" w:right="360"/>
              <w:rPr>
                <w:rFonts w:ascii="Segoe UI"/>
                <w:sz w:val="20"/>
              </w:rPr>
            </w:pPr>
            <w:r>
              <w:rPr>
                <w:rFonts w:ascii="Segoe UI"/>
                <w:sz w:val="20"/>
              </w:rPr>
              <w:t>Hywel Dda University</w:t>
            </w:r>
            <w:r>
              <w:rPr>
                <w:rFonts w:ascii="Segoe UI"/>
                <w:spacing w:val="-14"/>
                <w:sz w:val="20"/>
              </w:rPr>
              <w:t> </w:t>
            </w:r>
            <w:r>
              <w:rPr>
                <w:rFonts w:ascii="Segoe UI"/>
                <w:sz w:val="20"/>
              </w:rPr>
              <w:t>Health </w:t>
            </w:r>
            <w:r>
              <w:rPr>
                <w:rFonts w:ascii="Segoe UI"/>
                <w:spacing w:val="-4"/>
                <w:sz w:val="20"/>
              </w:rPr>
              <w:t>Board</w:t>
            </w:r>
          </w:p>
          <w:p>
            <w:pPr>
              <w:pStyle w:val="TableParagraph"/>
              <w:ind w:left="110" w:right="360"/>
              <w:rPr>
                <w:rFonts w:ascii="Segoe UI"/>
                <w:sz w:val="20"/>
              </w:rPr>
            </w:pPr>
            <w:r>
              <w:rPr>
                <w:rFonts w:ascii="Segoe UI"/>
                <w:sz w:val="20"/>
              </w:rPr>
              <w:t>Hywel Dda University</w:t>
            </w:r>
            <w:r>
              <w:rPr>
                <w:rFonts w:ascii="Segoe UI"/>
                <w:spacing w:val="-14"/>
                <w:sz w:val="20"/>
              </w:rPr>
              <w:t> </w:t>
            </w:r>
            <w:r>
              <w:rPr>
                <w:rFonts w:ascii="Segoe UI"/>
                <w:sz w:val="20"/>
              </w:rPr>
              <w:t>Health </w:t>
            </w:r>
            <w:r>
              <w:rPr>
                <w:rFonts w:ascii="Segoe UI"/>
                <w:spacing w:val="-4"/>
                <w:sz w:val="20"/>
              </w:rPr>
              <w:t>Board</w:t>
            </w:r>
          </w:p>
          <w:p>
            <w:pPr>
              <w:pStyle w:val="TableParagraph"/>
              <w:spacing w:line="266" w:lineRule="exact"/>
              <w:ind w:left="110" w:right="360"/>
              <w:rPr>
                <w:rFonts w:ascii="Segoe UI"/>
                <w:sz w:val="20"/>
              </w:rPr>
            </w:pPr>
            <w:r>
              <w:rPr>
                <w:rFonts w:ascii="Segoe UI"/>
                <w:sz w:val="20"/>
              </w:rPr>
              <w:t>Swansea Bay University</w:t>
            </w:r>
            <w:r>
              <w:rPr>
                <w:rFonts w:ascii="Segoe UI"/>
                <w:spacing w:val="-14"/>
                <w:sz w:val="20"/>
              </w:rPr>
              <w:t> </w:t>
            </w:r>
            <w:r>
              <w:rPr>
                <w:rFonts w:ascii="Segoe UI"/>
                <w:sz w:val="20"/>
              </w:rPr>
              <w:t>Health </w:t>
            </w:r>
            <w:r>
              <w:rPr>
                <w:rFonts w:ascii="Segoe UI"/>
                <w:spacing w:val="-4"/>
                <w:sz w:val="20"/>
              </w:rPr>
              <w:t>Board</w:t>
            </w:r>
          </w:p>
        </w:tc>
        <w:tc>
          <w:tcPr>
            <w:tcW w:w="1701" w:type="dxa"/>
          </w:tcPr>
          <w:p>
            <w:pPr>
              <w:pStyle w:val="TableParagraph"/>
              <w:ind w:left="109" w:right="107"/>
              <w:rPr>
                <w:rFonts w:ascii="Segoe UI"/>
                <w:sz w:val="20"/>
              </w:rPr>
            </w:pPr>
            <w:r>
              <w:rPr>
                <w:rFonts w:ascii="Segoe UI"/>
                <w:sz w:val="20"/>
              </w:rPr>
              <w:t>Tracey</w:t>
            </w:r>
            <w:r>
              <w:rPr>
                <w:rFonts w:ascii="Segoe UI"/>
                <w:spacing w:val="-14"/>
                <w:sz w:val="20"/>
              </w:rPr>
              <w:t> </w:t>
            </w:r>
            <w:r>
              <w:rPr>
                <w:rFonts w:ascii="Segoe UI"/>
                <w:sz w:val="20"/>
              </w:rPr>
              <w:t>Walmsley Wendy Davies Daniel Owen Mark Turp</w:t>
            </w:r>
          </w:p>
        </w:tc>
        <w:tc>
          <w:tcPr>
            <w:tcW w:w="5393" w:type="dxa"/>
          </w:tcPr>
          <w:p>
            <w:pPr>
              <w:pStyle w:val="TableParagraph"/>
              <w:spacing w:line="265" w:lineRule="exact"/>
              <w:ind w:left="109"/>
              <w:rPr>
                <w:rFonts w:ascii="Segoe UI"/>
                <w:sz w:val="20"/>
              </w:rPr>
            </w:pPr>
            <w:r>
              <w:rPr>
                <w:rFonts w:ascii="Segoe UI"/>
                <w:sz w:val="20"/>
              </w:rPr>
              <w:t>Workforce</w:t>
            </w:r>
            <w:r>
              <w:rPr>
                <w:rFonts w:ascii="Segoe UI"/>
                <w:spacing w:val="-3"/>
                <w:sz w:val="20"/>
              </w:rPr>
              <w:t> </w:t>
            </w:r>
            <w:r>
              <w:rPr>
                <w:rFonts w:ascii="Segoe UI"/>
                <w:sz w:val="20"/>
              </w:rPr>
              <w:t>and</w:t>
            </w:r>
            <w:r>
              <w:rPr>
                <w:rFonts w:ascii="Segoe UI"/>
                <w:spacing w:val="-1"/>
                <w:sz w:val="20"/>
              </w:rPr>
              <w:t> </w:t>
            </w:r>
            <w:r>
              <w:rPr>
                <w:rFonts w:ascii="Segoe UI"/>
                <w:sz w:val="20"/>
              </w:rPr>
              <w:t>OD</w:t>
            </w:r>
            <w:r>
              <w:rPr>
                <w:rFonts w:ascii="Segoe UI"/>
                <w:spacing w:val="-3"/>
                <w:sz w:val="20"/>
              </w:rPr>
              <w:t> </w:t>
            </w:r>
            <w:r>
              <w:rPr>
                <w:rFonts w:ascii="Segoe UI"/>
                <w:sz w:val="20"/>
              </w:rPr>
              <w:t>workstream</w:t>
            </w:r>
            <w:r>
              <w:rPr>
                <w:rFonts w:ascii="Segoe UI"/>
                <w:spacing w:val="-5"/>
                <w:sz w:val="20"/>
              </w:rPr>
              <w:t> </w:t>
            </w:r>
            <w:r>
              <w:rPr>
                <w:rFonts w:ascii="Segoe UI"/>
                <w:spacing w:val="-4"/>
                <w:sz w:val="20"/>
              </w:rPr>
              <w:t>leads</w:t>
            </w:r>
          </w:p>
        </w:tc>
      </w:tr>
      <w:tr>
        <w:trPr>
          <w:trHeight w:val="3187" w:hRule="atLeast"/>
        </w:trPr>
        <w:tc>
          <w:tcPr>
            <w:tcW w:w="2551" w:type="dxa"/>
          </w:tcPr>
          <w:p>
            <w:pPr>
              <w:pStyle w:val="TableParagraph"/>
              <w:spacing w:line="256" w:lineRule="exact"/>
              <w:ind w:left="105"/>
              <w:rPr>
                <w:rFonts w:ascii="Segoe UI"/>
                <w:sz w:val="20"/>
              </w:rPr>
            </w:pPr>
            <w:r>
              <w:rPr>
                <w:rFonts w:ascii="Segoe UI"/>
                <w:sz w:val="20"/>
              </w:rPr>
              <w:t>Modelling and</w:t>
            </w:r>
            <w:r>
              <w:rPr>
                <w:rFonts w:ascii="Segoe UI"/>
                <w:spacing w:val="-4"/>
                <w:sz w:val="20"/>
              </w:rPr>
              <w:t> </w:t>
            </w:r>
            <w:r>
              <w:rPr>
                <w:rFonts w:ascii="Segoe UI"/>
                <w:spacing w:val="-2"/>
                <w:sz w:val="20"/>
              </w:rPr>
              <w:t>Analysis</w:t>
            </w:r>
          </w:p>
        </w:tc>
        <w:tc>
          <w:tcPr>
            <w:tcW w:w="1986" w:type="dxa"/>
          </w:tcPr>
          <w:p>
            <w:pPr>
              <w:pStyle w:val="TableParagraph"/>
              <w:spacing w:line="242" w:lineRule="auto"/>
              <w:ind w:left="110" w:right="360"/>
              <w:rPr>
                <w:rFonts w:ascii="Segoe UI"/>
                <w:sz w:val="20"/>
              </w:rPr>
            </w:pPr>
            <w:r>
              <w:rPr>
                <w:rFonts w:ascii="Segoe UI"/>
                <w:sz w:val="20"/>
              </w:rPr>
              <w:t>Hywel Dda University</w:t>
            </w:r>
            <w:r>
              <w:rPr>
                <w:rFonts w:ascii="Segoe UI"/>
                <w:spacing w:val="-14"/>
                <w:sz w:val="20"/>
              </w:rPr>
              <w:t> </w:t>
            </w:r>
            <w:r>
              <w:rPr>
                <w:rFonts w:ascii="Segoe UI"/>
                <w:sz w:val="20"/>
              </w:rPr>
              <w:t>Health </w:t>
            </w:r>
            <w:r>
              <w:rPr>
                <w:rFonts w:ascii="Segoe UI"/>
                <w:spacing w:val="-4"/>
                <w:sz w:val="20"/>
              </w:rPr>
              <w:t>Board</w:t>
            </w:r>
          </w:p>
          <w:p>
            <w:pPr>
              <w:pStyle w:val="TableParagraph"/>
              <w:ind w:left="110" w:right="360"/>
              <w:rPr>
                <w:rFonts w:ascii="Segoe UI"/>
                <w:sz w:val="20"/>
              </w:rPr>
            </w:pPr>
            <w:r>
              <w:rPr>
                <w:rFonts w:ascii="Segoe UI"/>
                <w:sz w:val="20"/>
              </w:rPr>
              <w:t>Hywel Dda University</w:t>
            </w:r>
            <w:r>
              <w:rPr>
                <w:rFonts w:ascii="Segoe UI"/>
                <w:spacing w:val="-14"/>
                <w:sz w:val="20"/>
              </w:rPr>
              <w:t> </w:t>
            </w:r>
            <w:r>
              <w:rPr>
                <w:rFonts w:ascii="Segoe UI"/>
                <w:sz w:val="20"/>
              </w:rPr>
              <w:t>Health </w:t>
            </w:r>
            <w:r>
              <w:rPr>
                <w:rFonts w:ascii="Segoe UI"/>
                <w:spacing w:val="-4"/>
                <w:sz w:val="20"/>
              </w:rPr>
              <w:t>Board</w:t>
            </w:r>
          </w:p>
          <w:p>
            <w:pPr>
              <w:pStyle w:val="TableParagraph"/>
              <w:ind w:left="110" w:right="360"/>
              <w:rPr>
                <w:rFonts w:ascii="Segoe UI"/>
                <w:sz w:val="20"/>
              </w:rPr>
            </w:pPr>
            <w:r>
              <w:rPr>
                <w:rFonts w:ascii="Segoe UI"/>
                <w:sz w:val="20"/>
              </w:rPr>
              <w:t>Swansea Bay University</w:t>
            </w:r>
            <w:r>
              <w:rPr>
                <w:rFonts w:ascii="Segoe UI"/>
                <w:spacing w:val="-14"/>
                <w:sz w:val="20"/>
              </w:rPr>
              <w:t> </w:t>
            </w:r>
            <w:r>
              <w:rPr>
                <w:rFonts w:ascii="Segoe UI"/>
                <w:sz w:val="20"/>
              </w:rPr>
              <w:t>Health </w:t>
            </w:r>
            <w:r>
              <w:rPr>
                <w:rFonts w:ascii="Segoe UI"/>
                <w:spacing w:val="-4"/>
                <w:sz w:val="20"/>
              </w:rPr>
              <w:t>Board</w:t>
            </w:r>
          </w:p>
          <w:p>
            <w:pPr>
              <w:pStyle w:val="TableParagraph"/>
              <w:ind w:left="110" w:right="360"/>
              <w:rPr>
                <w:rFonts w:ascii="Segoe UI"/>
                <w:sz w:val="20"/>
              </w:rPr>
            </w:pPr>
            <w:r>
              <w:rPr>
                <w:rFonts w:ascii="Segoe UI"/>
                <w:sz w:val="20"/>
              </w:rPr>
              <w:t>Swansea Bay University</w:t>
            </w:r>
            <w:r>
              <w:rPr>
                <w:rFonts w:ascii="Segoe UI"/>
                <w:spacing w:val="-14"/>
                <w:sz w:val="20"/>
              </w:rPr>
              <w:t> </w:t>
            </w:r>
            <w:r>
              <w:rPr>
                <w:rFonts w:ascii="Segoe UI"/>
                <w:sz w:val="20"/>
              </w:rPr>
              <w:t>Health</w:t>
            </w:r>
          </w:p>
          <w:p>
            <w:pPr>
              <w:pStyle w:val="TableParagraph"/>
              <w:spacing w:line="246" w:lineRule="exact"/>
              <w:ind w:left="110"/>
              <w:rPr>
                <w:rFonts w:ascii="Segoe UI"/>
                <w:sz w:val="20"/>
              </w:rPr>
            </w:pPr>
            <w:r>
              <w:rPr>
                <w:rFonts w:ascii="Segoe UI"/>
                <w:spacing w:val="-4"/>
                <w:sz w:val="20"/>
              </w:rPr>
              <w:t>Board</w:t>
            </w:r>
          </w:p>
        </w:tc>
        <w:tc>
          <w:tcPr>
            <w:tcW w:w="1701" w:type="dxa"/>
          </w:tcPr>
          <w:p>
            <w:pPr>
              <w:pStyle w:val="TableParagraph"/>
              <w:spacing w:line="242" w:lineRule="auto"/>
              <w:ind w:left="109" w:right="267"/>
              <w:rPr>
                <w:rFonts w:ascii="Segoe UI"/>
                <w:sz w:val="20"/>
              </w:rPr>
            </w:pPr>
            <w:r>
              <w:rPr>
                <w:rFonts w:ascii="Segoe UI"/>
                <w:sz w:val="20"/>
              </w:rPr>
              <w:t>Gareth</w:t>
            </w:r>
            <w:r>
              <w:rPr>
                <w:rFonts w:ascii="Segoe UI"/>
                <w:spacing w:val="-14"/>
                <w:sz w:val="20"/>
              </w:rPr>
              <w:t> </w:t>
            </w:r>
            <w:r>
              <w:rPr>
                <w:rFonts w:ascii="Segoe UI"/>
                <w:sz w:val="20"/>
              </w:rPr>
              <w:t>Beynon Gareth</w:t>
            </w:r>
            <w:r>
              <w:rPr>
                <w:rFonts w:ascii="Segoe UI"/>
                <w:spacing w:val="-4"/>
                <w:sz w:val="20"/>
              </w:rPr>
              <w:t> </w:t>
            </w:r>
            <w:r>
              <w:rPr>
                <w:rFonts w:ascii="Segoe UI"/>
                <w:spacing w:val="-2"/>
                <w:sz w:val="20"/>
              </w:rPr>
              <w:t>Jenkins</w:t>
            </w:r>
          </w:p>
          <w:p>
            <w:pPr>
              <w:pStyle w:val="TableParagraph"/>
              <w:spacing w:line="384" w:lineRule="auto" w:before="148"/>
              <w:ind w:left="109" w:right="224"/>
              <w:rPr>
                <w:rFonts w:ascii="Segoe UI"/>
                <w:sz w:val="20"/>
              </w:rPr>
            </w:pPr>
            <w:r>
              <w:rPr>
                <w:rFonts w:ascii="Segoe UI"/>
                <w:sz w:val="20"/>
              </w:rPr>
              <w:t>Andrew</w:t>
            </w:r>
            <w:r>
              <w:rPr>
                <w:rFonts w:ascii="Segoe UI"/>
                <w:spacing w:val="-14"/>
                <w:sz w:val="20"/>
              </w:rPr>
              <w:t> </w:t>
            </w:r>
            <w:r>
              <w:rPr>
                <w:rFonts w:ascii="Segoe UI"/>
                <w:sz w:val="20"/>
              </w:rPr>
              <w:t>Nelson Lee Talbot</w:t>
            </w:r>
          </w:p>
        </w:tc>
        <w:tc>
          <w:tcPr>
            <w:tcW w:w="5393" w:type="dxa"/>
          </w:tcPr>
          <w:p>
            <w:pPr>
              <w:pStyle w:val="TableParagraph"/>
              <w:spacing w:line="256" w:lineRule="exact"/>
              <w:ind w:left="109"/>
              <w:rPr>
                <w:rFonts w:ascii="Segoe UI"/>
                <w:sz w:val="20"/>
              </w:rPr>
            </w:pPr>
            <w:r>
              <w:rPr>
                <w:rFonts w:ascii="Segoe UI"/>
                <w:sz w:val="20"/>
              </w:rPr>
              <w:t>Modelling and</w:t>
            </w:r>
            <w:r>
              <w:rPr>
                <w:rFonts w:ascii="Segoe UI"/>
                <w:spacing w:val="-5"/>
                <w:sz w:val="20"/>
              </w:rPr>
              <w:t> </w:t>
            </w:r>
            <w:r>
              <w:rPr>
                <w:rFonts w:ascii="Segoe UI"/>
                <w:sz w:val="20"/>
              </w:rPr>
              <w:t>Analysis</w:t>
            </w:r>
            <w:r>
              <w:rPr>
                <w:rFonts w:ascii="Segoe UI"/>
                <w:spacing w:val="-2"/>
                <w:sz w:val="20"/>
              </w:rPr>
              <w:t> workstreams</w:t>
            </w:r>
          </w:p>
        </w:tc>
      </w:tr>
      <w:tr>
        <w:trPr>
          <w:trHeight w:val="795" w:hRule="atLeast"/>
        </w:trPr>
        <w:tc>
          <w:tcPr>
            <w:tcW w:w="2551" w:type="dxa"/>
          </w:tcPr>
          <w:p>
            <w:pPr>
              <w:pStyle w:val="TableParagraph"/>
              <w:spacing w:line="265" w:lineRule="exact"/>
              <w:ind w:left="105"/>
              <w:rPr>
                <w:rFonts w:ascii="Segoe UI"/>
                <w:sz w:val="20"/>
              </w:rPr>
            </w:pPr>
            <w:r>
              <w:rPr>
                <w:rFonts w:ascii="Segoe UI"/>
                <w:sz w:val="20"/>
              </w:rPr>
              <w:t>Equality</w:t>
            </w:r>
            <w:r>
              <w:rPr>
                <w:rFonts w:ascii="Segoe UI"/>
                <w:spacing w:val="1"/>
                <w:sz w:val="20"/>
              </w:rPr>
              <w:t> </w:t>
            </w:r>
            <w:r>
              <w:rPr>
                <w:rFonts w:ascii="Segoe UI"/>
                <w:spacing w:val="-2"/>
                <w:sz w:val="20"/>
              </w:rPr>
              <w:t>Leads</w:t>
            </w:r>
          </w:p>
        </w:tc>
        <w:tc>
          <w:tcPr>
            <w:tcW w:w="1986" w:type="dxa"/>
          </w:tcPr>
          <w:p>
            <w:pPr>
              <w:pStyle w:val="TableParagraph"/>
              <w:rPr>
                <w:rFonts w:ascii="Times New Roman"/>
                <w:sz w:val="18"/>
              </w:rPr>
            </w:pPr>
          </w:p>
        </w:tc>
        <w:tc>
          <w:tcPr>
            <w:tcW w:w="1701" w:type="dxa"/>
          </w:tcPr>
          <w:p>
            <w:pPr>
              <w:pStyle w:val="TableParagraph"/>
              <w:rPr>
                <w:rFonts w:ascii="Times New Roman"/>
                <w:sz w:val="18"/>
              </w:rPr>
            </w:pPr>
          </w:p>
        </w:tc>
        <w:tc>
          <w:tcPr>
            <w:tcW w:w="5393" w:type="dxa"/>
          </w:tcPr>
          <w:p>
            <w:pPr>
              <w:pStyle w:val="TableParagraph"/>
              <w:ind w:left="109" w:right="111"/>
              <w:rPr>
                <w:rFonts w:ascii="Segoe UI"/>
                <w:sz w:val="20"/>
              </w:rPr>
            </w:pPr>
            <w:r>
              <w:rPr>
                <w:rFonts w:ascii="Segoe UI"/>
                <w:sz w:val="20"/>
              </w:rPr>
              <w:t>Coordination</w:t>
            </w:r>
            <w:r>
              <w:rPr>
                <w:rFonts w:ascii="Segoe UI"/>
                <w:spacing w:val="-6"/>
                <w:sz w:val="20"/>
              </w:rPr>
              <w:t> </w:t>
            </w:r>
            <w:r>
              <w:rPr>
                <w:rFonts w:ascii="Segoe UI"/>
                <w:sz w:val="20"/>
              </w:rPr>
              <w:t>of</w:t>
            </w:r>
            <w:r>
              <w:rPr>
                <w:rFonts w:ascii="Segoe UI"/>
                <w:spacing w:val="-5"/>
                <w:sz w:val="20"/>
              </w:rPr>
              <w:t> </w:t>
            </w:r>
            <w:r>
              <w:rPr>
                <w:rFonts w:ascii="Segoe UI"/>
                <w:sz w:val="20"/>
              </w:rPr>
              <w:t>actions</w:t>
            </w:r>
            <w:r>
              <w:rPr>
                <w:rFonts w:ascii="Segoe UI"/>
                <w:spacing w:val="-8"/>
                <w:sz w:val="20"/>
              </w:rPr>
              <w:t> </w:t>
            </w:r>
            <w:r>
              <w:rPr>
                <w:rFonts w:ascii="Segoe UI"/>
                <w:sz w:val="20"/>
              </w:rPr>
              <w:t>relating</w:t>
            </w:r>
            <w:r>
              <w:rPr>
                <w:rFonts w:ascii="Segoe UI"/>
                <w:spacing w:val="-5"/>
                <w:sz w:val="20"/>
              </w:rPr>
              <w:t> </w:t>
            </w:r>
            <w:r>
              <w:rPr>
                <w:rFonts w:ascii="Segoe UI"/>
                <w:sz w:val="20"/>
              </w:rPr>
              <w:t>to</w:t>
            </w:r>
            <w:r>
              <w:rPr>
                <w:rFonts w:ascii="Segoe UI"/>
                <w:spacing w:val="-9"/>
                <w:sz w:val="20"/>
              </w:rPr>
              <w:t> </w:t>
            </w:r>
            <w:r>
              <w:rPr>
                <w:rFonts w:ascii="Segoe UI"/>
                <w:sz w:val="20"/>
              </w:rPr>
              <w:t>language,</w:t>
            </w:r>
            <w:r>
              <w:rPr>
                <w:rFonts w:ascii="Segoe UI"/>
                <w:spacing w:val="-9"/>
                <w:sz w:val="20"/>
              </w:rPr>
              <w:t> </w:t>
            </w:r>
            <w:r>
              <w:rPr>
                <w:rFonts w:ascii="Segoe UI"/>
                <w:sz w:val="20"/>
              </w:rPr>
              <w:t>culture, transport,</w:t>
            </w:r>
            <w:r>
              <w:rPr>
                <w:rFonts w:ascii="Segoe UI"/>
                <w:spacing w:val="-1"/>
                <w:sz w:val="20"/>
              </w:rPr>
              <w:t> </w:t>
            </w:r>
            <w:r>
              <w:rPr>
                <w:rFonts w:ascii="Segoe UI"/>
                <w:sz w:val="20"/>
              </w:rPr>
              <w:t>digital</w:t>
            </w:r>
            <w:r>
              <w:rPr>
                <w:rFonts w:ascii="Segoe UI"/>
                <w:spacing w:val="-1"/>
                <w:sz w:val="20"/>
              </w:rPr>
              <w:t> </w:t>
            </w:r>
            <w:r>
              <w:rPr>
                <w:rFonts w:ascii="Segoe UI"/>
                <w:sz w:val="20"/>
              </w:rPr>
              <w:t>inclusion, disability and geographic</w:t>
            </w:r>
          </w:p>
          <w:p>
            <w:pPr>
              <w:pStyle w:val="TableParagraph"/>
              <w:spacing w:line="244" w:lineRule="exact"/>
              <w:ind w:left="109"/>
              <w:rPr>
                <w:rFonts w:ascii="Segoe UI"/>
                <w:sz w:val="20"/>
              </w:rPr>
            </w:pPr>
            <w:r>
              <w:rPr>
                <w:rFonts w:ascii="Segoe UI"/>
                <w:spacing w:val="-2"/>
                <w:sz w:val="20"/>
              </w:rPr>
              <w:t>access</w:t>
            </w:r>
          </w:p>
        </w:tc>
      </w:tr>
      <w:tr>
        <w:trPr>
          <w:trHeight w:val="534" w:hRule="atLeast"/>
        </w:trPr>
        <w:tc>
          <w:tcPr>
            <w:tcW w:w="2551" w:type="dxa"/>
          </w:tcPr>
          <w:p>
            <w:pPr>
              <w:pStyle w:val="TableParagraph"/>
              <w:spacing w:line="265" w:lineRule="exact"/>
              <w:ind w:left="105"/>
              <w:rPr>
                <w:rFonts w:ascii="Segoe UI"/>
                <w:sz w:val="20"/>
              </w:rPr>
            </w:pPr>
            <w:r>
              <w:rPr>
                <w:rFonts w:ascii="Segoe UI"/>
                <w:sz w:val="20"/>
              </w:rPr>
              <w:t>Patient</w:t>
            </w:r>
            <w:r>
              <w:rPr>
                <w:rFonts w:ascii="Segoe UI"/>
                <w:spacing w:val="-2"/>
                <w:sz w:val="20"/>
              </w:rPr>
              <w:t> </w:t>
            </w:r>
            <w:r>
              <w:rPr>
                <w:rFonts w:ascii="Segoe UI"/>
                <w:sz w:val="20"/>
              </w:rPr>
              <w:t>Experience</w:t>
            </w:r>
            <w:r>
              <w:rPr>
                <w:rFonts w:ascii="Segoe UI"/>
                <w:spacing w:val="-5"/>
                <w:sz w:val="20"/>
              </w:rPr>
              <w:t> </w:t>
            </w:r>
            <w:r>
              <w:rPr>
                <w:rFonts w:ascii="Segoe UI"/>
                <w:spacing w:val="-4"/>
                <w:sz w:val="20"/>
              </w:rPr>
              <w:t>Leads</w:t>
            </w:r>
          </w:p>
        </w:tc>
        <w:tc>
          <w:tcPr>
            <w:tcW w:w="1986" w:type="dxa"/>
          </w:tcPr>
          <w:p>
            <w:pPr>
              <w:pStyle w:val="TableParagraph"/>
              <w:rPr>
                <w:rFonts w:ascii="Times New Roman"/>
                <w:sz w:val="18"/>
              </w:rPr>
            </w:pPr>
          </w:p>
        </w:tc>
        <w:tc>
          <w:tcPr>
            <w:tcW w:w="1701" w:type="dxa"/>
          </w:tcPr>
          <w:p>
            <w:pPr>
              <w:pStyle w:val="TableParagraph"/>
              <w:rPr>
                <w:rFonts w:ascii="Times New Roman"/>
                <w:sz w:val="18"/>
              </w:rPr>
            </w:pPr>
          </w:p>
        </w:tc>
        <w:tc>
          <w:tcPr>
            <w:tcW w:w="5393" w:type="dxa"/>
          </w:tcPr>
          <w:p>
            <w:pPr>
              <w:pStyle w:val="TableParagraph"/>
              <w:spacing w:line="265" w:lineRule="exact"/>
              <w:ind w:left="109"/>
              <w:rPr>
                <w:rFonts w:ascii="Segoe UI"/>
                <w:sz w:val="20"/>
              </w:rPr>
            </w:pPr>
            <w:r>
              <w:rPr>
                <w:rFonts w:ascii="Segoe UI"/>
                <w:sz w:val="20"/>
              </w:rPr>
              <w:t>Patient</w:t>
            </w:r>
            <w:r>
              <w:rPr>
                <w:rFonts w:ascii="Segoe UI"/>
                <w:spacing w:val="-4"/>
                <w:sz w:val="20"/>
              </w:rPr>
              <w:t> </w:t>
            </w:r>
            <w:r>
              <w:rPr>
                <w:rFonts w:ascii="Segoe UI"/>
                <w:sz w:val="20"/>
              </w:rPr>
              <w:t>and</w:t>
            </w:r>
            <w:r>
              <w:rPr>
                <w:rFonts w:ascii="Segoe UI"/>
                <w:spacing w:val="-1"/>
                <w:sz w:val="20"/>
              </w:rPr>
              <w:t> </w:t>
            </w:r>
            <w:r>
              <w:rPr>
                <w:rFonts w:ascii="Segoe UI"/>
                <w:sz w:val="20"/>
              </w:rPr>
              <w:t>stakeholder</w:t>
            </w:r>
            <w:r>
              <w:rPr>
                <w:rFonts w:ascii="Segoe UI"/>
                <w:spacing w:val="-4"/>
                <w:sz w:val="20"/>
              </w:rPr>
              <w:t> </w:t>
            </w:r>
            <w:r>
              <w:rPr>
                <w:rFonts w:ascii="Segoe UI"/>
                <w:sz w:val="20"/>
              </w:rPr>
              <w:t>engagement,</w:t>
            </w:r>
            <w:r>
              <w:rPr>
                <w:rFonts w:ascii="Segoe UI"/>
                <w:spacing w:val="-7"/>
                <w:sz w:val="20"/>
              </w:rPr>
              <w:t> </w:t>
            </w:r>
            <w:r>
              <w:rPr>
                <w:rFonts w:ascii="Segoe UI"/>
                <w:sz w:val="20"/>
              </w:rPr>
              <w:t>development</w:t>
            </w:r>
            <w:r>
              <w:rPr>
                <w:rFonts w:ascii="Segoe UI"/>
                <w:spacing w:val="-1"/>
                <w:sz w:val="20"/>
              </w:rPr>
              <w:t> </w:t>
            </w:r>
            <w:r>
              <w:rPr>
                <w:rFonts w:ascii="Segoe UI"/>
                <w:spacing w:val="-5"/>
                <w:sz w:val="20"/>
              </w:rPr>
              <w:t>of</w:t>
            </w:r>
          </w:p>
          <w:p>
            <w:pPr>
              <w:pStyle w:val="TableParagraph"/>
              <w:spacing w:line="246" w:lineRule="exact" w:before="4"/>
              <w:ind w:left="109"/>
              <w:rPr>
                <w:rFonts w:ascii="Segoe UI"/>
                <w:sz w:val="20"/>
              </w:rPr>
            </w:pPr>
            <w:r>
              <w:rPr>
                <w:rFonts w:ascii="Segoe UI"/>
                <w:sz w:val="20"/>
              </w:rPr>
              <w:t>patient support</w:t>
            </w:r>
            <w:r>
              <w:rPr>
                <w:rFonts w:ascii="Segoe UI"/>
                <w:spacing w:val="-3"/>
                <w:sz w:val="20"/>
              </w:rPr>
              <w:t> </w:t>
            </w:r>
            <w:r>
              <w:rPr>
                <w:rFonts w:ascii="Segoe UI"/>
                <w:spacing w:val="-2"/>
                <w:sz w:val="20"/>
              </w:rPr>
              <w:t>framework</w:t>
            </w:r>
          </w:p>
        </w:tc>
      </w:tr>
      <w:tr>
        <w:trPr>
          <w:trHeight w:val="530" w:hRule="atLeast"/>
        </w:trPr>
        <w:tc>
          <w:tcPr>
            <w:tcW w:w="4537" w:type="dxa"/>
            <w:gridSpan w:val="2"/>
            <w:shd w:val="clear" w:color="auto" w:fill="C1A875"/>
          </w:tcPr>
          <w:p>
            <w:pPr>
              <w:pStyle w:val="TableParagraph"/>
              <w:spacing w:line="266" w:lineRule="exact"/>
              <w:ind w:left="105" w:right="32"/>
              <w:rPr>
                <w:rFonts w:ascii="Segoe UI"/>
                <w:b/>
                <w:sz w:val="20"/>
              </w:rPr>
            </w:pPr>
            <w:r>
              <w:rPr>
                <w:rFonts w:ascii="Segoe UI"/>
                <w:b/>
                <w:sz w:val="20"/>
              </w:rPr>
              <w:t>Invitation</w:t>
            </w:r>
            <w:r>
              <w:rPr>
                <w:rFonts w:ascii="Segoe UI"/>
                <w:b/>
                <w:spacing w:val="-8"/>
                <w:sz w:val="20"/>
              </w:rPr>
              <w:t> </w:t>
            </w:r>
            <w:r>
              <w:rPr>
                <w:rFonts w:ascii="Segoe UI"/>
                <w:b/>
                <w:sz w:val="20"/>
              </w:rPr>
              <w:t>to</w:t>
            </w:r>
            <w:r>
              <w:rPr>
                <w:rFonts w:ascii="Segoe UI"/>
                <w:b/>
                <w:spacing w:val="-10"/>
                <w:sz w:val="20"/>
              </w:rPr>
              <w:t> </w:t>
            </w:r>
            <w:r>
              <w:rPr>
                <w:rFonts w:ascii="Segoe UI"/>
                <w:b/>
                <w:sz w:val="20"/>
              </w:rPr>
              <w:t>attend</w:t>
            </w:r>
            <w:r>
              <w:rPr>
                <w:rFonts w:ascii="Segoe UI"/>
                <w:b/>
                <w:spacing w:val="-7"/>
                <w:sz w:val="20"/>
              </w:rPr>
              <w:t> </w:t>
            </w:r>
            <w:r>
              <w:rPr>
                <w:rFonts w:ascii="Segoe UI"/>
                <w:b/>
                <w:sz w:val="20"/>
              </w:rPr>
              <w:t>to</w:t>
            </w:r>
            <w:r>
              <w:rPr>
                <w:rFonts w:ascii="Segoe UI"/>
                <w:b/>
                <w:spacing w:val="-10"/>
                <w:sz w:val="20"/>
              </w:rPr>
              <w:t> </w:t>
            </w:r>
            <w:r>
              <w:rPr>
                <w:rFonts w:ascii="Segoe UI"/>
                <w:b/>
                <w:sz w:val="20"/>
              </w:rPr>
              <w:t>discuss</w:t>
            </w:r>
            <w:r>
              <w:rPr>
                <w:rFonts w:ascii="Segoe UI"/>
                <w:b/>
                <w:spacing w:val="-7"/>
                <w:sz w:val="20"/>
              </w:rPr>
              <w:t> </w:t>
            </w:r>
            <w:r>
              <w:rPr>
                <w:rFonts w:ascii="Segoe UI"/>
                <w:b/>
                <w:sz w:val="20"/>
              </w:rPr>
              <w:t>work programme areas requiring wider</w:t>
            </w:r>
          </w:p>
        </w:tc>
        <w:tc>
          <w:tcPr>
            <w:tcW w:w="1701" w:type="dxa"/>
            <w:shd w:val="clear" w:color="auto" w:fill="C1A875"/>
          </w:tcPr>
          <w:p>
            <w:pPr>
              <w:pStyle w:val="TableParagraph"/>
              <w:rPr>
                <w:rFonts w:ascii="Times New Roman"/>
                <w:sz w:val="18"/>
              </w:rPr>
            </w:pPr>
          </w:p>
        </w:tc>
        <w:tc>
          <w:tcPr>
            <w:tcW w:w="5393" w:type="dxa"/>
            <w:shd w:val="clear" w:color="auto" w:fill="C1A875"/>
          </w:tcPr>
          <w:p>
            <w:pPr>
              <w:pStyle w:val="TableParagraph"/>
              <w:rPr>
                <w:rFonts w:ascii="Times New Roman"/>
                <w:sz w:val="18"/>
              </w:rPr>
            </w:pPr>
          </w:p>
        </w:tc>
      </w:tr>
    </w:tbl>
    <w:p>
      <w:pPr>
        <w:pStyle w:val="BodyText"/>
        <w:spacing w:before="91"/>
        <w:rPr>
          <w:rFonts w:ascii="Calibri"/>
          <w:sz w:val="16"/>
        </w:rPr>
      </w:pPr>
    </w:p>
    <w:p>
      <w:pPr>
        <w:spacing w:before="0"/>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spacing w:before="78"/>
        <w:ind w:left="0" w:right="873" w:firstLine="0"/>
        <w:jc w:val="right"/>
        <w:rPr>
          <w:rFonts w:ascii="Calibri"/>
          <w:sz w:val="16"/>
        </w:rPr>
      </w:pPr>
      <w:r>
        <w:rPr>
          <w:rFonts w:ascii="Calibri"/>
          <w:sz w:val="16"/>
        </w:rPr>
        <mc:AlternateContent>
          <mc:Choice Requires="wps">
            <w:drawing>
              <wp:anchor distT="0" distB="0" distL="0" distR="0" allowOverlap="1" layoutInCell="1" locked="0" behindDoc="1" simplePos="0" relativeHeight="487635456">
                <wp:simplePos x="0" y="0"/>
                <wp:positionH relativeFrom="page">
                  <wp:posOffset>104775</wp:posOffset>
                </wp:positionH>
                <wp:positionV relativeFrom="paragraph">
                  <wp:posOffset>206756</wp:posOffset>
                </wp:positionV>
                <wp:extent cx="7391400" cy="193675"/>
                <wp:effectExtent l="0" t="0" r="0" b="0"/>
                <wp:wrapTopAndBottom/>
                <wp:docPr id="246" name="Group 246"/>
                <wp:cNvGraphicFramePr>
                  <a:graphicFrameLocks/>
                </wp:cNvGraphicFramePr>
                <a:graphic>
                  <a:graphicData uri="http://schemas.microsoft.com/office/word/2010/wordprocessingGroup">
                    <wpg:wgp>
                      <wpg:cNvPr id="246" name="Group 246"/>
                      <wpg:cNvGrpSpPr/>
                      <wpg:grpSpPr>
                        <a:xfrm>
                          <a:off x="0" y="0"/>
                          <a:ext cx="7391400" cy="193675"/>
                          <a:chExt cx="7391400" cy="193675"/>
                        </a:xfrm>
                      </wpg:grpSpPr>
                      <wps:wsp>
                        <wps:cNvPr id="247" name="Graphic 247"/>
                        <wps:cNvSpPr/>
                        <wps:spPr>
                          <a:xfrm>
                            <a:off x="2887345" y="6349"/>
                            <a:ext cx="4498340" cy="180975"/>
                          </a:xfrm>
                          <a:custGeom>
                            <a:avLst/>
                            <a:gdLst/>
                            <a:ahLst/>
                            <a:cxnLst/>
                            <a:rect l="l" t="t" r="r" b="b"/>
                            <a:pathLst>
                              <a:path w="4498340" h="180975">
                                <a:moveTo>
                                  <a:pt x="1073467" y="0"/>
                                </a:moveTo>
                                <a:lnTo>
                                  <a:pt x="0" y="0"/>
                                </a:lnTo>
                                <a:lnTo>
                                  <a:pt x="0" y="180975"/>
                                </a:lnTo>
                                <a:lnTo>
                                  <a:pt x="1073467" y="180975"/>
                                </a:lnTo>
                                <a:lnTo>
                                  <a:pt x="1073467" y="0"/>
                                </a:lnTo>
                                <a:close/>
                              </a:path>
                              <a:path w="4498340" h="180975">
                                <a:moveTo>
                                  <a:pt x="4497832" y="0"/>
                                </a:moveTo>
                                <a:lnTo>
                                  <a:pt x="1079881" y="0"/>
                                </a:lnTo>
                                <a:lnTo>
                                  <a:pt x="1079881" y="180975"/>
                                </a:lnTo>
                                <a:lnTo>
                                  <a:pt x="4497832" y="180975"/>
                                </a:lnTo>
                                <a:lnTo>
                                  <a:pt x="4497832" y="0"/>
                                </a:lnTo>
                                <a:close/>
                              </a:path>
                            </a:pathLst>
                          </a:custGeom>
                          <a:solidFill>
                            <a:srgbClr val="C1A875"/>
                          </a:solidFill>
                        </wps:spPr>
                        <wps:bodyPr wrap="square" lIns="0" tIns="0" rIns="0" bIns="0" rtlCol="0">
                          <a:prstTxWarp prst="textNoShape">
                            <a:avLst/>
                          </a:prstTxWarp>
                          <a:noAutofit/>
                        </wps:bodyPr>
                      </wps:wsp>
                      <wps:wsp>
                        <wps:cNvPr id="248" name="Graphic 248"/>
                        <wps:cNvSpPr/>
                        <wps:spPr>
                          <a:xfrm>
                            <a:off x="2880995" y="0"/>
                            <a:ext cx="4510405" cy="193675"/>
                          </a:xfrm>
                          <a:custGeom>
                            <a:avLst/>
                            <a:gdLst/>
                            <a:ahLst/>
                            <a:cxnLst/>
                            <a:rect l="l" t="t" r="r" b="b"/>
                            <a:pathLst>
                              <a:path w="4510405" h="193675">
                                <a:moveTo>
                                  <a:pt x="1079817" y="0"/>
                                </a:moveTo>
                                <a:lnTo>
                                  <a:pt x="6350" y="0"/>
                                </a:lnTo>
                                <a:lnTo>
                                  <a:pt x="0" y="0"/>
                                </a:lnTo>
                                <a:lnTo>
                                  <a:pt x="0" y="6350"/>
                                </a:lnTo>
                                <a:lnTo>
                                  <a:pt x="0" y="187325"/>
                                </a:lnTo>
                                <a:lnTo>
                                  <a:pt x="0" y="193675"/>
                                </a:lnTo>
                                <a:lnTo>
                                  <a:pt x="6350" y="193675"/>
                                </a:lnTo>
                                <a:lnTo>
                                  <a:pt x="1079817" y="193675"/>
                                </a:lnTo>
                                <a:lnTo>
                                  <a:pt x="1079817" y="187325"/>
                                </a:lnTo>
                                <a:lnTo>
                                  <a:pt x="6350" y="187325"/>
                                </a:lnTo>
                                <a:lnTo>
                                  <a:pt x="6350" y="6350"/>
                                </a:lnTo>
                                <a:lnTo>
                                  <a:pt x="1079817" y="6350"/>
                                </a:lnTo>
                                <a:lnTo>
                                  <a:pt x="1079817" y="0"/>
                                </a:lnTo>
                                <a:close/>
                              </a:path>
                              <a:path w="4510405" h="193675">
                                <a:moveTo>
                                  <a:pt x="4510405" y="0"/>
                                </a:moveTo>
                                <a:lnTo>
                                  <a:pt x="4504182" y="0"/>
                                </a:lnTo>
                                <a:lnTo>
                                  <a:pt x="4504055" y="0"/>
                                </a:lnTo>
                                <a:lnTo>
                                  <a:pt x="4504055" y="6350"/>
                                </a:lnTo>
                                <a:lnTo>
                                  <a:pt x="4504055" y="187325"/>
                                </a:lnTo>
                                <a:lnTo>
                                  <a:pt x="1086231" y="187325"/>
                                </a:lnTo>
                                <a:lnTo>
                                  <a:pt x="1086231" y="6350"/>
                                </a:lnTo>
                                <a:lnTo>
                                  <a:pt x="4504055" y="6350"/>
                                </a:lnTo>
                                <a:lnTo>
                                  <a:pt x="4504055" y="0"/>
                                </a:lnTo>
                                <a:lnTo>
                                  <a:pt x="1086231" y="0"/>
                                </a:lnTo>
                                <a:lnTo>
                                  <a:pt x="1079881" y="0"/>
                                </a:lnTo>
                                <a:lnTo>
                                  <a:pt x="1079881" y="6350"/>
                                </a:lnTo>
                                <a:lnTo>
                                  <a:pt x="1079881" y="187325"/>
                                </a:lnTo>
                                <a:lnTo>
                                  <a:pt x="1079881" y="193675"/>
                                </a:lnTo>
                                <a:lnTo>
                                  <a:pt x="1086231" y="193675"/>
                                </a:lnTo>
                                <a:lnTo>
                                  <a:pt x="4504055" y="193675"/>
                                </a:lnTo>
                                <a:lnTo>
                                  <a:pt x="4504182" y="193675"/>
                                </a:lnTo>
                                <a:lnTo>
                                  <a:pt x="4510405" y="193675"/>
                                </a:lnTo>
                                <a:lnTo>
                                  <a:pt x="4510405" y="187325"/>
                                </a:lnTo>
                                <a:lnTo>
                                  <a:pt x="4510405" y="6350"/>
                                </a:lnTo>
                                <a:lnTo>
                                  <a:pt x="4510405" y="0"/>
                                </a:lnTo>
                                <a:close/>
                              </a:path>
                            </a:pathLst>
                          </a:custGeom>
                          <a:solidFill>
                            <a:srgbClr val="394871"/>
                          </a:solidFill>
                        </wps:spPr>
                        <wps:bodyPr wrap="square" lIns="0" tIns="0" rIns="0" bIns="0" rtlCol="0">
                          <a:prstTxWarp prst="textNoShape">
                            <a:avLst/>
                          </a:prstTxWarp>
                          <a:noAutofit/>
                        </wps:bodyPr>
                      </wps:wsp>
                      <wps:wsp>
                        <wps:cNvPr id="249" name="Textbox 249"/>
                        <wps:cNvSpPr txBox="1"/>
                        <wps:spPr>
                          <a:xfrm>
                            <a:off x="3175" y="3175"/>
                            <a:ext cx="2880995" cy="187325"/>
                          </a:xfrm>
                          <a:prstGeom prst="rect">
                            <a:avLst/>
                          </a:prstGeom>
                          <a:solidFill>
                            <a:srgbClr val="C1A875"/>
                          </a:solidFill>
                          <a:ln w="6350">
                            <a:solidFill>
                              <a:srgbClr val="394871"/>
                            </a:solidFill>
                            <a:prstDash val="solid"/>
                          </a:ln>
                        </wps:spPr>
                        <wps:txbx>
                          <w:txbxContent>
                            <w:p>
                              <w:pPr>
                                <w:spacing w:line="265" w:lineRule="exact" w:before="0"/>
                                <w:ind w:left="100" w:right="0" w:firstLine="0"/>
                                <w:jc w:val="left"/>
                                <w:rPr>
                                  <w:rFonts w:ascii="Segoe UI"/>
                                  <w:b/>
                                  <w:color w:val="000000"/>
                                  <w:sz w:val="20"/>
                                </w:rPr>
                              </w:pPr>
                              <w:r>
                                <w:rPr>
                                  <w:rFonts w:ascii="Segoe UI"/>
                                  <w:b/>
                                  <w:color w:val="000000"/>
                                  <w:sz w:val="20"/>
                                </w:rPr>
                                <w:t>collaboration</w:t>
                              </w:r>
                              <w:r>
                                <w:rPr>
                                  <w:rFonts w:ascii="Segoe UI"/>
                                  <w:b/>
                                  <w:color w:val="000000"/>
                                  <w:spacing w:val="-4"/>
                                  <w:sz w:val="20"/>
                                </w:rPr>
                                <w:t> </w:t>
                              </w:r>
                              <w:r>
                                <w:rPr>
                                  <w:rFonts w:ascii="Segoe UI"/>
                                  <w:b/>
                                  <w:color w:val="000000"/>
                                  <w:sz w:val="20"/>
                                </w:rPr>
                                <w:t>(as</w:t>
                              </w:r>
                              <w:r>
                                <w:rPr>
                                  <w:rFonts w:ascii="Segoe UI"/>
                                  <w:b/>
                                  <w:color w:val="000000"/>
                                  <w:spacing w:val="-1"/>
                                  <w:sz w:val="20"/>
                                </w:rPr>
                                <w:t> </w:t>
                              </w:r>
                              <w:r>
                                <w:rPr>
                                  <w:rFonts w:ascii="Segoe UI"/>
                                  <w:b/>
                                  <w:color w:val="000000"/>
                                  <w:sz w:val="20"/>
                                </w:rPr>
                                <w:t>and</w:t>
                              </w:r>
                              <w:r>
                                <w:rPr>
                                  <w:rFonts w:ascii="Segoe UI"/>
                                  <w:b/>
                                  <w:color w:val="000000"/>
                                  <w:spacing w:val="-1"/>
                                  <w:sz w:val="20"/>
                                </w:rPr>
                                <w:t> </w:t>
                              </w:r>
                              <w:r>
                                <w:rPr>
                                  <w:rFonts w:ascii="Segoe UI"/>
                                  <w:b/>
                                  <w:color w:val="000000"/>
                                  <w:sz w:val="20"/>
                                </w:rPr>
                                <w:t>when</w:t>
                              </w:r>
                              <w:r>
                                <w:rPr>
                                  <w:rFonts w:ascii="Segoe UI"/>
                                  <w:b/>
                                  <w:color w:val="000000"/>
                                  <w:spacing w:val="-3"/>
                                  <w:sz w:val="20"/>
                                </w:rPr>
                                <w:t> </w:t>
                              </w:r>
                              <w:r>
                                <w:rPr>
                                  <w:rFonts w:ascii="Segoe UI"/>
                                  <w:b/>
                                  <w:color w:val="000000"/>
                                  <w:spacing w:val="-2"/>
                                  <w:sz w:val="20"/>
                                </w:rPr>
                                <w:t>required)</w:t>
                              </w:r>
                            </w:p>
                          </w:txbxContent>
                        </wps:txbx>
                        <wps:bodyPr wrap="square" lIns="0" tIns="0" rIns="0" bIns="0" rtlCol="0">
                          <a:noAutofit/>
                        </wps:bodyPr>
                      </wps:wsp>
                    </wpg:wgp>
                  </a:graphicData>
                </a:graphic>
              </wp:anchor>
            </w:drawing>
          </mc:Choice>
          <mc:Fallback>
            <w:pict>
              <v:group style="position:absolute;margin-left:8.25pt;margin-top:16.280001pt;width:582pt;height:15.25pt;mso-position-horizontal-relative:page;mso-position-vertical-relative:paragraph;z-index:-15681024;mso-wrap-distance-left:0;mso-wrap-distance-right:0" id="docshapegroup143" coordorigin="165,326" coordsize="11640,305">
                <v:shape style="position:absolute;left:4712;top:335;width:7084;height:285" id="docshape144" coordorigin="4712,336" coordsize="7084,285" path="m6403,336l4712,336,4712,621,6403,621,6403,336xm11795,336l6413,336,6413,621,11795,621,11795,336xe" filled="true" fillcolor="#c1a875" stroked="false">
                  <v:path arrowok="t"/>
                  <v:fill type="solid"/>
                </v:shape>
                <v:shape style="position:absolute;left:4702;top:325;width:7103;height:305" id="docshape145" coordorigin="4702,326" coordsize="7103,305" path="m6403,326l4712,326,4702,326,4702,336,4702,621,4702,631,4712,631,6403,631,6403,621,4712,621,4712,336,6403,336,6403,326xm11805,326l11795,326,11795,326,11795,336,11795,621,6413,621,6413,336,11795,336,11795,326,6413,326,6403,326,6403,336,6403,621,6403,631,6413,631,11795,631,11795,631,11805,631,11805,621,11805,336,11805,326xe" filled="true" fillcolor="#394871" stroked="false">
                  <v:path arrowok="t"/>
                  <v:fill type="solid"/>
                </v:shape>
                <v:shape style="position:absolute;left:170;top:330;width:4537;height:295" type="#_x0000_t202" id="docshape146" filled="true" fillcolor="#c1a875" stroked="true" strokeweight=".5pt" strokecolor="#394871">
                  <v:textbox inset="0,0,0,0">
                    <w:txbxContent>
                      <w:p>
                        <w:pPr>
                          <w:spacing w:line="265" w:lineRule="exact" w:before="0"/>
                          <w:ind w:left="100" w:right="0" w:firstLine="0"/>
                          <w:jc w:val="left"/>
                          <w:rPr>
                            <w:rFonts w:ascii="Segoe UI"/>
                            <w:b/>
                            <w:color w:val="000000"/>
                            <w:sz w:val="20"/>
                          </w:rPr>
                        </w:pPr>
                        <w:r>
                          <w:rPr>
                            <w:rFonts w:ascii="Segoe UI"/>
                            <w:b/>
                            <w:color w:val="000000"/>
                            <w:sz w:val="20"/>
                          </w:rPr>
                          <w:t>collaboration</w:t>
                        </w:r>
                        <w:r>
                          <w:rPr>
                            <w:rFonts w:ascii="Segoe UI"/>
                            <w:b/>
                            <w:color w:val="000000"/>
                            <w:spacing w:val="-4"/>
                            <w:sz w:val="20"/>
                          </w:rPr>
                          <w:t> </w:t>
                        </w:r>
                        <w:r>
                          <w:rPr>
                            <w:rFonts w:ascii="Segoe UI"/>
                            <w:b/>
                            <w:color w:val="000000"/>
                            <w:sz w:val="20"/>
                          </w:rPr>
                          <w:t>(as</w:t>
                        </w:r>
                        <w:r>
                          <w:rPr>
                            <w:rFonts w:ascii="Segoe UI"/>
                            <w:b/>
                            <w:color w:val="000000"/>
                            <w:spacing w:val="-1"/>
                            <w:sz w:val="20"/>
                          </w:rPr>
                          <w:t> </w:t>
                        </w:r>
                        <w:r>
                          <w:rPr>
                            <w:rFonts w:ascii="Segoe UI"/>
                            <w:b/>
                            <w:color w:val="000000"/>
                            <w:sz w:val="20"/>
                          </w:rPr>
                          <w:t>and</w:t>
                        </w:r>
                        <w:r>
                          <w:rPr>
                            <w:rFonts w:ascii="Segoe UI"/>
                            <w:b/>
                            <w:color w:val="000000"/>
                            <w:spacing w:val="-1"/>
                            <w:sz w:val="20"/>
                          </w:rPr>
                          <w:t> </w:t>
                        </w:r>
                        <w:r>
                          <w:rPr>
                            <w:rFonts w:ascii="Segoe UI"/>
                            <w:b/>
                            <w:color w:val="000000"/>
                            <w:sz w:val="20"/>
                          </w:rPr>
                          <w:t>when</w:t>
                        </w:r>
                        <w:r>
                          <w:rPr>
                            <w:rFonts w:ascii="Segoe UI"/>
                            <w:b/>
                            <w:color w:val="000000"/>
                            <w:spacing w:val="-3"/>
                            <w:sz w:val="20"/>
                          </w:rPr>
                          <w:t> </w:t>
                        </w:r>
                        <w:r>
                          <w:rPr>
                            <w:rFonts w:ascii="Segoe UI"/>
                            <w:b/>
                            <w:color w:val="000000"/>
                            <w:spacing w:val="-2"/>
                            <w:sz w:val="20"/>
                          </w:rPr>
                          <w:t>required)</w:t>
                        </w:r>
                      </w:p>
                    </w:txbxContent>
                  </v:textbox>
                  <v:fill type="solid"/>
                  <v:stroke dashstyle="solid"/>
                  <w10:wrap type="none"/>
                </v:shape>
                <w10:wrap type="topAndBottom"/>
              </v:group>
            </w:pict>
          </mc:Fallback>
        </mc:AlternateContent>
      </w:r>
      <w:r>
        <w:rPr>
          <w:rFonts w:ascii="Calibri"/>
          <w:color w:val="787878"/>
          <w:sz w:val="16"/>
        </w:rPr>
        <w:t>Project</w:t>
      </w:r>
      <w:r>
        <w:rPr>
          <w:rFonts w:ascii="Calibri"/>
          <w:color w:val="787878"/>
          <w:spacing w:val="15"/>
          <w:sz w:val="16"/>
        </w:rPr>
        <w:t> </w:t>
      </w:r>
      <w:r>
        <w:rPr>
          <w:rFonts w:ascii="Calibri"/>
          <w:color w:val="787878"/>
          <w:sz w:val="16"/>
        </w:rPr>
        <w:t>Initiation</w:t>
      </w:r>
      <w:r>
        <w:rPr>
          <w:rFonts w:ascii="Calibri"/>
          <w:color w:val="787878"/>
          <w:spacing w:val="15"/>
          <w:sz w:val="16"/>
        </w:rPr>
        <w:t> </w:t>
      </w:r>
      <w:r>
        <w:rPr>
          <w:rFonts w:ascii="Calibri"/>
          <w:color w:val="787878"/>
          <w:spacing w:val="-2"/>
          <w:sz w:val="16"/>
        </w:rPr>
        <w:t>Document</w:t>
      </w: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spacing w:before="180"/>
        <w:rPr>
          <w:rFonts w:ascii="Calibri"/>
          <w:sz w:val="16"/>
        </w:rPr>
      </w:pPr>
    </w:p>
    <w:p>
      <w:pPr>
        <w:spacing w:before="0"/>
        <w:ind w:left="56" w:right="57" w:firstLine="0"/>
        <w:jc w:val="center"/>
        <w:rPr>
          <w:rFonts w:ascii="Calibri"/>
          <w:sz w:val="16"/>
        </w:rPr>
      </w:pPr>
      <w:r>
        <w:rPr>
          <w:rFonts w:ascii="Calibri"/>
          <w:color w:val="787878"/>
          <w:sz w:val="16"/>
        </w:rPr>
        <w:t>Regional</w:t>
      </w:r>
      <w:r>
        <w:rPr>
          <w:rFonts w:ascii="Calibri"/>
          <w:color w:val="787878"/>
          <w:spacing w:val="3"/>
          <w:sz w:val="16"/>
        </w:rPr>
        <w:t> </w:t>
      </w:r>
      <w:r>
        <w:rPr>
          <w:rFonts w:ascii="Calibri"/>
          <w:color w:val="787878"/>
          <w:sz w:val="16"/>
        </w:rPr>
        <w:t>Eye</w:t>
      </w:r>
      <w:r>
        <w:rPr>
          <w:rFonts w:ascii="Calibri"/>
          <w:color w:val="787878"/>
          <w:spacing w:val="6"/>
          <w:sz w:val="16"/>
        </w:rPr>
        <w:t> </w:t>
      </w:r>
      <w:r>
        <w:rPr>
          <w:rFonts w:ascii="Calibri"/>
          <w:color w:val="787878"/>
          <w:sz w:val="16"/>
        </w:rPr>
        <w:t>Care</w:t>
      </w:r>
      <w:r>
        <w:rPr>
          <w:rFonts w:ascii="Calibri"/>
          <w:color w:val="787878"/>
          <w:spacing w:val="6"/>
          <w:sz w:val="16"/>
        </w:rPr>
        <w:t> </w:t>
      </w:r>
      <w:r>
        <w:rPr>
          <w:rFonts w:ascii="Calibri"/>
          <w:color w:val="787878"/>
          <w:sz w:val="16"/>
        </w:rPr>
        <w:t>Programme</w:t>
      </w:r>
      <w:r>
        <w:rPr>
          <w:rFonts w:ascii="Calibri"/>
          <w:color w:val="787878"/>
          <w:spacing w:val="13"/>
          <w:sz w:val="16"/>
        </w:rPr>
        <w:t> </w:t>
      </w:r>
      <w:r>
        <w:rPr>
          <w:rFonts w:ascii="Calibri"/>
          <w:color w:val="787878"/>
          <w:w w:val="95"/>
          <w:sz w:val="16"/>
        </w:rPr>
        <w:t>|</w:t>
      </w:r>
      <w:r>
        <w:rPr>
          <w:rFonts w:ascii="Calibri"/>
          <w:color w:val="787878"/>
          <w:spacing w:val="8"/>
          <w:sz w:val="16"/>
        </w:rPr>
        <w:t> </w:t>
      </w:r>
      <w:r>
        <w:rPr>
          <w:rFonts w:ascii="Calibri"/>
          <w:color w:val="787878"/>
          <w:sz w:val="16"/>
        </w:rPr>
        <w:t>Project</w:t>
      </w:r>
      <w:r>
        <w:rPr>
          <w:rFonts w:ascii="Calibri"/>
          <w:color w:val="787878"/>
          <w:spacing w:val="1"/>
          <w:sz w:val="16"/>
        </w:rPr>
        <w:t> </w:t>
      </w:r>
      <w:r>
        <w:rPr>
          <w:rFonts w:ascii="Calibri"/>
          <w:color w:val="787878"/>
          <w:sz w:val="16"/>
        </w:rPr>
        <w:t>Initiation</w:t>
      </w:r>
      <w:r>
        <w:rPr>
          <w:rFonts w:ascii="Calibri"/>
          <w:color w:val="787878"/>
          <w:spacing w:val="15"/>
          <w:sz w:val="16"/>
        </w:rPr>
        <w:t> </w:t>
      </w:r>
      <w:r>
        <w:rPr>
          <w:rFonts w:ascii="Calibri"/>
          <w:color w:val="787878"/>
          <w:sz w:val="16"/>
        </w:rPr>
        <w:t>Document</w:t>
      </w:r>
      <w:r>
        <w:rPr>
          <w:rFonts w:ascii="Calibri"/>
          <w:color w:val="787878"/>
          <w:spacing w:val="3"/>
          <w:sz w:val="16"/>
        </w:rPr>
        <w:t> </w:t>
      </w:r>
      <w:r>
        <w:rPr>
          <w:rFonts w:ascii="Calibri"/>
          <w:color w:val="787878"/>
          <w:w w:val="95"/>
          <w:sz w:val="16"/>
        </w:rPr>
        <w:t>|</w:t>
      </w:r>
      <w:r>
        <w:rPr>
          <w:rFonts w:ascii="Calibri"/>
          <w:color w:val="787878"/>
          <w:spacing w:val="15"/>
          <w:sz w:val="16"/>
        </w:rPr>
        <w:t> </w:t>
      </w:r>
      <w:r>
        <w:rPr>
          <w:rFonts w:ascii="Calibri"/>
          <w:color w:val="787878"/>
          <w:sz w:val="16"/>
        </w:rPr>
        <w:t>Draft</w:t>
      </w:r>
      <w:r>
        <w:rPr>
          <w:rFonts w:ascii="Calibri"/>
          <w:color w:val="787878"/>
          <w:spacing w:val="9"/>
          <w:sz w:val="16"/>
        </w:rPr>
        <w:t> </w:t>
      </w:r>
      <w:r>
        <w:rPr>
          <w:rFonts w:ascii="Calibri"/>
          <w:color w:val="787878"/>
          <w:sz w:val="16"/>
        </w:rPr>
        <w:t>0.1</w:t>
      </w:r>
      <w:r>
        <w:rPr>
          <w:rFonts w:ascii="Calibri"/>
          <w:color w:val="787878"/>
          <w:spacing w:val="11"/>
          <w:sz w:val="16"/>
        </w:rPr>
        <w:t> </w:t>
      </w:r>
      <w:r>
        <w:rPr>
          <w:rFonts w:ascii="Calibri"/>
          <w:color w:val="787878"/>
          <w:w w:val="95"/>
          <w:sz w:val="16"/>
        </w:rPr>
        <w:t>|</w:t>
      </w:r>
      <w:r>
        <w:rPr>
          <w:rFonts w:ascii="Calibri"/>
          <w:color w:val="787878"/>
          <w:spacing w:val="8"/>
          <w:sz w:val="16"/>
        </w:rPr>
        <w:t> </w:t>
      </w:r>
      <w:r>
        <w:rPr>
          <w:rFonts w:ascii="Calibri"/>
          <w:color w:val="787878"/>
          <w:sz w:val="16"/>
        </w:rPr>
        <w:t>02</w:t>
      </w:r>
      <w:r>
        <w:rPr>
          <w:rFonts w:ascii="Calibri"/>
          <w:color w:val="787878"/>
          <w:spacing w:val="5"/>
          <w:sz w:val="16"/>
        </w:rPr>
        <w:t> </w:t>
      </w:r>
      <w:r>
        <w:rPr>
          <w:rFonts w:ascii="Calibri"/>
          <w:color w:val="787878"/>
          <w:sz w:val="16"/>
        </w:rPr>
        <w:t>September</w:t>
      </w:r>
      <w:r>
        <w:rPr>
          <w:rFonts w:ascii="Calibri"/>
          <w:color w:val="787878"/>
          <w:spacing w:val="14"/>
          <w:sz w:val="16"/>
        </w:rPr>
        <w:t> </w:t>
      </w:r>
      <w:r>
        <w:rPr>
          <w:rFonts w:ascii="Calibri"/>
          <w:color w:val="787878"/>
          <w:spacing w:val="-4"/>
          <w:sz w:val="16"/>
        </w:rPr>
        <w:t>2026</w:t>
      </w:r>
    </w:p>
    <w:p>
      <w:pPr>
        <w:spacing w:after="0"/>
        <w:jc w:val="center"/>
        <w:rPr>
          <w:rFonts w:ascii="Calibri"/>
          <w:sz w:val="16"/>
        </w:rPr>
        <w:sectPr>
          <w:pgSz w:w="12240" w:h="15840"/>
          <w:pgMar w:header="0" w:footer="147" w:top="640" w:bottom="340" w:left="141" w:right="141"/>
        </w:sectPr>
      </w:pPr>
    </w:p>
    <w:p>
      <w:pPr>
        <w:tabs>
          <w:tab w:pos="7483" w:val="left" w:leader="none"/>
        </w:tabs>
        <w:spacing w:line="240" w:lineRule="auto"/>
        <w:ind w:left="1586" w:right="0" w:firstLine="0"/>
        <w:rPr>
          <w:rFonts w:ascii="Calibri"/>
          <w:sz w:val="20"/>
        </w:rPr>
      </w:pPr>
      <w:r>
        <w:rPr>
          <w:rFonts w:ascii="Calibri"/>
          <w:position w:val="2"/>
          <w:sz w:val="20"/>
        </w:rPr>
        <w:drawing>
          <wp:inline distT="0" distB="0" distL="0" distR="0">
            <wp:extent cx="1870845" cy="475487"/>
            <wp:effectExtent l="0" t="0" r="0" b="0"/>
            <wp:docPr id="250" name="Image 250"/>
            <wp:cNvGraphicFramePr>
              <a:graphicFrameLocks/>
            </wp:cNvGraphicFramePr>
            <a:graphic>
              <a:graphicData uri="http://schemas.openxmlformats.org/drawingml/2006/picture">
                <pic:pic>
                  <pic:nvPicPr>
                    <pic:cNvPr id="250" name="Image 250"/>
                    <pic:cNvPicPr/>
                  </pic:nvPicPr>
                  <pic:blipFill>
                    <a:blip r:embed="rId58" cstate="print"/>
                    <a:stretch>
                      <a:fillRect/>
                    </a:stretch>
                  </pic:blipFill>
                  <pic:spPr>
                    <a:xfrm>
                      <a:off x="0" y="0"/>
                      <a:ext cx="1870845" cy="475487"/>
                    </a:xfrm>
                    <a:prstGeom prst="rect">
                      <a:avLst/>
                    </a:prstGeom>
                  </pic:spPr>
                </pic:pic>
              </a:graphicData>
            </a:graphic>
          </wp:inline>
        </w:drawing>
      </w:r>
      <w:r>
        <w:rPr>
          <w:rFonts w:ascii="Calibri"/>
          <w:position w:val="2"/>
          <w:sz w:val="20"/>
        </w:rPr>
      </w:r>
      <w:r>
        <w:rPr>
          <w:rFonts w:ascii="Calibri"/>
          <w:position w:val="2"/>
          <w:sz w:val="20"/>
        </w:rPr>
        <w:tab/>
      </w:r>
      <w:r>
        <w:rPr>
          <w:rFonts w:ascii="Calibri"/>
          <w:sz w:val="20"/>
        </w:rPr>
        <w:drawing>
          <wp:inline distT="0" distB="0" distL="0" distR="0">
            <wp:extent cx="1912332" cy="528066"/>
            <wp:effectExtent l="0" t="0" r="0" b="0"/>
            <wp:docPr id="251" name="Image 251"/>
            <wp:cNvGraphicFramePr>
              <a:graphicFrameLocks/>
            </wp:cNvGraphicFramePr>
            <a:graphic>
              <a:graphicData uri="http://schemas.openxmlformats.org/drawingml/2006/picture">
                <pic:pic>
                  <pic:nvPicPr>
                    <pic:cNvPr id="251" name="Image 251"/>
                    <pic:cNvPicPr/>
                  </pic:nvPicPr>
                  <pic:blipFill>
                    <a:blip r:embed="rId59" cstate="print"/>
                    <a:stretch>
                      <a:fillRect/>
                    </a:stretch>
                  </pic:blipFill>
                  <pic:spPr>
                    <a:xfrm>
                      <a:off x="0" y="0"/>
                      <a:ext cx="1912332" cy="528066"/>
                    </a:xfrm>
                    <a:prstGeom prst="rect">
                      <a:avLst/>
                    </a:prstGeom>
                  </pic:spPr>
                </pic:pic>
              </a:graphicData>
            </a:graphic>
          </wp:inline>
        </w:drawing>
      </w:r>
      <w:r>
        <w:rPr>
          <w:rFonts w:ascii="Calibri"/>
          <w:sz w:val="20"/>
        </w:rPr>
      </w:r>
    </w:p>
    <w:p>
      <w:pPr>
        <w:spacing w:before="417"/>
        <w:ind w:left="1009" w:right="0" w:firstLine="0"/>
        <w:jc w:val="left"/>
        <w:rPr>
          <w:rFonts w:ascii="Segoe UI"/>
          <w:b/>
          <w:sz w:val="52"/>
        </w:rPr>
      </w:pPr>
      <w:bookmarkStart w:name="RJC 37a(iv) Clinical Services Planning S" w:id="22"/>
      <w:bookmarkEnd w:id="22"/>
      <w:r>
        <w:rPr/>
      </w:r>
      <w:r>
        <w:rPr>
          <w:rFonts w:ascii="Segoe UI"/>
          <w:b/>
          <w:color w:val="1F4E79"/>
          <w:sz w:val="52"/>
        </w:rPr>
        <w:t>Project</w:t>
      </w:r>
      <w:r>
        <w:rPr>
          <w:rFonts w:ascii="Segoe UI"/>
          <w:b/>
          <w:color w:val="1F4E79"/>
          <w:spacing w:val="35"/>
          <w:sz w:val="52"/>
        </w:rPr>
        <w:t> </w:t>
      </w:r>
      <w:r>
        <w:rPr>
          <w:rFonts w:ascii="Segoe UI"/>
          <w:b/>
          <w:color w:val="1F4E79"/>
          <w:sz w:val="52"/>
        </w:rPr>
        <w:t>Initiation</w:t>
      </w:r>
      <w:r>
        <w:rPr>
          <w:rFonts w:ascii="Segoe UI"/>
          <w:b/>
          <w:color w:val="1F4E79"/>
          <w:spacing w:val="35"/>
          <w:sz w:val="52"/>
        </w:rPr>
        <w:t> </w:t>
      </w:r>
      <w:r>
        <w:rPr>
          <w:rFonts w:ascii="Segoe UI"/>
          <w:b/>
          <w:color w:val="1F4E79"/>
          <w:spacing w:val="-2"/>
          <w:sz w:val="52"/>
        </w:rPr>
        <w:t>Document</w:t>
      </w:r>
    </w:p>
    <w:p>
      <w:pPr>
        <w:pStyle w:val="BodyText"/>
        <w:spacing w:before="7"/>
        <w:rPr>
          <w:rFonts w:ascii="Segoe UI"/>
          <w:b/>
          <w:sz w:val="4"/>
        </w:rPr>
      </w:pPr>
      <w:r>
        <w:rPr>
          <w:rFonts w:ascii="Segoe UI"/>
          <w:b/>
          <w:sz w:val="4"/>
        </w:rPr>
        <mc:AlternateContent>
          <mc:Choice Requires="wps">
            <w:drawing>
              <wp:anchor distT="0" distB="0" distL="0" distR="0" allowOverlap="1" layoutInCell="1" locked="0" behindDoc="1" simplePos="0" relativeHeight="487635968">
                <wp:simplePos x="0" y="0"/>
                <wp:positionH relativeFrom="page">
                  <wp:posOffset>711517</wp:posOffset>
                </wp:positionH>
                <wp:positionV relativeFrom="paragraph">
                  <wp:posOffset>53949</wp:posOffset>
                </wp:positionV>
                <wp:extent cx="6349365" cy="12700"/>
                <wp:effectExtent l="0" t="0" r="0" b="0"/>
                <wp:wrapTopAndBottom/>
                <wp:docPr id="252" name="Graphic 252"/>
                <wp:cNvGraphicFramePr>
                  <a:graphicFrameLocks/>
                </wp:cNvGraphicFramePr>
                <a:graphic>
                  <a:graphicData uri="http://schemas.microsoft.com/office/word/2010/wordprocessingShape">
                    <wps:wsp>
                      <wps:cNvPr id="252" name="Graphic 252"/>
                      <wps:cNvSpPr/>
                      <wps:spPr>
                        <a:xfrm>
                          <a:off x="0" y="0"/>
                          <a:ext cx="6349365" cy="12700"/>
                        </a:xfrm>
                        <a:custGeom>
                          <a:avLst/>
                          <a:gdLst/>
                          <a:ahLst/>
                          <a:cxnLst/>
                          <a:rect l="l" t="t" r="r" b="b"/>
                          <a:pathLst>
                            <a:path w="6349365" h="12700">
                              <a:moveTo>
                                <a:pt x="6349365" y="0"/>
                              </a:moveTo>
                              <a:lnTo>
                                <a:pt x="0" y="0"/>
                              </a:lnTo>
                              <a:lnTo>
                                <a:pt x="0" y="12700"/>
                              </a:lnTo>
                              <a:lnTo>
                                <a:pt x="6349365" y="12700"/>
                              </a:lnTo>
                              <a:lnTo>
                                <a:pt x="634936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rect style="position:absolute;margin-left:56.025002pt;margin-top:4.247969pt;width:499.95pt;height:1pt;mso-position-horizontal-relative:page;mso-position-vertical-relative:paragraph;z-index:-15680512;mso-wrap-distance-left:0;mso-wrap-distance-right:0" id="docshape147" filled="true" fillcolor="#4f81bc" stroked="false">
                <v:fill type="solid"/>
                <w10:wrap type="topAndBottom"/>
              </v:rect>
            </w:pict>
          </mc:Fallback>
        </mc:AlternateContent>
      </w:r>
    </w:p>
    <w:p>
      <w:pPr>
        <w:pStyle w:val="BodyText"/>
        <w:rPr>
          <w:rFonts w:ascii="Segoe UI"/>
          <w:b/>
          <w:sz w:val="9"/>
        </w:rPr>
      </w:pPr>
    </w:p>
    <w:tbl>
      <w:tblPr>
        <w:tblW w:w="0" w:type="auto"/>
        <w:jc w:val="left"/>
        <w:tblInd w:w="1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7"/>
        <w:gridCol w:w="6813"/>
      </w:tblGrid>
      <w:tr>
        <w:trPr>
          <w:trHeight w:val="675" w:hRule="atLeast"/>
        </w:trPr>
        <w:tc>
          <w:tcPr>
            <w:tcW w:w="3117" w:type="dxa"/>
            <w:shd w:val="clear" w:color="auto" w:fill="D9E1F3"/>
          </w:tcPr>
          <w:p>
            <w:pPr>
              <w:pStyle w:val="TableParagraph"/>
              <w:spacing w:before="121"/>
              <w:ind w:left="120"/>
              <w:rPr>
                <w:rFonts w:ascii="Segoe UI"/>
                <w:b/>
                <w:sz w:val="24"/>
              </w:rPr>
            </w:pPr>
            <w:r>
              <w:rPr>
                <w:rFonts w:ascii="Segoe UI"/>
                <w:b/>
                <w:color w:val="1F4E79"/>
                <w:sz w:val="24"/>
              </w:rPr>
              <w:t>Project</w:t>
            </w:r>
            <w:r>
              <w:rPr>
                <w:rFonts w:ascii="Segoe UI"/>
                <w:b/>
                <w:color w:val="1F4E79"/>
                <w:spacing w:val="-3"/>
                <w:sz w:val="24"/>
              </w:rPr>
              <w:t> </w:t>
            </w:r>
            <w:r>
              <w:rPr>
                <w:rFonts w:ascii="Segoe UI"/>
                <w:b/>
                <w:color w:val="1F4E79"/>
                <w:spacing w:val="-4"/>
                <w:sz w:val="24"/>
              </w:rPr>
              <w:t>name</w:t>
            </w:r>
          </w:p>
        </w:tc>
        <w:tc>
          <w:tcPr>
            <w:tcW w:w="6813" w:type="dxa"/>
          </w:tcPr>
          <w:p>
            <w:pPr>
              <w:pStyle w:val="TableParagraph"/>
              <w:spacing w:before="116"/>
              <w:ind w:left="119"/>
              <w:rPr>
                <w:rFonts w:ascii="Segoe UI"/>
                <w:sz w:val="24"/>
              </w:rPr>
            </w:pPr>
            <w:r>
              <w:rPr>
                <w:rFonts w:ascii="Segoe UI"/>
                <w:sz w:val="24"/>
              </w:rPr>
              <w:t>Regional</w:t>
            </w:r>
            <w:r>
              <w:rPr>
                <w:rFonts w:ascii="Segoe UI"/>
                <w:spacing w:val="-3"/>
                <w:sz w:val="24"/>
              </w:rPr>
              <w:t> </w:t>
            </w:r>
            <w:r>
              <w:rPr>
                <w:rFonts w:ascii="Segoe UI"/>
                <w:sz w:val="24"/>
              </w:rPr>
              <w:t>Stroke</w:t>
            </w:r>
            <w:r>
              <w:rPr>
                <w:rFonts w:ascii="Segoe UI"/>
                <w:spacing w:val="-3"/>
                <w:sz w:val="24"/>
              </w:rPr>
              <w:t> </w:t>
            </w:r>
            <w:r>
              <w:rPr>
                <w:rFonts w:ascii="Segoe UI"/>
                <w:spacing w:val="-2"/>
                <w:sz w:val="24"/>
              </w:rPr>
              <w:t>Project</w:t>
            </w:r>
          </w:p>
        </w:tc>
      </w:tr>
      <w:tr>
        <w:trPr>
          <w:trHeight w:val="680" w:hRule="atLeast"/>
        </w:trPr>
        <w:tc>
          <w:tcPr>
            <w:tcW w:w="3117" w:type="dxa"/>
            <w:shd w:val="clear" w:color="auto" w:fill="D9E1F3"/>
          </w:tcPr>
          <w:p>
            <w:pPr>
              <w:pStyle w:val="TableParagraph"/>
              <w:spacing w:before="121"/>
              <w:ind w:left="120"/>
              <w:rPr>
                <w:rFonts w:ascii="Segoe UI"/>
                <w:b/>
                <w:sz w:val="24"/>
              </w:rPr>
            </w:pPr>
            <w:r>
              <w:rPr>
                <w:rFonts w:ascii="Segoe UI"/>
                <w:b/>
                <w:color w:val="1F4E79"/>
                <w:sz w:val="24"/>
              </w:rPr>
              <w:t>Project</w:t>
            </w:r>
            <w:r>
              <w:rPr>
                <w:rFonts w:ascii="Segoe UI"/>
                <w:b/>
                <w:color w:val="1F4E79"/>
                <w:spacing w:val="-2"/>
                <w:sz w:val="24"/>
              </w:rPr>
              <w:t> </w:t>
            </w:r>
            <w:r>
              <w:rPr>
                <w:rFonts w:ascii="Segoe UI"/>
                <w:b/>
                <w:color w:val="1F4E79"/>
                <w:spacing w:val="-5"/>
                <w:sz w:val="24"/>
              </w:rPr>
              <w:t>SRO</w:t>
            </w:r>
          </w:p>
        </w:tc>
        <w:tc>
          <w:tcPr>
            <w:tcW w:w="6813" w:type="dxa"/>
          </w:tcPr>
          <w:p>
            <w:pPr>
              <w:pStyle w:val="TableParagraph"/>
              <w:spacing w:before="121"/>
              <w:ind w:left="119"/>
              <w:rPr>
                <w:rFonts w:ascii="Segoe UI"/>
                <w:sz w:val="24"/>
              </w:rPr>
            </w:pPr>
            <w:r>
              <w:rPr>
                <w:rFonts w:ascii="Segoe UI"/>
                <w:sz w:val="24"/>
              </w:rPr>
              <w:t>James</w:t>
            </w:r>
            <w:r>
              <w:rPr>
                <w:rFonts w:ascii="Segoe UI"/>
                <w:spacing w:val="-5"/>
                <w:sz w:val="24"/>
              </w:rPr>
              <w:t> </w:t>
            </w:r>
            <w:r>
              <w:rPr>
                <w:rFonts w:ascii="Segoe UI"/>
                <w:spacing w:val="-2"/>
                <w:sz w:val="24"/>
              </w:rPr>
              <w:t>Severs</w:t>
            </w:r>
          </w:p>
        </w:tc>
      </w:tr>
      <w:tr>
        <w:trPr>
          <w:trHeight w:val="680" w:hRule="atLeast"/>
        </w:trPr>
        <w:tc>
          <w:tcPr>
            <w:tcW w:w="3117" w:type="dxa"/>
            <w:shd w:val="clear" w:color="auto" w:fill="D9E1F3"/>
          </w:tcPr>
          <w:p>
            <w:pPr>
              <w:pStyle w:val="TableParagraph"/>
              <w:spacing w:before="121"/>
              <w:ind w:left="120"/>
              <w:rPr>
                <w:rFonts w:ascii="Segoe UI"/>
                <w:b/>
                <w:sz w:val="24"/>
              </w:rPr>
            </w:pPr>
            <w:r>
              <w:rPr>
                <w:rFonts w:ascii="Segoe UI"/>
                <w:b/>
                <w:color w:val="1F4E79"/>
                <w:sz w:val="24"/>
              </w:rPr>
              <w:t>Project</w:t>
            </w:r>
            <w:r>
              <w:rPr>
                <w:rFonts w:ascii="Segoe UI"/>
                <w:b/>
                <w:color w:val="1F4E79"/>
                <w:spacing w:val="-5"/>
                <w:sz w:val="24"/>
              </w:rPr>
              <w:t> </w:t>
            </w:r>
            <w:r>
              <w:rPr>
                <w:rFonts w:ascii="Segoe UI"/>
                <w:b/>
                <w:color w:val="1F4E79"/>
                <w:spacing w:val="-4"/>
                <w:sz w:val="24"/>
              </w:rPr>
              <w:t>lead</w:t>
            </w:r>
          </w:p>
        </w:tc>
        <w:tc>
          <w:tcPr>
            <w:tcW w:w="6813" w:type="dxa"/>
          </w:tcPr>
          <w:p>
            <w:pPr>
              <w:pStyle w:val="TableParagraph"/>
              <w:spacing w:before="121"/>
              <w:ind w:left="119"/>
              <w:rPr>
                <w:rFonts w:ascii="Segoe UI" w:hAnsi="Segoe UI"/>
                <w:sz w:val="24"/>
              </w:rPr>
            </w:pPr>
            <w:r>
              <w:rPr>
                <w:rFonts w:ascii="Segoe UI" w:hAnsi="Segoe UI"/>
                <w:sz w:val="24"/>
              </w:rPr>
              <w:t>Siôn</w:t>
            </w:r>
            <w:r>
              <w:rPr>
                <w:rFonts w:ascii="Segoe UI" w:hAnsi="Segoe UI"/>
                <w:spacing w:val="-2"/>
                <w:sz w:val="24"/>
              </w:rPr>
              <w:t> Charles</w:t>
            </w:r>
          </w:p>
        </w:tc>
      </w:tr>
      <w:tr>
        <w:trPr>
          <w:trHeight w:val="680" w:hRule="atLeast"/>
        </w:trPr>
        <w:tc>
          <w:tcPr>
            <w:tcW w:w="3117" w:type="dxa"/>
            <w:shd w:val="clear" w:color="auto" w:fill="D9E1F3"/>
          </w:tcPr>
          <w:p>
            <w:pPr>
              <w:pStyle w:val="TableParagraph"/>
              <w:spacing w:before="121"/>
              <w:ind w:left="120"/>
              <w:rPr>
                <w:rFonts w:ascii="Segoe UI"/>
                <w:b/>
                <w:sz w:val="24"/>
              </w:rPr>
            </w:pPr>
            <w:r>
              <w:rPr>
                <w:rFonts w:ascii="Segoe UI"/>
                <w:b/>
                <w:color w:val="1F4E79"/>
                <w:sz w:val="24"/>
              </w:rPr>
              <w:t>Document</w:t>
            </w:r>
            <w:r>
              <w:rPr>
                <w:rFonts w:ascii="Segoe UI"/>
                <w:b/>
                <w:color w:val="1F4E79"/>
                <w:spacing w:val="-9"/>
                <w:sz w:val="24"/>
              </w:rPr>
              <w:t> </w:t>
            </w:r>
            <w:r>
              <w:rPr>
                <w:rFonts w:ascii="Segoe UI"/>
                <w:b/>
                <w:color w:val="1F4E79"/>
                <w:spacing w:val="-2"/>
                <w:sz w:val="24"/>
              </w:rPr>
              <w:t>owner</w:t>
            </w:r>
          </w:p>
        </w:tc>
        <w:tc>
          <w:tcPr>
            <w:tcW w:w="6813" w:type="dxa"/>
          </w:tcPr>
          <w:p>
            <w:pPr>
              <w:pStyle w:val="TableParagraph"/>
              <w:spacing w:before="121"/>
              <w:ind w:left="119"/>
              <w:rPr>
                <w:rFonts w:ascii="Segoe UI"/>
                <w:sz w:val="24"/>
              </w:rPr>
            </w:pPr>
            <w:r>
              <w:rPr>
                <w:rFonts w:ascii="Segoe UI"/>
                <w:sz w:val="24"/>
              </w:rPr>
              <w:t>Regional</w:t>
            </w:r>
            <w:r>
              <w:rPr>
                <w:rFonts w:ascii="Segoe UI"/>
                <w:spacing w:val="-4"/>
                <w:sz w:val="24"/>
              </w:rPr>
              <w:t> </w:t>
            </w:r>
            <w:r>
              <w:rPr>
                <w:rFonts w:ascii="Segoe UI"/>
                <w:sz w:val="24"/>
              </w:rPr>
              <w:t>Joint</w:t>
            </w:r>
            <w:r>
              <w:rPr>
                <w:rFonts w:ascii="Segoe UI"/>
                <w:spacing w:val="-7"/>
                <w:sz w:val="24"/>
              </w:rPr>
              <w:t> </w:t>
            </w:r>
            <w:r>
              <w:rPr>
                <w:rFonts w:ascii="Segoe UI"/>
                <w:sz w:val="24"/>
              </w:rPr>
              <w:t>Committee</w:t>
            </w:r>
            <w:r>
              <w:rPr>
                <w:rFonts w:ascii="Segoe UI"/>
                <w:spacing w:val="-5"/>
                <w:sz w:val="24"/>
              </w:rPr>
              <w:t> </w:t>
            </w:r>
            <w:r>
              <w:rPr>
                <w:rFonts w:ascii="Segoe UI"/>
                <w:spacing w:val="-4"/>
                <w:sz w:val="24"/>
              </w:rPr>
              <w:t>(RJC)</w:t>
            </w:r>
          </w:p>
        </w:tc>
      </w:tr>
      <w:tr>
        <w:trPr>
          <w:trHeight w:val="680" w:hRule="atLeast"/>
        </w:trPr>
        <w:tc>
          <w:tcPr>
            <w:tcW w:w="3117" w:type="dxa"/>
            <w:shd w:val="clear" w:color="auto" w:fill="D9E1F3"/>
          </w:tcPr>
          <w:p>
            <w:pPr>
              <w:pStyle w:val="TableParagraph"/>
              <w:spacing w:before="121"/>
              <w:ind w:left="120"/>
              <w:rPr>
                <w:rFonts w:ascii="Segoe UI"/>
                <w:b/>
                <w:sz w:val="24"/>
              </w:rPr>
            </w:pPr>
            <w:r>
              <w:rPr>
                <w:rFonts w:ascii="Segoe UI"/>
                <w:b/>
                <w:color w:val="1F4E79"/>
                <w:spacing w:val="-2"/>
                <w:sz w:val="24"/>
              </w:rPr>
              <w:t>Version</w:t>
            </w:r>
          </w:p>
        </w:tc>
        <w:tc>
          <w:tcPr>
            <w:tcW w:w="6813" w:type="dxa"/>
          </w:tcPr>
          <w:p>
            <w:pPr>
              <w:pStyle w:val="TableParagraph"/>
              <w:spacing w:before="121"/>
              <w:ind w:left="119"/>
              <w:rPr>
                <w:rFonts w:ascii="Segoe UI"/>
                <w:sz w:val="24"/>
              </w:rPr>
            </w:pPr>
            <w:r>
              <w:rPr>
                <w:rFonts w:ascii="Segoe UI"/>
                <w:spacing w:val="-4"/>
                <w:sz w:val="24"/>
              </w:rPr>
              <w:t>v1.0</w:t>
            </w:r>
          </w:p>
        </w:tc>
      </w:tr>
      <w:tr>
        <w:trPr>
          <w:trHeight w:val="680" w:hRule="atLeast"/>
        </w:trPr>
        <w:tc>
          <w:tcPr>
            <w:tcW w:w="3117" w:type="dxa"/>
            <w:shd w:val="clear" w:color="auto" w:fill="D9E1F3"/>
          </w:tcPr>
          <w:p>
            <w:pPr>
              <w:pStyle w:val="TableParagraph"/>
              <w:spacing w:before="121"/>
              <w:ind w:left="120"/>
              <w:rPr>
                <w:rFonts w:ascii="Segoe UI"/>
                <w:b/>
                <w:sz w:val="24"/>
              </w:rPr>
            </w:pPr>
            <w:r>
              <w:rPr>
                <w:rFonts w:ascii="Segoe UI"/>
                <w:b/>
                <w:color w:val="1F4E79"/>
                <w:spacing w:val="-4"/>
                <w:sz w:val="24"/>
              </w:rPr>
              <w:t>Date</w:t>
            </w:r>
          </w:p>
        </w:tc>
        <w:tc>
          <w:tcPr>
            <w:tcW w:w="6813" w:type="dxa"/>
          </w:tcPr>
          <w:p>
            <w:pPr>
              <w:pStyle w:val="TableParagraph"/>
              <w:spacing w:before="121"/>
              <w:ind w:left="119"/>
              <w:rPr>
                <w:rFonts w:ascii="Segoe UI"/>
                <w:sz w:val="24"/>
              </w:rPr>
            </w:pPr>
            <w:r>
              <w:rPr>
                <w:rFonts w:ascii="Segoe UI"/>
                <w:spacing w:val="-2"/>
                <w:sz w:val="24"/>
              </w:rPr>
              <w:t>23.09.2026</w:t>
            </w:r>
          </w:p>
        </w:tc>
      </w:tr>
    </w:tbl>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rPr>
          <w:rFonts w:ascii="Segoe UI"/>
          <w:b/>
          <w:sz w:val="52"/>
        </w:rPr>
      </w:pPr>
    </w:p>
    <w:p>
      <w:pPr>
        <w:pStyle w:val="BodyText"/>
        <w:spacing w:before="177"/>
        <w:rPr>
          <w:rFonts w:ascii="Segoe UI"/>
          <w:b/>
          <w:sz w:val="52"/>
        </w:rPr>
      </w:pPr>
    </w:p>
    <w:p>
      <w:pPr>
        <w:spacing w:before="0"/>
        <w:ind w:left="60" w:right="57" w:firstLine="0"/>
        <w:jc w:val="center"/>
        <w:rPr>
          <w:rFonts w:ascii="Calibri"/>
          <w:sz w:val="16"/>
        </w:rPr>
      </w:pPr>
      <w:r>
        <w:rPr>
          <w:rFonts w:ascii="Calibri"/>
          <w:color w:val="787878"/>
          <w:w w:val="105"/>
          <w:sz w:val="16"/>
        </w:rPr>
        <w:t>Regional</w:t>
      </w:r>
      <w:r>
        <w:rPr>
          <w:rFonts w:ascii="Calibri"/>
          <w:color w:val="787878"/>
          <w:spacing w:val="-1"/>
          <w:w w:val="105"/>
          <w:sz w:val="16"/>
        </w:rPr>
        <w:t> </w:t>
      </w:r>
      <w:r>
        <w:rPr>
          <w:rFonts w:ascii="Calibri"/>
          <w:color w:val="787878"/>
          <w:w w:val="105"/>
          <w:sz w:val="16"/>
        </w:rPr>
        <w:t>Stroke</w:t>
      </w:r>
      <w:r>
        <w:rPr>
          <w:rFonts w:ascii="Calibri"/>
          <w:color w:val="787878"/>
          <w:spacing w:val="-4"/>
          <w:w w:val="105"/>
          <w:sz w:val="16"/>
        </w:rPr>
        <w:t> </w:t>
      </w:r>
      <w:r>
        <w:rPr>
          <w:rFonts w:ascii="Calibri"/>
          <w:color w:val="787878"/>
          <w:spacing w:val="-5"/>
          <w:w w:val="105"/>
          <w:sz w:val="16"/>
        </w:rPr>
        <w:t>PID</w:t>
      </w:r>
    </w:p>
    <w:p>
      <w:pPr>
        <w:spacing w:after="0"/>
        <w:jc w:val="center"/>
        <w:rPr>
          <w:rFonts w:ascii="Calibri"/>
          <w:sz w:val="16"/>
        </w:rPr>
        <w:sectPr>
          <w:pgSz w:w="12240" w:h="15840"/>
          <w:pgMar w:header="0" w:footer="147" w:top="140" w:bottom="340" w:left="141" w:right="141"/>
        </w:sectPr>
      </w:pPr>
    </w:p>
    <w:p>
      <w:pPr>
        <w:tabs>
          <w:tab w:pos="7483" w:val="left" w:leader="none"/>
        </w:tabs>
        <w:spacing w:line="240" w:lineRule="auto"/>
        <w:ind w:left="1586" w:right="0" w:firstLine="0"/>
        <w:rPr>
          <w:rFonts w:ascii="Calibri"/>
          <w:sz w:val="20"/>
        </w:rPr>
      </w:pPr>
      <w:r>
        <w:rPr>
          <w:rFonts w:ascii="Calibri"/>
          <w:position w:val="2"/>
          <w:sz w:val="20"/>
        </w:rPr>
        <w:drawing>
          <wp:inline distT="0" distB="0" distL="0" distR="0">
            <wp:extent cx="1870845" cy="475487"/>
            <wp:effectExtent l="0" t="0" r="0" b="0"/>
            <wp:docPr id="253" name="Image 253"/>
            <wp:cNvGraphicFramePr>
              <a:graphicFrameLocks/>
            </wp:cNvGraphicFramePr>
            <a:graphic>
              <a:graphicData uri="http://schemas.openxmlformats.org/drawingml/2006/picture">
                <pic:pic>
                  <pic:nvPicPr>
                    <pic:cNvPr id="253" name="Image 253"/>
                    <pic:cNvPicPr/>
                  </pic:nvPicPr>
                  <pic:blipFill>
                    <a:blip r:embed="rId58" cstate="print"/>
                    <a:stretch>
                      <a:fillRect/>
                    </a:stretch>
                  </pic:blipFill>
                  <pic:spPr>
                    <a:xfrm>
                      <a:off x="0" y="0"/>
                      <a:ext cx="1870845" cy="475487"/>
                    </a:xfrm>
                    <a:prstGeom prst="rect">
                      <a:avLst/>
                    </a:prstGeom>
                  </pic:spPr>
                </pic:pic>
              </a:graphicData>
            </a:graphic>
          </wp:inline>
        </w:drawing>
      </w:r>
      <w:r>
        <w:rPr>
          <w:rFonts w:ascii="Calibri"/>
          <w:position w:val="2"/>
          <w:sz w:val="20"/>
        </w:rPr>
      </w:r>
      <w:r>
        <w:rPr>
          <w:rFonts w:ascii="Calibri"/>
          <w:position w:val="2"/>
          <w:sz w:val="20"/>
        </w:rPr>
        <w:tab/>
      </w:r>
      <w:r>
        <w:rPr>
          <w:rFonts w:ascii="Calibri"/>
          <w:sz w:val="20"/>
        </w:rPr>
        <w:drawing>
          <wp:inline distT="0" distB="0" distL="0" distR="0">
            <wp:extent cx="1912332" cy="528066"/>
            <wp:effectExtent l="0" t="0" r="0" b="0"/>
            <wp:docPr id="254" name="Image 254"/>
            <wp:cNvGraphicFramePr>
              <a:graphicFrameLocks/>
            </wp:cNvGraphicFramePr>
            <a:graphic>
              <a:graphicData uri="http://schemas.openxmlformats.org/drawingml/2006/picture">
                <pic:pic>
                  <pic:nvPicPr>
                    <pic:cNvPr id="254" name="Image 254"/>
                    <pic:cNvPicPr/>
                  </pic:nvPicPr>
                  <pic:blipFill>
                    <a:blip r:embed="rId59" cstate="print"/>
                    <a:stretch>
                      <a:fillRect/>
                    </a:stretch>
                  </pic:blipFill>
                  <pic:spPr>
                    <a:xfrm>
                      <a:off x="0" y="0"/>
                      <a:ext cx="1912332" cy="528066"/>
                    </a:xfrm>
                    <a:prstGeom prst="rect">
                      <a:avLst/>
                    </a:prstGeom>
                  </pic:spPr>
                </pic:pic>
              </a:graphicData>
            </a:graphic>
          </wp:inline>
        </w:drawing>
      </w:r>
      <w:r>
        <w:rPr>
          <w:rFonts w:ascii="Calibri"/>
          <w:sz w:val="20"/>
        </w:rPr>
      </w:r>
    </w:p>
    <w:p>
      <w:pPr>
        <w:pStyle w:val="BodyText"/>
        <w:spacing w:before="53"/>
        <w:rPr>
          <w:rFonts w:ascii="Calibri"/>
          <w:sz w:val="30"/>
        </w:rPr>
      </w:pPr>
    </w:p>
    <w:p>
      <w:pPr>
        <w:pStyle w:val="Heading3"/>
        <w:numPr>
          <w:ilvl w:val="0"/>
          <w:numId w:val="14"/>
        </w:numPr>
        <w:tabs>
          <w:tab w:pos="1009" w:val="left" w:leader="none"/>
        </w:tabs>
        <w:spacing w:line="240" w:lineRule="auto" w:before="0" w:after="0"/>
        <w:ind w:left="1009" w:right="0" w:hanging="565"/>
        <w:jc w:val="left"/>
      </w:pPr>
      <w:r>
        <w:rPr>
          <w:color w:val="1F4E79"/>
          <w:spacing w:val="-2"/>
        </w:rPr>
        <w:t>Summary</w:t>
      </w:r>
    </w:p>
    <w:p>
      <w:pPr>
        <w:pStyle w:val="BodyText"/>
        <w:spacing w:before="341"/>
        <w:ind w:left="1009" w:right="1086"/>
        <w:rPr>
          <w:rFonts w:ascii="Segoe UI"/>
        </w:rPr>
      </w:pPr>
      <w:r>
        <w:rPr>
          <w:rFonts w:ascii="Segoe UI"/>
        </w:rPr>
        <w:t>This</w:t>
      </w:r>
      <w:r>
        <w:rPr>
          <w:rFonts w:ascii="Segoe UI"/>
          <w:spacing w:val="-5"/>
        </w:rPr>
        <w:t> </w:t>
      </w:r>
      <w:r>
        <w:rPr>
          <w:rFonts w:ascii="Segoe UI"/>
        </w:rPr>
        <w:t>Project</w:t>
      </w:r>
      <w:r>
        <w:rPr>
          <w:rFonts w:ascii="Segoe UI"/>
          <w:spacing w:val="-5"/>
        </w:rPr>
        <w:t> </w:t>
      </w:r>
      <w:r>
        <w:rPr>
          <w:rFonts w:ascii="Segoe UI"/>
        </w:rPr>
        <w:t>Initiation</w:t>
      </w:r>
      <w:r>
        <w:rPr>
          <w:rFonts w:ascii="Segoe UI"/>
          <w:spacing w:val="-5"/>
        </w:rPr>
        <w:t> </w:t>
      </w:r>
      <w:r>
        <w:rPr>
          <w:rFonts w:ascii="Segoe UI"/>
        </w:rPr>
        <w:t>Document</w:t>
      </w:r>
      <w:r>
        <w:rPr>
          <w:rFonts w:ascii="Segoe UI"/>
          <w:spacing w:val="-5"/>
        </w:rPr>
        <w:t> </w:t>
      </w:r>
      <w:r>
        <w:rPr>
          <w:rFonts w:ascii="Segoe UI"/>
        </w:rPr>
        <w:t>(PID)</w:t>
      </w:r>
      <w:r>
        <w:rPr>
          <w:rFonts w:ascii="Segoe UI"/>
          <w:spacing w:val="-1"/>
        </w:rPr>
        <w:t> </w:t>
      </w:r>
      <w:r>
        <w:rPr>
          <w:rFonts w:ascii="Segoe UI"/>
        </w:rPr>
        <w:t>sets</w:t>
      </w:r>
      <w:r>
        <w:rPr>
          <w:rFonts w:ascii="Segoe UI"/>
          <w:spacing w:val="-5"/>
        </w:rPr>
        <w:t> </w:t>
      </w:r>
      <w:r>
        <w:rPr>
          <w:rFonts w:ascii="Segoe UI"/>
        </w:rPr>
        <w:t>out</w:t>
      </w:r>
      <w:r>
        <w:rPr>
          <w:rFonts w:ascii="Segoe UI"/>
          <w:spacing w:val="-5"/>
        </w:rPr>
        <w:t> </w:t>
      </w:r>
      <w:r>
        <w:rPr>
          <w:rFonts w:ascii="Segoe UI"/>
        </w:rPr>
        <w:t>proposals</w:t>
      </w:r>
      <w:r>
        <w:rPr>
          <w:rFonts w:ascii="Segoe UI"/>
          <w:spacing w:val="-5"/>
        </w:rPr>
        <w:t> </w:t>
      </w:r>
      <w:r>
        <w:rPr>
          <w:rFonts w:ascii="Segoe UI"/>
        </w:rPr>
        <w:t>for</w:t>
      </w:r>
      <w:r>
        <w:rPr>
          <w:rFonts w:ascii="Segoe UI"/>
          <w:spacing w:val="-2"/>
        </w:rPr>
        <w:t> </w:t>
      </w:r>
      <w:r>
        <w:rPr>
          <w:rFonts w:ascii="Segoe UI"/>
        </w:rPr>
        <w:t>a Regional</w:t>
      </w:r>
      <w:r>
        <w:rPr>
          <w:rFonts w:ascii="Segoe UI"/>
          <w:spacing w:val="-2"/>
        </w:rPr>
        <w:t> </w:t>
      </w:r>
      <w:r>
        <w:rPr>
          <w:rFonts w:ascii="Segoe UI"/>
        </w:rPr>
        <w:t>Stroke</w:t>
      </w:r>
      <w:r>
        <w:rPr>
          <w:rFonts w:ascii="Segoe UI"/>
          <w:spacing w:val="-4"/>
        </w:rPr>
        <w:t> </w:t>
      </w:r>
      <w:r>
        <w:rPr>
          <w:rFonts w:ascii="Segoe UI"/>
        </w:rPr>
        <w:t>Project</w:t>
      </w:r>
      <w:r>
        <w:rPr>
          <w:rFonts w:ascii="Segoe UI"/>
          <w:spacing w:val="-5"/>
        </w:rPr>
        <w:t> </w:t>
      </w:r>
      <w:r>
        <w:rPr>
          <w:rFonts w:ascii="Segoe UI"/>
        </w:rPr>
        <w:t>for Swansea Bay University Health Board (SBUHB) and Hywel Dda University Health Board </w:t>
      </w:r>
      <w:r>
        <w:rPr>
          <w:rFonts w:ascii="Segoe UI"/>
          <w:spacing w:val="-2"/>
        </w:rPr>
        <w:t>(HDUHB).</w:t>
      </w:r>
    </w:p>
    <w:p>
      <w:pPr>
        <w:pStyle w:val="BodyText"/>
        <w:spacing w:before="278"/>
        <w:ind w:left="1009" w:right="1086"/>
        <w:rPr>
          <w:rFonts w:ascii="Segoe UI" w:hAnsi="Segoe UI"/>
        </w:rPr>
      </w:pPr>
      <w:r>
        <w:rPr>
          <w:rFonts w:ascii="Segoe UI" w:hAnsi="Segoe UI"/>
        </w:rPr>
        <w:t>Stroke</w:t>
      </w:r>
      <w:r>
        <w:rPr>
          <w:rFonts w:ascii="Segoe UI" w:hAnsi="Segoe UI"/>
          <w:spacing w:val="-4"/>
        </w:rPr>
        <w:t> </w:t>
      </w:r>
      <w:r>
        <w:rPr>
          <w:rFonts w:ascii="Segoe UI" w:hAnsi="Segoe UI"/>
        </w:rPr>
        <w:t>Consultant</w:t>
      </w:r>
      <w:r>
        <w:rPr>
          <w:rFonts w:ascii="Segoe UI" w:hAnsi="Segoe UI"/>
          <w:spacing w:val="-5"/>
        </w:rPr>
        <w:t> </w:t>
      </w:r>
      <w:r>
        <w:rPr>
          <w:rFonts w:ascii="Segoe UI" w:hAnsi="Segoe UI"/>
        </w:rPr>
        <w:t>Out</w:t>
      </w:r>
      <w:r>
        <w:rPr>
          <w:rFonts w:ascii="Segoe UI" w:hAnsi="Segoe UI"/>
          <w:spacing w:val="-5"/>
        </w:rPr>
        <w:t> </w:t>
      </w:r>
      <w:r>
        <w:rPr>
          <w:rFonts w:ascii="Segoe UI" w:hAnsi="Segoe UI"/>
        </w:rPr>
        <w:t>of</w:t>
      </w:r>
      <w:r>
        <w:rPr>
          <w:rFonts w:ascii="Segoe UI" w:hAnsi="Segoe UI"/>
          <w:spacing w:val="-4"/>
        </w:rPr>
        <w:t> </w:t>
      </w:r>
      <w:r>
        <w:rPr>
          <w:rFonts w:ascii="Segoe UI" w:hAnsi="Segoe UI"/>
        </w:rPr>
        <w:t>Hours</w:t>
      </w:r>
      <w:r>
        <w:rPr>
          <w:rFonts w:ascii="Segoe UI" w:hAnsi="Segoe UI"/>
          <w:spacing w:val="-5"/>
        </w:rPr>
        <w:t> </w:t>
      </w:r>
      <w:r>
        <w:rPr>
          <w:rFonts w:ascii="Segoe UI" w:hAnsi="Segoe UI"/>
        </w:rPr>
        <w:t>(OOH)</w:t>
      </w:r>
      <w:r>
        <w:rPr>
          <w:rFonts w:ascii="Segoe UI" w:hAnsi="Segoe UI"/>
          <w:spacing w:val="-1"/>
        </w:rPr>
        <w:t> </w:t>
      </w:r>
      <w:r>
        <w:rPr>
          <w:rFonts w:ascii="Segoe UI" w:hAnsi="Segoe UI"/>
        </w:rPr>
        <w:t>Rota</w:t>
      </w:r>
      <w:r>
        <w:rPr>
          <w:rFonts w:ascii="Segoe UI" w:hAnsi="Segoe UI"/>
          <w:spacing w:val="-1"/>
        </w:rPr>
        <w:t> </w:t>
      </w:r>
      <w:r>
        <w:rPr>
          <w:rFonts w:ascii="Segoe UI" w:hAnsi="Segoe UI"/>
        </w:rPr>
        <w:t>–</w:t>
      </w:r>
      <w:r>
        <w:rPr>
          <w:rFonts w:ascii="Segoe UI" w:hAnsi="Segoe UI"/>
          <w:spacing w:val="-3"/>
        </w:rPr>
        <w:t> </w:t>
      </w:r>
      <w:r>
        <w:rPr>
          <w:rFonts w:ascii="Segoe UI" w:hAnsi="Segoe UI"/>
        </w:rPr>
        <w:t>where</w:t>
      </w:r>
      <w:r>
        <w:rPr>
          <w:rFonts w:ascii="Segoe UI" w:hAnsi="Segoe UI"/>
          <w:spacing w:val="-4"/>
        </w:rPr>
        <w:t> </w:t>
      </w:r>
      <w:r>
        <w:rPr>
          <w:rFonts w:ascii="Segoe UI" w:hAnsi="Segoe UI"/>
        </w:rPr>
        <w:t>patients</w:t>
      </w:r>
      <w:r>
        <w:rPr>
          <w:rFonts w:ascii="Segoe UI" w:hAnsi="Segoe UI"/>
          <w:spacing w:val="-5"/>
        </w:rPr>
        <w:t> </w:t>
      </w:r>
      <w:r>
        <w:rPr>
          <w:rFonts w:ascii="Segoe UI" w:hAnsi="Segoe UI"/>
        </w:rPr>
        <w:t>present</w:t>
      </w:r>
      <w:r>
        <w:rPr>
          <w:rFonts w:ascii="Segoe UI" w:hAnsi="Segoe UI"/>
          <w:spacing w:val="-5"/>
        </w:rPr>
        <w:t> </w:t>
      </w:r>
      <w:r>
        <w:rPr>
          <w:rFonts w:ascii="Segoe UI" w:hAnsi="Segoe UI"/>
        </w:rPr>
        <w:t>to an acute hospital</w:t>
      </w:r>
      <w:r>
        <w:rPr>
          <w:rFonts w:ascii="Segoe UI" w:hAnsi="Segoe UI"/>
          <w:spacing w:val="-2"/>
        </w:rPr>
        <w:t> </w:t>
      </w:r>
      <w:r>
        <w:rPr>
          <w:rFonts w:ascii="Segoe UI" w:hAnsi="Segoe UI"/>
        </w:rPr>
        <w:t>in Swansea Bay or Hywel Dda (CTP, Thrombosis, Thrombolysis)</w:t>
      </w:r>
    </w:p>
    <w:p>
      <w:pPr>
        <w:pStyle w:val="BodyText"/>
        <w:spacing w:before="163"/>
        <w:rPr>
          <w:rFonts w:ascii="Segoe UI"/>
        </w:rPr>
      </w:pPr>
    </w:p>
    <w:p>
      <w:pPr>
        <w:pStyle w:val="Heading3"/>
        <w:numPr>
          <w:ilvl w:val="0"/>
          <w:numId w:val="14"/>
        </w:numPr>
        <w:tabs>
          <w:tab w:pos="1009" w:val="left" w:leader="none"/>
        </w:tabs>
        <w:spacing w:line="240" w:lineRule="auto" w:before="0" w:after="0"/>
        <w:ind w:left="1009" w:right="0" w:hanging="565"/>
        <w:jc w:val="left"/>
      </w:pPr>
      <w:r>
        <w:rPr>
          <w:color w:val="1F4E79"/>
        </w:rPr>
        <w:t>Project</w:t>
      </w:r>
      <w:r>
        <w:rPr>
          <w:color w:val="1F4E79"/>
          <w:spacing w:val="-6"/>
        </w:rPr>
        <w:t> </w:t>
      </w:r>
      <w:r>
        <w:rPr>
          <w:color w:val="1F4E79"/>
        </w:rPr>
        <w:t>Background /</w:t>
      </w:r>
      <w:r>
        <w:rPr>
          <w:color w:val="1F4E79"/>
          <w:spacing w:val="2"/>
        </w:rPr>
        <w:t> </w:t>
      </w:r>
      <w:r>
        <w:rPr>
          <w:color w:val="1F4E79"/>
          <w:spacing w:val="-2"/>
        </w:rPr>
        <w:t>Context</w:t>
      </w:r>
    </w:p>
    <w:p>
      <w:pPr>
        <w:pStyle w:val="BodyText"/>
        <w:spacing w:before="341"/>
        <w:ind w:left="1009" w:right="1086"/>
        <w:rPr>
          <w:rFonts w:ascii="Segoe UI"/>
        </w:rPr>
      </w:pPr>
      <w:r>
        <w:rPr>
          <w:rFonts w:ascii="Segoe UI"/>
        </w:rPr>
        <w:t>There has been a regional collaboration for stroke in West Wales since 2022.</w:t>
      </w:r>
      <w:r>
        <w:rPr>
          <w:rFonts w:ascii="Segoe UI"/>
          <w:spacing w:val="40"/>
        </w:rPr>
        <w:t> </w:t>
      </w:r>
      <w:r>
        <w:rPr>
          <w:rFonts w:ascii="Segoe UI"/>
        </w:rPr>
        <w:t>Initial work focused</w:t>
      </w:r>
      <w:r>
        <w:rPr>
          <w:rFonts w:ascii="Segoe UI"/>
          <w:spacing w:val="-6"/>
        </w:rPr>
        <w:t> </w:t>
      </w:r>
      <w:r>
        <w:rPr>
          <w:rFonts w:ascii="Segoe UI"/>
        </w:rPr>
        <w:t>on</w:t>
      </w:r>
      <w:r>
        <w:rPr>
          <w:rFonts w:ascii="Segoe UI"/>
          <w:spacing w:val="-5"/>
        </w:rPr>
        <w:t> </w:t>
      </w:r>
      <w:r>
        <w:rPr>
          <w:rFonts w:ascii="Segoe UI"/>
        </w:rPr>
        <w:t>developing</w:t>
      </w:r>
      <w:r>
        <w:rPr>
          <w:rFonts w:ascii="Segoe UI"/>
          <w:spacing w:val="-1"/>
        </w:rPr>
        <w:t> </w:t>
      </w:r>
      <w:r>
        <w:rPr>
          <w:rFonts w:ascii="Segoe UI"/>
        </w:rPr>
        <w:t>a</w:t>
      </w:r>
      <w:r>
        <w:rPr>
          <w:rFonts w:ascii="Segoe UI"/>
          <w:spacing w:val="-6"/>
        </w:rPr>
        <w:t> </w:t>
      </w:r>
      <w:r>
        <w:rPr>
          <w:rFonts w:ascii="Segoe UI"/>
        </w:rPr>
        <w:t>business</w:t>
      </w:r>
      <w:r>
        <w:rPr>
          <w:rFonts w:ascii="Segoe UI"/>
          <w:spacing w:val="-1"/>
        </w:rPr>
        <w:t> </w:t>
      </w:r>
      <w:r>
        <w:rPr>
          <w:rFonts w:ascii="Segoe UI"/>
        </w:rPr>
        <w:t>case</w:t>
      </w:r>
      <w:r>
        <w:rPr>
          <w:rFonts w:ascii="Segoe UI"/>
          <w:spacing w:val="-5"/>
        </w:rPr>
        <w:t> </w:t>
      </w:r>
      <w:r>
        <w:rPr>
          <w:rFonts w:ascii="Segoe UI"/>
        </w:rPr>
        <w:t>for</w:t>
      </w:r>
      <w:r>
        <w:rPr>
          <w:rFonts w:ascii="Segoe UI"/>
          <w:spacing w:val="-3"/>
        </w:rPr>
        <w:t> </w:t>
      </w:r>
      <w:r>
        <w:rPr>
          <w:rFonts w:ascii="Segoe UI"/>
        </w:rPr>
        <w:t>a</w:t>
      </w:r>
      <w:r>
        <w:rPr>
          <w:rFonts w:ascii="Segoe UI"/>
          <w:spacing w:val="-6"/>
        </w:rPr>
        <w:t> </w:t>
      </w:r>
      <w:r>
        <w:rPr>
          <w:rFonts w:ascii="Segoe UI"/>
        </w:rPr>
        <w:t>comprehensive</w:t>
      </w:r>
      <w:r>
        <w:rPr>
          <w:rFonts w:ascii="Segoe UI"/>
          <w:spacing w:val="-5"/>
        </w:rPr>
        <w:t> </w:t>
      </w:r>
      <w:r>
        <w:rPr>
          <w:rFonts w:ascii="Segoe UI"/>
        </w:rPr>
        <w:t>regional stroke</w:t>
      </w:r>
      <w:r>
        <w:rPr>
          <w:rFonts w:ascii="Segoe UI"/>
          <w:spacing w:val="-5"/>
        </w:rPr>
        <w:t> </w:t>
      </w:r>
      <w:r>
        <w:rPr>
          <w:rFonts w:ascii="Segoe UI"/>
        </w:rPr>
        <w:t>centre,</w:t>
      </w:r>
      <w:r>
        <w:rPr>
          <w:rFonts w:ascii="Segoe UI"/>
          <w:spacing w:val="-6"/>
        </w:rPr>
        <w:t> </w:t>
      </w:r>
      <w:r>
        <w:rPr>
          <w:rFonts w:ascii="Segoe UI"/>
        </w:rPr>
        <w:t>which</w:t>
      </w:r>
      <w:r>
        <w:rPr>
          <w:rFonts w:ascii="Segoe UI"/>
          <w:spacing w:val="-5"/>
        </w:rPr>
        <w:t> </w:t>
      </w:r>
      <w:r>
        <w:rPr>
          <w:rFonts w:ascii="Segoe UI"/>
        </w:rPr>
        <w:t>has been helpful in setting the foundations for this current project.</w:t>
      </w:r>
    </w:p>
    <w:p>
      <w:pPr>
        <w:pStyle w:val="BodyText"/>
        <w:spacing w:before="277"/>
        <w:ind w:left="1009" w:right="1086"/>
        <w:rPr>
          <w:rFonts w:ascii="Segoe UI" w:hAnsi="Segoe UI"/>
        </w:rPr>
      </w:pPr>
      <w:r>
        <w:rPr>
          <w:rFonts w:ascii="Segoe UI" w:hAnsi="Segoe UI"/>
        </w:rPr>
        <w:t>There is ongoing work being led by the Stroke implementation Network (lead by NHS P&amp;I) guided by the Welsh Government’s </w:t>
      </w:r>
      <w:hyperlink r:id="rId60">
        <w:r>
          <w:rPr>
            <w:rFonts w:ascii="Segoe UI" w:hAnsi="Segoe UI"/>
            <w:color w:val="0000FF"/>
            <w:u w:val="single" w:color="0000FF"/>
          </w:rPr>
          <w:t>Stroke Quality Statement</w:t>
        </w:r>
        <w:r>
          <w:rPr>
            <w:rFonts w:ascii="Segoe UI" w:hAnsi="Segoe UI"/>
            <w:u w:val="none"/>
          </w:rPr>
          <w:t>,</w:t>
        </w:r>
      </w:hyperlink>
      <w:r>
        <w:rPr>
          <w:rFonts w:ascii="Segoe UI" w:hAnsi="Segoe UI"/>
          <w:u w:val="none"/>
        </w:rPr>
        <w:t> including baselining against national standards, which currently waiting on national programme reviews and standardisation of data.</w:t>
      </w:r>
      <w:r>
        <w:rPr>
          <w:rFonts w:ascii="Segoe UI" w:hAnsi="Segoe UI"/>
          <w:spacing w:val="40"/>
          <w:u w:val="none"/>
        </w:rPr>
        <w:t> </w:t>
      </w:r>
      <w:r>
        <w:rPr>
          <w:rFonts w:ascii="Segoe UI" w:hAnsi="Segoe UI"/>
          <w:u w:val="none"/>
        </w:rPr>
        <w:t>This may require future regional activity and coordination.</w:t>
      </w:r>
      <w:r>
        <w:rPr>
          <w:rFonts w:ascii="Segoe UI" w:hAnsi="Segoe UI"/>
          <w:spacing w:val="40"/>
          <w:u w:val="none"/>
        </w:rPr>
        <w:t> </w:t>
      </w:r>
      <w:r>
        <w:rPr>
          <w:rFonts w:ascii="Segoe UI" w:hAnsi="Segoe UI"/>
          <w:u w:val="none"/>
        </w:rPr>
        <w:t>Hywel Dda’s</w:t>
      </w:r>
      <w:r>
        <w:rPr>
          <w:rFonts w:ascii="Segoe UI" w:hAnsi="Segoe UI"/>
          <w:spacing w:val="-5"/>
          <w:u w:val="none"/>
        </w:rPr>
        <w:t> </w:t>
      </w:r>
      <w:r>
        <w:rPr>
          <w:rFonts w:ascii="Segoe UI" w:hAnsi="Segoe UI"/>
          <w:u w:val="none"/>
        </w:rPr>
        <w:t>ongoing</w:t>
      </w:r>
      <w:r>
        <w:rPr>
          <w:rFonts w:ascii="Segoe UI" w:hAnsi="Segoe UI"/>
          <w:spacing w:val="-5"/>
          <w:u w:val="none"/>
        </w:rPr>
        <w:t> </w:t>
      </w:r>
      <w:r>
        <w:rPr>
          <w:rFonts w:ascii="Segoe UI" w:hAnsi="Segoe UI"/>
          <w:u w:val="none"/>
        </w:rPr>
        <w:t>work</w:t>
      </w:r>
      <w:r>
        <w:rPr>
          <w:rFonts w:ascii="Segoe UI" w:hAnsi="Segoe UI"/>
          <w:spacing w:val="-2"/>
          <w:u w:val="none"/>
        </w:rPr>
        <w:t> </w:t>
      </w:r>
      <w:r>
        <w:rPr>
          <w:rFonts w:ascii="Segoe UI" w:hAnsi="Segoe UI"/>
          <w:u w:val="none"/>
        </w:rPr>
        <w:t>on</w:t>
      </w:r>
      <w:r>
        <w:rPr>
          <w:rFonts w:ascii="Segoe UI" w:hAnsi="Segoe UI"/>
          <w:spacing w:val="-5"/>
          <w:u w:val="none"/>
        </w:rPr>
        <w:t> </w:t>
      </w:r>
      <w:r>
        <w:rPr>
          <w:rFonts w:ascii="Segoe UI" w:hAnsi="Segoe UI"/>
          <w:u w:val="none"/>
        </w:rPr>
        <w:t>the</w:t>
      </w:r>
      <w:r>
        <w:rPr>
          <w:rFonts w:ascii="Segoe UI" w:hAnsi="Segoe UI"/>
          <w:spacing w:val="-4"/>
          <w:u w:val="none"/>
        </w:rPr>
        <w:t> </w:t>
      </w:r>
      <w:r>
        <w:rPr>
          <w:rFonts w:ascii="Segoe UI" w:hAnsi="Segoe UI"/>
          <w:u w:val="none"/>
        </w:rPr>
        <w:t>CSP</w:t>
      </w:r>
      <w:r>
        <w:rPr>
          <w:rFonts w:ascii="Segoe UI" w:hAnsi="Segoe UI"/>
          <w:spacing w:val="-2"/>
          <w:u w:val="none"/>
        </w:rPr>
        <w:t> </w:t>
      </w:r>
      <w:r>
        <w:rPr>
          <w:rFonts w:ascii="Segoe UI" w:hAnsi="Segoe UI"/>
          <w:u w:val="none"/>
        </w:rPr>
        <w:t>for</w:t>
      </w:r>
      <w:r>
        <w:rPr>
          <w:rFonts w:ascii="Segoe UI" w:hAnsi="Segoe UI"/>
          <w:spacing w:val="-2"/>
          <w:u w:val="none"/>
        </w:rPr>
        <w:t> </w:t>
      </w:r>
      <w:r>
        <w:rPr>
          <w:rFonts w:ascii="Segoe UI" w:hAnsi="Segoe UI"/>
          <w:u w:val="none"/>
        </w:rPr>
        <w:t>stroke and</w:t>
      </w:r>
      <w:r>
        <w:rPr>
          <w:rFonts w:ascii="Segoe UI" w:hAnsi="Segoe UI"/>
          <w:spacing w:val="-5"/>
          <w:u w:val="none"/>
        </w:rPr>
        <w:t> </w:t>
      </w:r>
      <w:r>
        <w:rPr>
          <w:rFonts w:ascii="Segoe UI" w:hAnsi="Segoe UI"/>
          <w:u w:val="none"/>
        </w:rPr>
        <w:t>Swansea</w:t>
      </w:r>
      <w:r>
        <w:rPr>
          <w:rFonts w:ascii="Segoe UI" w:hAnsi="Segoe UI"/>
          <w:spacing w:val="-6"/>
          <w:u w:val="none"/>
        </w:rPr>
        <w:t> </w:t>
      </w:r>
      <w:r>
        <w:rPr>
          <w:rFonts w:ascii="Segoe UI" w:hAnsi="Segoe UI"/>
          <w:u w:val="none"/>
        </w:rPr>
        <w:t>Bay emerging</w:t>
      </w:r>
      <w:r>
        <w:rPr>
          <w:rFonts w:ascii="Segoe UI" w:hAnsi="Segoe UI"/>
          <w:spacing w:val="-5"/>
          <w:u w:val="none"/>
        </w:rPr>
        <w:t> </w:t>
      </w:r>
      <w:r>
        <w:rPr>
          <w:rFonts w:ascii="Segoe UI" w:hAnsi="Segoe UI"/>
          <w:u w:val="none"/>
        </w:rPr>
        <w:t>CSP</w:t>
      </w:r>
      <w:r>
        <w:rPr>
          <w:rFonts w:ascii="Segoe UI" w:hAnsi="Segoe UI"/>
          <w:spacing w:val="-2"/>
          <w:u w:val="none"/>
        </w:rPr>
        <w:t> </w:t>
      </w:r>
      <w:r>
        <w:rPr>
          <w:rFonts w:ascii="Segoe UI" w:hAnsi="Segoe UI"/>
          <w:u w:val="none"/>
        </w:rPr>
        <w:t>work also</w:t>
      </w:r>
      <w:r>
        <w:rPr>
          <w:rFonts w:ascii="Segoe UI" w:hAnsi="Segoe UI"/>
          <w:spacing w:val="-4"/>
          <w:u w:val="none"/>
        </w:rPr>
        <w:t> </w:t>
      </w:r>
      <w:r>
        <w:rPr>
          <w:rFonts w:ascii="Segoe UI" w:hAnsi="Segoe UI"/>
          <w:u w:val="none"/>
        </w:rPr>
        <w:t>provide a backdrop this project.</w:t>
      </w:r>
    </w:p>
    <w:p>
      <w:pPr>
        <w:pStyle w:val="BodyText"/>
        <w:spacing w:before="281"/>
        <w:ind w:left="1009" w:right="1269"/>
        <w:rPr>
          <w:rFonts w:ascii="Segoe UI"/>
        </w:rPr>
      </w:pPr>
      <w:r>
        <w:rPr>
          <w:rFonts w:ascii="Segoe UI"/>
        </w:rPr>
        <w:t>Plans</w:t>
      </w:r>
      <w:r>
        <w:rPr>
          <w:rFonts w:ascii="Segoe UI"/>
          <w:spacing w:val="-6"/>
        </w:rPr>
        <w:t> </w:t>
      </w:r>
      <w:r>
        <w:rPr>
          <w:rFonts w:ascii="Segoe UI"/>
        </w:rPr>
        <w:t>are</w:t>
      </w:r>
      <w:r>
        <w:rPr>
          <w:rFonts w:ascii="Segoe UI"/>
          <w:spacing w:val="-5"/>
        </w:rPr>
        <w:t> </w:t>
      </w:r>
      <w:r>
        <w:rPr>
          <w:rFonts w:ascii="Segoe UI"/>
        </w:rPr>
        <w:t>set</w:t>
      </w:r>
      <w:r>
        <w:rPr>
          <w:rFonts w:ascii="Segoe UI"/>
          <w:spacing w:val="-6"/>
        </w:rPr>
        <w:t> </w:t>
      </w:r>
      <w:r>
        <w:rPr>
          <w:rFonts w:ascii="Segoe UI"/>
        </w:rPr>
        <w:t>within</w:t>
      </w:r>
      <w:r>
        <w:rPr>
          <w:rFonts w:ascii="Segoe UI"/>
          <w:spacing w:val="-5"/>
        </w:rPr>
        <w:t> </w:t>
      </w:r>
      <w:r>
        <w:rPr>
          <w:rFonts w:ascii="Segoe UI"/>
        </w:rPr>
        <w:t>this</w:t>
      </w:r>
      <w:r>
        <w:rPr>
          <w:rFonts w:ascii="Segoe UI"/>
          <w:spacing w:val="-6"/>
        </w:rPr>
        <w:t> </w:t>
      </w:r>
      <w:r>
        <w:rPr>
          <w:rFonts w:ascii="Segoe UI"/>
        </w:rPr>
        <w:t>context</w:t>
      </w:r>
      <w:r>
        <w:rPr>
          <w:rFonts w:ascii="Segoe UI"/>
          <w:spacing w:val="-1"/>
        </w:rPr>
        <w:t> </w:t>
      </w:r>
      <w:r>
        <w:rPr>
          <w:rFonts w:ascii="Segoe UI"/>
        </w:rPr>
        <w:t>and</w:t>
      </w:r>
      <w:r>
        <w:rPr>
          <w:rFonts w:ascii="Segoe UI"/>
          <w:spacing w:val="-6"/>
        </w:rPr>
        <w:t> </w:t>
      </w:r>
      <w:r>
        <w:rPr>
          <w:rFonts w:ascii="Segoe UI"/>
        </w:rPr>
        <w:t>limitations</w:t>
      </w:r>
      <w:r>
        <w:rPr>
          <w:rFonts w:ascii="Segoe UI"/>
          <w:spacing w:val="-1"/>
        </w:rPr>
        <w:t> </w:t>
      </w:r>
      <w:r>
        <w:rPr>
          <w:rFonts w:ascii="Segoe UI"/>
        </w:rPr>
        <w:t>on</w:t>
      </w:r>
      <w:r>
        <w:rPr>
          <w:rFonts w:ascii="Segoe UI"/>
          <w:spacing w:val="-6"/>
        </w:rPr>
        <w:t> </w:t>
      </w:r>
      <w:r>
        <w:rPr>
          <w:rFonts w:ascii="Segoe UI"/>
        </w:rPr>
        <w:t>resources</w:t>
      </w:r>
      <w:r>
        <w:rPr>
          <w:rFonts w:ascii="Segoe UI"/>
          <w:spacing w:val="-7"/>
        </w:rPr>
        <w:t> </w:t>
      </w:r>
      <w:r>
        <w:rPr>
          <w:rFonts w:ascii="Segoe UI"/>
        </w:rPr>
        <w:t>operational</w:t>
      </w:r>
      <w:r>
        <w:rPr>
          <w:rFonts w:ascii="Segoe UI"/>
          <w:spacing w:val="-3"/>
        </w:rPr>
        <w:t> </w:t>
      </w:r>
      <w:r>
        <w:rPr>
          <w:rFonts w:ascii="Segoe UI"/>
        </w:rPr>
        <w:t>and</w:t>
      </w:r>
      <w:r>
        <w:rPr>
          <w:rFonts w:ascii="Segoe UI"/>
          <w:spacing w:val="-1"/>
        </w:rPr>
        <w:t> </w:t>
      </w:r>
      <w:r>
        <w:rPr>
          <w:rFonts w:ascii="Segoe UI"/>
        </w:rPr>
        <w:t>project resources to support regional project delivery at this time.</w:t>
      </w:r>
    </w:p>
    <w:p>
      <w:pPr>
        <w:pStyle w:val="BodyText"/>
        <w:spacing w:before="163"/>
        <w:rPr>
          <w:rFonts w:ascii="Segoe UI"/>
        </w:rPr>
      </w:pPr>
    </w:p>
    <w:p>
      <w:pPr>
        <w:pStyle w:val="Heading3"/>
        <w:numPr>
          <w:ilvl w:val="0"/>
          <w:numId w:val="14"/>
        </w:numPr>
        <w:tabs>
          <w:tab w:pos="1009" w:val="left" w:leader="none"/>
        </w:tabs>
        <w:spacing w:line="240" w:lineRule="auto" w:before="0" w:after="0"/>
        <w:ind w:left="1009" w:right="0" w:hanging="565"/>
        <w:jc w:val="left"/>
      </w:pPr>
      <w:r>
        <w:rPr>
          <w:color w:val="1F4E79"/>
        </w:rPr>
        <w:t>Project</w:t>
      </w:r>
      <w:r>
        <w:rPr>
          <w:color w:val="1F4E79"/>
          <w:spacing w:val="-2"/>
        </w:rPr>
        <w:t> </w:t>
      </w:r>
      <w:r>
        <w:rPr>
          <w:color w:val="1F4E79"/>
        </w:rPr>
        <w:t>Ambition</w:t>
      </w:r>
      <w:r>
        <w:rPr>
          <w:color w:val="1F4E79"/>
          <w:spacing w:val="-1"/>
        </w:rPr>
        <w:t> </w:t>
      </w:r>
      <w:r>
        <w:rPr>
          <w:color w:val="1F4E79"/>
          <w:spacing w:val="-2"/>
        </w:rPr>
        <w:t>Statement</w:t>
      </w:r>
    </w:p>
    <w:p>
      <w:pPr>
        <w:pStyle w:val="BodyText"/>
        <w:spacing w:line="273" w:lineRule="auto" w:before="181"/>
        <w:ind w:left="1009" w:right="1086"/>
        <w:rPr>
          <w:rFonts w:ascii="Segoe UI"/>
        </w:rPr>
      </w:pPr>
      <w:r>
        <w:rPr>
          <w:rFonts w:ascii="Segoe UI"/>
        </w:rPr>
        <w:t>Develop</w:t>
      </w:r>
      <w:r>
        <w:rPr>
          <w:rFonts w:ascii="Segoe UI"/>
          <w:spacing w:val="-6"/>
        </w:rPr>
        <w:t> </w:t>
      </w:r>
      <w:r>
        <w:rPr>
          <w:rFonts w:ascii="Segoe UI"/>
        </w:rPr>
        <w:t>proposals</w:t>
      </w:r>
      <w:r>
        <w:rPr>
          <w:rFonts w:ascii="Segoe UI"/>
          <w:spacing w:val="-6"/>
        </w:rPr>
        <w:t> </w:t>
      </w:r>
      <w:r>
        <w:rPr>
          <w:rFonts w:ascii="Segoe UI"/>
        </w:rPr>
        <w:t>for an</w:t>
      </w:r>
      <w:r>
        <w:rPr>
          <w:rFonts w:ascii="Segoe UI"/>
          <w:spacing w:val="-5"/>
        </w:rPr>
        <w:t> </w:t>
      </w:r>
      <w:r>
        <w:rPr>
          <w:rFonts w:ascii="Segoe UI"/>
        </w:rPr>
        <w:t>Out</w:t>
      </w:r>
      <w:r>
        <w:rPr>
          <w:rFonts w:ascii="Segoe UI"/>
          <w:spacing w:val="-6"/>
        </w:rPr>
        <w:t> </w:t>
      </w:r>
      <w:r>
        <w:rPr>
          <w:rFonts w:ascii="Segoe UI"/>
        </w:rPr>
        <w:t>of</w:t>
      </w:r>
      <w:r>
        <w:rPr>
          <w:rFonts w:ascii="Segoe UI"/>
          <w:spacing w:val="-5"/>
        </w:rPr>
        <w:t> </w:t>
      </w:r>
      <w:r>
        <w:rPr>
          <w:rFonts w:ascii="Segoe UI"/>
        </w:rPr>
        <w:t>Hours</w:t>
      </w:r>
      <w:r>
        <w:rPr>
          <w:rFonts w:ascii="Segoe UI"/>
          <w:spacing w:val="-2"/>
        </w:rPr>
        <w:t> </w:t>
      </w:r>
      <w:r>
        <w:rPr>
          <w:rFonts w:ascii="Segoe UI"/>
        </w:rPr>
        <w:t>solution</w:t>
      </w:r>
      <w:r>
        <w:rPr>
          <w:rFonts w:ascii="Segoe UI"/>
          <w:spacing w:val="-2"/>
        </w:rPr>
        <w:t> </w:t>
      </w:r>
      <w:r>
        <w:rPr>
          <w:rFonts w:ascii="Segoe UI"/>
        </w:rPr>
        <w:t>for</w:t>
      </w:r>
      <w:r>
        <w:rPr>
          <w:rFonts w:ascii="Segoe UI"/>
          <w:spacing w:val="-3"/>
        </w:rPr>
        <w:t> </w:t>
      </w:r>
      <w:r>
        <w:rPr>
          <w:rFonts w:ascii="Segoe UI"/>
        </w:rPr>
        <w:t>where</w:t>
      </w:r>
      <w:r>
        <w:rPr>
          <w:rFonts w:ascii="Segoe UI"/>
          <w:spacing w:val="-1"/>
        </w:rPr>
        <w:t> </w:t>
      </w:r>
      <w:r>
        <w:rPr>
          <w:rFonts w:ascii="Segoe UI"/>
        </w:rPr>
        <w:t>patients</w:t>
      </w:r>
      <w:r>
        <w:rPr>
          <w:rFonts w:ascii="Segoe UI"/>
          <w:spacing w:val="-2"/>
        </w:rPr>
        <w:t> </w:t>
      </w:r>
      <w:r>
        <w:rPr>
          <w:rFonts w:ascii="Segoe UI"/>
        </w:rPr>
        <w:t>present</w:t>
      </w:r>
      <w:r>
        <w:rPr>
          <w:rFonts w:ascii="Segoe UI"/>
          <w:spacing w:val="-2"/>
        </w:rPr>
        <w:t> </w:t>
      </w:r>
      <w:r>
        <w:rPr>
          <w:rFonts w:ascii="Segoe UI"/>
        </w:rPr>
        <w:t>to</w:t>
      </w:r>
      <w:r>
        <w:rPr>
          <w:rFonts w:ascii="Segoe UI"/>
          <w:spacing w:val="-5"/>
        </w:rPr>
        <w:t> </w:t>
      </w:r>
      <w:r>
        <w:rPr>
          <w:rFonts w:ascii="Segoe UI"/>
        </w:rPr>
        <w:t>an</w:t>
      </w:r>
      <w:r>
        <w:rPr>
          <w:rFonts w:ascii="Segoe UI"/>
          <w:spacing w:val="-5"/>
        </w:rPr>
        <w:t> </w:t>
      </w:r>
      <w:r>
        <w:rPr>
          <w:rFonts w:ascii="Segoe UI"/>
        </w:rPr>
        <w:t>acute hospital in Swansea Bay or Hywel Dda (CTP, Thrombosis, Thrombolysis).</w:t>
      </w:r>
    </w:p>
    <w:p>
      <w:pPr>
        <w:pStyle w:val="BodyText"/>
        <w:spacing w:before="169"/>
        <w:rPr>
          <w:rFonts w:ascii="Segoe UI"/>
        </w:rPr>
      </w:pPr>
    </w:p>
    <w:p>
      <w:pPr>
        <w:pStyle w:val="Heading3"/>
        <w:numPr>
          <w:ilvl w:val="0"/>
          <w:numId w:val="14"/>
        </w:numPr>
        <w:tabs>
          <w:tab w:pos="1009" w:val="left" w:leader="none"/>
        </w:tabs>
        <w:spacing w:line="240" w:lineRule="auto" w:before="0" w:after="0"/>
        <w:ind w:left="1009" w:right="0" w:hanging="565"/>
        <w:jc w:val="left"/>
      </w:pPr>
      <w:r>
        <w:rPr>
          <w:color w:val="1F4E79"/>
        </w:rPr>
        <w:t>Desired</w:t>
      </w:r>
      <w:r>
        <w:rPr>
          <w:color w:val="1F4E79"/>
          <w:spacing w:val="-2"/>
        </w:rPr>
        <w:t> </w:t>
      </w:r>
      <w:r>
        <w:rPr>
          <w:color w:val="1F4E79"/>
        </w:rPr>
        <w:t>Outcomes</w:t>
      </w:r>
      <w:r>
        <w:rPr>
          <w:color w:val="1F4E79"/>
          <w:spacing w:val="2"/>
        </w:rPr>
        <w:t> </w:t>
      </w:r>
      <w:r>
        <w:rPr>
          <w:color w:val="1F4E79"/>
        </w:rPr>
        <w:t>-</w:t>
      </w:r>
      <w:r>
        <w:rPr>
          <w:color w:val="1F4E79"/>
          <w:spacing w:val="-6"/>
        </w:rPr>
        <w:t> </w:t>
      </w:r>
      <w:r>
        <w:rPr>
          <w:color w:val="1F4E79"/>
        </w:rPr>
        <w:t>Objectives</w:t>
      </w:r>
      <w:r>
        <w:rPr>
          <w:color w:val="1F4E79"/>
          <w:spacing w:val="-2"/>
        </w:rPr>
        <w:t> </w:t>
      </w:r>
      <w:r>
        <w:rPr>
          <w:color w:val="1F4E79"/>
        </w:rPr>
        <w:t>/</w:t>
      </w:r>
      <w:r>
        <w:rPr>
          <w:color w:val="1F4E79"/>
          <w:spacing w:val="-3"/>
        </w:rPr>
        <w:t> </w:t>
      </w:r>
      <w:r>
        <w:rPr>
          <w:color w:val="1F4E79"/>
        </w:rPr>
        <w:t>Aims</w:t>
      </w:r>
      <w:r>
        <w:rPr>
          <w:color w:val="1F4E79"/>
          <w:spacing w:val="-2"/>
        </w:rPr>
        <w:t> </w:t>
      </w:r>
      <w:r>
        <w:rPr>
          <w:color w:val="1F4E79"/>
        </w:rPr>
        <w:t>/</w:t>
      </w:r>
      <w:r>
        <w:rPr>
          <w:color w:val="1F4E79"/>
          <w:spacing w:val="3"/>
        </w:rPr>
        <w:t> </w:t>
      </w:r>
      <w:r>
        <w:rPr>
          <w:color w:val="1F4E79"/>
          <w:spacing w:val="-2"/>
        </w:rPr>
        <w:t>Benefits</w:t>
      </w:r>
    </w:p>
    <w:p>
      <w:pPr>
        <w:spacing w:before="340"/>
        <w:ind w:left="1009" w:right="0" w:firstLine="0"/>
        <w:jc w:val="left"/>
        <w:rPr>
          <w:rFonts w:ascii="Segoe UI"/>
          <w:b/>
          <w:sz w:val="24"/>
        </w:rPr>
      </w:pPr>
      <w:r>
        <w:rPr>
          <w:rFonts w:ascii="Segoe UI"/>
          <w:b/>
          <w:sz w:val="24"/>
        </w:rPr>
        <w:t>Patient</w:t>
      </w:r>
      <w:r>
        <w:rPr>
          <w:rFonts w:ascii="Segoe UI"/>
          <w:b/>
          <w:spacing w:val="-2"/>
          <w:sz w:val="24"/>
        </w:rPr>
        <w:t> Outcomes</w:t>
      </w:r>
    </w:p>
    <w:p>
      <w:pPr>
        <w:pStyle w:val="BodyText"/>
        <w:tabs>
          <w:tab w:pos="1729" w:val="left" w:leader="none"/>
        </w:tabs>
        <w:spacing w:line="237" w:lineRule="auto" w:before="279"/>
        <w:ind w:left="1730" w:right="1721" w:hanging="361"/>
        <w:rPr>
          <w:rFonts w:ascii="Segoe UI" w:hAnsi="Segoe UI"/>
        </w:rPr>
      </w:pPr>
      <w:r>
        <w:rPr>
          <w:rFonts w:ascii="Calibri" w:hAnsi="Calibri"/>
          <w:spacing w:val="-10"/>
        </w:rPr>
        <w:t>−</w:t>
      </w:r>
      <w:r>
        <w:rPr>
          <w:rFonts w:ascii="Calibri" w:hAnsi="Calibri"/>
        </w:rPr>
        <w:tab/>
      </w:r>
      <w:r>
        <w:rPr>
          <w:rFonts w:ascii="Segoe UI" w:hAnsi="Segoe UI"/>
        </w:rPr>
        <w:t>Timely</w:t>
      </w:r>
      <w:r>
        <w:rPr>
          <w:rFonts w:ascii="Segoe UI" w:hAnsi="Segoe UI"/>
          <w:spacing w:val="-6"/>
        </w:rPr>
        <w:t> </w:t>
      </w:r>
      <w:r>
        <w:rPr>
          <w:rFonts w:ascii="Segoe UI" w:hAnsi="Segoe UI"/>
        </w:rPr>
        <w:t>access</w:t>
      </w:r>
      <w:r>
        <w:rPr>
          <w:rFonts w:ascii="Segoe UI" w:hAnsi="Segoe UI"/>
          <w:spacing w:val="-7"/>
        </w:rPr>
        <w:t> </w:t>
      </w:r>
      <w:r>
        <w:rPr>
          <w:rFonts w:ascii="Segoe UI" w:hAnsi="Segoe UI"/>
        </w:rPr>
        <w:t>to</w:t>
      </w:r>
      <w:r>
        <w:rPr>
          <w:rFonts w:ascii="Segoe UI" w:hAnsi="Segoe UI"/>
          <w:spacing w:val="-1"/>
        </w:rPr>
        <w:t> </w:t>
      </w:r>
      <w:r>
        <w:rPr>
          <w:rFonts w:ascii="Segoe UI" w:hAnsi="Segoe UI"/>
        </w:rPr>
        <w:t>specialist</w:t>
      </w:r>
      <w:r>
        <w:rPr>
          <w:rFonts w:ascii="Segoe UI" w:hAnsi="Segoe UI"/>
          <w:spacing w:val="-2"/>
        </w:rPr>
        <w:t> </w:t>
      </w:r>
      <w:r>
        <w:rPr>
          <w:rFonts w:ascii="Segoe UI" w:hAnsi="Segoe UI"/>
        </w:rPr>
        <w:t>stroke</w:t>
      </w:r>
      <w:r>
        <w:rPr>
          <w:rFonts w:ascii="Segoe UI" w:hAnsi="Segoe UI"/>
          <w:spacing w:val="-6"/>
        </w:rPr>
        <w:t> </w:t>
      </w:r>
      <w:r>
        <w:rPr>
          <w:rFonts w:ascii="Segoe UI" w:hAnsi="Segoe UI"/>
        </w:rPr>
        <w:t>consultant</w:t>
      </w:r>
      <w:r>
        <w:rPr>
          <w:rFonts w:ascii="Segoe UI" w:hAnsi="Segoe UI"/>
          <w:spacing w:val="-7"/>
        </w:rPr>
        <w:t> </w:t>
      </w:r>
      <w:r>
        <w:rPr>
          <w:rFonts w:ascii="Segoe UI" w:hAnsi="Segoe UI"/>
        </w:rPr>
        <w:t>assessment</w:t>
      </w:r>
      <w:r>
        <w:rPr>
          <w:rFonts w:ascii="Segoe UI" w:hAnsi="Segoe UI"/>
          <w:spacing w:val="-7"/>
        </w:rPr>
        <w:t> </w:t>
      </w:r>
      <w:r>
        <w:rPr>
          <w:rFonts w:ascii="Segoe UI" w:hAnsi="Segoe UI"/>
        </w:rPr>
        <w:t>and</w:t>
      </w:r>
      <w:r>
        <w:rPr>
          <w:rFonts w:ascii="Segoe UI" w:hAnsi="Segoe UI"/>
          <w:spacing w:val="-7"/>
        </w:rPr>
        <w:t> </w:t>
      </w:r>
      <w:r>
        <w:rPr>
          <w:rFonts w:ascii="Segoe UI" w:hAnsi="Segoe UI"/>
        </w:rPr>
        <w:t>treatment</w:t>
      </w:r>
      <w:r>
        <w:rPr>
          <w:rFonts w:ascii="Segoe UI" w:hAnsi="Segoe UI"/>
          <w:spacing w:val="-2"/>
        </w:rPr>
        <w:t> </w:t>
      </w:r>
      <w:r>
        <w:rPr>
          <w:rFonts w:ascii="Segoe UI" w:hAnsi="Segoe UI"/>
        </w:rPr>
        <w:t>decision-making, irrespective of time of presentation or hospital site.</w:t>
      </w:r>
    </w:p>
    <w:p>
      <w:pPr>
        <w:pStyle w:val="BodyText"/>
        <w:tabs>
          <w:tab w:pos="1729" w:val="left" w:leader="none"/>
        </w:tabs>
        <w:spacing w:line="237" w:lineRule="auto" w:before="4"/>
        <w:ind w:left="1730" w:right="1403" w:hanging="361"/>
        <w:rPr>
          <w:rFonts w:ascii="Segoe UI" w:hAnsi="Segoe UI"/>
        </w:rPr>
      </w:pPr>
      <w:r>
        <w:rPr>
          <w:rFonts w:ascii="Calibri" w:hAnsi="Calibri"/>
          <w:spacing w:val="-10"/>
        </w:rPr>
        <w:t>−</w:t>
      </w:r>
      <w:r>
        <w:rPr>
          <w:rFonts w:ascii="Calibri" w:hAnsi="Calibri"/>
        </w:rPr>
        <w:tab/>
      </w:r>
      <w:r>
        <w:rPr>
          <w:rFonts w:ascii="Segoe UI" w:hAnsi="Segoe UI"/>
        </w:rPr>
        <w:t>Improved</w:t>
      </w:r>
      <w:r>
        <w:rPr>
          <w:rFonts w:ascii="Segoe UI" w:hAnsi="Segoe UI"/>
          <w:spacing w:val="-9"/>
        </w:rPr>
        <w:t> </w:t>
      </w:r>
      <w:r>
        <w:rPr>
          <w:rFonts w:ascii="Segoe UI" w:hAnsi="Segoe UI"/>
        </w:rPr>
        <w:t>access</w:t>
      </w:r>
      <w:r>
        <w:rPr>
          <w:rFonts w:ascii="Segoe UI" w:hAnsi="Segoe UI"/>
          <w:spacing w:val="-4"/>
        </w:rPr>
        <w:t> </w:t>
      </w:r>
      <w:r>
        <w:rPr>
          <w:rFonts w:ascii="Segoe UI" w:hAnsi="Segoe UI"/>
        </w:rPr>
        <w:t>to</w:t>
      </w:r>
      <w:r>
        <w:rPr>
          <w:rFonts w:ascii="Segoe UI" w:hAnsi="Segoe UI"/>
          <w:spacing w:val="-8"/>
        </w:rPr>
        <w:t> </w:t>
      </w:r>
      <w:r>
        <w:rPr>
          <w:rFonts w:ascii="Segoe UI" w:hAnsi="Segoe UI"/>
        </w:rPr>
        <w:t>time-critical</w:t>
      </w:r>
      <w:r>
        <w:rPr>
          <w:rFonts w:ascii="Segoe UI" w:hAnsi="Segoe UI"/>
          <w:spacing w:val="-6"/>
        </w:rPr>
        <w:t> </w:t>
      </w:r>
      <w:r>
        <w:rPr>
          <w:rFonts w:ascii="Segoe UI" w:hAnsi="Segoe UI"/>
        </w:rPr>
        <w:t>reperfusion</w:t>
      </w:r>
      <w:r>
        <w:rPr>
          <w:rFonts w:ascii="Segoe UI" w:hAnsi="Segoe UI"/>
          <w:spacing w:val="-9"/>
        </w:rPr>
        <w:t> </w:t>
      </w:r>
      <w:r>
        <w:rPr>
          <w:rFonts w:ascii="Segoe UI" w:hAnsi="Segoe UI"/>
        </w:rPr>
        <w:t>treatments,</w:t>
      </w:r>
      <w:r>
        <w:rPr>
          <w:rFonts w:ascii="Segoe UI" w:hAnsi="Segoe UI"/>
          <w:spacing w:val="-9"/>
        </w:rPr>
        <w:t> </w:t>
      </w:r>
      <w:r>
        <w:rPr>
          <w:rFonts w:ascii="Segoe UI" w:hAnsi="Segoe UI"/>
        </w:rPr>
        <w:t>including</w:t>
      </w:r>
      <w:r>
        <w:rPr>
          <w:rFonts w:ascii="Segoe UI" w:hAnsi="Segoe UI"/>
          <w:spacing w:val="-4"/>
        </w:rPr>
        <w:t> </w:t>
      </w:r>
      <w:r>
        <w:rPr>
          <w:rFonts w:ascii="Segoe UI" w:hAnsi="Segoe UI"/>
        </w:rPr>
        <w:t>thrombolysis</w:t>
      </w:r>
      <w:r>
        <w:rPr>
          <w:rFonts w:ascii="Segoe UI" w:hAnsi="Segoe UI"/>
          <w:spacing w:val="-4"/>
        </w:rPr>
        <w:t> </w:t>
      </w:r>
      <w:r>
        <w:rPr>
          <w:rFonts w:ascii="Segoe UI" w:hAnsi="Segoe UI"/>
        </w:rPr>
        <w:t>and referral for mechanical thrombectomy where clinically appropriate.</w:t>
      </w:r>
    </w:p>
    <w:p>
      <w:pPr>
        <w:pStyle w:val="BodyText"/>
        <w:tabs>
          <w:tab w:pos="1729" w:val="left" w:leader="none"/>
        </w:tabs>
        <w:spacing w:line="237" w:lineRule="auto" w:before="4"/>
        <w:ind w:left="1730" w:right="1907" w:hanging="361"/>
        <w:rPr>
          <w:rFonts w:ascii="Segoe UI" w:hAnsi="Segoe UI"/>
        </w:rPr>
      </w:pPr>
      <w:r>
        <w:rPr>
          <w:rFonts w:ascii="Calibri" w:hAnsi="Calibri"/>
          <w:spacing w:val="-10"/>
        </w:rPr>
        <w:t>−</w:t>
      </w:r>
      <w:r>
        <w:rPr>
          <w:rFonts w:ascii="Calibri" w:hAnsi="Calibri"/>
        </w:rPr>
        <w:tab/>
      </w:r>
      <w:r>
        <w:rPr>
          <w:rFonts w:ascii="Segoe UI" w:hAnsi="Segoe UI"/>
        </w:rPr>
        <w:t>Reduced</w:t>
      </w:r>
      <w:r>
        <w:rPr>
          <w:rFonts w:ascii="Segoe UI" w:hAnsi="Segoe UI"/>
          <w:spacing w:val="-7"/>
        </w:rPr>
        <w:t> </w:t>
      </w:r>
      <w:r>
        <w:rPr>
          <w:rFonts w:ascii="Segoe UI" w:hAnsi="Segoe UI"/>
        </w:rPr>
        <w:t>delays</w:t>
      </w:r>
      <w:r>
        <w:rPr>
          <w:rFonts w:ascii="Segoe UI" w:hAnsi="Segoe UI"/>
          <w:spacing w:val="-7"/>
        </w:rPr>
        <w:t> </w:t>
      </w:r>
      <w:r>
        <w:rPr>
          <w:rFonts w:ascii="Segoe UI" w:hAnsi="Segoe UI"/>
        </w:rPr>
        <w:t>in</w:t>
      </w:r>
      <w:r>
        <w:rPr>
          <w:rFonts w:ascii="Segoe UI" w:hAnsi="Segoe UI"/>
          <w:spacing w:val="-6"/>
        </w:rPr>
        <w:t> </w:t>
      </w:r>
      <w:r>
        <w:rPr>
          <w:rFonts w:ascii="Segoe UI" w:hAnsi="Segoe UI"/>
        </w:rPr>
        <w:t>diagnosis,</w:t>
      </w:r>
      <w:r>
        <w:rPr>
          <w:rFonts w:ascii="Segoe UI" w:hAnsi="Segoe UI"/>
          <w:spacing w:val="-7"/>
        </w:rPr>
        <w:t> </w:t>
      </w:r>
      <w:r>
        <w:rPr>
          <w:rFonts w:ascii="Segoe UI" w:hAnsi="Segoe UI"/>
        </w:rPr>
        <w:t>treatment</w:t>
      </w:r>
      <w:r>
        <w:rPr>
          <w:rFonts w:ascii="Segoe UI" w:hAnsi="Segoe UI"/>
          <w:spacing w:val="-2"/>
        </w:rPr>
        <w:t> </w:t>
      </w:r>
      <w:r>
        <w:rPr>
          <w:rFonts w:ascii="Segoe UI" w:hAnsi="Segoe UI"/>
        </w:rPr>
        <w:t>and</w:t>
      </w:r>
      <w:r>
        <w:rPr>
          <w:rFonts w:ascii="Segoe UI" w:hAnsi="Segoe UI"/>
          <w:spacing w:val="-2"/>
        </w:rPr>
        <w:t> </w:t>
      </w:r>
      <w:r>
        <w:rPr>
          <w:rFonts w:ascii="Segoe UI" w:hAnsi="Segoe UI"/>
        </w:rPr>
        <w:t>onward</w:t>
      </w:r>
      <w:r>
        <w:rPr>
          <w:rFonts w:ascii="Segoe UI" w:hAnsi="Segoe UI"/>
          <w:spacing w:val="-7"/>
        </w:rPr>
        <w:t> </w:t>
      </w:r>
      <w:r>
        <w:rPr>
          <w:rFonts w:ascii="Segoe UI" w:hAnsi="Segoe UI"/>
        </w:rPr>
        <w:t>transfer,</w:t>
      </w:r>
      <w:r>
        <w:rPr>
          <w:rFonts w:ascii="Segoe UI" w:hAnsi="Segoe UI"/>
          <w:spacing w:val="-3"/>
        </w:rPr>
        <w:t> </w:t>
      </w:r>
      <w:r>
        <w:rPr>
          <w:rFonts w:ascii="Segoe UI" w:hAnsi="Segoe UI"/>
        </w:rPr>
        <w:t>supporting</w:t>
      </w:r>
      <w:r>
        <w:rPr>
          <w:rFonts w:ascii="Segoe UI" w:hAnsi="Segoe UI"/>
          <w:spacing w:val="-7"/>
        </w:rPr>
        <w:t> </w:t>
      </w:r>
      <w:r>
        <w:rPr>
          <w:rFonts w:ascii="Segoe UI" w:hAnsi="Segoe UI"/>
        </w:rPr>
        <w:t>better functional outcomes and reduced disability.</w:t>
      </w:r>
    </w:p>
    <w:p>
      <w:pPr>
        <w:spacing w:before="98"/>
        <w:ind w:left="60" w:right="57" w:firstLine="0"/>
        <w:jc w:val="center"/>
        <w:rPr>
          <w:rFonts w:ascii="Calibri"/>
          <w:sz w:val="16"/>
        </w:rPr>
      </w:pPr>
      <w:r>
        <w:rPr>
          <w:rFonts w:ascii="Calibri"/>
          <w:color w:val="787878"/>
          <w:w w:val="105"/>
          <w:sz w:val="16"/>
        </w:rPr>
        <w:t>Regional</w:t>
      </w:r>
      <w:r>
        <w:rPr>
          <w:rFonts w:ascii="Calibri"/>
          <w:color w:val="787878"/>
          <w:spacing w:val="-1"/>
          <w:w w:val="105"/>
          <w:sz w:val="16"/>
        </w:rPr>
        <w:t> </w:t>
      </w:r>
      <w:r>
        <w:rPr>
          <w:rFonts w:ascii="Calibri"/>
          <w:color w:val="787878"/>
          <w:w w:val="105"/>
          <w:sz w:val="16"/>
        </w:rPr>
        <w:t>Stroke</w:t>
      </w:r>
      <w:r>
        <w:rPr>
          <w:rFonts w:ascii="Calibri"/>
          <w:color w:val="787878"/>
          <w:spacing w:val="-4"/>
          <w:w w:val="105"/>
          <w:sz w:val="16"/>
        </w:rPr>
        <w:t> </w:t>
      </w:r>
      <w:r>
        <w:rPr>
          <w:rFonts w:ascii="Calibri"/>
          <w:color w:val="787878"/>
          <w:spacing w:val="-5"/>
          <w:w w:val="105"/>
          <w:sz w:val="16"/>
        </w:rPr>
        <w:t>PID</w:t>
      </w:r>
    </w:p>
    <w:p>
      <w:pPr>
        <w:spacing w:after="0"/>
        <w:jc w:val="center"/>
        <w:rPr>
          <w:rFonts w:ascii="Calibri"/>
          <w:sz w:val="16"/>
        </w:rPr>
        <w:sectPr>
          <w:pgSz w:w="12240" w:h="15840"/>
          <w:pgMar w:header="0" w:footer="147" w:top="140" w:bottom="340" w:left="141" w:right="141"/>
        </w:sectPr>
      </w:pPr>
    </w:p>
    <w:p>
      <w:pPr>
        <w:tabs>
          <w:tab w:pos="7483" w:val="left" w:leader="none"/>
        </w:tabs>
        <w:spacing w:line="240" w:lineRule="auto"/>
        <w:ind w:left="1586" w:right="0" w:firstLine="0"/>
        <w:rPr>
          <w:rFonts w:ascii="Calibri"/>
          <w:sz w:val="20"/>
        </w:rPr>
      </w:pPr>
      <w:r>
        <w:rPr>
          <w:rFonts w:ascii="Calibri"/>
          <w:position w:val="2"/>
          <w:sz w:val="20"/>
        </w:rPr>
        <w:drawing>
          <wp:inline distT="0" distB="0" distL="0" distR="0">
            <wp:extent cx="1870845" cy="475487"/>
            <wp:effectExtent l="0" t="0" r="0" b="0"/>
            <wp:docPr id="255" name="Image 255"/>
            <wp:cNvGraphicFramePr>
              <a:graphicFrameLocks/>
            </wp:cNvGraphicFramePr>
            <a:graphic>
              <a:graphicData uri="http://schemas.openxmlformats.org/drawingml/2006/picture">
                <pic:pic>
                  <pic:nvPicPr>
                    <pic:cNvPr id="255" name="Image 255"/>
                    <pic:cNvPicPr/>
                  </pic:nvPicPr>
                  <pic:blipFill>
                    <a:blip r:embed="rId58" cstate="print"/>
                    <a:stretch>
                      <a:fillRect/>
                    </a:stretch>
                  </pic:blipFill>
                  <pic:spPr>
                    <a:xfrm>
                      <a:off x="0" y="0"/>
                      <a:ext cx="1870845" cy="475487"/>
                    </a:xfrm>
                    <a:prstGeom prst="rect">
                      <a:avLst/>
                    </a:prstGeom>
                  </pic:spPr>
                </pic:pic>
              </a:graphicData>
            </a:graphic>
          </wp:inline>
        </w:drawing>
      </w:r>
      <w:r>
        <w:rPr>
          <w:rFonts w:ascii="Calibri"/>
          <w:position w:val="2"/>
          <w:sz w:val="20"/>
        </w:rPr>
      </w:r>
      <w:r>
        <w:rPr>
          <w:rFonts w:ascii="Calibri"/>
          <w:position w:val="2"/>
          <w:sz w:val="20"/>
        </w:rPr>
        <w:tab/>
      </w:r>
      <w:r>
        <w:rPr>
          <w:rFonts w:ascii="Calibri"/>
          <w:sz w:val="20"/>
        </w:rPr>
        <w:drawing>
          <wp:inline distT="0" distB="0" distL="0" distR="0">
            <wp:extent cx="1912332" cy="528066"/>
            <wp:effectExtent l="0" t="0" r="0" b="0"/>
            <wp:docPr id="256" name="Image 256"/>
            <wp:cNvGraphicFramePr>
              <a:graphicFrameLocks/>
            </wp:cNvGraphicFramePr>
            <a:graphic>
              <a:graphicData uri="http://schemas.openxmlformats.org/drawingml/2006/picture">
                <pic:pic>
                  <pic:nvPicPr>
                    <pic:cNvPr id="256" name="Image 256"/>
                    <pic:cNvPicPr/>
                  </pic:nvPicPr>
                  <pic:blipFill>
                    <a:blip r:embed="rId59" cstate="print"/>
                    <a:stretch>
                      <a:fillRect/>
                    </a:stretch>
                  </pic:blipFill>
                  <pic:spPr>
                    <a:xfrm>
                      <a:off x="0" y="0"/>
                      <a:ext cx="1912332" cy="528066"/>
                    </a:xfrm>
                    <a:prstGeom prst="rect">
                      <a:avLst/>
                    </a:prstGeom>
                  </pic:spPr>
                </pic:pic>
              </a:graphicData>
            </a:graphic>
          </wp:inline>
        </w:drawing>
      </w:r>
      <w:r>
        <w:rPr>
          <w:rFonts w:ascii="Calibri"/>
          <w:sz w:val="20"/>
        </w:rPr>
      </w:r>
    </w:p>
    <w:p>
      <w:pPr>
        <w:pStyle w:val="BodyText"/>
        <w:spacing w:before="129"/>
        <w:rPr>
          <w:rFonts w:ascii="Calibri"/>
        </w:rPr>
      </w:pPr>
    </w:p>
    <w:p>
      <w:pPr>
        <w:pStyle w:val="BodyText"/>
        <w:tabs>
          <w:tab w:pos="1729" w:val="left" w:leader="none"/>
        </w:tabs>
        <w:spacing w:line="237" w:lineRule="auto"/>
        <w:ind w:left="1730" w:right="1129" w:hanging="361"/>
        <w:rPr>
          <w:rFonts w:ascii="Segoe UI" w:hAnsi="Segoe UI"/>
        </w:rPr>
      </w:pPr>
      <w:r>
        <w:rPr>
          <w:rFonts w:ascii="Calibri" w:hAnsi="Calibri"/>
          <w:spacing w:val="-10"/>
        </w:rPr>
        <w:t>−</w:t>
      </w:r>
      <w:r>
        <w:rPr>
          <w:rFonts w:ascii="Calibri" w:hAnsi="Calibri"/>
        </w:rPr>
        <w:tab/>
      </w:r>
      <w:r>
        <w:rPr>
          <w:rFonts w:ascii="Segoe UI" w:hAnsi="Segoe UI"/>
        </w:rPr>
        <w:t>More</w:t>
      </w:r>
      <w:r>
        <w:rPr>
          <w:rFonts w:ascii="Segoe UI" w:hAnsi="Segoe UI"/>
          <w:spacing w:val="-6"/>
        </w:rPr>
        <w:t> </w:t>
      </w:r>
      <w:r>
        <w:rPr>
          <w:rFonts w:ascii="Segoe UI" w:hAnsi="Segoe UI"/>
        </w:rPr>
        <w:t>equitable</w:t>
      </w:r>
      <w:r>
        <w:rPr>
          <w:rFonts w:ascii="Segoe UI" w:hAnsi="Segoe UI"/>
          <w:spacing w:val="-1"/>
        </w:rPr>
        <w:t> </w:t>
      </w:r>
      <w:r>
        <w:rPr>
          <w:rFonts w:ascii="Segoe UI" w:hAnsi="Segoe UI"/>
        </w:rPr>
        <w:t>and</w:t>
      </w:r>
      <w:r>
        <w:rPr>
          <w:rFonts w:ascii="Segoe UI" w:hAnsi="Segoe UI"/>
          <w:spacing w:val="-7"/>
        </w:rPr>
        <w:t> </w:t>
      </w:r>
      <w:r>
        <w:rPr>
          <w:rFonts w:ascii="Segoe UI" w:hAnsi="Segoe UI"/>
        </w:rPr>
        <w:t>consistent</w:t>
      </w:r>
      <w:r>
        <w:rPr>
          <w:rFonts w:ascii="Segoe UI" w:hAnsi="Segoe UI"/>
          <w:spacing w:val="-7"/>
        </w:rPr>
        <w:t> </w:t>
      </w:r>
      <w:r>
        <w:rPr>
          <w:rFonts w:ascii="Segoe UI" w:hAnsi="Segoe UI"/>
        </w:rPr>
        <w:t>access</w:t>
      </w:r>
      <w:r>
        <w:rPr>
          <w:rFonts w:ascii="Segoe UI" w:hAnsi="Segoe UI"/>
          <w:spacing w:val="-2"/>
        </w:rPr>
        <w:t> </w:t>
      </w:r>
      <w:r>
        <w:rPr>
          <w:rFonts w:ascii="Segoe UI" w:hAnsi="Segoe UI"/>
        </w:rPr>
        <w:t>to</w:t>
      </w:r>
      <w:r>
        <w:rPr>
          <w:rFonts w:ascii="Segoe UI" w:hAnsi="Segoe UI"/>
          <w:spacing w:val="-1"/>
        </w:rPr>
        <w:t> </w:t>
      </w:r>
      <w:r>
        <w:rPr>
          <w:rFonts w:ascii="Segoe UI" w:hAnsi="Segoe UI"/>
        </w:rPr>
        <w:t>specialist</w:t>
      </w:r>
      <w:r>
        <w:rPr>
          <w:rFonts w:ascii="Segoe UI" w:hAnsi="Segoe UI"/>
          <w:spacing w:val="-7"/>
        </w:rPr>
        <w:t> </w:t>
      </w:r>
      <w:r>
        <w:rPr>
          <w:rFonts w:ascii="Segoe UI" w:hAnsi="Segoe UI"/>
        </w:rPr>
        <w:t>stroke</w:t>
      </w:r>
      <w:r>
        <w:rPr>
          <w:rFonts w:ascii="Segoe UI" w:hAnsi="Segoe UI"/>
          <w:spacing w:val="-1"/>
        </w:rPr>
        <w:t> </w:t>
      </w:r>
      <w:r>
        <w:rPr>
          <w:rFonts w:ascii="Segoe UI" w:hAnsi="Segoe UI"/>
        </w:rPr>
        <w:t>care</w:t>
      </w:r>
      <w:r>
        <w:rPr>
          <w:rFonts w:ascii="Segoe UI" w:hAnsi="Segoe UI"/>
          <w:spacing w:val="-6"/>
        </w:rPr>
        <w:t> </w:t>
      </w:r>
      <w:r>
        <w:rPr>
          <w:rFonts w:ascii="Segoe UI" w:hAnsi="Segoe UI"/>
        </w:rPr>
        <w:t>across</w:t>
      </w:r>
      <w:r>
        <w:rPr>
          <w:rFonts w:ascii="Segoe UI" w:hAnsi="Segoe UI"/>
          <w:spacing w:val="-7"/>
        </w:rPr>
        <w:t> </w:t>
      </w:r>
      <w:r>
        <w:rPr>
          <w:rFonts w:ascii="Segoe UI" w:hAnsi="Segoe UI"/>
        </w:rPr>
        <w:t>Swansea</w:t>
      </w:r>
      <w:r>
        <w:rPr>
          <w:rFonts w:ascii="Segoe UI" w:hAnsi="Segoe UI"/>
          <w:spacing w:val="-7"/>
        </w:rPr>
        <w:t> </w:t>
      </w:r>
      <w:r>
        <w:rPr>
          <w:rFonts w:ascii="Segoe UI" w:hAnsi="Segoe UI"/>
        </w:rPr>
        <w:t>Bay</w:t>
      </w:r>
      <w:r>
        <w:rPr>
          <w:rFonts w:ascii="Segoe UI" w:hAnsi="Segoe UI"/>
          <w:spacing w:val="-2"/>
        </w:rPr>
        <w:t> </w:t>
      </w:r>
      <w:r>
        <w:rPr>
          <w:rFonts w:ascii="Segoe UI" w:hAnsi="Segoe UI"/>
        </w:rPr>
        <w:t>and Hywel Dda.</w:t>
      </w:r>
    </w:p>
    <w:p>
      <w:pPr>
        <w:pStyle w:val="BodyText"/>
        <w:tabs>
          <w:tab w:pos="1729" w:val="left" w:leader="none"/>
        </w:tabs>
        <w:spacing w:line="237" w:lineRule="auto" w:before="4"/>
        <w:ind w:left="1730" w:right="1041" w:hanging="361"/>
        <w:rPr>
          <w:rFonts w:ascii="Segoe UI" w:hAnsi="Segoe UI"/>
        </w:rPr>
      </w:pPr>
      <w:r>
        <w:rPr>
          <w:rFonts w:ascii="Calibri" w:hAnsi="Calibri"/>
          <w:spacing w:val="-10"/>
        </w:rPr>
        <w:t>−</w:t>
      </w:r>
      <w:r>
        <w:rPr>
          <w:rFonts w:ascii="Calibri" w:hAnsi="Calibri"/>
        </w:rPr>
        <w:tab/>
      </w:r>
      <w:r>
        <w:rPr>
          <w:rFonts w:ascii="Segoe UI" w:hAnsi="Segoe UI"/>
        </w:rPr>
        <w:t>Improved</w:t>
      </w:r>
      <w:r>
        <w:rPr>
          <w:rFonts w:ascii="Segoe UI" w:hAnsi="Segoe UI"/>
          <w:spacing w:val="-5"/>
        </w:rPr>
        <w:t> </w:t>
      </w:r>
      <w:r>
        <w:rPr>
          <w:rFonts w:ascii="Segoe UI" w:hAnsi="Segoe UI"/>
        </w:rPr>
        <w:t>patient</w:t>
      </w:r>
      <w:r>
        <w:rPr>
          <w:rFonts w:ascii="Segoe UI" w:hAnsi="Segoe UI"/>
          <w:spacing w:val="-5"/>
        </w:rPr>
        <w:t> </w:t>
      </w:r>
      <w:r>
        <w:rPr>
          <w:rFonts w:ascii="Segoe UI" w:hAnsi="Segoe UI"/>
        </w:rPr>
        <w:t>and</w:t>
      </w:r>
      <w:r>
        <w:rPr>
          <w:rFonts w:ascii="Segoe UI" w:hAnsi="Segoe UI"/>
          <w:spacing w:val="-5"/>
        </w:rPr>
        <w:t> </w:t>
      </w:r>
      <w:r>
        <w:rPr>
          <w:rFonts w:ascii="Segoe UI" w:hAnsi="Segoe UI"/>
        </w:rPr>
        <w:t>family</w:t>
      </w:r>
      <w:r>
        <w:rPr>
          <w:rFonts w:ascii="Segoe UI" w:hAnsi="Segoe UI"/>
          <w:spacing w:val="-4"/>
        </w:rPr>
        <w:t> </w:t>
      </w:r>
      <w:r>
        <w:rPr>
          <w:rFonts w:ascii="Segoe UI" w:hAnsi="Segoe UI"/>
        </w:rPr>
        <w:t>experience</w:t>
      </w:r>
      <w:r>
        <w:rPr>
          <w:rFonts w:ascii="Segoe UI" w:hAnsi="Segoe UI"/>
          <w:spacing w:val="-4"/>
        </w:rPr>
        <w:t> </w:t>
      </w:r>
      <w:r>
        <w:rPr>
          <w:rFonts w:ascii="Segoe UI" w:hAnsi="Segoe UI"/>
        </w:rPr>
        <w:t>through</w:t>
      </w:r>
      <w:r>
        <w:rPr>
          <w:rFonts w:ascii="Segoe UI" w:hAnsi="Segoe UI"/>
          <w:spacing w:val="-4"/>
        </w:rPr>
        <w:t> </w:t>
      </w:r>
      <w:r>
        <w:rPr>
          <w:rFonts w:ascii="Segoe UI" w:hAnsi="Segoe UI"/>
        </w:rPr>
        <w:t>clearer,</w:t>
      </w:r>
      <w:r>
        <w:rPr>
          <w:rFonts w:ascii="Segoe UI" w:hAnsi="Segoe UI"/>
          <w:spacing w:val="-5"/>
        </w:rPr>
        <w:t> </w:t>
      </w:r>
      <w:r>
        <w:rPr>
          <w:rFonts w:ascii="Segoe UI" w:hAnsi="Segoe UI"/>
        </w:rPr>
        <w:t>timely</w:t>
      </w:r>
      <w:r>
        <w:rPr>
          <w:rFonts w:ascii="Segoe UI" w:hAnsi="Segoe UI"/>
          <w:spacing w:val="-4"/>
        </w:rPr>
        <w:t> </w:t>
      </w:r>
      <w:r>
        <w:rPr>
          <w:rFonts w:ascii="Segoe UI" w:hAnsi="Segoe UI"/>
        </w:rPr>
        <w:t>senior</w:t>
      </w:r>
      <w:r>
        <w:rPr>
          <w:rFonts w:ascii="Segoe UI" w:hAnsi="Segoe UI"/>
          <w:spacing w:val="-3"/>
        </w:rPr>
        <w:t> </w:t>
      </w:r>
      <w:r>
        <w:rPr>
          <w:rFonts w:ascii="Segoe UI" w:hAnsi="Segoe UI"/>
        </w:rPr>
        <w:t>clinical</w:t>
      </w:r>
      <w:r>
        <w:rPr>
          <w:rFonts w:ascii="Segoe UI" w:hAnsi="Segoe UI"/>
          <w:spacing w:val="-2"/>
        </w:rPr>
        <w:t> </w:t>
      </w:r>
      <w:r>
        <w:rPr>
          <w:rFonts w:ascii="Segoe UI" w:hAnsi="Segoe UI"/>
        </w:rPr>
        <w:t>decision-making and communication.</w:t>
      </w:r>
    </w:p>
    <w:p>
      <w:pPr>
        <w:spacing w:before="281"/>
        <w:ind w:left="1009" w:right="0" w:firstLine="0"/>
        <w:jc w:val="left"/>
        <w:rPr>
          <w:rFonts w:ascii="Segoe UI"/>
          <w:b/>
          <w:sz w:val="24"/>
        </w:rPr>
      </w:pPr>
      <w:r>
        <w:rPr>
          <w:rFonts w:ascii="Segoe UI"/>
          <w:b/>
          <w:sz w:val="24"/>
        </w:rPr>
        <w:t>Clinical</w:t>
      </w:r>
      <w:r>
        <w:rPr>
          <w:rFonts w:ascii="Segoe UI"/>
          <w:b/>
          <w:spacing w:val="-5"/>
          <w:sz w:val="24"/>
        </w:rPr>
        <w:t> </w:t>
      </w:r>
      <w:r>
        <w:rPr>
          <w:rFonts w:ascii="Segoe UI"/>
          <w:b/>
          <w:spacing w:val="-2"/>
          <w:sz w:val="24"/>
        </w:rPr>
        <w:t>Outcomes</w:t>
      </w:r>
    </w:p>
    <w:p>
      <w:pPr>
        <w:pStyle w:val="BodyText"/>
        <w:tabs>
          <w:tab w:pos="1729" w:val="left" w:leader="none"/>
        </w:tabs>
        <w:spacing w:line="237" w:lineRule="auto" w:before="279"/>
        <w:ind w:left="1730" w:right="1023" w:hanging="361"/>
        <w:rPr>
          <w:rFonts w:ascii="Segoe UI" w:hAnsi="Segoe UI"/>
        </w:rPr>
      </w:pPr>
      <w:r>
        <w:rPr>
          <w:rFonts w:ascii="Calibri" w:hAnsi="Calibri"/>
          <w:spacing w:val="-10"/>
        </w:rPr>
        <w:t>−</w:t>
      </w:r>
      <w:r>
        <w:rPr>
          <w:rFonts w:ascii="Calibri" w:hAnsi="Calibri"/>
        </w:rPr>
        <w:tab/>
      </w:r>
      <w:r>
        <w:rPr>
          <w:rFonts w:ascii="Segoe UI" w:hAnsi="Segoe UI"/>
        </w:rPr>
        <w:t>Improved</w:t>
      </w:r>
      <w:r>
        <w:rPr>
          <w:rFonts w:ascii="Segoe UI" w:hAnsi="Segoe UI"/>
          <w:spacing w:val="-6"/>
        </w:rPr>
        <w:t> </w:t>
      </w:r>
      <w:r>
        <w:rPr>
          <w:rFonts w:ascii="Segoe UI" w:hAnsi="Segoe UI"/>
        </w:rPr>
        <w:t>compliance</w:t>
      </w:r>
      <w:r>
        <w:rPr>
          <w:rFonts w:ascii="Segoe UI" w:hAnsi="Segoe UI"/>
          <w:spacing w:val="-5"/>
        </w:rPr>
        <w:t> </w:t>
      </w:r>
      <w:r>
        <w:rPr>
          <w:rFonts w:ascii="Segoe UI" w:hAnsi="Segoe UI"/>
        </w:rPr>
        <w:t>with</w:t>
      </w:r>
      <w:r>
        <w:rPr>
          <w:rFonts w:ascii="Segoe UI" w:hAnsi="Segoe UI"/>
          <w:spacing w:val="-5"/>
        </w:rPr>
        <w:t> </w:t>
      </w:r>
      <w:r>
        <w:rPr>
          <w:rFonts w:ascii="Segoe UI" w:hAnsi="Segoe UI"/>
        </w:rPr>
        <w:t>evidence-based</w:t>
      </w:r>
      <w:r>
        <w:rPr>
          <w:rFonts w:ascii="Segoe UI" w:hAnsi="Segoe UI"/>
          <w:spacing w:val="-6"/>
        </w:rPr>
        <w:t> </w:t>
      </w:r>
      <w:r>
        <w:rPr>
          <w:rFonts w:ascii="Segoe UI" w:hAnsi="Segoe UI"/>
        </w:rPr>
        <w:t>stroke</w:t>
      </w:r>
      <w:r>
        <w:rPr>
          <w:rFonts w:ascii="Segoe UI" w:hAnsi="Segoe UI"/>
          <w:spacing w:val="-5"/>
        </w:rPr>
        <w:t> </w:t>
      </w:r>
      <w:r>
        <w:rPr>
          <w:rFonts w:ascii="Segoe UI" w:hAnsi="Segoe UI"/>
        </w:rPr>
        <w:t>pathways</w:t>
      </w:r>
      <w:r>
        <w:rPr>
          <w:rFonts w:ascii="Segoe UI" w:hAnsi="Segoe UI"/>
          <w:spacing w:val="-6"/>
        </w:rPr>
        <w:t> </w:t>
      </w:r>
      <w:r>
        <w:rPr>
          <w:rFonts w:ascii="Segoe UI" w:hAnsi="Segoe UI"/>
        </w:rPr>
        <w:t>and</w:t>
      </w:r>
      <w:r>
        <w:rPr>
          <w:rFonts w:ascii="Segoe UI" w:hAnsi="Segoe UI"/>
          <w:spacing w:val="-6"/>
        </w:rPr>
        <w:t> </w:t>
      </w:r>
      <w:r>
        <w:rPr>
          <w:rFonts w:ascii="Segoe UI" w:hAnsi="Segoe UI"/>
        </w:rPr>
        <w:t>time-critical</w:t>
      </w:r>
      <w:r>
        <w:rPr>
          <w:rFonts w:ascii="Segoe UI" w:hAnsi="Segoe UI"/>
          <w:spacing w:val="-3"/>
        </w:rPr>
        <w:t> </w:t>
      </w:r>
      <w:r>
        <w:rPr>
          <w:rFonts w:ascii="Segoe UI" w:hAnsi="Segoe UI"/>
        </w:rPr>
        <w:t>treatment </w:t>
      </w:r>
      <w:r>
        <w:rPr>
          <w:rFonts w:ascii="Segoe UI" w:hAnsi="Segoe UI"/>
          <w:spacing w:val="-2"/>
        </w:rPr>
        <w:t>standards.</w:t>
      </w:r>
    </w:p>
    <w:p>
      <w:pPr>
        <w:pStyle w:val="BodyText"/>
        <w:tabs>
          <w:tab w:pos="1729" w:val="left" w:leader="none"/>
        </w:tabs>
        <w:spacing w:line="237" w:lineRule="auto" w:before="4"/>
        <w:ind w:left="1730" w:right="1287" w:hanging="361"/>
        <w:rPr>
          <w:rFonts w:ascii="Segoe UI" w:hAnsi="Segoe UI"/>
        </w:rPr>
      </w:pPr>
      <w:r>
        <w:rPr>
          <w:rFonts w:ascii="Calibri" w:hAnsi="Calibri"/>
          <w:spacing w:val="-10"/>
        </w:rPr>
        <w:t>−</w:t>
      </w:r>
      <w:r>
        <w:rPr>
          <w:rFonts w:ascii="Calibri" w:hAnsi="Calibri"/>
        </w:rPr>
        <w:tab/>
      </w:r>
      <w:r>
        <w:rPr>
          <w:rFonts w:ascii="Segoe UI" w:hAnsi="Segoe UI"/>
        </w:rPr>
        <w:t>Earlier</w:t>
      </w:r>
      <w:r>
        <w:rPr>
          <w:rFonts w:ascii="Segoe UI" w:hAnsi="Segoe UI"/>
          <w:spacing w:val="-3"/>
        </w:rPr>
        <w:t> </w:t>
      </w:r>
      <w:r>
        <w:rPr>
          <w:rFonts w:ascii="Segoe UI" w:hAnsi="Segoe UI"/>
        </w:rPr>
        <w:t>specialist</w:t>
      </w:r>
      <w:r>
        <w:rPr>
          <w:rFonts w:ascii="Segoe UI" w:hAnsi="Segoe UI"/>
          <w:spacing w:val="-6"/>
        </w:rPr>
        <w:t> </w:t>
      </w:r>
      <w:r>
        <w:rPr>
          <w:rFonts w:ascii="Segoe UI" w:hAnsi="Segoe UI"/>
        </w:rPr>
        <w:t>review</w:t>
      </w:r>
      <w:r>
        <w:rPr>
          <w:rFonts w:ascii="Segoe UI" w:hAnsi="Segoe UI"/>
          <w:spacing w:val="-3"/>
        </w:rPr>
        <w:t> </w:t>
      </w:r>
      <w:r>
        <w:rPr>
          <w:rFonts w:ascii="Segoe UI" w:hAnsi="Segoe UI"/>
        </w:rPr>
        <w:t>of</w:t>
      </w:r>
      <w:r>
        <w:rPr>
          <w:rFonts w:ascii="Segoe UI" w:hAnsi="Segoe UI"/>
          <w:spacing w:val="-5"/>
        </w:rPr>
        <w:t> </w:t>
      </w:r>
      <w:r>
        <w:rPr>
          <w:rFonts w:ascii="Segoe UI" w:hAnsi="Segoe UI"/>
        </w:rPr>
        <w:t>imaging,</w:t>
      </w:r>
      <w:r>
        <w:rPr>
          <w:rFonts w:ascii="Segoe UI" w:hAnsi="Segoe UI"/>
          <w:spacing w:val="-6"/>
        </w:rPr>
        <w:t> </w:t>
      </w:r>
      <w:r>
        <w:rPr>
          <w:rFonts w:ascii="Segoe UI" w:hAnsi="Segoe UI"/>
        </w:rPr>
        <w:t>including</w:t>
      </w:r>
      <w:r>
        <w:rPr>
          <w:rFonts w:ascii="Segoe UI" w:hAnsi="Segoe UI"/>
          <w:spacing w:val="-1"/>
        </w:rPr>
        <w:t> </w:t>
      </w:r>
      <w:r>
        <w:rPr>
          <w:rFonts w:ascii="Segoe UI" w:hAnsi="Segoe UI"/>
        </w:rPr>
        <w:t>CT/CTP,</w:t>
      </w:r>
      <w:r>
        <w:rPr>
          <w:rFonts w:ascii="Segoe UI" w:hAnsi="Segoe UI"/>
          <w:spacing w:val="-6"/>
        </w:rPr>
        <w:t> </w:t>
      </w:r>
      <w:r>
        <w:rPr>
          <w:rFonts w:ascii="Segoe UI" w:hAnsi="Segoe UI"/>
        </w:rPr>
        <w:t>enabling</w:t>
      </w:r>
      <w:r>
        <w:rPr>
          <w:rFonts w:ascii="Segoe UI" w:hAnsi="Segoe UI"/>
          <w:spacing w:val="-6"/>
        </w:rPr>
        <w:t> </w:t>
      </w:r>
      <w:r>
        <w:rPr>
          <w:rFonts w:ascii="Segoe UI" w:hAnsi="Segoe UI"/>
        </w:rPr>
        <w:t>rapid</w:t>
      </w:r>
      <w:r>
        <w:rPr>
          <w:rFonts w:ascii="Segoe UI" w:hAnsi="Segoe UI"/>
          <w:spacing w:val="-6"/>
        </w:rPr>
        <w:t> </w:t>
      </w:r>
      <w:r>
        <w:rPr>
          <w:rFonts w:ascii="Segoe UI" w:hAnsi="Segoe UI"/>
        </w:rPr>
        <w:t>identification</w:t>
      </w:r>
      <w:r>
        <w:rPr>
          <w:rFonts w:ascii="Segoe UI" w:hAnsi="Segoe UI"/>
          <w:spacing w:val="-6"/>
        </w:rPr>
        <w:t> </w:t>
      </w:r>
      <w:r>
        <w:rPr>
          <w:rFonts w:ascii="Segoe UI" w:hAnsi="Segoe UI"/>
        </w:rPr>
        <w:t>of patients suitable for thrombolysis and/or thrombectomy.</w:t>
      </w:r>
    </w:p>
    <w:p>
      <w:pPr>
        <w:pStyle w:val="BodyText"/>
        <w:tabs>
          <w:tab w:pos="1729" w:val="left" w:leader="none"/>
        </w:tabs>
        <w:spacing w:line="237" w:lineRule="auto" w:before="4"/>
        <w:ind w:left="1730" w:right="1957" w:hanging="361"/>
        <w:rPr>
          <w:rFonts w:ascii="Segoe UI" w:hAnsi="Segoe UI"/>
        </w:rPr>
      </w:pPr>
      <w:r>
        <w:rPr>
          <w:rFonts w:ascii="Calibri" w:hAnsi="Calibri"/>
          <w:spacing w:val="-10"/>
        </w:rPr>
        <w:t>−</w:t>
      </w:r>
      <w:r>
        <w:rPr>
          <w:rFonts w:ascii="Calibri" w:hAnsi="Calibri"/>
        </w:rPr>
        <w:tab/>
      </w:r>
      <w:r>
        <w:rPr>
          <w:rFonts w:ascii="Segoe UI" w:hAnsi="Segoe UI"/>
        </w:rPr>
        <w:t>Consistent</w:t>
      </w:r>
      <w:r>
        <w:rPr>
          <w:rFonts w:ascii="Segoe UI" w:hAnsi="Segoe UI"/>
          <w:spacing w:val="-4"/>
        </w:rPr>
        <w:t> </w:t>
      </w:r>
      <w:r>
        <w:rPr>
          <w:rFonts w:ascii="Segoe UI" w:hAnsi="Segoe UI"/>
        </w:rPr>
        <w:t>senior</w:t>
      </w:r>
      <w:r>
        <w:rPr>
          <w:rFonts w:ascii="Segoe UI" w:hAnsi="Segoe UI"/>
          <w:spacing w:val="-7"/>
        </w:rPr>
        <w:t> </w:t>
      </w:r>
      <w:r>
        <w:rPr>
          <w:rFonts w:ascii="Segoe UI" w:hAnsi="Segoe UI"/>
        </w:rPr>
        <w:t>decision-making</w:t>
      </w:r>
      <w:r>
        <w:rPr>
          <w:rFonts w:ascii="Segoe UI" w:hAnsi="Segoe UI"/>
          <w:spacing w:val="-9"/>
        </w:rPr>
        <w:t> </w:t>
      </w:r>
      <w:r>
        <w:rPr>
          <w:rFonts w:ascii="Segoe UI" w:hAnsi="Segoe UI"/>
        </w:rPr>
        <w:t>for</w:t>
      </w:r>
      <w:r>
        <w:rPr>
          <w:rFonts w:ascii="Segoe UI" w:hAnsi="Segoe UI"/>
          <w:spacing w:val="-6"/>
        </w:rPr>
        <w:t> </w:t>
      </w:r>
      <w:r>
        <w:rPr>
          <w:rFonts w:ascii="Segoe UI" w:hAnsi="Segoe UI"/>
        </w:rPr>
        <w:t>complex</w:t>
      </w:r>
      <w:r>
        <w:rPr>
          <w:rFonts w:ascii="Segoe UI" w:hAnsi="Segoe UI"/>
          <w:spacing w:val="-3"/>
        </w:rPr>
        <w:t> </w:t>
      </w:r>
      <w:r>
        <w:rPr>
          <w:rFonts w:ascii="Segoe UI" w:hAnsi="Segoe UI"/>
        </w:rPr>
        <w:t>stroke</w:t>
      </w:r>
      <w:r>
        <w:rPr>
          <w:rFonts w:ascii="Segoe UI" w:hAnsi="Segoe UI"/>
          <w:spacing w:val="-8"/>
        </w:rPr>
        <w:t> </w:t>
      </w:r>
      <w:r>
        <w:rPr>
          <w:rFonts w:ascii="Segoe UI" w:hAnsi="Segoe UI"/>
        </w:rPr>
        <w:t>presentations,</w:t>
      </w:r>
      <w:r>
        <w:rPr>
          <w:rFonts w:ascii="Segoe UI" w:hAnsi="Segoe UI"/>
          <w:spacing w:val="-9"/>
        </w:rPr>
        <w:t> </w:t>
      </w:r>
      <w:r>
        <w:rPr>
          <w:rFonts w:ascii="Segoe UI" w:hAnsi="Segoe UI"/>
        </w:rPr>
        <w:t>including treatment eligibility, contraindications and differential diagnoses.</w:t>
      </w:r>
    </w:p>
    <w:p>
      <w:pPr>
        <w:pStyle w:val="BodyText"/>
        <w:tabs>
          <w:tab w:pos="1729" w:val="left" w:leader="none"/>
        </w:tabs>
        <w:spacing w:line="237" w:lineRule="auto"/>
        <w:ind w:left="1730" w:right="1189" w:hanging="361"/>
        <w:rPr>
          <w:rFonts w:ascii="Segoe UI" w:hAnsi="Segoe UI"/>
        </w:rPr>
      </w:pPr>
      <w:r>
        <w:rPr>
          <w:rFonts w:ascii="Calibri" w:hAnsi="Calibri"/>
          <w:spacing w:val="-10"/>
        </w:rPr>
        <w:t>−</w:t>
      </w:r>
      <w:r>
        <w:rPr>
          <w:rFonts w:ascii="Calibri" w:hAnsi="Calibri"/>
        </w:rPr>
        <w:tab/>
      </w:r>
      <w:r>
        <w:rPr>
          <w:rFonts w:ascii="Segoe UI" w:hAnsi="Segoe UI"/>
        </w:rPr>
        <w:t>Reduction</w:t>
      </w:r>
      <w:r>
        <w:rPr>
          <w:rFonts w:ascii="Segoe UI" w:hAnsi="Segoe UI"/>
          <w:spacing w:val="-7"/>
        </w:rPr>
        <w:t> </w:t>
      </w:r>
      <w:r>
        <w:rPr>
          <w:rFonts w:ascii="Segoe UI" w:hAnsi="Segoe UI"/>
        </w:rPr>
        <w:t>in</w:t>
      </w:r>
      <w:r>
        <w:rPr>
          <w:rFonts w:ascii="Segoe UI" w:hAnsi="Segoe UI"/>
          <w:spacing w:val="-6"/>
        </w:rPr>
        <w:t> </w:t>
      </w:r>
      <w:r>
        <w:rPr>
          <w:rFonts w:ascii="Segoe UI" w:hAnsi="Segoe UI"/>
        </w:rPr>
        <w:t>unwarranted</w:t>
      </w:r>
      <w:r>
        <w:rPr>
          <w:rFonts w:ascii="Segoe UI" w:hAnsi="Segoe UI"/>
          <w:spacing w:val="-7"/>
        </w:rPr>
        <w:t> </w:t>
      </w:r>
      <w:r>
        <w:rPr>
          <w:rFonts w:ascii="Segoe UI" w:hAnsi="Segoe UI"/>
        </w:rPr>
        <w:t>variation</w:t>
      </w:r>
      <w:r>
        <w:rPr>
          <w:rFonts w:ascii="Segoe UI" w:hAnsi="Segoe UI"/>
          <w:spacing w:val="-7"/>
        </w:rPr>
        <w:t> </w:t>
      </w:r>
      <w:r>
        <w:rPr>
          <w:rFonts w:ascii="Segoe UI" w:hAnsi="Segoe UI"/>
        </w:rPr>
        <w:t>in</w:t>
      </w:r>
      <w:r>
        <w:rPr>
          <w:rFonts w:ascii="Segoe UI" w:hAnsi="Segoe UI"/>
          <w:spacing w:val="-1"/>
        </w:rPr>
        <w:t> </w:t>
      </w:r>
      <w:r>
        <w:rPr>
          <w:rFonts w:ascii="Segoe UI" w:hAnsi="Segoe UI"/>
        </w:rPr>
        <w:t>stroke</w:t>
      </w:r>
      <w:r>
        <w:rPr>
          <w:rFonts w:ascii="Segoe UI" w:hAnsi="Segoe UI"/>
          <w:spacing w:val="-6"/>
        </w:rPr>
        <w:t> </w:t>
      </w:r>
      <w:r>
        <w:rPr>
          <w:rFonts w:ascii="Segoe UI" w:hAnsi="Segoe UI"/>
        </w:rPr>
        <w:t>management</w:t>
      </w:r>
      <w:r>
        <w:rPr>
          <w:rFonts w:ascii="Segoe UI" w:hAnsi="Segoe UI"/>
          <w:spacing w:val="-7"/>
        </w:rPr>
        <w:t> </w:t>
      </w:r>
      <w:r>
        <w:rPr>
          <w:rFonts w:ascii="Segoe UI" w:hAnsi="Segoe UI"/>
        </w:rPr>
        <w:t>between</w:t>
      </w:r>
      <w:r>
        <w:rPr>
          <w:rFonts w:ascii="Segoe UI" w:hAnsi="Segoe UI"/>
          <w:spacing w:val="-6"/>
        </w:rPr>
        <w:t> </w:t>
      </w:r>
      <w:r>
        <w:rPr>
          <w:rFonts w:ascii="Segoe UI" w:hAnsi="Segoe UI"/>
        </w:rPr>
        <w:t>hospital</w:t>
      </w:r>
      <w:r>
        <w:rPr>
          <w:rFonts w:ascii="Segoe UI" w:hAnsi="Segoe UI"/>
          <w:spacing w:val="-4"/>
        </w:rPr>
        <w:t> </w:t>
      </w:r>
      <w:r>
        <w:rPr>
          <w:rFonts w:ascii="Segoe UI" w:hAnsi="Segoe UI"/>
        </w:rPr>
        <w:t>sites</w:t>
      </w:r>
      <w:r>
        <w:rPr>
          <w:rFonts w:ascii="Segoe UI" w:hAnsi="Segoe UI"/>
          <w:spacing w:val="-3"/>
        </w:rPr>
        <w:t> </w:t>
      </w:r>
      <w:r>
        <w:rPr>
          <w:rFonts w:ascii="Segoe UI" w:hAnsi="Segoe UI"/>
        </w:rPr>
        <w:t>and between in-hours and out-of-hours periods.</w:t>
      </w:r>
    </w:p>
    <w:p>
      <w:pPr>
        <w:pStyle w:val="BodyText"/>
        <w:tabs>
          <w:tab w:pos="1729" w:val="left" w:leader="none"/>
        </w:tabs>
        <w:spacing w:line="237" w:lineRule="auto" w:before="2"/>
        <w:ind w:left="1730" w:right="1801" w:hanging="361"/>
        <w:rPr>
          <w:rFonts w:ascii="Segoe UI" w:hAnsi="Segoe UI"/>
        </w:rPr>
      </w:pPr>
      <w:r>
        <w:rPr>
          <w:rFonts w:ascii="Calibri" w:hAnsi="Calibri"/>
          <w:spacing w:val="-10"/>
        </w:rPr>
        <w:t>−</w:t>
      </w:r>
      <w:r>
        <w:rPr>
          <w:rFonts w:ascii="Calibri" w:hAnsi="Calibri"/>
        </w:rPr>
        <w:tab/>
      </w:r>
      <w:r>
        <w:rPr>
          <w:rFonts w:ascii="Segoe UI" w:hAnsi="Segoe UI"/>
        </w:rPr>
        <w:t>Improved</w:t>
      </w:r>
      <w:r>
        <w:rPr>
          <w:rFonts w:ascii="Segoe UI" w:hAnsi="Segoe UI"/>
          <w:spacing w:val="-7"/>
        </w:rPr>
        <w:t> </w:t>
      </w:r>
      <w:r>
        <w:rPr>
          <w:rFonts w:ascii="Segoe UI" w:hAnsi="Segoe UI"/>
        </w:rPr>
        <w:t>clinical</w:t>
      </w:r>
      <w:r>
        <w:rPr>
          <w:rFonts w:ascii="Segoe UI" w:hAnsi="Segoe UI"/>
          <w:spacing w:val="-4"/>
        </w:rPr>
        <w:t> </w:t>
      </w:r>
      <w:r>
        <w:rPr>
          <w:rFonts w:ascii="Segoe UI" w:hAnsi="Segoe UI"/>
        </w:rPr>
        <w:t>outcomes</w:t>
      </w:r>
      <w:r>
        <w:rPr>
          <w:rFonts w:ascii="Segoe UI" w:hAnsi="Segoe UI"/>
          <w:spacing w:val="-8"/>
        </w:rPr>
        <w:t> </w:t>
      </w:r>
      <w:r>
        <w:rPr>
          <w:rFonts w:ascii="Segoe UI" w:hAnsi="Segoe UI"/>
        </w:rPr>
        <w:t>through</w:t>
      </w:r>
      <w:r>
        <w:rPr>
          <w:rFonts w:ascii="Segoe UI" w:hAnsi="Segoe UI"/>
          <w:spacing w:val="-6"/>
        </w:rPr>
        <w:t> </w:t>
      </w:r>
      <w:r>
        <w:rPr>
          <w:rFonts w:ascii="Segoe UI" w:hAnsi="Segoe UI"/>
        </w:rPr>
        <w:t>faster</w:t>
      </w:r>
      <w:r>
        <w:rPr>
          <w:rFonts w:ascii="Segoe UI" w:hAnsi="Segoe UI"/>
          <w:spacing w:val="-4"/>
        </w:rPr>
        <w:t> </w:t>
      </w:r>
      <w:r>
        <w:rPr>
          <w:rFonts w:ascii="Segoe UI" w:hAnsi="Segoe UI"/>
        </w:rPr>
        <w:t>treatment,</w:t>
      </w:r>
      <w:r>
        <w:rPr>
          <w:rFonts w:ascii="Segoe UI" w:hAnsi="Segoe UI"/>
          <w:spacing w:val="-7"/>
        </w:rPr>
        <w:t> </w:t>
      </w:r>
      <w:r>
        <w:rPr>
          <w:rFonts w:ascii="Segoe UI" w:hAnsi="Segoe UI"/>
        </w:rPr>
        <w:t>including</w:t>
      </w:r>
      <w:r>
        <w:rPr>
          <w:rFonts w:ascii="Segoe UI" w:hAnsi="Segoe UI"/>
          <w:spacing w:val="-7"/>
        </w:rPr>
        <w:t> </w:t>
      </w:r>
      <w:r>
        <w:rPr>
          <w:rFonts w:ascii="Segoe UI" w:hAnsi="Segoe UI"/>
        </w:rPr>
        <w:t>reduced</w:t>
      </w:r>
      <w:r>
        <w:rPr>
          <w:rFonts w:ascii="Segoe UI" w:hAnsi="Segoe UI"/>
          <w:spacing w:val="-2"/>
        </w:rPr>
        <w:t> </w:t>
      </w:r>
      <w:r>
        <w:rPr>
          <w:rFonts w:ascii="Segoe UI" w:hAnsi="Segoe UI"/>
        </w:rPr>
        <w:t>time</w:t>
      </w:r>
      <w:r>
        <w:rPr>
          <w:rFonts w:ascii="Segoe UI" w:hAnsi="Segoe UI"/>
          <w:spacing w:val="-6"/>
        </w:rPr>
        <w:t> </w:t>
      </w:r>
      <w:r>
        <w:rPr>
          <w:rFonts w:ascii="Segoe UI" w:hAnsi="Segoe UI"/>
        </w:rPr>
        <w:t>to thrombolysis and thrombectomy referral.</w:t>
      </w:r>
    </w:p>
    <w:p>
      <w:pPr>
        <w:pStyle w:val="BodyText"/>
        <w:tabs>
          <w:tab w:pos="1729" w:val="left" w:leader="none"/>
        </w:tabs>
        <w:spacing w:line="237" w:lineRule="auto" w:before="4"/>
        <w:ind w:left="1730" w:right="1113" w:hanging="361"/>
        <w:rPr>
          <w:rFonts w:ascii="Segoe UI" w:hAnsi="Segoe UI"/>
        </w:rPr>
      </w:pPr>
      <w:r>
        <w:rPr>
          <w:rFonts w:ascii="Calibri" w:hAnsi="Calibri"/>
          <w:spacing w:val="-10"/>
        </w:rPr>
        <w:t>−</w:t>
      </w:r>
      <w:r>
        <w:rPr>
          <w:rFonts w:ascii="Calibri" w:hAnsi="Calibri"/>
        </w:rPr>
        <w:tab/>
      </w:r>
      <w:r>
        <w:rPr>
          <w:rFonts w:ascii="Segoe UI" w:hAnsi="Segoe UI"/>
        </w:rPr>
        <w:t>Strengthened</w:t>
      </w:r>
      <w:r>
        <w:rPr>
          <w:rFonts w:ascii="Segoe UI" w:hAnsi="Segoe UI"/>
          <w:spacing w:val="-7"/>
        </w:rPr>
        <w:t> </w:t>
      </w:r>
      <w:r>
        <w:rPr>
          <w:rFonts w:ascii="Segoe UI" w:hAnsi="Segoe UI"/>
        </w:rPr>
        <w:t>clinical</w:t>
      </w:r>
      <w:r>
        <w:rPr>
          <w:rFonts w:ascii="Segoe UI" w:hAnsi="Segoe UI"/>
          <w:spacing w:val="-4"/>
        </w:rPr>
        <w:t> </w:t>
      </w:r>
      <w:r>
        <w:rPr>
          <w:rFonts w:ascii="Segoe UI" w:hAnsi="Segoe UI"/>
        </w:rPr>
        <w:t>governance,</w:t>
      </w:r>
      <w:r>
        <w:rPr>
          <w:rFonts w:ascii="Segoe UI" w:hAnsi="Segoe UI"/>
          <w:spacing w:val="-3"/>
        </w:rPr>
        <w:t> </w:t>
      </w:r>
      <w:r>
        <w:rPr>
          <w:rFonts w:ascii="Segoe UI" w:hAnsi="Segoe UI"/>
        </w:rPr>
        <w:t>escalation</w:t>
      </w:r>
      <w:r>
        <w:rPr>
          <w:rFonts w:ascii="Segoe UI" w:hAnsi="Segoe UI"/>
          <w:spacing w:val="-7"/>
        </w:rPr>
        <w:t> </w:t>
      </w:r>
      <w:r>
        <w:rPr>
          <w:rFonts w:ascii="Segoe UI" w:hAnsi="Segoe UI"/>
        </w:rPr>
        <w:t>and</w:t>
      </w:r>
      <w:r>
        <w:rPr>
          <w:rFonts w:ascii="Segoe UI" w:hAnsi="Segoe UI"/>
          <w:spacing w:val="-7"/>
        </w:rPr>
        <w:t> </w:t>
      </w:r>
      <w:r>
        <w:rPr>
          <w:rFonts w:ascii="Segoe UI" w:hAnsi="Segoe UI"/>
        </w:rPr>
        <w:t>shared</w:t>
      </w:r>
      <w:r>
        <w:rPr>
          <w:rFonts w:ascii="Segoe UI" w:hAnsi="Segoe UI"/>
          <w:spacing w:val="-2"/>
        </w:rPr>
        <w:t> </w:t>
      </w:r>
      <w:r>
        <w:rPr>
          <w:rFonts w:ascii="Segoe UI" w:hAnsi="Segoe UI"/>
        </w:rPr>
        <w:t>decision-making</w:t>
      </w:r>
      <w:r>
        <w:rPr>
          <w:rFonts w:ascii="Segoe UI" w:hAnsi="Segoe UI"/>
          <w:spacing w:val="-7"/>
        </w:rPr>
        <w:t> </w:t>
      </w:r>
      <w:r>
        <w:rPr>
          <w:rFonts w:ascii="Segoe UI" w:hAnsi="Segoe UI"/>
        </w:rPr>
        <w:t>for</w:t>
      </w:r>
      <w:r>
        <w:rPr>
          <w:rFonts w:ascii="Segoe UI" w:hAnsi="Segoe UI"/>
          <w:spacing w:val="-4"/>
        </w:rPr>
        <w:t> </w:t>
      </w:r>
      <w:r>
        <w:rPr>
          <w:rFonts w:ascii="Segoe UI" w:hAnsi="Segoe UI"/>
        </w:rPr>
        <w:t>high-risk stroke presentations.</w:t>
      </w:r>
    </w:p>
    <w:p>
      <w:pPr>
        <w:spacing w:before="282"/>
        <w:ind w:left="1009" w:right="0" w:firstLine="0"/>
        <w:jc w:val="left"/>
        <w:rPr>
          <w:rFonts w:ascii="Segoe UI"/>
          <w:b/>
          <w:sz w:val="24"/>
        </w:rPr>
      </w:pPr>
      <w:r>
        <w:rPr>
          <w:rFonts w:ascii="Segoe UI"/>
          <w:b/>
          <w:sz w:val="24"/>
        </w:rPr>
        <w:t>Organisational</w:t>
      </w:r>
      <w:r>
        <w:rPr>
          <w:rFonts w:ascii="Segoe UI"/>
          <w:b/>
          <w:spacing w:val="-7"/>
          <w:sz w:val="24"/>
        </w:rPr>
        <w:t> </w:t>
      </w:r>
      <w:r>
        <w:rPr>
          <w:rFonts w:ascii="Segoe UI"/>
          <w:b/>
          <w:spacing w:val="-2"/>
          <w:sz w:val="24"/>
        </w:rPr>
        <w:t>Outcomes</w:t>
      </w:r>
    </w:p>
    <w:p>
      <w:pPr>
        <w:pStyle w:val="BodyText"/>
        <w:tabs>
          <w:tab w:pos="1729" w:val="left" w:leader="none"/>
        </w:tabs>
        <w:spacing w:line="237" w:lineRule="auto" w:before="278"/>
        <w:ind w:left="1730" w:right="1669" w:hanging="361"/>
        <w:rPr>
          <w:rFonts w:ascii="Segoe UI" w:hAnsi="Segoe UI"/>
        </w:rPr>
      </w:pPr>
      <w:r>
        <w:rPr>
          <w:rFonts w:ascii="Calibri" w:hAnsi="Calibri"/>
          <w:spacing w:val="-10"/>
        </w:rPr>
        <w:t>−</w:t>
      </w:r>
      <w:r>
        <w:rPr>
          <w:rFonts w:ascii="Calibri" w:hAnsi="Calibri"/>
        </w:rPr>
        <w:tab/>
      </w:r>
      <w:r>
        <w:rPr>
          <w:rFonts w:ascii="Segoe UI" w:hAnsi="Segoe UI"/>
        </w:rPr>
        <w:t>Provision</w:t>
      </w:r>
      <w:r>
        <w:rPr>
          <w:rFonts w:ascii="Segoe UI" w:hAnsi="Segoe UI"/>
          <w:spacing w:val="-6"/>
        </w:rPr>
        <w:t> </w:t>
      </w:r>
      <w:r>
        <w:rPr>
          <w:rFonts w:ascii="Segoe UI" w:hAnsi="Segoe UI"/>
        </w:rPr>
        <w:t>of</w:t>
      </w:r>
      <w:r>
        <w:rPr>
          <w:rFonts w:ascii="Segoe UI" w:hAnsi="Segoe UI"/>
          <w:spacing w:val="-5"/>
        </w:rPr>
        <w:t> </w:t>
      </w:r>
      <w:r>
        <w:rPr>
          <w:rFonts w:ascii="Segoe UI" w:hAnsi="Segoe UI"/>
        </w:rPr>
        <w:t>a</w:t>
      </w:r>
      <w:r>
        <w:rPr>
          <w:rFonts w:ascii="Segoe UI" w:hAnsi="Segoe UI"/>
          <w:spacing w:val="-6"/>
        </w:rPr>
        <w:t> </w:t>
      </w:r>
      <w:r>
        <w:rPr>
          <w:rFonts w:ascii="Segoe UI" w:hAnsi="Segoe UI"/>
        </w:rPr>
        <w:t>resilient,</w:t>
      </w:r>
      <w:r>
        <w:rPr>
          <w:rFonts w:ascii="Segoe UI" w:hAnsi="Segoe UI"/>
          <w:spacing w:val="-6"/>
        </w:rPr>
        <w:t> </w:t>
      </w:r>
      <w:r>
        <w:rPr>
          <w:rFonts w:ascii="Segoe UI" w:hAnsi="Segoe UI"/>
        </w:rPr>
        <w:t>clearly</w:t>
      </w:r>
      <w:r>
        <w:rPr>
          <w:rFonts w:ascii="Segoe UI" w:hAnsi="Segoe UI"/>
          <w:spacing w:val="-5"/>
        </w:rPr>
        <w:t> </w:t>
      </w:r>
      <w:r>
        <w:rPr>
          <w:rFonts w:ascii="Segoe UI" w:hAnsi="Segoe UI"/>
        </w:rPr>
        <w:t>defined</w:t>
      </w:r>
      <w:r>
        <w:rPr>
          <w:rFonts w:ascii="Segoe UI" w:hAnsi="Segoe UI"/>
          <w:spacing w:val="-1"/>
        </w:rPr>
        <w:t> </w:t>
      </w:r>
      <w:r>
        <w:rPr>
          <w:rFonts w:ascii="Segoe UI" w:hAnsi="Segoe UI"/>
        </w:rPr>
        <w:t>cross-health-board</w:t>
      </w:r>
      <w:r>
        <w:rPr>
          <w:rFonts w:ascii="Segoe UI" w:hAnsi="Segoe UI"/>
          <w:spacing w:val="-6"/>
        </w:rPr>
        <w:t> </w:t>
      </w:r>
      <w:r>
        <w:rPr>
          <w:rFonts w:ascii="Segoe UI" w:hAnsi="Segoe UI"/>
        </w:rPr>
        <w:t>OOH</w:t>
      </w:r>
      <w:r>
        <w:rPr>
          <w:rFonts w:ascii="Segoe UI" w:hAnsi="Segoe UI"/>
          <w:spacing w:val="-5"/>
        </w:rPr>
        <w:t> </w:t>
      </w:r>
      <w:r>
        <w:rPr>
          <w:rFonts w:ascii="Segoe UI" w:hAnsi="Segoe UI"/>
        </w:rPr>
        <w:t>stroke</w:t>
      </w:r>
      <w:r>
        <w:rPr>
          <w:rFonts w:ascii="Segoe UI" w:hAnsi="Segoe UI"/>
          <w:spacing w:val="-5"/>
        </w:rPr>
        <w:t> </w:t>
      </w:r>
      <w:r>
        <w:rPr>
          <w:rFonts w:ascii="Segoe UI" w:hAnsi="Segoe UI"/>
        </w:rPr>
        <w:t>consultant </w:t>
      </w:r>
      <w:r>
        <w:rPr>
          <w:rFonts w:ascii="Segoe UI" w:hAnsi="Segoe UI"/>
          <w:spacing w:val="-2"/>
        </w:rPr>
        <w:t>service.</w:t>
      </w:r>
    </w:p>
    <w:p>
      <w:pPr>
        <w:pStyle w:val="BodyText"/>
        <w:tabs>
          <w:tab w:pos="1729" w:val="left" w:leader="none"/>
        </w:tabs>
        <w:spacing w:line="237" w:lineRule="auto" w:before="4"/>
        <w:ind w:left="1730" w:right="1554" w:hanging="361"/>
        <w:rPr>
          <w:rFonts w:ascii="Segoe UI" w:hAnsi="Segoe UI"/>
        </w:rPr>
      </w:pPr>
      <w:r>
        <w:rPr>
          <w:rFonts w:ascii="Calibri" w:hAnsi="Calibri"/>
          <w:spacing w:val="-10"/>
        </w:rPr>
        <w:t>−</w:t>
      </w:r>
      <w:r>
        <w:rPr>
          <w:rFonts w:ascii="Calibri" w:hAnsi="Calibri"/>
        </w:rPr>
        <w:tab/>
      </w:r>
      <w:r>
        <w:rPr>
          <w:rFonts w:ascii="Segoe UI" w:hAnsi="Segoe UI"/>
        </w:rPr>
        <w:t>More</w:t>
      </w:r>
      <w:r>
        <w:rPr>
          <w:rFonts w:ascii="Segoe UI" w:hAnsi="Segoe UI"/>
          <w:spacing w:val="-5"/>
        </w:rPr>
        <w:t> </w:t>
      </w:r>
      <w:r>
        <w:rPr>
          <w:rFonts w:ascii="Segoe UI" w:hAnsi="Segoe UI"/>
        </w:rPr>
        <w:t>effective</w:t>
      </w:r>
      <w:r>
        <w:rPr>
          <w:rFonts w:ascii="Segoe UI" w:hAnsi="Segoe UI"/>
          <w:spacing w:val="-5"/>
        </w:rPr>
        <w:t> </w:t>
      </w:r>
      <w:r>
        <w:rPr>
          <w:rFonts w:ascii="Segoe UI" w:hAnsi="Segoe UI"/>
        </w:rPr>
        <w:t>use</w:t>
      </w:r>
      <w:r>
        <w:rPr>
          <w:rFonts w:ascii="Segoe UI" w:hAnsi="Segoe UI"/>
          <w:spacing w:val="-1"/>
        </w:rPr>
        <w:t> </w:t>
      </w:r>
      <w:r>
        <w:rPr>
          <w:rFonts w:ascii="Segoe UI" w:hAnsi="Segoe UI"/>
        </w:rPr>
        <w:t>of</w:t>
      </w:r>
      <w:r>
        <w:rPr>
          <w:rFonts w:ascii="Segoe UI" w:hAnsi="Segoe UI"/>
          <w:spacing w:val="-5"/>
        </w:rPr>
        <w:t> </w:t>
      </w:r>
      <w:r>
        <w:rPr>
          <w:rFonts w:ascii="Segoe UI" w:hAnsi="Segoe UI"/>
        </w:rPr>
        <w:t>specialist</w:t>
      </w:r>
      <w:r>
        <w:rPr>
          <w:rFonts w:ascii="Segoe UI" w:hAnsi="Segoe UI"/>
          <w:spacing w:val="-6"/>
        </w:rPr>
        <w:t> </w:t>
      </w:r>
      <w:r>
        <w:rPr>
          <w:rFonts w:ascii="Segoe UI" w:hAnsi="Segoe UI"/>
        </w:rPr>
        <w:t>stroke</w:t>
      </w:r>
      <w:r>
        <w:rPr>
          <w:rFonts w:ascii="Segoe UI" w:hAnsi="Segoe UI"/>
          <w:spacing w:val="-5"/>
        </w:rPr>
        <w:t> </w:t>
      </w:r>
      <w:r>
        <w:rPr>
          <w:rFonts w:ascii="Segoe UI" w:hAnsi="Segoe UI"/>
        </w:rPr>
        <w:t>consultant</w:t>
      </w:r>
      <w:r>
        <w:rPr>
          <w:rFonts w:ascii="Segoe UI" w:hAnsi="Segoe UI"/>
          <w:spacing w:val="-6"/>
        </w:rPr>
        <w:t> </w:t>
      </w:r>
      <w:r>
        <w:rPr>
          <w:rFonts w:ascii="Segoe UI" w:hAnsi="Segoe UI"/>
        </w:rPr>
        <w:t>capacity</w:t>
      </w:r>
      <w:r>
        <w:rPr>
          <w:rFonts w:ascii="Segoe UI" w:hAnsi="Segoe UI"/>
          <w:spacing w:val="-2"/>
        </w:rPr>
        <w:t> </w:t>
      </w:r>
      <w:r>
        <w:rPr>
          <w:rFonts w:ascii="Segoe UI" w:hAnsi="Segoe UI"/>
        </w:rPr>
        <w:t>across</w:t>
      </w:r>
      <w:r>
        <w:rPr>
          <w:rFonts w:ascii="Segoe UI" w:hAnsi="Segoe UI"/>
          <w:spacing w:val="-6"/>
        </w:rPr>
        <w:t> </w:t>
      </w:r>
      <w:r>
        <w:rPr>
          <w:rFonts w:ascii="Segoe UI" w:hAnsi="Segoe UI"/>
        </w:rPr>
        <w:t>Swansea</w:t>
      </w:r>
      <w:r>
        <w:rPr>
          <w:rFonts w:ascii="Segoe UI" w:hAnsi="Segoe UI"/>
          <w:spacing w:val="-7"/>
        </w:rPr>
        <w:t> </w:t>
      </w:r>
      <w:r>
        <w:rPr>
          <w:rFonts w:ascii="Segoe UI" w:hAnsi="Segoe UI"/>
        </w:rPr>
        <w:t>Bay</w:t>
      </w:r>
      <w:r>
        <w:rPr>
          <w:rFonts w:ascii="Segoe UI" w:hAnsi="Segoe UI"/>
          <w:spacing w:val="-2"/>
        </w:rPr>
        <w:t> </w:t>
      </w:r>
      <w:r>
        <w:rPr>
          <w:rFonts w:ascii="Segoe UI" w:hAnsi="Segoe UI"/>
        </w:rPr>
        <w:t>and Hywel Dda.</w:t>
      </w:r>
    </w:p>
    <w:p>
      <w:pPr>
        <w:pStyle w:val="BodyText"/>
        <w:tabs>
          <w:tab w:pos="1729" w:val="left" w:leader="none"/>
        </w:tabs>
        <w:spacing w:line="232" w:lineRule="auto" w:before="9"/>
        <w:ind w:left="1730" w:right="2424" w:hanging="361"/>
        <w:rPr>
          <w:rFonts w:ascii="Segoe UI" w:hAnsi="Segoe UI"/>
        </w:rPr>
      </w:pPr>
      <w:r>
        <w:rPr>
          <w:rFonts w:ascii="Calibri" w:hAnsi="Calibri"/>
          <w:spacing w:val="-10"/>
        </w:rPr>
        <w:t>−</w:t>
      </w:r>
      <w:r>
        <w:rPr>
          <w:rFonts w:ascii="Calibri" w:hAnsi="Calibri"/>
        </w:rPr>
        <w:tab/>
      </w:r>
      <w:r>
        <w:rPr>
          <w:rFonts w:ascii="Segoe UI" w:hAnsi="Segoe UI"/>
        </w:rPr>
        <w:t>Reduced</w:t>
      </w:r>
      <w:r>
        <w:rPr>
          <w:rFonts w:ascii="Segoe UI" w:hAnsi="Segoe UI"/>
          <w:spacing w:val="-7"/>
        </w:rPr>
        <w:t> </w:t>
      </w:r>
      <w:r>
        <w:rPr>
          <w:rFonts w:ascii="Segoe UI" w:hAnsi="Segoe UI"/>
        </w:rPr>
        <w:t>reliance</w:t>
      </w:r>
      <w:r>
        <w:rPr>
          <w:rFonts w:ascii="Segoe UI" w:hAnsi="Segoe UI"/>
          <w:spacing w:val="-6"/>
        </w:rPr>
        <w:t> </w:t>
      </w:r>
      <w:r>
        <w:rPr>
          <w:rFonts w:ascii="Segoe UI" w:hAnsi="Segoe UI"/>
        </w:rPr>
        <w:t>on</w:t>
      </w:r>
      <w:r>
        <w:rPr>
          <w:rFonts w:ascii="Segoe UI" w:hAnsi="Segoe UI"/>
          <w:spacing w:val="-3"/>
        </w:rPr>
        <w:t> </w:t>
      </w:r>
      <w:r>
        <w:rPr>
          <w:rFonts w:ascii="Segoe UI" w:hAnsi="Segoe UI"/>
        </w:rPr>
        <w:t>ad</w:t>
      </w:r>
      <w:r>
        <w:rPr>
          <w:rFonts w:ascii="Segoe UI" w:hAnsi="Segoe UI"/>
          <w:spacing w:val="-7"/>
        </w:rPr>
        <w:t> </w:t>
      </w:r>
      <w:r>
        <w:rPr>
          <w:rFonts w:ascii="Segoe UI" w:hAnsi="Segoe UI"/>
        </w:rPr>
        <w:t>hoc</w:t>
      </w:r>
      <w:r>
        <w:rPr>
          <w:rFonts w:ascii="Segoe UI" w:hAnsi="Segoe UI"/>
          <w:spacing w:val="-7"/>
        </w:rPr>
        <w:t> </w:t>
      </w:r>
      <w:r>
        <w:rPr>
          <w:rFonts w:ascii="Segoe UI" w:hAnsi="Segoe UI"/>
        </w:rPr>
        <w:t>consultant</w:t>
      </w:r>
      <w:r>
        <w:rPr>
          <w:rFonts w:ascii="Segoe UI" w:hAnsi="Segoe UI"/>
          <w:spacing w:val="-7"/>
        </w:rPr>
        <w:t> </w:t>
      </w:r>
      <w:r>
        <w:rPr>
          <w:rFonts w:ascii="Segoe UI" w:hAnsi="Segoe UI"/>
        </w:rPr>
        <w:t>availability</w:t>
      </w:r>
      <w:r>
        <w:rPr>
          <w:rFonts w:ascii="Segoe UI" w:hAnsi="Segoe UI"/>
          <w:spacing w:val="-6"/>
        </w:rPr>
        <w:t> </w:t>
      </w:r>
      <w:r>
        <w:rPr>
          <w:rFonts w:ascii="Segoe UI" w:hAnsi="Segoe UI"/>
        </w:rPr>
        <w:t>and</w:t>
      </w:r>
      <w:r>
        <w:rPr>
          <w:rFonts w:ascii="Segoe UI" w:hAnsi="Segoe UI"/>
          <w:spacing w:val="-3"/>
        </w:rPr>
        <w:t> </w:t>
      </w:r>
      <w:r>
        <w:rPr>
          <w:rFonts w:ascii="Segoe UI" w:hAnsi="Segoe UI"/>
        </w:rPr>
        <w:t>informal</w:t>
      </w:r>
      <w:r>
        <w:rPr>
          <w:rFonts w:ascii="Segoe UI" w:hAnsi="Segoe UI"/>
          <w:spacing w:val="-5"/>
        </w:rPr>
        <w:t> </w:t>
      </w:r>
      <w:r>
        <w:rPr>
          <w:rFonts w:ascii="Segoe UI" w:hAnsi="Segoe UI"/>
        </w:rPr>
        <w:t>escalation </w:t>
      </w:r>
      <w:r>
        <w:rPr>
          <w:rFonts w:ascii="Segoe UI" w:hAnsi="Segoe UI"/>
          <w:spacing w:val="-2"/>
        </w:rPr>
        <w:t>arrangements.</w:t>
      </w:r>
    </w:p>
    <w:p>
      <w:pPr>
        <w:pStyle w:val="BodyText"/>
        <w:tabs>
          <w:tab w:pos="1729" w:val="left" w:leader="none"/>
        </w:tabs>
        <w:spacing w:line="237" w:lineRule="auto" w:before="7"/>
        <w:ind w:left="1730" w:right="1125" w:hanging="361"/>
        <w:rPr>
          <w:rFonts w:ascii="Segoe UI" w:hAnsi="Segoe UI"/>
        </w:rPr>
      </w:pPr>
      <w:r>
        <w:rPr>
          <w:rFonts w:ascii="Calibri" w:hAnsi="Calibri"/>
          <w:spacing w:val="-10"/>
        </w:rPr>
        <w:t>−</w:t>
      </w:r>
      <w:r>
        <w:rPr>
          <w:rFonts w:ascii="Calibri" w:hAnsi="Calibri"/>
        </w:rPr>
        <w:tab/>
      </w:r>
      <w:r>
        <w:rPr>
          <w:rFonts w:ascii="Segoe UI" w:hAnsi="Segoe UI"/>
        </w:rPr>
        <w:t>Clearer accountability, communication and escalation pathways between Emergency Departments,</w:t>
      </w:r>
      <w:r>
        <w:rPr>
          <w:rFonts w:ascii="Segoe UI" w:hAnsi="Segoe UI"/>
          <w:spacing w:val="-4"/>
        </w:rPr>
        <w:t> </w:t>
      </w:r>
      <w:r>
        <w:rPr>
          <w:rFonts w:ascii="Segoe UI" w:hAnsi="Segoe UI"/>
        </w:rPr>
        <w:t>stroke</w:t>
      </w:r>
      <w:r>
        <w:rPr>
          <w:rFonts w:ascii="Segoe UI" w:hAnsi="Segoe UI"/>
          <w:spacing w:val="-6"/>
        </w:rPr>
        <w:t> </w:t>
      </w:r>
      <w:r>
        <w:rPr>
          <w:rFonts w:ascii="Segoe UI" w:hAnsi="Segoe UI"/>
        </w:rPr>
        <w:t>teams,</w:t>
      </w:r>
      <w:r>
        <w:rPr>
          <w:rFonts w:ascii="Segoe UI" w:hAnsi="Segoe UI"/>
          <w:spacing w:val="-7"/>
        </w:rPr>
        <w:t> </w:t>
      </w:r>
      <w:r>
        <w:rPr>
          <w:rFonts w:ascii="Segoe UI" w:hAnsi="Segoe UI"/>
        </w:rPr>
        <w:t>radiology,</w:t>
      </w:r>
      <w:r>
        <w:rPr>
          <w:rFonts w:ascii="Segoe UI" w:hAnsi="Segoe UI"/>
          <w:spacing w:val="-7"/>
        </w:rPr>
        <w:t> </w:t>
      </w:r>
      <w:r>
        <w:rPr>
          <w:rFonts w:ascii="Segoe UI" w:hAnsi="Segoe UI"/>
        </w:rPr>
        <w:t>ambulance</w:t>
      </w:r>
      <w:r>
        <w:rPr>
          <w:rFonts w:ascii="Segoe UI" w:hAnsi="Segoe UI"/>
          <w:spacing w:val="-6"/>
        </w:rPr>
        <w:t> </w:t>
      </w:r>
      <w:r>
        <w:rPr>
          <w:rFonts w:ascii="Segoe UI" w:hAnsi="Segoe UI"/>
        </w:rPr>
        <w:t>services</w:t>
      </w:r>
      <w:r>
        <w:rPr>
          <w:rFonts w:ascii="Segoe UI" w:hAnsi="Segoe UI"/>
          <w:spacing w:val="-8"/>
        </w:rPr>
        <w:t> </w:t>
      </w:r>
      <w:r>
        <w:rPr>
          <w:rFonts w:ascii="Segoe UI" w:hAnsi="Segoe UI"/>
        </w:rPr>
        <w:t>and</w:t>
      </w:r>
      <w:r>
        <w:rPr>
          <w:rFonts w:ascii="Segoe UI" w:hAnsi="Segoe UI"/>
          <w:spacing w:val="-7"/>
        </w:rPr>
        <w:t> </w:t>
      </w:r>
      <w:r>
        <w:rPr>
          <w:rFonts w:ascii="Segoe UI" w:hAnsi="Segoe UI"/>
        </w:rPr>
        <w:t>thrombectomy</w:t>
      </w:r>
      <w:r>
        <w:rPr>
          <w:rFonts w:ascii="Segoe UI" w:hAnsi="Segoe UI"/>
          <w:spacing w:val="-6"/>
        </w:rPr>
        <w:t> </w:t>
      </w:r>
      <w:r>
        <w:rPr>
          <w:rFonts w:ascii="Segoe UI" w:hAnsi="Segoe UI"/>
        </w:rPr>
        <w:t>centres.</w:t>
      </w:r>
    </w:p>
    <w:p>
      <w:pPr>
        <w:pStyle w:val="BodyText"/>
        <w:tabs>
          <w:tab w:pos="1729" w:val="left" w:leader="none"/>
        </w:tabs>
        <w:spacing w:line="237" w:lineRule="auto" w:before="4"/>
        <w:ind w:left="1730" w:right="1565" w:hanging="361"/>
        <w:rPr>
          <w:rFonts w:ascii="Segoe UI" w:hAnsi="Segoe UI"/>
        </w:rPr>
      </w:pPr>
      <w:r>
        <w:rPr>
          <w:rFonts w:ascii="Calibri" w:hAnsi="Calibri"/>
          <w:spacing w:val="-10"/>
        </w:rPr>
        <w:t>−</w:t>
      </w:r>
      <w:r>
        <w:rPr>
          <w:rFonts w:ascii="Calibri" w:hAnsi="Calibri"/>
        </w:rPr>
        <w:tab/>
      </w:r>
      <w:r>
        <w:rPr>
          <w:rFonts w:ascii="Segoe UI" w:hAnsi="Segoe UI"/>
        </w:rPr>
        <w:t>Improved</w:t>
      </w:r>
      <w:r>
        <w:rPr>
          <w:rFonts w:ascii="Segoe UI" w:hAnsi="Segoe UI"/>
          <w:spacing w:val="-9"/>
        </w:rPr>
        <w:t> </w:t>
      </w:r>
      <w:r>
        <w:rPr>
          <w:rFonts w:ascii="Segoe UI" w:hAnsi="Segoe UI"/>
        </w:rPr>
        <w:t>patient</w:t>
      </w:r>
      <w:r>
        <w:rPr>
          <w:rFonts w:ascii="Segoe UI" w:hAnsi="Segoe UI"/>
          <w:spacing w:val="-9"/>
        </w:rPr>
        <w:t> </w:t>
      </w:r>
      <w:r>
        <w:rPr>
          <w:rFonts w:ascii="Segoe UI" w:hAnsi="Segoe UI"/>
        </w:rPr>
        <w:t>flow</w:t>
      </w:r>
      <w:r>
        <w:rPr>
          <w:rFonts w:ascii="Segoe UI" w:hAnsi="Segoe UI"/>
          <w:spacing w:val="-7"/>
        </w:rPr>
        <w:t> </w:t>
      </w:r>
      <w:r>
        <w:rPr>
          <w:rFonts w:ascii="Segoe UI" w:hAnsi="Segoe UI"/>
        </w:rPr>
        <w:t>through</w:t>
      </w:r>
      <w:r>
        <w:rPr>
          <w:rFonts w:ascii="Segoe UI" w:hAnsi="Segoe UI"/>
          <w:spacing w:val="-4"/>
        </w:rPr>
        <w:t> </w:t>
      </w:r>
      <w:r>
        <w:rPr>
          <w:rFonts w:ascii="Segoe UI" w:hAnsi="Segoe UI"/>
        </w:rPr>
        <w:t>earlier</w:t>
      </w:r>
      <w:r>
        <w:rPr>
          <w:rFonts w:ascii="Segoe UI" w:hAnsi="Segoe UI"/>
          <w:spacing w:val="-6"/>
        </w:rPr>
        <w:t> </w:t>
      </w:r>
      <w:r>
        <w:rPr>
          <w:rFonts w:ascii="Segoe UI" w:hAnsi="Segoe UI"/>
        </w:rPr>
        <w:t>treatment</w:t>
      </w:r>
      <w:r>
        <w:rPr>
          <w:rFonts w:ascii="Segoe UI" w:hAnsi="Segoe UI"/>
          <w:spacing w:val="-5"/>
        </w:rPr>
        <w:t> </w:t>
      </w:r>
      <w:r>
        <w:rPr>
          <w:rFonts w:ascii="Segoe UI" w:hAnsi="Segoe UI"/>
        </w:rPr>
        <w:t>decisions,</w:t>
      </w:r>
      <w:r>
        <w:rPr>
          <w:rFonts w:ascii="Segoe UI" w:hAnsi="Segoe UI"/>
          <w:spacing w:val="-6"/>
        </w:rPr>
        <w:t> </w:t>
      </w:r>
      <w:r>
        <w:rPr>
          <w:rFonts w:ascii="Segoe UI" w:hAnsi="Segoe UI"/>
        </w:rPr>
        <w:t>appropriate</w:t>
      </w:r>
      <w:r>
        <w:rPr>
          <w:rFonts w:ascii="Segoe UI" w:hAnsi="Segoe UI"/>
          <w:spacing w:val="-8"/>
        </w:rPr>
        <w:t> </w:t>
      </w:r>
      <w:r>
        <w:rPr>
          <w:rFonts w:ascii="Segoe UI" w:hAnsi="Segoe UI"/>
        </w:rPr>
        <w:t>admission, repatriation or transfer to specialist services.</w:t>
      </w:r>
    </w:p>
    <w:p>
      <w:pPr>
        <w:pStyle w:val="BodyText"/>
        <w:tabs>
          <w:tab w:pos="1729" w:val="left" w:leader="none"/>
        </w:tabs>
        <w:spacing w:line="237" w:lineRule="auto" w:before="3"/>
        <w:ind w:left="1730" w:right="1565" w:hanging="361"/>
        <w:rPr>
          <w:rFonts w:ascii="Segoe UI" w:hAnsi="Segoe UI"/>
        </w:rPr>
      </w:pPr>
      <w:r>
        <w:rPr>
          <w:rFonts w:ascii="Calibri" w:hAnsi="Calibri"/>
          <w:spacing w:val="-10"/>
        </w:rPr>
        <w:t>−</w:t>
      </w:r>
      <w:r>
        <w:rPr>
          <w:rFonts w:ascii="Calibri" w:hAnsi="Calibri"/>
        </w:rPr>
        <w:tab/>
      </w:r>
      <w:r>
        <w:rPr>
          <w:rFonts w:ascii="Segoe UI" w:hAnsi="Segoe UI"/>
        </w:rPr>
        <w:t>Potential</w:t>
      </w:r>
      <w:r>
        <w:rPr>
          <w:rFonts w:ascii="Segoe UI" w:hAnsi="Segoe UI"/>
          <w:spacing w:val="-3"/>
        </w:rPr>
        <w:t> </w:t>
      </w:r>
      <w:r>
        <w:rPr>
          <w:rFonts w:ascii="Segoe UI" w:hAnsi="Segoe UI"/>
        </w:rPr>
        <w:t>reduction</w:t>
      </w:r>
      <w:r>
        <w:rPr>
          <w:rFonts w:ascii="Segoe UI" w:hAnsi="Segoe UI"/>
          <w:spacing w:val="-6"/>
        </w:rPr>
        <w:t> </w:t>
      </w:r>
      <w:r>
        <w:rPr>
          <w:rFonts w:ascii="Segoe UI" w:hAnsi="Segoe UI"/>
        </w:rPr>
        <w:t>in avoidable</w:t>
      </w:r>
      <w:r>
        <w:rPr>
          <w:rFonts w:ascii="Segoe UI" w:hAnsi="Segoe UI"/>
          <w:spacing w:val="-5"/>
        </w:rPr>
        <w:t> </w:t>
      </w:r>
      <w:r>
        <w:rPr>
          <w:rFonts w:ascii="Segoe UI" w:hAnsi="Segoe UI"/>
        </w:rPr>
        <w:t>length</w:t>
      </w:r>
      <w:r>
        <w:rPr>
          <w:rFonts w:ascii="Segoe UI" w:hAnsi="Segoe UI"/>
          <w:spacing w:val="-5"/>
        </w:rPr>
        <w:t> </w:t>
      </w:r>
      <w:r>
        <w:rPr>
          <w:rFonts w:ascii="Segoe UI" w:hAnsi="Segoe UI"/>
        </w:rPr>
        <w:t>of stay</w:t>
      </w:r>
      <w:r>
        <w:rPr>
          <w:rFonts w:ascii="Segoe UI" w:hAnsi="Segoe UI"/>
          <w:spacing w:val="-5"/>
        </w:rPr>
        <w:t> </w:t>
      </w:r>
      <w:r>
        <w:rPr>
          <w:rFonts w:ascii="Segoe UI" w:hAnsi="Segoe UI"/>
        </w:rPr>
        <w:t>and</w:t>
      </w:r>
      <w:r>
        <w:rPr>
          <w:rFonts w:ascii="Segoe UI" w:hAnsi="Segoe UI"/>
          <w:spacing w:val="-6"/>
        </w:rPr>
        <w:t> </w:t>
      </w:r>
      <w:r>
        <w:rPr>
          <w:rFonts w:ascii="Segoe UI" w:hAnsi="Segoe UI"/>
        </w:rPr>
        <w:t>longer-term</w:t>
      </w:r>
      <w:r>
        <w:rPr>
          <w:rFonts w:ascii="Segoe UI" w:hAnsi="Segoe UI"/>
          <w:spacing w:val="-6"/>
        </w:rPr>
        <w:t> </w:t>
      </w:r>
      <w:r>
        <w:rPr>
          <w:rFonts w:ascii="Segoe UI" w:hAnsi="Segoe UI"/>
        </w:rPr>
        <w:t>care</w:t>
      </w:r>
      <w:r>
        <w:rPr>
          <w:rFonts w:ascii="Segoe UI" w:hAnsi="Segoe UI"/>
          <w:spacing w:val="-5"/>
        </w:rPr>
        <w:t> </w:t>
      </w:r>
      <w:r>
        <w:rPr>
          <w:rFonts w:ascii="Segoe UI" w:hAnsi="Segoe UI"/>
        </w:rPr>
        <w:t>requirements through earlier access to effective reperfusion treatment.</w:t>
      </w:r>
    </w:p>
    <w:p>
      <w:pPr>
        <w:pStyle w:val="BodyText"/>
        <w:tabs>
          <w:tab w:pos="1729" w:val="left" w:leader="none"/>
        </w:tabs>
        <w:spacing w:line="237" w:lineRule="auto"/>
        <w:ind w:left="1730" w:right="1129" w:hanging="361"/>
        <w:rPr>
          <w:rFonts w:ascii="Segoe UI" w:hAnsi="Segoe UI"/>
        </w:rPr>
      </w:pPr>
      <w:r>
        <w:rPr>
          <w:rFonts w:ascii="Calibri" w:hAnsi="Calibri"/>
          <w:spacing w:val="-10"/>
        </w:rPr>
        <w:t>−</w:t>
      </w:r>
      <w:r>
        <w:rPr>
          <w:rFonts w:ascii="Calibri" w:hAnsi="Calibri"/>
        </w:rPr>
        <w:tab/>
      </w:r>
      <w:r>
        <w:rPr>
          <w:rFonts w:ascii="Segoe UI" w:hAnsi="Segoe UI"/>
        </w:rPr>
        <w:t>Improved</w:t>
      </w:r>
      <w:r>
        <w:rPr>
          <w:rFonts w:ascii="Segoe UI" w:hAnsi="Segoe UI"/>
          <w:spacing w:val="-6"/>
        </w:rPr>
        <w:t> </w:t>
      </w:r>
      <w:r>
        <w:rPr>
          <w:rFonts w:ascii="Segoe UI" w:hAnsi="Segoe UI"/>
        </w:rPr>
        <w:t>rota</w:t>
      </w:r>
      <w:r>
        <w:rPr>
          <w:rFonts w:ascii="Segoe UI" w:hAnsi="Segoe UI"/>
          <w:spacing w:val="-6"/>
        </w:rPr>
        <w:t> </w:t>
      </w:r>
      <w:r>
        <w:rPr>
          <w:rFonts w:ascii="Segoe UI" w:hAnsi="Segoe UI"/>
        </w:rPr>
        <w:t>resilience,</w:t>
      </w:r>
      <w:r>
        <w:rPr>
          <w:rFonts w:ascii="Segoe UI" w:hAnsi="Segoe UI"/>
          <w:spacing w:val="-7"/>
        </w:rPr>
        <w:t> </w:t>
      </w:r>
      <w:r>
        <w:rPr>
          <w:rFonts w:ascii="Segoe UI" w:hAnsi="Segoe UI"/>
        </w:rPr>
        <w:t>workforce</w:t>
      </w:r>
      <w:r>
        <w:rPr>
          <w:rFonts w:ascii="Segoe UI" w:hAnsi="Segoe UI"/>
          <w:spacing w:val="-5"/>
        </w:rPr>
        <w:t> </w:t>
      </w:r>
      <w:r>
        <w:rPr>
          <w:rFonts w:ascii="Segoe UI" w:hAnsi="Segoe UI"/>
        </w:rPr>
        <w:t>planning</w:t>
      </w:r>
      <w:r>
        <w:rPr>
          <w:rFonts w:ascii="Segoe UI" w:hAnsi="Segoe UI"/>
          <w:spacing w:val="-6"/>
        </w:rPr>
        <w:t> </w:t>
      </w:r>
      <w:r>
        <w:rPr>
          <w:rFonts w:ascii="Segoe UI" w:hAnsi="Segoe UI"/>
        </w:rPr>
        <w:t>and</w:t>
      </w:r>
      <w:r>
        <w:rPr>
          <w:rFonts w:ascii="Segoe UI" w:hAnsi="Segoe UI"/>
          <w:spacing w:val="-6"/>
        </w:rPr>
        <w:t> </w:t>
      </w:r>
      <w:r>
        <w:rPr>
          <w:rFonts w:ascii="Segoe UI" w:hAnsi="Segoe UI"/>
        </w:rPr>
        <w:t>sustainability</w:t>
      </w:r>
      <w:r>
        <w:rPr>
          <w:rFonts w:ascii="Segoe UI" w:hAnsi="Segoe UI"/>
          <w:spacing w:val="-5"/>
        </w:rPr>
        <w:t> </w:t>
      </w:r>
      <w:r>
        <w:rPr>
          <w:rFonts w:ascii="Segoe UI" w:hAnsi="Segoe UI"/>
        </w:rPr>
        <w:t>for</w:t>
      </w:r>
      <w:r>
        <w:rPr>
          <w:rFonts w:ascii="Segoe UI" w:hAnsi="Segoe UI"/>
          <w:spacing w:val="-3"/>
        </w:rPr>
        <w:t> </w:t>
      </w:r>
      <w:r>
        <w:rPr>
          <w:rFonts w:ascii="Segoe UI" w:hAnsi="Segoe UI"/>
        </w:rPr>
        <w:t>participating</w:t>
      </w:r>
      <w:r>
        <w:rPr>
          <w:rFonts w:ascii="Segoe UI" w:hAnsi="Segoe UI"/>
          <w:spacing w:val="-6"/>
        </w:rPr>
        <w:t> </w:t>
      </w:r>
      <w:r>
        <w:rPr>
          <w:rFonts w:ascii="Segoe UI" w:hAnsi="Segoe UI"/>
        </w:rPr>
        <w:t>stroke </w:t>
      </w:r>
      <w:r>
        <w:rPr>
          <w:rFonts w:ascii="Segoe UI" w:hAnsi="Segoe UI"/>
          <w:spacing w:val="-2"/>
        </w:rPr>
        <w:t>services.</w:t>
      </w:r>
    </w:p>
    <w:p>
      <w:pPr>
        <w:spacing w:before="281"/>
        <w:ind w:left="1009" w:right="0" w:firstLine="0"/>
        <w:jc w:val="left"/>
        <w:rPr>
          <w:rFonts w:ascii="Segoe UI"/>
          <w:b/>
          <w:sz w:val="24"/>
        </w:rPr>
      </w:pPr>
      <w:r>
        <w:rPr>
          <w:rFonts w:ascii="Segoe UI"/>
          <w:b/>
          <w:sz w:val="24"/>
        </w:rPr>
        <w:t>Strategic</w:t>
      </w:r>
      <w:r>
        <w:rPr>
          <w:rFonts w:ascii="Segoe UI"/>
          <w:b/>
          <w:spacing w:val="-2"/>
          <w:sz w:val="24"/>
        </w:rPr>
        <w:t> Benefits</w:t>
      </w:r>
    </w:p>
    <w:p>
      <w:pPr>
        <w:pStyle w:val="BodyText"/>
        <w:tabs>
          <w:tab w:pos="1729" w:val="left" w:leader="none"/>
        </w:tabs>
        <w:spacing w:line="237" w:lineRule="auto" w:before="284"/>
        <w:ind w:left="1730" w:right="1029" w:hanging="361"/>
        <w:rPr>
          <w:rFonts w:ascii="Segoe UI" w:hAnsi="Segoe UI"/>
        </w:rPr>
      </w:pPr>
      <w:r>
        <w:rPr>
          <w:rFonts w:ascii="Calibri" w:hAnsi="Calibri"/>
          <w:spacing w:val="-10"/>
        </w:rPr>
        <w:t>−</w:t>
      </w:r>
      <w:r>
        <w:rPr>
          <w:rFonts w:ascii="Calibri" w:hAnsi="Calibri"/>
        </w:rPr>
        <w:tab/>
      </w:r>
      <w:r>
        <w:rPr>
          <w:rFonts w:ascii="Segoe UI" w:hAnsi="Segoe UI"/>
        </w:rPr>
        <w:t>Supports</w:t>
      </w:r>
      <w:r>
        <w:rPr>
          <w:rFonts w:ascii="Segoe UI" w:hAnsi="Segoe UI"/>
          <w:spacing w:val="-7"/>
        </w:rPr>
        <w:t> </w:t>
      </w:r>
      <w:r>
        <w:rPr>
          <w:rFonts w:ascii="Segoe UI" w:hAnsi="Segoe UI"/>
        </w:rPr>
        <w:t>the</w:t>
      </w:r>
      <w:r>
        <w:rPr>
          <w:rFonts w:ascii="Segoe UI" w:hAnsi="Segoe UI"/>
          <w:spacing w:val="-2"/>
        </w:rPr>
        <w:t> </w:t>
      </w:r>
      <w:r>
        <w:rPr>
          <w:rFonts w:ascii="Segoe UI" w:hAnsi="Segoe UI"/>
        </w:rPr>
        <w:t>development</w:t>
      </w:r>
      <w:r>
        <w:rPr>
          <w:rFonts w:ascii="Segoe UI" w:hAnsi="Segoe UI"/>
          <w:spacing w:val="-7"/>
        </w:rPr>
        <w:t> </w:t>
      </w:r>
      <w:r>
        <w:rPr>
          <w:rFonts w:ascii="Segoe UI" w:hAnsi="Segoe UI"/>
        </w:rPr>
        <w:t>of</w:t>
      </w:r>
      <w:r>
        <w:rPr>
          <w:rFonts w:ascii="Segoe UI" w:hAnsi="Segoe UI"/>
          <w:spacing w:val="-2"/>
        </w:rPr>
        <w:t> </w:t>
      </w:r>
      <w:r>
        <w:rPr>
          <w:rFonts w:ascii="Segoe UI" w:hAnsi="Segoe UI"/>
        </w:rPr>
        <w:t>an</w:t>
      </w:r>
      <w:r>
        <w:rPr>
          <w:rFonts w:ascii="Segoe UI" w:hAnsi="Segoe UI"/>
          <w:spacing w:val="-6"/>
        </w:rPr>
        <w:t> </w:t>
      </w:r>
      <w:r>
        <w:rPr>
          <w:rFonts w:ascii="Segoe UI" w:hAnsi="Segoe UI"/>
        </w:rPr>
        <w:t>equitable,</w:t>
      </w:r>
      <w:r>
        <w:rPr>
          <w:rFonts w:ascii="Segoe UI" w:hAnsi="Segoe UI"/>
          <w:spacing w:val="-8"/>
        </w:rPr>
        <w:t> </w:t>
      </w:r>
      <w:r>
        <w:rPr>
          <w:rFonts w:ascii="Segoe UI" w:hAnsi="Segoe UI"/>
        </w:rPr>
        <w:t>regionalised</w:t>
      </w:r>
      <w:r>
        <w:rPr>
          <w:rFonts w:ascii="Segoe UI" w:hAnsi="Segoe UI"/>
          <w:spacing w:val="-7"/>
        </w:rPr>
        <w:t> </w:t>
      </w:r>
      <w:r>
        <w:rPr>
          <w:rFonts w:ascii="Segoe UI" w:hAnsi="Segoe UI"/>
        </w:rPr>
        <w:t>approach</w:t>
      </w:r>
      <w:r>
        <w:rPr>
          <w:rFonts w:ascii="Segoe UI" w:hAnsi="Segoe UI"/>
          <w:spacing w:val="-2"/>
        </w:rPr>
        <w:t> </w:t>
      </w:r>
      <w:r>
        <w:rPr>
          <w:rFonts w:ascii="Segoe UI" w:hAnsi="Segoe UI"/>
        </w:rPr>
        <w:t>to</w:t>
      </w:r>
      <w:r>
        <w:rPr>
          <w:rFonts w:ascii="Segoe UI" w:hAnsi="Segoe UI"/>
          <w:spacing w:val="-6"/>
        </w:rPr>
        <w:t> </w:t>
      </w:r>
      <w:r>
        <w:rPr>
          <w:rFonts w:ascii="Segoe UI" w:hAnsi="Segoe UI"/>
        </w:rPr>
        <w:t>hyperacute</w:t>
      </w:r>
      <w:r>
        <w:rPr>
          <w:rFonts w:ascii="Segoe UI" w:hAnsi="Segoe UI"/>
          <w:spacing w:val="-2"/>
        </w:rPr>
        <w:t> </w:t>
      </w:r>
      <w:r>
        <w:rPr>
          <w:rFonts w:ascii="Segoe UI" w:hAnsi="Segoe UI"/>
        </w:rPr>
        <w:t>stroke care across South West Wales.</w:t>
      </w:r>
    </w:p>
    <w:p>
      <w:pPr>
        <w:pStyle w:val="BodyText"/>
        <w:rPr>
          <w:rFonts w:ascii="Segoe UI"/>
          <w:sz w:val="16"/>
        </w:rPr>
      </w:pPr>
    </w:p>
    <w:p>
      <w:pPr>
        <w:pStyle w:val="BodyText"/>
        <w:rPr>
          <w:rFonts w:ascii="Segoe UI"/>
          <w:sz w:val="16"/>
        </w:rPr>
      </w:pPr>
    </w:p>
    <w:p>
      <w:pPr>
        <w:pStyle w:val="BodyText"/>
        <w:spacing w:before="40"/>
        <w:rPr>
          <w:rFonts w:ascii="Segoe UI"/>
          <w:sz w:val="16"/>
        </w:rPr>
      </w:pPr>
    </w:p>
    <w:p>
      <w:pPr>
        <w:spacing w:before="0"/>
        <w:ind w:left="60" w:right="57" w:firstLine="0"/>
        <w:jc w:val="center"/>
        <w:rPr>
          <w:rFonts w:ascii="Calibri"/>
          <w:sz w:val="16"/>
        </w:rPr>
      </w:pPr>
      <w:r>
        <w:rPr>
          <w:rFonts w:ascii="Calibri"/>
          <w:color w:val="787878"/>
          <w:w w:val="105"/>
          <w:sz w:val="16"/>
        </w:rPr>
        <w:t>Regional</w:t>
      </w:r>
      <w:r>
        <w:rPr>
          <w:rFonts w:ascii="Calibri"/>
          <w:color w:val="787878"/>
          <w:spacing w:val="-1"/>
          <w:w w:val="105"/>
          <w:sz w:val="16"/>
        </w:rPr>
        <w:t> </w:t>
      </w:r>
      <w:r>
        <w:rPr>
          <w:rFonts w:ascii="Calibri"/>
          <w:color w:val="787878"/>
          <w:w w:val="105"/>
          <w:sz w:val="16"/>
        </w:rPr>
        <w:t>Stroke</w:t>
      </w:r>
      <w:r>
        <w:rPr>
          <w:rFonts w:ascii="Calibri"/>
          <w:color w:val="787878"/>
          <w:spacing w:val="-4"/>
          <w:w w:val="105"/>
          <w:sz w:val="16"/>
        </w:rPr>
        <w:t> </w:t>
      </w:r>
      <w:r>
        <w:rPr>
          <w:rFonts w:ascii="Calibri"/>
          <w:color w:val="787878"/>
          <w:spacing w:val="-5"/>
          <w:w w:val="105"/>
          <w:sz w:val="16"/>
        </w:rPr>
        <w:t>PID</w:t>
      </w:r>
    </w:p>
    <w:p>
      <w:pPr>
        <w:spacing w:after="0"/>
        <w:jc w:val="center"/>
        <w:rPr>
          <w:rFonts w:ascii="Calibri"/>
          <w:sz w:val="16"/>
        </w:rPr>
        <w:sectPr>
          <w:pgSz w:w="12240" w:h="15840"/>
          <w:pgMar w:header="0" w:footer="147" w:top="140" w:bottom="340" w:left="141" w:right="141"/>
        </w:sectPr>
      </w:pPr>
    </w:p>
    <w:p>
      <w:pPr>
        <w:tabs>
          <w:tab w:pos="7483" w:val="left" w:leader="none"/>
        </w:tabs>
        <w:spacing w:line="240" w:lineRule="auto"/>
        <w:ind w:left="1586" w:right="0" w:firstLine="0"/>
        <w:rPr>
          <w:rFonts w:ascii="Calibri"/>
          <w:sz w:val="20"/>
        </w:rPr>
      </w:pPr>
      <w:r>
        <w:rPr>
          <w:rFonts w:ascii="Calibri"/>
          <w:position w:val="2"/>
          <w:sz w:val="20"/>
        </w:rPr>
        <w:drawing>
          <wp:inline distT="0" distB="0" distL="0" distR="0">
            <wp:extent cx="1870845" cy="475487"/>
            <wp:effectExtent l="0" t="0" r="0" b="0"/>
            <wp:docPr id="257" name="Image 257"/>
            <wp:cNvGraphicFramePr>
              <a:graphicFrameLocks/>
            </wp:cNvGraphicFramePr>
            <a:graphic>
              <a:graphicData uri="http://schemas.openxmlformats.org/drawingml/2006/picture">
                <pic:pic>
                  <pic:nvPicPr>
                    <pic:cNvPr id="257" name="Image 257"/>
                    <pic:cNvPicPr/>
                  </pic:nvPicPr>
                  <pic:blipFill>
                    <a:blip r:embed="rId58" cstate="print"/>
                    <a:stretch>
                      <a:fillRect/>
                    </a:stretch>
                  </pic:blipFill>
                  <pic:spPr>
                    <a:xfrm>
                      <a:off x="0" y="0"/>
                      <a:ext cx="1870845" cy="475487"/>
                    </a:xfrm>
                    <a:prstGeom prst="rect">
                      <a:avLst/>
                    </a:prstGeom>
                  </pic:spPr>
                </pic:pic>
              </a:graphicData>
            </a:graphic>
          </wp:inline>
        </w:drawing>
      </w:r>
      <w:r>
        <w:rPr>
          <w:rFonts w:ascii="Calibri"/>
          <w:position w:val="2"/>
          <w:sz w:val="20"/>
        </w:rPr>
      </w:r>
      <w:r>
        <w:rPr>
          <w:rFonts w:ascii="Calibri"/>
          <w:position w:val="2"/>
          <w:sz w:val="20"/>
        </w:rPr>
        <w:tab/>
      </w:r>
      <w:r>
        <w:rPr>
          <w:rFonts w:ascii="Calibri"/>
          <w:sz w:val="20"/>
        </w:rPr>
        <w:drawing>
          <wp:inline distT="0" distB="0" distL="0" distR="0">
            <wp:extent cx="1912332" cy="528066"/>
            <wp:effectExtent l="0" t="0" r="0" b="0"/>
            <wp:docPr id="258" name="Image 258"/>
            <wp:cNvGraphicFramePr>
              <a:graphicFrameLocks/>
            </wp:cNvGraphicFramePr>
            <a:graphic>
              <a:graphicData uri="http://schemas.openxmlformats.org/drawingml/2006/picture">
                <pic:pic>
                  <pic:nvPicPr>
                    <pic:cNvPr id="258" name="Image 258"/>
                    <pic:cNvPicPr/>
                  </pic:nvPicPr>
                  <pic:blipFill>
                    <a:blip r:embed="rId59" cstate="print"/>
                    <a:stretch>
                      <a:fillRect/>
                    </a:stretch>
                  </pic:blipFill>
                  <pic:spPr>
                    <a:xfrm>
                      <a:off x="0" y="0"/>
                      <a:ext cx="1912332" cy="528066"/>
                    </a:xfrm>
                    <a:prstGeom prst="rect">
                      <a:avLst/>
                    </a:prstGeom>
                  </pic:spPr>
                </pic:pic>
              </a:graphicData>
            </a:graphic>
          </wp:inline>
        </w:drawing>
      </w:r>
      <w:r>
        <w:rPr>
          <w:rFonts w:ascii="Calibri"/>
          <w:sz w:val="20"/>
        </w:rPr>
      </w:r>
    </w:p>
    <w:p>
      <w:pPr>
        <w:pStyle w:val="BodyText"/>
        <w:spacing w:before="129"/>
        <w:rPr>
          <w:rFonts w:ascii="Calibri"/>
        </w:rPr>
      </w:pPr>
    </w:p>
    <w:p>
      <w:pPr>
        <w:pStyle w:val="BodyText"/>
        <w:tabs>
          <w:tab w:pos="1729" w:val="left" w:leader="none"/>
        </w:tabs>
        <w:spacing w:line="237" w:lineRule="auto"/>
        <w:ind w:left="1730" w:right="1292" w:hanging="361"/>
        <w:rPr>
          <w:rFonts w:ascii="Segoe UI" w:hAnsi="Segoe UI"/>
        </w:rPr>
      </w:pPr>
      <w:r>
        <w:rPr>
          <w:rFonts w:ascii="Calibri" w:hAnsi="Calibri"/>
          <w:spacing w:val="-10"/>
        </w:rPr>
        <w:t>−</w:t>
      </w:r>
      <w:r>
        <w:rPr>
          <w:rFonts w:ascii="Calibri" w:hAnsi="Calibri"/>
        </w:rPr>
        <w:tab/>
      </w:r>
      <w:r>
        <w:rPr>
          <w:rFonts w:ascii="Segoe UI" w:hAnsi="Segoe UI"/>
        </w:rPr>
        <w:t>Aligns</w:t>
      </w:r>
      <w:r>
        <w:rPr>
          <w:rFonts w:ascii="Segoe UI" w:hAnsi="Segoe UI"/>
          <w:spacing w:val="-6"/>
        </w:rPr>
        <w:t> </w:t>
      </w:r>
      <w:r>
        <w:rPr>
          <w:rFonts w:ascii="Segoe UI" w:hAnsi="Segoe UI"/>
        </w:rPr>
        <w:t>with</w:t>
      </w:r>
      <w:r>
        <w:rPr>
          <w:rFonts w:ascii="Segoe UI" w:hAnsi="Segoe UI"/>
          <w:spacing w:val="-5"/>
        </w:rPr>
        <w:t> </w:t>
      </w:r>
      <w:r>
        <w:rPr>
          <w:rFonts w:ascii="Segoe UI" w:hAnsi="Segoe UI"/>
        </w:rPr>
        <w:t>national</w:t>
      </w:r>
      <w:r>
        <w:rPr>
          <w:rFonts w:ascii="Segoe UI" w:hAnsi="Segoe UI"/>
          <w:spacing w:val="-3"/>
        </w:rPr>
        <w:t> </w:t>
      </w:r>
      <w:r>
        <w:rPr>
          <w:rFonts w:ascii="Segoe UI" w:hAnsi="Segoe UI"/>
        </w:rPr>
        <w:t>priorities</w:t>
      </w:r>
      <w:r>
        <w:rPr>
          <w:rFonts w:ascii="Segoe UI" w:hAnsi="Segoe UI"/>
          <w:spacing w:val="-7"/>
        </w:rPr>
        <w:t> </w:t>
      </w:r>
      <w:r>
        <w:rPr>
          <w:rFonts w:ascii="Segoe UI" w:hAnsi="Segoe UI"/>
        </w:rPr>
        <w:t>to</w:t>
      </w:r>
      <w:r>
        <w:rPr>
          <w:rFonts w:ascii="Segoe UI" w:hAnsi="Segoe UI"/>
          <w:spacing w:val="-5"/>
        </w:rPr>
        <w:t> </w:t>
      </w:r>
      <w:r>
        <w:rPr>
          <w:rFonts w:ascii="Segoe UI" w:hAnsi="Segoe UI"/>
        </w:rPr>
        <w:t>improve</w:t>
      </w:r>
      <w:r>
        <w:rPr>
          <w:rFonts w:ascii="Segoe UI" w:hAnsi="Segoe UI"/>
          <w:spacing w:val="-1"/>
        </w:rPr>
        <w:t> </w:t>
      </w:r>
      <w:r>
        <w:rPr>
          <w:rFonts w:ascii="Segoe UI" w:hAnsi="Segoe UI"/>
        </w:rPr>
        <w:t>access</w:t>
      </w:r>
      <w:r>
        <w:rPr>
          <w:rFonts w:ascii="Segoe UI" w:hAnsi="Segoe UI"/>
          <w:spacing w:val="-1"/>
        </w:rPr>
        <w:t> </w:t>
      </w:r>
      <w:r>
        <w:rPr>
          <w:rFonts w:ascii="Segoe UI" w:hAnsi="Segoe UI"/>
        </w:rPr>
        <w:t>to</w:t>
      </w:r>
      <w:r>
        <w:rPr>
          <w:rFonts w:ascii="Segoe UI" w:hAnsi="Segoe UI"/>
          <w:spacing w:val="-5"/>
        </w:rPr>
        <w:t> </w:t>
      </w:r>
      <w:r>
        <w:rPr>
          <w:rFonts w:ascii="Segoe UI" w:hAnsi="Segoe UI"/>
        </w:rPr>
        <w:t>24/7</w:t>
      </w:r>
      <w:r>
        <w:rPr>
          <w:rFonts w:ascii="Segoe UI" w:hAnsi="Segoe UI"/>
          <w:spacing w:val="-3"/>
        </w:rPr>
        <w:t> </w:t>
      </w:r>
      <w:r>
        <w:rPr>
          <w:rFonts w:ascii="Segoe UI" w:hAnsi="Segoe UI"/>
        </w:rPr>
        <w:t>specialist</w:t>
      </w:r>
      <w:r>
        <w:rPr>
          <w:rFonts w:ascii="Segoe UI" w:hAnsi="Segoe UI"/>
          <w:spacing w:val="-6"/>
        </w:rPr>
        <w:t> </w:t>
      </w:r>
      <w:r>
        <w:rPr>
          <w:rFonts w:ascii="Segoe UI" w:hAnsi="Segoe UI"/>
        </w:rPr>
        <w:t>stroke</w:t>
      </w:r>
      <w:r>
        <w:rPr>
          <w:rFonts w:ascii="Segoe UI" w:hAnsi="Segoe UI"/>
          <w:spacing w:val="-5"/>
        </w:rPr>
        <w:t> </w:t>
      </w:r>
      <w:r>
        <w:rPr>
          <w:rFonts w:ascii="Segoe UI" w:hAnsi="Segoe UI"/>
        </w:rPr>
        <w:t>assessment, thrombolysis and mechanical thrombectomy pathways.</w:t>
      </w:r>
    </w:p>
    <w:p>
      <w:pPr>
        <w:pStyle w:val="BodyText"/>
        <w:tabs>
          <w:tab w:pos="1729" w:val="left" w:leader="none"/>
        </w:tabs>
        <w:spacing w:line="237" w:lineRule="auto" w:before="4"/>
        <w:ind w:left="1730" w:right="1146" w:hanging="361"/>
        <w:rPr>
          <w:rFonts w:ascii="Segoe UI" w:hAnsi="Segoe UI"/>
        </w:rPr>
      </w:pPr>
      <w:r>
        <w:rPr>
          <w:rFonts w:ascii="Calibri" w:hAnsi="Calibri"/>
          <w:spacing w:val="-10"/>
        </w:rPr>
        <w:t>−</w:t>
      </w:r>
      <w:r>
        <w:rPr>
          <w:rFonts w:ascii="Calibri" w:hAnsi="Calibri"/>
        </w:rPr>
        <w:tab/>
      </w:r>
      <w:r>
        <w:rPr>
          <w:rFonts w:ascii="Segoe UI" w:hAnsi="Segoe UI"/>
        </w:rPr>
        <w:t>Supports</w:t>
      </w:r>
      <w:r>
        <w:rPr>
          <w:rFonts w:ascii="Segoe UI" w:hAnsi="Segoe UI"/>
          <w:spacing w:val="-6"/>
        </w:rPr>
        <w:t> </w:t>
      </w:r>
      <w:r>
        <w:rPr>
          <w:rFonts w:ascii="Segoe UI" w:hAnsi="Segoe UI"/>
        </w:rPr>
        <w:t>delivery</w:t>
      </w:r>
      <w:r>
        <w:rPr>
          <w:rFonts w:ascii="Segoe UI" w:hAnsi="Segoe UI"/>
          <w:spacing w:val="-5"/>
        </w:rPr>
        <w:t> </w:t>
      </w:r>
      <w:r>
        <w:rPr>
          <w:rFonts w:ascii="Segoe UI" w:hAnsi="Segoe UI"/>
        </w:rPr>
        <w:t>of</w:t>
      </w:r>
      <w:r>
        <w:rPr>
          <w:rFonts w:ascii="Segoe UI" w:hAnsi="Segoe UI"/>
          <w:spacing w:val="-5"/>
        </w:rPr>
        <w:t> </w:t>
      </w:r>
      <w:r>
        <w:rPr>
          <w:rFonts w:ascii="Segoe UI" w:hAnsi="Segoe UI"/>
        </w:rPr>
        <w:t>consistently</w:t>
      </w:r>
      <w:r>
        <w:rPr>
          <w:rFonts w:ascii="Segoe UI" w:hAnsi="Segoe UI"/>
          <w:spacing w:val="-1"/>
        </w:rPr>
        <w:t> </w:t>
      </w:r>
      <w:r>
        <w:rPr>
          <w:rFonts w:ascii="Segoe UI" w:hAnsi="Segoe UI"/>
        </w:rPr>
        <w:t>high-quality</w:t>
      </w:r>
      <w:r>
        <w:rPr>
          <w:rFonts w:ascii="Segoe UI" w:hAnsi="Segoe UI"/>
          <w:spacing w:val="-5"/>
        </w:rPr>
        <w:t> </w:t>
      </w:r>
      <w:r>
        <w:rPr>
          <w:rFonts w:ascii="Segoe UI" w:hAnsi="Segoe UI"/>
        </w:rPr>
        <w:t>stroke</w:t>
      </w:r>
      <w:r>
        <w:rPr>
          <w:rFonts w:ascii="Segoe UI" w:hAnsi="Segoe UI"/>
          <w:spacing w:val="-5"/>
        </w:rPr>
        <w:t> </w:t>
      </w:r>
      <w:r>
        <w:rPr>
          <w:rFonts w:ascii="Segoe UI" w:hAnsi="Segoe UI"/>
        </w:rPr>
        <w:t>services</w:t>
      </w:r>
      <w:r>
        <w:rPr>
          <w:rFonts w:ascii="Segoe UI" w:hAnsi="Segoe UI"/>
          <w:spacing w:val="-7"/>
        </w:rPr>
        <w:t> </w:t>
      </w:r>
      <w:r>
        <w:rPr>
          <w:rFonts w:ascii="Segoe UI" w:hAnsi="Segoe UI"/>
        </w:rPr>
        <w:t>regardless</w:t>
      </w:r>
      <w:r>
        <w:rPr>
          <w:rFonts w:ascii="Segoe UI" w:hAnsi="Segoe UI"/>
          <w:spacing w:val="-6"/>
        </w:rPr>
        <w:t> </w:t>
      </w:r>
      <w:r>
        <w:rPr>
          <w:rFonts w:ascii="Segoe UI" w:hAnsi="Segoe UI"/>
        </w:rPr>
        <w:t>of</w:t>
      </w:r>
      <w:r>
        <w:rPr>
          <w:rFonts w:ascii="Segoe UI" w:hAnsi="Segoe UI"/>
          <w:spacing w:val="-5"/>
        </w:rPr>
        <w:t> </w:t>
      </w:r>
      <w:r>
        <w:rPr>
          <w:rFonts w:ascii="Segoe UI" w:hAnsi="Segoe UI"/>
        </w:rPr>
        <w:t>geography, hospital of presentation or time of day.</w:t>
      </w:r>
    </w:p>
    <w:p>
      <w:pPr>
        <w:pStyle w:val="BodyText"/>
        <w:tabs>
          <w:tab w:pos="1729" w:val="left" w:leader="none"/>
        </w:tabs>
        <w:spacing w:line="237" w:lineRule="auto"/>
        <w:ind w:left="1730" w:right="1086" w:hanging="361"/>
        <w:rPr>
          <w:rFonts w:ascii="Segoe UI" w:hAnsi="Segoe UI"/>
        </w:rPr>
      </w:pPr>
      <w:r>
        <w:rPr>
          <w:rFonts w:ascii="Calibri" w:hAnsi="Calibri"/>
          <w:spacing w:val="-10"/>
        </w:rPr>
        <w:t>−</w:t>
      </w:r>
      <w:r>
        <w:rPr>
          <w:rFonts w:ascii="Calibri" w:hAnsi="Calibri"/>
        </w:rPr>
        <w:tab/>
      </w:r>
      <w:r>
        <w:rPr>
          <w:rFonts w:ascii="Segoe UI" w:hAnsi="Segoe UI"/>
        </w:rPr>
        <w:t>Strengthens</w:t>
      </w:r>
      <w:r>
        <w:rPr>
          <w:rFonts w:ascii="Segoe UI" w:hAnsi="Segoe UI"/>
          <w:spacing w:val="-6"/>
        </w:rPr>
        <w:t> </w:t>
      </w:r>
      <w:r>
        <w:rPr>
          <w:rFonts w:ascii="Segoe UI" w:hAnsi="Segoe UI"/>
        </w:rPr>
        <w:t>collaboration</w:t>
      </w:r>
      <w:r>
        <w:rPr>
          <w:rFonts w:ascii="Segoe UI" w:hAnsi="Segoe UI"/>
          <w:spacing w:val="-6"/>
        </w:rPr>
        <w:t> </w:t>
      </w:r>
      <w:r>
        <w:rPr>
          <w:rFonts w:ascii="Segoe UI" w:hAnsi="Segoe UI"/>
        </w:rPr>
        <w:t>and</w:t>
      </w:r>
      <w:r>
        <w:rPr>
          <w:rFonts w:ascii="Segoe UI" w:hAnsi="Segoe UI"/>
          <w:spacing w:val="-6"/>
        </w:rPr>
        <w:t> </w:t>
      </w:r>
      <w:r>
        <w:rPr>
          <w:rFonts w:ascii="Segoe UI" w:hAnsi="Segoe UI"/>
        </w:rPr>
        <w:t>shared</w:t>
      </w:r>
      <w:r>
        <w:rPr>
          <w:rFonts w:ascii="Segoe UI" w:hAnsi="Segoe UI"/>
          <w:spacing w:val="-6"/>
        </w:rPr>
        <w:t> </w:t>
      </w:r>
      <w:r>
        <w:rPr>
          <w:rFonts w:ascii="Segoe UI" w:hAnsi="Segoe UI"/>
        </w:rPr>
        <w:t>working</w:t>
      </w:r>
      <w:r>
        <w:rPr>
          <w:rFonts w:ascii="Segoe UI" w:hAnsi="Segoe UI"/>
          <w:spacing w:val="-6"/>
        </w:rPr>
        <w:t> </w:t>
      </w:r>
      <w:r>
        <w:rPr>
          <w:rFonts w:ascii="Segoe UI" w:hAnsi="Segoe UI"/>
        </w:rPr>
        <w:t>between</w:t>
      </w:r>
      <w:r>
        <w:rPr>
          <w:rFonts w:ascii="Segoe UI" w:hAnsi="Segoe UI"/>
          <w:spacing w:val="-5"/>
        </w:rPr>
        <w:t> </w:t>
      </w:r>
      <w:r>
        <w:rPr>
          <w:rFonts w:ascii="Segoe UI" w:hAnsi="Segoe UI"/>
        </w:rPr>
        <w:t>Swansea</w:t>
      </w:r>
      <w:r>
        <w:rPr>
          <w:rFonts w:ascii="Segoe UI" w:hAnsi="Segoe UI"/>
          <w:spacing w:val="-6"/>
        </w:rPr>
        <w:t> </w:t>
      </w:r>
      <w:r>
        <w:rPr>
          <w:rFonts w:ascii="Segoe UI" w:hAnsi="Segoe UI"/>
        </w:rPr>
        <w:t>Bay</w:t>
      </w:r>
      <w:r>
        <w:rPr>
          <w:rFonts w:ascii="Segoe UI" w:hAnsi="Segoe UI"/>
          <w:spacing w:val="-5"/>
        </w:rPr>
        <w:t> </w:t>
      </w:r>
      <w:r>
        <w:rPr>
          <w:rFonts w:ascii="Segoe UI" w:hAnsi="Segoe UI"/>
        </w:rPr>
        <w:t>University</w:t>
      </w:r>
      <w:r>
        <w:rPr>
          <w:rFonts w:ascii="Segoe UI" w:hAnsi="Segoe UI"/>
          <w:spacing w:val="-5"/>
        </w:rPr>
        <w:t> </w:t>
      </w:r>
      <w:r>
        <w:rPr>
          <w:rFonts w:ascii="Segoe UI" w:hAnsi="Segoe UI"/>
        </w:rPr>
        <w:t>Health Board and Hywel Dda University Health Board.</w:t>
      </w:r>
    </w:p>
    <w:p>
      <w:pPr>
        <w:pStyle w:val="BodyText"/>
        <w:tabs>
          <w:tab w:pos="1729" w:val="left" w:leader="none"/>
        </w:tabs>
        <w:spacing w:line="237" w:lineRule="auto" w:before="2"/>
        <w:ind w:left="1730" w:right="1565" w:hanging="361"/>
        <w:rPr>
          <w:rFonts w:ascii="Segoe UI" w:hAnsi="Segoe UI"/>
        </w:rPr>
      </w:pPr>
      <w:r>
        <w:rPr>
          <w:rFonts w:ascii="Calibri" w:hAnsi="Calibri"/>
          <w:spacing w:val="-10"/>
        </w:rPr>
        <w:t>−</w:t>
      </w:r>
      <w:r>
        <w:rPr>
          <w:rFonts w:ascii="Calibri" w:hAnsi="Calibri"/>
        </w:rPr>
        <w:tab/>
      </w:r>
      <w:r>
        <w:rPr>
          <w:rFonts w:ascii="Segoe UI" w:hAnsi="Segoe UI"/>
        </w:rPr>
        <w:t>Provides</w:t>
      </w:r>
      <w:r>
        <w:rPr>
          <w:rFonts w:ascii="Segoe UI" w:hAnsi="Segoe UI"/>
          <w:spacing w:val="-8"/>
        </w:rPr>
        <w:t> </w:t>
      </w:r>
      <w:r>
        <w:rPr>
          <w:rFonts w:ascii="Segoe UI" w:hAnsi="Segoe UI"/>
        </w:rPr>
        <w:t>a</w:t>
      </w:r>
      <w:r>
        <w:rPr>
          <w:rFonts w:ascii="Segoe UI" w:hAnsi="Segoe UI"/>
          <w:spacing w:val="-7"/>
        </w:rPr>
        <w:t> </w:t>
      </w:r>
      <w:r>
        <w:rPr>
          <w:rFonts w:ascii="Segoe UI" w:hAnsi="Segoe UI"/>
        </w:rPr>
        <w:t>platform</w:t>
      </w:r>
      <w:r>
        <w:rPr>
          <w:rFonts w:ascii="Segoe UI" w:hAnsi="Segoe UI"/>
          <w:spacing w:val="-2"/>
        </w:rPr>
        <w:t> </w:t>
      </w:r>
      <w:r>
        <w:rPr>
          <w:rFonts w:ascii="Segoe UI" w:hAnsi="Segoe UI"/>
        </w:rPr>
        <w:t>for</w:t>
      </w:r>
      <w:r>
        <w:rPr>
          <w:rFonts w:ascii="Segoe UI" w:hAnsi="Segoe UI"/>
          <w:spacing w:val="-4"/>
        </w:rPr>
        <w:t> </w:t>
      </w:r>
      <w:r>
        <w:rPr>
          <w:rFonts w:ascii="Segoe UI" w:hAnsi="Segoe UI"/>
        </w:rPr>
        <w:t>future</w:t>
      </w:r>
      <w:r>
        <w:rPr>
          <w:rFonts w:ascii="Segoe UI" w:hAnsi="Segoe UI"/>
          <w:spacing w:val="-6"/>
        </w:rPr>
        <w:t> </w:t>
      </w:r>
      <w:r>
        <w:rPr>
          <w:rFonts w:ascii="Segoe UI" w:hAnsi="Segoe UI"/>
        </w:rPr>
        <w:t>development</w:t>
      </w:r>
      <w:r>
        <w:rPr>
          <w:rFonts w:ascii="Segoe UI" w:hAnsi="Segoe UI"/>
          <w:spacing w:val="-2"/>
        </w:rPr>
        <w:t> </w:t>
      </w:r>
      <w:r>
        <w:rPr>
          <w:rFonts w:ascii="Segoe UI" w:hAnsi="Segoe UI"/>
        </w:rPr>
        <w:t>of</w:t>
      </w:r>
      <w:r>
        <w:rPr>
          <w:rFonts w:ascii="Segoe UI" w:hAnsi="Segoe UI"/>
          <w:spacing w:val="-6"/>
        </w:rPr>
        <w:t> </w:t>
      </w:r>
      <w:r>
        <w:rPr>
          <w:rFonts w:ascii="Segoe UI" w:hAnsi="Segoe UI"/>
        </w:rPr>
        <w:t>regional</w:t>
      </w:r>
      <w:r>
        <w:rPr>
          <w:rFonts w:ascii="Segoe UI" w:hAnsi="Segoe UI"/>
          <w:spacing w:val="-4"/>
        </w:rPr>
        <w:t> </w:t>
      </w:r>
      <w:r>
        <w:rPr>
          <w:rFonts w:ascii="Segoe UI" w:hAnsi="Segoe UI"/>
        </w:rPr>
        <w:t>stroke</w:t>
      </w:r>
      <w:r>
        <w:rPr>
          <w:rFonts w:ascii="Segoe UI" w:hAnsi="Segoe UI"/>
          <w:spacing w:val="-6"/>
        </w:rPr>
        <w:t> </w:t>
      </w:r>
      <w:r>
        <w:rPr>
          <w:rFonts w:ascii="Segoe UI" w:hAnsi="Segoe UI"/>
        </w:rPr>
        <w:t>pathways,</w:t>
      </w:r>
      <w:r>
        <w:rPr>
          <w:rFonts w:ascii="Segoe UI" w:hAnsi="Segoe UI"/>
          <w:spacing w:val="-7"/>
        </w:rPr>
        <w:t> </w:t>
      </w:r>
      <w:r>
        <w:rPr>
          <w:rFonts w:ascii="Segoe UI" w:hAnsi="Segoe UI"/>
        </w:rPr>
        <w:t>including telemedicine, imaging access and networked specialist decision-making.</w:t>
      </w:r>
    </w:p>
    <w:p>
      <w:pPr>
        <w:pStyle w:val="BodyText"/>
        <w:tabs>
          <w:tab w:pos="1729" w:val="left" w:leader="none"/>
        </w:tabs>
        <w:spacing w:line="237" w:lineRule="auto" w:before="5"/>
        <w:ind w:left="1730" w:right="1928" w:hanging="361"/>
        <w:rPr>
          <w:rFonts w:ascii="Segoe UI" w:hAnsi="Segoe UI"/>
        </w:rPr>
      </w:pPr>
      <w:r>
        <w:rPr>
          <w:rFonts w:ascii="Calibri" w:hAnsi="Calibri"/>
          <w:spacing w:val="-10"/>
        </w:rPr>
        <w:t>−</w:t>
      </w:r>
      <w:r>
        <w:rPr>
          <w:rFonts w:ascii="Calibri" w:hAnsi="Calibri"/>
        </w:rPr>
        <w:tab/>
      </w:r>
      <w:r>
        <w:rPr>
          <w:rFonts w:ascii="Segoe UI" w:hAnsi="Segoe UI"/>
        </w:rPr>
        <w:t>Supports</w:t>
      </w:r>
      <w:r>
        <w:rPr>
          <w:rFonts w:ascii="Segoe UI" w:hAnsi="Segoe UI"/>
          <w:spacing w:val="-6"/>
        </w:rPr>
        <w:t> </w:t>
      </w:r>
      <w:r>
        <w:rPr>
          <w:rFonts w:ascii="Segoe UI" w:hAnsi="Segoe UI"/>
        </w:rPr>
        <w:t>improved</w:t>
      </w:r>
      <w:r>
        <w:rPr>
          <w:rFonts w:ascii="Segoe UI" w:hAnsi="Segoe UI"/>
          <w:spacing w:val="-6"/>
        </w:rPr>
        <w:t> </w:t>
      </w:r>
      <w:r>
        <w:rPr>
          <w:rFonts w:ascii="Segoe UI" w:hAnsi="Segoe UI"/>
        </w:rPr>
        <w:t>population</w:t>
      </w:r>
      <w:r>
        <w:rPr>
          <w:rFonts w:ascii="Segoe UI" w:hAnsi="Segoe UI"/>
          <w:spacing w:val="-6"/>
        </w:rPr>
        <w:t> </w:t>
      </w:r>
      <w:r>
        <w:rPr>
          <w:rFonts w:ascii="Segoe UI" w:hAnsi="Segoe UI"/>
        </w:rPr>
        <w:t>outcomes</w:t>
      </w:r>
      <w:r>
        <w:rPr>
          <w:rFonts w:ascii="Segoe UI" w:hAnsi="Segoe UI"/>
          <w:spacing w:val="-7"/>
        </w:rPr>
        <w:t> </w:t>
      </w:r>
      <w:r>
        <w:rPr>
          <w:rFonts w:ascii="Segoe UI" w:hAnsi="Segoe UI"/>
        </w:rPr>
        <w:t>by</w:t>
      </w:r>
      <w:r>
        <w:rPr>
          <w:rFonts w:ascii="Segoe UI" w:hAnsi="Segoe UI"/>
          <w:spacing w:val="-5"/>
        </w:rPr>
        <w:t> </w:t>
      </w:r>
      <w:r>
        <w:rPr>
          <w:rFonts w:ascii="Segoe UI" w:hAnsi="Segoe UI"/>
        </w:rPr>
        <w:t>reducing</w:t>
      </w:r>
      <w:r>
        <w:rPr>
          <w:rFonts w:ascii="Segoe UI" w:hAnsi="Segoe UI"/>
          <w:spacing w:val="-6"/>
        </w:rPr>
        <w:t> </w:t>
      </w:r>
      <w:r>
        <w:rPr>
          <w:rFonts w:ascii="Segoe UI" w:hAnsi="Segoe UI"/>
        </w:rPr>
        <w:t>stroke-related</w:t>
      </w:r>
      <w:r>
        <w:rPr>
          <w:rFonts w:ascii="Segoe UI" w:hAnsi="Segoe UI"/>
          <w:spacing w:val="-6"/>
        </w:rPr>
        <w:t> </w:t>
      </w:r>
      <w:r>
        <w:rPr>
          <w:rFonts w:ascii="Segoe UI" w:hAnsi="Segoe UI"/>
        </w:rPr>
        <w:t>mortality, disability and long-term dependence.</w:t>
      </w:r>
    </w:p>
    <w:p>
      <w:pPr>
        <w:pStyle w:val="BodyText"/>
        <w:tabs>
          <w:tab w:pos="1729" w:val="left" w:leader="none"/>
        </w:tabs>
        <w:spacing w:line="237" w:lineRule="auto" w:before="4"/>
        <w:ind w:left="1730" w:right="1226" w:hanging="361"/>
        <w:rPr>
          <w:rFonts w:ascii="Segoe UI" w:hAnsi="Segoe UI"/>
        </w:rPr>
      </w:pPr>
      <w:r>
        <w:rPr>
          <w:rFonts w:ascii="Calibri" w:hAnsi="Calibri"/>
          <w:spacing w:val="-10"/>
        </w:rPr>
        <w:t>−</w:t>
      </w:r>
      <w:r>
        <w:rPr>
          <w:rFonts w:ascii="Calibri" w:hAnsi="Calibri"/>
        </w:rPr>
        <w:tab/>
      </w:r>
      <w:r>
        <w:rPr>
          <w:rFonts w:ascii="Segoe UI" w:hAnsi="Segoe UI"/>
        </w:rPr>
        <w:t>Contributes</w:t>
      </w:r>
      <w:r>
        <w:rPr>
          <w:rFonts w:ascii="Segoe UI" w:hAnsi="Segoe UI"/>
          <w:spacing w:val="-7"/>
        </w:rPr>
        <w:t> </w:t>
      </w:r>
      <w:r>
        <w:rPr>
          <w:rFonts w:ascii="Segoe UI" w:hAnsi="Segoe UI"/>
        </w:rPr>
        <w:t>to</w:t>
      </w:r>
      <w:r>
        <w:rPr>
          <w:rFonts w:ascii="Segoe UI" w:hAnsi="Segoe UI"/>
          <w:spacing w:val="-1"/>
        </w:rPr>
        <w:t> </w:t>
      </w:r>
      <w:r>
        <w:rPr>
          <w:rFonts w:ascii="Segoe UI" w:hAnsi="Segoe UI"/>
        </w:rPr>
        <w:t>more</w:t>
      </w:r>
      <w:r>
        <w:rPr>
          <w:rFonts w:ascii="Segoe UI" w:hAnsi="Segoe UI"/>
          <w:spacing w:val="-5"/>
        </w:rPr>
        <w:t> </w:t>
      </w:r>
      <w:r>
        <w:rPr>
          <w:rFonts w:ascii="Segoe UI" w:hAnsi="Segoe UI"/>
        </w:rPr>
        <w:t>efficient</w:t>
      </w:r>
      <w:r>
        <w:rPr>
          <w:rFonts w:ascii="Segoe UI" w:hAnsi="Segoe UI"/>
          <w:spacing w:val="-6"/>
        </w:rPr>
        <w:t> </w:t>
      </w:r>
      <w:r>
        <w:rPr>
          <w:rFonts w:ascii="Segoe UI" w:hAnsi="Segoe UI"/>
        </w:rPr>
        <w:t>use</w:t>
      </w:r>
      <w:r>
        <w:rPr>
          <w:rFonts w:ascii="Segoe UI" w:hAnsi="Segoe UI"/>
          <w:spacing w:val="-5"/>
        </w:rPr>
        <w:t> </w:t>
      </w:r>
      <w:r>
        <w:rPr>
          <w:rFonts w:ascii="Segoe UI" w:hAnsi="Segoe UI"/>
        </w:rPr>
        <w:t>of</w:t>
      </w:r>
      <w:r>
        <w:rPr>
          <w:rFonts w:ascii="Segoe UI" w:hAnsi="Segoe UI"/>
          <w:spacing w:val="-5"/>
        </w:rPr>
        <w:t> </w:t>
      </w:r>
      <w:r>
        <w:rPr>
          <w:rFonts w:ascii="Segoe UI" w:hAnsi="Segoe UI"/>
        </w:rPr>
        <w:t>NHS</w:t>
      </w:r>
      <w:r>
        <w:rPr>
          <w:rFonts w:ascii="Segoe UI" w:hAnsi="Segoe UI"/>
          <w:spacing w:val="-3"/>
        </w:rPr>
        <w:t> </w:t>
      </w:r>
      <w:r>
        <w:rPr>
          <w:rFonts w:ascii="Segoe UI" w:hAnsi="Segoe UI"/>
        </w:rPr>
        <w:t>resources</w:t>
      </w:r>
      <w:r>
        <w:rPr>
          <w:rFonts w:ascii="Segoe UI" w:hAnsi="Segoe UI"/>
          <w:spacing w:val="-7"/>
        </w:rPr>
        <w:t> </w:t>
      </w:r>
      <w:r>
        <w:rPr>
          <w:rFonts w:ascii="Segoe UI" w:hAnsi="Segoe UI"/>
        </w:rPr>
        <w:t>by</w:t>
      </w:r>
      <w:r>
        <w:rPr>
          <w:rFonts w:ascii="Segoe UI" w:hAnsi="Segoe UI"/>
          <w:spacing w:val="-2"/>
        </w:rPr>
        <w:t> </w:t>
      </w:r>
      <w:r>
        <w:rPr>
          <w:rFonts w:ascii="Segoe UI" w:hAnsi="Segoe UI"/>
        </w:rPr>
        <w:t>preventing</w:t>
      </w:r>
      <w:r>
        <w:rPr>
          <w:rFonts w:ascii="Segoe UI" w:hAnsi="Segoe UI"/>
          <w:spacing w:val="-2"/>
        </w:rPr>
        <w:t> </w:t>
      </w:r>
      <w:r>
        <w:rPr>
          <w:rFonts w:ascii="Segoe UI" w:hAnsi="Segoe UI"/>
        </w:rPr>
        <w:t>avoidable</w:t>
      </w:r>
      <w:r>
        <w:rPr>
          <w:rFonts w:ascii="Segoe UI" w:hAnsi="Segoe UI"/>
          <w:spacing w:val="-5"/>
        </w:rPr>
        <w:t> </w:t>
      </w:r>
      <w:r>
        <w:rPr>
          <w:rFonts w:ascii="Segoe UI" w:hAnsi="Segoe UI"/>
        </w:rPr>
        <w:t>disability and reducing subsequent rehabilitation, social care and long-term healthcare </w:t>
      </w:r>
      <w:r>
        <w:rPr>
          <w:rFonts w:ascii="Segoe UI" w:hAnsi="Segoe UI"/>
          <w:spacing w:val="-2"/>
        </w:rPr>
        <w:t>requirements.</w:t>
      </w:r>
    </w:p>
    <w:p>
      <w:pPr>
        <w:pStyle w:val="BodyText"/>
        <w:spacing w:before="161"/>
        <w:rPr>
          <w:rFonts w:ascii="Segoe UI"/>
        </w:rPr>
      </w:pPr>
    </w:p>
    <w:p>
      <w:pPr>
        <w:pStyle w:val="Heading3"/>
        <w:numPr>
          <w:ilvl w:val="0"/>
          <w:numId w:val="14"/>
        </w:numPr>
        <w:tabs>
          <w:tab w:pos="1009" w:val="left" w:leader="none"/>
        </w:tabs>
        <w:spacing w:line="240" w:lineRule="auto" w:before="0" w:after="0"/>
        <w:ind w:left="1009" w:right="0" w:hanging="565"/>
        <w:jc w:val="left"/>
      </w:pPr>
      <w:r>
        <w:rPr>
          <w:color w:val="1F4E79"/>
        </w:rPr>
        <w:t>Project</w:t>
      </w:r>
      <w:r>
        <w:rPr>
          <w:color w:val="1F4E79"/>
          <w:spacing w:val="-3"/>
        </w:rPr>
        <w:t> </w:t>
      </w:r>
      <w:r>
        <w:rPr>
          <w:color w:val="1F4E79"/>
          <w:spacing w:val="-4"/>
        </w:rPr>
        <w:t>Scope</w:t>
      </w:r>
    </w:p>
    <w:p>
      <w:pPr>
        <w:pStyle w:val="BodyText"/>
        <w:spacing w:line="451" w:lineRule="auto" w:before="341"/>
        <w:ind w:left="1074" w:right="2339" w:hanging="65"/>
        <w:rPr>
          <w:rFonts w:ascii="Segoe UI"/>
        </w:rPr>
      </w:pPr>
      <w:r>
        <w:rPr>
          <w:rFonts w:ascii="Segoe UI"/>
        </w:rPr>
        <w:t>Out</w:t>
      </w:r>
      <w:r>
        <w:rPr>
          <w:rFonts w:ascii="Segoe UI"/>
          <w:spacing w:val="-6"/>
        </w:rPr>
        <w:t> </w:t>
      </w:r>
      <w:r>
        <w:rPr>
          <w:rFonts w:ascii="Segoe UI"/>
        </w:rPr>
        <w:t>of</w:t>
      </w:r>
      <w:r>
        <w:rPr>
          <w:rFonts w:ascii="Segoe UI"/>
          <w:spacing w:val="-5"/>
        </w:rPr>
        <w:t> </w:t>
      </w:r>
      <w:r>
        <w:rPr>
          <w:rFonts w:ascii="Segoe UI"/>
        </w:rPr>
        <w:t>Hours</w:t>
      </w:r>
      <w:r>
        <w:rPr>
          <w:rFonts w:ascii="Segoe UI"/>
          <w:spacing w:val="-1"/>
        </w:rPr>
        <w:t> </w:t>
      </w:r>
      <w:r>
        <w:rPr>
          <w:rFonts w:ascii="Segoe UI"/>
        </w:rPr>
        <w:t>access</w:t>
      </w:r>
      <w:r>
        <w:rPr>
          <w:rFonts w:ascii="Segoe UI"/>
          <w:spacing w:val="-1"/>
        </w:rPr>
        <w:t> </w:t>
      </w:r>
      <w:r>
        <w:rPr>
          <w:rFonts w:ascii="Segoe UI"/>
        </w:rPr>
        <w:t>to</w:t>
      </w:r>
      <w:r>
        <w:rPr>
          <w:rFonts w:ascii="Segoe UI"/>
          <w:spacing w:val="-3"/>
        </w:rPr>
        <w:t> </w:t>
      </w:r>
      <w:r>
        <w:rPr>
          <w:rFonts w:ascii="Segoe UI"/>
        </w:rPr>
        <w:t>Stroke</w:t>
      </w:r>
      <w:r>
        <w:rPr>
          <w:rFonts w:ascii="Segoe UI"/>
          <w:spacing w:val="-5"/>
        </w:rPr>
        <w:t> </w:t>
      </w:r>
      <w:r>
        <w:rPr>
          <w:rFonts w:ascii="Segoe UI"/>
        </w:rPr>
        <w:t>Consultant</w:t>
      </w:r>
      <w:r>
        <w:rPr>
          <w:rFonts w:ascii="Segoe UI"/>
          <w:spacing w:val="-4"/>
        </w:rPr>
        <w:t> </w:t>
      </w:r>
      <w:r>
        <w:rPr>
          <w:rFonts w:ascii="Segoe UI"/>
        </w:rPr>
        <w:t>advice,</w:t>
      </w:r>
      <w:r>
        <w:rPr>
          <w:rFonts w:ascii="Segoe UI"/>
          <w:spacing w:val="-6"/>
        </w:rPr>
        <w:t> </w:t>
      </w:r>
      <w:r>
        <w:rPr>
          <w:rFonts w:ascii="Segoe UI"/>
        </w:rPr>
        <w:t>guidance</w:t>
      </w:r>
      <w:r>
        <w:rPr>
          <w:rFonts w:ascii="Segoe UI"/>
          <w:spacing w:val="-5"/>
        </w:rPr>
        <w:t> </w:t>
      </w:r>
      <w:r>
        <w:rPr>
          <w:rFonts w:ascii="Segoe UI"/>
        </w:rPr>
        <w:t>and</w:t>
      </w:r>
      <w:r>
        <w:rPr>
          <w:rFonts w:ascii="Segoe UI"/>
          <w:spacing w:val="-6"/>
        </w:rPr>
        <w:t> </w:t>
      </w:r>
      <w:r>
        <w:rPr>
          <w:rFonts w:ascii="Segoe UI"/>
        </w:rPr>
        <w:t>decision</w:t>
      </w:r>
      <w:r>
        <w:rPr>
          <w:rFonts w:ascii="Segoe UI"/>
          <w:spacing w:val="-1"/>
        </w:rPr>
        <w:t> </w:t>
      </w:r>
      <w:r>
        <w:rPr>
          <w:rFonts w:ascii="Segoe UI"/>
        </w:rPr>
        <w:t>making Where patients present to an acute hospital in Swansea Bay or Hywel Dda</w:t>
      </w:r>
    </w:p>
    <w:p>
      <w:pPr>
        <w:pStyle w:val="BodyText"/>
        <w:ind w:left="1009"/>
        <w:rPr>
          <w:rFonts w:ascii="Segoe UI"/>
        </w:rPr>
      </w:pPr>
      <w:r>
        <w:rPr>
          <w:rFonts w:ascii="Segoe UI"/>
        </w:rPr>
        <w:t>CTP,</w:t>
      </w:r>
      <w:r>
        <w:rPr>
          <w:rFonts w:ascii="Segoe UI"/>
          <w:spacing w:val="-5"/>
        </w:rPr>
        <w:t> </w:t>
      </w:r>
      <w:r>
        <w:rPr>
          <w:rFonts w:ascii="Segoe UI"/>
        </w:rPr>
        <w:t>Thrombosis,</w:t>
      </w:r>
      <w:r>
        <w:rPr>
          <w:rFonts w:ascii="Segoe UI"/>
          <w:spacing w:val="-4"/>
        </w:rPr>
        <w:t> </w:t>
      </w:r>
      <w:r>
        <w:rPr>
          <w:rFonts w:ascii="Segoe UI"/>
        </w:rPr>
        <w:t>and</w:t>
      </w:r>
      <w:r>
        <w:rPr>
          <w:rFonts w:ascii="Segoe UI"/>
          <w:spacing w:val="-4"/>
        </w:rPr>
        <w:t> </w:t>
      </w:r>
      <w:r>
        <w:rPr>
          <w:rFonts w:ascii="Segoe UI"/>
          <w:spacing w:val="-2"/>
        </w:rPr>
        <w:t>thrombolysis</w:t>
      </w:r>
    </w:p>
    <w:p>
      <w:pPr>
        <w:pStyle w:val="BodyText"/>
        <w:spacing w:before="162"/>
        <w:rPr>
          <w:rFonts w:ascii="Segoe UI"/>
        </w:rPr>
      </w:pPr>
    </w:p>
    <w:p>
      <w:pPr>
        <w:pStyle w:val="Heading3"/>
        <w:numPr>
          <w:ilvl w:val="0"/>
          <w:numId w:val="14"/>
        </w:numPr>
        <w:tabs>
          <w:tab w:pos="1009" w:val="left" w:leader="none"/>
        </w:tabs>
        <w:spacing w:line="240" w:lineRule="auto" w:before="0" w:after="0"/>
        <w:ind w:left="1009" w:right="0" w:hanging="565"/>
        <w:jc w:val="left"/>
      </w:pPr>
      <w:r>
        <w:rPr>
          <w:color w:val="1F4E79"/>
        </w:rPr>
        <w:t>Project</w:t>
      </w:r>
      <w:r>
        <w:rPr>
          <w:color w:val="1F4E79"/>
          <w:spacing w:val="3"/>
        </w:rPr>
        <w:t> </w:t>
      </w:r>
      <w:r>
        <w:rPr>
          <w:color w:val="1F4E79"/>
          <w:spacing w:val="-2"/>
        </w:rPr>
        <w:t>Deliverables</w:t>
      </w:r>
    </w:p>
    <w:p>
      <w:pPr>
        <w:pStyle w:val="BodyText"/>
        <w:spacing w:before="2"/>
        <w:rPr>
          <w:rFonts w:ascii="Segoe UI"/>
          <w:b/>
          <w:sz w:val="13"/>
        </w:rPr>
      </w:pPr>
    </w:p>
    <w:tbl>
      <w:tblPr>
        <w:tblW w:w="0" w:type="auto"/>
        <w:jc w:val="left"/>
        <w:tblInd w:w="1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084"/>
        <w:gridCol w:w="1971"/>
        <w:gridCol w:w="1575"/>
      </w:tblGrid>
      <w:tr>
        <w:trPr>
          <w:trHeight w:val="605" w:hRule="atLeast"/>
        </w:trPr>
        <w:tc>
          <w:tcPr>
            <w:tcW w:w="8084" w:type="dxa"/>
            <w:shd w:val="clear" w:color="auto" w:fill="DBE4F0"/>
          </w:tcPr>
          <w:p>
            <w:pPr>
              <w:pStyle w:val="TableParagraph"/>
              <w:spacing w:before="61"/>
              <w:ind w:left="110"/>
              <w:rPr>
                <w:rFonts w:ascii="Segoe UI"/>
                <w:b/>
                <w:sz w:val="24"/>
              </w:rPr>
            </w:pPr>
            <w:r>
              <w:rPr>
                <w:rFonts w:ascii="Segoe UI"/>
                <w:b/>
                <w:color w:val="365F91"/>
                <w:sz w:val="24"/>
              </w:rPr>
              <w:t>Action</w:t>
            </w:r>
            <w:r>
              <w:rPr>
                <w:rFonts w:ascii="Segoe UI"/>
                <w:b/>
                <w:color w:val="365F91"/>
                <w:spacing w:val="-3"/>
                <w:sz w:val="24"/>
              </w:rPr>
              <w:t> </w:t>
            </w:r>
            <w:r>
              <w:rPr>
                <w:rFonts w:ascii="Segoe UI"/>
                <w:b/>
                <w:color w:val="365F91"/>
                <w:sz w:val="24"/>
              </w:rPr>
              <w:t>/</w:t>
            </w:r>
            <w:r>
              <w:rPr>
                <w:rFonts w:ascii="Segoe UI"/>
                <w:b/>
                <w:color w:val="365F91"/>
                <w:spacing w:val="-3"/>
                <w:sz w:val="24"/>
              </w:rPr>
              <w:t> </w:t>
            </w:r>
            <w:r>
              <w:rPr>
                <w:rFonts w:ascii="Segoe UI"/>
                <w:b/>
                <w:color w:val="365F91"/>
                <w:spacing w:val="-2"/>
                <w:sz w:val="24"/>
              </w:rPr>
              <w:t>Deliverable</w:t>
            </w:r>
          </w:p>
        </w:tc>
        <w:tc>
          <w:tcPr>
            <w:tcW w:w="1971" w:type="dxa"/>
            <w:shd w:val="clear" w:color="auto" w:fill="DBE4F0"/>
          </w:tcPr>
          <w:p>
            <w:pPr>
              <w:pStyle w:val="TableParagraph"/>
              <w:spacing w:before="61"/>
              <w:ind w:left="109"/>
              <w:rPr>
                <w:rFonts w:ascii="Segoe UI"/>
                <w:b/>
                <w:sz w:val="24"/>
              </w:rPr>
            </w:pPr>
            <w:r>
              <w:rPr>
                <w:rFonts w:ascii="Segoe UI"/>
                <w:b/>
                <w:color w:val="365F91"/>
                <w:spacing w:val="-4"/>
                <w:sz w:val="24"/>
              </w:rPr>
              <w:t>Lead</w:t>
            </w:r>
          </w:p>
        </w:tc>
        <w:tc>
          <w:tcPr>
            <w:tcW w:w="1575" w:type="dxa"/>
            <w:shd w:val="clear" w:color="auto" w:fill="DBE4F0"/>
          </w:tcPr>
          <w:p>
            <w:pPr>
              <w:pStyle w:val="TableParagraph"/>
              <w:spacing w:before="61"/>
              <w:ind w:left="109"/>
              <w:rPr>
                <w:rFonts w:ascii="Segoe UI"/>
                <w:b/>
                <w:sz w:val="24"/>
              </w:rPr>
            </w:pPr>
            <w:r>
              <w:rPr>
                <w:rFonts w:ascii="Segoe UI"/>
                <w:b/>
                <w:color w:val="365F91"/>
                <w:sz w:val="24"/>
              </w:rPr>
              <w:t>By</w:t>
            </w:r>
            <w:r>
              <w:rPr>
                <w:rFonts w:ascii="Segoe UI"/>
                <w:b/>
                <w:color w:val="365F91"/>
                <w:spacing w:val="-1"/>
                <w:sz w:val="24"/>
              </w:rPr>
              <w:t> </w:t>
            </w:r>
            <w:r>
              <w:rPr>
                <w:rFonts w:ascii="Segoe UI"/>
                <w:b/>
                <w:color w:val="365F91"/>
                <w:spacing w:val="-4"/>
                <w:sz w:val="24"/>
              </w:rPr>
              <w:t>when</w:t>
            </w:r>
          </w:p>
        </w:tc>
      </w:tr>
      <w:tr>
        <w:trPr>
          <w:trHeight w:val="435" w:hRule="atLeast"/>
        </w:trPr>
        <w:tc>
          <w:tcPr>
            <w:tcW w:w="8084" w:type="dxa"/>
          </w:tcPr>
          <w:p>
            <w:pPr>
              <w:pStyle w:val="TableParagraph"/>
              <w:spacing w:before="53"/>
              <w:ind w:left="110"/>
              <w:rPr>
                <w:rFonts w:ascii="Segoe UI"/>
                <w:sz w:val="21"/>
              </w:rPr>
            </w:pPr>
            <w:r>
              <w:rPr>
                <w:rFonts w:ascii="Segoe UI"/>
                <w:sz w:val="21"/>
              </w:rPr>
              <w:t>OOH</w:t>
            </w:r>
            <w:r>
              <w:rPr>
                <w:rFonts w:ascii="Segoe UI"/>
                <w:spacing w:val="-4"/>
                <w:sz w:val="21"/>
              </w:rPr>
              <w:t> </w:t>
            </w:r>
            <w:r>
              <w:rPr>
                <w:rFonts w:ascii="Segoe UI"/>
                <w:sz w:val="21"/>
              </w:rPr>
              <w:t>Stroke</w:t>
            </w:r>
            <w:r>
              <w:rPr>
                <w:rFonts w:ascii="Segoe UI"/>
                <w:spacing w:val="-3"/>
                <w:sz w:val="21"/>
              </w:rPr>
              <w:t> </w:t>
            </w:r>
            <w:r>
              <w:rPr>
                <w:rFonts w:ascii="Segoe UI"/>
                <w:sz w:val="21"/>
              </w:rPr>
              <w:t>Consultant</w:t>
            </w:r>
            <w:r>
              <w:rPr>
                <w:rFonts w:ascii="Segoe UI"/>
                <w:spacing w:val="-4"/>
                <w:sz w:val="21"/>
              </w:rPr>
              <w:t> </w:t>
            </w:r>
            <w:r>
              <w:rPr>
                <w:rFonts w:ascii="Segoe UI"/>
                <w:sz w:val="21"/>
              </w:rPr>
              <w:t>provision</w:t>
            </w:r>
            <w:r>
              <w:rPr>
                <w:rFonts w:ascii="Segoe UI"/>
                <w:spacing w:val="-6"/>
                <w:sz w:val="21"/>
              </w:rPr>
              <w:t> </w:t>
            </w:r>
            <w:r>
              <w:rPr>
                <w:rFonts w:ascii="Segoe UI"/>
                <w:spacing w:val="-2"/>
                <w:sz w:val="21"/>
              </w:rPr>
              <w:t>proposal</w:t>
            </w:r>
          </w:p>
        </w:tc>
        <w:tc>
          <w:tcPr>
            <w:tcW w:w="1971" w:type="dxa"/>
          </w:tcPr>
          <w:p>
            <w:pPr>
              <w:pStyle w:val="TableParagraph"/>
              <w:spacing w:before="53"/>
              <w:ind w:left="109"/>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1575" w:type="dxa"/>
          </w:tcPr>
          <w:p>
            <w:pPr>
              <w:pStyle w:val="TableParagraph"/>
              <w:spacing w:before="53"/>
              <w:ind w:left="109"/>
              <w:rPr>
                <w:rFonts w:ascii="Segoe UI"/>
                <w:sz w:val="21"/>
              </w:rPr>
            </w:pPr>
            <w:r>
              <w:rPr>
                <w:rFonts w:ascii="Segoe UI"/>
                <w:sz w:val="21"/>
              </w:rPr>
              <w:t>17</w:t>
            </w:r>
            <w:r>
              <w:rPr>
                <w:rFonts w:ascii="Segoe UI"/>
                <w:spacing w:val="3"/>
                <w:sz w:val="21"/>
              </w:rPr>
              <w:t> </w:t>
            </w:r>
            <w:r>
              <w:rPr>
                <w:rFonts w:ascii="Segoe UI"/>
                <w:spacing w:val="-2"/>
                <w:sz w:val="21"/>
              </w:rPr>
              <w:t>November</w:t>
            </w:r>
          </w:p>
        </w:tc>
      </w:tr>
    </w:tbl>
    <w:p>
      <w:pPr>
        <w:pStyle w:val="BodyText"/>
        <w:spacing w:before="82"/>
        <w:rPr>
          <w:rFonts w:ascii="Segoe UI"/>
          <w:b/>
          <w:sz w:val="30"/>
        </w:rPr>
      </w:pPr>
    </w:p>
    <w:p>
      <w:pPr>
        <w:pStyle w:val="Heading3"/>
        <w:numPr>
          <w:ilvl w:val="0"/>
          <w:numId w:val="14"/>
        </w:numPr>
        <w:tabs>
          <w:tab w:pos="1009" w:val="left" w:leader="none"/>
        </w:tabs>
        <w:spacing w:line="240" w:lineRule="auto" w:before="0" w:after="0"/>
        <w:ind w:left="1009" w:right="0" w:hanging="565"/>
        <w:jc w:val="left"/>
      </w:pPr>
      <w:r>
        <w:rPr>
          <w:color w:val="1F4E79"/>
        </w:rPr>
        <w:t>Project</w:t>
      </w:r>
      <w:r>
        <w:rPr>
          <w:color w:val="1F4E79"/>
          <w:spacing w:val="-5"/>
        </w:rPr>
        <w:t> </w:t>
      </w:r>
      <w:r>
        <w:rPr>
          <w:color w:val="1F4E79"/>
        </w:rPr>
        <w:t>Plan</w:t>
      </w:r>
      <w:r>
        <w:rPr>
          <w:color w:val="1F4E79"/>
          <w:spacing w:val="-1"/>
        </w:rPr>
        <w:t> </w:t>
      </w:r>
      <w:r>
        <w:rPr>
          <w:color w:val="1F4E79"/>
        </w:rPr>
        <w:t>and</w:t>
      </w:r>
      <w:r>
        <w:rPr>
          <w:color w:val="1F4E79"/>
          <w:spacing w:val="2"/>
        </w:rPr>
        <w:t> </w:t>
      </w:r>
      <w:r>
        <w:rPr>
          <w:color w:val="1F4E79"/>
        </w:rPr>
        <w:t>Key</w:t>
      </w:r>
      <w:r>
        <w:rPr>
          <w:color w:val="1F4E79"/>
          <w:spacing w:val="1"/>
        </w:rPr>
        <w:t> </w:t>
      </w:r>
      <w:r>
        <w:rPr>
          <w:color w:val="1F4E79"/>
          <w:spacing w:val="-2"/>
        </w:rPr>
        <w:t>Milestones</w:t>
      </w:r>
    </w:p>
    <w:p>
      <w:pPr>
        <w:pStyle w:val="BodyText"/>
        <w:spacing w:before="2"/>
        <w:rPr>
          <w:rFonts w:ascii="Segoe UI"/>
          <w:b/>
          <w:sz w:val="13"/>
        </w:rPr>
      </w:pPr>
    </w:p>
    <w:tbl>
      <w:tblPr>
        <w:tblW w:w="0" w:type="auto"/>
        <w:jc w:val="left"/>
        <w:tblInd w:w="1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944"/>
        <w:gridCol w:w="1971"/>
        <w:gridCol w:w="1715"/>
      </w:tblGrid>
      <w:tr>
        <w:trPr>
          <w:trHeight w:val="435" w:hRule="atLeast"/>
        </w:trPr>
        <w:tc>
          <w:tcPr>
            <w:tcW w:w="7944" w:type="dxa"/>
            <w:shd w:val="clear" w:color="auto" w:fill="DBE4F0"/>
          </w:tcPr>
          <w:p>
            <w:pPr>
              <w:pStyle w:val="TableParagraph"/>
              <w:spacing w:before="61"/>
              <w:ind w:left="60"/>
              <w:rPr>
                <w:rFonts w:ascii="Segoe UI"/>
                <w:b/>
                <w:sz w:val="24"/>
              </w:rPr>
            </w:pPr>
            <w:r>
              <w:rPr>
                <w:rFonts w:ascii="Segoe UI"/>
                <w:b/>
                <w:color w:val="365F91"/>
                <w:sz w:val="24"/>
              </w:rPr>
              <w:t>Action</w:t>
            </w:r>
            <w:r>
              <w:rPr>
                <w:rFonts w:ascii="Segoe UI"/>
                <w:b/>
                <w:color w:val="365F91"/>
                <w:spacing w:val="-3"/>
                <w:sz w:val="24"/>
              </w:rPr>
              <w:t> </w:t>
            </w:r>
            <w:r>
              <w:rPr>
                <w:rFonts w:ascii="Segoe UI"/>
                <w:b/>
                <w:color w:val="365F91"/>
                <w:sz w:val="24"/>
              </w:rPr>
              <w:t>/</w:t>
            </w:r>
            <w:r>
              <w:rPr>
                <w:rFonts w:ascii="Segoe UI"/>
                <w:b/>
                <w:color w:val="365F91"/>
                <w:spacing w:val="-3"/>
                <w:sz w:val="24"/>
              </w:rPr>
              <w:t> </w:t>
            </w:r>
            <w:r>
              <w:rPr>
                <w:rFonts w:ascii="Segoe UI"/>
                <w:b/>
                <w:color w:val="365F91"/>
                <w:spacing w:val="-2"/>
                <w:sz w:val="24"/>
              </w:rPr>
              <w:t>Deliverable</w:t>
            </w:r>
          </w:p>
        </w:tc>
        <w:tc>
          <w:tcPr>
            <w:tcW w:w="1971" w:type="dxa"/>
            <w:shd w:val="clear" w:color="auto" w:fill="DBE4F0"/>
          </w:tcPr>
          <w:p>
            <w:pPr>
              <w:pStyle w:val="TableParagraph"/>
              <w:spacing w:before="61"/>
              <w:ind w:left="54"/>
              <w:rPr>
                <w:rFonts w:ascii="Segoe UI"/>
                <w:b/>
                <w:sz w:val="24"/>
              </w:rPr>
            </w:pPr>
            <w:r>
              <w:rPr>
                <w:rFonts w:ascii="Segoe UI"/>
                <w:b/>
                <w:color w:val="365F91"/>
                <w:spacing w:val="-4"/>
                <w:sz w:val="24"/>
              </w:rPr>
              <w:t>Lead</w:t>
            </w:r>
          </w:p>
        </w:tc>
        <w:tc>
          <w:tcPr>
            <w:tcW w:w="1715" w:type="dxa"/>
            <w:shd w:val="clear" w:color="auto" w:fill="DBE4F0"/>
          </w:tcPr>
          <w:p>
            <w:pPr>
              <w:pStyle w:val="TableParagraph"/>
              <w:spacing w:before="61"/>
              <w:ind w:left="59"/>
              <w:rPr>
                <w:rFonts w:ascii="Segoe UI"/>
                <w:b/>
                <w:sz w:val="24"/>
              </w:rPr>
            </w:pPr>
            <w:r>
              <w:rPr>
                <w:rFonts w:ascii="Segoe UI"/>
                <w:b/>
                <w:color w:val="365F91"/>
                <w:sz w:val="24"/>
              </w:rPr>
              <w:t>By</w:t>
            </w:r>
            <w:r>
              <w:rPr>
                <w:rFonts w:ascii="Segoe UI"/>
                <w:b/>
                <w:color w:val="365F91"/>
                <w:spacing w:val="-1"/>
                <w:sz w:val="24"/>
              </w:rPr>
              <w:t> </w:t>
            </w:r>
            <w:r>
              <w:rPr>
                <w:rFonts w:ascii="Segoe UI"/>
                <w:b/>
                <w:color w:val="365F91"/>
                <w:spacing w:val="-4"/>
                <w:sz w:val="24"/>
              </w:rPr>
              <w:t>when</w:t>
            </w:r>
          </w:p>
        </w:tc>
      </w:tr>
      <w:tr>
        <w:trPr>
          <w:trHeight w:val="395" w:hRule="atLeast"/>
        </w:trPr>
        <w:tc>
          <w:tcPr>
            <w:tcW w:w="7944" w:type="dxa"/>
          </w:tcPr>
          <w:p>
            <w:pPr>
              <w:pStyle w:val="TableParagraph"/>
              <w:spacing w:before="53"/>
              <w:ind w:left="60"/>
              <w:rPr>
                <w:rFonts w:ascii="Segoe UI"/>
                <w:sz w:val="21"/>
              </w:rPr>
            </w:pPr>
            <w:r>
              <w:rPr>
                <w:rFonts w:ascii="Segoe UI"/>
                <w:color w:val="A6A6A6"/>
                <w:sz w:val="21"/>
              </w:rPr>
              <w:t>Baseline</w:t>
            </w:r>
            <w:r>
              <w:rPr>
                <w:rFonts w:ascii="Segoe UI"/>
                <w:color w:val="A6A6A6"/>
                <w:spacing w:val="-7"/>
                <w:sz w:val="21"/>
              </w:rPr>
              <w:t> </w:t>
            </w:r>
            <w:r>
              <w:rPr>
                <w:rFonts w:ascii="Segoe UI"/>
                <w:color w:val="A6A6A6"/>
                <w:sz w:val="21"/>
              </w:rPr>
              <w:t>Performance</w:t>
            </w:r>
            <w:r>
              <w:rPr>
                <w:rFonts w:ascii="Segoe UI"/>
                <w:color w:val="A6A6A6"/>
                <w:spacing w:val="-4"/>
                <w:sz w:val="21"/>
              </w:rPr>
              <w:t> Data</w:t>
            </w:r>
          </w:p>
        </w:tc>
        <w:tc>
          <w:tcPr>
            <w:tcW w:w="1971" w:type="dxa"/>
          </w:tcPr>
          <w:p>
            <w:pPr>
              <w:pStyle w:val="TableParagraph"/>
              <w:spacing w:before="53"/>
              <w:ind w:left="54"/>
              <w:rPr>
                <w:rFonts w:ascii="Segoe UI"/>
                <w:sz w:val="21"/>
              </w:rPr>
            </w:pPr>
            <w:r>
              <w:rPr>
                <w:rFonts w:ascii="Segoe UI"/>
                <w:color w:val="A6A6A6"/>
                <w:sz w:val="21"/>
              </w:rPr>
              <w:t>Christine</w:t>
            </w:r>
            <w:r>
              <w:rPr>
                <w:rFonts w:ascii="Segoe UI"/>
                <w:color w:val="A6A6A6"/>
                <w:spacing w:val="-3"/>
                <w:sz w:val="21"/>
              </w:rPr>
              <w:t> </w:t>
            </w:r>
            <w:r>
              <w:rPr>
                <w:rFonts w:ascii="Segoe UI"/>
                <w:color w:val="A6A6A6"/>
                <w:spacing w:val="-4"/>
                <w:sz w:val="21"/>
              </w:rPr>
              <w:t>Owen</w:t>
            </w:r>
          </w:p>
        </w:tc>
        <w:tc>
          <w:tcPr>
            <w:tcW w:w="1715" w:type="dxa"/>
          </w:tcPr>
          <w:p>
            <w:pPr>
              <w:pStyle w:val="TableParagraph"/>
              <w:spacing w:before="53"/>
              <w:ind w:left="59"/>
              <w:rPr>
                <w:rFonts w:ascii="Segoe UI"/>
                <w:sz w:val="21"/>
              </w:rPr>
            </w:pPr>
            <w:r>
              <w:rPr>
                <w:rFonts w:ascii="Segoe UI"/>
                <w:color w:val="A6A6A6"/>
                <w:spacing w:val="-2"/>
                <w:sz w:val="21"/>
              </w:rPr>
              <w:t>Complete</w:t>
            </w:r>
          </w:p>
        </w:tc>
      </w:tr>
      <w:tr>
        <w:trPr>
          <w:trHeight w:val="670" w:hRule="atLeast"/>
        </w:trPr>
        <w:tc>
          <w:tcPr>
            <w:tcW w:w="7944" w:type="dxa"/>
          </w:tcPr>
          <w:p>
            <w:pPr>
              <w:pStyle w:val="TableParagraph"/>
              <w:spacing w:before="53"/>
              <w:ind w:left="60"/>
              <w:rPr>
                <w:rFonts w:ascii="Segoe UI" w:hAnsi="Segoe UI"/>
                <w:sz w:val="21"/>
              </w:rPr>
            </w:pPr>
            <w:r>
              <w:rPr>
                <w:rFonts w:ascii="Segoe UI" w:hAnsi="Segoe UI"/>
                <w:color w:val="A6A6A6"/>
                <w:sz w:val="21"/>
              </w:rPr>
              <w:t>Insights</w:t>
            </w:r>
            <w:r>
              <w:rPr>
                <w:rFonts w:ascii="Segoe UI" w:hAnsi="Segoe UI"/>
                <w:color w:val="A6A6A6"/>
                <w:spacing w:val="-1"/>
                <w:sz w:val="21"/>
              </w:rPr>
              <w:t> </w:t>
            </w:r>
            <w:r>
              <w:rPr>
                <w:rFonts w:ascii="Segoe UI" w:hAnsi="Segoe UI"/>
                <w:color w:val="A6A6A6"/>
                <w:sz w:val="21"/>
              </w:rPr>
              <w:t>from</w:t>
            </w:r>
            <w:r>
              <w:rPr>
                <w:rFonts w:ascii="Segoe UI" w:hAnsi="Segoe UI"/>
                <w:color w:val="A6A6A6"/>
                <w:spacing w:val="-3"/>
                <w:sz w:val="21"/>
              </w:rPr>
              <w:t> </w:t>
            </w:r>
            <w:r>
              <w:rPr>
                <w:rFonts w:ascii="Segoe UI" w:hAnsi="Segoe UI"/>
                <w:color w:val="A6A6A6"/>
                <w:sz w:val="21"/>
              </w:rPr>
              <w:t>other systems</w:t>
            </w:r>
            <w:r>
              <w:rPr>
                <w:rFonts w:ascii="Segoe UI" w:hAnsi="Segoe UI"/>
                <w:color w:val="A6A6A6"/>
                <w:spacing w:val="-6"/>
                <w:sz w:val="21"/>
              </w:rPr>
              <w:t> </w:t>
            </w:r>
            <w:r>
              <w:rPr>
                <w:rFonts w:ascii="Segoe UI" w:hAnsi="Segoe UI"/>
                <w:color w:val="A6A6A6"/>
                <w:sz w:val="21"/>
              </w:rPr>
              <w:t>gathered</w:t>
            </w:r>
            <w:r>
              <w:rPr>
                <w:rFonts w:ascii="Segoe UI" w:hAnsi="Segoe UI"/>
                <w:color w:val="A6A6A6"/>
                <w:spacing w:val="-6"/>
                <w:sz w:val="21"/>
              </w:rPr>
              <w:t> </w:t>
            </w:r>
            <w:r>
              <w:rPr>
                <w:rFonts w:ascii="Segoe UI" w:hAnsi="Segoe UI"/>
                <w:color w:val="A6A6A6"/>
                <w:sz w:val="21"/>
              </w:rPr>
              <w:t>and</w:t>
            </w:r>
            <w:r>
              <w:rPr>
                <w:rFonts w:ascii="Segoe UI" w:hAnsi="Segoe UI"/>
                <w:color w:val="A6A6A6"/>
                <w:spacing w:val="-6"/>
                <w:sz w:val="21"/>
              </w:rPr>
              <w:t> </w:t>
            </w:r>
            <w:r>
              <w:rPr>
                <w:rFonts w:ascii="Segoe UI" w:hAnsi="Segoe UI"/>
                <w:color w:val="A6A6A6"/>
                <w:sz w:val="21"/>
              </w:rPr>
              <w:t>reported –</w:t>
            </w:r>
            <w:r>
              <w:rPr>
                <w:rFonts w:ascii="Segoe UI" w:hAnsi="Segoe UI"/>
                <w:color w:val="A6A6A6"/>
                <w:spacing w:val="-11"/>
                <w:sz w:val="21"/>
              </w:rPr>
              <w:t> </w:t>
            </w:r>
            <w:r>
              <w:rPr>
                <w:rFonts w:ascii="Segoe UI" w:hAnsi="Segoe UI"/>
                <w:color w:val="A6A6A6"/>
                <w:sz w:val="21"/>
              </w:rPr>
              <w:t>Models</w:t>
            </w:r>
            <w:r>
              <w:rPr>
                <w:rFonts w:ascii="Segoe UI" w:hAnsi="Segoe UI"/>
                <w:color w:val="A6A6A6"/>
                <w:spacing w:val="-6"/>
                <w:sz w:val="21"/>
              </w:rPr>
              <w:t> </w:t>
            </w:r>
            <w:r>
              <w:rPr>
                <w:rFonts w:ascii="Segoe UI" w:hAnsi="Segoe UI"/>
                <w:color w:val="A6A6A6"/>
                <w:sz w:val="21"/>
              </w:rPr>
              <w:t>of</w:t>
            </w:r>
            <w:r>
              <w:rPr>
                <w:rFonts w:ascii="Segoe UI" w:hAnsi="Segoe UI"/>
                <w:color w:val="A6A6A6"/>
                <w:spacing w:val="-3"/>
                <w:sz w:val="21"/>
              </w:rPr>
              <w:t> </w:t>
            </w:r>
            <w:r>
              <w:rPr>
                <w:rFonts w:ascii="Segoe UI" w:hAnsi="Segoe UI"/>
                <w:color w:val="A6A6A6"/>
                <w:sz w:val="21"/>
              </w:rPr>
              <w:t>Service</w:t>
            </w:r>
            <w:r>
              <w:rPr>
                <w:rFonts w:ascii="Segoe UI" w:hAnsi="Segoe UI"/>
                <w:color w:val="A6A6A6"/>
                <w:spacing w:val="-2"/>
                <w:sz w:val="21"/>
              </w:rPr>
              <w:t> </w:t>
            </w:r>
            <w:r>
              <w:rPr>
                <w:rFonts w:ascii="Segoe UI" w:hAnsi="Segoe UI"/>
                <w:color w:val="A6A6A6"/>
                <w:sz w:val="21"/>
              </w:rPr>
              <w:t>and </w:t>
            </w:r>
            <w:r>
              <w:rPr>
                <w:rFonts w:ascii="Segoe UI" w:hAnsi="Segoe UI"/>
                <w:color w:val="A6A6A6"/>
                <w:spacing w:val="-2"/>
                <w:sz w:val="21"/>
              </w:rPr>
              <w:t>Resourcing</w:t>
            </w:r>
          </w:p>
        </w:tc>
        <w:tc>
          <w:tcPr>
            <w:tcW w:w="1971" w:type="dxa"/>
          </w:tcPr>
          <w:p>
            <w:pPr>
              <w:pStyle w:val="TableParagraph"/>
              <w:spacing w:before="53"/>
              <w:ind w:left="54"/>
              <w:rPr>
                <w:rFonts w:ascii="Segoe UI"/>
                <w:sz w:val="21"/>
              </w:rPr>
            </w:pPr>
            <w:r>
              <w:rPr>
                <w:rFonts w:ascii="Segoe UI"/>
                <w:color w:val="A6A6A6"/>
                <w:sz w:val="21"/>
              </w:rPr>
              <w:t>Garry </w:t>
            </w:r>
            <w:r>
              <w:rPr>
                <w:rFonts w:ascii="Segoe UI"/>
                <w:color w:val="A6A6A6"/>
                <w:spacing w:val="-2"/>
                <w:sz w:val="21"/>
              </w:rPr>
              <w:t>Smith</w:t>
            </w:r>
          </w:p>
        </w:tc>
        <w:tc>
          <w:tcPr>
            <w:tcW w:w="1715" w:type="dxa"/>
          </w:tcPr>
          <w:p>
            <w:pPr>
              <w:pStyle w:val="TableParagraph"/>
              <w:spacing w:before="53"/>
              <w:ind w:left="59"/>
              <w:rPr>
                <w:rFonts w:ascii="Segoe UI"/>
                <w:sz w:val="21"/>
              </w:rPr>
            </w:pPr>
            <w:r>
              <w:rPr>
                <w:rFonts w:ascii="Segoe UI"/>
                <w:color w:val="A6A6A6"/>
                <w:spacing w:val="-2"/>
                <w:sz w:val="21"/>
              </w:rPr>
              <w:t>Complete</w:t>
            </w:r>
          </w:p>
        </w:tc>
      </w:tr>
      <w:tr>
        <w:trPr>
          <w:trHeight w:val="395" w:hRule="atLeast"/>
        </w:trPr>
        <w:tc>
          <w:tcPr>
            <w:tcW w:w="7944" w:type="dxa"/>
          </w:tcPr>
          <w:p>
            <w:pPr>
              <w:pStyle w:val="TableParagraph"/>
              <w:spacing w:before="53"/>
              <w:ind w:left="60"/>
              <w:rPr>
                <w:rFonts w:ascii="Segoe UI" w:hAnsi="Segoe UI"/>
                <w:sz w:val="21"/>
              </w:rPr>
            </w:pPr>
            <w:r>
              <w:rPr>
                <w:rFonts w:ascii="Segoe UI" w:hAnsi="Segoe UI"/>
                <w:color w:val="A6A6A6"/>
                <w:sz w:val="21"/>
              </w:rPr>
              <w:t>Insight</w:t>
            </w:r>
            <w:r>
              <w:rPr>
                <w:rFonts w:ascii="Segoe UI" w:hAnsi="Segoe UI"/>
                <w:color w:val="A6A6A6"/>
                <w:spacing w:val="-3"/>
                <w:sz w:val="21"/>
              </w:rPr>
              <w:t> </w:t>
            </w:r>
            <w:r>
              <w:rPr>
                <w:rFonts w:ascii="Segoe UI" w:hAnsi="Segoe UI"/>
                <w:color w:val="A6A6A6"/>
                <w:sz w:val="21"/>
              </w:rPr>
              <w:t>from</w:t>
            </w:r>
            <w:r>
              <w:rPr>
                <w:rFonts w:ascii="Segoe UI" w:hAnsi="Segoe UI"/>
                <w:color w:val="A6A6A6"/>
                <w:spacing w:val="-7"/>
                <w:sz w:val="21"/>
              </w:rPr>
              <w:t> </w:t>
            </w:r>
            <w:r>
              <w:rPr>
                <w:rFonts w:ascii="Segoe UI" w:hAnsi="Segoe UI"/>
                <w:color w:val="A6A6A6"/>
                <w:sz w:val="21"/>
              </w:rPr>
              <w:t>the</w:t>
            </w:r>
            <w:r>
              <w:rPr>
                <w:rFonts w:ascii="Segoe UI" w:hAnsi="Segoe UI"/>
                <w:color w:val="A6A6A6"/>
                <w:spacing w:val="-1"/>
                <w:sz w:val="21"/>
              </w:rPr>
              <w:t> </w:t>
            </w:r>
            <w:r>
              <w:rPr>
                <w:rFonts w:ascii="Segoe UI" w:hAnsi="Segoe UI"/>
                <w:color w:val="A6A6A6"/>
                <w:sz w:val="21"/>
              </w:rPr>
              <w:t>sector</w:t>
            </w:r>
            <w:r>
              <w:rPr>
                <w:rFonts w:ascii="Segoe UI" w:hAnsi="Segoe UI"/>
                <w:color w:val="A6A6A6"/>
                <w:spacing w:val="4"/>
                <w:sz w:val="21"/>
              </w:rPr>
              <w:t> </w:t>
            </w:r>
            <w:r>
              <w:rPr>
                <w:rFonts w:ascii="Segoe UI" w:hAnsi="Segoe UI"/>
                <w:color w:val="A6A6A6"/>
                <w:sz w:val="21"/>
              </w:rPr>
              <w:t>–</w:t>
            </w:r>
            <w:r>
              <w:rPr>
                <w:rFonts w:ascii="Segoe UI" w:hAnsi="Segoe UI"/>
                <w:color w:val="A6A6A6"/>
                <w:spacing w:val="-6"/>
                <w:sz w:val="21"/>
              </w:rPr>
              <w:t> </w:t>
            </w:r>
            <w:r>
              <w:rPr>
                <w:rFonts w:ascii="Segoe UI" w:hAnsi="Segoe UI"/>
                <w:color w:val="A6A6A6"/>
                <w:sz w:val="21"/>
              </w:rPr>
              <w:t>emerging technologies and</w:t>
            </w:r>
            <w:r>
              <w:rPr>
                <w:rFonts w:ascii="Segoe UI" w:hAnsi="Segoe UI"/>
                <w:color w:val="A6A6A6"/>
                <w:spacing w:val="-5"/>
                <w:sz w:val="21"/>
              </w:rPr>
              <w:t> </w:t>
            </w:r>
            <w:r>
              <w:rPr>
                <w:rFonts w:ascii="Segoe UI" w:hAnsi="Segoe UI"/>
                <w:color w:val="A6A6A6"/>
                <w:spacing w:val="-2"/>
                <w:sz w:val="21"/>
              </w:rPr>
              <w:t>systems</w:t>
            </w:r>
          </w:p>
        </w:tc>
        <w:tc>
          <w:tcPr>
            <w:tcW w:w="1971" w:type="dxa"/>
          </w:tcPr>
          <w:p>
            <w:pPr>
              <w:pStyle w:val="TableParagraph"/>
              <w:spacing w:before="53"/>
              <w:ind w:left="54"/>
              <w:rPr>
                <w:rFonts w:ascii="Segoe UI"/>
                <w:sz w:val="21"/>
              </w:rPr>
            </w:pPr>
            <w:r>
              <w:rPr>
                <w:rFonts w:ascii="Segoe UI"/>
                <w:color w:val="A6A6A6"/>
                <w:sz w:val="21"/>
              </w:rPr>
              <w:t>Rhodri </w:t>
            </w:r>
            <w:r>
              <w:rPr>
                <w:rFonts w:ascii="Segoe UI"/>
                <w:color w:val="A6A6A6"/>
                <w:spacing w:val="-2"/>
                <w:sz w:val="21"/>
              </w:rPr>
              <w:t>Griffiths</w:t>
            </w:r>
          </w:p>
        </w:tc>
        <w:tc>
          <w:tcPr>
            <w:tcW w:w="1715" w:type="dxa"/>
          </w:tcPr>
          <w:p>
            <w:pPr>
              <w:pStyle w:val="TableParagraph"/>
              <w:spacing w:before="53"/>
              <w:ind w:left="59"/>
              <w:rPr>
                <w:rFonts w:ascii="Segoe UI"/>
                <w:sz w:val="21"/>
              </w:rPr>
            </w:pPr>
            <w:r>
              <w:rPr>
                <w:rFonts w:ascii="Segoe UI"/>
                <w:color w:val="A6A6A6"/>
                <w:sz w:val="21"/>
              </w:rPr>
              <w:t>30</w:t>
            </w:r>
            <w:r>
              <w:rPr>
                <w:rFonts w:ascii="Segoe UI"/>
                <w:color w:val="A6A6A6"/>
                <w:spacing w:val="3"/>
                <w:sz w:val="21"/>
              </w:rPr>
              <w:t> </w:t>
            </w:r>
            <w:r>
              <w:rPr>
                <w:rFonts w:ascii="Segoe UI"/>
                <w:color w:val="A6A6A6"/>
                <w:spacing w:val="-2"/>
                <w:sz w:val="21"/>
              </w:rPr>
              <w:t>August</w:t>
            </w:r>
          </w:p>
        </w:tc>
      </w:tr>
      <w:tr>
        <w:trPr>
          <w:trHeight w:val="389" w:hRule="atLeast"/>
        </w:trPr>
        <w:tc>
          <w:tcPr>
            <w:tcW w:w="7944" w:type="dxa"/>
          </w:tcPr>
          <w:p>
            <w:pPr>
              <w:pStyle w:val="TableParagraph"/>
              <w:spacing w:before="53"/>
              <w:ind w:left="60"/>
              <w:rPr>
                <w:rFonts w:ascii="Segoe UI"/>
                <w:sz w:val="21"/>
              </w:rPr>
            </w:pPr>
            <w:r>
              <w:rPr>
                <w:rFonts w:ascii="Segoe UI"/>
                <w:color w:val="A6A6A6"/>
                <w:sz w:val="21"/>
              </w:rPr>
              <w:t>Future</w:t>
            </w:r>
            <w:r>
              <w:rPr>
                <w:rFonts w:ascii="Segoe UI"/>
                <w:color w:val="A6A6A6"/>
                <w:spacing w:val="-10"/>
                <w:sz w:val="21"/>
              </w:rPr>
              <w:t> </w:t>
            </w:r>
            <w:r>
              <w:rPr>
                <w:rFonts w:ascii="Segoe UI"/>
                <w:color w:val="A6A6A6"/>
                <w:sz w:val="21"/>
              </w:rPr>
              <w:t>Service</w:t>
            </w:r>
            <w:r>
              <w:rPr>
                <w:rFonts w:ascii="Segoe UI"/>
                <w:color w:val="A6A6A6"/>
                <w:spacing w:val="-3"/>
                <w:sz w:val="21"/>
              </w:rPr>
              <w:t> </w:t>
            </w:r>
            <w:r>
              <w:rPr>
                <w:rFonts w:ascii="Segoe UI"/>
                <w:color w:val="A6A6A6"/>
                <w:sz w:val="21"/>
              </w:rPr>
              <w:t>Requirement</w:t>
            </w:r>
            <w:r>
              <w:rPr>
                <w:rFonts w:ascii="Segoe UI"/>
                <w:color w:val="A6A6A6"/>
                <w:spacing w:val="-8"/>
                <w:sz w:val="21"/>
              </w:rPr>
              <w:t> </w:t>
            </w:r>
            <w:r>
              <w:rPr>
                <w:rFonts w:ascii="Segoe UI"/>
                <w:color w:val="A6A6A6"/>
                <w:sz w:val="21"/>
              </w:rPr>
              <w:t>Spec</w:t>
            </w:r>
            <w:r>
              <w:rPr>
                <w:rFonts w:ascii="Segoe UI"/>
                <w:color w:val="A6A6A6"/>
                <w:spacing w:val="-5"/>
                <w:sz w:val="21"/>
              </w:rPr>
              <w:t> </w:t>
            </w:r>
            <w:r>
              <w:rPr>
                <w:rFonts w:ascii="Segoe UI"/>
                <w:color w:val="A6A6A6"/>
                <w:sz w:val="21"/>
              </w:rPr>
              <w:t>(Performance</w:t>
            </w:r>
            <w:r>
              <w:rPr>
                <w:rFonts w:ascii="Segoe UI"/>
                <w:color w:val="A6A6A6"/>
                <w:spacing w:val="-3"/>
                <w:sz w:val="21"/>
              </w:rPr>
              <w:t> </w:t>
            </w:r>
            <w:r>
              <w:rPr>
                <w:rFonts w:ascii="Segoe UI"/>
                <w:color w:val="A6A6A6"/>
                <w:sz w:val="21"/>
              </w:rPr>
              <w:t>expectations,</w:t>
            </w:r>
            <w:r>
              <w:rPr>
                <w:rFonts w:ascii="Segoe UI"/>
                <w:color w:val="A6A6A6"/>
                <w:spacing w:val="-4"/>
                <w:sz w:val="21"/>
              </w:rPr>
              <w:t> </w:t>
            </w:r>
            <w:r>
              <w:rPr>
                <w:rFonts w:ascii="Segoe UI"/>
                <w:color w:val="A6A6A6"/>
                <w:sz w:val="21"/>
              </w:rPr>
              <w:t>Quality</w:t>
            </w:r>
            <w:r>
              <w:rPr>
                <w:rFonts w:ascii="Segoe UI"/>
                <w:color w:val="A6A6A6"/>
                <w:spacing w:val="-5"/>
                <w:sz w:val="21"/>
              </w:rPr>
              <w:t> </w:t>
            </w:r>
            <w:r>
              <w:rPr>
                <w:rFonts w:ascii="Segoe UI"/>
                <w:color w:val="A6A6A6"/>
                <w:sz w:val="21"/>
              </w:rPr>
              <w:t>Standards</w:t>
            </w:r>
            <w:r>
              <w:rPr>
                <w:rFonts w:ascii="Segoe UI"/>
                <w:color w:val="A6A6A6"/>
                <w:spacing w:val="-1"/>
                <w:sz w:val="21"/>
              </w:rPr>
              <w:t> </w:t>
            </w:r>
            <w:r>
              <w:rPr>
                <w:rFonts w:ascii="Segoe UI"/>
                <w:color w:val="A6A6A6"/>
                <w:spacing w:val="-2"/>
                <w:sz w:val="21"/>
              </w:rPr>
              <w:t>etc.)</w:t>
            </w:r>
          </w:p>
        </w:tc>
        <w:tc>
          <w:tcPr>
            <w:tcW w:w="1971" w:type="dxa"/>
          </w:tcPr>
          <w:p>
            <w:pPr>
              <w:pStyle w:val="TableParagraph"/>
              <w:spacing w:before="53"/>
              <w:ind w:left="54"/>
              <w:rPr>
                <w:rFonts w:ascii="Segoe UI"/>
                <w:sz w:val="21"/>
              </w:rPr>
            </w:pPr>
            <w:r>
              <w:rPr>
                <w:rFonts w:ascii="Segoe UI"/>
                <w:color w:val="A6A6A6"/>
                <w:sz w:val="21"/>
              </w:rPr>
              <w:t>Christine</w:t>
            </w:r>
            <w:r>
              <w:rPr>
                <w:rFonts w:ascii="Segoe UI"/>
                <w:color w:val="A6A6A6"/>
                <w:spacing w:val="-3"/>
                <w:sz w:val="21"/>
              </w:rPr>
              <w:t> </w:t>
            </w:r>
            <w:r>
              <w:rPr>
                <w:rFonts w:ascii="Segoe UI"/>
                <w:color w:val="A6A6A6"/>
                <w:spacing w:val="-4"/>
                <w:sz w:val="21"/>
              </w:rPr>
              <w:t>Owen</w:t>
            </w:r>
          </w:p>
        </w:tc>
        <w:tc>
          <w:tcPr>
            <w:tcW w:w="1715" w:type="dxa"/>
          </w:tcPr>
          <w:p>
            <w:pPr>
              <w:pStyle w:val="TableParagraph"/>
              <w:spacing w:before="53"/>
              <w:ind w:left="59"/>
              <w:rPr>
                <w:rFonts w:ascii="Segoe UI"/>
                <w:sz w:val="21"/>
              </w:rPr>
            </w:pPr>
            <w:r>
              <w:rPr>
                <w:rFonts w:ascii="Segoe UI"/>
                <w:color w:val="A6A6A6"/>
                <w:sz w:val="21"/>
              </w:rPr>
              <w:t>15</w:t>
            </w:r>
            <w:r>
              <w:rPr>
                <w:rFonts w:ascii="Segoe UI"/>
                <w:color w:val="A6A6A6"/>
                <w:spacing w:val="5"/>
                <w:sz w:val="21"/>
              </w:rPr>
              <w:t> </w:t>
            </w:r>
            <w:r>
              <w:rPr>
                <w:rFonts w:ascii="Segoe UI"/>
                <w:color w:val="A6A6A6"/>
                <w:spacing w:val="-2"/>
                <w:sz w:val="21"/>
              </w:rPr>
              <w:t>September</w:t>
            </w:r>
          </w:p>
        </w:tc>
      </w:tr>
      <w:tr>
        <w:trPr>
          <w:trHeight w:val="675" w:hRule="atLeast"/>
        </w:trPr>
        <w:tc>
          <w:tcPr>
            <w:tcW w:w="7944" w:type="dxa"/>
          </w:tcPr>
          <w:p>
            <w:pPr>
              <w:pStyle w:val="TableParagraph"/>
              <w:spacing w:before="58"/>
              <w:ind w:left="60"/>
              <w:rPr>
                <w:rFonts w:ascii="Segoe UI" w:hAnsi="Segoe UI"/>
                <w:sz w:val="21"/>
              </w:rPr>
            </w:pPr>
            <w:r>
              <w:rPr>
                <w:rFonts w:ascii="Segoe UI" w:hAnsi="Segoe UI"/>
                <w:color w:val="A6A6A6"/>
                <w:sz w:val="21"/>
              </w:rPr>
              <w:t>Baseline</w:t>
            </w:r>
            <w:r>
              <w:rPr>
                <w:rFonts w:ascii="Segoe UI" w:hAnsi="Segoe UI"/>
                <w:color w:val="A6A6A6"/>
                <w:spacing w:val="-5"/>
                <w:sz w:val="21"/>
              </w:rPr>
              <w:t> </w:t>
            </w:r>
            <w:r>
              <w:rPr>
                <w:rFonts w:ascii="Segoe UI" w:hAnsi="Segoe UI"/>
                <w:color w:val="A6A6A6"/>
                <w:sz w:val="21"/>
              </w:rPr>
              <w:t>Activity,</w:t>
            </w:r>
            <w:r>
              <w:rPr>
                <w:rFonts w:ascii="Segoe UI" w:hAnsi="Segoe UI"/>
                <w:color w:val="A6A6A6"/>
                <w:spacing w:val="-5"/>
                <w:sz w:val="21"/>
              </w:rPr>
              <w:t> </w:t>
            </w:r>
            <w:r>
              <w:rPr>
                <w:rFonts w:ascii="Segoe UI" w:hAnsi="Segoe UI"/>
                <w:color w:val="A6A6A6"/>
                <w:sz w:val="21"/>
              </w:rPr>
              <w:t>Resources,</w:t>
            </w:r>
            <w:r>
              <w:rPr>
                <w:rFonts w:ascii="Segoe UI" w:hAnsi="Segoe UI"/>
                <w:color w:val="A6A6A6"/>
                <w:spacing w:val="-5"/>
                <w:sz w:val="21"/>
              </w:rPr>
              <w:t> </w:t>
            </w:r>
            <w:r>
              <w:rPr>
                <w:rFonts w:ascii="Segoe UI" w:hAnsi="Segoe UI"/>
                <w:color w:val="A6A6A6"/>
                <w:sz w:val="21"/>
              </w:rPr>
              <w:t>Costs,</w:t>
            </w:r>
            <w:r>
              <w:rPr>
                <w:rFonts w:ascii="Segoe UI" w:hAnsi="Segoe UI"/>
                <w:color w:val="A6A6A6"/>
                <w:spacing w:val="-5"/>
                <w:sz w:val="21"/>
              </w:rPr>
              <w:t> </w:t>
            </w:r>
            <w:r>
              <w:rPr>
                <w:rFonts w:ascii="Segoe UI" w:hAnsi="Segoe UI"/>
                <w:color w:val="A6A6A6"/>
                <w:sz w:val="21"/>
              </w:rPr>
              <w:t>Model,</w:t>
            </w:r>
            <w:r>
              <w:rPr>
                <w:rFonts w:ascii="Segoe UI" w:hAnsi="Segoe UI"/>
                <w:color w:val="A6A6A6"/>
                <w:spacing w:val="-5"/>
                <w:sz w:val="21"/>
              </w:rPr>
              <w:t> </w:t>
            </w:r>
            <w:r>
              <w:rPr>
                <w:rFonts w:ascii="Segoe UI" w:hAnsi="Segoe UI"/>
                <w:color w:val="A6A6A6"/>
                <w:sz w:val="21"/>
              </w:rPr>
              <w:t>SLAs,</w:t>
            </w:r>
            <w:r>
              <w:rPr>
                <w:rFonts w:ascii="Segoe UI" w:hAnsi="Segoe UI"/>
                <w:color w:val="A6A6A6"/>
                <w:spacing w:val="-9"/>
                <w:sz w:val="21"/>
              </w:rPr>
              <w:t> </w:t>
            </w:r>
            <w:r>
              <w:rPr>
                <w:rFonts w:ascii="Segoe UI" w:hAnsi="Segoe UI"/>
                <w:color w:val="A6A6A6"/>
                <w:sz w:val="21"/>
              </w:rPr>
              <w:t>Governance</w:t>
            </w:r>
            <w:r>
              <w:rPr>
                <w:rFonts w:ascii="Segoe UI" w:hAnsi="Segoe UI"/>
                <w:color w:val="A6A6A6"/>
                <w:spacing w:val="-5"/>
                <w:sz w:val="21"/>
              </w:rPr>
              <w:t> </w:t>
            </w:r>
            <w:r>
              <w:rPr>
                <w:rFonts w:ascii="Segoe UI" w:hAnsi="Segoe UI"/>
                <w:color w:val="A6A6A6"/>
                <w:sz w:val="21"/>
              </w:rPr>
              <w:t>Arrangements,</w:t>
            </w:r>
            <w:r>
              <w:rPr>
                <w:rFonts w:ascii="Segoe UI" w:hAnsi="Segoe UI"/>
                <w:color w:val="A6A6A6"/>
                <w:spacing w:val="-10"/>
                <w:sz w:val="21"/>
              </w:rPr>
              <w:t> </w:t>
            </w:r>
            <w:r>
              <w:rPr>
                <w:rFonts w:ascii="Segoe UI" w:hAnsi="Segoe UI"/>
                <w:color w:val="A6A6A6"/>
                <w:sz w:val="21"/>
              </w:rPr>
              <w:t>and Digital Systems – Hywel Dda</w:t>
            </w:r>
          </w:p>
        </w:tc>
        <w:tc>
          <w:tcPr>
            <w:tcW w:w="1971" w:type="dxa"/>
          </w:tcPr>
          <w:p>
            <w:pPr>
              <w:pStyle w:val="TableParagraph"/>
              <w:spacing w:before="58"/>
              <w:ind w:left="54"/>
              <w:rPr>
                <w:rFonts w:ascii="Segoe UI"/>
                <w:sz w:val="21"/>
              </w:rPr>
            </w:pPr>
            <w:r>
              <w:rPr>
                <w:rFonts w:ascii="Segoe UI"/>
                <w:color w:val="A6A6A6"/>
                <w:sz w:val="21"/>
              </w:rPr>
              <w:t>Bethan</w:t>
            </w:r>
            <w:r>
              <w:rPr>
                <w:rFonts w:ascii="Segoe UI"/>
                <w:color w:val="A6A6A6"/>
                <w:spacing w:val="-1"/>
                <w:sz w:val="21"/>
              </w:rPr>
              <w:t> </w:t>
            </w:r>
            <w:r>
              <w:rPr>
                <w:rFonts w:ascii="Segoe UI"/>
                <w:color w:val="A6A6A6"/>
                <w:spacing w:val="-2"/>
                <w:sz w:val="21"/>
              </w:rPr>
              <w:t>Andrews</w:t>
            </w:r>
          </w:p>
        </w:tc>
        <w:tc>
          <w:tcPr>
            <w:tcW w:w="1715" w:type="dxa"/>
          </w:tcPr>
          <w:p>
            <w:pPr>
              <w:pStyle w:val="TableParagraph"/>
              <w:spacing w:before="58"/>
              <w:ind w:left="59"/>
              <w:rPr>
                <w:rFonts w:ascii="Segoe UI"/>
                <w:sz w:val="21"/>
              </w:rPr>
            </w:pPr>
            <w:r>
              <w:rPr>
                <w:rFonts w:ascii="Segoe UI"/>
                <w:color w:val="A6A6A6"/>
                <w:sz w:val="21"/>
              </w:rPr>
              <w:t>18</w:t>
            </w:r>
            <w:r>
              <w:rPr>
                <w:rFonts w:ascii="Segoe UI"/>
                <w:color w:val="A6A6A6"/>
                <w:spacing w:val="5"/>
                <w:sz w:val="21"/>
              </w:rPr>
              <w:t> </w:t>
            </w:r>
            <w:r>
              <w:rPr>
                <w:rFonts w:ascii="Segoe UI"/>
                <w:color w:val="A6A6A6"/>
                <w:spacing w:val="-2"/>
                <w:sz w:val="21"/>
              </w:rPr>
              <w:t>September</w:t>
            </w:r>
          </w:p>
        </w:tc>
      </w:tr>
    </w:tbl>
    <w:p>
      <w:pPr>
        <w:spacing w:before="335"/>
        <w:ind w:left="60" w:right="57" w:firstLine="0"/>
        <w:jc w:val="center"/>
        <w:rPr>
          <w:rFonts w:ascii="Calibri"/>
          <w:sz w:val="16"/>
        </w:rPr>
      </w:pPr>
      <w:r>
        <w:rPr>
          <w:rFonts w:ascii="Calibri"/>
          <w:color w:val="787878"/>
          <w:w w:val="105"/>
          <w:sz w:val="16"/>
        </w:rPr>
        <w:t>Regional</w:t>
      </w:r>
      <w:r>
        <w:rPr>
          <w:rFonts w:ascii="Calibri"/>
          <w:color w:val="787878"/>
          <w:spacing w:val="-1"/>
          <w:w w:val="105"/>
          <w:sz w:val="16"/>
        </w:rPr>
        <w:t> </w:t>
      </w:r>
      <w:r>
        <w:rPr>
          <w:rFonts w:ascii="Calibri"/>
          <w:color w:val="787878"/>
          <w:w w:val="105"/>
          <w:sz w:val="16"/>
        </w:rPr>
        <w:t>Stroke</w:t>
      </w:r>
      <w:r>
        <w:rPr>
          <w:rFonts w:ascii="Calibri"/>
          <w:color w:val="787878"/>
          <w:spacing w:val="-4"/>
          <w:w w:val="105"/>
          <w:sz w:val="16"/>
        </w:rPr>
        <w:t> </w:t>
      </w:r>
      <w:r>
        <w:rPr>
          <w:rFonts w:ascii="Calibri"/>
          <w:color w:val="787878"/>
          <w:spacing w:val="-5"/>
          <w:w w:val="105"/>
          <w:sz w:val="16"/>
        </w:rPr>
        <w:t>PID</w:t>
      </w:r>
    </w:p>
    <w:p>
      <w:pPr>
        <w:spacing w:after="0"/>
        <w:jc w:val="center"/>
        <w:rPr>
          <w:rFonts w:ascii="Calibri"/>
          <w:sz w:val="16"/>
        </w:rPr>
        <w:sectPr>
          <w:pgSz w:w="12240" w:h="15840"/>
          <w:pgMar w:header="0" w:footer="147" w:top="140" w:bottom="340" w:left="141" w:right="141"/>
        </w:sectPr>
      </w:pPr>
    </w:p>
    <w:p>
      <w:pPr>
        <w:tabs>
          <w:tab w:pos="7483" w:val="left" w:leader="none"/>
        </w:tabs>
        <w:spacing w:line="240" w:lineRule="auto"/>
        <w:ind w:left="1586" w:right="0" w:firstLine="0"/>
        <w:rPr>
          <w:rFonts w:ascii="Calibri"/>
          <w:sz w:val="20"/>
        </w:rPr>
      </w:pPr>
      <w:r>
        <w:rPr>
          <w:rFonts w:ascii="Calibri"/>
          <w:position w:val="2"/>
          <w:sz w:val="20"/>
        </w:rPr>
        <w:drawing>
          <wp:inline distT="0" distB="0" distL="0" distR="0">
            <wp:extent cx="1870845" cy="475487"/>
            <wp:effectExtent l="0" t="0" r="0" b="0"/>
            <wp:docPr id="259" name="Image 259"/>
            <wp:cNvGraphicFramePr>
              <a:graphicFrameLocks/>
            </wp:cNvGraphicFramePr>
            <a:graphic>
              <a:graphicData uri="http://schemas.openxmlformats.org/drawingml/2006/picture">
                <pic:pic>
                  <pic:nvPicPr>
                    <pic:cNvPr id="259" name="Image 259"/>
                    <pic:cNvPicPr/>
                  </pic:nvPicPr>
                  <pic:blipFill>
                    <a:blip r:embed="rId58" cstate="print"/>
                    <a:stretch>
                      <a:fillRect/>
                    </a:stretch>
                  </pic:blipFill>
                  <pic:spPr>
                    <a:xfrm>
                      <a:off x="0" y="0"/>
                      <a:ext cx="1870845" cy="475487"/>
                    </a:xfrm>
                    <a:prstGeom prst="rect">
                      <a:avLst/>
                    </a:prstGeom>
                  </pic:spPr>
                </pic:pic>
              </a:graphicData>
            </a:graphic>
          </wp:inline>
        </w:drawing>
      </w:r>
      <w:r>
        <w:rPr>
          <w:rFonts w:ascii="Calibri"/>
          <w:position w:val="2"/>
          <w:sz w:val="20"/>
        </w:rPr>
      </w:r>
      <w:r>
        <w:rPr>
          <w:rFonts w:ascii="Calibri"/>
          <w:position w:val="2"/>
          <w:sz w:val="20"/>
        </w:rPr>
        <w:tab/>
      </w:r>
      <w:r>
        <w:rPr>
          <w:rFonts w:ascii="Calibri"/>
          <w:sz w:val="20"/>
        </w:rPr>
        <w:drawing>
          <wp:inline distT="0" distB="0" distL="0" distR="0">
            <wp:extent cx="1912332" cy="528066"/>
            <wp:effectExtent l="0" t="0" r="0" b="0"/>
            <wp:docPr id="260" name="Image 260"/>
            <wp:cNvGraphicFramePr>
              <a:graphicFrameLocks/>
            </wp:cNvGraphicFramePr>
            <a:graphic>
              <a:graphicData uri="http://schemas.openxmlformats.org/drawingml/2006/picture">
                <pic:pic>
                  <pic:nvPicPr>
                    <pic:cNvPr id="260" name="Image 260"/>
                    <pic:cNvPicPr/>
                  </pic:nvPicPr>
                  <pic:blipFill>
                    <a:blip r:embed="rId59" cstate="print"/>
                    <a:stretch>
                      <a:fillRect/>
                    </a:stretch>
                  </pic:blipFill>
                  <pic:spPr>
                    <a:xfrm>
                      <a:off x="0" y="0"/>
                      <a:ext cx="1912332" cy="528066"/>
                    </a:xfrm>
                    <a:prstGeom prst="rect">
                      <a:avLst/>
                    </a:prstGeom>
                  </pic:spPr>
                </pic:pic>
              </a:graphicData>
            </a:graphic>
          </wp:inline>
        </w:drawing>
      </w:r>
      <w:r>
        <w:rPr>
          <w:rFonts w:ascii="Calibri"/>
          <w:sz w:val="20"/>
        </w:rPr>
      </w:r>
    </w:p>
    <w:p>
      <w:pPr>
        <w:pStyle w:val="BodyText"/>
        <w:spacing w:before="174"/>
        <w:rPr>
          <w:rFonts w:ascii="Calibri"/>
          <w:sz w:val="20"/>
        </w:rPr>
      </w:pPr>
    </w:p>
    <w:tbl>
      <w:tblPr>
        <w:tblW w:w="0" w:type="auto"/>
        <w:jc w:val="left"/>
        <w:tblInd w:w="1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944"/>
        <w:gridCol w:w="1971"/>
        <w:gridCol w:w="1715"/>
      </w:tblGrid>
      <w:tr>
        <w:trPr>
          <w:trHeight w:val="675" w:hRule="atLeast"/>
        </w:trPr>
        <w:tc>
          <w:tcPr>
            <w:tcW w:w="7944" w:type="dxa"/>
          </w:tcPr>
          <w:p>
            <w:pPr>
              <w:pStyle w:val="TableParagraph"/>
              <w:spacing w:before="53"/>
              <w:ind w:left="60"/>
              <w:rPr>
                <w:rFonts w:ascii="Segoe UI" w:hAnsi="Segoe UI"/>
                <w:sz w:val="21"/>
              </w:rPr>
            </w:pPr>
            <w:r>
              <w:rPr>
                <w:rFonts w:ascii="Segoe UI" w:hAnsi="Segoe UI"/>
                <w:color w:val="A6A6A6"/>
                <w:sz w:val="21"/>
              </w:rPr>
              <w:t>Baseline</w:t>
            </w:r>
            <w:r>
              <w:rPr>
                <w:rFonts w:ascii="Segoe UI" w:hAnsi="Segoe UI"/>
                <w:color w:val="A6A6A6"/>
                <w:spacing w:val="-5"/>
                <w:sz w:val="21"/>
              </w:rPr>
              <w:t> </w:t>
            </w:r>
            <w:r>
              <w:rPr>
                <w:rFonts w:ascii="Segoe UI" w:hAnsi="Segoe UI"/>
                <w:color w:val="A6A6A6"/>
                <w:sz w:val="21"/>
              </w:rPr>
              <w:t>Activity,</w:t>
            </w:r>
            <w:r>
              <w:rPr>
                <w:rFonts w:ascii="Segoe UI" w:hAnsi="Segoe UI"/>
                <w:color w:val="A6A6A6"/>
                <w:spacing w:val="-5"/>
                <w:sz w:val="21"/>
              </w:rPr>
              <w:t> </w:t>
            </w:r>
            <w:r>
              <w:rPr>
                <w:rFonts w:ascii="Segoe UI" w:hAnsi="Segoe UI"/>
                <w:color w:val="A6A6A6"/>
                <w:sz w:val="21"/>
              </w:rPr>
              <w:t>Resources,</w:t>
            </w:r>
            <w:r>
              <w:rPr>
                <w:rFonts w:ascii="Segoe UI" w:hAnsi="Segoe UI"/>
                <w:color w:val="A6A6A6"/>
                <w:spacing w:val="-5"/>
                <w:sz w:val="21"/>
              </w:rPr>
              <w:t> </w:t>
            </w:r>
            <w:r>
              <w:rPr>
                <w:rFonts w:ascii="Segoe UI" w:hAnsi="Segoe UI"/>
                <w:color w:val="A6A6A6"/>
                <w:sz w:val="21"/>
              </w:rPr>
              <w:t>Costs,</w:t>
            </w:r>
            <w:r>
              <w:rPr>
                <w:rFonts w:ascii="Segoe UI" w:hAnsi="Segoe UI"/>
                <w:color w:val="A6A6A6"/>
                <w:spacing w:val="-5"/>
                <w:sz w:val="21"/>
              </w:rPr>
              <w:t> </w:t>
            </w:r>
            <w:r>
              <w:rPr>
                <w:rFonts w:ascii="Segoe UI" w:hAnsi="Segoe UI"/>
                <w:color w:val="A6A6A6"/>
                <w:sz w:val="21"/>
              </w:rPr>
              <w:t>Model,</w:t>
            </w:r>
            <w:r>
              <w:rPr>
                <w:rFonts w:ascii="Segoe UI" w:hAnsi="Segoe UI"/>
                <w:color w:val="A6A6A6"/>
                <w:spacing w:val="-5"/>
                <w:sz w:val="21"/>
              </w:rPr>
              <w:t> </w:t>
            </w:r>
            <w:r>
              <w:rPr>
                <w:rFonts w:ascii="Segoe UI" w:hAnsi="Segoe UI"/>
                <w:color w:val="A6A6A6"/>
                <w:sz w:val="21"/>
              </w:rPr>
              <w:t>SLAs,</w:t>
            </w:r>
            <w:r>
              <w:rPr>
                <w:rFonts w:ascii="Segoe UI" w:hAnsi="Segoe UI"/>
                <w:color w:val="A6A6A6"/>
                <w:spacing w:val="-9"/>
                <w:sz w:val="21"/>
              </w:rPr>
              <w:t> </w:t>
            </w:r>
            <w:r>
              <w:rPr>
                <w:rFonts w:ascii="Segoe UI" w:hAnsi="Segoe UI"/>
                <w:color w:val="A6A6A6"/>
                <w:sz w:val="21"/>
              </w:rPr>
              <w:t>Governance</w:t>
            </w:r>
            <w:r>
              <w:rPr>
                <w:rFonts w:ascii="Segoe UI" w:hAnsi="Segoe UI"/>
                <w:color w:val="A6A6A6"/>
                <w:spacing w:val="-5"/>
                <w:sz w:val="21"/>
              </w:rPr>
              <w:t> </w:t>
            </w:r>
            <w:r>
              <w:rPr>
                <w:rFonts w:ascii="Segoe UI" w:hAnsi="Segoe UI"/>
                <w:color w:val="A6A6A6"/>
                <w:sz w:val="21"/>
              </w:rPr>
              <w:t>Arrangements,</w:t>
            </w:r>
            <w:r>
              <w:rPr>
                <w:rFonts w:ascii="Segoe UI" w:hAnsi="Segoe UI"/>
                <w:color w:val="A6A6A6"/>
                <w:spacing w:val="-10"/>
                <w:sz w:val="21"/>
              </w:rPr>
              <w:t> </w:t>
            </w:r>
            <w:r>
              <w:rPr>
                <w:rFonts w:ascii="Segoe UI" w:hAnsi="Segoe UI"/>
                <w:color w:val="A6A6A6"/>
                <w:sz w:val="21"/>
              </w:rPr>
              <w:t>and Digital Systems – Swansea Bay</w:t>
            </w:r>
          </w:p>
        </w:tc>
        <w:tc>
          <w:tcPr>
            <w:tcW w:w="1971" w:type="dxa"/>
          </w:tcPr>
          <w:p>
            <w:pPr>
              <w:pStyle w:val="TableParagraph"/>
              <w:spacing w:before="53"/>
              <w:ind w:left="54"/>
              <w:rPr>
                <w:rFonts w:ascii="Segoe UI"/>
                <w:sz w:val="21"/>
              </w:rPr>
            </w:pPr>
            <w:r>
              <w:rPr>
                <w:rFonts w:ascii="Segoe UI"/>
                <w:color w:val="A6A6A6"/>
                <w:sz w:val="21"/>
              </w:rPr>
              <w:t>Abi</w:t>
            </w:r>
            <w:r>
              <w:rPr>
                <w:rFonts w:ascii="Segoe UI"/>
                <w:color w:val="A6A6A6"/>
                <w:spacing w:val="-1"/>
                <w:sz w:val="21"/>
              </w:rPr>
              <w:t> </w:t>
            </w:r>
            <w:r>
              <w:rPr>
                <w:rFonts w:ascii="Segoe UI"/>
                <w:color w:val="A6A6A6"/>
                <w:spacing w:val="-2"/>
                <w:sz w:val="21"/>
              </w:rPr>
              <w:t>Landeg</w:t>
            </w:r>
          </w:p>
        </w:tc>
        <w:tc>
          <w:tcPr>
            <w:tcW w:w="1715" w:type="dxa"/>
          </w:tcPr>
          <w:p>
            <w:pPr>
              <w:pStyle w:val="TableParagraph"/>
              <w:spacing w:before="53"/>
              <w:ind w:left="59"/>
              <w:rPr>
                <w:rFonts w:ascii="Segoe UI"/>
                <w:sz w:val="21"/>
              </w:rPr>
            </w:pPr>
            <w:r>
              <w:rPr>
                <w:rFonts w:ascii="Segoe UI"/>
                <w:color w:val="A6A6A6"/>
                <w:sz w:val="21"/>
              </w:rPr>
              <w:t>18</w:t>
            </w:r>
            <w:r>
              <w:rPr>
                <w:rFonts w:ascii="Segoe UI"/>
                <w:color w:val="A6A6A6"/>
                <w:spacing w:val="5"/>
                <w:sz w:val="21"/>
              </w:rPr>
              <w:t> </w:t>
            </w:r>
            <w:r>
              <w:rPr>
                <w:rFonts w:ascii="Segoe UI"/>
                <w:color w:val="A6A6A6"/>
                <w:spacing w:val="-2"/>
                <w:sz w:val="21"/>
              </w:rPr>
              <w:t>September</w:t>
            </w:r>
          </w:p>
        </w:tc>
      </w:tr>
      <w:tr>
        <w:trPr>
          <w:trHeight w:val="390" w:hRule="atLeast"/>
        </w:trPr>
        <w:tc>
          <w:tcPr>
            <w:tcW w:w="7944" w:type="dxa"/>
          </w:tcPr>
          <w:p>
            <w:pPr>
              <w:pStyle w:val="TableParagraph"/>
              <w:spacing w:before="53"/>
              <w:ind w:left="60"/>
              <w:rPr>
                <w:rFonts w:ascii="Segoe UI"/>
                <w:sz w:val="21"/>
              </w:rPr>
            </w:pPr>
            <w:r>
              <w:rPr>
                <w:rFonts w:ascii="Segoe UI"/>
                <w:sz w:val="21"/>
              </w:rPr>
              <w:t>Options</w:t>
            </w:r>
            <w:r>
              <w:rPr>
                <w:rFonts w:ascii="Segoe UI"/>
                <w:spacing w:val="-2"/>
                <w:sz w:val="21"/>
              </w:rPr>
              <w:t> Template</w:t>
            </w:r>
          </w:p>
        </w:tc>
        <w:tc>
          <w:tcPr>
            <w:tcW w:w="1971" w:type="dxa"/>
          </w:tcPr>
          <w:p>
            <w:pPr>
              <w:pStyle w:val="TableParagraph"/>
              <w:spacing w:before="53"/>
              <w:ind w:left="54"/>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1715" w:type="dxa"/>
            <w:shd w:val="clear" w:color="auto" w:fill="92D050"/>
          </w:tcPr>
          <w:p>
            <w:pPr>
              <w:pStyle w:val="TableParagraph"/>
              <w:spacing w:before="53"/>
              <w:ind w:left="59"/>
              <w:rPr>
                <w:rFonts w:ascii="Segoe UI"/>
                <w:sz w:val="21"/>
              </w:rPr>
            </w:pPr>
            <w:r>
              <w:rPr>
                <w:rFonts w:ascii="Segoe UI"/>
                <w:sz w:val="21"/>
              </w:rPr>
              <w:t>22</w:t>
            </w:r>
            <w:r>
              <w:rPr>
                <w:rFonts w:ascii="Segoe UI"/>
                <w:spacing w:val="5"/>
                <w:sz w:val="21"/>
              </w:rPr>
              <w:t> </w:t>
            </w:r>
            <w:r>
              <w:rPr>
                <w:rFonts w:ascii="Segoe UI"/>
                <w:spacing w:val="-2"/>
                <w:sz w:val="21"/>
              </w:rPr>
              <w:t>September</w:t>
            </w:r>
          </w:p>
        </w:tc>
      </w:tr>
      <w:tr>
        <w:trPr>
          <w:trHeight w:val="395" w:hRule="atLeast"/>
        </w:trPr>
        <w:tc>
          <w:tcPr>
            <w:tcW w:w="7944" w:type="dxa"/>
          </w:tcPr>
          <w:p>
            <w:pPr>
              <w:pStyle w:val="TableParagraph"/>
              <w:spacing w:before="58"/>
              <w:ind w:left="60"/>
              <w:rPr>
                <w:rFonts w:ascii="Segoe UI"/>
                <w:sz w:val="21"/>
              </w:rPr>
            </w:pPr>
            <w:r>
              <w:rPr>
                <w:rFonts w:ascii="Segoe UI"/>
                <w:sz w:val="21"/>
              </w:rPr>
              <w:t>Options</w:t>
            </w:r>
            <w:r>
              <w:rPr>
                <w:rFonts w:ascii="Segoe UI"/>
                <w:spacing w:val="-6"/>
                <w:sz w:val="21"/>
              </w:rPr>
              <w:t> </w:t>
            </w:r>
            <w:r>
              <w:rPr>
                <w:rFonts w:ascii="Segoe UI"/>
                <w:sz w:val="21"/>
              </w:rPr>
              <w:t>Development</w:t>
            </w:r>
            <w:r>
              <w:rPr>
                <w:rFonts w:ascii="Segoe UI"/>
                <w:spacing w:val="-3"/>
                <w:sz w:val="21"/>
              </w:rPr>
              <w:t> </w:t>
            </w:r>
            <w:r>
              <w:rPr>
                <w:rFonts w:ascii="Segoe UI"/>
                <w:sz w:val="21"/>
              </w:rPr>
              <w:t>(including</w:t>
            </w:r>
            <w:r>
              <w:rPr>
                <w:rFonts w:ascii="Segoe UI"/>
                <w:spacing w:val="-1"/>
                <w:sz w:val="21"/>
              </w:rPr>
              <w:t> </w:t>
            </w:r>
            <w:r>
              <w:rPr>
                <w:rFonts w:ascii="Segoe UI"/>
                <w:spacing w:val="-2"/>
                <w:sz w:val="21"/>
              </w:rPr>
              <w:t>baseline)</w:t>
            </w:r>
          </w:p>
        </w:tc>
        <w:tc>
          <w:tcPr>
            <w:tcW w:w="1971" w:type="dxa"/>
          </w:tcPr>
          <w:p>
            <w:pPr>
              <w:pStyle w:val="TableParagraph"/>
              <w:spacing w:before="58"/>
              <w:ind w:left="54"/>
              <w:rPr>
                <w:rFonts w:ascii="Segoe UI"/>
                <w:sz w:val="21"/>
              </w:rPr>
            </w:pPr>
            <w:r>
              <w:rPr>
                <w:rFonts w:ascii="Segoe UI"/>
                <w:sz w:val="21"/>
              </w:rPr>
              <w:t>Ops</w:t>
            </w:r>
            <w:r>
              <w:rPr>
                <w:rFonts w:ascii="Segoe UI"/>
                <w:spacing w:val="5"/>
                <w:sz w:val="21"/>
              </w:rPr>
              <w:t> </w:t>
            </w:r>
            <w:r>
              <w:rPr>
                <w:rFonts w:ascii="Segoe UI"/>
                <w:spacing w:val="-2"/>
                <w:sz w:val="21"/>
              </w:rPr>
              <w:t>Teams</w:t>
            </w:r>
          </w:p>
        </w:tc>
        <w:tc>
          <w:tcPr>
            <w:tcW w:w="1715" w:type="dxa"/>
            <w:shd w:val="clear" w:color="auto" w:fill="92D050"/>
          </w:tcPr>
          <w:p>
            <w:pPr>
              <w:pStyle w:val="TableParagraph"/>
              <w:spacing w:before="58"/>
              <w:ind w:left="59"/>
              <w:rPr>
                <w:rFonts w:ascii="Segoe UI"/>
                <w:sz w:val="21"/>
              </w:rPr>
            </w:pPr>
            <w:r>
              <w:rPr>
                <w:rFonts w:ascii="Segoe UI"/>
                <w:sz w:val="21"/>
              </w:rPr>
              <w:t>26 </w:t>
            </w:r>
            <w:r>
              <w:rPr>
                <w:rFonts w:ascii="Segoe UI"/>
                <w:spacing w:val="-2"/>
                <w:sz w:val="21"/>
              </w:rPr>
              <w:t>October</w:t>
            </w:r>
          </w:p>
        </w:tc>
      </w:tr>
      <w:tr>
        <w:trPr>
          <w:trHeight w:val="675" w:hRule="atLeast"/>
        </w:trPr>
        <w:tc>
          <w:tcPr>
            <w:tcW w:w="7944" w:type="dxa"/>
          </w:tcPr>
          <w:p>
            <w:pPr>
              <w:pStyle w:val="TableParagraph"/>
              <w:spacing w:before="53"/>
              <w:ind w:left="60"/>
              <w:rPr>
                <w:rFonts w:ascii="Segoe UI" w:hAnsi="Segoe UI"/>
                <w:sz w:val="21"/>
              </w:rPr>
            </w:pPr>
            <w:r>
              <w:rPr>
                <w:rFonts w:ascii="Segoe UI" w:hAnsi="Segoe UI"/>
                <w:sz w:val="21"/>
              </w:rPr>
              <w:t>Workshop</w:t>
            </w:r>
            <w:r>
              <w:rPr>
                <w:rFonts w:ascii="Segoe UI" w:hAnsi="Segoe UI"/>
                <w:spacing w:val="-8"/>
                <w:sz w:val="21"/>
              </w:rPr>
              <w:t> </w:t>
            </w:r>
            <w:r>
              <w:rPr>
                <w:rFonts w:ascii="Segoe UI" w:hAnsi="Segoe UI"/>
                <w:sz w:val="21"/>
              </w:rPr>
              <w:t>(funding</w:t>
            </w:r>
            <w:r>
              <w:rPr>
                <w:rFonts w:ascii="Segoe UI" w:hAnsi="Segoe UI"/>
                <w:spacing w:val="-3"/>
                <w:sz w:val="21"/>
              </w:rPr>
              <w:t> </w:t>
            </w:r>
            <w:r>
              <w:rPr>
                <w:rFonts w:ascii="Segoe UI" w:hAnsi="Segoe UI"/>
                <w:sz w:val="21"/>
              </w:rPr>
              <w:t>and</w:t>
            </w:r>
            <w:r>
              <w:rPr>
                <w:rFonts w:ascii="Segoe UI" w:hAnsi="Segoe UI"/>
                <w:spacing w:val="-8"/>
                <w:sz w:val="21"/>
              </w:rPr>
              <w:t> </w:t>
            </w:r>
            <w:r>
              <w:rPr>
                <w:rFonts w:ascii="Segoe UI" w:hAnsi="Segoe UI"/>
                <w:sz w:val="21"/>
              </w:rPr>
              <w:t>facilitation</w:t>
            </w:r>
            <w:r>
              <w:rPr>
                <w:rFonts w:ascii="Segoe UI" w:hAnsi="Segoe UI"/>
                <w:spacing w:val="-3"/>
                <w:sz w:val="21"/>
              </w:rPr>
              <w:t> </w:t>
            </w:r>
            <w:r>
              <w:rPr>
                <w:rFonts w:ascii="Segoe UI" w:hAnsi="Segoe UI"/>
                <w:sz w:val="21"/>
              </w:rPr>
              <w:t>by</w:t>
            </w:r>
            <w:r>
              <w:rPr>
                <w:rFonts w:ascii="Segoe UI" w:hAnsi="Segoe UI"/>
                <w:spacing w:val="-6"/>
                <w:sz w:val="21"/>
              </w:rPr>
              <w:t> </w:t>
            </w:r>
            <w:r>
              <w:rPr>
                <w:rFonts w:ascii="Segoe UI" w:hAnsi="Segoe UI"/>
                <w:sz w:val="21"/>
              </w:rPr>
              <w:t>Stroke</w:t>
            </w:r>
            <w:r>
              <w:rPr>
                <w:rFonts w:ascii="Segoe UI" w:hAnsi="Segoe UI"/>
                <w:spacing w:val="-8"/>
                <w:sz w:val="21"/>
              </w:rPr>
              <w:t> </w:t>
            </w:r>
            <w:r>
              <w:rPr>
                <w:rFonts w:ascii="Segoe UI" w:hAnsi="Segoe UI"/>
                <w:sz w:val="21"/>
              </w:rPr>
              <w:t>Association) –</w:t>
            </w:r>
            <w:r>
              <w:rPr>
                <w:rFonts w:ascii="Segoe UI" w:hAnsi="Segoe UI"/>
                <w:spacing w:val="-9"/>
                <w:sz w:val="21"/>
              </w:rPr>
              <w:t> </w:t>
            </w:r>
            <w:r>
              <w:rPr>
                <w:rFonts w:ascii="Segoe UI" w:hAnsi="Segoe UI"/>
                <w:sz w:val="21"/>
              </w:rPr>
              <w:t>National</w:t>
            </w:r>
            <w:r>
              <w:rPr>
                <w:rFonts w:ascii="Segoe UI" w:hAnsi="Segoe UI"/>
                <w:spacing w:val="-5"/>
                <w:sz w:val="21"/>
              </w:rPr>
              <w:t> </w:t>
            </w:r>
            <w:r>
              <w:rPr>
                <w:rFonts w:ascii="Segoe UI" w:hAnsi="Segoe UI"/>
                <w:sz w:val="21"/>
              </w:rPr>
              <w:t>Botanical Gardens (13:00-16:00) – Options analysis and preferred option selection</w:t>
            </w:r>
          </w:p>
        </w:tc>
        <w:tc>
          <w:tcPr>
            <w:tcW w:w="1971" w:type="dxa"/>
          </w:tcPr>
          <w:p>
            <w:pPr>
              <w:pStyle w:val="TableParagraph"/>
              <w:spacing w:before="53"/>
              <w:ind w:left="54"/>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1715" w:type="dxa"/>
            <w:shd w:val="clear" w:color="auto" w:fill="92D050"/>
          </w:tcPr>
          <w:p>
            <w:pPr>
              <w:pStyle w:val="TableParagraph"/>
              <w:spacing w:before="53"/>
              <w:ind w:left="59"/>
              <w:rPr>
                <w:rFonts w:ascii="Segoe UI"/>
                <w:sz w:val="21"/>
              </w:rPr>
            </w:pPr>
            <w:r>
              <w:rPr>
                <w:rFonts w:ascii="Segoe UI"/>
                <w:sz w:val="21"/>
              </w:rPr>
              <w:t>26 </w:t>
            </w:r>
            <w:r>
              <w:rPr>
                <w:rFonts w:ascii="Segoe UI"/>
                <w:spacing w:val="-2"/>
                <w:sz w:val="21"/>
              </w:rPr>
              <w:t>October</w:t>
            </w:r>
          </w:p>
        </w:tc>
      </w:tr>
      <w:tr>
        <w:trPr>
          <w:trHeight w:val="390" w:hRule="atLeast"/>
        </w:trPr>
        <w:tc>
          <w:tcPr>
            <w:tcW w:w="7944" w:type="dxa"/>
          </w:tcPr>
          <w:p>
            <w:pPr>
              <w:pStyle w:val="TableParagraph"/>
              <w:spacing w:before="54"/>
              <w:ind w:left="60"/>
              <w:rPr>
                <w:rFonts w:ascii="Segoe UI"/>
                <w:sz w:val="21"/>
              </w:rPr>
            </w:pPr>
            <w:r>
              <w:rPr>
                <w:rFonts w:ascii="Segoe UI"/>
                <w:sz w:val="21"/>
              </w:rPr>
              <w:t>Proposal</w:t>
            </w:r>
            <w:r>
              <w:rPr>
                <w:rFonts w:ascii="Segoe UI"/>
                <w:spacing w:val="-4"/>
                <w:sz w:val="21"/>
              </w:rPr>
              <w:t> </w:t>
            </w:r>
            <w:r>
              <w:rPr>
                <w:rFonts w:ascii="Segoe UI"/>
                <w:sz w:val="21"/>
              </w:rPr>
              <w:t>development</w:t>
            </w:r>
            <w:r>
              <w:rPr>
                <w:rFonts w:ascii="Segoe UI"/>
                <w:spacing w:val="-4"/>
                <w:sz w:val="21"/>
              </w:rPr>
              <w:t> </w:t>
            </w:r>
            <w:r>
              <w:rPr>
                <w:rFonts w:ascii="Segoe UI"/>
                <w:spacing w:val="-5"/>
                <w:sz w:val="21"/>
              </w:rPr>
              <w:t>by</w:t>
            </w:r>
          </w:p>
        </w:tc>
        <w:tc>
          <w:tcPr>
            <w:tcW w:w="1971" w:type="dxa"/>
          </w:tcPr>
          <w:p>
            <w:pPr>
              <w:pStyle w:val="TableParagraph"/>
              <w:spacing w:before="54"/>
              <w:ind w:left="54"/>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1715" w:type="dxa"/>
            <w:shd w:val="clear" w:color="auto" w:fill="92D050"/>
          </w:tcPr>
          <w:p>
            <w:pPr>
              <w:pStyle w:val="TableParagraph"/>
              <w:spacing w:before="54"/>
              <w:ind w:left="59"/>
              <w:rPr>
                <w:rFonts w:ascii="Segoe UI"/>
                <w:sz w:val="21"/>
              </w:rPr>
            </w:pPr>
            <w:r>
              <w:rPr>
                <w:rFonts w:ascii="Segoe UI"/>
                <w:sz w:val="21"/>
              </w:rPr>
              <w:t>17</w:t>
            </w:r>
            <w:r>
              <w:rPr>
                <w:rFonts w:ascii="Segoe UI"/>
                <w:spacing w:val="3"/>
                <w:sz w:val="21"/>
              </w:rPr>
              <w:t> </w:t>
            </w:r>
            <w:r>
              <w:rPr>
                <w:rFonts w:ascii="Segoe UI"/>
                <w:spacing w:val="-2"/>
                <w:sz w:val="21"/>
              </w:rPr>
              <w:t>November</w:t>
            </w:r>
          </w:p>
        </w:tc>
      </w:tr>
      <w:tr>
        <w:trPr>
          <w:trHeight w:val="435" w:hRule="atLeast"/>
        </w:trPr>
        <w:tc>
          <w:tcPr>
            <w:tcW w:w="7944" w:type="dxa"/>
            <w:shd w:val="clear" w:color="auto" w:fill="DBE4F0"/>
          </w:tcPr>
          <w:p>
            <w:pPr>
              <w:pStyle w:val="TableParagraph"/>
              <w:spacing w:before="61"/>
              <w:ind w:left="60"/>
              <w:rPr>
                <w:rFonts w:ascii="Segoe UI"/>
                <w:b/>
                <w:sz w:val="24"/>
              </w:rPr>
            </w:pPr>
            <w:r>
              <w:rPr>
                <w:rFonts w:ascii="Segoe UI"/>
                <w:b/>
                <w:color w:val="365F91"/>
                <w:sz w:val="24"/>
              </w:rPr>
              <w:t>Governance</w:t>
            </w:r>
            <w:r>
              <w:rPr>
                <w:rFonts w:ascii="Segoe UI"/>
                <w:b/>
                <w:color w:val="365F91"/>
                <w:spacing w:val="-6"/>
                <w:sz w:val="24"/>
              </w:rPr>
              <w:t> </w:t>
            </w:r>
            <w:r>
              <w:rPr>
                <w:rFonts w:ascii="Segoe UI"/>
                <w:b/>
                <w:color w:val="365F91"/>
                <w:sz w:val="24"/>
              </w:rPr>
              <w:t>and</w:t>
            </w:r>
            <w:r>
              <w:rPr>
                <w:rFonts w:ascii="Segoe UI"/>
                <w:b/>
                <w:color w:val="365F91"/>
                <w:spacing w:val="-5"/>
                <w:sz w:val="24"/>
              </w:rPr>
              <w:t> </w:t>
            </w:r>
            <w:r>
              <w:rPr>
                <w:rFonts w:ascii="Segoe UI"/>
                <w:b/>
                <w:color w:val="365F91"/>
                <w:sz w:val="24"/>
              </w:rPr>
              <w:t>Decision</w:t>
            </w:r>
            <w:r>
              <w:rPr>
                <w:rFonts w:ascii="Segoe UI"/>
                <w:b/>
                <w:color w:val="365F91"/>
                <w:spacing w:val="-5"/>
                <w:sz w:val="24"/>
              </w:rPr>
              <w:t> </w:t>
            </w:r>
            <w:r>
              <w:rPr>
                <w:rFonts w:ascii="Segoe UI"/>
                <w:b/>
                <w:color w:val="365F91"/>
                <w:spacing w:val="-2"/>
                <w:sz w:val="24"/>
              </w:rPr>
              <w:t>Making</w:t>
            </w:r>
          </w:p>
        </w:tc>
        <w:tc>
          <w:tcPr>
            <w:tcW w:w="1971" w:type="dxa"/>
            <w:shd w:val="clear" w:color="auto" w:fill="DBE4F0"/>
          </w:tcPr>
          <w:p>
            <w:pPr>
              <w:pStyle w:val="TableParagraph"/>
              <w:spacing w:before="61"/>
              <w:ind w:left="54"/>
              <w:rPr>
                <w:rFonts w:ascii="Segoe UI"/>
                <w:b/>
                <w:sz w:val="24"/>
              </w:rPr>
            </w:pPr>
            <w:r>
              <w:rPr>
                <w:rFonts w:ascii="Segoe UI"/>
                <w:b/>
                <w:color w:val="365F91"/>
                <w:spacing w:val="-4"/>
                <w:sz w:val="24"/>
              </w:rPr>
              <w:t>Lead</w:t>
            </w:r>
          </w:p>
        </w:tc>
        <w:tc>
          <w:tcPr>
            <w:tcW w:w="1715" w:type="dxa"/>
            <w:shd w:val="clear" w:color="auto" w:fill="DBE4F0"/>
          </w:tcPr>
          <w:p>
            <w:pPr>
              <w:pStyle w:val="TableParagraph"/>
              <w:spacing w:before="61"/>
              <w:ind w:left="59"/>
              <w:rPr>
                <w:rFonts w:ascii="Segoe UI"/>
                <w:b/>
                <w:sz w:val="24"/>
              </w:rPr>
            </w:pPr>
            <w:r>
              <w:rPr>
                <w:rFonts w:ascii="Segoe UI"/>
                <w:b/>
                <w:color w:val="365F91"/>
                <w:sz w:val="24"/>
              </w:rPr>
              <w:t>By</w:t>
            </w:r>
            <w:r>
              <w:rPr>
                <w:rFonts w:ascii="Segoe UI"/>
                <w:b/>
                <w:color w:val="365F91"/>
                <w:spacing w:val="-1"/>
                <w:sz w:val="24"/>
              </w:rPr>
              <w:t> </w:t>
            </w:r>
            <w:r>
              <w:rPr>
                <w:rFonts w:ascii="Segoe UI"/>
                <w:b/>
                <w:color w:val="365F91"/>
                <w:spacing w:val="-4"/>
                <w:sz w:val="24"/>
              </w:rPr>
              <w:t>when</w:t>
            </w:r>
          </w:p>
        </w:tc>
      </w:tr>
      <w:tr>
        <w:trPr>
          <w:trHeight w:val="395" w:hRule="atLeast"/>
        </w:trPr>
        <w:tc>
          <w:tcPr>
            <w:tcW w:w="7944" w:type="dxa"/>
          </w:tcPr>
          <w:p>
            <w:pPr>
              <w:pStyle w:val="TableParagraph"/>
              <w:spacing w:before="53"/>
              <w:ind w:left="60"/>
              <w:rPr>
                <w:rFonts w:ascii="Segoe UI"/>
                <w:sz w:val="21"/>
              </w:rPr>
            </w:pPr>
            <w:r>
              <w:rPr>
                <w:rFonts w:ascii="Segoe UI"/>
                <w:sz w:val="21"/>
              </w:rPr>
              <w:t>Regional</w:t>
            </w:r>
            <w:r>
              <w:rPr>
                <w:rFonts w:ascii="Segoe UI"/>
                <w:spacing w:val="-6"/>
                <w:sz w:val="21"/>
              </w:rPr>
              <w:t> </w:t>
            </w:r>
            <w:r>
              <w:rPr>
                <w:rFonts w:ascii="Segoe UI"/>
                <w:sz w:val="21"/>
              </w:rPr>
              <w:t>Clinical</w:t>
            </w:r>
            <w:r>
              <w:rPr>
                <w:rFonts w:ascii="Segoe UI"/>
                <w:spacing w:val="-4"/>
                <w:sz w:val="21"/>
              </w:rPr>
              <w:t> </w:t>
            </w:r>
            <w:r>
              <w:rPr>
                <w:rFonts w:ascii="Segoe UI"/>
                <w:sz w:val="21"/>
              </w:rPr>
              <w:t>Services</w:t>
            </w:r>
            <w:r>
              <w:rPr>
                <w:rFonts w:ascii="Segoe UI"/>
                <w:spacing w:val="-3"/>
                <w:sz w:val="21"/>
              </w:rPr>
              <w:t> </w:t>
            </w:r>
            <w:r>
              <w:rPr>
                <w:rFonts w:ascii="Segoe UI"/>
                <w:sz w:val="21"/>
              </w:rPr>
              <w:t>Planning</w:t>
            </w:r>
            <w:r>
              <w:rPr>
                <w:rFonts w:ascii="Segoe UI"/>
                <w:spacing w:val="-2"/>
                <w:sz w:val="21"/>
              </w:rPr>
              <w:t> </w:t>
            </w:r>
            <w:r>
              <w:rPr>
                <w:rFonts w:ascii="Segoe UI"/>
                <w:sz w:val="21"/>
              </w:rPr>
              <w:t>Group</w:t>
            </w:r>
            <w:r>
              <w:rPr>
                <w:rFonts w:ascii="Segoe UI"/>
                <w:spacing w:val="-2"/>
                <w:sz w:val="21"/>
              </w:rPr>
              <w:t> </w:t>
            </w:r>
            <w:r>
              <w:rPr>
                <w:rFonts w:ascii="Segoe UI"/>
                <w:sz w:val="21"/>
              </w:rPr>
              <w:t>Support</w:t>
            </w:r>
            <w:r>
              <w:rPr>
                <w:rFonts w:ascii="Segoe UI"/>
                <w:spacing w:val="3"/>
                <w:sz w:val="21"/>
              </w:rPr>
              <w:t> </w:t>
            </w:r>
            <w:r>
              <w:rPr>
                <w:rFonts w:ascii="Segoe UI"/>
                <w:sz w:val="21"/>
              </w:rPr>
              <w:t>Agree</w:t>
            </w:r>
            <w:r>
              <w:rPr>
                <w:rFonts w:ascii="Segoe UI"/>
                <w:spacing w:val="-3"/>
                <w:sz w:val="21"/>
              </w:rPr>
              <w:t> </w:t>
            </w:r>
            <w:r>
              <w:rPr>
                <w:rFonts w:ascii="Segoe UI"/>
                <w:sz w:val="21"/>
              </w:rPr>
              <w:t>Decision</w:t>
            </w:r>
            <w:r>
              <w:rPr>
                <w:rFonts w:ascii="Segoe UI"/>
                <w:spacing w:val="-2"/>
                <w:sz w:val="21"/>
              </w:rPr>
              <w:t> </w:t>
            </w:r>
            <w:r>
              <w:rPr>
                <w:rFonts w:ascii="Segoe UI"/>
                <w:sz w:val="21"/>
              </w:rPr>
              <w:t>Making</w:t>
            </w:r>
            <w:r>
              <w:rPr>
                <w:rFonts w:ascii="Segoe UI"/>
                <w:spacing w:val="-6"/>
                <w:sz w:val="21"/>
              </w:rPr>
              <w:t> </w:t>
            </w:r>
            <w:r>
              <w:rPr>
                <w:rFonts w:ascii="Segoe UI"/>
                <w:spacing w:val="-2"/>
                <w:sz w:val="21"/>
              </w:rPr>
              <w:t>Criteria</w:t>
            </w:r>
          </w:p>
        </w:tc>
        <w:tc>
          <w:tcPr>
            <w:tcW w:w="1971" w:type="dxa"/>
          </w:tcPr>
          <w:p>
            <w:pPr>
              <w:pStyle w:val="TableParagraph"/>
              <w:spacing w:before="53"/>
              <w:ind w:left="54"/>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1715" w:type="dxa"/>
            <w:shd w:val="clear" w:color="auto" w:fill="92D050"/>
          </w:tcPr>
          <w:p>
            <w:pPr>
              <w:pStyle w:val="TableParagraph"/>
              <w:spacing w:before="53"/>
              <w:ind w:left="59"/>
              <w:rPr>
                <w:rFonts w:ascii="Segoe UI"/>
                <w:sz w:val="21"/>
              </w:rPr>
            </w:pPr>
            <w:r>
              <w:rPr>
                <w:rFonts w:ascii="Segoe UI"/>
                <w:sz w:val="21"/>
              </w:rPr>
              <w:t>20 </w:t>
            </w:r>
            <w:r>
              <w:rPr>
                <w:rFonts w:ascii="Segoe UI"/>
                <w:spacing w:val="-2"/>
                <w:sz w:val="21"/>
              </w:rPr>
              <w:t>October</w:t>
            </w:r>
          </w:p>
        </w:tc>
      </w:tr>
      <w:tr>
        <w:trPr>
          <w:trHeight w:val="390" w:hRule="atLeast"/>
        </w:trPr>
        <w:tc>
          <w:tcPr>
            <w:tcW w:w="7944" w:type="dxa"/>
          </w:tcPr>
          <w:p>
            <w:pPr>
              <w:pStyle w:val="TableParagraph"/>
              <w:spacing w:before="53"/>
              <w:ind w:left="60"/>
              <w:rPr>
                <w:rFonts w:ascii="Segoe UI"/>
                <w:sz w:val="21"/>
              </w:rPr>
            </w:pPr>
            <w:r>
              <w:rPr>
                <w:rFonts w:ascii="Segoe UI"/>
                <w:sz w:val="21"/>
              </w:rPr>
              <w:t>Regional</w:t>
            </w:r>
            <w:r>
              <w:rPr>
                <w:rFonts w:ascii="Segoe UI"/>
                <w:spacing w:val="-5"/>
                <w:sz w:val="21"/>
              </w:rPr>
              <w:t> </w:t>
            </w:r>
            <w:r>
              <w:rPr>
                <w:rFonts w:ascii="Segoe UI"/>
                <w:sz w:val="21"/>
              </w:rPr>
              <w:t>Clinical</w:t>
            </w:r>
            <w:r>
              <w:rPr>
                <w:rFonts w:ascii="Segoe UI"/>
                <w:spacing w:val="-4"/>
                <w:sz w:val="21"/>
              </w:rPr>
              <w:t> </w:t>
            </w:r>
            <w:r>
              <w:rPr>
                <w:rFonts w:ascii="Segoe UI"/>
                <w:sz w:val="21"/>
              </w:rPr>
              <w:t>Services</w:t>
            </w:r>
            <w:r>
              <w:rPr>
                <w:rFonts w:ascii="Segoe UI"/>
                <w:spacing w:val="-2"/>
                <w:sz w:val="21"/>
              </w:rPr>
              <w:t> </w:t>
            </w:r>
            <w:r>
              <w:rPr>
                <w:rFonts w:ascii="Segoe UI"/>
                <w:sz w:val="21"/>
              </w:rPr>
              <w:t>Planning</w:t>
            </w:r>
            <w:r>
              <w:rPr>
                <w:rFonts w:ascii="Segoe UI"/>
                <w:spacing w:val="-3"/>
                <w:sz w:val="21"/>
              </w:rPr>
              <w:t> </w:t>
            </w:r>
            <w:r>
              <w:rPr>
                <w:rFonts w:ascii="Segoe UI"/>
                <w:sz w:val="21"/>
              </w:rPr>
              <w:t>Group</w:t>
            </w:r>
            <w:r>
              <w:rPr>
                <w:rFonts w:ascii="Segoe UI"/>
                <w:spacing w:val="5"/>
                <w:sz w:val="21"/>
              </w:rPr>
              <w:t> </w:t>
            </w:r>
            <w:r>
              <w:rPr>
                <w:rFonts w:ascii="Segoe UI"/>
                <w:spacing w:val="-2"/>
                <w:sz w:val="21"/>
              </w:rPr>
              <w:t>Decision</w:t>
            </w:r>
          </w:p>
        </w:tc>
        <w:tc>
          <w:tcPr>
            <w:tcW w:w="1971" w:type="dxa"/>
          </w:tcPr>
          <w:p>
            <w:pPr>
              <w:pStyle w:val="TableParagraph"/>
              <w:spacing w:before="53"/>
              <w:ind w:left="54"/>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1715" w:type="dxa"/>
            <w:shd w:val="clear" w:color="auto" w:fill="92D050"/>
          </w:tcPr>
          <w:p>
            <w:pPr>
              <w:pStyle w:val="TableParagraph"/>
              <w:spacing w:before="53"/>
              <w:ind w:left="59"/>
              <w:rPr>
                <w:rFonts w:ascii="Segoe UI"/>
                <w:sz w:val="21"/>
              </w:rPr>
            </w:pPr>
            <w:r>
              <w:rPr>
                <w:rFonts w:ascii="Segoe UI"/>
                <w:sz w:val="21"/>
              </w:rPr>
              <w:t>17</w:t>
            </w:r>
            <w:r>
              <w:rPr>
                <w:rFonts w:ascii="Segoe UI"/>
                <w:spacing w:val="3"/>
                <w:sz w:val="21"/>
              </w:rPr>
              <w:t> </w:t>
            </w:r>
            <w:r>
              <w:rPr>
                <w:rFonts w:ascii="Segoe UI"/>
                <w:spacing w:val="-2"/>
                <w:sz w:val="21"/>
              </w:rPr>
              <w:t>November</w:t>
            </w:r>
          </w:p>
        </w:tc>
      </w:tr>
      <w:tr>
        <w:trPr>
          <w:trHeight w:val="395" w:hRule="atLeast"/>
        </w:trPr>
        <w:tc>
          <w:tcPr>
            <w:tcW w:w="7944" w:type="dxa"/>
          </w:tcPr>
          <w:p>
            <w:pPr>
              <w:pStyle w:val="TableParagraph"/>
              <w:spacing w:before="58"/>
              <w:ind w:left="60"/>
              <w:rPr>
                <w:rFonts w:ascii="Segoe UI"/>
                <w:sz w:val="21"/>
              </w:rPr>
            </w:pPr>
            <w:r>
              <w:rPr>
                <w:rFonts w:ascii="Segoe UI"/>
                <w:sz w:val="21"/>
              </w:rPr>
              <w:t>Further</w:t>
            </w:r>
            <w:r>
              <w:rPr>
                <w:rFonts w:ascii="Segoe UI"/>
                <w:spacing w:val="1"/>
                <w:sz w:val="21"/>
              </w:rPr>
              <w:t> </w:t>
            </w:r>
            <w:r>
              <w:rPr>
                <w:rFonts w:ascii="Segoe UI"/>
                <w:sz w:val="21"/>
              </w:rPr>
              <w:t>Decision-Making</w:t>
            </w:r>
            <w:r>
              <w:rPr>
                <w:rFonts w:ascii="Segoe UI"/>
                <w:spacing w:val="-7"/>
                <w:sz w:val="21"/>
              </w:rPr>
              <w:t> </w:t>
            </w:r>
            <w:r>
              <w:rPr>
                <w:rFonts w:ascii="Segoe UI"/>
                <w:sz w:val="21"/>
              </w:rPr>
              <w:t>process</w:t>
            </w:r>
            <w:r>
              <w:rPr>
                <w:rFonts w:ascii="Segoe UI"/>
                <w:spacing w:val="-4"/>
                <w:sz w:val="21"/>
              </w:rPr>
              <w:t> </w:t>
            </w:r>
            <w:r>
              <w:rPr>
                <w:rFonts w:ascii="Segoe UI"/>
                <w:sz w:val="21"/>
              </w:rPr>
              <w:t>requires</w:t>
            </w:r>
            <w:r>
              <w:rPr>
                <w:rFonts w:ascii="Segoe UI"/>
                <w:spacing w:val="-1"/>
                <w:sz w:val="21"/>
              </w:rPr>
              <w:t> </w:t>
            </w:r>
            <w:r>
              <w:rPr>
                <w:rFonts w:ascii="Segoe UI"/>
                <w:spacing w:val="-2"/>
                <w:sz w:val="21"/>
              </w:rPr>
              <w:t>clarification</w:t>
            </w:r>
          </w:p>
        </w:tc>
        <w:tc>
          <w:tcPr>
            <w:tcW w:w="1971" w:type="dxa"/>
          </w:tcPr>
          <w:p>
            <w:pPr>
              <w:pStyle w:val="TableParagraph"/>
              <w:spacing w:before="58"/>
              <w:ind w:left="54"/>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1715" w:type="dxa"/>
            <w:shd w:val="clear" w:color="auto" w:fill="FFC000"/>
          </w:tcPr>
          <w:p>
            <w:pPr>
              <w:pStyle w:val="TableParagraph"/>
              <w:spacing w:before="58"/>
              <w:ind w:left="59"/>
              <w:rPr>
                <w:rFonts w:ascii="Segoe UI"/>
                <w:sz w:val="21"/>
              </w:rPr>
            </w:pPr>
            <w:r>
              <w:rPr>
                <w:rFonts w:ascii="Segoe UI"/>
                <w:sz w:val="21"/>
              </w:rPr>
              <w:t>December</w:t>
            </w:r>
            <w:r>
              <w:rPr>
                <w:rFonts w:ascii="Segoe UI"/>
                <w:spacing w:val="-2"/>
                <w:sz w:val="21"/>
              </w:rPr>
              <w:t> </w:t>
            </w:r>
            <w:r>
              <w:rPr>
                <w:rFonts w:ascii="Segoe UI"/>
                <w:spacing w:val="-4"/>
                <w:sz w:val="21"/>
              </w:rPr>
              <w:t>2026</w:t>
            </w:r>
          </w:p>
        </w:tc>
      </w:tr>
    </w:tbl>
    <w:p>
      <w:pPr>
        <w:pStyle w:val="BodyText"/>
        <w:spacing w:before="116"/>
        <w:rPr>
          <w:rFonts w:ascii="Calibri"/>
          <w:sz w:val="30"/>
        </w:rPr>
      </w:pPr>
    </w:p>
    <w:p>
      <w:pPr>
        <w:pStyle w:val="Heading3"/>
        <w:numPr>
          <w:ilvl w:val="0"/>
          <w:numId w:val="14"/>
        </w:numPr>
        <w:tabs>
          <w:tab w:pos="1009" w:val="left" w:leader="none"/>
        </w:tabs>
        <w:spacing w:line="240" w:lineRule="auto" w:before="0" w:after="0"/>
        <w:ind w:left="1009" w:right="0" w:hanging="565"/>
        <w:jc w:val="left"/>
      </w:pPr>
      <w:r>
        <w:rPr>
          <w:color w:val="1F4E79"/>
        </w:rPr>
        <w:t>Project</w:t>
      </w:r>
      <w:r>
        <w:rPr>
          <w:color w:val="1F4E79"/>
          <w:spacing w:val="-1"/>
        </w:rPr>
        <w:t> </w:t>
      </w:r>
      <w:r>
        <w:rPr>
          <w:color w:val="1F4E79"/>
          <w:spacing w:val="-2"/>
        </w:rPr>
        <w:t>Governance</w:t>
      </w:r>
    </w:p>
    <w:p>
      <w:pPr>
        <w:spacing w:before="301"/>
        <w:ind w:left="1009" w:right="0" w:firstLine="0"/>
        <w:jc w:val="left"/>
        <w:rPr>
          <w:rFonts w:ascii="Segoe UI"/>
          <w:b/>
          <w:sz w:val="24"/>
        </w:rPr>
      </w:pPr>
      <w:r>
        <w:rPr>
          <w:rFonts w:ascii="Segoe UI"/>
          <w:b/>
          <w:sz w:val="24"/>
        </w:rPr>
        <w:t>Stroke</w:t>
      </w:r>
      <w:r>
        <w:rPr>
          <w:rFonts w:ascii="Segoe UI"/>
          <w:b/>
          <w:spacing w:val="-7"/>
          <w:sz w:val="24"/>
        </w:rPr>
        <w:t> </w:t>
      </w:r>
      <w:r>
        <w:rPr>
          <w:rFonts w:ascii="Segoe UI"/>
          <w:b/>
          <w:sz w:val="24"/>
        </w:rPr>
        <w:t>Operational</w:t>
      </w:r>
      <w:r>
        <w:rPr>
          <w:rFonts w:ascii="Segoe UI"/>
          <w:b/>
          <w:spacing w:val="-5"/>
          <w:sz w:val="24"/>
        </w:rPr>
        <w:t> </w:t>
      </w:r>
      <w:r>
        <w:rPr>
          <w:rFonts w:ascii="Segoe UI"/>
          <w:b/>
          <w:sz w:val="24"/>
        </w:rPr>
        <w:t>Delivery</w:t>
      </w:r>
      <w:r>
        <w:rPr>
          <w:rFonts w:ascii="Segoe UI"/>
          <w:b/>
          <w:spacing w:val="-6"/>
          <w:sz w:val="24"/>
        </w:rPr>
        <w:t> </w:t>
      </w:r>
      <w:r>
        <w:rPr>
          <w:rFonts w:ascii="Segoe UI"/>
          <w:b/>
          <w:spacing w:val="-4"/>
          <w:sz w:val="24"/>
        </w:rPr>
        <w:t>Group</w:t>
      </w:r>
    </w:p>
    <w:p>
      <w:pPr>
        <w:pStyle w:val="BodyText"/>
        <w:spacing w:before="116"/>
        <w:ind w:left="1009" w:right="1086"/>
        <w:rPr>
          <w:rFonts w:ascii="Segoe UI"/>
        </w:rPr>
      </w:pPr>
      <w:r>
        <w:rPr>
          <w:rFonts w:ascii="Segoe UI"/>
        </w:rPr>
        <w:t>Day</w:t>
      </w:r>
      <w:r>
        <w:rPr>
          <w:rFonts w:ascii="Segoe UI"/>
          <w:spacing w:val="-4"/>
        </w:rPr>
        <w:t> </w:t>
      </w:r>
      <w:r>
        <w:rPr>
          <w:rFonts w:ascii="Segoe UI"/>
        </w:rPr>
        <w:t>to</w:t>
      </w:r>
      <w:r>
        <w:rPr>
          <w:rFonts w:ascii="Segoe UI"/>
          <w:spacing w:val="-4"/>
        </w:rPr>
        <w:t> </w:t>
      </w:r>
      <w:r>
        <w:rPr>
          <w:rFonts w:ascii="Segoe UI"/>
        </w:rPr>
        <w:t>day</w:t>
      </w:r>
      <w:r>
        <w:rPr>
          <w:rFonts w:ascii="Segoe UI"/>
          <w:spacing w:val="-4"/>
        </w:rPr>
        <w:t> </w:t>
      </w:r>
      <w:r>
        <w:rPr>
          <w:rFonts w:ascii="Segoe UI"/>
        </w:rPr>
        <w:t>management</w:t>
      </w:r>
      <w:r>
        <w:rPr>
          <w:rFonts w:ascii="Segoe UI"/>
          <w:spacing w:val="-5"/>
        </w:rPr>
        <w:t> </w:t>
      </w:r>
      <w:r>
        <w:rPr>
          <w:rFonts w:ascii="Segoe UI"/>
        </w:rPr>
        <w:t>of</w:t>
      </w:r>
      <w:r>
        <w:rPr>
          <w:rFonts w:ascii="Segoe UI"/>
          <w:spacing w:val="-4"/>
        </w:rPr>
        <w:t> </w:t>
      </w:r>
      <w:r>
        <w:rPr>
          <w:rFonts w:ascii="Segoe UI"/>
        </w:rPr>
        <w:t>delivery,</w:t>
      </w:r>
      <w:r>
        <w:rPr>
          <w:rFonts w:ascii="Segoe UI"/>
          <w:spacing w:val="-5"/>
        </w:rPr>
        <w:t> </w:t>
      </w:r>
      <w:r>
        <w:rPr>
          <w:rFonts w:ascii="Segoe UI"/>
        </w:rPr>
        <w:t>issues,</w:t>
      </w:r>
      <w:r>
        <w:rPr>
          <w:rFonts w:ascii="Segoe UI"/>
          <w:spacing w:val="-5"/>
        </w:rPr>
        <w:t> </w:t>
      </w:r>
      <w:r>
        <w:rPr>
          <w:rFonts w:ascii="Segoe UI"/>
        </w:rPr>
        <w:t>performance and</w:t>
      </w:r>
      <w:r>
        <w:rPr>
          <w:rFonts w:ascii="Segoe UI"/>
          <w:spacing w:val="-5"/>
        </w:rPr>
        <w:t> </w:t>
      </w:r>
      <w:r>
        <w:rPr>
          <w:rFonts w:ascii="Segoe UI"/>
        </w:rPr>
        <w:t>risk.</w:t>
      </w:r>
      <w:r>
        <w:rPr>
          <w:rFonts w:ascii="Segoe UI"/>
          <w:spacing w:val="40"/>
        </w:rPr>
        <w:t> </w:t>
      </w:r>
      <w:r>
        <w:rPr>
          <w:rFonts w:ascii="Segoe UI"/>
        </w:rPr>
        <w:t>Developing and delivering </w:t>
      </w:r>
      <w:r>
        <w:rPr>
          <w:rFonts w:ascii="Segoe UI"/>
          <w:spacing w:val="-2"/>
        </w:rPr>
        <w:t>plans.</w:t>
      </w:r>
    </w:p>
    <w:p>
      <w:pPr>
        <w:spacing w:before="242"/>
        <w:ind w:left="1009" w:right="0" w:firstLine="0"/>
        <w:jc w:val="left"/>
        <w:rPr>
          <w:rFonts w:ascii="Segoe UI"/>
          <w:b/>
          <w:sz w:val="24"/>
        </w:rPr>
      </w:pPr>
      <w:r>
        <w:rPr>
          <w:rFonts w:ascii="Segoe UI"/>
          <w:b/>
          <w:sz w:val="24"/>
        </w:rPr>
        <w:t>Stroke</w:t>
      </w:r>
      <w:r>
        <w:rPr>
          <w:rFonts w:ascii="Segoe UI"/>
          <w:b/>
          <w:spacing w:val="-5"/>
          <w:sz w:val="24"/>
        </w:rPr>
        <w:t> </w:t>
      </w:r>
      <w:r>
        <w:rPr>
          <w:rFonts w:ascii="Segoe UI"/>
          <w:b/>
          <w:sz w:val="24"/>
        </w:rPr>
        <w:t>Programme</w:t>
      </w:r>
      <w:r>
        <w:rPr>
          <w:rFonts w:ascii="Segoe UI"/>
          <w:b/>
          <w:spacing w:val="-3"/>
          <w:sz w:val="24"/>
        </w:rPr>
        <w:t> </w:t>
      </w:r>
      <w:r>
        <w:rPr>
          <w:rFonts w:ascii="Segoe UI"/>
          <w:b/>
          <w:spacing w:val="-4"/>
          <w:sz w:val="24"/>
        </w:rPr>
        <w:t>Board</w:t>
      </w:r>
    </w:p>
    <w:p>
      <w:pPr>
        <w:pStyle w:val="BodyText"/>
        <w:spacing w:before="121"/>
        <w:ind w:left="1009"/>
        <w:rPr>
          <w:rFonts w:ascii="Segoe UI"/>
        </w:rPr>
      </w:pPr>
      <w:r>
        <w:rPr>
          <w:rFonts w:ascii="Segoe UI"/>
        </w:rPr>
        <w:t>Project</w:t>
      </w:r>
      <w:r>
        <w:rPr>
          <w:rFonts w:ascii="Segoe UI"/>
          <w:spacing w:val="-9"/>
        </w:rPr>
        <w:t> </w:t>
      </w:r>
      <w:r>
        <w:rPr>
          <w:rFonts w:ascii="Segoe UI"/>
        </w:rPr>
        <w:t>oversight,</w:t>
      </w:r>
      <w:r>
        <w:rPr>
          <w:rFonts w:ascii="Segoe UI"/>
          <w:spacing w:val="-6"/>
        </w:rPr>
        <w:t> </w:t>
      </w:r>
      <w:r>
        <w:rPr>
          <w:rFonts w:ascii="Segoe UI"/>
        </w:rPr>
        <w:t>performance</w:t>
      </w:r>
      <w:r>
        <w:rPr>
          <w:rFonts w:ascii="Segoe UI"/>
          <w:spacing w:val="-1"/>
        </w:rPr>
        <w:t> </w:t>
      </w:r>
      <w:r>
        <w:rPr>
          <w:rFonts w:ascii="Segoe UI"/>
        </w:rPr>
        <w:t>management</w:t>
      </w:r>
      <w:r>
        <w:rPr>
          <w:rFonts w:ascii="Segoe UI"/>
          <w:spacing w:val="-2"/>
        </w:rPr>
        <w:t> </w:t>
      </w:r>
      <w:r>
        <w:rPr>
          <w:rFonts w:ascii="Segoe UI"/>
        </w:rPr>
        <w:t>and</w:t>
      </w:r>
      <w:r>
        <w:rPr>
          <w:rFonts w:ascii="Segoe UI"/>
          <w:spacing w:val="-6"/>
        </w:rPr>
        <w:t> </w:t>
      </w:r>
      <w:r>
        <w:rPr>
          <w:rFonts w:ascii="Segoe UI"/>
          <w:spacing w:val="-2"/>
        </w:rPr>
        <w:t>direction.</w:t>
      </w:r>
    </w:p>
    <w:p>
      <w:pPr>
        <w:spacing w:before="241"/>
        <w:ind w:left="1009" w:right="0" w:firstLine="0"/>
        <w:jc w:val="left"/>
        <w:rPr>
          <w:rFonts w:ascii="Segoe UI"/>
          <w:b/>
          <w:sz w:val="24"/>
        </w:rPr>
      </w:pPr>
      <w:r>
        <w:rPr>
          <w:rFonts w:ascii="Segoe UI"/>
          <w:b/>
          <w:sz w:val="24"/>
        </w:rPr>
        <w:t>Regional</w:t>
      </w:r>
      <w:r>
        <w:rPr>
          <w:rFonts w:ascii="Segoe UI"/>
          <w:b/>
          <w:spacing w:val="-5"/>
          <w:sz w:val="24"/>
        </w:rPr>
        <w:t> </w:t>
      </w:r>
      <w:r>
        <w:rPr>
          <w:rFonts w:ascii="Segoe UI"/>
          <w:b/>
          <w:sz w:val="24"/>
        </w:rPr>
        <w:t>Clinical</w:t>
      </w:r>
      <w:r>
        <w:rPr>
          <w:rFonts w:ascii="Segoe UI"/>
          <w:b/>
          <w:spacing w:val="-4"/>
          <w:sz w:val="24"/>
        </w:rPr>
        <w:t> </w:t>
      </w:r>
      <w:r>
        <w:rPr>
          <w:rFonts w:ascii="Segoe UI"/>
          <w:b/>
          <w:sz w:val="24"/>
        </w:rPr>
        <w:t>Services</w:t>
      </w:r>
      <w:r>
        <w:rPr>
          <w:rFonts w:ascii="Segoe UI"/>
          <w:b/>
          <w:spacing w:val="-6"/>
          <w:sz w:val="24"/>
        </w:rPr>
        <w:t> </w:t>
      </w:r>
      <w:r>
        <w:rPr>
          <w:rFonts w:ascii="Segoe UI"/>
          <w:b/>
          <w:sz w:val="24"/>
        </w:rPr>
        <w:t>Planning</w:t>
      </w:r>
      <w:r>
        <w:rPr>
          <w:rFonts w:ascii="Segoe UI"/>
          <w:b/>
          <w:spacing w:val="-5"/>
          <w:sz w:val="24"/>
        </w:rPr>
        <w:t> </w:t>
      </w:r>
      <w:r>
        <w:rPr>
          <w:rFonts w:ascii="Segoe UI"/>
          <w:b/>
          <w:spacing w:val="-4"/>
          <w:sz w:val="24"/>
        </w:rPr>
        <w:t>Group</w:t>
      </w:r>
    </w:p>
    <w:p>
      <w:pPr>
        <w:pStyle w:val="BodyText"/>
        <w:spacing w:before="121"/>
        <w:ind w:left="1009"/>
        <w:rPr>
          <w:rFonts w:ascii="Segoe UI"/>
        </w:rPr>
      </w:pPr>
      <w:r>
        <w:rPr>
          <w:rFonts w:ascii="Segoe UI"/>
        </w:rPr>
        <w:t>Strategic</w:t>
      </w:r>
      <w:r>
        <w:rPr>
          <w:rFonts w:ascii="Segoe UI"/>
          <w:spacing w:val="-7"/>
        </w:rPr>
        <w:t> </w:t>
      </w:r>
      <w:r>
        <w:rPr>
          <w:rFonts w:ascii="Segoe UI"/>
        </w:rPr>
        <w:t>direction</w:t>
      </w:r>
      <w:r>
        <w:rPr>
          <w:rFonts w:ascii="Segoe UI"/>
          <w:spacing w:val="-5"/>
        </w:rPr>
        <w:t> </w:t>
      </w:r>
      <w:r>
        <w:rPr>
          <w:rFonts w:ascii="Segoe UI"/>
        </w:rPr>
        <w:t>and assurance</w:t>
      </w:r>
      <w:r>
        <w:rPr>
          <w:rFonts w:ascii="Segoe UI"/>
          <w:spacing w:val="-4"/>
        </w:rPr>
        <w:t> </w:t>
      </w:r>
      <w:r>
        <w:rPr>
          <w:rFonts w:ascii="Segoe UI"/>
        </w:rPr>
        <w:t>to</w:t>
      </w:r>
      <w:r>
        <w:rPr>
          <w:rFonts w:ascii="Segoe UI"/>
          <w:spacing w:val="-4"/>
        </w:rPr>
        <w:t> </w:t>
      </w:r>
      <w:r>
        <w:rPr>
          <w:rFonts w:ascii="Segoe UI"/>
        </w:rPr>
        <w:t>the</w:t>
      </w:r>
      <w:r>
        <w:rPr>
          <w:rFonts w:ascii="Segoe UI"/>
          <w:spacing w:val="-4"/>
        </w:rPr>
        <w:t> </w:t>
      </w:r>
      <w:r>
        <w:rPr>
          <w:rFonts w:ascii="Segoe UI"/>
        </w:rPr>
        <w:t>Regional</w:t>
      </w:r>
      <w:r>
        <w:rPr>
          <w:rFonts w:ascii="Segoe UI"/>
          <w:spacing w:val="-2"/>
        </w:rPr>
        <w:t> </w:t>
      </w:r>
      <w:r>
        <w:rPr>
          <w:rFonts w:ascii="Segoe UI"/>
        </w:rPr>
        <w:t>Joint</w:t>
      </w:r>
      <w:r>
        <w:rPr>
          <w:rFonts w:ascii="Segoe UI"/>
          <w:spacing w:val="-5"/>
        </w:rPr>
        <w:t> </w:t>
      </w:r>
      <w:r>
        <w:rPr>
          <w:rFonts w:ascii="Segoe UI"/>
          <w:spacing w:val="-2"/>
        </w:rPr>
        <w:t>Committee.</w:t>
      </w:r>
    </w:p>
    <w:p>
      <w:pPr>
        <w:pStyle w:val="BodyText"/>
        <w:spacing w:before="162"/>
        <w:rPr>
          <w:rFonts w:ascii="Segoe UI"/>
        </w:rPr>
      </w:pPr>
    </w:p>
    <w:p>
      <w:pPr>
        <w:pStyle w:val="Heading3"/>
        <w:numPr>
          <w:ilvl w:val="0"/>
          <w:numId w:val="14"/>
        </w:numPr>
        <w:tabs>
          <w:tab w:pos="1009" w:val="left" w:leader="none"/>
        </w:tabs>
        <w:spacing w:line="240" w:lineRule="auto" w:before="0" w:after="0"/>
        <w:ind w:left="1009" w:right="0" w:hanging="565"/>
        <w:jc w:val="left"/>
      </w:pPr>
      <w:r>
        <w:rPr>
          <w:color w:val="1F4E79"/>
        </w:rPr>
        <w:t>Roles</w:t>
      </w:r>
      <w:r>
        <w:rPr>
          <w:color w:val="1F4E79"/>
          <w:spacing w:val="-2"/>
        </w:rPr>
        <w:t> </w:t>
      </w:r>
      <w:r>
        <w:rPr>
          <w:color w:val="1F4E79"/>
        </w:rPr>
        <w:t>and </w:t>
      </w:r>
      <w:r>
        <w:rPr>
          <w:color w:val="1F4E79"/>
          <w:spacing w:val="-2"/>
        </w:rPr>
        <w:t>Responsibilities</w:t>
      </w:r>
    </w:p>
    <w:p>
      <w:pPr>
        <w:pStyle w:val="BodyText"/>
        <w:spacing w:before="336"/>
        <w:ind w:left="1009"/>
        <w:rPr>
          <w:rFonts w:ascii="Segoe UI"/>
        </w:rPr>
      </w:pPr>
      <w:r>
        <w:rPr>
          <w:rFonts w:ascii="Segoe UI"/>
        </w:rPr>
        <w:t>A</w:t>
      </w:r>
      <w:r>
        <w:rPr>
          <w:rFonts w:ascii="Segoe UI"/>
          <w:spacing w:val="-4"/>
        </w:rPr>
        <w:t> </w:t>
      </w:r>
      <w:r>
        <w:rPr>
          <w:rFonts w:ascii="Segoe UI"/>
        </w:rPr>
        <w:t>table</w:t>
      </w:r>
      <w:r>
        <w:rPr>
          <w:rFonts w:ascii="Segoe UI"/>
          <w:spacing w:val="-4"/>
        </w:rPr>
        <w:t> </w:t>
      </w:r>
      <w:r>
        <w:rPr>
          <w:rFonts w:ascii="Segoe UI"/>
        </w:rPr>
        <w:t>of</w:t>
      </w:r>
      <w:r>
        <w:rPr>
          <w:rFonts w:ascii="Segoe UI"/>
          <w:spacing w:val="-3"/>
        </w:rPr>
        <w:t> </w:t>
      </w:r>
      <w:r>
        <w:rPr>
          <w:rFonts w:ascii="Segoe UI"/>
        </w:rPr>
        <w:t>key</w:t>
      </w:r>
      <w:r>
        <w:rPr>
          <w:rFonts w:ascii="Segoe UI"/>
          <w:spacing w:val="1"/>
        </w:rPr>
        <w:t> </w:t>
      </w:r>
      <w:r>
        <w:rPr>
          <w:rFonts w:ascii="Segoe UI"/>
        </w:rPr>
        <w:t>project</w:t>
      </w:r>
      <w:r>
        <w:rPr>
          <w:rFonts w:ascii="Segoe UI"/>
          <w:spacing w:val="-4"/>
        </w:rPr>
        <w:t> </w:t>
      </w:r>
      <w:r>
        <w:rPr>
          <w:rFonts w:ascii="Segoe UI"/>
        </w:rPr>
        <w:t>roles</w:t>
      </w:r>
      <w:r>
        <w:rPr>
          <w:rFonts w:ascii="Segoe UI"/>
          <w:spacing w:val="-6"/>
        </w:rPr>
        <w:t> </w:t>
      </w:r>
      <w:r>
        <w:rPr>
          <w:rFonts w:ascii="Segoe UI"/>
        </w:rPr>
        <w:t>and</w:t>
      </w:r>
      <w:r>
        <w:rPr>
          <w:rFonts w:ascii="Segoe UI"/>
          <w:spacing w:val="-4"/>
        </w:rPr>
        <w:t> </w:t>
      </w:r>
      <w:r>
        <w:rPr>
          <w:rFonts w:ascii="Segoe UI"/>
        </w:rPr>
        <w:t>responsibilities</w:t>
      </w:r>
      <w:r>
        <w:rPr>
          <w:rFonts w:ascii="Segoe UI"/>
          <w:spacing w:val="-6"/>
        </w:rPr>
        <w:t> </w:t>
      </w:r>
      <w:r>
        <w:rPr>
          <w:rFonts w:ascii="Segoe UI"/>
        </w:rPr>
        <w:t>is</w:t>
      </w:r>
      <w:r>
        <w:rPr>
          <w:rFonts w:ascii="Segoe UI"/>
          <w:spacing w:val="-4"/>
        </w:rPr>
        <w:t> </w:t>
      </w:r>
      <w:r>
        <w:rPr>
          <w:rFonts w:ascii="Segoe UI"/>
        </w:rPr>
        <w:t>provided</w:t>
      </w:r>
      <w:r>
        <w:rPr>
          <w:rFonts w:ascii="Segoe UI"/>
          <w:spacing w:val="-4"/>
        </w:rPr>
        <w:t> </w:t>
      </w:r>
      <w:r>
        <w:rPr>
          <w:rFonts w:ascii="Segoe UI"/>
        </w:rPr>
        <w:t>in</w:t>
      </w:r>
      <w:r>
        <w:rPr>
          <w:rFonts w:ascii="Segoe UI"/>
          <w:spacing w:val="-4"/>
        </w:rPr>
        <w:t> </w:t>
      </w:r>
      <w:r>
        <w:rPr>
          <w:rFonts w:ascii="Segoe UI"/>
        </w:rPr>
        <w:t>Appendix</w:t>
      </w:r>
      <w:r>
        <w:rPr>
          <w:rFonts w:ascii="Segoe UI"/>
          <w:spacing w:val="-2"/>
        </w:rPr>
        <w:t> </w:t>
      </w:r>
      <w:r>
        <w:rPr>
          <w:rFonts w:ascii="Segoe UI"/>
          <w:spacing w:val="-5"/>
        </w:rPr>
        <w:t>1.</w:t>
      </w:r>
    </w:p>
    <w:p>
      <w:pPr>
        <w:pStyle w:val="BodyText"/>
        <w:spacing w:before="162"/>
        <w:rPr>
          <w:rFonts w:ascii="Segoe UI"/>
        </w:rPr>
      </w:pPr>
    </w:p>
    <w:p>
      <w:pPr>
        <w:pStyle w:val="Heading3"/>
        <w:numPr>
          <w:ilvl w:val="0"/>
          <w:numId w:val="14"/>
        </w:numPr>
        <w:tabs>
          <w:tab w:pos="1007" w:val="left" w:leader="none"/>
        </w:tabs>
        <w:spacing w:line="240" w:lineRule="auto" w:before="0" w:after="0"/>
        <w:ind w:left="1007" w:right="0" w:hanging="563"/>
        <w:jc w:val="left"/>
      </w:pPr>
      <w:r>
        <w:rPr>
          <w:color w:val="1F4E79"/>
          <w:spacing w:val="-2"/>
        </w:rPr>
        <w:t>Budget</w:t>
      </w:r>
    </w:p>
    <w:p>
      <w:pPr>
        <w:pStyle w:val="BodyText"/>
        <w:spacing w:before="341"/>
        <w:ind w:left="1009" w:right="1041"/>
        <w:rPr>
          <w:rFonts w:ascii="Segoe UI"/>
        </w:rPr>
      </w:pPr>
      <w:r>
        <w:rPr>
          <w:rFonts w:ascii="Segoe UI"/>
        </w:rPr>
        <w:t>The Regional Stroke Programme does not have an allocated budget.</w:t>
      </w:r>
      <w:r>
        <w:rPr>
          <w:rFonts w:ascii="Segoe UI"/>
          <w:spacing w:val="40"/>
        </w:rPr>
        <w:t> </w:t>
      </w:r>
      <w:r>
        <w:rPr>
          <w:rFonts w:ascii="Segoe UI"/>
        </w:rPr>
        <w:t>Any funding requirement</w:t>
      </w:r>
      <w:r>
        <w:rPr>
          <w:rFonts w:ascii="Segoe UI"/>
          <w:spacing w:val="-6"/>
        </w:rPr>
        <w:t> </w:t>
      </w:r>
      <w:r>
        <w:rPr>
          <w:rFonts w:ascii="Segoe UI"/>
        </w:rPr>
        <w:t>will</w:t>
      </w:r>
      <w:r>
        <w:rPr>
          <w:rFonts w:ascii="Segoe UI"/>
          <w:spacing w:val="-3"/>
        </w:rPr>
        <w:t> </w:t>
      </w:r>
      <w:r>
        <w:rPr>
          <w:rFonts w:ascii="Segoe UI"/>
        </w:rPr>
        <w:t>be</w:t>
      </w:r>
      <w:r>
        <w:rPr>
          <w:rFonts w:ascii="Segoe UI"/>
          <w:spacing w:val="-5"/>
        </w:rPr>
        <w:t> </w:t>
      </w:r>
      <w:r>
        <w:rPr>
          <w:rFonts w:ascii="Segoe UI"/>
        </w:rPr>
        <w:t>subject</w:t>
      </w:r>
      <w:r>
        <w:rPr>
          <w:rFonts w:ascii="Segoe UI"/>
          <w:spacing w:val="-6"/>
        </w:rPr>
        <w:t> </w:t>
      </w:r>
      <w:r>
        <w:rPr>
          <w:rFonts w:ascii="Segoe UI"/>
        </w:rPr>
        <w:t>to separate</w:t>
      </w:r>
      <w:r>
        <w:rPr>
          <w:rFonts w:ascii="Segoe UI"/>
          <w:spacing w:val="-5"/>
        </w:rPr>
        <w:t> </w:t>
      </w:r>
      <w:r>
        <w:rPr>
          <w:rFonts w:ascii="Segoe UI"/>
        </w:rPr>
        <w:t>proposals.</w:t>
      </w:r>
      <w:r>
        <w:rPr>
          <w:rFonts w:ascii="Segoe UI"/>
          <w:spacing w:val="40"/>
        </w:rPr>
        <w:t> </w:t>
      </w:r>
      <w:r>
        <w:rPr>
          <w:rFonts w:ascii="Segoe UI"/>
        </w:rPr>
        <w:t>At</w:t>
      </w:r>
      <w:r>
        <w:rPr>
          <w:rFonts w:ascii="Segoe UI"/>
          <w:spacing w:val="-5"/>
        </w:rPr>
        <w:t> </w:t>
      </w:r>
      <w:r>
        <w:rPr>
          <w:rFonts w:ascii="Segoe UI"/>
        </w:rPr>
        <w:t>present,</w:t>
      </w:r>
      <w:r>
        <w:rPr>
          <w:rFonts w:ascii="Segoe UI"/>
          <w:spacing w:val="-2"/>
        </w:rPr>
        <w:t> </w:t>
      </w:r>
      <w:r>
        <w:rPr>
          <w:rFonts w:ascii="Segoe UI"/>
        </w:rPr>
        <w:t>programme</w:t>
      </w:r>
      <w:r>
        <w:rPr>
          <w:rFonts w:ascii="Segoe UI"/>
          <w:spacing w:val="-5"/>
        </w:rPr>
        <w:t> </w:t>
      </w:r>
      <w:r>
        <w:rPr>
          <w:rFonts w:ascii="Segoe UI"/>
        </w:rPr>
        <w:t>activities</w:t>
      </w:r>
      <w:r>
        <w:rPr>
          <w:rFonts w:ascii="Segoe UI"/>
          <w:spacing w:val="-7"/>
        </w:rPr>
        <w:t> </w:t>
      </w:r>
      <w:r>
        <w:rPr>
          <w:rFonts w:ascii="Segoe UI"/>
        </w:rPr>
        <w:t>are</w:t>
      </w:r>
      <w:r>
        <w:rPr>
          <w:rFonts w:ascii="Segoe UI"/>
          <w:spacing w:val="-5"/>
        </w:rPr>
        <w:t> </w:t>
      </w:r>
      <w:r>
        <w:rPr>
          <w:rFonts w:ascii="Segoe UI"/>
        </w:rPr>
        <w:t>being supported through existing regional programme resources and Health Board contributions.</w:t>
      </w:r>
    </w:p>
    <w:p>
      <w:pPr>
        <w:pStyle w:val="BodyText"/>
        <w:spacing w:before="282"/>
        <w:ind w:left="1009"/>
        <w:rPr>
          <w:rFonts w:ascii="Segoe UI"/>
        </w:rPr>
      </w:pPr>
      <w:r>
        <w:rPr>
          <w:rFonts w:ascii="Segoe UI"/>
        </w:rPr>
        <w:t>The</w:t>
      </w:r>
      <w:r>
        <w:rPr>
          <w:rFonts w:ascii="Segoe UI"/>
          <w:spacing w:val="-5"/>
        </w:rPr>
        <w:t> </w:t>
      </w:r>
      <w:r>
        <w:rPr>
          <w:rFonts w:ascii="Segoe UI"/>
        </w:rPr>
        <w:t>regional workshop</w:t>
      </w:r>
      <w:r>
        <w:rPr>
          <w:rFonts w:ascii="Segoe UI"/>
          <w:spacing w:val="-3"/>
        </w:rPr>
        <w:t> </w:t>
      </w:r>
      <w:r>
        <w:rPr>
          <w:rFonts w:ascii="Segoe UI"/>
        </w:rPr>
        <w:t>is</w:t>
      </w:r>
      <w:r>
        <w:rPr>
          <w:rFonts w:ascii="Segoe UI"/>
          <w:spacing w:val="-4"/>
        </w:rPr>
        <w:t> </w:t>
      </w:r>
      <w:r>
        <w:rPr>
          <w:rFonts w:ascii="Segoe UI"/>
        </w:rPr>
        <w:t>funded</w:t>
      </w:r>
      <w:r>
        <w:rPr>
          <w:rFonts w:ascii="Segoe UI"/>
          <w:spacing w:val="-3"/>
        </w:rPr>
        <w:t> </w:t>
      </w:r>
      <w:r>
        <w:rPr>
          <w:rFonts w:ascii="Segoe UI"/>
        </w:rPr>
        <w:t>in</w:t>
      </w:r>
      <w:r>
        <w:rPr>
          <w:rFonts w:ascii="Segoe UI"/>
          <w:spacing w:val="-2"/>
        </w:rPr>
        <w:t> </w:t>
      </w:r>
      <w:r>
        <w:rPr>
          <w:rFonts w:ascii="Segoe UI"/>
        </w:rPr>
        <w:t>full</w:t>
      </w:r>
      <w:r>
        <w:rPr>
          <w:rFonts w:ascii="Segoe UI"/>
          <w:spacing w:val="-1"/>
        </w:rPr>
        <w:t> </w:t>
      </w:r>
      <w:r>
        <w:rPr>
          <w:rFonts w:ascii="Segoe UI"/>
        </w:rPr>
        <w:t>by</w:t>
      </w:r>
      <w:r>
        <w:rPr>
          <w:rFonts w:ascii="Segoe UI"/>
          <w:spacing w:val="-2"/>
        </w:rPr>
        <w:t> </w:t>
      </w:r>
      <w:r>
        <w:rPr>
          <w:rFonts w:ascii="Segoe UI"/>
        </w:rPr>
        <w:t>the</w:t>
      </w:r>
      <w:r>
        <w:rPr>
          <w:rFonts w:ascii="Segoe UI"/>
          <w:spacing w:val="-2"/>
        </w:rPr>
        <w:t> </w:t>
      </w:r>
      <w:r>
        <w:rPr>
          <w:rFonts w:ascii="Segoe UI"/>
        </w:rPr>
        <w:t>Stroke</w:t>
      </w:r>
      <w:r>
        <w:rPr>
          <w:rFonts w:ascii="Segoe UI"/>
          <w:spacing w:val="-2"/>
        </w:rPr>
        <w:t> Association.</w:t>
      </w:r>
    </w:p>
    <w:p>
      <w:pPr>
        <w:pStyle w:val="BodyText"/>
        <w:rPr>
          <w:rFonts w:ascii="Segoe UI"/>
          <w:sz w:val="16"/>
        </w:rPr>
      </w:pPr>
    </w:p>
    <w:p>
      <w:pPr>
        <w:pStyle w:val="BodyText"/>
        <w:spacing w:before="198"/>
        <w:rPr>
          <w:rFonts w:ascii="Segoe UI"/>
          <w:sz w:val="16"/>
        </w:rPr>
      </w:pPr>
    </w:p>
    <w:p>
      <w:pPr>
        <w:spacing w:before="0"/>
        <w:ind w:left="60" w:right="57" w:firstLine="0"/>
        <w:jc w:val="center"/>
        <w:rPr>
          <w:rFonts w:ascii="Calibri"/>
          <w:sz w:val="16"/>
        </w:rPr>
      </w:pPr>
      <w:r>
        <w:rPr>
          <w:rFonts w:ascii="Calibri"/>
          <w:color w:val="787878"/>
          <w:w w:val="105"/>
          <w:sz w:val="16"/>
        </w:rPr>
        <w:t>Regional</w:t>
      </w:r>
      <w:r>
        <w:rPr>
          <w:rFonts w:ascii="Calibri"/>
          <w:color w:val="787878"/>
          <w:spacing w:val="-1"/>
          <w:w w:val="105"/>
          <w:sz w:val="16"/>
        </w:rPr>
        <w:t> </w:t>
      </w:r>
      <w:r>
        <w:rPr>
          <w:rFonts w:ascii="Calibri"/>
          <w:color w:val="787878"/>
          <w:w w:val="105"/>
          <w:sz w:val="16"/>
        </w:rPr>
        <w:t>Stroke</w:t>
      </w:r>
      <w:r>
        <w:rPr>
          <w:rFonts w:ascii="Calibri"/>
          <w:color w:val="787878"/>
          <w:spacing w:val="-4"/>
          <w:w w:val="105"/>
          <w:sz w:val="16"/>
        </w:rPr>
        <w:t> </w:t>
      </w:r>
      <w:r>
        <w:rPr>
          <w:rFonts w:ascii="Calibri"/>
          <w:color w:val="787878"/>
          <w:spacing w:val="-5"/>
          <w:w w:val="105"/>
          <w:sz w:val="16"/>
        </w:rPr>
        <w:t>PID</w:t>
      </w:r>
    </w:p>
    <w:p>
      <w:pPr>
        <w:spacing w:after="0"/>
        <w:jc w:val="center"/>
        <w:rPr>
          <w:rFonts w:ascii="Calibri"/>
          <w:sz w:val="16"/>
        </w:rPr>
        <w:sectPr>
          <w:pgSz w:w="12240" w:h="15840"/>
          <w:pgMar w:header="0" w:footer="147" w:top="140" w:bottom="340" w:left="141" w:right="141"/>
        </w:sectPr>
      </w:pPr>
    </w:p>
    <w:p>
      <w:pPr>
        <w:tabs>
          <w:tab w:pos="7483" w:val="left" w:leader="none"/>
        </w:tabs>
        <w:spacing w:line="240" w:lineRule="auto"/>
        <w:ind w:left="1586" w:right="0" w:firstLine="0"/>
        <w:rPr>
          <w:rFonts w:ascii="Calibri"/>
          <w:sz w:val="20"/>
        </w:rPr>
      </w:pPr>
      <w:r>
        <w:rPr>
          <w:rFonts w:ascii="Calibri"/>
          <w:position w:val="2"/>
          <w:sz w:val="20"/>
        </w:rPr>
        <w:drawing>
          <wp:inline distT="0" distB="0" distL="0" distR="0">
            <wp:extent cx="1870845" cy="475487"/>
            <wp:effectExtent l="0" t="0" r="0" b="0"/>
            <wp:docPr id="261" name="Image 261"/>
            <wp:cNvGraphicFramePr>
              <a:graphicFrameLocks/>
            </wp:cNvGraphicFramePr>
            <a:graphic>
              <a:graphicData uri="http://schemas.openxmlformats.org/drawingml/2006/picture">
                <pic:pic>
                  <pic:nvPicPr>
                    <pic:cNvPr id="261" name="Image 261"/>
                    <pic:cNvPicPr/>
                  </pic:nvPicPr>
                  <pic:blipFill>
                    <a:blip r:embed="rId58" cstate="print"/>
                    <a:stretch>
                      <a:fillRect/>
                    </a:stretch>
                  </pic:blipFill>
                  <pic:spPr>
                    <a:xfrm>
                      <a:off x="0" y="0"/>
                      <a:ext cx="1870845" cy="475487"/>
                    </a:xfrm>
                    <a:prstGeom prst="rect">
                      <a:avLst/>
                    </a:prstGeom>
                  </pic:spPr>
                </pic:pic>
              </a:graphicData>
            </a:graphic>
          </wp:inline>
        </w:drawing>
      </w:r>
      <w:r>
        <w:rPr>
          <w:rFonts w:ascii="Calibri"/>
          <w:position w:val="2"/>
          <w:sz w:val="20"/>
        </w:rPr>
      </w:r>
      <w:r>
        <w:rPr>
          <w:rFonts w:ascii="Calibri"/>
          <w:position w:val="2"/>
          <w:sz w:val="20"/>
        </w:rPr>
        <w:tab/>
      </w:r>
      <w:r>
        <w:rPr>
          <w:rFonts w:ascii="Calibri"/>
          <w:sz w:val="20"/>
        </w:rPr>
        <w:drawing>
          <wp:inline distT="0" distB="0" distL="0" distR="0">
            <wp:extent cx="1912332" cy="528066"/>
            <wp:effectExtent l="0" t="0" r="0" b="0"/>
            <wp:docPr id="262" name="Image 262"/>
            <wp:cNvGraphicFramePr>
              <a:graphicFrameLocks/>
            </wp:cNvGraphicFramePr>
            <a:graphic>
              <a:graphicData uri="http://schemas.openxmlformats.org/drawingml/2006/picture">
                <pic:pic>
                  <pic:nvPicPr>
                    <pic:cNvPr id="262" name="Image 262"/>
                    <pic:cNvPicPr/>
                  </pic:nvPicPr>
                  <pic:blipFill>
                    <a:blip r:embed="rId59" cstate="print"/>
                    <a:stretch>
                      <a:fillRect/>
                    </a:stretch>
                  </pic:blipFill>
                  <pic:spPr>
                    <a:xfrm>
                      <a:off x="0" y="0"/>
                      <a:ext cx="1912332" cy="528066"/>
                    </a:xfrm>
                    <a:prstGeom prst="rect">
                      <a:avLst/>
                    </a:prstGeom>
                  </pic:spPr>
                </pic:pic>
              </a:graphicData>
            </a:graphic>
          </wp:inline>
        </w:drawing>
      </w:r>
      <w:r>
        <w:rPr>
          <w:rFonts w:ascii="Calibri"/>
          <w:sz w:val="20"/>
        </w:rPr>
      </w:r>
    </w:p>
    <w:p>
      <w:pPr>
        <w:pStyle w:val="BodyText"/>
        <w:spacing w:before="53"/>
        <w:rPr>
          <w:rFonts w:ascii="Calibri"/>
          <w:sz w:val="30"/>
        </w:rPr>
      </w:pPr>
    </w:p>
    <w:p>
      <w:pPr>
        <w:pStyle w:val="Heading3"/>
        <w:numPr>
          <w:ilvl w:val="0"/>
          <w:numId w:val="14"/>
        </w:numPr>
        <w:tabs>
          <w:tab w:pos="1007" w:val="left" w:leader="none"/>
        </w:tabs>
        <w:spacing w:line="240" w:lineRule="auto" w:before="0" w:after="0"/>
        <w:ind w:left="1007" w:right="0" w:hanging="563"/>
        <w:jc w:val="left"/>
      </w:pPr>
      <w:r>
        <w:rPr>
          <w:color w:val="1F4E79"/>
          <w:spacing w:val="-2"/>
        </w:rPr>
        <w:t>Dependencies</w:t>
      </w:r>
    </w:p>
    <w:p>
      <w:pPr>
        <w:pStyle w:val="BodyText"/>
        <w:spacing w:before="7"/>
        <w:rPr>
          <w:rFonts w:ascii="Segoe UI"/>
          <w:b/>
          <w:sz w:val="13"/>
        </w:rPr>
      </w:pPr>
    </w:p>
    <w:tbl>
      <w:tblPr>
        <w:tblW w:w="0" w:type="auto"/>
        <w:jc w:val="left"/>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72"/>
        <w:gridCol w:w="6808"/>
        <w:gridCol w:w="1877"/>
      </w:tblGrid>
      <w:tr>
        <w:trPr>
          <w:trHeight w:val="435" w:hRule="atLeast"/>
        </w:trPr>
        <w:tc>
          <w:tcPr>
            <w:tcW w:w="2872" w:type="dxa"/>
            <w:shd w:val="clear" w:color="auto" w:fill="D9E1F3"/>
          </w:tcPr>
          <w:p>
            <w:pPr>
              <w:pStyle w:val="TableParagraph"/>
              <w:spacing w:before="56"/>
              <w:ind w:left="55"/>
              <w:rPr>
                <w:rFonts w:ascii="Segoe UI"/>
                <w:b/>
                <w:sz w:val="24"/>
              </w:rPr>
            </w:pPr>
            <w:r>
              <w:rPr>
                <w:rFonts w:ascii="Segoe UI"/>
                <w:b/>
                <w:color w:val="365F91"/>
                <w:spacing w:val="-2"/>
                <w:sz w:val="24"/>
              </w:rPr>
              <w:t>Dependencies</w:t>
            </w:r>
          </w:p>
        </w:tc>
        <w:tc>
          <w:tcPr>
            <w:tcW w:w="6808" w:type="dxa"/>
            <w:shd w:val="clear" w:color="auto" w:fill="D9E1F3"/>
          </w:tcPr>
          <w:p>
            <w:pPr>
              <w:pStyle w:val="TableParagraph"/>
              <w:spacing w:before="56"/>
              <w:ind w:left="59"/>
              <w:rPr>
                <w:rFonts w:ascii="Segoe UI"/>
                <w:b/>
                <w:sz w:val="24"/>
              </w:rPr>
            </w:pPr>
            <w:r>
              <w:rPr>
                <w:rFonts w:ascii="Segoe UI"/>
                <w:b/>
                <w:color w:val="365F91"/>
                <w:sz w:val="24"/>
              </w:rPr>
              <w:t>Impact</w:t>
            </w:r>
            <w:r>
              <w:rPr>
                <w:rFonts w:ascii="Segoe UI"/>
                <w:b/>
                <w:color w:val="365F91"/>
                <w:spacing w:val="-2"/>
                <w:sz w:val="24"/>
              </w:rPr>
              <w:t> </w:t>
            </w:r>
            <w:r>
              <w:rPr>
                <w:rFonts w:ascii="Segoe UI"/>
                <w:b/>
                <w:color w:val="365F91"/>
                <w:sz w:val="24"/>
              </w:rPr>
              <w:t>/</w:t>
            </w:r>
            <w:r>
              <w:rPr>
                <w:rFonts w:ascii="Segoe UI"/>
                <w:b/>
                <w:color w:val="365F91"/>
                <w:spacing w:val="-4"/>
                <w:sz w:val="24"/>
              </w:rPr>
              <w:t> </w:t>
            </w:r>
            <w:r>
              <w:rPr>
                <w:rFonts w:ascii="Segoe UI"/>
                <w:b/>
                <w:color w:val="365F91"/>
                <w:spacing w:val="-2"/>
                <w:sz w:val="24"/>
              </w:rPr>
              <w:t>relevance</w:t>
            </w:r>
          </w:p>
        </w:tc>
        <w:tc>
          <w:tcPr>
            <w:tcW w:w="1877" w:type="dxa"/>
            <w:shd w:val="clear" w:color="auto" w:fill="D9E1F3"/>
          </w:tcPr>
          <w:p>
            <w:pPr>
              <w:pStyle w:val="TableParagraph"/>
              <w:spacing w:before="56"/>
              <w:ind w:left="58"/>
              <w:rPr>
                <w:rFonts w:ascii="Segoe UI"/>
                <w:b/>
                <w:sz w:val="24"/>
              </w:rPr>
            </w:pPr>
            <w:r>
              <w:rPr>
                <w:rFonts w:ascii="Segoe UI"/>
                <w:b/>
                <w:color w:val="365F91"/>
                <w:spacing w:val="-2"/>
                <w:sz w:val="24"/>
              </w:rPr>
              <w:t>Owner</w:t>
            </w:r>
          </w:p>
        </w:tc>
      </w:tr>
      <w:tr>
        <w:trPr>
          <w:trHeight w:val="950" w:hRule="atLeast"/>
        </w:trPr>
        <w:tc>
          <w:tcPr>
            <w:tcW w:w="2872" w:type="dxa"/>
          </w:tcPr>
          <w:p>
            <w:pPr>
              <w:pStyle w:val="TableParagraph"/>
              <w:spacing w:before="53"/>
              <w:ind w:left="55"/>
              <w:rPr>
                <w:rFonts w:ascii="Segoe UI"/>
                <w:sz w:val="21"/>
              </w:rPr>
            </w:pPr>
            <w:r>
              <w:rPr>
                <w:rFonts w:ascii="Segoe UI"/>
                <w:sz w:val="21"/>
              </w:rPr>
              <w:t>There are currently no dependencies</w:t>
            </w:r>
            <w:r>
              <w:rPr>
                <w:rFonts w:ascii="Segoe UI"/>
                <w:spacing w:val="-15"/>
                <w:sz w:val="21"/>
              </w:rPr>
              <w:t> </w:t>
            </w:r>
            <w:r>
              <w:rPr>
                <w:rFonts w:ascii="Segoe UI"/>
                <w:sz w:val="21"/>
              </w:rPr>
              <w:t>on</w:t>
            </w:r>
            <w:r>
              <w:rPr>
                <w:rFonts w:ascii="Segoe UI"/>
                <w:spacing w:val="-14"/>
                <w:sz w:val="21"/>
              </w:rPr>
              <w:t> </w:t>
            </w:r>
            <w:r>
              <w:rPr>
                <w:rFonts w:ascii="Segoe UI"/>
                <w:sz w:val="21"/>
              </w:rPr>
              <w:t>programme </w:t>
            </w:r>
            <w:r>
              <w:rPr>
                <w:rFonts w:ascii="Segoe UI"/>
                <w:spacing w:val="-2"/>
                <w:sz w:val="21"/>
              </w:rPr>
              <w:t>delivery.</w:t>
            </w:r>
          </w:p>
        </w:tc>
        <w:tc>
          <w:tcPr>
            <w:tcW w:w="6808" w:type="dxa"/>
          </w:tcPr>
          <w:p>
            <w:pPr>
              <w:pStyle w:val="TableParagraph"/>
              <w:rPr>
                <w:rFonts w:ascii="Times New Roman"/>
                <w:sz w:val="20"/>
              </w:rPr>
            </w:pPr>
          </w:p>
        </w:tc>
        <w:tc>
          <w:tcPr>
            <w:tcW w:w="1877" w:type="dxa"/>
          </w:tcPr>
          <w:p>
            <w:pPr>
              <w:pStyle w:val="TableParagraph"/>
              <w:rPr>
                <w:rFonts w:ascii="Times New Roman"/>
                <w:sz w:val="20"/>
              </w:rPr>
            </w:pPr>
          </w:p>
        </w:tc>
      </w:tr>
    </w:tbl>
    <w:p>
      <w:pPr>
        <w:pStyle w:val="BodyText"/>
        <w:spacing w:before="83"/>
        <w:rPr>
          <w:rFonts w:ascii="Segoe UI"/>
          <w:b/>
          <w:sz w:val="30"/>
        </w:rPr>
      </w:pPr>
    </w:p>
    <w:p>
      <w:pPr>
        <w:pStyle w:val="Heading3"/>
        <w:numPr>
          <w:ilvl w:val="0"/>
          <w:numId w:val="14"/>
        </w:numPr>
        <w:tabs>
          <w:tab w:pos="1007" w:val="left" w:leader="none"/>
        </w:tabs>
        <w:spacing w:line="240" w:lineRule="auto" w:before="0" w:after="0"/>
        <w:ind w:left="1007" w:right="0" w:hanging="563"/>
        <w:jc w:val="left"/>
      </w:pPr>
      <w:r>
        <w:rPr>
          <w:color w:val="1F4E79"/>
        </w:rPr>
        <w:t>Risks</w:t>
      </w:r>
      <w:r>
        <w:rPr>
          <w:color w:val="1F4E79"/>
          <w:spacing w:val="-4"/>
        </w:rPr>
        <w:t> </w:t>
      </w:r>
      <w:r>
        <w:rPr>
          <w:color w:val="1F4E79"/>
        </w:rPr>
        <w:t>and</w:t>
      </w:r>
      <w:r>
        <w:rPr>
          <w:color w:val="1F4E79"/>
          <w:spacing w:val="-2"/>
        </w:rPr>
        <w:t> Mitigations</w:t>
      </w:r>
    </w:p>
    <w:p>
      <w:pPr>
        <w:pStyle w:val="BodyText"/>
        <w:spacing w:before="341"/>
        <w:ind w:left="1009"/>
        <w:rPr>
          <w:rFonts w:ascii="Segoe UI"/>
        </w:rPr>
      </w:pPr>
      <w:r>
        <w:rPr>
          <w:rFonts w:ascii="Segoe UI"/>
        </w:rPr>
        <w:t>Key</w:t>
      </w:r>
      <w:r>
        <w:rPr>
          <w:rFonts w:ascii="Segoe UI"/>
          <w:spacing w:val="-5"/>
        </w:rPr>
        <w:t> </w:t>
      </w:r>
      <w:r>
        <w:rPr>
          <w:rFonts w:ascii="Segoe UI"/>
        </w:rPr>
        <w:t>risks</w:t>
      </w:r>
      <w:r>
        <w:rPr>
          <w:rFonts w:ascii="Segoe UI"/>
          <w:spacing w:val="-4"/>
        </w:rPr>
        <w:t> </w:t>
      </w:r>
      <w:r>
        <w:rPr>
          <w:rFonts w:ascii="Segoe UI"/>
        </w:rPr>
        <w:t>to</w:t>
      </w:r>
      <w:r>
        <w:rPr>
          <w:rFonts w:ascii="Segoe UI"/>
          <w:spacing w:val="-3"/>
        </w:rPr>
        <w:t> </w:t>
      </w:r>
      <w:r>
        <w:rPr>
          <w:rFonts w:ascii="Segoe UI"/>
        </w:rPr>
        <w:t>programme</w:t>
      </w:r>
      <w:r>
        <w:rPr>
          <w:rFonts w:ascii="Segoe UI"/>
          <w:spacing w:val="1"/>
        </w:rPr>
        <w:t> </w:t>
      </w:r>
      <w:r>
        <w:rPr>
          <w:rFonts w:ascii="Segoe UI"/>
        </w:rPr>
        <w:t>delivery</w:t>
      </w:r>
      <w:r>
        <w:rPr>
          <w:rFonts w:ascii="Segoe UI"/>
          <w:spacing w:val="-3"/>
        </w:rPr>
        <w:t> </w:t>
      </w:r>
      <w:r>
        <w:rPr>
          <w:rFonts w:ascii="Segoe UI"/>
          <w:spacing w:val="-4"/>
        </w:rPr>
        <w:t>are:</w:t>
      </w:r>
    </w:p>
    <w:p>
      <w:pPr>
        <w:pStyle w:val="BodyText"/>
        <w:spacing w:before="13"/>
        <w:rPr>
          <w:rFonts w:ascii="Segoe UI"/>
          <w:sz w:val="20"/>
        </w:rPr>
      </w:pPr>
    </w:p>
    <w:tbl>
      <w:tblPr>
        <w:tblW w:w="0" w:type="auto"/>
        <w:jc w:val="left"/>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07"/>
        <w:gridCol w:w="1061"/>
        <w:gridCol w:w="4347"/>
        <w:gridCol w:w="2052"/>
      </w:tblGrid>
      <w:tr>
        <w:trPr>
          <w:trHeight w:val="430" w:hRule="atLeast"/>
        </w:trPr>
        <w:tc>
          <w:tcPr>
            <w:tcW w:w="4207" w:type="dxa"/>
            <w:shd w:val="clear" w:color="auto" w:fill="D9E1F3"/>
          </w:tcPr>
          <w:p>
            <w:pPr>
              <w:pStyle w:val="TableParagraph"/>
              <w:spacing w:before="56"/>
              <w:ind w:left="55"/>
              <w:rPr>
                <w:rFonts w:ascii="Segoe UI"/>
                <w:b/>
                <w:sz w:val="24"/>
              </w:rPr>
            </w:pPr>
            <w:r>
              <w:rPr>
                <w:rFonts w:ascii="Segoe UI"/>
                <w:b/>
                <w:color w:val="365F91"/>
                <w:spacing w:val="-4"/>
                <w:sz w:val="24"/>
              </w:rPr>
              <w:t>Risk</w:t>
            </w:r>
          </w:p>
        </w:tc>
        <w:tc>
          <w:tcPr>
            <w:tcW w:w="1061" w:type="dxa"/>
            <w:shd w:val="clear" w:color="auto" w:fill="D9E1F3"/>
          </w:tcPr>
          <w:p>
            <w:pPr>
              <w:pStyle w:val="TableParagraph"/>
              <w:spacing w:before="56"/>
              <w:ind w:left="60"/>
              <w:rPr>
                <w:rFonts w:ascii="Segoe UI"/>
                <w:b/>
                <w:sz w:val="24"/>
              </w:rPr>
            </w:pPr>
            <w:r>
              <w:rPr>
                <w:rFonts w:ascii="Segoe UI"/>
                <w:b/>
                <w:color w:val="365F91"/>
                <w:spacing w:val="-4"/>
                <w:sz w:val="24"/>
              </w:rPr>
              <w:t>Score</w:t>
            </w:r>
          </w:p>
        </w:tc>
        <w:tc>
          <w:tcPr>
            <w:tcW w:w="4347" w:type="dxa"/>
            <w:shd w:val="clear" w:color="auto" w:fill="D9E1F3"/>
          </w:tcPr>
          <w:p>
            <w:pPr>
              <w:pStyle w:val="TableParagraph"/>
              <w:spacing w:before="56"/>
              <w:ind w:left="59"/>
              <w:rPr>
                <w:rFonts w:ascii="Segoe UI"/>
                <w:b/>
                <w:sz w:val="24"/>
              </w:rPr>
            </w:pPr>
            <w:r>
              <w:rPr>
                <w:rFonts w:ascii="Segoe UI"/>
                <w:b/>
                <w:color w:val="365F91"/>
                <w:sz w:val="24"/>
              </w:rPr>
              <w:t>Mitigation</w:t>
            </w:r>
            <w:r>
              <w:rPr>
                <w:rFonts w:ascii="Segoe UI"/>
                <w:b/>
                <w:color w:val="365F91"/>
                <w:spacing w:val="-3"/>
                <w:sz w:val="24"/>
              </w:rPr>
              <w:t> </w:t>
            </w:r>
            <w:r>
              <w:rPr>
                <w:rFonts w:ascii="Segoe UI"/>
                <w:b/>
                <w:color w:val="365F91"/>
                <w:sz w:val="24"/>
              </w:rPr>
              <w:t>/</w:t>
            </w:r>
            <w:r>
              <w:rPr>
                <w:rFonts w:ascii="Segoe UI"/>
                <w:b/>
                <w:color w:val="365F91"/>
                <w:spacing w:val="-4"/>
                <w:sz w:val="24"/>
              </w:rPr>
              <w:t> </w:t>
            </w:r>
            <w:r>
              <w:rPr>
                <w:rFonts w:ascii="Segoe UI"/>
                <w:b/>
                <w:color w:val="365F91"/>
                <w:spacing w:val="-2"/>
                <w:sz w:val="24"/>
              </w:rPr>
              <w:t>response</w:t>
            </w:r>
          </w:p>
        </w:tc>
        <w:tc>
          <w:tcPr>
            <w:tcW w:w="2052" w:type="dxa"/>
            <w:shd w:val="clear" w:color="auto" w:fill="D9E1F3"/>
          </w:tcPr>
          <w:p>
            <w:pPr>
              <w:pStyle w:val="TableParagraph"/>
              <w:spacing w:before="56"/>
              <w:ind w:left="58"/>
              <w:rPr>
                <w:rFonts w:ascii="Segoe UI"/>
                <w:b/>
                <w:sz w:val="24"/>
              </w:rPr>
            </w:pPr>
            <w:r>
              <w:rPr>
                <w:rFonts w:ascii="Segoe UI"/>
                <w:b/>
                <w:color w:val="365F91"/>
                <w:spacing w:val="-2"/>
                <w:sz w:val="24"/>
              </w:rPr>
              <w:t>Owner</w:t>
            </w:r>
          </w:p>
        </w:tc>
      </w:tr>
      <w:tr>
        <w:trPr>
          <w:trHeight w:val="1790" w:hRule="atLeast"/>
        </w:trPr>
        <w:tc>
          <w:tcPr>
            <w:tcW w:w="4207" w:type="dxa"/>
          </w:tcPr>
          <w:p>
            <w:pPr>
              <w:pStyle w:val="TableParagraph"/>
              <w:spacing w:before="58"/>
              <w:ind w:left="55" w:right="136"/>
              <w:rPr>
                <w:rFonts w:ascii="Segoe UI" w:hAnsi="Segoe UI"/>
                <w:sz w:val="21"/>
              </w:rPr>
            </w:pPr>
            <w:r>
              <w:rPr>
                <w:rFonts w:ascii="Segoe UI" w:hAnsi="Segoe UI"/>
                <w:sz w:val="21"/>
              </w:rPr>
              <w:t>Programme management support – there has been no funding from programme management and national coordination since June 2026.</w:t>
            </w:r>
            <w:r>
              <w:rPr>
                <w:rFonts w:ascii="Segoe UI" w:hAnsi="Segoe UI"/>
                <w:spacing w:val="40"/>
                <w:sz w:val="21"/>
              </w:rPr>
              <w:t> </w:t>
            </w:r>
            <w:r>
              <w:rPr>
                <w:rFonts w:ascii="Segoe UI" w:hAnsi="Segoe UI"/>
                <w:sz w:val="21"/>
              </w:rPr>
              <w:t>Further funding currently seems</w:t>
            </w:r>
            <w:r>
              <w:rPr>
                <w:rFonts w:ascii="Segoe UI" w:hAnsi="Segoe UI"/>
                <w:spacing w:val="-5"/>
                <w:sz w:val="21"/>
              </w:rPr>
              <w:t> </w:t>
            </w:r>
            <w:r>
              <w:rPr>
                <w:rFonts w:ascii="Segoe UI" w:hAnsi="Segoe UI"/>
                <w:sz w:val="21"/>
              </w:rPr>
              <w:t>unlikely.</w:t>
            </w:r>
            <w:r>
              <w:rPr>
                <w:rFonts w:ascii="Segoe UI" w:hAnsi="Segoe UI"/>
                <w:spacing w:val="40"/>
                <w:sz w:val="21"/>
              </w:rPr>
              <w:t> </w:t>
            </w:r>
            <w:r>
              <w:rPr>
                <w:rFonts w:ascii="Segoe UI" w:hAnsi="Segoe UI"/>
                <w:sz w:val="21"/>
              </w:rPr>
              <w:t>Support</w:t>
            </w:r>
            <w:r>
              <w:rPr>
                <w:rFonts w:ascii="Segoe UI" w:hAnsi="Segoe UI"/>
                <w:spacing w:val="-6"/>
                <w:sz w:val="21"/>
              </w:rPr>
              <w:t> </w:t>
            </w:r>
            <w:r>
              <w:rPr>
                <w:rFonts w:ascii="Segoe UI" w:hAnsi="Segoe UI"/>
                <w:sz w:val="21"/>
              </w:rPr>
              <w:t>from</w:t>
            </w:r>
            <w:r>
              <w:rPr>
                <w:rFonts w:ascii="Segoe UI" w:hAnsi="Segoe UI"/>
                <w:spacing w:val="-6"/>
                <w:sz w:val="21"/>
              </w:rPr>
              <w:t> </w:t>
            </w:r>
            <w:r>
              <w:rPr>
                <w:rFonts w:ascii="Segoe UI" w:hAnsi="Segoe UI"/>
                <w:sz w:val="21"/>
              </w:rPr>
              <w:t>the</w:t>
            </w:r>
            <w:r>
              <w:rPr>
                <w:rFonts w:ascii="Segoe UI" w:hAnsi="Segoe UI"/>
                <w:spacing w:val="-5"/>
                <w:sz w:val="21"/>
              </w:rPr>
              <w:t> </w:t>
            </w:r>
            <w:r>
              <w:rPr>
                <w:rFonts w:ascii="Segoe UI" w:hAnsi="Segoe UI"/>
                <w:sz w:val="21"/>
              </w:rPr>
              <w:t>RJC</w:t>
            </w:r>
            <w:r>
              <w:rPr>
                <w:rFonts w:ascii="Segoe UI" w:hAnsi="Segoe UI"/>
                <w:spacing w:val="-10"/>
                <w:sz w:val="21"/>
              </w:rPr>
              <w:t> </w:t>
            </w:r>
            <w:r>
              <w:rPr>
                <w:rFonts w:ascii="Segoe UI" w:hAnsi="Segoe UI"/>
                <w:sz w:val="21"/>
              </w:rPr>
              <w:t>PMO cannot be sustained in the longer-term</w:t>
            </w:r>
          </w:p>
        </w:tc>
        <w:tc>
          <w:tcPr>
            <w:tcW w:w="1061" w:type="dxa"/>
          </w:tcPr>
          <w:p>
            <w:pPr>
              <w:pStyle w:val="TableParagraph"/>
              <w:spacing w:before="58"/>
              <w:ind w:left="60"/>
              <w:rPr>
                <w:rFonts w:ascii="Segoe UI"/>
                <w:sz w:val="21"/>
              </w:rPr>
            </w:pPr>
            <w:r>
              <w:rPr>
                <w:rFonts w:ascii="Segoe UI"/>
                <w:spacing w:val="-4"/>
                <w:sz w:val="21"/>
              </w:rPr>
              <w:t>High</w:t>
            </w:r>
          </w:p>
        </w:tc>
        <w:tc>
          <w:tcPr>
            <w:tcW w:w="4347" w:type="dxa"/>
          </w:tcPr>
          <w:p>
            <w:pPr>
              <w:pStyle w:val="TableParagraph"/>
              <w:spacing w:line="237" w:lineRule="auto" w:before="60"/>
              <w:ind w:left="59" w:right="127"/>
              <w:rPr>
                <w:rFonts w:ascii="Segoe UI"/>
                <w:sz w:val="21"/>
              </w:rPr>
            </w:pPr>
            <w:r>
              <w:rPr>
                <w:rFonts w:ascii="Segoe UI"/>
                <w:sz w:val="21"/>
              </w:rPr>
              <w:t>In</w:t>
            </w:r>
            <w:r>
              <w:rPr>
                <w:rFonts w:ascii="Segoe UI"/>
                <w:spacing w:val="-3"/>
                <w:sz w:val="21"/>
              </w:rPr>
              <w:t> </w:t>
            </w:r>
            <w:r>
              <w:rPr>
                <w:rFonts w:ascii="Segoe UI"/>
                <w:sz w:val="21"/>
              </w:rPr>
              <w:t>the</w:t>
            </w:r>
            <w:r>
              <w:rPr>
                <w:rFonts w:ascii="Segoe UI"/>
                <w:spacing w:val="-4"/>
                <w:sz w:val="21"/>
              </w:rPr>
              <w:t> </w:t>
            </w:r>
            <w:r>
              <w:rPr>
                <w:rFonts w:ascii="Segoe UI"/>
                <w:sz w:val="21"/>
              </w:rPr>
              <w:t>short</w:t>
            </w:r>
            <w:r>
              <w:rPr>
                <w:rFonts w:ascii="Segoe UI"/>
                <w:spacing w:val="-9"/>
                <w:sz w:val="21"/>
              </w:rPr>
              <w:t> </w:t>
            </w:r>
            <w:r>
              <w:rPr>
                <w:rFonts w:ascii="Segoe UI"/>
                <w:sz w:val="21"/>
              </w:rPr>
              <w:t>term</w:t>
            </w:r>
            <w:r>
              <w:rPr>
                <w:rFonts w:ascii="Segoe UI"/>
                <w:spacing w:val="-5"/>
                <w:sz w:val="21"/>
              </w:rPr>
              <w:t> </w:t>
            </w:r>
            <w:r>
              <w:rPr>
                <w:rFonts w:ascii="Segoe UI"/>
                <w:sz w:val="21"/>
              </w:rPr>
              <w:t>the</w:t>
            </w:r>
            <w:r>
              <w:rPr>
                <w:rFonts w:ascii="Segoe UI"/>
                <w:spacing w:val="-8"/>
                <w:sz w:val="21"/>
              </w:rPr>
              <w:t> </w:t>
            </w:r>
            <w:r>
              <w:rPr>
                <w:rFonts w:ascii="Segoe UI"/>
                <w:sz w:val="21"/>
              </w:rPr>
              <w:t>RJC</w:t>
            </w:r>
            <w:r>
              <w:rPr>
                <w:rFonts w:ascii="Segoe UI"/>
                <w:spacing w:val="-5"/>
                <w:sz w:val="21"/>
              </w:rPr>
              <w:t> </w:t>
            </w:r>
            <w:r>
              <w:rPr>
                <w:rFonts w:ascii="Segoe UI"/>
                <w:sz w:val="21"/>
              </w:rPr>
              <w:t>PMO</w:t>
            </w:r>
            <w:r>
              <w:rPr>
                <w:rFonts w:ascii="Segoe UI"/>
                <w:spacing w:val="-7"/>
                <w:sz w:val="21"/>
              </w:rPr>
              <w:t> </w:t>
            </w:r>
            <w:r>
              <w:rPr>
                <w:rFonts w:ascii="Segoe UI"/>
                <w:sz w:val="21"/>
              </w:rPr>
              <w:t>is</w:t>
            </w:r>
            <w:r>
              <w:rPr>
                <w:rFonts w:ascii="Segoe UI"/>
                <w:spacing w:val="-3"/>
                <w:sz w:val="21"/>
              </w:rPr>
              <w:t> </w:t>
            </w:r>
            <w:r>
              <w:rPr>
                <w:rFonts w:ascii="Segoe UI"/>
                <w:sz w:val="21"/>
              </w:rPr>
              <w:t>committed to supporting this phase of the project and developing a proposal.</w:t>
            </w:r>
          </w:p>
          <w:p>
            <w:pPr>
              <w:pStyle w:val="TableParagraph"/>
              <w:spacing w:before="4"/>
              <w:ind w:left="59" w:right="646"/>
              <w:jc w:val="both"/>
              <w:rPr>
                <w:rFonts w:ascii="Segoe UI"/>
                <w:sz w:val="21"/>
              </w:rPr>
            </w:pPr>
            <w:r>
              <w:rPr>
                <w:rFonts w:ascii="Segoe UI"/>
                <w:sz w:val="21"/>
              </w:rPr>
              <w:t>Engagement</w:t>
            </w:r>
            <w:r>
              <w:rPr>
                <w:rFonts w:ascii="Segoe UI"/>
                <w:spacing w:val="-8"/>
                <w:sz w:val="21"/>
              </w:rPr>
              <w:t> </w:t>
            </w:r>
            <w:r>
              <w:rPr>
                <w:rFonts w:ascii="Segoe UI"/>
                <w:sz w:val="21"/>
              </w:rPr>
              <w:t>with</w:t>
            </w:r>
            <w:r>
              <w:rPr>
                <w:rFonts w:ascii="Segoe UI"/>
                <w:spacing w:val="-6"/>
                <w:sz w:val="21"/>
              </w:rPr>
              <w:t> </w:t>
            </w:r>
            <w:r>
              <w:rPr>
                <w:rFonts w:ascii="Segoe UI"/>
                <w:sz w:val="21"/>
              </w:rPr>
              <w:t>the</w:t>
            </w:r>
            <w:r>
              <w:rPr>
                <w:rFonts w:ascii="Segoe UI"/>
                <w:spacing w:val="-7"/>
                <w:sz w:val="21"/>
              </w:rPr>
              <w:t> </w:t>
            </w:r>
            <w:r>
              <w:rPr>
                <w:rFonts w:ascii="Segoe UI"/>
                <w:sz w:val="21"/>
              </w:rPr>
              <w:t>national</w:t>
            </w:r>
            <w:r>
              <w:rPr>
                <w:rFonts w:ascii="Segoe UI"/>
                <w:spacing w:val="-8"/>
                <w:sz w:val="21"/>
              </w:rPr>
              <w:t> </w:t>
            </w:r>
            <w:r>
              <w:rPr>
                <w:rFonts w:ascii="Segoe UI"/>
                <w:sz w:val="21"/>
              </w:rPr>
              <w:t>team</w:t>
            </w:r>
            <w:r>
              <w:rPr>
                <w:rFonts w:ascii="Segoe UI"/>
                <w:spacing w:val="-8"/>
                <w:sz w:val="21"/>
              </w:rPr>
              <w:t> </w:t>
            </w:r>
            <w:r>
              <w:rPr>
                <w:rFonts w:ascii="Segoe UI"/>
                <w:sz w:val="21"/>
              </w:rPr>
              <w:t>for programme management funding and </w:t>
            </w:r>
            <w:r>
              <w:rPr>
                <w:rFonts w:ascii="Segoe UI"/>
                <w:spacing w:val="-2"/>
                <w:sz w:val="21"/>
              </w:rPr>
              <w:t>support.</w:t>
            </w:r>
          </w:p>
        </w:tc>
        <w:tc>
          <w:tcPr>
            <w:tcW w:w="2052" w:type="dxa"/>
          </w:tcPr>
          <w:p>
            <w:pPr>
              <w:pStyle w:val="TableParagraph"/>
              <w:spacing w:before="58"/>
              <w:ind w:left="58"/>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r>
      <w:tr>
        <w:trPr>
          <w:trHeight w:val="1790" w:hRule="atLeast"/>
        </w:trPr>
        <w:tc>
          <w:tcPr>
            <w:tcW w:w="4207" w:type="dxa"/>
          </w:tcPr>
          <w:p>
            <w:pPr>
              <w:pStyle w:val="TableParagraph"/>
              <w:spacing w:before="58"/>
              <w:ind w:left="55"/>
              <w:rPr>
                <w:rFonts w:ascii="Segoe UI"/>
                <w:sz w:val="21"/>
              </w:rPr>
            </w:pPr>
            <w:r>
              <w:rPr>
                <w:rFonts w:ascii="Segoe UI"/>
                <w:sz w:val="21"/>
              </w:rPr>
              <w:t>The</w:t>
            </w:r>
            <w:r>
              <w:rPr>
                <w:rFonts w:ascii="Segoe UI"/>
                <w:spacing w:val="-8"/>
                <w:sz w:val="21"/>
              </w:rPr>
              <w:t> </w:t>
            </w:r>
            <w:r>
              <w:rPr>
                <w:rFonts w:ascii="Segoe UI"/>
                <w:sz w:val="21"/>
              </w:rPr>
              <w:t>National</w:t>
            </w:r>
            <w:r>
              <w:rPr>
                <w:rFonts w:ascii="Segoe UI"/>
                <w:spacing w:val="-9"/>
                <w:sz w:val="21"/>
              </w:rPr>
              <w:t> </w:t>
            </w:r>
            <w:r>
              <w:rPr>
                <w:rFonts w:ascii="Segoe UI"/>
                <w:sz w:val="21"/>
              </w:rPr>
              <w:t>Programme</w:t>
            </w:r>
            <w:r>
              <w:rPr>
                <w:rFonts w:ascii="Segoe UI"/>
                <w:spacing w:val="-8"/>
                <w:sz w:val="21"/>
              </w:rPr>
              <w:t> </w:t>
            </w:r>
            <w:r>
              <w:rPr>
                <w:rFonts w:ascii="Segoe UI"/>
                <w:sz w:val="21"/>
              </w:rPr>
              <w:t>team</w:t>
            </w:r>
            <w:r>
              <w:rPr>
                <w:rFonts w:ascii="Segoe UI"/>
                <w:spacing w:val="-9"/>
                <w:sz w:val="21"/>
              </w:rPr>
              <w:t> </w:t>
            </w:r>
            <w:r>
              <w:rPr>
                <w:rFonts w:ascii="Segoe UI"/>
                <w:sz w:val="21"/>
              </w:rPr>
              <w:t>have</w:t>
            </w:r>
            <w:r>
              <w:rPr>
                <w:rFonts w:ascii="Segoe UI"/>
                <w:spacing w:val="-9"/>
                <w:sz w:val="21"/>
              </w:rPr>
              <w:t> </w:t>
            </w:r>
            <w:r>
              <w:rPr>
                <w:rFonts w:ascii="Segoe UI"/>
                <w:sz w:val="21"/>
              </w:rPr>
              <w:t>been developing plans independently of the regional</w:t>
            </w:r>
            <w:r>
              <w:rPr>
                <w:rFonts w:ascii="Segoe UI"/>
                <w:spacing w:val="-4"/>
                <w:sz w:val="21"/>
              </w:rPr>
              <w:t> </w:t>
            </w:r>
            <w:r>
              <w:rPr>
                <w:rFonts w:ascii="Segoe UI"/>
                <w:sz w:val="21"/>
              </w:rPr>
              <w:t>local</w:t>
            </w:r>
            <w:r>
              <w:rPr>
                <w:rFonts w:ascii="Segoe UI"/>
                <w:spacing w:val="-4"/>
                <w:sz w:val="21"/>
              </w:rPr>
              <w:t> </w:t>
            </w:r>
            <w:r>
              <w:rPr>
                <w:rFonts w:ascii="Segoe UI"/>
                <w:sz w:val="21"/>
              </w:rPr>
              <w:t>teams.</w:t>
            </w:r>
            <w:r>
              <w:rPr>
                <w:rFonts w:ascii="Segoe UI"/>
                <w:spacing w:val="40"/>
                <w:sz w:val="21"/>
              </w:rPr>
              <w:t> </w:t>
            </w:r>
            <w:r>
              <w:rPr>
                <w:rFonts w:ascii="Segoe UI"/>
                <w:sz w:val="21"/>
              </w:rPr>
              <w:t>This</w:t>
            </w:r>
            <w:r>
              <w:rPr>
                <w:rFonts w:ascii="Segoe UI"/>
                <w:spacing w:val="-7"/>
                <w:sz w:val="21"/>
              </w:rPr>
              <w:t> </w:t>
            </w:r>
            <w:r>
              <w:rPr>
                <w:rFonts w:ascii="Segoe UI"/>
                <w:sz w:val="21"/>
              </w:rPr>
              <w:t>includes</w:t>
            </w:r>
            <w:r>
              <w:rPr>
                <w:rFonts w:ascii="Segoe UI"/>
                <w:spacing w:val="-7"/>
                <w:sz w:val="21"/>
              </w:rPr>
              <w:t> </w:t>
            </w:r>
            <w:r>
              <w:rPr>
                <w:rFonts w:ascii="Segoe UI"/>
                <w:sz w:val="21"/>
              </w:rPr>
              <w:t>Stroke being a strong contender for being a pathfinder</w:t>
            </w:r>
            <w:r>
              <w:rPr>
                <w:rFonts w:ascii="Segoe UI"/>
                <w:spacing w:val="-6"/>
                <w:sz w:val="21"/>
              </w:rPr>
              <w:t> </w:t>
            </w:r>
            <w:r>
              <w:rPr>
                <w:rFonts w:ascii="Segoe UI"/>
                <w:sz w:val="21"/>
              </w:rPr>
              <w:t>project</w:t>
            </w:r>
            <w:r>
              <w:rPr>
                <w:rFonts w:ascii="Segoe UI"/>
                <w:spacing w:val="-8"/>
                <w:sz w:val="21"/>
              </w:rPr>
              <w:t> </w:t>
            </w:r>
            <w:r>
              <w:rPr>
                <w:rFonts w:ascii="Segoe UI"/>
                <w:sz w:val="21"/>
              </w:rPr>
              <w:t>for</w:t>
            </w:r>
            <w:r>
              <w:rPr>
                <w:rFonts w:ascii="Segoe UI"/>
                <w:spacing w:val="-6"/>
                <w:sz w:val="21"/>
              </w:rPr>
              <w:t> </w:t>
            </w:r>
            <w:r>
              <w:rPr>
                <w:rFonts w:ascii="Segoe UI"/>
                <w:sz w:val="21"/>
              </w:rPr>
              <w:t>the</w:t>
            </w:r>
            <w:r>
              <w:rPr>
                <w:rFonts w:ascii="Segoe UI"/>
                <w:spacing w:val="-12"/>
                <w:sz w:val="21"/>
              </w:rPr>
              <w:t> </w:t>
            </w:r>
            <w:r>
              <w:rPr>
                <w:rFonts w:ascii="Segoe UI"/>
                <w:sz w:val="21"/>
              </w:rPr>
              <w:t>national</w:t>
            </w:r>
            <w:r>
              <w:rPr>
                <w:rFonts w:ascii="Segoe UI"/>
                <w:spacing w:val="-3"/>
                <w:sz w:val="21"/>
              </w:rPr>
              <w:t> </w:t>
            </w:r>
            <w:r>
              <w:rPr>
                <w:rFonts w:ascii="Segoe UI"/>
                <w:sz w:val="21"/>
              </w:rPr>
              <w:t>Service Change</w:t>
            </w:r>
            <w:r>
              <w:rPr>
                <w:rFonts w:ascii="Segoe UI"/>
                <w:spacing w:val="-2"/>
                <w:sz w:val="21"/>
              </w:rPr>
              <w:t> </w:t>
            </w:r>
            <w:r>
              <w:rPr>
                <w:rFonts w:ascii="Segoe UI"/>
                <w:sz w:val="21"/>
              </w:rPr>
              <w:t>Operating</w:t>
            </w:r>
            <w:r>
              <w:rPr>
                <w:rFonts w:ascii="Segoe UI"/>
                <w:spacing w:val="-4"/>
                <w:sz w:val="21"/>
              </w:rPr>
              <w:t> </w:t>
            </w:r>
            <w:r>
              <w:rPr>
                <w:rFonts w:ascii="Segoe UI"/>
                <w:sz w:val="21"/>
              </w:rPr>
              <w:t>Framework</w:t>
            </w:r>
            <w:r>
              <w:rPr>
                <w:rFonts w:ascii="Segoe UI"/>
                <w:spacing w:val="-6"/>
                <w:sz w:val="21"/>
              </w:rPr>
              <w:t> </w:t>
            </w:r>
            <w:r>
              <w:rPr>
                <w:rFonts w:ascii="Segoe UI"/>
                <w:sz w:val="21"/>
              </w:rPr>
              <w:t>T&amp;F</w:t>
            </w:r>
            <w:r>
              <w:rPr>
                <w:rFonts w:ascii="Segoe UI"/>
                <w:spacing w:val="1"/>
                <w:sz w:val="21"/>
              </w:rPr>
              <w:t> </w:t>
            </w:r>
            <w:r>
              <w:rPr>
                <w:rFonts w:ascii="Segoe UI"/>
                <w:spacing w:val="-4"/>
                <w:sz w:val="21"/>
              </w:rPr>
              <w:t>Group</w:t>
            </w:r>
          </w:p>
        </w:tc>
        <w:tc>
          <w:tcPr>
            <w:tcW w:w="1061" w:type="dxa"/>
          </w:tcPr>
          <w:p>
            <w:pPr>
              <w:pStyle w:val="TableParagraph"/>
              <w:spacing w:before="58"/>
              <w:ind w:left="60"/>
              <w:rPr>
                <w:rFonts w:ascii="Segoe UI"/>
                <w:sz w:val="21"/>
              </w:rPr>
            </w:pPr>
            <w:r>
              <w:rPr>
                <w:rFonts w:ascii="Segoe UI"/>
                <w:spacing w:val="-5"/>
                <w:sz w:val="21"/>
              </w:rPr>
              <w:t>Med</w:t>
            </w:r>
          </w:p>
        </w:tc>
        <w:tc>
          <w:tcPr>
            <w:tcW w:w="4347" w:type="dxa"/>
          </w:tcPr>
          <w:p>
            <w:pPr>
              <w:pStyle w:val="TableParagraph"/>
              <w:spacing w:line="235" w:lineRule="auto" w:before="63"/>
              <w:ind w:left="59"/>
              <w:rPr>
                <w:rFonts w:ascii="Segoe UI"/>
                <w:sz w:val="21"/>
              </w:rPr>
            </w:pPr>
            <w:r>
              <w:rPr>
                <w:rFonts w:ascii="Segoe UI"/>
                <w:sz w:val="21"/>
              </w:rPr>
              <w:t>Maintain</w:t>
            </w:r>
            <w:r>
              <w:rPr>
                <w:rFonts w:ascii="Segoe UI"/>
                <w:spacing w:val="-8"/>
                <w:sz w:val="21"/>
              </w:rPr>
              <w:t> </w:t>
            </w:r>
            <w:r>
              <w:rPr>
                <w:rFonts w:ascii="Segoe UI"/>
                <w:sz w:val="21"/>
              </w:rPr>
              <w:t>connection</w:t>
            </w:r>
            <w:r>
              <w:rPr>
                <w:rFonts w:ascii="Segoe UI"/>
                <w:spacing w:val="-8"/>
                <w:sz w:val="21"/>
              </w:rPr>
              <w:t> </w:t>
            </w:r>
            <w:r>
              <w:rPr>
                <w:rFonts w:ascii="Segoe UI"/>
                <w:sz w:val="21"/>
              </w:rPr>
              <w:t>with</w:t>
            </w:r>
            <w:r>
              <w:rPr>
                <w:rFonts w:ascii="Segoe UI"/>
                <w:spacing w:val="-8"/>
                <w:sz w:val="21"/>
              </w:rPr>
              <w:t> </w:t>
            </w:r>
            <w:r>
              <w:rPr>
                <w:rFonts w:ascii="Segoe UI"/>
                <w:sz w:val="21"/>
              </w:rPr>
              <w:t>national</w:t>
            </w:r>
            <w:r>
              <w:rPr>
                <w:rFonts w:ascii="Segoe UI"/>
                <w:spacing w:val="-10"/>
                <w:sz w:val="21"/>
              </w:rPr>
              <w:t> </w:t>
            </w:r>
            <w:r>
              <w:rPr>
                <w:rFonts w:ascii="Segoe UI"/>
                <w:sz w:val="21"/>
              </w:rPr>
              <w:t>team</w:t>
            </w:r>
            <w:r>
              <w:rPr>
                <w:rFonts w:ascii="Segoe UI"/>
                <w:spacing w:val="-10"/>
                <w:sz w:val="21"/>
              </w:rPr>
              <w:t> </w:t>
            </w:r>
            <w:r>
              <w:rPr>
                <w:rFonts w:ascii="Segoe UI"/>
                <w:sz w:val="21"/>
              </w:rPr>
              <w:t>to influence planning.</w:t>
            </w:r>
          </w:p>
          <w:p>
            <w:pPr>
              <w:pStyle w:val="TableParagraph"/>
              <w:spacing w:before="3"/>
              <w:ind w:left="59"/>
              <w:rPr>
                <w:rFonts w:ascii="Segoe UI"/>
                <w:sz w:val="21"/>
              </w:rPr>
            </w:pPr>
            <w:r>
              <w:rPr>
                <w:rFonts w:ascii="Segoe UI"/>
                <w:sz w:val="21"/>
              </w:rPr>
              <w:t>Member</w:t>
            </w:r>
            <w:r>
              <w:rPr>
                <w:rFonts w:ascii="Segoe UI"/>
                <w:spacing w:val="-8"/>
                <w:sz w:val="21"/>
              </w:rPr>
              <w:t> </w:t>
            </w:r>
            <w:r>
              <w:rPr>
                <w:rFonts w:ascii="Segoe UI"/>
                <w:sz w:val="21"/>
              </w:rPr>
              <w:t>of</w:t>
            </w:r>
            <w:r>
              <w:rPr>
                <w:rFonts w:ascii="Segoe UI"/>
                <w:spacing w:val="-7"/>
                <w:sz w:val="21"/>
              </w:rPr>
              <w:t> </w:t>
            </w:r>
            <w:r>
              <w:rPr>
                <w:rFonts w:ascii="Segoe UI"/>
                <w:sz w:val="21"/>
              </w:rPr>
              <w:t>the</w:t>
            </w:r>
            <w:r>
              <w:rPr>
                <w:rFonts w:ascii="Segoe UI"/>
                <w:spacing w:val="-10"/>
                <w:sz w:val="21"/>
              </w:rPr>
              <w:t> </w:t>
            </w:r>
            <w:r>
              <w:rPr>
                <w:rFonts w:ascii="Segoe UI"/>
                <w:sz w:val="21"/>
              </w:rPr>
              <w:t>national</w:t>
            </w:r>
            <w:r>
              <w:rPr>
                <w:rFonts w:ascii="Segoe UI"/>
                <w:spacing w:val="-3"/>
                <w:sz w:val="21"/>
              </w:rPr>
              <w:t> </w:t>
            </w:r>
            <w:r>
              <w:rPr>
                <w:rFonts w:ascii="Segoe UI"/>
                <w:sz w:val="21"/>
              </w:rPr>
              <w:t>Service</w:t>
            </w:r>
            <w:r>
              <w:rPr>
                <w:rFonts w:ascii="Segoe UI"/>
                <w:spacing w:val="-6"/>
                <w:sz w:val="21"/>
              </w:rPr>
              <w:t> </w:t>
            </w:r>
            <w:r>
              <w:rPr>
                <w:rFonts w:ascii="Segoe UI"/>
                <w:sz w:val="21"/>
              </w:rPr>
              <w:t>Change Operating Framework T&amp;F Group</w:t>
            </w:r>
          </w:p>
        </w:tc>
        <w:tc>
          <w:tcPr>
            <w:tcW w:w="2052" w:type="dxa"/>
          </w:tcPr>
          <w:p>
            <w:pPr>
              <w:pStyle w:val="TableParagraph"/>
              <w:spacing w:before="58"/>
              <w:ind w:left="58"/>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r>
      <w:tr>
        <w:trPr>
          <w:trHeight w:val="1235" w:hRule="atLeast"/>
        </w:trPr>
        <w:tc>
          <w:tcPr>
            <w:tcW w:w="4207" w:type="dxa"/>
          </w:tcPr>
          <w:p>
            <w:pPr>
              <w:pStyle w:val="TableParagraph"/>
              <w:spacing w:line="235" w:lineRule="auto" w:before="63"/>
              <w:ind w:left="55"/>
              <w:rPr>
                <w:rFonts w:ascii="Segoe UI"/>
                <w:sz w:val="21"/>
              </w:rPr>
            </w:pPr>
            <w:r>
              <w:rPr>
                <w:rFonts w:ascii="Segoe UI"/>
                <w:sz w:val="21"/>
              </w:rPr>
              <w:t>Hywel</w:t>
            </w:r>
            <w:r>
              <w:rPr>
                <w:rFonts w:ascii="Segoe UI"/>
                <w:spacing w:val="-7"/>
                <w:sz w:val="21"/>
              </w:rPr>
              <w:t> </w:t>
            </w:r>
            <w:r>
              <w:rPr>
                <w:rFonts w:ascii="Segoe UI"/>
                <w:sz w:val="21"/>
              </w:rPr>
              <w:t>Dda</w:t>
            </w:r>
            <w:r>
              <w:rPr>
                <w:rFonts w:ascii="Segoe UI"/>
                <w:spacing w:val="-8"/>
                <w:sz w:val="21"/>
              </w:rPr>
              <w:t> </w:t>
            </w:r>
            <w:r>
              <w:rPr>
                <w:rFonts w:ascii="Segoe UI"/>
                <w:sz w:val="21"/>
              </w:rPr>
              <w:t>CSP.</w:t>
            </w:r>
            <w:r>
              <w:rPr>
                <w:rFonts w:ascii="Segoe UI"/>
                <w:spacing w:val="40"/>
                <w:sz w:val="21"/>
              </w:rPr>
              <w:t> </w:t>
            </w:r>
            <w:r>
              <w:rPr>
                <w:rFonts w:ascii="Segoe UI"/>
                <w:sz w:val="21"/>
              </w:rPr>
              <w:t>Regional</w:t>
            </w:r>
            <w:r>
              <w:rPr>
                <w:rFonts w:ascii="Segoe UI"/>
                <w:spacing w:val="-7"/>
                <w:sz w:val="21"/>
              </w:rPr>
              <w:t> </w:t>
            </w:r>
            <w:r>
              <w:rPr>
                <w:rFonts w:ascii="Segoe UI"/>
                <w:sz w:val="21"/>
              </w:rPr>
              <w:t>ambitions</w:t>
            </w:r>
            <w:r>
              <w:rPr>
                <w:rFonts w:ascii="Segoe UI"/>
                <w:spacing w:val="-9"/>
                <w:sz w:val="21"/>
              </w:rPr>
              <w:t> </w:t>
            </w:r>
            <w:r>
              <w:rPr>
                <w:rFonts w:ascii="Segoe UI"/>
                <w:sz w:val="21"/>
              </w:rPr>
              <w:t>may challenge or affect Hywel Dda CSP.</w:t>
            </w:r>
          </w:p>
        </w:tc>
        <w:tc>
          <w:tcPr>
            <w:tcW w:w="1061" w:type="dxa"/>
          </w:tcPr>
          <w:p>
            <w:pPr>
              <w:pStyle w:val="TableParagraph"/>
              <w:spacing w:before="58"/>
              <w:ind w:left="60"/>
              <w:rPr>
                <w:rFonts w:ascii="Segoe UI"/>
                <w:sz w:val="21"/>
              </w:rPr>
            </w:pPr>
            <w:r>
              <w:rPr>
                <w:rFonts w:ascii="Segoe UI"/>
                <w:spacing w:val="-5"/>
                <w:sz w:val="21"/>
              </w:rPr>
              <w:t>Low</w:t>
            </w:r>
          </w:p>
        </w:tc>
        <w:tc>
          <w:tcPr>
            <w:tcW w:w="4347" w:type="dxa"/>
          </w:tcPr>
          <w:p>
            <w:pPr>
              <w:pStyle w:val="TableParagraph"/>
              <w:spacing w:before="58"/>
              <w:ind w:left="59" w:right="230"/>
              <w:jc w:val="both"/>
              <w:rPr>
                <w:rFonts w:ascii="Segoe UI"/>
                <w:sz w:val="21"/>
              </w:rPr>
            </w:pPr>
            <w:r>
              <w:rPr>
                <w:rFonts w:ascii="Segoe UI"/>
                <w:sz w:val="21"/>
              </w:rPr>
              <w:t>Avoid developing</w:t>
            </w:r>
            <w:r>
              <w:rPr>
                <w:rFonts w:ascii="Segoe UI"/>
                <w:spacing w:val="-3"/>
                <w:sz w:val="21"/>
              </w:rPr>
              <w:t> </w:t>
            </w:r>
            <w:r>
              <w:rPr>
                <w:rFonts w:ascii="Segoe UI"/>
                <w:sz w:val="21"/>
              </w:rPr>
              <w:t>regional</w:t>
            </w:r>
            <w:r>
              <w:rPr>
                <w:rFonts w:ascii="Segoe UI"/>
                <w:spacing w:val="-5"/>
                <w:sz w:val="21"/>
              </w:rPr>
              <w:t> </w:t>
            </w:r>
            <w:r>
              <w:rPr>
                <w:rFonts w:ascii="Segoe UI"/>
                <w:sz w:val="21"/>
              </w:rPr>
              <w:t>solution</w:t>
            </w:r>
            <w:r>
              <w:rPr>
                <w:rFonts w:ascii="Segoe UI"/>
                <w:spacing w:val="-3"/>
                <w:sz w:val="21"/>
              </w:rPr>
              <w:t> </w:t>
            </w:r>
            <w:r>
              <w:rPr>
                <w:rFonts w:ascii="Segoe UI"/>
                <w:sz w:val="21"/>
              </w:rPr>
              <w:t>that are in conflict</w:t>
            </w:r>
            <w:r>
              <w:rPr>
                <w:rFonts w:ascii="Segoe UI"/>
                <w:spacing w:val="-2"/>
                <w:sz w:val="21"/>
              </w:rPr>
              <w:t> </w:t>
            </w:r>
            <w:r>
              <w:rPr>
                <w:rFonts w:ascii="Segoe UI"/>
                <w:sz w:val="21"/>
              </w:rPr>
              <w:t>with the</w:t>
            </w:r>
            <w:r>
              <w:rPr>
                <w:rFonts w:ascii="Segoe UI"/>
                <w:spacing w:val="-1"/>
                <w:sz w:val="21"/>
              </w:rPr>
              <w:t> </w:t>
            </w:r>
            <w:r>
              <w:rPr>
                <w:rFonts w:ascii="Segoe UI"/>
                <w:sz w:val="21"/>
              </w:rPr>
              <w:t>Hywel</w:t>
            </w:r>
            <w:r>
              <w:rPr>
                <w:rFonts w:ascii="Segoe UI"/>
                <w:spacing w:val="-2"/>
                <w:sz w:val="21"/>
              </w:rPr>
              <w:t> </w:t>
            </w:r>
            <w:r>
              <w:rPr>
                <w:rFonts w:ascii="Segoe UI"/>
                <w:sz w:val="21"/>
              </w:rPr>
              <w:t>Dda</w:t>
            </w:r>
            <w:r>
              <w:rPr>
                <w:rFonts w:ascii="Segoe UI"/>
                <w:spacing w:val="-3"/>
                <w:sz w:val="21"/>
              </w:rPr>
              <w:t> </w:t>
            </w:r>
            <w:r>
              <w:rPr>
                <w:rFonts w:ascii="Segoe UI"/>
                <w:sz w:val="21"/>
              </w:rPr>
              <w:t>CSP.</w:t>
            </w:r>
            <w:r>
              <w:rPr>
                <w:rFonts w:ascii="Segoe UI"/>
                <w:spacing w:val="40"/>
                <w:sz w:val="21"/>
              </w:rPr>
              <w:t> </w:t>
            </w:r>
            <w:r>
              <w:rPr>
                <w:rFonts w:ascii="Segoe UI"/>
                <w:sz w:val="21"/>
              </w:rPr>
              <w:t>Include representative</w:t>
            </w:r>
            <w:r>
              <w:rPr>
                <w:rFonts w:ascii="Segoe UI"/>
                <w:spacing w:val="-7"/>
                <w:sz w:val="21"/>
              </w:rPr>
              <w:t> </w:t>
            </w:r>
            <w:r>
              <w:rPr>
                <w:rFonts w:ascii="Segoe UI"/>
                <w:sz w:val="21"/>
              </w:rPr>
              <w:t>from</w:t>
            </w:r>
            <w:r>
              <w:rPr>
                <w:rFonts w:ascii="Segoe UI"/>
                <w:spacing w:val="-7"/>
                <w:sz w:val="21"/>
              </w:rPr>
              <w:t> </w:t>
            </w:r>
            <w:r>
              <w:rPr>
                <w:rFonts w:ascii="Segoe UI"/>
                <w:sz w:val="21"/>
              </w:rPr>
              <w:t>Hywel</w:t>
            </w:r>
            <w:r>
              <w:rPr>
                <w:rFonts w:ascii="Segoe UI"/>
                <w:spacing w:val="-7"/>
                <w:sz w:val="21"/>
              </w:rPr>
              <w:t> </w:t>
            </w:r>
            <w:r>
              <w:rPr>
                <w:rFonts w:ascii="Segoe UI"/>
                <w:sz w:val="21"/>
              </w:rPr>
              <w:t>Dda</w:t>
            </w:r>
            <w:r>
              <w:rPr>
                <w:rFonts w:ascii="Segoe UI"/>
                <w:spacing w:val="-8"/>
                <w:sz w:val="21"/>
              </w:rPr>
              <w:t> </w:t>
            </w:r>
            <w:r>
              <w:rPr>
                <w:rFonts w:ascii="Segoe UI"/>
                <w:sz w:val="21"/>
              </w:rPr>
              <w:t>CSP</w:t>
            </w:r>
            <w:r>
              <w:rPr>
                <w:rFonts w:ascii="Segoe UI"/>
                <w:spacing w:val="-4"/>
                <w:sz w:val="21"/>
              </w:rPr>
              <w:t> </w:t>
            </w:r>
            <w:r>
              <w:rPr>
                <w:rFonts w:ascii="Segoe UI"/>
                <w:sz w:val="21"/>
              </w:rPr>
              <w:t>team</w:t>
            </w:r>
            <w:r>
              <w:rPr>
                <w:rFonts w:ascii="Segoe UI"/>
                <w:spacing w:val="-7"/>
                <w:sz w:val="21"/>
              </w:rPr>
              <w:t> </w:t>
            </w:r>
            <w:r>
              <w:rPr>
                <w:rFonts w:ascii="Segoe UI"/>
                <w:sz w:val="21"/>
              </w:rPr>
              <w:t>in options development and analysis.</w:t>
            </w:r>
          </w:p>
        </w:tc>
        <w:tc>
          <w:tcPr>
            <w:tcW w:w="2052" w:type="dxa"/>
          </w:tcPr>
          <w:p>
            <w:pPr>
              <w:pStyle w:val="TableParagraph"/>
              <w:spacing w:before="58"/>
              <w:ind w:left="58"/>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r>
      <w:tr>
        <w:trPr>
          <w:trHeight w:val="1510" w:hRule="atLeast"/>
        </w:trPr>
        <w:tc>
          <w:tcPr>
            <w:tcW w:w="4207" w:type="dxa"/>
          </w:tcPr>
          <w:p>
            <w:pPr>
              <w:pStyle w:val="TableParagraph"/>
              <w:spacing w:before="53"/>
              <w:ind w:left="55" w:right="1074"/>
              <w:rPr>
                <w:rFonts w:ascii="Segoe UI"/>
                <w:sz w:val="21"/>
              </w:rPr>
            </w:pPr>
            <w:r>
              <w:rPr>
                <w:rFonts w:ascii="Segoe UI"/>
                <w:sz w:val="21"/>
              </w:rPr>
              <w:t>Operational</w:t>
            </w:r>
            <w:r>
              <w:rPr>
                <w:rFonts w:ascii="Segoe UI"/>
                <w:spacing w:val="-12"/>
                <w:sz w:val="21"/>
              </w:rPr>
              <w:t> </w:t>
            </w:r>
            <w:r>
              <w:rPr>
                <w:rFonts w:ascii="Segoe UI"/>
                <w:sz w:val="21"/>
              </w:rPr>
              <w:t>and</w:t>
            </w:r>
            <w:r>
              <w:rPr>
                <w:rFonts w:ascii="Segoe UI"/>
                <w:spacing w:val="-14"/>
                <w:sz w:val="21"/>
              </w:rPr>
              <w:t> </w:t>
            </w:r>
            <w:r>
              <w:rPr>
                <w:rFonts w:ascii="Segoe UI"/>
                <w:sz w:val="21"/>
              </w:rPr>
              <w:t>Clinical</w:t>
            </w:r>
            <w:r>
              <w:rPr>
                <w:rFonts w:ascii="Segoe UI"/>
                <w:spacing w:val="-12"/>
                <w:sz w:val="21"/>
              </w:rPr>
              <w:t> </w:t>
            </w:r>
            <w:r>
              <w:rPr>
                <w:rFonts w:ascii="Segoe UI"/>
                <w:sz w:val="21"/>
              </w:rPr>
              <w:t>resource availability challenges.</w:t>
            </w:r>
          </w:p>
        </w:tc>
        <w:tc>
          <w:tcPr>
            <w:tcW w:w="1061" w:type="dxa"/>
          </w:tcPr>
          <w:p>
            <w:pPr>
              <w:pStyle w:val="TableParagraph"/>
              <w:spacing w:before="53"/>
              <w:ind w:left="60"/>
              <w:rPr>
                <w:rFonts w:ascii="Segoe UI"/>
                <w:sz w:val="21"/>
              </w:rPr>
            </w:pPr>
            <w:r>
              <w:rPr>
                <w:rFonts w:ascii="Segoe UI"/>
                <w:spacing w:val="-5"/>
                <w:sz w:val="21"/>
              </w:rPr>
              <w:t>Med</w:t>
            </w:r>
          </w:p>
        </w:tc>
        <w:tc>
          <w:tcPr>
            <w:tcW w:w="4347" w:type="dxa"/>
          </w:tcPr>
          <w:p>
            <w:pPr>
              <w:pStyle w:val="TableParagraph"/>
              <w:spacing w:before="53"/>
              <w:ind w:left="59"/>
              <w:rPr>
                <w:rFonts w:ascii="Segoe UI"/>
                <w:sz w:val="21"/>
              </w:rPr>
            </w:pPr>
            <w:r>
              <w:rPr>
                <w:rFonts w:ascii="Segoe UI"/>
                <w:sz w:val="21"/>
              </w:rPr>
              <w:t>Build</w:t>
            </w:r>
            <w:r>
              <w:rPr>
                <w:rFonts w:ascii="Segoe UI"/>
                <w:spacing w:val="-1"/>
                <w:sz w:val="21"/>
              </w:rPr>
              <w:t> </w:t>
            </w:r>
            <w:r>
              <w:rPr>
                <w:rFonts w:ascii="Segoe UI"/>
                <w:sz w:val="21"/>
              </w:rPr>
              <w:t>programme</w:t>
            </w:r>
            <w:r>
              <w:rPr>
                <w:rFonts w:ascii="Segoe UI"/>
                <w:spacing w:val="-1"/>
                <w:sz w:val="21"/>
              </w:rPr>
              <w:t> </w:t>
            </w:r>
            <w:r>
              <w:rPr>
                <w:rFonts w:ascii="Segoe UI"/>
                <w:sz w:val="21"/>
              </w:rPr>
              <w:t>plans</w:t>
            </w:r>
            <w:r>
              <w:rPr>
                <w:rFonts w:ascii="Segoe UI"/>
                <w:spacing w:val="-5"/>
                <w:sz w:val="21"/>
              </w:rPr>
              <w:t> </w:t>
            </w:r>
            <w:r>
              <w:rPr>
                <w:rFonts w:ascii="Segoe UI"/>
                <w:sz w:val="21"/>
              </w:rPr>
              <w:t>around</w:t>
            </w:r>
            <w:r>
              <w:rPr>
                <w:rFonts w:ascii="Segoe UI"/>
                <w:spacing w:val="-4"/>
                <w:sz w:val="21"/>
              </w:rPr>
              <w:t> </w:t>
            </w:r>
            <w:r>
              <w:rPr>
                <w:rFonts w:ascii="Segoe UI"/>
                <w:spacing w:val="-2"/>
                <w:sz w:val="21"/>
              </w:rPr>
              <w:t>operational</w:t>
            </w:r>
          </w:p>
          <w:p>
            <w:pPr>
              <w:pStyle w:val="TableParagraph"/>
              <w:spacing w:before="1"/>
              <w:ind w:left="59"/>
              <w:rPr>
                <w:rFonts w:ascii="Segoe UI" w:hAnsi="Segoe UI"/>
                <w:sz w:val="21"/>
              </w:rPr>
            </w:pPr>
            <w:r>
              <w:rPr>
                <w:rFonts w:ascii="Segoe UI" w:hAnsi="Segoe UI"/>
                <w:sz w:val="21"/>
              </w:rPr>
              <w:t>and</w:t>
            </w:r>
            <w:r>
              <w:rPr>
                <w:rFonts w:ascii="Segoe UI" w:hAnsi="Segoe UI"/>
                <w:spacing w:val="-3"/>
                <w:sz w:val="21"/>
              </w:rPr>
              <w:t> </w:t>
            </w:r>
            <w:r>
              <w:rPr>
                <w:rFonts w:ascii="Segoe UI" w:hAnsi="Segoe UI"/>
                <w:sz w:val="21"/>
              </w:rPr>
              <w:t>clinical</w:t>
            </w:r>
            <w:r>
              <w:rPr>
                <w:rFonts w:ascii="Segoe UI" w:hAnsi="Segoe UI"/>
                <w:spacing w:val="-5"/>
                <w:sz w:val="21"/>
              </w:rPr>
              <w:t> </w:t>
            </w:r>
            <w:r>
              <w:rPr>
                <w:rFonts w:ascii="Segoe UI" w:hAnsi="Segoe UI"/>
                <w:sz w:val="21"/>
              </w:rPr>
              <w:t>teams’ </w:t>
            </w:r>
            <w:r>
              <w:rPr>
                <w:rFonts w:ascii="Segoe UI" w:hAnsi="Segoe UI"/>
                <w:spacing w:val="-2"/>
                <w:sz w:val="21"/>
              </w:rPr>
              <w:t>availability.</w:t>
            </w:r>
          </w:p>
          <w:p>
            <w:pPr>
              <w:pStyle w:val="TableParagraph"/>
              <w:spacing w:line="237" w:lineRule="auto" w:before="3"/>
              <w:ind w:left="59" w:right="127"/>
              <w:rPr>
                <w:rFonts w:ascii="Segoe UI"/>
                <w:sz w:val="21"/>
              </w:rPr>
            </w:pPr>
            <w:r>
              <w:rPr>
                <w:rFonts w:ascii="Segoe UI"/>
                <w:sz w:val="21"/>
              </w:rPr>
              <w:t>Maintain pressure on delivering against targets</w:t>
            </w:r>
            <w:r>
              <w:rPr>
                <w:rFonts w:ascii="Segoe UI"/>
                <w:spacing w:val="-6"/>
                <w:sz w:val="21"/>
              </w:rPr>
              <w:t> </w:t>
            </w:r>
            <w:r>
              <w:rPr>
                <w:rFonts w:ascii="Segoe UI"/>
                <w:sz w:val="21"/>
              </w:rPr>
              <w:t>through</w:t>
            </w:r>
            <w:r>
              <w:rPr>
                <w:rFonts w:ascii="Segoe UI"/>
                <w:spacing w:val="-10"/>
                <w:sz w:val="21"/>
              </w:rPr>
              <w:t> </w:t>
            </w:r>
            <w:r>
              <w:rPr>
                <w:rFonts w:ascii="Segoe UI"/>
                <w:sz w:val="21"/>
              </w:rPr>
              <w:t>programme</w:t>
            </w:r>
            <w:r>
              <w:rPr>
                <w:rFonts w:ascii="Segoe UI"/>
                <w:spacing w:val="-6"/>
                <w:sz w:val="21"/>
              </w:rPr>
              <w:t> </w:t>
            </w:r>
            <w:r>
              <w:rPr>
                <w:rFonts w:ascii="Segoe UI"/>
                <w:sz w:val="21"/>
              </w:rPr>
              <w:t>boards</w:t>
            </w:r>
            <w:r>
              <w:rPr>
                <w:rFonts w:ascii="Segoe UI"/>
                <w:spacing w:val="40"/>
                <w:sz w:val="21"/>
              </w:rPr>
              <w:t> </w:t>
            </w:r>
            <w:r>
              <w:rPr>
                <w:rFonts w:ascii="Segoe UI"/>
                <w:sz w:val="21"/>
              </w:rPr>
              <w:t>and operation group meetings</w:t>
            </w:r>
          </w:p>
        </w:tc>
        <w:tc>
          <w:tcPr>
            <w:tcW w:w="2052" w:type="dxa"/>
          </w:tcPr>
          <w:p>
            <w:pPr>
              <w:pStyle w:val="TableParagraph"/>
              <w:spacing w:before="53"/>
              <w:ind w:left="58"/>
              <w:rPr>
                <w:rFonts w:ascii="Segoe UI" w:hAnsi="Segoe UI"/>
                <w:sz w:val="21"/>
              </w:rPr>
            </w:pPr>
            <w:r>
              <w:rPr>
                <w:rFonts w:ascii="Segoe UI" w:hAnsi="Segoe UI"/>
                <w:sz w:val="21"/>
              </w:rPr>
              <w:t>Siôn</w:t>
            </w:r>
            <w:r>
              <w:rPr>
                <w:rFonts w:ascii="Segoe UI" w:hAnsi="Segoe UI"/>
                <w:spacing w:val="60"/>
                <w:sz w:val="21"/>
              </w:rPr>
              <w:t> </w:t>
            </w:r>
            <w:r>
              <w:rPr>
                <w:rFonts w:ascii="Segoe UI" w:hAnsi="Segoe UI"/>
                <w:spacing w:val="-2"/>
                <w:sz w:val="21"/>
              </w:rPr>
              <w:t>Charles</w:t>
            </w:r>
          </w:p>
        </w:tc>
      </w:tr>
      <w:tr>
        <w:trPr>
          <w:trHeight w:val="1510" w:hRule="atLeast"/>
        </w:trPr>
        <w:tc>
          <w:tcPr>
            <w:tcW w:w="4207" w:type="dxa"/>
          </w:tcPr>
          <w:p>
            <w:pPr>
              <w:pStyle w:val="TableParagraph"/>
              <w:spacing w:before="53"/>
              <w:ind w:left="55"/>
              <w:rPr>
                <w:rFonts w:ascii="Segoe UI"/>
                <w:sz w:val="21"/>
              </w:rPr>
            </w:pPr>
            <w:r>
              <w:rPr>
                <w:rFonts w:ascii="Segoe UI"/>
                <w:sz w:val="21"/>
              </w:rPr>
              <w:t>Stakeholder</w:t>
            </w:r>
            <w:r>
              <w:rPr>
                <w:rFonts w:ascii="Segoe UI"/>
                <w:spacing w:val="-11"/>
                <w:sz w:val="21"/>
              </w:rPr>
              <w:t> </w:t>
            </w:r>
            <w:r>
              <w:rPr>
                <w:rFonts w:ascii="Segoe UI"/>
                <w:sz w:val="21"/>
              </w:rPr>
              <w:t>engagement</w:t>
            </w:r>
            <w:r>
              <w:rPr>
                <w:rFonts w:ascii="Segoe UI"/>
                <w:spacing w:val="-15"/>
                <w:sz w:val="21"/>
              </w:rPr>
              <w:t> </w:t>
            </w:r>
            <w:r>
              <w:rPr>
                <w:rFonts w:ascii="Segoe UI"/>
                <w:sz w:val="21"/>
              </w:rPr>
              <w:t>and</w:t>
            </w:r>
            <w:r>
              <w:rPr>
                <w:rFonts w:ascii="Segoe UI"/>
                <w:spacing w:val="-14"/>
                <w:sz w:val="21"/>
              </w:rPr>
              <w:t> </w:t>
            </w:r>
            <w:r>
              <w:rPr>
                <w:rFonts w:ascii="Segoe UI"/>
                <w:sz w:val="21"/>
              </w:rPr>
              <w:t>decision </w:t>
            </w:r>
            <w:r>
              <w:rPr>
                <w:rFonts w:ascii="Segoe UI"/>
                <w:spacing w:val="-2"/>
                <w:sz w:val="21"/>
              </w:rPr>
              <w:t>making.</w:t>
            </w:r>
          </w:p>
        </w:tc>
        <w:tc>
          <w:tcPr>
            <w:tcW w:w="1061" w:type="dxa"/>
          </w:tcPr>
          <w:p>
            <w:pPr>
              <w:pStyle w:val="TableParagraph"/>
              <w:spacing w:before="53"/>
              <w:ind w:left="60"/>
              <w:rPr>
                <w:rFonts w:ascii="Segoe UI"/>
                <w:sz w:val="21"/>
              </w:rPr>
            </w:pPr>
            <w:r>
              <w:rPr>
                <w:rFonts w:ascii="Segoe UI"/>
                <w:spacing w:val="-5"/>
                <w:sz w:val="21"/>
              </w:rPr>
              <w:t>Med</w:t>
            </w:r>
          </w:p>
        </w:tc>
        <w:tc>
          <w:tcPr>
            <w:tcW w:w="4347" w:type="dxa"/>
          </w:tcPr>
          <w:p>
            <w:pPr>
              <w:pStyle w:val="TableParagraph"/>
              <w:spacing w:before="53"/>
              <w:ind w:left="59"/>
              <w:rPr>
                <w:rFonts w:ascii="Segoe UI"/>
                <w:sz w:val="21"/>
              </w:rPr>
            </w:pPr>
            <w:r>
              <w:rPr>
                <w:rFonts w:ascii="Segoe UI"/>
                <w:sz w:val="21"/>
              </w:rPr>
              <w:t>Ensure</w:t>
            </w:r>
            <w:r>
              <w:rPr>
                <w:rFonts w:ascii="Segoe UI"/>
                <w:spacing w:val="-2"/>
                <w:sz w:val="21"/>
              </w:rPr>
              <w:t> </w:t>
            </w:r>
            <w:r>
              <w:rPr>
                <w:rFonts w:ascii="Segoe UI"/>
                <w:sz w:val="21"/>
              </w:rPr>
              <w:t>that</w:t>
            </w:r>
            <w:r>
              <w:rPr>
                <w:rFonts w:ascii="Segoe UI"/>
                <w:spacing w:val="-3"/>
                <w:sz w:val="21"/>
              </w:rPr>
              <w:t> </w:t>
            </w:r>
            <w:r>
              <w:rPr>
                <w:rFonts w:ascii="Segoe UI"/>
                <w:sz w:val="21"/>
              </w:rPr>
              <w:t>stakeholders</w:t>
            </w:r>
            <w:r>
              <w:rPr>
                <w:rFonts w:ascii="Segoe UI"/>
                <w:spacing w:val="-6"/>
                <w:sz w:val="21"/>
              </w:rPr>
              <w:t> </w:t>
            </w:r>
            <w:r>
              <w:rPr>
                <w:rFonts w:ascii="Segoe UI"/>
                <w:sz w:val="21"/>
              </w:rPr>
              <w:t>are</w:t>
            </w:r>
            <w:r>
              <w:rPr>
                <w:rFonts w:ascii="Segoe UI"/>
                <w:spacing w:val="-2"/>
                <w:sz w:val="21"/>
              </w:rPr>
              <w:t> </w:t>
            </w:r>
            <w:r>
              <w:rPr>
                <w:rFonts w:ascii="Segoe UI"/>
                <w:sz w:val="21"/>
              </w:rPr>
              <w:t>a</w:t>
            </w:r>
            <w:r>
              <w:rPr>
                <w:rFonts w:ascii="Segoe UI"/>
                <w:spacing w:val="-8"/>
                <w:sz w:val="21"/>
              </w:rPr>
              <w:t> </w:t>
            </w:r>
            <w:r>
              <w:rPr>
                <w:rFonts w:ascii="Segoe UI"/>
                <w:sz w:val="21"/>
              </w:rPr>
              <w:t>part</w:t>
            </w:r>
            <w:r>
              <w:rPr>
                <w:rFonts w:ascii="Segoe UI"/>
                <w:spacing w:val="-3"/>
                <w:sz w:val="21"/>
              </w:rPr>
              <w:t> </w:t>
            </w:r>
            <w:r>
              <w:rPr>
                <w:rFonts w:ascii="Segoe UI"/>
                <w:sz w:val="21"/>
              </w:rPr>
              <w:t>of</w:t>
            </w:r>
            <w:r>
              <w:rPr>
                <w:rFonts w:ascii="Segoe UI"/>
                <w:spacing w:val="-8"/>
                <w:sz w:val="21"/>
              </w:rPr>
              <w:t> </w:t>
            </w:r>
            <w:r>
              <w:rPr>
                <w:rFonts w:ascii="Segoe UI"/>
                <w:sz w:val="21"/>
              </w:rPr>
              <w:t>options and</w:t>
            </w:r>
            <w:r>
              <w:rPr>
                <w:rFonts w:ascii="Segoe UI"/>
                <w:spacing w:val="-4"/>
                <w:sz w:val="21"/>
              </w:rPr>
              <w:t> </w:t>
            </w:r>
            <w:r>
              <w:rPr>
                <w:rFonts w:ascii="Segoe UI"/>
                <w:sz w:val="21"/>
              </w:rPr>
              <w:t>development</w:t>
            </w:r>
            <w:r>
              <w:rPr>
                <w:rFonts w:ascii="Segoe UI"/>
                <w:spacing w:val="-10"/>
                <w:sz w:val="21"/>
              </w:rPr>
              <w:t> </w:t>
            </w:r>
            <w:r>
              <w:rPr>
                <w:rFonts w:ascii="Segoe UI"/>
                <w:sz w:val="21"/>
              </w:rPr>
              <w:t>and</w:t>
            </w:r>
            <w:r>
              <w:rPr>
                <w:rFonts w:ascii="Segoe UI"/>
                <w:spacing w:val="-4"/>
                <w:sz w:val="21"/>
              </w:rPr>
              <w:t> </w:t>
            </w:r>
            <w:r>
              <w:rPr>
                <w:rFonts w:ascii="Segoe UI"/>
                <w:sz w:val="21"/>
              </w:rPr>
              <w:t>analysis</w:t>
            </w:r>
            <w:r>
              <w:rPr>
                <w:rFonts w:ascii="Segoe UI"/>
                <w:spacing w:val="-4"/>
                <w:sz w:val="21"/>
              </w:rPr>
              <w:t> </w:t>
            </w:r>
            <w:r>
              <w:rPr>
                <w:rFonts w:ascii="Segoe UI"/>
                <w:sz w:val="21"/>
              </w:rPr>
              <w:t>to</w:t>
            </w:r>
            <w:r>
              <w:rPr>
                <w:rFonts w:ascii="Segoe UI"/>
                <w:spacing w:val="-7"/>
                <w:sz w:val="21"/>
              </w:rPr>
              <w:t> </w:t>
            </w:r>
            <w:r>
              <w:rPr>
                <w:rFonts w:ascii="Segoe UI"/>
                <w:sz w:val="21"/>
              </w:rPr>
              <w:t>ensure</w:t>
            </w:r>
            <w:r>
              <w:rPr>
                <w:rFonts w:ascii="Segoe UI"/>
                <w:spacing w:val="-9"/>
                <w:sz w:val="21"/>
              </w:rPr>
              <w:t> </w:t>
            </w:r>
            <w:r>
              <w:rPr>
                <w:rFonts w:ascii="Segoe UI"/>
                <w:sz w:val="21"/>
              </w:rPr>
              <w:t>buy-in, that solutions are fit for purpose and context sensitive, and that delivery plans are developed jointly.</w:t>
            </w:r>
          </w:p>
        </w:tc>
        <w:tc>
          <w:tcPr>
            <w:tcW w:w="2052" w:type="dxa"/>
          </w:tcPr>
          <w:p>
            <w:pPr>
              <w:pStyle w:val="TableParagraph"/>
              <w:spacing w:before="53"/>
              <w:ind w:left="58"/>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r>
    </w:tbl>
    <w:p>
      <w:pPr>
        <w:pStyle w:val="BodyText"/>
        <w:spacing w:before="164"/>
        <w:rPr>
          <w:rFonts w:ascii="Segoe UI"/>
        </w:rPr>
      </w:pPr>
    </w:p>
    <w:p>
      <w:pPr>
        <w:pStyle w:val="Heading3"/>
        <w:spacing w:before="1"/>
        <w:ind w:firstLine="0"/>
      </w:pPr>
      <w:r>
        <w:rPr>
          <w:color w:val="1F4E79"/>
          <w:spacing w:val="-5"/>
        </w:rPr>
        <w:t>End</w:t>
      </w:r>
    </w:p>
    <w:p>
      <w:pPr>
        <w:pStyle w:val="BodyText"/>
        <w:rPr>
          <w:rFonts w:ascii="Segoe UI"/>
          <w:b/>
          <w:sz w:val="16"/>
        </w:rPr>
      </w:pPr>
    </w:p>
    <w:p>
      <w:pPr>
        <w:pStyle w:val="BodyText"/>
        <w:spacing w:before="77"/>
        <w:rPr>
          <w:rFonts w:ascii="Segoe UI"/>
          <w:b/>
          <w:sz w:val="16"/>
        </w:rPr>
      </w:pPr>
    </w:p>
    <w:p>
      <w:pPr>
        <w:spacing w:before="0"/>
        <w:ind w:left="60" w:right="57" w:firstLine="0"/>
        <w:jc w:val="center"/>
        <w:rPr>
          <w:rFonts w:ascii="Calibri"/>
          <w:sz w:val="16"/>
        </w:rPr>
      </w:pPr>
      <w:r>
        <w:rPr>
          <w:rFonts w:ascii="Calibri"/>
          <w:color w:val="787878"/>
          <w:w w:val="105"/>
          <w:sz w:val="16"/>
        </w:rPr>
        <w:t>Regional</w:t>
      </w:r>
      <w:r>
        <w:rPr>
          <w:rFonts w:ascii="Calibri"/>
          <w:color w:val="787878"/>
          <w:spacing w:val="-1"/>
          <w:w w:val="105"/>
          <w:sz w:val="16"/>
        </w:rPr>
        <w:t> </w:t>
      </w:r>
      <w:r>
        <w:rPr>
          <w:rFonts w:ascii="Calibri"/>
          <w:color w:val="787878"/>
          <w:w w:val="105"/>
          <w:sz w:val="16"/>
        </w:rPr>
        <w:t>Stroke</w:t>
      </w:r>
      <w:r>
        <w:rPr>
          <w:rFonts w:ascii="Calibri"/>
          <w:color w:val="787878"/>
          <w:spacing w:val="-4"/>
          <w:w w:val="105"/>
          <w:sz w:val="16"/>
        </w:rPr>
        <w:t> </w:t>
      </w:r>
      <w:r>
        <w:rPr>
          <w:rFonts w:ascii="Calibri"/>
          <w:color w:val="787878"/>
          <w:spacing w:val="-5"/>
          <w:w w:val="105"/>
          <w:sz w:val="16"/>
        </w:rPr>
        <w:t>PID</w:t>
      </w:r>
    </w:p>
    <w:p>
      <w:pPr>
        <w:spacing w:after="0"/>
        <w:jc w:val="center"/>
        <w:rPr>
          <w:rFonts w:ascii="Calibri"/>
          <w:sz w:val="16"/>
        </w:rPr>
        <w:sectPr>
          <w:pgSz w:w="12240" w:h="15840"/>
          <w:pgMar w:header="0" w:footer="147" w:top="140" w:bottom="340" w:left="141" w:right="141"/>
        </w:sectPr>
      </w:pPr>
    </w:p>
    <w:p>
      <w:pPr>
        <w:tabs>
          <w:tab w:pos="7483" w:val="left" w:leader="none"/>
        </w:tabs>
        <w:spacing w:line="240" w:lineRule="auto"/>
        <w:ind w:left="1586" w:right="0" w:firstLine="0"/>
        <w:rPr>
          <w:rFonts w:ascii="Calibri"/>
          <w:sz w:val="20"/>
        </w:rPr>
      </w:pPr>
      <w:r>
        <w:rPr>
          <w:rFonts w:ascii="Calibri"/>
          <w:position w:val="2"/>
          <w:sz w:val="20"/>
        </w:rPr>
        <w:drawing>
          <wp:inline distT="0" distB="0" distL="0" distR="0">
            <wp:extent cx="1870845" cy="475487"/>
            <wp:effectExtent l="0" t="0" r="0" b="0"/>
            <wp:docPr id="263" name="Image 263"/>
            <wp:cNvGraphicFramePr>
              <a:graphicFrameLocks/>
            </wp:cNvGraphicFramePr>
            <a:graphic>
              <a:graphicData uri="http://schemas.openxmlformats.org/drawingml/2006/picture">
                <pic:pic>
                  <pic:nvPicPr>
                    <pic:cNvPr id="263" name="Image 263"/>
                    <pic:cNvPicPr/>
                  </pic:nvPicPr>
                  <pic:blipFill>
                    <a:blip r:embed="rId58" cstate="print"/>
                    <a:stretch>
                      <a:fillRect/>
                    </a:stretch>
                  </pic:blipFill>
                  <pic:spPr>
                    <a:xfrm>
                      <a:off x="0" y="0"/>
                      <a:ext cx="1870845" cy="475487"/>
                    </a:xfrm>
                    <a:prstGeom prst="rect">
                      <a:avLst/>
                    </a:prstGeom>
                  </pic:spPr>
                </pic:pic>
              </a:graphicData>
            </a:graphic>
          </wp:inline>
        </w:drawing>
      </w:r>
      <w:r>
        <w:rPr>
          <w:rFonts w:ascii="Calibri"/>
          <w:position w:val="2"/>
          <w:sz w:val="20"/>
        </w:rPr>
      </w:r>
      <w:r>
        <w:rPr>
          <w:rFonts w:ascii="Calibri"/>
          <w:position w:val="2"/>
          <w:sz w:val="20"/>
        </w:rPr>
        <w:tab/>
      </w:r>
      <w:r>
        <w:rPr>
          <w:rFonts w:ascii="Calibri"/>
          <w:sz w:val="20"/>
        </w:rPr>
        <w:drawing>
          <wp:inline distT="0" distB="0" distL="0" distR="0">
            <wp:extent cx="1912332" cy="528066"/>
            <wp:effectExtent l="0" t="0" r="0" b="0"/>
            <wp:docPr id="264" name="Image 264"/>
            <wp:cNvGraphicFramePr>
              <a:graphicFrameLocks/>
            </wp:cNvGraphicFramePr>
            <a:graphic>
              <a:graphicData uri="http://schemas.openxmlformats.org/drawingml/2006/picture">
                <pic:pic>
                  <pic:nvPicPr>
                    <pic:cNvPr id="264" name="Image 264"/>
                    <pic:cNvPicPr/>
                  </pic:nvPicPr>
                  <pic:blipFill>
                    <a:blip r:embed="rId59" cstate="print"/>
                    <a:stretch>
                      <a:fillRect/>
                    </a:stretch>
                  </pic:blipFill>
                  <pic:spPr>
                    <a:xfrm>
                      <a:off x="0" y="0"/>
                      <a:ext cx="1912332" cy="528066"/>
                    </a:xfrm>
                    <a:prstGeom prst="rect">
                      <a:avLst/>
                    </a:prstGeom>
                  </pic:spPr>
                </pic:pic>
              </a:graphicData>
            </a:graphic>
          </wp:inline>
        </w:drawing>
      </w:r>
      <w:r>
        <w:rPr>
          <w:rFonts w:ascii="Calibri"/>
          <w:sz w:val="20"/>
        </w:rPr>
      </w:r>
    </w:p>
    <w:p>
      <w:pPr>
        <w:pStyle w:val="BodyText"/>
        <w:spacing w:before="53"/>
        <w:rPr>
          <w:rFonts w:ascii="Calibri"/>
          <w:sz w:val="30"/>
        </w:rPr>
      </w:pPr>
    </w:p>
    <w:p>
      <w:pPr>
        <w:pStyle w:val="Heading3"/>
        <w:numPr>
          <w:ilvl w:val="0"/>
          <w:numId w:val="14"/>
        </w:numPr>
        <w:tabs>
          <w:tab w:pos="1007" w:val="left" w:leader="none"/>
        </w:tabs>
        <w:spacing w:line="240" w:lineRule="auto" w:before="0" w:after="0"/>
        <w:ind w:left="1007" w:right="0" w:hanging="563"/>
        <w:jc w:val="left"/>
      </w:pPr>
      <w:r>
        <w:rPr>
          <w:color w:val="1F4E79"/>
        </w:rPr>
        <w:t>Appendix</w:t>
      </w:r>
      <w:r>
        <w:rPr>
          <w:color w:val="1F4E79"/>
          <w:spacing w:val="-6"/>
        </w:rPr>
        <w:t> </w:t>
      </w:r>
      <w:r>
        <w:rPr>
          <w:color w:val="1F4E79"/>
        </w:rPr>
        <w:t>1 –</w:t>
      </w:r>
      <w:r>
        <w:rPr>
          <w:color w:val="1F4E79"/>
          <w:spacing w:val="-2"/>
        </w:rPr>
        <w:t> </w:t>
      </w:r>
      <w:r>
        <w:rPr>
          <w:color w:val="1F4E79"/>
        </w:rPr>
        <w:t>Roles</w:t>
      </w:r>
      <w:r>
        <w:rPr>
          <w:color w:val="1F4E79"/>
          <w:spacing w:val="-6"/>
        </w:rPr>
        <w:t> </w:t>
      </w:r>
      <w:r>
        <w:rPr>
          <w:color w:val="1F4E79"/>
        </w:rPr>
        <w:t>and</w:t>
      </w:r>
      <w:r>
        <w:rPr>
          <w:color w:val="1F4E79"/>
          <w:spacing w:val="-3"/>
        </w:rPr>
        <w:t> </w:t>
      </w:r>
      <w:r>
        <w:rPr>
          <w:color w:val="1F4E79"/>
        </w:rPr>
        <w:t>Responsibilities</w:t>
      </w:r>
      <w:r>
        <w:rPr>
          <w:color w:val="1F4E79"/>
          <w:spacing w:val="-5"/>
        </w:rPr>
        <w:t> </w:t>
      </w:r>
      <w:r>
        <w:rPr>
          <w:color w:val="1F4E79"/>
          <w:spacing w:val="-2"/>
        </w:rPr>
        <w:t>Table</w:t>
      </w:r>
    </w:p>
    <w:p>
      <w:pPr>
        <w:pStyle w:val="BodyText"/>
        <w:spacing w:before="7"/>
        <w:rPr>
          <w:rFonts w:ascii="Segoe UI"/>
          <w:b/>
          <w:sz w:val="13"/>
        </w:rPr>
      </w:pPr>
    </w:p>
    <w:tbl>
      <w:tblPr>
        <w:tblW w:w="0" w:type="auto"/>
        <w:jc w:val="left"/>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46"/>
        <w:gridCol w:w="2196"/>
        <w:gridCol w:w="6623"/>
      </w:tblGrid>
      <w:tr>
        <w:trPr>
          <w:trHeight w:val="435" w:hRule="atLeast"/>
        </w:trPr>
        <w:tc>
          <w:tcPr>
            <w:tcW w:w="1946" w:type="dxa"/>
            <w:shd w:val="clear" w:color="auto" w:fill="D9E1F3"/>
          </w:tcPr>
          <w:p>
            <w:pPr>
              <w:pStyle w:val="TableParagraph"/>
              <w:spacing w:before="56"/>
              <w:ind w:left="55"/>
              <w:rPr>
                <w:rFonts w:ascii="Segoe UI"/>
                <w:b/>
                <w:sz w:val="24"/>
              </w:rPr>
            </w:pPr>
            <w:r>
              <w:rPr>
                <w:rFonts w:ascii="Segoe UI"/>
                <w:b/>
                <w:color w:val="1F4E79"/>
                <w:spacing w:val="-4"/>
                <w:sz w:val="24"/>
              </w:rPr>
              <w:t>Role</w:t>
            </w:r>
          </w:p>
        </w:tc>
        <w:tc>
          <w:tcPr>
            <w:tcW w:w="2196" w:type="dxa"/>
            <w:shd w:val="clear" w:color="auto" w:fill="D9E1F3"/>
          </w:tcPr>
          <w:p>
            <w:pPr>
              <w:pStyle w:val="TableParagraph"/>
              <w:spacing w:before="56"/>
              <w:ind w:left="59"/>
              <w:rPr>
                <w:rFonts w:ascii="Segoe UI"/>
                <w:b/>
                <w:sz w:val="24"/>
              </w:rPr>
            </w:pPr>
            <w:r>
              <w:rPr>
                <w:rFonts w:ascii="Segoe UI"/>
                <w:b/>
                <w:color w:val="1F4E79"/>
                <w:sz w:val="24"/>
              </w:rPr>
              <w:t>Name</w:t>
            </w:r>
            <w:r>
              <w:rPr>
                <w:rFonts w:ascii="Segoe UI"/>
                <w:b/>
                <w:color w:val="1F4E79"/>
                <w:spacing w:val="-4"/>
                <w:sz w:val="24"/>
              </w:rPr>
              <w:t> </w:t>
            </w:r>
            <w:r>
              <w:rPr>
                <w:rFonts w:ascii="Segoe UI"/>
                <w:b/>
                <w:color w:val="1F4E79"/>
                <w:sz w:val="24"/>
              </w:rPr>
              <w:t>/</w:t>
            </w:r>
            <w:r>
              <w:rPr>
                <w:rFonts w:ascii="Segoe UI"/>
                <w:b/>
                <w:color w:val="1F4E79"/>
                <w:spacing w:val="-3"/>
                <w:sz w:val="24"/>
              </w:rPr>
              <w:t> </w:t>
            </w:r>
            <w:r>
              <w:rPr>
                <w:rFonts w:ascii="Segoe UI"/>
                <w:b/>
                <w:color w:val="1F4E79"/>
                <w:spacing w:val="-4"/>
                <w:sz w:val="24"/>
              </w:rPr>
              <w:t>team</w:t>
            </w:r>
          </w:p>
        </w:tc>
        <w:tc>
          <w:tcPr>
            <w:tcW w:w="6623" w:type="dxa"/>
            <w:shd w:val="clear" w:color="auto" w:fill="D9E1F3"/>
          </w:tcPr>
          <w:p>
            <w:pPr>
              <w:pStyle w:val="TableParagraph"/>
              <w:spacing w:before="56"/>
              <w:ind w:left="59"/>
              <w:rPr>
                <w:rFonts w:ascii="Segoe UI"/>
                <w:b/>
                <w:sz w:val="24"/>
              </w:rPr>
            </w:pPr>
            <w:r>
              <w:rPr>
                <w:rFonts w:ascii="Segoe UI"/>
                <w:b/>
                <w:color w:val="1F4E79"/>
                <w:sz w:val="24"/>
              </w:rPr>
              <w:t>Key</w:t>
            </w:r>
            <w:r>
              <w:rPr>
                <w:rFonts w:ascii="Segoe UI"/>
                <w:b/>
                <w:color w:val="1F4E79"/>
                <w:spacing w:val="-3"/>
                <w:sz w:val="24"/>
              </w:rPr>
              <w:t> </w:t>
            </w:r>
            <w:r>
              <w:rPr>
                <w:rFonts w:ascii="Segoe UI"/>
                <w:b/>
                <w:color w:val="1F4E79"/>
                <w:spacing w:val="-2"/>
                <w:sz w:val="24"/>
              </w:rPr>
              <w:t>responsibilities</w:t>
            </w:r>
          </w:p>
        </w:tc>
      </w:tr>
      <w:tr>
        <w:trPr>
          <w:trHeight w:val="950" w:hRule="atLeast"/>
        </w:trPr>
        <w:tc>
          <w:tcPr>
            <w:tcW w:w="1946" w:type="dxa"/>
          </w:tcPr>
          <w:p>
            <w:pPr>
              <w:pStyle w:val="TableParagraph"/>
              <w:spacing w:before="53"/>
              <w:ind w:left="55"/>
              <w:rPr>
                <w:rFonts w:ascii="Segoe UI"/>
                <w:sz w:val="21"/>
              </w:rPr>
            </w:pPr>
            <w:r>
              <w:rPr>
                <w:rFonts w:ascii="Segoe UI"/>
                <w:spacing w:val="-5"/>
                <w:sz w:val="21"/>
              </w:rPr>
              <w:t>SRO</w:t>
            </w:r>
          </w:p>
        </w:tc>
        <w:tc>
          <w:tcPr>
            <w:tcW w:w="2196" w:type="dxa"/>
          </w:tcPr>
          <w:p>
            <w:pPr>
              <w:pStyle w:val="TableParagraph"/>
              <w:spacing w:before="53"/>
              <w:ind w:left="59"/>
              <w:rPr>
                <w:rFonts w:ascii="Segoe UI"/>
                <w:sz w:val="21"/>
              </w:rPr>
            </w:pPr>
            <w:r>
              <w:rPr>
                <w:rFonts w:ascii="Segoe UI"/>
                <w:sz w:val="21"/>
              </w:rPr>
              <w:t>James</w:t>
            </w:r>
            <w:r>
              <w:rPr>
                <w:rFonts w:ascii="Segoe UI"/>
                <w:spacing w:val="-1"/>
                <w:sz w:val="21"/>
              </w:rPr>
              <w:t> </w:t>
            </w:r>
            <w:r>
              <w:rPr>
                <w:rFonts w:ascii="Segoe UI"/>
                <w:spacing w:val="-2"/>
                <w:sz w:val="21"/>
              </w:rPr>
              <w:t>Severs</w:t>
            </w:r>
          </w:p>
        </w:tc>
        <w:tc>
          <w:tcPr>
            <w:tcW w:w="6623" w:type="dxa"/>
          </w:tcPr>
          <w:p>
            <w:pPr>
              <w:pStyle w:val="TableParagraph"/>
              <w:spacing w:before="53"/>
              <w:ind w:left="59"/>
              <w:rPr>
                <w:rFonts w:ascii="Segoe UI"/>
                <w:sz w:val="21"/>
              </w:rPr>
            </w:pPr>
            <w:r>
              <w:rPr>
                <w:rFonts w:ascii="Segoe UI"/>
                <w:sz w:val="21"/>
              </w:rPr>
              <w:t>Accountable</w:t>
            </w:r>
            <w:r>
              <w:rPr>
                <w:rFonts w:ascii="Segoe UI"/>
                <w:spacing w:val="-8"/>
                <w:sz w:val="21"/>
              </w:rPr>
              <w:t> </w:t>
            </w:r>
            <w:r>
              <w:rPr>
                <w:rFonts w:ascii="Segoe UI"/>
                <w:sz w:val="21"/>
              </w:rPr>
              <w:t>for</w:t>
            </w:r>
            <w:r>
              <w:rPr>
                <w:rFonts w:ascii="Segoe UI"/>
                <w:spacing w:val="-6"/>
                <w:sz w:val="21"/>
              </w:rPr>
              <w:t> </w:t>
            </w:r>
            <w:r>
              <w:rPr>
                <w:rFonts w:ascii="Segoe UI"/>
                <w:sz w:val="21"/>
              </w:rPr>
              <w:t>programme</w:t>
            </w:r>
            <w:r>
              <w:rPr>
                <w:rFonts w:ascii="Segoe UI"/>
                <w:spacing w:val="-8"/>
                <w:sz w:val="21"/>
              </w:rPr>
              <w:t> </w:t>
            </w:r>
            <w:r>
              <w:rPr>
                <w:rFonts w:ascii="Segoe UI"/>
                <w:sz w:val="21"/>
              </w:rPr>
              <w:t>vision,</w:t>
            </w:r>
            <w:r>
              <w:rPr>
                <w:rFonts w:ascii="Segoe UI"/>
                <w:spacing w:val="-13"/>
                <w:sz w:val="21"/>
              </w:rPr>
              <w:t> </w:t>
            </w:r>
            <w:r>
              <w:rPr>
                <w:rFonts w:ascii="Segoe UI"/>
                <w:sz w:val="21"/>
              </w:rPr>
              <w:t>governance,</w:t>
            </w:r>
            <w:r>
              <w:rPr>
                <w:rFonts w:ascii="Segoe UI"/>
                <w:spacing w:val="-8"/>
                <w:sz w:val="21"/>
              </w:rPr>
              <w:t> </w:t>
            </w:r>
            <w:r>
              <w:rPr>
                <w:rFonts w:ascii="Segoe UI"/>
                <w:sz w:val="21"/>
              </w:rPr>
              <w:t>benefits</w:t>
            </w:r>
            <w:r>
              <w:rPr>
                <w:rFonts w:ascii="Segoe UI"/>
                <w:spacing w:val="-7"/>
                <w:sz w:val="21"/>
              </w:rPr>
              <w:t> </w:t>
            </w:r>
            <w:r>
              <w:rPr>
                <w:rFonts w:ascii="Segoe UI"/>
                <w:sz w:val="21"/>
              </w:rPr>
              <w:t>realisation, funding, risk management, and successful delivery of strategic outcomes.</w:t>
            </w:r>
            <w:r>
              <w:rPr>
                <w:rFonts w:ascii="Segoe UI"/>
                <w:spacing w:val="40"/>
                <w:sz w:val="21"/>
              </w:rPr>
              <w:t> </w:t>
            </w:r>
            <w:r>
              <w:rPr>
                <w:rFonts w:ascii="Segoe UI"/>
                <w:sz w:val="21"/>
              </w:rPr>
              <w:t>Executive Lead for Hywel Dda.</w:t>
            </w:r>
          </w:p>
        </w:tc>
      </w:tr>
      <w:tr>
        <w:trPr>
          <w:trHeight w:val="950" w:hRule="atLeast"/>
        </w:trPr>
        <w:tc>
          <w:tcPr>
            <w:tcW w:w="1946" w:type="dxa"/>
          </w:tcPr>
          <w:p>
            <w:pPr>
              <w:pStyle w:val="TableParagraph"/>
              <w:spacing w:before="53"/>
              <w:ind w:left="55"/>
              <w:rPr>
                <w:rFonts w:ascii="Segoe UI"/>
                <w:sz w:val="21"/>
              </w:rPr>
            </w:pPr>
            <w:r>
              <w:rPr>
                <w:rFonts w:ascii="Segoe UI"/>
                <w:sz w:val="21"/>
              </w:rPr>
              <w:t>Deputy</w:t>
            </w:r>
            <w:r>
              <w:rPr>
                <w:rFonts w:ascii="Segoe UI"/>
                <w:spacing w:val="-4"/>
                <w:sz w:val="21"/>
              </w:rPr>
              <w:t> </w:t>
            </w:r>
            <w:r>
              <w:rPr>
                <w:rFonts w:ascii="Segoe UI"/>
                <w:spacing w:val="-5"/>
                <w:sz w:val="21"/>
              </w:rPr>
              <w:t>SRO</w:t>
            </w:r>
          </w:p>
        </w:tc>
        <w:tc>
          <w:tcPr>
            <w:tcW w:w="2196" w:type="dxa"/>
          </w:tcPr>
          <w:p>
            <w:pPr>
              <w:pStyle w:val="TableParagraph"/>
              <w:spacing w:before="53"/>
              <w:ind w:left="59"/>
              <w:rPr>
                <w:rFonts w:ascii="Segoe UI"/>
                <w:sz w:val="21"/>
              </w:rPr>
            </w:pPr>
            <w:r>
              <w:rPr>
                <w:rFonts w:ascii="Segoe UI"/>
                <w:sz w:val="21"/>
              </w:rPr>
              <w:t>Craige</w:t>
            </w:r>
            <w:r>
              <w:rPr>
                <w:rFonts w:ascii="Segoe UI"/>
                <w:spacing w:val="1"/>
                <w:sz w:val="21"/>
              </w:rPr>
              <w:t> </w:t>
            </w:r>
            <w:r>
              <w:rPr>
                <w:rFonts w:ascii="Segoe UI"/>
                <w:spacing w:val="-2"/>
                <w:sz w:val="21"/>
              </w:rPr>
              <w:t>Wilson</w:t>
            </w:r>
          </w:p>
        </w:tc>
        <w:tc>
          <w:tcPr>
            <w:tcW w:w="6623" w:type="dxa"/>
          </w:tcPr>
          <w:p>
            <w:pPr>
              <w:pStyle w:val="TableParagraph"/>
              <w:spacing w:before="53"/>
              <w:ind w:left="59"/>
              <w:rPr>
                <w:rFonts w:ascii="Segoe UI"/>
                <w:sz w:val="21"/>
              </w:rPr>
            </w:pPr>
            <w:r>
              <w:rPr>
                <w:rFonts w:ascii="Segoe UI"/>
                <w:sz w:val="21"/>
              </w:rPr>
              <w:t>Accountable</w:t>
            </w:r>
            <w:r>
              <w:rPr>
                <w:rFonts w:ascii="Segoe UI"/>
                <w:spacing w:val="-8"/>
                <w:sz w:val="21"/>
              </w:rPr>
              <w:t> </w:t>
            </w:r>
            <w:r>
              <w:rPr>
                <w:rFonts w:ascii="Segoe UI"/>
                <w:sz w:val="21"/>
              </w:rPr>
              <w:t>for</w:t>
            </w:r>
            <w:r>
              <w:rPr>
                <w:rFonts w:ascii="Segoe UI"/>
                <w:spacing w:val="-6"/>
                <w:sz w:val="21"/>
              </w:rPr>
              <w:t> </w:t>
            </w:r>
            <w:r>
              <w:rPr>
                <w:rFonts w:ascii="Segoe UI"/>
                <w:sz w:val="21"/>
              </w:rPr>
              <w:t>programme</w:t>
            </w:r>
            <w:r>
              <w:rPr>
                <w:rFonts w:ascii="Segoe UI"/>
                <w:spacing w:val="-8"/>
                <w:sz w:val="21"/>
              </w:rPr>
              <w:t> </w:t>
            </w:r>
            <w:r>
              <w:rPr>
                <w:rFonts w:ascii="Segoe UI"/>
                <w:sz w:val="21"/>
              </w:rPr>
              <w:t>vision,</w:t>
            </w:r>
            <w:r>
              <w:rPr>
                <w:rFonts w:ascii="Segoe UI"/>
                <w:spacing w:val="-13"/>
                <w:sz w:val="21"/>
              </w:rPr>
              <w:t> </w:t>
            </w:r>
            <w:r>
              <w:rPr>
                <w:rFonts w:ascii="Segoe UI"/>
                <w:sz w:val="21"/>
              </w:rPr>
              <w:t>governance,</w:t>
            </w:r>
            <w:r>
              <w:rPr>
                <w:rFonts w:ascii="Segoe UI"/>
                <w:spacing w:val="-8"/>
                <w:sz w:val="21"/>
              </w:rPr>
              <w:t> </w:t>
            </w:r>
            <w:r>
              <w:rPr>
                <w:rFonts w:ascii="Segoe UI"/>
                <w:sz w:val="21"/>
              </w:rPr>
              <w:t>benefits</w:t>
            </w:r>
            <w:r>
              <w:rPr>
                <w:rFonts w:ascii="Segoe UI"/>
                <w:spacing w:val="-7"/>
                <w:sz w:val="21"/>
              </w:rPr>
              <w:t> </w:t>
            </w:r>
            <w:r>
              <w:rPr>
                <w:rFonts w:ascii="Segoe UI"/>
                <w:sz w:val="21"/>
              </w:rPr>
              <w:t>realisation, funding, risk management, and successful delivery of strategic outcomes.</w:t>
            </w:r>
            <w:r>
              <w:rPr>
                <w:rFonts w:ascii="Segoe UI"/>
                <w:spacing w:val="40"/>
                <w:sz w:val="21"/>
              </w:rPr>
              <w:t> </w:t>
            </w:r>
            <w:r>
              <w:rPr>
                <w:rFonts w:ascii="Segoe UI"/>
                <w:sz w:val="21"/>
              </w:rPr>
              <w:t>Executive Lead for Swansea Bay.</w:t>
            </w:r>
          </w:p>
        </w:tc>
      </w:tr>
      <w:tr>
        <w:trPr>
          <w:trHeight w:val="395" w:hRule="atLeast"/>
        </w:trPr>
        <w:tc>
          <w:tcPr>
            <w:tcW w:w="1946" w:type="dxa"/>
          </w:tcPr>
          <w:p>
            <w:pPr>
              <w:pStyle w:val="TableParagraph"/>
              <w:spacing w:before="58"/>
              <w:ind w:left="55"/>
              <w:rPr>
                <w:rFonts w:ascii="Segoe UI"/>
                <w:sz w:val="21"/>
              </w:rPr>
            </w:pPr>
            <w:r>
              <w:rPr>
                <w:rFonts w:ascii="Segoe UI"/>
                <w:sz w:val="21"/>
              </w:rPr>
              <w:t>Project </w:t>
            </w:r>
            <w:r>
              <w:rPr>
                <w:rFonts w:ascii="Segoe UI"/>
                <w:spacing w:val="-4"/>
                <w:sz w:val="21"/>
              </w:rPr>
              <w:t>Lead</w:t>
            </w:r>
          </w:p>
        </w:tc>
        <w:tc>
          <w:tcPr>
            <w:tcW w:w="2196" w:type="dxa"/>
          </w:tcPr>
          <w:p>
            <w:pPr>
              <w:pStyle w:val="TableParagraph"/>
              <w:spacing w:before="58"/>
              <w:ind w:left="59"/>
              <w:rPr>
                <w:rFonts w:ascii="Segoe UI" w:hAnsi="Segoe UI"/>
                <w:sz w:val="21"/>
              </w:rPr>
            </w:pPr>
            <w:r>
              <w:rPr>
                <w:rFonts w:ascii="Segoe UI" w:hAnsi="Segoe UI"/>
                <w:sz w:val="21"/>
              </w:rPr>
              <w:t>Siôn</w:t>
            </w:r>
            <w:r>
              <w:rPr>
                <w:rFonts w:ascii="Segoe UI" w:hAnsi="Segoe UI"/>
                <w:spacing w:val="-1"/>
                <w:sz w:val="21"/>
              </w:rPr>
              <w:t> </w:t>
            </w:r>
            <w:r>
              <w:rPr>
                <w:rFonts w:ascii="Segoe UI" w:hAnsi="Segoe UI"/>
                <w:spacing w:val="-2"/>
                <w:sz w:val="21"/>
              </w:rPr>
              <w:t>Charles</w:t>
            </w:r>
          </w:p>
        </w:tc>
        <w:tc>
          <w:tcPr>
            <w:tcW w:w="6623" w:type="dxa"/>
          </w:tcPr>
          <w:p>
            <w:pPr>
              <w:pStyle w:val="TableParagraph"/>
              <w:spacing w:before="58"/>
              <w:ind w:left="59"/>
              <w:rPr>
                <w:rFonts w:ascii="Segoe UI"/>
                <w:sz w:val="21"/>
              </w:rPr>
            </w:pPr>
            <w:r>
              <w:rPr>
                <w:rFonts w:ascii="Segoe UI"/>
                <w:sz w:val="21"/>
              </w:rPr>
              <w:t>Project</w:t>
            </w:r>
            <w:r>
              <w:rPr>
                <w:rFonts w:ascii="Segoe UI"/>
                <w:spacing w:val="2"/>
                <w:sz w:val="21"/>
              </w:rPr>
              <w:t> </w:t>
            </w:r>
            <w:r>
              <w:rPr>
                <w:rFonts w:ascii="Segoe UI"/>
                <w:spacing w:val="-2"/>
                <w:sz w:val="21"/>
              </w:rPr>
              <w:t>delivery</w:t>
            </w:r>
          </w:p>
        </w:tc>
      </w:tr>
      <w:tr>
        <w:trPr>
          <w:trHeight w:val="675" w:hRule="atLeast"/>
        </w:trPr>
        <w:tc>
          <w:tcPr>
            <w:tcW w:w="1946" w:type="dxa"/>
          </w:tcPr>
          <w:p>
            <w:pPr>
              <w:pStyle w:val="TableParagraph"/>
              <w:spacing w:before="53"/>
              <w:ind w:left="55" w:right="723"/>
              <w:rPr>
                <w:rFonts w:ascii="Segoe UI"/>
                <w:sz w:val="21"/>
              </w:rPr>
            </w:pPr>
            <w:r>
              <w:rPr>
                <w:rFonts w:ascii="Segoe UI"/>
                <w:sz w:val="21"/>
              </w:rPr>
              <w:t>Clinical</w:t>
            </w:r>
            <w:r>
              <w:rPr>
                <w:rFonts w:ascii="Segoe UI"/>
                <w:spacing w:val="-15"/>
                <w:sz w:val="21"/>
              </w:rPr>
              <w:t> </w:t>
            </w:r>
            <w:r>
              <w:rPr>
                <w:rFonts w:ascii="Segoe UI"/>
                <w:sz w:val="21"/>
              </w:rPr>
              <w:t>Lead (Hywel</w:t>
            </w:r>
            <w:r>
              <w:rPr>
                <w:rFonts w:ascii="Segoe UI"/>
                <w:spacing w:val="-5"/>
                <w:sz w:val="21"/>
              </w:rPr>
              <w:t> </w:t>
            </w:r>
            <w:r>
              <w:rPr>
                <w:rFonts w:ascii="Segoe UI"/>
                <w:spacing w:val="-4"/>
                <w:sz w:val="21"/>
              </w:rPr>
              <w:t>Dda)</w:t>
            </w:r>
          </w:p>
        </w:tc>
        <w:tc>
          <w:tcPr>
            <w:tcW w:w="2196" w:type="dxa"/>
          </w:tcPr>
          <w:p>
            <w:pPr>
              <w:pStyle w:val="TableParagraph"/>
              <w:spacing w:before="53"/>
              <w:ind w:left="59"/>
              <w:rPr>
                <w:rFonts w:ascii="Segoe UI"/>
                <w:sz w:val="21"/>
              </w:rPr>
            </w:pPr>
            <w:r>
              <w:rPr>
                <w:rFonts w:ascii="Segoe UI"/>
                <w:sz w:val="21"/>
              </w:rPr>
              <w:t>Senthil</w:t>
            </w:r>
            <w:r>
              <w:rPr>
                <w:rFonts w:ascii="Segoe UI"/>
                <w:spacing w:val="-5"/>
                <w:sz w:val="21"/>
              </w:rPr>
              <w:t> </w:t>
            </w:r>
            <w:r>
              <w:rPr>
                <w:rFonts w:ascii="Segoe UI"/>
                <w:spacing w:val="-2"/>
                <w:sz w:val="21"/>
              </w:rPr>
              <w:t>Kumar</w:t>
            </w:r>
          </w:p>
        </w:tc>
        <w:tc>
          <w:tcPr>
            <w:tcW w:w="6623" w:type="dxa"/>
          </w:tcPr>
          <w:p>
            <w:pPr>
              <w:pStyle w:val="TableParagraph"/>
              <w:spacing w:before="53"/>
              <w:ind w:left="59"/>
              <w:rPr>
                <w:rFonts w:ascii="Segoe UI"/>
                <w:sz w:val="21"/>
              </w:rPr>
            </w:pPr>
            <w:r>
              <w:rPr>
                <w:rFonts w:ascii="Segoe UI"/>
                <w:sz w:val="21"/>
              </w:rPr>
              <w:t>Represents</w:t>
            </w:r>
            <w:r>
              <w:rPr>
                <w:rFonts w:ascii="Segoe UI"/>
                <w:spacing w:val="-6"/>
                <w:sz w:val="21"/>
              </w:rPr>
              <w:t> </w:t>
            </w:r>
            <w:r>
              <w:rPr>
                <w:rFonts w:ascii="Segoe UI"/>
                <w:sz w:val="21"/>
              </w:rPr>
              <w:t>clinical</w:t>
            </w:r>
            <w:r>
              <w:rPr>
                <w:rFonts w:ascii="Segoe UI"/>
                <w:spacing w:val="-3"/>
                <w:sz w:val="21"/>
              </w:rPr>
              <w:t> </w:t>
            </w:r>
            <w:r>
              <w:rPr>
                <w:rFonts w:ascii="Segoe UI"/>
                <w:sz w:val="21"/>
              </w:rPr>
              <w:t>body.</w:t>
            </w:r>
            <w:r>
              <w:rPr>
                <w:rFonts w:ascii="Segoe UI"/>
                <w:spacing w:val="53"/>
                <w:sz w:val="21"/>
              </w:rPr>
              <w:t> </w:t>
            </w:r>
            <w:r>
              <w:rPr>
                <w:rFonts w:ascii="Segoe UI"/>
                <w:sz w:val="21"/>
              </w:rPr>
              <w:t>Clinical</w:t>
            </w:r>
            <w:r>
              <w:rPr>
                <w:rFonts w:ascii="Segoe UI"/>
                <w:spacing w:val="-3"/>
                <w:sz w:val="21"/>
              </w:rPr>
              <w:t> </w:t>
            </w:r>
            <w:r>
              <w:rPr>
                <w:rFonts w:ascii="Segoe UI"/>
                <w:sz w:val="21"/>
              </w:rPr>
              <w:t>decision</w:t>
            </w:r>
            <w:r>
              <w:rPr>
                <w:rFonts w:ascii="Segoe UI"/>
                <w:spacing w:val="-1"/>
                <w:sz w:val="21"/>
              </w:rPr>
              <w:t> </w:t>
            </w:r>
            <w:r>
              <w:rPr>
                <w:rFonts w:ascii="Segoe UI"/>
                <w:sz w:val="21"/>
              </w:rPr>
              <w:t>making</w:t>
            </w:r>
            <w:r>
              <w:rPr>
                <w:rFonts w:ascii="Segoe UI"/>
                <w:spacing w:val="-1"/>
                <w:sz w:val="21"/>
              </w:rPr>
              <w:t> </w:t>
            </w:r>
            <w:r>
              <w:rPr>
                <w:rFonts w:ascii="Segoe UI"/>
                <w:sz w:val="21"/>
              </w:rPr>
              <w:t>and</w:t>
            </w:r>
            <w:r>
              <w:rPr>
                <w:rFonts w:ascii="Segoe UI"/>
                <w:spacing w:val="-5"/>
                <w:sz w:val="21"/>
              </w:rPr>
              <w:t> </w:t>
            </w:r>
            <w:r>
              <w:rPr>
                <w:rFonts w:ascii="Segoe UI"/>
                <w:spacing w:val="-2"/>
                <w:sz w:val="21"/>
              </w:rPr>
              <w:t>assurance.</w:t>
            </w:r>
          </w:p>
        </w:tc>
      </w:tr>
      <w:tr>
        <w:trPr>
          <w:trHeight w:val="670" w:hRule="atLeast"/>
        </w:trPr>
        <w:tc>
          <w:tcPr>
            <w:tcW w:w="1946" w:type="dxa"/>
          </w:tcPr>
          <w:p>
            <w:pPr>
              <w:pStyle w:val="TableParagraph"/>
              <w:spacing w:before="53"/>
              <w:ind w:left="55" w:right="700"/>
              <w:rPr>
                <w:rFonts w:ascii="Segoe UI"/>
                <w:sz w:val="21"/>
              </w:rPr>
            </w:pPr>
            <w:r>
              <w:rPr>
                <w:rFonts w:ascii="Segoe UI"/>
                <w:sz w:val="21"/>
              </w:rPr>
              <w:t>Clinical</w:t>
            </w:r>
            <w:r>
              <w:rPr>
                <w:rFonts w:ascii="Segoe UI"/>
                <w:spacing w:val="-15"/>
                <w:sz w:val="21"/>
              </w:rPr>
              <w:t> </w:t>
            </w:r>
            <w:r>
              <w:rPr>
                <w:rFonts w:ascii="Segoe UI"/>
                <w:sz w:val="21"/>
              </w:rPr>
              <w:t>Lead Swansea</w:t>
            </w:r>
            <w:r>
              <w:rPr>
                <w:rFonts w:ascii="Segoe UI"/>
                <w:spacing w:val="-6"/>
                <w:sz w:val="21"/>
              </w:rPr>
              <w:t> </w:t>
            </w:r>
            <w:r>
              <w:rPr>
                <w:rFonts w:ascii="Segoe UI"/>
                <w:spacing w:val="-5"/>
                <w:sz w:val="21"/>
              </w:rPr>
              <w:t>Bay</w:t>
            </w:r>
          </w:p>
        </w:tc>
        <w:tc>
          <w:tcPr>
            <w:tcW w:w="2196" w:type="dxa"/>
          </w:tcPr>
          <w:p>
            <w:pPr>
              <w:pStyle w:val="TableParagraph"/>
              <w:spacing w:before="53"/>
              <w:ind w:left="59"/>
              <w:rPr>
                <w:rFonts w:ascii="Segoe UI"/>
                <w:sz w:val="21"/>
              </w:rPr>
            </w:pPr>
            <w:r>
              <w:rPr>
                <w:rFonts w:ascii="Segoe UI"/>
                <w:sz w:val="21"/>
              </w:rPr>
              <w:t>Peter</w:t>
            </w:r>
            <w:r>
              <w:rPr>
                <w:rFonts w:ascii="Segoe UI"/>
                <w:spacing w:val="2"/>
                <w:sz w:val="21"/>
              </w:rPr>
              <w:t> </w:t>
            </w:r>
            <w:r>
              <w:rPr>
                <w:rFonts w:ascii="Segoe UI"/>
                <w:spacing w:val="-2"/>
                <w:sz w:val="21"/>
              </w:rPr>
              <w:t>Slade</w:t>
            </w:r>
          </w:p>
        </w:tc>
        <w:tc>
          <w:tcPr>
            <w:tcW w:w="6623" w:type="dxa"/>
          </w:tcPr>
          <w:p>
            <w:pPr>
              <w:pStyle w:val="TableParagraph"/>
              <w:spacing w:before="53"/>
              <w:ind w:left="59"/>
              <w:rPr>
                <w:rFonts w:ascii="Segoe UI"/>
                <w:sz w:val="21"/>
              </w:rPr>
            </w:pPr>
            <w:r>
              <w:rPr>
                <w:rFonts w:ascii="Segoe UI"/>
                <w:sz w:val="21"/>
              </w:rPr>
              <w:t>Represents</w:t>
            </w:r>
            <w:r>
              <w:rPr>
                <w:rFonts w:ascii="Segoe UI"/>
                <w:spacing w:val="-6"/>
                <w:sz w:val="21"/>
              </w:rPr>
              <w:t> </w:t>
            </w:r>
            <w:r>
              <w:rPr>
                <w:rFonts w:ascii="Segoe UI"/>
                <w:sz w:val="21"/>
              </w:rPr>
              <w:t>clinical</w:t>
            </w:r>
            <w:r>
              <w:rPr>
                <w:rFonts w:ascii="Segoe UI"/>
                <w:spacing w:val="-3"/>
                <w:sz w:val="21"/>
              </w:rPr>
              <w:t> </w:t>
            </w:r>
            <w:r>
              <w:rPr>
                <w:rFonts w:ascii="Segoe UI"/>
                <w:sz w:val="21"/>
              </w:rPr>
              <w:t>body.</w:t>
            </w:r>
            <w:r>
              <w:rPr>
                <w:rFonts w:ascii="Segoe UI"/>
                <w:spacing w:val="53"/>
                <w:sz w:val="21"/>
              </w:rPr>
              <w:t> </w:t>
            </w:r>
            <w:r>
              <w:rPr>
                <w:rFonts w:ascii="Segoe UI"/>
                <w:sz w:val="21"/>
              </w:rPr>
              <w:t>Clinical</w:t>
            </w:r>
            <w:r>
              <w:rPr>
                <w:rFonts w:ascii="Segoe UI"/>
                <w:spacing w:val="-3"/>
                <w:sz w:val="21"/>
              </w:rPr>
              <w:t> </w:t>
            </w:r>
            <w:r>
              <w:rPr>
                <w:rFonts w:ascii="Segoe UI"/>
                <w:sz w:val="21"/>
              </w:rPr>
              <w:t>decision</w:t>
            </w:r>
            <w:r>
              <w:rPr>
                <w:rFonts w:ascii="Segoe UI"/>
                <w:spacing w:val="-1"/>
                <w:sz w:val="21"/>
              </w:rPr>
              <w:t> </w:t>
            </w:r>
            <w:r>
              <w:rPr>
                <w:rFonts w:ascii="Segoe UI"/>
                <w:sz w:val="21"/>
              </w:rPr>
              <w:t>making</w:t>
            </w:r>
            <w:r>
              <w:rPr>
                <w:rFonts w:ascii="Segoe UI"/>
                <w:spacing w:val="-1"/>
                <w:sz w:val="21"/>
              </w:rPr>
              <w:t> </w:t>
            </w:r>
            <w:r>
              <w:rPr>
                <w:rFonts w:ascii="Segoe UI"/>
                <w:sz w:val="21"/>
              </w:rPr>
              <w:t>and</w:t>
            </w:r>
            <w:r>
              <w:rPr>
                <w:rFonts w:ascii="Segoe UI"/>
                <w:spacing w:val="-5"/>
                <w:sz w:val="21"/>
              </w:rPr>
              <w:t> </w:t>
            </w:r>
            <w:r>
              <w:rPr>
                <w:rFonts w:ascii="Segoe UI"/>
                <w:spacing w:val="-2"/>
                <w:sz w:val="21"/>
              </w:rPr>
              <w:t>assurance.</w:t>
            </w:r>
          </w:p>
        </w:tc>
      </w:tr>
      <w:tr>
        <w:trPr>
          <w:trHeight w:val="955" w:hRule="atLeast"/>
        </w:trPr>
        <w:tc>
          <w:tcPr>
            <w:tcW w:w="1946" w:type="dxa"/>
          </w:tcPr>
          <w:p>
            <w:pPr>
              <w:pStyle w:val="TableParagraph"/>
              <w:spacing w:before="53"/>
              <w:ind w:left="55"/>
              <w:rPr>
                <w:rFonts w:ascii="Segoe UI"/>
                <w:sz w:val="21"/>
              </w:rPr>
            </w:pPr>
            <w:r>
              <w:rPr>
                <w:rFonts w:ascii="Segoe UI"/>
                <w:sz w:val="21"/>
              </w:rPr>
              <w:t>Operational</w:t>
            </w:r>
            <w:r>
              <w:rPr>
                <w:rFonts w:ascii="Segoe UI"/>
                <w:spacing w:val="-15"/>
                <w:sz w:val="21"/>
              </w:rPr>
              <w:t> </w:t>
            </w:r>
            <w:r>
              <w:rPr>
                <w:rFonts w:ascii="Segoe UI"/>
                <w:sz w:val="21"/>
              </w:rPr>
              <w:t>Lead Hywel Dda</w:t>
            </w:r>
          </w:p>
        </w:tc>
        <w:tc>
          <w:tcPr>
            <w:tcW w:w="2196" w:type="dxa"/>
          </w:tcPr>
          <w:p>
            <w:pPr>
              <w:pStyle w:val="TableParagraph"/>
              <w:spacing w:before="53"/>
              <w:ind w:left="59"/>
              <w:rPr>
                <w:rFonts w:ascii="Segoe UI"/>
                <w:sz w:val="21"/>
              </w:rPr>
            </w:pPr>
            <w:r>
              <w:rPr>
                <w:rFonts w:ascii="Segoe UI"/>
                <w:sz w:val="21"/>
              </w:rPr>
              <w:t>Bethan</w:t>
            </w:r>
            <w:r>
              <w:rPr>
                <w:rFonts w:ascii="Segoe UI"/>
                <w:spacing w:val="-1"/>
                <w:sz w:val="21"/>
              </w:rPr>
              <w:t> </w:t>
            </w:r>
            <w:r>
              <w:rPr>
                <w:rFonts w:ascii="Segoe UI"/>
                <w:spacing w:val="-2"/>
                <w:sz w:val="21"/>
              </w:rPr>
              <w:t>Andrews</w:t>
            </w:r>
          </w:p>
        </w:tc>
        <w:tc>
          <w:tcPr>
            <w:tcW w:w="6623" w:type="dxa"/>
          </w:tcPr>
          <w:p>
            <w:pPr>
              <w:pStyle w:val="TableParagraph"/>
              <w:spacing w:before="53"/>
              <w:ind w:left="59" w:right="176"/>
              <w:rPr>
                <w:rFonts w:ascii="Segoe UI"/>
                <w:sz w:val="21"/>
              </w:rPr>
            </w:pPr>
            <w:r>
              <w:rPr>
                <w:rFonts w:ascii="Segoe UI"/>
                <w:sz w:val="21"/>
              </w:rPr>
              <w:t>Delivering organisational change, stakeholder engagement, communications,</w:t>
            </w:r>
            <w:r>
              <w:rPr>
                <w:rFonts w:ascii="Segoe UI"/>
                <w:spacing w:val="-7"/>
                <w:sz w:val="21"/>
              </w:rPr>
              <w:t> </w:t>
            </w:r>
            <w:r>
              <w:rPr>
                <w:rFonts w:ascii="Segoe UI"/>
                <w:sz w:val="21"/>
              </w:rPr>
              <w:t>training,</w:t>
            </w:r>
            <w:r>
              <w:rPr>
                <w:rFonts w:ascii="Segoe UI"/>
                <w:spacing w:val="-7"/>
                <w:sz w:val="21"/>
              </w:rPr>
              <w:t> </w:t>
            </w:r>
            <w:r>
              <w:rPr>
                <w:rFonts w:ascii="Segoe UI"/>
                <w:sz w:val="21"/>
              </w:rPr>
              <w:t>adoption,</w:t>
            </w:r>
            <w:r>
              <w:rPr>
                <w:rFonts w:ascii="Segoe UI"/>
                <w:spacing w:val="-12"/>
                <w:sz w:val="21"/>
              </w:rPr>
              <w:t> </w:t>
            </w:r>
            <w:r>
              <w:rPr>
                <w:rFonts w:ascii="Segoe UI"/>
                <w:sz w:val="21"/>
              </w:rPr>
              <w:t>and</w:t>
            </w:r>
            <w:r>
              <w:rPr>
                <w:rFonts w:ascii="Segoe UI"/>
                <w:spacing w:val="-10"/>
                <w:sz w:val="21"/>
              </w:rPr>
              <w:t> </w:t>
            </w:r>
            <w:r>
              <w:rPr>
                <w:rFonts w:ascii="Segoe UI"/>
                <w:sz w:val="21"/>
              </w:rPr>
              <w:t>benefits</w:t>
            </w:r>
            <w:r>
              <w:rPr>
                <w:rFonts w:ascii="Segoe UI"/>
                <w:spacing w:val="-6"/>
                <w:sz w:val="21"/>
              </w:rPr>
              <w:t> </w:t>
            </w:r>
            <w:r>
              <w:rPr>
                <w:rFonts w:ascii="Segoe UI"/>
                <w:sz w:val="21"/>
              </w:rPr>
              <w:t>realisation</w:t>
            </w:r>
            <w:r>
              <w:rPr>
                <w:rFonts w:ascii="Segoe UI"/>
                <w:spacing w:val="-6"/>
                <w:sz w:val="21"/>
              </w:rPr>
              <w:t> </w:t>
            </w:r>
            <w:r>
              <w:rPr>
                <w:rFonts w:ascii="Segoe UI"/>
                <w:sz w:val="21"/>
              </w:rPr>
              <w:t>to embed new ways of working.</w:t>
            </w:r>
          </w:p>
        </w:tc>
      </w:tr>
      <w:tr>
        <w:trPr>
          <w:trHeight w:val="950" w:hRule="atLeast"/>
        </w:trPr>
        <w:tc>
          <w:tcPr>
            <w:tcW w:w="1946" w:type="dxa"/>
          </w:tcPr>
          <w:p>
            <w:pPr>
              <w:pStyle w:val="TableParagraph"/>
              <w:spacing w:before="53"/>
              <w:ind w:left="55"/>
              <w:rPr>
                <w:rFonts w:ascii="Segoe UI"/>
                <w:sz w:val="21"/>
              </w:rPr>
            </w:pPr>
            <w:r>
              <w:rPr>
                <w:rFonts w:ascii="Segoe UI"/>
                <w:sz w:val="21"/>
              </w:rPr>
              <w:t>Operational</w:t>
            </w:r>
            <w:r>
              <w:rPr>
                <w:rFonts w:ascii="Segoe UI"/>
                <w:spacing w:val="-15"/>
                <w:sz w:val="21"/>
              </w:rPr>
              <w:t> </w:t>
            </w:r>
            <w:r>
              <w:rPr>
                <w:rFonts w:ascii="Segoe UI"/>
                <w:sz w:val="21"/>
              </w:rPr>
              <w:t>Lead Swansea Bay</w:t>
            </w:r>
          </w:p>
        </w:tc>
        <w:tc>
          <w:tcPr>
            <w:tcW w:w="2196" w:type="dxa"/>
          </w:tcPr>
          <w:p>
            <w:pPr>
              <w:pStyle w:val="TableParagraph"/>
              <w:spacing w:before="53"/>
              <w:ind w:left="59"/>
              <w:rPr>
                <w:rFonts w:ascii="Segoe UI"/>
                <w:sz w:val="21"/>
              </w:rPr>
            </w:pPr>
            <w:r>
              <w:rPr>
                <w:rFonts w:ascii="Segoe UI"/>
                <w:sz w:val="21"/>
              </w:rPr>
              <w:t>Abi</w:t>
            </w:r>
            <w:r>
              <w:rPr>
                <w:rFonts w:ascii="Segoe UI"/>
                <w:spacing w:val="-1"/>
                <w:sz w:val="21"/>
              </w:rPr>
              <w:t> </w:t>
            </w:r>
            <w:r>
              <w:rPr>
                <w:rFonts w:ascii="Segoe UI"/>
                <w:spacing w:val="-2"/>
                <w:sz w:val="21"/>
              </w:rPr>
              <w:t>Landeg</w:t>
            </w:r>
          </w:p>
        </w:tc>
        <w:tc>
          <w:tcPr>
            <w:tcW w:w="6623" w:type="dxa"/>
          </w:tcPr>
          <w:p>
            <w:pPr>
              <w:pStyle w:val="TableParagraph"/>
              <w:spacing w:before="53"/>
              <w:ind w:left="59" w:right="176"/>
              <w:rPr>
                <w:rFonts w:ascii="Segoe UI"/>
                <w:sz w:val="21"/>
              </w:rPr>
            </w:pPr>
            <w:r>
              <w:rPr>
                <w:rFonts w:ascii="Segoe UI"/>
                <w:sz w:val="21"/>
              </w:rPr>
              <w:t>Delivering organisational change, stakeholder engagement, communications,</w:t>
            </w:r>
            <w:r>
              <w:rPr>
                <w:rFonts w:ascii="Segoe UI"/>
                <w:spacing w:val="-7"/>
                <w:sz w:val="21"/>
              </w:rPr>
              <w:t> </w:t>
            </w:r>
            <w:r>
              <w:rPr>
                <w:rFonts w:ascii="Segoe UI"/>
                <w:sz w:val="21"/>
              </w:rPr>
              <w:t>training,</w:t>
            </w:r>
            <w:r>
              <w:rPr>
                <w:rFonts w:ascii="Segoe UI"/>
                <w:spacing w:val="-7"/>
                <w:sz w:val="21"/>
              </w:rPr>
              <w:t> </w:t>
            </w:r>
            <w:r>
              <w:rPr>
                <w:rFonts w:ascii="Segoe UI"/>
                <w:sz w:val="21"/>
              </w:rPr>
              <w:t>adoption,</w:t>
            </w:r>
            <w:r>
              <w:rPr>
                <w:rFonts w:ascii="Segoe UI"/>
                <w:spacing w:val="-12"/>
                <w:sz w:val="21"/>
              </w:rPr>
              <w:t> </w:t>
            </w:r>
            <w:r>
              <w:rPr>
                <w:rFonts w:ascii="Segoe UI"/>
                <w:sz w:val="21"/>
              </w:rPr>
              <w:t>and</w:t>
            </w:r>
            <w:r>
              <w:rPr>
                <w:rFonts w:ascii="Segoe UI"/>
                <w:spacing w:val="-10"/>
                <w:sz w:val="21"/>
              </w:rPr>
              <w:t> </w:t>
            </w:r>
            <w:r>
              <w:rPr>
                <w:rFonts w:ascii="Segoe UI"/>
                <w:sz w:val="21"/>
              </w:rPr>
              <w:t>benefits</w:t>
            </w:r>
            <w:r>
              <w:rPr>
                <w:rFonts w:ascii="Segoe UI"/>
                <w:spacing w:val="-6"/>
                <w:sz w:val="21"/>
              </w:rPr>
              <w:t> </w:t>
            </w:r>
            <w:r>
              <w:rPr>
                <w:rFonts w:ascii="Segoe UI"/>
                <w:sz w:val="21"/>
              </w:rPr>
              <w:t>realisation</w:t>
            </w:r>
            <w:r>
              <w:rPr>
                <w:rFonts w:ascii="Segoe UI"/>
                <w:spacing w:val="-6"/>
                <w:sz w:val="21"/>
              </w:rPr>
              <w:t> </w:t>
            </w:r>
            <w:r>
              <w:rPr>
                <w:rFonts w:ascii="Segoe UI"/>
                <w:sz w:val="21"/>
              </w:rPr>
              <w:t>to embed new ways of working.</w:t>
            </w:r>
          </w:p>
        </w:tc>
      </w:tr>
      <w:tr>
        <w:trPr>
          <w:trHeight w:val="670" w:hRule="atLeast"/>
        </w:trPr>
        <w:tc>
          <w:tcPr>
            <w:tcW w:w="1946" w:type="dxa"/>
          </w:tcPr>
          <w:p>
            <w:pPr>
              <w:pStyle w:val="TableParagraph"/>
              <w:spacing w:before="53"/>
              <w:ind w:left="55"/>
              <w:rPr>
                <w:rFonts w:ascii="Segoe UI"/>
                <w:sz w:val="21"/>
              </w:rPr>
            </w:pPr>
            <w:r>
              <w:rPr>
                <w:rFonts w:ascii="Segoe UI"/>
                <w:sz w:val="21"/>
              </w:rPr>
              <w:t>NHS</w:t>
            </w:r>
            <w:r>
              <w:rPr>
                <w:rFonts w:ascii="Segoe UI"/>
                <w:spacing w:val="-3"/>
                <w:sz w:val="21"/>
              </w:rPr>
              <w:t> </w:t>
            </w:r>
            <w:r>
              <w:rPr>
                <w:rFonts w:ascii="Segoe UI"/>
                <w:spacing w:val="-5"/>
                <w:sz w:val="21"/>
              </w:rPr>
              <w:t>P&amp;I</w:t>
            </w:r>
          </w:p>
        </w:tc>
        <w:tc>
          <w:tcPr>
            <w:tcW w:w="2196" w:type="dxa"/>
          </w:tcPr>
          <w:p>
            <w:pPr>
              <w:pStyle w:val="TableParagraph"/>
              <w:spacing w:before="53"/>
              <w:ind w:left="59"/>
              <w:rPr>
                <w:rFonts w:ascii="Segoe UI"/>
                <w:sz w:val="21"/>
              </w:rPr>
            </w:pPr>
            <w:r>
              <w:rPr>
                <w:rFonts w:ascii="Segoe UI"/>
                <w:sz w:val="21"/>
              </w:rPr>
              <w:t>Christine</w:t>
            </w:r>
            <w:r>
              <w:rPr>
                <w:rFonts w:ascii="Segoe UI"/>
                <w:spacing w:val="-3"/>
                <w:sz w:val="21"/>
              </w:rPr>
              <w:t> </w:t>
            </w:r>
            <w:r>
              <w:rPr>
                <w:rFonts w:ascii="Segoe UI"/>
                <w:spacing w:val="-4"/>
                <w:sz w:val="21"/>
              </w:rPr>
              <w:t>Owen</w:t>
            </w:r>
          </w:p>
        </w:tc>
        <w:tc>
          <w:tcPr>
            <w:tcW w:w="6623" w:type="dxa"/>
          </w:tcPr>
          <w:p>
            <w:pPr>
              <w:pStyle w:val="TableParagraph"/>
              <w:spacing w:before="53"/>
              <w:ind w:left="59"/>
              <w:rPr>
                <w:rFonts w:ascii="Segoe UI"/>
                <w:sz w:val="21"/>
              </w:rPr>
            </w:pPr>
            <w:r>
              <w:rPr>
                <w:rFonts w:ascii="Segoe UI"/>
                <w:sz w:val="21"/>
              </w:rPr>
              <w:t>Supporting</w:t>
            </w:r>
            <w:r>
              <w:rPr>
                <w:rFonts w:ascii="Segoe UI"/>
                <w:spacing w:val="-11"/>
                <w:sz w:val="21"/>
              </w:rPr>
              <w:t> </w:t>
            </w:r>
            <w:r>
              <w:rPr>
                <w:rFonts w:ascii="Segoe UI"/>
                <w:sz w:val="21"/>
              </w:rPr>
              <w:t>project</w:t>
            </w:r>
            <w:r>
              <w:rPr>
                <w:rFonts w:ascii="Segoe UI"/>
                <w:spacing w:val="-8"/>
                <w:sz w:val="21"/>
              </w:rPr>
              <w:t> </w:t>
            </w:r>
            <w:r>
              <w:rPr>
                <w:rFonts w:ascii="Segoe UI"/>
                <w:sz w:val="21"/>
              </w:rPr>
              <w:t>with</w:t>
            </w:r>
            <w:r>
              <w:rPr>
                <w:rFonts w:ascii="Segoe UI"/>
                <w:spacing w:val="-7"/>
                <w:sz w:val="21"/>
              </w:rPr>
              <w:t> </w:t>
            </w:r>
            <w:r>
              <w:rPr>
                <w:rFonts w:ascii="Segoe UI"/>
                <w:sz w:val="21"/>
              </w:rPr>
              <w:t>practical</w:t>
            </w:r>
            <w:r>
              <w:rPr>
                <w:rFonts w:ascii="Segoe UI"/>
                <w:spacing w:val="-8"/>
                <w:sz w:val="21"/>
              </w:rPr>
              <w:t> </w:t>
            </w:r>
            <w:r>
              <w:rPr>
                <w:rFonts w:ascii="Segoe UI"/>
                <w:sz w:val="21"/>
              </w:rPr>
              <w:t>improvement,</w:t>
            </w:r>
            <w:r>
              <w:rPr>
                <w:rFonts w:ascii="Segoe UI"/>
                <w:spacing w:val="-8"/>
                <w:sz w:val="21"/>
              </w:rPr>
              <w:t> </w:t>
            </w:r>
            <w:r>
              <w:rPr>
                <w:rFonts w:ascii="Segoe UI"/>
                <w:sz w:val="21"/>
              </w:rPr>
              <w:t>modelling,</w:t>
            </w:r>
            <w:r>
              <w:rPr>
                <w:rFonts w:ascii="Segoe UI"/>
                <w:spacing w:val="-8"/>
                <w:sz w:val="21"/>
              </w:rPr>
              <w:t> </w:t>
            </w:r>
            <w:r>
              <w:rPr>
                <w:rFonts w:ascii="Segoe UI"/>
                <w:sz w:val="21"/>
              </w:rPr>
              <w:t>facilitation and insights.</w:t>
            </w:r>
          </w:p>
        </w:tc>
      </w:tr>
      <w:tr>
        <w:trPr>
          <w:trHeight w:val="675" w:hRule="atLeast"/>
        </w:trPr>
        <w:tc>
          <w:tcPr>
            <w:tcW w:w="1946" w:type="dxa"/>
          </w:tcPr>
          <w:p>
            <w:pPr>
              <w:pStyle w:val="TableParagraph"/>
              <w:spacing w:before="58"/>
              <w:ind w:left="55"/>
              <w:rPr>
                <w:rFonts w:ascii="Segoe UI"/>
                <w:sz w:val="21"/>
              </w:rPr>
            </w:pPr>
            <w:r>
              <w:rPr>
                <w:rFonts w:ascii="Segoe UI"/>
                <w:sz w:val="21"/>
              </w:rPr>
              <w:t>NHS</w:t>
            </w:r>
            <w:r>
              <w:rPr>
                <w:rFonts w:ascii="Segoe UI"/>
                <w:spacing w:val="-3"/>
                <w:sz w:val="21"/>
              </w:rPr>
              <w:t> </w:t>
            </w:r>
            <w:r>
              <w:rPr>
                <w:rFonts w:ascii="Segoe UI"/>
                <w:spacing w:val="-5"/>
                <w:sz w:val="21"/>
              </w:rPr>
              <w:t>P&amp;I</w:t>
            </w:r>
          </w:p>
        </w:tc>
        <w:tc>
          <w:tcPr>
            <w:tcW w:w="2196" w:type="dxa"/>
          </w:tcPr>
          <w:p>
            <w:pPr>
              <w:pStyle w:val="TableParagraph"/>
              <w:spacing w:before="58"/>
              <w:ind w:left="59"/>
              <w:rPr>
                <w:rFonts w:ascii="Segoe UI"/>
                <w:sz w:val="21"/>
              </w:rPr>
            </w:pPr>
            <w:r>
              <w:rPr>
                <w:rFonts w:ascii="Segoe UI"/>
                <w:sz w:val="21"/>
              </w:rPr>
              <w:t>Garry </w:t>
            </w:r>
            <w:r>
              <w:rPr>
                <w:rFonts w:ascii="Segoe UI"/>
                <w:spacing w:val="-2"/>
                <w:sz w:val="21"/>
              </w:rPr>
              <w:t>Smith</w:t>
            </w:r>
          </w:p>
        </w:tc>
        <w:tc>
          <w:tcPr>
            <w:tcW w:w="6623" w:type="dxa"/>
          </w:tcPr>
          <w:p>
            <w:pPr>
              <w:pStyle w:val="TableParagraph"/>
              <w:spacing w:before="58"/>
              <w:ind w:left="59"/>
              <w:rPr>
                <w:rFonts w:ascii="Segoe UI"/>
                <w:sz w:val="21"/>
              </w:rPr>
            </w:pPr>
            <w:r>
              <w:rPr>
                <w:rFonts w:ascii="Segoe UI"/>
                <w:sz w:val="21"/>
              </w:rPr>
              <w:t>Supporting</w:t>
            </w:r>
            <w:r>
              <w:rPr>
                <w:rFonts w:ascii="Segoe UI"/>
                <w:spacing w:val="-11"/>
                <w:sz w:val="21"/>
              </w:rPr>
              <w:t> </w:t>
            </w:r>
            <w:r>
              <w:rPr>
                <w:rFonts w:ascii="Segoe UI"/>
                <w:sz w:val="21"/>
              </w:rPr>
              <w:t>project</w:t>
            </w:r>
            <w:r>
              <w:rPr>
                <w:rFonts w:ascii="Segoe UI"/>
                <w:spacing w:val="-8"/>
                <w:sz w:val="21"/>
              </w:rPr>
              <w:t> </w:t>
            </w:r>
            <w:r>
              <w:rPr>
                <w:rFonts w:ascii="Segoe UI"/>
                <w:sz w:val="21"/>
              </w:rPr>
              <w:t>with</w:t>
            </w:r>
            <w:r>
              <w:rPr>
                <w:rFonts w:ascii="Segoe UI"/>
                <w:spacing w:val="-7"/>
                <w:sz w:val="21"/>
              </w:rPr>
              <w:t> </w:t>
            </w:r>
            <w:r>
              <w:rPr>
                <w:rFonts w:ascii="Segoe UI"/>
                <w:sz w:val="21"/>
              </w:rPr>
              <w:t>practical</w:t>
            </w:r>
            <w:r>
              <w:rPr>
                <w:rFonts w:ascii="Segoe UI"/>
                <w:spacing w:val="-8"/>
                <w:sz w:val="21"/>
              </w:rPr>
              <w:t> </w:t>
            </w:r>
            <w:r>
              <w:rPr>
                <w:rFonts w:ascii="Segoe UI"/>
                <w:sz w:val="21"/>
              </w:rPr>
              <w:t>improvement,</w:t>
            </w:r>
            <w:r>
              <w:rPr>
                <w:rFonts w:ascii="Segoe UI"/>
                <w:spacing w:val="-8"/>
                <w:sz w:val="21"/>
              </w:rPr>
              <w:t> </w:t>
            </w:r>
            <w:r>
              <w:rPr>
                <w:rFonts w:ascii="Segoe UI"/>
                <w:sz w:val="21"/>
              </w:rPr>
              <w:t>modelling,</w:t>
            </w:r>
            <w:r>
              <w:rPr>
                <w:rFonts w:ascii="Segoe UI"/>
                <w:spacing w:val="-8"/>
                <w:sz w:val="21"/>
              </w:rPr>
              <w:t> </w:t>
            </w:r>
            <w:r>
              <w:rPr>
                <w:rFonts w:ascii="Segoe UI"/>
                <w:sz w:val="21"/>
              </w:rPr>
              <w:t>facilitation and insights.</w:t>
            </w:r>
            <w:r>
              <w:rPr>
                <w:rFonts w:ascii="Segoe UI"/>
                <w:spacing w:val="40"/>
                <w:sz w:val="21"/>
              </w:rPr>
              <w:t> </w:t>
            </w:r>
            <w:r>
              <w:rPr>
                <w:rFonts w:ascii="Segoe UI"/>
                <w:sz w:val="21"/>
              </w:rPr>
              <w:t>Links to broader networks and service model insights.</w:t>
            </w:r>
          </w:p>
        </w:tc>
      </w:tr>
      <w:tr>
        <w:trPr>
          <w:trHeight w:val="675" w:hRule="atLeast"/>
        </w:trPr>
        <w:tc>
          <w:tcPr>
            <w:tcW w:w="1946" w:type="dxa"/>
          </w:tcPr>
          <w:p>
            <w:pPr>
              <w:pStyle w:val="TableParagraph"/>
              <w:spacing w:before="53"/>
              <w:ind w:left="55"/>
              <w:rPr>
                <w:rFonts w:ascii="Segoe UI"/>
                <w:sz w:val="21"/>
              </w:rPr>
            </w:pPr>
            <w:r>
              <w:rPr>
                <w:rFonts w:ascii="Segoe UI"/>
                <w:sz w:val="21"/>
              </w:rPr>
              <w:t>Stroke </w:t>
            </w:r>
            <w:r>
              <w:rPr>
                <w:rFonts w:ascii="Segoe UI"/>
                <w:spacing w:val="-2"/>
                <w:sz w:val="21"/>
              </w:rPr>
              <w:t>Association</w:t>
            </w:r>
          </w:p>
        </w:tc>
        <w:tc>
          <w:tcPr>
            <w:tcW w:w="2196" w:type="dxa"/>
          </w:tcPr>
          <w:p>
            <w:pPr>
              <w:pStyle w:val="TableParagraph"/>
              <w:spacing w:before="53"/>
              <w:ind w:left="59"/>
              <w:rPr>
                <w:rFonts w:ascii="Segoe UI"/>
                <w:sz w:val="21"/>
              </w:rPr>
            </w:pPr>
            <w:r>
              <w:rPr>
                <w:rFonts w:ascii="Segoe UI"/>
                <w:sz w:val="21"/>
              </w:rPr>
              <w:t>Katie</w:t>
            </w:r>
            <w:r>
              <w:rPr>
                <w:rFonts w:ascii="Segoe UI"/>
                <w:spacing w:val="-5"/>
                <w:sz w:val="21"/>
              </w:rPr>
              <w:t> </w:t>
            </w:r>
            <w:r>
              <w:rPr>
                <w:rFonts w:ascii="Segoe UI"/>
                <w:spacing w:val="-2"/>
                <w:sz w:val="21"/>
              </w:rPr>
              <w:t>Chappelle</w:t>
            </w:r>
          </w:p>
        </w:tc>
        <w:tc>
          <w:tcPr>
            <w:tcW w:w="6623" w:type="dxa"/>
          </w:tcPr>
          <w:p>
            <w:pPr>
              <w:pStyle w:val="TableParagraph"/>
              <w:spacing w:before="53"/>
              <w:ind w:left="59" w:right="176"/>
              <w:rPr>
                <w:rFonts w:ascii="Segoe UI"/>
                <w:sz w:val="21"/>
              </w:rPr>
            </w:pPr>
            <w:r>
              <w:rPr>
                <w:rFonts w:ascii="Segoe UI"/>
                <w:sz w:val="21"/>
              </w:rPr>
              <w:t>Supporting</w:t>
            </w:r>
            <w:r>
              <w:rPr>
                <w:rFonts w:ascii="Segoe UI"/>
                <w:spacing w:val="-8"/>
                <w:sz w:val="21"/>
              </w:rPr>
              <w:t> </w:t>
            </w:r>
            <w:r>
              <w:rPr>
                <w:rFonts w:ascii="Segoe UI"/>
                <w:sz w:val="21"/>
              </w:rPr>
              <w:t>the</w:t>
            </w:r>
            <w:r>
              <w:rPr>
                <w:rFonts w:ascii="Segoe UI"/>
                <w:spacing w:val="-9"/>
                <w:sz w:val="21"/>
              </w:rPr>
              <w:t> </w:t>
            </w:r>
            <w:r>
              <w:rPr>
                <w:rFonts w:ascii="Segoe UI"/>
                <w:sz w:val="21"/>
              </w:rPr>
              <w:t>project.</w:t>
            </w:r>
            <w:r>
              <w:rPr>
                <w:rFonts w:ascii="Segoe UI"/>
                <w:spacing w:val="40"/>
                <w:sz w:val="21"/>
              </w:rPr>
              <w:t> </w:t>
            </w:r>
            <w:r>
              <w:rPr>
                <w:rFonts w:ascii="Segoe UI"/>
                <w:sz w:val="21"/>
              </w:rPr>
              <w:t>Facilitation.</w:t>
            </w:r>
            <w:r>
              <w:rPr>
                <w:rFonts w:ascii="Segoe UI"/>
                <w:spacing w:val="40"/>
                <w:sz w:val="21"/>
              </w:rPr>
              <w:t> </w:t>
            </w:r>
            <w:r>
              <w:rPr>
                <w:rFonts w:ascii="Segoe UI"/>
                <w:sz w:val="21"/>
              </w:rPr>
              <w:t>Patient</w:t>
            </w:r>
            <w:r>
              <w:rPr>
                <w:rFonts w:ascii="Segoe UI"/>
                <w:spacing w:val="-5"/>
                <w:sz w:val="21"/>
              </w:rPr>
              <w:t> </w:t>
            </w:r>
            <w:r>
              <w:rPr>
                <w:rFonts w:ascii="Segoe UI"/>
                <w:sz w:val="21"/>
              </w:rPr>
              <w:t>perspective.</w:t>
            </w:r>
            <w:r>
              <w:rPr>
                <w:rFonts w:ascii="Segoe UI"/>
                <w:spacing w:val="-5"/>
                <w:sz w:val="21"/>
              </w:rPr>
              <w:t> </w:t>
            </w:r>
            <w:r>
              <w:rPr>
                <w:rFonts w:ascii="Segoe UI"/>
                <w:sz w:val="21"/>
              </w:rPr>
              <w:t>Workshop and proposal delivery.</w:t>
            </w:r>
          </w:p>
        </w:tc>
      </w:tr>
      <w:tr>
        <w:trPr>
          <w:trHeight w:val="670" w:hRule="atLeast"/>
        </w:trPr>
        <w:tc>
          <w:tcPr>
            <w:tcW w:w="1946" w:type="dxa"/>
          </w:tcPr>
          <w:p>
            <w:pPr>
              <w:pStyle w:val="TableParagraph"/>
              <w:spacing w:before="53"/>
              <w:ind w:left="55"/>
              <w:rPr>
                <w:rFonts w:ascii="Segoe UI"/>
                <w:sz w:val="21"/>
              </w:rPr>
            </w:pPr>
            <w:r>
              <w:rPr>
                <w:rFonts w:ascii="Segoe UI"/>
                <w:sz w:val="21"/>
              </w:rPr>
              <w:t>Stroke </w:t>
            </w:r>
            <w:r>
              <w:rPr>
                <w:rFonts w:ascii="Segoe UI"/>
                <w:spacing w:val="-2"/>
                <w:sz w:val="21"/>
              </w:rPr>
              <w:t>Association</w:t>
            </w:r>
          </w:p>
        </w:tc>
        <w:tc>
          <w:tcPr>
            <w:tcW w:w="2196" w:type="dxa"/>
          </w:tcPr>
          <w:p>
            <w:pPr>
              <w:pStyle w:val="TableParagraph"/>
              <w:spacing w:before="53"/>
              <w:ind w:left="59"/>
              <w:rPr>
                <w:rFonts w:ascii="Segoe UI"/>
                <w:sz w:val="21"/>
              </w:rPr>
            </w:pPr>
            <w:r>
              <w:rPr>
                <w:rFonts w:ascii="Segoe UI"/>
                <w:sz w:val="21"/>
              </w:rPr>
              <w:t>Kate</w:t>
            </w:r>
            <w:r>
              <w:rPr>
                <w:rFonts w:ascii="Segoe UI"/>
                <w:spacing w:val="-6"/>
                <w:sz w:val="21"/>
              </w:rPr>
              <w:t> </w:t>
            </w:r>
            <w:r>
              <w:rPr>
                <w:rFonts w:ascii="Segoe UI"/>
                <w:spacing w:val="-2"/>
                <w:sz w:val="21"/>
              </w:rPr>
              <w:t>Yearsley</w:t>
            </w:r>
          </w:p>
        </w:tc>
        <w:tc>
          <w:tcPr>
            <w:tcW w:w="6623" w:type="dxa"/>
          </w:tcPr>
          <w:p>
            <w:pPr>
              <w:pStyle w:val="TableParagraph"/>
              <w:spacing w:before="53"/>
              <w:ind w:left="59" w:right="176"/>
              <w:rPr>
                <w:rFonts w:ascii="Segoe UI"/>
                <w:sz w:val="21"/>
              </w:rPr>
            </w:pPr>
            <w:r>
              <w:rPr>
                <w:rFonts w:ascii="Segoe UI"/>
                <w:sz w:val="21"/>
              </w:rPr>
              <w:t>Supporting</w:t>
            </w:r>
            <w:r>
              <w:rPr>
                <w:rFonts w:ascii="Segoe UI"/>
                <w:spacing w:val="-8"/>
                <w:sz w:val="21"/>
              </w:rPr>
              <w:t> </w:t>
            </w:r>
            <w:r>
              <w:rPr>
                <w:rFonts w:ascii="Segoe UI"/>
                <w:sz w:val="21"/>
              </w:rPr>
              <w:t>the</w:t>
            </w:r>
            <w:r>
              <w:rPr>
                <w:rFonts w:ascii="Segoe UI"/>
                <w:spacing w:val="-9"/>
                <w:sz w:val="21"/>
              </w:rPr>
              <w:t> </w:t>
            </w:r>
            <w:r>
              <w:rPr>
                <w:rFonts w:ascii="Segoe UI"/>
                <w:sz w:val="21"/>
              </w:rPr>
              <w:t>project.</w:t>
            </w:r>
            <w:r>
              <w:rPr>
                <w:rFonts w:ascii="Segoe UI"/>
                <w:spacing w:val="40"/>
                <w:sz w:val="21"/>
              </w:rPr>
              <w:t> </w:t>
            </w:r>
            <w:r>
              <w:rPr>
                <w:rFonts w:ascii="Segoe UI"/>
                <w:sz w:val="21"/>
              </w:rPr>
              <w:t>Facilitation.</w:t>
            </w:r>
            <w:r>
              <w:rPr>
                <w:rFonts w:ascii="Segoe UI"/>
                <w:spacing w:val="40"/>
                <w:sz w:val="21"/>
              </w:rPr>
              <w:t> </w:t>
            </w:r>
            <w:r>
              <w:rPr>
                <w:rFonts w:ascii="Segoe UI"/>
                <w:sz w:val="21"/>
              </w:rPr>
              <w:t>Patient</w:t>
            </w:r>
            <w:r>
              <w:rPr>
                <w:rFonts w:ascii="Segoe UI"/>
                <w:spacing w:val="-5"/>
                <w:sz w:val="21"/>
              </w:rPr>
              <w:t> </w:t>
            </w:r>
            <w:r>
              <w:rPr>
                <w:rFonts w:ascii="Segoe UI"/>
                <w:sz w:val="21"/>
              </w:rPr>
              <w:t>perspective.</w:t>
            </w:r>
            <w:r>
              <w:rPr>
                <w:rFonts w:ascii="Segoe UI"/>
                <w:spacing w:val="-5"/>
                <w:sz w:val="21"/>
              </w:rPr>
              <w:t> </w:t>
            </w:r>
            <w:r>
              <w:rPr>
                <w:rFonts w:ascii="Segoe UI"/>
                <w:sz w:val="21"/>
              </w:rPr>
              <w:t>Workshop and proposal delivery.</w:t>
            </w:r>
          </w:p>
        </w:tc>
      </w:tr>
      <w:tr>
        <w:trPr>
          <w:trHeight w:val="395" w:hRule="atLeast"/>
        </w:trPr>
        <w:tc>
          <w:tcPr>
            <w:tcW w:w="1946" w:type="dxa"/>
          </w:tcPr>
          <w:p>
            <w:pPr>
              <w:pStyle w:val="TableParagraph"/>
              <w:spacing w:before="53"/>
              <w:ind w:left="55"/>
              <w:rPr>
                <w:rFonts w:ascii="Segoe UI"/>
                <w:sz w:val="21"/>
              </w:rPr>
            </w:pPr>
            <w:r>
              <w:rPr>
                <w:rFonts w:ascii="Segoe UI"/>
                <w:sz w:val="21"/>
              </w:rPr>
              <w:t>Life</w:t>
            </w:r>
            <w:r>
              <w:rPr>
                <w:rFonts w:ascii="Segoe UI"/>
                <w:spacing w:val="-3"/>
                <w:sz w:val="21"/>
              </w:rPr>
              <w:t> </w:t>
            </w:r>
            <w:r>
              <w:rPr>
                <w:rFonts w:ascii="Segoe UI"/>
                <w:sz w:val="21"/>
              </w:rPr>
              <w:t>Science</w:t>
            </w:r>
            <w:r>
              <w:rPr>
                <w:rFonts w:ascii="Segoe UI"/>
                <w:spacing w:val="-3"/>
                <w:sz w:val="21"/>
              </w:rPr>
              <w:t> </w:t>
            </w:r>
            <w:r>
              <w:rPr>
                <w:rFonts w:ascii="Segoe UI"/>
                <w:spacing w:val="-5"/>
                <w:sz w:val="21"/>
              </w:rPr>
              <w:t>Hub</w:t>
            </w:r>
          </w:p>
        </w:tc>
        <w:tc>
          <w:tcPr>
            <w:tcW w:w="2196" w:type="dxa"/>
          </w:tcPr>
          <w:p>
            <w:pPr>
              <w:pStyle w:val="TableParagraph"/>
              <w:spacing w:before="53"/>
              <w:ind w:left="59"/>
              <w:rPr>
                <w:rFonts w:ascii="Segoe UI"/>
                <w:sz w:val="21"/>
              </w:rPr>
            </w:pPr>
            <w:r>
              <w:rPr>
                <w:rFonts w:ascii="Segoe UI"/>
                <w:sz w:val="21"/>
              </w:rPr>
              <w:t>Rhodri </w:t>
            </w:r>
            <w:r>
              <w:rPr>
                <w:rFonts w:ascii="Segoe UI"/>
                <w:spacing w:val="-2"/>
                <w:sz w:val="21"/>
              </w:rPr>
              <w:t>Griffiths</w:t>
            </w:r>
          </w:p>
        </w:tc>
        <w:tc>
          <w:tcPr>
            <w:tcW w:w="6623" w:type="dxa"/>
          </w:tcPr>
          <w:p>
            <w:pPr>
              <w:pStyle w:val="TableParagraph"/>
              <w:spacing w:before="53"/>
              <w:ind w:left="59"/>
              <w:rPr>
                <w:rFonts w:ascii="Segoe UI"/>
                <w:sz w:val="21"/>
              </w:rPr>
            </w:pPr>
            <w:r>
              <w:rPr>
                <w:rFonts w:ascii="Segoe UI"/>
                <w:sz w:val="21"/>
              </w:rPr>
              <w:t>Sector</w:t>
            </w:r>
            <w:r>
              <w:rPr>
                <w:rFonts w:ascii="Segoe UI"/>
                <w:spacing w:val="-1"/>
                <w:sz w:val="21"/>
              </w:rPr>
              <w:t> </w:t>
            </w:r>
            <w:r>
              <w:rPr>
                <w:rFonts w:ascii="Segoe UI"/>
                <w:sz w:val="21"/>
              </w:rPr>
              <w:t>insights</w:t>
            </w:r>
            <w:r>
              <w:rPr>
                <w:rFonts w:ascii="Segoe UI"/>
                <w:spacing w:val="-2"/>
                <w:sz w:val="21"/>
              </w:rPr>
              <w:t> </w:t>
            </w:r>
            <w:r>
              <w:rPr>
                <w:rFonts w:ascii="Segoe UI"/>
                <w:sz w:val="21"/>
              </w:rPr>
              <w:t>and</w:t>
            </w:r>
            <w:r>
              <w:rPr>
                <w:rFonts w:ascii="Segoe UI"/>
                <w:spacing w:val="-2"/>
                <w:sz w:val="21"/>
              </w:rPr>
              <w:t> </w:t>
            </w:r>
            <w:r>
              <w:rPr>
                <w:rFonts w:ascii="Segoe UI"/>
                <w:sz w:val="21"/>
              </w:rPr>
              <w:t>emerging</w:t>
            </w:r>
            <w:r>
              <w:rPr>
                <w:rFonts w:ascii="Segoe UI"/>
                <w:spacing w:val="-1"/>
                <w:sz w:val="21"/>
              </w:rPr>
              <w:t> </w:t>
            </w:r>
            <w:r>
              <w:rPr>
                <w:rFonts w:ascii="Segoe UI"/>
                <w:spacing w:val="-2"/>
                <w:sz w:val="21"/>
              </w:rPr>
              <w:t>technologies</w:t>
            </w:r>
          </w:p>
        </w:tc>
      </w:tr>
    </w:tbl>
    <w:p>
      <w:pPr>
        <w:pStyle w:val="BodyText"/>
        <w:rPr>
          <w:rFonts w:ascii="Segoe UI"/>
          <w:b/>
          <w:sz w:val="30"/>
        </w:rPr>
      </w:pPr>
    </w:p>
    <w:p>
      <w:pPr>
        <w:pStyle w:val="BodyText"/>
        <w:rPr>
          <w:rFonts w:ascii="Segoe UI"/>
          <w:b/>
          <w:sz w:val="30"/>
        </w:rPr>
      </w:pPr>
    </w:p>
    <w:p>
      <w:pPr>
        <w:pStyle w:val="BodyText"/>
        <w:rPr>
          <w:rFonts w:ascii="Segoe UI"/>
          <w:b/>
          <w:sz w:val="30"/>
        </w:rPr>
      </w:pPr>
    </w:p>
    <w:p>
      <w:pPr>
        <w:pStyle w:val="BodyText"/>
        <w:rPr>
          <w:rFonts w:ascii="Segoe UI"/>
          <w:b/>
          <w:sz w:val="30"/>
        </w:rPr>
      </w:pPr>
    </w:p>
    <w:p>
      <w:pPr>
        <w:pStyle w:val="BodyText"/>
        <w:rPr>
          <w:rFonts w:ascii="Segoe UI"/>
          <w:b/>
          <w:sz w:val="30"/>
        </w:rPr>
      </w:pPr>
    </w:p>
    <w:p>
      <w:pPr>
        <w:pStyle w:val="BodyText"/>
        <w:rPr>
          <w:rFonts w:ascii="Segoe UI"/>
          <w:b/>
          <w:sz w:val="30"/>
        </w:rPr>
      </w:pPr>
    </w:p>
    <w:p>
      <w:pPr>
        <w:pStyle w:val="BodyText"/>
        <w:rPr>
          <w:rFonts w:ascii="Segoe UI"/>
          <w:b/>
          <w:sz w:val="30"/>
        </w:rPr>
      </w:pPr>
    </w:p>
    <w:p>
      <w:pPr>
        <w:pStyle w:val="BodyText"/>
        <w:rPr>
          <w:rFonts w:ascii="Segoe UI"/>
          <w:b/>
          <w:sz w:val="30"/>
        </w:rPr>
      </w:pPr>
    </w:p>
    <w:p>
      <w:pPr>
        <w:pStyle w:val="BodyText"/>
        <w:spacing w:before="160"/>
        <w:rPr>
          <w:rFonts w:ascii="Segoe UI"/>
          <w:b/>
          <w:sz w:val="30"/>
        </w:rPr>
      </w:pPr>
    </w:p>
    <w:p>
      <w:pPr>
        <w:spacing w:before="1"/>
        <w:ind w:left="60" w:right="57" w:firstLine="0"/>
        <w:jc w:val="center"/>
        <w:rPr>
          <w:rFonts w:ascii="Calibri"/>
          <w:sz w:val="16"/>
        </w:rPr>
      </w:pPr>
      <w:r>
        <w:rPr>
          <w:rFonts w:ascii="Calibri"/>
          <w:color w:val="787878"/>
          <w:w w:val="105"/>
          <w:sz w:val="16"/>
        </w:rPr>
        <w:t>Regional</w:t>
      </w:r>
      <w:r>
        <w:rPr>
          <w:rFonts w:ascii="Calibri"/>
          <w:color w:val="787878"/>
          <w:spacing w:val="-1"/>
          <w:w w:val="105"/>
          <w:sz w:val="16"/>
        </w:rPr>
        <w:t> </w:t>
      </w:r>
      <w:r>
        <w:rPr>
          <w:rFonts w:ascii="Calibri"/>
          <w:color w:val="787878"/>
          <w:w w:val="105"/>
          <w:sz w:val="16"/>
        </w:rPr>
        <w:t>Stroke</w:t>
      </w:r>
      <w:r>
        <w:rPr>
          <w:rFonts w:ascii="Calibri"/>
          <w:color w:val="787878"/>
          <w:spacing w:val="-4"/>
          <w:w w:val="105"/>
          <w:sz w:val="16"/>
        </w:rPr>
        <w:t> </w:t>
      </w:r>
      <w:r>
        <w:rPr>
          <w:rFonts w:ascii="Calibri"/>
          <w:color w:val="787878"/>
          <w:spacing w:val="-5"/>
          <w:w w:val="105"/>
          <w:sz w:val="16"/>
        </w:rPr>
        <w:t>PID</w:t>
      </w:r>
    </w:p>
    <w:p>
      <w:pPr>
        <w:spacing w:after="0"/>
        <w:jc w:val="center"/>
        <w:rPr>
          <w:rFonts w:ascii="Calibri"/>
          <w:sz w:val="16"/>
        </w:rPr>
        <w:sectPr>
          <w:pgSz w:w="12240" w:h="15840"/>
          <w:pgMar w:header="0" w:footer="147" w:top="140" w:bottom="340" w:left="141" w:right="141"/>
        </w:sectPr>
      </w:pPr>
    </w:p>
    <w:p>
      <w:pPr>
        <w:tabs>
          <w:tab w:pos="10882" w:val="left" w:leader="none"/>
        </w:tabs>
        <w:spacing w:line="240" w:lineRule="auto"/>
        <w:ind w:left="1026" w:right="0" w:firstLine="0"/>
        <w:rPr>
          <w:rFonts w:ascii="Calibri"/>
          <w:position w:val="1"/>
          <w:sz w:val="20"/>
        </w:rPr>
      </w:pPr>
      <w:r>
        <w:rPr>
          <w:rFonts w:ascii="Calibri"/>
          <w:sz w:val="20"/>
        </w:rPr>
        <w:drawing>
          <wp:inline distT="0" distB="0" distL="0" distR="0">
            <wp:extent cx="1805958" cy="449579"/>
            <wp:effectExtent l="0" t="0" r="0" b="0"/>
            <wp:docPr id="267" name="Image 267"/>
            <wp:cNvGraphicFramePr>
              <a:graphicFrameLocks/>
            </wp:cNvGraphicFramePr>
            <a:graphic>
              <a:graphicData uri="http://schemas.openxmlformats.org/drawingml/2006/picture">
                <pic:pic>
                  <pic:nvPicPr>
                    <pic:cNvPr id="267" name="Image 267"/>
                    <pic:cNvPicPr/>
                  </pic:nvPicPr>
                  <pic:blipFill>
                    <a:blip r:embed="rId62" cstate="print"/>
                    <a:stretch>
                      <a:fillRect/>
                    </a:stretch>
                  </pic:blipFill>
                  <pic:spPr>
                    <a:xfrm>
                      <a:off x="0" y="0"/>
                      <a:ext cx="1805958" cy="449579"/>
                    </a:xfrm>
                    <a:prstGeom prst="rect">
                      <a:avLst/>
                    </a:prstGeom>
                  </pic:spPr>
                </pic:pic>
              </a:graphicData>
            </a:graphic>
          </wp:inline>
        </w:drawing>
      </w:r>
      <w:r>
        <w:rPr>
          <w:rFonts w:ascii="Calibri"/>
          <w:sz w:val="20"/>
        </w:rPr>
      </w:r>
      <w:r>
        <w:rPr>
          <w:rFonts w:ascii="Calibri"/>
          <w:sz w:val="20"/>
        </w:rPr>
        <w:tab/>
      </w:r>
      <w:r>
        <w:rPr>
          <w:rFonts w:ascii="Calibri"/>
          <w:position w:val="1"/>
          <w:sz w:val="20"/>
        </w:rPr>
        <w:drawing>
          <wp:inline distT="0" distB="0" distL="0" distR="0">
            <wp:extent cx="1743295" cy="445007"/>
            <wp:effectExtent l="0" t="0" r="0" b="0"/>
            <wp:docPr id="268" name="Image 268"/>
            <wp:cNvGraphicFramePr>
              <a:graphicFrameLocks/>
            </wp:cNvGraphicFramePr>
            <a:graphic>
              <a:graphicData uri="http://schemas.openxmlformats.org/drawingml/2006/picture">
                <pic:pic>
                  <pic:nvPicPr>
                    <pic:cNvPr id="268" name="Image 268"/>
                    <pic:cNvPicPr/>
                  </pic:nvPicPr>
                  <pic:blipFill>
                    <a:blip r:embed="rId63" cstate="print"/>
                    <a:stretch>
                      <a:fillRect/>
                    </a:stretch>
                  </pic:blipFill>
                  <pic:spPr>
                    <a:xfrm>
                      <a:off x="0" y="0"/>
                      <a:ext cx="1743295" cy="445007"/>
                    </a:xfrm>
                    <a:prstGeom prst="rect">
                      <a:avLst/>
                    </a:prstGeom>
                  </pic:spPr>
                </pic:pic>
              </a:graphicData>
            </a:graphic>
          </wp:inline>
        </w:drawing>
      </w:r>
      <w:r>
        <w:rPr>
          <w:rFonts w:ascii="Calibri"/>
          <w:position w:val="1"/>
          <w:sz w:val="20"/>
        </w:rPr>
      </w:r>
    </w:p>
    <w:p>
      <w:pPr>
        <w:spacing w:before="24"/>
        <w:ind w:left="9" w:right="6" w:firstLine="0"/>
        <w:jc w:val="center"/>
        <w:rPr>
          <w:b/>
          <w:sz w:val="20"/>
        </w:rPr>
      </w:pPr>
      <w:bookmarkStart w:name="RJC 37b Clinical Services Planning Subgr" w:id="23"/>
      <w:bookmarkEnd w:id="23"/>
      <w:r>
        <w:rPr/>
      </w: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before="75"/>
        <w:ind w:left="9" w:right="0" w:firstLine="0"/>
        <w:jc w:val="center"/>
        <w:rPr>
          <w:b/>
          <w:sz w:val="36"/>
        </w:rPr>
      </w:pPr>
      <w:r>
        <w:rPr>
          <w:b/>
          <w:color w:val="1F4E79"/>
          <w:sz w:val="36"/>
        </w:rPr>
        <w:t>Clinical</w:t>
      </w:r>
      <w:r>
        <w:rPr>
          <w:b/>
          <w:color w:val="1F4E79"/>
          <w:spacing w:val="-4"/>
          <w:sz w:val="36"/>
        </w:rPr>
        <w:t> </w:t>
      </w:r>
      <w:r>
        <w:rPr>
          <w:b/>
          <w:color w:val="1F4E79"/>
          <w:sz w:val="36"/>
        </w:rPr>
        <w:t>Services</w:t>
      </w:r>
      <w:r>
        <w:rPr>
          <w:b/>
          <w:color w:val="1F4E79"/>
          <w:spacing w:val="-4"/>
          <w:sz w:val="36"/>
        </w:rPr>
        <w:t> </w:t>
      </w:r>
      <w:r>
        <w:rPr>
          <w:b/>
          <w:color w:val="1F4E79"/>
          <w:sz w:val="36"/>
        </w:rPr>
        <w:t>Planning</w:t>
      </w:r>
      <w:r>
        <w:rPr>
          <w:b/>
          <w:color w:val="1F4E79"/>
          <w:spacing w:val="-4"/>
          <w:sz w:val="36"/>
        </w:rPr>
        <w:t> </w:t>
      </w:r>
      <w:r>
        <w:rPr>
          <w:b/>
          <w:color w:val="1F4E79"/>
          <w:sz w:val="36"/>
        </w:rPr>
        <w:t>Subgroup</w:t>
      </w:r>
      <w:r>
        <w:rPr>
          <w:b/>
          <w:color w:val="1F4E79"/>
          <w:spacing w:val="-3"/>
          <w:sz w:val="36"/>
        </w:rPr>
        <w:t> </w:t>
      </w:r>
      <w:r>
        <w:rPr>
          <w:b/>
          <w:color w:val="1F4E79"/>
          <w:sz w:val="36"/>
        </w:rPr>
        <w:t>Work</w:t>
      </w:r>
      <w:r>
        <w:rPr>
          <w:b/>
          <w:color w:val="1F4E79"/>
          <w:spacing w:val="-4"/>
          <w:sz w:val="36"/>
        </w:rPr>
        <w:t> </w:t>
      </w:r>
      <w:r>
        <w:rPr>
          <w:b/>
          <w:color w:val="1F4E79"/>
          <w:sz w:val="36"/>
        </w:rPr>
        <w:t>Programme</w:t>
      </w:r>
      <w:r>
        <w:rPr>
          <w:b/>
          <w:color w:val="1F4E79"/>
          <w:spacing w:val="-3"/>
          <w:sz w:val="36"/>
        </w:rPr>
        <w:t> </w:t>
      </w:r>
      <w:r>
        <w:rPr>
          <w:b/>
          <w:color w:val="1F4E79"/>
          <w:spacing w:val="-2"/>
          <w:sz w:val="36"/>
        </w:rPr>
        <w:t>Summary</w:t>
      </w:r>
    </w:p>
    <w:p>
      <w:pPr>
        <w:pStyle w:val="Heading8"/>
        <w:numPr>
          <w:ilvl w:val="0"/>
          <w:numId w:val="15"/>
        </w:numPr>
        <w:tabs>
          <w:tab w:pos="367" w:val="left" w:leader="none"/>
        </w:tabs>
        <w:spacing w:line="240" w:lineRule="auto" w:before="220" w:after="0"/>
        <w:ind w:left="367" w:right="0" w:hanging="284"/>
        <w:jc w:val="left"/>
      </w:pPr>
      <w:r>
        <w:rPr>
          <w:color w:val="001F5F"/>
        </w:rPr>
        <w:t>Subgroup</w:t>
      </w:r>
      <w:r>
        <w:rPr>
          <w:color w:val="001F5F"/>
          <w:spacing w:val="-3"/>
        </w:rPr>
        <w:t> </w:t>
      </w:r>
      <w:r>
        <w:rPr>
          <w:color w:val="001F5F"/>
          <w:spacing w:val="-2"/>
        </w:rPr>
        <w:t>Summary</w:t>
      </w:r>
    </w:p>
    <w:p>
      <w:pPr>
        <w:pStyle w:val="BodyText"/>
        <w:spacing w:before="10"/>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3081"/>
        <w:gridCol w:w="12444"/>
      </w:tblGrid>
      <w:tr>
        <w:trPr>
          <w:trHeight w:val="510" w:hRule="atLeast"/>
        </w:trPr>
        <w:tc>
          <w:tcPr>
            <w:tcW w:w="3081" w:type="dxa"/>
            <w:shd w:val="clear" w:color="auto" w:fill="1F4E79"/>
          </w:tcPr>
          <w:p>
            <w:pPr>
              <w:pStyle w:val="TableParagraph"/>
              <w:spacing w:before="151"/>
              <w:ind w:left="87"/>
              <w:rPr>
                <w:b/>
                <w:sz w:val="17"/>
              </w:rPr>
            </w:pPr>
            <w:r>
              <w:rPr>
                <w:b/>
                <w:color w:val="FFFFFF"/>
                <w:sz w:val="17"/>
              </w:rPr>
              <w:t>Reporting</w:t>
            </w:r>
            <w:r>
              <w:rPr>
                <w:b/>
                <w:color w:val="FFFFFF"/>
                <w:spacing w:val="-4"/>
                <w:sz w:val="17"/>
              </w:rPr>
              <w:t> </w:t>
            </w:r>
            <w:r>
              <w:rPr>
                <w:b/>
                <w:color w:val="FFFFFF"/>
                <w:spacing w:val="-2"/>
                <w:sz w:val="17"/>
              </w:rPr>
              <w:t>Period</w:t>
            </w:r>
          </w:p>
        </w:tc>
        <w:tc>
          <w:tcPr>
            <w:tcW w:w="12444" w:type="dxa"/>
          </w:tcPr>
          <w:p>
            <w:pPr>
              <w:pStyle w:val="TableParagraph"/>
              <w:spacing w:before="151"/>
              <w:ind w:left="92"/>
              <w:rPr>
                <w:sz w:val="17"/>
              </w:rPr>
            </w:pPr>
            <w:r>
              <w:rPr>
                <w:sz w:val="17"/>
              </w:rPr>
              <w:t>April</w:t>
            </w:r>
            <w:r>
              <w:rPr>
                <w:spacing w:val="-3"/>
                <w:sz w:val="17"/>
              </w:rPr>
              <w:t> </w:t>
            </w:r>
            <w:r>
              <w:rPr>
                <w:sz w:val="17"/>
              </w:rPr>
              <w:t>–</w:t>
            </w:r>
            <w:r>
              <w:rPr>
                <w:spacing w:val="-4"/>
                <w:sz w:val="17"/>
              </w:rPr>
              <w:t> </w:t>
            </w:r>
            <w:r>
              <w:rPr>
                <w:sz w:val="17"/>
              </w:rPr>
              <w:t>September</w:t>
            </w:r>
            <w:r>
              <w:rPr>
                <w:spacing w:val="-5"/>
                <w:sz w:val="17"/>
              </w:rPr>
              <w:t> </w:t>
            </w:r>
            <w:r>
              <w:rPr>
                <w:spacing w:val="-4"/>
                <w:sz w:val="17"/>
              </w:rPr>
              <w:t>2026</w:t>
            </w:r>
          </w:p>
        </w:tc>
      </w:tr>
      <w:tr>
        <w:trPr>
          <w:trHeight w:val="510" w:hRule="atLeast"/>
        </w:trPr>
        <w:tc>
          <w:tcPr>
            <w:tcW w:w="3081" w:type="dxa"/>
            <w:shd w:val="clear" w:color="auto" w:fill="D9EAF7"/>
          </w:tcPr>
          <w:p>
            <w:pPr>
              <w:pStyle w:val="TableParagraph"/>
              <w:spacing w:before="150"/>
              <w:ind w:left="87"/>
              <w:rPr>
                <w:b/>
                <w:sz w:val="17"/>
              </w:rPr>
            </w:pPr>
            <w:r>
              <w:rPr>
                <w:b/>
                <w:sz w:val="17"/>
              </w:rPr>
              <w:t>Subgroup</w:t>
            </w:r>
            <w:r>
              <w:rPr>
                <w:b/>
                <w:spacing w:val="2"/>
                <w:sz w:val="17"/>
              </w:rPr>
              <w:t> </w:t>
            </w:r>
            <w:r>
              <w:rPr>
                <w:b/>
                <w:spacing w:val="-4"/>
                <w:sz w:val="17"/>
              </w:rPr>
              <w:t>Name</w:t>
            </w:r>
          </w:p>
        </w:tc>
        <w:tc>
          <w:tcPr>
            <w:tcW w:w="12444" w:type="dxa"/>
          </w:tcPr>
          <w:p>
            <w:pPr>
              <w:pStyle w:val="TableParagraph"/>
              <w:spacing w:before="150"/>
              <w:ind w:left="92"/>
              <w:rPr>
                <w:sz w:val="17"/>
              </w:rPr>
            </w:pPr>
            <w:r>
              <w:rPr>
                <w:sz w:val="17"/>
              </w:rPr>
              <w:t>Clinical</w:t>
            </w:r>
            <w:r>
              <w:rPr>
                <w:spacing w:val="-2"/>
                <w:sz w:val="17"/>
              </w:rPr>
              <w:t> </w:t>
            </w:r>
            <w:r>
              <w:rPr>
                <w:sz w:val="17"/>
              </w:rPr>
              <w:t>Services</w:t>
            </w:r>
            <w:r>
              <w:rPr>
                <w:spacing w:val="-4"/>
                <w:sz w:val="17"/>
              </w:rPr>
              <w:t> </w:t>
            </w:r>
            <w:r>
              <w:rPr>
                <w:sz w:val="17"/>
              </w:rPr>
              <w:t>Planning</w:t>
            </w:r>
            <w:r>
              <w:rPr>
                <w:spacing w:val="-3"/>
                <w:sz w:val="17"/>
              </w:rPr>
              <w:t> </w:t>
            </w:r>
            <w:r>
              <w:rPr>
                <w:spacing w:val="-2"/>
                <w:sz w:val="17"/>
              </w:rPr>
              <w:t>Subgroup</w:t>
            </w:r>
          </w:p>
        </w:tc>
      </w:tr>
      <w:tr>
        <w:trPr>
          <w:trHeight w:val="510" w:hRule="atLeast"/>
        </w:trPr>
        <w:tc>
          <w:tcPr>
            <w:tcW w:w="3081" w:type="dxa"/>
            <w:shd w:val="clear" w:color="auto" w:fill="D9EAF7"/>
          </w:tcPr>
          <w:p>
            <w:pPr>
              <w:pStyle w:val="TableParagraph"/>
              <w:spacing w:before="151"/>
              <w:ind w:left="87"/>
              <w:rPr>
                <w:b/>
                <w:sz w:val="17"/>
              </w:rPr>
            </w:pPr>
            <w:r>
              <w:rPr>
                <w:b/>
                <w:sz w:val="17"/>
              </w:rPr>
              <w:t>Subgroup</w:t>
            </w:r>
            <w:r>
              <w:rPr>
                <w:b/>
                <w:spacing w:val="4"/>
                <w:sz w:val="17"/>
              </w:rPr>
              <w:t> </w:t>
            </w:r>
            <w:r>
              <w:rPr>
                <w:b/>
                <w:spacing w:val="-2"/>
                <w:sz w:val="17"/>
              </w:rPr>
              <w:t>Lead(s)</w:t>
            </w:r>
          </w:p>
        </w:tc>
        <w:tc>
          <w:tcPr>
            <w:tcW w:w="12444" w:type="dxa"/>
          </w:tcPr>
          <w:p>
            <w:pPr>
              <w:pStyle w:val="TableParagraph"/>
              <w:spacing w:before="151"/>
              <w:ind w:left="92"/>
              <w:rPr>
                <w:sz w:val="17"/>
              </w:rPr>
            </w:pPr>
            <w:r>
              <w:rPr>
                <w:sz w:val="17"/>
              </w:rPr>
              <w:t>Marie</w:t>
            </w:r>
            <w:r>
              <w:rPr>
                <w:spacing w:val="-4"/>
                <w:sz w:val="17"/>
              </w:rPr>
              <w:t> </w:t>
            </w:r>
            <w:r>
              <w:rPr>
                <w:spacing w:val="-2"/>
                <w:sz w:val="17"/>
              </w:rPr>
              <w:t>Davies</w:t>
            </w:r>
          </w:p>
        </w:tc>
      </w:tr>
      <w:tr>
        <w:trPr>
          <w:trHeight w:val="510" w:hRule="atLeast"/>
        </w:trPr>
        <w:tc>
          <w:tcPr>
            <w:tcW w:w="3081" w:type="dxa"/>
            <w:shd w:val="clear" w:color="auto" w:fill="D9EAF7"/>
          </w:tcPr>
          <w:p>
            <w:pPr>
              <w:pStyle w:val="TableParagraph"/>
              <w:spacing w:before="150"/>
              <w:ind w:left="87"/>
              <w:rPr>
                <w:b/>
                <w:sz w:val="17"/>
              </w:rPr>
            </w:pPr>
            <w:r>
              <w:rPr>
                <w:b/>
                <w:sz w:val="17"/>
              </w:rPr>
              <w:t>Operational</w:t>
            </w:r>
            <w:r>
              <w:rPr>
                <w:b/>
                <w:spacing w:val="-11"/>
                <w:sz w:val="17"/>
              </w:rPr>
              <w:t> </w:t>
            </w:r>
            <w:r>
              <w:rPr>
                <w:b/>
                <w:spacing w:val="-2"/>
                <w:sz w:val="17"/>
              </w:rPr>
              <w:t>Lead(s)</w:t>
            </w:r>
          </w:p>
        </w:tc>
        <w:tc>
          <w:tcPr>
            <w:tcW w:w="12444" w:type="dxa"/>
          </w:tcPr>
          <w:p>
            <w:pPr>
              <w:pStyle w:val="TableParagraph"/>
              <w:spacing w:before="150"/>
              <w:ind w:left="92"/>
              <w:rPr>
                <w:sz w:val="17"/>
              </w:rPr>
            </w:pPr>
            <w:r>
              <w:rPr>
                <w:sz w:val="17"/>
              </w:rPr>
              <w:t>Andrew</w:t>
            </w:r>
            <w:r>
              <w:rPr>
                <w:spacing w:val="-4"/>
                <w:sz w:val="17"/>
              </w:rPr>
              <w:t> </w:t>
            </w:r>
            <w:r>
              <w:rPr>
                <w:sz w:val="17"/>
              </w:rPr>
              <w:t>Carruthers</w:t>
            </w:r>
            <w:r>
              <w:rPr>
                <w:spacing w:val="-6"/>
                <w:sz w:val="17"/>
              </w:rPr>
              <w:t> </w:t>
            </w:r>
            <w:r>
              <w:rPr>
                <w:sz w:val="17"/>
              </w:rPr>
              <w:t>and</w:t>
            </w:r>
            <w:r>
              <w:rPr>
                <w:spacing w:val="-5"/>
                <w:sz w:val="17"/>
              </w:rPr>
              <w:t> </w:t>
            </w:r>
            <w:r>
              <w:rPr>
                <w:sz w:val="17"/>
              </w:rPr>
              <w:t>Jon</w:t>
            </w:r>
            <w:r>
              <w:rPr>
                <w:spacing w:val="-5"/>
                <w:sz w:val="17"/>
              </w:rPr>
              <w:t> </w:t>
            </w:r>
            <w:r>
              <w:rPr>
                <w:spacing w:val="-2"/>
                <w:sz w:val="17"/>
              </w:rPr>
              <w:t>Scott</w:t>
            </w:r>
          </w:p>
        </w:tc>
      </w:tr>
      <w:tr>
        <w:trPr>
          <w:trHeight w:val="510" w:hRule="atLeast"/>
        </w:trPr>
        <w:tc>
          <w:tcPr>
            <w:tcW w:w="3081" w:type="dxa"/>
            <w:shd w:val="clear" w:color="auto" w:fill="D9EAF7"/>
          </w:tcPr>
          <w:p>
            <w:pPr>
              <w:pStyle w:val="TableParagraph"/>
              <w:spacing w:before="150"/>
              <w:ind w:left="87"/>
              <w:rPr>
                <w:b/>
                <w:sz w:val="17"/>
              </w:rPr>
            </w:pPr>
            <w:r>
              <w:rPr>
                <w:b/>
                <w:spacing w:val="-2"/>
                <w:sz w:val="17"/>
              </w:rPr>
              <w:t>Clinical</w:t>
            </w:r>
            <w:r>
              <w:rPr>
                <w:b/>
                <w:spacing w:val="2"/>
                <w:sz w:val="17"/>
              </w:rPr>
              <w:t> </w:t>
            </w:r>
            <w:r>
              <w:rPr>
                <w:b/>
                <w:spacing w:val="-2"/>
                <w:sz w:val="17"/>
              </w:rPr>
              <w:t>Lead(s)</w:t>
            </w:r>
          </w:p>
        </w:tc>
        <w:tc>
          <w:tcPr>
            <w:tcW w:w="12444" w:type="dxa"/>
          </w:tcPr>
          <w:p>
            <w:pPr>
              <w:pStyle w:val="TableParagraph"/>
              <w:spacing w:before="150"/>
              <w:ind w:left="92"/>
              <w:rPr>
                <w:sz w:val="17"/>
              </w:rPr>
            </w:pPr>
            <w:r>
              <w:rPr>
                <w:spacing w:val="-5"/>
                <w:sz w:val="17"/>
              </w:rPr>
              <w:t>N/A</w:t>
            </w:r>
          </w:p>
        </w:tc>
      </w:tr>
      <w:tr>
        <w:trPr>
          <w:trHeight w:val="510" w:hRule="atLeast"/>
        </w:trPr>
        <w:tc>
          <w:tcPr>
            <w:tcW w:w="3081" w:type="dxa"/>
            <w:shd w:val="clear" w:color="auto" w:fill="D9EAF7"/>
          </w:tcPr>
          <w:p>
            <w:pPr>
              <w:pStyle w:val="TableParagraph"/>
              <w:spacing w:before="150"/>
              <w:ind w:left="87"/>
              <w:rPr>
                <w:b/>
                <w:sz w:val="17"/>
              </w:rPr>
            </w:pPr>
            <w:r>
              <w:rPr>
                <w:b/>
                <w:sz w:val="17"/>
              </w:rPr>
              <w:t>Programme</w:t>
            </w:r>
            <w:r>
              <w:rPr>
                <w:b/>
                <w:spacing w:val="-8"/>
                <w:sz w:val="17"/>
              </w:rPr>
              <w:t> </w:t>
            </w:r>
            <w:r>
              <w:rPr>
                <w:b/>
                <w:spacing w:val="-4"/>
                <w:sz w:val="17"/>
              </w:rPr>
              <w:t>Lead</w:t>
            </w:r>
          </w:p>
        </w:tc>
        <w:tc>
          <w:tcPr>
            <w:tcW w:w="12444" w:type="dxa"/>
          </w:tcPr>
          <w:p>
            <w:pPr>
              <w:pStyle w:val="TableParagraph"/>
              <w:spacing w:before="150"/>
              <w:ind w:left="92"/>
              <w:rPr>
                <w:sz w:val="17"/>
              </w:rPr>
            </w:pPr>
            <w:r>
              <w:rPr>
                <w:sz w:val="17"/>
              </w:rPr>
              <w:t>Siôn </w:t>
            </w:r>
            <w:r>
              <w:rPr>
                <w:spacing w:val="-2"/>
                <w:sz w:val="17"/>
              </w:rPr>
              <w:t>Charles</w:t>
            </w:r>
          </w:p>
        </w:tc>
      </w:tr>
      <w:tr>
        <w:trPr>
          <w:trHeight w:val="510" w:hRule="atLeast"/>
        </w:trPr>
        <w:tc>
          <w:tcPr>
            <w:tcW w:w="3081" w:type="dxa"/>
            <w:shd w:val="clear" w:color="auto" w:fill="D9EAF7"/>
          </w:tcPr>
          <w:p>
            <w:pPr>
              <w:pStyle w:val="TableParagraph"/>
              <w:spacing w:before="150"/>
              <w:ind w:left="87"/>
              <w:rPr>
                <w:b/>
                <w:sz w:val="17"/>
              </w:rPr>
            </w:pPr>
            <w:r>
              <w:rPr>
                <w:b/>
                <w:sz w:val="17"/>
              </w:rPr>
              <w:t>Reports</w:t>
            </w:r>
            <w:r>
              <w:rPr>
                <w:b/>
                <w:spacing w:val="-2"/>
                <w:sz w:val="17"/>
              </w:rPr>
              <w:t> </w:t>
            </w:r>
            <w:r>
              <w:rPr>
                <w:b/>
                <w:spacing w:val="-5"/>
                <w:sz w:val="17"/>
              </w:rPr>
              <w:t>To</w:t>
            </w:r>
          </w:p>
        </w:tc>
        <w:tc>
          <w:tcPr>
            <w:tcW w:w="12444" w:type="dxa"/>
          </w:tcPr>
          <w:p>
            <w:pPr>
              <w:pStyle w:val="TableParagraph"/>
              <w:spacing w:before="150"/>
              <w:ind w:left="92"/>
              <w:rPr>
                <w:sz w:val="17"/>
              </w:rPr>
            </w:pPr>
            <w:r>
              <w:rPr>
                <w:spacing w:val="-5"/>
                <w:sz w:val="17"/>
              </w:rPr>
              <w:t>RJC</w:t>
            </w:r>
          </w:p>
        </w:tc>
      </w:tr>
      <w:tr>
        <w:trPr>
          <w:trHeight w:val="510" w:hRule="atLeast"/>
        </w:trPr>
        <w:tc>
          <w:tcPr>
            <w:tcW w:w="3081" w:type="dxa"/>
            <w:shd w:val="clear" w:color="auto" w:fill="D9EAF7"/>
          </w:tcPr>
          <w:p>
            <w:pPr>
              <w:pStyle w:val="TableParagraph"/>
              <w:spacing w:before="150"/>
              <w:ind w:left="87"/>
              <w:rPr>
                <w:b/>
                <w:sz w:val="17"/>
              </w:rPr>
            </w:pPr>
            <w:r>
              <w:rPr>
                <w:b/>
                <w:sz w:val="17"/>
              </w:rPr>
              <w:t>Receives</w:t>
            </w:r>
            <w:r>
              <w:rPr>
                <w:b/>
                <w:spacing w:val="-3"/>
                <w:sz w:val="17"/>
              </w:rPr>
              <w:t> </w:t>
            </w:r>
            <w:r>
              <w:rPr>
                <w:b/>
                <w:sz w:val="17"/>
              </w:rPr>
              <w:t>Reports</w:t>
            </w:r>
            <w:r>
              <w:rPr>
                <w:b/>
                <w:spacing w:val="-3"/>
                <w:sz w:val="17"/>
              </w:rPr>
              <w:t> </w:t>
            </w:r>
            <w:r>
              <w:rPr>
                <w:b/>
                <w:spacing w:val="-4"/>
                <w:sz w:val="17"/>
              </w:rPr>
              <w:t>From</w:t>
            </w:r>
          </w:p>
        </w:tc>
        <w:tc>
          <w:tcPr>
            <w:tcW w:w="12444" w:type="dxa"/>
          </w:tcPr>
          <w:p>
            <w:pPr>
              <w:pStyle w:val="TableParagraph"/>
              <w:spacing w:before="150"/>
              <w:ind w:left="92"/>
              <w:rPr>
                <w:sz w:val="17"/>
              </w:rPr>
            </w:pPr>
            <w:r>
              <w:rPr>
                <w:sz w:val="17"/>
              </w:rPr>
              <w:t>Regional</w:t>
            </w:r>
            <w:r>
              <w:rPr>
                <w:spacing w:val="-4"/>
                <w:sz w:val="17"/>
              </w:rPr>
              <w:t> </w:t>
            </w:r>
            <w:r>
              <w:rPr>
                <w:sz w:val="17"/>
              </w:rPr>
              <w:t>Clinical</w:t>
            </w:r>
            <w:r>
              <w:rPr>
                <w:spacing w:val="-3"/>
                <w:sz w:val="17"/>
              </w:rPr>
              <w:t> </w:t>
            </w:r>
            <w:r>
              <w:rPr>
                <w:sz w:val="17"/>
              </w:rPr>
              <w:t>Services</w:t>
            </w:r>
            <w:r>
              <w:rPr>
                <w:spacing w:val="-4"/>
                <w:sz w:val="17"/>
              </w:rPr>
              <w:t> </w:t>
            </w:r>
            <w:r>
              <w:rPr>
                <w:spacing w:val="-2"/>
                <w:sz w:val="17"/>
              </w:rPr>
              <w:t>Programmes</w:t>
            </w:r>
          </w:p>
        </w:tc>
      </w:tr>
      <w:tr>
        <w:trPr>
          <w:trHeight w:val="510" w:hRule="atLeast"/>
        </w:trPr>
        <w:tc>
          <w:tcPr>
            <w:tcW w:w="3081" w:type="dxa"/>
            <w:shd w:val="clear" w:color="auto" w:fill="D9EAF7"/>
          </w:tcPr>
          <w:p>
            <w:pPr>
              <w:pStyle w:val="TableParagraph"/>
              <w:spacing w:before="150"/>
              <w:ind w:left="87"/>
              <w:rPr>
                <w:b/>
                <w:sz w:val="17"/>
              </w:rPr>
            </w:pPr>
            <w:r>
              <w:rPr>
                <w:b/>
                <w:sz w:val="17"/>
              </w:rPr>
              <w:t>Meeting</w:t>
            </w:r>
            <w:r>
              <w:rPr>
                <w:b/>
                <w:spacing w:val="-4"/>
                <w:sz w:val="17"/>
              </w:rPr>
              <w:t> </w:t>
            </w:r>
            <w:r>
              <w:rPr>
                <w:b/>
                <w:spacing w:val="-2"/>
                <w:sz w:val="17"/>
              </w:rPr>
              <w:t>Frequency</w:t>
            </w:r>
          </w:p>
        </w:tc>
        <w:tc>
          <w:tcPr>
            <w:tcW w:w="12444" w:type="dxa"/>
          </w:tcPr>
          <w:p>
            <w:pPr>
              <w:pStyle w:val="TableParagraph"/>
              <w:spacing w:before="150"/>
              <w:ind w:left="92"/>
              <w:rPr>
                <w:sz w:val="17"/>
              </w:rPr>
            </w:pPr>
            <w:r>
              <w:rPr>
                <w:spacing w:val="-2"/>
                <w:sz w:val="17"/>
              </w:rPr>
              <w:t>Monthly</w:t>
            </w:r>
          </w:p>
        </w:tc>
      </w:tr>
      <w:tr>
        <w:trPr>
          <w:trHeight w:val="510" w:hRule="atLeast"/>
        </w:trPr>
        <w:tc>
          <w:tcPr>
            <w:tcW w:w="3081" w:type="dxa"/>
            <w:shd w:val="clear" w:color="auto" w:fill="D9EAF7"/>
          </w:tcPr>
          <w:p>
            <w:pPr>
              <w:pStyle w:val="TableParagraph"/>
              <w:spacing w:before="151"/>
              <w:ind w:left="87"/>
              <w:rPr>
                <w:b/>
                <w:sz w:val="17"/>
              </w:rPr>
            </w:pPr>
            <w:r>
              <w:rPr>
                <w:b/>
                <w:sz w:val="17"/>
              </w:rPr>
              <w:t>ToR</w:t>
            </w:r>
            <w:r>
              <w:rPr>
                <w:b/>
                <w:spacing w:val="-1"/>
                <w:sz w:val="17"/>
              </w:rPr>
              <w:t> </w:t>
            </w:r>
            <w:r>
              <w:rPr>
                <w:b/>
                <w:spacing w:val="-2"/>
                <w:sz w:val="17"/>
              </w:rPr>
              <w:t>Agreed</w:t>
            </w:r>
          </w:p>
        </w:tc>
        <w:tc>
          <w:tcPr>
            <w:tcW w:w="12444" w:type="dxa"/>
          </w:tcPr>
          <w:p>
            <w:pPr>
              <w:pStyle w:val="TableParagraph"/>
              <w:spacing w:before="151"/>
              <w:ind w:left="92"/>
              <w:rPr>
                <w:sz w:val="17"/>
              </w:rPr>
            </w:pPr>
            <w:r>
              <w:rPr>
                <w:sz w:val="17"/>
              </w:rPr>
              <w:t>Yes</w:t>
            </w:r>
            <w:r>
              <w:rPr>
                <w:spacing w:val="-3"/>
                <w:sz w:val="17"/>
              </w:rPr>
              <w:t> </w:t>
            </w:r>
            <w:r>
              <w:rPr>
                <w:sz w:val="17"/>
              </w:rPr>
              <w:t>subject</w:t>
            </w:r>
            <w:r>
              <w:rPr>
                <w:spacing w:val="-5"/>
                <w:sz w:val="17"/>
              </w:rPr>
              <w:t> </w:t>
            </w:r>
            <w:r>
              <w:rPr>
                <w:sz w:val="17"/>
              </w:rPr>
              <w:t>to</w:t>
            </w:r>
            <w:r>
              <w:rPr>
                <w:spacing w:val="-2"/>
                <w:sz w:val="17"/>
              </w:rPr>
              <w:t> amendment</w:t>
            </w:r>
          </w:p>
        </w:tc>
      </w:tr>
    </w:tbl>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spacing w:before="234"/>
        <w:rPr>
          <w:b/>
          <w:sz w:val="26"/>
        </w:rPr>
      </w:pPr>
    </w:p>
    <w:p>
      <w:pPr>
        <w:spacing w:before="0"/>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footerReference w:type="default" r:id="rId61"/>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269" name="Image 269"/>
            <wp:cNvGraphicFramePr>
              <a:graphicFrameLocks/>
            </wp:cNvGraphicFramePr>
            <a:graphic>
              <a:graphicData uri="http://schemas.openxmlformats.org/drawingml/2006/picture">
                <pic:pic>
                  <pic:nvPicPr>
                    <pic:cNvPr id="269" name="Image 269"/>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270" name="Image 270"/>
            <wp:cNvGraphicFramePr>
              <a:graphicFrameLocks/>
            </wp:cNvGraphicFramePr>
            <a:graphic>
              <a:graphicData uri="http://schemas.openxmlformats.org/drawingml/2006/picture">
                <pic:pic>
                  <pic:nvPicPr>
                    <pic:cNvPr id="270" name="Image 270"/>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p>
      <w:pPr>
        <w:pStyle w:val="Heading8"/>
        <w:numPr>
          <w:ilvl w:val="0"/>
          <w:numId w:val="15"/>
        </w:numPr>
        <w:tabs>
          <w:tab w:pos="367" w:val="left" w:leader="none"/>
        </w:tabs>
        <w:spacing w:line="240" w:lineRule="auto" w:before="22" w:after="0"/>
        <w:ind w:left="367" w:right="0" w:hanging="284"/>
        <w:jc w:val="left"/>
      </w:pPr>
      <w:r>
        <w:rPr>
          <w:color w:val="001F5F"/>
        </w:rPr>
        <w:t>Subgroup</w:t>
      </w:r>
      <w:r>
        <w:rPr>
          <w:color w:val="001F5F"/>
          <w:spacing w:val="-5"/>
        </w:rPr>
        <w:t> </w:t>
      </w:r>
      <w:r>
        <w:rPr>
          <w:color w:val="001F5F"/>
          <w:spacing w:val="-4"/>
        </w:rPr>
        <w:t>Scope</w:t>
      </w:r>
    </w:p>
    <w:p>
      <w:pPr>
        <w:pStyle w:val="BodyText"/>
        <w:spacing w:before="11"/>
        <w:rPr>
          <w:b/>
          <w:sz w:val="1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6"/>
        <w:gridCol w:w="2051"/>
        <w:gridCol w:w="3226"/>
        <w:gridCol w:w="6742"/>
      </w:tblGrid>
      <w:tr>
        <w:trPr>
          <w:trHeight w:val="375" w:hRule="atLeast"/>
        </w:trPr>
        <w:tc>
          <w:tcPr>
            <w:tcW w:w="3516" w:type="dxa"/>
            <w:shd w:val="clear" w:color="auto" w:fill="003A70"/>
          </w:tcPr>
          <w:p>
            <w:pPr>
              <w:pStyle w:val="TableParagraph"/>
              <w:spacing w:before="85"/>
              <w:ind w:left="85"/>
              <w:rPr>
                <w:b/>
                <w:sz w:val="17"/>
              </w:rPr>
            </w:pPr>
            <w:r>
              <w:rPr>
                <w:b/>
                <w:color w:val="FFFFFF"/>
                <w:sz w:val="17"/>
              </w:rPr>
              <w:t>Programme</w:t>
            </w:r>
            <w:r>
              <w:rPr>
                <w:b/>
                <w:color w:val="FFFFFF"/>
                <w:spacing w:val="-5"/>
                <w:sz w:val="17"/>
              </w:rPr>
              <w:t> </w:t>
            </w:r>
            <w:r>
              <w:rPr>
                <w:b/>
                <w:color w:val="FFFFFF"/>
                <w:sz w:val="17"/>
              </w:rPr>
              <w:t>/</w:t>
            </w:r>
            <w:r>
              <w:rPr>
                <w:b/>
                <w:color w:val="FFFFFF"/>
                <w:spacing w:val="-2"/>
                <w:sz w:val="17"/>
              </w:rPr>
              <w:t> initiative</w:t>
            </w:r>
          </w:p>
        </w:tc>
        <w:tc>
          <w:tcPr>
            <w:tcW w:w="2051" w:type="dxa"/>
            <w:shd w:val="clear" w:color="auto" w:fill="003A70"/>
          </w:tcPr>
          <w:p>
            <w:pPr>
              <w:pStyle w:val="TableParagraph"/>
              <w:spacing w:before="85"/>
              <w:ind w:left="85"/>
              <w:rPr>
                <w:b/>
                <w:sz w:val="17"/>
              </w:rPr>
            </w:pPr>
            <w:r>
              <w:rPr>
                <w:b/>
                <w:color w:val="FFFFFF"/>
                <w:spacing w:val="-2"/>
                <w:sz w:val="17"/>
              </w:rPr>
              <w:t>Stage</w:t>
            </w:r>
          </w:p>
        </w:tc>
        <w:tc>
          <w:tcPr>
            <w:tcW w:w="3226" w:type="dxa"/>
            <w:shd w:val="clear" w:color="auto" w:fill="003A70"/>
          </w:tcPr>
          <w:p>
            <w:pPr>
              <w:pStyle w:val="TableParagraph"/>
              <w:spacing w:before="85"/>
              <w:ind w:left="85"/>
              <w:rPr>
                <w:b/>
                <w:sz w:val="17"/>
              </w:rPr>
            </w:pPr>
            <w:r>
              <w:rPr>
                <w:b/>
                <w:color w:val="FFFFFF"/>
                <w:sz w:val="17"/>
              </w:rPr>
              <w:t>Executive</w:t>
            </w:r>
            <w:r>
              <w:rPr>
                <w:b/>
                <w:color w:val="FFFFFF"/>
                <w:spacing w:val="-5"/>
                <w:sz w:val="17"/>
              </w:rPr>
              <w:t> </w:t>
            </w:r>
            <w:r>
              <w:rPr>
                <w:b/>
                <w:color w:val="FFFFFF"/>
                <w:sz w:val="17"/>
              </w:rPr>
              <w:t>lead</w:t>
            </w:r>
            <w:r>
              <w:rPr>
                <w:b/>
                <w:color w:val="FFFFFF"/>
                <w:spacing w:val="-5"/>
                <w:sz w:val="17"/>
              </w:rPr>
              <w:t> </w:t>
            </w:r>
            <w:r>
              <w:rPr>
                <w:b/>
                <w:color w:val="FFFFFF"/>
                <w:sz w:val="17"/>
              </w:rPr>
              <w:t>/</w:t>
            </w:r>
            <w:r>
              <w:rPr>
                <w:b/>
                <w:color w:val="FFFFFF"/>
                <w:spacing w:val="-3"/>
                <w:sz w:val="17"/>
              </w:rPr>
              <w:t> </w:t>
            </w:r>
            <w:r>
              <w:rPr>
                <w:b/>
                <w:color w:val="FFFFFF"/>
                <w:spacing w:val="-5"/>
                <w:sz w:val="17"/>
              </w:rPr>
              <w:t>SRO</w:t>
            </w:r>
          </w:p>
        </w:tc>
        <w:tc>
          <w:tcPr>
            <w:tcW w:w="6742" w:type="dxa"/>
            <w:shd w:val="clear" w:color="auto" w:fill="003A70"/>
          </w:tcPr>
          <w:p>
            <w:pPr>
              <w:pStyle w:val="TableParagraph"/>
              <w:spacing w:before="85"/>
              <w:ind w:left="79"/>
              <w:rPr>
                <w:b/>
                <w:sz w:val="17"/>
              </w:rPr>
            </w:pPr>
            <w:r>
              <w:rPr>
                <w:b/>
                <w:color w:val="FFFFFF"/>
                <w:sz w:val="17"/>
              </w:rPr>
              <w:t>Summary</w:t>
            </w:r>
            <w:r>
              <w:rPr>
                <w:b/>
                <w:color w:val="FFFFFF"/>
                <w:spacing w:val="-13"/>
                <w:sz w:val="17"/>
              </w:rPr>
              <w:t> </w:t>
            </w:r>
            <w:r>
              <w:rPr>
                <w:b/>
                <w:color w:val="FFFFFF"/>
                <w:spacing w:val="-2"/>
                <w:sz w:val="17"/>
              </w:rPr>
              <w:t>scope</w:t>
            </w:r>
          </w:p>
        </w:tc>
      </w:tr>
      <w:tr>
        <w:trPr>
          <w:trHeight w:val="535" w:hRule="atLeast"/>
        </w:trPr>
        <w:tc>
          <w:tcPr>
            <w:tcW w:w="3516" w:type="dxa"/>
          </w:tcPr>
          <w:p>
            <w:pPr>
              <w:pStyle w:val="TableParagraph"/>
              <w:spacing w:before="175"/>
              <w:ind w:left="85"/>
              <w:rPr>
                <w:sz w:val="16"/>
              </w:rPr>
            </w:pPr>
            <w:r>
              <w:rPr>
                <w:sz w:val="16"/>
              </w:rPr>
              <w:t>Regional</w:t>
            </w:r>
            <w:r>
              <w:rPr>
                <w:spacing w:val="-7"/>
                <w:sz w:val="16"/>
              </w:rPr>
              <w:t> </w:t>
            </w:r>
            <w:r>
              <w:rPr>
                <w:sz w:val="16"/>
              </w:rPr>
              <w:t>Orthopaedics</w:t>
            </w:r>
            <w:r>
              <w:rPr>
                <w:spacing w:val="-6"/>
                <w:sz w:val="16"/>
              </w:rPr>
              <w:t> </w:t>
            </w:r>
            <w:r>
              <w:rPr>
                <w:spacing w:val="-2"/>
                <w:sz w:val="16"/>
              </w:rPr>
              <w:t>Programme</w:t>
            </w:r>
          </w:p>
        </w:tc>
        <w:tc>
          <w:tcPr>
            <w:tcW w:w="2051" w:type="dxa"/>
          </w:tcPr>
          <w:p>
            <w:pPr>
              <w:pStyle w:val="TableParagraph"/>
              <w:spacing w:before="175"/>
              <w:ind w:left="85"/>
              <w:rPr>
                <w:sz w:val="16"/>
              </w:rPr>
            </w:pPr>
            <w:r>
              <w:rPr>
                <w:sz w:val="16"/>
              </w:rPr>
              <w:t>Develop</w:t>
            </w:r>
            <w:r>
              <w:rPr>
                <w:spacing w:val="-3"/>
                <w:sz w:val="16"/>
              </w:rPr>
              <w:t> </w:t>
            </w:r>
            <w:r>
              <w:rPr>
                <w:sz w:val="16"/>
              </w:rPr>
              <w:t>/</w:t>
            </w:r>
            <w:r>
              <w:rPr>
                <w:spacing w:val="-1"/>
                <w:sz w:val="16"/>
              </w:rPr>
              <w:t> </w:t>
            </w:r>
            <w:r>
              <w:rPr>
                <w:spacing w:val="-2"/>
                <w:sz w:val="16"/>
              </w:rPr>
              <w:t>reset</w:t>
            </w:r>
          </w:p>
        </w:tc>
        <w:tc>
          <w:tcPr>
            <w:tcW w:w="3226" w:type="dxa"/>
          </w:tcPr>
          <w:p>
            <w:pPr>
              <w:pStyle w:val="TableParagraph"/>
              <w:spacing w:before="175"/>
              <w:ind w:left="85"/>
              <w:rPr>
                <w:sz w:val="16"/>
              </w:rPr>
            </w:pPr>
            <w:r>
              <w:rPr>
                <w:sz w:val="16"/>
              </w:rPr>
              <w:t>Andrew</w:t>
            </w:r>
            <w:r>
              <w:rPr>
                <w:spacing w:val="-2"/>
                <w:sz w:val="16"/>
              </w:rPr>
              <w:t> Carruthers</w:t>
            </w:r>
          </w:p>
        </w:tc>
        <w:tc>
          <w:tcPr>
            <w:tcW w:w="6742" w:type="dxa"/>
          </w:tcPr>
          <w:p>
            <w:pPr>
              <w:pStyle w:val="TableParagraph"/>
              <w:spacing w:line="235" w:lineRule="auto" w:before="88"/>
              <w:ind w:left="79"/>
              <w:rPr>
                <w:sz w:val="16"/>
              </w:rPr>
            </w:pPr>
            <w:r>
              <w:rPr>
                <w:sz w:val="16"/>
              </w:rPr>
              <w:t>Clinically</w:t>
            </w:r>
            <w:r>
              <w:rPr>
                <w:spacing w:val="-2"/>
                <w:sz w:val="16"/>
              </w:rPr>
              <w:t> </w:t>
            </w:r>
            <w:r>
              <w:rPr>
                <w:sz w:val="16"/>
              </w:rPr>
              <w:t>led</w:t>
            </w:r>
            <w:r>
              <w:rPr>
                <w:spacing w:val="-1"/>
                <w:sz w:val="16"/>
              </w:rPr>
              <w:t> </w:t>
            </w:r>
            <w:r>
              <w:rPr>
                <w:sz w:val="16"/>
              </w:rPr>
              <w:t>regional</w:t>
            </w:r>
            <w:r>
              <w:rPr>
                <w:spacing w:val="-3"/>
                <w:sz w:val="16"/>
              </w:rPr>
              <w:t> </w:t>
            </w:r>
            <w:r>
              <w:rPr>
                <w:sz w:val="16"/>
              </w:rPr>
              <w:t>orthopaedic</w:t>
            </w:r>
            <w:r>
              <w:rPr>
                <w:spacing w:val="-7"/>
                <w:sz w:val="16"/>
              </w:rPr>
              <w:t> </w:t>
            </w:r>
            <w:r>
              <w:rPr>
                <w:sz w:val="16"/>
              </w:rPr>
              <w:t>model;</w:t>
            </w:r>
            <w:r>
              <w:rPr>
                <w:spacing w:val="-7"/>
                <w:sz w:val="16"/>
              </w:rPr>
              <w:t> </w:t>
            </w:r>
            <w:r>
              <w:rPr>
                <w:sz w:val="16"/>
              </w:rPr>
              <w:t>36-week</w:t>
            </w:r>
            <w:r>
              <w:rPr>
                <w:spacing w:val="-7"/>
                <w:sz w:val="16"/>
              </w:rPr>
              <w:t> </w:t>
            </w:r>
            <w:r>
              <w:rPr>
                <w:sz w:val="16"/>
              </w:rPr>
              <w:t>ambition</w:t>
            </w:r>
            <w:r>
              <w:rPr>
                <w:spacing w:val="-1"/>
                <w:sz w:val="16"/>
              </w:rPr>
              <w:t> </w:t>
            </w:r>
            <w:r>
              <w:rPr>
                <w:sz w:val="16"/>
              </w:rPr>
              <w:t>by</w:t>
            </w:r>
            <w:r>
              <w:rPr>
                <w:spacing w:val="-2"/>
                <w:sz w:val="16"/>
              </w:rPr>
              <w:t> </w:t>
            </w:r>
            <w:r>
              <w:rPr>
                <w:sz w:val="16"/>
              </w:rPr>
              <w:t>2030;</w:t>
            </w:r>
            <w:r>
              <w:rPr>
                <w:spacing w:val="-2"/>
                <w:sz w:val="16"/>
              </w:rPr>
              <w:t> </w:t>
            </w:r>
            <w:r>
              <w:rPr>
                <w:sz w:val="16"/>
              </w:rPr>
              <w:t>surgical</w:t>
            </w:r>
            <w:r>
              <w:rPr>
                <w:spacing w:val="-3"/>
                <w:sz w:val="16"/>
              </w:rPr>
              <w:t> </w:t>
            </w:r>
            <w:r>
              <w:rPr>
                <w:sz w:val="16"/>
              </w:rPr>
              <w:t>hub</w:t>
            </w:r>
            <w:r>
              <w:rPr>
                <w:spacing w:val="-6"/>
                <w:sz w:val="16"/>
              </w:rPr>
              <w:t> </w:t>
            </w:r>
            <w:r>
              <w:rPr>
                <w:sz w:val="16"/>
              </w:rPr>
              <w:t>response; pathway, governance, finance and digital foundations.</w:t>
            </w:r>
          </w:p>
        </w:tc>
      </w:tr>
      <w:tr>
        <w:trPr>
          <w:trHeight w:val="540" w:hRule="atLeast"/>
        </w:trPr>
        <w:tc>
          <w:tcPr>
            <w:tcW w:w="3516" w:type="dxa"/>
            <w:shd w:val="clear" w:color="auto" w:fill="F3F8FB"/>
          </w:tcPr>
          <w:p>
            <w:pPr>
              <w:pStyle w:val="TableParagraph"/>
              <w:spacing w:before="180"/>
              <w:ind w:left="85"/>
              <w:rPr>
                <w:sz w:val="16"/>
              </w:rPr>
            </w:pPr>
            <w:r>
              <w:rPr>
                <w:sz w:val="16"/>
              </w:rPr>
              <w:t>Regional</w:t>
            </w:r>
            <w:r>
              <w:rPr>
                <w:spacing w:val="-3"/>
                <w:sz w:val="16"/>
              </w:rPr>
              <w:t> </w:t>
            </w:r>
            <w:r>
              <w:rPr>
                <w:sz w:val="16"/>
              </w:rPr>
              <w:t>Eye</w:t>
            </w:r>
            <w:r>
              <w:rPr>
                <w:spacing w:val="-1"/>
                <w:sz w:val="16"/>
              </w:rPr>
              <w:t> </w:t>
            </w:r>
            <w:r>
              <w:rPr>
                <w:sz w:val="16"/>
              </w:rPr>
              <w:t>Care</w:t>
            </w:r>
            <w:r>
              <w:rPr>
                <w:spacing w:val="-5"/>
                <w:sz w:val="16"/>
              </w:rPr>
              <w:t> </w:t>
            </w:r>
            <w:r>
              <w:rPr>
                <w:spacing w:val="-2"/>
                <w:sz w:val="16"/>
              </w:rPr>
              <w:t>Programme</w:t>
            </w:r>
          </w:p>
        </w:tc>
        <w:tc>
          <w:tcPr>
            <w:tcW w:w="2051" w:type="dxa"/>
            <w:shd w:val="clear" w:color="auto" w:fill="F3F8FB"/>
          </w:tcPr>
          <w:p>
            <w:pPr>
              <w:pStyle w:val="TableParagraph"/>
              <w:spacing w:before="180"/>
              <w:ind w:left="85"/>
              <w:rPr>
                <w:sz w:val="16"/>
              </w:rPr>
            </w:pPr>
            <w:r>
              <w:rPr>
                <w:sz w:val="16"/>
              </w:rPr>
              <w:t>Early</w:t>
            </w:r>
            <w:r>
              <w:rPr>
                <w:spacing w:val="-2"/>
                <w:sz w:val="16"/>
              </w:rPr>
              <w:t> </w:t>
            </w:r>
            <w:r>
              <w:rPr>
                <w:sz w:val="16"/>
              </w:rPr>
              <w:t>delivery</w:t>
            </w:r>
            <w:r>
              <w:rPr>
                <w:spacing w:val="-1"/>
                <w:sz w:val="16"/>
              </w:rPr>
              <w:t> </w:t>
            </w:r>
            <w:r>
              <w:rPr>
                <w:sz w:val="16"/>
              </w:rPr>
              <w:t>/</w:t>
            </w:r>
            <w:r>
              <w:rPr>
                <w:spacing w:val="-1"/>
                <w:sz w:val="16"/>
              </w:rPr>
              <w:t> </w:t>
            </w:r>
            <w:r>
              <w:rPr>
                <w:spacing w:val="-2"/>
                <w:sz w:val="16"/>
              </w:rPr>
              <w:t>develop</w:t>
            </w:r>
          </w:p>
        </w:tc>
        <w:tc>
          <w:tcPr>
            <w:tcW w:w="3226" w:type="dxa"/>
            <w:shd w:val="clear" w:color="auto" w:fill="F3F8FB"/>
          </w:tcPr>
          <w:p>
            <w:pPr>
              <w:pStyle w:val="TableParagraph"/>
              <w:spacing w:before="180"/>
              <w:ind w:left="85"/>
              <w:rPr>
                <w:sz w:val="16"/>
              </w:rPr>
            </w:pPr>
            <w:r>
              <w:rPr>
                <w:sz w:val="16"/>
              </w:rPr>
              <w:t>Craige</w:t>
            </w:r>
            <w:r>
              <w:rPr>
                <w:spacing w:val="-2"/>
                <w:sz w:val="16"/>
              </w:rPr>
              <w:t> Wilson</w:t>
            </w:r>
          </w:p>
        </w:tc>
        <w:tc>
          <w:tcPr>
            <w:tcW w:w="6742" w:type="dxa"/>
            <w:shd w:val="clear" w:color="auto" w:fill="F3F8FB"/>
          </w:tcPr>
          <w:p>
            <w:pPr>
              <w:pStyle w:val="TableParagraph"/>
              <w:spacing w:before="85"/>
              <w:ind w:left="79" w:right="184"/>
              <w:rPr>
                <w:sz w:val="16"/>
              </w:rPr>
            </w:pPr>
            <w:r>
              <w:rPr>
                <w:sz w:val="16"/>
              </w:rPr>
              <w:t>Service</w:t>
            </w:r>
            <w:r>
              <w:rPr>
                <w:spacing w:val="-2"/>
                <w:sz w:val="16"/>
              </w:rPr>
              <w:t> </w:t>
            </w:r>
            <w:r>
              <w:rPr>
                <w:sz w:val="16"/>
              </w:rPr>
              <w:t>resilience,</w:t>
            </w:r>
            <w:r>
              <w:rPr>
                <w:spacing w:val="-8"/>
                <w:sz w:val="16"/>
              </w:rPr>
              <w:t> </w:t>
            </w:r>
            <w:r>
              <w:rPr>
                <w:sz w:val="16"/>
              </w:rPr>
              <w:t>productivity</w:t>
            </w:r>
            <w:r>
              <w:rPr>
                <w:spacing w:val="-3"/>
                <w:sz w:val="16"/>
              </w:rPr>
              <w:t> </w:t>
            </w:r>
            <w:r>
              <w:rPr>
                <w:sz w:val="16"/>
              </w:rPr>
              <w:t>and</w:t>
            </w:r>
            <w:r>
              <w:rPr>
                <w:spacing w:val="-7"/>
                <w:sz w:val="16"/>
              </w:rPr>
              <w:t> </w:t>
            </w:r>
            <w:r>
              <w:rPr>
                <w:sz w:val="16"/>
              </w:rPr>
              <w:t>equity;</w:t>
            </w:r>
            <w:r>
              <w:rPr>
                <w:spacing w:val="-3"/>
                <w:sz w:val="16"/>
              </w:rPr>
              <w:t> </w:t>
            </w:r>
            <w:r>
              <w:rPr>
                <w:sz w:val="16"/>
              </w:rPr>
              <w:t>priority</w:t>
            </w:r>
            <w:r>
              <w:rPr>
                <w:spacing w:val="-8"/>
                <w:sz w:val="16"/>
              </w:rPr>
              <w:t> </w:t>
            </w:r>
            <w:r>
              <w:rPr>
                <w:sz w:val="16"/>
              </w:rPr>
              <w:t>pathways</w:t>
            </w:r>
            <w:r>
              <w:rPr>
                <w:spacing w:val="-3"/>
                <w:sz w:val="16"/>
              </w:rPr>
              <w:t> </w:t>
            </w:r>
            <w:r>
              <w:rPr>
                <w:sz w:val="16"/>
              </w:rPr>
              <w:t>VR,</w:t>
            </w:r>
            <w:r>
              <w:rPr>
                <w:spacing w:val="-3"/>
                <w:sz w:val="16"/>
              </w:rPr>
              <w:t> </w:t>
            </w:r>
            <w:r>
              <w:rPr>
                <w:sz w:val="16"/>
              </w:rPr>
              <w:t>IVT,</w:t>
            </w:r>
            <w:r>
              <w:rPr>
                <w:spacing w:val="-8"/>
                <w:sz w:val="16"/>
              </w:rPr>
              <w:t> </w:t>
            </w:r>
            <w:r>
              <w:rPr>
                <w:sz w:val="16"/>
              </w:rPr>
              <w:t>glaucoma,</w:t>
            </w:r>
            <w:r>
              <w:rPr>
                <w:spacing w:val="-3"/>
                <w:sz w:val="16"/>
              </w:rPr>
              <w:t> </w:t>
            </w:r>
            <w:r>
              <w:rPr>
                <w:sz w:val="16"/>
              </w:rPr>
              <w:t>cataract and medical retina; roadmap to regional service model.</w:t>
            </w:r>
          </w:p>
        </w:tc>
      </w:tr>
      <w:tr>
        <w:trPr>
          <w:trHeight w:val="540" w:hRule="atLeast"/>
        </w:trPr>
        <w:tc>
          <w:tcPr>
            <w:tcW w:w="3516" w:type="dxa"/>
          </w:tcPr>
          <w:p>
            <w:pPr>
              <w:pStyle w:val="TableParagraph"/>
              <w:spacing w:before="85"/>
              <w:ind w:left="85"/>
              <w:rPr>
                <w:sz w:val="16"/>
              </w:rPr>
            </w:pPr>
            <w:r>
              <w:rPr>
                <w:sz w:val="16"/>
              </w:rPr>
              <w:t>South</w:t>
            </w:r>
            <w:r>
              <w:rPr>
                <w:spacing w:val="-8"/>
                <w:sz w:val="16"/>
              </w:rPr>
              <w:t> </w:t>
            </w:r>
            <w:r>
              <w:rPr>
                <w:sz w:val="16"/>
              </w:rPr>
              <w:t>West</w:t>
            </w:r>
            <w:r>
              <w:rPr>
                <w:spacing w:val="-8"/>
                <w:sz w:val="16"/>
              </w:rPr>
              <w:t> </w:t>
            </w:r>
            <w:r>
              <w:rPr>
                <w:sz w:val="16"/>
              </w:rPr>
              <w:t>Wales</w:t>
            </w:r>
            <w:r>
              <w:rPr>
                <w:spacing w:val="-8"/>
                <w:sz w:val="16"/>
              </w:rPr>
              <w:t> </w:t>
            </w:r>
            <w:r>
              <w:rPr>
                <w:sz w:val="16"/>
              </w:rPr>
              <w:t>Cellular</w:t>
            </w:r>
            <w:r>
              <w:rPr>
                <w:spacing w:val="-12"/>
                <w:sz w:val="16"/>
              </w:rPr>
              <w:t> </w:t>
            </w:r>
            <w:r>
              <w:rPr>
                <w:sz w:val="16"/>
              </w:rPr>
              <w:t>Pathology </w:t>
            </w:r>
            <w:r>
              <w:rPr>
                <w:spacing w:val="-2"/>
                <w:sz w:val="16"/>
              </w:rPr>
              <w:t>Programme</w:t>
            </w:r>
          </w:p>
        </w:tc>
        <w:tc>
          <w:tcPr>
            <w:tcW w:w="2051" w:type="dxa"/>
          </w:tcPr>
          <w:p>
            <w:pPr>
              <w:pStyle w:val="TableParagraph"/>
              <w:spacing w:before="175"/>
              <w:ind w:left="85"/>
              <w:rPr>
                <w:sz w:val="16"/>
              </w:rPr>
            </w:pPr>
            <w:r>
              <w:rPr>
                <w:sz w:val="16"/>
              </w:rPr>
              <w:t>Define</w:t>
            </w:r>
            <w:r>
              <w:rPr>
                <w:spacing w:val="-1"/>
                <w:sz w:val="16"/>
              </w:rPr>
              <w:t> </w:t>
            </w:r>
            <w:r>
              <w:rPr>
                <w:sz w:val="16"/>
              </w:rPr>
              <w:t>/ </w:t>
            </w:r>
            <w:r>
              <w:rPr>
                <w:spacing w:val="-2"/>
                <w:sz w:val="16"/>
              </w:rPr>
              <w:t>delivery</w:t>
            </w:r>
          </w:p>
        </w:tc>
        <w:tc>
          <w:tcPr>
            <w:tcW w:w="3226" w:type="dxa"/>
          </w:tcPr>
          <w:p>
            <w:pPr>
              <w:pStyle w:val="TableParagraph"/>
              <w:spacing w:before="175"/>
              <w:ind w:left="85"/>
              <w:rPr>
                <w:sz w:val="16"/>
              </w:rPr>
            </w:pPr>
            <w:r>
              <w:rPr>
                <w:sz w:val="16"/>
              </w:rPr>
              <w:t>Lee</w:t>
            </w:r>
            <w:r>
              <w:rPr>
                <w:spacing w:val="1"/>
                <w:sz w:val="16"/>
              </w:rPr>
              <w:t> </w:t>
            </w:r>
            <w:r>
              <w:rPr>
                <w:spacing w:val="-2"/>
                <w:sz w:val="16"/>
              </w:rPr>
              <w:t>Davies</w:t>
            </w:r>
          </w:p>
        </w:tc>
        <w:tc>
          <w:tcPr>
            <w:tcW w:w="6742" w:type="dxa"/>
          </w:tcPr>
          <w:p>
            <w:pPr>
              <w:pStyle w:val="TableParagraph"/>
              <w:spacing w:before="85"/>
              <w:ind w:left="79"/>
              <w:rPr>
                <w:sz w:val="16"/>
              </w:rPr>
            </w:pPr>
            <w:r>
              <w:rPr>
                <w:sz w:val="16"/>
              </w:rPr>
              <w:t>Single</w:t>
            </w:r>
            <w:r>
              <w:rPr>
                <w:spacing w:val="-4"/>
                <w:sz w:val="16"/>
              </w:rPr>
              <w:t> </w:t>
            </w:r>
            <w:r>
              <w:rPr>
                <w:sz w:val="16"/>
              </w:rPr>
              <w:t>regional</w:t>
            </w:r>
            <w:r>
              <w:rPr>
                <w:spacing w:val="-5"/>
                <w:sz w:val="16"/>
              </w:rPr>
              <w:t> </w:t>
            </w:r>
            <w:r>
              <w:rPr>
                <w:sz w:val="16"/>
              </w:rPr>
              <w:t>cellular</w:t>
            </w:r>
            <w:r>
              <w:rPr>
                <w:spacing w:val="-4"/>
                <w:sz w:val="16"/>
              </w:rPr>
              <w:t> </w:t>
            </w:r>
            <w:r>
              <w:rPr>
                <w:sz w:val="16"/>
              </w:rPr>
              <w:t>pathology</w:t>
            </w:r>
            <w:r>
              <w:rPr>
                <w:spacing w:val="-9"/>
                <w:sz w:val="16"/>
              </w:rPr>
              <w:t> </w:t>
            </w:r>
            <w:r>
              <w:rPr>
                <w:sz w:val="16"/>
              </w:rPr>
              <w:t>hub</w:t>
            </w:r>
            <w:r>
              <w:rPr>
                <w:spacing w:val="-4"/>
                <w:sz w:val="16"/>
              </w:rPr>
              <w:t> </w:t>
            </w:r>
            <w:r>
              <w:rPr>
                <w:sz w:val="16"/>
              </w:rPr>
              <w:t>laboratory</w:t>
            </w:r>
            <w:r>
              <w:rPr>
                <w:spacing w:val="-5"/>
                <w:sz w:val="16"/>
              </w:rPr>
              <w:t> </w:t>
            </w:r>
            <w:r>
              <w:rPr>
                <w:sz w:val="16"/>
              </w:rPr>
              <w:t>and</w:t>
            </w:r>
            <w:r>
              <w:rPr>
                <w:spacing w:val="-4"/>
                <w:sz w:val="16"/>
              </w:rPr>
              <w:t> </w:t>
            </w:r>
            <w:r>
              <w:rPr>
                <w:sz w:val="16"/>
              </w:rPr>
              <w:t>consolidated</w:t>
            </w:r>
            <w:r>
              <w:rPr>
                <w:spacing w:val="-4"/>
                <w:sz w:val="16"/>
              </w:rPr>
              <w:t> </w:t>
            </w:r>
            <w:r>
              <w:rPr>
                <w:sz w:val="16"/>
              </w:rPr>
              <w:t>cellular</w:t>
            </w:r>
            <w:r>
              <w:rPr>
                <w:spacing w:val="-4"/>
                <w:sz w:val="16"/>
              </w:rPr>
              <w:t> </w:t>
            </w:r>
            <w:r>
              <w:rPr>
                <w:sz w:val="16"/>
              </w:rPr>
              <w:t>pathology</w:t>
            </w:r>
            <w:r>
              <w:rPr>
                <w:spacing w:val="-5"/>
                <w:sz w:val="16"/>
              </w:rPr>
              <w:t> </w:t>
            </w:r>
            <w:r>
              <w:rPr>
                <w:sz w:val="16"/>
              </w:rPr>
              <w:t>and mortuary service model hosted by Swansea Bay UHB.</w:t>
            </w:r>
          </w:p>
        </w:tc>
      </w:tr>
      <w:tr>
        <w:trPr>
          <w:trHeight w:val="535" w:hRule="atLeast"/>
        </w:trPr>
        <w:tc>
          <w:tcPr>
            <w:tcW w:w="3516" w:type="dxa"/>
            <w:shd w:val="clear" w:color="auto" w:fill="F3F8FB"/>
          </w:tcPr>
          <w:p>
            <w:pPr>
              <w:pStyle w:val="TableParagraph"/>
              <w:spacing w:before="175"/>
              <w:ind w:left="85"/>
              <w:rPr>
                <w:sz w:val="16"/>
              </w:rPr>
            </w:pPr>
            <w:r>
              <w:rPr>
                <w:sz w:val="16"/>
              </w:rPr>
              <w:t>South</w:t>
            </w:r>
            <w:r>
              <w:rPr>
                <w:spacing w:val="-3"/>
                <w:sz w:val="16"/>
              </w:rPr>
              <w:t> </w:t>
            </w:r>
            <w:r>
              <w:rPr>
                <w:sz w:val="16"/>
              </w:rPr>
              <w:t>West</w:t>
            </w:r>
            <w:r>
              <w:rPr>
                <w:spacing w:val="-4"/>
                <w:sz w:val="16"/>
              </w:rPr>
              <w:t> </w:t>
            </w:r>
            <w:r>
              <w:rPr>
                <w:sz w:val="16"/>
              </w:rPr>
              <w:t>Wales</w:t>
            </w:r>
            <w:r>
              <w:rPr>
                <w:spacing w:val="-4"/>
                <w:sz w:val="16"/>
              </w:rPr>
              <w:t> </w:t>
            </w:r>
            <w:r>
              <w:rPr>
                <w:sz w:val="16"/>
              </w:rPr>
              <w:t>Cancer</w:t>
            </w:r>
            <w:r>
              <w:rPr>
                <w:spacing w:val="-3"/>
                <w:sz w:val="16"/>
              </w:rPr>
              <w:t> </w:t>
            </w:r>
            <w:r>
              <w:rPr>
                <w:sz w:val="16"/>
              </w:rPr>
              <w:t>Centre</w:t>
            </w:r>
            <w:r>
              <w:rPr>
                <w:spacing w:val="-2"/>
                <w:sz w:val="16"/>
              </w:rPr>
              <w:t> Programme</w:t>
            </w:r>
          </w:p>
        </w:tc>
        <w:tc>
          <w:tcPr>
            <w:tcW w:w="2051" w:type="dxa"/>
            <w:shd w:val="clear" w:color="auto" w:fill="F3F8FB"/>
          </w:tcPr>
          <w:p>
            <w:pPr>
              <w:pStyle w:val="TableParagraph"/>
              <w:spacing w:before="175"/>
              <w:ind w:left="85"/>
              <w:rPr>
                <w:sz w:val="16"/>
              </w:rPr>
            </w:pPr>
            <w:r>
              <w:rPr>
                <w:spacing w:val="-2"/>
                <w:sz w:val="16"/>
              </w:rPr>
              <w:t>Develop</w:t>
            </w:r>
          </w:p>
        </w:tc>
        <w:tc>
          <w:tcPr>
            <w:tcW w:w="3226" w:type="dxa"/>
            <w:shd w:val="clear" w:color="auto" w:fill="F3F8FB"/>
          </w:tcPr>
          <w:p>
            <w:pPr>
              <w:pStyle w:val="TableParagraph"/>
              <w:spacing w:before="175"/>
              <w:ind w:left="85"/>
              <w:rPr>
                <w:sz w:val="16"/>
              </w:rPr>
            </w:pPr>
            <w:r>
              <w:rPr>
                <w:sz w:val="16"/>
              </w:rPr>
              <w:t>Marie </w:t>
            </w:r>
            <w:r>
              <w:rPr>
                <w:spacing w:val="-2"/>
                <w:sz w:val="16"/>
              </w:rPr>
              <w:t>Davies</w:t>
            </w:r>
          </w:p>
        </w:tc>
        <w:tc>
          <w:tcPr>
            <w:tcW w:w="6742" w:type="dxa"/>
            <w:shd w:val="clear" w:color="auto" w:fill="F3F8FB"/>
          </w:tcPr>
          <w:p>
            <w:pPr>
              <w:pStyle w:val="TableParagraph"/>
              <w:spacing w:before="80"/>
              <w:ind w:left="79"/>
              <w:rPr>
                <w:sz w:val="16"/>
              </w:rPr>
            </w:pPr>
            <w:r>
              <w:rPr>
                <w:sz w:val="16"/>
              </w:rPr>
              <w:t>Regional</w:t>
            </w:r>
            <w:r>
              <w:rPr>
                <w:spacing w:val="-4"/>
                <w:sz w:val="16"/>
              </w:rPr>
              <w:t> </w:t>
            </w:r>
            <w:r>
              <w:rPr>
                <w:sz w:val="16"/>
              </w:rPr>
              <w:t>radiotherapy</w:t>
            </w:r>
            <w:r>
              <w:rPr>
                <w:spacing w:val="-3"/>
                <w:sz w:val="16"/>
              </w:rPr>
              <w:t> </w:t>
            </w:r>
            <w:r>
              <w:rPr>
                <w:sz w:val="16"/>
              </w:rPr>
              <w:t>and</w:t>
            </w:r>
            <w:r>
              <w:rPr>
                <w:spacing w:val="-2"/>
                <w:sz w:val="16"/>
              </w:rPr>
              <w:t> </w:t>
            </w:r>
            <w:r>
              <w:rPr>
                <w:sz w:val="16"/>
              </w:rPr>
              <w:t>oncology</w:t>
            </w:r>
            <w:r>
              <w:rPr>
                <w:spacing w:val="-3"/>
                <w:sz w:val="16"/>
              </w:rPr>
              <w:t> </w:t>
            </w:r>
            <w:r>
              <w:rPr>
                <w:sz w:val="16"/>
              </w:rPr>
              <w:t>outpatient</w:t>
            </w:r>
            <w:r>
              <w:rPr>
                <w:spacing w:val="-3"/>
                <w:sz w:val="16"/>
              </w:rPr>
              <w:t> </w:t>
            </w:r>
            <w:r>
              <w:rPr>
                <w:sz w:val="16"/>
              </w:rPr>
              <w:t>services</w:t>
            </w:r>
            <w:r>
              <w:rPr>
                <w:spacing w:val="-3"/>
                <w:sz w:val="16"/>
              </w:rPr>
              <w:t> </w:t>
            </w:r>
            <w:r>
              <w:rPr>
                <w:sz w:val="16"/>
              </w:rPr>
              <w:t>modernisation;</w:t>
            </w:r>
            <w:r>
              <w:rPr>
                <w:spacing w:val="-8"/>
                <w:sz w:val="16"/>
              </w:rPr>
              <w:t> </w:t>
            </w:r>
            <w:r>
              <w:rPr>
                <w:sz w:val="16"/>
              </w:rPr>
              <w:t>5th</w:t>
            </w:r>
            <w:r>
              <w:rPr>
                <w:spacing w:val="-2"/>
                <w:sz w:val="16"/>
              </w:rPr>
              <w:t> </w:t>
            </w:r>
            <w:r>
              <w:rPr>
                <w:sz w:val="16"/>
              </w:rPr>
              <w:t>Linac</w:t>
            </w:r>
            <w:r>
              <w:rPr>
                <w:spacing w:val="-3"/>
                <w:sz w:val="16"/>
              </w:rPr>
              <w:t> </w:t>
            </w:r>
            <w:r>
              <w:rPr>
                <w:sz w:val="16"/>
              </w:rPr>
              <w:t>/</w:t>
            </w:r>
            <w:r>
              <w:rPr>
                <w:spacing w:val="-8"/>
                <w:sz w:val="16"/>
              </w:rPr>
              <w:t> </w:t>
            </w:r>
            <w:r>
              <w:rPr>
                <w:sz w:val="16"/>
              </w:rPr>
              <w:t>future bunker capacity; regional cancer model development.</w:t>
            </w:r>
          </w:p>
        </w:tc>
      </w:tr>
      <w:tr>
        <w:trPr>
          <w:trHeight w:val="355" w:hRule="atLeast"/>
        </w:trPr>
        <w:tc>
          <w:tcPr>
            <w:tcW w:w="3516" w:type="dxa"/>
            <w:shd w:val="clear" w:color="auto" w:fill="F3F8FB"/>
          </w:tcPr>
          <w:p>
            <w:pPr>
              <w:pStyle w:val="TableParagraph"/>
              <w:spacing w:before="85"/>
              <w:ind w:left="85"/>
              <w:rPr>
                <w:sz w:val="16"/>
              </w:rPr>
            </w:pPr>
            <w:r>
              <w:rPr>
                <w:sz w:val="16"/>
              </w:rPr>
              <w:t>Regional</w:t>
            </w:r>
            <w:r>
              <w:rPr>
                <w:spacing w:val="-3"/>
                <w:sz w:val="16"/>
              </w:rPr>
              <w:t> </w:t>
            </w:r>
            <w:r>
              <w:rPr>
                <w:sz w:val="16"/>
              </w:rPr>
              <w:t>Stroke</w:t>
            </w:r>
            <w:r>
              <w:rPr>
                <w:spacing w:val="-1"/>
                <w:sz w:val="16"/>
              </w:rPr>
              <w:t> </w:t>
            </w:r>
            <w:r>
              <w:rPr>
                <w:spacing w:val="-2"/>
                <w:sz w:val="16"/>
              </w:rPr>
              <w:t>Programme</w:t>
            </w:r>
          </w:p>
        </w:tc>
        <w:tc>
          <w:tcPr>
            <w:tcW w:w="2051" w:type="dxa"/>
            <w:shd w:val="clear" w:color="auto" w:fill="F3F8FB"/>
          </w:tcPr>
          <w:p>
            <w:pPr>
              <w:pStyle w:val="TableParagraph"/>
              <w:spacing w:before="85"/>
              <w:ind w:left="85"/>
              <w:rPr>
                <w:sz w:val="16"/>
              </w:rPr>
            </w:pPr>
            <w:r>
              <w:rPr>
                <w:sz w:val="16"/>
              </w:rPr>
              <w:t>Develop</w:t>
            </w:r>
            <w:r>
              <w:rPr>
                <w:spacing w:val="-3"/>
                <w:sz w:val="16"/>
              </w:rPr>
              <w:t> </w:t>
            </w:r>
            <w:r>
              <w:rPr>
                <w:sz w:val="16"/>
              </w:rPr>
              <w:t>/</w:t>
            </w:r>
            <w:r>
              <w:rPr>
                <w:spacing w:val="-1"/>
                <w:sz w:val="16"/>
              </w:rPr>
              <w:t> </w:t>
            </w:r>
            <w:r>
              <w:rPr>
                <w:spacing w:val="-2"/>
                <w:sz w:val="16"/>
              </w:rPr>
              <w:t>reset</w:t>
            </w:r>
          </w:p>
        </w:tc>
        <w:tc>
          <w:tcPr>
            <w:tcW w:w="3226" w:type="dxa"/>
            <w:shd w:val="clear" w:color="auto" w:fill="F3F8FB"/>
          </w:tcPr>
          <w:p>
            <w:pPr>
              <w:pStyle w:val="TableParagraph"/>
              <w:spacing w:before="85"/>
              <w:ind w:left="85"/>
              <w:rPr>
                <w:sz w:val="16"/>
              </w:rPr>
            </w:pPr>
            <w:r>
              <w:rPr>
                <w:sz w:val="16"/>
              </w:rPr>
              <w:t>James</w:t>
            </w:r>
            <w:r>
              <w:rPr>
                <w:spacing w:val="-2"/>
                <w:sz w:val="16"/>
              </w:rPr>
              <w:t> Severs</w:t>
            </w:r>
          </w:p>
        </w:tc>
        <w:tc>
          <w:tcPr>
            <w:tcW w:w="6742" w:type="dxa"/>
            <w:shd w:val="clear" w:color="auto" w:fill="F3F8FB"/>
          </w:tcPr>
          <w:p>
            <w:pPr>
              <w:pStyle w:val="TableParagraph"/>
              <w:spacing w:before="85"/>
              <w:ind w:left="79"/>
              <w:rPr>
                <w:sz w:val="16"/>
              </w:rPr>
            </w:pPr>
            <w:r>
              <w:rPr>
                <w:sz w:val="16"/>
              </w:rPr>
              <w:t>Regional</w:t>
            </w:r>
            <w:r>
              <w:rPr>
                <w:spacing w:val="-5"/>
                <w:sz w:val="16"/>
              </w:rPr>
              <w:t> </w:t>
            </w:r>
            <w:r>
              <w:rPr>
                <w:sz w:val="16"/>
              </w:rPr>
              <w:t>consultant</w:t>
            </w:r>
            <w:r>
              <w:rPr>
                <w:spacing w:val="-4"/>
                <w:sz w:val="16"/>
              </w:rPr>
              <w:t> </w:t>
            </w:r>
            <w:r>
              <w:rPr>
                <w:sz w:val="16"/>
              </w:rPr>
              <w:t>rota,</w:t>
            </w:r>
            <w:r>
              <w:rPr>
                <w:spacing w:val="-3"/>
                <w:sz w:val="16"/>
              </w:rPr>
              <w:t> </w:t>
            </w:r>
            <w:r>
              <w:rPr>
                <w:sz w:val="16"/>
              </w:rPr>
              <w:t>increased</w:t>
            </w:r>
            <w:r>
              <w:rPr>
                <w:spacing w:val="-8"/>
                <w:sz w:val="16"/>
              </w:rPr>
              <w:t> </w:t>
            </w:r>
            <w:r>
              <w:rPr>
                <w:sz w:val="16"/>
              </w:rPr>
              <w:t>use</w:t>
            </w:r>
            <w:r>
              <w:rPr>
                <w:spacing w:val="-3"/>
                <w:sz w:val="16"/>
              </w:rPr>
              <w:t> </w:t>
            </w:r>
            <w:r>
              <w:rPr>
                <w:sz w:val="16"/>
              </w:rPr>
              <w:t>of</w:t>
            </w:r>
            <w:r>
              <w:rPr>
                <w:spacing w:val="-3"/>
                <w:sz w:val="16"/>
              </w:rPr>
              <w:t> </w:t>
            </w:r>
            <w:r>
              <w:rPr>
                <w:sz w:val="16"/>
              </w:rPr>
              <w:t>CT</w:t>
            </w:r>
            <w:r>
              <w:rPr>
                <w:spacing w:val="-2"/>
                <w:sz w:val="16"/>
              </w:rPr>
              <w:t> </w:t>
            </w:r>
            <w:r>
              <w:rPr>
                <w:sz w:val="16"/>
              </w:rPr>
              <w:t>Perfusion</w:t>
            </w:r>
            <w:r>
              <w:rPr>
                <w:spacing w:val="-3"/>
                <w:sz w:val="16"/>
              </w:rPr>
              <w:t> </w:t>
            </w:r>
            <w:r>
              <w:rPr>
                <w:sz w:val="16"/>
              </w:rPr>
              <w:t>and</w:t>
            </w:r>
            <w:r>
              <w:rPr>
                <w:spacing w:val="-7"/>
                <w:sz w:val="16"/>
              </w:rPr>
              <w:t> </w:t>
            </w:r>
            <w:r>
              <w:rPr>
                <w:sz w:val="16"/>
              </w:rPr>
              <w:t>reduced</w:t>
            </w:r>
            <w:r>
              <w:rPr>
                <w:spacing w:val="-3"/>
                <w:sz w:val="16"/>
              </w:rPr>
              <w:t> </w:t>
            </w:r>
            <w:r>
              <w:rPr>
                <w:sz w:val="16"/>
              </w:rPr>
              <w:t>time</w:t>
            </w:r>
            <w:r>
              <w:rPr>
                <w:spacing w:val="-3"/>
                <w:sz w:val="16"/>
              </w:rPr>
              <w:t> </w:t>
            </w:r>
            <w:r>
              <w:rPr>
                <w:sz w:val="16"/>
              </w:rPr>
              <w:t>to</w:t>
            </w:r>
            <w:r>
              <w:rPr>
                <w:spacing w:val="-2"/>
                <w:sz w:val="16"/>
              </w:rPr>
              <w:t> scan.</w:t>
            </w:r>
          </w:p>
        </w:tc>
      </w:tr>
    </w:tbl>
    <w:p>
      <w:pPr>
        <w:pStyle w:val="BodyText"/>
        <w:rPr>
          <w:b/>
          <w:sz w:val="26"/>
        </w:rPr>
      </w:pPr>
    </w:p>
    <w:p>
      <w:pPr>
        <w:pStyle w:val="BodyText"/>
        <w:spacing w:before="69"/>
        <w:rPr>
          <w:b/>
          <w:sz w:val="26"/>
        </w:rPr>
      </w:pPr>
    </w:p>
    <w:p>
      <w:pPr>
        <w:pStyle w:val="Heading8"/>
        <w:numPr>
          <w:ilvl w:val="0"/>
          <w:numId w:val="15"/>
        </w:numPr>
        <w:tabs>
          <w:tab w:pos="367" w:val="left" w:leader="none"/>
        </w:tabs>
        <w:spacing w:line="240" w:lineRule="auto" w:before="0" w:after="0"/>
        <w:ind w:left="367" w:right="0" w:hanging="284"/>
        <w:jc w:val="left"/>
      </w:pPr>
      <w:r>
        <w:rPr>
          <w:color w:val="001F5F"/>
        </w:rPr>
        <w:t>Ambition</w:t>
      </w:r>
      <w:r>
        <w:rPr>
          <w:color w:val="001F5F"/>
          <w:spacing w:val="-5"/>
        </w:rPr>
        <w:t> </w:t>
      </w:r>
      <w:r>
        <w:rPr>
          <w:color w:val="001F5F"/>
          <w:spacing w:val="-2"/>
        </w:rPr>
        <w:t>Statement(s)</w:t>
      </w:r>
    </w:p>
    <w:p>
      <w:pPr>
        <w:pStyle w:val="BodyText"/>
        <w:spacing w:before="10"/>
        <w:rPr>
          <w:b/>
          <w:sz w:val="10"/>
        </w:rPr>
      </w:pPr>
    </w:p>
    <w:tbl>
      <w:tblPr>
        <w:tblW w:w="0" w:type="auto"/>
        <w:jc w:val="left"/>
        <w:tblInd w:w="8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5540"/>
      </w:tblGrid>
      <w:tr>
        <w:trPr>
          <w:trHeight w:val="385" w:hRule="atLeast"/>
        </w:trPr>
        <w:tc>
          <w:tcPr>
            <w:tcW w:w="15540" w:type="dxa"/>
            <w:shd w:val="clear" w:color="auto" w:fill="1F4E79"/>
          </w:tcPr>
          <w:p>
            <w:pPr>
              <w:pStyle w:val="TableParagraph"/>
              <w:spacing w:before="90"/>
              <w:ind w:left="92"/>
              <w:rPr>
                <w:b/>
                <w:sz w:val="17"/>
              </w:rPr>
            </w:pPr>
            <w:r>
              <w:rPr>
                <w:b/>
                <w:color w:val="FFFFFF"/>
                <w:sz w:val="17"/>
              </w:rPr>
              <w:t>Ambition</w:t>
            </w:r>
            <w:r>
              <w:rPr>
                <w:b/>
                <w:color w:val="FFFFFF"/>
                <w:spacing w:val="-8"/>
                <w:sz w:val="17"/>
              </w:rPr>
              <w:t> </w:t>
            </w:r>
            <w:r>
              <w:rPr>
                <w:b/>
                <w:color w:val="FFFFFF"/>
                <w:spacing w:val="-2"/>
                <w:sz w:val="17"/>
              </w:rPr>
              <w:t>Statement(s)</w:t>
            </w:r>
          </w:p>
        </w:tc>
      </w:tr>
      <w:tr>
        <w:trPr>
          <w:trHeight w:val="1000" w:hRule="atLeast"/>
        </w:trPr>
        <w:tc>
          <w:tcPr>
            <w:tcW w:w="15540" w:type="dxa"/>
          </w:tcPr>
          <w:p>
            <w:pPr>
              <w:pStyle w:val="TableParagraph"/>
              <w:spacing w:line="252" w:lineRule="auto" w:before="91"/>
              <w:ind w:left="92" w:right="221"/>
              <w:rPr>
                <w:sz w:val="17"/>
              </w:rPr>
            </w:pPr>
            <w:r>
              <w:rPr>
                <w:sz w:val="17"/>
              </w:rPr>
              <w:t>Provide joint leadership across Swansea Bay and Hywel Dda University Health Boards to plan, commission and deliver sustainable, high-quality and efficient</w:t>
            </w:r>
            <w:r>
              <w:rPr>
                <w:spacing w:val="-1"/>
                <w:sz w:val="17"/>
              </w:rPr>
              <w:t> </w:t>
            </w:r>
            <w:r>
              <w:rPr>
                <w:sz w:val="17"/>
              </w:rPr>
              <w:t>regional clinical services. The subgroup will use</w:t>
            </w:r>
            <w:r>
              <w:rPr>
                <w:spacing w:val="-2"/>
                <w:sz w:val="17"/>
              </w:rPr>
              <w:t> </w:t>
            </w:r>
            <w:r>
              <w:rPr>
                <w:sz w:val="17"/>
              </w:rPr>
              <w:t>a</w:t>
            </w:r>
            <w:r>
              <w:rPr>
                <w:spacing w:val="-2"/>
                <w:sz w:val="17"/>
              </w:rPr>
              <w:t> </w:t>
            </w:r>
            <w:r>
              <w:rPr>
                <w:sz w:val="17"/>
              </w:rPr>
              <w:t>regional,</w:t>
            </w:r>
            <w:r>
              <w:rPr>
                <w:spacing w:val="-5"/>
                <w:sz w:val="17"/>
              </w:rPr>
              <w:t> </w:t>
            </w:r>
            <w:r>
              <w:rPr>
                <w:sz w:val="17"/>
              </w:rPr>
              <w:t>data-led</w:t>
            </w:r>
            <w:r>
              <w:rPr>
                <w:spacing w:val="-2"/>
                <w:sz w:val="17"/>
              </w:rPr>
              <w:t> </w:t>
            </w:r>
            <w:r>
              <w:rPr>
                <w:sz w:val="17"/>
              </w:rPr>
              <w:t>approach</w:t>
            </w:r>
            <w:r>
              <w:rPr>
                <w:spacing w:val="-2"/>
                <w:sz w:val="17"/>
              </w:rPr>
              <w:t> </w:t>
            </w:r>
            <w:r>
              <w:rPr>
                <w:sz w:val="17"/>
              </w:rPr>
              <w:t>to baseline</w:t>
            </w:r>
            <w:r>
              <w:rPr>
                <w:spacing w:val="-2"/>
                <w:sz w:val="17"/>
              </w:rPr>
              <w:t> </w:t>
            </w:r>
            <w:r>
              <w:rPr>
                <w:sz w:val="17"/>
              </w:rPr>
              <w:t>activity,</w:t>
            </w:r>
            <w:r>
              <w:rPr>
                <w:spacing w:val="-2"/>
                <w:sz w:val="17"/>
              </w:rPr>
              <w:t> </w:t>
            </w:r>
            <w:r>
              <w:rPr>
                <w:sz w:val="17"/>
              </w:rPr>
              <w:t>quality,</w:t>
            </w:r>
            <w:r>
              <w:rPr>
                <w:spacing w:val="-5"/>
                <w:sz w:val="17"/>
              </w:rPr>
              <w:t> </w:t>
            </w:r>
            <w:r>
              <w:rPr>
                <w:sz w:val="17"/>
              </w:rPr>
              <w:t>outcomes,</w:t>
            </w:r>
            <w:r>
              <w:rPr>
                <w:spacing w:val="-4"/>
                <w:sz w:val="17"/>
              </w:rPr>
              <w:t> </w:t>
            </w:r>
            <w:r>
              <w:rPr>
                <w:sz w:val="17"/>
              </w:rPr>
              <w:t>cost efficiency,</w:t>
            </w:r>
            <w:r>
              <w:rPr>
                <w:spacing w:val="-5"/>
                <w:sz w:val="17"/>
              </w:rPr>
              <w:t> </w:t>
            </w:r>
            <w:r>
              <w:rPr>
                <w:sz w:val="17"/>
              </w:rPr>
              <w:t>service</w:t>
            </w:r>
            <w:r>
              <w:rPr>
                <w:spacing w:val="-2"/>
                <w:sz w:val="17"/>
              </w:rPr>
              <w:t> </w:t>
            </w:r>
            <w:r>
              <w:rPr>
                <w:sz w:val="17"/>
              </w:rPr>
              <w:t>fragility,</w:t>
            </w:r>
            <w:r>
              <w:rPr>
                <w:spacing w:val="-5"/>
                <w:sz w:val="17"/>
              </w:rPr>
              <w:t> </w:t>
            </w:r>
            <w:r>
              <w:rPr>
                <w:sz w:val="17"/>
              </w:rPr>
              <w:t>workforce</w:t>
            </w:r>
            <w:r>
              <w:rPr>
                <w:spacing w:val="-2"/>
                <w:sz w:val="17"/>
              </w:rPr>
              <w:t> </w:t>
            </w:r>
            <w:r>
              <w:rPr>
                <w:sz w:val="17"/>
              </w:rPr>
              <w:t>sustainability,</w:t>
            </w:r>
            <w:r>
              <w:rPr>
                <w:spacing w:val="-5"/>
                <w:sz w:val="17"/>
              </w:rPr>
              <w:t> </w:t>
            </w:r>
            <w:r>
              <w:rPr>
                <w:sz w:val="17"/>
              </w:rPr>
              <w:t>financial sustainability</w:t>
            </w:r>
            <w:r>
              <w:rPr>
                <w:spacing w:val="-3"/>
                <w:sz w:val="17"/>
              </w:rPr>
              <w:t> </w:t>
            </w:r>
            <w:r>
              <w:rPr>
                <w:sz w:val="17"/>
              </w:rPr>
              <w:t>and</w:t>
            </w:r>
            <w:r>
              <w:rPr>
                <w:spacing w:val="-2"/>
                <w:sz w:val="17"/>
              </w:rPr>
              <w:t> </w:t>
            </w:r>
            <w:r>
              <w:rPr>
                <w:sz w:val="17"/>
              </w:rPr>
              <w:t>population</w:t>
            </w:r>
            <w:r>
              <w:rPr>
                <w:spacing w:val="-2"/>
                <w:sz w:val="17"/>
              </w:rPr>
              <w:t> </w:t>
            </w:r>
            <w:r>
              <w:rPr>
                <w:sz w:val="17"/>
              </w:rPr>
              <w:t>health</w:t>
            </w:r>
            <w:r>
              <w:rPr>
                <w:spacing w:val="-2"/>
                <w:sz w:val="17"/>
              </w:rPr>
              <w:t> </w:t>
            </w:r>
            <w:r>
              <w:rPr>
                <w:sz w:val="17"/>
              </w:rPr>
              <w:t>need.</w:t>
            </w:r>
            <w:r>
              <w:rPr>
                <w:spacing w:val="-5"/>
                <w:sz w:val="17"/>
              </w:rPr>
              <w:t> </w:t>
            </w:r>
            <w:r>
              <w:rPr>
                <w:sz w:val="17"/>
              </w:rPr>
              <w:t>It</w:t>
            </w:r>
            <w:r>
              <w:rPr>
                <w:spacing w:val="-5"/>
                <w:sz w:val="17"/>
              </w:rPr>
              <w:t> </w:t>
            </w:r>
            <w:r>
              <w:rPr>
                <w:sz w:val="17"/>
              </w:rPr>
              <w:t>will</w:t>
            </w:r>
            <w:r>
              <w:rPr>
                <w:spacing w:val="-1"/>
                <w:sz w:val="17"/>
              </w:rPr>
              <w:t> </w:t>
            </w:r>
            <w:r>
              <w:rPr>
                <w:sz w:val="17"/>
              </w:rPr>
              <w:t>support</w:t>
            </w:r>
            <w:r>
              <w:rPr>
                <w:spacing w:val="-5"/>
                <w:sz w:val="17"/>
              </w:rPr>
              <w:t> </w:t>
            </w:r>
            <w:r>
              <w:rPr>
                <w:sz w:val="17"/>
              </w:rPr>
              <w:t>short- to medium-term operational planning and longer-term transformational collaboration,</w:t>
            </w:r>
            <w:r>
              <w:rPr>
                <w:spacing w:val="-1"/>
                <w:sz w:val="17"/>
              </w:rPr>
              <w:t> </w:t>
            </w:r>
            <w:r>
              <w:rPr>
                <w:sz w:val="17"/>
              </w:rPr>
              <w:t>including regional capital prioritisation and clinically led service redesign,</w:t>
            </w:r>
            <w:r>
              <w:rPr>
                <w:spacing w:val="-1"/>
                <w:sz w:val="17"/>
              </w:rPr>
              <w:t> </w:t>
            </w:r>
            <w:r>
              <w:rPr>
                <w:sz w:val="17"/>
              </w:rPr>
              <w:t>where regional working improves resilience, equity of access and outcomes for South West Wales.</w:t>
            </w:r>
          </w:p>
        </w:tc>
      </w:tr>
    </w:tbl>
    <w:p>
      <w:pPr>
        <w:pStyle w:val="Heading8"/>
        <w:numPr>
          <w:ilvl w:val="0"/>
          <w:numId w:val="15"/>
        </w:numPr>
        <w:tabs>
          <w:tab w:pos="367" w:val="left" w:leader="none"/>
        </w:tabs>
        <w:spacing w:line="240" w:lineRule="auto" w:before="162" w:after="0"/>
        <w:ind w:left="367" w:right="0" w:hanging="284"/>
        <w:jc w:val="left"/>
      </w:pPr>
      <w:r>
        <w:rPr>
          <w:color w:val="001F5F"/>
        </w:rPr>
        <w:t>Objective</w:t>
      </w:r>
      <w:r>
        <w:rPr>
          <w:color w:val="001F5F"/>
          <w:spacing w:val="-3"/>
        </w:rPr>
        <w:t> </w:t>
      </w:r>
      <w:r>
        <w:rPr>
          <w:color w:val="001F5F"/>
        </w:rPr>
        <w:t>/</w:t>
      </w:r>
      <w:r>
        <w:rPr>
          <w:color w:val="001F5F"/>
          <w:spacing w:val="-4"/>
        </w:rPr>
        <w:t> </w:t>
      </w:r>
      <w:r>
        <w:rPr>
          <w:color w:val="001F5F"/>
        </w:rPr>
        <w:t>Output</w:t>
      </w:r>
      <w:r>
        <w:rPr>
          <w:color w:val="001F5F"/>
          <w:spacing w:val="-8"/>
        </w:rPr>
        <w:t> </w:t>
      </w:r>
      <w:r>
        <w:rPr>
          <w:color w:val="001F5F"/>
          <w:spacing w:val="-2"/>
        </w:rPr>
        <w:t>Statements</w:t>
      </w:r>
    </w:p>
    <w:p>
      <w:pPr>
        <w:pStyle w:val="BodyText"/>
        <w:spacing w:before="10"/>
        <w:rPr>
          <w:b/>
          <w:sz w:val="10"/>
        </w:rPr>
      </w:pPr>
    </w:p>
    <w:tbl>
      <w:tblPr>
        <w:tblW w:w="0" w:type="auto"/>
        <w:jc w:val="left"/>
        <w:tblInd w:w="13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1378"/>
        <w:gridCol w:w="2451"/>
        <w:gridCol w:w="1615"/>
      </w:tblGrid>
      <w:tr>
        <w:trPr>
          <w:trHeight w:val="370" w:hRule="atLeast"/>
        </w:trPr>
        <w:tc>
          <w:tcPr>
            <w:tcW w:w="11378" w:type="dxa"/>
            <w:shd w:val="clear" w:color="auto" w:fill="1F4E79"/>
          </w:tcPr>
          <w:p>
            <w:pPr>
              <w:pStyle w:val="TableParagraph"/>
              <w:spacing w:before="89"/>
              <w:ind w:left="87"/>
              <w:rPr>
                <w:b/>
                <w:sz w:val="16"/>
              </w:rPr>
            </w:pPr>
            <w:r>
              <w:rPr>
                <w:b/>
                <w:color w:val="FFFFFF"/>
                <w:sz w:val="16"/>
              </w:rPr>
              <w:t>Objective</w:t>
            </w:r>
            <w:r>
              <w:rPr>
                <w:b/>
                <w:color w:val="FFFFFF"/>
                <w:spacing w:val="-1"/>
                <w:sz w:val="16"/>
              </w:rPr>
              <w:t> </w:t>
            </w:r>
            <w:r>
              <w:rPr>
                <w:b/>
                <w:color w:val="FFFFFF"/>
                <w:sz w:val="16"/>
              </w:rPr>
              <w:t>/ </w:t>
            </w:r>
            <w:r>
              <w:rPr>
                <w:b/>
                <w:color w:val="FFFFFF"/>
                <w:spacing w:val="-2"/>
                <w:sz w:val="16"/>
              </w:rPr>
              <w:t>Output</w:t>
            </w:r>
          </w:p>
        </w:tc>
        <w:tc>
          <w:tcPr>
            <w:tcW w:w="2451" w:type="dxa"/>
            <w:shd w:val="clear" w:color="auto" w:fill="1F4E79"/>
          </w:tcPr>
          <w:p>
            <w:pPr>
              <w:pStyle w:val="TableParagraph"/>
              <w:spacing w:before="89"/>
              <w:ind w:left="93"/>
              <w:rPr>
                <w:b/>
                <w:sz w:val="16"/>
              </w:rPr>
            </w:pPr>
            <w:r>
              <w:rPr>
                <w:b/>
                <w:color w:val="FFFFFF"/>
                <w:sz w:val="16"/>
              </w:rPr>
              <w:t>Target</w:t>
            </w:r>
            <w:r>
              <w:rPr>
                <w:b/>
                <w:color w:val="FFFFFF"/>
                <w:spacing w:val="2"/>
                <w:sz w:val="16"/>
              </w:rPr>
              <w:t> </w:t>
            </w:r>
            <w:r>
              <w:rPr>
                <w:b/>
                <w:color w:val="FFFFFF"/>
                <w:spacing w:val="-4"/>
                <w:sz w:val="16"/>
              </w:rPr>
              <w:t>Date</w:t>
            </w:r>
          </w:p>
        </w:tc>
        <w:tc>
          <w:tcPr>
            <w:tcW w:w="1615" w:type="dxa"/>
            <w:tcBorders>
              <w:right w:val="single" w:sz="8" w:space="0" w:color="6E6E6E"/>
            </w:tcBorders>
            <w:shd w:val="clear" w:color="auto" w:fill="1F4E79"/>
          </w:tcPr>
          <w:p>
            <w:pPr>
              <w:pStyle w:val="TableParagraph"/>
              <w:spacing w:before="89"/>
              <w:ind w:left="88"/>
              <w:rPr>
                <w:b/>
                <w:sz w:val="16"/>
              </w:rPr>
            </w:pPr>
            <w:r>
              <w:rPr>
                <w:b/>
                <w:color w:val="FFFFFF"/>
                <w:spacing w:val="-5"/>
                <w:sz w:val="16"/>
              </w:rPr>
              <w:t>RAG</w:t>
            </w:r>
          </w:p>
        </w:tc>
      </w:tr>
      <w:tr>
        <w:trPr>
          <w:trHeight w:val="540" w:hRule="atLeast"/>
        </w:trPr>
        <w:tc>
          <w:tcPr>
            <w:tcW w:w="11378" w:type="dxa"/>
          </w:tcPr>
          <w:p>
            <w:pPr>
              <w:pStyle w:val="TableParagraph"/>
              <w:spacing w:before="170"/>
              <w:ind w:left="87"/>
              <w:rPr>
                <w:sz w:val="17"/>
              </w:rPr>
            </w:pPr>
            <w:r>
              <w:rPr>
                <w:sz w:val="17"/>
              </w:rPr>
              <w:t>Develop</w:t>
            </w:r>
            <w:r>
              <w:rPr>
                <w:spacing w:val="-6"/>
                <w:sz w:val="17"/>
              </w:rPr>
              <w:t> </w:t>
            </w:r>
            <w:r>
              <w:rPr>
                <w:sz w:val="17"/>
              </w:rPr>
              <w:t>strategic</w:t>
            </w:r>
            <w:r>
              <w:rPr>
                <w:spacing w:val="-5"/>
                <w:sz w:val="17"/>
              </w:rPr>
              <w:t> </w:t>
            </w:r>
            <w:r>
              <w:rPr>
                <w:sz w:val="17"/>
              </w:rPr>
              <w:t>regional</w:t>
            </w:r>
            <w:r>
              <w:rPr>
                <w:spacing w:val="-2"/>
                <w:sz w:val="17"/>
              </w:rPr>
              <w:t> </w:t>
            </w:r>
            <w:r>
              <w:rPr>
                <w:sz w:val="17"/>
              </w:rPr>
              <w:t>orthopaedic</w:t>
            </w:r>
            <w:r>
              <w:rPr>
                <w:spacing w:val="-5"/>
                <w:sz w:val="17"/>
              </w:rPr>
              <w:t> </w:t>
            </w:r>
            <w:r>
              <w:rPr>
                <w:sz w:val="17"/>
              </w:rPr>
              <w:t>plan</w:t>
            </w:r>
            <w:r>
              <w:rPr>
                <w:spacing w:val="-4"/>
                <w:sz w:val="17"/>
              </w:rPr>
              <w:t> </w:t>
            </w:r>
            <w:r>
              <w:rPr>
                <w:sz w:val="17"/>
              </w:rPr>
              <w:t>for</w:t>
            </w:r>
            <w:r>
              <w:rPr>
                <w:spacing w:val="-5"/>
                <w:sz w:val="17"/>
              </w:rPr>
              <w:t> </w:t>
            </w:r>
            <w:r>
              <w:rPr>
                <w:sz w:val="17"/>
              </w:rPr>
              <w:t>2027/28</w:t>
            </w:r>
            <w:r>
              <w:rPr>
                <w:spacing w:val="-4"/>
                <w:sz w:val="17"/>
              </w:rPr>
              <w:t> </w:t>
            </w:r>
            <w:r>
              <w:rPr>
                <w:sz w:val="17"/>
              </w:rPr>
              <w:t>and</w:t>
            </w:r>
            <w:r>
              <w:rPr>
                <w:spacing w:val="-4"/>
                <w:sz w:val="17"/>
              </w:rPr>
              <w:t> </w:t>
            </w:r>
            <w:r>
              <w:rPr>
                <w:sz w:val="17"/>
              </w:rPr>
              <w:t>36-week</w:t>
            </w:r>
            <w:r>
              <w:rPr>
                <w:spacing w:val="-5"/>
                <w:sz w:val="17"/>
              </w:rPr>
              <w:t> </w:t>
            </w:r>
            <w:r>
              <w:rPr>
                <w:sz w:val="17"/>
              </w:rPr>
              <w:t>ambition</w:t>
            </w:r>
            <w:r>
              <w:rPr>
                <w:spacing w:val="-4"/>
                <w:sz w:val="17"/>
              </w:rPr>
              <w:t> </w:t>
            </w:r>
            <w:r>
              <w:rPr>
                <w:sz w:val="17"/>
              </w:rPr>
              <w:t>by</w:t>
            </w:r>
            <w:r>
              <w:rPr>
                <w:spacing w:val="-3"/>
                <w:sz w:val="17"/>
              </w:rPr>
              <w:t> </w:t>
            </w:r>
            <w:r>
              <w:rPr>
                <w:spacing w:val="-4"/>
                <w:sz w:val="17"/>
              </w:rPr>
              <w:t>2030</w:t>
            </w:r>
          </w:p>
        </w:tc>
        <w:tc>
          <w:tcPr>
            <w:tcW w:w="2451" w:type="dxa"/>
          </w:tcPr>
          <w:p>
            <w:pPr>
              <w:pStyle w:val="TableParagraph"/>
              <w:spacing w:before="170"/>
              <w:ind w:left="93"/>
              <w:rPr>
                <w:sz w:val="17"/>
              </w:rPr>
            </w:pPr>
            <w:r>
              <w:rPr>
                <w:sz w:val="17"/>
              </w:rPr>
              <w:t>March</w:t>
            </w:r>
            <w:r>
              <w:rPr>
                <w:spacing w:val="-7"/>
                <w:sz w:val="17"/>
              </w:rPr>
              <w:t> </w:t>
            </w:r>
            <w:r>
              <w:rPr>
                <w:spacing w:val="-4"/>
                <w:sz w:val="17"/>
              </w:rPr>
              <w:t>2027+</w:t>
            </w:r>
          </w:p>
        </w:tc>
        <w:tc>
          <w:tcPr>
            <w:tcW w:w="1615" w:type="dxa"/>
            <w:tcBorders>
              <w:right w:val="single" w:sz="8" w:space="0" w:color="6E6E6E"/>
            </w:tcBorders>
            <w:shd w:val="clear" w:color="auto" w:fill="00AF50"/>
          </w:tcPr>
          <w:p>
            <w:pPr>
              <w:pStyle w:val="TableParagraph"/>
              <w:rPr>
                <w:rFonts w:ascii="Times New Roman"/>
                <w:sz w:val="16"/>
              </w:rPr>
            </w:pPr>
          </w:p>
        </w:tc>
      </w:tr>
      <w:tr>
        <w:trPr>
          <w:trHeight w:val="540" w:hRule="atLeast"/>
        </w:trPr>
        <w:tc>
          <w:tcPr>
            <w:tcW w:w="11378" w:type="dxa"/>
          </w:tcPr>
          <w:p>
            <w:pPr>
              <w:pStyle w:val="TableParagraph"/>
              <w:spacing w:before="170"/>
              <w:ind w:left="87"/>
              <w:rPr>
                <w:sz w:val="17"/>
              </w:rPr>
            </w:pPr>
            <w:r>
              <w:rPr>
                <w:sz w:val="17"/>
              </w:rPr>
              <w:t>Reduce</w:t>
            </w:r>
            <w:r>
              <w:rPr>
                <w:spacing w:val="-9"/>
                <w:sz w:val="17"/>
              </w:rPr>
              <w:t> </w:t>
            </w:r>
            <w:r>
              <w:rPr>
                <w:sz w:val="17"/>
              </w:rPr>
              <w:t>waiting</w:t>
            </w:r>
            <w:r>
              <w:rPr>
                <w:spacing w:val="-6"/>
                <w:sz w:val="17"/>
              </w:rPr>
              <w:t> </w:t>
            </w:r>
            <w:r>
              <w:rPr>
                <w:sz w:val="17"/>
              </w:rPr>
              <w:t>times</w:t>
            </w:r>
            <w:r>
              <w:rPr>
                <w:spacing w:val="-7"/>
                <w:sz w:val="17"/>
              </w:rPr>
              <w:t> </w:t>
            </w:r>
            <w:r>
              <w:rPr>
                <w:sz w:val="17"/>
              </w:rPr>
              <w:t>for</w:t>
            </w:r>
            <w:r>
              <w:rPr>
                <w:spacing w:val="-3"/>
                <w:sz w:val="17"/>
              </w:rPr>
              <w:t> </w:t>
            </w:r>
            <w:r>
              <w:rPr>
                <w:sz w:val="17"/>
              </w:rPr>
              <w:t>oncology</w:t>
            </w:r>
            <w:r>
              <w:rPr>
                <w:spacing w:val="-8"/>
                <w:sz w:val="17"/>
              </w:rPr>
              <w:t> </w:t>
            </w:r>
            <w:r>
              <w:rPr>
                <w:sz w:val="17"/>
              </w:rPr>
              <w:t>treatments</w:t>
            </w:r>
            <w:r>
              <w:rPr>
                <w:spacing w:val="-2"/>
                <w:sz w:val="17"/>
              </w:rPr>
              <w:t> </w:t>
            </w:r>
            <w:r>
              <w:rPr>
                <w:sz w:val="17"/>
              </w:rPr>
              <w:t>through</w:t>
            </w:r>
            <w:r>
              <w:rPr>
                <w:spacing w:val="-7"/>
                <w:sz w:val="17"/>
              </w:rPr>
              <w:t> </w:t>
            </w:r>
            <w:r>
              <w:rPr>
                <w:sz w:val="17"/>
              </w:rPr>
              <w:t>radiotherapy</w:t>
            </w:r>
            <w:r>
              <w:rPr>
                <w:spacing w:val="2"/>
                <w:sz w:val="17"/>
              </w:rPr>
              <w:t> </w:t>
            </w:r>
            <w:r>
              <w:rPr>
                <w:sz w:val="17"/>
              </w:rPr>
              <w:t>capacity</w:t>
            </w:r>
            <w:r>
              <w:rPr>
                <w:spacing w:val="-7"/>
                <w:sz w:val="17"/>
              </w:rPr>
              <w:t> </w:t>
            </w:r>
            <w:r>
              <w:rPr>
                <w:spacing w:val="-2"/>
                <w:sz w:val="17"/>
              </w:rPr>
              <w:t>expansion</w:t>
            </w:r>
          </w:p>
        </w:tc>
        <w:tc>
          <w:tcPr>
            <w:tcW w:w="2451" w:type="dxa"/>
          </w:tcPr>
          <w:p>
            <w:pPr>
              <w:pStyle w:val="TableParagraph"/>
              <w:spacing w:before="170"/>
              <w:ind w:left="93"/>
              <w:rPr>
                <w:sz w:val="17"/>
              </w:rPr>
            </w:pPr>
            <w:r>
              <w:rPr>
                <w:sz w:val="17"/>
              </w:rPr>
              <w:t>March</w:t>
            </w:r>
            <w:r>
              <w:rPr>
                <w:spacing w:val="-7"/>
                <w:sz w:val="17"/>
              </w:rPr>
              <w:t> </w:t>
            </w:r>
            <w:r>
              <w:rPr>
                <w:spacing w:val="-4"/>
                <w:sz w:val="17"/>
              </w:rPr>
              <w:t>2027+</w:t>
            </w:r>
          </w:p>
        </w:tc>
        <w:tc>
          <w:tcPr>
            <w:tcW w:w="1615" w:type="dxa"/>
            <w:tcBorders>
              <w:right w:val="single" w:sz="8" w:space="0" w:color="6E6E6E"/>
            </w:tcBorders>
            <w:shd w:val="clear" w:color="auto" w:fill="00AF50"/>
          </w:tcPr>
          <w:p>
            <w:pPr>
              <w:pStyle w:val="TableParagraph"/>
              <w:rPr>
                <w:rFonts w:ascii="Times New Roman"/>
                <w:sz w:val="16"/>
              </w:rPr>
            </w:pPr>
          </w:p>
        </w:tc>
      </w:tr>
    </w:tbl>
    <w:p>
      <w:pPr>
        <w:pStyle w:val="BodyText"/>
        <w:rPr>
          <w:b/>
          <w:sz w:val="26"/>
        </w:rPr>
      </w:pPr>
    </w:p>
    <w:p>
      <w:pPr>
        <w:pStyle w:val="BodyText"/>
        <w:rPr>
          <w:b/>
          <w:sz w:val="26"/>
        </w:rPr>
      </w:pPr>
    </w:p>
    <w:p>
      <w:pPr>
        <w:pStyle w:val="BodyText"/>
        <w:rPr>
          <w:b/>
          <w:sz w:val="26"/>
        </w:rPr>
      </w:pPr>
    </w:p>
    <w:p>
      <w:pPr>
        <w:pStyle w:val="BodyText"/>
        <w:spacing w:before="67"/>
        <w:rPr>
          <w:b/>
          <w:sz w:val="26"/>
        </w:rPr>
      </w:pPr>
    </w:p>
    <w:p>
      <w:pPr>
        <w:spacing w:before="0"/>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271" name="Image 271"/>
            <wp:cNvGraphicFramePr>
              <a:graphicFrameLocks/>
            </wp:cNvGraphicFramePr>
            <a:graphic>
              <a:graphicData uri="http://schemas.openxmlformats.org/drawingml/2006/picture">
                <pic:pic>
                  <pic:nvPicPr>
                    <pic:cNvPr id="271" name="Image 271"/>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272" name="Image 272"/>
            <wp:cNvGraphicFramePr>
              <a:graphicFrameLocks/>
            </wp:cNvGraphicFramePr>
            <a:graphic>
              <a:graphicData uri="http://schemas.openxmlformats.org/drawingml/2006/picture">
                <pic:pic>
                  <pic:nvPicPr>
                    <pic:cNvPr id="272" name="Image 272"/>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p>
      <w:pPr>
        <w:pStyle w:val="Heading8"/>
        <w:numPr>
          <w:ilvl w:val="0"/>
          <w:numId w:val="15"/>
        </w:numPr>
        <w:tabs>
          <w:tab w:pos="367" w:val="left" w:leader="none"/>
        </w:tabs>
        <w:spacing w:line="240" w:lineRule="auto" w:before="22" w:after="0"/>
        <w:ind w:left="367" w:right="0" w:hanging="284"/>
        <w:jc w:val="left"/>
      </w:pPr>
      <w:r>
        <w:rPr>
          <w:color w:val="001F5F"/>
        </w:rPr>
        <w:t>Milestones</w:t>
      </w:r>
      <w:r>
        <w:rPr>
          <w:color w:val="001F5F"/>
          <w:spacing w:val="-6"/>
        </w:rPr>
        <w:t> </w:t>
      </w:r>
      <w:r>
        <w:rPr>
          <w:color w:val="001F5F"/>
        </w:rPr>
        <w:t>&amp;</w:t>
      </w:r>
      <w:r>
        <w:rPr>
          <w:color w:val="001F5F"/>
          <w:spacing w:val="-4"/>
        </w:rPr>
        <w:t> </w:t>
      </w:r>
      <w:r>
        <w:rPr>
          <w:color w:val="001F5F"/>
          <w:spacing w:val="-2"/>
        </w:rPr>
        <w:t>Deliverables</w:t>
      </w:r>
    </w:p>
    <w:p>
      <w:pPr>
        <w:pStyle w:val="BodyText"/>
        <w:spacing w:before="11"/>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4382"/>
        <w:gridCol w:w="4652"/>
        <w:gridCol w:w="1531"/>
        <w:gridCol w:w="1536"/>
        <w:gridCol w:w="3426"/>
      </w:tblGrid>
      <w:tr>
        <w:trPr>
          <w:trHeight w:val="360" w:hRule="atLeast"/>
        </w:trPr>
        <w:tc>
          <w:tcPr>
            <w:tcW w:w="4382" w:type="dxa"/>
            <w:shd w:val="clear" w:color="auto" w:fill="1F4E79"/>
          </w:tcPr>
          <w:p>
            <w:pPr>
              <w:pStyle w:val="TableParagraph"/>
              <w:spacing w:before="89"/>
              <w:ind w:left="107"/>
              <w:rPr>
                <w:b/>
                <w:sz w:val="15"/>
              </w:rPr>
            </w:pPr>
            <w:r>
              <w:rPr>
                <w:b/>
                <w:color w:val="FFFFFF"/>
                <w:sz w:val="15"/>
              </w:rPr>
              <w:t>RJC</w:t>
            </w:r>
            <w:r>
              <w:rPr>
                <w:b/>
                <w:color w:val="FFFFFF"/>
                <w:spacing w:val="-5"/>
                <w:sz w:val="15"/>
              </w:rPr>
              <w:t> </w:t>
            </w:r>
            <w:r>
              <w:rPr>
                <w:b/>
                <w:color w:val="FFFFFF"/>
                <w:sz w:val="15"/>
              </w:rPr>
              <w:t>Subgroup</w:t>
            </w:r>
            <w:r>
              <w:rPr>
                <w:b/>
                <w:color w:val="FFFFFF"/>
                <w:spacing w:val="-2"/>
                <w:sz w:val="15"/>
              </w:rPr>
              <w:t> Objective</w:t>
            </w:r>
          </w:p>
        </w:tc>
        <w:tc>
          <w:tcPr>
            <w:tcW w:w="4652" w:type="dxa"/>
            <w:shd w:val="clear" w:color="auto" w:fill="1F4E79"/>
          </w:tcPr>
          <w:p>
            <w:pPr>
              <w:pStyle w:val="TableParagraph"/>
              <w:spacing w:before="89"/>
              <w:ind w:left="92"/>
              <w:rPr>
                <w:b/>
                <w:sz w:val="15"/>
              </w:rPr>
            </w:pPr>
            <w:r>
              <w:rPr>
                <w:b/>
                <w:color w:val="FFFFFF"/>
                <w:sz w:val="15"/>
              </w:rPr>
              <w:t>Milestone</w:t>
            </w:r>
            <w:r>
              <w:rPr>
                <w:b/>
                <w:color w:val="FFFFFF"/>
                <w:spacing w:val="-5"/>
                <w:sz w:val="15"/>
              </w:rPr>
              <w:t> </w:t>
            </w:r>
            <w:r>
              <w:rPr>
                <w:b/>
                <w:color w:val="FFFFFF"/>
                <w:sz w:val="15"/>
              </w:rPr>
              <w:t>/</w:t>
            </w:r>
            <w:r>
              <w:rPr>
                <w:b/>
                <w:color w:val="FFFFFF"/>
                <w:spacing w:val="-6"/>
                <w:sz w:val="15"/>
              </w:rPr>
              <w:t> </w:t>
            </w:r>
            <w:r>
              <w:rPr>
                <w:b/>
                <w:color w:val="FFFFFF"/>
                <w:spacing w:val="-2"/>
                <w:sz w:val="15"/>
              </w:rPr>
              <w:t>Deliverable</w:t>
            </w:r>
          </w:p>
        </w:tc>
        <w:tc>
          <w:tcPr>
            <w:tcW w:w="1531" w:type="dxa"/>
            <w:shd w:val="clear" w:color="auto" w:fill="1F4E79"/>
          </w:tcPr>
          <w:p>
            <w:pPr>
              <w:pStyle w:val="TableParagraph"/>
              <w:spacing w:before="89"/>
              <w:ind w:left="86"/>
              <w:rPr>
                <w:b/>
                <w:sz w:val="15"/>
              </w:rPr>
            </w:pPr>
            <w:r>
              <w:rPr>
                <w:b/>
                <w:color w:val="FFFFFF"/>
                <w:sz w:val="15"/>
              </w:rPr>
              <w:t>Target</w:t>
            </w:r>
            <w:r>
              <w:rPr>
                <w:b/>
                <w:color w:val="FFFFFF"/>
                <w:spacing w:val="2"/>
                <w:sz w:val="15"/>
              </w:rPr>
              <w:t> </w:t>
            </w:r>
            <w:r>
              <w:rPr>
                <w:b/>
                <w:color w:val="FFFFFF"/>
                <w:spacing w:val="-4"/>
                <w:sz w:val="15"/>
              </w:rPr>
              <w:t>Date</w:t>
            </w:r>
          </w:p>
        </w:tc>
        <w:tc>
          <w:tcPr>
            <w:tcW w:w="1536" w:type="dxa"/>
            <w:shd w:val="clear" w:color="auto" w:fill="1F4E79"/>
          </w:tcPr>
          <w:p>
            <w:pPr>
              <w:pStyle w:val="TableParagraph"/>
              <w:spacing w:before="89"/>
              <w:ind w:left="90"/>
              <w:rPr>
                <w:b/>
                <w:sz w:val="15"/>
              </w:rPr>
            </w:pPr>
            <w:r>
              <w:rPr>
                <w:b/>
                <w:color w:val="FFFFFF"/>
                <w:sz w:val="15"/>
              </w:rPr>
              <w:t>This</w:t>
            </w:r>
            <w:r>
              <w:rPr>
                <w:b/>
                <w:color w:val="FFFFFF"/>
                <w:spacing w:val="-4"/>
                <w:sz w:val="15"/>
              </w:rPr>
              <w:t> </w:t>
            </w:r>
            <w:r>
              <w:rPr>
                <w:b/>
                <w:color w:val="FFFFFF"/>
                <w:sz w:val="15"/>
              </w:rPr>
              <w:t>Period</w:t>
            </w:r>
            <w:r>
              <w:rPr>
                <w:b/>
                <w:color w:val="FFFFFF"/>
                <w:spacing w:val="-5"/>
                <w:sz w:val="15"/>
              </w:rPr>
              <w:t> </w:t>
            </w:r>
            <w:r>
              <w:rPr>
                <w:b/>
                <w:color w:val="FFFFFF"/>
                <w:spacing w:val="-2"/>
                <w:sz w:val="15"/>
              </w:rPr>
              <w:t>(RAG)</w:t>
            </w:r>
          </w:p>
        </w:tc>
        <w:tc>
          <w:tcPr>
            <w:tcW w:w="3426" w:type="dxa"/>
            <w:shd w:val="clear" w:color="auto" w:fill="1F4E79"/>
          </w:tcPr>
          <w:p>
            <w:pPr>
              <w:pStyle w:val="TableParagraph"/>
              <w:spacing w:before="89"/>
              <w:ind w:left="90"/>
              <w:rPr>
                <w:b/>
                <w:sz w:val="15"/>
              </w:rPr>
            </w:pPr>
            <w:r>
              <w:rPr>
                <w:b/>
                <w:color w:val="FFFFFF"/>
                <w:sz w:val="15"/>
              </w:rPr>
              <w:t>Comments</w:t>
            </w:r>
            <w:r>
              <w:rPr>
                <w:b/>
                <w:color w:val="FFFFFF"/>
                <w:spacing w:val="-2"/>
                <w:sz w:val="15"/>
              </w:rPr>
              <w:t> </w:t>
            </w:r>
            <w:r>
              <w:rPr>
                <w:b/>
                <w:color w:val="FFFFFF"/>
                <w:sz w:val="15"/>
              </w:rPr>
              <w:t>/</w:t>
            </w:r>
            <w:r>
              <w:rPr>
                <w:b/>
                <w:color w:val="FFFFFF"/>
                <w:spacing w:val="-4"/>
                <w:sz w:val="15"/>
              </w:rPr>
              <w:t> </w:t>
            </w:r>
            <w:r>
              <w:rPr>
                <w:b/>
                <w:color w:val="FFFFFF"/>
                <w:spacing w:val="-2"/>
                <w:sz w:val="15"/>
              </w:rPr>
              <w:t>Notes</w:t>
            </w:r>
          </w:p>
        </w:tc>
      </w:tr>
      <w:tr>
        <w:trPr>
          <w:trHeight w:val="3261" w:hRule="atLeast"/>
        </w:trPr>
        <w:tc>
          <w:tcPr>
            <w:tcW w:w="4382" w:type="dxa"/>
          </w:tcPr>
          <w:p>
            <w:pPr>
              <w:pStyle w:val="TableParagraph"/>
              <w:spacing w:line="252" w:lineRule="auto" w:before="90"/>
              <w:ind w:left="107" w:right="155"/>
              <w:rPr>
                <w:sz w:val="17"/>
              </w:rPr>
            </w:pPr>
            <w:r>
              <w:rPr>
                <w:sz w:val="17"/>
              </w:rPr>
              <w:t>Bring</w:t>
            </w:r>
            <w:r>
              <w:rPr>
                <w:spacing w:val="-8"/>
                <w:sz w:val="17"/>
              </w:rPr>
              <w:t> </w:t>
            </w:r>
            <w:r>
              <w:rPr>
                <w:sz w:val="17"/>
              </w:rPr>
              <w:t>together,</w:t>
            </w:r>
            <w:r>
              <w:rPr>
                <w:spacing w:val="-6"/>
                <w:sz w:val="17"/>
              </w:rPr>
              <w:t> </w:t>
            </w:r>
            <w:r>
              <w:rPr>
                <w:sz w:val="17"/>
              </w:rPr>
              <w:t>through</w:t>
            </w:r>
            <w:r>
              <w:rPr>
                <w:spacing w:val="-3"/>
                <w:sz w:val="17"/>
              </w:rPr>
              <w:t> </w:t>
            </w:r>
            <w:r>
              <w:rPr>
                <w:sz w:val="17"/>
              </w:rPr>
              <w:t>the</w:t>
            </w:r>
            <w:r>
              <w:rPr>
                <w:spacing w:val="-8"/>
                <w:sz w:val="17"/>
              </w:rPr>
              <w:t> </w:t>
            </w:r>
            <w:r>
              <w:rPr>
                <w:sz w:val="17"/>
              </w:rPr>
              <w:t>RCSPG</w:t>
            </w:r>
            <w:r>
              <w:rPr>
                <w:spacing w:val="-10"/>
                <w:sz w:val="17"/>
              </w:rPr>
              <w:t> </w:t>
            </w:r>
            <w:r>
              <w:rPr>
                <w:sz w:val="17"/>
              </w:rPr>
              <w:t>work</w:t>
            </w:r>
            <w:r>
              <w:rPr>
                <w:spacing w:val="-9"/>
                <w:sz w:val="17"/>
              </w:rPr>
              <w:t> </w:t>
            </w:r>
            <w:r>
              <w:rPr>
                <w:sz w:val="17"/>
              </w:rPr>
              <w:t>programme, clinical service projects that will deliver significant in-year progress and pace in delivery for the regional health and care system.</w:t>
            </w:r>
          </w:p>
          <w:p>
            <w:pPr>
              <w:pStyle w:val="TableParagraph"/>
              <w:spacing w:before="9"/>
              <w:rPr>
                <w:b/>
                <w:sz w:val="17"/>
              </w:rPr>
            </w:pPr>
          </w:p>
          <w:p>
            <w:pPr>
              <w:pStyle w:val="TableParagraph"/>
              <w:spacing w:line="252" w:lineRule="auto"/>
              <w:ind w:left="107" w:right="155"/>
              <w:rPr>
                <w:sz w:val="17"/>
              </w:rPr>
            </w:pPr>
            <w:r>
              <w:rPr>
                <w:sz w:val="17"/>
              </w:rPr>
              <w:t>Drive</w:t>
            </w:r>
            <w:r>
              <w:rPr>
                <w:spacing w:val="-7"/>
                <w:sz w:val="17"/>
              </w:rPr>
              <w:t> </w:t>
            </w:r>
            <w:r>
              <w:rPr>
                <w:sz w:val="17"/>
              </w:rPr>
              <w:t>forward</w:t>
            </w:r>
            <w:r>
              <w:rPr>
                <w:spacing w:val="-7"/>
                <w:sz w:val="17"/>
              </w:rPr>
              <w:t> </w:t>
            </w:r>
            <w:r>
              <w:rPr>
                <w:sz w:val="17"/>
              </w:rPr>
              <w:t>clinical</w:t>
            </w:r>
            <w:r>
              <w:rPr>
                <w:spacing w:val="-5"/>
                <w:sz w:val="17"/>
              </w:rPr>
              <w:t> </w:t>
            </w:r>
            <w:r>
              <w:rPr>
                <w:sz w:val="17"/>
              </w:rPr>
              <w:t>service</w:t>
            </w:r>
            <w:r>
              <w:rPr>
                <w:spacing w:val="-7"/>
                <w:sz w:val="17"/>
              </w:rPr>
              <w:t> </w:t>
            </w:r>
            <w:r>
              <w:rPr>
                <w:sz w:val="17"/>
              </w:rPr>
              <w:t>priorities</w:t>
            </w:r>
            <w:r>
              <w:rPr>
                <w:spacing w:val="-7"/>
                <w:sz w:val="17"/>
              </w:rPr>
              <w:t> </w:t>
            </w:r>
            <w:r>
              <w:rPr>
                <w:sz w:val="17"/>
              </w:rPr>
              <w:t>identified</w:t>
            </w:r>
            <w:r>
              <w:rPr>
                <w:spacing w:val="-7"/>
                <w:sz w:val="17"/>
              </w:rPr>
              <w:t> </w:t>
            </w:r>
            <w:r>
              <w:rPr>
                <w:sz w:val="17"/>
              </w:rPr>
              <w:t>by partner organisations for joint working at pace, ensuring alignment with Ministerial Priorities, the strategic aims agreed by the RJC, and ratification requirements of both sovereign Boards.</w:t>
            </w:r>
          </w:p>
          <w:p>
            <w:pPr>
              <w:pStyle w:val="TableParagraph"/>
              <w:spacing w:before="14"/>
              <w:rPr>
                <w:b/>
                <w:sz w:val="17"/>
              </w:rPr>
            </w:pPr>
          </w:p>
          <w:p>
            <w:pPr>
              <w:pStyle w:val="TableParagraph"/>
              <w:spacing w:line="252" w:lineRule="auto"/>
              <w:ind w:left="107" w:right="155"/>
              <w:rPr>
                <w:sz w:val="17"/>
              </w:rPr>
            </w:pPr>
            <w:r>
              <w:rPr>
                <w:sz w:val="17"/>
              </w:rPr>
              <w:t>Provide assurance that regional clinical service programmes</w:t>
            </w:r>
            <w:r>
              <w:rPr>
                <w:spacing w:val="-7"/>
                <w:sz w:val="17"/>
              </w:rPr>
              <w:t> </w:t>
            </w:r>
            <w:r>
              <w:rPr>
                <w:sz w:val="17"/>
              </w:rPr>
              <w:t>and</w:t>
            </w:r>
            <w:r>
              <w:rPr>
                <w:spacing w:val="-3"/>
                <w:sz w:val="17"/>
              </w:rPr>
              <w:t> </w:t>
            </w:r>
            <w:r>
              <w:rPr>
                <w:sz w:val="17"/>
              </w:rPr>
              <w:t>models</w:t>
            </w:r>
            <w:r>
              <w:rPr>
                <w:spacing w:val="-8"/>
                <w:sz w:val="17"/>
              </w:rPr>
              <w:t> </w:t>
            </w:r>
            <w:r>
              <w:rPr>
                <w:sz w:val="17"/>
              </w:rPr>
              <w:t>are</w:t>
            </w:r>
            <w:r>
              <w:rPr>
                <w:spacing w:val="-7"/>
                <w:sz w:val="17"/>
              </w:rPr>
              <w:t> </w:t>
            </w:r>
            <w:r>
              <w:rPr>
                <w:sz w:val="17"/>
              </w:rPr>
              <w:t>developed</w:t>
            </w:r>
            <w:r>
              <w:rPr>
                <w:spacing w:val="-7"/>
                <w:sz w:val="17"/>
              </w:rPr>
              <w:t> </w:t>
            </w:r>
            <w:r>
              <w:rPr>
                <w:sz w:val="17"/>
              </w:rPr>
              <w:t>and</w:t>
            </w:r>
            <w:r>
              <w:rPr>
                <w:spacing w:val="-7"/>
                <w:sz w:val="17"/>
              </w:rPr>
              <w:t> </w:t>
            </w:r>
            <w:r>
              <w:rPr>
                <w:sz w:val="17"/>
              </w:rPr>
              <w:t>delivered to improve resilience, equity of access and outcomes across South West Wales.</w:t>
            </w:r>
          </w:p>
        </w:tc>
        <w:tc>
          <w:tcPr>
            <w:tcW w:w="465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7"/>
              <w:rPr>
                <w:b/>
                <w:sz w:val="16"/>
              </w:rPr>
            </w:pPr>
          </w:p>
          <w:p>
            <w:pPr>
              <w:pStyle w:val="TableParagraph"/>
              <w:spacing w:line="254" w:lineRule="auto"/>
              <w:ind w:left="92" w:right="262"/>
              <w:rPr>
                <w:sz w:val="16"/>
              </w:rPr>
            </w:pPr>
            <w:r>
              <w:rPr>
                <w:sz w:val="16"/>
              </w:rPr>
              <w:t>Orthopaedics:</w:t>
            </w:r>
            <w:r>
              <w:rPr>
                <w:spacing w:val="-2"/>
                <w:sz w:val="16"/>
              </w:rPr>
              <w:t> </w:t>
            </w:r>
            <w:r>
              <w:rPr>
                <w:sz w:val="16"/>
              </w:rPr>
              <w:t>develop</w:t>
            </w:r>
            <w:r>
              <w:rPr>
                <w:spacing w:val="-1"/>
                <w:sz w:val="16"/>
              </w:rPr>
              <w:t> </w:t>
            </w:r>
            <w:r>
              <w:rPr>
                <w:sz w:val="16"/>
              </w:rPr>
              <w:t>strategic</w:t>
            </w:r>
            <w:r>
              <w:rPr>
                <w:spacing w:val="-2"/>
                <w:sz w:val="16"/>
              </w:rPr>
              <w:t> </w:t>
            </w:r>
            <w:r>
              <w:rPr>
                <w:sz w:val="16"/>
              </w:rPr>
              <w:t>regional</w:t>
            </w:r>
            <w:r>
              <w:rPr>
                <w:spacing w:val="-3"/>
                <w:sz w:val="16"/>
              </w:rPr>
              <w:t> </w:t>
            </w:r>
            <w:r>
              <w:rPr>
                <w:sz w:val="16"/>
              </w:rPr>
              <w:t>solution</w:t>
            </w:r>
            <w:r>
              <w:rPr>
                <w:spacing w:val="-1"/>
                <w:sz w:val="16"/>
              </w:rPr>
              <w:t> </w:t>
            </w:r>
            <w:r>
              <w:rPr>
                <w:sz w:val="16"/>
              </w:rPr>
              <w:t>supporting 36-week</w:t>
            </w:r>
            <w:r>
              <w:rPr>
                <w:spacing w:val="-3"/>
                <w:sz w:val="16"/>
              </w:rPr>
              <w:t> </w:t>
            </w:r>
            <w:r>
              <w:rPr>
                <w:sz w:val="16"/>
              </w:rPr>
              <w:t>waits</w:t>
            </w:r>
            <w:r>
              <w:rPr>
                <w:spacing w:val="-6"/>
                <w:sz w:val="16"/>
              </w:rPr>
              <w:t> </w:t>
            </w:r>
            <w:r>
              <w:rPr>
                <w:sz w:val="16"/>
              </w:rPr>
              <w:t>by</w:t>
            </w:r>
            <w:r>
              <w:rPr>
                <w:spacing w:val="-2"/>
                <w:sz w:val="16"/>
              </w:rPr>
              <w:t> </w:t>
            </w:r>
            <w:r>
              <w:rPr>
                <w:sz w:val="16"/>
              </w:rPr>
              <w:t>2030</w:t>
            </w:r>
            <w:r>
              <w:rPr>
                <w:spacing w:val="-6"/>
                <w:sz w:val="16"/>
              </w:rPr>
              <w:t> </w:t>
            </w:r>
            <w:r>
              <w:rPr>
                <w:sz w:val="16"/>
              </w:rPr>
              <w:t>and</w:t>
            </w:r>
            <w:r>
              <w:rPr>
                <w:spacing w:val="-1"/>
                <w:sz w:val="16"/>
              </w:rPr>
              <w:t> </w:t>
            </w:r>
            <w:r>
              <w:rPr>
                <w:sz w:val="16"/>
              </w:rPr>
              <w:t>Regional</w:t>
            </w:r>
            <w:r>
              <w:rPr>
                <w:spacing w:val="-3"/>
                <w:sz w:val="16"/>
              </w:rPr>
              <w:t> </w:t>
            </w:r>
            <w:r>
              <w:rPr>
                <w:sz w:val="16"/>
              </w:rPr>
              <w:t>Surgical</w:t>
            </w:r>
            <w:r>
              <w:rPr>
                <w:spacing w:val="-3"/>
                <w:sz w:val="16"/>
              </w:rPr>
              <w:t> </w:t>
            </w:r>
            <w:r>
              <w:rPr>
                <w:sz w:val="16"/>
              </w:rPr>
              <w:t>Hub</w:t>
            </w:r>
            <w:r>
              <w:rPr>
                <w:spacing w:val="-1"/>
                <w:sz w:val="16"/>
              </w:rPr>
              <w:t> </w:t>
            </w:r>
            <w:r>
              <w:rPr>
                <w:spacing w:val="-2"/>
                <w:sz w:val="16"/>
              </w:rPr>
              <w:t>response</w:t>
            </w:r>
          </w:p>
        </w:tc>
        <w:tc>
          <w:tcPr>
            <w:tcW w:w="15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63"/>
              <w:rPr>
                <w:b/>
                <w:sz w:val="16"/>
              </w:rPr>
            </w:pPr>
          </w:p>
          <w:p>
            <w:pPr>
              <w:pStyle w:val="TableParagraph"/>
              <w:ind w:left="86"/>
              <w:rPr>
                <w:sz w:val="16"/>
              </w:rPr>
            </w:pPr>
            <w:r>
              <w:rPr>
                <w:sz w:val="16"/>
              </w:rPr>
              <w:t>2026/27</w:t>
            </w:r>
            <w:r>
              <w:rPr>
                <w:spacing w:val="-4"/>
                <w:sz w:val="16"/>
              </w:rPr>
              <w:t> </w:t>
            </w:r>
            <w:r>
              <w:rPr>
                <w:sz w:val="16"/>
              </w:rPr>
              <w:t>into</w:t>
            </w:r>
            <w:r>
              <w:rPr>
                <w:spacing w:val="-2"/>
                <w:sz w:val="16"/>
              </w:rPr>
              <w:t> </w:t>
            </w:r>
            <w:r>
              <w:rPr>
                <w:spacing w:val="-4"/>
                <w:sz w:val="16"/>
              </w:rPr>
              <w:t>2030</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r>
        <w:trPr>
          <w:trHeight w:val="3258" w:hRule="atLeast"/>
        </w:trPr>
        <w:tc>
          <w:tcPr>
            <w:tcW w:w="4382" w:type="dxa"/>
            <w:tcBorders>
              <w:bottom w:val="single" w:sz="8" w:space="0" w:color="6E6E6E"/>
            </w:tcBorders>
          </w:tcPr>
          <w:p>
            <w:pPr>
              <w:pStyle w:val="TableParagraph"/>
              <w:spacing w:line="252" w:lineRule="auto" w:before="90"/>
              <w:ind w:left="107" w:right="155"/>
              <w:rPr>
                <w:sz w:val="17"/>
              </w:rPr>
            </w:pPr>
            <w:r>
              <w:rPr>
                <w:sz w:val="17"/>
              </w:rPr>
              <w:t>Bring</w:t>
            </w:r>
            <w:r>
              <w:rPr>
                <w:spacing w:val="-8"/>
                <w:sz w:val="17"/>
              </w:rPr>
              <w:t> </w:t>
            </w:r>
            <w:r>
              <w:rPr>
                <w:sz w:val="17"/>
              </w:rPr>
              <w:t>together,</w:t>
            </w:r>
            <w:r>
              <w:rPr>
                <w:spacing w:val="-6"/>
                <w:sz w:val="17"/>
              </w:rPr>
              <w:t> </w:t>
            </w:r>
            <w:r>
              <w:rPr>
                <w:sz w:val="17"/>
              </w:rPr>
              <w:t>through</w:t>
            </w:r>
            <w:r>
              <w:rPr>
                <w:spacing w:val="-3"/>
                <w:sz w:val="17"/>
              </w:rPr>
              <w:t> </w:t>
            </w:r>
            <w:r>
              <w:rPr>
                <w:sz w:val="17"/>
              </w:rPr>
              <w:t>the</w:t>
            </w:r>
            <w:r>
              <w:rPr>
                <w:spacing w:val="-8"/>
                <w:sz w:val="17"/>
              </w:rPr>
              <w:t> </w:t>
            </w:r>
            <w:r>
              <w:rPr>
                <w:sz w:val="17"/>
              </w:rPr>
              <w:t>RCSPG</w:t>
            </w:r>
            <w:r>
              <w:rPr>
                <w:spacing w:val="-10"/>
                <w:sz w:val="17"/>
              </w:rPr>
              <w:t> </w:t>
            </w:r>
            <w:r>
              <w:rPr>
                <w:sz w:val="17"/>
              </w:rPr>
              <w:t>work</w:t>
            </w:r>
            <w:r>
              <w:rPr>
                <w:spacing w:val="-9"/>
                <w:sz w:val="17"/>
              </w:rPr>
              <w:t> </w:t>
            </w:r>
            <w:r>
              <w:rPr>
                <w:sz w:val="17"/>
              </w:rPr>
              <w:t>programme, clinical service projects that will deliver significant in-year progress and pace in delivery for the regional health and care system.</w:t>
            </w:r>
          </w:p>
          <w:p>
            <w:pPr>
              <w:pStyle w:val="TableParagraph"/>
              <w:spacing w:before="9"/>
              <w:rPr>
                <w:b/>
                <w:sz w:val="17"/>
              </w:rPr>
            </w:pPr>
          </w:p>
          <w:p>
            <w:pPr>
              <w:pStyle w:val="TableParagraph"/>
              <w:spacing w:line="252" w:lineRule="auto"/>
              <w:ind w:left="107" w:right="155"/>
              <w:rPr>
                <w:sz w:val="17"/>
              </w:rPr>
            </w:pPr>
            <w:r>
              <w:rPr>
                <w:sz w:val="17"/>
              </w:rPr>
              <w:t>Drive</w:t>
            </w:r>
            <w:r>
              <w:rPr>
                <w:spacing w:val="-7"/>
                <w:sz w:val="17"/>
              </w:rPr>
              <w:t> </w:t>
            </w:r>
            <w:r>
              <w:rPr>
                <w:sz w:val="17"/>
              </w:rPr>
              <w:t>forward</w:t>
            </w:r>
            <w:r>
              <w:rPr>
                <w:spacing w:val="-7"/>
                <w:sz w:val="17"/>
              </w:rPr>
              <w:t> </w:t>
            </w:r>
            <w:r>
              <w:rPr>
                <w:sz w:val="17"/>
              </w:rPr>
              <w:t>clinical</w:t>
            </w:r>
            <w:r>
              <w:rPr>
                <w:spacing w:val="-5"/>
                <w:sz w:val="17"/>
              </w:rPr>
              <w:t> </w:t>
            </w:r>
            <w:r>
              <w:rPr>
                <w:sz w:val="17"/>
              </w:rPr>
              <w:t>service</w:t>
            </w:r>
            <w:r>
              <w:rPr>
                <w:spacing w:val="-7"/>
                <w:sz w:val="17"/>
              </w:rPr>
              <w:t> </w:t>
            </w:r>
            <w:r>
              <w:rPr>
                <w:sz w:val="17"/>
              </w:rPr>
              <w:t>priorities</w:t>
            </w:r>
            <w:r>
              <w:rPr>
                <w:spacing w:val="-7"/>
                <w:sz w:val="17"/>
              </w:rPr>
              <w:t> </w:t>
            </w:r>
            <w:r>
              <w:rPr>
                <w:sz w:val="17"/>
              </w:rPr>
              <w:t>identified</w:t>
            </w:r>
            <w:r>
              <w:rPr>
                <w:spacing w:val="-7"/>
                <w:sz w:val="17"/>
              </w:rPr>
              <w:t> </w:t>
            </w:r>
            <w:r>
              <w:rPr>
                <w:sz w:val="17"/>
              </w:rPr>
              <w:t>by partner organisations for joint working at pace, ensuring alignment with Ministerial Priorities, the strategic aims agreed by the RJC, and ratification requirements of both sovereign Boards.</w:t>
            </w:r>
          </w:p>
          <w:p>
            <w:pPr>
              <w:pStyle w:val="TableParagraph"/>
              <w:spacing w:before="9"/>
              <w:rPr>
                <w:b/>
                <w:sz w:val="17"/>
              </w:rPr>
            </w:pPr>
          </w:p>
          <w:p>
            <w:pPr>
              <w:pStyle w:val="TableParagraph"/>
              <w:spacing w:line="252" w:lineRule="auto"/>
              <w:ind w:left="107" w:right="155"/>
              <w:rPr>
                <w:sz w:val="17"/>
              </w:rPr>
            </w:pPr>
            <w:r>
              <w:rPr>
                <w:sz w:val="17"/>
              </w:rPr>
              <w:t>Provide assurance that regional clinical service programmes</w:t>
            </w:r>
            <w:r>
              <w:rPr>
                <w:spacing w:val="-7"/>
                <w:sz w:val="17"/>
              </w:rPr>
              <w:t> </w:t>
            </w:r>
            <w:r>
              <w:rPr>
                <w:sz w:val="17"/>
              </w:rPr>
              <w:t>and</w:t>
            </w:r>
            <w:r>
              <w:rPr>
                <w:spacing w:val="-3"/>
                <w:sz w:val="17"/>
              </w:rPr>
              <w:t> </w:t>
            </w:r>
            <w:r>
              <w:rPr>
                <w:sz w:val="17"/>
              </w:rPr>
              <w:t>models</w:t>
            </w:r>
            <w:r>
              <w:rPr>
                <w:spacing w:val="-8"/>
                <w:sz w:val="17"/>
              </w:rPr>
              <w:t> </w:t>
            </w:r>
            <w:r>
              <w:rPr>
                <w:sz w:val="17"/>
              </w:rPr>
              <w:t>are</w:t>
            </w:r>
            <w:r>
              <w:rPr>
                <w:spacing w:val="-7"/>
                <w:sz w:val="17"/>
              </w:rPr>
              <w:t> </w:t>
            </w:r>
            <w:r>
              <w:rPr>
                <w:sz w:val="17"/>
              </w:rPr>
              <w:t>developed</w:t>
            </w:r>
            <w:r>
              <w:rPr>
                <w:spacing w:val="-7"/>
                <w:sz w:val="17"/>
              </w:rPr>
              <w:t> </w:t>
            </w:r>
            <w:r>
              <w:rPr>
                <w:sz w:val="17"/>
              </w:rPr>
              <w:t>and</w:t>
            </w:r>
            <w:r>
              <w:rPr>
                <w:spacing w:val="-7"/>
                <w:sz w:val="17"/>
              </w:rPr>
              <w:t> </w:t>
            </w:r>
            <w:r>
              <w:rPr>
                <w:sz w:val="17"/>
              </w:rPr>
              <w:t>delivered to improve resilience, equity of access and outcomes across South West Wales.</w:t>
            </w:r>
          </w:p>
        </w:tc>
        <w:tc>
          <w:tcPr>
            <w:tcW w:w="4652" w:type="dxa"/>
            <w:tcBorders>
              <w:bottom w:val="single" w:sz="8" w:space="0" w:color="6E6E6E"/>
            </w:tcBorders>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2"/>
              <w:rPr>
                <w:b/>
                <w:sz w:val="16"/>
              </w:rPr>
            </w:pPr>
          </w:p>
          <w:p>
            <w:pPr>
              <w:pStyle w:val="TableParagraph"/>
              <w:spacing w:line="252" w:lineRule="auto"/>
              <w:ind w:left="92" w:right="111"/>
              <w:jc w:val="both"/>
              <w:rPr>
                <w:sz w:val="16"/>
              </w:rPr>
            </w:pPr>
            <w:r>
              <w:rPr>
                <w:sz w:val="16"/>
              </w:rPr>
              <w:t>Eye</w:t>
            </w:r>
            <w:r>
              <w:rPr>
                <w:spacing w:val="-2"/>
                <w:sz w:val="16"/>
              </w:rPr>
              <w:t> </w:t>
            </w:r>
            <w:r>
              <w:rPr>
                <w:sz w:val="16"/>
              </w:rPr>
              <w:t>Care:</w:t>
            </w:r>
            <w:r>
              <w:rPr>
                <w:spacing w:val="-3"/>
                <w:sz w:val="16"/>
              </w:rPr>
              <w:t> </w:t>
            </w:r>
            <w:r>
              <w:rPr>
                <w:sz w:val="16"/>
              </w:rPr>
              <w:t>build</w:t>
            </w:r>
            <w:r>
              <w:rPr>
                <w:spacing w:val="-2"/>
                <w:sz w:val="16"/>
              </w:rPr>
              <w:t> </w:t>
            </w:r>
            <w:r>
              <w:rPr>
                <w:sz w:val="16"/>
              </w:rPr>
              <w:t>toward</w:t>
            </w:r>
            <w:r>
              <w:rPr>
                <w:spacing w:val="-2"/>
                <w:sz w:val="16"/>
              </w:rPr>
              <w:t> </w:t>
            </w:r>
            <w:r>
              <w:rPr>
                <w:sz w:val="16"/>
              </w:rPr>
              <w:t>OpenEyes-enabled</w:t>
            </w:r>
            <w:r>
              <w:rPr>
                <w:spacing w:val="-7"/>
                <w:sz w:val="16"/>
              </w:rPr>
              <w:t> </w:t>
            </w:r>
            <w:r>
              <w:rPr>
                <w:sz w:val="16"/>
              </w:rPr>
              <w:t>regional</w:t>
            </w:r>
            <w:r>
              <w:rPr>
                <w:spacing w:val="-4"/>
                <w:sz w:val="16"/>
              </w:rPr>
              <w:t> </w:t>
            </w:r>
            <w:r>
              <w:rPr>
                <w:sz w:val="16"/>
              </w:rPr>
              <w:t>pathways, standardised</w:t>
            </w:r>
            <w:r>
              <w:rPr>
                <w:spacing w:val="-4"/>
                <w:sz w:val="16"/>
              </w:rPr>
              <w:t> </w:t>
            </w:r>
            <w:r>
              <w:rPr>
                <w:sz w:val="16"/>
              </w:rPr>
              <w:t>waiting</w:t>
            </w:r>
            <w:r>
              <w:rPr>
                <w:spacing w:val="-4"/>
                <w:sz w:val="16"/>
              </w:rPr>
              <w:t> </w:t>
            </w:r>
            <w:r>
              <w:rPr>
                <w:sz w:val="16"/>
              </w:rPr>
              <w:t>list</w:t>
            </w:r>
            <w:r>
              <w:rPr>
                <w:spacing w:val="-10"/>
                <w:sz w:val="16"/>
              </w:rPr>
              <w:t> </w:t>
            </w:r>
            <w:r>
              <w:rPr>
                <w:sz w:val="16"/>
              </w:rPr>
              <w:t>management,</w:t>
            </w:r>
            <w:r>
              <w:rPr>
                <w:spacing w:val="-5"/>
                <w:sz w:val="16"/>
              </w:rPr>
              <w:t> </w:t>
            </w:r>
            <w:r>
              <w:rPr>
                <w:sz w:val="16"/>
              </w:rPr>
              <w:t>regional</w:t>
            </w:r>
            <w:r>
              <w:rPr>
                <w:spacing w:val="-6"/>
                <w:sz w:val="16"/>
              </w:rPr>
              <w:t> </w:t>
            </w:r>
            <w:r>
              <w:rPr>
                <w:sz w:val="16"/>
              </w:rPr>
              <w:t>cataract</w:t>
            </w:r>
            <w:r>
              <w:rPr>
                <w:spacing w:val="-10"/>
                <w:sz w:val="16"/>
              </w:rPr>
              <w:t> </w:t>
            </w:r>
            <w:r>
              <w:rPr>
                <w:sz w:val="16"/>
              </w:rPr>
              <w:t>model and longer-term regional service model</w:t>
            </w:r>
          </w:p>
        </w:tc>
        <w:tc>
          <w:tcPr>
            <w:tcW w:w="1531" w:type="dxa"/>
            <w:tcBorders>
              <w:bottom w:val="single" w:sz="8" w:space="0" w:color="6E6E6E"/>
            </w:tcBorders>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8"/>
              <w:rPr>
                <w:b/>
                <w:sz w:val="16"/>
              </w:rPr>
            </w:pPr>
          </w:p>
          <w:p>
            <w:pPr>
              <w:pStyle w:val="TableParagraph"/>
              <w:ind w:left="86"/>
              <w:rPr>
                <w:sz w:val="16"/>
              </w:rPr>
            </w:pPr>
            <w:r>
              <w:rPr>
                <w:sz w:val="16"/>
              </w:rPr>
              <w:t>2027/28</w:t>
            </w:r>
            <w:r>
              <w:rPr>
                <w:spacing w:val="-6"/>
                <w:sz w:val="16"/>
              </w:rPr>
              <w:t> </w:t>
            </w:r>
            <w:r>
              <w:rPr>
                <w:spacing w:val="-2"/>
                <w:sz w:val="16"/>
              </w:rPr>
              <w:t>onwards</w:t>
            </w:r>
          </w:p>
        </w:tc>
        <w:tc>
          <w:tcPr>
            <w:tcW w:w="1536" w:type="dxa"/>
            <w:tcBorders>
              <w:bottom w:val="single" w:sz="8" w:space="0" w:color="6E6E6E"/>
            </w:tcBorders>
            <w:shd w:val="clear" w:color="auto" w:fill="00AF50"/>
          </w:tcPr>
          <w:p>
            <w:pPr>
              <w:pStyle w:val="TableParagraph"/>
              <w:rPr>
                <w:rFonts w:ascii="Times New Roman"/>
                <w:sz w:val="16"/>
              </w:rPr>
            </w:pPr>
          </w:p>
        </w:tc>
        <w:tc>
          <w:tcPr>
            <w:tcW w:w="3426" w:type="dxa"/>
            <w:tcBorders>
              <w:bottom w:val="single" w:sz="8" w:space="0" w:color="6E6E6E"/>
            </w:tcBorders>
          </w:tcPr>
          <w:p>
            <w:pPr>
              <w:pStyle w:val="TableParagraph"/>
              <w:rPr>
                <w:rFonts w:ascii="Times New Roman"/>
                <w:sz w:val="16"/>
              </w:rPr>
            </w:pPr>
          </w:p>
        </w:tc>
      </w:tr>
      <w:tr>
        <w:trPr>
          <w:trHeight w:val="1203" w:hRule="atLeast"/>
        </w:trPr>
        <w:tc>
          <w:tcPr>
            <w:tcW w:w="4382" w:type="dxa"/>
            <w:tcBorders>
              <w:top w:val="single" w:sz="8" w:space="0" w:color="6E6E6E"/>
            </w:tcBorders>
          </w:tcPr>
          <w:p>
            <w:pPr>
              <w:pStyle w:val="TableParagraph"/>
              <w:spacing w:line="252" w:lineRule="auto" w:before="88"/>
              <w:ind w:left="107" w:right="103"/>
              <w:rPr>
                <w:sz w:val="17"/>
              </w:rPr>
            </w:pPr>
            <w:r>
              <w:rPr>
                <w:sz w:val="17"/>
              </w:rPr>
              <w:t>Provide</w:t>
            </w:r>
            <w:r>
              <w:rPr>
                <w:spacing w:val="-6"/>
                <w:sz w:val="17"/>
              </w:rPr>
              <w:t> </w:t>
            </w:r>
            <w:r>
              <w:rPr>
                <w:sz w:val="17"/>
              </w:rPr>
              <w:t>assurance</w:t>
            </w:r>
            <w:r>
              <w:rPr>
                <w:spacing w:val="-6"/>
                <w:sz w:val="17"/>
              </w:rPr>
              <w:t> </w:t>
            </w:r>
            <w:r>
              <w:rPr>
                <w:sz w:val="17"/>
              </w:rPr>
              <w:t>that</w:t>
            </w:r>
            <w:r>
              <w:rPr>
                <w:spacing w:val="-4"/>
                <w:sz w:val="17"/>
              </w:rPr>
              <w:t> </w:t>
            </w:r>
            <w:r>
              <w:rPr>
                <w:sz w:val="17"/>
              </w:rPr>
              <w:t>regional</w:t>
            </w:r>
            <w:r>
              <w:rPr>
                <w:spacing w:val="-4"/>
                <w:sz w:val="17"/>
              </w:rPr>
              <w:t> </w:t>
            </w:r>
            <w:r>
              <w:rPr>
                <w:sz w:val="17"/>
              </w:rPr>
              <w:t>Cellular</w:t>
            </w:r>
            <w:r>
              <w:rPr>
                <w:spacing w:val="-8"/>
                <w:sz w:val="17"/>
              </w:rPr>
              <w:t> </w:t>
            </w:r>
            <w:r>
              <w:rPr>
                <w:sz w:val="17"/>
              </w:rPr>
              <w:t>Pathology</w:t>
            </w:r>
            <w:r>
              <w:rPr>
                <w:spacing w:val="-7"/>
                <w:sz w:val="17"/>
              </w:rPr>
              <w:t> </w:t>
            </w:r>
            <w:r>
              <w:rPr>
                <w:sz w:val="17"/>
              </w:rPr>
              <w:t>and South West Wales Cancer capital planning programmes are delivered to plan and cost, aligned with regional priorities, deliver efficiency gains, and positively impact patient services and outcomes.</w:t>
            </w:r>
          </w:p>
        </w:tc>
        <w:tc>
          <w:tcPr>
            <w:tcW w:w="4652" w:type="dxa"/>
            <w:tcBorders>
              <w:top w:val="single" w:sz="8" w:space="0" w:color="6E6E6E"/>
            </w:tcBorders>
          </w:tcPr>
          <w:p>
            <w:pPr>
              <w:pStyle w:val="TableParagraph"/>
              <w:rPr>
                <w:b/>
                <w:sz w:val="16"/>
              </w:rPr>
            </w:pPr>
          </w:p>
          <w:p>
            <w:pPr>
              <w:pStyle w:val="TableParagraph"/>
              <w:spacing w:before="39"/>
              <w:rPr>
                <w:b/>
                <w:sz w:val="16"/>
              </w:rPr>
            </w:pPr>
          </w:p>
          <w:p>
            <w:pPr>
              <w:pStyle w:val="TableParagraph"/>
              <w:spacing w:line="247" w:lineRule="auto"/>
              <w:ind w:left="92" w:right="121"/>
              <w:rPr>
                <w:sz w:val="16"/>
              </w:rPr>
            </w:pPr>
            <w:r>
              <w:rPr>
                <w:sz w:val="16"/>
              </w:rPr>
              <w:t>Cellular</w:t>
            </w:r>
            <w:r>
              <w:rPr>
                <w:spacing w:val="-4"/>
                <w:sz w:val="16"/>
              </w:rPr>
              <w:t> </w:t>
            </w:r>
            <w:r>
              <w:rPr>
                <w:sz w:val="16"/>
              </w:rPr>
              <w:t>Pathology:</w:t>
            </w:r>
            <w:r>
              <w:rPr>
                <w:spacing w:val="-9"/>
                <w:sz w:val="16"/>
              </w:rPr>
              <w:t> </w:t>
            </w:r>
            <w:r>
              <w:rPr>
                <w:sz w:val="16"/>
              </w:rPr>
              <w:t>submit</w:t>
            </w:r>
            <w:r>
              <w:rPr>
                <w:spacing w:val="-5"/>
                <w:sz w:val="16"/>
              </w:rPr>
              <w:t> </w:t>
            </w:r>
            <w:r>
              <w:rPr>
                <w:sz w:val="16"/>
              </w:rPr>
              <w:t>fully</w:t>
            </w:r>
            <w:r>
              <w:rPr>
                <w:spacing w:val="-5"/>
                <w:sz w:val="16"/>
              </w:rPr>
              <w:t> </w:t>
            </w:r>
            <w:r>
              <w:rPr>
                <w:sz w:val="16"/>
              </w:rPr>
              <w:t>tendered</w:t>
            </w:r>
            <w:r>
              <w:rPr>
                <w:spacing w:val="-9"/>
                <w:sz w:val="16"/>
              </w:rPr>
              <w:t> </w:t>
            </w:r>
            <w:r>
              <w:rPr>
                <w:sz w:val="16"/>
              </w:rPr>
              <w:t>business</w:t>
            </w:r>
            <w:r>
              <w:rPr>
                <w:spacing w:val="-5"/>
                <w:sz w:val="16"/>
              </w:rPr>
              <w:t> </w:t>
            </w:r>
            <w:r>
              <w:rPr>
                <w:sz w:val="16"/>
              </w:rPr>
              <w:t>case</w:t>
            </w:r>
            <w:r>
              <w:rPr>
                <w:spacing w:val="-4"/>
                <w:sz w:val="16"/>
              </w:rPr>
              <w:t> </w:t>
            </w:r>
            <w:r>
              <w:rPr>
                <w:sz w:val="16"/>
              </w:rPr>
              <w:t>to Welsh Government</w:t>
            </w:r>
          </w:p>
        </w:tc>
        <w:tc>
          <w:tcPr>
            <w:tcW w:w="1531" w:type="dxa"/>
            <w:tcBorders>
              <w:top w:val="single" w:sz="8" w:space="0" w:color="6E6E6E"/>
            </w:tcBorders>
          </w:tcPr>
          <w:p>
            <w:pPr>
              <w:pStyle w:val="TableParagraph"/>
              <w:rPr>
                <w:b/>
                <w:sz w:val="16"/>
              </w:rPr>
            </w:pPr>
          </w:p>
          <w:p>
            <w:pPr>
              <w:pStyle w:val="TableParagraph"/>
              <w:spacing w:before="134"/>
              <w:rPr>
                <w:b/>
                <w:sz w:val="16"/>
              </w:rPr>
            </w:pPr>
          </w:p>
          <w:p>
            <w:pPr>
              <w:pStyle w:val="TableParagraph"/>
              <w:ind w:left="86"/>
              <w:rPr>
                <w:sz w:val="16"/>
              </w:rPr>
            </w:pPr>
            <w:r>
              <w:rPr>
                <w:sz w:val="16"/>
              </w:rPr>
              <w:t>Q3</w:t>
            </w:r>
            <w:r>
              <w:rPr>
                <w:spacing w:val="-1"/>
                <w:sz w:val="16"/>
              </w:rPr>
              <w:t> </w:t>
            </w:r>
            <w:r>
              <w:rPr>
                <w:spacing w:val="-2"/>
                <w:sz w:val="16"/>
              </w:rPr>
              <w:t>2027/28</w:t>
            </w:r>
          </w:p>
        </w:tc>
        <w:tc>
          <w:tcPr>
            <w:tcW w:w="1536" w:type="dxa"/>
            <w:tcBorders>
              <w:top w:val="single" w:sz="8" w:space="0" w:color="6E6E6E"/>
            </w:tcBorders>
            <w:shd w:val="clear" w:color="auto" w:fill="00AF50"/>
          </w:tcPr>
          <w:p>
            <w:pPr>
              <w:pStyle w:val="TableParagraph"/>
              <w:rPr>
                <w:rFonts w:ascii="Times New Roman"/>
                <w:sz w:val="16"/>
              </w:rPr>
            </w:pPr>
          </w:p>
        </w:tc>
        <w:tc>
          <w:tcPr>
            <w:tcW w:w="3426" w:type="dxa"/>
            <w:tcBorders>
              <w:top w:val="single" w:sz="8" w:space="0" w:color="6E6E6E"/>
            </w:tcBorders>
          </w:tcPr>
          <w:p>
            <w:pPr>
              <w:pStyle w:val="TableParagraph"/>
              <w:rPr>
                <w:rFonts w:ascii="Times New Roman"/>
                <w:sz w:val="16"/>
              </w:rPr>
            </w:pPr>
          </w:p>
        </w:tc>
      </w:tr>
    </w:tbl>
    <w:p>
      <w:pPr>
        <w:pStyle w:val="BodyText"/>
        <w:rPr>
          <w:b/>
          <w:sz w:val="20"/>
        </w:rPr>
      </w:pPr>
    </w:p>
    <w:p>
      <w:pPr>
        <w:pStyle w:val="BodyText"/>
        <w:spacing w:before="208"/>
        <w:rPr>
          <w:b/>
          <w:sz w:val="20"/>
        </w:rPr>
      </w:pPr>
    </w:p>
    <w:p>
      <w:pPr>
        <w:spacing w:before="1"/>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273" name="Image 273"/>
            <wp:cNvGraphicFramePr>
              <a:graphicFrameLocks/>
            </wp:cNvGraphicFramePr>
            <a:graphic>
              <a:graphicData uri="http://schemas.openxmlformats.org/drawingml/2006/picture">
                <pic:pic>
                  <pic:nvPicPr>
                    <pic:cNvPr id="273" name="Image 273"/>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274" name="Image 274"/>
            <wp:cNvGraphicFramePr>
              <a:graphicFrameLocks/>
            </wp:cNvGraphicFramePr>
            <a:graphic>
              <a:graphicData uri="http://schemas.openxmlformats.org/drawingml/2006/picture">
                <pic:pic>
                  <pic:nvPicPr>
                    <pic:cNvPr id="274" name="Image 274"/>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4382"/>
        <w:gridCol w:w="4652"/>
        <w:gridCol w:w="1531"/>
        <w:gridCol w:w="1536"/>
        <w:gridCol w:w="3426"/>
      </w:tblGrid>
      <w:tr>
        <w:trPr>
          <w:trHeight w:val="360" w:hRule="atLeast"/>
        </w:trPr>
        <w:tc>
          <w:tcPr>
            <w:tcW w:w="4382" w:type="dxa"/>
            <w:shd w:val="clear" w:color="auto" w:fill="1F4E79"/>
          </w:tcPr>
          <w:p>
            <w:pPr>
              <w:pStyle w:val="TableParagraph"/>
              <w:spacing w:before="89"/>
              <w:ind w:left="107"/>
              <w:rPr>
                <w:b/>
                <w:sz w:val="15"/>
              </w:rPr>
            </w:pPr>
            <w:r>
              <w:rPr>
                <w:b/>
                <w:color w:val="FFFFFF"/>
                <w:sz w:val="15"/>
              </w:rPr>
              <w:t>RJC</w:t>
            </w:r>
            <w:r>
              <w:rPr>
                <w:b/>
                <w:color w:val="FFFFFF"/>
                <w:spacing w:val="-5"/>
                <w:sz w:val="15"/>
              </w:rPr>
              <w:t> </w:t>
            </w:r>
            <w:r>
              <w:rPr>
                <w:b/>
                <w:color w:val="FFFFFF"/>
                <w:sz w:val="15"/>
              </w:rPr>
              <w:t>Subgroup</w:t>
            </w:r>
            <w:r>
              <w:rPr>
                <w:b/>
                <w:color w:val="FFFFFF"/>
                <w:spacing w:val="-2"/>
                <w:sz w:val="15"/>
              </w:rPr>
              <w:t> Objective</w:t>
            </w:r>
          </w:p>
        </w:tc>
        <w:tc>
          <w:tcPr>
            <w:tcW w:w="4652" w:type="dxa"/>
            <w:shd w:val="clear" w:color="auto" w:fill="1F4E79"/>
          </w:tcPr>
          <w:p>
            <w:pPr>
              <w:pStyle w:val="TableParagraph"/>
              <w:spacing w:before="89"/>
              <w:ind w:left="92"/>
              <w:rPr>
                <w:b/>
                <w:sz w:val="15"/>
              </w:rPr>
            </w:pPr>
            <w:r>
              <w:rPr>
                <w:b/>
                <w:color w:val="FFFFFF"/>
                <w:sz w:val="15"/>
              </w:rPr>
              <w:t>Milestone</w:t>
            </w:r>
            <w:r>
              <w:rPr>
                <w:b/>
                <w:color w:val="FFFFFF"/>
                <w:spacing w:val="-5"/>
                <w:sz w:val="15"/>
              </w:rPr>
              <w:t> </w:t>
            </w:r>
            <w:r>
              <w:rPr>
                <w:b/>
                <w:color w:val="FFFFFF"/>
                <w:sz w:val="15"/>
              </w:rPr>
              <w:t>/</w:t>
            </w:r>
            <w:r>
              <w:rPr>
                <w:b/>
                <w:color w:val="FFFFFF"/>
                <w:spacing w:val="-6"/>
                <w:sz w:val="15"/>
              </w:rPr>
              <w:t> </w:t>
            </w:r>
            <w:r>
              <w:rPr>
                <w:b/>
                <w:color w:val="FFFFFF"/>
                <w:spacing w:val="-2"/>
                <w:sz w:val="15"/>
              </w:rPr>
              <w:t>Deliverable</w:t>
            </w:r>
          </w:p>
        </w:tc>
        <w:tc>
          <w:tcPr>
            <w:tcW w:w="1531" w:type="dxa"/>
            <w:shd w:val="clear" w:color="auto" w:fill="1F4E79"/>
          </w:tcPr>
          <w:p>
            <w:pPr>
              <w:pStyle w:val="TableParagraph"/>
              <w:spacing w:before="89"/>
              <w:ind w:left="86"/>
              <w:rPr>
                <w:b/>
                <w:sz w:val="15"/>
              </w:rPr>
            </w:pPr>
            <w:r>
              <w:rPr>
                <w:b/>
                <w:color w:val="FFFFFF"/>
                <w:sz w:val="15"/>
              </w:rPr>
              <w:t>Target</w:t>
            </w:r>
            <w:r>
              <w:rPr>
                <w:b/>
                <w:color w:val="FFFFFF"/>
                <w:spacing w:val="2"/>
                <w:sz w:val="15"/>
              </w:rPr>
              <w:t> </w:t>
            </w:r>
            <w:r>
              <w:rPr>
                <w:b/>
                <w:color w:val="FFFFFF"/>
                <w:spacing w:val="-4"/>
                <w:sz w:val="15"/>
              </w:rPr>
              <w:t>Date</w:t>
            </w:r>
          </w:p>
        </w:tc>
        <w:tc>
          <w:tcPr>
            <w:tcW w:w="1536" w:type="dxa"/>
            <w:shd w:val="clear" w:color="auto" w:fill="1F4E79"/>
          </w:tcPr>
          <w:p>
            <w:pPr>
              <w:pStyle w:val="TableParagraph"/>
              <w:spacing w:before="89"/>
              <w:ind w:left="90"/>
              <w:rPr>
                <w:b/>
                <w:sz w:val="15"/>
              </w:rPr>
            </w:pPr>
            <w:r>
              <w:rPr>
                <w:b/>
                <w:color w:val="FFFFFF"/>
                <w:sz w:val="15"/>
              </w:rPr>
              <w:t>This</w:t>
            </w:r>
            <w:r>
              <w:rPr>
                <w:b/>
                <w:color w:val="FFFFFF"/>
                <w:spacing w:val="-4"/>
                <w:sz w:val="15"/>
              </w:rPr>
              <w:t> </w:t>
            </w:r>
            <w:r>
              <w:rPr>
                <w:b/>
                <w:color w:val="FFFFFF"/>
                <w:sz w:val="15"/>
              </w:rPr>
              <w:t>Period</w:t>
            </w:r>
            <w:r>
              <w:rPr>
                <w:b/>
                <w:color w:val="FFFFFF"/>
                <w:spacing w:val="-5"/>
                <w:sz w:val="15"/>
              </w:rPr>
              <w:t> </w:t>
            </w:r>
            <w:r>
              <w:rPr>
                <w:b/>
                <w:color w:val="FFFFFF"/>
                <w:spacing w:val="-2"/>
                <w:sz w:val="15"/>
              </w:rPr>
              <w:t>(RAG)</w:t>
            </w:r>
          </w:p>
        </w:tc>
        <w:tc>
          <w:tcPr>
            <w:tcW w:w="3426" w:type="dxa"/>
            <w:shd w:val="clear" w:color="auto" w:fill="1F4E79"/>
          </w:tcPr>
          <w:p>
            <w:pPr>
              <w:pStyle w:val="TableParagraph"/>
              <w:spacing w:before="89"/>
              <w:ind w:left="90"/>
              <w:rPr>
                <w:b/>
                <w:sz w:val="15"/>
              </w:rPr>
            </w:pPr>
            <w:r>
              <w:rPr>
                <w:b/>
                <w:color w:val="FFFFFF"/>
                <w:sz w:val="15"/>
              </w:rPr>
              <w:t>Comments</w:t>
            </w:r>
            <w:r>
              <w:rPr>
                <w:b/>
                <w:color w:val="FFFFFF"/>
                <w:spacing w:val="-2"/>
                <w:sz w:val="15"/>
              </w:rPr>
              <w:t> </w:t>
            </w:r>
            <w:r>
              <w:rPr>
                <w:b/>
                <w:color w:val="FFFFFF"/>
                <w:sz w:val="15"/>
              </w:rPr>
              <w:t>/</w:t>
            </w:r>
            <w:r>
              <w:rPr>
                <w:b/>
                <w:color w:val="FFFFFF"/>
                <w:spacing w:val="-4"/>
                <w:sz w:val="15"/>
              </w:rPr>
              <w:t> </w:t>
            </w:r>
            <w:r>
              <w:rPr>
                <w:b/>
                <w:color w:val="FFFFFF"/>
                <w:spacing w:val="-2"/>
                <w:sz w:val="15"/>
              </w:rPr>
              <w:t>Notes</w:t>
            </w:r>
          </w:p>
        </w:tc>
      </w:tr>
      <w:tr>
        <w:trPr>
          <w:trHeight w:val="2235" w:hRule="atLeast"/>
        </w:trPr>
        <w:tc>
          <w:tcPr>
            <w:tcW w:w="4382" w:type="dxa"/>
          </w:tcPr>
          <w:p>
            <w:pPr>
              <w:pStyle w:val="TableParagraph"/>
              <w:spacing w:line="252" w:lineRule="auto" w:before="90"/>
              <w:ind w:left="107" w:right="103"/>
              <w:rPr>
                <w:sz w:val="17"/>
              </w:rPr>
            </w:pPr>
            <w:r>
              <w:rPr>
                <w:sz w:val="17"/>
              </w:rPr>
              <w:t>Provide</w:t>
            </w:r>
            <w:r>
              <w:rPr>
                <w:spacing w:val="-6"/>
                <w:sz w:val="17"/>
              </w:rPr>
              <w:t> </w:t>
            </w:r>
            <w:r>
              <w:rPr>
                <w:sz w:val="17"/>
              </w:rPr>
              <w:t>assurance</w:t>
            </w:r>
            <w:r>
              <w:rPr>
                <w:spacing w:val="-6"/>
                <w:sz w:val="17"/>
              </w:rPr>
              <w:t> </w:t>
            </w:r>
            <w:r>
              <w:rPr>
                <w:sz w:val="17"/>
              </w:rPr>
              <w:t>that</w:t>
            </w:r>
            <w:r>
              <w:rPr>
                <w:spacing w:val="-4"/>
                <w:sz w:val="17"/>
              </w:rPr>
              <w:t> </w:t>
            </w:r>
            <w:r>
              <w:rPr>
                <w:sz w:val="17"/>
              </w:rPr>
              <w:t>regional</w:t>
            </w:r>
            <w:r>
              <w:rPr>
                <w:spacing w:val="-4"/>
                <w:sz w:val="17"/>
              </w:rPr>
              <w:t> </w:t>
            </w:r>
            <w:r>
              <w:rPr>
                <w:sz w:val="17"/>
              </w:rPr>
              <w:t>Cellular</w:t>
            </w:r>
            <w:r>
              <w:rPr>
                <w:spacing w:val="-8"/>
                <w:sz w:val="17"/>
              </w:rPr>
              <w:t> </w:t>
            </w:r>
            <w:r>
              <w:rPr>
                <w:sz w:val="17"/>
              </w:rPr>
              <w:t>Pathology</w:t>
            </w:r>
            <w:r>
              <w:rPr>
                <w:spacing w:val="-7"/>
                <w:sz w:val="17"/>
              </w:rPr>
              <w:t> </w:t>
            </w:r>
            <w:r>
              <w:rPr>
                <w:sz w:val="17"/>
              </w:rPr>
              <w:t>and South West Wales Cancer capital planning programmes are delivered to plan and cost, aligned with regional priorities, deliver efficiency gains, and positively impact patient services and outcomes.</w:t>
            </w:r>
          </w:p>
          <w:p>
            <w:pPr>
              <w:pStyle w:val="TableParagraph"/>
              <w:spacing w:before="14"/>
              <w:rPr>
                <w:b/>
                <w:sz w:val="17"/>
              </w:rPr>
            </w:pPr>
          </w:p>
          <w:p>
            <w:pPr>
              <w:pStyle w:val="TableParagraph"/>
              <w:spacing w:line="252" w:lineRule="auto"/>
              <w:ind w:left="107" w:right="155"/>
              <w:rPr>
                <w:sz w:val="17"/>
              </w:rPr>
            </w:pPr>
            <w:r>
              <w:rPr>
                <w:sz w:val="17"/>
              </w:rPr>
              <w:t>Provide assurance that regional clinical service programmes</w:t>
            </w:r>
            <w:r>
              <w:rPr>
                <w:spacing w:val="-7"/>
                <w:sz w:val="17"/>
              </w:rPr>
              <w:t> </w:t>
            </w:r>
            <w:r>
              <w:rPr>
                <w:sz w:val="17"/>
              </w:rPr>
              <w:t>and</w:t>
            </w:r>
            <w:r>
              <w:rPr>
                <w:spacing w:val="-3"/>
                <w:sz w:val="17"/>
              </w:rPr>
              <w:t> </w:t>
            </w:r>
            <w:r>
              <w:rPr>
                <w:sz w:val="17"/>
              </w:rPr>
              <w:t>models</w:t>
            </w:r>
            <w:r>
              <w:rPr>
                <w:spacing w:val="-8"/>
                <w:sz w:val="17"/>
              </w:rPr>
              <w:t> </w:t>
            </w:r>
            <w:r>
              <w:rPr>
                <w:sz w:val="17"/>
              </w:rPr>
              <w:t>are</w:t>
            </w:r>
            <w:r>
              <w:rPr>
                <w:spacing w:val="-7"/>
                <w:sz w:val="17"/>
              </w:rPr>
              <w:t> </w:t>
            </w:r>
            <w:r>
              <w:rPr>
                <w:sz w:val="17"/>
              </w:rPr>
              <w:t>developed</w:t>
            </w:r>
            <w:r>
              <w:rPr>
                <w:spacing w:val="-7"/>
                <w:sz w:val="17"/>
              </w:rPr>
              <w:t> </w:t>
            </w:r>
            <w:r>
              <w:rPr>
                <w:sz w:val="17"/>
              </w:rPr>
              <w:t>and</w:t>
            </w:r>
            <w:r>
              <w:rPr>
                <w:spacing w:val="-7"/>
                <w:sz w:val="17"/>
              </w:rPr>
              <w:t> </w:t>
            </w:r>
            <w:r>
              <w:rPr>
                <w:sz w:val="17"/>
              </w:rPr>
              <w:t>delivered to improve resilience, equity of access and outcomes across South West Wales.</w:t>
            </w:r>
          </w:p>
        </w:tc>
        <w:tc>
          <w:tcPr>
            <w:tcW w:w="4652"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spacing w:line="252" w:lineRule="auto" w:before="1"/>
              <w:ind w:left="92" w:right="121"/>
              <w:rPr>
                <w:sz w:val="16"/>
              </w:rPr>
            </w:pPr>
            <w:r>
              <w:rPr>
                <w:sz w:val="16"/>
              </w:rPr>
              <w:t>South West Wales Cancer Centre: deliver radiotherapy capacity</w:t>
            </w:r>
            <w:r>
              <w:rPr>
                <w:spacing w:val="-6"/>
                <w:sz w:val="16"/>
              </w:rPr>
              <w:t> </w:t>
            </w:r>
            <w:r>
              <w:rPr>
                <w:sz w:val="16"/>
              </w:rPr>
              <w:t>pathway</w:t>
            </w:r>
            <w:r>
              <w:rPr>
                <w:spacing w:val="-6"/>
                <w:sz w:val="16"/>
              </w:rPr>
              <w:t> </w:t>
            </w:r>
            <w:r>
              <w:rPr>
                <w:sz w:val="16"/>
              </w:rPr>
              <w:t>including</w:t>
            </w:r>
            <w:r>
              <w:rPr>
                <w:spacing w:val="-9"/>
                <w:sz w:val="16"/>
              </w:rPr>
              <w:t> </w:t>
            </w:r>
            <w:r>
              <w:rPr>
                <w:sz w:val="16"/>
              </w:rPr>
              <w:t>5th</w:t>
            </w:r>
            <w:r>
              <w:rPr>
                <w:spacing w:val="-5"/>
                <w:sz w:val="16"/>
              </w:rPr>
              <w:t> </w:t>
            </w:r>
            <w:r>
              <w:rPr>
                <w:sz w:val="16"/>
              </w:rPr>
              <w:t>Linac,</w:t>
            </w:r>
            <w:r>
              <w:rPr>
                <w:spacing w:val="-6"/>
                <w:sz w:val="16"/>
              </w:rPr>
              <w:t> </w:t>
            </w:r>
            <w:r>
              <w:rPr>
                <w:sz w:val="16"/>
              </w:rPr>
              <w:t>future</w:t>
            </w:r>
            <w:r>
              <w:rPr>
                <w:spacing w:val="-5"/>
                <w:sz w:val="16"/>
              </w:rPr>
              <w:t> </w:t>
            </w:r>
            <w:r>
              <w:rPr>
                <w:sz w:val="16"/>
              </w:rPr>
              <w:t>bunker</w:t>
            </w:r>
            <w:r>
              <w:rPr>
                <w:spacing w:val="-5"/>
                <w:sz w:val="16"/>
              </w:rPr>
              <w:t> </w:t>
            </w:r>
            <w:r>
              <w:rPr>
                <w:sz w:val="16"/>
              </w:rPr>
              <w:t>capacity and seven-Linac model / satellite centre scoping</w:t>
            </w:r>
          </w:p>
        </w:tc>
        <w:tc>
          <w:tcPr>
            <w:tcW w:w="15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
              <w:rPr>
                <w:b/>
                <w:sz w:val="16"/>
              </w:rPr>
            </w:pPr>
          </w:p>
          <w:p>
            <w:pPr>
              <w:pStyle w:val="TableParagraph"/>
              <w:ind w:left="86"/>
              <w:rPr>
                <w:sz w:val="16"/>
              </w:rPr>
            </w:pPr>
            <w:r>
              <w:rPr>
                <w:sz w:val="16"/>
              </w:rPr>
              <w:t>2026/27</w:t>
            </w:r>
            <w:r>
              <w:rPr>
                <w:spacing w:val="-4"/>
                <w:sz w:val="16"/>
              </w:rPr>
              <w:t> </w:t>
            </w:r>
            <w:r>
              <w:rPr>
                <w:spacing w:val="-5"/>
                <w:sz w:val="16"/>
              </w:rPr>
              <w:t>to</w:t>
            </w:r>
          </w:p>
          <w:p>
            <w:pPr>
              <w:pStyle w:val="TableParagraph"/>
              <w:spacing w:before="6"/>
              <w:ind w:left="86"/>
              <w:rPr>
                <w:sz w:val="16"/>
              </w:rPr>
            </w:pPr>
            <w:r>
              <w:rPr>
                <w:spacing w:val="-2"/>
                <w:sz w:val="16"/>
              </w:rPr>
              <w:t>2030/31</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r>
        <w:trPr>
          <w:trHeight w:val="2846" w:hRule="atLeast"/>
        </w:trPr>
        <w:tc>
          <w:tcPr>
            <w:tcW w:w="4382" w:type="dxa"/>
          </w:tcPr>
          <w:p>
            <w:pPr>
              <w:pStyle w:val="TableParagraph"/>
              <w:spacing w:line="252" w:lineRule="auto" w:before="91"/>
              <w:ind w:left="107" w:right="155"/>
              <w:rPr>
                <w:sz w:val="17"/>
              </w:rPr>
            </w:pPr>
            <w:r>
              <w:rPr>
                <w:sz w:val="17"/>
              </w:rPr>
              <w:t>Develop</w:t>
            </w:r>
            <w:r>
              <w:rPr>
                <w:spacing w:val="-7"/>
                <w:sz w:val="17"/>
              </w:rPr>
              <w:t> </w:t>
            </w:r>
            <w:r>
              <w:rPr>
                <w:sz w:val="17"/>
              </w:rPr>
              <w:t>and</w:t>
            </w:r>
            <w:r>
              <w:rPr>
                <w:spacing w:val="-7"/>
                <w:sz w:val="17"/>
              </w:rPr>
              <w:t> </w:t>
            </w:r>
            <w:r>
              <w:rPr>
                <w:sz w:val="17"/>
              </w:rPr>
              <w:t>maintain</w:t>
            </w:r>
            <w:r>
              <w:rPr>
                <w:spacing w:val="-7"/>
                <w:sz w:val="17"/>
              </w:rPr>
              <w:t> </w:t>
            </w:r>
            <w:r>
              <w:rPr>
                <w:sz w:val="17"/>
              </w:rPr>
              <w:t>regional</w:t>
            </w:r>
            <w:r>
              <w:rPr>
                <w:spacing w:val="-6"/>
                <w:sz w:val="17"/>
              </w:rPr>
              <w:t> </w:t>
            </w:r>
            <w:r>
              <w:rPr>
                <w:sz w:val="17"/>
              </w:rPr>
              <w:t>clinical</w:t>
            </w:r>
            <w:r>
              <w:rPr>
                <w:spacing w:val="-5"/>
                <w:sz w:val="17"/>
              </w:rPr>
              <w:t> </w:t>
            </w:r>
            <w:r>
              <w:rPr>
                <w:sz w:val="17"/>
              </w:rPr>
              <w:t>services</w:t>
            </w:r>
            <w:r>
              <w:rPr>
                <w:spacing w:val="-7"/>
                <w:sz w:val="17"/>
              </w:rPr>
              <w:t> </w:t>
            </w:r>
            <w:r>
              <w:rPr>
                <w:sz w:val="17"/>
              </w:rPr>
              <w:t>plans that are aligned to Health Board plans and support delivery</w:t>
            </w:r>
            <w:r>
              <w:rPr>
                <w:spacing w:val="-1"/>
                <w:sz w:val="17"/>
              </w:rPr>
              <w:t> </w:t>
            </w:r>
            <w:r>
              <w:rPr>
                <w:sz w:val="17"/>
              </w:rPr>
              <w:t>of</w:t>
            </w:r>
            <w:r>
              <w:rPr>
                <w:spacing w:val="-2"/>
                <w:sz w:val="17"/>
              </w:rPr>
              <w:t> </w:t>
            </w:r>
            <w:r>
              <w:rPr>
                <w:sz w:val="17"/>
              </w:rPr>
              <w:t>the benefits of</w:t>
            </w:r>
            <w:r>
              <w:rPr>
                <w:spacing w:val="-2"/>
                <w:sz w:val="17"/>
              </w:rPr>
              <w:t> </w:t>
            </w:r>
            <w:r>
              <w:rPr>
                <w:sz w:val="17"/>
              </w:rPr>
              <w:t>a regional health economy for a population of circa 800,000.</w:t>
            </w:r>
          </w:p>
          <w:p>
            <w:pPr>
              <w:pStyle w:val="TableParagraph"/>
              <w:spacing w:before="8"/>
              <w:rPr>
                <w:b/>
                <w:sz w:val="17"/>
              </w:rPr>
            </w:pPr>
          </w:p>
          <w:p>
            <w:pPr>
              <w:pStyle w:val="TableParagraph"/>
              <w:spacing w:line="252" w:lineRule="auto" w:before="1"/>
              <w:ind w:left="107"/>
              <w:rPr>
                <w:sz w:val="17"/>
              </w:rPr>
            </w:pPr>
            <w:r>
              <w:rPr>
                <w:sz w:val="17"/>
              </w:rPr>
              <w:t>Provide assurance that the Health Boards’ Clinical Services</w:t>
            </w:r>
            <w:r>
              <w:rPr>
                <w:spacing w:val="-6"/>
                <w:sz w:val="17"/>
              </w:rPr>
              <w:t> </w:t>
            </w:r>
            <w:r>
              <w:rPr>
                <w:sz w:val="17"/>
              </w:rPr>
              <w:t>Strategic</w:t>
            </w:r>
            <w:r>
              <w:rPr>
                <w:spacing w:val="-7"/>
                <w:sz w:val="17"/>
              </w:rPr>
              <w:t> </w:t>
            </w:r>
            <w:r>
              <w:rPr>
                <w:sz w:val="17"/>
              </w:rPr>
              <w:t>Plans</w:t>
            </w:r>
            <w:r>
              <w:rPr>
                <w:spacing w:val="-7"/>
                <w:sz w:val="17"/>
              </w:rPr>
              <w:t> </w:t>
            </w:r>
            <w:r>
              <w:rPr>
                <w:sz w:val="17"/>
              </w:rPr>
              <w:t>are</w:t>
            </w:r>
            <w:r>
              <w:rPr>
                <w:spacing w:val="-6"/>
                <w:sz w:val="17"/>
              </w:rPr>
              <w:t> </w:t>
            </w:r>
            <w:r>
              <w:rPr>
                <w:sz w:val="17"/>
              </w:rPr>
              <w:t>aligned</w:t>
            </w:r>
            <w:r>
              <w:rPr>
                <w:spacing w:val="-6"/>
                <w:sz w:val="17"/>
              </w:rPr>
              <w:t> </w:t>
            </w:r>
            <w:r>
              <w:rPr>
                <w:sz w:val="17"/>
              </w:rPr>
              <w:t>with</w:t>
            </w:r>
            <w:r>
              <w:rPr>
                <w:spacing w:val="-6"/>
                <w:sz w:val="17"/>
              </w:rPr>
              <w:t> </w:t>
            </w:r>
            <w:r>
              <w:rPr>
                <w:sz w:val="17"/>
              </w:rPr>
              <w:t>Ministerial Priorities and the delivery of A Healthier Wales.</w:t>
            </w:r>
          </w:p>
          <w:p>
            <w:pPr>
              <w:pStyle w:val="TableParagraph"/>
              <w:spacing w:before="8"/>
              <w:rPr>
                <w:b/>
                <w:sz w:val="17"/>
              </w:rPr>
            </w:pPr>
          </w:p>
          <w:p>
            <w:pPr>
              <w:pStyle w:val="TableParagraph"/>
              <w:spacing w:line="252" w:lineRule="auto"/>
              <w:ind w:left="107" w:right="155"/>
              <w:rPr>
                <w:sz w:val="17"/>
              </w:rPr>
            </w:pPr>
            <w:r>
              <w:rPr>
                <w:sz w:val="17"/>
              </w:rPr>
              <w:t>Provide assurance that regional clinical service programmes</w:t>
            </w:r>
            <w:r>
              <w:rPr>
                <w:spacing w:val="-7"/>
                <w:sz w:val="17"/>
              </w:rPr>
              <w:t> </w:t>
            </w:r>
            <w:r>
              <w:rPr>
                <w:sz w:val="17"/>
              </w:rPr>
              <w:t>and</w:t>
            </w:r>
            <w:r>
              <w:rPr>
                <w:spacing w:val="-3"/>
                <w:sz w:val="17"/>
              </w:rPr>
              <w:t> </w:t>
            </w:r>
            <w:r>
              <w:rPr>
                <w:sz w:val="17"/>
              </w:rPr>
              <w:t>models</w:t>
            </w:r>
            <w:r>
              <w:rPr>
                <w:spacing w:val="-8"/>
                <w:sz w:val="17"/>
              </w:rPr>
              <w:t> </w:t>
            </w:r>
            <w:r>
              <w:rPr>
                <w:sz w:val="17"/>
              </w:rPr>
              <w:t>are</w:t>
            </w:r>
            <w:r>
              <w:rPr>
                <w:spacing w:val="-7"/>
                <w:sz w:val="17"/>
              </w:rPr>
              <w:t> </w:t>
            </w:r>
            <w:r>
              <w:rPr>
                <w:sz w:val="17"/>
              </w:rPr>
              <w:t>developed</w:t>
            </w:r>
            <w:r>
              <w:rPr>
                <w:spacing w:val="-7"/>
                <w:sz w:val="17"/>
              </w:rPr>
              <w:t> </w:t>
            </w:r>
            <w:r>
              <w:rPr>
                <w:sz w:val="17"/>
              </w:rPr>
              <w:t>and</w:t>
            </w:r>
            <w:r>
              <w:rPr>
                <w:spacing w:val="-7"/>
                <w:sz w:val="17"/>
              </w:rPr>
              <w:t> </w:t>
            </w:r>
            <w:r>
              <w:rPr>
                <w:sz w:val="17"/>
              </w:rPr>
              <w:t>delivered to improve resilience, equity of access and outcomes across South West Wales.</w:t>
            </w:r>
          </w:p>
        </w:tc>
        <w:tc>
          <w:tcPr>
            <w:tcW w:w="465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1"/>
              <w:rPr>
                <w:b/>
                <w:sz w:val="16"/>
              </w:rPr>
            </w:pPr>
          </w:p>
          <w:p>
            <w:pPr>
              <w:pStyle w:val="TableParagraph"/>
              <w:spacing w:line="252" w:lineRule="auto" w:before="1"/>
              <w:ind w:left="92" w:right="146"/>
              <w:jc w:val="both"/>
              <w:rPr>
                <w:sz w:val="16"/>
              </w:rPr>
            </w:pPr>
            <w:r>
              <w:rPr>
                <w:sz w:val="16"/>
              </w:rPr>
              <w:t>Subgroup:</w:t>
            </w:r>
            <w:r>
              <w:rPr>
                <w:spacing w:val="-9"/>
                <w:sz w:val="16"/>
              </w:rPr>
              <w:t> </w:t>
            </w:r>
            <w:r>
              <w:rPr>
                <w:sz w:val="16"/>
              </w:rPr>
              <w:t>maintain</w:t>
            </w:r>
            <w:r>
              <w:rPr>
                <w:spacing w:val="-8"/>
                <w:sz w:val="16"/>
              </w:rPr>
              <w:t> </w:t>
            </w:r>
            <w:r>
              <w:rPr>
                <w:sz w:val="16"/>
              </w:rPr>
              <w:t>alignment</w:t>
            </w:r>
            <w:r>
              <w:rPr>
                <w:spacing w:val="-4"/>
                <w:sz w:val="16"/>
              </w:rPr>
              <w:t> </w:t>
            </w:r>
            <w:r>
              <w:rPr>
                <w:sz w:val="16"/>
              </w:rPr>
              <w:t>with</w:t>
            </w:r>
            <w:r>
              <w:rPr>
                <w:spacing w:val="-3"/>
                <w:sz w:val="16"/>
              </w:rPr>
              <w:t> </w:t>
            </w:r>
            <w:r>
              <w:rPr>
                <w:sz w:val="16"/>
              </w:rPr>
              <w:t>both</w:t>
            </w:r>
            <w:r>
              <w:rPr>
                <w:spacing w:val="-3"/>
                <w:sz w:val="16"/>
              </w:rPr>
              <w:t> </w:t>
            </w:r>
            <w:r>
              <w:rPr>
                <w:sz w:val="16"/>
              </w:rPr>
              <w:t>Health</w:t>
            </w:r>
            <w:r>
              <w:rPr>
                <w:spacing w:val="-8"/>
                <w:sz w:val="16"/>
              </w:rPr>
              <w:t> </w:t>
            </w:r>
            <w:r>
              <w:rPr>
                <w:sz w:val="16"/>
              </w:rPr>
              <w:t>Boards</w:t>
            </w:r>
            <w:r>
              <w:rPr>
                <w:spacing w:val="-4"/>
                <w:sz w:val="16"/>
              </w:rPr>
              <w:t> </w:t>
            </w:r>
            <w:r>
              <w:rPr>
                <w:sz w:val="16"/>
              </w:rPr>
              <w:t>clinical service</w:t>
            </w:r>
            <w:r>
              <w:rPr>
                <w:spacing w:val="-1"/>
                <w:sz w:val="16"/>
              </w:rPr>
              <w:t> </w:t>
            </w:r>
            <w:r>
              <w:rPr>
                <w:sz w:val="16"/>
              </w:rPr>
              <w:t>plans,</w:t>
            </w:r>
            <w:r>
              <w:rPr>
                <w:spacing w:val="-7"/>
                <w:sz w:val="16"/>
              </w:rPr>
              <w:t> </w:t>
            </w:r>
            <w:r>
              <w:rPr>
                <w:sz w:val="16"/>
              </w:rPr>
              <w:t>planned</w:t>
            </w:r>
            <w:r>
              <w:rPr>
                <w:spacing w:val="-1"/>
                <w:sz w:val="16"/>
              </w:rPr>
              <w:t> </w:t>
            </w:r>
            <w:r>
              <w:rPr>
                <w:sz w:val="16"/>
              </w:rPr>
              <w:t>care</w:t>
            </w:r>
            <w:r>
              <w:rPr>
                <w:spacing w:val="-6"/>
                <w:sz w:val="16"/>
              </w:rPr>
              <w:t> </w:t>
            </w:r>
            <w:r>
              <w:rPr>
                <w:sz w:val="16"/>
              </w:rPr>
              <w:t>recovery,</w:t>
            </w:r>
            <w:r>
              <w:rPr>
                <w:spacing w:val="-2"/>
                <w:sz w:val="16"/>
              </w:rPr>
              <w:t> </w:t>
            </w:r>
            <w:r>
              <w:rPr>
                <w:sz w:val="16"/>
              </w:rPr>
              <w:t>capital</w:t>
            </w:r>
            <w:r>
              <w:rPr>
                <w:spacing w:val="-3"/>
                <w:sz w:val="16"/>
              </w:rPr>
              <w:t> </w:t>
            </w:r>
            <w:r>
              <w:rPr>
                <w:sz w:val="16"/>
              </w:rPr>
              <w:t>prioritisation</w:t>
            </w:r>
            <w:r>
              <w:rPr>
                <w:spacing w:val="-1"/>
                <w:sz w:val="16"/>
              </w:rPr>
              <w:t> </w:t>
            </w:r>
            <w:r>
              <w:rPr>
                <w:sz w:val="16"/>
              </w:rPr>
              <w:t>and regional commissioning / finance arrangements</w:t>
            </w:r>
          </w:p>
        </w:tc>
        <w:tc>
          <w:tcPr>
            <w:tcW w:w="15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7"/>
              <w:rPr>
                <w:b/>
                <w:sz w:val="16"/>
              </w:rPr>
            </w:pPr>
          </w:p>
          <w:p>
            <w:pPr>
              <w:pStyle w:val="TableParagraph"/>
              <w:spacing w:before="1"/>
              <w:ind w:left="86"/>
              <w:rPr>
                <w:sz w:val="16"/>
              </w:rPr>
            </w:pPr>
            <w:r>
              <w:rPr>
                <w:spacing w:val="-2"/>
                <w:sz w:val="16"/>
              </w:rPr>
              <w:t>Ongoing</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bl>
    <w:p>
      <w:pPr>
        <w:pStyle w:val="Heading8"/>
        <w:numPr>
          <w:ilvl w:val="0"/>
          <w:numId w:val="15"/>
        </w:numPr>
        <w:tabs>
          <w:tab w:pos="367" w:val="left" w:leader="none"/>
        </w:tabs>
        <w:spacing w:line="240" w:lineRule="auto" w:before="184" w:after="0"/>
        <w:ind w:left="367" w:right="0" w:hanging="284"/>
        <w:jc w:val="left"/>
      </w:pPr>
      <w:r>
        <w:rPr>
          <w:color w:val="001F5F"/>
        </w:rPr>
        <w:t>Resource</w:t>
      </w:r>
      <w:r>
        <w:rPr>
          <w:color w:val="001F5F"/>
          <w:spacing w:val="-4"/>
        </w:rPr>
        <w:t> </w:t>
      </w:r>
      <w:r>
        <w:rPr>
          <w:color w:val="001F5F"/>
        </w:rPr>
        <w:t>/</w:t>
      </w:r>
      <w:r>
        <w:rPr>
          <w:color w:val="001F5F"/>
          <w:spacing w:val="-7"/>
        </w:rPr>
        <w:t> </w:t>
      </w:r>
      <w:r>
        <w:rPr>
          <w:color w:val="001F5F"/>
        </w:rPr>
        <w:t>Funding</w:t>
      </w:r>
      <w:r>
        <w:rPr>
          <w:color w:val="001F5F"/>
          <w:spacing w:val="-3"/>
        </w:rPr>
        <w:t> </w:t>
      </w:r>
      <w:r>
        <w:rPr>
          <w:color w:val="001F5F"/>
          <w:spacing w:val="-2"/>
        </w:rPr>
        <w:t>Considerations</w:t>
      </w:r>
    </w:p>
    <w:p>
      <w:pPr>
        <w:pStyle w:val="BodyText"/>
        <w:spacing w:before="10"/>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5172"/>
        <w:gridCol w:w="5177"/>
        <w:gridCol w:w="5178"/>
      </w:tblGrid>
      <w:tr>
        <w:trPr>
          <w:trHeight w:val="360" w:hRule="atLeast"/>
        </w:trPr>
        <w:tc>
          <w:tcPr>
            <w:tcW w:w="5172" w:type="dxa"/>
            <w:shd w:val="clear" w:color="auto" w:fill="1F4E79"/>
          </w:tcPr>
          <w:p>
            <w:pPr>
              <w:pStyle w:val="TableParagraph"/>
              <w:spacing w:before="89"/>
              <w:ind w:left="87"/>
              <w:rPr>
                <w:b/>
                <w:sz w:val="15"/>
              </w:rPr>
            </w:pPr>
            <w:r>
              <w:rPr>
                <w:b/>
                <w:color w:val="FFFFFF"/>
                <w:sz w:val="15"/>
              </w:rPr>
              <w:t>Resource</w:t>
            </w:r>
            <w:r>
              <w:rPr>
                <w:b/>
                <w:color w:val="FFFFFF"/>
                <w:spacing w:val="-4"/>
                <w:sz w:val="15"/>
              </w:rPr>
              <w:t> </w:t>
            </w:r>
            <w:r>
              <w:rPr>
                <w:b/>
                <w:color w:val="FFFFFF"/>
                <w:sz w:val="15"/>
              </w:rPr>
              <w:t>/</w:t>
            </w:r>
            <w:r>
              <w:rPr>
                <w:b/>
                <w:color w:val="FFFFFF"/>
                <w:spacing w:val="-6"/>
                <w:sz w:val="15"/>
              </w:rPr>
              <w:t> </w:t>
            </w:r>
            <w:r>
              <w:rPr>
                <w:b/>
                <w:color w:val="FFFFFF"/>
                <w:sz w:val="15"/>
              </w:rPr>
              <w:t>Funding</w:t>
            </w:r>
            <w:r>
              <w:rPr>
                <w:b/>
                <w:color w:val="FFFFFF"/>
                <w:spacing w:val="-5"/>
                <w:sz w:val="15"/>
              </w:rPr>
              <w:t> </w:t>
            </w:r>
            <w:r>
              <w:rPr>
                <w:b/>
                <w:color w:val="FFFFFF"/>
                <w:spacing w:val="-2"/>
                <w:sz w:val="15"/>
              </w:rPr>
              <w:t>Requirement</w:t>
            </w:r>
          </w:p>
        </w:tc>
        <w:tc>
          <w:tcPr>
            <w:tcW w:w="5177" w:type="dxa"/>
            <w:shd w:val="clear" w:color="auto" w:fill="1F4E79"/>
          </w:tcPr>
          <w:p>
            <w:pPr>
              <w:pStyle w:val="TableParagraph"/>
              <w:spacing w:before="89"/>
              <w:ind w:left="92"/>
              <w:rPr>
                <w:b/>
                <w:sz w:val="15"/>
              </w:rPr>
            </w:pPr>
            <w:r>
              <w:rPr>
                <w:b/>
                <w:color w:val="FFFFFF"/>
                <w:sz w:val="15"/>
              </w:rPr>
              <w:t>Current</w:t>
            </w:r>
            <w:r>
              <w:rPr>
                <w:b/>
                <w:color w:val="FFFFFF"/>
                <w:spacing w:val="-4"/>
                <w:sz w:val="15"/>
              </w:rPr>
              <w:t> </w:t>
            </w:r>
            <w:r>
              <w:rPr>
                <w:b/>
                <w:color w:val="FFFFFF"/>
                <w:spacing w:val="-2"/>
                <w:sz w:val="15"/>
              </w:rPr>
              <w:t>Position</w:t>
            </w:r>
          </w:p>
        </w:tc>
        <w:tc>
          <w:tcPr>
            <w:tcW w:w="5178" w:type="dxa"/>
            <w:shd w:val="clear" w:color="auto" w:fill="1F4E79"/>
          </w:tcPr>
          <w:p>
            <w:pPr>
              <w:pStyle w:val="TableParagraph"/>
              <w:spacing w:before="89"/>
              <w:ind w:left="91"/>
              <w:rPr>
                <w:b/>
                <w:sz w:val="15"/>
              </w:rPr>
            </w:pPr>
            <w:r>
              <w:rPr>
                <w:b/>
                <w:color w:val="FFFFFF"/>
                <w:sz w:val="15"/>
              </w:rPr>
              <w:t>Impact</w:t>
            </w:r>
            <w:r>
              <w:rPr>
                <w:b/>
                <w:color w:val="FFFFFF"/>
                <w:spacing w:val="-5"/>
                <w:sz w:val="15"/>
              </w:rPr>
              <w:t> </w:t>
            </w:r>
            <w:r>
              <w:rPr>
                <w:b/>
                <w:color w:val="FFFFFF"/>
                <w:sz w:val="15"/>
              </w:rPr>
              <w:t>/</w:t>
            </w:r>
            <w:r>
              <w:rPr>
                <w:b/>
                <w:color w:val="FFFFFF"/>
                <w:spacing w:val="-4"/>
                <w:sz w:val="15"/>
              </w:rPr>
              <w:t> </w:t>
            </w:r>
            <w:r>
              <w:rPr>
                <w:b/>
                <w:color w:val="FFFFFF"/>
                <w:spacing w:val="-2"/>
                <w:sz w:val="15"/>
              </w:rPr>
              <w:t>Mitigation</w:t>
            </w:r>
          </w:p>
        </w:tc>
      </w:tr>
      <w:tr>
        <w:trPr>
          <w:trHeight w:val="800" w:hRule="atLeast"/>
        </w:trPr>
        <w:tc>
          <w:tcPr>
            <w:tcW w:w="5172" w:type="dxa"/>
          </w:tcPr>
          <w:p>
            <w:pPr>
              <w:pStyle w:val="TableParagraph"/>
              <w:spacing w:before="99"/>
              <w:rPr>
                <w:b/>
                <w:sz w:val="17"/>
              </w:rPr>
            </w:pPr>
          </w:p>
          <w:p>
            <w:pPr>
              <w:pStyle w:val="TableParagraph"/>
              <w:spacing w:before="1"/>
              <w:ind w:left="87"/>
              <w:rPr>
                <w:b/>
                <w:sz w:val="17"/>
              </w:rPr>
            </w:pPr>
            <w:r>
              <w:rPr>
                <w:b/>
                <w:sz w:val="17"/>
              </w:rPr>
              <w:t>Regional</w:t>
            </w:r>
            <w:r>
              <w:rPr>
                <w:b/>
                <w:spacing w:val="-6"/>
                <w:sz w:val="17"/>
              </w:rPr>
              <w:t> </w:t>
            </w:r>
            <w:r>
              <w:rPr>
                <w:b/>
                <w:sz w:val="17"/>
              </w:rPr>
              <w:t>programme</w:t>
            </w:r>
            <w:r>
              <w:rPr>
                <w:b/>
                <w:spacing w:val="-3"/>
                <w:sz w:val="17"/>
              </w:rPr>
              <w:t> </w:t>
            </w:r>
            <w:r>
              <w:rPr>
                <w:b/>
                <w:sz w:val="17"/>
              </w:rPr>
              <w:t>capacity</w:t>
            </w:r>
            <w:r>
              <w:rPr>
                <w:b/>
                <w:spacing w:val="-8"/>
                <w:sz w:val="17"/>
              </w:rPr>
              <w:t> </w:t>
            </w:r>
            <w:r>
              <w:rPr>
                <w:b/>
                <w:spacing w:val="-2"/>
                <w:sz w:val="17"/>
              </w:rPr>
              <w:t>(Stroke)</w:t>
            </w:r>
          </w:p>
        </w:tc>
        <w:tc>
          <w:tcPr>
            <w:tcW w:w="5177" w:type="dxa"/>
          </w:tcPr>
          <w:p>
            <w:pPr>
              <w:pStyle w:val="TableParagraph"/>
              <w:spacing w:line="254" w:lineRule="auto" w:before="90"/>
              <w:ind w:left="92" w:right="173"/>
              <w:rPr>
                <w:sz w:val="17"/>
              </w:rPr>
            </w:pPr>
            <w:r>
              <w:rPr>
                <w:sz w:val="17"/>
              </w:rPr>
              <w:t>Dedicated</w:t>
            </w:r>
            <w:r>
              <w:rPr>
                <w:spacing w:val="-8"/>
                <w:sz w:val="17"/>
              </w:rPr>
              <w:t> </w:t>
            </w:r>
            <w:r>
              <w:rPr>
                <w:sz w:val="17"/>
              </w:rPr>
              <w:t>programme</w:t>
            </w:r>
            <w:r>
              <w:rPr>
                <w:spacing w:val="-8"/>
                <w:sz w:val="17"/>
              </w:rPr>
              <w:t> </w:t>
            </w:r>
            <w:r>
              <w:rPr>
                <w:sz w:val="17"/>
              </w:rPr>
              <w:t>management</w:t>
            </w:r>
            <w:r>
              <w:rPr>
                <w:spacing w:val="-6"/>
                <w:sz w:val="17"/>
              </w:rPr>
              <w:t> </w:t>
            </w:r>
            <w:r>
              <w:rPr>
                <w:sz w:val="17"/>
              </w:rPr>
              <w:t>capacity</w:t>
            </w:r>
            <w:r>
              <w:rPr>
                <w:spacing w:val="-9"/>
                <w:sz w:val="17"/>
              </w:rPr>
              <w:t> </w:t>
            </w:r>
            <w:r>
              <w:rPr>
                <w:sz w:val="17"/>
              </w:rPr>
              <w:t>reduced</w:t>
            </w:r>
            <w:r>
              <w:rPr>
                <w:spacing w:val="-4"/>
                <w:sz w:val="17"/>
              </w:rPr>
              <w:t> </w:t>
            </w:r>
            <w:r>
              <w:rPr>
                <w:sz w:val="17"/>
              </w:rPr>
              <w:t>following the end of Welsh Government funding for the Regional Stroke Programme Manager.</w:t>
            </w:r>
          </w:p>
        </w:tc>
        <w:tc>
          <w:tcPr>
            <w:tcW w:w="5178" w:type="dxa"/>
          </w:tcPr>
          <w:p>
            <w:pPr>
              <w:pStyle w:val="TableParagraph"/>
              <w:spacing w:line="254" w:lineRule="auto" w:before="90"/>
              <w:ind w:left="91" w:right="131"/>
              <w:rPr>
                <w:sz w:val="17"/>
              </w:rPr>
            </w:pPr>
            <w:r>
              <w:rPr>
                <w:sz w:val="17"/>
              </w:rPr>
              <w:t>Risk to pace and coordination of programme delivery. Prioritisation</w:t>
            </w:r>
            <w:r>
              <w:rPr>
                <w:spacing w:val="-7"/>
                <w:sz w:val="17"/>
              </w:rPr>
              <w:t> </w:t>
            </w:r>
            <w:r>
              <w:rPr>
                <w:sz w:val="17"/>
              </w:rPr>
              <w:t>of</w:t>
            </w:r>
            <w:r>
              <w:rPr>
                <w:spacing w:val="-9"/>
                <w:sz w:val="17"/>
              </w:rPr>
              <w:t> </w:t>
            </w:r>
            <w:r>
              <w:rPr>
                <w:sz w:val="17"/>
              </w:rPr>
              <w:t>key</w:t>
            </w:r>
            <w:r>
              <w:rPr>
                <w:spacing w:val="-7"/>
                <w:sz w:val="17"/>
              </w:rPr>
              <w:t> </w:t>
            </w:r>
            <w:r>
              <w:rPr>
                <w:sz w:val="17"/>
              </w:rPr>
              <w:t>workstreams</w:t>
            </w:r>
            <w:r>
              <w:rPr>
                <w:spacing w:val="-3"/>
                <w:sz w:val="17"/>
              </w:rPr>
              <w:t> </w:t>
            </w:r>
            <w:r>
              <w:rPr>
                <w:sz w:val="17"/>
              </w:rPr>
              <w:t>and</w:t>
            </w:r>
            <w:r>
              <w:rPr>
                <w:spacing w:val="-7"/>
                <w:sz w:val="17"/>
              </w:rPr>
              <w:t> </w:t>
            </w:r>
            <w:r>
              <w:rPr>
                <w:sz w:val="17"/>
              </w:rPr>
              <w:t>consideration</w:t>
            </w:r>
            <w:r>
              <w:rPr>
                <w:spacing w:val="-7"/>
                <w:sz w:val="17"/>
              </w:rPr>
              <w:t> </w:t>
            </w:r>
            <w:r>
              <w:rPr>
                <w:sz w:val="17"/>
              </w:rPr>
              <w:t>of</w:t>
            </w:r>
            <w:r>
              <w:rPr>
                <w:spacing w:val="-5"/>
                <w:sz w:val="17"/>
              </w:rPr>
              <w:t> </w:t>
            </w:r>
            <w:r>
              <w:rPr>
                <w:sz w:val="17"/>
              </w:rPr>
              <w:t>future resource arrangements through programme governance.</w:t>
            </w:r>
          </w:p>
        </w:tc>
      </w:tr>
      <w:tr>
        <w:trPr>
          <w:trHeight w:val="1205" w:hRule="atLeast"/>
        </w:trPr>
        <w:tc>
          <w:tcPr>
            <w:tcW w:w="5172" w:type="dxa"/>
          </w:tcPr>
          <w:p>
            <w:pPr>
              <w:pStyle w:val="TableParagraph"/>
              <w:rPr>
                <w:b/>
                <w:sz w:val="17"/>
              </w:rPr>
            </w:pPr>
          </w:p>
          <w:p>
            <w:pPr>
              <w:pStyle w:val="TableParagraph"/>
              <w:spacing w:before="109"/>
              <w:rPr>
                <w:b/>
                <w:sz w:val="17"/>
              </w:rPr>
            </w:pPr>
          </w:p>
          <w:p>
            <w:pPr>
              <w:pStyle w:val="TableParagraph"/>
              <w:spacing w:before="1"/>
              <w:ind w:left="87"/>
              <w:rPr>
                <w:b/>
                <w:sz w:val="17"/>
              </w:rPr>
            </w:pPr>
            <w:r>
              <w:rPr>
                <w:b/>
                <w:sz w:val="17"/>
              </w:rPr>
              <w:t>Planned</w:t>
            </w:r>
            <w:r>
              <w:rPr>
                <w:b/>
                <w:spacing w:val="-3"/>
                <w:sz w:val="17"/>
              </w:rPr>
              <w:t> </w:t>
            </w:r>
            <w:r>
              <w:rPr>
                <w:b/>
                <w:sz w:val="17"/>
              </w:rPr>
              <w:t>Care</w:t>
            </w:r>
            <w:r>
              <w:rPr>
                <w:b/>
                <w:spacing w:val="-3"/>
                <w:sz w:val="17"/>
              </w:rPr>
              <w:t> </w:t>
            </w:r>
            <w:r>
              <w:rPr>
                <w:b/>
                <w:sz w:val="17"/>
              </w:rPr>
              <w:t>recovery</w:t>
            </w:r>
            <w:r>
              <w:rPr>
                <w:b/>
                <w:spacing w:val="-8"/>
                <w:sz w:val="17"/>
              </w:rPr>
              <w:t> </w:t>
            </w:r>
            <w:r>
              <w:rPr>
                <w:b/>
                <w:sz w:val="17"/>
              </w:rPr>
              <w:t>funding</w:t>
            </w:r>
            <w:r>
              <w:rPr>
                <w:b/>
                <w:spacing w:val="-3"/>
                <w:sz w:val="17"/>
              </w:rPr>
              <w:t> </w:t>
            </w:r>
            <w:r>
              <w:rPr>
                <w:b/>
                <w:sz w:val="17"/>
              </w:rPr>
              <w:t>and</w:t>
            </w:r>
            <w:r>
              <w:rPr>
                <w:b/>
                <w:spacing w:val="-3"/>
                <w:sz w:val="17"/>
              </w:rPr>
              <w:t> </w:t>
            </w:r>
            <w:r>
              <w:rPr>
                <w:b/>
                <w:sz w:val="17"/>
              </w:rPr>
              <w:t>delivery</w:t>
            </w:r>
            <w:r>
              <w:rPr>
                <w:b/>
                <w:spacing w:val="-3"/>
                <w:sz w:val="17"/>
              </w:rPr>
              <w:t> </w:t>
            </w:r>
            <w:r>
              <w:rPr>
                <w:b/>
                <w:spacing w:val="-2"/>
                <w:sz w:val="17"/>
              </w:rPr>
              <w:t>capacity</w:t>
            </w:r>
          </w:p>
        </w:tc>
        <w:tc>
          <w:tcPr>
            <w:tcW w:w="5177" w:type="dxa"/>
          </w:tcPr>
          <w:p>
            <w:pPr>
              <w:pStyle w:val="TableParagraph"/>
              <w:spacing w:line="252" w:lineRule="auto" w:before="191"/>
              <w:ind w:left="92" w:right="173"/>
              <w:rPr>
                <w:sz w:val="17"/>
              </w:rPr>
            </w:pPr>
            <w:r>
              <w:rPr>
                <w:sz w:val="17"/>
              </w:rPr>
              <w:t>Initial</w:t>
            </w:r>
            <w:r>
              <w:rPr>
                <w:spacing w:val="-5"/>
                <w:sz w:val="17"/>
              </w:rPr>
              <w:t> </w:t>
            </w:r>
            <w:r>
              <w:rPr>
                <w:sz w:val="17"/>
              </w:rPr>
              <w:t>Welsh</w:t>
            </w:r>
            <w:r>
              <w:rPr>
                <w:spacing w:val="-7"/>
                <w:sz w:val="17"/>
              </w:rPr>
              <w:t> </w:t>
            </w:r>
            <w:r>
              <w:rPr>
                <w:sz w:val="17"/>
              </w:rPr>
              <w:t>Government</w:t>
            </w:r>
            <w:r>
              <w:rPr>
                <w:spacing w:val="-5"/>
                <w:sz w:val="17"/>
              </w:rPr>
              <w:t> </w:t>
            </w:r>
            <w:r>
              <w:rPr>
                <w:sz w:val="17"/>
              </w:rPr>
              <w:t>funding</w:t>
            </w:r>
            <w:r>
              <w:rPr>
                <w:spacing w:val="-7"/>
                <w:sz w:val="17"/>
              </w:rPr>
              <w:t> </w:t>
            </w:r>
            <w:r>
              <w:rPr>
                <w:sz w:val="17"/>
              </w:rPr>
              <w:t>has</w:t>
            </w:r>
            <w:r>
              <w:rPr>
                <w:spacing w:val="-8"/>
                <w:sz w:val="17"/>
              </w:rPr>
              <w:t> </w:t>
            </w:r>
            <w:r>
              <w:rPr>
                <w:sz w:val="17"/>
              </w:rPr>
              <w:t>been</w:t>
            </w:r>
            <w:r>
              <w:rPr>
                <w:spacing w:val="-7"/>
                <w:sz w:val="17"/>
              </w:rPr>
              <w:t> </w:t>
            </w:r>
            <w:r>
              <w:rPr>
                <w:sz w:val="17"/>
              </w:rPr>
              <w:t>confirmed,</w:t>
            </w:r>
            <w:r>
              <w:rPr>
                <w:spacing w:val="-5"/>
                <w:sz w:val="17"/>
              </w:rPr>
              <w:t> </w:t>
            </w:r>
            <w:r>
              <w:rPr>
                <w:sz w:val="17"/>
              </w:rPr>
              <w:t>but</w:t>
            </w:r>
            <w:r>
              <w:rPr>
                <w:spacing w:val="-5"/>
                <w:sz w:val="17"/>
              </w:rPr>
              <w:t> </w:t>
            </w:r>
            <w:r>
              <w:rPr>
                <w:sz w:val="17"/>
              </w:rPr>
              <w:t>the funding available is lower than the amount bid for. The implications for individual schemes, agreed trajectories and regional programme assumptions are being assessed.</w:t>
            </w:r>
          </w:p>
        </w:tc>
        <w:tc>
          <w:tcPr>
            <w:tcW w:w="5178" w:type="dxa"/>
          </w:tcPr>
          <w:p>
            <w:pPr>
              <w:pStyle w:val="TableParagraph"/>
              <w:spacing w:line="252" w:lineRule="auto" w:before="91"/>
              <w:ind w:left="91" w:right="65"/>
              <w:rPr>
                <w:sz w:val="17"/>
              </w:rPr>
            </w:pPr>
            <w:r>
              <w:rPr>
                <w:sz w:val="17"/>
              </w:rPr>
              <w:t>This</w:t>
            </w:r>
            <w:r>
              <w:rPr>
                <w:spacing w:val="-6"/>
                <w:sz w:val="17"/>
              </w:rPr>
              <w:t> </w:t>
            </w:r>
            <w:r>
              <w:rPr>
                <w:sz w:val="17"/>
              </w:rPr>
              <w:t>may</w:t>
            </w:r>
            <w:r>
              <w:rPr>
                <w:spacing w:val="-5"/>
                <w:sz w:val="17"/>
              </w:rPr>
              <w:t> </w:t>
            </w:r>
            <w:r>
              <w:rPr>
                <w:sz w:val="17"/>
              </w:rPr>
              <w:t>constrain</w:t>
            </w:r>
            <w:r>
              <w:rPr>
                <w:spacing w:val="-5"/>
                <w:sz w:val="17"/>
              </w:rPr>
              <w:t> </w:t>
            </w:r>
            <w:r>
              <w:rPr>
                <w:sz w:val="17"/>
              </w:rPr>
              <w:t>the</w:t>
            </w:r>
            <w:r>
              <w:rPr>
                <w:spacing w:val="-5"/>
                <w:sz w:val="17"/>
              </w:rPr>
              <w:t> </w:t>
            </w:r>
            <w:r>
              <w:rPr>
                <w:sz w:val="17"/>
              </w:rPr>
              <w:t>scope or</w:t>
            </w:r>
            <w:r>
              <w:rPr>
                <w:spacing w:val="-7"/>
                <w:sz w:val="17"/>
              </w:rPr>
              <w:t> </w:t>
            </w:r>
            <w:r>
              <w:rPr>
                <w:sz w:val="17"/>
              </w:rPr>
              <w:t>pace</w:t>
            </w:r>
            <w:r>
              <w:rPr>
                <w:spacing w:val="-5"/>
                <w:sz w:val="17"/>
              </w:rPr>
              <w:t> </w:t>
            </w:r>
            <w:r>
              <w:rPr>
                <w:sz w:val="17"/>
              </w:rPr>
              <w:t>of</w:t>
            </w:r>
            <w:r>
              <w:rPr>
                <w:spacing w:val="-8"/>
                <w:sz w:val="17"/>
              </w:rPr>
              <w:t> </w:t>
            </w:r>
            <w:r>
              <w:rPr>
                <w:sz w:val="17"/>
              </w:rPr>
              <w:t>planned</w:t>
            </w:r>
            <w:r>
              <w:rPr>
                <w:spacing w:val="-5"/>
                <w:sz w:val="17"/>
              </w:rPr>
              <w:t> </w:t>
            </w:r>
            <w:r>
              <w:rPr>
                <w:sz w:val="17"/>
              </w:rPr>
              <w:t>recovery</w:t>
            </w:r>
            <w:r>
              <w:rPr>
                <w:spacing w:val="-1"/>
                <w:sz w:val="17"/>
              </w:rPr>
              <w:t> </w:t>
            </w:r>
            <w:r>
              <w:rPr>
                <w:sz w:val="17"/>
              </w:rPr>
              <w:t>activity, including the intended improvement and equalisation of cataract waiting times. Health Board and programme governance will review deliverability, prioritisation and any residual funding or capacity gap.</w:t>
            </w:r>
          </w:p>
        </w:tc>
      </w:tr>
    </w:tbl>
    <w:p>
      <w:pPr>
        <w:pStyle w:val="BodyText"/>
        <w:rPr>
          <w:b/>
          <w:sz w:val="20"/>
        </w:rPr>
      </w:pPr>
    </w:p>
    <w:p>
      <w:pPr>
        <w:pStyle w:val="BodyText"/>
        <w:rPr>
          <w:b/>
          <w:sz w:val="20"/>
        </w:rPr>
      </w:pPr>
    </w:p>
    <w:p>
      <w:pPr>
        <w:pStyle w:val="BodyText"/>
        <w:spacing w:before="53"/>
        <w:rPr>
          <w:b/>
          <w:sz w:val="20"/>
        </w:rPr>
      </w:pPr>
    </w:p>
    <w:p>
      <w:pPr>
        <w:spacing w:before="1"/>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275" name="Image 275"/>
            <wp:cNvGraphicFramePr>
              <a:graphicFrameLocks/>
            </wp:cNvGraphicFramePr>
            <a:graphic>
              <a:graphicData uri="http://schemas.openxmlformats.org/drawingml/2006/picture">
                <pic:pic>
                  <pic:nvPicPr>
                    <pic:cNvPr id="275" name="Image 275"/>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276" name="Image 276"/>
            <wp:cNvGraphicFramePr>
              <a:graphicFrameLocks/>
            </wp:cNvGraphicFramePr>
            <a:graphic>
              <a:graphicData uri="http://schemas.openxmlformats.org/drawingml/2006/picture">
                <pic:pic>
                  <pic:nvPicPr>
                    <pic:cNvPr id="276" name="Image 276"/>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5172"/>
        <w:gridCol w:w="5177"/>
        <w:gridCol w:w="5178"/>
      </w:tblGrid>
      <w:tr>
        <w:trPr>
          <w:trHeight w:val="360" w:hRule="atLeast"/>
        </w:trPr>
        <w:tc>
          <w:tcPr>
            <w:tcW w:w="5172" w:type="dxa"/>
            <w:shd w:val="clear" w:color="auto" w:fill="1F4E79"/>
          </w:tcPr>
          <w:p>
            <w:pPr>
              <w:pStyle w:val="TableParagraph"/>
              <w:spacing w:before="89"/>
              <w:ind w:left="87"/>
              <w:rPr>
                <w:b/>
                <w:sz w:val="15"/>
              </w:rPr>
            </w:pPr>
            <w:r>
              <w:rPr>
                <w:b/>
                <w:color w:val="FFFFFF"/>
                <w:sz w:val="15"/>
              </w:rPr>
              <w:t>Resource</w:t>
            </w:r>
            <w:r>
              <w:rPr>
                <w:b/>
                <w:color w:val="FFFFFF"/>
                <w:spacing w:val="-4"/>
                <w:sz w:val="15"/>
              </w:rPr>
              <w:t> </w:t>
            </w:r>
            <w:r>
              <w:rPr>
                <w:b/>
                <w:color w:val="FFFFFF"/>
                <w:sz w:val="15"/>
              </w:rPr>
              <w:t>/</w:t>
            </w:r>
            <w:r>
              <w:rPr>
                <w:b/>
                <w:color w:val="FFFFFF"/>
                <w:spacing w:val="-6"/>
                <w:sz w:val="15"/>
              </w:rPr>
              <w:t> </w:t>
            </w:r>
            <w:r>
              <w:rPr>
                <w:b/>
                <w:color w:val="FFFFFF"/>
                <w:sz w:val="15"/>
              </w:rPr>
              <w:t>Funding</w:t>
            </w:r>
            <w:r>
              <w:rPr>
                <w:b/>
                <w:color w:val="FFFFFF"/>
                <w:spacing w:val="-5"/>
                <w:sz w:val="15"/>
              </w:rPr>
              <w:t> </w:t>
            </w:r>
            <w:r>
              <w:rPr>
                <w:b/>
                <w:color w:val="FFFFFF"/>
                <w:spacing w:val="-2"/>
                <w:sz w:val="15"/>
              </w:rPr>
              <w:t>Requirement</w:t>
            </w:r>
          </w:p>
        </w:tc>
        <w:tc>
          <w:tcPr>
            <w:tcW w:w="5177" w:type="dxa"/>
            <w:shd w:val="clear" w:color="auto" w:fill="1F4E79"/>
          </w:tcPr>
          <w:p>
            <w:pPr>
              <w:pStyle w:val="TableParagraph"/>
              <w:spacing w:before="89"/>
              <w:ind w:left="92"/>
              <w:rPr>
                <w:b/>
                <w:sz w:val="15"/>
              </w:rPr>
            </w:pPr>
            <w:r>
              <w:rPr>
                <w:b/>
                <w:color w:val="FFFFFF"/>
                <w:sz w:val="15"/>
              </w:rPr>
              <w:t>Current</w:t>
            </w:r>
            <w:r>
              <w:rPr>
                <w:b/>
                <w:color w:val="FFFFFF"/>
                <w:spacing w:val="-4"/>
                <w:sz w:val="15"/>
              </w:rPr>
              <w:t> </w:t>
            </w:r>
            <w:r>
              <w:rPr>
                <w:b/>
                <w:color w:val="FFFFFF"/>
                <w:spacing w:val="-2"/>
                <w:sz w:val="15"/>
              </w:rPr>
              <w:t>Position</w:t>
            </w:r>
          </w:p>
        </w:tc>
        <w:tc>
          <w:tcPr>
            <w:tcW w:w="5178" w:type="dxa"/>
            <w:shd w:val="clear" w:color="auto" w:fill="1F4E79"/>
          </w:tcPr>
          <w:p>
            <w:pPr>
              <w:pStyle w:val="TableParagraph"/>
              <w:spacing w:before="89"/>
              <w:ind w:left="91"/>
              <w:rPr>
                <w:b/>
                <w:sz w:val="15"/>
              </w:rPr>
            </w:pPr>
            <w:r>
              <w:rPr>
                <w:b/>
                <w:color w:val="FFFFFF"/>
                <w:sz w:val="15"/>
              </w:rPr>
              <w:t>Impact</w:t>
            </w:r>
            <w:r>
              <w:rPr>
                <w:b/>
                <w:color w:val="FFFFFF"/>
                <w:spacing w:val="-5"/>
                <w:sz w:val="15"/>
              </w:rPr>
              <w:t> </w:t>
            </w:r>
            <w:r>
              <w:rPr>
                <w:b/>
                <w:color w:val="FFFFFF"/>
                <w:sz w:val="15"/>
              </w:rPr>
              <w:t>/</w:t>
            </w:r>
            <w:r>
              <w:rPr>
                <w:b/>
                <w:color w:val="FFFFFF"/>
                <w:spacing w:val="-4"/>
                <w:sz w:val="15"/>
              </w:rPr>
              <w:t> </w:t>
            </w:r>
            <w:r>
              <w:rPr>
                <w:b/>
                <w:color w:val="FFFFFF"/>
                <w:spacing w:val="-2"/>
                <w:sz w:val="15"/>
              </w:rPr>
              <w:t>Mitigation</w:t>
            </w:r>
          </w:p>
        </w:tc>
      </w:tr>
      <w:tr>
        <w:trPr>
          <w:trHeight w:val="1000" w:hRule="atLeast"/>
        </w:trPr>
        <w:tc>
          <w:tcPr>
            <w:tcW w:w="5172" w:type="dxa"/>
          </w:tcPr>
          <w:p>
            <w:pPr>
              <w:pStyle w:val="TableParagraph"/>
              <w:rPr>
                <w:b/>
                <w:sz w:val="17"/>
              </w:rPr>
            </w:pPr>
          </w:p>
          <w:p>
            <w:pPr>
              <w:pStyle w:val="TableParagraph"/>
              <w:spacing w:before="9"/>
              <w:rPr>
                <w:b/>
                <w:sz w:val="17"/>
              </w:rPr>
            </w:pPr>
          </w:p>
          <w:p>
            <w:pPr>
              <w:pStyle w:val="TableParagraph"/>
              <w:ind w:left="87"/>
              <w:rPr>
                <w:b/>
                <w:sz w:val="17"/>
              </w:rPr>
            </w:pPr>
            <w:r>
              <w:rPr>
                <w:b/>
                <w:sz w:val="17"/>
              </w:rPr>
              <w:t>Capital</w:t>
            </w:r>
            <w:r>
              <w:rPr>
                <w:b/>
                <w:spacing w:val="-7"/>
                <w:sz w:val="17"/>
              </w:rPr>
              <w:t> </w:t>
            </w:r>
            <w:r>
              <w:rPr>
                <w:b/>
                <w:sz w:val="17"/>
              </w:rPr>
              <w:t>investment</w:t>
            </w:r>
            <w:r>
              <w:rPr>
                <w:b/>
                <w:spacing w:val="-2"/>
                <w:sz w:val="17"/>
              </w:rPr>
              <w:t> </w:t>
            </w:r>
            <w:r>
              <w:rPr>
                <w:b/>
                <w:sz w:val="17"/>
              </w:rPr>
              <w:t>(Cancer</w:t>
            </w:r>
            <w:r>
              <w:rPr>
                <w:b/>
                <w:spacing w:val="-6"/>
                <w:sz w:val="17"/>
              </w:rPr>
              <w:t> </w:t>
            </w:r>
            <w:r>
              <w:rPr>
                <w:b/>
                <w:sz w:val="17"/>
              </w:rPr>
              <w:t>and</w:t>
            </w:r>
            <w:r>
              <w:rPr>
                <w:b/>
                <w:spacing w:val="-5"/>
                <w:sz w:val="17"/>
              </w:rPr>
              <w:t> </w:t>
            </w:r>
            <w:r>
              <w:rPr>
                <w:b/>
                <w:sz w:val="17"/>
              </w:rPr>
              <w:t>Cellular </w:t>
            </w:r>
            <w:r>
              <w:rPr>
                <w:b/>
                <w:spacing w:val="-2"/>
                <w:sz w:val="17"/>
              </w:rPr>
              <w:t>Pathology)</w:t>
            </w:r>
          </w:p>
        </w:tc>
        <w:tc>
          <w:tcPr>
            <w:tcW w:w="5177" w:type="dxa"/>
          </w:tcPr>
          <w:p>
            <w:pPr>
              <w:pStyle w:val="TableParagraph"/>
              <w:rPr>
                <w:b/>
                <w:sz w:val="17"/>
              </w:rPr>
            </w:pPr>
          </w:p>
          <w:p>
            <w:pPr>
              <w:pStyle w:val="TableParagraph"/>
              <w:spacing w:line="252" w:lineRule="auto"/>
              <w:ind w:left="92" w:right="173"/>
              <w:rPr>
                <w:sz w:val="17"/>
              </w:rPr>
            </w:pPr>
            <w:r>
              <w:rPr>
                <w:sz w:val="17"/>
              </w:rPr>
              <w:t>Capital planning and business-case development continue for both</w:t>
            </w:r>
            <w:r>
              <w:rPr>
                <w:spacing w:val="-7"/>
                <w:sz w:val="17"/>
              </w:rPr>
              <w:t> </w:t>
            </w:r>
            <w:r>
              <w:rPr>
                <w:sz w:val="17"/>
              </w:rPr>
              <w:t>programmes,</w:t>
            </w:r>
            <w:r>
              <w:rPr>
                <w:spacing w:val="-8"/>
                <w:sz w:val="17"/>
              </w:rPr>
              <w:t> </w:t>
            </w:r>
            <w:r>
              <w:rPr>
                <w:sz w:val="17"/>
              </w:rPr>
              <w:t>with</w:t>
            </w:r>
            <w:r>
              <w:rPr>
                <w:spacing w:val="-7"/>
                <w:sz w:val="17"/>
              </w:rPr>
              <w:t> </w:t>
            </w:r>
            <w:r>
              <w:rPr>
                <w:sz w:val="17"/>
              </w:rPr>
              <w:t>separate</w:t>
            </w:r>
            <w:r>
              <w:rPr>
                <w:spacing w:val="-7"/>
                <w:sz w:val="17"/>
              </w:rPr>
              <w:t> </w:t>
            </w:r>
            <w:r>
              <w:rPr>
                <w:sz w:val="17"/>
              </w:rPr>
              <w:t>papers</w:t>
            </w:r>
            <w:r>
              <w:rPr>
                <w:spacing w:val="-8"/>
                <w:sz w:val="17"/>
              </w:rPr>
              <w:t> </w:t>
            </w:r>
            <w:r>
              <w:rPr>
                <w:sz w:val="17"/>
              </w:rPr>
              <w:t>being</w:t>
            </w:r>
            <w:r>
              <w:rPr>
                <w:spacing w:val="-7"/>
                <w:sz w:val="17"/>
              </w:rPr>
              <w:t> </w:t>
            </w:r>
            <w:r>
              <w:rPr>
                <w:sz w:val="17"/>
              </w:rPr>
              <w:t>presented</w:t>
            </w:r>
            <w:r>
              <w:rPr>
                <w:spacing w:val="-2"/>
                <w:sz w:val="17"/>
              </w:rPr>
              <w:t> </w:t>
            </w:r>
            <w:r>
              <w:rPr>
                <w:sz w:val="17"/>
              </w:rPr>
              <w:t>to</w:t>
            </w:r>
            <w:r>
              <w:rPr>
                <w:spacing w:val="-2"/>
                <w:sz w:val="17"/>
              </w:rPr>
              <w:t> </w:t>
            </w:r>
            <w:r>
              <w:rPr>
                <w:sz w:val="17"/>
              </w:rPr>
              <w:t>the October</w:t>
            </w:r>
            <w:r>
              <w:rPr>
                <w:spacing w:val="-1"/>
                <w:sz w:val="17"/>
              </w:rPr>
              <w:t> </w:t>
            </w:r>
            <w:r>
              <w:rPr>
                <w:sz w:val="17"/>
              </w:rPr>
              <w:t>RJC.</w:t>
            </w:r>
          </w:p>
        </w:tc>
        <w:tc>
          <w:tcPr>
            <w:tcW w:w="5178" w:type="dxa"/>
          </w:tcPr>
          <w:p>
            <w:pPr>
              <w:pStyle w:val="TableParagraph"/>
              <w:spacing w:line="252" w:lineRule="auto" w:before="90"/>
              <w:ind w:left="91"/>
              <w:rPr>
                <w:sz w:val="17"/>
              </w:rPr>
            </w:pPr>
            <w:r>
              <w:rPr>
                <w:sz w:val="17"/>
              </w:rPr>
              <w:t>Timely approval and delivery are required to support long-term service sustainability. Progress is being managed through programme</w:t>
            </w:r>
            <w:r>
              <w:rPr>
                <w:spacing w:val="-7"/>
                <w:sz w:val="17"/>
              </w:rPr>
              <w:t> </w:t>
            </w:r>
            <w:r>
              <w:rPr>
                <w:sz w:val="17"/>
              </w:rPr>
              <w:t>governance,</w:t>
            </w:r>
            <w:r>
              <w:rPr>
                <w:spacing w:val="-5"/>
                <w:sz w:val="17"/>
              </w:rPr>
              <w:t> </w:t>
            </w:r>
            <w:r>
              <w:rPr>
                <w:sz w:val="17"/>
              </w:rPr>
              <w:t>Health</w:t>
            </w:r>
            <w:r>
              <w:rPr>
                <w:spacing w:val="-7"/>
                <w:sz w:val="17"/>
              </w:rPr>
              <w:t> </w:t>
            </w:r>
            <w:r>
              <w:rPr>
                <w:sz w:val="17"/>
              </w:rPr>
              <w:t>Board</w:t>
            </w:r>
            <w:r>
              <w:rPr>
                <w:spacing w:val="-7"/>
                <w:sz w:val="17"/>
              </w:rPr>
              <w:t> </w:t>
            </w:r>
            <w:r>
              <w:rPr>
                <w:sz w:val="17"/>
              </w:rPr>
              <w:t>approval</w:t>
            </w:r>
            <w:r>
              <w:rPr>
                <w:spacing w:val="-6"/>
                <w:sz w:val="17"/>
              </w:rPr>
              <w:t> </w:t>
            </w:r>
            <w:r>
              <w:rPr>
                <w:sz w:val="17"/>
              </w:rPr>
              <w:t>routes</w:t>
            </w:r>
            <w:r>
              <w:rPr>
                <w:spacing w:val="-3"/>
                <w:sz w:val="17"/>
              </w:rPr>
              <w:t> </w:t>
            </w:r>
            <w:r>
              <w:rPr>
                <w:sz w:val="17"/>
              </w:rPr>
              <w:t>and</w:t>
            </w:r>
            <w:r>
              <w:rPr>
                <w:spacing w:val="-7"/>
                <w:sz w:val="17"/>
              </w:rPr>
              <w:t> </w:t>
            </w:r>
            <w:r>
              <w:rPr>
                <w:sz w:val="17"/>
              </w:rPr>
              <w:t>Welsh Government engagement.</w:t>
            </w:r>
          </w:p>
        </w:tc>
      </w:tr>
    </w:tbl>
    <w:p>
      <w:pPr>
        <w:pStyle w:val="Heading8"/>
        <w:numPr>
          <w:ilvl w:val="0"/>
          <w:numId w:val="15"/>
        </w:numPr>
        <w:tabs>
          <w:tab w:pos="367" w:val="left" w:leader="none"/>
        </w:tabs>
        <w:spacing w:line="240" w:lineRule="auto" w:before="183" w:after="0"/>
        <w:ind w:left="367" w:right="0" w:hanging="284"/>
        <w:jc w:val="left"/>
      </w:pPr>
      <w:r>
        <w:rPr>
          <w:color w:val="001F5F"/>
          <w:spacing w:val="-2"/>
        </w:rPr>
        <w:t>Risks</w:t>
      </w:r>
    </w:p>
    <w:p>
      <w:pPr>
        <w:pStyle w:val="BodyText"/>
        <w:spacing w:before="10"/>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736"/>
        <w:gridCol w:w="3432"/>
        <w:gridCol w:w="2766"/>
        <w:gridCol w:w="2927"/>
        <w:gridCol w:w="1416"/>
        <w:gridCol w:w="861"/>
        <w:gridCol w:w="1415"/>
        <w:gridCol w:w="1976"/>
      </w:tblGrid>
      <w:tr>
        <w:trPr>
          <w:trHeight w:val="350" w:hRule="atLeast"/>
        </w:trPr>
        <w:tc>
          <w:tcPr>
            <w:tcW w:w="736" w:type="dxa"/>
            <w:shd w:val="clear" w:color="auto" w:fill="1F4E79"/>
          </w:tcPr>
          <w:p>
            <w:pPr>
              <w:pStyle w:val="TableParagraph"/>
              <w:spacing w:before="88"/>
              <w:ind w:left="87"/>
              <w:rPr>
                <w:b/>
                <w:sz w:val="14"/>
              </w:rPr>
            </w:pPr>
            <w:r>
              <w:rPr>
                <w:b/>
                <w:color w:val="FFFFFF"/>
                <w:spacing w:val="-5"/>
                <w:sz w:val="14"/>
              </w:rPr>
              <w:t>Ref</w:t>
            </w:r>
          </w:p>
        </w:tc>
        <w:tc>
          <w:tcPr>
            <w:tcW w:w="3432" w:type="dxa"/>
            <w:shd w:val="clear" w:color="auto" w:fill="1F4E79"/>
          </w:tcPr>
          <w:p>
            <w:pPr>
              <w:pStyle w:val="TableParagraph"/>
              <w:spacing w:before="88"/>
              <w:ind w:left="87"/>
              <w:rPr>
                <w:b/>
                <w:sz w:val="14"/>
              </w:rPr>
            </w:pPr>
            <w:r>
              <w:rPr>
                <w:b/>
                <w:color w:val="FFFFFF"/>
                <w:sz w:val="14"/>
              </w:rPr>
              <w:t>Risk </w:t>
            </w:r>
            <w:r>
              <w:rPr>
                <w:b/>
                <w:color w:val="FFFFFF"/>
                <w:spacing w:val="-2"/>
                <w:sz w:val="14"/>
              </w:rPr>
              <w:t>Description</w:t>
            </w:r>
          </w:p>
        </w:tc>
        <w:tc>
          <w:tcPr>
            <w:tcW w:w="2766" w:type="dxa"/>
            <w:shd w:val="clear" w:color="auto" w:fill="1F4E79"/>
          </w:tcPr>
          <w:p>
            <w:pPr>
              <w:pStyle w:val="TableParagraph"/>
              <w:spacing w:before="88"/>
              <w:ind w:left="106"/>
              <w:rPr>
                <w:b/>
                <w:sz w:val="14"/>
              </w:rPr>
            </w:pPr>
            <w:r>
              <w:rPr>
                <w:b/>
                <w:color w:val="FFFFFF"/>
                <w:spacing w:val="-2"/>
                <w:sz w:val="14"/>
              </w:rPr>
              <w:t>Impact</w:t>
            </w:r>
          </w:p>
        </w:tc>
        <w:tc>
          <w:tcPr>
            <w:tcW w:w="2927" w:type="dxa"/>
            <w:shd w:val="clear" w:color="auto" w:fill="1F4E79"/>
          </w:tcPr>
          <w:p>
            <w:pPr>
              <w:pStyle w:val="TableParagraph"/>
              <w:spacing w:before="88"/>
              <w:ind w:left="86"/>
              <w:rPr>
                <w:b/>
                <w:sz w:val="14"/>
              </w:rPr>
            </w:pPr>
            <w:r>
              <w:rPr>
                <w:b/>
                <w:color w:val="FFFFFF"/>
                <w:spacing w:val="-2"/>
                <w:sz w:val="14"/>
              </w:rPr>
              <w:t>Mitigation</w:t>
            </w:r>
          </w:p>
        </w:tc>
        <w:tc>
          <w:tcPr>
            <w:tcW w:w="1416" w:type="dxa"/>
            <w:shd w:val="clear" w:color="auto" w:fill="1F4E79"/>
          </w:tcPr>
          <w:p>
            <w:pPr>
              <w:pStyle w:val="TableParagraph"/>
              <w:spacing w:before="88"/>
              <w:ind w:left="84"/>
              <w:rPr>
                <w:b/>
                <w:sz w:val="14"/>
              </w:rPr>
            </w:pPr>
            <w:r>
              <w:rPr>
                <w:b/>
                <w:color w:val="FFFFFF"/>
                <w:sz w:val="14"/>
              </w:rPr>
              <w:t>Action</w:t>
            </w:r>
            <w:r>
              <w:rPr>
                <w:b/>
                <w:color w:val="FFFFFF"/>
                <w:spacing w:val="-5"/>
                <w:sz w:val="14"/>
              </w:rPr>
              <w:t> </w:t>
            </w:r>
            <w:r>
              <w:rPr>
                <w:b/>
                <w:color w:val="FFFFFF"/>
                <w:spacing w:val="-2"/>
                <w:sz w:val="14"/>
              </w:rPr>
              <w:t>Owner</w:t>
            </w:r>
          </w:p>
        </w:tc>
        <w:tc>
          <w:tcPr>
            <w:tcW w:w="861" w:type="dxa"/>
            <w:shd w:val="clear" w:color="auto" w:fill="1F4E79"/>
          </w:tcPr>
          <w:p>
            <w:pPr>
              <w:pStyle w:val="TableParagraph"/>
              <w:spacing w:before="88"/>
              <w:ind w:left="84"/>
              <w:rPr>
                <w:b/>
                <w:sz w:val="14"/>
              </w:rPr>
            </w:pPr>
            <w:r>
              <w:rPr>
                <w:b/>
                <w:color w:val="FFFFFF"/>
                <w:spacing w:val="-5"/>
                <w:sz w:val="14"/>
              </w:rPr>
              <w:t>RAG</w:t>
            </w:r>
          </w:p>
        </w:tc>
        <w:tc>
          <w:tcPr>
            <w:tcW w:w="1415" w:type="dxa"/>
            <w:shd w:val="clear" w:color="auto" w:fill="1F4E79"/>
          </w:tcPr>
          <w:p>
            <w:pPr>
              <w:pStyle w:val="TableParagraph"/>
              <w:spacing w:before="88"/>
              <w:ind w:left="88"/>
              <w:rPr>
                <w:b/>
                <w:sz w:val="14"/>
              </w:rPr>
            </w:pPr>
            <w:r>
              <w:rPr>
                <w:b/>
                <w:color w:val="FFFFFF"/>
                <w:sz w:val="14"/>
              </w:rPr>
              <w:t>Risk </w:t>
            </w:r>
            <w:r>
              <w:rPr>
                <w:b/>
                <w:color w:val="FFFFFF"/>
                <w:spacing w:val="-2"/>
                <w:sz w:val="14"/>
              </w:rPr>
              <w:t>Owner</w:t>
            </w:r>
          </w:p>
        </w:tc>
        <w:tc>
          <w:tcPr>
            <w:tcW w:w="1976" w:type="dxa"/>
            <w:shd w:val="clear" w:color="auto" w:fill="1F4E79"/>
          </w:tcPr>
          <w:p>
            <w:pPr>
              <w:pStyle w:val="TableParagraph"/>
              <w:spacing w:before="88"/>
              <w:ind w:left="88"/>
              <w:rPr>
                <w:b/>
                <w:sz w:val="14"/>
              </w:rPr>
            </w:pPr>
            <w:r>
              <w:rPr>
                <w:b/>
                <w:color w:val="FFFFFF"/>
                <w:sz w:val="14"/>
              </w:rPr>
              <w:t>Residual</w:t>
            </w:r>
            <w:r>
              <w:rPr>
                <w:b/>
                <w:color w:val="FFFFFF"/>
                <w:spacing w:val="-3"/>
                <w:sz w:val="14"/>
              </w:rPr>
              <w:t> </w:t>
            </w:r>
            <w:r>
              <w:rPr>
                <w:b/>
                <w:color w:val="FFFFFF"/>
                <w:spacing w:val="-4"/>
                <w:sz w:val="14"/>
              </w:rPr>
              <w:t>Risk</w:t>
            </w:r>
          </w:p>
        </w:tc>
      </w:tr>
      <w:tr>
        <w:trPr>
          <w:trHeight w:val="905" w:hRule="atLeast"/>
        </w:trPr>
        <w:tc>
          <w:tcPr>
            <w:tcW w:w="736" w:type="dxa"/>
          </w:tcPr>
          <w:p>
            <w:pPr>
              <w:pStyle w:val="TableParagraph"/>
              <w:rPr>
                <w:rFonts w:ascii="Times New Roman"/>
                <w:sz w:val="14"/>
              </w:rPr>
            </w:pPr>
          </w:p>
        </w:tc>
        <w:tc>
          <w:tcPr>
            <w:tcW w:w="3432" w:type="dxa"/>
          </w:tcPr>
          <w:p>
            <w:pPr>
              <w:pStyle w:val="TableParagraph"/>
              <w:spacing w:before="97"/>
              <w:rPr>
                <w:b/>
                <w:sz w:val="15"/>
              </w:rPr>
            </w:pPr>
          </w:p>
          <w:p>
            <w:pPr>
              <w:pStyle w:val="TableParagraph"/>
              <w:spacing w:line="249" w:lineRule="auto"/>
              <w:ind w:left="87"/>
              <w:rPr>
                <w:sz w:val="15"/>
              </w:rPr>
            </w:pPr>
            <w:r>
              <w:rPr>
                <w:sz w:val="15"/>
              </w:rPr>
              <w:t>Programme</w:t>
            </w:r>
            <w:r>
              <w:rPr>
                <w:spacing w:val="-9"/>
                <w:sz w:val="15"/>
              </w:rPr>
              <w:t> </w:t>
            </w:r>
            <w:r>
              <w:rPr>
                <w:sz w:val="15"/>
              </w:rPr>
              <w:t>delivery</w:t>
            </w:r>
            <w:r>
              <w:rPr>
                <w:spacing w:val="-10"/>
                <w:sz w:val="15"/>
              </w:rPr>
              <w:t> </w:t>
            </w:r>
            <w:r>
              <w:rPr>
                <w:sz w:val="15"/>
              </w:rPr>
              <w:t>capacity</w:t>
            </w:r>
            <w:r>
              <w:rPr>
                <w:spacing w:val="-10"/>
                <w:sz w:val="15"/>
              </w:rPr>
              <w:t> </w:t>
            </w:r>
            <w:r>
              <w:rPr>
                <w:sz w:val="15"/>
              </w:rPr>
              <w:t>and</w:t>
            </w:r>
            <w:r>
              <w:rPr>
                <w:spacing w:val="-9"/>
                <w:sz w:val="15"/>
              </w:rPr>
              <w:t> </w:t>
            </w:r>
            <w:r>
              <w:rPr>
                <w:sz w:val="15"/>
              </w:rPr>
              <w:t>competing operational</w:t>
            </w:r>
            <w:r>
              <w:rPr>
                <w:spacing w:val="-1"/>
                <w:sz w:val="15"/>
              </w:rPr>
              <w:t> </w:t>
            </w:r>
            <w:r>
              <w:rPr>
                <w:sz w:val="15"/>
              </w:rPr>
              <w:t>priorities</w:t>
            </w:r>
          </w:p>
        </w:tc>
        <w:tc>
          <w:tcPr>
            <w:tcW w:w="2766" w:type="dxa"/>
          </w:tcPr>
          <w:p>
            <w:pPr>
              <w:pStyle w:val="TableParagraph"/>
              <w:spacing w:before="7"/>
              <w:rPr>
                <w:b/>
                <w:sz w:val="15"/>
              </w:rPr>
            </w:pPr>
          </w:p>
          <w:p>
            <w:pPr>
              <w:pStyle w:val="TableParagraph"/>
              <w:spacing w:line="254" w:lineRule="auto"/>
              <w:ind w:left="106" w:right="246"/>
              <w:jc w:val="both"/>
              <w:rPr>
                <w:sz w:val="15"/>
              </w:rPr>
            </w:pPr>
            <w:r>
              <w:rPr>
                <w:sz w:val="15"/>
              </w:rPr>
              <w:t>Reduced</w:t>
            </w:r>
            <w:r>
              <w:rPr>
                <w:spacing w:val="-11"/>
                <w:sz w:val="15"/>
              </w:rPr>
              <w:t> </w:t>
            </w:r>
            <w:r>
              <w:rPr>
                <w:sz w:val="15"/>
              </w:rPr>
              <w:t>pace,</w:t>
            </w:r>
            <w:r>
              <w:rPr>
                <w:spacing w:val="-10"/>
                <w:sz w:val="15"/>
              </w:rPr>
              <w:t> </w:t>
            </w:r>
            <w:r>
              <w:rPr>
                <w:sz w:val="15"/>
              </w:rPr>
              <w:t>weaker</w:t>
            </w:r>
            <w:r>
              <w:rPr>
                <w:spacing w:val="-11"/>
                <w:sz w:val="15"/>
              </w:rPr>
              <w:t> </w:t>
            </w:r>
            <w:r>
              <w:rPr>
                <w:sz w:val="15"/>
              </w:rPr>
              <w:t>coordination and</w:t>
            </w:r>
            <w:r>
              <w:rPr>
                <w:spacing w:val="-1"/>
                <w:sz w:val="15"/>
              </w:rPr>
              <w:t> </w:t>
            </w:r>
            <w:r>
              <w:rPr>
                <w:sz w:val="15"/>
              </w:rPr>
              <w:t>delayed</w:t>
            </w:r>
            <w:r>
              <w:rPr>
                <w:spacing w:val="-1"/>
                <w:sz w:val="15"/>
              </w:rPr>
              <w:t> </w:t>
            </w:r>
            <w:r>
              <w:rPr>
                <w:sz w:val="15"/>
              </w:rPr>
              <w:t>implementation</w:t>
            </w:r>
            <w:r>
              <w:rPr>
                <w:spacing w:val="-1"/>
                <w:sz w:val="15"/>
              </w:rPr>
              <w:t> </w:t>
            </w:r>
            <w:r>
              <w:rPr>
                <w:sz w:val="15"/>
              </w:rPr>
              <w:t>across multiple</w:t>
            </w:r>
            <w:r>
              <w:rPr>
                <w:spacing w:val="-1"/>
                <w:sz w:val="15"/>
              </w:rPr>
              <w:t> </w:t>
            </w:r>
            <w:r>
              <w:rPr>
                <w:sz w:val="15"/>
              </w:rPr>
              <w:t>programmes.</w:t>
            </w:r>
          </w:p>
        </w:tc>
        <w:tc>
          <w:tcPr>
            <w:tcW w:w="2927" w:type="dxa"/>
          </w:tcPr>
          <w:p>
            <w:pPr>
              <w:pStyle w:val="TableParagraph"/>
              <w:spacing w:line="252" w:lineRule="auto" w:before="89"/>
              <w:ind w:left="86"/>
              <w:rPr>
                <w:sz w:val="15"/>
              </w:rPr>
            </w:pPr>
            <w:r>
              <w:rPr>
                <w:sz w:val="15"/>
              </w:rPr>
              <w:t>Maintain portfolio prioritisation; confirm programme</w:t>
            </w:r>
            <w:r>
              <w:rPr>
                <w:spacing w:val="-11"/>
                <w:sz w:val="15"/>
              </w:rPr>
              <w:t> </w:t>
            </w:r>
            <w:r>
              <w:rPr>
                <w:sz w:val="15"/>
              </w:rPr>
              <w:t>management</w:t>
            </w:r>
            <w:r>
              <w:rPr>
                <w:spacing w:val="-10"/>
                <w:sz w:val="15"/>
              </w:rPr>
              <w:t> </w:t>
            </w:r>
            <w:r>
              <w:rPr>
                <w:sz w:val="15"/>
              </w:rPr>
              <w:t>arrangements; use exception reporting for unresolved capacity</w:t>
            </w:r>
            <w:r>
              <w:rPr>
                <w:spacing w:val="-3"/>
                <w:sz w:val="15"/>
              </w:rPr>
              <w:t> </w:t>
            </w:r>
            <w:r>
              <w:rPr>
                <w:sz w:val="15"/>
              </w:rPr>
              <w:t>issues.</w:t>
            </w:r>
          </w:p>
        </w:tc>
        <w:tc>
          <w:tcPr>
            <w:tcW w:w="1416" w:type="dxa"/>
          </w:tcPr>
          <w:p>
            <w:pPr>
              <w:pStyle w:val="TableParagraph"/>
              <w:spacing w:line="252" w:lineRule="auto" w:before="146"/>
              <w:ind w:left="84" w:right="205"/>
              <w:rPr>
                <w:sz w:val="17"/>
              </w:rPr>
            </w:pPr>
            <w:r>
              <w:rPr>
                <w:spacing w:val="-2"/>
                <w:sz w:val="17"/>
              </w:rPr>
              <w:t>Marie Davies/Lee Davies</w:t>
            </w:r>
          </w:p>
        </w:tc>
        <w:tc>
          <w:tcPr>
            <w:tcW w:w="861" w:type="dxa"/>
            <w:shd w:val="clear" w:color="auto" w:fill="FF0000"/>
          </w:tcPr>
          <w:p>
            <w:pPr>
              <w:pStyle w:val="TableParagraph"/>
              <w:rPr>
                <w:rFonts w:ascii="Times New Roman"/>
                <w:sz w:val="14"/>
              </w:rPr>
            </w:pPr>
          </w:p>
        </w:tc>
        <w:tc>
          <w:tcPr>
            <w:tcW w:w="1415" w:type="dxa"/>
          </w:tcPr>
          <w:p>
            <w:pPr>
              <w:pStyle w:val="TableParagraph"/>
              <w:spacing w:line="252" w:lineRule="auto" w:before="90"/>
              <w:ind w:left="88" w:right="200"/>
              <w:rPr>
                <w:sz w:val="17"/>
              </w:rPr>
            </w:pPr>
            <w:r>
              <w:rPr>
                <w:spacing w:val="-2"/>
                <w:sz w:val="17"/>
              </w:rPr>
              <w:t>Marie Davies/Lee Davies</w:t>
            </w:r>
          </w:p>
        </w:tc>
        <w:tc>
          <w:tcPr>
            <w:tcW w:w="1976" w:type="dxa"/>
            <w:shd w:val="clear" w:color="auto" w:fill="FFC000"/>
          </w:tcPr>
          <w:p>
            <w:pPr>
              <w:pStyle w:val="TableParagraph"/>
              <w:rPr>
                <w:rFonts w:ascii="Times New Roman"/>
                <w:sz w:val="14"/>
              </w:rPr>
            </w:pPr>
          </w:p>
        </w:tc>
      </w:tr>
      <w:tr>
        <w:trPr>
          <w:trHeight w:val="1810" w:hRule="atLeast"/>
        </w:trPr>
        <w:tc>
          <w:tcPr>
            <w:tcW w:w="736" w:type="dxa"/>
          </w:tcPr>
          <w:p>
            <w:pPr>
              <w:pStyle w:val="TableParagraph"/>
              <w:rPr>
                <w:rFonts w:ascii="Times New Roman"/>
                <w:sz w:val="14"/>
              </w:rPr>
            </w:pPr>
          </w:p>
        </w:tc>
        <w:tc>
          <w:tcPr>
            <w:tcW w:w="3432" w:type="dxa"/>
          </w:tcPr>
          <w:p>
            <w:pPr>
              <w:pStyle w:val="TableParagraph"/>
              <w:rPr>
                <w:b/>
                <w:sz w:val="15"/>
              </w:rPr>
            </w:pPr>
          </w:p>
          <w:p>
            <w:pPr>
              <w:pStyle w:val="TableParagraph"/>
              <w:rPr>
                <w:b/>
                <w:sz w:val="15"/>
              </w:rPr>
            </w:pPr>
          </w:p>
          <w:p>
            <w:pPr>
              <w:pStyle w:val="TableParagraph"/>
              <w:spacing w:before="117"/>
              <w:rPr>
                <w:b/>
                <w:sz w:val="15"/>
              </w:rPr>
            </w:pPr>
          </w:p>
          <w:p>
            <w:pPr>
              <w:pStyle w:val="TableParagraph"/>
              <w:spacing w:line="249" w:lineRule="auto"/>
              <w:ind w:left="87" w:right="103"/>
              <w:rPr>
                <w:sz w:val="15"/>
              </w:rPr>
            </w:pPr>
            <w:r>
              <w:rPr>
                <w:sz w:val="15"/>
              </w:rPr>
              <w:t>Regional</w:t>
            </w:r>
            <w:r>
              <w:rPr>
                <w:spacing w:val="-11"/>
                <w:sz w:val="15"/>
              </w:rPr>
              <w:t> </w:t>
            </w:r>
            <w:r>
              <w:rPr>
                <w:sz w:val="15"/>
              </w:rPr>
              <w:t>Orthopaedics</w:t>
            </w:r>
            <w:r>
              <w:rPr>
                <w:spacing w:val="-10"/>
                <w:sz w:val="15"/>
              </w:rPr>
              <w:t> </w:t>
            </w:r>
            <w:r>
              <w:rPr>
                <w:sz w:val="15"/>
              </w:rPr>
              <w:t>finance,</w:t>
            </w:r>
            <w:r>
              <w:rPr>
                <w:spacing w:val="-11"/>
                <w:sz w:val="15"/>
              </w:rPr>
              <w:t> </w:t>
            </w:r>
            <w:r>
              <w:rPr>
                <w:sz w:val="15"/>
              </w:rPr>
              <w:t>commissioning and contracting arrangements remain </w:t>
            </w:r>
            <w:r>
              <w:rPr>
                <w:spacing w:val="-2"/>
                <w:sz w:val="15"/>
              </w:rPr>
              <w:t>unresolved.</w:t>
            </w:r>
          </w:p>
        </w:tc>
        <w:tc>
          <w:tcPr>
            <w:tcW w:w="2766" w:type="dxa"/>
          </w:tcPr>
          <w:p>
            <w:pPr>
              <w:pStyle w:val="TableParagraph"/>
              <w:rPr>
                <w:b/>
                <w:sz w:val="15"/>
              </w:rPr>
            </w:pPr>
          </w:p>
          <w:p>
            <w:pPr>
              <w:pStyle w:val="TableParagraph"/>
              <w:spacing w:before="14"/>
              <w:rPr>
                <w:b/>
                <w:sz w:val="15"/>
              </w:rPr>
            </w:pPr>
          </w:p>
          <w:p>
            <w:pPr>
              <w:pStyle w:val="TableParagraph"/>
              <w:spacing w:line="252" w:lineRule="auto"/>
              <w:ind w:left="106" w:right="198"/>
              <w:rPr>
                <w:sz w:val="15"/>
              </w:rPr>
            </w:pPr>
            <w:r>
              <w:rPr>
                <w:sz w:val="15"/>
              </w:rPr>
              <w:t>Prevents or delays agreement of cross-boundary activity, shared capacity, pooled waiting-list arrangements</w:t>
            </w:r>
            <w:r>
              <w:rPr>
                <w:spacing w:val="-11"/>
                <w:sz w:val="15"/>
              </w:rPr>
              <w:t> </w:t>
            </w:r>
            <w:r>
              <w:rPr>
                <w:sz w:val="15"/>
              </w:rPr>
              <w:t>and</w:t>
            </w:r>
            <w:r>
              <w:rPr>
                <w:spacing w:val="-10"/>
                <w:sz w:val="15"/>
              </w:rPr>
              <w:t> </w:t>
            </w:r>
            <w:r>
              <w:rPr>
                <w:sz w:val="15"/>
              </w:rPr>
              <w:t>implementation</w:t>
            </w:r>
            <w:r>
              <w:rPr>
                <w:spacing w:val="-11"/>
                <w:sz w:val="15"/>
              </w:rPr>
              <w:t> </w:t>
            </w:r>
            <w:r>
              <w:rPr>
                <w:sz w:val="15"/>
              </w:rPr>
              <w:t>of a sustainable regional orthopaedic </w:t>
            </w:r>
            <w:r>
              <w:rPr>
                <w:spacing w:val="-2"/>
                <w:sz w:val="15"/>
              </w:rPr>
              <w:t>model.</w:t>
            </w:r>
          </w:p>
        </w:tc>
        <w:tc>
          <w:tcPr>
            <w:tcW w:w="2927" w:type="dxa"/>
          </w:tcPr>
          <w:p>
            <w:pPr>
              <w:pStyle w:val="TableParagraph"/>
              <w:spacing w:line="252" w:lineRule="auto" w:before="89"/>
              <w:ind w:left="86" w:right="78"/>
              <w:rPr>
                <w:sz w:val="15"/>
              </w:rPr>
            </w:pPr>
            <w:r>
              <w:rPr>
                <w:sz w:val="15"/>
              </w:rPr>
              <w:t>Directors</w:t>
            </w:r>
            <w:r>
              <w:rPr>
                <w:spacing w:val="-7"/>
                <w:sz w:val="15"/>
              </w:rPr>
              <w:t> </w:t>
            </w:r>
            <w:r>
              <w:rPr>
                <w:sz w:val="15"/>
              </w:rPr>
              <w:t>of</w:t>
            </w:r>
            <w:r>
              <w:rPr>
                <w:spacing w:val="-9"/>
                <w:sz w:val="15"/>
              </w:rPr>
              <w:t> </w:t>
            </w:r>
            <w:r>
              <w:rPr>
                <w:sz w:val="15"/>
              </w:rPr>
              <w:t>Finance</w:t>
            </w:r>
            <w:r>
              <w:rPr>
                <w:spacing w:val="-6"/>
                <w:sz w:val="15"/>
              </w:rPr>
              <w:t> </w:t>
            </w:r>
            <w:r>
              <w:rPr>
                <w:sz w:val="15"/>
              </w:rPr>
              <w:t>to</w:t>
            </w:r>
            <w:r>
              <w:rPr>
                <w:spacing w:val="-6"/>
                <w:sz w:val="15"/>
              </w:rPr>
              <w:t> </w:t>
            </w:r>
            <w:r>
              <w:rPr>
                <w:sz w:val="15"/>
              </w:rPr>
              <w:t>lead</w:t>
            </w:r>
            <w:r>
              <w:rPr>
                <w:spacing w:val="-6"/>
                <w:sz w:val="15"/>
              </w:rPr>
              <w:t> </w:t>
            </w:r>
            <w:r>
              <w:rPr>
                <w:sz w:val="15"/>
              </w:rPr>
              <w:t>development of the required regional finance, commissioning and contracting framework, supported by finance, contracting and programme leads.</w:t>
            </w:r>
          </w:p>
          <w:p>
            <w:pPr>
              <w:pStyle w:val="TableParagraph"/>
              <w:spacing w:line="252" w:lineRule="auto"/>
              <w:ind w:left="86" w:right="94"/>
              <w:rPr>
                <w:sz w:val="15"/>
              </w:rPr>
            </w:pPr>
            <w:r>
              <w:rPr>
                <w:sz w:val="15"/>
              </w:rPr>
              <w:t>Progress and unresolved decisions will be escalated through the Clinical Services</w:t>
            </w:r>
            <w:r>
              <w:rPr>
                <w:spacing w:val="-8"/>
                <w:sz w:val="15"/>
              </w:rPr>
              <w:t> </w:t>
            </w:r>
            <w:r>
              <w:rPr>
                <w:sz w:val="15"/>
              </w:rPr>
              <w:t>Planning</w:t>
            </w:r>
            <w:r>
              <w:rPr>
                <w:spacing w:val="-7"/>
                <w:sz w:val="15"/>
              </w:rPr>
              <w:t> </w:t>
            </w:r>
            <w:r>
              <w:rPr>
                <w:sz w:val="15"/>
              </w:rPr>
              <w:t>Subgroup</w:t>
            </w:r>
            <w:r>
              <w:rPr>
                <w:spacing w:val="-7"/>
                <w:sz w:val="15"/>
              </w:rPr>
              <w:t> </w:t>
            </w:r>
            <w:r>
              <w:rPr>
                <w:sz w:val="15"/>
              </w:rPr>
              <w:t>and</w:t>
            </w:r>
            <w:r>
              <w:rPr>
                <w:spacing w:val="-7"/>
                <w:sz w:val="15"/>
              </w:rPr>
              <w:t> </w:t>
            </w:r>
            <w:r>
              <w:rPr>
                <w:sz w:val="15"/>
              </w:rPr>
              <w:t>RJC</w:t>
            </w:r>
            <w:r>
              <w:rPr>
                <w:spacing w:val="-7"/>
                <w:sz w:val="15"/>
              </w:rPr>
              <w:t> </w:t>
            </w:r>
            <w:r>
              <w:rPr>
                <w:sz w:val="15"/>
              </w:rPr>
              <w:t>as </w:t>
            </w:r>
            <w:r>
              <w:rPr>
                <w:spacing w:val="-2"/>
                <w:sz w:val="15"/>
              </w:rPr>
              <w:t>appropriate.</w:t>
            </w:r>
          </w:p>
        </w:tc>
        <w:tc>
          <w:tcPr>
            <w:tcW w:w="1416" w:type="dxa"/>
          </w:tcPr>
          <w:p>
            <w:pPr>
              <w:pStyle w:val="TableParagraph"/>
              <w:spacing w:line="252" w:lineRule="auto" w:before="90"/>
              <w:ind w:left="84" w:right="205"/>
              <w:rPr>
                <w:sz w:val="17"/>
              </w:rPr>
            </w:pPr>
            <w:r>
              <w:rPr>
                <w:spacing w:val="-4"/>
                <w:sz w:val="17"/>
              </w:rPr>
              <w:t>Huw </w:t>
            </w:r>
            <w:r>
              <w:rPr>
                <w:spacing w:val="-2"/>
                <w:sz w:val="17"/>
              </w:rPr>
              <w:t>Thomas/Claire Osmundsen-Little</w:t>
            </w:r>
          </w:p>
        </w:tc>
        <w:tc>
          <w:tcPr>
            <w:tcW w:w="861" w:type="dxa"/>
            <w:shd w:val="clear" w:color="auto" w:fill="FFC000"/>
          </w:tcPr>
          <w:p>
            <w:pPr>
              <w:pStyle w:val="TableParagraph"/>
              <w:rPr>
                <w:rFonts w:ascii="Times New Roman"/>
                <w:sz w:val="14"/>
              </w:rPr>
            </w:pPr>
          </w:p>
        </w:tc>
        <w:tc>
          <w:tcPr>
            <w:tcW w:w="1415" w:type="dxa"/>
          </w:tcPr>
          <w:p>
            <w:pPr>
              <w:pStyle w:val="TableParagraph"/>
              <w:spacing w:line="252" w:lineRule="auto" w:before="90"/>
              <w:ind w:left="88" w:right="200"/>
              <w:rPr>
                <w:sz w:val="17"/>
              </w:rPr>
            </w:pPr>
            <w:r>
              <w:rPr>
                <w:spacing w:val="-4"/>
                <w:sz w:val="17"/>
              </w:rPr>
              <w:t>Huw </w:t>
            </w:r>
            <w:r>
              <w:rPr>
                <w:spacing w:val="-2"/>
                <w:sz w:val="17"/>
              </w:rPr>
              <w:t>Thomas/Claire Osmundsen-Little</w:t>
            </w:r>
          </w:p>
        </w:tc>
        <w:tc>
          <w:tcPr>
            <w:tcW w:w="1976" w:type="dxa"/>
            <w:shd w:val="clear" w:color="auto" w:fill="FFC000"/>
          </w:tcPr>
          <w:p>
            <w:pPr>
              <w:pStyle w:val="TableParagraph"/>
              <w:rPr>
                <w:rFonts w:ascii="Times New Roman"/>
                <w:sz w:val="14"/>
              </w:rPr>
            </w:pPr>
          </w:p>
        </w:tc>
      </w:tr>
      <w:tr>
        <w:trPr>
          <w:trHeight w:val="1265" w:hRule="atLeast"/>
        </w:trPr>
        <w:tc>
          <w:tcPr>
            <w:tcW w:w="736" w:type="dxa"/>
          </w:tcPr>
          <w:p>
            <w:pPr>
              <w:pStyle w:val="TableParagraph"/>
              <w:rPr>
                <w:rFonts w:ascii="Times New Roman"/>
                <w:sz w:val="14"/>
              </w:rPr>
            </w:pPr>
          </w:p>
        </w:tc>
        <w:tc>
          <w:tcPr>
            <w:tcW w:w="3432" w:type="dxa"/>
          </w:tcPr>
          <w:p>
            <w:pPr>
              <w:pStyle w:val="TableParagraph"/>
              <w:spacing w:before="96"/>
              <w:rPr>
                <w:b/>
                <w:sz w:val="15"/>
              </w:rPr>
            </w:pPr>
          </w:p>
          <w:p>
            <w:pPr>
              <w:pStyle w:val="TableParagraph"/>
              <w:spacing w:line="252" w:lineRule="auto" w:before="1"/>
              <w:ind w:left="87" w:right="103"/>
              <w:rPr>
                <w:sz w:val="15"/>
              </w:rPr>
            </w:pPr>
            <w:r>
              <w:rPr>
                <w:sz w:val="15"/>
              </w:rPr>
              <w:t>Regional Eye Care delivery plan and available funding</w:t>
            </w:r>
            <w:r>
              <w:rPr>
                <w:spacing w:val="-5"/>
                <w:sz w:val="15"/>
              </w:rPr>
              <w:t> </w:t>
            </w:r>
            <w:r>
              <w:rPr>
                <w:sz w:val="15"/>
              </w:rPr>
              <w:t>are</w:t>
            </w:r>
            <w:r>
              <w:rPr>
                <w:spacing w:val="-5"/>
                <w:sz w:val="15"/>
              </w:rPr>
              <w:t> </w:t>
            </w:r>
            <w:r>
              <w:rPr>
                <w:sz w:val="15"/>
              </w:rPr>
              <w:t>not</w:t>
            </w:r>
            <w:r>
              <w:rPr>
                <w:spacing w:val="-8"/>
                <w:sz w:val="15"/>
              </w:rPr>
              <w:t> </w:t>
            </w:r>
            <w:r>
              <w:rPr>
                <w:sz w:val="15"/>
              </w:rPr>
              <w:t>yet</w:t>
            </w:r>
            <w:r>
              <w:rPr>
                <w:spacing w:val="-8"/>
                <w:sz w:val="15"/>
              </w:rPr>
              <w:t> </w:t>
            </w:r>
            <w:r>
              <w:rPr>
                <w:sz w:val="15"/>
              </w:rPr>
              <w:t>sufficiently</w:t>
            </w:r>
            <w:r>
              <w:rPr>
                <w:spacing w:val="-6"/>
                <w:sz w:val="15"/>
              </w:rPr>
              <w:t> </w:t>
            </w:r>
            <w:r>
              <w:rPr>
                <w:sz w:val="15"/>
              </w:rPr>
              <w:t>aligned</w:t>
            </w:r>
            <w:r>
              <w:rPr>
                <w:spacing w:val="-5"/>
                <w:sz w:val="15"/>
              </w:rPr>
              <w:t> </w:t>
            </w:r>
            <w:r>
              <w:rPr>
                <w:sz w:val="15"/>
              </w:rPr>
              <w:t>to</w:t>
            </w:r>
            <w:r>
              <w:rPr>
                <w:spacing w:val="-5"/>
                <w:sz w:val="15"/>
              </w:rPr>
              <w:t> </w:t>
            </w:r>
            <w:r>
              <w:rPr>
                <w:sz w:val="15"/>
              </w:rPr>
              <w:t>provide assurance on the intended regional approach and delivery trajectory.</w:t>
            </w:r>
          </w:p>
        </w:tc>
        <w:tc>
          <w:tcPr>
            <w:tcW w:w="2766" w:type="dxa"/>
          </w:tcPr>
          <w:p>
            <w:pPr>
              <w:pStyle w:val="TableParagraph"/>
              <w:spacing w:before="6"/>
              <w:rPr>
                <w:b/>
                <w:sz w:val="15"/>
              </w:rPr>
            </w:pPr>
          </w:p>
          <w:p>
            <w:pPr>
              <w:pStyle w:val="TableParagraph"/>
              <w:spacing w:line="252" w:lineRule="auto" w:before="1"/>
              <w:ind w:left="106" w:right="165"/>
              <w:rPr>
                <w:sz w:val="15"/>
              </w:rPr>
            </w:pPr>
            <w:r>
              <w:rPr>
                <w:sz w:val="15"/>
              </w:rPr>
              <w:t>The scope or pace of planned improvements, including progress towards a more equitable cataract waiting-time</w:t>
            </w:r>
            <w:r>
              <w:rPr>
                <w:spacing w:val="-7"/>
                <w:sz w:val="15"/>
              </w:rPr>
              <w:t> </w:t>
            </w:r>
            <w:r>
              <w:rPr>
                <w:sz w:val="15"/>
              </w:rPr>
              <w:t>position,</w:t>
            </w:r>
            <w:r>
              <w:rPr>
                <w:spacing w:val="-10"/>
                <w:sz w:val="15"/>
              </w:rPr>
              <w:t> </w:t>
            </w:r>
            <w:r>
              <w:rPr>
                <w:sz w:val="15"/>
              </w:rPr>
              <w:t>may</w:t>
            </w:r>
            <w:r>
              <w:rPr>
                <w:spacing w:val="-8"/>
                <w:sz w:val="15"/>
              </w:rPr>
              <w:t> </w:t>
            </w:r>
            <w:r>
              <w:rPr>
                <w:sz w:val="15"/>
              </w:rPr>
              <w:t>need</w:t>
            </w:r>
            <w:r>
              <w:rPr>
                <w:spacing w:val="-7"/>
                <w:sz w:val="15"/>
              </w:rPr>
              <w:t> </w:t>
            </w:r>
            <w:r>
              <w:rPr>
                <w:sz w:val="15"/>
              </w:rPr>
              <w:t>to</w:t>
            </w:r>
            <w:r>
              <w:rPr>
                <w:spacing w:val="-7"/>
                <w:sz w:val="15"/>
              </w:rPr>
              <w:t> </w:t>
            </w:r>
            <w:r>
              <w:rPr>
                <w:sz w:val="15"/>
              </w:rPr>
              <w:t>be </w:t>
            </w:r>
            <w:r>
              <w:rPr>
                <w:spacing w:val="-2"/>
                <w:sz w:val="15"/>
              </w:rPr>
              <w:t>revised.</w:t>
            </w:r>
          </w:p>
        </w:tc>
        <w:tc>
          <w:tcPr>
            <w:tcW w:w="2927" w:type="dxa"/>
          </w:tcPr>
          <w:p>
            <w:pPr>
              <w:pStyle w:val="TableParagraph"/>
              <w:spacing w:line="252" w:lineRule="auto" w:before="89"/>
              <w:ind w:left="86"/>
              <w:rPr>
                <w:sz w:val="15"/>
              </w:rPr>
            </w:pPr>
            <w:r>
              <w:rPr>
                <w:sz w:val="15"/>
              </w:rPr>
              <w:t>The Programme Board will clarify the preferred</w:t>
            </w:r>
            <w:r>
              <w:rPr>
                <w:spacing w:val="-11"/>
                <w:sz w:val="15"/>
              </w:rPr>
              <w:t> </w:t>
            </w:r>
            <w:r>
              <w:rPr>
                <w:sz w:val="15"/>
              </w:rPr>
              <w:t>approach,</w:t>
            </w:r>
            <w:r>
              <w:rPr>
                <w:spacing w:val="-10"/>
                <w:sz w:val="15"/>
              </w:rPr>
              <w:t> </w:t>
            </w:r>
            <w:r>
              <w:rPr>
                <w:sz w:val="15"/>
              </w:rPr>
              <w:t>implementation</w:t>
            </w:r>
            <w:r>
              <w:rPr>
                <w:spacing w:val="-11"/>
                <w:sz w:val="15"/>
              </w:rPr>
              <w:t> </w:t>
            </w:r>
            <w:r>
              <w:rPr>
                <w:sz w:val="15"/>
              </w:rPr>
              <w:t>plan, achievable trajectory and implications of the confirmed funding position, with exception reporting through regional </w:t>
            </w:r>
            <w:r>
              <w:rPr>
                <w:spacing w:val="-2"/>
                <w:sz w:val="15"/>
              </w:rPr>
              <w:t>governance.</w:t>
            </w:r>
          </w:p>
        </w:tc>
        <w:tc>
          <w:tcPr>
            <w:tcW w:w="1416" w:type="dxa"/>
          </w:tcPr>
          <w:p>
            <w:pPr>
              <w:pStyle w:val="TableParagraph"/>
              <w:spacing w:before="90"/>
              <w:ind w:left="84"/>
              <w:rPr>
                <w:sz w:val="17"/>
              </w:rPr>
            </w:pPr>
            <w:r>
              <w:rPr>
                <w:sz w:val="17"/>
              </w:rPr>
              <w:t>Craige</w:t>
            </w:r>
            <w:r>
              <w:rPr>
                <w:spacing w:val="-2"/>
                <w:sz w:val="17"/>
              </w:rPr>
              <w:t> Wilson</w:t>
            </w:r>
          </w:p>
        </w:tc>
        <w:tc>
          <w:tcPr>
            <w:tcW w:w="861" w:type="dxa"/>
            <w:shd w:val="clear" w:color="auto" w:fill="FF0000"/>
          </w:tcPr>
          <w:p>
            <w:pPr>
              <w:pStyle w:val="TableParagraph"/>
              <w:rPr>
                <w:rFonts w:ascii="Times New Roman"/>
                <w:sz w:val="14"/>
              </w:rPr>
            </w:pPr>
          </w:p>
        </w:tc>
        <w:tc>
          <w:tcPr>
            <w:tcW w:w="1415" w:type="dxa"/>
          </w:tcPr>
          <w:p>
            <w:pPr>
              <w:pStyle w:val="TableParagraph"/>
              <w:spacing w:before="90"/>
              <w:ind w:left="88"/>
              <w:rPr>
                <w:sz w:val="17"/>
              </w:rPr>
            </w:pPr>
            <w:r>
              <w:rPr>
                <w:sz w:val="17"/>
              </w:rPr>
              <w:t>Craige</w:t>
            </w:r>
            <w:r>
              <w:rPr>
                <w:spacing w:val="-2"/>
                <w:sz w:val="17"/>
              </w:rPr>
              <w:t> Wilson</w:t>
            </w:r>
          </w:p>
        </w:tc>
        <w:tc>
          <w:tcPr>
            <w:tcW w:w="1976" w:type="dxa"/>
            <w:shd w:val="clear" w:color="auto" w:fill="FFC000"/>
          </w:tcPr>
          <w:p>
            <w:pPr>
              <w:pStyle w:val="TableParagraph"/>
              <w:rPr>
                <w:rFonts w:ascii="Times New Roman"/>
                <w:sz w:val="14"/>
              </w:rPr>
            </w:pPr>
          </w:p>
        </w:tc>
      </w:tr>
      <w:tr>
        <w:trPr>
          <w:trHeight w:val="905" w:hRule="atLeast"/>
        </w:trPr>
        <w:tc>
          <w:tcPr>
            <w:tcW w:w="736" w:type="dxa"/>
          </w:tcPr>
          <w:p>
            <w:pPr>
              <w:pStyle w:val="TableParagraph"/>
              <w:rPr>
                <w:rFonts w:ascii="Times New Roman"/>
                <w:sz w:val="14"/>
              </w:rPr>
            </w:pPr>
          </w:p>
        </w:tc>
        <w:tc>
          <w:tcPr>
            <w:tcW w:w="3432" w:type="dxa"/>
          </w:tcPr>
          <w:p>
            <w:pPr>
              <w:pStyle w:val="TableParagraph"/>
              <w:rPr>
                <w:b/>
                <w:sz w:val="15"/>
              </w:rPr>
            </w:pPr>
          </w:p>
          <w:p>
            <w:pPr>
              <w:pStyle w:val="TableParagraph"/>
              <w:spacing w:before="19"/>
              <w:rPr>
                <w:b/>
                <w:sz w:val="15"/>
              </w:rPr>
            </w:pPr>
          </w:p>
          <w:p>
            <w:pPr>
              <w:pStyle w:val="TableParagraph"/>
              <w:ind w:left="87"/>
              <w:rPr>
                <w:sz w:val="15"/>
              </w:rPr>
            </w:pPr>
            <w:r>
              <w:rPr>
                <w:sz w:val="15"/>
              </w:rPr>
              <w:t>Workforce</w:t>
            </w:r>
            <w:r>
              <w:rPr>
                <w:spacing w:val="-4"/>
                <w:sz w:val="15"/>
              </w:rPr>
              <w:t> </w:t>
            </w:r>
            <w:r>
              <w:rPr>
                <w:sz w:val="15"/>
              </w:rPr>
              <w:t>fragility</w:t>
            </w:r>
            <w:r>
              <w:rPr>
                <w:spacing w:val="-5"/>
                <w:sz w:val="15"/>
              </w:rPr>
              <w:t> </w:t>
            </w:r>
            <w:r>
              <w:rPr>
                <w:sz w:val="15"/>
              </w:rPr>
              <w:t>across</w:t>
            </w:r>
            <w:r>
              <w:rPr>
                <w:spacing w:val="-4"/>
                <w:sz w:val="15"/>
              </w:rPr>
              <w:t> </w:t>
            </w:r>
            <w:r>
              <w:rPr>
                <w:sz w:val="15"/>
              </w:rPr>
              <w:t>specialist</w:t>
            </w:r>
            <w:r>
              <w:rPr>
                <w:spacing w:val="-6"/>
                <w:sz w:val="15"/>
              </w:rPr>
              <w:t> </w:t>
            </w:r>
            <w:r>
              <w:rPr>
                <w:spacing w:val="-2"/>
                <w:sz w:val="15"/>
              </w:rPr>
              <w:t>services</w:t>
            </w:r>
          </w:p>
        </w:tc>
        <w:tc>
          <w:tcPr>
            <w:tcW w:w="2766" w:type="dxa"/>
          </w:tcPr>
          <w:p>
            <w:pPr>
              <w:pStyle w:val="TableParagraph"/>
              <w:spacing w:before="6"/>
              <w:rPr>
                <w:b/>
                <w:sz w:val="15"/>
              </w:rPr>
            </w:pPr>
          </w:p>
          <w:p>
            <w:pPr>
              <w:pStyle w:val="TableParagraph"/>
              <w:spacing w:line="254" w:lineRule="auto" w:before="1"/>
              <w:ind w:left="106"/>
              <w:rPr>
                <w:sz w:val="15"/>
              </w:rPr>
            </w:pPr>
            <w:r>
              <w:rPr>
                <w:sz w:val="15"/>
              </w:rPr>
              <w:t>Constrains service resilience, rota models,</w:t>
            </w:r>
            <w:r>
              <w:rPr>
                <w:spacing w:val="-11"/>
                <w:sz w:val="15"/>
              </w:rPr>
              <w:t> </w:t>
            </w:r>
            <w:r>
              <w:rPr>
                <w:sz w:val="15"/>
              </w:rPr>
              <w:t>theatre</w:t>
            </w:r>
            <w:r>
              <w:rPr>
                <w:spacing w:val="-10"/>
                <w:sz w:val="15"/>
              </w:rPr>
              <w:t> </w:t>
            </w:r>
            <w:r>
              <w:rPr>
                <w:sz w:val="15"/>
              </w:rPr>
              <w:t>productivity,</w:t>
            </w:r>
            <w:r>
              <w:rPr>
                <w:spacing w:val="-11"/>
                <w:sz w:val="15"/>
              </w:rPr>
              <w:t> </w:t>
            </w:r>
            <w:r>
              <w:rPr>
                <w:sz w:val="15"/>
              </w:rPr>
              <w:t>regional pathways and sustainable delivery.</w:t>
            </w:r>
          </w:p>
        </w:tc>
        <w:tc>
          <w:tcPr>
            <w:tcW w:w="2927" w:type="dxa"/>
          </w:tcPr>
          <w:p>
            <w:pPr>
              <w:pStyle w:val="TableParagraph"/>
              <w:spacing w:line="252" w:lineRule="auto" w:before="89"/>
              <w:ind w:left="86" w:right="78"/>
              <w:rPr>
                <w:sz w:val="15"/>
              </w:rPr>
            </w:pPr>
            <w:r>
              <w:rPr>
                <w:sz w:val="15"/>
              </w:rPr>
              <w:t>Develop</w:t>
            </w:r>
            <w:r>
              <w:rPr>
                <w:spacing w:val="-11"/>
                <w:sz w:val="15"/>
              </w:rPr>
              <w:t> </w:t>
            </w:r>
            <w:r>
              <w:rPr>
                <w:sz w:val="15"/>
              </w:rPr>
              <w:t>programme-specific</w:t>
            </w:r>
            <w:r>
              <w:rPr>
                <w:spacing w:val="-10"/>
                <w:sz w:val="15"/>
              </w:rPr>
              <w:t> </w:t>
            </w:r>
            <w:r>
              <w:rPr>
                <w:sz w:val="15"/>
              </w:rPr>
              <w:t>workforce plans; align with Workforce and OD subgroup; prioritise critical clinical, nursing and programme roles.</w:t>
            </w:r>
          </w:p>
        </w:tc>
        <w:tc>
          <w:tcPr>
            <w:tcW w:w="1416" w:type="dxa"/>
          </w:tcPr>
          <w:p>
            <w:pPr>
              <w:pStyle w:val="TableParagraph"/>
              <w:spacing w:line="252" w:lineRule="auto" w:before="90"/>
              <w:ind w:left="84" w:right="205"/>
              <w:rPr>
                <w:sz w:val="17"/>
              </w:rPr>
            </w:pPr>
            <w:r>
              <w:rPr>
                <w:spacing w:val="-2"/>
                <w:sz w:val="17"/>
              </w:rPr>
              <w:t>Marie Davies/Lee Davies</w:t>
            </w:r>
          </w:p>
        </w:tc>
        <w:tc>
          <w:tcPr>
            <w:tcW w:w="861" w:type="dxa"/>
            <w:shd w:val="clear" w:color="auto" w:fill="FF0000"/>
          </w:tcPr>
          <w:p>
            <w:pPr>
              <w:pStyle w:val="TableParagraph"/>
              <w:rPr>
                <w:rFonts w:ascii="Times New Roman"/>
                <w:sz w:val="14"/>
              </w:rPr>
            </w:pPr>
          </w:p>
        </w:tc>
        <w:tc>
          <w:tcPr>
            <w:tcW w:w="1415" w:type="dxa"/>
          </w:tcPr>
          <w:p>
            <w:pPr>
              <w:pStyle w:val="TableParagraph"/>
              <w:spacing w:line="252" w:lineRule="auto" w:before="90"/>
              <w:ind w:left="88" w:right="200"/>
              <w:rPr>
                <w:sz w:val="17"/>
              </w:rPr>
            </w:pPr>
            <w:r>
              <w:rPr>
                <w:spacing w:val="-2"/>
                <w:sz w:val="17"/>
              </w:rPr>
              <w:t>Marie Davies/Lee Davies</w:t>
            </w:r>
          </w:p>
        </w:tc>
        <w:tc>
          <w:tcPr>
            <w:tcW w:w="1976" w:type="dxa"/>
            <w:shd w:val="clear" w:color="auto" w:fill="FFC000"/>
          </w:tcPr>
          <w:p>
            <w:pPr>
              <w:pStyle w:val="TableParagraph"/>
              <w:rPr>
                <w:rFonts w:ascii="Times New Roman"/>
                <w:sz w:val="14"/>
              </w:rPr>
            </w:pPr>
          </w:p>
        </w:tc>
      </w:tr>
      <w:tr>
        <w:trPr>
          <w:trHeight w:val="905" w:hRule="atLeast"/>
        </w:trPr>
        <w:tc>
          <w:tcPr>
            <w:tcW w:w="736" w:type="dxa"/>
          </w:tcPr>
          <w:p>
            <w:pPr>
              <w:pStyle w:val="TableParagraph"/>
              <w:rPr>
                <w:rFonts w:ascii="Times New Roman"/>
                <w:sz w:val="14"/>
              </w:rPr>
            </w:pPr>
          </w:p>
        </w:tc>
        <w:tc>
          <w:tcPr>
            <w:tcW w:w="3432" w:type="dxa"/>
          </w:tcPr>
          <w:p>
            <w:pPr>
              <w:pStyle w:val="TableParagraph"/>
              <w:rPr>
                <w:b/>
                <w:sz w:val="15"/>
              </w:rPr>
            </w:pPr>
          </w:p>
          <w:p>
            <w:pPr>
              <w:pStyle w:val="TableParagraph"/>
              <w:spacing w:before="14"/>
              <w:rPr>
                <w:b/>
                <w:sz w:val="15"/>
              </w:rPr>
            </w:pPr>
          </w:p>
          <w:p>
            <w:pPr>
              <w:pStyle w:val="TableParagraph"/>
              <w:ind w:left="87"/>
              <w:rPr>
                <w:sz w:val="15"/>
              </w:rPr>
            </w:pPr>
            <w:r>
              <w:rPr>
                <w:sz w:val="15"/>
              </w:rPr>
              <w:t>Digital</w:t>
            </w:r>
            <w:r>
              <w:rPr>
                <w:spacing w:val="-3"/>
                <w:sz w:val="15"/>
              </w:rPr>
              <w:t> </w:t>
            </w:r>
            <w:r>
              <w:rPr>
                <w:sz w:val="15"/>
              </w:rPr>
              <w:t>and</w:t>
            </w:r>
            <w:r>
              <w:rPr>
                <w:spacing w:val="-3"/>
                <w:sz w:val="15"/>
              </w:rPr>
              <w:t> </w:t>
            </w:r>
            <w:r>
              <w:rPr>
                <w:sz w:val="15"/>
              </w:rPr>
              <w:t>data</w:t>
            </w:r>
            <w:r>
              <w:rPr>
                <w:spacing w:val="-2"/>
                <w:sz w:val="15"/>
              </w:rPr>
              <w:t> dependencies</w:t>
            </w:r>
          </w:p>
        </w:tc>
        <w:tc>
          <w:tcPr>
            <w:tcW w:w="2766" w:type="dxa"/>
          </w:tcPr>
          <w:p>
            <w:pPr>
              <w:pStyle w:val="TableParagraph"/>
              <w:spacing w:before="7"/>
              <w:rPr>
                <w:b/>
                <w:sz w:val="15"/>
              </w:rPr>
            </w:pPr>
          </w:p>
          <w:p>
            <w:pPr>
              <w:pStyle w:val="TableParagraph"/>
              <w:spacing w:line="254" w:lineRule="auto"/>
              <w:ind w:left="106"/>
              <w:rPr>
                <w:sz w:val="15"/>
              </w:rPr>
            </w:pPr>
            <w:r>
              <w:rPr>
                <w:sz w:val="15"/>
              </w:rPr>
              <w:t>May delay dashboards, single PTL approaches,</w:t>
            </w:r>
            <w:r>
              <w:rPr>
                <w:spacing w:val="-11"/>
                <w:sz w:val="15"/>
              </w:rPr>
              <w:t> </w:t>
            </w:r>
            <w:r>
              <w:rPr>
                <w:sz w:val="15"/>
              </w:rPr>
              <w:t>EPR</w:t>
            </w:r>
            <w:r>
              <w:rPr>
                <w:spacing w:val="-10"/>
                <w:sz w:val="15"/>
              </w:rPr>
              <w:t> </w:t>
            </w:r>
            <w:r>
              <w:rPr>
                <w:sz w:val="15"/>
              </w:rPr>
              <w:t>alignment,</w:t>
            </w:r>
            <w:r>
              <w:rPr>
                <w:spacing w:val="-11"/>
                <w:sz w:val="15"/>
              </w:rPr>
              <w:t> </w:t>
            </w:r>
            <w:r>
              <w:rPr>
                <w:sz w:val="15"/>
              </w:rPr>
              <w:t>pathway standardisation and benchmarking.</w:t>
            </w:r>
          </w:p>
        </w:tc>
        <w:tc>
          <w:tcPr>
            <w:tcW w:w="2927" w:type="dxa"/>
          </w:tcPr>
          <w:p>
            <w:pPr>
              <w:pStyle w:val="TableParagraph"/>
              <w:spacing w:line="252" w:lineRule="auto" w:before="89"/>
              <w:ind w:left="86"/>
              <w:rPr>
                <w:sz w:val="15"/>
              </w:rPr>
            </w:pPr>
            <w:r>
              <w:rPr>
                <w:sz w:val="15"/>
              </w:rPr>
              <w:t>Build digital requirements into each roadmap; align with Data / Digital workstreams;</w:t>
            </w:r>
            <w:r>
              <w:rPr>
                <w:spacing w:val="-11"/>
                <w:sz w:val="15"/>
              </w:rPr>
              <w:t> </w:t>
            </w:r>
            <w:r>
              <w:rPr>
                <w:sz w:val="15"/>
              </w:rPr>
              <w:t>agree</w:t>
            </w:r>
            <w:r>
              <w:rPr>
                <w:spacing w:val="-8"/>
                <w:sz w:val="15"/>
              </w:rPr>
              <w:t> </w:t>
            </w:r>
            <w:r>
              <w:rPr>
                <w:sz w:val="15"/>
              </w:rPr>
              <w:t>data</w:t>
            </w:r>
            <w:r>
              <w:rPr>
                <w:spacing w:val="-9"/>
                <w:sz w:val="15"/>
              </w:rPr>
              <w:t> </w:t>
            </w:r>
            <w:r>
              <w:rPr>
                <w:sz w:val="15"/>
              </w:rPr>
              <w:t>definitions</w:t>
            </w:r>
            <w:r>
              <w:rPr>
                <w:spacing w:val="-9"/>
                <w:sz w:val="15"/>
              </w:rPr>
              <w:t> </w:t>
            </w:r>
            <w:r>
              <w:rPr>
                <w:sz w:val="15"/>
              </w:rPr>
              <w:t>and validation</w:t>
            </w:r>
            <w:r>
              <w:rPr>
                <w:spacing w:val="-1"/>
                <w:sz w:val="15"/>
              </w:rPr>
              <w:t> </w:t>
            </w:r>
            <w:r>
              <w:rPr>
                <w:sz w:val="15"/>
              </w:rPr>
              <w:t>routes.</w:t>
            </w:r>
          </w:p>
        </w:tc>
        <w:tc>
          <w:tcPr>
            <w:tcW w:w="1416" w:type="dxa"/>
          </w:tcPr>
          <w:p>
            <w:pPr>
              <w:pStyle w:val="TableParagraph"/>
              <w:spacing w:line="252" w:lineRule="auto" w:before="91"/>
              <w:ind w:left="84" w:right="205"/>
              <w:rPr>
                <w:sz w:val="17"/>
              </w:rPr>
            </w:pPr>
            <w:r>
              <w:rPr>
                <w:spacing w:val="-2"/>
                <w:sz w:val="17"/>
              </w:rPr>
              <w:t>Marie Davies/Lee Davies</w:t>
            </w:r>
          </w:p>
        </w:tc>
        <w:tc>
          <w:tcPr>
            <w:tcW w:w="861" w:type="dxa"/>
            <w:shd w:val="clear" w:color="auto" w:fill="FFC000"/>
          </w:tcPr>
          <w:p>
            <w:pPr>
              <w:pStyle w:val="TableParagraph"/>
              <w:rPr>
                <w:rFonts w:ascii="Times New Roman"/>
                <w:sz w:val="14"/>
              </w:rPr>
            </w:pPr>
          </w:p>
        </w:tc>
        <w:tc>
          <w:tcPr>
            <w:tcW w:w="1415" w:type="dxa"/>
          </w:tcPr>
          <w:p>
            <w:pPr>
              <w:pStyle w:val="TableParagraph"/>
              <w:spacing w:line="252" w:lineRule="auto" w:before="91"/>
              <w:ind w:left="88" w:right="200"/>
              <w:rPr>
                <w:sz w:val="17"/>
              </w:rPr>
            </w:pPr>
            <w:r>
              <w:rPr>
                <w:spacing w:val="-2"/>
                <w:sz w:val="17"/>
              </w:rPr>
              <w:t>Marie Davies/Lee Davies</w:t>
            </w:r>
          </w:p>
        </w:tc>
        <w:tc>
          <w:tcPr>
            <w:tcW w:w="1976" w:type="dxa"/>
            <w:shd w:val="clear" w:color="auto" w:fill="FFFF00"/>
          </w:tcPr>
          <w:p>
            <w:pPr>
              <w:pStyle w:val="TableParagraph"/>
              <w:rPr>
                <w:rFonts w:ascii="Times New Roman"/>
                <w:sz w:val="14"/>
              </w:rPr>
            </w:pPr>
          </w:p>
        </w:tc>
      </w:tr>
      <w:tr>
        <w:trPr>
          <w:trHeight w:val="905" w:hRule="atLeast"/>
        </w:trPr>
        <w:tc>
          <w:tcPr>
            <w:tcW w:w="736" w:type="dxa"/>
          </w:tcPr>
          <w:p>
            <w:pPr>
              <w:pStyle w:val="TableParagraph"/>
              <w:rPr>
                <w:rFonts w:ascii="Times New Roman"/>
                <w:sz w:val="14"/>
              </w:rPr>
            </w:pPr>
          </w:p>
        </w:tc>
        <w:tc>
          <w:tcPr>
            <w:tcW w:w="3432" w:type="dxa"/>
          </w:tcPr>
          <w:p>
            <w:pPr>
              <w:pStyle w:val="TableParagraph"/>
              <w:rPr>
                <w:b/>
                <w:sz w:val="15"/>
              </w:rPr>
            </w:pPr>
          </w:p>
          <w:p>
            <w:pPr>
              <w:pStyle w:val="TableParagraph"/>
              <w:spacing w:before="14"/>
              <w:rPr>
                <w:b/>
                <w:sz w:val="15"/>
              </w:rPr>
            </w:pPr>
          </w:p>
          <w:p>
            <w:pPr>
              <w:pStyle w:val="TableParagraph"/>
              <w:spacing w:before="1"/>
              <w:ind w:left="87"/>
              <w:rPr>
                <w:sz w:val="15"/>
              </w:rPr>
            </w:pPr>
            <w:r>
              <w:rPr>
                <w:sz w:val="15"/>
              </w:rPr>
              <w:t>Capital</w:t>
            </w:r>
            <w:r>
              <w:rPr>
                <w:spacing w:val="-4"/>
                <w:sz w:val="15"/>
              </w:rPr>
              <w:t> </w:t>
            </w:r>
            <w:r>
              <w:rPr>
                <w:sz w:val="15"/>
              </w:rPr>
              <w:t>infrastructure</w:t>
            </w:r>
            <w:r>
              <w:rPr>
                <w:spacing w:val="-4"/>
                <w:sz w:val="15"/>
              </w:rPr>
              <w:t> </w:t>
            </w:r>
            <w:r>
              <w:rPr>
                <w:sz w:val="15"/>
              </w:rPr>
              <w:t>and</w:t>
            </w:r>
            <w:r>
              <w:rPr>
                <w:spacing w:val="-4"/>
                <w:sz w:val="15"/>
              </w:rPr>
              <w:t> </w:t>
            </w:r>
            <w:r>
              <w:rPr>
                <w:sz w:val="15"/>
              </w:rPr>
              <w:t>theatre</w:t>
            </w:r>
            <w:r>
              <w:rPr>
                <w:spacing w:val="-3"/>
                <w:sz w:val="15"/>
              </w:rPr>
              <w:t> </w:t>
            </w:r>
            <w:r>
              <w:rPr>
                <w:spacing w:val="-2"/>
                <w:sz w:val="15"/>
              </w:rPr>
              <w:t>capacity</w:t>
            </w:r>
          </w:p>
        </w:tc>
        <w:tc>
          <w:tcPr>
            <w:tcW w:w="2766" w:type="dxa"/>
          </w:tcPr>
          <w:p>
            <w:pPr>
              <w:pStyle w:val="TableParagraph"/>
              <w:spacing w:line="252" w:lineRule="auto" w:before="89"/>
              <w:ind w:left="106" w:right="198"/>
              <w:rPr>
                <w:sz w:val="15"/>
              </w:rPr>
            </w:pPr>
            <w:r>
              <w:rPr>
                <w:sz w:val="15"/>
              </w:rPr>
              <w:t>Risk to radiotherapy capacity, Eye Care</w:t>
            </w:r>
            <w:r>
              <w:rPr>
                <w:spacing w:val="-11"/>
                <w:sz w:val="15"/>
              </w:rPr>
              <w:t> </w:t>
            </w:r>
            <w:r>
              <w:rPr>
                <w:sz w:val="15"/>
              </w:rPr>
              <w:t>theatre</w:t>
            </w:r>
            <w:r>
              <w:rPr>
                <w:spacing w:val="-10"/>
                <w:sz w:val="15"/>
              </w:rPr>
              <w:t> </w:t>
            </w:r>
            <w:r>
              <w:rPr>
                <w:sz w:val="15"/>
              </w:rPr>
              <w:t>productivity,</w:t>
            </w:r>
            <w:r>
              <w:rPr>
                <w:spacing w:val="-11"/>
                <w:sz w:val="15"/>
              </w:rPr>
              <w:t> </w:t>
            </w:r>
            <w:r>
              <w:rPr>
                <w:sz w:val="15"/>
              </w:rPr>
              <w:t>Pathology laboratory development and orthopaedic</w:t>
            </w:r>
            <w:r>
              <w:rPr>
                <w:spacing w:val="-4"/>
                <w:sz w:val="15"/>
              </w:rPr>
              <w:t> </w:t>
            </w:r>
            <w:r>
              <w:rPr>
                <w:sz w:val="15"/>
              </w:rPr>
              <w:t>surgical</w:t>
            </w:r>
            <w:r>
              <w:rPr>
                <w:spacing w:val="-3"/>
                <w:sz w:val="15"/>
              </w:rPr>
              <w:t> </w:t>
            </w:r>
            <w:r>
              <w:rPr>
                <w:sz w:val="15"/>
              </w:rPr>
              <w:t>hub</w:t>
            </w:r>
            <w:r>
              <w:rPr>
                <w:spacing w:val="-3"/>
                <w:sz w:val="15"/>
              </w:rPr>
              <w:t> </w:t>
            </w:r>
            <w:r>
              <w:rPr>
                <w:sz w:val="15"/>
              </w:rPr>
              <w:t>ambitions.</w:t>
            </w:r>
          </w:p>
        </w:tc>
        <w:tc>
          <w:tcPr>
            <w:tcW w:w="2927" w:type="dxa"/>
          </w:tcPr>
          <w:p>
            <w:pPr>
              <w:pStyle w:val="TableParagraph"/>
              <w:spacing w:line="252" w:lineRule="auto" w:before="89"/>
              <w:ind w:left="86"/>
              <w:rPr>
                <w:sz w:val="15"/>
              </w:rPr>
            </w:pPr>
            <w:r>
              <w:rPr>
                <w:sz w:val="15"/>
              </w:rPr>
              <w:t>Maintain regional capital prioritisation; produce</w:t>
            </w:r>
            <w:r>
              <w:rPr>
                <w:spacing w:val="-8"/>
                <w:sz w:val="15"/>
              </w:rPr>
              <w:t> </w:t>
            </w:r>
            <w:r>
              <w:rPr>
                <w:sz w:val="15"/>
              </w:rPr>
              <w:t>clear</w:t>
            </w:r>
            <w:r>
              <w:rPr>
                <w:spacing w:val="-8"/>
                <w:sz w:val="15"/>
              </w:rPr>
              <w:t> </w:t>
            </w:r>
            <w:r>
              <w:rPr>
                <w:sz w:val="15"/>
              </w:rPr>
              <w:t>evidence</w:t>
            </w:r>
            <w:r>
              <w:rPr>
                <w:spacing w:val="-8"/>
                <w:sz w:val="15"/>
              </w:rPr>
              <w:t> </w:t>
            </w:r>
            <w:r>
              <w:rPr>
                <w:sz w:val="15"/>
              </w:rPr>
              <w:t>base</w:t>
            </w:r>
            <w:r>
              <w:rPr>
                <w:spacing w:val="-8"/>
                <w:sz w:val="15"/>
              </w:rPr>
              <w:t> </w:t>
            </w:r>
            <w:r>
              <w:rPr>
                <w:sz w:val="15"/>
              </w:rPr>
              <w:t>and</w:t>
            </w:r>
            <w:r>
              <w:rPr>
                <w:spacing w:val="-8"/>
                <w:sz w:val="15"/>
              </w:rPr>
              <w:t> </w:t>
            </w:r>
            <w:r>
              <w:rPr>
                <w:sz w:val="15"/>
              </w:rPr>
              <w:t>option appraisals; escalate time-critical capital </w:t>
            </w:r>
            <w:r>
              <w:rPr>
                <w:spacing w:val="-2"/>
                <w:sz w:val="15"/>
              </w:rPr>
              <w:t>decisions.</w:t>
            </w:r>
          </w:p>
        </w:tc>
        <w:tc>
          <w:tcPr>
            <w:tcW w:w="1416" w:type="dxa"/>
          </w:tcPr>
          <w:p>
            <w:pPr>
              <w:pStyle w:val="TableParagraph"/>
              <w:spacing w:line="252" w:lineRule="auto" w:before="90"/>
              <w:ind w:left="84" w:right="205"/>
              <w:rPr>
                <w:sz w:val="17"/>
              </w:rPr>
            </w:pPr>
            <w:r>
              <w:rPr>
                <w:spacing w:val="-2"/>
                <w:sz w:val="17"/>
              </w:rPr>
              <w:t>Marie Davies/Lee Davies</w:t>
            </w:r>
          </w:p>
        </w:tc>
        <w:tc>
          <w:tcPr>
            <w:tcW w:w="861" w:type="dxa"/>
            <w:shd w:val="clear" w:color="auto" w:fill="FFC000"/>
          </w:tcPr>
          <w:p>
            <w:pPr>
              <w:pStyle w:val="TableParagraph"/>
              <w:rPr>
                <w:rFonts w:ascii="Times New Roman"/>
                <w:sz w:val="14"/>
              </w:rPr>
            </w:pPr>
          </w:p>
        </w:tc>
        <w:tc>
          <w:tcPr>
            <w:tcW w:w="1415" w:type="dxa"/>
          </w:tcPr>
          <w:p>
            <w:pPr>
              <w:pStyle w:val="TableParagraph"/>
              <w:spacing w:line="252" w:lineRule="auto" w:before="90"/>
              <w:ind w:left="88" w:right="200"/>
              <w:rPr>
                <w:sz w:val="17"/>
              </w:rPr>
            </w:pPr>
            <w:r>
              <w:rPr>
                <w:spacing w:val="-2"/>
                <w:sz w:val="17"/>
              </w:rPr>
              <w:t>Marie Davies/Lee Davies</w:t>
            </w:r>
          </w:p>
        </w:tc>
        <w:tc>
          <w:tcPr>
            <w:tcW w:w="1976" w:type="dxa"/>
            <w:shd w:val="clear" w:color="auto" w:fill="FFFF00"/>
          </w:tcPr>
          <w:p>
            <w:pPr>
              <w:pStyle w:val="TableParagraph"/>
              <w:rPr>
                <w:rFonts w:ascii="Times New Roman"/>
                <w:sz w:val="14"/>
              </w:rPr>
            </w:pPr>
          </w:p>
        </w:tc>
      </w:tr>
    </w:tbl>
    <w:p>
      <w:pPr>
        <w:spacing w:before="100"/>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277" name="Image 277"/>
            <wp:cNvGraphicFramePr>
              <a:graphicFrameLocks/>
            </wp:cNvGraphicFramePr>
            <a:graphic>
              <a:graphicData uri="http://schemas.openxmlformats.org/drawingml/2006/picture">
                <pic:pic>
                  <pic:nvPicPr>
                    <pic:cNvPr id="277" name="Image 277"/>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278" name="Image 278"/>
            <wp:cNvGraphicFramePr>
              <a:graphicFrameLocks/>
            </wp:cNvGraphicFramePr>
            <a:graphic>
              <a:graphicData uri="http://schemas.openxmlformats.org/drawingml/2006/picture">
                <pic:pic>
                  <pic:nvPicPr>
                    <pic:cNvPr id="278" name="Image 278"/>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p>
      <w:pPr>
        <w:pStyle w:val="Heading8"/>
        <w:numPr>
          <w:ilvl w:val="0"/>
          <w:numId w:val="15"/>
        </w:numPr>
        <w:tabs>
          <w:tab w:pos="367" w:val="left" w:leader="none"/>
        </w:tabs>
        <w:spacing w:line="240" w:lineRule="auto" w:before="22" w:after="0"/>
        <w:ind w:left="367" w:right="0" w:hanging="284"/>
        <w:jc w:val="left"/>
      </w:pPr>
      <w:r>
        <w:rPr>
          <w:color w:val="001F5F"/>
          <w:spacing w:val="-2"/>
        </w:rPr>
        <w:t>Dependencies</w:t>
      </w:r>
    </w:p>
    <w:p>
      <w:pPr>
        <w:pStyle w:val="BodyText"/>
        <w:spacing w:before="11"/>
        <w:rPr>
          <w:b/>
          <w:sz w:val="10"/>
        </w:rPr>
      </w:pPr>
    </w:p>
    <w:tbl>
      <w:tblPr>
        <w:tblW w:w="0" w:type="auto"/>
        <w:jc w:val="left"/>
        <w:tblInd w:w="299"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4461"/>
        <w:gridCol w:w="5476"/>
        <w:gridCol w:w="1870"/>
        <w:gridCol w:w="1010"/>
        <w:gridCol w:w="2300"/>
      </w:tblGrid>
      <w:tr>
        <w:trPr>
          <w:trHeight w:val="360" w:hRule="atLeast"/>
        </w:trPr>
        <w:tc>
          <w:tcPr>
            <w:tcW w:w="4461" w:type="dxa"/>
            <w:shd w:val="clear" w:color="auto" w:fill="1F4E79"/>
          </w:tcPr>
          <w:p>
            <w:pPr>
              <w:pStyle w:val="TableParagraph"/>
              <w:spacing w:before="89"/>
              <w:ind w:left="92"/>
              <w:rPr>
                <w:b/>
                <w:sz w:val="15"/>
              </w:rPr>
            </w:pPr>
            <w:r>
              <w:rPr>
                <w:b/>
                <w:color w:val="FFFFFF"/>
                <w:spacing w:val="-2"/>
                <w:sz w:val="15"/>
              </w:rPr>
              <w:t>Description</w:t>
            </w:r>
          </w:p>
        </w:tc>
        <w:tc>
          <w:tcPr>
            <w:tcW w:w="5476" w:type="dxa"/>
            <w:shd w:val="clear" w:color="auto" w:fill="1F4E79"/>
          </w:tcPr>
          <w:p>
            <w:pPr>
              <w:pStyle w:val="TableParagraph"/>
              <w:spacing w:before="89"/>
              <w:ind w:left="92"/>
              <w:rPr>
                <w:b/>
                <w:sz w:val="15"/>
              </w:rPr>
            </w:pPr>
            <w:r>
              <w:rPr>
                <w:b/>
                <w:color w:val="FFFFFF"/>
                <w:sz w:val="15"/>
              </w:rPr>
              <w:t>How</w:t>
            </w:r>
            <w:r>
              <w:rPr>
                <w:b/>
                <w:color w:val="FFFFFF"/>
                <w:spacing w:val="-2"/>
                <w:sz w:val="15"/>
              </w:rPr>
              <w:t> </w:t>
            </w:r>
            <w:r>
              <w:rPr>
                <w:b/>
                <w:color w:val="FFFFFF"/>
                <w:sz w:val="15"/>
              </w:rPr>
              <w:t>Dependency</w:t>
            </w:r>
            <w:r>
              <w:rPr>
                <w:b/>
                <w:color w:val="FFFFFF"/>
                <w:spacing w:val="-7"/>
                <w:sz w:val="15"/>
              </w:rPr>
              <w:t> </w:t>
            </w:r>
            <w:r>
              <w:rPr>
                <w:b/>
                <w:color w:val="FFFFFF"/>
                <w:sz w:val="15"/>
              </w:rPr>
              <w:t>is</w:t>
            </w:r>
            <w:r>
              <w:rPr>
                <w:b/>
                <w:color w:val="FFFFFF"/>
                <w:spacing w:val="-3"/>
                <w:sz w:val="15"/>
              </w:rPr>
              <w:t> </w:t>
            </w:r>
            <w:r>
              <w:rPr>
                <w:b/>
                <w:color w:val="FFFFFF"/>
                <w:spacing w:val="-2"/>
                <w:sz w:val="15"/>
              </w:rPr>
              <w:t>Managed</w:t>
            </w:r>
          </w:p>
        </w:tc>
        <w:tc>
          <w:tcPr>
            <w:tcW w:w="1870" w:type="dxa"/>
            <w:shd w:val="clear" w:color="auto" w:fill="1F4E79"/>
          </w:tcPr>
          <w:p>
            <w:pPr>
              <w:pStyle w:val="TableParagraph"/>
              <w:spacing w:before="89"/>
              <w:ind w:left="92"/>
              <w:rPr>
                <w:b/>
                <w:sz w:val="15"/>
              </w:rPr>
            </w:pPr>
            <w:r>
              <w:rPr>
                <w:b/>
                <w:color w:val="FFFFFF"/>
                <w:sz w:val="15"/>
              </w:rPr>
              <w:t>Action</w:t>
            </w:r>
            <w:r>
              <w:rPr>
                <w:b/>
                <w:color w:val="FFFFFF"/>
                <w:spacing w:val="-8"/>
                <w:sz w:val="15"/>
              </w:rPr>
              <w:t> </w:t>
            </w:r>
            <w:r>
              <w:rPr>
                <w:b/>
                <w:color w:val="FFFFFF"/>
                <w:spacing w:val="-2"/>
                <w:sz w:val="15"/>
              </w:rPr>
              <w:t>Owner</w:t>
            </w:r>
          </w:p>
        </w:tc>
        <w:tc>
          <w:tcPr>
            <w:tcW w:w="1010" w:type="dxa"/>
            <w:shd w:val="clear" w:color="auto" w:fill="1F4E79"/>
          </w:tcPr>
          <w:p>
            <w:pPr>
              <w:pStyle w:val="TableParagraph"/>
              <w:spacing w:before="89"/>
              <w:ind w:left="94"/>
              <w:rPr>
                <w:b/>
                <w:sz w:val="15"/>
              </w:rPr>
            </w:pPr>
            <w:r>
              <w:rPr>
                <w:b/>
                <w:color w:val="FFFFFF"/>
                <w:spacing w:val="-5"/>
                <w:sz w:val="15"/>
              </w:rPr>
              <w:t>RAG</w:t>
            </w:r>
          </w:p>
        </w:tc>
        <w:tc>
          <w:tcPr>
            <w:tcW w:w="2300" w:type="dxa"/>
            <w:shd w:val="clear" w:color="auto" w:fill="1F4E79"/>
          </w:tcPr>
          <w:p>
            <w:pPr>
              <w:pStyle w:val="TableParagraph"/>
              <w:spacing w:before="89"/>
              <w:ind w:left="94"/>
              <w:rPr>
                <w:b/>
                <w:sz w:val="15"/>
              </w:rPr>
            </w:pPr>
            <w:r>
              <w:rPr>
                <w:b/>
                <w:color w:val="FFFFFF"/>
                <w:sz w:val="15"/>
              </w:rPr>
              <w:t>Dependency</w:t>
            </w:r>
            <w:r>
              <w:rPr>
                <w:b/>
                <w:color w:val="FFFFFF"/>
                <w:spacing w:val="-9"/>
                <w:sz w:val="15"/>
              </w:rPr>
              <w:t> </w:t>
            </w:r>
            <w:r>
              <w:rPr>
                <w:b/>
                <w:color w:val="FFFFFF"/>
                <w:spacing w:val="-2"/>
                <w:sz w:val="15"/>
              </w:rPr>
              <w:t>Owner</w:t>
            </w:r>
          </w:p>
        </w:tc>
      </w:tr>
      <w:tr>
        <w:trPr>
          <w:trHeight w:val="1410" w:hRule="atLeast"/>
        </w:trPr>
        <w:tc>
          <w:tcPr>
            <w:tcW w:w="4461" w:type="dxa"/>
          </w:tcPr>
          <w:p>
            <w:pPr>
              <w:pStyle w:val="TableParagraph"/>
              <w:spacing w:before="90"/>
              <w:ind w:left="92"/>
              <w:rPr>
                <w:sz w:val="17"/>
              </w:rPr>
            </w:pPr>
            <w:r>
              <w:rPr>
                <w:sz w:val="17"/>
              </w:rPr>
              <w:t>Finance</w:t>
            </w:r>
            <w:r>
              <w:rPr>
                <w:spacing w:val="-3"/>
                <w:sz w:val="17"/>
              </w:rPr>
              <w:t> </w:t>
            </w:r>
            <w:r>
              <w:rPr>
                <w:sz w:val="17"/>
              </w:rPr>
              <w:t>and</w:t>
            </w:r>
            <w:r>
              <w:rPr>
                <w:spacing w:val="-2"/>
                <w:sz w:val="17"/>
              </w:rPr>
              <w:t> Contracting</w:t>
            </w:r>
          </w:p>
        </w:tc>
        <w:tc>
          <w:tcPr>
            <w:tcW w:w="5476" w:type="dxa"/>
          </w:tcPr>
          <w:p>
            <w:pPr>
              <w:pStyle w:val="TableParagraph"/>
              <w:spacing w:line="252" w:lineRule="auto" w:before="90"/>
              <w:ind w:left="92" w:right="97"/>
              <w:rPr>
                <w:sz w:val="17"/>
              </w:rPr>
            </w:pPr>
            <w:r>
              <w:rPr>
                <w:sz w:val="17"/>
              </w:rPr>
              <w:t>Directors</w:t>
            </w:r>
            <w:r>
              <w:rPr>
                <w:spacing w:val="-6"/>
                <w:sz w:val="17"/>
              </w:rPr>
              <w:t> </w:t>
            </w:r>
            <w:r>
              <w:rPr>
                <w:sz w:val="17"/>
              </w:rPr>
              <w:t>of</w:t>
            </w:r>
            <w:r>
              <w:rPr>
                <w:spacing w:val="-7"/>
                <w:sz w:val="17"/>
              </w:rPr>
              <w:t> </w:t>
            </w:r>
            <w:r>
              <w:rPr>
                <w:sz w:val="17"/>
              </w:rPr>
              <w:t>Finance</w:t>
            </w:r>
            <w:r>
              <w:rPr>
                <w:spacing w:val="-5"/>
                <w:sz w:val="17"/>
              </w:rPr>
              <w:t> </w:t>
            </w:r>
            <w:r>
              <w:rPr>
                <w:sz w:val="17"/>
              </w:rPr>
              <w:t>will</w:t>
            </w:r>
            <w:r>
              <w:rPr>
                <w:spacing w:val="-4"/>
                <w:sz w:val="17"/>
              </w:rPr>
              <w:t> </w:t>
            </w:r>
            <w:r>
              <w:rPr>
                <w:sz w:val="17"/>
              </w:rPr>
              <w:t>oversee</w:t>
            </w:r>
            <w:r>
              <w:rPr>
                <w:spacing w:val="-5"/>
                <w:sz w:val="17"/>
              </w:rPr>
              <w:t> </w:t>
            </w:r>
            <w:r>
              <w:rPr>
                <w:sz w:val="17"/>
              </w:rPr>
              <w:t>development</w:t>
            </w:r>
            <w:r>
              <w:rPr>
                <w:spacing w:val="-8"/>
                <w:sz w:val="17"/>
              </w:rPr>
              <w:t> </w:t>
            </w:r>
            <w:r>
              <w:rPr>
                <w:sz w:val="17"/>
              </w:rPr>
              <w:t>of</w:t>
            </w:r>
            <w:r>
              <w:rPr>
                <w:spacing w:val="-7"/>
                <w:sz w:val="17"/>
              </w:rPr>
              <w:t> </w:t>
            </w:r>
            <w:r>
              <w:rPr>
                <w:sz w:val="17"/>
              </w:rPr>
              <w:t>the regional</w:t>
            </w:r>
            <w:r>
              <w:rPr>
                <w:spacing w:val="-3"/>
                <w:sz w:val="17"/>
              </w:rPr>
              <w:t> </w:t>
            </w:r>
            <w:r>
              <w:rPr>
                <w:sz w:val="17"/>
              </w:rPr>
              <w:t>finance, commissioning and contracting arrangements required for cross-boundary service delivery.</w:t>
            </w:r>
            <w:r>
              <w:rPr>
                <w:spacing w:val="-1"/>
                <w:sz w:val="17"/>
              </w:rPr>
              <w:t> </w:t>
            </w:r>
            <w:r>
              <w:rPr>
                <w:sz w:val="17"/>
              </w:rPr>
              <w:t>Progress and unresolved decisions will be reported through programme governance, the Clinical Services Planning Subgroup and, where senior intervention is required, the </w:t>
            </w:r>
            <w:r>
              <w:rPr>
                <w:spacing w:val="-4"/>
                <w:sz w:val="17"/>
              </w:rPr>
              <w:t>RJC.</w:t>
            </w:r>
          </w:p>
        </w:tc>
        <w:tc>
          <w:tcPr>
            <w:tcW w:w="1870" w:type="dxa"/>
          </w:tcPr>
          <w:p>
            <w:pPr>
              <w:pStyle w:val="TableParagraph"/>
              <w:spacing w:line="252" w:lineRule="auto" w:before="90"/>
              <w:ind w:left="92" w:right="266"/>
              <w:rPr>
                <w:sz w:val="17"/>
              </w:rPr>
            </w:pPr>
            <w:r>
              <w:rPr>
                <w:sz w:val="17"/>
              </w:rPr>
              <w:t>Huw</w:t>
            </w:r>
            <w:r>
              <w:rPr>
                <w:spacing w:val="-12"/>
                <w:sz w:val="17"/>
              </w:rPr>
              <w:t> </w:t>
            </w:r>
            <w:r>
              <w:rPr>
                <w:sz w:val="17"/>
              </w:rPr>
              <w:t>Thomas/Claire </w:t>
            </w:r>
            <w:r>
              <w:rPr>
                <w:spacing w:val="-2"/>
                <w:sz w:val="17"/>
              </w:rPr>
              <w:t>Osmundsen-Little</w:t>
            </w:r>
          </w:p>
        </w:tc>
        <w:tc>
          <w:tcPr>
            <w:tcW w:w="1010" w:type="dxa"/>
            <w:shd w:val="clear" w:color="auto" w:fill="FFC000"/>
          </w:tcPr>
          <w:p>
            <w:pPr>
              <w:pStyle w:val="TableParagraph"/>
              <w:rPr>
                <w:rFonts w:ascii="Times New Roman"/>
                <w:sz w:val="16"/>
              </w:rPr>
            </w:pPr>
          </w:p>
        </w:tc>
        <w:tc>
          <w:tcPr>
            <w:tcW w:w="2300" w:type="dxa"/>
          </w:tcPr>
          <w:p>
            <w:pPr>
              <w:pStyle w:val="TableParagraph"/>
              <w:spacing w:line="252" w:lineRule="auto" w:before="90"/>
              <w:ind w:left="94" w:right="695"/>
              <w:rPr>
                <w:sz w:val="17"/>
              </w:rPr>
            </w:pPr>
            <w:r>
              <w:rPr>
                <w:sz w:val="17"/>
              </w:rPr>
              <w:t>Huw</w:t>
            </w:r>
            <w:r>
              <w:rPr>
                <w:spacing w:val="-12"/>
                <w:sz w:val="17"/>
              </w:rPr>
              <w:t> </w:t>
            </w:r>
            <w:r>
              <w:rPr>
                <w:sz w:val="17"/>
              </w:rPr>
              <w:t>Thomas/Claire </w:t>
            </w:r>
            <w:r>
              <w:rPr>
                <w:spacing w:val="-2"/>
                <w:sz w:val="17"/>
              </w:rPr>
              <w:t>Osmundsen-Little</w:t>
            </w:r>
          </w:p>
        </w:tc>
      </w:tr>
      <w:tr>
        <w:trPr>
          <w:trHeight w:val="795" w:hRule="atLeast"/>
        </w:trPr>
        <w:tc>
          <w:tcPr>
            <w:tcW w:w="4461" w:type="dxa"/>
          </w:tcPr>
          <w:p>
            <w:pPr>
              <w:pStyle w:val="TableParagraph"/>
              <w:spacing w:before="90"/>
              <w:ind w:left="92"/>
              <w:rPr>
                <w:sz w:val="17"/>
              </w:rPr>
            </w:pPr>
            <w:r>
              <w:rPr>
                <w:sz w:val="17"/>
              </w:rPr>
              <w:t>Data</w:t>
            </w:r>
            <w:r>
              <w:rPr>
                <w:spacing w:val="-5"/>
                <w:sz w:val="17"/>
              </w:rPr>
              <w:t> </w:t>
            </w:r>
            <w:r>
              <w:rPr>
                <w:sz w:val="17"/>
              </w:rPr>
              <w:t>and</w:t>
            </w:r>
            <w:r>
              <w:rPr>
                <w:spacing w:val="-2"/>
                <w:sz w:val="17"/>
              </w:rPr>
              <w:t> Digital</w:t>
            </w:r>
          </w:p>
        </w:tc>
        <w:tc>
          <w:tcPr>
            <w:tcW w:w="5476" w:type="dxa"/>
          </w:tcPr>
          <w:p>
            <w:pPr>
              <w:pStyle w:val="TableParagraph"/>
              <w:spacing w:line="252" w:lineRule="auto" w:before="90"/>
              <w:ind w:left="92"/>
              <w:rPr>
                <w:sz w:val="17"/>
              </w:rPr>
            </w:pPr>
            <w:r>
              <w:rPr>
                <w:sz w:val="17"/>
              </w:rPr>
              <w:t>Managed</w:t>
            </w:r>
            <w:r>
              <w:rPr>
                <w:spacing w:val="-7"/>
                <w:sz w:val="17"/>
              </w:rPr>
              <w:t> </w:t>
            </w:r>
            <w:r>
              <w:rPr>
                <w:sz w:val="17"/>
              </w:rPr>
              <w:t>through</w:t>
            </w:r>
            <w:r>
              <w:rPr>
                <w:spacing w:val="-7"/>
                <w:sz w:val="17"/>
              </w:rPr>
              <w:t> </w:t>
            </w:r>
            <w:r>
              <w:rPr>
                <w:sz w:val="17"/>
              </w:rPr>
              <w:t>regional</w:t>
            </w:r>
            <w:r>
              <w:rPr>
                <w:spacing w:val="-6"/>
                <w:sz w:val="17"/>
              </w:rPr>
              <w:t> </w:t>
            </w:r>
            <w:r>
              <w:rPr>
                <w:sz w:val="17"/>
              </w:rPr>
              <w:t>programme</w:t>
            </w:r>
            <w:r>
              <w:rPr>
                <w:spacing w:val="-3"/>
                <w:sz w:val="17"/>
              </w:rPr>
              <w:t> </w:t>
            </w:r>
            <w:r>
              <w:rPr>
                <w:sz w:val="17"/>
              </w:rPr>
              <w:t>workstreams,</w:t>
            </w:r>
            <w:r>
              <w:rPr>
                <w:spacing w:val="-10"/>
                <w:sz w:val="17"/>
              </w:rPr>
              <w:t> </w:t>
            </w:r>
            <w:r>
              <w:rPr>
                <w:sz w:val="17"/>
              </w:rPr>
              <w:t>data</w:t>
            </w:r>
            <w:r>
              <w:rPr>
                <w:spacing w:val="-7"/>
                <w:sz w:val="17"/>
              </w:rPr>
              <w:t> </w:t>
            </w:r>
            <w:r>
              <w:rPr>
                <w:sz w:val="17"/>
              </w:rPr>
              <w:t>validation processes, dashboard development and alignment of digital and interoperability requirements across both Health Boards.</w:t>
            </w:r>
          </w:p>
        </w:tc>
        <w:tc>
          <w:tcPr>
            <w:tcW w:w="1870" w:type="dxa"/>
          </w:tcPr>
          <w:p>
            <w:pPr>
              <w:pStyle w:val="TableParagraph"/>
              <w:spacing w:line="252" w:lineRule="auto" w:before="90"/>
              <w:ind w:left="92" w:right="432"/>
              <w:rPr>
                <w:sz w:val="17"/>
              </w:rPr>
            </w:pPr>
            <w:r>
              <w:rPr>
                <w:sz w:val="17"/>
              </w:rPr>
              <w:t>Marie</w:t>
            </w:r>
            <w:r>
              <w:rPr>
                <w:spacing w:val="-12"/>
                <w:sz w:val="17"/>
              </w:rPr>
              <w:t> </w:t>
            </w:r>
            <w:r>
              <w:rPr>
                <w:sz w:val="17"/>
              </w:rPr>
              <w:t>Davies/Lee </w:t>
            </w:r>
            <w:r>
              <w:rPr>
                <w:spacing w:val="-2"/>
                <w:sz w:val="17"/>
              </w:rPr>
              <w:t>Davies</w:t>
            </w:r>
          </w:p>
        </w:tc>
        <w:tc>
          <w:tcPr>
            <w:tcW w:w="1010" w:type="dxa"/>
            <w:shd w:val="clear" w:color="auto" w:fill="FFC000"/>
          </w:tcPr>
          <w:p>
            <w:pPr>
              <w:pStyle w:val="TableParagraph"/>
              <w:rPr>
                <w:rFonts w:ascii="Times New Roman"/>
                <w:sz w:val="16"/>
              </w:rPr>
            </w:pPr>
          </w:p>
        </w:tc>
        <w:tc>
          <w:tcPr>
            <w:tcW w:w="2300" w:type="dxa"/>
          </w:tcPr>
          <w:p>
            <w:pPr>
              <w:pStyle w:val="TableParagraph"/>
              <w:spacing w:before="90"/>
              <w:ind w:left="94"/>
              <w:rPr>
                <w:sz w:val="17"/>
              </w:rPr>
            </w:pPr>
            <w:r>
              <w:rPr>
                <w:sz w:val="17"/>
              </w:rPr>
              <w:t>Marie</w:t>
            </w:r>
            <w:r>
              <w:rPr>
                <w:spacing w:val="-4"/>
                <w:sz w:val="17"/>
              </w:rPr>
              <w:t> </w:t>
            </w:r>
            <w:r>
              <w:rPr>
                <w:sz w:val="17"/>
              </w:rPr>
              <w:t>Davies/Lee</w:t>
            </w:r>
            <w:r>
              <w:rPr>
                <w:spacing w:val="-3"/>
                <w:sz w:val="17"/>
              </w:rPr>
              <w:t> </w:t>
            </w:r>
            <w:r>
              <w:rPr>
                <w:spacing w:val="-2"/>
                <w:sz w:val="17"/>
              </w:rPr>
              <w:t>Davies</w:t>
            </w:r>
          </w:p>
        </w:tc>
      </w:tr>
      <w:tr>
        <w:trPr>
          <w:trHeight w:val="800" w:hRule="atLeast"/>
        </w:trPr>
        <w:tc>
          <w:tcPr>
            <w:tcW w:w="4461" w:type="dxa"/>
          </w:tcPr>
          <w:p>
            <w:pPr>
              <w:pStyle w:val="TableParagraph"/>
              <w:spacing w:before="90"/>
              <w:ind w:left="92"/>
              <w:rPr>
                <w:sz w:val="17"/>
              </w:rPr>
            </w:pPr>
            <w:r>
              <w:rPr>
                <w:sz w:val="17"/>
              </w:rPr>
              <w:t>Workforce</w:t>
            </w:r>
            <w:r>
              <w:rPr>
                <w:spacing w:val="-7"/>
                <w:sz w:val="17"/>
              </w:rPr>
              <w:t> </w:t>
            </w:r>
            <w:r>
              <w:rPr>
                <w:sz w:val="17"/>
              </w:rPr>
              <w:t>and</w:t>
            </w:r>
            <w:r>
              <w:rPr>
                <w:spacing w:val="-1"/>
                <w:sz w:val="17"/>
              </w:rPr>
              <w:t> </w:t>
            </w:r>
            <w:r>
              <w:rPr>
                <w:spacing w:val="-5"/>
                <w:sz w:val="17"/>
              </w:rPr>
              <w:t>OD</w:t>
            </w:r>
          </w:p>
        </w:tc>
        <w:tc>
          <w:tcPr>
            <w:tcW w:w="5476" w:type="dxa"/>
          </w:tcPr>
          <w:p>
            <w:pPr>
              <w:pStyle w:val="TableParagraph"/>
              <w:spacing w:line="254" w:lineRule="auto" w:before="90"/>
              <w:ind w:left="92" w:right="97"/>
              <w:rPr>
                <w:sz w:val="17"/>
              </w:rPr>
            </w:pPr>
            <w:r>
              <w:rPr>
                <w:sz w:val="17"/>
              </w:rPr>
              <w:t>Monitored through programme governance, workforce planning activity,</w:t>
            </w:r>
            <w:r>
              <w:rPr>
                <w:spacing w:val="-8"/>
                <w:sz w:val="17"/>
              </w:rPr>
              <w:t> </w:t>
            </w:r>
            <w:r>
              <w:rPr>
                <w:sz w:val="17"/>
              </w:rPr>
              <w:t>clinical</w:t>
            </w:r>
            <w:r>
              <w:rPr>
                <w:spacing w:val="-4"/>
                <w:sz w:val="17"/>
              </w:rPr>
              <w:t> </w:t>
            </w:r>
            <w:r>
              <w:rPr>
                <w:sz w:val="17"/>
              </w:rPr>
              <w:t>engagement</w:t>
            </w:r>
            <w:r>
              <w:rPr>
                <w:spacing w:val="-8"/>
                <w:sz w:val="17"/>
              </w:rPr>
              <w:t> </w:t>
            </w:r>
            <w:r>
              <w:rPr>
                <w:sz w:val="17"/>
              </w:rPr>
              <w:t>and</w:t>
            </w:r>
            <w:r>
              <w:rPr>
                <w:spacing w:val="-6"/>
                <w:sz w:val="17"/>
              </w:rPr>
              <w:t> </w:t>
            </w:r>
            <w:r>
              <w:rPr>
                <w:sz w:val="17"/>
              </w:rPr>
              <w:t>Health</w:t>
            </w:r>
            <w:r>
              <w:rPr>
                <w:spacing w:val="-6"/>
                <w:sz w:val="17"/>
              </w:rPr>
              <w:t> </w:t>
            </w:r>
            <w:r>
              <w:rPr>
                <w:sz w:val="17"/>
              </w:rPr>
              <w:t>Board</w:t>
            </w:r>
            <w:r>
              <w:rPr>
                <w:spacing w:val="-6"/>
                <w:sz w:val="17"/>
              </w:rPr>
              <w:t> </w:t>
            </w:r>
            <w:r>
              <w:rPr>
                <w:sz w:val="17"/>
              </w:rPr>
              <w:t>workforce</w:t>
            </w:r>
            <w:r>
              <w:rPr>
                <w:spacing w:val="-6"/>
                <w:sz w:val="17"/>
              </w:rPr>
              <w:t> </w:t>
            </w:r>
            <w:r>
              <w:rPr>
                <w:sz w:val="17"/>
              </w:rPr>
              <w:t>leads</w:t>
            </w:r>
            <w:r>
              <w:rPr>
                <w:spacing w:val="-6"/>
                <w:sz w:val="17"/>
              </w:rPr>
              <w:t> </w:t>
            </w:r>
            <w:r>
              <w:rPr>
                <w:sz w:val="17"/>
              </w:rPr>
              <w:t>to support</w:t>
            </w:r>
            <w:r>
              <w:rPr>
                <w:spacing w:val="-2"/>
                <w:sz w:val="17"/>
              </w:rPr>
              <w:t> </w:t>
            </w:r>
            <w:r>
              <w:rPr>
                <w:sz w:val="17"/>
              </w:rPr>
              <w:t>recruitment, rota development</w:t>
            </w:r>
            <w:r>
              <w:rPr>
                <w:spacing w:val="-2"/>
                <w:sz w:val="17"/>
              </w:rPr>
              <w:t> </w:t>
            </w:r>
            <w:r>
              <w:rPr>
                <w:sz w:val="17"/>
              </w:rPr>
              <w:t>and service sustainability.</w:t>
            </w:r>
          </w:p>
        </w:tc>
        <w:tc>
          <w:tcPr>
            <w:tcW w:w="1870" w:type="dxa"/>
          </w:tcPr>
          <w:p>
            <w:pPr>
              <w:pStyle w:val="TableParagraph"/>
              <w:spacing w:line="256" w:lineRule="auto" w:before="90"/>
              <w:ind w:left="92" w:right="432"/>
              <w:rPr>
                <w:sz w:val="17"/>
              </w:rPr>
            </w:pPr>
            <w:r>
              <w:rPr>
                <w:sz w:val="17"/>
              </w:rPr>
              <w:t>Marie</w:t>
            </w:r>
            <w:r>
              <w:rPr>
                <w:spacing w:val="-12"/>
                <w:sz w:val="17"/>
              </w:rPr>
              <w:t> </w:t>
            </w:r>
            <w:r>
              <w:rPr>
                <w:sz w:val="17"/>
              </w:rPr>
              <w:t>Davies/Lee </w:t>
            </w:r>
            <w:r>
              <w:rPr>
                <w:spacing w:val="-2"/>
                <w:sz w:val="17"/>
              </w:rPr>
              <w:t>Davies</w:t>
            </w:r>
          </w:p>
        </w:tc>
        <w:tc>
          <w:tcPr>
            <w:tcW w:w="1010" w:type="dxa"/>
            <w:shd w:val="clear" w:color="auto" w:fill="FFC000"/>
          </w:tcPr>
          <w:p>
            <w:pPr>
              <w:pStyle w:val="TableParagraph"/>
              <w:rPr>
                <w:rFonts w:ascii="Times New Roman"/>
                <w:sz w:val="16"/>
              </w:rPr>
            </w:pPr>
          </w:p>
        </w:tc>
        <w:tc>
          <w:tcPr>
            <w:tcW w:w="2300" w:type="dxa"/>
          </w:tcPr>
          <w:p>
            <w:pPr>
              <w:pStyle w:val="TableParagraph"/>
              <w:spacing w:before="90"/>
              <w:ind w:left="94"/>
              <w:rPr>
                <w:sz w:val="17"/>
              </w:rPr>
            </w:pPr>
            <w:r>
              <w:rPr>
                <w:sz w:val="17"/>
              </w:rPr>
              <w:t>Marie</w:t>
            </w:r>
            <w:r>
              <w:rPr>
                <w:spacing w:val="-4"/>
                <w:sz w:val="17"/>
              </w:rPr>
              <w:t> </w:t>
            </w:r>
            <w:r>
              <w:rPr>
                <w:sz w:val="17"/>
              </w:rPr>
              <w:t>Davies/Lee</w:t>
            </w:r>
            <w:r>
              <w:rPr>
                <w:spacing w:val="-3"/>
                <w:sz w:val="17"/>
              </w:rPr>
              <w:t> </w:t>
            </w:r>
            <w:r>
              <w:rPr>
                <w:spacing w:val="-2"/>
                <w:sz w:val="17"/>
              </w:rPr>
              <w:t>Davies</w:t>
            </w:r>
          </w:p>
        </w:tc>
      </w:tr>
      <w:tr>
        <w:trPr>
          <w:trHeight w:val="1000" w:hRule="atLeast"/>
        </w:trPr>
        <w:tc>
          <w:tcPr>
            <w:tcW w:w="4461" w:type="dxa"/>
          </w:tcPr>
          <w:p>
            <w:pPr>
              <w:pStyle w:val="TableParagraph"/>
              <w:spacing w:before="90"/>
              <w:ind w:left="92"/>
              <w:rPr>
                <w:sz w:val="17"/>
              </w:rPr>
            </w:pPr>
            <w:r>
              <w:rPr>
                <w:sz w:val="17"/>
              </w:rPr>
              <w:t>Capital</w:t>
            </w:r>
            <w:r>
              <w:rPr>
                <w:spacing w:val="-2"/>
                <w:sz w:val="17"/>
              </w:rPr>
              <w:t> </w:t>
            </w:r>
            <w:r>
              <w:rPr>
                <w:sz w:val="17"/>
              </w:rPr>
              <w:t>and</w:t>
            </w:r>
            <w:r>
              <w:rPr>
                <w:spacing w:val="-2"/>
                <w:sz w:val="17"/>
              </w:rPr>
              <w:t> Estates</w:t>
            </w:r>
          </w:p>
        </w:tc>
        <w:tc>
          <w:tcPr>
            <w:tcW w:w="5476" w:type="dxa"/>
          </w:tcPr>
          <w:p>
            <w:pPr>
              <w:pStyle w:val="TableParagraph"/>
              <w:spacing w:line="252" w:lineRule="auto" w:before="90"/>
              <w:ind w:left="92" w:right="97"/>
              <w:rPr>
                <w:sz w:val="17"/>
              </w:rPr>
            </w:pPr>
            <w:r>
              <w:rPr>
                <w:sz w:val="17"/>
              </w:rPr>
              <w:t>Managed</w:t>
            </w:r>
            <w:r>
              <w:rPr>
                <w:spacing w:val="-7"/>
                <w:sz w:val="17"/>
              </w:rPr>
              <w:t> </w:t>
            </w:r>
            <w:r>
              <w:rPr>
                <w:sz w:val="17"/>
              </w:rPr>
              <w:t>through</w:t>
            </w:r>
            <w:r>
              <w:rPr>
                <w:spacing w:val="-7"/>
                <w:sz w:val="17"/>
              </w:rPr>
              <w:t> </w:t>
            </w:r>
            <w:r>
              <w:rPr>
                <w:sz w:val="17"/>
              </w:rPr>
              <w:t>programme</w:t>
            </w:r>
            <w:r>
              <w:rPr>
                <w:spacing w:val="-7"/>
                <w:sz w:val="17"/>
              </w:rPr>
              <w:t> </w:t>
            </w:r>
            <w:r>
              <w:rPr>
                <w:sz w:val="17"/>
              </w:rPr>
              <w:t>boards,</w:t>
            </w:r>
            <w:r>
              <w:rPr>
                <w:spacing w:val="-10"/>
                <w:sz w:val="17"/>
              </w:rPr>
              <w:t> </w:t>
            </w:r>
            <w:r>
              <w:rPr>
                <w:sz w:val="17"/>
              </w:rPr>
              <w:t>business</w:t>
            </w:r>
            <w:r>
              <w:rPr>
                <w:spacing w:val="-8"/>
                <w:sz w:val="17"/>
              </w:rPr>
              <w:t> </w:t>
            </w:r>
            <w:r>
              <w:rPr>
                <w:sz w:val="17"/>
              </w:rPr>
              <w:t>case</w:t>
            </w:r>
            <w:r>
              <w:rPr>
                <w:spacing w:val="-7"/>
                <w:sz w:val="17"/>
              </w:rPr>
              <w:t> </w:t>
            </w:r>
            <w:r>
              <w:rPr>
                <w:sz w:val="17"/>
              </w:rPr>
              <w:t>development, Health Board approval processes and Welsh Government engagement for major capital schemes and infrastructure </w:t>
            </w:r>
            <w:r>
              <w:rPr>
                <w:spacing w:val="-2"/>
                <w:sz w:val="17"/>
              </w:rPr>
              <w:t>requirements.</w:t>
            </w:r>
          </w:p>
        </w:tc>
        <w:tc>
          <w:tcPr>
            <w:tcW w:w="1870" w:type="dxa"/>
          </w:tcPr>
          <w:p>
            <w:pPr>
              <w:pStyle w:val="TableParagraph"/>
              <w:spacing w:line="252" w:lineRule="auto" w:before="90"/>
              <w:ind w:left="92" w:right="432"/>
              <w:rPr>
                <w:sz w:val="17"/>
              </w:rPr>
            </w:pPr>
            <w:r>
              <w:rPr>
                <w:sz w:val="17"/>
              </w:rPr>
              <w:t>Marie</w:t>
            </w:r>
            <w:r>
              <w:rPr>
                <w:spacing w:val="-12"/>
                <w:sz w:val="17"/>
              </w:rPr>
              <w:t> </w:t>
            </w:r>
            <w:r>
              <w:rPr>
                <w:sz w:val="17"/>
              </w:rPr>
              <w:t>Davies/Lee </w:t>
            </w:r>
            <w:r>
              <w:rPr>
                <w:spacing w:val="-2"/>
                <w:sz w:val="17"/>
              </w:rPr>
              <w:t>Davies</w:t>
            </w:r>
          </w:p>
        </w:tc>
        <w:tc>
          <w:tcPr>
            <w:tcW w:w="1010" w:type="dxa"/>
            <w:shd w:val="clear" w:color="auto" w:fill="FFC000"/>
          </w:tcPr>
          <w:p>
            <w:pPr>
              <w:pStyle w:val="TableParagraph"/>
              <w:rPr>
                <w:rFonts w:ascii="Times New Roman"/>
                <w:sz w:val="16"/>
              </w:rPr>
            </w:pPr>
          </w:p>
        </w:tc>
        <w:tc>
          <w:tcPr>
            <w:tcW w:w="2300" w:type="dxa"/>
          </w:tcPr>
          <w:p>
            <w:pPr>
              <w:pStyle w:val="TableParagraph"/>
              <w:spacing w:before="90"/>
              <w:ind w:left="94"/>
              <w:rPr>
                <w:sz w:val="17"/>
              </w:rPr>
            </w:pPr>
            <w:r>
              <w:rPr>
                <w:sz w:val="17"/>
              </w:rPr>
              <w:t>Marie</w:t>
            </w:r>
            <w:r>
              <w:rPr>
                <w:spacing w:val="-4"/>
                <w:sz w:val="17"/>
              </w:rPr>
              <w:t> </w:t>
            </w:r>
            <w:r>
              <w:rPr>
                <w:sz w:val="17"/>
              </w:rPr>
              <w:t>Davies/Lee</w:t>
            </w:r>
            <w:r>
              <w:rPr>
                <w:spacing w:val="-3"/>
                <w:sz w:val="17"/>
              </w:rPr>
              <w:t> </w:t>
            </w:r>
            <w:r>
              <w:rPr>
                <w:spacing w:val="-2"/>
                <w:sz w:val="17"/>
              </w:rPr>
              <w:t>Davies</w:t>
            </w:r>
          </w:p>
        </w:tc>
      </w:tr>
    </w:tbl>
    <w:p>
      <w:pPr>
        <w:pStyle w:val="Heading8"/>
        <w:numPr>
          <w:ilvl w:val="0"/>
          <w:numId w:val="15"/>
        </w:numPr>
        <w:tabs>
          <w:tab w:pos="367" w:val="left" w:leader="none"/>
        </w:tabs>
        <w:spacing w:line="240" w:lineRule="auto" w:before="163" w:after="0"/>
        <w:ind w:left="367" w:right="0" w:hanging="284"/>
        <w:jc w:val="left"/>
      </w:pPr>
      <w:r>
        <w:rPr>
          <w:color w:val="001F5F"/>
          <w:spacing w:val="-2"/>
        </w:rPr>
        <w:t>Issues</w:t>
      </w:r>
    </w:p>
    <w:p>
      <w:pPr>
        <w:pStyle w:val="BodyText"/>
        <w:spacing w:before="10"/>
        <w:rPr>
          <w:b/>
          <w:sz w:val="10"/>
        </w:rPr>
      </w:pPr>
    </w:p>
    <w:tbl>
      <w:tblPr>
        <w:tblW w:w="0" w:type="auto"/>
        <w:jc w:val="left"/>
        <w:tblInd w:w="279"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860"/>
        <w:gridCol w:w="4322"/>
        <w:gridCol w:w="3601"/>
        <w:gridCol w:w="1875"/>
        <w:gridCol w:w="2160"/>
        <w:gridCol w:w="2345"/>
      </w:tblGrid>
      <w:tr>
        <w:trPr>
          <w:trHeight w:val="345" w:hRule="atLeast"/>
        </w:trPr>
        <w:tc>
          <w:tcPr>
            <w:tcW w:w="860" w:type="dxa"/>
            <w:shd w:val="clear" w:color="auto" w:fill="1F4E79"/>
          </w:tcPr>
          <w:p>
            <w:pPr>
              <w:pStyle w:val="TableParagraph"/>
              <w:spacing w:before="88"/>
              <w:ind w:left="87"/>
              <w:rPr>
                <w:b/>
                <w:sz w:val="14"/>
              </w:rPr>
            </w:pPr>
            <w:r>
              <w:rPr>
                <w:b/>
                <w:color w:val="FFFFFF"/>
                <w:spacing w:val="-5"/>
                <w:sz w:val="14"/>
              </w:rPr>
              <w:t>Ref</w:t>
            </w:r>
          </w:p>
        </w:tc>
        <w:tc>
          <w:tcPr>
            <w:tcW w:w="4322" w:type="dxa"/>
            <w:shd w:val="clear" w:color="auto" w:fill="1F4E79"/>
          </w:tcPr>
          <w:p>
            <w:pPr>
              <w:pStyle w:val="TableParagraph"/>
              <w:spacing w:before="88"/>
              <w:ind w:left="92"/>
              <w:rPr>
                <w:b/>
                <w:sz w:val="14"/>
              </w:rPr>
            </w:pPr>
            <w:r>
              <w:rPr>
                <w:b/>
                <w:color w:val="FFFFFF"/>
                <w:sz w:val="14"/>
              </w:rPr>
              <w:t>Issue</w:t>
            </w:r>
            <w:r>
              <w:rPr>
                <w:b/>
                <w:color w:val="FFFFFF"/>
                <w:spacing w:val="-2"/>
                <w:sz w:val="14"/>
              </w:rPr>
              <w:t> Description</w:t>
            </w:r>
          </w:p>
        </w:tc>
        <w:tc>
          <w:tcPr>
            <w:tcW w:w="3601" w:type="dxa"/>
            <w:shd w:val="clear" w:color="auto" w:fill="1F4E79"/>
          </w:tcPr>
          <w:p>
            <w:pPr>
              <w:pStyle w:val="TableParagraph"/>
              <w:spacing w:before="88"/>
              <w:ind w:left="92"/>
              <w:rPr>
                <w:b/>
                <w:sz w:val="14"/>
              </w:rPr>
            </w:pPr>
            <w:r>
              <w:rPr>
                <w:b/>
                <w:color w:val="FFFFFF"/>
                <w:spacing w:val="-2"/>
                <w:sz w:val="14"/>
              </w:rPr>
              <w:t>Impact</w:t>
            </w:r>
          </w:p>
        </w:tc>
        <w:tc>
          <w:tcPr>
            <w:tcW w:w="1875" w:type="dxa"/>
            <w:shd w:val="clear" w:color="auto" w:fill="1F4E79"/>
          </w:tcPr>
          <w:p>
            <w:pPr>
              <w:pStyle w:val="TableParagraph"/>
              <w:spacing w:before="88"/>
              <w:ind w:left="91"/>
              <w:rPr>
                <w:b/>
                <w:sz w:val="14"/>
              </w:rPr>
            </w:pPr>
            <w:r>
              <w:rPr>
                <w:b/>
                <w:color w:val="FFFFFF"/>
                <w:sz w:val="14"/>
              </w:rPr>
              <w:t>Action</w:t>
            </w:r>
            <w:r>
              <w:rPr>
                <w:b/>
                <w:color w:val="FFFFFF"/>
                <w:spacing w:val="-5"/>
                <w:sz w:val="14"/>
              </w:rPr>
              <w:t> </w:t>
            </w:r>
            <w:r>
              <w:rPr>
                <w:b/>
                <w:color w:val="FFFFFF"/>
                <w:spacing w:val="-2"/>
                <w:sz w:val="14"/>
              </w:rPr>
              <w:t>Owner</w:t>
            </w:r>
          </w:p>
        </w:tc>
        <w:tc>
          <w:tcPr>
            <w:tcW w:w="2160" w:type="dxa"/>
            <w:shd w:val="clear" w:color="auto" w:fill="1F4E79"/>
          </w:tcPr>
          <w:p>
            <w:pPr>
              <w:pStyle w:val="TableParagraph"/>
              <w:spacing w:before="88"/>
              <w:ind w:left="92"/>
              <w:rPr>
                <w:b/>
                <w:sz w:val="14"/>
              </w:rPr>
            </w:pPr>
            <w:r>
              <w:rPr>
                <w:b/>
                <w:color w:val="FFFFFF"/>
                <w:sz w:val="14"/>
              </w:rPr>
              <w:t>Target</w:t>
            </w:r>
            <w:r>
              <w:rPr>
                <w:b/>
                <w:color w:val="FFFFFF"/>
                <w:spacing w:val="-3"/>
                <w:sz w:val="14"/>
              </w:rPr>
              <w:t> </w:t>
            </w:r>
            <w:r>
              <w:rPr>
                <w:b/>
                <w:color w:val="FFFFFF"/>
                <w:sz w:val="14"/>
              </w:rPr>
              <w:t>Resolution</w:t>
            </w:r>
            <w:r>
              <w:rPr>
                <w:b/>
                <w:color w:val="FFFFFF"/>
                <w:spacing w:val="-1"/>
                <w:sz w:val="14"/>
              </w:rPr>
              <w:t> </w:t>
            </w:r>
            <w:r>
              <w:rPr>
                <w:b/>
                <w:color w:val="FFFFFF"/>
                <w:spacing w:val="-4"/>
                <w:sz w:val="14"/>
              </w:rPr>
              <w:t>Date</w:t>
            </w:r>
          </w:p>
        </w:tc>
        <w:tc>
          <w:tcPr>
            <w:tcW w:w="2345" w:type="dxa"/>
            <w:shd w:val="clear" w:color="auto" w:fill="1F4E79"/>
          </w:tcPr>
          <w:p>
            <w:pPr>
              <w:pStyle w:val="TableParagraph"/>
              <w:spacing w:before="88"/>
              <w:ind w:left="93"/>
              <w:rPr>
                <w:b/>
                <w:sz w:val="14"/>
              </w:rPr>
            </w:pPr>
            <w:r>
              <w:rPr>
                <w:b/>
                <w:color w:val="FFFFFF"/>
                <w:spacing w:val="-2"/>
                <w:sz w:val="14"/>
              </w:rPr>
              <w:t>Status</w:t>
            </w:r>
          </w:p>
        </w:tc>
      </w:tr>
      <w:tr>
        <w:trPr>
          <w:trHeight w:val="800" w:hRule="atLeast"/>
        </w:trPr>
        <w:tc>
          <w:tcPr>
            <w:tcW w:w="860" w:type="dxa"/>
          </w:tcPr>
          <w:p>
            <w:pPr>
              <w:pStyle w:val="TableParagraph"/>
              <w:rPr>
                <w:rFonts w:ascii="Times New Roman"/>
                <w:sz w:val="16"/>
              </w:rPr>
            </w:pPr>
          </w:p>
        </w:tc>
        <w:tc>
          <w:tcPr>
            <w:tcW w:w="4322" w:type="dxa"/>
          </w:tcPr>
          <w:p>
            <w:pPr>
              <w:pStyle w:val="TableParagraph"/>
              <w:rPr>
                <w:b/>
                <w:sz w:val="17"/>
              </w:rPr>
            </w:pPr>
          </w:p>
          <w:p>
            <w:pPr>
              <w:pStyle w:val="TableParagraph"/>
              <w:spacing w:line="252" w:lineRule="auto"/>
              <w:ind w:left="92"/>
              <w:rPr>
                <w:sz w:val="17"/>
              </w:rPr>
            </w:pPr>
            <w:r>
              <w:rPr>
                <w:sz w:val="17"/>
              </w:rPr>
              <w:t>Regional</w:t>
            </w:r>
            <w:r>
              <w:rPr>
                <w:spacing w:val="-9"/>
                <w:sz w:val="17"/>
              </w:rPr>
              <w:t> </w:t>
            </w:r>
            <w:r>
              <w:rPr>
                <w:sz w:val="17"/>
              </w:rPr>
              <w:t>Orthopaedics</w:t>
            </w:r>
            <w:r>
              <w:rPr>
                <w:spacing w:val="-11"/>
                <w:sz w:val="17"/>
              </w:rPr>
              <w:t> </w:t>
            </w:r>
            <w:r>
              <w:rPr>
                <w:sz w:val="17"/>
              </w:rPr>
              <w:t>finance,</w:t>
            </w:r>
            <w:r>
              <w:rPr>
                <w:spacing w:val="-12"/>
                <w:sz w:val="17"/>
              </w:rPr>
              <w:t> </w:t>
            </w:r>
            <w:r>
              <w:rPr>
                <w:sz w:val="17"/>
              </w:rPr>
              <w:t>commissioning</w:t>
            </w:r>
            <w:r>
              <w:rPr>
                <w:spacing w:val="-10"/>
                <w:sz w:val="17"/>
              </w:rPr>
              <w:t> </w:t>
            </w:r>
            <w:r>
              <w:rPr>
                <w:sz w:val="17"/>
              </w:rPr>
              <w:t>and contracting arrangements remain unresolved.</w:t>
            </w:r>
          </w:p>
        </w:tc>
        <w:tc>
          <w:tcPr>
            <w:tcW w:w="3601" w:type="dxa"/>
          </w:tcPr>
          <w:p>
            <w:pPr>
              <w:pStyle w:val="TableParagraph"/>
              <w:spacing w:line="252" w:lineRule="auto" w:before="90"/>
              <w:ind w:left="92" w:right="263"/>
              <w:rPr>
                <w:sz w:val="17"/>
              </w:rPr>
            </w:pPr>
            <w:r>
              <w:rPr>
                <w:sz w:val="17"/>
              </w:rPr>
              <w:t>Delays agreement and implementation of cross-boundary</w:t>
            </w:r>
            <w:r>
              <w:rPr>
                <w:spacing w:val="-12"/>
                <w:sz w:val="17"/>
              </w:rPr>
              <w:t> </w:t>
            </w:r>
            <w:r>
              <w:rPr>
                <w:sz w:val="17"/>
              </w:rPr>
              <w:t>delivery</w:t>
            </w:r>
            <w:r>
              <w:rPr>
                <w:spacing w:val="-12"/>
                <w:sz w:val="17"/>
              </w:rPr>
              <w:t> </w:t>
            </w:r>
            <w:r>
              <w:rPr>
                <w:sz w:val="17"/>
              </w:rPr>
              <w:t>arrangements</w:t>
            </w:r>
            <w:r>
              <w:rPr>
                <w:spacing w:val="-12"/>
                <w:sz w:val="17"/>
              </w:rPr>
              <w:t> </w:t>
            </w:r>
            <w:r>
              <w:rPr>
                <w:sz w:val="17"/>
              </w:rPr>
              <w:t>and the future regional model.</w:t>
            </w:r>
          </w:p>
        </w:tc>
        <w:tc>
          <w:tcPr>
            <w:tcW w:w="1875" w:type="dxa"/>
          </w:tcPr>
          <w:p>
            <w:pPr>
              <w:pStyle w:val="TableParagraph"/>
              <w:rPr>
                <w:b/>
                <w:sz w:val="17"/>
              </w:rPr>
            </w:pPr>
          </w:p>
          <w:p>
            <w:pPr>
              <w:pStyle w:val="TableParagraph"/>
              <w:spacing w:line="252" w:lineRule="auto"/>
              <w:ind w:left="91" w:right="272"/>
              <w:rPr>
                <w:sz w:val="17"/>
              </w:rPr>
            </w:pPr>
            <w:r>
              <w:rPr>
                <w:sz w:val="17"/>
              </w:rPr>
              <w:t>Huw</w:t>
            </w:r>
            <w:r>
              <w:rPr>
                <w:spacing w:val="-12"/>
                <w:sz w:val="17"/>
              </w:rPr>
              <w:t> </w:t>
            </w:r>
            <w:r>
              <w:rPr>
                <w:sz w:val="17"/>
              </w:rPr>
              <w:t>Thomas/Claire </w:t>
            </w:r>
            <w:r>
              <w:rPr>
                <w:spacing w:val="-2"/>
                <w:sz w:val="17"/>
              </w:rPr>
              <w:t>Osmundsen-Little</w:t>
            </w:r>
          </w:p>
        </w:tc>
        <w:tc>
          <w:tcPr>
            <w:tcW w:w="2160" w:type="dxa"/>
          </w:tcPr>
          <w:p>
            <w:pPr>
              <w:pStyle w:val="TableParagraph"/>
              <w:spacing w:line="252" w:lineRule="auto" w:before="90"/>
              <w:ind w:left="92"/>
              <w:rPr>
                <w:sz w:val="17"/>
              </w:rPr>
            </w:pPr>
            <w:r>
              <w:rPr>
                <w:sz w:val="17"/>
              </w:rPr>
              <w:t>TBC</w:t>
            </w:r>
            <w:r>
              <w:rPr>
                <w:spacing w:val="-12"/>
                <w:sz w:val="17"/>
              </w:rPr>
              <w:t> </w:t>
            </w:r>
            <w:r>
              <w:rPr>
                <w:sz w:val="17"/>
              </w:rPr>
              <w:t>through</w:t>
            </w:r>
            <w:r>
              <w:rPr>
                <w:spacing w:val="-12"/>
                <w:sz w:val="17"/>
              </w:rPr>
              <w:t> </w:t>
            </w:r>
            <w:r>
              <w:rPr>
                <w:sz w:val="17"/>
              </w:rPr>
              <w:t>finance, commissioning and contracting work</w:t>
            </w:r>
          </w:p>
        </w:tc>
        <w:tc>
          <w:tcPr>
            <w:tcW w:w="2345" w:type="dxa"/>
          </w:tcPr>
          <w:p>
            <w:pPr>
              <w:pStyle w:val="TableParagraph"/>
              <w:spacing w:before="100"/>
              <w:rPr>
                <w:b/>
                <w:sz w:val="17"/>
              </w:rPr>
            </w:pPr>
          </w:p>
          <w:p>
            <w:pPr>
              <w:pStyle w:val="TableParagraph"/>
              <w:ind w:left="93"/>
              <w:rPr>
                <w:sz w:val="17"/>
              </w:rPr>
            </w:pPr>
            <w:r>
              <w:rPr>
                <w:spacing w:val="-4"/>
                <w:sz w:val="17"/>
              </w:rPr>
              <w:t>Open</w:t>
            </w:r>
          </w:p>
        </w:tc>
      </w:tr>
      <w:tr>
        <w:trPr>
          <w:trHeight w:val="1000" w:hRule="atLeast"/>
        </w:trPr>
        <w:tc>
          <w:tcPr>
            <w:tcW w:w="860" w:type="dxa"/>
          </w:tcPr>
          <w:p>
            <w:pPr>
              <w:pStyle w:val="TableParagraph"/>
              <w:rPr>
                <w:rFonts w:ascii="Times New Roman"/>
                <w:sz w:val="16"/>
              </w:rPr>
            </w:pPr>
          </w:p>
        </w:tc>
        <w:tc>
          <w:tcPr>
            <w:tcW w:w="4322" w:type="dxa"/>
          </w:tcPr>
          <w:p>
            <w:pPr>
              <w:pStyle w:val="TableParagraph"/>
              <w:spacing w:line="252" w:lineRule="auto" w:before="90"/>
              <w:ind w:left="92" w:right="107"/>
              <w:rPr>
                <w:sz w:val="17"/>
              </w:rPr>
            </w:pPr>
            <w:r>
              <w:rPr>
                <w:sz w:val="17"/>
              </w:rPr>
              <w:t>Regional</w:t>
            </w:r>
            <w:r>
              <w:rPr>
                <w:spacing w:val="-7"/>
                <w:sz w:val="17"/>
              </w:rPr>
              <w:t> </w:t>
            </w:r>
            <w:r>
              <w:rPr>
                <w:sz w:val="17"/>
              </w:rPr>
              <w:t>Eye</w:t>
            </w:r>
            <w:r>
              <w:rPr>
                <w:spacing w:val="-8"/>
                <w:sz w:val="17"/>
              </w:rPr>
              <w:t> </w:t>
            </w:r>
            <w:r>
              <w:rPr>
                <w:sz w:val="17"/>
              </w:rPr>
              <w:t>Care</w:t>
            </w:r>
            <w:r>
              <w:rPr>
                <w:spacing w:val="-8"/>
                <w:sz w:val="17"/>
              </w:rPr>
              <w:t> </w:t>
            </w:r>
            <w:r>
              <w:rPr>
                <w:sz w:val="17"/>
              </w:rPr>
              <w:t>Programme</w:t>
            </w:r>
            <w:r>
              <w:rPr>
                <w:spacing w:val="-8"/>
                <w:sz w:val="17"/>
              </w:rPr>
              <w:t> </w:t>
            </w:r>
            <w:r>
              <w:rPr>
                <w:sz w:val="17"/>
              </w:rPr>
              <w:t>requires</w:t>
            </w:r>
            <w:r>
              <w:rPr>
                <w:spacing w:val="-8"/>
                <w:sz w:val="17"/>
              </w:rPr>
              <w:t> </w:t>
            </w:r>
            <w:r>
              <w:rPr>
                <w:sz w:val="17"/>
              </w:rPr>
              <w:t>clarification</w:t>
            </w:r>
            <w:r>
              <w:rPr>
                <w:spacing w:val="-8"/>
                <w:sz w:val="17"/>
              </w:rPr>
              <w:t> </w:t>
            </w:r>
            <w:r>
              <w:rPr>
                <w:sz w:val="17"/>
              </w:rPr>
              <w:t>of its intended plan and an assessment of the implications</w:t>
            </w:r>
            <w:r>
              <w:rPr>
                <w:spacing w:val="-7"/>
                <w:sz w:val="17"/>
              </w:rPr>
              <w:t> </w:t>
            </w:r>
            <w:r>
              <w:rPr>
                <w:sz w:val="17"/>
              </w:rPr>
              <w:t>of</w:t>
            </w:r>
            <w:r>
              <w:rPr>
                <w:spacing w:val="-8"/>
                <w:sz w:val="17"/>
              </w:rPr>
              <w:t> </w:t>
            </w:r>
            <w:r>
              <w:rPr>
                <w:sz w:val="17"/>
              </w:rPr>
              <w:t>Welsh</w:t>
            </w:r>
            <w:r>
              <w:rPr>
                <w:spacing w:val="-6"/>
                <w:sz w:val="17"/>
              </w:rPr>
              <w:t> </w:t>
            </w:r>
            <w:r>
              <w:rPr>
                <w:sz w:val="17"/>
              </w:rPr>
              <w:t>Government</w:t>
            </w:r>
            <w:r>
              <w:rPr>
                <w:spacing w:val="-4"/>
                <w:sz w:val="17"/>
              </w:rPr>
              <w:t> </w:t>
            </w:r>
            <w:r>
              <w:rPr>
                <w:sz w:val="17"/>
              </w:rPr>
              <w:t>funding</w:t>
            </w:r>
            <w:r>
              <w:rPr>
                <w:spacing w:val="-6"/>
                <w:sz w:val="17"/>
              </w:rPr>
              <w:t> </w:t>
            </w:r>
            <w:r>
              <w:rPr>
                <w:sz w:val="17"/>
              </w:rPr>
              <w:t>being</w:t>
            </w:r>
            <w:r>
              <w:rPr>
                <w:spacing w:val="-6"/>
                <w:sz w:val="17"/>
              </w:rPr>
              <w:t> </w:t>
            </w:r>
            <w:r>
              <w:rPr>
                <w:sz w:val="17"/>
              </w:rPr>
              <w:t>lower than the amount bid for.</w:t>
            </w:r>
          </w:p>
        </w:tc>
        <w:tc>
          <w:tcPr>
            <w:tcW w:w="3601" w:type="dxa"/>
          </w:tcPr>
          <w:p>
            <w:pPr>
              <w:pStyle w:val="TableParagraph"/>
              <w:spacing w:line="252" w:lineRule="auto" w:before="190"/>
              <w:ind w:left="92"/>
              <w:rPr>
                <w:sz w:val="17"/>
              </w:rPr>
            </w:pPr>
            <w:r>
              <w:rPr>
                <w:sz w:val="17"/>
              </w:rPr>
              <w:t>May affect programme scope, delivery trajectory</w:t>
            </w:r>
            <w:r>
              <w:rPr>
                <w:spacing w:val="-10"/>
                <w:sz w:val="17"/>
              </w:rPr>
              <w:t> </w:t>
            </w:r>
            <w:r>
              <w:rPr>
                <w:sz w:val="17"/>
              </w:rPr>
              <w:t>and</w:t>
            </w:r>
            <w:r>
              <w:rPr>
                <w:spacing w:val="-5"/>
                <w:sz w:val="17"/>
              </w:rPr>
              <w:t> </w:t>
            </w:r>
            <w:r>
              <w:rPr>
                <w:sz w:val="17"/>
              </w:rPr>
              <w:t>the</w:t>
            </w:r>
            <w:r>
              <w:rPr>
                <w:spacing w:val="-9"/>
                <w:sz w:val="17"/>
              </w:rPr>
              <w:t> </w:t>
            </w:r>
            <w:r>
              <w:rPr>
                <w:sz w:val="17"/>
              </w:rPr>
              <w:t>intended</w:t>
            </w:r>
            <w:r>
              <w:rPr>
                <w:spacing w:val="-9"/>
                <w:sz w:val="17"/>
              </w:rPr>
              <w:t> </w:t>
            </w:r>
            <w:r>
              <w:rPr>
                <w:sz w:val="17"/>
              </w:rPr>
              <w:t>improvement</w:t>
            </w:r>
            <w:r>
              <w:rPr>
                <w:spacing w:val="-12"/>
                <w:sz w:val="17"/>
              </w:rPr>
              <w:t> </w:t>
            </w:r>
            <w:r>
              <w:rPr>
                <w:sz w:val="17"/>
              </w:rPr>
              <w:t>and equalisation of cataract waiting times.</w:t>
            </w:r>
          </w:p>
        </w:tc>
        <w:tc>
          <w:tcPr>
            <w:tcW w:w="1875" w:type="dxa"/>
          </w:tcPr>
          <w:p>
            <w:pPr>
              <w:pStyle w:val="TableParagraph"/>
              <w:spacing w:before="90"/>
              <w:ind w:left="91"/>
              <w:rPr>
                <w:sz w:val="17"/>
              </w:rPr>
            </w:pPr>
            <w:r>
              <w:rPr>
                <w:sz w:val="17"/>
              </w:rPr>
              <w:t>Craige</w:t>
            </w:r>
            <w:r>
              <w:rPr>
                <w:spacing w:val="-2"/>
                <w:sz w:val="17"/>
              </w:rPr>
              <w:t> Wilson</w:t>
            </w:r>
          </w:p>
        </w:tc>
        <w:tc>
          <w:tcPr>
            <w:tcW w:w="2160" w:type="dxa"/>
          </w:tcPr>
          <w:p>
            <w:pPr>
              <w:pStyle w:val="TableParagraph"/>
              <w:spacing w:before="99"/>
              <w:rPr>
                <w:b/>
                <w:sz w:val="17"/>
              </w:rPr>
            </w:pPr>
          </w:p>
          <w:p>
            <w:pPr>
              <w:pStyle w:val="TableParagraph"/>
              <w:spacing w:line="252" w:lineRule="auto" w:before="1"/>
              <w:ind w:left="92" w:right="125"/>
              <w:rPr>
                <w:sz w:val="17"/>
              </w:rPr>
            </w:pPr>
            <w:r>
              <w:rPr>
                <w:sz w:val="17"/>
              </w:rPr>
              <w:t>TBC following Programme</w:t>
            </w:r>
            <w:r>
              <w:rPr>
                <w:spacing w:val="-12"/>
                <w:sz w:val="17"/>
              </w:rPr>
              <w:t> </w:t>
            </w:r>
            <w:r>
              <w:rPr>
                <w:sz w:val="17"/>
              </w:rPr>
              <w:t>Board</w:t>
            </w:r>
            <w:r>
              <w:rPr>
                <w:spacing w:val="-12"/>
                <w:sz w:val="17"/>
              </w:rPr>
              <w:t> </w:t>
            </w:r>
            <w:r>
              <w:rPr>
                <w:sz w:val="17"/>
              </w:rPr>
              <w:t>review</w:t>
            </w:r>
          </w:p>
        </w:tc>
        <w:tc>
          <w:tcPr>
            <w:tcW w:w="2345" w:type="dxa"/>
          </w:tcPr>
          <w:p>
            <w:pPr>
              <w:pStyle w:val="TableParagraph"/>
              <w:rPr>
                <w:b/>
                <w:sz w:val="17"/>
              </w:rPr>
            </w:pPr>
          </w:p>
          <w:p>
            <w:pPr>
              <w:pStyle w:val="TableParagraph"/>
              <w:spacing w:before="4"/>
              <w:rPr>
                <w:b/>
                <w:sz w:val="17"/>
              </w:rPr>
            </w:pPr>
          </w:p>
          <w:p>
            <w:pPr>
              <w:pStyle w:val="TableParagraph"/>
              <w:ind w:left="93"/>
              <w:rPr>
                <w:sz w:val="17"/>
              </w:rPr>
            </w:pPr>
            <w:r>
              <w:rPr>
                <w:spacing w:val="-4"/>
                <w:sz w:val="17"/>
              </w:rPr>
              <w:t>Open</w:t>
            </w:r>
          </w:p>
        </w:tc>
      </w:tr>
    </w:tbl>
    <w:p>
      <w:pPr>
        <w:pStyle w:val="Heading8"/>
        <w:ind w:left="83" w:firstLine="0"/>
      </w:pPr>
      <w:r>
        <w:rPr>
          <w:color w:val="001F5F"/>
        </w:rPr>
        <w:t>RAG</w:t>
      </w:r>
      <w:r>
        <w:rPr>
          <w:color w:val="001F5F"/>
          <w:spacing w:val="-8"/>
        </w:rPr>
        <w:t> </w:t>
      </w:r>
      <w:r>
        <w:rPr>
          <w:color w:val="001F5F"/>
        </w:rPr>
        <w:t>Definitions</w:t>
      </w:r>
      <w:r>
        <w:rPr>
          <w:color w:val="001F5F"/>
          <w:spacing w:val="-4"/>
        </w:rPr>
        <w:t> </w:t>
      </w:r>
      <w:r>
        <w:rPr>
          <w:color w:val="001F5F"/>
        </w:rPr>
        <w:t>and</w:t>
      </w:r>
      <w:r>
        <w:rPr>
          <w:color w:val="001F5F"/>
          <w:spacing w:val="-4"/>
        </w:rPr>
        <w:t> </w:t>
      </w:r>
      <w:r>
        <w:rPr>
          <w:color w:val="001F5F"/>
        </w:rPr>
        <w:t>Scoring</w:t>
      </w:r>
      <w:r>
        <w:rPr>
          <w:color w:val="001F5F"/>
          <w:spacing w:val="-4"/>
        </w:rPr>
        <w:t> </w:t>
      </w:r>
      <w:r>
        <w:rPr>
          <w:color w:val="001F5F"/>
          <w:spacing w:val="-2"/>
        </w:rPr>
        <w:t>Guidance</w:t>
      </w:r>
    </w:p>
    <w:p>
      <w:pPr>
        <w:spacing w:before="204"/>
        <w:ind w:left="83" w:right="0" w:firstLine="0"/>
        <w:jc w:val="left"/>
        <w:rPr>
          <w:b/>
          <w:sz w:val="22"/>
        </w:rPr>
      </w:pPr>
      <w:r>
        <w:rPr>
          <w:b/>
          <w:color w:val="1F4E79"/>
          <w:sz w:val="22"/>
        </w:rPr>
        <w:t>Delivery</w:t>
      </w:r>
      <w:r>
        <w:rPr>
          <w:b/>
          <w:color w:val="1F4E79"/>
          <w:spacing w:val="-4"/>
          <w:sz w:val="22"/>
        </w:rPr>
        <w:t> </w:t>
      </w:r>
      <w:r>
        <w:rPr>
          <w:b/>
          <w:color w:val="1F4E79"/>
          <w:sz w:val="22"/>
        </w:rPr>
        <w:t>RAG</w:t>
      </w:r>
      <w:r>
        <w:rPr>
          <w:b/>
          <w:color w:val="1F4E79"/>
          <w:spacing w:val="-2"/>
          <w:sz w:val="22"/>
        </w:rPr>
        <w:t> Definitions</w:t>
      </w:r>
    </w:p>
    <w:p>
      <w:pPr>
        <w:pStyle w:val="BodyText"/>
        <w:spacing w:before="3"/>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861"/>
        <w:gridCol w:w="13664"/>
      </w:tblGrid>
      <w:tr>
        <w:trPr>
          <w:trHeight w:val="370" w:hRule="atLeast"/>
        </w:trPr>
        <w:tc>
          <w:tcPr>
            <w:tcW w:w="1861" w:type="dxa"/>
            <w:shd w:val="clear" w:color="auto" w:fill="1F4E79"/>
          </w:tcPr>
          <w:p>
            <w:pPr>
              <w:pStyle w:val="TableParagraph"/>
              <w:spacing w:before="90"/>
              <w:ind w:left="87"/>
              <w:rPr>
                <w:b/>
                <w:sz w:val="16"/>
              </w:rPr>
            </w:pPr>
            <w:r>
              <w:rPr>
                <w:b/>
                <w:color w:val="FFFFFF"/>
                <w:spacing w:val="-5"/>
                <w:sz w:val="16"/>
              </w:rPr>
              <w:t>RAG</w:t>
            </w:r>
          </w:p>
        </w:tc>
        <w:tc>
          <w:tcPr>
            <w:tcW w:w="13664" w:type="dxa"/>
            <w:shd w:val="clear" w:color="auto" w:fill="1F4E79"/>
          </w:tcPr>
          <w:p>
            <w:pPr>
              <w:pStyle w:val="TableParagraph"/>
              <w:spacing w:before="90"/>
              <w:ind w:left="92"/>
              <w:rPr>
                <w:b/>
                <w:sz w:val="16"/>
              </w:rPr>
            </w:pPr>
            <w:r>
              <w:rPr>
                <w:b/>
                <w:color w:val="FFFFFF"/>
                <w:spacing w:val="-2"/>
                <w:sz w:val="16"/>
              </w:rPr>
              <w:t>Definition</w:t>
            </w:r>
          </w:p>
        </w:tc>
      </w:tr>
    </w:tbl>
    <w:p>
      <w:pPr>
        <w:spacing w:before="147"/>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279" name="Image 279"/>
            <wp:cNvGraphicFramePr>
              <a:graphicFrameLocks/>
            </wp:cNvGraphicFramePr>
            <a:graphic>
              <a:graphicData uri="http://schemas.openxmlformats.org/drawingml/2006/picture">
                <pic:pic>
                  <pic:nvPicPr>
                    <pic:cNvPr id="279" name="Image 279"/>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280" name="Image 280"/>
            <wp:cNvGraphicFramePr>
              <a:graphicFrameLocks/>
            </wp:cNvGraphicFramePr>
            <a:graphic>
              <a:graphicData uri="http://schemas.openxmlformats.org/drawingml/2006/picture">
                <pic:pic>
                  <pic:nvPicPr>
                    <pic:cNvPr id="280" name="Image 280"/>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861"/>
        <w:gridCol w:w="13664"/>
      </w:tblGrid>
      <w:tr>
        <w:trPr>
          <w:trHeight w:val="375" w:hRule="atLeast"/>
        </w:trPr>
        <w:tc>
          <w:tcPr>
            <w:tcW w:w="1861" w:type="dxa"/>
            <w:shd w:val="clear" w:color="auto" w:fill="404040"/>
          </w:tcPr>
          <w:p>
            <w:pPr>
              <w:pStyle w:val="TableParagraph"/>
              <w:spacing w:before="89"/>
              <w:ind w:left="87"/>
              <w:rPr>
                <w:b/>
                <w:sz w:val="16"/>
              </w:rPr>
            </w:pPr>
            <w:r>
              <w:rPr>
                <w:b/>
                <w:color w:val="FFFFFF"/>
                <w:spacing w:val="-2"/>
                <w:sz w:val="16"/>
              </w:rPr>
              <w:t>Black</w:t>
            </w:r>
          </w:p>
        </w:tc>
        <w:tc>
          <w:tcPr>
            <w:tcW w:w="13664" w:type="dxa"/>
          </w:tcPr>
          <w:p>
            <w:pPr>
              <w:pStyle w:val="TableParagraph"/>
              <w:spacing w:before="89"/>
              <w:ind w:left="92"/>
              <w:rPr>
                <w:sz w:val="16"/>
              </w:rPr>
            </w:pPr>
            <w:r>
              <w:rPr>
                <w:sz w:val="16"/>
              </w:rPr>
              <w:t>Activity</w:t>
            </w:r>
            <w:r>
              <w:rPr>
                <w:spacing w:val="-2"/>
                <w:sz w:val="16"/>
              </w:rPr>
              <w:t> </w:t>
            </w:r>
            <w:r>
              <w:rPr>
                <w:sz w:val="16"/>
              </w:rPr>
              <w:t>has</w:t>
            </w:r>
            <w:r>
              <w:rPr>
                <w:spacing w:val="-1"/>
                <w:sz w:val="16"/>
              </w:rPr>
              <w:t> </w:t>
            </w:r>
            <w:r>
              <w:rPr>
                <w:sz w:val="16"/>
              </w:rPr>
              <w:t>yet</w:t>
            </w:r>
            <w:r>
              <w:rPr>
                <w:spacing w:val="-2"/>
                <w:sz w:val="16"/>
              </w:rPr>
              <w:t> </w:t>
            </w:r>
            <w:r>
              <w:rPr>
                <w:sz w:val="16"/>
              </w:rPr>
              <w:t>to </w:t>
            </w:r>
            <w:r>
              <w:rPr>
                <w:spacing w:val="-2"/>
                <w:sz w:val="16"/>
              </w:rPr>
              <w:t>commence.</w:t>
            </w:r>
          </w:p>
        </w:tc>
      </w:tr>
      <w:tr>
        <w:trPr>
          <w:trHeight w:val="370" w:hRule="atLeast"/>
        </w:trPr>
        <w:tc>
          <w:tcPr>
            <w:tcW w:w="1861" w:type="dxa"/>
            <w:shd w:val="clear" w:color="auto" w:fill="C00000"/>
          </w:tcPr>
          <w:p>
            <w:pPr>
              <w:pStyle w:val="TableParagraph"/>
              <w:spacing w:before="90"/>
              <w:ind w:left="87"/>
              <w:rPr>
                <w:b/>
                <w:sz w:val="16"/>
              </w:rPr>
            </w:pPr>
            <w:r>
              <w:rPr>
                <w:b/>
                <w:color w:val="FFFFFF"/>
                <w:spacing w:val="-5"/>
                <w:sz w:val="16"/>
              </w:rPr>
              <w:t>Red</w:t>
            </w:r>
          </w:p>
        </w:tc>
        <w:tc>
          <w:tcPr>
            <w:tcW w:w="13664" w:type="dxa"/>
          </w:tcPr>
          <w:p>
            <w:pPr>
              <w:pStyle w:val="TableParagraph"/>
              <w:spacing w:before="90"/>
              <w:ind w:left="92"/>
              <w:rPr>
                <w:sz w:val="16"/>
              </w:rPr>
            </w:pPr>
            <w:r>
              <w:rPr>
                <w:sz w:val="16"/>
              </w:rPr>
              <w:t>Objective/output/milestone</w:t>
            </w:r>
            <w:r>
              <w:rPr>
                <w:spacing w:val="-3"/>
                <w:sz w:val="16"/>
              </w:rPr>
              <w:t> </w:t>
            </w:r>
            <w:r>
              <w:rPr>
                <w:sz w:val="16"/>
              </w:rPr>
              <w:t>will</w:t>
            </w:r>
            <w:r>
              <w:rPr>
                <w:spacing w:val="-5"/>
                <w:sz w:val="16"/>
              </w:rPr>
              <w:t> </w:t>
            </w:r>
            <w:r>
              <w:rPr>
                <w:sz w:val="16"/>
              </w:rPr>
              <w:t>not</w:t>
            </w:r>
            <w:r>
              <w:rPr>
                <w:spacing w:val="-8"/>
                <w:sz w:val="16"/>
              </w:rPr>
              <w:t> </w:t>
            </w:r>
            <w:r>
              <w:rPr>
                <w:sz w:val="16"/>
              </w:rPr>
              <w:t>be</w:t>
            </w:r>
            <w:r>
              <w:rPr>
                <w:spacing w:val="-3"/>
                <w:sz w:val="16"/>
              </w:rPr>
              <w:t> </w:t>
            </w:r>
            <w:r>
              <w:rPr>
                <w:sz w:val="16"/>
              </w:rPr>
              <w:t>delivered</w:t>
            </w:r>
            <w:r>
              <w:rPr>
                <w:spacing w:val="-2"/>
                <w:sz w:val="16"/>
              </w:rPr>
              <w:t> </w:t>
            </w:r>
            <w:r>
              <w:rPr>
                <w:sz w:val="16"/>
              </w:rPr>
              <w:t>within</w:t>
            </w:r>
            <w:r>
              <w:rPr>
                <w:spacing w:val="-7"/>
                <w:sz w:val="16"/>
              </w:rPr>
              <w:t> </w:t>
            </w:r>
            <w:r>
              <w:rPr>
                <w:sz w:val="16"/>
              </w:rPr>
              <w:t>agreed</w:t>
            </w:r>
            <w:r>
              <w:rPr>
                <w:spacing w:val="-3"/>
                <w:sz w:val="16"/>
              </w:rPr>
              <w:t> </w:t>
            </w:r>
            <w:r>
              <w:rPr>
                <w:sz w:val="16"/>
              </w:rPr>
              <w:t>timeline.</w:t>
            </w:r>
            <w:r>
              <w:rPr>
                <w:spacing w:val="-4"/>
                <w:sz w:val="16"/>
              </w:rPr>
              <w:t> </w:t>
            </w:r>
            <w:r>
              <w:rPr>
                <w:sz w:val="16"/>
              </w:rPr>
              <w:t>Immediate</w:t>
            </w:r>
            <w:r>
              <w:rPr>
                <w:spacing w:val="-7"/>
                <w:sz w:val="16"/>
              </w:rPr>
              <w:t> </w:t>
            </w:r>
            <w:r>
              <w:rPr>
                <w:sz w:val="16"/>
              </w:rPr>
              <w:t>corrective</w:t>
            </w:r>
            <w:r>
              <w:rPr>
                <w:spacing w:val="-3"/>
                <w:sz w:val="16"/>
              </w:rPr>
              <w:t> </w:t>
            </w:r>
            <w:r>
              <w:rPr>
                <w:sz w:val="16"/>
              </w:rPr>
              <w:t>action</w:t>
            </w:r>
            <w:r>
              <w:rPr>
                <w:spacing w:val="-2"/>
                <w:sz w:val="16"/>
              </w:rPr>
              <w:t> </w:t>
            </w:r>
            <w:r>
              <w:rPr>
                <w:sz w:val="16"/>
              </w:rPr>
              <w:t>required</w:t>
            </w:r>
            <w:r>
              <w:rPr>
                <w:spacing w:val="-8"/>
                <w:sz w:val="16"/>
              </w:rPr>
              <w:t> </w:t>
            </w:r>
            <w:r>
              <w:rPr>
                <w:sz w:val="16"/>
              </w:rPr>
              <w:t>or</w:t>
            </w:r>
            <w:r>
              <w:rPr>
                <w:spacing w:val="-2"/>
                <w:sz w:val="16"/>
              </w:rPr>
              <w:t> </w:t>
            </w:r>
            <w:r>
              <w:rPr>
                <w:sz w:val="16"/>
              </w:rPr>
              <w:t>formal</w:t>
            </w:r>
            <w:r>
              <w:rPr>
                <w:spacing w:val="-5"/>
                <w:sz w:val="16"/>
              </w:rPr>
              <w:t> </w:t>
            </w:r>
            <w:r>
              <w:rPr>
                <w:sz w:val="16"/>
              </w:rPr>
              <w:t>change</w:t>
            </w:r>
            <w:r>
              <w:rPr>
                <w:spacing w:val="-7"/>
                <w:sz w:val="16"/>
              </w:rPr>
              <w:t> </w:t>
            </w:r>
            <w:r>
              <w:rPr>
                <w:sz w:val="16"/>
              </w:rPr>
              <w:t>action</w:t>
            </w:r>
            <w:r>
              <w:rPr>
                <w:spacing w:val="-3"/>
                <w:sz w:val="16"/>
              </w:rPr>
              <w:t> </w:t>
            </w:r>
            <w:r>
              <w:rPr>
                <w:sz w:val="16"/>
              </w:rPr>
              <w:t>initiated.</w:t>
            </w:r>
            <w:r>
              <w:rPr>
                <w:spacing w:val="-3"/>
                <w:sz w:val="16"/>
              </w:rPr>
              <w:t> </w:t>
            </w:r>
            <w:r>
              <w:rPr>
                <w:sz w:val="16"/>
              </w:rPr>
              <w:t>Report</w:t>
            </w:r>
            <w:r>
              <w:rPr>
                <w:spacing w:val="-4"/>
                <w:sz w:val="16"/>
              </w:rPr>
              <w:t> </w:t>
            </w:r>
            <w:r>
              <w:rPr>
                <w:sz w:val="16"/>
              </w:rPr>
              <w:t>as</w:t>
            </w:r>
            <w:r>
              <w:rPr>
                <w:spacing w:val="-4"/>
                <w:sz w:val="16"/>
              </w:rPr>
              <w:t> </w:t>
            </w:r>
            <w:r>
              <w:rPr>
                <w:sz w:val="16"/>
              </w:rPr>
              <w:t>Advise</w:t>
            </w:r>
            <w:r>
              <w:rPr>
                <w:spacing w:val="-7"/>
                <w:sz w:val="16"/>
              </w:rPr>
              <w:t> </w:t>
            </w:r>
            <w:r>
              <w:rPr>
                <w:sz w:val="16"/>
              </w:rPr>
              <w:t>or</w:t>
            </w:r>
            <w:r>
              <w:rPr>
                <w:spacing w:val="-2"/>
                <w:sz w:val="16"/>
              </w:rPr>
              <w:t> Alert.</w:t>
            </w:r>
          </w:p>
        </w:tc>
      </w:tr>
      <w:tr>
        <w:trPr>
          <w:trHeight w:val="375" w:hRule="atLeast"/>
        </w:trPr>
        <w:tc>
          <w:tcPr>
            <w:tcW w:w="1861" w:type="dxa"/>
            <w:shd w:val="clear" w:color="auto" w:fill="FFC000"/>
          </w:tcPr>
          <w:p>
            <w:pPr>
              <w:pStyle w:val="TableParagraph"/>
              <w:spacing w:before="90"/>
              <w:ind w:left="87"/>
              <w:rPr>
                <w:b/>
                <w:sz w:val="16"/>
              </w:rPr>
            </w:pPr>
            <w:r>
              <w:rPr>
                <w:b/>
                <w:spacing w:val="-4"/>
                <w:sz w:val="16"/>
              </w:rPr>
              <w:t>Amber</w:t>
            </w:r>
          </w:p>
        </w:tc>
        <w:tc>
          <w:tcPr>
            <w:tcW w:w="13664" w:type="dxa"/>
          </w:tcPr>
          <w:p>
            <w:pPr>
              <w:pStyle w:val="TableParagraph"/>
              <w:spacing w:before="90"/>
              <w:ind w:left="92"/>
              <w:rPr>
                <w:sz w:val="16"/>
              </w:rPr>
            </w:pPr>
            <w:r>
              <w:rPr>
                <w:sz w:val="16"/>
              </w:rPr>
              <w:t>Forecasting</w:t>
            </w:r>
            <w:r>
              <w:rPr>
                <w:spacing w:val="-3"/>
                <w:sz w:val="16"/>
              </w:rPr>
              <w:t> </w:t>
            </w:r>
            <w:r>
              <w:rPr>
                <w:sz w:val="16"/>
              </w:rPr>
              <w:t>that</w:t>
            </w:r>
            <w:r>
              <w:rPr>
                <w:spacing w:val="-3"/>
                <w:sz w:val="16"/>
              </w:rPr>
              <w:t> </w:t>
            </w:r>
            <w:r>
              <w:rPr>
                <w:sz w:val="16"/>
              </w:rPr>
              <w:t>there</w:t>
            </w:r>
            <w:r>
              <w:rPr>
                <w:spacing w:val="-2"/>
                <w:sz w:val="16"/>
              </w:rPr>
              <w:t> </w:t>
            </w:r>
            <w:r>
              <w:rPr>
                <w:sz w:val="16"/>
              </w:rPr>
              <w:t>is</w:t>
            </w:r>
            <w:r>
              <w:rPr>
                <w:spacing w:val="-4"/>
                <w:sz w:val="16"/>
              </w:rPr>
              <w:t> </w:t>
            </w:r>
            <w:r>
              <w:rPr>
                <w:sz w:val="16"/>
              </w:rPr>
              <w:t>a</w:t>
            </w:r>
            <w:r>
              <w:rPr>
                <w:spacing w:val="-2"/>
                <w:sz w:val="16"/>
              </w:rPr>
              <w:t> </w:t>
            </w:r>
            <w:r>
              <w:rPr>
                <w:sz w:val="16"/>
              </w:rPr>
              <w:t>significant</w:t>
            </w:r>
            <w:r>
              <w:rPr>
                <w:spacing w:val="-3"/>
                <w:sz w:val="16"/>
              </w:rPr>
              <w:t> </w:t>
            </w:r>
            <w:r>
              <w:rPr>
                <w:sz w:val="16"/>
              </w:rPr>
              <w:t>risk</w:t>
            </w:r>
            <w:r>
              <w:rPr>
                <w:spacing w:val="-4"/>
                <w:sz w:val="16"/>
              </w:rPr>
              <w:t> </w:t>
            </w:r>
            <w:r>
              <w:rPr>
                <w:sz w:val="16"/>
              </w:rPr>
              <w:t>that</w:t>
            </w:r>
            <w:r>
              <w:rPr>
                <w:spacing w:val="-3"/>
                <w:sz w:val="16"/>
              </w:rPr>
              <w:t> </w:t>
            </w:r>
            <w:r>
              <w:rPr>
                <w:sz w:val="16"/>
              </w:rPr>
              <w:t>objective/output/milestone</w:t>
            </w:r>
            <w:r>
              <w:rPr>
                <w:spacing w:val="-7"/>
                <w:sz w:val="16"/>
              </w:rPr>
              <w:t> </w:t>
            </w:r>
            <w:r>
              <w:rPr>
                <w:sz w:val="16"/>
              </w:rPr>
              <w:t>will</w:t>
            </w:r>
            <w:r>
              <w:rPr>
                <w:spacing w:val="-4"/>
                <w:sz w:val="16"/>
              </w:rPr>
              <w:t> </w:t>
            </w:r>
            <w:r>
              <w:rPr>
                <w:sz w:val="16"/>
              </w:rPr>
              <w:t>not</w:t>
            </w:r>
            <w:r>
              <w:rPr>
                <w:spacing w:val="-3"/>
                <w:sz w:val="16"/>
              </w:rPr>
              <w:t> </w:t>
            </w:r>
            <w:r>
              <w:rPr>
                <w:sz w:val="16"/>
              </w:rPr>
              <w:t>be</w:t>
            </w:r>
            <w:r>
              <w:rPr>
                <w:spacing w:val="-3"/>
                <w:sz w:val="16"/>
              </w:rPr>
              <w:t> </w:t>
            </w:r>
            <w:r>
              <w:rPr>
                <w:sz w:val="16"/>
              </w:rPr>
              <w:t>delivered.</w:t>
            </w:r>
            <w:r>
              <w:rPr>
                <w:spacing w:val="-8"/>
                <w:sz w:val="16"/>
              </w:rPr>
              <w:t> </w:t>
            </w:r>
            <w:r>
              <w:rPr>
                <w:sz w:val="16"/>
              </w:rPr>
              <w:t>Mitigating</w:t>
            </w:r>
            <w:r>
              <w:rPr>
                <w:spacing w:val="-7"/>
                <w:sz w:val="16"/>
              </w:rPr>
              <w:t> </w:t>
            </w:r>
            <w:r>
              <w:rPr>
                <w:sz w:val="16"/>
              </w:rPr>
              <w:t>action</w:t>
            </w:r>
            <w:r>
              <w:rPr>
                <w:spacing w:val="-2"/>
                <w:sz w:val="16"/>
              </w:rPr>
              <w:t> </w:t>
            </w:r>
            <w:r>
              <w:rPr>
                <w:sz w:val="16"/>
              </w:rPr>
              <w:t>is</w:t>
            </w:r>
            <w:r>
              <w:rPr>
                <w:spacing w:val="-3"/>
                <w:sz w:val="16"/>
              </w:rPr>
              <w:t> </w:t>
            </w:r>
            <w:r>
              <w:rPr>
                <w:sz w:val="16"/>
              </w:rPr>
              <w:t>being</w:t>
            </w:r>
            <w:r>
              <w:rPr>
                <w:spacing w:val="-2"/>
                <w:sz w:val="16"/>
              </w:rPr>
              <w:t> taken.</w:t>
            </w:r>
          </w:p>
        </w:tc>
      </w:tr>
      <w:tr>
        <w:trPr>
          <w:trHeight w:val="375" w:hRule="atLeast"/>
        </w:trPr>
        <w:tc>
          <w:tcPr>
            <w:tcW w:w="1861" w:type="dxa"/>
            <w:shd w:val="clear" w:color="auto" w:fill="00AF50"/>
          </w:tcPr>
          <w:p>
            <w:pPr>
              <w:pStyle w:val="TableParagraph"/>
              <w:spacing w:before="90"/>
              <w:ind w:left="87"/>
              <w:rPr>
                <w:b/>
                <w:sz w:val="16"/>
              </w:rPr>
            </w:pPr>
            <w:r>
              <w:rPr>
                <w:b/>
                <w:color w:val="FFFFFF"/>
                <w:spacing w:val="-2"/>
                <w:sz w:val="16"/>
              </w:rPr>
              <w:t>Green</w:t>
            </w:r>
          </w:p>
        </w:tc>
        <w:tc>
          <w:tcPr>
            <w:tcW w:w="13664" w:type="dxa"/>
          </w:tcPr>
          <w:p>
            <w:pPr>
              <w:pStyle w:val="TableParagraph"/>
              <w:spacing w:before="90"/>
              <w:ind w:left="92"/>
              <w:rPr>
                <w:sz w:val="16"/>
              </w:rPr>
            </w:pPr>
            <w:r>
              <w:rPr>
                <w:sz w:val="16"/>
              </w:rPr>
              <w:t>Objective/output/milestone</w:t>
            </w:r>
            <w:r>
              <w:rPr>
                <w:spacing w:val="-4"/>
                <w:sz w:val="16"/>
              </w:rPr>
              <w:t> </w:t>
            </w:r>
            <w:r>
              <w:rPr>
                <w:sz w:val="16"/>
              </w:rPr>
              <w:t>forecast</w:t>
            </w:r>
            <w:r>
              <w:rPr>
                <w:spacing w:val="-4"/>
                <w:sz w:val="16"/>
              </w:rPr>
              <w:t> </w:t>
            </w:r>
            <w:r>
              <w:rPr>
                <w:sz w:val="16"/>
              </w:rPr>
              <w:t>to</w:t>
            </w:r>
            <w:r>
              <w:rPr>
                <w:spacing w:val="-3"/>
                <w:sz w:val="16"/>
              </w:rPr>
              <w:t> </w:t>
            </w:r>
            <w:r>
              <w:rPr>
                <w:sz w:val="16"/>
              </w:rPr>
              <w:t>be</w:t>
            </w:r>
            <w:r>
              <w:rPr>
                <w:spacing w:val="-3"/>
                <w:sz w:val="16"/>
              </w:rPr>
              <w:t> </w:t>
            </w:r>
            <w:r>
              <w:rPr>
                <w:sz w:val="16"/>
              </w:rPr>
              <w:t>on</w:t>
            </w:r>
            <w:r>
              <w:rPr>
                <w:spacing w:val="-4"/>
                <w:sz w:val="16"/>
              </w:rPr>
              <w:t> </w:t>
            </w:r>
            <w:r>
              <w:rPr>
                <w:sz w:val="16"/>
              </w:rPr>
              <w:t>time</w:t>
            </w:r>
            <w:r>
              <w:rPr>
                <w:spacing w:val="-7"/>
                <w:sz w:val="16"/>
              </w:rPr>
              <w:t> </w:t>
            </w:r>
            <w:r>
              <w:rPr>
                <w:sz w:val="16"/>
              </w:rPr>
              <w:t>or</w:t>
            </w:r>
            <w:r>
              <w:rPr>
                <w:spacing w:val="-3"/>
                <w:sz w:val="16"/>
              </w:rPr>
              <w:t> </w:t>
            </w:r>
            <w:r>
              <w:rPr>
                <w:spacing w:val="-2"/>
                <w:sz w:val="16"/>
              </w:rPr>
              <w:t>early.</w:t>
            </w:r>
          </w:p>
        </w:tc>
      </w:tr>
      <w:tr>
        <w:trPr>
          <w:trHeight w:val="370" w:hRule="atLeast"/>
        </w:trPr>
        <w:tc>
          <w:tcPr>
            <w:tcW w:w="1861" w:type="dxa"/>
            <w:shd w:val="clear" w:color="auto" w:fill="006FC0"/>
          </w:tcPr>
          <w:p>
            <w:pPr>
              <w:pStyle w:val="TableParagraph"/>
              <w:spacing w:before="90"/>
              <w:ind w:left="87"/>
              <w:rPr>
                <w:b/>
                <w:sz w:val="16"/>
              </w:rPr>
            </w:pPr>
            <w:r>
              <w:rPr>
                <w:b/>
                <w:color w:val="FFFFFF"/>
                <w:spacing w:val="-4"/>
                <w:sz w:val="16"/>
              </w:rPr>
              <w:t>Blue</w:t>
            </w:r>
          </w:p>
        </w:tc>
        <w:tc>
          <w:tcPr>
            <w:tcW w:w="13664" w:type="dxa"/>
          </w:tcPr>
          <w:p>
            <w:pPr>
              <w:pStyle w:val="TableParagraph"/>
              <w:spacing w:before="90"/>
              <w:ind w:left="92"/>
              <w:rPr>
                <w:sz w:val="16"/>
              </w:rPr>
            </w:pPr>
            <w:r>
              <w:rPr>
                <w:sz w:val="16"/>
              </w:rPr>
              <w:t>Task </w:t>
            </w:r>
            <w:r>
              <w:rPr>
                <w:spacing w:val="-2"/>
                <w:sz w:val="16"/>
              </w:rPr>
              <w:t>complete.</w:t>
            </w:r>
          </w:p>
        </w:tc>
      </w:tr>
    </w:tbl>
    <w:p>
      <w:pPr>
        <w:spacing w:before="181"/>
        <w:ind w:left="83" w:right="0" w:firstLine="0"/>
        <w:jc w:val="left"/>
        <w:rPr>
          <w:b/>
          <w:sz w:val="22"/>
        </w:rPr>
      </w:pPr>
      <w:r>
        <w:rPr>
          <w:b/>
          <w:color w:val="1F4E79"/>
          <w:sz w:val="22"/>
        </w:rPr>
        <w:t>Risk</w:t>
      </w:r>
      <w:r>
        <w:rPr>
          <w:b/>
          <w:color w:val="1F4E79"/>
          <w:spacing w:val="1"/>
          <w:sz w:val="22"/>
        </w:rPr>
        <w:t> </w:t>
      </w:r>
      <w:r>
        <w:rPr>
          <w:b/>
          <w:color w:val="1F4E79"/>
          <w:sz w:val="22"/>
        </w:rPr>
        <w:t>RAG</w:t>
      </w:r>
      <w:r>
        <w:rPr>
          <w:b/>
          <w:color w:val="1F4E79"/>
          <w:spacing w:val="-3"/>
          <w:sz w:val="22"/>
        </w:rPr>
        <w:t> </w:t>
      </w:r>
      <w:r>
        <w:rPr>
          <w:b/>
          <w:color w:val="1F4E79"/>
          <w:spacing w:val="-2"/>
          <w:sz w:val="22"/>
        </w:rPr>
        <w:t>Definitions</w:t>
      </w:r>
    </w:p>
    <w:p>
      <w:pPr>
        <w:pStyle w:val="BodyText"/>
        <w:spacing w:before="3"/>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861"/>
        <w:gridCol w:w="13664"/>
      </w:tblGrid>
      <w:tr>
        <w:trPr>
          <w:trHeight w:val="375" w:hRule="atLeast"/>
        </w:trPr>
        <w:tc>
          <w:tcPr>
            <w:tcW w:w="1861" w:type="dxa"/>
            <w:shd w:val="clear" w:color="auto" w:fill="1F4E79"/>
          </w:tcPr>
          <w:p>
            <w:pPr>
              <w:pStyle w:val="TableParagraph"/>
              <w:spacing w:before="90"/>
              <w:ind w:left="87"/>
              <w:rPr>
                <w:b/>
                <w:sz w:val="16"/>
              </w:rPr>
            </w:pPr>
            <w:r>
              <w:rPr>
                <w:b/>
                <w:color w:val="FFFFFF"/>
                <w:spacing w:val="-5"/>
                <w:sz w:val="16"/>
              </w:rPr>
              <w:t>RAG</w:t>
            </w:r>
          </w:p>
        </w:tc>
        <w:tc>
          <w:tcPr>
            <w:tcW w:w="13664" w:type="dxa"/>
            <w:shd w:val="clear" w:color="auto" w:fill="1F4E79"/>
          </w:tcPr>
          <w:p>
            <w:pPr>
              <w:pStyle w:val="TableParagraph"/>
              <w:spacing w:before="90"/>
              <w:ind w:left="92"/>
              <w:rPr>
                <w:b/>
                <w:sz w:val="16"/>
              </w:rPr>
            </w:pPr>
            <w:r>
              <w:rPr>
                <w:b/>
                <w:color w:val="FFFFFF"/>
                <w:spacing w:val="-2"/>
                <w:sz w:val="16"/>
              </w:rPr>
              <w:t>Definition</w:t>
            </w:r>
          </w:p>
        </w:tc>
      </w:tr>
      <w:tr>
        <w:trPr>
          <w:trHeight w:val="375" w:hRule="atLeast"/>
        </w:trPr>
        <w:tc>
          <w:tcPr>
            <w:tcW w:w="1861" w:type="dxa"/>
            <w:shd w:val="clear" w:color="auto" w:fill="C00000"/>
          </w:tcPr>
          <w:p>
            <w:pPr>
              <w:pStyle w:val="TableParagraph"/>
              <w:spacing w:before="90"/>
              <w:ind w:left="87"/>
              <w:rPr>
                <w:b/>
                <w:sz w:val="16"/>
              </w:rPr>
            </w:pPr>
            <w:r>
              <w:rPr>
                <w:b/>
                <w:color w:val="FFFFFF"/>
                <w:spacing w:val="-5"/>
                <w:sz w:val="16"/>
              </w:rPr>
              <w:t>Red</w:t>
            </w:r>
          </w:p>
        </w:tc>
        <w:tc>
          <w:tcPr>
            <w:tcW w:w="13664" w:type="dxa"/>
          </w:tcPr>
          <w:p>
            <w:pPr>
              <w:pStyle w:val="TableParagraph"/>
              <w:spacing w:before="90"/>
              <w:ind w:left="92"/>
              <w:rPr>
                <w:sz w:val="16"/>
              </w:rPr>
            </w:pPr>
            <w:r>
              <w:rPr>
                <w:sz w:val="16"/>
              </w:rPr>
              <w:t>High</w:t>
            </w:r>
            <w:r>
              <w:rPr>
                <w:spacing w:val="-3"/>
                <w:sz w:val="16"/>
              </w:rPr>
              <w:t> </w:t>
            </w:r>
            <w:r>
              <w:rPr>
                <w:sz w:val="16"/>
              </w:rPr>
              <w:t>likelihood</w:t>
            </w:r>
            <w:r>
              <w:rPr>
                <w:spacing w:val="-2"/>
                <w:sz w:val="16"/>
              </w:rPr>
              <w:t> </w:t>
            </w:r>
            <w:r>
              <w:rPr>
                <w:sz w:val="16"/>
              </w:rPr>
              <w:t>and/or</w:t>
            </w:r>
            <w:r>
              <w:rPr>
                <w:spacing w:val="-6"/>
                <w:sz w:val="16"/>
              </w:rPr>
              <w:t> </w:t>
            </w:r>
            <w:r>
              <w:rPr>
                <w:sz w:val="16"/>
              </w:rPr>
              <w:t>high</w:t>
            </w:r>
            <w:r>
              <w:rPr>
                <w:spacing w:val="-2"/>
                <w:sz w:val="16"/>
              </w:rPr>
              <w:t> </w:t>
            </w:r>
            <w:r>
              <w:rPr>
                <w:sz w:val="16"/>
              </w:rPr>
              <w:t>impact</w:t>
            </w:r>
            <w:r>
              <w:rPr>
                <w:spacing w:val="-3"/>
                <w:sz w:val="16"/>
              </w:rPr>
              <w:t> </w:t>
            </w:r>
            <w:r>
              <w:rPr>
                <w:sz w:val="16"/>
              </w:rPr>
              <w:t>risk</w:t>
            </w:r>
            <w:r>
              <w:rPr>
                <w:spacing w:val="-8"/>
                <w:sz w:val="16"/>
              </w:rPr>
              <w:t> </w:t>
            </w:r>
            <w:r>
              <w:rPr>
                <w:sz w:val="16"/>
              </w:rPr>
              <w:t>requiring</w:t>
            </w:r>
            <w:r>
              <w:rPr>
                <w:spacing w:val="-3"/>
                <w:sz w:val="16"/>
              </w:rPr>
              <w:t> </w:t>
            </w:r>
            <w:r>
              <w:rPr>
                <w:sz w:val="16"/>
              </w:rPr>
              <w:t>active</w:t>
            </w:r>
            <w:r>
              <w:rPr>
                <w:spacing w:val="-6"/>
                <w:sz w:val="16"/>
              </w:rPr>
              <w:t> </w:t>
            </w:r>
            <w:r>
              <w:rPr>
                <w:spacing w:val="-2"/>
                <w:sz w:val="16"/>
              </w:rPr>
              <w:t>management.</w:t>
            </w:r>
          </w:p>
        </w:tc>
      </w:tr>
      <w:tr>
        <w:trPr>
          <w:trHeight w:val="370" w:hRule="atLeast"/>
        </w:trPr>
        <w:tc>
          <w:tcPr>
            <w:tcW w:w="1861" w:type="dxa"/>
            <w:shd w:val="clear" w:color="auto" w:fill="FFC000"/>
          </w:tcPr>
          <w:p>
            <w:pPr>
              <w:pStyle w:val="TableParagraph"/>
              <w:spacing w:before="90"/>
              <w:ind w:left="87"/>
              <w:rPr>
                <w:b/>
                <w:sz w:val="16"/>
              </w:rPr>
            </w:pPr>
            <w:r>
              <w:rPr>
                <w:b/>
                <w:spacing w:val="-4"/>
                <w:sz w:val="16"/>
              </w:rPr>
              <w:t>Amber</w:t>
            </w:r>
          </w:p>
        </w:tc>
        <w:tc>
          <w:tcPr>
            <w:tcW w:w="13664" w:type="dxa"/>
          </w:tcPr>
          <w:p>
            <w:pPr>
              <w:pStyle w:val="TableParagraph"/>
              <w:spacing w:before="90"/>
              <w:ind w:left="92"/>
              <w:rPr>
                <w:sz w:val="16"/>
              </w:rPr>
            </w:pPr>
            <w:r>
              <w:rPr>
                <w:sz w:val="16"/>
              </w:rPr>
              <w:t>Moderate</w:t>
            </w:r>
            <w:r>
              <w:rPr>
                <w:spacing w:val="-2"/>
                <w:sz w:val="16"/>
              </w:rPr>
              <w:t> </w:t>
            </w:r>
            <w:r>
              <w:rPr>
                <w:sz w:val="16"/>
              </w:rPr>
              <w:t>risk</w:t>
            </w:r>
            <w:r>
              <w:rPr>
                <w:spacing w:val="-8"/>
                <w:sz w:val="16"/>
              </w:rPr>
              <w:t> </w:t>
            </w:r>
            <w:r>
              <w:rPr>
                <w:sz w:val="16"/>
              </w:rPr>
              <w:t>requiring</w:t>
            </w:r>
            <w:r>
              <w:rPr>
                <w:spacing w:val="-2"/>
                <w:sz w:val="16"/>
              </w:rPr>
              <w:t> </w:t>
            </w:r>
            <w:r>
              <w:rPr>
                <w:sz w:val="16"/>
              </w:rPr>
              <w:t>monitoring</w:t>
            </w:r>
            <w:r>
              <w:rPr>
                <w:spacing w:val="-6"/>
                <w:sz w:val="16"/>
              </w:rPr>
              <w:t> </w:t>
            </w:r>
            <w:r>
              <w:rPr>
                <w:sz w:val="16"/>
              </w:rPr>
              <w:t>and</w:t>
            </w:r>
            <w:r>
              <w:rPr>
                <w:spacing w:val="-6"/>
                <w:sz w:val="16"/>
              </w:rPr>
              <w:t> </w:t>
            </w:r>
            <w:r>
              <w:rPr>
                <w:spacing w:val="-2"/>
                <w:sz w:val="16"/>
              </w:rPr>
              <w:t>mitigation.</w:t>
            </w:r>
          </w:p>
        </w:tc>
      </w:tr>
      <w:tr>
        <w:trPr>
          <w:trHeight w:val="375" w:hRule="atLeast"/>
        </w:trPr>
        <w:tc>
          <w:tcPr>
            <w:tcW w:w="1861" w:type="dxa"/>
            <w:shd w:val="clear" w:color="auto" w:fill="00AF50"/>
          </w:tcPr>
          <w:p>
            <w:pPr>
              <w:pStyle w:val="TableParagraph"/>
              <w:spacing w:before="90"/>
              <w:ind w:left="87"/>
              <w:rPr>
                <w:b/>
                <w:sz w:val="16"/>
              </w:rPr>
            </w:pPr>
            <w:r>
              <w:rPr>
                <w:b/>
                <w:color w:val="FFFFFF"/>
                <w:spacing w:val="-2"/>
                <w:sz w:val="16"/>
              </w:rPr>
              <w:t>Green</w:t>
            </w:r>
          </w:p>
        </w:tc>
        <w:tc>
          <w:tcPr>
            <w:tcW w:w="13664" w:type="dxa"/>
          </w:tcPr>
          <w:p>
            <w:pPr>
              <w:pStyle w:val="TableParagraph"/>
              <w:spacing w:before="90"/>
              <w:ind w:left="92"/>
              <w:rPr>
                <w:sz w:val="16"/>
              </w:rPr>
            </w:pPr>
            <w:r>
              <w:rPr>
                <w:sz w:val="16"/>
              </w:rPr>
              <w:t>Low</w:t>
            </w:r>
            <w:r>
              <w:rPr>
                <w:spacing w:val="-3"/>
                <w:sz w:val="16"/>
              </w:rPr>
              <w:t> </w:t>
            </w:r>
            <w:r>
              <w:rPr>
                <w:sz w:val="16"/>
              </w:rPr>
              <w:t>risk</w:t>
            </w:r>
            <w:r>
              <w:rPr>
                <w:spacing w:val="-2"/>
                <w:sz w:val="16"/>
              </w:rPr>
              <w:t> </w:t>
            </w:r>
            <w:r>
              <w:rPr>
                <w:sz w:val="16"/>
              </w:rPr>
              <w:t>with</w:t>
            </w:r>
            <w:r>
              <w:rPr>
                <w:spacing w:val="-1"/>
                <w:sz w:val="16"/>
              </w:rPr>
              <w:t> </w:t>
            </w:r>
            <w:r>
              <w:rPr>
                <w:sz w:val="16"/>
              </w:rPr>
              <w:t>routine</w:t>
            </w:r>
            <w:r>
              <w:rPr>
                <w:spacing w:val="-5"/>
                <w:sz w:val="16"/>
              </w:rPr>
              <w:t> </w:t>
            </w:r>
            <w:r>
              <w:rPr>
                <w:spacing w:val="-2"/>
                <w:sz w:val="16"/>
              </w:rPr>
              <w:t>monitoring.</w:t>
            </w:r>
          </w:p>
        </w:tc>
      </w:tr>
    </w:tbl>
    <w:p>
      <w:pPr>
        <w:spacing w:before="159"/>
        <w:ind w:left="83" w:right="0" w:firstLine="0"/>
        <w:jc w:val="left"/>
        <w:rPr>
          <w:b/>
          <w:sz w:val="22"/>
        </w:rPr>
      </w:pPr>
      <w:r>
        <w:rPr>
          <w:b/>
          <w:color w:val="1F4E79"/>
          <w:sz w:val="22"/>
        </w:rPr>
        <w:t>Risk</w:t>
      </w:r>
      <w:r>
        <w:rPr>
          <w:b/>
          <w:color w:val="1F4E79"/>
          <w:spacing w:val="-1"/>
          <w:sz w:val="22"/>
        </w:rPr>
        <w:t> </w:t>
      </w:r>
      <w:r>
        <w:rPr>
          <w:b/>
          <w:color w:val="1F4E79"/>
          <w:sz w:val="22"/>
        </w:rPr>
        <w:t>Scoring</w:t>
      </w:r>
      <w:r>
        <w:rPr>
          <w:b/>
          <w:color w:val="1F4E79"/>
          <w:spacing w:val="-1"/>
          <w:sz w:val="22"/>
        </w:rPr>
        <w:t> </w:t>
      </w:r>
      <w:r>
        <w:rPr>
          <w:b/>
          <w:color w:val="1F4E79"/>
          <w:spacing w:val="-2"/>
          <w:sz w:val="22"/>
        </w:rPr>
        <w:t>Matrix</w:t>
      </w:r>
    </w:p>
    <w:p>
      <w:pPr>
        <w:pStyle w:val="BodyText"/>
        <w:spacing w:before="3" w:after="1"/>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2586"/>
        <w:gridCol w:w="2586"/>
        <w:gridCol w:w="2591"/>
        <w:gridCol w:w="2585"/>
        <w:gridCol w:w="2591"/>
        <w:gridCol w:w="2586"/>
      </w:tblGrid>
      <w:tr>
        <w:trPr>
          <w:trHeight w:val="360" w:hRule="atLeast"/>
        </w:trPr>
        <w:tc>
          <w:tcPr>
            <w:tcW w:w="2586" w:type="dxa"/>
            <w:shd w:val="clear" w:color="auto" w:fill="1F4E79"/>
          </w:tcPr>
          <w:p>
            <w:pPr>
              <w:pStyle w:val="TableParagraph"/>
              <w:spacing w:before="89"/>
              <w:ind w:left="87"/>
              <w:rPr>
                <w:b/>
                <w:sz w:val="15"/>
              </w:rPr>
            </w:pPr>
            <w:r>
              <w:rPr>
                <w:b/>
                <w:color w:val="FFFFFF"/>
                <w:sz w:val="15"/>
              </w:rPr>
              <w:t>Likelihood</w:t>
            </w:r>
            <w:r>
              <w:rPr>
                <w:b/>
                <w:color w:val="FFFFFF"/>
                <w:spacing w:val="-3"/>
                <w:sz w:val="15"/>
              </w:rPr>
              <w:t> </w:t>
            </w:r>
            <w:r>
              <w:rPr>
                <w:b/>
                <w:color w:val="FFFFFF"/>
                <w:sz w:val="15"/>
              </w:rPr>
              <w:t>/</w:t>
            </w:r>
            <w:r>
              <w:rPr>
                <w:b/>
                <w:color w:val="FFFFFF"/>
                <w:spacing w:val="-7"/>
                <w:sz w:val="15"/>
              </w:rPr>
              <w:t> </w:t>
            </w:r>
            <w:r>
              <w:rPr>
                <w:b/>
                <w:color w:val="FFFFFF"/>
                <w:spacing w:val="-2"/>
                <w:sz w:val="15"/>
              </w:rPr>
              <w:t>Impact</w:t>
            </w:r>
          </w:p>
        </w:tc>
        <w:tc>
          <w:tcPr>
            <w:tcW w:w="2586" w:type="dxa"/>
            <w:shd w:val="clear" w:color="auto" w:fill="1F4E79"/>
          </w:tcPr>
          <w:p>
            <w:pPr>
              <w:pStyle w:val="TableParagraph"/>
              <w:spacing w:before="89"/>
              <w:ind w:left="92"/>
              <w:rPr>
                <w:b/>
                <w:sz w:val="15"/>
              </w:rPr>
            </w:pPr>
            <w:r>
              <w:rPr>
                <w:b/>
                <w:color w:val="FFFFFF"/>
                <w:spacing w:val="-10"/>
                <w:sz w:val="15"/>
              </w:rPr>
              <w:t>1</w:t>
            </w:r>
          </w:p>
        </w:tc>
        <w:tc>
          <w:tcPr>
            <w:tcW w:w="2591" w:type="dxa"/>
            <w:shd w:val="clear" w:color="auto" w:fill="1F4E79"/>
          </w:tcPr>
          <w:p>
            <w:pPr>
              <w:pStyle w:val="TableParagraph"/>
              <w:spacing w:before="89"/>
              <w:ind w:left="92"/>
              <w:rPr>
                <w:b/>
                <w:sz w:val="15"/>
              </w:rPr>
            </w:pPr>
            <w:r>
              <w:rPr>
                <w:b/>
                <w:color w:val="FFFFFF"/>
                <w:spacing w:val="-10"/>
                <w:sz w:val="15"/>
              </w:rPr>
              <w:t>2</w:t>
            </w:r>
          </w:p>
        </w:tc>
        <w:tc>
          <w:tcPr>
            <w:tcW w:w="2585" w:type="dxa"/>
            <w:shd w:val="clear" w:color="auto" w:fill="1F4E79"/>
          </w:tcPr>
          <w:p>
            <w:pPr>
              <w:pStyle w:val="TableParagraph"/>
              <w:spacing w:before="89"/>
              <w:ind w:left="87"/>
              <w:rPr>
                <w:b/>
                <w:sz w:val="15"/>
              </w:rPr>
            </w:pPr>
            <w:r>
              <w:rPr>
                <w:b/>
                <w:color w:val="FFFFFF"/>
                <w:spacing w:val="-10"/>
                <w:sz w:val="15"/>
              </w:rPr>
              <w:t>3</w:t>
            </w:r>
          </w:p>
        </w:tc>
        <w:tc>
          <w:tcPr>
            <w:tcW w:w="2591" w:type="dxa"/>
            <w:shd w:val="clear" w:color="auto" w:fill="1F4E79"/>
          </w:tcPr>
          <w:p>
            <w:pPr>
              <w:pStyle w:val="TableParagraph"/>
              <w:spacing w:before="89"/>
              <w:ind w:left="92"/>
              <w:rPr>
                <w:b/>
                <w:sz w:val="15"/>
              </w:rPr>
            </w:pPr>
            <w:r>
              <w:rPr>
                <w:b/>
                <w:color w:val="FFFFFF"/>
                <w:spacing w:val="-10"/>
                <w:sz w:val="15"/>
              </w:rPr>
              <w:t>4</w:t>
            </w:r>
          </w:p>
        </w:tc>
        <w:tc>
          <w:tcPr>
            <w:tcW w:w="2586" w:type="dxa"/>
            <w:shd w:val="clear" w:color="auto" w:fill="1F4E79"/>
          </w:tcPr>
          <w:p>
            <w:pPr>
              <w:pStyle w:val="TableParagraph"/>
              <w:spacing w:before="89"/>
              <w:ind w:left="87"/>
              <w:rPr>
                <w:b/>
                <w:sz w:val="15"/>
              </w:rPr>
            </w:pPr>
            <w:r>
              <w:rPr>
                <w:b/>
                <w:color w:val="FFFFFF"/>
                <w:spacing w:val="-10"/>
                <w:sz w:val="15"/>
              </w:rPr>
              <w:t>5</w:t>
            </w:r>
          </w:p>
        </w:tc>
      </w:tr>
      <w:tr>
        <w:trPr>
          <w:trHeight w:val="365" w:hRule="atLeast"/>
        </w:trPr>
        <w:tc>
          <w:tcPr>
            <w:tcW w:w="2586" w:type="dxa"/>
            <w:shd w:val="clear" w:color="auto" w:fill="D9EAF7"/>
          </w:tcPr>
          <w:p>
            <w:pPr>
              <w:pStyle w:val="TableParagraph"/>
              <w:spacing w:before="90"/>
              <w:ind w:left="87"/>
              <w:rPr>
                <w:b/>
                <w:sz w:val="15"/>
              </w:rPr>
            </w:pPr>
            <w:r>
              <w:rPr>
                <w:b/>
                <w:sz w:val="15"/>
              </w:rPr>
              <w:t>Almost</w:t>
            </w:r>
            <w:r>
              <w:rPr>
                <w:b/>
                <w:spacing w:val="-2"/>
                <w:sz w:val="15"/>
              </w:rPr>
              <w:t> </w:t>
            </w:r>
            <w:r>
              <w:rPr>
                <w:b/>
                <w:sz w:val="15"/>
              </w:rPr>
              <w:t>Certain</w:t>
            </w:r>
            <w:r>
              <w:rPr>
                <w:b/>
                <w:spacing w:val="-4"/>
                <w:sz w:val="15"/>
              </w:rPr>
              <w:t> </w:t>
            </w:r>
            <w:r>
              <w:rPr>
                <w:b/>
                <w:spacing w:val="-5"/>
                <w:sz w:val="15"/>
              </w:rPr>
              <w:t>(5)</w:t>
            </w:r>
          </w:p>
        </w:tc>
        <w:tc>
          <w:tcPr>
            <w:tcW w:w="2586" w:type="dxa"/>
          </w:tcPr>
          <w:p>
            <w:pPr>
              <w:pStyle w:val="TableParagraph"/>
              <w:spacing w:before="90"/>
              <w:ind w:left="92"/>
              <w:rPr>
                <w:sz w:val="15"/>
              </w:rPr>
            </w:pPr>
            <w:r>
              <w:rPr>
                <w:spacing w:val="-10"/>
                <w:sz w:val="15"/>
              </w:rPr>
              <w:t>5</w:t>
            </w:r>
          </w:p>
        </w:tc>
        <w:tc>
          <w:tcPr>
            <w:tcW w:w="2591" w:type="dxa"/>
          </w:tcPr>
          <w:p>
            <w:pPr>
              <w:pStyle w:val="TableParagraph"/>
              <w:spacing w:before="90"/>
              <w:ind w:left="92"/>
              <w:rPr>
                <w:sz w:val="15"/>
              </w:rPr>
            </w:pPr>
            <w:r>
              <w:rPr>
                <w:spacing w:val="-5"/>
                <w:sz w:val="15"/>
              </w:rPr>
              <w:t>10</w:t>
            </w:r>
          </w:p>
        </w:tc>
        <w:tc>
          <w:tcPr>
            <w:tcW w:w="2585" w:type="dxa"/>
          </w:tcPr>
          <w:p>
            <w:pPr>
              <w:pStyle w:val="TableParagraph"/>
              <w:spacing w:before="90"/>
              <w:ind w:left="87"/>
              <w:rPr>
                <w:sz w:val="15"/>
              </w:rPr>
            </w:pPr>
            <w:r>
              <w:rPr>
                <w:spacing w:val="-5"/>
                <w:sz w:val="15"/>
              </w:rPr>
              <w:t>15</w:t>
            </w:r>
          </w:p>
        </w:tc>
        <w:tc>
          <w:tcPr>
            <w:tcW w:w="2591" w:type="dxa"/>
          </w:tcPr>
          <w:p>
            <w:pPr>
              <w:pStyle w:val="TableParagraph"/>
              <w:spacing w:before="90"/>
              <w:ind w:left="92"/>
              <w:rPr>
                <w:sz w:val="15"/>
              </w:rPr>
            </w:pPr>
            <w:r>
              <w:rPr>
                <w:spacing w:val="-5"/>
                <w:sz w:val="15"/>
              </w:rPr>
              <w:t>20</w:t>
            </w:r>
          </w:p>
        </w:tc>
        <w:tc>
          <w:tcPr>
            <w:tcW w:w="2586" w:type="dxa"/>
          </w:tcPr>
          <w:p>
            <w:pPr>
              <w:pStyle w:val="TableParagraph"/>
              <w:spacing w:before="90"/>
              <w:ind w:left="87"/>
              <w:rPr>
                <w:sz w:val="15"/>
              </w:rPr>
            </w:pPr>
            <w:r>
              <w:rPr>
                <w:spacing w:val="-5"/>
                <w:sz w:val="15"/>
              </w:rPr>
              <w:t>25</w:t>
            </w:r>
          </w:p>
        </w:tc>
      </w:tr>
      <w:tr>
        <w:trPr>
          <w:trHeight w:val="360" w:hRule="atLeast"/>
        </w:trPr>
        <w:tc>
          <w:tcPr>
            <w:tcW w:w="2586" w:type="dxa"/>
            <w:shd w:val="clear" w:color="auto" w:fill="D9EAF7"/>
          </w:tcPr>
          <w:p>
            <w:pPr>
              <w:pStyle w:val="TableParagraph"/>
              <w:spacing w:before="89"/>
              <w:ind w:left="87"/>
              <w:rPr>
                <w:b/>
                <w:sz w:val="15"/>
              </w:rPr>
            </w:pPr>
            <w:r>
              <w:rPr>
                <w:b/>
                <w:sz w:val="15"/>
              </w:rPr>
              <w:t>Likely</w:t>
            </w:r>
            <w:r>
              <w:rPr>
                <w:b/>
                <w:spacing w:val="-10"/>
                <w:sz w:val="15"/>
              </w:rPr>
              <w:t> </w:t>
            </w:r>
            <w:r>
              <w:rPr>
                <w:b/>
                <w:spacing w:val="-5"/>
                <w:sz w:val="15"/>
              </w:rPr>
              <w:t>(4)</w:t>
            </w:r>
          </w:p>
        </w:tc>
        <w:tc>
          <w:tcPr>
            <w:tcW w:w="2586" w:type="dxa"/>
          </w:tcPr>
          <w:p>
            <w:pPr>
              <w:pStyle w:val="TableParagraph"/>
              <w:spacing w:before="89"/>
              <w:ind w:left="92"/>
              <w:rPr>
                <w:sz w:val="15"/>
              </w:rPr>
            </w:pPr>
            <w:r>
              <w:rPr>
                <w:spacing w:val="-10"/>
                <w:sz w:val="15"/>
              </w:rPr>
              <w:t>4</w:t>
            </w:r>
          </w:p>
        </w:tc>
        <w:tc>
          <w:tcPr>
            <w:tcW w:w="2591" w:type="dxa"/>
          </w:tcPr>
          <w:p>
            <w:pPr>
              <w:pStyle w:val="TableParagraph"/>
              <w:spacing w:before="89"/>
              <w:ind w:left="92"/>
              <w:rPr>
                <w:sz w:val="15"/>
              </w:rPr>
            </w:pPr>
            <w:r>
              <w:rPr>
                <w:spacing w:val="-10"/>
                <w:sz w:val="15"/>
              </w:rPr>
              <w:t>8</w:t>
            </w:r>
          </w:p>
        </w:tc>
        <w:tc>
          <w:tcPr>
            <w:tcW w:w="2585" w:type="dxa"/>
          </w:tcPr>
          <w:p>
            <w:pPr>
              <w:pStyle w:val="TableParagraph"/>
              <w:spacing w:before="89"/>
              <w:ind w:left="87"/>
              <w:rPr>
                <w:sz w:val="15"/>
              </w:rPr>
            </w:pPr>
            <w:r>
              <w:rPr>
                <w:spacing w:val="-5"/>
                <w:sz w:val="15"/>
              </w:rPr>
              <w:t>12</w:t>
            </w:r>
          </w:p>
        </w:tc>
        <w:tc>
          <w:tcPr>
            <w:tcW w:w="2591" w:type="dxa"/>
          </w:tcPr>
          <w:p>
            <w:pPr>
              <w:pStyle w:val="TableParagraph"/>
              <w:spacing w:before="89"/>
              <w:ind w:left="92"/>
              <w:rPr>
                <w:sz w:val="15"/>
              </w:rPr>
            </w:pPr>
            <w:r>
              <w:rPr>
                <w:spacing w:val="-5"/>
                <w:sz w:val="15"/>
              </w:rPr>
              <w:t>16</w:t>
            </w:r>
          </w:p>
        </w:tc>
        <w:tc>
          <w:tcPr>
            <w:tcW w:w="2586" w:type="dxa"/>
          </w:tcPr>
          <w:p>
            <w:pPr>
              <w:pStyle w:val="TableParagraph"/>
              <w:spacing w:before="89"/>
              <w:ind w:left="87"/>
              <w:rPr>
                <w:sz w:val="15"/>
              </w:rPr>
            </w:pPr>
            <w:r>
              <w:rPr>
                <w:spacing w:val="-5"/>
                <w:sz w:val="15"/>
              </w:rPr>
              <w:t>20</w:t>
            </w:r>
          </w:p>
        </w:tc>
      </w:tr>
      <w:tr>
        <w:trPr>
          <w:trHeight w:val="360" w:hRule="atLeast"/>
        </w:trPr>
        <w:tc>
          <w:tcPr>
            <w:tcW w:w="2586" w:type="dxa"/>
            <w:shd w:val="clear" w:color="auto" w:fill="D9EAF7"/>
          </w:tcPr>
          <w:p>
            <w:pPr>
              <w:pStyle w:val="TableParagraph"/>
              <w:spacing w:before="89"/>
              <w:ind w:left="87"/>
              <w:rPr>
                <w:b/>
                <w:sz w:val="15"/>
              </w:rPr>
            </w:pPr>
            <w:r>
              <w:rPr>
                <w:b/>
                <w:sz w:val="15"/>
              </w:rPr>
              <w:t>Possible</w:t>
            </w:r>
            <w:r>
              <w:rPr>
                <w:b/>
                <w:spacing w:val="-7"/>
                <w:sz w:val="15"/>
              </w:rPr>
              <w:t> </w:t>
            </w:r>
            <w:r>
              <w:rPr>
                <w:b/>
                <w:spacing w:val="-5"/>
                <w:sz w:val="15"/>
              </w:rPr>
              <w:t>(3)</w:t>
            </w:r>
          </w:p>
        </w:tc>
        <w:tc>
          <w:tcPr>
            <w:tcW w:w="2586" w:type="dxa"/>
          </w:tcPr>
          <w:p>
            <w:pPr>
              <w:pStyle w:val="TableParagraph"/>
              <w:spacing w:before="89"/>
              <w:ind w:left="92"/>
              <w:rPr>
                <w:sz w:val="15"/>
              </w:rPr>
            </w:pPr>
            <w:r>
              <w:rPr>
                <w:spacing w:val="-10"/>
                <w:sz w:val="15"/>
              </w:rPr>
              <w:t>3</w:t>
            </w:r>
          </w:p>
        </w:tc>
        <w:tc>
          <w:tcPr>
            <w:tcW w:w="2591" w:type="dxa"/>
          </w:tcPr>
          <w:p>
            <w:pPr>
              <w:pStyle w:val="TableParagraph"/>
              <w:spacing w:before="89"/>
              <w:ind w:left="92"/>
              <w:rPr>
                <w:sz w:val="15"/>
              </w:rPr>
            </w:pPr>
            <w:r>
              <w:rPr>
                <w:spacing w:val="-10"/>
                <w:sz w:val="15"/>
              </w:rPr>
              <w:t>6</w:t>
            </w:r>
          </w:p>
        </w:tc>
        <w:tc>
          <w:tcPr>
            <w:tcW w:w="2585" w:type="dxa"/>
          </w:tcPr>
          <w:p>
            <w:pPr>
              <w:pStyle w:val="TableParagraph"/>
              <w:spacing w:before="89"/>
              <w:ind w:left="87"/>
              <w:rPr>
                <w:sz w:val="15"/>
              </w:rPr>
            </w:pPr>
            <w:r>
              <w:rPr>
                <w:spacing w:val="-10"/>
                <w:sz w:val="15"/>
              </w:rPr>
              <w:t>9</w:t>
            </w:r>
          </w:p>
        </w:tc>
        <w:tc>
          <w:tcPr>
            <w:tcW w:w="2591" w:type="dxa"/>
          </w:tcPr>
          <w:p>
            <w:pPr>
              <w:pStyle w:val="TableParagraph"/>
              <w:spacing w:before="89"/>
              <w:ind w:left="92"/>
              <w:rPr>
                <w:sz w:val="15"/>
              </w:rPr>
            </w:pPr>
            <w:r>
              <w:rPr>
                <w:spacing w:val="-5"/>
                <w:sz w:val="15"/>
              </w:rPr>
              <w:t>12</w:t>
            </w:r>
          </w:p>
        </w:tc>
        <w:tc>
          <w:tcPr>
            <w:tcW w:w="2586" w:type="dxa"/>
          </w:tcPr>
          <w:p>
            <w:pPr>
              <w:pStyle w:val="TableParagraph"/>
              <w:spacing w:before="89"/>
              <w:ind w:left="87"/>
              <w:rPr>
                <w:sz w:val="15"/>
              </w:rPr>
            </w:pPr>
            <w:r>
              <w:rPr>
                <w:spacing w:val="-5"/>
                <w:sz w:val="15"/>
              </w:rPr>
              <w:t>15</w:t>
            </w:r>
          </w:p>
        </w:tc>
      </w:tr>
      <w:tr>
        <w:trPr>
          <w:trHeight w:val="360" w:hRule="atLeast"/>
        </w:trPr>
        <w:tc>
          <w:tcPr>
            <w:tcW w:w="2586" w:type="dxa"/>
            <w:shd w:val="clear" w:color="auto" w:fill="D9EAF7"/>
          </w:tcPr>
          <w:p>
            <w:pPr>
              <w:pStyle w:val="TableParagraph"/>
              <w:spacing w:before="90"/>
              <w:ind w:left="87"/>
              <w:rPr>
                <w:b/>
                <w:sz w:val="15"/>
              </w:rPr>
            </w:pPr>
            <w:r>
              <w:rPr>
                <w:b/>
                <w:spacing w:val="-2"/>
                <w:sz w:val="15"/>
              </w:rPr>
              <w:t>Unlikely</w:t>
            </w:r>
            <w:r>
              <w:rPr>
                <w:b/>
                <w:spacing w:val="5"/>
                <w:sz w:val="15"/>
              </w:rPr>
              <w:t> </w:t>
            </w:r>
            <w:r>
              <w:rPr>
                <w:b/>
                <w:spacing w:val="-5"/>
                <w:sz w:val="15"/>
              </w:rPr>
              <w:t>(2)</w:t>
            </w:r>
          </w:p>
        </w:tc>
        <w:tc>
          <w:tcPr>
            <w:tcW w:w="2586" w:type="dxa"/>
          </w:tcPr>
          <w:p>
            <w:pPr>
              <w:pStyle w:val="TableParagraph"/>
              <w:spacing w:before="90"/>
              <w:ind w:left="92"/>
              <w:rPr>
                <w:sz w:val="15"/>
              </w:rPr>
            </w:pPr>
            <w:r>
              <w:rPr>
                <w:spacing w:val="-10"/>
                <w:sz w:val="15"/>
              </w:rPr>
              <w:t>2</w:t>
            </w:r>
          </w:p>
        </w:tc>
        <w:tc>
          <w:tcPr>
            <w:tcW w:w="2591" w:type="dxa"/>
          </w:tcPr>
          <w:p>
            <w:pPr>
              <w:pStyle w:val="TableParagraph"/>
              <w:spacing w:before="90"/>
              <w:ind w:left="92"/>
              <w:rPr>
                <w:sz w:val="15"/>
              </w:rPr>
            </w:pPr>
            <w:r>
              <w:rPr>
                <w:spacing w:val="-10"/>
                <w:sz w:val="15"/>
              </w:rPr>
              <w:t>4</w:t>
            </w:r>
          </w:p>
        </w:tc>
        <w:tc>
          <w:tcPr>
            <w:tcW w:w="2585" w:type="dxa"/>
          </w:tcPr>
          <w:p>
            <w:pPr>
              <w:pStyle w:val="TableParagraph"/>
              <w:spacing w:before="90"/>
              <w:ind w:left="87"/>
              <w:rPr>
                <w:sz w:val="15"/>
              </w:rPr>
            </w:pPr>
            <w:r>
              <w:rPr>
                <w:spacing w:val="-10"/>
                <w:sz w:val="15"/>
              </w:rPr>
              <w:t>6</w:t>
            </w:r>
          </w:p>
        </w:tc>
        <w:tc>
          <w:tcPr>
            <w:tcW w:w="2591" w:type="dxa"/>
          </w:tcPr>
          <w:p>
            <w:pPr>
              <w:pStyle w:val="TableParagraph"/>
              <w:spacing w:before="90"/>
              <w:ind w:left="92"/>
              <w:rPr>
                <w:sz w:val="15"/>
              </w:rPr>
            </w:pPr>
            <w:r>
              <w:rPr>
                <w:spacing w:val="-10"/>
                <w:sz w:val="15"/>
              </w:rPr>
              <w:t>8</w:t>
            </w:r>
          </w:p>
        </w:tc>
        <w:tc>
          <w:tcPr>
            <w:tcW w:w="2586" w:type="dxa"/>
          </w:tcPr>
          <w:p>
            <w:pPr>
              <w:pStyle w:val="TableParagraph"/>
              <w:spacing w:before="90"/>
              <w:ind w:left="87"/>
              <w:rPr>
                <w:sz w:val="15"/>
              </w:rPr>
            </w:pPr>
            <w:r>
              <w:rPr>
                <w:spacing w:val="-5"/>
                <w:sz w:val="15"/>
              </w:rPr>
              <w:t>10</w:t>
            </w:r>
          </w:p>
        </w:tc>
      </w:tr>
      <w:tr>
        <w:trPr>
          <w:trHeight w:val="360" w:hRule="atLeast"/>
        </w:trPr>
        <w:tc>
          <w:tcPr>
            <w:tcW w:w="2586" w:type="dxa"/>
            <w:shd w:val="clear" w:color="auto" w:fill="D9EAF7"/>
          </w:tcPr>
          <w:p>
            <w:pPr>
              <w:pStyle w:val="TableParagraph"/>
              <w:spacing w:before="89"/>
              <w:ind w:left="87"/>
              <w:rPr>
                <w:b/>
                <w:sz w:val="15"/>
              </w:rPr>
            </w:pPr>
            <w:r>
              <w:rPr>
                <w:b/>
                <w:sz w:val="15"/>
              </w:rPr>
              <w:t>Rare </w:t>
            </w:r>
            <w:r>
              <w:rPr>
                <w:b/>
                <w:spacing w:val="-5"/>
                <w:sz w:val="15"/>
              </w:rPr>
              <w:t>(1)</w:t>
            </w:r>
          </w:p>
        </w:tc>
        <w:tc>
          <w:tcPr>
            <w:tcW w:w="2586" w:type="dxa"/>
          </w:tcPr>
          <w:p>
            <w:pPr>
              <w:pStyle w:val="TableParagraph"/>
              <w:spacing w:before="89"/>
              <w:ind w:left="92"/>
              <w:rPr>
                <w:sz w:val="15"/>
              </w:rPr>
            </w:pPr>
            <w:r>
              <w:rPr>
                <w:spacing w:val="-10"/>
                <w:sz w:val="15"/>
              </w:rPr>
              <w:t>1</w:t>
            </w:r>
          </w:p>
        </w:tc>
        <w:tc>
          <w:tcPr>
            <w:tcW w:w="2591" w:type="dxa"/>
          </w:tcPr>
          <w:p>
            <w:pPr>
              <w:pStyle w:val="TableParagraph"/>
              <w:spacing w:before="89"/>
              <w:ind w:left="92"/>
              <w:rPr>
                <w:sz w:val="15"/>
              </w:rPr>
            </w:pPr>
            <w:r>
              <w:rPr>
                <w:spacing w:val="-10"/>
                <w:sz w:val="15"/>
              </w:rPr>
              <w:t>2</w:t>
            </w:r>
          </w:p>
        </w:tc>
        <w:tc>
          <w:tcPr>
            <w:tcW w:w="2585" w:type="dxa"/>
          </w:tcPr>
          <w:p>
            <w:pPr>
              <w:pStyle w:val="TableParagraph"/>
              <w:spacing w:before="89"/>
              <w:ind w:left="87"/>
              <w:rPr>
                <w:sz w:val="15"/>
              </w:rPr>
            </w:pPr>
            <w:r>
              <w:rPr>
                <w:spacing w:val="-10"/>
                <w:sz w:val="15"/>
              </w:rPr>
              <w:t>3</w:t>
            </w:r>
          </w:p>
        </w:tc>
        <w:tc>
          <w:tcPr>
            <w:tcW w:w="2591" w:type="dxa"/>
          </w:tcPr>
          <w:p>
            <w:pPr>
              <w:pStyle w:val="TableParagraph"/>
              <w:spacing w:before="89"/>
              <w:ind w:left="92"/>
              <w:rPr>
                <w:sz w:val="15"/>
              </w:rPr>
            </w:pPr>
            <w:r>
              <w:rPr>
                <w:spacing w:val="-10"/>
                <w:sz w:val="15"/>
              </w:rPr>
              <w:t>4</w:t>
            </w:r>
          </w:p>
        </w:tc>
        <w:tc>
          <w:tcPr>
            <w:tcW w:w="2586" w:type="dxa"/>
          </w:tcPr>
          <w:p>
            <w:pPr>
              <w:pStyle w:val="TableParagraph"/>
              <w:spacing w:before="89"/>
              <w:ind w:left="87"/>
              <w:rPr>
                <w:sz w:val="15"/>
              </w:rPr>
            </w:pPr>
            <w:r>
              <w:rPr>
                <w:spacing w:val="-10"/>
                <w:sz w:val="15"/>
              </w:rPr>
              <w:t>5</w:t>
            </w:r>
          </w:p>
        </w:tc>
      </w:tr>
    </w:tbl>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122"/>
        <w:rPr>
          <w:b/>
          <w:sz w:val="22"/>
        </w:rPr>
      </w:pPr>
    </w:p>
    <w:p>
      <w:pPr>
        <w:spacing w:before="0"/>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pStyle w:val="Heading4"/>
        <w:numPr>
          <w:ilvl w:val="1"/>
          <w:numId w:val="10"/>
        </w:numPr>
        <w:tabs>
          <w:tab w:pos="7930" w:val="left" w:leader="none"/>
        </w:tabs>
        <w:spacing w:line="240" w:lineRule="auto" w:before="198" w:after="0"/>
        <w:ind w:left="7930" w:right="0" w:hanging="6623"/>
        <w:jc w:val="left"/>
        <w:rPr>
          <w:b w:val="0"/>
          <w:position w:val="-8"/>
          <w:sz w:val="36"/>
        </w:rPr>
      </w:pPr>
      <w:r>
        <w:rPr/>
        <w:t>10:55</w:t>
      </w:r>
      <w:r>
        <w:rPr>
          <w:spacing w:val="-4"/>
        </w:rPr>
        <w:t> </w:t>
      </w:r>
      <w:r>
        <w:rPr/>
        <w:t>AM,</w:t>
      </w:r>
      <w:r>
        <w:rPr>
          <w:spacing w:val="2"/>
        </w:rPr>
        <w:t> </w:t>
      </w:r>
      <w:r>
        <w:rPr/>
        <w:t>0</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636480">
                <wp:simplePos x="0" y="0"/>
                <wp:positionH relativeFrom="page">
                  <wp:posOffset>914400</wp:posOffset>
                </wp:positionH>
                <wp:positionV relativeFrom="paragraph">
                  <wp:posOffset>262302</wp:posOffset>
                </wp:positionV>
                <wp:extent cx="5730875" cy="6350"/>
                <wp:effectExtent l="0" t="0" r="0" b="0"/>
                <wp:wrapTopAndBottom/>
                <wp:docPr id="283" name="Graphic 283"/>
                <wp:cNvGraphicFramePr>
                  <a:graphicFrameLocks/>
                </wp:cNvGraphicFramePr>
                <a:graphic>
                  <a:graphicData uri="http://schemas.microsoft.com/office/word/2010/wordprocessingShape">
                    <wps:wsp>
                      <wps:cNvPr id="283" name="Graphic 283"/>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680000;mso-wrap-distance-left:0;mso-wrap-distance-right:0" id="docshape150"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footerReference w:type="default" r:id="rId64"/>
          <w:pgSz w:w="11910" w:h="16840"/>
          <w:pgMar w:header="0" w:footer="149" w:top="1940" w:bottom="340" w:left="283" w:right="708"/>
        </w:sectPr>
      </w:pPr>
    </w:p>
    <w:p>
      <w:pPr>
        <w:pStyle w:val="Heading2"/>
        <w:numPr>
          <w:ilvl w:val="1"/>
          <w:numId w:val="2"/>
        </w:numPr>
        <w:tabs>
          <w:tab w:pos="1695" w:val="left" w:leader="none"/>
        </w:tabs>
        <w:spacing w:line="259" w:lineRule="auto" w:before="90" w:after="0"/>
        <w:ind w:left="1157" w:right="0" w:firstLine="0"/>
        <w:jc w:val="left"/>
      </w:pPr>
      <w:bookmarkStart w:name="3.2 - RJC/37c: Developing a Regional App" w:id="24"/>
      <w:bookmarkEnd w:id="24"/>
      <w:r>
        <w:rPr/>
      </w:r>
      <w:r>
        <w:rPr/>
        <w:t>- RJC/37c: Developing a Regional Approach</w:t>
      </w:r>
      <w:r>
        <w:rPr>
          <w:spacing w:val="-7"/>
        </w:rPr>
        <w:t> </w:t>
      </w:r>
      <w:r>
        <w:rPr/>
        <w:t>to</w:t>
      </w:r>
      <w:r>
        <w:rPr>
          <w:spacing w:val="-7"/>
        </w:rPr>
        <w:t> </w:t>
      </w:r>
      <w:r>
        <w:rPr/>
        <w:t>Cancer</w:t>
      </w:r>
      <w:r>
        <w:rPr>
          <w:spacing w:val="-9"/>
        </w:rPr>
        <w:t> </w:t>
      </w:r>
      <w:r>
        <w:rPr/>
        <w:t>Care:</w:t>
      </w:r>
      <w:r>
        <w:rPr>
          <w:spacing w:val="-12"/>
        </w:rPr>
        <w:t> </w:t>
      </w:r>
      <w:r>
        <w:rPr/>
        <w:t>Proposed</w:t>
      </w:r>
      <w:r>
        <w:rPr>
          <w:spacing w:val="-7"/>
        </w:rPr>
        <w:t> </w:t>
      </w:r>
      <w:r>
        <w:rPr/>
        <w:t>Inclusion within the RJC Work Programme</w:t>
      </w:r>
    </w:p>
    <w:p>
      <w:pPr>
        <w:spacing w:line="259" w:lineRule="auto" w:before="93"/>
        <w:ind w:left="305" w:right="726" w:firstLine="720"/>
        <w:jc w:val="right"/>
        <w:rPr>
          <w:b/>
          <w:i/>
          <w:sz w:val="22"/>
        </w:rPr>
      </w:pPr>
      <w:r>
        <w:rPr/>
        <w:br w:type="column"/>
      </w:r>
      <w:r>
        <w:rPr>
          <w:b/>
          <w:i/>
          <w:sz w:val="22"/>
        </w:rPr>
        <w:t>Abigail</w:t>
      </w:r>
      <w:r>
        <w:rPr>
          <w:b/>
          <w:i/>
          <w:spacing w:val="-16"/>
          <w:sz w:val="22"/>
        </w:rPr>
        <w:t> </w:t>
      </w:r>
      <w:r>
        <w:rPr>
          <w:b/>
          <w:i/>
          <w:sz w:val="22"/>
        </w:rPr>
        <w:t>Harris</w:t>
      </w:r>
      <w:r>
        <w:rPr>
          <w:b/>
          <w:i/>
          <w:sz w:val="22"/>
        </w:rPr>
        <w:t> (Swansea</w:t>
      </w:r>
      <w:r>
        <w:rPr>
          <w:b/>
          <w:i/>
          <w:spacing w:val="-11"/>
          <w:sz w:val="22"/>
        </w:rPr>
        <w:t> </w:t>
      </w:r>
      <w:r>
        <w:rPr>
          <w:b/>
          <w:i/>
          <w:sz w:val="22"/>
        </w:rPr>
        <w:t>Bay</w:t>
      </w:r>
      <w:r>
        <w:rPr>
          <w:b/>
          <w:i/>
          <w:spacing w:val="-11"/>
          <w:sz w:val="22"/>
        </w:rPr>
        <w:t> </w:t>
      </w:r>
      <w:r>
        <w:rPr>
          <w:b/>
          <w:i/>
          <w:sz w:val="22"/>
        </w:rPr>
        <w:t>UHB</w:t>
      </w:r>
      <w:r>
        <w:rPr>
          <w:b/>
          <w:i/>
          <w:spacing w:val="-10"/>
          <w:sz w:val="22"/>
        </w:rPr>
        <w:t> </w:t>
      </w:r>
      <w:r>
        <w:rPr>
          <w:b/>
          <w:i/>
          <w:sz w:val="22"/>
        </w:rPr>
        <w:t>- CEO), Philip Kloer (Hywel Dda UHB - Chief Executive)</w:t>
      </w:r>
    </w:p>
    <w:p>
      <w:pPr>
        <w:spacing w:after="0" w:line="259" w:lineRule="auto"/>
        <w:jc w:val="right"/>
        <w:rPr>
          <w:b/>
          <w:i/>
          <w:sz w:val="22"/>
        </w:rPr>
        <w:sectPr>
          <w:type w:val="continuous"/>
          <w:pgSz w:w="11910" w:h="16840"/>
          <w:pgMar w:header="0" w:footer="149" w:top="760" w:bottom="280" w:left="283" w:right="708"/>
          <w:cols w:num="2" w:equalWidth="0">
            <w:col w:w="7686" w:space="40"/>
            <w:col w:w="3193"/>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5"/>
        <w:rPr>
          <w:b/>
          <w:i/>
          <w:sz w:val="22"/>
        </w:rPr>
      </w:pPr>
    </w:p>
    <w:p>
      <w:pPr>
        <w:spacing w:before="0"/>
        <w:ind w:left="1157" w:right="0" w:firstLine="0"/>
        <w:jc w:val="left"/>
        <w:rPr>
          <w:b/>
          <w:sz w:val="22"/>
        </w:rPr>
      </w:pPr>
      <w:r>
        <w:rPr>
          <w:b/>
          <w:spacing w:val="-2"/>
          <w:sz w:val="22"/>
        </w:rPr>
        <w:t>Attachments</w:t>
      </w:r>
    </w:p>
    <w:p>
      <w:pPr>
        <w:spacing w:before="175"/>
        <w:ind w:left="1157" w:right="0" w:firstLine="0"/>
        <w:jc w:val="left"/>
        <w:rPr>
          <w:sz w:val="18"/>
        </w:rPr>
      </w:pPr>
      <w:r>
        <w:rPr>
          <w:sz w:val="18"/>
          <w:u w:val="single"/>
        </w:rPr>
        <w:t>RJC</w:t>
      </w:r>
      <w:r>
        <w:rPr>
          <w:spacing w:val="-3"/>
          <w:sz w:val="18"/>
          <w:u w:val="single"/>
        </w:rPr>
        <w:t> </w:t>
      </w:r>
      <w:r>
        <w:rPr>
          <w:sz w:val="18"/>
          <w:u w:val="single"/>
        </w:rPr>
        <w:t>37c Developing</w:t>
      </w:r>
      <w:r>
        <w:rPr>
          <w:spacing w:val="-2"/>
          <w:sz w:val="18"/>
          <w:u w:val="single"/>
        </w:rPr>
        <w:t> </w:t>
      </w:r>
      <w:r>
        <w:rPr>
          <w:sz w:val="18"/>
          <w:u w:val="single"/>
        </w:rPr>
        <w:t>A Regional Approach</w:t>
      </w:r>
      <w:r>
        <w:rPr>
          <w:spacing w:val="-1"/>
          <w:sz w:val="18"/>
          <w:u w:val="single"/>
        </w:rPr>
        <w:t> </w:t>
      </w:r>
      <w:r>
        <w:rPr>
          <w:sz w:val="18"/>
          <w:u w:val="single"/>
        </w:rPr>
        <w:t>to</w:t>
      </w:r>
      <w:r>
        <w:rPr>
          <w:spacing w:val="-1"/>
          <w:sz w:val="18"/>
          <w:u w:val="single"/>
        </w:rPr>
        <w:t> </w:t>
      </w:r>
      <w:r>
        <w:rPr>
          <w:sz w:val="18"/>
          <w:u w:val="single"/>
        </w:rPr>
        <w:t>Cancer</w:t>
      </w:r>
      <w:r>
        <w:rPr>
          <w:spacing w:val="-1"/>
          <w:sz w:val="18"/>
          <w:u w:val="single"/>
        </w:rPr>
        <w:t> </w:t>
      </w:r>
      <w:r>
        <w:rPr>
          <w:sz w:val="18"/>
          <w:u w:val="single"/>
        </w:rPr>
        <w:t>Care RJC</w:t>
      </w:r>
      <w:r>
        <w:rPr>
          <w:spacing w:val="4"/>
          <w:sz w:val="18"/>
          <w:u w:val="single"/>
        </w:rPr>
        <w:t> </w:t>
      </w:r>
      <w:r>
        <w:rPr>
          <w:spacing w:val="-2"/>
          <w:sz w:val="18"/>
          <w:u w:val="single"/>
        </w:rPr>
        <w:t>SBAR.pdf</w:t>
      </w:r>
    </w:p>
    <w:p>
      <w:pPr>
        <w:spacing w:after="0"/>
        <w:jc w:val="left"/>
        <w:rPr>
          <w:sz w:val="18"/>
        </w:rPr>
        <w:sectPr>
          <w:type w:val="continuous"/>
          <w:pgSz w:w="11910" w:h="16840"/>
          <w:pgMar w:header="0" w:footer="149" w:top="760" w:bottom="28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284" name="Image 284"/>
            <wp:cNvGraphicFramePr>
              <a:graphicFrameLocks/>
            </wp:cNvGraphicFramePr>
            <a:graphic>
              <a:graphicData uri="http://schemas.openxmlformats.org/drawingml/2006/picture">
                <pic:pic>
                  <pic:nvPicPr>
                    <pic:cNvPr id="284" name="Image 284"/>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285" name="Image 285"/>
            <wp:cNvGraphicFramePr>
              <a:graphicFrameLocks/>
            </wp:cNvGraphicFramePr>
            <a:graphic>
              <a:graphicData uri="http://schemas.openxmlformats.org/drawingml/2006/picture">
                <pic:pic>
                  <pic:nvPicPr>
                    <pic:cNvPr id="285" name="Image 285"/>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p>
      <w:pPr>
        <w:pStyle w:val="BodyText"/>
        <w:spacing w:before="100"/>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645" w:hRule="atLeast"/>
        </w:trPr>
        <w:tc>
          <w:tcPr>
            <w:tcW w:w="10069" w:type="dxa"/>
            <w:shd w:val="clear" w:color="auto" w:fill="394871"/>
          </w:tcPr>
          <w:p>
            <w:pPr>
              <w:pStyle w:val="TableParagraph"/>
              <w:spacing w:before="30"/>
              <w:ind w:left="580"/>
              <w:rPr>
                <w:b/>
                <w:sz w:val="24"/>
              </w:rPr>
            </w:pPr>
            <w:bookmarkStart w:name="Attachments" w:id="25"/>
            <w:bookmarkEnd w:id="25"/>
            <w:r>
              <w:rPr/>
            </w:r>
            <w:bookmarkStart w:name="RJC 37c Developing A Regional Approach t" w:id="26"/>
            <w:bookmarkEnd w:id="26"/>
            <w:r>
              <w:rPr/>
            </w:r>
            <w:r>
              <w:rPr>
                <w:b/>
                <w:color w:val="FFFFFF"/>
                <w:spacing w:val="-2"/>
                <w:sz w:val="24"/>
              </w:rPr>
              <w:t>JOINT</w:t>
            </w:r>
            <w:r>
              <w:rPr>
                <w:b/>
                <w:color w:val="FFFFFF"/>
                <w:spacing w:val="-17"/>
                <w:sz w:val="24"/>
              </w:rPr>
              <w:t> </w:t>
            </w:r>
            <w:r>
              <w:rPr>
                <w:b/>
                <w:color w:val="FFFFFF"/>
                <w:spacing w:val="-2"/>
                <w:sz w:val="24"/>
              </w:rPr>
              <w:t>HYWEL</w:t>
            </w:r>
            <w:r>
              <w:rPr>
                <w:b/>
                <w:color w:val="FFFFFF"/>
                <w:spacing w:val="-15"/>
                <w:sz w:val="24"/>
              </w:rPr>
              <w:t> </w:t>
            </w:r>
            <w:r>
              <w:rPr>
                <w:b/>
                <w:color w:val="FFFFFF"/>
                <w:spacing w:val="-2"/>
                <w:sz w:val="24"/>
              </w:rPr>
              <w:t>DDA/SWANSEA</w:t>
            </w:r>
            <w:r>
              <w:rPr>
                <w:b/>
                <w:color w:val="FFFFFF"/>
                <w:spacing w:val="-14"/>
                <w:sz w:val="24"/>
              </w:rPr>
              <w:t> </w:t>
            </w:r>
            <w:r>
              <w:rPr>
                <w:b/>
                <w:color w:val="FFFFFF"/>
                <w:spacing w:val="-2"/>
                <w:sz w:val="24"/>
              </w:rPr>
              <w:t>BAY</w:t>
            </w:r>
            <w:r>
              <w:rPr>
                <w:b/>
                <w:color w:val="FFFFFF"/>
                <w:spacing w:val="-15"/>
                <w:sz w:val="24"/>
              </w:rPr>
              <w:t> </w:t>
            </w:r>
            <w:r>
              <w:rPr>
                <w:b/>
                <w:color w:val="FFFFFF"/>
                <w:spacing w:val="-2"/>
                <w:sz w:val="24"/>
              </w:rPr>
              <w:t>UNIVERSITY</w:t>
            </w:r>
            <w:r>
              <w:rPr>
                <w:b/>
                <w:color w:val="FFFFFF"/>
                <w:spacing w:val="-15"/>
                <w:sz w:val="24"/>
              </w:rPr>
              <w:t> </w:t>
            </w:r>
            <w:r>
              <w:rPr>
                <w:b/>
                <w:color w:val="FFFFFF"/>
                <w:spacing w:val="-2"/>
                <w:sz w:val="24"/>
              </w:rPr>
              <w:t>HEALTH</w:t>
            </w:r>
            <w:r>
              <w:rPr>
                <w:b/>
                <w:color w:val="FFFFFF"/>
                <w:spacing w:val="-12"/>
                <w:sz w:val="24"/>
              </w:rPr>
              <w:t> </w:t>
            </w:r>
            <w:r>
              <w:rPr>
                <w:b/>
                <w:color w:val="FFFFFF"/>
                <w:spacing w:val="-2"/>
                <w:sz w:val="24"/>
              </w:rPr>
              <w:t>BOARD</w:t>
            </w:r>
            <w:r>
              <w:rPr>
                <w:b/>
                <w:color w:val="FFFFFF"/>
                <w:spacing w:val="-12"/>
                <w:sz w:val="24"/>
              </w:rPr>
              <w:t> </w:t>
            </w:r>
            <w:r>
              <w:rPr>
                <w:b/>
                <w:color w:val="FFFFFF"/>
                <w:spacing w:val="-2"/>
                <w:sz w:val="24"/>
              </w:rPr>
              <w:t>COMMITTEE</w:t>
            </w:r>
          </w:p>
          <w:p>
            <w:pPr>
              <w:pStyle w:val="TableParagraph"/>
              <w:spacing w:line="270" w:lineRule="exact" w:before="49"/>
              <w:ind w:left="655"/>
              <w:rPr>
                <w:b/>
                <w:sz w:val="24"/>
              </w:rPr>
            </w:pPr>
            <w:r>
              <w:rPr>
                <w:b/>
                <w:color w:val="FFFFFF"/>
                <w:spacing w:val="-2"/>
                <w:sz w:val="24"/>
              </w:rPr>
              <w:t>CYD-BWRDD</w:t>
            </w:r>
            <w:r>
              <w:rPr>
                <w:b/>
                <w:color w:val="FFFFFF"/>
                <w:spacing w:val="-17"/>
                <w:sz w:val="24"/>
              </w:rPr>
              <w:t> </w:t>
            </w:r>
            <w:r>
              <w:rPr>
                <w:b/>
                <w:color w:val="FFFFFF"/>
                <w:spacing w:val="-2"/>
                <w:sz w:val="24"/>
              </w:rPr>
              <w:t>IECHYD</w:t>
            </w:r>
            <w:r>
              <w:rPr>
                <w:b/>
                <w:color w:val="FFFFFF"/>
                <w:spacing w:val="-15"/>
                <w:sz w:val="24"/>
              </w:rPr>
              <w:t> </w:t>
            </w:r>
            <w:r>
              <w:rPr>
                <w:b/>
                <w:color w:val="FFFFFF"/>
                <w:spacing w:val="-2"/>
                <w:sz w:val="24"/>
              </w:rPr>
              <w:t>PRIFYSGOL</w:t>
            </w:r>
            <w:r>
              <w:rPr>
                <w:b/>
                <w:color w:val="FFFFFF"/>
                <w:spacing w:val="-14"/>
                <w:sz w:val="24"/>
              </w:rPr>
              <w:t> </w:t>
            </w:r>
            <w:r>
              <w:rPr>
                <w:b/>
                <w:color w:val="FFFFFF"/>
                <w:spacing w:val="-2"/>
                <w:sz w:val="24"/>
              </w:rPr>
              <w:t>HYWEL</w:t>
            </w:r>
            <w:r>
              <w:rPr>
                <w:b/>
                <w:color w:val="FFFFFF"/>
                <w:spacing w:val="-15"/>
                <w:sz w:val="24"/>
              </w:rPr>
              <w:t> </w:t>
            </w:r>
            <w:r>
              <w:rPr>
                <w:b/>
                <w:color w:val="FFFFFF"/>
                <w:spacing w:val="-2"/>
                <w:sz w:val="24"/>
              </w:rPr>
              <w:t>DDA/BAE</w:t>
            </w:r>
            <w:r>
              <w:rPr>
                <w:b/>
                <w:color w:val="FFFFFF"/>
                <w:spacing w:val="-15"/>
                <w:sz w:val="24"/>
              </w:rPr>
              <w:t> </w:t>
            </w:r>
            <w:r>
              <w:rPr>
                <w:b/>
                <w:color w:val="FFFFFF"/>
                <w:spacing w:val="-2"/>
                <w:sz w:val="24"/>
              </w:rPr>
              <w:t>ABERTAWE</w:t>
            </w:r>
            <w:r>
              <w:rPr>
                <w:b/>
                <w:color w:val="FFFFFF"/>
                <w:spacing w:val="-14"/>
                <w:sz w:val="24"/>
              </w:rPr>
              <w:t> </w:t>
            </w:r>
            <w:r>
              <w:rPr>
                <w:b/>
                <w:color w:val="FFFFFF"/>
                <w:spacing w:val="-2"/>
                <w:sz w:val="24"/>
              </w:rPr>
              <w:t>PWYLLGOR</w:t>
            </w:r>
          </w:p>
        </w:tc>
      </w:tr>
    </w:tbl>
    <w:p>
      <w:pPr>
        <w:pStyle w:val="BodyText"/>
        <w:spacing w:before="45"/>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2"/>
        <w:gridCol w:w="6098"/>
      </w:tblGrid>
      <w:tr>
        <w:trPr>
          <w:trHeight w:val="615" w:hRule="atLeast"/>
        </w:trPr>
        <w:tc>
          <w:tcPr>
            <w:tcW w:w="3972" w:type="dxa"/>
            <w:shd w:val="clear" w:color="auto" w:fill="C1A875"/>
          </w:tcPr>
          <w:p>
            <w:pPr>
              <w:pStyle w:val="TableParagraph"/>
              <w:spacing w:before="83"/>
              <w:ind w:left="110" w:right="1082"/>
              <w:rPr>
                <w:b/>
                <w:sz w:val="20"/>
              </w:rPr>
            </w:pPr>
            <w:r>
              <w:rPr>
                <w:b/>
                <w:spacing w:val="-4"/>
                <w:sz w:val="20"/>
              </w:rPr>
              <w:t>DYDDIAD</w:t>
            </w:r>
            <w:r>
              <w:rPr>
                <w:b/>
                <w:spacing w:val="-10"/>
                <w:sz w:val="20"/>
              </w:rPr>
              <w:t> </w:t>
            </w:r>
            <w:r>
              <w:rPr>
                <w:b/>
                <w:spacing w:val="-4"/>
                <w:sz w:val="20"/>
              </w:rPr>
              <w:t>Y</w:t>
            </w:r>
            <w:r>
              <w:rPr>
                <w:b/>
                <w:spacing w:val="-10"/>
                <w:sz w:val="20"/>
              </w:rPr>
              <w:t> </w:t>
            </w:r>
            <w:r>
              <w:rPr>
                <w:b/>
                <w:spacing w:val="-4"/>
                <w:sz w:val="20"/>
              </w:rPr>
              <w:t>CYFARFOD: </w:t>
            </w:r>
            <w:r>
              <w:rPr>
                <w:b/>
                <w:sz w:val="20"/>
              </w:rPr>
              <w:t>DATE OF MEETING:</w:t>
            </w:r>
          </w:p>
        </w:tc>
        <w:tc>
          <w:tcPr>
            <w:tcW w:w="6098" w:type="dxa"/>
          </w:tcPr>
          <w:p>
            <w:pPr>
              <w:pStyle w:val="TableParagraph"/>
              <w:ind w:left="109"/>
              <w:rPr>
                <w:sz w:val="24"/>
              </w:rPr>
            </w:pPr>
            <w:r>
              <w:rPr>
                <w:spacing w:val="-2"/>
                <w:sz w:val="24"/>
              </w:rPr>
              <w:t>13</w:t>
            </w:r>
            <w:r>
              <w:rPr>
                <w:spacing w:val="-15"/>
                <w:sz w:val="24"/>
              </w:rPr>
              <w:t> </w:t>
            </w:r>
            <w:r>
              <w:rPr>
                <w:spacing w:val="-2"/>
                <w:sz w:val="24"/>
              </w:rPr>
              <w:t>October</w:t>
            </w:r>
            <w:r>
              <w:rPr>
                <w:spacing w:val="-12"/>
                <w:sz w:val="24"/>
              </w:rPr>
              <w:t> </w:t>
            </w:r>
            <w:r>
              <w:rPr>
                <w:spacing w:val="-4"/>
                <w:sz w:val="24"/>
              </w:rPr>
              <w:t>2026</w:t>
            </w:r>
          </w:p>
        </w:tc>
      </w:tr>
      <w:tr>
        <w:trPr>
          <w:trHeight w:val="615" w:hRule="atLeast"/>
        </w:trPr>
        <w:tc>
          <w:tcPr>
            <w:tcW w:w="3972" w:type="dxa"/>
            <w:shd w:val="clear" w:color="auto" w:fill="C1A875"/>
          </w:tcPr>
          <w:p>
            <w:pPr>
              <w:pStyle w:val="TableParagraph"/>
              <w:spacing w:before="77"/>
              <w:ind w:left="110" w:right="1216"/>
              <w:rPr>
                <w:b/>
                <w:sz w:val="20"/>
              </w:rPr>
            </w:pPr>
            <w:r>
              <w:rPr>
                <w:b/>
                <w:spacing w:val="-4"/>
                <w:sz w:val="20"/>
              </w:rPr>
              <w:t>TEITL</w:t>
            </w:r>
            <w:r>
              <w:rPr>
                <w:b/>
                <w:spacing w:val="-10"/>
                <w:sz w:val="20"/>
              </w:rPr>
              <w:t> </w:t>
            </w:r>
            <w:r>
              <w:rPr>
                <w:b/>
                <w:spacing w:val="-4"/>
                <w:sz w:val="20"/>
              </w:rPr>
              <w:t>YR</w:t>
            </w:r>
            <w:r>
              <w:rPr>
                <w:b/>
                <w:spacing w:val="-10"/>
                <w:sz w:val="20"/>
              </w:rPr>
              <w:t> </w:t>
            </w:r>
            <w:r>
              <w:rPr>
                <w:b/>
                <w:spacing w:val="-4"/>
                <w:sz w:val="20"/>
              </w:rPr>
              <w:t>ADRODDIAD: </w:t>
            </w:r>
            <w:r>
              <w:rPr>
                <w:b/>
                <w:sz w:val="20"/>
              </w:rPr>
              <w:t>TITLE OF REPORT:</w:t>
            </w:r>
          </w:p>
        </w:tc>
        <w:tc>
          <w:tcPr>
            <w:tcW w:w="6098" w:type="dxa"/>
          </w:tcPr>
          <w:p>
            <w:pPr>
              <w:pStyle w:val="TableParagraph"/>
              <w:spacing w:before="2"/>
              <w:ind w:left="109" w:right="835"/>
              <w:rPr>
                <w:sz w:val="20"/>
              </w:rPr>
            </w:pPr>
            <w:r>
              <w:rPr>
                <w:spacing w:val="-2"/>
                <w:sz w:val="20"/>
              </w:rPr>
              <w:t>Developing</w:t>
            </w:r>
            <w:r>
              <w:rPr>
                <w:spacing w:val="-12"/>
                <w:sz w:val="20"/>
              </w:rPr>
              <w:t> </w:t>
            </w:r>
            <w:r>
              <w:rPr>
                <w:spacing w:val="-2"/>
                <w:sz w:val="20"/>
              </w:rPr>
              <w:t>a</w:t>
            </w:r>
            <w:r>
              <w:rPr>
                <w:spacing w:val="-12"/>
                <w:sz w:val="20"/>
              </w:rPr>
              <w:t> </w:t>
            </w:r>
            <w:r>
              <w:rPr>
                <w:spacing w:val="-2"/>
                <w:sz w:val="20"/>
              </w:rPr>
              <w:t>Regional</w:t>
            </w:r>
            <w:r>
              <w:rPr>
                <w:spacing w:val="-12"/>
                <w:sz w:val="20"/>
              </w:rPr>
              <w:t> </w:t>
            </w:r>
            <w:r>
              <w:rPr>
                <w:spacing w:val="-2"/>
                <w:sz w:val="20"/>
              </w:rPr>
              <w:t>Approach</w:t>
            </w:r>
            <w:r>
              <w:rPr>
                <w:spacing w:val="-12"/>
                <w:sz w:val="20"/>
              </w:rPr>
              <w:t> </w:t>
            </w:r>
            <w:r>
              <w:rPr>
                <w:spacing w:val="-2"/>
                <w:sz w:val="20"/>
              </w:rPr>
              <w:t>to</w:t>
            </w:r>
            <w:r>
              <w:rPr>
                <w:spacing w:val="-12"/>
                <w:sz w:val="20"/>
              </w:rPr>
              <w:t> </w:t>
            </w:r>
            <w:r>
              <w:rPr>
                <w:spacing w:val="-2"/>
                <w:sz w:val="20"/>
              </w:rPr>
              <w:t>Cancer</w:t>
            </w:r>
            <w:r>
              <w:rPr>
                <w:spacing w:val="-12"/>
                <w:sz w:val="20"/>
              </w:rPr>
              <w:t> </w:t>
            </w:r>
            <w:r>
              <w:rPr>
                <w:spacing w:val="-2"/>
                <w:sz w:val="20"/>
              </w:rPr>
              <w:t>Care:</w:t>
            </w:r>
            <w:r>
              <w:rPr>
                <w:spacing w:val="-12"/>
                <w:sz w:val="20"/>
              </w:rPr>
              <w:t> </w:t>
            </w:r>
            <w:r>
              <w:rPr>
                <w:spacing w:val="-2"/>
                <w:sz w:val="20"/>
              </w:rPr>
              <w:t>Proposed </w:t>
            </w:r>
            <w:r>
              <w:rPr>
                <w:sz w:val="20"/>
              </w:rPr>
              <w:t>Inclusion within the RJC Work Programme</w:t>
            </w:r>
          </w:p>
        </w:tc>
      </w:tr>
      <w:tr>
        <w:trPr>
          <w:trHeight w:val="615" w:hRule="atLeast"/>
        </w:trPr>
        <w:tc>
          <w:tcPr>
            <w:tcW w:w="3972" w:type="dxa"/>
            <w:shd w:val="clear" w:color="auto" w:fill="C1A875"/>
          </w:tcPr>
          <w:p>
            <w:pPr>
              <w:pStyle w:val="TableParagraph"/>
              <w:spacing w:before="77"/>
              <w:ind w:left="110" w:right="1014"/>
              <w:rPr>
                <w:b/>
                <w:sz w:val="20"/>
              </w:rPr>
            </w:pPr>
            <w:r>
              <w:rPr>
                <w:b/>
                <w:spacing w:val="-4"/>
                <w:sz w:val="20"/>
              </w:rPr>
              <w:t>CYFARWYDDWR</w:t>
            </w:r>
            <w:r>
              <w:rPr>
                <w:b/>
                <w:spacing w:val="-10"/>
                <w:sz w:val="20"/>
              </w:rPr>
              <w:t> </w:t>
            </w:r>
            <w:r>
              <w:rPr>
                <w:b/>
                <w:spacing w:val="-4"/>
                <w:sz w:val="20"/>
              </w:rPr>
              <w:t>ARWEINIOL: </w:t>
            </w:r>
            <w:r>
              <w:rPr>
                <w:b/>
                <w:sz w:val="20"/>
              </w:rPr>
              <w:t>LEAD DIRECTOR:</w:t>
            </w:r>
          </w:p>
        </w:tc>
        <w:tc>
          <w:tcPr>
            <w:tcW w:w="6098" w:type="dxa"/>
          </w:tcPr>
          <w:p>
            <w:pPr>
              <w:pStyle w:val="TableParagraph"/>
              <w:spacing w:before="2"/>
              <w:ind w:left="109"/>
              <w:rPr>
                <w:sz w:val="20"/>
              </w:rPr>
            </w:pPr>
            <w:r>
              <w:rPr>
                <w:spacing w:val="-4"/>
                <w:sz w:val="20"/>
              </w:rPr>
              <w:t>Executive</w:t>
            </w:r>
            <w:r>
              <w:rPr>
                <w:spacing w:val="-5"/>
                <w:sz w:val="20"/>
              </w:rPr>
              <w:t> </w:t>
            </w:r>
            <w:r>
              <w:rPr>
                <w:spacing w:val="-4"/>
                <w:sz w:val="20"/>
              </w:rPr>
              <w:t>Medical</w:t>
            </w:r>
            <w:r>
              <w:rPr>
                <w:spacing w:val="1"/>
                <w:sz w:val="20"/>
              </w:rPr>
              <w:t> </w:t>
            </w:r>
            <w:r>
              <w:rPr>
                <w:spacing w:val="-4"/>
                <w:sz w:val="20"/>
              </w:rPr>
              <w:t>Directors</w:t>
            </w:r>
          </w:p>
        </w:tc>
      </w:tr>
      <w:tr>
        <w:trPr>
          <w:trHeight w:val="610" w:hRule="atLeast"/>
        </w:trPr>
        <w:tc>
          <w:tcPr>
            <w:tcW w:w="3972" w:type="dxa"/>
            <w:shd w:val="clear" w:color="auto" w:fill="C1A875"/>
          </w:tcPr>
          <w:p>
            <w:pPr>
              <w:pStyle w:val="TableParagraph"/>
              <w:spacing w:before="78"/>
              <w:ind w:left="110" w:right="1082"/>
              <w:rPr>
                <w:b/>
                <w:sz w:val="20"/>
              </w:rPr>
            </w:pPr>
            <w:r>
              <w:rPr>
                <w:b/>
                <w:spacing w:val="-4"/>
                <w:sz w:val="20"/>
              </w:rPr>
              <w:t>ARWEINYDD</w:t>
            </w:r>
            <w:r>
              <w:rPr>
                <w:b/>
                <w:spacing w:val="-10"/>
                <w:sz w:val="20"/>
              </w:rPr>
              <w:t> </w:t>
            </w:r>
            <w:r>
              <w:rPr>
                <w:b/>
                <w:spacing w:val="-4"/>
                <w:sz w:val="20"/>
              </w:rPr>
              <w:t>CLINIGOL: </w:t>
            </w:r>
            <w:r>
              <w:rPr>
                <w:b/>
                <w:sz w:val="20"/>
              </w:rPr>
              <w:t>CLINICAL</w:t>
            </w:r>
            <w:r>
              <w:rPr>
                <w:b/>
                <w:spacing w:val="-1"/>
                <w:sz w:val="20"/>
              </w:rPr>
              <w:t> </w:t>
            </w:r>
            <w:r>
              <w:rPr>
                <w:b/>
                <w:sz w:val="20"/>
              </w:rPr>
              <w:t>LEAD:</w:t>
            </w:r>
          </w:p>
        </w:tc>
        <w:tc>
          <w:tcPr>
            <w:tcW w:w="6098" w:type="dxa"/>
          </w:tcPr>
          <w:p>
            <w:pPr>
              <w:pStyle w:val="TableParagraph"/>
              <w:spacing w:before="3"/>
              <w:ind w:left="109"/>
              <w:rPr>
                <w:sz w:val="20"/>
              </w:rPr>
            </w:pPr>
            <w:r>
              <w:rPr>
                <w:spacing w:val="-4"/>
                <w:sz w:val="20"/>
              </w:rPr>
              <w:t>Dr</w:t>
            </w:r>
            <w:r>
              <w:rPr>
                <w:spacing w:val="-3"/>
                <w:sz w:val="20"/>
              </w:rPr>
              <w:t> </w:t>
            </w:r>
            <w:r>
              <w:rPr>
                <w:spacing w:val="-4"/>
                <w:sz w:val="20"/>
              </w:rPr>
              <w:t>Russell</w:t>
            </w:r>
            <w:r>
              <w:rPr>
                <w:spacing w:val="1"/>
                <w:sz w:val="20"/>
              </w:rPr>
              <w:t> </w:t>
            </w:r>
            <w:r>
              <w:rPr>
                <w:spacing w:val="-4"/>
                <w:sz w:val="20"/>
              </w:rPr>
              <w:t>Banner,</w:t>
            </w:r>
            <w:r>
              <w:rPr>
                <w:spacing w:val="-1"/>
                <w:sz w:val="20"/>
              </w:rPr>
              <w:t> </w:t>
            </w:r>
            <w:r>
              <w:rPr>
                <w:spacing w:val="-4"/>
                <w:sz w:val="20"/>
              </w:rPr>
              <w:t>Clinical</w:t>
            </w:r>
            <w:r>
              <w:rPr>
                <w:spacing w:val="-5"/>
                <w:sz w:val="20"/>
              </w:rPr>
              <w:t> </w:t>
            </w:r>
            <w:r>
              <w:rPr>
                <w:spacing w:val="-4"/>
                <w:sz w:val="20"/>
              </w:rPr>
              <w:t>Director,</w:t>
            </w:r>
            <w:r>
              <w:rPr>
                <w:sz w:val="20"/>
              </w:rPr>
              <w:t> </w:t>
            </w:r>
            <w:r>
              <w:rPr>
                <w:spacing w:val="-4"/>
                <w:sz w:val="20"/>
              </w:rPr>
              <w:t>Oncology</w:t>
            </w:r>
            <w:r>
              <w:rPr>
                <w:sz w:val="20"/>
              </w:rPr>
              <w:t> </w:t>
            </w:r>
            <w:r>
              <w:rPr>
                <w:spacing w:val="-4"/>
                <w:sz w:val="20"/>
              </w:rPr>
              <w:t>&amp;</w:t>
            </w:r>
            <w:r>
              <w:rPr>
                <w:spacing w:val="1"/>
                <w:sz w:val="20"/>
              </w:rPr>
              <w:t> </w:t>
            </w:r>
            <w:r>
              <w:rPr>
                <w:spacing w:val="-4"/>
                <w:sz w:val="20"/>
              </w:rPr>
              <w:t>Haematology</w:t>
            </w:r>
          </w:p>
        </w:tc>
      </w:tr>
      <w:tr>
        <w:trPr>
          <w:trHeight w:val="1060" w:hRule="atLeast"/>
        </w:trPr>
        <w:tc>
          <w:tcPr>
            <w:tcW w:w="3972" w:type="dxa"/>
            <w:shd w:val="clear" w:color="auto" w:fill="C1A875"/>
          </w:tcPr>
          <w:p>
            <w:pPr>
              <w:pStyle w:val="TableParagraph"/>
              <w:spacing w:before="72"/>
              <w:rPr>
                <w:sz w:val="20"/>
              </w:rPr>
            </w:pPr>
          </w:p>
          <w:p>
            <w:pPr>
              <w:pStyle w:val="TableParagraph"/>
              <w:ind w:left="110" w:right="1082"/>
              <w:rPr>
                <w:b/>
                <w:sz w:val="20"/>
              </w:rPr>
            </w:pPr>
            <w:r>
              <w:rPr>
                <w:b/>
                <w:sz w:val="20"/>
              </w:rPr>
              <w:t>SWYDDOG ADRODD: </w:t>
            </w:r>
            <w:r>
              <w:rPr>
                <w:b/>
                <w:spacing w:val="-4"/>
                <w:sz w:val="20"/>
              </w:rPr>
              <w:t>REPORTING</w:t>
            </w:r>
            <w:r>
              <w:rPr>
                <w:b/>
                <w:spacing w:val="-10"/>
                <w:sz w:val="20"/>
              </w:rPr>
              <w:t> </w:t>
            </w:r>
            <w:r>
              <w:rPr>
                <w:b/>
                <w:spacing w:val="-4"/>
                <w:sz w:val="20"/>
              </w:rPr>
              <w:t>OFFICER:</w:t>
            </w:r>
          </w:p>
        </w:tc>
        <w:tc>
          <w:tcPr>
            <w:tcW w:w="6098" w:type="dxa"/>
          </w:tcPr>
          <w:p>
            <w:pPr>
              <w:pStyle w:val="TableParagraph"/>
              <w:spacing w:before="2"/>
              <w:rPr>
                <w:sz w:val="20"/>
              </w:rPr>
            </w:pPr>
          </w:p>
          <w:p>
            <w:pPr>
              <w:pStyle w:val="TableParagraph"/>
              <w:ind w:left="109" w:right="297"/>
              <w:rPr>
                <w:sz w:val="20"/>
              </w:rPr>
            </w:pPr>
            <w:r>
              <w:rPr>
                <w:spacing w:val="-2"/>
                <w:sz w:val="20"/>
              </w:rPr>
              <w:t>Abi</w:t>
            </w:r>
            <w:r>
              <w:rPr>
                <w:spacing w:val="-12"/>
                <w:sz w:val="20"/>
              </w:rPr>
              <w:t> </w:t>
            </w:r>
            <w:r>
              <w:rPr>
                <w:spacing w:val="-2"/>
                <w:sz w:val="20"/>
              </w:rPr>
              <w:t>Harris,</w:t>
            </w:r>
            <w:r>
              <w:rPr>
                <w:spacing w:val="-12"/>
                <w:sz w:val="20"/>
              </w:rPr>
              <w:t> </w:t>
            </w:r>
            <w:r>
              <w:rPr>
                <w:spacing w:val="-2"/>
                <w:sz w:val="20"/>
              </w:rPr>
              <w:t>Chief</w:t>
            </w:r>
            <w:r>
              <w:rPr>
                <w:spacing w:val="-12"/>
                <w:sz w:val="20"/>
              </w:rPr>
              <w:t> </w:t>
            </w:r>
            <w:r>
              <w:rPr>
                <w:spacing w:val="-2"/>
                <w:sz w:val="20"/>
              </w:rPr>
              <w:t>Executive,</w:t>
            </w:r>
            <w:r>
              <w:rPr>
                <w:spacing w:val="-12"/>
                <w:sz w:val="20"/>
              </w:rPr>
              <w:t> </w:t>
            </w:r>
            <w:r>
              <w:rPr>
                <w:spacing w:val="-2"/>
                <w:sz w:val="20"/>
              </w:rPr>
              <w:t>Swansea</w:t>
            </w:r>
            <w:r>
              <w:rPr>
                <w:spacing w:val="-12"/>
                <w:sz w:val="20"/>
              </w:rPr>
              <w:t> </w:t>
            </w:r>
            <w:r>
              <w:rPr>
                <w:spacing w:val="-2"/>
                <w:sz w:val="20"/>
              </w:rPr>
              <w:t>Bay</w:t>
            </w:r>
            <w:r>
              <w:rPr>
                <w:spacing w:val="-12"/>
                <w:sz w:val="20"/>
              </w:rPr>
              <w:t> </w:t>
            </w:r>
            <w:r>
              <w:rPr>
                <w:spacing w:val="-2"/>
                <w:sz w:val="20"/>
              </w:rPr>
              <w:t>University</w:t>
            </w:r>
            <w:r>
              <w:rPr>
                <w:spacing w:val="-12"/>
                <w:sz w:val="20"/>
              </w:rPr>
              <w:t> </w:t>
            </w:r>
            <w:r>
              <w:rPr>
                <w:spacing w:val="-2"/>
                <w:sz w:val="20"/>
              </w:rPr>
              <w:t>Health</w:t>
            </w:r>
            <w:r>
              <w:rPr>
                <w:spacing w:val="-12"/>
                <w:sz w:val="20"/>
              </w:rPr>
              <w:t> </w:t>
            </w:r>
            <w:r>
              <w:rPr>
                <w:spacing w:val="-2"/>
                <w:sz w:val="20"/>
              </w:rPr>
              <w:t>Board </w:t>
            </w:r>
            <w:r>
              <w:rPr>
                <w:sz w:val="20"/>
              </w:rPr>
              <w:t>Phil</w:t>
            </w:r>
            <w:r>
              <w:rPr>
                <w:spacing w:val="-4"/>
                <w:sz w:val="20"/>
              </w:rPr>
              <w:t> </w:t>
            </w:r>
            <w:r>
              <w:rPr>
                <w:sz w:val="20"/>
              </w:rPr>
              <w:t>Kloer,</w:t>
            </w:r>
            <w:r>
              <w:rPr>
                <w:spacing w:val="-5"/>
                <w:sz w:val="20"/>
              </w:rPr>
              <w:t> </w:t>
            </w:r>
            <w:r>
              <w:rPr>
                <w:sz w:val="20"/>
              </w:rPr>
              <w:t>Chief</w:t>
            </w:r>
            <w:r>
              <w:rPr>
                <w:spacing w:val="-11"/>
                <w:sz w:val="20"/>
              </w:rPr>
              <w:t> </w:t>
            </w:r>
            <w:r>
              <w:rPr>
                <w:sz w:val="20"/>
              </w:rPr>
              <w:t>Executive,</w:t>
            </w:r>
            <w:r>
              <w:rPr>
                <w:spacing w:val="-11"/>
                <w:sz w:val="20"/>
              </w:rPr>
              <w:t> </w:t>
            </w:r>
            <w:r>
              <w:rPr>
                <w:sz w:val="20"/>
              </w:rPr>
              <w:t>Hywel</w:t>
            </w:r>
            <w:r>
              <w:rPr>
                <w:spacing w:val="-4"/>
                <w:sz w:val="20"/>
              </w:rPr>
              <w:t> </w:t>
            </w:r>
            <w:r>
              <w:rPr>
                <w:sz w:val="20"/>
              </w:rPr>
              <w:t>Dda</w:t>
            </w:r>
            <w:r>
              <w:rPr>
                <w:spacing w:val="-6"/>
                <w:sz w:val="20"/>
              </w:rPr>
              <w:t> </w:t>
            </w:r>
            <w:r>
              <w:rPr>
                <w:sz w:val="20"/>
              </w:rPr>
              <w:t>University</w:t>
            </w:r>
            <w:r>
              <w:rPr>
                <w:spacing w:val="-5"/>
                <w:sz w:val="20"/>
              </w:rPr>
              <w:t> </w:t>
            </w:r>
            <w:r>
              <w:rPr>
                <w:sz w:val="20"/>
              </w:rPr>
              <w:t>Health</w:t>
            </w:r>
            <w:r>
              <w:rPr>
                <w:spacing w:val="-12"/>
                <w:sz w:val="20"/>
              </w:rPr>
              <w:t> </w:t>
            </w:r>
            <w:r>
              <w:rPr>
                <w:sz w:val="20"/>
              </w:rPr>
              <w:t>Board</w:t>
            </w:r>
          </w:p>
        </w:tc>
      </w:tr>
    </w:tbl>
    <w:p>
      <w:pPr>
        <w:pStyle w:val="BodyText"/>
        <w:spacing w:before="46"/>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460" w:hRule="atLeast"/>
        </w:trPr>
        <w:tc>
          <w:tcPr>
            <w:tcW w:w="10069" w:type="dxa"/>
            <w:shd w:val="clear" w:color="auto" w:fill="394871"/>
          </w:tcPr>
          <w:p>
            <w:pPr>
              <w:pStyle w:val="TableParagraph"/>
              <w:spacing w:before="2"/>
              <w:ind w:left="5"/>
              <w:rPr>
                <w:sz w:val="20"/>
              </w:rPr>
            </w:pPr>
            <w:r>
              <w:rPr>
                <w:b/>
                <w:color w:val="FFFFFF"/>
                <w:spacing w:val="-2"/>
                <w:sz w:val="20"/>
              </w:rPr>
              <w:t>Pwrpas</w:t>
            </w:r>
            <w:r>
              <w:rPr>
                <w:b/>
                <w:color w:val="FFFFFF"/>
                <w:spacing w:val="-12"/>
                <w:sz w:val="20"/>
              </w:rPr>
              <w:t> </w:t>
            </w:r>
            <w:r>
              <w:rPr>
                <w:b/>
                <w:color w:val="FFFFFF"/>
                <w:spacing w:val="-2"/>
                <w:sz w:val="20"/>
              </w:rPr>
              <w:t>yr</w:t>
            </w:r>
            <w:r>
              <w:rPr>
                <w:b/>
                <w:color w:val="FFFFFF"/>
                <w:spacing w:val="-12"/>
                <w:sz w:val="20"/>
              </w:rPr>
              <w:t> </w:t>
            </w:r>
            <w:r>
              <w:rPr>
                <w:b/>
                <w:color w:val="FFFFFF"/>
                <w:spacing w:val="-2"/>
                <w:sz w:val="20"/>
              </w:rPr>
              <w:t>Adroddiad</w:t>
            </w:r>
            <w:r>
              <w:rPr>
                <w:b/>
                <w:color w:val="FFFFFF"/>
                <w:spacing w:val="-12"/>
                <w:sz w:val="20"/>
              </w:rPr>
              <w:t> </w:t>
            </w:r>
            <w:r>
              <w:rPr>
                <w:color w:val="FFFFFF"/>
                <w:spacing w:val="-2"/>
                <w:sz w:val="20"/>
              </w:rPr>
              <w:t>(dewiswch</w:t>
            </w:r>
            <w:r>
              <w:rPr>
                <w:color w:val="FFFFFF"/>
                <w:spacing w:val="-12"/>
                <w:sz w:val="20"/>
              </w:rPr>
              <w:t> </w:t>
            </w:r>
            <w:r>
              <w:rPr>
                <w:color w:val="FFFFFF"/>
                <w:spacing w:val="-2"/>
                <w:sz w:val="20"/>
              </w:rPr>
              <w:t>fel</w:t>
            </w:r>
            <w:r>
              <w:rPr>
                <w:color w:val="FFFFFF"/>
                <w:spacing w:val="-11"/>
                <w:sz w:val="20"/>
              </w:rPr>
              <w:t> </w:t>
            </w:r>
            <w:r>
              <w:rPr>
                <w:color w:val="FFFFFF"/>
                <w:spacing w:val="-2"/>
                <w:sz w:val="20"/>
              </w:rPr>
              <w:t>yn</w:t>
            </w:r>
            <w:r>
              <w:rPr>
                <w:color w:val="FFFFFF"/>
                <w:spacing w:val="-11"/>
                <w:sz w:val="20"/>
              </w:rPr>
              <w:t> </w:t>
            </w:r>
            <w:r>
              <w:rPr>
                <w:color w:val="FFFFFF"/>
                <w:spacing w:val="-2"/>
                <w:sz w:val="20"/>
              </w:rPr>
              <w:t>addas)</w:t>
            </w:r>
          </w:p>
          <w:p>
            <w:pPr>
              <w:pStyle w:val="TableParagraph"/>
              <w:spacing w:line="208" w:lineRule="exact"/>
              <w:ind w:left="5"/>
              <w:rPr>
                <w:sz w:val="20"/>
              </w:rPr>
            </w:pPr>
            <w:r>
              <w:rPr>
                <w:b/>
                <w:color w:val="FFFFFF"/>
                <w:spacing w:val="-2"/>
                <w:sz w:val="20"/>
              </w:rPr>
              <w:t>Purpose</w:t>
            </w:r>
            <w:r>
              <w:rPr>
                <w:b/>
                <w:color w:val="FFFFFF"/>
                <w:spacing w:val="-12"/>
                <w:sz w:val="20"/>
              </w:rPr>
              <w:t> </w:t>
            </w:r>
            <w:r>
              <w:rPr>
                <w:b/>
                <w:color w:val="FFFFFF"/>
                <w:spacing w:val="-2"/>
                <w:sz w:val="20"/>
              </w:rPr>
              <w:t>of</w:t>
            </w:r>
            <w:r>
              <w:rPr>
                <w:b/>
                <w:color w:val="FFFFFF"/>
                <w:spacing w:val="-12"/>
                <w:sz w:val="20"/>
              </w:rPr>
              <w:t> </w:t>
            </w:r>
            <w:r>
              <w:rPr>
                <w:b/>
                <w:color w:val="FFFFFF"/>
                <w:spacing w:val="-2"/>
                <w:sz w:val="20"/>
              </w:rPr>
              <w:t>the</w:t>
            </w:r>
            <w:r>
              <w:rPr>
                <w:b/>
                <w:color w:val="FFFFFF"/>
                <w:spacing w:val="-12"/>
                <w:sz w:val="20"/>
              </w:rPr>
              <w:t> </w:t>
            </w:r>
            <w:r>
              <w:rPr>
                <w:b/>
                <w:color w:val="FFFFFF"/>
                <w:spacing w:val="-2"/>
                <w:sz w:val="20"/>
              </w:rPr>
              <w:t>Report</w:t>
            </w:r>
            <w:r>
              <w:rPr>
                <w:b/>
                <w:color w:val="FFFFFF"/>
                <w:spacing w:val="-7"/>
                <w:sz w:val="20"/>
              </w:rPr>
              <w:t> </w:t>
            </w:r>
            <w:r>
              <w:rPr>
                <w:color w:val="FFFFFF"/>
                <w:spacing w:val="-2"/>
                <w:sz w:val="20"/>
              </w:rPr>
              <w:t>(select</w:t>
            </w:r>
            <w:r>
              <w:rPr>
                <w:color w:val="FFFFFF"/>
                <w:spacing w:val="-11"/>
                <w:sz w:val="20"/>
              </w:rPr>
              <w:t> </w:t>
            </w:r>
            <w:r>
              <w:rPr>
                <w:color w:val="FFFFFF"/>
                <w:spacing w:val="-2"/>
                <w:sz w:val="20"/>
              </w:rPr>
              <w:t>as</w:t>
            </w:r>
            <w:r>
              <w:rPr>
                <w:color w:val="FFFFFF"/>
                <w:spacing w:val="-10"/>
                <w:sz w:val="20"/>
              </w:rPr>
              <w:t> </w:t>
            </w:r>
            <w:r>
              <w:rPr>
                <w:color w:val="FFFFFF"/>
                <w:spacing w:val="-2"/>
                <w:sz w:val="20"/>
              </w:rPr>
              <w:t>appropriate)</w:t>
            </w:r>
          </w:p>
        </w:tc>
      </w:tr>
      <w:tr>
        <w:trPr>
          <w:trHeight w:val="275" w:hRule="atLeast"/>
        </w:trPr>
        <w:tc>
          <w:tcPr>
            <w:tcW w:w="10069" w:type="dxa"/>
            <w:tcBorders>
              <w:bottom w:val="single" w:sz="8" w:space="0" w:color="000000"/>
            </w:tcBorders>
          </w:tcPr>
          <w:p>
            <w:pPr>
              <w:pStyle w:val="TableParagraph"/>
              <w:spacing w:line="255" w:lineRule="exact"/>
              <w:ind w:left="2871"/>
              <w:rPr>
                <w:sz w:val="24"/>
              </w:rPr>
            </w:pPr>
            <w:r>
              <w:rPr>
                <w:spacing w:val="-4"/>
                <w:sz w:val="24"/>
              </w:rPr>
              <w:t>Ar</w:t>
            </w:r>
            <w:r>
              <w:rPr>
                <w:spacing w:val="-1"/>
                <w:sz w:val="24"/>
              </w:rPr>
              <w:t> </w:t>
            </w:r>
            <w:r>
              <w:rPr>
                <w:spacing w:val="-4"/>
                <w:sz w:val="24"/>
              </w:rPr>
              <w:t>Gyfer</w:t>
            </w:r>
            <w:r>
              <w:rPr>
                <w:spacing w:val="-1"/>
                <w:sz w:val="24"/>
              </w:rPr>
              <w:t> </w:t>
            </w:r>
            <w:r>
              <w:rPr>
                <w:spacing w:val="-4"/>
                <w:sz w:val="24"/>
              </w:rPr>
              <w:t>Penderfyniad/For</w:t>
            </w:r>
            <w:r>
              <w:rPr>
                <w:spacing w:val="-1"/>
                <w:sz w:val="24"/>
              </w:rPr>
              <w:t> </w:t>
            </w:r>
            <w:r>
              <w:rPr>
                <w:spacing w:val="-4"/>
                <w:sz w:val="24"/>
              </w:rPr>
              <w:t>Decision</w:t>
            </w:r>
          </w:p>
        </w:tc>
      </w:tr>
      <w:tr>
        <w:trPr>
          <w:trHeight w:val="555" w:hRule="atLeast"/>
        </w:trPr>
        <w:tc>
          <w:tcPr>
            <w:tcW w:w="10069" w:type="dxa"/>
            <w:tcBorders>
              <w:top w:val="single" w:sz="8" w:space="0" w:color="000000"/>
            </w:tcBorders>
            <w:shd w:val="clear" w:color="auto" w:fill="394871"/>
          </w:tcPr>
          <w:p>
            <w:pPr>
              <w:pStyle w:val="TableParagraph"/>
              <w:spacing w:line="280" w:lineRule="exact"/>
              <w:ind w:left="110" w:right="7140"/>
              <w:rPr>
                <w:b/>
                <w:sz w:val="24"/>
              </w:rPr>
            </w:pPr>
            <w:r>
              <w:rPr>
                <w:b/>
                <w:color w:val="FFFFFF"/>
                <w:spacing w:val="-4"/>
                <w:sz w:val="24"/>
              </w:rPr>
              <w:t>ADRODDIAD</w:t>
            </w:r>
            <w:r>
              <w:rPr>
                <w:b/>
                <w:color w:val="FFFFFF"/>
                <w:spacing w:val="-13"/>
                <w:sz w:val="24"/>
              </w:rPr>
              <w:t> </w:t>
            </w:r>
            <w:r>
              <w:rPr>
                <w:b/>
                <w:color w:val="FFFFFF"/>
                <w:spacing w:val="-4"/>
                <w:sz w:val="24"/>
              </w:rPr>
              <w:t>SCAA </w:t>
            </w:r>
            <w:r>
              <w:rPr>
                <w:b/>
                <w:color w:val="FFFFFF"/>
                <w:sz w:val="24"/>
              </w:rPr>
              <w:t>SBAR REPORT</w:t>
            </w:r>
          </w:p>
        </w:tc>
      </w:tr>
      <w:tr>
        <w:trPr>
          <w:trHeight w:val="8017" w:hRule="atLeast"/>
        </w:trPr>
        <w:tc>
          <w:tcPr>
            <w:tcW w:w="10069" w:type="dxa"/>
          </w:tcPr>
          <w:p>
            <w:pPr>
              <w:pStyle w:val="TableParagraph"/>
              <w:spacing w:before="83"/>
              <w:ind w:left="120"/>
              <w:rPr>
                <w:b/>
                <w:sz w:val="21"/>
              </w:rPr>
            </w:pPr>
            <w:r>
              <w:rPr>
                <w:b/>
                <w:color w:val="394871"/>
                <w:spacing w:val="-2"/>
                <w:sz w:val="21"/>
                <w:u w:val="single" w:color="394871"/>
              </w:rPr>
              <w:t>Sefyllfa</w:t>
            </w:r>
            <w:r>
              <w:rPr>
                <w:b/>
                <w:color w:val="394871"/>
                <w:spacing w:val="-13"/>
                <w:sz w:val="21"/>
                <w:u w:val="single" w:color="394871"/>
              </w:rPr>
              <w:t> </w:t>
            </w:r>
            <w:r>
              <w:rPr>
                <w:b/>
                <w:color w:val="394871"/>
                <w:spacing w:val="-2"/>
                <w:sz w:val="21"/>
                <w:u w:val="single" w:color="394871"/>
              </w:rPr>
              <w:t>/</w:t>
            </w:r>
            <w:r>
              <w:rPr>
                <w:b/>
                <w:color w:val="394871"/>
                <w:spacing w:val="-11"/>
                <w:sz w:val="21"/>
                <w:u w:val="single" w:color="394871"/>
              </w:rPr>
              <w:t> </w:t>
            </w:r>
            <w:r>
              <w:rPr>
                <w:b/>
                <w:color w:val="394871"/>
                <w:spacing w:val="-2"/>
                <w:sz w:val="21"/>
                <w:u w:val="single" w:color="394871"/>
              </w:rPr>
              <w:t>Situation</w:t>
            </w:r>
          </w:p>
          <w:p>
            <w:pPr>
              <w:pStyle w:val="TableParagraph"/>
              <w:spacing w:line="252" w:lineRule="auto" w:before="158"/>
              <w:ind w:left="120"/>
              <w:rPr>
                <w:sz w:val="20"/>
              </w:rPr>
            </w:pPr>
            <w:r>
              <w:rPr>
                <w:spacing w:val="-2"/>
                <w:sz w:val="20"/>
              </w:rPr>
              <w:t>The</w:t>
            </w:r>
            <w:r>
              <w:rPr>
                <w:spacing w:val="-12"/>
                <w:sz w:val="20"/>
              </w:rPr>
              <w:t> </w:t>
            </w:r>
            <w:r>
              <w:rPr>
                <w:spacing w:val="-2"/>
                <w:sz w:val="20"/>
              </w:rPr>
              <w:t>Regional</w:t>
            </w:r>
            <w:r>
              <w:rPr>
                <w:spacing w:val="-9"/>
                <w:sz w:val="20"/>
              </w:rPr>
              <w:t> </w:t>
            </w:r>
            <w:r>
              <w:rPr>
                <w:spacing w:val="-2"/>
                <w:sz w:val="20"/>
              </w:rPr>
              <w:t>Joint</w:t>
            </w:r>
            <w:r>
              <w:rPr>
                <w:spacing w:val="-10"/>
                <w:sz w:val="20"/>
              </w:rPr>
              <w:t> </w:t>
            </w:r>
            <w:r>
              <w:rPr>
                <w:spacing w:val="-2"/>
                <w:sz w:val="20"/>
              </w:rPr>
              <w:t>Committee</w:t>
            </w:r>
            <w:r>
              <w:rPr>
                <w:spacing w:val="-11"/>
                <w:sz w:val="20"/>
              </w:rPr>
              <w:t> </w:t>
            </w:r>
            <w:r>
              <w:rPr>
                <w:spacing w:val="-2"/>
                <w:sz w:val="20"/>
              </w:rPr>
              <w:t>(RJC)</w:t>
            </w:r>
            <w:r>
              <w:rPr>
                <w:spacing w:val="35"/>
                <w:sz w:val="20"/>
              </w:rPr>
              <w:t> </w:t>
            </w:r>
            <w:r>
              <w:rPr>
                <w:spacing w:val="-2"/>
                <w:sz w:val="20"/>
              </w:rPr>
              <w:t>is</w:t>
            </w:r>
            <w:r>
              <w:rPr>
                <w:spacing w:val="-8"/>
                <w:sz w:val="20"/>
              </w:rPr>
              <w:t> </w:t>
            </w:r>
            <w:r>
              <w:rPr>
                <w:spacing w:val="-2"/>
                <w:sz w:val="20"/>
              </w:rPr>
              <w:t>asked</w:t>
            </w:r>
            <w:r>
              <w:rPr>
                <w:spacing w:val="-11"/>
                <w:sz w:val="20"/>
              </w:rPr>
              <w:t> </w:t>
            </w:r>
            <w:r>
              <w:rPr>
                <w:spacing w:val="-2"/>
                <w:sz w:val="20"/>
              </w:rPr>
              <w:t>to</w:t>
            </w:r>
            <w:r>
              <w:rPr>
                <w:spacing w:val="-11"/>
                <w:sz w:val="20"/>
              </w:rPr>
              <w:t> </w:t>
            </w:r>
            <w:r>
              <w:rPr>
                <w:spacing w:val="-2"/>
                <w:sz w:val="20"/>
              </w:rPr>
              <w:t>endorse</w:t>
            </w:r>
            <w:r>
              <w:rPr>
                <w:spacing w:val="-11"/>
                <w:sz w:val="20"/>
              </w:rPr>
              <w:t> </w:t>
            </w:r>
            <w:r>
              <w:rPr>
                <w:spacing w:val="-2"/>
                <w:sz w:val="20"/>
              </w:rPr>
              <w:t>the</w:t>
            </w:r>
            <w:r>
              <w:rPr>
                <w:spacing w:val="-11"/>
                <w:sz w:val="20"/>
              </w:rPr>
              <w:t> </w:t>
            </w:r>
            <w:r>
              <w:rPr>
                <w:spacing w:val="-2"/>
                <w:sz w:val="20"/>
              </w:rPr>
              <w:t>inclusion</w:t>
            </w:r>
            <w:r>
              <w:rPr>
                <w:spacing w:val="-11"/>
                <w:sz w:val="20"/>
              </w:rPr>
              <w:t> </w:t>
            </w:r>
            <w:r>
              <w:rPr>
                <w:spacing w:val="-2"/>
                <w:sz w:val="20"/>
              </w:rPr>
              <w:t>of</w:t>
            </w:r>
            <w:r>
              <w:rPr>
                <w:spacing w:val="-10"/>
                <w:sz w:val="20"/>
              </w:rPr>
              <w:t> </w:t>
            </w:r>
            <w:r>
              <w:rPr>
                <w:spacing w:val="-2"/>
                <w:sz w:val="20"/>
              </w:rPr>
              <w:t>work</w:t>
            </w:r>
            <w:r>
              <w:rPr>
                <w:spacing w:val="-10"/>
                <w:sz w:val="20"/>
              </w:rPr>
              <w:t> </w:t>
            </w:r>
            <w:r>
              <w:rPr>
                <w:spacing w:val="-2"/>
                <w:sz w:val="20"/>
              </w:rPr>
              <w:t>to</w:t>
            </w:r>
            <w:r>
              <w:rPr>
                <w:spacing w:val="-11"/>
                <w:sz w:val="20"/>
              </w:rPr>
              <w:t> </w:t>
            </w:r>
            <w:r>
              <w:rPr>
                <w:spacing w:val="-2"/>
                <w:sz w:val="20"/>
              </w:rPr>
              <w:t>develop</w:t>
            </w:r>
            <w:r>
              <w:rPr>
                <w:spacing w:val="-6"/>
                <w:sz w:val="20"/>
              </w:rPr>
              <w:t> </w:t>
            </w:r>
            <w:r>
              <w:rPr>
                <w:spacing w:val="-2"/>
                <w:sz w:val="20"/>
              </w:rPr>
              <w:t>a</w:t>
            </w:r>
            <w:r>
              <w:rPr>
                <w:spacing w:val="-13"/>
                <w:sz w:val="20"/>
              </w:rPr>
              <w:t> </w:t>
            </w:r>
            <w:r>
              <w:rPr>
                <w:spacing w:val="-2"/>
                <w:sz w:val="20"/>
              </w:rPr>
              <w:t>Regional</w:t>
            </w:r>
            <w:r>
              <w:rPr>
                <w:spacing w:val="-9"/>
                <w:sz w:val="20"/>
              </w:rPr>
              <w:t> </w:t>
            </w:r>
            <w:r>
              <w:rPr>
                <w:spacing w:val="-2"/>
                <w:sz w:val="20"/>
              </w:rPr>
              <w:t>Approach</w:t>
            </w:r>
            <w:r>
              <w:rPr>
                <w:spacing w:val="-11"/>
                <w:sz w:val="20"/>
              </w:rPr>
              <w:t> </w:t>
            </w:r>
            <w:r>
              <w:rPr>
                <w:spacing w:val="-2"/>
                <w:sz w:val="20"/>
              </w:rPr>
              <w:t>to Cancer</w:t>
            </w:r>
            <w:r>
              <w:rPr>
                <w:spacing w:val="-9"/>
                <w:sz w:val="20"/>
              </w:rPr>
              <w:t> </w:t>
            </w:r>
            <w:r>
              <w:rPr>
                <w:spacing w:val="-2"/>
                <w:sz w:val="20"/>
              </w:rPr>
              <w:t>Care</w:t>
            </w:r>
            <w:r>
              <w:rPr>
                <w:spacing w:val="-8"/>
                <w:sz w:val="20"/>
              </w:rPr>
              <w:t> </w:t>
            </w:r>
            <w:r>
              <w:rPr>
                <w:spacing w:val="-2"/>
                <w:sz w:val="20"/>
              </w:rPr>
              <w:t>within</w:t>
            </w:r>
            <w:r>
              <w:rPr>
                <w:spacing w:val="-8"/>
                <w:sz w:val="20"/>
              </w:rPr>
              <w:t> </w:t>
            </w:r>
            <w:r>
              <w:rPr>
                <w:spacing w:val="-2"/>
                <w:sz w:val="20"/>
              </w:rPr>
              <w:t>its</w:t>
            </w:r>
            <w:r>
              <w:rPr>
                <w:spacing w:val="-8"/>
                <w:sz w:val="20"/>
              </w:rPr>
              <w:t> </w:t>
            </w:r>
            <w:r>
              <w:rPr>
                <w:spacing w:val="-2"/>
                <w:sz w:val="20"/>
              </w:rPr>
              <w:t>2026/27</w:t>
            </w:r>
            <w:r>
              <w:rPr>
                <w:spacing w:val="-8"/>
                <w:sz w:val="20"/>
              </w:rPr>
              <w:t> </w:t>
            </w:r>
            <w:r>
              <w:rPr>
                <w:spacing w:val="-2"/>
                <w:sz w:val="20"/>
              </w:rPr>
              <w:t>work</w:t>
            </w:r>
            <w:r>
              <w:rPr>
                <w:spacing w:val="-7"/>
                <w:sz w:val="20"/>
              </w:rPr>
              <w:t> </w:t>
            </w:r>
            <w:r>
              <w:rPr>
                <w:spacing w:val="-2"/>
                <w:sz w:val="20"/>
              </w:rPr>
              <w:t>programme</w:t>
            </w:r>
            <w:r>
              <w:rPr>
                <w:spacing w:val="-8"/>
                <w:sz w:val="20"/>
              </w:rPr>
              <w:t> </w:t>
            </w:r>
            <w:r>
              <w:rPr>
                <w:spacing w:val="-2"/>
                <w:sz w:val="20"/>
              </w:rPr>
              <w:t>and</w:t>
            </w:r>
            <w:r>
              <w:rPr>
                <w:spacing w:val="-8"/>
                <w:sz w:val="20"/>
              </w:rPr>
              <w:t> </w:t>
            </w:r>
            <w:r>
              <w:rPr>
                <w:spacing w:val="-2"/>
                <w:sz w:val="20"/>
              </w:rPr>
              <w:t>support</w:t>
            </w:r>
            <w:r>
              <w:rPr>
                <w:spacing w:val="-8"/>
                <w:sz w:val="20"/>
              </w:rPr>
              <w:t> </w:t>
            </w:r>
            <w:r>
              <w:rPr>
                <w:spacing w:val="-2"/>
                <w:sz w:val="20"/>
              </w:rPr>
              <w:t>the</w:t>
            </w:r>
            <w:r>
              <w:rPr>
                <w:spacing w:val="-8"/>
                <w:sz w:val="20"/>
              </w:rPr>
              <w:t> </w:t>
            </w:r>
            <w:r>
              <w:rPr>
                <w:spacing w:val="-2"/>
                <w:sz w:val="20"/>
              </w:rPr>
              <w:t>proposed</w:t>
            </w:r>
            <w:r>
              <w:rPr>
                <w:spacing w:val="-8"/>
                <w:sz w:val="20"/>
              </w:rPr>
              <w:t> </w:t>
            </w:r>
            <w:r>
              <w:rPr>
                <w:spacing w:val="-2"/>
                <w:sz w:val="20"/>
              </w:rPr>
              <w:t>direction</w:t>
            </w:r>
            <w:r>
              <w:rPr>
                <w:spacing w:val="-4"/>
                <w:sz w:val="20"/>
              </w:rPr>
              <w:t> </w:t>
            </w:r>
            <w:r>
              <w:rPr>
                <w:spacing w:val="-2"/>
                <w:sz w:val="20"/>
              </w:rPr>
              <w:t>of</w:t>
            </w:r>
            <w:r>
              <w:rPr>
                <w:spacing w:val="-8"/>
                <w:sz w:val="20"/>
              </w:rPr>
              <w:t> </w:t>
            </w:r>
            <w:r>
              <w:rPr>
                <w:spacing w:val="-2"/>
                <w:sz w:val="20"/>
              </w:rPr>
              <w:t>travel</w:t>
            </w:r>
            <w:r>
              <w:rPr>
                <w:spacing w:val="-7"/>
                <w:sz w:val="20"/>
              </w:rPr>
              <w:t> </w:t>
            </w:r>
            <w:r>
              <w:rPr>
                <w:spacing w:val="-2"/>
                <w:sz w:val="20"/>
              </w:rPr>
              <w:t>set</w:t>
            </w:r>
            <w:r>
              <w:rPr>
                <w:spacing w:val="-8"/>
                <w:sz w:val="20"/>
              </w:rPr>
              <w:t> </w:t>
            </w:r>
            <w:r>
              <w:rPr>
                <w:spacing w:val="-2"/>
                <w:sz w:val="20"/>
              </w:rPr>
              <w:t>out</w:t>
            </w:r>
            <w:r>
              <w:rPr>
                <w:spacing w:val="-8"/>
                <w:sz w:val="20"/>
              </w:rPr>
              <w:t> </w:t>
            </w:r>
            <w:r>
              <w:rPr>
                <w:spacing w:val="-2"/>
                <w:sz w:val="20"/>
              </w:rPr>
              <w:t>in</w:t>
            </w:r>
            <w:r>
              <w:rPr>
                <w:spacing w:val="-8"/>
                <w:sz w:val="20"/>
              </w:rPr>
              <w:t> </w:t>
            </w:r>
            <w:r>
              <w:rPr>
                <w:spacing w:val="-2"/>
                <w:sz w:val="20"/>
              </w:rPr>
              <w:t>this</w:t>
            </w:r>
            <w:r>
              <w:rPr>
                <w:spacing w:val="-7"/>
                <w:sz w:val="20"/>
              </w:rPr>
              <w:t> </w:t>
            </w:r>
            <w:r>
              <w:rPr>
                <w:spacing w:val="-2"/>
                <w:sz w:val="20"/>
              </w:rPr>
              <w:t>paper. </w:t>
            </w:r>
            <w:r>
              <w:rPr>
                <w:sz w:val="20"/>
              </w:rPr>
              <w:t>The</w:t>
            </w:r>
            <w:r>
              <w:rPr>
                <w:spacing w:val="-14"/>
                <w:sz w:val="20"/>
              </w:rPr>
              <w:t> </w:t>
            </w:r>
            <w:r>
              <w:rPr>
                <w:sz w:val="20"/>
              </w:rPr>
              <w:t>work</w:t>
            </w:r>
            <w:r>
              <w:rPr>
                <w:spacing w:val="-14"/>
                <w:sz w:val="20"/>
              </w:rPr>
              <w:t> </w:t>
            </w:r>
            <w:r>
              <w:rPr>
                <w:sz w:val="20"/>
              </w:rPr>
              <w:t>would</w:t>
            </w:r>
            <w:r>
              <w:rPr>
                <w:spacing w:val="-14"/>
                <w:sz w:val="20"/>
              </w:rPr>
              <w:t> </w:t>
            </w:r>
            <w:r>
              <w:rPr>
                <w:sz w:val="20"/>
              </w:rPr>
              <w:t>provide</w:t>
            </w:r>
            <w:r>
              <w:rPr>
                <w:spacing w:val="-11"/>
                <w:sz w:val="20"/>
              </w:rPr>
              <w:t> </w:t>
            </w:r>
            <w:r>
              <w:rPr>
                <w:sz w:val="20"/>
              </w:rPr>
              <w:t>a</w:t>
            </w:r>
            <w:r>
              <w:rPr>
                <w:spacing w:val="-12"/>
                <w:sz w:val="20"/>
              </w:rPr>
              <w:t> </w:t>
            </w:r>
            <w:r>
              <w:rPr>
                <w:sz w:val="20"/>
              </w:rPr>
              <w:t>strategic</w:t>
            </w:r>
            <w:r>
              <w:rPr>
                <w:spacing w:val="-10"/>
                <w:sz w:val="20"/>
              </w:rPr>
              <w:t> </w:t>
            </w:r>
            <w:r>
              <w:rPr>
                <w:sz w:val="20"/>
              </w:rPr>
              <w:t>framework</w:t>
            </w:r>
            <w:r>
              <w:rPr>
                <w:spacing w:val="-6"/>
                <w:sz w:val="20"/>
              </w:rPr>
              <w:t> </w:t>
            </w:r>
            <w:r>
              <w:rPr>
                <w:sz w:val="20"/>
              </w:rPr>
              <w:t>for</w:t>
            </w:r>
            <w:r>
              <w:rPr>
                <w:spacing w:val="-14"/>
                <w:sz w:val="20"/>
              </w:rPr>
              <w:t> </w:t>
            </w:r>
            <w:r>
              <w:rPr>
                <w:sz w:val="20"/>
              </w:rPr>
              <w:t>Swansea</w:t>
            </w:r>
            <w:r>
              <w:rPr>
                <w:spacing w:val="-12"/>
                <w:sz w:val="20"/>
              </w:rPr>
              <w:t> </w:t>
            </w:r>
            <w:r>
              <w:rPr>
                <w:sz w:val="20"/>
              </w:rPr>
              <w:t>Bay</w:t>
            </w:r>
            <w:r>
              <w:rPr>
                <w:spacing w:val="-10"/>
                <w:sz w:val="20"/>
              </w:rPr>
              <w:t> </w:t>
            </w:r>
            <w:r>
              <w:rPr>
                <w:sz w:val="20"/>
              </w:rPr>
              <w:t>and</w:t>
            </w:r>
            <w:r>
              <w:rPr>
                <w:spacing w:val="-12"/>
                <w:sz w:val="20"/>
              </w:rPr>
              <w:t> </w:t>
            </w:r>
            <w:r>
              <w:rPr>
                <w:sz w:val="20"/>
              </w:rPr>
              <w:t>Hywel</w:t>
            </w:r>
            <w:r>
              <w:rPr>
                <w:spacing w:val="-14"/>
                <w:sz w:val="20"/>
              </w:rPr>
              <w:t> </w:t>
            </w:r>
            <w:r>
              <w:rPr>
                <w:sz w:val="20"/>
              </w:rPr>
              <w:t>Dda</w:t>
            </w:r>
            <w:r>
              <w:rPr>
                <w:spacing w:val="-14"/>
                <w:sz w:val="20"/>
              </w:rPr>
              <w:t> </w:t>
            </w:r>
            <w:r>
              <w:rPr>
                <w:sz w:val="20"/>
              </w:rPr>
              <w:t>University</w:t>
            </w:r>
            <w:r>
              <w:rPr>
                <w:spacing w:val="-11"/>
                <w:sz w:val="20"/>
              </w:rPr>
              <w:t> </w:t>
            </w:r>
            <w:r>
              <w:rPr>
                <w:sz w:val="20"/>
              </w:rPr>
              <w:t>Health</w:t>
            </w:r>
            <w:r>
              <w:rPr>
                <w:spacing w:val="-12"/>
                <w:sz w:val="20"/>
              </w:rPr>
              <w:t> </w:t>
            </w:r>
            <w:r>
              <w:rPr>
                <w:sz w:val="20"/>
              </w:rPr>
              <w:t>Boards</w:t>
            </w:r>
            <w:r>
              <w:rPr>
                <w:spacing w:val="-10"/>
                <w:sz w:val="20"/>
              </w:rPr>
              <w:t> </w:t>
            </w:r>
            <w:r>
              <w:rPr>
                <w:sz w:val="20"/>
              </w:rPr>
              <w:t>to explore</w:t>
            </w:r>
            <w:r>
              <w:rPr>
                <w:spacing w:val="-14"/>
                <w:sz w:val="20"/>
              </w:rPr>
              <w:t> </w:t>
            </w:r>
            <w:r>
              <w:rPr>
                <w:sz w:val="20"/>
              </w:rPr>
              <w:t>greater</w:t>
            </w:r>
            <w:r>
              <w:rPr>
                <w:spacing w:val="-14"/>
                <w:sz w:val="20"/>
              </w:rPr>
              <w:t> </w:t>
            </w:r>
            <w:r>
              <w:rPr>
                <w:sz w:val="20"/>
              </w:rPr>
              <w:t>alignment</w:t>
            </w:r>
            <w:r>
              <w:rPr>
                <w:spacing w:val="-14"/>
                <w:sz w:val="20"/>
              </w:rPr>
              <w:t> </w:t>
            </w:r>
            <w:r>
              <w:rPr>
                <w:sz w:val="20"/>
              </w:rPr>
              <w:t>in</w:t>
            </w:r>
            <w:r>
              <w:rPr>
                <w:spacing w:val="-14"/>
                <w:sz w:val="20"/>
              </w:rPr>
              <w:t> </w:t>
            </w:r>
            <w:r>
              <w:rPr>
                <w:sz w:val="20"/>
              </w:rPr>
              <w:t>cancer</w:t>
            </w:r>
            <w:r>
              <w:rPr>
                <w:spacing w:val="-14"/>
                <w:sz w:val="20"/>
              </w:rPr>
              <w:t> </w:t>
            </w:r>
            <w:r>
              <w:rPr>
                <w:sz w:val="20"/>
              </w:rPr>
              <w:t>planning,</w:t>
            </w:r>
            <w:r>
              <w:rPr>
                <w:spacing w:val="-14"/>
                <w:sz w:val="20"/>
              </w:rPr>
              <w:t> </w:t>
            </w:r>
            <w:r>
              <w:rPr>
                <w:sz w:val="20"/>
              </w:rPr>
              <w:t>while</w:t>
            </w:r>
            <w:r>
              <w:rPr>
                <w:spacing w:val="-14"/>
                <w:sz w:val="20"/>
              </w:rPr>
              <w:t> </w:t>
            </w:r>
            <w:r>
              <w:rPr>
                <w:sz w:val="20"/>
              </w:rPr>
              <w:t>recognising</w:t>
            </w:r>
            <w:r>
              <w:rPr>
                <w:spacing w:val="-14"/>
                <w:sz w:val="20"/>
              </w:rPr>
              <w:t> </w:t>
            </w:r>
            <w:r>
              <w:rPr>
                <w:sz w:val="20"/>
              </w:rPr>
              <w:t>the</w:t>
            </w:r>
            <w:r>
              <w:rPr>
                <w:spacing w:val="-14"/>
                <w:sz w:val="20"/>
              </w:rPr>
              <w:t> </w:t>
            </w:r>
            <w:r>
              <w:rPr>
                <w:sz w:val="20"/>
              </w:rPr>
              <w:t>distinct</w:t>
            </w:r>
            <w:r>
              <w:rPr>
                <w:spacing w:val="-13"/>
                <w:sz w:val="20"/>
              </w:rPr>
              <w:t> </w:t>
            </w:r>
            <w:r>
              <w:rPr>
                <w:sz w:val="20"/>
              </w:rPr>
              <w:t>role</w:t>
            </w:r>
            <w:r>
              <w:rPr>
                <w:spacing w:val="-14"/>
                <w:sz w:val="20"/>
              </w:rPr>
              <w:t> </w:t>
            </w:r>
            <w:r>
              <w:rPr>
                <w:sz w:val="20"/>
              </w:rPr>
              <w:t>of</w:t>
            </w:r>
            <w:r>
              <w:rPr>
                <w:spacing w:val="-14"/>
                <w:sz w:val="20"/>
              </w:rPr>
              <w:t> </w:t>
            </w:r>
            <w:r>
              <w:rPr>
                <w:sz w:val="20"/>
              </w:rPr>
              <w:t>the</w:t>
            </w:r>
            <w:r>
              <w:rPr>
                <w:spacing w:val="-14"/>
                <w:sz w:val="20"/>
              </w:rPr>
              <w:t> </w:t>
            </w:r>
            <w:r>
              <w:rPr>
                <w:sz w:val="20"/>
              </w:rPr>
              <w:t>South</w:t>
            </w:r>
            <w:r>
              <w:rPr>
                <w:spacing w:val="-14"/>
                <w:sz w:val="20"/>
              </w:rPr>
              <w:t> </w:t>
            </w:r>
            <w:r>
              <w:rPr>
                <w:sz w:val="20"/>
              </w:rPr>
              <w:t>West</w:t>
            </w:r>
            <w:r>
              <w:rPr>
                <w:spacing w:val="-14"/>
                <w:sz w:val="20"/>
              </w:rPr>
              <w:t> </w:t>
            </w:r>
            <w:r>
              <w:rPr>
                <w:sz w:val="20"/>
              </w:rPr>
              <w:t>Wales</w:t>
            </w:r>
            <w:r>
              <w:rPr>
                <w:spacing w:val="-14"/>
                <w:sz w:val="20"/>
              </w:rPr>
              <w:t> </w:t>
            </w:r>
            <w:r>
              <w:rPr>
                <w:sz w:val="20"/>
              </w:rPr>
              <w:t>Cancer Centre</w:t>
            </w:r>
            <w:r>
              <w:rPr>
                <w:spacing w:val="-14"/>
                <w:sz w:val="20"/>
              </w:rPr>
              <w:t> </w:t>
            </w:r>
            <w:r>
              <w:rPr>
                <w:sz w:val="20"/>
              </w:rPr>
              <w:t>(SWWCC)</w:t>
            </w:r>
            <w:r>
              <w:rPr>
                <w:spacing w:val="-14"/>
                <w:sz w:val="20"/>
              </w:rPr>
              <w:t> </w:t>
            </w:r>
            <w:r>
              <w:rPr>
                <w:sz w:val="20"/>
              </w:rPr>
              <w:t>in</w:t>
            </w:r>
            <w:r>
              <w:rPr>
                <w:spacing w:val="-14"/>
                <w:sz w:val="20"/>
              </w:rPr>
              <w:t> </w:t>
            </w:r>
            <w:r>
              <w:rPr>
                <w:sz w:val="20"/>
              </w:rPr>
              <w:t>delivering</w:t>
            </w:r>
            <w:r>
              <w:rPr>
                <w:spacing w:val="-14"/>
                <w:sz w:val="20"/>
              </w:rPr>
              <w:t> </w:t>
            </w:r>
            <w:r>
              <w:rPr>
                <w:sz w:val="20"/>
              </w:rPr>
              <w:t>specialist</w:t>
            </w:r>
            <w:r>
              <w:rPr>
                <w:spacing w:val="-14"/>
                <w:sz w:val="20"/>
              </w:rPr>
              <w:t> </w:t>
            </w:r>
            <w:r>
              <w:rPr>
                <w:sz w:val="20"/>
              </w:rPr>
              <w:t>oncology</w:t>
            </w:r>
            <w:r>
              <w:rPr>
                <w:spacing w:val="-14"/>
                <w:sz w:val="20"/>
              </w:rPr>
              <w:t> </w:t>
            </w:r>
            <w:r>
              <w:rPr>
                <w:sz w:val="20"/>
              </w:rPr>
              <w:t>services</w:t>
            </w:r>
            <w:r>
              <w:rPr>
                <w:spacing w:val="-14"/>
                <w:sz w:val="20"/>
              </w:rPr>
              <w:t> </w:t>
            </w:r>
            <w:r>
              <w:rPr>
                <w:sz w:val="20"/>
              </w:rPr>
              <w:t>across</w:t>
            </w:r>
            <w:r>
              <w:rPr>
                <w:spacing w:val="-14"/>
                <w:sz w:val="20"/>
              </w:rPr>
              <w:t> </w:t>
            </w:r>
            <w:r>
              <w:rPr>
                <w:sz w:val="20"/>
              </w:rPr>
              <w:t>the</w:t>
            </w:r>
            <w:r>
              <w:rPr>
                <w:spacing w:val="-14"/>
                <w:sz w:val="20"/>
              </w:rPr>
              <w:t> </w:t>
            </w:r>
            <w:r>
              <w:rPr>
                <w:sz w:val="20"/>
              </w:rPr>
              <w:t>region,</w:t>
            </w:r>
            <w:r>
              <w:rPr>
                <w:spacing w:val="-13"/>
                <w:sz w:val="20"/>
              </w:rPr>
              <w:t> </w:t>
            </w:r>
            <w:r>
              <w:rPr>
                <w:sz w:val="20"/>
              </w:rPr>
              <w:t>each</w:t>
            </w:r>
            <w:r>
              <w:rPr>
                <w:spacing w:val="-14"/>
                <w:sz w:val="20"/>
              </w:rPr>
              <w:t> </w:t>
            </w:r>
            <w:r>
              <w:rPr>
                <w:sz w:val="20"/>
              </w:rPr>
              <w:t>Health</w:t>
            </w:r>
            <w:r>
              <w:rPr>
                <w:spacing w:val="-14"/>
                <w:sz w:val="20"/>
              </w:rPr>
              <w:t> </w:t>
            </w:r>
            <w:r>
              <w:rPr>
                <w:sz w:val="20"/>
              </w:rPr>
              <w:t>Board’s</w:t>
            </w:r>
            <w:r>
              <w:rPr>
                <w:spacing w:val="-14"/>
                <w:sz w:val="20"/>
              </w:rPr>
              <w:t> </w:t>
            </w:r>
            <w:r>
              <w:rPr>
                <w:sz w:val="20"/>
              </w:rPr>
              <w:t>separate </w:t>
            </w:r>
            <w:r>
              <w:rPr>
                <w:spacing w:val="-2"/>
                <w:sz w:val="20"/>
              </w:rPr>
              <w:t>cancer</w:t>
            </w:r>
            <w:r>
              <w:rPr>
                <w:spacing w:val="-5"/>
                <w:sz w:val="20"/>
              </w:rPr>
              <w:t> </w:t>
            </w:r>
            <w:r>
              <w:rPr>
                <w:spacing w:val="-2"/>
                <w:sz w:val="20"/>
              </w:rPr>
              <w:t>strategies,</w:t>
            </w:r>
            <w:r>
              <w:rPr>
                <w:spacing w:val="-3"/>
                <w:sz w:val="20"/>
              </w:rPr>
              <w:t> </w:t>
            </w:r>
            <w:r>
              <w:rPr>
                <w:spacing w:val="-2"/>
                <w:sz w:val="20"/>
              </w:rPr>
              <w:t>improvement</w:t>
            </w:r>
            <w:r>
              <w:rPr>
                <w:spacing w:val="-4"/>
                <w:sz w:val="20"/>
              </w:rPr>
              <w:t> </w:t>
            </w:r>
            <w:r>
              <w:rPr>
                <w:spacing w:val="-2"/>
                <w:sz w:val="20"/>
              </w:rPr>
              <w:t>plans</w:t>
            </w:r>
            <w:r>
              <w:rPr>
                <w:spacing w:val="-3"/>
                <w:sz w:val="20"/>
              </w:rPr>
              <w:t> </w:t>
            </w:r>
            <w:r>
              <w:rPr>
                <w:spacing w:val="-2"/>
                <w:sz w:val="20"/>
              </w:rPr>
              <w:t>and</w:t>
            </w:r>
            <w:r>
              <w:rPr>
                <w:spacing w:val="-4"/>
                <w:sz w:val="20"/>
              </w:rPr>
              <w:t> </w:t>
            </w:r>
            <w:r>
              <w:rPr>
                <w:spacing w:val="-2"/>
                <w:sz w:val="20"/>
              </w:rPr>
              <w:t>operational accountabilities,</w:t>
            </w:r>
            <w:r>
              <w:rPr>
                <w:spacing w:val="-4"/>
                <w:sz w:val="20"/>
              </w:rPr>
              <w:t> </w:t>
            </w:r>
            <w:r>
              <w:rPr>
                <w:spacing w:val="-2"/>
                <w:sz w:val="20"/>
              </w:rPr>
              <w:t>and</w:t>
            </w:r>
            <w:r>
              <w:rPr>
                <w:spacing w:val="-4"/>
                <w:sz w:val="20"/>
              </w:rPr>
              <w:t> </w:t>
            </w:r>
            <w:r>
              <w:rPr>
                <w:spacing w:val="-2"/>
                <w:sz w:val="20"/>
              </w:rPr>
              <w:t>the</w:t>
            </w:r>
            <w:r>
              <w:rPr>
                <w:spacing w:val="-4"/>
                <w:sz w:val="20"/>
              </w:rPr>
              <w:t> </w:t>
            </w:r>
            <w:r>
              <w:rPr>
                <w:spacing w:val="-2"/>
                <w:sz w:val="20"/>
              </w:rPr>
              <w:t>shared</w:t>
            </w:r>
            <w:r>
              <w:rPr>
                <w:spacing w:val="-4"/>
                <w:sz w:val="20"/>
              </w:rPr>
              <w:t> </w:t>
            </w:r>
            <w:r>
              <w:rPr>
                <w:spacing w:val="-2"/>
                <w:sz w:val="20"/>
              </w:rPr>
              <w:t>aim of</w:t>
            </w:r>
            <w:r>
              <w:rPr>
                <w:spacing w:val="-4"/>
                <w:sz w:val="20"/>
              </w:rPr>
              <w:t> </w:t>
            </w:r>
            <w:r>
              <w:rPr>
                <w:spacing w:val="-2"/>
                <w:sz w:val="20"/>
              </w:rPr>
              <w:t>improving</w:t>
            </w:r>
            <w:r>
              <w:rPr>
                <w:spacing w:val="-4"/>
                <w:sz w:val="20"/>
              </w:rPr>
              <w:t> </w:t>
            </w:r>
            <w:r>
              <w:rPr>
                <w:spacing w:val="-2"/>
                <w:sz w:val="20"/>
              </w:rPr>
              <w:t>service </w:t>
            </w:r>
            <w:r>
              <w:rPr>
                <w:sz w:val="20"/>
              </w:rPr>
              <w:t>sustainability, quality and patient outcomes.</w:t>
            </w:r>
          </w:p>
          <w:p>
            <w:pPr>
              <w:pStyle w:val="TableParagraph"/>
              <w:spacing w:line="252" w:lineRule="auto" w:before="100"/>
              <w:ind w:left="120"/>
              <w:rPr>
                <w:sz w:val="20"/>
              </w:rPr>
            </w:pPr>
            <w:r>
              <w:rPr>
                <w:sz w:val="20"/>
              </w:rPr>
              <w:t>This</w:t>
            </w:r>
            <w:r>
              <w:rPr>
                <w:spacing w:val="-14"/>
                <w:sz w:val="20"/>
              </w:rPr>
              <w:t> </w:t>
            </w:r>
            <w:r>
              <w:rPr>
                <w:sz w:val="20"/>
              </w:rPr>
              <w:t>paper</w:t>
            </w:r>
            <w:r>
              <w:rPr>
                <w:spacing w:val="-14"/>
                <w:sz w:val="20"/>
              </w:rPr>
              <w:t> </w:t>
            </w:r>
            <w:r>
              <w:rPr>
                <w:sz w:val="20"/>
              </w:rPr>
              <w:t>deliberately</w:t>
            </w:r>
            <w:r>
              <w:rPr>
                <w:spacing w:val="-14"/>
                <w:sz w:val="20"/>
              </w:rPr>
              <w:t> </w:t>
            </w:r>
            <w:r>
              <w:rPr>
                <w:sz w:val="20"/>
              </w:rPr>
              <w:t>does</w:t>
            </w:r>
            <w:r>
              <w:rPr>
                <w:spacing w:val="-13"/>
                <w:sz w:val="20"/>
              </w:rPr>
              <w:t> </w:t>
            </w:r>
            <w:r>
              <w:rPr>
                <w:sz w:val="20"/>
              </w:rPr>
              <w:t>not</w:t>
            </w:r>
            <w:r>
              <w:rPr>
                <w:spacing w:val="-14"/>
                <w:sz w:val="20"/>
              </w:rPr>
              <w:t> </w:t>
            </w:r>
            <w:r>
              <w:rPr>
                <w:sz w:val="20"/>
              </w:rPr>
              <w:t>present</w:t>
            </w:r>
            <w:r>
              <w:rPr>
                <w:spacing w:val="-14"/>
                <w:sz w:val="20"/>
              </w:rPr>
              <w:t> </w:t>
            </w:r>
            <w:r>
              <w:rPr>
                <w:sz w:val="20"/>
              </w:rPr>
              <w:t>a</w:t>
            </w:r>
            <w:r>
              <w:rPr>
                <w:spacing w:val="-14"/>
                <w:sz w:val="20"/>
              </w:rPr>
              <w:t> </w:t>
            </w:r>
            <w:r>
              <w:rPr>
                <w:sz w:val="20"/>
              </w:rPr>
              <w:t>predetermined</w:t>
            </w:r>
            <w:r>
              <w:rPr>
                <w:spacing w:val="-14"/>
                <w:sz w:val="20"/>
              </w:rPr>
              <w:t> </w:t>
            </w:r>
            <w:r>
              <w:rPr>
                <w:sz w:val="20"/>
              </w:rPr>
              <w:t>regional</w:t>
            </w:r>
            <w:r>
              <w:rPr>
                <w:spacing w:val="-12"/>
                <w:sz w:val="20"/>
              </w:rPr>
              <w:t> </w:t>
            </w:r>
            <w:r>
              <w:rPr>
                <w:sz w:val="20"/>
              </w:rPr>
              <w:t>service</w:t>
            </w:r>
            <w:r>
              <w:rPr>
                <w:spacing w:val="-14"/>
                <w:sz w:val="20"/>
              </w:rPr>
              <w:t> </w:t>
            </w:r>
            <w:r>
              <w:rPr>
                <w:sz w:val="20"/>
              </w:rPr>
              <w:t>model</w:t>
            </w:r>
            <w:r>
              <w:rPr>
                <w:spacing w:val="-13"/>
                <w:sz w:val="20"/>
              </w:rPr>
              <w:t> </w:t>
            </w:r>
            <w:r>
              <w:rPr>
                <w:sz w:val="20"/>
              </w:rPr>
              <w:t>or</w:t>
            </w:r>
            <w:r>
              <w:rPr>
                <w:spacing w:val="-14"/>
                <w:sz w:val="20"/>
              </w:rPr>
              <w:t> </w:t>
            </w:r>
            <w:r>
              <w:rPr>
                <w:sz w:val="20"/>
              </w:rPr>
              <w:t>seek</w:t>
            </w:r>
            <w:r>
              <w:rPr>
                <w:spacing w:val="-13"/>
                <w:sz w:val="20"/>
              </w:rPr>
              <w:t> </w:t>
            </w:r>
            <w:r>
              <w:rPr>
                <w:sz w:val="20"/>
              </w:rPr>
              <w:t>approval</w:t>
            </w:r>
            <w:r>
              <w:rPr>
                <w:spacing w:val="-12"/>
                <w:sz w:val="20"/>
              </w:rPr>
              <w:t> </w:t>
            </w:r>
            <w:r>
              <w:rPr>
                <w:sz w:val="20"/>
              </w:rPr>
              <w:t>of</w:t>
            </w:r>
            <w:r>
              <w:rPr>
                <w:spacing w:val="-14"/>
                <w:sz w:val="20"/>
              </w:rPr>
              <w:t> </w:t>
            </w:r>
            <w:r>
              <w:rPr>
                <w:sz w:val="20"/>
              </w:rPr>
              <w:t>a</w:t>
            </w:r>
            <w:r>
              <w:rPr>
                <w:spacing w:val="-14"/>
                <w:sz w:val="20"/>
              </w:rPr>
              <w:t> </w:t>
            </w:r>
            <w:r>
              <w:rPr>
                <w:sz w:val="20"/>
              </w:rPr>
              <w:t>full </w:t>
            </w:r>
            <w:r>
              <w:rPr>
                <w:spacing w:val="-2"/>
                <w:sz w:val="20"/>
              </w:rPr>
              <w:t>Programme</w:t>
            </w:r>
            <w:r>
              <w:rPr>
                <w:spacing w:val="-12"/>
                <w:sz w:val="20"/>
              </w:rPr>
              <w:t> </w:t>
            </w:r>
            <w:r>
              <w:rPr>
                <w:spacing w:val="-2"/>
                <w:sz w:val="20"/>
              </w:rPr>
              <w:t>Initiation</w:t>
            </w:r>
            <w:r>
              <w:rPr>
                <w:spacing w:val="-12"/>
                <w:sz w:val="20"/>
              </w:rPr>
              <w:t> </w:t>
            </w:r>
            <w:r>
              <w:rPr>
                <w:spacing w:val="-2"/>
                <w:sz w:val="20"/>
              </w:rPr>
              <w:t>Document.</w:t>
            </w:r>
            <w:r>
              <w:rPr>
                <w:spacing w:val="35"/>
                <w:sz w:val="20"/>
              </w:rPr>
              <w:t> </w:t>
            </w:r>
            <w:r>
              <w:rPr>
                <w:spacing w:val="-2"/>
                <w:sz w:val="20"/>
              </w:rPr>
              <w:t>Its</w:t>
            </w:r>
            <w:r>
              <w:rPr>
                <w:spacing w:val="-10"/>
                <w:sz w:val="20"/>
              </w:rPr>
              <w:t> </w:t>
            </w:r>
            <w:r>
              <w:rPr>
                <w:spacing w:val="-2"/>
                <w:sz w:val="20"/>
              </w:rPr>
              <w:t>purpose</w:t>
            </w:r>
            <w:r>
              <w:rPr>
                <w:spacing w:val="-12"/>
                <w:sz w:val="20"/>
              </w:rPr>
              <w:t> </w:t>
            </w:r>
            <w:r>
              <w:rPr>
                <w:spacing w:val="-2"/>
                <w:sz w:val="20"/>
              </w:rPr>
              <w:t>is</w:t>
            </w:r>
            <w:r>
              <w:rPr>
                <w:spacing w:val="-10"/>
                <w:sz w:val="20"/>
              </w:rPr>
              <w:t> </w:t>
            </w:r>
            <w:r>
              <w:rPr>
                <w:spacing w:val="-2"/>
                <w:sz w:val="20"/>
              </w:rPr>
              <w:t>to</w:t>
            </w:r>
            <w:r>
              <w:rPr>
                <w:spacing w:val="-12"/>
                <w:sz w:val="20"/>
              </w:rPr>
              <w:t> </w:t>
            </w:r>
            <w:r>
              <w:rPr>
                <w:spacing w:val="-2"/>
                <w:sz w:val="20"/>
              </w:rPr>
              <w:t>secure</w:t>
            </w:r>
            <w:r>
              <w:rPr>
                <w:spacing w:val="-7"/>
                <w:sz w:val="20"/>
              </w:rPr>
              <w:t> </w:t>
            </w:r>
            <w:r>
              <w:rPr>
                <w:spacing w:val="-2"/>
                <w:sz w:val="20"/>
              </w:rPr>
              <w:t>an</w:t>
            </w:r>
            <w:r>
              <w:rPr>
                <w:spacing w:val="-12"/>
                <w:sz w:val="20"/>
              </w:rPr>
              <w:t> </w:t>
            </w:r>
            <w:r>
              <w:rPr>
                <w:spacing w:val="-2"/>
                <w:sz w:val="20"/>
              </w:rPr>
              <w:t>RJC</w:t>
            </w:r>
            <w:r>
              <w:rPr>
                <w:spacing w:val="-11"/>
                <w:sz w:val="20"/>
              </w:rPr>
              <w:t> </w:t>
            </w:r>
            <w:r>
              <w:rPr>
                <w:spacing w:val="-2"/>
                <w:sz w:val="20"/>
              </w:rPr>
              <w:t>mandate</w:t>
            </w:r>
            <w:r>
              <w:rPr>
                <w:spacing w:val="-12"/>
                <w:sz w:val="20"/>
              </w:rPr>
              <w:t> </w:t>
            </w:r>
            <w:r>
              <w:rPr>
                <w:spacing w:val="-2"/>
                <w:sz w:val="20"/>
              </w:rPr>
              <w:t>for</w:t>
            </w:r>
            <w:r>
              <w:rPr>
                <w:spacing w:val="-12"/>
                <w:sz w:val="20"/>
              </w:rPr>
              <w:t> </w:t>
            </w:r>
            <w:r>
              <w:rPr>
                <w:spacing w:val="-2"/>
                <w:sz w:val="20"/>
              </w:rPr>
              <w:t>proportionate</w:t>
            </w:r>
            <w:r>
              <w:rPr>
                <w:spacing w:val="-12"/>
                <w:sz w:val="20"/>
              </w:rPr>
              <w:t> </w:t>
            </w:r>
            <w:r>
              <w:rPr>
                <w:spacing w:val="-2"/>
                <w:sz w:val="20"/>
              </w:rPr>
              <w:t>development</w:t>
            </w:r>
            <w:r>
              <w:rPr>
                <w:spacing w:val="-11"/>
                <w:sz w:val="20"/>
              </w:rPr>
              <w:t> </w:t>
            </w:r>
            <w:r>
              <w:rPr>
                <w:spacing w:val="-2"/>
                <w:sz w:val="20"/>
              </w:rPr>
              <w:t>work, including</w:t>
            </w:r>
            <w:r>
              <w:rPr>
                <w:spacing w:val="-4"/>
                <w:sz w:val="20"/>
              </w:rPr>
              <w:t> </w:t>
            </w:r>
            <w:r>
              <w:rPr>
                <w:spacing w:val="-2"/>
                <w:sz w:val="20"/>
              </w:rPr>
              <w:t>clarification</w:t>
            </w:r>
            <w:r>
              <w:rPr>
                <w:spacing w:val="-4"/>
                <w:sz w:val="20"/>
              </w:rPr>
              <w:t> </w:t>
            </w:r>
            <w:r>
              <w:rPr>
                <w:spacing w:val="-2"/>
                <w:sz w:val="20"/>
              </w:rPr>
              <w:t>of</w:t>
            </w:r>
            <w:r>
              <w:rPr>
                <w:spacing w:val="-3"/>
                <w:sz w:val="20"/>
              </w:rPr>
              <w:t> </w:t>
            </w:r>
            <w:r>
              <w:rPr>
                <w:spacing w:val="-2"/>
                <w:sz w:val="20"/>
              </w:rPr>
              <w:t>scope,</w:t>
            </w:r>
            <w:r>
              <w:rPr>
                <w:spacing w:val="-3"/>
                <w:sz w:val="20"/>
              </w:rPr>
              <w:t> </w:t>
            </w:r>
            <w:r>
              <w:rPr>
                <w:spacing w:val="-2"/>
                <w:sz w:val="20"/>
              </w:rPr>
              <w:t>governance,</w:t>
            </w:r>
            <w:r>
              <w:rPr>
                <w:spacing w:val="-3"/>
                <w:sz w:val="20"/>
              </w:rPr>
              <w:t> </w:t>
            </w:r>
            <w:r>
              <w:rPr>
                <w:spacing w:val="-2"/>
                <w:sz w:val="20"/>
              </w:rPr>
              <w:t>leadership,</w:t>
            </w:r>
            <w:r>
              <w:rPr>
                <w:spacing w:val="-4"/>
                <w:sz w:val="20"/>
              </w:rPr>
              <w:t> </w:t>
            </w:r>
            <w:r>
              <w:rPr>
                <w:spacing w:val="-2"/>
                <w:sz w:val="20"/>
              </w:rPr>
              <w:t>stakeholder</w:t>
            </w:r>
            <w:r>
              <w:rPr>
                <w:spacing w:val="-10"/>
                <w:sz w:val="20"/>
              </w:rPr>
              <w:t> </w:t>
            </w:r>
            <w:r>
              <w:rPr>
                <w:spacing w:val="-2"/>
                <w:sz w:val="20"/>
              </w:rPr>
              <w:t>involvement</w:t>
            </w:r>
            <w:r>
              <w:rPr>
                <w:spacing w:val="-4"/>
                <w:sz w:val="20"/>
              </w:rPr>
              <w:t> </w:t>
            </w:r>
            <w:r>
              <w:rPr>
                <w:spacing w:val="-2"/>
                <w:sz w:val="20"/>
              </w:rPr>
              <w:t>and resource</w:t>
            </w:r>
            <w:r>
              <w:rPr>
                <w:spacing w:val="-4"/>
                <w:sz w:val="20"/>
              </w:rPr>
              <w:t> </w:t>
            </w:r>
            <w:r>
              <w:rPr>
                <w:spacing w:val="-2"/>
                <w:sz w:val="20"/>
              </w:rPr>
              <w:t>requirements.</w:t>
            </w:r>
          </w:p>
          <w:p>
            <w:pPr>
              <w:pStyle w:val="TableParagraph"/>
              <w:spacing w:line="254" w:lineRule="auto" w:before="6"/>
              <w:ind w:left="120" w:right="117"/>
              <w:rPr>
                <w:sz w:val="20"/>
              </w:rPr>
            </w:pPr>
            <w:r>
              <w:rPr>
                <w:b/>
                <w:sz w:val="20"/>
              </w:rPr>
              <w:t>Subject</w:t>
            </w:r>
            <w:r>
              <w:rPr>
                <w:b/>
                <w:spacing w:val="-14"/>
                <w:sz w:val="20"/>
              </w:rPr>
              <w:t> </w:t>
            </w:r>
            <w:r>
              <w:rPr>
                <w:b/>
                <w:sz w:val="20"/>
              </w:rPr>
              <w:t>to</w:t>
            </w:r>
            <w:r>
              <w:rPr>
                <w:b/>
                <w:spacing w:val="-14"/>
                <w:sz w:val="20"/>
              </w:rPr>
              <w:t> </w:t>
            </w:r>
            <w:r>
              <w:rPr>
                <w:b/>
                <w:sz w:val="20"/>
              </w:rPr>
              <w:t>RJC</w:t>
            </w:r>
            <w:r>
              <w:rPr>
                <w:b/>
                <w:spacing w:val="-13"/>
                <w:sz w:val="20"/>
              </w:rPr>
              <w:t> </w:t>
            </w:r>
            <w:r>
              <w:rPr>
                <w:b/>
                <w:sz w:val="20"/>
              </w:rPr>
              <w:t>endorsement,</w:t>
            </w:r>
            <w:r>
              <w:rPr>
                <w:b/>
                <w:spacing w:val="-13"/>
                <w:sz w:val="20"/>
              </w:rPr>
              <w:t> </w:t>
            </w:r>
            <w:r>
              <w:rPr>
                <w:b/>
                <w:sz w:val="20"/>
              </w:rPr>
              <w:t>a</w:t>
            </w:r>
            <w:r>
              <w:rPr>
                <w:b/>
                <w:spacing w:val="-14"/>
                <w:sz w:val="20"/>
              </w:rPr>
              <w:t> </w:t>
            </w:r>
            <w:r>
              <w:rPr>
                <w:b/>
                <w:sz w:val="20"/>
              </w:rPr>
              <w:t>workshop</w:t>
            </w:r>
            <w:r>
              <w:rPr>
                <w:b/>
                <w:spacing w:val="-10"/>
                <w:sz w:val="20"/>
              </w:rPr>
              <w:t> </w:t>
            </w:r>
            <w:r>
              <w:rPr>
                <w:b/>
                <w:sz w:val="20"/>
              </w:rPr>
              <w:t>proposal</w:t>
            </w:r>
            <w:r>
              <w:rPr>
                <w:b/>
                <w:spacing w:val="-14"/>
                <w:sz w:val="20"/>
              </w:rPr>
              <w:t> </w:t>
            </w:r>
            <w:r>
              <w:rPr>
                <w:b/>
                <w:sz w:val="20"/>
              </w:rPr>
              <w:t>will</w:t>
            </w:r>
            <w:r>
              <w:rPr>
                <w:b/>
                <w:spacing w:val="-14"/>
                <w:sz w:val="20"/>
              </w:rPr>
              <w:t> </w:t>
            </w:r>
            <w:r>
              <w:rPr>
                <w:b/>
                <w:sz w:val="20"/>
              </w:rPr>
              <w:t>be</w:t>
            </w:r>
            <w:r>
              <w:rPr>
                <w:b/>
                <w:spacing w:val="-14"/>
                <w:sz w:val="20"/>
              </w:rPr>
              <w:t> </w:t>
            </w:r>
            <w:r>
              <w:rPr>
                <w:b/>
                <w:sz w:val="20"/>
              </w:rPr>
              <w:t>developed</w:t>
            </w:r>
            <w:r>
              <w:rPr>
                <w:b/>
                <w:spacing w:val="-14"/>
                <w:sz w:val="20"/>
              </w:rPr>
              <w:t> </w:t>
            </w:r>
            <w:r>
              <w:rPr>
                <w:b/>
                <w:sz w:val="20"/>
              </w:rPr>
              <w:t>during</w:t>
            </w:r>
            <w:r>
              <w:rPr>
                <w:b/>
                <w:spacing w:val="-14"/>
                <w:sz w:val="20"/>
              </w:rPr>
              <w:t> </w:t>
            </w:r>
            <w:r>
              <w:rPr>
                <w:b/>
                <w:sz w:val="20"/>
              </w:rPr>
              <w:t>autumn</w:t>
            </w:r>
            <w:r>
              <w:rPr>
                <w:b/>
                <w:spacing w:val="-14"/>
                <w:sz w:val="20"/>
              </w:rPr>
              <w:t> </w:t>
            </w:r>
            <w:r>
              <w:rPr>
                <w:b/>
                <w:sz w:val="20"/>
              </w:rPr>
              <w:t>2026</w:t>
            </w:r>
            <w:r>
              <w:rPr>
                <w:b/>
                <w:spacing w:val="-13"/>
                <w:sz w:val="20"/>
              </w:rPr>
              <w:t> </w:t>
            </w:r>
            <w:r>
              <w:rPr>
                <w:b/>
                <w:sz w:val="20"/>
              </w:rPr>
              <w:t>and</w:t>
            </w:r>
            <w:r>
              <w:rPr>
                <w:b/>
                <w:spacing w:val="-14"/>
                <w:sz w:val="20"/>
              </w:rPr>
              <w:t> </w:t>
            </w:r>
            <w:r>
              <w:rPr>
                <w:b/>
                <w:sz w:val="20"/>
              </w:rPr>
              <w:t>presented </w:t>
            </w:r>
            <w:r>
              <w:rPr>
                <w:b/>
                <w:spacing w:val="-2"/>
                <w:sz w:val="20"/>
              </w:rPr>
              <w:t>to</w:t>
            </w:r>
            <w:r>
              <w:rPr>
                <w:b/>
                <w:spacing w:val="-12"/>
                <w:sz w:val="20"/>
              </w:rPr>
              <w:t> </w:t>
            </w:r>
            <w:r>
              <w:rPr>
                <w:b/>
                <w:spacing w:val="-2"/>
                <w:sz w:val="20"/>
              </w:rPr>
              <w:t>the</w:t>
            </w:r>
            <w:r>
              <w:rPr>
                <w:b/>
                <w:spacing w:val="-12"/>
                <w:sz w:val="20"/>
              </w:rPr>
              <w:t> </w:t>
            </w:r>
            <w:r>
              <w:rPr>
                <w:b/>
                <w:spacing w:val="-2"/>
                <w:sz w:val="20"/>
              </w:rPr>
              <w:t>next</w:t>
            </w:r>
            <w:r>
              <w:rPr>
                <w:b/>
                <w:spacing w:val="-13"/>
                <w:sz w:val="20"/>
              </w:rPr>
              <w:t> </w:t>
            </w:r>
            <w:r>
              <w:rPr>
                <w:b/>
                <w:spacing w:val="-2"/>
                <w:sz w:val="20"/>
              </w:rPr>
              <w:t>Regional</w:t>
            </w:r>
            <w:r>
              <w:rPr>
                <w:b/>
                <w:spacing w:val="-12"/>
                <w:sz w:val="20"/>
              </w:rPr>
              <w:t> </w:t>
            </w:r>
            <w:r>
              <w:rPr>
                <w:b/>
                <w:spacing w:val="-2"/>
                <w:sz w:val="20"/>
              </w:rPr>
              <w:t>Drive</w:t>
            </w:r>
            <w:r>
              <w:rPr>
                <w:b/>
                <w:spacing w:val="-12"/>
                <w:sz w:val="20"/>
              </w:rPr>
              <w:t> </w:t>
            </w:r>
            <w:r>
              <w:rPr>
                <w:b/>
                <w:spacing w:val="-2"/>
                <w:sz w:val="20"/>
              </w:rPr>
              <w:t>and</w:t>
            </w:r>
            <w:r>
              <w:rPr>
                <w:b/>
                <w:spacing w:val="-13"/>
                <w:sz w:val="20"/>
              </w:rPr>
              <w:t> </w:t>
            </w:r>
            <w:r>
              <w:rPr>
                <w:b/>
                <w:spacing w:val="-2"/>
                <w:sz w:val="20"/>
              </w:rPr>
              <w:t>Delivery</w:t>
            </w:r>
            <w:r>
              <w:rPr>
                <w:b/>
                <w:spacing w:val="-12"/>
                <w:sz w:val="20"/>
              </w:rPr>
              <w:t> </w:t>
            </w:r>
            <w:r>
              <w:rPr>
                <w:b/>
                <w:spacing w:val="-2"/>
                <w:sz w:val="20"/>
              </w:rPr>
              <w:t>Group.</w:t>
            </w:r>
            <w:r>
              <w:rPr>
                <w:b/>
                <w:spacing w:val="-12"/>
                <w:sz w:val="20"/>
              </w:rPr>
              <w:t> </w:t>
            </w:r>
            <w:r>
              <w:rPr>
                <w:b/>
                <w:spacing w:val="-2"/>
                <w:sz w:val="20"/>
              </w:rPr>
              <w:t>This</w:t>
            </w:r>
            <w:r>
              <w:rPr>
                <w:b/>
                <w:spacing w:val="-11"/>
                <w:sz w:val="20"/>
              </w:rPr>
              <w:t> </w:t>
            </w:r>
            <w:r>
              <w:rPr>
                <w:b/>
                <w:spacing w:val="-2"/>
                <w:sz w:val="20"/>
              </w:rPr>
              <w:t>will</w:t>
            </w:r>
            <w:r>
              <w:rPr>
                <w:b/>
                <w:spacing w:val="-12"/>
                <w:sz w:val="20"/>
              </w:rPr>
              <w:t> </w:t>
            </w:r>
            <w:r>
              <w:rPr>
                <w:b/>
                <w:spacing w:val="-2"/>
                <w:sz w:val="20"/>
              </w:rPr>
              <w:t>set</w:t>
            </w:r>
            <w:r>
              <w:rPr>
                <w:b/>
                <w:spacing w:val="-12"/>
                <w:sz w:val="20"/>
              </w:rPr>
              <w:t> </w:t>
            </w:r>
            <w:r>
              <w:rPr>
                <w:b/>
                <w:spacing w:val="-2"/>
                <w:sz w:val="20"/>
              </w:rPr>
              <w:t>out</w:t>
            </w:r>
            <w:r>
              <w:rPr>
                <w:b/>
                <w:spacing w:val="-7"/>
                <w:sz w:val="20"/>
              </w:rPr>
              <w:t> </w:t>
            </w:r>
            <w:r>
              <w:rPr>
                <w:b/>
                <w:spacing w:val="-2"/>
                <w:sz w:val="20"/>
              </w:rPr>
              <w:t>the</w:t>
            </w:r>
            <w:r>
              <w:rPr>
                <w:b/>
                <w:spacing w:val="-12"/>
                <w:sz w:val="20"/>
              </w:rPr>
              <w:t> </w:t>
            </w:r>
            <w:r>
              <w:rPr>
                <w:b/>
                <w:spacing w:val="-2"/>
                <w:sz w:val="20"/>
              </w:rPr>
              <w:t>proposed</w:t>
            </w:r>
            <w:r>
              <w:rPr>
                <w:b/>
                <w:spacing w:val="-12"/>
                <w:sz w:val="20"/>
              </w:rPr>
              <w:t> </w:t>
            </w:r>
            <w:r>
              <w:rPr>
                <w:b/>
                <w:spacing w:val="-2"/>
                <w:sz w:val="20"/>
              </w:rPr>
              <w:t>purpose,</w:t>
            </w:r>
            <w:r>
              <w:rPr>
                <w:b/>
                <w:spacing w:val="-11"/>
                <w:sz w:val="20"/>
              </w:rPr>
              <w:t> </w:t>
            </w:r>
            <w:r>
              <w:rPr>
                <w:b/>
                <w:spacing w:val="-2"/>
                <w:sz w:val="20"/>
              </w:rPr>
              <w:t>scope,</w:t>
            </w:r>
            <w:r>
              <w:rPr>
                <w:b/>
                <w:spacing w:val="-7"/>
                <w:sz w:val="20"/>
              </w:rPr>
              <w:t> </w:t>
            </w:r>
            <w:r>
              <w:rPr>
                <w:b/>
                <w:spacing w:val="-2"/>
                <w:sz w:val="20"/>
              </w:rPr>
              <w:t>participants, </w:t>
            </w:r>
            <w:r>
              <w:rPr>
                <w:b/>
                <w:sz w:val="20"/>
              </w:rPr>
              <w:t>governance,</w:t>
            </w:r>
            <w:r>
              <w:rPr>
                <w:b/>
                <w:spacing w:val="-14"/>
                <w:sz w:val="20"/>
              </w:rPr>
              <w:t> </w:t>
            </w:r>
            <w:r>
              <w:rPr>
                <w:b/>
                <w:sz w:val="20"/>
              </w:rPr>
              <w:t>resource</w:t>
            </w:r>
            <w:r>
              <w:rPr>
                <w:b/>
                <w:spacing w:val="-14"/>
                <w:sz w:val="20"/>
              </w:rPr>
              <w:t> </w:t>
            </w:r>
            <w:r>
              <w:rPr>
                <w:b/>
                <w:sz w:val="20"/>
              </w:rPr>
              <w:t>requirements</w:t>
            </w:r>
            <w:r>
              <w:rPr>
                <w:b/>
                <w:spacing w:val="-14"/>
                <w:sz w:val="20"/>
              </w:rPr>
              <w:t> </w:t>
            </w:r>
            <w:r>
              <w:rPr>
                <w:b/>
                <w:sz w:val="20"/>
              </w:rPr>
              <w:t>and</w:t>
            </w:r>
            <w:r>
              <w:rPr>
                <w:b/>
                <w:spacing w:val="-14"/>
                <w:sz w:val="20"/>
              </w:rPr>
              <w:t> </w:t>
            </w:r>
            <w:r>
              <w:rPr>
                <w:b/>
                <w:sz w:val="20"/>
              </w:rPr>
              <w:t>timing</w:t>
            </w:r>
            <w:r>
              <w:rPr>
                <w:b/>
                <w:spacing w:val="-14"/>
                <w:sz w:val="20"/>
              </w:rPr>
              <w:t> </w:t>
            </w:r>
            <w:r>
              <w:rPr>
                <w:b/>
                <w:sz w:val="20"/>
              </w:rPr>
              <w:t>for</w:t>
            </w:r>
            <w:r>
              <w:rPr>
                <w:b/>
                <w:spacing w:val="-14"/>
                <w:sz w:val="20"/>
              </w:rPr>
              <w:t> </w:t>
            </w:r>
            <w:r>
              <w:rPr>
                <w:b/>
                <w:sz w:val="20"/>
              </w:rPr>
              <w:t>focused</w:t>
            </w:r>
            <w:r>
              <w:rPr>
                <w:b/>
                <w:spacing w:val="-14"/>
                <w:sz w:val="20"/>
              </w:rPr>
              <w:t> </w:t>
            </w:r>
            <w:r>
              <w:rPr>
                <w:b/>
                <w:sz w:val="20"/>
              </w:rPr>
              <w:t>stakeholder</w:t>
            </w:r>
            <w:r>
              <w:rPr>
                <w:b/>
                <w:spacing w:val="-14"/>
                <w:sz w:val="20"/>
              </w:rPr>
              <w:t> </w:t>
            </w:r>
            <w:r>
              <w:rPr>
                <w:b/>
                <w:sz w:val="20"/>
              </w:rPr>
              <w:t>engagement</w:t>
            </w:r>
            <w:r>
              <w:rPr>
                <w:b/>
                <w:spacing w:val="-14"/>
                <w:sz w:val="20"/>
              </w:rPr>
              <w:t> </w:t>
            </w:r>
            <w:r>
              <w:rPr>
                <w:b/>
                <w:sz w:val="20"/>
              </w:rPr>
              <w:t>and</w:t>
            </w:r>
            <w:r>
              <w:rPr>
                <w:b/>
                <w:spacing w:val="-13"/>
                <w:sz w:val="20"/>
              </w:rPr>
              <w:t> </w:t>
            </w:r>
            <w:r>
              <w:rPr>
                <w:b/>
                <w:sz w:val="20"/>
              </w:rPr>
              <w:t>workshop activity</w:t>
            </w:r>
            <w:r>
              <w:rPr>
                <w:b/>
                <w:spacing w:val="-14"/>
                <w:sz w:val="20"/>
              </w:rPr>
              <w:t> </w:t>
            </w:r>
            <w:r>
              <w:rPr>
                <w:b/>
                <w:sz w:val="20"/>
              </w:rPr>
              <w:t>during</w:t>
            </w:r>
            <w:r>
              <w:rPr>
                <w:b/>
                <w:spacing w:val="-14"/>
                <w:sz w:val="20"/>
              </w:rPr>
              <w:t> </w:t>
            </w:r>
            <w:r>
              <w:rPr>
                <w:b/>
                <w:sz w:val="20"/>
              </w:rPr>
              <w:t>Quarter</w:t>
            </w:r>
            <w:r>
              <w:rPr>
                <w:b/>
                <w:spacing w:val="-14"/>
                <w:sz w:val="20"/>
              </w:rPr>
              <w:t> </w:t>
            </w:r>
            <w:r>
              <w:rPr>
                <w:b/>
                <w:sz w:val="20"/>
              </w:rPr>
              <w:t>4</w:t>
            </w:r>
            <w:r>
              <w:rPr>
                <w:b/>
                <w:spacing w:val="-14"/>
                <w:sz w:val="20"/>
              </w:rPr>
              <w:t> </w:t>
            </w:r>
            <w:r>
              <w:rPr>
                <w:b/>
                <w:sz w:val="20"/>
              </w:rPr>
              <w:t>of</w:t>
            </w:r>
            <w:r>
              <w:rPr>
                <w:b/>
                <w:spacing w:val="-14"/>
                <w:sz w:val="20"/>
              </w:rPr>
              <w:t> </w:t>
            </w:r>
            <w:r>
              <w:rPr>
                <w:b/>
                <w:sz w:val="20"/>
              </w:rPr>
              <w:t>2026/27.</w:t>
            </w:r>
            <w:r>
              <w:rPr>
                <w:b/>
                <w:spacing w:val="-14"/>
                <w:sz w:val="20"/>
              </w:rPr>
              <w:t> </w:t>
            </w:r>
            <w:r>
              <w:rPr>
                <w:b/>
                <w:sz w:val="20"/>
              </w:rPr>
              <w:t>A</w:t>
            </w:r>
            <w:r>
              <w:rPr>
                <w:b/>
                <w:spacing w:val="-14"/>
                <w:sz w:val="20"/>
              </w:rPr>
              <w:t> </w:t>
            </w:r>
            <w:r>
              <w:rPr>
                <w:b/>
                <w:sz w:val="20"/>
              </w:rPr>
              <w:t>progress</w:t>
            </w:r>
            <w:r>
              <w:rPr>
                <w:b/>
                <w:spacing w:val="-14"/>
                <w:sz w:val="20"/>
              </w:rPr>
              <w:t> </w:t>
            </w:r>
            <w:r>
              <w:rPr>
                <w:b/>
                <w:sz w:val="20"/>
              </w:rPr>
              <w:t>update</w:t>
            </w:r>
            <w:r>
              <w:rPr>
                <w:b/>
                <w:spacing w:val="-14"/>
                <w:sz w:val="20"/>
              </w:rPr>
              <w:t> </w:t>
            </w:r>
            <w:r>
              <w:rPr>
                <w:b/>
                <w:sz w:val="20"/>
              </w:rPr>
              <w:t>will</w:t>
            </w:r>
            <w:r>
              <w:rPr>
                <w:b/>
                <w:spacing w:val="-13"/>
                <w:sz w:val="20"/>
              </w:rPr>
              <w:t> </w:t>
            </w:r>
            <w:r>
              <w:rPr>
                <w:b/>
                <w:sz w:val="20"/>
              </w:rPr>
              <w:t>subsequently</w:t>
            </w:r>
            <w:r>
              <w:rPr>
                <w:b/>
                <w:spacing w:val="-14"/>
                <w:sz w:val="20"/>
              </w:rPr>
              <w:t> </w:t>
            </w:r>
            <w:r>
              <w:rPr>
                <w:b/>
                <w:sz w:val="20"/>
              </w:rPr>
              <w:t>return</w:t>
            </w:r>
            <w:r>
              <w:rPr>
                <w:b/>
                <w:spacing w:val="-14"/>
                <w:sz w:val="20"/>
              </w:rPr>
              <w:t> </w:t>
            </w:r>
            <w:r>
              <w:rPr>
                <w:b/>
                <w:sz w:val="20"/>
              </w:rPr>
              <w:t>to</w:t>
            </w:r>
            <w:r>
              <w:rPr>
                <w:b/>
                <w:spacing w:val="-14"/>
                <w:sz w:val="20"/>
              </w:rPr>
              <w:t> </w:t>
            </w:r>
            <w:r>
              <w:rPr>
                <w:b/>
                <w:sz w:val="20"/>
              </w:rPr>
              <w:t>the</w:t>
            </w:r>
            <w:r>
              <w:rPr>
                <w:b/>
                <w:spacing w:val="-14"/>
                <w:sz w:val="20"/>
              </w:rPr>
              <w:t> </w:t>
            </w:r>
            <w:r>
              <w:rPr>
                <w:b/>
                <w:sz w:val="20"/>
              </w:rPr>
              <w:t>RJC</w:t>
            </w:r>
            <w:r>
              <w:rPr>
                <w:b/>
                <w:spacing w:val="-14"/>
                <w:sz w:val="20"/>
              </w:rPr>
              <w:t> </w:t>
            </w:r>
            <w:r>
              <w:rPr>
                <w:b/>
                <w:sz w:val="20"/>
              </w:rPr>
              <w:t>in</w:t>
            </w:r>
            <w:r>
              <w:rPr>
                <w:b/>
                <w:spacing w:val="-14"/>
                <w:sz w:val="20"/>
              </w:rPr>
              <w:t> </w:t>
            </w:r>
            <w:r>
              <w:rPr>
                <w:b/>
                <w:sz w:val="20"/>
              </w:rPr>
              <w:t>accordance with</w:t>
            </w:r>
            <w:r>
              <w:rPr>
                <w:b/>
                <w:spacing w:val="-14"/>
                <w:sz w:val="20"/>
              </w:rPr>
              <w:t> </w:t>
            </w:r>
            <w:r>
              <w:rPr>
                <w:b/>
                <w:sz w:val="20"/>
              </w:rPr>
              <w:t>the</w:t>
            </w:r>
            <w:r>
              <w:rPr>
                <w:b/>
                <w:spacing w:val="-14"/>
                <w:sz w:val="20"/>
              </w:rPr>
              <w:t> </w:t>
            </w:r>
            <w:r>
              <w:rPr>
                <w:b/>
                <w:sz w:val="20"/>
              </w:rPr>
              <w:t>agreed</w:t>
            </w:r>
            <w:r>
              <w:rPr>
                <w:b/>
                <w:spacing w:val="-14"/>
                <w:sz w:val="20"/>
              </w:rPr>
              <w:t> </w:t>
            </w:r>
            <w:r>
              <w:rPr>
                <w:b/>
                <w:sz w:val="20"/>
              </w:rPr>
              <w:t>work</w:t>
            </w:r>
            <w:r>
              <w:rPr>
                <w:b/>
                <w:spacing w:val="-14"/>
                <w:sz w:val="20"/>
              </w:rPr>
              <w:t> </w:t>
            </w:r>
            <w:r>
              <w:rPr>
                <w:b/>
                <w:sz w:val="20"/>
              </w:rPr>
              <w:t>programme,</w:t>
            </w:r>
            <w:r>
              <w:rPr>
                <w:b/>
                <w:spacing w:val="-14"/>
                <w:sz w:val="20"/>
              </w:rPr>
              <w:t> </w:t>
            </w:r>
            <w:r>
              <w:rPr>
                <w:b/>
                <w:sz w:val="20"/>
              </w:rPr>
              <w:t>taking</w:t>
            </w:r>
            <w:r>
              <w:rPr>
                <w:b/>
                <w:spacing w:val="-14"/>
                <w:sz w:val="20"/>
              </w:rPr>
              <w:t> </w:t>
            </w:r>
            <w:r>
              <w:rPr>
                <w:b/>
                <w:sz w:val="20"/>
              </w:rPr>
              <w:t>account</w:t>
            </w:r>
            <w:r>
              <w:rPr>
                <w:b/>
                <w:spacing w:val="-14"/>
                <w:sz w:val="20"/>
              </w:rPr>
              <w:t> </w:t>
            </w:r>
            <w:r>
              <w:rPr>
                <w:b/>
                <w:sz w:val="20"/>
              </w:rPr>
              <w:t>of</w:t>
            </w:r>
            <w:r>
              <w:rPr>
                <w:b/>
                <w:spacing w:val="-14"/>
                <w:sz w:val="20"/>
              </w:rPr>
              <w:t> </w:t>
            </w:r>
            <w:r>
              <w:rPr>
                <w:b/>
                <w:sz w:val="20"/>
              </w:rPr>
              <w:t>the</w:t>
            </w:r>
            <w:r>
              <w:rPr>
                <w:b/>
                <w:spacing w:val="-14"/>
                <w:sz w:val="20"/>
              </w:rPr>
              <w:t> </w:t>
            </w:r>
            <w:r>
              <w:rPr>
                <w:b/>
                <w:sz w:val="20"/>
              </w:rPr>
              <w:t>national</w:t>
            </w:r>
            <w:r>
              <w:rPr>
                <w:b/>
                <w:spacing w:val="-13"/>
                <w:sz w:val="20"/>
              </w:rPr>
              <w:t> </w:t>
            </w:r>
            <w:r>
              <w:rPr>
                <w:b/>
                <w:sz w:val="20"/>
              </w:rPr>
              <w:t>cancer</w:t>
            </w:r>
            <w:r>
              <w:rPr>
                <w:b/>
                <w:spacing w:val="-12"/>
                <w:sz w:val="20"/>
              </w:rPr>
              <w:t> </w:t>
            </w:r>
            <w:r>
              <w:rPr>
                <w:b/>
                <w:sz w:val="20"/>
              </w:rPr>
              <w:t>strategy</w:t>
            </w:r>
            <w:r>
              <w:rPr>
                <w:b/>
                <w:spacing w:val="-14"/>
                <w:sz w:val="20"/>
              </w:rPr>
              <w:t> </w:t>
            </w:r>
            <w:r>
              <w:rPr>
                <w:b/>
                <w:sz w:val="20"/>
              </w:rPr>
              <w:t>expected</w:t>
            </w:r>
            <w:r>
              <w:rPr>
                <w:b/>
                <w:spacing w:val="-14"/>
                <w:sz w:val="20"/>
              </w:rPr>
              <w:t> </w:t>
            </w:r>
            <w:r>
              <w:rPr>
                <w:b/>
                <w:sz w:val="20"/>
              </w:rPr>
              <w:t>in</w:t>
            </w:r>
            <w:r>
              <w:rPr>
                <w:b/>
                <w:spacing w:val="-10"/>
                <w:sz w:val="20"/>
              </w:rPr>
              <w:t> </w:t>
            </w:r>
            <w:r>
              <w:rPr>
                <w:b/>
                <w:sz w:val="20"/>
              </w:rPr>
              <w:t>February </w:t>
            </w:r>
            <w:r>
              <w:rPr>
                <w:b/>
                <w:spacing w:val="-2"/>
                <w:sz w:val="20"/>
              </w:rPr>
              <w:t>2027</w:t>
            </w:r>
            <w:r>
              <w:rPr>
                <w:spacing w:val="-2"/>
                <w:sz w:val="20"/>
              </w:rPr>
              <w:t>.</w:t>
            </w:r>
          </w:p>
          <w:p>
            <w:pPr>
              <w:pStyle w:val="TableParagraph"/>
              <w:spacing w:line="252" w:lineRule="auto" w:before="98"/>
              <w:ind w:left="120" w:right="212"/>
              <w:rPr>
                <w:sz w:val="20"/>
              </w:rPr>
            </w:pPr>
            <w:r>
              <w:rPr>
                <w:spacing w:val="-2"/>
                <w:sz w:val="20"/>
              </w:rPr>
              <w:t>The</w:t>
            </w:r>
            <w:r>
              <w:rPr>
                <w:spacing w:val="-12"/>
                <w:sz w:val="20"/>
              </w:rPr>
              <w:t> </w:t>
            </w:r>
            <w:r>
              <w:rPr>
                <w:spacing w:val="-2"/>
                <w:sz w:val="20"/>
              </w:rPr>
              <w:t>work</w:t>
            </w:r>
            <w:r>
              <w:rPr>
                <w:spacing w:val="-12"/>
                <w:sz w:val="20"/>
              </w:rPr>
              <w:t> </w:t>
            </w:r>
            <w:r>
              <w:rPr>
                <w:spacing w:val="-2"/>
                <w:sz w:val="20"/>
              </w:rPr>
              <w:t>will</w:t>
            </w:r>
            <w:r>
              <w:rPr>
                <w:spacing w:val="-12"/>
                <w:sz w:val="20"/>
              </w:rPr>
              <w:t> </w:t>
            </w:r>
            <w:r>
              <w:rPr>
                <w:spacing w:val="-2"/>
                <w:sz w:val="20"/>
              </w:rPr>
              <w:t>be</w:t>
            </w:r>
            <w:r>
              <w:rPr>
                <w:spacing w:val="-12"/>
                <w:sz w:val="20"/>
              </w:rPr>
              <w:t> </w:t>
            </w:r>
            <w:r>
              <w:rPr>
                <w:spacing w:val="-2"/>
                <w:sz w:val="20"/>
              </w:rPr>
              <w:t>overseen</w:t>
            </w:r>
            <w:r>
              <w:rPr>
                <w:spacing w:val="-12"/>
                <w:sz w:val="20"/>
              </w:rPr>
              <w:t> </w:t>
            </w:r>
            <w:r>
              <w:rPr>
                <w:spacing w:val="-2"/>
                <w:sz w:val="20"/>
              </w:rPr>
              <w:t>through</w:t>
            </w:r>
            <w:r>
              <w:rPr>
                <w:spacing w:val="-12"/>
                <w:sz w:val="20"/>
              </w:rPr>
              <w:t> </w:t>
            </w:r>
            <w:r>
              <w:rPr>
                <w:spacing w:val="-2"/>
                <w:sz w:val="20"/>
              </w:rPr>
              <w:t>the</w:t>
            </w:r>
            <w:r>
              <w:rPr>
                <w:spacing w:val="-12"/>
                <w:sz w:val="20"/>
              </w:rPr>
              <w:t> </w:t>
            </w:r>
            <w:r>
              <w:rPr>
                <w:spacing w:val="-2"/>
                <w:sz w:val="20"/>
              </w:rPr>
              <w:t>Regional</w:t>
            </w:r>
            <w:r>
              <w:rPr>
                <w:spacing w:val="-10"/>
                <w:sz w:val="20"/>
              </w:rPr>
              <w:t> </w:t>
            </w:r>
            <w:r>
              <w:rPr>
                <w:spacing w:val="-2"/>
                <w:sz w:val="20"/>
              </w:rPr>
              <w:t>Clinical</w:t>
            </w:r>
            <w:r>
              <w:rPr>
                <w:spacing w:val="-10"/>
                <w:sz w:val="20"/>
              </w:rPr>
              <w:t> </w:t>
            </w:r>
            <w:r>
              <w:rPr>
                <w:spacing w:val="-2"/>
                <w:sz w:val="20"/>
              </w:rPr>
              <w:t>Services</w:t>
            </w:r>
            <w:r>
              <w:rPr>
                <w:spacing w:val="-11"/>
                <w:sz w:val="20"/>
              </w:rPr>
              <w:t> </w:t>
            </w:r>
            <w:r>
              <w:rPr>
                <w:spacing w:val="-2"/>
                <w:sz w:val="20"/>
              </w:rPr>
              <w:t>Planning</w:t>
            </w:r>
            <w:r>
              <w:rPr>
                <w:spacing w:val="-12"/>
                <w:sz w:val="20"/>
              </w:rPr>
              <w:t> </w:t>
            </w:r>
            <w:r>
              <w:rPr>
                <w:spacing w:val="-2"/>
                <w:sz w:val="20"/>
              </w:rPr>
              <w:t>portfolio</w:t>
            </w:r>
            <w:r>
              <w:rPr>
                <w:spacing w:val="-11"/>
                <w:sz w:val="20"/>
              </w:rPr>
              <w:t> </w:t>
            </w:r>
            <w:r>
              <w:rPr>
                <w:spacing w:val="-2"/>
                <w:sz w:val="20"/>
              </w:rPr>
              <w:t>and</w:t>
            </w:r>
            <w:r>
              <w:rPr>
                <w:spacing w:val="-12"/>
                <w:sz w:val="20"/>
              </w:rPr>
              <w:t> </w:t>
            </w:r>
            <w:r>
              <w:rPr>
                <w:spacing w:val="-2"/>
                <w:sz w:val="20"/>
              </w:rPr>
              <w:t>will</w:t>
            </w:r>
            <w:r>
              <w:rPr>
                <w:spacing w:val="-10"/>
                <w:sz w:val="20"/>
              </w:rPr>
              <w:t> </w:t>
            </w:r>
            <w:r>
              <w:rPr>
                <w:spacing w:val="-2"/>
                <w:sz w:val="20"/>
              </w:rPr>
              <w:t>use</w:t>
            </w:r>
            <w:r>
              <w:rPr>
                <w:spacing w:val="-12"/>
                <w:sz w:val="20"/>
              </w:rPr>
              <w:t> </w:t>
            </w:r>
            <w:r>
              <w:rPr>
                <w:spacing w:val="-2"/>
                <w:sz w:val="20"/>
              </w:rPr>
              <w:t>existing</w:t>
            </w:r>
            <w:r>
              <w:rPr>
                <w:spacing w:val="-12"/>
                <w:sz w:val="20"/>
              </w:rPr>
              <w:t> </w:t>
            </w:r>
            <w:r>
              <w:rPr>
                <w:spacing w:val="-2"/>
                <w:sz w:val="20"/>
              </w:rPr>
              <w:t>Health </w:t>
            </w:r>
            <w:r>
              <w:rPr>
                <w:sz w:val="20"/>
              </w:rPr>
              <w:t>Board</w:t>
            </w:r>
            <w:r>
              <w:rPr>
                <w:spacing w:val="-14"/>
                <w:sz w:val="20"/>
              </w:rPr>
              <w:t> </w:t>
            </w:r>
            <w:r>
              <w:rPr>
                <w:sz w:val="20"/>
              </w:rPr>
              <w:t>leadership,</w:t>
            </w:r>
            <w:r>
              <w:rPr>
                <w:spacing w:val="-14"/>
                <w:sz w:val="20"/>
              </w:rPr>
              <w:t> </w:t>
            </w:r>
            <w:r>
              <w:rPr>
                <w:sz w:val="20"/>
              </w:rPr>
              <w:t>clinical</w:t>
            </w:r>
            <w:r>
              <w:rPr>
                <w:spacing w:val="-14"/>
                <w:sz w:val="20"/>
              </w:rPr>
              <w:t> </w:t>
            </w:r>
            <w:r>
              <w:rPr>
                <w:sz w:val="20"/>
              </w:rPr>
              <w:t>planning</w:t>
            </w:r>
            <w:r>
              <w:rPr>
                <w:spacing w:val="-14"/>
                <w:sz w:val="20"/>
              </w:rPr>
              <w:t> </w:t>
            </w:r>
            <w:r>
              <w:rPr>
                <w:sz w:val="20"/>
              </w:rPr>
              <w:t>and</w:t>
            </w:r>
            <w:r>
              <w:rPr>
                <w:spacing w:val="-14"/>
                <w:sz w:val="20"/>
              </w:rPr>
              <w:t> </w:t>
            </w:r>
            <w:r>
              <w:rPr>
                <w:sz w:val="20"/>
              </w:rPr>
              <w:t>governance</w:t>
            </w:r>
            <w:r>
              <w:rPr>
                <w:spacing w:val="-14"/>
                <w:sz w:val="20"/>
              </w:rPr>
              <w:t> </w:t>
            </w:r>
            <w:r>
              <w:rPr>
                <w:sz w:val="20"/>
              </w:rPr>
              <w:t>arrangements.</w:t>
            </w:r>
            <w:r>
              <w:rPr>
                <w:spacing w:val="-14"/>
                <w:sz w:val="20"/>
              </w:rPr>
              <w:t> </w:t>
            </w:r>
            <w:r>
              <w:rPr>
                <w:sz w:val="20"/>
              </w:rPr>
              <w:t>The</w:t>
            </w:r>
            <w:r>
              <w:rPr>
                <w:spacing w:val="-14"/>
                <w:sz w:val="20"/>
              </w:rPr>
              <w:t> </w:t>
            </w:r>
            <w:r>
              <w:rPr>
                <w:sz w:val="20"/>
              </w:rPr>
              <w:t>scope</w:t>
            </w:r>
            <w:r>
              <w:rPr>
                <w:spacing w:val="-14"/>
                <w:sz w:val="20"/>
              </w:rPr>
              <w:t> </w:t>
            </w:r>
            <w:r>
              <w:rPr>
                <w:sz w:val="20"/>
              </w:rPr>
              <w:t>and</w:t>
            </w:r>
            <w:r>
              <w:rPr>
                <w:spacing w:val="-13"/>
                <w:sz w:val="20"/>
              </w:rPr>
              <w:t> </w:t>
            </w:r>
            <w:r>
              <w:rPr>
                <w:sz w:val="20"/>
              </w:rPr>
              <w:t>pace</w:t>
            </w:r>
            <w:r>
              <w:rPr>
                <w:spacing w:val="-14"/>
                <w:sz w:val="20"/>
              </w:rPr>
              <w:t> </w:t>
            </w:r>
            <w:r>
              <w:rPr>
                <w:sz w:val="20"/>
              </w:rPr>
              <w:t>of</w:t>
            </w:r>
            <w:r>
              <w:rPr>
                <w:spacing w:val="-14"/>
                <w:sz w:val="20"/>
              </w:rPr>
              <w:t> </w:t>
            </w:r>
            <w:r>
              <w:rPr>
                <w:sz w:val="20"/>
              </w:rPr>
              <w:t>development</w:t>
            </w:r>
            <w:r>
              <w:rPr>
                <w:spacing w:val="-14"/>
                <w:sz w:val="20"/>
              </w:rPr>
              <w:t> </w:t>
            </w:r>
            <w:r>
              <w:rPr>
                <w:sz w:val="20"/>
              </w:rPr>
              <w:t>will remain</w:t>
            </w:r>
            <w:r>
              <w:rPr>
                <w:spacing w:val="-11"/>
                <w:sz w:val="20"/>
              </w:rPr>
              <w:t> </w:t>
            </w:r>
            <w:r>
              <w:rPr>
                <w:sz w:val="20"/>
              </w:rPr>
              <w:t>proportionate</w:t>
            </w:r>
            <w:r>
              <w:rPr>
                <w:spacing w:val="-13"/>
                <w:sz w:val="20"/>
              </w:rPr>
              <w:t> </w:t>
            </w:r>
            <w:r>
              <w:rPr>
                <w:sz w:val="20"/>
              </w:rPr>
              <w:t>to</w:t>
            </w:r>
            <w:r>
              <w:rPr>
                <w:spacing w:val="-12"/>
                <w:sz w:val="20"/>
              </w:rPr>
              <w:t> </w:t>
            </w:r>
            <w:r>
              <w:rPr>
                <w:sz w:val="20"/>
              </w:rPr>
              <w:t>available</w:t>
            </w:r>
            <w:r>
              <w:rPr>
                <w:spacing w:val="-11"/>
                <w:sz w:val="20"/>
              </w:rPr>
              <w:t> </w:t>
            </w:r>
            <w:r>
              <w:rPr>
                <w:sz w:val="20"/>
              </w:rPr>
              <w:t>leadership</w:t>
            </w:r>
            <w:r>
              <w:rPr>
                <w:spacing w:val="-11"/>
                <w:sz w:val="20"/>
              </w:rPr>
              <w:t> </w:t>
            </w:r>
            <w:r>
              <w:rPr>
                <w:sz w:val="20"/>
              </w:rPr>
              <w:t>and</w:t>
            </w:r>
            <w:r>
              <w:rPr>
                <w:spacing w:val="-12"/>
                <w:sz w:val="20"/>
              </w:rPr>
              <w:t> </w:t>
            </w:r>
            <w:r>
              <w:rPr>
                <w:sz w:val="20"/>
              </w:rPr>
              <w:t>programme</w:t>
            </w:r>
            <w:r>
              <w:rPr>
                <w:spacing w:val="-12"/>
                <w:sz w:val="20"/>
              </w:rPr>
              <w:t> </w:t>
            </w:r>
            <w:r>
              <w:rPr>
                <w:sz w:val="20"/>
              </w:rPr>
              <w:t>capacity.</w:t>
            </w:r>
          </w:p>
          <w:p>
            <w:pPr>
              <w:pStyle w:val="TableParagraph"/>
              <w:spacing w:line="252" w:lineRule="auto" w:before="106"/>
              <w:ind w:left="120"/>
              <w:rPr>
                <w:sz w:val="20"/>
              </w:rPr>
            </w:pPr>
            <w:r>
              <w:rPr>
                <w:spacing w:val="-2"/>
                <w:sz w:val="20"/>
              </w:rPr>
              <w:t>The</w:t>
            </w:r>
            <w:r>
              <w:rPr>
                <w:spacing w:val="-12"/>
                <w:sz w:val="20"/>
              </w:rPr>
              <w:t> </w:t>
            </w:r>
            <w:r>
              <w:rPr>
                <w:spacing w:val="-2"/>
                <w:sz w:val="20"/>
              </w:rPr>
              <w:t>wider</w:t>
            </w:r>
            <w:r>
              <w:rPr>
                <w:spacing w:val="-12"/>
                <w:sz w:val="20"/>
              </w:rPr>
              <w:t> </w:t>
            </w:r>
            <w:r>
              <w:rPr>
                <w:spacing w:val="-2"/>
                <w:sz w:val="20"/>
              </w:rPr>
              <w:t>strategic</w:t>
            </w:r>
            <w:r>
              <w:rPr>
                <w:spacing w:val="-12"/>
                <w:sz w:val="20"/>
              </w:rPr>
              <w:t> </w:t>
            </w:r>
            <w:r>
              <w:rPr>
                <w:spacing w:val="-2"/>
                <w:sz w:val="20"/>
              </w:rPr>
              <w:t>work</w:t>
            </w:r>
            <w:r>
              <w:rPr>
                <w:spacing w:val="-12"/>
                <w:sz w:val="20"/>
              </w:rPr>
              <w:t> </w:t>
            </w:r>
            <w:r>
              <w:rPr>
                <w:spacing w:val="-2"/>
                <w:sz w:val="20"/>
              </w:rPr>
              <w:t>remains</w:t>
            </w:r>
            <w:r>
              <w:rPr>
                <w:spacing w:val="-12"/>
                <w:sz w:val="20"/>
              </w:rPr>
              <w:t> </w:t>
            </w:r>
            <w:r>
              <w:rPr>
                <w:spacing w:val="-2"/>
                <w:sz w:val="20"/>
              </w:rPr>
              <w:t>separate</w:t>
            </w:r>
            <w:r>
              <w:rPr>
                <w:spacing w:val="-12"/>
                <w:sz w:val="20"/>
              </w:rPr>
              <w:t> </w:t>
            </w:r>
            <w:r>
              <w:rPr>
                <w:spacing w:val="-2"/>
                <w:sz w:val="20"/>
              </w:rPr>
              <w:t>from</w:t>
            </w:r>
            <w:r>
              <w:rPr>
                <w:spacing w:val="-12"/>
                <w:sz w:val="20"/>
              </w:rPr>
              <w:t> </w:t>
            </w:r>
            <w:r>
              <w:rPr>
                <w:spacing w:val="-2"/>
                <w:sz w:val="20"/>
              </w:rPr>
              <w:t>the</w:t>
            </w:r>
            <w:r>
              <w:rPr>
                <w:spacing w:val="-12"/>
                <w:sz w:val="20"/>
              </w:rPr>
              <w:t> </w:t>
            </w:r>
            <w:r>
              <w:rPr>
                <w:spacing w:val="-2"/>
                <w:sz w:val="20"/>
              </w:rPr>
              <w:t>proposed</w:t>
            </w:r>
            <w:r>
              <w:rPr>
                <w:spacing w:val="-12"/>
                <w:sz w:val="20"/>
              </w:rPr>
              <w:t> </w:t>
            </w:r>
            <w:r>
              <w:rPr>
                <w:spacing w:val="-2"/>
                <w:sz w:val="20"/>
              </w:rPr>
              <w:t>sixth</w:t>
            </w:r>
            <w:r>
              <w:rPr>
                <w:spacing w:val="-11"/>
                <w:sz w:val="20"/>
              </w:rPr>
              <w:t> </w:t>
            </w:r>
            <w:r>
              <w:rPr>
                <w:spacing w:val="-2"/>
                <w:sz w:val="20"/>
              </w:rPr>
              <w:t>and</w:t>
            </w:r>
            <w:r>
              <w:rPr>
                <w:spacing w:val="-12"/>
                <w:sz w:val="20"/>
              </w:rPr>
              <w:t> </w:t>
            </w:r>
            <w:r>
              <w:rPr>
                <w:spacing w:val="-2"/>
                <w:sz w:val="20"/>
              </w:rPr>
              <w:t>seventh</w:t>
            </w:r>
            <w:r>
              <w:rPr>
                <w:spacing w:val="-12"/>
                <w:sz w:val="20"/>
              </w:rPr>
              <w:t> </w:t>
            </w:r>
            <w:r>
              <w:rPr>
                <w:spacing w:val="-2"/>
                <w:sz w:val="20"/>
              </w:rPr>
              <w:t>radiotherapy</w:t>
            </w:r>
            <w:r>
              <w:rPr>
                <w:spacing w:val="-12"/>
                <w:sz w:val="20"/>
              </w:rPr>
              <w:t> </w:t>
            </w:r>
            <w:r>
              <w:rPr>
                <w:spacing w:val="-2"/>
                <w:sz w:val="20"/>
              </w:rPr>
              <w:t>bunker</w:t>
            </w:r>
            <w:r>
              <w:rPr>
                <w:spacing w:val="-12"/>
                <w:sz w:val="20"/>
              </w:rPr>
              <w:t> </w:t>
            </w:r>
            <w:r>
              <w:rPr>
                <w:spacing w:val="-2"/>
                <w:sz w:val="20"/>
              </w:rPr>
              <w:t>development, </w:t>
            </w:r>
            <w:r>
              <w:rPr>
                <w:sz w:val="20"/>
              </w:rPr>
              <w:t>which</w:t>
            </w:r>
            <w:r>
              <w:rPr>
                <w:spacing w:val="-14"/>
                <w:sz w:val="20"/>
              </w:rPr>
              <w:t> </w:t>
            </w:r>
            <w:r>
              <w:rPr>
                <w:sz w:val="20"/>
              </w:rPr>
              <w:t>will</w:t>
            </w:r>
            <w:r>
              <w:rPr>
                <w:spacing w:val="-14"/>
                <w:sz w:val="20"/>
              </w:rPr>
              <w:t> </w:t>
            </w:r>
            <w:r>
              <w:rPr>
                <w:sz w:val="20"/>
              </w:rPr>
              <w:t>continue</w:t>
            </w:r>
            <w:r>
              <w:rPr>
                <w:spacing w:val="-14"/>
                <w:sz w:val="20"/>
              </w:rPr>
              <w:t> </w:t>
            </w:r>
            <w:r>
              <w:rPr>
                <w:sz w:val="20"/>
              </w:rPr>
              <w:t>through</w:t>
            </w:r>
            <w:r>
              <w:rPr>
                <w:spacing w:val="-14"/>
                <w:sz w:val="20"/>
              </w:rPr>
              <w:t> </w:t>
            </w:r>
            <w:r>
              <w:rPr>
                <w:sz w:val="20"/>
              </w:rPr>
              <w:t>its</w:t>
            </w:r>
            <w:r>
              <w:rPr>
                <w:spacing w:val="-14"/>
                <w:sz w:val="20"/>
              </w:rPr>
              <w:t> </w:t>
            </w:r>
            <w:r>
              <w:rPr>
                <w:sz w:val="20"/>
              </w:rPr>
              <w:t>own</w:t>
            </w:r>
            <w:r>
              <w:rPr>
                <w:spacing w:val="-14"/>
                <w:sz w:val="20"/>
              </w:rPr>
              <w:t> </w:t>
            </w:r>
            <w:r>
              <w:rPr>
                <w:sz w:val="20"/>
              </w:rPr>
              <w:t>governance</w:t>
            </w:r>
            <w:r>
              <w:rPr>
                <w:spacing w:val="-14"/>
                <w:sz w:val="20"/>
              </w:rPr>
              <w:t> </w:t>
            </w:r>
            <w:r>
              <w:rPr>
                <w:sz w:val="20"/>
              </w:rPr>
              <w:t>and</w:t>
            </w:r>
            <w:r>
              <w:rPr>
                <w:spacing w:val="-14"/>
                <w:sz w:val="20"/>
              </w:rPr>
              <w:t> </w:t>
            </w:r>
            <w:r>
              <w:rPr>
                <w:sz w:val="20"/>
              </w:rPr>
              <w:t>business-case</w:t>
            </w:r>
            <w:r>
              <w:rPr>
                <w:spacing w:val="-14"/>
                <w:sz w:val="20"/>
              </w:rPr>
              <w:t> </w:t>
            </w:r>
            <w:r>
              <w:rPr>
                <w:sz w:val="20"/>
              </w:rPr>
              <w:t>route</w:t>
            </w:r>
            <w:r>
              <w:rPr>
                <w:spacing w:val="-13"/>
                <w:sz w:val="20"/>
              </w:rPr>
              <w:t> </w:t>
            </w:r>
            <w:r>
              <w:rPr>
                <w:sz w:val="20"/>
              </w:rPr>
              <w:t>under</w:t>
            </w:r>
            <w:r>
              <w:rPr>
                <w:spacing w:val="-14"/>
                <w:sz w:val="20"/>
              </w:rPr>
              <w:t> </w:t>
            </w:r>
            <w:r>
              <w:rPr>
                <w:sz w:val="20"/>
              </w:rPr>
              <w:t>the</w:t>
            </w:r>
            <w:r>
              <w:rPr>
                <w:spacing w:val="-14"/>
                <w:sz w:val="20"/>
              </w:rPr>
              <w:t> </w:t>
            </w:r>
            <w:r>
              <w:rPr>
                <w:sz w:val="20"/>
              </w:rPr>
              <w:t>Clinical</w:t>
            </w:r>
            <w:r>
              <w:rPr>
                <w:spacing w:val="-14"/>
                <w:sz w:val="20"/>
              </w:rPr>
              <w:t> </w:t>
            </w:r>
            <w:r>
              <w:rPr>
                <w:sz w:val="20"/>
              </w:rPr>
              <w:t>Services</w:t>
            </w:r>
            <w:r>
              <w:rPr>
                <w:spacing w:val="-14"/>
                <w:sz w:val="20"/>
              </w:rPr>
              <w:t> </w:t>
            </w:r>
            <w:r>
              <w:rPr>
                <w:sz w:val="20"/>
              </w:rPr>
              <w:t>Planning portfolio.</w:t>
            </w:r>
            <w:r>
              <w:rPr>
                <w:spacing w:val="-14"/>
                <w:sz w:val="20"/>
              </w:rPr>
              <w:t> </w:t>
            </w:r>
            <w:r>
              <w:rPr>
                <w:sz w:val="20"/>
              </w:rPr>
              <w:t>Capacity</w:t>
            </w:r>
            <w:r>
              <w:rPr>
                <w:spacing w:val="-14"/>
                <w:sz w:val="20"/>
              </w:rPr>
              <w:t> </w:t>
            </w:r>
            <w:r>
              <w:rPr>
                <w:sz w:val="20"/>
              </w:rPr>
              <w:t>remains</w:t>
            </w:r>
            <w:r>
              <w:rPr>
                <w:spacing w:val="-14"/>
                <w:sz w:val="20"/>
              </w:rPr>
              <w:t> </w:t>
            </w:r>
            <w:r>
              <w:rPr>
                <w:sz w:val="20"/>
              </w:rPr>
              <w:t>a</w:t>
            </w:r>
            <w:r>
              <w:rPr>
                <w:spacing w:val="-14"/>
                <w:sz w:val="20"/>
              </w:rPr>
              <w:t> </w:t>
            </w:r>
            <w:r>
              <w:rPr>
                <w:sz w:val="20"/>
              </w:rPr>
              <w:t>key</w:t>
            </w:r>
            <w:r>
              <w:rPr>
                <w:spacing w:val="-14"/>
                <w:sz w:val="20"/>
              </w:rPr>
              <w:t> </w:t>
            </w:r>
            <w:r>
              <w:rPr>
                <w:sz w:val="20"/>
              </w:rPr>
              <w:t>dependency</w:t>
            </w:r>
            <w:r>
              <w:rPr>
                <w:spacing w:val="-14"/>
                <w:sz w:val="20"/>
              </w:rPr>
              <w:t> </w:t>
            </w:r>
            <w:r>
              <w:rPr>
                <w:sz w:val="20"/>
              </w:rPr>
              <w:t>and</w:t>
            </w:r>
            <w:r>
              <w:rPr>
                <w:spacing w:val="-14"/>
                <w:sz w:val="20"/>
              </w:rPr>
              <w:t> </w:t>
            </w:r>
            <w:r>
              <w:rPr>
                <w:sz w:val="20"/>
              </w:rPr>
              <w:t>will</w:t>
            </w:r>
            <w:r>
              <w:rPr>
                <w:spacing w:val="-14"/>
                <w:sz w:val="20"/>
              </w:rPr>
              <w:t> </w:t>
            </w:r>
            <w:r>
              <w:rPr>
                <w:sz w:val="20"/>
              </w:rPr>
              <w:t>determine</w:t>
            </w:r>
            <w:r>
              <w:rPr>
                <w:spacing w:val="-14"/>
                <w:sz w:val="20"/>
              </w:rPr>
              <w:t> </w:t>
            </w:r>
            <w:r>
              <w:rPr>
                <w:sz w:val="20"/>
              </w:rPr>
              <w:t>the</w:t>
            </w:r>
            <w:r>
              <w:rPr>
                <w:spacing w:val="-13"/>
                <w:sz w:val="20"/>
              </w:rPr>
              <w:t> </w:t>
            </w:r>
            <w:r>
              <w:rPr>
                <w:sz w:val="20"/>
              </w:rPr>
              <w:t>scope,</w:t>
            </w:r>
            <w:r>
              <w:rPr>
                <w:spacing w:val="-14"/>
                <w:sz w:val="20"/>
              </w:rPr>
              <w:t> </w:t>
            </w:r>
            <w:r>
              <w:rPr>
                <w:sz w:val="20"/>
              </w:rPr>
              <w:t>pace</w:t>
            </w:r>
            <w:r>
              <w:rPr>
                <w:spacing w:val="-14"/>
                <w:sz w:val="20"/>
              </w:rPr>
              <w:t> </w:t>
            </w:r>
            <w:r>
              <w:rPr>
                <w:sz w:val="20"/>
              </w:rPr>
              <w:t>and</w:t>
            </w:r>
            <w:r>
              <w:rPr>
                <w:spacing w:val="-14"/>
                <w:sz w:val="20"/>
              </w:rPr>
              <w:t> </w:t>
            </w:r>
            <w:r>
              <w:rPr>
                <w:sz w:val="20"/>
              </w:rPr>
              <w:t>deliverability</w:t>
            </w:r>
            <w:r>
              <w:rPr>
                <w:spacing w:val="-14"/>
                <w:sz w:val="20"/>
              </w:rPr>
              <w:t> </w:t>
            </w:r>
            <w:r>
              <w:rPr>
                <w:sz w:val="20"/>
              </w:rPr>
              <w:t>of</w:t>
            </w:r>
            <w:r>
              <w:rPr>
                <w:spacing w:val="-14"/>
                <w:sz w:val="20"/>
              </w:rPr>
              <w:t> </w:t>
            </w:r>
            <w:r>
              <w:rPr>
                <w:sz w:val="20"/>
              </w:rPr>
              <w:t>the</w:t>
            </w:r>
            <w:r>
              <w:rPr>
                <w:spacing w:val="-14"/>
                <w:sz w:val="20"/>
              </w:rPr>
              <w:t> </w:t>
            </w:r>
            <w:r>
              <w:rPr>
                <w:sz w:val="20"/>
              </w:rPr>
              <w:t>work.</w:t>
            </w:r>
          </w:p>
          <w:p>
            <w:pPr>
              <w:pStyle w:val="TableParagraph"/>
              <w:spacing w:line="254" w:lineRule="auto" w:before="5"/>
              <w:ind w:left="120"/>
              <w:rPr>
                <w:sz w:val="20"/>
              </w:rPr>
            </w:pPr>
            <w:r>
              <w:rPr>
                <w:spacing w:val="-2"/>
                <w:sz w:val="20"/>
              </w:rPr>
              <w:t>The</w:t>
            </w:r>
            <w:r>
              <w:rPr>
                <w:spacing w:val="-6"/>
                <w:sz w:val="20"/>
              </w:rPr>
              <w:t> </w:t>
            </w:r>
            <w:r>
              <w:rPr>
                <w:spacing w:val="-2"/>
                <w:sz w:val="20"/>
              </w:rPr>
              <w:t>RJC</w:t>
            </w:r>
            <w:r>
              <w:rPr>
                <w:spacing w:val="-10"/>
                <w:sz w:val="20"/>
              </w:rPr>
              <w:t> </w:t>
            </w:r>
            <w:r>
              <w:rPr>
                <w:spacing w:val="-2"/>
                <w:sz w:val="20"/>
              </w:rPr>
              <w:t>PMO</w:t>
            </w:r>
            <w:r>
              <w:rPr>
                <w:spacing w:val="-6"/>
                <w:sz w:val="20"/>
              </w:rPr>
              <w:t> </w:t>
            </w:r>
            <w:r>
              <w:rPr>
                <w:spacing w:val="-2"/>
                <w:sz w:val="20"/>
              </w:rPr>
              <w:t>will</w:t>
            </w:r>
            <w:r>
              <w:rPr>
                <w:spacing w:val="-4"/>
                <w:sz w:val="20"/>
              </w:rPr>
              <w:t> </w:t>
            </w:r>
            <w:r>
              <w:rPr>
                <w:spacing w:val="-2"/>
                <w:sz w:val="20"/>
              </w:rPr>
              <w:t>provide</w:t>
            </w:r>
            <w:r>
              <w:rPr>
                <w:spacing w:val="-12"/>
                <w:sz w:val="20"/>
              </w:rPr>
              <w:t> </w:t>
            </w:r>
            <w:r>
              <w:rPr>
                <w:spacing w:val="-2"/>
                <w:sz w:val="20"/>
              </w:rPr>
              <w:t>immediate</w:t>
            </w:r>
            <w:r>
              <w:rPr>
                <w:spacing w:val="-6"/>
                <w:sz w:val="20"/>
              </w:rPr>
              <w:t> </w:t>
            </w:r>
            <w:r>
              <w:rPr>
                <w:spacing w:val="-2"/>
                <w:sz w:val="20"/>
              </w:rPr>
              <w:t>enabling</w:t>
            </w:r>
            <w:r>
              <w:rPr>
                <w:spacing w:val="-6"/>
                <w:sz w:val="20"/>
              </w:rPr>
              <w:t> </w:t>
            </w:r>
            <w:r>
              <w:rPr>
                <w:spacing w:val="-2"/>
                <w:sz w:val="20"/>
              </w:rPr>
              <w:t>support</w:t>
            </w:r>
            <w:r>
              <w:rPr>
                <w:spacing w:val="-5"/>
                <w:sz w:val="20"/>
              </w:rPr>
              <w:t> </w:t>
            </w:r>
            <w:r>
              <w:rPr>
                <w:spacing w:val="-2"/>
                <w:sz w:val="20"/>
              </w:rPr>
              <w:t>to</w:t>
            </w:r>
            <w:r>
              <w:rPr>
                <w:spacing w:val="-6"/>
                <w:sz w:val="20"/>
              </w:rPr>
              <w:t> </w:t>
            </w:r>
            <w:r>
              <w:rPr>
                <w:spacing w:val="-2"/>
                <w:sz w:val="20"/>
              </w:rPr>
              <w:t>develop</w:t>
            </w:r>
            <w:r>
              <w:rPr>
                <w:spacing w:val="-6"/>
                <w:sz w:val="20"/>
              </w:rPr>
              <w:t> </w:t>
            </w:r>
            <w:r>
              <w:rPr>
                <w:spacing w:val="-2"/>
                <w:sz w:val="20"/>
              </w:rPr>
              <w:t>the</w:t>
            </w:r>
            <w:r>
              <w:rPr>
                <w:spacing w:val="-12"/>
                <w:sz w:val="20"/>
              </w:rPr>
              <w:t> </w:t>
            </w:r>
            <w:r>
              <w:rPr>
                <w:spacing w:val="-2"/>
                <w:sz w:val="20"/>
              </w:rPr>
              <w:t>workshop</w:t>
            </w:r>
            <w:r>
              <w:rPr>
                <w:spacing w:val="-6"/>
                <w:sz w:val="20"/>
              </w:rPr>
              <w:t> </w:t>
            </w:r>
            <w:r>
              <w:rPr>
                <w:spacing w:val="-2"/>
                <w:sz w:val="20"/>
              </w:rPr>
              <w:t>proposal,</w:t>
            </w:r>
            <w:r>
              <w:rPr>
                <w:spacing w:val="-6"/>
                <w:sz w:val="20"/>
              </w:rPr>
              <w:t> </w:t>
            </w:r>
            <w:r>
              <w:rPr>
                <w:spacing w:val="-2"/>
                <w:sz w:val="20"/>
              </w:rPr>
              <w:t>arrange</w:t>
            </w:r>
            <w:r>
              <w:rPr>
                <w:spacing w:val="-6"/>
                <w:sz w:val="20"/>
              </w:rPr>
              <w:t> </w:t>
            </w:r>
            <w:r>
              <w:rPr>
                <w:spacing w:val="-2"/>
                <w:sz w:val="20"/>
              </w:rPr>
              <w:t>the</w:t>
            </w:r>
            <w:r>
              <w:rPr>
                <w:spacing w:val="-6"/>
                <w:sz w:val="20"/>
              </w:rPr>
              <w:t> </w:t>
            </w:r>
            <w:r>
              <w:rPr>
                <w:spacing w:val="-2"/>
                <w:sz w:val="20"/>
              </w:rPr>
              <w:t>proposed workshops</w:t>
            </w:r>
            <w:r>
              <w:rPr>
                <w:spacing w:val="-12"/>
                <w:sz w:val="20"/>
              </w:rPr>
              <w:t> </w:t>
            </w:r>
            <w:r>
              <w:rPr>
                <w:spacing w:val="-2"/>
                <w:sz w:val="20"/>
              </w:rPr>
              <w:t>and</w:t>
            </w:r>
            <w:r>
              <w:rPr>
                <w:spacing w:val="-12"/>
                <w:sz w:val="20"/>
              </w:rPr>
              <w:t> </w:t>
            </w:r>
            <w:r>
              <w:rPr>
                <w:spacing w:val="-2"/>
                <w:sz w:val="20"/>
              </w:rPr>
              <w:t>support</w:t>
            </w:r>
            <w:r>
              <w:rPr>
                <w:spacing w:val="-12"/>
                <w:sz w:val="20"/>
              </w:rPr>
              <w:t> </w:t>
            </w:r>
            <w:r>
              <w:rPr>
                <w:spacing w:val="-2"/>
                <w:sz w:val="20"/>
              </w:rPr>
              <w:t>development</w:t>
            </w:r>
            <w:r>
              <w:rPr>
                <w:spacing w:val="-11"/>
                <w:sz w:val="20"/>
              </w:rPr>
              <w:t> </w:t>
            </w:r>
            <w:r>
              <w:rPr>
                <w:spacing w:val="-2"/>
                <w:sz w:val="20"/>
              </w:rPr>
              <w:t>of</w:t>
            </w:r>
            <w:r>
              <w:rPr>
                <w:spacing w:val="-10"/>
                <w:sz w:val="20"/>
              </w:rPr>
              <w:t> </w:t>
            </w:r>
            <w:r>
              <w:rPr>
                <w:spacing w:val="-2"/>
                <w:sz w:val="20"/>
              </w:rPr>
              <w:t>the</w:t>
            </w:r>
            <w:r>
              <w:rPr>
                <w:spacing w:val="-11"/>
                <w:sz w:val="20"/>
              </w:rPr>
              <w:t> </w:t>
            </w:r>
            <w:r>
              <w:rPr>
                <w:spacing w:val="-2"/>
                <w:sz w:val="20"/>
              </w:rPr>
              <w:t>regional</w:t>
            </w:r>
            <w:r>
              <w:rPr>
                <w:spacing w:val="-9"/>
                <w:sz w:val="20"/>
              </w:rPr>
              <w:t> </w:t>
            </w:r>
            <w:r>
              <w:rPr>
                <w:spacing w:val="-2"/>
                <w:sz w:val="20"/>
              </w:rPr>
              <w:t>cancer</w:t>
            </w:r>
            <w:r>
              <w:rPr>
                <w:spacing w:val="-12"/>
                <w:sz w:val="20"/>
              </w:rPr>
              <w:t> </w:t>
            </w:r>
            <w:r>
              <w:rPr>
                <w:spacing w:val="-2"/>
                <w:sz w:val="20"/>
              </w:rPr>
              <w:t>work</w:t>
            </w:r>
            <w:r>
              <w:rPr>
                <w:spacing w:val="-9"/>
                <w:sz w:val="20"/>
              </w:rPr>
              <w:t> </w:t>
            </w:r>
            <w:r>
              <w:rPr>
                <w:spacing w:val="-2"/>
                <w:sz w:val="20"/>
              </w:rPr>
              <w:t>programme.</w:t>
            </w:r>
            <w:r>
              <w:rPr>
                <w:spacing w:val="-10"/>
                <w:sz w:val="20"/>
              </w:rPr>
              <w:t> </w:t>
            </w:r>
            <w:r>
              <w:rPr>
                <w:spacing w:val="-2"/>
                <w:sz w:val="20"/>
              </w:rPr>
              <w:t>However,</w:t>
            </w:r>
            <w:r>
              <w:rPr>
                <w:spacing w:val="-11"/>
                <w:sz w:val="20"/>
              </w:rPr>
              <w:t> </w:t>
            </w:r>
            <w:r>
              <w:rPr>
                <w:spacing w:val="-2"/>
                <w:sz w:val="20"/>
              </w:rPr>
              <w:t>the</w:t>
            </w:r>
            <w:r>
              <w:rPr>
                <w:spacing w:val="-12"/>
                <w:sz w:val="20"/>
              </w:rPr>
              <w:t> </w:t>
            </w:r>
            <w:r>
              <w:rPr>
                <w:spacing w:val="-2"/>
                <w:sz w:val="20"/>
              </w:rPr>
              <w:t>PMO</w:t>
            </w:r>
            <w:r>
              <w:rPr>
                <w:spacing w:val="-12"/>
                <w:sz w:val="20"/>
              </w:rPr>
              <w:t> </w:t>
            </w:r>
            <w:r>
              <w:rPr>
                <w:spacing w:val="-2"/>
                <w:sz w:val="20"/>
              </w:rPr>
              <w:t>is</w:t>
            </w:r>
            <w:r>
              <w:rPr>
                <w:spacing w:val="-9"/>
                <w:sz w:val="20"/>
              </w:rPr>
              <w:t> </w:t>
            </w:r>
            <w:r>
              <w:rPr>
                <w:spacing w:val="-2"/>
                <w:sz w:val="20"/>
              </w:rPr>
              <w:t>a</w:t>
            </w:r>
            <w:r>
              <w:rPr>
                <w:spacing w:val="-11"/>
                <w:sz w:val="20"/>
              </w:rPr>
              <w:t> </w:t>
            </w:r>
            <w:r>
              <w:rPr>
                <w:spacing w:val="-2"/>
                <w:sz w:val="20"/>
              </w:rPr>
              <w:t>small</w:t>
            </w:r>
            <w:r>
              <w:rPr>
                <w:spacing w:val="-9"/>
                <w:sz w:val="20"/>
              </w:rPr>
              <w:t> </w:t>
            </w:r>
            <w:r>
              <w:rPr>
                <w:spacing w:val="-2"/>
                <w:sz w:val="20"/>
              </w:rPr>
              <w:t>team with</w:t>
            </w:r>
            <w:r>
              <w:rPr>
                <w:spacing w:val="-12"/>
                <w:sz w:val="20"/>
              </w:rPr>
              <w:t> </w:t>
            </w:r>
            <w:r>
              <w:rPr>
                <w:spacing w:val="-2"/>
                <w:sz w:val="20"/>
              </w:rPr>
              <w:t>finite</w:t>
            </w:r>
            <w:r>
              <w:rPr>
                <w:spacing w:val="-12"/>
                <w:sz w:val="20"/>
              </w:rPr>
              <w:t> </w:t>
            </w:r>
            <w:r>
              <w:rPr>
                <w:spacing w:val="-2"/>
                <w:sz w:val="20"/>
              </w:rPr>
              <w:t>capacity</w:t>
            </w:r>
            <w:r>
              <w:rPr>
                <w:spacing w:val="-11"/>
                <w:sz w:val="20"/>
              </w:rPr>
              <w:t> </w:t>
            </w:r>
            <w:r>
              <w:rPr>
                <w:spacing w:val="-2"/>
                <w:sz w:val="20"/>
              </w:rPr>
              <w:t>and</w:t>
            </w:r>
            <w:r>
              <w:rPr>
                <w:spacing w:val="-12"/>
                <w:sz w:val="20"/>
              </w:rPr>
              <w:t> </w:t>
            </w:r>
            <w:r>
              <w:rPr>
                <w:spacing w:val="-2"/>
                <w:sz w:val="20"/>
              </w:rPr>
              <w:t>an</w:t>
            </w:r>
            <w:r>
              <w:rPr>
                <w:spacing w:val="-12"/>
                <w:sz w:val="20"/>
              </w:rPr>
              <w:t> </w:t>
            </w:r>
            <w:r>
              <w:rPr>
                <w:spacing w:val="-2"/>
                <w:sz w:val="20"/>
              </w:rPr>
              <w:t>established</w:t>
            </w:r>
            <w:r>
              <w:rPr>
                <w:spacing w:val="-12"/>
                <w:sz w:val="20"/>
              </w:rPr>
              <w:t> </w:t>
            </w:r>
            <w:r>
              <w:rPr>
                <w:spacing w:val="-2"/>
                <w:sz w:val="20"/>
              </w:rPr>
              <w:t>portfolio</w:t>
            </w:r>
            <w:r>
              <w:rPr>
                <w:spacing w:val="-11"/>
                <w:sz w:val="20"/>
              </w:rPr>
              <w:t> </w:t>
            </w:r>
            <w:r>
              <w:rPr>
                <w:spacing w:val="-2"/>
                <w:sz w:val="20"/>
              </w:rPr>
              <w:t>of</w:t>
            </w:r>
            <w:r>
              <w:rPr>
                <w:spacing w:val="-12"/>
                <w:sz w:val="20"/>
              </w:rPr>
              <w:t> </w:t>
            </w:r>
            <w:r>
              <w:rPr>
                <w:spacing w:val="-2"/>
                <w:sz w:val="20"/>
              </w:rPr>
              <w:t>regional</w:t>
            </w:r>
            <w:r>
              <w:rPr>
                <w:spacing w:val="-10"/>
                <w:sz w:val="20"/>
              </w:rPr>
              <w:t> </w:t>
            </w:r>
            <w:r>
              <w:rPr>
                <w:spacing w:val="-2"/>
                <w:sz w:val="20"/>
              </w:rPr>
              <w:t>priorities</w:t>
            </w:r>
            <w:r>
              <w:rPr>
                <w:spacing w:val="-10"/>
                <w:sz w:val="20"/>
              </w:rPr>
              <w:t> </w:t>
            </w:r>
            <w:r>
              <w:rPr>
                <w:spacing w:val="-2"/>
                <w:sz w:val="20"/>
              </w:rPr>
              <w:t>and</w:t>
            </w:r>
            <w:r>
              <w:rPr>
                <w:spacing w:val="-12"/>
                <w:sz w:val="20"/>
              </w:rPr>
              <w:t> </w:t>
            </w:r>
            <w:r>
              <w:rPr>
                <w:spacing w:val="-2"/>
                <w:sz w:val="20"/>
              </w:rPr>
              <w:t>cannot</w:t>
            </w:r>
            <w:r>
              <w:rPr>
                <w:spacing w:val="-11"/>
                <w:sz w:val="20"/>
              </w:rPr>
              <w:t> </w:t>
            </w:r>
            <w:r>
              <w:rPr>
                <w:spacing w:val="-2"/>
                <w:sz w:val="20"/>
              </w:rPr>
              <w:t>provide</w:t>
            </w:r>
            <w:r>
              <w:rPr>
                <w:spacing w:val="-7"/>
                <w:sz w:val="20"/>
              </w:rPr>
              <w:t> </w:t>
            </w:r>
            <w:r>
              <w:rPr>
                <w:spacing w:val="-2"/>
                <w:sz w:val="20"/>
              </w:rPr>
              <w:t>the</w:t>
            </w:r>
            <w:r>
              <w:rPr>
                <w:spacing w:val="-12"/>
                <w:sz w:val="20"/>
              </w:rPr>
              <w:t> </w:t>
            </w:r>
            <w:r>
              <w:rPr>
                <w:spacing w:val="-2"/>
                <w:sz w:val="20"/>
              </w:rPr>
              <w:t>sustained</w:t>
            </w:r>
            <w:r>
              <w:rPr>
                <w:spacing w:val="-12"/>
                <w:sz w:val="20"/>
              </w:rPr>
              <w:t> </w:t>
            </w:r>
            <w:r>
              <w:rPr>
                <w:spacing w:val="-2"/>
                <w:sz w:val="20"/>
              </w:rPr>
              <w:t>programme </w:t>
            </w:r>
            <w:r>
              <w:rPr>
                <w:sz w:val="20"/>
              </w:rPr>
              <w:t>management</w:t>
            </w:r>
            <w:r>
              <w:rPr>
                <w:spacing w:val="-9"/>
                <w:sz w:val="20"/>
              </w:rPr>
              <w:t> </w:t>
            </w:r>
            <w:r>
              <w:rPr>
                <w:sz w:val="20"/>
              </w:rPr>
              <w:t>resource</w:t>
            </w:r>
            <w:r>
              <w:rPr>
                <w:spacing w:val="-13"/>
                <w:sz w:val="20"/>
              </w:rPr>
              <w:t> </w:t>
            </w:r>
            <w:r>
              <w:rPr>
                <w:sz w:val="20"/>
              </w:rPr>
              <w:t>required</w:t>
            </w:r>
            <w:r>
              <w:rPr>
                <w:spacing w:val="-13"/>
                <w:sz w:val="20"/>
              </w:rPr>
              <w:t> </w:t>
            </w:r>
            <w:r>
              <w:rPr>
                <w:sz w:val="20"/>
              </w:rPr>
              <w:t>for</w:t>
            </w:r>
            <w:r>
              <w:rPr>
                <w:spacing w:val="-13"/>
                <w:sz w:val="20"/>
              </w:rPr>
              <w:t> </w:t>
            </w:r>
            <w:r>
              <w:rPr>
                <w:sz w:val="20"/>
              </w:rPr>
              <w:t>full</w:t>
            </w:r>
            <w:r>
              <w:rPr>
                <w:spacing w:val="-12"/>
                <w:sz w:val="20"/>
              </w:rPr>
              <w:t> </w:t>
            </w:r>
            <w:r>
              <w:rPr>
                <w:sz w:val="20"/>
              </w:rPr>
              <w:t>programme</w:t>
            </w:r>
            <w:r>
              <w:rPr>
                <w:spacing w:val="-13"/>
                <w:sz w:val="20"/>
              </w:rPr>
              <w:t> </w:t>
            </w:r>
            <w:r>
              <w:rPr>
                <w:sz w:val="20"/>
              </w:rPr>
              <w:t>development</w:t>
            </w:r>
            <w:r>
              <w:rPr>
                <w:spacing w:val="-12"/>
                <w:sz w:val="20"/>
              </w:rPr>
              <w:t> </w:t>
            </w:r>
            <w:r>
              <w:rPr>
                <w:sz w:val="20"/>
              </w:rPr>
              <w:t>and</w:t>
            </w:r>
            <w:r>
              <w:rPr>
                <w:spacing w:val="-13"/>
                <w:sz w:val="20"/>
              </w:rPr>
              <w:t> </w:t>
            </w:r>
            <w:r>
              <w:rPr>
                <w:sz w:val="20"/>
              </w:rPr>
              <w:t>delivery.</w:t>
            </w:r>
          </w:p>
          <w:p>
            <w:pPr>
              <w:pStyle w:val="TableParagraph"/>
              <w:spacing w:line="252" w:lineRule="auto" w:before="101"/>
              <w:ind w:left="120"/>
              <w:rPr>
                <w:sz w:val="20"/>
              </w:rPr>
            </w:pPr>
            <w:r>
              <w:rPr>
                <w:spacing w:val="-2"/>
                <w:sz w:val="20"/>
              </w:rPr>
              <w:t>Dedicated</w:t>
            </w:r>
            <w:r>
              <w:rPr>
                <w:spacing w:val="-12"/>
                <w:sz w:val="20"/>
              </w:rPr>
              <w:t> </w:t>
            </w:r>
            <w:r>
              <w:rPr>
                <w:spacing w:val="-2"/>
                <w:sz w:val="20"/>
              </w:rPr>
              <w:t>leadership</w:t>
            </w:r>
            <w:r>
              <w:rPr>
                <w:spacing w:val="-12"/>
                <w:sz w:val="20"/>
              </w:rPr>
              <w:t> </w:t>
            </w:r>
            <w:r>
              <w:rPr>
                <w:spacing w:val="-2"/>
                <w:sz w:val="20"/>
              </w:rPr>
              <w:t>and</w:t>
            </w:r>
            <w:r>
              <w:rPr>
                <w:spacing w:val="-12"/>
                <w:sz w:val="20"/>
              </w:rPr>
              <w:t> </w:t>
            </w:r>
            <w:r>
              <w:rPr>
                <w:spacing w:val="-2"/>
                <w:sz w:val="20"/>
              </w:rPr>
              <w:t>ongoing</w:t>
            </w:r>
            <w:r>
              <w:rPr>
                <w:spacing w:val="-12"/>
                <w:sz w:val="20"/>
              </w:rPr>
              <w:t> </w:t>
            </w:r>
            <w:r>
              <w:rPr>
                <w:spacing w:val="-2"/>
                <w:sz w:val="20"/>
              </w:rPr>
              <w:t>programme</w:t>
            </w:r>
            <w:r>
              <w:rPr>
                <w:spacing w:val="-12"/>
                <w:sz w:val="20"/>
              </w:rPr>
              <w:t> </w:t>
            </w:r>
            <w:r>
              <w:rPr>
                <w:spacing w:val="-2"/>
                <w:sz w:val="20"/>
              </w:rPr>
              <w:t>management</w:t>
            </w:r>
            <w:r>
              <w:rPr>
                <w:spacing w:val="-12"/>
                <w:sz w:val="20"/>
              </w:rPr>
              <w:t> </w:t>
            </w:r>
            <w:r>
              <w:rPr>
                <w:spacing w:val="-2"/>
                <w:sz w:val="20"/>
              </w:rPr>
              <w:t>will</w:t>
            </w:r>
            <w:r>
              <w:rPr>
                <w:spacing w:val="-12"/>
                <w:sz w:val="20"/>
              </w:rPr>
              <w:t> </w:t>
            </w:r>
            <w:r>
              <w:rPr>
                <w:spacing w:val="-2"/>
                <w:sz w:val="20"/>
              </w:rPr>
              <w:t>therefore</w:t>
            </w:r>
            <w:r>
              <w:rPr>
                <w:spacing w:val="-12"/>
                <w:sz w:val="20"/>
              </w:rPr>
              <w:t> </w:t>
            </w:r>
            <w:r>
              <w:rPr>
                <w:spacing w:val="-2"/>
                <w:sz w:val="20"/>
              </w:rPr>
              <w:t>need</w:t>
            </w:r>
            <w:r>
              <w:rPr>
                <w:spacing w:val="-12"/>
                <w:sz w:val="20"/>
              </w:rPr>
              <w:t> </w:t>
            </w:r>
            <w:r>
              <w:rPr>
                <w:spacing w:val="-2"/>
                <w:sz w:val="20"/>
              </w:rPr>
              <w:t>to</w:t>
            </w:r>
            <w:r>
              <w:rPr>
                <w:spacing w:val="-11"/>
                <w:sz w:val="20"/>
              </w:rPr>
              <w:t> </w:t>
            </w:r>
            <w:r>
              <w:rPr>
                <w:spacing w:val="-2"/>
                <w:sz w:val="20"/>
              </w:rPr>
              <w:t>be</w:t>
            </w:r>
            <w:r>
              <w:rPr>
                <w:spacing w:val="-12"/>
                <w:sz w:val="20"/>
              </w:rPr>
              <w:t> </w:t>
            </w:r>
            <w:r>
              <w:rPr>
                <w:spacing w:val="-2"/>
                <w:sz w:val="20"/>
              </w:rPr>
              <w:t>secured,</w:t>
            </w:r>
            <w:r>
              <w:rPr>
                <w:spacing w:val="-12"/>
                <w:sz w:val="20"/>
              </w:rPr>
              <w:t> </w:t>
            </w:r>
            <w:r>
              <w:rPr>
                <w:spacing w:val="-2"/>
                <w:sz w:val="20"/>
              </w:rPr>
              <w:t>alongside</w:t>
            </w:r>
            <w:r>
              <w:rPr>
                <w:spacing w:val="-12"/>
                <w:sz w:val="20"/>
              </w:rPr>
              <w:t> </w:t>
            </w:r>
            <w:r>
              <w:rPr>
                <w:spacing w:val="-2"/>
                <w:sz w:val="20"/>
              </w:rPr>
              <w:t>relevant clinical, operational,</w:t>
            </w:r>
            <w:r>
              <w:rPr>
                <w:spacing w:val="-4"/>
                <w:sz w:val="20"/>
              </w:rPr>
              <w:t> </w:t>
            </w:r>
            <w:r>
              <w:rPr>
                <w:spacing w:val="-2"/>
                <w:sz w:val="20"/>
              </w:rPr>
              <w:t>finance,</w:t>
            </w:r>
            <w:r>
              <w:rPr>
                <w:spacing w:val="-3"/>
                <w:sz w:val="20"/>
              </w:rPr>
              <w:t> </w:t>
            </w:r>
            <w:r>
              <w:rPr>
                <w:spacing w:val="-2"/>
                <w:sz w:val="20"/>
              </w:rPr>
              <w:t>contracting,</w:t>
            </w:r>
            <w:r>
              <w:rPr>
                <w:spacing w:val="-4"/>
                <w:sz w:val="20"/>
              </w:rPr>
              <w:t> </w:t>
            </w:r>
            <w:r>
              <w:rPr>
                <w:spacing w:val="-2"/>
                <w:sz w:val="20"/>
              </w:rPr>
              <w:t>data,</w:t>
            </w:r>
            <w:r>
              <w:rPr>
                <w:spacing w:val="-3"/>
                <w:sz w:val="20"/>
              </w:rPr>
              <w:t> </w:t>
            </w:r>
            <w:r>
              <w:rPr>
                <w:spacing w:val="-2"/>
                <w:sz w:val="20"/>
              </w:rPr>
              <w:t>digital, workforce and</w:t>
            </w:r>
            <w:r>
              <w:rPr>
                <w:spacing w:val="-4"/>
                <w:sz w:val="20"/>
              </w:rPr>
              <w:t> </w:t>
            </w:r>
            <w:r>
              <w:rPr>
                <w:spacing w:val="-2"/>
                <w:sz w:val="20"/>
              </w:rPr>
              <w:t>engagement</w:t>
            </w:r>
            <w:r>
              <w:rPr>
                <w:spacing w:val="-3"/>
                <w:sz w:val="20"/>
              </w:rPr>
              <w:t> </w:t>
            </w:r>
            <w:r>
              <w:rPr>
                <w:spacing w:val="-2"/>
                <w:sz w:val="20"/>
              </w:rPr>
              <w:t>input.</w:t>
            </w:r>
            <w:r>
              <w:rPr>
                <w:spacing w:val="-9"/>
                <w:sz w:val="20"/>
              </w:rPr>
              <w:t> </w:t>
            </w:r>
            <w:r>
              <w:rPr>
                <w:spacing w:val="-2"/>
                <w:sz w:val="20"/>
              </w:rPr>
              <w:t>Previous requests</w:t>
            </w:r>
            <w:r>
              <w:rPr>
                <w:spacing w:val="-3"/>
                <w:sz w:val="20"/>
              </w:rPr>
              <w:t> </w:t>
            </w:r>
            <w:r>
              <w:rPr>
                <w:spacing w:val="-2"/>
                <w:sz w:val="20"/>
              </w:rPr>
              <w:t>for programme</w:t>
            </w:r>
            <w:r>
              <w:rPr>
                <w:spacing w:val="-12"/>
                <w:sz w:val="20"/>
              </w:rPr>
              <w:t> </w:t>
            </w:r>
            <w:r>
              <w:rPr>
                <w:spacing w:val="-2"/>
                <w:sz w:val="20"/>
              </w:rPr>
              <w:t>support</w:t>
            </w:r>
            <w:r>
              <w:rPr>
                <w:spacing w:val="-12"/>
                <w:sz w:val="20"/>
              </w:rPr>
              <w:t> </w:t>
            </w:r>
            <w:r>
              <w:rPr>
                <w:spacing w:val="-2"/>
                <w:sz w:val="20"/>
              </w:rPr>
              <w:t>through</w:t>
            </w:r>
            <w:r>
              <w:rPr>
                <w:spacing w:val="-10"/>
                <w:sz w:val="20"/>
              </w:rPr>
              <w:t> </w:t>
            </w:r>
            <w:r>
              <w:rPr>
                <w:spacing w:val="-2"/>
                <w:sz w:val="20"/>
              </w:rPr>
              <w:t>the</w:t>
            </w:r>
            <w:r>
              <w:rPr>
                <w:spacing w:val="-11"/>
                <w:sz w:val="20"/>
              </w:rPr>
              <w:t> </w:t>
            </w:r>
            <w:r>
              <w:rPr>
                <w:spacing w:val="-2"/>
                <w:sz w:val="20"/>
              </w:rPr>
              <w:t>national</w:t>
            </w:r>
            <w:r>
              <w:rPr>
                <w:spacing w:val="-9"/>
                <w:sz w:val="20"/>
              </w:rPr>
              <w:t> </w:t>
            </w:r>
            <w:r>
              <w:rPr>
                <w:spacing w:val="-2"/>
                <w:sz w:val="20"/>
              </w:rPr>
              <w:t>cancer</w:t>
            </w:r>
            <w:r>
              <w:rPr>
                <w:spacing w:val="-11"/>
                <w:sz w:val="20"/>
              </w:rPr>
              <w:t> </w:t>
            </w:r>
            <w:r>
              <w:rPr>
                <w:spacing w:val="-2"/>
                <w:sz w:val="20"/>
              </w:rPr>
              <w:t>programme</w:t>
            </w:r>
            <w:r>
              <w:rPr>
                <w:spacing w:val="-12"/>
                <w:sz w:val="20"/>
              </w:rPr>
              <w:t> </w:t>
            </w:r>
            <w:r>
              <w:rPr>
                <w:spacing w:val="-2"/>
                <w:sz w:val="20"/>
              </w:rPr>
              <w:t>within</w:t>
            </w:r>
            <w:r>
              <w:rPr>
                <w:spacing w:val="-10"/>
                <w:sz w:val="20"/>
              </w:rPr>
              <w:t> </w:t>
            </w:r>
            <w:r>
              <w:rPr>
                <w:spacing w:val="-2"/>
                <w:sz w:val="20"/>
              </w:rPr>
              <w:t>NHS</w:t>
            </w:r>
            <w:r>
              <w:rPr>
                <w:spacing w:val="-9"/>
                <w:sz w:val="20"/>
              </w:rPr>
              <w:t> </w:t>
            </w:r>
            <w:r>
              <w:rPr>
                <w:spacing w:val="-2"/>
                <w:sz w:val="20"/>
              </w:rPr>
              <w:t>Performance</w:t>
            </w:r>
            <w:r>
              <w:rPr>
                <w:spacing w:val="-11"/>
                <w:sz w:val="20"/>
              </w:rPr>
              <w:t> </w:t>
            </w:r>
            <w:r>
              <w:rPr>
                <w:spacing w:val="-2"/>
                <w:sz w:val="20"/>
              </w:rPr>
              <w:t>and</w:t>
            </w:r>
            <w:r>
              <w:rPr>
                <w:spacing w:val="-11"/>
                <w:sz w:val="20"/>
              </w:rPr>
              <w:t> </w:t>
            </w:r>
            <w:r>
              <w:rPr>
                <w:spacing w:val="-2"/>
                <w:sz w:val="20"/>
              </w:rPr>
              <w:t>Improvement</w:t>
            </w:r>
            <w:r>
              <w:rPr>
                <w:spacing w:val="-10"/>
                <w:sz w:val="20"/>
              </w:rPr>
              <w:t> </w:t>
            </w:r>
            <w:r>
              <w:rPr>
                <w:spacing w:val="-2"/>
                <w:sz w:val="20"/>
              </w:rPr>
              <w:t>have</w:t>
            </w:r>
            <w:r>
              <w:rPr>
                <w:spacing w:val="-11"/>
                <w:sz w:val="20"/>
              </w:rPr>
              <w:t> </w:t>
            </w:r>
            <w:r>
              <w:rPr>
                <w:spacing w:val="-2"/>
                <w:sz w:val="20"/>
              </w:rPr>
              <w:t>not</w:t>
            </w:r>
          </w:p>
        </w:tc>
      </w:tr>
    </w:tbl>
    <w:p>
      <w:pPr>
        <w:pStyle w:val="BodyText"/>
        <w:rPr>
          <w:sz w:val="16"/>
        </w:rPr>
      </w:pPr>
    </w:p>
    <w:p>
      <w:pPr>
        <w:pStyle w:val="BodyText"/>
        <w:spacing w:before="22"/>
        <w:rPr>
          <w:sz w:val="16"/>
        </w:rPr>
      </w:pPr>
    </w:p>
    <w:p>
      <w:pPr>
        <w:spacing w:before="0"/>
        <w:ind w:left="657" w:right="228" w:firstLine="0"/>
        <w:jc w:val="center"/>
        <w:rPr>
          <w:sz w:val="16"/>
        </w:rPr>
      </w:pPr>
      <w:r>
        <w:rPr>
          <w:spacing w:val="-2"/>
          <w:sz w:val="16"/>
        </w:rPr>
        <w:t>Page</w:t>
      </w:r>
      <w:r>
        <w:rPr>
          <w:spacing w:val="-7"/>
          <w:sz w:val="16"/>
        </w:rPr>
        <w:t> </w:t>
      </w:r>
      <w:r>
        <w:rPr>
          <w:spacing w:val="-2"/>
          <w:sz w:val="16"/>
        </w:rPr>
        <w:t>1</w:t>
      </w:r>
      <w:r>
        <w:rPr>
          <w:spacing w:val="-9"/>
          <w:sz w:val="16"/>
        </w:rPr>
        <w:t> </w:t>
      </w:r>
      <w:r>
        <w:rPr>
          <w:spacing w:val="-2"/>
          <w:sz w:val="16"/>
        </w:rPr>
        <w:t>of</w:t>
      </w:r>
      <w:r>
        <w:rPr>
          <w:spacing w:val="-9"/>
          <w:sz w:val="16"/>
        </w:rPr>
        <w:t> </w:t>
      </w:r>
      <w:r>
        <w:rPr>
          <w:spacing w:val="-10"/>
          <w:sz w:val="16"/>
        </w:rPr>
        <w:t>4</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286" name="Image 286"/>
            <wp:cNvGraphicFramePr>
              <a:graphicFrameLocks/>
            </wp:cNvGraphicFramePr>
            <a:graphic>
              <a:graphicData uri="http://schemas.openxmlformats.org/drawingml/2006/picture">
                <pic:pic>
                  <pic:nvPicPr>
                    <pic:cNvPr id="286" name="Image 286"/>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287" name="Image 287"/>
            <wp:cNvGraphicFramePr>
              <a:graphicFrameLocks/>
            </wp:cNvGraphicFramePr>
            <a:graphic>
              <a:graphicData uri="http://schemas.openxmlformats.org/drawingml/2006/picture">
                <pic:pic>
                  <pic:nvPicPr>
                    <pic:cNvPr id="287" name="Image 287"/>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0" w:hRule="atLeast"/>
        </w:trPr>
        <w:tc>
          <w:tcPr>
            <w:tcW w:w="10069" w:type="dxa"/>
            <w:shd w:val="clear" w:color="auto" w:fill="394871"/>
          </w:tcPr>
          <w:p>
            <w:pPr>
              <w:pStyle w:val="TableParagraph"/>
              <w:spacing w:line="276" w:lineRule="exact"/>
              <w:ind w:left="110" w:right="7140"/>
              <w:rPr>
                <w:b/>
                <w:sz w:val="24"/>
              </w:rPr>
            </w:pPr>
            <w:r>
              <w:rPr>
                <w:b/>
                <w:color w:val="FFFFFF"/>
                <w:spacing w:val="-4"/>
                <w:sz w:val="24"/>
              </w:rPr>
              <w:t>ADRODDIAD</w:t>
            </w:r>
            <w:r>
              <w:rPr>
                <w:b/>
                <w:color w:val="FFFFFF"/>
                <w:spacing w:val="-13"/>
                <w:sz w:val="24"/>
              </w:rPr>
              <w:t> </w:t>
            </w:r>
            <w:r>
              <w:rPr>
                <w:b/>
                <w:color w:val="FFFFFF"/>
                <w:spacing w:val="-4"/>
                <w:sz w:val="24"/>
              </w:rPr>
              <w:t>SCAA </w:t>
            </w:r>
            <w:r>
              <w:rPr>
                <w:b/>
                <w:color w:val="FFFFFF"/>
                <w:sz w:val="24"/>
              </w:rPr>
              <w:t>SBAR REPORT</w:t>
            </w:r>
          </w:p>
        </w:tc>
      </w:tr>
      <w:tr>
        <w:trPr>
          <w:trHeight w:val="768" w:hRule="atLeast"/>
        </w:trPr>
        <w:tc>
          <w:tcPr>
            <w:tcW w:w="10069" w:type="dxa"/>
          </w:tcPr>
          <w:p>
            <w:pPr>
              <w:pStyle w:val="TableParagraph"/>
              <w:spacing w:line="256" w:lineRule="auto" w:before="90"/>
              <w:ind w:left="120"/>
              <w:rPr>
                <w:sz w:val="20"/>
              </w:rPr>
            </w:pPr>
            <w:r>
              <w:rPr>
                <w:spacing w:val="-2"/>
                <w:sz w:val="20"/>
              </w:rPr>
              <w:t>yet</w:t>
            </w:r>
            <w:r>
              <w:rPr>
                <w:spacing w:val="-12"/>
                <w:sz w:val="20"/>
              </w:rPr>
              <w:t> </w:t>
            </w:r>
            <w:r>
              <w:rPr>
                <w:spacing w:val="-2"/>
                <w:sz w:val="20"/>
              </w:rPr>
              <w:t>secured</w:t>
            </w:r>
            <w:r>
              <w:rPr>
                <w:spacing w:val="-12"/>
                <w:sz w:val="20"/>
              </w:rPr>
              <w:t> </w:t>
            </w:r>
            <w:r>
              <w:rPr>
                <w:spacing w:val="-2"/>
                <w:sz w:val="20"/>
              </w:rPr>
              <w:t>additional</w:t>
            </w:r>
            <w:r>
              <w:rPr>
                <w:spacing w:val="-12"/>
                <w:sz w:val="20"/>
              </w:rPr>
              <w:t> </w:t>
            </w:r>
            <w:r>
              <w:rPr>
                <w:spacing w:val="-2"/>
                <w:sz w:val="20"/>
              </w:rPr>
              <w:t>capacity.</w:t>
            </w:r>
            <w:r>
              <w:rPr>
                <w:spacing w:val="-12"/>
                <w:sz w:val="20"/>
              </w:rPr>
              <w:t> </w:t>
            </w:r>
            <w:r>
              <w:rPr>
                <w:spacing w:val="-2"/>
                <w:sz w:val="20"/>
              </w:rPr>
              <w:t>The</w:t>
            </w:r>
            <w:r>
              <w:rPr>
                <w:spacing w:val="-12"/>
                <w:sz w:val="20"/>
              </w:rPr>
              <w:t> </w:t>
            </w:r>
            <w:r>
              <w:rPr>
                <w:spacing w:val="-2"/>
                <w:sz w:val="20"/>
              </w:rPr>
              <w:t>proposed</w:t>
            </w:r>
            <w:r>
              <w:rPr>
                <w:spacing w:val="-12"/>
                <w:sz w:val="20"/>
              </w:rPr>
              <w:t> </w:t>
            </w:r>
            <w:r>
              <w:rPr>
                <w:spacing w:val="-2"/>
                <w:sz w:val="20"/>
              </w:rPr>
              <w:t>scope,</w:t>
            </w:r>
            <w:r>
              <w:rPr>
                <w:spacing w:val="-12"/>
                <w:sz w:val="20"/>
              </w:rPr>
              <w:t> </w:t>
            </w:r>
            <w:r>
              <w:rPr>
                <w:spacing w:val="-2"/>
                <w:sz w:val="20"/>
              </w:rPr>
              <w:t>pace</w:t>
            </w:r>
            <w:r>
              <w:rPr>
                <w:spacing w:val="-12"/>
                <w:sz w:val="20"/>
              </w:rPr>
              <w:t> </w:t>
            </w:r>
            <w:r>
              <w:rPr>
                <w:spacing w:val="-2"/>
                <w:sz w:val="20"/>
              </w:rPr>
              <w:t>and</w:t>
            </w:r>
            <w:r>
              <w:rPr>
                <w:spacing w:val="-12"/>
                <w:sz w:val="20"/>
              </w:rPr>
              <w:t> </w:t>
            </w:r>
            <w:r>
              <w:rPr>
                <w:spacing w:val="-2"/>
                <w:sz w:val="20"/>
              </w:rPr>
              <w:t>timing</w:t>
            </w:r>
            <w:r>
              <w:rPr>
                <w:spacing w:val="-12"/>
                <w:sz w:val="20"/>
              </w:rPr>
              <w:t> </w:t>
            </w:r>
            <w:r>
              <w:rPr>
                <w:spacing w:val="-2"/>
                <w:sz w:val="20"/>
              </w:rPr>
              <w:t>will</w:t>
            </w:r>
            <w:r>
              <w:rPr>
                <w:spacing w:val="-12"/>
                <w:sz w:val="20"/>
              </w:rPr>
              <w:t> </w:t>
            </w:r>
            <w:r>
              <w:rPr>
                <w:spacing w:val="-2"/>
                <w:sz w:val="20"/>
              </w:rPr>
              <w:t>remain</w:t>
            </w:r>
            <w:r>
              <w:rPr>
                <w:spacing w:val="-11"/>
                <w:sz w:val="20"/>
              </w:rPr>
              <w:t> </w:t>
            </w:r>
            <w:r>
              <w:rPr>
                <w:spacing w:val="-2"/>
                <w:sz w:val="20"/>
              </w:rPr>
              <w:t>proportionate</w:t>
            </w:r>
            <w:r>
              <w:rPr>
                <w:spacing w:val="-12"/>
                <w:sz w:val="20"/>
              </w:rPr>
              <w:t> </w:t>
            </w:r>
            <w:r>
              <w:rPr>
                <w:spacing w:val="-2"/>
                <w:sz w:val="20"/>
              </w:rPr>
              <w:t>to</w:t>
            </w:r>
            <w:r>
              <w:rPr>
                <w:spacing w:val="-12"/>
                <w:sz w:val="20"/>
              </w:rPr>
              <w:t> </w:t>
            </w:r>
            <w:r>
              <w:rPr>
                <w:spacing w:val="-2"/>
                <w:sz w:val="20"/>
              </w:rPr>
              <w:t>the</w:t>
            </w:r>
            <w:r>
              <w:rPr>
                <w:spacing w:val="-12"/>
                <w:sz w:val="20"/>
              </w:rPr>
              <w:t> </w:t>
            </w:r>
            <w:r>
              <w:rPr>
                <w:spacing w:val="-2"/>
                <w:sz w:val="20"/>
              </w:rPr>
              <w:t>resource available.</w:t>
            </w:r>
          </w:p>
        </w:tc>
      </w:tr>
      <w:tr>
        <w:trPr>
          <w:trHeight w:val="9347" w:hRule="atLeast"/>
        </w:trPr>
        <w:tc>
          <w:tcPr>
            <w:tcW w:w="10069" w:type="dxa"/>
          </w:tcPr>
          <w:p>
            <w:pPr>
              <w:pStyle w:val="TableParagraph"/>
              <w:spacing w:before="93"/>
              <w:ind w:left="120"/>
              <w:rPr>
                <w:b/>
                <w:sz w:val="20"/>
              </w:rPr>
            </w:pPr>
            <w:r>
              <w:rPr>
                <w:b/>
                <w:color w:val="394871"/>
                <w:spacing w:val="-2"/>
                <w:sz w:val="20"/>
                <w:u w:val="single" w:color="394871"/>
              </w:rPr>
              <w:t>Cefndir</w:t>
            </w:r>
            <w:r>
              <w:rPr>
                <w:b/>
                <w:color w:val="394871"/>
                <w:spacing w:val="-9"/>
                <w:sz w:val="20"/>
                <w:u w:val="single" w:color="394871"/>
              </w:rPr>
              <w:t> </w:t>
            </w:r>
            <w:r>
              <w:rPr>
                <w:b/>
                <w:color w:val="394871"/>
                <w:spacing w:val="-2"/>
                <w:sz w:val="20"/>
                <w:u w:val="single" w:color="394871"/>
              </w:rPr>
              <w:t>/</w:t>
            </w:r>
            <w:r>
              <w:rPr>
                <w:b/>
                <w:color w:val="394871"/>
                <w:spacing w:val="-11"/>
                <w:sz w:val="20"/>
                <w:u w:val="single" w:color="394871"/>
              </w:rPr>
              <w:t> </w:t>
            </w:r>
            <w:r>
              <w:rPr>
                <w:b/>
                <w:color w:val="394871"/>
                <w:spacing w:val="-2"/>
                <w:sz w:val="20"/>
                <w:u w:val="single" w:color="394871"/>
              </w:rPr>
              <w:t>Background</w:t>
            </w:r>
          </w:p>
          <w:p>
            <w:pPr>
              <w:pStyle w:val="TableParagraph"/>
              <w:spacing w:line="254" w:lineRule="auto" w:before="150"/>
              <w:ind w:left="120" w:right="212"/>
              <w:rPr>
                <w:sz w:val="20"/>
              </w:rPr>
            </w:pPr>
            <w:r>
              <w:rPr>
                <w:spacing w:val="-2"/>
                <w:sz w:val="20"/>
              </w:rPr>
              <w:t>Cancer</w:t>
            </w:r>
            <w:r>
              <w:rPr>
                <w:spacing w:val="-3"/>
                <w:sz w:val="20"/>
              </w:rPr>
              <w:t> </w:t>
            </w:r>
            <w:r>
              <w:rPr>
                <w:spacing w:val="-2"/>
                <w:sz w:val="20"/>
              </w:rPr>
              <w:t>services are facing increasing demand, workforce pressures, diagnostic and treatment capacity challenges, and</w:t>
            </w:r>
            <w:r>
              <w:rPr>
                <w:spacing w:val="-3"/>
                <w:sz w:val="20"/>
              </w:rPr>
              <w:t> </w:t>
            </w:r>
            <w:r>
              <w:rPr>
                <w:spacing w:val="-2"/>
                <w:sz w:val="20"/>
              </w:rPr>
              <w:t>continued</w:t>
            </w:r>
            <w:r>
              <w:rPr>
                <w:spacing w:val="-3"/>
                <w:sz w:val="20"/>
              </w:rPr>
              <w:t> </w:t>
            </w:r>
            <w:r>
              <w:rPr>
                <w:spacing w:val="-2"/>
                <w:sz w:val="20"/>
              </w:rPr>
              <w:t>advances in</w:t>
            </w:r>
            <w:r>
              <w:rPr>
                <w:spacing w:val="-3"/>
                <w:sz w:val="20"/>
              </w:rPr>
              <w:t> </w:t>
            </w:r>
            <w:r>
              <w:rPr>
                <w:spacing w:val="-2"/>
                <w:sz w:val="20"/>
              </w:rPr>
              <w:t>areas such as precision</w:t>
            </w:r>
            <w:r>
              <w:rPr>
                <w:spacing w:val="-3"/>
                <w:sz w:val="20"/>
              </w:rPr>
              <w:t> </w:t>
            </w:r>
            <w:r>
              <w:rPr>
                <w:spacing w:val="-2"/>
                <w:sz w:val="20"/>
              </w:rPr>
              <w:t>medicine,</w:t>
            </w:r>
            <w:r>
              <w:rPr>
                <w:spacing w:val="-3"/>
                <w:sz w:val="20"/>
              </w:rPr>
              <w:t> </w:t>
            </w:r>
            <w:r>
              <w:rPr>
                <w:spacing w:val="-2"/>
                <w:sz w:val="20"/>
              </w:rPr>
              <w:t>genomics, digital technologies, </w:t>
            </w:r>
            <w:r>
              <w:rPr>
                <w:spacing w:val="-4"/>
                <w:sz w:val="20"/>
              </w:rPr>
              <w:t>radiotherapy and Systemic Anti-Cancer Treatment (SACT). These developments create opportunities to improve </w:t>
            </w:r>
            <w:r>
              <w:rPr>
                <w:sz w:val="20"/>
              </w:rPr>
              <w:t>outcomes</w:t>
            </w:r>
            <w:r>
              <w:rPr>
                <w:spacing w:val="-14"/>
                <w:sz w:val="20"/>
              </w:rPr>
              <w:t> </w:t>
            </w:r>
            <w:r>
              <w:rPr>
                <w:sz w:val="20"/>
              </w:rPr>
              <w:t>and</w:t>
            </w:r>
            <w:r>
              <w:rPr>
                <w:spacing w:val="-14"/>
                <w:sz w:val="20"/>
              </w:rPr>
              <w:t> </w:t>
            </w:r>
            <w:r>
              <w:rPr>
                <w:sz w:val="20"/>
              </w:rPr>
              <w:t>patient</w:t>
            </w:r>
            <w:r>
              <w:rPr>
                <w:spacing w:val="-14"/>
                <w:sz w:val="20"/>
              </w:rPr>
              <w:t> </w:t>
            </w:r>
            <w:r>
              <w:rPr>
                <w:sz w:val="20"/>
              </w:rPr>
              <w:t>experience</w:t>
            </w:r>
            <w:r>
              <w:rPr>
                <w:spacing w:val="-14"/>
                <w:sz w:val="20"/>
              </w:rPr>
              <w:t> </w:t>
            </w:r>
            <w:r>
              <w:rPr>
                <w:sz w:val="20"/>
              </w:rPr>
              <w:t>whilst</w:t>
            </w:r>
            <w:r>
              <w:rPr>
                <w:spacing w:val="-14"/>
                <w:sz w:val="20"/>
              </w:rPr>
              <w:t> </w:t>
            </w:r>
            <w:r>
              <w:rPr>
                <w:sz w:val="20"/>
              </w:rPr>
              <w:t>also</w:t>
            </w:r>
            <w:r>
              <w:rPr>
                <w:spacing w:val="-14"/>
                <w:sz w:val="20"/>
              </w:rPr>
              <w:t> </w:t>
            </w:r>
            <w:r>
              <w:rPr>
                <w:sz w:val="20"/>
              </w:rPr>
              <w:t>increasing</w:t>
            </w:r>
            <w:r>
              <w:rPr>
                <w:spacing w:val="-14"/>
                <w:sz w:val="20"/>
              </w:rPr>
              <w:t> </w:t>
            </w:r>
            <w:r>
              <w:rPr>
                <w:sz w:val="20"/>
              </w:rPr>
              <w:t>the</w:t>
            </w:r>
            <w:r>
              <w:rPr>
                <w:spacing w:val="-14"/>
                <w:sz w:val="20"/>
              </w:rPr>
              <w:t> </w:t>
            </w:r>
            <w:r>
              <w:rPr>
                <w:sz w:val="20"/>
              </w:rPr>
              <w:t>complexity</w:t>
            </w:r>
            <w:r>
              <w:rPr>
                <w:spacing w:val="-14"/>
                <w:sz w:val="20"/>
              </w:rPr>
              <w:t> </w:t>
            </w:r>
            <w:r>
              <w:rPr>
                <w:sz w:val="20"/>
              </w:rPr>
              <w:t>of</w:t>
            </w:r>
            <w:r>
              <w:rPr>
                <w:spacing w:val="-13"/>
                <w:sz w:val="20"/>
              </w:rPr>
              <w:t> </w:t>
            </w:r>
            <w:r>
              <w:rPr>
                <w:sz w:val="20"/>
              </w:rPr>
              <w:t>service</w:t>
            </w:r>
            <w:r>
              <w:rPr>
                <w:spacing w:val="-14"/>
                <w:sz w:val="20"/>
              </w:rPr>
              <w:t> </w:t>
            </w:r>
            <w:r>
              <w:rPr>
                <w:sz w:val="20"/>
              </w:rPr>
              <w:t>planning</w:t>
            </w:r>
            <w:r>
              <w:rPr>
                <w:spacing w:val="-14"/>
                <w:sz w:val="20"/>
              </w:rPr>
              <w:t> </w:t>
            </w:r>
            <w:r>
              <w:rPr>
                <w:sz w:val="20"/>
              </w:rPr>
              <w:t>and</w:t>
            </w:r>
            <w:r>
              <w:rPr>
                <w:spacing w:val="-14"/>
                <w:sz w:val="20"/>
              </w:rPr>
              <w:t> </w:t>
            </w:r>
            <w:r>
              <w:rPr>
                <w:sz w:val="20"/>
              </w:rPr>
              <w:t>delivery.</w:t>
            </w:r>
          </w:p>
          <w:p>
            <w:pPr>
              <w:pStyle w:val="TableParagraph"/>
              <w:spacing w:line="254" w:lineRule="auto" w:before="99"/>
              <w:ind w:left="120"/>
              <w:rPr>
                <w:sz w:val="20"/>
              </w:rPr>
            </w:pPr>
            <w:r>
              <w:rPr>
                <w:sz w:val="20"/>
              </w:rPr>
              <w:t>Cancer</w:t>
            </w:r>
            <w:r>
              <w:rPr>
                <w:spacing w:val="-14"/>
                <w:sz w:val="20"/>
              </w:rPr>
              <w:t> </w:t>
            </w:r>
            <w:r>
              <w:rPr>
                <w:sz w:val="20"/>
              </w:rPr>
              <w:t>services</w:t>
            </w:r>
            <w:r>
              <w:rPr>
                <w:spacing w:val="-14"/>
                <w:sz w:val="20"/>
              </w:rPr>
              <w:t> </w:t>
            </w:r>
            <w:r>
              <w:rPr>
                <w:sz w:val="20"/>
              </w:rPr>
              <w:t>across</w:t>
            </w:r>
            <w:r>
              <w:rPr>
                <w:spacing w:val="-14"/>
                <w:sz w:val="20"/>
              </w:rPr>
              <w:t> </w:t>
            </w:r>
            <w:r>
              <w:rPr>
                <w:sz w:val="20"/>
              </w:rPr>
              <w:t>South</w:t>
            </w:r>
            <w:r>
              <w:rPr>
                <w:spacing w:val="-14"/>
                <w:sz w:val="20"/>
              </w:rPr>
              <w:t> </w:t>
            </w:r>
            <w:r>
              <w:rPr>
                <w:sz w:val="20"/>
              </w:rPr>
              <w:t>West</w:t>
            </w:r>
            <w:r>
              <w:rPr>
                <w:spacing w:val="-14"/>
                <w:sz w:val="20"/>
              </w:rPr>
              <w:t> </w:t>
            </w:r>
            <w:r>
              <w:rPr>
                <w:sz w:val="20"/>
              </w:rPr>
              <w:t>Wales</w:t>
            </w:r>
            <w:r>
              <w:rPr>
                <w:spacing w:val="-14"/>
                <w:sz w:val="20"/>
              </w:rPr>
              <w:t> </w:t>
            </w:r>
            <w:r>
              <w:rPr>
                <w:sz w:val="20"/>
              </w:rPr>
              <w:t>already</w:t>
            </w:r>
            <w:r>
              <w:rPr>
                <w:spacing w:val="-14"/>
                <w:sz w:val="20"/>
              </w:rPr>
              <w:t> </w:t>
            </w:r>
            <w:r>
              <w:rPr>
                <w:sz w:val="20"/>
              </w:rPr>
              <w:t>operate</w:t>
            </w:r>
            <w:r>
              <w:rPr>
                <w:spacing w:val="-14"/>
                <w:sz w:val="20"/>
              </w:rPr>
              <w:t> </w:t>
            </w:r>
            <w:r>
              <w:rPr>
                <w:sz w:val="20"/>
              </w:rPr>
              <w:t>through</w:t>
            </w:r>
            <w:r>
              <w:rPr>
                <w:spacing w:val="-14"/>
                <w:sz w:val="20"/>
              </w:rPr>
              <w:t> </w:t>
            </w:r>
            <w:r>
              <w:rPr>
                <w:sz w:val="20"/>
              </w:rPr>
              <w:t>a</w:t>
            </w:r>
            <w:r>
              <w:rPr>
                <w:spacing w:val="-13"/>
                <w:sz w:val="20"/>
              </w:rPr>
              <w:t> </w:t>
            </w:r>
            <w:r>
              <w:rPr>
                <w:sz w:val="20"/>
              </w:rPr>
              <w:t>mixture</w:t>
            </w:r>
            <w:r>
              <w:rPr>
                <w:spacing w:val="-14"/>
                <w:sz w:val="20"/>
              </w:rPr>
              <w:t> </w:t>
            </w:r>
            <w:r>
              <w:rPr>
                <w:sz w:val="20"/>
              </w:rPr>
              <w:t>of</w:t>
            </w:r>
            <w:r>
              <w:rPr>
                <w:spacing w:val="-14"/>
                <w:sz w:val="20"/>
              </w:rPr>
              <w:t> </w:t>
            </w:r>
            <w:r>
              <w:rPr>
                <w:sz w:val="20"/>
              </w:rPr>
              <w:t>regional,</w:t>
            </w:r>
            <w:r>
              <w:rPr>
                <w:spacing w:val="-14"/>
                <w:sz w:val="20"/>
              </w:rPr>
              <w:t> </w:t>
            </w:r>
            <w:r>
              <w:rPr>
                <w:sz w:val="20"/>
              </w:rPr>
              <w:t>local</w:t>
            </w:r>
            <w:r>
              <w:rPr>
                <w:spacing w:val="-14"/>
                <w:sz w:val="20"/>
              </w:rPr>
              <w:t> </w:t>
            </w:r>
            <w:r>
              <w:rPr>
                <w:sz w:val="20"/>
              </w:rPr>
              <w:t>and</w:t>
            </w:r>
            <w:r>
              <w:rPr>
                <w:spacing w:val="-14"/>
                <w:sz w:val="20"/>
              </w:rPr>
              <w:t> </w:t>
            </w:r>
            <w:r>
              <w:rPr>
                <w:sz w:val="20"/>
              </w:rPr>
              <w:t>networked </w:t>
            </w:r>
            <w:r>
              <w:rPr>
                <w:spacing w:val="-2"/>
                <w:sz w:val="20"/>
              </w:rPr>
              <w:t>arrangements.</w:t>
            </w:r>
            <w:r>
              <w:rPr>
                <w:spacing w:val="-12"/>
                <w:sz w:val="20"/>
              </w:rPr>
              <w:t> </w:t>
            </w:r>
            <w:r>
              <w:rPr>
                <w:spacing w:val="-2"/>
                <w:sz w:val="20"/>
              </w:rPr>
              <w:t>The</w:t>
            </w:r>
            <w:r>
              <w:rPr>
                <w:spacing w:val="-12"/>
                <w:sz w:val="20"/>
              </w:rPr>
              <w:t> </w:t>
            </w:r>
            <w:r>
              <w:rPr>
                <w:spacing w:val="-2"/>
                <w:sz w:val="20"/>
              </w:rPr>
              <w:t>South</w:t>
            </w:r>
            <w:r>
              <w:rPr>
                <w:spacing w:val="-13"/>
                <w:sz w:val="20"/>
              </w:rPr>
              <w:t> </w:t>
            </w:r>
            <w:r>
              <w:rPr>
                <w:spacing w:val="-2"/>
                <w:sz w:val="20"/>
              </w:rPr>
              <w:t>West</w:t>
            </w:r>
            <w:r>
              <w:rPr>
                <w:spacing w:val="-12"/>
                <w:sz w:val="20"/>
              </w:rPr>
              <w:t> </w:t>
            </w:r>
            <w:r>
              <w:rPr>
                <w:spacing w:val="-2"/>
                <w:sz w:val="20"/>
              </w:rPr>
              <w:t>Wales</w:t>
            </w:r>
            <w:r>
              <w:rPr>
                <w:spacing w:val="-12"/>
                <w:sz w:val="20"/>
              </w:rPr>
              <w:t> </w:t>
            </w:r>
            <w:r>
              <w:rPr>
                <w:spacing w:val="-2"/>
                <w:sz w:val="20"/>
              </w:rPr>
              <w:t>Cancer</w:t>
            </w:r>
            <w:r>
              <w:rPr>
                <w:spacing w:val="-13"/>
                <w:sz w:val="20"/>
              </w:rPr>
              <w:t> </w:t>
            </w:r>
            <w:r>
              <w:rPr>
                <w:spacing w:val="-2"/>
                <w:sz w:val="20"/>
              </w:rPr>
              <w:t>Centre</w:t>
            </w:r>
            <w:r>
              <w:rPr>
                <w:spacing w:val="-12"/>
                <w:sz w:val="20"/>
              </w:rPr>
              <w:t> </w:t>
            </w:r>
            <w:r>
              <w:rPr>
                <w:spacing w:val="-2"/>
                <w:sz w:val="20"/>
              </w:rPr>
              <w:t>provides</w:t>
            </w:r>
            <w:r>
              <w:rPr>
                <w:spacing w:val="-12"/>
                <w:sz w:val="20"/>
              </w:rPr>
              <w:t> </w:t>
            </w:r>
            <w:r>
              <w:rPr>
                <w:spacing w:val="-2"/>
                <w:sz w:val="20"/>
              </w:rPr>
              <w:t>an</w:t>
            </w:r>
            <w:r>
              <w:rPr>
                <w:spacing w:val="-12"/>
                <w:sz w:val="20"/>
              </w:rPr>
              <w:t> </w:t>
            </w:r>
            <w:r>
              <w:rPr>
                <w:spacing w:val="-2"/>
                <w:sz w:val="20"/>
              </w:rPr>
              <w:t>established</w:t>
            </w:r>
            <w:r>
              <w:rPr>
                <w:spacing w:val="-12"/>
                <w:sz w:val="20"/>
              </w:rPr>
              <w:t> </w:t>
            </w:r>
            <w:r>
              <w:rPr>
                <w:spacing w:val="-2"/>
                <w:sz w:val="20"/>
              </w:rPr>
              <w:t>regional</w:t>
            </w:r>
            <w:r>
              <w:rPr>
                <w:spacing w:val="-12"/>
                <w:sz w:val="20"/>
              </w:rPr>
              <w:t> </w:t>
            </w:r>
            <w:r>
              <w:rPr>
                <w:spacing w:val="-2"/>
                <w:sz w:val="20"/>
              </w:rPr>
              <w:t>foundation</w:t>
            </w:r>
            <w:r>
              <w:rPr>
                <w:spacing w:val="-12"/>
                <w:sz w:val="20"/>
              </w:rPr>
              <w:t> </w:t>
            </w:r>
            <w:r>
              <w:rPr>
                <w:spacing w:val="-2"/>
                <w:sz w:val="20"/>
              </w:rPr>
              <w:t>for</w:t>
            </w:r>
            <w:r>
              <w:rPr>
                <w:spacing w:val="-11"/>
                <w:sz w:val="20"/>
              </w:rPr>
              <w:t> </w:t>
            </w:r>
            <w:r>
              <w:rPr>
                <w:spacing w:val="-2"/>
                <w:sz w:val="20"/>
              </w:rPr>
              <w:t>non-surgical oncology,</w:t>
            </w:r>
            <w:r>
              <w:rPr>
                <w:spacing w:val="-3"/>
                <w:sz w:val="20"/>
              </w:rPr>
              <w:t> </w:t>
            </w:r>
            <w:r>
              <w:rPr>
                <w:spacing w:val="-2"/>
                <w:sz w:val="20"/>
              </w:rPr>
              <w:t>with</w:t>
            </w:r>
            <w:r>
              <w:rPr>
                <w:spacing w:val="-5"/>
                <w:sz w:val="20"/>
              </w:rPr>
              <w:t> </w:t>
            </w:r>
            <w:r>
              <w:rPr>
                <w:spacing w:val="-2"/>
                <w:sz w:val="20"/>
              </w:rPr>
              <w:t>collaboration</w:t>
            </w:r>
            <w:r>
              <w:rPr>
                <w:spacing w:val="-4"/>
                <w:sz w:val="20"/>
              </w:rPr>
              <w:t> </w:t>
            </w:r>
            <w:r>
              <w:rPr>
                <w:spacing w:val="-2"/>
                <w:sz w:val="20"/>
              </w:rPr>
              <w:t>across radiotherapy,</w:t>
            </w:r>
            <w:r>
              <w:rPr>
                <w:spacing w:val="-3"/>
                <w:sz w:val="20"/>
              </w:rPr>
              <w:t> </w:t>
            </w:r>
            <w:r>
              <w:rPr>
                <w:spacing w:val="-2"/>
                <w:sz w:val="20"/>
              </w:rPr>
              <w:t>oncology outpatients, diagnostics and</w:t>
            </w:r>
            <w:r>
              <w:rPr>
                <w:spacing w:val="-4"/>
                <w:sz w:val="20"/>
              </w:rPr>
              <w:t> </w:t>
            </w:r>
            <w:r>
              <w:rPr>
                <w:spacing w:val="-2"/>
                <w:sz w:val="20"/>
              </w:rPr>
              <w:t>selected</w:t>
            </w:r>
            <w:r>
              <w:rPr>
                <w:spacing w:val="-4"/>
                <w:sz w:val="20"/>
              </w:rPr>
              <w:t> </w:t>
            </w:r>
            <w:r>
              <w:rPr>
                <w:spacing w:val="-2"/>
                <w:sz w:val="20"/>
              </w:rPr>
              <w:t>pathways.</w:t>
            </w:r>
          </w:p>
          <w:p>
            <w:pPr>
              <w:pStyle w:val="TableParagraph"/>
              <w:spacing w:line="256" w:lineRule="auto"/>
              <w:ind w:left="120"/>
              <w:rPr>
                <w:sz w:val="20"/>
              </w:rPr>
            </w:pPr>
            <w:r>
              <w:rPr>
                <w:spacing w:val="-4"/>
                <w:sz w:val="20"/>
              </w:rPr>
              <w:t>However, strategic planning, governance, commissioning, data and delivery arrangements are not consistently </w:t>
            </w:r>
            <w:r>
              <w:rPr>
                <w:sz w:val="20"/>
              </w:rPr>
              <w:t>aligned across the whole cancer system.</w:t>
            </w:r>
          </w:p>
          <w:p>
            <w:pPr>
              <w:pStyle w:val="TableParagraph"/>
              <w:spacing w:before="93"/>
              <w:ind w:left="120"/>
              <w:rPr>
                <w:sz w:val="20"/>
              </w:rPr>
            </w:pPr>
            <w:r>
              <w:rPr>
                <w:spacing w:val="-2"/>
                <w:sz w:val="20"/>
              </w:rPr>
              <w:t>Discussions</w:t>
            </w:r>
            <w:r>
              <w:rPr>
                <w:spacing w:val="-13"/>
                <w:sz w:val="20"/>
              </w:rPr>
              <w:t> </w:t>
            </w:r>
            <w:r>
              <w:rPr>
                <w:spacing w:val="-2"/>
                <w:sz w:val="20"/>
              </w:rPr>
              <w:t>to</w:t>
            </w:r>
            <w:r>
              <w:rPr>
                <w:spacing w:val="-7"/>
                <w:sz w:val="20"/>
              </w:rPr>
              <w:t> </w:t>
            </w:r>
            <w:r>
              <w:rPr>
                <w:spacing w:val="-2"/>
                <w:sz w:val="20"/>
              </w:rPr>
              <w:t>date</w:t>
            </w:r>
            <w:r>
              <w:rPr>
                <w:spacing w:val="-7"/>
                <w:sz w:val="20"/>
              </w:rPr>
              <w:t> </w:t>
            </w:r>
            <w:r>
              <w:rPr>
                <w:spacing w:val="-2"/>
                <w:sz w:val="20"/>
              </w:rPr>
              <w:t>have</w:t>
            </w:r>
            <w:r>
              <w:rPr>
                <w:spacing w:val="-12"/>
                <w:sz w:val="20"/>
              </w:rPr>
              <w:t> </w:t>
            </w:r>
            <w:r>
              <w:rPr>
                <w:spacing w:val="-2"/>
                <w:sz w:val="20"/>
              </w:rPr>
              <w:t>highlighted</w:t>
            </w:r>
            <w:r>
              <w:rPr>
                <w:spacing w:val="-12"/>
                <w:sz w:val="20"/>
              </w:rPr>
              <w:t> </w:t>
            </w:r>
            <w:r>
              <w:rPr>
                <w:spacing w:val="-2"/>
                <w:sz w:val="20"/>
              </w:rPr>
              <w:t>the</w:t>
            </w:r>
            <w:r>
              <w:rPr>
                <w:spacing w:val="-12"/>
                <w:sz w:val="20"/>
              </w:rPr>
              <w:t> </w:t>
            </w:r>
            <w:r>
              <w:rPr>
                <w:spacing w:val="-2"/>
                <w:sz w:val="20"/>
              </w:rPr>
              <w:t>need</w:t>
            </w:r>
            <w:r>
              <w:rPr>
                <w:spacing w:val="-12"/>
                <w:sz w:val="20"/>
              </w:rPr>
              <w:t> </w:t>
            </w:r>
            <w:r>
              <w:rPr>
                <w:spacing w:val="-2"/>
                <w:sz w:val="20"/>
              </w:rPr>
              <w:t>to</w:t>
            </w:r>
            <w:r>
              <w:rPr>
                <w:spacing w:val="-12"/>
                <w:sz w:val="20"/>
              </w:rPr>
              <w:t> </w:t>
            </w:r>
            <w:r>
              <w:rPr>
                <w:spacing w:val="-2"/>
                <w:sz w:val="20"/>
              </w:rPr>
              <w:t>keep</w:t>
            </w:r>
            <w:r>
              <w:rPr>
                <w:spacing w:val="-12"/>
                <w:sz w:val="20"/>
              </w:rPr>
              <w:t> </w:t>
            </w:r>
            <w:r>
              <w:rPr>
                <w:spacing w:val="-2"/>
                <w:sz w:val="20"/>
              </w:rPr>
              <w:t>two</w:t>
            </w:r>
            <w:r>
              <w:rPr>
                <w:spacing w:val="-11"/>
                <w:sz w:val="20"/>
              </w:rPr>
              <w:t> </w:t>
            </w:r>
            <w:r>
              <w:rPr>
                <w:spacing w:val="-2"/>
                <w:sz w:val="20"/>
              </w:rPr>
              <w:t>related</w:t>
            </w:r>
            <w:r>
              <w:rPr>
                <w:spacing w:val="-8"/>
                <w:sz w:val="20"/>
              </w:rPr>
              <w:t> </w:t>
            </w:r>
            <w:r>
              <w:rPr>
                <w:spacing w:val="-2"/>
                <w:sz w:val="20"/>
              </w:rPr>
              <w:t>but</w:t>
            </w:r>
            <w:r>
              <w:rPr>
                <w:spacing w:val="-11"/>
                <w:sz w:val="20"/>
              </w:rPr>
              <w:t> </w:t>
            </w:r>
            <w:r>
              <w:rPr>
                <w:spacing w:val="-2"/>
                <w:sz w:val="20"/>
              </w:rPr>
              <w:t>distinct</w:t>
            </w:r>
            <w:r>
              <w:rPr>
                <w:spacing w:val="-10"/>
                <w:sz w:val="20"/>
              </w:rPr>
              <w:t> </w:t>
            </w:r>
            <w:r>
              <w:rPr>
                <w:spacing w:val="-2"/>
                <w:sz w:val="20"/>
              </w:rPr>
              <w:t>areas</w:t>
            </w:r>
            <w:r>
              <w:rPr>
                <w:spacing w:val="-11"/>
                <w:sz w:val="20"/>
              </w:rPr>
              <w:t> </w:t>
            </w:r>
            <w:r>
              <w:rPr>
                <w:spacing w:val="-2"/>
                <w:sz w:val="20"/>
              </w:rPr>
              <w:t>separate</w:t>
            </w:r>
            <w:r>
              <w:rPr>
                <w:spacing w:val="-12"/>
                <w:sz w:val="20"/>
              </w:rPr>
              <w:t> </w:t>
            </w:r>
            <w:r>
              <w:rPr>
                <w:spacing w:val="-2"/>
                <w:sz w:val="20"/>
              </w:rPr>
              <w:t>but</w:t>
            </w:r>
            <w:r>
              <w:rPr>
                <w:spacing w:val="-12"/>
                <w:sz w:val="20"/>
              </w:rPr>
              <w:t> </w:t>
            </w:r>
            <w:r>
              <w:rPr>
                <w:spacing w:val="-2"/>
                <w:sz w:val="20"/>
              </w:rPr>
              <w:t>in</w:t>
            </w:r>
            <w:r>
              <w:rPr>
                <w:spacing w:val="-10"/>
                <w:sz w:val="20"/>
              </w:rPr>
              <w:t> </w:t>
            </w:r>
            <w:r>
              <w:rPr>
                <w:spacing w:val="-2"/>
                <w:sz w:val="20"/>
              </w:rPr>
              <w:t>view:</w:t>
            </w:r>
          </w:p>
          <w:p>
            <w:pPr>
              <w:pStyle w:val="TableParagraph"/>
              <w:numPr>
                <w:ilvl w:val="0"/>
                <w:numId w:val="16"/>
              </w:numPr>
              <w:tabs>
                <w:tab w:pos="560" w:val="left" w:leader="none"/>
              </w:tabs>
              <w:spacing w:line="249" w:lineRule="auto" w:before="116" w:after="0"/>
              <w:ind w:left="560" w:right="141" w:hanging="360"/>
              <w:jc w:val="left"/>
              <w:rPr>
                <w:sz w:val="20"/>
              </w:rPr>
            </w:pPr>
            <w:r>
              <w:rPr>
                <w:sz w:val="20"/>
              </w:rPr>
              <w:t>The</w:t>
            </w:r>
            <w:r>
              <w:rPr>
                <w:spacing w:val="-14"/>
                <w:sz w:val="20"/>
              </w:rPr>
              <w:t> </w:t>
            </w:r>
            <w:r>
              <w:rPr>
                <w:sz w:val="20"/>
              </w:rPr>
              <w:t>first</w:t>
            </w:r>
            <w:r>
              <w:rPr>
                <w:spacing w:val="-10"/>
                <w:sz w:val="20"/>
              </w:rPr>
              <w:t> </w:t>
            </w:r>
            <w:r>
              <w:rPr>
                <w:sz w:val="20"/>
              </w:rPr>
              <w:t>is</w:t>
            </w:r>
            <w:r>
              <w:rPr>
                <w:spacing w:val="-9"/>
                <w:sz w:val="20"/>
              </w:rPr>
              <w:t> </w:t>
            </w:r>
            <w:r>
              <w:rPr>
                <w:sz w:val="20"/>
              </w:rPr>
              <w:t>how</w:t>
            </w:r>
            <w:r>
              <w:rPr>
                <w:spacing w:val="-9"/>
                <w:sz w:val="20"/>
              </w:rPr>
              <w:t> </w:t>
            </w:r>
            <w:r>
              <w:rPr>
                <w:sz w:val="20"/>
              </w:rPr>
              <w:t>the</w:t>
            </w:r>
            <w:r>
              <w:rPr>
                <w:spacing w:val="-14"/>
                <w:sz w:val="20"/>
              </w:rPr>
              <w:t> </w:t>
            </w:r>
            <w:r>
              <w:rPr>
                <w:sz w:val="20"/>
              </w:rPr>
              <w:t>South</w:t>
            </w:r>
            <w:r>
              <w:rPr>
                <w:spacing w:val="-14"/>
                <w:sz w:val="20"/>
              </w:rPr>
              <w:t> </w:t>
            </w:r>
            <w:r>
              <w:rPr>
                <w:sz w:val="20"/>
              </w:rPr>
              <w:t>West</w:t>
            </w:r>
            <w:r>
              <w:rPr>
                <w:spacing w:val="-9"/>
                <w:sz w:val="20"/>
              </w:rPr>
              <w:t> </w:t>
            </w:r>
            <w:r>
              <w:rPr>
                <w:sz w:val="20"/>
              </w:rPr>
              <w:t>Wales</w:t>
            </w:r>
            <w:r>
              <w:rPr>
                <w:spacing w:val="-14"/>
                <w:sz w:val="20"/>
              </w:rPr>
              <w:t> </w:t>
            </w:r>
            <w:r>
              <w:rPr>
                <w:sz w:val="20"/>
              </w:rPr>
              <w:t>Cancer</w:t>
            </w:r>
            <w:r>
              <w:rPr>
                <w:spacing w:val="-11"/>
                <w:sz w:val="20"/>
              </w:rPr>
              <w:t> </w:t>
            </w:r>
            <w:r>
              <w:rPr>
                <w:sz w:val="20"/>
              </w:rPr>
              <w:t>Centre</w:t>
            </w:r>
            <w:r>
              <w:rPr>
                <w:spacing w:val="-6"/>
                <w:sz w:val="20"/>
              </w:rPr>
              <w:t> </w:t>
            </w:r>
            <w:r>
              <w:rPr>
                <w:sz w:val="20"/>
              </w:rPr>
              <w:t>and</w:t>
            </w:r>
            <w:r>
              <w:rPr>
                <w:spacing w:val="-10"/>
                <w:sz w:val="20"/>
              </w:rPr>
              <w:t> </w:t>
            </w:r>
            <w:r>
              <w:rPr>
                <w:sz w:val="20"/>
              </w:rPr>
              <w:t>its</w:t>
            </w:r>
            <w:r>
              <w:rPr>
                <w:spacing w:val="-14"/>
                <w:sz w:val="20"/>
              </w:rPr>
              <w:t> </w:t>
            </w:r>
            <w:r>
              <w:rPr>
                <w:sz w:val="20"/>
              </w:rPr>
              <w:t>future</w:t>
            </w:r>
            <w:r>
              <w:rPr>
                <w:spacing w:val="-10"/>
                <w:sz w:val="20"/>
              </w:rPr>
              <w:t> </w:t>
            </w:r>
            <w:r>
              <w:rPr>
                <w:sz w:val="20"/>
              </w:rPr>
              <w:t>role</w:t>
            </w:r>
            <w:r>
              <w:rPr>
                <w:spacing w:val="-10"/>
                <w:sz w:val="20"/>
              </w:rPr>
              <w:t> </w:t>
            </w:r>
            <w:r>
              <w:rPr>
                <w:sz w:val="20"/>
              </w:rPr>
              <w:t>should</w:t>
            </w:r>
            <w:r>
              <w:rPr>
                <w:spacing w:val="-10"/>
                <w:sz w:val="20"/>
              </w:rPr>
              <w:t> </w:t>
            </w:r>
            <w:r>
              <w:rPr>
                <w:sz w:val="20"/>
              </w:rPr>
              <w:t>develop</w:t>
            </w:r>
            <w:r>
              <w:rPr>
                <w:spacing w:val="-14"/>
                <w:sz w:val="20"/>
              </w:rPr>
              <w:t> </w:t>
            </w:r>
            <w:r>
              <w:rPr>
                <w:sz w:val="20"/>
              </w:rPr>
              <w:t>in</w:t>
            </w:r>
            <w:r>
              <w:rPr>
                <w:spacing w:val="-10"/>
                <w:sz w:val="20"/>
              </w:rPr>
              <w:t> </w:t>
            </w:r>
            <w:r>
              <w:rPr>
                <w:sz w:val="20"/>
              </w:rPr>
              <w:t>response</w:t>
            </w:r>
            <w:r>
              <w:rPr>
                <w:spacing w:val="-10"/>
                <w:sz w:val="20"/>
              </w:rPr>
              <w:t> </w:t>
            </w:r>
            <w:r>
              <w:rPr>
                <w:sz w:val="20"/>
              </w:rPr>
              <w:t>to </w:t>
            </w:r>
            <w:r>
              <w:rPr>
                <w:spacing w:val="-2"/>
                <w:sz w:val="20"/>
              </w:rPr>
              <w:t>increasing</w:t>
            </w:r>
            <w:r>
              <w:rPr>
                <w:spacing w:val="-12"/>
                <w:sz w:val="20"/>
              </w:rPr>
              <w:t> </w:t>
            </w:r>
            <w:r>
              <w:rPr>
                <w:spacing w:val="-2"/>
                <w:sz w:val="20"/>
              </w:rPr>
              <w:t>demand,</w:t>
            </w:r>
            <w:r>
              <w:rPr>
                <w:spacing w:val="-12"/>
                <w:sz w:val="20"/>
              </w:rPr>
              <w:t> </w:t>
            </w:r>
            <w:r>
              <w:rPr>
                <w:spacing w:val="-2"/>
                <w:sz w:val="20"/>
              </w:rPr>
              <w:t>changing</w:t>
            </w:r>
            <w:r>
              <w:rPr>
                <w:spacing w:val="-12"/>
                <w:sz w:val="20"/>
              </w:rPr>
              <w:t> </w:t>
            </w:r>
            <w:r>
              <w:rPr>
                <w:spacing w:val="-2"/>
                <w:sz w:val="20"/>
              </w:rPr>
              <w:t>treatment</w:t>
            </w:r>
            <w:r>
              <w:rPr>
                <w:spacing w:val="-12"/>
                <w:sz w:val="20"/>
              </w:rPr>
              <w:t> </w:t>
            </w:r>
            <w:r>
              <w:rPr>
                <w:spacing w:val="-2"/>
                <w:sz w:val="20"/>
              </w:rPr>
              <w:t>models</w:t>
            </w:r>
            <w:r>
              <w:rPr>
                <w:spacing w:val="-12"/>
                <w:sz w:val="20"/>
              </w:rPr>
              <w:t> </w:t>
            </w:r>
            <w:r>
              <w:rPr>
                <w:spacing w:val="-2"/>
                <w:sz w:val="20"/>
              </w:rPr>
              <w:t>and</w:t>
            </w:r>
            <w:r>
              <w:rPr>
                <w:spacing w:val="-12"/>
                <w:sz w:val="20"/>
              </w:rPr>
              <w:t> </w:t>
            </w:r>
            <w:r>
              <w:rPr>
                <w:spacing w:val="-2"/>
                <w:sz w:val="20"/>
              </w:rPr>
              <w:t>wider</w:t>
            </w:r>
            <w:r>
              <w:rPr>
                <w:spacing w:val="-12"/>
                <w:sz w:val="20"/>
              </w:rPr>
              <w:t> </w:t>
            </w:r>
            <w:r>
              <w:rPr>
                <w:spacing w:val="-2"/>
                <w:sz w:val="20"/>
              </w:rPr>
              <w:t>developments</w:t>
            </w:r>
            <w:r>
              <w:rPr>
                <w:spacing w:val="-12"/>
                <w:sz w:val="20"/>
              </w:rPr>
              <w:t> </w:t>
            </w:r>
            <w:r>
              <w:rPr>
                <w:spacing w:val="-2"/>
                <w:sz w:val="20"/>
              </w:rPr>
              <w:t>in</w:t>
            </w:r>
            <w:r>
              <w:rPr>
                <w:spacing w:val="-12"/>
                <w:sz w:val="20"/>
              </w:rPr>
              <w:t> </w:t>
            </w:r>
            <w:r>
              <w:rPr>
                <w:spacing w:val="-2"/>
                <w:sz w:val="20"/>
              </w:rPr>
              <w:t>cancer</w:t>
            </w:r>
            <w:r>
              <w:rPr>
                <w:spacing w:val="-11"/>
                <w:sz w:val="20"/>
              </w:rPr>
              <w:t> </w:t>
            </w:r>
            <w:r>
              <w:rPr>
                <w:spacing w:val="-2"/>
                <w:sz w:val="20"/>
              </w:rPr>
              <w:t>centre</w:t>
            </w:r>
            <w:r>
              <w:rPr>
                <w:spacing w:val="-12"/>
                <w:sz w:val="20"/>
              </w:rPr>
              <w:t> </w:t>
            </w:r>
            <w:r>
              <w:rPr>
                <w:spacing w:val="-2"/>
                <w:sz w:val="20"/>
              </w:rPr>
              <w:t>provision,</w:t>
            </w:r>
            <w:r>
              <w:rPr>
                <w:spacing w:val="-12"/>
                <w:sz w:val="20"/>
              </w:rPr>
              <w:t> </w:t>
            </w:r>
            <w:r>
              <w:rPr>
                <w:spacing w:val="-2"/>
                <w:sz w:val="20"/>
              </w:rPr>
              <w:t>including </w:t>
            </w:r>
            <w:r>
              <w:rPr>
                <w:sz w:val="20"/>
              </w:rPr>
              <w:t>the</w:t>
            </w:r>
            <w:r>
              <w:rPr>
                <w:spacing w:val="-12"/>
                <w:sz w:val="20"/>
              </w:rPr>
              <w:t> </w:t>
            </w:r>
            <w:r>
              <w:rPr>
                <w:sz w:val="20"/>
              </w:rPr>
              <w:t>new</w:t>
            </w:r>
            <w:r>
              <w:rPr>
                <w:spacing w:val="-14"/>
                <w:sz w:val="20"/>
              </w:rPr>
              <w:t> </w:t>
            </w:r>
            <w:r>
              <w:rPr>
                <w:sz w:val="20"/>
              </w:rPr>
              <w:t>Velindre</w:t>
            </w:r>
            <w:r>
              <w:rPr>
                <w:spacing w:val="-12"/>
                <w:sz w:val="20"/>
              </w:rPr>
              <w:t> </w:t>
            </w:r>
            <w:r>
              <w:rPr>
                <w:sz w:val="20"/>
              </w:rPr>
              <w:t>Cancer</w:t>
            </w:r>
            <w:r>
              <w:rPr>
                <w:spacing w:val="-13"/>
                <w:sz w:val="20"/>
              </w:rPr>
              <w:t> </w:t>
            </w:r>
            <w:r>
              <w:rPr>
                <w:sz w:val="20"/>
              </w:rPr>
              <w:t>Centre</w:t>
            </w:r>
            <w:r>
              <w:rPr>
                <w:spacing w:val="-12"/>
                <w:sz w:val="20"/>
              </w:rPr>
              <w:t> </w:t>
            </w:r>
            <w:r>
              <w:rPr>
                <w:sz w:val="20"/>
              </w:rPr>
              <w:t>and</w:t>
            </w:r>
            <w:r>
              <w:rPr>
                <w:spacing w:val="-12"/>
                <w:sz w:val="20"/>
              </w:rPr>
              <w:t> </w:t>
            </w:r>
            <w:r>
              <w:rPr>
                <w:sz w:val="20"/>
              </w:rPr>
              <w:t>the</w:t>
            </w:r>
            <w:r>
              <w:rPr>
                <w:spacing w:val="-12"/>
                <w:sz w:val="20"/>
              </w:rPr>
              <w:t> </w:t>
            </w:r>
            <w:r>
              <w:rPr>
                <w:sz w:val="20"/>
              </w:rPr>
              <w:t>need</w:t>
            </w:r>
            <w:r>
              <w:rPr>
                <w:spacing w:val="-12"/>
                <w:sz w:val="20"/>
              </w:rPr>
              <w:t> </w:t>
            </w:r>
            <w:r>
              <w:rPr>
                <w:sz w:val="20"/>
              </w:rPr>
              <w:t>for</w:t>
            </w:r>
            <w:r>
              <w:rPr>
                <w:spacing w:val="-5"/>
                <w:sz w:val="20"/>
              </w:rPr>
              <w:t> </w:t>
            </w:r>
            <w:r>
              <w:rPr>
                <w:sz w:val="20"/>
              </w:rPr>
              <w:t>appropriate</w:t>
            </w:r>
            <w:r>
              <w:rPr>
                <w:spacing w:val="-12"/>
                <w:sz w:val="20"/>
              </w:rPr>
              <w:t> </w:t>
            </w:r>
            <w:r>
              <w:rPr>
                <w:sz w:val="20"/>
              </w:rPr>
              <w:t>alignment</w:t>
            </w:r>
            <w:r>
              <w:rPr>
                <w:spacing w:val="-11"/>
                <w:sz w:val="20"/>
              </w:rPr>
              <w:t> </w:t>
            </w:r>
            <w:r>
              <w:rPr>
                <w:sz w:val="20"/>
              </w:rPr>
              <w:t>across</w:t>
            </w:r>
            <w:r>
              <w:rPr>
                <w:spacing w:val="-11"/>
                <w:sz w:val="20"/>
              </w:rPr>
              <w:t> </w:t>
            </w:r>
            <w:r>
              <w:rPr>
                <w:sz w:val="20"/>
              </w:rPr>
              <w:t>South</w:t>
            </w:r>
            <w:r>
              <w:rPr>
                <w:spacing w:val="-12"/>
                <w:sz w:val="20"/>
              </w:rPr>
              <w:t> </w:t>
            </w:r>
            <w:r>
              <w:rPr>
                <w:sz w:val="20"/>
              </w:rPr>
              <w:t>Wales.</w:t>
            </w:r>
          </w:p>
          <w:p>
            <w:pPr>
              <w:pStyle w:val="TableParagraph"/>
              <w:numPr>
                <w:ilvl w:val="0"/>
                <w:numId w:val="16"/>
              </w:numPr>
              <w:tabs>
                <w:tab w:pos="560" w:val="left" w:leader="none"/>
              </w:tabs>
              <w:spacing w:line="247" w:lineRule="auto" w:before="0" w:after="0"/>
              <w:ind w:left="560" w:right="518" w:hanging="360"/>
              <w:jc w:val="left"/>
              <w:rPr>
                <w:sz w:val="20"/>
              </w:rPr>
            </w:pPr>
            <w:r>
              <w:rPr>
                <w:spacing w:val="-2"/>
                <w:sz w:val="20"/>
              </w:rPr>
              <w:t>The</w:t>
            </w:r>
            <w:r>
              <w:rPr>
                <w:spacing w:val="-11"/>
                <w:sz w:val="20"/>
              </w:rPr>
              <w:t> </w:t>
            </w:r>
            <w:r>
              <w:rPr>
                <w:spacing w:val="-2"/>
                <w:sz w:val="20"/>
              </w:rPr>
              <w:t>second</w:t>
            </w:r>
            <w:r>
              <w:rPr>
                <w:spacing w:val="-11"/>
                <w:sz w:val="20"/>
              </w:rPr>
              <w:t> </w:t>
            </w:r>
            <w:r>
              <w:rPr>
                <w:spacing w:val="-2"/>
                <w:sz w:val="20"/>
              </w:rPr>
              <w:t>is</w:t>
            </w:r>
            <w:r>
              <w:rPr>
                <w:spacing w:val="-11"/>
                <w:sz w:val="20"/>
              </w:rPr>
              <w:t> </w:t>
            </w:r>
            <w:r>
              <w:rPr>
                <w:spacing w:val="-2"/>
                <w:sz w:val="20"/>
              </w:rPr>
              <w:t>whether,</w:t>
            </w:r>
            <w:r>
              <w:rPr>
                <w:spacing w:val="-7"/>
                <w:sz w:val="20"/>
              </w:rPr>
              <w:t> </w:t>
            </w:r>
            <w:r>
              <w:rPr>
                <w:spacing w:val="-2"/>
                <w:sz w:val="20"/>
              </w:rPr>
              <w:t>and</w:t>
            </w:r>
            <w:r>
              <w:rPr>
                <w:spacing w:val="-11"/>
                <w:sz w:val="20"/>
              </w:rPr>
              <w:t> </w:t>
            </w:r>
            <w:r>
              <w:rPr>
                <w:spacing w:val="-2"/>
                <w:sz w:val="20"/>
              </w:rPr>
              <w:t>in</w:t>
            </w:r>
            <w:r>
              <w:rPr>
                <w:spacing w:val="-11"/>
                <w:sz w:val="20"/>
              </w:rPr>
              <w:t> </w:t>
            </w:r>
            <w:r>
              <w:rPr>
                <w:spacing w:val="-2"/>
                <w:sz w:val="20"/>
              </w:rPr>
              <w:t>which</w:t>
            </w:r>
            <w:r>
              <w:rPr>
                <w:spacing w:val="-11"/>
                <w:sz w:val="20"/>
              </w:rPr>
              <w:t> </w:t>
            </w:r>
            <w:r>
              <w:rPr>
                <w:spacing w:val="-2"/>
                <w:sz w:val="20"/>
              </w:rPr>
              <w:t>areas,</w:t>
            </w:r>
            <w:r>
              <w:rPr>
                <w:spacing w:val="-11"/>
                <w:sz w:val="20"/>
              </w:rPr>
              <w:t> </w:t>
            </w:r>
            <w:r>
              <w:rPr>
                <w:spacing w:val="-2"/>
                <w:sz w:val="20"/>
              </w:rPr>
              <w:t>the</w:t>
            </w:r>
            <w:r>
              <w:rPr>
                <w:spacing w:val="-11"/>
                <w:sz w:val="20"/>
              </w:rPr>
              <w:t> </w:t>
            </w:r>
            <w:r>
              <w:rPr>
                <w:spacing w:val="-2"/>
                <w:sz w:val="20"/>
              </w:rPr>
              <w:t>two</w:t>
            </w:r>
            <w:r>
              <w:rPr>
                <w:spacing w:val="-11"/>
                <w:sz w:val="20"/>
              </w:rPr>
              <w:t> </w:t>
            </w:r>
            <w:r>
              <w:rPr>
                <w:spacing w:val="-2"/>
                <w:sz w:val="20"/>
              </w:rPr>
              <w:t>Health</w:t>
            </w:r>
            <w:r>
              <w:rPr>
                <w:spacing w:val="-11"/>
                <w:sz w:val="20"/>
              </w:rPr>
              <w:t> </w:t>
            </w:r>
            <w:r>
              <w:rPr>
                <w:spacing w:val="-2"/>
                <w:sz w:val="20"/>
              </w:rPr>
              <w:t>Boards</w:t>
            </w:r>
            <w:r>
              <w:rPr>
                <w:spacing w:val="-11"/>
                <w:sz w:val="20"/>
              </w:rPr>
              <w:t> </w:t>
            </w:r>
            <w:r>
              <w:rPr>
                <w:spacing w:val="-2"/>
                <w:sz w:val="20"/>
              </w:rPr>
              <w:t>should</w:t>
            </w:r>
            <w:r>
              <w:rPr>
                <w:spacing w:val="-11"/>
                <w:sz w:val="20"/>
              </w:rPr>
              <w:t> </w:t>
            </w:r>
            <w:r>
              <w:rPr>
                <w:spacing w:val="-2"/>
                <w:sz w:val="20"/>
              </w:rPr>
              <w:t>move</w:t>
            </w:r>
            <w:r>
              <w:rPr>
                <w:spacing w:val="-11"/>
                <w:sz w:val="20"/>
              </w:rPr>
              <w:t> </w:t>
            </w:r>
            <w:r>
              <w:rPr>
                <w:spacing w:val="-2"/>
                <w:sz w:val="20"/>
              </w:rPr>
              <w:t>towards</w:t>
            </w:r>
            <w:r>
              <w:rPr>
                <w:spacing w:val="-11"/>
                <w:sz w:val="20"/>
              </w:rPr>
              <w:t> </w:t>
            </w:r>
            <w:r>
              <w:rPr>
                <w:spacing w:val="-2"/>
                <w:sz w:val="20"/>
              </w:rPr>
              <w:t>a</w:t>
            </w:r>
            <w:r>
              <w:rPr>
                <w:spacing w:val="-11"/>
                <w:sz w:val="20"/>
              </w:rPr>
              <w:t> </w:t>
            </w:r>
            <w:r>
              <w:rPr>
                <w:spacing w:val="-2"/>
                <w:sz w:val="20"/>
              </w:rPr>
              <w:t>wider</w:t>
            </w:r>
            <w:r>
              <w:rPr>
                <w:spacing w:val="-7"/>
                <w:sz w:val="20"/>
              </w:rPr>
              <w:t> </w:t>
            </w:r>
            <w:r>
              <w:rPr>
                <w:spacing w:val="-2"/>
                <w:sz w:val="20"/>
              </w:rPr>
              <w:t>regional </w:t>
            </w:r>
            <w:r>
              <w:rPr>
                <w:sz w:val="20"/>
              </w:rPr>
              <w:t>strategic</w:t>
            </w:r>
            <w:r>
              <w:rPr>
                <w:spacing w:val="-14"/>
                <w:sz w:val="20"/>
              </w:rPr>
              <w:t> </w:t>
            </w:r>
            <w:r>
              <w:rPr>
                <w:sz w:val="20"/>
              </w:rPr>
              <w:t>cancer</w:t>
            </w:r>
            <w:r>
              <w:rPr>
                <w:spacing w:val="-14"/>
                <w:sz w:val="20"/>
              </w:rPr>
              <w:t> </w:t>
            </w:r>
            <w:r>
              <w:rPr>
                <w:sz w:val="20"/>
              </w:rPr>
              <w:t>framework</w:t>
            </w:r>
            <w:r>
              <w:rPr>
                <w:spacing w:val="-14"/>
                <w:sz w:val="20"/>
              </w:rPr>
              <w:t> </w:t>
            </w:r>
            <w:r>
              <w:rPr>
                <w:sz w:val="20"/>
              </w:rPr>
              <w:t>and</w:t>
            </w:r>
            <w:r>
              <w:rPr>
                <w:spacing w:val="-14"/>
                <w:sz w:val="20"/>
              </w:rPr>
              <w:t> </w:t>
            </w:r>
            <w:r>
              <w:rPr>
                <w:sz w:val="20"/>
              </w:rPr>
              <w:t>greater</w:t>
            </w:r>
            <w:r>
              <w:rPr>
                <w:spacing w:val="-14"/>
                <w:sz w:val="20"/>
              </w:rPr>
              <w:t> </w:t>
            </w:r>
            <w:r>
              <w:rPr>
                <w:sz w:val="20"/>
              </w:rPr>
              <w:t>alignment</w:t>
            </w:r>
            <w:r>
              <w:rPr>
                <w:spacing w:val="-14"/>
                <w:sz w:val="20"/>
              </w:rPr>
              <w:t> </w:t>
            </w:r>
            <w:r>
              <w:rPr>
                <w:sz w:val="20"/>
              </w:rPr>
              <w:t>of</w:t>
            </w:r>
            <w:r>
              <w:rPr>
                <w:spacing w:val="-14"/>
                <w:sz w:val="20"/>
              </w:rPr>
              <w:t> </w:t>
            </w:r>
            <w:r>
              <w:rPr>
                <w:sz w:val="20"/>
              </w:rPr>
              <w:t>cancer</w:t>
            </w:r>
            <w:r>
              <w:rPr>
                <w:spacing w:val="-14"/>
                <w:sz w:val="20"/>
              </w:rPr>
              <w:t> </w:t>
            </w:r>
            <w:r>
              <w:rPr>
                <w:sz w:val="20"/>
              </w:rPr>
              <w:t>planning</w:t>
            </w:r>
            <w:r>
              <w:rPr>
                <w:spacing w:val="-14"/>
                <w:sz w:val="20"/>
              </w:rPr>
              <w:t> </w:t>
            </w:r>
            <w:r>
              <w:rPr>
                <w:sz w:val="20"/>
              </w:rPr>
              <w:t>arrangements.</w:t>
            </w:r>
          </w:p>
          <w:p>
            <w:pPr>
              <w:pStyle w:val="TableParagraph"/>
              <w:spacing w:line="254" w:lineRule="auto" w:before="61"/>
              <w:ind w:left="120"/>
              <w:rPr>
                <w:sz w:val="20"/>
              </w:rPr>
            </w:pPr>
            <w:r>
              <w:rPr>
                <w:sz w:val="20"/>
              </w:rPr>
              <w:t>Members</w:t>
            </w:r>
            <w:r>
              <w:rPr>
                <w:spacing w:val="-14"/>
                <w:sz w:val="20"/>
              </w:rPr>
              <w:t> </w:t>
            </w:r>
            <w:r>
              <w:rPr>
                <w:sz w:val="20"/>
              </w:rPr>
              <w:t>also</w:t>
            </w:r>
            <w:r>
              <w:rPr>
                <w:spacing w:val="-14"/>
                <w:sz w:val="20"/>
              </w:rPr>
              <w:t> </w:t>
            </w:r>
            <w:r>
              <w:rPr>
                <w:sz w:val="20"/>
              </w:rPr>
              <w:t>identified</w:t>
            </w:r>
            <w:r>
              <w:rPr>
                <w:spacing w:val="-14"/>
                <w:sz w:val="20"/>
              </w:rPr>
              <w:t> </w:t>
            </w:r>
            <w:r>
              <w:rPr>
                <w:sz w:val="20"/>
              </w:rPr>
              <w:t>the</w:t>
            </w:r>
            <w:r>
              <w:rPr>
                <w:spacing w:val="-14"/>
                <w:sz w:val="20"/>
              </w:rPr>
              <w:t> </w:t>
            </w:r>
            <w:r>
              <w:rPr>
                <w:sz w:val="20"/>
              </w:rPr>
              <w:t>need</w:t>
            </w:r>
            <w:r>
              <w:rPr>
                <w:spacing w:val="-14"/>
                <w:sz w:val="20"/>
              </w:rPr>
              <w:t> </w:t>
            </w:r>
            <w:r>
              <w:rPr>
                <w:sz w:val="20"/>
              </w:rPr>
              <w:t>for</w:t>
            </w:r>
            <w:r>
              <w:rPr>
                <w:spacing w:val="-14"/>
                <w:sz w:val="20"/>
              </w:rPr>
              <w:t> </w:t>
            </w:r>
            <w:r>
              <w:rPr>
                <w:sz w:val="20"/>
              </w:rPr>
              <w:t>both</w:t>
            </w:r>
            <w:r>
              <w:rPr>
                <w:spacing w:val="-14"/>
                <w:sz w:val="20"/>
              </w:rPr>
              <w:t> </w:t>
            </w:r>
            <w:r>
              <w:rPr>
                <w:sz w:val="20"/>
              </w:rPr>
              <w:t>Health</w:t>
            </w:r>
            <w:r>
              <w:rPr>
                <w:spacing w:val="-14"/>
                <w:sz w:val="20"/>
              </w:rPr>
              <w:t> </w:t>
            </w:r>
            <w:r>
              <w:rPr>
                <w:sz w:val="20"/>
              </w:rPr>
              <w:t>Boards</w:t>
            </w:r>
            <w:r>
              <w:rPr>
                <w:spacing w:val="-14"/>
                <w:sz w:val="20"/>
              </w:rPr>
              <w:t> </w:t>
            </w:r>
            <w:r>
              <w:rPr>
                <w:sz w:val="20"/>
              </w:rPr>
              <w:t>to</w:t>
            </w:r>
            <w:r>
              <w:rPr>
                <w:spacing w:val="-13"/>
                <w:sz w:val="20"/>
              </w:rPr>
              <w:t> </w:t>
            </w:r>
            <w:r>
              <w:rPr>
                <w:sz w:val="20"/>
              </w:rPr>
              <w:t>share</w:t>
            </w:r>
            <w:r>
              <w:rPr>
                <w:spacing w:val="-14"/>
                <w:sz w:val="20"/>
              </w:rPr>
              <w:t> </w:t>
            </w:r>
            <w:r>
              <w:rPr>
                <w:sz w:val="20"/>
              </w:rPr>
              <w:t>their</w:t>
            </w:r>
            <w:r>
              <w:rPr>
                <w:spacing w:val="-14"/>
                <w:sz w:val="20"/>
              </w:rPr>
              <w:t> </w:t>
            </w:r>
            <w:r>
              <w:rPr>
                <w:sz w:val="20"/>
              </w:rPr>
              <w:t>current</w:t>
            </w:r>
            <w:r>
              <w:rPr>
                <w:spacing w:val="-14"/>
                <w:sz w:val="20"/>
              </w:rPr>
              <w:t> </w:t>
            </w:r>
            <w:r>
              <w:rPr>
                <w:sz w:val="20"/>
              </w:rPr>
              <w:t>strategic</w:t>
            </w:r>
            <w:r>
              <w:rPr>
                <w:spacing w:val="-14"/>
                <w:sz w:val="20"/>
              </w:rPr>
              <w:t> </w:t>
            </w:r>
            <w:r>
              <w:rPr>
                <w:sz w:val="20"/>
              </w:rPr>
              <w:t>cancer</w:t>
            </w:r>
            <w:r>
              <w:rPr>
                <w:spacing w:val="-12"/>
                <w:sz w:val="20"/>
              </w:rPr>
              <w:t> </w:t>
            </w:r>
            <w:r>
              <w:rPr>
                <w:sz w:val="20"/>
              </w:rPr>
              <w:t>plans.</w:t>
            </w:r>
            <w:r>
              <w:rPr>
                <w:spacing w:val="-14"/>
                <w:sz w:val="20"/>
              </w:rPr>
              <w:t> </w:t>
            </w:r>
            <w:r>
              <w:rPr>
                <w:sz w:val="20"/>
              </w:rPr>
              <w:t>Swansea </w:t>
            </w:r>
            <w:r>
              <w:rPr>
                <w:spacing w:val="-2"/>
                <w:sz w:val="20"/>
              </w:rPr>
              <w:t>Bay’s</w:t>
            </w:r>
            <w:r>
              <w:rPr>
                <w:spacing w:val="-12"/>
                <w:sz w:val="20"/>
              </w:rPr>
              <w:t> </w:t>
            </w:r>
            <w:r>
              <w:rPr>
                <w:spacing w:val="-2"/>
                <w:sz w:val="20"/>
              </w:rPr>
              <w:t>Cancer</w:t>
            </w:r>
            <w:r>
              <w:rPr>
                <w:spacing w:val="-13"/>
                <w:sz w:val="20"/>
              </w:rPr>
              <w:t> </w:t>
            </w:r>
            <w:r>
              <w:rPr>
                <w:spacing w:val="-2"/>
                <w:sz w:val="20"/>
              </w:rPr>
              <w:t>Strategy</w:t>
            </w:r>
            <w:r>
              <w:rPr>
                <w:spacing w:val="-8"/>
                <w:sz w:val="20"/>
              </w:rPr>
              <w:t> </w:t>
            </w:r>
            <w:r>
              <w:rPr>
                <w:spacing w:val="-2"/>
                <w:sz w:val="20"/>
              </w:rPr>
              <w:t>and</w:t>
            </w:r>
            <w:r>
              <w:rPr>
                <w:spacing w:val="-12"/>
                <w:sz w:val="20"/>
              </w:rPr>
              <w:t> </w:t>
            </w:r>
            <w:r>
              <w:rPr>
                <w:spacing w:val="-2"/>
                <w:sz w:val="20"/>
              </w:rPr>
              <w:t>Cancer</w:t>
            </w:r>
            <w:r>
              <w:rPr>
                <w:spacing w:val="-12"/>
                <w:sz w:val="20"/>
              </w:rPr>
              <w:t> </w:t>
            </w:r>
            <w:r>
              <w:rPr>
                <w:spacing w:val="-2"/>
                <w:sz w:val="20"/>
              </w:rPr>
              <w:t>Improvement</w:t>
            </w:r>
            <w:r>
              <w:rPr>
                <w:spacing w:val="-12"/>
                <w:sz w:val="20"/>
              </w:rPr>
              <w:t> </w:t>
            </w:r>
            <w:r>
              <w:rPr>
                <w:spacing w:val="-2"/>
                <w:sz w:val="20"/>
              </w:rPr>
              <w:t>Framework</w:t>
            </w:r>
            <w:r>
              <w:rPr>
                <w:spacing w:val="-10"/>
                <w:sz w:val="20"/>
              </w:rPr>
              <w:t> </w:t>
            </w:r>
            <w:r>
              <w:rPr>
                <w:spacing w:val="-2"/>
                <w:sz w:val="20"/>
              </w:rPr>
              <w:t>has</w:t>
            </w:r>
            <w:r>
              <w:rPr>
                <w:spacing w:val="-10"/>
                <w:sz w:val="20"/>
              </w:rPr>
              <w:t> </w:t>
            </w:r>
            <w:r>
              <w:rPr>
                <w:spacing w:val="-2"/>
                <w:sz w:val="20"/>
              </w:rPr>
              <w:t>been</w:t>
            </w:r>
            <w:r>
              <w:rPr>
                <w:spacing w:val="-12"/>
                <w:sz w:val="20"/>
              </w:rPr>
              <w:t> </w:t>
            </w:r>
            <w:r>
              <w:rPr>
                <w:spacing w:val="-2"/>
                <w:sz w:val="20"/>
              </w:rPr>
              <w:t>approved</w:t>
            </w:r>
            <w:r>
              <w:rPr>
                <w:spacing w:val="-12"/>
                <w:sz w:val="20"/>
              </w:rPr>
              <w:t> </w:t>
            </w:r>
            <w:r>
              <w:rPr>
                <w:spacing w:val="-2"/>
                <w:sz w:val="20"/>
              </w:rPr>
              <w:t>by</w:t>
            </w:r>
            <w:r>
              <w:rPr>
                <w:spacing w:val="-10"/>
                <w:sz w:val="20"/>
              </w:rPr>
              <w:t> </w:t>
            </w:r>
            <w:r>
              <w:rPr>
                <w:spacing w:val="-2"/>
                <w:sz w:val="20"/>
              </w:rPr>
              <w:t>its</w:t>
            </w:r>
            <w:r>
              <w:rPr>
                <w:spacing w:val="-11"/>
                <w:sz w:val="20"/>
              </w:rPr>
              <w:t> </w:t>
            </w:r>
            <w:r>
              <w:rPr>
                <w:spacing w:val="-2"/>
                <w:sz w:val="20"/>
              </w:rPr>
              <w:t>Public</w:t>
            </w:r>
            <w:r>
              <w:rPr>
                <w:spacing w:val="-11"/>
                <w:sz w:val="20"/>
              </w:rPr>
              <w:t> </w:t>
            </w:r>
            <w:r>
              <w:rPr>
                <w:spacing w:val="-2"/>
                <w:sz w:val="20"/>
              </w:rPr>
              <w:t>Board</w:t>
            </w:r>
            <w:r>
              <w:rPr>
                <w:spacing w:val="-12"/>
                <w:sz w:val="20"/>
              </w:rPr>
              <w:t> </w:t>
            </w:r>
            <w:r>
              <w:rPr>
                <w:spacing w:val="-2"/>
                <w:sz w:val="20"/>
              </w:rPr>
              <w:t>and</w:t>
            </w:r>
            <w:r>
              <w:rPr>
                <w:spacing w:val="-12"/>
                <w:sz w:val="20"/>
              </w:rPr>
              <w:t> </w:t>
            </w:r>
            <w:r>
              <w:rPr>
                <w:spacing w:val="-2"/>
                <w:sz w:val="20"/>
              </w:rPr>
              <w:t>is</w:t>
            </w:r>
            <w:r>
              <w:rPr>
                <w:spacing w:val="-11"/>
                <w:sz w:val="20"/>
              </w:rPr>
              <w:t> </w:t>
            </w:r>
            <w:r>
              <w:rPr>
                <w:spacing w:val="-2"/>
                <w:sz w:val="20"/>
              </w:rPr>
              <w:t>further advanced</w:t>
            </w:r>
            <w:r>
              <w:rPr>
                <w:spacing w:val="-12"/>
                <w:sz w:val="20"/>
              </w:rPr>
              <w:t> </w:t>
            </w:r>
            <w:r>
              <w:rPr>
                <w:spacing w:val="-2"/>
                <w:sz w:val="20"/>
              </w:rPr>
              <w:t>in</w:t>
            </w:r>
            <w:r>
              <w:rPr>
                <w:spacing w:val="-12"/>
                <w:sz w:val="20"/>
              </w:rPr>
              <w:t> </w:t>
            </w:r>
            <w:r>
              <w:rPr>
                <w:spacing w:val="-2"/>
                <w:sz w:val="20"/>
              </w:rPr>
              <w:t>development,</w:t>
            </w:r>
            <w:r>
              <w:rPr>
                <w:spacing w:val="-12"/>
                <w:sz w:val="20"/>
              </w:rPr>
              <w:t> </w:t>
            </w:r>
            <w:r>
              <w:rPr>
                <w:spacing w:val="-2"/>
                <w:sz w:val="20"/>
              </w:rPr>
              <w:t>while</w:t>
            </w:r>
            <w:r>
              <w:rPr>
                <w:spacing w:val="-12"/>
                <w:sz w:val="20"/>
              </w:rPr>
              <w:t> </w:t>
            </w:r>
            <w:r>
              <w:rPr>
                <w:spacing w:val="-2"/>
                <w:sz w:val="20"/>
              </w:rPr>
              <w:t>Hywel</w:t>
            </w:r>
            <w:r>
              <w:rPr>
                <w:spacing w:val="-12"/>
                <w:sz w:val="20"/>
              </w:rPr>
              <w:t> </w:t>
            </w:r>
            <w:r>
              <w:rPr>
                <w:spacing w:val="-2"/>
                <w:sz w:val="20"/>
              </w:rPr>
              <w:t>Dda’s</w:t>
            </w:r>
            <w:r>
              <w:rPr>
                <w:spacing w:val="-12"/>
                <w:sz w:val="20"/>
              </w:rPr>
              <w:t> </w:t>
            </w:r>
            <w:r>
              <w:rPr>
                <w:spacing w:val="-2"/>
                <w:sz w:val="20"/>
              </w:rPr>
              <w:t>Cancer</w:t>
            </w:r>
            <w:r>
              <w:rPr>
                <w:spacing w:val="-12"/>
                <w:sz w:val="20"/>
              </w:rPr>
              <w:t> </w:t>
            </w:r>
            <w:r>
              <w:rPr>
                <w:spacing w:val="-2"/>
                <w:sz w:val="20"/>
              </w:rPr>
              <w:t>Strategy</w:t>
            </w:r>
            <w:r>
              <w:rPr>
                <w:spacing w:val="-12"/>
                <w:sz w:val="20"/>
              </w:rPr>
              <w:t> </w:t>
            </w:r>
            <w:r>
              <w:rPr>
                <w:spacing w:val="-2"/>
                <w:sz w:val="20"/>
              </w:rPr>
              <w:t>and</w:t>
            </w:r>
            <w:r>
              <w:rPr>
                <w:spacing w:val="-12"/>
                <w:sz w:val="20"/>
              </w:rPr>
              <w:t> </w:t>
            </w:r>
            <w:r>
              <w:rPr>
                <w:spacing w:val="-2"/>
                <w:sz w:val="20"/>
              </w:rPr>
              <w:t>Cancer</w:t>
            </w:r>
            <w:r>
              <w:rPr>
                <w:spacing w:val="-12"/>
                <w:sz w:val="20"/>
              </w:rPr>
              <w:t> </w:t>
            </w:r>
            <w:r>
              <w:rPr>
                <w:spacing w:val="-2"/>
                <w:sz w:val="20"/>
              </w:rPr>
              <w:t>Improvement</w:t>
            </w:r>
            <w:r>
              <w:rPr>
                <w:spacing w:val="-12"/>
                <w:sz w:val="20"/>
              </w:rPr>
              <w:t> </w:t>
            </w:r>
            <w:r>
              <w:rPr>
                <w:spacing w:val="-2"/>
                <w:sz w:val="20"/>
              </w:rPr>
              <w:t>Framework</w:t>
            </w:r>
            <w:r>
              <w:rPr>
                <w:spacing w:val="-11"/>
                <w:sz w:val="20"/>
              </w:rPr>
              <w:t> </w:t>
            </w:r>
            <w:r>
              <w:rPr>
                <w:spacing w:val="-2"/>
                <w:sz w:val="20"/>
              </w:rPr>
              <w:t>are</w:t>
            </w:r>
            <w:r>
              <w:rPr>
                <w:spacing w:val="-12"/>
                <w:sz w:val="20"/>
              </w:rPr>
              <w:t> </w:t>
            </w:r>
            <w:r>
              <w:rPr>
                <w:spacing w:val="-2"/>
                <w:sz w:val="20"/>
              </w:rPr>
              <w:t>currently being</w:t>
            </w:r>
            <w:r>
              <w:rPr>
                <w:spacing w:val="-4"/>
                <w:sz w:val="20"/>
              </w:rPr>
              <w:t> </w:t>
            </w:r>
            <w:r>
              <w:rPr>
                <w:spacing w:val="-2"/>
                <w:sz w:val="20"/>
              </w:rPr>
              <w:t>developed.</w:t>
            </w:r>
            <w:r>
              <w:rPr>
                <w:spacing w:val="-4"/>
                <w:sz w:val="20"/>
              </w:rPr>
              <w:t> </w:t>
            </w:r>
            <w:r>
              <w:rPr>
                <w:spacing w:val="-2"/>
                <w:sz w:val="20"/>
              </w:rPr>
              <w:t>Regional work</w:t>
            </w:r>
            <w:r>
              <w:rPr>
                <w:spacing w:val="-3"/>
                <w:sz w:val="20"/>
              </w:rPr>
              <w:t> </w:t>
            </w:r>
            <w:r>
              <w:rPr>
                <w:spacing w:val="-2"/>
                <w:sz w:val="20"/>
              </w:rPr>
              <w:t>should</w:t>
            </w:r>
            <w:r>
              <w:rPr>
                <w:spacing w:val="-4"/>
                <w:sz w:val="20"/>
              </w:rPr>
              <w:t> </w:t>
            </w:r>
            <w:r>
              <w:rPr>
                <w:spacing w:val="-2"/>
                <w:sz w:val="20"/>
              </w:rPr>
              <w:t>therefore</w:t>
            </w:r>
            <w:r>
              <w:rPr>
                <w:spacing w:val="-4"/>
                <w:sz w:val="20"/>
              </w:rPr>
              <w:t> </w:t>
            </w:r>
            <w:r>
              <w:rPr>
                <w:spacing w:val="-2"/>
                <w:sz w:val="20"/>
              </w:rPr>
              <w:t>build</w:t>
            </w:r>
            <w:r>
              <w:rPr>
                <w:spacing w:val="-4"/>
                <w:sz w:val="20"/>
              </w:rPr>
              <w:t> </w:t>
            </w:r>
            <w:r>
              <w:rPr>
                <w:spacing w:val="-2"/>
                <w:sz w:val="20"/>
              </w:rPr>
              <w:t>on</w:t>
            </w:r>
            <w:r>
              <w:rPr>
                <w:spacing w:val="-4"/>
                <w:sz w:val="20"/>
              </w:rPr>
              <w:t> </w:t>
            </w:r>
            <w:r>
              <w:rPr>
                <w:spacing w:val="-2"/>
                <w:sz w:val="20"/>
              </w:rPr>
              <w:t>both</w:t>
            </w:r>
            <w:r>
              <w:rPr>
                <w:spacing w:val="-4"/>
                <w:sz w:val="20"/>
              </w:rPr>
              <w:t> </w:t>
            </w:r>
            <w:r>
              <w:rPr>
                <w:spacing w:val="-2"/>
                <w:sz w:val="20"/>
              </w:rPr>
              <w:t>organisations’ positions without</w:t>
            </w:r>
            <w:r>
              <w:rPr>
                <w:spacing w:val="-3"/>
                <w:sz w:val="20"/>
              </w:rPr>
              <w:t> </w:t>
            </w:r>
            <w:r>
              <w:rPr>
                <w:spacing w:val="-2"/>
                <w:sz w:val="20"/>
              </w:rPr>
              <w:t>replacing,</w:t>
            </w:r>
            <w:r>
              <w:rPr>
                <w:spacing w:val="-3"/>
                <w:sz w:val="20"/>
              </w:rPr>
              <w:t> </w:t>
            </w:r>
            <w:r>
              <w:rPr>
                <w:spacing w:val="-2"/>
                <w:sz w:val="20"/>
              </w:rPr>
              <w:t>pre-</w:t>
            </w:r>
            <w:r>
              <w:rPr>
                <w:sz w:val="20"/>
              </w:rPr>
              <w:t>empting</w:t>
            </w:r>
            <w:r>
              <w:rPr>
                <w:spacing w:val="-4"/>
                <w:sz w:val="20"/>
              </w:rPr>
              <w:t> </w:t>
            </w:r>
            <w:r>
              <w:rPr>
                <w:sz w:val="20"/>
              </w:rPr>
              <w:t>or</w:t>
            </w:r>
            <w:r>
              <w:rPr>
                <w:spacing w:val="-5"/>
                <w:sz w:val="20"/>
              </w:rPr>
              <w:t> </w:t>
            </w:r>
            <w:r>
              <w:rPr>
                <w:sz w:val="20"/>
              </w:rPr>
              <w:t>assuming</w:t>
            </w:r>
            <w:r>
              <w:rPr>
                <w:spacing w:val="-4"/>
                <w:sz w:val="20"/>
              </w:rPr>
              <w:t> </w:t>
            </w:r>
            <w:r>
              <w:rPr>
                <w:sz w:val="20"/>
              </w:rPr>
              <w:t>identical</w:t>
            </w:r>
            <w:r>
              <w:rPr>
                <w:spacing w:val="-2"/>
                <w:sz w:val="20"/>
              </w:rPr>
              <w:t> </w:t>
            </w:r>
            <w:r>
              <w:rPr>
                <w:sz w:val="20"/>
              </w:rPr>
              <w:t>local</w:t>
            </w:r>
            <w:r>
              <w:rPr>
                <w:spacing w:val="-2"/>
                <w:sz w:val="20"/>
              </w:rPr>
              <w:t> </w:t>
            </w:r>
            <w:r>
              <w:rPr>
                <w:sz w:val="20"/>
              </w:rPr>
              <w:t>arrangements.</w:t>
            </w:r>
          </w:p>
          <w:p>
            <w:pPr>
              <w:pStyle w:val="TableParagraph"/>
              <w:spacing w:line="254" w:lineRule="auto" w:before="97"/>
              <w:ind w:left="120" w:right="117"/>
              <w:rPr>
                <w:sz w:val="20"/>
              </w:rPr>
            </w:pPr>
            <w:r>
              <w:rPr>
                <w:sz w:val="20"/>
              </w:rPr>
              <w:t>Development</w:t>
            </w:r>
            <w:r>
              <w:rPr>
                <w:spacing w:val="-14"/>
                <w:sz w:val="20"/>
              </w:rPr>
              <w:t> </w:t>
            </w:r>
            <w:r>
              <w:rPr>
                <w:sz w:val="20"/>
              </w:rPr>
              <w:t>of</w:t>
            </w:r>
            <w:r>
              <w:rPr>
                <w:spacing w:val="-14"/>
                <w:sz w:val="20"/>
              </w:rPr>
              <w:t> </w:t>
            </w:r>
            <w:r>
              <w:rPr>
                <w:sz w:val="20"/>
              </w:rPr>
              <w:t>a</w:t>
            </w:r>
            <w:r>
              <w:rPr>
                <w:spacing w:val="-14"/>
                <w:sz w:val="20"/>
              </w:rPr>
              <w:t> </w:t>
            </w:r>
            <w:r>
              <w:rPr>
                <w:sz w:val="20"/>
              </w:rPr>
              <w:t>regional</w:t>
            </w:r>
            <w:r>
              <w:rPr>
                <w:spacing w:val="-14"/>
                <w:sz w:val="20"/>
              </w:rPr>
              <w:t> </w:t>
            </w:r>
            <w:r>
              <w:rPr>
                <w:sz w:val="20"/>
              </w:rPr>
              <w:t>approach</w:t>
            </w:r>
            <w:r>
              <w:rPr>
                <w:spacing w:val="-14"/>
                <w:sz w:val="20"/>
              </w:rPr>
              <w:t> </w:t>
            </w:r>
            <w:r>
              <w:rPr>
                <w:sz w:val="20"/>
              </w:rPr>
              <w:t>should</w:t>
            </w:r>
            <w:r>
              <w:rPr>
                <w:spacing w:val="-14"/>
                <w:sz w:val="20"/>
              </w:rPr>
              <w:t> </w:t>
            </w:r>
            <w:r>
              <w:rPr>
                <w:sz w:val="20"/>
              </w:rPr>
              <w:t>connect</w:t>
            </w:r>
            <w:r>
              <w:rPr>
                <w:spacing w:val="-14"/>
                <w:sz w:val="20"/>
              </w:rPr>
              <w:t> </w:t>
            </w:r>
            <w:r>
              <w:rPr>
                <w:sz w:val="20"/>
              </w:rPr>
              <w:t>with</w:t>
            </w:r>
            <w:r>
              <w:rPr>
                <w:spacing w:val="-14"/>
                <w:sz w:val="20"/>
              </w:rPr>
              <w:t> </w:t>
            </w:r>
            <w:r>
              <w:rPr>
                <w:sz w:val="20"/>
              </w:rPr>
              <w:t>the</w:t>
            </w:r>
            <w:r>
              <w:rPr>
                <w:spacing w:val="-14"/>
                <w:sz w:val="20"/>
              </w:rPr>
              <w:t> </w:t>
            </w:r>
            <w:r>
              <w:rPr>
                <w:sz w:val="20"/>
              </w:rPr>
              <w:t>existing</w:t>
            </w:r>
            <w:r>
              <w:rPr>
                <w:spacing w:val="-13"/>
                <w:sz w:val="20"/>
              </w:rPr>
              <w:t> </w:t>
            </w:r>
            <w:r>
              <w:rPr>
                <w:sz w:val="20"/>
              </w:rPr>
              <w:t>cancer</w:t>
            </w:r>
            <w:r>
              <w:rPr>
                <w:spacing w:val="-14"/>
                <w:sz w:val="20"/>
              </w:rPr>
              <w:t> </w:t>
            </w:r>
            <w:r>
              <w:rPr>
                <w:sz w:val="20"/>
              </w:rPr>
              <w:t>leadership</w:t>
            </w:r>
            <w:r>
              <w:rPr>
                <w:spacing w:val="-14"/>
                <w:sz w:val="20"/>
              </w:rPr>
              <w:t> </w:t>
            </w:r>
            <w:r>
              <w:rPr>
                <w:sz w:val="20"/>
              </w:rPr>
              <w:t>and</w:t>
            </w:r>
            <w:r>
              <w:rPr>
                <w:spacing w:val="-14"/>
                <w:sz w:val="20"/>
              </w:rPr>
              <w:t> </w:t>
            </w:r>
            <w:r>
              <w:rPr>
                <w:sz w:val="20"/>
              </w:rPr>
              <w:t>clinical</w:t>
            </w:r>
            <w:r>
              <w:rPr>
                <w:spacing w:val="-14"/>
                <w:sz w:val="20"/>
              </w:rPr>
              <w:t> </w:t>
            </w:r>
            <w:r>
              <w:rPr>
                <w:sz w:val="20"/>
              </w:rPr>
              <w:t>planning </w:t>
            </w:r>
            <w:r>
              <w:rPr>
                <w:spacing w:val="-2"/>
                <w:sz w:val="20"/>
              </w:rPr>
              <w:t>arrangements</w:t>
            </w:r>
            <w:r>
              <w:rPr>
                <w:spacing w:val="-12"/>
                <w:sz w:val="20"/>
              </w:rPr>
              <w:t> </w:t>
            </w:r>
            <w:r>
              <w:rPr>
                <w:spacing w:val="-2"/>
                <w:sz w:val="20"/>
              </w:rPr>
              <w:t>in</w:t>
            </w:r>
            <w:r>
              <w:rPr>
                <w:spacing w:val="-12"/>
                <w:sz w:val="20"/>
              </w:rPr>
              <w:t> </w:t>
            </w:r>
            <w:r>
              <w:rPr>
                <w:spacing w:val="-2"/>
                <w:sz w:val="20"/>
              </w:rPr>
              <w:t>both</w:t>
            </w:r>
            <w:r>
              <w:rPr>
                <w:spacing w:val="-12"/>
                <w:sz w:val="20"/>
              </w:rPr>
              <w:t> </w:t>
            </w:r>
            <w:r>
              <w:rPr>
                <w:spacing w:val="-2"/>
                <w:sz w:val="20"/>
              </w:rPr>
              <w:t>Health</w:t>
            </w:r>
            <w:r>
              <w:rPr>
                <w:spacing w:val="-12"/>
                <w:sz w:val="20"/>
              </w:rPr>
              <w:t> </w:t>
            </w:r>
            <w:r>
              <w:rPr>
                <w:spacing w:val="-2"/>
                <w:sz w:val="20"/>
              </w:rPr>
              <w:t>Boards</w:t>
            </w:r>
            <w:r>
              <w:rPr>
                <w:spacing w:val="-12"/>
                <w:sz w:val="20"/>
              </w:rPr>
              <w:t> </w:t>
            </w:r>
            <w:r>
              <w:rPr>
                <w:spacing w:val="-2"/>
                <w:sz w:val="20"/>
              </w:rPr>
              <w:t>and</w:t>
            </w:r>
            <w:r>
              <w:rPr>
                <w:spacing w:val="-12"/>
                <w:sz w:val="20"/>
              </w:rPr>
              <w:t> </w:t>
            </w:r>
            <w:r>
              <w:rPr>
                <w:spacing w:val="-2"/>
                <w:sz w:val="20"/>
              </w:rPr>
              <w:t>with</w:t>
            </w:r>
            <w:r>
              <w:rPr>
                <w:spacing w:val="-12"/>
                <w:sz w:val="20"/>
              </w:rPr>
              <w:t> </w:t>
            </w:r>
            <w:r>
              <w:rPr>
                <w:spacing w:val="-2"/>
                <w:sz w:val="20"/>
              </w:rPr>
              <w:t>the</w:t>
            </w:r>
            <w:r>
              <w:rPr>
                <w:spacing w:val="-12"/>
                <w:sz w:val="20"/>
              </w:rPr>
              <w:t> </w:t>
            </w:r>
            <w:r>
              <w:rPr>
                <w:spacing w:val="-2"/>
                <w:sz w:val="20"/>
              </w:rPr>
              <w:t>Regional</w:t>
            </w:r>
            <w:r>
              <w:rPr>
                <w:spacing w:val="-12"/>
                <w:sz w:val="20"/>
              </w:rPr>
              <w:t> </w:t>
            </w:r>
            <w:r>
              <w:rPr>
                <w:spacing w:val="-2"/>
                <w:sz w:val="20"/>
              </w:rPr>
              <w:t>Clinical</w:t>
            </w:r>
            <w:r>
              <w:rPr>
                <w:spacing w:val="-12"/>
                <w:sz w:val="20"/>
              </w:rPr>
              <w:t> </w:t>
            </w:r>
            <w:r>
              <w:rPr>
                <w:spacing w:val="-2"/>
                <w:sz w:val="20"/>
              </w:rPr>
              <w:t>Services</w:t>
            </w:r>
            <w:r>
              <w:rPr>
                <w:spacing w:val="-12"/>
                <w:sz w:val="20"/>
              </w:rPr>
              <w:t> </w:t>
            </w:r>
            <w:r>
              <w:rPr>
                <w:spacing w:val="-2"/>
                <w:sz w:val="20"/>
              </w:rPr>
              <w:t>Planning</w:t>
            </w:r>
            <w:r>
              <w:rPr>
                <w:spacing w:val="-12"/>
                <w:sz w:val="20"/>
              </w:rPr>
              <w:t> </w:t>
            </w:r>
            <w:r>
              <w:rPr>
                <w:spacing w:val="-2"/>
                <w:sz w:val="20"/>
              </w:rPr>
              <w:t>portfolio.</w:t>
            </w:r>
            <w:r>
              <w:rPr>
                <w:spacing w:val="-11"/>
                <w:sz w:val="20"/>
              </w:rPr>
              <w:t> </w:t>
            </w:r>
            <w:r>
              <w:rPr>
                <w:spacing w:val="-2"/>
                <w:sz w:val="20"/>
              </w:rPr>
              <w:t>It</w:t>
            </w:r>
            <w:r>
              <w:rPr>
                <w:spacing w:val="-11"/>
                <w:sz w:val="20"/>
              </w:rPr>
              <w:t> </w:t>
            </w:r>
            <w:r>
              <w:rPr>
                <w:spacing w:val="-2"/>
                <w:sz w:val="20"/>
              </w:rPr>
              <w:t>should</w:t>
            </w:r>
            <w:r>
              <w:rPr>
                <w:spacing w:val="-11"/>
                <w:sz w:val="20"/>
              </w:rPr>
              <w:t> </w:t>
            </w:r>
            <w:r>
              <w:rPr>
                <w:spacing w:val="-2"/>
                <w:sz w:val="20"/>
              </w:rPr>
              <w:t>not</w:t>
            </w:r>
            <w:r>
              <w:rPr>
                <w:spacing w:val="-11"/>
                <w:sz w:val="20"/>
              </w:rPr>
              <w:t> </w:t>
            </w:r>
            <w:r>
              <w:rPr>
                <w:spacing w:val="-2"/>
                <w:sz w:val="20"/>
              </w:rPr>
              <w:t>create a</w:t>
            </w:r>
            <w:r>
              <w:rPr>
                <w:spacing w:val="-4"/>
                <w:sz w:val="20"/>
              </w:rPr>
              <w:t> </w:t>
            </w:r>
            <w:r>
              <w:rPr>
                <w:spacing w:val="-2"/>
                <w:sz w:val="20"/>
              </w:rPr>
              <w:t>separate</w:t>
            </w:r>
            <w:r>
              <w:rPr>
                <w:spacing w:val="-5"/>
                <w:sz w:val="20"/>
              </w:rPr>
              <w:t> </w:t>
            </w:r>
            <w:r>
              <w:rPr>
                <w:spacing w:val="-2"/>
                <w:sz w:val="20"/>
              </w:rPr>
              <w:t>structure</w:t>
            </w:r>
            <w:r>
              <w:rPr>
                <w:spacing w:val="-4"/>
                <w:sz w:val="20"/>
              </w:rPr>
              <w:t> </w:t>
            </w:r>
            <w:r>
              <w:rPr>
                <w:spacing w:val="-2"/>
                <w:sz w:val="20"/>
              </w:rPr>
              <w:t>disconnected</w:t>
            </w:r>
            <w:r>
              <w:rPr>
                <w:spacing w:val="-4"/>
                <w:sz w:val="20"/>
              </w:rPr>
              <w:t> </w:t>
            </w:r>
            <w:r>
              <w:rPr>
                <w:spacing w:val="-2"/>
                <w:sz w:val="20"/>
              </w:rPr>
              <w:t>from</w:t>
            </w:r>
            <w:r>
              <w:rPr>
                <w:spacing w:val="-4"/>
                <w:sz w:val="20"/>
              </w:rPr>
              <w:t> </w:t>
            </w:r>
            <w:r>
              <w:rPr>
                <w:spacing w:val="-2"/>
                <w:sz w:val="20"/>
              </w:rPr>
              <w:t>local cancer</w:t>
            </w:r>
            <w:r>
              <w:rPr>
                <w:spacing w:val="-4"/>
                <w:sz w:val="20"/>
              </w:rPr>
              <w:t> </w:t>
            </w:r>
            <w:r>
              <w:rPr>
                <w:spacing w:val="-2"/>
                <w:sz w:val="20"/>
              </w:rPr>
              <w:t>strategies,</w:t>
            </w:r>
            <w:r>
              <w:rPr>
                <w:spacing w:val="-3"/>
                <w:sz w:val="20"/>
              </w:rPr>
              <w:t> </w:t>
            </w:r>
            <w:r>
              <w:rPr>
                <w:spacing w:val="-2"/>
                <w:sz w:val="20"/>
              </w:rPr>
              <w:t>clinical service</w:t>
            </w:r>
            <w:r>
              <w:rPr>
                <w:spacing w:val="-4"/>
                <w:sz w:val="20"/>
              </w:rPr>
              <w:t> </w:t>
            </w:r>
            <w:r>
              <w:rPr>
                <w:spacing w:val="-2"/>
                <w:sz w:val="20"/>
              </w:rPr>
              <w:t>plans or</w:t>
            </w:r>
            <w:r>
              <w:rPr>
                <w:spacing w:val="-4"/>
                <w:sz w:val="20"/>
              </w:rPr>
              <w:t> </w:t>
            </w:r>
            <w:r>
              <w:rPr>
                <w:spacing w:val="-2"/>
                <w:sz w:val="20"/>
              </w:rPr>
              <w:t>established</w:t>
            </w:r>
            <w:r>
              <w:rPr>
                <w:spacing w:val="-4"/>
                <w:sz w:val="20"/>
              </w:rPr>
              <w:t> </w:t>
            </w:r>
            <w:r>
              <w:rPr>
                <w:spacing w:val="-2"/>
                <w:sz w:val="20"/>
              </w:rPr>
              <w:t>operational governance.</w:t>
            </w:r>
          </w:p>
          <w:p>
            <w:pPr>
              <w:pStyle w:val="TableParagraph"/>
              <w:spacing w:before="100"/>
              <w:ind w:left="120"/>
              <w:rPr>
                <w:sz w:val="20"/>
              </w:rPr>
            </w:pPr>
            <w:r>
              <w:rPr>
                <w:spacing w:val="-4"/>
                <w:sz w:val="20"/>
              </w:rPr>
              <w:t>The</w:t>
            </w:r>
            <w:r>
              <w:rPr>
                <w:spacing w:val="-2"/>
                <w:sz w:val="20"/>
              </w:rPr>
              <w:t> </w:t>
            </w:r>
            <w:r>
              <w:rPr>
                <w:spacing w:val="-4"/>
                <w:sz w:val="20"/>
              </w:rPr>
              <w:t>case</w:t>
            </w:r>
            <w:r>
              <w:rPr>
                <w:spacing w:val="-2"/>
                <w:sz w:val="20"/>
              </w:rPr>
              <w:t> </w:t>
            </w:r>
            <w:r>
              <w:rPr>
                <w:spacing w:val="-4"/>
                <w:sz w:val="20"/>
              </w:rPr>
              <w:t>for</w:t>
            </w:r>
            <w:r>
              <w:rPr>
                <w:spacing w:val="-3"/>
                <w:sz w:val="20"/>
              </w:rPr>
              <w:t> </w:t>
            </w:r>
            <w:r>
              <w:rPr>
                <w:spacing w:val="-4"/>
                <w:sz w:val="20"/>
              </w:rPr>
              <w:t>a</w:t>
            </w:r>
            <w:r>
              <w:rPr>
                <w:spacing w:val="-2"/>
                <w:sz w:val="20"/>
              </w:rPr>
              <w:t> </w:t>
            </w:r>
            <w:r>
              <w:rPr>
                <w:spacing w:val="-4"/>
                <w:sz w:val="20"/>
              </w:rPr>
              <w:t>wider</w:t>
            </w:r>
            <w:r>
              <w:rPr>
                <w:spacing w:val="-3"/>
                <w:sz w:val="20"/>
              </w:rPr>
              <w:t> </w:t>
            </w:r>
            <w:r>
              <w:rPr>
                <w:spacing w:val="-4"/>
                <w:sz w:val="20"/>
              </w:rPr>
              <w:t>strategic</w:t>
            </w:r>
            <w:r>
              <w:rPr>
                <w:sz w:val="20"/>
              </w:rPr>
              <w:t> </w:t>
            </w:r>
            <w:r>
              <w:rPr>
                <w:spacing w:val="-4"/>
                <w:sz w:val="20"/>
              </w:rPr>
              <w:t>conversation</w:t>
            </w:r>
            <w:r>
              <w:rPr>
                <w:spacing w:val="-1"/>
                <w:sz w:val="20"/>
              </w:rPr>
              <w:t> </w:t>
            </w:r>
            <w:r>
              <w:rPr>
                <w:spacing w:val="-4"/>
                <w:sz w:val="20"/>
              </w:rPr>
              <w:t>is</w:t>
            </w:r>
            <w:r>
              <w:rPr>
                <w:spacing w:val="-1"/>
                <w:sz w:val="20"/>
              </w:rPr>
              <w:t> </w:t>
            </w:r>
            <w:r>
              <w:rPr>
                <w:spacing w:val="-4"/>
                <w:sz w:val="20"/>
              </w:rPr>
              <w:t>reinforced</w:t>
            </w:r>
            <w:r>
              <w:rPr>
                <w:spacing w:val="4"/>
                <w:sz w:val="20"/>
              </w:rPr>
              <w:t> </w:t>
            </w:r>
            <w:r>
              <w:rPr>
                <w:spacing w:val="-5"/>
                <w:sz w:val="20"/>
              </w:rPr>
              <w:t>by:</w:t>
            </w:r>
          </w:p>
          <w:p>
            <w:pPr>
              <w:pStyle w:val="TableParagraph"/>
              <w:numPr>
                <w:ilvl w:val="0"/>
                <w:numId w:val="16"/>
              </w:numPr>
              <w:tabs>
                <w:tab w:pos="560" w:val="left" w:leader="none"/>
              </w:tabs>
              <w:spacing w:line="242" w:lineRule="auto" w:before="117" w:after="0"/>
              <w:ind w:left="560" w:right="669" w:hanging="360"/>
              <w:jc w:val="left"/>
              <w:rPr>
                <w:sz w:val="20"/>
              </w:rPr>
            </w:pPr>
            <w:r>
              <w:rPr>
                <w:spacing w:val="-2"/>
                <w:sz w:val="20"/>
              </w:rPr>
              <w:t>Growing</w:t>
            </w:r>
            <w:r>
              <w:rPr>
                <w:spacing w:val="-12"/>
                <w:sz w:val="20"/>
              </w:rPr>
              <w:t> </w:t>
            </w:r>
            <w:r>
              <w:rPr>
                <w:spacing w:val="-2"/>
                <w:sz w:val="20"/>
              </w:rPr>
              <w:t>demand</w:t>
            </w:r>
            <w:r>
              <w:rPr>
                <w:spacing w:val="-12"/>
                <w:sz w:val="20"/>
              </w:rPr>
              <w:t> </w:t>
            </w:r>
            <w:r>
              <w:rPr>
                <w:spacing w:val="-2"/>
                <w:sz w:val="20"/>
              </w:rPr>
              <w:t>and</w:t>
            </w:r>
            <w:r>
              <w:rPr>
                <w:spacing w:val="-12"/>
                <w:sz w:val="20"/>
              </w:rPr>
              <w:t> </w:t>
            </w:r>
            <w:r>
              <w:rPr>
                <w:spacing w:val="-2"/>
                <w:sz w:val="20"/>
              </w:rPr>
              <w:t>complexity,</w:t>
            </w:r>
            <w:r>
              <w:rPr>
                <w:spacing w:val="-12"/>
                <w:sz w:val="20"/>
              </w:rPr>
              <w:t> </w:t>
            </w:r>
            <w:r>
              <w:rPr>
                <w:spacing w:val="-2"/>
                <w:sz w:val="20"/>
              </w:rPr>
              <w:t>with</w:t>
            </w:r>
            <w:r>
              <w:rPr>
                <w:spacing w:val="-12"/>
                <w:sz w:val="20"/>
              </w:rPr>
              <w:t> </w:t>
            </w:r>
            <w:r>
              <w:rPr>
                <w:spacing w:val="-2"/>
                <w:sz w:val="20"/>
              </w:rPr>
              <w:t>more</w:t>
            </w:r>
            <w:r>
              <w:rPr>
                <w:spacing w:val="-12"/>
                <w:sz w:val="20"/>
              </w:rPr>
              <w:t> </w:t>
            </w:r>
            <w:r>
              <w:rPr>
                <w:spacing w:val="-2"/>
                <w:sz w:val="20"/>
              </w:rPr>
              <w:t>people</w:t>
            </w:r>
            <w:r>
              <w:rPr>
                <w:spacing w:val="-12"/>
                <w:sz w:val="20"/>
              </w:rPr>
              <w:t> </w:t>
            </w:r>
            <w:r>
              <w:rPr>
                <w:spacing w:val="-2"/>
                <w:sz w:val="20"/>
              </w:rPr>
              <w:t>referred</w:t>
            </w:r>
            <w:r>
              <w:rPr>
                <w:spacing w:val="-12"/>
                <w:sz w:val="20"/>
              </w:rPr>
              <w:t> </w:t>
            </w:r>
            <w:r>
              <w:rPr>
                <w:spacing w:val="-2"/>
                <w:sz w:val="20"/>
              </w:rPr>
              <w:t>and</w:t>
            </w:r>
            <w:r>
              <w:rPr>
                <w:spacing w:val="-12"/>
                <w:sz w:val="20"/>
              </w:rPr>
              <w:t> </w:t>
            </w:r>
            <w:r>
              <w:rPr>
                <w:spacing w:val="-2"/>
                <w:sz w:val="20"/>
              </w:rPr>
              <w:t>treated,</w:t>
            </w:r>
            <w:r>
              <w:rPr>
                <w:spacing w:val="-11"/>
                <w:sz w:val="20"/>
              </w:rPr>
              <w:t> </w:t>
            </w:r>
            <w:r>
              <w:rPr>
                <w:spacing w:val="-2"/>
                <w:sz w:val="20"/>
              </w:rPr>
              <w:t>longer</w:t>
            </w:r>
            <w:r>
              <w:rPr>
                <w:spacing w:val="-13"/>
                <w:sz w:val="20"/>
              </w:rPr>
              <w:t> </w:t>
            </w:r>
            <w:r>
              <w:rPr>
                <w:spacing w:val="-2"/>
                <w:sz w:val="20"/>
              </w:rPr>
              <w:t>survival</w:t>
            </w:r>
            <w:r>
              <w:rPr>
                <w:spacing w:val="-12"/>
                <w:sz w:val="20"/>
              </w:rPr>
              <w:t> </w:t>
            </w:r>
            <w:r>
              <w:rPr>
                <w:spacing w:val="-2"/>
                <w:sz w:val="20"/>
              </w:rPr>
              <w:t>and</w:t>
            </w:r>
            <w:r>
              <w:rPr>
                <w:spacing w:val="-12"/>
                <w:sz w:val="20"/>
              </w:rPr>
              <w:t> </w:t>
            </w:r>
            <w:r>
              <w:rPr>
                <w:spacing w:val="-2"/>
                <w:sz w:val="20"/>
              </w:rPr>
              <w:t>increasing pressure</w:t>
            </w:r>
            <w:r>
              <w:rPr>
                <w:spacing w:val="-4"/>
                <w:sz w:val="20"/>
              </w:rPr>
              <w:t> </w:t>
            </w:r>
            <w:r>
              <w:rPr>
                <w:spacing w:val="-2"/>
                <w:sz w:val="20"/>
              </w:rPr>
              <w:t>from</w:t>
            </w:r>
            <w:r>
              <w:rPr>
                <w:spacing w:val="-4"/>
                <w:sz w:val="20"/>
              </w:rPr>
              <w:t> </w:t>
            </w:r>
            <w:r>
              <w:rPr>
                <w:spacing w:val="-2"/>
                <w:sz w:val="20"/>
              </w:rPr>
              <w:t>systemic anti-cancer</w:t>
            </w:r>
            <w:r>
              <w:rPr>
                <w:spacing w:val="-5"/>
                <w:sz w:val="20"/>
              </w:rPr>
              <w:t> </w:t>
            </w:r>
            <w:r>
              <w:rPr>
                <w:spacing w:val="-2"/>
                <w:sz w:val="20"/>
              </w:rPr>
              <w:t>therapy,</w:t>
            </w:r>
            <w:r>
              <w:rPr>
                <w:spacing w:val="-4"/>
                <w:sz w:val="20"/>
              </w:rPr>
              <w:t> </w:t>
            </w:r>
            <w:r>
              <w:rPr>
                <w:spacing w:val="-2"/>
                <w:sz w:val="20"/>
              </w:rPr>
              <w:t>radiotherapy, acute</w:t>
            </w:r>
            <w:r>
              <w:rPr>
                <w:spacing w:val="-4"/>
                <w:sz w:val="20"/>
              </w:rPr>
              <w:t> </w:t>
            </w:r>
            <w:r>
              <w:rPr>
                <w:spacing w:val="-2"/>
                <w:sz w:val="20"/>
              </w:rPr>
              <w:t>oncology and new treatment models.</w:t>
            </w:r>
          </w:p>
          <w:p>
            <w:pPr>
              <w:pStyle w:val="TableParagraph"/>
              <w:numPr>
                <w:ilvl w:val="0"/>
                <w:numId w:val="16"/>
              </w:numPr>
              <w:tabs>
                <w:tab w:pos="560" w:val="left" w:leader="none"/>
              </w:tabs>
              <w:spacing w:line="247" w:lineRule="auto" w:before="10" w:after="0"/>
              <w:ind w:left="560" w:right="662" w:hanging="360"/>
              <w:jc w:val="left"/>
              <w:rPr>
                <w:sz w:val="20"/>
              </w:rPr>
            </w:pPr>
            <w:r>
              <w:rPr>
                <w:spacing w:val="-4"/>
                <w:sz w:val="20"/>
              </w:rPr>
              <w:t>Performance and sustainability pressures, including diagnostic constraints, pathology delays, workforce </w:t>
            </w:r>
            <w:r>
              <w:rPr>
                <w:sz w:val="20"/>
              </w:rPr>
              <w:t>fragility,</w:t>
            </w:r>
            <w:r>
              <w:rPr>
                <w:spacing w:val="-9"/>
                <w:sz w:val="20"/>
              </w:rPr>
              <w:t> </w:t>
            </w:r>
            <w:r>
              <w:rPr>
                <w:sz w:val="20"/>
              </w:rPr>
              <w:t>treatment</w:t>
            </w:r>
            <w:r>
              <w:rPr>
                <w:spacing w:val="-9"/>
                <w:sz w:val="20"/>
              </w:rPr>
              <w:t> </w:t>
            </w:r>
            <w:r>
              <w:rPr>
                <w:sz w:val="20"/>
              </w:rPr>
              <w:t>capacity</w:t>
            </w:r>
            <w:r>
              <w:rPr>
                <w:spacing w:val="-4"/>
                <w:sz w:val="20"/>
              </w:rPr>
              <w:t> </w:t>
            </w:r>
            <w:r>
              <w:rPr>
                <w:sz w:val="20"/>
              </w:rPr>
              <w:t>and</w:t>
            </w:r>
            <w:r>
              <w:rPr>
                <w:spacing w:val="-10"/>
                <w:sz w:val="20"/>
              </w:rPr>
              <w:t> </w:t>
            </w:r>
            <w:r>
              <w:rPr>
                <w:sz w:val="20"/>
              </w:rPr>
              <w:t>variation</w:t>
            </w:r>
            <w:r>
              <w:rPr>
                <w:spacing w:val="-10"/>
                <w:sz w:val="20"/>
              </w:rPr>
              <w:t> </w:t>
            </w:r>
            <w:r>
              <w:rPr>
                <w:sz w:val="20"/>
              </w:rPr>
              <w:t>across</w:t>
            </w:r>
            <w:r>
              <w:rPr>
                <w:spacing w:val="-8"/>
                <w:sz w:val="20"/>
              </w:rPr>
              <w:t> </w:t>
            </w:r>
            <w:r>
              <w:rPr>
                <w:sz w:val="20"/>
              </w:rPr>
              <w:t>pathways.</w:t>
            </w:r>
          </w:p>
          <w:p>
            <w:pPr>
              <w:pStyle w:val="TableParagraph"/>
              <w:numPr>
                <w:ilvl w:val="0"/>
                <w:numId w:val="16"/>
              </w:numPr>
              <w:tabs>
                <w:tab w:pos="560" w:val="left" w:leader="none"/>
              </w:tabs>
              <w:spacing w:line="242" w:lineRule="auto" w:before="6" w:after="0"/>
              <w:ind w:left="560" w:right="279" w:hanging="360"/>
              <w:jc w:val="left"/>
              <w:rPr>
                <w:sz w:val="20"/>
              </w:rPr>
            </w:pPr>
            <w:r>
              <w:rPr>
                <w:spacing w:val="-2"/>
                <w:sz w:val="20"/>
              </w:rPr>
              <w:t>Cancer</w:t>
            </w:r>
            <w:r>
              <w:rPr>
                <w:spacing w:val="-12"/>
                <w:sz w:val="20"/>
              </w:rPr>
              <w:t> </w:t>
            </w:r>
            <w:r>
              <w:rPr>
                <w:spacing w:val="-2"/>
                <w:sz w:val="20"/>
              </w:rPr>
              <w:t>audit</w:t>
            </w:r>
            <w:r>
              <w:rPr>
                <w:spacing w:val="-12"/>
                <w:sz w:val="20"/>
              </w:rPr>
              <w:t> </w:t>
            </w:r>
            <w:r>
              <w:rPr>
                <w:spacing w:val="-2"/>
                <w:sz w:val="20"/>
              </w:rPr>
              <w:t>findings</w:t>
            </w:r>
            <w:r>
              <w:rPr>
                <w:spacing w:val="-12"/>
                <w:sz w:val="20"/>
              </w:rPr>
              <w:t> </w:t>
            </w:r>
            <w:r>
              <w:rPr>
                <w:spacing w:val="-2"/>
                <w:sz w:val="20"/>
              </w:rPr>
              <w:t>calling</w:t>
            </w:r>
            <w:r>
              <w:rPr>
                <w:spacing w:val="-12"/>
                <w:sz w:val="20"/>
              </w:rPr>
              <w:t> </w:t>
            </w:r>
            <w:r>
              <w:rPr>
                <w:spacing w:val="-2"/>
                <w:sz w:val="20"/>
              </w:rPr>
              <w:t>for</w:t>
            </w:r>
            <w:r>
              <w:rPr>
                <w:spacing w:val="-12"/>
                <w:sz w:val="20"/>
              </w:rPr>
              <w:t> </w:t>
            </w:r>
            <w:r>
              <w:rPr>
                <w:spacing w:val="-2"/>
                <w:sz w:val="20"/>
              </w:rPr>
              <w:t>longer-term</w:t>
            </w:r>
            <w:r>
              <w:rPr>
                <w:spacing w:val="-12"/>
                <w:sz w:val="20"/>
              </w:rPr>
              <w:t> </w:t>
            </w:r>
            <w:r>
              <w:rPr>
                <w:spacing w:val="-2"/>
                <w:sz w:val="20"/>
              </w:rPr>
              <w:t>strategy,</w:t>
            </w:r>
            <w:r>
              <w:rPr>
                <w:spacing w:val="-12"/>
                <w:sz w:val="20"/>
              </w:rPr>
              <w:t> </w:t>
            </w:r>
            <w:r>
              <w:rPr>
                <w:spacing w:val="-2"/>
                <w:sz w:val="20"/>
              </w:rPr>
              <w:t>costed</w:t>
            </w:r>
            <w:r>
              <w:rPr>
                <w:spacing w:val="-12"/>
                <w:sz w:val="20"/>
              </w:rPr>
              <w:t> </w:t>
            </w:r>
            <w:r>
              <w:rPr>
                <w:spacing w:val="-2"/>
                <w:sz w:val="20"/>
              </w:rPr>
              <w:t>and</w:t>
            </w:r>
            <w:r>
              <w:rPr>
                <w:spacing w:val="-12"/>
                <w:sz w:val="20"/>
              </w:rPr>
              <w:t> </w:t>
            </w:r>
            <w:r>
              <w:rPr>
                <w:spacing w:val="-2"/>
                <w:sz w:val="20"/>
              </w:rPr>
              <w:t>resourced</w:t>
            </w:r>
            <w:r>
              <w:rPr>
                <w:spacing w:val="-11"/>
                <w:sz w:val="20"/>
              </w:rPr>
              <w:t> </w:t>
            </w:r>
            <w:r>
              <w:rPr>
                <w:spacing w:val="-2"/>
                <w:sz w:val="20"/>
              </w:rPr>
              <w:t>improvement</w:t>
            </w:r>
            <w:r>
              <w:rPr>
                <w:spacing w:val="-12"/>
                <w:sz w:val="20"/>
              </w:rPr>
              <w:t> </w:t>
            </w:r>
            <w:r>
              <w:rPr>
                <w:spacing w:val="-2"/>
                <w:sz w:val="20"/>
              </w:rPr>
              <w:t>planning,</w:t>
            </w:r>
            <w:r>
              <w:rPr>
                <w:spacing w:val="-12"/>
                <w:sz w:val="20"/>
              </w:rPr>
              <w:t> </w:t>
            </w:r>
            <w:r>
              <w:rPr>
                <w:spacing w:val="-2"/>
                <w:sz w:val="20"/>
              </w:rPr>
              <w:t>stronger whole-system governance, improved prevention and screening intelligence, and clearer accountability.</w:t>
            </w:r>
          </w:p>
          <w:p>
            <w:pPr>
              <w:pStyle w:val="TableParagraph"/>
              <w:numPr>
                <w:ilvl w:val="0"/>
                <w:numId w:val="16"/>
              </w:numPr>
              <w:tabs>
                <w:tab w:pos="560" w:val="left" w:leader="none"/>
              </w:tabs>
              <w:spacing w:line="247" w:lineRule="auto" w:before="11" w:after="0"/>
              <w:ind w:left="560" w:right="470" w:hanging="360"/>
              <w:jc w:val="left"/>
              <w:rPr>
                <w:sz w:val="20"/>
              </w:rPr>
            </w:pPr>
            <w:r>
              <w:rPr>
                <w:spacing w:val="-2"/>
                <w:sz w:val="20"/>
              </w:rPr>
              <w:t>The</w:t>
            </w:r>
            <w:r>
              <w:rPr>
                <w:spacing w:val="-12"/>
                <w:sz w:val="20"/>
              </w:rPr>
              <w:t> </w:t>
            </w:r>
            <w:r>
              <w:rPr>
                <w:spacing w:val="-2"/>
                <w:sz w:val="20"/>
              </w:rPr>
              <w:t>forthcoming</w:t>
            </w:r>
            <w:r>
              <w:rPr>
                <w:spacing w:val="-12"/>
                <w:sz w:val="20"/>
              </w:rPr>
              <w:t> </w:t>
            </w:r>
            <w:r>
              <w:rPr>
                <w:spacing w:val="-2"/>
                <w:sz w:val="20"/>
              </w:rPr>
              <w:t>10-year</w:t>
            </w:r>
            <w:r>
              <w:rPr>
                <w:spacing w:val="-12"/>
                <w:sz w:val="20"/>
              </w:rPr>
              <w:t> </w:t>
            </w:r>
            <w:r>
              <w:rPr>
                <w:spacing w:val="-2"/>
                <w:sz w:val="20"/>
              </w:rPr>
              <w:t>National</w:t>
            </w:r>
            <w:r>
              <w:rPr>
                <w:spacing w:val="-12"/>
                <w:sz w:val="20"/>
              </w:rPr>
              <w:t> </w:t>
            </w:r>
            <w:r>
              <w:rPr>
                <w:spacing w:val="-2"/>
                <w:sz w:val="20"/>
              </w:rPr>
              <w:t>Cancer</w:t>
            </w:r>
            <w:r>
              <w:rPr>
                <w:spacing w:val="-12"/>
                <w:sz w:val="20"/>
              </w:rPr>
              <w:t> </w:t>
            </w:r>
            <w:r>
              <w:rPr>
                <w:spacing w:val="-2"/>
                <w:sz w:val="20"/>
              </w:rPr>
              <w:t>Strategy,</w:t>
            </w:r>
            <w:r>
              <w:rPr>
                <w:spacing w:val="-12"/>
                <w:sz w:val="20"/>
              </w:rPr>
              <w:t> </w:t>
            </w:r>
            <w:r>
              <w:rPr>
                <w:spacing w:val="-2"/>
                <w:sz w:val="20"/>
              </w:rPr>
              <w:t>expected</w:t>
            </w:r>
            <w:r>
              <w:rPr>
                <w:spacing w:val="-12"/>
                <w:sz w:val="20"/>
              </w:rPr>
              <w:t> </w:t>
            </w:r>
            <w:r>
              <w:rPr>
                <w:spacing w:val="-2"/>
                <w:sz w:val="20"/>
              </w:rPr>
              <w:t>in</w:t>
            </w:r>
            <w:r>
              <w:rPr>
                <w:spacing w:val="-12"/>
                <w:sz w:val="20"/>
              </w:rPr>
              <w:t> </w:t>
            </w:r>
            <w:r>
              <w:rPr>
                <w:spacing w:val="-2"/>
                <w:sz w:val="20"/>
              </w:rPr>
              <w:t>February</w:t>
            </w:r>
            <w:r>
              <w:rPr>
                <w:spacing w:val="-12"/>
                <w:sz w:val="20"/>
              </w:rPr>
              <w:t> </w:t>
            </w:r>
            <w:r>
              <w:rPr>
                <w:spacing w:val="-2"/>
                <w:sz w:val="20"/>
              </w:rPr>
              <w:t>2027,</w:t>
            </w:r>
            <w:r>
              <w:rPr>
                <w:spacing w:val="-12"/>
                <w:sz w:val="20"/>
              </w:rPr>
              <w:t> </w:t>
            </w:r>
            <w:r>
              <w:rPr>
                <w:spacing w:val="-2"/>
                <w:sz w:val="20"/>
              </w:rPr>
              <w:t>which</w:t>
            </w:r>
            <w:r>
              <w:rPr>
                <w:spacing w:val="-11"/>
                <w:sz w:val="20"/>
              </w:rPr>
              <w:t> </w:t>
            </w:r>
            <w:r>
              <w:rPr>
                <w:spacing w:val="-2"/>
                <w:sz w:val="20"/>
              </w:rPr>
              <w:t>will</w:t>
            </w:r>
            <w:r>
              <w:rPr>
                <w:spacing w:val="-12"/>
                <w:sz w:val="20"/>
              </w:rPr>
              <w:t> </w:t>
            </w:r>
            <w:r>
              <w:rPr>
                <w:spacing w:val="-2"/>
                <w:sz w:val="20"/>
              </w:rPr>
              <w:t>influence</w:t>
            </w:r>
            <w:r>
              <w:rPr>
                <w:spacing w:val="-12"/>
                <w:sz w:val="20"/>
              </w:rPr>
              <w:t> </w:t>
            </w:r>
            <w:r>
              <w:rPr>
                <w:spacing w:val="-2"/>
                <w:sz w:val="20"/>
              </w:rPr>
              <w:t>future </w:t>
            </w:r>
            <w:r>
              <w:rPr>
                <w:sz w:val="20"/>
              </w:rPr>
              <w:t>expectations for</w:t>
            </w:r>
            <w:r>
              <w:rPr>
                <w:spacing w:val="-2"/>
                <w:sz w:val="20"/>
              </w:rPr>
              <w:t> </w:t>
            </w:r>
            <w:r>
              <w:rPr>
                <w:sz w:val="20"/>
              </w:rPr>
              <w:t>cancer</w:t>
            </w:r>
            <w:r>
              <w:rPr>
                <w:spacing w:val="-2"/>
                <w:sz w:val="20"/>
              </w:rPr>
              <w:t> </w:t>
            </w:r>
            <w:r>
              <w:rPr>
                <w:sz w:val="20"/>
              </w:rPr>
              <w:t>planning</w:t>
            </w:r>
            <w:r>
              <w:rPr>
                <w:spacing w:val="-2"/>
                <w:sz w:val="20"/>
              </w:rPr>
              <w:t> </w:t>
            </w:r>
            <w:r>
              <w:rPr>
                <w:sz w:val="20"/>
              </w:rPr>
              <w:t>and</w:t>
            </w:r>
            <w:r>
              <w:rPr>
                <w:spacing w:val="-2"/>
                <w:sz w:val="20"/>
              </w:rPr>
              <w:t> </w:t>
            </w:r>
            <w:r>
              <w:rPr>
                <w:sz w:val="20"/>
              </w:rPr>
              <w:t>delivery.</w:t>
            </w:r>
          </w:p>
        </w:tc>
      </w:tr>
      <w:tr>
        <w:trPr>
          <w:trHeight w:val="3846" w:hRule="atLeast"/>
        </w:trPr>
        <w:tc>
          <w:tcPr>
            <w:tcW w:w="10069" w:type="dxa"/>
          </w:tcPr>
          <w:p>
            <w:pPr>
              <w:pStyle w:val="TableParagraph"/>
              <w:spacing w:before="92"/>
              <w:ind w:left="120"/>
              <w:rPr>
                <w:b/>
                <w:sz w:val="20"/>
              </w:rPr>
            </w:pPr>
            <w:r>
              <w:rPr>
                <w:b/>
                <w:color w:val="394871"/>
                <w:spacing w:val="-2"/>
                <w:sz w:val="20"/>
                <w:u w:val="single" w:color="394871"/>
              </w:rPr>
              <w:t>Asesiad</w:t>
            </w:r>
            <w:r>
              <w:rPr>
                <w:b/>
                <w:color w:val="394871"/>
                <w:spacing w:val="-12"/>
                <w:sz w:val="20"/>
                <w:u w:val="single" w:color="394871"/>
              </w:rPr>
              <w:t> </w:t>
            </w:r>
            <w:r>
              <w:rPr>
                <w:b/>
                <w:color w:val="394871"/>
                <w:spacing w:val="-2"/>
                <w:sz w:val="20"/>
                <w:u w:val="single" w:color="394871"/>
              </w:rPr>
              <w:t>/</w:t>
            </w:r>
            <w:r>
              <w:rPr>
                <w:b/>
                <w:color w:val="394871"/>
                <w:spacing w:val="-11"/>
                <w:sz w:val="20"/>
                <w:u w:val="single" w:color="394871"/>
              </w:rPr>
              <w:t> </w:t>
            </w:r>
            <w:r>
              <w:rPr>
                <w:b/>
                <w:color w:val="394871"/>
                <w:spacing w:val="-2"/>
                <w:sz w:val="20"/>
                <w:u w:val="single" w:color="394871"/>
              </w:rPr>
              <w:t>Assessment</w:t>
            </w:r>
          </w:p>
          <w:p>
            <w:pPr>
              <w:pStyle w:val="TableParagraph"/>
              <w:spacing w:before="155"/>
              <w:ind w:left="120"/>
              <w:rPr>
                <w:b/>
                <w:sz w:val="20"/>
              </w:rPr>
            </w:pPr>
            <w:r>
              <w:rPr>
                <w:b/>
                <w:color w:val="394871"/>
                <w:spacing w:val="-2"/>
                <w:sz w:val="20"/>
              </w:rPr>
              <w:t>Purpose</w:t>
            </w:r>
            <w:r>
              <w:rPr>
                <w:b/>
                <w:color w:val="394871"/>
                <w:spacing w:val="-12"/>
                <w:sz w:val="20"/>
              </w:rPr>
              <w:t> </w:t>
            </w:r>
            <w:r>
              <w:rPr>
                <w:b/>
                <w:color w:val="394871"/>
                <w:spacing w:val="-2"/>
                <w:sz w:val="20"/>
              </w:rPr>
              <w:t>of</w:t>
            </w:r>
            <w:r>
              <w:rPr>
                <w:b/>
                <w:color w:val="394871"/>
                <w:spacing w:val="-10"/>
                <w:sz w:val="20"/>
              </w:rPr>
              <w:t> </w:t>
            </w:r>
            <w:r>
              <w:rPr>
                <w:b/>
                <w:color w:val="394871"/>
                <w:spacing w:val="-2"/>
                <w:sz w:val="20"/>
              </w:rPr>
              <w:t>the</w:t>
            </w:r>
            <w:r>
              <w:rPr>
                <w:b/>
                <w:color w:val="394871"/>
                <w:spacing w:val="-12"/>
                <w:sz w:val="20"/>
              </w:rPr>
              <w:t> </w:t>
            </w:r>
            <w:r>
              <w:rPr>
                <w:b/>
                <w:color w:val="394871"/>
                <w:spacing w:val="-2"/>
                <w:sz w:val="20"/>
              </w:rPr>
              <w:t>RJC decision</w:t>
            </w:r>
          </w:p>
          <w:p>
            <w:pPr>
              <w:pStyle w:val="TableParagraph"/>
              <w:spacing w:line="254" w:lineRule="auto" w:before="70"/>
              <w:ind w:left="120" w:right="212"/>
              <w:rPr>
                <w:sz w:val="20"/>
              </w:rPr>
            </w:pPr>
            <w:r>
              <w:rPr>
                <w:spacing w:val="-2"/>
                <w:sz w:val="20"/>
              </w:rPr>
              <w:t>The</w:t>
            </w:r>
            <w:r>
              <w:rPr>
                <w:spacing w:val="-12"/>
                <w:sz w:val="20"/>
              </w:rPr>
              <w:t> </w:t>
            </w:r>
            <w:r>
              <w:rPr>
                <w:spacing w:val="-2"/>
                <w:sz w:val="20"/>
              </w:rPr>
              <w:t>RJC</w:t>
            </w:r>
            <w:r>
              <w:rPr>
                <w:spacing w:val="-12"/>
                <w:sz w:val="20"/>
              </w:rPr>
              <w:t> </w:t>
            </w:r>
            <w:r>
              <w:rPr>
                <w:spacing w:val="-2"/>
                <w:sz w:val="20"/>
              </w:rPr>
              <w:t>is</w:t>
            </w:r>
            <w:r>
              <w:rPr>
                <w:spacing w:val="-11"/>
                <w:sz w:val="20"/>
              </w:rPr>
              <w:t> </w:t>
            </w:r>
            <w:r>
              <w:rPr>
                <w:spacing w:val="-2"/>
                <w:sz w:val="20"/>
              </w:rPr>
              <w:t>asked</w:t>
            </w:r>
            <w:r>
              <w:rPr>
                <w:spacing w:val="-10"/>
                <w:sz w:val="20"/>
              </w:rPr>
              <w:t> </w:t>
            </w:r>
            <w:r>
              <w:rPr>
                <w:spacing w:val="-2"/>
                <w:sz w:val="20"/>
              </w:rPr>
              <w:t>to</w:t>
            </w:r>
            <w:r>
              <w:rPr>
                <w:spacing w:val="-10"/>
                <w:sz w:val="20"/>
              </w:rPr>
              <w:t> </w:t>
            </w:r>
            <w:r>
              <w:rPr>
                <w:spacing w:val="-2"/>
                <w:sz w:val="20"/>
              </w:rPr>
              <w:t>confirm</w:t>
            </w:r>
            <w:r>
              <w:rPr>
                <w:spacing w:val="-11"/>
                <w:sz w:val="20"/>
              </w:rPr>
              <w:t> </w:t>
            </w:r>
            <w:r>
              <w:rPr>
                <w:spacing w:val="-2"/>
                <w:sz w:val="20"/>
              </w:rPr>
              <w:t>that</w:t>
            </w:r>
            <w:r>
              <w:rPr>
                <w:spacing w:val="-10"/>
                <w:sz w:val="20"/>
              </w:rPr>
              <w:t> </w:t>
            </w:r>
            <w:r>
              <w:rPr>
                <w:spacing w:val="-2"/>
                <w:sz w:val="20"/>
              </w:rPr>
              <w:t>development</w:t>
            </w:r>
            <w:r>
              <w:rPr>
                <w:spacing w:val="-10"/>
                <w:sz w:val="20"/>
              </w:rPr>
              <w:t> </w:t>
            </w:r>
            <w:r>
              <w:rPr>
                <w:spacing w:val="-2"/>
                <w:sz w:val="20"/>
              </w:rPr>
              <w:t>of</w:t>
            </w:r>
            <w:r>
              <w:rPr>
                <w:spacing w:val="-9"/>
                <w:sz w:val="20"/>
              </w:rPr>
              <w:t> </w:t>
            </w:r>
            <w:r>
              <w:rPr>
                <w:spacing w:val="-2"/>
                <w:sz w:val="20"/>
              </w:rPr>
              <w:t>a</w:t>
            </w:r>
            <w:r>
              <w:rPr>
                <w:spacing w:val="-10"/>
                <w:sz w:val="20"/>
              </w:rPr>
              <w:t> </w:t>
            </w:r>
            <w:r>
              <w:rPr>
                <w:spacing w:val="-2"/>
                <w:sz w:val="20"/>
              </w:rPr>
              <w:t>Regional</w:t>
            </w:r>
            <w:r>
              <w:rPr>
                <w:spacing w:val="-8"/>
                <w:sz w:val="20"/>
              </w:rPr>
              <w:t> </w:t>
            </w:r>
            <w:r>
              <w:rPr>
                <w:spacing w:val="-2"/>
                <w:sz w:val="20"/>
              </w:rPr>
              <w:t>Approach</w:t>
            </w:r>
            <w:r>
              <w:rPr>
                <w:spacing w:val="-10"/>
                <w:sz w:val="20"/>
              </w:rPr>
              <w:t> </w:t>
            </w:r>
            <w:r>
              <w:rPr>
                <w:spacing w:val="-2"/>
                <w:sz w:val="20"/>
              </w:rPr>
              <w:t>to</w:t>
            </w:r>
            <w:r>
              <w:rPr>
                <w:spacing w:val="-12"/>
                <w:sz w:val="20"/>
              </w:rPr>
              <w:t> </w:t>
            </w:r>
            <w:r>
              <w:rPr>
                <w:spacing w:val="-2"/>
                <w:sz w:val="20"/>
              </w:rPr>
              <w:t>Cancer</w:t>
            </w:r>
            <w:r>
              <w:rPr>
                <w:spacing w:val="-11"/>
                <w:sz w:val="20"/>
              </w:rPr>
              <w:t> </w:t>
            </w:r>
            <w:r>
              <w:rPr>
                <w:spacing w:val="-2"/>
                <w:sz w:val="20"/>
              </w:rPr>
              <w:t>Care</w:t>
            </w:r>
            <w:r>
              <w:rPr>
                <w:spacing w:val="-10"/>
                <w:sz w:val="20"/>
              </w:rPr>
              <w:t> </w:t>
            </w:r>
            <w:r>
              <w:rPr>
                <w:spacing w:val="-2"/>
                <w:sz w:val="20"/>
              </w:rPr>
              <w:t>should</w:t>
            </w:r>
            <w:r>
              <w:rPr>
                <w:spacing w:val="-10"/>
                <w:sz w:val="20"/>
              </w:rPr>
              <w:t> </w:t>
            </w:r>
            <w:r>
              <w:rPr>
                <w:spacing w:val="-2"/>
                <w:sz w:val="20"/>
              </w:rPr>
              <w:t>be</w:t>
            </w:r>
            <w:r>
              <w:rPr>
                <w:spacing w:val="-10"/>
                <w:sz w:val="20"/>
              </w:rPr>
              <w:t> </w:t>
            </w:r>
            <w:r>
              <w:rPr>
                <w:spacing w:val="-2"/>
                <w:sz w:val="20"/>
              </w:rPr>
              <w:t>included</w:t>
            </w:r>
            <w:r>
              <w:rPr>
                <w:spacing w:val="-12"/>
                <w:sz w:val="20"/>
              </w:rPr>
              <w:t> </w:t>
            </w:r>
            <w:r>
              <w:rPr>
                <w:spacing w:val="-2"/>
                <w:sz w:val="20"/>
              </w:rPr>
              <w:t>within its</w:t>
            </w:r>
            <w:r>
              <w:rPr>
                <w:spacing w:val="-12"/>
                <w:sz w:val="20"/>
              </w:rPr>
              <w:t> </w:t>
            </w:r>
            <w:r>
              <w:rPr>
                <w:spacing w:val="-2"/>
                <w:sz w:val="20"/>
              </w:rPr>
              <w:t>2026/27</w:t>
            </w:r>
            <w:r>
              <w:rPr>
                <w:spacing w:val="-12"/>
                <w:sz w:val="20"/>
              </w:rPr>
              <w:t> </w:t>
            </w:r>
            <w:r>
              <w:rPr>
                <w:spacing w:val="-2"/>
                <w:sz w:val="20"/>
              </w:rPr>
              <w:t>work</w:t>
            </w:r>
            <w:r>
              <w:rPr>
                <w:spacing w:val="-12"/>
                <w:sz w:val="20"/>
              </w:rPr>
              <w:t> </w:t>
            </w:r>
            <w:r>
              <w:rPr>
                <w:spacing w:val="-2"/>
                <w:sz w:val="20"/>
              </w:rPr>
              <w:t>programme</w:t>
            </w:r>
            <w:r>
              <w:rPr>
                <w:spacing w:val="-12"/>
                <w:sz w:val="20"/>
              </w:rPr>
              <w:t> </w:t>
            </w:r>
            <w:r>
              <w:rPr>
                <w:spacing w:val="-2"/>
                <w:sz w:val="20"/>
              </w:rPr>
              <w:t>and</w:t>
            </w:r>
            <w:r>
              <w:rPr>
                <w:spacing w:val="-12"/>
                <w:sz w:val="20"/>
              </w:rPr>
              <w:t> </w:t>
            </w:r>
            <w:r>
              <w:rPr>
                <w:spacing w:val="-2"/>
                <w:sz w:val="20"/>
              </w:rPr>
              <w:t>to</w:t>
            </w:r>
            <w:r>
              <w:rPr>
                <w:spacing w:val="-9"/>
                <w:sz w:val="20"/>
              </w:rPr>
              <w:t> </w:t>
            </w:r>
            <w:r>
              <w:rPr>
                <w:spacing w:val="-2"/>
                <w:sz w:val="20"/>
              </w:rPr>
              <w:t>endorse</w:t>
            </w:r>
            <w:r>
              <w:rPr>
                <w:spacing w:val="-11"/>
                <w:sz w:val="20"/>
              </w:rPr>
              <w:t> </w:t>
            </w:r>
            <w:r>
              <w:rPr>
                <w:spacing w:val="-2"/>
                <w:sz w:val="20"/>
              </w:rPr>
              <w:t>the</w:t>
            </w:r>
            <w:r>
              <w:rPr>
                <w:spacing w:val="-12"/>
                <w:sz w:val="20"/>
              </w:rPr>
              <w:t> </w:t>
            </w:r>
            <w:r>
              <w:rPr>
                <w:spacing w:val="-2"/>
                <w:sz w:val="20"/>
              </w:rPr>
              <w:t>proposed</w:t>
            </w:r>
            <w:r>
              <w:rPr>
                <w:spacing w:val="-8"/>
                <w:sz w:val="20"/>
              </w:rPr>
              <w:t> </w:t>
            </w:r>
            <w:r>
              <w:rPr>
                <w:spacing w:val="-2"/>
                <w:sz w:val="20"/>
              </w:rPr>
              <w:t>high-level</w:t>
            </w:r>
            <w:r>
              <w:rPr>
                <w:spacing w:val="-11"/>
                <w:sz w:val="20"/>
              </w:rPr>
              <w:t> </w:t>
            </w:r>
            <w:r>
              <w:rPr>
                <w:spacing w:val="-2"/>
                <w:sz w:val="20"/>
              </w:rPr>
              <w:t>direction</w:t>
            </w:r>
            <w:r>
              <w:rPr>
                <w:spacing w:val="-12"/>
                <w:sz w:val="20"/>
              </w:rPr>
              <w:t> </w:t>
            </w:r>
            <w:r>
              <w:rPr>
                <w:spacing w:val="-2"/>
                <w:sz w:val="20"/>
              </w:rPr>
              <w:t>of</w:t>
            </w:r>
            <w:r>
              <w:rPr>
                <w:spacing w:val="-12"/>
                <w:sz w:val="20"/>
              </w:rPr>
              <w:t> </w:t>
            </w:r>
            <w:r>
              <w:rPr>
                <w:spacing w:val="-2"/>
                <w:sz w:val="20"/>
              </w:rPr>
              <w:t>travel.</w:t>
            </w:r>
            <w:r>
              <w:rPr>
                <w:spacing w:val="-12"/>
                <w:sz w:val="20"/>
              </w:rPr>
              <w:t> </w:t>
            </w:r>
            <w:r>
              <w:rPr>
                <w:spacing w:val="-2"/>
                <w:sz w:val="20"/>
              </w:rPr>
              <w:t>Detailed</w:t>
            </w:r>
            <w:r>
              <w:rPr>
                <w:spacing w:val="-12"/>
                <w:sz w:val="20"/>
              </w:rPr>
              <w:t> </w:t>
            </w:r>
            <w:r>
              <w:rPr>
                <w:spacing w:val="-2"/>
                <w:sz w:val="20"/>
              </w:rPr>
              <w:t>consideration</w:t>
            </w:r>
            <w:r>
              <w:rPr>
                <w:spacing w:val="-12"/>
                <w:sz w:val="20"/>
              </w:rPr>
              <w:t> </w:t>
            </w:r>
            <w:r>
              <w:rPr>
                <w:spacing w:val="-2"/>
                <w:sz w:val="20"/>
              </w:rPr>
              <w:t>of scope,</w:t>
            </w:r>
            <w:r>
              <w:rPr>
                <w:spacing w:val="-5"/>
                <w:sz w:val="20"/>
              </w:rPr>
              <w:t> </w:t>
            </w:r>
            <w:r>
              <w:rPr>
                <w:spacing w:val="-2"/>
                <w:sz w:val="20"/>
              </w:rPr>
              <w:t>priorities, deliverability,</w:t>
            </w:r>
            <w:r>
              <w:rPr>
                <w:spacing w:val="-4"/>
                <w:sz w:val="20"/>
              </w:rPr>
              <w:t> </w:t>
            </w:r>
            <w:r>
              <w:rPr>
                <w:spacing w:val="-2"/>
                <w:sz w:val="20"/>
              </w:rPr>
              <w:t>governance</w:t>
            </w:r>
            <w:r>
              <w:rPr>
                <w:spacing w:val="-5"/>
                <w:sz w:val="20"/>
              </w:rPr>
              <w:t> </w:t>
            </w:r>
            <w:r>
              <w:rPr>
                <w:spacing w:val="-2"/>
                <w:sz w:val="20"/>
              </w:rPr>
              <w:t>and</w:t>
            </w:r>
            <w:r>
              <w:rPr>
                <w:spacing w:val="-5"/>
                <w:sz w:val="20"/>
              </w:rPr>
              <w:t> </w:t>
            </w:r>
            <w:r>
              <w:rPr>
                <w:spacing w:val="-2"/>
                <w:sz w:val="20"/>
              </w:rPr>
              <w:t>resource</w:t>
            </w:r>
            <w:r>
              <w:rPr>
                <w:spacing w:val="-5"/>
                <w:sz w:val="20"/>
              </w:rPr>
              <w:t> </w:t>
            </w:r>
            <w:r>
              <w:rPr>
                <w:spacing w:val="-2"/>
                <w:sz w:val="20"/>
              </w:rPr>
              <w:t>requirements</w:t>
            </w:r>
            <w:r>
              <w:rPr>
                <w:spacing w:val="-4"/>
                <w:sz w:val="20"/>
              </w:rPr>
              <w:t> </w:t>
            </w:r>
            <w:r>
              <w:rPr>
                <w:spacing w:val="-2"/>
                <w:sz w:val="20"/>
              </w:rPr>
              <w:t>will be undertaken</w:t>
            </w:r>
            <w:r>
              <w:rPr>
                <w:spacing w:val="-5"/>
                <w:sz w:val="20"/>
              </w:rPr>
              <w:t> </w:t>
            </w:r>
            <w:r>
              <w:rPr>
                <w:spacing w:val="-2"/>
                <w:sz w:val="20"/>
              </w:rPr>
              <w:t>through</w:t>
            </w:r>
            <w:r>
              <w:rPr>
                <w:spacing w:val="-5"/>
                <w:sz w:val="20"/>
              </w:rPr>
              <w:t> </w:t>
            </w:r>
            <w:r>
              <w:rPr>
                <w:spacing w:val="-2"/>
                <w:sz w:val="20"/>
              </w:rPr>
              <w:t>subsequent development</w:t>
            </w:r>
            <w:r>
              <w:rPr>
                <w:spacing w:val="-9"/>
                <w:sz w:val="20"/>
              </w:rPr>
              <w:t> </w:t>
            </w:r>
            <w:r>
              <w:rPr>
                <w:spacing w:val="-2"/>
                <w:sz w:val="20"/>
              </w:rPr>
              <w:t>work</w:t>
            </w:r>
            <w:r>
              <w:rPr>
                <w:spacing w:val="-8"/>
                <w:sz w:val="20"/>
              </w:rPr>
              <w:t> </w:t>
            </w:r>
            <w:r>
              <w:rPr>
                <w:spacing w:val="-2"/>
                <w:sz w:val="20"/>
              </w:rPr>
              <w:t>and</w:t>
            </w:r>
            <w:r>
              <w:rPr>
                <w:spacing w:val="-4"/>
                <w:sz w:val="20"/>
              </w:rPr>
              <w:t> </w:t>
            </w:r>
            <w:r>
              <w:rPr>
                <w:spacing w:val="-2"/>
                <w:sz w:val="20"/>
              </w:rPr>
              <w:t>brought</w:t>
            </w:r>
            <w:r>
              <w:rPr>
                <w:spacing w:val="-4"/>
                <w:sz w:val="20"/>
              </w:rPr>
              <w:t> </w:t>
            </w:r>
            <w:r>
              <w:rPr>
                <w:spacing w:val="-2"/>
                <w:sz w:val="20"/>
              </w:rPr>
              <w:t>back</w:t>
            </w:r>
            <w:r>
              <w:rPr>
                <w:spacing w:val="-8"/>
                <w:sz w:val="20"/>
              </w:rPr>
              <w:t> </w:t>
            </w:r>
            <w:r>
              <w:rPr>
                <w:spacing w:val="-2"/>
                <w:sz w:val="20"/>
              </w:rPr>
              <w:t>through</w:t>
            </w:r>
            <w:r>
              <w:rPr>
                <w:spacing w:val="-9"/>
                <w:sz w:val="20"/>
              </w:rPr>
              <w:t> </w:t>
            </w:r>
            <w:r>
              <w:rPr>
                <w:spacing w:val="-2"/>
                <w:sz w:val="20"/>
              </w:rPr>
              <w:t>established</w:t>
            </w:r>
            <w:r>
              <w:rPr>
                <w:spacing w:val="-4"/>
                <w:sz w:val="20"/>
              </w:rPr>
              <w:t> </w:t>
            </w:r>
            <w:r>
              <w:rPr>
                <w:spacing w:val="-2"/>
                <w:sz w:val="20"/>
              </w:rPr>
              <w:t>regional</w:t>
            </w:r>
            <w:r>
              <w:rPr>
                <w:spacing w:val="-7"/>
                <w:sz w:val="20"/>
              </w:rPr>
              <w:t> </w:t>
            </w:r>
            <w:r>
              <w:rPr>
                <w:spacing w:val="-2"/>
                <w:sz w:val="20"/>
              </w:rPr>
              <w:t>governance;</w:t>
            </w:r>
            <w:r>
              <w:rPr>
                <w:spacing w:val="-9"/>
                <w:sz w:val="20"/>
              </w:rPr>
              <w:t> </w:t>
            </w:r>
            <w:r>
              <w:rPr>
                <w:spacing w:val="-2"/>
                <w:sz w:val="20"/>
              </w:rPr>
              <w:t>returning</w:t>
            </w:r>
            <w:r>
              <w:rPr>
                <w:spacing w:val="-9"/>
                <w:sz w:val="20"/>
              </w:rPr>
              <w:t> </w:t>
            </w:r>
            <w:r>
              <w:rPr>
                <w:spacing w:val="-2"/>
                <w:sz w:val="20"/>
              </w:rPr>
              <w:t>to</w:t>
            </w:r>
            <w:r>
              <w:rPr>
                <w:spacing w:val="-9"/>
                <w:sz w:val="20"/>
              </w:rPr>
              <w:t> </w:t>
            </w:r>
            <w:r>
              <w:rPr>
                <w:spacing w:val="-2"/>
                <w:sz w:val="20"/>
              </w:rPr>
              <w:t>the</w:t>
            </w:r>
            <w:r>
              <w:rPr>
                <w:spacing w:val="-9"/>
                <w:sz w:val="20"/>
              </w:rPr>
              <w:t> </w:t>
            </w:r>
            <w:r>
              <w:rPr>
                <w:spacing w:val="-2"/>
                <w:sz w:val="20"/>
              </w:rPr>
              <w:t>RJC</w:t>
            </w:r>
            <w:r>
              <w:rPr>
                <w:spacing w:val="-7"/>
                <w:sz w:val="20"/>
              </w:rPr>
              <w:t> </w:t>
            </w:r>
            <w:r>
              <w:rPr>
                <w:spacing w:val="-2"/>
                <w:sz w:val="20"/>
              </w:rPr>
              <w:t>in</w:t>
            </w:r>
            <w:r>
              <w:rPr>
                <w:spacing w:val="-4"/>
                <w:sz w:val="20"/>
              </w:rPr>
              <w:t> </w:t>
            </w:r>
            <w:r>
              <w:rPr>
                <w:spacing w:val="-2"/>
                <w:sz w:val="20"/>
              </w:rPr>
              <w:t>February </w:t>
            </w:r>
            <w:r>
              <w:rPr>
                <w:sz w:val="20"/>
              </w:rPr>
              <w:t>with an update and sense check.</w:t>
            </w:r>
          </w:p>
          <w:p>
            <w:pPr>
              <w:pStyle w:val="TableParagraph"/>
              <w:spacing w:before="102"/>
              <w:ind w:left="120"/>
              <w:rPr>
                <w:b/>
                <w:sz w:val="20"/>
              </w:rPr>
            </w:pPr>
            <w:r>
              <w:rPr>
                <w:b/>
                <w:color w:val="394871"/>
                <w:spacing w:val="-4"/>
                <w:sz w:val="20"/>
              </w:rPr>
              <w:t>Indicative</w:t>
            </w:r>
            <w:r>
              <w:rPr>
                <w:b/>
                <w:color w:val="394871"/>
                <w:spacing w:val="-2"/>
                <w:sz w:val="20"/>
              </w:rPr>
              <w:t> </w:t>
            </w:r>
            <w:r>
              <w:rPr>
                <w:b/>
                <w:color w:val="394871"/>
                <w:spacing w:val="-4"/>
                <w:sz w:val="20"/>
              </w:rPr>
              <w:t>areas</w:t>
            </w:r>
            <w:r>
              <w:rPr>
                <w:b/>
                <w:color w:val="394871"/>
                <w:spacing w:val="-2"/>
                <w:sz w:val="20"/>
              </w:rPr>
              <w:t> </w:t>
            </w:r>
            <w:r>
              <w:rPr>
                <w:b/>
                <w:color w:val="394871"/>
                <w:spacing w:val="-4"/>
                <w:sz w:val="20"/>
              </w:rPr>
              <w:t>for</w:t>
            </w:r>
            <w:r>
              <w:rPr>
                <w:b/>
                <w:color w:val="394871"/>
                <w:spacing w:val="3"/>
                <w:sz w:val="20"/>
              </w:rPr>
              <w:t> </w:t>
            </w:r>
            <w:r>
              <w:rPr>
                <w:b/>
                <w:color w:val="394871"/>
                <w:spacing w:val="-4"/>
                <w:sz w:val="20"/>
              </w:rPr>
              <w:t>subsequent</w:t>
            </w:r>
            <w:r>
              <w:rPr>
                <w:b/>
                <w:color w:val="394871"/>
                <w:spacing w:val="-1"/>
                <w:sz w:val="20"/>
              </w:rPr>
              <w:t> </w:t>
            </w:r>
            <w:r>
              <w:rPr>
                <w:b/>
                <w:color w:val="394871"/>
                <w:spacing w:val="-4"/>
                <w:sz w:val="20"/>
              </w:rPr>
              <w:t>development</w:t>
            </w:r>
          </w:p>
          <w:p>
            <w:pPr>
              <w:pStyle w:val="TableParagraph"/>
              <w:spacing w:line="254" w:lineRule="auto" w:before="110"/>
              <w:ind w:left="120" w:right="117"/>
              <w:rPr>
                <w:sz w:val="20"/>
              </w:rPr>
            </w:pPr>
            <w:r>
              <w:rPr>
                <w:sz w:val="20"/>
              </w:rPr>
              <w:t>Subject</w:t>
            </w:r>
            <w:r>
              <w:rPr>
                <w:spacing w:val="-14"/>
                <w:sz w:val="20"/>
              </w:rPr>
              <w:t> </w:t>
            </w:r>
            <w:r>
              <w:rPr>
                <w:sz w:val="20"/>
              </w:rPr>
              <w:t>to</w:t>
            </w:r>
            <w:r>
              <w:rPr>
                <w:spacing w:val="-14"/>
                <w:sz w:val="20"/>
              </w:rPr>
              <w:t> </w:t>
            </w:r>
            <w:r>
              <w:rPr>
                <w:sz w:val="20"/>
              </w:rPr>
              <w:t>RJC</w:t>
            </w:r>
            <w:r>
              <w:rPr>
                <w:spacing w:val="-14"/>
                <w:sz w:val="20"/>
              </w:rPr>
              <w:t> </w:t>
            </w:r>
            <w:r>
              <w:rPr>
                <w:sz w:val="20"/>
              </w:rPr>
              <w:t>endorsement,</w:t>
            </w:r>
            <w:r>
              <w:rPr>
                <w:spacing w:val="-14"/>
                <w:sz w:val="20"/>
              </w:rPr>
              <w:t> </w:t>
            </w:r>
            <w:r>
              <w:rPr>
                <w:sz w:val="20"/>
              </w:rPr>
              <w:t>the</w:t>
            </w:r>
            <w:r>
              <w:rPr>
                <w:spacing w:val="-14"/>
                <w:sz w:val="20"/>
              </w:rPr>
              <w:t> </w:t>
            </w:r>
            <w:r>
              <w:rPr>
                <w:sz w:val="20"/>
              </w:rPr>
              <w:t>following</w:t>
            </w:r>
            <w:r>
              <w:rPr>
                <w:spacing w:val="-14"/>
                <w:sz w:val="20"/>
              </w:rPr>
              <w:t> </w:t>
            </w:r>
            <w:r>
              <w:rPr>
                <w:sz w:val="20"/>
              </w:rPr>
              <w:t>areas</w:t>
            </w:r>
            <w:r>
              <w:rPr>
                <w:spacing w:val="-14"/>
                <w:sz w:val="20"/>
              </w:rPr>
              <w:t> </w:t>
            </w:r>
            <w:r>
              <w:rPr>
                <w:sz w:val="20"/>
              </w:rPr>
              <w:t>provide</w:t>
            </w:r>
            <w:r>
              <w:rPr>
                <w:spacing w:val="-14"/>
                <w:sz w:val="20"/>
              </w:rPr>
              <w:t> </w:t>
            </w:r>
            <w:r>
              <w:rPr>
                <w:sz w:val="20"/>
              </w:rPr>
              <w:t>an</w:t>
            </w:r>
            <w:r>
              <w:rPr>
                <w:spacing w:val="-14"/>
                <w:sz w:val="20"/>
              </w:rPr>
              <w:t> </w:t>
            </w:r>
            <w:r>
              <w:rPr>
                <w:sz w:val="20"/>
              </w:rPr>
              <w:t>indicative</w:t>
            </w:r>
            <w:r>
              <w:rPr>
                <w:spacing w:val="-13"/>
                <w:sz w:val="20"/>
              </w:rPr>
              <w:t> </w:t>
            </w:r>
            <w:r>
              <w:rPr>
                <w:sz w:val="20"/>
              </w:rPr>
              <w:t>starting</w:t>
            </w:r>
            <w:r>
              <w:rPr>
                <w:spacing w:val="-14"/>
                <w:sz w:val="20"/>
              </w:rPr>
              <w:t> </w:t>
            </w:r>
            <w:r>
              <w:rPr>
                <w:sz w:val="20"/>
              </w:rPr>
              <w:t>point</w:t>
            </w:r>
            <w:r>
              <w:rPr>
                <w:spacing w:val="-14"/>
                <w:sz w:val="20"/>
              </w:rPr>
              <w:t> </w:t>
            </w:r>
            <w:r>
              <w:rPr>
                <w:sz w:val="20"/>
              </w:rPr>
              <w:t>for</w:t>
            </w:r>
            <w:r>
              <w:rPr>
                <w:spacing w:val="-14"/>
                <w:sz w:val="20"/>
              </w:rPr>
              <w:t> </w:t>
            </w:r>
            <w:r>
              <w:rPr>
                <w:sz w:val="20"/>
              </w:rPr>
              <w:t>development</w:t>
            </w:r>
            <w:r>
              <w:rPr>
                <w:spacing w:val="-14"/>
                <w:sz w:val="20"/>
              </w:rPr>
              <w:t> </w:t>
            </w:r>
            <w:r>
              <w:rPr>
                <w:sz w:val="20"/>
              </w:rPr>
              <w:t>and </w:t>
            </w:r>
            <w:r>
              <w:rPr>
                <w:spacing w:val="-2"/>
                <w:sz w:val="20"/>
              </w:rPr>
              <w:t>stakeholder</w:t>
            </w:r>
            <w:r>
              <w:rPr>
                <w:spacing w:val="-12"/>
                <w:sz w:val="20"/>
              </w:rPr>
              <w:t> </w:t>
            </w:r>
            <w:r>
              <w:rPr>
                <w:spacing w:val="-2"/>
                <w:sz w:val="20"/>
              </w:rPr>
              <w:t>testing.</w:t>
            </w:r>
            <w:r>
              <w:rPr>
                <w:spacing w:val="-12"/>
                <w:sz w:val="20"/>
              </w:rPr>
              <w:t> </w:t>
            </w:r>
            <w:r>
              <w:rPr>
                <w:spacing w:val="-2"/>
                <w:sz w:val="20"/>
              </w:rPr>
              <w:t>The</w:t>
            </w:r>
            <w:r>
              <w:rPr>
                <w:spacing w:val="-12"/>
                <w:sz w:val="20"/>
              </w:rPr>
              <w:t> </w:t>
            </w:r>
            <w:r>
              <w:rPr>
                <w:spacing w:val="-2"/>
                <w:sz w:val="20"/>
              </w:rPr>
              <w:t>workshops</w:t>
            </w:r>
            <w:r>
              <w:rPr>
                <w:spacing w:val="-12"/>
                <w:sz w:val="20"/>
              </w:rPr>
              <w:t> </w:t>
            </w:r>
            <w:r>
              <w:rPr>
                <w:spacing w:val="-2"/>
                <w:sz w:val="20"/>
              </w:rPr>
              <w:t>would</w:t>
            </w:r>
            <w:r>
              <w:rPr>
                <w:spacing w:val="-12"/>
                <w:sz w:val="20"/>
              </w:rPr>
              <w:t> </w:t>
            </w:r>
            <w:r>
              <w:rPr>
                <w:spacing w:val="-2"/>
                <w:sz w:val="20"/>
              </w:rPr>
              <w:t>draw</w:t>
            </w:r>
            <w:r>
              <w:rPr>
                <w:spacing w:val="-12"/>
                <w:sz w:val="20"/>
              </w:rPr>
              <w:t> </w:t>
            </w:r>
            <w:r>
              <w:rPr>
                <w:spacing w:val="-2"/>
                <w:sz w:val="20"/>
              </w:rPr>
              <w:t>on</w:t>
            </w:r>
            <w:r>
              <w:rPr>
                <w:spacing w:val="-12"/>
                <w:sz w:val="20"/>
              </w:rPr>
              <w:t> </w:t>
            </w:r>
            <w:r>
              <w:rPr>
                <w:spacing w:val="-2"/>
                <w:sz w:val="20"/>
              </w:rPr>
              <w:t>Swansea</w:t>
            </w:r>
            <w:r>
              <w:rPr>
                <w:spacing w:val="-12"/>
                <w:sz w:val="20"/>
              </w:rPr>
              <w:t> </w:t>
            </w:r>
            <w:r>
              <w:rPr>
                <w:spacing w:val="-2"/>
                <w:sz w:val="20"/>
              </w:rPr>
              <w:t>Bay’s</w:t>
            </w:r>
            <w:r>
              <w:rPr>
                <w:spacing w:val="-12"/>
                <w:sz w:val="20"/>
              </w:rPr>
              <w:t> </w:t>
            </w:r>
            <w:r>
              <w:rPr>
                <w:spacing w:val="-2"/>
                <w:sz w:val="20"/>
              </w:rPr>
              <w:t>five-part</w:t>
            </w:r>
            <w:r>
              <w:rPr>
                <w:spacing w:val="-12"/>
                <w:sz w:val="20"/>
              </w:rPr>
              <w:t> </w:t>
            </w:r>
            <w:r>
              <w:rPr>
                <w:spacing w:val="-2"/>
                <w:sz w:val="20"/>
              </w:rPr>
              <w:t>Cancer</w:t>
            </w:r>
            <w:r>
              <w:rPr>
                <w:spacing w:val="-12"/>
                <w:sz w:val="20"/>
              </w:rPr>
              <w:t> </w:t>
            </w:r>
            <w:r>
              <w:rPr>
                <w:spacing w:val="-2"/>
                <w:sz w:val="20"/>
              </w:rPr>
              <w:t>Improvement</w:t>
            </w:r>
            <w:r>
              <w:rPr>
                <w:spacing w:val="-12"/>
                <w:sz w:val="20"/>
              </w:rPr>
              <w:t> </w:t>
            </w:r>
            <w:r>
              <w:rPr>
                <w:spacing w:val="-2"/>
                <w:sz w:val="20"/>
              </w:rPr>
              <w:t>Framework</w:t>
            </w:r>
            <w:r>
              <w:rPr>
                <w:spacing w:val="-11"/>
                <w:sz w:val="20"/>
              </w:rPr>
              <w:t> </w:t>
            </w:r>
            <w:r>
              <w:rPr>
                <w:spacing w:val="-2"/>
                <w:sz w:val="20"/>
              </w:rPr>
              <w:t>and </w:t>
            </w:r>
            <w:r>
              <w:rPr>
                <w:sz w:val="20"/>
              </w:rPr>
              <w:t>Hywel</w:t>
            </w:r>
            <w:r>
              <w:rPr>
                <w:spacing w:val="-14"/>
                <w:sz w:val="20"/>
              </w:rPr>
              <w:t> </w:t>
            </w:r>
            <w:r>
              <w:rPr>
                <w:sz w:val="20"/>
              </w:rPr>
              <w:t>Dda’s</w:t>
            </w:r>
            <w:r>
              <w:rPr>
                <w:spacing w:val="-14"/>
                <w:sz w:val="20"/>
              </w:rPr>
              <w:t> </w:t>
            </w:r>
            <w:r>
              <w:rPr>
                <w:sz w:val="20"/>
              </w:rPr>
              <w:t>developing</w:t>
            </w:r>
            <w:r>
              <w:rPr>
                <w:spacing w:val="-14"/>
                <w:sz w:val="20"/>
              </w:rPr>
              <w:t> </w:t>
            </w:r>
            <w:r>
              <w:rPr>
                <w:sz w:val="20"/>
              </w:rPr>
              <w:t>Cancer</w:t>
            </w:r>
            <w:r>
              <w:rPr>
                <w:spacing w:val="-14"/>
                <w:sz w:val="20"/>
              </w:rPr>
              <w:t> </w:t>
            </w:r>
            <w:r>
              <w:rPr>
                <w:sz w:val="20"/>
              </w:rPr>
              <w:t>Strategy</w:t>
            </w:r>
            <w:r>
              <w:rPr>
                <w:spacing w:val="-14"/>
                <w:sz w:val="20"/>
              </w:rPr>
              <w:t> </w:t>
            </w:r>
            <w:r>
              <w:rPr>
                <w:sz w:val="20"/>
              </w:rPr>
              <w:t>and</w:t>
            </w:r>
            <w:r>
              <w:rPr>
                <w:spacing w:val="-14"/>
                <w:sz w:val="20"/>
              </w:rPr>
              <w:t> </w:t>
            </w:r>
            <w:r>
              <w:rPr>
                <w:sz w:val="20"/>
              </w:rPr>
              <w:t>Cancer</w:t>
            </w:r>
            <w:r>
              <w:rPr>
                <w:spacing w:val="-14"/>
                <w:sz w:val="20"/>
              </w:rPr>
              <w:t> </w:t>
            </w:r>
            <w:r>
              <w:rPr>
                <w:sz w:val="20"/>
              </w:rPr>
              <w:t>Improvement</w:t>
            </w:r>
            <w:r>
              <w:rPr>
                <w:spacing w:val="-14"/>
                <w:sz w:val="20"/>
              </w:rPr>
              <w:t> </w:t>
            </w:r>
            <w:r>
              <w:rPr>
                <w:sz w:val="20"/>
              </w:rPr>
              <w:t>Framework,</w:t>
            </w:r>
            <w:r>
              <w:rPr>
                <w:spacing w:val="-14"/>
                <w:sz w:val="20"/>
              </w:rPr>
              <w:t> </w:t>
            </w:r>
            <w:r>
              <w:rPr>
                <w:sz w:val="20"/>
              </w:rPr>
              <w:t>supported</w:t>
            </w:r>
            <w:r>
              <w:rPr>
                <w:spacing w:val="-13"/>
                <w:sz w:val="20"/>
              </w:rPr>
              <w:t> </w:t>
            </w:r>
            <w:r>
              <w:rPr>
                <w:sz w:val="20"/>
              </w:rPr>
              <w:t>by</w:t>
            </w:r>
            <w:r>
              <w:rPr>
                <w:spacing w:val="-14"/>
                <w:sz w:val="20"/>
              </w:rPr>
              <w:t> </w:t>
            </w:r>
            <w:r>
              <w:rPr>
                <w:sz w:val="20"/>
              </w:rPr>
              <w:t>Hywel</w:t>
            </w:r>
            <w:r>
              <w:rPr>
                <w:spacing w:val="-14"/>
                <w:sz w:val="20"/>
              </w:rPr>
              <w:t> </w:t>
            </w:r>
            <w:r>
              <w:rPr>
                <w:sz w:val="20"/>
              </w:rPr>
              <w:t>Dda’s 20four7</w:t>
            </w:r>
            <w:r>
              <w:rPr>
                <w:spacing w:val="-13"/>
                <w:sz w:val="20"/>
              </w:rPr>
              <w:t> </w:t>
            </w:r>
            <w:r>
              <w:rPr>
                <w:sz w:val="20"/>
              </w:rPr>
              <w:t>Prevention</w:t>
            </w:r>
            <w:r>
              <w:rPr>
                <w:spacing w:val="-13"/>
                <w:sz w:val="20"/>
              </w:rPr>
              <w:t> </w:t>
            </w:r>
            <w:r>
              <w:rPr>
                <w:sz w:val="20"/>
              </w:rPr>
              <w:t>Model.</w:t>
            </w:r>
            <w:r>
              <w:rPr>
                <w:spacing w:val="40"/>
                <w:sz w:val="20"/>
              </w:rPr>
              <w:t> </w:t>
            </w:r>
            <w:r>
              <w:rPr>
                <w:sz w:val="20"/>
              </w:rPr>
              <w:t>They</w:t>
            </w:r>
            <w:r>
              <w:rPr>
                <w:spacing w:val="-8"/>
                <w:sz w:val="20"/>
              </w:rPr>
              <w:t> </w:t>
            </w:r>
            <w:r>
              <w:rPr>
                <w:sz w:val="20"/>
              </w:rPr>
              <w:t>are</w:t>
            </w:r>
            <w:r>
              <w:rPr>
                <w:spacing w:val="-13"/>
                <w:sz w:val="20"/>
              </w:rPr>
              <w:t> </w:t>
            </w:r>
            <w:r>
              <w:rPr>
                <w:sz w:val="20"/>
              </w:rPr>
              <w:t>not</w:t>
            </w:r>
            <w:r>
              <w:rPr>
                <w:spacing w:val="-13"/>
                <w:sz w:val="20"/>
              </w:rPr>
              <w:t> </w:t>
            </w:r>
            <w:r>
              <w:rPr>
                <w:sz w:val="20"/>
              </w:rPr>
              <w:t>proposed</w:t>
            </w:r>
            <w:r>
              <w:rPr>
                <w:spacing w:val="-13"/>
                <w:sz w:val="20"/>
              </w:rPr>
              <w:t> </w:t>
            </w:r>
            <w:r>
              <w:rPr>
                <w:sz w:val="20"/>
              </w:rPr>
              <w:t>as</w:t>
            </w:r>
            <w:r>
              <w:rPr>
                <w:spacing w:val="-13"/>
                <w:sz w:val="20"/>
              </w:rPr>
              <w:t> </w:t>
            </w:r>
            <w:r>
              <w:rPr>
                <w:sz w:val="20"/>
              </w:rPr>
              <w:t>an</w:t>
            </w:r>
            <w:r>
              <w:rPr>
                <w:spacing w:val="-13"/>
                <w:sz w:val="20"/>
              </w:rPr>
              <w:t> </w:t>
            </w:r>
            <w:r>
              <w:rPr>
                <w:sz w:val="20"/>
              </w:rPr>
              <w:t>agreed</w:t>
            </w:r>
            <w:r>
              <w:rPr>
                <w:spacing w:val="-13"/>
                <w:sz w:val="20"/>
              </w:rPr>
              <w:t> </w:t>
            </w:r>
            <w:r>
              <w:rPr>
                <w:sz w:val="20"/>
              </w:rPr>
              <w:t>programme</w:t>
            </w:r>
            <w:r>
              <w:rPr>
                <w:spacing w:val="-13"/>
                <w:sz w:val="20"/>
              </w:rPr>
              <w:t> </w:t>
            </w:r>
            <w:r>
              <w:rPr>
                <w:sz w:val="20"/>
              </w:rPr>
              <w:t>scope</w:t>
            </w:r>
            <w:r>
              <w:rPr>
                <w:spacing w:val="-13"/>
                <w:sz w:val="20"/>
              </w:rPr>
              <w:t> </w:t>
            </w:r>
            <w:r>
              <w:rPr>
                <w:sz w:val="20"/>
              </w:rPr>
              <w:t>and</w:t>
            </w:r>
            <w:r>
              <w:rPr>
                <w:spacing w:val="-13"/>
                <w:sz w:val="20"/>
              </w:rPr>
              <w:t> </w:t>
            </w:r>
            <w:r>
              <w:rPr>
                <w:sz w:val="20"/>
              </w:rPr>
              <w:t>may</w:t>
            </w:r>
            <w:r>
              <w:rPr>
                <w:spacing w:val="-12"/>
                <w:sz w:val="20"/>
              </w:rPr>
              <w:t> </w:t>
            </w:r>
            <w:r>
              <w:rPr>
                <w:sz w:val="20"/>
              </w:rPr>
              <w:t>be</w:t>
            </w:r>
            <w:r>
              <w:rPr>
                <w:spacing w:val="-13"/>
                <w:sz w:val="20"/>
              </w:rPr>
              <w:t> </w:t>
            </w:r>
            <w:r>
              <w:rPr>
                <w:sz w:val="20"/>
              </w:rPr>
              <w:t>refined</w:t>
            </w:r>
            <w:r>
              <w:rPr>
                <w:spacing w:val="-13"/>
                <w:sz w:val="20"/>
              </w:rPr>
              <w:t> </w:t>
            </w:r>
            <w:r>
              <w:rPr>
                <w:sz w:val="20"/>
              </w:rPr>
              <w:t>through the workshop-planning process:</w:t>
            </w:r>
          </w:p>
        </w:tc>
      </w:tr>
    </w:tbl>
    <w:p>
      <w:pPr>
        <w:pStyle w:val="BodyText"/>
        <w:spacing w:before="137"/>
        <w:rPr>
          <w:sz w:val="16"/>
        </w:rPr>
      </w:pPr>
    </w:p>
    <w:p>
      <w:pPr>
        <w:spacing w:before="0"/>
        <w:ind w:left="657" w:right="228" w:firstLine="0"/>
        <w:jc w:val="center"/>
        <w:rPr>
          <w:sz w:val="16"/>
        </w:rPr>
      </w:pPr>
      <w:r>
        <w:rPr>
          <w:spacing w:val="-2"/>
          <w:sz w:val="16"/>
        </w:rPr>
        <w:t>Page</w:t>
      </w:r>
      <w:r>
        <w:rPr>
          <w:spacing w:val="-7"/>
          <w:sz w:val="16"/>
        </w:rPr>
        <w:t> </w:t>
      </w:r>
      <w:r>
        <w:rPr>
          <w:spacing w:val="-2"/>
          <w:sz w:val="16"/>
        </w:rPr>
        <w:t>2</w:t>
      </w:r>
      <w:r>
        <w:rPr>
          <w:spacing w:val="-9"/>
          <w:sz w:val="16"/>
        </w:rPr>
        <w:t> </w:t>
      </w:r>
      <w:r>
        <w:rPr>
          <w:spacing w:val="-2"/>
          <w:sz w:val="16"/>
        </w:rPr>
        <w:t>of</w:t>
      </w:r>
      <w:r>
        <w:rPr>
          <w:spacing w:val="-9"/>
          <w:sz w:val="16"/>
        </w:rPr>
        <w:t> </w:t>
      </w:r>
      <w:r>
        <w:rPr>
          <w:spacing w:val="-10"/>
          <w:sz w:val="16"/>
        </w:rPr>
        <w:t>4</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288" name="Image 288"/>
            <wp:cNvGraphicFramePr>
              <a:graphicFrameLocks/>
            </wp:cNvGraphicFramePr>
            <a:graphic>
              <a:graphicData uri="http://schemas.openxmlformats.org/drawingml/2006/picture">
                <pic:pic>
                  <pic:nvPicPr>
                    <pic:cNvPr id="288" name="Image 288"/>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289" name="Image 289"/>
            <wp:cNvGraphicFramePr>
              <a:graphicFrameLocks/>
            </wp:cNvGraphicFramePr>
            <a:graphic>
              <a:graphicData uri="http://schemas.openxmlformats.org/drawingml/2006/picture">
                <pic:pic>
                  <pic:nvPicPr>
                    <pic:cNvPr id="289" name="Image 289"/>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0" w:hRule="atLeast"/>
        </w:trPr>
        <w:tc>
          <w:tcPr>
            <w:tcW w:w="10069" w:type="dxa"/>
            <w:shd w:val="clear" w:color="auto" w:fill="394871"/>
          </w:tcPr>
          <w:p>
            <w:pPr>
              <w:pStyle w:val="TableParagraph"/>
              <w:spacing w:line="276" w:lineRule="exact"/>
              <w:ind w:left="110" w:right="7140"/>
              <w:rPr>
                <w:b/>
                <w:sz w:val="24"/>
              </w:rPr>
            </w:pPr>
            <w:r>
              <w:rPr>
                <w:b/>
                <w:color w:val="FFFFFF"/>
                <w:spacing w:val="-4"/>
                <w:sz w:val="24"/>
              </w:rPr>
              <w:t>ADRODDIAD</w:t>
            </w:r>
            <w:r>
              <w:rPr>
                <w:b/>
                <w:color w:val="FFFFFF"/>
                <w:spacing w:val="-13"/>
                <w:sz w:val="24"/>
              </w:rPr>
              <w:t> </w:t>
            </w:r>
            <w:r>
              <w:rPr>
                <w:b/>
                <w:color w:val="FFFFFF"/>
                <w:spacing w:val="-4"/>
                <w:sz w:val="24"/>
              </w:rPr>
              <w:t>SCAA </w:t>
            </w:r>
            <w:r>
              <w:rPr>
                <w:b/>
                <w:color w:val="FFFFFF"/>
                <w:sz w:val="24"/>
              </w:rPr>
              <w:t>SBAR REPORT</w:t>
            </w:r>
          </w:p>
        </w:tc>
      </w:tr>
      <w:tr>
        <w:trPr>
          <w:trHeight w:val="14136" w:hRule="atLeast"/>
        </w:trPr>
        <w:tc>
          <w:tcPr>
            <w:tcW w:w="10069" w:type="dxa"/>
          </w:tcPr>
          <w:p>
            <w:pPr>
              <w:pStyle w:val="TableParagraph"/>
              <w:numPr>
                <w:ilvl w:val="0"/>
                <w:numId w:val="17"/>
              </w:numPr>
              <w:tabs>
                <w:tab w:pos="560" w:val="left" w:leader="none"/>
              </w:tabs>
              <w:spacing w:line="247" w:lineRule="auto" w:before="92" w:after="0"/>
              <w:ind w:left="560" w:right="564" w:hanging="360"/>
              <w:jc w:val="left"/>
              <w:rPr>
                <w:rFonts w:ascii="Symbol" w:hAnsi="Symbol"/>
                <w:sz w:val="20"/>
              </w:rPr>
            </w:pPr>
            <w:r>
              <w:rPr>
                <w:spacing w:val="-4"/>
                <w:sz w:val="20"/>
              </w:rPr>
              <w:t>Prevention and earlier diagnosis: shared opportunities in prevention, screening, population health, health </w:t>
            </w:r>
            <w:r>
              <w:rPr>
                <w:sz w:val="20"/>
              </w:rPr>
              <w:t>inequalities and earlier diagnosis.</w:t>
            </w:r>
          </w:p>
          <w:p>
            <w:pPr>
              <w:pStyle w:val="TableParagraph"/>
              <w:numPr>
                <w:ilvl w:val="0"/>
                <w:numId w:val="17"/>
              </w:numPr>
              <w:tabs>
                <w:tab w:pos="560" w:val="left" w:leader="none"/>
              </w:tabs>
              <w:spacing w:line="244" w:lineRule="auto" w:before="5" w:after="0"/>
              <w:ind w:left="560" w:right="316" w:hanging="360"/>
              <w:jc w:val="left"/>
              <w:rPr>
                <w:rFonts w:ascii="Symbol" w:hAnsi="Symbol"/>
                <w:sz w:val="20"/>
              </w:rPr>
            </w:pPr>
            <w:r>
              <w:rPr>
                <w:spacing w:val="-4"/>
                <w:sz w:val="20"/>
              </w:rPr>
              <w:t>Diagnostics and timely access: regional dependencies and opportunities in diagnostics, pathology, pathway </w:t>
            </w:r>
            <w:r>
              <w:rPr>
                <w:sz w:val="20"/>
              </w:rPr>
              <w:t>flow and access to specialist expertise.</w:t>
            </w:r>
          </w:p>
          <w:p>
            <w:pPr>
              <w:pStyle w:val="TableParagraph"/>
              <w:numPr>
                <w:ilvl w:val="0"/>
                <w:numId w:val="17"/>
              </w:numPr>
              <w:tabs>
                <w:tab w:pos="560" w:val="left" w:leader="none"/>
              </w:tabs>
              <w:spacing w:line="247" w:lineRule="auto" w:before="6" w:after="0"/>
              <w:ind w:left="560" w:right="397" w:hanging="360"/>
              <w:jc w:val="left"/>
              <w:rPr>
                <w:rFonts w:ascii="Symbol" w:hAnsi="Symbol"/>
                <w:sz w:val="20"/>
              </w:rPr>
            </w:pPr>
            <w:r>
              <w:rPr>
                <w:spacing w:val="-4"/>
                <w:sz w:val="20"/>
              </w:rPr>
              <w:t>Tumour-site improvement: a</w:t>
            </w:r>
            <w:r>
              <w:rPr>
                <w:spacing w:val="-6"/>
                <w:sz w:val="20"/>
              </w:rPr>
              <w:t> </w:t>
            </w:r>
            <w:r>
              <w:rPr>
                <w:spacing w:val="-4"/>
                <w:sz w:val="20"/>
              </w:rPr>
              <w:t>limited number of pathways where shared expertise, regional multidisciplinary </w:t>
            </w:r>
            <w:r>
              <w:rPr>
                <w:sz w:val="20"/>
              </w:rPr>
              <w:t>working</w:t>
            </w:r>
            <w:r>
              <w:rPr>
                <w:spacing w:val="-6"/>
                <w:sz w:val="20"/>
              </w:rPr>
              <w:t> </w:t>
            </w:r>
            <w:r>
              <w:rPr>
                <w:sz w:val="20"/>
              </w:rPr>
              <w:t>or</w:t>
            </w:r>
            <w:r>
              <w:rPr>
                <w:spacing w:val="-12"/>
                <w:sz w:val="20"/>
              </w:rPr>
              <w:t> </w:t>
            </w:r>
            <w:r>
              <w:rPr>
                <w:sz w:val="20"/>
              </w:rPr>
              <w:t>common</w:t>
            </w:r>
            <w:r>
              <w:rPr>
                <w:spacing w:val="-6"/>
                <w:sz w:val="20"/>
              </w:rPr>
              <w:t> </w:t>
            </w:r>
            <w:r>
              <w:rPr>
                <w:sz w:val="20"/>
              </w:rPr>
              <w:t>improvement</w:t>
            </w:r>
            <w:r>
              <w:rPr>
                <w:spacing w:val="-5"/>
                <w:sz w:val="20"/>
              </w:rPr>
              <w:t> </w:t>
            </w:r>
            <w:r>
              <w:rPr>
                <w:sz w:val="20"/>
              </w:rPr>
              <w:t>approaches</w:t>
            </w:r>
            <w:r>
              <w:rPr>
                <w:spacing w:val="-5"/>
                <w:sz w:val="20"/>
              </w:rPr>
              <w:t> </w:t>
            </w:r>
            <w:r>
              <w:rPr>
                <w:sz w:val="20"/>
              </w:rPr>
              <w:t>could</w:t>
            </w:r>
            <w:r>
              <w:rPr>
                <w:spacing w:val="-5"/>
                <w:sz w:val="20"/>
              </w:rPr>
              <w:t> </w:t>
            </w:r>
            <w:r>
              <w:rPr>
                <w:sz w:val="20"/>
              </w:rPr>
              <w:t>add</w:t>
            </w:r>
            <w:r>
              <w:rPr>
                <w:spacing w:val="-6"/>
                <w:sz w:val="20"/>
              </w:rPr>
              <w:t> </w:t>
            </w:r>
            <w:r>
              <w:rPr>
                <w:sz w:val="20"/>
              </w:rPr>
              <w:t>value.</w:t>
            </w:r>
          </w:p>
          <w:p>
            <w:pPr>
              <w:pStyle w:val="TableParagraph"/>
              <w:numPr>
                <w:ilvl w:val="0"/>
                <w:numId w:val="17"/>
              </w:numPr>
              <w:tabs>
                <w:tab w:pos="560" w:val="left" w:leader="none"/>
              </w:tabs>
              <w:spacing w:line="247" w:lineRule="auto" w:before="6" w:after="0"/>
              <w:ind w:left="560" w:right="263" w:hanging="360"/>
              <w:jc w:val="both"/>
              <w:rPr>
                <w:rFonts w:ascii="Symbol" w:hAnsi="Symbol"/>
                <w:sz w:val="20"/>
              </w:rPr>
            </w:pPr>
            <w:r>
              <w:rPr>
                <w:spacing w:val="-2"/>
                <w:sz w:val="20"/>
              </w:rPr>
              <w:t>Sustainable</w:t>
            </w:r>
            <w:r>
              <w:rPr>
                <w:spacing w:val="-12"/>
                <w:sz w:val="20"/>
              </w:rPr>
              <w:t> </w:t>
            </w:r>
            <w:r>
              <w:rPr>
                <w:spacing w:val="-2"/>
                <w:sz w:val="20"/>
              </w:rPr>
              <w:t>services,</w:t>
            </w:r>
            <w:r>
              <w:rPr>
                <w:spacing w:val="-12"/>
                <w:sz w:val="20"/>
              </w:rPr>
              <w:t> </w:t>
            </w:r>
            <w:r>
              <w:rPr>
                <w:spacing w:val="-2"/>
                <w:sz w:val="20"/>
              </w:rPr>
              <w:t>research</w:t>
            </w:r>
            <w:r>
              <w:rPr>
                <w:spacing w:val="-12"/>
                <w:sz w:val="20"/>
              </w:rPr>
              <w:t> </w:t>
            </w:r>
            <w:r>
              <w:rPr>
                <w:spacing w:val="-2"/>
                <w:sz w:val="20"/>
              </w:rPr>
              <w:t>and</w:t>
            </w:r>
            <w:r>
              <w:rPr>
                <w:spacing w:val="-12"/>
                <w:sz w:val="20"/>
              </w:rPr>
              <w:t> </w:t>
            </w:r>
            <w:r>
              <w:rPr>
                <w:spacing w:val="-2"/>
                <w:sz w:val="20"/>
              </w:rPr>
              <w:t>innovation:</w:t>
            </w:r>
            <w:r>
              <w:rPr>
                <w:spacing w:val="-12"/>
                <w:sz w:val="20"/>
              </w:rPr>
              <w:t> </w:t>
            </w:r>
            <w:r>
              <w:rPr>
                <w:spacing w:val="-2"/>
                <w:sz w:val="20"/>
              </w:rPr>
              <w:t>the</w:t>
            </w:r>
            <w:r>
              <w:rPr>
                <w:spacing w:val="-12"/>
                <w:sz w:val="20"/>
              </w:rPr>
              <w:t> </w:t>
            </w:r>
            <w:r>
              <w:rPr>
                <w:spacing w:val="-2"/>
                <w:sz w:val="20"/>
              </w:rPr>
              <w:t>future</w:t>
            </w:r>
            <w:r>
              <w:rPr>
                <w:spacing w:val="-12"/>
                <w:sz w:val="20"/>
              </w:rPr>
              <w:t> </w:t>
            </w:r>
            <w:r>
              <w:rPr>
                <w:spacing w:val="-2"/>
                <w:sz w:val="20"/>
              </w:rPr>
              <w:t>role</w:t>
            </w:r>
            <w:r>
              <w:rPr>
                <w:spacing w:val="-12"/>
                <w:sz w:val="20"/>
              </w:rPr>
              <w:t> </w:t>
            </w:r>
            <w:r>
              <w:rPr>
                <w:spacing w:val="-2"/>
                <w:sz w:val="20"/>
              </w:rPr>
              <w:t>of</w:t>
            </w:r>
            <w:r>
              <w:rPr>
                <w:spacing w:val="-12"/>
                <w:sz w:val="20"/>
              </w:rPr>
              <w:t> </w:t>
            </w:r>
            <w:r>
              <w:rPr>
                <w:spacing w:val="-2"/>
                <w:sz w:val="20"/>
              </w:rPr>
              <w:t>the</w:t>
            </w:r>
            <w:r>
              <w:rPr>
                <w:spacing w:val="-11"/>
                <w:sz w:val="20"/>
              </w:rPr>
              <w:t> </w:t>
            </w:r>
            <w:r>
              <w:rPr>
                <w:spacing w:val="-2"/>
                <w:sz w:val="20"/>
              </w:rPr>
              <w:t>Regional</w:t>
            </w:r>
            <w:r>
              <w:rPr>
                <w:spacing w:val="-12"/>
                <w:sz w:val="20"/>
              </w:rPr>
              <w:t> </w:t>
            </w:r>
            <w:r>
              <w:rPr>
                <w:spacing w:val="-2"/>
                <w:sz w:val="20"/>
              </w:rPr>
              <w:t>Cancer</w:t>
            </w:r>
            <w:r>
              <w:rPr>
                <w:spacing w:val="-12"/>
                <w:sz w:val="20"/>
              </w:rPr>
              <w:t> </w:t>
            </w:r>
            <w:r>
              <w:rPr>
                <w:spacing w:val="-2"/>
                <w:sz w:val="20"/>
              </w:rPr>
              <w:t>Centre;</w:t>
            </w:r>
            <w:r>
              <w:rPr>
                <w:spacing w:val="-12"/>
                <w:sz w:val="20"/>
              </w:rPr>
              <w:t> </w:t>
            </w:r>
            <w:r>
              <w:rPr>
                <w:spacing w:val="-2"/>
                <w:sz w:val="20"/>
              </w:rPr>
              <w:t>workforce</w:t>
            </w:r>
            <w:r>
              <w:rPr>
                <w:spacing w:val="-12"/>
                <w:sz w:val="20"/>
              </w:rPr>
              <w:t> </w:t>
            </w:r>
            <w:r>
              <w:rPr>
                <w:spacing w:val="-2"/>
                <w:sz w:val="20"/>
              </w:rPr>
              <w:t>and </w:t>
            </w:r>
            <w:r>
              <w:rPr>
                <w:spacing w:val="-4"/>
                <w:sz w:val="20"/>
              </w:rPr>
              <w:t>treatment</w:t>
            </w:r>
            <w:r>
              <w:rPr>
                <w:spacing w:val="-5"/>
                <w:sz w:val="20"/>
              </w:rPr>
              <w:t> </w:t>
            </w:r>
            <w:r>
              <w:rPr>
                <w:spacing w:val="-4"/>
                <w:sz w:val="20"/>
              </w:rPr>
              <w:t>capacity; oncology, radiotherapy, systemic anti-cancer therapy and acute oncology; research; and </w:t>
            </w:r>
            <w:r>
              <w:rPr>
                <w:sz w:val="20"/>
              </w:rPr>
              <w:t>evidence-based networked or</w:t>
            </w:r>
            <w:r>
              <w:rPr>
                <w:spacing w:val="-6"/>
                <w:sz w:val="20"/>
              </w:rPr>
              <w:t> </w:t>
            </w:r>
            <w:r>
              <w:rPr>
                <w:sz w:val="20"/>
              </w:rPr>
              <w:t>satellite models.</w:t>
            </w:r>
          </w:p>
          <w:p>
            <w:pPr>
              <w:pStyle w:val="TableParagraph"/>
              <w:numPr>
                <w:ilvl w:val="0"/>
                <w:numId w:val="17"/>
              </w:numPr>
              <w:tabs>
                <w:tab w:pos="560" w:val="left" w:leader="none"/>
              </w:tabs>
              <w:spacing w:line="249" w:lineRule="auto" w:before="4" w:after="0"/>
              <w:ind w:left="560" w:right="816" w:hanging="360"/>
              <w:jc w:val="both"/>
              <w:rPr>
                <w:rFonts w:ascii="Symbol" w:hAnsi="Symbol"/>
                <w:sz w:val="20"/>
              </w:rPr>
            </w:pPr>
            <w:r>
              <w:rPr>
                <w:spacing w:val="-2"/>
                <w:sz w:val="20"/>
              </w:rPr>
              <w:t>Personalised</w:t>
            </w:r>
            <w:r>
              <w:rPr>
                <w:spacing w:val="-12"/>
                <w:sz w:val="20"/>
              </w:rPr>
              <w:t> </w:t>
            </w:r>
            <w:r>
              <w:rPr>
                <w:spacing w:val="-2"/>
                <w:sz w:val="20"/>
              </w:rPr>
              <w:t>care</w:t>
            </w:r>
            <w:r>
              <w:rPr>
                <w:spacing w:val="-12"/>
                <w:sz w:val="20"/>
              </w:rPr>
              <w:t> </w:t>
            </w:r>
            <w:r>
              <w:rPr>
                <w:spacing w:val="-2"/>
                <w:sz w:val="20"/>
              </w:rPr>
              <w:t>and</w:t>
            </w:r>
            <w:r>
              <w:rPr>
                <w:spacing w:val="-12"/>
                <w:sz w:val="20"/>
              </w:rPr>
              <w:t> </w:t>
            </w:r>
            <w:r>
              <w:rPr>
                <w:spacing w:val="-2"/>
                <w:sz w:val="20"/>
              </w:rPr>
              <w:t>living</w:t>
            </w:r>
            <w:r>
              <w:rPr>
                <w:spacing w:val="-12"/>
                <w:sz w:val="20"/>
              </w:rPr>
              <w:t> </w:t>
            </w:r>
            <w:r>
              <w:rPr>
                <w:spacing w:val="-2"/>
                <w:sz w:val="20"/>
              </w:rPr>
              <w:t>well</w:t>
            </w:r>
            <w:r>
              <w:rPr>
                <w:spacing w:val="-12"/>
                <w:sz w:val="20"/>
              </w:rPr>
              <w:t> </w:t>
            </w:r>
            <w:r>
              <w:rPr>
                <w:spacing w:val="-2"/>
                <w:sz w:val="20"/>
              </w:rPr>
              <w:t>with</w:t>
            </w:r>
            <w:r>
              <w:rPr>
                <w:spacing w:val="-12"/>
                <w:sz w:val="20"/>
              </w:rPr>
              <w:t> </w:t>
            </w:r>
            <w:r>
              <w:rPr>
                <w:spacing w:val="-2"/>
                <w:sz w:val="20"/>
              </w:rPr>
              <w:t>and</w:t>
            </w:r>
            <w:r>
              <w:rPr>
                <w:spacing w:val="-12"/>
                <w:sz w:val="20"/>
              </w:rPr>
              <w:t> </w:t>
            </w:r>
            <w:r>
              <w:rPr>
                <w:spacing w:val="-2"/>
                <w:sz w:val="20"/>
              </w:rPr>
              <w:t>beyond</w:t>
            </w:r>
            <w:r>
              <w:rPr>
                <w:spacing w:val="-12"/>
                <w:sz w:val="20"/>
              </w:rPr>
              <w:t> </w:t>
            </w:r>
            <w:r>
              <w:rPr>
                <w:spacing w:val="-2"/>
                <w:sz w:val="20"/>
              </w:rPr>
              <w:t>cancer:</w:t>
            </w:r>
            <w:r>
              <w:rPr>
                <w:spacing w:val="-12"/>
                <w:sz w:val="20"/>
              </w:rPr>
              <w:t> </w:t>
            </w:r>
            <w:r>
              <w:rPr>
                <w:spacing w:val="-2"/>
                <w:sz w:val="20"/>
              </w:rPr>
              <w:t>opportunities</w:t>
            </w:r>
            <w:r>
              <w:rPr>
                <w:spacing w:val="-11"/>
                <w:sz w:val="20"/>
              </w:rPr>
              <w:t> </w:t>
            </w:r>
            <w:r>
              <w:rPr>
                <w:spacing w:val="-2"/>
                <w:sz w:val="20"/>
              </w:rPr>
              <w:t>for</w:t>
            </w:r>
            <w:r>
              <w:rPr>
                <w:spacing w:val="-12"/>
                <w:sz w:val="20"/>
              </w:rPr>
              <w:t> </w:t>
            </w:r>
            <w:r>
              <w:rPr>
                <w:spacing w:val="-2"/>
                <w:sz w:val="20"/>
              </w:rPr>
              <w:t>more</w:t>
            </w:r>
            <w:r>
              <w:rPr>
                <w:spacing w:val="-12"/>
                <w:sz w:val="20"/>
              </w:rPr>
              <w:t> </w:t>
            </w:r>
            <w:r>
              <w:rPr>
                <w:spacing w:val="-2"/>
                <w:sz w:val="20"/>
              </w:rPr>
              <w:t>consistent</w:t>
            </w:r>
            <w:r>
              <w:rPr>
                <w:spacing w:val="-12"/>
                <w:sz w:val="20"/>
              </w:rPr>
              <w:t> </w:t>
            </w:r>
            <w:r>
              <w:rPr>
                <w:spacing w:val="-2"/>
                <w:sz w:val="20"/>
              </w:rPr>
              <w:t>access</w:t>
            </w:r>
            <w:r>
              <w:rPr>
                <w:spacing w:val="-11"/>
                <w:sz w:val="20"/>
              </w:rPr>
              <w:t> </w:t>
            </w:r>
            <w:r>
              <w:rPr>
                <w:spacing w:val="-2"/>
                <w:sz w:val="20"/>
              </w:rPr>
              <w:t>to personalised care, rehabilitation,</w:t>
            </w:r>
            <w:r>
              <w:rPr>
                <w:spacing w:val="-3"/>
                <w:sz w:val="20"/>
              </w:rPr>
              <w:t> </w:t>
            </w:r>
            <w:r>
              <w:rPr>
                <w:spacing w:val="-2"/>
                <w:sz w:val="20"/>
              </w:rPr>
              <w:t>survivorship, palliative and end-of-life care.</w:t>
            </w:r>
          </w:p>
          <w:p>
            <w:pPr>
              <w:pStyle w:val="TableParagraph"/>
              <w:spacing w:line="252" w:lineRule="auto" w:before="60"/>
              <w:ind w:left="120"/>
              <w:rPr>
                <w:sz w:val="20"/>
              </w:rPr>
            </w:pPr>
            <w:r>
              <w:rPr>
                <w:spacing w:val="-4"/>
                <w:sz w:val="20"/>
              </w:rPr>
              <w:t>Cross-cutting enablers and dependencies: workforce; leadership and governance; finance and contracting; data, </w:t>
            </w:r>
            <w:r>
              <w:rPr>
                <w:spacing w:val="-2"/>
                <w:sz w:val="20"/>
              </w:rPr>
              <w:t>digital and</w:t>
            </w:r>
            <w:r>
              <w:rPr>
                <w:spacing w:val="-3"/>
                <w:sz w:val="20"/>
              </w:rPr>
              <w:t> </w:t>
            </w:r>
            <w:r>
              <w:rPr>
                <w:spacing w:val="-2"/>
                <w:sz w:val="20"/>
              </w:rPr>
              <w:t>information</w:t>
            </w:r>
            <w:r>
              <w:rPr>
                <w:spacing w:val="-3"/>
                <w:sz w:val="20"/>
              </w:rPr>
              <w:t> </w:t>
            </w:r>
            <w:r>
              <w:rPr>
                <w:spacing w:val="-2"/>
                <w:sz w:val="20"/>
              </w:rPr>
              <w:t>governance; estates and</w:t>
            </w:r>
            <w:r>
              <w:rPr>
                <w:spacing w:val="-3"/>
                <w:sz w:val="20"/>
              </w:rPr>
              <w:t> </w:t>
            </w:r>
            <w:r>
              <w:rPr>
                <w:spacing w:val="-2"/>
                <w:sz w:val="20"/>
              </w:rPr>
              <w:t>infrastructure; research</w:t>
            </w:r>
            <w:r>
              <w:rPr>
                <w:spacing w:val="-3"/>
                <w:sz w:val="20"/>
              </w:rPr>
              <w:t> </w:t>
            </w:r>
            <w:r>
              <w:rPr>
                <w:spacing w:val="-2"/>
                <w:sz w:val="20"/>
              </w:rPr>
              <w:t>and</w:t>
            </w:r>
            <w:r>
              <w:rPr>
                <w:spacing w:val="-8"/>
                <w:sz w:val="20"/>
              </w:rPr>
              <w:t> </w:t>
            </w:r>
            <w:r>
              <w:rPr>
                <w:spacing w:val="-2"/>
                <w:sz w:val="20"/>
              </w:rPr>
              <w:t>innovation;</w:t>
            </w:r>
            <w:r>
              <w:rPr>
                <w:spacing w:val="-3"/>
                <w:sz w:val="20"/>
              </w:rPr>
              <w:t> </w:t>
            </w:r>
            <w:r>
              <w:rPr>
                <w:spacing w:val="-2"/>
                <w:sz w:val="20"/>
              </w:rPr>
              <w:t>engagement;</w:t>
            </w:r>
            <w:r>
              <w:rPr>
                <w:spacing w:val="-3"/>
                <w:sz w:val="20"/>
              </w:rPr>
              <w:t> </w:t>
            </w:r>
            <w:r>
              <w:rPr>
                <w:spacing w:val="-2"/>
                <w:sz w:val="20"/>
              </w:rPr>
              <w:t>quality </w:t>
            </w:r>
            <w:r>
              <w:rPr>
                <w:sz w:val="20"/>
              </w:rPr>
              <w:t>improvement;</w:t>
            </w:r>
            <w:r>
              <w:rPr>
                <w:spacing w:val="-14"/>
                <w:sz w:val="20"/>
              </w:rPr>
              <w:t> </w:t>
            </w:r>
            <w:r>
              <w:rPr>
                <w:sz w:val="20"/>
              </w:rPr>
              <w:t>and</w:t>
            </w:r>
            <w:r>
              <w:rPr>
                <w:spacing w:val="-14"/>
                <w:sz w:val="20"/>
              </w:rPr>
              <w:t> </w:t>
            </w:r>
            <w:r>
              <w:rPr>
                <w:sz w:val="20"/>
              </w:rPr>
              <w:t>equality.</w:t>
            </w:r>
            <w:r>
              <w:rPr>
                <w:spacing w:val="-14"/>
                <w:sz w:val="20"/>
              </w:rPr>
              <w:t> </w:t>
            </w:r>
            <w:r>
              <w:rPr>
                <w:sz w:val="20"/>
              </w:rPr>
              <w:t>Relevant</w:t>
            </w:r>
            <w:r>
              <w:rPr>
                <w:spacing w:val="-14"/>
                <w:sz w:val="20"/>
              </w:rPr>
              <w:t> </w:t>
            </w:r>
            <w:r>
              <w:rPr>
                <w:sz w:val="20"/>
              </w:rPr>
              <w:t>RJC</w:t>
            </w:r>
            <w:r>
              <w:rPr>
                <w:spacing w:val="-14"/>
                <w:sz w:val="20"/>
              </w:rPr>
              <w:t> </w:t>
            </w:r>
            <w:r>
              <w:rPr>
                <w:sz w:val="20"/>
              </w:rPr>
              <w:t>subgroups</w:t>
            </w:r>
            <w:r>
              <w:rPr>
                <w:spacing w:val="-14"/>
                <w:sz w:val="20"/>
              </w:rPr>
              <w:t> </w:t>
            </w:r>
            <w:r>
              <w:rPr>
                <w:sz w:val="20"/>
              </w:rPr>
              <w:t>would</w:t>
            </w:r>
            <w:r>
              <w:rPr>
                <w:spacing w:val="-14"/>
                <w:sz w:val="20"/>
              </w:rPr>
              <w:t> </w:t>
            </w:r>
            <w:r>
              <w:rPr>
                <w:sz w:val="20"/>
              </w:rPr>
              <w:t>be</w:t>
            </w:r>
            <w:r>
              <w:rPr>
                <w:spacing w:val="-14"/>
                <w:sz w:val="20"/>
              </w:rPr>
              <w:t> </w:t>
            </w:r>
            <w:r>
              <w:rPr>
                <w:sz w:val="20"/>
              </w:rPr>
              <w:t>engaged</w:t>
            </w:r>
            <w:r>
              <w:rPr>
                <w:spacing w:val="-14"/>
                <w:sz w:val="20"/>
              </w:rPr>
              <w:t> </w:t>
            </w:r>
            <w:r>
              <w:rPr>
                <w:sz w:val="20"/>
              </w:rPr>
              <w:t>where</w:t>
            </w:r>
            <w:r>
              <w:rPr>
                <w:spacing w:val="-13"/>
                <w:sz w:val="20"/>
              </w:rPr>
              <w:t> </w:t>
            </w:r>
            <w:r>
              <w:rPr>
                <w:sz w:val="20"/>
              </w:rPr>
              <w:t>their</w:t>
            </w:r>
            <w:r>
              <w:rPr>
                <w:spacing w:val="-14"/>
                <w:sz w:val="20"/>
              </w:rPr>
              <w:t> </w:t>
            </w:r>
            <w:r>
              <w:rPr>
                <w:sz w:val="20"/>
              </w:rPr>
              <w:t>contribution</w:t>
            </w:r>
            <w:r>
              <w:rPr>
                <w:spacing w:val="-14"/>
                <w:sz w:val="20"/>
              </w:rPr>
              <w:t> </w:t>
            </w:r>
            <w:r>
              <w:rPr>
                <w:sz w:val="20"/>
              </w:rPr>
              <w:t>is</w:t>
            </w:r>
            <w:r>
              <w:rPr>
                <w:spacing w:val="-14"/>
                <w:sz w:val="20"/>
              </w:rPr>
              <w:t> </w:t>
            </w:r>
            <w:r>
              <w:rPr>
                <w:sz w:val="20"/>
              </w:rPr>
              <w:t>required.</w:t>
            </w:r>
          </w:p>
          <w:p>
            <w:pPr>
              <w:pStyle w:val="TableParagraph"/>
              <w:spacing w:before="66"/>
              <w:ind w:left="120"/>
              <w:rPr>
                <w:b/>
                <w:sz w:val="20"/>
              </w:rPr>
            </w:pPr>
            <w:r>
              <w:rPr>
                <w:b/>
                <w:color w:val="394871"/>
                <w:spacing w:val="-4"/>
                <w:sz w:val="20"/>
              </w:rPr>
              <w:t>Proposed</w:t>
            </w:r>
            <w:r>
              <w:rPr>
                <w:b/>
                <w:color w:val="394871"/>
                <w:spacing w:val="-1"/>
                <w:sz w:val="20"/>
              </w:rPr>
              <w:t> </w:t>
            </w:r>
            <w:r>
              <w:rPr>
                <w:b/>
                <w:color w:val="394871"/>
                <w:spacing w:val="-2"/>
                <w:sz w:val="20"/>
              </w:rPr>
              <w:t>boundaries</w:t>
            </w:r>
          </w:p>
          <w:p>
            <w:pPr>
              <w:pStyle w:val="TableParagraph"/>
              <w:spacing w:line="254" w:lineRule="auto" w:before="69"/>
              <w:ind w:left="120" w:right="212"/>
              <w:rPr>
                <w:sz w:val="20"/>
              </w:rPr>
            </w:pPr>
            <w:r>
              <w:rPr>
                <w:spacing w:val="-2"/>
                <w:sz w:val="20"/>
              </w:rPr>
              <w:t>The</w:t>
            </w:r>
            <w:r>
              <w:rPr>
                <w:spacing w:val="-12"/>
                <w:sz w:val="20"/>
              </w:rPr>
              <w:t> </w:t>
            </w:r>
            <w:r>
              <w:rPr>
                <w:spacing w:val="-2"/>
                <w:sz w:val="20"/>
              </w:rPr>
              <w:t>proposed</w:t>
            </w:r>
            <w:r>
              <w:rPr>
                <w:spacing w:val="-12"/>
                <w:sz w:val="20"/>
              </w:rPr>
              <w:t> </w:t>
            </w:r>
            <w:r>
              <w:rPr>
                <w:spacing w:val="-2"/>
                <w:sz w:val="20"/>
              </w:rPr>
              <w:t>work</w:t>
            </w:r>
            <w:r>
              <w:rPr>
                <w:spacing w:val="-12"/>
                <w:sz w:val="20"/>
              </w:rPr>
              <w:t> </w:t>
            </w:r>
            <w:r>
              <w:rPr>
                <w:spacing w:val="-2"/>
                <w:sz w:val="20"/>
              </w:rPr>
              <w:t>would</w:t>
            </w:r>
            <w:r>
              <w:rPr>
                <w:spacing w:val="-12"/>
                <w:sz w:val="20"/>
              </w:rPr>
              <w:t> </w:t>
            </w:r>
            <w:r>
              <w:rPr>
                <w:spacing w:val="-2"/>
                <w:sz w:val="20"/>
              </w:rPr>
              <w:t>not:</w:t>
            </w:r>
            <w:r>
              <w:rPr>
                <w:spacing w:val="-12"/>
                <w:sz w:val="20"/>
              </w:rPr>
              <w:t> </w:t>
            </w:r>
            <w:r>
              <w:rPr>
                <w:spacing w:val="-2"/>
                <w:sz w:val="20"/>
              </w:rPr>
              <w:t>delay</w:t>
            </w:r>
            <w:r>
              <w:rPr>
                <w:spacing w:val="-12"/>
                <w:sz w:val="20"/>
              </w:rPr>
              <w:t> </w:t>
            </w:r>
            <w:r>
              <w:rPr>
                <w:spacing w:val="-2"/>
                <w:sz w:val="20"/>
              </w:rPr>
              <w:t>immediate</w:t>
            </w:r>
            <w:r>
              <w:rPr>
                <w:spacing w:val="-12"/>
                <w:sz w:val="20"/>
              </w:rPr>
              <w:t> </w:t>
            </w:r>
            <w:r>
              <w:rPr>
                <w:spacing w:val="-2"/>
                <w:sz w:val="20"/>
              </w:rPr>
              <w:t>infrastructure</w:t>
            </w:r>
            <w:r>
              <w:rPr>
                <w:spacing w:val="-12"/>
                <w:sz w:val="20"/>
              </w:rPr>
              <w:t> </w:t>
            </w:r>
            <w:r>
              <w:rPr>
                <w:spacing w:val="-2"/>
                <w:sz w:val="20"/>
              </w:rPr>
              <w:t>or</w:t>
            </w:r>
            <w:r>
              <w:rPr>
                <w:spacing w:val="-12"/>
                <w:sz w:val="20"/>
              </w:rPr>
              <w:t> </w:t>
            </w:r>
            <w:r>
              <w:rPr>
                <w:spacing w:val="-2"/>
                <w:sz w:val="20"/>
              </w:rPr>
              <w:t>service</w:t>
            </w:r>
            <w:r>
              <w:rPr>
                <w:spacing w:val="-12"/>
                <w:sz w:val="20"/>
              </w:rPr>
              <w:t> </w:t>
            </w:r>
            <w:r>
              <w:rPr>
                <w:spacing w:val="-2"/>
                <w:sz w:val="20"/>
              </w:rPr>
              <w:t>decisions</w:t>
            </w:r>
            <w:r>
              <w:rPr>
                <w:spacing w:val="-11"/>
                <w:sz w:val="20"/>
              </w:rPr>
              <w:t> </w:t>
            </w:r>
            <w:r>
              <w:rPr>
                <w:spacing w:val="-2"/>
                <w:sz w:val="20"/>
              </w:rPr>
              <w:t>already</w:t>
            </w:r>
            <w:r>
              <w:rPr>
                <w:spacing w:val="-12"/>
                <w:sz w:val="20"/>
              </w:rPr>
              <w:t> </w:t>
            </w:r>
            <w:r>
              <w:rPr>
                <w:spacing w:val="-2"/>
                <w:sz w:val="20"/>
              </w:rPr>
              <w:t>progressing</w:t>
            </w:r>
            <w:r>
              <w:rPr>
                <w:spacing w:val="-12"/>
                <w:sz w:val="20"/>
              </w:rPr>
              <w:t> </w:t>
            </w:r>
            <w:r>
              <w:rPr>
                <w:spacing w:val="-2"/>
                <w:sz w:val="20"/>
              </w:rPr>
              <w:t>through </w:t>
            </w:r>
            <w:r>
              <w:rPr>
                <w:sz w:val="20"/>
              </w:rPr>
              <w:t>agreed</w:t>
            </w:r>
            <w:r>
              <w:rPr>
                <w:spacing w:val="-14"/>
                <w:sz w:val="20"/>
              </w:rPr>
              <w:t> </w:t>
            </w:r>
            <w:r>
              <w:rPr>
                <w:sz w:val="20"/>
              </w:rPr>
              <w:t>governance;</w:t>
            </w:r>
            <w:r>
              <w:rPr>
                <w:spacing w:val="-14"/>
                <w:sz w:val="20"/>
              </w:rPr>
              <w:t> </w:t>
            </w:r>
            <w:r>
              <w:rPr>
                <w:sz w:val="20"/>
              </w:rPr>
              <w:t>assume</w:t>
            </w:r>
            <w:r>
              <w:rPr>
                <w:spacing w:val="-14"/>
                <w:sz w:val="20"/>
              </w:rPr>
              <w:t> </w:t>
            </w:r>
            <w:r>
              <w:rPr>
                <w:sz w:val="20"/>
              </w:rPr>
              <w:t>a</w:t>
            </w:r>
            <w:r>
              <w:rPr>
                <w:spacing w:val="-14"/>
                <w:sz w:val="20"/>
              </w:rPr>
              <w:t> </w:t>
            </w:r>
            <w:r>
              <w:rPr>
                <w:sz w:val="20"/>
              </w:rPr>
              <w:t>single</w:t>
            </w:r>
            <w:r>
              <w:rPr>
                <w:spacing w:val="-14"/>
                <w:sz w:val="20"/>
              </w:rPr>
              <w:t> </w:t>
            </w:r>
            <w:r>
              <w:rPr>
                <w:sz w:val="20"/>
              </w:rPr>
              <w:t>regional</w:t>
            </w:r>
            <w:r>
              <w:rPr>
                <w:spacing w:val="-14"/>
                <w:sz w:val="20"/>
              </w:rPr>
              <w:t> </w:t>
            </w:r>
            <w:r>
              <w:rPr>
                <w:sz w:val="20"/>
              </w:rPr>
              <w:t>operating</w:t>
            </w:r>
            <w:r>
              <w:rPr>
                <w:spacing w:val="-14"/>
                <w:sz w:val="20"/>
              </w:rPr>
              <w:t> </w:t>
            </w:r>
            <w:r>
              <w:rPr>
                <w:sz w:val="20"/>
              </w:rPr>
              <w:t>model;</w:t>
            </w:r>
            <w:r>
              <w:rPr>
                <w:spacing w:val="-14"/>
                <w:sz w:val="20"/>
              </w:rPr>
              <w:t> </w:t>
            </w:r>
            <w:r>
              <w:rPr>
                <w:sz w:val="20"/>
              </w:rPr>
              <w:t>replace</w:t>
            </w:r>
            <w:r>
              <w:rPr>
                <w:spacing w:val="-14"/>
                <w:sz w:val="20"/>
              </w:rPr>
              <w:t> </w:t>
            </w:r>
            <w:r>
              <w:rPr>
                <w:sz w:val="20"/>
              </w:rPr>
              <w:t>either</w:t>
            </w:r>
            <w:r>
              <w:rPr>
                <w:spacing w:val="-13"/>
                <w:sz w:val="20"/>
              </w:rPr>
              <w:t> </w:t>
            </w:r>
            <w:r>
              <w:rPr>
                <w:sz w:val="20"/>
              </w:rPr>
              <w:t>Health</w:t>
            </w:r>
            <w:r>
              <w:rPr>
                <w:spacing w:val="-14"/>
                <w:sz w:val="20"/>
              </w:rPr>
              <w:t> </w:t>
            </w:r>
            <w:r>
              <w:rPr>
                <w:sz w:val="20"/>
              </w:rPr>
              <w:t>Board’s</w:t>
            </w:r>
            <w:r>
              <w:rPr>
                <w:spacing w:val="-14"/>
                <w:sz w:val="20"/>
              </w:rPr>
              <w:t> </w:t>
            </w:r>
            <w:r>
              <w:rPr>
                <w:sz w:val="20"/>
              </w:rPr>
              <w:t>local</w:t>
            </w:r>
            <w:r>
              <w:rPr>
                <w:spacing w:val="-14"/>
                <w:sz w:val="20"/>
              </w:rPr>
              <w:t> </w:t>
            </w:r>
            <w:r>
              <w:rPr>
                <w:sz w:val="20"/>
              </w:rPr>
              <w:t>cancer </w:t>
            </w:r>
            <w:r>
              <w:rPr>
                <w:spacing w:val="-2"/>
                <w:sz w:val="20"/>
              </w:rPr>
              <w:t>strategy, improvement plan or operational accountability;</w:t>
            </w:r>
            <w:r>
              <w:rPr>
                <w:spacing w:val="-8"/>
                <w:sz w:val="20"/>
              </w:rPr>
              <w:t> </w:t>
            </w:r>
            <w:r>
              <w:rPr>
                <w:spacing w:val="-2"/>
                <w:sz w:val="20"/>
              </w:rPr>
              <w:t>commit the organisations to investment or service </w:t>
            </w:r>
            <w:r>
              <w:rPr>
                <w:sz w:val="20"/>
              </w:rPr>
              <w:t>change</w:t>
            </w:r>
            <w:r>
              <w:rPr>
                <w:spacing w:val="-14"/>
                <w:sz w:val="20"/>
              </w:rPr>
              <w:t> </w:t>
            </w:r>
            <w:r>
              <w:rPr>
                <w:sz w:val="20"/>
              </w:rPr>
              <w:t>before</w:t>
            </w:r>
            <w:r>
              <w:rPr>
                <w:spacing w:val="-14"/>
                <w:sz w:val="20"/>
              </w:rPr>
              <w:t> </w:t>
            </w:r>
            <w:r>
              <w:rPr>
                <w:sz w:val="20"/>
              </w:rPr>
              <w:t>the</w:t>
            </w:r>
            <w:r>
              <w:rPr>
                <w:spacing w:val="-14"/>
                <w:sz w:val="20"/>
              </w:rPr>
              <w:t> </w:t>
            </w:r>
            <w:r>
              <w:rPr>
                <w:sz w:val="20"/>
              </w:rPr>
              <w:t>relevant</w:t>
            </w:r>
            <w:r>
              <w:rPr>
                <w:spacing w:val="-14"/>
                <w:sz w:val="20"/>
              </w:rPr>
              <w:t> </w:t>
            </w:r>
            <w:r>
              <w:rPr>
                <w:sz w:val="20"/>
              </w:rPr>
              <w:t>business</w:t>
            </w:r>
            <w:r>
              <w:rPr>
                <w:spacing w:val="-14"/>
                <w:sz w:val="20"/>
              </w:rPr>
              <w:t> </w:t>
            </w:r>
            <w:r>
              <w:rPr>
                <w:sz w:val="20"/>
              </w:rPr>
              <w:t>case,</w:t>
            </w:r>
            <w:r>
              <w:rPr>
                <w:spacing w:val="-14"/>
                <w:sz w:val="20"/>
              </w:rPr>
              <w:t> </w:t>
            </w:r>
            <w:r>
              <w:rPr>
                <w:sz w:val="20"/>
              </w:rPr>
              <w:t>engagement</w:t>
            </w:r>
            <w:r>
              <w:rPr>
                <w:spacing w:val="-14"/>
                <w:sz w:val="20"/>
              </w:rPr>
              <w:t> </w:t>
            </w:r>
            <w:r>
              <w:rPr>
                <w:sz w:val="20"/>
              </w:rPr>
              <w:t>and</w:t>
            </w:r>
            <w:r>
              <w:rPr>
                <w:spacing w:val="-14"/>
                <w:sz w:val="20"/>
              </w:rPr>
              <w:t> </w:t>
            </w:r>
            <w:r>
              <w:rPr>
                <w:sz w:val="20"/>
              </w:rPr>
              <w:t>approval</w:t>
            </w:r>
            <w:r>
              <w:rPr>
                <w:spacing w:val="-14"/>
                <w:sz w:val="20"/>
              </w:rPr>
              <w:t> </w:t>
            </w:r>
            <w:r>
              <w:rPr>
                <w:sz w:val="20"/>
              </w:rPr>
              <w:t>processes;</w:t>
            </w:r>
            <w:r>
              <w:rPr>
                <w:spacing w:val="-13"/>
                <w:sz w:val="20"/>
              </w:rPr>
              <w:t> </w:t>
            </w:r>
            <w:r>
              <w:rPr>
                <w:sz w:val="20"/>
              </w:rPr>
              <w:t>or</w:t>
            </w:r>
            <w:r>
              <w:rPr>
                <w:spacing w:val="-14"/>
                <w:sz w:val="20"/>
              </w:rPr>
              <w:t> </w:t>
            </w:r>
            <w:r>
              <w:rPr>
                <w:sz w:val="20"/>
              </w:rPr>
              <w:t>create</w:t>
            </w:r>
            <w:r>
              <w:rPr>
                <w:spacing w:val="-14"/>
                <w:sz w:val="20"/>
              </w:rPr>
              <w:t> </w:t>
            </w:r>
            <w:r>
              <w:rPr>
                <w:sz w:val="20"/>
              </w:rPr>
              <w:t>a</w:t>
            </w:r>
            <w:r>
              <w:rPr>
                <w:spacing w:val="-14"/>
                <w:sz w:val="20"/>
              </w:rPr>
              <w:t> </w:t>
            </w:r>
            <w:r>
              <w:rPr>
                <w:sz w:val="20"/>
              </w:rPr>
              <w:t>new</w:t>
            </w:r>
            <w:r>
              <w:rPr>
                <w:spacing w:val="-14"/>
                <w:sz w:val="20"/>
              </w:rPr>
              <w:t> </w:t>
            </w:r>
            <w:r>
              <w:rPr>
                <w:sz w:val="20"/>
              </w:rPr>
              <w:t>standalone </w:t>
            </w:r>
            <w:r>
              <w:rPr>
                <w:spacing w:val="-2"/>
                <w:sz w:val="20"/>
              </w:rPr>
              <w:t>cancer</w:t>
            </w:r>
            <w:r>
              <w:rPr>
                <w:spacing w:val="-5"/>
                <w:sz w:val="20"/>
              </w:rPr>
              <w:t> </w:t>
            </w:r>
            <w:r>
              <w:rPr>
                <w:spacing w:val="-2"/>
                <w:sz w:val="20"/>
              </w:rPr>
              <w:t>governance</w:t>
            </w:r>
            <w:r>
              <w:rPr>
                <w:spacing w:val="-10"/>
                <w:sz w:val="20"/>
              </w:rPr>
              <w:t> </w:t>
            </w:r>
            <w:r>
              <w:rPr>
                <w:spacing w:val="-2"/>
                <w:sz w:val="20"/>
              </w:rPr>
              <w:t>or</w:t>
            </w:r>
            <w:r>
              <w:rPr>
                <w:spacing w:val="-10"/>
                <w:sz w:val="20"/>
              </w:rPr>
              <w:t> </w:t>
            </w:r>
            <w:r>
              <w:rPr>
                <w:spacing w:val="-2"/>
                <w:sz w:val="20"/>
              </w:rPr>
              <w:t>delivery</w:t>
            </w:r>
            <w:r>
              <w:rPr>
                <w:spacing w:val="-9"/>
                <w:sz w:val="20"/>
              </w:rPr>
              <w:t> </w:t>
            </w:r>
            <w:r>
              <w:rPr>
                <w:spacing w:val="-2"/>
                <w:sz w:val="20"/>
              </w:rPr>
              <w:t>structure</w:t>
            </w:r>
            <w:r>
              <w:rPr>
                <w:spacing w:val="-10"/>
                <w:sz w:val="20"/>
              </w:rPr>
              <w:t> </w:t>
            </w:r>
            <w:r>
              <w:rPr>
                <w:spacing w:val="-2"/>
                <w:sz w:val="20"/>
              </w:rPr>
              <w:t>where</w:t>
            </w:r>
            <w:r>
              <w:rPr>
                <w:spacing w:val="-10"/>
                <w:sz w:val="20"/>
              </w:rPr>
              <w:t> </w:t>
            </w:r>
            <w:r>
              <w:rPr>
                <w:spacing w:val="-2"/>
                <w:sz w:val="20"/>
              </w:rPr>
              <w:t>existing</w:t>
            </w:r>
            <w:r>
              <w:rPr>
                <w:spacing w:val="-10"/>
                <w:sz w:val="20"/>
              </w:rPr>
              <w:t> </w:t>
            </w:r>
            <w:r>
              <w:rPr>
                <w:spacing w:val="-2"/>
                <w:sz w:val="20"/>
              </w:rPr>
              <w:t>Health</w:t>
            </w:r>
            <w:r>
              <w:rPr>
                <w:spacing w:val="-10"/>
                <w:sz w:val="20"/>
              </w:rPr>
              <w:t> </w:t>
            </w:r>
            <w:r>
              <w:rPr>
                <w:spacing w:val="-2"/>
                <w:sz w:val="20"/>
              </w:rPr>
              <w:t>Board</w:t>
            </w:r>
            <w:r>
              <w:rPr>
                <w:spacing w:val="-10"/>
                <w:sz w:val="20"/>
              </w:rPr>
              <w:t> </w:t>
            </w:r>
            <w:r>
              <w:rPr>
                <w:spacing w:val="-2"/>
                <w:sz w:val="20"/>
              </w:rPr>
              <w:t>and</w:t>
            </w:r>
            <w:r>
              <w:rPr>
                <w:spacing w:val="-10"/>
                <w:sz w:val="20"/>
              </w:rPr>
              <w:t> </w:t>
            </w:r>
            <w:r>
              <w:rPr>
                <w:spacing w:val="-2"/>
                <w:sz w:val="20"/>
              </w:rPr>
              <w:t>regional</w:t>
            </w:r>
            <w:r>
              <w:rPr>
                <w:spacing w:val="-8"/>
                <w:sz w:val="20"/>
              </w:rPr>
              <w:t> </w:t>
            </w:r>
            <w:r>
              <w:rPr>
                <w:spacing w:val="-2"/>
                <w:sz w:val="20"/>
              </w:rPr>
              <w:t>arrangements</w:t>
            </w:r>
            <w:r>
              <w:rPr>
                <w:spacing w:val="-9"/>
                <w:sz w:val="20"/>
              </w:rPr>
              <w:t> </w:t>
            </w:r>
            <w:r>
              <w:rPr>
                <w:spacing w:val="-2"/>
                <w:sz w:val="20"/>
              </w:rPr>
              <w:t>can</w:t>
            </w:r>
            <w:r>
              <w:rPr>
                <w:spacing w:val="-10"/>
                <w:sz w:val="20"/>
              </w:rPr>
              <w:t> </w:t>
            </w:r>
            <w:r>
              <w:rPr>
                <w:spacing w:val="-2"/>
                <w:sz w:val="20"/>
              </w:rPr>
              <w:t>be</w:t>
            </w:r>
            <w:r>
              <w:rPr>
                <w:spacing w:val="-10"/>
                <w:sz w:val="20"/>
              </w:rPr>
              <w:t> </w:t>
            </w:r>
            <w:r>
              <w:rPr>
                <w:spacing w:val="-2"/>
                <w:sz w:val="20"/>
              </w:rPr>
              <w:t>used.</w:t>
            </w:r>
          </w:p>
          <w:p>
            <w:pPr>
              <w:pStyle w:val="TableParagraph"/>
              <w:spacing w:before="102"/>
              <w:ind w:left="120"/>
              <w:rPr>
                <w:b/>
                <w:sz w:val="20"/>
              </w:rPr>
            </w:pPr>
            <w:r>
              <w:rPr>
                <w:b/>
                <w:sz w:val="20"/>
              </w:rPr>
              <mc:AlternateContent>
                <mc:Choice Requires="wps">
                  <w:drawing>
                    <wp:anchor distT="0" distB="0" distL="0" distR="0" allowOverlap="1" layoutInCell="1" locked="0" behindDoc="1" simplePos="0" relativeHeight="477131776">
                      <wp:simplePos x="0" y="0"/>
                      <wp:positionH relativeFrom="column">
                        <wp:posOffset>121221</wp:posOffset>
                      </wp:positionH>
                      <wp:positionV relativeFrom="paragraph">
                        <wp:posOffset>329690</wp:posOffset>
                      </wp:positionV>
                      <wp:extent cx="6113145" cy="454659"/>
                      <wp:effectExtent l="0" t="0" r="0" b="0"/>
                      <wp:wrapNone/>
                      <wp:docPr id="290" name="Group 290"/>
                      <wp:cNvGraphicFramePr>
                        <a:graphicFrameLocks/>
                      </wp:cNvGraphicFramePr>
                      <a:graphic>
                        <a:graphicData uri="http://schemas.microsoft.com/office/word/2010/wordprocessingGroup">
                          <wpg:wgp>
                            <wpg:cNvPr id="290" name="Group 290"/>
                            <wpg:cNvGrpSpPr/>
                            <wpg:grpSpPr>
                              <a:xfrm>
                                <a:off x="0" y="0"/>
                                <a:ext cx="6113145" cy="454659"/>
                                <a:chExt cx="6113145" cy="454659"/>
                              </a:xfrm>
                            </wpg:grpSpPr>
                            <wps:wsp>
                              <wps:cNvPr id="291" name="Graphic 291"/>
                              <wps:cNvSpPr/>
                              <wps:spPr>
                                <a:xfrm>
                                  <a:off x="12700" y="12700"/>
                                  <a:ext cx="6087745" cy="429259"/>
                                </a:xfrm>
                                <a:custGeom>
                                  <a:avLst/>
                                  <a:gdLst/>
                                  <a:ahLst/>
                                  <a:cxnLst/>
                                  <a:rect l="l" t="t" r="r" b="b"/>
                                  <a:pathLst>
                                    <a:path w="6087745" h="429259">
                                      <a:moveTo>
                                        <a:pt x="6016117" y="0"/>
                                      </a:moveTo>
                                      <a:lnTo>
                                        <a:pt x="71564" y="0"/>
                                      </a:lnTo>
                                      <a:lnTo>
                                        <a:pt x="43709" y="5617"/>
                                      </a:lnTo>
                                      <a:lnTo>
                                        <a:pt x="20961" y="20939"/>
                                      </a:lnTo>
                                      <a:lnTo>
                                        <a:pt x="5624" y="43666"/>
                                      </a:lnTo>
                                      <a:lnTo>
                                        <a:pt x="0" y="71500"/>
                                      </a:lnTo>
                                      <a:lnTo>
                                        <a:pt x="0" y="357759"/>
                                      </a:lnTo>
                                      <a:lnTo>
                                        <a:pt x="5624" y="385593"/>
                                      </a:lnTo>
                                      <a:lnTo>
                                        <a:pt x="20961" y="408320"/>
                                      </a:lnTo>
                                      <a:lnTo>
                                        <a:pt x="43709" y="423642"/>
                                      </a:lnTo>
                                      <a:lnTo>
                                        <a:pt x="71564" y="429260"/>
                                      </a:lnTo>
                                      <a:lnTo>
                                        <a:pt x="6016117" y="429260"/>
                                      </a:lnTo>
                                      <a:lnTo>
                                        <a:pt x="6043971" y="423642"/>
                                      </a:lnTo>
                                      <a:lnTo>
                                        <a:pt x="6066742" y="408320"/>
                                      </a:lnTo>
                                      <a:lnTo>
                                        <a:pt x="6082107" y="385593"/>
                                      </a:lnTo>
                                      <a:lnTo>
                                        <a:pt x="6087745" y="357759"/>
                                      </a:lnTo>
                                      <a:lnTo>
                                        <a:pt x="6087745" y="71500"/>
                                      </a:lnTo>
                                      <a:lnTo>
                                        <a:pt x="6082107" y="43666"/>
                                      </a:lnTo>
                                      <a:lnTo>
                                        <a:pt x="6066742" y="20939"/>
                                      </a:lnTo>
                                      <a:lnTo>
                                        <a:pt x="6043971" y="5617"/>
                                      </a:lnTo>
                                      <a:lnTo>
                                        <a:pt x="6016117" y="0"/>
                                      </a:lnTo>
                                      <a:close/>
                                    </a:path>
                                  </a:pathLst>
                                </a:custGeom>
                                <a:solidFill>
                                  <a:srgbClr val="001F5F"/>
                                </a:solidFill>
                              </wps:spPr>
                              <wps:bodyPr wrap="square" lIns="0" tIns="0" rIns="0" bIns="0" rtlCol="0">
                                <a:prstTxWarp prst="textNoShape">
                                  <a:avLst/>
                                </a:prstTxWarp>
                                <a:noAutofit/>
                              </wps:bodyPr>
                            </wps:wsp>
                            <wps:wsp>
                              <wps:cNvPr id="292" name="Graphic 292"/>
                              <wps:cNvSpPr/>
                              <wps:spPr>
                                <a:xfrm>
                                  <a:off x="12700" y="12700"/>
                                  <a:ext cx="6087745" cy="429259"/>
                                </a:xfrm>
                                <a:custGeom>
                                  <a:avLst/>
                                  <a:gdLst/>
                                  <a:ahLst/>
                                  <a:cxnLst/>
                                  <a:rect l="l" t="t" r="r" b="b"/>
                                  <a:pathLst>
                                    <a:path w="6087745" h="429259">
                                      <a:moveTo>
                                        <a:pt x="0" y="71500"/>
                                      </a:moveTo>
                                      <a:lnTo>
                                        <a:pt x="5624" y="43666"/>
                                      </a:lnTo>
                                      <a:lnTo>
                                        <a:pt x="20961" y="20939"/>
                                      </a:lnTo>
                                      <a:lnTo>
                                        <a:pt x="43709" y="5617"/>
                                      </a:lnTo>
                                      <a:lnTo>
                                        <a:pt x="71564" y="0"/>
                                      </a:lnTo>
                                      <a:lnTo>
                                        <a:pt x="6016117" y="0"/>
                                      </a:lnTo>
                                      <a:lnTo>
                                        <a:pt x="6043971" y="5617"/>
                                      </a:lnTo>
                                      <a:lnTo>
                                        <a:pt x="6066742" y="20939"/>
                                      </a:lnTo>
                                      <a:lnTo>
                                        <a:pt x="6082107" y="43666"/>
                                      </a:lnTo>
                                      <a:lnTo>
                                        <a:pt x="6087745" y="71500"/>
                                      </a:lnTo>
                                      <a:lnTo>
                                        <a:pt x="6087745" y="357759"/>
                                      </a:lnTo>
                                      <a:lnTo>
                                        <a:pt x="6082107" y="385593"/>
                                      </a:lnTo>
                                      <a:lnTo>
                                        <a:pt x="6066742" y="408320"/>
                                      </a:lnTo>
                                      <a:lnTo>
                                        <a:pt x="6043971" y="423642"/>
                                      </a:lnTo>
                                      <a:lnTo>
                                        <a:pt x="6016117" y="429260"/>
                                      </a:lnTo>
                                      <a:lnTo>
                                        <a:pt x="71564" y="429260"/>
                                      </a:lnTo>
                                      <a:lnTo>
                                        <a:pt x="43709" y="423642"/>
                                      </a:lnTo>
                                      <a:lnTo>
                                        <a:pt x="20961" y="408320"/>
                                      </a:lnTo>
                                      <a:lnTo>
                                        <a:pt x="5624" y="385593"/>
                                      </a:lnTo>
                                      <a:lnTo>
                                        <a:pt x="0" y="357759"/>
                                      </a:lnTo>
                                      <a:lnTo>
                                        <a:pt x="0" y="71500"/>
                                      </a:lnTo>
                                      <a:close/>
                                    </a:path>
                                  </a:pathLst>
                                </a:custGeom>
                                <a:ln w="25400">
                                  <a:solidFill>
                                    <a:srgbClr val="1C334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545pt;margin-top:25.959877pt;width:481.35pt;height:35.8pt;mso-position-horizontal-relative:column;mso-position-vertical-relative:paragraph;z-index:-26184704" id="docshapegroup151" coordorigin="191,519" coordsize="9627,716">
                      <v:shape style="position:absolute;left:210;top:539;width:9587;height:676" id="docshape152" coordorigin="211,539" coordsize="9587,676" path="m9685,539l324,539,280,548,244,572,220,608,211,652,211,1103,220,1146,244,1182,280,1206,324,1215,9685,1215,9729,1206,9765,1182,9789,1146,9798,1103,9798,652,9789,608,9765,572,9729,548,9685,539xe" filled="true" fillcolor="#001f5f" stroked="false">
                        <v:path arrowok="t"/>
                        <v:fill type="solid"/>
                      </v:shape>
                      <v:shape style="position:absolute;left:210;top:539;width:9587;height:676" id="docshape153" coordorigin="211,539" coordsize="9587,676" path="m211,652l220,608,244,572,280,548,324,539,9685,539,9729,548,9765,572,9789,608,9798,652,9798,1103,9789,1146,9765,1182,9729,1206,9685,1215,324,1215,280,1206,244,1182,220,1146,211,1103,211,652xe" filled="false" stroked="true" strokeweight="2pt" strokecolor="#1c334e">
                        <v:path arrowok="t"/>
                        <v:stroke dashstyle="solid"/>
                      </v:shape>
                      <w10:wrap type="none"/>
                    </v:group>
                  </w:pict>
                </mc:Fallback>
              </mc:AlternateContent>
            </w:r>
            <w:r>
              <w:rPr>
                <w:b/>
                <w:color w:val="234060"/>
                <w:spacing w:val="-4"/>
                <w:sz w:val="20"/>
              </w:rPr>
              <w:t>Proposed development</w:t>
            </w:r>
            <w:r>
              <w:rPr>
                <w:b/>
                <w:color w:val="234060"/>
                <w:spacing w:val="3"/>
                <w:sz w:val="20"/>
              </w:rPr>
              <w:t> </w:t>
            </w:r>
            <w:r>
              <w:rPr>
                <w:b/>
                <w:color w:val="234060"/>
                <w:spacing w:val="-4"/>
                <w:sz w:val="20"/>
              </w:rPr>
              <w:t>pathway</w:t>
            </w:r>
            <w:r>
              <w:rPr>
                <w:b/>
                <w:color w:val="234060"/>
                <w:spacing w:val="-2"/>
                <w:sz w:val="20"/>
              </w:rPr>
              <w:t> </w:t>
            </w:r>
            <w:r>
              <w:rPr>
                <w:b/>
                <w:color w:val="234060"/>
                <w:spacing w:val="-4"/>
                <w:sz w:val="20"/>
              </w:rPr>
              <w:t>and</w:t>
            </w:r>
            <w:r>
              <w:rPr>
                <w:b/>
                <w:color w:val="234060"/>
                <w:spacing w:val="2"/>
                <w:sz w:val="20"/>
              </w:rPr>
              <w:t> </w:t>
            </w:r>
            <w:r>
              <w:rPr>
                <w:b/>
                <w:color w:val="234060"/>
                <w:spacing w:val="-4"/>
                <w:sz w:val="20"/>
              </w:rPr>
              <w:t>governance</w:t>
            </w:r>
          </w:p>
          <w:p>
            <w:pPr>
              <w:pStyle w:val="TableParagraph"/>
              <w:spacing w:before="132"/>
              <w:rPr>
                <w:sz w:val="20"/>
              </w:rPr>
            </w:pPr>
          </w:p>
          <w:p>
            <w:pPr>
              <w:pStyle w:val="TableParagraph"/>
              <w:spacing w:before="1"/>
              <w:ind w:left="121" w:right="159"/>
              <w:jc w:val="center"/>
              <w:rPr>
                <w:b/>
                <w:sz w:val="16"/>
              </w:rPr>
            </w:pPr>
            <w:r>
              <w:rPr>
                <w:b/>
                <w:color w:val="FFFFFF"/>
                <w:spacing w:val="-4"/>
                <w:sz w:val="16"/>
              </w:rPr>
              <w:t>REGIONAL</w:t>
            </w:r>
            <w:r>
              <w:rPr>
                <w:b/>
                <w:color w:val="FFFFFF"/>
                <w:spacing w:val="-1"/>
                <w:sz w:val="16"/>
              </w:rPr>
              <w:t> </w:t>
            </w:r>
            <w:r>
              <w:rPr>
                <w:b/>
                <w:color w:val="FFFFFF"/>
                <w:spacing w:val="-4"/>
                <w:sz w:val="16"/>
              </w:rPr>
              <w:t>CLINICAL</w:t>
            </w:r>
            <w:r>
              <w:rPr>
                <w:b/>
                <w:color w:val="FFFFFF"/>
                <w:sz w:val="16"/>
              </w:rPr>
              <w:t> </w:t>
            </w:r>
            <w:r>
              <w:rPr>
                <w:b/>
                <w:color w:val="FFFFFF"/>
                <w:spacing w:val="-4"/>
                <w:sz w:val="16"/>
              </w:rPr>
              <w:t>SERVICES PLANNING</w:t>
            </w:r>
            <w:r>
              <w:rPr>
                <w:b/>
                <w:color w:val="FFFFFF"/>
                <w:spacing w:val="-2"/>
                <w:sz w:val="16"/>
              </w:rPr>
              <w:t> </w:t>
            </w:r>
            <w:r>
              <w:rPr>
                <w:b/>
                <w:color w:val="FFFFFF"/>
                <w:spacing w:val="-4"/>
                <w:sz w:val="16"/>
              </w:rPr>
              <w:t>SUBGROUP</w:t>
            </w:r>
          </w:p>
          <w:p>
            <w:pPr>
              <w:pStyle w:val="TableParagraph"/>
              <w:spacing w:before="1"/>
              <w:ind w:left="112" w:right="159"/>
              <w:jc w:val="center"/>
              <w:rPr>
                <w:b/>
                <w:i/>
                <w:sz w:val="16"/>
              </w:rPr>
            </w:pPr>
            <w:r>
              <w:rPr>
                <w:b/>
                <w:i/>
                <w:color w:val="FFFFFF"/>
                <w:spacing w:val="-4"/>
                <w:sz w:val="16"/>
              </w:rPr>
              <w:t>Directs</w:t>
            </w:r>
            <w:r>
              <w:rPr>
                <w:b/>
                <w:i/>
                <w:color w:val="FFFFFF"/>
                <w:sz w:val="16"/>
              </w:rPr>
              <w:t> </w:t>
            </w:r>
            <w:r>
              <w:rPr>
                <w:b/>
                <w:i/>
                <w:color w:val="FFFFFF"/>
                <w:spacing w:val="-4"/>
                <w:sz w:val="16"/>
              </w:rPr>
              <w:t>the</w:t>
            </w:r>
            <w:r>
              <w:rPr>
                <w:b/>
                <w:i/>
                <w:color w:val="FFFFFF"/>
                <w:spacing w:val="-5"/>
                <w:sz w:val="16"/>
              </w:rPr>
              <w:t> </w:t>
            </w:r>
            <w:r>
              <w:rPr>
                <w:b/>
                <w:i/>
                <w:color w:val="FFFFFF"/>
                <w:spacing w:val="-4"/>
                <w:sz w:val="16"/>
              </w:rPr>
              <w:t>work</w:t>
            </w:r>
            <w:r>
              <w:rPr>
                <w:b/>
                <w:i/>
                <w:color w:val="FFFFFF"/>
                <w:spacing w:val="1"/>
                <w:sz w:val="16"/>
              </w:rPr>
              <w:t> </w:t>
            </w:r>
            <w:r>
              <w:rPr>
                <w:b/>
                <w:i/>
                <w:color w:val="FFFFFF"/>
                <w:spacing w:val="-4"/>
                <w:sz w:val="16"/>
              </w:rPr>
              <w:t>and</w:t>
            </w:r>
            <w:r>
              <w:rPr>
                <w:b/>
                <w:i/>
                <w:color w:val="FFFFFF"/>
                <w:spacing w:val="1"/>
                <w:sz w:val="16"/>
              </w:rPr>
              <w:t> </w:t>
            </w:r>
            <w:r>
              <w:rPr>
                <w:b/>
                <w:i/>
                <w:color w:val="FFFFFF"/>
                <w:spacing w:val="-4"/>
                <w:sz w:val="16"/>
              </w:rPr>
              <w:t>maintains</w:t>
            </w:r>
            <w:r>
              <w:rPr>
                <w:b/>
                <w:i/>
                <w:color w:val="FFFFFF"/>
                <w:spacing w:val="-5"/>
                <w:sz w:val="16"/>
              </w:rPr>
              <w:t> </w:t>
            </w:r>
            <w:r>
              <w:rPr>
                <w:b/>
                <w:i/>
                <w:color w:val="FFFFFF"/>
                <w:spacing w:val="-4"/>
                <w:sz w:val="16"/>
              </w:rPr>
              <w:t>oversight of</w:t>
            </w:r>
            <w:r>
              <w:rPr>
                <w:b/>
                <w:i/>
                <w:color w:val="FFFFFF"/>
                <w:spacing w:val="2"/>
                <w:sz w:val="16"/>
              </w:rPr>
              <w:t> </w:t>
            </w:r>
            <w:r>
              <w:rPr>
                <w:b/>
                <w:i/>
                <w:color w:val="FFFFFF"/>
                <w:spacing w:val="-4"/>
                <w:sz w:val="16"/>
              </w:rPr>
              <w:t>scope</w:t>
            </w:r>
            <w:r>
              <w:rPr>
                <w:b/>
                <w:i/>
                <w:color w:val="FFFFFF"/>
                <w:sz w:val="16"/>
              </w:rPr>
              <w:t> </w:t>
            </w:r>
            <w:r>
              <w:rPr>
                <w:b/>
                <w:i/>
                <w:color w:val="FFFFFF"/>
                <w:spacing w:val="-4"/>
                <w:sz w:val="16"/>
              </w:rPr>
              <w:t>and</w:t>
            </w:r>
            <w:r>
              <w:rPr>
                <w:b/>
                <w:i/>
                <w:color w:val="FFFFFF"/>
                <w:spacing w:val="-3"/>
                <w:sz w:val="16"/>
              </w:rPr>
              <w:t> </w:t>
            </w:r>
            <w:r>
              <w:rPr>
                <w:b/>
                <w:i/>
                <w:color w:val="FFFFFF"/>
                <w:spacing w:val="-4"/>
                <w:sz w:val="16"/>
              </w:rPr>
              <w:t>deliverability</w:t>
            </w:r>
          </w:p>
          <w:p>
            <w:pPr>
              <w:pStyle w:val="TableParagraph"/>
              <w:rPr>
                <w:sz w:val="16"/>
              </w:rPr>
            </w:pPr>
          </w:p>
          <w:p>
            <w:pPr>
              <w:pStyle w:val="TableParagraph"/>
              <w:spacing w:before="150"/>
              <w:rPr>
                <w:sz w:val="16"/>
              </w:rPr>
            </w:pPr>
          </w:p>
          <w:p>
            <w:pPr>
              <w:pStyle w:val="TableParagraph"/>
              <w:tabs>
                <w:tab w:pos="2361" w:val="left" w:leader="none"/>
                <w:tab w:pos="5327" w:val="left" w:leader="none"/>
                <w:tab w:pos="7923" w:val="left" w:leader="none"/>
              </w:tabs>
              <w:spacing w:before="1"/>
              <w:ind w:right="159"/>
              <w:jc w:val="center"/>
              <w:rPr>
                <w:b/>
                <w:position w:val="2"/>
                <w:sz w:val="20"/>
              </w:rPr>
            </w:pPr>
            <w:r>
              <w:rPr>
                <w:b/>
                <w:position w:val="2"/>
                <w:sz w:val="20"/>
              </w:rPr>
              <mc:AlternateContent>
                <mc:Choice Requires="wps">
                  <w:drawing>
                    <wp:anchor distT="0" distB="0" distL="0" distR="0" allowOverlap="1" layoutInCell="1" locked="0" behindDoc="1" simplePos="0" relativeHeight="477131264">
                      <wp:simplePos x="0" y="0"/>
                      <wp:positionH relativeFrom="column">
                        <wp:posOffset>55244</wp:posOffset>
                      </wp:positionH>
                      <wp:positionV relativeFrom="paragraph">
                        <wp:posOffset>-140082</wp:posOffset>
                      </wp:positionV>
                      <wp:extent cx="6256655" cy="2553970"/>
                      <wp:effectExtent l="0" t="0" r="0" b="0"/>
                      <wp:wrapNone/>
                      <wp:docPr id="293" name="Group 293"/>
                      <wp:cNvGraphicFramePr>
                        <a:graphicFrameLocks/>
                      </wp:cNvGraphicFramePr>
                      <a:graphic>
                        <a:graphicData uri="http://schemas.microsoft.com/office/word/2010/wordprocessingGroup">
                          <wpg:wgp>
                            <wpg:cNvPr id="293" name="Group 293"/>
                            <wpg:cNvGrpSpPr/>
                            <wpg:grpSpPr>
                              <a:xfrm>
                                <a:off x="0" y="0"/>
                                <a:ext cx="6256655" cy="2553970"/>
                                <a:chExt cx="6256655" cy="2553970"/>
                              </a:xfrm>
                            </wpg:grpSpPr>
                            <wps:wsp>
                              <wps:cNvPr id="294" name="Graphic 294"/>
                              <wps:cNvSpPr/>
                              <wps:spPr>
                                <a:xfrm>
                                  <a:off x="12700" y="12953"/>
                                  <a:ext cx="1312545" cy="2527300"/>
                                </a:xfrm>
                                <a:custGeom>
                                  <a:avLst/>
                                  <a:gdLst/>
                                  <a:ahLst/>
                                  <a:cxnLst/>
                                  <a:rect l="l" t="t" r="r" b="b"/>
                                  <a:pathLst>
                                    <a:path w="1312545" h="2527300">
                                      <a:moveTo>
                                        <a:pt x="1093279" y="0"/>
                                      </a:moveTo>
                                      <a:lnTo>
                                        <a:pt x="218668" y="0"/>
                                      </a:lnTo>
                                      <a:lnTo>
                                        <a:pt x="168530" y="5776"/>
                                      </a:lnTo>
                                      <a:lnTo>
                                        <a:pt x="122505" y="22229"/>
                                      </a:lnTo>
                                      <a:lnTo>
                                        <a:pt x="81903" y="48045"/>
                                      </a:lnTo>
                                      <a:lnTo>
                                        <a:pt x="48039" y="81913"/>
                                      </a:lnTo>
                                      <a:lnTo>
                                        <a:pt x="22226" y="122519"/>
                                      </a:lnTo>
                                      <a:lnTo>
                                        <a:pt x="5775" y="168550"/>
                                      </a:lnTo>
                                      <a:lnTo>
                                        <a:pt x="0" y="218693"/>
                                      </a:lnTo>
                                      <a:lnTo>
                                        <a:pt x="0" y="2308479"/>
                                      </a:lnTo>
                                      <a:lnTo>
                                        <a:pt x="5775" y="2358622"/>
                                      </a:lnTo>
                                      <a:lnTo>
                                        <a:pt x="22226" y="2404653"/>
                                      </a:lnTo>
                                      <a:lnTo>
                                        <a:pt x="48039" y="2445259"/>
                                      </a:lnTo>
                                      <a:lnTo>
                                        <a:pt x="81903" y="2479127"/>
                                      </a:lnTo>
                                      <a:lnTo>
                                        <a:pt x="122505" y="2504943"/>
                                      </a:lnTo>
                                      <a:lnTo>
                                        <a:pt x="168530" y="2521396"/>
                                      </a:lnTo>
                                      <a:lnTo>
                                        <a:pt x="218668" y="2527172"/>
                                      </a:lnTo>
                                      <a:lnTo>
                                        <a:pt x="1093279" y="2527172"/>
                                      </a:lnTo>
                                      <a:lnTo>
                                        <a:pt x="1143422" y="2521396"/>
                                      </a:lnTo>
                                      <a:lnTo>
                                        <a:pt x="1189453" y="2504943"/>
                                      </a:lnTo>
                                      <a:lnTo>
                                        <a:pt x="1230059" y="2479127"/>
                                      </a:lnTo>
                                      <a:lnTo>
                                        <a:pt x="1263927" y="2445259"/>
                                      </a:lnTo>
                                      <a:lnTo>
                                        <a:pt x="1289744" y="2404653"/>
                                      </a:lnTo>
                                      <a:lnTo>
                                        <a:pt x="1306197" y="2358622"/>
                                      </a:lnTo>
                                      <a:lnTo>
                                        <a:pt x="1311973" y="2308479"/>
                                      </a:lnTo>
                                      <a:lnTo>
                                        <a:pt x="1311973" y="218693"/>
                                      </a:lnTo>
                                      <a:lnTo>
                                        <a:pt x="1306197" y="168550"/>
                                      </a:lnTo>
                                      <a:lnTo>
                                        <a:pt x="1289744" y="122519"/>
                                      </a:lnTo>
                                      <a:lnTo>
                                        <a:pt x="1263927" y="81913"/>
                                      </a:lnTo>
                                      <a:lnTo>
                                        <a:pt x="1230059" y="48045"/>
                                      </a:lnTo>
                                      <a:lnTo>
                                        <a:pt x="1189453" y="22229"/>
                                      </a:lnTo>
                                      <a:lnTo>
                                        <a:pt x="1143422" y="5776"/>
                                      </a:lnTo>
                                      <a:lnTo>
                                        <a:pt x="1093279" y="0"/>
                                      </a:lnTo>
                                      <a:close/>
                                    </a:path>
                                  </a:pathLst>
                                </a:custGeom>
                                <a:solidFill>
                                  <a:srgbClr val="DCE6F1"/>
                                </a:solidFill>
                              </wps:spPr>
                              <wps:bodyPr wrap="square" lIns="0" tIns="0" rIns="0" bIns="0" rtlCol="0">
                                <a:prstTxWarp prst="textNoShape">
                                  <a:avLst/>
                                </a:prstTxWarp>
                                <a:noAutofit/>
                              </wps:bodyPr>
                            </wps:wsp>
                            <wps:wsp>
                              <wps:cNvPr id="295" name="Graphic 295"/>
                              <wps:cNvSpPr/>
                              <wps:spPr>
                                <a:xfrm>
                                  <a:off x="12700" y="12953"/>
                                  <a:ext cx="1312545" cy="2527300"/>
                                </a:xfrm>
                                <a:custGeom>
                                  <a:avLst/>
                                  <a:gdLst/>
                                  <a:ahLst/>
                                  <a:cxnLst/>
                                  <a:rect l="l" t="t" r="r" b="b"/>
                                  <a:pathLst>
                                    <a:path w="1312545" h="2527300">
                                      <a:moveTo>
                                        <a:pt x="0" y="218693"/>
                                      </a:moveTo>
                                      <a:lnTo>
                                        <a:pt x="5775" y="168550"/>
                                      </a:lnTo>
                                      <a:lnTo>
                                        <a:pt x="22226" y="122519"/>
                                      </a:lnTo>
                                      <a:lnTo>
                                        <a:pt x="48039" y="81913"/>
                                      </a:lnTo>
                                      <a:lnTo>
                                        <a:pt x="81903" y="48045"/>
                                      </a:lnTo>
                                      <a:lnTo>
                                        <a:pt x="122505" y="22229"/>
                                      </a:lnTo>
                                      <a:lnTo>
                                        <a:pt x="168530" y="5776"/>
                                      </a:lnTo>
                                      <a:lnTo>
                                        <a:pt x="218668" y="0"/>
                                      </a:lnTo>
                                      <a:lnTo>
                                        <a:pt x="1093279" y="0"/>
                                      </a:lnTo>
                                      <a:lnTo>
                                        <a:pt x="1143422" y="5776"/>
                                      </a:lnTo>
                                      <a:lnTo>
                                        <a:pt x="1189453" y="22229"/>
                                      </a:lnTo>
                                      <a:lnTo>
                                        <a:pt x="1230059" y="48045"/>
                                      </a:lnTo>
                                      <a:lnTo>
                                        <a:pt x="1263927" y="81913"/>
                                      </a:lnTo>
                                      <a:lnTo>
                                        <a:pt x="1289744" y="122519"/>
                                      </a:lnTo>
                                      <a:lnTo>
                                        <a:pt x="1306197" y="168550"/>
                                      </a:lnTo>
                                      <a:lnTo>
                                        <a:pt x="1311973" y="218693"/>
                                      </a:lnTo>
                                      <a:lnTo>
                                        <a:pt x="1311973" y="2308479"/>
                                      </a:lnTo>
                                      <a:lnTo>
                                        <a:pt x="1306197" y="2358622"/>
                                      </a:lnTo>
                                      <a:lnTo>
                                        <a:pt x="1289744" y="2404653"/>
                                      </a:lnTo>
                                      <a:lnTo>
                                        <a:pt x="1263927" y="2445259"/>
                                      </a:lnTo>
                                      <a:lnTo>
                                        <a:pt x="1230059" y="2479127"/>
                                      </a:lnTo>
                                      <a:lnTo>
                                        <a:pt x="1189453" y="2504943"/>
                                      </a:lnTo>
                                      <a:lnTo>
                                        <a:pt x="1143422" y="2521396"/>
                                      </a:lnTo>
                                      <a:lnTo>
                                        <a:pt x="1093279" y="2527172"/>
                                      </a:lnTo>
                                      <a:lnTo>
                                        <a:pt x="218668" y="2527172"/>
                                      </a:lnTo>
                                      <a:lnTo>
                                        <a:pt x="168530" y="2521396"/>
                                      </a:lnTo>
                                      <a:lnTo>
                                        <a:pt x="122505" y="2504943"/>
                                      </a:lnTo>
                                      <a:lnTo>
                                        <a:pt x="81903" y="2479127"/>
                                      </a:lnTo>
                                      <a:lnTo>
                                        <a:pt x="48039" y="2445259"/>
                                      </a:lnTo>
                                      <a:lnTo>
                                        <a:pt x="22226" y="2404653"/>
                                      </a:lnTo>
                                      <a:lnTo>
                                        <a:pt x="5775" y="2358622"/>
                                      </a:lnTo>
                                      <a:lnTo>
                                        <a:pt x="0" y="2308479"/>
                                      </a:lnTo>
                                      <a:lnTo>
                                        <a:pt x="0" y="218693"/>
                                      </a:lnTo>
                                      <a:close/>
                                    </a:path>
                                  </a:pathLst>
                                </a:custGeom>
                                <a:ln w="25400">
                                  <a:solidFill>
                                    <a:srgbClr val="DCE6F1"/>
                                  </a:solidFill>
                                  <a:prstDash val="solid"/>
                                </a:ln>
                              </wps:spPr>
                              <wps:bodyPr wrap="square" lIns="0" tIns="0" rIns="0" bIns="0" rtlCol="0">
                                <a:prstTxWarp prst="textNoShape">
                                  <a:avLst/>
                                </a:prstTxWarp>
                                <a:noAutofit/>
                              </wps:bodyPr>
                            </wps:wsp>
                            <wps:wsp>
                              <wps:cNvPr id="296" name="Graphic 296"/>
                              <wps:cNvSpPr/>
                              <wps:spPr>
                                <a:xfrm>
                                  <a:off x="1507299" y="13080"/>
                                  <a:ext cx="1606550" cy="2527935"/>
                                </a:xfrm>
                                <a:custGeom>
                                  <a:avLst/>
                                  <a:gdLst/>
                                  <a:ahLst/>
                                  <a:cxnLst/>
                                  <a:rect l="l" t="t" r="r" b="b"/>
                                  <a:pathLst>
                                    <a:path w="1606550" h="2527935">
                                      <a:moveTo>
                                        <a:pt x="1338452" y="0"/>
                                      </a:moveTo>
                                      <a:lnTo>
                                        <a:pt x="267715" y="0"/>
                                      </a:lnTo>
                                      <a:lnTo>
                                        <a:pt x="219600" y="4309"/>
                                      </a:lnTo>
                                      <a:lnTo>
                                        <a:pt x="174312" y="16736"/>
                                      </a:lnTo>
                                      <a:lnTo>
                                        <a:pt x="132606" y="36524"/>
                                      </a:lnTo>
                                      <a:lnTo>
                                        <a:pt x="95241" y="62919"/>
                                      </a:lnTo>
                                      <a:lnTo>
                                        <a:pt x="62972" y="95167"/>
                                      </a:lnTo>
                                      <a:lnTo>
                                        <a:pt x="36557" y="132512"/>
                                      </a:lnTo>
                                      <a:lnTo>
                                        <a:pt x="16752" y="174201"/>
                                      </a:lnTo>
                                      <a:lnTo>
                                        <a:pt x="4314" y="219478"/>
                                      </a:lnTo>
                                      <a:lnTo>
                                        <a:pt x="0" y="267588"/>
                                      </a:lnTo>
                                      <a:lnTo>
                                        <a:pt x="0" y="2260092"/>
                                      </a:lnTo>
                                      <a:lnTo>
                                        <a:pt x="4314" y="2308207"/>
                                      </a:lnTo>
                                      <a:lnTo>
                                        <a:pt x="16752" y="2353495"/>
                                      </a:lnTo>
                                      <a:lnTo>
                                        <a:pt x="36557" y="2395201"/>
                                      </a:lnTo>
                                      <a:lnTo>
                                        <a:pt x="62972" y="2432566"/>
                                      </a:lnTo>
                                      <a:lnTo>
                                        <a:pt x="95241" y="2464835"/>
                                      </a:lnTo>
                                      <a:lnTo>
                                        <a:pt x="132606" y="2491250"/>
                                      </a:lnTo>
                                      <a:lnTo>
                                        <a:pt x="174312" y="2511055"/>
                                      </a:lnTo>
                                      <a:lnTo>
                                        <a:pt x="219600" y="2523493"/>
                                      </a:lnTo>
                                      <a:lnTo>
                                        <a:pt x="267715" y="2527808"/>
                                      </a:lnTo>
                                      <a:lnTo>
                                        <a:pt x="1338452" y="2527808"/>
                                      </a:lnTo>
                                      <a:lnTo>
                                        <a:pt x="1386568" y="2523493"/>
                                      </a:lnTo>
                                      <a:lnTo>
                                        <a:pt x="1431856" y="2511055"/>
                                      </a:lnTo>
                                      <a:lnTo>
                                        <a:pt x="1473562" y="2491250"/>
                                      </a:lnTo>
                                      <a:lnTo>
                                        <a:pt x="1510927" y="2464835"/>
                                      </a:lnTo>
                                      <a:lnTo>
                                        <a:pt x="1543196" y="2432566"/>
                                      </a:lnTo>
                                      <a:lnTo>
                                        <a:pt x="1569611" y="2395201"/>
                                      </a:lnTo>
                                      <a:lnTo>
                                        <a:pt x="1589416" y="2353495"/>
                                      </a:lnTo>
                                      <a:lnTo>
                                        <a:pt x="1601854" y="2308207"/>
                                      </a:lnTo>
                                      <a:lnTo>
                                        <a:pt x="1606168" y="2260092"/>
                                      </a:lnTo>
                                      <a:lnTo>
                                        <a:pt x="1606168" y="267588"/>
                                      </a:lnTo>
                                      <a:lnTo>
                                        <a:pt x="1601854" y="219478"/>
                                      </a:lnTo>
                                      <a:lnTo>
                                        <a:pt x="1589416" y="174201"/>
                                      </a:lnTo>
                                      <a:lnTo>
                                        <a:pt x="1569611" y="132512"/>
                                      </a:lnTo>
                                      <a:lnTo>
                                        <a:pt x="1543196" y="95167"/>
                                      </a:lnTo>
                                      <a:lnTo>
                                        <a:pt x="1510927" y="62919"/>
                                      </a:lnTo>
                                      <a:lnTo>
                                        <a:pt x="1473562" y="36524"/>
                                      </a:lnTo>
                                      <a:lnTo>
                                        <a:pt x="1431856" y="16736"/>
                                      </a:lnTo>
                                      <a:lnTo>
                                        <a:pt x="1386568" y="4309"/>
                                      </a:lnTo>
                                      <a:lnTo>
                                        <a:pt x="1338452" y="0"/>
                                      </a:lnTo>
                                      <a:close/>
                                    </a:path>
                                  </a:pathLst>
                                </a:custGeom>
                                <a:solidFill>
                                  <a:srgbClr val="DCE6F1"/>
                                </a:solidFill>
                              </wps:spPr>
                              <wps:bodyPr wrap="square" lIns="0" tIns="0" rIns="0" bIns="0" rtlCol="0">
                                <a:prstTxWarp prst="textNoShape">
                                  <a:avLst/>
                                </a:prstTxWarp>
                                <a:noAutofit/>
                              </wps:bodyPr>
                            </wps:wsp>
                            <wps:wsp>
                              <wps:cNvPr id="297" name="Graphic 297"/>
                              <wps:cNvSpPr/>
                              <wps:spPr>
                                <a:xfrm>
                                  <a:off x="1507299" y="13080"/>
                                  <a:ext cx="1606550" cy="2527935"/>
                                </a:xfrm>
                                <a:custGeom>
                                  <a:avLst/>
                                  <a:gdLst/>
                                  <a:ahLst/>
                                  <a:cxnLst/>
                                  <a:rect l="l" t="t" r="r" b="b"/>
                                  <a:pathLst>
                                    <a:path w="1606550" h="2527935">
                                      <a:moveTo>
                                        <a:pt x="0" y="267588"/>
                                      </a:moveTo>
                                      <a:lnTo>
                                        <a:pt x="4314" y="219478"/>
                                      </a:lnTo>
                                      <a:lnTo>
                                        <a:pt x="16752" y="174201"/>
                                      </a:lnTo>
                                      <a:lnTo>
                                        <a:pt x="36557" y="132512"/>
                                      </a:lnTo>
                                      <a:lnTo>
                                        <a:pt x="62972" y="95167"/>
                                      </a:lnTo>
                                      <a:lnTo>
                                        <a:pt x="95241" y="62919"/>
                                      </a:lnTo>
                                      <a:lnTo>
                                        <a:pt x="132606" y="36524"/>
                                      </a:lnTo>
                                      <a:lnTo>
                                        <a:pt x="174312" y="16736"/>
                                      </a:lnTo>
                                      <a:lnTo>
                                        <a:pt x="219600" y="4309"/>
                                      </a:lnTo>
                                      <a:lnTo>
                                        <a:pt x="267715" y="0"/>
                                      </a:lnTo>
                                      <a:lnTo>
                                        <a:pt x="1338452" y="0"/>
                                      </a:lnTo>
                                      <a:lnTo>
                                        <a:pt x="1386568" y="4309"/>
                                      </a:lnTo>
                                      <a:lnTo>
                                        <a:pt x="1431856" y="16736"/>
                                      </a:lnTo>
                                      <a:lnTo>
                                        <a:pt x="1473562" y="36524"/>
                                      </a:lnTo>
                                      <a:lnTo>
                                        <a:pt x="1510927" y="62919"/>
                                      </a:lnTo>
                                      <a:lnTo>
                                        <a:pt x="1543196" y="95167"/>
                                      </a:lnTo>
                                      <a:lnTo>
                                        <a:pt x="1569611" y="132512"/>
                                      </a:lnTo>
                                      <a:lnTo>
                                        <a:pt x="1589416" y="174201"/>
                                      </a:lnTo>
                                      <a:lnTo>
                                        <a:pt x="1601854" y="219478"/>
                                      </a:lnTo>
                                      <a:lnTo>
                                        <a:pt x="1606168" y="267588"/>
                                      </a:lnTo>
                                      <a:lnTo>
                                        <a:pt x="1606168" y="2260092"/>
                                      </a:lnTo>
                                      <a:lnTo>
                                        <a:pt x="1601854" y="2308207"/>
                                      </a:lnTo>
                                      <a:lnTo>
                                        <a:pt x="1589416" y="2353495"/>
                                      </a:lnTo>
                                      <a:lnTo>
                                        <a:pt x="1569611" y="2395201"/>
                                      </a:lnTo>
                                      <a:lnTo>
                                        <a:pt x="1543196" y="2432566"/>
                                      </a:lnTo>
                                      <a:lnTo>
                                        <a:pt x="1510927" y="2464835"/>
                                      </a:lnTo>
                                      <a:lnTo>
                                        <a:pt x="1473562" y="2491250"/>
                                      </a:lnTo>
                                      <a:lnTo>
                                        <a:pt x="1431856" y="2511055"/>
                                      </a:lnTo>
                                      <a:lnTo>
                                        <a:pt x="1386568" y="2523493"/>
                                      </a:lnTo>
                                      <a:lnTo>
                                        <a:pt x="1338452" y="2527808"/>
                                      </a:lnTo>
                                      <a:lnTo>
                                        <a:pt x="267715" y="2527808"/>
                                      </a:lnTo>
                                      <a:lnTo>
                                        <a:pt x="219600" y="2523493"/>
                                      </a:lnTo>
                                      <a:lnTo>
                                        <a:pt x="174312" y="2511055"/>
                                      </a:lnTo>
                                      <a:lnTo>
                                        <a:pt x="132606" y="2491250"/>
                                      </a:lnTo>
                                      <a:lnTo>
                                        <a:pt x="95241" y="2464835"/>
                                      </a:lnTo>
                                      <a:lnTo>
                                        <a:pt x="62972" y="2432566"/>
                                      </a:lnTo>
                                      <a:lnTo>
                                        <a:pt x="36557" y="2395201"/>
                                      </a:lnTo>
                                      <a:lnTo>
                                        <a:pt x="16752" y="2353495"/>
                                      </a:lnTo>
                                      <a:lnTo>
                                        <a:pt x="4314" y="2308207"/>
                                      </a:lnTo>
                                      <a:lnTo>
                                        <a:pt x="0" y="2260092"/>
                                      </a:lnTo>
                                      <a:lnTo>
                                        <a:pt x="0" y="267588"/>
                                      </a:lnTo>
                                      <a:close/>
                                    </a:path>
                                  </a:pathLst>
                                </a:custGeom>
                                <a:ln w="25400">
                                  <a:solidFill>
                                    <a:srgbClr val="DCE6F1"/>
                                  </a:solidFill>
                                  <a:prstDash val="solid"/>
                                </a:ln>
                              </wps:spPr>
                              <wps:bodyPr wrap="square" lIns="0" tIns="0" rIns="0" bIns="0" rtlCol="0">
                                <a:prstTxWarp prst="textNoShape">
                                  <a:avLst/>
                                </a:prstTxWarp>
                                <a:noAutofit/>
                              </wps:bodyPr>
                            </wps:wsp>
                            <wps:wsp>
                              <wps:cNvPr id="298" name="Graphic 298"/>
                              <wps:cNvSpPr/>
                              <wps:spPr>
                                <a:xfrm>
                                  <a:off x="3281108" y="12700"/>
                                  <a:ext cx="1502410" cy="2526665"/>
                                </a:xfrm>
                                <a:custGeom>
                                  <a:avLst/>
                                  <a:gdLst/>
                                  <a:ahLst/>
                                  <a:cxnLst/>
                                  <a:rect l="l" t="t" r="r" b="b"/>
                                  <a:pathLst>
                                    <a:path w="1502410" h="2526665">
                                      <a:moveTo>
                                        <a:pt x="1251584" y="0"/>
                                      </a:moveTo>
                                      <a:lnTo>
                                        <a:pt x="250316" y="0"/>
                                      </a:lnTo>
                                      <a:lnTo>
                                        <a:pt x="205307" y="4035"/>
                                      </a:lnTo>
                                      <a:lnTo>
                                        <a:pt x="162950" y="15668"/>
                                      </a:lnTo>
                                      <a:lnTo>
                                        <a:pt x="123951" y="34191"/>
                                      </a:lnTo>
                                      <a:lnTo>
                                        <a:pt x="89017" y="58894"/>
                                      </a:lnTo>
                                      <a:lnTo>
                                        <a:pt x="58852" y="89069"/>
                                      </a:lnTo>
                                      <a:lnTo>
                                        <a:pt x="34162" y="124008"/>
                                      </a:lnTo>
                                      <a:lnTo>
                                        <a:pt x="15653" y="163001"/>
                                      </a:lnTo>
                                      <a:lnTo>
                                        <a:pt x="4031" y="205340"/>
                                      </a:lnTo>
                                      <a:lnTo>
                                        <a:pt x="0" y="250316"/>
                                      </a:lnTo>
                                      <a:lnTo>
                                        <a:pt x="0" y="2276347"/>
                                      </a:lnTo>
                                      <a:lnTo>
                                        <a:pt x="4031" y="2321357"/>
                                      </a:lnTo>
                                      <a:lnTo>
                                        <a:pt x="15653" y="2363714"/>
                                      </a:lnTo>
                                      <a:lnTo>
                                        <a:pt x="34162" y="2402712"/>
                                      </a:lnTo>
                                      <a:lnTo>
                                        <a:pt x="58852" y="2437647"/>
                                      </a:lnTo>
                                      <a:lnTo>
                                        <a:pt x="89017" y="2467812"/>
                                      </a:lnTo>
                                      <a:lnTo>
                                        <a:pt x="123951" y="2492502"/>
                                      </a:lnTo>
                                      <a:lnTo>
                                        <a:pt x="162950" y="2511011"/>
                                      </a:lnTo>
                                      <a:lnTo>
                                        <a:pt x="205307" y="2522633"/>
                                      </a:lnTo>
                                      <a:lnTo>
                                        <a:pt x="250316" y="2526665"/>
                                      </a:lnTo>
                                      <a:lnTo>
                                        <a:pt x="1251584" y="2526665"/>
                                      </a:lnTo>
                                      <a:lnTo>
                                        <a:pt x="1296594" y="2522633"/>
                                      </a:lnTo>
                                      <a:lnTo>
                                        <a:pt x="1338951" y="2511011"/>
                                      </a:lnTo>
                                      <a:lnTo>
                                        <a:pt x="1377950" y="2492502"/>
                                      </a:lnTo>
                                      <a:lnTo>
                                        <a:pt x="1412884" y="2467812"/>
                                      </a:lnTo>
                                      <a:lnTo>
                                        <a:pt x="1443049" y="2437647"/>
                                      </a:lnTo>
                                      <a:lnTo>
                                        <a:pt x="1467739" y="2402713"/>
                                      </a:lnTo>
                                      <a:lnTo>
                                        <a:pt x="1486248" y="2363714"/>
                                      </a:lnTo>
                                      <a:lnTo>
                                        <a:pt x="1497870" y="2321357"/>
                                      </a:lnTo>
                                      <a:lnTo>
                                        <a:pt x="1501902" y="2276347"/>
                                      </a:lnTo>
                                      <a:lnTo>
                                        <a:pt x="1501902" y="250316"/>
                                      </a:lnTo>
                                      <a:lnTo>
                                        <a:pt x="1497870" y="205340"/>
                                      </a:lnTo>
                                      <a:lnTo>
                                        <a:pt x="1486248" y="163001"/>
                                      </a:lnTo>
                                      <a:lnTo>
                                        <a:pt x="1467739" y="124008"/>
                                      </a:lnTo>
                                      <a:lnTo>
                                        <a:pt x="1443049" y="89069"/>
                                      </a:lnTo>
                                      <a:lnTo>
                                        <a:pt x="1412884" y="58894"/>
                                      </a:lnTo>
                                      <a:lnTo>
                                        <a:pt x="1377950" y="34191"/>
                                      </a:lnTo>
                                      <a:lnTo>
                                        <a:pt x="1338951" y="15668"/>
                                      </a:lnTo>
                                      <a:lnTo>
                                        <a:pt x="1296594" y="4035"/>
                                      </a:lnTo>
                                      <a:lnTo>
                                        <a:pt x="1251584" y="0"/>
                                      </a:lnTo>
                                      <a:close/>
                                    </a:path>
                                  </a:pathLst>
                                </a:custGeom>
                                <a:solidFill>
                                  <a:srgbClr val="DCE6F1"/>
                                </a:solidFill>
                              </wps:spPr>
                              <wps:bodyPr wrap="square" lIns="0" tIns="0" rIns="0" bIns="0" rtlCol="0">
                                <a:prstTxWarp prst="textNoShape">
                                  <a:avLst/>
                                </a:prstTxWarp>
                                <a:noAutofit/>
                              </wps:bodyPr>
                            </wps:wsp>
                            <wps:wsp>
                              <wps:cNvPr id="299" name="Graphic 299"/>
                              <wps:cNvSpPr/>
                              <wps:spPr>
                                <a:xfrm>
                                  <a:off x="3281108" y="12700"/>
                                  <a:ext cx="1502410" cy="2526665"/>
                                </a:xfrm>
                                <a:custGeom>
                                  <a:avLst/>
                                  <a:gdLst/>
                                  <a:ahLst/>
                                  <a:cxnLst/>
                                  <a:rect l="l" t="t" r="r" b="b"/>
                                  <a:pathLst>
                                    <a:path w="1502410" h="2526665">
                                      <a:moveTo>
                                        <a:pt x="0" y="250316"/>
                                      </a:moveTo>
                                      <a:lnTo>
                                        <a:pt x="4031" y="205340"/>
                                      </a:lnTo>
                                      <a:lnTo>
                                        <a:pt x="15653" y="163001"/>
                                      </a:lnTo>
                                      <a:lnTo>
                                        <a:pt x="34162" y="124008"/>
                                      </a:lnTo>
                                      <a:lnTo>
                                        <a:pt x="58852" y="89069"/>
                                      </a:lnTo>
                                      <a:lnTo>
                                        <a:pt x="89017" y="58894"/>
                                      </a:lnTo>
                                      <a:lnTo>
                                        <a:pt x="123951" y="34191"/>
                                      </a:lnTo>
                                      <a:lnTo>
                                        <a:pt x="162950" y="15668"/>
                                      </a:lnTo>
                                      <a:lnTo>
                                        <a:pt x="205307" y="4035"/>
                                      </a:lnTo>
                                      <a:lnTo>
                                        <a:pt x="250316" y="0"/>
                                      </a:lnTo>
                                      <a:lnTo>
                                        <a:pt x="1251584" y="0"/>
                                      </a:lnTo>
                                      <a:lnTo>
                                        <a:pt x="1296594" y="4035"/>
                                      </a:lnTo>
                                      <a:lnTo>
                                        <a:pt x="1338951" y="15668"/>
                                      </a:lnTo>
                                      <a:lnTo>
                                        <a:pt x="1377950" y="34191"/>
                                      </a:lnTo>
                                      <a:lnTo>
                                        <a:pt x="1412884" y="58894"/>
                                      </a:lnTo>
                                      <a:lnTo>
                                        <a:pt x="1443049" y="89069"/>
                                      </a:lnTo>
                                      <a:lnTo>
                                        <a:pt x="1467739" y="124008"/>
                                      </a:lnTo>
                                      <a:lnTo>
                                        <a:pt x="1486248" y="163001"/>
                                      </a:lnTo>
                                      <a:lnTo>
                                        <a:pt x="1497870" y="205340"/>
                                      </a:lnTo>
                                      <a:lnTo>
                                        <a:pt x="1501902" y="250316"/>
                                      </a:lnTo>
                                      <a:lnTo>
                                        <a:pt x="1501902" y="2276347"/>
                                      </a:lnTo>
                                      <a:lnTo>
                                        <a:pt x="1497870" y="2321357"/>
                                      </a:lnTo>
                                      <a:lnTo>
                                        <a:pt x="1486248" y="2363714"/>
                                      </a:lnTo>
                                      <a:lnTo>
                                        <a:pt x="1467739" y="2402713"/>
                                      </a:lnTo>
                                      <a:lnTo>
                                        <a:pt x="1443049" y="2437647"/>
                                      </a:lnTo>
                                      <a:lnTo>
                                        <a:pt x="1412884" y="2467812"/>
                                      </a:lnTo>
                                      <a:lnTo>
                                        <a:pt x="1377950" y="2492502"/>
                                      </a:lnTo>
                                      <a:lnTo>
                                        <a:pt x="1338951" y="2511011"/>
                                      </a:lnTo>
                                      <a:lnTo>
                                        <a:pt x="1296594" y="2522633"/>
                                      </a:lnTo>
                                      <a:lnTo>
                                        <a:pt x="1251584" y="2526665"/>
                                      </a:lnTo>
                                      <a:lnTo>
                                        <a:pt x="250316" y="2526665"/>
                                      </a:lnTo>
                                      <a:lnTo>
                                        <a:pt x="205307" y="2522633"/>
                                      </a:lnTo>
                                      <a:lnTo>
                                        <a:pt x="162950" y="2511011"/>
                                      </a:lnTo>
                                      <a:lnTo>
                                        <a:pt x="123951" y="2492502"/>
                                      </a:lnTo>
                                      <a:lnTo>
                                        <a:pt x="89017" y="2467812"/>
                                      </a:lnTo>
                                      <a:lnTo>
                                        <a:pt x="58852" y="2437647"/>
                                      </a:lnTo>
                                      <a:lnTo>
                                        <a:pt x="34162" y="2402712"/>
                                      </a:lnTo>
                                      <a:lnTo>
                                        <a:pt x="15653" y="2363714"/>
                                      </a:lnTo>
                                      <a:lnTo>
                                        <a:pt x="4031" y="2321357"/>
                                      </a:lnTo>
                                      <a:lnTo>
                                        <a:pt x="0" y="2276347"/>
                                      </a:lnTo>
                                      <a:lnTo>
                                        <a:pt x="0" y="250316"/>
                                      </a:lnTo>
                                      <a:close/>
                                    </a:path>
                                  </a:pathLst>
                                </a:custGeom>
                                <a:ln w="25400">
                                  <a:solidFill>
                                    <a:srgbClr val="DCE6F1"/>
                                  </a:solidFill>
                                  <a:prstDash val="solid"/>
                                </a:ln>
                              </wps:spPr>
                              <wps:bodyPr wrap="square" lIns="0" tIns="0" rIns="0" bIns="0" rtlCol="0">
                                <a:prstTxWarp prst="textNoShape">
                                  <a:avLst/>
                                </a:prstTxWarp>
                                <a:noAutofit/>
                              </wps:bodyPr>
                            </wps:wsp>
                            <wps:wsp>
                              <wps:cNvPr id="300" name="Graphic 300"/>
                              <wps:cNvSpPr/>
                              <wps:spPr>
                                <a:xfrm>
                                  <a:off x="4934013" y="12826"/>
                                  <a:ext cx="1309370" cy="2527300"/>
                                </a:xfrm>
                                <a:custGeom>
                                  <a:avLst/>
                                  <a:gdLst/>
                                  <a:ahLst/>
                                  <a:cxnLst/>
                                  <a:rect l="l" t="t" r="r" b="b"/>
                                  <a:pathLst>
                                    <a:path w="1309370" h="2527300">
                                      <a:moveTo>
                                        <a:pt x="1091056" y="0"/>
                                      </a:moveTo>
                                      <a:lnTo>
                                        <a:pt x="218186" y="0"/>
                                      </a:lnTo>
                                      <a:lnTo>
                                        <a:pt x="168150" y="5768"/>
                                      </a:lnTo>
                                      <a:lnTo>
                                        <a:pt x="122223" y="22197"/>
                                      </a:lnTo>
                                      <a:lnTo>
                                        <a:pt x="81712" y="47976"/>
                                      </a:lnTo>
                                      <a:lnTo>
                                        <a:pt x="47926" y="81789"/>
                                      </a:lnTo>
                                      <a:lnTo>
                                        <a:pt x="22172" y="122325"/>
                                      </a:lnTo>
                                      <a:lnTo>
                                        <a:pt x="5761" y="168270"/>
                                      </a:lnTo>
                                      <a:lnTo>
                                        <a:pt x="0" y="218312"/>
                                      </a:lnTo>
                                      <a:lnTo>
                                        <a:pt x="0" y="2308479"/>
                                      </a:lnTo>
                                      <a:lnTo>
                                        <a:pt x="5761" y="2358521"/>
                                      </a:lnTo>
                                      <a:lnTo>
                                        <a:pt x="22172" y="2404466"/>
                                      </a:lnTo>
                                      <a:lnTo>
                                        <a:pt x="47926" y="2445002"/>
                                      </a:lnTo>
                                      <a:lnTo>
                                        <a:pt x="81712" y="2478815"/>
                                      </a:lnTo>
                                      <a:lnTo>
                                        <a:pt x="122223" y="2504594"/>
                                      </a:lnTo>
                                      <a:lnTo>
                                        <a:pt x="168150" y="2521023"/>
                                      </a:lnTo>
                                      <a:lnTo>
                                        <a:pt x="218186" y="2526791"/>
                                      </a:lnTo>
                                      <a:lnTo>
                                        <a:pt x="1091056" y="2526791"/>
                                      </a:lnTo>
                                      <a:lnTo>
                                        <a:pt x="1141099" y="2521023"/>
                                      </a:lnTo>
                                      <a:lnTo>
                                        <a:pt x="1187044" y="2504594"/>
                                      </a:lnTo>
                                      <a:lnTo>
                                        <a:pt x="1227580" y="2478815"/>
                                      </a:lnTo>
                                      <a:lnTo>
                                        <a:pt x="1261393" y="2445002"/>
                                      </a:lnTo>
                                      <a:lnTo>
                                        <a:pt x="1287172" y="2404466"/>
                                      </a:lnTo>
                                      <a:lnTo>
                                        <a:pt x="1303601" y="2358521"/>
                                      </a:lnTo>
                                      <a:lnTo>
                                        <a:pt x="1309370" y="2308479"/>
                                      </a:lnTo>
                                      <a:lnTo>
                                        <a:pt x="1309370" y="218312"/>
                                      </a:lnTo>
                                      <a:lnTo>
                                        <a:pt x="1303601" y="168270"/>
                                      </a:lnTo>
                                      <a:lnTo>
                                        <a:pt x="1287172" y="122325"/>
                                      </a:lnTo>
                                      <a:lnTo>
                                        <a:pt x="1261393" y="81789"/>
                                      </a:lnTo>
                                      <a:lnTo>
                                        <a:pt x="1227580" y="47976"/>
                                      </a:lnTo>
                                      <a:lnTo>
                                        <a:pt x="1187044" y="22197"/>
                                      </a:lnTo>
                                      <a:lnTo>
                                        <a:pt x="1141099" y="5768"/>
                                      </a:lnTo>
                                      <a:lnTo>
                                        <a:pt x="1091056" y="0"/>
                                      </a:lnTo>
                                      <a:close/>
                                    </a:path>
                                  </a:pathLst>
                                </a:custGeom>
                                <a:solidFill>
                                  <a:srgbClr val="DCE6F1"/>
                                </a:solidFill>
                              </wps:spPr>
                              <wps:bodyPr wrap="square" lIns="0" tIns="0" rIns="0" bIns="0" rtlCol="0">
                                <a:prstTxWarp prst="textNoShape">
                                  <a:avLst/>
                                </a:prstTxWarp>
                                <a:noAutofit/>
                              </wps:bodyPr>
                            </wps:wsp>
                            <wps:wsp>
                              <wps:cNvPr id="301" name="Graphic 301"/>
                              <wps:cNvSpPr/>
                              <wps:spPr>
                                <a:xfrm>
                                  <a:off x="4934013" y="12826"/>
                                  <a:ext cx="1309370" cy="2527300"/>
                                </a:xfrm>
                                <a:custGeom>
                                  <a:avLst/>
                                  <a:gdLst/>
                                  <a:ahLst/>
                                  <a:cxnLst/>
                                  <a:rect l="l" t="t" r="r" b="b"/>
                                  <a:pathLst>
                                    <a:path w="1309370" h="2527300">
                                      <a:moveTo>
                                        <a:pt x="0" y="218312"/>
                                      </a:moveTo>
                                      <a:lnTo>
                                        <a:pt x="5761" y="168270"/>
                                      </a:lnTo>
                                      <a:lnTo>
                                        <a:pt x="22172" y="122325"/>
                                      </a:lnTo>
                                      <a:lnTo>
                                        <a:pt x="47926" y="81789"/>
                                      </a:lnTo>
                                      <a:lnTo>
                                        <a:pt x="81712" y="47976"/>
                                      </a:lnTo>
                                      <a:lnTo>
                                        <a:pt x="122223" y="22197"/>
                                      </a:lnTo>
                                      <a:lnTo>
                                        <a:pt x="168150" y="5768"/>
                                      </a:lnTo>
                                      <a:lnTo>
                                        <a:pt x="218186" y="0"/>
                                      </a:lnTo>
                                      <a:lnTo>
                                        <a:pt x="1091056" y="0"/>
                                      </a:lnTo>
                                      <a:lnTo>
                                        <a:pt x="1141099" y="5768"/>
                                      </a:lnTo>
                                      <a:lnTo>
                                        <a:pt x="1187044" y="22197"/>
                                      </a:lnTo>
                                      <a:lnTo>
                                        <a:pt x="1227580" y="47976"/>
                                      </a:lnTo>
                                      <a:lnTo>
                                        <a:pt x="1261393" y="81789"/>
                                      </a:lnTo>
                                      <a:lnTo>
                                        <a:pt x="1287172" y="122325"/>
                                      </a:lnTo>
                                      <a:lnTo>
                                        <a:pt x="1303601" y="168270"/>
                                      </a:lnTo>
                                      <a:lnTo>
                                        <a:pt x="1309370" y="218312"/>
                                      </a:lnTo>
                                      <a:lnTo>
                                        <a:pt x="1309370" y="2308479"/>
                                      </a:lnTo>
                                      <a:lnTo>
                                        <a:pt x="1303601" y="2358521"/>
                                      </a:lnTo>
                                      <a:lnTo>
                                        <a:pt x="1287172" y="2404466"/>
                                      </a:lnTo>
                                      <a:lnTo>
                                        <a:pt x="1261393" y="2445002"/>
                                      </a:lnTo>
                                      <a:lnTo>
                                        <a:pt x="1227580" y="2478815"/>
                                      </a:lnTo>
                                      <a:lnTo>
                                        <a:pt x="1187044" y="2504594"/>
                                      </a:lnTo>
                                      <a:lnTo>
                                        <a:pt x="1141099" y="2521023"/>
                                      </a:lnTo>
                                      <a:lnTo>
                                        <a:pt x="1091056" y="2526791"/>
                                      </a:lnTo>
                                      <a:lnTo>
                                        <a:pt x="218186" y="2526791"/>
                                      </a:lnTo>
                                      <a:lnTo>
                                        <a:pt x="168150" y="2521023"/>
                                      </a:lnTo>
                                      <a:lnTo>
                                        <a:pt x="122223" y="2504594"/>
                                      </a:lnTo>
                                      <a:lnTo>
                                        <a:pt x="81712" y="2478815"/>
                                      </a:lnTo>
                                      <a:lnTo>
                                        <a:pt x="47926" y="2445002"/>
                                      </a:lnTo>
                                      <a:lnTo>
                                        <a:pt x="22172" y="2404466"/>
                                      </a:lnTo>
                                      <a:lnTo>
                                        <a:pt x="5761" y="2358521"/>
                                      </a:lnTo>
                                      <a:lnTo>
                                        <a:pt x="0" y="2308479"/>
                                      </a:lnTo>
                                      <a:lnTo>
                                        <a:pt x="0" y="218312"/>
                                      </a:lnTo>
                                      <a:close/>
                                    </a:path>
                                  </a:pathLst>
                                </a:custGeom>
                                <a:ln w="25400">
                                  <a:solidFill>
                                    <a:srgbClr val="DCE6F1"/>
                                  </a:solidFill>
                                  <a:prstDash val="solid"/>
                                </a:ln>
                              </wps:spPr>
                              <wps:bodyPr wrap="square" lIns="0" tIns="0" rIns="0" bIns="0" rtlCol="0">
                                <a:prstTxWarp prst="textNoShape">
                                  <a:avLst/>
                                </a:prstTxWarp>
                                <a:noAutofit/>
                              </wps:bodyPr>
                            </wps:wsp>
                            <wps:wsp>
                              <wps:cNvPr id="302" name="Graphic 302"/>
                              <wps:cNvSpPr/>
                              <wps:spPr>
                                <a:xfrm>
                                  <a:off x="1278191" y="1070991"/>
                                  <a:ext cx="292735" cy="314960"/>
                                </a:xfrm>
                                <a:custGeom>
                                  <a:avLst/>
                                  <a:gdLst/>
                                  <a:ahLst/>
                                  <a:cxnLst/>
                                  <a:rect l="l" t="t" r="r" b="b"/>
                                  <a:pathLst>
                                    <a:path w="292735" h="314960">
                                      <a:moveTo>
                                        <a:pt x="146303" y="0"/>
                                      </a:moveTo>
                                      <a:lnTo>
                                        <a:pt x="146303" y="78612"/>
                                      </a:lnTo>
                                      <a:lnTo>
                                        <a:pt x="0" y="78612"/>
                                      </a:lnTo>
                                      <a:lnTo>
                                        <a:pt x="0" y="235838"/>
                                      </a:lnTo>
                                      <a:lnTo>
                                        <a:pt x="146303" y="235838"/>
                                      </a:lnTo>
                                      <a:lnTo>
                                        <a:pt x="146303" y="314451"/>
                                      </a:lnTo>
                                      <a:lnTo>
                                        <a:pt x="292607" y="157225"/>
                                      </a:lnTo>
                                      <a:lnTo>
                                        <a:pt x="146303" y="0"/>
                                      </a:lnTo>
                                      <a:close/>
                                    </a:path>
                                  </a:pathLst>
                                </a:custGeom>
                                <a:solidFill>
                                  <a:srgbClr val="4F81BC"/>
                                </a:solidFill>
                              </wps:spPr>
                              <wps:bodyPr wrap="square" lIns="0" tIns="0" rIns="0" bIns="0" rtlCol="0">
                                <a:prstTxWarp prst="textNoShape">
                                  <a:avLst/>
                                </a:prstTxWarp>
                                <a:noAutofit/>
                              </wps:bodyPr>
                            </wps:wsp>
                            <wps:wsp>
                              <wps:cNvPr id="303" name="Graphic 303"/>
                              <wps:cNvSpPr/>
                              <wps:spPr>
                                <a:xfrm>
                                  <a:off x="1278191" y="1070991"/>
                                  <a:ext cx="292735" cy="314960"/>
                                </a:xfrm>
                                <a:custGeom>
                                  <a:avLst/>
                                  <a:gdLst/>
                                  <a:ahLst/>
                                  <a:cxnLst/>
                                  <a:rect l="l" t="t" r="r" b="b"/>
                                  <a:pathLst>
                                    <a:path w="292735" h="314960">
                                      <a:moveTo>
                                        <a:pt x="0" y="78612"/>
                                      </a:moveTo>
                                      <a:lnTo>
                                        <a:pt x="146303" y="78612"/>
                                      </a:lnTo>
                                      <a:lnTo>
                                        <a:pt x="146303" y="0"/>
                                      </a:lnTo>
                                      <a:lnTo>
                                        <a:pt x="292607" y="157225"/>
                                      </a:lnTo>
                                      <a:lnTo>
                                        <a:pt x="146303" y="314451"/>
                                      </a:lnTo>
                                      <a:lnTo>
                                        <a:pt x="146303" y="235838"/>
                                      </a:lnTo>
                                      <a:lnTo>
                                        <a:pt x="0" y="235838"/>
                                      </a:lnTo>
                                      <a:lnTo>
                                        <a:pt x="0" y="78612"/>
                                      </a:lnTo>
                                      <a:close/>
                                    </a:path>
                                  </a:pathLst>
                                </a:custGeom>
                                <a:ln w="25400">
                                  <a:solidFill>
                                    <a:srgbClr val="1C334E"/>
                                  </a:solidFill>
                                  <a:prstDash val="solid"/>
                                </a:ln>
                              </wps:spPr>
                              <wps:bodyPr wrap="square" lIns="0" tIns="0" rIns="0" bIns="0" rtlCol="0">
                                <a:prstTxWarp prst="textNoShape">
                                  <a:avLst/>
                                </a:prstTxWarp>
                                <a:noAutofit/>
                              </wps:bodyPr>
                            </wps:wsp>
                            <wps:wsp>
                              <wps:cNvPr id="304" name="Graphic 304"/>
                              <wps:cNvSpPr/>
                              <wps:spPr>
                                <a:xfrm>
                                  <a:off x="3033458" y="1070991"/>
                                  <a:ext cx="292735" cy="314960"/>
                                </a:xfrm>
                                <a:custGeom>
                                  <a:avLst/>
                                  <a:gdLst/>
                                  <a:ahLst/>
                                  <a:cxnLst/>
                                  <a:rect l="l" t="t" r="r" b="b"/>
                                  <a:pathLst>
                                    <a:path w="292735" h="314960">
                                      <a:moveTo>
                                        <a:pt x="146303" y="0"/>
                                      </a:moveTo>
                                      <a:lnTo>
                                        <a:pt x="146303" y="78612"/>
                                      </a:lnTo>
                                      <a:lnTo>
                                        <a:pt x="0" y="78612"/>
                                      </a:lnTo>
                                      <a:lnTo>
                                        <a:pt x="0" y="235838"/>
                                      </a:lnTo>
                                      <a:lnTo>
                                        <a:pt x="146303" y="235838"/>
                                      </a:lnTo>
                                      <a:lnTo>
                                        <a:pt x="146303" y="314451"/>
                                      </a:lnTo>
                                      <a:lnTo>
                                        <a:pt x="292607" y="157225"/>
                                      </a:lnTo>
                                      <a:lnTo>
                                        <a:pt x="146303" y="0"/>
                                      </a:lnTo>
                                      <a:close/>
                                    </a:path>
                                  </a:pathLst>
                                </a:custGeom>
                                <a:solidFill>
                                  <a:srgbClr val="4F81BC"/>
                                </a:solidFill>
                              </wps:spPr>
                              <wps:bodyPr wrap="square" lIns="0" tIns="0" rIns="0" bIns="0" rtlCol="0">
                                <a:prstTxWarp prst="textNoShape">
                                  <a:avLst/>
                                </a:prstTxWarp>
                                <a:noAutofit/>
                              </wps:bodyPr>
                            </wps:wsp>
                            <wps:wsp>
                              <wps:cNvPr id="305" name="Graphic 305"/>
                              <wps:cNvSpPr/>
                              <wps:spPr>
                                <a:xfrm>
                                  <a:off x="3033458" y="1070991"/>
                                  <a:ext cx="292735" cy="314960"/>
                                </a:xfrm>
                                <a:custGeom>
                                  <a:avLst/>
                                  <a:gdLst/>
                                  <a:ahLst/>
                                  <a:cxnLst/>
                                  <a:rect l="l" t="t" r="r" b="b"/>
                                  <a:pathLst>
                                    <a:path w="292735" h="314960">
                                      <a:moveTo>
                                        <a:pt x="0" y="78612"/>
                                      </a:moveTo>
                                      <a:lnTo>
                                        <a:pt x="146303" y="78612"/>
                                      </a:lnTo>
                                      <a:lnTo>
                                        <a:pt x="146303" y="0"/>
                                      </a:lnTo>
                                      <a:lnTo>
                                        <a:pt x="292607" y="157225"/>
                                      </a:lnTo>
                                      <a:lnTo>
                                        <a:pt x="146303" y="314451"/>
                                      </a:lnTo>
                                      <a:lnTo>
                                        <a:pt x="146303" y="235838"/>
                                      </a:lnTo>
                                      <a:lnTo>
                                        <a:pt x="0" y="235838"/>
                                      </a:lnTo>
                                      <a:lnTo>
                                        <a:pt x="0" y="78612"/>
                                      </a:lnTo>
                                      <a:close/>
                                    </a:path>
                                  </a:pathLst>
                                </a:custGeom>
                                <a:ln w="25399">
                                  <a:solidFill>
                                    <a:srgbClr val="1C334E"/>
                                  </a:solidFill>
                                  <a:prstDash val="solid"/>
                                </a:ln>
                              </wps:spPr>
                              <wps:bodyPr wrap="square" lIns="0" tIns="0" rIns="0" bIns="0" rtlCol="0">
                                <a:prstTxWarp prst="textNoShape">
                                  <a:avLst/>
                                </a:prstTxWarp>
                                <a:noAutofit/>
                              </wps:bodyPr>
                            </wps:wsp>
                            <wps:wsp>
                              <wps:cNvPr id="306" name="Graphic 306"/>
                              <wps:cNvSpPr/>
                              <wps:spPr>
                                <a:xfrm>
                                  <a:off x="4703889" y="1070991"/>
                                  <a:ext cx="292735" cy="314960"/>
                                </a:xfrm>
                                <a:custGeom>
                                  <a:avLst/>
                                  <a:gdLst/>
                                  <a:ahLst/>
                                  <a:cxnLst/>
                                  <a:rect l="l" t="t" r="r" b="b"/>
                                  <a:pathLst>
                                    <a:path w="292735" h="314960">
                                      <a:moveTo>
                                        <a:pt x="146303" y="0"/>
                                      </a:moveTo>
                                      <a:lnTo>
                                        <a:pt x="146303" y="78612"/>
                                      </a:lnTo>
                                      <a:lnTo>
                                        <a:pt x="0" y="78612"/>
                                      </a:lnTo>
                                      <a:lnTo>
                                        <a:pt x="0" y="235838"/>
                                      </a:lnTo>
                                      <a:lnTo>
                                        <a:pt x="146303" y="235838"/>
                                      </a:lnTo>
                                      <a:lnTo>
                                        <a:pt x="146303" y="314451"/>
                                      </a:lnTo>
                                      <a:lnTo>
                                        <a:pt x="292481" y="157225"/>
                                      </a:lnTo>
                                      <a:lnTo>
                                        <a:pt x="146303" y="0"/>
                                      </a:lnTo>
                                      <a:close/>
                                    </a:path>
                                  </a:pathLst>
                                </a:custGeom>
                                <a:solidFill>
                                  <a:srgbClr val="4F81BC"/>
                                </a:solidFill>
                              </wps:spPr>
                              <wps:bodyPr wrap="square" lIns="0" tIns="0" rIns="0" bIns="0" rtlCol="0">
                                <a:prstTxWarp prst="textNoShape">
                                  <a:avLst/>
                                </a:prstTxWarp>
                                <a:noAutofit/>
                              </wps:bodyPr>
                            </wps:wsp>
                            <wps:wsp>
                              <wps:cNvPr id="307" name="Graphic 307"/>
                              <wps:cNvSpPr/>
                              <wps:spPr>
                                <a:xfrm>
                                  <a:off x="4703889" y="1070991"/>
                                  <a:ext cx="292735" cy="314960"/>
                                </a:xfrm>
                                <a:custGeom>
                                  <a:avLst/>
                                  <a:gdLst/>
                                  <a:ahLst/>
                                  <a:cxnLst/>
                                  <a:rect l="l" t="t" r="r" b="b"/>
                                  <a:pathLst>
                                    <a:path w="292735" h="314960">
                                      <a:moveTo>
                                        <a:pt x="0" y="78612"/>
                                      </a:moveTo>
                                      <a:lnTo>
                                        <a:pt x="146303" y="78612"/>
                                      </a:lnTo>
                                      <a:lnTo>
                                        <a:pt x="146303" y="0"/>
                                      </a:lnTo>
                                      <a:lnTo>
                                        <a:pt x="292481" y="157225"/>
                                      </a:lnTo>
                                      <a:lnTo>
                                        <a:pt x="146303" y="314451"/>
                                      </a:lnTo>
                                      <a:lnTo>
                                        <a:pt x="146303" y="235838"/>
                                      </a:lnTo>
                                      <a:lnTo>
                                        <a:pt x="0" y="235838"/>
                                      </a:lnTo>
                                      <a:lnTo>
                                        <a:pt x="0" y="78612"/>
                                      </a:lnTo>
                                      <a:close/>
                                    </a:path>
                                  </a:pathLst>
                                </a:custGeom>
                                <a:ln w="25400">
                                  <a:solidFill>
                                    <a:srgbClr val="1C334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350pt;margin-top:-11.030112pt;width:492.65pt;height:201.1pt;mso-position-horizontal-relative:column;mso-position-vertical-relative:paragraph;z-index:-26185216" id="docshapegroup154" coordorigin="87,-221" coordsize="9853,4022">
                      <v:shape style="position:absolute;left:107;top:-201;width:2067;height:3980" id="docshape155" coordorigin="107,-200" coordsize="2067,3980" path="m1829,-200l451,-200,372,-191,300,-165,236,-125,183,-71,142,-7,116,65,107,144,107,3435,116,3514,142,3587,183,3651,236,3704,300,3745,372,3771,451,3780,1829,3780,1908,3771,1980,3745,2044,3704,2097,3651,2138,3587,2164,3514,2173,3435,2173,144,2164,65,2138,-7,2097,-71,2044,-125,1980,-165,1908,-191,1829,-200xe" filled="true" fillcolor="#dce6f1" stroked="false">
                        <v:path arrowok="t"/>
                        <v:fill type="solid"/>
                      </v:shape>
                      <v:shape style="position:absolute;left:107;top:-201;width:2067;height:3980" id="docshape156" coordorigin="107,-200" coordsize="2067,3980" path="m107,144l116,65,142,-7,183,-71,236,-125,300,-165,372,-191,451,-200,1829,-200,1908,-191,1980,-165,2044,-125,2097,-71,2138,-7,2164,65,2173,144,2173,3435,2164,3514,2138,3587,2097,3651,2044,3704,1980,3745,1908,3771,1829,3780,451,3780,372,3771,300,3745,236,3704,183,3651,142,3587,116,3514,107,3435,107,144xe" filled="false" stroked="true" strokeweight="2pt" strokecolor="#dce6f1">
                        <v:path arrowok="t"/>
                        <v:stroke dashstyle="solid"/>
                      </v:shape>
                      <v:shape style="position:absolute;left:2460;top:-200;width:2530;height:3981" id="docshape157" coordorigin="2461,-200" coordsize="2530,3981" path="m4568,-200l2882,-200,2807,-193,2735,-174,2670,-142,2611,-101,2560,-50,2518,9,2487,74,2467,146,2461,221,2461,3359,2467,3435,2487,3506,2518,3572,2560,3631,2611,3682,2670,3723,2735,3754,2807,3774,2882,3781,4568,3781,4644,3774,4716,3754,4781,3723,4840,3682,4891,3631,4933,3572,4964,3506,4983,3435,4990,3359,4990,221,4983,146,4964,74,4933,9,4891,-50,4840,-101,4781,-142,4716,-174,4644,-193,4568,-200xe" filled="true" fillcolor="#dce6f1" stroked="false">
                        <v:path arrowok="t"/>
                        <v:fill type="solid"/>
                      </v:shape>
                      <v:shape style="position:absolute;left:2460;top:-200;width:2530;height:3981" id="docshape158" coordorigin="2461,-200" coordsize="2530,3981" path="m2461,221l2467,146,2487,74,2518,9,2560,-50,2611,-101,2670,-142,2735,-174,2807,-193,2882,-200,4568,-200,4644,-193,4716,-174,4781,-142,4840,-101,4891,-50,4933,9,4964,74,4983,146,4990,221,4990,3359,4983,3435,4964,3506,4933,3572,4891,3631,4840,3682,4781,3723,4716,3754,4644,3774,4568,3781,2882,3781,2807,3774,2735,3754,2670,3723,2611,3682,2560,3631,2518,3572,2487,3506,2467,3435,2461,3359,2461,221xe" filled="false" stroked="true" strokeweight="2pt" strokecolor="#dce6f1">
                        <v:path arrowok="t"/>
                        <v:stroke dashstyle="solid"/>
                      </v:shape>
                      <v:shape style="position:absolute;left:5254;top:-201;width:2366;height:3979" id="docshape159" coordorigin="5254,-201" coordsize="2366,3979" path="m7225,-201l5648,-201,5577,-194,5511,-176,5449,-147,5394,-108,5347,-60,5308,-5,5279,56,5260,123,5254,194,5254,3384,5260,3455,5279,3522,5308,3583,5347,3638,5394,3686,5449,3725,5511,3754,5577,3772,5648,3778,7225,3778,7296,3772,7363,3754,7424,3725,7479,3686,7527,3638,7566,3583,7595,3522,7613,3455,7619,3384,7619,194,7613,123,7595,56,7566,-5,7527,-60,7479,-108,7424,-147,7363,-176,7296,-194,7225,-201xe" filled="true" fillcolor="#dce6f1" stroked="false">
                        <v:path arrowok="t"/>
                        <v:fill type="solid"/>
                      </v:shape>
                      <v:shape style="position:absolute;left:5254;top:-201;width:2366;height:3979" id="docshape160" coordorigin="5254,-201" coordsize="2366,3979" path="m5254,194l5260,123,5279,56,5308,-5,5347,-60,5394,-108,5449,-147,5511,-176,5577,-194,5648,-201,7225,-201,7296,-194,7363,-176,7424,-147,7479,-108,7527,-60,7566,-5,7595,56,7613,123,7619,194,7619,3384,7613,3455,7595,3522,7566,3583,7527,3638,7479,3686,7424,3725,7363,3754,7296,3772,7225,3778,5648,3778,5577,3772,5511,3754,5449,3725,5394,3686,5347,3638,5308,3583,5279,3522,5260,3455,5254,3384,5254,194xe" filled="false" stroked="true" strokeweight="2pt" strokecolor="#dce6f1">
                        <v:path arrowok="t"/>
                        <v:stroke dashstyle="solid"/>
                      </v:shape>
                      <v:shape style="position:absolute;left:7857;top:-201;width:2062;height:3980" id="docshape161" coordorigin="7857,-200" coordsize="2062,3980" path="m9575,-200l8201,-200,8122,-191,8050,-165,7986,-125,7933,-72,7892,-8,7866,65,7857,143,7857,3435,7866,3514,7892,3586,7933,3650,7986,3703,8050,3744,8122,3770,8201,3779,9575,3779,9654,3770,9726,3744,9790,3703,9844,3650,9884,3586,9910,3514,9919,3435,9919,143,9910,65,9884,-8,9844,-72,9790,-125,9726,-165,9654,-191,9575,-200xe" filled="true" fillcolor="#dce6f1" stroked="false">
                        <v:path arrowok="t"/>
                        <v:fill type="solid"/>
                      </v:shape>
                      <v:shape style="position:absolute;left:7857;top:-201;width:2062;height:3980" id="docshape162" coordorigin="7857,-200" coordsize="2062,3980" path="m7857,143l7866,65,7892,-8,7933,-72,7986,-125,8050,-165,8122,-191,8201,-200,9575,-200,9654,-191,9726,-165,9790,-125,9844,-72,9884,-8,9910,65,9919,143,9919,3435,9910,3514,9884,3586,9844,3650,9790,3703,9726,3744,9654,3770,9575,3779,8201,3779,8122,3770,8050,3744,7986,3703,7933,3650,7892,3586,7866,3514,7857,3435,7857,143xe" filled="false" stroked="true" strokeweight="2pt" strokecolor="#dce6f1">
                        <v:path arrowok="t"/>
                        <v:stroke dashstyle="solid"/>
                      </v:shape>
                      <v:shape style="position:absolute;left:2099;top:1466;width:461;height:496" id="docshape163" coordorigin="2100,1466" coordsize="461,496" path="m2330,1466l2330,1590,2100,1590,2100,1837,2330,1837,2330,1961,2561,1714,2330,1466xe" filled="true" fillcolor="#4f81bc" stroked="false">
                        <v:path arrowok="t"/>
                        <v:fill type="solid"/>
                      </v:shape>
                      <v:shape style="position:absolute;left:2099;top:1466;width:461;height:496" id="docshape164" coordorigin="2100,1466" coordsize="461,496" path="m2100,1590l2330,1590,2330,1466,2561,1714,2330,1961,2330,1837,2100,1837,2100,1590xe" filled="false" stroked="true" strokeweight="2pt" strokecolor="#1c334e">
                        <v:path arrowok="t"/>
                        <v:stroke dashstyle="solid"/>
                      </v:shape>
                      <v:shape style="position:absolute;left:4864;top:1466;width:461;height:496" id="docshape165" coordorigin="4864,1466" coordsize="461,496" path="m5094,1466l5094,1590,4864,1590,4864,1837,5094,1837,5094,1961,5325,1714,5094,1466xe" filled="true" fillcolor="#4f81bc" stroked="false">
                        <v:path arrowok="t"/>
                        <v:fill type="solid"/>
                      </v:shape>
                      <v:shape style="position:absolute;left:4864;top:1466;width:461;height:496" id="docshape166" coordorigin="4864,1466" coordsize="461,496" path="m4864,1590l5094,1590,5094,1466,5325,1714,5094,1961,5094,1837,4864,1837,4864,1590xe" filled="false" stroked="true" strokeweight="2.0pt" strokecolor="#1c334e">
                        <v:path arrowok="t"/>
                        <v:stroke dashstyle="solid"/>
                      </v:shape>
                      <v:shape style="position:absolute;left:7494;top:1466;width:461;height:496" id="docshape167" coordorigin="7495,1466" coordsize="461,496" path="m7725,1466l7725,1590,7495,1590,7495,1837,7725,1837,7725,1961,7955,1714,7725,1466xe" filled="true" fillcolor="#4f81bc" stroked="false">
                        <v:path arrowok="t"/>
                        <v:fill type="solid"/>
                      </v:shape>
                      <v:shape style="position:absolute;left:7494;top:1466;width:461;height:496" id="docshape168" coordorigin="7495,1466" coordsize="461,496" path="m7495,1590l7725,1590,7725,1466,7955,1714,7725,1961,7725,1837,7495,1837,7495,1590xe" filled="false" stroked="true" strokeweight="2pt" strokecolor="#1c334e">
                        <v:path arrowok="t"/>
                        <v:stroke dashstyle="solid"/>
                      </v:shape>
                      <w10:wrap type="none"/>
                    </v:group>
                  </w:pict>
                </mc:Fallback>
              </mc:AlternateContent>
            </w:r>
            <w:r>
              <w:rPr>
                <w:b/>
                <w:color w:val="001F5F"/>
                <w:spacing w:val="-4"/>
                <w:position w:val="2"/>
                <w:sz w:val="20"/>
              </w:rPr>
              <w:t>October</w:t>
            </w:r>
            <w:r>
              <w:rPr>
                <w:b/>
                <w:color w:val="001F5F"/>
                <w:spacing w:val="-2"/>
                <w:position w:val="2"/>
                <w:sz w:val="20"/>
              </w:rPr>
              <w:t> </w:t>
            </w:r>
            <w:r>
              <w:rPr>
                <w:b/>
                <w:color w:val="001F5F"/>
                <w:spacing w:val="-4"/>
                <w:position w:val="2"/>
                <w:sz w:val="20"/>
              </w:rPr>
              <w:t>2026 </w:t>
            </w:r>
            <w:r>
              <w:rPr>
                <w:b/>
                <w:color w:val="001F5F"/>
                <w:spacing w:val="-5"/>
                <w:position w:val="2"/>
                <w:sz w:val="20"/>
              </w:rPr>
              <w:t>RJC</w:t>
            </w:r>
            <w:r>
              <w:rPr>
                <w:b/>
                <w:color w:val="001F5F"/>
                <w:position w:val="2"/>
                <w:sz w:val="20"/>
              </w:rPr>
              <w:tab/>
            </w:r>
            <w:r>
              <w:rPr>
                <w:b/>
                <w:color w:val="001F5F"/>
                <w:spacing w:val="-4"/>
                <w:sz w:val="20"/>
              </w:rPr>
              <w:t>November</w:t>
            </w:r>
            <w:r>
              <w:rPr>
                <w:b/>
                <w:color w:val="001F5F"/>
                <w:sz w:val="20"/>
              </w:rPr>
              <w:t> </w:t>
            </w:r>
            <w:r>
              <w:rPr>
                <w:b/>
                <w:color w:val="001F5F"/>
                <w:spacing w:val="-4"/>
                <w:sz w:val="20"/>
              </w:rPr>
              <w:t>2026 RDDG</w:t>
            </w:r>
            <w:r>
              <w:rPr>
                <w:b/>
                <w:color w:val="001F5F"/>
                <w:sz w:val="20"/>
              </w:rPr>
              <w:tab/>
            </w:r>
            <w:r>
              <w:rPr>
                <w:b/>
                <w:color w:val="001F5F"/>
                <w:spacing w:val="-2"/>
                <w:position w:val="1"/>
                <w:sz w:val="20"/>
              </w:rPr>
              <w:t>Quarter</w:t>
            </w:r>
            <w:r>
              <w:rPr>
                <w:b/>
                <w:color w:val="001F5F"/>
                <w:spacing w:val="-13"/>
                <w:position w:val="1"/>
                <w:sz w:val="20"/>
              </w:rPr>
              <w:t> </w:t>
            </w:r>
            <w:r>
              <w:rPr>
                <w:b/>
                <w:color w:val="001F5F"/>
                <w:spacing w:val="-2"/>
                <w:position w:val="1"/>
                <w:sz w:val="20"/>
              </w:rPr>
              <w:t>4</w:t>
            </w:r>
            <w:r>
              <w:rPr>
                <w:b/>
                <w:color w:val="001F5F"/>
                <w:spacing w:val="-8"/>
                <w:position w:val="1"/>
                <w:sz w:val="20"/>
              </w:rPr>
              <w:t> </w:t>
            </w:r>
            <w:r>
              <w:rPr>
                <w:b/>
                <w:color w:val="001F5F"/>
                <w:spacing w:val="-2"/>
                <w:position w:val="1"/>
                <w:sz w:val="20"/>
              </w:rPr>
              <w:t>2026/27</w:t>
            </w:r>
            <w:r>
              <w:rPr>
                <w:b/>
                <w:color w:val="001F5F"/>
                <w:position w:val="1"/>
                <w:sz w:val="20"/>
              </w:rPr>
              <w:tab/>
            </w:r>
            <w:r>
              <w:rPr>
                <w:b/>
                <w:color w:val="001F5F"/>
                <w:spacing w:val="-2"/>
                <w:position w:val="2"/>
                <w:sz w:val="20"/>
              </w:rPr>
              <w:t>April</w:t>
            </w:r>
            <w:r>
              <w:rPr>
                <w:b/>
                <w:color w:val="001F5F"/>
                <w:spacing w:val="-11"/>
                <w:position w:val="2"/>
                <w:sz w:val="20"/>
              </w:rPr>
              <w:t> </w:t>
            </w:r>
            <w:r>
              <w:rPr>
                <w:b/>
                <w:color w:val="001F5F"/>
                <w:spacing w:val="-2"/>
                <w:position w:val="2"/>
                <w:sz w:val="20"/>
              </w:rPr>
              <w:t>2027</w:t>
            </w:r>
            <w:r>
              <w:rPr>
                <w:b/>
                <w:color w:val="001F5F"/>
                <w:spacing w:val="-9"/>
                <w:position w:val="2"/>
                <w:sz w:val="20"/>
              </w:rPr>
              <w:t> </w:t>
            </w:r>
            <w:r>
              <w:rPr>
                <w:b/>
                <w:color w:val="001F5F"/>
                <w:spacing w:val="-5"/>
                <w:position w:val="2"/>
                <w:sz w:val="20"/>
              </w:rPr>
              <w:t>RJC</w:t>
            </w:r>
          </w:p>
          <w:p>
            <w:pPr>
              <w:pStyle w:val="TableParagraph"/>
              <w:tabs>
                <w:tab w:pos="2586" w:val="left" w:leader="none"/>
                <w:tab w:pos="5447" w:val="left" w:leader="none"/>
                <w:tab w:pos="7763" w:val="left" w:leader="none"/>
              </w:tabs>
              <w:spacing w:line="245" w:lineRule="exact" w:before="205"/>
              <w:ind w:right="317"/>
              <w:jc w:val="right"/>
              <w:rPr>
                <w:sz w:val="20"/>
              </w:rPr>
            </w:pPr>
            <w:r>
              <w:rPr>
                <w:spacing w:val="-4"/>
                <w:sz w:val="20"/>
              </w:rPr>
              <w:t>Endorse</w:t>
            </w:r>
            <w:r>
              <w:rPr>
                <w:spacing w:val="-5"/>
                <w:sz w:val="20"/>
              </w:rPr>
              <w:t> </w:t>
            </w:r>
            <w:r>
              <w:rPr>
                <w:spacing w:val="-4"/>
                <w:sz w:val="20"/>
              </w:rPr>
              <w:t>and</w:t>
            </w:r>
            <w:r>
              <w:rPr>
                <w:spacing w:val="-3"/>
                <w:sz w:val="20"/>
              </w:rPr>
              <w:t> </w:t>
            </w:r>
            <w:r>
              <w:rPr>
                <w:spacing w:val="-4"/>
                <w:sz w:val="20"/>
              </w:rPr>
              <w:t>initiate</w:t>
            </w:r>
            <w:r>
              <w:rPr>
                <w:sz w:val="20"/>
              </w:rPr>
              <w:tab/>
            </w:r>
            <w:r>
              <w:rPr>
                <w:spacing w:val="-4"/>
                <w:position w:val="-2"/>
                <w:sz w:val="20"/>
              </w:rPr>
              <w:t>Develop</w:t>
            </w:r>
            <w:r>
              <w:rPr>
                <w:spacing w:val="-3"/>
                <w:position w:val="-2"/>
                <w:sz w:val="20"/>
              </w:rPr>
              <w:t> </w:t>
            </w:r>
            <w:r>
              <w:rPr>
                <w:spacing w:val="-4"/>
                <w:position w:val="-2"/>
                <w:sz w:val="20"/>
              </w:rPr>
              <w:t>and</w:t>
            </w:r>
            <w:r>
              <w:rPr>
                <w:spacing w:val="-2"/>
                <w:position w:val="-2"/>
                <w:sz w:val="20"/>
              </w:rPr>
              <w:t> </w:t>
            </w:r>
            <w:r>
              <w:rPr>
                <w:spacing w:val="-4"/>
                <w:position w:val="-2"/>
                <w:sz w:val="20"/>
              </w:rPr>
              <w:t>review</w:t>
            </w:r>
            <w:r>
              <w:rPr>
                <w:position w:val="-2"/>
                <w:sz w:val="20"/>
              </w:rPr>
              <w:tab/>
            </w:r>
            <w:r>
              <w:rPr>
                <w:spacing w:val="-2"/>
                <w:position w:val="-1"/>
                <w:sz w:val="20"/>
              </w:rPr>
              <w:t>Engage</w:t>
            </w:r>
            <w:r>
              <w:rPr>
                <w:spacing w:val="-13"/>
                <w:position w:val="-1"/>
                <w:sz w:val="20"/>
              </w:rPr>
              <w:t> </w:t>
            </w:r>
            <w:r>
              <w:rPr>
                <w:spacing w:val="-2"/>
                <w:position w:val="-1"/>
                <w:sz w:val="20"/>
              </w:rPr>
              <w:t>and</w:t>
            </w:r>
            <w:r>
              <w:rPr>
                <w:spacing w:val="-11"/>
                <w:position w:val="-1"/>
                <w:sz w:val="20"/>
              </w:rPr>
              <w:t> </w:t>
            </w:r>
            <w:r>
              <w:rPr>
                <w:spacing w:val="-4"/>
                <w:position w:val="-1"/>
                <w:sz w:val="20"/>
              </w:rPr>
              <w:t>test</w:t>
            </w:r>
            <w:r>
              <w:rPr>
                <w:position w:val="-1"/>
                <w:sz w:val="20"/>
              </w:rPr>
              <w:tab/>
            </w:r>
            <w:r>
              <w:rPr>
                <w:spacing w:val="-2"/>
                <w:sz w:val="20"/>
              </w:rPr>
              <w:t>Return</w:t>
            </w:r>
            <w:r>
              <w:rPr>
                <w:spacing w:val="-9"/>
                <w:sz w:val="20"/>
              </w:rPr>
              <w:t> </w:t>
            </w:r>
            <w:r>
              <w:rPr>
                <w:spacing w:val="-2"/>
                <w:sz w:val="20"/>
              </w:rPr>
              <w:t>a</w:t>
            </w:r>
            <w:r>
              <w:rPr>
                <w:spacing w:val="-10"/>
                <w:sz w:val="20"/>
              </w:rPr>
              <w:t> </w:t>
            </w:r>
            <w:r>
              <w:rPr>
                <w:spacing w:val="-2"/>
                <w:sz w:val="20"/>
              </w:rPr>
              <w:t>developed</w:t>
            </w:r>
          </w:p>
          <w:p>
            <w:pPr>
              <w:pStyle w:val="TableParagraph"/>
              <w:spacing w:line="215" w:lineRule="exact"/>
              <w:ind w:right="321"/>
              <w:jc w:val="right"/>
              <w:rPr>
                <w:sz w:val="20"/>
              </w:rPr>
            </w:pPr>
            <w:r>
              <w:rPr>
                <w:spacing w:val="-4"/>
                <w:sz w:val="20"/>
              </w:rPr>
              <w:t>regional</w:t>
            </w:r>
            <w:r>
              <w:rPr>
                <w:spacing w:val="-2"/>
                <w:sz w:val="20"/>
              </w:rPr>
              <w:t> proposition</w:t>
            </w:r>
          </w:p>
          <w:p>
            <w:pPr>
              <w:pStyle w:val="TableParagraph"/>
              <w:numPr>
                <w:ilvl w:val="0"/>
                <w:numId w:val="17"/>
              </w:numPr>
              <w:tabs>
                <w:tab w:pos="644" w:val="left" w:leader="none"/>
                <w:tab w:pos="2661" w:val="left" w:leader="none"/>
                <w:tab w:pos="3021" w:val="left" w:leader="none"/>
                <w:tab w:pos="5447" w:val="left" w:leader="none"/>
                <w:tab w:pos="5807" w:val="left" w:leader="none"/>
              </w:tabs>
              <w:spacing w:line="217" w:lineRule="exact" w:before="2" w:after="0"/>
              <w:ind w:left="644" w:right="0" w:hanging="359"/>
              <w:jc w:val="left"/>
              <w:rPr>
                <w:rFonts w:ascii="Symbol" w:hAnsi="Symbol"/>
                <w:position w:val="2"/>
                <w:sz w:val="17"/>
              </w:rPr>
            </w:pPr>
            <w:r>
              <w:rPr>
                <w:spacing w:val="-5"/>
                <w:position w:val="2"/>
                <w:sz w:val="17"/>
              </w:rPr>
              <w:t>Endorse</w:t>
            </w:r>
            <w:r>
              <w:rPr>
                <w:spacing w:val="2"/>
                <w:position w:val="2"/>
                <w:sz w:val="17"/>
              </w:rPr>
              <w:t> </w:t>
            </w:r>
            <w:r>
              <w:rPr>
                <w:spacing w:val="-2"/>
                <w:position w:val="2"/>
                <w:sz w:val="17"/>
              </w:rPr>
              <w:t>inclusion</w:t>
            </w:r>
            <w:r>
              <w:rPr>
                <w:position w:val="2"/>
                <w:sz w:val="17"/>
              </w:rPr>
              <w:tab/>
            </w:r>
            <w:r>
              <w:rPr>
                <w:rFonts w:ascii="Symbol" w:hAnsi="Symbol"/>
                <w:spacing w:val="-10"/>
                <w:sz w:val="17"/>
              </w:rPr>
              <w:t></w:t>
            </w:r>
            <w:r>
              <w:rPr>
                <w:rFonts w:ascii="Times New Roman" w:hAnsi="Times New Roman"/>
                <w:sz w:val="17"/>
              </w:rPr>
              <w:tab/>
            </w:r>
            <w:r>
              <w:rPr>
                <w:spacing w:val="-4"/>
                <w:sz w:val="17"/>
              </w:rPr>
              <w:t>Develop</w:t>
            </w:r>
            <w:r>
              <w:rPr>
                <w:spacing w:val="-2"/>
                <w:sz w:val="17"/>
              </w:rPr>
              <w:t> </w:t>
            </w:r>
            <w:r>
              <w:rPr>
                <w:spacing w:val="-4"/>
                <w:sz w:val="17"/>
              </w:rPr>
              <w:t>the</w:t>
            </w:r>
            <w:r>
              <w:rPr>
                <w:spacing w:val="-2"/>
                <w:sz w:val="17"/>
              </w:rPr>
              <w:t> </w:t>
            </w:r>
            <w:r>
              <w:rPr>
                <w:spacing w:val="-4"/>
                <w:sz w:val="17"/>
              </w:rPr>
              <w:t>workshop</w:t>
            </w:r>
            <w:r>
              <w:rPr>
                <w:sz w:val="17"/>
              </w:rPr>
              <w:tab/>
            </w:r>
            <w:r>
              <w:rPr>
                <w:rFonts w:ascii="Symbol" w:hAnsi="Symbol"/>
                <w:spacing w:val="-10"/>
                <w:position w:val="1"/>
                <w:sz w:val="17"/>
              </w:rPr>
              <w:t></w:t>
            </w:r>
            <w:r>
              <w:rPr>
                <w:rFonts w:ascii="Times New Roman" w:hAnsi="Times New Roman"/>
                <w:position w:val="1"/>
                <w:sz w:val="17"/>
              </w:rPr>
              <w:tab/>
            </w:r>
            <w:r>
              <w:rPr>
                <w:spacing w:val="-4"/>
                <w:position w:val="1"/>
                <w:sz w:val="17"/>
              </w:rPr>
              <w:t>Undertake</w:t>
            </w:r>
            <w:r>
              <w:rPr>
                <w:spacing w:val="-1"/>
                <w:position w:val="1"/>
                <w:sz w:val="17"/>
              </w:rPr>
              <w:t> </w:t>
            </w:r>
            <w:r>
              <w:rPr>
                <w:spacing w:val="-2"/>
                <w:position w:val="1"/>
                <w:sz w:val="17"/>
              </w:rPr>
              <w:t>focused</w:t>
            </w:r>
          </w:p>
          <w:p>
            <w:pPr>
              <w:pStyle w:val="TableParagraph"/>
              <w:tabs>
                <w:tab w:pos="2661" w:val="left" w:leader="none"/>
                <w:tab w:pos="3021" w:val="left" w:leader="none"/>
                <w:tab w:pos="5807" w:val="left" w:leader="none"/>
                <w:tab w:pos="8038" w:val="left" w:leader="none"/>
                <w:tab w:pos="8398" w:val="left" w:leader="none"/>
              </w:tabs>
              <w:spacing w:line="211" w:lineRule="auto" w:before="9"/>
              <w:ind w:left="645" w:right="636"/>
              <w:rPr>
                <w:sz w:val="17"/>
              </w:rPr>
            </w:pPr>
            <w:r>
              <w:rPr>
                <w:position w:val="3"/>
                <w:sz w:val="17"/>
              </w:rPr>
              <w:t>in the RJC work</w:t>
              <w:tab/>
              <w:tab/>
            </w:r>
            <w:r>
              <w:rPr>
                <w:spacing w:val="-2"/>
                <w:position w:val="1"/>
                <w:sz w:val="17"/>
              </w:rPr>
              <w:t>proposal</w:t>
            </w:r>
            <w:r>
              <w:rPr>
                <w:position w:val="1"/>
                <w:sz w:val="17"/>
              </w:rPr>
              <w:tab/>
              <w:t>workshops</w:t>
            </w:r>
            <w:r>
              <w:rPr>
                <w:spacing w:val="-9"/>
                <w:position w:val="1"/>
                <w:sz w:val="17"/>
              </w:rPr>
              <w:t> </w:t>
            </w:r>
            <w:r>
              <w:rPr>
                <w:position w:val="1"/>
                <w:sz w:val="17"/>
              </w:rPr>
              <w:t>and</w:t>
              <w:tab/>
            </w:r>
            <w:r>
              <w:rPr>
                <w:rFonts w:ascii="Symbol" w:hAnsi="Symbol"/>
                <w:spacing w:val="-10"/>
                <w:sz w:val="17"/>
              </w:rPr>
              <w:t></w:t>
            </w:r>
            <w:r>
              <w:rPr>
                <w:rFonts w:ascii="Times New Roman" w:hAnsi="Times New Roman"/>
                <w:sz w:val="17"/>
              </w:rPr>
              <w:tab/>
            </w:r>
            <w:r>
              <w:rPr>
                <w:spacing w:val="-2"/>
                <w:sz w:val="17"/>
              </w:rPr>
              <w:t>Prioritised </w:t>
            </w:r>
            <w:r>
              <w:rPr>
                <w:spacing w:val="-2"/>
                <w:position w:val="3"/>
                <w:sz w:val="17"/>
              </w:rPr>
              <w:t>programme</w:t>
            </w:r>
            <w:r>
              <w:rPr>
                <w:position w:val="3"/>
                <w:sz w:val="17"/>
              </w:rPr>
              <w:tab/>
            </w:r>
            <w:r>
              <w:rPr>
                <w:rFonts w:ascii="Symbol" w:hAnsi="Symbol"/>
                <w:spacing w:val="-10"/>
                <w:sz w:val="17"/>
              </w:rPr>
              <w:t></w:t>
            </w:r>
            <w:r>
              <w:rPr>
                <w:rFonts w:ascii="Times New Roman" w:hAnsi="Times New Roman"/>
                <w:sz w:val="17"/>
              </w:rPr>
              <w:tab/>
            </w:r>
            <w:r>
              <w:rPr>
                <w:sz w:val="17"/>
              </w:rPr>
              <w:t>Confirm</w:t>
            </w:r>
            <w:r>
              <w:rPr>
                <w:spacing w:val="-11"/>
                <w:sz w:val="17"/>
              </w:rPr>
              <w:t> </w:t>
            </w:r>
            <w:r>
              <w:rPr>
                <w:sz w:val="17"/>
              </w:rPr>
              <w:t>scope,</w:t>
              <w:tab/>
            </w:r>
            <w:r>
              <w:rPr>
                <w:spacing w:val="-2"/>
                <w:position w:val="2"/>
                <w:sz w:val="17"/>
              </w:rPr>
              <w:t>engagement</w:t>
            </w:r>
            <w:r>
              <w:rPr>
                <w:position w:val="2"/>
                <w:sz w:val="17"/>
              </w:rPr>
              <w:tab/>
              <w:tab/>
            </w:r>
            <w:r>
              <w:rPr>
                <w:spacing w:val="-4"/>
                <w:sz w:val="17"/>
              </w:rPr>
              <w:t>programme</w:t>
            </w:r>
            <w:r>
              <w:rPr>
                <w:spacing w:val="-8"/>
                <w:sz w:val="17"/>
              </w:rPr>
              <w:t> </w:t>
            </w:r>
            <w:r>
              <w:rPr>
                <w:spacing w:val="-4"/>
                <w:sz w:val="17"/>
              </w:rPr>
              <w:t>of</w:t>
            </w:r>
          </w:p>
          <w:p>
            <w:pPr>
              <w:pStyle w:val="TableParagraph"/>
              <w:numPr>
                <w:ilvl w:val="0"/>
                <w:numId w:val="17"/>
              </w:numPr>
              <w:tabs>
                <w:tab w:pos="645" w:val="left" w:leader="none"/>
                <w:tab w:pos="3021" w:val="left" w:leader="none"/>
                <w:tab w:pos="5447" w:val="left" w:leader="none"/>
                <w:tab w:pos="5807" w:val="left" w:leader="none"/>
                <w:tab w:pos="8038" w:val="left" w:leader="none"/>
                <w:tab w:pos="8398" w:val="left" w:leader="none"/>
              </w:tabs>
              <w:spacing w:line="186" w:lineRule="exact" w:before="12" w:after="0"/>
              <w:ind w:left="645" w:right="954" w:hanging="360"/>
              <w:jc w:val="left"/>
              <w:rPr>
                <w:rFonts w:ascii="Symbol" w:hAnsi="Symbol"/>
                <w:position w:val="2"/>
                <w:sz w:val="17"/>
              </w:rPr>
            </w:pPr>
            <w:r>
              <w:rPr>
                <w:position w:val="2"/>
                <w:sz w:val="17"/>
              </w:rPr>
              <w:t>Support</w:t>
            </w:r>
            <w:r>
              <w:rPr>
                <w:spacing w:val="-3"/>
                <w:position w:val="2"/>
                <w:sz w:val="17"/>
              </w:rPr>
              <w:t> </w:t>
            </w:r>
            <w:r>
              <w:rPr>
                <w:position w:val="2"/>
                <w:sz w:val="17"/>
              </w:rPr>
              <w:t>the</w:t>
              <w:tab/>
            </w:r>
            <w:r>
              <w:rPr>
                <w:sz w:val="17"/>
              </w:rPr>
              <w:t>participants</w:t>
            </w:r>
            <w:r>
              <w:rPr>
                <w:spacing w:val="-9"/>
                <w:sz w:val="17"/>
              </w:rPr>
              <w:t> </w:t>
            </w:r>
            <w:r>
              <w:rPr>
                <w:sz w:val="17"/>
              </w:rPr>
              <w:t>and</w:t>
              <w:tab/>
            </w:r>
            <w:r>
              <w:rPr>
                <w:rFonts w:ascii="Symbol" w:hAnsi="Symbol"/>
                <w:spacing w:val="-10"/>
                <w:position w:val="1"/>
                <w:sz w:val="17"/>
              </w:rPr>
              <w:t></w:t>
            </w:r>
            <w:r>
              <w:rPr>
                <w:rFonts w:ascii="Times New Roman" w:hAnsi="Times New Roman"/>
                <w:position w:val="1"/>
                <w:sz w:val="17"/>
              </w:rPr>
              <w:tab/>
            </w:r>
            <w:r>
              <w:rPr>
                <w:position w:val="1"/>
                <w:sz w:val="17"/>
              </w:rPr>
              <w:t>Test priorities and</w:t>
              <w:tab/>
              <w:tab/>
            </w:r>
            <w:r>
              <w:rPr>
                <w:spacing w:val="-4"/>
                <w:sz w:val="17"/>
              </w:rPr>
              <w:t>work </w:t>
            </w:r>
            <w:r>
              <w:rPr>
                <w:position w:val="1"/>
                <w:sz w:val="17"/>
              </w:rPr>
              <w:t>proposed</w:t>
            </w:r>
            <w:r>
              <w:rPr>
                <w:spacing w:val="-7"/>
                <w:position w:val="1"/>
                <w:sz w:val="17"/>
              </w:rPr>
              <w:t> </w:t>
            </w:r>
            <w:r>
              <w:rPr>
                <w:position w:val="1"/>
                <w:sz w:val="17"/>
              </w:rPr>
              <w:t>direction</w:t>
              <w:tab/>
            </w:r>
            <w:r>
              <w:rPr>
                <w:position w:val="0"/>
                <w:sz w:val="17"/>
              </w:rPr>
              <w:t>intended</w:t>
            </w:r>
            <w:r>
              <w:rPr>
                <w:spacing w:val="-7"/>
                <w:position w:val="0"/>
                <w:sz w:val="17"/>
              </w:rPr>
              <w:t> </w:t>
            </w:r>
            <w:r>
              <w:rPr>
                <w:position w:val="0"/>
                <w:sz w:val="17"/>
              </w:rPr>
              <w:t>outputs</w:t>
              <w:tab/>
              <w:tab/>
            </w:r>
            <w:r>
              <w:rPr>
                <w:spacing w:val="-2"/>
                <w:sz w:val="17"/>
              </w:rPr>
              <w:t>deliverability</w:t>
            </w:r>
            <w:r>
              <w:rPr>
                <w:sz w:val="17"/>
              </w:rPr>
              <w:tab/>
            </w:r>
            <w:r>
              <w:rPr>
                <w:rFonts w:ascii="Symbol" w:hAnsi="Symbol"/>
                <w:spacing w:val="-10"/>
                <w:position w:val="-1"/>
                <w:sz w:val="17"/>
              </w:rPr>
              <w:t></w:t>
            </w:r>
            <w:r>
              <w:rPr>
                <w:rFonts w:ascii="Times New Roman" w:hAnsi="Times New Roman"/>
                <w:position w:val="-1"/>
                <w:sz w:val="17"/>
              </w:rPr>
              <w:tab/>
            </w:r>
            <w:r>
              <w:rPr>
                <w:spacing w:val="-4"/>
                <w:position w:val="-1"/>
                <w:sz w:val="17"/>
              </w:rPr>
              <w:t>Resource</w:t>
            </w:r>
          </w:p>
          <w:p>
            <w:pPr>
              <w:pStyle w:val="TableParagraph"/>
              <w:tabs>
                <w:tab w:pos="2661" w:val="left" w:leader="none"/>
                <w:tab w:pos="3021" w:val="left" w:leader="none"/>
                <w:tab w:pos="5447" w:val="left" w:leader="none"/>
                <w:tab w:pos="5807" w:val="left" w:leader="none"/>
                <w:tab w:pos="8398" w:val="left" w:leader="none"/>
              </w:tabs>
              <w:spacing w:line="198" w:lineRule="exact"/>
              <w:ind w:left="645"/>
              <w:rPr>
                <w:sz w:val="17"/>
              </w:rPr>
            </w:pPr>
            <w:r>
              <w:rPr>
                <w:position w:val="3"/>
                <w:sz w:val="17"/>
              </w:rPr>
              <w:t>of</w:t>
            </w:r>
            <w:r>
              <w:rPr>
                <w:spacing w:val="-10"/>
                <w:position w:val="3"/>
                <w:sz w:val="17"/>
              </w:rPr>
              <w:t> </w:t>
            </w:r>
            <w:r>
              <w:rPr>
                <w:spacing w:val="-2"/>
                <w:position w:val="3"/>
                <w:sz w:val="17"/>
              </w:rPr>
              <w:t>travel</w:t>
            </w:r>
            <w:r>
              <w:rPr>
                <w:position w:val="3"/>
                <w:sz w:val="17"/>
              </w:rPr>
              <w:tab/>
            </w:r>
            <w:r>
              <w:rPr>
                <w:rFonts w:ascii="Symbol" w:hAnsi="Symbol"/>
                <w:spacing w:val="-10"/>
                <w:sz w:val="17"/>
              </w:rPr>
              <w:t></w:t>
            </w:r>
            <w:r>
              <w:rPr>
                <w:rFonts w:ascii="Times New Roman" w:hAnsi="Times New Roman"/>
                <w:sz w:val="17"/>
              </w:rPr>
              <w:tab/>
            </w:r>
            <w:r>
              <w:rPr>
                <w:spacing w:val="-4"/>
                <w:sz w:val="17"/>
              </w:rPr>
              <w:t>Review</w:t>
            </w:r>
            <w:r>
              <w:rPr>
                <w:spacing w:val="-2"/>
                <w:sz w:val="17"/>
              </w:rPr>
              <w:t> governance,</w:t>
            </w:r>
            <w:r>
              <w:rPr>
                <w:sz w:val="17"/>
              </w:rPr>
              <w:tab/>
            </w:r>
            <w:r>
              <w:rPr>
                <w:rFonts w:ascii="Symbol" w:hAnsi="Symbol"/>
                <w:spacing w:val="-10"/>
                <w:position w:val="1"/>
                <w:sz w:val="17"/>
              </w:rPr>
              <w:t></w:t>
            </w:r>
            <w:r>
              <w:rPr>
                <w:rFonts w:ascii="Times New Roman" w:hAnsi="Times New Roman"/>
                <w:position w:val="1"/>
                <w:sz w:val="17"/>
              </w:rPr>
              <w:tab/>
            </w:r>
            <w:r>
              <w:rPr>
                <w:spacing w:val="-5"/>
                <w:position w:val="1"/>
                <w:sz w:val="17"/>
              </w:rPr>
              <w:t>Identify</w:t>
            </w:r>
            <w:r>
              <w:rPr>
                <w:spacing w:val="2"/>
                <w:position w:val="1"/>
                <w:sz w:val="17"/>
              </w:rPr>
              <w:t> </w:t>
            </w:r>
            <w:r>
              <w:rPr>
                <w:spacing w:val="-2"/>
                <w:position w:val="1"/>
                <w:sz w:val="17"/>
              </w:rPr>
              <w:t>dependencies</w:t>
            </w:r>
            <w:r>
              <w:rPr>
                <w:position w:val="1"/>
                <w:sz w:val="17"/>
              </w:rPr>
              <w:tab/>
            </w:r>
            <w:r>
              <w:rPr>
                <w:spacing w:val="-5"/>
                <w:sz w:val="17"/>
              </w:rPr>
              <w:t>requirements</w:t>
            </w:r>
            <w:r>
              <w:rPr>
                <w:spacing w:val="8"/>
                <w:sz w:val="17"/>
              </w:rPr>
              <w:t> </w:t>
            </w:r>
            <w:r>
              <w:rPr>
                <w:spacing w:val="-5"/>
                <w:sz w:val="17"/>
              </w:rPr>
              <w:t>and</w:t>
            </w:r>
          </w:p>
          <w:p>
            <w:pPr>
              <w:pStyle w:val="TableParagraph"/>
              <w:numPr>
                <w:ilvl w:val="0"/>
                <w:numId w:val="17"/>
              </w:numPr>
              <w:tabs>
                <w:tab w:pos="644" w:val="left" w:leader="none"/>
                <w:tab w:pos="3021" w:val="left" w:leader="none"/>
                <w:tab w:pos="5807" w:val="left" w:leader="none"/>
                <w:tab w:pos="8398" w:val="left" w:leader="none"/>
              </w:tabs>
              <w:spacing w:line="203" w:lineRule="exact" w:before="0" w:after="0"/>
              <w:ind w:left="644" w:right="0" w:hanging="359"/>
              <w:jc w:val="left"/>
              <w:rPr>
                <w:rFonts w:ascii="Symbol" w:hAnsi="Symbol"/>
                <w:position w:val="2"/>
                <w:sz w:val="17"/>
              </w:rPr>
            </w:pPr>
            <w:r>
              <w:rPr>
                <w:spacing w:val="-4"/>
                <w:position w:val="2"/>
                <w:sz w:val="17"/>
              </w:rPr>
              <w:t>Confirm</w:t>
            </w:r>
            <w:r>
              <w:rPr>
                <w:spacing w:val="-3"/>
                <w:position w:val="2"/>
                <w:sz w:val="17"/>
              </w:rPr>
              <w:t> </w:t>
            </w:r>
            <w:r>
              <w:rPr>
                <w:spacing w:val="-4"/>
                <w:position w:val="2"/>
                <w:sz w:val="17"/>
              </w:rPr>
              <w:t>the next</w:t>
            </w:r>
            <w:r>
              <w:rPr>
                <w:position w:val="2"/>
                <w:sz w:val="17"/>
              </w:rPr>
              <w:tab/>
            </w:r>
            <w:r>
              <w:rPr>
                <w:spacing w:val="-4"/>
                <w:sz w:val="17"/>
              </w:rPr>
              <w:t>capacity</w:t>
            </w:r>
            <w:r>
              <w:rPr>
                <w:spacing w:val="-3"/>
                <w:sz w:val="17"/>
              </w:rPr>
              <w:t> </w:t>
            </w:r>
            <w:r>
              <w:rPr>
                <w:spacing w:val="-4"/>
                <w:sz w:val="17"/>
              </w:rPr>
              <w:t>and</w:t>
            </w:r>
            <w:r>
              <w:rPr>
                <w:sz w:val="17"/>
              </w:rPr>
              <w:t> </w:t>
            </w:r>
            <w:r>
              <w:rPr>
                <w:spacing w:val="-4"/>
                <w:sz w:val="17"/>
              </w:rPr>
              <w:t>timing</w:t>
            </w:r>
            <w:r>
              <w:rPr>
                <w:sz w:val="17"/>
              </w:rPr>
              <w:tab/>
            </w:r>
            <w:r>
              <w:rPr>
                <w:spacing w:val="-4"/>
                <w:sz w:val="17"/>
              </w:rPr>
              <w:t>and</w:t>
            </w:r>
            <w:r>
              <w:rPr>
                <w:spacing w:val="-7"/>
                <w:sz w:val="17"/>
              </w:rPr>
              <w:t> </w:t>
            </w:r>
            <w:r>
              <w:rPr>
                <w:spacing w:val="-2"/>
                <w:sz w:val="17"/>
              </w:rPr>
              <w:t>resource</w:t>
            </w:r>
            <w:r>
              <w:rPr>
                <w:sz w:val="17"/>
              </w:rPr>
              <w:tab/>
            </w:r>
            <w:r>
              <w:rPr>
                <w:spacing w:val="-4"/>
                <w:sz w:val="17"/>
              </w:rPr>
              <w:t>next</w:t>
            </w:r>
            <w:r>
              <w:rPr>
                <w:spacing w:val="-6"/>
                <w:sz w:val="17"/>
              </w:rPr>
              <w:t> </w:t>
            </w:r>
            <w:r>
              <w:rPr>
                <w:spacing w:val="-2"/>
                <w:sz w:val="17"/>
              </w:rPr>
              <w:t>steps</w:t>
            </w:r>
          </w:p>
          <w:p>
            <w:pPr>
              <w:pStyle w:val="TableParagraph"/>
              <w:tabs>
                <w:tab w:pos="2661" w:val="left" w:leader="none"/>
                <w:tab w:pos="3021" w:val="left" w:leader="none"/>
                <w:tab w:pos="5447" w:val="left" w:leader="none"/>
                <w:tab w:pos="5807" w:val="left" w:leader="none"/>
                <w:tab w:pos="8038" w:val="left" w:leader="none"/>
                <w:tab w:pos="8398" w:val="left" w:leader="none"/>
              </w:tabs>
              <w:spacing w:line="199" w:lineRule="auto" w:before="21"/>
              <w:ind w:left="645" w:right="360"/>
              <w:rPr>
                <w:sz w:val="17"/>
              </w:rPr>
            </w:pPr>
            <w:r>
              <w:rPr>
                <w:position w:val="3"/>
                <w:sz w:val="17"/>
              </w:rPr>
              <w:t>stage</w:t>
            </w:r>
            <w:r>
              <w:rPr>
                <w:spacing w:val="-9"/>
                <w:position w:val="3"/>
                <w:sz w:val="17"/>
              </w:rPr>
              <w:t> </w:t>
            </w:r>
            <w:r>
              <w:rPr>
                <w:position w:val="3"/>
                <w:sz w:val="17"/>
              </w:rPr>
              <w:t>of</w:t>
              <w:tab/>
            </w:r>
            <w:r>
              <w:rPr>
                <w:rFonts w:ascii="Symbol" w:hAnsi="Symbol"/>
                <w:spacing w:val="-10"/>
                <w:sz w:val="17"/>
              </w:rPr>
              <w:t></w:t>
            </w:r>
            <w:r>
              <w:rPr>
                <w:rFonts w:ascii="Times New Roman" w:hAnsi="Times New Roman"/>
                <w:sz w:val="17"/>
              </w:rPr>
              <w:tab/>
            </w:r>
            <w:r>
              <w:rPr>
                <w:sz w:val="17"/>
              </w:rPr>
              <w:t>Agree readiness to</w:t>
              <w:tab/>
              <w:tab/>
            </w:r>
            <w:r>
              <w:rPr>
                <w:spacing w:val="-2"/>
                <w:position w:val="2"/>
                <w:sz w:val="17"/>
              </w:rPr>
              <w:t>requirements</w:t>
            </w:r>
            <w:r>
              <w:rPr>
                <w:position w:val="2"/>
                <w:sz w:val="17"/>
              </w:rPr>
              <w:tab/>
            </w:r>
            <w:r>
              <w:rPr>
                <w:rFonts w:ascii="Symbol" w:hAnsi="Symbol"/>
                <w:spacing w:val="-10"/>
                <w:sz w:val="17"/>
              </w:rPr>
              <w:t></w:t>
            </w:r>
            <w:r>
              <w:rPr>
                <w:rFonts w:ascii="Times New Roman" w:hAnsi="Times New Roman"/>
                <w:sz w:val="17"/>
              </w:rPr>
              <w:tab/>
            </w:r>
            <w:r>
              <w:rPr>
                <w:sz w:val="17"/>
              </w:rPr>
              <w:t>Aligned</w:t>
            </w:r>
            <w:r>
              <w:rPr>
                <w:spacing w:val="-9"/>
                <w:sz w:val="17"/>
              </w:rPr>
              <w:t> </w:t>
            </w:r>
            <w:r>
              <w:rPr>
                <w:sz w:val="17"/>
              </w:rPr>
              <w:t>with </w:t>
            </w:r>
            <w:r>
              <w:rPr>
                <w:spacing w:val="-2"/>
                <w:position w:val="4"/>
                <w:sz w:val="17"/>
              </w:rPr>
              <w:t>development</w:t>
            </w:r>
            <w:r>
              <w:rPr>
                <w:position w:val="4"/>
                <w:sz w:val="17"/>
              </w:rPr>
              <w:tab/>
              <w:tab/>
            </w:r>
            <w:r>
              <w:rPr>
                <w:spacing w:val="-4"/>
                <w:sz w:val="17"/>
              </w:rPr>
              <w:t>proceed,</w:t>
            </w:r>
            <w:r>
              <w:rPr>
                <w:sz w:val="17"/>
              </w:rPr>
              <w:t> </w:t>
            </w:r>
            <w:r>
              <w:rPr>
                <w:spacing w:val="-2"/>
                <w:sz w:val="17"/>
              </w:rPr>
              <w:t>governance</w:t>
            </w:r>
            <w:r>
              <w:rPr>
                <w:sz w:val="17"/>
              </w:rPr>
              <w:tab/>
            </w:r>
            <w:r>
              <w:rPr>
                <w:rFonts w:ascii="Symbol" w:hAnsi="Symbol"/>
                <w:spacing w:val="-10"/>
                <w:position w:val="1"/>
                <w:sz w:val="17"/>
              </w:rPr>
              <w:t></w:t>
            </w:r>
            <w:r>
              <w:rPr>
                <w:rFonts w:ascii="Times New Roman" w:hAnsi="Times New Roman"/>
                <w:position w:val="1"/>
                <w:sz w:val="17"/>
              </w:rPr>
              <w:tab/>
            </w:r>
            <w:r>
              <w:rPr>
                <w:spacing w:val="-4"/>
                <w:position w:val="1"/>
                <w:sz w:val="17"/>
              </w:rPr>
              <w:t>Develop</w:t>
            </w:r>
            <w:r>
              <w:rPr>
                <w:spacing w:val="-2"/>
                <w:position w:val="1"/>
                <w:sz w:val="17"/>
              </w:rPr>
              <w:t> </w:t>
            </w:r>
            <w:r>
              <w:rPr>
                <w:spacing w:val="-4"/>
                <w:position w:val="1"/>
                <w:sz w:val="17"/>
              </w:rPr>
              <w:t>the</w:t>
            </w:r>
            <w:r>
              <w:rPr>
                <w:spacing w:val="-2"/>
                <w:position w:val="1"/>
                <w:sz w:val="17"/>
              </w:rPr>
              <w:t> </w:t>
            </w:r>
            <w:r>
              <w:rPr>
                <w:spacing w:val="-4"/>
                <w:position w:val="1"/>
                <w:sz w:val="17"/>
              </w:rPr>
              <w:t>regional</w:t>
            </w:r>
            <w:r>
              <w:rPr>
                <w:position w:val="1"/>
                <w:sz w:val="17"/>
              </w:rPr>
              <w:tab/>
              <w:tab/>
            </w:r>
            <w:r>
              <w:rPr>
                <w:spacing w:val="-4"/>
                <w:sz w:val="17"/>
              </w:rPr>
              <w:t>National</w:t>
            </w:r>
            <w:r>
              <w:rPr>
                <w:spacing w:val="-1"/>
                <w:sz w:val="17"/>
              </w:rPr>
              <w:t> </w:t>
            </w:r>
            <w:r>
              <w:rPr>
                <w:spacing w:val="-4"/>
                <w:sz w:val="17"/>
              </w:rPr>
              <w:t>and</w:t>
            </w:r>
            <w:r>
              <w:rPr>
                <w:spacing w:val="-3"/>
                <w:sz w:val="17"/>
              </w:rPr>
              <w:t> </w:t>
            </w:r>
            <w:r>
              <w:rPr>
                <w:spacing w:val="-4"/>
                <w:sz w:val="17"/>
              </w:rPr>
              <w:t>local</w:t>
            </w:r>
          </w:p>
          <w:p>
            <w:pPr>
              <w:pStyle w:val="TableParagraph"/>
              <w:tabs>
                <w:tab w:pos="5447" w:val="left" w:leader="none"/>
                <w:tab w:pos="5807" w:val="left" w:leader="none"/>
                <w:tab w:pos="8398" w:val="left" w:leader="none"/>
              </w:tabs>
              <w:spacing w:line="225" w:lineRule="auto"/>
              <w:ind w:left="3021" w:right="348"/>
              <w:rPr>
                <w:sz w:val="17"/>
              </w:rPr>
            </w:pPr>
            <w:r>
              <w:rPr>
                <w:sz w:val="17"/>
              </w:rPr>
              <w:t>options and resource</w:t>
              <w:tab/>
              <w:tab/>
            </w:r>
            <w:r>
              <w:rPr>
                <w:position w:val="1"/>
                <w:sz w:val="17"/>
              </w:rPr>
              <w:t>work programme</w:t>
              <w:tab/>
            </w:r>
            <w:r>
              <w:rPr>
                <w:spacing w:val="-4"/>
                <w:sz w:val="17"/>
              </w:rPr>
              <w:t>Cancer</w:t>
            </w:r>
            <w:r>
              <w:rPr>
                <w:spacing w:val="-9"/>
                <w:sz w:val="17"/>
              </w:rPr>
              <w:t> </w:t>
            </w:r>
            <w:r>
              <w:rPr>
                <w:spacing w:val="-4"/>
                <w:sz w:val="17"/>
              </w:rPr>
              <w:t>Strategies </w:t>
            </w:r>
            <w:r>
              <w:rPr>
                <w:spacing w:val="-2"/>
                <w:sz w:val="17"/>
              </w:rPr>
              <w:t>requirements</w:t>
            </w:r>
            <w:r>
              <w:rPr>
                <w:sz w:val="17"/>
              </w:rPr>
              <w:tab/>
            </w:r>
            <w:r>
              <w:rPr>
                <w:rFonts w:ascii="Symbol" w:hAnsi="Symbol"/>
                <w:spacing w:val="-10"/>
                <w:sz w:val="17"/>
              </w:rPr>
              <w:t></w:t>
            </w:r>
            <w:r>
              <w:rPr>
                <w:rFonts w:ascii="Times New Roman" w:hAnsi="Times New Roman"/>
                <w:sz w:val="17"/>
              </w:rPr>
              <w:tab/>
            </w:r>
            <w:r>
              <w:rPr>
                <w:sz w:val="17"/>
              </w:rPr>
              <w:t>Return to RJC with an</w:t>
            </w:r>
          </w:p>
          <w:p>
            <w:pPr>
              <w:pStyle w:val="TableParagraph"/>
              <w:spacing w:before="6"/>
              <w:ind w:left="5807" w:right="2558"/>
              <w:rPr>
                <w:sz w:val="17"/>
              </w:rPr>
            </w:pPr>
            <w:r>
              <w:rPr>
                <w:spacing w:val="-4"/>
                <w:sz w:val="17"/>
              </w:rPr>
              <w:t>update</w:t>
            </w:r>
            <w:r>
              <w:rPr>
                <w:spacing w:val="-8"/>
                <w:sz w:val="17"/>
              </w:rPr>
              <w:t> </w:t>
            </w:r>
            <w:r>
              <w:rPr>
                <w:spacing w:val="-4"/>
                <w:sz w:val="17"/>
              </w:rPr>
              <w:t>and</w:t>
            </w:r>
            <w:r>
              <w:rPr>
                <w:spacing w:val="-8"/>
                <w:sz w:val="17"/>
              </w:rPr>
              <w:t> </w:t>
            </w:r>
            <w:r>
              <w:rPr>
                <w:spacing w:val="-4"/>
                <w:sz w:val="17"/>
              </w:rPr>
              <w:t>sense </w:t>
            </w:r>
            <w:r>
              <w:rPr>
                <w:spacing w:val="-2"/>
                <w:sz w:val="17"/>
              </w:rPr>
              <w:t>check</w:t>
            </w:r>
          </w:p>
          <w:p>
            <w:pPr>
              <w:pStyle w:val="TableParagraph"/>
              <w:rPr>
                <w:sz w:val="17"/>
              </w:rPr>
            </w:pPr>
          </w:p>
          <w:p>
            <w:pPr>
              <w:pStyle w:val="TableParagraph"/>
              <w:spacing w:before="140"/>
              <w:rPr>
                <w:sz w:val="17"/>
              </w:rPr>
            </w:pPr>
          </w:p>
          <w:p>
            <w:pPr>
              <w:pStyle w:val="TableParagraph"/>
              <w:spacing w:line="254" w:lineRule="auto"/>
              <w:ind w:left="120"/>
              <w:rPr>
                <w:sz w:val="20"/>
              </w:rPr>
            </w:pPr>
            <w:r>
              <w:rPr>
                <w:sz w:val="20"/>
              </w:rPr>
              <w:t>Figure</w:t>
            </w:r>
            <w:r>
              <w:rPr>
                <w:spacing w:val="-14"/>
                <w:sz w:val="20"/>
              </w:rPr>
              <w:t> </w:t>
            </w:r>
            <w:r>
              <w:rPr>
                <w:sz w:val="20"/>
              </w:rPr>
              <w:t>1</w:t>
            </w:r>
            <w:r>
              <w:rPr>
                <w:spacing w:val="-14"/>
                <w:sz w:val="20"/>
              </w:rPr>
              <w:t> </w:t>
            </w:r>
            <w:r>
              <w:rPr>
                <w:sz w:val="20"/>
              </w:rPr>
              <w:t>summarises</w:t>
            </w:r>
            <w:r>
              <w:rPr>
                <w:spacing w:val="-14"/>
                <w:sz w:val="20"/>
              </w:rPr>
              <w:t> </w:t>
            </w:r>
            <w:r>
              <w:rPr>
                <w:sz w:val="20"/>
              </w:rPr>
              <w:t>the</w:t>
            </w:r>
            <w:r>
              <w:rPr>
                <w:spacing w:val="-14"/>
                <w:sz w:val="20"/>
              </w:rPr>
              <w:t> </w:t>
            </w:r>
            <w:r>
              <w:rPr>
                <w:sz w:val="20"/>
              </w:rPr>
              <w:t>proposed</w:t>
            </w:r>
            <w:r>
              <w:rPr>
                <w:spacing w:val="-14"/>
                <w:sz w:val="20"/>
              </w:rPr>
              <w:t> </w:t>
            </w:r>
            <w:r>
              <w:rPr>
                <w:sz w:val="20"/>
              </w:rPr>
              <w:t>route</w:t>
            </w:r>
            <w:r>
              <w:rPr>
                <w:spacing w:val="-14"/>
                <w:sz w:val="20"/>
              </w:rPr>
              <w:t> </w:t>
            </w:r>
            <w:r>
              <w:rPr>
                <w:sz w:val="20"/>
              </w:rPr>
              <w:t>from</w:t>
            </w:r>
            <w:r>
              <w:rPr>
                <w:spacing w:val="-14"/>
                <w:sz w:val="20"/>
              </w:rPr>
              <w:t> </w:t>
            </w:r>
            <w:r>
              <w:rPr>
                <w:sz w:val="20"/>
              </w:rPr>
              <w:t>RJC</w:t>
            </w:r>
            <w:r>
              <w:rPr>
                <w:spacing w:val="-14"/>
                <w:sz w:val="20"/>
              </w:rPr>
              <w:t> </w:t>
            </w:r>
            <w:r>
              <w:rPr>
                <w:sz w:val="20"/>
              </w:rPr>
              <w:t>endorsement</w:t>
            </w:r>
            <w:r>
              <w:rPr>
                <w:spacing w:val="-14"/>
                <w:sz w:val="20"/>
              </w:rPr>
              <w:t> </w:t>
            </w:r>
            <w:r>
              <w:rPr>
                <w:sz w:val="20"/>
              </w:rPr>
              <w:t>in</w:t>
            </w:r>
            <w:r>
              <w:rPr>
                <w:spacing w:val="-13"/>
                <w:sz w:val="20"/>
              </w:rPr>
              <w:t> </w:t>
            </w:r>
            <w:r>
              <w:rPr>
                <w:sz w:val="20"/>
              </w:rPr>
              <w:t>October</w:t>
            </w:r>
            <w:r>
              <w:rPr>
                <w:spacing w:val="-13"/>
                <w:sz w:val="20"/>
              </w:rPr>
              <w:t> </w:t>
            </w:r>
            <w:r>
              <w:rPr>
                <w:sz w:val="20"/>
              </w:rPr>
              <w:t>2026,</w:t>
            </w:r>
            <w:r>
              <w:rPr>
                <w:spacing w:val="-14"/>
                <w:sz w:val="20"/>
              </w:rPr>
              <w:t> </w:t>
            </w:r>
            <w:r>
              <w:rPr>
                <w:sz w:val="20"/>
              </w:rPr>
              <w:t>through</w:t>
            </w:r>
            <w:r>
              <w:rPr>
                <w:spacing w:val="-13"/>
                <w:sz w:val="20"/>
              </w:rPr>
              <w:t> </w:t>
            </w:r>
            <w:r>
              <w:rPr>
                <w:sz w:val="20"/>
              </w:rPr>
              <w:t>development</w:t>
            </w:r>
            <w:r>
              <w:rPr>
                <w:spacing w:val="-14"/>
                <w:sz w:val="20"/>
              </w:rPr>
              <w:t> </w:t>
            </w:r>
            <w:r>
              <w:rPr>
                <w:sz w:val="20"/>
              </w:rPr>
              <w:t>and review</w:t>
            </w:r>
            <w:r>
              <w:rPr>
                <w:spacing w:val="-14"/>
                <w:sz w:val="20"/>
              </w:rPr>
              <w:t> </w:t>
            </w:r>
            <w:r>
              <w:rPr>
                <w:sz w:val="20"/>
              </w:rPr>
              <w:t>of</w:t>
            </w:r>
            <w:r>
              <w:rPr>
                <w:spacing w:val="-14"/>
                <w:sz w:val="20"/>
              </w:rPr>
              <w:t> </w:t>
            </w:r>
            <w:r>
              <w:rPr>
                <w:sz w:val="20"/>
              </w:rPr>
              <w:t>the</w:t>
            </w:r>
            <w:r>
              <w:rPr>
                <w:spacing w:val="-14"/>
                <w:sz w:val="20"/>
              </w:rPr>
              <w:t> </w:t>
            </w:r>
            <w:r>
              <w:rPr>
                <w:sz w:val="20"/>
              </w:rPr>
              <w:t>workshop</w:t>
            </w:r>
            <w:r>
              <w:rPr>
                <w:spacing w:val="-14"/>
                <w:sz w:val="20"/>
              </w:rPr>
              <w:t> </w:t>
            </w:r>
            <w:r>
              <w:rPr>
                <w:sz w:val="20"/>
              </w:rPr>
              <w:t>proposal</w:t>
            </w:r>
            <w:r>
              <w:rPr>
                <w:spacing w:val="-14"/>
                <w:sz w:val="20"/>
              </w:rPr>
              <w:t> </w:t>
            </w:r>
            <w:r>
              <w:rPr>
                <w:sz w:val="20"/>
              </w:rPr>
              <w:t>at</w:t>
            </w:r>
            <w:r>
              <w:rPr>
                <w:spacing w:val="-14"/>
                <w:sz w:val="20"/>
              </w:rPr>
              <w:t> </w:t>
            </w:r>
            <w:r>
              <w:rPr>
                <w:sz w:val="20"/>
              </w:rPr>
              <w:t>the</w:t>
            </w:r>
            <w:r>
              <w:rPr>
                <w:spacing w:val="-14"/>
                <w:sz w:val="20"/>
              </w:rPr>
              <w:t> </w:t>
            </w:r>
            <w:r>
              <w:rPr>
                <w:sz w:val="20"/>
              </w:rPr>
              <w:t>November</w:t>
            </w:r>
            <w:r>
              <w:rPr>
                <w:spacing w:val="-14"/>
                <w:sz w:val="20"/>
              </w:rPr>
              <w:t> </w:t>
            </w:r>
            <w:r>
              <w:rPr>
                <w:sz w:val="20"/>
              </w:rPr>
              <w:t>RDDG,</w:t>
            </w:r>
            <w:r>
              <w:rPr>
                <w:spacing w:val="-14"/>
                <w:sz w:val="20"/>
              </w:rPr>
              <w:t> </w:t>
            </w:r>
            <w:r>
              <w:rPr>
                <w:sz w:val="20"/>
              </w:rPr>
              <w:t>to</w:t>
            </w:r>
            <w:r>
              <w:rPr>
                <w:spacing w:val="-13"/>
                <w:sz w:val="20"/>
              </w:rPr>
              <w:t> </w:t>
            </w:r>
            <w:r>
              <w:rPr>
                <w:sz w:val="20"/>
              </w:rPr>
              <w:t>focused</w:t>
            </w:r>
            <w:r>
              <w:rPr>
                <w:spacing w:val="-14"/>
                <w:sz w:val="20"/>
              </w:rPr>
              <w:t> </w:t>
            </w:r>
            <w:r>
              <w:rPr>
                <w:sz w:val="20"/>
              </w:rPr>
              <w:t>engagement</w:t>
            </w:r>
            <w:r>
              <w:rPr>
                <w:spacing w:val="-14"/>
                <w:sz w:val="20"/>
              </w:rPr>
              <w:t> </w:t>
            </w:r>
            <w:r>
              <w:rPr>
                <w:sz w:val="20"/>
              </w:rPr>
              <w:t>and</w:t>
            </w:r>
            <w:r>
              <w:rPr>
                <w:spacing w:val="-14"/>
                <w:sz w:val="20"/>
              </w:rPr>
              <w:t> </w:t>
            </w:r>
            <w:r>
              <w:rPr>
                <w:sz w:val="20"/>
              </w:rPr>
              <w:t>workshop</w:t>
            </w:r>
            <w:r>
              <w:rPr>
                <w:spacing w:val="-10"/>
                <w:sz w:val="20"/>
              </w:rPr>
              <w:t> </w:t>
            </w:r>
            <w:r>
              <w:rPr>
                <w:sz w:val="20"/>
              </w:rPr>
              <w:t>activity</w:t>
            </w:r>
            <w:r>
              <w:rPr>
                <w:spacing w:val="-14"/>
                <w:sz w:val="20"/>
              </w:rPr>
              <w:t> </w:t>
            </w:r>
            <w:r>
              <w:rPr>
                <w:sz w:val="20"/>
              </w:rPr>
              <w:t>during </w:t>
            </w:r>
            <w:r>
              <w:rPr>
                <w:spacing w:val="-2"/>
                <w:sz w:val="20"/>
              </w:rPr>
              <w:t>Quarter</w:t>
            </w:r>
            <w:r>
              <w:rPr>
                <w:spacing w:val="-10"/>
                <w:sz w:val="20"/>
              </w:rPr>
              <w:t> </w:t>
            </w:r>
            <w:r>
              <w:rPr>
                <w:spacing w:val="-2"/>
                <w:sz w:val="20"/>
              </w:rPr>
              <w:t>4</w:t>
            </w:r>
            <w:r>
              <w:rPr>
                <w:spacing w:val="-10"/>
                <w:sz w:val="20"/>
              </w:rPr>
              <w:t> </w:t>
            </w:r>
            <w:r>
              <w:rPr>
                <w:spacing w:val="-2"/>
                <w:sz w:val="20"/>
              </w:rPr>
              <w:t>of</w:t>
            </w:r>
            <w:r>
              <w:rPr>
                <w:spacing w:val="-10"/>
                <w:sz w:val="20"/>
              </w:rPr>
              <w:t> </w:t>
            </w:r>
            <w:r>
              <w:rPr>
                <w:spacing w:val="-2"/>
                <w:sz w:val="20"/>
              </w:rPr>
              <w:t>2026/27.</w:t>
            </w:r>
            <w:r>
              <w:rPr>
                <w:spacing w:val="-12"/>
                <w:sz w:val="20"/>
              </w:rPr>
              <w:t> </w:t>
            </w:r>
            <w:r>
              <w:rPr>
                <w:spacing w:val="-2"/>
                <w:sz w:val="20"/>
              </w:rPr>
              <w:t>A</w:t>
            </w:r>
            <w:r>
              <w:rPr>
                <w:spacing w:val="-8"/>
                <w:sz w:val="20"/>
              </w:rPr>
              <w:t> </w:t>
            </w:r>
            <w:r>
              <w:rPr>
                <w:spacing w:val="-2"/>
                <w:sz w:val="20"/>
              </w:rPr>
              <w:t>subsequent</w:t>
            </w:r>
            <w:r>
              <w:rPr>
                <w:spacing w:val="-9"/>
                <w:sz w:val="20"/>
              </w:rPr>
              <w:t> </w:t>
            </w:r>
            <w:r>
              <w:rPr>
                <w:spacing w:val="-2"/>
                <w:sz w:val="20"/>
              </w:rPr>
              <w:t>progress</w:t>
            </w:r>
            <w:r>
              <w:rPr>
                <w:spacing w:val="-8"/>
                <w:sz w:val="20"/>
              </w:rPr>
              <w:t> </w:t>
            </w:r>
            <w:r>
              <w:rPr>
                <w:spacing w:val="-2"/>
                <w:sz w:val="20"/>
              </w:rPr>
              <w:t>update</w:t>
            </w:r>
            <w:r>
              <w:rPr>
                <w:spacing w:val="-8"/>
                <w:sz w:val="20"/>
              </w:rPr>
              <w:t> </w:t>
            </w:r>
            <w:r>
              <w:rPr>
                <w:spacing w:val="-2"/>
                <w:sz w:val="20"/>
              </w:rPr>
              <w:t>will</w:t>
            </w:r>
            <w:r>
              <w:rPr>
                <w:spacing w:val="-8"/>
                <w:sz w:val="20"/>
              </w:rPr>
              <w:t> </w:t>
            </w:r>
            <w:r>
              <w:rPr>
                <w:spacing w:val="-2"/>
                <w:sz w:val="20"/>
              </w:rPr>
              <w:t>return</w:t>
            </w:r>
            <w:r>
              <w:rPr>
                <w:spacing w:val="-10"/>
                <w:sz w:val="20"/>
              </w:rPr>
              <w:t> </w:t>
            </w:r>
            <w:r>
              <w:rPr>
                <w:spacing w:val="-2"/>
                <w:sz w:val="20"/>
              </w:rPr>
              <w:t>to</w:t>
            </w:r>
            <w:r>
              <w:rPr>
                <w:spacing w:val="-10"/>
                <w:sz w:val="20"/>
              </w:rPr>
              <w:t> </w:t>
            </w:r>
            <w:r>
              <w:rPr>
                <w:spacing w:val="-2"/>
                <w:sz w:val="20"/>
              </w:rPr>
              <w:t>the</w:t>
            </w:r>
            <w:r>
              <w:rPr>
                <w:spacing w:val="-12"/>
                <w:sz w:val="20"/>
              </w:rPr>
              <w:t> </w:t>
            </w:r>
            <w:r>
              <w:rPr>
                <w:spacing w:val="-2"/>
                <w:sz w:val="20"/>
              </w:rPr>
              <w:t>RJC</w:t>
            </w:r>
            <w:r>
              <w:rPr>
                <w:spacing w:val="-8"/>
                <w:sz w:val="20"/>
              </w:rPr>
              <w:t> </w:t>
            </w:r>
            <w:r>
              <w:rPr>
                <w:spacing w:val="-2"/>
                <w:sz w:val="20"/>
              </w:rPr>
              <w:t>in</w:t>
            </w:r>
            <w:r>
              <w:rPr>
                <w:spacing w:val="-5"/>
                <w:sz w:val="20"/>
              </w:rPr>
              <w:t> </w:t>
            </w:r>
            <w:r>
              <w:rPr>
                <w:spacing w:val="-2"/>
                <w:sz w:val="20"/>
              </w:rPr>
              <w:t>February</w:t>
            </w:r>
            <w:r>
              <w:rPr>
                <w:spacing w:val="-9"/>
                <w:sz w:val="20"/>
              </w:rPr>
              <w:t> </w:t>
            </w:r>
            <w:r>
              <w:rPr>
                <w:spacing w:val="-2"/>
                <w:sz w:val="20"/>
              </w:rPr>
              <w:t>2027,</w:t>
            </w:r>
            <w:r>
              <w:rPr>
                <w:spacing w:val="-9"/>
                <w:sz w:val="20"/>
              </w:rPr>
              <w:t> </w:t>
            </w:r>
            <w:r>
              <w:rPr>
                <w:spacing w:val="-2"/>
                <w:sz w:val="20"/>
              </w:rPr>
              <w:t>to</w:t>
            </w:r>
            <w:r>
              <w:rPr>
                <w:spacing w:val="-10"/>
                <w:sz w:val="20"/>
              </w:rPr>
              <w:t> </w:t>
            </w:r>
            <w:r>
              <w:rPr>
                <w:spacing w:val="-2"/>
                <w:sz w:val="20"/>
              </w:rPr>
              <w:t>a</w:t>
            </w:r>
            <w:r>
              <w:rPr>
                <w:spacing w:val="-10"/>
                <w:sz w:val="20"/>
              </w:rPr>
              <w:t> </w:t>
            </w:r>
            <w:r>
              <w:rPr>
                <w:spacing w:val="-2"/>
                <w:sz w:val="20"/>
              </w:rPr>
              <w:t>developed</w:t>
            </w:r>
            <w:r>
              <w:rPr>
                <w:spacing w:val="-5"/>
                <w:sz w:val="20"/>
              </w:rPr>
              <w:t> </w:t>
            </w:r>
            <w:r>
              <w:rPr>
                <w:spacing w:val="-2"/>
                <w:sz w:val="20"/>
              </w:rPr>
              <w:t>and prioritised</w:t>
            </w:r>
            <w:r>
              <w:rPr>
                <w:spacing w:val="-12"/>
                <w:sz w:val="20"/>
              </w:rPr>
              <w:t> </w:t>
            </w:r>
            <w:r>
              <w:rPr>
                <w:spacing w:val="-2"/>
                <w:sz w:val="20"/>
              </w:rPr>
              <w:t>regional</w:t>
            </w:r>
            <w:r>
              <w:rPr>
                <w:spacing w:val="-12"/>
                <w:sz w:val="20"/>
              </w:rPr>
              <w:t> </w:t>
            </w:r>
            <w:r>
              <w:rPr>
                <w:spacing w:val="-2"/>
                <w:sz w:val="20"/>
              </w:rPr>
              <w:t>cancer</w:t>
            </w:r>
            <w:r>
              <w:rPr>
                <w:spacing w:val="-12"/>
                <w:sz w:val="20"/>
              </w:rPr>
              <w:t> </w:t>
            </w:r>
            <w:r>
              <w:rPr>
                <w:spacing w:val="-2"/>
                <w:sz w:val="20"/>
              </w:rPr>
              <w:t>proposition</w:t>
            </w:r>
            <w:r>
              <w:rPr>
                <w:spacing w:val="-12"/>
                <w:sz w:val="20"/>
              </w:rPr>
              <w:t> </w:t>
            </w:r>
            <w:r>
              <w:rPr>
                <w:spacing w:val="-2"/>
                <w:sz w:val="20"/>
              </w:rPr>
              <w:t>returning</w:t>
            </w:r>
            <w:r>
              <w:rPr>
                <w:spacing w:val="-12"/>
                <w:sz w:val="20"/>
              </w:rPr>
              <w:t> </w:t>
            </w:r>
            <w:r>
              <w:rPr>
                <w:spacing w:val="-2"/>
                <w:sz w:val="20"/>
              </w:rPr>
              <w:t>to</w:t>
            </w:r>
            <w:r>
              <w:rPr>
                <w:spacing w:val="-12"/>
                <w:sz w:val="20"/>
              </w:rPr>
              <w:t> </w:t>
            </w:r>
            <w:r>
              <w:rPr>
                <w:spacing w:val="-2"/>
                <w:sz w:val="20"/>
              </w:rPr>
              <w:t>the</w:t>
            </w:r>
            <w:r>
              <w:rPr>
                <w:spacing w:val="-12"/>
                <w:sz w:val="20"/>
              </w:rPr>
              <w:t> </w:t>
            </w:r>
            <w:r>
              <w:rPr>
                <w:spacing w:val="-2"/>
                <w:sz w:val="20"/>
              </w:rPr>
              <w:t>RJC</w:t>
            </w:r>
            <w:r>
              <w:rPr>
                <w:spacing w:val="-12"/>
                <w:sz w:val="20"/>
              </w:rPr>
              <w:t> </w:t>
            </w:r>
            <w:r>
              <w:rPr>
                <w:spacing w:val="-2"/>
                <w:sz w:val="20"/>
              </w:rPr>
              <w:t>in</w:t>
            </w:r>
            <w:r>
              <w:rPr>
                <w:spacing w:val="-12"/>
                <w:sz w:val="20"/>
              </w:rPr>
              <w:t> </w:t>
            </w:r>
            <w:r>
              <w:rPr>
                <w:spacing w:val="-2"/>
                <w:sz w:val="20"/>
              </w:rPr>
              <w:t>April</w:t>
            </w:r>
            <w:r>
              <w:rPr>
                <w:spacing w:val="-11"/>
                <w:sz w:val="20"/>
              </w:rPr>
              <w:t> </w:t>
            </w:r>
            <w:r>
              <w:rPr>
                <w:spacing w:val="-2"/>
                <w:sz w:val="20"/>
              </w:rPr>
              <w:t>2027,</w:t>
            </w:r>
            <w:r>
              <w:rPr>
                <w:spacing w:val="-12"/>
                <w:sz w:val="20"/>
              </w:rPr>
              <w:t> </w:t>
            </w:r>
            <w:r>
              <w:rPr>
                <w:spacing w:val="-2"/>
                <w:sz w:val="20"/>
              </w:rPr>
              <w:t>with</w:t>
            </w:r>
            <w:r>
              <w:rPr>
                <w:spacing w:val="-12"/>
                <w:sz w:val="20"/>
              </w:rPr>
              <w:t> </w:t>
            </w:r>
            <w:r>
              <w:rPr>
                <w:spacing w:val="-2"/>
                <w:sz w:val="20"/>
              </w:rPr>
              <w:t>Regional</w:t>
            </w:r>
            <w:r>
              <w:rPr>
                <w:spacing w:val="-12"/>
                <w:sz w:val="20"/>
              </w:rPr>
              <w:t> </w:t>
            </w:r>
            <w:r>
              <w:rPr>
                <w:spacing w:val="-2"/>
                <w:sz w:val="20"/>
              </w:rPr>
              <w:t>Clinical</w:t>
            </w:r>
            <w:r>
              <w:rPr>
                <w:spacing w:val="-12"/>
                <w:sz w:val="20"/>
              </w:rPr>
              <w:t> </w:t>
            </w:r>
            <w:r>
              <w:rPr>
                <w:spacing w:val="-2"/>
                <w:sz w:val="20"/>
              </w:rPr>
              <w:t>Services</w:t>
            </w:r>
            <w:r>
              <w:rPr>
                <w:spacing w:val="-11"/>
                <w:sz w:val="20"/>
              </w:rPr>
              <w:t> </w:t>
            </w:r>
            <w:r>
              <w:rPr>
                <w:spacing w:val="-2"/>
                <w:sz w:val="20"/>
              </w:rPr>
              <w:t>Planning </w:t>
            </w:r>
            <w:r>
              <w:rPr>
                <w:sz w:val="20"/>
              </w:rPr>
              <w:t>Subgroup oversight throughout.</w:t>
            </w:r>
          </w:p>
          <w:p>
            <w:pPr>
              <w:pStyle w:val="TableParagraph"/>
              <w:spacing w:before="56"/>
              <w:ind w:left="120"/>
              <w:rPr>
                <w:b/>
                <w:sz w:val="20"/>
              </w:rPr>
            </w:pPr>
            <w:r>
              <w:rPr>
                <w:b/>
                <w:color w:val="394871"/>
                <w:spacing w:val="-4"/>
                <w:sz w:val="20"/>
              </w:rPr>
              <w:t>Key</w:t>
            </w:r>
            <w:r>
              <w:rPr>
                <w:b/>
                <w:color w:val="394871"/>
                <w:spacing w:val="-5"/>
                <w:sz w:val="20"/>
              </w:rPr>
              <w:t> </w:t>
            </w:r>
            <w:r>
              <w:rPr>
                <w:b/>
                <w:color w:val="394871"/>
                <w:spacing w:val="-4"/>
                <w:sz w:val="20"/>
              </w:rPr>
              <w:t>dependency</w:t>
            </w:r>
            <w:r>
              <w:rPr>
                <w:b/>
                <w:color w:val="394871"/>
                <w:spacing w:val="2"/>
                <w:sz w:val="20"/>
              </w:rPr>
              <w:t> </w:t>
            </w:r>
            <w:r>
              <w:rPr>
                <w:b/>
                <w:color w:val="394871"/>
                <w:spacing w:val="-4"/>
                <w:sz w:val="20"/>
              </w:rPr>
              <w:t>and</w:t>
            </w:r>
            <w:r>
              <w:rPr>
                <w:b/>
                <w:color w:val="394871"/>
                <w:spacing w:val="-5"/>
                <w:sz w:val="20"/>
              </w:rPr>
              <w:t> </w:t>
            </w:r>
            <w:r>
              <w:rPr>
                <w:b/>
                <w:color w:val="394871"/>
                <w:spacing w:val="-4"/>
                <w:sz w:val="20"/>
              </w:rPr>
              <w:t>risk</w:t>
            </w:r>
          </w:p>
          <w:p>
            <w:pPr>
              <w:pStyle w:val="TableParagraph"/>
              <w:spacing w:line="256" w:lineRule="auto" w:before="75"/>
              <w:ind w:left="120"/>
              <w:rPr>
                <w:sz w:val="20"/>
              </w:rPr>
            </w:pPr>
            <w:r>
              <w:rPr>
                <w:spacing w:val="-2"/>
                <w:sz w:val="20"/>
              </w:rPr>
              <w:t>Leadership</w:t>
            </w:r>
            <w:r>
              <w:rPr>
                <w:spacing w:val="-12"/>
                <w:sz w:val="20"/>
              </w:rPr>
              <w:t> </w:t>
            </w:r>
            <w:r>
              <w:rPr>
                <w:spacing w:val="-2"/>
                <w:sz w:val="20"/>
              </w:rPr>
              <w:t>and</w:t>
            </w:r>
            <w:r>
              <w:rPr>
                <w:spacing w:val="-12"/>
                <w:sz w:val="20"/>
              </w:rPr>
              <w:t> </w:t>
            </w:r>
            <w:r>
              <w:rPr>
                <w:spacing w:val="-2"/>
                <w:sz w:val="20"/>
              </w:rPr>
              <w:t>programme</w:t>
            </w:r>
            <w:r>
              <w:rPr>
                <w:spacing w:val="-12"/>
                <w:sz w:val="20"/>
              </w:rPr>
              <w:t> </w:t>
            </w:r>
            <w:r>
              <w:rPr>
                <w:spacing w:val="-2"/>
                <w:sz w:val="20"/>
              </w:rPr>
              <w:t>capacity</w:t>
            </w:r>
            <w:r>
              <w:rPr>
                <w:spacing w:val="-12"/>
                <w:sz w:val="20"/>
              </w:rPr>
              <w:t> </w:t>
            </w:r>
            <w:r>
              <w:rPr>
                <w:spacing w:val="-2"/>
                <w:sz w:val="20"/>
              </w:rPr>
              <w:t>remain</w:t>
            </w:r>
            <w:r>
              <w:rPr>
                <w:spacing w:val="-12"/>
                <w:sz w:val="20"/>
              </w:rPr>
              <w:t> </w:t>
            </w:r>
            <w:r>
              <w:rPr>
                <w:spacing w:val="-2"/>
                <w:sz w:val="20"/>
              </w:rPr>
              <w:t>key</w:t>
            </w:r>
            <w:r>
              <w:rPr>
                <w:spacing w:val="-12"/>
                <w:sz w:val="20"/>
              </w:rPr>
              <w:t> </w:t>
            </w:r>
            <w:r>
              <w:rPr>
                <w:spacing w:val="-2"/>
                <w:sz w:val="20"/>
              </w:rPr>
              <w:t>dependencies.</w:t>
            </w:r>
            <w:r>
              <w:rPr>
                <w:spacing w:val="-9"/>
                <w:sz w:val="20"/>
              </w:rPr>
              <w:t> </w:t>
            </w:r>
            <w:r>
              <w:rPr>
                <w:spacing w:val="-2"/>
                <w:sz w:val="20"/>
              </w:rPr>
              <w:t>The</w:t>
            </w:r>
            <w:r>
              <w:rPr>
                <w:spacing w:val="-12"/>
                <w:sz w:val="20"/>
              </w:rPr>
              <w:t> </w:t>
            </w:r>
            <w:r>
              <w:rPr>
                <w:spacing w:val="-2"/>
                <w:sz w:val="20"/>
              </w:rPr>
              <w:t>RJC</w:t>
            </w:r>
            <w:r>
              <w:rPr>
                <w:spacing w:val="-12"/>
                <w:sz w:val="20"/>
              </w:rPr>
              <w:t> </w:t>
            </w:r>
            <w:r>
              <w:rPr>
                <w:spacing w:val="-2"/>
                <w:sz w:val="20"/>
              </w:rPr>
              <w:t>PMO</w:t>
            </w:r>
            <w:r>
              <w:rPr>
                <w:spacing w:val="-12"/>
                <w:sz w:val="20"/>
              </w:rPr>
              <w:t> </w:t>
            </w:r>
            <w:r>
              <w:rPr>
                <w:spacing w:val="-2"/>
                <w:sz w:val="20"/>
              </w:rPr>
              <w:t>can</w:t>
            </w:r>
            <w:r>
              <w:rPr>
                <w:spacing w:val="-12"/>
                <w:sz w:val="20"/>
              </w:rPr>
              <w:t> </w:t>
            </w:r>
            <w:r>
              <w:rPr>
                <w:spacing w:val="-2"/>
                <w:sz w:val="20"/>
              </w:rPr>
              <w:t>support</w:t>
            </w:r>
            <w:r>
              <w:rPr>
                <w:spacing w:val="-12"/>
                <w:sz w:val="20"/>
              </w:rPr>
              <w:t> </w:t>
            </w:r>
            <w:r>
              <w:rPr>
                <w:spacing w:val="-2"/>
                <w:sz w:val="20"/>
              </w:rPr>
              <w:t>the</w:t>
            </w:r>
            <w:r>
              <w:rPr>
                <w:spacing w:val="-11"/>
                <w:sz w:val="20"/>
              </w:rPr>
              <w:t> </w:t>
            </w:r>
            <w:r>
              <w:rPr>
                <w:spacing w:val="-2"/>
                <w:sz w:val="20"/>
              </w:rPr>
              <w:t>initial</w:t>
            </w:r>
            <w:r>
              <w:rPr>
                <w:spacing w:val="-12"/>
                <w:sz w:val="20"/>
              </w:rPr>
              <w:t> </w:t>
            </w:r>
            <w:r>
              <w:rPr>
                <w:spacing w:val="-2"/>
                <w:sz w:val="20"/>
              </w:rPr>
              <w:t>workshop-planning process, but</w:t>
            </w:r>
            <w:r>
              <w:rPr>
                <w:spacing w:val="-5"/>
                <w:sz w:val="20"/>
              </w:rPr>
              <w:t> </w:t>
            </w:r>
            <w:r>
              <w:rPr>
                <w:spacing w:val="-2"/>
                <w:sz w:val="20"/>
              </w:rPr>
              <w:t>the</w:t>
            </w:r>
            <w:r>
              <w:rPr>
                <w:spacing w:val="-6"/>
                <w:sz w:val="20"/>
              </w:rPr>
              <w:t> </w:t>
            </w:r>
            <w:r>
              <w:rPr>
                <w:spacing w:val="-2"/>
                <w:sz w:val="20"/>
              </w:rPr>
              <w:t>detailed</w:t>
            </w:r>
            <w:r>
              <w:rPr>
                <w:spacing w:val="-6"/>
                <w:sz w:val="20"/>
              </w:rPr>
              <w:t> </w:t>
            </w:r>
            <w:r>
              <w:rPr>
                <w:spacing w:val="-2"/>
                <w:sz w:val="20"/>
              </w:rPr>
              <w:t>clinical,</w:t>
            </w:r>
            <w:r>
              <w:rPr>
                <w:spacing w:val="-6"/>
                <w:sz w:val="20"/>
              </w:rPr>
              <w:t> </w:t>
            </w:r>
            <w:r>
              <w:rPr>
                <w:spacing w:val="-2"/>
                <w:sz w:val="20"/>
              </w:rPr>
              <w:t>operational, analytical,</w:t>
            </w:r>
            <w:r>
              <w:rPr>
                <w:spacing w:val="-6"/>
                <w:sz w:val="20"/>
              </w:rPr>
              <w:t> </w:t>
            </w:r>
            <w:r>
              <w:rPr>
                <w:spacing w:val="-2"/>
                <w:sz w:val="20"/>
              </w:rPr>
              <w:t>financial, digital,</w:t>
            </w:r>
            <w:r>
              <w:rPr>
                <w:spacing w:val="-4"/>
                <w:sz w:val="20"/>
              </w:rPr>
              <w:t> </w:t>
            </w:r>
            <w:r>
              <w:rPr>
                <w:spacing w:val="-2"/>
                <w:sz w:val="20"/>
              </w:rPr>
              <w:t>workforce</w:t>
            </w:r>
            <w:r>
              <w:rPr>
                <w:spacing w:val="-6"/>
                <w:sz w:val="20"/>
              </w:rPr>
              <w:t> </w:t>
            </w:r>
            <w:r>
              <w:rPr>
                <w:spacing w:val="-2"/>
                <w:sz w:val="20"/>
              </w:rPr>
              <w:t>and</w:t>
            </w:r>
            <w:r>
              <w:rPr>
                <w:spacing w:val="-6"/>
                <w:sz w:val="20"/>
              </w:rPr>
              <w:t> </w:t>
            </w:r>
            <w:r>
              <w:rPr>
                <w:spacing w:val="-2"/>
                <w:sz w:val="20"/>
              </w:rPr>
              <w:t>engagement </w:t>
            </w:r>
            <w:r>
              <w:rPr>
                <w:sz w:val="20"/>
              </w:rPr>
              <w:t>contributions</w:t>
            </w:r>
            <w:r>
              <w:rPr>
                <w:spacing w:val="-14"/>
                <w:sz w:val="20"/>
              </w:rPr>
              <w:t> </w:t>
            </w:r>
            <w:r>
              <w:rPr>
                <w:sz w:val="20"/>
              </w:rPr>
              <w:t>will</w:t>
            </w:r>
            <w:r>
              <w:rPr>
                <w:spacing w:val="-14"/>
                <w:sz w:val="20"/>
              </w:rPr>
              <w:t> </w:t>
            </w:r>
            <w:r>
              <w:rPr>
                <w:sz w:val="20"/>
              </w:rPr>
              <w:t>need</w:t>
            </w:r>
            <w:r>
              <w:rPr>
                <w:spacing w:val="-14"/>
                <w:sz w:val="20"/>
              </w:rPr>
              <w:t> </w:t>
            </w:r>
            <w:r>
              <w:rPr>
                <w:sz w:val="20"/>
              </w:rPr>
              <w:t>to</w:t>
            </w:r>
            <w:r>
              <w:rPr>
                <w:spacing w:val="-14"/>
                <w:sz w:val="20"/>
              </w:rPr>
              <w:t> </w:t>
            </w:r>
            <w:r>
              <w:rPr>
                <w:sz w:val="20"/>
              </w:rPr>
              <w:t>be</w:t>
            </w:r>
            <w:r>
              <w:rPr>
                <w:spacing w:val="-14"/>
                <w:sz w:val="20"/>
              </w:rPr>
              <w:t> </w:t>
            </w:r>
            <w:r>
              <w:rPr>
                <w:sz w:val="20"/>
              </w:rPr>
              <w:t>provided</w:t>
            </w:r>
            <w:r>
              <w:rPr>
                <w:spacing w:val="-14"/>
                <w:sz w:val="20"/>
              </w:rPr>
              <w:t> </w:t>
            </w:r>
            <w:r>
              <w:rPr>
                <w:sz w:val="20"/>
              </w:rPr>
              <w:t>through</w:t>
            </w:r>
            <w:r>
              <w:rPr>
                <w:spacing w:val="-14"/>
                <w:sz w:val="20"/>
              </w:rPr>
              <w:t> </w:t>
            </w:r>
            <w:r>
              <w:rPr>
                <w:sz w:val="20"/>
              </w:rPr>
              <w:t>the</w:t>
            </w:r>
            <w:r>
              <w:rPr>
                <w:spacing w:val="-14"/>
                <w:sz w:val="20"/>
              </w:rPr>
              <w:t> </w:t>
            </w:r>
            <w:r>
              <w:rPr>
                <w:sz w:val="20"/>
              </w:rPr>
              <w:t>relevant</w:t>
            </w:r>
            <w:r>
              <w:rPr>
                <w:spacing w:val="-14"/>
                <w:sz w:val="20"/>
              </w:rPr>
              <w:t> </w:t>
            </w:r>
            <w:r>
              <w:rPr>
                <w:sz w:val="20"/>
              </w:rPr>
              <w:t>Health</w:t>
            </w:r>
            <w:r>
              <w:rPr>
                <w:spacing w:val="-13"/>
                <w:sz w:val="20"/>
              </w:rPr>
              <w:t> </w:t>
            </w:r>
            <w:r>
              <w:rPr>
                <w:sz w:val="20"/>
              </w:rPr>
              <w:t>Board</w:t>
            </w:r>
            <w:r>
              <w:rPr>
                <w:spacing w:val="-14"/>
                <w:sz w:val="20"/>
              </w:rPr>
              <w:t> </w:t>
            </w:r>
            <w:r>
              <w:rPr>
                <w:sz w:val="20"/>
              </w:rPr>
              <w:t>and</w:t>
            </w:r>
            <w:r>
              <w:rPr>
                <w:spacing w:val="-14"/>
                <w:sz w:val="20"/>
              </w:rPr>
              <w:t> </w:t>
            </w:r>
            <w:r>
              <w:rPr>
                <w:sz w:val="20"/>
              </w:rPr>
              <w:t>regional</w:t>
            </w:r>
            <w:r>
              <w:rPr>
                <w:spacing w:val="-14"/>
                <w:sz w:val="20"/>
              </w:rPr>
              <w:t> </w:t>
            </w:r>
            <w:r>
              <w:rPr>
                <w:sz w:val="20"/>
              </w:rPr>
              <w:t>arrangements.</w:t>
            </w:r>
          </w:p>
          <w:p>
            <w:pPr>
              <w:pStyle w:val="TableParagraph"/>
              <w:spacing w:line="256" w:lineRule="auto" w:before="93"/>
              <w:ind w:left="120"/>
              <w:rPr>
                <w:sz w:val="20"/>
              </w:rPr>
            </w:pPr>
            <w:r>
              <w:rPr>
                <w:sz w:val="20"/>
              </w:rPr>
              <w:t>The</w:t>
            </w:r>
            <w:r>
              <w:rPr>
                <w:spacing w:val="-14"/>
                <w:sz w:val="20"/>
              </w:rPr>
              <w:t> </w:t>
            </w:r>
            <w:r>
              <w:rPr>
                <w:sz w:val="20"/>
              </w:rPr>
              <w:t>proposed</w:t>
            </w:r>
            <w:r>
              <w:rPr>
                <w:spacing w:val="-14"/>
                <w:sz w:val="20"/>
              </w:rPr>
              <w:t> </w:t>
            </w:r>
            <w:r>
              <w:rPr>
                <w:sz w:val="20"/>
              </w:rPr>
              <w:t>scope,</w:t>
            </w:r>
            <w:r>
              <w:rPr>
                <w:spacing w:val="-14"/>
                <w:sz w:val="20"/>
              </w:rPr>
              <w:t> </w:t>
            </w:r>
            <w:r>
              <w:rPr>
                <w:sz w:val="20"/>
              </w:rPr>
              <w:t>pace</w:t>
            </w:r>
            <w:r>
              <w:rPr>
                <w:spacing w:val="-14"/>
                <w:sz w:val="20"/>
              </w:rPr>
              <w:t> </w:t>
            </w:r>
            <w:r>
              <w:rPr>
                <w:sz w:val="20"/>
              </w:rPr>
              <w:t>and</w:t>
            </w:r>
            <w:r>
              <w:rPr>
                <w:spacing w:val="-14"/>
                <w:sz w:val="20"/>
              </w:rPr>
              <w:t> </w:t>
            </w:r>
            <w:r>
              <w:rPr>
                <w:sz w:val="20"/>
              </w:rPr>
              <w:t>timing</w:t>
            </w:r>
            <w:r>
              <w:rPr>
                <w:spacing w:val="-14"/>
                <w:sz w:val="20"/>
              </w:rPr>
              <w:t> </w:t>
            </w:r>
            <w:r>
              <w:rPr>
                <w:sz w:val="20"/>
              </w:rPr>
              <w:t>should</w:t>
            </w:r>
            <w:r>
              <w:rPr>
                <w:spacing w:val="-14"/>
                <w:sz w:val="20"/>
              </w:rPr>
              <w:t> </w:t>
            </w:r>
            <w:r>
              <w:rPr>
                <w:sz w:val="20"/>
              </w:rPr>
              <w:t>therefore</w:t>
            </w:r>
            <w:r>
              <w:rPr>
                <w:spacing w:val="-14"/>
                <w:sz w:val="20"/>
              </w:rPr>
              <w:t> </w:t>
            </w:r>
            <w:r>
              <w:rPr>
                <w:sz w:val="20"/>
              </w:rPr>
              <w:t>remain</w:t>
            </w:r>
            <w:r>
              <w:rPr>
                <w:spacing w:val="-14"/>
                <w:sz w:val="20"/>
              </w:rPr>
              <w:t> </w:t>
            </w:r>
            <w:r>
              <w:rPr>
                <w:sz w:val="20"/>
              </w:rPr>
              <w:t>proportionate</w:t>
            </w:r>
            <w:r>
              <w:rPr>
                <w:spacing w:val="-13"/>
                <w:sz w:val="20"/>
              </w:rPr>
              <w:t> </w:t>
            </w:r>
            <w:r>
              <w:rPr>
                <w:sz w:val="20"/>
              </w:rPr>
              <w:t>to</w:t>
            </w:r>
            <w:r>
              <w:rPr>
                <w:spacing w:val="-14"/>
                <w:sz w:val="20"/>
              </w:rPr>
              <w:t> </w:t>
            </w:r>
            <w:r>
              <w:rPr>
                <w:sz w:val="20"/>
              </w:rPr>
              <w:t>the</w:t>
            </w:r>
            <w:r>
              <w:rPr>
                <w:spacing w:val="-14"/>
                <w:sz w:val="20"/>
              </w:rPr>
              <w:t> </w:t>
            </w:r>
            <w:r>
              <w:rPr>
                <w:sz w:val="20"/>
              </w:rPr>
              <w:t>capacity</w:t>
            </w:r>
            <w:r>
              <w:rPr>
                <w:spacing w:val="-14"/>
                <w:sz w:val="20"/>
              </w:rPr>
              <w:t> </w:t>
            </w:r>
            <w:r>
              <w:rPr>
                <w:sz w:val="20"/>
              </w:rPr>
              <w:t>available.</w:t>
            </w:r>
            <w:r>
              <w:rPr>
                <w:spacing w:val="-14"/>
                <w:sz w:val="20"/>
              </w:rPr>
              <w:t> </w:t>
            </w:r>
            <w:r>
              <w:rPr>
                <w:sz w:val="20"/>
              </w:rPr>
              <w:t>The </w:t>
            </w:r>
            <w:r>
              <w:rPr>
                <w:spacing w:val="-2"/>
                <w:sz w:val="20"/>
              </w:rPr>
              <w:t>workshop</w:t>
            </w:r>
            <w:r>
              <w:rPr>
                <w:spacing w:val="-12"/>
                <w:sz w:val="20"/>
              </w:rPr>
              <w:t> </w:t>
            </w:r>
            <w:r>
              <w:rPr>
                <w:spacing w:val="-2"/>
                <w:sz w:val="20"/>
              </w:rPr>
              <w:t>proposal</w:t>
            </w:r>
            <w:r>
              <w:rPr>
                <w:spacing w:val="-12"/>
                <w:sz w:val="20"/>
              </w:rPr>
              <w:t> </w:t>
            </w:r>
            <w:r>
              <w:rPr>
                <w:spacing w:val="-2"/>
                <w:sz w:val="20"/>
              </w:rPr>
              <w:t>will</w:t>
            </w:r>
            <w:r>
              <w:rPr>
                <w:spacing w:val="-12"/>
                <w:sz w:val="20"/>
              </w:rPr>
              <w:t> </w:t>
            </w:r>
            <w:r>
              <w:rPr>
                <w:spacing w:val="-2"/>
                <w:sz w:val="20"/>
              </w:rPr>
              <w:t>identify</w:t>
            </w:r>
            <w:r>
              <w:rPr>
                <w:spacing w:val="-12"/>
                <w:sz w:val="20"/>
              </w:rPr>
              <w:t> </w:t>
            </w:r>
            <w:r>
              <w:rPr>
                <w:spacing w:val="-2"/>
                <w:sz w:val="20"/>
              </w:rPr>
              <w:t>the</w:t>
            </w:r>
            <w:r>
              <w:rPr>
                <w:spacing w:val="-12"/>
                <w:sz w:val="20"/>
              </w:rPr>
              <w:t> </w:t>
            </w:r>
            <w:r>
              <w:rPr>
                <w:spacing w:val="-2"/>
                <w:sz w:val="20"/>
              </w:rPr>
              <w:t>required</w:t>
            </w:r>
            <w:r>
              <w:rPr>
                <w:spacing w:val="-12"/>
                <w:sz w:val="20"/>
              </w:rPr>
              <w:t> </w:t>
            </w:r>
            <w:r>
              <w:rPr>
                <w:spacing w:val="-2"/>
                <w:sz w:val="20"/>
              </w:rPr>
              <w:t>contributions</w:t>
            </w:r>
            <w:r>
              <w:rPr>
                <w:spacing w:val="-12"/>
                <w:sz w:val="20"/>
              </w:rPr>
              <w:t> </w:t>
            </w:r>
            <w:r>
              <w:rPr>
                <w:spacing w:val="-2"/>
                <w:sz w:val="20"/>
              </w:rPr>
              <w:t>and</w:t>
            </w:r>
            <w:r>
              <w:rPr>
                <w:spacing w:val="-12"/>
                <w:sz w:val="20"/>
              </w:rPr>
              <w:t> </w:t>
            </w:r>
            <w:r>
              <w:rPr>
                <w:spacing w:val="-2"/>
                <w:sz w:val="20"/>
              </w:rPr>
              <w:t>any</w:t>
            </w:r>
            <w:r>
              <w:rPr>
                <w:spacing w:val="-12"/>
                <w:sz w:val="20"/>
              </w:rPr>
              <w:t> </w:t>
            </w:r>
            <w:r>
              <w:rPr>
                <w:spacing w:val="-2"/>
                <w:sz w:val="20"/>
              </w:rPr>
              <w:t>material</w:t>
            </w:r>
            <w:r>
              <w:rPr>
                <w:spacing w:val="-11"/>
                <w:sz w:val="20"/>
              </w:rPr>
              <w:t> </w:t>
            </w:r>
            <w:r>
              <w:rPr>
                <w:spacing w:val="-2"/>
                <w:sz w:val="20"/>
              </w:rPr>
              <w:t>gaps</w:t>
            </w:r>
            <w:r>
              <w:rPr>
                <w:spacing w:val="-12"/>
                <w:sz w:val="20"/>
              </w:rPr>
              <w:t> </w:t>
            </w:r>
            <w:r>
              <w:rPr>
                <w:spacing w:val="-2"/>
                <w:sz w:val="20"/>
              </w:rPr>
              <w:t>before</w:t>
            </w:r>
            <w:r>
              <w:rPr>
                <w:spacing w:val="-12"/>
                <w:sz w:val="20"/>
              </w:rPr>
              <w:t> </w:t>
            </w:r>
            <w:r>
              <w:rPr>
                <w:spacing w:val="-2"/>
                <w:sz w:val="20"/>
              </w:rPr>
              <w:t>substantive</w:t>
            </w:r>
            <w:r>
              <w:rPr>
                <w:spacing w:val="-12"/>
                <w:sz w:val="20"/>
              </w:rPr>
              <w:t> </w:t>
            </w:r>
            <w:r>
              <w:rPr>
                <w:spacing w:val="-2"/>
                <w:sz w:val="20"/>
              </w:rPr>
              <w:t>development </w:t>
            </w:r>
            <w:r>
              <w:rPr>
                <w:sz w:val="20"/>
              </w:rPr>
              <w:t>work commences.</w:t>
            </w:r>
          </w:p>
        </w:tc>
      </w:tr>
    </w:tbl>
    <w:p>
      <w:pPr>
        <w:spacing w:before="166"/>
        <w:ind w:left="657" w:right="228" w:firstLine="0"/>
        <w:jc w:val="center"/>
        <w:rPr>
          <w:sz w:val="16"/>
        </w:rPr>
      </w:pPr>
      <w:r>
        <w:rPr>
          <w:spacing w:val="-2"/>
          <w:sz w:val="16"/>
        </w:rPr>
        <w:t>Page</w:t>
      </w:r>
      <w:r>
        <w:rPr>
          <w:spacing w:val="-7"/>
          <w:sz w:val="16"/>
        </w:rPr>
        <w:t> </w:t>
      </w:r>
      <w:r>
        <w:rPr>
          <w:spacing w:val="-2"/>
          <w:sz w:val="16"/>
        </w:rPr>
        <w:t>3</w:t>
      </w:r>
      <w:r>
        <w:rPr>
          <w:spacing w:val="-9"/>
          <w:sz w:val="16"/>
        </w:rPr>
        <w:t> </w:t>
      </w:r>
      <w:r>
        <w:rPr>
          <w:spacing w:val="-2"/>
          <w:sz w:val="16"/>
        </w:rPr>
        <w:t>of</w:t>
      </w:r>
      <w:r>
        <w:rPr>
          <w:spacing w:val="-9"/>
          <w:sz w:val="16"/>
        </w:rPr>
        <w:t> </w:t>
      </w:r>
      <w:r>
        <w:rPr>
          <w:spacing w:val="-10"/>
          <w:sz w:val="16"/>
        </w:rPr>
        <w:t>4</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08" name="Image 308"/>
            <wp:cNvGraphicFramePr>
              <a:graphicFrameLocks/>
            </wp:cNvGraphicFramePr>
            <a:graphic>
              <a:graphicData uri="http://schemas.openxmlformats.org/drawingml/2006/picture">
                <pic:pic>
                  <pic:nvPicPr>
                    <pic:cNvPr id="308" name="Image 308"/>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09" name="Image 309"/>
            <wp:cNvGraphicFramePr>
              <a:graphicFrameLocks/>
            </wp:cNvGraphicFramePr>
            <a:graphic>
              <a:graphicData uri="http://schemas.openxmlformats.org/drawingml/2006/picture">
                <pic:pic>
                  <pic:nvPicPr>
                    <pic:cNvPr id="309" name="Image 309"/>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0" w:hRule="atLeast"/>
        </w:trPr>
        <w:tc>
          <w:tcPr>
            <w:tcW w:w="10069" w:type="dxa"/>
            <w:shd w:val="clear" w:color="auto" w:fill="394871"/>
          </w:tcPr>
          <w:p>
            <w:pPr>
              <w:pStyle w:val="TableParagraph"/>
              <w:spacing w:line="276" w:lineRule="exact"/>
              <w:ind w:left="110" w:right="7140"/>
              <w:rPr>
                <w:b/>
                <w:sz w:val="24"/>
              </w:rPr>
            </w:pPr>
            <w:r>
              <w:rPr>
                <w:b/>
                <w:color w:val="FFFFFF"/>
                <w:spacing w:val="-4"/>
                <w:sz w:val="24"/>
              </w:rPr>
              <w:t>ADRODDIAD</w:t>
            </w:r>
            <w:r>
              <w:rPr>
                <w:b/>
                <w:color w:val="FFFFFF"/>
                <w:spacing w:val="-13"/>
                <w:sz w:val="24"/>
              </w:rPr>
              <w:t> </w:t>
            </w:r>
            <w:r>
              <w:rPr>
                <w:b/>
                <w:color w:val="FFFFFF"/>
                <w:spacing w:val="-4"/>
                <w:sz w:val="24"/>
              </w:rPr>
              <w:t>SCAA </w:t>
            </w:r>
            <w:r>
              <w:rPr>
                <w:b/>
                <w:color w:val="FFFFFF"/>
                <w:sz w:val="24"/>
              </w:rPr>
              <w:t>SBAR REPORT</w:t>
            </w:r>
          </w:p>
        </w:tc>
      </w:tr>
      <w:tr>
        <w:trPr>
          <w:trHeight w:val="2634" w:hRule="atLeast"/>
        </w:trPr>
        <w:tc>
          <w:tcPr>
            <w:tcW w:w="10069" w:type="dxa"/>
          </w:tcPr>
          <w:p>
            <w:pPr>
              <w:pStyle w:val="TableParagraph"/>
              <w:spacing w:before="86"/>
              <w:ind w:left="120"/>
              <w:rPr>
                <w:b/>
                <w:sz w:val="21"/>
              </w:rPr>
            </w:pPr>
            <w:r>
              <w:rPr>
                <w:b/>
                <w:color w:val="394871"/>
                <w:spacing w:val="-2"/>
                <w:sz w:val="21"/>
                <w:u w:val="single" w:color="394871"/>
              </w:rPr>
              <w:t>Argymhelliad</w:t>
            </w:r>
            <w:r>
              <w:rPr>
                <w:b/>
                <w:color w:val="394871"/>
                <w:spacing w:val="-13"/>
                <w:sz w:val="21"/>
                <w:u w:val="single" w:color="394871"/>
              </w:rPr>
              <w:t> </w:t>
            </w:r>
            <w:r>
              <w:rPr>
                <w:b/>
                <w:color w:val="394871"/>
                <w:spacing w:val="-2"/>
                <w:sz w:val="21"/>
                <w:u w:val="single" w:color="394871"/>
              </w:rPr>
              <w:t>/</w:t>
            </w:r>
            <w:r>
              <w:rPr>
                <w:b/>
                <w:color w:val="394871"/>
                <w:spacing w:val="-12"/>
                <w:sz w:val="21"/>
                <w:u w:val="single" w:color="394871"/>
              </w:rPr>
              <w:t> </w:t>
            </w:r>
            <w:r>
              <w:rPr>
                <w:b/>
                <w:color w:val="394871"/>
                <w:spacing w:val="-2"/>
                <w:sz w:val="21"/>
                <w:u w:val="single" w:color="394871"/>
              </w:rPr>
              <w:t>Recommendation</w:t>
            </w:r>
          </w:p>
          <w:p>
            <w:pPr>
              <w:pStyle w:val="TableParagraph"/>
              <w:spacing w:before="158"/>
              <w:ind w:left="120"/>
              <w:rPr>
                <w:sz w:val="20"/>
              </w:rPr>
            </w:pPr>
            <w:r>
              <w:rPr>
                <w:spacing w:val="-2"/>
                <w:sz w:val="20"/>
              </w:rPr>
              <w:t>The</w:t>
            </w:r>
            <w:r>
              <w:rPr>
                <w:spacing w:val="-12"/>
                <w:sz w:val="20"/>
              </w:rPr>
              <w:t> </w:t>
            </w:r>
            <w:r>
              <w:rPr>
                <w:spacing w:val="-2"/>
                <w:sz w:val="20"/>
              </w:rPr>
              <w:t>Regional</w:t>
            </w:r>
            <w:r>
              <w:rPr>
                <w:spacing w:val="-12"/>
                <w:sz w:val="20"/>
              </w:rPr>
              <w:t> </w:t>
            </w:r>
            <w:r>
              <w:rPr>
                <w:spacing w:val="-2"/>
                <w:sz w:val="20"/>
              </w:rPr>
              <w:t>Joint</w:t>
            </w:r>
            <w:r>
              <w:rPr>
                <w:spacing w:val="-12"/>
                <w:sz w:val="20"/>
              </w:rPr>
              <w:t> </w:t>
            </w:r>
            <w:r>
              <w:rPr>
                <w:spacing w:val="-2"/>
                <w:sz w:val="20"/>
              </w:rPr>
              <w:t>Committee</w:t>
            </w:r>
            <w:r>
              <w:rPr>
                <w:spacing w:val="-12"/>
                <w:sz w:val="20"/>
              </w:rPr>
              <w:t> </w:t>
            </w:r>
            <w:r>
              <w:rPr>
                <w:spacing w:val="-2"/>
                <w:sz w:val="20"/>
              </w:rPr>
              <w:t>is</w:t>
            </w:r>
            <w:r>
              <w:rPr>
                <w:spacing w:val="-11"/>
                <w:sz w:val="20"/>
              </w:rPr>
              <w:t> </w:t>
            </w:r>
            <w:r>
              <w:rPr>
                <w:spacing w:val="-2"/>
                <w:sz w:val="20"/>
              </w:rPr>
              <w:t>asked</w:t>
            </w:r>
            <w:r>
              <w:rPr>
                <w:spacing w:val="-11"/>
                <w:sz w:val="20"/>
              </w:rPr>
              <w:t> </w:t>
            </w:r>
            <w:r>
              <w:rPr>
                <w:spacing w:val="-5"/>
                <w:sz w:val="20"/>
              </w:rPr>
              <w:t>to:</w:t>
            </w:r>
          </w:p>
          <w:p>
            <w:pPr>
              <w:pStyle w:val="TableParagraph"/>
              <w:numPr>
                <w:ilvl w:val="0"/>
                <w:numId w:val="18"/>
              </w:numPr>
              <w:tabs>
                <w:tab w:pos="838" w:val="left" w:leader="none"/>
                <w:tab w:pos="840" w:val="left" w:leader="none"/>
              </w:tabs>
              <w:spacing w:line="249" w:lineRule="auto" w:before="95" w:after="0"/>
              <w:ind w:left="840" w:right="216" w:hanging="361"/>
              <w:jc w:val="left"/>
              <w:rPr>
                <w:sz w:val="20"/>
              </w:rPr>
            </w:pPr>
            <w:r>
              <w:rPr>
                <w:b/>
                <w:spacing w:val="-2"/>
                <w:sz w:val="20"/>
              </w:rPr>
              <w:t>ENDORSE</w:t>
            </w:r>
            <w:r>
              <w:rPr>
                <w:b/>
                <w:spacing w:val="-12"/>
                <w:sz w:val="20"/>
              </w:rPr>
              <w:t> </w:t>
            </w:r>
            <w:r>
              <w:rPr>
                <w:spacing w:val="-2"/>
                <w:sz w:val="20"/>
              </w:rPr>
              <w:t>the</w:t>
            </w:r>
            <w:r>
              <w:rPr>
                <w:spacing w:val="-11"/>
                <w:sz w:val="20"/>
              </w:rPr>
              <w:t> </w:t>
            </w:r>
            <w:r>
              <w:rPr>
                <w:spacing w:val="-2"/>
                <w:sz w:val="20"/>
              </w:rPr>
              <w:t>inclusion</w:t>
            </w:r>
            <w:r>
              <w:rPr>
                <w:spacing w:val="-11"/>
                <w:sz w:val="20"/>
              </w:rPr>
              <w:t> </w:t>
            </w:r>
            <w:r>
              <w:rPr>
                <w:spacing w:val="-2"/>
                <w:sz w:val="20"/>
              </w:rPr>
              <w:t>of</w:t>
            </w:r>
            <w:r>
              <w:rPr>
                <w:spacing w:val="-11"/>
                <w:sz w:val="20"/>
              </w:rPr>
              <w:t> </w:t>
            </w:r>
            <w:r>
              <w:rPr>
                <w:spacing w:val="-2"/>
                <w:sz w:val="20"/>
              </w:rPr>
              <w:t>work</w:t>
            </w:r>
            <w:r>
              <w:rPr>
                <w:spacing w:val="-9"/>
                <w:sz w:val="20"/>
              </w:rPr>
              <w:t> </w:t>
            </w:r>
            <w:r>
              <w:rPr>
                <w:spacing w:val="-2"/>
                <w:sz w:val="20"/>
              </w:rPr>
              <w:t>to</w:t>
            </w:r>
            <w:r>
              <w:rPr>
                <w:spacing w:val="-11"/>
                <w:sz w:val="20"/>
              </w:rPr>
              <w:t> </w:t>
            </w:r>
            <w:r>
              <w:rPr>
                <w:spacing w:val="-2"/>
                <w:sz w:val="20"/>
              </w:rPr>
              <w:t>develop</w:t>
            </w:r>
            <w:r>
              <w:rPr>
                <w:spacing w:val="-11"/>
                <w:sz w:val="20"/>
              </w:rPr>
              <w:t> </w:t>
            </w:r>
            <w:r>
              <w:rPr>
                <w:spacing w:val="-2"/>
                <w:sz w:val="20"/>
              </w:rPr>
              <w:t>a</w:t>
            </w:r>
            <w:r>
              <w:rPr>
                <w:spacing w:val="-11"/>
                <w:sz w:val="20"/>
              </w:rPr>
              <w:t> </w:t>
            </w:r>
            <w:r>
              <w:rPr>
                <w:spacing w:val="-2"/>
                <w:sz w:val="20"/>
              </w:rPr>
              <w:t>Regional</w:t>
            </w:r>
            <w:r>
              <w:rPr>
                <w:spacing w:val="-12"/>
                <w:sz w:val="20"/>
              </w:rPr>
              <w:t> </w:t>
            </w:r>
            <w:r>
              <w:rPr>
                <w:spacing w:val="-2"/>
                <w:sz w:val="20"/>
              </w:rPr>
              <w:t>Approach</w:t>
            </w:r>
            <w:r>
              <w:rPr>
                <w:spacing w:val="-11"/>
                <w:sz w:val="20"/>
              </w:rPr>
              <w:t> </w:t>
            </w:r>
            <w:r>
              <w:rPr>
                <w:spacing w:val="-2"/>
                <w:sz w:val="20"/>
              </w:rPr>
              <w:t>to</w:t>
            </w:r>
            <w:r>
              <w:rPr>
                <w:spacing w:val="-11"/>
                <w:sz w:val="20"/>
              </w:rPr>
              <w:t> </w:t>
            </w:r>
            <w:r>
              <w:rPr>
                <w:spacing w:val="-2"/>
                <w:sz w:val="20"/>
              </w:rPr>
              <w:t>Cancer</w:t>
            </w:r>
            <w:r>
              <w:rPr>
                <w:spacing w:val="-13"/>
                <w:sz w:val="20"/>
              </w:rPr>
              <w:t> </w:t>
            </w:r>
            <w:r>
              <w:rPr>
                <w:spacing w:val="-2"/>
                <w:sz w:val="20"/>
              </w:rPr>
              <w:t>Care</w:t>
            </w:r>
            <w:r>
              <w:rPr>
                <w:spacing w:val="-11"/>
                <w:sz w:val="20"/>
              </w:rPr>
              <w:t> </w:t>
            </w:r>
            <w:r>
              <w:rPr>
                <w:spacing w:val="-2"/>
                <w:sz w:val="20"/>
              </w:rPr>
              <w:t>within</w:t>
            </w:r>
            <w:r>
              <w:rPr>
                <w:spacing w:val="-10"/>
                <w:sz w:val="20"/>
              </w:rPr>
              <w:t> </w:t>
            </w:r>
            <w:r>
              <w:rPr>
                <w:spacing w:val="-2"/>
                <w:sz w:val="20"/>
              </w:rPr>
              <w:t>the</w:t>
            </w:r>
            <w:r>
              <w:rPr>
                <w:spacing w:val="-11"/>
                <w:sz w:val="20"/>
              </w:rPr>
              <w:t> </w:t>
            </w:r>
            <w:r>
              <w:rPr>
                <w:spacing w:val="-2"/>
                <w:sz w:val="20"/>
              </w:rPr>
              <w:t>RJC</w:t>
            </w:r>
            <w:r>
              <w:rPr>
                <w:spacing w:val="-5"/>
                <w:sz w:val="20"/>
              </w:rPr>
              <w:t> </w:t>
            </w:r>
            <w:r>
              <w:rPr>
                <w:spacing w:val="-2"/>
                <w:sz w:val="20"/>
              </w:rPr>
              <w:t>2026/27 </w:t>
            </w:r>
            <w:r>
              <w:rPr>
                <w:sz w:val="20"/>
              </w:rPr>
              <w:t>work</w:t>
            </w:r>
            <w:r>
              <w:rPr>
                <w:spacing w:val="-11"/>
                <w:sz w:val="20"/>
              </w:rPr>
              <w:t> </w:t>
            </w:r>
            <w:r>
              <w:rPr>
                <w:sz w:val="20"/>
              </w:rPr>
              <w:t>programme</w:t>
            </w:r>
            <w:r>
              <w:rPr>
                <w:spacing w:val="-12"/>
                <w:sz w:val="20"/>
              </w:rPr>
              <w:t> </w:t>
            </w:r>
            <w:r>
              <w:rPr>
                <w:sz w:val="20"/>
              </w:rPr>
              <w:t>and</w:t>
            </w:r>
            <w:r>
              <w:rPr>
                <w:spacing w:val="-12"/>
                <w:sz w:val="20"/>
              </w:rPr>
              <w:t> </w:t>
            </w:r>
            <w:r>
              <w:rPr>
                <w:sz w:val="20"/>
              </w:rPr>
              <w:t>support</w:t>
            </w:r>
            <w:r>
              <w:rPr>
                <w:spacing w:val="-11"/>
                <w:sz w:val="20"/>
              </w:rPr>
              <w:t> </w:t>
            </w:r>
            <w:r>
              <w:rPr>
                <w:sz w:val="20"/>
              </w:rPr>
              <w:t>the</w:t>
            </w:r>
            <w:r>
              <w:rPr>
                <w:spacing w:val="-12"/>
                <w:sz w:val="20"/>
              </w:rPr>
              <w:t> </w:t>
            </w:r>
            <w:r>
              <w:rPr>
                <w:sz w:val="20"/>
              </w:rPr>
              <w:t>proposed</w:t>
            </w:r>
            <w:r>
              <w:rPr>
                <w:spacing w:val="-12"/>
                <w:sz w:val="20"/>
              </w:rPr>
              <w:t> </w:t>
            </w:r>
            <w:r>
              <w:rPr>
                <w:sz w:val="20"/>
              </w:rPr>
              <w:t>direction</w:t>
            </w:r>
            <w:r>
              <w:rPr>
                <w:spacing w:val="-12"/>
                <w:sz w:val="20"/>
              </w:rPr>
              <w:t> </w:t>
            </w:r>
            <w:r>
              <w:rPr>
                <w:sz w:val="20"/>
              </w:rPr>
              <w:t>of</w:t>
            </w:r>
            <w:r>
              <w:rPr>
                <w:spacing w:val="-11"/>
                <w:sz w:val="20"/>
              </w:rPr>
              <w:t> </w:t>
            </w:r>
            <w:r>
              <w:rPr>
                <w:sz w:val="20"/>
              </w:rPr>
              <w:t>travel</w:t>
            </w:r>
            <w:r>
              <w:rPr>
                <w:spacing w:val="-10"/>
                <w:sz w:val="20"/>
              </w:rPr>
              <w:t> </w:t>
            </w:r>
            <w:r>
              <w:rPr>
                <w:sz w:val="20"/>
              </w:rPr>
              <w:t>described</w:t>
            </w:r>
            <w:r>
              <w:rPr>
                <w:spacing w:val="-12"/>
                <w:sz w:val="20"/>
              </w:rPr>
              <w:t> </w:t>
            </w:r>
            <w:r>
              <w:rPr>
                <w:sz w:val="20"/>
              </w:rPr>
              <w:t>in</w:t>
            </w:r>
            <w:r>
              <w:rPr>
                <w:spacing w:val="-11"/>
                <w:sz w:val="20"/>
              </w:rPr>
              <w:t> </w:t>
            </w:r>
            <w:r>
              <w:rPr>
                <w:sz w:val="20"/>
              </w:rPr>
              <w:t>this</w:t>
            </w:r>
            <w:r>
              <w:rPr>
                <w:spacing w:val="-11"/>
                <w:sz w:val="20"/>
              </w:rPr>
              <w:t> </w:t>
            </w:r>
            <w:r>
              <w:rPr>
                <w:sz w:val="20"/>
              </w:rPr>
              <w:t>paper.</w:t>
            </w:r>
          </w:p>
          <w:p>
            <w:pPr>
              <w:pStyle w:val="TableParagraph"/>
              <w:numPr>
                <w:ilvl w:val="0"/>
                <w:numId w:val="18"/>
              </w:numPr>
              <w:tabs>
                <w:tab w:pos="838" w:val="left" w:leader="none"/>
                <w:tab w:pos="840" w:val="left" w:leader="none"/>
              </w:tabs>
              <w:spacing w:line="249" w:lineRule="auto" w:before="2" w:after="0"/>
              <w:ind w:left="840" w:right="225" w:hanging="361"/>
              <w:jc w:val="left"/>
              <w:rPr>
                <w:sz w:val="20"/>
              </w:rPr>
            </w:pPr>
            <w:r>
              <w:rPr>
                <w:b/>
                <w:spacing w:val="-2"/>
                <w:sz w:val="20"/>
              </w:rPr>
              <w:t>SUPPORT</w:t>
            </w:r>
            <w:r>
              <w:rPr>
                <w:b/>
                <w:spacing w:val="-12"/>
                <w:sz w:val="20"/>
              </w:rPr>
              <w:t> </w:t>
            </w:r>
            <w:r>
              <w:rPr>
                <w:spacing w:val="-2"/>
                <w:sz w:val="20"/>
              </w:rPr>
              <w:t>the</w:t>
            </w:r>
            <w:r>
              <w:rPr>
                <w:spacing w:val="-12"/>
                <w:sz w:val="20"/>
              </w:rPr>
              <w:t> </w:t>
            </w:r>
            <w:r>
              <w:rPr>
                <w:spacing w:val="-2"/>
                <w:sz w:val="20"/>
              </w:rPr>
              <w:t>development</w:t>
            </w:r>
            <w:r>
              <w:rPr>
                <w:spacing w:val="-12"/>
                <w:sz w:val="20"/>
              </w:rPr>
              <w:t> </w:t>
            </w:r>
            <w:r>
              <w:rPr>
                <w:spacing w:val="-2"/>
                <w:sz w:val="20"/>
              </w:rPr>
              <w:t>of</w:t>
            </w:r>
            <w:r>
              <w:rPr>
                <w:spacing w:val="-12"/>
                <w:sz w:val="20"/>
              </w:rPr>
              <w:t> </w:t>
            </w:r>
            <w:r>
              <w:rPr>
                <w:spacing w:val="-2"/>
                <w:sz w:val="20"/>
              </w:rPr>
              <w:t>a</w:t>
            </w:r>
            <w:r>
              <w:rPr>
                <w:spacing w:val="-12"/>
                <w:sz w:val="20"/>
              </w:rPr>
              <w:t> </w:t>
            </w:r>
            <w:r>
              <w:rPr>
                <w:spacing w:val="-2"/>
                <w:sz w:val="20"/>
              </w:rPr>
              <w:t>proportionate</w:t>
            </w:r>
            <w:r>
              <w:rPr>
                <w:spacing w:val="-12"/>
                <w:sz w:val="20"/>
              </w:rPr>
              <w:t> </w:t>
            </w:r>
            <w:r>
              <w:rPr>
                <w:spacing w:val="-2"/>
                <w:sz w:val="20"/>
              </w:rPr>
              <w:t>workshop</w:t>
            </w:r>
            <w:r>
              <w:rPr>
                <w:spacing w:val="-12"/>
                <w:sz w:val="20"/>
              </w:rPr>
              <w:t> </w:t>
            </w:r>
            <w:r>
              <w:rPr>
                <w:spacing w:val="-2"/>
                <w:sz w:val="20"/>
              </w:rPr>
              <w:t>proposal</w:t>
            </w:r>
            <w:r>
              <w:rPr>
                <w:spacing w:val="-12"/>
                <w:sz w:val="20"/>
              </w:rPr>
              <w:t> </w:t>
            </w:r>
            <w:r>
              <w:rPr>
                <w:spacing w:val="-2"/>
                <w:sz w:val="20"/>
              </w:rPr>
              <w:t>through</w:t>
            </w:r>
            <w:r>
              <w:rPr>
                <w:spacing w:val="-12"/>
                <w:sz w:val="20"/>
              </w:rPr>
              <w:t> </w:t>
            </w:r>
            <w:r>
              <w:rPr>
                <w:spacing w:val="-2"/>
                <w:sz w:val="20"/>
              </w:rPr>
              <w:t>the</w:t>
            </w:r>
            <w:r>
              <w:rPr>
                <w:spacing w:val="-12"/>
                <w:sz w:val="20"/>
              </w:rPr>
              <w:t> </w:t>
            </w:r>
            <w:r>
              <w:rPr>
                <w:spacing w:val="-2"/>
                <w:sz w:val="20"/>
              </w:rPr>
              <w:t>Clinical</w:t>
            </w:r>
            <w:r>
              <w:rPr>
                <w:spacing w:val="-11"/>
                <w:sz w:val="20"/>
              </w:rPr>
              <w:t> </w:t>
            </w:r>
            <w:r>
              <w:rPr>
                <w:spacing w:val="-2"/>
                <w:sz w:val="20"/>
              </w:rPr>
              <w:t>Services</w:t>
            </w:r>
            <w:r>
              <w:rPr>
                <w:spacing w:val="-12"/>
                <w:sz w:val="20"/>
              </w:rPr>
              <w:t> </w:t>
            </w:r>
            <w:r>
              <w:rPr>
                <w:spacing w:val="-2"/>
                <w:sz w:val="20"/>
              </w:rPr>
              <w:t>Planning </w:t>
            </w:r>
            <w:r>
              <w:rPr>
                <w:sz w:val="20"/>
              </w:rPr>
              <w:t>portfolio,</w:t>
            </w:r>
            <w:r>
              <w:rPr>
                <w:spacing w:val="-14"/>
                <w:sz w:val="20"/>
              </w:rPr>
              <w:t> </w:t>
            </w:r>
            <w:r>
              <w:rPr>
                <w:b/>
                <w:sz w:val="20"/>
              </w:rPr>
              <w:t>with</w:t>
            </w:r>
            <w:r>
              <w:rPr>
                <w:b/>
                <w:spacing w:val="-14"/>
                <w:sz w:val="20"/>
              </w:rPr>
              <w:t> </w:t>
            </w:r>
            <w:r>
              <w:rPr>
                <w:b/>
                <w:sz w:val="20"/>
              </w:rPr>
              <w:t>the</w:t>
            </w:r>
            <w:r>
              <w:rPr>
                <w:b/>
                <w:spacing w:val="-14"/>
                <w:sz w:val="20"/>
              </w:rPr>
              <w:t> </w:t>
            </w:r>
            <w:r>
              <w:rPr>
                <w:b/>
                <w:sz w:val="20"/>
              </w:rPr>
              <w:t>Regional</w:t>
            </w:r>
            <w:r>
              <w:rPr>
                <w:b/>
                <w:spacing w:val="-14"/>
                <w:sz w:val="20"/>
              </w:rPr>
              <w:t> </w:t>
            </w:r>
            <w:r>
              <w:rPr>
                <w:b/>
                <w:sz w:val="20"/>
              </w:rPr>
              <w:t>Drive</w:t>
            </w:r>
            <w:r>
              <w:rPr>
                <w:b/>
                <w:spacing w:val="-14"/>
                <w:sz w:val="20"/>
              </w:rPr>
              <w:t> </w:t>
            </w:r>
            <w:r>
              <w:rPr>
                <w:b/>
                <w:sz w:val="20"/>
              </w:rPr>
              <w:t>and</w:t>
            </w:r>
            <w:r>
              <w:rPr>
                <w:b/>
                <w:spacing w:val="-14"/>
                <w:sz w:val="20"/>
              </w:rPr>
              <w:t> </w:t>
            </w:r>
            <w:r>
              <w:rPr>
                <w:b/>
                <w:sz w:val="20"/>
              </w:rPr>
              <w:t>Delivery</w:t>
            </w:r>
            <w:r>
              <w:rPr>
                <w:b/>
                <w:spacing w:val="-14"/>
                <w:sz w:val="20"/>
              </w:rPr>
              <w:t> </w:t>
            </w:r>
            <w:r>
              <w:rPr>
                <w:b/>
                <w:sz w:val="20"/>
              </w:rPr>
              <w:t>Group</w:t>
            </w:r>
            <w:r>
              <w:rPr>
                <w:b/>
                <w:spacing w:val="-14"/>
                <w:sz w:val="20"/>
              </w:rPr>
              <w:t> </w:t>
            </w:r>
            <w:r>
              <w:rPr>
                <w:b/>
                <w:sz w:val="20"/>
              </w:rPr>
              <w:t>providing</w:t>
            </w:r>
            <w:r>
              <w:rPr>
                <w:b/>
                <w:spacing w:val="-14"/>
                <w:sz w:val="20"/>
              </w:rPr>
              <w:t> </w:t>
            </w:r>
            <w:r>
              <w:rPr>
                <w:b/>
                <w:sz w:val="20"/>
              </w:rPr>
              <w:t>coordination</w:t>
            </w:r>
            <w:r>
              <w:rPr>
                <w:b/>
                <w:spacing w:val="-13"/>
                <w:sz w:val="20"/>
              </w:rPr>
              <w:t> </w:t>
            </w:r>
            <w:r>
              <w:rPr>
                <w:b/>
                <w:sz w:val="20"/>
              </w:rPr>
              <w:t>and</w:t>
            </w:r>
            <w:r>
              <w:rPr>
                <w:b/>
                <w:spacing w:val="-14"/>
                <w:sz w:val="20"/>
              </w:rPr>
              <w:t> </w:t>
            </w:r>
            <w:r>
              <w:rPr>
                <w:b/>
                <w:sz w:val="20"/>
              </w:rPr>
              <w:t>oversight</w:t>
            </w:r>
            <w:r>
              <w:rPr>
                <w:b/>
                <w:spacing w:val="-14"/>
                <w:sz w:val="20"/>
              </w:rPr>
              <w:t> </w:t>
            </w:r>
            <w:r>
              <w:rPr>
                <w:b/>
                <w:sz w:val="20"/>
              </w:rPr>
              <w:t>of</w:t>
            </w:r>
            <w:r>
              <w:rPr>
                <w:b/>
                <w:spacing w:val="-14"/>
                <w:sz w:val="20"/>
              </w:rPr>
              <w:t> </w:t>
            </w:r>
            <w:r>
              <w:rPr>
                <w:b/>
                <w:sz w:val="20"/>
              </w:rPr>
              <w:t>the </w:t>
            </w:r>
            <w:r>
              <w:rPr>
                <w:b/>
                <w:spacing w:val="-2"/>
                <w:sz w:val="20"/>
              </w:rPr>
              <w:t>work</w:t>
            </w:r>
            <w:r>
              <w:rPr>
                <w:b/>
                <w:spacing w:val="-12"/>
                <w:sz w:val="20"/>
              </w:rPr>
              <w:t> </w:t>
            </w:r>
            <w:r>
              <w:rPr>
                <w:b/>
                <w:spacing w:val="-2"/>
                <w:sz w:val="20"/>
              </w:rPr>
              <w:t>and</w:t>
            </w:r>
            <w:r>
              <w:rPr>
                <w:b/>
                <w:spacing w:val="-13"/>
                <w:sz w:val="20"/>
              </w:rPr>
              <w:t> </w:t>
            </w:r>
            <w:r>
              <w:rPr>
                <w:b/>
                <w:spacing w:val="-2"/>
                <w:sz w:val="20"/>
              </w:rPr>
              <w:t>reviewing</w:t>
            </w:r>
            <w:r>
              <w:rPr>
                <w:b/>
                <w:spacing w:val="-12"/>
                <w:sz w:val="20"/>
              </w:rPr>
              <w:t> </w:t>
            </w:r>
            <w:r>
              <w:rPr>
                <w:b/>
                <w:spacing w:val="-2"/>
                <w:sz w:val="20"/>
              </w:rPr>
              <w:t>the</w:t>
            </w:r>
            <w:r>
              <w:rPr>
                <w:b/>
                <w:spacing w:val="-12"/>
                <w:sz w:val="20"/>
              </w:rPr>
              <w:t> </w:t>
            </w:r>
            <w:r>
              <w:rPr>
                <w:b/>
                <w:spacing w:val="-2"/>
                <w:sz w:val="20"/>
              </w:rPr>
              <w:t>proposal</w:t>
            </w:r>
            <w:r>
              <w:rPr>
                <w:b/>
                <w:spacing w:val="-10"/>
                <w:sz w:val="20"/>
              </w:rPr>
              <w:t> </w:t>
            </w:r>
            <w:r>
              <w:rPr>
                <w:b/>
                <w:spacing w:val="-2"/>
                <w:sz w:val="20"/>
              </w:rPr>
              <w:t>before</w:t>
            </w:r>
            <w:r>
              <w:rPr>
                <w:b/>
                <w:spacing w:val="-11"/>
                <w:sz w:val="20"/>
              </w:rPr>
              <w:t> </w:t>
            </w:r>
            <w:r>
              <w:rPr>
                <w:b/>
                <w:spacing w:val="-2"/>
                <w:sz w:val="20"/>
              </w:rPr>
              <w:t>substantive</w:t>
            </w:r>
            <w:r>
              <w:rPr>
                <w:b/>
                <w:spacing w:val="-11"/>
                <w:sz w:val="20"/>
              </w:rPr>
              <w:t> </w:t>
            </w:r>
            <w:r>
              <w:rPr>
                <w:b/>
                <w:spacing w:val="-2"/>
                <w:sz w:val="20"/>
              </w:rPr>
              <w:t>engagement</w:t>
            </w:r>
            <w:r>
              <w:rPr>
                <w:b/>
                <w:spacing w:val="-12"/>
                <w:sz w:val="20"/>
              </w:rPr>
              <w:t> </w:t>
            </w:r>
            <w:r>
              <w:rPr>
                <w:b/>
                <w:spacing w:val="-2"/>
                <w:sz w:val="20"/>
              </w:rPr>
              <w:t>begins.</w:t>
            </w:r>
            <w:r>
              <w:rPr>
                <w:b/>
                <w:spacing w:val="-3"/>
                <w:sz w:val="20"/>
              </w:rPr>
              <w:t> </w:t>
            </w:r>
            <w:r>
              <w:rPr>
                <w:spacing w:val="-2"/>
                <w:sz w:val="20"/>
              </w:rPr>
              <w:t>The</w:t>
            </w:r>
            <w:r>
              <w:rPr>
                <w:spacing w:val="-11"/>
                <w:sz w:val="20"/>
              </w:rPr>
              <w:t> </w:t>
            </w:r>
            <w:r>
              <w:rPr>
                <w:spacing w:val="-2"/>
                <w:sz w:val="20"/>
              </w:rPr>
              <w:t>work</w:t>
            </w:r>
            <w:r>
              <w:rPr>
                <w:spacing w:val="-12"/>
                <w:sz w:val="20"/>
              </w:rPr>
              <w:t> </w:t>
            </w:r>
            <w:r>
              <w:rPr>
                <w:spacing w:val="-2"/>
                <w:sz w:val="20"/>
              </w:rPr>
              <w:t>will</w:t>
            </w:r>
            <w:r>
              <w:rPr>
                <w:spacing w:val="-10"/>
                <w:sz w:val="20"/>
              </w:rPr>
              <w:t> </w:t>
            </w:r>
            <w:r>
              <w:rPr>
                <w:spacing w:val="-2"/>
                <w:sz w:val="20"/>
              </w:rPr>
              <w:t>use</w:t>
            </w:r>
            <w:r>
              <w:rPr>
                <w:spacing w:val="-11"/>
                <w:sz w:val="20"/>
              </w:rPr>
              <w:t> </w:t>
            </w:r>
            <w:r>
              <w:rPr>
                <w:spacing w:val="-2"/>
                <w:sz w:val="20"/>
              </w:rPr>
              <w:t>existing </w:t>
            </w:r>
            <w:r>
              <w:rPr>
                <w:sz w:val="20"/>
              </w:rPr>
              <w:t>Health</w:t>
            </w:r>
            <w:r>
              <w:rPr>
                <w:spacing w:val="-14"/>
                <w:sz w:val="20"/>
              </w:rPr>
              <w:t> </w:t>
            </w:r>
            <w:r>
              <w:rPr>
                <w:sz w:val="20"/>
              </w:rPr>
              <w:t>Board</w:t>
            </w:r>
            <w:r>
              <w:rPr>
                <w:spacing w:val="-14"/>
                <w:sz w:val="20"/>
              </w:rPr>
              <w:t> </w:t>
            </w:r>
            <w:r>
              <w:rPr>
                <w:sz w:val="20"/>
              </w:rPr>
              <w:t>and</w:t>
            </w:r>
            <w:r>
              <w:rPr>
                <w:spacing w:val="-14"/>
                <w:sz w:val="20"/>
              </w:rPr>
              <w:t> </w:t>
            </w:r>
            <w:r>
              <w:rPr>
                <w:sz w:val="20"/>
              </w:rPr>
              <w:t>regional</w:t>
            </w:r>
            <w:r>
              <w:rPr>
                <w:spacing w:val="-14"/>
                <w:sz w:val="20"/>
              </w:rPr>
              <w:t> </w:t>
            </w:r>
            <w:r>
              <w:rPr>
                <w:sz w:val="20"/>
              </w:rPr>
              <w:t>arrangements</w:t>
            </w:r>
            <w:r>
              <w:rPr>
                <w:spacing w:val="-14"/>
                <w:sz w:val="20"/>
              </w:rPr>
              <w:t> </w:t>
            </w:r>
            <w:r>
              <w:rPr>
                <w:sz w:val="20"/>
              </w:rPr>
              <w:t>and</w:t>
            </w:r>
            <w:r>
              <w:rPr>
                <w:spacing w:val="-14"/>
                <w:sz w:val="20"/>
              </w:rPr>
              <w:t> </w:t>
            </w:r>
            <w:r>
              <w:rPr>
                <w:sz w:val="20"/>
              </w:rPr>
              <w:t>take</w:t>
            </w:r>
            <w:r>
              <w:rPr>
                <w:spacing w:val="-14"/>
                <w:sz w:val="20"/>
              </w:rPr>
              <w:t> </w:t>
            </w:r>
            <w:r>
              <w:rPr>
                <w:sz w:val="20"/>
              </w:rPr>
              <w:t>account</w:t>
            </w:r>
            <w:r>
              <w:rPr>
                <w:spacing w:val="-14"/>
                <w:sz w:val="20"/>
              </w:rPr>
              <w:t> </w:t>
            </w:r>
            <w:r>
              <w:rPr>
                <w:sz w:val="20"/>
              </w:rPr>
              <w:t>of</w:t>
            </w:r>
            <w:r>
              <w:rPr>
                <w:spacing w:val="-14"/>
                <w:sz w:val="20"/>
              </w:rPr>
              <w:t> </w:t>
            </w:r>
            <w:r>
              <w:rPr>
                <w:sz w:val="20"/>
              </w:rPr>
              <w:t>wider</w:t>
            </w:r>
            <w:r>
              <w:rPr>
                <w:spacing w:val="-13"/>
                <w:sz w:val="20"/>
              </w:rPr>
              <w:t> </w:t>
            </w:r>
            <w:r>
              <w:rPr>
                <w:sz w:val="20"/>
              </w:rPr>
              <w:t>South</w:t>
            </w:r>
            <w:r>
              <w:rPr>
                <w:spacing w:val="-14"/>
                <w:sz w:val="20"/>
              </w:rPr>
              <w:t> </w:t>
            </w:r>
            <w:r>
              <w:rPr>
                <w:sz w:val="20"/>
              </w:rPr>
              <w:t>Wales</w:t>
            </w:r>
            <w:r>
              <w:rPr>
                <w:spacing w:val="-14"/>
                <w:sz w:val="20"/>
              </w:rPr>
              <w:t> </w:t>
            </w:r>
            <w:r>
              <w:rPr>
                <w:sz w:val="20"/>
              </w:rPr>
              <w:t>alignment,</w:t>
            </w:r>
            <w:r>
              <w:rPr>
                <w:spacing w:val="-14"/>
                <w:sz w:val="20"/>
              </w:rPr>
              <w:t> </w:t>
            </w:r>
            <w:r>
              <w:rPr>
                <w:sz w:val="20"/>
              </w:rPr>
              <w:t>available capacity</w:t>
            </w:r>
            <w:r>
              <w:rPr>
                <w:spacing w:val="-3"/>
                <w:sz w:val="20"/>
              </w:rPr>
              <w:t> </w:t>
            </w:r>
            <w:r>
              <w:rPr>
                <w:sz w:val="20"/>
              </w:rPr>
              <w:t>and</w:t>
            </w:r>
            <w:r>
              <w:rPr>
                <w:spacing w:val="-5"/>
                <w:sz w:val="20"/>
              </w:rPr>
              <w:t> </w:t>
            </w:r>
            <w:r>
              <w:rPr>
                <w:sz w:val="20"/>
              </w:rPr>
              <w:t>the</w:t>
            </w:r>
            <w:r>
              <w:rPr>
                <w:spacing w:val="-5"/>
                <w:sz w:val="20"/>
              </w:rPr>
              <w:t> </w:t>
            </w:r>
            <w:r>
              <w:rPr>
                <w:sz w:val="20"/>
              </w:rPr>
              <w:t>forthcoming</w:t>
            </w:r>
            <w:r>
              <w:rPr>
                <w:spacing w:val="-5"/>
                <w:sz w:val="20"/>
              </w:rPr>
              <w:t> </w:t>
            </w:r>
            <w:r>
              <w:rPr>
                <w:sz w:val="20"/>
              </w:rPr>
              <w:t>national</w:t>
            </w:r>
            <w:r>
              <w:rPr>
                <w:spacing w:val="-3"/>
                <w:sz w:val="20"/>
              </w:rPr>
              <w:t> </w:t>
            </w:r>
            <w:r>
              <w:rPr>
                <w:sz w:val="20"/>
              </w:rPr>
              <w:t>cancer</w:t>
            </w:r>
            <w:r>
              <w:rPr>
                <w:spacing w:val="-6"/>
                <w:sz w:val="20"/>
              </w:rPr>
              <w:t> </w:t>
            </w:r>
            <w:r>
              <w:rPr>
                <w:sz w:val="20"/>
              </w:rPr>
              <w:t>strategy.</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77"/>
        <w:rPr>
          <w:sz w:val="16"/>
        </w:rPr>
      </w:pPr>
    </w:p>
    <w:p>
      <w:pPr>
        <w:spacing w:before="0"/>
        <w:ind w:left="657" w:right="228" w:firstLine="0"/>
        <w:jc w:val="center"/>
        <w:rPr>
          <w:sz w:val="16"/>
        </w:rPr>
      </w:pPr>
      <w:r>
        <w:rPr>
          <w:spacing w:val="-2"/>
          <w:sz w:val="16"/>
        </w:rPr>
        <w:t>Page</w:t>
      </w:r>
      <w:r>
        <w:rPr>
          <w:spacing w:val="-7"/>
          <w:sz w:val="16"/>
        </w:rPr>
        <w:t> </w:t>
      </w:r>
      <w:r>
        <w:rPr>
          <w:spacing w:val="-2"/>
          <w:sz w:val="16"/>
        </w:rPr>
        <w:t>4</w:t>
      </w:r>
      <w:r>
        <w:rPr>
          <w:spacing w:val="-9"/>
          <w:sz w:val="16"/>
        </w:rPr>
        <w:t> </w:t>
      </w:r>
      <w:r>
        <w:rPr>
          <w:spacing w:val="-2"/>
          <w:sz w:val="16"/>
        </w:rPr>
        <w:t>of</w:t>
      </w:r>
      <w:r>
        <w:rPr>
          <w:spacing w:val="-9"/>
          <w:sz w:val="16"/>
        </w:rPr>
        <w:t> </w:t>
      </w:r>
      <w:r>
        <w:rPr>
          <w:spacing w:val="-10"/>
          <w:sz w:val="16"/>
        </w:rPr>
        <w:t>4</w:t>
      </w:r>
    </w:p>
    <w:p>
      <w:pPr>
        <w:spacing w:after="0"/>
        <w:jc w:val="center"/>
        <w:rPr>
          <w:sz w:val="16"/>
        </w:rPr>
        <w:sectPr>
          <w:pgSz w:w="11910" w:h="16840"/>
          <w:pgMar w:header="0" w:footer="149" w:top="220" w:bottom="340" w:left="283" w:right="708"/>
        </w:sectPr>
      </w:pPr>
    </w:p>
    <w:p>
      <w:pPr>
        <w:pStyle w:val="Heading4"/>
        <w:numPr>
          <w:ilvl w:val="1"/>
          <w:numId w:val="10"/>
        </w:numPr>
        <w:tabs>
          <w:tab w:pos="7930" w:val="left" w:leader="none"/>
        </w:tabs>
        <w:spacing w:line="240" w:lineRule="auto" w:before="198" w:after="0"/>
        <w:ind w:left="7930" w:right="0" w:hanging="6623"/>
        <w:jc w:val="left"/>
        <w:rPr>
          <w:b w:val="0"/>
          <w:position w:val="-8"/>
          <w:sz w:val="36"/>
        </w:rPr>
      </w:pPr>
      <w:r>
        <w:rPr/>
        <w:t>10:55</w:t>
      </w:r>
      <w:r>
        <w:rPr>
          <w:spacing w:val="-4"/>
        </w:rPr>
        <w:t> </w:t>
      </w:r>
      <w:r>
        <w:rPr/>
        <w:t>AM,</w:t>
      </w:r>
      <w:r>
        <w:rPr>
          <w:spacing w:val="2"/>
        </w:rPr>
        <w:t> </w:t>
      </w:r>
      <w:r>
        <w:rPr/>
        <w:t>0</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638016">
                <wp:simplePos x="0" y="0"/>
                <wp:positionH relativeFrom="page">
                  <wp:posOffset>914400</wp:posOffset>
                </wp:positionH>
                <wp:positionV relativeFrom="paragraph">
                  <wp:posOffset>262302</wp:posOffset>
                </wp:positionV>
                <wp:extent cx="5730875" cy="6350"/>
                <wp:effectExtent l="0" t="0" r="0" b="0"/>
                <wp:wrapTopAndBottom/>
                <wp:docPr id="310" name="Graphic 310"/>
                <wp:cNvGraphicFramePr>
                  <a:graphicFrameLocks/>
                </wp:cNvGraphicFramePr>
                <a:graphic>
                  <a:graphicData uri="http://schemas.microsoft.com/office/word/2010/wordprocessingShape">
                    <wps:wsp>
                      <wps:cNvPr id="310" name="Graphic 310"/>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678464;mso-wrap-distance-left:0;mso-wrap-distance-right:0" id="docshape169"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pgSz w:w="11910" w:h="16840"/>
          <w:pgMar w:header="0" w:footer="149" w:top="1940" w:bottom="340" w:left="283" w:right="708"/>
        </w:sectPr>
      </w:pPr>
    </w:p>
    <w:p>
      <w:pPr>
        <w:pStyle w:val="Heading2"/>
        <w:numPr>
          <w:ilvl w:val="1"/>
          <w:numId w:val="2"/>
        </w:numPr>
        <w:tabs>
          <w:tab w:pos="1695" w:val="left" w:leader="none"/>
        </w:tabs>
        <w:spacing w:line="259" w:lineRule="auto" w:before="90" w:after="0"/>
        <w:ind w:left="1157" w:right="0" w:firstLine="0"/>
        <w:jc w:val="left"/>
      </w:pPr>
      <w:bookmarkStart w:name="3.3 - RJC/37d: South West Wales Cancer C" w:id="27"/>
      <w:bookmarkEnd w:id="27"/>
      <w:r>
        <w:rPr/>
      </w:r>
      <w:r>
        <w:rPr/>
        <w:t>-</w:t>
      </w:r>
      <w:r>
        <w:rPr>
          <w:spacing w:val="-7"/>
        </w:rPr>
        <w:t> </w:t>
      </w:r>
      <w:r>
        <w:rPr/>
        <w:t>RJC/37d:</w:t>
      </w:r>
      <w:r>
        <w:rPr>
          <w:spacing w:val="-10"/>
        </w:rPr>
        <w:t> </w:t>
      </w:r>
      <w:r>
        <w:rPr/>
        <w:t>South</w:t>
      </w:r>
      <w:r>
        <w:rPr>
          <w:spacing w:val="-9"/>
        </w:rPr>
        <w:t> </w:t>
      </w:r>
      <w:r>
        <w:rPr/>
        <w:t>West</w:t>
      </w:r>
      <w:r>
        <w:rPr>
          <w:spacing w:val="-10"/>
        </w:rPr>
        <w:t> </w:t>
      </w:r>
      <w:r>
        <w:rPr/>
        <w:t>Wales</w:t>
      </w:r>
      <w:r>
        <w:rPr>
          <w:spacing w:val="-6"/>
        </w:rPr>
        <w:t> </w:t>
      </w:r>
      <w:r>
        <w:rPr/>
        <w:t>Cancer Centre Update – Future Radiotherapy </w:t>
      </w:r>
      <w:r>
        <w:rPr>
          <w:spacing w:val="-2"/>
        </w:rPr>
        <w:t>Infrastructure</w:t>
      </w:r>
    </w:p>
    <w:p>
      <w:pPr>
        <w:spacing w:line="261" w:lineRule="auto" w:before="93"/>
        <w:ind w:left="924" w:right="726" w:firstLine="550"/>
        <w:jc w:val="right"/>
        <w:rPr>
          <w:b/>
          <w:i/>
          <w:sz w:val="22"/>
        </w:rPr>
      </w:pPr>
      <w:r>
        <w:rPr/>
        <w:br w:type="column"/>
      </w:r>
      <w:r>
        <w:rPr>
          <w:b/>
          <w:i/>
          <w:sz w:val="22"/>
        </w:rPr>
        <w:t>Russell</w:t>
      </w:r>
      <w:r>
        <w:rPr>
          <w:b/>
          <w:i/>
          <w:spacing w:val="-16"/>
          <w:sz w:val="22"/>
        </w:rPr>
        <w:t> </w:t>
      </w:r>
      <w:r>
        <w:rPr>
          <w:b/>
          <w:i/>
          <w:sz w:val="22"/>
        </w:rPr>
        <w:t>Banner</w:t>
      </w:r>
      <w:r>
        <w:rPr>
          <w:b/>
          <w:i/>
          <w:sz w:val="22"/>
        </w:rPr>
        <w:t> (Swansea</w:t>
      </w:r>
      <w:r>
        <w:rPr>
          <w:b/>
          <w:i/>
          <w:spacing w:val="-10"/>
          <w:sz w:val="22"/>
        </w:rPr>
        <w:t> </w:t>
      </w:r>
      <w:r>
        <w:rPr>
          <w:b/>
          <w:i/>
          <w:sz w:val="22"/>
        </w:rPr>
        <w:t>Bay</w:t>
      </w:r>
      <w:r>
        <w:rPr>
          <w:b/>
          <w:i/>
          <w:spacing w:val="-10"/>
          <w:sz w:val="22"/>
        </w:rPr>
        <w:t> </w:t>
      </w:r>
      <w:r>
        <w:rPr>
          <w:b/>
          <w:i/>
          <w:sz w:val="22"/>
        </w:rPr>
        <w:t>UHB</w:t>
      </w:r>
      <w:r>
        <w:rPr>
          <w:b/>
          <w:i/>
          <w:spacing w:val="-10"/>
          <w:sz w:val="22"/>
        </w:rPr>
        <w:t> </w:t>
      </w:r>
      <w:r>
        <w:rPr>
          <w:b/>
          <w:i/>
          <w:sz w:val="22"/>
        </w:rPr>
        <w:t>- Haematology &amp;</w:t>
      </w:r>
    </w:p>
    <w:p>
      <w:pPr>
        <w:spacing w:line="246" w:lineRule="exact" w:before="0"/>
        <w:ind w:left="0" w:right="728" w:firstLine="0"/>
        <w:jc w:val="right"/>
        <w:rPr>
          <w:b/>
          <w:i/>
          <w:sz w:val="22"/>
        </w:rPr>
      </w:pPr>
      <w:r>
        <w:rPr>
          <w:b/>
          <w:i/>
          <w:spacing w:val="-2"/>
          <w:sz w:val="22"/>
        </w:rPr>
        <w:t>Oncology)</w:t>
      </w:r>
    </w:p>
    <w:p>
      <w:pPr>
        <w:spacing w:after="0" w:line="246" w:lineRule="exact"/>
        <w:jc w:val="right"/>
        <w:rPr>
          <w:b/>
          <w:i/>
          <w:sz w:val="22"/>
        </w:rPr>
        <w:sectPr>
          <w:type w:val="continuous"/>
          <w:pgSz w:w="11910" w:h="16840"/>
          <w:pgMar w:header="0" w:footer="149" w:top="760" w:bottom="280" w:left="283" w:right="708"/>
          <w:cols w:num="2" w:equalWidth="0">
            <w:col w:w="7066" w:space="40"/>
            <w:col w:w="3813"/>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7"/>
        <w:rPr>
          <w:b/>
          <w:i/>
          <w:sz w:val="22"/>
        </w:rPr>
      </w:pPr>
    </w:p>
    <w:p>
      <w:pPr>
        <w:spacing w:before="0"/>
        <w:ind w:left="1157" w:right="0" w:firstLine="0"/>
        <w:jc w:val="left"/>
        <w:rPr>
          <w:b/>
          <w:sz w:val="22"/>
        </w:rPr>
      </w:pPr>
      <w:r>
        <w:rPr>
          <w:b/>
          <w:spacing w:val="-2"/>
          <w:sz w:val="22"/>
        </w:rPr>
        <w:t>Attachments</w:t>
      </w:r>
    </w:p>
    <w:p>
      <w:pPr>
        <w:spacing w:before="175"/>
        <w:ind w:left="1157" w:right="0" w:firstLine="0"/>
        <w:jc w:val="left"/>
        <w:rPr>
          <w:sz w:val="18"/>
        </w:rPr>
      </w:pPr>
      <w:r>
        <w:rPr>
          <w:sz w:val="18"/>
          <w:u w:val="single"/>
        </w:rPr>
        <w:t>RJC</w:t>
      </w:r>
      <w:r>
        <w:rPr>
          <w:spacing w:val="-3"/>
          <w:sz w:val="18"/>
          <w:u w:val="single"/>
        </w:rPr>
        <w:t> </w:t>
      </w:r>
      <w:r>
        <w:rPr>
          <w:sz w:val="18"/>
          <w:u w:val="single"/>
        </w:rPr>
        <w:t>37d</w:t>
      </w:r>
      <w:r>
        <w:rPr>
          <w:spacing w:val="-1"/>
          <w:sz w:val="18"/>
          <w:u w:val="single"/>
        </w:rPr>
        <w:t> </w:t>
      </w:r>
      <w:r>
        <w:rPr>
          <w:sz w:val="18"/>
          <w:u w:val="single"/>
        </w:rPr>
        <w:t>South</w:t>
      </w:r>
      <w:r>
        <w:rPr>
          <w:spacing w:val="-1"/>
          <w:sz w:val="18"/>
          <w:u w:val="single"/>
        </w:rPr>
        <w:t> </w:t>
      </w:r>
      <w:r>
        <w:rPr>
          <w:sz w:val="18"/>
          <w:u w:val="single"/>
        </w:rPr>
        <w:t>West Wales</w:t>
      </w:r>
      <w:r>
        <w:rPr>
          <w:spacing w:val="-1"/>
          <w:sz w:val="18"/>
          <w:u w:val="single"/>
        </w:rPr>
        <w:t> </w:t>
      </w:r>
      <w:r>
        <w:rPr>
          <w:sz w:val="18"/>
          <w:u w:val="single"/>
        </w:rPr>
        <w:t>Cancer</w:t>
      </w:r>
      <w:r>
        <w:rPr>
          <w:spacing w:val="-1"/>
          <w:sz w:val="18"/>
          <w:u w:val="single"/>
        </w:rPr>
        <w:t> </w:t>
      </w:r>
      <w:r>
        <w:rPr>
          <w:sz w:val="18"/>
          <w:u w:val="single"/>
        </w:rPr>
        <w:t>Centre - Future Radiotherapy</w:t>
      </w:r>
      <w:r>
        <w:rPr>
          <w:spacing w:val="-1"/>
          <w:sz w:val="18"/>
          <w:u w:val="single"/>
        </w:rPr>
        <w:t> </w:t>
      </w:r>
      <w:r>
        <w:rPr>
          <w:spacing w:val="-2"/>
          <w:sz w:val="18"/>
          <w:u w:val="single"/>
        </w:rPr>
        <w:t>Infrastructur~.pdf</w:t>
      </w:r>
    </w:p>
    <w:p>
      <w:pPr>
        <w:spacing w:after="0"/>
        <w:jc w:val="left"/>
        <w:rPr>
          <w:sz w:val="18"/>
        </w:rPr>
        <w:sectPr>
          <w:type w:val="continuous"/>
          <w:pgSz w:w="11910" w:h="16840"/>
          <w:pgMar w:header="0" w:footer="149" w:top="760" w:bottom="28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11" name="Image 311"/>
            <wp:cNvGraphicFramePr>
              <a:graphicFrameLocks/>
            </wp:cNvGraphicFramePr>
            <a:graphic>
              <a:graphicData uri="http://schemas.openxmlformats.org/drawingml/2006/picture">
                <pic:pic>
                  <pic:nvPicPr>
                    <pic:cNvPr id="311" name="Image 311"/>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12" name="Image 312"/>
            <wp:cNvGraphicFramePr>
              <a:graphicFrameLocks/>
            </wp:cNvGraphicFramePr>
            <a:graphic>
              <a:graphicData uri="http://schemas.openxmlformats.org/drawingml/2006/picture">
                <pic:pic>
                  <pic:nvPicPr>
                    <pic:cNvPr id="312" name="Image 312"/>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p>
      <w:pPr>
        <w:pStyle w:val="BodyText"/>
        <w:spacing w:before="100"/>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645" w:hRule="atLeast"/>
        </w:trPr>
        <w:tc>
          <w:tcPr>
            <w:tcW w:w="10069" w:type="dxa"/>
            <w:shd w:val="clear" w:color="auto" w:fill="394871"/>
          </w:tcPr>
          <w:p>
            <w:pPr>
              <w:pStyle w:val="TableParagraph"/>
              <w:spacing w:before="30"/>
              <w:ind w:left="580"/>
              <w:rPr>
                <w:b/>
                <w:sz w:val="24"/>
              </w:rPr>
            </w:pPr>
            <w:bookmarkStart w:name="Attachments" w:id="28"/>
            <w:bookmarkEnd w:id="28"/>
            <w:r>
              <w:rPr/>
            </w:r>
            <w:bookmarkStart w:name="RJC 37d South West Wales Cancer Centre -" w:id="29"/>
            <w:bookmarkEnd w:id="29"/>
            <w:r>
              <w:rPr/>
            </w:r>
            <w:r>
              <w:rPr>
                <w:b/>
                <w:color w:val="FFFFFF"/>
                <w:spacing w:val="-2"/>
                <w:sz w:val="24"/>
              </w:rPr>
              <w:t>JOINT</w:t>
            </w:r>
            <w:r>
              <w:rPr>
                <w:b/>
                <w:color w:val="FFFFFF"/>
                <w:spacing w:val="-17"/>
                <w:sz w:val="24"/>
              </w:rPr>
              <w:t> </w:t>
            </w:r>
            <w:r>
              <w:rPr>
                <w:b/>
                <w:color w:val="FFFFFF"/>
                <w:spacing w:val="-2"/>
                <w:sz w:val="24"/>
              </w:rPr>
              <w:t>HYWEL</w:t>
            </w:r>
            <w:r>
              <w:rPr>
                <w:b/>
                <w:color w:val="FFFFFF"/>
                <w:spacing w:val="-15"/>
                <w:sz w:val="24"/>
              </w:rPr>
              <w:t> </w:t>
            </w:r>
            <w:r>
              <w:rPr>
                <w:b/>
                <w:color w:val="FFFFFF"/>
                <w:spacing w:val="-2"/>
                <w:sz w:val="24"/>
              </w:rPr>
              <w:t>DDA/SWANSEA</w:t>
            </w:r>
            <w:r>
              <w:rPr>
                <w:b/>
                <w:color w:val="FFFFFF"/>
                <w:spacing w:val="-14"/>
                <w:sz w:val="24"/>
              </w:rPr>
              <w:t> </w:t>
            </w:r>
            <w:r>
              <w:rPr>
                <w:b/>
                <w:color w:val="FFFFFF"/>
                <w:spacing w:val="-2"/>
                <w:sz w:val="24"/>
              </w:rPr>
              <w:t>BAY</w:t>
            </w:r>
            <w:r>
              <w:rPr>
                <w:b/>
                <w:color w:val="FFFFFF"/>
                <w:spacing w:val="-15"/>
                <w:sz w:val="24"/>
              </w:rPr>
              <w:t> </w:t>
            </w:r>
            <w:r>
              <w:rPr>
                <w:b/>
                <w:color w:val="FFFFFF"/>
                <w:spacing w:val="-2"/>
                <w:sz w:val="24"/>
              </w:rPr>
              <w:t>UNIVERSITY</w:t>
            </w:r>
            <w:r>
              <w:rPr>
                <w:b/>
                <w:color w:val="FFFFFF"/>
                <w:spacing w:val="-15"/>
                <w:sz w:val="24"/>
              </w:rPr>
              <w:t> </w:t>
            </w:r>
            <w:r>
              <w:rPr>
                <w:b/>
                <w:color w:val="FFFFFF"/>
                <w:spacing w:val="-2"/>
                <w:sz w:val="24"/>
              </w:rPr>
              <w:t>HEALTH</w:t>
            </w:r>
            <w:r>
              <w:rPr>
                <w:b/>
                <w:color w:val="FFFFFF"/>
                <w:spacing w:val="-12"/>
                <w:sz w:val="24"/>
              </w:rPr>
              <w:t> </w:t>
            </w:r>
            <w:r>
              <w:rPr>
                <w:b/>
                <w:color w:val="FFFFFF"/>
                <w:spacing w:val="-2"/>
                <w:sz w:val="24"/>
              </w:rPr>
              <w:t>BOARD</w:t>
            </w:r>
            <w:r>
              <w:rPr>
                <w:b/>
                <w:color w:val="FFFFFF"/>
                <w:spacing w:val="-12"/>
                <w:sz w:val="24"/>
              </w:rPr>
              <w:t> </w:t>
            </w:r>
            <w:r>
              <w:rPr>
                <w:b/>
                <w:color w:val="FFFFFF"/>
                <w:spacing w:val="-2"/>
                <w:sz w:val="24"/>
              </w:rPr>
              <w:t>COMMITTEE</w:t>
            </w:r>
          </w:p>
          <w:p>
            <w:pPr>
              <w:pStyle w:val="TableParagraph"/>
              <w:spacing w:line="270" w:lineRule="exact" w:before="49"/>
              <w:ind w:left="655"/>
              <w:rPr>
                <w:b/>
                <w:sz w:val="24"/>
              </w:rPr>
            </w:pPr>
            <w:r>
              <w:rPr>
                <w:b/>
                <w:color w:val="FFFFFF"/>
                <w:spacing w:val="-2"/>
                <w:sz w:val="24"/>
              </w:rPr>
              <w:t>CYD-BWRDD</w:t>
            </w:r>
            <w:r>
              <w:rPr>
                <w:b/>
                <w:color w:val="FFFFFF"/>
                <w:spacing w:val="-17"/>
                <w:sz w:val="24"/>
              </w:rPr>
              <w:t> </w:t>
            </w:r>
            <w:r>
              <w:rPr>
                <w:b/>
                <w:color w:val="FFFFFF"/>
                <w:spacing w:val="-2"/>
                <w:sz w:val="24"/>
              </w:rPr>
              <w:t>IECHYD</w:t>
            </w:r>
            <w:r>
              <w:rPr>
                <w:b/>
                <w:color w:val="FFFFFF"/>
                <w:spacing w:val="-15"/>
                <w:sz w:val="24"/>
              </w:rPr>
              <w:t> </w:t>
            </w:r>
            <w:r>
              <w:rPr>
                <w:b/>
                <w:color w:val="FFFFFF"/>
                <w:spacing w:val="-2"/>
                <w:sz w:val="24"/>
              </w:rPr>
              <w:t>PRIFYSGOL</w:t>
            </w:r>
            <w:r>
              <w:rPr>
                <w:b/>
                <w:color w:val="FFFFFF"/>
                <w:spacing w:val="-14"/>
                <w:sz w:val="24"/>
              </w:rPr>
              <w:t> </w:t>
            </w:r>
            <w:r>
              <w:rPr>
                <w:b/>
                <w:color w:val="FFFFFF"/>
                <w:spacing w:val="-2"/>
                <w:sz w:val="24"/>
              </w:rPr>
              <w:t>HYWEL</w:t>
            </w:r>
            <w:r>
              <w:rPr>
                <w:b/>
                <w:color w:val="FFFFFF"/>
                <w:spacing w:val="-15"/>
                <w:sz w:val="24"/>
              </w:rPr>
              <w:t> </w:t>
            </w:r>
            <w:r>
              <w:rPr>
                <w:b/>
                <w:color w:val="FFFFFF"/>
                <w:spacing w:val="-2"/>
                <w:sz w:val="24"/>
              </w:rPr>
              <w:t>DDA/BAE</w:t>
            </w:r>
            <w:r>
              <w:rPr>
                <w:b/>
                <w:color w:val="FFFFFF"/>
                <w:spacing w:val="-15"/>
                <w:sz w:val="24"/>
              </w:rPr>
              <w:t> </w:t>
            </w:r>
            <w:r>
              <w:rPr>
                <w:b/>
                <w:color w:val="FFFFFF"/>
                <w:spacing w:val="-2"/>
                <w:sz w:val="24"/>
              </w:rPr>
              <w:t>ABERTAWE</w:t>
            </w:r>
            <w:r>
              <w:rPr>
                <w:b/>
                <w:color w:val="FFFFFF"/>
                <w:spacing w:val="-14"/>
                <w:sz w:val="24"/>
              </w:rPr>
              <w:t> </w:t>
            </w:r>
            <w:r>
              <w:rPr>
                <w:b/>
                <w:color w:val="FFFFFF"/>
                <w:spacing w:val="-2"/>
                <w:sz w:val="24"/>
              </w:rPr>
              <w:t>PWYLLGOR</w:t>
            </w:r>
          </w:p>
        </w:tc>
      </w:tr>
    </w:tbl>
    <w:p>
      <w:pPr>
        <w:pStyle w:val="BodyText"/>
        <w:spacing w:before="45"/>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2"/>
        <w:gridCol w:w="6098"/>
      </w:tblGrid>
      <w:tr>
        <w:trPr>
          <w:trHeight w:val="615" w:hRule="atLeast"/>
        </w:trPr>
        <w:tc>
          <w:tcPr>
            <w:tcW w:w="3972" w:type="dxa"/>
            <w:shd w:val="clear" w:color="auto" w:fill="C1A875"/>
          </w:tcPr>
          <w:p>
            <w:pPr>
              <w:pStyle w:val="TableParagraph"/>
              <w:spacing w:line="242" w:lineRule="auto" w:before="30"/>
              <w:ind w:left="110" w:right="1082"/>
              <w:rPr>
                <w:b/>
                <w:sz w:val="24"/>
              </w:rPr>
            </w:pPr>
            <w:r>
              <w:rPr>
                <w:b/>
                <w:spacing w:val="-4"/>
                <w:sz w:val="24"/>
              </w:rPr>
              <w:t>DYDDIAD</w:t>
            </w:r>
            <w:r>
              <w:rPr>
                <w:b/>
                <w:spacing w:val="-13"/>
                <w:sz w:val="24"/>
              </w:rPr>
              <w:t> </w:t>
            </w:r>
            <w:r>
              <w:rPr>
                <w:b/>
                <w:spacing w:val="-4"/>
                <w:sz w:val="24"/>
              </w:rPr>
              <w:t>Y</w:t>
            </w:r>
            <w:r>
              <w:rPr>
                <w:b/>
                <w:spacing w:val="-13"/>
                <w:sz w:val="24"/>
              </w:rPr>
              <w:t> </w:t>
            </w:r>
            <w:r>
              <w:rPr>
                <w:b/>
                <w:spacing w:val="-4"/>
                <w:sz w:val="24"/>
              </w:rPr>
              <w:t>CYFARFOD: </w:t>
            </w:r>
            <w:r>
              <w:rPr>
                <w:b/>
                <w:sz w:val="24"/>
              </w:rPr>
              <w:t>DATE OF MEETING:</w:t>
            </w:r>
          </w:p>
        </w:tc>
        <w:tc>
          <w:tcPr>
            <w:tcW w:w="6098" w:type="dxa"/>
          </w:tcPr>
          <w:p>
            <w:pPr>
              <w:pStyle w:val="TableParagraph"/>
              <w:ind w:left="109"/>
              <w:rPr>
                <w:sz w:val="24"/>
              </w:rPr>
            </w:pPr>
            <w:r>
              <w:rPr>
                <w:spacing w:val="-2"/>
                <w:sz w:val="24"/>
              </w:rPr>
              <w:t>13</w:t>
            </w:r>
            <w:r>
              <w:rPr>
                <w:spacing w:val="-15"/>
                <w:sz w:val="24"/>
              </w:rPr>
              <w:t> </w:t>
            </w:r>
            <w:r>
              <w:rPr>
                <w:spacing w:val="-2"/>
                <w:sz w:val="24"/>
              </w:rPr>
              <w:t>October</w:t>
            </w:r>
            <w:r>
              <w:rPr>
                <w:spacing w:val="-12"/>
                <w:sz w:val="24"/>
              </w:rPr>
              <w:t> </w:t>
            </w:r>
            <w:r>
              <w:rPr>
                <w:spacing w:val="-4"/>
                <w:sz w:val="24"/>
              </w:rPr>
              <w:t>2026</w:t>
            </w:r>
          </w:p>
        </w:tc>
      </w:tr>
      <w:tr>
        <w:trPr>
          <w:trHeight w:val="615" w:hRule="atLeast"/>
        </w:trPr>
        <w:tc>
          <w:tcPr>
            <w:tcW w:w="3972" w:type="dxa"/>
            <w:shd w:val="clear" w:color="auto" w:fill="C1A875"/>
          </w:tcPr>
          <w:p>
            <w:pPr>
              <w:pStyle w:val="TableParagraph"/>
              <w:spacing w:before="30"/>
              <w:ind w:left="110" w:right="1216"/>
              <w:rPr>
                <w:b/>
                <w:sz w:val="24"/>
              </w:rPr>
            </w:pPr>
            <w:r>
              <w:rPr>
                <w:b/>
                <w:spacing w:val="-2"/>
                <w:sz w:val="24"/>
              </w:rPr>
              <w:t>TEITL</w:t>
            </w:r>
            <w:r>
              <w:rPr>
                <w:b/>
                <w:spacing w:val="-15"/>
                <w:sz w:val="24"/>
              </w:rPr>
              <w:t> </w:t>
            </w:r>
            <w:r>
              <w:rPr>
                <w:b/>
                <w:spacing w:val="-2"/>
                <w:sz w:val="24"/>
              </w:rPr>
              <w:t>YR</w:t>
            </w:r>
            <w:r>
              <w:rPr>
                <w:b/>
                <w:spacing w:val="-15"/>
                <w:sz w:val="24"/>
              </w:rPr>
              <w:t> </w:t>
            </w:r>
            <w:r>
              <w:rPr>
                <w:b/>
                <w:spacing w:val="-2"/>
                <w:sz w:val="24"/>
              </w:rPr>
              <w:t>ADRODDIAD: </w:t>
            </w:r>
            <w:r>
              <w:rPr>
                <w:b/>
                <w:sz w:val="24"/>
              </w:rPr>
              <w:t>TITLE OF REPORT:</w:t>
            </w:r>
          </w:p>
        </w:tc>
        <w:tc>
          <w:tcPr>
            <w:tcW w:w="6098" w:type="dxa"/>
          </w:tcPr>
          <w:p>
            <w:pPr>
              <w:pStyle w:val="TableParagraph"/>
              <w:ind w:left="109"/>
              <w:rPr>
                <w:sz w:val="24"/>
              </w:rPr>
            </w:pPr>
            <w:r>
              <w:rPr>
                <w:sz w:val="24"/>
              </w:rPr>
              <w:t>Future</w:t>
            </w:r>
            <w:r>
              <w:rPr>
                <w:spacing w:val="-1"/>
                <w:sz w:val="24"/>
              </w:rPr>
              <w:t> </w:t>
            </w:r>
            <w:r>
              <w:rPr>
                <w:sz w:val="24"/>
              </w:rPr>
              <w:t>Radiotherapy Infrastructure</w:t>
            </w:r>
            <w:r>
              <w:rPr>
                <w:spacing w:val="-1"/>
                <w:sz w:val="24"/>
              </w:rPr>
              <w:t> </w:t>
            </w:r>
            <w:r>
              <w:rPr>
                <w:sz w:val="24"/>
              </w:rPr>
              <w:t>and</w:t>
            </w:r>
            <w:r>
              <w:rPr>
                <w:spacing w:val="-1"/>
                <w:sz w:val="24"/>
              </w:rPr>
              <w:t> </w:t>
            </w:r>
            <w:r>
              <w:rPr>
                <w:sz w:val="24"/>
              </w:rPr>
              <w:t>LINAC </w:t>
            </w:r>
            <w:r>
              <w:rPr>
                <w:spacing w:val="-2"/>
                <w:sz w:val="24"/>
              </w:rPr>
              <w:t>Replacement</w:t>
            </w:r>
            <w:r>
              <w:rPr>
                <w:spacing w:val="-15"/>
                <w:sz w:val="24"/>
              </w:rPr>
              <w:t> </w:t>
            </w:r>
            <w:r>
              <w:rPr>
                <w:spacing w:val="-2"/>
                <w:sz w:val="24"/>
              </w:rPr>
              <w:t>Resilience</w:t>
            </w:r>
            <w:r>
              <w:rPr>
                <w:spacing w:val="-15"/>
                <w:sz w:val="24"/>
              </w:rPr>
              <w:t> </w:t>
            </w:r>
            <w:r>
              <w:rPr>
                <w:spacing w:val="-2"/>
                <w:sz w:val="24"/>
              </w:rPr>
              <w:t>at</w:t>
            </w:r>
            <w:r>
              <w:rPr>
                <w:spacing w:val="-14"/>
                <w:sz w:val="24"/>
              </w:rPr>
              <w:t> </w:t>
            </w:r>
            <w:r>
              <w:rPr>
                <w:spacing w:val="-2"/>
                <w:sz w:val="24"/>
              </w:rPr>
              <w:t>the</w:t>
            </w:r>
            <w:r>
              <w:rPr>
                <w:spacing w:val="-15"/>
                <w:sz w:val="24"/>
              </w:rPr>
              <w:t> </w:t>
            </w:r>
            <w:r>
              <w:rPr>
                <w:spacing w:val="-2"/>
                <w:sz w:val="24"/>
              </w:rPr>
              <w:t>South</w:t>
            </w:r>
            <w:r>
              <w:rPr>
                <w:spacing w:val="-15"/>
                <w:sz w:val="24"/>
              </w:rPr>
              <w:t> </w:t>
            </w:r>
            <w:r>
              <w:rPr>
                <w:spacing w:val="-2"/>
                <w:sz w:val="24"/>
              </w:rPr>
              <w:t>West</w:t>
            </w:r>
            <w:r>
              <w:rPr>
                <w:spacing w:val="-15"/>
                <w:sz w:val="24"/>
              </w:rPr>
              <w:t> </w:t>
            </w:r>
            <w:r>
              <w:rPr>
                <w:spacing w:val="-2"/>
                <w:sz w:val="24"/>
              </w:rPr>
              <w:t>Wales</w:t>
            </w:r>
          </w:p>
        </w:tc>
      </w:tr>
      <w:tr>
        <w:trPr>
          <w:trHeight w:val="615" w:hRule="atLeast"/>
        </w:trPr>
        <w:tc>
          <w:tcPr>
            <w:tcW w:w="3972" w:type="dxa"/>
            <w:shd w:val="clear" w:color="auto" w:fill="C1A875"/>
          </w:tcPr>
          <w:p>
            <w:pPr>
              <w:pStyle w:val="TableParagraph"/>
              <w:spacing w:before="30"/>
              <w:ind w:left="110"/>
              <w:rPr>
                <w:b/>
                <w:sz w:val="24"/>
              </w:rPr>
            </w:pPr>
            <w:r>
              <w:rPr>
                <w:b/>
                <w:spacing w:val="-4"/>
                <w:sz w:val="24"/>
              </w:rPr>
              <w:t>CYFARWYDDWR</w:t>
            </w:r>
            <w:r>
              <w:rPr>
                <w:b/>
                <w:spacing w:val="-13"/>
                <w:sz w:val="24"/>
              </w:rPr>
              <w:t> </w:t>
            </w:r>
            <w:r>
              <w:rPr>
                <w:b/>
                <w:spacing w:val="-4"/>
                <w:sz w:val="24"/>
              </w:rPr>
              <w:t>ARWEINIOL: </w:t>
            </w:r>
            <w:r>
              <w:rPr>
                <w:b/>
                <w:sz w:val="24"/>
              </w:rPr>
              <w:t>LEAD DIRECTOR:</w:t>
            </w:r>
          </w:p>
        </w:tc>
        <w:tc>
          <w:tcPr>
            <w:tcW w:w="6098" w:type="dxa"/>
          </w:tcPr>
          <w:p>
            <w:pPr>
              <w:pStyle w:val="TableParagraph"/>
              <w:ind w:left="109"/>
              <w:rPr>
                <w:sz w:val="24"/>
              </w:rPr>
            </w:pPr>
            <w:r>
              <w:rPr>
                <w:spacing w:val="-2"/>
                <w:sz w:val="24"/>
              </w:rPr>
              <w:t>Executive</w:t>
            </w:r>
            <w:r>
              <w:rPr>
                <w:spacing w:val="-15"/>
                <w:sz w:val="24"/>
              </w:rPr>
              <w:t> </w:t>
            </w:r>
            <w:r>
              <w:rPr>
                <w:spacing w:val="-2"/>
                <w:sz w:val="24"/>
              </w:rPr>
              <w:t>Directors</w:t>
            </w:r>
            <w:r>
              <w:rPr>
                <w:spacing w:val="-15"/>
                <w:sz w:val="24"/>
              </w:rPr>
              <w:t> </w:t>
            </w:r>
            <w:r>
              <w:rPr>
                <w:spacing w:val="-2"/>
                <w:sz w:val="24"/>
              </w:rPr>
              <w:t>of</w:t>
            </w:r>
            <w:r>
              <w:rPr>
                <w:spacing w:val="-14"/>
                <w:sz w:val="24"/>
              </w:rPr>
              <w:t> </w:t>
            </w:r>
            <w:r>
              <w:rPr>
                <w:spacing w:val="-2"/>
                <w:sz w:val="24"/>
              </w:rPr>
              <w:t>Planning</w:t>
            </w:r>
          </w:p>
        </w:tc>
      </w:tr>
      <w:tr>
        <w:trPr>
          <w:trHeight w:val="610" w:hRule="atLeast"/>
        </w:trPr>
        <w:tc>
          <w:tcPr>
            <w:tcW w:w="3972" w:type="dxa"/>
            <w:shd w:val="clear" w:color="auto" w:fill="C1A875"/>
          </w:tcPr>
          <w:p>
            <w:pPr>
              <w:pStyle w:val="TableParagraph"/>
              <w:spacing w:before="30"/>
              <w:ind w:left="110" w:right="1082"/>
              <w:rPr>
                <w:b/>
                <w:sz w:val="24"/>
              </w:rPr>
            </w:pPr>
            <w:r>
              <w:rPr>
                <w:b/>
                <w:sz w:val="24"/>
              </w:rPr>
              <w:t>SWYDDOG ADRODD: </w:t>
            </w:r>
            <w:r>
              <w:rPr>
                <w:b/>
                <w:spacing w:val="-4"/>
                <w:sz w:val="24"/>
              </w:rPr>
              <w:t>REPORTING</w:t>
            </w:r>
            <w:r>
              <w:rPr>
                <w:b/>
                <w:spacing w:val="-13"/>
                <w:sz w:val="24"/>
              </w:rPr>
              <w:t> </w:t>
            </w:r>
            <w:r>
              <w:rPr>
                <w:b/>
                <w:spacing w:val="-4"/>
                <w:sz w:val="24"/>
              </w:rPr>
              <w:t>OFFICER:</w:t>
            </w:r>
          </w:p>
        </w:tc>
        <w:tc>
          <w:tcPr>
            <w:tcW w:w="6098" w:type="dxa"/>
          </w:tcPr>
          <w:p>
            <w:pPr>
              <w:pStyle w:val="TableParagraph"/>
              <w:ind w:left="109"/>
              <w:rPr>
                <w:sz w:val="24"/>
              </w:rPr>
            </w:pPr>
            <w:r>
              <w:rPr>
                <w:spacing w:val="-2"/>
                <w:sz w:val="24"/>
              </w:rPr>
              <w:t>Dr</w:t>
            </w:r>
            <w:r>
              <w:rPr>
                <w:spacing w:val="-15"/>
                <w:sz w:val="24"/>
              </w:rPr>
              <w:t> </w:t>
            </w:r>
            <w:r>
              <w:rPr>
                <w:spacing w:val="-2"/>
                <w:sz w:val="24"/>
              </w:rPr>
              <w:t>Russell</w:t>
            </w:r>
            <w:r>
              <w:rPr>
                <w:spacing w:val="-15"/>
                <w:sz w:val="24"/>
              </w:rPr>
              <w:t> </w:t>
            </w:r>
            <w:r>
              <w:rPr>
                <w:spacing w:val="-2"/>
                <w:sz w:val="24"/>
              </w:rPr>
              <w:t>Banner,</w:t>
            </w:r>
            <w:r>
              <w:rPr>
                <w:spacing w:val="-14"/>
                <w:sz w:val="24"/>
              </w:rPr>
              <w:t> </w:t>
            </w:r>
            <w:r>
              <w:rPr>
                <w:spacing w:val="-2"/>
                <w:sz w:val="24"/>
              </w:rPr>
              <w:t>Clinical</w:t>
            </w:r>
            <w:r>
              <w:rPr>
                <w:spacing w:val="-15"/>
                <w:sz w:val="24"/>
              </w:rPr>
              <w:t> </w:t>
            </w:r>
            <w:r>
              <w:rPr>
                <w:spacing w:val="-2"/>
                <w:sz w:val="24"/>
              </w:rPr>
              <w:t>Director,</w:t>
            </w:r>
            <w:r>
              <w:rPr>
                <w:spacing w:val="-15"/>
                <w:sz w:val="24"/>
              </w:rPr>
              <w:t> </w:t>
            </w:r>
            <w:r>
              <w:rPr>
                <w:spacing w:val="-2"/>
                <w:sz w:val="24"/>
              </w:rPr>
              <w:t>Oncology</w:t>
            </w:r>
            <w:r>
              <w:rPr>
                <w:spacing w:val="-15"/>
                <w:sz w:val="24"/>
              </w:rPr>
              <w:t> </w:t>
            </w:r>
            <w:r>
              <w:rPr>
                <w:spacing w:val="-2"/>
                <w:sz w:val="24"/>
              </w:rPr>
              <w:t>&amp; Haematology</w:t>
            </w:r>
          </w:p>
        </w:tc>
      </w:tr>
    </w:tbl>
    <w:p>
      <w:pPr>
        <w:pStyle w:val="BodyText"/>
        <w:spacing w:before="51"/>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0" w:hRule="atLeast"/>
        </w:trPr>
        <w:tc>
          <w:tcPr>
            <w:tcW w:w="10069" w:type="dxa"/>
            <w:shd w:val="clear" w:color="auto" w:fill="394871"/>
          </w:tcPr>
          <w:p>
            <w:pPr>
              <w:pStyle w:val="TableParagraph"/>
              <w:spacing w:line="275" w:lineRule="exact"/>
              <w:ind w:left="110"/>
              <w:rPr>
                <w:sz w:val="24"/>
              </w:rPr>
            </w:pPr>
            <w:r>
              <w:rPr>
                <w:b/>
                <w:color w:val="FFFFFF"/>
                <w:spacing w:val="-2"/>
                <w:sz w:val="24"/>
              </w:rPr>
              <w:t>Pwrpas</w:t>
            </w:r>
            <w:r>
              <w:rPr>
                <w:b/>
                <w:color w:val="FFFFFF"/>
                <w:spacing w:val="-11"/>
                <w:sz w:val="24"/>
              </w:rPr>
              <w:t> </w:t>
            </w:r>
            <w:r>
              <w:rPr>
                <w:b/>
                <w:color w:val="FFFFFF"/>
                <w:spacing w:val="-2"/>
                <w:sz w:val="24"/>
              </w:rPr>
              <w:t>yr</w:t>
            </w:r>
            <w:r>
              <w:rPr>
                <w:b/>
                <w:color w:val="FFFFFF"/>
                <w:spacing w:val="-13"/>
                <w:sz w:val="24"/>
              </w:rPr>
              <w:t> </w:t>
            </w:r>
            <w:r>
              <w:rPr>
                <w:b/>
                <w:color w:val="FFFFFF"/>
                <w:spacing w:val="-2"/>
                <w:sz w:val="24"/>
              </w:rPr>
              <w:t>Adroddiad</w:t>
            </w:r>
            <w:r>
              <w:rPr>
                <w:b/>
                <w:color w:val="FFFFFF"/>
                <w:spacing w:val="-14"/>
                <w:sz w:val="24"/>
              </w:rPr>
              <w:t> </w:t>
            </w:r>
            <w:r>
              <w:rPr>
                <w:color w:val="FFFFFF"/>
                <w:spacing w:val="-2"/>
                <w:sz w:val="24"/>
              </w:rPr>
              <w:t>(dewiswch</w:t>
            </w:r>
            <w:r>
              <w:rPr>
                <w:color w:val="FFFFFF"/>
                <w:spacing w:val="-12"/>
                <w:sz w:val="24"/>
              </w:rPr>
              <w:t> </w:t>
            </w:r>
            <w:r>
              <w:rPr>
                <w:color w:val="FFFFFF"/>
                <w:spacing w:val="-2"/>
                <w:sz w:val="24"/>
              </w:rPr>
              <w:t>fel</w:t>
            </w:r>
            <w:r>
              <w:rPr>
                <w:color w:val="FFFFFF"/>
                <w:spacing w:val="-8"/>
                <w:sz w:val="24"/>
              </w:rPr>
              <w:t> </w:t>
            </w:r>
            <w:r>
              <w:rPr>
                <w:color w:val="FFFFFF"/>
                <w:spacing w:val="-2"/>
                <w:sz w:val="24"/>
              </w:rPr>
              <w:t>yn</w:t>
            </w:r>
            <w:r>
              <w:rPr>
                <w:color w:val="FFFFFF"/>
                <w:spacing w:val="-14"/>
                <w:sz w:val="24"/>
              </w:rPr>
              <w:t> </w:t>
            </w:r>
            <w:r>
              <w:rPr>
                <w:color w:val="FFFFFF"/>
                <w:spacing w:val="-2"/>
                <w:sz w:val="24"/>
              </w:rPr>
              <w:t>addas)</w:t>
            </w:r>
          </w:p>
          <w:p>
            <w:pPr>
              <w:pStyle w:val="TableParagraph"/>
              <w:spacing w:line="255" w:lineRule="exact"/>
              <w:ind w:left="110"/>
              <w:rPr>
                <w:sz w:val="24"/>
              </w:rPr>
            </w:pPr>
            <w:r>
              <w:rPr>
                <w:b/>
                <w:color w:val="FFFFFF"/>
                <w:spacing w:val="-2"/>
                <w:sz w:val="24"/>
              </w:rPr>
              <w:t>Purpose</w:t>
            </w:r>
            <w:r>
              <w:rPr>
                <w:b/>
                <w:color w:val="FFFFFF"/>
                <w:spacing w:val="-10"/>
                <w:sz w:val="24"/>
              </w:rPr>
              <w:t> </w:t>
            </w:r>
            <w:r>
              <w:rPr>
                <w:b/>
                <w:color w:val="FFFFFF"/>
                <w:spacing w:val="-2"/>
                <w:sz w:val="24"/>
              </w:rPr>
              <w:t>of</w:t>
            </w:r>
            <w:r>
              <w:rPr>
                <w:b/>
                <w:color w:val="FFFFFF"/>
                <w:spacing w:val="-11"/>
                <w:sz w:val="24"/>
              </w:rPr>
              <w:t> </w:t>
            </w:r>
            <w:r>
              <w:rPr>
                <w:b/>
                <w:color w:val="FFFFFF"/>
                <w:spacing w:val="-2"/>
                <w:sz w:val="24"/>
              </w:rPr>
              <w:t>the</w:t>
            </w:r>
            <w:r>
              <w:rPr>
                <w:b/>
                <w:color w:val="FFFFFF"/>
                <w:spacing w:val="-14"/>
                <w:sz w:val="24"/>
              </w:rPr>
              <w:t> </w:t>
            </w:r>
            <w:r>
              <w:rPr>
                <w:b/>
                <w:color w:val="FFFFFF"/>
                <w:spacing w:val="-2"/>
                <w:sz w:val="24"/>
              </w:rPr>
              <w:t>Report</w:t>
            </w:r>
            <w:r>
              <w:rPr>
                <w:b/>
                <w:color w:val="FFFFFF"/>
                <w:spacing w:val="-4"/>
                <w:sz w:val="24"/>
              </w:rPr>
              <w:t> </w:t>
            </w:r>
            <w:r>
              <w:rPr>
                <w:color w:val="FFFFFF"/>
                <w:spacing w:val="-2"/>
                <w:sz w:val="24"/>
              </w:rPr>
              <w:t>(select</w:t>
            </w:r>
            <w:r>
              <w:rPr>
                <w:color w:val="FFFFFF"/>
                <w:spacing w:val="-11"/>
                <w:sz w:val="24"/>
              </w:rPr>
              <w:t> </w:t>
            </w:r>
            <w:r>
              <w:rPr>
                <w:color w:val="FFFFFF"/>
                <w:spacing w:val="-2"/>
                <w:sz w:val="24"/>
              </w:rPr>
              <w:t>as</w:t>
            </w:r>
            <w:r>
              <w:rPr>
                <w:color w:val="FFFFFF"/>
                <w:spacing w:val="-14"/>
                <w:sz w:val="24"/>
              </w:rPr>
              <w:t> </w:t>
            </w:r>
            <w:r>
              <w:rPr>
                <w:color w:val="FFFFFF"/>
                <w:spacing w:val="-2"/>
                <w:sz w:val="24"/>
              </w:rPr>
              <w:t>appropriate)</w:t>
            </w:r>
          </w:p>
        </w:tc>
      </w:tr>
      <w:tr>
        <w:trPr>
          <w:trHeight w:val="275" w:hRule="atLeast"/>
        </w:trPr>
        <w:tc>
          <w:tcPr>
            <w:tcW w:w="10069" w:type="dxa"/>
          </w:tcPr>
          <w:p>
            <w:pPr>
              <w:pStyle w:val="TableParagraph"/>
              <w:spacing w:line="255" w:lineRule="exact"/>
              <w:ind w:left="166" w:right="159"/>
              <w:jc w:val="center"/>
              <w:rPr>
                <w:sz w:val="24"/>
              </w:rPr>
            </w:pPr>
            <w:r>
              <w:rPr>
                <w:spacing w:val="-4"/>
                <w:sz w:val="24"/>
              </w:rPr>
              <w:t>Ar</w:t>
            </w:r>
            <w:r>
              <w:rPr>
                <w:spacing w:val="-1"/>
                <w:sz w:val="24"/>
              </w:rPr>
              <w:t> </w:t>
            </w:r>
            <w:r>
              <w:rPr>
                <w:spacing w:val="-4"/>
                <w:sz w:val="24"/>
              </w:rPr>
              <w:t>Gyfer</w:t>
            </w:r>
            <w:r>
              <w:rPr>
                <w:spacing w:val="-1"/>
                <w:sz w:val="24"/>
              </w:rPr>
              <w:t> </w:t>
            </w:r>
            <w:r>
              <w:rPr>
                <w:spacing w:val="-4"/>
                <w:sz w:val="24"/>
              </w:rPr>
              <w:t>Penderfyniad/For</w:t>
            </w:r>
            <w:r>
              <w:rPr>
                <w:spacing w:val="-1"/>
                <w:sz w:val="24"/>
              </w:rPr>
              <w:t> </w:t>
            </w:r>
            <w:r>
              <w:rPr>
                <w:spacing w:val="-4"/>
                <w:sz w:val="24"/>
              </w:rPr>
              <w:t>Decision</w:t>
            </w:r>
          </w:p>
        </w:tc>
      </w:tr>
    </w:tbl>
    <w:p>
      <w:pPr>
        <w:pStyle w:val="BodyText"/>
        <w:spacing w:before="45"/>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5" w:hRule="atLeast"/>
        </w:trPr>
        <w:tc>
          <w:tcPr>
            <w:tcW w:w="10069" w:type="dxa"/>
            <w:shd w:val="clear" w:color="auto" w:fill="394871"/>
          </w:tcPr>
          <w:p>
            <w:pPr>
              <w:pStyle w:val="TableParagraph"/>
              <w:spacing w:line="280" w:lineRule="exact"/>
              <w:ind w:left="110" w:right="7140"/>
              <w:rPr>
                <w:b/>
                <w:sz w:val="24"/>
              </w:rPr>
            </w:pPr>
            <w:r>
              <w:rPr>
                <w:b/>
                <w:color w:val="FFFFFF"/>
                <w:spacing w:val="-4"/>
                <w:sz w:val="24"/>
              </w:rPr>
              <w:t>ADRODDIAD</w:t>
            </w:r>
            <w:r>
              <w:rPr>
                <w:b/>
                <w:color w:val="FFFFFF"/>
                <w:spacing w:val="-13"/>
                <w:sz w:val="24"/>
              </w:rPr>
              <w:t> </w:t>
            </w:r>
            <w:r>
              <w:rPr>
                <w:b/>
                <w:color w:val="FFFFFF"/>
                <w:spacing w:val="-4"/>
                <w:sz w:val="24"/>
              </w:rPr>
              <w:t>SCAA </w:t>
            </w:r>
            <w:r>
              <w:rPr>
                <w:b/>
                <w:color w:val="FFFFFF"/>
                <w:sz w:val="24"/>
              </w:rPr>
              <w:t>SBAR REPORT</w:t>
            </w:r>
          </w:p>
        </w:tc>
      </w:tr>
      <w:tr>
        <w:trPr>
          <w:trHeight w:val="6606" w:hRule="atLeast"/>
        </w:trPr>
        <w:tc>
          <w:tcPr>
            <w:tcW w:w="10069" w:type="dxa"/>
          </w:tcPr>
          <w:p>
            <w:pPr>
              <w:pStyle w:val="TableParagraph"/>
              <w:spacing w:line="270" w:lineRule="exact"/>
              <w:ind w:left="110"/>
              <w:rPr>
                <w:b/>
                <w:sz w:val="24"/>
              </w:rPr>
            </w:pPr>
            <w:r>
              <w:rPr>
                <w:b/>
                <w:color w:val="1F487C"/>
                <w:spacing w:val="-2"/>
                <w:sz w:val="24"/>
                <w:u w:val="single" w:color="1F487C"/>
              </w:rPr>
              <w:t>Sefyllfa</w:t>
            </w:r>
            <w:r>
              <w:rPr>
                <w:b/>
                <w:color w:val="1F487C"/>
                <w:spacing w:val="-12"/>
                <w:sz w:val="24"/>
                <w:u w:val="single" w:color="1F487C"/>
              </w:rPr>
              <w:t> </w:t>
            </w:r>
            <w:r>
              <w:rPr>
                <w:b/>
                <w:color w:val="1F487C"/>
                <w:spacing w:val="-2"/>
                <w:sz w:val="24"/>
                <w:u w:val="single" w:color="1F487C"/>
              </w:rPr>
              <w:t>/</w:t>
            </w:r>
            <w:r>
              <w:rPr>
                <w:b/>
                <w:color w:val="1F487C"/>
                <w:spacing w:val="-10"/>
                <w:sz w:val="24"/>
                <w:u w:val="single" w:color="1F487C"/>
              </w:rPr>
              <w:t> </w:t>
            </w:r>
            <w:r>
              <w:rPr>
                <w:b/>
                <w:color w:val="1F487C"/>
                <w:spacing w:val="-2"/>
                <w:sz w:val="24"/>
                <w:u w:val="single" w:color="1F487C"/>
              </w:rPr>
              <w:t>Situation</w:t>
            </w:r>
          </w:p>
          <w:p>
            <w:pPr>
              <w:pStyle w:val="TableParagraph"/>
              <w:ind w:left="110"/>
              <w:rPr>
                <w:sz w:val="24"/>
              </w:rPr>
            </w:pPr>
            <w:r>
              <w:rPr>
                <w:sz w:val="24"/>
              </w:rPr>
              <w:t>The</w:t>
            </w:r>
            <w:r>
              <w:rPr>
                <w:spacing w:val="-14"/>
                <w:sz w:val="24"/>
              </w:rPr>
              <w:t> </w:t>
            </w:r>
            <w:r>
              <w:rPr>
                <w:sz w:val="24"/>
              </w:rPr>
              <w:t>Regional</w:t>
            </w:r>
            <w:r>
              <w:rPr>
                <w:spacing w:val="-13"/>
                <w:sz w:val="24"/>
              </w:rPr>
              <w:t> </w:t>
            </w:r>
            <w:r>
              <w:rPr>
                <w:sz w:val="24"/>
              </w:rPr>
              <w:t>Radiotherapy</w:t>
            </w:r>
            <w:r>
              <w:rPr>
                <w:spacing w:val="-10"/>
                <w:sz w:val="24"/>
              </w:rPr>
              <w:t> </w:t>
            </w:r>
            <w:r>
              <w:rPr>
                <w:sz w:val="24"/>
              </w:rPr>
              <w:t>Programme</w:t>
            </w:r>
            <w:r>
              <w:rPr>
                <w:spacing w:val="-9"/>
                <w:sz w:val="24"/>
              </w:rPr>
              <w:t> </w:t>
            </w:r>
            <w:r>
              <w:rPr>
                <w:sz w:val="24"/>
              </w:rPr>
              <w:t>requires</w:t>
            </w:r>
            <w:r>
              <w:rPr>
                <w:spacing w:val="-10"/>
                <w:sz w:val="24"/>
              </w:rPr>
              <w:t> </w:t>
            </w:r>
            <w:r>
              <w:rPr>
                <w:sz w:val="24"/>
              </w:rPr>
              <w:t>agreement</w:t>
            </w:r>
            <w:r>
              <w:rPr>
                <w:spacing w:val="-12"/>
                <w:sz w:val="24"/>
              </w:rPr>
              <w:t> </w:t>
            </w:r>
            <w:r>
              <w:rPr>
                <w:sz w:val="24"/>
              </w:rPr>
              <w:t>to</w:t>
            </w:r>
            <w:r>
              <w:rPr>
                <w:spacing w:val="-14"/>
                <w:sz w:val="24"/>
              </w:rPr>
              <w:t> </w:t>
            </w:r>
            <w:r>
              <w:rPr>
                <w:sz w:val="24"/>
              </w:rPr>
              <w:t>change</w:t>
            </w:r>
            <w:r>
              <w:rPr>
                <w:spacing w:val="-9"/>
                <w:sz w:val="24"/>
              </w:rPr>
              <w:t> </w:t>
            </w:r>
            <w:r>
              <w:rPr>
                <w:sz w:val="24"/>
              </w:rPr>
              <w:t>the</w:t>
            </w:r>
            <w:r>
              <w:rPr>
                <w:spacing w:val="-14"/>
                <w:sz w:val="24"/>
              </w:rPr>
              <w:t> </w:t>
            </w:r>
            <w:r>
              <w:rPr>
                <w:sz w:val="24"/>
              </w:rPr>
              <w:t>scope</w:t>
            </w:r>
            <w:r>
              <w:rPr>
                <w:spacing w:val="-14"/>
                <w:sz w:val="24"/>
              </w:rPr>
              <w:t> </w:t>
            </w:r>
            <w:r>
              <w:rPr>
                <w:sz w:val="24"/>
              </w:rPr>
              <w:t>and </w:t>
            </w:r>
            <w:r>
              <w:rPr>
                <w:spacing w:val="-2"/>
                <w:sz w:val="24"/>
              </w:rPr>
              <w:t>sequencing</w:t>
            </w:r>
            <w:r>
              <w:rPr>
                <w:spacing w:val="-15"/>
                <w:sz w:val="24"/>
              </w:rPr>
              <w:t> </w:t>
            </w:r>
            <w:r>
              <w:rPr>
                <w:spacing w:val="-2"/>
                <w:sz w:val="24"/>
              </w:rPr>
              <w:t>of</w:t>
            </w:r>
            <w:r>
              <w:rPr>
                <w:spacing w:val="-15"/>
                <w:sz w:val="24"/>
              </w:rPr>
              <w:t> </w:t>
            </w:r>
            <w:r>
              <w:rPr>
                <w:spacing w:val="-2"/>
                <w:sz w:val="24"/>
              </w:rPr>
              <w:t>the</w:t>
            </w:r>
            <w:r>
              <w:rPr>
                <w:spacing w:val="-13"/>
                <w:sz w:val="24"/>
              </w:rPr>
              <w:t> </w:t>
            </w:r>
            <w:r>
              <w:rPr>
                <w:spacing w:val="-2"/>
                <w:sz w:val="24"/>
              </w:rPr>
              <w:t>previously</w:t>
            </w:r>
            <w:r>
              <w:rPr>
                <w:spacing w:val="-15"/>
                <w:sz w:val="24"/>
              </w:rPr>
              <w:t> </w:t>
            </w:r>
            <w:r>
              <w:rPr>
                <w:spacing w:val="-2"/>
                <w:sz w:val="24"/>
              </w:rPr>
              <w:t>agreed</w:t>
            </w:r>
            <w:r>
              <w:rPr>
                <w:spacing w:val="-12"/>
                <w:sz w:val="24"/>
              </w:rPr>
              <w:t> </w:t>
            </w:r>
            <w:r>
              <w:rPr>
                <w:spacing w:val="-2"/>
                <w:sz w:val="24"/>
              </w:rPr>
              <w:t>BJC2</w:t>
            </w:r>
            <w:r>
              <w:rPr>
                <w:spacing w:val="-13"/>
                <w:sz w:val="24"/>
              </w:rPr>
              <w:t> </w:t>
            </w:r>
            <w:r>
              <w:rPr>
                <w:spacing w:val="-2"/>
                <w:sz w:val="24"/>
              </w:rPr>
              <w:t>before</w:t>
            </w:r>
            <w:r>
              <w:rPr>
                <w:spacing w:val="-13"/>
                <w:sz w:val="24"/>
              </w:rPr>
              <w:t> </w:t>
            </w:r>
            <w:r>
              <w:rPr>
                <w:spacing w:val="-2"/>
                <w:sz w:val="24"/>
              </w:rPr>
              <w:t>both</w:t>
            </w:r>
            <w:r>
              <w:rPr>
                <w:spacing w:val="-13"/>
                <w:sz w:val="24"/>
              </w:rPr>
              <w:t> </w:t>
            </w:r>
            <w:r>
              <w:rPr>
                <w:spacing w:val="-2"/>
                <w:sz w:val="24"/>
              </w:rPr>
              <w:t>Health</w:t>
            </w:r>
            <w:r>
              <w:rPr>
                <w:spacing w:val="-13"/>
                <w:sz w:val="24"/>
              </w:rPr>
              <w:t> </w:t>
            </w:r>
            <w:r>
              <w:rPr>
                <w:spacing w:val="-2"/>
                <w:sz w:val="24"/>
              </w:rPr>
              <w:t>Boards</w:t>
            </w:r>
            <w:r>
              <w:rPr>
                <w:spacing w:val="-14"/>
                <w:sz w:val="24"/>
              </w:rPr>
              <w:t> </w:t>
            </w:r>
            <w:r>
              <w:rPr>
                <w:spacing w:val="-2"/>
                <w:sz w:val="24"/>
              </w:rPr>
              <w:t>consider</w:t>
            </w:r>
            <w:r>
              <w:rPr>
                <w:spacing w:val="-9"/>
                <w:sz w:val="24"/>
              </w:rPr>
              <w:t> </w:t>
            </w:r>
            <w:r>
              <w:rPr>
                <w:spacing w:val="-2"/>
                <w:sz w:val="24"/>
              </w:rPr>
              <w:t>the</w:t>
            </w:r>
            <w:r>
              <w:rPr>
                <w:spacing w:val="-13"/>
                <w:sz w:val="24"/>
              </w:rPr>
              <w:t> </w:t>
            </w:r>
            <w:r>
              <w:rPr>
                <w:spacing w:val="-2"/>
                <w:sz w:val="24"/>
              </w:rPr>
              <w:t>proposal </w:t>
            </w:r>
            <w:r>
              <w:rPr>
                <w:sz w:val="24"/>
              </w:rPr>
              <w:t>formally</w:t>
            </w:r>
            <w:r>
              <w:rPr>
                <w:spacing w:val="-11"/>
                <w:sz w:val="24"/>
              </w:rPr>
              <w:t> </w:t>
            </w:r>
            <w:r>
              <w:rPr>
                <w:sz w:val="24"/>
              </w:rPr>
              <w:t>in</w:t>
            </w:r>
            <w:r>
              <w:rPr>
                <w:spacing w:val="-10"/>
                <w:sz w:val="24"/>
              </w:rPr>
              <w:t> </w:t>
            </w:r>
            <w:r>
              <w:rPr>
                <w:sz w:val="24"/>
              </w:rPr>
              <w:t>November</w:t>
            </w:r>
            <w:r>
              <w:rPr>
                <w:spacing w:val="-11"/>
                <w:sz w:val="24"/>
              </w:rPr>
              <w:t> </w:t>
            </w:r>
            <w:r>
              <w:rPr>
                <w:sz w:val="24"/>
              </w:rPr>
              <w:t>2026</w:t>
            </w:r>
            <w:r>
              <w:rPr>
                <w:spacing w:val="-15"/>
                <w:sz w:val="24"/>
              </w:rPr>
              <w:t> </w:t>
            </w:r>
            <w:r>
              <w:rPr>
                <w:sz w:val="24"/>
              </w:rPr>
              <w:t>and</w:t>
            </w:r>
            <w:r>
              <w:rPr>
                <w:spacing w:val="-10"/>
                <w:sz w:val="24"/>
              </w:rPr>
              <w:t> </w:t>
            </w:r>
            <w:r>
              <w:rPr>
                <w:sz w:val="24"/>
              </w:rPr>
              <w:t>Welsh</w:t>
            </w:r>
            <w:r>
              <w:rPr>
                <w:spacing w:val="-10"/>
                <w:sz w:val="24"/>
              </w:rPr>
              <w:t> </w:t>
            </w:r>
            <w:r>
              <w:rPr>
                <w:sz w:val="24"/>
              </w:rPr>
              <w:t>Government</w:t>
            </w:r>
            <w:r>
              <w:rPr>
                <w:spacing w:val="-13"/>
                <w:sz w:val="24"/>
              </w:rPr>
              <w:t> </w:t>
            </w:r>
            <w:r>
              <w:rPr>
                <w:sz w:val="24"/>
              </w:rPr>
              <w:t>is</w:t>
            </w:r>
            <w:r>
              <w:rPr>
                <w:spacing w:val="-11"/>
                <w:sz w:val="24"/>
              </w:rPr>
              <w:t> </w:t>
            </w:r>
            <w:r>
              <w:rPr>
                <w:sz w:val="24"/>
              </w:rPr>
              <w:t>approached</w:t>
            </w:r>
            <w:r>
              <w:rPr>
                <w:spacing w:val="-6"/>
                <w:sz w:val="24"/>
              </w:rPr>
              <w:t> </w:t>
            </w:r>
            <w:r>
              <w:rPr>
                <w:sz w:val="24"/>
              </w:rPr>
              <w:t>to</w:t>
            </w:r>
            <w:r>
              <w:rPr>
                <w:spacing w:val="-10"/>
                <w:sz w:val="24"/>
              </w:rPr>
              <w:t> </w:t>
            </w:r>
            <w:r>
              <w:rPr>
                <w:sz w:val="24"/>
              </w:rPr>
              <w:t>commence</w:t>
            </w:r>
            <w:r>
              <w:rPr>
                <w:spacing w:val="-10"/>
                <w:sz w:val="24"/>
              </w:rPr>
              <w:t> </w:t>
            </w:r>
            <w:r>
              <w:rPr>
                <w:sz w:val="24"/>
              </w:rPr>
              <w:t>the</w:t>
            </w:r>
            <w:r>
              <w:rPr>
                <w:spacing w:val="-10"/>
                <w:sz w:val="24"/>
              </w:rPr>
              <w:t> </w:t>
            </w:r>
            <w:r>
              <w:rPr>
                <w:sz w:val="24"/>
              </w:rPr>
              <w:t>next programme stage.</w:t>
            </w:r>
          </w:p>
          <w:p>
            <w:pPr>
              <w:pStyle w:val="TableParagraph"/>
              <w:spacing w:before="81"/>
              <w:ind w:left="110"/>
              <w:rPr>
                <w:sz w:val="24"/>
              </w:rPr>
            </w:pPr>
            <w:r>
              <w:rPr>
                <w:spacing w:val="-2"/>
                <w:sz w:val="24"/>
              </w:rPr>
              <w:t>The</w:t>
            </w:r>
            <w:r>
              <w:rPr>
                <w:spacing w:val="-10"/>
                <w:sz w:val="24"/>
              </w:rPr>
              <w:t> </w:t>
            </w:r>
            <w:r>
              <w:rPr>
                <w:spacing w:val="-2"/>
                <w:sz w:val="24"/>
              </w:rPr>
              <w:t>5th</w:t>
            </w:r>
            <w:r>
              <w:rPr>
                <w:spacing w:val="-14"/>
                <w:sz w:val="24"/>
              </w:rPr>
              <w:t> </w:t>
            </w:r>
            <w:r>
              <w:rPr>
                <w:spacing w:val="-2"/>
                <w:sz w:val="24"/>
              </w:rPr>
              <w:t>LINAC</w:t>
            </w:r>
            <w:r>
              <w:rPr>
                <w:spacing w:val="-14"/>
                <w:sz w:val="24"/>
              </w:rPr>
              <w:t> </w:t>
            </w:r>
            <w:r>
              <w:rPr>
                <w:spacing w:val="-2"/>
                <w:sz w:val="24"/>
              </w:rPr>
              <w:t>will</w:t>
            </w:r>
            <w:r>
              <w:rPr>
                <w:spacing w:val="-10"/>
                <w:sz w:val="24"/>
              </w:rPr>
              <w:t> </w:t>
            </w:r>
            <w:r>
              <w:rPr>
                <w:spacing w:val="-2"/>
                <w:sz w:val="24"/>
              </w:rPr>
              <w:t>occupy</w:t>
            </w:r>
            <w:r>
              <w:rPr>
                <w:spacing w:val="-11"/>
                <w:sz w:val="24"/>
              </w:rPr>
              <w:t> </w:t>
            </w:r>
            <w:r>
              <w:rPr>
                <w:spacing w:val="-2"/>
                <w:sz w:val="24"/>
              </w:rPr>
              <w:t>the</w:t>
            </w:r>
            <w:r>
              <w:rPr>
                <w:spacing w:val="-10"/>
                <w:sz w:val="24"/>
              </w:rPr>
              <w:t> </w:t>
            </w:r>
            <w:r>
              <w:rPr>
                <w:spacing w:val="-2"/>
                <w:sz w:val="24"/>
              </w:rPr>
              <w:t>final</w:t>
            </w:r>
            <w:r>
              <w:rPr>
                <w:spacing w:val="-5"/>
                <w:sz w:val="24"/>
              </w:rPr>
              <w:t> </w:t>
            </w:r>
            <w:r>
              <w:rPr>
                <w:spacing w:val="-2"/>
                <w:sz w:val="24"/>
              </w:rPr>
              <w:t>vacant</w:t>
            </w:r>
            <w:r>
              <w:rPr>
                <w:spacing w:val="-13"/>
                <w:sz w:val="24"/>
              </w:rPr>
              <w:t> </w:t>
            </w:r>
            <w:r>
              <w:rPr>
                <w:spacing w:val="-2"/>
                <w:sz w:val="24"/>
              </w:rPr>
              <w:t>bunker</w:t>
            </w:r>
            <w:r>
              <w:rPr>
                <w:spacing w:val="-15"/>
                <w:sz w:val="24"/>
              </w:rPr>
              <w:t> </w:t>
            </w:r>
            <w:r>
              <w:rPr>
                <w:spacing w:val="-2"/>
                <w:sz w:val="24"/>
              </w:rPr>
              <w:t>at</w:t>
            </w:r>
            <w:r>
              <w:rPr>
                <w:spacing w:val="-12"/>
                <w:sz w:val="24"/>
              </w:rPr>
              <w:t> </w:t>
            </w:r>
            <w:r>
              <w:rPr>
                <w:spacing w:val="-2"/>
                <w:sz w:val="24"/>
              </w:rPr>
              <w:t>Singleton</w:t>
            </w:r>
            <w:r>
              <w:rPr>
                <w:spacing w:val="-10"/>
                <w:sz w:val="24"/>
              </w:rPr>
              <w:t> </w:t>
            </w:r>
            <w:r>
              <w:rPr>
                <w:spacing w:val="-2"/>
                <w:sz w:val="24"/>
              </w:rPr>
              <w:t>Hospital</w:t>
            </w:r>
            <w:r>
              <w:rPr>
                <w:spacing w:val="-5"/>
                <w:sz w:val="24"/>
              </w:rPr>
              <w:t> </w:t>
            </w:r>
            <w:r>
              <w:rPr>
                <w:spacing w:val="-2"/>
                <w:sz w:val="24"/>
              </w:rPr>
              <w:t>in</w:t>
            </w:r>
            <w:r>
              <w:rPr>
                <w:spacing w:val="-10"/>
                <w:sz w:val="24"/>
              </w:rPr>
              <w:t> </w:t>
            </w:r>
            <w:r>
              <w:rPr>
                <w:spacing w:val="-2"/>
                <w:sz w:val="24"/>
              </w:rPr>
              <w:t>Q1/2</w:t>
            </w:r>
            <w:r>
              <w:rPr>
                <w:spacing w:val="-10"/>
                <w:sz w:val="24"/>
              </w:rPr>
              <w:t> </w:t>
            </w:r>
            <w:r>
              <w:rPr>
                <w:spacing w:val="-2"/>
                <w:sz w:val="24"/>
              </w:rPr>
              <w:t>2027.</w:t>
            </w:r>
            <w:r>
              <w:rPr>
                <w:spacing w:val="-13"/>
                <w:sz w:val="24"/>
              </w:rPr>
              <w:t> </w:t>
            </w:r>
            <w:r>
              <w:rPr>
                <w:spacing w:val="-2"/>
                <w:sz w:val="24"/>
              </w:rPr>
              <w:t>LINAC</w:t>
            </w:r>
            <w:r>
              <w:rPr>
                <w:spacing w:val="-10"/>
                <w:sz w:val="24"/>
              </w:rPr>
              <w:t> </w:t>
            </w:r>
            <w:r>
              <w:rPr>
                <w:spacing w:val="-2"/>
                <w:sz w:val="24"/>
              </w:rPr>
              <w:t>1 </w:t>
            </w:r>
            <w:r>
              <w:rPr>
                <w:sz w:val="24"/>
              </w:rPr>
              <w:t>reaches</w:t>
            </w:r>
            <w:r>
              <w:rPr>
                <w:spacing w:val="-14"/>
                <w:sz w:val="24"/>
              </w:rPr>
              <w:t> </w:t>
            </w:r>
            <w:r>
              <w:rPr>
                <w:sz w:val="24"/>
              </w:rPr>
              <w:t>its</w:t>
            </w:r>
            <w:r>
              <w:rPr>
                <w:spacing w:val="-14"/>
                <w:sz w:val="24"/>
              </w:rPr>
              <w:t> </w:t>
            </w:r>
            <w:r>
              <w:rPr>
                <w:sz w:val="24"/>
              </w:rPr>
              <w:t>latest</w:t>
            </w:r>
            <w:r>
              <w:rPr>
                <w:spacing w:val="-11"/>
                <w:sz w:val="24"/>
              </w:rPr>
              <w:t> </w:t>
            </w:r>
            <w:r>
              <w:rPr>
                <w:sz w:val="24"/>
              </w:rPr>
              <w:t>replacement</w:t>
            </w:r>
            <w:r>
              <w:rPr>
                <w:spacing w:val="-16"/>
                <w:sz w:val="24"/>
              </w:rPr>
              <w:t> </w:t>
            </w:r>
            <w:r>
              <w:rPr>
                <w:sz w:val="24"/>
              </w:rPr>
              <w:t>date</w:t>
            </w:r>
            <w:r>
              <w:rPr>
                <w:spacing w:val="-8"/>
                <w:sz w:val="24"/>
              </w:rPr>
              <w:t> </w:t>
            </w:r>
            <w:r>
              <w:rPr>
                <w:sz w:val="24"/>
              </w:rPr>
              <w:t>in</w:t>
            </w:r>
            <w:r>
              <w:rPr>
                <w:spacing w:val="-8"/>
                <w:sz w:val="24"/>
              </w:rPr>
              <w:t> </w:t>
            </w:r>
            <w:r>
              <w:rPr>
                <w:sz w:val="24"/>
              </w:rPr>
              <w:t>March</w:t>
            </w:r>
            <w:r>
              <w:rPr>
                <w:spacing w:val="-8"/>
                <w:sz w:val="24"/>
              </w:rPr>
              <w:t> </w:t>
            </w:r>
            <w:r>
              <w:rPr>
                <w:sz w:val="24"/>
              </w:rPr>
              <w:t>2028</w:t>
            </w:r>
            <w:r>
              <w:rPr>
                <w:spacing w:val="-13"/>
                <w:sz w:val="24"/>
              </w:rPr>
              <w:t> </w:t>
            </w:r>
            <w:r>
              <w:rPr>
                <w:sz w:val="24"/>
              </w:rPr>
              <w:t>and</w:t>
            </w:r>
            <w:r>
              <w:rPr>
                <w:spacing w:val="-8"/>
                <w:sz w:val="24"/>
              </w:rPr>
              <w:t> </w:t>
            </w:r>
            <w:r>
              <w:rPr>
                <w:sz w:val="24"/>
              </w:rPr>
              <w:t>LINAC</w:t>
            </w:r>
            <w:r>
              <w:rPr>
                <w:spacing w:val="-8"/>
                <w:sz w:val="24"/>
              </w:rPr>
              <w:t> </w:t>
            </w:r>
            <w:r>
              <w:rPr>
                <w:sz w:val="24"/>
              </w:rPr>
              <w:t>2</w:t>
            </w:r>
            <w:r>
              <w:rPr>
                <w:spacing w:val="-8"/>
                <w:sz w:val="24"/>
              </w:rPr>
              <w:t> </w:t>
            </w:r>
            <w:r>
              <w:rPr>
                <w:sz w:val="24"/>
              </w:rPr>
              <w:t>in</w:t>
            </w:r>
            <w:r>
              <w:rPr>
                <w:spacing w:val="-8"/>
                <w:sz w:val="24"/>
              </w:rPr>
              <w:t> </w:t>
            </w:r>
            <w:r>
              <w:rPr>
                <w:sz w:val="24"/>
              </w:rPr>
              <w:t>March</w:t>
            </w:r>
            <w:r>
              <w:rPr>
                <w:spacing w:val="-8"/>
                <w:sz w:val="24"/>
              </w:rPr>
              <w:t> </w:t>
            </w:r>
            <w:r>
              <w:rPr>
                <w:sz w:val="24"/>
              </w:rPr>
              <w:t>2030.</w:t>
            </w:r>
            <w:r>
              <w:rPr>
                <w:spacing w:val="-11"/>
                <w:sz w:val="24"/>
              </w:rPr>
              <w:t> </w:t>
            </w:r>
            <w:r>
              <w:rPr>
                <w:sz w:val="24"/>
              </w:rPr>
              <w:t>Current programme</w:t>
            </w:r>
            <w:r>
              <w:rPr>
                <w:spacing w:val="-17"/>
                <w:sz w:val="24"/>
              </w:rPr>
              <w:t> </w:t>
            </w:r>
            <w:r>
              <w:rPr>
                <w:sz w:val="24"/>
              </w:rPr>
              <w:t>assumptions</w:t>
            </w:r>
            <w:r>
              <w:rPr>
                <w:spacing w:val="-17"/>
                <w:sz w:val="24"/>
              </w:rPr>
              <w:t> </w:t>
            </w:r>
            <w:r>
              <w:rPr>
                <w:sz w:val="24"/>
              </w:rPr>
              <w:t>indicate</w:t>
            </w:r>
            <w:r>
              <w:rPr>
                <w:spacing w:val="-12"/>
                <w:sz w:val="24"/>
              </w:rPr>
              <w:t> </w:t>
            </w:r>
            <w:r>
              <w:rPr>
                <w:sz w:val="24"/>
              </w:rPr>
              <w:t>that</w:t>
            </w:r>
            <w:r>
              <w:rPr>
                <w:spacing w:val="-16"/>
                <w:sz w:val="24"/>
              </w:rPr>
              <w:t> </w:t>
            </w:r>
            <w:r>
              <w:rPr>
                <w:sz w:val="24"/>
              </w:rPr>
              <w:t>new</w:t>
            </w:r>
            <w:r>
              <w:rPr>
                <w:spacing w:val="-13"/>
                <w:sz w:val="24"/>
              </w:rPr>
              <w:t> </w:t>
            </w:r>
            <w:r>
              <w:rPr>
                <w:sz w:val="24"/>
              </w:rPr>
              <w:t>bunker</w:t>
            </w:r>
            <w:r>
              <w:rPr>
                <w:spacing w:val="-14"/>
                <w:sz w:val="24"/>
              </w:rPr>
              <w:t> </w:t>
            </w:r>
            <w:r>
              <w:rPr>
                <w:sz w:val="24"/>
              </w:rPr>
              <w:t>capacity</w:t>
            </w:r>
            <w:r>
              <w:rPr>
                <w:spacing w:val="-9"/>
                <w:sz w:val="24"/>
              </w:rPr>
              <w:t> </w:t>
            </w:r>
            <w:r>
              <w:rPr>
                <w:sz w:val="24"/>
              </w:rPr>
              <w:t>cannot</w:t>
            </w:r>
            <w:r>
              <w:rPr>
                <w:spacing w:val="-17"/>
                <w:sz w:val="24"/>
              </w:rPr>
              <w:t> </w:t>
            </w:r>
            <w:r>
              <w:rPr>
                <w:sz w:val="24"/>
              </w:rPr>
              <w:t>be</w:t>
            </w:r>
            <w:r>
              <w:rPr>
                <w:spacing w:val="-17"/>
                <w:sz w:val="24"/>
              </w:rPr>
              <w:t> </w:t>
            </w:r>
            <w:r>
              <w:rPr>
                <w:sz w:val="24"/>
              </w:rPr>
              <w:t>delivered</w:t>
            </w:r>
            <w:r>
              <w:rPr>
                <w:spacing w:val="-12"/>
                <w:sz w:val="24"/>
              </w:rPr>
              <w:t> </w:t>
            </w:r>
            <w:r>
              <w:rPr>
                <w:sz w:val="24"/>
              </w:rPr>
              <w:t>before</w:t>
            </w:r>
            <w:r>
              <w:rPr>
                <w:spacing w:val="-13"/>
                <w:sz w:val="24"/>
              </w:rPr>
              <w:t> </w:t>
            </w:r>
            <w:r>
              <w:rPr>
                <w:sz w:val="24"/>
              </w:rPr>
              <w:t>these dates,</w:t>
            </w:r>
            <w:r>
              <w:rPr>
                <w:spacing w:val="-17"/>
                <w:sz w:val="24"/>
              </w:rPr>
              <w:t> </w:t>
            </w:r>
            <w:r>
              <w:rPr>
                <w:sz w:val="24"/>
              </w:rPr>
              <w:t>creating</w:t>
            </w:r>
            <w:r>
              <w:rPr>
                <w:spacing w:val="-16"/>
                <w:sz w:val="24"/>
              </w:rPr>
              <w:t> </w:t>
            </w:r>
            <w:r>
              <w:rPr>
                <w:sz w:val="24"/>
              </w:rPr>
              <w:t>a</w:t>
            </w:r>
            <w:r>
              <w:rPr>
                <w:spacing w:val="-12"/>
                <w:sz w:val="24"/>
              </w:rPr>
              <w:t> </w:t>
            </w:r>
            <w:r>
              <w:rPr>
                <w:sz w:val="24"/>
              </w:rPr>
              <w:t>material</w:t>
            </w:r>
            <w:r>
              <w:rPr>
                <w:spacing w:val="-13"/>
                <w:sz w:val="24"/>
              </w:rPr>
              <w:t> </w:t>
            </w:r>
            <w:r>
              <w:rPr>
                <w:sz w:val="24"/>
              </w:rPr>
              <w:t>replacement</w:t>
            </w:r>
            <w:r>
              <w:rPr>
                <w:spacing w:val="-17"/>
                <w:sz w:val="24"/>
              </w:rPr>
              <w:t> </w:t>
            </w:r>
            <w:r>
              <w:rPr>
                <w:sz w:val="24"/>
              </w:rPr>
              <w:t>gap</w:t>
            </w:r>
            <w:r>
              <w:rPr>
                <w:spacing w:val="-17"/>
                <w:sz w:val="24"/>
              </w:rPr>
              <w:t> </w:t>
            </w:r>
            <w:r>
              <w:rPr>
                <w:sz w:val="24"/>
              </w:rPr>
              <w:t>and</w:t>
            </w:r>
            <w:r>
              <w:rPr>
                <w:spacing w:val="-12"/>
                <w:sz w:val="24"/>
              </w:rPr>
              <w:t> </w:t>
            </w:r>
            <w:r>
              <w:rPr>
                <w:sz w:val="24"/>
              </w:rPr>
              <w:t>requiring</w:t>
            </w:r>
            <w:r>
              <w:rPr>
                <w:spacing w:val="-13"/>
                <w:sz w:val="24"/>
              </w:rPr>
              <w:t> </w:t>
            </w:r>
            <w:r>
              <w:rPr>
                <w:sz w:val="24"/>
              </w:rPr>
              <w:t>interim</w:t>
            </w:r>
            <w:r>
              <w:rPr>
                <w:spacing w:val="-17"/>
                <w:sz w:val="24"/>
              </w:rPr>
              <w:t> </w:t>
            </w:r>
            <w:r>
              <w:rPr>
                <w:sz w:val="24"/>
              </w:rPr>
              <w:t>operational</w:t>
            </w:r>
            <w:r>
              <w:rPr>
                <w:spacing w:val="-13"/>
                <w:sz w:val="24"/>
              </w:rPr>
              <w:t> </w:t>
            </w:r>
            <w:r>
              <w:rPr>
                <w:sz w:val="24"/>
              </w:rPr>
              <w:t>mitigation.</w:t>
            </w:r>
          </w:p>
          <w:p>
            <w:pPr>
              <w:pStyle w:val="TableParagraph"/>
              <w:spacing w:line="259" w:lineRule="auto" w:before="86"/>
              <w:ind w:left="110" w:right="117"/>
              <w:rPr>
                <w:sz w:val="24"/>
              </w:rPr>
            </w:pPr>
            <w:r>
              <w:rPr>
                <w:spacing w:val="-2"/>
                <w:sz w:val="24"/>
              </w:rPr>
              <w:t>The</w:t>
            </w:r>
            <w:r>
              <w:rPr>
                <w:spacing w:val="-6"/>
                <w:sz w:val="24"/>
              </w:rPr>
              <w:t> </w:t>
            </w:r>
            <w:r>
              <w:rPr>
                <w:spacing w:val="-2"/>
                <w:sz w:val="24"/>
              </w:rPr>
              <w:t>proposed</w:t>
            </w:r>
            <w:r>
              <w:rPr>
                <w:spacing w:val="-6"/>
                <w:sz w:val="24"/>
              </w:rPr>
              <w:t> </w:t>
            </w:r>
            <w:r>
              <w:rPr>
                <w:spacing w:val="-2"/>
                <w:sz w:val="24"/>
              </w:rPr>
              <w:t>approach</w:t>
            </w:r>
            <w:r>
              <w:rPr>
                <w:spacing w:val="-6"/>
                <w:sz w:val="24"/>
              </w:rPr>
              <w:t> </w:t>
            </w:r>
            <w:r>
              <w:rPr>
                <w:spacing w:val="-2"/>
                <w:sz w:val="24"/>
              </w:rPr>
              <w:t>is to</w:t>
            </w:r>
            <w:r>
              <w:rPr>
                <w:spacing w:val="-6"/>
                <w:sz w:val="24"/>
              </w:rPr>
              <w:t> </w:t>
            </w:r>
            <w:r>
              <w:rPr>
                <w:spacing w:val="-2"/>
                <w:sz w:val="24"/>
              </w:rPr>
              <w:t>develop</w:t>
            </w:r>
            <w:r>
              <w:rPr>
                <w:spacing w:val="-6"/>
                <w:sz w:val="24"/>
              </w:rPr>
              <w:t> </w:t>
            </w:r>
            <w:r>
              <w:rPr>
                <w:spacing w:val="-2"/>
                <w:sz w:val="24"/>
              </w:rPr>
              <w:t>twin</w:t>
            </w:r>
            <w:r>
              <w:rPr>
                <w:spacing w:val="-6"/>
                <w:sz w:val="24"/>
              </w:rPr>
              <w:t> </w:t>
            </w:r>
            <w:r>
              <w:rPr>
                <w:spacing w:val="-2"/>
                <w:sz w:val="24"/>
              </w:rPr>
              <w:t>bunkers</w:t>
            </w:r>
            <w:r>
              <w:rPr>
                <w:spacing w:val="-12"/>
                <w:sz w:val="24"/>
              </w:rPr>
              <w:t> </w:t>
            </w:r>
            <w:r>
              <w:rPr>
                <w:spacing w:val="-2"/>
                <w:sz w:val="24"/>
              </w:rPr>
              <w:t>with</w:t>
            </w:r>
            <w:r>
              <w:rPr>
                <w:spacing w:val="-6"/>
                <w:sz w:val="24"/>
              </w:rPr>
              <w:t> </w:t>
            </w:r>
            <w:r>
              <w:rPr>
                <w:spacing w:val="-2"/>
                <w:sz w:val="24"/>
              </w:rPr>
              <w:t>essential</w:t>
            </w:r>
            <w:r>
              <w:rPr>
                <w:spacing w:val="-6"/>
                <w:sz w:val="24"/>
              </w:rPr>
              <w:t> </w:t>
            </w:r>
            <w:r>
              <w:rPr>
                <w:spacing w:val="-2"/>
                <w:sz w:val="24"/>
              </w:rPr>
              <w:t>support</w:t>
            </w:r>
            <w:r>
              <w:rPr>
                <w:spacing w:val="-14"/>
                <w:sz w:val="24"/>
              </w:rPr>
              <w:t> </w:t>
            </w:r>
            <w:r>
              <w:rPr>
                <w:spacing w:val="-2"/>
                <w:sz w:val="24"/>
              </w:rPr>
              <w:t>accommodation</w:t>
            </w:r>
            <w:r>
              <w:rPr>
                <w:spacing w:val="-6"/>
                <w:sz w:val="24"/>
              </w:rPr>
              <w:t> </w:t>
            </w:r>
            <w:r>
              <w:rPr>
                <w:spacing w:val="-2"/>
                <w:sz w:val="24"/>
              </w:rPr>
              <w:t>and to</w:t>
            </w:r>
            <w:r>
              <w:rPr>
                <w:spacing w:val="-15"/>
                <w:sz w:val="24"/>
              </w:rPr>
              <w:t> </w:t>
            </w:r>
            <w:r>
              <w:rPr>
                <w:spacing w:val="-2"/>
                <w:sz w:val="24"/>
              </w:rPr>
              <w:t>integrate</w:t>
            </w:r>
            <w:r>
              <w:rPr>
                <w:spacing w:val="-13"/>
                <w:sz w:val="24"/>
              </w:rPr>
              <w:t> </w:t>
            </w:r>
            <w:r>
              <w:rPr>
                <w:spacing w:val="-2"/>
                <w:sz w:val="24"/>
              </w:rPr>
              <w:t>the</w:t>
            </w:r>
            <w:r>
              <w:rPr>
                <w:spacing w:val="-10"/>
                <w:sz w:val="24"/>
              </w:rPr>
              <w:t> </w:t>
            </w:r>
            <w:r>
              <w:rPr>
                <w:spacing w:val="-2"/>
                <w:sz w:val="24"/>
              </w:rPr>
              <w:t>replacement</w:t>
            </w:r>
            <w:r>
              <w:rPr>
                <w:spacing w:val="-13"/>
                <w:sz w:val="24"/>
              </w:rPr>
              <w:t> </w:t>
            </w:r>
            <w:r>
              <w:rPr>
                <w:spacing w:val="-2"/>
                <w:sz w:val="24"/>
              </w:rPr>
              <w:t>LINACs</w:t>
            </w:r>
            <w:r>
              <w:rPr>
                <w:spacing w:val="-12"/>
                <w:sz w:val="24"/>
              </w:rPr>
              <w:t> </w:t>
            </w:r>
            <w:r>
              <w:rPr>
                <w:spacing w:val="-2"/>
                <w:sz w:val="24"/>
              </w:rPr>
              <w:t>into</w:t>
            </w:r>
            <w:r>
              <w:rPr>
                <w:spacing w:val="-6"/>
                <w:sz w:val="24"/>
              </w:rPr>
              <w:t> </w:t>
            </w:r>
            <w:r>
              <w:rPr>
                <w:spacing w:val="-2"/>
                <w:sz w:val="24"/>
              </w:rPr>
              <w:t>the</w:t>
            </w:r>
            <w:r>
              <w:rPr>
                <w:spacing w:val="-11"/>
                <w:sz w:val="24"/>
              </w:rPr>
              <w:t> </w:t>
            </w:r>
            <w:r>
              <w:rPr>
                <w:spacing w:val="-2"/>
                <w:sz w:val="24"/>
              </w:rPr>
              <w:t>same</w:t>
            </w:r>
            <w:r>
              <w:rPr>
                <w:spacing w:val="-15"/>
                <w:sz w:val="24"/>
              </w:rPr>
              <w:t> </w:t>
            </w:r>
            <w:r>
              <w:rPr>
                <w:spacing w:val="-2"/>
                <w:sz w:val="24"/>
              </w:rPr>
              <w:t>programme.</w:t>
            </w:r>
            <w:r>
              <w:rPr>
                <w:spacing w:val="-15"/>
                <w:sz w:val="24"/>
              </w:rPr>
              <w:t> </w:t>
            </w:r>
            <w:r>
              <w:rPr>
                <w:spacing w:val="-2"/>
                <w:sz w:val="24"/>
              </w:rPr>
              <w:t>Replacement</w:t>
            </w:r>
            <w:r>
              <w:rPr>
                <w:spacing w:val="-14"/>
                <w:sz w:val="24"/>
              </w:rPr>
              <w:t> </w:t>
            </w:r>
            <w:r>
              <w:rPr>
                <w:spacing w:val="-2"/>
                <w:sz w:val="24"/>
              </w:rPr>
              <w:t>of</w:t>
            </w:r>
            <w:r>
              <w:rPr>
                <w:spacing w:val="-13"/>
                <w:sz w:val="24"/>
              </w:rPr>
              <w:t> </w:t>
            </w:r>
            <w:r>
              <w:rPr>
                <w:spacing w:val="-2"/>
                <w:sz w:val="24"/>
              </w:rPr>
              <w:t>LINACs</w:t>
            </w:r>
            <w:r>
              <w:rPr>
                <w:spacing w:val="-15"/>
                <w:sz w:val="24"/>
              </w:rPr>
              <w:t> </w:t>
            </w:r>
            <w:r>
              <w:rPr>
                <w:spacing w:val="-2"/>
                <w:sz w:val="24"/>
              </w:rPr>
              <w:t>1</w:t>
            </w:r>
            <w:r>
              <w:rPr>
                <w:spacing w:val="-10"/>
                <w:sz w:val="24"/>
              </w:rPr>
              <w:t> </w:t>
            </w:r>
            <w:r>
              <w:rPr>
                <w:spacing w:val="-2"/>
                <w:sz w:val="24"/>
              </w:rPr>
              <w:t>and </w:t>
            </w:r>
            <w:r>
              <w:rPr>
                <w:sz w:val="24"/>
              </w:rPr>
              <w:t>2</w:t>
            </w:r>
            <w:r>
              <w:rPr>
                <w:spacing w:val="-14"/>
                <w:sz w:val="24"/>
              </w:rPr>
              <w:t> </w:t>
            </w:r>
            <w:r>
              <w:rPr>
                <w:sz w:val="24"/>
              </w:rPr>
              <w:t>would</w:t>
            </w:r>
            <w:r>
              <w:rPr>
                <w:spacing w:val="-9"/>
                <w:sz w:val="24"/>
              </w:rPr>
              <w:t> </w:t>
            </w:r>
            <w:r>
              <w:rPr>
                <w:sz w:val="24"/>
              </w:rPr>
              <w:t>be</w:t>
            </w:r>
            <w:r>
              <w:rPr>
                <w:spacing w:val="-9"/>
                <w:sz w:val="24"/>
              </w:rPr>
              <w:t> </w:t>
            </w:r>
            <w:r>
              <w:rPr>
                <w:sz w:val="24"/>
              </w:rPr>
              <w:t>sequenced</w:t>
            </w:r>
            <w:r>
              <w:rPr>
                <w:spacing w:val="-9"/>
                <w:sz w:val="24"/>
              </w:rPr>
              <w:t> </w:t>
            </w:r>
            <w:r>
              <w:rPr>
                <w:sz w:val="24"/>
              </w:rPr>
              <w:t>ahead</w:t>
            </w:r>
            <w:r>
              <w:rPr>
                <w:spacing w:val="-14"/>
                <w:sz w:val="24"/>
              </w:rPr>
              <w:t> </w:t>
            </w:r>
            <w:r>
              <w:rPr>
                <w:sz w:val="24"/>
              </w:rPr>
              <w:t>of</w:t>
            </w:r>
            <w:r>
              <w:rPr>
                <w:spacing w:val="-10"/>
                <w:sz w:val="24"/>
              </w:rPr>
              <w:t> </w:t>
            </w:r>
            <w:r>
              <w:rPr>
                <w:sz w:val="24"/>
              </w:rPr>
              <w:t>an</w:t>
            </w:r>
            <w:r>
              <w:rPr>
                <w:spacing w:val="-9"/>
                <w:sz w:val="24"/>
              </w:rPr>
              <w:t> </w:t>
            </w:r>
            <w:r>
              <w:rPr>
                <w:sz w:val="24"/>
              </w:rPr>
              <w:t>additional</w:t>
            </w:r>
            <w:r>
              <w:rPr>
                <w:spacing w:val="-9"/>
                <w:sz w:val="24"/>
              </w:rPr>
              <w:t> </w:t>
            </w:r>
            <w:r>
              <w:rPr>
                <w:sz w:val="24"/>
              </w:rPr>
              <w:t>6th</w:t>
            </w:r>
            <w:r>
              <w:rPr>
                <w:spacing w:val="-9"/>
                <w:sz w:val="24"/>
              </w:rPr>
              <w:t> </w:t>
            </w:r>
            <w:r>
              <w:rPr>
                <w:sz w:val="24"/>
              </w:rPr>
              <w:t>operational</w:t>
            </w:r>
            <w:r>
              <w:rPr>
                <w:spacing w:val="-14"/>
                <w:sz w:val="24"/>
              </w:rPr>
              <w:t> </w:t>
            </w:r>
            <w:r>
              <w:rPr>
                <w:sz w:val="24"/>
              </w:rPr>
              <w:t>LINAC.</w:t>
            </w:r>
            <w:r>
              <w:rPr>
                <w:spacing w:val="-12"/>
                <w:sz w:val="24"/>
              </w:rPr>
              <w:t> </w:t>
            </w:r>
            <w:r>
              <w:rPr>
                <w:sz w:val="24"/>
              </w:rPr>
              <w:t>This</w:t>
            </w:r>
            <w:r>
              <w:rPr>
                <w:spacing w:val="-15"/>
                <w:sz w:val="24"/>
              </w:rPr>
              <w:t> </w:t>
            </w:r>
            <w:r>
              <w:rPr>
                <w:sz w:val="24"/>
              </w:rPr>
              <w:t>is</w:t>
            </w:r>
            <w:r>
              <w:rPr>
                <w:spacing w:val="-10"/>
                <w:sz w:val="24"/>
              </w:rPr>
              <w:t> </w:t>
            </w:r>
            <w:r>
              <w:rPr>
                <w:sz w:val="24"/>
              </w:rPr>
              <w:t>intended</w:t>
            </w:r>
            <w:r>
              <w:rPr>
                <w:spacing w:val="-9"/>
                <w:sz w:val="24"/>
              </w:rPr>
              <w:t> </w:t>
            </w:r>
            <w:r>
              <w:rPr>
                <w:sz w:val="24"/>
              </w:rPr>
              <w:t>to protect</w:t>
            </w:r>
            <w:r>
              <w:rPr>
                <w:spacing w:val="-17"/>
                <w:sz w:val="24"/>
              </w:rPr>
              <w:t> </w:t>
            </w:r>
            <w:r>
              <w:rPr>
                <w:sz w:val="24"/>
              </w:rPr>
              <w:t>replacement</w:t>
            </w:r>
            <w:r>
              <w:rPr>
                <w:spacing w:val="-17"/>
                <w:sz w:val="24"/>
              </w:rPr>
              <w:t> </w:t>
            </w:r>
            <w:r>
              <w:rPr>
                <w:sz w:val="24"/>
              </w:rPr>
              <w:t>and</w:t>
            </w:r>
            <w:r>
              <w:rPr>
                <w:spacing w:val="-16"/>
                <w:sz w:val="24"/>
              </w:rPr>
              <w:t> </w:t>
            </w:r>
            <w:r>
              <w:rPr>
                <w:sz w:val="24"/>
              </w:rPr>
              <w:t>clinical</w:t>
            </w:r>
            <w:r>
              <w:rPr>
                <w:spacing w:val="-17"/>
                <w:sz w:val="24"/>
              </w:rPr>
              <w:t> </w:t>
            </w:r>
            <w:r>
              <w:rPr>
                <w:sz w:val="24"/>
              </w:rPr>
              <w:t>service</w:t>
            </w:r>
            <w:r>
              <w:rPr>
                <w:spacing w:val="-9"/>
                <w:sz w:val="24"/>
              </w:rPr>
              <w:t> </w:t>
            </w:r>
            <w:r>
              <w:rPr>
                <w:sz w:val="24"/>
              </w:rPr>
              <w:t>resilience</w:t>
            </w:r>
            <w:r>
              <w:rPr>
                <w:spacing w:val="-17"/>
                <w:sz w:val="24"/>
              </w:rPr>
              <w:t> </w:t>
            </w:r>
            <w:r>
              <w:rPr>
                <w:sz w:val="24"/>
              </w:rPr>
              <w:t>while</w:t>
            </w:r>
            <w:r>
              <w:rPr>
                <w:spacing w:val="-15"/>
                <w:sz w:val="24"/>
              </w:rPr>
              <w:t> </w:t>
            </w:r>
            <w:r>
              <w:rPr>
                <w:sz w:val="24"/>
              </w:rPr>
              <w:t>avoiding</w:t>
            </w:r>
            <w:r>
              <w:rPr>
                <w:spacing w:val="-16"/>
                <w:sz w:val="24"/>
              </w:rPr>
              <w:t> </w:t>
            </w:r>
            <w:r>
              <w:rPr>
                <w:sz w:val="24"/>
              </w:rPr>
              <w:t>further</w:t>
            </w:r>
            <w:r>
              <w:rPr>
                <w:spacing w:val="-16"/>
                <w:sz w:val="24"/>
              </w:rPr>
              <w:t> </w:t>
            </w:r>
            <w:r>
              <w:rPr>
                <w:sz w:val="24"/>
              </w:rPr>
              <w:t>delay</w:t>
            </w:r>
            <w:r>
              <w:rPr>
                <w:spacing w:val="-16"/>
                <w:sz w:val="24"/>
              </w:rPr>
              <w:t> </w:t>
            </w:r>
            <w:r>
              <w:rPr>
                <w:sz w:val="24"/>
              </w:rPr>
              <w:t>to</w:t>
            </w:r>
            <w:r>
              <w:rPr>
                <w:spacing w:val="-11"/>
                <w:sz w:val="24"/>
              </w:rPr>
              <w:t> </w:t>
            </w:r>
            <w:r>
              <w:rPr>
                <w:sz w:val="24"/>
              </w:rPr>
              <w:t>the</w:t>
            </w:r>
            <w:r>
              <w:rPr>
                <w:spacing w:val="-16"/>
                <w:sz w:val="24"/>
              </w:rPr>
              <w:t> </w:t>
            </w:r>
            <w:r>
              <w:rPr>
                <w:sz w:val="24"/>
              </w:rPr>
              <w:t>enabling design and business case work.</w:t>
            </w:r>
          </w:p>
          <w:p>
            <w:pPr>
              <w:pStyle w:val="TableParagraph"/>
              <w:spacing w:line="259" w:lineRule="auto" w:before="76"/>
              <w:ind w:left="110" w:right="212"/>
              <w:rPr>
                <w:sz w:val="24"/>
              </w:rPr>
            </w:pPr>
            <w:r>
              <w:rPr>
                <w:sz w:val="24"/>
              </w:rPr>
              <w:t>The</w:t>
            </w:r>
            <w:r>
              <w:rPr>
                <w:spacing w:val="-11"/>
                <w:sz w:val="24"/>
              </w:rPr>
              <w:t> </w:t>
            </w:r>
            <w:r>
              <w:rPr>
                <w:sz w:val="24"/>
              </w:rPr>
              <w:t>RJC</w:t>
            </w:r>
            <w:r>
              <w:rPr>
                <w:spacing w:val="-11"/>
                <w:sz w:val="24"/>
              </w:rPr>
              <w:t> </w:t>
            </w:r>
            <w:r>
              <w:rPr>
                <w:sz w:val="24"/>
              </w:rPr>
              <w:t>is</w:t>
            </w:r>
            <w:r>
              <w:rPr>
                <w:spacing w:val="-12"/>
                <w:sz w:val="24"/>
              </w:rPr>
              <w:t> </w:t>
            </w:r>
            <w:r>
              <w:rPr>
                <w:sz w:val="24"/>
              </w:rPr>
              <w:t>asked</w:t>
            </w:r>
            <w:r>
              <w:rPr>
                <w:spacing w:val="-6"/>
                <w:sz w:val="24"/>
              </w:rPr>
              <w:t> </w:t>
            </w:r>
            <w:r>
              <w:rPr>
                <w:sz w:val="24"/>
              </w:rPr>
              <w:t>to</w:t>
            </w:r>
            <w:r>
              <w:rPr>
                <w:spacing w:val="-11"/>
                <w:sz w:val="24"/>
              </w:rPr>
              <w:t> </w:t>
            </w:r>
            <w:r>
              <w:rPr>
                <w:sz w:val="24"/>
              </w:rPr>
              <w:t>endorse</w:t>
            </w:r>
            <w:r>
              <w:rPr>
                <w:spacing w:val="-11"/>
                <w:sz w:val="24"/>
              </w:rPr>
              <w:t> </w:t>
            </w:r>
            <w:r>
              <w:rPr>
                <w:sz w:val="24"/>
              </w:rPr>
              <w:t>the</w:t>
            </w:r>
            <w:r>
              <w:rPr>
                <w:spacing w:val="-6"/>
                <w:sz w:val="24"/>
              </w:rPr>
              <w:t> </w:t>
            </w:r>
            <w:r>
              <w:rPr>
                <w:sz w:val="24"/>
              </w:rPr>
              <w:t>change</w:t>
            </w:r>
            <w:r>
              <w:rPr>
                <w:spacing w:val="-11"/>
                <w:sz w:val="24"/>
              </w:rPr>
              <w:t> </w:t>
            </w:r>
            <w:r>
              <w:rPr>
                <w:sz w:val="24"/>
              </w:rPr>
              <w:t>in</w:t>
            </w:r>
            <w:r>
              <w:rPr>
                <w:spacing w:val="-11"/>
                <w:sz w:val="24"/>
              </w:rPr>
              <w:t> </w:t>
            </w:r>
            <w:r>
              <w:rPr>
                <w:sz w:val="24"/>
              </w:rPr>
              <w:t>regional</w:t>
            </w:r>
            <w:r>
              <w:rPr>
                <w:spacing w:val="-16"/>
                <w:sz w:val="24"/>
              </w:rPr>
              <w:t> </w:t>
            </w:r>
            <w:r>
              <w:rPr>
                <w:sz w:val="24"/>
              </w:rPr>
              <w:t>direction</w:t>
            </w:r>
            <w:r>
              <w:rPr>
                <w:spacing w:val="-11"/>
                <w:sz w:val="24"/>
              </w:rPr>
              <w:t> </w:t>
            </w:r>
            <w:r>
              <w:rPr>
                <w:sz w:val="24"/>
              </w:rPr>
              <w:t>and</w:t>
            </w:r>
            <w:r>
              <w:rPr>
                <w:spacing w:val="-11"/>
                <w:sz w:val="24"/>
              </w:rPr>
              <w:t> </w:t>
            </w:r>
            <w:r>
              <w:rPr>
                <w:sz w:val="24"/>
              </w:rPr>
              <w:t>support</w:t>
            </w:r>
            <w:r>
              <w:rPr>
                <w:spacing w:val="-14"/>
                <w:sz w:val="24"/>
              </w:rPr>
              <w:t> </w:t>
            </w:r>
            <w:r>
              <w:rPr>
                <w:sz w:val="24"/>
              </w:rPr>
              <w:t>the</w:t>
            </w:r>
            <w:r>
              <w:rPr>
                <w:spacing w:val="-11"/>
                <w:sz w:val="24"/>
              </w:rPr>
              <w:t> </w:t>
            </w:r>
            <w:r>
              <w:rPr>
                <w:sz w:val="24"/>
              </w:rPr>
              <w:t>proposal proceeding</w:t>
            </w:r>
            <w:r>
              <w:rPr>
                <w:spacing w:val="-15"/>
                <w:sz w:val="24"/>
              </w:rPr>
              <w:t> </w:t>
            </w:r>
            <w:r>
              <w:rPr>
                <w:sz w:val="24"/>
              </w:rPr>
              <w:t>through</w:t>
            </w:r>
            <w:r>
              <w:rPr>
                <w:spacing w:val="-15"/>
                <w:sz w:val="24"/>
              </w:rPr>
              <w:t> </w:t>
            </w:r>
            <w:r>
              <w:rPr>
                <w:sz w:val="24"/>
              </w:rPr>
              <w:t>each</w:t>
            </w:r>
            <w:r>
              <w:rPr>
                <w:spacing w:val="-15"/>
                <w:sz w:val="24"/>
              </w:rPr>
              <w:t> </w:t>
            </w:r>
            <w:r>
              <w:rPr>
                <w:sz w:val="24"/>
              </w:rPr>
              <w:t>Health</w:t>
            </w:r>
            <w:r>
              <w:rPr>
                <w:spacing w:val="-15"/>
                <w:sz w:val="24"/>
              </w:rPr>
              <w:t> </w:t>
            </w:r>
            <w:r>
              <w:rPr>
                <w:sz w:val="24"/>
              </w:rPr>
              <w:t>Board’s</w:t>
            </w:r>
            <w:r>
              <w:rPr>
                <w:spacing w:val="-16"/>
                <w:sz w:val="24"/>
              </w:rPr>
              <w:t> </w:t>
            </w:r>
            <w:r>
              <w:rPr>
                <w:sz w:val="24"/>
              </w:rPr>
              <w:t>governance</w:t>
            </w:r>
            <w:r>
              <w:rPr>
                <w:spacing w:val="-15"/>
                <w:sz w:val="24"/>
              </w:rPr>
              <w:t> </w:t>
            </w:r>
            <w:r>
              <w:rPr>
                <w:sz w:val="24"/>
              </w:rPr>
              <w:t>route</w:t>
            </w:r>
            <w:r>
              <w:rPr>
                <w:spacing w:val="-15"/>
                <w:sz w:val="24"/>
              </w:rPr>
              <w:t> </w:t>
            </w:r>
            <w:r>
              <w:rPr>
                <w:sz w:val="24"/>
              </w:rPr>
              <w:t>for</w:t>
            </w:r>
            <w:r>
              <w:rPr>
                <w:spacing w:val="-16"/>
                <w:sz w:val="24"/>
              </w:rPr>
              <w:t> </w:t>
            </w:r>
            <w:r>
              <w:rPr>
                <w:sz w:val="24"/>
              </w:rPr>
              <w:t>formal</w:t>
            </w:r>
            <w:r>
              <w:rPr>
                <w:spacing w:val="-15"/>
                <w:sz w:val="24"/>
              </w:rPr>
              <w:t> </w:t>
            </w:r>
            <w:r>
              <w:rPr>
                <w:sz w:val="24"/>
              </w:rPr>
              <w:t>Board</w:t>
            </w:r>
            <w:r>
              <w:rPr>
                <w:spacing w:val="-15"/>
                <w:sz w:val="24"/>
              </w:rPr>
              <w:t> </w:t>
            </w:r>
            <w:r>
              <w:rPr>
                <w:sz w:val="24"/>
              </w:rPr>
              <w:t>consideration</w:t>
            </w:r>
            <w:r>
              <w:rPr>
                <w:spacing w:val="-15"/>
                <w:sz w:val="24"/>
              </w:rPr>
              <w:t> </w:t>
            </w:r>
            <w:r>
              <w:rPr>
                <w:sz w:val="24"/>
              </w:rPr>
              <w:t>at </w:t>
            </w:r>
            <w:r>
              <w:rPr>
                <w:spacing w:val="-2"/>
                <w:sz w:val="24"/>
              </w:rPr>
              <w:t>the</w:t>
            </w:r>
            <w:r>
              <w:rPr>
                <w:spacing w:val="-8"/>
                <w:sz w:val="24"/>
              </w:rPr>
              <w:t> </w:t>
            </w:r>
            <w:r>
              <w:rPr>
                <w:spacing w:val="-2"/>
                <w:sz w:val="24"/>
              </w:rPr>
              <w:t>end</w:t>
            </w:r>
            <w:r>
              <w:rPr>
                <w:spacing w:val="-8"/>
                <w:sz w:val="24"/>
              </w:rPr>
              <w:t> </w:t>
            </w:r>
            <w:r>
              <w:rPr>
                <w:spacing w:val="-2"/>
                <w:sz w:val="24"/>
              </w:rPr>
              <w:t>of</w:t>
            </w:r>
            <w:r>
              <w:rPr>
                <w:spacing w:val="-15"/>
                <w:sz w:val="24"/>
              </w:rPr>
              <w:t> </w:t>
            </w:r>
            <w:r>
              <w:rPr>
                <w:spacing w:val="-2"/>
                <w:sz w:val="24"/>
              </w:rPr>
              <w:t>November</w:t>
            </w:r>
            <w:r>
              <w:rPr>
                <w:spacing w:val="-8"/>
                <w:sz w:val="24"/>
              </w:rPr>
              <w:t> </w:t>
            </w:r>
            <w:r>
              <w:rPr>
                <w:spacing w:val="-2"/>
                <w:sz w:val="24"/>
              </w:rPr>
              <w:t>2026.</w:t>
            </w:r>
            <w:r>
              <w:rPr>
                <w:spacing w:val="-11"/>
                <w:sz w:val="24"/>
              </w:rPr>
              <w:t> </w:t>
            </w:r>
            <w:r>
              <w:rPr>
                <w:spacing w:val="-2"/>
                <w:sz w:val="24"/>
              </w:rPr>
              <w:t>Subject</w:t>
            </w:r>
            <w:r>
              <w:rPr>
                <w:spacing w:val="-6"/>
                <w:sz w:val="24"/>
              </w:rPr>
              <w:t> </w:t>
            </w:r>
            <w:r>
              <w:rPr>
                <w:spacing w:val="-2"/>
                <w:sz w:val="24"/>
              </w:rPr>
              <w:t>to</w:t>
            </w:r>
            <w:r>
              <w:rPr>
                <w:spacing w:val="-8"/>
                <w:sz w:val="24"/>
              </w:rPr>
              <w:t> </w:t>
            </w:r>
            <w:r>
              <w:rPr>
                <w:spacing w:val="-2"/>
                <w:sz w:val="24"/>
              </w:rPr>
              <w:t>Board</w:t>
            </w:r>
            <w:r>
              <w:rPr>
                <w:spacing w:val="-8"/>
                <w:sz w:val="24"/>
              </w:rPr>
              <w:t> </w:t>
            </w:r>
            <w:r>
              <w:rPr>
                <w:spacing w:val="-2"/>
                <w:sz w:val="24"/>
              </w:rPr>
              <w:t>approval,</w:t>
            </w:r>
            <w:r>
              <w:rPr>
                <w:spacing w:val="-11"/>
                <w:sz w:val="24"/>
              </w:rPr>
              <w:t> </w:t>
            </w:r>
            <w:r>
              <w:rPr>
                <w:spacing w:val="-2"/>
                <w:sz w:val="24"/>
              </w:rPr>
              <w:t>the</w:t>
            </w:r>
            <w:r>
              <w:rPr>
                <w:spacing w:val="-8"/>
                <w:sz w:val="24"/>
              </w:rPr>
              <w:t> </w:t>
            </w:r>
            <w:r>
              <w:rPr>
                <w:spacing w:val="-2"/>
                <w:sz w:val="24"/>
              </w:rPr>
              <w:t>Health</w:t>
            </w:r>
            <w:r>
              <w:rPr>
                <w:spacing w:val="-8"/>
                <w:sz w:val="24"/>
              </w:rPr>
              <w:t> </w:t>
            </w:r>
            <w:r>
              <w:rPr>
                <w:spacing w:val="-2"/>
                <w:sz w:val="24"/>
              </w:rPr>
              <w:t>Boards</w:t>
            </w:r>
            <w:r>
              <w:rPr>
                <w:spacing w:val="-13"/>
                <w:sz w:val="24"/>
              </w:rPr>
              <w:t> </w:t>
            </w:r>
            <w:r>
              <w:rPr>
                <w:spacing w:val="-2"/>
                <w:sz w:val="24"/>
              </w:rPr>
              <w:t>would</w:t>
            </w:r>
            <w:r>
              <w:rPr>
                <w:spacing w:val="-8"/>
                <w:sz w:val="24"/>
              </w:rPr>
              <w:t> </w:t>
            </w:r>
            <w:r>
              <w:rPr>
                <w:spacing w:val="-2"/>
                <w:sz w:val="24"/>
              </w:rPr>
              <w:t>then</w:t>
            </w:r>
            <w:r>
              <w:rPr>
                <w:spacing w:val="-8"/>
                <w:sz w:val="24"/>
              </w:rPr>
              <w:t> </w:t>
            </w:r>
            <w:r>
              <w:rPr>
                <w:spacing w:val="-2"/>
                <w:sz w:val="24"/>
              </w:rPr>
              <w:t>engage Welsh</w:t>
            </w:r>
            <w:r>
              <w:rPr>
                <w:spacing w:val="-12"/>
                <w:sz w:val="24"/>
              </w:rPr>
              <w:t> </w:t>
            </w:r>
            <w:r>
              <w:rPr>
                <w:spacing w:val="-2"/>
                <w:sz w:val="24"/>
              </w:rPr>
              <w:t>Government</w:t>
            </w:r>
            <w:r>
              <w:rPr>
                <w:spacing w:val="-15"/>
                <w:sz w:val="24"/>
              </w:rPr>
              <w:t> </w:t>
            </w:r>
            <w:r>
              <w:rPr>
                <w:spacing w:val="-2"/>
                <w:sz w:val="24"/>
              </w:rPr>
              <w:t>on</w:t>
            </w:r>
            <w:r>
              <w:rPr>
                <w:spacing w:val="-7"/>
                <w:sz w:val="24"/>
              </w:rPr>
              <w:t> </w:t>
            </w:r>
            <w:r>
              <w:rPr>
                <w:spacing w:val="-2"/>
                <w:sz w:val="24"/>
              </w:rPr>
              <w:t>the</w:t>
            </w:r>
            <w:r>
              <w:rPr>
                <w:spacing w:val="-12"/>
                <w:sz w:val="24"/>
              </w:rPr>
              <w:t> </w:t>
            </w:r>
            <w:r>
              <w:rPr>
                <w:spacing w:val="-2"/>
                <w:sz w:val="24"/>
              </w:rPr>
              <w:t>business</w:t>
            </w:r>
            <w:r>
              <w:rPr>
                <w:spacing w:val="-13"/>
                <w:sz w:val="24"/>
              </w:rPr>
              <w:t> </w:t>
            </w:r>
            <w:r>
              <w:rPr>
                <w:spacing w:val="-2"/>
                <w:sz w:val="24"/>
              </w:rPr>
              <w:t>case</w:t>
            </w:r>
            <w:r>
              <w:rPr>
                <w:spacing w:val="-12"/>
                <w:sz w:val="24"/>
              </w:rPr>
              <w:t> </w:t>
            </w:r>
            <w:r>
              <w:rPr>
                <w:spacing w:val="-2"/>
                <w:sz w:val="24"/>
              </w:rPr>
              <w:t>route</w:t>
            </w:r>
            <w:r>
              <w:rPr>
                <w:spacing w:val="-5"/>
                <w:sz w:val="24"/>
              </w:rPr>
              <w:t> </w:t>
            </w:r>
            <w:r>
              <w:rPr>
                <w:spacing w:val="-2"/>
                <w:sz w:val="24"/>
              </w:rPr>
              <w:t>for</w:t>
            </w:r>
            <w:r>
              <w:rPr>
                <w:spacing w:val="-15"/>
                <w:sz w:val="24"/>
              </w:rPr>
              <w:t> </w:t>
            </w:r>
            <w:r>
              <w:rPr>
                <w:spacing w:val="-2"/>
                <w:sz w:val="24"/>
              </w:rPr>
              <w:t>approximately</w:t>
            </w:r>
            <w:r>
              <w:rPr>
                <w:spacing w:val="-13"/>
                <w:sz w:val="24"/>
              </w:rPr>
              <w:t> </w:t>
            </w:r>
            <w:r>
              <w:rPr>
                <w:spacing w:val="-2"/>
                <w:sz w:val="24"/>
              </w:rPr>
              <w:t>£1m</w:t>
            </w:r>
            <w:r>
              <w:rPr>
                <w:spacing w:val="-15"/>
                <w:sz w:val="24"/>
              </w:rPr>
              <w:t> </w:t>
            </w:r>
            <w:r>
              <w:rPr>
                <w:spacing w:val="-2"/>
                <w:sz w:val="24"/>
              </w:rPr>
              <w:t>of</w:t>
            </w:r>
            <w:r>
              <w:rPr>
                <w:spacing w:val="-14"/>
                <w:sz w:val="24"/>
              </w:rPr>
              <w:t> </w:t>
            </w:r>
            <w:r>
              <w:rPr>
                <w:spacing w:val="-2"/>
                <w:sz w:val="24"/>
              </w:rPr>
              <w:t>design</w:t>
            </w:r>
            <w:r>
              <w:rPr>
                <w:spacing w:val="-12"/>
                <w:sz w:val="24"/>
              </w:rPr>
              <w:t> </w:t>
            </w:r>
            <w:r>
              <w:rPr>
                <w:spacing w:val="-2"/>
                <w:sz w:val="24"/>
              </w:rPr>
              <w:t>development funding.</w:t>
            </w:r>
          </w:p>
          <w:p>
            <w:pPr>
              <w:pStyle w:val="TableParagraph"/>
              <w:spacing w:before="75"/>
              <w:ind w:left="110"/>
              <w:rPr>
                <w:b/>
                <w:sz w:val="24"/>
              </w:rPr>
            </w:pPr>
            <w:r>
              <w:rPr>
                <w:b/>
                <w:sz w:val="24"/>
              </w:rPr>
              <w:t>The</w:t>
            </w:r>
            <w:r>
              <w:rPr>
                <w:b/>
                <w:spacing w:val="34"/>
                <w:sz w:val="24"/>
              </w:rPr>
              <w:t> </w:t>
            </w:r>
            <w:r>
              <w:rPr>
                <w:b/>
                <w:sz w:val="24"/>
              </w:rPr>
              <w:t>RJC</w:t>
            </w:r>
            <w:r>
              <w:rPr>
                <w:b/>
                <w:spacing w:val="39"/>
                <w:sz w:val="24"/>
              </w:rPr>
              <w:t> </w:t>
            </w:r>
            <w:r>
              <w:rPr>
                <w:b/>
                <w:sz w:val="24"/>
              </w:rPr>
              <w:t>is</w:t>
            </w:r>
            <w:r>
              <w:rPr>
                <w:b/>
                <w:spacing w:val="38"/>
                <w:sz w:val="24"/>
              </w:rPr>
              <w:t> </w:t>
            </w:r>
            <w:r>
              <w:rPr>
                <w:b/>
                <w:sz w:val="24"/>
              </w:rPr>
              <w:t>not</w:t>
            </w:r>
            <w:r>
              <w:rPr>
                <w:b/>
                <w:spacing w:val="40"/>
                <w:sz w:val="24"/>
              </w:rPr>
              <w:t> </w:t>
            </w:r>
            <w:r>
              <w:rPr>
                <w:b/>
                <w:sz w:val="24"/>
              </w:rPr>
              <w:t>being</w:t>
            </w:r>
            <w:r>
              <w:rPr>
                <w:b/>
                <w:spacing w:val="31"/>
                <w:sz w:val="24"/>
              </w:rPr>
              <w:t> </w:t>
            </w:r>
            <w:r>
              <w:rPr>
                <w:b/>
                <w:sz w:val="24"/>
              </w:rPr>
              <w:t>asked</w:t>
            </w:r>
            <w:r>
              <w:rPr>
                <w:b/>
                <w:spacing w:val="35"/>
                <w:sz w:val="24"/>
              </w:rPr>
              <w:t> </w:t>
            </w:r>
            <w:r>
              <w:rPr>
                <w:b/>
                <w:sz w:val="24"/>
              </w:rPr>
              <w:t>to</w:t>
            </w:r>
            <w:r>
              <w:rPr>
                <w:b/>
                <w:spacing w:val="31"/>
                <w:sz w:val="24"/>
              </w:rPr>
              <w:t> </w:t>
            </w:r>
            <w:r>
              <w:rPr>
                <w:b/>
                <w:sz w:val="24"/>
              </w:rPr>
              <w:t>approve</w:t>
            </w:r>
            <w:r>
              <w:rPr>
                <w:b/>
                <w:spacing w:val="34"/>
                <w:sz w:val="24"/>
              </w:rPr>
              <w:t> </w:t>
            </w:r>
            <w:r>
              <w:rPr>
                <w:b/>
                <w:sz w:val="24"/>
              </w:rPr>
              <w:t>construction,</w:t>
            </w:r>
            <w:r>
              <w:rPr>
                <w:b/>
                <w:spacing w:val="35"/>
                <w:sz w:val="24"/>
              </w:rPr>
              <w:t> </w:t>
            </w:r>
            <w:r>
              <w:rPr>
                <w:b/>
                <w:sz w:val="24"/>
              </w:rPr>
              <w:t>the</w:t>
            </w:r>
            <w:r>
              <w:rPr>
                <w:b/>
                <w:spacing w:val="39"/>
                <w:sz w:val="24"/>
              </w:rPr>
              <w:t> </w:t>
            </w:r>
            <w:r>
              <w:rPr>
                <w:b/>
                <w:sz w:val="24"/>
              </w:rPr>
              <w:t>purchase</w:t>
            </w:r>
            <w:r>
              <w:rPr>
                <w:b/>
                <w:spacing w:val="39"/>
                <w:sz w:val="24"/>
              </w:rPr>
              <w:t> </w:t>
            </w:r>
            <w:r>
              <w:rPr>
                <w:b/>
                <w:sz w:val="24"/>
              </w:rPr>
              <w:t>or</w:t>
            </w:r>
            <w:r>
              <w:rPr>
                <w:b/>
                <w:spacing w:val="39"/>
                <w:sz w:val="24"/>
              </w:rPr>
              <w:t> </w:t>
            </w:r>
            <w:r>
              <w:rPr>
                <w:b/>
                <w:sz w:val="24"/>
              </w:rPr>
              <w:t>operation</w:t>
            </w:r>
            <w:r>
              <w:rPr>
                <w:b/>
                <w:spacing w:val="35"/>
                <w:sz w:val="24"/>
              </w:rPr>
              <w:t> </w:t>
            </w:r>
            <w:r>
              <w:rPr>
                <w:b/>
                <w:sz w:val="24"/>
              </w:rPr>
              <w:t>of </w:t>
            </w:r>
            <w:r>
              <w:rPr>
                <w:b/>
                <w:spacing w:val="-2"/>
                <w:sz w:val="24"/>
              </w:rPr>
              <w:t>replacement</w:t>
            </w:r>
            <w:r>
              <w:rPr>
                <w:b/>
                <w:spacing w:val="-5"/>
                <w:sz w:val="24"/>
              </w:rPr>
              <w:t> </w:t>
            </w:r>
            <w:r>
              <w:rPr>
                <w:b/>
                <w:spacing w:val="-2"/>
                <w:sz w:val="24"/>
              </w:rPr>
              <w:t>or</w:t>
            </w:r>
            <w:r>
              <w:rPr>
                <w:b/>
                <w:spacing w:val="-8"/>
                <w:sz w:val="24"/>
              </w:rPr>
              <w:t> </w:t>
            </w:r>
            <w:r>
              <w:rPr>
                <w:b/>
                <w:spacing w:val="-2"/>
                <w:sz w:val="24"/>
              </w:rPr>
              <w:t>additional</w:t>
            </w:r>
            <w:r>
              <w:rPr>
                <w:b/>
                <w:spacing w:val="-11"/>
                <w:sz w:val="24"/>
              </w:rPr>
              <w:t> </w:t>
            </w:r>
            <w:r>
              <w:rPr>
                <w:b/>
                <w:spacing w:val="-2"/>
                <w:sz w:val="24"/>
              </w:rPr>
              <w:t>LINACs,</w:t>
            </w:r>
            <w:r>
              <w:rPr>
                <w:b/>
                <w:spacing w:val="-11"/>
                <w:sz w:val="24"/>
              </w:rPr>
              <w:t> </w:t>
            </w:r>
            <w:r>
              <w:rPr>
                <w:b/>
                <w:spacing w:val="-2"/>
                <w:sz w:val="24"/>
              </w:rPr>
              <w:t>workforce</w:t>
            </w:r>
            <w:r>
              <w:rPr>
                <w:b/>
                <w:spacing w:val="-4"/>
                <w:sz w:val="24"/>
              </w:rPr>
              <w:t> </w:t>
            </w:r>
            <w:r>
              <w:rPr>
                <w:b/>
                <w:spacing w:val="-2"/>
                <w:sz w:val="24"/>
              </w:rPr>
              <w:t>growth,</w:t>
            </w:r>
            <w:r>
              <w:rPr>
                <w:b/>
                <w:spacing w:val="-11"/>
                <w:sz w:val="24"/>
              </w:rPr>
              <w:t> </w:t>
            </w:r>
            <w:r>
              <w:rPr>
                <w:b/>
                <w:spacing w:val="-2"/>
                <w:sz w:val="24"/>
              </w:rPr>
              <w:t>recurrent</w:t>
            </w:r>
            <w:r>
              <w:rPr>
                <w:b/>
                <w:spacing w:val="-5"/>
                <w:sz w:val="24"/>
              </w:rPr>
              <w:t> </w:t>
            </w:r>
            <w:r>
              <w:rPr>
                <w:b/>
                <w:spacing w:val="-2"/>
                <w:sz w:val="24"/>
              </w:rPr>
              <w:t>revenue,</w:t>
            </w:r>
            <w:r>
              <w:rPr>
                <w:b/>
                <w:spacing w:val="-11"/>
                <w:sz w:val="24"/>
              </w:rPr>
              <w:t> </w:t>
            </w:r>
            <w:r>
              <w:rPr>
                <w:b/>
                <w:spacing w:val="-2"/>
                <w:sz w:val="24"/>
              </w:rPr>
              <w:t>cost</w:t>
            </w:r>
            <w:r>
              <w:rPr>
                <w:b/>
                <w:spacing w:val="-4"/>
                <w:sz w:val="24"/>
              </w:rPr>
              <w:t> </w:t>
            </w:r>
            <w:r>
              <w:rPr>
                <w:b/>
                <w:spacing w:val="-2"/>
                <w:sz w:val="24"/>
              </w:rPr>
              <w:t>sharing</w:t>
            </w:r>
            <w:r>
              <w:rPr>
                <w:b/>
                <w:spacing w:val="-11"/>
                <w:sz w:val="24"/>
              </w:rPr>
              <w:t> </w:t>
            </w:r>
            <w:r>
              <w:rPr>
                <w:b/>
                <w:spacing w:val="-5"/>
                <w:sz w:val="24"/>
              </w:rPr>
              <w:t>or</w:t>
            </w:r>
          </w:p>
          <w:p>
            <w:pPr>
              <w:pStyle w:val="TableParagraph"/>
              <w:spacing w:line="255" w:lineRule="exact" w:before="3"/>
              <w:ind w:left="110"/>
              <w:rPr>
                <w:b/>
                <w:sz w:val="24"/>
              </w:rPr>
            </w:pPr>
            <w:r>
              <w:rPr>
                <w:b/>
                <w:spacing w:val="-2"/>
                <w:sz w:val="24"/>
              </w:rPr>
              <w:t>the</w:t>
            </w:r>
            <w:r>
              <w:rPr>
                <w:b/>
                <w:spacing w:val="-13"/>
                <w:sz w:val="24"/>
              </w:rPr>
              <w:t> </w:t>
            </w:r>
            <w:r>
              <w:rPr>
                <w:b/>
                <w:spacing w:val="-2"/>
                <w:sz w:val="24"/>
              </w:rPr>
              <w:t>final</w:t>
            </w:r>
            <w:r>
              <w:rPr>
                <w:b/>
                <w:spacing w:val="-15"/>
                <w:sz w:val="24"/>
              </w:rPr>
              <w:t> </w:t>
            </w:r>
            <w:r>
              <w:rPr>
                <w:b/>
                <w:spacing w:val="-2"/>
                <w:sz w:val="24"/>
              </w:rPr>
              <w:t>long-term</w:t>
            </w:r>
            <w:r>
              <w:rPr>
                <w:b/>
                <w:spacing w:val="-12"/>
                <w:sz w:val="24"/>
              </w:rPr>
              <w:t> </w:t>
            </w:r>
            <w:r>
              <w:rPr>
                <w:b/>
                <w:spacing w:val="-2"/>
                <w:sz w:val="24"/>
              </w:rPr>
              <w:t>regional</w:t>
            </w:r>
            <w:r>
              <w:rPr>
                <w:b/>
                <w:spacing w:val="-14"/>
                <w:sz w:val="24"/>
              </w:rPr>
              <w:t> </w:t>
            </w:r>
            <w:r>
              <w:rPr>
                <w:b/>
                <w:spacing w:val="-2"/>
                <w:sz w:val="24"/>
              </w:rPr>
              <w:t>service</w:t>
            </w:r>
            <w:r>
              <w:rPr>
                <w:b/>
                <w:spacing w:val="-12"/>
                <w:sz w:val="24"/>
              </w:rPr>
              <w:t> </w:t>
            </w:r>
            <w:r>
              <w:rPr>
                <w:b/>
                <w:spacing w:val="-2"/>
                <w:sz w:val="24"/>
              </w:rPr>
              <w:t>configuration.</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09"/>
        <w:rPr>
          <w:sz w:val="16"/>
        </w:rPr>
      </w:pPr>
    </w:p>
    <w:p>
      <w:pPr>
        <w:spacing w:before="0"/>
        <w:ind w:left="657" w:right="228" w:firstLine="0"/>
        <w:jc w:val="center"/>
        <w:rPr>
          <w:sz w:val="16"/>
        </w:rPr>
      </w:pPr>
      <w:r>
        <w:rPr>
          <w:spacing w:val="-2"/>
          <w:sz w:val="16"/>
        </w:rPr>
        <w:t>Page</w:t>
      </w:r>
      <w:r>
        <w:rPr>
          <w:spacing w:val="-7"/>
          <w:sz w:val="16"/>
        </w:rPr>
        <w:t> </w:t>
      </w:r>
      <w:r>
        <w:rPr>
          <w:spacing w:val="-2"/>
          <w:sz w:val="16"/>
        </w:rPr>
        <w:t>1</w:t>
      </w:r>
      <w:r>
        <w:rPr>
          <w:spacing w:val="-9"/>
          <w:sz w:val="16"/>
        </w:rPr>
        <w:t> </w:t>
      </w:r>
      <w:r>
        <w:rPr>
          <w:spacing w:val="-2"/>
          <w:sz w:val="16"/>
        </w:rPr>
        <w:t>of</w:t>
      </w:r>
      <w:r>
        <w:rPr>
          <w:spacing w:val="-9"/>
          <w:sz w:val="16"/>
        </w:rPr>
        <w:t> </w:t>
      </w:r>
      <w:r>
        <w:rPr>
          <w:spacing w:val="-10"/>
          <w:sz w:val="16"/>
        </w:rPr>
        <w:t>6</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mc:AlternateContent>
          <mc:Choice Requires="wps">
            <w:drawing>
              <wp:anchor distT="0" distB="0" distL="0" distR="0" allowOverlap="1" layoutInCell="1" locked="0" behindDoc="0" simplePos="0" relativeHeight="15779328">
                <wp:simplePos x="0" y="0"/>
                <wp:positionH relativeFrom="page">
                  <wp:posOffset>616267</wp:posOffset>
                </wp:positionH>
                <wp:positionV relativeFrom="page">
                  <wp:posOffset>1117980</wp:posOffset>
                </wp:positionV>
                <wp:extent cx="6334125" cy="2416175"/>
                <wp:effectExtent l="0" t="0" r="0" b="0"/>
                <wp:wrapNone/>
                <wp:docPr id="313" name="Textbox 313"/>
                <wp:cNvGraphicFramePr>
                  <a:graphicFrameLocks/>
                </wp:cNvGraphicFramePr>
                <a:graphic>
                  <a:graphicData uri="http://schemas.microsoft.com/office/word/2010/wordprocessingShape">
                    <wps:wsp>
                      <wps:cNvPr id="313" name="Textbox 313"/>
                      <wps:cNvSpPr txBox="1"/>
                      <wps:spPr>
                        <a:xfrm>
                          <a:off x="0" y="0"/>
                          <a:ext cx="6334125" cy="2416175"/>
                        </a:xfrm>
                        <a:prstGeom prst="rect">
                          <a:avLst/>
                        </a:prstGeom>
                      </wps:spPr>
                      <wps:txbx>
                        <w:txbxContent>
                          <w:tbl>
                            <w:tblPr>
                              <w:tblW w:w="0" w:type="auto"/>
                              <w:jc w:val="left"/>
                              <w:tblInd w:w="6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0" w:type="dxa"/>
                                <w:left w:w="0" w:type="dxa"/>
                                <w:bottom w:w="0" w:type="dxa"/>
                                <w:right w:w="0" w:type="dxa"/>
                              </w:tblCellMar>
                              <w:tblLook w:val="01E0"/>
                            </w:tblPr>
                            <w:tblGrid>
                              <w:gridCol w:w="1906"/>
                              <w:gridCol w:w="3626"/>
                              <w:gridCol w:w="4311"/>
                            </w:tblGrid>
                            <w:tr>
                              <w:trPr>
                                <w:trHeight w:val="455" w:hRule="atLeast"/>
                              </w:trPr>
                              <w:tc>
                                <w:tcPr>
                                  <w:tcW w:w="1906" w:type="dxa"/>
                                  <w:shd w:val="clear" w:color="auto" w:fill="1F4E79"/>
                                </w:tcPr>
                                <w:p>
                                  <w:pPr>
                                    <w:pStyle w:val="TableParagraph"/>
                                    <w:spacing w:before="90"/>
                                    <w:ind w:left="4"/>
                                    <w:jc w:val="center"/>
                                    <w:rPr>
                                      <w:b/>
                                      <w:sz w:val="24"/>
                                    </w:rPr>
                                  </w:pPr>
                                  <w:r>
                                    <w:rPr>
                                      <w:b/>
                                      <w:color w:val="FFFFFF"/>
                                      <w:spacing w:val="-4"/>
                                      <w:sz w:val="24"/>
                                    </w:rPr>
                                    <w:t>Case</w:t>
                                  </w:r>
                                </w:p>
                              </w:tc>
                              <w:tc>
                                <w:tcPr>
                                  <w:tcW w:w="3626" w:type="dxa"/>
                                  <w:shd w:val="clear" w:color="auto" w:fill="1F4E79"/>
                                </w:tcPr>
                                <w:p>
                                  <w:pPr>
                                    <w:pStyle w:val="TableParagraph"/>
                                    <w:spacing w:before="90"/>
                                    <w:ind w:left="995"/>
                                    <w:rPr>
                                      <w:b/>
                                      <w:sz w:val="24"/>
                                    </w:rPr>
                                  </w:pPr>
                                  <w:r>
                                    <w:rPr>
                                      <w:b/>
                                      <w:color w:val="FFFFFF"/>
                                      <w:spacing w:val="-4"/>
                                      <w:sz w:val="24"/>
                                    </w:rPr>
                                    <w:t>Original</w:t>
                                  </w:r>
                                  <w:r>
                                    <w:rPr>
                                      <w:b/>
                                      <w:color w:val="FFFFFF"/>
                                      <w:spacing w:val="-7"/>
                                      <w:sz w:val="24"/>
                                    </w:rPr>
                                    <w:t> </w:t>
                                  </w:r>
                                  <w:r>
                                    <w:rPr>
                                      <w:b/>
                                      <w:color w:val="FFFFFF"/>
                                      <w:spacing w:val="-4"/>
                                      <w:sz w:val="24"/>
                                    </w:rPr>
                                    <w:t>scope</w:t>
                                  </w:r>
                                </w:p>
                              </w:tc>
                              <w:tc>
                                <w:tcPr>
                                  <w:tcW w:w="4311" w:type="dxa"/>
                                  <w:shd w:val="clear" w:color="auto" w:fill="1F4E79"/>
                                </w:tcPr>
                                <w:p>
                                  <w:pPr>
                                    <w:pStyle w:val="TableParagraph"/>
                                    <w:spacing w:before="90"/>
                                    <w:ind w:left="935"/>
                                    <w:rPr>
                                      <w:b/>
                                      <w:sz w:val="24"/>
                                    </w:rPr>
                                  </w:pPr>
                                  <w:r>
                                    <w:rPr>
                                      <w:b/>
                                      <w:color w:val="FFFFFF"/>
                                      <w:spacing w:val="-4"/>
                                      <w:sz w:val="24"/>
                                    </w:rPr>
                                    <w:t>Revised</w:t>
                                  </w:r>
                                  <w:r>
                                    <w:rPr>
                                      <w:b/>
                                      <w:color w:val="FFFFFF"/>
                                      <w:spacing w:val="-5"/>
                                      <w:sz w:val="24"/>
                                    </w:rPr>
                                    <w:t> </w:t>
                                  </w:r>
                                  <w:r>
                                    <w:rPr>
                                      <w:b/>
                                      <w:color w:val="FFFFFF"/>
                                      <w:spacing w:val="-4"/>
                                      <w:sz w:val="24"/>
                                    </w:rPr>
                                    <w:t>strategic</w:t>
                                  </w:r>
                                  <w:r>
                                    <w:rPr>
                                      <w:b/>
                                      <w:color w:val="FFFFFF"/>
                                      <w:sz w:val="24"/>
                                    </w:rPr>
                                    <w:t> </w:t>
                                  </w:r>
                                  <w:r>
                                    <w:rPr>
                                      <w:b/>
                                      <w:color w:val="FFFFFF"/>
                                      <w:spacing w:val="-4"/>
                                      <w:sz w:val="24"/>
                                    </w:rPr>
                                    <w:t>role</w:t>
                                  </w:r>
                                </w:p>
                              </w:tc>
                            </w:tr>
                            <w:tr>
                              <w:trPr>
                                <w:trHeight w:val="735" w:hRule="atLeast"/>
                              </w:trPr>
                              <w:tc>
                                <w:tcPr>
                                  <w:tcW w:w="1906" w:type="dxa"/>
                                </w:tcPr>
                                <w:p>
                                  <w:pPr>
                                    <w:pStyle w:val="TableParagraph"/>
                                    <w:spacing w:before="230"/>
                                    <w:ind w:left="110"/>
                                    <w:rPr>
                                      <w:b/>
                                      <w:sz w:val="24"/>
                                    </w:rPr>
                                  </w:pPr>
                                  <w:r>
                                    <w:rPr>
                                      <w:b/>
                                      <w:spacing w:val="-4"/>
                                      <w:sz w:val="24"/>
                                    </w:rPr>
                                    <w:t>BJC1</w:t>
                                  </w:r>
                                </w:p>
                              </w:tc>
                              <w:tc>
                                <w:tcPr>
                                  <w:tcW w:w="3626" w:type="dxa"/>
                                </w:tcPr>
                                <w:p>
                                  <w:pPr>
                                    <w:pStyle w:val="TableParagraph"/>
                                    <w:spacing w:line="242" w:lineRule="auto" w:before="90"/>
                                    <w:ind w:left="110"/>
                                    <w:rPr>
                                      <w:sz w:val="24"/>
                                    </w:rPr>
                                  </w:pPr>
                                  <w:r>
                                    <w:rPr>
                                      <w:spacing w:val="-2"/>
                                      <w:sz w:val="24"/>
                                    </w:rPr>
                                    <w:t>5th</w:t>
                                  </w:r>
                                  <w:r>
                                    <w:rPr>
                                      <w:spacing w:val="-15"/>
                                      <w:sz w:val="24"/>
                                    </w:rPr>
                                    <w:t> </w:t>
                                  </w:r>
                                  <w:r>
                                    <w:rPr>
                                      <w:spacing w:val="-2"/>
                                      <w:sz w:val="24"/>
                                    </w:rPr>
                                    <w:t>LINAC</w:t>
                                  </w:r>
                                  <w:r>
                                    <w:rPr>
                                      <w:spacing w:val="-15"/>
                                      <w:sz w:val="24"/>
                                    </w:rPr>
                                    <w:t> </w:t>
                                  </w:r>
                                  <w:r>
                                    <w:rPr>
                                      <w:spacing w:val="-2"/>
                                      <w:sz w:val="24"/>
                                    </w:rPr>
                                    <w:t>in</w:t>
                                  </w:r>
                                  <w:r>
                                    <w:rPr>
                                      <w:spacing w:val="-14"/>
                                      <w:sz w:val="24"/>
                                    </w:rPr>
                                    <w:t> </w:t>
                                  </w:r>
                                  <w:r>
                                    <w:rPr>
                                      <w:spacing w:val="-2"/>
                                      <w:sz w:val="24"/>
                                    </w:rPr>
                                    <w:t>the</w:t>
                                  </w:r>
                                  <w:r>
                                    <w:rPr>
                                      <w:spacing w:val="-15"/>
                                      <w:sz w:val="24"/>
                                    </w:rPr>
                                    <w:t> </w:t>
                                  </w:r>
                                  <w:r>
                                    <w:rPr>
                                      <w:spacing w:val="-2"/>
                                      <w:sz w:val="24"/>
                                    </w:rPr>
                                    <w:t>existing</w:t>
                                  </w:r>
                                  <w:r>
                                    <w:rPr>
                                      <w:spacing w:val="-15"/>
                                      <w:sz w:val="24"/>
                                    </w:rPr>
                                    <w:t> </w:t>
                                  </w:r>
                                  <w:r>
                                    <w:rPr>
                                      <w:spacing w:val="-2"/>
                                      <w:sz w:val="24"/>
                                    </w:rPr>
                                    <w:t>vacant </w:t>
                                  </w:r>
                                  <w:r>
                                    <w:rPr>
                                      <w:sz w:val="24"/>
                                    </w:rPr>
                                    <w:t>bunker at Singleton.</w:t>
                                  </w:r>
                                </w:p>
                              </w:tc>
                              <w:tc>
                                <w:tcPr>
                                  <w:tcW w:w="4311" w:type="dxa"/>
                                </w:tcPr>
                                <w:p>
                                  <w:pPr>
                                    <w:pStyle w:val="TableParagraph"/>
                                    <w:spacing w:line="242" w:lineRule="auto" w:before="90"/>
                                    <w:ind w:left="105" w:right="287"/>
                                    <w:rPr>
                                      <w:sz w:val="24"/>
                                    </w:rPr>
                                  </w:pPr>
                                  <w:r>
                                    <w:rPr>
                                      <w:spacing w:val="-2"/>
                                      <w:sz w:val="24"/>
                                    </w:rPr>
                                    <w:t>Approved</w:t>
                                  </w:r>
                                  <w:r>
                                    <w:rPr>
                                      <w:spacing w:val="-15"/>
                                      <w:sz w:val="24"/>
                                    </w:rPr>
                                    <w:t> </w:t>
                                  </w:r>
                                  <w:r>
                                    <w:rPr>
                                      <w:spacing w:val="-2"/>
                                      <w:sz w:val="24"/>
                                    </w:rPr>
                                    <w:t>by</w:t>
                                  </w:r>
                                  <w:r>
                                    <w:rPr>
                                      <w:spacing w:val="-15"/>
                                      <w:sz w:val="24"/>
                                    </w:rPr>
                                    <w:t> </w:t>
                                  </w:r>
                                  <w:r>
                                    <w:rPr>
                                      <w:spacing w:val="-2"/>
                                      <w:sz w:val="24"/>
                                    </w:rPr>
                                    <w:t>both</w:t>
                                  </w:r>
                                  <w:r>
                                    <w:rPr>
                                      <w:spacing w:val="-14"/>
                                      <w:sz w:val="24"/>
                                    </w:rPr>
                                    <w:t> </w:t>
                                  </w:r>
                                  <w:r>
                                    <w:rPr>
                                      <w:spacing w:val="-2"/>
                                      <w:sz w:val="24"/>
                                    </w:rPr>
                                    <w:t>Health</w:t>
                                  </w:r>
                                  <w:r>
                                    <w:rPr>
                                      <w:spacing w:val="-15"/>
                                      <w:sz w:val="24"/>
                                    </w:rPr>
                                    <w:t> </w:t>
                                  </w:r>
                                  <w:r>
                                    <w:rPr>
                                      <w:spacing w:val="-2"/>
                                      <w:sz w:val="24"/>
                                    </w:rPr>
                                    <w:t>Boards</w:t>
                                  </w:r>
                                  <w:r>
                                    <w:rPr>
                                      <w:spacing w:val="-15"/>
                                      <w:sz w:val="24"/>
                                    </w:rPr>
                                    <w:t> </w:t>
                                  </w:r>
                                  <w:r>
                                    <w:rPr>
                                      <w:spacing w:val="-2"/>
                                      <w:sz w:val="24"/>
                                    </w:rPr>
                                    <w:t>in </w:t>
                                  </w:r>
                                  <w:r>
                                    <w:rPr>
                                      <w:sz w:val="24"/>
                                    </w:rPr>
                                    <w:t>July 2026. No change proposed.</w:t>
                                  </w:r>
                                </w:p>
                              </w:tc>
                            </w:tr>
                            <w:tr>
                              <w:trPr>
                                <w:trHeight w:val="1560" w:hRule="atLeast"/>
                              </w:trPr>
                              <w:tc>
                                <w:tcPr>
                                  <w:tcW w:w="1906" w:type="dxa"/>
                                </w:tcPr>
                                <w:p>
                                  <w:pPr>
                                    <w:pStyle w:val="TableParagraph"/>
                                    <w:rPr>
                                      <w:sz w:val="24"/>
                                    </w:rPr>
                                  </w:pPr>
                                </w:p>
                                <w:p>
                                  <w:pPr>
                                    <w:pStyle w:val="TableParagraph"/>
                                    <w:spacing w:before="87"/>
                                    <w:rPr>
                                      <w:sz w:val="24"/>
                                    </w:rPr>
                                  </w:pPr>
                                </w:p>
                                <w:p>
                                  <w:pPr>
                                    <w:pStyle w:val="TableParagraph"/>
                                    <w:spacing w:before="1"/>
                                    <w:ind w:left="110"/>
                                    <w:rPr>
                                      <w:b/>
                                      <w:sz w:val="24"/>
                                    </w:rPr>
                                  </w:pPr>
                                  <w:r>
                                    <w:rPr>
                                      <w:b/>
                                      <w:spacing w:val="-4"/>
                                      <w:sz w:val="24"/>
                                    </w:rPr>
                                    <w:t>BJC2</w:t>
                                  </w:r>
                                </w:p>
                              </w:tc>
                              <w:tc>
                                <w:tcPr>
                                  <w:tcW w:w="3626" w:type="dxa"/>
                                </w:tcPr>
                                <w:p>
                                  <w:pPr>
                                    <w:pStyle w:val="TableParagraph"/>
                                    <w:spacing w:before="228"/>
                                    <w:rPr>
                                      <w:sz w:val="24"/>
                                    </w:rPr>
                                  </w:pPr>
                                </w:p>
                                <w:p>
                                  <w:pPr>
                                    <w:pStyle w:val="TableParagraph"/>
                                    <w:spacing w:before="1"/>
                                    <w:ind w:left="110"/>
                                    <w:rPr>
                                      <w:sz w:val="24"/>
                                    </w:rPr>
                                  </w:pPr>
                                  <w:r>
                                    <w:rPr>
                                      <w:spacing w:val="-2"/>
                                      <w:sz w:val="24"/>
                                    </w:rPr>
                                    <w:t>Single</w:t>
                                  </w:r>
                                  <w:r>
                                    <w:rPr>
                                      <w:spacing w:val="-15"/>
                                      <w:sz w:val="24"/>
                                    </w:rPr>
                                    <w:t> </w:t>
                                  </w:r>
                                  <w:r>
                                    <w:rPr>
                                      <w:spacing w:val="-2"/>
                                      <w:sz w:val="24"/>
                                    </w:rPr>
                                    <w:t>6th</w:t>
                                  </w:r>
                                  <w:r>
                                    <w:rPr>
                                      <w:spacing w:val="-15"/>
                                      <w:sz w:val="24"/>
                                    </w:rPr>
                                    <w:t> </w:t>
                                  </w:r>
                                  <w:r>
                                    <w:rPr>
                                      <w:spacing w:val="-2"/>
                                      <w:sz w:val="24"/>
                                    </w:rPr>
                                    <w:t>decant</w:t>
                                  </w:r>
                                  <w:r>
                                    <w:rPr>
                                      <w:spacing w:val="-14"/>
                                      <w:sz w:val="24"/>
                                    </w:rPr>
                                    <w:t> </w:t>
                                  </w:r>
                                  <w:r>
                                    <w:rPr>
                                      <w:spacing w:val="-2"/>
                                      <w:sz w:val="24"/>
                                    </w:rPr>
                                    <w:t>bunker</w:t>
                                  </w:r>
                                  <w:r>
                                    <w:rPr>
                                      <w:spacing w:val="-15"/>
                                      <w:sz w:val="24"/>
                                    </w:rPr>
                                    <w:t> </w:t>
                                  </w:r>
                                  <w:r>
                                    <w:rPr>
                                      <w:spacing w:val="-2"/>
                                      <w:sz w:val="24"/>
                                    </w:rPr>
                                    <w:t>at Singleton.</w:t>
                                  </w:r>
                                </w:p>
                              </w:tc>
                              <w:tc>
                                <w:tcPr>
                                  <w:tcW w:w="4311" w:type="dxa"/>
                                </w:tcPr>
                                <w:p>
                                  <w:pPr>
                                    <w:pStyle w:val="TableParagraph"/>
                                    <w:spacing w:before="90"/>
                                    <w:ind w:left="105" w:right="287"/>
                                    <w:rPr>
                                      <w:sz w:val="24"/>
                                    </w:rPr>
                                  </w:pPr>
                                  <w:r>
                                    <w:rPr>
                                      <w:sz w:val="24"/>
                                    </w:rPr>
                                    <w:t>Proposed twin-bunker and support accommodation development, integrating the replacement LINACs </w:t>
                                  </w:r>
                                  <w:r>
                                    <w:rPr>
                                      <w:spacing w:val="-2"/>
                                      <w:sz w:val="24"/>
                                    </w:rPr>
                                    <w:t>and</w:t>
                                  </w:r>
                                  <w:r>
                                    <w:rPr>
                                      <w:spacing w:val="-15"/>
                                      <w:sz w:val="24"/>
                                    </w:rPr>
                                    <w:t> </w:t>
                                  </w:r>
                                  <w:r>
                                    <w:rPr>
                                      <w:spacing w:val="-2"/>
                                      <w:sz w:val="24"/>
                                    </w:rPr>
                                    <w:t>protecting</w:t>
                                  </w:r>
                                  <w:r>
                                    <w:rPr>
                                      <w:spacing w:val="-15"/>
                                      <w:sz w:val="24"/>
                                    </w:rPr>
                                    <w:t> </w:t>
                                  </w:r>
                                  <w:r>
                                    <w:rPr>
                                      <w:spacing w:val="-2"/>
                                      <w:sz w:val="24"/>
                                    </w:rPr>
                                    <w:t>the</w:t>
                                  </w:r>
                                  <w:r>
                                    <w:rPr>
                                      <w:spacing w:val="-14"/>
                                      <w:sz w:val="24"/>
                                    </w:rPr>
                                    <w:t> </w:t>
                                  </w:r>
                                  <w:r>
                                    <w:rPr>
                                      <w:spacing w:val="-2"/>
                                      <w:sz w:val="24"/>
                                    </w:rPr>
                                    <w:t>rolling</w:t>
                                  </w:r>
                                  <w:r>
                                    <w:rPr>
                                      <w:spacing w:val="-15"/>
                                      <w:sz w:val="24"/>
                                    </w:rPr>
                                    <w:t> </w:t>
                                  </w:r>
                                  <w:r>
                                    <w:rPr>
                                      <w:spacing w:val="-2"/>
                                      <w:sz w:val="24"/>
                                    </w:rPr>
                                    <w:t>replacement programme.</w:t>
                                  </w:r>
                                </w:p>
                              </w:tc>
                            </w:tr>
                            <w:tr>
                              <w:trPr>
                                <w:trHeight w:val="1005" w:hRule="atLeast"/>
                              </w:trPr>
                              <w:tc>
                                <w:tcPr>
                                  <w:tcW w:w="1906" w:type="dxa"/>
                                </w:tcPr>
                                <w:p>
                                  <w:pPr>
                                    <w:pStyle w:val="TableParagraph"/>
                                    <w:spacing w:before="88"/>
                                    <w:rPr>
                                      <w:sz w:val="24"/>
                                    </w:rPr>
                                  </w:pPr>
                                </w:p>
                                <w:p>
                                  <w:pPr>
                                    <w:pStyle w:val="TableParagraph"/>
                                    <w:spacing w:before="1"/>
                                    <w:ind w:left="110"/>
                                    <w:rPr>
                                      <w:b/>
                                      <w:sz w:val="24"/>
                                    </w:rPr>
                                  </w:pPr>
                                  <w:r>
                                    <w:rPr>
                                      <w:b/>
                                      <w:spacing w:val="-4"/>
                                      <w:sz w:val="24"/>
                                    </w:rPr>
                                    <w:t>BJC3</w:t>
                                  </w:r>
                                </w:p>
                              </w:tc>
                              <w:tc>
                                <w:tcPr>
                                  <w:tcW w:w="3626" w:type="dxa"/>
                                </w:tcPr>
                                <w:p>
                                  <w:pPr>
                                    <w:pStyle w:val="TableParagraph"/>
                                    <w:spacing w:line="242" w:lineRule="auto" w:before="225"/>
                                    <w:ind w:left="110"/>
                                    <w:rPr>
                                      <w:sz w:val="24"/>
                                    </w:rPr>
                                  </w:pPr>
                                  <w:r>
                                    <w:rPr>
                                      <w:spacing w:val="-4"/>
                                      <w:sz w:val="24"/>
                                    </w:rPr>
                                    <w:t>Additional</w:t>
                                  </w:r>
                                  <w:r>
                                    <w:rPr>
                                      <w:spacing w:val="-8"/>
                                      <w:sz w:val="24"/>
                                    </w:rPr>
                                    <w:t> </w:t>
                                  </w:r>
                                  <w:r>
                                    <w:rPr>
                                      <w:spacing w:val="-4"/>
                                      <w:sz w:val="24"/>
                                    </w:rPr>
                                    <w:t>LINAC</w:t>
                                  </w:r>
                                  <w:r>
                                    <w:rPr>
                                      <w:spacing w:val="-8"/>
                                      <w:sz w:val="24"/>
                                    </w:rPr>
                                    <w:t> </w:t>
                                  </w:r>
                                  <w:r>
                                    <w:rPr>
                                      <w:spacing w:val="-4"/>
                                      <w:sz w:val="24"/>
                                    </w:rPr>
                                    <w:t>capacity</w:t>
                                  </w:r>
                                  <w:r>
                                    <w:rPr>
                                      <w:spacing w:val="-9"/>
                                      <w:sz w:val="24"/>
                                    </w:rPr>
                                    <w:t> </w:t>
                                  </w:r>
                                  <w:r>
                                    <w:rPr>
                                      <w:spacing w:val="-4"/>
                                      <w:sz w:val="24"/>
                                    </w:rPr>
                                    <w:t>and </w:t>
                                  </w:r>
                                  <w:r>
                                    <w:rPr>
                                      <w:sz w:val="24"/>
                                    </w:rPr>
                                    <w:t>future regional configuration.</w:t>
                                  </w:r>
                                </w:p>
                              </w:tc>
                              <w:tc>
                                <w:tcPr>
                                  <w:tcW w:w="4311" w:type="dxa"/>
                                </w:tcPr>
                                <w:p>
                                  <w:pPr>
                                    <w:pStyle w:val="TableParagraph"/>
                                    <w:spacing w:before="90"/>
                                    <w:ind w:left="105" w:right="151"/>
                                    <w:jc w:val="both"/>
                                    <w:rPr>
                                      <w:sz w:val="24"/>
                                    </w:rPr>
                                  </w:pPr>
                                  <w:r>
                                    <w:rPr>
                                      <w:sz w:val="24"/>
                                    </w:rPr>
                                    <w:t>Longer-term</w:t>
                                  </w:r>
                                  <w:r>
                                    <w:rPr>
                                      <w:spacing w:val="-19"/>
                                      <w:sz w:val="24"/>
                                    </w:rPr>
                                    <w:t> </w:t>
                                  </w:r>
                                  <w:r>
                                    <w:rPr>
                                      <w:sz w:val="24"/>
                                    </w:rPr>
                                    <w:t>programme,</w:t>
                                  </w:r>
                                  <w:r>
                                    <w:rPr>
                                      <w:spacing w:val="-17"/>
                                      <w:sz w:val="24"/>
                                    </w:rPr>
                                    <w:t> </w:t>
                                  </w:r>
                                  <w:r>
                                    <w:rPr>
                                      <w:sz w:val="24"/>
                                    </w:rPr>
                                    <w:t>including</w:t>
                                  </w:r>
                                  <w:r>
                                    <w:rPr>
                                      <w:spacing w:val="-16"/>
                                      <w:sz w:val="24"/>
                                    </w:rPr>
                                    <w:t> </w:t>
                                  </w:r>
                                  <w:r>
                                    <w:rPr>
                                      <w:sz w:val="24"/>
                                    </w:rPr>
                                    <w:t>the </w:t>
                                  </w:r>
                                  <w:r>
                                    <w:rPr>
                                      <w:spacing w:val="-2"/>
                                      <w:sz w:val="24"/>
                                    </w:rPr>
                                    <w:t>Hywel</w:t>
                                  </w:r>
                                  <w:r>
                                    <w:rPr>
                                      <w:spacing w:val="-15"/>
                                      <w:sz w:val="24"/>
                                    </w:rPr>
                                    <w:t> </w:t>
                                  </w:r>
                                  <w:r>
                                    <w:rPr>
                                      <w:spacing w:val="-2"/>
                                      <w:sz w:val="24"/>
                                    </w:rPr>
                                    <w:t>Dda</w:t>
                                  </w:r>
                                  <w:r>
                                    <w:rPr>
                                      <w:spacing w:val="-15"/>
                                      <w:sz w:val="24"/>
                                    </w:rPr>
                                    <w:t> </w:t>
                                  </w:r>
                                  <w:r>
                                    <w:rPr>
                                      <w:spacing w:val="-2"/>
                                      <w:sz w:val="24"/>
                                    </w:rPr>
                                    <w:t>satellite</w:t>
                                  </w:r>
                                  <w:r>
                                    <w:rPr>
                                      <w:spacing w:val="-14"/>
                                      <w:sz w:val="24"/>
                                    </w:rPr>
                                    <w:t> </w:t>
                                  </w:r>
                                  <w:r>
                                    <w:rPr>
                                      <w:spacing w:val="-2"/>
                                      <w:sz w:val="24"/>
                                    </w:rPr>
                                    <w:t>ambition</w:t>
                                  </w:r>
                                  <w:r>
                                    <w:rPr>
                                      <w:spacing w:val="-15"/>
                                      <w:sz w:val="24"/>
                                    </w:rPr>
                                    <w:t> </w:t>
                                  </w:r>
                                  <w:r>
                                    <w:rPr>
                                      <w:spacing w:val="-2"/>
                                      <w:sz w:val="24"/>
                                    </w:rPr>
                                    <w:t>and</w:t>
                                  </w:r>
                                  <w:r>
                                    <w:rPr>
                                      <w:spacing w:val="-15"/>
                                      <w:sz w:val="24"/>
                                    </w:rPr>
                                    <w:t> </w:t>
                                  </w:r>
                                  <w:r>
                                    <w:rPr>
                                      <w:spacing w:val="-2"/>
                                      <w:sz w:val="24"/>
                                    </w:rPr>
                                    <w:t>future </w:t>
                                  </w:r>
                                  <w:r>
                                    <w:rPr>
                                      <w:sz w:val="24"/>
                                    </w:rPr>
                                    <w:t>capacity decisions.</w:t>
                                  </w:r>
                                </w:p>
                              </w:tc>
                            </w:tr>
                          </w:tbl>
                          <w:p>
                            <w:pPr>
                              <w:pStyle w:val="BodyText"/>
                            </w:pPr>
                          </w:p>
                        </w:txbxContent>
                      </wps:txbx>
                      <wps:bodyPr wrap="square" lIns="0" tIns="0" rIns="0" bIns="0" rtlCol="0">
                        <a:noAutofit/>
                      </wps:bodyPr>
                    </wps:wsp>
                  </a:graphicData>
                </a:graphic>
              </wp:anchor>
            </w:drawing>
          </mc:Choice>
          <mc:Fallback>
            <w:pict>
              <v:shape style="position:absolute;margin-left:48.525002pt;margin-top:88.029999pt;width:498.75pt;height:190.25pt;mso-position-horizontal-relative:page;mso-position-vertical-relative:page;z-index:15779328" type="#_x0000_t202" id="docshape170" filled="false" stroked="false">
                <v:textbox inset="0,0,0,0">
                  <w:txbxContent>
                    <w:tbl>
                      <w:tblPr>
                        <w:tblW w:w="0" w:type="auto"/>
                        <w:jc w:val="left"/>
                        <w:tblInd w:w="6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0" w:type="dxa"/>
                          <w:left w:w="0" w:type="dxa"/>
                          <w:bottom w:w="0" w:type="dxa"/>
                          <w:right w:w="0" w:type="dxa"/>
                        </w:tblCellMar>
                        <w:tblLook w:val="01E0"/>
                      </w:tblPr>
                      <w:tblGrid>
                        <w:gridCol w:w="1906"/>
                        <w:gridCol w:w="3626"/>
                        <w:gridCol w:w="4311"/>
                      </w:tblGrid>
                      <w:tr>
                        <w:trPr>
                          <w:trHeight w:val="455" w:hRule="atLeast"/>
                        </w:trPr>
                        <w:tc>
                          <w:tcPr>
                            <w:tcW w:w="1906" w:type="dxa"/>
                            <w:shd w:val="clear" w:color="auto" w:fill="1F4E79"/>
                          </w:tcPr>
                          <w:p>
                            <w:pPr>
                              <w:pStyle w:val="TableParagraph"/>
                              <w:spacing w:before="90"/>
                              <w:ind w:left="4"/>
                              <w:jc w:val="center"/>
                              <w:rPr>
                                <w:b/>
                                <w:sz w:val="24"/>
                              </w:rPr>
                            </w:pPr>
                            <w:r>
                              <w:rPr>
                                <w:b/>
                                <w:color w:val="FFFFFF"/>
                                <w:spacing w:val="-4"/>
                                <w:sz w:val="24"/>
                              </w:rPr>
                              <w:t>Case</w:t>
                            </w:r>
                          </w:p>
                        </w:tc>
                        <w:tc>
                          <w:tcPr>
                            <w:tcW w:w="3626" w:type="dxa"/>
                            <w:shd w:val="clear" w:color="auto" w:fill="1F4E79"/>
                          </w:tcPr>
                          <w:p>
                            <w:pPr>
                              <w:pStyle w:val="TableParagraph"/>
                              <w:spacing w:before="90"/>
                              <w:ind w:left="995"/>
                              <w:rPr>
                                <w:b/>
                                <w:sz w:val="24"/>
                              </w:rPr>
                            </w:pPr>
                            <w:r>
                              <w:rPr>
                                <w:b/>
                                <w:color w:val="FFFFFF"/>
                                <w:spacing w:val="-4"/>
                                <w:sz w:val="24"/>
                              </w:rPr>
                              <w:t>Original</w:t>
                            </w:r>
                            <w:r>
                              <w:rPr>
                                <w:b/>
                                <w:color w:val="FFFFFF"/>
                                <w:spacing w:val="-7"/>
                                <w:sz w:val="24"/>
                              </w:rPr>
                              <w:t> </w:t>
                            </w:r>
                            <w:r>
                              <w:rPr>
                                <w:b/>
                                <w:color w:val="FFFFFF"/>
                                <w:spacing w:val="-4"/>
                                <w:sz w:val="24"/>
                              </w:rPr>
                              <w:t>scope</w:t>
                            </w:r>
                          </w:p>
                        </w:tc>
                        <w:tc>
                          <w:tcPr>
                            <w:tcW w:w="4311" w:type="dxa"/>
                            <w:shd w:val="clear" w:color="auto" w:fill="1F4E79"/>
                          </w:tcPr>
                          <w:p>
                            <w:pPr>
                              <w:pStyle w:val="TableParagraph"/>
                              <w:spacing w:before="90"/>
                              <w:ind w:left="935"/>
                              <w:rPr>
                                <w:b/>
                                <w:sz w:val="24"/>
                              </w:rPr>
                            </w:pPr>
                            <w:r>
                              <w:rPr>
                                <w:b/>
                                <w:color w:val="FFFFFF"/>
                                <w:spacing w:val="-4"/>
                                <w:sz w:val="24"/>
                              </w:rPr>
                              <w:t>Revised</w:t>
                            </w:r>
                            <w:r>
                              <w:rPr>
                                <w:b/>
                                <w:color w:val="FFFFFF"/>
                                <w:spacing w:val="-5"/>
                                <w:sz w:val="24"/>
                              </w:rPr>
                              <w:t> </w:t>
                            </w:r>
                            <w:r>
                              <w:rPr>
                                <w:b/>
                                <w:color w:val="FFFFFF"/>
                                <w:spacing w:val="-4"/>
                                <w:sz w:val="24"/>
                              </w:rPr>
                              <w:t>strategic</w:t>
                            </w:r>
                            <w:r>
                              <w:rPr>
                                <w:b/>
                                <w:color w:val="FFFFFF"/>
                                <w:sz w:val="24"/>
                              </w:rPr>
                              <w:t> </w:t>
                            </w:r>
                            <w:r>
                              <w:rPr>
                                <w:b/>
                                <w:color w:val="FFFFFF"/>
                                <w:spacing w:val="-4"/>
                                <w:sz w:val="24"/>
                              </w:rPr>
                              <w:t>role</w:t>
                            </w:r>
                          </w:p>
                        </w:tc>
                      </w:tr>
                      <w:tr>
                        <w:trPr>
                          <w:trHeight w:val="735" w:hRule="atLeast"/>
                        </w:trPr>
                        <w:tc>
                          <w:tcPr>
                            <w:tcW w:w="1906" w:type="dxa"/>
                          </w:tcPr>
                          <w:p>
                            <w:pPr>
                              <w:pStyle w:val="TableParagraph"/>
                              <w:spacing w:before="230"/>
                              <w:ind w:left="110"/>
                              <w:rPr>
                                <w:b/>
                                <w:sz w:val="24"/>
                              </w:rPr>
                            </w:pPr>
                            <w:r>
                              <w:rPr>
                                <w:b/>
                                <w:spacing w:val="-4"/>
                                <w:sz w:val="24"/>
                              </w:rPr>
                              <w:t>BJC1</w:t>
                            </w:r>
                          </w:p>
                        </w:tc>
                        <w:tc>
                          <w:tcPr>
                            <w:tcW w:w="3626" w:type="dxa"/>
                          </w:tcPr>
                          <w:p>
                            <w:pPr>
                              <w:pStyle w:val="TableParagraph"/>
                              <w:spacing w:line="242" w:lineRule="auto" w:before="90"/>
                              <w:ind w:left="110"/>
                              <w:rPr>
                                <w:sz w:val="24"/>
                              </w:rPr>
                            </w:pPr>
                            <w:r>
                              <w:rPr>
                                <w:spacing w:val="-2"/>
                                <w:sz w:val="24"/>
                              </w:rPr>
                              <w:t>5th</w:t>
                            </w:r>
                            <w:r>
                              <w:rPr>
                                <w:spacing w:val="-15"/>
                                <w:sz w:val="24"/>
                              </w:rPr>
                              <w:t> </w:t>
                            </w:r>
                            <w:r>
                              <w:rPr>
                                <w:spacing w:val="-2"/>
                                <w:sz w:val="24"/>
                              </w:rPr>
                              <w:t>LINAC</w:t>
                            </w:r>
                            <w:r>
                              <w:rPr>
                                <w:spacing w:val="-15"/>
                                <w:sz w:val="24"/>
                              </w:rPr>
                              <w:t> </w:t>
                            </w:r>
                            <w:r>
                              <w:rPr>
                                <w:spacing w:val="-2"/>
                                <w:sz w:val="24"/>
                              </w:rPr>
                              <w:t>in</w:t>
                            </w:r>
                            <w:r>
                              <w:rPr>
                                <w:spacing w:val="-14"/>
                                <w:sz w:val="24"/>
                              </w:rPr>
                              <w:t> </w:t>
                            </w:r>
                            <w:r>
                              <w:rPr>
                                <w:spacing w:val="-2"/>
                                <w:sz w:val="24"/>
                              </w:rPr>
                              <w:t>the</w:t>
                            </w:r>
                            <w:r>
                              <w:rPr>
                                <w:spacing w:val="-15"/>
                                <w:sz w:val="24"/>
                              </w:rPr>
                              <w:t> </w:t>
                            </w:r>
                            <w:r>
                              <w:rPr>
                                <w:spacing w:val="-2"/>
                                <w:sz w:val="24"/>
                              </w:rPr>
                              <w:t>existing</w:t>
                            </w:r>
                            <w:r>
                              <w:rPr>
                                <w:spacing w:val="-15"/>
                                <w:sz w:val="24"/>
                              </w:rPr>
                              <w:t> </w:t>
                            </w:r>
                            <w:r>
                              <w:rPr>
                                <w:spacing w:val="-2"/>
                                <w:sz w:val="24"/>
                              </w:rPr>
                              <w:t>vacant </w:t>
                            </w:r>
                            <w:r>
                              <w:rPr>
                                <w:sz w:val="24"/>
                              </w:rPr>
                              <w:t>bunker at Singleton.</w:t>
                            </w:r>
                          </w:p>
                        </w:tc>
                        <w:tc>
                          <w:tcPr>
                            <w:tcW w:w="4311" w:type="dxa"/>
                          </w:tcPr>
                          <w:p>
                            <w:pPr>
                              <w:pStyle w:val="TableParagraph"/>
                              <w:spacing w:line="242" w:lineRule="auto" w:before="90"/>
                              <w:ind w:left="105" w:right="287"/>
                              <w:rPr>
                                <w:sz w:val="24"/>
                              </w:rPr>
                            </w:pPr>
                            <w:r>
                              <w:rPr>
                                <w:spacing w:val="-2"/>
                                <w:sz w:val="24"/>
                              </w:rPr>
                              <w:t>Approved</w:t>
                            </w:r>
                            <w:r>
                              <w:rPr>
                                <w:spacing w:val="-15"/>
                                <w:sz w:val="24"/>
                              </w:rPr>
                              <w:t> </w:t>
                            </w:r>
                            <w:r>
                              <w:rPr>
                                <w:spacing w:val="-2"/>
                                <w:sz w:val="24"/>
                              </w:rPr>
                              <w:t>by</w:t>
                            </w:r>
                            <w:r>
                              <w:rPr>
                                <w:spacing w:val="-15"/>
                                <w:sz w:val="24"/>
                              </w:rPr>
                              <w:t> </w:t>
                            </w:r>
                            <w:r>
                              <w:rPr>
                                <w:spacing w:val="-2"/>
                                <w:sz w:val="24"/>
                              </w:rPr>
                              <w:t>both</w:t>
                            </w:r>
                            <w:r>
                              <w:rPr>
                                <w:spacing w:val="-14"/>
                                <w:sz w:val="24"/>
                              </w:rPr>
                              <w:t> </w:t>
                            </w:r>
                            <w:r>
                              <w:rPr>
                                <w:spacing w:val="-2"/>
                                <w:sz w:val="24"/>
                              </w:rPr>
                              <w:t>Health</w:t>
                            </w:r>
                            <w:r>
                              <w:rPr>
                                <w:spacing w:val="-15"/>
                                <w:sz w:val="24"/>
                              </w:rPr>
                              <w:t> </w:t>
                            </w:r>
                            <w:r>
                              <w:rPr>
                                <w:spacing w:val="-2"/>
                                <w:sz w:val="24"/>
                              </w:rPr>
                              <w:t>Boards</w:t>
                            </w:r>
                            <w:r>
                              <w:rPr>
                                <w:spacing w:val="-15"/>
                                <w:sz w:val="24"/>
                              </w:rPr>
                              <w:t> </w:t>
                            </w:r>
                            <w:r>
                              <w:rPr>
                                <w:spacing w:val="-2"/>
                                <w:sz w:val="24"/>
                              </w:rPr>
                              <w:t>in </w:t>
                            </w:r>
                            <w:r>
                              <w:rPr>
                                <w:sz w:val="24"/>
                              </w:rPr>
                              <w:t>July 2026. No change proposed.</w:t>
                            </w:r>
                          </w:p>
                        </w:tc>
                      </w:tr>
                      <w:tr>
                        <w:trPr>
                          <w:trHeight w:val="1560" w:hRule="atLeast"/>
                        </w:trPr>
                        <w:tc>
                          <w:tcPr>
                            <w:tcW w:w="1906" w:type="dxa"/>
                          </w:tcPr>
                          <w:p>
                            <w:pPr>
                              <w:pStyle w:val="TableParagraph"/>
                              <w:rPr>
                                <w:sz w:val="24"/>
                              </w:rPr>
                            </w:pPr>
                          </w:p>
                          <w:p>
                            <w:pPr>
                              <w:pStyle w:val="TableParagraph"/>
                              <w:spacing w:before="87"/>
                              <w:rPr>
                                <w:sz w:val="24"/>
                              </w:rPr>
                            </w:pPr>
                          </w:p>
                          <w:p>
                            <w:pPr>
                              <w:pStyle w:val="TableParagraph"/>
                              <w:spacing w:before="1"/>
                              <w:ind w:left="110"/>
                              <w:rPr>
                                <w:b/>
                                <w:sz w:val="24"/>
                              </w:rPr>
                            </w:pPr>
                            <w:r>
                              <w:rPr>
                                <w:b/>
                                <w:spacing w:val="-4"/>
                                <w:sz w:val="24"/>
                              </w:rPr>
                              <w:t>BJC2</w:t>
                            </w:r>
                          </w:p>
                        </w:tc>
                        <w:tc>
                          <w:tcPr>
                            <w:tcW w:w="3626" w:type="dxa"/>
                          </w:tcPr>
                          <w:p>
                            <w:pPr>
                              <w:pStyle w:val="TableParagraph"/>
                              <w:spacing w:before="228"/>
                              <w:rPr>
                                <w:sz w:val="24"/>
                              </w:rPr>
                            </w:pPr>
                          </w:p>
                          <w:p>
                            <w:pPr>
                              <w:pStyle w:val="TableParagraph"/>
                              <w:spacing w:before="1"/>
                              <w:ind w:left="110"/>
                              <w:rPr>
                                <w:sz w:val="24"/>
                              </w:rPr>
                            </w:pPr>
                            <w:r>
                              <w:rPr>
                                <w:spacing w:val="-2"/>
                                <w:sz w:val="24"/>
                              </w:rPr>
                              <w:t>Single</w:t>
                            </w:r>
                            <w:r>
                              <w:rPr>
                                <w:spacing w:val="-15"/>
                                <w:sz w:val="24"/>
                              </w:rPr>
                              <w:t> </w:t>
                            </w:r>
                            <w:r>
                              <w:rPr>
                                <w:spacing w:val="-2"/>
                                <w:sz w:val="24"/>
                              </w:rPr>
                              <w:t>6th</w:t>
                            </w:r>
                            <w:r>
                              <w:rPr>
                                <w:spacing w:val="-15"/>
                                <w:sz w:val="24"/>
                              </w:rPr>
                              <w:t> </w:t>
                            </w:r>
                            <w:r>
                              <w:rPr>
                                <w:spacing w:val="-2"/>
                                <w:sz w:val="24"/>
                              </w:rPr>
                              <w:t>decant</w:t>
                            </w:r>
                            <w:r>
                              <w:rPr>
                                <w:spacing w:val="-14"/>
                                <w:sz w:val="24"/>
                              </w:rPr>
                              <w:t> </w:t>
                            </w:r>
                            <w:r>
                              <w:rPr>
                                <w:spacing w:val="-2"/>
                                <w:sz w:val="24"/>
                              </w:rPr>
                              <w:t>bunker</w:t>
                            </w:r>
                            <w:r>
                              <w:rPr>
                                <w:spacing w:val="-15"/>
                                <w:sz w:val="24"/>
                              </w:rPr>
                              <w:t> </w:t>
                            </w:r>
                            <w:r>
                              <w:rPr>
                                <w:spacing w:val="-2"/>
                                <w:sz w:val="24"/>
                              </w:rPr>
                              <w:t>at Singleton.</w:t>
                            </w:r>
                          </w:p>
                        </w:tc>
                        <w:tc>
                          <w:tcPr>
                            <w:tcW w:w="4311" w:type="dxa"/>
                          </w:tcPr>
                          <w:p>
                            <w:pPr>
                              <w:pStyle w:val="TableParagraph"/>
                              <w:spacing w:before="90"/>
                              <w:ind w:left="105" w:right="287"/>
                              <w:rPr>
                                <w:sz w:val="24"/>
                              </w:rPr>
                            </w:pPr>
                            <w:r>
                              <w:rPr>
                                <w:sz w:val="24"/>
                              </w:rPr>
                              <w:t>Proposed twin-bunker and support accommodation development, integrating the replacement LINACs </w:t>
                            </w:r>
                            <w:r>
                              <w:rPr>
                                <w:spacing w:val="-2"/>
                                <w:sz w:val="24"/>
                              </w:rPr>
                              <w:t>and</w:t>
                            </w:r>
                            <w:r>
                              <w:rPr>
                                <w:spacing w:val="-15"/>
                                <w:sz w:val="24"/>
                              </w:rPr>
                              <w:t> </w:t>
                            </w:r>
                            <w:r>
                              <w:rPr>
                                <w:spacing w:val="-2"/>
                                <w:sz w:val="24"/>
                              </w:rPr>
                              <w:t>protecting</w:t>
                            </w:r>
                            <w:r>
                              <w:rPr>
                                <w:spacing w:val="-15"/>
                                <w:sz w:val="24"/>
                              </w:rPr>
                              <w:t> </w:t>
                            </w:r>
                            <w:r>
                              <w:rPr>
                                <w:spacing w:val="-2"/>
                                <w:sz w:val="24"/>
                              </w:rPr>
                              <w:t>the</w:t>
                            </w:r>
                            <w:r>
                              <w:rPr>
                                <w:spacing w:val="-14"/>
                                <w:sz w:val="24"/>
                              </w:rPr>
                              <w:t> </w:t>
                            </w:r>
                            <w:r>
                              <w:rPr>
                                <w:spacing w:val="-2"/>
                                <w:sz w:val="24"/>
                              </w:rPr>
                              <w:t>rolling</w:t>
                            </w:r>
                            <w:r>
                              <w:rPr>
                                <w:spacing w:val="-15"/>
                                <w:sz w:val="24"/>
                              </w:rPr>
                              <w:t> </w:t>
                            </w:r>
                            <w:r>
                              <w:rPr>
                                <w:spacing w:val="-2"/>
                                <w:sz w:val="24"/>
                              </w:rPr>
                              <w:t>replacement programme.</w:t>
                            </w:r>
                          </w:p>
                        </w:tc>
                      </w:tr>
                      <w:tr>
                        <w:trPr>
                          <w:trHeight w:val="1005" w:hRule="atLeast"/>
                        </w:trPr>
                        <w:tc>
                          <w:tcPr>
                            <w:tcW w:w="1906" w:type="dxa"/>
                          </w:tcPr>
                          <w:p>
                            <w:pPr>
                              <w:pStyle w:val="TableParagraph"/>
                              <w:spacing w:before="88"/>
                              <w:rPr>
                                <w:sz w:val="24"/>
                              </w:rPr>
                            </w:pPr>
                          </w:p>
                          <w:p>
                            <w:pPr>
                              <w:pStyle w:val="TableParagraph"/>
                              <w:spacing w:before="1"/>
                              <w:ind w:left="110"/>
                              <w:rPr>
                                <w:b/>
                                <w:sz w:val="24"/>
                              </w:rPr>
                            </w:pPr>
                            <w:r>
                              <w:rPr>
                                <w:b/>
                                <w:spacing w:val="-4"/>
                                <w:sz w:val="24"/>
                              </w:rPr>
                              <w:t>BJC3</w:t>
                            </w:r>
                          </w:p>
                        </w:tc>
                        <w:tc>
                          <w:tcPr>
                            <w:tcW w:w="3626" w:type="dxa"/>
                          </w:tcPr>
                          <w:p>
                            <w:pPr>
                              <w:pStyle w:val="TableParagraph"/>
                              <w:spacing w:line="242" w:lineRule="auto" w:before="225"/>
                              <w:ind w:left="110"/>
                              <w:rPr>
                                <w:sz w:val="24"/>
                              </w:rPr>
                            </w:pPr>
                            <w:r>
                              <w:rPr>
                                <w:spacing w:val="-4"/>
                                <w:sz w:val="24"/>
                              </w:rPr>
                              <w:t>Additional</w:t>
                            </w:r>
                            <w:r>
                              <w:rPr>
                                <w:spacing w:val="-8"/>
                                <w:sz w:val="24"/>
                              </w:rPr>
                              <w:t> </w:t>
                            </w:r>
                            <w:r>
                              <w:rPr>
                                <w:spacing w:val="-4"/>
                                <w:sz w:val="24"/>
                              </w:rPr>
                              <w:t>LINAC</w:t>
                            </w:r>
                            <w:r>
                              <w:rPr>
                                <w:spacing w:val="-8"/>
                                <w:sz w:val="24"/>
                              </w:rPr>
                              <w:t> </w:t>
                            </w:r>
                            <w:r>
                              <w:rPr>
                                <w:spacing w:val="-4"/>
                                <w:sz w:val="24"/>
                              </w:rPr>
                              <w:t>capacity</w:t>
                            </w:r>
                            <w:r>
                              <w:rPr>
                                <w:spacing w:val="-9"/>
                                <w:sz w:val="24"/>
                              </w:rPr>
                              <w:t> </w:t>
                            </w:r>
                            <w:r>
                              <w:rPr>
                                <w:spacing w:val="-4"/>
                                <w:sz w:val="24"/>
                              </w:rPr>
                              <w:t>and </w:t>
                            </w:r>
                            <w:r>
                              <w:rPr>
                                <w:sz w:val="24"/>
                              </w:rPr>
                              <w:t>future regional configuration.</w:t>
                            </w:r>
                          </w:p>
                        </w:tc>
                        <w:tc>
                          <w:tcPr>
                            <w:tcW w:w="4311" w:type="dxa"/>
                          </w:tcPr>
                          <w:p>
                            <w:pPr>
                              <w:pStyle w:val="TableParagraph"/>
                              <w:spacing w:before="90"/>
                              <w:ind w:left="105" w:right="151"/>
                              <w:jc w:val="both"/>
                              <w:rPr>
                                <w:sz w:val="24"/>
                              </w:rPr>
                            </w:pPr>
                            <w:r>
                              <w:rPr>
                                <w:sz w:val="24"/>
                              </w:rPr>
                              <w:t>Longer-term</w:t>
                            </w:r>
                            <w:r>
                              <w:rPr>
                                <w:spacing w:val="-19"/>
                                <w:sz w:val="24"/>
                              </w:rPr>
                              <w:t> </w:t>
                            </w:r>
                            <w:r>
                              <w:rPr>
                                <w:sz w:val="24"/>
                              </w:rPr>
                              <w:t>programme,</w:t>
                            </w:r>
                            <w:r>
                              <w:rPr>
                                <w:spacing w:val="-17"/>
                                <w:sz w:val="24"/>
                              </w:rPr>
                              <w:t> </w:t>
                            </w:r>
                            <w:r>
                              <w:rPr>
                                <w:sz w:val="24"/>
                              </w:rPr>
                              <w:t>including</w:t>
                            </w:r>
                            <w:r>
                              <w:rPr>
                                <w:spacing w:val="-16"/>
                                <w:sz w:val="24"/>
                              </w:rPr>
                              <w:t> </w:t>
                            </w:r>
                            <w:r>
                              <w:rPr>
                                <w:sz w:val="24"/>
                              </w:rPr>
                              <w:t>the </w:t>
                            </w:r>
                            <w:r>
                              <w:rPr>
                                <w:spacing w:val="-2"/>
                                <w:sz w:val="24"/>
                              </w:rPr>
                              <w:t>Hywel</w:t>
                            </w:r>
                            <w:r>
                              <w:rPr>
                                <w:spacing w:val="-15"/>
                                <w:sz w:val="24"/>
                              </w:rPr>
                              <w:t> </w:t>
                            </w:r>
                            <w:r>
                              <w:rPr>
                                <w:spacing w:val="-2"/>
                                <w:sz w:val="24"/>
                              </w:rPr>
                              <w:t>Dda</w:t>
                            </w:r>
                            <w:r>
                              <w:rPr>
                                <w:spacing w:val="-15"/>
                                <w:sz w:val="24"/>
                              </w:rPr>
                              <w:t> </w:t>
                            </w:r>
                            <w:r>
                              <w:rPr>
                                <w:spacing w:val="-2"/>
                                <w:sz w:val="24"/>
                              </w:rPr>
                              <w:t>satellite</w:t>
                            </w:r>
                            <w:r>
                              <w:rPr>
                                <w:spacing w:val="-14"/>
                                <w:sz w:val="24"/>
                              </w:rPr>
                              <w:t> </w:t>
                            </w:r>
                            <w:r>
                              <w:rPr>
                                <w:spacing w:val="-2"/>
                                <w:sz w:val="24"/>
                              </w:rPr>
                              <w:t>ambition</w:t>
                            </w:r>
                            <w:r>
                              <w:rPr>
                                <w:spacing w:val="-15"/>
                                <w:sz w:val="24"/>
                              </w:rPr>
                              <w:t> </w:t>
                            </w:r>
                            <w:r>
                              <w:rPr>
                                <w:spacing w:val="-2"/>
                                <w:sz w:val="24"/>
                              </w:rPr>
                              <w:t>and</w:t>
                            </w:r>
                            <w:r>
                              <w:rPr>
                                <w:spacing w:val="-15"/>
                                <w:sz w:val="24"/>
                              </w:rPr>
                              <w:t> </w:t>
                            </w:r>
                            <w:r>
                              <w:rPr>
                                <w:spacing w:val="-2"/>
                                <w:sz w:val="24"/>
                              </w:rPr>
                              <w:t>future </w:t>
                            </w:r>
                            <w:r>
                              <w:rPr>
                                <w:sz w:val="24"/>
                              </w:rPr>
                              <w:t>capacity decisions.</w:t>
                            </w:r>
                          </w:p>
                        </w:tc>
                      </w:tr>
                    </w:tbl>
                    <w:p>
                      <w:pPr>
                        <w:pStyle w:val="BodyText"/>
                      </w:pPr>
                    </w:p>
                  </w:txbxContent>
                </v:textbox>
                <w10:wrap type="none"/>
              </v:shape>
            </w:pict>
          </mc:Fallback>
        </mc:AlternateContent>
      </w:r>
      <w:r>
        <w:rPr>
          <w:sz w:val="20"/>
        </w:rPr>
        <w:drawing>
          <wp:inline distT="0" distB="0" distL="0" distR="0">
            <wp:extent cx="2461004" cy="536543"/>
            <wp:effectExtent l="0" t="0" r="0" b="0"/>
            <wp:docPr id="314" name="Image 314"/>
            <wp:cNvGraphicFramePr>
              <a:graphicFrameLocks/>
            </wp:cNvGraphicFramePr>
            <a:graphic>
              <a:graphicData uri="http://schemas.openxmlformats.org/drawingml/2006/picture">
                <pic:pic>
                  <pic:nvPicPr>
                    <pic:cNvPr id="314" name="Image 314"/>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15" name="Image 315"/>
            <wp:cNvGraphicFramePr>
              <a:graphicFrameLocks/>
            </wp:cNvGraphicFramePr>
            <a:graphic>
              <a:graphicData uri="http://schemas.openxmlformats.org/drawingml/2006/picture">
                <pic:pic>
                  <pic:nvPicPr>
                    <pic:cNvPr id="315" name="Image 315"/>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393" w:hRule="atLeast"/>
        </w:trPr>
        <w:tc>
          <w:tcPr>
            <w:tcW w:w="10069" w:type="dxa"/>
          </w:tcPr>
          <w:p>
            <w:pPr>
              <w:pStyle w:val="TableParagraph"/>
              <w:ind w:left="110"/>
              <w:rPr>
                <w:b/>
                <w:sz w:val="24"/>
              </w:rPr>
            </w:pPr>
            <w:r>
              <w:rPr>
                <w:b/>
                <w:color w:val="1F4E79"/>
                <w:spacing w:val="-2"/>
                <w:sz w:val="24"/>
                <w:u w:val="single" w:color="1F4E79"/>
              </w:rPr>
              <w:t>Cefndir</w:t>
            </w:r>
            <w:r>
              <w:rPr>
                <w:b/>
                <w:color w:val="1F4E79"/>
                <w:spacing w:val="-11"/>
                <w:sz w:val="24"/>
                <w:u w:val="single" w:color="1F4E79"/>
              </w:rPr>
              <w:t> </w:t>
            </w:r>
            <w:r>
              <w:rPr>
                <w:b/>
                <w:color w:val="1F4E79"/>
                <w:spacing w:val="-2"/>
                <w:sz w:val="24"/>
                <w:u w:val="single" w:color="1F4E79"/>
              </w:rPr>
              <w:t>/</w:t>
            </w:r>
            <w:r>
              <w:rPr>
                <w:b/>
                <w:color w:val="1F4E79"/>
                <w:spacing w:val="-13"/>
                <w:sz w:val="24"/>
                <w:u w:val="single" w:color="1F4E79"/>
              </w:rPr>
              <w:t> </w:t>
            </w:r>
            <w:r>
              <w:rPr>
                <w:b/>
                <w:color w:val="1F4E79"/>
                <w:spacing w:val="-2"/>
                <w:sz w:val="24"/>
                <w:u w:val="single" w:color="1F4E79"/>
              </w:rPr>
              <w:t>Background</w:t>
            </w:r>
          </w:p>
          <w:p>
            <w:pPr>
              <w:pStyle w:val="TableParagraph"/>
              <w:spacing w:before="79"/>
              <w:ind w:left="110"/>
              <w:rPr>
                <w:b/>
                <w:sz w:val="24"/>
              </w:rPr>
            </w:pPr>
            <w:r>
              <w:rPr>
                <w:b/>
                <w:color w:val="1F4E79"/>
                <w:spacing w:val="-4"/>
                <w:sz w:val="24"/>
              </w:rPr>
              <w:t>Existing programme</w:t>
            </w:r>
            <w:r>
              <w:rPr>
                <w:b/>
                <w:color w:val="1F4E79"/>
                <w:sz w:val="24"/>
              </w:rPr>
              <w:t> </w:t>
            </w:r>
            <w:r>
              <w:rPr>
                <w:b/>
                <w:color w:val="1F4E79"/>
                <w:spacing w:val="-4"/>
                <w:sz w:val="24"/>
              </w:rPr>
              <w:t>architecture</w:t>
            </w: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60"/>
              <w:rPr>
                <w:sz w:val="24"/>
              </w:rPr>
            </w:pPr>
          </w:p>
          <w:p>
            <w:pPr>
              <w:pStyle w:val="TableParagraph"/>
              <w:ind w:left="110"/>
              <w:rPr>
                <w:b/>
                <w:sz w:val="24"/>
              </w:rPr>
            </w:pPr>
            <w:r>
              <w:rPr>
                <w:b/>
                <w:color w:val="1F4E79"/>
                <w:spacing w:val="-2"/>
                <w:sz w:val="24"/>
              </w:rPr>
              <w:t>Why</w:t>
            </w:r>
            <w:r>
              <w:rPr>
                <w:b/>
                <w:color w:val="1F4E79"/>
                <w:spacing w:val="-13"/>
                <w:sz w:val="24"/>
              </w:rPr>
              <w:t> </w:t>
            </w:r>
            <w:r>
              <w:rPr>
                <w:b/>
                <w:color w:val="1F4E79"/>
                <w:spacing w:val="-2"/>
                <w:sz w:val="24"/>
              </w:rPr>
              <w:t>the</w:t>
            </w:r>
            <w:r>
              <w:rPr>
                <w:b/>
                <w:color w:val="1F4E79"/>
                <w:spacing w:val="-8"/>
                <w:sz w:val="24"/>
              </w:rPr>
              <w:t> </w:t>
            </w:r>
            <w:r>
              <w:rPr>
                <w:b/>
                <w:color w:val="1F4E79"/>
                <w:spacing w:val="-2"/>
                <w:sz w:val="24"/>
              </w:rPr>
              <w:t>scope</w:t>
            </w:r>
            <w:r>
              <w:rPr>
                <w:b/>
                <w:color w:val="1F4E79"/>
                <w:spacing w:val="-8"/>
                <w:sz w:val="24"/>
              </w:rPr>
              <w:t> </w:t>
            </w:r>
            <w:r>
              <w:rPr>
                <w:b/>
                <w:color w:val="1F4E79"/>
                <w:spacing w:val="-2"/>
                <w:sz w:val="24"/>
              </w:rPr>
              <w:t>has</w:t>
            </w:r>
            <w:r>
              <w:rPr>
                <w:b/>
                <w:color w:val="1F4E79"/>
                <w:spacing w:val="-12"/>
                <w:sz w:val="24"/>
              </w:rPr>
              <w:t> </w:t>
            </w:r>
            <w:r>
              <w:rPr>
                <w:b/>
                <w:color w:val="1F4E79"/>
                <w:spacing w:val="-2"/>
                <w:sz w:val="24"/>
              </w:rPr>
              <w:t>changed</w:t>
            </w:r>
          </w:p>
          <w:p>
            <w:pPr>
              <w:pStyle w:val="TableParagraph"/>
              <w:spacing w:before="39"/>
              <w:ind w:left="110"/>
              <w:rPr>
                <w:sz w:val="24"/>
              </w:rPr>
            </w:pPr>
            <w:r>
              <w:rPr>
                <w:sz w:val="24"/>
              </w:rPr>
              <w:t>Once</w:t>
            </w:r>
            <w:r>
              <w:rPr>
                <w:spacing w:val="-4"/>
                <w:sz w:val="24"/>
              </w:rPr>
              <w:t> </w:t>
            </w:r>
            <w:r>
              <w:rPr>
                <w:sz w:val="24"/>
              </w:rPr>
              <w:t>the</w:t>
            </w:r>
            <w:r>
              <w:rPr>
                <w:spacing w:val="-9"/>
                <w:sz w:val="24"/>
              </w:rPr>
              <w:t> </w:t>
            </w:r>
            <w:r>
              <w:rPr>
                <w:sz w:val="24"/>
              </w:rPr>
              <w:t>5th</w:t>
            </w:r>
            <w:r>
              <w:rPr>
                <w:spacing w:val="-14"/>
                <w:sz w:val="24"/>
              </w:rPr>
              <w:t> </w:t>
            </w:r>
            <w:r>
              <w:rPr>
                <w:sz w:val="24"/>
              </w:rPr>
              <w:t>LINAC</w:t>
            </w:r>
            <w:r>
              <w:rPr>
                <w:spacing w:val="-9"/>
                <w:sz w:val="24"/>
              </w:rPr>
              <w:t> </w:t>
            </w:r>
            <w:r>
              <w:rPr>
                <w:sz w:val="24"/>
              </w:rPr>
              <w:t>occupies</w:t>
            </w:r>
            <w:r>
              <w:rPr>
                <w:spacing w:val="-5"/>
                <w:sz w:val="24"/>
              </w:rPr>
              <w:t> </w:t>
            </w:r>
            <w:r>
              <w:rPr>
                <w:sz w:val="24"/>
              </w:rPr>
              <w:t>the</w:t>
            </w:r>
            <w:r>
              <w:rPr>
                <w:spacing w:val="-9"/>
                <w:sz w:val="24"/>
              </w:rPr>
              <w:t> </w:t>
            </w:r>
            <w:r>
              <w:rPr>
                <w:sz w:val="24"/>
              </w:rPr>
              <w:t>current</w:t>
            </w:r>
            <w:r>
              <w:rPr>
                <w:spacing w:val="-12"/>
                <w:sz w:val="24"/>
              </w:rPr>
              <w:t> </w:t>
            </w:r>
            <w:r>
              <w:rPr>
                <w:sz w:val="24"/>
              </w:rPr>
              <w:t>vacant</w:t>
            </w:r>
            <w:r>
              <w:rPr>
                <w:spacing w:val="-7"/>
                <w:sz w:val="24"/>
              </w:rPr>
              <w:t> </w:t>
            </w:r>
            <w:r>
              <w:rPr>
                <w:sz w:val="24"/>
              </w:rPr>
              <w:t>bunker,</w:t>
            </w:r>
            <w:r>
              <w:rPr>
                <w:spacing w:val="-12"/>
                <w:sz w:val="24"/>
              </w:rPr>
              <w:t> </w:t>
            </w:r>
            <w:r>
              <w:rPr>
                <w:sz w:val="24"/>
              </w:rPr>
              <w:t>SWWCC</w:t>
            </w:r>
            <w:r>
              <w:rPr>
                <w:spacing w:val="-14"/>
                <w:sz w:val="24"/>
              </w:rPr>
              <w:t> </w:t>
            </w:r>
            <w:r>
              <w:rPr>
                <w:sz w:val="24"/>
              </w:rPr>
              <w:t>will</w:t>
            </w:r>
            <w:r>
              <w:rPr>
                <w:spacing w:val="-14"/>
                <w:sz w:val="24"/>
              </w:rPr>
              <w:t> </w:t>
            </w:r>
            <w:r>
              <w:rPr>
                <w:sz w:val="24"/>
              </w:rPr>
              <w:t>have</w:t>
            </w:r>
            <w:r>
              <w:rPr>
                <w:spacing w:val="-9"/>
                <w:sz w:val="24"/>
              </w:rPr>
              <w:t> </w:t>
            </w:r>
            <w:r>
              <w:rPr>
                <w:sz w:val="24"/>
              </w:rPr>
              <w:t>no</w:t>
            </w:r>
            <w:r>
              <w:rPr>
                <w:spacing w:val="-9"/>
                <w:sz w:val="24"/>
              </w:rPr>
              <w:t> </w:t>
            </w:r>
            <w:r>
              <w:rPr>
                <w:sz w:val="24"/>
              </w:rPr>
              <w:t>decant capacity.</w:t>
            </w:r>
            <w:r>
              <w:rPr>
                <w:spacing w:val="-15"/>
                <w:sz w:val="24"/>
              </w:rPr>
              <w:t> </w:t>
            </w:r>
            <w:r>
              <w:rPr>
                <w:sz w:val="24"/>
              </w:rPr>
              <w:t>Replacing</w:t>
            </w:r>
            <w:r>
              <w:rPr>
                <w:spacing w:val="-12"/>
                <w:sz w:val="24"/>
              </w:rPr>
              <w:t> </w:t>
            </w:r>
            <w:r>
              <w:rPr>
                <w:sz w:val="24"/>
              </w:rPr>
              <w:t>a</w:t>
            </w:r>
            <w:r>
              <w:rPr>
                <w:spacing w:val="-17"/>
                <w:sz w:val="24"/>
              </w:rPr>
              <w:t> </w:t>
            </w:r>
            <w:r>
              <w:rPr>
                <w:sz w:val="24"/>
              </w:rPr>
              <w:t>LINAC</w:t>
            </w:r>
            <w:r>
              <w:rPr>
                <w:spacing w:val="-12"/>
                <w:sz w:val="24"/>
              </w:rPr>
              <w:t> </w:t>
            </w:r>
            <w:r>
              <w:rPr>
                <w:sz w:val="24"/>
              </w:rPr>
              <w:t>without</w:t>
            </w:r>
            <w:r>
              <w:rPr>
                <w:spacing w:val="-15"/>
                <w:sz w:val="24"/>
              </w:rPr>
              <w:t> </w:t>
            </w:r>
            <w:r>
              <w:rPr>
                <w:sz w:val="24"/>
              </w:rPr>
              <w:t>a</w:t>
            </w:r>
            <w:r>
              <w:rPr>
                <w:spacing w:val="-12"/>
                <w:sz w:val="24"/>
              </w:rPr>
              <w:t> </w:t>
            </w:r>
            <w:r>
              <w:rPr>
                <w:sz w:val="24"/>
              </w:rPr>
              <w:t>spare</w:t>
            </w:r>
            <w:r>
              <w:rPr>
                <w:spacing w:val="-12"/>
                <w:sz w:val="24"/>
              </w:rPr>
              <w:t> </w:t>
            </w:r>
            <w:r>
              <w:rPr>
                <w:sz w:val="24"/>
              </w:rPr>
              <w:t>bunker</w:t>
            </w:r>
            <w:r>
              <w:rPr>
                <w:spacing w:val="-13"/>
                <w:sz w:val="24"/>
              </w:rPr>
              <w:t> </w:t>
            </w:r>
            <w:r>
              <w:rPr>
                <w:sz w:val="24"/>
              </w:rPr>
              <w:t>would</w:t>
            </w:r>
            <w:r>
              <w:rPr>
                <w:spacing w:val="-12"/>
                <w:sz w:val="24"/>
              </w:rPr>
              <w:t> </w:t>
            </w:r>
            <w:r>
              <w:rPr>
                <w:sz w:val="24"/>
              </w:rPr>
              <w:t>require</w:t>
            </w:r>
            <w:r>
              <w:rPr>
                <w:spacing w:val="-12"/>
                <w:sz w:val="24"/>
              </w:rPr>
              <w:t> </w:t>
            </w:r>
            <w:r>
              <w:rPr>
                <w:sz w:val="24"/>
              </w:rPr>
              <w:t>the</w:t>
            </w:r>
            <w:r>
              <w:rPr>
                <w:spacing w:val="-12"/>
                <w:sz w:val="24"/>
              </w:rPr>
              <w:t> </w:t>
            </w:r>
            <w:r>
              <w:rPr>
                <w:sz w:val="24"/>
              </w:rPr>
              <w:t>service</w:t>
            </w:r>
            <w:r>
              <w:rPr>
                <w:spacing w:val="-7"/>
                <w:sz w:val="24"/>
              </w:rPr>
              <w:t> </w:t>
            </w:r>
            <w:r>
              <w:rPr>
                <w:sz w:val="24"/>
              </w:rPr>
              <w:t>to</w:t>
            </w:r>
            <w:r>
              <w:rPr>
                <w:spacing w:val="-12"/>
                <w:sz w:val="24"/>
              </w:rPr>
              <w:t> </w:t>
            </w:r>
            <w:r>
              <w:rPr>
                <w:sz w:val="24"/>
              </w:rPr>
              <w:t>operate</w:t>
            </w:r>
            <w:r>
              <w:rPr>
                <w:spacing w:val="-12"/>
                <w:sz w:val="24"/>
              </w:rPr>
              <w:t> </w:t>
            </w:r>
            <w:r>
              <w:rPr>
                <w:sz w:val="24"/>
              </w:rPr>
              <w:t>with </w:t>
            </w:r>
            <w:r>
              <w:rPr>
                <w:spacing w:val="-2"/>
                <w:sz w:val="24"/>
              </w:rPr>
              <w:t>one</w:t>
            </w:r>
            <w:r>
              <w:rPr>
                <w:spacing w:val="-12"/>
                <w:sz w:val="24"/>
              </w:rPr>
              <w:t> </w:t>
            </w:r>
            <w:r>
              <w:rPr>
                <w:spacing w:val="-2"/>
                <w:sz w:val="24"/>
              </w:rPr>
              <w:t>fewer</w:t>
            </w:r>
            <w:r>
              <w:rPr>
                <w:spacing w:val="-9"/>
                <w:sz w:val="24"/>
              </w:rPr>
              <w:t> </w:t>
            </w:r>
            <w:r>
              <w:rPr>
                <w:spacing w:val="-2"/>
                <w:sz w:val="24"/>
              </w:rPr>
              <w:t>treatment</w:t>
            </w:r>
            <w:r>
              <w:rPr>
                <w:spacing w:val="-10"/>
                <w:sz w:val="24"/>
              </w:rPr>
              <w:t> </w:t>
            </w:r>
            <w:r>
              <w:rPr>
                <w:spacing w:val="-2"/>
                <w:sz w:val="24"/>
              </w:rPr>
              <w:t>machine</w:t>
            </w:r>
            <w:r>
              <w:rPr>
                <w:spacing w:val="-12"/>
                <w:sz w:val="24"/>
              </w:rPr>
              <w:t> </w:t>
            </w:r>
            <w:r>
              <w:rPr>
                <w:spacing w:val="-2"/>
                <w:sz w:val="24"/>
              </w:rPr>
              <w:t>during</w:t>
            </w:r>
            <w:r>
              <w:rPr>
                <w:spacing w:val="-12"/>
                <w:sz w:val="24"/>
              </w:rPr>
              <w:t> </w:t>
            </w:r>
            <w:r>
              <w:rPr>
                <w:spacing w:val="-2"/>
                <w:sz w:val="24"/>
              </w:rPr>
              <w:t>removal,</w:t>
            </w:r>
            <w:r>
              <w:rPr>
                <w:spacing w:val="-15"/>
                <w:sz w:val="24"/>
              </w:rPr>
              <w:t> </w:t>
            </w:r>
            <w:r>
              <w:rPr>
                <w:spacing w:val="-2"/>
                <w:sz w:val="24"/>
              </w:rPr>
              <w:t>installation,</w:t>
            </w:r>
            <w:r>
              <w:rPr>
                <w:spacing w:val="-15"/>
                <w:sz w:val="24"/>
              </w:rPr>
              <w:t> </w:t>
            </w:r>
            <w:r>
              <w:rPr>
                <w:spacing w:val="-2"/>
                <w:sz w:val="24"/>
              </w:rPr>
              <w:t>commissioning</w:t>
            </w:r>
            <w:r>
              <w:rPr>
                <w:spacing w:val="-12"/>
                <w:sz w:val="24"/>
              </w:rPr>
              <w:t> </w:t>
            </w:r>
            <w:r>
              <w:rPr>
                <w:spacing w:val="-2"/>
                <w:sz w:val="24"/>
              </w:rPr>
              <w:t>and</w:t>
            </w:r>
            <w:r>
              <w:rPr>
                <w:spacing w:val="-12"/>
                <w:sz w:val="24"/>
              </w:rPr>
              <w:t> </w:t>
            </w:r>
            <w:r>
              <w:rPr>
                <w:spacing w:val="-2"/>
                <w:sz w:val="24"/>
              </w:rPr>
              <w:t>clinical</w:t>
            </w:r>
            <w:r>
              <w:rPr>
                <w:spacing w:val="-12"/>
                <w:sz w:val="24"/>
              </w:rPr>
              <w:t> </w:t>
            </w:r>
            <w:r>
              <w:rPr>
                <w:spacing w:val="-2"/>
                <w:sz w:val="24"/>
              </w:rPr>
              <w:t>activation (which</w:t>
            </w:r>
            <w:r>
              <w:rPr>
                <w:spacing w:val="-15"/>
                <w:sz w:val="24"/>
              </w:rPr>
              <w:t> </w:t>
            </w:r>
            <w:r>
              <w:rPr>
                <w:spacing w:val="-2"/>
                <w:sz w:val="24"/>
              </w:rPr>
              <w:t>typically</w:t>
            </w:r>
            <w:r>
              <w:rPr>
                <w:spacing w:val="-9"/>
                <w:sz w:val="24"/>
              </w:rPr>
              <w:t> </w:t>
            </w:r>
            <w:r>
              <w:rPr>
                <w:spacing w:val="-2"/>
                <w:sz w:val="24"/>
              </w:rPr>
              <w:t>takes</w:t>
            </w:r>
            <w:r>
              <w:rPr>
                <w:spacing w:val="-15"/>
                <w:sz w:val="24"/>
              </w:rPr>
              <w:t> </w:t>
            </w:r>
            <w:r>
              <w:rPr>
                <w:spacing w:val="-2"/>
                <w:sz w:val="24"/>
              </w:rPr>
              <w:t>9-12</w:t>
            </w:r>
            <w:r>
              <w:rPr>
                <w:spacing w:val="-12"/>
                <w:sz w:val="24"/>
              </w:rPr>
              <w:t> </w:t>
            </w:r>
            <w:r>
              <w:rPr>
                <w:spacing w:val="-2"/>
                <w:sz w:val="24"/>
              </w:rPr>
              <w:t>months).</w:t>
            </w:r>
            <w:r>
              <w:rPr>
                <w:spacing w:val="-15"/>
                <w:sz w:val="24"/>
              </w:rPr>
              <w:t> </w:t>
            </w:r>
            <w:r>
              <w:rPr>
                <w:spacing w:val="-2"/>
                <w:sz w:val="24"/>
              </w:rPr>
              <w:t>In</w:t>
            </w:r>
            <w:r>
              <w:rPr>
                <w:spacing w:val="-12"/>
                <w:sz w:val="24"/>
              </w:rPr>
              <w:t> </w:t>
            </w:r>
            <w:r>
              <w:rPr>
                <w:spacing w:val="-2"/>
                <w:sz w:val="24"/>
              </w:rPr>
              <w:t>a</w:t>
            </w:r>
            <w:r>
              <w:rPr>
                <w:spacing w:val="-8"/>
                <w:sz w:val="24"/>
              </w:rPr>
              <w:t> </w:t>
            </w:r>
            <w:r>
              <w:rPr>
                <w:spacing w:val="-2"/>
                <w:sz w:val="24"/>
              </w:rPr>
              <w:t>five-LINAC</w:t>
            </w:r>
            <w:r>
              <w:rPr>
                <w:spacing w:val="-13"/>
                <w:sz w:val="24"/>
              </w:rPr>
              <w:t> </w:t>
            </w:r>
            <w:r>
              <w:rPr>
                <w:spacing w:val="-2"/>
                <w:sz w:val="24"/>
              </w:rPr>
              <w:t>model</w:t>
            </w:r>
            <w:r>
              <w:rPr>
                <w:spacing w:val="-13"/>
                <w:sz w:val="24"/>
              </w:rPr>
              <w:t> </w:t>
            </w:r>
            <w:r>
              <w:rPr>
                <w:spacing w:val="-2"/>
                <w:sz w:val="24"/>
              </w:rPr>
              <w:t>this</w:t>
            </w:r>
            <w:r>
              <w:rPr>
                <w:spacing w:val="-14"/>
                <w:sz w:val="24"/>
              </w:rPr>
              <w:t> </w:t>
            </w:r>
            <w:r>
              <w:rPr>
                <w:spacing w:val="-2"/>
                <w:sz w:val="24"/>
              </w:rPr>
              <w:t>represents</w:t>
            </w:r>
            <w:r>
              <w:rPr>
                <w:spacing w:val="-15"/>
                <w:sz w:val="24"/>
              </w:rPr>
              <w:t> </w:t>
            </w:r>
            <w:r>
              <w:rPr>
                <w:spacing w:val="-2"/>
                <w:sz w:val="24"/>
              </w:rPr>
              <w:t>a</w:t>
            </w:r>
            <w:r>
              <w:rPr>
                <w:spacing w:val="-12"/>
                <w:sz w:val="24"/>
              </w:rPr>
              <w:t> </w:t>
            </w:r>
            <w:r>
              <w:rPr>
                <w:spacing w:val="-2"/>
                <w:sz w:val="24"/>
              </w:rPr>
              <w:t>material</w:t>
            </w:r>
            <w:r>
              <w:rPr>
                <w:spacing w:val="-13"/>
                <w:sz w:val="24"/>
              </w:rPr>
              <w:t> </w:t>
            </w:r>
            <w:r>
              <w:rPr>
                <w:spacing w:val="-2"/>
                <w:sz w:val="24"/>
              </w:rPr>
              <w:t>temporary </w:t>
            </w:r>
            <w:r>
              <w:rPr>
                <w:sz w:val="24"/>
              </w:rPr>
              <w:t>loss of capacity.</w:t>
            </w:r>
          </w:p>
          <w:p>
            <w:pPr>
              <w:pStyle w:val="TableParagraph"/>
              <w:spacing w:before="81"/>
              <w:ind w:left="110"/>
              <w:rPr>
                <w:sz w:val="24"/>
              </w:rPr>
            </w:pPr>
            <w:r>
              <w:rPr>
                <w:sz w:val="24"/>
              </w:rPr>
              <w:t>Demand</w:t>
            </w:r>
            <w:r>
              <w:rPr>
                <w:spacing w:val="-12"/>
                <w:sz w:val="24"/>
              </w:rPr>
              <w:t> </w:t>
            </w:r>
            <w:r>
              <w:rPr>
                <w:sz w:val="24"/>
              </w:rPr>
              <w:t>modelling</w:t>
            </w:r>
            <w:r>
              <w:rPr>
                <w:spacing w:val="-17"/>
                <w:sz w:val="24"/>
              </w:rPr>
              <w:t> </w:t>
            </w:r>
            <w:r>
              <w:rPr>
                <w:sz w:val="24"/>
              </w:rPr>
              <w:t>in</w:t>
            </w:r>
            <w:r>
              <w:rPr>
                <w:spacing w:val="-12"/>
                <w:sz w:val="24"/>
              </w:rPr>
              <w:t> </w:t>
            </w:r>
            <w:r>
              <w:rPr>
                <w:sz w:val="24"/>
              </w:rPr>
              <w:t>the</w:t>
            </w:r>
            <w:r>
              <w:rPr>
                <w:spacing w:val="-12"/>
                <w:sz w:val="24"/>
              </w:rPr>
              <w:t> </w:t>
            </w:r>
            <w:r>
              <w:rPr>
                <w:sz w:val="24"/>
              </w:rPr>
              <w:t>original</w:t>
            </w:r>
            <w:r>
              <w:rPr>
                <w:spacing w:val="-12"/>
                <w:sz w:val="24"/>
              </w:rPr>
              <w:t> </w:t>
            </w:r>
            <w:r>
              <w:rPr>
                <w:sz w:val="24"/>
              </w:rPr>
              <w:t>paper</w:t>
            </w:r>
            <w:r>
              <w:rPr>
                <w:spacing w:val="-9"/>
                <w:sz w:val="24"/>
              </w:rPr>
              <w:t> </w:t>
            </w:r>
            <w:r>
              <w:rPr>
                <w:sz w:val="24"/>
              </w:rPr>
              <w:t>shows</w:t>
            </w:r>
            <w:r>
              <w:rPr>
                <w:spacing w:val="-13"/>
                <w:sz w:val="24"/>
              </w:rPr>
              <w:t> </w:t>
            </w:r>
            <w:r>
              <w:rPr>
                <w:sz w:val="24"/>
              </w:rPr>
              <w:t>demand</w:t>
            </w:r>
            <w:r>
              <w:rPr>
                <w:spacing w:val="-12"/>
                <w:sz w:val="24"/>
              </w:rPr>
              <w:t> </w:t>
            </w:r>
            <w:r>
              <w:rPr>
                <w:sz w:val="24"/>
              </w:rPr>
              <w:t>rising</w:t>
            </w:r>
            <w:r>
              <w:rPr>
                <w:spacing w:val="-12"/>
                <w:sz w:val="24"/>
              </w:rPr>
              <w:t> </w:t>
            </w:r>
            <w:r>
              <w:rPr>
                <w:sz w:val="24"/>
              </w:rPr>
              <w:t>to</w:t>
            </w:r>
            <w:r>
              <w:rPr>
                <w:spacing w:val="-12"/>
                <w:sz w:val="24"/>
              </w:rPr>
              <w:t> </w:t>
            </w:r>
            <w:r>
              <w:rPr>
                <w:sz w:val="24"/>
              </w:rPr>
              <w:t>approximately</w:t>
            </w:r>
            <w:r>
              <w:rPr>
                <w:spacing w:val="-13"/>
                <w:sz w:val="24"/>
              </w:rPr>
              <w:t> </w:t>
            </w:r>
            <w:r>
              <w:rPr>
                <w:sz w:val="24"/>
              </w:rPr>
              <w:t>57,900 </w:t>
            </w:r>
            <w:r>
              <w:rPr>
                <w:spacing w:val="-2"/>
                <w:sz w:val="24"/>
              </w:rPr>
              <w:t>treatment</w:t>
            </w:r>
            <w:r>
              <w:rPr>
                <w:spacing w:val="-13"/>
                <w:sz w:val="24"/>
              </w:rPr>
              <w:t> </w:t>
            </w:r>
            <w:r>
              <w:rPr>
                <w:spacing w:val="-2"/>
                <w:sz w:val="24"/>
              </w:rPr>
              <w:t>slots</w:t>
            </w:r>
            <w:r>
              <w:rPr>
                <w:spacing w:val="-11"/>
                <w:sz w:val="24"/>
              </w:rPr>
              <w:t> </w:t>
            </w:r>
            <w:r>
              <w:rPr>
                <w:spacing w:val="-2"/>
                <w:sz w:val="24"/>
              </w:rPr>
              <w:t>by</w:t>
            </w:r>
            <w:r>
              <w:rPr>
                <w:spacing w:val="-11"/>
                <w:sz w:val="24"/>
              </w:rPr>
              <w:t> </w:t>
            </w:r>
            <w:r>
              <w:rPr>
                <w:spacing w:val="-2"/>
                <w:sz w:val="24"/>
              </w:rPr>
              <w:t>2030/31,</w:t>
            </w:r>
            <w:r>
              <w:rPr>
                <w:spacing w:val="-13"/>
                <w:sz w:val="24"/>
              </w:rPr>
              <w:t> </w:t>
            </w:r>
            <w:r>
              <w:rPr>
                <w:spacing w:val="-2"/>
                <w:sz w:val="24"/>
              </w:rPr>
              <w:t>indicating</w:t>
            </w:r>
            <w:r>
              <w:rPr>
                <w:spacing w:val="-5"/>
                <w:sz w:val="24"/>
              </w:rPr>
              <w:t> </w:t>
            </w:r>
            <w:r>
              <w:rPr>
                <w:spacing w:val="-2"/>
                <w:sz w:val="24"/>
              </w:rPr>
              <w:t>the</w:t>
            </w:r>
            <w:r>
              <w:rPr>
                <w:spacing w:val="-10"/>
                <w:sz w:val="24"/>
              </w:rPr>
              <w:t> </w:t>
            </w:r>
            <w:r>
              <w:rPr>
                <w:spacing w:val="-2"/>
                <w:sz w:val="24"/>
              </w:rPr>
              <w:t>need</w:t>
            </w:r>
            <w:r>
              <w:rPr>
                <w:spacing w:val="-5"/>
                <w:sz w:val="24"/>
              </w:rPr>
              <w:t> </w:t>
            </w:r>
            <w:r>
              <w:rPr>
                <w:spacing w:val="-2"/>
                <w:sz w:val="24"/>
              </w:rPr>
              <w:t>for</w:t>
            </w:r>
            <w:r>
              <w:rPr>
                <w:spacing w:val="-15"/>
                <w:sz w:val="24"/>
              </w:rPr>
              <w:t> </w:t>
            </w:r>
            <w:r>
              <w:rPr>
                <w:spacing w:val="-2"/>
                <w:sz w:val="24"/>
              </w:rPr>
              <w:t>an</w:t>
            </w:r>
            <w:r>
              <w:rPr>
                <w:spacing w:val="-9"/>
                <w:sz w:val="24"/>
              </w:rPr>
              <w:t> </w:t>
            </w:r>
            <w:r>
              <w:rPr>
                <w:spacing w:val="-2"/>
                <w:sz w:val="24"/>
              </w:rPr>
              <w:t>additional</w:t>
            </w:r>
            <w:r>
              <w:rPr>
                <w:spacing w:val="-13"/>
                <w:sz w:val="24"/>
              </w:rPr>
              <w:t> </w:t>
            </w:r>
            <w:r>
              <w:rPr>
                <w:spacing w:val="-2"/>
                <w:sz w:val="24"/>
              </w:rPr>
              <w:t>6th</w:t>
            </w:r>
            <w:r>
              <w:rPr>
                <w:spacing w:val="-10"/>
                <w:sz w:val="24"/>
              </w:rPr>
              <w:t> </w:t>
            </w:r>
            <w:r>
              <w:rPr>
                <w:spacing w:val="-2"/>
                <w:sz w:val="24"/>
              </w:rPr>
              <w:t>LINAC</w:t>
            </w:r>
            <w:r>
              <w:rPr>
                <w:spacing w:val="-10"/>
                <w:sz w:val="24"/>
              </w:rPr>
              <w:t> </w:t>
            </w:r>
            <w:r>
              <w:rPr>
                <w:spacing w:val="-2"/>
                <w:sz w:val="24"/>
              </w:rPr>
              <w:t>by</w:t>
            </w:r>
            <w:r>
              <w:rPr>
                <w:spacing w:val="-15"/>
                <w:sz w:val="24"/>
              </w:rPr>
              <w:t> </w:t>
            </w:r>
            <w:r>
              <w:rPr>
                <w:spacing w:val="-2"/>
                <w:sz w:val="24"/>
              </w:rPr>
              <w:t>2029/30</w:t>
            </w:r>
            <w:r>
              <w:rPr>
                <w:spacing w:val="-14"/>
                <w:sz w:val="24"/>
              </w:rPr>
              <w:t> </w:t>
            </w:r>
            <w:r>
              <w:rPr>
                <w:spacing w:val="-2"/>
                <w:sz w:val="24"/>
              </w:rPr>
              <w:t>and</w:t>
            </w:r>
            <w:r>
              <w:rPr>
                <w:spacing w:val="-14"/>
                <w:sz w:val="24"/>
              </w:rPr>
              <w:t> </w:t>
            </w:r>
            <w:r>
              <w:rPr>
                <w:spacing w:val="-2"/>
                <w:sz w:val="24"/>
              </w:rPr>
              <w:t>a </w:t>
            </w:r>
            <w:r>
              <w:rPr>
                <w:sz w:val="24"/>
              </w:rPr>
              <w:t>potential</w:t>
            </w:r>
            <w:r>
              <w:rPr>
                <w:spacing w:val="-17"/>
                <w:sz w:val="24"/>
              </w:rPr>
              <w:t> </w:t>
            </w:r>
            <w:r>
              <w:rPr>
                <w:sz w:val="24"/>
              </w:rPr>
              <w:t>7th</w:t>
            </w:r>
            <w:r>
              <w:rPr>
                <w:spacing w:val="-17"/>
                <w:sz w:val="24"/>
              </w:rPr>
              <w:t> </w:t>
            </w:r>
            <w:r>
              <w:rPr>
                <w:sz w:val="24"/>
              </w:rPr>
              <w:t>by</w:t>
            </w:r>
            <w:r>
              <w:rPr>
                <w:spacing w:val="-16"/>
                <w:sz w:val="24"/>
              </w:rPr>
              <w:t> </w:t>
            </w:r>
            <w:r>
              <w:rPr>
                <w:sz w:val="24"/>
              </w:rPr>
              <w:t>2030/31.</w:t>
            </w:r>
            <w:r>
              <w:rPr>
                <w:spacing w:val="-17"/>
                <w:sz w:val="24"/>
              </w:rPr>
              <w:t> </w:t>
            </w:r>
            <w:r>
              <w:rPr>
                <w:sz w:val="24"/>
              </w:rPr>
              <w:t>Replacement</w:t>
            </w:r>
            <w:r>
              <w:rPr>
                <w:spacing w:val="-17"/>
                <w:sz w:val="24"/>
              </w:rPr>
              <w:t> </w:t>
            </w:r>
            <w:r>
              <w:rPr>
                <w:sz w:val="24"/>
              </w:rPr>
              <w:t>pressure</w:t>
            </w:r>
            <w:r>
              <w:rPr>
                <w:spacing w:val="-17"/>
                <w:sz w:val="24"/>
              </w:rPr>
              <w:t> </w:t>
            </w:r>
            <w:r>
              <w:rPr>
                <w:sz w:val="24"/>
              </w:rPr>
              <w:t>and</w:t>
            </w:r>
            <w:r>
              <w:rPr>
                <w:spacing w:val="-16"/>
                <w:sz w:val="24"/>
              </w:rPr>
              <w:t> </w:t>
            </w:r>
            <w:r>
              <w:rPr>
                <w:sz w:val="24"/>
              </w:rPr>
              <w:t>demand</w:t>
            </w:r>
            <w:r>
              <w:rPr>
                <w:spacing w:val="-17"/>
                <w:sz w:val="24"/>
              </w:rPr>
              <w:t> </w:t>
            </w:r>
            <w:r>
              <w:rPr>
                <w:sz w:val="24"/>
              </w:rPr>
              <w:t>growth</w:t>
            </w:r>
            <w:r>
              <w:rPr>
                <w:spacing w:val="-17"/>
                <w:sz w:val="24"/>
              </w:rPr>
              <w:t> </w:t>
            </w:r>
            <w:r>
              <w:rPr>
                <w:sz w:val="24"/>
              </w:rPr>
              <w:t>therefore</w:t>
            </w:r>
            <w:r>
              <w:rPr>
                <w:spacing w:val="-16"/>
                <w:sz w:val="24"/>
              </w:rPr>
              <w:t> </w:t>
            </w:r>
            <w:r>
              <w:rPr>
                <w:sz w:val="24"/>
              </w:rPr>
              <w:t>overlap.</w:t>
            </w:r>
            <w:r>
              <w:rPr>
                <w:spacing w:val="-17"/>
                <w:sz w:val="24"/>
              </w:rPr>
              <w:t> </w:t>
            </w:r>
            <w:r>
              <w:rPr>
                <w:sz w:val="24"/>
              </w:rPr>
              <w:t>The estate</w:t>
            </w:r>
            <w:r>
              <w:rPr>
                <w:spacing w:val="-15"/>
                <w:sz w:val="24"/>
              </w:rPr>
              <w:t> </w:t>
            </w:r>
            <w:r>
              <w:rPr>
                <w:sz w:val="24"/>
              </w:rPr>
              <w:t>solution</w:t>
            </w:r>
            <w:r>
              <w:rPr>
                <w:spacing w:val="-17"/>
                <w:sz w:val="24"/>
              </w:rPr>
              <w:t> </w:t>
            </w:r>
            <w:r>
              <w:rPr>
                <w:sz w:val="24"/>
              </w:rPr>
              <w:t>needs</w:t>
            </w:r>
            <w:r>
              <w:rPr>
                <w:spacing w:val="-10"/>
                <w:sz w:val="24"/>
              </w:rPr>
              <w:t> </w:t>
            </w:r>
            <w:r>
              <w:rPr>
                <w:sz w:val="24"/>
              </w:rPr>
              <w:t>to</w:t>
            </w:r>
            <w:r>
              <w:rPr>
                <w:spacing w:val="-17"/>
                <w:sz w:val="24"/>
              </w:rPr>
              <w:t> </w:t>
            </w:r>
            <w:r>
              <w:rPr>
                <w:sz w:val="24"/>
              </w:rPr>
              <w:t>protect</w:t>
            </w:r>
            <w:r>
              <w:rPr>
                <w:spacing w:val="-16"/>
                <w:sz w:val="24"/>
              </w:rPr>
              <w:t> </w:t>
            </w:r>
            <w:r>
              <w:rPr>
                <w:sz w:val="24"/>
              </w:rPr>
              <w:t>the</w:t>
            </w:r>
            <w:r>
              <w:rPr>
                <w:spacing w:val="-14"/>
                <w:sz w:val="24"/>
              </w:rPr>
              <w:t> </w:t>
            </w:r>
            <w:r>
              <w:rPr>
                <w:sz w:val="24"/>
              </w:rPr>
              <w:t>replacement</w:t>
            </w:r>
            <w:r>
              <w:rPr>
                <w:spacing w:val="-12"/>
                <w:sz w:val="24"/>
              </w:rPr>
              <w:t> </w:t>
            </w:r>
            <w:r>
              <w:rPr>
                <w:sz w:val="24"/>
              </w:rPr>
              <w:t>programme</w:t>
            </w:r>
            <w:r>
              <w:rPr>
                <w:spacing w:val="-14"/>
                <w:sz w:val="24"/>
              </w:rPr>
              <w:t> </w:t>
            </w:r>
            <w:r>
              <w:rPr>
                <w:sz w:val="24"/>
              </w:rPr>
              <w:t>while</w:t>
            </w:r>
            <w:r>
              <w:rPr>
                <w:spacing w:val="-14"/>
                <w:sz w:val="24"/>
              </w:rPr>
              <w:t> </w:t>
            </w:r>
            <w:r>
              <w:rPr>
                <w:sz w:val="24"/>
              </w:rPr>
              <w:t>preserving</w:t>
            </w:r>
            <w:r>
              <w:rPr>
                <w:spacing w:val="-14"/>
                <w:sz w:val="24"/>
              </w:rPr>
              <w:t> </w:t>
            </w:r>
            <w:r>
              <w:rPr>
                <w:sz w:val="24"/>
              </w:rPr>
              <w:t>options</w:t>
            </w:r>
            <w:r>
              <w:rPr>
                <w:spacing w:val="-10"/>
                <w:sz w:val="24"/>
              </w:rPr>
              <w:t> </w:t>
            </w:r>
            <w:r>
              <w:rPr>
                <w:sz w:val="24"/>
              </w:rPr>
              <w:t>for additional capacity.</w:t>
            </w:r>
          </w:p>
          <w:p>
            <w:pPr>
              <w:pStyle w:val="TableParagraph"/>
              <w:spacing w:before="154"/>
              <w:rPr>
                <w:sz w:val="24"/>
              </w:rPr>
            </w:pPr>
          </w:p>
          <w:p>
            <w:pPr>
              <w:pStyle w:val="TableParagraph"/>
              <w:spacing w:before="1"/>
              <w:ind w:left="110"/>
              <w:rPr>
                <w:b/>
                <w:sz w:val="24"/>
              </w:rPr>
            </w:pPr>
            <w:r>
              <w:rPr>
                <w:b/>
                <w:color w:val="1F4E79"/>
                <w:spacing w:val="-2"/>
                <w:sz w:val="24"/>
              </w:rPr>
              <w:t>Relationship</w:t>
            </w:r>
            <w:r>
              <w:rPr>
                <w:b/>
                <w:color w:val="1F4E79"/>
                <w:spacing w:val="-15"/>
                <w:sz w:val="24"/>
              </w:rPr>
              <w:t> </w:t>
            </w:r>
            <w:r>
              <w:rPr>
                <w:b/>
                <w:color w:val="1F4E79"/>
                <w:spacing w:val="-2"/>
                <w:sz w:val="24"/>
              </w:rPr>
              <w:t>with</w:t>
            </w:r>
            <w:r>
              <w:rPr>
                <w:b/>
                <w:color w:val="1F4E79"/>
                <w:spacing w:val="-15"/>
                <w:sz w:val="24"/>
              </w:rPr>
              <w:t> </w:t>
            </w:r>
            <w:r>
              <w:rPr>
                <w:b/>
                <w:color w:val="1F4E79"/>
                <w:spacing w:val="-2"/>
                <w:sz w:val="24"/>
              </w:rPr>
              <w:t>the</w:t>
            </w:r>
            <w:r>
              <w:rPr>
                <w:b/>
                <w:color w:val="1F4E79"/>
                <w:spacing w:val="-11"/>
                <w:sz w:val="24"/>
              </w:rPr>
              <w:t> </w:t>
            </w:r>
            <w:r>
              <w:rPr>
                <w:b/>
                <w:color w:val="1F4E79"/>
                <w:spacing w:val="-2"/>
                <w:sz w:val="24"/>
              </w:rPr>
              <w:t>Hywel</w:t>
            </w:r>
            <w:r>
              <w:rPr>
                <w:b/>
                <w:color w:val="1F4E79"/>
                <w:spacing w:val="-15"/>
                <w:sz w:val="24"/>
              </w:rPr>
              <w:t> </w:t>
            </w:r>
            <w:r>
              <w:rPr>
                <w:b/>
                <w:color w:val="1F4E79"/>
                <w:spacing w:val="-2"/>
                <w:sz w:val="24"/>
              </w:rPr>
              <w:t>Dda</w:t>
            </w:r>
            <w:r>
              <w:rPr>
                <w:b/>
                <w:color w:val="1F4E79"/>
                <w:spacing w:val="-11"/>
                <w:sz w:val="24"/>
              </w:rPr>
              <w:t> </w:t>
            </w:r>
            <w:r>
              <w:rPr>
                <w:b/>
                <w:color w:val="1F4E79"/>
                <w:spacing w:val="-2"/>
                <w:sz w:val="24"/>
              </w:rPr>
              <w:t>satellite</w:t>
            </w:r>
            <w:r>
              <w:rPr>
                <w:b/>
                <w:color w:val="1F4E79"/>
                <w:spacing w:val="-10"/>
                <w:sz w:val="24"/>
              </w:rPr>
              <w:t> </w:t>
            </w:r>
            <w:r>
              <w:rPr>
                <w:b/>
                <w:color w:val="1F4E79"/>
                <w:spacing w:val="-2"/>
                <w:sz w:val="24"/>
              </w:rPr>
              <w:t>ambition</w:t>
            </w:r>
          </w:p>
          <w:p>
            <w:pPr>
              <w:pStyle w:val="TableParagraph"/>
              <w:spacing w:before="39"/>
              <w:ind w:left="110" w:right="54"/>
              <w:rPr>
                <w:sz w:val="24"/>
              </w:rPr>
            </w:pPr>
            <w:r>
              <w:rPr>
                <w:sz w:val="24"/>
              </w:rPr>
              <w:t>A</w:t>
            </w:r>
            <w:r>
              <w:rPr>
                <w:spacing w:val="-17"/>
                <w:sz w:val="24"/>
              </w:rPr>
              <w:t> </w:t>
            </w:r>
            <w:r>
              <w:rPr>
                <w:sz w:val="24"/>
              </w:rPr>
              <w:t>Hywel</w:t>
            </w:r>
            <w:r>
              <w:rPr>
                <w:spacing w:val="-11"/>
                <w:sz w:val="24"/>
              </w:rPr>
              <w:t> </w:t>
            </w:r>
            <w:r>
              <w:rPr>
                <w:sz w:val="24"/>
              </w:rPr>
              <w:t>Dda</w:t>
            </w:r>
            <w:r>
              <w:rPr>
                <w:spacing w:val="-11"/>
                <w:sz w:val="24"/>
              </w:rPr>
              <w:t> </w:t>
            </w:r>
            <w:r>
              <w:rPr>
                <w:sz w:val="24"/>
              </w:rPr>
              <w:t>satellite</w:t>
            </w:r>
            <w:r>
              <w:rPr>
                <w:spacing w:val="-11"/>
                <w:sz w:val="24"/>
              </w:rPr>
              <w:t> </w:t>
            </w:r>
            <w:r>
              <w:rPr>
                <w:sz w:val="24"/>
              </w:rPr>
              <w:t>remains</w:t>
            </w:r>
            <w:r>
              <w:rPr>
                <w:spacing w:val="-12"/>
                <w:sz w:val="24"/>
              </w:rPr>
              <w:t> </w:t>
            </w:r>
            <w:r>
              <w:rPr>
                <w:sz w:val="24"/>
              </w:rPr>
              <w:t>strategically</w:t>
            </w:r>
            <w:r>
              <w:rPr>
                <w:spacing w:val="-17"/>
                <w:sz w:val="24"/>
              </w:rPr>
              <w:t> </w:t>
            </w:r>
            <w:r>
              <w:rPr>
                <w:sz w:val="24"/>
              </w:rPr>
              <w:t>desirable</w:t>
            </w:r>
            <w:r>
              <w:rPr>
                <w:spacing w:val="-16"/>
                <w:sz w:val="24"/>
              </w:rPr>
              <w:t> </w:t>
            </w:r>
            <w:r>
              <w:rPr>
                <w:sz w:val="24"/>
              </w:rPr>
              <w:t>and</w:t>
            </w:r>
            <w:r>
              <w:rPr>
                <w:spacing w:val="-11"/>
                <w:sz w:val="24"/>
              </w:rPr>
              <w:t> </w:t>
            </w:r>
            <w:r>
              <w:rPr>
                <w:sz w:val="24"/>
              </w:rPr>
              <w:t>is</w:t>
            </w:r>
            <w:r>
              <w:rPr>
                <w:spacing w:val="-12"/>
                <w:sz w:val="24"/>
              </w:rPr>
              <w:t> </w:t>
            </w:r>
            <w:r>
              <w:rPr>
                <w:sz w:val="24"/>
              </w:rPr>
              <w:t>not</w:t>
            </w:r>
            <w:r>
              <w:rPr>
                <w:spacing w:val="-14"/>
                <w:sz w:val="24"/>
              </w:rPr>
              <w:t> </w:t>
            </w:r>
            <w:r>
              <w:rPr>
                <w:sz w:val="24"/>
              </w:rPr>
              <w:t>displaced</w:t>
            </w:r>
            <w:r>
              <w:rPr>
                <w:spacing w:val="-11"/>
                <w:sz w:val="24"/>
              </w:rPr>
              <w:t> </w:t>
            </w:r>
            <w:r>
              <w:rPr>
                <w:sz w:val="24"/>
              </w:rPr>
              <w:t>by</w:t>
            </w:r>
            <w:r>
              <w:rPr>
                <w:spacing w:val="-12"/>
                <w:sz w:val="24"/>
              </w:rPr>
              <w:t> </w:t>
            </w:r>
            <w:r>
              <w:rPr>
                <w:sz w:val="24"/>
              </w:rPr>
              <w:t>the</w:t>
            </w:r>
            <w:r>
              <w:rPr>
                <w:spacing w:val="-11"/>
                <w:sz w:val="24"/>
              </w:rPr>
              <w:t> </w:t>
            </w:r>
            <w:r>
              <w:rPr>
                <w:sz w:val="24"/>
              </w:rPr>
              <w:t>proposed </w:t>
            </w:r>
            <w:r>
              <w:rPr>
                <w:spacing w:val="-2"/>
                <w:sz w:val="24"/>
              </w:rPr>
              <w:t>Singleton</w:t>
            </w:r>
            <w:r>
              <w:rPr>
                <w:spacing w:val="-15"/>
                <w:sz w:val="24"/>
              </w:rPr>
              <w:t> </w:t>
            </w:r>
            <w:r>
              <w:rPr>
                <w:spacing w:val="-2"/>
                <w:sz w:val="24"/>
              </w:rPr>
              <w:t>development.</w:t>
            </w:r>
            <w:r>
              <w:rPr>
                <w:spacing w:val="-14"/>
                <w:sz w:val="24"/>
              </w:rPr>
              <w:t> </w:t>
            </w:r>
            <w:r>
              <w:rPr>
                <w:spacing w:val="-2"/>
                <w:sz w:val="24"/>
              </w:rPr>
              <w:t>However,</w:t>
            </w:r>
            <w:r>
              <w:rPr>
                <w:spacing w:val="-10"/>
                <w:sz w:val="24"/>
              </w:rPr>
              <w:t> </w:t>
            </w:r>
            <w:r>
              <w:rPr>
                <w:spacing w:val="-2"/>
                <w:sz w:val="24"/>
              </w:rPr>
              <w:t>the</w:t>
            </w:r>
            <w:r>
              <w:rPr>
                <w:spacing w:val="-11"/>
                <w:sz w:val="24"/>
              </w:rPr>
              <w:t> </w:t>
            </w:r>
            <w:r>
              <w:rPr>
                <w:spacing w:val="-2"/>
                <w:sz w:val="24"/>
              </w:rPr>
              <w:t>original</w:t>
            </w:r>
            <w:r>
              <w:rPr>
                <w:spacing w:val="-15"/>
                <w:sz w:val="24"/>
              </w:rPr>
              <w:t> </w:t>
            </w:r>
            <w:r>
              <w:rPr>
                <w:spacing w:val="-2"/>
                <w:sz w:val="24"/>
              </w:rPr>
              <w:t>paper</w:t>
            </w:r>
            <w:r>
              <w:rPr>
                <w:spacing w:val="-15"/>
                <w:sz w:val="24"/>
              </w:rPr>
              <w:t> </w:t>
            </w:r>
            <w:r>
              <w:rPr>
                <w:spacing w:val="-2"/>
                <w:sz w:val="24"/>
              </w:rPr>
              <w:t>indicates</w:t>
            </w:r>
            <w:r>
              <w:rPr>
                <w:spacing w:val="-7"/>
                <w:sz w:val="24"/>
              </w:rPr>
              <w:t> </w:t>
            </w:r>
            <w:r>
              <w:rPr>
                <w:spacing w:val="-2"/>
                <w:sz w:val="24"/>
              </w:rPr>
              <w:t>that</w:t>
            </w:r>
            <w:r>
              <w:rPr>
                <w:spacing w:val="-14"/>
                <w:sz w:val="24"/>
              </w:rPr>
              <w:t> </w:t>
            </w:r>
            <w:r>
              <w:rPr>
                <w:spacing w:val="-2"/>
                <w:sz w:val="24"/>
              </w:rPr>
              <w:t>a</w:t>
            </w:r>
            <w:r>
              <w:rPr>
                <w:spacing w:val="-11"/>
                <w:sz w:val="24"/>
              </w:rPr>
              <w:t> </w:t>
            </w:r>
            <w:r>
              <w:rPr>
                <w:spacing w:val="-2"/>
                <w:sz w:val="24"/>
              </w:rPr>
              <w:t>satellite</w:t>
            </w:r>
            <w:r>
              <w:rPr>
                <w:spacing w:val="-15"/>
                <w:sz w:val="24"/>
              </w:rPr>
              <w:t> </w:t>
            </w:r>
            <w:r>
              <w:rPr>
                <w:spacing w:val="-2"/>
                <w:sz w:val="24"/>
              </w:rPr>
              <w:t>would</w:t>
            </w:r>
            <w:r>
              <w:rPr>
                <w:spacing w:val="-11"/>
                <w:sz w:val="24"/>
              </w:rPr>
              <w:t> </w:t>
            </w:r>
            <w:r>
              <w:rPr>
                <w:spacing w:val="-2"/>
                <w:sz w:val="24"/>
              </w:rPr>
              <w:t>take</w:t>
            </w:r>
            <w:r>
              <w:rPr>
                <w:spacing w:val="-11"/>
                <w:sz w:val="24"/>
              </w:rPr>
              <w:t> </w:t>
            </w:r>
            <w:r>
              <w:rPr>
                <w:spacing w:val="-2"/>
                <w:sz w:val="24"/>
              </w:rPr>
              <w:t>at</w:t>
            </w:r>
            <w:r>
              <w:rPr>
                <w:spacing w:val="-14"/>
                <w:sz w:val="24"/>
              </w:rPr>
              <w:t> </w:t>
            </w:r>
            <w:r>
              <w:rPr>
                <w:spacing w:val="-2"/>
                <w:sz w:val="24"/>
              </w:rPr>
              <w:t>least </w:t>
            </w:r>
            <w:r>
              <w:rPr>
                <w:sz w:val="24"/>
              </w:rPr>
              <w:t>5</w:t>
            </w:r>
            <w:r>
              <w:rPr>
                <w:spacing w:val="-11"/>
                <w:sz w:val="24"/>
              </w:rPr>
              <w:t> </w:t>
            </w:r>
            <w:r>
              <w:rPr>
                <w:sz w:val="24"/>
              </w:rPr>
              <w:t>to</w:t>
            </w:r>
            <w:r>
              <w:rPr>
                <w:spacing w:val="-15"/>
                <w:sz w:val="24"/>
              </w:rPr>
              <w:t> </w:t>
            </w:r>
            <w:r>
              <w:rPr>
                <w:sz w:val="24"/>
              </w:rPr>
              <w:t>5.5</w:t>
            </w:r>
            <w:r>
              <w:rPr>
                <w:spacing w:val="-10"/>
                <w:sz w:val="24"/>
              </w:rPr>
              <w:t> </w:t>
            </w:r>
            <w:r>
              <w:rPr>
                <w:sz w:val="24"/>
              </w:rPr>
              <w:t>years</w:t>
            </w:r>
            <w:r>
              <w:rPr>
                <w:spacing w:val="-6"/>
                <w:sz w:val="24"/>
              </w:rPr>
              <w:t> </w:t>
            </w:r>
            <w:r>
              <w:rPr>
                <w:sz w:val="24"/>
              </w:rPr>
              <w:t>from</w:t>
            </w:r>
            <w:r>
              <w:rPr>
                <w:spacing w:val="-11"/>
                <w:sz w:val="24"/>
              </w:rPr>
              <w:t> </w:t>
            </w:r>
            <w:r>
              <w:rPr>
                <w:sz w:val="24"/>
              </w:rPr>
              <w:t>site</w:t>
            </w:r>
            <w:r>
              <w:rPr>
                <w:spacing w:val="-10"/>
                <w:sz w:val="24"/>
              </w:rPr>
              <w:t> </w:t>
            </w:r>
            <w:r>
              <w:rPr>
                <w:sz w:val="24"/>
              </w:rPr>
              <w:t>identification</w:t>
            </w:r>
            <w:r>
              <w:rPr>
                <w:spacing w:val="-10"/>
                <w:sz w:val="24"/>
              </w:rPr>
              <w:t> </w:t>
            </w:r>
            <w:r>
              <w:rPr>
                <w:sz w:val="24"/>
              </w:rPr>
              <w:t>and</w:t>
            </w:r>
            <w:r>
              <w:rPr>
                <w:spacing w:val="-10"/>
                <w:sz w:val="24"/>
              </w:rPr>
              <w:t> </w:t>
            </w:r>
            <w:r>
              <w:rPr>
                <w:sz w:val="24"/>
              </w:rPr>
              <w:t>no</w:t>
            </w:r>
            <w:r>
              <w:rPr>
                <w:spacing w:val="-10"/>
                <w:sz w:val="24"/>
              </w:rPr>
              <w:t> </w:t>
            </w:r>
            <w:r>
              <w:rPr>
                <w:sz w:val="24"/>
              </w:rPr>
              <w:t>site</w:t>
            </w:r>
            <w:r>
              <w:rPr>
                <w:spacing w:val="-6"/>
                <w:sz w:val="24"/>
              </w:rPr>
              <w:t> </w:t>
            </w:r>
            <w:r>
              <w:rPr>
                <w:sz w:val="24"/>
              </w:rPr>
              <w:t>has</w:t>
            </w:r>
            <w:r>
              <w:rPr>
                <w:spacing w:val="-11"/>
                <w:sz w:val="24"/>
              </w:rPr>
              <w:t> </w:t>
            </w:r>
            <w:r>
              <w:rPr>
                <w:sz w:val="24"/>
              </w:rPr>
              <w:t>yet</w:t>
            </w:r>
            <w:r>
              <w:rPr>
                <w:spacing w:val="-17"/>
                <w:sz w:val="24"/>
              </w:rPr>
              <w:t> </w:t>
            </w:r>
            <w:r>
              <w:rPr>
                <w:sz w:val="24"/>
              </w:rPr>
              <w:t>been</w:t>
            </w:r>
            <w:r>
              <w:rPr>
                <w:spacing w:val="-10"/>
                <w:sz w:val="24"/>
              </w:rPr>
              <w:t> </w:t>
            </w:r>
            <w:r>
              <w:rPr>
                <w:sz w:val="24"/>
              </w:rPr>
              <w:t>confirmed.</w:t>
            </w:r>
            <w:r>
              <w:rPr>
                <w:spacing w:val="-13"/>
                <w:sz w:val="24"/>
              </w:rPr>
              <w:t> </w:t>
            </w:r>
            <w:r>
              <w:rPr>
                <w:sz w:val="24"/>
              </w:rPr>
              <w:t>It</w:t>
            </w:r>
            <w:r>
              <w:rPr>
                <w:spacing w:val="-13"/>
                <w:sz w:val="24"/>
              </w:rPr>
              <w:t> </w:t>
            </w:r>
            <w:r>
              <w:rPr>
                <w:sz w:val="24"/>
              </w:rPr>
              <w:t>therefore</w:t>
            </w:r>
            <w:r>
              <w:rPr>
                <w:spacing w:val="-10"/>
                <w:sz w:val="24"/>
              </w:rPr>
              <w:t> </w:t>
            </w:r>
            <w:r>
              <w:rPr>
                <w:sz w:val="24"/>
              </w:rPr>
              <w:t>cannot address</w:t>
            </w:r>
            <w:r>
              <w:rPr>
                <w:spacing w:val="-14"/>
                <w:sz w:val="24"/>
              </w:rPr>
              <w:t> </w:t>
            </w:r>
            <w:r>
              <w:rPr>
                <w:sz w:val="24"/>
              </w:rPr>
              <w:t>the</w:t>
            </w:r>
            <w:r>
              <w:rPr>
                <w:spacing w:val="-14"/>
                <w:sz w:val="24"/>
              </w:rPr>
              <w:t> </w:t>
            </w:r>
            <w:r>
              <w:rPr>
                <w:sz w:val="24"/>
              </w:rPr>
              <w:t>immediate</w:t>
            </w:r>
            <w:r>
              <w:rPr>
                <w:spacing w:val="-14"/>
                <w:sz w:val="24"/>
              </w:rPr>
              <w:t> </w:t>
            </w:r>
            <w:r>
              <w:rPr>
                <w:sz w:val="24"/>
              </w:rPr>
              <w:t>Singleton</w:t>
            </w:r>
            <w:r>
              <w:rPr>
                <w:spacing w:val="-9"/>
                <w:sz w:val="24"/>
              </w:rPr>
              <w:t> </w:t>
            </w:r>
            <w:r>
              <w:rPr>
                <w:sz w:val="24"/>
              </w:rPr>
              <w:t>replacement</w:t>
            </w:r>
            <w:r>
              <w:rPr>
                <w:spacing w:val="-16"/>
                <w:sz w:val="24"/>
              </w:rPr>
              <w:t> </w:t>
            </w:r>
            <w:r>
              <w:rPr>
                <w:sz w:val="24"/>
              </w:rPr>
              <w:t>risk.</w:t>
            </w:r>
            <w:r>
              <w:rPr>
                <w:spacing w:val="-12"/>
                <w:sz w:val="24"/>
              </w:rPr>
              <w:t> </w:t>
            </w:r>
            <w:r>
              <w:rPr>
                <w:sz w:val="24"/>
              </w:rPr>
              <w:t>The</w:t>
            </w:r>
            <w:r>
              <w:rPr>
                <w:spacing w:val="-14"/>
                <w:sz w:val="24"/>
              </w:rPr>
              <w:t> </w:t>
            </w:r>
            <w:r>
              <w:rPr>
                <w:sz w:val="24"/>
              </w:rPr>
              <w:t>satellite</w:t>
            </w:r>
            <w:r>
              <w:rPr>
                <w:spacing w:val="-14"/>
                <w:sz w:val="24"/>
              </w:rPr>
              <w:t> </w:t>
            </w:r>
            <w:r>
              <w:rPr>
                <w:sz w:val="24"/>
              </w:rPr>
              <w:t>should</w:t>
            </w:r>
            <w:r>
              <w:rPr>
                <w:spacing w:val="-9"/>
                <w:sz w:val="24"/>
              </w:rPr>
              <w:t> </w:t>
            </w:r>
            <w:r>
              <w:rPr>
                <w:sz w:val="24"/>
              </w:rPr>
              <w:t>continue</w:t>
            </w:r>
            <w:r>
              <w:rPr>
                <w:spacing w:val="-14"/>
                <w:sz w:val="24"/>
              </w:rPr>
              <w:t> </w:t>
            </w:r>
            <w:r>
              <w:rPr>
                <w:sz w:val="24"/>
              </w:rPr>
              <w:t>as</w:t>
            </w:r>
            <w:r>
              <w:rPr>
                <w:spacing w:val="-14"/>
                <w:sz w:val="24"/>
              </w:rPr>
              <w:t> </w:t>
            </w:r>
            <w:r>
              <w:rPr>
                <w:sz w:val="24"/>
              </w:rPr>
              <w:t>a complementary</w:t>
            </w:r>
            <w:r>
              <w:rPr>
                <w:spacing w:val="-17"/>
                <w:sz w:val="24"/>
              </w:rPr>
              <w:t> </w:t>
            </w:r>
            <w:r>
              <w:rPr>
                <w:sz w:val="24"/>
              </w:rPr>
              <w:t>longer-term</w:t>
            </w:r>
            <w:r>
              <w:rPr>
                <w:spacing w:val="-17"/>
                <w:sz w:val="24"/>
              </w:rPr>
              <w:t> </w:t>
            </w:r>
            <w:r>
              <w:rPr>
                <w:sz w:val="24"/>
              </w:rPr>
              <w:t>workstream</w:t>
            </w:r>
            <w:r>
              <w:rPr>
                <w:spacing w:val="-16"/>
                <w:sz w:val="24"/>
              </w:rPr>
              <w:t> </w:t>
            </w:r>
            <w:r>
              <w:rPr>
                <w:sz w:val="24"/>
              </w:rPr>
              <w:t>through</w:t>
            </w:r>
            <w:r>
              <w:rPr>
                <w:spacing w:val="-14"/>
                <w:sz w:val="24"/>
              </w:rPr>
              <w:t> </w:t>
            </w:r>
            <w:r>
              <w:rPr>
                <w:sz w:val="24"/>
              </w:rPr>
              <w:t>separate</w:t>
            </w:r>
            <w:r>
              <w:rPr>
                <w:spacing w:val="-16"/>
                <w:sz w:val="24"/>
              </w:rPr>
              <w:t> </w:t>
            </w:r>
            <w:r>
              <w:rPr>
                <w:sz w:val="24"/>
              </w:rPr>
              <w:t>joint</w:t>
            </w:r>
            <w:r>
              <w:rPr>
                <w:spacing w:val="-17"/>
                <w:sz w:val="24"/>
              </w:rPr>
              <w:t> </w:t>
            </w:r>
            <w:r>
              <w:rPr>
                <w:sz w:val="24"/>
              </w:rPr>
              <w:t>planning</w:t>
            </w:r>
            <w:r>
              <w:rPr>
                <w:spacing w:val="-16"/>
                <w:sz w:val="24"/>
              </w:rPr>
              <w:t> </w:t>
            </w:r>
            <w:r>
              <w:rPr>
                <w:sz w:val="24"/>
              </w:rPr>
              <w:t>and</w:t>
            </w:r>
            <w:r>
              <w:rPr>
                <w:spacing w:val="-16"/>
                <w:sz w:val="24"/>
              </w:rPr>
              <w:t> </w:t>
            </w:r>
            <w:r>
              <w:rPr>
                <w:sz w:val="24"/>
              </w:rPr>
              <w:t>business</w:t>
            </w:r>
            <w:r>
              <w:rPr>
                <w:spacing w:val="-17"/>
                <w:sz w:val="24"/>
              </w:rPr>
              <w:t> </w:t>
            </w:r>
            <w:r>
              <w:rPr>
                <w:sz w:val="24"/>
              </w:rPr>
              <w:t>case </w:t>
            </w:r>
            <w:r>
              <w:rPr>
                <w:spacing w:val="-2"/>
                <w:sz w:val="24"/>
              </w:rPr>
              <w:t>governance.</w:t>
            </w:r>
          </w:p>
          <w:p>
            <w:pPr>
              <w:pStyle w:val="TableParagraph"/>
              <w:spacing w:before="158"/>
              <w:rPr>
                <w:sz w:val="24"/>
              </w:rPr>
            </w:pPr>
          </w:p>
          <w:p>
            <w:pPr>
              <w:pStyle w:val="TableParagraph"/>
              <w:ind w:left="110"/>
              <w:rPr>
                <w:b/>
                <w:sz w:val="24"/>
              </w:rPr>
            </w:pPr>
            <w:r>
              <w:rPr>
                <w:b/>
                <w:color w:val="1F4E79"/>
                <w:spacing w:val="-2"/>
                <w:sz w:val="24"/>
              </w:rPr>
              <w:t>Work</w:t>
            </w:r>
            <w:r>
              <w:rPr>
                <w:b/>
                <w:color w:val="1F4E79"/>
                <w:spacing w:val="-11"/>
                <w:sz w:val="24"/>
              </w:rPr>
              <w:t> </w:t>
            </w:r>
            <w:r>
              <w:rPr>
                <w:b/>
                <w:color w:val="1F4E79"/>
                <w:spacing w:val="-2"/>
                <w:sz w:val="24"/>
              </w:rPr>
              <w:t>undertaken</w:t>
            </w:r>
            <w:r>
              <w:rPr>
                <w:b/>
                <w:color w:val="1F4E79"/>
                <w:spacing w:val="-13"/>
                <w:sz w:val="24"/>
              </w:rPr>
              <w:t> </w:t>
            </w:r>
            <w:r>
              <w:rPr>
                <w:b/>
                <w:color w:val="1F4E79"/>
                <w:spacing w:val="-2"/>
                <w:sz w:val="24"/>
              </w:rPr>
              <w:t>to</w:t>
            </w:r>
            <w:r>
              <w:rPr>
                <w:b/>
                <w:color w:val="1F4E79"/>
                <w:spacing w:val="-13"/>
                <w:sz w:val="24"/>
              </w:rPr>
              <w:t> </w:t>
            </w:r>
            <w:r>
              <w:rPr>
                <w:b/>
                <w:color w:val="1F4E79"/>
                <w:spacing w:val="-4"/>
                <w:sz w:val="24"/>
              </w:rPr>
              <w:t>date</w:t>
            </w:r>
          </w:p>
          <w:p>
            <w:pPr>
              <w:pStyle w:val="TableParagraph"/>
              <w:numPr>
                <w:ilvl w:val="0"/>
                <w:numId w:val="19"/>
              </w:numPr>
              <w:tabs>
                <w:tab w:pos="400" w:val="left" w:leader="none"/>
              </w:tabs>
              <w:spacing w:line="271" w:lineRule="auto" w:before="43" w:after="0"/>
              <w:ind w:left="400" w:right="691" w:hanging="175"/>
              <w:jc w:val="left"/>
              <w:rPr>
                <w:sz w:val="24"/>
              </w:rPr>
            </w:pPr>
            <w:r>
              <w:rPr>
                <w:sz w:val="24"/>
              </w:rPr>
              <w:t>October</w:t>
            </w:r>
            <w:r>
              <w:rPr>
                <w:spacing w:val="-4"/>
                <w:sz w:val="24"/>
              </w:rPr>
              <w:t> </w:t>
            </w:r>
            <w:r>
              <w:rPr>
                <w:sz w:val="24"/>
              </w:rPr>
              <w:t>2025:</w:t>
            </w:r>
            <w:r>
              <w:rPr>
                <w:spacing w:val="-6"/>
                <w:sz w:val="24"/>
              </w:rPr>
              <w:t> </w:t>
            </w:r>
            <w:r>
              <w:rPr>
                <w:sz w:val="24"/>
              </w:rPr>
              <w:t>Welsh</w:t>
            </w:r>
            <w:r>
              <w:rPr>
                <w:spacing w:val="-3"/>
                <w:sz w:val="24"/>
              </w:rPr>
              <w:t> </w:t>
            </w:r>
            <w:r>
              <w:rPr>
                <w:sz w:val="24"/>
              </w:rPr>
              <w:t>Government</w:t>
            </w:r>
            <w:r>
              <w:rPr>
                <w:spacing w:val="-6"/>
                <w:sz w:val="24"/>
              </w:rPr>
              <w:t> </w:t>
            </w:r>
            <w:r>
              <w:rPr>
                <w:sz w:val="24"/>
              </w:rPr>
              <w:t>scoping</w:t>
            </w:r>
            <w:r>
              <w:rPr>
                <w:spacing w:val="-3"/>
                <w:sz w:val="24"/>
              </w:rPr>
              <w:t> </w:t>
            </w:r>
            <w:r>
              <w:rPr>
                <w:sz w:val="24"/>
              </w:rPr>
              <w:t>discussions</w:t>
            </w:r>
            <w:r>
              <w:rPr>
                <w:spacing w:val="-4"/>
                <w:sz w:val="24"/>
              </w:rPr>
              <w:t> </w:t>
            </w:r>
            <w:r>
              <w:rPr>
                <w:sz w:val="24"/>
              </w:rPr>
              <w:t>agreed</w:t>
            </w:r>
            <w:r>
              <w:rPr>
                <w:spacing w:val="-3"/>
                <w:sz w:val="24"/>
              </w:rPr>
              <w:t> </w:t>
            </w:r>
            <w:r>
              <w:rPr>
                <w:sz w:val="24"/>
              </w:rPr>
              <w:t>progression</w:t>
            </w:r>
            <w:r>
              <w:rPr>
                <w:spacing w:val="-3"/>
                <w:sz w:val="24"/>
              </w:rPr>
              <w:t> </w:t>
            </w:r>
            <w:r>
              <w:rPr>
                <w:sz w:val="24"/>
              </w:rPr>
              <w:t>of</w:t>
            </w:r>
            <w:r>
              <w:rPr>
                <w:spacing w:val="-6"/>
                <w:sz w:val="24"/>
              </w:rPr>
              <w:t> </w:t>
            </w:r>
            <w:r>
              <w:rPr>
                <w:sz w:val="24"/>
              </w:rPr>
              <w:t>BJC1, BJC2 and BJC3.</w:t>
            </w:r>
          </w:p>
          <w:p>
            <w:pPr>
              <w:pStyle w:val="TableParagraph"/>
              <w:numPr>
                <w:ilvl w:val="0"/>
                <w:numId w:val="19"/>
              </w:numPr>
              <w:tabs>
                <w:tab w:pos="400" w:val="left" w:leader="none"/>
              </w:tabs>
              <w:spacing w:line="271" w:lineRule="auto" w:before="7" w:after="0"/>
              <w:ind w:left="400" w:right="338" w:hanging="175"/>
              <w:jc w:val="left"/>
              <w:rPr>
                <w:sz w:val="24"/>
              </w:rPr>
            </w:pPr>
            <w:r>
              <w:rPr>
                <w:sz w:val="24"/>
              </w:rPr>
              <w:t>December 2025 to May 2026: the Radiotherapy Modernisation Group, clinical leads, Capital</w:t>
            </w:r>
            <w:r>
              <w:rPr>
                <w:spacing w:val="-3"/>
                <w:sz w:val="24"/>
              </w:rPr>
              <w:t> </w:t>
            </w:r>
            <w:r>
              <w:rPr>
                <w:sz w:val="24"/>
              </w:rPr>
              <w:t>Planning</w:t>
            </w:r>
            <w:r>
              <w:rPr>
                <w:spacing w:val="-3"/>
                <w:sz w:val="24"/>
              </w:rPr>
              <w:t> </w:t>
            </w:r>
            <w:r>
              <w:rPr>
                <w:sz w:val="24"/>
              </w:rPr>
              <w:t>and</w:t>
            </w:r>
            <w:r>
              <w:rPr>
                <w:spacing w:val="-3"/>
                <w:sz w:val="24"/>
              </w:rPr>
              <w:t> </w:t>
            </w:r>
            <w:r>
              <w:rPr>
                <w:sz w:val="24"/>
              </w:rPr>
              <w:t>architects</w:t>
            </w:r>
            <w:r>
              <w:rPr>
                <w:spacing w:val="-4"/>
                <w:sz w:val="24"/>
              </w:rPr>
              <w:t> </w:t>
            </w:r>
            <w:r>
              <w:rPr>
                <w:sz w:val="24"/>
              </w:rPr>
              <w:t>considered</w:t>
            </w:r>
            <w:r>
              <w:rPr>
                <w:spacing w:val="-3"/>
                <w:sz w:val="24"/>
              </w:rPr>
              <w:t> </w:t>
            </w:r>
            <w:r>
              <w:rPr>
                <w:sz w:val="24"/>
              </w:rPr>
              <w:t>single</w:t>
            </w:r>
            <w:r>
              <w:rPr>
                <w:spacing w:val="-3"/>
                <w:sz w:val="24"/>
              </w:rPr>
              <w:t> </w:t>
            </w:r>
            <w:r>
              <w:rPr>
                <w:sz w:val="24"/>
              </w:rPr>
              <w:t>and</w:t>
            </w:r>
            <w:r>
              <w:rPr>
                <w:spacing w:val="-3"/>
                <w:sz w:val="24"/>
              </w:rPr>
              <w:t> </w:t>
            </w:r>
            <w:r>
              <w:rPr>
                <w:sz w:val="24"/>
              </w:rPr>
              <w:t>twin-bunker</w:t>
            </w:r>
            <w:r>
              <w:rPr>
                <w:spacing w:val="-4"/>
                <w:sz w:val="24"/>
              </w:rPr>
              <w:t> </w:t>
            </w:r>
            <w:r>
              <w:rPr>
                <w:sz w:val="24"/>
              </w:rPr>
              <w:t>feasibility,</w:t>
            </w:r>
            <w:r>
              <w:rPr>
                <w:spacing w:val="-6"/>
                <w:sz w:val="24"/>
              </w:rPr>
              <w:t> </w:t>
            </w:r>
            <w:r>
              <w:rPr>
                <w:sz w:val="24"/>
              </w:rPr>
              <w:t>developed the schedule of accommodation and identified a preferred site adjacent to SWWCC.</w:t>
            </w:r>
          </w:p>
          <w:p>
            <w:pPr>
              <w:pStyle w:val="TableParagraph"/>
              <w:numPr>
                <w:ilvl w:val="0"/>
                <w:numId w:val="19"/>
              </w:numPr>
              <w:tabs>
                <w:tab w:pos="400" w:val="left" w:leader="none"/>
              </w:tabs>
              <w:spacing w:line="271" w:lineRule="auto" w:before="14" w:after="0"/>
              <w:ind w:left="400" w:right="684" w:hanging="175"/>
              <w:jc w:val="left"/>
              <w:rPr>
                <w:sz w:val="24"/>
              </w:rPr>
            </w:pPr>
            <w:r>
              <w:rPr>
                <w:sz w:val="24"/>
              </w:rPr>
              <w:t>April</w:t>
            </w:r>
            <w:r>
              <w:rPr>
                <w:spacing w:val="-3"/>
                <w:sz w:val="24"/>
              </w:rPr>
              <w:t> </w:t>
            </w:r>
            <w:r>
              <w:rPr>
                <w:sz w:val="24"/>
              </w:rPr>
              <w:t>to</w:t>
            </w:r>
            <w:r>
              <w:rPr>
                <w:spacing w:val="-3"/>
                <w:sz w:val="24"/>
              </w:rPr>
              <w:t> </w:t>
            </w:r>
            <w:r>
              <w:rPr>
                <w:sz w:val="24"/>
              </w:rPr>
              <w:t>May</w:t>
            </w:r>
            <w:r>
              <w:rPr>
                <w:spacing w:val="-4"/>
                <w:sz w:val="24"/>
              </w:rPr>
              <w:t> </w:t>
            </w:r>
            <w:r>
              <w:rPr>
                <w:sz w:val="24"/>
              </w:rPr>
              <w:t>2026:</w:t>
            </w:r>
            <w:r>
              <w:rPr>
                <w:spacing w:val="-6"/>
                <w:sz w:val="24"/>
              </w:rPr>
              <w:t> </w:t>
            </w:r>
            <w:r>
              <w:rPr>
                <w:sz w:val="24"/>
              </w:rPr>
              <w:t>the</w:t>
            </w:r>
            <w:r>
              <w:rPr>
                <w:spacing w:val="-3"/>
                <w:sz w:val="24"/>
              </w:rPr>
              <w:t> </w:t>
            </w:r>
            <w:r>
              <w:rPr>
                <w:sz w:val="24"/>
              </w:rPr>
              <w:t>Radiotherapy</w:t>
            </w:r>
            <w:r>
              <w:rPr>
                <w:spacing w:val="-4"/>
                <w:sz w:val="24"/>
              </w:rPr>
              <w:t> </w:t>
            </w:r>
            <w:r>
              <w:rPr>
                <w:sz w:val="24"/>
              </w:rPr>
              <w:t>Modernisation</w:t>
            </w:r>
            <w:r>
              <w:rPr>
                <w:spacing w:val="-3"/>
                <w:sz w:val="24"/>
              </w:rPr>
              <w:t> </w:t>
            </w:r>
            <w:r>
              <w:rPr>
                <w:sz w:val="24"/>
              </w:rPr>
              <w:t>Group</w:t>
            </w:r>
            <w:r>
              <w:rPr>
                <w:spacing w:val="-3"/>
                <w:sz w:val="24"/>
              </w:rPr>
              <w:t> </w:t>
            </w:r>
            <w:r>
              <w:rPr>
                <w:sz w:val="24"/>
              </w:rPr>
              <w:t>confirmed</w:t>
            </w:r>
            <w:r>
              <w:rPr>
                <w:spacing w:val="-3"/>
                <w:sz w:val="24"/>
              </w:rPr>
              <w:t> </w:t>
            </w:r>
            <w:r>
              <w:rPr>
                <w:sz w:val="24"/>
              </w:rPr>
              <w:t>the</w:t>
            </w:r>
            <w:r>
              <w:rPr>
                <w:spacing w:val="-3"/>
                <w:sz w:val="24"/>
              </w:rPr>
              <w:t> </w:t>
            </w:r>
            <w:r>
              <w:rPr>
                <w:sz w:val="24"/>
              </w:rPr>
              <w:t>twin-bunker approach as the preferred strategic direction.</w:t>
            </w:r>
          </w:p>
          <w:p>
            <w:pPr>
              <w:pStyle w:val="TableParagraph"/>
              <w:numPr>
                <w:ilvl w:val="0"/>
                <w:numId w:val="19"/>
              </w:numPr>
              <w:tabs>
                <w:tab w:pos="400" w:val="left" w:leader="none"/>
              </w:tabs>
              <w:spacing w:line="271" w:lineRule="auto" w:before="6" w:after="0"/>
              <w:ind w:left="400" w:right="188" w:hanging="175"/>
              <w:jc w:val="left"/>
              <w:rPr>
                <w:sz w:val="24"/>
              </w:rPr>
            </w:pPr>
            <w:r>
              <w:rPr>
                <w:sz w:val="24"/>
              </w:rPr>
              <w:t>June</w:t>
            </w:r>
            <w:r>
              <w:rPr>
                <w:spacing w:val="-3"/>
                <w:sz w:val="24"/>
              </w:rPr>
              <w:t> </w:t>
            </w:r>
            <w:r>
              <w:rPr>
                <w:sz w:val="24"/>
              </w:rPr>
              <w:t>to</w:t>
            </w:r>
            <w:r>
              <w:rPr>
                <w:spacing w:val="-3"/>
                <w:sz w:val="24"/>
              </w:rPr>
              <w:t> </w:t>
            </w:r>
            <w:r>
              <w:rPr>
                <w:sz w:val="24"/>
              </w:rPr>
              <w:t>July</w:t>
            </w:r>
            <w:r>
              <w:rPr>
                <w:spacing w:val="-4"/>
                <w:sz w:val="24"/>
              </w:rPr>
              <w:t> </w:t>
            </w:r>
            <w:r>
              <w:rPr>
                <w:sz w:val="24"/>
              </w:rPr>
              <w:t>2026:</w:t>
            </w:r>
            <w:r>
              <w:rPr>
                <w:spacing w:val="-5"/>
                <w:sz w:val="24"/>
              </w:rPr>
              <w:t> </w:t>
            </w:r>
            <w:r>
              <w:rPr>
                <w:sz w:val="24"/>
              </w:rPr>
              <w:t>independent</w:t>
            </w:r>
            <w:r>
              <w:rPr>
                <w:spacing w:val="-5"/>
                <w:sz w:val="24"/>
              </w:rPr>
              <w:t> </w:t>
            </w:r>
            <w:r>
              <w:rPr>
                <w:sz w:val="24"/>
              </w:rPr>
              <w:t>cost</w:t>
            </w:r>
            <w:r>
              <w:rPr>
                <w:spacing w:val="-5"/>
                <w:sz w:val="24"/>
              </w:rPr>
              <w:t> </w:t>
            </w:r>
            <w:r>
              <w:rPr>
                <w:sz w:val="24"/>
              </w:rPr>
              <w:t>advice</w:t>
            </w:r>
            <w:r>
              <w:rPr>
                <w:spacing w:val="-3"/>
                <w:sz w:val="24"/>
              </w:rPr>
              <w:t> </w:t>
            </w:r>
            <w:r>
              <w:rPr>
                <w:sz w:val="24"/>
              </w:rPr>
              <w:t>was</w:t>
            </w:r>
            <w:r>
              <w:rPr>
                <w:spacing w:val="-8"/>
                <w:sz w:val="24"/>
              </w:rPr>
              <w:t> </w:t>
            </w:r>
            <w:r>
              <w:rPr>
                <w:sz w:val="24"/>
              </w:rPr>
              <w:t>developed</w:t>
            </w:r>
            <w:r>
              <w:rPr>
                <w:spacing w:val="-3"/>
                <w:sz w:val="24"/>
              </w:rPr>
              <w:t> </w:t>
            </w:r>
            <w:r>
              <w:rPr>
                <w:sz w:val="24"/>
              </w:rPr>
              <w:t>and</w:t>
            </w:r>
            <w:r>
              <w:rPr>
                <w:spacing w:val="-3"/>
                <w:sz w:val="24"/>
              </w:rPr>
              <w:t> </w:t>
            </w:r>
            <w:r>
              <w:rPr>
                <w:sz w:val="24"/>
              </w:rPr>
              <w:t>the</w:t>
            </w:r>
            <w:r>
              <w:rPr>
                <w:spacing w:val="-3"/>
                <w:sz w:val="24"/>
              </w:rPr>
              <w:t> </w:t>
            </w:r>
            <w:r>
              <w:rPr>
                <w:sz w:val="24"/>
              </w:rPr>
              <w:t>potential</w:t>
            </w:r>
            <w:r>
              <w:rPr>
                <w:spacing w:val="-3"/>
                <w:sz w:val="24"/>
              </w:rPr>
              <w:t> </w:t>
            </w:r>
            <w:r>
              <w:rPr>
                <w:sz w:val="24"/>
              </w:rPr>
              <w:t>BJC2</w:t>
            </w:r>
            <w:r>
              <w:rPr>
                <w:spacing w:val="-3"/>
                <w:sz w:val="24"/>
              </w:rPr>
              <w:t> </w:t>
            </w:r>
            <w:r>
              <w:rPr>
                <w:sz w:val="24"/>
              </w:rPr>
              <w:t>scope change was flagged in executive and Board papers linked to the 5th LINAC.</w:t>
            </w:r>
          </w:p>
          <w:p>
            <w:pPr>
              <w:pStyle w:val="TableParagraph"/>
              <w:numPr>
                <w:ilvl w:val="0"/>
                <w:numId w:val="19"/>
              </w:numPr>
              <w:tabs>
                <w:tab w:pos="399" w:val="left" w:leader="none"/>
              </w:tabs>
              <w:spacing w:line="240" w:lineRule="auto" w:before="6" w:after="0"/>
              <w:ind w:left="399" w:right="0" w:hanging="174"/>
              <w:jc w:val="left"/>
              <w:rPr>
                <w:sz w:val="24"/>
              </w:rPr>
            </w:pPr>
            <w:r>
              <w:rPr>
                <w:sz w:val="24"/>
              </w:rPr>
              <w:t>July</w:t>
            </w:r>
            <w:r>
              <w:rPr>
                <w:spacing w:val="-5"/>
                <w:sz w:val="24"/>
              </w:rPr>
              <w:t> </w:t>
            </w:r>
            <w:r>
              <w:rPr>
                <w:sz w:val="24"/>
              </w:rPr>
              <w:t>2026:</w:t>
            </w:r>
            <w:r>
              <w:rPr>
                <w:spacing w:val="-5"/>
                <w:sz w:val="24"/>
              </w:rPr>
              <w:t> </w:t>
            </w:r>
            <w:r>
              <w:rPr>
                <w:sz w:val="24"/>
              </w:rPr>
              <w:t>BJC1</w:t>
            </w:r>
            <w:r>
              <w:rPr>
                <w:spacing w:val="-1"/>
                <w:sz w:val="24"/>
              </w:rPr>
              <w:t> </w:t>
            </w:r>
            <w:r>
              <w:rPr>
                <w:sz w:val="24"/>
              </w:rPr>
              <w:t>for</w:t>
            </w:r>
            <w:r>
              <w:rPr>
                <w:spacing w:val="-3"/>
                <w:sz w:val="24"/>
              </w:rPr>
              <w:t> </w:t>
            </w:r>
            <w:r>
              <w:rPr>
                <w:sz w:val="24"/>
              </w:rPr>
              <w:t>the</w:t>
            </w:r>
            <w:r>
              <w:rPr>
                <w:spacing w:val="-1"/>
                <w:sz w:val="24"/>
              </w:rPr>
              <w:t> </w:t>
            </w:r>
            <w:r>
              <w:rPr>
                <w:sz w:val="24"/>
              </w:rPr>
              <w:t>5th</w:t>
            </w:r>
            <w:r>
              <w:rPr>
                <w:spacing w:val="-2"/>
                <w:sz w:val="24"/>
              </w:rPr>
              <w:t> </w:t>
            </w:r>
            <w:r>
              <w:rPr>
                <w:sz w:val="24"/>
              </w:rPr>
              <w:t>LINAC</w:t>
            </w:r>
            <w:r>
              <w:rPr>
                <w:spacing w:val="-2"/>
                <w:sz w:val="24"/>
              </w:rPr>
              <w:t> </w:t>
            </w:r>
            <w:r>
              <w:rPr>
                <w:sz w:val="24"/>
              </w:rPr>
              <w:t>was</w:t>
            </w:r>
            <w:r>
              <w:rPr>
                <w:spacing w:val="-2"/>
                <w:sz w:val="24"/>
              </w:rPr>
              <w:t> </w:t>
            </w:r>
            <w:r>
              <w:rPr>
                <w:sz w:val="24"/>
              </w:rPr>
              <w:t>approved</w:t>
            </w:r>
            <w:r>
              <w:rPr>
                <w:spacing w:val="-2"/>
                <w:sz w:val="24"/>
              </w:rPr>
              <w:t> </w:t>
            </w:r>
            <w:r>
              <w:rPr>
                <w:sz w:val="24"/>
              </w:rPr>
              <w:t>by</w:t>
            </w:r>
            <w:r>
              <w:rPr>
                <w:spacing w:val="-2"/>
                <w:sz w:val="24"/>
              </w:rPr>
              <w:t> </w:t>
            </w:r>
            <w:r>
              <w:rPr>
                <w:sz w:val="24"/>
              </w:rPr>
              <w:t>both</w:t>
            </w:r>
            <w:r>
              <w:rPr>
                <w:spacing w:val="-2"/>
                <w:sz w:val="24"/>
              </w:rPr>
              <w:t> </w:t>
            </w:r>
            <w:r>
              <w:rPr>
                <w:sz w:val="24"/>
              </w:rPr>
              <w:t>Health</w:t>
            </w:r>
            <w:r>
              <w:rPr>
                <w:spacing w:val="-1"/>
                <w:sz w:val="24"/>
              </w:rPr>
              <w:t> </w:t>
            </w:r>
            <w:r>
              <w:rPr>
                <w:spacing w:val="-2"/>
                <w:sz w:val="24"/>
              </w:rPr>
              <w:t>Boards.</w:t>
            </w:r>
          </w:p>
        </w:tc>
      </w:tr>
    </w:tbl>
    <w:p>
      <w:pPr>
        <w:pStyle w:val="BodyText"/>
        <w:rPr>
          <w:sz w:val="16"/>
        </w:rPr>
      </w:pPr>
    </w:p>
    <w:p>
      <w:pPr>
        <w:pStyle w:val="BodyText"/>
        <w:spacing w:before="103"/>
        <w:rPr>
          <w:sz w:val="16"/>
        </w:rPr>
      </w:pPr>
    </w:p>
    <w:p>
      <w:pPr>
        <w:spacing w:before="0"/>
        <w:ind w:left="657" w:right="228" w:firstLine="0"/>
        <w:jc w:val="center"/>
        <w:rPr>
          <w:sz w:val="16"/>
        </w:rPr>
      </w:pPr>
      <w:r>
        <w:rPr>
          <w:spacing w:val="-2"/>
          <w:sz w:val="16"/>
        </w:rPr>
        <w:t>Page</w:t>
      </w:r>
      <w:r>
        <w:rPr>
          <w:spacing w:val="-7"/>
          <w:sz w:val="16"/>
        </w:rPr>
        <w:t> </w:t>
      </w:r>
      <w:r>
        <w:rPr>
          <w:spacing w:val="-2"/>
          <w:sz w:val="16"/>
        </w:rPr>
        <w:t>2</w:t>
      </w:r>
      <w:r>
        <w:rPr>
          <w:spacing w:val="-9"/>
          <w:sz w:val="16"/>
        </w:rPr>
        <w:t> </w:t>
      </w:r>
      <w:r>
        <w:rPr>
          <w:spacing w:val="-2"/>
          <w:sz w:val="16"/>
        </w:rPr>
        <w:t>of</w:t>
      </w:r>
      <w:r>
        <w:rPr>
          <w:spacing w:val="-9"/>
          <w:sz w:val="16"/>
        </w:rPr>
        <w:t> </w:t>
      </w:r>
      <w:r>
        <w:rPr>
          <w:spacing w:val="-10"/>
          <w:sz w:val="16"/>
        </w:rPr>
        <w:t>6</w:t>
      </w:r>
    </w:p>
    <w:p>
      <w:pPr>
        <w:spacing w:after="0"/>
        <w:jc w:val="center"/>
        <w:rPr>
          <w:sz w:val="16"/>
        </w:rPr>
        <w:sectPr>
          <w:pgSz w:w="11910" w:h="16840"/>
          <w:pgMar w:header="0" w:footer="149" w:top="220" w:bottom="340" w:left="283" w:right="708"/>
        </w:sectPr>
      </w:pPr>
    </w:p>
    <w:p>
      <w:pPr>
        <w:pStyle w:val="BodyText"/>
      </w:pPr>
      <w:r>
        <w:rPr/>
        <mc:AlternateContent>
          <mc:Choice Requires="wps">
            <w:drawing>
              <wp:anchor distT="0" distB="0" distL="0" distR="0" allowOverlap="1" layoutInCell="1" locked="0" behindDoc="1" simplePos="0" relativeHeight="477133312">
                <wp:simplePos x="0" y="0"/>
                <wp:positionH relativeFrom="page">
                  <wp:posOffset>561975</wp:posOffset>
                </wp:positionH>
                <wp:positionV relativeFrom="page">
                  <wp:posOffset>134620</wp:posOffset>
                </wp:positionV>
                <wp:extent cx="6419850" cy="9450705"/>
                <wp:effectExtent l="0" t="0" r="0" b="0"/>
                <wp:wrapNone/>
                <wp:docPr id="316" name="Group 316"/>
                <wp:cNvGraphicFramePr>
                  <a:graphicFrameLocks/>
                </wp:cNvGraphicFramePr>
                <a:graphic>
                  <a:graphicData uri="http://schemas.microsoft.com/office/word/2010/wordprocessingGroup">
                    <wpg:wgp>
                      <wpg:cNvPr id="316" name="Group 316"/>
                      <wpg:cNvGrpSpPr/>
                      <wpg:grpSpPr>
                        <a:xfrm>
                          <a:off x="0" y="0"/>
                          <a:ext cx="6419850" cy="9450705"/>
                          <a:chExt cx="6419850" cy="9450705"/>
                        </a:xfrm>
                      </wpg:grpSpPr>
                      <pic:pic>
                        <pic:nvPicPr>
                          <pic:cNvPr id="317" name="Image 317"/>
                          <pic:cNvPicPr/>
                        </pic:nvPicPr>
                        <pic:blipFill>
                          <a:blip r:embed="rId8" cstate="print"/>
                          <a:stretch>
                            <a:fillRect/>
                          </a:stretch>
                        </pic:blipFill>
                        <pic:spPr>
                          <a:xfrm>
                            <a:off x="4162425" y="28575"/>
                            <a:ext cx="2240915" cy="514350"/>
                          </a:xfrm>
                          <a:prstGeom prst="rect">
                            <a:avLst/>
                          </a:prstGeom>
                        </pic:spPr>
                      </pic:pic>
                      <pic:pic>
                        <pic:nvPicPr>
                          <pic:cNvPr id="318" name="Image 318"/>
                          <pic:cNvPicPr/>
                        </pic:nvPicPr>
                        <pic:blipFill>
                          <a:blip r:embed="rId7" cstate="print"/>
                          <a:stretch>
                            <a:fillRect/>
                          </a:stretch>
                        </pic:blipFill>
                        <pic:spPr>
                          <a:xfrm>
                            <a:off x="0" y="0"/>
                            <a:ext cx="2466975" cy="542925"/>
                          </a:xfrm>
                          <a:prstGeom prst="rect">
                            <a:avLst/>
                          </a:prstGeom>
                        </pic:spPr>
                      </pic:pic>
                      <wps:wsp>
                        <wps:cNvPr id="319" name="Graphic 319"/>
                        <wps:cNvSpPr/>
                        <wps:spPr>
                          <a:xfrm>
                            <a:off x="19367" y="551560"/>
                            <a:ext cx="6400800" cy="8898890"/>
                          </a:xfrm>
                          <a:custGeom>
                            <a:avLst/>
                            <a:gdLst/>
                            <a:ahLst/>
                            <a:cxnLst/>
                            <a:rect l="l" t="t" r="r" b="b"/>
                            <a:pathLst>
                              <a:path w="6400800" h="8898890">
                                <a:moveTo>
                                  <a:pt x="6393815" y="0"/>
                                </a:moveTo>
                                <a:lnTo>
                                  <a:pt x="6350" y="0"/>
                                </a:lnTo>
                                <a:lnTo>
                                  <a:pt x="0" y="0"/>
                                </a:lnTo>
                                <a:lnTo>
                                  <a:pt x="0" y="6350"/>
                                </a:lnTo>
                                <a:lnTo>
                                  <a:pt x="0" y="8898826"/>
                                </a:lnTo>
                                <a:lnTo>
                                  <a:pt x="6350" y="8898826"/>
                                </a:lnTo>
                                <a:lnTo>
                                  <a:pt x="6393815" y="8898826"/>
                                </a:lnTo>
                                <a:lnTo>
                                  <a:pt x="6393815" y="8892476"/>
                                </a:lnTo>
                                <a:lnTo>
                                  <a:pt x="6350" y="8892476"/>
                                </a:lnTo>
                                <a:lnTo>
                                  <a:pt x="6350" y="450850"/>
                                </a:lnTo>
                                <a:lnTo>
                                  <a:pt x="6393815" y="450850"/>
                                </a:lnTo>
                                <a:lnTo>
                                  <a:pt x="6393815" y="444500"/>
                                </a:lnTo>
                                <a:lnTo>
                                  <a:pt x="6350" y="444500"/>
                                </a:lnTo>
                                <a:lnTo>
                                  <a:pt x="6350" y="6350"/>
                                </a:lnTo>
                                <a:lnTo>
                                  <a:pt x="6393815" y="6350"/>
                                </a:lnTo>
                                <a:lnTo>
                                  <a:pt x="6393815" y="0"/>
                                </a:lnTo>
                                <a:close/>
                              </a:path>
                              <a:path w="6400800" h="8898890">
                                <a:moveTo>
                                  <a:pt x="6400228" y="0"/>
                                </a:moveTo>
                                <a:lnTo>
                                  <a:pt x="6393878" y="0"/>
                                </a:lnTo>
                                <a:lnTo>
                                  <a:pt x="6393878" y="6350"/>
                                </a:lnTo>
                                <a:lnTo>
                                  <a:pt x="6393878" y="444500"/>
                                </a:lnTo>
                                <a:lnTo>
                                  <a:pt x="6393878" y="450786"/>
                                </a:lnTo>
                                <a:lnTo>
                                  <a:pt x="6393878" y="8892476"/>
                                </a:lnTo>
                                <a:lnTo>
                                  <a:pt x="6393878" y="8898826"/>
                                </a:lnTo>
                                <a:lnTo>
                                  <a:pt x="6400228" y="8898826"/>
                                </a:lnTo>
                                <a:lnTo>
                                  <a:pt x="6400228" y="6350"/>
                                </a:lnTo>
                                <a:lnTo>
                                  <a:pt x="64002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4.25pt;margin-top:10.6pt;width:505.5pt;height:744.15pt;mso-position-horizontal-relative:page;mso-position-vertical-relative:page;z-index:-26183168" id="docshapegroup171" coordorigin="885,212" coordsize="10110,14883">
                <v:shape style="position:absolute;left:7440;top:257;width:3529;height:810" type="#_x0000_t75" id="docshape172" stroked="false">
                  <v:imagedata r:id="rId8" o:title=""/>
                </v:shape>
                <v:shape style="position:absolute;left:885;top:212;width:3885;height:855" type="#_x0000_t75" id="docshape173" stroked="false">
                  <v:imagedata r:id="rId7" o:title=""/>
                </v:shape>
                <v:shape style="position:absolute;left:915;top:1080;width:10080;height:14014" id="docshape174" coordorigin="916,1081" coordsize="10080,14014" path="m10985,1081l926,1081,916,1081,916,1091,916,1781,916,1790,916,1791,916,15084,916,15094,926,15094,10985,15094,10985,15084,926,15084,926,1791,10985,1791,10985,1781,926,1781,926,1091,10985,1091,10985,1081xm10995,1081l10985,1081,10985,1091,10985,1781,10985,1790,10985,1791,10985,15084,10985,15094,10995,15094,10995,15084,10995,1791,10995,1790,10995,1781,10995,1091,10995,1081xe" filled="true" fillcolor="#000000" stroked="false">
                  <v:path arrowok="t"/>
                  <v:fill type="solid"/>
                </v:shape>
                <w10:wrap type="none"/>
              </v:group>
            </w:pict>
          </mc:Fallback>
        </mc:AlternateContent>
      </w:r>
    </w:p>
    <w:p>
      <w:pPr>
        <w:pStyle w:val="BodyText"/>
      </w:pPr>
    </w:p>
    <w:p>
      <w:pPr>
        <w:pStyle w:val="BodyText"/>
        <w:spacing w:before="46"/>
      </w:pPr>
    </w:p>
    <w:p>
      <w:pPr>
        <w:pStyle w:val="ListParagraph"/>
        <w:numPr>
          <w:ilvl w:val="0"/>
          <w:numId w:val="20"/>
        </w:numPr>
        <w:tabs>
          <w:tab w:pos="1037" w:val="left" w:leader="none"/>
        </w:tabs>
        <w:spacing w:line="271" w:lineRule="auto" w:before="0" w:after="0"/>
        <w:ind w:left="1037" w:right="1630" w:hanging="175"/>
        <w:jc w:val="left"/>
        <w:rPr>
          <w:sz w:val="24"/>
        </w:rPr>
      </w:pPr>
      <w:r>
        <w:rPr>
          <w:sz w:val="24"/>
        </w:rPr>
        <w:t>28</w:t>
      </w:r>
      <w:r>
        <w:rPr>
          <w:sz w:val="24"/>
          <w:vertAlign w:val="superscript"/>
        </w:rPr>
        <w:t>th</w:t>
      </w:r>
      <w:r>
        <w:rPr>
          <w:spacing w:val="-3"/>
          <w:sz w:val="24"/>
          <w:vertAlign w:val="baseline"/>
        </w:rPr>
        <w:t> </w:t>
      </w:r>
      <w:r>
        <w:rPr>
          <w:sz w:val="24"/>
          <w:vertAlign w:val="baseline"/>
        </w:rPr>
        <w:t>September</w:t>
      </w:r>
      <w:r>
        <w:rPr>
          <w:spacing w:val="-4"/>
          <w:sz w:val="24"/>
          <w:vertAlign w:val="baseline"/>
        </w:rPr>
        <w:t> </w:t>
      </w:r>
      <w:r>
        <w:rPr>
          <w:sz w:val="24"/>
          <w:vertAlign w:val="baseline"/>
        </w:rPr>
        <w:t>2026:</w:t>
      </w:r>
      <w:r>
        <w:rPr>
          <w:spacing w:val="-4"/>
          <w:sz w:val="24"/>
          <w:vertAlign w:val="baseline"/>
        </w:rPr>
        <w:t> </w:t>
      </w:r>
      <w:r>
        <w:rPr>
          <w:sz w:val="24"/>
          <w:vertAlign w:val="baseline"/>
        </w:rPr>
        <w:t>Regional</w:t>
      </w:r>
      <w:r>
        <w:rPr>
          <w:spacing w:val="-3"/>
          <w:sz w:val="24"/>
          <w:vertAlign w:val="baseline"/>
        </w:rPr>
        <w:t> </w:t>
      </w:r>
      <w:r>
        <w:rPr>
          <w:sz w:val="24"/>
          <w:vertAlign w:val="baseline"/>
        </w:rPr>
        <w:t>Drive</w:t>
      </w:r>
      <w:r>
        <w:rPr>
          <w:spacing w:val="-3"/>
          <w:sz w:val="24"/>
          <w:vertAlign w:val="baseline"/>
        </w:rPr>
        <w:t> </w:t>
      </w:r>
      <w:r>
        <w:rPr>
          <w:sz w:val="24"/>
          <w:vertAlign w:val="baseline"/>
        </w:rPr>
        <w:t>and</w:t>
      </w:r>
      <w:r>
        <w:rPr>
          <w:spacing w:val="-3"/>
          <w:sz w:val="24"/>
          <w:vertAlign w:val="baseline"/>
        </w:rPr>
        <w:t> </w:t>
      </w:r>
      <w:r>
        <w:rPr>
          <w:sz w:val="24"/>
          <w:vertAlign w:val="baseline"/>
        </w:rPr>
        <w:t>Delivery</w:t>
      </w:r>
      <w:r>
        <w:rPr>
          <w:spacing w:val="-4"/>
          <w:sz w:val="24"/>
          <w:vertAlign w:val="baseline"/>
        </w:rPr>
        <w:t> </w:t>
      </w:r>
      <w:r>
        <w:rPr>
          <w:sz w:val="24"/>
          <w:vertAlign w:val="baseline"/>
        </w:rPr>
        <w:t>Group</w:t>
      </w:r>
      <w:r>
        <w:rPr>
          <w:spacing w:val="-3"/>
          <w:sz w:val="24"/>
          <w:vertAlign w:val="baseline"/>
        </w:rPr>
        <w:t> </w:t>
      </w:r>
      <w:r>
        <w:rPr>
          <w:sz w:val="24"/>
          <w:vertAlign w:val="baseline"/>
        </w:rPr>
        <w:t>(RDDG)</w:t>
      </w:r>
      <w:r>
        <w:rPr>
          <w:spacing w:val="-4"/>
          <w:sz w:val="24"/>
          <w:vertAlign w:val="baseline"/>
        </w:rPr>
        <w:t> </w:t>
      </w:r>
      <w:r>
        <w:rPr>
          <w:sz w:val="24"/>
          <w:vertAlign w:val="baseline"/>
        </w:rPr>
        <w:t>review</w:t>
      </w:r>
      <w:r>
        <w:rPr>
          <w:spacing w:val="-3"/>
          <w:sz w:val="24"/>
          <w:vertAlign w:val="baseline"/>
        </w:rPr>
        <w:t> </w:t>
      </w:r>
      <w:r>
        <w:rPr>
          <w:sz w:val="24"/>
          <w:vertAlign w:val="baseline"/>
        </w:rPr>
        <w:t>and recommendation to proceed with paper to RJC 13</w:t>
      </w:r>
      <w:r>
        <w:rPr>
          <w:sz w:val="24"/>
          <w:vertAlign w:val="superscript"/>
        </w:rPr>
        <w:t>th</w:t>
      </w:r>
      <w:r>
        <w:rPr>
          <w:sz w:val="24"/>
          <w:vertAlign w:val="baseline"/>
        </w:rPr>
        <w:t> October 2026.</w:t>
      </w:r>
    </w:p>
    <w:p>
      <w:pPr>
        <w:pStyle w:val="BodyText"/>
        <w:spacing w:before="46"/>
      </w:pPr>
    </w:p>
    <w:p>
      <w:pPr>
        <w:spacing w:line="314" w:lineRule="auto" w:before="0"/>
        <w:ind w:left="747" w:right="7683" w:firstLine="0"/>
        <w:jc w:val="left"/>
        <w:rPr>
          <w:b/>
          <w:sz w:val="24"/>
        </w:rPr>
      </w:pPr>
      <w:r>
        <w:rPr>
          <w:b/>
          <w:color w:val="1F4E79"/>
          <w:spacing w:val="-2"/>
          <w:sz w:val="24"/>
          <w:u w:val="single" w:color="1F4E79"/>
        </w:rPr>
        <w:t>Asesiad</w:t>
      </w:r>
      <w:r>
        <w:rPr>
          <w:b/>
          <w:color w:val="1F4E79"/>
          <w:spacing w:val="-15"/>
          <w:sz w:val="24"/>
          <w:u w:val="single" w:color="1F4E79"/>
        </w:rPr>
        <w:t> </w:t>
      </w:r>
      <w:r>
        <w:rPr>
          <w:b/>
          <w:color w:val="1F4E79"/>
          <w:spacing w:val="-2"/>
          <w:sz w:val="24"/>
          <w:u w:val="single" w:color="1F4E79"/>
        </w:rPr>
        <w:t>/</w:t>
      </w:r>
      <w:r>
        <w:rPr>
          <w:b/>
          <w:color w:val="1F4E79"/>
          <w:spacing w:val="-15"/>
          <w:sz w:val="24"/>
          <w:u w:val="single" w:color="1F4E79"/>
        </w:rPr>
        <w:t> </w:t>
      </w:r>
      <w:r>
        <w:rPr>
          <w:b/>
          <w:color w:val="1F4E79"/>
          <w:spacing w:val="-2"/>
          <w:sz w:val="24"/>
          <w:u w:val="single" w:color="1F4E79"/>
        </w:rPr>
        <w:t>Assessment</w:t>
      </w:r>
      <w:r>
        <w:rPr>
          <w:b/>
          <w:color w:val="1F4E79"/>
          <w:spacing w:val="-2"/>
          <w:sz w:val="24"/>
          <w:u w:val="none"/>
        </w:rPr>
        <w:t> </w:t>
      </w:r>
      <w:r>
        <w:rPr>
          <w:b/>
          <w:color w:val="1F4E79"/>
          <w:sz w:val="24"/>
          <w:u w:val="none"/>
        </w:rPr>
        <w:t>Strategic sequencing</w:t>
      </w:r>
    </w:p>
    <w:p>
      <w:pPr>
        <w:pStyle w:val="ListParagraph"/>
        <w:numPr>
          <w:ilvl w:val="0"/>
          <w:numId w:val="20"/>
        </w:numPr>
        <w:tabs>
          <w:tab w:pos="1036" w:val="left" w:leader="none"/>
        </w:tabs>
        <w:spacing w:line="250" w:lineRule="exact" w:before="0" w:after="0"/>
        <w:ind w:left="1036" w:right="0" w:hanging="174"/>
        <w:jc w:val="left"/>
        <w:rPr>
          <w:sz w:val="24"/>
        </w:rPr>
      </w:pPr>
      <w:r>
        <w:rPr>
          <w:b/>
          <w:sz w:val="24"/>
        </w:rPr>
        <w:t>Priority</w:t>
      </w:r>
      <w:r>
        <w:rPr>
          <w:b/>
          <w:spacing w:val="-8"/>
          <w:sz w:val="24"/>
        </w:rPr>
        <w:t> </w:t>
      </w:r>
      <w:r>
        <w:rPr>
          <w:b/>
          <w:sz w:val="24"/>
        </w:rPr>
        <w:t>1:</w:t>
      </w:r>
      <w:r>
        <w:rPr>
          <w:b/>
          <w:spacing w:val="-3"/>
          <w:sz w:val="24"/>
        </w:rPr>
        <w:t> </w:t>
      </w:r>
      <w:r>
        <w:rPr>
          <w:sz w:val="24"/>
        </w:rPr>
        <w:t>protect</w:t>
      </w:r>
      <w:r>
        <w:rPr>
          <w:spacing w:val="-1"/>
          <w:sz w:val="24"/>
        </w:rPr>
        <w:t> </w:t>
      </w:r>
      <w:r>
        <w:rPr>
          <w:sz w:val="24"/>
        </w:rPr>
        <w:t>treatment</w:t>
      </w:r>
      <w:r>
        <w:rPr>
          <w:spacing w:val="-5"/>
          <w:sz w:val="24"/>
        </w:rPr>
        <w:t> </w:t>
      </w:r>
      <w:r>
        <w:rPr>
          <w:sz w:val="24"/>
        </w:rPr>
        <w:t>capacity</w:t>
      </w:r>
      <w:r>
        <w:rPr>
          <w:spacing w:val="-4"/>
          <w:sz w:val="24"/>
        </w:rPr>
        <w:t> </w:t>
      </w:r>
      <w:r>
        <w:rPr>
          <w:sz w:val="24"/>
        </w:rPr>
        <w:t>and</w:t>
      </w:r>
      <w:r>
        <w:rPr>
          <w:spacing w:val="-3"/>
          <w:sz w:val="24"/>
        </w:rPr>
        <w:t> </w:t>
      </w:r>
      <w:r>
        <w:rPr>
          <w:sz w:val="24"/>
        </w:rPr>
        <w:t>replace</w:t>
      </w:r>
      <w:r>
        <w:rPr>
          <w:spacing w:val="-3"/>
          <w:sz w:val="24"/>
        </w:rPr>
        <w:t> </w:t>
      </w:r>
      <w:r>
        <w:rPr>
          <w:sz w:val="24"/>
        </w:rPr>
        <w:t>ageing</w:t>
      </w:r>
      <w:r>
        <w:rPr>
          <w:spacing w:val="-2"/>
          <w:sz w:val="24"/>
        </w:rPr>
        <w:t> </w:t>
      </w:r>
      <w:r>
        <w:rPr>
          <w:sz w:val="24"/>
        </w:rPr>
        <w:t>LINACs</w:t>
      </w:r>
      <w:r>
        <w:rPr>
          <w:spacing w:val="-4"/>
          <w:sz w:val="24"/>
        </w:rPr>
        <w:t> </w:t>
      </w:r>
      <w:r>
        <w:rPr>
          <w:sz w:val="24"/>
        </w:rPr>
        <w:t>without</w:t>
      </w:r>
      <w:r>
        <w:rPr>
          <w:spacing w:val="-6"/>
          <w:sz w:val="24"/>
        </w:rPr>
        <w:t> </w:t>
      </w:r>
      <w:r>
        <w:rPr>
          <w:sz w:val="24"/>
        </w:rPr>
        <w:t>avoidable</w:t>
      </w:r>
      <w:r>
        <w:rPr>
          <w:spacing w:val="-2"/>
          <w:sz w:val="24"/>
        </w:rPr>
        <w:t> </w:t>
      </w:r>
      <w:r>
        <w:rPr>
          <w:spacing w:val="-4"/>
          <w:sz w:val="24"/>
        </w:rPr>
        <w:t>loss</w:t>
      </w:r>
    </w:p>
    <w:p>
      <w:pPr>
        <w:pStyle w:val="BodyText"/>
        <w:spacing w:before="32"/>
        <w:ind w:left="1037"/>
      </w:pPr>
      <w:r>
        <w:rPr/>
        <w:t>of</w:t>
      </w:r>
      <w:r>
        <w:rPr>
          <w:spacing w:val="-4"/>
        </w:rPr>
        <w:t> </w:t>
      </w:r>
      <w:r>
        <w:rPr/>
        <w:t>operational </w:t>
      </w:r>
      <w:r>
        <w:rPr>
          <w:spacing w:val="-2"/>
        </w:rPr>
        <w:t>capacity.</w:t>
      </w:r>
    </w:p>
    <w:p>
      <w:pPr>
        <w:pStyle w:val="ListParagraph"/>
        <w:numPr>
          <w:ilvl w:val="0"/>
          <w:numId w:val="20"/>
        </w:numPr>
        <w:tabs>
          <w:tab w:pos="1037" w:val="left" w:leader="none"/>
        </w:tabs>
        <w:spacing w:line="271" w:lineRule="auto" w:before="48" w:after="0"/>
        <w:ind w:left="1037" w:right="766" w:hanging="175"/>
        <w:jc w:val="left"/>
        <w:rPr>
          <w:sz w:val="24"/>
        </w:rPr>
      </w:pPr>
      <w:r>
        <w:rPr>
          <w:b/>
          <w:sz w:val="24"/>
        </w:rPr>
        <w:t>Priority</w:t>
      </w:r>
      <w:r>
        <w:rPr>
          <w:b/>
          <w:spacing w:val="-7"/>
          <w:sz w:val="24"/>
        </w:rPr>
        <w:t> </w:t>
      </w:r>
      <w:r>
        <w:rPr>
          <w:b/>
          <w:sz w:val="24"/>
        </w:rPr>
        <w:t>2:</w:t>
      </w:r>
      <w:r>
        <w:rPr>
          <w:b/>
          <w:spacing w:val="-2"/>
          <w:sz w:val="24"/>
        </w:rPr>
        <w:t> </w:t>
      </w:r>
      <w:r>
        <w:rPr>
          <w:sz w:val="24"/>
        </w:rPr>
        <w:t>introduce</w:t>
      </w:r>
      <w:r>
        <w:rPr>
          <w:spacing w:val="-2"/>
          <w:sz w:val="24"/>
        </w:rPr>
        <w:t> </w:t>
      </w:r>
      <w:r>
        <w:rPr>
          <w:sz w:val="24"/>
        </w:rPr>
        <w:t>the</w:t>
      </w:r>
      <w:r>
        <w:rPr>
          <w:spacing w:val="-2"/>
          <w:sz w:val="24"/>
        </w:rPr>
        <w:t> </w:t>
      </w:r>
      <w:r>
        <w:rPr>
          <w:sz w:val="24"/>
        </w:rPr>
        <w:t>6th</w:t>
      </w:r>
      <w:r>
        <w:rPr>
          <w:spacing w:val="-2"/>
          <w:sz w:val="24"/>
        </w:rPr>
        <w:t> </w:t>
      </w:r>
      <w:r>
        <w:rPr>
          <w:sz w:val="24"/>
        </w:rPr>
        <w:t>operational</w:t>
      </w:r>
      <w:r>
        <w:rPr>
          <w:spacing w:val="-2"/>
          <w:sz w:val="24"/>
        </w:rPr>
        <w:t> </w:t>
      </w:r>
      <w:r>
        <w:rPr>
          <w:sz w:val="24"/>
        </w:rPr>
        <w:t>LINAC</w:t>
      </w:r>
      <w:r>
        <w:rPr>
          <w:spacing w:val="-7"/>
          <w:sz w:val="24"/>
        </w:rPr>
        <w:t> </w:t>
      </w:r>
      <w:r>
        <w:rPr>
          <w:sz w:val="24"/>
        </w:rPr>
        <w:t>when</w:t>
      </w:r>
      <w:r>
        <w:rPr>
          <w:spacing w:val="-2"/>
          <w:sz w:val="24"/>
        </w:rPr>
        <w:t> </w:t>
      </w:r>
      <w:r>
        <w:rPr>
          <w:sz w:val="24"/>
        </w:rPr>
        <w:t>demand,</w:t>
      </w:r>
      <w:r>
        <w:rPr>
          <w:spacing w:val="-5"/>
          <w:sz w:val="24"/>
        </w:rPr>
        <w:t> </w:t>
      </w:r>
      <w:r>
        <w:rPr>
          <w:sz w:val="24"/>
        </w:rPr>
        <w:t>affordability,</w:t>
      </w:r>
      <w:r>
        <w:rPr>
          <w:spacing w:val="-5"/>
          <w:sz w:val="24"/>
        </w:rPr>
        <w:t> </w:t>
      </w:r>
      <w:r>
        <w:rPr>
          <w:sz w:val="24"/>
        </w:rPr>
        <w:t>workforce and recurrent funding are confirmed.</w:t>
      </w:r>
    </w:p>
    <w:p>
      <w:pPr>
        <w:pStyle w:val="ListParagraph"/>
        <w:numPr>
          <w:ilvl w:val="0"/>
          <w:numId w:val="20"/>
        </w:numPr>
        <w:tabs>
          <w:tab w:pos="1037" w:val="left" w:leader="none"/>
        </w:tabs>
        <w:spacing w:line="271" w:lineRule="auto" w:before="7" w:after="0"/>
        <w:ind w:left="1037" w:right="791" w:hanging="175"/>
        <w:jc w:val="left"/>
        <w:rPr>
          <w:sz w:val="24"/>
        </w:rPr>
      </w:pPr>
      <w:r>
        <w:rPr>
          <w:b/>
          <w:sz w:val="24"/>
        </w:rPr>
        <w:t>Longer</w:t>
      </w:r>
      <w:r>
        <w:rPr>
          <w:b/>
          <w:spacing w:val="-3"/>
          <w:sz w:val="24"/>
        </w:rPr>
        <w:t> </w:t>
      </w:r>
      <w:r>
        <w:rPr>
          <w:b/>
          <w:sz w:val="24"/>
        </w:rPr>
        <w:t>term:</w:t>
      </w:r>
      <w:r>
        <w:rPr>
          <w:b/>
          <w:spacing w:val="-3"/>
          <w:sz w:val="24"/>
        </w:rPr>
        <w:t> </w:t>
      </w:r>
      <w:r>
        <w:rPr>
          <w:sz w:val="24"/>
        </w:rPr>
        <w:t>determine</w:t>
      </w:r>
      <w:r>
        <w:rPr>
          <w:spacing w:val="-3"/>
          <w:sz w:val="24"/>
        </w:rPr>
        <w:t> </w:t>
      </w:r>
      <w:r>
        <w:rPr>
          <w:sz w:val="24"/>
        </w:rPr>
        <w:t>the</w:t>
      </w:r>
      <w:r>
        <w:rPr>
          <w:spacing w:val="-3"/>
          <w:sz w:val="24"/>
        </w:rPr>
        <w:t> </w:t>
      </w:r>
      <w:r>
        <w:rPr>
          <w:sz w:val="24"/>
        </w:rPr>
        <w:t>regional</w:t>
      </w:r>
      <w:r>
        <w:rPr>
          <w:spacing w:val="-3"/>
          <w:sz w:val="24"/>
        </w:rPr>
        <w:t> </w:t>
      </w:r>
      <w:r>
        <w:rPr>
          <w:sz w:val="24"/>
        </w:rPr>
        <w:t>distribution</w:t>
      </w:r>
      <w:r>
        <w:rPr>
          <w:spacing w:val="-3"/>
          <w:sz w:val="24"/>
        </w:rPr>
        <w:t> </w:t>
      </w:r>
      <w:r>
        <w:rPr>
          <w:sz w:val="24"/>
        </w:rPr>
        <w:t>of</w:t>
      </w:r>
      <w:r>
        <w:rPr>
          <w:spacing w:val="-6"/>
          <w:sz w:val="24"/>
        </w:rPr>
        <w:t> </w:t>
      </w:r>
      <w:r>
        <w:rPr>
          <w:sz w:val="24"/>
        </w:rPr>
        <w:t>capacity,</w:t>
      </w:r>
      <w:r>
        <w:rPr>
          <w:spacing w:val="-6"/>
          <w:sz w:val="24"/>
        </w:rPr>
        <w:t> </w:t>
      </w:r>
      <w:r>
        <w:rPr>
          <w:sz w:val="24"/>
        </w:rPr>
        <w:t>including</w:t>
      </w:r>
      <w:r>
        <w:rPr>
          <w:spacing w:val="-3"/>
          <w:sz w:val="24"/>
        </w:rPr>
        <w:t> </w:t>
      </w:r>
      <w:r>
        <w:rPr>
          <w:sz w:val="24"/>
        </w:rPr>
        <w:t>the</w:t>
      </w:r>
      <w:r>
        <w:rPr>
          <w:spacing w:val="-3"/>
          <w:sz w:val="24"/>
        </w:rPr>
        <w:t> </w:t>
      </w:r>
      <w:r>
        <w:rPr>
          <w:sz w:val="24"/>
        </w:rPr>
        <w:t>Hywel</w:t>
      </w:r>
      <w:r>
        <w:rPr>
          <w:spacing w:val="-3"/>
          <w:sz w:val="24"/>
        </w:rPr>
        <w:t> </w:t>
      </w:r>
      <w:r>
        <w:rPr>
          <w:sz w:val="24"/>
        </w:rPr>
        <w:t>Dda satellite ambition.</w:t>
      </w:r>
    </w:p>
    <w:p>
      <w:pPr>
        <w:spacing w:before="82" w:after="39"/>
        <w:ind w:left="747" w:right="0" w:firstLine="0"/>
        <w:jc w:val="left"/>
        <w:rPr>
          <w:b/>
          <w:sz w:val="24"/>
        </w:rPr>
      </w:pPr>
      <w:r>
        <w:rPr>
          <w:b/>
          <w:color w:val="1F4E79"/>
          <w:spacing w:val="-4"/>
          <w:sz w:val="24"/>
        </w:rPr>
        <w:t>Single</w:t>
      </w:r>
      <w:r>
        <w:rPr>
          <w:b/>
          <w:color w:val="1F4E79"/>
          <w:spacing w:val="-1"/>
          <w:sz w:val="24"/>
        </w:rPr>
        <w:t> </w:t>
      </w:r>
      <w:r>
        <w:rPr>
          <w:b/>
          <w:color w:val="1F4E79"/>
          <w:spacing w:val="-4"/>
          <w:sz w:val="24"/>
        </w:rPr>
        <w:t>versus</w:t>
      </w:r>
      <w:r>
        <w:rPr>
          <w:b/>
          <w:color w:val="1F4E79"/>
          <w:spacing w:val="-1"/>
          <w:sz w:val="24"/>
        </w:rPr>
        <w:t> </w:t>
      </w:r>
      <w:r>
        <w:rPr>
          <w:b/>
          <w:color w:val="1F4E79"/>
          <w:spacing w:val="-4"/>
          <w:sz w:val="24"/>
        </w:rPr>
        <w:t>twin-bunker</w:t>
      </w:r>
      <w:r>
        <w:rPr>
          <w:b/>
          <w:color w:val="1F4E79"/>
          <w:sz w:val="24"/>
        </w:rPr>
        <w:t> </w:t>
      </w:r>
      <w:r>
        <w:rPr>
          <w:b/>
          <w:color w:val="1F4E79"/>
          <w:spacing w:val="-4"/>
          <w:sz w:val="24"/>
        </w:rPr>
        <w:t>assessment</w:t>
      </w:r>
    </w:p>
    <w:tbl>
      <w:tblPr>
        <w:tblW w:w="0" w:type="auto"/>
        <w:jc w:val="left"/>
        <w:tblInd w:w="757"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0" w:type="dxa"/>
          <w:left w:w="0" w:type="dxa"/>
          <w:bottom w:w="0" w:type="dxa"/>
          <w:right w:w="0" w:type="dxa"/>
        </w:tblCellMar>
        <w:tblLook w:val="01E0"/>
      </w:tblPr>
      <w:tblGrid>
        <w:gridCol w:w="3097"/>
        <w:gridCol w:w="3307"/>
        <w:gridCol w:w="3443"/>
      </w:tblGrid>
      <w:tr>
        <w:trPr>
          <w:trHeight w:val="460" w:hRule="atLeast"/>
        </w:trPr>
        <w:tc>
          <w:tcPr>
            <w:tcW w:w="3097" w:type="dxa"/>
            <w:shd w:val="clear" w:color="auto" w:fill="1F4E79"/>
          </w:tcPr>
          <w:p>
            <w:pPr>
              <w:pStyle w:val="TableParagraph"/>
              <w:spacing w:before="90"/>
              <w:ind w:left="10"/>
              <w:jc w:val="center"/>
              <w:rPr>
                <w:b/>
                <w:sz w:val="24"/>
              </w:rPr>
            </w:pPr>
            <w:r>
              <w:rPr>
                <w:b/>
                <w:color w:val="FFFFFF"/>
                <w:spacing w:val="-2"/>
                <w:sz w:val="24"/>
              </w:rPr>
              <w:t>Option</w:t>
            </w:r>
          </w:p>
        </w:tc>
        <w:tc>
          <w:tcPr>
            <w:tcW w:w="3307" w:type="dxa"/>
            <w:shd w:val="clear" w:color="auto" w:fill="1F4E79"/>
          </w:tcPr>
          <w:p>
            <w:pPr>
              <w:pStyle w:val="TableParagraph"/>
              <w:spacing w:before="90"/>
              <w:ind w:left="959"/>
              <w:rPr>
                <w:b/>
                <w:sz w:val="24"/>
              </w:rPr>
            </w:pPr>
            <w:r>
              <w:rPr>
                <w:b/>
                <w:color w:val="FFFFFF"/>
                <w:spacing w:val="-2"/>
                <w:sz w:val="24"/>
              </w:rPr>
              <w:t>Assessment</w:t>
            </w:r>
          </w:p>
        </w:tc>
        <w:tc>
          <w:tcPr>
            <w:tcW w:w="3443" w:type="dxa"/>
            <w:shd w:val="clear" w:color="auto" w:fill="1F4E79"/>
          </w:tcPr>
          <w:p>
            <w:pPr>
              <w:pStyle w:val="TableParagraph"/>
              <w:spacing w:before="90"/>
              <w:ind w:left="564"/>
              <w:rPr>
                <w:b/>
                <w:sz w:val="24"/>
              </w:rPr>
            </w:pPr>
            <w:r>
              <w:rPr>
                <w:b/>
                <w:color w:val="FFFFFF"/>
                <w:spacing w:val="-4"/>
                <w:sz w:val="24"/>
              </w:rPr>
              <w:t>Strategic </w:t>
            </w:r>
            <w:r>
              <w:rPr>
                <w:b/>
                <w:color w:val="FFFFFF"/>
                <w:spacing w:val="-2"/>
                <w:sz w:val="24"/>
              </w:rPr>
              <w:t>implication</w:t>
            </w:r>
          </w:p>
        </w:tc>
      </w:tr>
      <w:tr>
        <w:trPr>
          <w:trHeight w:val="1005" w:hRule="atLeast"/>
        </w:trPr>
        <w:tc>
          <w:tcPr>
            <w:tcW w:w="3097" w:type="dxa"/>
          </w:tcPr>
          <w:p>
            <w:pPr>
              <w:pStyle w:val="TableParagraph"/>
              <w:spacing w:before="89"/>
              <w:rPr>
                <w:b/>
                <w:sz w:val="24"/>
              </w:rPr>
            </w:pPr>
          </w:p>
          <w:p>
            <w:pPr>
              <w:pStyle w:val="TableParagraph"/>
              <w:ind w:left="110"/>
              <w:rPr>
                <w:b/>
                <w:sz w:val="24"/>
              </w:rPr>
            </w:pPr>
            <w:r>
              <w:rPr>
                <w:b/>
                <w:sz w:val="24"/>
              </w:rPr>
              <w:t>Do</w:t>
            </w:r>
            <w:r>
              <w:rPr>
                <w:b/>
                <w:spacing w:val="-13"/>
                <w:sz w:val="24"/>
              </w:rPr>
              <w:t> </w:t>
            </w:r>
            <w:r>
              <w:rPr>
                <w:b/>
                <w:spacing w:val="-2"/>
                <w:sz w:val="24"/>
              </w:rPr>
              <w:t>nothing</w:t>
            </w:r>
          </w:p>
        </w:tc>
        <w:tc>
          <w:tcPr>
            <w:tcW w:w="3307" w:type="dxa"/>
          </w:tcPr>
          <w:p>
            <w:pPr>
              <w:pStyle w:val="TableParagraph"/>
              <w:spacing w:before="89"/>
              <w:rPr>
                <w:b/>
                <w:sz w:val="24"/>
              </w:rPr>
            </w:pPr>
          </w:p>
          <w:p>
            <w:pPr>
              <w:pStyle w:val="TableParagraph"/>
              <w:ind w:left="109"/>
              <w:rPr>
                <w:sz w:val="24"/>
              </w:rPr>
            </w:pPr>
            <w:r>
              <w:rPr>
                <w:spacing w:val="-2"/>
                <w:sz w:val="24"/>
              </w:rPr>
              <w:t>Not</w:t>
            </w:r>
            <w:r>
              <w:rPr>
                <w:spacing w:val="-11"/>
                <w:sz w:val="24"/>
              </w:rPr>
              <w:t> </w:t>
            </w:r>
            <w:r>
              <w:rPr>
                <w:spacing w:val="-2"/>
                <w:sz w:val="24"/>
              </w:rPr>
              <w:t>recommended.</w:t>
            </w:r>
          </w:p>
        </w:tc>
        <w:tc>
          <w:tcPr>
            <w:tcW w:w="3443" w:type="dxa"/>
          </w:tcPr>
          <w:p>
            <w:pPr>
              <w:pStyle w:val="TableParagraph"/>
              <w:spacing w:before="89"/>
              <w:ind w:left="108" w:right="70"/>
              <w:rPr>
                <w:sz w:val="24"/>
              </w:rPr>
            </w:pPr>
            <w:r>
              <w:rPr>
                <w:sz w:val="24"/>
              </w:rPr>
              <w:t>No decant capacity and </w:t>
            </w:r>
            <w:r>
              <w:rPr>
                <w:spacing w:val="-4"/>
                <w:sz w:val="24"/>
              </w:rPr>
              <w:t>significant</w:t>
            </w:r>
            <w:r>
              <w:rPr>
                <w:spacing w:val="-13"/>
                <w:sz w:val="24"/>
              </w:rPr>
              <w:t> </w:t>
            </w:r>
            <w:r>
              <w:rPr>
                <w:spacing w:val="-4"/>
                <w:sz w:val="24"/>
              </w:rPr>
              <w:t>service</w:t>
            </w:r>
            <w:r>
              <w:rPr>
                <w:spacing w:val="-5"/>
                <w:sz w:val="24"/>
              </w:rPr>
              <w:t> </w:t>
            </w:r>
            <w:r>
              <w:rPr>
                <w:spacing w:val="-4"/>
                <w:sz w:val="24"/>
              </w:rPr>
              <w:t>resilience </w:t>
            </w:r>
            <w:r>
              <w:rPr>
                <w:spacing w:val="-2"/>
                <w:sz w:val="24"/>
              </w:rPr>
              <w:t>risk.</w:t>
            </w:r>
          </w:p>
        </w:tc>
      </w:tr>
      <w:tr>
        <w:trPr>
          <w:trHeight w:val="1285" w:hRule="atLeast"/>
        </w:trPr>
        <w:tc>
          <w:tcPr>
            <w:tcW w:w="3097" w:type="dxa"/>
          </w:tcPr>
          <w:p>
            <w:pPr>
              <w:pStyle w:val="TableParagraph"/>
              <w:spacing w:before="228"/>
              <w:rPr>
                <w:b/>
                <w:sz w:val="24"/>
              </w:rPr>
            </w:pPr>
          </w:p>
          <w:p>
            <w:pPr>
              <w:pStyle w:val="TableParagraph"/>
              <w:spacing w:before="1"/>
              <w:ind w:left="110"/>
              <w:rPr>
                <w:b/>
                <w:sz w:val="24"/>
              </w:rPr>
            </w:pPr>
            <w:r>
              <w:rPr>
                <w:b/>
                <w:spacing w:val="-2"/>
                <w:sz w:val="24"/>
              </w:rPr>
              <w:t>Single</w:t>
            </w:r>
            <w:r>
              <w:rPr>
                <w:b/>
                <w:spacing w:val="-13"/>
                <w:sz w:val="24"/>
              </w:rPr>
              <w:t> </w:t>
            </w:r>
            <w:r>
              <w:rPr>
                <w:b/>
                <w:spacing w:val="-2"/>
                <w:sz w:val="24"/>
              </w:rPr>
              <w:t>bunker</w:t>
            </w:r>
          </w:p>
        </w:tc>
        <w:tc>
          <w:tcPr>
            <w:tcW w:w="3307" w:type="dxa"/>
          </w:tcPr>
          <w:p>
            <w:pPr>
              <w:pStyle w:val="TableParagraph"/>
              <w:spacing w:before="90"/>
              <w:ind w:left="109"/>
              <w:rPr>
                <w:sz w:val="24"/>
              </w:rPr>
            </w:pPr>
            <w:r>
              <w:rPr>
                <w:sz w:val="24"/>
              </w:rPr>
              <w:t>Addresses decant need but </w:t>
            </w:r>
            <w:r>
              <w:rPr>
                <w:spacing w:val="-2"/>
                <w:sz w:val="24"/>
              </w:rPr>
              <w:t>remains</w:t>
            </w:r>
            <w:r>
              <w:rPr>
                <w:spacing w:val="-15"/>
                <w:sz w:val="24"/>
              </w:rPr>
              <w:t> </w:t>
            </w:r>
            <w:r>
              <w:rPr>
                <w:spacing w:val="-2"/>
                <w:sz w:val="24"/>
              </w:rPr>
              <w:t>late</w:t>
            </w:r>
            <w:r>
              <w:rPr>
                <w:spacing w:val="-15"/>
                <w:sz w:val="24"/>
              </w:rPr>
              <w:t> </w:t>
            </w:r>
            <w:r>
              <w:rPr>
                <w:spacing w:val="-2"/>
                <w:sz w:val="24"/>
              </w:rPr>
              <w:t>against</w:t>
            </w:r>
            <w:r>
              <w:rPr>
                <w:spacing w:val="-14"/>
                <w:sz w:val="24"/>
              </w:rPr>
              <w:t> </w:t>
            </w:r>
            <w:r>
              <w:rPr>
                <w:spacing w:val="-2"/>
                <w:sz w:val="24"/>
              </w:rPr>
              <w:t>LINAC</w:t>
            </w:r>
            <w:r>
              <w:rPr>
                <w:spacing w:val="-15"/>
                <w:sz w:val="24"/>
              </w:rPr>
              <w:t> </w:t>
            </w:r>
            <w:r>
              <w:rPr>
                <w:spacing w:val="-2"/>
                <w:sz w:val="24"/>
              </w:rPr>
              <w:t>1 </w:t>
            </w:r>
            <w:r>
              <w:rPr>
                <w:sz w:val="24"/>
              </w:rPr>
              <w:t>and may under-build the constrained site.</w:t>
            </w:r>
          </w:p>
        </w:tc>
        <w:tc>
          <w:tcPr>
            <w:tcW w:w="3443" w:type="dxa"/>
          </w:tcPr>
          <w:p>
            <w:pPr>
              <w:pStyle w:val="TableParagraph"/>
              <w:spacing w:before="90"/>
              <w:ind w:left="108" w:right="583"/>
              <w:rPr>
                <w:sz w:val="24"/>
              </w:rPr>
            </w:pPr>
            <w:r>
              <w:rPr>
                <w:sz w:val="24"/>
              </w:rPr>
              <w:t>Could require a second development, repeat mobilisation and further </w:t>
            </w:r>
            <w:r>
              <w:rPr>
                <w:spacing w:val="-2"/>
                <w:sz w:val="24"/>
              </w:rPr>
              <w:t>disruption</w:t>
            </w:r>
            <w:r>
              <w:rPr>
                <w:spacing w:val="-17"/>
                <w:sz w:val="24"/>
              </w:rPr>
              <w:t> </w:t>
            </w:r>
            <w:r>
              <w:rPr>
                <w:spacing w:val="-2"/>
                <w:sz w:val="24"/>
              </w:rPr>
              <w:t>and</w:t>
            </w:r>
            <w:r>
              <w:rPr>
                <w:spacing w:val="-15"/>
                <w:sz w:val="24"/>
              </w:rPr>
              <w:t> </w:t>
            </w:r>
            <w:r>
              <w:rPr>
                <w:spacing w:val="-2"/>
                <w:sz w:val="24"/>
              </w:rPr>
              <w:t>higher</w:t>
            </w:r>
            <w:r>
              <w:rPr>
                <w:spacing w:val="-14"/>
                <w:sz w:val="24"/>
              </w:rPr>
              <w:t> </w:t>
            </w:r>
            <w:r>
              <w:rPr>
                <w:spacing w:val="-2"/>
                <w:sz w:val="24"/>
              </w:rPr>
              <w:t>cost.</w:t>
            </w:r>
          </w:p>
        </w:tc>
      </w:tr>
      <w:tr>
        <w:trPr>
          <w:trHeight w:val="1285" w:hRule="atLeast"/>
        </w:trPr>
        <w:tc>
          <w:tcPr>
            <w:tcW w:w="3097" w:type="dxa"/>
          </w:tcPr>
          <w:p>
            <w:pPr>
              <w:pStyle w:val="TableParagraph"/>
              <w:spacing w:before="88"/>
              <w:rPr>
                <w:b/>
                <w:sz w:val="24"/>
              </w:rPr>
            </w:pPr>
          </w:p>
          <w:p>
            <w:pPr>
              <w:pStyle w:val="TableParagraph"/>
              <w:spacing w:before="1"/>
              <w:ind w:left="110"/>
              <w:rPr>
                <w:b/>
                <w:sz w:val="24"/>
              </w:rPr>
            </w:pPr>
            <w:r>
              <w:rPr>
                <w:b/>
                <w:spacing w:val="-2"/>
                <w:sz w:val="24"/>
              </w:rPr>
              <w:t>Twin</w:t>
            </w:r>
            <w:r>
              <w:rPr>
                <w:b/>
                <w:spacing w:val="-17"/>
                <w:sz w:val="24"/>
              </w:rPr>
              <w:t> </w:t>
            </w:r>
            <w:r>
              <w:rPr>
                <w:b/>
                <w:spacing w:val="-2"/>
                <w:sz w:val="24"/>
              </w:rPr>
              <w:t>bunkers</w:t>
            </w:r>
            <w:r>
              <w:rPr>
                <w:b/>
                <w:spacing w:val="-15"/>
                <w:sz w:val="24"/>
              </w:rPr>
              <w:t> </w:t>
            </w:r>
            <w:r>
              <w:rPr>
                <w:b/>
                <w:spacing w:val="-2"/>
                <w:sz w:val="24"/>
              </w:rPr>
              <w:t>+</w:t>
            </w:r>
            <w:r>
              <w:rPr>
                <w:b/>
                <w:spacing w:val="-14"/>
                <w:sz w:val="24"/>
              </w:rPr>
              <w:t> </w:t>
            </w:r>
            <w:r>
              <w:rPr>
                <w:b/>
                <w:spacing w:val="-2"/>
                <w:sz w:val="24"/>
              </w:rPr>
              <w:t>support accommodation</w:t>
            </w:r>
          </w:p>
        </w:tc>
        <w:tc>
          <w:tcPr>
            <w:tcW w:w="3307" w:type="dxa"/>
          </w:tcPr>
          <w:p>
            <w:pPr>
              <w:pStyle w:val="TableParagraph"/>
              <w:spacing w:before="230"/>
              <w:ind w:left="109"/>
              <w:rPr>
                <w:sz w:val="24"/>
              </w:rPr>
            </w:pPr>
            <w:r>
              <w:rPr>
                <w:spacing w:val="-4"/>
                <w:sz w:val="24"/>
              </w:rPr>
              <w:t>Preferred</w:t>
            </w:r>
            <w:r>
              <w:rPr>
                <w:spacing w:val="-7"/>
                <w:sz w:val="24"/>
              </w:rPr>
              <w:t> </w:t>
            </w:r>
            <w:r>
              <w:rPr>
                <w:spacing w:val="-4"/>
                <w:sz w:val="24"/>
              </w:rPr>
              <w:t>strategic</w:t>
            </w:r>
            <w:r>
              <w:rPr>
                <w:spacing w:val="-8"/>
                <w:sz w:val="24"/>
              </w:rPr>
              <w:t> </w:t>
            </w:r>
            <w:r>
              <w:rPr>
                <w:spacing w:val="-4"/>
                <w:sz w:val="24"/>
              </w:rPr>
              <w:t>direction, </w:t>
            </w:r>
            <w:r>
              <w:rPr>
                <w:sz w:val="24"/>
              </w:rPr>
              <w:t>subject to affordability and </w:t>
            </w:r>
            <w:r>
              <w:rPr>
                <w:spacing w:val="-2"/>
                <w:sz w:val="24"/>
              </w:rPr>
              <w:t>deliverability.</w:t>
            </w:r>
          </w:p>
        </w:tc>
        <w:tc>
          <w:tcPr>
            <w:tcW w:w="3443" w:type="dxa"/>
          </w:tcPr>
          <w:p>
            <w:pPr>
              <w:pStyle w:val="TableParagraph"/>
              <w:spacing w:before="90"/>
              <w:ind w:left="108"/>
              <w:rPr>
                <w:sz w:val="24"/>
              </w:rPr>
            </w:pPr>
            <w:r>
              <w:rPr>
                <w:spacing w:val="-4"/>
                <w:sz w:val="24"/>
              </w:rPr>
              <w:t>Protects replacement</w:t>
            </w:r>
            <w:r>
              <w:rPr>
                <w:spacing w:val="-5"/>
                <w:sz w:val="24"/>
              </w:rPr>
              <w:t> </w:t>
            </w:r>
            <w:r>
              <w:rPr>
                <w:spacing w:val="-4"/>
                <w:sz w:val="24"/>
              </w:rPr>
              <w:t>flexibility </w:t>
            </w:r>
            <w:r>
              <w:rPr>
                <w:sz w:val="24"/>
              </w:rPr>
              <w:t>and</w:t>
            </w:r>
            <w:r>
              <w:rPr>
                <w:spacing w:val="-16"/>
                <w:sz w:val="24"/>
              </w:rPr>
              <w:t> </w:t>
            </w:r>
            <w:r>
              <w:rPr>
                <w:sz w:val="24"/>
              </w:rPr>
              <w:t>preserves</w:t>
            </w:r>
            <w:r>
              <w:rPr>
                <w:spacing w:val="-8"/>
                <w:sz w:val="24"/>
              </w:rPr>
              <w:t> </w:t>
            </w:r>
            <w:r>
              <w:rPr>
                <w:sz w:val="24"/>
              </w:rPr>
              <w:t>future</w:t>
            </w:r>
            <w:r>
              <w:rPr>
                <w:spacing w:val="-12"/>
                <w:sz w:val="24"/>
              </w:rPr>
              <w:t> </w:t>
            </w:r>
            <w:r>
              <w:rPr>
                <w:sz w:val="24"/>
              </w:rPr>
              <w:t>capacity options without approving </w:t>
            </w:r>
            <w:r>
              <w:rPr>
                <w:spacing w:val="-4"/>
                <w:sz w:val="24"/>
              </w:rPr>
              <w:t>additional</w:t>
            </w:r>
            <w:r>
              <w:rPr>
                <w:spacing w:val="-11"/>
                <w:sz w:val="24"/>
              </w:rPr>
              <w:t> </w:t>
            </w:r>
            <w:r>
              <w:rPr>
                <w:spacing w:val="-4"/>
                <w:sz w:val="24"/>
              </w:rPr>
              <w:t>operational</w:t>
            </w:r>
            <w:r>
              <w:rPr>
                <w:spacing w:val="-6"/>
                <w:sz w:val="24"/>
              </w:rPr>
              <w:t> </w:t>
            </w:r>
            <w:r>
              <w:rPr>
                <w:spacing w:val="-4"/>
                <w:sz w:val="24"/>
              </w:rPr>
              <w:t>LINACs.</w:t>
            </w:r>
          </w:p>
        </w:tc>
      </w:tr>
      <w:tr>
        <w:trPr>
          <w:trHeight w:val="1005" w:hRule="atLeast"/>
        </w:trPr>
        <w:tc>
          <w:tcPr>
            <w:tcW w:w="3097" w:type="dxa"/>
          </w:tcPr>
          <w:p>
            <w:pPr>
              <w:pStyle w:val="TableParagraph"/>
              <w:spacing w:before="89"/>
              <w:rPr>
                <w:b/>
                <w:sz w:val="24"/>
              </w:rPr>
            </w:pPr>
          </w:p>
          <w:p>
            <w:pPr>
              <w:pStyle w:val="TableParagraph"/>
              <w:ind w:left="110"/>
              <w:rPr>
                <w:b/>
                <w:sz w:val="24"/>
              </w:rPr>
            </w:pPr>
            <w:r>
              <w:rPr>
                <w:b/>
                <w:spacing w:val="-2"/>
                <w:sz w:val="24"/>
              </w:rPr>
              <w:t>Hywel</w:t>
            </w:r>
            <w:r>
              <w:rPr>
                <w:b/>
                <w:spacing w:val="-15"/>
                <w:sz w:val="24"/>
              </w:rPr>
              <w:t> </w:t>
            </w:r>
            <w:r>
              <w:rPr>
                <w:b/>
                <w:spacing w:val="-2"/>
                <w:sz w:val="24"/>
              </w:rPr>
              <w:t>Dda</w:t>
            </w:r>
            <w:r>
              <w:rPr>
                <w:b/>
                <w:spacing w:val="-14"/>
                <w:sz w:val="24"/>
              </w:rPr>
              <w:t> </w:t>
            </w:r>
            <w:r>
              <w:rPr>
                <w:b/>
                <w:spacing w:val="-2"/>
                <w:sz w:val="24"/>
              </w:rPr>
              <w:t>satellite</w:t>
            </w:r>
            <w:r>
              <w:rPr>
                <w:b/>
                <w:spacing w:val="-8"/>
                <w:sz w:val="24"/>
              </w:rPr>
              <w:t> </w:t>
            </w:r>
            <w:r>
              <w:rPr>
                <w:b/>
                <w:spacing w:val="-4"/>
                <w:sz w:val="24"/>
              </w:rPr>
              <w:t>only</w:t>
            </w:r>
          </w:p>
        </w:tc>
        <w:tc>
          <w:tcPr>
            <w:tcW w:w="3307" w:type="dxa"/>
          </w:tcPr>
          <w:p>
            <w:pPr>
              <w:pStyle w:val="TableParagraph"/>
              <w:spacing w:before="90"/>
              <w:ind w:left="109" w:right="182"/>
              <w:rPr>
                <w:sz w:val="24"/>
              </w:rPr>
            </w:pPr>
            <w:r>
              <w:rPr>
                <w:sz w:val="24"/>
              </w:rPr>
              <w:t>Important longer-term </w:t>
            </w:r>
            <w:r>
              <w:rPr>
                <w:spacing w:val="-2"/>
                <w:sz w:val="24"/>
              </w:rPr>
              <w:t>ambition</w:t>
            </w:r>
            <w:r>
              <w:rPr>
                <w:spacing w:val="-15"/>
                <w:sz w:val="24"/>
              </w:rPr>
              <w:t> </w:t>
            </w:r>
            <w:r>
              <w:rPr>
                <w:spacing w:val="-2"/>
                <w:sz w:val="24"/>
              </w:rPr>
              <w:t>but</w:t>
            </w:r>
            <w:r>
              <w:rPr>
                <w:spacing w:val="-14"/>
                <w:sz w:val="24"/>
              </w:rPr>
              <w:t> </w:t>
            </w:r>
            <w:r>
              <w:rPr>
                <w:spacing w:val="-2"/>
                <w:sz w:val="24"/>
              </w:rPr>
              <w:t>not</w:t>
            </w:r>
            <w:r>
              <w:rPr>
                <w:spacing w:val="-13"/>
                <w:sz w:val="24"/>
              </w:rPr>
              <w:t> </w:t>
            </w:r>
            <w:r>
              <w:rPr>
                <w:spacing w:val="-2"/>
                <w:sz w:val="24"/>
              </w:rPr>
              <w:t>deliverable in</w:t>
            </w:r>
            <w:r>
              <w:rPr>
                <w:spacing w:val="-14"/>
                <w:sz w:val="24"/>
              </w:rPr>
              <w:t> </w:t>
            </w:r>
            <w:r>
              <w:rPr>
                <w:spacing w:val="-2"/>
                <w:sz w:val="24"/>
              </w:rPr>
              <w:t>the</w:t>
            </w:r>
            <w:r>
              <w:rPr>
                <w:spacing w:val="-11"/>
                <w:sz w:val="24"/>
              </w:rPr>
              <w:t> </w:t>
            </w:r>
            <w:r>
              <w:rPr>
                <w:spacing w:val="-2"/>
                <w:sz w:val="24"/>
              </w:rPr>
              <w:t>immediate</w:t>
            </w:r>
            <w:r>
              <w:rPr>
                <w:spacing w:val="-11"/>
                <w:sz w:val="24"/>
              </w:rPr>
              <w:t> </w:t>
            </w:r>
            <w:r>
              <w:rPr>
                <w:spacing w:val="-4"/>
                <w:sz w:val="24"/>
              </w:rPr>
              <w:t>timeframe.</w:t>
            </w:r>
          </w:p>
        </w:tc>
        <w:tc>
          <w:tcPr>
            <w:tcW w:w="3443" w:type="dxa"/>
          </w:tcPr>
          <w:p>
            <w:pPr>
              <w:pStyle w:val="TableParagraph"/>
              <w:spacing w:before="90"/>
              <w:ind w:left="108" w:right="764"/>
              <w:jc w:val="both"/>
              <w:rPr>
                <w:sz w:val="24"/>
              </w:rPr>
            </w:pPr>
            <w:r>
              <w:rPr>
                <w:spacing w:val="-2"/>
                <w:sz w:val="24"/>
              </w:rPr>
              <w:t>Complementary</w:t>
            </w:r>
            <w:r>
              <w:rPr>
                <w:spacing w:val="-17"/>
                <w:sz w:val="24"/>
              </w:rPr>
              <w:t> </w:t>
            </w:r>
            <w:r>
              <w:rPr>
                <w:spacing w:val="-2"/>
                <w:sz w:val="24"/>
              </w:rPr>
              <w:t>to,</w:t>
            </w:r>
            <w:r>
              <w:rPr>
                <w:spacing w:val="-15"/>
                <w:sz w:val="24"/>
              </w:rPr>
              <w:t> </w:t>
            </w:r>
            <w:r>
              <w:rPr>
                <w:spacing w:val="-2"/>
                <w:sz w:val="24"/>
              </w:rPr>
              <w:t>not</w:t>
            </w:r>
            <w:r>
              <w:rPr>
                <w:spacing w:val="-14"/>
                <w:sz w:val="24"/>
              </w:rPr>
              <w:t> </w:t>
            </w:r>
            <w:r>
              <w:rPr>
                <w:spacing w:val="-2"/>
                <w:sz w:val="24"/>
              </w:rPr>
              <w:t>a </w:t>
            </w:r>
            <w:r>
              <w:rPr>
                <w:sz w:val="24"/>
              </w:rPr>
              <w:t>substitute</w:t>
            </w:r>
            <w:r>
              <w:rPr>
                <w:spacing w:val="-19"/>
                <w:sz w:val="24"/>
              </w:rPr>
              <w:t> </w:t>
            </w:r>
            <w:r>
              <w:rPr>
                <w:sz w:val="24"/>
              </w:rPr>
              <w:t>for,</w:t>
            </w:r>
            <w:r>
              <w:rPr>
                <w:spacing w:val="-17"/>
                <w:sz w:val="24"/>
              </w:rPr>
              <w:t> </w:t>
            </w:r>
            <w:r>
              <w:rPr>
                <w:sz w:val="24"/>
              </w:rPr>
              <w:t>the</w:t>
            </w:r>
            <w:r>
              <w:rPr>
                <w:spacing w:val="-16"/>
                <w:sz w:val="24"/>
              </w:rPr>
              <w:t> </w:t>
            </w:r>
            <w:r>
              <w:rPr>
                <w:sz w:val="24"/>
              </w:rPr>
              <w:t>urgent replacement solution.</w:t>
            </w:r>
          </w:p>
        </w:tc>
      </w:tr>
    </w:tbl>
    <w:p>
      <w:pPr>
        <w:pStyle w:val="BodyText"/>
        <w:spacing w:before="80"/>
        <w:rPr>
          <w:b/>
        </w:rPr>
      </w:pPr>
    </w:p>
    <w:p>
      <w:pPr>
        <w:spacing w:before="0"/>
        <w:ind w:left="747" w:right="0" w:firstLine="0"/>
        <w:jc w:val="left"/>
        <w:rPr>
          <w:b/>
          <w:sz w:val="24"/>
        </w:rPr>
      </w:pPr>
      <w:r>
        <w:rPr>
          <w:b/>
          <w:color w:val="1F4E79"/>
          <w:spacing w:val="-2"/>
          <w:sz w:val="24"/>
        </w:rPr>
        <w:t>Why</w:t>
      </w:r>
      <w:r>
        <w:rPr>
          <w:b/>
          <w:color w:val="1F4E79"/>
          <w:spacing w:val="-16"/>
          <w:sz w:val="24"/>
        </w:rPr>
        <w:t> </w:t>
      </w:r>
      <w:r>
        <w:rPr>
          <w:b/>
          <w:color w:val="1F4E79"/>
          <w:spacing w:val="-2"/>
          <w:sz w:val="24"/>
        </w:rPr>
        <w:t>an</w:t>
      </w:r>
      <w:r>
        <w:rPr>
          <w:b/>
          <w:color w:val="1F4E79"/>
          <w:spacing w:val="-13"/>
          <w:sz w:val="24"/>
        </w:rPr>
        <w:t> </w:t>
      </w:r>
      <w:r>
        <w:rPr>
          <w:b/>
          <w:color w:val="1F4E79"/>
          <w:spacing w:val="-2"/>
          <w:sz w:val="24"/>
        </w:rPr>
        <w:t>integrated</w:t>
      </w:r>
      <w:r>
        <w:rPr>
          <w:b/>
          <w:color w:val="1F4E79"/>
          <w:spacing w:val="-14"/>
          <w:sz w:val="24"/>
        </w:rPr>
        <w:t> </w:t>
      </w:r>
      <w:r>
        <w:rPr>
          <w:b/>
          <w:color w:val="1F4E79"/>
          <w:spacing w:val="-2"/>
          <w:sz w:val="24"/>
        </w:rPr>
        <w:t>programme</w:t>
      </w:r>
      <w:r>
        <w:rPr>
          <w:b/>
          <w:color w:val="1F4E79"/>
          <w:spacing w:val="-6"/>
          <w:sz w:val="24"/>
        </w:rPr>
        <w:t> </w:t>
      </w:r>
      <w:r>
        <w:rPr>
          <w:b/>
          <w:color w:val="1F4E79"/>
          <w:spacing w:val="-2"/>
          <w:sz w:val="24"/>
        </w:rPr>
        <w:t>is</w:t>
      </w:r>
      <w:r>
        <w:rPr>
          <w:b/>
          <w:color w:val="1F4E79"/>
          <w:spacing w:val="-10"/>
          <w:sz w:val="24"/>
        </w:rPr>
        <w:t> </w:t>
      </w:r>
      <w:r>
        <w:rPr>
          <w:b/>
          <w:color w:val="1F4E79"/>
          <w:spacing w:val="-2"/>
          <w:sz w:val="24"/>
        </w:rPr>
        <w:t>proposed</w:t>
      </w:r>
    </w:p>
    <w:p>
      <w:pPr>
        <w:pStyle w:val="ListParagraph"/>
        <w:numPr>
          <w:ilvl w:val="0"/>
          <w:numId w:val="20"/>
        </w:numPr>
        <w:tabs>
          <w:tab w:pos="1037" w:val="left" w:leader="none"/>
        </w:tabs>
        <w:spacing w:line="271" w:lineRule="auto" w:before="43" w:after="0"/>
        <w:ind w:left="1037" w:right="403" w:hanging="175"/>
        <w:jc w:val="left"/>
        <w:rPr>
          <w:sz w:val="24"/>
        </w:rPr>
      </w:pPr>
      <w:r>
        <w:rPr>
          <w:b/>
          <w:sz w:val="24"/>
        </w:rPr>
        <w:t>Replacement</w:t>
      </w:r>
      <w:r>
        <w:rPr>
          <w:b/>
          <w:spacing w:val="-3"/>
          <w:sz w:val="24"/>
        </w:rPr>
        <w:t> </w:t>
      </w:r>
      <w:r>
        <w:rPr>
          <w:b/>
          <w:sz w:val="24"/>
        </w:rPr>
        <w:t>sequencing: </w:t>
      </w:r>
      <w:r>
        <w:rPr>
          <w:sz w:val="24"/>
        </w:rPr>
        <w:t>LINACs</w:t>
      </w:r>
      <w:r>
        <w:rPr>
          <w:spacing w:val="-3"/>
          <w:sz w:val="24"/>
        </w:rPr>
        <w:t> </w:t>
      </w:r>
      <w:r>
        <w:rPr>
          <w:sz w:val="24"/>
        </w:rPr>
        <w:t>1</w:t>
      </w:r>
      <w:r>
        <w:rPr>
          <w:spacing w:val="-2"/>
          <w:sz w:val="24"/>
        </w:rPr>
        <w:t> </w:t>
      </w:r>
      <w:r>
        <w:rPr>
          <w:sz w:val="24"/>
        </w:rPr>
        <w:t>and</w:t>
      </w:r>
      <w:r>
        <w:rPr>
          <w:spacing w:val="-2"/>
          <w:sz w:val="24"/>
        </w:rPr>
        <w:t> </w:t>
      </w:r>
      <w:r>
        <w:rPr>
          <w:sz w:val="24"/>
        </w:rPr>
        <w:t>2</w:t>
      </w:r>
      <w:r>
        <w:rPr>
          <w:spacing w:val="-2"/>
          <w:sz w:val="24"/>
        </w:rPr>
        <w:t> </w:t>
      </w:r>
      <w:r>
        <w:rPr>
          <w:sz w:val="24"/>
        </w:rPr>
        <w:t>are</w:t>
      </w:r>
      <w:r>
        <w:rPr>
          <w:spacing w:val="-2"/>
          <w:sz w:val="24"/>
        </w:rPr>
        <w:t> </w:t>
      </w:r>
      <w:r>
        <w:rPr>
          <w:sz w:val="24"/>
        </w:rPr>
        <w:t>the</w:t>
      </w:r>
      <w:r>
        <w:rPr>
          <w:spacing w:val="-2"/>
          <w:sz w:val="24"/>
        </w:rPr>
        <w:t> </w:t>
      </w:r>
      <w:r>
        <w:rPr>
          <w:sz w:val="24"/>
        </w:rPr>
        <w:t>most</w:t>
      </w:r>
      <w:r>
        <w:rPr>
          <w:spacing w:val="-5"/>
          <w:sz w:val="24"/>
        </w:rPr>
        <w:t> </w:t>
      </w:r>
      <w:r>
        <w:rPr>
          <w:sz w:val="24"/>
        </w:rPr>
        <w:t>urgent</w:t>
      </w:r>
      <w:r>
        <w:rPr>
          <w:spacing w:val="-5"/>
          <w:sz w:val="24"/>
        </w:rPr>
        <w:t> </w:t>
      </w:r>
      <w:r>
        <w:rPr>
          <w:sz w:val="24"/>
        </w:rPr>
        <w:t>requirement</w:t>
      </w:r>
      <w:r>
        <w:rPr>
          <w:spacing w:val="-5"/>
          <w:sz w:val="24"/>
        </w:rPr>
        <w:t> </w:t>
      </w:r>
      <w:r>
        <w:rPr>
          <w:sz w:val="24"/>
        </w:rPr>
        <w:t>and</w:t>
      </w:r>
      <w:r>
        <w:rPr>
          <w:spacing w:val="-2"/>
          <w:sz w:val="24"/>
        </w:rPr>
        <w:t> </w:t>
      </w:r>
      <w:r>
        <w:rPr>
          <w:sz w:val="24"/>
        </w:rPr>
        <w:t>should drive the programme before additional capacity is commissioned.</w:t>
      </w:r>
    </w:p>
    <w:p>
      <w:pPr>
        <w:pStyle w:val="ListParagraph"/>
        <w:numPr>
          <w:ilvl w:val="0"/>
          <w:numId w:val="20"/>
        </w:numPr>
        <w:tabs>
          <w:tab w:pos="1037" w:val="left" w:leader="none"/>
        </w:tabs>
        <w:spacing w:line="271" w:lineRule="auto" w:before="6" w:after="0"/>
        <w:ind w:left="1037" w:right="883" w:hanging="175"/>
        <w:jc w:val="left"/>
        <w:rPr>
          <w:sz w:val="24"/>
        </w:rPr>
      </w:pPr>
      <w:r>
        <w:rPr>
          <w:b/>
          <w:sz w:val="24"/>
        </w:rPr>
        <w:t>Design</w:t>
      </w:r>
      <w:r>
        <w:rPr>
          <w:b/>
          <w:spacing w:val="-5"/>
          <w:sz w:val="24"/>
        </w:rPr>
        <w:t> </w:t>
      </w:r>
      <w:r>
        <w:rPr>
          <w:b/>
          <w:sz w:val="24"/>
        </w:rPr>
        <w:t>and</w:t>
      </w:r>
      <w:r>
        <w:rPr>
          <w:b/>
          <w:spacing w:val="-5"/>
          <w:sz w:val="24"/>
        </w:rPr>
        <w:t> </w:t>
      </w:r>
      <w:r>
        <w:rPr>
          <w:b/>
          <w:sz w:val="24"/>
        </w:rPr>
        <w:t>interface</w:t>
      </w:r>
      <w:r>
        <w:rPr>
          <w:b/>
          <w:spacing w:val="-2"/>
          <w:sz w:val="24"/>
        </w:rPr>
        <w:t> </w:t>
      </w:r>
      <w:r>
        <w:rPr>
          <w:b/>
          <w:sz w:val="24"/>
        </w:rPr>
        <w:t>risk: </w:t>
      </w:r>
      <w:r>
        <w:rPr>
          <w:sz w:val="24"/>
        </w:rPr>
        <w:t>the</w:t>
      </w:r>
      <w:r>
        <w:rPr>
          <w:spacing w:val="-2"/>
          <w:sz w:val="24"/>
        </w:rPr>
        <w:t> </w:t>
      </w:r>
      <w:r>
        <w:rPr>
          <w:sz w:val="24"/>
        </w:rPr>
        <w:t>bunkers,</w:t>
      </w:r>
      <w:r>
        <w:rPr>
          <w:spacing w:val="-5"/>
          <w:sz w:val="24"/>
        </w:rPr>
        <w:t> </w:t>
      </w:r>
      <w:r>
        <w:rPr>
          <w:sz w:val="24"/>
        </w:rPr>
        <w:t>building</w:t>
      </w:r>
      <w:r>
        <w:rPr>
          <w:spacing w:val="-2"/>
          <w:sz w:val="24"/>
        </w:rPr>
        <w:t> </w:t>
      </w:r>
      <w:r>
        <w:rPr>
          <w:sz w:val="24"/>
        </w:rPr>
        <w:t>services,</w:t>
      </w:r>
      <w:r>
        <w:rPr>
          <w:spacing w:val="-5"/>
          <w:sz w:val="24"/>
        </w:rPr>
        <w:t> </w:t>
      </w:r>
      <w:r>
        <w:rPr>
          <w:sz w:val="24"/>
        </w:rPr>
        <w:t>equipment</w:t>
      </w:r>
      <w:r>
        <w:rPr>
          <w:spacing w:val="-5"/>
          <w:sz w:val="24"/>
        </w:rPr>
        <w:t> </w:t>
      </w:r>
      <w:r>
        <w:rPr>
          <w:sz w:val="24"/>
        </w:rPr>
        <w:t>interfaces</w:t>
      </w:r>
      <w:r>
        <w:rPr>
          <w:spacing w:val="-3"/>
          <w:sz w:val="24"/>
        </w:rPr>
        <w:t> </w:t>
      </w:r>
      <w:r>
        <w:rPr>
          <w:sz w:val="24"/>
        </w:rPr>
        <w:t>and replacement installations need to be developed coherently to reduce later redesign, duplicated approvals or incompatible assumptions.</w:t>
      </w:r>
    </w:p>
    <w:p>
      <w:pPr>
        <w:pStyle w:val="ListParagraph"/>
        <w:numPr>
          <w:ilvl w:val="0"/>
          <w:numId w:val="20"/>
        </w:numPr>
        <w:tabs>
          <w:tab w:pos="1037" w:val="left" w:leader="none"/>
        </w:tabs>
        <w:spacing w:line="273" w:lineRule="auto" w:before="14" w:after="0"/>
        <w:ind w:left="1037" w:right="548" w:hanging="175"/>
        <w:jc w:val="left"/>
        <w:rPr>
          <w:sz w:val="24"/>
        </w:rPr>
      </w:pPr>
      <w:r>
        <w:rPr>
          <w:b/>
          <w:sz w:val="24"/>
        </w:rPr>
        <w:t>Procurement and contractual position: </w:t>
      </w:r>
      <w:r>
        <w:rPr>
          <w:sz w:val="24"/>
        </w:rPr>
        <w:t>programme advice indicates that bunker and replacement</w:t>
      </w:r>
      <w:r>
        <w:rPr>
          <w:spacing w:val="-6"/>
          <w:sz w:val="24"/>
        </w:rPr>
        <w:t> </w:t>
      </w:r>
      <w:r>
        <w:rPr>
          <w:sz w:val="24"/>
        </w:rPr>
        <w:t>LINAC</w:t>
      </w:r>
      <w:r>
        <w:rPr>
          <w:spacing w:val="-3"/>
          <w:sz w:val="24"/>
        </w:rPr>
        <w:t> </w:t>
      </w:r>
      <w:r>
        <w:rPr>
          <w:sz w:val="24"/>
        </w:rPr>
        <w:t>packages</w:t>
      </w:r>
      <w:r>
        <w:rPr>
          <w:spacing w:val="-4"/>
          <w:sz w:val="24"/>
        </w:rPr>
        <w:t> </w:t>
      </w:r>
      <w:r>
        <w:rPr>
          <w:sz w:val="24"/>
        </w:rPr>
        <w:t>may</w:t>
      </w:r>
      <w:r>
        <w:rPr>
          <w:spacing w:val="-4"/>
          <w:sz w:val="24"/>
        </w:rPr>
        <w:t> </w:t>
      </w:r>
      <w:r>
        <w:rPr>
          <w:sz w:val="24"/>
        </w:rPr>
        <w:t>need</w:t>
      </w:r>
      <w:r>
        <w:rPr>
          <w:spacing w:val="-3"/>
          <w:sz w:val="24"/>
        </w:rPr>
        <w:t> </w:t>
      </w:r>
      <w:r>
        <w:rPr>
          <w:sz w:val="24"/>
        </w:rPr>
        <w:t>to</w:t>
      </w:r>
      <w:r>
        <w:rPr>
          <w:spacing w:val="-3"/>
          <w:sz w:val="24"/>
        </w:rPr>
        <w:t> </w:t>
      </w:r>
      <w:r>
        <w:rPr>
          <w:sz w:val="24"/>
        </w:rPr>
        <w:t>be</w:t>
      </w:r>
      <w:r>
        <w:rPr>
          <w:spacing w:val="-3"/>
          <w:sz w:val="24"/>
        </w:rPr>
        <w:t> </w:t>
      </w:r>
      <w:r>
        <w:rPr>
          <w:sz w:val="24"/>
        </w:rPr>
        <w:t>bundled</w:t>
      </w:r>
      <w:r>
        <w:rPr>
          <w:spacing w:val="-3"/>
          <w:sz w:val="24"/>
        </w:rPr>
        <w:t> </w:t>
      </w:r>
      <w:r>
        <w:rPr>
          <w:sz w:val="24"/>
        </w:rPr>
        <w:t>to</w:t>
      </w:r>
      <w:r>
        <w:rPr>
          <w:spacing w:val="-3"/>
          <w:sz w:val="24"/>
        </w:rPr>
        <w:t> </w:t>
      </w:r>
      <w:r>
        <w:rPr>
          <w:sz w:val="24"/>
        </w:rPr>
        <w:t>manage</w:t>
      </w:r>
      <w:r>
        <w:rPr>
          <w:spacing w:val="-3"/>
          <w:sz w:val="24"/>
        </w:rPr>
        <w:t> </w:t>
      </w:r>
      <w:r>
        <w:rPr>
          <w:sz w:val="24"/>
        </w:rPr>
        <w:t>design</w:t>
      </w:r>
      <w:r>
        <w:rPr>
          <w:spacing w:val="-3"/>
          <w:sz w:val="24"/>
        </w:rPr>
        <w:t> </w:t>
      </w:r>
      <w:r>
        <w:rPr>
          <w:sz w:val="24"/>
        </w:rPr>
        <w:t>responsibility, handover, equipment interfaces and possible intellectual property requirements. Capital Planning and procurement/legal advisers must confirm the precise basis before submission to Welsh Government.</w:t>
      </w:r>
    </w:p>
    <w:p>
      <w:pPr>
        <w:pStyle w:val="ListParagraph"/>
        <w:numPr>
          <w:ilvl w:val="0"/>
          <w:numId w:val="20"/>
        </w:numPr>
        <w:tabs>
          <w:tab w:pos="1037" w:val="left" w:leader="none"/>
        </w:tabs>
        <w:spacing w:line="271" w:lineRule="auto" w:before="7" w:after="0"/>
        <w:ind w:left="1037" w:right="606" w:hanging="175"/>
        <w:jc w:val="left"/>
        <w:rPr>
          <w:sz w:val="24"/>
        </w:rPr>
      </w:pPr>
      <w:r>
        <w:rPr>
          <w:b/>
          <w:sz w:val="24"/>
        </w:rPr>
        <w:t>Time:</w:t>
      </w:r>
      <w:r>
        <w:rPr>
          <w:b/>
          <w:spacing w:val="-3"/>
          <w:sz w:val="24"/>
        </w:rPr>
        <w:t> </w:t>
      </w:r>
      <w:r>
        <w:rPr>
          <w:sz w:val="24"/>
        </w:rPr>
        <w:t>no</w:t>
      </w:r>
      <w:r>
        <w:rPr>
          <w:spacing w:val="-3"/>
          <w:sz w:val="24"/>
        </w:rPr>
        <w:t> </w:t>
      </w:r>
      <w:r>
        <w:rPr>
          <w:sz w:val="24"/>
        </w:rPr>
        <w:t>option</w:t>
      </w:r>
      <w:r>
        <w:rPr>
          <w:spacing w:val="-3"/>
          <w:sz w:val="24"/>
        </w:rPr>
        <w:t> </w:t>
      </w:r>
      <w:r>
        <w:rPr>
          <w:sz w:val="24"/>
        </w:rPr>
        <w:t>eliminates</w:t>
      </w:r>
      <w:r>
        <w:rPr>
          <w:spacing w:val="-4"/>
          <w:sz w:val="24"/>
        </w:rPr>
        <w:t> </w:t>
      </w:r>
      <w:r>
        <w:rPr>
          <w:sz w:val="24"/>
        </w:rPr>
        <w:t>the</w:t>
      </w:r>
      <w:r>
        <w:rPr>
          <w:spacing w:val="-3"/>
          <w:sz w:val="24"/>
        </w:rPr>
        <w:t> </w:t>
      </w:r>
      <w:r>
        <w:rPr>
          <w:sz w:val="24"/>
        </w:rPr>
        <w:t>immediate</w:t>
      </w:r>
      <w:r>
        <w:rPr>
          <w:spacing w:val="-3"/>
          <w:sz w:val="24"/>
        </w:rPr>
        <w:t> </w:t>
      </w:r>
      <w:r>
        <w:rPr>
          <w:sz w:val="24"/>
        </w:rPr>
        <w:t>replacement</w:t>
      </w:r>
      <w:r>
        <w:rPr>
          <w:spacing w:val="-6"/>
          <w:sz w:val="24"/>
        </w:rPr>
        <w:t> </w:t>
      </w:r>
      <w:r>
        <w:rPr>
          <w:sz w:val="24"/>
        </w:rPr>
        <w:t>gap,</w:t>
      </w:r>
      <w:r>
        <w:rPr>
          <w:spacing w:val="-6"/>
          <w:sz w:val="24"/>
        </w:rPr>
        <w:t> </w:t>
      </w:r>
      <w:r>
        <w:rPr>
          <w:sz w:val="24"/>
        </w:rPr>
        <w:t>but</w:t>
      </w:r>
      <w:r>
        <w:rPr>
          <w:spacing w:val="-6"/>
          <w:sz w:val="24"/>
        </w:rPr>
        <w:t> </w:t>
      </w:r>
      <w:r>
        <w:rPr>
          <w:sz w:val="24"/>
        </w:rPr>
        <w:t>an</w:t>
      </w:r>
      <w:r>
        <w:rPr>
          <w:spacing w:val="-3"/>
          <w:sz w:val="24"/>
        </w:rPr>
        <w:t> </w:t>
      </w:r>
      <w:r>
        <w:rPr>
          <w:sz w:val="24"/>
        </w:rPr>
        <w:t>integrated</w:t>
      </w:r>
      <w:r>
        <w:rPr>
          <w:spacing w:val="-3"/>
          <w:sz w:val="24"/>
        </w:rPr>
        <w:t> </w:t>
      </w:r>
      <w:r>
        <w:rPr>
          <w:sz w:val="24"/>
        </w:rPr>
        <w:t>approach reduces the risk of further avoidable delay once approvals and funding are available.</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24"/>
        <w:rPr>
          <w:sz w:val="16"/>
        </w:rPr>
      </w:pPr>
    </w:p>
    <w:p>
      <w:pPr>
        <w:spacing w:before="0"/>
        <w:ind w:left="657" w:right="228" w:firstLine="0"/>
        <w:jc w:val="center"/>
        <w:rPr>
          <w:sz w:val="16"/>
        </w:rPr>
      </w:pPr>
      <w:r>
        <w:rPr>
          <w:spacing w:val="-2"/>
          <w:sz w:val="16"/>
        </w:rPr>
        <w:t>Page</w:t>
      </w:r>
      <w:r>
        <w:rPr>
          <w:spacing w:val="-7"/>
          <w:sz w:val="16"/>
        </w:rPr>
        <w:t> </w:t>
      </w:r>
      <w:r>
        <w:rPr>
          <w:spacing w:val="-2"/>
          <w:sz w:val="16"/>
        </w:rPr>
        <w:t>3</w:t>
      </w:r>
      <w:r>
        <w:rPr>
          <w:spacing w:val="-9"/>
          <w:sz w:val="16"/>
        </w:rPr>
        <w:t> </w:t>
      </w:r>
      <w:r>
        <w:rPr>
          <w:spacing w:val="-2"/>
          <w:sz w:val="16"/>
        </w:rPr>
        <w:t>of</w:t>
      </w:r>
      <w:r>
        <w:rPr>
          <w:spacing w:val="-9"/>
          <w:sz w:val="16"/>
        </w:rPr>
        <w:t> </w:t>
      </w:r>
      <w:r>
        <w:rPr>
          <w:spacing w:val="-10"/>
          <w:sz w:val="16"/>
        </w:rPr>
        <w:t>6</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20" name="Image 320"/>
            <wp:cNvGraphicFramePr>
              <a:graphicFrameLocks/>
            </wp:cNvGraphicFramePr>
            <a:graphic>
              <a:graphicData uri="http://schemas.openxmlformats.org/drawingml/2006/picture">
                <pic:pic>
                  <pic:nvPicPr>
                    <pic:cNvPr id="320" name="Image 320"/>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21" name="Image 321"/>
            <wp:cNvGraphicFramePr>
              <a:graphicFrameLocks/>
            </wp:cNvGraphicFramePr>
            <a:graphic>
              <a:graphicData uri="http://schemas.openxmlformats.org/drawingml/2006/picture">
                <pic:pic>
                  <pic:nvPicPr>
                    <pic:cNvPr id="321" name="Image 321"/>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323" w:hRule="atLeast"/>
        </w:trPr>
        <w:tc>
          <w:tcPr>
            <w:tcW w:w="10069" w:type="dxa"/>
          </w:tcPr>
          <w:p>
            <w:pPr>
              <w:pStyle w:val="TableParagraph"/>
              <w:spacing w:before="40" w:after="38"/>
              <w:ind w:left="400"/>
              <w:rPr>
                <w:b/>
                <w:sz w:val="24"/>
              </w:rPr>
            </w:pPr>
            <w:r>
              <w:rPr>
                <w:b/>
                <w:color w:val="1F4E79"/>
                <w:spacing w:val="-4"/>
                <w:sz w:val="24"/>
              </w:rPr>
              <w:t>Indicative</w:t>
            </w:r>
            <w:r>
              <w:rPr>
                <w:b/>
                <w:color w:val="1F4E79"/>
                <w:spacing w:val="3"/>
                <w:sz w:val="24"/>
              </w:rPr>
              <w:t> </w:t>
            </w:r>
            <w:r>
              <w:rPr>
                <w:b/>
                <w:color w:val="1F4E79"/>
                <w:spacing w:val="-4"/>
                <w:sz w:val="24"/>
              </w:rPr>
              <w:t>programme</w:t>
            </w:r>
            <w:r>
              <w:rPr>
                <w:b/>
                <w:color w:val="1F4E79"/>
                <w:spacing w:val="-2"/>
                <w:sz w:val="24"/>
              </w:rPr>
              <w:t> </w:t>
            </w:r>
            <w:r>
              <w:rPr>
                <w:b/>
                <w:color w:val="1F4E79"/>
                <w:spacing w:val="-4"/>
                <w:sz w:val="24"/>
              </w:rPr>
              <w:t>position</w:t>
            </w:r>
          </w:p>
          <w:p>
            <w:pPr>
              <w:pStyle w:val="TableParagraph"/>
              <w:ind w:left="316"/>
              <w:rPr>
                <w:sz w:val="20"/>
              </w:rPr>
            </w:pPr>
            <w:r>
              <w:rPr>
                <w:sz w:val="20"/>
              </w:rPr>
              <w:drawing>
                <wp:inline distT="0" distB="0" distL="0" distR="0">
                  <wp:extent cx="5984630" cy="3310128"/>
                  <wp:effectExtent l="0" t="0" r="0" b="0"/>
                  <wp:docPr id="322" name="Image 322"/>
                  <wp:cNvGraphicFramePr>
                    <a:graphicFrameLocks/>
                  </wp:cNvGraphicFramePr>
                  <a:graphic>
                    <a:graphicData uri="http://schemas.openxmlformats.org/drawingml/2006/picture">
                      <pic:pic>
                        <pic:nvPicPr>
                          <pic:cNvPr id="322" name="Image 322"/>
                          <pic:cNvPicPr/>
                        </pic:nvPicPr>
                        <pic:blipFill>
                          <a:blip r:embed="rId65" cstate="print"/>
                          <a:stretch>
                            <a:fillRect/>
                          </a:stretch>
                        </pic:blipFill>
                        <pic:spPr>
                          <a:xfrm>
                            <a:off x="0" y="0"/>
                            <a:ext cx="5984630" cy="3310128"/>
                          </a:xfrm>
                          <a:prstGeom prst="rect">
                            <a:avLst/>
                          </a:prstGeom>
                        </pic:spPr>
                      </pic:pic>
                    </a:graphicData>
                  </a:graphic>
                </wp:inline>
              </w:drawing>
            </w:r>
            <w:r>
              <w:rPr>
                <w:sz w:val="20"/>
              </w:rPr>
            </w:r>
          </w:p>
          <w:p>
            <w:pPr>
              <w:pStyle w:val="TableParagraph"/>
              <w:spacing w:before="44"/>
              <w:ind w:left="1835" w:hanging="1546"/>
              <w:rPr>
                <w:i/>
                <w:sz w:val="24"/>
              </w:rPr>
            </w:pPr>
            <w:r>
              <w:rPr>
                <w:i/>
                <w:spacing w:val="-2"/>
                <w:sz w:val="24"/>
              </w:rPr>
              <w:t>Figure</w:t>
            </w:r>
            <w:r>
              <w:rPr>
                <w:i/>
                <w:spacing w:val="-15"/>
                <w:sz w:val="24"/>
              </w:rPr>
              <w:t> </w:t>
            </w:r>
            <w:r>
              <w:rPr>
                <w:i/>
                <w:spacing w:val="-2"/>
                <w:sz w:val="24"/>
              </w:rPr>
              <w:t>1.</w:t>
            </w:r>
            <w:r>
              <w:rPr>
                <w:i/>
                <w:spacing w:val="-15"/>
                <w:sz w:val="24"/>
              </w:rPr>
              <w:t> </w:t>
            </w:r>
            <w:r>
              <w:rPr>
                <w:i/>
                <w:spacing w:val="-2"/>
                <w:sz w:val="24"/>
              </w:rPr>
              <w:t>Indicative</w:t>
            </w:r>
            <w:r>
              <w:rPr>
                <w:i/>
                <w:spacing w:val="-14"/>
                <w:sz w:val="24"/>
              </w:rPr>
              <w:t> </w:t>
            </w:r>
            <w:r>
              <w:rPr>
                <w:i/>
                <w:spacing w:val="-2"/>
                <w:sz w:val="24"/>
              </w:rPr>
              <w:t>LINAC</w:t>
            </w:r>
            <w:r>
              <w:rPr>
                <w:i/>
                <w:spacing w:val="-14"/>
                <w:sz w:val="24"/>
              </w:rPr>
              <w:t> </w:t>
            </w:r>
            <w:r>
              <w:rPr>
                <w:i/>
                <w:spacing w:val="-2"/>
                <w:sz w:val="24"/>
              </w:rPr>
              <w:t>replacement</w:t>
            </w:r>
            <w:r>
              <w:rPr>
                <w:i/>
                <w:spacing w:val="-14"/>
                <w:sz w:val="24"/>
              </w:rPr>
              <w:t> </w:t>
            </w:r>
            <w:r>
              <w:rPr>
                <w:i/>
                <w:spacing w:val="-2"/>
                <w:sz w:val="24"/>
              </w:rPr>
              <w:t>and</w:t>
            </w:r>
            <w:r>
              <w:rPr>
                <w:i/>
                <w:spacing w:val="-12"/>
                <w:sz w:val="24"/>
              </w:rPr>
              <w:t> </w:t>
            </w:r>
            <w:r>
              <w:rPr>
                <w:i/>
                <w:spacing w:val="-2"/>
                <w:sz w:val="24"/>
              </w:rPr>
              <w:t>bunker</w:t>
            </w:r>
            <w:r>
              <w:rPr>
                <w:i/>
                <w:spacing w:val="-15"/>
                <w:sz w:val="24"/>
              </w:rPr>
              <w:t> </w:t>
            </w:r>
            <w:r>
              <w:rPr>
                <w:i/>
                <w:spacing w:val="-2"/>
                <w:sz w:val="24"/>
              </w:rPr>
              <w:t>delivery</w:t>
            </w:r>
            <w:r>
              <w:rPr>
                <w:i/>
                <w:spacing w:val="-13"/>
                <w:sz w:val="24"/>
              </w:rPr>
              <w:t> </w:t>
            </w:r>
            <w:r>
              <w:rPr>
                <w:i/>
                <w:spacing w:val="-2"/>
                <w:sz w:val="24"/>
              </w:rPr>
              <w:t>timeline.</w:t>
            </w:r>
            <w:r>
              <w:rPr>
                <w:i/>
                <w:spacing w:val="-15"/>
                <w:sz w:val="24"/>
              </w:rPr>
              <w:t> </w:t>
            </w:r>
            <w:r>
              <w:rPr>
                <w:i/>
                <w:spacing w:val="-2"/>
                <w:sz w:val="24"/>
              </w:rPr>
              <w:t>Planning</w:t>
            </w:r>
            <w:r>
              <w:rPr>
                <w:i/>
                <w:spacing w:val="-15"/>
                <w:sz w:val="24"/>
              </w:rPr>
              <w:t> </w:t>
            </w:r>
            <w:r>
              <w:rPr>
                <w:i/>
                <w:spacing w:val="-2"/>
                <w:sz w:val="24"/>
              </w:rPr>
              <w:t>dates</w:t>
            </w:r>
            <w:r>
              <w:rPr>
                <w:i/>
                <w:spacing w:val="-12"/>
                <w:sz w:val="24"/>
              </w:rPr>
              <w:t> </w:t>
            </w:r>
            <w:r>
              <w:rPr>
                <w:i/>
                <w:spacing w:val="-2"/>
                <w:sz w:val="24"/>
              </w:rPr>
              <w:t>remain</w:t>
            </w:r>
            <w:r>
              <w:rPr>
                <w:i/>
                <w:spacing w:val="-2"/>
                <w:sz w:val="24"/>
              </w:rPr>
              <w:t> </w:t>
            </w:r>
            <w:r>
              <w:rPr>
                <w:i/>
                <w:sz w:val="24"/>
              </w:rPr>
              <w:t>subject</w:t>
            </w:r>
            <w:r>
              <w:rPr>
                <w:i/>
                <w:spacing w:val="-10"/>
                <w:sz w:val="24"/>
              </w:rPr>
              <w:t> </w:t>
            </w:r>
            <w:r>
              <w:rPr>
                <w:i/>
                <w:sz w:val="24"/>
              </w:rPr>
              <w:t>to</w:t>
            </w:r>
            <w:r>
              <w:rPr>
                <w:i/>
                <w:spacing w:val="-7"/>
                <w:sz w:val="24"/>
              </w:rPr>
              <w:t> </w:t>
            </w:r>
            <w:r>
              <w:rPr>
                <w:i/>
                <w:sz w:val="24"/>
              </w:rPr>
              <w:t>approvals,</w:t>
            </w:r>
            <w:r>
              <w:rPr>
                <w:i/>
                <w:spacing w:val="-15"/>
                <w:sz w:val="24"/>
              </w:rPr>
              <w:t> </w:t>
            </w:r>
            <w:r>
              <w:rPr>
                <w:i/>
                <w:sz w:val="24"/>
              </w:rPr>
              <w:t>design,</w:t>
            </w:r>
            <w:r>
              <w:rPr>
                <w:i/>
                <w:spacing w:val="-10"/>
                <w:sz w:val="24"/>
              </w:rPr>
              <w:t> </w:t>
            </w:r>
            <w:r>
              <w:rPr>
                <w:i/>
                <w:sz w:val="24"/>
              </w:rPr>
              <w:t>business</w:t>
            </w:r>
            <w:r>
              <w:rPr>
                <w:i/>
                <w:spacing w:val="-3"/>
                <w:sz w:val="24"/>
              </w:rPr>
              <w:t> </w:t>
            </w:r>
            <w:r>
              <w:rPr>
                <w:i/>
                <w:sz w:val="24"/>
              </w:rPr>
              <w:t>case</w:t>
            </w:r>
            <w:r>
              <w:rPr>
                <w:i/>
                <w:spacing w:val="-7"/>
                <w:sz w:val="24"/>
              </w:rPr>
              <w:t> </w:t>
            </w:r>
            <w:r>
              <w:rPr>
                <w:i/>
                <w:sz w:val="24"/>
              </w:rPr>
              <w:t>and</w:t>
            </w:r>
            <w:r>
              <w:rPr>
                <w:i/>
                <w:spacing w:val="-2"/>
                <w:sz w:val="24"/>
              </w:rPr>
              <w:t> </w:t>
            </w:r>
            <w:r>
              <w:rPr>
                <w:i/>
                <w:sz w:val="24"/>
              </w:rPr>
              <w:t>procurement.</w:t>
            </w:r>
          </w:p>
          <w:p>
            <w:pPr>
              <w:pStyle w:val="TableParagraph"/>
              <w:spacing w:before="162"/>
              <w:rPr>
                <w:sz w:val="24"/>
              </w:rPr>
            </w:pPr>
          </w:p>
          <w:p>
            <w:pPr>
              <w:pStyle w:val="TableParagraph"/>
              <w:ind w:left="110"/>
              <w:rPr>
                <w:b/>
                <w:sz w:val="24"/>
              </w:rPr>
            </w:pPr>
            <w:r>
              <w:rPr>
                <w:b/>
                <w:color w:val="1F4E79"/>
                <w:spacing w:val="-2"/>
                <w:sz w:val="24"/>
              </w:rPr>
              <w:t>Risks</w:t>
            </w:r>
            <w:r>
              <w:rPr>
                <w:b/>
                <w:color w:val="1F4E79"/>
                <w:spacing w:val="-11"/>
                <w:sz w:val="24"/>
              </w:rPr>
              <w:t> </w:t>
            </w:r>
            <w:r>
              <w:rPr>
                <w:b/>
                <w:color w:val="1F4E79"/>
                <w:spacing w:val="-2"/>
                <w:sz w:val="24"/>
              </w:rPr>
              <w:t>and</w:t>
            </w:r>
            <w:r>
              <w:rPr>
                <w:b/>
                <w:color w:val="1F4E79"/>
                <w:spacing w:val="-13"/>
                <w:sz w:val="24"/>
              </w:rPr>
              <w:t> </w:t>
            </w:r>
            <w:r>
              <w:rPr>
                <w:b/>
                <w:color w:val="1F4E79"/>
                <w:spacing w:val="-2"/>
                <w:sz w:val="24"/>
              </w:rPr>
              <w:t>mitigations</w:t>
            </w:r>
          </w:p>
        </w:tc>
      </w:tr>
    </w:tbl>
    <w:p>
      <w:pPr>
        <w:pStyle w:val="BodyText"/>
        <w:rPr>
          <w:sz w:val="16"/>
        </w:rPr>
      </w:pPr>
    </w:p>
    <w:p>
      <w:pPr>
        <w:pStyle w:val="BodyText"/>
        <w:spacing w:before="173"/>
        <w:rPr>
          <w:sz w:val="16"/>
        </w:rPr>
      </w:pPr>
    </w:p>
    <w:p>
      <w:pPr>
        <w:spacing w:before="0"/>
        <w:ind w:left="657" w:right="228" w:firstLine="0"/>
        <w:jc w:val="center"/>
        <w:rPr>
          <w:sz w:val="16"/>
        </w:rPr>
      </w:pPr>
      <w:r>
        <w:rPr>
          <w:sz w:val="16"/>
        </w:rPr>
        <mc:AlternateContent>
          <mc:Choice Requires="wps">
            <w:drawing>
              <wp:anchor distT="0" distB="0" distL="0" distR="0" allowOverlap="1" layoutInCell="1" locked="0" behindDoc="0" simplePos="0" relativeHeight="15780352">
                <wp:simplePos x="0" y="0"/>
                <wp:positionH relativeFrom="page">
                  <wp:posOffset>616267</wp:posOffset>
                </wp:positionH>
                <wp:positionV relativeFrom="paragraph">
                  <wp:posOffset>-5042896</wp:posOffset>
                </wp:positionV>
                <wp:extent cx="6334125" cy="4530725"/>
                <wp:effectExtent l="0" t="0" r="0" b="0"/>
                <wp:wrapNone/>
                <wp:docPr id="323" name="Textbox 323"/>
                <wp:cNvGraphicFramePr>
                  <a:graphicFrameLocks/>
                </wp:cNvGraphicFramePr>
                <a:graphic>
                  <a:graphicData uri="http://schemas.microsoft.com/office/word/2010/wordprocessingShape">
                    <wps:wsp>
                      <wps:cNvPr id="323" name="Textbox 323"/>
                      <wps:cNvSpPr txBox="1"/>
                      <wps:spPr>
                        <a:xfrm>
                          <a:off x="0" y="0"/>
                          <a:ext cx="6334125" cy="4530725"/>
                        </a:xfrm>
                        <a:prstGeom prst="rect">
                          <a:avLst/>
                        </a:prstGeom>
                      </wps:spPr>
                      <wps:txbx>
                        <w:txbxContent>
                          <w:tbl>
                            <w:tblPr>
                              <w:tblW w:w="0" w:type="auto"/>
                              <w:jc w:val="left"/>
                              <w:tblInd w:w="6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0" w:type="dxa"/>
                                <w:left w:w="0" w:type="dxa"/>
                                <w:bottom w:w="0" w:type="dxa"/>
                                <w:right w:w="0" w:type="dxa"/>
                              </w:tblCellMar>
                              <w:tblLook w:val="01E0"/>
                            </w:tblPr>
                            <w:tblGrid>
                              <w:gridCol w:w="3162"/>
                              <w:gridCol w:w="3232"/>
                              <w:gridCol w:w="3453"/>
                            </w:tblGrid>
                            <w:tr>
                              <w:trPr>
                                <w:trHeight w:val="455" w:hRule="atLeast"/>
                              </w:trPr>
                              <w:tc>
                                <w:tcPr>
                                  <w:tcW w:w="3162" w:type="dxa"/>
                                  <w:shd w:val="clear" w:color="auto" w:fill="1F4E79"/>
                                </w:tcPr>
                                <w:p>
                                  <w:pPr>
                                    <w:pStyle w:val="TableParagraph"/>
                                    <w:spacing w:before="90"/>
                                    <w:ind w:left="2"/>
                                    <w:jc w:val="center"/>
                                    <w:rPr>
                                      <w:b/>
                                      <w:sz w:val="24"/>
                                    </w:rPr>
                                  </w:pPr>
                                  <w:r>
                                    <w:rPr>
                                      <w:b/>
                                      <w:color w:val="FFFFFF"/>
                                      <w:spacing w:val="-4"/>
                                      <w:sz w:val="24"/>
                                    </w:rPr>
                                    <w:t>Risk</w:t>
                                  </w:r>
                                </w:p>
                              </w:tc>
                              <w:tc>
                                <w:tcPr>
                                  <w:tcW w:w="3232" w:type="dxa"/>
                                  <w:shd w:val="clear" w:color="auto" w:fill="1F4E79"/>
                                </w:tcPr>
                                <w:p>
                                  <w:pPr>
                                    <w:pStyle w:val="TableParagraph"/>
                                    <w:spacing w:before="90"/>
                                    <w:ind w:left="709"/>
                                    <w:rPr>
                                      <w:b/>
                                      <w:sz w:val="24"/>
                                    </w:rPr>
                                  </w:pPr>
                                  <w:r>
                                    <w:rPr>
                                      <w:b/>
                                      <w:color w:val="FFFFFF"/>
                                      <w:spacing w:val="-4"/>
                                      <w:sz w:val="24"/>
                                    </w:rPr>
                                    <w:t>Potential</w:t>
                                  </w:r>
                                  <w:r>
                                    <w:rPr>
                                      <w:b/>
                                      <w:color w:val="FFFFFF"/>
                                      <w:sz w:val="24"/>
                                    </w:rPr>
                                    <w:t> </w:t>
                                  </w:r>
                                  <w:r>
                                    <w:rPr>
                                      <w:b/>
                                      <w:color w:val="FFFFFF"/>
                                      <w:spacing w:val="-2"/>
                                      <w:sz w:val="24"/>
                                    </w:rPr>
                                    <w:t>impact</w:t>
                                  </w:r>
                                </w:p>
                              </w:tc>
                              <w:tc>
                                <w:tcPr>
                                  <w:tcW w:w="3453" w:type="dxa"/>
                                  <w:shd w:val="clear" w:color="auto" w:fill="1F4E79"/>
                                </w:tcPr>
                                <w:p>
                                  <w:pPr>
                                    <w:pStyle w:val="TableParagraph"/>
                                    <w:spacing w:before="90"/>
                                    <w:ind w:right="2"/>
                                    <w:jc w:val="center"/>
                                    <w:rPr>
                                      <w:b/>
                                      <w:sz w:val="24"/>
                                    </w:rPr>
                                  </w:pPr>
                                  <w:r>
                                    <w:rPr>
                                      <w:b/>
                                      <w:color w:val="FFFFFF"/>
                                      <w:spacing w:val="-2"/>
                                      <w:sz w:val="24"/>
                                    </w:rPr>
                                    <w:t>Control</w:t>
                                  </w:r>
                                </w:p>
                              </w:tc>
                            </w:tr>
                            <w:tr>
                              <w:trPr>
                                <w:trHeight w:val="1010" w:hRule="atLeast"/>
                              </w:trPr>
                              <w:tc>
                                <w:tcPr>
                                  <w:tcW w:w="3162" w:type="dxa"/>
                                </w:tcPr>
                                <w:p>
                                  <w:pPr>
                                    <w:pStyle w:val="TableParagraph"/>
                                    <w:spacing w:before="88"/>
                                    <w:rPr>
                                      <w:sz w:val="24"/>
                                    </w:rPr>
                                  </w:pPr>
                                </w:p>
                                <w:p>
                                  <w:pPr>
                                    <w:pStyle w:val="TableParagraph"/>
                                    <w:spacing w:before="1"/>
                                    <w:ind w:left="110"/>
                                    <w:rPr>
                                      <w:b/>
                                      <w:sz w:val="24"/>
                                    </w:rPr>
                                  </w:pPr>
                                  <w:r>
                                    <w:rPr>
                                      <w:b/>
                                      <w:spacing w:val="-4"/>
                                      <w:sz w:val="24"/>
                                    </w:rPr>
                                    <w:t>Replacement</w:t>
                                  </w:r>
                                  <w:r>
                                    <w:rPr>
                                      <w:b/>
                                      <w:spacing w:val="3"/>
                                      <w:sz w:val="24"/>
                                    </w:rPr>
                                    <w:t> </w:t>
                                  </w:r>
                                  <w:r>
                                    <w:rPr>
                                      <w:b/>
                                      <w:spacing w:val="-5"/>
                                      <w:sz w:val="24"/>
                                    </w:rPr>
                                    <w:t>gap</w:t>
                                  </w:r>
                                </w:p>
                              </w:tc>
                              <w:tc>
                                <w:tcPr>
                                  <w:tcW w:w="3232" w:type="dxa"/>
                                </w:tcPr>
                                <w:p>
                                  <w:pPr>
                                    <w:pStyle w:val="TableParagraph"/>
                                    <w:spacing w:line="242" w:lineRule="auto" w:before="90"/>
                                    <w:ind w:left="109" w:right="276"/>
                                    <w:jc w:val="both"/>
                                    <w:rPr>
                                      <w:sz w:val="24"/>
                                    </w:rPr>
                                  </w:pPr>
                                  <w:r>
                                    <w:rPr>
                                      <w:spacing w:val="-2"/>
                                      <w:sz w:val="24"/>
                                    </w:rPr>
                                    <w:t>Loss</w:t>
                                  </w:r>
                                  <w:r>
                                    <w:rPr>
                                      <w:spacing w:val="-17"/>
                                      <w:sz w:val="24"/>
                                    </w:rPr>
                                    <w:t> </w:t>
                                  </w:r>
                                  <w:r>
                                    <w:rPr>
                                      <w:spacing w:val="-2"/>
                                      <w:sz w:val="24"/>
                                    </w:rPr>
                                    <w:t>of</w:t>
                                  </w:r>
                                  <w:r>
                                    <w:rPr>
                                      <w:spacing w:val="-15"/>
                                      <w:sz w:val="24"/>
                                    </w:rPr>
                                    <w:t> </w:t>
                                  </w:r>
                                  <w:r>
                                    <w:rPr>
                                      <w:spacing w:val="-2"/>
                                      <w:sz w:val="24"/>
                                    </w:rPr>
                                    <w:t>capacity,</w:t>
                                  </w:r>
                                  <w:r>
                                    <w:rPr>
                                      <w:spacing w:val="-14"/>
                                      <w:sz w:val="24"/>
                                    </w:rPr>
                                    <w:t> </w:t>
                                  </w:r>
                                  <w:r>
                                    <w:rPr>
                                      <w:spacing w:val="-2"/>
                                      <w:sz w:val="24"/>
                                    </w:rPr>
                                    <w:t>increased </w:t>
                                  </w:r>
                                  <w:r>
                                    <w:rPr>
                                      <w:spacing w:val="-4"/>
                                      <w:sz w:val="24"/>
                                    </w:rPr>
                                    <w:t>waits</w:t>
                                  </w:r>
                                  <w:r>
                                    <w:rPr>
                                      <w:spacing w:val="-11"/>
                                      <w:sz w:val="24"/>
                                    </w:rPr>
                                    <w:t> </w:t>
                                  </w:r>
                                  <w:r>
                                    <w:rPr>
                                      <w:spacing w:val="-4"/>
                                      <w:sz w:val="24"/>
                                    </w:rPr>
                                    <w:t>and</w:t>
                                  </w:r>
                                  <w:r>
                                    <w:rPr>
                                      <w:spacing w:val="-5"/>
                                      <w:sz w:val="24"/>
                                    </w:rPr>
                                    <w:t> </w:t>
                                  </w:r>
                                  <w:r>
                                    <w:rPr>
                                      <w:spacing w:val="-4"/>
                                      <w:sz w:val="24"/>
                                    </w:rPr>
                                    <w:t>service</w:t>
                                  </w:r>
                                  <w:r>
                                    <w:rPr>
                                      <w:spacing w:val="-10"/>
                                      <w:sz w:val="24"/>
                                    </w:rPr>
                                    <w:t> </w:t>
                                  </w:r>
                                  <w:r>
                                    <w:rPr>
                                      <w:spacing w:val="-4"/>
                                      <w:sz w:val="24"/>
                                    </w:rPr>
                                    <w:t>continuity </w:t>
                                  </w:r>
                                  <w:r>
                                    <w:rPr>
                                      <w:spacing w:val="-2"/>
                                      <w:sz w:val="24"/>
                                    </w:rPr>
                                    <w:t>risk.</w:t>
                                  </w:r>
                                </w:p>
                              </w:tc>
                              <w:tc>
                                <w:tcPr>
                                  <w:tcW w:w="3453" w:type="dxa"/>
                                </w:tcPr>
                                <w:p>
                                  <w:pPr>
                                    <w:pStyle w:val="TableParagraph"/>
                                    <w:spacing w:line="242" w:lineRule="auto" w:before="90"/>
                                    <w:ind w:left="103" w:right="339"/>
                                    <w:jc w:val="both"/>
                                    <w:rPr>
                                      <w:sz w:val="24"/>
                                    </w:rPr>
                                  </w:pPr>
                                  <w:r>
                                    <w:rPr>
                                      <w:spacing w:val="-2"/>
                                      <w:sz w:val="24"/>
                                    </w:rPr>
                                    <w:t>Maintain</w:t>
                                  </w:r>
                                  <w:r>
                                    <w:rPr>
                                      <w:spacing w:val="-17"/>
                                      <w:sz w:val="24"/>
                                    </w:rPr>
                                    <w:t> </w:t>
                                  </w:r>
                                  <w:r>
                                    <w:rPr>
                                      <w:spacing w:val="-2"/>
                                      <w:sz w:val="24"/>
                                    </w:rPr>
                                    <w:t>a</w:t>
                                  </w:r>
                                  <w:r>
                                    <w:rPr>
                                      <w:spacing w:val="-15"/>
                                      <w:sz w:val="24"/>
                                    </w:rPr>
                                    <w:t> </w:t>
                                  </w:r>
                                  <w:r>
                                    <w:rPr>
                                      <w:spacing w:val="-2"/>
                                      <w:sz w:val="24"/>
                                    </w:rPr>
                                    <w:t>formally</w:t>
                                  </w:r>
                                  <w:r>
                                    <w:rPr>
                                      <w:spacing w:val="-14"/>
                                      <w:sz w:val="24"/>
                                    </w:rPr>
                                    <w:t> </w:t>
                                  </w:r>
                                  <w:r>
                                    <w:rPr>
                                      <w:spacing w:val="-2"/>
                                      <w:sz w:val="24"/>
                                    </w:rPr>
                                    <w:t>governed interim</w:t>
                                  </w:r>
                                  <w:r>
                                    <w:rPr>
                                      <w:spacing w:val="-15"/>
                                      <w:sz w:val="24"/>
                                    </w:rPr>
                                    <w:t> </w:t>
                                  </w:r>
                                  <w:r>
                                    <w:rPr>
                                      <w:spacing w:val="-2"/>
                                      <w:sz w:val="24"/>
                                    </w:rPr>
                                    <w:t>operational</w:t>
                                  </w:r>
                                  <w:r>
                                    <w:rPr>
                                      <w:spacing w:val="-15"/>
                                      <w:sz w:val="24"/>
                                    </w:rPr>
                                    <w:t> </w:t>
                                  </w:r>
                                  <w:r>
                                    <w:rPr>
                                      <w:spacing w:val="-2"/>
                                      <w:sz w:val="24"/>
                                    </w:rPr>
                                    <w:t>mitigation plan.</w:t>
                                  </w:r>
                                </w:p>
                              </w:tc>
                            </w:tr>
                            <w:tr>
                              <w:trPr>
                                <w:trHeight w:val="1285" w:hRule="atLeast"/>
                              </w:trPr>
                              <w:tc>
                                <w:tcPr>
                                  <w:tcW w:w="3162" w:type="dxa"/>
                                </w:tcPr>
                                <w:p>
                                  <w:pPr>
                                    <w:pStyle w:val="TableParagraph"/>
                                    <w:spacing w:before="228"/>
                                    <w:rPr>
                                      <w:sz w:val="24"/>
                                    </w:rPr>
                                  </w:pPr>
                                </w:p>
                                <w:p>
                                  <w:pPr>
                                    <w:pStyle w:val="TableParagraph"/>
                                    <w:spacing w:before="1"/>
                                    <w:ind w:left="110"/>
                                    <w:rPr>
                                      <w:b/>
                                      <w:sz w:val="24"/>
                                    </w:rPr>
                                  </w:pPr>
                                  <w:r>
                                    <w:rPr>
                                      <w:b/>
                                      <w:spacing w:val="-4"/>
                                      <w:sz w:val="24"/>
                                    </w:rPr>
                                    <w:t>Programme</w:t>
                                  </w:r>
                                  <w:r>
                                    <w:rPr>
                                      <w:b/>
                                      <w:spacing w:val="-2"/>
                                      <w:sz w:val="24"/>
                                    </w:rPr>
                                    <w:t> </w:t>
                                  </w:r>
                                  <w:r>
                                    <w:rPr>
                                      <w:b/>
                                      <w:spacing w:val="-4"/>
                                      <w:sz w:val="24"/>
                                    </w:rPr>
                                    <w:t>delay</w:t>
                                  </w:r>
                                </w:p>
                              </w:tc>
                              <w:tc>
                                <w:tcPr>
                                  <w:tcW w:w="3232" w:type="dxa"/>
                                </w:tcPr>
                                <w:p>
                                  <w:pPr>
                                    <w:pStyle w:val="TableParagraph"/>
                                    <w:spacing w:line="242" w:lineRule="auto" w:before="225"/>
                                    <w:ind w:left="109" w:right="145"/>
                                    <w:rPr>
                                      <w:sz w:val="24"/>
                                    </w:rPr>
                                  </w:pPr>
                                  <w:r>
                                    <w:rPr>
                                      <w:sz w:val="24"/>
                                    </w:rPr>
                                    <w:t>Bunker delivery moves </w:t>
                                  </w:r>
                                  <w:r>
                                    <w:rPr>
                                      <w:spacing w:val="-4"/>
                                      <w:sz w:val="24"/>
                                    </w:rPr>
                                    <w:t>further</w:t>
                                  </w:r>
                                  <w:r>
                                    <w:rPr>
                                      <w:spacing w:val="-13"/>
                                      <w:sz w:val="24"/>
                                    </w:rPr>
                                    <w:t> </w:t>
                                  </w:r>
                                  <w:r>
                                    <w:rPr>
                                      <w:spacing w:val="-4"/>
                                      <w:sz w:val="24"/>
                                    </w:rPr>
                                    <w:t>beyond</w:t>
                                  </w:r>
                                  <w:r>
                                    <w:rPr>
                                      <w:spacing w:val="-8"/>
                                      <w:sz w:val="24"/>
                                    </w:rPr>
                                    <w:t> </w:t>
                                  </w:r>
                                  <w:r>
                                    <w:rPr>
                                      <w:spacing w:val="-4"/>
                                      <w:sz w:val="24"/>
                                    </w:rPr>
                                    <w:t>replacement </w:t>
                                  </w:r>
                                  <w:r>
                                    <w:rPr>
                                      <w:spacing w:val="-2"/>
                                      <w:sz w:val="24"/>
                                    </w:rPr>
                                    <w:t>dates.</w:t>
                                  </w:r>
                                </w:p>
                              </w:tc>
                              <w:tc>
                                <w:tcPr>
                                  <w:tcW w:w="3453" w:type="dxa"/>
                                </w:tcPr>
                                <w:p>
                                  <w:pPr>
                                    <w:pStyle w:val="TableParagraph"/>
                                    <w:spacing w:before="90"/>
                                    <w:ind w:left="103" w:right="213"/>
                                    <w:rPr>
                                      <w:sz w:val="24"/>
                                    </w:rPr>
                                  </w:pPr>
                                  <w:r>
                                    <w:rPr>
                                      <w:sz w:val="24"/>
                                    </w:rPr>
                                    <w:t>Early WG engagement, confirmed critical path, </w:t>
                                  </w:r>
                                  <w:r>
                                    <w:rPr>
                                      <w:spacing w:val="-2"/>
                                      <w:sz w:val="24"/>
                                    </w:rPr>
                                    <w:t>procurement</w:t>
                                  </w:r>
                                  <w:r>
                                    <w:rPr>
                                      <w:spacing w:val="-17"/>
                                      <w:sz w:val="24"/>
                                    </w:rPr>
                                    <w:t> </w:t>
                                  </w:r>
                                  <w:r>
                                    <w:rPr>
                                      <w:spacing w:val="-2"/>
                                      <w:sz w:val="24"/>
                                    </w:rPr>
                                    <w:t>route</w:t>
                                  </w:r>
                                  <w:r>
                                    <w:rPr>
                                      <w:spacing w:val="-15"/>
                                      <w:sz w:val="24"/>
                                    </w:rPr>
                                    <w:t> </w:t>
                                  </w:r>
                                  <w:r>
                                    <w:rPr>
                                      <w:spacing w:val="-2"/>
                                      <w:sz w:val="24"/>
                                    </w:rPr>
                                    <w:t>and</w:t>
                                  </w:r>
                                  <w:r>
                                    <w:rPr>
                                      <w:spacing w:val="-14"/>
                                      <w:sz w:val="24"/>
                                    </w:rPr>
                                    <w:t> </w:t>
                                  </w:r>
                                  <w:r>
                                    <w:rPr>
                                      <w:spacing w:val="-2"/>
                                      <w:sz w:val="24"/>
                                    </w:rPr>
                                    <w:t>design funding.</w:t>
                                  </w:r>
                                </w:p>
                              </w:tc>
                            </w:tr>
                            <w:tr>
                              <w:trPr>
                                <w:trHeight w:val="1005" w:hRule="atLeast"/>
                              </w:trPr>
                              <w:tc>
                                <w:tcPr>
                                  <w:tcW w:w="3162" w:type="dxa"/>
                                </w:tcPr>
                                <w:p>
                                  <w:pPr>
                                    <w:pStyle w:val="TableParagraph"/>
                                    <w:spacing w:before="89"/>
                                    <w:rPr>
                                      <w:sz w:val="24"/>
                                    </w:rPr>
                                  </w:pPr>
                                </w:p>
                                <w:p>
                                  <w:pPr>
                                    <w:pStyle w:val="TableParagraph"/>
                                    <w:ind w:left="110"/>
                                    <w:rPr>
                                      <w:b/>
                                      <w:sz w:val="24"/>
                                    </w:rPr>
                                  </w:pPr>
                                  <w:r>
                                    <w:rPr>
                                      <w:b/>
                                      <w:spacing w:val="-4"/>
                                      <w:sz w:val="24"/>
                                    </w:rPr>
                                    <w:t>Scope</w:t>
                                  </w:r>
                                  <w:r>
                                    <w:rPr>
                                      <w:b/>
                                      <w:spacing w:val="-5"/>
                                      <w:sz w:val="24"/>
                                    </w:rPr>
                                    <w:t> </w:t>
                                  </w:r>
                                  <w:r>
                                    <w:rPr>
                                      <w:b/>
                                      <w:spacing w:val="-2"/>
                                      <w:sz w:val="24"/>
                                    </w:rPr>
                                    <w:t>misunderstanding</w:t>
                                  </w:r>
                                </w:p>
                              </w:tc>
                              <w:tc>
                                <w:tcPr>
                                  <w:tcW w:w="3232" w:type="dxa"/>
                                </w:tcPr>
                                <w:p>
                                  <w:pPr>
                                    <w:pStyle w:val="TableParagraph"/>
                                    <w:spacing w:before="90"/>
                                    <w:ind w:left="109" w:right="415"/>
                                    <w:jc w:val="both"/>
                                    <w:rPr>
                                      <w:sz w:val="24"/>
                                    </w:rPr>
                                  </w:pPr>
                                  <w:r>
                                    <w:rPr>
                                      <w:spacing w:val="-2"/>
                                      <w:sz w:val="24"/>
                                    </w:rPr>
                                    <w:t>Estate</w:t>
                                  </w:r>
                                  <w:r>
                                    <w:rPr>
                                      <w:spacing w:val="-15"/>
                                      <w:sz w:val="24"/>
                                    </w:rPr>
                                    <w:t> </w:t>
                                  </w:r>
                                  <w:r>
                                    <w:rPr>
                                      <w:spacing w:val="-2"/>
                                      <w:sz w:val="24"/>
                                    </w:rPr>
                                    <w:t>approval</w:t>
                                  </w:r>
                                  <w:r>
                                    <w:rPr>
                                      <w:spacing w:val="-15"/>
                                      <w:sz w:val="24"/>
                                    </w:rPr>
                                    <w:t> </w:t>
                                  </w:r>
                                  <w:r>
                                    <w:rPr>
                                      <w:spacing w:val="-2"/>
                                      <w:sz w:val="24"/>
                                    </w:rPr>
                                    <w:t>is</w:t>
                                  </w:r>
                                  <w:r>
                                    <w:rPr>
                                      <w:spacing w:val="-14"/>
                                      <w:sz w:val="24"/>
                                    </w:rPr>
                                    <w:t> </w:t>
                                  </w:r>
                                  <w:r>
                                    <w:rPr>
                                      <w:spacing w:val="-2"/>
                                      <w:sz w:val="24"/>
                                    </w:rPr>
                                    <w:t>read</w:t>
                                  </w:r>
                                  <w:r>
                                    <w:rPr>
                                      <w:spacing w:val="-15"/>
                                      <w:sz w:val="24"/>
                                    </w:rPr>
                                    <w:t> </w:t>
                                  </w:r>
                                  <w:r>
                                    <w:rPr>
                                      <w:spacing w:val="-2"/>
                                      <w:sz w:val="24"/>
                                    </w:rPr>
                                    <w:t>as </w:t>
                                  </w:r>
                                  <w:r>
                                    <w:rPr>
                                      <w:sz w:val="24"/>
                                    </w:rPr>
                                    <w:t>approval</w:t>
                                  </w:r>
                                  <w:r>
                                    <w:rPr>
                                      <w:spacing w:val="-19"/>
                                      <w:sz w:val="24"/>
                                    </w:rPr>
                                    <w:t> </w:t>
                                  </w:r>
                                  <w:r>
                                    <w:rPr>
                                      <w:sz w:val="24"/>
                                    </w:rPr>
                                    <w:t>for</w:t>
                                  </w:r>
                                  <w:r>
                                    <w:rPr>
                                      <w:spacing w:val="-17"/>
                                      <w:sz w:val="24"/>
                                    </w:rPr>
                                    <w:t> </w:t>
                                  </w:r>
                                  <w:r>
                                    <w:rPr>
                                      <w:sz w:val="24"/>
                                    </w:rPr>
                                    <w:t>equipment</w:t>
                                  </w:r>
                                  <w:r>
                                    <w:rPr>
                                      <w:spacing w:val="-16"/>
                                      <w:sz w:val="24"/>
                                    </w:rPr>
                                    <w:t> </w:t>
                                  </w:r>
                                  <w:r>
                                    <w:rPr>
                                      <w:sz w:val="24"/>
                                    </w:rPr>
                                    <w:t>or </w:t>
                                  </w:r>
                                  <w:r>
                                    <w:rPr>
                                      <w:spacing w:val="-2"/>
                                      <w:sz w:val="24"/>
                                    </w:rPr>
                                    <w:t>revenue.</w:t>
                                  </w:r>
                                </w:p>
                              </w:tc>
                              <w:tc>
                                <w:tcPr>
                                  <w:tcW w:w="3453" w:type="dxa"/>
                                </w:tcPr>
                                <w:p>
                                  <w:pPr>
                                    <w:pStyle w:val="TableParagraph"/>
                                    <w:spacing w:before="90"/>
                                    <w:ind w:left="103" w:right="213"/>
                                    <w:rPr>
                                      <w:sz w:val="24"/>
                                    </w:rPr>
                                  </w:pPr>
                                  <w:r>
                                    <w:rPr>
                                      <w:spacing w:val="-2"/>
                                      <w:sz w:val="24"/>
                                    </w:rPr>
                                    <w:t>Repeat</w:t>
                                  </w:r>
                                  <w:r>
                                    <w:rPr>
                                      <w:spacing w:val="-15"/>
                                      <w:sz w:val="24"/>
                                    </w:rPr>
                                    <w:t> </w:t>
                                  </w:r>
                                  <w:r>
                                    <w:rPr>
                                      <w:spacing w:val="-2"/>
                                      <w:sz w:val="24"/>
                                    </w:rPr>
                                    <w:t>the</w:t>
                                  </w:r>
                                  <w:r>
                                    <w:rPr>
                                      <w:spacing w:val="-15"/>
                                      <w:sz w:val="24"/>
                                    </w:rPr>
                                    <w:t> </w:t>
                                  </w:r>
                                  <w:r>
                                    <w:rPr>
                                      <w:spacing w:val="-2"/>
                                      <w:sz w:val="24"/>
                                    </w:rPr>
                                    <w:t>boundary</w:t>
                                  </w:r>
                                  <w:r>
                                    <w:rPr>
                                      <w:spacing w:val="-14"/>
                                      <w:sz w:val="24"/>
                                    </w:rPr>
                                    <w:t> </w:t>
                                  </w:r>
                                  <w:r>
                                    <w:rPr>
                                      <w:spacing w:val="-2"/>
                                      <w:sz w:val="24"/>
                                    </w:rPr>
                                    <w:t>of</w:t>
                                  </w:r>
                                  <w:r>
                                    <w:rPr>
                                      <w:spacing w:val="-15"/>
                                      <w:sz w:val="24"/>
                                    </w:rPr>
                                    <w:t> </w:t>
                                  </w:r>
                                  <w:r>
                                    <w:rPr>
                                      <w:spacing w:val="-2"/>
                                      <w:sz w:val="24"/>
                                    </w:rPr>
                                    <w:t>the </w:t>
                                  </w:r>
                                  <w:r>
                                    <w:rPr>
                                      <w:sz w:val="24"/>
                                    </w:rPr>
                                    <w:t>current decision and use staged business cases.</w:t>
                                  </w:r>
                                </w:p>
                              </w:tc>
                            </w:tr>
                            <w:tr>
                              <w:trPr>
                                <w:trHeight w:val="1010" w:hRule="atLeast"/>
                              </w:trPr>
                              <w:tc>
                                <w:tcPr>
                                  <w:tcW w:w="3162" w:type="dxa"/>
                                </w:tcPr>
                                <w:p>
                                  <w:pPr>
                                    <w:pStyle w:val="TableParagraph"/>
                                    <w:spacing w:before="88"/>
                                    <w:rPr>
                                      <w:sz w:val="24"/>
                                    </w:rPr>
                                  </w:pPr>
                                </w:p>
                                <w:p>
                                  <w:pPr>
                                    <w:pStyle w:val="TableParagraph"/>
                                    <w:spacing w:before="1"/>
                                    <w:ind w:left="110"/>
                                    <w:rPr>
                                      <w:b/>
                                      <w:sz w:val="24"/>
                                    </w:rPr>
                                  </w:pPr>
                                  <w:r>
                                    <w:rPr>
                                      <w:b/>
                                      <w:spacing w:val="-5"/>
                                      <w:sz w:val="24"/>
                                    </w:rPr>
                                    <w:t>Under-</w:t>
                                  </w:r>
                                  <w:r>
                                    <w:rPr>
                                      <w:b/>
                                      <w:spacing w:val="-2"/>
                                      <w:sz w:val="24"/>
                                    </w:rPr>
                                    <w:t>building</w:t>
                                  </w:r>
                                </w:p>
                              </w:tc>
                              <w:tc>
                                <w:tcPr>
                                  <w:tcW w:w="3232" w:type="dxa"/>
                                </w:tcPr>
                                <w:p>
                                  <w:pPr>
                                    <w:pStyle w:val="TableParagraph"/>
                                    <w:spacing w:line="242" w:lineRule="auto" w:before="90"/>
                                    <w:ind w:left="109" w:right="579"/>
                                    <w:rPr>
                                      <w:sz w:val="24"/>
                                    </w:rPr>
                                  </w:pPr>
                                  <w:r>
                                    <w:rPr>
                                      <w:spacing w:val="-2"/>
                                      <w:sz w:val="24"/>
                                    </w:rPr>
                                    <w:t>Single</w:t>
                                  </w:r>
                                  <w:r>
                                    <w:rPr>
                                      <w:spacing w:val="-17"/>
                                      <w:sz w:val="24"/>
                                    </w:rPr>
                                    <w:t> </w:t>
                                  </w:r>
                                  <w:r>
                                    <w:rPr>
                                      <w:spacing w:val="-2"/>
                                      <w:sz w:val="24"/>
                                    </w:rPr>
                                    <w:t>bunker</w:t>
                                  </w:r>
                                  <w:r>
                                    <w:rPr>
                                      <w:spacing w:val="-15"/>
                                      <w:sz w:val="24"/>
                                    </w:rPr>
                                    <w:t> </w:t>
                                  </w:r>
                                  <w:r>
                                    <w:rPr>
                                      <w:spacing w:val="-2"/>
                                      <w:sz w:val="24"/>
                                    </w:rPr>
                                    <w:t>requires</w:t>
                                  </w:r>
                                  <w:r>
                                    <w:rPr>
                                      <w:spacing w:val="-14"/>
                                      <w:sz w:val="24"/>
                                    </w:rPr>
                                    <w:t> </w:t>
                                  </w:r>
                                  <w:r>
                                    <w:rPr>
                                      <w:spacing w:val="-2"/>
                                      <w:sz w:val="24"/>
                                    </w:rPr>
                                    <w:t>a </w:t>
                                  </w:r>
                                  <w:r>
                                    <w:rPr>
                                      <w:sz w:val="24"/>
                                    </w:rPr>
                                    <w:t>second project on a constrained live site.</w:t>
                                  </w:r>
                                </w:p>
                              </w:tc>
                              <w:tc>
                                <w:tcPr>
                                  <w:tcW w:w="3453" w:type="dxa"/>
                                </w:tcPr>
                                <w:p>
                                  <w:pPr>
                                    <w:pStyle w:val="TableParagraph"/>
                                    <w:spacing w:line="242" w:lineRule="auto" w:before="90"/>
                                    <w:ind w:left="103" w:right="370"/>
                                    <w:rPr>
                                      <w:sz w:val="24"/>
                                    </w:rPr>
                                  </w:pPr>
                                  <w:r>
                                    <w:rPr>
                                      <w:sz w:val="24"/>
                                    </w:rPr>
                                    <w:t>Test whole-life value and </w:t>
                                  </w:r>
                                  <w:r>
                                    <w:rPr>
                                      <w:spacing w:val="-4"/>
                                      <w:sz w:val="24"/>
                                    </w:rPr>
                                    <w:t>strategic</w:t>
                                  </w:r>
                                  <w:r>
                                    <w:rPr>
                                      <w:spacing w:val="-11"/>
                                      <w:sz w:val="24"/>
                                    </w:rPr>
                                    <w:t> </w:t>
                                  </w:r>
                                  <w:r>
                                    <w:rPr>
                                      <w:spacing w:val="-4"/>
                                      <w:sz w:val="24"/>
                                    </w:rPr>
                                    <w:t>optionality</w:t>
                                  </w:r>
                                  <w:r>
                                    <w:rPr>
                                      <w:spacing w:val="-6"/>
                                      <w:sz w:val="24"/>
                                    </w:rPr>
                                    <w:t> </w:t>
                                  </w:r>
                                  <w:r>
                                    <w:rPr>
                                      <w:spacing w:val="-4"/>
                                      <w:sz w:val="24"/>
                                    </w:rPr>
                                    <w:t>through </w:t>
                                  </w:r>
                                  <w:r>
                                    <w:rPr>
                                      <w:sz w:val="24"/>
                                    </w:rPr>
                                    <w:t>the business case.</w:t>
                                  </w:r>
                                </w:p>
                              </w:tc>
                            </w:tr>
                            <w:tr>
                              <w:trPr>
                                <w:trHeight w:val="1005" w:hRule="atLeast"/>
                              </w:trPr>
                              <w:tc>
                                <w:tcPr>
                                  <w:tcW w:w="3162" w:type="dxa"/>
                                </w:tcPr>
                                <w:p>
                                  <w:pPr>
                                    <w:pStyle w:val="TableParagraph"/>
                                    <w:spacing w:before="88"/>
                                    <w:rPr>
                                      <w:sz w:val="24"/>
                                    </w:rPr>
                                  </w:pPr>
                                </w:p>
                                <w:p>
                                  <w:pPr>
                                    <w:pStyle w:val="TableParagraph"/>
                                    <w:spacing w:before="1"/>
                                    <w:ind w:left="110"/>
                                    <w:rPr>
                                      <w:b/>
                                      <w:sz w:val="24"/>
                                    </w:rPr>
                                  </w:pPr>
                                  <w:r>
                                    <w:rPr>
                                      <w:b/>
                                      <w:spacing w:val="-2"/>
                                      <w:sz w:val="24"/>
                                    </w:rPr>
                                    <w:t>Workforce</w:t>
                                  </w:r>
                                </w:p>
                              </w:tc>
                              <w:tc>
                                <w:tcPr>
                                  <w:tcW w:w="3232" w:type="dxa"/>
                                </w:tcPr>
                                <w:p>
                                  <w:pPr>
                                    <w:pStyle w:val="TableParagraph"/>
                                    <w:spacing w:line="242" w:lineRule="auto" w:before="225"/>
                                    <w:ind w:left="109" w:right="463"/>
                                    <w:rPr>
                                      <w:sz w:val="24"/>
                                    </w:rPr>
                                  </w:pPr>
                                  <w:r>
                                    <w:rPr>
                                      <w:sz w:val="24"/>
                                    </w:rPr>
                                    <w:t>Specialist workforce </w:t>
                                  </w:r>
                                  <w:r>
                                    <w:rPr>
                                      <w:spacing w:val="-2"/>
                                      <w:sz w:val="24"/>
                                    </w:rPr>
                                    <w:t>becomes</w:t>
                                  </w:r>
                                  <w:r>
                                    <w:rPr>
                                      <w:spacing w:val="-17"/>
                                      <w:sz w:val="24"/>
                                    </w:rPr>
                                    <w:t> </w:t>
                                  </w:r>
                                  <w:r>
                                    <w:rPr>
                                      <w:spacing w:val="-2"/>
                                      <w:sz w:val="24"/>
                                    </w:rPr>
                                    <w:t>the</w:t>
                                  </w:r>
                                  <w:r>
                                    <w:rPr>
                                      <w:spacing w:val="-15"/>
                                      <w:sz w:val="24"/>
                                    </w:rPr>
                                    <w:t> </w:t>
                                  </w:r>
                                  <w:r>
                                    <w:rPr>
                                      <w:spacing w:val="-2"/>
                                      <w:sz w:val="24"/>
                                    </w:rPr>
                                    <w:t>critical</w:t>
                                  </w:r>
                                  <w:r>
                                    <w:rPr>
                                      <w:spacing w:val="-14"/>
                                      <w:sz w:val="24"/>
                                    </w:rPr>
                                    <w:t> </w:t>
                                  </w:r>
                                  <w:r>
                                    <w:rPr>
                                      <w:spacing w:val="-2"/>
                                      <w:sz w:val="24"/>
                                    </w:rPr>
                                    <w:t>path.</w:t>
                                  </w:r>
                                </w:p>
                              </w:tc>
                              <w:tc>
                                <w:tcPr>
                                  <w:tcW w:w="3453" w:type="dxa"/>
                                </w:tcPr>
                                <w:p>
                                  <w:pPr>
                                    <w:pStyle w:val="TableParagraph"/>
                                    <w:spacing w:before="90"/>
                                    <w:ind w:left="103" w:right="370"/>
                                    <w:rPr>
                                      <w:sz w:val="24"/>
                                    </w:rPr>
                                  </w:pPr>
                                  <w:r>
                                    <w:rPr>
                                      <w:spacing w:val="-2"/>
                                      <w:sz w:val="24"/>
                                    </w:rPr>
                                    <w:t>Develop</w:t>
                                  </w:r>
                                  <w:r>
                                    <w:rPr>
                                      <w:spacing w:val="-17"/>
                                      <w:sz w:val="24"/>
                                    </w:rPr>
                                    <w:t> </w:t>
                                  </w:r>
                                  <w:r>
                                    <w:rPr>
                                      <w:spacing w:val="-2"/>
                                      <w:sz w:val="24"/>
                                    </w:rPr>
                                    <w:t>a</w:t>
                                  </w:r>
                                  <w:r>
                                    <w:rPr>
                                      <w:spacing w:val="-15"/>
                                      <w:sz w:val="24"/>
                                    </w:rPr>
                                    <w:t> </w:t>
                                  </w:r>
                                  <w:r>
                                    <w:rPr>
                                      <w:spacing w:val="-2"/>
                                      <w:sz w:val="24"/>
                                    </w:rPr>
                                    <w:t>phased</w:t>
                                  </w:r>
                                  <w:r>
                                    <w:rPr>
                                      <w:spacing w:val="-14"/>
                                      <w:sz w:val="24"/>
                                    </w:rPr>
                                    <w:t> </w:t>
                                  </w:r>
                                  <w:r>
                                    <w:rPr>
                                      <w:spacing w:val="-2"/>
                                      <w:sz w:val="24"/>
                                    </w:rPr>
                                    <w:t>workforce </w:t>
                                  </w:r>
                                  <w:r>
                                    <w:rPr>
                                      <w:sz w:val="24"/>
                                    </w:rPr>
                                    <w:t>plan before any operational LINAC approval.</w:t>
                                  </w:r>
                                </w:p>
                              </w:tc>
                            </w:tr>
                            <w:tr>
                              <w:trPr>
                                <w:trHeight w:val="1285" w:hRule="atLeast"/>
                              </w:trPr>
                              <w:tc>
                                <w:tcPr>
                                  <w:tcW w:w="3162" w:type="dxa"/>
                                </w:tcPr>
                                <w:p>
                                  <w:pPr>
                                    <w:pStyle w:val="TableParagraph"/>
                                    <w:spacing w:before="229"/>
                                    <w:rPr>
                                      <w:sz w:val="24"/>
                                    </w:rPr>
                                  </w:pPr>
                                </w:p>
                                <w:p>
                                  <w:pPr>
                                    <w:pStyle w:val="TableParagraph"/>
                                    <w:ind w:left="110"/>
                                    <w:rPr>
                                      <w:b/>
                                      <w:sz w:val="24"/>
                                    </w:rPr>
                                  </w:pPr>
                                  <w:r>
                                    <w:rPr>
                                      <w:b/>
                                      <w:spacing w:val="-4"/>
                                      <w:sz w:val="24"/>
                                    </w:rPr>
                                    <w:t>Regional</w:t>
                                  </w:r>
                                  <w:r>
                                    <w:rPr>
                                      <w:b/>
                                      <w:spacing w:val="-2"/>
                                      <w:sz w:val="24"/>
                                    </w:rPr>
                                    <w:t> access</w:t>
                                  </w:r>
                                </w:p>
                              </w:tc>
                              <w:tc>
                                <w:tcPr>
                                  <w:tcW w:w="3232" w:type="dxa"/>
                                </w:tcPr>
                                <w:p>
                                  <w:pPr>
                                    <w:pStyle w:val="TableParagraph"/>
                                    <w:spacing w:before="230"/>
                                    <w:ind w:left="109" w:right="145"/>
                                    <w:rPr>
                                      <w:sz w:val="24"/>
                                    </w:rPr>
                                  </w:pPr>
                                  <w:r>
                                    <w:rPr>
                                      <w:spacing w:val="-2"/>
                                      <w:sz w:val="24"/>
                                    </w:rPr>
                                    <w:t>Hywel</w:t>
                                  </w:r>
                                  <w:r>
                                    <w:rPr>
                                      <w:spacing w:val="-17"/>
                                      <w:sz w:val="24"/>
                                    </w:rPr>
                                    <w:t> </w:t>
                                  </w:r>
                                  <w:r>
                                    <w:rPr>
                                      <w:spacing w:val="-2"/>
                                      <w:sz w:val="24"/>
                                    </w:rPr>
                                    <w:t>Dda</w:t>
                                  </w:r>
                                  <w:r>
                                    <w:rPr>
                                      <w:spacing w:val="-15"/>
                                      <w:sz w:val="24"/>
                                    </w:rPr>
                                    <w:t> </w:t>
                                  </w:r>
                                  <w:r>
                                    <w:rPr>
                                      <w:spacing w:val="-2"/>
                                      <w:sz w:val="24"/>
                                    </w:rPr>
                                    <w:t>patients</w:t>
                                  </w:r>
                                  <w:r>
                                    <w:rPr>
                                      <w:spacing w:val="-14"/>
                                      <w:sz w:val="24"/>
                                    </w:rPr>
                                    <w:t> </w:t>
                                  </w:r>
                                  <w:r>
                                    <w:rPr>
                                      <w:spacing w:val="-2"/>
                                      <w:sz w:val="24"/>
                                    </w:rPr>
                                    <w:t>continue </w:t>
                                  </w:r>
                                  <w:r>
                                    <w:rPr>
                                      <w:sz w:val="24"/>
                                    </w:rPr>
                                    <w:t>to travel pending satellite </w:t>
                                  </w:r>
                                  <w:r>
                                    <w:rPr>
                                      <w:spacing w:val="-2"/>
                                      <w:sz w:val="24"/>
                                    </w:rPr>
                                    <w:t>development.</w:t>
                                  </w:r>
                                </w:p>
                              </w:tc>
                              <w:tc>
                                <w:tcPr>
                                  <w:tcW w:w="3453" w:type="dxa"/>
                                </w:tcPr>
                                <w:p>
                                  <w:pPr>
                                    <w:pStyle w:val="TableParagraph"/>
                                    <w:spacing w:before="90"/>
                                    <w:ind w:left="103" w:right="659"/>
                                    <w:rPr>
                                      <w:sz w:val="24"/>
                                    </w:rPr>
                                  </w:pPr>
                                  <w:r>
                                    <w:rPr>
                                      <w:sz w:val="24"/>
                                    </w:rPr>
                                    <w:t>Continue the satellite </w:t>
                                  </w:r>
                                  <w:r>
                                    <w:rPr>
                                      <w:spacing w:val="-4"/>
                                      <w:sz w:val="24"/>
                                    </w:rPr>
                                    <w:t>workstream</w:t>
                                  </w:r>
                                  <w:r>
                                    <w:rPr>
                                      <w:spacing w:val="-12"/>
                                      <w:sz w:val="24"/>
                                    </w:rPr>
                                    <w:t> </w:t>
                                  </w:r>
                                  <w:r>
                                    <w:rPr>
                                      <w:spacing w:val="-4"/>
                                      <w:sz w:val="24"/>
                                    </w:rPr>
                                    <w:t>and</w:t>
                                  </w:r>
                                  <w:r>
                                    <w:rPr>
                                      <w:spacing w:val="-12"/>
                                      <w:sz w:val="24"/>
                                    </w:rPr>
                                    <w:t> </w:t>
                                  </w:r>
                                  <w:r>
                                    <w:rPr>
                                      <w:spacing w:val="-4"/>
                                      <w:sz w:val="24"/>
                                    </w:rPr>
                                    <w:t>complete </w:t>
                                  </w:r>
                                  <w:r>
                                    <w:rPr>
                                      <w:sz w:val="24"/>
                                    </w:rPr>
                                    <w:t>equality/travel impact </w:t>
                                  </w:r>
                                  <w:r>
                                    <w:rPr>
                                      <w:spacing w:val="-2"/>
                                      <w:sz w:val="24"/>
                                    </w:rPr>
                                    <w:t>assessment.</w:t>
                                  </w:r>
                                </w:p>
                              </w:tc>
                            </w:tr>
                          </w:tbl>
                          <w:p>
                            <w:pPr>
                              <w:pStyle w:val="BodyText"/>
                            </w:pPr>
                          </w:p>
                        </w:txbxContent>
                      </wps:txbx>
                      <wps:bodyPr wrap="square" lIns="0" tIns="0" rIns="0" bIns="0" rtlCol="0">
                        <a:noAutofit/>
                      </wps:bodyPr>
                    </wps:wsp>
                  </a:graphicData>
                </a:graphic>
              </wp:anchor>
            </w:drawing>
          </mc:Choice>
          <mc:Fallback>
            <w:pict>
              <v:shape style="position:absolute;margin-left:48.525002pt;margin-top:-397.07843pt;width:498.75pt;height:356.75pt;mso-position-horizontal-relative:page;mso-position-vertical-relative:paragraph;z-index:15780352" type="#_x0000_t202" id="docshape175" filled="false" stroked="false">
                <v:textbox inset="0,0,0,0">
                  <w:txbxContent>
                    <w:tbl>
                      <w:tblPr>
                        <w:tblW w:w="0" w:type="auto"/>
                        <w:jc w:val="left"/>
                        <w:tblInd w:w="6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0" w:type="dxa"/>
                          <w:left w:w="0" w:type="dxa"/>
                          <w:bottom w:w="0" w:type="dxa"/>
                          <w:right w:w="0" w:type="dxa"/>
                        </w:tblCellMar>
                        <w:tblLook w:val="01E0"/>
                      </w:tblPr>
                      <w:tblGrid>
                        <w:gridCol w:w="3162"/>
                        <w:gridCol w:w="3232"/>
                        <w:gridCol w:w="3453"/>
                      </w:tblGrid>
                      <w:tr>
                        <w:trPr>
                          <w:trHeight w:val="455" w:hRule="atLeast"/>
                        </w:trPr>
                        <w:tc>
                          <w:tcPr>
                            <w:tcW w:w="3162" w:type="dxa"/>
                            <w:shd w:val="clear" w:color="auto" w:fill="1F4E79"/>
                          </w:tcPr>
                          <w:p>
                            <w:pPr>
                              <w:pStyle w:val="TableParagraph"/>
                              <w:spacing w:before="90"/>
                              <w:ind w:left="2"/>
                              <w:jc w:val="center"/>
                              <w:rPr>
                                <w:b/>
                                <w:sz w:val="24"/>
                              </w:rPr>
                            </w:pPr>
                            <w:r>
                              <w:rPr>
                                <w:b/>
                                <w:color w:val="FFFFFF"/>
                                <w:spacing w:val="-4"/>
                                <w:sz w:val="24"/>
                              </w:rPr>
                              <w:t>Risk</w:t>
                            </w:r>
                          </w:p>
                        </w:tc>
                        <w:tc>
                          <w:tcPr>
                            <w:tcW w:w="3232" w:type="dxa"/>
                            <w:shd w:val="clear" w:color="auto" w:fill="1F4E79"/>
                          </w:tcPr>
                          <w:p>
                            <w:pPr>
                              <w:pStyle w:val="TableParagraph"/>
                              <w:spacing w:before="90"/>
                              <w:ind w:left="709"/>
                              <w:rPr>
                                <w:b/>
                                <w:sz w:val="24"/>
                              </w:rPr>
                            </w:pPr>
                            <w:r>
                              <w:rPr>
                                <w:b/>
                                <w:color w:val="FFFFFF"/>
                                <w:spacing w:val="-4"/>
                                <w:sz w:val="24"/>
                              </w:rPr>
                              <w:t>Potential</w:t>
                            </w:r>
                            <w:r>
                              <w:rPr>
                                <w:b/>
                                <w:color w:val="FFFFFF"/>
                                <w:sz w:val="24"/>
                              </w:rPr>
                              <w:t> </w:t>
                            </w:r>
                            <w:r>
                              <w:rPr>
                                <w:b/>
                                <w:color w:val="FFFFFF"/>
                                <w:spacing w:val="-2"/>
                                <w:sz w:val="24"/>
                              </w:rPr>
                              <w:t>impact</w:t>
                            </w:r>
                          </w:p>
                        </w:tc>
                        <w:tc>
                          <w:tcPr>
                            <w:tcW w:w="3453" w:type="dxa"/>
                            <w:shd w:val="clear" w:color="auto" w:fill="1F4E79"/>
                          </w:tcPr>
                          <w:p>
                            <w:pPr>
                              <w:pStyle w:val="TableParagraph"/>
                              <w:spacing w:before="90"/>
                              <w:ind w:right="2"/>
                              <w:jc w:val="center"/>
                              <w:rPr>
                                <w:b/>
                                <w:sz w:val="24"/>
                              </w:rPr>
                            </w:pPr>
                            <w:r>
                              <w:rPr>
                                <w:b/>
                                <w:color w:val="FFFFFF"/>
                                <w:spacing w:val="-2"/>
                                <w:sz w:val="24"/>
                              </w:rPr>
                              <w:t>Control</w:t>
                            </w:r>
                          </w:p>
                        </w:tc>
                      </w:tr>
                      <w:tr>
                        <w:trPr>
                          <w:trHeight w:val="1010" w:hRule="atLeast"/>
                        </w:trPr>
                        <w:tc>
                          <w:tcPr>
                            <w:tcW w:w="3162" w:type="dxa"/>
                          </w:tcPr>
                          <w:p>
                            <w:pPr>
                              <w:pStyle w:val="TableParagraph"/>
                              <w:spacing w:before="88"/>
                              <w:rPr>
                                <w:sz w:val="24"/>
                              </w:rPr>
                            </w:pPr>
                          </w:p>
                          <w:p>
                            <w:pPr>
                              <w:pStyle w:val="TableParagraph"/>
                              <w:spacing w:before="1"/>
                              <w:ind w:left="110"/>
                              <w:rPr>
                                <w:b/>
                                <w:sz w:val="24"/>
                              </w:rPr>
                            </w:pPr>
                            <w:r>
                              <w:rPr>
                                <w:b/>
                                <w:spacing w:val="-4"/>
                                <w:sz w:val="24"/>
                              </w:rPr>
                              <w:t>Replacement</w:t>
                            </w:r>
                            <w:r>
                              <w:rPr>
                                <w:b/>
                                <w:spacing w:val="3"/>
                                <w:sz w:val="24"/>
                              </w:rPr>
                              <w:t> </w:t>
                            </w:r>
                            <w:r>
                              <w:rPr>
                                <w:b/>
                                <w:spacing w:val="-5"/>
                                <w:sz w:val="24"/>
                              </w:rPr>
                              <w:t>gap</w:t>
                            </w:r>
                          </w:p>
                        </w:tc>
                        <w:tc>
                          <w:tcPr>
                            <w:tcW w:w="3232" w:type="dxa"/>
                          </w:tcPr>
                          <w:p>
                            <w:pPr>
                              <w:pStyle w:val="TableParagraph"/>
                              <w:spacing w:line="242" w:lineRule="auto" w:before="90"/>
                              <w:ind w:left="109" w:right="276"/>
                              <w:jc w:val="both"/>
                              <w:rPr>
                                <w:sz w:val="24"/>
                              </w:rPr>
                            </w:pPr>
                            <w:r>
                              <w:rPr>
                                <w:spacing w:val="-2"/>
                                <w:sz w:val="24"/>
                              </w:rPr>
                              <w:t>Loss</w:t>
                            </w:r>
                            <w:r>
                              <w:rPr>
                                <w:spacing w:val="-17"/>
                                <w:sz w:val="24"/>
                              </w:rPr>
                              <w:t> </w:t>
                            </w:r>
                            <w:r>
                              <w:rPr>
                                <w:spacing w:val="-2"/>
                                <w:sz w:val="24"/>
                              </w:rPr>
                              <w:t>of</w:t>
                            </w:r>
                            <w:r>
                              <w:rPr>
                                <w:spacing w:val="-15"/>
                                <w:sz w:val="24"/>
                              </w:rPr>
                              <w:t> </w:t>
                            </w:r>
                            <w:r>
                              <w:rPr>
                                <w:spacing w:val="-2"/>
                                <w:sz w:val="24"/>
                              </w:rPr>
                              <w:t>capacity,</w:t>
                            </w:r>
                            <w:r>
                              <w:rPr>
                                <w:spacing w:val="-14"/>
                                <w:sz w:val="24"/>
                              </w:rPr>
                              <w:t> </w:t>
                            </w:r>
                            <w:r>
                              <w:rPr>
                                <w:spacing w:val="-2"/>
                                <w:sz w:val="24"/>
                              </w:rPr>
                              <w:t>increased </w:t>
                            </w:r>
                            <w:r>
                              <w:rPr>
                                <w:spacing w:val="-4"/>
                                <w:sz w:val="24"/>
                              </w:rPr>
                              <w:t>waits</w:t>
                            </w:r>
                            <w:r>
                              <w:rPr>
                                <w:spacing w:val="-11"/>
                                <w:sz w:val="24"/>
                              </w:rPr>
                              <w:t> </w:t>
                            </w:r>
                            <w:r>
                              <w:rPr>
                                <w:spacing w:val="-4"/>
                                <w:sz w:val="24"/>
                              </w:rPr>
                              <w:t>and</w:t>
                            </w:r>
                            <w:r>
                              <w:rPr>
                                <w:spacing w:val="-5"/>
                                <w:sz w:val="24"/>
                              </w:rPr>
                              <w:t> </w:t>
                            </w:r>
                            <w:r>
                              <w:rPr>
                                <w:spacing w:val="-4"/>
                                <w:sz w:val="24"/>
                              </w:rPr>
                              <w:t>service</w:t>
                            </w:r>
                            <w:r>
                              <w:rPr>
                                <w:spacing w:val="-10"/>
                                <w:sz w:val="24"/>
                              </w:rPr>
                              <w:t> </w:t>
                            </w:r>
                            <w:r>
                              <w:rPr>
                                <w:spacing w:val="-4"/>
                                <w:sz w:val="24"/>
                              </w:rPr>
                              <w:t>continuity </w:t>
                            </w:r>
                            <w:r>
                              <w:rPr>
                                <w:spacing w:val="-2"/>
                                <w:sz w:val="24"/>
                              </w:rPr>
                              <w:t>risk.</w:t>
                            </w:r>
                          </w:p>
                        </w:tc>
                        <w:tc>
                          <w:tcPr>
                            <w:tcW w:w="3453" w:type="dxa"/>
                          </w:tcPr>
                          <w:p>
                            <w:pPr>
                              <w:pStyle w:val="TableParagraph"/>
                              <w:spacing w:line="242" w:lineRule="auto" w:before="90"/>
                              <w:ind w:left="103" w:right="339"/>
                              <w:jc w:val="both"/>
                              <w:rPr>
                                <w:sz w:val="24"/>
                              </w:rPr>
                            </w:pPr>
                            <w:r>
                              <w:rPr>
                                <w:spacing w:val="-2"/>
                                <w:sz w:val="24"/>
                              </w:rPr>
                              <w:t>Maintain</w:t>
                            </w:r>
                            <w:r>
                              <w:rPr>
                                <w:spacing w:val="-17"/>
                                <w:sz w:val="24"/>
                              </w:rPr>
                              <w:t> </w:t>
                            </w:r>
                            <w:r>
                              <w:rPr>
                                <w:spacing w:val="-2"/>
                                <w:sz w:val="24"/>
                              </w:rPr>
                              <w:t>a</w:t>
                            </w:r>
                            <w:r>
                              <w:rPr>
                                <w:spacing w:val="-15"/>
                                <w:sz w:val="24"/>
                              </w:rPr>
                              <w:t> </w:t>
                            </w:r>
                            <w:r>
                              <w:rPr>
                                <w:spacing w:val="-2"/>
                                <w:sz w:val="24"/>
                              </w:rPr>
                              <w:t>formally</w:t>
                            </w:r>
                            <w:r>
                              <w:rPr>
                                <w:spacing w:val="-14"/>
                                <w:sz w:val="24"/>
                              </w:rPr>
                              <w:t> </w:t>
                            </w:r>
                            <w:r>
                              <w:rPr>
                                <w:spacing w:val="-2"/>
                                <w:sz w:val="24"/>
                              </w:rPr>
                              <w:t>governed interim</w:t>
                            </w:r>
                            <w:r>
                              <w:rPr>
                                <w:spacing w:val="-15"/>
                                <w:sz w:val="24"/>
                              </w:rPr>
                              <w:t> </w:t>
                            </w:r>
                            <w:r>
                              <w:rPr>
                                <w:spacing w:val="-2"/>
                                <w:sz w:val="24"/>
                              </w:rPr>
                              <w:t>operational</w:t>
                            </w:r>
                            <w:r>
                              <w:rPr>
                                <w:spacing w:val="-15"/>
                                <w:sz w:val="24"/>
                              </w:rPr>
                              <w:t> </w:t>
                            </w:r>
                            <w:r>
                              <w:rPr>
                                <w:spacing w:val="-2"/>
                                <w:sz w:val="24"/>
                              </w:rPr>
                              <w:t>mitigation plan.</w:t>
                            </w:r>
                          </w:p>
                        </w:tc>
                      </w:tr>
                      <w:tr>
                        <w:trPr>
                          <w:trHeight w:val="1285" w:hRule="atLeast"/>
                        </w:trPr>
                        <w:tc>
                          <w:tcPr>
                            <w:tcW w:w="3162" w:type="dxa"/>
                          </w:tcPr>
                          <w:p>
                            <w:pPr>
                              <w:pStyle w:val="TableParagraph"/>
                              <w:spacing w:before="228"/>
                              <w:rPr>
                                <w:sz w:val="24"/>
                              </w:rPr>
                            </w:pPr>
                          </w:p>
                          <w:p>
                            <w:pPr>
                              <w:pStyle w:val="TableParagraph"/>
                              <w:spacing w:before="1"/>
                              <w:ind w:left="110"/>
                              <w:rPr>
                                <w:b/>
                                <w:sz w:val="24"/>
                              </w:rPr>
                            </w:pPr>
                            <w:r>
                              <w:rPr>
                                <w:b/>
                                <w:spacing w:val="-4"/>
                                <w:sz w:val="24"/>
                              </w:rPr>
                              <w:t>Programme</w:t>
                            </w:r>
                            <w:r>
                              <w:rPr>
                                <w:b/>
                                <w:spacing w:val="-2"/>
                                <w:sz w:val="24"/>
                              </w:rPr>
                              <w:t> </w:t>
                            </w:r>
                            <w:r>
                              <w:rPr>
                                <w:b/>
                                <w:spacing w:val="-4"/>
                                <w:sz w:val="24"/>
                              </w:rPr>
                              <w:t>delay</w:t>
                            </w:r>
                          </w:p>
                        </w:tc>
                        <w:tc>
                          <w:tcPr>
                            <w:tcW w:w="3232" w:type="dxa"/>
                          </w:tcPr>
                          <w:p>
                            <w:pPr>
                              <w:pStyle w:val="TableParagraph"/>
                              <w:spacing w:line="242" w:lineRule="auto" w:before="225"/>
                              <w:ind w:left="109" w:right="145"/>
                              <w:rPr>
                                <w:sz w:val="24"/>
                              </w:rPr>
                            </w:pPr>
                            <w:r>
                              <w:rPr>
                                <w:sz w:val="24"/>
                              </w:rPr>
                              <w:t>Bunker delivery moves </w:t>
                            </w:r>
                            <w:r>
                              <w:rPr>
                                <w:spacing w:val="-4"/>
                                <w:sz w:val="24"/>
                              </w:rPr>
                              <w:t>further</w:t>
                            </w:r>
                            <w:r>
                              <w:rPr>
                                <w:spacing w:val="-13"/>
                                <w:sz w:val="24"/>
                              </w:rPr>
                              <w:t> </w:t>
                            </w:r>
                            <w:r>
                              <w:rPr>
                                <w:spacing w:val="-4"/>
                                <w:sz w:val="24"/>
                              </w:rPr>
                              <w:t>beyond</w:t>
                            </w:r>
                            <w:r>
                              <w:rPr>
                                <w:spacing w:val="-8"/>
                                <w:sz w:val="24"/>
                              </w:rPr>
                              <w:t> </w:t>
                            </w:r>
                            <w:r>
                              <w:rPr>
                                <w:spacing w:val="-4"/>
                                <w:sz w:val="24"/>
                              </w:rPr>
                              <w:t>replacement </w:t>
                            </w:r>
                            <w:r>
                              <w:rPr>
                                <w:spacing w:val="-2"/>
                                <w:sz w:val="24"/>
                              </w:rPr>
                              <w:t>dates.</w:t>
                            </w:r>
                          </w:p>
                        </w:tc>
                        <w:tc>
                          <w:tcPr>
                            <w:tcW w:w="3453" w:type="dxa"/>
                          </w:tcPr>
                          <w:p>
                            <w:pPr>
                              <w:pStyle w:val="TableParagraph"/>
                              <w:spacing w:before="90"/>
                              <w:ind w:left="103" w:right="213"/>
                              <w:rPr>
                                <w:sz w:val="24"/>
                              </w:rPr>
                            </w:pPr>
                            <w:r>
                              <w:rPr>
                                <w:sz w:val="24"/>
                              </w:rPr>
                              <w:t>Early WG engagement, confirmed critical path, </w:t>
                            </w:r>
                            <w:r>
                              <w:rPr>
                                <w:spacing w:val="-2"/>
                                <w:sz w:val="24"/>
                              </w:rPr>
                              <w:t>procurement</w:t>
                            </w:r>
                            <w:r>
                              <w:rPr>
                                <w:spacing w:val="-17"/>
                                <w:sz w:val="24"/>
                              </w:rPr>
                              <w:t> </w:t>
                            </w:r>
                            <w:r>
                              <w:rPr>
                                <w:spacing w:val="-2"/>
                                <w:sz w:val="24"/>
                              </w:rPr>
                              <w:t>route</w:t>
                            </w:r>
                            <w:r>
                              <w:rPr>
                                <w:spacing w:val="-15"/>
                                <w:sz w:val="24"/>
                              </w:rPr>
                              <w:t> </w:t>
                            </w:r>
                            <w:r>
                              <w:rPr>
                                <w:spacing w:val="-2"/>
                                <w:sz w:val="24"/>
                              </w:rPr>
                              <w:t>and</w:t>
                            </w:r>
                            <w:r>
                              <w:rPr>
                                <w:spacing w:val="-14"/>
                                <w:sz w:val="24"/>
                              </w:rPr>
                              <w:t> </w:t>
                            </w:r>
                            <w:r>
                              <w:rPr>
                                <w:spacing w:val="-2"/>
                                <w:sz w:val="24"/>
                              </w:rPr>
                              <w:t>design funding.</w:t>
                            </w:r>
                          </w:p>
                        </w:tc>
                      </w:tr>
                      <w:tr>
                        <w:trPr>
                          <w:trHeight w:val="1005" w:hRule="atLeast"/>
                        </w:trPr>
                        <w:tc>
                          <w:tcPr>
                            <w:tcW w:w="3162" w:type="dxa"/>
                          </w:tcPr>
                          <w:p>
                            <w:pPr>
                              <w:pStyle w:val="TableParagraph"/>
                              <w:spacing w:before="89"/>
                              <w:rPr>
                                <w:sz w:val="24"/>
                              </w:rPr>
                            </w:pPr>
                          </w:p>
                          <w:p>
                            <w:pPr>
                              <w:pStyle w:val="TableParagraph"/>
                              <w:ind w:left="110"/>
                              <w:rPr>
                                <w:b/>
                                <w:sz w:val="24"/>
                              </w:rPr>
                            </w:pPr>
                            <w:r>
                              <w:rPr>
                                <w:b/>
                                <w:spacing w:val="-4"/>
                                <w:sz w:val="24"/>
                              </w:rPr>
                              <w:t>Scope</w:t>
                            </w:r>
                            <w:r>
                              <w:rPr>
                                <w:b/>
                                <w:spacing w:val="-5"/>
                                <w:sz w:val="24"/>
                              </w:rPr>
                              <w:t> </w:t>
                            </w:r>
                            <w:r>
                              <w:rPr>
                                <w:b/>
                                <w:spacing w:val="-2"/>
                                <w:sz w:val="24"/>
                              </w:rPr>
                              <w:t>misunderstanding</w:t>
                            </w:r>
                          </w:p>
                        </w:tc>
                        <w:tc>
                          <w:tcPr>
                            <w:tcW w:w="3232" w:type="dxa"/>
                          </w:tcPr>
                          <w:p>
                            <w:pPr>
                              <w:pStyle w:val="TableParagraph"/>
                              <w:spacing w:before="90"/>
                              <w:ind w:left="109" w:right="415"/>
                              <w:jc w:val="both"/>
                              <w:rPr>
                                <w:sz w:val="24"/>
                              </w:rPr>
                            </w:pPr>
                            <w:r>
                              <w:rPr>
                                <w:spacing w:val="-2"/>
                                <w:sz w:val="24"/>
                              </w:rPr>
                              <w:t>Estate</w:t>
                            </w:r>
                            <w:r>
                              <w:rPr>
                                <w:spacing w:val="-15"/>
                                <w:sz w:val="24"/>
                              </w:rPr>
                              <w:t> </w:t>
                            </w:r>
                            <w:r>
                              <w:rPr>
                                <w:spacing w:val="-2"/>
                                <w:sz w:val="24"/>
                              </w:rPr>
                              <w:t>approval</w:t>
                            </w:r>
                            <w:r>
                              <w:rPr>
                                <w:spacing w:val="-15"/>
                                <w:sz w:val="24"/>
                              </w:rPr>
                              <w:t> </w:t>
                            </w:r>
                            <w:r>
                              <w:rPr>
                                <w:spacing w:val="-2"/>
                                <w:sz w:val="24"/>
                              </w:rPr>
                              <w:t>is</w:t>
                            </w:r>
                            <w:r>
                              <w:rPr>
                                <w:spacing w:val="-14"/>
                                <w:sz w:val="24"/>
                              </w:rPr>
                              <w:t> </w:t>
                            </w:r>
                            <w:r>
                              <w:rPr>
                                <w:spacing w:val="-2"/>
                                <w:sz w:val="24"/>
                              </w:rPr>
                              <w:t>read</w:t>
                            </w:r>
                            <w:r>
                              <w:rPr>
                                <w:spacing w:val="-15"/>
                                <w:sz w:val="24"/>
                              </w:rPr>
                              <w:t> </w:t>
                            </w:r>
                            <w:r>
                              <w:rPr>
                                <w:spacing w:val="-2"/>
                                <w:sz w:val="24"/>
                              </w:rPr>
                              <w:t>as </w:t>
                            </w:r>
                            <w:r>
                              <w:rPr>
                                <w:sz w:val="24"/>
                              </w:rPr>
                              <w:t>approval</w:t>
                            </w:r>
                            <w:r>
                              <w:rPr>
                                <w:spacing w:val="-19"/>
                                <w:sz w:val="24"/>
                              </w:rPr>
                              <w:t> </w:t>
                            </w:r>
                            <w:r>
                              <w:rPr>
                                <w:sz w:val="24"/>
                              </w:rPr>
                              <w:t>for</w:t>
                            </w:r>
                            <w:r>
                              <w:rPr>
                                <w:spacing w:val="-17"/>
                                <w:sz w:val="24"/>
                              </w:rPr>
                              <w:t> </w:t>
                            </w:r>
                            <w:r>
                              <w:rPr>
                                <w:sz w:val="24"/>
                              </w:rPr>
                              <w:t>equipment</w:t>
                            </w:r>
                            <w:r>
                              <w:rPr>
                                <w:spacing w:val="-16"/>
                                <w:sz w:val="24"/>
                              </w:rPr>
                              <w:t> </w:t>
                            </w:r>
                            <w:r>
                              <w:rPr>
                                <w:sz w:val="24"/>
                              </w:rPr>
                              <w:t>or </w:t>
                            </w:r>
                            <w:r>
                              <w:rPr>
                                <w:spacing w:val="-2"/>
                                <w:sz w:val="24"/>
                              </w:rPr>
                              <w:t>revenue.</w:t>
                            </w:r>
                          </w:p>
                        </w:tc>
                        <w:tc>
                          <w:tcPr>
                            <w:tcW w:w="3453" w:type="dxa"/>
                          </w:tcPr>
                          <w:p>
                            <w:pPr>
                              <w:pStyle w:val="TableParagraph"/>
                              <w:spacing w:before="90"/>
                              <w:ind w:left="103" w:right="213"/>
                              <w:rPr>
                                <w:sz w:val="24"/>
                              </w:rPr>
                            </w:pPr>
                            <w:r>
                              <w:rPr>
                                <w:spacing w:val="-2"/>
                                <w:sz w:val="24"/>
                              </w:rPr>
                              <w:t>Repeat</w:t>
                            </w:r>
                            <w:r>
                              <w:rPr>
                                <w:spacing w:val="-15"/>
                                <w:sz w:val="24"/>
                              </w:rPr>
                              <w:t> </w:t>
                            </w:r>
                            <w:r>
                              <w:rPr>
                                <w:spacing w:val="-2"/>
                                <w:sz w:val="24"/>
                              </w:rPr>
                              <w:t>the</w:t>
                            </w:r>
                            <w:r>
                              <w:rPr>
                                <w:spacing w:val="-15"/>
                                <w:sz w:val="24"/>
                              </w:rPr>
                              <w:t> </w:t>
                            </w:r>
                            <w:r>
                              <w:rPr>
                                <w:spacing w:val="-2"/>
                                <w:sz w:val="24"/>
                              </w:rPr>
                              <w:t>boundary</w:t>
                            </w:r>
                            <w:r>
                              <w:rPr>
                                <w:spacing w:val="-14"/>
                                <w:sz w:val="24"/>
                              </w:rPr>
                              <w:t> </w:t>
                            </w:r>
                            <w:r>
                              <w:rPr>
                                <w:spacing w:val="-2"/>
                                <w:sz w:val="24"/>
                              </w:rPr>
                              <w:t>of</w:t>
                            </w:r>
                            <w:r>
                              <w:rPr>
                                <w:spacing w:val="-15"/>
                                <w:sz w:val="24"/>
                              </w:rPr>
                              <w:t> </w:t>
                            </w:r>
                            <w:r>
                              <w:rPr>
                                <w:spacing w:val="-2"/>
                                <w:sz w:val="24"/>
                              </w:rPr>
                              <w:t>the </w:t>
                            </w:r>
                            <w:r>
                              <w:rPr>
                                <w:sz w:val="24"/>
                              </w:rPr>
                              <w:t>current decision and use staged business cases.</w:t>
                            </w:r>
                          </w:p>
                        </w:tc>
                      </w:tr>
                      <w:tr>
                        <w:trPr>
                          <w:trHeight w:val="1010" w:hRule="atLeast"/>
                        </w:trPr>
                        <w:tc>
                          <w:tcPr>
                            <w:tcW w:w="3162" w:type="dxa"/>
                          </w:tcPr>
                          <w:p>
                            <w:pPr>
                              <w:pStyle w:val="TableParagraph"/>
                              <w:spacing w:before="88"/>
                              <w:rPr>
                                <w:sz w:val="24"/>
                              </w:rPr>
                            </w:pPr>
                          </w:p>
                          <w:p>
                            <w:pPr>
                              <w:pStyle w:val="TableParagraph"/>
                              <w:spacing w:before="1"/>
                              <w:ind w:left="110"/>
                              <w:rPr>
                                <w:b/>
                                <w:sz w:val="24"/>
                              </w:rPr>
                            </w:pPr>
                            <w:r>
                              <w:rPr>
                                <w:b/>
                                <w:spacing w:val="-5"/>
                                <w:sz w:val="24"/>
                              </w:rPr>
                              <w:t>Under-</w:t>
                            </w:r>
                            <w:r>
                              <w:rPr>
                                <w:b/>
                                <w:spacing w:val="-2"/>
                                <w:sz w:val="24"/>
                              </w:rPr>
                              <w:t>building</w:t>
                            </w:r>
                          </w:p>
                        </w:tc>
                        <w:tc>
                          <w:tcPr>
                            <w:tcW w:w="3232" w:type="dxa"/>
                          </w:tcPr>
                          <w:p>
                            <w:pPr>
                              <w:pStyle w:val="TableParagraph"/>
                              <w:spacing w:line="242" w:lineRule="auto" w:before="90"/>
                              <w:ind w:left="109" w:right="579"/>
                              <w:rPr>
                                <w:sz w:val="24"/>
                              </w:rPr>
                            </w:pPr>
                            <w:r>
                              <w:rPr>
                                <w:spacing w:val="-2"/>
                                <w:sz w:val="24"/>
                              </w:rPr>
                              <w:t>Single</w:t>
                            </w:r>
                            <w:r>
                              <w:rPr>
                                <w:spacing w:val="-17"/>
                                <w:sz w:val="24"/>
                              </w:rPr>
                              <w:t> </w:t>
                            </w:r>
                            <w:r>
                              <w:rPr>
                                <w:spacing w:val="-2"/>
                                <w:sz w:val="24"/>
                              </w:rPr>
                              <w:t>bunker</w:t>
                            </w:r>
                            <w:r>
                              <w:rPr>
                                <w:spacing w:val="-15"/>
                                <w:sz w:val="24"/>
                              </w:rPr>
                              <w:t> </w:t>
                            </w:r>
                            <w:r>
                              <w:rPr>
                                <w:spacing w:val="-2"/>
                                <w:sz w:val="24"/>
                              </w:rPr>
                              <w:t>requires</w:t>
                            </w:r>
                            <w:r>
                              <w:rPr>
                                <w:spacing w:val="-14"/>
                                <w:sz w:val="24"/>
                              </w:rPr>
                              <w:t> </w:t>
                            </w:r>
                            <w:r>
                              <w:rPr>
                                <w:spacing w:val="-2"/>
                                <w:sz w:val="24"/>
                              </w:rPr>
                              <w:t>a </w:t>
                            </w:r>
                            <w:r>
                              <w:rPr>
                                <w:sz w:val="24"/>
                              </w:rPr>
                              <w:t>second project on a constrained live site.</w:t>
                            </w:r>
                          </w:p>
                        </w:tc>
                        <w:tc>
                          <w:tcPr>
                            <w:tcW w:w="3453" w:type="dxa"/>
                          </w:tcPr>
                          <w:p>
                            <w:pPr>
                              <w:pStyle w:val="TableParagraph"/>
                              <w:spacing w:line="242" w:lineRule="auto" w:before="90"/>
                              <w:ind w:left="103" w:right="370"/>
                              <w:rPr>
                                <w:sz w:val="24"/>
                              </w:rPr>
                            </w:pPr>
                            <w:r>
                              <w:rPr>
                                <w:sz w:val="24"/>
                              </w:rPr>
                              <w:t>Test whole-life value and </w:t>
                            </w:r>
                            <w:r>
                              <w:rPr>
                                <w:spacing w:val="-4"/>
                                <w:sz w:val="24"/>
                              </w:rPr>
                              <w:t>strategic</w:t>
                            </w:r>
                            <w:r>
                              <w:rPr>
                                <w:spacing w:val="-11"/>
                                <w:sz w:val="24"/>
                              </w:rPr>
                              <w:t> </w:t>
                            </w:r>
                            <w:r>
                              <w:rPr>
                                <w:spacing w:val="-4"/>
                                <w:sz w:val="24"/>
                              </w:rPr>
                              <w:t>optionality</w:t>
                            </w:r>
                            <w:r>
                              <w:rPr>
                                <w:spacing w:val="-6"/>
                                <w:sz w:val="24"/>
                              </w:rPr>
                              <w:t> </w:t>
                            </w:r>
                            <w:r>
                              <w:rPr>
                                <w:spacing w:val="-4"/>
                                <w:sz w:val="24"/>
                              </w:rPr>
                              <w:t>through </w:t>
                            </w:r>
                            <w:r>
                              <w:rPr>
                                <w:sz w:val="24"/>
                              </w:rPr>
                              <w:t>the business case.</w:t>
                            </w:r>
                          </w:p>
                        </w:tc>
                      </w:tr>
                      <w:tr>
                        <w:trPr>
                          <w:trHeight w:val="1005" w:hRule="atLeast"/>
                        </w:trPr>
                        <w:tc>
                          <w:tcPr>
                            <w:tcW w:w="3162" w:type="dxa"/>
                          </w:tcPr>
                          <w:p>
                            <w:pPr>
                              <w:pStyle w:val="TableParagraph"/>
                              <w:spacing w:before="88"/>
                              <w:rPr>
                                <w:sz w:val="24"/>
                              </w:rPr>
                            </w:pPr>
                          </w:p>
                          <w:p>
                            <w:pPr>
                              <w:pStyle w:val="TableParagraph"/>
                              <w:spacing w:before="1"/>
                              <w:ind w:left="110"/>
                              <w:rPr>
                                <w:b/>
                                <w:sz w:val="24"/>
                              </w:rPr>
                            </w:pPr>
                            <w:r>
                              <w:rPr>
                                <w:b/>
                                <w:spacing w:val="-2"/>
                                <w:sz w:val="24"/>
                              </w:rPr>
                              <w:t>Workforce</w:t>
                            </w:r>
                          </w:p>
                        </w:tc>
                        <w:tc>
                          <w:tcPr>
                            <w:tcW w:w="3232" w:type="dxa"/>
                          </w:tcPr>
                          <w:p>
                            <w:pPr>
                              <w:pStyle w:val="TableParagraph"/>
                              <w:spacing w:line="242" w:lineRule="auto" w:before="225"/>
                              <w:ind w:left="109" w:right="463"/>
                              <w:rPr>
                                <w:sz w:val="24"/>
                              </w:rPr>
                            </w:pPr>
                            <w:r>
                              <w:rPr>
                                <w:sz w:val="24"/>
                              </w:rPr>
                              <w:t>Specialist workforce </w:t>
                            </w:r>
                            <w:r>
                              <w:rPr>
                                <w:spacing w:val="-2"/>
                                <w:sz w:val="24"/>
                              </w:rPr>
                              <w:t>becomes</w:t>
                            </w:r>
                            <w:r>
                              <w:rPr>
                                <w:spacing w:val="-17"/>
                                <w:sz w:val="24"/>
                              </w:rPr>
                              <w:t> </w:t>
                            </w:r>
                            <w:r>
                              <w:rPr>
                                <w:spacing w:val="-2"/>
                                <w:sz w:val="24"/>
                              </w:rPr>
                              <w:t>the</w:t>
                            </w:r>
                            <w:r>
                              <w:rPr>
                                <w:spacing w:val="-15"/>
                                <w:sz w:val="24"/>
                              </w:rPr>
                              <w:t> </w:t>
                            </w:r>
                            <w:r>
                              <w:rPr>
                                <w:spacing w:val="-2"/>
                                <w:sz w:val="24"/>
                              </w:rPr>
                              <w:t>critical</w:t>
                            </w:r>
                            <w:r>
                              <w:rPr>
                                <w:spacing w:val="-14"/>
                                <w:sz w:val="24"/>
                              </w:rPr>
                              <w:t> </w:t>
                            </w:r>
                            <w:r>
                              <w:rPr>
                                <w:spacing w:val="-2"/>
                                <w:sz w:val="24"/>
                              </w:rPr>
                              <w:t>path.</w:t>
                            </w:r>
                          </w:p>
                        </w:tc>
                        <w:tc>
                          <w:tcPr>
                            <w:tcW w:w="3453" w:type="dxa"/>
                          </w:tcPr>
                          <w:p>
                            <w:pPr>
                              <w:pStyle w:val="TableParagraph"/>
                              <w:spacing w:before="90"/>
                              <w:ind w:left="103" w:right="370"/>
                              <w:rPr>
                                <w:sz w:val="24"/>
                              </w:rPr>
                            </w:pPr>
                            <w:r>
                              <w:rPr>
                                <w:spacing w:val="-2"/>
                                <w:sz w:val="24"/>
                              </w:rPr>
                              <w:t>Develop</w:t>
                            </w:r>
                            <w:r>
                              <w:rPr>
                                <w:spacing w:val="-17"/>
                                <w:sz w:val="24"/>
                              </w:rPr>
                              <w:t> </w:t>
                            </w:r>
                            <w:r>
                              <w:rPr>
                                <w:spacing w:val="-2"/>
                                <w:sz w:val="24"/>
                              </w:rPr>
                              <w:t>a</w:t>
                            </w:r>
                            <w:r>
                              <w:rPr>
                                <w:spacing w:val="-15"/>
                                <w:sz w:val="24"/>
                              </w:rPr>
                              <w:t> </w:t>
                            </w:r>
                            <w:r>
                              <w:rPr>
                                <w:spacing w:val="-2"/>
                                <w:sz w:val="24"/>
                              </w:rPr>
                              <w:t>phased</w:t>
                            </w:r>
                            <w:r>
                              <w:rPr>
                                <w:spacing w:val="-14"/>
                                <w:sz w:val="24"/>
                              </w:rPr>
                              <w:t> </w:t>
                            </w:r>
                            <w:r>
                              <w:rPr>
                                <w:spacing w:val="-2"/>
                                <w:sz w:val="24"/>
                              </w:rPr>
                              <w:t>workforce </w:t>
                            </w:r>
                            <w:r>
                              <w:rPr>
                                <w:sz w:val="24"/>
                              </w:rPr>
                              <w:t>plan before any operational LINAC approval.</w:t>
                            </w:r>
                          </w:p>
                        </w:tc>
                      </w:tr>
                      <w:tr>
                        <w:trPr>
                          <w:trHeight w:val="1285" w:hRule="atLeast"/>
                        </w:trPr>
                        <w:tc>
                          <w:tcPr>
                            <w:tcW w:w="3162" w:type="dxa"/>
                          </w:tcPr>
                          <w:p>
                            <w:pPr>
                              <w:pStyle w:val="TableParagraph"/>
                              <w:spacing w:before="229"/>
                              <w:rPr>
                                <w:sz w:val="24"/>
                              </w:rPr>
                            </w:pPr>
                          </w:p>
                          <w:p>
                            <w:pPr>
                              <w:pStyle w:val="TableParagraph"/>
                              <w:ind w:left="110"/>
                              <w:rPr>
                                <w:b/>
                                <w:sz w:val="24"/>
                              </w:rPr>
                            </w:pPr>
                            <w:r>
                              <w:rPr>
                                <w:b/>
                                <w:spacing w:val="-4"/>
                                <w:sz w:val="24"/>
                              </w:rPr>
                              <w:t>Regional</w:t>
                            </w:r>
                            <w:r>
                              <w:rPr>
                                <w:b/>
                                <w:spacing w:val="-2"/>
                                <w:sz w:val="24"/>
                              </w:rPr>
                              <w:t> access</w:t>
                            </w:r>
                          </w:p>
                        </w:tc>
                        <w:tc>
                          <w:tcPr>
                            <w:tcW w:w="3232" w:type="dxa"/>
                          </w:tcPr>
                          <w:p>
                            <w:pPr>
                              <w:pStyle w:val="TableParagraph"/>
                              <w:spacing w:before="230"/>
                              <w:ind w:left="109" w:right="145"/>
                              <w:rPr>
                                <w:sz w:val="24"/>
                              </w:rPr>
                            </w:pPr>
                            <w:r>
                              <w:rPr>
                                <w:spacing w:val="-2"/>
                                <w:sz w:val="24"/>
                              </w:rPr>
                              <w:t>Hywel</w:t>
                            </w:r>
                            <w:r>
                              <w:rPr>
                                <w:spacing w:val="-17"/>
                                <w:sz w:val="24"/>
                              </w:rPr>
                              <w:t> </w:t>
                            </w:r>
                            <w:r>
                              <w:rPr>
                                <w:spacing w:val="-2"/>
                                <w:sz w:val="24"/>
                              </w:rPr>
                              <w:t>Dda</w:t>
                            </w:r>
                            <w:r>
                              <w:rPr>
                                <w:spacing w:val="-15"/>
                                <w:sz w:val="24"/>
                              </w:rPr>
                              <w:t> </w:t>
                            </w:r>
                            <w:r>
                              <w:rPr>
                                <w:spacing w:val="-2"/>
                                <w:sz w:val="24"/>
                              </w:rPr>
                              <w:t>patients</w:t>
                            </w:r>
                            <w:r>
                              <w:rPr>
                                <w:spacing w:val="-14"/>
                                <w:sz w:val="24"/>
                              </w:rPr>
                              <w:t> </w:t>
                            </w:r>
                            <w:r>
                              <w:rPr>
                                <w:spacing w:val="-2"/>
                                <w:sz w:val="24"/>
                              </w:rPr>
                              <w:t>continue </w:t>
                            </w:r>
                            <w:r>
                              <w:rPr>
                                <w:sz w:val="24"/>
                              </w:rPr>
                              <w:t>to travel pending satellite </w:t>
                            </w:r>
                            <w:r>
                              <w:rPr>
                                <w:spacing w:val="-2"/>
                                <w:sz w:val="24"/>
                              </w:rPr>
                              <w:t>development.</w:t>
                            </w:r>
                          </w:p>
                        </w:tc>
                        <w:tc>
                          <w:tcPr>
                            <w:tcW w:w="3453" w:type="dxa"/>
                          </w:tcPr>
                          <w:p>
                            <w:pPr>
                              <w:pStyle w:val="TableParagraph"/>
                              <w:spacing w:before="90"/>
                              <w:ind w:left="103" w:right="659"/>
                              <w:rPr>
                                <w:sz w:val="24"/>
                              </w:rPr>
                            </w:pPr>
                            <w:r>
                              <w:rPr>
                                <w:sz w:val="24"/>
                              </w:rPr>
                              <w:t>Continue the satellite </w:t>
                            </w:r>
                            <w:r>
                              <w:rPr>
                                <w:spacing w:val="-4"/>
                                <w:sz w:val="24"/>
                              </w:rPr>
                              <w:t>workstream</w:t>
                            </w:r>
                            <w:r>
                              <w:rPr>
                                <w:spacing w:val="-12"/>
                                <w:sz w:val="24"/>
                              </w:rPr>
                              <w:t> </w:t>
                            </w:r>
                            <w:r>
                              <w:rPr>
                                <w:spacing w:val="-4"/>
                                <w:sz w:val="24"/>
                              </w:rPr>
                              <w:t>and</w:t>
                            </w:r>
                            <w:r>
                              <w:rPr>
                                <w:spacing w:val="-12"/>
                                <w:sz w:val="24"/>
                              </w:rPr>
                              <w:t> </w:t>
                            </w:r>
                            <w:r>
                              <w:rPr>
                                <w:spacing w:val="-4"/>
                                <w:sz w:val="24"/>
                              </w:rPr>
                              <w:t>complete </w:t>
                            </w:r>
                            <w:r>
                              <w:rPr>
                                <w:sz w:val="24"/>
                              </w:rPr>
                              <w:t>equality/travel impact </w:t>
                            </w:r>
                            <w:r>
                              <w:rPr>
                                <w:spacing w:val="-2"/>
                                <w:sz w:val="24"/>
                              </w:rPr>
                              <w:t>assessment.</w:t>
                            </w:r>
                          </w:p>
                        </w:tc>
                      </w:tr>
                    </w:tbl>
                    <w:p>
                      <w:pPr>
                        <w:pStyle w:val="BodyText"/>
                      </w:pPr>
                    </w:p>
                  </w:txbxContent>
                </v:textbox>
                <w10:wrap type="none"/>
              </v:shape>
            </w:pict>
          </mc:Fallback>
        </mc:AlternateContent>
      </w:r>
      <w:r>
        <w:rPr>
          <w:spacing w:val="-2"/>
          <w:sz w:val="16"/>
        </w:rPr>
        <w:t>Page</w:t>
      </w:r>
      <w:r>
        <w:rPr>
          <w:spacing w:val="-7"/>
          <w:sz w:val="16"/>
        </w:rPr>
        <w:t> </w:t>
      </w:r>
      <w:r>
        <w:rPr>
          <w:spacing w:val="-2"/>
          <w:sz w:val="16"/>
        </w:rPr>
        <w:t>4</w:t>
      </w:r>
      <w:r>
        <w:rPr>
          <w:spacing w:val="-9"/>
          <w:sz w:val="16"/>
        </w:rPr>
        <w:t> </w:t>
      </w:r>
      <w:r>
        <w:rPr>
          <w:spacing w:val="-2"/>
          <w:sz w:val="16"/>
        </w:rPr>
        <w:t>of</w:t>
      </w:r>
      <w:r>
        <w:rPr>
          <w:spacing w:val="-9"/>
          <w:sz w:val="16"/>
        </w:rPr>
        <w:t> </w:t>
      </w:r>
      <w:r>
        <w:rPr>
          <w:spacing w:val="-10"/>
          <w:sz w:val="16"/>
        </w:rPr>
        <w:t>6</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24" name="Image 324"/>
            <wp:cNvGraphicFramePr>
              <a:graphicFrameLocks/>
            </wp:cNvGraphicFramePr>
            <a:graphic>
              <a:graphicData uri="http://schemas.openxmlformats.org/drawingml/2006/picture">
                <pic:pic>
                  <pic:nvPicPr>
                    <pic:cNvPr id="324" name="Image 324"/>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25" name="Image 325"/>
            <wp:cNvGraphicFramePr>
              <a:graphicFrameLocks/>
            </wp:cNvGraphicFramePr>
            <a:graphic>
              <a:graphicData uri="http://schemas.openxmlformats.org/drawingml/2006/picture">
                <pic:pic>
                  <pic:nvPicPr>
                    <pic:cNvPr id="325" name="Image 325"/>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693" w:hRule="atLeast"/>
        </w:trPr>
        <w:tc>
          <w:tcPr>
            <w:tcW w:w="10069" w:type="dxa"/>
          </w:tcPr>
          <w:p>
            <w:pPr>
              <w:pStyle w:val="TableParagraph"/>
              <w:spacing w:before="3"/>
              <w:rPr>
                <w:sz w:val="24"/>
              </w:rPr>
            </w:pPr>
          </w:p>
          <w:p>
            <w:pPr>
              <w:pStyle w:val="TableParagraph"/>
              <w:spacing w:before="1"/>
              <w:ind w:left="110"/>
              <w:rPr>
                <w:b/>
                <w:sz w:val="24"/>
              </w:rPr>
            </w:pPr>
            <w:r>
              <w:rPr>
                <w:b/>
                <w:color w:val="12395B"/>
                <w:spacing w:val="-2"/>
                <w:sz w:val="24"/>
              </w:rPr>
              <w:t>CONSEQUENCES</w:t>
            </w:r>
            <w:r>
              <w:rPr>
                <w:b/>
                <w:color w:val="12395B"/>
                <w:spacing w:val="-11"/>
                <w:sz w:val="24"/>
              </w:rPr>
              <w:t> </w:t>
            </w:r>
            <w:r>
              <w:rPr>
                <w:b/>
                <w:color w:val="12395B"/>
                <w:spacing w:val="-2"/>
                <w:sz w:val="24"/>
              </w:rPr>
              <w:t>OF</w:t>
            </w:r>
            <w:r>
              <w:rPr>
                <w:b/>
                <w:color w:val="12395B"/>
                <w:spacing w:val="-13"/>
                <w:sz w:val="24"/>
              </w:rPr>
              <w:t> </w:t>
            </w:r>
            <w:r>
              <w:rPr>
                <w:b/>
                <w:color w:val="12395B"/>
                <w:spacing w:val="-2"/>
                <w:sz w:val="24"/>
              </w:rPr>
              <w:t>THE</w:t>
            </w:r>
            <w:r>
              <w:rPr>
                <w:b/>
                <w:color w:val="12395B"/>
                <w:spacing w:val="-11"/>
                <w:sz w:val="24"/>
              </w:rPr>
              <w:t> </w:t>
            </w:r>
            <w:r>
              <w:rPr>
                <w:b/>
                <w:color w:val="12395B"/>
                <w:spacing w:val="-2"/>
                <w:sz w:val="24"/>
              </w:rPr>
              <w:t>6TH</w:t>
            </w:r>
            <w:r>
              <w:rPr>
                <w:b/>
                <w:color w:val="12395B"/>
                <w:spacing w:val="-15"/>
                <w:sz w:val="24"/>
              </w:rPr>
              <w:t> </w:t>
            </w:r>
            <w:r>
              <w:rPr>
                <w:b/>
                <w:color w:val="12395B"/>
                <w:spacing w:val="-2"/>
                <w:sz w:val="24"/>
              </w:rPr>
              <w:t>AND</w:t>
            </w:r>
            <w:r>
              <w:rPr>
                <w:b/>
                <w:color w:val="12395B"/>
                <w:spacing w:val="-15"/>
                <w:sz w:val="24"/>
              </w:rPr>
              <w:t> </w:t>
            </w:r>
            <w:r>
              <w:rPr>
                <w:b/>
                <w:color w:val="12395B"/>
                <w:spacing w:val="-2"/>
                <w:sz w:val="24"/>
              </w:rPr>
              <w:t>7TH</w:t>
            </w:r>
            <w:r>
              <w:rPr>
                <w:b/>
                <w:color w:val="12395B"/>
                <w:spacing w:val="-10"/>
                <w:sz w:val="24"/>
              </w:rPr>
              <w:t> </w:t>
            </w:r>
            <w:r>
              <w:rPr>
                <w:b/>
                <w:color w:val="12395B"/>
                <w:spacing w:val="-2"/>
                <w:sz w:val="24"/>
              </w:rPr>
              <w:t>BUNKERS</w:t>
            </w:r>
            <w:r>
              <w:rPr>
                <w:b/>
                <w:color w:val="12395B"/>
                <w:spacing w:val="-11"/>
                <w:sz w:val="24"/>
              </w:rPr>
              <w:t> </w:t>
            </w:r>
            <w:r>
              <w:rPr>
                <w:b/>
                <w:color w:val="12395B"/>
                <w:spacing w:val="-2"/>
                <w:sz w:val="24"/>
              </w:rPr>
              <w:t>NOT</w:t>
            </w:r>
            <w:r>
              <w:rPr>
                <w:b/>
                <w:color w:val="12395B"/>
                <w:spacing w:val="-8"/>
                <w:sz w:val="24"/>
              </w:rPr>
              <w:t> </w:t>
            </w:r>
            <w:r>
              <w:rPr>
                <w:b/>
                <w:color w:val="12395B"/>
                <w:spacing w:val="-2"/>
                <w:sz w:val="24"/>
              </w:rPr>
              <w:t>BEING</w:t>
            </w:r>
            <w:r>
              <w:rPr>
                <w:b/>
                <w:color w:val="12395B"/>
                <w:spacing w:val="-13"/>
                <w:sz w:val="24"/>
              </w:rPr>
              <w:t> </w:t>
            </w:r>
            <w:r>
              <w:rPr>
                <w:b/>
                <w:color w:val="12395B"/>
                <w:spacing w:val="-2"/>
                <w:sz w:val="24"/>
              </w:rPr>
              <w:t>AVAILABLE</w:t>
            </w:r>
            <w:r>
              <w:rPr>
                <w:b/>
                <w:color w:val="12395B"/>
                <w:spacing w:val="-11"/>
                <w:sz w:val="24"/>
              </w:rPr>
              <w:t> </w:t>
            </w:r>
            <w:r>
              <w:rPr>
                <w:b/>
                <w:color w:val="12395B"/>
                <w:spacing w:val="-2"/>
                <w:sz w:val="24"/>
              </w:rPr>
              <w:t>PRIOR</w:t>
            </w:r>
            <w:r>
              <w:rPr>
                <w:b/>
                <w:color w:val="12395B"/>
                <w:spacing w:val="-15"/>
                <w:sz w:val="24"/>
              </w:rPr>
              <w:t> </w:t>
            </w:r>
            <w:r>
              <w:rPr>
                <w:b/>
                <w:color w:val="12395B"/>
                <w:spacing w:val="-2"/>
                <w:sz w:val="24"/>
              </w:rPr>
              <w:t>TO </w:t>
            </w:r>
            <w:r>
              <w:rPr>
                <w:b/>
                <w:color w:val="12395B"/>
                <w:sz w:val="24"/>
              </w:rPr>
              <w:t>THE PLANNED REPLACEMENT OF LINAC 1</w:t>
            </w:r>
          </w:p>
          <w:p>
            <w:pPr>
              <w:pStyle w:val="TableParagraph"/>
              <w:spacing w:before="1"/>
              <w:rPr>
                <w:sz w:val="24"/>
              </w:rPr>
            </w:pPr>
          </w:p>
          <w:p>
            <w:pPr>
              <w:pStyle w:val="TableParagraph"/>
              <w:spacing w:line="242" w:lineRule="auto" w:before="1"/>
              <w:ind w:left="110" w:right="212"/>
              <w:rPr>
                <w:sz w:val="24"/>
              </w:rPr>
            </w:pPr>
            <w:r>
              <w:rPr>
                <w:spacing w:val="-2"/>
                <w:sz w:val="24"/>
              </w:rPr>
              <w:t>Failure</w:t>
            </w:r>
            <w:r>
              <w:rPr>
                <w:spacing w:val="-13"/>
                <w:sz w:val="24"/>
              </w:rPr>
              <w:t> </w:t>
            </w:r>
            <w:r>
              <w:rPr>
                <w:spacing w:val="-2"/>
                <w:sz w:val="24"/>
              </w:rPr>
              <w:t>to</w:t>
            </w:r>
            <w:r>
              <w:rPr>
                <w:spacing w:val="-12"/>
                <w:sz w:val="24"/>
              </w:rPr>
              <w:t> </w:t>
            </w:r>
            <w:r>
              <w:rPr>
                <w:spacing w:val="-2"/>
                <w:sz w:val="24"/>
              </w:rPr>
              <w:t>deliver</w:t>
            </w:r>
            <w:r>
              <w:rPr>
                <w:spacing w:val="-8"/>
                <w:sz w:val="24"/>
              </w:rPr>
              <w:t> </w:t>
            </w:r>
            <w:r>
              <w:rPr>
                <w:spacing w:val="-2"/>
                <w:sz w:val="24"/>
              </w:rPr>
              <w:t>the</w:t>
            </w:r>
            <w:r>
              <w:rPr>
                <w:spacing w:val="-12"/>
                <w:sz w:val="24"/>
              </w:rPr>
              <w:t> </w:t>
            </w:r>
            <w:r>
              <w:rPr>
                <w:spacing w:val="-2"/>
                <w:sz w:val="24"/>
              </w:rPr>
              <w:t>6th</w:t>
            </w:r>
            <w:r>
              <w:rPr>
                <w:spacing w:val="-12"/>
                <w:sz w:val="24"/>
              </w:rPr>
              <w:t> </w:t>
            </w:r>
            <w:r>
              <w:rPr>
                <w:spacing w:val="-2"/>
                <w:sz w:val="24"/>
              </w:rPr>
              <w:t>and</w:t>
            </w:r>
            <w:r>
              <w:rPr>
                <w:spacing w:val="-12"/>
                <w:sz w:val="24"/>
              </w:rPr>
              <w:t> </w:t>
            </w:r>
            <w:r>
              <w:rPr>
                <w:spacing w:val="-2"/>
                <w:sz w:val="24"/>
              </w:rPr>
              <w:t>7th</w:t>
            </w:r>
            <w:r>
              <w:rPr>
                <w:spacing w:val="-12"/>
                <w:sz w:val="24"/>
              </w:rPr>
              <w:t> </w:t>
            </w:r>
            <w:r>
              <w:rPr>
                <w:spacing w:val="-2"/>
                <w:sz w:val="24"/>
              </w:rPr>
              <w:t>bunkers</w:t>
            </w:r>
            <w:r>
              <w:rPr>
                <w:spacing w:val="-12"/>
                <w:sz w:val="24"/>
              </w:rPr>
              <w:t> </w:t>
            </w:r>
            <w:r>
              <w:rPr>
                <w:spacing w:val="-2"/>
                <w:sz w:val="24"/>
              </w:rPr>
              <w:t>in</w:t>
            </w:r>
            <w:r>
              <w:rPr>
                <w:spacing w:val="-12"/>
                <w:sz w:val="24"/>
              </w:rPr>
              <w:t> </w:t>
            </w:r>
            <w:r>
              <w:rPr>
                <w:spacing w:val="-2"/>
                <w:sz w:val="24"/>
              </w:rPr>
              <w:t>line</w:t>
            </w:r>
            <w:r>
              <w:rPr>
                <w:spacing w:val="-7"/>
                <w:sz w:val="24"/>
              </w:rPr>
              <w:t> </w:t>
            </w:r>
            <w:r>
              <w:rPr>
                <w:spacing w:val="-2"/>
                <w:sz w:val="24"/>
              </w:rPr>
              <w:t>with</w:t>
            </w:r>
            <w:r>
              <w:rPr>
                <w:spacing w:val="-12"/>
                <w:sz w:val="24"/>
              </w:rPr>
              <w:t> </w:t>
            </w:r>
            <w:r>
              <w:rPr>
                <w:spacing w:val="-2"/>
                <w:sz w:val="24"/>
              </w:rPr>
              <w:t>the</w:t>
            </w:r>
            <w:r>
              <w:rPr>
                <w:spacing w:val="-15"/>
                <w:sz w:val="24"/>
              </w:rPr>
              <w:t> </w:t>
            </w:r>
            <w:r>
              <w:rPr>
                <w:spacing w:val="-2"/>
                <w:sz w:val="24"/>
              </w:rPr>
              <w:t>planned</w:t>
            </w:r>
            <w:r>
              <w:rPr>
                <w:spacing w:val="-11"/>
                <w:sz w:val="24"/>
              </w:rPr>
              <w:t> </w:t>
            </w:r>
            <w:r>
              <w:rPr>
                <w:spacing w:val="-2"/>
                <w:sz w:val="24"/>
              </w:rPr>
              <w:t>replacement</w:t>
            </w:r>
            <w:r>
              <w:rPr>
                <w:spacing w:val="-14"/>
                <w:sz w:val="24"/>
              </w:rPr>
              <w:t> </w:t>
            </w:r>
            <w:r>
              <w:rPr>
                <w:spacing w:val="-2"/>
                <w:sz w:val="24"/>
              </w:rPr>
              <w:t>schedule</w:t>
            </w:r>
            <w:r>
              <w:rPr>
                <w:spacing w:val="-7"/>
                <w:sz w:val="24"/>
              </w:rPr>
              <w:t> </w:t>
            </w:r>
            <w:r>
              <w:rPr>
                <w:spacing w:val="-2"/>
                <w:sz w:val="24"/>
              </w:rPr>
              <w:t>for </w:t>
            </w:r>
            <w:r>
              <w:rPr>
                <w:sz w:val="24"/>
              </w:rPr>
              <w:t>linac</w:t>
            </w:r>
            <w:r>
              <w:rPr>
                <w:spacing w:val="-14"/>
                <w:sz w:val="24"/>
              </w:rPr>
              <w:t> </w:t>
            </w:r>
            <w:r>
              <w:rPr>
                <w:sz w:val="24"/>
              </w:rPr>
              <w:t>1</w:t>
            </w:r>
            <w:r>
              <w:rPr>
                <w:spacing w:val="-17"/>
                <w:sz w:val="24"/>
              </w:rPr>
              <w:t> </w:t>
            </w:r>
            <w:r>
              <w:rPr>
                <w:sz w:val="24"/>
              </w:rPr>
              <w:t>would</w:t>
            </w:r>
            <w:r>
              <w:rPr>
                <w:spacing w:val="-13"/>
                <w:sz w:val="24"/>
              </w:rPr>
              <w:t> </w:t>
            </w:r>
            <w:r>
              <w:rPr>
                <w:sz w:val="24"/>
              </w:rPr>
              <w:t>create</w:t>
            </w:r>
            <w:r>
              <w:rPr>
                <w:spacing w:val="-13"/>
                <w:sz w:val="24"/>
              </w:rPr>
              <w:t> </w:t>
            </w:r>
            <w:r>
              <w:rPr>
                <w:sz w:val="24"/>
              </w:rPr>
              <w:t>significant</w:t>
            </w:r>
            <w:r>
              <w:rPr>
                <w:spacing w:val="-16"/>
                <w:sz w:val="24"/>
              </w:rPr>
              <w:t> </w:t>
            </w:r>
            <w:r>
              <w:rPr>
                <w:sz w:val="24"/>
              </w:rPr>
              <w:t>operational,</w:t>
            </w:r>
            <w:r>
              <w:rPr>
                <w:spacing w:val="-16"/>
                <w:sz w:val="24"/>
              </w:rPr>
              <w:t> </w:t>
            </w:r>
            <w:r>
              <w:rPr>
                <w:sz w:val="24"/>
              </w:rPr>
              <w:t>clinical</w:t>
            </w:r>
            <w:r>
              <w:rPr>
                <w:spacing w:val="-17"/>
                <w:sz w:val="24"/>
              </w:rPr>
              <w:t> </w:t>
            </w:r>
            <w:r>
              <w:rPr>
                <w:sz w:val="24"/>
              </w:rPr>
              <w:t>and</w:t>
            </w:r>
            <w:r>
              <w:rPr>
                <w:spacing w:val="-13"/>
                <w:sz w:val="24"/>
              </w:rPr>
              <w:t> </w:t>
            </w:r>
            <w:r>
              <w:rPr>
                <w:sz w:val="24"/>
              </w:rPr>
              <w:t>strategic</w:t>
            </w:r>
            <w:r>
              <w:rPr>
                <w:spacing w:val="-14"/>
                <w:sz w:val="24"/>
              </w:rPr>
              <w:t> </w:t>
            </w:r>
            <w:r>
              <w:rPr>
                <w:sz w:val="24"/>
              </w:rPr>
              <w:t>risks</w:t>
            </w:r>
            <w:r>
              <w:rPr>
                <w:spacing w:val="-9"/>
                <w:sz w:val="24"/>
              </w:rPr>
              <w:t> </w:t>
            </w:r>
            <w:r>
              <w:rPr>
                <w:sz w:val="24"/>
              </w:rPr>
              <w:t>for</w:t>
            </w:r>
            <w:r>
              <w:rPr>
                <w:spacing w:val="-9"/>
                <w:sz w:val="24"/>
              </w:rPr>
              <w:t> </w:t>
            </w:r>
            <w:r>
              <w:rPr>
                <w:sz w:val="24"/>
              </w:rPr>
              <w:t>the</w:t>
            </w:r>
            <w:r>
              <w:rPr>
                <w:spacing w:val="-13"/>
                <w:sz w:val="24"/>
              </w:rPr>
              <w:t> </w:t>
            </w:r>
            <w:r>
              <w:rPr>
                <w:sz w:val="24"/>
              </w:rPr>
              <w:t>South</w:t>
            </w:r>
            <w:r>
              <w:rPr>
                <w:spacing w:val="-8"/>
                <w:sz w:val="24"/>
              </w:rPr>
              <w:t> </w:t>
            </w:r>
            <w:r>
              <w:rPr>
                <w:sz w:val="24"/>
              </w:rPr>
              <w:t>West Wales Cancer Centre</w:t>
            </w:r>
            <w:r>
              <w:rPr>
                <w:color w:val="12395B"/>
                <w:sz w:val="24"/>
              </w:rPr>
              <w:t>.</w:t>
            </w:r>
          </w:p>
          <w:p>
            <w:pPr>
              <w:pStyle w:val="TableParagraph"/>
              <w:spacing w:before="274"/>
              <w:ind w:left="110"/>
              <w:rPr>
                <w:b/>
                <w:sz w:val="24"/>
              </w:rPr>
            </w:pPr>
            <w:r>
              <w:rPr>
                <w:b/>
                <w:color w:val="12395B"/>
                <w:spacing w:val="-4"/>
                <w:sz w:val="24"/>
              </w:rPr>
              <w:t>MITIGATING</w:t>
            </w:r>
            <w:r>
              <w:rPr>
                <w:b/>
                <w:color w:val="12395B"/>
                <w:spacing w:val="-6"/>
                <w:sz w:val="24"/>
              </w:rPr>
              <w:t> </w:t>
            </w:r>
            <w:r>
              <w:rPr>
                <w:b/>
                <w:color w:val="12395B"/>
                <w:spacing w:val="-4"/>
                <w:sz w:val="24"/>
              </w:rPr>
              <w:t>ACTIONS</w:t>
            </w:r>
            <w:r>
              <w:rPr>
                <w:b/>
                <w:color w:val="12395B"/>
                <w:spacing w:val="4"/>
                <w:sz w:val="24"/>
              </w:rPr>
              <w:t> </w:t>
            </w:r>
            <w:r>
              <w:rPr>
                <w:b/>
                <w:color w:val="12395B"/>
                <w:spacing w:val="-4"/>
                <w:sz w:val="24"/>
              </w:rPr>
              <w:t>REQUIRED:</w:t>
            </w:r>
          </w:p>
          <w:p>
            <w:pPr>
              <w:pStyle w:val="TableParagraph"/>
              <w:numPr>
                <w:ilvl w:val="0"/>
                <w:numId w:val="21"/>
              </w:numPr>
              <w:tabs>
                <w:tab w:pos="828" w:val="left" w:leader="none"/>
                <w:tab w:pos="830" w:val="left" w:leader="none"/>
              </w:tabs>
              <w:spacing w:line="240" w:lineRule="auto" w:before="119" w:after="0"/>
              <w:ind w:left="830" w:right="184" w:hanging="361"/>
              <w:jc w:val="left"/>
              <w:rPr>
                <w:sz w:val="24"/>
              </w:rPr>
            </w:pPr>
            <w:r>
              <w:rPr>
                <w:sz w:val="24"/>
              </w:rPr>
              <w:t>There</w:t>
            </w:r>
            <w:r>
              <w:rPr>
                <w:spacing w:val="-6"/>
                <w:sz w:val="24"/>
              </w:rPr>
              <w:t> </w:t>
            </w:r>
            <w:r>
              <w:rPr>
                <w:sz w:val="24"/>
              </w:rPr>
              <w:t>may</w:t>
            </w:r>
            <w:r>
              <w:rPr>
                <w:spacing w:val="-12"/>
                <w:sz w:val="24"/>
              </w:rPr>
              <w:t> </w:t>
            </w:r>
            <w:r>
              <w:rPr>
                <w:sz w:val="24"/>
              </w:rPr>
              <w:t>be</w:t>
            </w:r>
            <w:r>
              <w:rPr>
                <w:spacing w:val="-11"/>
                <w:sz w:val="24"/>
              </w:rPr>
              <w:t> </w:t>
            </w:r>
            <w:r>
              <w:rPr>
                <w:sz w:val="24"/>
              </w:rPr>
              <w:t>a</w:t>
            </w:r>
            <w:r>
              <w:rPr>
                <w:spacing w:val="-11"/>
                <w:sz w:val="24"/>
              </w:rPr>
              <w:t> </w:t>
            </w:r>
            <w:r>
              <w:rPr>
                <w:sz w:val="24"/>
              </w:rPr>
              <w:t>requirement</w:t>
            </w:r>
            <w:r>
              <w:rPr>
                <w:spacing w:val="-9"/>
                <w:sz w:val="24"/>
              </w:rPr>
              <w:t> </w:t>
            </w:r>
            <w:r>
              <w:rPr>
                <w:sz w:val="24"/>
              </w:rPr>
              <w:t>to</w:t>
            </w:r>
            <w:r>
              <w:rPr>
                <w:spacing w:val="-11"/>
                <w:sz w:val="24"/>
              </w:rPr>
              <w:t> </w:t>
            </w:r>
            <w:r>
              <w:rPr>
                <w:sz w:val="24"/>
              </w:rPr>
              <w:t>continue</w:t>
            </w:r>
            <w:r>
              <w:rPr>
                <w:spacing w:val="-11"/>
                <w:sz w:val="24"/>
              </w:rPr>
              <w:t> </w:t>
            </w:r>
            <w:r>
              <w:rPr>
                <w:sz w:val="24"/>
              </w:rPr>
              <w:t>operating</w:t>
            </w:r>
            <w:r>
              <w:rPr>
                <w:spacing w:val="-16"/>
                <w:sz w:val="24"/>
              </w:rPr>
              <w:t> </w:t>
            </w:r>
            <w:r>
              <w:rPr>
                <w:sz w:val="24"/>
              </w:rPr>
              <w:t>existing</w:t>
            </w:r>
            <w:r>
              <w:rPr>
                <w:spacing w:val="-11"/>
                <w:sz w:val="24"/>
              </w:rPr>
              <w:t> </w:t>
            </w:r>
            <w:r>
              <w:rPr>
                <w:sz w:val="24"/>
              </w:rPr>
              <w:t>LINACS</w:t>
            </w:r>
            <w:r>
              <w:rPr>
                <w:spacing w:val="-12"/>
                <w:sz w:val="24"/>
              </w:rPr>
              <w:t> </w:t>
            </w:r>
            <w:r>
              <w:rPr>
                <w:sz w:val="24"/>
              </w:rPr>
              <w:t>beyond</w:t>
            </w:r>
            <w:r>
              <w:rPr>
                <w:spacing w:val="-11"/>
                <w:sz w:val="24"/>
              </w:rPr>
              <w:t> </w:t>
            </w:r>
            <w:r>
              <w:rPr>
                <w:sz w:val="24"/>
              </w:rPr>
              <w:t>their </w:t>
            </w:r>
            <w:r>
              <w:rPr>
                <w:spacing w:val="-2"/>
                <w:sz w:val="24"/>
              </w:rPr>
              <w:t>planned</w:t>
            </w:r>
            <w:r>
              <w:rPr>
                <w:spacing w:val="-15"/>
                <w:sz w:val="24"/>
              </w:rPr>
              <w:t> </w:t>
            </w:r>
            <w:r>
              <w:rPr>
                <w:spacing w:val="-2"/>
                <w:sz w:val="24"/>
              </w:rPr>
              <w:t>replacement</w:t>
            </w:r>
            <w:r>
              <w:rPr>
                <w:spacing w:val="-15"/>
                <w:sz w:val="24"/>
              </w:rPr>
              <w:t> </w:t>
            </w:r>
            <w:r>
              <w:rPr>
                <w:spacing w:val="-2"/>
                <w:sz w:val="24"/>
              </w:rPr>
              <w:t>period</w:t>
            </w:r>
            <w:r>
              <w:rPr>
                <w:spacing w:val="-14"/>
                <w:sz w:val="24"/>
              </w:rPr>
              <w:t> </w:t>
            </w:r>
            <w:r>
              <w:rPr>
                <w:spacing w:val="-2"/>
                <w:sz w:val="24"/>
              </w:rPr>
              <w:t>and</w:t>
            </w:r>
            <w:r>
              <w:rPr>
                <w:spacing w:val="-15"/>
                <w:sz w:val="24"/>
              </w:rPr>
              <w:t> </w:t>
            </w:r>
            <w:r>
              <w:rPr>
                <w:spacing w:val="-2"/>
                <w:sz w:val="24"/>
              </w:rPr>
              <w:t>recommended</w:t>
            </w:r>
            <w:r>
              <w:rPr>
                <w:spacing w:val="-15"/>
                <w:sz w:val="24"/>
              </w:rPr>
              <w:t> </w:t>
            </w:r>
            <w:r>
              <w:rPr>
                <w:spacing w:val="-2"/>
                <w:sz w:val="24"/>
              </w:rPr>
              <w:t>life</w:t>
            </w:r>
            <w:r>
              <w:rPr>
                <w:spacing w:val="-15"/>
                <w:sz w:val="24"/>
              </w:rPr>
              <w:t> </w:t>
            </w:r>
            <w:r>
              <w:rPr>
                <w:spacing w:val="-2"/>
                <w:sz w:val="24"/>
              </w:rPr>
              <w:t>expectancy.</w:t>
            </w:r>
            <w:r>
              <w:rPr>
                <w:spacing w:val="-14"/>
                <w:sz w:val="24"/>
              </w:rPr>
              <w:t> </w:t>
            </w:r>
            <w:r>
              <w:rPr>
                <w:spacing w:val="-2"/>
                <w:sz w:val="24"/>
              </w:rPr>
              <w:t>Whilst</w:t>
            </w:r>
            <w:r>
              <w:rPr>
                <w:spacing w:val="-15"/>
                <w:sz w:val="24"/>
              </w:rPr>
              <w:t> </w:t>
            </w:r>
            <w:r>
              <w:rPr>
                <w:spacing w:val="-2"/>
                <w:sz w:val="24"/>
              </w:rPr>
              <w:t>this</w:t>
            </w:r>
            <w:r>
              <w:rPr>
                <w:spacing w:val="-15"/>
                <w:sz w:val="24"/>
              </w:rPr>
              <w:t> </w:t>
            </w:r>
            <w:r>
              <w:rPr>
                <w:spacing w:val="-2"/>
                <w:sz w:val="24"/>
              </w:rPr>
              <w:t>may</w:t>
            </w:r>
            <w:r>
              <w:rPr>
                <w:spacing w:val="-14"/>
                <w:sz w:val="24"/>
              </w:rPr>
              <w:t> </w:t>
            </w:r>
            <w:r>
              <w:rPr>
                <w:spacing w:val="-2"/>
                <w:sz w:val="24"/>
              </w:rPr>
              <w:t>provide </w:t>
            </w:r>
            <w:r>
              <w:rPr>
                <w:sz w:val="24"/>
              </w:rPr>
              <w:t>short-term</w:t>
            </w:r>
            <w:r>
              <w:rPr>
                <w:spacing w:val="-12"/>
                <w:sz w:val="24"/>
              </w:rPr>
              <w:t> </w:t>
            </w:r>
            <w:r>
              <w:rPr>
                <w:sz w:val="24"/>
              </w:rPr>
              <w:t>capacity</w:t>
            </w:r>
            <w:r>
              <w:rPr>
                <w:spacing w:val="-12"/>
                <w:sz w:val="24"/>
              </w:rPr>
              <w:t> </w:t>
            </w:r>
            <w:r>
              <w:rPr>
                <w:sz w:val="24"/>
              </w:rPr>
              <w:t>resilience,</w:t>
            </w:r>
            <w:r>
              <w:rPr>
                <w:spacing w:val="-14"/>
                <w:sz w:val="24"/>
              </w:rPr>
              <w:t> </w:t>
            </w:r>
            <w:r>
              <w:rPr>
                <w:sz w:val="24"/>
              </w:rPr>
              <w:t>it</w:t>
            </w:r>
            <w:r>
              <w:rPr>
                <w:spacing w:val="-10"/>
                <w:sz w:val="24"/>
              </w:rPr>
              <w:t> </w:t>
            </w:r>
            <w:r>
              <w:rPr>
                <w:sz w:val="24"/>
              </w:rPr>
              <w:t>carries</w:t>
            </w:r>
            <w:r>
              <w:rPr>
                <w:spacing w:val="-12"/>
                <w:sz w:val="24"/>
              </w:rPr>
              <w:t> </w:t>
            </w:r>
            <w:r>
              <w:rPr>
                <w:sz w:val="24"/>
              </w:rPr>
              <w:t>an</w:t>
            </w:r>
            <w:r>
              <w:rPr>
                <w:spacing w:val="-12"/>
                <w:sz w:val="24"/>
              </w:rPr>
              <w:t> </w:t>
            </w:r>
            <w:r>
              <w:rPr>
                <w:sz w:val="24"/>
              </w:rPr>
              <w:t>increased</w:t>
            </w:r>
            <w:r>
              <w:rPr>
                <w:spacing w:val="-12"/>
                <w:sz w:val="24"/>
              </w:rPr>
              <w:t> </w:t>
            </w:r>
            <w:r>
              <w:rPr>
                <w:sz w:val="24"/>
              </w:rPr>
              <w:t>risk</w:t>
            </w:r>
            <w:r>
              <w:rPr>
                <w:spacing w:val="-17"/>
                <w:sz w:val="24"/>
              </w:rPr>
              <w:t> </w:t>
            </w:r>
            <w:r>
              <w:rPr>
                <w:sz w:val="24"/>
              </w:rPr>
              <w:t>of</w:t>
            </w:r>
            <w:r>
              <w:rPr>
                <w:spacing w:val="-14"/>
                <w:sz w:val="24"/>
              </w:rPr>
              <w:t> </w:t>
            </w:r>
            <w:r>
              <w:rPr>
                <w:sz w:val="24"/>
              </w:rPr>
              <w:t>equipment</w:t>
            </w:r>
            <w:r>
              <w:rPr>
                <w:spacing w:val="-14"/>
                <w:sz w:val="24"/>
              </w:rPr>
              <w:t> </w:t>
            </w:r>
            <w:r>
              <w:rPr>
                <w:sz w:val="24"/>
              </w:rPr>
              <w:t>failure, unplanned</w:t>
            </w:r>
            <w:r>
              <w:rPr>
                <w:spacing w:val="-17"/>
                <w:sz w:val="24"/>
              </w:rPr>
              <w:t> </w:t>
            </w:r>
            <w:r>
              <w:rPr>
                <w:sz w:val="24"/>
              </w:rPr>
              <w:t>downtime,</w:t>
            </w:r>
            <w:r>
              <w:rPr>
                <w:spacing w:val="-17"/>
                <w:sz w:val="24"/>
              </w:rPr>
              <w:t> </w:t>
            </w:r>
            <w:r>
              <w:rPr>
                <w:sz w:val="24"/>
              </w:rPr>
              <w:t>higher</w:t>
            </w:r>
            <w:r>
              <w:rPr>
                <w:spacing w:val="-16"/>
                <w:sz w:val="24"/>
              </w:rPr>
              <w:t> </w:t>
            </w:r>
            <w:r>
              <w:rPr>
                <w:sz w:val="24"/>
              </w:rPr>
              <w:t>maintenance</w:t>
            </w:r>
            <w:r>
              <w:rPr>
                <w:spacing w:val="-14"/>
                <w:sz w:val="24"/>
              </w:rPr>
              <w:t> </w:t>
            </w:r>
            <w:r>
              <w:rPr>
                <w:sz w:val="24"/>
              </w:rPr>
              <w:t>costs,</w:t>
            </w:r>
            <w:r>
              <w:rPr>
                <w:spacing w:val="-13"/>
                <w:sz w:val="24"/>
              </w:rPr>
              <w:t> </w:t>
            </w:r>
            <w:r>
              <w:rPr>
                <w:sz w:val="24"/>
              </w:rPr>
              <w:t>challenges</w:t>
            </w:r>
            <w:r>
              <w:rPr>
                <w:spacing w:val="-17"/>
                <w:sz w:val="24"/>
              </w:rPr>
              <w:t> </w:t>
            </w:r>
            <w:r>
              <w:rPr>
                <w:sz w:val="24"/>
              </w:rPr>
              <w:t>in</w:t>
            </w:r>
            <w:r>
              <w:rPr>
                <w:spacing w:val="-11"/>
                <w:sz w:val="24"/>
              </w:rPr>
              <w:t> </w:t>
            </w:r>
            <w:r>
              <w:rPr>
                <w:sz w:val="24"/>
              </w:rPr>
              <w:t>sourcing</w:t>
            </w:r>
            <w:r>
              <w:rPr>
                <w:spacing w:val="-16"/>
                <w:sz w:val="24"/>
              </w:rPr>
              <w:t> </w:t>
            </w:r>
            <w:r>
              <w:rPr>
                <w:sz w:val="24"/>
              </w:rPr>
              <w:t>replacement parts,</w:t>
            </w:r>
            <w:r>
              <w:rPr>
                <w:spacing w:val="-15"/>
                <w:sz w:val="24"/>
              </w:rPr>
              <w:t> </w:t>
            </w:r>
            <w:r>
              <w:rPr>
                <w:sz w:val="24"/>
              </w:rPr>
              <w:t>and</w:t>
            </w:r>
            <w:r>
              <w:rPr>
                <w:spacing w:val="-12"/>
                <w:sz w:val="24"/>
              </w:rPr>
              <w:t> </w:t>
            </w:r>
            <w:r>
              <w:rPr>
                <w:sz w:val="24"/>
              </w:rPr>
              <w:t>potential</w:t>
            </w:r>
            <w:r>
              <w:rPr>
                <w:spacing w:val="-12"/>
                <w:sz w:val="24"/>
              </w:rPr>
              <w:t> </w:t>
            </w:r>
            <w:r>
              <w:rPr>
                <w:sz w:val="24"/>
              </w:rPr>
              <w:t>impacts</w:t>
            </w:r>
            <w:r>
              <w:rPr>
                <w:spacing w:val="-13"/>
                <w:sz w:val="24"/>
              </w:rPr>
              <w:t> </w:t>
            </w:r>
            <w:r>
              <w:rPr>
                <w:sz w:val="24"/>
              </w:rPr>
              <w:t>on</w:t>
            </w:r>
            <w:r>
              <w:rPr>
                <w:spacing w:val="-12"/>
                <w:sz w:val="24"/>
              </w:rPr>
              <w:t> </w:t>
            </w:r>
            <w:r>
              <w:rPr>
                <w:sz w:val="24"/>
              </w:rPr>
              <w:t>service</w:t>
            </w:r>
            <w:r>
              <w:rPr>
                <w:spacing w:val="-12"/>
                <w:sz w:val="24"/>
              </w:rPr>
              <w:t> </w:t>
            </w:r>
            <w:r>
              <w:rPr>
                <w:sz w:val="24"/>
              </w:rPr>
              <w:t>continuity</w:t>
            </w:r>
            <w:r>
              <w:rPr>
                <w:spacing w:val="-9"/>
                <w:sz w:val="24"/>
              </w:rPr>
              <w:t> </w:t>
            </w:r>
            <w:r>
              <w:rPr>
                <w:sz w:val="24"/>
              </w:rPr>
              <w:t>and</w:t>
            </w:r>
            <w:r>
              <w:rPr>
                <w:spacing w:val="-17"/>
                <w:sz w:val="24"/>
              </w:rPr>
              <w:t> </w:t>
            </w:r>
            <w:r>
              <w:rPr>
                <w:sz w:val="24"/>
              </w:rPr>
              <w:t>patient</w:t>
            </w:r>
            <w:r>
              <w:rPr>
                <w:spacing w:val="-15"/>
                <w:sz w:val="24"/>
              </w:rPr>
              <w:t> </w:t>
            </w:r>
            <w:r>
              <w:rPr>
                <w:sz w:val="24"/>
              </w:rPr>
              <w:t>access</w:t>
            </w:r>
            <w:r>
              <w:rPr>
                <w:spacing w:val="-9"/>
                <w:sz w:val="24"/>
              </w:rPr>
              <w:t> </w:t>
            </w:r>
            <w:r>
              <w:rPr>
                <w:sz w:val="24"/>
              </w:rPr>
              <w:t>to</w:t>
            </w:r>
            <w:r>
              <w:rPr>
                <w:spacing w:val="-8"/>
                <w:sz w:val="24"/>
              </w:rPr>
              <w:t> </w:t>
            </w:r>
            <w:r>
              <w:rPr>
                <w:sz w:val="24"/>
              </w:rPr>
              <w:t>treatment.</w:t>
            </w:r>
          </w:p>
          <w:p>
            <w:pPr>
              <w:pStyle w:val="TableParagraph"/>
              <w:numPr>
                <w:ilvl w:val="0"/>
                <w:numId w:val="21"/>
              </w:numPr>
              <w:tabs>
                <w:tab w:pos="828" w:val="left" w:leader="none"/>
                <w:tab w:pos="830" w:val="left" w:leader="none"/>
              </w:tabs>
              <w:spacing w:line="240" w:lineRule="auto" w:before="1" w:after="0"/>
              <w:ind w:left="830" w:right="129" w:hanging="361"/>
              <w:jc w:val="left"/>
              <w:rPr>
                <w:sz w:val="24"/>
              </w:rPr>
            </w:pPr>
            <w:r>
              <w:rPr>
                <w:sz w:val="24"/>
              </w:rPr>
              <w:t>Consider</w:t>
            </w:r>
            <w:r>
              <w:rPr>
                <w:spacing w:val="-14"/>
                <w:sz w:val="24"/>
              </w:rPr>
              <w:t> </w:t>
            </w:r>
            <w:r>
              <w:rPr>
                <w:sz w:val="24"/>
              </w:rPr>
              <w:t>extending</w:t>
            </w:r>
            <w:r>
              <w:rPr>
                <w:spacing w:val="-13"/>
                <w:sz w:val="24"/>
              </w:rPr>
              <w:t> </w:t>
            </w:r>
            <w:r>
              <w:rPr>
                <w:sz w:val="24"/>
              </w:rPr>
              <w:t>operational</w:t>
            </w:r>
            <w:r>
              <w:rPr>
                <w:spacing w:val="-13"/>
                <w:sz w:val="24"/>
              </w:rPr>
              <w:t> </w:t>
            </w:r>
            <w:r>
              <w:rPr>
                <w:sz w:val="24"/>
              </w:rPr>
              <w:t>hours</w:t>
            </w:r>
            <w:r>
              <w:rPr>
                <w:spacing w:val="-14"/>
                <w:sz w:val="24"/>
              </w:rPr>
              <w:t> </w:t>
            </w:r>
            <w:r>
              <w:rPr>
                <w:sz w:val="24"/>
              </w:rPr>
              <w:t>using</w:t>
            </w:r>
            <w:r>
              <w:rPr>
                <w:spacing w:val="-13"/>
                <w:sz w:val="24"/>
              </w:rPr>
              <w:t> </w:t>
            </w:r>
            <w:r>
              <w:rPr>
                <w:sz w:val="24"/>
              </w:rPr>
              <w:t>the</w:t>
            </w:r>
            <w:r>
              <w:rPr>
                <w:spacing w:val="-13"/>
                <w:sz w:val="24"/>
              </w:rPr>
              <w:t> </w:t>
            </w:r>
            <w:r>
              <w:rPr>
                <w:sz w:val="24"/>
              </w:rPr>
              <w:t>existing</w:t>
            </w:r>
            <w:r>
              <w:rPr>
                <w:spacing w:val="-13"/>
                <w:sz w:val="24"/>
              </w:rPr>
              <w:t> </w:t>
            </w:r>
            <w:r>
              <w:rPr>
                <w:sz w:val="24"/>
              </w:rPr>
              <w:t>workforce,</w:t>
            </w:r>
            <w:r>
              <w:rPr>
                <w:spacing w:val="-16"/>
                <w:sz w:val="24"/>
              </w:rPr>
              <w:t> </w:t>
            </w:r>
            <w:r>
              <w:rPr>
                <w:sz w:val="24"/>
              </w:rPr>
              <w:t>where</w:t>
            </w:r>
            <w:r>
              <w:rPr>
                <w:spacing w:val="-9"/>
                <w:sz w:val="24"/>
              </w:rPr>
              <w:t> </w:t>
            </w:r>
            <w:r>
              <w:rPr>
                <w:sz w:val="24"/>
              </w:rPr>
              <w:t>this</w:t>
            </w:r>
            <w:r>
              <w:rPr>
                <w:spacing w:val="-10"/>
                <w:sz w:val="24"/>
              </w:rPr>
              <w:t> </w:t>
            </w:r>
            <w:r>
              <w:rPr>
                <w:sz w:val="24"/>
              </w:rPr>
              <w:t>can</w:t>
            </w:r>
            <w:r>
              <w:rPr>
                <w:spacing w:val="-13"/>
                <w:sz w:val="24"/>
              </w:rPr>
              <w:t> </w:t>
            </w:r>
            <w:r>
              <w:rPr>
                <w:sz w:val="24"/>
              </w:rPr>
              <w:t>be achieved</w:t>
            </w:r>
            <w:r>
              <w:rPr>
                <w:spacing w:val="-11"/>
                <w:sz w:val="24"/>
              </w:rPr>
              <w:t> </w:t>
            </w:r>
            <w:r>
              <w:rPr>
                <w:sz w:val="24"/>
              </w:rPr>
              <w:t>safely,</w:t>
            </w:r>
            <w:r>
              <w:rPr>
                <w:spacing w:val="-14"/>
                <w:sz w:val="24"/>
              </w:rPr>
              <w:t> </w:t>
            </w:r>
            <w:r>
              <w:rPr>
                <w:sz w:val="24"/>
              </w:rPr>
              <w:t>sustainably</w:t>
            </w:r>
            <w:r>
              <w:rPr>
                <w:spacing w:val="-12"/>
                <w:sz w:val="24"/>
              </w:rPr>
              <w:t> </w:t>
            </w:r>
            <w:r>
              <w:rPr>
                <w:sz w:val="24"/>
              </w:rPr>
              <w:t>and</w:t>
            </w:r>
            <w:r>
              <w:rPr>
                <w:spacing w:val="-11"/>
                <w:sz w:val="24"/>
              </w:rPr>
              <w:t> </w:t>
            </w:r>
            <w:r>
              <w:rPr>
                <w:sz w:val="24"/>
              </w:rPr>
              <w:t>with</w:t>
            </w:r>
            <w:r>
              <w:rPr>
                <w:spacing w:val="-16"/>
                <w:sz w:val="24"/>
              </w:rPr>
              <w:t> </w:t>
            </w:r>
            <w:r>
              <w:rPr>
                <w:sz w:val="24"/>
              </w:rPr>
              <w:t>appropriate</w:t>
            </w:r>
            <w:r>
              <w:rPr>
                <w:spacing w:val="-11"/>
                <w:sz w:val="24"/>
              </w:rPr>
              <w:t> </w:t>
            </w:r>
            <w:r>
              <w:rPr>
                <w:sz w:val="24"/>
              </w:rPr>
              <w:t>staff</w:t>
            </w:r>
            <w:r>
              <w:rPr>
                <w:spacing w:val="-9"/>
                <w:sz w:val="24"/>
              </w:rPr>
              <w:t> </w:t>
            </w:r>
            <w:r>
              <w:rPr>
                <w:sz w:val="24"/>
              </w:rPr>
              <w:t>support.</w:t>
            </w:r>
            <w:r>
              <w:rPr>
                <w:spacing w:val="-14"/>
                <w:sz w:val="24"/>
              </w:rPr>
              <w:t> </w:t>
            </w:r>
            <w:r>
              <w:rPr>
                <w:sz w:val="24"/>
              </w:rPr>
              <w:t>This</w:t>
            </w:r>
            <w:r>
              <w:rPr>
                <w:spacing w:val="-12"/>
                <w:sz w:val="24"/>
              </w:rPr>
              <w:t> </w:t>
            </w:r>
            <w:r>
              <w:rPr>
                <w:sz w:val="24"/>
              </w:rPr>
              <w:t>would</w:t>
            </w:r>
            <w:r>
              <w:rPr>
                <w:spacing w:val="-11"/>
                <w:sz w:val="24"/>
              </w:rPr>
              <w:t> </w:t>
            </w:r>
            <w:r>
              <w:rPr>
                <w:sz w:val="24"/>
              </w:rPr>
              <w:t>be</w:t>
            </w:r>
            <w:r>
              <w:rPr>
                <w:spacing w:val="-11"/>
                <w:sz w:val="24"/>
              </w:rPr>
              <w:t> </w:t>
            </w:r>
            <w:r>
              <w:rPr>
                <w:sz w:val="24"/>
              </w:rPr>
              <w:t>a</w:t>
            </w:r>
            <w:r>
              <w:rPr>
                <w:spacing w:val="-11"/>
                <w:sz w:val="24"/>
              </w:rPr>
              <w:t> </w:t>
            </w:r>
            <w:r>
              <w:rPr>
                <w:sz w:val="24"/>
              </w:rPr>
              <w:t>short-</w:t>
            </w:r>
            <w:r>
              <w:rPr>
                <w:spacing w:val="-2"/>
                <w:sz w:val="24"/>
              </w:rPr>
              <w:t>term</w:t>
            </w:r>
            <w:r>
              <w:rPr>
                <w:spacing w:val="-15"/>
                <w:sz w:val="24"/>
              </w:rPr>
              <w:t> </w:t>
            </w:r>
            <w:r>
              <w:rPr>
                <w:spacing w:val="-2"/>
                <w:sz w:val="24"/>
              </w:rPr>
              <w:t>mitigation</w:t>
            </w:r>
            <w:r>
              <w:rPr>
                <w:spacing w:val="-15"/>
                <w:sz w:val="24"/>
              </w:rPr>
              <w:t> </w:t>
            </w:r>
            <w:r>
              <w:rPr>
                <w:spacing w:val="-2"/>
                <w:sz w:val="24"/>
              </w:rPr>
              <w:t>measure,</w:t>
            </w:r>
            <w:r>
              <w:rPr>
                <w:spacing w:val="-14"/>
                <w:sz w:val="24"/>
              </w:rPr>
              <w:t> </w:t>
            </w:r>
            <w:r>
              <w:rPr>
                <w:spacing w:val="-2"/>
                <w:sz w:val="24"/>
              </w:rPr>
              <w:t>reliant</w:t>
            </w:r>
            <w:r>
              <w:rPr>
                <w:spacing w:val="-15"/>
                <w:sz w:val="24"/>
              </w:rPr>
              <w:t> </w:t>
            </w:r>
            <w:r>
              <w:rPr>
                <w:spacing w:val="-2"/>
                <w:sz w:val="24"/>
              </w:rPr>
              <w:t>on</w:t>
            </w:r>
            <w:r>
              <w:rPr>
                <w:spacing w:val="-15"/>
                <w:sz w:val="24"/>
              </w:rPr>
              <w:t> </w:t>
            </w:r>
            <w:r>
              <w:rPr>
                <w:spacing w:val="-2"/>
                <w:sz w:val="24"/>
              </w:rPr>
              <w:t>staff</w:t>
            </w:r>
            <w:r>
              <w:rPr>
                <w:spacing w:val="-15"/>
                <w:sz w:val="24"/>
              </w:rPr>
              <w:t> </w:t>
            </w:r>
            <w:r>
              <w:rPr>
                <w:spacing w:val="-2"/>
                <w:sz w:val="24"/>
              </w:rPr>
              <w:t>undertaking</w:t>
            </w:r>
            <w:r>
              <w:rPr>
                <w:spacing w:val="-14"/>
                <w:sz w:val="24"/>
              </w:rPr>
              <w:t> </w:t>
            </w:r>
            <w:r>
              <w:rPr>
                <w:spacing w:val="-2"/>
                <w:sz w:val="24"/>
              </w:rPr>
              <w:t>additional</w:t>
            </w:r>
            <w:r>
              <w:rPr>
                <w:spacing w:val="-15"/>
                <w:sz w:val="24"/>
              </w:rPr>
              <w:t> </w:t>
            </w:r>
            <w:r>
              <w:rPr>
                <w:spacing w:val="-2"/>
                <w:sz w:val="24"/>
              </w:rPr>
              <w:t>paid</w:t>
            </w:r>
            <w:r>
              <w:rPr>
                <w:spacing w:val="-15"/>
                <w:sz w:val="24"/>
              </w:rPr>
              <w:t> </w:t>
            </w:r>
            <w:r>
              <w:rPr>
                <w:spacing w:val="-2"/>
                <w:sz w:val="24"/>
              </w:rPr>
              <w:t>overtime.</w:t>
            </w:r>
            <w:r>
              <w:rPr>
                <w:spacing w:val="-14"/>
                <w:sz w:val="24"/>
              </w:rPr>
              <w:t> </w:t>
            </w:r>
            <w:r>
              <w:rPr>
                <w:spacing w:val="-2"/>
                <w:sz w:val="24"/>
              </w:rPr>
              <w:t>Prolonged </w:t>
            </w:r>
            <w:r>
              <w:rPr>
                <w:sz w:val="24"/>
              </w:rPr>
              <w:t>reliance</w:t>
            </w:r>
            <w:r>
              <w:rPr>
                <w:spacing w:val="-14"/>
                <w:sz w:val="24"/>
              </w:rPr>
              <w:t> </w:t>
            </w:r>
            <w:r>
              <w:rPr>
                <w:sz w:val="24"/>
              </w:rPr>
              <w:t>on</w:t>
            </w:r>
            <w:r>
              <w:rPr>
                <w:spacing w:val="-10"/>
                <w:sz w:val="24"/>
              </w:rPr>
              <w:t> </w:t>
            </w:r>
            <w:r>
              <w:rPr>
                <w:sz w:val="24"/>
              </w:rPr>
              <w:t>this</w:t>
            </w:r>
            <w:r>
              <w:rPr>
                <w:spacing w:val="-15"/>
                <w:sz w:val="24"/>
              </w:rPr>
              <w:t> </w:t>
            </w:r>
            <w:r>
              <w:rPr>
                <w:sz w:val="24"/>
              </w:rPr>
              <w:t>approach</w:t>
            </w:r>
            <w:r>
              <w:rPr>
                <w:spacing w:val="-14"/>
                <w:sz w:val="24"/>
              </w:rPr>
              <w:t> </w:t>
            </w:r>
            <w:r>
              <w:rPr>
                <w:sz w:val="24"/>
              </w:rPr>
              <w:t>may</w:t>
            </w:r>
            <w:r>
              <w:rPr>
                <w:spacing w:val="-15"/>
                <w:sz w:val="24"/>
              </w:rPr>
              <w:t> </w:t>
            </w:r>
            <w:r>
              <w:rPr>
                <w:sz w:val="24"/>
              </w:rPr>
              <w:t>impact</w:t>
            </w:r>
            <w:r>
              <w:rPr>
                <w:spacing w:val="-17"/>
                <w:sz w:val="24"/>
              </w:rPr>
              <w:t> </w:t>
            </w:r>
            <w:r>
              <w:rPr>
                <w:sz w:val="24"/>
              </w:rPr>
              <w:t>workforce</w:t>
            </w:r>
            <w:r>
              <w:rPr>
                <w:spacing w:val="-10"/>
                <w:sz w:val="24"/>
              </w:rPr>
              <w:t> </w:t>
            </w:r>
            <w:r>
              <w:rPr>
                <w:sz w:val="24"/>
              </w:rPr>
              <w:t>wellbeing,</w:t>
            </w:r>
            <w:r>
              <w:rPr>
                <w:spacing w:val="-12"/>
                <w:sz w:val="24"/>
              </w:rPr>
              <w:t> </w:t>
            </w:r>
            <w:r>
              <w:rPr>
                <w:sz w:val="24"/>
              </w:rPr>
              <w:t>sustainability,</w:t>
            </w:r>
            <w:r>
              <w:rPr>
                <w:spacing w:val="-17"/>
                <w:sz w:val="24"/>
              </w:rPr>
              <w:t> </w:t>
            </w:r>
            <w:r>
              <w:rPr>
                <w:sz w:val="24"/>
              </w:rPr>
              <w:t>and</w:t>
            </w:r>
            <w:r>
              <w:rPr>
                <w:spacing w:val="-10"/>
                <w:sz w:val="24"/>
              </w:rPr>
              <w:t> </w:t>
            </w:r>
            <w:r>
              <w:rPr>
                <w:sz w:val="24"/>
              </w:rPr>
              <w:t>staff </w:t>
            </w:r>
            <w:r>
              <w:rPr>
                <w:spacing w:val="-2"/>
                <w:sz w:val="24"/>
              </w:rPr>
              <w:t>retention.</w:t>
            </w:r>
          </w:p>
          <w:p>
            <w:pPr>
              <w:pStyle w:val="TableParagraph"/>
              <w:numPr>
                <w:ilvl w:val="0"/>
                <w:numId w:val="21"/>
              </w:numPr>
              <w:tabs>
                <w:tab w:pos="828" w:val="left" w:leader="none"/>
                <w:tab w:pos="830" w:val="left" w:leader="none"/>
              </w:tabs>
              <w:spacing w:line="240" w:lineRule="auto" w:before="0" w:after="0"/>
              <w:ind w:left="830" w:right="398" w:hanging="361"/>
              <w:jc w:val="left"/>
              <w:rPr>
                <w:sz w:val="24"/>
              </w:rPr>
            </w:pPr>
            <w:r>
              <w:rPr>
                <w:spacing w:val="-2"/>
                <w:sz w:val="24"/>
              </w:rPr>
              <w:t>Expedite</w:t>
            </w:r>
            <w:r>
              <w:rPr>
                <w:spacing w:val="-15"/>
                <w:sz w:val="24"/>
              </w:rPr>
              <w:t> </w:t>
            </w:r>
            <w:r>
              <w:rPr>
                <w:spacing w:val="-2"/>
                <w:sz w:val="24"/>
              </w:rPr>
              <w:t>recruitment</w:t>
            </w:r>
            <w:r>
              <w:rPr>
                <w:spacing w:val="-15"/>
                <w:sz w:val="24"/>
              </w:rPr>
              <w:t> </w:t>
            </w:r>
            <w:r>
              <w:rPr>
                <w:spacing w:val="-2"/>
                <w:sz w:val="24"/>
              </w:rPr>
              <w:t>and</w:t>
            </w:r>
            <w:r>
              <w:rPr>
                <w:spacing w:val="-14"/>
                <w:sz w:val="24"/>
              </w:rPr>
              <w:t> </w:t>
            </w:r>
            <w:r>
              <w:rPr>
                <w:spacing w:val="-2"/>
                <w:sz w:val="24"/>
              </w:rPr>
              <w:t>onboarding</w:t>
            </w:r>
            <w:r>
              <w:rPr>
                <w:spacing w:val="-15"/>
                <w:sz w:val="24"/>
              </w:rPr>
              <w:t> </w:t>
            </w:r>
            <w:r>
              <w:rPr>
                <w:spacing w:val="-2"/>
                <w:sz w:val="24"/>
              </w:rPr>
              <w:t>of</w:t>
            </w:r>
            <w:r>
              <w:rPr>
                <w:spacing w:val="-15"/>
                <w:sz w:val="24"/>
              </w:rPr>
              <w:t> </w:t>
            </w:r>
            <w:r>
              <w:rPr>
                <w:spacing w:val="-2"/>
                <w:sz w:val="24"/>
              </w:rPr>
              <w:t>additional</w:t>
            </w:r>
            <w:r>
              <w:rPr>
                <w:spacing w:val="-15"/>
                <w:sz w:val="24"/>
              </w:rPr>
              <w:t> </w:t>
            </w:r>
            <w:r>
              <w:rPr>
                <w:spacing w:val="-2"/>
                <w:sz w:val="24"/>
              </w:rPr>
              <w:t>staff</w:t>
            </w:r>
            <w:r>
              <w:rPr>
                <w:spacing w:val="-14"/>
                <w:sz w:val="24"/>
              </w:rPr>
              <w:t> </w:t>
            </w:r>
            <w:r>
              <w:rPr>
                <w:spacing w:val="-2"/>
                <w:sz w:val="24"/>
              </w:rPr>
              <w:t>to</w:t>
            </w:r>
            <w:r>
              <w:rPr>
                <w:spacing w:val="-15"/>
                <w:sz w:val="24"/>
              </w:rPr>
              <w:t> </w:t>
            </w:r>
            <w:r>
              <w:rPr>
                <w:spacing w:val="-2"/>
                <w:sz w:val="24"/>
              </w:rPr>
              <w:t>increase</w:t>
            </w:r>
            <w:r>
              <w:rPr>
                <w:spacing w:val="-8"/>
                <w:sz w:val="24"/>
              </w:rPr>
              <w:t> </w:t>
            </w:r>
            <w:r>
              <w:rPr>
                <w:spacing w:val="-2"/>
                <w:sz w:val="24"/>
              </w:rPr>
              <w:t>treatment</w:t>
            </w:r>
            <w:r>
              <w:rPr>
                <w:spacing w:val="-15"/>
                <w:sz w:val="24"/>
              </w:rPr>
              <w:t> </w:t>
            </w:r>
            <w:r>
              <w:rPr>
                <w:spacing w:val="-2"/>
                <w:sz w:val="24"/>
              </w:rPr>
              <w:t>capacity </w:t>
            </w:r>
            <w:r>
              <w:rPr>
                <w:sz w:val="24"/>
              </w:rPr>
              <w:t>on current linacs as early as possible.</w:t>
            </w:r>
          </w:p>
          <w:p>
            <w:pPr>
              <w:pStyle w:val="TableParagraph"/>
              <w:numPr>
                <w:ilvl w:val="0"/>
                <w:numId w:val="21"/>
              </w:numPr>
              <w:tabs>
                <w:tab w:pos="828" w:val="left" w:leader="none"/>
                <w:tab w:pos="830" w:val="left" w:leader="none"/>
              </w:tabs>
              <w:spacing w:line="242" w:lineRule="auto" w:before="0" w:after="0"/>
              <w:ind w:left="830" w:right="573" w:hanging="361"/>
              <w:jc w:val="left"/>
              <w:rPr>
                <w:sz w:val="24"/>
              </w:rPr>
            </w:pPr>
            <w:r>
              <w:rPr>
                <w:spacing w:val="-4"/>
                <w:sz w:val="24"/>
              </w:rPr>
              <w:t>Explore outsourcing and collaborative arrangements with neighbouring radiotherapy </w:t>
            </w:r>
            <w:r>
              <w:rPr>
                <w:sz w:val="24"/>
              </w:rPr>
              <w:t>providers,</w:t>
            </w:r>
            <w:r>
              <w:rPr>
                <w:spacing w:val="-17"/>
                <w:sz w:val="24"/>
              </w:rPr>
              <w:t> </w:t>
            </w:r>
            <w:r>
              <w:rPr>
                <w:sz w:val="24"/>
              </w:rPr>
              <w:t>including</w:t>
            </w:r>
            <w:r>
              <w:rPr>
                <w:spacing w:val="-17"/>
                <w:sz w:val="24"/>
              </w:rPr>
              <w:t> </w:t>
            </w:r>
            <w:r>
              <w:rPr>
                <w:sz w:val="24"/>
              </w:rPr>
              <w:t>Velindre</w:t>
            </w:r>
            <w:r>
              <w:rPr>
                <w:spacing w:val="-16"/>
                <w:sz w:val="24"/>
              </w:rPr>
              <w:t> </w:t>
            </w:r>
            <w:r>
              <w:rPr>
                <w:sz w:val="24"/>
              </w:rPr>
              <w:t>Cancer</w:t>
            </w:r>
            <w:r>
              <w:rPr>
                <w:spacing w:val="-17"/>
                <w:sz w:val="24"/>
              </w:rPr>
              <w:t> </w:t>
            </w:r>
            <w:r>
              <w:rPr>
                <w:sz w:val="24"/>
              </w:rPr>
              <w:t>Centre</w:t>
            </w:r>
            <w:r>
              <w:rPr>
                <w:spacing w:val="-17"/>
                <w:sz w:val="24"/>
              </w:rPr>
              <w:t> </w:t>
            </w:r>
            <w:r>
              <w:rPr>
                <w:sz w:val="24"/>
              </w:rPr>
              <w:t>(VCC)</w:t>
            </w:r>
            <w:r>
              <w:rPr>
                <w:spacing w:val="-17"/>
                <w:sz w:val="24"/>
              </w:rPr>
              <w:t> </w:t>
            </w:r>
            <w:r>
              <w:rPr>
                <w:sz w:val="24"/>
              </w:rPr>
              <w:t>and</w:t>
            </w:r>
            <w:r>
              <w:rPr>
                <w:spacing w:val="-16"/>
                <w:sz w:val="24"/>
              </w:rPr>
              <w:t> </w:t>
            </w:r>
            <w:r>
              <w:rPr>
                <w:sz w:val="24"/>
              </w:rPr>
              <w:t>ICON,</w:t>
            </w:r>
            <w:r>
              <w:rPr>
                <w:spacing w:val="-17"/>
                <w:sz w:val="24"/>
              </w:rPr>
              <w:t> </w:t>
            </w:r>
            <w:r>
              <w:rPr>
                <w:sz w:val="24"/>
              </w:rPr>
              <w:t>to</w:t>
            </w:r>
            <w:r>
              <w:rPr>
                <w:spacing w:val="-17"/>
                <w:sz w:val="24"/>
              </w:rPr>
              <w:t> </w:t>
            </w:r>
            <w:r>
              <w:rPr>
                <w:sz w:val="24"/>
              </w:rPr>
              <w:t>provide</w:t>
            </w:r>
            <w:r>
              <w:rPr>
                <w:spacing w:val="-16"/>
                <w:sz w:val="24"/>
              </w:rPr>
              <w:t> </w:t>
            </w:r>
            <w:r>
              <w:rPr>
                <w:sz w:val="24"/>
              </w:rPr>
              <w:t>additional treatment capacity where appropriate.</w:t>
            </w:r>
          </w:p>
          <w:p>
            <w:pPr>
              <w:pStyle w:val="TableParagraph"/>
              <w:numPr>
                <w:ilvl w:val="0"/>
                <w:numId w:val="21"/>
              </w:numPr>
              <w:tabs>
                <w:tab w:pos="828" w:val="left" w:leader="none"/>
                <w:tab w:pos="830" w:val="left" w:leader="none"/>
              </w:tabs>
              <w:spacing w:line="240" w:lineRule="auto" w:before="0" w:after="0"/>
              <w:ind w:left="830" w:right="549" w:hanging="361"/>
              <w:jc w:val="left"/>
              <w:rPr>
                <w:sz w:val="24"/>
              </w:rPr>
            </w:pPr>
            <w:r>
              <w:rPr>
                <w:spacing w:val="-2"/>
                <w:sz w:val="24"/>
              </w:rPr>
              <w:t>Continue</w:t>
            </w:r>
            <w:r>
              <w:rPr>
                <w:spacing w:val="-13"/>
                <w:sz w:val="24"/>
              </w:rPr>
              <w:t> </w:t>
            </w:r>
            <w:r>
              <w:rPr>
                <w:spacing w:val="-2"/>
                <w:sz w:val="24"/>
              </w:rPr>
              <w:t>to</w:t>
            </w:r>
            <w:r>
              <w:rPr>
                <w:spacing w:val="-13"/>
                <w:sz w:val="24"/>
              </w:rPr>
              <w:t> </w:t>
            </w:r>
            <w:r>
              <w:rPr>
                <w:spacing w:val="-2"/>
                <w:sz w:val="24"/>
              </w:rPr>
              <w:t>review</w:t>
            </w:r>
            <w:r>
              <w:rPr>
                <w:spacing w:val="-13"/>
                <w:sz w:val="24"/>
              </w:rPr>
              <w:t> </w:t>
            </w:r>
            <w:r>
              <w:rPr>
                <w:spacing w:val="-2"/>
                <w:sz w:val="24"/>
              </w:rPr>
              <w:t>service</w:t>
            </w:r>
            <w:r>
              <w:rPr>
                <w:spacing w:val="-13"/>
                <w:sz w:val="24"/>
              </w:rPr>
              <w:t> </w:t>
            </w:r>
            <w:r>
              <w:rPr>
                <w:spacing w:val="-2"/>
                <w:sz w:val="24"/>
              </w:rPr>
              <w:t>delivery</w:t>
            </w:r>
            <w:r>
              <w:rPr>
                <w:spacing w:val="-14"/>
                <w:sz w:val="24"/>
              </w:rPr>
              <w:t> </w:t>
            </w:r>
            <w:r>
              <w:rPr>
                <w:spacing w:val="-2"/>
                <w:sz w:val="24"/>
              </w:rPr>
              <w:t>models</w:t>
            </w:r>
            <w:r>
              <w:rPr>
                <w:spacing w:val="-15"/>
                <w:sz w:val="24"/>
              </w:rPr>
              <w:t> </w:t>
            </w:r>
            <w:r>
              <w:rPr>
                <w:spacing w:val="-2"/>
                <w:sz w:val="24"/>
              </w:rPr>
              <w:t>and</w:t>
            </w:r>
            <w:r>
              <w:rPr>
                <w:spacing w:val="-13"/>
                <w:sz w:val="24"/>
              </w:rPr>
              <w:t> </w:t>
            </w:r>
            <w:r>
              <w:rPr>
                <w:spacing w:val="-2"/>
                <w:sz w:val="24"/>
              </w:rPr>
              <w:t>treatment</w:t>
            </w:r>
            <w:r>
              <w:rPr>
                <w:spacing w:val="-15"/>
                <w:sz w:val="24"/>
              </w:rPr>
              <w:t> </w:t>
            </w:r>
            <w:r>
              <w:rPr>
                <w:spacing w:val="-2"/>
                <w:sz w:val="24"/>
              </w:rPr>
              <w:t>pathways</w:t>
            </w:r>
            <w:r>
              <w:rPr>
                <w:spacing w:val="-14"/>
                <w:sz w:val="24"/>
              </w:rPr>
              <w:t> </w:t>
            </w:r>
            <w:r>
              <w:rPr>
                <w:spacing w:val="-2"/>
                <w:sz w:val="24"/>
              </w:rPr>
              <w:t>to</w:t>
            </w:r>
            <w:r>
              <w:rPr>
                <w:spacing w:val="-13"/>
                <w:sz w:val="24"/>
              </w:rPr>
              <w:t> </w:t>
            </w:r>
            <w:r>
              <w:rPr>
                <w:spacing w:val="-2"/>
                <w:sz w:val="24"/>
              </w:rPr>
              <w:t>maximise</w:t>
            </w:r>
            <w:r>
              <w:rPr>
                <w:spacing w:val="-9"/>
                <w:sz w:val="24"/>
              </w:rPr>
              <w:t> </w:t>
            </w:r>
            <w:r>
              <w:rPr>
                <w:spacing w:val="-2"/>
                <w:sz w:val="24"/>
              </w:rPr>
              <w:t>the </w:t>
            </w:r>
            <w:r>
              <w:rPr>
                <w:sz w:val="24"/>
              </w:rPr>
              <w:t>efficient use of available capacity.</w:t>
            </w:r>
          </w:p>
          <w:p>
            <w:pPr>
              <w:pStyle w:val="TableParagraph"/>
              <w:spacing w:before="39"/>
              <w:rPr>
                <w:sz w:val="24"/>
              </w:rPr>
            </w:pPr>
          </w:p>
          <w:p>
            <w:pPr>
              <w:pStyle w:val="TableParagraph"/>
              <w:spacing w:line="275" w:lineRule="exact"/>
              <w:ind w:left="470"/>
              <w:rPr>
                <w:b/>
                <w:sz w:val="24"/>
              </w:rPr>
            </w:pPr>
            <w:r>
              <w:rPr>
                <w:b/>
                <w:color w:val="12395B"/>
                <w:spacing w:val="-4"/>
                <w:sz w:val="24"/>
              </w:rPr>
              <w:t>RESIDUAL</w:t>
            </w:r>
            <w:r>
              <w:rPr>
                <w:b/>
                <w:color w:val="12395B"/>
                <w:spacing w:val="-8"/>
                <w:sz w:val="24"/>
              </w:rPr>
              <w:t> </w:t>
            </w:r>
            <w:r>
              <w:rPr>
                <w:b/>
                <w:color w:val="12395B"/>
                <w:spacing w:val="-4"/>
                <w:sz w:val="24"/>
              </w:rPr>
              <w:t>RISK</w:t>
            </w:r>
          </w:p>
          <w:p>
            <w:pPr>
              <w:pStyle w:val="TableParagraph"/>
              <w:ind w:left="470" w:right="212"/>
              <w:rPr>
                <w:sz w:val="24"/>
              </w:rPr>
            </w:pPr>
            <w:r>
              <w:rPr>
                <w:sz w:val="24"/>
              </w:rPr>
              <w:t>Even</w:t>
            </w:r>
            <w:r>
              <w:rPr>
                <w:spacing w:val="-17"/>
                <w:sz w:val="24"/>
              </w:rPr>
              <w:t> </w:t>
            </w:r>
            <w:r>
              <w:rPr>
                <w:sz w:val="24"/>
              </w:rPr>
              <w:t>with</w:t>
            </w:r>
            <w:r>
              <w:rPr>
                <w:spacing w:val="-17"/>
                <w:sz w:val="24"/>
              </w:rPr>
              <w:t> </w:t>
            </w:r>
            <w:r>
              <w:rPr>
                <w:sz w:val="24"/>
              </w:rPr>
              <w:t>the</w:t>
            </w:r>
            <w:r>
              <w:rPr>
                <w:spacing w:val="-16"/>
                <w:sz w:val="24"/>
              </w:rPr>
              <w:t> </w:t>
            </w:r>
            <w:r>
              <w:rPr>
                <w:sz w:val="24"/>
              </w:rPr>
              <w:t>above</w:t>
            </w:r>
            <w:r>
              <w:rPr>
                <w:spacing w:val="-17"/>
                <w:sz w:val="24"/>
              </w:rPr>
              <w:t> </w:t>
            </w:r>
            <w:r>
              <w:rPr>
                <w:sz w:val="24"/>
              </w:rPr>
              <w:t>mitigations</w:t>
            </w:r>
            <w:r>
              <w:rPr>
                <w:spacing w:val="-17"/>
                <w:sz w:val="24"/>
              </w:rPr>
              <w:t> </w:t>
            </w:r>
            <w:r>
              <w:rPr>
                <w:sz w:val="24"/>
              </w:rPr>
              <w:t>in</w:t>
            </w:r>
            <w:r>
              <w:rPr>
                <w:spacing w:val="-17"/>
                <w:sz w:val="24"/>
              </w:rPr>
              <w:t> </w:t>
            </w:r>
            <w:r>
              <w:rPr>
                <w:sz w:val="24"/>
              </w:rPr>
              <w:t>place,</w:t>
            </w:r>
            <w:r>
              <w:rPr>
                <w:spacing w:val="-16"/>
                <w:sz w:val="24"/>
              </w:rPr>
              <w:t> </w:t>
            </w:r>
            <w:r>
              <w:rPr>
                <w:sz w:val="24"/>
              </w:rPr>
              <w:t>a</w:t>
            </w:r>
            <w:r>
              <w:rPr>
                <w:spacing w:val="-17"/>
                <w:sz w:val="24"/>
              </w:rPr>
              <w:t> </w:t>
            </w:r>
            <w:r>
              <w:rPr>
                <w:sz w:val="24"/>
              </w:rPr>
              <w:t>delay</w:t>
            </w:r>
            <w:r>
              <w:rPr>
                <w:spacing w:val="-13"/>
                <w:sz w:val="24"/>
              </w:rPr>
              <w:t> </w:t>
            </w:r>
            <w:r>
              <w:rPr>
                <w:sz w:val="24"/>
              </w:rPr>
              <w:t>to</w:t>
            </w:r>
            <w:r>
              <w:rPr>
                <w:spacing w:val="-16"/>
                <w:sz w:val="24"/>
              </w:rPr>
              <w:t> </w:t>
            </w:r>
            <w:r>
              <w:rPr>
                <w:sz w:val="24"/>
              </w:rPr>
              <w:t>the</w:t>
            </w:r>
            <w:r>
              <w:rPr>
                <w:spacing w:val="-16"/>
                <w:sz w:val="24"/>
              </w:rPr>
              <w:t> </w:t>
            </w:r>
            <w:r>
              <w:rPr>
                <w:sz w:val="24"/>
              </w:rPr>
              <w:t>delivery</w:t>
            </w:r>
            <w:r>
              <w:rPr>
                <w:spacing w:val="-17"/>
                <w:sz w:val="24"/>
              </w:rPr>
              <w:t> </w:t>
            </w:r>
            <w:r>
              <w:rPr>
                <w:sz w:val="24"/>
              </w:rPr>
              <w:t>of</w:t>
            </w:r>
            <w:r>
              <w:rPr>
                <w:spacing w:val="-14"/>
                <w:sz w:val="24"/>
              </w:rPr>
              <w:t> </w:t>
            </w:r>
            <w:r>
              <w:rPr>
                <w:sz w:val="24"/>
              </w:rPr>
              <w:t>the</w:t>
            </w:r>
            <w:r>
              <w:rPr>
                <w:spacing w:val="-16"/>
                <w:sz w:val="24"/>
              </w:rPr>
              <w:t> </w:t>
            </w:r>
            <w:r>
              <w:rPr>
                <w:sz w:val="24"/>
              </w:rPr>
              <w:t>6th</w:t>
            </w:r>
            <w:r>
              <w:rPr>
                <w:spacing w:val="-16"/>
                <w:sz w:val="24"/>
              </w:rPr>
              <w:t> </w:t>
            </w:r>
            <w:r>
              <w:rPr>
                <w:sz w:val="24"/>
              </w:rPr>
              <w:t>and</w:t>
            </w:r>
            <w:r>
              <w:rPr>
                <w:spacing w:val="-16"/>
                <w:sz w:val="24"/>
              </w:rPr>
              <w:t> </w:t>
            </w:r>
            <w:r>
              <w:rPr>
                <w:sz w:val="24"/>
              </w:rPr>
              <w:t>7th</w:t>
            </w:r>
            <w:r>
              <w:rPr>
                <w:spacing w:val="-16"/>
                <w:sz w:val="24"/>
              </w:rPr>
              <w:t> </w:t>
            </w:r>
            <w:r>
              <w:rPr>
                <w:sz w:val="24"/>
              </w:rPr>
              <w:t>bunkers </w:t>
            </w:r>
            <w:r>
              <w:rPr>
                <w:spacing w:val="-2"/>
                <w:sz w:val="24"/>
              </w:rPr>
              <w:t>would</w:t>
            </w:r>
            <w:r>
              <w:rPr>
                <w:spacing w:val="-15"/>
                <w:sz w:val="24"/>
              </w:rPr>
              <w:t> </w:t>
            </w:r>
            <w:r>
              <w:rPr>
                <w:spacing w:val="-2"/>
                <w:sz w:val="24"/>
              </w:rPr>
              <w:t>represent</w:t>
            </w:r>
            <w:r>
              <w:rPr>
                <w:spacing w:val="-15"/>
                <w:sz w:val="24"/>
              </w:rPr>
              <w:t> </w:t>
            </w:r>
            <w:r>
              <w:rPr>
                <w:spacing w:val="-2"/>
                <w:sz w:val="24"/>
              </w:rPr>
              <w:t>a</w:t>
            </w:r>
            <w:r>
              <w:rPr>
                <w:spacing w:val="-10"/>
                <w:sz w:val="24"/>
              </w:rPr>
              <w:t> </w:t>
            </w:r>
            <w:r>
              <w:rPr>
                <w:spacing w:val="-2"/>
                <w:sz w:val="24"/>
              </w:rPr>
              <w:t>significant</w:t>
            </w:r>
            <w:r>
              <w:rPr>
                <w:spacing w:val="-15"/>
                <w:sz w:val="24"/>
              </w:rPr>
              <w:t> </w:t>
            </w:r>
            <w:r>
              <w:rPr>
                <w:spacing w:val="-2"/>
                <w:sz w:val="24"/>
              </w:rPr>
              <w:t>residual</w:t>
            </w:r>
            <w:r>
              <w:rPr>
                <w:spacing w:val="-12"/>
                <w:sz w:val="24"/>
              </w:rPr>
              <w:t> </w:t>
            </w:r>
            <w:r>
              <w:rPr>
                <w:spacing w:val="-2"/>
                <w:sz w:val="24"/>
              </w:rPr>
              <w:t>risk</w:t>
            </w:r>
            <w:r>
              <w:rPr>
                <w:spacing w:val="-14"/>
                <w:sz w:val="24"/>
              </w:rPr>
              <w:t> </w:t>
            </w:r>
            <w:r>
              <w:rPr>
                <w:spacing w:val="-2"/>
                <w:sz w:val="24"/>
              </w:rPr>
              <w:t>to</w:t>
            </w:r>
            <w:r>
              <w:rPr>
                <w:spacing w:val="-13"/>
                <w:sz w:val="24"/>
              </w:rPr>
              <w:t> </w:t>
            </w:r>
            <w:r>
              <w:rPr>
                <w:spacing w:val="-2"/>
                <w:sz w:val="24"/>
              </w:rPr>
              <w:t>service</w:t>
            </w:r>
            <w:r>
              <w:rPr>
                <w:spacing w:val="-13"/>
                <w:sz w:val="24"/>
              </w:rPr>
              <w:t> </w:t>
            </w:r>
            <w:r>
              <w:rPr>
                <w:spacing w:val="-2"/>
                <w:sz w:val="24"/>
              </w:rPr>
              <w:t>resilience.</w:t>
            </w:r>
            <w:r>
              <w:rPr>
                <w:spacing w:val="-15"/>
                <w:sz w:val="24"/>
              </w:rPr>
              <w:t> </w:t>
            </w:r>
            <w:r>
              <w:rPr>
                <w:spacing w:val="-2"/>
                <w:sz w:val="24"/>
              </w:rPr>
              <w:t>Whilst</w:t>
            </w:r>
            <w:r>
              <w:rPr>
                <w:spacing w:val="-15"/>
                <w:sz w:val="24"/>
              </w:rPr>
              <w:t> </w:t>
            </w:r>
            <w:r>
              <w:rPr>
                <w:spacing w:val="-2"/>
                <w:sz w:val="24"/>
              </w:rPr>
              <w:t>short-term</w:t>
            </w:r>
            <w:r>
              <w:rPr>
                <w:spacing w:val="-13"/>
                <w:sz w:val="24"/>
              </w:rPr>
              <w:t> </w:t>
            </w:r>
            <w:r>
              <w:rPr>
                <w:spacing w:val="-2"/>
                <w:sz w:val="24"/>
              </w:rPr>
              <w:t>measures may</w:t>
            </w:r>
            <w:r>
              <w:rPr>
                <w:spacing w:val="-15"/>
                <w:sz w:val="24"/>
              </w:rPr>
              <w:t> </w:t>
            </w:r>
            <w:r>
              <w:rPr>
                <w:spacing w:val="-2"/>
                <w:sz w:val="24"/>
              </w:rPr>
              <w:t>partially</w:t>
            </w:r>
            <w:r>
              <w:rPr>
                <w:spacing w:val="-15"/>
                <w:sz w:val="24"/>
              </w:rPr>
              <w:t> </w:t>
            </w:r>
            <w:r>
              <w:rPr>
                <w:spacing w:val="-2"/>
                <w:sz w:val="24"/>
              </w:rPr>
              <w:t>offset</w:t>
            </w:r>
            <w:r>
              <w:rPr>
                <w:spacing w:val="-14"/>
                <w:sz w:val="24"/>
              </w:rPr>
              <w:t> </w:t>
            </w:r>
            <w:r>
              <w:rPr>
                <w:spacing w:val="-2"/>
                <w:sz w:val="24"/>
              </w:rPr>
              <w:t>capacity</w:t>
            </w:r>
            <w:r>
              <w:rPr>
                <w:spacing w:val="-12"/>
                <w:sz w:val="24"/>
              </w:rPr>
              <w:t> </w:t>
            </w:r>
            <w:r>
              <w:rPr>
                <w:spacing w:val="-2"/>
                <w:sz w:val="24"/>
              </w:rPr>
              <w:t>constraints,</w:t>
            </w:r>
            <w:r>
              <w:rPr>
                <w:spacing w:val="-10"/>
                <w:sz w:val="24"/>
              </w:rPr>
              <w:t> </w:t>
            </w:r>
            <w:r>
              <w:rPr>
                <w:spacing w:val="-2"/>
                <w:sz w:val="24"/>
              </w:rPr>
              <w:t>they</w:t>
            </w:r>
            <w:r>
              <w:rPr>
                <w:spacing w:val="-12"/>
                <w:sz w:val="24"/>
              </w:rPr>
              <w:t> </w:t>
            </w:r>
            <w:r>
              <w:rPr>
                <w:spacing w:val="-2"/>
                <w:sz w:val="24"/>
              </w:rPr>
              <w:t>would</w:t>
            </w:r>
            <w:r>
              <w:rPr>
                <w:spacing w:val="-15"/>
                <w:sz w:val="24"/>
              </w:rPr>
              <w:t> </w:t>
            </w:r>
            <w:r>
              <w:rPr>
                <w:spacing w:val="-2"/>
                <w:sz w:val="24"/>
              </w:rPr>
              <w:t>not</w:t>
            </w:r>
            <w:r>
              <w:rPr>
                <w:spacing w:val="-14"/>
                <w:sz w:val="24"/>
              </w:rPr>
              <w:t> </w:t>
            </w:r>
            <w:r>
              <w:rPr>
                <w:spacing w:val="-2"/>
                <w:sz w:val="24"/>
              </w:rPr>
              <w:t>provide</w:t>
            </w:r>
            <w:r>
              <w:rPr>
                <w:spacing w:val="-11"/>
                <w:sz w:val="24"/>
              </w:rPr>
              <w:t> </w:t>
            </w:r>
            <w:r>
              <w:rPr>
                <w:spacing w:val="-2"/>
                <w:sz w:val="24"/>
              </w:rPr>
              <w:t>a</w:t>
            </w:r>
            <w:r>
              <w:rPr>
                <w:spacing w:val="-11"/>
                <w:sz w:val="24"/>
              </w:rPr>
              <w:t> </w:t>
            </w:r>
            <w:r>
              <w:rPr>
                <w:spacing w:val="-2"/>
                <w:sz w:val="24"/>
              </w:rPr>
              <w:t>sustainable</w:t>
            </w:r>
            <w:r>
              <w:rPr>
                <w:spacing w:val="-15"/>
                <w:sz w:val="24"/>
              </w:rPr>
              <w:t> </w:t>
            </w:r>
            <w:r>
              <w:rPr>
                <w:spacing w:val="-2"/>
                <w:sz w:val="24"/>
              </w:rPr>
              <w:t>alternative</w:t>
            </w:r>
            <w:r>
              <w:rPr>
                <w:spacing w:val="-7"/>
                <w:sz w:val="24"/>
              </w:rPr>
              <w:t> </w:t>
            </w:r>
            <w:r>
              <w:rPr>
                <w:spacing w:val="-2"/>
                <w:sz w:val="24"/>
              </w:rPr>
              <w:t>to </w:t>
            </w:r>
            <w:r>
              <w:rPr>
                <w:sz w:val="24"/>
              </w:rPr>
              <w:t>the</w:t>
            </w:r>
            <w:r>
              <w:rPr>
                <w:spacing w:val="-15"/>
                <w:sz w:val="24"/>
              </w:rPr>
              <w:t> </w:t>
            </w:r>
            <w:r>
              <w:rPr>
                <w:sz w:val="24"/>
              </w:rPr>
              <w:t>planned</w:t>
            </w:r>
            <w:r>
              <w:rPr>
                <w:spacing w:val="-15"/>
                <w:sz w:val="24"/>
              </w:rPr>
              <w:t> </w:t>
            </w:r>
            <w:r>
              <w:rPr>
                <w:sz w:val="24"/>
              </w:rPr>
              <w:t>infrastructure</w:t>
            </w:r>
            <w:r>
              <w:rPr>
                <w:spacing w:val="-15"/>
                <w:sz w:val="24"/>
              </w:rPr>
              <w:t> </w:t>
            </w:r>
            <w:r>
              <w:rPr>
                <w:sz w:val="24"/>
              </w:rPr>
              <w:t>expansion</w:t>
            </w:r>
            <w:r>
              <w:rPr>
                <w:spacing w:val="-15"/>
                <w:sz w:val="24"/>
              </w:rPr>
              <w:t> </w:t>
            </w:r>
            <w:r>
              <w:rPr>
                <w:sz w:val="24"/>
              </w:rPr>
              <w:t>and</w:t>
            </w:r>
            <w:r>
              <w:rPr>
                <w:spacing w:val="-15"/>
                <w:sz w:val="24"/>
              </w:rPr>
              <w:t> </w:t>
            </w:r>
            <w:r>
              <w:rPr>
                <w:sz w:val="24"/>
              </w:rPr>
              <w:t>replacement</w:t>
            </w:r>
            <w:r>
              <w:rPr>
                <w:spacing w:val="-17"/>
                <w:sz w:val="24"/>
              </w:rPr>
              <w:t> </w:t>
            </w:r>
            <w:r>
              <w:rPr>
                <w:sz w:val="24"/>
              </w:rPr>
              <w:t>programme.</w:t>
            </w:r>
            <w:r>
              <w:rPr>
                <w:spacing w:val="-17"/>
                <w:sz w:val="24"/>
              </w:rPr>
              <w:t> </w:t>
            </w:r>
            <w:r>
              <w:rPr>
                <w:sz w:val="24"/>
              </w:rPr>
              <w:t>The</w:t>
            </w:r>
            <w:r>
              <w:rPr>
                <w:spacing w:val="-10"/>
                <w:sz w:val="24"/>
              </w:rPr>
              <w:t> </w:t>
            </w:r>
            <w:r>
              <w:rPr>
                <w:sz w:val="24"/>
              </w:rPr>
              <w:t>timely</w:t>
            </w:r>
            <w:r>
              <w:rPr>
                <w:spacing w:val="-15"/>
                <w:sz w:val="24"/>
              </w:rPr>
              <w:t> </w:t>
            </w:r>
            <w:r>
              <w:rPr>
                <w:sz w:val="24"/>
              </w:rPr>
              <w:t>delivery</w:t>
            </w:r>
            <w:r>
              <w:rPr>
                <w:spacing w:val="-15"/>
                <w:sz w:val="24"/>
              </w:rPr>
              <w:t> </w:t>
            </w:r>
            <w:r>
              <w:rPr>
                <w:sz w:val="24"/>
              </w:rPr>
              <w:t>of the</w:t>
            </w:r>
            <w:r>
              <w:rPr>
                <w:spacing w:val="-16"/>
                <w:sz w:val="24"/>
              </w:rPr>
              <w:t> </w:t>
            </w:r>
            <w:r>
              <w:rPr>
                <w:sz w:val="24"/>
              </w:rPr>
              <w:t>bunkers</w:t>
            </w:r>
            <w:r>
              <w:rPr>
                <w:spacing w:val="-14"/>
                <w:sz w:val="24"/>
              </w:rPr>
              <w:t> </w:t>
            </w:r>
            <w:r>
              <w:rPr>
                <w:sz w:val="24"/>
              </w:rPr>
              <w:t>remains</w:t>
            </w:r>
            <w:r>
              <w:rPr>
                <w:spacing w:val="-10"/>
                <w:sz w:val="24"/>
              </w:rPr>
              <w:t> </w:t>
            </w:r>
            <w:r>
              <w:rPr>
                <w:sz w:val="24"/>
              </w:rPr>
              <w:t>the</w:t>
            </w:r>
            <w:r>
              <w:rPr>
                <w:spacing w:val="-13"/>
                <w:sz w:val="24"/>
              </w:rPr>
              <w:t> </w:t>
            </w:r>
            <w:r>
              <w:rPr>
                <w:sz w:val="24"/>
              </w:rPr>
              <w:t>preferred</w:t>
            </w:r>
            <w:r>
              <w:rPr>
                <w:spacing w:val="-13"/>
                <w:sz w:val="24"/>
              </w:rPr>
              <w:t> </w:t>
            </w:r>
            <w:r>
              <w:rPr>
                <w:sz w:val="24"/>
              </w:rPr>
              <w:t>and</w:t>
            </w:r>
            <w:r>
              <w:rPr>
                <w:spacing w:val="-13"/>
                <w:sz w:val="24"/>
              </w:rPr>
              <w:t> </w:t>
            </w:r>
            <w:r>
              <w:rPr>
                <w:sz w:val="24"/>
              </w:rPr>
              <w:t>most</w:t>
            </w:r>
            <w:r>
              <w:rPr>
                <w:spacing w:val="-17"/>
                <w:sz w:val="24"/>
              </w:rPr>
              <w:t> </w:t>
            </w:r>
            <w:r>
              <w:rPr>
                <w:sz w:val="24"/>
              </w:rPr>
              <w:t>effective</w:t>
            </w:r>
            <w:r>
              <w:rPr>
                <w:spacing w:val="-13"/>
                <w:sz w:val="24"/>
              </w:rPr>
              <w:t> </w:t>
            </w:r>
            <w:r>
              <w:rPr>
                <w:sz w:val="24"/>
              </w:rPr>
              <w:t>solution</w:t>
            </w:r>
            <w:r>
              <w:rPr>
                <w:spacing w:val="-13"/>
                <w:sz w:val="24"/>
              </w:rPr>
              <w:t> </w:t>
            </w:r>
            <w:r>
              <w:rPr>
                <w:sz w:val="24"/>
              </w:rPr>
              <w:t>for</w:t>
            </w:r>
            <w:r>
              <w:rPr>
                <w:spacing w:val="-14"/>
                <w:sz w:val="24"/>
              </w:rPr>
              <w:t> </w:t>
            </w:r>
            <w:r>
              <w:rPr>
                <w:sz w:val="24"/>
              </w:rPr>
              <w:t>maintaining</w:t>
            </w:r>
            <w:r>
              <w:rPr>
                <w:spacing w:val="-13"/>
                <w:sz w:val="24"/>
              </w:rPr>
              <w:t> </w:t>
            </w:r>
            <w:r>
              <w:rPr>
                <w:sz w:val="24"/>
              </w:rPr>
              <w:t>service continuity,</w:t>
            </w:r>
            <w:r>
              <w:rPr>
                <w:spacing w:val="-17"/>
                <w:sz w:val="24"/>
              </w:rPr>
              <w:t> </w:t>
            </w:r>
            <w:r>
              <w:rPr>
                <w:sz w:val="24"/>
              </w:rPr>
              <w:t>replacing</w:t>
            </w:r>
            <w:r>
              <w:rPr>
                <w:spacing w:val="-17"/>
                <w:sz w:val="24"/>
              </w:rPr>
              <w:t> </w:t>
            </w:r>
            <w:r>
              <w:rPr>
                <w:sz w:val="24"/>
              </w:rPr>
              <w:t>ageing</w:t>
            </w:r>
            <w:r>
              <w:rPr>
                <w:spacing w:val="-14"/>
                <w:sz w:val="24"/>
              </w:rPr>
              <w:t> </w:t>
            </w:r>
            <w:r>
              <w:rPr>
                <w:sz w:val="24"/>
              </w:rPr>
              <w:t>equipment,</w:t>
            </w:r>
            <w:r>
              <w:rPr>
                <w:spacing w:val="-16"/>
                <w:sz w:val="24"/>
              </w:rPr>
              <w:t> </w:t>
            </w:r>
            <w:r>
              <w:rPr>
                <w:sz w:val="24"/>
              </w:rPr>
              <w:t>supporting</w:t>
            </w:r>
            <w:r>
              <w:rPr>
                <w:spacing w:val="-17"/>
                <w:sz w:val="24"/>
              </w:rPr>
              <w:t> </w:t>
            </w:r>
            <w:r>
              <w:rPr>
                <w:sz w:val="24"/>
              </w:rPr>
              <w:t>workforce</w:t>
            </w:r>
            <w:r>
              <w:rPr>
                <w:spacing w:val="-13"/>
                <w:sz w:val="24"/>
              </w:rPr>
              <w:t> </w:t>
            </w:r>
            <w:r>
              <w:rPr>
                <w:sz w:val="24"/>
              </w:rPr>
              <w:t>growth,</w:t>
            </w:r>
            <w:r>
              <w:rPr>
                <w:spacing w:val="-16"/>
                <w:sz w:val="24"/>
              </w:rPr>
              <w:t> </w:t>
            </w:r>
            <w:r>
              <w:rPr>
                <w:sz w:val="24"/>
              </w:rPr>
              <w:t>and</w:t>
            </w:r>
            <w:r>
              <w:rPr>
                <w:spacing w:val="-14"/>
                <w:sz w:val="24"/>
              </w:rPr>
              <w:t> </w:t>
            </w:r>
            <w:r>
              <w:rPr>
                <w:sz w:val="24"/>
              </w:rPr>
              <w:t>ensuring sufficient</w:t>
            </w:r>
            <w:r>
              <w:rPr>
                <w:spacing w:val="-9"/>
                <w:sz w:val="24"/>
              </w:rPr>
              <w:t> </w:t>
            </w:r>
            <w:r>
              <w:rPr>
                <w:sz w:val="24"/>
              </w:rPr>
              <w:t>radiotherapy</w:t>
            </w:r>
            <w:r>
              <w:rPr>
                <w:spacing w:val="-12"/>
                <w:sz w:val="24"/>
              </w:rPr>
              <w:t> </w:t>
            </w:r>
            <w:r>
              <w:rPr>
                <w:sz w:val="24"/>
              </w:rPr>
              <w:t>capacity</w:t>
            </w:r>
            <w:r>
              <w:rPr>
                <w:spacing w:val="-12"/>
                <w:sz w:val="24"/>
              </w:rPr>
              <w:t> </w:t>
            </w:r>
            <w:r>
              <w:rPr>
                <w:sz w:val="24"/>
              </w:rPr>
              <w:t>to</w:t>
            </w:r>
            <w:r>
              <w:rPr>
                <w:spacing w:val="-6"/>
                <w:sz w:val="24"/>
              </w:rPr>
              <w:t> </w:t>
            </w:r>
            <w:r>
              <w:rPr>
                <w:sz w:val="24"/>
              </w:rPr>
              <w:t>meet</w:t>
            </w:r>
            <w:r>
              <w:rPr>
                <w:spacing w:val="-9"/>
                <w:sz w:val="24"/>
              </w:rPr>
              <w:t> </w:t>
            </w:r>
            <w:r>
              <w:rPr>
                <w:sz w:val="24"/>
              </w:rPr>
              <w:t>current</w:t>
            </w:r>
            <w:r>
              <w:rPr>
                <w:spacing w:val="-14"/>
                <w:sz w:val="24"/>
              </w:rPr>
              <w:t> </w:t>
            </w:r>
            <w:r>
              <w:rPr>
                <w:sz w:val="24"/>
              </w:rPr>
              <w:t>and</w:t>
            </w:r>
            <w:r>
              <w:rPr>
                <w:spacing w:val="-11"/>
                <w:sz w:val="24"/>
              </w:rPr>
              <w:t> </w:t>
            </w:r>
            <w:r>
              <w:rPr>
                <w:sz w:val="24"/>
              </w:rPr>
              <w:t>future</w:t>
            </w:r>
            <w:r>
              <w:rPr>
                <w:spacing w:val="-11"/>
                <w:sz w:val="24"/>
              </w:rPr>
              <w:t> </w:t>
            </w:r>
            <w:r>
              <w:rPr>
                <w:sz w:val="24"/>
              </w:rPr>
              <w:t>demand.</w:t>
            </w:r>
          </w:p>
          <w:p>
            <w:pPr>
              <w:pStyle w:val="TableParagraph"/>
              <w:spacing w:before="78"/>
              <w:rPr>
                <w:sz w:val="24"/>
              </w:rPr>
            </w:pPr>
          </w:p>
          <w:p>
            <w:pPr>
              <w:pStyle w:val="TableParagraph"/>
              <w:ind w:left="110"/>
              <w:rPr>
                <w:b/>
                <w:sz w:val="24"/>
              </w:rPr>
            </w:pPr>
            <w:r>
              <w:rPr>
                <w:b/>
                <w:color w:val="1F4E79"/>
                <w:spacing w:val="-4"/>
                <w:sz w:val="24"/>
              </w:rPr>
              <w:t>Financial</w:t>
            </w:r>
            <w:r>
              <w:rPr>
                <w:b/>
                <w:color w:val="1F4E79"/>
                <w:sz w:val="24"/>
              </w:rPr>
              <w:t> </w:t>
            </w:r>
            <w:r>
              <w:rPr>
                <w:b/>
                <w:color w:val="1F4E79"/>
                <w:spacing w:val="-2"/>
                <w:sz w:val="24"/>
              </w:rPr>
              <w:t>Implications</w:t>
            </w:r>
          </w:p>
          <w:p>
            <w:pPr>
              <w:pStyle w:val="TableParagraph"/>
              <w:spacing w:before="79"/>
              <w:ind w:left="110" w:right="212"/>
              <w:rPr>
                <w:sz w:val="24"/>
              </w:rPr>
            </w:pPr>
            <w:r>
              <w:rPr>
                <w:sz w:val="24"/>
              </w:rPr>
              <w:t>No</w:t>
            </w:r>
            <w:r>
              <w:rPr>
                <w:spacing w:val="-14"/>
                <w:sz w:val="24"/>
              </w:rPr>
              <w:t> </w:t>
            </w:r>
            <w:r>
              <w:rPr>
                <w:sz w:val="24"/>
              </w:rPr>
              <w:t>final</w:t>
            </w:r>
            <w:r>
              <w:rPr>
                <w:spacing w:val="-14"/>
                <w:sz w:val="24"/>
              </w:rPr>
              <w:t> </w:t>
            </w:r>
            <w:r>
              <w:rPr>
                <w:sz w:val="24"/>
              </w:rPr>
              <w:t>capital</w:t>
            </w:r>
            <w:r>
              <w:rPr>
                <w:spacing w:val="-14"/>
                <w:sz w:val="24"/>
              </w:rPr>
              <w:t> </w:t>
            </w:r>
            <w:r>
              <w:rPr>
                <w:sz w:val="24"/>
              </w:rPr>
              <w:t>construction,</w:t>
            </w:r>
            <w:r>
              <w:rPr>
                <w:spacing w:val="-17"/>
                <w:sz w:val="24"/>
              </w:rPr>
              <w:t> </w:t>
            </w:r>
            <w:r>
              <w:rPr>
                <w:sz w:val="24"/>
              </w:rPr>
              <w:t>equipment</w:t>
            </w:r>
            <w:r>
              <w:rPr>
                <w:spacing w:val="-16"/>
                <w:sz w:val="24"/>
              </w:rPr>
              <w:t> </w:t>
            </w:r>
            <w:r>
              <w:rPr>
                <w:sz w:val="24"/>
              </w:rPr>
              <w:t>procurement</w:t>
            </w:r>
            <w:r>
              <w:rPr>
                <w:spacing w:val="-17"/>
                <w:sz w:val="24"/>
              </w:rPr>
              <w:t> </w:t>
            </w:r>
            <w:r>
              <w:rPr>
                <w:sz w:val="24"/>
              </w:rPr>
              <w:t>or</w:t>
            </w:r>
            <w:r>
              <w:rPr>
                <w:spacing w:val="-15"/>
                <w:sz w:val="24"/>
              </w:rPr>
              <w:t> </w:t>
            </w:r>
            <w:r>
              <w:rPr>
                <w:sz w:val="24"/>
              </w:rPr>
              <w:t>recurrent</w:t>
            </w:r>
            <w:r>
              <w:rPr>
                <w:spacing w:val="-17"/>
                <w:sz w:val="24"/>
              </w:rPr>
              <w:t> </w:t>
            </w:r>
            <w:r>
              <w:rPr>
                <w:sz w:val="24"/>
              </w:rPr>
              <w:t>revenue</w:t>
            </w:r>
            <w:r>
              <w:rPr>
                <w:spacing w:val="-14"/>
                <w:sz w:val="24"/>
              </w:rPr>
              <w:t> </w:t>
            </w:r>
            <w:r>
              <w:rPr>
                <w:sz w:val="24"/>
              </w:rPr>
              <w:t>approval</w:t>
            </w:r>
            <w:r>
              <w:rPr>
                <w:spacing w:val="-14"/>
                <w:sz w:val="24"/>
              </w:rPr>
              <w:t> </w:t>
            </w:r>
            <w:r>
              <w:rPr>
                <w:sz w:val="24"/>
              </w:rPr>
              <w:t>is </w:t>
            </w:r>
            <w:r>
              <w:rPr>
                <w:spacing w:val="-2"/>
                <w:sz w:val="24"/>
              </w:rPr>
              <w:t>requested</w:t>
            </w:r>
            <w:r>
              <w:rPr>
                <w:spacing w:val="-13"/>
                <w:sz w:val="24"/>
              </w:rPr>
              <w:t> </w:t>
            </w:r>
            <w:r>
              <w:rPr>
                <w:spacing w:val="-2"/>
                <w:sz w:val="24"/>
              </w:rPr>
              <w:t>at</w:t>
            </w:r>
            <w:r>
              <w:rPr>
                <w:spacing w:val="-14"/>
                <w:sz w:val="24"/>
              </w:rPr>
              <w:t> </w:t>
            </w:r>
            <w:r>
              <w:rPr>
                <w:spacing w:val="-2"/>
                <w:sz w:val="24"/>
              </w:rPr>
              <w:t>this</w:t>
            </w:r>
            <w:r>
              <w:rPr>
                <w:spacing w:val="-12"/>
                <w:sz w:val="24"/>
              </w:rPr>
              <w:t> </w:t>
            </w:r>
            <w:r>
              <w:rPr>
                <w:spacing w:val="-2"/>
                <w:sz w:val="24"/>
              </w:rPr>
              <w:t>stage.</w:t>
            </w:r>
            <w:r>
              <w:rPr>
                <w:spacing w:val="-14"/>
                <w:sz w:val="24"/>
              </w:rPr>
              <w:t> </w:t>
            </w:r>
            <w:r>
              <w:rPr>
                <w:spacing w:val="-2"/>
                <w:sz w:val="24"/>
              </w:rPr>
              <w:t>The</w:t>
            </w:r>
            <w:r>
              <w:rPr>
                <w:spacing w:val="-11"/>
                <w:sz w:val="24"/>
              </w:rPr>
              <w:t> </w:t>
            </w:r>
            <w:r>
              <w:rPr>
                <w:spacing w:val="-2"/>
                <w:sz w:val="24"/>
              </w:rPr>
              <w:t>immediate</w:t>
            </w:r>
            <w:r>
              <w:rPr>
                <w:spacing w:val="-11"/>
                <w:sz w:val="24"/>
              </w:rPr>
              <w:t> </w:t>
            </w:r>
            <w:r>
              <w:rPr>
                <w:spacing w:val="-2"/>
                <w:sz w:val="24"/>
              </w:rPr>
              <w:t>requirement</w:t>
            </w:r>
            <w:r>
              <w:rPr>
                <w:spacing w:val="-14"/>
                <w:sz w:val="24"/>
              </w:rPr>
              <w:t> </w:t>
            </w:r>
            <w:r>
              <w:rPr>
                <w:spacing w:val="-2"/>
                <w:sz w:val="24"/>
              </w:rPr>
              <w:t>is</w:t>
            </w:r>
            <w:r>
              <w:rPr>
                <w:spacing w:val="-12"/>
                <w:sz w:val="24"/>
              </w:rPr>
              <w:t> </w:t>
            </w:r>
            <w:r>
              <w:rPr>
                <w:spacing w:val="-2"/>
                <w:sz w:val="24"/>
              </w:rPr>
              <w:t>agreement</w:t>
            </w:r>
            <w:r>
              <w:rPr>
                <w:spacing w:val="-14"/>
                <w:sz w:val="24"/>
              </w:rPr>
              <w:t> </w:t>
            </w:r>
            <w:r>
              <w:rPr>
                <w:spacing w:val="-2"/>
                <w:sz w:val="24"/>
              </w:rPr>
              <w:t>to</w:t>
            </w:r>
            <w:r>
              <w:rPr>
                <w:spacing w:val="-15"/>
                <w:sz w:val="24"/>
              </w:rPr>
              <w:t> </w:t>
            </w:r>
            <w:r>
              <w:rPr>
                <w:spacing w:val="-2"/>
                <w:sz w:val="24"/>
              </w:rPr>
              <w:t>proceed</w:t>
            </w:r>
            <w:r>
              <w:rPr>
                <w:spacing w:val="-15"/>
                <w:sz w:val="24"/>
              </w:rPr>
              <w:t> </w:t>
            </w:r>
            <w:r>
              <w:rPr>
                <w:spacing w:val="-2"/>
                <w:sz w:val="24"/>
              </w:rPr>
              <w:t>with</w:t>
            </w:r>
            <w:r>
              <w:rPr>
                <w:spacing w:val="-6"/>
                <w:sz w:val="24"/>
              </w:rPr>
              <w:t> </w:t>
            </w:r>
            <w:r>
              <w:rPr>
                <w:spacing w:val="-2"/>
                <w:sz w:val="24"/>
              </w:rPr>
              <w:t>the</w:t>
            </w:r>
            <w:r>
              <w:rPr>
                <w:spacing w:val="-11"/>
                <w:sz w:val="24"/>
              </w:rPr>
              <w:t> </w:t>
            </w:r>
            <w:r>
              <w:rPr>
                <w:spacing w:val="-2"/>
                <w:sz w:val="24"/>
              </w:rPr>
              <w:t>revised </w:t>
            </w:r>
            <w:r>
              <w:rPr>
                <w:sz w:val="24"/>
              </w:rPr>
              <w:t>programme</w:t>
            </w:r>
            <w:r>
              <w:rPr>
                <w:spacing w:val="-12"/>
                <w:sz w:val="24"/>
              </w:rPr>
              <w:t> </w:t>
            </w:r>
            <w:r>
              <w:rPr>
                <w:sz w:val="24"/>
              </w:rPr>
              <w:t>scope</w:t>
            </w:r>
            <w:r>
              <w:rPr>
                <w:spacing w:val="-12"/>
                <w:sz w:val="24"/>
              </w:rPr>
              <w:t> </w:t>
            </w:r>
            <w:r>
              <w:rPr>
                <w:sz w:val="24"/>
              </w:rPr>
              <w:t>and</w:t>
            </w:r>
            <w:r>
              <w:rPr>
                <w:spacing w:val="-12"/>
                <w:sz w:val="24"/>
              </w:rPr>
              <w:t> </w:t>
            </w:r>
            <w:r>
              <w:rPr>
                <w:sz w:val="24"/>
              </w:rPr>
              <w:t>seek</w:t>
            </w:r>
            <w:r>
              <w:rPr>
                <w:spacing w:val="-13"/>
                <w:sz w:val="24"/>
              </w:rPr>
              <w:t> </w:t>
            </w:r>
            <w:r>
              <w:rPr>
                <w:sz w:val="24"/>
              </w:rPr>
              <w:t>Welsh</w:t>
            </w:r>
            <w:r>
              <w:rPr>
                <w:spacing w:val="-12"/>
                <w:sz w:val="24"/>
              </w:rPr>
              <w:t> </w:t>
            </w:r>
            <w:r>
              <w:rPr>
                <w:sz w:val="24"/>
              </w:rPr>
              <w:t>Government</w:t>
            </w:r>
            <w:r>
              <w:rPr>
                <w:spacing w:val="-15"/>
                <w:sz w:val="24"/>
              </w:rPr>
              <w:t> </w:t>
            </w:r>
            <w:r>
              <w:rPr>
                <w:sz w:val="24"/>
              </w:rPr>
              <w:t>agreement</w:t>
            </w:r>
            <w:r>
              <w:rPr>
                <w:spacing w:val="-15"/>
                <w:sz w:val="24"/>
              </w:rPr>
              <w:t> </w:t>
            </w:r>
            <w:r>
              <w:rPr>
                <w:sz w:val="24"/>
              </w:rPr>
              <w:t>on</w:t>
            </w:r>
            <w:r>
              <w:rPr>
                <w:spacing w:val="-12"/>
                <w:sz w:val="24"/>
              </w:rPr>
              <w:t> </w:t>
            </w:r>
            <w:r>
              <w:rPr>
                <w:sz w:val="24"/>
              </w:rPr>
              <w:t>the</w:t>
            </w:r>
            <w:r>
              <w:rPr>
                <w:spacing w:val="-12"/>
                <w:sz w:val="24"/>
              </w:rPr>
              <w:t> </w:t>
            </w:r>
            <w:r>
              <w:rPr>
                <w:sz w:val="24"/>
              </w:rPr>
              <w:t>business</w:t>
            </w:r>
            <w:r>
              <w:rPr>
                <w:spacing w:val="-13"/>
                <w:sz w:val="24"/>
              </w:rPr>
              <w:t> </w:t>
            </w:r>
            <w:r>
              <w:rPr>
                <w:sz w:val="24"/>
              </w:rPr>
              <w:t>case</w:t>
            </w:r>
            <w:r>
              <w:rPr>
                <w:spacing w:val="-12"/>
                <w:sz w:val="24"/>
              </w:rPr>
              <w:t> </w:t>
            </w:r>
            <w:r>
              <w:rPr>
                <w:sz w:val="24"/>
              </w:rPr>
              <w:t>route</w:t>
            </w:r>
            <w:r>
              <w:rPr>
                <w:spacing w:val="-7"/>
                <w:sz w:val="24"/>
              </w:rPr>
              <w:t> </w:t>
            </w:r>
            <w:r>
              <w:rPr>
                <w:sz w:val="24"/>
              </w:rPr>
              <w:t>and design</w:t>
            </w:r>
            <w:r>
              <w:rPr>
                <w:spacing w:val="-13"/>
                <w:sz w:val="24"/>
              </w:rPr>
              <w:t> </w:t>
            </w:r>
            <w:r>
              <w:rPr>
                <w:sz w:val="24"/>
              </w:rPr>
              <w:t>development</w:t>
            </w:r>
            <w:r>
              <w:rPr>
                <w:spacing w:val="-15"/>
                <w:sz w:val="24"/>
              </w:rPr>
              <w:t> </w:t>
            </w:r>
            <w:r>
              <w:rPr>
                <w:sz w:val="24"/>
              </w:rPr>
              <w:t>funding,</w:t>
            </w:r>
            <w:r>
              <w:rPr>
                <w:spacing w:val="-15"/>
                <w:sz w:val="24"/>
              </w:rPr>
              <w:t> </w:t>
            </w:r>
            <w:r>
              <w:rPr>
                <w:sz w:val="24"/>
              </w:rPr>
              <w:t>currently</w:t>
            </w:r>
            <w:r>
              <w:rPr>
                <w:spacing w:val="-13"/>
                <w:sz w:val="24"/>
              </w:rPr>
              <w:t> </w:t>
            </w:r>
            <w:r>
              <w:rPr>
                <w:sz w:val="24"/>
              </w:rPr>
              <w:t>estimated</w:t>
            </w:r>
            <w:r>
              <w:rPr>
                <w:spacing w:val="-8"/>
                <w:sz w:val="24"/>
              </w:rPr>
              <w:t> </w:t>
            </w:r>
            <w:r>
              <w:rPr>
                <w:sz w:val="24"/>
              </w:rPr>
              <w:t>at</w:t>
            </w:r>
            <w:r>
              <w:rPr>
                <w:spacing w:val="-15"/>
                <w:sz w:val="24"/>
              </w:rPr>
              <w:t> </w:t>
            </w:r>
            <w:r>
              <w:rPr>
                <w:sz w:val="24"/>
              </w:rPr>
              <w:t>approximately</w:t>
            </w:r>
            <w:r>
              <w:rPr>
                <w:spacing w:val="-17"/>
                <w:sz w:val="24"/>
              </w:rPr>
              <w:t> </w:t>
            </w:r>
            <w:r>
              <w:rPr>
                <w:sz w:val="24"/>
              </w:rPr>
              <w:t>£1</w:t>
            </w:r>
            <w:r>
              <w:rPr>
                <w:spacing w:val="-12"/>
                <w:sz w:val="24"/>
              </w:rPr>
              <w:t> </w:t>
            </w:r>
            <w:r>
              <w:rPr>
                <w:sz w:val="24"/>
              </w:rPr>
              <w:t>million.</w:t>
            </w:r>
          </w:p>
          <w:p>
            <w:pPr>
              <w:pStyle w:val="TableParagraph"/>
              <w:spacing w:before="82"/>
              <w:ind w:left="110" w:right="212"/>
              <w:rPr>
                <w:sz w:val="24"/>
              </w:rPr>
            </w:pPr>
            <w:r>
              <w:rPr>
                <w:sz w:val="24"/>
              </w:rPr>
              <w:t>Members</w:t>
            </w:r>
            <w:r>
              <w:rPr>
                <w:spacing w:val="-13"/>
                <w:sz w:val="24"/>
              </w:rPr>
              <w:t> </w:t>
            </w:r>
            <w:r>
              <w:rPr>
                <w:sz w:val="24"/>
              </w:rPr>
              <w:t>should</w:t>
            </w:r>
            <w:r>
              <w:rPr>
                <w:spacing w:val="-12"/>
                <w:sz w:val="24"/>
              </w:rPr>
              <w:t> </w:t>
            </w:r>
            <w:r>
              <w:rPr>
                <w:sz w:val="24"/>
              </w:rPr>
              <w:t>note,</w:t>
            </w:r>
            <w:r>
              <w:rPr>
                <w:spacing w:val="-15"/>
                <w:sz w:val="24"/>
              </w:rPr>
              <w:t> </w:t>
            </w:r>
            <w:r>
              <w:rPr>
                <w:sz w:val="24"/>
              </w:rPr>
              <w:t>however,</w:t>
            </w:r>
            <w:r>
              <w:rPr>
                <w:spacing w:val="-15"/>
                <w:sz w:val="24"/>
              </w:rPr>
              <w:t> </w:t>
            </w:r>
            <w:r>
              <w:rPr>
                <w:sz w:val="24"/>
              </w:rPr>
              <w:t>that</w:t>
            </w:r>
            <w:r>
              <w:rPr>
                <w:spacing w:val="-11"/>
                <w:sz w:val="24"/>
              </w:rPr>
              <w:t> </w:t>
            </w:r>
            <w:r>
              <w:rPr>
                <w:sz w:val="24"/>
              </w:rPr>
              <w:t>the</w:t>
            </w:r>
            <w:r>
              <w:rPr>
                <w:spacing w:val="-12"/>
                <w:sz w:val="24"/>
              </w:rPr>
              <w:t> </w:t>
            </w:r>
            <w:r>
              <w:rPr>
                <w:sz w:val="24"/>
              </w:rPr>
              <w:t>preferred</w:t>
            </w:r>
            <w:r>
              <w:rPr>
                <w:spacing w:val="-17"/>
                <w:sz w:val="24"/>
              </w:rPr>
              <w:t> </w:t>
            </w:r>
            <w:r>
              <w:rPr>
                <w:sz w:val="24"/>
              </w:rPr>
              <w:t>strategic</w:t>
            </w:r>
            <w:r>
              <w:rPr>
                <w:spacing w:val="-13"/>
                <w:sz w:val="24"/>
              </w:rPr>
              <w:t> </w:t>
            </w:r>
            <w:r>
              <w:rPr>
                <w:sz w:val="24"/>
              </w:rPr>
              <w:t>direction</w:t>
            </w:r>
            <w:r>
              <w:rPr>
                <w:spacing w:val="-17"/>
                <w:sz w:val="24"/>
              </w:rPr>
              <w:t> </w:t>
            </w:r>
            <w:r>
              <w:rPr>
                <w:sz w:val="24"/>
              </w:rPr>
              <w:t>is</w:t>
            </w:r>
            <w:r>
              <w:rPr>
                <w:spacing w:val="-13"/>
                <w:sz w:val="24"/>
              </w:rPr>
              <w:t> </w:t>
            </w:r>
            <w:r>
              <w:rPr>
                <w:sz w:val="24"/>
              </w:rPr>
              <w:t>expected</w:t>
            </w:r>
            <w:r>
              <w:rPr>
                <w:spacing w:val="-12"/>
                <w:sz w:val="24"/>
              </w:rPr>
              <w:t> </w:t>
            </w:r>
            <w:r>
              <w:rPr>
                <w:sz w:val="24"/>
              </w:rPr>
              <w:t>to</w:t>
            </w:r>
            <w:r>
              <w:rPr>
                <w:spacing w:val="-12"/>
                <w:sz w:val="24"/>
              </w:rPr>
              <w:t> </w:t>
            </w:r>
            <w:r>
              <w:rPr>
                <w:sz w:val="24"/>
              </w:rPr>
              <w:t>generate future</w:t>
            </w:r>
            <w:r>
              <w:rPr>
                <w:spacing w:val="-16"/>
                <w:sz w:val="24"/>
              </w:rPr>
              <w:t> </w:t>
            </w:r>
            <w:r>
              <w:rPr>
                <w:sz w:val="24"/>
              </w:rPr>
              <w:t>capital</w:t>
            </w:r>
            <w:r>
              <w:rPr>
                <w:spacing w:val="-14"/>
                <w:sz w:val="24"/>
              </w:rPr>
              <w:t> </w:t>
            </w:r>
            <w:r>
              <w:rPr>
                <w:sz w:val="24"/>
              </w:rPr>
              <w:t>and</w:t>
            </w:r>
            <w:r>
              <w:rPr>
                <w:spacing w:val="-10"/>
                <w:sz w:val="24"/>
              </w:rPr>
              <w:t> </w:t>
            </w:r>
            <w:r>
              <w:rPr>
                <w:sz w:val="24"/>
              </w:rPr>
              <w:t>recurrent</w:t>
            </w:r>
            <w:r>
              <w:rPr>
                <w:spacing w:val="-17"/>
                <w:sz w:val="24"/>
              </w:rPr>
              <w:t> </w:t>
            </w:r>
            <w:r>
              <w:rPr>
                <w:sz w:val="24"/>
              </w:rPr>
              <w:t>funding</w:t>
            </w:r>
            <w:r>
              <w:rPr>
                <w:spacing w:val="-14"/>
                <w:sz w:val="24"/>
              </w:rPr>
              <w:t> </w:t>
            </w:r>
            <w:r>
              <w:rPr>
                <w:sz w:val="24"/>
              </w:rPr>
              <w:t>requirements</w:t>
            </w:r>
            <w:r>
              <w:rPr>
                <w:spacing w:val="-15"/>
                <w:sz w:val="24"/>
              </w:rPr>
              <w:t> </w:t>
            </w:r>
            <w:r>
              <w:rPr>
                <w:sz w:val="24"/>
              </w:rPr>
              <w:t>for</w:t>
            </w:r>
            <w:r>
              <w:rPr>
                <w:spacing w:val="-15"/>
                <w:sz w:val="24"/>
              </w:rPr>
              <w:t> </w:t>
            </w:r>
            <w:r>
              <w:rPr>
                <w:sz w:val="24"/>
              </w:rPr>
              <w:t>both</w:t>
            </w:r>
            <w:r>
              <w:rPr>
                <w:spacing w:val="-14"/>
                <w:sz w:val="24"/>
              </w:rPr>
              <w:t> </w:t>
            </w:r>
            <w:r>
              <w:rPr>
                <w:sz w:val="24"/>
              </w:rPr>
              <w:t>Swansea</w:t>
            </w:r>
            <w:r>
              <w:rPr>
                <w:spacing w:val="-14"/>
                <w:sz w:val="24"/>
              </w:rPr>
              <w:t> </w:t>
            </w:r>
            <w:r>
              <w:rPr>
                <w:sz w:val="24"/>
              </w:rPr>
              <w:t>Bay</w:t>
            </w:r>
            <w:r>
              <w:rPr>
                <w:spacing w:val="-17"/>
                <w:sz w:val="24"/>
              </w:rPr>
              <w:t> </w:t>
            </w:r>
            <w:r>
              <w:rPr>
                <w:sz w:val="24"/>
              </w:rPr>
              <w:t>University</w:t>
            </w:r>
            <w:r>
              <w:rPr>
                <w:spacing w:val="-14"/>
                <w:sz w:val="24"/>
              </w:rPr>
              <w:t> </w:t>
            </w:r>
            <w:r>
              <w:rPr>
                <w:sz w:val="24"/>
              </w:rPr>
              <w:t>Health </w:t>
            </w:r>
            <w:r>
              <w:rPr>
                <w:spacing w:val="-2"/>
                <w:sz w:val="24"/>
              </w:rPr>
              <w:t>Board</w:t>
            </w:r>
            <w:r>
              <w:rPr>
                <w:spacing w:val="-13"/>
                <w:sz w:val="24"/>
              </w:rPr>
              <w:t> </w:t>
            </w:r>
            <w:r>
              <w:rPr>
                <w:spacing w:val="-2"/>
                <w:sz w:val="24"/>
              </w:rPr>
              <w:t>and</w:t>
            </w:r>
            <w:r>
              <w:rPr>
                <w:spacing w:val="-11"/>
                <w:sz w:val="24"/>
              </w:rPr>
              <w:t> </w:t>
            </w: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2"/>
                <w:sz w:val="24"/>
              </w:rPr>
              <w:t> </w:t>
            </w:r>
            <w:r>
              <w:rPr>
                <w:spacing w:val="-2"/>
                <w:sz w:val="24"/>
              </w:rPr>
              <w:t>Health</w:t>
            </w:r>
            <w:r>
              <w:rPr>
                <w:spacing w:val="-11"/>
                <w:sz w:val="24"/>
              </w:rPr>
              <w:t> </w:t>
            </w:r>
            <w:r>
              <w:rPr>
                <w:spacing w:val="-2"/>
                <w:sz w:val="24"/>
              </w:rPr>
              <w:t>Board.</w:t>
            </w:r>
            <w:r>
              <w:rPr>
                <w:spacing w:val="-10"/>
                <w:sz w:val="24"/>
              </w:rPr>
              <w:t> </w:t>
            </w:r>
            <w:r>
              <w:rPr>
                <w:spacing w:val="-2"/>
                <w:sz w:val="24"/>
              </w:rPr>
              <w:t>These</w:t>
            </w:r>
            <w:r>
              <w:rPr>
                <w:spacing w:val="-11"/>
                <w:sz w:val="24"/>
              </w:rPr>
              <w:t> </w:t>
            </w:r>
            <w:r>
              <w:rPr>
                <w:spacing w:val="-2"/>
                <w:sz w:val="24"/>
              </w:rPr>
              <w:t>are</w:t>
            </w:r>
            <w:r>
              <w:rPr>
                <w:spacing w:val="-11"/>
                <w:sz w:val="24"/>
              </w:rPr>
              <w:t> </w:t>
            </w:r>
            <w:r>
              <w:rPr>
                <w:spacing w:val="-2"/>
                <w:sz w:val="24"/>
              </w:rPr>
              <w:t>likely</w:t>
            </w:r>
            <w:r>
              <w:rPr>
                <w:spacing w:val="-12"/>
                <w:sz w:val="24"/>
              </w:rPr>
              <w:t> </w:t>
            </w:r>
            <w:r>
              <w:rPr>
                <w:spacing w:val="-2"/>
                <w:sz w:val="24"/>
              </w:rPr>
              <w:t>to</w:t>
            </w:r>
            <w:r>
              <w:rPr>
                <w:spacing w:val="-11"/>
                <w:sz w:val="24"/>
              </w:rPr>
              <w:t> </w:t>
            </w:r>
            <w:r>
              <w:rPr>
                <w:spacing w:val="-2"/>
                <w:sz w:val="24"/>
              </w:rPr>
              <w:t>include</w:t>
            </w:r>
            <w:r>
              <w:rPr>
                <w:spacing w:val="-11"/>
                <w:sz w:val="24"/>
              </w:rPr>
              <w:t> </w:t>
            </w:r>
            <w:r>
              <w:rPr>
                <w:spacing w:val="-2"/>
                <w:sz w:val="24"/>
              </w:rPr>
              <w:t>replacement</w:t>
            </w:r>
            <w:r>
              <w:rPr>
                <w:spacing w:val="-14"/>
                <w:sz w:val="24"/>
              </w:rPr>
              <w:t> </w:t>
            </w:r>
            <w:r>
              <w:rPr>
                <w:spacing w:val="-2"/>
                <w:sz w:val="24"/>
              </w:rPr>
              <w:t>LINAC investment,</w:t>
            </w:r>
            <w:r>
              <w:rPr>
                <w:spacing w:val="-15"/>
                <w:sz w:val="24"/>
              </w:rPr>
              <w:t> </w:t>
            </w:r>
            <w:r>
              <w:rPr>
                <w:spacing w:val="-2"/>
                <w:sz w:val="24"/>
              </w:rPr>
              <w:t>future</w:t>
            </w:r>
            <w:r>
              <w:rPr>
                <w:spacing w:val="-15"/>
                <w:sz w:val="24"/>
              </w:rPr>
              <w:t> </w:t>
            </w:r>
            <w:r>
              <w:rPr>
                <w:spacing w:val="-2"/>
                <w:sz w:val="24"/>
              </w:rPr>
              <w:t>operational</w:t>
            </w:r>
            <w:r>
              <w:rPr>
                <w:spacing w:val="-14"/>
                <w:sz w:val="24"/>
              </w:rPr>
              <w:t> </w:t>
            </w:r>
            <w:r>
              <w:rPr>
                <w:spacing w:val="-2"/>
                <w:sz w:val="24"/>
              </w:rPr>
              <w:t>LINAC</w:t>
            </w:r>
            <w:r>
              <w:rPr>
                <w:spacing w:val="-12"/>
                <w:sz w:val="24"/>
              </w:rPr>
              <w:t> </w:t>
            </w:r>
            <w:r>
              <w:rPr>
                <w:spacing w:val="-2"/>
                <w:sz w:val="24"/>
              </w:rPr>
              <w:t>capacity,</w:t>
            </w:r>
            <w:r>
              <w:rPr>
                <w:spacing w:val="-14"/>
                <w:sz w:val="24"/>
              </w:rPr>
              <w:t> </w:t>
            </w:r>
            <w:r>
              <w:rPr>
                <w:spacing w:val="-2"/>
                <w:sz w:val="24"/>
              </w:rPr>
              <w:t>workforce</w:t>
            </w:r>
            <w:r>
              <w:rPr>
                <w:spacing w:val="-15"/>
                <w:sz w:val="24"/>
              </w:rPr>
              <w:t> </w:t>
            </w:r>
            <w:r>
              <w:rPr>
                <w:spacing w:val="-2"/>
                <w:sz w:val="24"/>
              </w:rPr>
              <w:t>growth,</w:t>
            </w:r>
            <w:r>
              <w:rPr>
                <w:spacing w:val="-15"/>
                <w:sz w:val="24"/>
              </w:rPr>
              <w:t> </w:t>
            </w:r>
            <w:r>
              <w:rPr>
                <w:spacing w:val="-2"/>
                <w:sz w:val="24"/>
              </w:rPr>
              <w:t>maintenance</w:t>
            </w:r>
            <w:r>
              <w:rPr>
                <w:spacing w:val="-12"/>
                <w:sz w:val="24"/>
              </w:rPr>
              <w:t> </w:t>
            </w:r>
            <w:r>
              <w:rPr>
                <w:spacing w:val="-2"/>
                <w:sz w:val="24"/>
              </w:rPr>
              <w:t>support,</w:t>
            </w:r>
            <w:r>
              <w:rPr>
                <w:spacing w:val="-15"/>
                <w:sz w:val="24"/>
              </w:rPr>
              <w:t> </w:t>
            </w:r>
            <w:r>
              <w:rPr>
                <w:spacing w:val="-2"/>
                <w:sz w:val="24"/>
              </w:rPr>
              <w:t>digital </w:t>
            </w:r>
            <w:r>
              <w:rPr>
                <w:sz w:val="24"/>
              </w:rPr>
              <w:t>infrastructure and associated service costs.</w:t>
            </w:r>
          </w:p>
          <w:p>
            <w:pPr>
              <w:pStyle w:val="TableParagraph"/>
              <w:spacing w:before="80"/>
              <w:ind w:left="110" w:right="212"/>
              <w:rPr>
                <w:sz w:val="24"/>
              </w:rPr>
            </w:pPr>
            <w:r>
              <w:rPr>
                <w:spacing w:val="-4"/>
                <w:sz w:val="24"/>
              </w:rPr>
              <w:t>Detailed affordability assessments, recurrent revenue implications, funding arrangements and </w:t>
            </w:r>
            <w:r>
              <w:rPr>
                <w:sz w:val="24"/>
              </w:rPr>
              <w:t>any</w:t>
            </w:r>
            <w:r>
              <w:rPr>
                <w:spacing w:val="-17"/>
                <w:sz w:val="24"/>
              </w:rPr>
              <w:t> </w:t>
            </w:r>
            <w:r>
              <w:rPr>
                <w:sz w:val="24"/>
              </w:rPr>
              <w:t>proposed</w:t>
            </w:r>
            <w:r>
              <w:rPr>
                <w:spacing w:val="-11"/>
                <w:sz w:val="24"/>
              </w:rPr>
              <w:t> </w:t>
            </w:r>
            <w:r>
              <w:rPr>
                <w:sz w:val="24"/>
              </w:rPr>
              <w:t>cost-sharing</w:t>
            </w:r>
            <w:r>
              <w:rPr>
                <w:spacing w:val="-11"/>
                <w:sz w:val="24"/>
              </w:rPr>
              <w:t> </w:t>
            </w:r>
            <w:r>
              <w:rPr>
                <w:sz w:val="24"/>
              </w:rPr>
              <w:t>arrangements</w:t>
            </w:r>
            <w:r>
              <w:rPr>
                <w:spacing w:val="-12"/>
                <w:sz w:val="24"/>
              </w:rPr>
              <w:t> </w:t>
            </w:r>
            <w:r>
              <w:rPr>
                <w:sz w:val="24"/>
              </w:rPr>
              <w:t>between</w:t>
            </w:r>
            <w:r>
              <w:rPr>
                <w:spacing w:val="-11"/>
                <w:sz w:val="24"/>
              </w:rPr>
              <w:t> </w:t>
            </w:r>
            <w:r>
              <w:rPr>
                <w:sz w:val="24"/>
              </w:rPr>
              <w:t>the</w:t>
            </w:r>
            <w:r>
              <w:rPr>
                <w:spacing w:val="-11"/>
                <w:sz w:val="24"/>
              </w:rPr>
              <w:t> </w:t>
            </w:r>
            <w:r>
              <w:rPr>
                <w:sz w:val="24"/>
              </w:rPr>
              <w:t>Health</w:t>
            </w:r>
            <w:r>
              <w:rPr>
                <w:spacing w:val="-11"/>
                <w:sz w:val="24"/>
              </w:rPr>
              <w:t> </w:t>
            </w:r>
            <w:r>
              <w:rPr>
                <w:sz w:val="24"/>
              </w:rPr>
              <w:t>Boards</w:t>
            </w:r>
            <w:r>
              <w:rPr>
                <w:spacing w:val="-12"/>
                <w:sz w:val="24"/>
              </w:rPr>
              <w:t> </w:t>
            </w:r>
            <w:r>
              <w:rPr>
                <w:sz w:val="24"/>
              </w:rPr>
              <w:t>have</w:t>
            </w:r>
            <w:r>
              <w:rPr>
                <w:spacing w:val="-11"/>
                <w:sz w:val="24"/>
              </w:rPr>
              <w:t> </w:t>
            </w:r>
            <w:r>
              <w:rPr>
                <w:sz w:val="24"/>
              </w:rPr>
              <w:t>not</w:t>
            </w:r>
            <w:r>
              <w:rPr>
                <w:spacing w:val="-14"/>
                <w:sz w:val="24"/>
              </w:rPr>
              <w:t> </w:t>
            </w:r>
            <w:r>
              <w:rPr>
                <w:sz w:val="24"/>
              </w:rPr>
              <w:t>yet</w:t>
            </w:r>
            <w:r>
              <w:rPr>
                <w:spacing w:val="-14"/>
                <w:sz w:val="24"/>
              </w:rPr>
              <w:t> </w:t>
            </w:r>
            <w:r>
              <w:rPr>
                <w:sz w:val="24"/>
              </w:rPr>
              <w:t>been developed</w:t>
            </w:r>
            <w:r>
              <w:rPr>
                <w:spacing w:val="-14"/>
                <w:sz w:val="24"/>
              </w:rPr>
              <w:t> </w:t>
            </w:r>
            <w:r>
              <w:rPr>
                <w:sz w:val="24"/>
              </w:rPr>
              <w:t>and</w:t>
            </w:r>
            <w:r>
              <w:rPr>
                <w:spacing w:val="-14"/>
                <w:sz w:val="24"/>
              </w:rPr>
              <w:t> </w:t>
            </w:r>
            <w:r>
              <w:rPr>
                <w:sz w:val="24"/>
              </w:rPr>
              <w:t>will</w:t>
            </w:r>
            <w:r>
              <w:rPr>
                <w:spacing w:val="-14"/>
                <w:sz w:val="24"/>
              </w:rPr>
              <w:t> </w:t>
            </w:r>
            <w:r>
              <w:rPr>
                <w:sz w:val="24"/>
              </w:rPr>
              <w:t>be</w:t>
            </w:r>
            <w:r>
              <w:rPr>
                <w:spacing w:val="-14"/>
                <w:sz w:val="24"/>
              </w:rPr>
              <w:t> </w:t>
            </w:r>
            <w:r>
              <w:rPr>
                <w:sz w:val="24"/>
              </w:rPr>
              <w:t>presented</w:t>
            </w:r>
            <w:r>
              <w:rPr>
                <w:spacing w:val="-14"/>
                <w:sz w:val="24"/>
              </w:rPr>
              <w:t> </w:t>
            </w:r>
            <w:r>
              <w:rPr>
                <w:sz w:val="24"/>
              </w:rPr>
              <w:t>through</w:t>
            </w:r>
            <w:r>
              <w:rPr>
                <w:spacing w:val="-14"/>
                <w:sz w:val="24"/>
              </w:rPr>
              <w:t> </w:t>
            </w:r>
            <w:r>
              <w:rPr>
                <w:sz w:val="24"/>
              </w:rPr>
              <w:t>subsequent</w:t>
            </w:r>
            <w:r>
              <w:rPr>
                <w:spacing w:val="-16"/>
                <w:sz w:val="24"/>
              </w:rPr>
              <w:t> </w:t>
            </w:r>
            <w:r>
              <w:rPr>
                <w:sz w:val="24"/>
              </w:rPr>
              <w:t>business</w:t>
            </w:r>
            <w:r>
              <w:rPr>
                <w:spacing w:val="-10"/>
                <w:sz w:val="24"/>
              </w:rPr>
              <w:t> </w:t>
            </w:r>
            <w:r>
              <w:rPr>
                <w:sz w:val="24"/>
              </w:rPr>
              <w:t>case(s)</w:t>
            </w:r>
            <w:r>
              <w:rPr>
                <w:spacing w:val="-10"/>
                <w:sz w:val="24"/>
              </w:rPr>
              <w:t> </w:t>
            </w:r>
            <w:r>
              <w:rPr>
                <w:sz w:val="24"/>
              </w:rPr>
              <w:t>for</w:t>
            </w:r>
            <w:r>
              <w:rPr>
                <w:spacing w:val="-14"/>
                <w:sz w:val="24"/>
              </w:rPr>
              <w:t> </w:t>
            </w:r>
            <w:r>
              <w:rPr>
                <w:sz w:val="24"/>
              </w:rPr>
              <w:t>separate consideration and approval.</w:t>
            </w:r>
          </w:p>
        </w:tc>
      </w:tr>
    </w:tbl>
    <w:p>
      <w:pPr>
        <w:spacing w:before="171"/>
        <w:ind w:left="657" w:right="228" w:firstLine="0"/>
        <w:jc w:val="center"/>
        <w:rPr>
          <w:sz w:val="16"/>
        </w:rPr>
      </w:pPr>
      <w:r>
        <w:rPr>
          <w:spacing w:val="-2"/>
          <w:sz w:val="16"/>
        </w:rPr>
        <w:t>Page</w:t>
      </w:r>
      <w:r>
        <w:rPr>
          <w:spacing w:val="-7"/>
          <w:sz w:val="16"/>
        </w:rPr>
        <w:t> </w:t>
      </w:r>
      <w:r>
        <w:rPr>
          <w:spacing w:val="-2"/>
          <w:sz w:val="16"/>
        </w:rPr>
        <w:t>5</w:t>
      </w:r>
      <w:r>
        <w:rPr>
          <w:spacing w:val="-9"/>
          <w:sz w:val="16"/>
        </w:rPr>
        <w:t> </w:t>
      </w:r>
      <w:r>
        <w:rPr>
          <w:spacing w:val="-2"/>
          <w:sz w:val="16"/>
        </w:rPr>
        <w:t>of</w:t>
      </w:r>
      <w:r>
        <w:rPr>
          <w:spacing w:val="-9"/>
          <w:sz w:val="16"/>
        </w:rPr>
        <w:t> </w:t>
      </w:r>
      <w:r>
        <w:rPr>
          <w:spacing w:val="-10"/>
          <w:sz w:val="16"/>
        </w:rPr>
        <w:t>6</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26" name="Image 326"/>
            <wp:cNvGraphicFramePr>
              <a:graphicFrameLocks/>
            </wp:cNvGraphicFramePr>
            <a:graphic>
              <a:graphicData uri="http://schemas.openxmlformats.org/drawingml/2006/picture">
                <pic:pic>
                  <pic:nvPicPr>
                    <pic:cNvPr id="326" name="Image 326"/>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27" name="Image 327"/>
            <wp:cNvGraphicFramePr>
              <a:graphicFrameLocks/>
            </wp:cNvGraphicFramePr>
            <a:graphic>
              <a:graphicData uri="http://schemas.openxmlformats.org/drawingml/2006/picture">
                <pic:pic>
                  <pic:nvPicPr>
                    <pic:cNvPr id="327" name="Image 327"/>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3551" w:hRule="atLeast"/>
        </w:trPr>
        <w:tc>
          <w:tcPr>
            <w:tcW w:w="10069" w:type="dxa"/>
          </w:tcPr>
          <w:p>
            <w:pPr>
              <w:pStyle w:val="TableParagraph"/>
              <w:spacing w:before="40"/>
              <w:ind w:left="110"/>
              <w:rPr>
                <w:b/>
                <w:sz w:val="24"/>
              </w:rPr>
            </w:pPr>
            <w:r>
              <w:rPr>
                <w:b/>
                <w:color w:val="1F487C"/>
                <w:spacing w:val="-4"/>
                <w:sz w:val="24"/>
              </w:rPr>
              <w:t>Proposed</w:t>
            </w:r>
            <w:r>
              <w:rPr>
                <w:b/>
                <w:color w:val="1F487C"/>
                <w:spacing w:val="-2"/>
                <w:sz w:val="24"/>
              </w:rPr>
              <w:t> </w:t>
            </w:r>
            <w:r>
              <w:rPr>
                <w:b/>
                <w:color w:val="1F487C"/>
                <w:spacing w:val="-4"/>
                <w:sz w:val="24"/>
              </w:rPr>
              <w:t>Governance</w:t>
            </w:r>
            <w:r>
              <w:rPr>
                <w:b/>
                <w:color w:val="1F487C"/>
                <w:spacing w:val="2"/>
                <w:sz w:val="24"/>
              </w:rPr>
              <w:t> </w:t>
            </w:r>
            <w:r>
              <w:rPr>
                <w:b/>
                <w:color w:val="1F487C"/>
                <w:spacing w:val="-4"/>
                <w:sz w:val="24"/>
              </w:rPr>
              <w:t>Route</w:t>
            </w:r>
          </w:p>
          <w:p>
            <w:pPr>
              <w:pStyle w:val="TableParagraph"/>
              <w:numPr>
                <w:ilvl w:val="0"/>
                <w:numId w:val="22"/>
              </w:numPr>
              <w:tabs>
                <w:tab w:pos="830" w:val="left" w:leader="none"/>
              </w:tabs>
              <w:spacing w:line="240" w:lineRule="auto" w:before="77" w:after="0"/>
              <w:ind w:left="830" w:right="233" w:hanging="361"/>
              <w:jc w:val="left"/>
              <w:rPr>
                <w:sz w:val="24"/>
              </w:rPr>
            </w:pPr>
            <w:r>
              <w:rPr>
                <w:sz w:val="24"/>
              </w:rPr>
              <w:t>13</w:t>
            </w:r>
            <w:r>
              <w:rPr>
                <w:sz w:val="24"/>
                <w:vertAlign w:val="superscript"/>
              </w:rPr>
              <w:t>th</w:t>
            </w:r>
            <w:r>
              <w:rPr>
                <w:spacing w:val="-17"/>
                <w:sz w:val="24"/>
                <w:vertAlign w:val="baseline"/>
              </w:rPr>
              <w:t> </w:t>
            </w:r>
            <w:r>
              <w:rPr>
                <w:sz w:val="24"/>
                <w:vertAlign w:val="baseline"/>
              </w:rPr>
              <w:t>October</w:t>
            </w:r>
            <w:r>
              <w:rPr>
                <w:spacing w:val="-17"/>
                <w:sz w:val="24"/>
                <w:vertAlign w:val="baseline"/>
              </w:rPr>
              <w:t> </w:t>
            </w:r>
            <w:r>
              <w:rPr>
                <w:sz w:val="24"/>
                <w:vertAlign w:val="baseline"/>
              </w:rPr>
              <w:t>2026:</w:t>
            </w:r>
            <w:r>
              <w:rPr>
                <w:spacing w:val="-16"/>
                <w:sz w:val="24"/>
                <w:vertAlign w:val="baseline"/>
              </w:rPr>
              <w:t> </w:t>
            </w:r>
            <w:r>
              <w:rPr>
                <w:sz w:val="24"/>
                <w:vertAlign w:val="baseline"/>
              </w:rPr>
              <w:t>Regional</w:t>
            </w:r>
            <w:r>
              <w:rPr>
                <w:spacing w:val="-17"/>
                <w:sz w:val="24"/>
                <w:vertAlign w:val="baseline"/>
              </w:rPr>
              <w:t> </w:t>
            </w:r>
            <w:r>
              <w:rPr>
                <w:sz w:val="24"/>
                <w:vertAlign w:val="baseline"/>
              </w:rPr>
              <w:t>Joint</w:t>
            </w:r>
            <w:r>
              <w:rPr>
                <w:spacing w:val="-17"/>
                <w:sz w:val="24"/>
                <w:vertAlign w:val="baseline"/>
              </w:rPr>
              <w:t> </w:t>
            </w:r>
            <w:r>
              <w:rPr>
                <w:sz w:val="24"/>
                <w:vertAlign w:val="baseline"/>
              </w:rPr>
              <w:t>Committee</w:t>
            </w:r>
            <w:r>
              <w:rPr>
                <w:spacing w:val="-17"/>
                <w:sz w:val="24"/>
                <w:vertAlign w:val="baseline"/>
              </w:rPr>
              <w:t> </w:t>
            </w:r>
            <w:r>
              <w:rPr>
                <w:sz w:val="24"/>
                <w:vertAlign w:val="baseline"/>
              </w:rPr>
              <w:t>consideration</w:t>
            </w:r>
            <w:r>
              <w:rPr>
                <w:spacing w:val="-16"/>
                <w:sz w:val="24"/>
                <w:vertAlign w:val="baseline"/>
              </w:rPr>
              <w:t> </w:t>
            </w:r>
            <w:r>
              <w:rPr>
                <w:sz w:val="24"/>
                <w:vertAlign w:val="baseline"/>
              </w:rPr>
              <w:t>of</w:t>
            </w:r>
            <w:r>
              <w:rPr>
                <w:spacing w:val="-17"/>
                <w:sz w:val="24"/>
                <w:vertAlign w:val="baseline"/>
              </w:rPr>
              <w:t> </w:t>
            </w:r>
            <w:r>
              <w:rPr>
                <w:sz w:val="24"/>
                <w:vertAlign w:val="baseline"/>
              </w:rPr>
              <w:t>the</w:t>
            </w:r>
            <w:r>
              <w:rPr>
                <w:spacing w:val="-17"/>
                <w:sz w:val="24"/>
                <w:vertAlign w:val="baseline"/>
              </w:rPr>
              <w:t> </w:t>
            </w:r>
            <w:r>
              <w:rPr>
                <w:sz w:val="24"/>
                <w:vertAlign w:val="baseline"/>
              </w:rPr>
              <w:t>proposed</w:t>
            </w:r>
            <w:r>
              <w:rPr>
                <w:spacing w:val="-16"/>
                <w:sz w:val="24"/>
                <w:vertAlign w:val="baseline"/>
              </w:rPr>
              <w:t> </w:t>
            </w:r>
            <w:r>
              <w:rPr>
                <w:sz w:val="24"/>
                <w:vertAlign w:val="baseline"/>
              </w:rPr>
              <w:t>change</w:t>
            </w:r>
            <w:r>
              <w:rPr>
                <w:spacing w:val="-17"/>
                <w:sz w:val="24"/>
                <w:vertAlign w:val="baseline"/>
              </w:rPr>
              <w:t> </w:t>
            </w:r>
            <w:r>
              <w:rPr>
                <w:sz w:val="24"/>
                <w:vertAlign w:val="baseline"/>
              </w:rPr>
              <w:t>in </w:t>
            </w:r>
            <w:r>
              <w:rPr>
                <w:spacing w:val="-2"/>
                <w:sz w:val="24"/>
                <w:vertAlign w:val="baseline"/>
              </w:rPr>
              <w:t>regional</w:t>
            </w:r>
            <w:r>
              <w:rPr>
                <w:spacing w:val="-15"/>
                <w:sz w:val="24"/>
                <w:vertAlign w:val="baseline"/>
              </w:rPr>
              <w:t> </w:t>
            </w:r>
            <w:r>
              <w:rPr>
                <w:spacing w:val="-2"/>
                <w:sz w:val="24"/>
                <w:vertAlign w:val="baseline"/>
              </w:rPr>
              <w:t>direction</w:t>
            </w:r>
            <w:r>
              <w:rPr>
                <w:spacing w:val="-15"/>
                <w:sz w:val="24"/>
                <w:vertAlign w:val="baseline"/>
              </w:rPr>
              <w:t> </w:t>
            </w:r>
            <w:r>
              <w:rPr>
                <w:spacing w:val="-2"/>
                <w:sz w:val="24"/>
                <w:vertAlign w:val="baseline"/>
              </w:rPr>
              <w:t>and</w:t>
            </w:r>
            <w:r>
              <w:rPr>
                <w:spacing w:val="-14"/>
                <w:sz w:val="24"/>
                <w:vertAlign w:val="baseline"/>
              </w:rPr>
              <w:t> </w:t>
            </w:r>
            <w:r>
              <w:rPr>
                <w:spacing w:val="-2"/>
                <w:sz w:val="24"/>
                <w:vertAlign w:val="baseline"/>
              </w:rPr>
              <w:t>support</w:t>
            </w:r>
            <w:r>
              <w:rPr>
                <w:spacing w:val="-15"/>
                <w:sz w:val="24"/>
                <w:vertAlign w:val="baseline"/>
              </w:rPr>
              <w:t> </w:t>
            </w:r>
            <w:r>
              <w:rPr>
                <w:spacing w:val="-2"/>
                <w:sz w:val="24"/>
                <w:vertAlign w:val="baseline"/>
              </w:rPr>
              <w:t>for</w:t>
            </w:r>
            <w:r>
              <w:rPr>
                <w:spacing w:val="-15"/>
                <w:sz w:val="24"/>
                <w:vertAlign w:val="baseline"/>
              </w:rPr>
              <w:t> </w:t>
            </w:r>
            <w:r>
              <w:rPr>
                <w:spacing w:val="-2"/>
                <w:sz w:val="24"/>
                <w:vertAlign w:val="baseline"/>
              </w:rPr>
              <w:t>progression</w:t>
            </w:r>
            <w:r>
              <w:rPr>
                <w:spacing w:val="-14"/>
                <w:sz w:val="24"/>
                <w:vertAlign w:val="baseline"/>
              </w:rPr>
              <w:t> </w:t>
            </w:r>
            <w:r>
              <w:rPr>
                <w:spacing w:val="-2"/>
                <w:sz w:val="24"/>
                <w:vertAlign w:val="baseline"/>
              </w:rPr>
              <w:t>through</w:t>
            </w:r>
            <w:r>
              <w:rPr>
                <w:spacing w:val="-14"/>
                <w:sz w:val="24"/>
                <w:vertAlign w:val="baseline"/>
              </w:rPr>
              <w:t> </w:t>
            </w:r>
            <w:r>
              <w:rPr>
                <w:spacing w:val="-2"/>
                <w:sz w:val="24"/>
                <w:vertAlign w:val="baseline"/>
              </w:rPr>
              <w:t>each</w:t>
            </w:r>
            <w:r>
              <w:rPr>
                <w:spacing w:val="-15"/>
                <w:sz w:val="24"/>
                <w:vertAlign w:val="baseline"/>
              </w:rPr>
              <w:t> </w:t>
            </w:r>
            <w:r>
              <w:rPr>
                <w:spacing w:val="-2"/>
                <w:sz w:val="24"/>
                <w:vertAlign w:val="baseline"/>
              </w:rPr>
              <w:t>Health</w:t>
            </w:r>
            <w:r>
              <w:rPr>
                <w:spacing w:val="-15"/>
                <w:sz w:val="24"/>
                <w:vertAlign w:val="baseline"/>
              </w:rPr>
              <w:t> </w:t>
            </w:r>
            <w:r>
              <w:rPr>
                <w:spacing w:val="-2"/>
                <w:sz w:val="24"/>
                <w:vertAlign w:val="baseline"/>
              </w:rPr>
              <w:t>Board's</w:t>
            </w:r>
            <w:r>
              <w:rPr>
                <w:spacing w:val="-14"/>
                <w:sz w:val="24"/>
                <w:vertAlign w:val="baseline"/>
              </w:rPr>
              <w:t> </w:t>
            </w:r>
            <w:r>
              <w:rPr>
                <w:spacing w:val="-2"/>
                <w:sz w:val="24"/>
                <w:vertAlign w:val="baseline"/>
              </w:rPr>
              <w:t>governance arrangements.</w:t>
            </w:r>
          </w:p>
          <w:p>
            <w:pPr>
              <w:pStyle w:val="TableParagraph"/>
              <w:numPr>
                <w:ilvl w:val="0"/>
                <w:numId w:val="22"/>
              </w:numPr>
              <w:tabs>
                <w:tab w:pos="830" w:val="left" w:leader="none"/>
              </w:tabs>
              <w:spacing w:line="237" w:lineRule="auto" w:before="2" w:after="0"/>
              <w:ind w:left="830" w:right="419" w:hanging="361"/>
              <w:jc w:val="left"/>
              <w:rPr>
                <w:sz w:val="24"/>
              </w:rPr>
            </w:pPr>
            <w:r>
              <w:rPr>
                <w:spacing w:val="-2"/>
                <w:sz w:val="24"/>
              </w:rPr>
              <w:t>October</w:t>
            </w:r>
            <w:r>
              <w:rPr>
                <w:spacing w:val="-14"/>
                <w:sz w:val="24"/>
              </w:rPr>
              <w:t> </w:t>
            </w:r>
            <w:r>
              <w:rPr>
                <w:spacing w:val="-2"/>
                <w:sz w:val="24"/>
              </w:rPr>
              <w:t>to</w:t>
            </w:r>
            <w:r>
              <w:rPr>
                <w:spacing w:val="-12"/>
                <w:sz w:val="24"/>
              </w:rPr>
              <w:t> </w:t>
            </w:r>
            <w:r>
              <w:rPr>
                <w:spacing w:val="-2"/>
                <w:sz w:val="24"/>
              </w:rPr>
              <w:t>November</w:t>
            </w:r>
            <w:r>
              <w:rPr>
                <w:spacing w:val="-13"/>
                <w:sz w:val="24"/>
              </w:rPr>
              <w:t> </w:t>
            </w:r>
            <w:r>
              <w:rPr>
                <w:spacing w:val="-2"/>
                <w:sz w:val="24"/>
              </w:rPr>
              <w:t>2026:</w:t>
            </w:r>
            <w:r>
              <w:rPr>
                <w:spacing w:val="-15"/>
                <w:sz w:val="24"/>
              </w:rPr>
              <w:t> </w:t>
            </w:r>
            <w:r>
              <w:rPr>
                <w:spacing w:val="-2"/>
                <w:sz w:val="24"/>
              </w:rPr>
              <w:t>completion</w:t>
            </w:r>
            <w:r>
              <w:rPr>
                <w:spacing w:val="-12"/>
                <w:sz w:val="24"/>
              </w:rPr>
              <w:t> </w:t>
            </w:r>
            <w:r>
              <w:rPr>
                <w:spacing w:val="-2"/>
                <w:sz w:val="24"/>
              </w:rPr>
              <w:t>of</w:t>
            </w:r>
            <w:r>
              <w:rPr>
                <w:spacing w:val="-15"/>
                <w:sz w:val="24"/>
              </w:rPr>
              <w:t> </w:t>
            </w:r>
            <w:r>
              <w:rPr>
                <w:spacing w:val="-2"/>
                <w:sz w:val="24"/>
              </w:rPr>
              <w:t>Swansea</w:t>
            </w:r>
            <w:r>
              <w:rPr>
                <w:spacing w:val="-15"/>
                <w:sz w:val="24"/>
              </w:rPr>
              <w:t> </w:t>
            </w:r>
            <w:r>
              <w:rPr>
                <w:spacing w:val="-2"/>
                <w:sz w:val="24"/>
              </w:rPr>
              <w:t>Bay</w:t>
            </w:r>
            <w:r>
              <w:rPr>
                <w:spacing w:val="-12"/>
                <w:sz w:val="24"/>
              </w:rPr>
              <w:t> </w:t>
            </w:r>
            <w:r>
              <w:rPr>
                <w:spacing w:val="-2"/>
                <w:sz w:val="24"/>
              </w:rPr>
              <w:t>University</w:t>
            </w:r>
            <w:r>
              <w:rPr>
                <w:spacing w:val="-13"/>
                <w:sz w:val="24"/>
              </w:rPr>
              <w:t> </w:t>
            </w:r>
            <w:r>
              <w:rPr>
                <w:spacing w:val="-2"/>
                <w:sz w:val="24"/>
              </w:rPr>
              <w:t>Health</w:t>
            </w:r>
            <w:r>
              <w:rPr>
                <w:spacing w:val="-12"/>
                <w:sz w:val="24"/>
              </w:rPr>
              <w:t> </w:t>
            </w:r>
            <w:r>
              <w:rPr>
                <w:spacing w:val="-2"/>
                <w:sz w:val="24"/>
              </w:rPr>
              <w:t>Board</w:t>
            </w:r>
            <w:r>
              <w:rPr>
                <w:spacing w:val="-12"/>
                <w:sz w:val="24"/>
              </w:rPr>
              <w:t> </w:t>
            </w:r>
            <w:r>
              <w:rPr>
                <w:spacing w:val="-2"/>
                <w:sz w:val="24"/>
              </w:rPr>
              <w:t>and </w:t>
            </w:r>
            <w:r>
              <w:rPr>
                <w:sz w:val="24"/>
              </w:rPr>
              <w:t>Hywel</w:t>
            </w:r>
            <w:r>
              <w:rPr>
                <w:spacing w:val="-17"/>
                <w:sz w:val="24"/>
              </w:rPr>
              <w:t> </w:t>
            </w:r>
            <w:r>
              <w:rPr>
                <w:sz w:val="24"/>
              </w:rPr>
              <w:t>Dda</w:t>
            </w:r>
            <w:r>
              <w:rPr>
                <w:spacing w:val="-16"/>
                <w:sz w:val="24"/>
              </w:rPr>
              <w:t> </w:t>
            </w:r>
            <w:r>
              <w:rPr>
                <w:sz w:val="24"/>
              </w:rPr>
              <w:t>University</w:t>
            </w:r>
            <w:r>
              <w:rPr>
                <w:spacing w:val="-13"/>
                <w:sz w:val="24"/>
              </w:rPr>
              <w:t> </w:t>
            </w:r>
            <w:r>
              <w:rPr>
                <w:sz w:val="24"/>
              </w:rPr>
              <w:t>Health</w:t>
            </w:r>
            <w:r>
              <w:rPr>
                <w:spacing w:val="-12"/>
                <w:sz w:val="24"/>
              </w:rPr>
              <w:t> </w:t>
            </w:r>
            <w:r>
              <w:rPr>
                <w:sz w:val="24"/>
              </w:rPr>
              <w:t>Board</w:t>
            </w:r>
            <w:r>
              <w:rPr>
                <w:spacing w:val="-12"/>
                <w:sz w:val="24"/>
              </w:rPr>
              <w:t> </w:t>
            </w:r>
            <w:r>
              <w:rPr>
                <w:sz w:val="24"/>
              </w:rPr>
              <w:t>internal</w:t>
            </w:r>
            <w:r>
              <w:rPr>
                <w:spacing w:val="-12"/>
                <w:sz w:val="24"/>
              </w:rPr>
              <w:t> </w:t>
            </w:r>
            <w:r>
              <w:rPr>
                <w:sz w:val="24"/>
              </w:rPr>
              <w:t>governance</w:t>
            </w:r>
            <w:r>
              <w:rPr>
                <w:spacing w:val="-12"/>
                <w:sz w:val="24"/>
              </w:rPr>
              <w:t> </w:t>
            </w:r>
            <w:r>
              <w:rPr>
                <w:sz w:val="24"/>
              </w:rPr>
              <w:t>and</w:t>
            </w:r>
            <w:r>
              <w:rPr>
                <w:spacing w:val="-12"/>
                <w:sz w:val="24"/>
              </w:rPr>
              <w:t> </w:t>
            </w:r>
            <w:r>
              <w:rPr>
                <w:sz w:val="24"/>
              </w:rPr>
              <w:t>assurance</w:t>
            </w:r>
            <w:r>
              <w:rPr>
                <w:spacing w:val="-12"/>
                <w:sz w:val="24"/>
              </w:rPr>
              <w:t> </w:t>
            </w:r>
            <w:r>
              <w:rPr>
                <w:sz w:val="24"/>
              </w:rPr>
              <w:t>processes.</w:t>
            </w:r>
          </w:p>
          <w:p>
            <w:pPr>
              <w:pStyle w:val="TableParagraph"/>
              <w:numPr>
                <w:ilvl w:val="0"/>
                <w:numId w:val="22"/>
              </w:numPr>
              <w:tabs>
                <w:tab w:pos="830" w:val="left" w:leader="none"/>
              </w:tabs>
              <w:spacing w:line="292" w:lineRule="exact" w:before="0" w:after="0"/>
              <w:ind w:left="830" w:right="0" w:hanging="360"/>
              <w:jc w:val="left"/>
              <w:rPr>
                <w:sz w:val="24"/>
              </w:rPr>
            </w:pPr>
            <w:r>
              <w:rPr>
                <w:spacing w:val="-2"/>
                <w:sz w:val="24"/>
              </w:rPr>
              <w:t>26</w:t>
            </w:r>
            <w:r>
              <w:rPr>
                <w:spacing w:val="-2"/>
                <w:sz w:val="24"/>
                <w:vertAlign w:val="superscript"/>
              </w:rPr>
              <w:t>th</w:t>
            </w:r>
            <w:r>
              <w:rPr>
                <w:spacing w:val="-17"/>
                <w:sz w:val="24"/>
                <w:vertAlign w:val="baseline"/>
              </w:rPr>
              <w:t> </w:t>
            </w:r>
            <w:r>
              <w:rPr>
                <w:spacing w:val="-2"/>
                <w:sz w:val="24"/>
                <w:vertAlign w:val="baseline"/>
              </w:rPr>
              <w:t>November</w:t>
            </w:r>
            <w:r>
              <w:rPr>
                <w:spacing w:val="-15"/>
                <w:sz w:val="24"/>
                <w:vertAlign w:val="baseline"/>
              </w:rPr>
              <w:t> </w:t>
            </w:r>
            <w:r>
              <w:rPr>
                <w:spacing w:val="-2"/>
                <w:sz w:val="24"/>
                <w:vertAlign w:val="baseline"/>
              </w:rPr>
              <w:t>2026:</w:t>
            </w:r>
            <w:r>
              <w:rPr>
                <w:spacing w:val="-14"/>
                <w:sz w:val="24"/>
                <w:vertAlign w:val="baseline"/>
              </w:rPr>
              <w:t> </w:t>
            </w:r>
            <w:r>
              <w:rPr>
                <w:spacing w:val="-2"/>
                <w:sz w:val="24"/>
                <w:vertAlign w:val="baseline"/>
              </w:rPr>
              <w:t>formal</w:t>
            </w:r>
            <w:r>
              <w:rPr>
                <w:spacing w:val="-13"/>
                <w:sz w:val="24"/>
                <w:vertAlign w:val="baseline"/>
              </w:rPr>
              <w:t> </w:t>
            </w:r>
            <w:r>
              <w:rPr>
                <w:spacing w:val="-2"/>
                <w:sz w:val="24"/>
                <w:vertAlign w:val="baseline"/>
              </w:rPr>
              <w:t>consideration</w:t>
            </w:r>
            <w:r>
              <w:rPr>
                <w:spacing w:val="-13"/>
                <w:sz w:val="24"/>
                <w:vertAlign w:val="baseline"/>
              </w:rPr>
              <w:t> </w:t>
            </w:r>
            <w:r>
              <w:rPr>
                <w:spacing w:val="-2"/>
                <w:sz w:val="24"/>
                <w:vertAlign w:val="baseline"/>
              </w:rPr>
              <w:t>by</w:t>
            </w:r>
            <w:r>
              <w:rPr>
                <w:spacing w:val="-13"/>
                <w:sz w:val="24"/>
                <w:vertAlign w:val="baseline"/>
              </w:rPr>
              <w:t> </w:t>
            </w:r>
            <w:r>
              <w:rPr>
                <w:spacing w:val="-2"/>
                <w:sz w:val="24"/>
                <w:vertAlign w:val="baseline"/>
              </w:rPr>
              <w:t>both</w:t>
            </w:r>
            <w:r>
              <w:rPr>
                <w:spacing w:val="-15"/>
                <w:sz w:val="24"/>
                <w:vertAlign w:val="baseline"/>
              </w:rPr>
              <w:t> </w:t>
            </w:r>
            <w:r>
              <w:rPr>
                <w:spacing w:val="-2"/>
                <w:sz w:val="24"/>
                <w:vertAlign w:val="baseline"/>
              </w:rPr>
              <w:t>Health</w:t>
            </w:r>
            <w:r>
              <w:rPr>
                <w:spacing w:val="-12"/>
                <w:sz w:val="24"/>
                <w:vertAlign w:val="baseline"/>
              </w:rPr>
              <w:t> </w:t>
            </w:r>
            <w:r>
              <w:rPr>
                <w:spacing w:val="-2"/>
                <w:sz w:val="24"/>
                <w:vertAlign w:val="baseline"/>
              </w:rPr>
              <w:t>Boards26</w:t>
            </w:r>
            <w:r>
              <w:rPr>
                <w:spacing w:val="-13"/>
                <w:sz w:val="24"/>
                <w:vertAlign w:val="baseline"/>
              </w:rPr>
              <w:t> </w:t>
            </w:r>
            <w:r>
              <w:rPr>
                <w:spacing w:val="-2"/>
                <w:sz w:val="24"/>
                <w:vertAlign w:val="baseline"/>
              </w:rPr>
              <w:t>November</w:t>
            </w:r>
            <w:r>
              <w:rPr>
                <w:spacing w:val="-13"/>
                <w:sz w:val="24"/>
                <w:vertAlign w:val="baseline"/>
              </w:rPr>
              <w:t> </w:t>
            </w:r>
            <w:r>
              <w:rPr>
                <w:spacing w:val="-2"/>
                <w:sz w:val="24"/>
                <w:vertAlign w:val="baseline"/>
              </w:rPr>
              <w:t>2026.</w:t>
            </w:r>
          </w:p>
          <w:p>
            <w:pPr>
              <w:pStyle w:val="TableParagraph"/>
              <w:numPr>
                <w:ilvl w:val="0"/>
                <w:numId w:val="22"/>
              </w:numPr>
              <w:tabs>
                <w:tab w:pos="830" w:val="left" w:leader="none"/>
              </w:tabs>
              <w:spacing w:line="237" w:lineRule="auto" w:before="4" w:after="0"/>
              <w:ind w:left="830" w:right="148" w:hanging="361"/>
              <w:jc w:val="left"/>
              <w:rPr>
                <w:sz w:val="24"/>
              </w:rPr>
            </w:pPr>
            <w:r>
              <w:rPr>
                <w:spacing w:val="-2"/>
                <w:sz w:val="24"/>
              </w:rPr>
              <w:t>Subject</w:t>
            </w:r>
            <w:r>
              <w:rPr>
                <w:spacing w:val="-15"/>
                <w:sz w:val="24"/>
              </w:rPr>
              <w:t> </w:t>
            </w:r>
            <w:r>
              <w:rPr>
                <w:spacing w:val="-2"/>
                <w:sz w:val="24"/>
              </w:rPr>
              <w:t>to</w:t>
            </w:r>
            <w:r>
              <w:rPr>
                <w:spacing w:val="-15"/>
                <w:sz w:val="24"/>
              </w:rPr>
              <w:t> </w:t>
            </w:r>
            <w:r>
              <w:rPr>
                <w:spacing w:val="-2"/>
                <w:sz w:val="24"/>
              </w:rPr>
              <w:t>endorsement</w:t>
            </w:r>
            <w:r>
              <w:rPr>
                <w:spacing w:val="-14"/>
                <w:sz w:val="24"/>
              </w:rPr>
              <w:t> </w:t>
            </w:r>
            <w:r>
              <w:rPr>
                <w:spacing w:val="-2"/>
                <w:sz w:val="24"/>
              </w:rPr>
              <w:t>by</w:t>
            </w:r>
            <w:r>
              <w:rPr>
                <w:spacing w:val="-15"/>
                <w:sz w:val="24"/>
              </w:rPr>
              <w:t> </w:t>
            </w:r>
            <w:r>
              <w:rPr>
                <w:spacing w:val="-2"/>
                <w:sz w:val="24"/>
              </w:rPr>
              <w:t>both</w:t>
            </w:r>
            <w:r>
              <w:rPr>
                <w:spacing w:val="-14"/>
                <w:sz w:val="24"/>
              </w:rPr>
              <w:t> </w:t>
            </w:r>
            <w:r>
              <w:rPr>
                <w:spacing w:val="-2"/>
                <w:sz w:val="24"/>
              </w:rPr>
              <w:t>Health</w:t>
            </w:r>
            <w:r>
              <w:rPr>
                <w:spacing w:val="-12"/>
                <w:sz w:val="24"/>
              </w:rPr>
              <w:t> </w:t>
            </w:r>
            <w:r>
              <w:rPr>
                <w:spacing w:val="-2"/>
                <w:sz w:val="24"/>
              </w:rPr>
              <w:t>Boards,</w:t>
            </w:r>
            <w:r>
              <w:rPr>
                <w:spacing w:val="-15"/>
                <w:sz w:val="24"/>
              </w:rPr>
              <w:t> </w:t>
            </w:r>
            <w:r>
              <w:rPr>
                <w:spacing w:val="-2"/>
                <w:sz w:val="24"/>
              </w:rPr>
              <w:t>engagement</w:t>
            </w:r>
            <w:r>
              <w:rPr>
                <w:spacing w:val="-15"/>
                <w:sz w:val="24"/>
              </w:rPr>
              <w:t> </w:t>
            </w:r>
            <w:r>
              <w:rPr>
                <w:spacing w:val="-2"/>
                <w:sz w:val="24"/>
              </w:rPr>
              <w:t>with</w:t>
            </w:r>
            <w:r>
              <w:rPr>
                <w:spacing w:val="-8"/>
                <w:sz w:val="24"/>
              </w:rPr>
              <w:t> </w:t>
            </w:r>
            <w:r>
              <w:rPr>
                <w:spacing w:val="-2"/>
                <w:sz w:val="24"/>
              </w:rPr>
              <w:t>Welsh</w:t>
            </w:r>
            <w:r>
              <w:rPr>
                <w:spacing w:val="-13"/>
                <w:sz w:val="24"/>
              </w:rPr>
              <w:t> </w:t>
            </w:r>
            <w:r>
              <w:rPr>
                <w:spacing w:val="-2"/>
                <w:sz w:val="24"/>
              </w:rPr>
              <w:t>Government</w:t>
            </w:r>
            <w:r>
              <w:rPr>
                <w:spacing w:val="-11"/>
                <w:sz w:val="24"/>
              </w:rPr>
              <w:t> </w:t>
            </w:r>
            <w:r>
              <w:rPr>
                <w:spacing w:val="-2"/>
                <w:sz w:val="24"/>
              </w:rPr>
              <w:t>to </w:t>
            </w:r>
            <w:r>
              <w:rPr>
                <w:sz w:val="24"/>
              </w:rPr>
              <w:t>confirm</w:t>
            </w:r>
            <w:r>
              <w:rPr>
                <w:spacing w:val="-5"/>
                <w:sz w:val="24"/>
              </w:rPr>
              <w:t> </w:t>
            </w:r>
            <w:r>
              <w:rPr>
                <w:sz w:val="24"/>
              </w:rPr>
              <w:t>the</w:t>
            </w:r>
            <w:r>
              <w:rPr>
                <w:spacing w:val="-9"/>
                <w:sz w:val="24"/>
              </w:rPr>
              <w:t> </w:t>
            </w:r>
            <w:r>
              <w:rPr>
                <w:sz w:val="24"/>
              </w:rPr>
              <w:t>business</w:t>
            </w:r>
            <w:r>
              <w:rPr>
                <w:spacing w:val="-10"/>
                <w:sz w:val="24"/>
              </w:rPr>
              <w:t> </w:t>
            </w:r>
            <w:r>
              <w:rPr>
                <w:sz w:val="24"/>
              </w:rPr>
              <w:t>case</w:t>
            </w:r>
            <w:r>
              <w:rPr>
                <w:spacing w:val="-9"/>
                <w:sz w:val="24"/>
              </w:rPr>
              <w:t> </w:t>
            </w:r>
            <w:r>
              <w:rPr>
                <w:sz w:val="24"/>
              </w:rPr>
              <w:t>route</w:t>
            </w:r>
            <w:r>
              <w:rPr>
                <w:spacing w:val="-9"/>
                <w:sz w:val="24"/>
              </w:rPr>
              <w:t> </w:t>
            </w:r>
            <w:r>
              <w:rPr>
                <w:sz w:val="24"/>
              </w:rPr>
              <w:t>and</w:t>
            </w:r>
            <w:r>
              <w:rPr>
                <w:spacing w:val="-9"/>
                <w:sz w:val="24"/>
              </w:rPr>
              <w:t> </w:t>
            </w:r>
            <w:r>
              <w:rPr>
                <w:sz w:val="24"/>
              </w:rPr>
              <w:t>seek</w:t>
            </w:r>
            <w:r>
              <w:rPr>
                <w:spacing w:val="-10"/>
                <w:sz w:val="24"/>
              </w:rPr>
              <w:t> </w:t>
            </w:r>
            <w:r>
              <w:rPr>
                <w:sz w:val="24"/>
              </w:rPr>
              <w:t>design</w:t>
            </w:r>
            <w:r>
              <w:rPr>
                <w:spacing w:val="-9"/>
                <w:sz w:val="24"/>
              </w:rPr>
              <w:t> </w:t>
            </w:r>
            <w:r>
              <w:rPr>
                <w:sz w:val="24"/>
              </w:rPr>
              <w:t>development</w:t>
            </w:r>
            <w:r>
              <w:rPr>
                <w:spacing w:val="-12"/>
                <w:sz w:val="24"/>
              </w:rPr>
              <w:t> </w:t>
            </w:r>
            <w:r>
              <w:rPr>
                <w:sz w:val="24"/>
              </w:rPr>
              <w:t>funding.</w:t>
            </w:r>
          </w:p>
          <w:p>
            <w:pPr>
              <w:pStyle w:val="TableParagraph"/>
              <w:numPr>
                <w:ilvl w:val="0"/>
                <w:numId w:val="22"/>
              </w:numPr>
              <w:tabs>
                <w:tab w:pos="830" w:val="left" w:leader="none"/>
              </w:tabs>
              <w:spacing w:line="240" w:lineRule="auto" w:before="0" w:after="0"/>
              <w:ind w:left="830" w:right="214" w:hanging="361"/>
              <w:jc w:val="left"/>
              <w:rPr>
                <w:sz w:val="24"/>
              </w:rPr>
            </w:pPr>
            <w:r>
              <w:rPr>
                <w:spacing w:val="-2"/>
                <w:sz w:val="24"/>
              </w:rPr>
              <w:t>Development</w:t>
            </w:r>
            <w:r>
              <w:rPr>
                <w:spacing w:val="-15"/>
                <w:sz w:val="24"/>
              </w:rPr>
              <w:t> </w:t>
            </w:r>
            <w:r>
              <w:rPr>
                <w:spacing w:val="-2"/>
                <w:sz w:val="24"/>
              </w:rPr>
              <w:t>of</w:t>
            </w:r>
            <w:r>
              <w:rPr>
                <w:spacing w:val="-15"/>
                <w:sz w:val="24"/>
              </w:rPr>
              <w:t> </w:t>
            </w:r>
            <w:r>
              <w:rPr>
                <w:spacing w:val="-2"/>
                <w:sz w:val="24"/>
              </w:rPr>
              <w:t>the</w:t>
            </w:r>
            <w:r>
              <w:rPr>
                <w:spacing w:val="-14"/>
                <w:sz w:val="24"/>
              </w:rPr>
              <w:t> </w:t>
            </w:r>
            <w:r>
              <w:rPr>
                <w:spacing w:val="-2"/>
                <w:sz w:val="24"/>
              </w:rPr>
              <w:t>subsequent</w:t>
            </w:r>
            <w:r>
              <w:rPr>
                <w:spacing w:val="-15"/>
                <w:sz w:val="24"/>
              </w:rPr>
              <w:t> </w:t>
            </w:r>
            <w:r>
              <w:rPr>
                <w:spacing w:val="-2"/>
                <w:sz w:val="24"/>
              </w:rPr>
              <w:t>business</w:t>
            </w:r>
            <w:r>
              <w:rPr>
                <w:spacing w:val="-14"/>
                <w:sz w:val="24"/>
              </w:rPr>
              <w:t> </w:t>
            </w:r>
            <w:r>
              <w:rPr>
                <w:spacing w:val="-2"/>
                <w:sz w:val="24"/>
              </w:rPr>
              <w:t>case(s),</w:t>
            </w:r>
            <w:r>
              <w:rPr>
                <w:spacing w:val="-15"/>
                <w:sz w:val="24"/>
              </w:rPr>
              <w:t> </w:t>
            </w:r>
            <w:r>
              <w:rPr>
                <w:spacing w:val="-2"/>
                <w:sz w:val="24"/>
              </w:rPr>
              <w:t>which</w:t>
            </w:r>
            <w:r>
              <w:rPr>
                <w:spacing w:val="-15"/>
                <w:sz w:val="24"/>
              </w:rPr>
              <w:t> </w:t>
            </w:r>
            <w:r>
              <w:rPr>
                <w:spacing w:val="-2"/>
                <w:sz w:val="24"/>
              </w:rPr>
              <w:t>will</w:t>
            </w:r>
            <w:r>
              <w:rPr>
                <w:spacing w:val="-13"/>
                <w:sz w:val="24"/>
              </w:rPr>
              <w:t> </w:t>
            </w:r>
            <w:r>
              <w:rPr>
                <w:spacing w:val="-2"/>
                <w:sz w:val="24"/>
              </w:rPr>
              <w:t>return</w:t>
            </w:r>
            <w:r>
              <w:rPr>
                <w:spacing w:val="-9"/>
                <w:sz w:val="24"/>
              </w:rPr>
              <w:t> </w:t>
            </w:r>
            <w:r>
              <w:rPr>
                <w:spacing w:val="-2"/>
                <w:sz w:val="24"/>
              </w:rPr>
              <w:t>through</w:t>
            </w:r>
            <w:r>
              <w:rPr>
                <w:spacing w:val="-13"/>
                <w:sz w:val="24"/>
              </w:rPr>
              <w:t> </w:t>
            </w:r>
            <w:r>
              <w:rPr>
                <w:spacing w:val="-2"/>
                <w:sz w:val="24"/>
              </w:rPr>
              <w:t>both</w:t>
            </w:r>
            <w:r>
              <w:rPr>
                <w:spacing w:val="-13"/>
                <w:sz w:val="24"/>
              </w:rPr>
              <w:t> </w:t>
            </w:r>
            <w:r>
              <w:rPr>
                <w:spacing w:val="-2"/>
                <w:sz w:val="24"/>
              </w:rPr>
              <w:t>Health </w:t>
            </w:r>
            <w:r>
              <w:rPr>
                <w:sz w:val="24"/>
              </w:rPr>
              <w:t>Boards</w:t>
            </w:r>
            <w:r>
              <w:rPr>
                <w:spacing w:val="-17"/>
                <w:sz w:val="24"/>
              </w:rPr>
              <w:t> </w:t>
            </w:r>
            <w:r>
              <w:rPr>
                <w:sz w:val="24"/>
              </w:rPr>
              <w:t>for</w:t>
            </w:r>
            <w:r>
              <w:rPr>
                <w:spacing w:val="-17"/>
                <w:sz w:val="24"/>
              </w:rPr>
              <w:t> </w:t>
            </w:r>
            <w:r>
              <w:rPr>
                <w:sz w:val="24"/>
              </w:rPr>
              <w:t>decisions</w:t>
            </w:r>
            <w:r>
              <w:rPr>
                <w:spacing w:val="-16"/>
                <w:sz w:val="24"/>
              </w:rPr>
              <w:t> </w:t>
            </w:r>
            <w:r>
              <w:rPr>
                <w:sz w:val="24"/>
              </w:rPr>
              <w:t>relating</w:t>
            </w:r>
            <w:r>
              <w:rPr>
                <w:spacing w:val="-17"/>
                <w:sz w:val="24"/>
              </w:rPr>
              <w:t> </w:t>
            </w:r>
            <w:r>
              <w:rPr>
                <w:sz w:val="24"/>
              </w:rPr>
              <w:t>to</w:t>
            </w:r>
            <w:r>
              <w:rPr>
                <w:spacing w:val="-17"/>
                <w:sz w:val="24"/>
              </w:rPr>
              <w:t> </w:t>
            </w:r>
            <w:r>
              <w:rPr>
                <w:sz w:val="24"/>
              </w:rPr>
              <w:t>capital</w:t>
            </w:r>
            <w:r>
              <w:rPr>
                <w:spacing w:val="-16"/>
                <w:sz w:val="24"/>
              </w:rPr>
              <w:t> </w:t>
            </w:r>
            <w:r>
              <w:rPr>
                <w:sz w:val="24"/>
              </w:rPr>
              <w:t>investment,</w:t>
            </w:r>
            <w:r>
              <w:rPr>
                <w:spacing w:val="-17"/>
                <w:sz w:val="24"/>
              </w:rPr>
              <w:t> </w:t>
            </w:r>
            <w:r>
              <w:rPr>
                <w:sz w:val="24"/>
              </w:rPr>
              <w:t>equipment</w:t>
            </w:r>
            <w:r>
              <w:rPr>
                <w:spacing w:val="-17"/>
                <w:sz w:val="24"/>
              </w:rPr>
              <w:t> </w:t>
            </w:r>
            <w:r>
              <w:rPr>
                <w:sz w:val="24"/>
              </w:rPr>
              <w:t>procurement,</w:t>
            </w:r>
            <w:r>
              <w:rPr>
                <w:spacing w:val="-16"/>
                <w:sz w:val="24"/>
              </w:rPr>
              <w:t> </w:t>
            </w:r>
            <w:r>
              <w:rPr>
                <w:sz w:val="24"/>
              </w:rPr>
              <w:t>workforce growth, recurrent revenue and affordability</w:t>
            </w:r>
          </w:p>
        </w:tc>
      </w:tr>
      <w:tr>
        <w:trPr>
          <w:trHeight w:val="8612" w:hRule="atLeast"/>
        </w:trPr>
        <w:tc>
          <w:tcPr>
            <w:tcW w:w="10069" w:type="dxa"/>
          </w:tcPr>
          <w:p>
            <w:pPr>
              <w:pStyle w:val="TableParagraph"/>
              <w:ind w:left="110"/>
              <w:jc w:val="both"/>
              <w:rPr>
                <w:b/>
                <w:sz w:val="24"/>
              </w:rPr>
            </w:pPr>
            <w:r>
              <w:rPr>
                <w:b/>
                <w:color w:val="1F4E79"/>
                <w:spacing w:val="-4"/>
                <w:sz w:val="24"/>
                <w:u w:val="single" w:color="1F4E79"/>
              </w:rPr>
              <w:t>Argymhelliad</w:t>
            </w:r>
            <w:r>
              <w:rPr>
                <w:b/>
                <w:color w:val="1F4E79"/>
                <w:spacing w:val="-3"/>
                <w:sz w:val="24"/>
                <w:u w:val="single" w:color="1F4E79"/>
              </w:rPr>
              <w:t> </w:t>
            </w:r>
            <w:r>
              <w:rPr>
                <w:b/>
                <w:color w:val="1F4E79"/>
                <w:spacing w:val="-4"/>
                <w:sz w:val="24"/>
                <w:u w:val="single" w:color="1F4E79"/>
              </w:rPr>
              <w:t>/</w:t>
            </w:r>
            <w:r>
              <w:rPr>
                <w:b/>
                <w:color w:val="1F4E79"/>
                <w:spacing w:val="-2"/>
                <w:sz w:val="24"/>
                <w:u w:val="single" w:color="1F4E79"/>
              </w:rPr>
              <w:t> </w:t>
            </w:r>
            <w:r>
              <w:rPr>
                <w:b/>
                <w:color w:val="1F4E79"/>
                <w:spacing w:val="-4"/>
                <w:sz w:val="24"/>
                <w:u w:val="single" w:color="1F4E79"/>
              </w:rPr>
              <w:t>Recommendation</w:t>
            </w:r>
          </w:p>
          <w:p>
            <w:pPr>
              <w:pStyle w:val="TableParagraph"/>
              <w:spacing w:before="84"/>
              <w:ind w:left="110"/>
              <w:jc w:val="both"/>
              <w:rPr>
                <w:sz w:val="24"/>
              </w:rPr>
            </w:pPr>
            <w:r>
              <w:rPr>
                <w:spacing w:val="-2"/>
                <w:sz w:val="24"/>
              </w:rPr>
              <w:t>The</w:t>
            </w:r>
            <w:r>
              <w:rPr>
                <w:spacing w:val="-12"/>
                <w:sz w:val="24"/>
              </w:rPr>
              <w:t> </w:t>
            </w:r>
            <w:r>
              <w:rPr>
                <w:spacing w:val="-2"/>
                <w:sz w:val="24"/>
              </w:rPr>
              <w:t>Regional</w:t>
            </w:r>
            <w:r>
              <w:rPr>
                <w:spacing w:val="-12"/>
                <w:sz w:val="24"/>
              </w:rPr>
              <w:t> </w:t>
            </w:r>
            <w:r>
              <w:rPr>
                <w:spacing w:val="-2"/>
                <w:sz w:val="24"/>
              </w:rPr>
              <w:t>Joint</w:t>
            </w:r>
            <w:r>
              <w:rPr>
                <w:spacing w:val="-14"/>
                <w:sz w:val="24"/>
              </w:rPr>
              <w:t> </w:t>
            </w:r>
            <w:r>
              <w:rPr>
                <w:spacing w:val="-2"/>
                <w:sz w:val="24"/>
              </w:rPr>
              <w:t>Committee</w:t>
            </w:r>
            <w:r>
              <w:rPr>
                <w:spacing w:val="-11"/>
                <w:sz w:val="24"/>
              </w:rPr>
              <w:t> </w:t>
            </w:r>
            <w:r>
              <w:rPr>
                <w:spacing w:val="-2"/>
                <w:sz w:val="24"/>
              </w:rPr>
              <w:t>is</w:t>
            </w:r>
            <w:r>
              <w:rPr>
                <w:spacing w:val="-13"/>
                <w:sz w:val="24"/>
              </w:rPr>
              <w:t> </w:t>
            </w:r>
            <w:r>
              <w:rPr>
                <w:spacing w:val="-2"/>
                <w:sz w:val="24"/>
              </w:rPr>
              <w:t>asked</w:t>
            </w:r>
            <w:r>
              <w:rPr>
                <w:spacing w:val="-11"/>
                <w:sz w:val="24"/>
              </w:rPr>
              <w:t> </w:t>
            </w:r>
            <w:r>
              <w:rPr>
                <w:spacing w:val="-5"/>
                <w:sz w:val="24"/>
              </w:rPr>
              <w:t>to:</w:t>
            </w:r>
          </w:p>
          <w:p>
            <w:pPr>
              <w:pStyle w:val="TableParagraph"/>
              <w:numPr>
                <w:ilvl w:val="0"/>
                <w:numId w:val="23"/>
              </w:numPr>
              <w:tabs>
                <w:tab w:pos="828" w:val="left" w:leader="none"/>
                <w:tab w:pos="830" w:val="left" w:leader="none"/>
              </w:tabs>
              <w:spacing w:line="273" w:lineRule="auto" w:before="79" w:after="0"/>
              <w:ind w:left="830" w:right="476" w:hanging="361"/>
              <w:jc w:val="both"/>
              <w:rPr>
                <w:sz w:val="24"/>
              </w:rPr>
            </w:pPr>
            <w:r>
              <w:rPr>
                <w:b/>
                <w:sz w:val="24"/>
              </w:rPr>
              <w:t>ENDORSE</w:t>
            </w:r>
            <w:r>
              <w:rPr>
                <w:b/>
                <w:spacing w:val="-3"/>
                <w:sz w:val="24"/>
              </w:rPr>
              <w:t> </w:t>
            </w:r>
            <w:r>
              <w:rPr>
                <w:sz w:val="24"/>
              </w:rPr>
              <w:t>the</w:t>
            </w:r>
            <w:r>
              <w:rPr>
                <w:spacing w:val="-3"/>
                <w:sz w:val="24"/>
              </w:rPr>
              <w:t> </w:t>
            </w:r>
            <w:r>
              <w:rPr>
                <w:sz w:val="24"/>
              </w:rPr>
              <w:t>proposed</w:t>
            </w:r>
            <w:r>
              <w:rPr>
                <w:spacing w:val="-3"/>
                <w:sz w:val="24"/>
              </w:rPr>
              <w:t> </w:t>
            </w:r>
            <w:r>
              <w:rPr>
                <w:sz w:val="24"/>
              </w:rPr>
              <w:t>change</w:t>
            </w:r>
            <w:r>
              <w:rPr>
                <w:spacing w:val="-3"/>
                <w:sz w:val="24"/>
              </w:rPr>
              <w:t> </w:t>
            </w:r>
            <w:r>
              <w:rPr>
                <w:sz w:val="24"/>
              </w:rPr>
              <w:t>in</w:t>
            </w:r>
            <w:r>
              <w:rPr>
                <w:spacing w:val="-3"/>
                <w:sz w:val="24"/>
              </w:rPr>
              <w:t> </w:t>
            </w:r>
            <w:r>
              <w:rPr>
                <w:sz w:val="24"/>
              </w:rPr>
              <w:t>BJC2</w:t>
            </w:r>
            <w:r>
              <w:rPr>
                <w:spacing w:val="-3"/>
                <w:sz w:val="24"/>
              </w:rPr>
              <w:t> </w:t>
            </w:r>
            <w:r>
              <w:rPr>
                <w:sz w:val="24"/>
              </w:rPr>
              <w:t>scope</w:t>
            </w:r>
            <w:r>
              <w:rPr>
                <w:spacing w:val="-3"/>
                <w:sz w:val="24"/>
              </w:rPr>
              <w:t> </w:t>
            </w:r>
            <w:r>
              <w:rPr>
                <w:sz w:val="24"/>
              </w:rPr>
              <w:t>from</w:t>
            </w:r>
            <w:r>
              <w:rPr>
                <w:spacing w:val="-4"/>
                <w:sz w:val="24"/>
              </w:rPr>
              <w:t> </w:t>
            </w:r>
            <w:r>
              <w:rPr>
                <w:sz w:val="24"/>
              </w:rPr>
              <w:t>a</w:t>
            </w:r>
            <w:r>
              <w:rPr>
                <w:spacing w:val="-3"/>
                <w:sz w:val="24"/>
              </w:rPr>
              <w:t> </w:t>
            </w:r>
            <w:r>
              <w:rPr>
                <w:sz w:val="24"/>
              </w:rPr>
              <w:t>single</w:t>
            </w:r>
            <w:r>
              <w:rPr>
                <w:spacing w:val="-3"/>
                <w:sz w:val="24"/>
              </w:rPr>
              <w:t> </w:t>
            </w:r>
            <w:r>
              <w:rPr>
                <w:sz w:val="24"/>
              </w:rPr>
              <w:t>decant</w:t>
            </w:r>
            <w:r>
              <w:rPr>
                <w:spacing w:val="-6"/>
                <w:sz w:val="24"/>
              </w:rPr>
              <w:t> </w:t>
            </w:r>
            <w:r>
              <w:rPr>
                <w:sz w:val="24"/>
              </w:rPr>
              <w:t>bunker</w:t>
            </w:r>
            <w:r>
              <w:rPr>
                <w:spacing w:val="-4"/>
                <w:sz w:val="24"/>
              </w:rPr>
              <w:t> </w:t>
            </w:r>
            <w:r>
              <w:rPr>
                <w:sz w:val="24"/>
              </w:rPr>
              <w:t>to</w:t>
            </w:r>
            <w:r>
              <w:rPr>
                <w:spacing w:val="-3"/>
                <w:sz w:val="24"/>
              </w:rPr>
              <w:t> </w:t>
            </w:r>
            <w:r>
              <w:rPr>
                <w:sz w:val="24"/>
              </w:rPr>
              <w:t>an integrated twin-bunker and support accommodation development at Singleton.</w:t>
            </w:r>
          </w:p>
          <w:p>
            <w:pPr>
              <w:pStyle w:val="TableParagraph"/>
              <w:numPr>
                <w:ilvl w:val="0"/>
                <w:numId w:val="23"/>
              </w:numPr>
              <w:tabs>
                <w:tab w:pos="828" w:val="left" w:leader="none"/>
                <w:tab w:pos="830" w:val="left" w:leader="none"/>
              </w:tabs>
              <w:spacing w:line="276" w:lineRule="auto" w:before="6" w:after="0"/>
              <w:ind w:left="830" w:right="1024" w:hanging="361"/>
              <w:jc w:val="both"/>
              <w:rPr>
                <w:sz w:val="24"/>
              </w:rPr>
            </w:pPr>
            <w:r>
              <w:rPr>
                <w:b/>
                <w:sz w:val="24"/>
              </w:rPr>
              <w:t>ENDORSE </w:t>
            </w:r>
            <w:r>
              <w:rPr>
                <w:sz w:val="24"/>
              </w:rPr>
              <w:t>the proposed sequencing, with replacement resilience and timely replacement</w:t>
            </w:r>
            <w:r>
              <w:rPr>
                <w:spacing w:val="-6"/>
                <w:sz w:val="24"/>
              </w:rPr>
              <w:t> </w:t>
            </w:r>
            <w:r>
              <w:rPr>
                <w:sz w:val="24"/>
              </w:rPr>
              <w:t>of</w:t>
            </w:r>
            <w:r>
              <w:rPr>
                <w:spacing w:val="-6"/>
                <w:sz w:val="24"/>
              </w:rPr>
              <w:t> </w:t>
            </w:r>
            <w:r>
              <w:rPr>
                <w:sz w:val="24"/>
              </w:rPr>
              <w:t>LINACs</w:t>
            </w:r>
            <w:r>
              <w:rPr>
                <w:spacing w:val="-4"/>
                <w:sz w:val="24"/>
              </w:rPr>
              <w:t> </w:t>
            </w:r>
            <w:r>
              <w:rPr>
                <w:sz w:val="24"/>
              </w:rPr>
              <w:t>1</w:t>
            </w:r>
            <w:r>
              <w:rPr>
                <w:spacing w:val="-3"/>
                <w:sz w:val="24"/>
              </w:rPr>
              <w:t> </w:t>
            </w:r>
            <w:r>
              <w:rPr>
                <w:sz w:val="24"/>
              </w:rPr>
              <w:t>and</w:t>
            </w:r>
            <w:r>
              <w:rPr>
                <w:spacing w:val="-3"/>
                <w:sz w:val="24"/>
              </w:rPr>
              <w:t> </w:t>
            </w:r>
            <w:r>
              <w:rPr>
                <w:sz w:val="24"/>
              </w:rPr>
              <w:t>2</w:t>
            </w:r>
            <w:r>
              <w:rPr>
                <w:spacing w:val="-4"/>
                <w:sz w:val="24"/>
              </w:rPr>
              <w:t> </w:t>
            </w:r>
            <w:r>
              <w:rPr>
                <w:sz w:val="24"/>
              </w:rPr>
              <w:t>prioritised</w:t>
            </w:r>
            <w:r>
              <w:rPr>
                <w:spacing w:val="-3"/>
                <w:sz w:val="24"/>
              </w:rPr>
              <w:t> </w:t>
            </w:r>
            <w:r>
              <w:rPr>
                <w:sz w:val="24"/>
              </w:rPr>
              <w:t>ahead</w:t>
            </w:r>
            <w:r>
              <w:rPr>
                <w:spacing w:val="-3"/>
                <w:sz w:val="24"/>
              </w:rPr>
              <w:t> </w:t>
            </w:r>
            <w:r>
              <w:rPr>
                <w:sz w:val="24"/>
              </w:rPr>
              <w:t>of</w:t>
            </w:r>
            <w:r>
              <w:rPr>
                <w:spacing w:val="-6"/>
                <w:sz w:val="24"/>
              </w:rPr>
              <w:t> </w:t>
            </w:r>
            <w:r>
              <w:rPr>
                <w:sz w:val="24"/>
              </w:rPr>
              <w:t>commissioning</w:t>
            </w:r>
            <w:r>
              <w:rPr>
                <w:spacing w:val="-3"/>
                <w:sz w:val="24"/>
              </w:rPr>
              <w:t> </w:t>
            </w:r>
            <w:r>
              <w:rPr>
                <w:sz w:val="24"/>
              </w:rPr>
              <w:t>additional operational capacity.</w:t>
            </w:r>
          </w:p>
          <w:p>
            <w:pPr>
              <w:pStyle w:val="TableParagraph"/>
              <w:numPr>
                <w:ilvl w:val="0"/>
                <w:numId w:val="24"/>
              </w:numPr>
              <w:tabs>
                <w:tab w:pos="830" w:val="left" w:leader="none"/>
              </w:tabs>
              <w:spacing w:line="240" w:lineRule="auto" w:before="2" w:after="0"/>
              <w:ind w:left="830" w:right="0" w:hanging="720"/>
              <w:jc w:val="left"/>
              <w:rPr>
                <w:sz w:val="24"/>
              </w:rPr>
            </w:pPr>
            <w:r>
              <w:rPr>
                <w:b/>
                <w:sz w:val="24"/>
              </w:rPr>
              <w:t>SUPPORT</w:t>
            </w:r>
            <w:r>
              <w:rPr>
                <w:b/>
                <w:spacing w:val="-4"/>
                <w:sz w:val="24"/>
              </w:rPr>
              <w:t> </w:t>
            </w:r>
            <w:r>
              <w:rPr>
                <w:sz w:val="24"/>
              </w:rPr>
              <w:t>the</w:t>
            </w:r>
            <w:r>
              <w:rPr>
                <w:spacing w:val="-4"/>
                <w:sz w:val="24"/>
              </w:rPr>
              <w:t> </w:t>
            </w:r>
            <w:r>
              <w:rPr>
                <w:sz w:val="24"/>
              </w:rPr>
              <w:t>proposal</w:t>
            </w:r>
            <w:r>
              <w:rPr>
                <w:spacing w:val="-5"/>
                <w:sz w:val="24"/>
              </w:rPr>
              <w:t> </w:t>
            </w:r>
            <w:r>
              <w:rPr>
                <w:sz w:val="24"/>
              </w:rPr>
              <w:t>proceeding</w:t>
            </w:r>
            <w:r>
              <w:rPr>
                <w:spacing w:val="-4"/>
                <w:sz w:val="24"/>
              </w:rPr>
              <w:t> </w:t>
            </w:r>
            <w:r>
              <w:rPr>
                <w:sz w:val="24"/>
              </w:rPr>
              <w:t>through</w:t>
            </w:r>
            <w:r>
              <w:rPr>
                <w:spacing w:val="-4"/>
                <w:sz w:val="24"/>
              </w:rPr>
              <w:t> </w:t>
            </w:r>
            <w:r>
              <w:rPr>
                <w:sz w:val="24"/>
              </w:rPr>
              <w:t>each</w:t>
            </w:r>
            <w:r>
              <w:rPr>
                <w:spacing w:val="-5"/>
                <w:sz w:val="24"/>
              </w:rPr>
              <w:t> </w:t>
            </w:r>
            <w:r>
              <w:rPr>
                <w:sz w:val="24"/>
              </w:rPr>
              <w:t>Health</w:t>
            </w:r>
            <w:r>
              <w:rPr>
                <w:spacing w:val="-4"/>
                <w:sz w:val="24"/>
              </w:rPr>
              <w:t> </w:t>
            </w:r>
            <w:r>
              <w:rPr>
                <w:sz w:val="24"/>
              </w:rPr>
              <w:t>Board’s</w:t>
            </w:r>
            <w:r>
              <w:rPr>
                <w:spacing w:val="-5"/>
                <w:sz w:val="24"/>
              </w:rPr>
              <w:t> </w:t>
            </w:r>
            <w:r>
              <w:rPr>
                <w:sz w:val="24"/>
              </w:rPr>
              <w:t>governance</w:t>
            </w:r>
            <w:r>
              <w:rPr>
                <w:spacing w:val="-4"/>
                <w:sz w:val="24"/>
              </w:rPr>
              <w:t> </w:t>
            </w:r>
            <w:r>
              <w:rPr>
                <w:spacing w:val="-2"/>
                <w:sz w:val="24"/>
              </w:rPr>
              <w:t>route</w:t>
            </w:r>
          </w:p>
          <w:p>
            <w:pPr>
              <w:pStyle w:val="TableParagraph"/>
              <w:spacing w:before="37"/>
              <w:ind w:left="110"/>
              <w:rPr>
                <w:sz w:val="24"/>
              </w:rPr>
            </w:pPr>
            <w:r>
              <w:rPr>
                <w:sz w:val="24"/>
              </w:rPr>
              <w:t>for</w:t>
            </w:r>
            <w:r>
              <w:rPr>
                <w:spacing w:val="-5"/>
                <w:sz w:val="24"/>
              </w:rPr>
              <w:t> </w:t>
            </w:r>
            <w:r>
              <w:rPr>
                <w:sz w:val="24"/>
              </w:rPr>
              <w:t>formal</w:t>
            </w:r>
            <w:r>
              <w:rPr>
                <w:spacing w:val="-3"/>
                <w:sz w:val="24"/>
              </w:rPr>
              <w:t> </w:t>
            </w:r>
            <w:r>
              <w:rPr>
                <w:sz w:val="24"/>
              </w:rPr>
              <w:t>Board</w:t>
            </w:r>
            <w:r>
              <w:rPr>
                <w:spacing w:val="-2"/>
                <w:sz w:val="24"/>
              </w:rPr>
              <w:t> </w:t>
            </w:r>
            <w:r>
              <w:rPr>
                <w:sz w:val="24"/>
              </w:rPr>
              <w:t>consideration</w:t>
            </w:r>
            <w:r>
              <w:rPr>
                <w:spacing w:val="-2"/>
                <w:sz w:val="24"/>
              </w:rPr>
              <w:t> </w:t>
            </w:r>
            <w:r>
              <w:rPr>
                <w:sz w:val="24"/>
              </w:rPr>
              <w:t>at</w:t>
            </w:r>
            <w:r>
              <w:rPr>
                <w:spacing w:val="-4"/>
                <w:sz w:val="24"/>
              </w:rPr>
              <w:t> </w:t>
            </w:r>
            <w:r>
              <w:rPr>
                <w:sz w:val="24"/>
              </w:rPr>
              <w:t>the</w:t>
            </w:r>
            <w:r>
              <w:rPr>
                <w:spacing w:val="-3"/>
                <w:sz w:val="24"/>
              </w:rPr>
              <w:t> </w:t>
            </w:r>
            <w:r>
              <w:rPr>
                <w:sz w:val="24"/>
              </w:rPr>
              <w:t>end</w:t>
            </w:r>
            <w:r>
              <w:rPr>
                <w:spacing w:val="-2"/>
                <w:sz w:val="24"/>
              </w:rPr>
              <w:t> </w:t>
            </w:r>
            <w:r>
              <w:rPr>
                <w:sz w:val="24"/>
              </w:rPr>
              <w:t>of</w:t>
            </w:r>
            <w:r>
              <w:rPr>
                <w:spacing w:val="-4"/>
                <w:sz w:val="24"/>
              </w:rPr>
              <w:t> </w:t>
            </w:r>
            <w:r>
              <w:rPr>
                <w:sz w:val="24"/>
              </w:rPr>
              <w:t>November</w:t>
            </w:r>
            <w:r>
              <w:rPr>
                <w:spacing w:val="-3"/>
                <w:sz w:val="24"/>
              </w:rPr>
              <w:t> </w:t>
            </w:r>
            <w:r>
              <w:rPr>
                <w:spacing w:val="-2"/>
                <w:sz w:val="24"/>
              </w:rPr>
              <w:t>2026.</w:t>
            </w:r>
          </w:p>
          <w:p>
            <w:pPr>
              <w:pStyle w:val="TableParagraph"/>
              <w:numPr>
                <w:ilvl w:val="0"/>
                <w:numId w:val="24"/>
              </w:numPr>
              <w:tabs>
                <w:tab w:pos="830" w:val="left" w:leader="none"/>
              </w:tabs>
              <w:spacing w:line="271" w:lineRule="auto" w:before="43" w:after="0"/>
              <w:ind w:left="110" w:right="181" w:firstLine="0"/>
              <w:jc w:val="left"/>
              <w:rPr>
                <w:sz w:val="24"/>
              </w:rPr>
            </w:pPr>
            <w:r>
              <w:rPr>
                <w:b/>
                <w:sz w:val="24"/>
              </w:rPr>
              <w:t>SUPPORT</w:t>
            </w:r>
            <w:r>
              <w:rPr>
                <w:sz w:val="24"/>
              </w:rPr>
              <w:t>, subject to approval by both Health Boards, joint engagement led by SBUHB</w:t>
            </w:r>
            <w:r>
              <w:rPr>
                <w:spacing w:val="-3"/>
                <w:sz w:val="24"/>
              </w:rPr>
              <w:t> </w:t>
            </w:r>
            <w:r>
              <w:rPr>
                <w:sz w:val="24"/>
              </w:rPr>
              <w:t>with</w:t>
            </w:r>
            <w:r>
              <w:rPr>
                <w:spacing w:val="-3"/>
                <w:sz w:val="24"/>
              </w:rPr>
              <w:t> </w:t>
            </w:r>
            <w:r>
              <w:rPr>
                <w:sz w:val="24"/>
              </w:rPr>
              <w:t>Welsh</w:t>
            </w:r>
            <w:r>
              <w:rPr>
                <w:spacing w:val="-3"/>
                <w:sz w:val="24"/>
              </w:rPr>
              <w:t> </w:t>
            </w:r>
            <w:r>
              <w:rPr>
                <w:sz w:val="24"/>
              </w:rPr>
              <w:t>Government</w:t>
            </w:r>
            <w:r>
              <w:rPr>
                <w:spacing w:val="-6"/>
                <w:sz w:val="24"/>
              </w:rPr>
              <w:t> </w:t>
            </w:r>
            <w:r>
              <w:rPr>
                <w:sz w:val="24"/>
              </w:rPr>
              <w:t>to</w:t>
            </w:r>
            <w:r>
              <w:rPr>
                <w:spacing w:val="-3"/>
                <w:sz w:val="24"/>
              </w:rPr>
              <w:t> </w:t>
            </w:r>
            <w:r>
              <w:rPr>
                <w:sz w:val="24"/>
              </w:rPr>
              <w:t>confirm</w:t>
            </w:r>
            <w:r>
              <w:rPr>
                <w:spacing w:val="-4"/>
                <w:sz w:val="24"/>
              </w:rPr>
              <w:t> </w:t>
            </w:r>
            <w:r>
              <w:rPr>
                <w:sz w:val="24"/>
              </w:rPr>
              <w:t>the</w:t>
            </w:r>
            <w:r>
              <w:rPr>
                <w:spacing w:val="-3"/>
                <w:sz w:val="24"/>
              </w:rPr>
              <w:t> </w:t>
            </w:r>
            <w:r>
              <w:rPr>
                <w:sz w:val="24"/>
              </w:rPr>
              <w:t>business</w:t>
            </w:r>
            <w:r>
              <w:rPr>
                <w:spacing w:val="-4"/>
                <w:sz w:val="24"/>
              </w:rPr>
              <w:t> </w:t>
            </w:r>
            <w:r>
              <w:rPr>
                <w:sz w:val="24"/>
              </w:rPr>
              <w:t>case</w:t>
            </w:r>
            <w:r>
              <w:rPr>
                <w:spacing w:val="-3"/>
                <w:sz w:val="24"/>
              </w:rPr>
              <w:t> </w:t>
            </w:r>
            <w:r>
              <w:rPr>
                <w:sz w:val="24"/>
              </w:rPr>
              <w:t>route</w:t>
            </w:r>
            <w:r>
              <w:rPr>
                <w:spacing w:val="-3"/>
                <w:sz w:val="24"/>
              </w:rPr>
              <w:t> </w:t>
            </w:r>
            <w:r>
              <w:rPr>
                <w:sz w:val="24"/>
              </w:rPr>
              <w:t>and</w:t>
            </w:r>
            <w:r>
              <w:rPr>
                <w:spacing w:val="-3"/>
                <w:sz w:val="24"/>
              </w:rPr>
              <w:t> </w:t>
            </w:r>
            <w:r>
              <w:rPr>
                <w:sz w:val="24"/>
              </w:rPr>
              <w:t>seek</w:t>
            </w:r>
            <w:r>
              <w:rPr>
                <w:spacing w:val="-4"/>
                <w:sz w:val="24"/>
              </w:rPr>
              <w:t> </w:t>
            </w:r>
            <w:r>
              <w:rPr>
                <w:sz w:val="24"/>
              </w:rPr>
              <w:t>approximately</w:t>
            </w:r>
          </w:p>
          <w:p>
            <w:pPr>
              <w:pStyle w:val="TableParagraph"/>
              <w:spacing w:before="2"/>
              <w:ind w:left="110"/>
              <w:rPr>
                <w:sz w:val="24"/>
              </w:rPr>
            </w:pPr>
            <w:r>
              <w:rPr>
                <w:sz w:val="24"/>
              </w:rPr>
              <w:t>£1m</w:t>
            </w:r>
            <w:r>
              <w:rPr>
                <w:spacing w:val="-3"/>
                <w:sz w:val="24"/>
              </w:rPr>
              <w:t> </w:t>
            </w:r>
            <w:r>
              <w:rPr>
                <w:sz w:val="24"/>
              </w:rPr>
              <w:t>of</w:t>
            </w:r>
            <w:r>
              <w:rPr>
                <w:spacing w:val="-5"/>
                <w:sz w:val="24"/>
              </w:rPr>
              <w:t> </w:t>
            </w:r>
            <w:r>
              <w:rPr>
                <w:sz w:val="24"/>
              </w:rPr>
              <w:t>design</w:t>
            </w:r>
            <w:r>
              <w:rPr>
                <w:spacing w:val="-2"/>
                <w:sz w:val="24"/>
              </w:rPr>
              <w:t> </w:t>
            </w:r>
            <w:r>
              <w:rPr>
                <w:sz w:val="24"/>
              </w:rPr>
              <w:t>development</w:t>
            </w:r>
            <w:r>
              <w:rPr>
                <w:spacing w:val="-4"/>
                <w:sz w:val="24"/>
              </w:rPr>
              <w:t> </w:t>
            </w:r>
            <w:r>
              <w:rPr>
                <w:spacing w:val="-2"/>
                <w:sz w:val="24"/>
              </w:rPr>
              <w:t>funding.</w:t>
            </w:r>
          </w:p>
          <w:p>
            <w:pPr>
              <w:pStyle w:val="TableParagraph"/>
              <w:numPr>
                <w:ilvl w:val="0"/>
                <w:numId w:val="24"/>
              </w:numPr>
              <w:tabs>
                <w:tab w:pos="830" w:val="left" w:leader="none"/>
              </w:tabs>
              <w:spacing w:line="271" w:lineRule="auto" w:before="48" w:after="0"/>
              <w:ind w:left="110" w:right="269" w:firstLine="0"/>
              <w:jc w:val="both"/>
              <w:rPr>
                <w:sz w:val="24"/>
              </w:rPr>
            </w:pPr>
            <w:r>
              <w:rPr>
                <w:b/>
                <w:sz w:val="24"/>
              </w:rPr>
              <w:t>NOTE</w:t>
            </w:r>
            <w:r>
              <w:rPr>
                <w:b/>
                <w:spacing w:val="-4"/>
                <w:sz w:val="24"/>
              </w:rPr>
              <w:t> </w:t>
            </w:r>
            <w:r>
              <w:rPr>
                <w:sz w:val="24"/>
              </w:rPr>
              <w:t>that</w:t>
            </w:r>
            <w:r>
              <w:rPr>
                <w:spacing w:val="-6"/>
                <w:sz w:val="24"/>
              </w:rPr>
              <w:t> </w:t>
            </w:r>
            <w:r>
              <w:rPr>
                <w:sz w:val="24"/>
              </w:rPr>
              <w:t>the</w:t>
            </w:r>
            <w:r>
              <w:rPr>
                <w:spacing w:val="-3"/>
                <w:sz w:val="24"/>
              </w:rPr>
              <w:t> </w:t>
            </w:r>
            <w:r>
              <w:rPr>
                <w:sz w:val="24"/>
              </w:rPr>
              <w:t>detailed</w:t>
            </w:r>
            <w:r>
              <w:rPr>
                <w:spacing w:val="-3"/>
                <w:sz w:val="24"/>
              </w:rPr>
              <w:t> </w:t>
            </w:r>
            <w:r>
              <w:rPr>
                <w:sz w:val="24"/>
              </w:rPr>
              <w:t>procurement,</w:t>
            </w:r>
            <w:r>
              <w:rPr>
                <w:spacing w:val="-6"/>
                <w:sz w:val="24"/>
              </w:rPr>
              <w:t> </w:t>
            </w:r>
            <w:r>
              <w:rPr>
                <w:sz w:val="24"/>
              </w:rPr>
              <w:t>design</w:t>
            </w:r>
            <w:r>
              <w:rPr>
                <w:spacing w:val="-3"/>
                <w:sz w:val="24"/>
              </w:rPr>
              <w:t> </w:t>
            </w:r>
            <w:r>
              <w:rPr>
                <w:sz w:val="24"/>
              </w:rPr>
              <w:t>responsibility,</w:t>
            </w:r>
            <w:r>
              <w:rPr>
                <w:spacing w:val="-6"/>
                <w:sz w:val="24"/>
              </w:rPr>
              <w:t> </w:t>
            </w:r>
            <w:r>
              <w:rPr>
                <w:sz w:val="24"/>
              </w:rPr>
              <w:t>handover</w:t>
            </w:r>
            <w:r>
              <w:rPr>
                <w:spacing w:val="-4"/>
                <w:sz w:val="24"/>
              </w:rPr>
              <w:t> </w:t>
            </w:r>
            <w:r>
              <w:rPr>
                <w:sz w:val="24"/>
              </w:rPr>
              <w:t>and</w:t>
            </w:r>
            <w:r>
              <w:rPr>
                <w:spacing w:val="-3"/>
                <w:sz w:val="24"/>
              </w:rPr>
              <w:t> </w:t>
            </w:r>
            <w:r>
              <w:rPr>
                <w:sz w:val="24"/>
              </w:rPr>
              <w:t>intellectual property</w:t>
            </w:r>
            <w:r>
              <w:rPr>
                <w:spacing w:val="-5"/>
                <w:sz w:val="24"/>
              </w:rPr>
              <w:t> </w:t>
            </w:r>
            <w:r>
              <w:rPr>
                <w:sz w:val="24"/>
              </w:rPr>
              <w:t>position</w:t>
            </w:r>
            <w:r>
              <w:rPr>
                <w:spacing w:val="-4"/>
                <w:sz w:val="24"/>
              </w:rPr>
              <w:t> </w:t>
            </w:r>
            <w:r>
              <w:rPr>
                <w:sz w:val="24"/>
              </w:rPr>
              <w:t>will</w:t>
            </w:r>
            <w:r>
              <w:rPr>
                <w:spacing w:val="-4"/>
                <w:sz w:val="24"/>
              </w:rPr>
              <w:t> </w:t>
            </w:r>
            <w:r>
              <w:rPr>
                <w:sz w:val="24"/>
              </w:rPr>
              <w:t>be</w:t>
            </w:r>
            <w:r>
              <w:rPr>
                <w:spacing w:val="-4"/>
                <w:sz w:val="24"/>
              </w:rPr>
              <w:t> </w:t>
            </w:r>
            <w:r>
              <w:rPr>
                <w:sz w:val="24"/>
              </w:rPr>
              <w:t>confirmed</w:t>
            </w:r>
            <w:r>
              <w:rPr>
                <w:spacing w:val="-4"/>
                <w:sz w:val="24"/>
              </w:rPr>
              <w:t> </w:t>
            </w:r>
            <w:r>
              <w:rPr>
                <w:sz w:val="24"/>
              </w:rPr>
              <w:t>through SBUHB</w:t>
            </w:r>
            <w:r>
              <w:rPr>
                <w:spacing w:val="-5"/>
                <w:sz w:val="24"/>
              </w:rPr>
              <w:t> </w:t>
            </w:r>
            <w:r>
              <w:rPr>
                <w:sz w:val="24"/>
              </w:rPr>
              <w:t>Capital</w:t>
            </w:r>
            <w:r>
              <w:rPr>
                <w:spacing w:val="-4"/>
                <w:sz w:val="24"/>
              </w:rPr>
              <w:t> </w:t>
            </w:r>
            <w:r>
              <w:rPr>
                <w:sz w:val="24"/>
              </w:rPr>
              <w:t>Planning</w:t>
            </w:r>
            <w:r>
              <w:rPr>
                <w:spacing w:val="-4"/>
                <w:sz w:val="24"/>
              </w:rPr>
              <w:t> </w:t>
            </w:r>
            <w:r>
              <w:rPr>
                <w:sz w:val="24"/>
              </w:rPr>
              <w:t>and</w:t>
            </w:r>
            <w:r>
              <w:rPr>
                <w:spacing w:val="-4"/>
                <w:sz w:val="24"/>
              </w:rPr>
              <w:t> </w:t>
            </w:r>
            <w:r>
              <w:rPr>
                <w:sz w:val="24"/>
              </w:rPr>
              <w:t>procurement/legal advice before submission to Welsh Government.</w:t>
            </w:r>
          </w:p>
          <w:p>
            <w:pPr>
              <w:pStyle w:val="TableParagraph"/>
              <w:numPr>
                <w:ilvl w:val="1"/>
                <w:numId w:val="24"/>
              </w:numPr>
              <w:tabs>
                <w:tab w:pos="828" w:val="left" w:leader="none"/>
                <w:tab w:pos="830" w:val="left" w:leader="none"/>
              </w:tabs>
              <w:spacing w:line="276" w:lineRule="auto" w:before="11" w:after="0"/>
              <w:ind w:left="830" w:right="488" w:hanging="361"/>
              <w:jc w:val="left"/>
              <w:rPr>
                <w:sz w:val="24"/>
              </w:rPr>
            </w:pPr>
            <w:r>
              <w:rPr>
                <w:b/>
                <w:sz w:val="24"/>
              </w:rPr>
              <w:t>NOTE</w:t>
            </w:r>
            <w:r>
              <w:rPr>
                <w:b/>
                <w:spacing w:val="-3"/>
                <w:sz w:val="24"/>
              </w:rPr>
              <w:t> </w:t>
            </w:r>
            <w:r>
              <w:rPr>
                <w:sz w:val="24"/>
              </w:rPr>
              <w:t>that</w:t>
            </w:r>
            <w:r>
              <w:rPr>
                <w:spacing w:val="-5"/>
                <w:sz w:val="24"/>
              </w:rPr>
              <w:t> </w:t>
            </w:r>
            <w:r>
              <w:rPr>
                <w:sz w:val="24"/>
              </w:rPr>
              <w:t>this</w:t>
            </w:r>
            <w:r>
              <w:rPr>
                <w:spacing w:val="-3"/>
                <w:sz w:val="24"/>
              </w:rPr>
              <w:t> </w:t>
            </w:r>
            <w:r>
              <w:rPr>
                <w:sz w:val="24"/>
              </w:rPr>
              <w:t>decision</w:t>
            </w:r>
            <w:r>
              <w:rPr>
                <w:spacing w:val="-2"/>
                <w:sz w:val="24"/>
              </w:rPr>
              <w:t> </w:t>
            </w:r>
            <w:r>
              <w:rPr>
                <w:sz w:val="24"/>
              </w:rPr>
              <w:t>does</w:t>
            </w:r>
            <w:r>
              <w:rPr>
                <w:spacing w:val="-3"/>
                <w:sz w:val="24"/>
              </w:rPr>
              <w:t> </w:t>
            </w:r>
            <w:r>
              <w:rPr>
                <w:sz w:val="24"/>
              </w:rPr>
              <w:t>not</w:t>
            </w:r>
            <w:r>
              <w:rPr>
                <w:spacing w:val="-5"/>
                <w:sz w:val="24"/>
              </w:rPr>
              <w:t> </w:t>
            </w:r>
            <w:r>
              <w:rPr>
                <w:sz w:val="24"/>
              </w:rPr>
              <w:t>approve</w:t>
            </w:r>
            <w:r>
              <w:rPr>
                <w:spacing w:val="-2"/>
                <w:sz w:val="24"/>
              </w:rPr>
              <w:t> </w:t>
            </w:r>
            <w:r>
              <w:rPr>
                <w:sz w:val="24"/>
              </w:rPr>
              <w:t>construction,</w:t>
            </w:r>
            <w:r>
              <w:rPr>
                <w:spacing w:val="-5"/>
                <w:sz w:val="24"/>
              </w:rPr>
              <w:t> </w:t>
            </w:r>
            <w:r>
              <w:rPr>
                <w:sz w:val="24"/>
              </w:rPr>
              <w:t>purchase</w:t>
            </w:r>
            <w:r>
              <w:rPr>
                <w:spacing w:val="-2"/>
                <w:sz w:val="24"/>
              </w:rPr>
              <w:t> </w:t>
            </w:r>
            <w:r>
              <w:rPr>
                <w:sz w:val="24"/>
              </w:rPr>
              <w:t>or</w:t>
            </w:r>
            <w:r>
              <w:rPr>
                <w:spacing w:val="-3"/>
                <w:sz w:val="24"/>
              </w:rPr>
              <w:t> </w:t>
            </w:r>
            <w:r>
              <w:rPr>
                <w:sz w:val="24"/>
              </w:rPr>
              <w:t>operation</w:t>
            </w:r>
            <w:r>
              <w:rPr>
                <w:spacing w:val="-2"/>
                <w:sz w:val="24"/>
              </w:rPr>
              <w:t> </w:t>
            </w:r>
            <w:r>
              <w:rPr>
                <w:sz w:val="24"/>
              </w:rPr>
              <w:t>of</w:t>
            </w:r>
            <w:r>
              <w:rPr>
                <w:spacing w:val="-5"/>
                <w:sz w:val="24"/>
              </w:rPr>
              <w:t> </w:t>
            </w:r>
            <w:r>
              <w:rPr>
                <w:sz w:val="24"/>
              </w:rPr>
              <w:t>a 6th or 7th LINAC, workforce growth, recurrent revenue, cost sharing or the final regional service configuration.</w:t>
            </w:r>
          </w:p>
          <w:p>
            <w:pPr>
              <w:pStyle w:val="TableParagraph"/>
              <w:numPr>
                <w:ilvl w:val="1"/>
                <w:numId w:val="24"/>
              </w:numPr>
              <w:tabs>
                <w:tab w:pos="828" w:val="left" w:leader="none"/>
                <w:tab w:pos="830" w:val="left" w:leader="none"/>
              </w:tabs>
              <w:spacing w:line="276" w:lineRule="auto" w:before="0" w:after="0"/>
              <w:ind w:left="830" w:right="105" w:hanging="361"/>
              <w:jc w:val="left"/>
              <w:rPr>
                <w:sz w:val="24"/>
              </w:rPr>
            </w:pPr>
            <w:r>
              <w:rPr>
                <w:b/>
                <w:sz w:val="24"/>
              </w:rPr>
              <w:t>NOTE</w:t>
            </w:r>
            <w:r>
              <w:rPr>
                <w:b/>
                <w:spacing w:val="-2"/>
                <w:sz w:val="24"/>
              </w:rPr>
              <w:t> </w:t>
            </w:r>
            <w:r>
              <w:rPr>
                <w:sz w:val="24"/>
              </w:rPr>
              <w:t>that</w:t>
            </w:r>
            <w:r>
              <w:rPr>
                <w:spacing w:val="-4"/>
                <w:sz w:val="24"/>
              </w:rPr>
              <w:t> </w:t>
            </w:r>
            <w:r>
              <w:rPr>
                <w:sz w:val="24"/>
              </w:rPr>
              <w:t>future</w:t>
            </w:r>
            <w:r>
              <w:rPr>
                <w:spacing w:val="-1"/>
                <w:sz w:val="24"/>
              </w:rPr>
              <w:t> </w:t>
            </w:r>
            <w:r>
              <w:rPr>
                <w:sz w:val="24"/>
              </w:rPr>
              <w:t>business</w:t>
            </w:r>
            <w:r>
              <w:rPr>
                <w:spacing w:val="-2"/>
                <w:sz w:val="24"/>
              </w:rPr>
              <w:t> </w:t>
            </w:r>
            <w:r>
              <w:rPr>
                <w:sz w:val="24"/>
              </w:rPr>
              <w:t>case(s)</w:t>
            </w:r>
            <w:r>
              <w:rPr>
                <w:spacing w:val="-2"/>
                <w:sz w:val="24"/>
              </w:rPr>
              <w:t> </w:t>
            </w:r>
            <w:r>
              <w:rPr>
                <w:sz w:val="24"/>
              </w:rPr>
              <w:t>are</w:t>
            </w:r>
            <w:r>
              <w:rPr>
                <w:spacing w:val="-1"/>
                <w:sz w:val="24"/>
              </w:rPr>
              <w:t> </w:t>
            </w:r>
            <w:r>
              <w:rPr>
                <w:sz w:val="24"/>
              </w:rPr>
              <w:t>expected</w:t>
            </w:r>
            <w:r>
              <w:rPr>
                <w:spacing w:val="-1"/>
                <w:sz w:val="24"/>
              </w:rPr>
              <w:t> </w:t>
            </w:r>
            <w:r>
              <w:rPr>
                <w:sz w:val="24"/>
              </w:rPr>
              <w:t>to</w:t>
            </w:r>
            <w:r>
              <w:rPr>
                <w:spacing w:val="-1"/>
                <w:sz w:val="24"/>
              </w:rPr>
              <w:t> </w:t>
            </w:r>
            <w:r>
              <w:rPr>
                <w:sz w:val="24"/>
              </w:rPr>
              <w:t>include</w:t>
            </w:r>
            <w:r>
              <w:rPr>
                <w:spacing w:val="-1"/>
                <w:sz w:val="24"/>
              </w:rPr>
              <w:t> </w:t>
            </w:r>
            <w:r>
              <w:rPr>
                <w:sz w:val="24"/>
              </w:rPr>
              <w:t>proposals</w:t>
            </w:r>
            <w:r>
              <w:rPr>
                <w:spacing w:val="-2"/>
                <w:sz w:val="24"/>
              </w:rPr>
              <w:t> </w:t>
            </w:r>
            <w:r>
              <w:rPr>
                <w:sz w:val="24"/>
              </w:rPr>
              <w:t>requiring</w:t>
            </w:r>
            <w:r>
              <w:rPr>
                <w:spacing w:val="-1"/>
                <w:sz w:val="24"/>
              </w:rPr>
              <w:t> </w:t>
            </w:r>
            <w:r>
              <w:rPr>
                <w:sz w:val="24"/>
              </w:rPr>
              <w:t>capital and recurrent investment from both Swansea Bay University Health Board and Hywel Dda University Health Board associated with replacement LINACs, future operational LINAC capacity, workforce and supporting infrastructure requirements. The scale, timing</w:t>
            </w:r>
            <w:r>
              <w:rPr>
                <w:spacing w:val="-3"/>
                <w:sz w:val="24"/>
              </w:rPr>
              <w:t> </w:t>
            </w:r>
            <w:r>
              <w:rPr>
                <w:sz w:val="24"/>
              </w:rPr>
              <w:t>and</w:t>
            </w:r>
            <w:r>
              <w:rPr>
                <w:spacing w:val="-3"/>
                <w:sz w:val="24"/>
              </w:rPr>
              <w:t> </w:t>
            </w:r>
            <w:r>
              <w:rPr>
                <w:sz w:val="24"/>
              </w:rPr>
              <w:t>phasing</w:t>
            </w:r>
            <w:r>
              <w:rPr>
                <w:spacing w:val="-3"/>
                <w:sz w:val="24"/>
              </w:rPr>
              <w:t> </w:t>
            </w:r>
            <w:r>
              <w:rPr>
                <w:sz w:val="24"/>
              </w:rPr>
              <w:t>of</w:t>
            </w:r>
            <w:r>
              <w:rPr>
                <w:spacing w:val="-6"/>
                <w:sz w:val="24"/>
              </w:rPr>
              <w:t> </w:t>
            </w:r>
            <w:r>
              <w:rPr>
                <w:sz w:val="24"/>
              </w:rPr>
              <w:t>these</w:t>
            </w:r>
            <w:r>
              <w:rPr>
                <w:spacing w:val="-3"/>
                <w:sz w:val="24"/>
              </w:rPr>
              <w:t> </w:t>
            </w:r>
            <w:r>
              <w:rPr>
                <w:sz w:val="24"/>
              </w:rPr>
              <w:t>commitments</w:t>
            </w:r>
            <w:r>
              <w:rPr>
                <w:spacing w:val="-4"/>
                <w:sz w:val="24"/>
              </w:rPr>
              <w:t> </w:t>
            </w:r>
            <w:r>
              <w:rPr>
                <w:sz w:val="24"/>
              </w:rPr>
              <w:t>remain</w:t>
            </w:r>
            <w:r>
              <w:rPr>
                <w:spacing w:val="-3"/>
                <w:sz w:val="24"/>
              </w:rPr>
              <w:t> </w:t>
            </w:r>
            <w:r>
              <w:rPr>
                <w:sz w:val="24"/>
              </w:rPr>
              <w:t>to</w:t>
            </w:r>
            <w:r>
              <w:rPr>
                <w:spacing w:val="-3"/>
                <w:sz w:val="24"/>
              </w:rPr>
              <w:t> </w:t>
            </w:r>
            <w:r>
              <w:rPr>
                <w:sz w:val="24"/>
              </w:rPr>
              <w:t>be</w:t>
            </w:r>
            <w:r>
              <w:rPr>
                <w:spacing w:val="-3"/>
                <w:sz w:val="24"/>
              </w:rPr>
              <w:t> </w:t>
            </w:r>
            <w:r>
              <w:rPr>
                <w:sz w:val="24"/>
              </w:rPr>
              <w:t>determined</w:t>
            </w:r>
            <w:r>
              <w:rPr>
                <w:spacing w:val="-3"/>
                <w:sz w:val="24"/>
              </w:rPr>
              <w:t> </w:t>
            </w:r>
            <w:r>
              <w:rPr>
                <w:sz w:val="24"/>
              </w:rPr>
              <w:t>and</w:t>
            </w:r>
            <w:r>
              <w:rPr>
                <w:spacing w:val="-3"/>
                <w:sz w:val="24"/>
              </w:rPr>
              <w:t> </w:t>
            </w:r>
            <w:r>
              <w:rPr>
                <w:sz w:val="24"/>
              </w:rPr>
              <w:t>will</w:t>
            </w:r>
            <w:r>
              <w:rPr>
                <w:spacing w:val="-3"/>
                <w:sz w:val="24"/>
              </w:rPr>
              <w:t> </w:t>
            </w:r>
            <w:r>
              <w:rPr>
                <w:sz w:val="24"/>
              </w:rPr>
              <w:t>be</w:t>
            </w:r>
            <w:r>
              <w:rPr>
                <w:spacing w:val="-3"/>
                <w:sz w:val="24"/>
              </w:rPr>
              <w:t> </w:t>
            </w:r>
            <w:r>
              <w:rPr>
                <w:sz w:val="24"/>
              </w:rPr>
              <w:t>subject to separate affordability assessment and approval by both Health Board.</w:t>
            </w:r>
          </w:p>
          <w:p>
            <w:pPr>
              <w:pStyle w:val="TableParagraph"/>
              <w:numPr>
                <w:ilvl w:val="1"/>
                <w:numId w:val="24"/>
              </w:numPr>
              <w:tabs>
                <w:tab w:pos="828" w:val="left" w:leader="none"/>
                <w:tab w:pos="830" w:val="left" w:leader="none"/>
              </w:tabs>
              <w:spacing w:line="276" w:lineRule="exact" w:before="39" w:after="0"/>
              <w:ind w:left="828" w:right="0" w:hanging="359"/>
              <w:jc w:val="left"/>
              <w:rPr>
                <w:sz w:val="24"/>
              </w:rPr>
            </w:pPr>
            <w:r>
              <w:rPr>
                <w:b/>
                <w:spacing w:val="-2"/>
                <w:sz w:val="24"/>
              </w:rPr>
              <w:t>REAFFIRM</w:t>
            </w:r>
            <w:r>
              <w:rPr>
                <w:b/>
                <w:spacing w:val="-17"/>
                <w:sz w:val="24"/>
              </w:rPr>
              <w:t> </w:t>
            </w:r>
            <w:r>
              <w:rPr>
                <w:spacing w:val="-2"/>
                <w:sz w:val="24"/>
              </w:rPr>
              <w:t>that</w:t>
            </w:r>
            <w:r>
              <w:rPr>
                <w:spacing w:val="-15"/>
                <w:sz w:val="24"/>
              </w:rPr>
              <w:t> </w:t>
            </w:r>
            <w:r>
              <w:rPr>
                <w:spacing w:val="-2"/>
                <w:sz w:val="24"/>
              </w:rPr>
              <w:t>a</w:t>
            </w:r>
            <w:r>
              <w:rPr>
                <w:spacing w:val="-13"/>
                <w:sz w:val="24"/>
              </w:rPr>
              <w:t> </w:t>
            </w:r>
            <w:r>
              <w:rPr>
                <w:spacing w:val="-2"/>
                <w:sz w:val="24"/>
              </w:rPr>
              <w:t>Hywel</w:t>
            </w:r>
            <w:r>
              <w:rPr>
                <w:spacing w:val="-13"/>
                <w:sz w:val="24"/>
              </w:rPr>
              <w:t> </w:t>
            </w:r>
            <w:r>
              <w:rPr>
                <w:spacing w:val="-2"/>
                <w:sz w:val="24"/>
              </w:rPr>
              <w:t>Dda</w:t>
            </w:r>
            <w:r>
              <w:rPr>
                <w:spacing w:val="-13"/>
                <w:sz w:val="24"/>
              </w:rPr>
              <w:t> </w:t>
            </w:r>
            <w:r>
              <w:rPr>
                <w:spacing w:val="-2"/>
                <w:sz w:val="24"/>
              </w:rPr>
              <w:t>radiotherapy</w:t>
            </w:r>
            <w:r>
              <w:rPr>
                <w:spacing w:val="-15"/>
                <w:sz w:val="24"/>
              </w:rPr>
              <w:t> </w:t>
            </w:r>
            <w:r>
              <w:rPr>
                <w:spacing w:val="-2"/>
                <w:sz w:val="24"/>
              </w:rPr>
              <w:t>satellite</w:t>
            </w:r>
            <w:r>
              <w:rPr>
                <w:spacing w:val="-13"/>
                <w:sz w:val="24"/>
              </w:rPr>
              <w:t> </w:t>
            </w:r>
            <w:r>
              <w:rPr>
                <w:spacing w:val="-2"/>
                <w:sz w:val="24"/>
              </w:rPr>
              <w:t>remains</w:t>
            </w:r>
            <w:r>
              <w:rPr>
                <w:spacing w:val="-14"/>
                <w:sz w:val="24"/>
              </w:rPr>
              <w:t> </w:t>
            </w:r>
            <w:r>
              <w:rPr>
                <w:spacing w:val="-2"/>
                <w:sz w:val="24"/>
              </w:rPr>
              <w:t>a</w:t>
            </w:r>
            <w:r>
              <w:rPr>
                <w:spacing w:val="-13"/>
                <w:sz w:val="24"/>
              </w:rPr>
              <w:t> </w:t>
            </w:r>
            <w:r>
              <w:rPr>
                <w:spacing w:val="-2"/>
                <w:sz w:val="24"/>
              </w:rPr>
              <w:t>complementary</w:t>
            </w:r>
            <w:r>
              <w:rPr>
                <w:spacing w:val="-14"/>
                <w:sz w:val="24"/>
              </w:rPr>
              <w:t> </w:t>
            </w:r>
            <w:r>
              <w:rPr>
                <w:spacing w:val="-2"/>
                <w:sz w:val="24"/>
              </w:rPr>
              <w:t>longer-</w:t>
            </w:r>
          </w:p>
          <w:p>
            <w:pPr>
              <w:pStyle w:val="TableParagraph"/>
              <w:spacing w:line="276" w:lineRule="exact"/>
              <w:ind w:left="830"/>
              <w:rPr>
                <w:sz w:val="18"/>
              </w:rPr>
            </w:pPr>
            <w:r>
              <w:rPr>
                <w:spacing w:val="-2"/>
                <w:sz w:val="24"/>
              </w:rPr>
              <w:t>term</w:t>
            </w:r>
            <w:r>
              <w:rPr>
                <w:spacing w:val="-15"/>
                <w:sz w:val="24"/>
              </w:rPr>
              <w:t> </w:t>
            </w:r>
            <w:r>
              <w:rPr>
                <w:spacing w:val="-2"/>
                <w:sz w:val="24"/>
              </w:rPr>
              <w:t>regional</w:t>
            </w:r>
            <w:r>
              <w:rPr>
                <w:spacing w:val="-14"/>
                <w:sz w:val="24"/>
              </w:rPr>
              <w:t> </w:t>
            </w:r>
            <w:r>
              <w:rPr>
                <w:spacing w:val="-2"/>
                <w:sz w:val="24"/>
              </w:rPr>
              <w:t>ambition</w:t>
            </w:r>
            <w:r>
              <w:rPr>
                <w:spacing w:val="-14"/>
                <w:sz w:val="24"/>
              </w:rPr>
              <w:t> </w:t>
            </w:r>
            <w:r>
              <w:rPr>
                <w:spacing w:val="-2"/>
                <w:sz w:val="24"/>
              </w:rPr>
              <w:t>and</w:t>
            </w:r>
            <w:r>
              <w:rPr>
                <w:spacing w:val="-14"/>
                <w:sz w:val="24"/>
              </w:rPr>
              <w:t> </w:t>
            </w:r>
            <w:r>
              <w:rPr>
                <w:spacing w:val="-2"/>
                <w:sz w:val="24"/>
              </w:rPr>
              <w:t>will</w:t>
            </w:r>
            <w:r>
              <w:rPr>
                <w:spacing w:val="-14"/>
                <w:sz w:val="24"/>
              </w:rPr>
              <w:t> </w:t>
            </w:r>
            <w:r>
              <w:rPr>
                <w:spacing w:val="-2"/>
                <w:sz w:val="24"/>
              </w:rPr>
              <w:t>progress</w:t>
            </w:r>
            <w:r>
              <w:rPr>
                <w:spacing w:val="-10"/>
                <w:sz w:val="24"/>
              </w:rPr>
              <w:t> </w:t>
            </w:r>
            <w:r>
              <w:rPr>
                <w:spacing w:val="-2"/>
                <w:sz w:val="24"/>
              </w:rPr>
              <w:t>through</w:t>
            </w:r>
            <w:r>
              <w:rPr>
                <w:spacing w:val="-14"/>
                <w:sz w:val="24"/>
              </w:rPr>
              <w:t> </w:t>
            </w:r>
            <w:r>
              <w:rPr>
                <w:spacing w:val="-2"/>
                <w:sz w:val="24"/>
              </w:rPr>
              <w:t>separate</w:t>
            </w:r>
            <w:r>
              <w:rPr>
                <w:spacing w:val="-14"/>
                <w:sz w:val="24"/>
              </w:rPr>
              <w:t> </w:t>
            </w:r>
            <w:r>
              <w:rPr>
                <w:spacing w:val="-2"/>
                <w:sz w:val="24"/>
              </w:rPr>
              <w:t>joint</w:t>
            </w:r>
            <w:r>
              <w:rPr>
                <w:spacing w:val="-15"/>
                <w:sz w:val="24"/>
              </w:rPr>
              <w:t> </w:t>
            </w:r>
            <w:r>
              <w:rPr>
                <w:spacing w:val="-2"/>
                <w:sz w:val="24"/>
              </w:rPr>
              <w:t>planning</w:t>
            </w:r>
            <w:r>
              <w:rPr>
                <w:spacing w:val="-13"/>
                <w:sz w:val="24"/>
              </w:rPr>
              <w:t> </w:t>
            </w:r>
            <w:r>
              <w:rPr>
                <w:spacing w:val="-2"/>
                <w:sz w:val="24"/>
              </w:rPr>
              <w:t>and</w:t>
            </w:r>
            <w:r>
              <w:rPr>
                <w:spacing w:val="-14"/>
                <w:sz w:val="24"/>
              </w:rPr>
              <w:t> </w:t>
            </w:r>
            <w:r>
              <w:rPr>
                <w:spacing w:val="-2"/>
                <w:sz w:val="24"/>
              </w:rPr>
              <w:t>business </w:t>
            </w:r>
            <w:r>
              <w:rPr>
                <w:sz w:val="24"/>
              </w:rPr>
              <w:t>case governance</w:t>
            </w:r>
            <w:r>
              <w:rPr>
                <w:sz w:val="18"/>
              </w:rPr>
              <w:t>.</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15"/>
        <w:rPr>
          <w:sz w:val="16"/>
        </w:rPr>
      </w:pPr>
    </w:p>
    <w:p>
      <w:pPr>
        <w:spacing w:before="0"/>
        <w:ind w:left="657" w:right="228" w:firstLine="0"/>
        <w:jc w:val="center"/>
        <w:rPr>
          <w:sz w:val="16"/>
        </w:rPr>
      </w:pPr>
      <w:r>
        <w:rPr>
          <w:spacing w:val="-2"/>
          <w:sz w:val="16"/>
        </w:rPr>
        <w:t>Page</w:t>
      </w:r>
      <w:r>
        <w:rPr>
          <w:spacing w:val="-7"/>
          <w:sz w:val="16"/>
        </w:rPr>
        <w:t> </w:t>
      </w:r>
      <w:r>
        <w:rPr>
          <w:spacing w:val="-2"/>
          <w:sz w:val="16"/>
        </w:rPr>
        <w:t>6</w:t>
      </w:r>
      <w:r>
        <w:rPr>
          <w:spacing w:val="-9"/>
          <w:sz w:val="16"/>
        </w:rPr>
        <w:t> </w:t>
      </w:r>
      <w:r>
        <w:rPr>
          <w:spacing w:val="-2"/>
          <w:sz w:val="16"/>
        </w:rPr>
        <w:t>of</w:t>
      </w:r>
      <w:r>
        <w:rPr>
          <w:spacing w:val="-9"/>
          <w:sz w:val="16"/>
        </w:rPr>
        <w:t> </w:t>
      </w:r>
      <w:r>
        <w:rPr>
          <w:spacing w:val="-10"/>
          <w:sz w:val="16"/>
        </w:rPr>
        <w:t>6</w:t>
      </w:r>
    </w:p>
    <w:p>
      <w:pPr>
        <w:spacing w:after="0"/>
        <w:jc w:val="center"/>
        <w:rPr>
          <w:sz w:val="16"/>
        </w:rPr>
        <w:sectPr>
          <w:pgSz w:w="11910" w:h="16840"/>
          <w:pgMar w:header="0" w:footer="149" w:top="220" w:bottom="340" w:left="283" w:right="708"/>
        </w:sectPr>
      </w:pPr>
    </w:p>
    <w:p>
      <w:pPr>
        <w:pStyle w:val="Heading4"/>
        <w:numPr>
          <w:ilvl w:val="1"/>
          <w:numId w:val="10"/>
        </w:numPr>
        <w:tabs>
          <w:tab w:pos="7930" w:val="left" w:leader="none"/>
        </w:tabs>
        <w:spacing w:line="240" w:lineRule="auto" w:before="198" w:after="0"/>
        <w:ind w:left="7930" w:right="0" w:hanging="6623"/>
        <w:jc w:val="left"/>
        <w:rPr>
          <w:b w:val="0"/>
          <w:position w:val="-8"/>
          <w:sz w:val="36"/>
        </w:rPr>
      </w:pPr>
      <w:r>
        <w:rPr/>
        <w:t>10:55</w:t>
      </w:r>
      <w:r>
        <w:rPr>
          <w:spacing w:val="-4"/>
        </w:rPr>
        <w:t> </w:t>
      </w:r>
      <w:r>
        <w:rPr/>
        <w:t>AM,</w:t>
      </w:r>
      <w:r>
        <w:rPr>
          <w:spacing w:val="2"/>
        </w:rPr>
        <w:t> </w:t>
      </w:r>
      <w:r>
        <w:rPr/>
        <w:t>0</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640064">
                <wp:simplePos x="0" y="0"/>
                <wp:positionH relativeFrom="page">
                  <wp:posOffset>914400</wp:posOffset>
                </wp:positionH>
                <wp:positionV relativeFrom="paragraph">
                  <wp:posOffset>262302</wp:posOffset>
                </wp:positionV>
                <wp:extent cx="5730875" cy="6350"/>
                <wp:effectExtent l="0" t="0" r="0" b="0"/>
                <wp:wrapTopAndBottom/>
                <wp:docPr id="328" name="Graphic 328"/>
                <wp:cNvGraphicFramePr>
                  <a:graphicFrameLocks/>
                </wp:cNvGraphicFramePr>
                <a:graphic>
                  <a:graphicData uri="http://schemas.microsoft.com/office/word/2010/wordprocessingShape">
                    <wps:wsp>
                      <wps:cNvPr id="328" name="Graphic 328"/>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676416;mso-wrap-distance-left:0;mso-wrap-distance-right:0" id="docshape176" filled="true" fillcolor="#9f9f9f" stroked="false">
                <v:fill type="solid"/>
                <w10:wrap type="topAndBottom"/>
              </v:rect>
            </w:pict>
          </mc:Fallback>
        </mc:AlternateContent>
      </w:r>
    </w:p>
    <w:p>
      <w:pPr>
        <w:pStyle w:val="ListParagraph"/>
        <w:numPr>
          <w:ilvl w:val="1"/>
          <w:numId w:val="2"/>
        </w:numPr>
        <w:tabs>
          <w:tab w:pos="1695" w:val="left" w:leader="none"/>
          <w:tab w:pos="8260" w:val="left" w:leader="none"/>
        </w:tabs>
        <w:spacing w:line="323" w:lineRule="exact" w:before="331" w:after="0"/>
        <w:ind w:left="1695" w:right="0" w:hanging="538"/>
        <w:jc w:val="left"/>
        <w:rPr>
          <w:sz w:val="32"/>
        </w:rPr>
      </w:pPr>
      <w:bookmarkStart w:name="3.4 - RJC/37e: Cellular Pathology Update" w:id="30"/>
      <w:bookmarkEnd w:id="30"/>
      <w:r>
        <w:rPr/>
      </w:r>
      <w:r>
        <w:rPr>
          <w:sz w:val="32"/>
        </w:rPr>
        <w:t>-</w:t>
      </w:r>
      <w:r>
        <w:rPr>
          <w:spacing w:val="-6"/>
          <w:sz w:val="32"/>
        </w:rPr>
        <w:t> </w:t>
      </w:r>
      <w:r>
        <w:rPr>
          <w:sz w:val="32"/>
        </w:rPr>
        <w:t>RJC/37e:</w:t>
      </w:r>
      <w:r>
        <w:rPr>
          <w:spacing w:val="-7"/>
          <w:sz w:val="32"/>
        </w:rPr>
        <w:t> </w:t>
      </w:r>
      <w:r>
        <w:rPr>
          <w:sz w:val="32"/>
        </w:rPr>
        <w:t>Cellular</w:t>
      </w:r>
      <w:r>
        <w:rPr>
          <w:spacing w:val="-5"/>
          <w:sz w:val="32"/>
        </w:rPr>
        <w:t> </w:t>
      </w:r>
      <w:r>
        <w:rPr>
          <w:sz w:val="32"/>
        </w:rPr>
        <w:t>Pathology</w:t>
      </w:r>
      <w:r>
        <w:rPr>
          <w:spacing w:val="-4"/>
          <w:sz w:val="32"/>
        </w:rPr>
        <w:t> </w:t>
      </w:r>
      <w:r>
        <w:rPr>
          <w:spacing w:val="-2"/>
          <w:sz w:val="32"/>
        </w:rPr>
        <w:t>Update</w:t>
      </w:r>
      <w:r>
        <w:rPr>
          <w:sz w:val="32"/>
        </w:rPr>
        <w:tab/>
      </w:r>
      <w:r>
        <w:rPr>
          <w:b/>
          <w:i/>
          <w:position w:val="9"/>
          <w:sz w:val="22"/>
        </w:rPr>
        <w:t>Lee</w:t>
      </w:r>
      <w:r>
        <w:rPr>
          <w:b/>
          <w:i/>
          <w:spacing w:val="-3"/>
          <w:position w:val="9"/>
          <w:sz w:val="22"/>
        </w:rPr>
        <w:t> </w:t>
      </w:r>
      <w:r>
        <w:rPr>
          <w:b/>
          <w:i/>
          <w:position w:val="9"/>
          <w:sz w:val="22"/>
        </w:rPr>
        <w:t>Davies </w:t>
      </w:r>
      <w:r>
        <w:rPr>
          <w:b/>
          <w:i/>
          <w:spacing w:val="-2"/>
          <w:position w:val="9"/>
          <w:sz w:val="22"/>
        </w:rPr>
        <w:t>(Hywel</w:t>
      </w:r>
    </w:p>
    <w:p>
      <w:pPr>
        <w:spacing w:line="208" w:lineRule="exact" w:before="0"/>
        <w:ind w:left="0" w:right="729" w:firstLine="0"/>
        <w:jc w:val="right"/>
        <w:rPr>
          <w:b/>
          <w:i/>
          <w:sz w:val="22"/>
        </w:rPr>
      </w:pPr>
      <w:r>
        <w:rPr>
          <w:b/>
          <w:i/>
          <w:sz w:val="22"/>
        </w:rPr>
        <w:t>Dda UHB</w:t>
      </w:r>
      <w:r>
        <w:rPr>
          <w:b/>
          <w:i/>
          <w:spacing w:val="1"/>
          <w:sz w:val="22"/>
        </w:rPr>
        <w:t> </w:t>
      </w:r>
      <w:r>
        <w:rPr>
          <w:b/>
          <w:i/>
          <w:sz w:val="22"/>
        </w:rPr>
        <w:t>- </w:t>
      </w:r>
      <w:r>
        <w:rPr>
          <w:b/>
          <w:i/>
          <w:spacing w:val="-2"/>
          <w:sz w:val="22"/>
        </w:rPr>
        <w:t>Executive</w:t>
      </w:r>
    </w:p>
    <w:p>
      <w:pPr>
        <w:spacing w:line="256" w:lineRule="auto" w:before="22"/>
        <w:ind w:left="8726" w:right="728" w:hanging="601"/>
        <w:jc w:val="right"/>
        <w:rPr>
          <w:b/>
          <w:i/>
          <w:sz w:val="22"/>
        </w:rPr>
      </w:pPr>
      <w:r>
        <w:rPr>
          <w:b/>
          <w:i/>
          <w:sz w:val="22"/>
        </w:rPr>
        <w:t>Director</w:t>
      </w:r>
      <w:r>
        <w:rPr>
          <w:b/>
          <w:i/>
          <w:spacing w:val="-15"/>
          <w:sz w:val="22"/>
        </w:rPr>
        <w:t> </w:t>
      </w:r>
      <w:r>
        <w:rPr>
          <w:b/>
          <w:i/>
          <w:sz w:val="22"/>
        </w:rPr>
        <w:t>of</w:t>
      </w:r>
      <w:r>
        <w:rPr>
          <w:b/>
          <w:i/>
          <w:spacing w:val="-14"/>
          <w:sz w:val="22"/>
        </w:rPr>
        <w:t> </w:t>
      </w:r>
      <w:r>
        <w:rPr>
          <w:b/>
          <w:i/>
          <w:sz w:val="22"/>
        </w:rPr>
        <w:t>Strategy</w:t>
      </w:r>
      <w:r>
        <w:rPr>
          <w:b/>
          <w:i/>
          <w:sz w:val="22"/>
        </w:rPr>
        <w:t> and</w:t>
      </w:r>
      <w:r>
        <w:rPr>
          <w:b/>
          <w:i/>
          <w:spacing w:val="1"/>
          <w:sz w:val="22"/>
        </w:rPr>
        <w:t> </w:t>
      </w:r>
      <w:r>
        <w:rPr>
          <w:b/>
          <w:i/>
          <w:spacing w:val="-2"/>
          <w:sz w:val="22"/>
        </w:rPr>
        <w:t>Planning)</w:t>
      </w: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4"/>
        <w:rPr>
          <w:b/>
          <w:i/>
          <w:sz w:val="22"/>
        </w:rPr>
      </w:pPr>
    </w:p>
    <w:p>
      <w:pPr>
        <w:spacing w:before="0"/>
        <w:ind w:left="1157" w:right="0" w:firstLine="0"/>
        <w:jc w:val="left"/>
        <w:rPr>
          <w:b/>
          <w:sz w:val="22"/>
        </w:rPr>
      </w:pPr>
      <w:r>
        <w:rPr>
          <w:b/>
          <w:spacing w:val="-2"/>
          <w:sz w:val="22"/>
        </w:rPr>
        <w:t>Attachments</w:t>
      </w:r>
    </w:p>
    <w:p>
      <w:pPr>
        <w:spacing w:before="180"/>
        <w:ind w:left="1157" w:right="0" w:firstLine="0"/>
        <w:jc w:val="left"/>
        <w:rPr>
          <w:sz w:val="18"/>
        </w:rPr>
      </w:pPr>
      <w:r>
        <w:rPr>
          <w:sz w:val="18"/>
          <w:u w:val="single"/>
        </w:rPr>
        <w:t>RJC</w:t>
      </w:r>
      <w:r>
        <w:rPr>
          <w:spacing w:val="-1"/>
          <w:sz w:val="18"/>
          <w:u w:val="single"/>
        </w:rPr>
        <w:t> </w:t>
      </w:r>
      <w:r>
        <w:rPr>
          <w:sz w:val="18"/>
          <w:u w:val="single"/>
        </w:rPr>
        <w:t>37e</w:t>
      </w:r>
      <w:r>
        <w:rPr>
          <w:spacing w:val="-2"/>
          <w:sz w:val="18"/>
          <w:u w:val="single"/>
        </w:rPr>
        <w:t> </w:t>
      </w:r>
      <w:r>
        <w:rPr>
          <w:sz w:val="18"/>
          <w:u w:val="single"/>
        </w:rPr>
        <w:t>Regional</w:t>
      </w:r>
      <w:r>
        <w:rPr>
          <w:spacing w:val="-1"/>
          <w:sz w:val="18"/>
          <w:u w:val="single"/>
        </w:rPr>
        <w:t> </w:t>
      </w:r>
      <w:r>
        <w:rPr>
          <w:sz w:val="18"/>
          <w:u w:val="single"/>
        </w:rPr>
        <w:t>Cellular Pathology</w:t>
      </w:r>
      <w:r>
        <w:rPr>
          <w:spacing w:val="-1"/>
          <w:sz w:val="18"/>
          <w:u w:val="single"/>
        </w:rPr>
        <w:t> </w:t>
      </w:r>
      <w:r>
        <w:rPr>
          <w:sz w:val="18"/>
          <w:u w:val="single"/>
        </w:rPr>
        <w:t>Update</w:t>
      </w:r>
      <w:r>
        <w:rPr>
          <w:spacing w:val="-1"/>
          <w:sz w:val="18"/>
          <w:u w:val="single"/>
        </w:rPr>
        <w:t> </w:t>
      </w:r>
      <w:r>
        <w:rPr>
          <w:sz w:val="18"/>
          <w:u w:val="single"/>
        </w:rPr>
        <w:t>SBAR </w:t>
      </w:r>
      <w:r>
        <w:rPr>
          <w:spacing w:val="-2"/>
          <w:sz w:val="18"/>
          <w:u w:val="single"/>
        </w:rPr>
        <w:t>Report.pdf</w:t>
      </w:r>
    </w:p>
    <w:p>
      <w:pPr>
        <w:spacing w:after="0"/>
        <w:jc w:val="left"/>
        <w:rPr>
          <w:sz w:val="18"/>
        </w:rPr>
        <w:sectPr>
          <w:pgSz w:w="11910" w:h="16840"/>
          <w:pgMar w:header="0" w:footer="149" w:top="194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29" name="Image 329"/>
            <wp:cNvGraphicFramePr>
              <a:graphicFrameLocks/>
            </wp:cNvGraphicFramePr>
            <a:graphic>
              <a:graphicData uri="http://schemas.openxmlformats.org/drawingml/2006/picture">
                <pic:pic>
                  <pic:nvPicPr>
                    <pic:cNvPr id="329" name="Image 329"/>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30" name="Image 330"/>
            <wp:cNvGraphicFramePr>
              <a:graphicFrameLocks/>
            </wp:cNvGraphicFramePr>
            <a:graphic>
              <a:graphicData uri="http://schemas.openxmlformats.org/drawingml/2006/picture">
                <pic:pic>
                  <pic:nvPicPr>
                    <pic:cNvPr id="330" name="Image 330"/>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p>
      <w:pPr>
        <w:pStyle w:val="BodyText"/>
        <w:spacing w:before="100"/>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645" w:hRule="atLeast"/>
        </w:trPr>
        <w:tc>
          <w:tcPr>
            <w:tcW w:w="10069" w:type="dxa"/>
            <w:shd w:val="clear" w:color="auto" w:fill="394871"/>
          </w:tcPr>
          <w:p>
            <w:pPr>
              <w:pStyle w:val="TableParagraph"/>
              <w:spacing w:before="30"/>
              <w:ind w:left="580"/>
              <w:rPr>
                <w:b/>
                <w:sz w:val="24"/>
              </w:rPr>
            </w:pPr>
            <w:bookmarkStart w:name="Attachments" w:id="31"/>
            <w:bookmarkEnd w:id="31"/>
            <w:r>
              <w:rPr/>
            </w:r>
            <w:bookmarkStart w:name="RJC 37e Regional Cellular Pathology Upda" w:id="32"/>
            <w:bookmarkEnd w:id="32"/>
            <w:r>
              <w:rPr/>
            </w:r>
            <w:r>
              <w:rPr>
                <w:b/>
                <w:color w:val="FFFFFF"/>
                <w:spacing w:val="-2"/>
                <w:sz w:val="24"/>
              </w:rPr>
              <w:t>JOINT</w:t>
            </w:r>
            <w:r>
              <w:rPr>
                <w:b/>
                <w:color w:val="FFFFFF"/>
                <w:spacing w:val="-17"/>
                <w:sz w:val="24"/>
              </w:rPr>
              <w:t> </w:t>
            </w:r>
            <w:r>
              <w:rPr>
                <w:b/>
                <w:color w:val="FFFFFF"/>
                <w:spacing w:val="-2"/>
                <w:sz w:val="24"/>
              </w:rPr>
              <w:t>HYWEL</w:t>
            </w:r>
            <w:r>
              <w:rPr>
                <w:b/>
                <w:color w:val="FFFFFF"/>
                <w:spacing w:val="-15"/>
                <w:sz w:val="24"/>
              </w:rPr>
              <w:t> </w:t>
            </w:r>
            <w:r>
              <w:rPr>
                <w:b/>
                <w:color w:val="FFFFFF"/>
                <w:spacing w:val="-2"/>
                <w:sz w:val="24"/>
              </w:rPr>
              <w:t>DDA/SWANSEA</w:t>
            </w:r>
            <w:r>
              <w:rPr>
                <w:b/>
                <w:color w:val="FFFFFF"/>
                <w:spacing w:val="-14"/>
                <w:sz w:val="24"/>
              </w:rPr>
              <w:t> </w:t>
            </w:r>
            <w:r>
              <w:rPr>
                <w:b/>
                <w:color w:val="FFFFFF"/>
                <w:spacing w:val="-2"/>
                <w:sz w:val="24"/>
              </w:rPr>
              <w:t>BAY</w:t>
            </w:r>
            <w:r>
              <w:rPr>
                <w:b/>
                <w:color w:val="FFFFFF"/>
                <w:spacing w:val="-15"/>
                <w:sz w:val="24"/>
              </w:rPr>
              <w:t> </w:t>
            </w:r>
            <w:r>
              <w:rPr>
                <w:b/>
                <w:color w:val="FFFFFF"/>
                <w:spacing w:val="-2"/>
                <w:sz w:val="24"/>
              </w:rPr>
              <w:t>UNIVERSITY</w:t>
            </w:r>
            <w:r>
              <w:rPr>
                <w:b/>
                <w:color w:val="FFFFFF"/>
                <w:spacing w:val="-15"/>
                <w:sz w:val="24"/>
              </w:rPr>
              <w:t> </w:t>
            </w:r>
            <w:r>
              <w:rPr>
                <w:b/>
                <w:color w:val="FFFFFF"/>
                <w:spacing w:val="-2"/>
                <w:sz w:val="24"/>
              </w:rPr>
              <w:t>HEALTH</w:t>
            </w:r>
            <w:r>
              <w:rPr>
                <w:b/>
                <w:color w:val="FFFFFF"/>
                <w:spacing w:val="-12"/>
                <w:sz w:val="24"/>
              </w:rPr>
              <w:t> </w:t>
            </w:r>
            <w:r>
              <w:rPr>
                <w:b/>
                <w:color w:val="FFFFFF"/>
                <w:spacing w:val="-2"/>
                <w:sz w:val="24"/>
              </w:rPr>
              <w:t>BOARD</w:t>
            </w:r>
            <w:r>
              <w:rPr>
                <w:b/>
                <w:color w:val="FFFFFF"/>
                <w:spacing w:val="-12"/>
                <w:sz w:val="24"/>
              </w:rPr>
              <w:t> </w:t>
            </w:r>
            <w:r>
              <w:rPr>
                <w:b/>
                <w:color w:val="FFFFFF"/>
                <w:spacing w:val="-2"/>
                <w:sz w:val="24"/>
              </w:rPr>
              <w:t>COMMITTEE</w:t>
            </w:r>
          </w:p>
          <w:p>
            <w:pPr>
              <w:pStyle w:val="TableParagraph"/>
              <w:spacing w:line="270" w:lineRule="exact" w:before="49"/>
              <w:ind w:left="655"/>
              <w:rPr>
                <w:b/>
                <w:sz w:val="24"/>
              </w:rPr>
            </w:pPr>
            <w:r>
              <w:rPr>
                <w:b/>
                <w:color w:val="FFFFFF"/>
                <w:spacing w:val="-2"/>
                <w:sz w:val="24"/>
              </w:rPr>
              <w:t>CYD-BWRDD</w:t>
            </w:r>
            <w:r>
              <w:rPr>
                <w:b/>
                <w:color w:val="FFFFFF"/>
                <w:spacing w:val="-17"/>
                <w:sz w:val="24"/>
              </w:rPr>
              <w:t> </w:t>
            </w:r>
            <w:r>
              <w:rPr>
                <w:b/>
                <w:color w:val="FFFFFF"/>
                <w:spacing w:val="-2"/>
                <w:sz w:val="24"/>
              </w:rPr>
              <w:t>IECHYD</w:t>
            </w:r>
            <w:r>
              <w:rPr>
                <w:b/>
                <w:color w:val="FFFFFF"/>
                <w:spacing w:val="-15"/>
                <w:sz w:val="24"/>
              </w:rPr>
              <w:t> </w:t>
            </w:r>
            <w:r>
              <w:rPr>
                <w:b/>
                <w:color w:val="FFFFFF"/>
                <w:spacing w:val="-2"/>
                <w:sz w:val="24"/>
              </w:rPr>
              <w:t>PRIFYSGOL</w:t>
            </w:r>
            <w:r>
              <w:rPr>
                <w:b/>
                <w:color w:val="FFFFFF"/>
                <w:spacing w:val="-14"/>
                <w:sz w:val="24"/>
              </w:rPr>
              <w:t> </w:t>
            </w:r>
            <w:r>
              <w:rPr>
                <w:b/>
                <w:color w:val="FFFFFF"/>
                <w:spacing w:val="-2"/>
                <w:sz w:val="24"/>
              </w:rPr>
              <w:t>HYWEL</w:t>
            </w:r>
            <w:r>
              <w:rPr>
                <w:b/>
                <w:color w:val="FFFFFF"/>
                <w:spacing w:val="-15"/>
                <w:sz w:val="24"/>
              </w:rPr>
              <w:t> </w:t>
            </w:r>
            <w:r>
              <w:rPr>
                <w:b/>
                <w:color w:val="FFFFFF"/>
                <w:spacing w:val="-2"/>
                <w:sz w:val="24"/>
              </w:rPr>
              <w:t>DDA/BAE</w:t>
            </w:r>
            <w:r>
              <w:rPr>
                <w:b/>
                <w:color w:val="FFFFFF"/>
                <w:spacing w:val="-15"/>
                <w:sz w:val="24"/>
              </w:rPr>
              <w:t> </w:t>
            </w:r>
            <w:r>
              <w:rPr>
                <w:b/>
                <w:color w:val="FFFFFF"/>
                <w:spacing w:val="-2"/>
                <w:sz w:val="24"/>
              </w:rPr>
              <w:t>ABERTAWE</w:t>
            </w:r>
            <w:r>
              <w:rPr>
                <w:b/>
                <w:color w:val="FFFFFF"/>
                <w:spacing w:val="-14"/>
                <w:sz w:val="24"/>
              </w:rPr>
              <w:t> </w:t>
            </w:r>
            <w:r>
              <w:rPr>
                <w:b/>
                <w:color w:val="FFFFFF"/>
                <w:spacing w:val="-2"/>
                <w:sz w:val="24"/>
              </w:rPr>
              <w:t>PWYLLGOR</w:t>
            </w:r>
          </w:p>
        </w:tc>
      </w:tr>
    </w:tbl>
    <w:p>
      <w:pPr>
        <w:pStyle w:val="BodyText"/>
        <w:spacing w:before="45"/>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2"/>
        <w:gridCol w:w="6098"/>
      </w:tblGrid>
      <w:tr>
        <w:trPr>
          <w:trHeight w:val="615" w:hRule="atLeast"/>
        </w:trPr>
        <w:tc>
          <w:tcPr>
            <w:tcW w:w="3972" w:type="dxa"/>
            <w:shd w:val="clear" w:color="auto" w:fill="C1A875"/>
          </w:tcPr>
          <w:p>
            <w:pPr>
              <w:pStyle w:val="TableParagraph"/>
              <w:spacing w:line="244" w:lineRule="auto" w:before="1"/>
              <w:ind w:left="110" w:right="1450"/>
              <w:rPr>
                <w:b/>
                <w:sz w:val="18"/>
              </w:rPr>
            </w:pPr>
            <w:r>
              <w:rPr>
                <w:b/>
                <w:spacing w:val="-4"/>
                <w:sz w:val="18"/>
              </w:rPr>
              <w:t>DYDDIAD</w:t>
            </w:r>
            <w:r>
              <w:rPr>
                <w:b/>
                <w:spacing w:val="-9"/>
                <w:sz w:val="18"/>
              </w:rPr>
              <w:t> </w:t>
            </w:r>
            <w:r>
              <w:rPr>
                <w:b/>
                <w:spacing w:val="-4"/>
                <w:sz w:val="18"/>
              </w:rPr>
              <w:t>Y</w:t>
            </w:r>
            <w:r>
              <w:rPr>
                <w:b/>
                <w:spacing w:val="-11"/>
                <w:sz w:val="18"/>
              </w:rPr>
              <w:t> </w:t>
            </w:r>
            <w:r>
              <w:rPr>
                <w:b/>
                <w:spacing w:val="-4"/>
                <w:sz w:val="18"/>
              </w:rPr>
              <w:t>CYFARFOD: </w:t>
            </w:r>
            <w:r>
              <w:rPr>
                <w:b/>
                <w:sz w:val="18"/>
              </w:rPr>
              <w:t>DATE OF MEETING:</w:t>
            </w:r>
          </w:p>
        </w:tc>
        <w:tc>
          <w:tcPr>
            <w:tcW w:w="6098" w:type="dxa"/>
          </w:tcPr>
          <w:p>
            <w:pPr>
              <w:pStyle w:val="TableParagraph"/>
              <w:ind w:left="109"/>
              <w:rPr>
                <w:sz w:val="24"/>
              </w:rPr>
            </w:pPr>
            <w:r>
              <w:rPr>
                <w:spacing w:val="-2"/>
                <w:sz w:val="24"/>
              </w:rPr>
              <w:t>13</w:t>
            </w:r>
            <w:r>
              <w:rPr>
                <w:spacing w:val="-15"/>
                <w:sz w:val="24"/>
              </w:rPr>
              <w:t> </w:t>
            </w:r>
            <w:r>
              <w:rPr>
                <w:spacing w:val="-2"/>
                <w:sz w:val="24"/>
              </w:rPr>
              <w:t>October</w:t>
            </w:r>
            <w:r>
              <w:rPr>
                <w:spacing w:val="-12"/>
                <w:sz w:val="24"/>
              </w:rPr>
              <w:t> </w:t>
            </w:r>
            <w:r>
              <w:rPr>
                <w:spacing w:val="-4"/>
                <w:sz w:val="24"/>
              </w:rPr>
              <w:t>2026</w:t>
            </w:r>
          </w:p>
        </w:tc>
      </w:tr>
      <w:tr>
        <w:trPr>
          <w:trHeight w:val="615" w:hRule="atLeast"/>
        </w:trPr>
        <w:tc>
          <w:tcPr>
            <w:tcW w:w="3972" w:type="dxa"/>
            <w:shd w:val="clear" w:color="auto" w:fill="C1A875"/>
          </w:tcPr>
          <w:p>
            <w:pPr>
              <w:pStyle w:val="TableParagraph"/>
              <w:spacing w:before="1"/>
              <w:ind w:left="110" w:right="1450"/>
              <w:rPr>
                <w:b/>
                <w:sz w:val="18"/>
              </w:rPr>
            </w:pPr>
            <w:r>
              <w:rPr>
                <w:b/>
                <w:spacing w:val="-4"/>
                <w:sz w:val="18"/>
              </w:rPr>
              <w:t>TEITL</w:t>
            </w:r>
            <w:r>
              <w:rPr>
                <w:b/>
                <w:spacing w:val="-11"/>
                <w:sz w:val="18"/>
              </w:rPr>
              <w:t> </w:t>
            </w:r>
            <w:r>
              <w:rPr>
                <w:b/>
                <w:spacing w:val="-4"/>
                <w:sz w:val="18"/>
              </w:rPr>
              <w:t>YR</w:t>
            </w:r>
            <w:r>
              <w:rPr>
                <w:b/>
                <w:spacing w:val="-9"/>
                <w:sz w:val="18"/>
              </w:rPr>
              <w:t> </w:t>
            </w:r>
            <w:r>
              <w:rPr>
                <w:b/>
                <w:spacing w:val="-4"/>
                <w:sz w:val="18"/>
              </w:rPr>
              <w:t>ADRODDIAD: </w:t>
            </w:r>
            <w:r>
              <w:rPr>
                <w:b/>
                <w:sz w:val="18"/>
              </w:rPr>
              <w:t>TITLE OF REPORT:</w:t>
            </w:r>
          </w:p>
        </w:tc>
        <w:tc>
          <w:tcPr>
            <w:tcW w:w="6098" w:type="dxa"/>
          </w:tcPr>
          <w:p>
            <w:pPr>
              <w:pStyle w:val="TableParagraph"/>
              <w:spacing w:before="3"/>
              <w:ind w:left="109"/>
              <w:rPr>
                <w:sz w:val="22"/>
              </w:rPr>
            </w:pPr>
            <w:r>
              <w:rPr>
                <w:spacing w:val="-4"/>
                <w:sz w:val="22"/>
              </w:rPr>
              <w:t>Regional</w:t>
            </w:r>
            <w:r>
              <w:rPr>
                <w:sz w:val="22"/>
              </w:rPr>
              <w:t> </w:t>
            </w:r>
            <w:r>
              <w:rPr>
                <w:spacing w:val="-4"/>
                <w:sz w:val="22"/>
              </w:rPr>
              <w:t>Cellular</w:t>
            </w:r>
            <w:r>
              <w:rPr>
                <w:spacing w:val="1"/>
                <w:sz w:val="22"/>
              </w:rPr>
              <w:t> </w:t>
            </w:r>
            <w:r>
              <w:rPr>
                <w:spacing w:val="-4"/>
                <w:sz w:val="22"/>
              </w:rPr>
              <w:t>Pathology</w:t>
            </w:r>
            <w:r>
              <w:rPr>
                <w:sz w:val="22"/>
              </w:rPr>
              <w:t> </w:t>
            </w:r>
            <w:r>
              <w:rPr>
                <w:spacing w:val="-4"/>
                <w:sz w:val="22"/>
              </w:rPr>
              <w:t>Programme</w:t>
            </w:r>
          </w:p>
        </w:tc>
      </w:tr>
      <w:tr>
        <w:trPr>
          <w:trHeight w:val="615" w:hRule="atLeast"/>
        </w:trPr>
        <w:tc>
          <w:tcPr>
            <w:tcW w:w="3972" w:type="dxa"/>
            <w:shd w:val="clear" w:color="auto" w:fill="C1A875"/>
          </w:tcPr>
          <w:p>
            <w:pPr>
              <w:pStyle w:val="TableParagraph"/>
              <w:spacing w:before="1"/>
              <w:ind w:left="110" w:right="1082"/>
              <w:rPr>
                <w:b/>
                <w:sz w:val="18"/>
              </w:rPr>
            </w:pPr>
            <w:r>
              <w:rPr>
                <w:b/>
                <w:spacing w:val="-4"/>
                <w:sz w:val="18"/>
              </w:rPr>
              <w:t>CYFARWYDDWR</w:t>
            </w:r>
            <w:r>
              <w:rPr>
                <w:b/>
                <w:spacing w:val="-9"/>
                <w:sz w:val="18"/>
              </w:rPr>
              <w:t> </w:t>
            </w:r>
            <w:r>
              <w:rPr>
                <w:b/>
                <w:spacing w:val="-4"/>
                <w:sz w:val="18"/>
              </w:rPr>
              <w:t>ARWEINIOL: </w:t>
            </w:r>
            <w:r>
              <w:rPr>
                <w:b/>
                <w:sz w:val="18"/>
              </w:rPr>
              <w:t>LEAD</w:t>
            </w:r>
            <w:r>
              <w:rPr>
                <w:b/>
                <w:spacing w:val="-11"/>
                <w:sz w:val="18"/>
              </w:rPr>
              <w:t> </w:t>
            </w:r>
            <w:r>
              <w:rPr>
                <w:b/>
                <w:sz w:val="18"/>
              </w:rPr>
              <w:t>DIRECTOR:</w:t>
            </w:r>
          </w:p>
        </w:tc>
        <w:tc>
          <w:tcPr>
            <w:tcW w:w="6098" w:type="dxa"/>
          </w:tcPr>
          <w:p>
            <w:pPr>
              <w:pStyle w:val="TableParagraph"/>
              <w:spacing w:line="242" w:lineRule="auto"/>
              <w:ind w:left="109" w:right="297"/>
              <w:rPr>
                <w:sz w:val="22"/>
              </w:rPr>
            </w:pPr>
            <w:r>
              <w:rPr>
                <w:spacing w:val="-2"/>
                <w:sz w:val="22"/>
              </w:rPr>
              <w:t>Lee</w:t>
            </w:r>
            <w:r>
              <w:rPr>
                <w:spacing w:val="-14"/>
                <w:sz w:val="22"/>
              </w:rPr>
              <w:t> </w:t>
            </w:r>
            <w:r>
              <w:rPr>
                <w:spacing w:val="-2"/>
                <w:sz w:val="22"/>
              </w:rPr>
              <w:t>Davies,</w:t>
            </w:r>
            <w:r>
              <w:rPr>
                <w:spacing w:val="-13"/>
                <w:sz w:val="22"/>
              </w:rPr>
              <w:t> </w:t>
            </w:r>
            <w:r>
              <w:rPr>
                <w:spacing w:val="-2"/>
                <w:sz w:val="22"/>
              </w:rPr>
              <w:t>Executive</w:t>
            </w:r>
            <w:r>
              <w:rPr>
                <w:spacing w:val="-13"/>
                <w:sz w:val="22"/>
              </w:rPr>
              <w:t> </w:t>
            </w:r>
            <w:r>
              <w:rPr>
                <w:spacing w:val="-2"/>
                <w:sz w:val="22"/>
              </w:rPr>
              <w:t>Director</w:t>
            </w:r>
            <w:r>
              <w:rPr>
                <w:spacing w:val="-14"/>
                <w:sz w:val="22"/>
              </w:rPr>
              <w:t> </w:t>
            </w:r>
            <w:r>
              <w:rPr>
                <w:spacing w:val="-2"/>
                <w:sz w:val="22"/>
              </w:rPr>
              <w:t>of</w:t>
            </w:r>
            <w:r>
              <w:rPr>
                <w:spacing w:val="-13"/>
                <w:sz w:val="22"/>
              </w:rPr>
              <w:t> </w:t>
            </w:r>
            <w:r>
              <w:rPr>
                <w:spacing w:val="-2"/>
                <w:sz w:val="22"/>
              </w:rPr>
              <w:t>Strategy</w:t>
            </w:r>
            <w:r>
              <w:rPr>
                <w:spacing w:val="-13"/>
                <w:sz w:val="22"/>
              </w:rPr>
              <w:t> </w:t>
            </w:r>
            <w:r>
              <w:rPr>
                <w:spacing w:val="-2"/>
                <w:sz w:val="22"/>
              </w:rPr>
              <w:t>and</w:t>
            </w:r>
            <w:r>
              <w:rPr>
                <w:spacing w:val="-13"/>
                <w:sz w:val="22"/>
              </w:rPr>
              <w:t> </w:t>
            </w:r>
            <w:r>
              <w:rPr>
                <w:spacing w:val="-2"/>
                <w:sz w:val="22"/>
              </w:rPr>
              <w:t>Planning, </w:t>
            </w:r>
            <w:r>
              <w:rPr>
                <w:sz w:val="22"/>
              </w:rPr>
              <w:t>Hywel Dda University Health Board</w:t>
            </w:r>
          </w:p>
        </w:tc>
      </w:tr>
      <w:tr>
        <w:trPr>
          <w:trHeight w:val="975" w:hRule="atLeast"/>
        </w:trPr>
        <w:tc>
          <w:tcPr>
            <w:tcW w:w="3972" w:type="dxa"/>
            <w:shd w:val="clear" w:color="auto" w:fill="C1A875"/>
          </w:tcPr>
          <w:p>
            <w:pPr>
              <w:pStyle w:val="TableParagraph"/>
              <w:spacing w:before="1"/>
              <w:ind w:left="110" w:right="1082"/>
              <w:rPr>
                <w:b/>
                <w:sz w:val="18"/>
              </w:rPr>
            </w:pPr>
            <w:r>
              <w:rPr>
                <w:b/>
                <w:sz w:val="18"/>
              </w:rPr>
              <w:t>SWYDDOG</w:t>
            </w:r>
            <w:r>
              <w:rPr>
                <w:b/>
                <w:spacing w:val="-1"/>
                <w:sz w:val="18"/>
              </w:rPr>
              <w:t> </w:t>
            </w:r>
            <w:r>
              <w:rPr>
                <w:b/>
                <w:sz w:val="18"/>
              </w:rPr>
              <w:t>ADRODD: </w:t>
            </w:r>
            <w:r>
              <w:rPr>
                <w:b/>
                <w:spacing w:val="-4"/>
                <w:sz w:val="18"/>
              </w:rPr>
              <w:t>REPORTING</w:t>
            </w:r>
            <w:r>
              <w:rPr>
                <w:b/>
                <w:spacing w:val="-11"/>
                <w:sz w:val="18"/>
              </w:rPr>
              <w:t> </w:t>
            </w:r>
            <w:r>
              <w:rPr>
                <w:b/>
                <w:spacing w:val="-4"/>
                <w:sz w:val="18"/>
              </w:rPr>
              <w:t>OFFICER:</w:t>
            </w:r>
          </w:p>
        </w:tc>
        <w:tc>
          <w:tcPr>
            <w:tcW w:w="6098" w:type="dxa"/>
          </w:tcPr>
          <w:p>
            <w:pPr>
              <w:pStyle w:val="TableParagraph"/>
              <w:ind w:left="109" w:right="108"/>
              <w:rPr>
                <w:sz w:val="22"/>
              </w:rPr>
            </w:pPr>
            <w:r>
              <w:rPr>
                <w:sz w:val="22"/>
              </w:rPr>
              <w:t>Rose</w:t>
            </w:r>
            <w:r>
              <w:rPr>
                <w:spacing w:val="-6"/>
                <w:sz w:val="22"/>
              </w:rPr>
              <w:t> </w:t>
            </w:r>
            <w:r>
              <w:rPr>
                <w:sz w:val="22"/>
              </w:rPr>
              <w:t>Turrell,</w:t>
            </w:r>
            <w:r>
              <w:rPr>
                <w:spacing w:val="-4"/>
                <w:sz w:val="22"/>
              </w:rPr>
              <w:t> </w:t>
            </w:r>
            <w:r>
              <w:rPr>
                <w:sz w:val="22"/>
              </w:rPr>
              <w:t>Pathology</w:t>
            </w:r>
            <w:r>
              <w:rPr>
                <w:spacing w:val="-3"/>
                <w:sz w:val="22"/>
              </w:rPr>
              <w:t> </w:t>
            </w:r>
            <w:r>
              <w:rPr>
                <w:sz w:val="22"/>
              </w:rPr>
              <w:t>Programme Manager,</w:t>
            </w:r>
            <w:r>
              <w:rPr>
                <w:spacing w:val="-4"/>
                <w:sz w:val="22"/>
              </w:rPr>
              <w:t> </w:t>
            </w:r>
            <w:r>
              <w:rPr>
                <w:sz w:val="22"/>
              </w:rPr>
              <w:t>RJC PMO </w:t>
            </w:r>
            <w:r>
              <w:rPr>
                <w:spacing w:val="-2"/>
                <w:sz w:val="22"/>
              </w:rPr>
              <w:t>Heather</w:t>
            </w:r>
            <w:r>
              <w:rPr>
                <w:spacing w:val="-14"/>
                <w:sz w:val="22"/>
              </w:rPr>
              <w:t> </w:t>
            </w:r>
            <w:r>
              <w:rPr>
                <w:spacing w:val="-2"/>
                <w:sz w:val="22"/>
              </w:rPr>
              <w:t>Edwards,</w:t>
            </w:r>
            <w:r>
              <w:rPr>
                <w:spacing w:val="-13"/>
                <w:sz w:val="22"/>
              </w:rPr>
              <w:t> </w:t>
            </w:r>
            <w:r>
              <w:rPr>
                <w:spacing w:val="-2"/>
                <w:sz w:val="22"/>
              </w:rPr>
              <w:t>Business</w:t>
            </w:r>
            <w:r>
              <w:rPr>
                <w:spacing w:val="-13"/>
                <w:sz w:val="22"/>
              </w:rPr>
              <w:t> </w:t>
            </w:r>
            <w:r>
              <w:rPr>
                <w:spacing w:val="-2"/>
                <w:sz w:val="22"/>
              </w:rPr>
              <w:t>Planning</w:t>
            </w:r>
            <w:r>
              <w:rPr>
                <w:spacing w:val="-14"/>
                <w:sz w:val="22"/>
              </w:rPr>
              <w:t> </w:t>
            </w:r>
            <w:r>
              <w:rPr>
                <w:spacing w:val="-2"/>
                <w:sz w:val="22"/>
              </w:rPr>
              <w:t>Manager,</w:t>
            </w:r>
            <w:r>
              <w:rPr>
                <w:spacing w:val="-13"/>
                <w:sz w:val="22"/>
              </w:rPr>
              <w:t> </w:t>
            </w:r>
            <w:r>
              <w:rPr>
                <w:spacing w:val="-2"/>
                <w:sz w:val="22"/>
              </w:rPr>
              <w:t>Swansea</w:t>
            </w:r>
            <w:r>
              <w:rPr>
                <w:spacing w:val="-13"/>
                <w:sz w:val="22"/>
              </w:rPr>
              <w:t> </w:t>
            </w:r>
            <w:r>
              <w:rPr>
                <w:spacing w:val="-2"/>
                <w:sz w:val="22"/>
              </w:rPr>
              <w:t>Bay </w:t>
            </w:r>
            <w:r>
              <w:rPr>
                <w:spacing w:val="-4"/>
                <w:sz w:val="22"/>
              </w:rPr>
              <w:t>UHB</w:t>
            </w:r>
          </w:p>
        </w:tc>
      </w:tr>
    </w:tbl>
    <w:p>
      <w:pPr>
        <w:pStyle w:val="BodyText"/>
        <w:spacing w:before="46"/>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5" w:hRule="atLeast"/>
        </w:trPr>
        <w:tc>
          <w:tcPr>
            <w:tcW w:w="10069" w:type="dxa"/>
            <w:shd w:val="clear" w:color="auto" w:fill="394871"/>
          </w:tcPr>
          <w:p>
            <w:pPr>
              <w:pStyle w:val="TableParagraph"/>
              <w:spacing w:line="276" w:lineRule="exact"/>
              <w:ind w:left="110"/>
              <w:rPr>
                <w:sz w:val="24"/>
              </w:rPr>
            </w:pPr>
            <w:r>
              <w:rPr>
                <w:b/>
                <w:color w:val="FFFFFF"/>
                <w:spacing w:val="-2"/>
                <w:sz w:val="24"/>
              </w:rPr>
              <w:t>Pwrpas</w:t>
            </w:r>
            <w:r>
              <w:rPr>
                <w:b/>
                <w:color w:val="FFFFFF"/>
                <w:spacing w:val="-11"/>
                <w:sz w:val="24"/>
              </w:rPr>
              <w:t> </w:t>
            </w:r>
            <w:r>
              <w:rPr>
                <w:b/>
                <w:color w:val="FFFFFF"/>
                <w:spacing w:val="-2"/>
                <w:sz w:val="24"/>
              </w:rPr>
              <w:t>yr</w:t>
            </w:r>
            <w:r>
              <w:rPr>
                <w:b/>
                <w:color w:val="FFFFFF"/>
                <w:spacing w:val="-13"/>
                <w:sz w:val="24"/>
              </w:rPr>
              <w:t> </w:t>
            </w:r>
            <w:r>
              <w:rPr>
                <w:b/>
                <w:color w:val="FFFFFF"/>
                <w:spacing w:val="-2"/>
                <w:sz w:val="24"/>
              </w:rPr>
              <w:t>Adroddiad</w:t>
            </w:r>
            <w:r>
              <w:rPr>
                <w:b/>
                <w:color w:val="FFFFFF"/>
                <w:spacing w:val="-14"/>
                <w:sz w:val="24"/>
              </w:rPr>
              <w:t> </w:t>
            </w:r>
            <w:r>
              <w:rPr>
                <w:color w:val="FFFFFF"/>
                <w:spacing w:val="-2"/>
                <w:sz w:val="24"/>
              </w:rPr>
              <w:t>(dewiswch</w:t>
            </w:r>
            <w:r>
              <w:rPr>
                <w:color w:val="FFFFFF"/>
                <w:spacing w:val="-12"/>
                <w:sz w:val="24"/>
              </w:rPr>
              <w:t> </w:t>
            </w:r>
            <w:r>
              <w:rPr>
                <w:color w:val="FFFFFF"/>
                <w:spacing w:val="-2"/>
                <w:sz w:val="24"/>
              </w:rPr>
              <w:t>fel</w:t>
            </w:r>
            <w:r>
              <w:rPr>
                <w:color w:val="FFFFFF"/>
                <w:spacing w:val="-8"/>
                <w:sz w:val="24"/>
              </w:rPr>
              <w:t> </w:t>
            </w:r>
            <w:r>
              <w:rPr>
                <w:color w:val="FFFFFF"/>
                <w:spacing w:val="-2"/>
                <w:sz w:val="24"/>
              </w:rPr>
              <w:t>yn</w:t>
            </w:r>
            <w:r>
              <w:rPr>
                <w:color w:val="FFFFFF"/>
                <w:spacing w:val="-14"/>
                <w:sz w:val="24"/>
              </w:rPr>
              <w:t> </w:t>
            </w:r>
            <w:r>
              <w:rPr>
                <w:color w:val="FFFFFF"/>
                <w:spacing w:val="-2"/>
                <w:sz w:val="24"/>
              </w:rPr>
              <w:t>addas)</w:t>
            </w:r>
          </w:p>
          <w:p>
            <w:pPr>
              <w:pStyle w:val="TableParagraph"/>
              <w:spacing w:line="260" w:lineRule="exact"/>
              <w:ind w:left="110"/>
              <w:rPr>
                <w:sz w:val="24"/>
              </w:rPr>
            </w:pPr>
            <w:r>
              <w:rPr>
                <w:b/>
                <w:color w:val="FFFFFF"/>
                <w:spacing w:val="-2"/>
                <w:sz w:val="24"/>
              </w:rPr>
              <w:t>Purpose</w:t>
            </w:r>
            <w:r>
              <w:rPr>
                <w:b/>
                <w:color w:val="FFFFFF"/>
                <w:spacing w:val="-10"/>
                <w:sz w:val="24"/>
              </w:rPr>
              <w:t> </w:t>
            </w:r>
            <w:r>
              <w:rPr>
                <w:b/>
                <w:color w:val="FFFFFF"/>
                <w:spacing w:val="-2"/>
                <w:sz w:val="24"/>
              </w:rPr>
              <w:t>of</w:t>
            </w:r>
            <w:r>
              <w:rPr>
                <w:b/>
                <w:color w:val="FFFFFF"/>
                <w:spacing w:val="-11"/>
                <w:sz w:val="24"/>
              </w:rPr>
              <w:t> </w:t>
            </w:r>
            <w:r>
              <w:rPr>
                <w:b/>
                <w:color w:val="FFFFFF"/>
                <w:spacing w:val="-2"/>
                <w:sz w:val="24"/>
              </w:rPr>
              <w:t>the</w:t>
            </w:r>
            <w:r>
              <w:rPr>
                <w:b/>
                <w:color w:val="FFFFFF"/>
                <w:spacing w:val="-14"/>
                <w:sz w:val="24"/>
              </w:rPr>
              <w:t> </w:t>
            </w:r>
            <w:r>
              <w:rPr>
                <w:b/>
                <w:color w:val="FFFFFF"/>
                <w:spacing w:val="-2"/>
                <w:sz w:val="24"/>
              </w:rPr>
              <w:t>Report</w:t>
            </w:r>
            <w:r>
              <w:rPr>
                <w:b/>
                <w:color w:val="FFFFFF"/>
                <w:spacing w:val="-4"/>
                <w:sz w:val="24"/>
              </w:rPr>
              <w:t> </w:t>
            </w:r>
            <w:r>
              <w:rPr>
                <w:color w:val="FFFFFF"/>
                <w:spacing w:val="-2"/>
                <w:sz w:val="24"/>
              </w:rPr>
              <w:t>(select</w:t>
            </w:r>
            <w:r>
              <w:rPr>
                <w:color w:val="FFFFFF"/>
                <w:spacing w:val="-11"/>
                <w:sz w:val="24"/>
              </w:rPr>
              <w:t> </w:t>
            </w:r>
            <w:r>
              <w:rPr>
                <w:color w:val="FFFFFF"/>
                <w:spacing w:val="-2"/>
                <w:sz w:val="24"/>
              </w:rPr>
              <w:t>as</w:t>
            </w:r>
            <w:r>
              <w:rPr>
                <w:color w:val="FFFFFF"/>
                <w:spacing w:val="-14"/>
                <w:sz w:val="24"/>
              </w:rPr>
              <w:t> </w:t>
            </w:r>
            <w:r>
              <w:rPr>
                <w:color w:val="FFFFFF"/>
                <w:spacing w:val="-2"/>
                <w:sz w:val="24"/>
              </w:rPr>
              <w:t>appropriate)</w:t>
            </w:r>
          </w:p>
        </w:tc>
      </w:tr>
      <w:tr>
        <w:trPr>
          <w:trHeight w:val="275" w:hRule="atLeast"/>
        </w:trPr>
        <w:tc>
          <w:tcPr>
            <w:tcW w:w="10069" w:type="dxa"/>
          </w:tcPr>
          <w:p>
            <w:pPr>
              <w:pStyle w:val="TableParagraph"/>
              <w:spacing w:line="255" w:lineRule="exact"/>
              <w:ind w:left="165" w:right="159"/>
              <w:jc w:val="center"/>
              <w:rPr>
                <w:sz w:val="24"/>
              </w:rPr>
            </w:pPr>
            <w:r>
              <w:rPr>
                <w:spacing w:val="-2"/>
                <w:sz w:val="24"/>
              </w:rPr>
              <w:t>Er</w:t>
            </w:r>
            <w:r>
              <w:rPr>
                <w:spacing w:val="-15"/>
                <w:sz w:val="24"/>
              </w:rPr>
              <w:t> </w:t>
            </w:r>
            <w:r>
              <w:rPr>
                <w:spacing w:val="-2"/>
                <w:sz w:val="24"/>
              </w:rPr>
              <w:t>Sicrwydd/For</w:t>
            </w:r>
            <w:r>
              <w:rPr>
                <w:spacing w:val="-14"/>
                <w:sz w:val="24"/>
              </w:rPr>
              <w:t> </w:t>
            </w:r>
            <w:r>
              <w:rPr>
                <w:spacing w:val="-2"/>
                <w:sz w:val="24"/>
              </w:rPr>
              <w:t>Assurance</w:t>
            </w:r>
          </w:p>
        </w:tc>
      </w:tr>
    </w:tbl>
    <w:p>
      <w:pPr>
        <w:pStyle w:val="BodyText"/>
        <w:spacing w:before="45"/>
        <w:rPr>
          <w:sz w:val="20"/>
        </w:rPr>
      </w:pP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80" w:hRule="atLeast"/>
        </w:trPr>
        <w:tc>
          <w:tcPr>
            <w:tcW w:w="10069" w:type="dxa"/>
            <w:shd w:val="clear" w:color="auto" w:fill="394871"/>
          </w:tcPr>
          <w:p>
            <w:pPr>
              <w:pStyle w:val="TableParagraph"/>
              <w:spacing w:line="252" w:lineRule="exact"/>
              <w:ind w:left="110"/>
              <w:rPr>
                <w:b/>
                <w:sz w:val="22"/>
              </w:rPr>
            </w:pPr>
            <w:r>
              <w:rPr>
                <w:b/>
                <w:color w:val="FFFFFF"/>
                <w:spacing w:val="-4"/>
                <w:sz w:val="22"/>
              </w:rPr>
              <w:t>ADRODDIAD</w:t>
            </w:r>
            <w:r>
              <w:rPr>
                <w:b/>
                <w:color w:val="FFFFFF"/>
                <w:spacing w:val="-1"/>
                <w:sz w:val="22"/>
              </w:rPr>
              <w:t> </w:t>
            </w:r>
            <w:r>
              <w:rPr>
                <w:b/>
                <w:color w:val="FFFFFF"/>
                <w:spacing w:val="-4"/>
                <w:sz w:val="22"/>
              </w:rPr>
              <w:t>SCAA</w:t>
            </w:r>
          </w:p>
          <w:p>
            <w:pPr>
              <w:pStyle w:val="TableParagraph"/>
              <w:spacing w:before="37"/>
              <w:ind w:left="110"/>
              <w:rPr>
                <w:b/>
                <w:sz w:val="22"/>
              </w:rPr>
            </w:pPr>
            <w:r>
              <w:rPr>
                <w:b/>
                <w:color w:val="FFFFFF"/>
                <w:spacing w:val="-2"/>
                <w:sz w:val="22"/>
              </w:rPr>
              <w:t>SBAR</w:t>
            </w:r>
            <w:r>
              <w:rPr>
                <w:b/>
                <w:color w:val="FFFFFF"/>
                <w:spacing w:val="-13"/>
                <w:sz w:val="22"/>
              </w:rPr>
              <w:t> </w:t>
            </w:r>
            <w:r>
              <w:rPr>
                <w:b/>
                <w:color w:val="FFFFFF"/>
                <w:spacing w:val="-2"/>
                <w:sz w:val="22"/>
              </w:rPr>
              <w:t>REPORT</w:t>
            </w:r>
          </w:p>
        </w:tc>
      </w:tr>
      <w:tr>
        <w:trPr>
          <w:trHeight w:val="3310" w:hRule="atLeast"/>
        </w:trPr>
        <w:tc>
          <w:tcPr>
            <w:tcW w:w="10069" w:type="dxa"/>
          </w:tcPr>
          <w:p>
            <w:pPr>
              <w:pStyle w:val="TableParagraph"/>
              <w:spacing w:before="238"/>
              <w:ind w:left="120"/>
              <w:rPr>
                <w:b/>
                <w:sz w:val="22"/>
              </w:rPr>
            </w:pPr>
            <w:r>
              <w:rPr>
                <w:b/>
                <w:color w:val="394871"/>
                <w:spacing w:val="-2"/>
                <w:sz w:val="22"/>
              </w:rPr>
              <w:t>Sefyllfa</w:t>
            </w:r>
            <w:r>
              <w:rPr>
                <w:b/>
                <w:color w:val="394871"/>
                <w:spacing w:val="-11"/>
                <w:sz w:val="22"/>
              </w:rPr>
              <w:t> </w:t>
            </w:r>
            <w:r>
              <w:rPr>
                <w:b/>
                <w:color w:val="394871"/>
                <w:spacing w:val="-2"/>
                <w:sz w:val="22"/>
              </w:rPr>
              <w:t>/</w:t>
            </w:r>
            <w:r>
              <w:rPr>
                <w:b/>
                <w:color w:val="394871"/>
                <w:spacing w:val="-13"/>
                <w:sz w:val="22"/>
              </w:rPr>
              <w:t> </w:t>
            </w:r>
            <w:r>
              <w:rPr>
                <w:b/>
                <w:color w:val="394871"/>
                <w:spacing w:val="-2"/>
                <w:sz w:val="22"/>
              </w:rPr>
              <w:t>Situation</w:t>
            </w:r>
          </w:p>
          <w:p>
            <w:pPr>
              <w:pStyle w:val="TableParagraph"/>
              <w:spacing w:line="276" w:lineRule="auto" w:before="103"/>
              <w:ind w:left="120" w:right="117"/>
              <w:rPr>
                <w:sz w:val="22"/>
              </w:rPr>
            </w:pPr>
            <w:r>
              <w:rPr>
                <w:spacing w:val="-2"/>
                <w:sz w:val="22"/>
              </w:rPr>
              <w:t>This</w:t>
            </w:r>
            <w:r>
              <w:rPr>
                <w:spacing w:val="-14"/>
                <w:sz w:val="22"/>
              </w:rPr>
              <w:t> </w:t>
            </w:r>
            <w:r>
              <w:rPr>
                <w:spacing w:val="-2"/>
                <w:sz w:val="22"/>
              </w:rPr>
              <w:t>report</w:t>
            </w:r>
            <w:r>
              <w:rPr>
                <w:spacing w:val="-13"/>
                <w:sz w:val="22"/>
              </w:rPr>
              <w:t> </w:t>
            </w:r>
            <w:r>
              <w:rPr>
                <w:spacing w:val="-2"/>
                <w:sz w:val="22"/>
              </w:rPr>
              <w:t>provides</w:t>
            </w:r>
            <w:r>
              <w:rPr>
                <w:spacing w:val="-13"/>
                <w:sz w:val="22"/>
              </w:rPr>
              <w:t> </w:t>
            </w:r>
            <w:r>
              <w:rPr>
                <w:spacing w:val="-2"/>
                <w:sz w:val="22"/>
              </w:rPr>
              <w:t>the</w:t>
            </w:r>
            <w:r>
              <w:rPr>
                <w:spacing w:val="-9"/>
                <w:sz w:val="22"/>
              </w:rPr>
              <w:t> </w:t>
            </w:r>
            <w:r>
              <w:rPr>
                <w:spacing w:val="-2"/>
                <w:sz w:val="22"/>
              </w:rPr>
              <w:t>Regional</w:t>
            </w:r>
            <w:r>
              <w:rPr>
                <w:spacing w:val="-14"/>
                <w:sz w:val="22"/>
              </w:rPr>
              <w:t> </w:t>
            </w:r>
            <w:r>
              <w:rPr>
                <w:spacing w:val="-2"/>
                <w:sz w:val="22"/>
              </w:rPr>
              <w:t>Joint</w:t>
            </w:r>
            <w:r>
              <w:rPr>
                <w:spacing w:val="-11"/>
                <w:sz w:val="22"/>
              </w:rPr>
              <w:t> </w:t>
            </w:r>
            <w:r>
              <w:rPr>
                <w:spacing w:val="-2"/>
                <w:sz w:val="22"/>
              </w:rPr>
              <w:t>Committee</w:t>
            </w:r>
            <w:r>
              <w:rPr>
                <w:spacing w:val="-4"/>
                <w:sz w:val="22"/>
              </w:rPr>
              <w:t> </w:t>
            </w:r>
            <w:r>
              <w:rPr>
                <w:spacing w:val="-2"/>
                <w:sz w:val="22"/>
              </w:rPr>
              <w:t>(RJC)</w:t>
            </w:r>
            <w:r>
              <w:rPr>
                <w:spacing w:val="-13"/>
                <w:sz w:val="22"/>
              </w:rPr>
              <w:t> </w:t>
            </w:r>
            <w:r>
              <w:rPr>
                <w:spacing w:val="-2"/>
                <w:sz w:val="22"/>
              </w:rPr>
              <w:t>with</w:t>
            </w:r>
            <w:r>
              <w:rPr>
                <w:spacing w:val="-8"/>
                <w:sz w:val="22"/>
              </w:rPr>
              <w:t> </w:t>
            </w:r>
            <w:r>
              <w:rPr>
                <w:spacing w:val="-2"/>
                <w:sz w:val="22"/>
              </w:rPr>
              <w:t>an</w:t>
            </w:r>
            <w:r>
              <w:rPr>
                <w:spacing w:val="-13"/>
                <w:sz w:val="22"/>
              </w:rPr>
              <w:t> </w:t>
            </w:r>
            <w:r>
              <w:rPr>
                <w:spacing w:val="-2"/>
                <w:sz w:val="22"/>
              </w:rPr>
              <w:t>update</w:t>
            </w:r>
            <w:r>
              <w:rPr>
                <w:spacing w:val="-8"/>
                <w:sz w:val="22"/>
              </w:rPr>
              <w:t> </w:t>
            </w:r>
            <w:r>
              <w:rPr>
                <w:spacing w:val="-2"/>
                <w:sz w:val="22"/>
              </w:rPr>
              <w:t>on</w:t>
            </w:r>
            <w:r>
              <w:rPr>
                <w:spacing w:val="-8"/>
                <w:sz w:val="22"/>
              </w:rPr>
              <w:t> </w:t>
            </w:r>
            <w:r>
              <w:rPr>
                <w:spacing w:val="-2"/>
                <w:sz w:val="22"/>
              </w:rPr>
              <w:t>the</w:t>
            </w:r>
            <w:r>
              <w:rPr>
                <w:spacing w:val="-13"/>
                <w:sz w:val="22"/>
              </w:rPr>
              <w:t> </w:t>
            </w:r>
            <w:r>
              <w:rPr>
                <w:spacing w:val="-2"/>
                <w:sz w:val="22"/>
              </w:rPr>
              <w:t>development</w:t>
            </w:r>
            <w:r>
              <w:rPr>
                <w:spacing w:val="-12"/>
                <w:sz w:val="22"/>
              </w:rPr>
              <w:t> </w:t>
            </w:r>
            <w:r>
              <w:rPr>
                <w:spacing w:val="-2"/>
                <w:sz w:val="22"/>
              </w:rPr>
              <w:t>of</w:t>
            </w:r>
            <w:r>
              <w:rPr>
                <w:spacing w:val="-12"/>
                <w:sz w:val="22"/>
              </w:rPr>
              <w:t> </w:t>
            </w:r>
            <w:r>
              <w:rPr>
                <w:spacing w:val="-2"/>
                <w:sz w:val="22"/>
              </w:rPr>
              <w:t>the</w:t>
            </w:r>
            <w:r>
              <w:rPr>
                <w:spacing w:val="-13"/>
                <w:sz w:val="22"/>
              </w:rPr>
              <w:t> </w:t>
            </w:r>
            <w:r>
              <w:rPr>
                <w:spacing w:val="-2"/>
                <w:sz w:val="22"/>
              </w:rPr>
              <w:t>Full Business</w:t>
            </w:r>
            <w:r>
              <w:rPr>
                <w:spacing w:val="-10"/>
                <w:sz w:val="22"/>
              </w:rPr>
              <w:t> </w:t>
            </w:r>
            <w:r>
              <w:rPr>
                <w:spacing w:val="-2"/>
                <w:sz w:val="22"/>
              </w:rPr>
              <w:t>Case</w:t>
            </w:r>
            <w:r>
              <w:rPr>
                <w:spacing w:val="-12"/>
                <w:sz w:val="22"/>
              </w:rPr>
              <w:t> </w:t>
            </w:r>
            <w:r>
              <w:rPr>
                <w:spacing w:val="-2"/>
                <w:sz w:val="22"/>
              </w:rPr>
              <w:t>(FBC)</w:t>
            </w:r>
            <w:r>
              <w:rPr>
                <w:spacing w:val="-8"/>
                <w:sz w:val="22"/>
              </w:rPr>
              <w:t> </w:t>
            </w:r>
            <w:r>
              <w:rPr>
                <w:spacing w:val="-2"/>
                <w:sz w:val="22"/>
              </w:rPr>
              <w:t>for</w:t>
            </w:r>
            <w:r>
              <w:rPr>
                <w:spacing w:val="-8"/>
                <w:sz w:val="22"/>
              </w:rPr>
              <w:t> </w:t>
            </w:r>
            <w:r>
              <w:rPr>
                <w:spacing w:val="-2"/>
                <w:sz w:val="22"/>
              </w:rPr>
              <w:t>the</w:t>
            </w:r>
            <w:r>
              <w:rPr>
                <w:spacing w:val="-7"/>
                <w:sz w:val="22"/>
              </w:rPr>
              <w:t> </w:t>
            </w:r>
            <w:r>
              <w:rPr>
                <w:spacing w:val="-2"/>
                <w:sz w:val="22"/>
              </w:rPr>
              <w:t>Regional</w:t>
            </w:r>
            <w:r>
              <w:rPr>
                <w:spacing w:val="-9"/>
                <w:sz w:val="22"/>
              </w:rPr>
              <w:t> </w:t>
            </w:r>
            <w:r>
              <w:rPr>
                <w:spacing w:val="-2"/>
                <w:sz w:val="22"/>
              </w:rPr>
              <w:t>Cellular</w:t>
            </w:r>
            <w:r>
              <w:rPr>
                <w:spacing w:val="-4"/>
                <w:sz w:val="22"/>
              </w:rPr>
              <w:t> </w:t>
            </w:r>
            <w:r>
              <w:rPr>
                <w:spacing w:val="-2"/>
                <w:sz w:val="22"/>
              </w:rPr>
              <w:t>Pathology</w:t>
            </w:r>
            <w:r>
              <w:rPr>
                <w:spacing w:val="-6"/>
                <w:sz w:val="22"/>
              </w:rPr>
              <w:t> </w:t>
            </w:r>
            <w:r>
              <w:rPr>
                <w:spacing w:val="-2"/>
                <w:sz w:val="22"/>
              </w:rPr>
              <w:t>Programme,</w:t>
            </w:r>
            <w:r>
              <w:rPr>
                <w:spacing w:val="-11"/>
                <w:sz w:val="22"/>
              </w:rPr>
              <w:t> </w:t>
            </w:r>
            <w:r>
              <w:rPr>
                <w:spacing w:val="-2"/>
                <w:sz w:val="22"/>
              </w:rPr>
              <w:t>including</w:t>
            </w:r>
            <w:r>
              <w:rPr>
                <w:spacing w:val="-12"/>
                <w:sz w:val="22"/>
              </w:rPr>
              <w:t> </w:t>
            </w:r>
            <w:r>
              <w:rPr>
                <w:spacing w:val="-2"/>
                <w:sz w:val="22"/>
              </w:rPr>
              <w:t>the</w:t>
            </w:r>
            <w:r>
              <w:rPr>
                <w:spacing w:val="-12"/>
                <w:sz w:val="22"/>
              </w:rPr>
              <w:t> </w:t>
            </w:r>
            <w:r>
              <w:rPr>
                <w:spacing w:val="-2"/>
                <w:sz w:val="22"/>
              </w:rPr>
              <w:t>establishment</w:t>
            </w:r>
            <w:r>
              <w:rPr>
                <w:spacing w:val="-11"/>
                <w:sz w:val="22"/>
              </w:rPr>
              <w:t> </w:t>
            </w:r>
            <w:r>
              <w:rPr>
                <w:spacing w:val="-2"/>
                <w:sz w:val="22"/>
              </w:rPr>
              <w:t>of</w:t>
            </w:r>
            <w:r>
              <w:rPr>
                <w:spacing w:val="-11"/>
                <w:sz w:val="22"/>
              </w:rPr>
              <w:t> </w:t>
            </w:r>
            <w:r>
              <w:rPr>
                <w:spacing w:val="-2"/>
                <w:sz w:val="22"/>
              </w:rPr>
              <w:t>a </w:t>
            </w:r>
            <w:r>
              <w:rPr>
                <w:sz w:val="22"/>
              </w:rPr>
              <w:t>single</w:t>
            </w:r>
            <w:r>
              <w:rPr>
                <w:spacing w:val="-12"/>
                <w:sz w:val="22"/>
              </w:rPr>
              <w:t> </w:t>
            </w:r>
            <w:r>
              <w:rPr>
                <w:sz w:val="22"/>
              </w:rPr>
              <w:t>integrated</w:t>
            </w:r>
            <w:r>
              <w:rPr>
                <w:spacing w:val="-16"/>
                <w:sz w:val="22"/>
              </w:rPr>
              <w:t> </w:t>
            </w:r>
            <w:r>
              <w:rPr>
                <w:sz w:val="22"/>
              </w:rPr>
              <w:t>laboratory</w:t>
            </w:r>
            <w:r>
              <w:rPr>
                <w:spacing w:val="-13"/>
                <w:sz w:val="22"/>
              </w:rPr>
              <w:t> </w:t>
            </w:r>
            <w:r>
              <w:rPr>
                <w:sz w:val="22"/>
              </w:rPr>
              <w:t>facility</w:t>
            </w:r>
            <w:r>
              <w:rPr>
                <w:spacing w:val="-14"/>
                <w:sz w:val="22"/>
              </w:rPr>
              <w:t> </w:t>
            </w:r>
            <w:r>
              <w:rPr>
                <w:sz w:val="22"/>
              </w:rPr>
              <w:t>at</w:t>
            </w:r>
            <w:r>
              <w:rPr>
                <w:spacing w:val="-11"/>
                <w:sz w:val="22"/>
              </w:rPr>
              <w:t> </w:t>
            </w:r>
            <w:r>
              <w:rPr>
                <w:sz w:val="22"/>
              </w:rPr>
              <w:t>Swansea</w:t>
            </w:r>
            <w:r>
              <w:rPr>
                <w:spacing w:val="-16"/>
                <w:sz w:val="22"/>
              </w:rPr>
              <w:t> </w:t>
            </w:r>
            <w:r>
              <w:rPr>
                <w:sz w:val="22"/>
              </w:rPr>
              <w:t>University</w:t>
            </w:r>
            <w:r>
              <w:rPr>
                <w:spacing w:val="-13"/>
                <w:sz w:val="22"/>
              </w:rPr>
              <w:t> </w:t>
            </w:r>
            <w:r>
              <w:rPr>
                <w:sz w:val="22"/>
              </w:rPr>
              <w:t>Bay</w:t>
            </w:r>
            <w:r>
              <w:rPr>
                <w:spacing w:val="-14"/>
                <w:sz w:val="22"/>
              </w:rPr>
              <w:t> </w:t>
            </w:r>
            <w:r>
              <w:rPr>
                <w:sz w:val="22"/>
              </w:rPr>
              <w:t>Campus</w:t>
            </w:r>
            <w:r>
              <w:rPr>
                <w:spacing w:val="-14"/>
                <w:sz w:val="22"/>
              </w:rPr>
              <w:t> </w:t>
            </w:r>
            <w:r>
              <w:rPr>
                <w:sz w:val="22"/>
              </w:rPr>
              <w:t>to</w:t>
            </w:r>
            <w:r>
              <w:rPr>
                <w:spacing w:val="-11"/>
                <w:sz w:val="22"/>
              </w:rPr>
              <w:t> </w:t>
            </w:r>
            <w:r>
              <w:rPr>
                <w:sz w:val="22"/>
              </w:rPr>
              <w:t>serve</w:t>
            </w:r>
            <w:r>
              <w:rPr>
                <w:spacing w:val="-11"/>
                <w:sz w:val="22"/>
              </w:rPr>
              <w:t> </w:t>
            </w:r>
            <w:r>
              <w:rPr>
                <w:sz w:val="22"/>
              </w:rPr>
              <w:t>the</w:t>
            </w:r>
            <w:r>
              <w:rPr>
                <w:spacing w:val="-16"/>
                <w:sz w:val="22"/>
              </w:rPr>
              <w:t> </w:t>
            </w:r>
            <w:r>
              <w:rPr>
                <w:sz w:val="22"/>
              </w:rPr>
              <w:t>Mid,</w:t>
            </w:r>
            <w:r>
              <w:rPr>
                <w:spacing w:val="-14"/>
                <w:sz w:val="22"/>
              </w:rPr>
              <w:t> </w:t>
            </w:r>
            <w:r>
              <w:rPr>
                <w:sz w:val="22"/>
              </w:rPr>
              <w:t>South</w:t>
            </w:r>
            <w:r>
              <w:rPr>
                <w:spacing w:val="-16"/>
                <w:sz w:val="22"/>
              </w:rPr>
              <w:t> </w:t>
            </w:r>
            <w:r>
              <w:rPr>
                <w:sz w:val="22"/>
              </w:rPr>
              <w:t>and West Wales population.</w:t>
            </w:r>
          </w:p>
          <w:p>
            <w:pPr>
              <w:pStyle w:val="TableParagraph"/>
              <w:spacing w:before="33"/>
              <w:rPr>
                <w:sz w:val="22"/>
              </w:rPr>
            </w:pPr>
          </w:p>
          <w:p>
            <w:pPr>
              <w:pStyle w:val="TableParagraph"/>
              <w:spacing w:line="276" w:lineRule="auto" w:before="1"/>
              <w:ind w:left="120" w:right="212"/>
              <w:rPr>
                <w:sz w:val="22"/>
              </w:rPr>
            </w:pPr>
            <w:r>
              <w:rPr>
                <w:spacing w:val="-2"/>
                <w:sz w:val="22"/>
              </w:rPr>
              <w:t>The</w:t>
            </w:r>
            <w:r>
              <w:rPr>
                <w:spacing w:val="-14"/>
                <w:sz w:val="22"/>
              </w:rPr>
              <w:t> </w:t>
            </w:r>
            <w:r>
              <w:rPr>
                <w:spacing w:val="-2"/>
                <w:sz w:val="22"/>
              </w:rPr>
              <w:t>report</w:t>
            </w:r>
            <w:r>
              <w:rPr>
                <w:spacing w:val="-13"/>
                <w:sz w:val="22"/>
              </w:rPr>
              <w:t> </w:t>
            </w:r>
            <w:r>
              <w:rPr>
                <w:spacing w:val="-2"/>
                <w:sz w:val="22"/>
              </w:rPr>
              <w:t>outlines</w:t>
            </w:r>
            <w:r>
              <w:rPr>
                <w:spacing w:val="-13"/>
                <w:sz w:val="22"/>
              </w:rPr>
              <w:t> </w:t>
            </w:r>
            <w:r>
              <w:rPr>
                <w:spacing w:val="-2"/>
                <w:sz w:val="22"/>
              </w:rPr>
              <w:t>progress</w:t>
            </w:r>
            <w:r>
              <w:rPr>
                <w:spacing w:val="-14"/>
                <w:sz w:val="22"/>
              </w:rPr>
              <w:t> </w:t>
            </w:r>
            <w:r>
              <w:rPr>
                <w:spacing w:val="-2"/>
                <w:sz w:val="22"/>
              </w:rPr>
              <w:t>made</w:t>
            </w:r>
            <w:r>
              <w:rPr>
                <w:spacing w:val="-13"/>
                <w:sz w:val="22"/>
              </w:rPr>
              <w:t> </w:t>
            </w:r>
            <w:r>
              <w:rPr>
                <w:spacing w:val="-2"/>
                <w:sz w:val="22"/>
              </w:rPr>
              <w:t>since</w:t>
            </w:r>
            <w:r>
              <w:rPr>
                <w:spacing w:val="-13"/>
                <w:sz w:val="22"/>
              </w:rPr>
              <w:t> </w:t>
            </w:r>
            <w:r>
              <w:rPr>
                <w:spacing w:val="-2"/>
                <w:sz w:val="22"/>
              </w:rPr>
              <w:t>the</w:t>
            </w:r>
            <w:r>
              <w:rPr>
                <w:spacing w:val="-13"/>
                <w:sz w:val="22"/>
              </w:rPr>
              <w:t> </w:t>
            </w:r>
            <w:r>
              <w:rPr>
                <w:spacing w:val="-2"/>
                <w:sz w:val="22"/>
              </w:rPr>
              <w:t>preferred</w:t>
            </w:r>
            <w:r>
              <w:rPr>
                <w:spacing w:val="-13"/>
                <w:sz w:val="22"/>
              </w:rPr>
              <w:t> </w:t>
            </w:r>
            <w:r>
              <w:rPr>
                <w:spacing w:val="-2"/>
                <w:sz w:val="22"/>
              </w:rPr>
              <w:t>laboratory</w:t>
            </w:r>
            <w:r>
              <w:rPr>
                <w:spacing w:val="-13"/>
                <w:sz w:val="22"/>
              </w:rPr>
              <w:t> </w:t>
            </w:r>
            <w:r>
              <w:rPr>
                <w:spacing w:val="-2"/>
                <w:sz w:val="22"/>
              </w:rPr>
              <w:t>development</w:t>
            </w:r>
            <w:r>
              <w:rPr>
                <w:spacing w:val="-14"/>
                <w:sz w:val="22"/>
              </w:rPr>
              <w:t> </w:t>
            </w:r>
            <w:r>
              <w:rPr>
                <w:spacing w:val="-2"/>
                <w:sz w:val="22"/>
              </w:rPr>
              <w:t>option</w:t>
            </w:r>
            <w:r>
              <w:rPr>
                <w:spacing w:val="-11"/>
                <w:sz w:val="22"/>
              </w:rPr>
              <w:t> </w:t>
            </w:r>
            <w:r>
              <w:rPr>
                <w:spacing w:val="-2"/>
                <w:sz w:val="22"/>
              </w:rPr>
              <w:t>was</w:t>
            </w:r>
            <w:r>
              <w:rPr>
                <w:spacing w:val="-13"/>
                <w:sz w:val="22"/>
              </w:rPr>
              <w:t> </w:t>
            </w:r>
            <w:r>
              <w:rPr>
                <w:spacing w:val="-2"/>
                <w:sz w:val="22"/>
              </w:rPr>
              <w:t>endorsed</w:t>
            </w:r>
            <w:r>
              <w:rPr>
                <w:spacing w:val="-13"/>
                <w:sz w:val="22"/>
              </w:rPr>
              <w:t> </w:t>
            </w:r>
            <w:r>
              <w:rPr>
                <w:spacing w:val="-2"/>
                <w:sz w:val="22"/>
              </w:rPr>
              <w:t>by </w:t>
            </w:r>
            <w:r>
              <w:rPr>
                <w:sz w:val="22"/>
              </w:rPr>
              <w:t>the</w:t>
            </w:r>
            <w:r>
              <w:rPr>
                <w:spacing w:val="-16"/>
                <w:sz w:val="22"/>
              </w:rPr>
              <w:t> </w:t>
            </w:r>
            <w:r>
              <w:rPr>
                <w:sz w:val="22"/>
              </w:rPr>
              <w:t>Regional</w:t>
            </w:r>
            <w:r>
              <w:rPr>
                <w:spacing w:val="-12"/>
                <w:sz w:val="22"/>
              </w:rPr>
              <w:t> </w:t>
            </w:r>
            <w:r>
              <w:rPr>
                <w:sz w:val="22"/>
              </w:rPr>
              <w:t>Joint</w:t>
            </w:r>
            <w:r>
              <w:rPr>
                <w:spacing w:val="-14"/>
                <w:sz w:val="22"/>
              </w:rPr>
              <w:t> </w:t>
            </w:r>
            <w:r>
              <w:rPr>
                <w:sz w:val="22"/>
              </w:rPr>
              <w:t>Committee</w:t>
            </w:r>
            <w:r>
              <w:rPr>
                <w:spacing w:val="-15"/>
                <w:sz w:val="22"/>
              </w:rPr>
              <w:t> </w:t>
            </w:r>
            <w:r>
              <w:rPr>
                <w:sz w:val="22"/>
              </w:rPr>
              <w:t>and</w:t>
            </w:r>
            <w:r>
              <w:rPr>
                <w:spacing w:val="-12"/>
                <w:sz w:val="22"/>
              </w:rPr>
              <w:t> </w:t>
            </w:r>
            <w:r>
              <w:rPr>
                <w:sz w:val="22"/>
              </w:rPr>
              <w:t>approved</w:t>
            </w:r>
            <w:r>
              <w:rPr>
                <w:spacing w:val="-10"/>
                <w:sz w:val="22"/>
              </w:rPr>
              <w:t> </w:t>
            </w:r>
            <w:r>
              <w:rPr>
                <w:sz w:val="22"/>
              </w:rPr>
              <w:t>by</w:t>
            </w:r>
            <w:r>
              <w:rPr>
                <w:spacing w:val="-11"/>
                <w:sz w:val="22"/>
              </w:rPr>
              <w:t> </w:t>
            </w:r>
            <w:r>
              <w:rPr>
                <w:sz w:val="22"/>
              </w:rPr>
              <w:t>the</w:t>
            </w:r>
            <w:r>
              <w:rPr>
                <w:spacing w:val="-10"/>
                <w:sz w:val="22"/>
              </w:rPr>
              <w:t> </w:t>
            </w:r>
            <w:r>
              <w:rPr>
                <w:sz w:val="22"/>
              </w:rPr>
              <w:t>constituent</w:t>
            </w:r>
            <w:r>
              <w:rPr>
                <w:spacing w:val="-14"/>
                <w:sz w:val="22"/>
              </w:rPr>
              <w:t> </w:t>
            </w:r>
            <w:r>
              <w:rPr>
                <w:sz w:val="22"/>
              </w:rPr>
              <w:t>Health</w:t>
            </w:r>
            <w:r>
              <w:rPr>
                <w:spacing w:val="-6"/>
                <w:sz w:val="22"/>
              </w:rPr>
              <w:t> </w:t>
            </w:r>
            <w:r>
              <w:rPr>
                <w:sz w:val="22"/>
              </w:rPr>
              <w:t>Boards</w:t>
            </w:r>
            <w:r>
              <w:rPr>
                <w:spacing w:val="-16"/>
                <w:sz w:val="22"/>
              </w:rPr>
              <w:t> </w:t>
            </w:r>
            <w:r>
              <w:rPr>
                <w:sz w:val="22"/>
              </w:rPr>
              <w:t>in</w:t>
            </w:r>
            <w:r>
              <w:rPr>
                <w:spacing w:val="-9"/>
                <w:sz w:val="22"/>
              </w:rPr>
              <w:t> </w:t>
            </w:r>
            <w:r>
              <w:rPr>
                <w:sz w:val="22"/>
              </w:rPr>
              <w:t>February</w:t>
            </w:r>
            <w:r>
              <w:rPr>
                <w:spacing w:val="-13"/>
                <w:sz w:val="22"/>
              </w:rPr>
              <w:t> </w:t>
            </w:r>
            <w:r>
              <w:rPr>
                <w:sz w:val="22"/>
              </w:rPr>
              <w:t>2026.</w:t>
            </w:r>
            <w:r>
              <w:rPr>
                <w:spacing w:val="-14"/>
                <w:sz w:val="22"/>
              </w:rPr>
              <w:t> </w:t>
            </w:r>
            <w:r>
              <w:rPr>
                <w:sz w:val="22"/>
              </w:rPr>
              <w:t>It highlights</w:t>
            </w:r>
            <w:r>
              <w:rPr>
                <w:spacing w:val="-16"/>
                <w:sz w:val="22"/>
              </w:rPr>
              <w:t> </w:t>
            </w:r>
            <w:r>
              <w:rPr>
                <w:sz w:val="22"/>
              </w:rPr>
              <w:t>the</w:t>
            </w:r>
            <w:r>
              <w:rPr>
                <w:spacing w:val="-15"/>
                <w:sz w:val="22"/>
              </w:rPr>
              <w:t> </w:t>
            </w:r>
            <w:r>
              <w:rPr>
                <w:sz w:val="22"/>
              </w:rPr>
              <w:t>key</w:t>
            </w:r>
            <w:r>
              <w:rPr>
                <w:spacing w:val="-15"/>
                <w:sz w:val="22"/>
              </w:rPr>
              <w:t> </w:t>
            </w:r>
            <w:r>
              <w:rPr>
                <w:sz w:val="22"/>
              </w:rPr>
              <w:t>decisions,</w:t>
            </w:r>
            <w:r>
              <w:rPr>
                <w:spacing w:val="-16"/>
                <w:sz w:val="22"/>
              </w:rPr>
              <w:t> </w:t>
            </w:r>
            <w:r>
              <w:rPr>
                <w:sz w:val="22"/>
              </w:rPr>
              <w:t>risks,</w:t>
            </w:r>
            <w:r>
              <w:rPr>
                <w:spacing w:val="-15"/>
                <w:sz w:val="22"/>
              </w:rPr>
              <w:t> </w:t>
            </w:r>
            <w:r>
              <w:rPr>
                <w:sz w:val="22"/>
              </w:rPr>
              <w:t>dependencies</w:t>
            </w:r>
            <w:r>
              <w:rPr>
                <w:spacing w:val="-15"/>
                <w:sz w:val="22"/>
              </w:rPr>
              <w:t> </w:t>
            </w:r>
            <w:r>
              <w:rPr>
                <w:sz w:val="22"/>
              </w:rPr>
              <w:t>and</w:t>
            </w:r>
            <w:r>
              <w:rPr>
                <w:spacing w:val="-15"/>
                <w:sz w:val="22"/>
              </w:rPr>
              <w:t> </w:t>
            </w:r>
            <w:r>
              <w:rPr>
                <w:sz w:val="22"/>
              </w:rPr>
              <w:t>next</w:t>
            </w:r>
            <w:r>
              <w:rPr>
                <w:spacing w:val="-16"/>
                <w:sz w:val="22"/>
              </w:rPr>
              <w:t> </w:t>
            </w:r>
            <w:r>
              <w:rPr>
                <w:sz w:val="22"/>
              </w:rPr>
              <w:t>steps</w:t>
            </w:r>
            <w:r>
              <w:rPr>
                <w:spacing w:val="-15"/>
                <w:sz w:val="22"/>
              </w:rPr>
              <w:t> </w:t>
            </w:r>
            <w:r>
              <w:rPr>
                <w:sz w:val="22"/>
              </w:rPr>
              <w:t>required</w:t>
            </w:r>
            <w:r>
              <w:rPr>
                <w:spacing w:val="-15"/>
                <w:sz w:val="22"/>
              </w:rPr>
              <w:t> </w:t>
            </w:r>
            <w:r>
              <w:rPr>
                <w:sz w:val="22"/>
              </w:rPr>
              <w:t>to</w:t>
            </w:r>
            <w:r>
              <w:rPr>
                <w:spacing w:val="-16"/>
                <w:sz w:val="22"/>
              </w:rPr>
              <w:t> </w:t>
            </w:r>
            <w:r>
              <w:rPr>
                <w:sz w:val="22"/>
              </w:rPr>
              <w:t>support</w:t>
            </w:r>
            <w:r>
              <w:rPr>
                <w:spacing w:val="-15"/>
                <w:sz w:val="22"/>
              </w:rPr>
              <w:t> </w:t>
            </w:r>
            <w:r>
              <w:rPr>
                <w:sz w:val="22"/>
              </w:rPr>
              <w:t>programme </w:t>
            </w:r>
            <w:r>
              <w:rPr>
                <w:spacing w:val="-2"/>
                <w:sz w:val="22"/>
              </w:rPr>
              <w:t>delivery.</w:t>
            </w:r>
          </w:p>
        </w:tc>
      </w:tr>
      <w:tr>
        <w:trPr>
          <w:trHeight w:val="4926" w:hRule="atLeast"/>
        </w:trPr>
        <w:tc>
          <w:tcPr>
            <w:tcW w:w="10069" w:type="dxa"/>
          </w:tcPr>
          <w:p>
            <w:pPr>
              <w:pStyle w:val="TableParagraph"/>
              <w:spacing w:before="98"/>
              <w:ind w:left="120"/>
              <w:rPr>
                <w:b/>
                <w:sz w:val="22"/>
              </w:rPr>
            </w:pPr>
            <w:r>
              <w:rPr>
                <w:b/>
                <w:color w:val="394871"/>
                <w:spacing w:val="-2"/>
                <w:sz w:val="22"/>
              </w:rPr>
              <w:t>Cefndir</w:t>
            </w:r>
            <w:r>
              <w:rPr>
                <w:b/>
                <w:color w:val="394871"/>
                <w:spacing w:val="-11"/>
                <w:sz w:val="22"/>
              </w:rPr>
              <w:t> </w:t>
            </w:r>
            <w:r>
              <w:rPr>
                <w:b/>
                <w:color w:val="394871"/>
                <w:spacing w:val="-2"/>
                <w:sz w:val="22"/>
              </w:rPr>
              <w:t>/</w:t>
            </w:r>
            <w:r>
              <w:rPr>
                <w:b/>
                <w:color w:val="394871"/>
                <w:spacing w:val="-11"/>
                <w:sz w:val="22"/>
              </w:rPr>
              <w:t> </w:t>
            </w:r>
            <w:r>
              <w:rPr>
                <w:b/>
                <w:color w:val="394871"/>
                <w:spacing w:val="-2"/>
                <w:sz w:val="22"/>
              </w:rPr>
              <w:t>Background</w:t>
            </w:r>
          </w:p>
          <w:p>
            <w:pPr>
              <w:pStyle w:val="TableParagraph"/>
              <w:spacing w:line="276" w:lineRule="auto" w:before="98"/>
              <w:ind w:left="120"/>
              <w:rPr>
                <w:sz w:val="22"/>
              </w:rPr>
            </w:pPr>
            <w:r>
              <w:rPr>
                <w:sz w:val="22"/>
              </w:rPr>
              <w:t>The</w:t>
            </w:r>
            <w:r>
              <w:rPr>
                <w:spacing w:val="-16"/>
                <w:sz w:val="22"/>
              </w:rPr>
              <w:t> </w:t>
            </w:r>
            <w:r>
              <w:rPr>
                <w:sz w:val="22"/>
              </w:rPr>
              <w:t>Regional</w:t>
            </w:r>
            <w:r>
              <w:rPr>
                <w:spacing w:val="-15"/>
                <w:sz w:val="22"/>
              </w:rPr>
              <w:t> </w:t>
            </w:r>
            <w:r>
              <w:rPr>
                <w:sz w:val="22"/>
              </w:rPr>
              <w:t>Cellular</w:t>
            </w:r>
            <w:r>
              <w:rPr>
                <w:spacing w:val="-13"/>
                <w:sz w:val="22"/>
              </w:rPr>
              <w:t> </w:t>
            </w:r>
            <w:r>
              <w:rPr>
                <w:sz w:val="22"/>
              </w:rPr>
              <w:t>Pathology</w:t>
            </w:r>
            <w:r>
              <w:rPr>
                <w:spacing w:val="-8"/>
                <w:sz w:val="22"/>
              </w:rPr>
              <w:t> </w:t>
            </w:r>
            <w:r>
              <w:rPr>
                <w:sz w:val="22"/>
              </w:rPr>
              <w:t>Programme</w:t>
            </w:r>
            <w:r>
              <w:rPr>
                <w:spacing w:val="-15"/>
                <w:sz w:val="22"/>
              </w:rPr>
              <w:t> </w:t>
            </w:r>
            <w:r>
              <w:rPr>
                <w:sz w:val="22"/>
              </w:rPr>
              <w:t>originated</w:t>
            </w:r>
            <w:r>
              <w:rPr>
                <w:spacing w:val="-15"/>
                <w:sz w:val="22"/>
              </w:rPr>
              <w:t> </w:t>
            </w:r>
            <w:r>
              <w:rPr>
                <w:sz w:val="22"/>
              </w:rPr>
              <w:t>from</w:t>
            </w:r>
            <w:r>
              <w:rPr>
                <w:spacing w:val="-11"/>
                <w:sz w:val="22"/>
              </w:rPr>
              <w:t> </w:t>
            </w:r>
            <w:r>
              <w:rPr>
                <w:sz w:val="22"/>
              </w:rPr>
              <w:t>a</w:t>
            </w:r>
            <w:r>
              <w:rPr>
                <w:spacing w:val="-10"/>
                <w:sz w:val="22"/>
              </w:rPr>
              <w:t> </w:t>
            </w:r>
            <w:r>
              <w:rPr>
                <w:sz w:val="22"/>
              </w:rPr>
              <w:t>wider</w:t>
            </w:r>
            <w:r>
              <w:rPr>
                <w:spacing w:val="-7"/>
                <w:sz w:val="22"/>
              </w:rPr>
              <w:t> </w:t>
            </w:r>
            <w:r>
              <w:rPr>
                <w:sz w:val="22"/>
              </w:rPr>
              <w:t>South-West</w:t>
            </w:r>
            <w:r>
              <w:rPr>
                <w:spacing w:val="-16"/>
                <w:sz w:val="22"/>
              </w:rPr>
              <w:t> </w:t>
            </w:r>
            <w:r>
              <w:rPr>
                <w:sz w:val="22"/>
              </w:rPr>
              <w:t>Wales</w:t>
            </w:r>
            <w:r>
              <w:rPr>
                <w:spacing w:val="-15"/>
                <w:sz w:val="22"/>
              </w:rPr>
              <w:t> </w:t>
            </w:r>
            <w:r>
              <w:rPr>
                <w:sz w:val="22"/>
              </w:rPr>
              <w:t>Centre</w:t>
            </w:r>
            <w:r>
              <w:rPr>
                <w:spacing w:val="-14"/>
                <w:sz w:val="22"/>
              </w:rPr>
              <w:t> </w:t>
            </w:r>
            <w:r>
              <w:rPr>
                <w:sz w:val="22"/>
              </w:rPr>
              <w:t>of </w:t>
            </w:r>
            <w:r>
              <w:rPr>
                <w:spacing w:val="-2"/>
                <w:sz w:val="22"/>
              </w:rPr>
              <w:t>Excellence</w:t>
            </w:r>
            <w:r>
              <w:rPr>
                <w:spacing w:val="-12"/>
                <w:sz w:val="22"/>
              </w:rPr>
              <w:t> </w:t>
            </w:r>
            <w:r>
              <w:rPr>
                <w:spacing w:val="-2"/>
                <w:sz w:val="22"/>
              </w:rPr>
              <w:t>proposal</w:t>
            </w:r>
            <w:r>
              <w:rPr>
                <w:spacing w:val="-5"/>
                <w:sz w:val="22"/>
              </w:rPr>
              <w:t> </w:t>
            </w:r>
            <w:r>
              <w:rPr>
                <w:spacing w:val="-2"/>
                <w:sz w:val="22"/>
              </w:rPr>
              <w:t>at</w:t>
            </w:r>
            <w:r>
              <w:rPr>
                <w:spacing w:val="-14"/>
                <w:sz w:val="22"/>
              </w:rPr>
              <w:t> </w:t>
            </w:r>
            <w:r>
              <w:rPr>
                <w:spacing w:val="-2"/>
                <w:sz w:val="22"/>
              </w:rPr>
              <w:t>Morriston</w:t>
            </w:r>
            <w:r>
              <w:rPr>
                <w:spacing w:val="-5"/>
                <w:sz w:val="22"/>
              </w:rPr>
              <w:t> </w:t>
            </w:r>
            <w:r>
              <w:rPr>
                <w:spacing w:val="-2"/>
                <w:sz w:val="22"/>
              </w:rPr>
              <w:t>Hospital,</w:t>
            </w:r>
            <w:r>
              <w:rPr>
                <w:spacing w:val="-10"/>
                <w:sz w:val="22"/>
              </w:rPr>
              <w:t> </w:t>
            </w:r>
            <w:r>
              <w:rPr>
                <w:spacing w:val="-2"/>
                <w:sz w:val="22"/>
              </w:rPr>
              <w:t>for</w:t>
            </w:r>
            <w:r>
              <w:rPr>
                <w:spacing w:val="-7"/>
                <w:sz w:val="22"/>
              </w:rPr>
              <w:t> </w:t>
            </w:r>
            <w:r>
              <w:rPr>
                <w:spacing w:val="-2"/>
                <w:sz w:val="22"/>
              </w:rPr>
              <w:t>which</w:t>
            </w:r>
            <w:r>
              <w:rPr>
                <w:spacing w:val="-11"/>
                <w:sz w:val="22"/>
              </w:rPr>
              <w:t> </w:t>
            </w:r>
            <w:r>
              <w:rPr>
                <w:spacing w:val="-2"/>
                <w:sz w:val="22"/>
              </w:rPr>
              <w:t>a</w:t>
            </w:r>
            <w:r>
              <w:rPr>
                <w:spacing w:val="-6"/>
                <w:sz w:val="22"/>
              </w:rPr>
              <w:t> </w:t>
            </w:r>
            <w:r>
              <w:rPr>
                <w:spacing w:val="-2"/>
                <w:sz w:val="22"/>
              </w:rPr>
              <w:t>Strategic</w:t>
            </w:r>
            <w:r>
              <w:rPr>
                <w:spacing w:val="-9"/>
                <w:sz w:val="22"/>
              </w:rPr>
              <w:t> </w:t>
            </w:r>
            <w:r>
              <w:rPr>
                <w:spacing w:val="-2"/>
                <w:sz w:val="22"/>
              </w:rPr>
              <w:t>Outline</w:t>
            </w:r>
            <w:r>
              <w:rPr>
                <w:spacing w:val="-6"/>
                <w:sz w:val="22"/>
              </w:rPr>
              <w:t> </w:t>
            </w:r>
            <w:r>
              <w:rPr>
                <w:spacing w:val="-2"/>
                <w:sz w:val="22"/>
              </w:rPr>
              <w:t>Case</w:t>
            </w:r>
            <w:r>
              <w:rPr>
                <w:spacing w:val="-8"/>
                <w:sz w:val="22"/>
              </w:rPr>
              <w:t> </w:t>
            </w:r>
            <w:r>
              <w:rPr>
                <w:spacing w:val="-2"/>
                <w:sz w:val="22"/>
              </w:rPr>
              <w:t>(SOC)</w:t>
            </w:r>
            <w:r>
              <w:rPr>
                <w:spacing w:val="-6"/>
                <w:sz w:val="22"/>
              </w:rPr>
              <w:t> </w:t>
            </w:r>
            <w:r>
              <w:rPr>
                <w:spacing w:val="-2"/>
                <w:sz w:val="22"/>
              </w:rPr>
              <w:t>was</w:t>
            </w:r>
            <w:r>
              <w:rPr>
                <w:spacing w:val="-9"/>
                <w:sz w:val="22"/>
              </w:rPr>
              <w:t> </w:t>
            </w:r>
            <w:r>
              <w:rPr>
                <w:spacing w:val="-2"/>
                <w:sz w:val="22"/>
              </w:rPr>
              <w:t>endorsed</w:t>
            </w:r>
            <w:r>
              <w:rPr>
                <w:spacing w:val="-11"/>
                <w:sz w:val="22"/>
              </w:rPr>
              <w:t> </w:t>
            </w:r>
            <w:r>
              <w:rPr>
                <w:spacing w:val="-2"/>
                <w:sz w:val="22"/>
              </w:rPr>
              <w:t>by Welsh</w:t>
            </w:r>
            <w:r>
              <w:rPr>
                <w:spacing w:val="-14"/>
                <w:sz w:val="22"/>
              </w:rPr>
              <w:t> </w:t>
            </w:r>
            <w:r>
              <w:rPr>
                <w:spacing w:val="-2"/>
                <w:sz w:val="22"/>
              </w:rPr>
              <w:t>Government</w:t>
            </w:r>
            <w:r>
              <w:rPr>
                <w:spacing w:val="-13"/>
                <w:sz w:val="22"/>
              </w:rPr>
              <w:t> </w:t>
            </w:r>
            <w:r>
              <w:rPr>
                <w:spacing w:val="-2"/>
                <w:sz w:val="22"/>
              </w:rPr>
              <w:t>in</w:t>
            </w:r>
            <w:r>
              <w:rPr>
                <w:spacing w:val="-13"/>
                <w:sz w:val="22"/>
              </w:rPr>
              <w:t> </w:t>
            </w:r>
            <w:r>
              <w:rPr>
                <w:spacing w:val="-2"/>
                <w:sz w:val="22"/>
              </w:rPr>
              <w:t>2020.</w:t>
            </w:r>
            <w:r>
              <w:rPr>
                <w:spacing w:val="-14"/>
                <w:sz w:val="22"/>
              </w:rPr>
              <w:t> </w:t>
            </w:r>
            <w:r>
              <w:rPr>
                <w:spacing w:val="-2"/>
                <w:sz w:val="22"/>
              </w:rPr>
              <w:t>Although</w:t>
            </w:r>
            <w:r>
              <w:rPr>
                <w:spacing w:val="-13"/>
                <w:sz w:val="22"/>
              </w:rPr>
              <w:t> </w:t>
            </w:r>
            <w:r>
              <w:rPr>
                <w:spacing w:val="-2"/>
                <w:sz w:val="22"/>
              </w:rPr>
              <w:t>the</w:t>
            </w:r>
            <w:r>
              <w:rPr>
                <w:spacing w:val="-13"/>
                <w:sz w:val="22"/>
              </w:rPr>
              <w:t> </w:t>
            </w:r>
            <w:r>
              <w:rPr>
                <w:spacing w:val="-2"/>
                <w:sz w:val="22"/>
              </w:rPr>
              <w:t>programme</w:t>
            </w:r>
            <w:r>
              <w:rPr>
                <w:spacing w:val="-13"/>
                <w:sz w:val="22"/>
              </w:rPr>
              <w:t> </w:t>
            </w:r>
            <w:r>
              <w:rPr>
                <w:spacing w:val="-2"/>
                <w:sz w:val="22"/>
              </w:rPr>
              <w:t>subsequently</w:t>
            </w:r>
            <w:r>
              <w:rPr>
                <w:spacing w:val="-14"/>
                <w:sz w:val="22"/>
              </w:rPr>
              <w:t> </w:t>
            </w:r>
            <w:r>
              <w:rPr>
                <w:spacing w:val="-2"/>
                <w:sz w:val="22"/>
              </w:rPr>
              <w:t>progressed</w:t>
            </w:r>
            <w:r>
              <w:rPr>
                <w:spacing w:val="-13"/>
                <w:sz w:val="22"/>
              </w:rPr>
              <w:t> </w:t>
            </w:r>
            <w:r>
              <w:rPr>
                <w:spacing w:val="-2"/>
                <w:sz w:val="22"/>
              </w:rPr>
              <w:t>through</w:t>
            </w:r>
            <w:r>
              <w:rPr>
                <w:spacing w:val="-13"/>
                <w:sz w:val="22"/>
              </w:rPr>
              <w:t> </w:t>
            </w:r>
            <w:r>
              <w:rPr>
                <w:spacing w:val="-2"/>
                <w:sz w:val="22"/>
              </w:rPr>
              <w:t>outline</w:t>
            </w:r>
            <w:r>
              <w:rPr>
                <w:spacing w:val="-14"/>
                <w:sz w:val="22"/>
              </w:rPr>
              <w:t> </w:t>
            </w:r>
            <w:r>
              <w:rPr>
                <w:spacing w:val="-2"/>
                <w:sz w:val="22"/>
              </w:rPr>
              <w:t>design </w:t>
            </w:r>
            <w:r>
              <w:rPr>
                <w:sz w:val="22"/>
              </w:rPr>
              <w:t>development,</w:t>
            </w:r>
            <w:r>
              <w:rPr>
                <w:spacing w:val="-16"/>
                <w:sz w:val="22"/>
              </w:rPr>
              <w:t> </w:t>
            </w:r>
            <w:r>
              <w:rPr>
                <w:sz w:val="22"/>
              </w:rPr>
              <w:t>Welsh</w:t>
            </w:r>
            <w:r>
              <w:rPr>
                <w:spacing w:val="-15"/>
                <w:sz w:val="22"/>
              </w:rPr>
              <w:t> </w:t>
            </w:r>
            <w:r>
              <w:rPr>
                <w:sz w:val="22"/>
              </w:rPr>
              <w:t>Government</w:t>
            </w:r>
            <w:r>
              <w:rPr>
                <w:spacing w:val="-15"/>
                <w:sz w:val="22"/>
              </w:rPr>
              <w:t> </w:t>
            </w:r>
            <w:r>
              <w:rPr>
                <w:sz w:val="22"/>
              </w:rPr>
              <w:t>withdrew</w:t>
            </w:r>
            <w:r>
              <w:rPr>
                <w:spacing w:val="-16"/>
                <w:sz w:val="22"/>
              </w:rPr>
              <w:t> </w:t>
            </w:r>
            <w:r>
              <w:rPr>
                <w:sz w:val="22"/>
              </w:rPr>
              <w:t>support</w:t>
            </w:r>
            <w:r>
              <w:rPr>
                <w:spacing w:val="-15"/>
                <w:sz w:val="22"/>
              </w:rPr>
              <w:t> </w:t>
            </w:r>
            <w:r>
              <w:rPr>
                <w:sz w:val="22"/>
              </w:rPr>
              <w:t>for</w:t>
            </w:r>
            <w:r>
              <w:rPr>
                <w:spacing w:val="-15"/>
                <w:sz w:val="22"/>
              </w:rPr>
              <w:t> </w:t>
            </w:r>
            <w:r>
              <w:rPr>
                <w:sz w:val="22"/>
              </w:rPr>
              <w:t>completion</w:t>
            </w:r>
            <w:r>
              <w:rPr>
                <w:spacing w:val="-15"/>
                <w:sz w:val="22"/>
              </w:rPr>
              <w:t> </w:t>
            </w:r>
            <w:r>
              <w:rPr>
                <w:sz w:val="22"/>
              </w:rPr>
              <w:t>of</w:t>
            </w:r>
            <w:r>
              <w:rPr>
                <w:spacing w:val="-16"/>
                <w:sz w:val="22"/>
              </w:rPr>
              <w:t> </w:t>
            </w:r>
            <w:r>
              <w:rPr>
                <w:sz w:val="22"/>
              </w:rPr>
              <w:t>the</w:t>
            </w:r>
            <w:r>
              <w:rPr>
                <w:spacing w:val="-12"/>
                <w:sz w:val="22"/>
              </w:rPr>
              <w:t> </w:t>
            </w:r>
            <w:r>
              <w:rPr>
                <w:sz w:val="22"/>
              </w:rPr>
              <w:t>Outline</w:t>
            </w:r>
            <w:r>
              <w:rPr>
                <w:spacing w:val="-12"/>
                <w:sz w:val="22"/>
              </w:rPr>
              <w:t> </w:t>
            </w:r>
            <w:r>
              <w:rPr>
                <w:sz w:val="22"/>
              </w:rPr>
              <w:t>Business</w:t>
            </w:r>
            <w:r>
              <w:rPr>
                <w:spacing w:val="-15"/>
                <w:sz w:val="22"/>
              </w:rPr>
              <w:t> </w:t>
            </w:r>
            <w:r>
              <w:rPr>
                <w:sz w:val="22"/>
              </w:rPr>
              <w:t>Case</w:t>
            </w:r>
            <w:r>
              <w:rPr>
                <w:spacing w:val="-12"/>
                <w:sz w:val="22"/>
              </w:rPr>
              <w:t> </w:t>
            </w:r>
            <w:r>
              <w:rPr>
                <w:sz w:val="22"/>
              </w:rPr>
              <w:t>in January</w:t>
            </w:r>
            <w:r>
              <w:rPr>
                <w:spacing w:val="-16"/>
                <w:sz w:val="22"/>
              </w:rPr>
              <w:t> </w:t>
            </w:r>
            <w:r>
              <w:rPr>
                <w:sz w:val="22"/>
              </w:rPr>
              <w:t>2025</w:t>
            </w:r>
            <w:r>
              <w:rPr>
                <w:spacing w:val="-8"/>
                <w:sz w:val="22"/>
              </w:rPr>
              <w:t> </w:t>
            </w:r>
            <w:r>
              <w:rPr>
                <w:sz w:val="22"/>
              </w:rPr>
              <w:t>following</w:t>
            </w:r>
            <w:r>
              <w:rPr>
                <w:spacing w:val="-13"/>
                <w:sz w:val="22"/>
              </w:rPr>
              <w:t> </w:t>
            </w:r>
            <w:r>
              <w:rPr>
                <w:sz w:val="22"/>
              </w:rPr>
              <w:t>national</w:t>
            </w:r>
            <w:r>
              <w:rPr>
                <w:spacing w:val="-10"/>
                <w:sz w:val="22"/>
              </w:rPr>
              <w:t> </w:t>
            </w:r>
            <w:r>
              <w:rPr>
                <w:sz w:val="22"/>
              </w:rPr>
              <w:t>capital</w:t>
            </w:r>
            <w:r>
              <w:rPr>
                <w:spacing w:val="-11"/>
                <w:sz w:val="22"/>
              </w:rPr>
              <w:t> </w:t>
            </w:r>
            <w:r>
              <w:rPr>
                <w:sz w:val="22"/>
              </w:rPr>
              <w:t>prioritisation</w:t>
            </w:r>
            <w:r>
              <w:rPr>
                <w:spacing w:val="-9"/>
                <w:sz w:val="22"/>
              </w:rPr>
              <w:t> </w:t>
            </w:r>
            <w:r>
              <w:rPr>
                <w:sz w:val="22"/>
              </w:rPr>
              <w:t>decisions.</w:t>
            </w:r>
          </w:p>
          <w:p>
            <w:pPr>
              <w:pStyle w:val="TableParagraph"/>
              <w:spacing w:line="276" w:lineRule="auto" w:before="100"/>
              <w:ind w:left="120" w:right="212"/>
              <w:rPr>
                <w:sz w:val="22"/>
              </w:rPr>
            </w:pPr>
            <w:r>
              <w:rPr>
                <w:spacing w:val="-2"/>
                <w:sz w:val="22"/>
              </w:rPr>
              <w:t>In</w:t>
            </w:r>
            <w:r>
              <w:rPr>
                <w:spacing w:val="-14"/>
                <w:sz w:val="22"/>
              </w:rPr>
              <w:t> </w:t>
            </w:r>
            <w:r>
              <w:rPr>
                <w:spacing w:val="-2"/>
                <w:sz w:val="22"/>
              </w:rPr>
              <w:t>response,</w:t>
            </w:r>
            <w:r>
              <w:rPr>
                <w:spacing w:val="-13"/>
                <w:sz w:val="22"/>
              </w:rPr>
              <w:t> </w:t>
            </w:r>
            <w:r>
              <w:rPr>
                <w:spacing w:val="-2"/>
                <w:sz w:val="22"/>
              </w:rPr>
              <w:t>Swansea</w:t>
            </w:r>
            <w:r>
              <w:rPr>
                <w:spacing w:val="-13"/>
                <w:sz w:val="22"/>
              </w:rPr>
              <w:t> </w:t>
            </w:r>
            <w:r>
              <w:rPr>
                <w:spacing w:val="-2"/>
                <w:sz w:val="22"/>
              </w:rPr>
              <w:t>Bay</w:t>
            </w:r>
            <w:r>
              <w:rPr>
                <w:spacing w:val="-14"/>
                <w:sz w:val="22"/>
              </w:rPr>
              <w:t> </w:t>
            </w:r>
            <w:r>
              <w:rPr>
                <w:spacing w:val="-2"/>
                <w:sz w:val="22"/>
              </w:rPr>
              <w:t>University</w:t>
            </w:r>
            <w:r>
              <w:rPr>
                <w:spacing w:val="-13"/>
                <w:sz w:val="22"/>
              </w:rPr>
              <w:t> </w:t>
            </w:r>
            <w:r>
              <w:rPr>
                <w:spacing w:val="-2"/>
                <w:sz w:val="22"/>
              </w:rPr>
              <w:t>Health</w:t>
            </w:r>
            <w:r>
              <w:rPr>
                <w:spacing w:val="-12"/>
                <w:sz w:val="22"/>
              </w:rPr>
              <w:t> </w:t>
            </w:r>
            <w:r>
              <w:rPr>
                <w:spacing w:val="-2"/>
                <w:sz w:val="22"/>
              </w:rPr>
              <w:t>Board</w:t>
            </w:r>
            <w:r>
              <w:rPr>
                <w:spacing w:val="-11"/>
                <w:sz w:val="22"/>
              </w:rPr>
              <w:t> </w:t>
            </w:r>
            <w:r>
              <w:rPr>
                <w:spacing w:val="-2"/>
                <w:sz w:val="22"/>
              </w:rPr>
              <w:t>and</w:t>
            </w:r>
            <w:r>
              <w:rPr>
                <w:spacing w:val="-14"/>
                <w:sz w:val="22"/>
              </w:rPr>
              <w:t> </w:t>
            </w:r>
            <w:r>
              <w:rPr>
                <w:spacing w:val="-2"/>
                <w:sz w:val="22"/>
              </w:rPr>
              <w:t>Hywel</w:t>
            </w:r>
            <w:r>
              <w:rPr>
                <w:spacing w:val="-12"/>
                <w:sz w:val="22"/>
              </w:rPr>
              <w:t> </w:t>
            </w:r>
            <w:r>
              <w:rPr>
                <w:spacing w:val="-2"/>
                <w:sz w:val="22"/>
              </w:rPr>
              <w:t>Dda</w:t>
            </w:r>
            <w:r>
              <w:rPr>
                <w:spacing w:val="-11"/>
                <w:sz w:val="22"/>
              </w:rPr>
              <w:t> </w:t>
            </w:r>
            <w:r>
              <w:rPr>
                <w:spacing w:val="-2"/>
                <w:sz w:val="22"/>
              </w:rPr>
              <w:t>University</w:t>
            </w:r>
            <w:r>
              <w:rPr>
                <w:spacing w:val="-14"/>
                <w:sz w:val="22"/>
              </w:rPr>
              <w:t> </w:t>
            </w:r>
            <w:r>
              <w:rPr>
                <w:spacing w:val="-2"/>
                <w:sz w:val="22"/>
              </w:rPr>
              <w:t>Health</w:t>
            </w:r>
            <w:r>
              <w:rPr>
                <w:spacing w:val="-10"/>
                <w:sz w:val="22"/>
              </w:rPr>
              <w:t> </w:t>
            </w:r>
            <w:r>
              <w:rPr>
                <w:spacing w:val="-2"/>
                <w:sz w:val="22"/>
              </w:rPr>
              <w:t>Board</w:t>
            </w:r>
            <w:r>
              <w:rPr>
                <w:spacing w:val="-14"/>
                <w:sz w:val="22"/>
              </w:rPr>
              <w:t> </w:t>
            </w:r>
            <w:r>
              <w:rPr>
                <w:spacing w:val="-2"/>
                <w:sz w:val="22"/>
              </w:rPr>
              <w:t>reviewed </w:t>
            </w:r>
            <w:r>
              <w:rPr>
                <w:sz w:val="22"/>
              </w:rPr>
              <w:t>the</w:t>
            </w:r>
            <w:r>
              <w:rPr>
                <w:spacing w:val="-16"/>
                <w:sz w:val="22"/>
              </w:rPr>
              <w:t> </w:t>
            </w:r>
            <w:r>
              <w:rPr>
                <w:sz w:val="22"/>
              </w:rPr>
              <w:t>programme</w:t>
            </w:r>
            <w:r>
              <w:rPr>
                <w:spacing w:val="-15"/>
                <w:sz w:val="22"/>
              </w:rPr>
              <w:t> </w:t>
            </w:r>
            <w:r>
              <w:rPr>
                <w:sz w:val="22"/>
              </w:rPr>
              <w:t>and</w:t>
            </w:r>
            <w:r>
              <w:rPr>
                <w:spacing w:val="-15"/>
                <w:sz w:val="22"/>
              </w:rPr>
              <w:t> </w:t>
            </w:r>
            <w:r>
              <w:rPr>
                <w:sz w:val="22"/>
              </w:rPr>
              <w:t>reaffirmed</w:t>
            </w:r>
            <w:r>
              <w:rPr>
                <w:spacing w:val="-16"/>
                <w:sz w:val="22"/>
              </w:rPr>
              <w:t> </w:t>
            </w:r>
            <w:r>
              <w:rPr>
                <w:sz w:val="22"/>
              </w:rPr>
              <w:t>their</w:t>
            </w:r>
            <w:r>
              <w:rPr>
                <w:spacing w:val="-15"/>
                <w:sz w:val="22"/>
              </w:rPr>
              <w:t> </w:t>
            </w:r>
            <w:r>
              <w:rPr>
                <w:sz w:val="22"/>
              </w:rPr>
              <w:t>commitment</w:t>
            </w:r>
            <w:r>
              <w:rPr>
                <w:spacing w:val="-15"/>
                <w:sz w:val="22"/>
              </w:rPr>
              <w:t> </w:t>
            </w:r>
            <w:r>
              <w:rPr>
                <w:sz w:val="22"/>
              </w:rPr>
              <w:t>to</w:t>
            </w:r>
            <w:r>
              <w:rPr>
                <w:spacing w:val="-15"/>
                <w:sz w:val="22"/>
              </w:rPr>
              <w:t> </w:t>
            </w:r>
            <w:r>
              <w:rPr>
                <w:sz w:val="22"/>
              </w:rPr>
              <w:t>regional</w:t>
            </w:r>
            <w:r>
              <w:rPr>
                <w:spacing w:val="-16"/>
                <w:sz w:val="22"/>
              </w:rPr>
              <w:t> </w:t>
            </w:r>
            <w:r>
              <w:rPr>
                <w:sz w:val="22"/>
              </w:rPr>
              <w:t>service</w:t>
            </w:r>
            <w:r>
              <w:rPr>
                <w:spacing w:val="-15"/>
                <w:sz w:val="22"/>
              </w:rPr>
              <w:t> </w:t>
            </w:r>
            <w:r>
              <w:rPr>
                <w:sz w:val="22"/>
              </w:rPr>
              <w:t>integration.</w:t>
            </w:r>
            <w:r>
              <w:rPr>
                <w:spacing w:val="-15"/>
                <w:sz w:val="22"/>
              </w:rPr>
              <w:t> </w:t>
            </w:r>
            <w:r>
              <w:rPr>
                <w:sz w:val="22"/>
              </w:rPr>
              <w:t>During</w:t>
            </w:r>
            <w:r>
              <w:rPr>
                <w:spacing w:val="-15"/>
                <w:sz w:val="22"/>
              </w:rPr>
              <w:t> </w:t>
            </w:r>
            <w:r>
              <w:rPr>
                <w:sz w:val="22"/>
              </w:rPr>
              <w:t>2025,</w:t>
            </w:r>
            <w:r>
              <w:rPr>
                <w:spacing w:val="-16"/>
                <w:sz w:val="22"/>
              </w:rPr>
              <w:t> </w:t>
            </w:r>
            <w:r>
              <w:rPr>
                <w:sz w:val="22"/>
              </w:rPr>
              <w:t>both </w:t>
            </w:r>
            <w:r>
              <w:rPr>
                <w:spacing w:val="-2"/>
                <w:sz w:val="22"/>
              </w:rPr>
              <w:t>organisations</w:t>
            </w:r>
            <w:r>
              <w:rPr>
                <w:spacing w:val="-11"/>
                <w:sz w:val="22"/>
              </w:rPr>
              <w:t> </w:t>
            </w:r>
            <w:r>
              <w:rPr>
                <w:spacing w:val="-2"/>
                <w:sz w:val="22"/>
              </w:rPr>
              <w:t>agreed</w:t>
            </w:r>
            <w:r>
              <w:rPr>
                <w:spacing w:val="-8"/>
                <w:sz w:val="22"/>
              </w:rPr>
              <w:t> </w:t>
            </w:r>
            <w:r>
              <w:rPr>
                <w:spacing w:val="-2"/>
                <w:sz w:val="22"/>
              </w:rPr>
              <w:t>a</w:t>
            </w:r>
            <w:r>
              <w:rPr>
                <w:spacing w:val="-13"/>
                <w:sz w:val="22"/>
              </w:rPr>
              <w:t> </w:t>
            </w:r>
            <w:r>
              <w:rPr>
                <w:spacing w:val="-2"/>
                <w:sz w:val="22"/>
              </w:rPr>
              <w:t>revised</w:t>
            </w:r>
            <w:r>
              <w:rPr>
                <w:spacing w:val="-13"/>
                <w:sz w:val="22"/>
              </w:rPr>
              <w:t> </w:t>
            </w:r>
            <w:r>
              <w:rPr>
                <w:spacing w:val="-2"/>
                <w:sz w:val="22"/>
              </w:rPr>
              <w:t>and</w:t>
            </w:r>
            <w:r>
              <w:rPr>
                <w:spacing w:val="-8"/>
                <w:sz w:val="22"/>
              </w:rPr>
              <w:t> </w:t>
            </w:r>
            <w:r>
              <w:rPr>
                <w:spacing w:val="-2"/>
                <w:sz w:val="22"/>
              </w:rPr>
              <w:t>more</w:t>
            </w:r>
            <w:r>
              <w:rPr>
                <w:spacing w:val="-8"/>
                <w:sz w:val="22"/>
              </w:rPr>
              <w:t> </w:t>
            </w:r>
            <w:r>
              <w:rPr>
                <w:spacing w:val="-2"/>
                <w:sz w:val="22"/>
              </w:rPr>
              <w:t>focused</w:t>
            </w:r>
            <w:r>
              <w:rPr>
                <w:spacing w:val="-8"/>
                <w:sz w:val="22"/>
              </w:rPr>
              <w:t> </w:t>
            </w:r>
            <w:r>
              <w:rPr>
                <w:spacing w:val="-2"/>
                <w:sz w:val="22"/>
              </w:rPr>
              <w:t>strategic</w:t>
            </w:r>
            <w:r>
              <w:rPr>
                <w:spacing w:val="-11"/>
                <w:sz w:val="22"/>
              </w:rPr>
              <w:t> </w:t>
            </w:r>
            <w:r>
              <w:rPr>
                <w:spacing w:val="-2"/>
                <w:sz w:val="22"/>
              </w:rPr>
              <w:t>direction</w:t>
            </w:r>
            <w:r>
              <w:rPr>
                <w:spacing w:val="-8"/>
                <w:sz w:val="22"/>
              </w:rPr>
              <w:t> </w:t>
            </w:r>
            <w:r>
              <w:rPr>
                <w:spacing w:val="-2"/>
                <w:sz w:val="22"/>
              </w:rPr>
              <w:t>centred</w:t>
            </w:r>
            <w:r>
              <w:rPr>
                <w:spacing w:val="-13"/>
                <w:sz w:val="22"/>
              </w:rPr>
              <w:t> </w:t>
            </w:r>
            <w:r>
              <w:rPr>
                <w:spacing w:val="-2"/>
                <w:sz w:val="22"/>
              </w:rPr>
              <w:t>on</w:t>
            </w:r>
            <w:r>
              <w:rPr>
                <w:spacing w:val="-8"/>
                <w:sz w:val="22"/>
              </w:rPr>
              <w:t> </w:t>
            </w:r>
            <w:r>
              <w:rPr>
                <w:spacing w:val="-2"/>
                <w:sz w:val="22"/>
              </w:rPr>
              <w:t>the</w:t>
            </w:r>
            <w:r>
              <w:rPr>
                <w:spacing w:val="-8"/>
                <w:sz w:val="22"/>
              </w:rPr>
              <w:t> </w:t>
            </w:r>
            <w:r>
              <w:rPr>
                <w:spacing w:val="-2"/>
                <w:sz w:val="22"/>
              </w:rPr>
              <w:t>development</w:t>
            </w:r>
            <w:r>
              <w:rPr>
                <w:spacing w:val="-12"/>
                <w:sz w:val="22"/>
              </w:rPr>
              <w:t> </w:t>
            </w:r>
            <w:r>
              <w:rPr>
                <w:spacing w:val="-2"/>
                <w:sz w:val="22"/>
              </w:rPr>
              <w:t>of</w:t>
            </w:r>
            <w:r>
              <w:rPr>
                <w:spacing w:val="-12"/>
                <w:sz w:val="22"/>
              </w:rPr>
              <w:t> </w:t>
            </w:r>
            <w:r>
              <w:rPr>
                <w:spacing w:val="-2"/>
                <w:sz w:val="22"/>
              </w:rPr>
              <w:t>a </w:t>
            </w:r>
            <w:r>
              <w:rPr>
                <w:sz w:val="22"/>
              </w:rPr>
              <w:t>single</w:t>
            </w:r>
            <w:r>
              <w:rPr>
                <w:spacing w:val="-16"/>
                <w:sz w:val="22"/>
              </w:rPr>
              <w:t> </w:t>
            </w:r>
            <w:r>
              <w:rPr>
                <w:sz w:val="22"/>
              </w:rPr>
              <w:t>integrated</w:t>
            </w:r>
            <w:r>
              <w:rPr>
                <w:spacing w:val="-15"/>
                <w:sz w:val="22"/>
              </w:rPr>
              <w:t> </w:t>
            </w:r>
            <w:r>
              <w:rPr>
                <w:sz w:val="22"/>
              </w:rPr>
              <w:t>Cellular</w:t>
            </w:r>
            <w:r>
              <w:rPr>
                <w:spacing w:val="-15"/>
                <w:sz w:val="22"/>
              </w:rPr>
              <w:t> </w:t>
            </w:r>
            <w:r>
              <w:rPr>
                <w:sz w:val="22"/>
              </w:rPr>
              <w:t>Pathology</w:t>
            </w:r>
            <w:r>
              <w:rPr>
                <w:spacing w:val="-16"/>
                <w:sz w:val="22"/>
              </w:rPr>
              <w:t> </w:t>
            </w:r>
            <w:r>
              <w:rPr>
                <w:sz w:val="22"/>
              </w:rPr>
              <w:t>Laboratory</w:t>
            </w:r>
            <w:r>
              <w:rPr>
                <w:spacing w:val="-15"/>
                <w:sz w:val="22"/>
              </w:rPr>
              <w:t> </w:t>
            </w:r>
            <w:r>
              <w:rPr>
                <w:sz w:val="22"/>
              </w:rPr>
              <w:t>serving</w:t>
            </w:r>
            <w:r>
              <w:rPr>
                <w:spacing w:val="-15"/>
                <w:sz w:val="22"/>
              </w:rPr>
              <w:t> </w:t>
            </w:r>
            <w:r>
              <w:rPr>
                <w:sz w:val="22"/>
              </w:rPr>
              <w:t>South-West</w:t>
            </w:r>
            <w:r>
              <w:rPr>
                <w:spacing w:val="-15"/>
                <w:sz w:val="22"/>
              </w:rPr>
              <w:t> </w:t>
            </w:r>
            <w:r>
              <w:rPr>
                <w:sz w:val="22"/>
              </w:rPr>
              <w:t>Wales,</w:t>
            </w:r>
            <w:r>
              <w:rPr>
                <w:spacing w:val="-16"/>
                <w:sz w:val="22"/>
              </w:rPr>
              <w:t> </w:t>
            </w:r>
            <w:r>
              <w:rPr>
                <w:sz w:val="22"/>
              </w:rPr>
              <w:t>supported</w:t>
            </w:r>
            <w:r>
              <w:rPr>
                <w:spacing w:val="-15"/>
                <w:sz w:val="22"/>
              </w:rPr>
              <w:t> </w:t>
            </w:r>
            <w:r>
              <w:rPr>
                <w:sz w:val="22"/>
              </w:rPr>
              <w:t>by</w:t>
            </w:r>
            <w:r>
              <w:rPr>
                <w:spacing w:val="-15"/>
                <w:sz w:val="22"/>
              </w:rPr>
              <w:t> </w:t>
            </w:r>
            <w:r>
              <w:rPr>
                <w:sz w:val="22"/>
              </w:rPr>
              <w:t>Welsh Government.</w:t>
            </w:r>
            <w:r>
              <w:rPr>
                <w:spacing w:val="-16"/>
                <w:sz w:val="22"/>
              </w:rPr>
              <w:t> </w:t>
            </w:r>
            <w:r>
              <w:rPr>
                <w:sz w:val="22"/>
              </w:rPr>
              <w:t>This</w:t>
            </w:r>
            <w:r>
              <w:rPr>
                <w:spacing w:val="-15"/>
                <w:sz w:val="22"/>
              </w:rPr>
              <w:t> </w:t>
            </w:r>
            <w:r>
              <w:rPr>
                <w:sz w:val="22"/>
              </w:rPr>
              <w:t>reduced</w:t>
            </w:r>
            <w:r>
              <w:rPr>
                <w:spacing w:val="-15"/>
                <w:sz w:val="22"/>
              </w:rPr>
              <w:t> </w:t>
            </w:r>
            <w:r>
              <w:rPr>
                <w:sz w:val="22"/>
              </w:rPr>
              <w:t>scope</w:t>
            </w:r>
            <w:r>
              <w:rPr>
                <w:spacing w:val="-16"/>
                <w:sz w:val="22"/>
              </w:rPr>
              <w:t> </w:t>
            </w:r>
            <w:r>
              <w:rPr>
                <w:sz w:val="22"/>
              </w:rPr>
              <w:t>reflected</w:t>
            </w:r>
            <w:r>
              <w:rPr>
                <w:spacing w:val="-15"/>
                <w:sz w:val="22"/>
              </w:rPr>
              <w:t> </w:t>
            </w:r>
            <w:r>
              <w:rPr>
                <w:sz w:val="22"/>
              </w:rPr>
              <w:t>the</w:t>
            </w:r>
            <w:r>
              <w:rPr>
                <w:spacing w:val="-15"/>
                <w:sz w:val="22"/>
              </w:rPr>
              <w:t> </w:t>
            </w:r>
            <w:r>
              <w:rPr>
                <w:sz w:val="22"/>
              </w:rPr>
              <w:t>opportunity</w:t>
            </w:r>
            <w:r>
              <w:rPr>
                <w:spacing w:val="-15"/>
                <w:sz w:val="22"/>
              </w:rPr>
              <w:t> </w:t>
            </w:r>
            <w:r>
              <w:rPr>
                <w:sz w:val="22"/>
              </w:rPr>
              <w:t>to</w:t>
            </w:r>
            <w:r>
              <w:rPr>
                <w:spacing w:val="-16"/>
                <w:sz w:val="22"/>
              </w:rPr>
              <w:t> </w:t>
            </w:r>
            <w:r>
              <w:rPr>
                <w:sz w:val="22"/>
              </w:rPr>
              <w:t>deliver</w:t>
            </w:r>
            <w:r>
              <w:rPr>
                <w:spacing w:val="-15"/>
                <w:sz w:val="22"/>
              </w:rPr>
              <w:t> </w:t>
            </w:r>
            <w:r>
              <w:rPr>
                <w:sz w:val="22"/>
              </w:rPr>
              <w:t>the</w:t>
            </w:r>
            <w:r>
              <w:rPr>
                <w:spacing w:val="-15"/>
                <w:sz w:val="22"/>
              </w:rPr>
              <w:t> </w:t>
            </w:r>
            <w:r>
              <w:rPr>
                <w:sz w:val="22"/>
              </w:rPr>
              <w:t>core</w:t>
            </w:r>
            <w:r>
              <w:rPr>
                <w:spacing w:val="-16"/>
                <w:sz w:val="22"/>
              </w:rPr>
              <w:t> </w:t>
            </w:r>
            <w:r>
              <w:rPr>
                <w:sz w:val="22"/>
              </w:rPr>
              <w:t>service</w:t>
            </w:r>
            <w:r>
              <w:rPr>
                <w:spacing w:val="-15"/>
                <w:sz w:val="22"/>
              </w:rPr>
              <w:t> </w:t>
            </w:r>
            <w:r>
              <w:rPr>
                <w:sz w:val="22"/>
              </w:rPr>
              <w:t>transformation objectives</w:t>
            </w:r>
            <w:r>
              <w:rPr>
                <w:spacing w:val="-11"/>
                <w:sz w:val="22"/>
              </w:rPr>
              <w:t> </w:t>
            </w:r>
            <w:r>
              <w:rPr>
                <w:sz w:val="22"/>
              </w:rPr>
              <w:t>through</w:t>
            </w:r>
            <w:r>
              <w:rPr>
                <w:spacing w:val="-8"/>
                <w:sz w:val="22"/>
              </w:rPr>
              <w:t> </w:t>
            </w:r>
            <w:r>
              <w:rPr>
                <w:sz w:val="22"/>
              </w:rPr>
              <w:t>a</w:t>
            </w:r>
            <w:r>
              <w:rPr>
                <w:spacing w:val="-12"/>
                <w:sz w:val="22"/>
              </w:rPr>
              <w:t> </w:t>
            </w:r>
            <w:r>
              <w:rPr>
                <w:sz w:val="22"/>
              </w:rPr>
              <w:t>more</w:t>
            </w:r>
            <w:r>
              <w:rPr>
                <w:spacing w:val="-6"/>
                <w:sz w:val="22"/>
              </w:rPr>
              <w:t> </w:t>
            </w:r>
            <w:r>
              <w:rPr>
                <w:sz w:val="22"/>
              </w:rPr>
              <w:t>affordable</w:t>
            </w:r>
            <w:r>
              <w:rPr>
                <w:spacing w:val="-12"/>
                <w:sz w:val="22"/>
              </w:rPr>
              <w:t> </w:t>
            </w:r>
            <w:r>
              <w:rPr>
                <w:sz w:val="22"/>
              </w:rPr>
              <w:t>and</w:t>
            </w:r>
            <w:r>
              <w:rPr>
                <w:spacing w:val="-12"/>
                <w:sz w:val="22"/>
              </w:rPr>
              <w:t> </w:t>
            </w:r>
            <w:r>
              <w:rPr>
                <w:sz w:val="22"/>
              </w:rPr>
              <w:t>deliverable</w:t>
            </w:r>
            <w:r>
              <w:rPr>
                <w:spacing w:val="-12"/>
                <w:sz w:val="22"/>
              </w:rPr>
              <w:t> </w:t>
            </w:r>
            <w:r>
              <w:rPr>
                <w:sz w:val="22"/>
              </w:rPr>
              <w:t>investment.</w:t>
            </w:r>
          </w:p>
          <w:p>
            <w:pPr>
              <w:pStyle w:val="TableParagraph"/>
              <w:spacing w:line="278" w:lineRule="auto" w:before="101"/>
              <w:ind w:left="120"/>
              <w:rPr>
                <w:sz w:val="22"/>
              </w:rPr>
            </w:pPr>
            <w:r>
              <w:rPr>
                <w:sz w:val="22"/>
              </w:rPr>
              <w:t>A</w:t>
            </w:r>
            <w:r>
              <w:rPr>
                <w:spacing w:val="-16"/>
                <w:sz w:val="22"/>
              </w:rPr>
              <w:t> </w:t>
            </w:r>
            <w:r>
              <w:rPr>
                <w:sz w:val="22"/>
              </w:rPr>
              <w:t>structured</w:t>
            </w:r>
            <w:r>
              <w:rPr>
                <w:spacing w:val="-15"/>
                <w:sz w:val="22"/>
              </w:rPr>
              <w:t> </w:t>
            </w:r>
            <w:r>
              <w:rPr>
                <w:sz w:val="22"/>
              </w:rPr>
              <w:t>site</w:t>
            </w:r>
            <w:r>
              <w:rPr>
                <w:spacing w:val="-15"/>
                <w:sz w:val="22"/>
              </w:rPr>
              <w:t> </w:t>
            </w:r>
            <w:r>
              <w:rPr>
                <w:sz w:val="22"/>
              </w:rPr>
              <w:t>selection</w:t>
            </w:r>
            <w:r>
              <w:rPr>
                <w:spacing w:val="-16"/>
                <w:sz w:val="22"/>
              </w:rPr>
              <w:t> </w:t>
            </w:r>
            <w:r>
              <w:rPr>
                <w:sz w:val="22"/>
              </w:rPr>
              <w:t>process</w:t>
            </w:r>
            <w:r>
              <w:rPr>
                <w:spacing w:val="-15"/>
                <w:sz w:val="22"/>
              </w:rPr>
              <w:t> </w:t>
            </w:r>
            <w:r>
              <w:rPr>
                <w:sz w:val="22"/>
              </w:rPr>
              <w:t>was</w:t>
            </w:r>
            <w:r>
              <w:rPr>
                <w:spacing w:val="-15"/>
                <w:sz w:val="22"/>
              </w:rPr>
              <w:t> </w:t>
            </w:r>
            <w:r>
              <w:rPr>
                <w:sz w:val="22"/>
              </w:rPr>
              <w:t>subsequently</w:t>
            </w:r>
            <w:r>
              <w:rPr>
                <w:spacing w:val="-15"/>
                <w:sz w:val="22"/>
              </w:rPr>
              <w:t> </w:t>
            </w:r>
            <w:r>
              <w:rPr>
                <w:sz w:val="22"/>
              </w:rPr>
              <w:t>undertaken,</w:t>
            </w:r>
            <w:r>
              <w:rPr>
                <w:spacing w:val="-16"/>
                <w:sz w:val="22"/>
              </w:rPr>
              <w:t> </w:t>
            </w:r>
            <w:r>
              <w:rPr>
                <w:sz w:val="22"/>
              </w:rPr>
              <w:t>supported</w:t>
            </w:r>
            <w:r>
              <w:rPr>
                <w:spacing w:val="-15"/>
                <w:sz w:val="22"/>
              </w:rPr>
              <w:t> </w:t>
            </w:r>
            <w:r>
              <w:rPr>
                <w:sz w:val="22"/>
              </w:rPr>
              <w:t>by</w:t>
            </w:r>
            <w:r>
              <w:rPr>
                <w:spacing w:val="-15"/>
                <w:sz w:val="22"/>
              </w:rPr>
              <w:t> </w:t>
            </w:r>
            <w:r>
              <w:rPr>
                <w:sz w:val="22"/>
              </w:rPr>
              <w:t>regional</w:t>
            </w:r>
            <w:r>
              <w:rPr>
                <w:spacing w:val="-16"/>
                <w:sz w:val="22"/>
              </w:rPr>
              <w:t> </w:t>
            </w:r>
            <w:r>
              <w:rPr>
                <w:sz w:val="22"/>
              </w:rPr>
              <w:t>clinical, </w:t>
            </w:r>
            <w:r>
              <w:rPr>
                <w:spacing w:val="-4"/>
                <w:sz w:val="22"/>
              </w:rPr>
              <w:t>operational, finance, capital and specialist advisors. Following comprehensive technical, operational and </w:t>
            </w:r>
            <w:r>
              <w:rPr>
                <w:sz w:val="22"/>
              </w:rPr>
              <w:t>financial assessment.</w:t>
            </w:r>
          </w:p>
        </w:tc>
      </w:tr>
    </w:tbl>
    <w:p>
      <w:pPr>
        <w:pStyle w:val="BodyText"/>
        <w:rPr>
          <w:sz w:val="16"/>
        </w:rPr>
      </w:pPr>
    </w:p>
    <w:p>
      <w:pPr>
        <w:pStyle w:val="BodyText"/>
        <w:spacing w:before="108"/>
        <w:rPr>
          <w:sz w:val="16"/>
        </w:rPr>
      </w:pPr>
    </w:p>
    <w:p>
      <w:pPr>
        <w:spacing w:before="0"/>
        <w:ind w:left="657" w:right="228" w:firstLine="0"/>
        <w:jc w:val="center"/>
        <w:rPr>
          <w:sz w:val="16"/>
        </w:rPr>
      </w:pPr>
      <w:r>
        <w:rPr>
          <w:spacing w:val="-2"/>
          <w:sz w:val="16"/>
        </w:rPr>
        <w:t>Page</w:t>
      </w:r>
      <w:r>
        <w:rPr>
          <w:spacing w:val="-7"/>
          <w:sz w:val="16"/>
        </w:rPr>
        <w:t> </w:t>
      </w:r>
      <w:r>
        <w:rPr>
          <w:spacing w:val="-2"/>
          <w:sz w:val="16"/>
        </w:rPr>
        <w:t>1</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31" name="Image 331"/>
            <wp:cNvGraphicFramePr>
              <a:graphicFrameLocks/>
            </wp:cNvGraphicFramePr>
            <a:graphic>
              <a:graphicData uri="http://schemas.openxmlformats.org/drawingml/2006/picture">
                <pic:pic>
                  <pic:nvPicPr>
                    <pic:cNvPr id="331" name="Image 331"/>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32" name="Image 332"/>
            <wp:cNvGraphicFramePr>
              <a:graphicFrameLocks/>
            </wp:cNvGraphicFramePr>
            <a:graphic>
              <a:graphicData uri="http://schemas.openxmlformats.org/drawingml/2006/picture">
                <pic:pic>
                  <pic:nvPicPr>
                    <pic:cNvPr id="332" name="Image 332"/>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4281" w:hRule="atLeast"/>
        </w:trPr>
        <w:tc>
          <w:tcPr>
            <w:tcW w:w="10069" w:type="dxa"/>
          </w:tcPr>
          <w:p>
            <w:pPr>
              <w:pStyle w:val="TableParagraph"/>
              <w:spacing w:line="276" w:lineRule="auto" w:before="98"/>
              <w:ind w:left="120" w:right="212"/>
              <w:rPr>
                <w:sz w:val="22"/>
              </w:rPr>
            </w:pPr>
            <w:r>
              <w:rPr>
                <w:sz w:val="22"/>
              </w:rPr>
              <w:t>Swansea</w:t>
            </w:r>
            <w:r>
              <w:rPr>
                <w:spacing w:val="-16"/>
                <w:sz w:val="22"/>
              </w:rPr>
              <w:t> </w:t>
            </w:r>
            <w:r>
              <w:rPr>
                <w:sz w:val="22"/>
              </w:rPr>
              <w:t>University</w:t>
            </w:r>
            <w:r>
              <w:rPr>
                <w:spacing w:val="-14"/>
                <w:sz w:val="22"/>
              </w:rPr>
              <w:t> </w:t>
            </w:r>
            <w:r>
              <w:rPr>
                <w:sz w:val="22"/>
              </w:rPr>
              <w:t>Bay</w:t>
            </w:r>
            <w:r>
              <w:rPr>
                <w:spacing w:val="-14"/>
                <w:sz w:val="22"/>
              </w:rPr>
              <w:t> </w:t>
            </w:r>
            <w:r>
              <w:rPr>
                <w:sz w:val="22"/>
              </w:rPr>
              <w:t>Campus</w:t>
            </w:r>
            <w:r>
              <w:rPr>
                <w:spacing w:val="-14"/>
                <w:sz w:val="22"/>
              </w:rPr>
              <w:t> </w:t>
            </w:r>
            <w:r>
              <w:rPr>
                <w:sz w:val="22"/>
              </w:rPr>
              <w:t>was</w:t>
            </w:r>
            <w:r>
              <w:rPr>
                <w:spacing w:val="-14"/>
                <w:sz w:val="22"/>
              </w:rPr>
              <w:t> </w:t>
            </w:r>
            <w:r>
              <w:rPr>
                <w:sz w:val="22"/>
              </w:rPr>
              <w:t>identified</w:t>
            </w:r>
            <w:r>
              <w:rPr>
                <w:spacing w:val="-12"/>
                <w:sz w:val="22"/>
              </w:rPr>
              <w:t> </w:t>
            </w:r>
            <w:r>
              <w:rPr>
                <w:sz w:val="22"/>
              </w:rPr>
              <w:t>as</w:t>
            </w:r>
            <w:r>
              <w:rPr>
                <w:spacing w:val="-14"/>
                <w:sz w:val="22"/>
              </w:rPr>
              <w:t> </w:t>
            </w:r>
            <w:r>
              <w:rPr>
                <w:sz w:val="22"/>
              </w:rPr>
              <w:t>the</w:t>
            </w:r>
            <w:r>
              <w:rPr>
                <w:spacing w:val="-16"/>
                <w:sz w:val="22"/>
              </w:rPr>
              <w:t> </w:t>
            </w:r>
            <w:r>
              <w:rPr>
                <w:sz w:val="22"/>
              </w:rPr>
              <w:t>preferred</w:t>
            </w:r>
            <w:r>
              <w:rPr>
                <w:spacing w:val="-15"/>
                <w:sz w:val="22"/>
              </w:rPr>
              <w:t> </w:t>
            </w:r>
            <w:r>
              <w:rPr>
                <w:sz w:val="22"/>
              </w:rPr>
              <w:t>location,</w:t>
            </w:r>
            <w:r>
              <w:rPr>
                <w:spacing w:val="-15"/>
                <w:sz w:val="22"/>
              </w:rPr>
              <w:t> </w:t>
            </w:r>
            <w:r>
              <w:rPr>
                <w:sz w:val="22"/>
              </w:rPr>
              <w:t>offering</w:t>
            </w:r>
            <w:r>
              <w:rPr>
                <w:spacing w:val="-12"/>
                <w:sz w:val="22"/>
              </w:rPr>
              <w:t> </w:t>
            </w:r>
            <w:r>
              <w:rPr>
                <w:sz w:val="22"/>
              </w:rPr>
              <w:t>the</w:t>
            </w:r>
            <w:r>
              <w:rPr>
                <w:spacing w:val="-16"/>
                <w:sz w:val="22"/>
              </w:rPr>
              <w:t> </w:t>
            </w:r>
            <w:r>
              <w:rPr>
                <w:sz w:val="22"/>
              </w:rPr>
              <w:t>strongest </w:t>
            </w:r>
            <w:r>
              <w:rPr>
                <w:spacing w:val="-2"/>
                <w:sz w:val="22"/>
              </w:rPr>
              <w:t>strategic fit,</w:t>
            </w:r>
            <w:r>
              <w:rPr>
                <w:spacing w:val="-8"/>
                <w:sz w:val="22"/>
              </w:rPr>
              <w:t> </w:t>
            </w:r>
            <w:r>
              <w:rPr>
                <w:spacing w:val="-2"/>
                <w:sz w:val="22"/>
              </w:rPr>
              <w:t>opportunities for</w:t>
            </w:r>
            <w:r>
              <w:rPr>
                <w:spacing w:val="-5"/>
                <w:sz w:val="22"/>
              </w:rPr>
              <w:t> </w:t>
            </w:r>
            <w:r>
              <w:rPr>
                <w:spacing w:val="-2"/>
                <w:sz w:val="22"/>
              </w:rPr>
              <w:t>workforce</w:t>
            </w:r>
            <w:r>
              <w:rPr>
                <w:spacing w:val="-3"/>
                <w:sz w:val="22"/>
              </w:rPr>
              <w:t> </w:t>
            </w:r>
            <w:r>
              <w:rPr>
                <w:spacing w:val="-2"/>
                <w:sz w:val="22"/>
              </w:rPr>
              <w:t>development and</w:t>
            </w:r>
            <w:r>
              <w:rPr>
                <w:spacing w:val="-3"/>
                <w:sz w:val="22"/>
              </w:rPr>
              <w:t> </w:t>
            </w:r>
            <w:r>
              <w:rPr>
                <w:spacing w:val="-2"/>
                <w:sz w:val="22"/>
              </w:rPr>
              <w:t>research collaboration,</w:t>
            </w:r>
            <w:r>
              <w:rPr>
                <w:spacing w:val="-8"/>
                <w:sz w:val="22"/>
              </w:rPr>
              <w:t> </w:t>
            </w:r>
            <w:r>
              <w:rPr>
                <w:spacing w:val="-2"/>
                <w:sz w:val="22"/>
              </w:rPr>
              <w:t>existing</w:t>
            </w:r>
            <w:r>
              <w:rPr>
                <w:spacing w:val="-3"/>
                <w:sz w:val="22"/>
              </w:rPr>
              <w:t> </w:t>
            </w:r>
            <w:r>
              <w:rPr>
                <w:spacing w:val="-2"/>
                <w:sz w:val="22"/>
              </w:rPr>
              <w:t>laboratory infrastructure</w:t>
            </w:r>
            <w:r>
              <w:rPr>
                <w:spacing w:val="-14"/>
                <w:sz w:val="22"/>
              </w:rPr>
              <w:t> </w:t>
            </w:r>
            <w:r>
              <w:rPr>
                <w:spacing w:val="-2"/>
                <w:sz w:val="22"/>
              </w:rPr>
              <w:t>and</w:t>
            </w:r>
            <w:r>
              <w:rPr>
                <w:spacing w:val="-13"/>
                <w:sz w:val="22"/>
              </w:rPr>
              <w:t> </w:t>
            </w:r>
            <w:r>
              <w:rPr>
                <w:spacing w:val="-2"/>
                <w:sz w:val="22"/>
              </w:rPr>
              <w:t>a</w:t>
            </w:r>
            <w:r>
              <w:rPr>
                <w:spacing w:val="-13"/>
                <w:sz w:val="22"/>
              </w:rPr>
              <w:t> </w:t>
            </w:r>
            <w:r>
              <w:rPr>
                <w:spacing w:val="-2"/>
                <w:sz w:val="22"/>
              </w:rPr>
              <w:t>lower</w:t>
            </w:r>
            <w:r>
              <w:rPr>
                <w:spacing w:val="-14"/>
                <w:sz w:val="22"/>
              </w:rPr>
              <w:t> </w:t>
            </w:r>
            <w:r>
              <w:rPr>
                <w:spacing w:val="-2"/>
                <w:sz w:val="22"/>
              </w:rPr>
              <w:t>capital</w:t>
            </w:r>
            <w:r>
              <w:rPr>
                <w:spacing w:val="-13"/>
                <w:sz w:val="22"/>
              </w:rPr>
              <w:t> </w:t>
            </w:r>
            <w:r>
              <w:rPr>
                <w:spacing w:val="-2"/>
                <w:sz w:val="22"/>
              </w:rPr>
              <w:t>investment</w:t>
            </w:r>
            <w:r>
              <w:rPr>
                <w:spacing w:val="-13"/>
                <w:sz w:val="22"/>
              </w:rPr>
              <w:t> </w:t>
            </w:r>
            <w:r>
              <w:rPr>
                <w:spacing w:val="-2"/>
                <w:sz w:val="22"/>
              </w:rPr>
              <w:t>requirement.</w:t>
            </w:r>
            <w:r>
              <w:rPr>
                <w:spacing w:val="-13"/>
                <w:sz w:val="22"/>
              </w:rPr>
              <w:t> </w:t>
            </w:r>
            <w:r>
              <w:rPr>
                <w:spacing w:val="-2"/>
                <w:sz w:val="22"/>
              </w:rPr>
              <w:t>Approval</w:t>
            </w:r>
            <w:r>
              <w:rPr>
                <w:spacing w:val="-14"/>
                <w:sz w:val="22"/>
              </w:rPr>
              <w:t> </w:t>
            </w:r>
            <w:r>
              <w:rPr>
                <w:spacing w:val="-2"/>
                <w:sz w:val="22"/>
              </w:rPr>
              <w:t>of</w:t>
            </w:r>
            <w:r>
              <w:rPr>
                <w:spacing w:val="-13"/>
                <w:sz w:val="22"/>
              </w:rPr>
              <w:t> </w:t>
            </w:r>
            <w:r>
              <w:rPr>
                <w:spacing w:val="-2"/>
                <w:sz w:val="22"/>
              </w:rPr>
              <w:t>the</w:t>
            </w:r>
            <w:r>
              <w:rPr>
                <w:spacing w:val="-13"/>
                <w:sz w:val="22"/>
              </w:rPr>
              <w:t> </w:t>
            </w:r>
            <w:r>
              <w:rPr>
                <w:spacing w:val="-2"/>
                <w:sz w:val="22"/>
              </w:rPr>
              <w:t>preferred</w:t>
            </w:r>
            <w:r>
              <w:rPr>
                <w:spacing w:val="-14"/>
                <w:sz w:val="22"/>
              </w:rPr>
              <w:t> </w:t>
            </w:r>
            <w:r>
              <w:rPr>
                <w:spacing w:val="-2"/>
                <w:sz w:val="22"/>
              </w:rPr>
              <w:t>site</w:t>
            </w:r>
            <w:r>
              <w:rPr>
                <w:spacing w:val="-13"/>
                <w:sz w:val="22"/>
              </w:rPr>
              <w:t> </w:t>
            </w:r>
            <w:r>
              <w:rPr>
                <w:spacing w:val="-2"/>
                <w:sz w:val="22"/>
              </w:rPr>
              <w:t>established</w:t>
            </w:r>
            <w:r>
              <w:rPr>
                <w:spacing w:val="-11"/>
                <w:sz w:val="22"/>
              </w:rPr>
              <w:t> </w:t>
            </w:r>
            <w:r>
              <w:rPr>
                <w:spacing w:val="-2"/>
                <w:sz w:val="22"/>
              </w:rPr>
              <w:t>the basis</w:t>
            </w:r>
            <w:r>
              <w:rPr>
                <w:spacing w:val="-14"/>
                <w:sz w:val="22"/>
              </w:rPr>
              <w:t> </w:t>
            </w:r>
            <w:r>
              <w:rPr>
                <w:spacing w:val="-2"/>
                <w:sz w:val="22"/>
              </w:rPr>
              <w:t>for</w:t>
            </w:r>
            <w:r>
              <w:rPr>
                <w:spacing w:val="-13"/>
                <w:sz w:val="22"/>
              </w:rPr>
              <w:t> </w:t>
            </w:r>
            <w:r>
              <w:rPr>
                <w:spacing w:val="-2"/>
                <w:sz w:val="22"/>
              </w:rPr>
              <w:t>further</w:t>
            </w:r>
            <w:r>
              <w:rPr>
                <w:spacing w:val="-13"/>
                <w:sz w:val="22"/>
              </w:rPr>
              <w:t> </w:t>
            </w:r>
            <w:r>
              <w:rPr>
                <w:spacing w:val="-2"/>
                <w:sz w:val="22"/>
              </w:rPr>
              <w:t>design</w:t>
            </w:r>
            <w:r>
              <w:rPr>
                <w:spacing w:val="-10"/>
                <w:sz w:val="22"/>
              </w:rPr>
              <w:t> </w:t>
            </w:r>
            <w:r>
              <w:rPr>
                <w:spacing w:val="-2"/>
                <w:sz w:val="22"/>
              </w:rPr>
              <w:t>and</w:t>
            </w:r>
            <w:r>
              <w:rPr>
                <w:spacing w:val="-10"/>
                <w:sz w:val="22"/>
              </w:rPr>
              <w:t> </w:t>
            </w:r>
            <w:r>
              <w:rPr>
                <w:spacing w:val="-2"/>
                <w:sz w:val="22"/>
              </w:rPr>
              <w:t>feasibility,</w:t>
            </w:r>
            <w:r>
              <w:rPr>
                <w:spacing w:val="-13"/>
                <w:sz w:val="22"/>
              </w:rPr>
              <w:t> </w:t>
            </w:r>
            <w:r>
              <w:rPr>
                <w:spacing w:val="-2"/>
                <w:sz w:val="22"/>
              </w:rPr>
              <w:t>but</w:t>
            </w:r>
            <w:r>
              <w:rPr>
                <w:spacing w:val="-11"/>
                <w:sz w:val="22"/>
              </w:rPr>
              <w:t> </w:t>
            </w:r>
            <w:r>
              <w:rPr>
                <w:spacing w:val="-2"/>
                <w:sz w:val="22"/>
              </w:rPr>
              <w:t>remains</w:t>
            </w:r>
            <w:r>
              <w:rPr>
                <w:spacing w:val="-13"/>
                <w:sz w:val="22"/>
              </w:rPr>
              <w:t> </w:t>
            </w:r>
            <w:r>
              <w:rPr>
                <w:spacing w:val="-2"/>
                <w:sz w:val="22"/>
              </w:rPr>
              <w:t>subject</w:t>
            </w:r>
            <w:r>
              <w:rPr>
                <w:spacing w:val="-13"/>
                <w:sz w:val="22"/>
              </w:rPr>
              <w:t> </w:t>
            </w:r>
            <w:r>
              <w:rPr>
                <w:spacing w:val="-2"/>
                <w:sz w:val="22"/>
              </w:rPr>
              <w:t>to</w:t>
            </w:r>
            <w:r>
              <w:rPr>
                <w:spacing w:val="-10"/>
                <w:sz w:val="22"/>
              </w:rPr>
              <w:t> </w:t>
            </w:r>
            <w:r>
              <w:rPr>
                <w:spacing w:val="-2"/>
                <w:sz w:val="22"/>
              </w:rPr>
              <w:t>confirmation</w:t>
            </w:r>
            <w:r>
              <w:rPr>
                <w:spacing w:val="-10"/>
                <w:sz w:val="22"/>
              </w:rPr>
              <w:t> </w:t>
            </w:r>
            <w:r>
              <w:rPr>
                <w:spacing w:val="-2"/>
                <w:sz w:val="22"/>
              </w:rPr>
              <w:t>of</w:t>
            </w:r>
            <w:r>
              <w:rPr>
                <w:spacing w:val="-13"/>
                <w:sz w:val="22"/>
              </w:rPr>
              <w:t> </w:t>
            </w:r>
            <w:r>
              <w:rPr>
                <w:spacing w:val="-2"/>
                <w:sz w:val="22"/>
              </w:rPr>
              <w:t>affordability,</w:t>
            </w:r>
            <w:r>
              <w:rPr>
                <w:spacing w:val="-13"/>
                <w:sz w:val="22"/>
              </w:rPr>
              <w:t> </w:t>
            </w:r>
            <w:r>
              <w:rPr>
                <w:spacing w:val="-2"/>
                <w:sz w:val="22"/>
              </w:rPr>
              <w:t>funding</w:t>
            </w:r>
            <w:r>
              <w:rPr>
                <w:spacing w:val="-14"/>
                <w:sz w:val="22"/>
              </w:rPr>
              <w:t> </w:t>
            </w:r>
            <w:r>
              <w:rPr>
                <w:spacing w:val="-2"/>
                <w:sz w:val="22"/>
              </w:rPr>
              <w:t>and</w:t>
            </w:r>
            <w:r>
              <w:rPr>
                <w:spacing w:val="-14"/>
                <w:sz w:val="22"/>
              </w:rPr>
              <w:t> </w:t>
            </w:r>
            <w:r>
              <w:rPr>
                <w:spacing w:val="-2"/>
                <w:sz w:val="22"/>
              </w:rPr>
              <w:t>a </w:t>
            </w:r>
            <w:r>
              <w:rPr>
                <w:sz w:val="22"/>
              </w:rPr>
              <w:t>satisfactory Full Business Case.</w:t>
            </w:r>
          </w:p>
          <w:p>
            <w:pPr>
              <w:pStyle w:val="TableParagraph"/>
              <w:spacing w:line="276" w:lineRule="auto" w:before="101"/>
              <w:ind w:left="120"/>
              <w:rPr>
                <w:sz w:val="22"/>
              </w:rPr>
            </w:pPr>
            <w:r>
              <w:rPr>
                <w:sz w:val="22"/>
              </w:rPr>
              <w:t>Since</w:t>
            </w:r>
            <w:r>
              <w:rPr>
                <w:spacing w:val="-16"/>
                <w:sz w:val="22"/>
              </w:rPr>
              <w:t> </w:t>
            </w:r>
            <w:r>
              <w:rPr>
                <w:sz w:val="22"/>
              </w:rPr>
              <w:t>agreement</w:t>
            </w:r>
            <w:r>
              <w:rPr>
                <w:spacing w:val="-15"/>
                <w:sz w:val="22"/>
              </w:rPr>
              <w:t> </w:t>
            </w:r>
            <w:r>
              <w:rPr>
                <w:sz w:val="22"/>
              </w:rPr>
              <w:t>of</w:t>
            </w:r>
            <w:r>
              <w:rPr>
                <w:spacing w:val="-15"/>
                <w:sz w:val="22"/>
              </w:rPr>
              <w:t> </w:t>
            </w:r>
            <w:r>
              <w:rPr>
                <w:sz w:val="22"/>
              </w:rPr>
              <w:t>the</w:t>
            </w:r>
            <w:r>
              <w:rPr>
                <w:spacing w:val="-16"/>
                <w:sz w:val="22"/>
              </w:rPr>
              <w:t> </w:t>
            </w:r>
            <w:r>
              <w:rPr>
                <w:sz w:val="22"/>
              </w:rPr>
              <w:t>preferred</w:t>
            </w:r>
            <w:r>
              <w:rPr>
                <w:spacing w:val="-11"/>
                <w:sz w:val="22"/>
              </w:rPr>
              <w:t> </w:t>
            </w:r>
            <w:r>
              <w:rPr>
                <w:sz w:val="22"/>
              </w:rPr>
              <w:t>site</w:t>
            </w:r>
            <w:r>
              <w:rPr>
                <w:spacing w:val="-11"/>
                <w:sz w:val="22"/>
              </w:rPr>
              <w:t> </w:t>
            </w:r>
            <w:r>
              <w:rPr>
                <w:sz w:val="22"/>
              </w:rPr>
              <w:t>in</w:t>
            </w:r>
            <w:r>
              <w:rPr>
                <w:spacing w:val="-11"/>
                <w:sz w:val="22"/>
              </w:rPr>
              <w:t> </w:t>
            </w:r>
            <w:r>
              <w:rPr>
                <w:sz w:val="22"/>
              </w:rPr>
              <w:t>February</w:t>
            </w:r>
            <w:r>
              <w:rPr>
                <w:spacing w:val="-16"/>
                <w:sz w:val="22"/>
              </w:rPr>
              <w:t> </w:t>
            </w:r>
            <w:r>
              <w:rPr>
                <w:sz w:val="22"/>
              </w:rPr>
              <w:t>2026,</w:t>
            </w:r>
            <w:r>
              <w:rPr>
                <w:spacing w:val="-14"/>
                <w:sz w:val="22"/>
              </w:rPr>
              <w:t> </w:t>
            </w:r>
            <w:r>
              <w:rPr>
                <w:sz w:val="22"/>
              </w:rPr>
              <w:t>the</w:t>
            </w:r>
            <w:r>
              <w:rPr>
                <w:spacing w:val="-16"/>
                <w:sz w:val="22"/>
              </w:rPr>
              <w:t> </w:t>
            </w:r>
            <w:r>
              <w:rPr>
                <w:sz w:val="22"/>
              </w:rPr>
              <w:t>programme</w:t>
            </w:r>
            <w:r>
              <w:rPr>
                <w:spacing w:val="-15"/>
                <w:sz w:val="22"/>
              </w:rPr>
              <w:t> </w:t>
            </w:r>
            <w:r>
              <w:rPr>
                <w:sz w:val="22"/>
              </w:rPr>
              <w:t>has</w:t>
            </w:r>
            <w:r>
              <w:rPr>
                <w:spacing w:val="-9"/>
                <w:sz w:val="22"/>
              </w:rPr>
              <w:t> </w:t>
            </w:r>
            <w:r>
              <w:rPr>
                <w:sz w:val="22"/>
              </w:rPr>
              <w:t>transitioned</w:t>
            </w:r>
            <w:r>
              <w:rPr>
                <w:spacing w:val="-11"/>
                <w:sz w:val="22"/>
              </w:rPr>
              <w:t> </w:t>
            </w:r>
            <w:r>
              <w:rPr>
                <w:sz w:val="22"/>
              </w:rPr>
              <w:t>from</w:t>
            </w:r>
            <w:r>
              <w:rPr>
                <w:spacing w:val="-16"/>
                <w:sz w:val="22"/>
              </w:rPr>
              <w:t> </w:t>
            </w:r>
            <w:r>
              <w:rPr>
                <w:sz w:val="22"/>
              </w:rPr>
              <w:t>option </w:t>
            </w:r>
            <w:r>
              <w:rPr>
                <w:spacing w:val="-2"/>
                <w:sz w:val="22"/>
              </w:rPr>
              <w:t>appraisal</w:t>
            </w:r>
            <w:r>
              <w:rPr>
                <w:spacing w:val="-14"/>
                <w:sz w:val="22"/>
              </w:rPr>
              <w:t> </w:t>
            </w:r>
            <w:r>
              <w:rPr>
                <w:spacing w:val="-2"/>
                <w:sz w:val="22"/>
              </w:rPr>
              <w:t>into</w:t>
            </w:r>
            <w:r>
              <w:rPr>
                <w:spacing w:val="-13"/>
                <w:sz w:val="22"/>
              </w:rPr>
              <w:t> </w:t>
            </w:r>
            <w:r>
              <w:rPr>
                <w:spacing w:val="-2"/>
                <w:sz w:val="22"/>
              </w:rPr>
              <w:t>Full</w:t>
            </w:r>
            <w:r>
              <w:rPr>
                <w:spacing w:val="-13"/>
                <w:sz w:val="22"/>
              </w:rPr>
              <w:t> </w:t>
            </w:r>
            <w:r>
              <w:rPr>
                <w:spacing w:val="-2"/>
                <w:sz w:val="22"/>
              </w:rPr>
              <w:t>Business</w:t>
            </w:r>
            <w:r>
              <w:rPr>
                <w:spacing w:val="-12"/>
                <w:sz w:val="22"/>
              </w:rPr>
              <w:t> </w:t>
            </w:r>
            <w:r>
              <w:rPr>
                <w:spacing w:val="-2"/>
                <w:sz w:val="22"/>
              </w:rPr>
              <w:t>Case</w:t>
            </w:r>
            <w:r>
              <w:rPr>
                <w:spacing w:val="-14"/>
                <w:sz w:val="22"/>
              </w:rPr>
              <w:t> </w:t>
            </w:r>
            <w:r>
              <w:rPr>
                <w:spacing w:val="-2"/>
                <w:sz w:val="22"/>
              </w:rPr>
              <w:t>development.</w:t>
            </w:r>
            <w:r>
              <w:rPr>
                <w:spacing w:val="-13"/>
                <w:sz w:val="22"/>
              </w:rPr>
              <w:t> </w:t>
            </w:r>
            <w:r>
              <w:rPr>
                <w:spacing w:val="-2"/>
                <w:sz w:val="22"/>
              </w:rPr>
              <w:t>Work</w:t>
            </w:r>
            <w:r>
              <w:rPr>
                <w:spacing w:val="-8"/>
                <w:sz w:val="22"/>
              </w:rPr>
              <w:t> </w:t>
            </w:r>
            <w:r>
              <w:rPr>
                <w:spacing w:val="-2"/>
                <w:sz w:val="22"/>
              </w:rPr>
              <w:t>is</w:t>
            </w:r>
            <w:r>
              <w:rPr>
                <w:spacing w:val="-14"/>
                <w:sz w:val="22"/>
              </w:rPr>
              <w:t> </w:t>
            </w:r>
            <w:r>
              <w:rPr>
                <w:spacing w:val="-2"/>
                <w:sz w:val="22"/>
              </w:rPr>
              <w:t>now</w:t>
            </w:r>
            <w:r>
              <w:rPr>
                <w:spacing w:val="-11"/>
                <w:sz w:val="22"/>
              </w:rPr>
              <w:t> </w:t>
            </w:r>
            <w:r>
              <w:rPr>
                <w:spacing w:val="-2"/>
                <w:sz w:val="22"/>
              </w:rPr>
              <w:t>focused</w:t>
            </w:r>
            <w:r>
              <w:rPr>
                <w:spacing w:val="-14"/>
                <w:sz w:val="22"/>
              </w:rPr>
              <w:t> </w:t>
            </w:r>
            <w:r>
              <w:rPr>
                <w:spacing w:val="-2"/>
                <w:sz w:val="22"/>
              </w:rPr>
              <w:t>on</w:t>
            </w:r>
            <w:r>
              <w:rPr>
                <w:spacing w:val="-9"/>
                <w:sz w:val="22"/>
              </w:rPr>
              <w:t> </w:t>
            </w:r>
            <w:r>
              <w:rPr>
                <w:spacing w:val="-2"/>
                <w:sz w:val="22"/>
              </w:rPr>
              <w:t>defining</w:t>
            </w:r>
            <w:r>
              <w:rPr>
                <w:spacing w:val="-14"/>
                <w:sz w:val="22"/>
              </w:rPr>
              <w:t> </w:t>
            </w:r>
            <w:r>
              <w:rPr>
                <w:spacing w:val="-2"/>
                <w:sz w:val="22"/>
              </w:rPr>
              <w:t>the</w:t>
            </w:r>
            <w:r>
              <w:rPr>
                <w:spacing w:val="-9"/>
                <w:sz w:val="22"/>
              </w:rPr>
              <w:t> </w:t>
            </w:r>
            <w:r>
              <w:rPr>
                <w:spacing w:val="-2"/>
                <w:sz w:val="22"/>
              </w:rPr>
              <w:t>operational</w:t>
            </w:r>
            <w:r>
              <w:rPr>
                <w:spacing w:val="-14"/>
                <w:sz w:val="22"/>
              </w:rPr>
              <w:t> </w:t>
            </w:r>
            <w:r>
              <w:rPr>
                <w:spacing w:val="-2"/>
                <w:sz w:val="22"/>
              </w:rPr>
              <w:t>model, laboratory</w:t>
            </w:r>
            <w:r>
              <w:rPr>
                <w:spacing w:val="-8"/>
                <w:sz w:val="22"/>
              </w:rPr>
              <w:t> </w:t>
            </w:r>
            <w:r>
              <w:rPr>
                <w:spacing w:val="-2"/>
                <w:sz w:val="22"/>
              </w:rPr>
              <w:t>design,</w:t>
            </w:r>
            <w:r>
              <w:rPr>
                <w:spacing w:val="-3"/>
                <w:sz w:val="22"/>
              </w:rPr>
              <w:t> </w:t>
            </w:r>
            <w:r>
              <w:rPr>
                <w:spacing w:val="-2"/>
                <w:sz w:val="22"/>
              </w:rPr>
              <w:t>workforce requirements,</w:t>
            </w:r>
            <w:r>
              <w:rPr>
                <w:spacing w:val="-9"/>
                <w:sz w:val="22"/>
              </w:rPr>
              <w:t> </w:t>
            </w:r>
            <w:r>
              <w:rPr>
                <w:spacing w:val="-2"/>
                <w:sz w:val="22"/>
              </w:rPr>
              <w:t>affordability,</w:t>
            </w:r>
            <w:r>
              <w:rPr>
                <w:spacing w:val="-3"/>
                <w:sz w:val="22"/>
              </w:rPr>
              <w:t> </w:t>
            </w:r>
            <w:r>
              <w:rPr>
                <w:spacing w:val="-2"/>
                <w:sz w:val="22"/>
              </w:rPr>
              <w:t>commercial</w:t>
            </w:r>
            <w:r>
              <w:rPr>
                <w:spacing w:val="-6"/>
                <w:sz w:val="22"/>
              </w:rPr>
              <w:t> </w:t>
            </w:r>
            <w:r>
              <w:rPr>
                <w:spacing w:val="-2"/>
                <w:sz w:val="22"/>
              </w:rPr>
              <w:t>arrangements,</w:t>
            </w:r>
            <w:r>
              <w:rPr>
                <w:spacing w:val="-3"/>
                <w:sz w:val="22"/>
              </w:rPr>
              <w:t> </w:t>
            </w:r>
            <w:r>
              <w:rPr>
                <w:spacing w:val="-2"/>
                <w:sz w:val="22"/>
              </w:rPr>
              <w:t>benefits realisation </w:t>
            </w:r>
            <w:r>
              <w:rPr>
                <w:sz w:val="22"/>
              </w:rPr>
              <w:t>and</w:t>
            </w:r>
            <w:r>
              <w:rPr>
                <w:spacing w:val="-16"/>
                <w:sz w:val="22"/>
              </w:rPr>
              <w:t> </w:t>
            </w:r>
            <w:r>
              <w:rPr>
                <w:sz w:val="22"/>
              </w:rPr>
              <w:t>governance</w:t>
            </w:r>
            <w:r>
              <w:rPr>
                <w:spacing w:val="-15"/>
                <w:sz w:val="22"/>
              </w:rPr>
              <w:t> </w:t>
            </w:r>
            <w:r>
              <w:rPr>
                <w:sz w:val="22"/>
              </w:rPr>
              <w:t>framework</w:t>
            </w:r>
            <w:r>
              <w:rPr>
                <w:spacing w:val="-15"/>
                <w:sz w:val="22"/>
              </w:rPr>
              <w:t> </w:t>
            </w:r>
            <w:r>
              <w:rPr>
                <w:sz w:val="22"/>
              </w:rPr>
              <w:t>required</w:t>
            </w:r>
            <w:r>
              <w:rPr>
                <w:spacing w:val="-16"/>
                <w:sz w:val="22"/>
              </w:rPr>
              <w:t> </w:t>
            </w:r>
            <w:r>
              <w:rPr>
                <w:sz w:val="22"/>
              </w:rPr>
              <w:t>to</w:t>
            </w:r>
            <w:r>
              <w:rPr>
                <w:spacing w:val="-10"/>
                <w:sz w:val="22"/>
              </w:rPr>
              <w:t> </w:t>
            </w:r>
            <w:r>
              <w:rPr>
                <w:sz w:val="22"/>
              </w:rPr>
              <w:t>support</w:t>
            </w:r>
            <w:r>
              <w:rPr>
                <w:spacing w:val="-15"/>
                <w:sz w:val="22"/>
              </w:rPr>
              <w:t> </w:t>
            </w:r>
            <w:r>
              <w:rPr>
                <w:sz w:val="22"/>
              </w:rPr>
              <w:t>delivery</w:t>
            </w:r>
            <w:r>
              <w:rPr>
                <w:spacing w:val="-16"/>
                <w:sz w:val="22"/>
              </w:rPr>
              <w:t> </w:t>
            </w:r>
            <w:r>
              <w:rPr>
                <w:sz w:val="22"/>
              </w:rPr>
              <w:t>of</w:t>
            </w:r>
            <w:r>
              <w:rPr>
                <w:spacing w:val="-15"/>
                <w:sz w:val="22"/>
              </w:rPr>
              <w:t> </w:t>
            </w:r>
            <w:r>
              <w:rPr>
                <w:sz w:val="22"/>
              </w:rPr>
              <w:t>a</w:t>
            </w:r>
            <w:r>
              <w:rPr>
                <w:spacing w:val="-11"/>
                <w:sz w:val="22"/>
              </w:rPr>
              <w:t> </w:t>
            </w:r>
            <w:r>
              <w:rPr>
                <w:sz w:val="22"/>
              </w:rPr>
              <w:t>single,</w:t>
            </w:r>
            <w:r>
              <w:rPr>
                <w:spacing w:val="-15"/>
                <w:sz w:val="22"/>
              </w:rPr>
              <w:t> </w:t>
            </w:r>
            <w:r>
              <w:rPr>
                <w:sz w:val="22"/>
              </w:rPr>
              <w:t>co-located</w:t>
            </w:r>
            <w:r>
              <w:rPr>
                <w:spacing w:val="-16"/>
                <w:sz w:val="22"/>
              </w:rPr>
              <w:t> </w:t>
            </w:r>
            <w:r>
              <w:rPr>
                <w:sz w:val="22"/>
              </w:rPr>
              <w:t>Regional</w:t>
            </w:r>
            <w:r>
              <w:rPr>
                <w:spacing w:val="-12"/>
                <w:sz w:val="22"/>
              </w:rPr>
              <w:t> </w:t>
            </w:r>
            <w:r>
              <w:rPr>
                <w:sz w:val="22"/>
              </w:rPr>
              <w:t>Cellular Pathology</w:t>
            </w:r>
            <w:r>
              <w:rPr>
                <w:spacing w:val="-7"/>
                <w:sz w:val="22"/>
              </w:rPr>
              <w:t> </w:t>
            </w:r>
            <w:r>
              <w:rPr>
                <w:sz w:val="22"/>
              </w:rPr>
              <w:t>Laboratory</w:t>
            </w:r>
            <w:r>
              <w:rPr>
                <w:spacing w:val="-7"/>
                <w:sz w:val="22"/>
              </w:rPr>
              <w:t> </w:t>
            </w:r>
            <w:r>
              <w:rPr>
                <w:sz w:val="22"/>
              </w:rPr>
              <w:t>at</w:t>
            </w:r>
            <w:r>
              <w:rPr>
                <w:spacing w:val="-2"/>
                <w:sz w:val="22"/>
              </w:rPr>
              <w:t> </w:t>
            </w:r>
            <w:r>
              <w:rPr>
                <w:sz w:val="22"/>
              </w:rPr>
              <w:t>Swansea</w:t>
            </w:r>
            <w:r>
              <w:rPr>
                <w:spacing w:val="-3"/>
                <w:sz w:val="22"/>
              </w:rPr>
              <w:t> </w:t>
            </w:r>
            <w:r>
              <w:rPr>
                <w:sz w:val="22"/>
              </w:rPr>
              <w:t>University</w:t>
            </w:r>
            <w:r>
              <w:rPr>
                <w:spacing w:val="-7"/>
                <w:sz w:val="22"/>
              </w:rPr>
              <w:t> </w:t>
            </w:r>
            <w:r>
              <w:rPr>
                <w:sz w:val="22"/>
              </w:rPr>
              <w:t>Bay</w:t>
            </w:r>
            <w:r>
              <w:rPr>
                <w:spacing w:val="-7"/>
                <w:sz w:val="22"/>
              </w:rPr>
              <w:t> </w:t>
            </w:r>
            <w:r>
              <w:rPr>
                <w:sz w:val="22"/>
              </w:rPr>
              <w:t>Campus.</w:t>
            </w:r>
          </w:p>
          <w:p>
            <w:pPr>
              <w:pStyle w:val="TableParagraph"/>
              <w:spacing w:line="276" w:lineRule="auto" w:before="101"/>
              <w:ind w:left="120" w:right="399"/>
              <w:jc w:val="both"/>
              <w:rPr>
                <w:sz w:val="22"/>
              </w:rPr>
            </w:pPr>
            <w:r>
              <w:rPr>
                <w:spacing w:val="-2"/>
                <w:sz w:val="22"/>
              </w:rPr>
              <w:t>Welsh</w:t>
            </w:r>
            <w:r>
              <w:rPr>
                <w:spacing w:val="-14"/>
                <w:sz w:val="22"/>
              </w:rPr>
              <w:t> </w:t>
            </w:r>
            <w:r>
              <w:rPr>
                <w:spacing w:val="-2"/>
                <w:sz w:val="22"/>
              </w:rPr>
              <w:t>Government</w:t>
            </w:r>
            <w:r>
              <w:rPr>
                <w:spacing w:val="-13"/>
                <w:sz w:val="22"/>
              </w:rPr>
              <w:t> </w:t>
            </w:r>
            <w:r>
              <w:rPr>
                <w:spacing w:val="-2"/>
                <w:sz w:val="22"/>
              </w:rPr>
              <w:t>funding</w:t>
            </w:r>
            <w:r>
              <w:rPr>
                <w:spacing w:val="-13"/>
                <w:sz w:val="22"/>
              </w:rPr>
              <w:t> </w:t>
            </w:r>
            <w:r>
              <w:rPr>
                <w:spacing w:val="-2"/>
                <w:sz w:val="22"/>
              </w:rPr>
              <w:t>has</w:t>
            </w:r>
            <w:r>
              <w:rPr>
                <w:spacing w:val="-14"/>
                <w:sz w:val="22"/>
              </w:rPr>
              <w:t> </w:t>
            </w:r>
            <w:r>
              <w:rPr>
                <w:spacing w:val="-2"/>
                <w:sz w:val="22"/>
              </w:rPr>
              <w:t>been</w:t>
            </w:r>
            <w:r>
              <w:rPr>
                <w:spacing w:val="-12"/>
                <w:sz w:val="22"/>
              </w:rPr>
              <w:t> </w:t>
            </w:r>
            <w:r>
              <w:rPr>
                <w:spacing w:val="-2"/>
                <w:sz w:val="22"/>
              </w:rPr>
              <w:t>secured</w:t>
            </w:r>
            <w:r>
              <w:rPr>
                <w:spacing w:val="-7"/>
                <w:sz w:val="22"/>
              </w:rPr>
              <w:t> </w:t>
            </w:r>
            <w:r>
              <w:rPr>
                <w:spacing w:val="-2"/>
                <w:sz w:val="22"/>
              </w:rPr>
              <w:t>to</w:t>
            </w:r>
            <w:r>
              <w:rPr>
                <w:spacing w:val="-8"/>
                <w:sz w:val="22"/>
              </w:rPr>
              <w:t> </w:t>
            </w:r>
            <w:r>
              <w:rPr>
                <w:spacing w:val="-2"/>
                <w:sz w:val="22"/>
              </w:rPr>
              <w:t>support</w:t>
            </w:r>
            <w:r>
              <w:rPr>
                <w:spacing w:val="-14"/>
                <w:sz w:val="22"/>
              </w:rPr>
              <w:t> </w:t>
            </w:r>
            <w:r>
              <w:rPr>
                <w:spacing w:val="-2"/>
                <w:sz w:val="22"/>
              </w:rPr>
              <w:t>Full</w:t>
            </w:r>
            <w:r>
              <w:rPr>
                <w:spacing w:val="-8"/>
                <w:sz w:val="22"/>
              </w:rPr>
              <w:t> </w:t>
            </w:r>
            <w:r>
              <w:rPr>
                <w:spacing w:val="-2"/>
                <w:sz w:val="22"/>
              </w:rPr>
              <w:t>Business</w:t>
            </w:r>
            <w:r>
              <w:rPr>
                <w:spacing w:val="-10"/>
                <w:sz w:val="22"/>
              </w:rPr>
              <w:t> </w:t>
            </w:r>
            <w:r>
              <w:rPr>
                <w:spacing w:val="-2"/>
                <w:sz w:val="22"/>
              </w:rPr>
              <w:t>Case</w:t>
            </w:r>
            <w:r>
              <w:rPr>
                <w:spacing w:val="-8"/>
                <w:sz w:val="22"/>
              </w:rPr>
              <w:t> </w:t>
            </w:r>
            <w:r>
              <w:rPr>
                <w:spacing w:val="-2"/>
                <w:sz w:val="22"/>
              </w:rPr>
              <w:t>development,</w:t>
            </w:r>
            <w:r>
              <w:rPr>
                <w:spacing w:val="-14"/>
                <w:sz w:val="22"/>
              </w:rPr>
              <w:t> </w:t>
            </w:r>
            <w:r>
              <w:rPr>
                <w:spacing w:val="-2"/>
                <w:sz w:val="22"/>
              </w:rPr>
              <w:t>providing the</w:t>
            </w:r>
            <w:r>
              <w:rPr>
                <w:spacing w:val="-14"/>
                <w:sz w:val="22"/>
              </w:rPr>
              <w:t> </w:t>
            </w:r>
            <w:r>
              <w:rPr>
                <w:spacing w:val="-2"/>
                <w:sz w:val="22"/>
              </w:rPr>
              <w:t>external</w:t>
            </w:r>
            <w:r>
              <w:rPr>
                <w:spacing w:val="-13"/>
                <w:sz w:val="22"/>
              </w:rPr>
              <w:t> </w:t>
            </w:r>
            <w:r>
              <w:rPr>
                <w:spacing w:val="-2"/>
                <w:sz w:val="22"/>
              </w:rPr>
              <w:t>specialist</w:t>
            </w:r>
            <w:r>
              <w:rPr>
                <w:spacing w:val="-13"/>
                <w:sz w:val="22"/>
              </w:rPr>
              <w:t> </w:t>
            </w:r>
            <w:r>
              <w:rPr>
                <w:spacing w:val="-2"/>
                <w:sz w:val="22"/>
              </w:rPr>
              <w:t>expertise</w:t>
            </w:r>
            <w:r>
              <w:rPr>
                <w:spacing w:val="-14"/>
                <w:sz w:val="22"/>
              </w:rPr>
              <w:t> </w:t>
            </w:r>
            <w:r>
              <w:rPr>
                <w:spacing w:val="-2"/>
                <w:sz w:val="22"/>
              </w:rPr>
              <w:t>and</w:t>
            </w:r>
            <w:r>
              <w:rPr>
                <w:spacing w:val="-13"/>
                <w:sz w:val="22"/>
              </w:rPr>
              <w:t> </w:t>
            </w:r>
            <w:r>
              <w:rPr>
                <w:spacing w:val="-2"/>
                <w:sz w:val="22"/>
              </w:rPr>
              <w:t>technical</w:t>
            </w:r>
            <w:r>
              <w:rPr>
                <w:spacing w:val="-13"/>
                <w:sz w:val="22"/>
              </w:rPr>
              <w:t> </w:t>
            </w:r>
            <w:r>
              <w:rPr>
                <w:spacing w:val="-2"/>
                <w:sz w:val="22"/>
              </w:rPr>
              <w:t>resources</w:t>
            </w:r>
            <w:r>
              <w:rPr>
                <w:spacing w:val="-13"/>
                <w:sz w:val="22"/>
              </w:rPr>
              <w:t> </w:t>
            </w:r>
            <w:r>
              <w:rPr>
                <w:spacing w:val="-2"/>
                <w:sz w:val="22"/>
              </w:rPr>
              <w:t>required</w:t>
            </w:r>
            <w:r>
              <w:rPr>
                <w:spacing w:val="-14"/>
                <w:sz w:val="22"/>
              </w:rPr>
              <w:t> </w:t>
            </w:r>
            <w:r>
              <w:rPr>
                <w:spacing w:val="-2"/>
                <w:sz w:val="22"/>
              </w:rPr>
              <w:t>to</w:t>
            </w:r>
            <w:r>
              <w:rPr>
                <w:spacing w:val="-13"/>
                <w:sz w:val="22"/>
              </w:rPr>
              <w:t> </w:t>
            </w:r>
            <w:r>
              <w:rPr>
                <w:spacing w:val="-2"/>
                <w:sz w:val="22"/>
              </w:rPr>
              <w:t>progress</w:t>
            </w:r>
            <w:r>
              <w:rPr>
                <w:spacing w:val="-13"/>
                <w:sz w:val="22"/>
              </w:rPr>
              <w:t> </w:t>
            </w:r>
            <w:r>
              <w:rPr>
                <w:spacing w:val="-2"/>
                <w:sz w:val="22"/>
              </w:rPr>
              <w:t>the</w:t>
            </w:r>
            <w:r>
              <w:rPr>
                <w:spacing w:val="-14"/>
                <w:sz w:val="22"/>
              </w:rPr>
              <w:t> </w:t>
            </w:r>
            <w:r>
              <w:rPr>
                <w:spacing w:val="-2"/>
                <w:sz w:val="22"/>
              </w:rPr>
              <w:t>programme</w:t>
            </w:r>
            <w:r>
              <w:rPr>
                <w:spacing w:val="-13"/>
                <w:sz w:val="22"/>
              </w:rPr>
              <w:t> </w:t>
            </w:r>
            <w:r>
              <w:rPr>
                <w:spacing w:val="-2"/>
                <w:sz w:val="22"/>
              </w:rPr>
              <w:t>through </w:t>
            </w:r>
            <w:r>
              <w:rPr>
                <w:sz w:val="22"/>
              </w:rPr>
              <w:t>design,</w:t>
            </w:r>
            <w:r>
              <w:rPr>
                <w:spacing w:val="-16"/>
                <w:sz w:val="22"/>
              </w:rPr>
              <w:t> </w:t>
            </w:r>
            <w:r>
              <w:rPr>
                <w:sz w:val="22"/>
              </w:rPr>
              <w:t>affordability,</w:t>
            </w:r>
            <w:r>
              <w:rPr>
                <w:spacing w:val="-15"/>
                <w:sz w:val="22"/>
              </w:rPr>
              <w:t> </w:t>
            </w:r>
            <w:r>
              <w:rPr>
                <w:sz w:val="22"/>
              </w:rPr>
              <w:t>procurement</w:t>
            </w:r>
            <w:r>
              <w:rPr>
                <w:spacing w:val="-15"/>
                <w:sz w:val="22"/>
              </w:rPr>
              <w:t> </w:t>
            </w:r>
            <w:r>
              <w:rPr>
                <w:sz w:val="22"/>
              </w:rPr>
              <w:t>and</w:t>
            </w:r>
            <w:r>
              <w:rPr>
                <w:spacing w:val="-16"/>
                <w:sz w:val="22"/>
              </w:rPr>
              <w:t> </w:t>
            </w:r>
            <w:r>
              <w:rPr>
                <w:sz w:val="22"/>
              </w:rPr>
              <w:t>business</w:t>
            </w:r>
            <w:r>
              <w:rPr>
                <w:spacing w:val="-15"/>
                <w:sz w:val="22"/>
              </w:rPr>
              <w:t> </w:t>
            </w:r>
            <w:r>
              <w:rPr>
                <w:sz w:val="22"/>
              </w:rPr>
              <w:t>case</w:t>
            </w:r>
            <w:r>
              <w:rPr>
                <w:spacing w:val="-12"/>
                <w:sz w:val="22"/>
              </w:rPr>
              <w:t> </w:t>
            </w:r>
            <w:r>
              <w:rPr>
                <w:sz w:val="22"/>
              </w:rPr>
              <w:t>assurance</w:t>
            </w:r>
            <w:r>
              <w:rPr>
                <w:spacing w:val="-16"/>
                <w:sz w:val="22"/>
              </w:rPr>
              <w:t> </w:t>
            </w:r>
            <w:r>
              <w:rPr>
                <w:sz w:val="22"/>
              </w:rPr>
              <w:t>activities.</w:t>
            </w:r>
          </w:p>
        </w:tc>
      </w:tr>
      <w:tr>
        <w:trPr>
          <w:trHeight w:val="10452" w:hRule="atLeast"/>
        </w:trPr>
        <w:tc>
          <w:tcPr>
            <w:tcW w:w="10069" w:type="dxa"/>
          </w:tcPr>
          <w:p>
            <w:pPr>
              <w:pStyle w:val="TableParagraph"/>
              <w:spacing w:before="238"/>
              <w:ind w:left="120"/>
              <w:rPr>
                <w:b/>
                <w:sz w:val="22"/>
              </w:rPr>
            </w:pPr>
            <w:r>
              <w:rPr>
                <w:b/>
                <w:color w:val="394871"/>
                <w:spacing w:val="-2"/>
                <w:sz w:val="22"/>
              </w:rPr>
              <w:t>Asesiad</w:t>
            </w:r>
            <w:r>
              <w:rPr>
                <w:b/>
                <w:color w:val="394871"/>
                <w:spacing w:val="-10"/>
                <w:sz w:val="22"/>
              </w:rPr>
              <w:t> </w:t>
            </w:r>
            <w:r>
              <w:rPr>
                <w:b/>
                <w:color w:val="394871"/>
                <w:spacing w:val="-2"/>
                <w:sz w:val="22"/>
              </w:rPr>
              <w:t>/</w:t>
            </w:r>
            <w:r>
              <w:rPr>
                <w:b/>
                <w:color w:val="394871"/>
                <w:spacing w:val="-11"/>
                <w:sz w:val="22"/>
              </w:rPr>
              <w:t> </w:t>
            </w:r>
            <w:r>
              <w:rPr>
                <w:b/>
                <w:color w:val="394871"/>
                <w:spacing w:val="-2"/>
                <w:sz w:val="22"/>
              </w:rPr>
              <w:t>Assessment</w:t>
            </w:r>
          </w:p>
          <w:p>
            <w:pPr>
              <w:pStyle w:val="TableParagraph"/>
              <w:spacing w:before="65"/>
              <w:rPr>
                <w:sz w:val="22"/>
              </w:rPr>
            </w:pPr>
          </w:p>
          <w:p>
            <w:pPr>
              <w:pStyle w:val="TableParagraph"/>
              <w:spacing w:line="276" w:lineRule="auto"/>
              <w:ind w:left="120" w:right="197"/>
              <w:rPr>
                <w:sz w:val="22"/>
              </w:rPr>
            </w:pPr>
            <w:r>
              <w:rPr>
                <w:sz w:val="22"/>
              </w:rPr>
              <w:t>The Regional Cellular Pathology Programme remains a complex transformation programme, encompassing both the development of a new regional laboratory facility and the consolidation of services across organisational boundaries. Progress has been influenced by a wide range of interdependencies across workforce, finance, digital, operational, commercial, estates and governance workstreams, all of which are critical to ensuring the development of a robust and evidence-based FBC</w:t>
            </w:r>
            <w:r>
              <w:rPr>
                <w:spacing w:val="-3"/>
                <w:sz w:val="22"/>
              </w:rPr>
              <w:t> </w:t>
            </w:r>
            <w:r>
              <w:rPr>
                <w:sz w:val="22"/>
              </w:rPr>
              <w:t>capable</w:t>
            </w:r>
            <w:r>
              <w:rPr>
                <w:spacing w:val="-1"/>
                <w:sz w:val="22"/>
              </w:rPr>
              <w:t> </w:t>
            </w:r>
            <w:r>
              <w:rPr>
                <w:sz w:val="22"/>
              </w:rPr>
              <w:t>of</w:t>
            </w:r>
            <w:r>
              <w:rPr>
                <w:spacing w:val="-5"/>
                <w:sz w:val="22"/>
              </w:rPr>
              <w:t> </w:t>
            </w:r>
            <w:r>
              <w:rPr>
                <w:sz w:val="22"/>
              </w:rPr>
              <w:t>withstanding</w:t>
            </w:r>
            <w:r>
              <w:rPr>
                <w:spacing w:val="-6"/>
                <w:sz w:val="22"/>
              </w:rPr>
              <w:t> </w:t>
            </w:r>
            <w:r>
              <w:rPr>
                <w:sz w:val="22"/>
              </w:rPr>
              <w:t>internal</w:t>
            </w:r>
            <w:r>
              <w:rPr>
                <w:spacing w:val="-3"/>
                <w:sz w:val="22"/>
              </w:rPr>
              <w:t> </w:t>
            </w:r>
            <w:r>
              <w:rPr>
                <w:sz w:val="22"/>
              </w:rPr>
              <w:t>scrutiny</w:t>
            </w:r>
            <w:r>
              <w:rPr>
                <w:spacing w:val="-4"/>
                <w:sz w:val="22"/>
              </w:rPr>
              <w:t> </w:t>
            </w:r>
            <w:r>
              <w:rPr>
                <w:sz w:val="22"/>
              </w:rPr>
              <w:t>and</w:t>
            </w:r>
            <w:r>
              <w:rPr>
                <w:spacing w:val="-6"/>
                <w:sz w:val="22"/>
              </w:rPr>
              <w:t> </w:t>
            </w:r>
            <w:r>
              <w:rPr>
                <w:sz w:val="22"/>
              </w:rPr>
              <w:t>approval</w:t>
            </w:r>
            <w:r>
              <w:rPr>
                <w:spacing w:val="-8"/>
                <w:sz w:val="22"/>
              </w:rPr>
              <w:t> </w:t>
            </w:r>
            <w:r>
              <w:rPr>
                <w:sz w:val="22"/>
              </w:rPr>
              <w:t>processes,</w:t>
            </w:r>
            <w:r>
              <w:rPr>
                <w:spacing w:val="-5"/>
                <w:sz w:val="22"/>
              </w:rPr>
              <w:t> </w:t>
            </w:r>
            <w:r>
              <w:rPr>
                <w:sz w:val="22"/>
              </w:rPr>
              <w:t>estimated</w:t>
            </w:r>
            <w:r>
              <w:rPr>
                <w:spacing w:val="-1"/>
                <w:sz w:val="22"/>
              </w:rPr>
              <w:t> </w:t>
            </w:r>
            <w:r>
              <w:rPr>
                <w:sz w:val="22"/>
              </w:rPr>
              <w:t>to be completed by September 2027.</w:t>
            </w:r>
          </w:p>
          <w:p>
            <w:pPr>
              <w:pStyle w:val="TableParagraph"/>
              <w:spacing w:before="31"/>
              <w:rPr>
                <w:sz w:val="22"/>
              </w:rPr>
            </w:pPr>
          </w:p>
          <w:p>
            <w:pPr>
              <w:pStyle w:val="TableParagraph"/>
              <w:spacing w:line="276" w:lineRule="auto"/>
              <w:ind w:left="120"/>
              <w:rPr>
                <w:sz w:val="22"/>
              </w:rPr>
            </w:pPr>
            <w:r>
              <w:rPr>
                <w:sz w:val="22"/>
              </w:rPr>
              <w:t>While mobilisation of the capital and infrastructure elements of the programme progressed rapidly following agreement of the preferred site, the service transformation and consolidation work has proven more complex, reflecting the need to align different organisational processes, operating models, workforce arrangements, contractual positions and information governance requirements. A significant</w:t>
            </w:r>
            <w:r>
              <w:rPr>
                <w:spacing w:val="-6"/>
                <w:sz w:val="22"/>
              </w:rPr>
              <w:t> </w:t>
            </w:r>
            <w:r>
              <w:rPr>
                <w:sz w:val="22"/>
              </w:rPr>
              <w:t>challenge</w:t>
            </w:r>
            <w:r>
              <w:rPr>
                <w:spacing w:val="-2"/>
                <w:sz w:val="22"/>
              </w:rPr>
              <w:t> </w:t>
            </w:r>
            <w:r>
              <w:rPr>
                <w:sz w:val="22"/>
              </w:rPr>
              <w:t>has</w:t>
            </w:r>
            <w:r>
              <w:rPr>
                <w:spacing w:val="-5"/>
                <w:sz w:val="22"/>
              </w:rPr>
              <w:t> </w:t>
            </w:r>
            <w:r>
              <w:rPr>
                <w:sz w:val="22"/>
              </w:rPr>
              <w:t>been the</w:t>
            </w:r>
            <w:r>
              <w:rPr>
                <w:spacing w:val="-2"/>
                <w:sz w:val="22"/>
              </w:rPr>
              <w:t> </w:t>
            </w:r>
            <w:r>
              <w:rPr>
                <w:sz w:val="22"/>
              </w:rPr>
              <w:t>recognised</w:t>
            </w:r>
            <w:r>
              <w:rPr>
                <w:spacing w:val="-2"/>
                <w:sz w:val="22"/>
              </w:rPr>
              <w:t> </w:t>
            </w:r>
            <w:r>
              <w:rPr>
                <w:sz w:val="22"/>
              </w:rPr>
              <w:t>resource</w:t>
            </w:r>
            <w:r>
              <w:rPr>
                <w:spacing w:val="-2"/>
                <w:sz w:val="22"/>
              </w:rPr>
              <w:t> </w:t>
            </w:r>
            <w:r>
              <w:rPr>
                <w:sz w:val="22"/>
              </w:rPr>
              <w:t>gap which</w:t>
            </w:r>
            <w:r>
              <w:rPr>
                <w:spacing w:val="-2"/>
                <w:sz w:val="22"/>
              </w:rPr>
              <w:t> </w:t>
            </w:r>
            <w:r>
              <w:rPr>
                <w:sz w:val="22"/>
              </w:rPr>
              <w:t>has</w:t>
            </w:r>
            <w:r>
              <w:rPr>
                <w:spacing w:val="-5"/>
                <w:sz w:val="22"/>
              </w:rPr>
              <w:t> </w:t>
            </w:r>
            <w:r>
              <w:rPr>
                <w:sz w:val="22"/>
              </w:rPr>
              <w:t>constrained</w:t>
            </w:r>
            <w:r>
              <w:rPr>
                <w:spacing w:val="-2"/>
                <w:sz w:val="22"/>
              </w:rPr>
              <w:t> </w:t>
            </w:r>
            <w:r>
              <w:rPr>
                <w:sz w:val="22"/>
              </w:rPr>
              <w:t>the</w:t>
            </w:r>
            <w:r>
              <w:rPr>
                <w:spacing w:val="-7"/>
                <w:sz w:val="22"/>
              </w:rPr>
              <w:t> </w:t>
            </w:r>
            <w:r>
              <w:rPr>
                <w:sz w:val="22"/>
              </w:rPr>
              <w:t>pace</w:t>
            </w:r>
            <w:r>
              <w:rPr>
                <w:spacing w:val="-2"/>
                <w:sz w:val="22"/>
              </w:rPr>
              <w:t> </w:t>
            </w:r>
            <w:r>
              <w:rPr>
                <w:sz w:val="22"/>
              </w:rPr>
              <w:t>at</w:t>
            </w:r>
            <w:r>
              <w:rPr>
                <w:spacing w:val="-6"/>
                <w:sz w:val="22"/>
              </w:rPr>
              <w:t> </w:t>
            </w:r>
            <w:r>
              <w:rPr>
                <w:sz w:val="22"/>
              </w:rPr>
              <w:t>which some business case workstreams can be progressed, alongside the significant operational service delivery pressures.</w:t>
            </w:r>
          </w:p>
          <w:p>
            <w:pPr>
              <w:pStyle w:val="TableParagraph"/>
              <w:spacing w:before="26"/>
              <w:rPr>
                <w:sz w:val="22"/>
              </w:rPr>
            </w:pPr>
          </w:p>
          <w:p>
            <w:pPr>
              <w:pStyle w:val="TableParagraph"/>
              <w:spacing w:line="276" w:lineRule="auto"/>
              <w:ind w:left="120" w:right="131"/>
              <w:rPr>
                <w:sz w:val="22"/>
              </w:rPr>
            </w:pPr>
            <w:r>
              <w:rPr>
                <w:sz w:val="22"/>
              </w:rPr>
              <w:t>Notwithstanding these challenges, the programme has prioritised the establishment of strong foundations</w:t>
            </w:r>
            <w:r>
              <w:rPr>
                <w:spacing w:val="-3"/>
                <w:sz w:val="22"/>
              </w:rPr>
              <w:t> </w:t>
            </w:r>
            <w:r>
              <w:rPr>
                <w:sz w:val="22"/>
              </w:rPr>
              <w:t>to support</w:t>
            </w:r>
            <w:r>
              <w:rPr>
                <w:spacing w:val="-4"/>
                <w:sz w:val="22"/>
              </w:rPr>
              <w:t> </w:t>
            </w:r>
            <w:r>
              <w:rPr>
                <w:sz w:val="22"/>
              </w:rPr>
              <w:t>successful</w:t>
            </w:r>
            <w:r>
              <w:rPr>
                <w:spacing w:val="-2"/>
                <w:sz w:val="22"/>
              </w:rPr>
              <w:t> </w:t>
            </w:r>
            <w:r>
              <w:rPr>
                <w:sz w:val="22"/>
              </w:rPr>
              <w:t>delivery.</w:t>
            </w:r>
            <w:r>
              <w:rPr>
                <w:spacing w:val="-4"/>
                <w:sz w:val="22"/>
              </w:rPr>
              <w:t> </w:t>
            </w:r>
            <w:r>
              <w:rPr>
                <w:sz w:val="22"/>
              </w:rPr>
              <w:t>This</w:t>
            </w:r>
            <w:r>
              <w:rPr>
                <w:spacing w:val="-3"/>
                <w:sz w:val="22"/>
              </w:rPr>
              <w:t> </w:t>
            </w:r>
            <w:r>
              <w:rPr>
                <w:sz w:val="22"/>
              </w:rPr>
              <w:t>has</w:t>
            </w:r>
            <w:r>
              <w:rPr>
                <w:spacing w:val="-8"/>
                <w:sz w:val="22"/>
              </w:rPr>
              <w:t> </w:t>
            </w:r>
            <w:r>
              <w:rPr>
                <w:sz w:val="22"/>
              </w:rPr>
              <w:t>included the development</w:t>
            </w:r>
            <w:r>
              <w:rPr>
                <w:spacing w:val="-4"/>
                <w:sz w:val="22"/>
              </w:rPr>
              <w:t> </w:t>
            </w:r>
            <w:r>
              <w:rPr>
                <w:sz w:val="22"/>
              </w:rPr>
              <w:t>of</w:t>
            </w:r>
            <w:r>
              <w:rPr>
                <w:spacing w:val="-4"/>
                <w:sz w:val="22"/>
              </w:rPr>
              <w:t> </w:t>
            </w:r>
            <w:r>
              <w:rPr>
                <w:sz w:val="22"/>
              </w:rPr>
              <w:t>information-sharing agreements and governance arrangements, establishment of clear Terms of Reference, project teams, mobilisation of specialist function groups, development of detailed workplans, and</w:t>
            </w:r>
            <w:r>
              <w:rPr>
                <w:sz w:val="22"/>
              </w:rPr>
              <w:t> progression of the baseline activity, workforce, operational and financial information required to underpin the strategic, economic, commercial, financial and management cases. Collectively, this work is providing the framework necessary to support the development of a comprehensive and deliverable Full Business Case detailing the full revenue consequences of the cost of the transition, and the ongoing sustainable service cost.</w:t>
            </w:r>
          </w:p>
          <w:p>
            <w:pPr>
              <w:pStyle w:val="TableParagraph"/>
              <w:spacing w:before="29"/>
              <w:rPr>
                <w:sz w:val="22"/>
              </w:rPr>
            </w:pPr>
          </w:p>
          <w:p>
            <w:pPr>
              <w:pStyle w:val="TableParagraph"/>
              <w:spacing w:before="1"/>
              <w:ind w:left="120"/>
              <w:rPr>
                <w:b/>
                <w:sz w:val="22"/>
              </w:rPr>
            </w:pPr>
            <w:r>
              <w:rPr>
                <w:b/>
                <w:color w:val="394871"/>
                <w:spacing w:val="-2"/>
                <w:sz w:val="22"/>
              </w:rPr>
              <w:t>Governance</w:t>
            </w:r>
          </w:p>
          <w:p>
            <w:pPr>
              <w:pStyle w:val="TableParagraph"/>
              <w:spacing w:line="276" w:lineRule="auto" w:before="97"/>
              <w:ind w:left="120" w:right="117"/>
              <w:rPr>
                <w:sz w:val="22"/>
              </w:rPr>
            </w:pPr>
            <w:r>
              <w:rPr>
                <w:spacing w:val="-2"/>
                <w:sz w:val="22"/>
              </w:rPr>
              <w:t>The</w:t>
            </w:r>
            <w:r>
              <w:rPr>
                <w:spacing w:val="-14"/>
                <w:sz w:val="22"/>
              </w:rPr>
              <w:t> </w:t>
            </w:r>
            <w:r>
              <w:rPr>
                <w:spacing w:val="-2"/>
                <w:sz w:val="22"/>
              </w:rPr>
              <w:t>Regional</w:t>
            </w:r>
            <w:r>
              <w:rPr>
                <w:spacing w:val="-13"/>
                <w:sz w:val="22"/>
              </w:rPr>
              <w:t> </w:t>
            </w:r>
            <w:r>
              <w:rPr>
                <w:spacing w:val="-2"/>
                <w:sz w:val="22"/>
              </w:rPr>
              <w:t>Cellular</w:t>
            </w:r>
            <w:r>
              <w:rPr>
                <w:spacing w:val="-13"/>
                <w:sz w:val="22"/>
              </w:rPr>
              <w:t> </w:t>
            </w:r>
            <w:r>
              <w:rPr>
                <w:spacing w:val="-2"/>
                <w:sz w:val="22"/>
              </w:rPr>
              <w:t>Pathology</w:t>
            </w:r>
            <w:r>
              <w:rPr>
                <w:spacing w:val="-14"/>
                <w:sz w:val="22"/>
              </w:rPr>
              <w:t> </w:t>
            </w:r>
            <w:r>
              <w:rPr>
                <w:spacing w:val="-2"/>
                <w:sz w:val="22"/>
              </w:rPr>
              <w:t>Steering</w:t>
            </w:r>
            <w:r>
              <w:rPr>
                <w:spacing w:val="-13"/>
                <w:sz w:val="22"/>
              </w:rPr>
              <w:t> </w:t>
            </w:r>
            <w:r>
              <w:rPr>
                <w:spacing w:val="-2"/>
                <w:sz w:val="22"/>
              </w:rPr>
              <w:t>Group</w:t>
            </w:r>
            <w:r>
              <w:rPr>
                <w:spacing w:val="-13"/>
                <w:sz w:val="22"/>
              </w:rPr>
              <w:t> </w:t>
            </w:r>
            <w:r>
              <w:rPr>
                <w:spacing w:val="-2"/>
                <w:sz w:val="22"/>
              </w:rPr>
              <w:t>provides</w:t>
            </w:r>
            <w:r>
              <w:rPr>
                <w:spacing w:val="-13"/>
                <w:sz w:val="22"/>
              </w:rPr>
              <w:t> </w:t>
            </w:r>
            <w:r>
              <w:rPr>
                <w:spacing w:val="-2"/>
                <w:sz w:val="22"/>
              </w:rPr>
              <w:t>strategic</w:t>
            </w:r>
            <w:r>
              <w:rPr>
                <w:spacing w:val="-14"/>
                <w:sz w:val="22"/>
              </w:rPr>
              <w:t> </w:t>
            </w:r>
            <w:r>
              <w:rPr>
                <w:spacing w:val="-2"/>
                <w:sz w:val="22"/>
              </w:rPr>
              <w:t>regional</w:t>
            </w:r>
            <w:r>
              <w:rPr>
                <w:spacing w:val="-13"/>
                <w:sz w:val="22"/>
              </w:rPr>
              <w:t> </w:t>
            </w:r>
            <w:r>
              <w:rPr>
                <w:spacing w:val="-2"/>
                <w:sz w:val="22"/>
              </w:rPr>
              <w:t>leadership</w:t>
            </w:r>
            <w:r>
              <w:rPr>
                <w:spacing w:val="-13"/>
                <w:sz w:val="22"/>
              </w:rPr>
              <w:t> </w:t>
            </w:r>
            <w:r>
              <w:rPr>
                <w:spacing w:val="-2"/>
                <w:sz w:val="22"/>
              </w:rPr>
              <w:t>and</w:t>
            </w:r>
            <w:r>
              <w:rPr>
                <w:spacing w:val="-14"/>
                <w:sz w:val="22"/>
              </w:rPr>
              <w:t> </w:t>
            </w:r>
            <w:r>
              <w:rPr>
                <w:spacing w:val="-2"/>
                <w:sz w:val="22"/>
              </w:rPr>
              <w:t>oversight</w:t>
            </w:r>
            <w:r>
              <w:rPr>
                <w:spacing w:val="-13"/>
                <w:sz w:val="22"/>
              </w:rPr>
              <w:t> </w:t>
            </w:r>
            <w:r>
              <w:rPr>
                <w:spacing w:val="-2"/>
                <w:sz w:val="22"/>
              </w:rPr>
              <w:t>to </w:t>
            </w:r>
            <w:r>
              <w:rPr>
                <w:sz w:val="22"/>
              </w:rPr>
              <w:t>the</w:t>
            </w:r>
            <w:r>
              <w:rPr>
                <w:spacing w:val="-16"/>
                <w:sz w:val="22"/>
              </w:rPr>
              <w:t> </w:t>
            </w:r>
            <w:r>
              <w:rPr>
                <w:sz w:val="22"/>
              </w:rPr>
              <w:t>programme.</w:t>
            </w:r>
            <w:r>
              <w:rPr>
                <w:spacing w:val="-15"/>
                <w:sz w:val="22"/>
              </w:rPr>
              <w:t> </w:t>
            </w:r>
            <w:r>
              <w:rPr>
                <w:sz w:val="22"/>
              </w:rPr>
              <w:t>Supporting</w:t>
            </w:r>
            <w:r>
              <w:rPr>
                <w:spacing w:val="-15"/>
                <w:sz w:val="22"/>
              </w:rPr>
              <w:t> </w:t>
            </w:r>
            <w:r>
              <w:rPr>
                <w:sz w:val="22"/>
              </w:rPr>
              <w:t>operational</w:t>
            </w:r>
            <w:r>
              <w:rPr>
                <w:spacing w:val="-16"/>
                <w:sz w:val="22"/>
              </w:rPr>
              <w:t> </w:t>
            </w:r>
            <w:r>
              <w:rPr>
                <w:sz w:val="22"/>
              </w:rPr>
              <w:t>and</w:t>
            </w:r>
            <w:r>
              <w:rPr>
                <w:spacing w:val="-15"/>
                <w:sz w:val="22"/>
              </w:rPr>
              <w:t> </w:t>
            </w:r>
            <w:r>
              <w:rPr>
                <w:sz w:val="22"/>
              </w:rPr>
              <w:t>specialist</w:t>
            </w:r>
            <w:r>
              <w:rPr>
                <w:spacing w:val="-15"/>
                <w:sz w:val="22"/>
              </w:rPr>
              <w:t> </w:t>
            </w:r>
            <w:r>
              <w:rPr>
                <w:sz w:val="22"/>
              </w:rPr>
              <w:t>project</w:t>
            </w:r>
            <w:r>
              <w:rPr>
                <w:spacing w:val="-15"/>
                <w:sz w:val="22"/>
              </w:rPr>
              <w:t> </w:t>
            </w:r>
            <w:r>
              <w:rPr>
                <w:sz w:val="22"/>
              </w:rPr>
              <w:t>groups</w:t>
            </w:r>
            <w:r>
              <w:rPr>
                <w:spacing w:val="-15"/>
                <w:sz w:val="22"/>
              </w:rPr>
              <w:t> </w:t>
            </w:r>
            <w:r>
              <w:rPr>
                <w:sz w:val="22"/>
              </w:rPr>
              <w:t>have</w:t>
            </w:r>
            <w:r>
              <w:rPr>
                <w:spacing w:val="-15"/>
                <w:sz w:val="22"/>
              </w:rPr>
              <w:t> </w:t>
            </w:r>
            <w:r>
              <w:rPr>
                <w:sz w:val="22"/>
              </w:rPr>
              <w:t>been</w:t>
            </w:r>
            <w:r>
              <w:rPr>
                <w:spacing w:val="-15"/>
                <w:sz w:val="22"/>
              </w:rPr>
              <w:t> </w:t>
            </w:r>
            <w:r>
              <w:rPr>
                <w:sz w:val="22"/>
              </w:rPr>
              <w:t>established</w:t>
            </w:r>
            <w:r>
              <w:rPr>
                <w:spacing w:val="-13"/>
                <w:sz w:val="22"/>
              </w:rPr>
              <w:t> </w:t>
            </w:r>
            <w:r>
              <w:rPr>
                <w:sz w:val="22"/>
              </w:rPr>
              <w:t>to complete</w:t>
            </w:r>
            <w:r>
              <w:rPr>
                <w:spacing w:val="-16"/>
                <w:sz w:val="22"/>
              </w:rPr>
              <w:t> </w:t>
            </w:r>
            <w:r>
              <w:rPr>
                <w:sz w:val="22"/>
              </w:rPr>
              <w:t>and</w:t>
            </w:r>
            <w:r>
              <w:rPr>
                <w:spacing w:val="-13"/>
                <w:sz w:val="22"/>
              </w:rPr>
              <w:t> </w:t>
            </w:r>
            <w:r>
              <w:rPr>
                <w:sz w:val="22"/>
              </w:rPr>
              <w:t>support</w:t>
            </w:r>
            <w:r>
              <w:rPr>
                <w:spacing w:val="-14"/>
                <w:sz w:val="22"/>
              </w:rPr>
              <w:t> </w:t>
            </w:r>
            <w:r>
              <w:rPr>
                <w:sz w:val="22"/>
              </w:rPr>
              <w:t>critical</w:t>
            </w:r>
            <w:r>
              <w:rPr>
                <w:spacing w:val="-16"/>
                <w:sz w:val="22"/>
              </w:rPr>
              <w:t> </w:t>
            </w:r>
            <w:r>
              <w:rPr>
                <w:sz w:val="22"/>
              </w:rPr>
              <w:t>work</w:t>
            </w:r>
            <w:r>
              <w:rPr>
                <w:spacing w:val="-13"/>
                <w:sz w:val="22"/>
              </w:rPr>
              <w:t> </w:t>
            </w:r>
            <w:r>
              <w:rPr>
                <w:sz w:val="22"/>
              </w:rPr>
              <w:t>within</w:t>
            </w:r>
            <w:r>
              <w:rPr>
                <w:spacing w:val="-7"/>
                <w:sz w:val="22"/>
              </w:rPr>
              <w:t> </w:t>
            </w:r>
            <w:r>
              <w:rPr>
                <w:sz w:val="22"/>
              </w:rPr>
              <w:t>the</w:t>
            </w:r>
            <w:r>
              <w:rPr>
                <w:spacing w:val="-16"/>
                <w:sz w:val="22"/>
              </w:rPr>
              <w:t> </w:t>
            </w:r>
            <w:r>
              <w:rPr>
                <w:sz w:val="22"/>
              </w:rPr>
              <w:t>programme</w:t>
            </w:r>
            <w:r>
              <w:rPr>
                <w:spacing w:val="-15"/>
                <w:sz w:val="22"/>
              </w:rPr>
              <w:t> </w:t>
            </w:r>
            <w:r>
              <w:rPr>
                <w:sz w:val="22"/>
              </w:rPr>
              <w:t>on</w:t>
            </w:r>
            <w:r>
              <w:rPr>
                <w:spacing w:val="-15"/>
                <w:sz w:val="22"/>
              </w:rPr>
              <w:t> </w:t>
            </w:r>
            <w:r>
              <w:rPr>
                <w:sz w:val="22"/>
              </w:rPr>
              <w:t>both</w:t>
            </w:r>
            <w:r>
              <w:rPr>
                <w:spacing w:val="-11"/>
                <w:sz w:val="22"/>
              </w:rPr>
              <w:t> </w:t>
            </w:r>
            <w:r>
              <w:rPr>
                <w:sz w:val="22"/>
              </w:rPr>
              <w:t>the</w:t>
            </w:r>
            <w:r>
              <w:rPr>
                <w:spacing w:val="-11"/>
                <w:sz w:val="22"/>
              </w:rPr>
              <w:t> </w:t>
            </w:r>
            <w:r>
              <w:rPr>
                <w:sz w:val="22"/>
              </w:rPr>
              <w:t>capital</w:t>
            </w:r>
            <w:r>
              <w:rPr>
                <w:spacing w:val="-16"/>
                <w:sz w:val="22"/>
              </w:rPr>
              <w:t> </w:t>
            </w:r>
            <w:r>
              <w:rPr>
                <w:sz w:val="22"/>
              </w:rPr>
              <w:t>development</w:t>
            </w:r>
            <w:r>
              <w:rPr>
                <w:spacing w:val="-14"/>
                <w:sz w:val="22"/>
              </w:rPr>
              <w:t> </w:t>
            </w:r>
            <w:r>
              <w:rPr>
                <w:sz w:val="22"/>
              </w:rPr>
              <w:t>tranche</w:t>
            </w:r>
            <w:r>
              <w:rPr>
                <w:spacing w:val="-11"/>
                <w:sz w:val="22"/>
              </w:rPr>
              <w:t> </w:t>
            </w:r>
            <w:r>
              <w:rPr>
                <w:sz w:val="22"/>
              </w:rPr>
              <w:t>of work and the service consolidation.</w:t>
            </w:r>
          </w:p>
          <w:p>
            <w:pPr>
              <w:pStyle w:val="TableParagraph"/>
              <w:spacing w:before="101"/>
              <w:ind w:left="120"/>
              <w:rPr>
                <w:sz w:val="22"/>
              </w:rPr>
            </w:pPr>
            <w:r>
              <w:rPr>
                <w:spacing w:val="-2"/>
                <w:sz w:val="22"/>
              </w:rPr>
              <w:t>The</w:t>
            </w:r>
            <w:r>
              <w:rPr>
                <w:spacing w:val="-16"/>
                <w:sz w:val="22"/>
              </w:rPr>
              <w:t> </w:t>
            </w:r>
            <w:r>
              <w:rPr>
                <w:spacing w:val="-2"/>
                <w:sz w:val="22"/>
              </w:rPr>
              <w:t>programme</w:t>
            </w:r>
            <w:r>
              <w:rPr>
                <w:spacing w:val="-13"/>
                <w:sz w:val="22"/>
              </w:rPr>
              <w:t> </w:t>
            </w:r>
            <w:r>
              <w:rPr>
                <w:spacing w:val="-2"/>
                <w:sz w:val="22"/>
              </w:rPr>
              <w:t>Governance</w:t>
            </w:r>
            <w:r>
              <w:rPr>
                <w:spacing w:val="-13"/>
                <w:sz w:val="22"/>
              </w:rPr>
              <w:t> </w:t>
            </w:r>
            <w:r>
              <w:rPr>
                <w:spacing w:val="-2"/>
                <w:sz w:val="22"/>
              </w:rPr>
              <w:t>structure</w:t>
            </w:r>
            <w:r>
              <w:rPr>
                <w:spacing w:val="-14"/>
                <w:sz w:val="22"/>
              </w:rPr>
              <w:t> </w:t>
            </w:r>
            <w:r>
              <w:rPr>
                <w:spacing w:val="-2"/>
                <w:sz w:val="22"/>
              </w:rPr>
              <w:t>can</w:t>
            </w:r>
            <w:r>
              <w:rPr>
                <w:spacing w:val="-13"/>
                <w:sz w:val="22"/>
              </w:rPr>
              <w:t> </w:t>
            </w:r>
            <w:r>
              <w:rPr>
                <w:spacing w:val="-2"/>
                <w:sz w:val="22"/>
              </w:rPr>
              <w:t>be</w:t>
            </w:r>
            <w:r>
              <w:rPr>
                <w:spacing w:val="-12"/>
                <w:sz w:val="22"/>
              </w:rPr>
              <w:t> </w:t>
            </w:r>
            <w:r>
              <w:rPr>
                <w:spacing w:val="-2"/>
                <w:sz w:val="22"/>
              </w:rPr>
              <w:t>seen</w:t>
            </w:r>
            <w:r>
              <w:rPr>
                <w:spacing w:val="-6"/>
                <w:sz w:val="22"/>
              </w:rPr>
              <w:t> </w:t>
            </w:r>
            <w:r>
              <w:rPr>
                <w:b/>
                <w:color w:val="1F487C"/>
                <w:spacing w:val="-2"/>
                <w:sz w:val="22"/>
                <w:u w:val="single" w:color="1F487C"/>
              </w:rPr>
              <w:t>here</w:t>
            </w:r>
            <w:r>
              <w:rPr>
                <w:spacing w:val="-2"/>
                <w:sz w:val="22"/>
                <w:u w:val="none"/>
              </w:rPr>
              <w:t>.</w:t>
            </w:r>
          </w:p>
        </w:tc>
      </w:tr>
    </w:tbl>
    <w:p>
      <w:pPr>
        <w:spacing w:before="121"/>
        <w:ind w:left="657" w:right="228" w:firstLine="0"/>
        <w:jc w:val="center"/>
        <w:rPr>
          <w:sz w:val="16"/>
        </w:rPr>
      </w:pPr>
      <w:r>
        <w:rPr>
          <w:spacing w:val="-2"/>
          <w:sz w:val="16"/>
        </w:rPr>
        <w:t>Page</w:t>
      </w:r>
      <w:r>
        <w:rPr>
          <w:spacing w:val="-7"/>
          <w:sz w:val="16"/>
        </w:rPr>
        <w:t> </w:t>
      </w:r>
      <w:r>
        <w:rPr>
          <w:spacing w:val="-2"/>
          <w:sz w:val="16"/>
        </w:rPr>
        <w:t>2</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33" name="Image 333"/>
            <wp:cNvGraphicFramePr>
              <a:graphicFrameLocks/>
            </wp:cNvGraphicFramePr>
            <a:graphic>
              <a:graphicData uri="http://schemas.openxmlformats.org/drawingml/2006/picture">
                <pic:pic>
                  <pic:nvPicPr>
                    <pic:cNvPr id="333" name="Image 333"/>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34" name="Image 334"/>
            <wp:cNvGraphicFramePr>
              <a:graphicFrameLocks/>
            </wp:cNvGraphicFramePr>
            <a:graphic>
              <a:graphicData uri="http://schemas.openxmlformats.org/drawingml/2006/picture">
                <pic:pic>
                  <pic:nvPicPr>
                    <pic:cNvPr id="334" name="Image 334"/>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643" w:hRule="atLeast"/>
        </w:trPr>
        <w:tc>
          <w:tcPr>
            <w:tcW w:w="10069" w:type="dxa"/>
          </w:tcPr>
          <w:p>
            <w:pPr>
              <w:pStyle w:val="TableParagraph"/>
              <w:spacing w:line="276" w:lineRule="auto" w:before="98"/>
              <w:ind w:left="120" w:right="117"/>
              <w:rPr>
                <w:sz w:val="22"/>
              </w:rPr>
            </w:pPr>
            <w:r>
              <w:rPr>
                <w:sz w:val="22"/>
              </w:rPr>
              <w:t>The</w:t>
            </w:r>
            <w:r>
              <w:rPr>
                <w:spacing w:val="-16"/>
                <w:sz w:val="22"/>
              </w:rPr>
              <w:t> </w:t>
            </w:r>
            <w:r>
              <w:rPr>
                <w:sz w:val="22"/>
              </w:rPr>
              <w:t>Memorandum</w:t>
            </w:r>
            <w:r>
              <w:rPr>
                <w:spacing w:val="-15"/>
                <w:sz w:val="22"/>
              </w:rPr>
              <w:t> </w:t>
            </w:r>
            <w:r>
              <w:rPr>
                <w:sz w:val="22"/>
              </w:rPr>
              <w:t>of</w:t>
            </w:r>
            <w:r>
              <w:rPr>
                <w:spacing w:val="-15"/>
                <w:sz w:val="22"/>
              </w:rPr>
              <w:t> </w:t>
            </w:r>
            <w:r>
              <w:rPr>
                <w:sz w:val="22"/>
              </w:rPr>
              <w:t>Understanding</w:t>
            </w:r>
            <w:r>
              <w:rPr>
                <w:spacing w:val="-16"/>
                <w:sz w:val="22"/>
              </w:rPr>
              <w:t> </w:t>
            </w:r>
            <w:r>
              <w:rPr>
                <w:sz w:val="22"/>
              </w:rPr>
              <w:t>(MoU)</w:t>
            </w:r>
            <w:r>
              <w:rPr>
                <w:spacing w:val="-15"/>
                <w:sz w:val="22"/>
              </w:rPr>
              <w:t> </w:t>
            </w:r>
            <w:r>
              <w:rPr>
                <w:sz w:val="22"/>
              </w:rPr>
              <w:t>which</w:t>
            </w:r>
            <w:r>
              <w:rPr>
                <w:spacing w:val="-15"/>
                <w:sz w:val="22"/>
              </w:rPr>
              <w:t> </w:t>
            </w:r>
            <w:r>
              <w:rPr>
                <w:sz w:val="22"/>
              </w:rPr>
              <w:t>strengthens</w:t>
            </w:r>
            <w:r>
              <w:rPr>
                <w:spacing w:val="-14"/>
                <w:sz w:val="22"/>
              </w:rPr>
              <w:t> </w:t>
            </w:r>
            <w:r>
              <w:rPr>
                <w:sz w:val="22"/>
              </w:rPr>
              <w:t>the</w:t>
            </w:r>
            <w:r>
              <w:rPr>
                <w:spacing w:val="-13"/>
                <w:sz w:val="22"/>
              </w:rPr>
              <w:t> </w:t>
            </w:r>
            <w:r>
              <w:rPr>
                <w:sz w:val="22"/>
              </w:rPr>
              <w:t>transitional</w:t>
            </w:r>
            <w:r>
              <w:rPr>
                <w:spacing w:val="-14"/>
                <w:sz w:val="22"/>
              </w:rPr>
              <w:t> </w:t>
            </w:r>
            <w:r>
              <w:rPr>
                <w:sz w:val="22"/>
              </w:rPr>
              <w:t>framework</w:t>
            </w:r>
            <w:r>
              <w:rPr>
                <w:spacing w:val="-16"/>
                <w:sz w:val="22"/>
              </w:rPr>
              <w:t> </w:t>
            </w:r>
            <w:r>
              <w:rPr>
                <w:sz w:val="22"/>
              </w:rPr>
              <w:t>for</w:t>
            </w:r>
            <w:r>
              <w:rPr>
                <w:spacing w:val="-13"/>
                <w:sz w:val="22"/>
              </w:rPr>
              <w:t> </w:t>
            </w:r>
            <w:r>
              <w:rPr>
                <w:sz w:val="22"/>
              </w:rPr>
              <w:t>joint working</w:t>
            </w:r>
            <w:r>
              <w:rPr>
                <w:spacing w:val="-16"/>
                <w:sz w:val="22"/>
              </w:rPr>
              <w:t> </w:t>
            </w:r>
            <w:r>
              <w:rPr>
                <w:sz w:val="22"/>
              </w:rPr>
              <w:t>was</w:t>
            </w:r>
            <w:r>
              <w:rPr>
                <w:spacing w:val="-15"/>
                <w:sz w:val="22"/>
              </w:rPr>
              <w:t> </w:t>
            </w:r>
            <w:r>
              <w:rPr>
                <w:sz w:val="22"/>
              </w:rPr>
              <w:t>signed</w:t>
            </w:r>
            <w:r>
              <w:rPr>
                <w:spacing w:val="-15"/>
                <w:sz w:val="22"/>
              </w:rPr>
              <w:t> </w:t>
            </w:r>
            <w:r>
              <w:rPr>
                <w:sz w:val="22"/>
              </w:rPr>
              <w:t>by</w:t>
            </w:r>
            <w:r>
              <w:rPr>
                <w:spacing w:val="-14"/>
                <w:sz w:val="22"/>
              </w:rPr>
              <w:t> </w:t>
            </w:r>
            <w:r>
              <w:rPr>
                <w:sz w:val="22"/>
              </w:rPr>
              <w:t>both</w:t>
            </w:r>
            <w:r>
              <w:rPr>
                <w:spacing w:val="-12"/>
                <w:sz w:val="22"/>
              </w:rPr>
              <w:t> </w:t>
            </w:r>
            <w:r>
              <w:rPr>
                <w:sz w:val="22"/>
              </w:rPr>
              <w:t>Chief</w:t>
            </w:r>
            <w:r>
              <w:rPr>
                <w:spacing w:val="-11"/>
                <w:sz w:val="22"/>
              </w:rPr>
              <w:t> </w:t>
            </w:r>
            <w:r>
              <w:rPr>
                <w:sz w:val="22"/>
              </w:rPr>
              <w:t>Executives</w:t>
            </w:r>
            <w:r>
              <w:rPr>
                <w:spacing w:val="-16"/>
                <w:sz w:val="22"/>
              </w:rPr>
              <w:t> </w:t>
            </w:r>
            <w:r>
              <w:rPr>
                <w:sz w:val="22"/>
              </w:rPr>
              <w:t>in</w:t>
            </w:r>
            <w:r>
              <w:rPr>
                <w:spacing w:val="-11"/>
                <w:sz w:val="22"/>
              </w:rPr>
              <w:t> </w:t>
            </w:r>
            <w:r>
              <w:rPr>
                <w:sz w:val="22"/>
              </w:rPr>
              <w:t>July</w:t>
            </w:r>
            <w:r>
              <w:rPr>
                <w:spacing w:val="-16"/>
                <w:sz w:val="22"/>
              </w:rPr>
              <w:t> </w:t>
            </w:r>
            <w:r>
              <w:rPr>
                <w:sz w:val="22"/>
              </w:rPr>
              <w:t>2026.</w:t>
            </w:r>
            <w:r>
              <w:rPr>
                <w:spacing w:val="-15"/>
                <w:sz w:val="22"/>
              </w:rPr>
              <w:t> </w:t>
            </w:r>
            <w:r>
              <w:rPr>
                <w:sz w:val="22"/>
              </w:rPr>
              <w:t>Subsequently,</w:t>
            </w:r>
            <w:r>
              <w:rPr>
                <w:spacing w:val="-15"/>
                <w:sz w:val="22"/>
              </w:rPr>
              <w:t> </w:t>
            </w:r>
            <w:r>
              <w:rPr>
                <w:sz w:val="22"/>
              </w:rPr>
              <w:t>further</w:t>
            </w:r>
            <w:r>
              <w:rPr>
                <w:spacing w:val="-12"/>
                <w:sz w:val="22"/>
              </w:rPr>
              <w:t> </w:t>
            </w:r>
            <w:r>
              <w:rPr>
                <w:sz w:val="22"/>
              </w:rPr>
              <w:t>Information Governance</w:t>
            </w:r>
            <w:r>
              <w:rPr>
                <w:spacing w:val="-16"/>
                <w:sz w:val="22"/>
              </w:rPr>
              <w:t> </w:t>
            </w:r>
            <w:r>
              <w:rPr>
                <w:sz w:val="22"/>
              </w:rPr>
              <w:t>and</w:t>
            </w:r>
            <w:r>
              <w:rPr>
                <w:spacing w:val="-11"/>
                <w:sz w:val="22"/>
              </w:rPr>
              <w:t> </w:t>
            </w:r>
            <w:r>
              <w:rPr>
                <w:sz w:val="22"/>
              </w:rPr>
              <w:t>legal</w:t>
            </w:r>
            <w:r>
              <w:rPr>
                <w:spacing w:val="-15"/>
                <w:sz w:val="22"/>
              </w:rPr>
              <w:t> </w:t>
            </w:r>
            <w:r>
              <w:rPr>
                <w:sz w:val="22"/>
              </w:rPr>
              <w:t>documents</w:t>
            </w:r>
            <w:r>
              <w:rPr>
                <w:spacing w:val="-12"/>
                <w:sz w:val="22"/>
              </w:rPr>
              <w:t> </w:t>
            </w:r>
            <w:r>
              <w:rPr>
                <w:sz w:val="22"/>
              </w:rPr>
              <w:t>have</w:t>
            </w:r>
            <w:r>
              <w:rPr>
                <w:spacing w:val="-14"/>
                <w:sz w:val="22"/>
              </w:rPr>
              <w:t> </w:t>
            </w:r>
            <w:r>
              <w:rPr>
                <w:sz w:val="22"/>
              </w:rPr>
              <w:t>been</w:t>
            </w:r>
            <w:r>
              <w:rPr>
                <w:spacing w:val="-9"/>
                <w:sz w:val="22"/>
              </w:rPr>
              <w:t> </w:t>
            </w:r>
            <w:r>
              <w:rPr>
                <w:sz w:val="22"/>
              </w:rPr>
              <w:t>completed</w:t>
            </w:r>
            <w:r>
              <w:rPr>
                <w:spacing w:val="-14"/>
                <w:sz w:val="22"/>
              </w:rPr>
              <w:t> </w:t>
            </w:r>
            <w:r>
              <w:rPr>
                <w:sz w:val="22"/>
              </w:rPr>
              <w:t>to</w:t>
            </w:r>
            <w:r>
              <w:rPr>
                <w:spacing w:val="-14"/>
                <w:sz w:val="22"/>
              </w:rPr>
              <w:t> </w:t>
            </w:r>
            <w:r>
              <w:rPr>
                <w:sz w:val="22"/>
              </w:rPr>
              <w:t>ensure</w:t>
            </w:r>
            <w:r>
              <w:rPr>
                <w:spacing w:val="-9"/>
                <w:sz w:val="22"/>
              </w:rPr>
              <w:t> </w:t>
            </w:r>
            <w:r>
              <w:rPr>
                <w:sz w:val="22"/>
              </w:rPr>
              <w:t>the</w:t>
            </w:r>
            <w:r>
              <w:rPr>
                <w:spacing w:val="-14"/>
                <w:sz w:val="22"/>
              </w:rPr>
              <w:t> </w:t>
            </w:r>
            <w:r>
              <w:rPr>
                <w:sz w:val="22"/>
              </w:rPr>
              <w:t>safe</w:t>
            </w:r>
            <w:r>
              <w:rPr>
                <w:spacing w:val="-9"/>
                <w:sz w:val="22"/>
              </w:rPr>
              <w:t> </w:t>
            </w:r>
            <w:r>
              <w:rPr>
                <w:sz w:val="22"/>
              </w:rPr>
              <w:t>sharing</w:t>
            </w:r>
            <w:r>
              <w:rPr>
                <w:spacing w:val="-16"/>
                <w:sz w:val="22"/>
              </w:rPr>
              <w:t> </w:t>
            </w:r>
            <w:r>
              <w:rPr>
                <w:sz w:val="22"/>
              </w:rPr>
              <w:t>of</w:t>
            </w:r>
            <w:r>
              <w:rPr>
                <w:spacing w:val="-15"/>
                <w:sz w:val="22"/>
              </w:rPr>
              <w:t> </w:t>
            </w:r>
            <w:r>
              <w:rPr>
                <w:sz w:val="22"/>
              </w:rPr>
              <w:t>information between</w:t>
            </w:r>
            <w:r>
              <w:rPr>
                <w:spacing w:val="-16"/>
                <w:sz w:val="22"/>
              </w:rPr>
              <w:t> </w:t>
            </w:r>
            <w:r>
              <w:rPr>
                <w:sz w:val="22"/>
              </w:rPr>
              <w:t>organisations,</w:t>
            </w:r>
            <w:r>
              <w:rPr>
                <w:spacing w:val="-12"/>
                <w:sz w:val="22"/>
              </w:rPr>
              <w:t> </w:t>
            </w:r>
            <w:r>
              <w:rPr>
                <w:sz w:val="22"/>
              </w:rPr>
              <w:t>these</w:t>
            </w:r>
            <w:r>
              <w:rPr>
                <w:spacing w:val="-16"/>
                <w:sz w:val="22"/>
              </w:rPr>
              <w:t> </w:t>
            </w:r>
            <w:r>
              <w:rPr>
                <w:sz w:val="22"/>
              </w:rPr>
              <w:t>include</w:t>
            </w:r>
            <w:r>
              <w:rPr>
                <w:spacing w:val="-15"/>
                <w:sz w:val="22"/>
              </w:rPr>
              <w:t> </w:t>
            </w:r>
            <w:r>
              <w:rPr>
                <w:sz w:val="22"/>
              </w:rPr>
              <w:t>a</w:t>
            </w:r>
            <w:r>
              <w:rPr>
                <w:spacing w:val="-11"/>
                <w:sz w:val="22"/>
              </w:rPr>
              <w:t> </w:t>
            </w:r>
            <w:r>
              <w:rPr>
                <w:sz w:val="22"/>
              </w:rPr>
              <w:t>change</w:t>
            </w:r>
            <w:r>
              <w:rPr>
                <w:spacing w:val="-7"/>
                <w:sz w:val="22"/>
              </w:rPr>
              <w:t> </w:t>
            </w:r>
            <w:r>
              <w:rPr>
                <w:sz w:val="22"/>
              </w:rPr>
              <w:t>to</w:t>
            </w:r>
            <w:r>
              <w:rPr>
                <w:spacing w:val="-16"/>
                <w:sz w:val="22"/>
              </w:rPr>
              <w:t> </w:t>
            </w:r>
            <w:r>
              <w:rPr>
                <w:sz w:val="22"/>
              </w:rPr>
              <w:t>both</w:t>
            </w:r>
            <w:r>
              <w:rPr>
                <w:spacing w:val="-15"/>
                <w:sz w:val="22"/>
              </w:rPr>
              <w:t> </w:t>
            </w:r>
            <w:r>
              <w:rPr>
                <w:sz w:val="22"/>
              </w:rPr>
              <w:t>local</w:t>
            </w:r>
            <w:r>
              <w:rPr>
                <w:spacing w:val="-7"/>
                <w:sz w:val="22"/>
              </w:rPr>
              <w:t> </w:t>
            </w:r>
            <w:r>
              <w:rPr>
                <w:sz w:val="22"/>
              </w:rPr>
              <w:t>Health</w:t>
            </w:r>
            <w:r>
              <w:rPr>
                <w:spacing w:val="-7"/>
                <w:sz w:val="22"/>
              </w:rPr>
              <w:t> </w:t>
            </w:r>
            <w:r>
              <w:rPr>
                <w:sz w:val="22"/>
              </w:rPr>
              <w:t>Board</w:t>
            </w:r>
            <w:r>
              <w:rPr>
                <w:spacing w:val="-10"/>
                <w:sz w:val="22"/>
              </w:rPr>
              <w:t> </w:t>
            </w:r>
            <w:r>
              <w:rPr>
                <w:sz w:val="22"/>
              </w:rPr>
              <w:t>Privacy</w:t>
            </w:r>
            <w:r>
              <w:rPr>
                <w:spacing w:val="-14"/>
                <w:sz w:val="22"/>
              </w:rPr>
              <w:t> </w:t>
            </w:r>
            <w:r>
              <w:rPr>
                <w:sz w:val="22"/>
              </w:rPr>
              <w:t>Notices,</w:t>
            </w:r>
            <w:r>
              <w:rPr>
                <w:spacing w:val="-16"/>
                <w:sz w:val="22"/>
              </w:rPr>
              <w:t> </w:t>
            </w:r>
            <w:r>
              <w:rPr>
                <w:sz w:val="22"/>
              </w:rPr>
              <w:t>a </w:t>
            </w:r>
            <w:r>
              <w:rPr>
                <w:spacing w:val="-2"/>
                <w:sz w:val="22"/>
              </w:rPr>
              <w:t>programme</w:t>
            </w:r>
            <w:r>
              <w:rPr>
                <w:spacing w:val="-14"/>
                <w:sz w:val="22"/>
              </w:rPr>
              <w:t> </w:t>
            </w:r>
            <w:r>
              <w:rPr>
                <w:spacing w:val="-2"/>
                <w:sz w:val="22"/>
              </w:rPr>
              <w:t>specific</w:t>
            </w:r>
            <w:r>
              <w:rPr>
                <w:spacing w:val="-13"/>
                <w:sz w:val="22"/>
              </w:rPr>
              <w:t> </w:t>
            </w:r>
            <w:r>
              <w:rPr>
                <w:spacing w:val="-2"/>
                <w:sz w:val="22"/>
              </w:rPr>
              <w:t>Data</w:t>
            </w:r>
            <w:r>
              <w:rPr>
                <w:spacing w:val="-9"/>
                <w:sz w:val="22"/>
              </w:rPr>
              <w:t> </w:t>
            </w:r>
            <w:r>
              <w:rPr>
                <w:spacing w:val="-2"/>
                <w:sz w:val="22"/>
              </w:rPr>
              <w:t>Protection</w:t>
            </w:r>
            <w:r>
              <w:rPr>
                <w:spacing w:val="-10"/>
                <w:sz w:val="22"/>
              </w:rPr>
              <w:t> </w:t>
            </w:r>
            <w:r>
              <w:rPr>
                <w:spacing w:val="-2"/>
                <w:sz w:val="22"/>
              </w:rPr>
              <w:t>Impact</w:t>
            </w:r>
            <w:r>
              <w:rPr>
                <w:spacing w:val="-14"/>
                <w:sz w:val="22"/>
              </w:rPr>
              <w:t> </w:t>
            </w:r>
            <w:r>
              <w:rPr>
                <w:spacing w:val="-2"/>
                <w:sz w:val="22"/>
              </w:rPr>
              <w:t>Assessment</w:t>
            </w:r>
            <w:r>
              <w:rPr>
                <w:spacing w:val="-13"/>
                <w:sz w:val="22"/>
              </w:rPr>
              <w:t> </w:t>
            </w:r>
            <w:r>
              <w:rPr>
                <w:spacing w:val="-2"/>
                <w:sz w:val="22"/>
              </w:rPr>
              <w:t>(DPIA),</w:t>
            </w:r>
            <w:r>
              <w:rPr>
                <w:spacing w:val="-13"/>
                <w:sz w:val="22"/>
              </w:rPr>
              <w:t> </w:t>
            </w:r>
            <w:r>
              <w:rPr>
                <w:spacing w:val="-2"/>
                <w:sz w:val="22"/>
              </w:rPr>
              <w:t>and</w:t>
            </w:r>
            <w:r>
              <w:rPr>
                <w:spacing w:val="-14"/>
                <w:sz w:val="22"/>
              </w:rPr>
              <w:t> </w:t>
            </w:r>
            <w:r>
              <w:rPr>
                <w:spacing w:val="-2"/>
                <w:sz w:val="22"/>
              </w:rPr>
              <w:t>a</w:t>
            </w:r>
            <w:r>
              <w:rPr>
                <w:spacing w:val="-13"/>
                <w:sz w:val="22"/>
              </w:rPr>
              <w:t> </w:t>
            </w:r>
            <w:r>
              <w:rPr>
                <w:spacing w:val="-2"/>
                <w:sz w:val="22"/>
              </w:rPr>
              <w:t>Welsh</w:t>
            </w:r>
            <w:r>
              <w:rPr>
                <w:spacing w:val="-10"/>
                <w:sz w:val="22"/>
              </w:rPr>
              <w:t> </w:t>
            </w:r>
            <w:r>
              <w:rPr>
                <w:spacing w:val="-2"/>
                <w:sz w:val="22"/>
              </w:rPr>
              <w:t>Accord</w:t>
            </w:r>
            <w:r>
              <w:rPr>
                <w:spacing w:val="-14"/>
                <w:sz w:val="22"/>
              </w:rPr>
              <w:t> </w:t>
            </w:r>
            <w:r>
              <w:rPr>
                <w:spacing w:val="-2"/>
                <w:sz w:val="22"/>
              </w:rPr>
              <w:t>on</w:t>
            </w:r>
            <w:r>
              <w:rPr>
                <w:spacing w:val="-10"/>
                <w:sz w:val="22"/>
              </w:rPr>
              <w:t> </w:t>
            </w:r>
            <w:r>
              <w:rPr>
                <w:spacing w:val="-2"/>
                <w:sz w:val="22"/>
              </w:rPr>
              <w:t>the</w:t>
            </w:r>
            <w:r>
              <w:rPr>
                <w:spacing w:val="-10"/>
                <w:sz w:val="22"/>
              </w:rPr>
              <w:t> </w:t>
            </w:r>
            <w:r>
              <w:rPr>
                <w:spacing w:val="-2"/>
                <w:sz w:val="22"/>
              </w:rPr>
              <w:t>Sharing</w:t>
            </w:r>
            <w:r>
              <w:rPr>
                <w:spacing w:val="-14"/>
                <w:sz w:val="22"/>
              </w:rPr>
              <w:t> </w:t>
            </w:r>
            <w:r>
              <w:rPr>
                <w:spacing w:val="-2"/>
                <w:sz w:val="22"/>
              </w:rPr>
              <w:t>of </w:t>
            </w:r>
            <w:r>
              <w:rPr>
                <w:sz w:val="22"/>
              </w:rPr>
              <w:t>Personal Information (WASPI).</w:t>
            </w:r>
          </w:p>
          <w:p>
            <w:pPr>
              <w:pStyle w:val="TableParagraph"/>
              <w:spacing w:before="140"/>
              <w:ind w:left="120"/>
              <w:rPr>
                <w:b/>
                <w:sz w:val="22"/>
              </w:rPr>
            </w:pPr>
            <w:r>
              <w:rPr>
                <w:b/>
                <w:color w:val="394871"/>
                <w:spacing w:val="-4"/>
                <w:sz w:val="22"/>
              </w:rPr>
              <w:t>National</w:t>
            </w:r>
            <w:r>
              <w:rPr>
                <w:b/>
                <w:color w:val="394871"/>
                <w:spacing w:val="-3"/>
                <w:sz w:val="22"/>
              </w:rPr>
              <w:t> </w:t>
            </w:r>
            <w:r>
              <w:rPr>
                <w:b/>
                <w:color w:val="394871"/>
                <w:spacing w:val="-4"/>
                <w:sz w:val="22"/>
              </w:rPr>
              <w:t>Policy</w:t>
            </w:r>
            <w:r>
              <w:rPr>
                <w:b/>
                <w:color w:val="394871"/>
                <w:spacing w:val="-5"/>
                <w:sz w:val="22"/>
              </w:rPr>
              <w:t> </w:t>
            </w:r>
            <w:r>
              <w:rPr>
                <w:b/>
                <w:color w:val="394871"/>
                <w:spacing w:val="-4"/>
                <w:sz w:val="22"/>
              </w:rPr>
              <w:t>and</w:t>
            </w:r>
            <w:r>
              <w:rPr>
                <w:b/>
                <w:color w:val="394871"/>
                <w:spacing w:val="5"/>
                <w:sz w:val="22"/>
              </w:rPr>
              <w:t> </w:t>
            </w:r>
            <w:r>
              <w:rPr>
                <w:b/>
                <w:color w:val="394871"/>
                <w:spacing w:val="-4"/>
                <w:sz w:val="22"/>
              </w:rPr>
              <w:t>Programme</w:t>
            </w:r>
            <w:r>
              <w:rPr>
                <w:b/>
                <w:color w:val="394871"/>
                <w:spacing w:val="1"/>
                <w:sz w:val="22"/>
              </w:rPr>
              <w:t> </w:t>
            </w:r>
            <w:r>
              <w:rPr>
                <w:b/>
                <w:color w:val="394871"/>
                <w:spacing w:val="-4"/>
                <w:sz w:val="22"/>
              </w:rPr>
              <w:t>Context</w:t>
            </w:r>
          </w:p>
          <w:p>
            <w:pPr>
              <w:pStyle w:val="TableParagraph"/>
              <w:spacing w:line="276" w:lineRule="auto" w:before="177"/>
              <w:ind w:left="120"/>
              <w:rPr>
                <w:sz w:val="22"/>
              </w:rPr>
            </w:pPr>
            <w:r>
              <w:rPr>
                <w:sz w:val="22"/>
              </w:rPr>
              <w:t>The</w:t>
            </w:r>
            <w:r>
              <w:rPr>
                <w:spacing w:val="-16"/>
                <w:sz w:val="22"/>
              </w:rPr>
              <w:t> </w:t>
            </w:r>
            <w:r>
              <w:rPr>
                <w:sz w:val="22"/>
              </w:rPr>
              <w:t>Regional</w:t>
            </w:r>
            <w:r>
              <w:rPr>
                <w:spacing w:val="-15"/>
                <w:sz w:val="22"/>
              </w:rPr>
              <w:t> </w:t>
            </w:r>
            <w:r>
              <w:rPr>
                <w:sz w:val="22"/>
              </w:rPr>
              <w:t>Cellular</w:t>
            </w:r>
            <w:r>
              <w:rPr>
                <w:spacing w:val="-15"/>
                <w:sz w:val="22"/>
              </w:rPr>
              <w:t> </w:t>
            </w:r>
            <w:r>
              <w:rPr>
                <w:sz w:val="22"/>
              </w:rPr>
              <w:t>Pathology</w:t>
            </w:r>
            <w:r>
              <w:rPr>
                <w:spacing w:val="-16"/>
                <w:sz w:val="22"/>
              </w:rPr>
              <w:t> </w:t>
            </w:r>
            <w:r>
              <w:rPr>
                <w:sz w:val="22"/>
              </w:rPr>
              <w:t>Programme</w:t>
            </w:r>
            <w:r>
              <w:rPr>
                <w:spacing w:val="-15"/>
                <w:sz w:val="22"/>
              </w:rPr>
              <w:t> </w:t>
            </w:r>
            <w:r>
              <w:rPr>
                <w:sz w:val="22"/>
              </w:rPr>
              <w:t>remains</w:t>
            </w:r>
            <w:r>
              <w:rPr>
                <w:spacing w:val="-15"/>
                <w:sz w:val="22"/>
              </w:rPr>
              <w:t> </w:t>
            </w:r>
            <w:r>
              <w:rPr>
                <w:sz w:val="22"/>
              </w:rPr>
              <w:t>aligned</w:t>
            </w:r>
            <w:r>
              <w:rPr>
                <w:spacing w:val="-15"/>
                <w:sz w:val="22"/>
              </w:rPr>
              <w:t> </w:t>
            </w:r>
            <w:r>
              <w:rPr>
                <w:sz w:val="22"/>
              </w:rPr>
              <w:t>with</w:t>
            </w:r>
            <w:r>
              <w:rPr>
                <w:spacing w:val="-16"/>
                <w:sz w:val="22"/>
              </w:rPr>
              <w:t> </w:t>
            </w:r>
            <w:r>
              <w:rPr>
                <w:sz w:val="22"/>
              </w:rPr>
              <w:t>the</w:t>
            </w:r>
            <w:r>
              <w:rPr>
                <w:spacing w:val="-15"/>
                <w:sz w:val="22"/>
              </w:rPr>
              <w:t> </w:t>
            </w:r>
            <w:r>
              <w:rPr>
                <w:sz w:val="22"/>
              </w:rPr>
              <w:t>strategic</w:t>
            </w:r>
            <w:r>
              <w:rPr>
                <w:spacing w:val="-15"/>
                <w:sz w:val="22"/>
              </w:rPr>
              <w:t> </w:t>
            </w:r>
            <w:r>
              <w:rPr>
                <w:sz w:val="22"/>
              </w:rPr>
              <w:t>direction</w:t>
            </w:r>
            <w:r>
              <w:rPr>
                <w:spacing w:val="-16"/>
                <w:sz w:val="22"/>
              </w:rPr>
              <w:t> </w:t>
            </w:r>
            <w:r>
              <w:rPr>
                <w:sz w:val="22"/>
              </w:rPr>
              <w:t>established </w:t>
            </w:r>
            <w:r>
              <w:rPr>
                <w:spacing w:val="-2"/>
                <w:sz w:val="22"/>
              </w:rPr>
              <w:t>through</w:t>
            </w:r>
            <w:r>
              <w:rPr>
                <w:spacing w:val="-14"/>
                <w:sz w:val="22"/>
              </w:rPr>
              <w:t> </w:t>
            </w:r>
            <w:r>
              <w:rPr>
                <w:spacing w:val="-2"/>
                <w:sz w:val="22"/>
              </w:rPr>
              <w:t>the</w:t>
            </w:r>
            <w:r>
              <w:rPr>
                <w:spacing w:val="-13"/>
                <w:sz w:val="22"/>
              </w:rPr>
              <w:t> </w:t>
            </w:r>
            <w:r>
              <w:rPr>
                <w:spacing w:val="-2"/>
                <w:sz w:val="22"/>
              </w:rPr>
              <w:t>Pathology</w:t>
            </w:r>
            <w:r>
              <w:rPr>
                <w:spacing w:val="-13"/>
                <w:sz w:val="22"/>
              </w:rPr>
              <w:t> </w:t>
            </w:r>
            <w:r>
              <w:rPr>
                <w:spacing w:val="-2"/>
                <w:sz w:val="22"/>
              </w:rPr>
              <w:t>Statement</w:t>
            </w:r>
            <w:r>
              <w:rPr>
                <w:spacing w:val="-14"/>
                <w:sz w:val="22"/>
              </w:rPr>
              <w:t> </w:t>
            </w:r>
            <w:r>
              <w:rPr>
                <w:spacing w:val="-2"/>
                <w:sz w:val="22"/>
              </w:rPr>
              <w:t>of</w:t>
            </w:r>
            <w:r>
              <w:rPr>
                <w:spacing w:val="-13"/>
                <w:sz w:val="22"/>
              </w:rPr>
              <w:t> </w:t>
            </w:r>
            <w:r>
              <w:rPr>
                <w:spacing w:val="-2"/>
                <w:sz w:val="22"/>
              </w:rPr>
              <w:t>Intent,</w:t>
            </w:r>
            <w:r>
              <w:rPr>
                <w:spacing w:val="-13"/>
                <w:sz w:val="22"/>
              </w:rPr>
              <w:t> </w:t>
            </w:r>
            <w:r>
              <w:rPr>
                <w:spacing w:val="-2"/>
                <w:sz w:val="22"/>
              </w:rPr>
              <w:t>National</w:t>
            </w:r>
            <w:r>
              <w:rPr>
                <w:spacing w:val="-13"/>
                <w:sz w:val="22"/>
              </w:rPr>
              <w:t> </w:t>
            </w:r>
            <w:r>
              <w:rPr>
                <w:spacing w:val="-2"/>
                <w:sz w:val="22"/>
              </w:rPr>
              <w:t>Pathology</w:t>
            </w:r>
            <w:r>
              <w:rPr>
                <w:spacing w:val="-14"/>
                <w:sz w:val="22"/>
              </w:rPr>
              <w:t> </w:t>
            </w:r>
            <w:r>
              <w:rPr>
                <w:spacing w:val="-2"/>
                <w:sz w:val="22"/>
              </w:rPr>
              <w:t>Programme,</w:t>
            </w:r>
            <w:r>
              <w:rPr>
                <w:spacing w:val="-13"/>
                <w:sz w:val="22"/>
              </w:rPr>
              <w:t> </w:t>
            </w:r>
            <w:r>
              <w:rPr>
                <w:spacing w:val="-2"/>
                <w:sz w:val="22"/>
              </w:rPr>
              <w:t>Diagnostics</w:t>
            </w:r>
            <w:r>
              <w:rPr>
                <w:spacing w:val="-13"/>
                <w:sz w:val="22"/>
              </w:rPr>
              <w:t> </w:t>
            </w:r>
            <w:r>
              <w:rPr>
                <w:spacing w:val="-2"/>
                <w:sz w:val="22"/>
              </w:rPr>
              <w:t>Recovery</w:t>
            </w:r>
            <w:r>
              <w:rPr>
                <w:spacing w:val="-14"/>
                <w:sz w:val="22"/>
              </w:rPr>
              <w:t> </w:t>
            </w:r>
            <w:r>
              <w:rPr>
                <w:spacing w:val="-2"/>
                <w:sz w:val="22"/>
              </w:rPr>
              <w:t>and Transformation Strategy and the All-Wales Digital Cellular</w:t>
            </w:r>
            <w:r>
              <w:rPr>
                <w:spacing w:val="-3"/>
                <w:sz w:val="22"/>
              </w:rPr>
              <w:t> </w:t>
            </w:r>
            <w:r>
              <w:rPr>
                <w:spacing w:val="-2"/>
                <w:sz w:val="22"/>
              </w:rPr>
              <w:t>Pathology Programme.</w:t>
            </w:r>
            <w:r>
              <w:rPr>
                <w:spacing w:val="-8"/>
                <w:sz w:val="22"/>
              </w:rPr>
              <w:t> </w:t>
            </w:r>
            <w:r>
              <w:rPr>
                <w:spacing w:val="-2"/>
                <w:sz w:val="22"/>
              </w:rPr>
              <w:t>Collectively,</w:t>
            </w:r>
            <w:r>
              <w:rPr>
                <w:spacing w:val="-3"/>
                <w:sz w:val="22"/>
              </w:rPr>
              <w:t> </w:t>
            </w:r>
            <w:r>
              <w:rPr>
                <w:spacing w:val="-2"/>
                <w:sz w:val="22"/>
              </w:rPr>
              <w:t>these initiatives</w:t>
            </w:r>
            <w:r>
              <w:rPr>
                <w:spacing w:val="-3"/>
                <w:sz w:val="22"/>
              </w:rPr>
              <w:t> </w:t>
            </w:r>
            <w:r>
              <w:rPr>
                <w:spacing w:val="-2"/>
                <w:sz w:val="22"/>
              </w:rPr>
              <w:t>promote greater regional</w:t>
            </w:r>
            <w:r>
              <w:rPr>
                <w:spacing w:val="-7"/>
                <w:sz w:val="22"/>
              </w:rPr>
              <w:t> </w:t>
            </w:r>
            <w:r>
              <w:rPr>
                <w:spacing w:val="-2"/>
                <w:sz w:val="22"/>
              </w:rPr>
              <w:t>collaboration,</w:t>
            </w:r>
            <w:r>
              <w:rPr>
                <w:spacing w:val="-5"/>
                <w:sz w:val="22"/>
              </w:rPr>
              <w:t> </w:t>
            </w:r>
            <w:r>
              <w:rPr>
                <w:spacing w:val="-2"/>
                <w:sz w:val="22"/>
              </w:rPr>
              <w:t>service</w:t>
            </w:r>
            <w:r>
              <w:rPr>
                <w:spacing w:val="-6"/>
                <w:sz w:val="22"/>
              </w:rPr>
              <w:t> </w:t>
            </w:r>
            <w:r>
              <w:rPr>
                <w:spacing w:val="-2"/>
                <w:sz w:val="22"/>
              </w:rPr>
              <w:t>standardisation,</w:t>
            </w:r>
            <w:r>
              <w:rPr>
                <w:spacing w:val="-5"/>
                <w:sz w:val="22"/>
              </w:rPr>
              <w:t> </w:t>
            </w:r>
            <w:r>
              <w:rPr>
                <w:spacing w:val="-2"/>
                <w:sz w:val="22"/>
              </w:rPr>
              <w:t>digital transformation, </w:t>
            </w:r>
            <w:r>
              <w:rPr>
                <w:sz w:val="22"/>
              </w:rPr>
              <w:t>workforce</w:t>
            </w:r>
            <w:r>
              <w:rPr>
                <w:spacing w:val="-16"/>
                <w:sz w:val="22"/>
              </w:rPr>
              <w:t> </w:t>
            </w:r>
            <w:r>
              <w:rPr>
                <w:sz w:val="22"/>
              </w:rPr>
              <w:t>sustainability</w:t>
            </w:r>
            <w:r>
              <w:rPr>
                <w:spacing w:val="-15"/>
                <w:sz w:val="22"/>
              </w:rPr>
              <w:t> </w:t>
            </w:r>
            <w:r>
              <w:rPr>
                <w:sz w:val="22"/>
              </w:rPr>
              <w:t>and</w:t>
            </w:r>
            <w:r>
              <w:rPr>
                <w:spacing w:val="-15"/>
                <w:sz w:val="22"/>
              </w:rPr>
              <w:t> </w:t>
            </w:r>
            <w:r>
              <w:rPr>
                <w:sz w:val="22"/>
              </w:rPr>
              <w:t>improved</w:t>
            </w:r>
            <w:r>
              <w:rPr>
                <w:spacing w:val="-16"/>
                <w:sz w:val="22"/>
              </w:rPr>
              <w:t> </w:t>
            </w:r>
            <w:r>
              <w:rPr>
                <w:sz w:val="22"/>
              </w:rPr>
              <w:t>quality</w:t>
            </w:r>
            <w:r>
              <w:rPr>
                <w:spacing w:val="-15"/>
                <w:sz w:val="22"/>
              </w:rPr>
              <w:t> </w:t>
            </w:r>
            <w:r>
              <w:rPr>
                <w:sz w:val="22"/>
              </w:rPr>
              <w:t>and</w:t>
            </w:r>
            <w:r>
              <w:rPr>
                <w:spacing w:val="-15"/>
                <w:sz w:val="22"/>
              </w:rPr>
              <w:t> </w:t>
            </w:r>
            <w:r>
              <w:rPr>
                <w:sz w:val="22"/>
              </w:rPr>
              <w:t>performance</w:t>
            </w:r>
            <w:r>
              <w:rPr>
                <w:spacing w:val="-15"/>
                <w:sz w:val="22"/>
              </w:rPr>
              <w:t> </w:t>
            </w:r>
            <w:r>
              <w:rPr>
                <w:sz w:val="22"/>
              </w:rPr>
              <w:t>across</w:t>
            </w:r>
            <w:r>
              <w:rPr>
                <w:spacing w:val="-16"/>
                <w:sz w:val="22"/>
              </w:rPr>
              <w:t> </w:t>
            </w:r>
            <w:r>
              <w:rPr>
                <w:sz w:val="22"/>
              </w:rPr>
              <w:t>pathology</w:t>
            </w:r>
            <w:r>
              <w:rPr>
                <w:spacing w:val="-15"/>
                <w:sz w:val="22"/>
              </w:rPr>
              <w:t> </w:t>
            </w:r>
            <w:r>
              <w:rPr>
                <w:sz w:val="22"/>
              </w:rPr>
              <w:t>services</w:t>
            </w:r>
            <w:r>
              <w:rPr>
                <w:spacing w:val="-15"/>
                <w:sz w:val="22"/>
              </w:rPr>
              <w:t> </w:t>
            </w:r>
            <w:r>
              <w:rPr>
                <w:sz w:val="22"/>
              </w:rPr>
              <w:t>in</w:t>
            </w:r>
            <w:r>
              <w:rPr>
                <w:spacing w:val="-16"/>
                <w:sz w:val="22"/>
              </w:rPr>
              <w:t> </w:t>
            </w:r>
            <w:r>
              <w:rPr>
                <w:sz w:val="22"/>
              </w:rPr>
              <w:t>Wales.</w:t>
            </w:r>
          </w:p>
          <w:p>
            <w:pPr>
              <w:pStyle w:val="TableParagraph"/>
              <w:spacing w:line="276" w:lineRule="auto" w:before="141"/>
              <w:ind w:left="120"/>
              <w:rPr>
                <w:sz w:val="22"/>
              </w:rPr>
            </w:pPr>
            <w:r>
              <w:rPr>
                <w:sz w:val="22"/>
              </w:rPr>
              <w:t>National</w:t>
            </w:r>
            <w:r>
              <w:rPr>
                <w:spacing w:val="-16"/>
                <w:sz w:val="22"/>
              </w:rPr>
              <w:t> </w:t>
            </w:r>
            <w:r>
              <w:rPr>
                <w:sz w:val="22"/>
              </w:rPr>
              <w:t>policy</w:t>
            </w:r>
            <w:r>
              <w:rPr>
                <w:spacing w:val="-15"/>
                <w:sz w:val="22"/>
              </w:rPr>
              <w:t> </w:t>
            </w:r>
            <w:r>
              <w:rPr>
                <w:sz w:val="22"/>
              </w:rPr>
              <w:t>and</w:t>
            </w:r>
            <w:r>
              <w:rPr>
                <w:spacing w:val="-15"/>
                <w:sz w:val="22"/>
              </w:rPr>
              <w:t> </w:t>
            </w:r>
            <w:r>
              <w:rPr>
                <w:sz w:val="22"/>
              </w:rPr>
              <w:t>performance</w:t>
            </w:r>
            <w:r>
              <w:rPr>
                <w:spacing w:val="-16"/>
                <w:sz w:val="22"/>
              </w:rPr>
              <w:t> </w:t>
            </w:r>
            <w:r>
              <w:rPr>
                <w:sz w:val="22"/>
              </w:rPr>
              <w:t>reviews</w:t>
            </w:r>
            <w:r>
              <w:rPr>
                <w:spacing w:val="-15"/>
                <w:sz w:val="22"/>
              </w:rPr>
              <w:t> </w:t>
            </w:r>
            <w:r>
              <w:rPr>
                <w:sz w:val="22"/>
              </w:rPr>
              <w:t>continue</w:t>
            </w:r>
            <w:r>
              <w:rPr>
                <w:spacing w:val="-15"/>
                <w:sz w:val="22"/>
              </w:rPr>
              <w:t> </w:t>
            </w:r>
            <w:r>
              <w:rPr>
                <w:sz w:val="22"/>
              </w:rPr>
              <w:t>to</w:t>
            </w:r>
            <w:r>
              <w:rPr>
                <w:spacing w:val="-15"/>
                <w:sz w:val="22"/>
              </w:rPr>
              <w:t> </w:t>
            </w:r>
            <w:r>
              <w:rPr>
                <w:sz w:val="22"/>
              </w:rPr>
              <w:t>highlight</w:t>
            </w:r>
            <w:r>
              <w:rPr>
                <w:spacing w:val="-16"/>
                <w:sz w:val="22"/>
              </w:rPr>
              <w:t> </w:t>
            </w:r>
            <w:r>
              <w:rPr>
                <w:sz w:val="22"/>
              </w:rPr>
              <w:t>common</w:t>
            </w:r>
            <w:r>
              <w:rPr>
                <w:spacing w:val="-15"/>
                <w:sz w:val="22"/>
              </w:rPr>
              <w:t> </w:t>
            </w:r>
            <w:r>
              <w:rPr>
                <w:sz w:val="22"/>
              </w:rPr>
              <w:t>challenges</w:t>
            </w:r>
            <w:r>
              <w:rPr>
                <w:spacing w:val="-15"/>
                <w:sz w:val="22"/>
              </w:rPr>
              <w:t> </w:t>
            </w:r>
            <w:r>
              <w:rPr>
                <w:sz w:val="22"/>
              </w:rPr>
              <w:t>across</w:t>
            </w:r>
            <w:r>
              <w:rPr>
                <w:spacing w:val="-16"/>
                <w:sz w:val="22"/>
              </w:rPr>
              <w:t> </w:t>
            </w:r>
            <w:r>
              <w:rPr>
                <w:sz w:val="22"/>
              </w:rPr>
              <w:t>pathology services,</w:t>
            </w:r>
            <w:r>
              <w:rPr>
                <w:spacing w:val="-16"/>
                <w:sz w:val="22"/>
              </w:rPr>
              <w:t> </w:t>
            </w:r>
            <w:r>
              <w:rPr>
                <w:sz w:val="22"/>
              </w:rPr>
              <w:t>including</w:t>
            </w:r>
            <w:r>
              <w:rPr>
                <w:spacing w:val="-15"/>
                <w:sz w:val="22"/>
              </w:rPr>
              <w:t> </w:t>
            </w:r>
            <w:r>
              <w:rPr>
                <w:sz w:val="22"/>
              </w:rPr>
              <w:t>increasing</w:t>
            </w:r>
            <w:r>
              <w:rPr>
                <w:spacing w:val="-15"/>
                <w:sz w:val="22"/>
              </w:rPr>
              <w:t> </w:t>
            </w:r>
            <w:r>
              <w:rPr>
                <w:sz w:val="22"/>
              </w:rPr>
              <w:t>demand,</w:t>
            </w:r>
            <w:r>
              <w:rPr>
                <w:spacing w:val="-16"/>
                <w:sz w:val="22"/>
              </w:rPr>
              <w:t> </w:t>
            </w:r>
            <w:r>
              <w:rPr>
                <w:sz w:val="22"/>
              </w:rPr>
              <w:t>workforce</w:t>
            </w:r>
            <w:r>
              <w:rPr>
                <w:spacing w:val="-15"/>
                <w:sz w:val="22"/>
              </w:rPr>
              <w:t> </w:t>
            </w:r>
            <w:r>
              <w:rPr>
                <w:sz w:val="22"/>
              </w:rPr>
              <w:t>constraints,</w:t>
            </w:r>
            <w:r>
              <w:rPr>
                <w:spacing w:val="-15"/>
                <w:sz w:val="22"/>
              </w:rPr>
              <w:t> </w:t>
            </w:r>
            <w:r>
              <w:rPr>
                <w:sz w:val="22"/>
              </w:rPr>
              <w:t>ageing</w:t>
            </w:r>
            <w:r>
              <w:rPr>
                <w:spacing w:val="-15"/>
                <w:sz w:val="22"/>
              </w:rPr>
              <w:t> </w:t>
            </w:r>
            <w:r>
              <w:rPr>
                <w:sz w:val="22"/>
              </w:rPr>
              <w:t>estate</w:t>
            </w:r>
            <w:r>
              <w:rPr>
                <w:spacing w:val="-16"/>
                <w:sz w:val="22"/>
              </w:rPr>
              <w:t> </w:t>
            </w:r>
            <w:r>
              <w:rPr>
                <w:sz w:val="22"/>
              </w:rPr>
              <w:t>and</w:t>
            </w:r>
            <w:r>
              <w:rPr>
                <w:spacing w:val="-15"/>
                <w:sz w:val="22"/>
              </w:rPr>
              <w:t> </w:t>
            </w:r>
            <w:r>
              <w:rPr>
                <w:sz w:val="22"/>
              </w:rPr>
              <w:t>equipment,</w:t>
            </w:r>
            <w:r>
              <w:rPr>
                <w:spacing w:val="-15"/>
                <w:sz w:val="22"/>
              </w:rPr>
              <w:t> </w:t>
            </w:r>
            <w:r>
              <w:rPr>
                <w:sz w:val="22"/>
              </w:rPr>
              <w:t>and </w:t>
            </w:r>
            <w:r>
              <w:rPr>
                <w:spacing w:val="-2"/>
                <w:sz w:val="22"/>
              </w:rPr>
              <w:t>pressures</w:t>
            </w:r>
            <w:r>
              <w:rPr>
                <w:spacing w:val="-14"/>
                <w:sz w:val="22"/>
              </w:rPr>
              <w:t> </w:t>
            </w:r>
            <w:r>
              <w:rPr>
                <w:spacing w:val="-2"/>
                <w:sz w:val="22"/>
              </w:rPr>
              <w:t>on</w:t>
            </w:r>
            <w:r>
              <w:rPr>
                <w:spacing w:val="-13"/>
                <w:sz w:val="22"/>
              </w:rPr>
              <w:t> </w:t>
            </w:r>
            <w:r>
              <w:rPr>
                <w:spacing w:val="-2"/>
                <w:sz w:val="22"/>
              </w:rPr>
              <w:t>service</w:t>
            </w:r>
            <w:r>
              <w:rPr>
                <w:spacing w:val="-13"/>
                <w:sz w:val="22"/>
              </w:rPr>
              <w:t> </w:t>
            </w:r>
            <w:r>
              <w:rPr>
                <w:spacing w:val="-2"/>
                <w:sz w:val="22"/>
              </w:rPr>
              <w:t>resilience</w:t>
            </w:r>
            <w:r>
              <w:rPr>
                <w:spacing w:val="-13"/>
                <w:sz w:val="22"/>
              </w:rPr>
              <w:t> </w:t>
            </w:r>
            <w:r>
              <w:rPr>
                <w:spacing w:val="-2"/>
                <w:sz w:val="22"/>
              </w:rPr>
              <w:t>and</w:t>
            </w:r>
            <w:r>
              <w:rPr>
                <w:spacing w:val="-14"/>
                <w:sz w:val="22"/>
              </w:rPr>
              <w:t> </w:t>
            </w:r>
            <w:r>
              <w:rPr>
                <w:spacing w:val="-2"/>
                <w:sz w:val="22"/>
              </w:rPr>
              <w:t>delivery</w:t>
            </w:r>
            <w:r>
              <w:rPr>
                <w:spacing w:val="-12"/>
                <w:sz w:val="22"/>
              </w:rPr>
              <w:t> </w:t>
            </w:r>
            <w:r>
              <w:rPr>
                <w:spacing w:val="-2"/>
                <w:sz w:val="22"/>
              </w:rPr>
              <w:t>performance.</w:t>
            </w:r>
            <w:r>
              <w:rPr>
                <w:spacing w:val="-14"/>
                <w:sz w:val="22"/>
              </w:rPr>
              <w:t> </w:t>
            </w:r>
            <w:r>
              <w:rPr>
                <w:spacing w:val="-2"/>
                <w:sz w:val="22"/>
              </w:rPr>
              <w:t>In</w:t>
            </w:r>
            <w:r>
              <w:rPr>
                <w:spacing w:val="-10"/>
                <w:sz w:val="22"/>
              </w:rPr>
              <w:t> </w:t>
            </w:r>
            <w:r>
              <w:rPr>
                <w:spacing w:val="-2"/>
                <w:sz w:val="22"/>
              </w:rPr>
              <w:t>response,</w:t>
            </w:r>
            <w:r>
              <w:rPr>
                <w:spacing w:val="-9"/>
                <w:sz w:val="22"/>
              </w:rPr>
              <w:t> </w:t>
            </w:r>
            <w:r>
              <w:rPr>
                <w:spacing w:val="-2"/>
                <w:sz w:val="22"/>
              </w:rPr>
              <w:t>there</w:t>
            </w:r>
            <w:r>
              <w:rPr>
                <w:spacing w:val="-14"/>
                <w:sz w:val="22"/>
              </w:rPr>
              <w:t> </w:t>
            </w:r>
            <w:r>
              <w:rPr>
                <w:spacing w:val="-2"/>
                <w:sz w:val="22"/>
              </w:rPr>
              <w:t>is</w:t>
            </w:r>
            <w:r>
              <w:rPr>
                <w:spacing w:val="-12"/>
                <w:sz w:val="22"/>
              </w:rPr>
              <w:t> </w:t>
            </w:r>
            <w:r>
              <w:rPr>
                <w:spacing w:val="-2"/>
                <w:sz w:val="22"/>
              </w:rPr>
              <w:t>a</w:t>
            </w:r>
            <w:r>
              <w:rPr>
                <w:spacing w:val="-10"/>
                <w:sz w:val="22"/>
              </w:rPr>
              <w:t> </w:t>
            </w:r>
            <w:r>
              <w:rPr>
                <w:spacing w:val="-2"/>
                <w:sz w:val="22"/>
              </w:rPr>
              <w:t>clear</w:t>
            </w:r>
            <w:r>
              <w:rPr>
                <w:spacing w:val="-11"/>
                <w:sz w:val="22"/>
              </w:rPr>
              <w:t> </w:t>
            </w:r>
            <w:r>
              <w:rPr>
                <w:spacing w:val="-2"/>
                <w:sz w:val="22"/>
              </w:rPr>
              <w:t>expectation</w:t>
            </w:r>
            <w:r>
              <w:rPr>
                <w:spacing w:val="-10"/>
                <w:sz w:val="22"/>
              </w:rPr>
              <w:t> </w:t>
            </w:r>
            <w:r>
              <w:rPr>
                <w:spacing w:val="-2"/>
                <w:sz w:val="22"/>
              </w:rPr>
              <w:t>that Health</w:t>
            </w:r>
            <w:r>
              <w:rPr>
                <w:spacing w:val="-8"/>
                <w:sz w:val="22"/>
              </w:rPr>
              <w:t> </w:t>
            </w:r>
            <w:r>
              <w:rPr>
                <w:spacing w:val="-2"/>
                <w:sz w:val="22"/>
              </w:rPr>
              <w:t>Boards</w:t>
            </w:r>
            <w:r>
              <w:rPr>
                <w:spacing w:val="-10"/>
                <w:sz w:val="22"/>
              </w:rPr>
              <w:t> </w:t>
            </w:r>
            <w:r>
              <w:rPr>
                <w:spacing w:val="-2"/>
                <w:sz w:val="22"/>
              </w:rPr>
              <w:t>work</w:t>
            </w:r>
            <w:r>
              <w:rPr>
                <w:spacing w:val="-10"/>
                <w:sz w:val="22"/>
              </w:rPr>
              <w:t> </w:t>
            </w:r>
            <w:r>
              <w:rPr>
                <w:spacing w:val="-2"/>
                <w:sz w:val="22"/>
              </w:rPr>
              <w:t>collaboratively</w:t>
            </w:r>
            <w:r>
              <w:rPr>
                <w:spacing w:val="-10"/>
                <w:sz w:val="22"/>
              </w:rPr>
              <w:t> </w:t>
            </w:r>
            <w:r>
              <w:rPr>
                <w:spacing w:val="-2"/>
                <w:sz w:val="22"/>
              </w:rPr>
              <w:t>to</w:t>
            </w:r>
            <w:r>
              <w:rPr>
                <w:spacing w:val="-12"/>
                <w:sz w:val="22"/>
              </w:rPr>
              <w:t> </w:t>
            </w:r>
            <w:r>
              <w:rPr>
                <w:spacing w:val="-2"/>
                <w:sz w:val="22"/>
              </w:rPr>
              <w:t>develop</w:t>
            </w:r>
            <w:r>
              <w:rPr>
                <w:spacing w:val="-12"/>
                <w:sz w:val="22"/>
              </w:rPr>
              <w:t> </w:t>
            </w:r>
            <w:r>
              <w:rPr>
                <w:spacing w:val="-2"/>
                <w:sz w:val="22"/>
              </w:rPr>
              <w:t>sustainable</w:t>
            </w:r>
            <w:r>
              <w:rPr>
                <w:spacing w:val="-12"/>
                <w:sz w:val="22"/>
              </w:rPr>
              <w:t> </w:t>
            </w:r>
            <w:r>
              <w:rPr>
                <w:spacing w:val="-2"/>
                <w:sz w:val="22"/>
              </w:rPr>
              <w:t>regional</w:t>
            </w:r>
            <w:r>
              <w:rPr>
                <w:spacing w:val="-9"/>
                <w:sz w:val="22"/>
              </w:rPr>
              <w:t> </w:t>
            </w:r>
            <w:r>
              <w:rPr>
                <w:spacing w:val="-2"/>
                <w:sz w:val="22"/>
              </w:rPr>
              <w:t>service</w:t>
            </w:r>
            <w:r>
              <w:rPr>
                <w:spacing w:val="-7"/>
                <w:sz w:val="22"/>
              </w:rPr>
              <w:t> </w:t>
            </w:r>
            <w:r>
              <w:rPr>
                <w:spacing w:val="-2"/>
                <w:sz w:val="22"/>
              </w:rPr>
              <w:t>models</w:t>
            </w:r>
            <w:r>
              <w:rPr>
                <w:spacing w:val="-10"/>
                <w:sz w:val="22"/>
              </w:rPr>
              <w:t> </w:t>
            </w:r>
            <w:r>
              <w:rPr>
                <w:spacing w:val="-2"/>
                <w:sz w:val="22"/>
              </w:rPr>
              <w:t>supported</w:t>
            </w:r>
            <w:r>
              <w:rPr>
                <w:spacing w:val="-12"/>
                <w:sz w:val="22"/>
              </w:rPr>
              <w:t> </w:t>
            </w:r>
            <w:r>
              <w:rPr>
                <w:spacing w:val="-2"/>
                <w:sz w:val="22"/>
              </w:rPr>
              <w:t>by</w:t>
            </w:r>
            <w:r>
              <w:rPr>
                <w:spacing w:val="-14"/>
                <w:sz w:val="22"/>
              </w:rPr>
              <w:t> </w:t>
            </w:r>
            <w:r>
              <w:rPr>
                <w:spacing w:val="-2"/>
                <w:sz w:val="22"/>
              </w:rPr>
              <w:t>digital </w:t>
            </w:r>
            <w:r>
              <w:rPr>
                <w:sz w:val="22"/>
              </w:rPr>
              <w:t>pathology and modernised infrastructure.</w:t>
            </w:r>
          </w:p>
          <w:p>
            <w:pPr>
              <w:pStyle w:val="TableParagraph"/>
              <w:spacing w:line="276" w:lineRule="auto" w:before="141"/>
              <w:ind w:left="120" w:right="214"/>
              <w:rPr>
                <w:sz w:val="22"/>
              </w:rPr>
            </w:pPr>
            <w:r>
              <w:rPr>
                <w:sz w:val="22"/>
              </w:rPr>
              <w:t>The</w:t>
            </w:r>
            <w:r>
              <w:rPr>
                <w:spacing w:val="-14"/>
                <w:sz w:val="22"/>
              </w:rPr>
              <w:t> </w:t>
            </w:r>
            <w:r>
              <w:rPr>
                <w:sz w:val="22"/>
              </w:rPr>
              <w:t>FBC</w:t>
            </w:r>
            <w:r>
              <w:rPr>
                <w:spacing w:val="-10"/>
                <w:sz w:val="22"/>
              </w:rPr>
              <w:t> </w:t>
            </w:r>
            <w:r>
              <w:rPr>
                <w:sz w:val="22"/>
              </w:rPr>
              <w:t>is</w:t>
            </w:r>
            <w:r>
              <w:rPr>
                <w:spacing w:val="-12"/>
                <w:sz w:val="22"/>
              </w:rPr>
              <w:t> </w:t>
            </w:r>
            <w:r>
              <w:rPr>
                <w:sz w:val="22"/>
              </w:rPr>
              <w:t>being</w:t>
            </w:r>
            <w:r>
              <w:rPr>
                <w:spacing w:val="-14"/>
                <w:sz w:val="22"/>
              </w:rPr>
              <w:t> </w:t>
            </w:r>
            <w:r>
              <w:rPr>
                <w:sz w:val="22"/>
              </w:rPr>
              <w:t>developed</w:t>
            </w:r>
            <w:r>
              <w:rPr>
                <w:spacing w:val="-14"/>
                <w:sz w:val="22"/>
              </w:rPr>
              <w:t> </w:t>
            </w:r>
            <w:r>
              <w:rPr>
                <w:sz w:val="22"/>
              </w:rPr>
              <w:t>within</w:t>
            </w:r>
            <w:r>
              <w:rPr>
                <w:spacing w:val="-9"/>
                <w:sz w:val="22"/>
              </w:rPr>
              <w:t> </w:t>
            </w:r>
            <w:r>
              <w:rPr>
                <w:sz w:val="22"/>
              </w:rPr>
              <w:t>this</w:t>
            </w:r>
            <w:r>
              <w:rPr>
                <w:spacing w:val="-16"/>
                <w:sz w:val="22"/>
              </w:rPr>
              <w:t> </w:t>
            </w:r>
            <w:r>
              <w:rPr>
                <w:sz w:val="22"/>
              </w:rPr>
              <w:t>national</w:t>
            </w:r>
            <w:r>
              <w:rPr>
                <w:spacing w:val="-9"/>
                <w:sz w:val="22"/>
              </w:rPr>
              <w:t> </w:t>
            </w:r>
            <w:r>
              <w:rPr>
                <w:sz w:val="22"/>
              </w:rPr>
              <w:t>context</w:t>
            </w:r>
            <w:r>
              <w:rPr>
                <w:spacing w:val="-13"/>
                <w:sz w:val="22"/>
              </w:rPr>
              <w:t> </w:t>
            </w:r>
            <w:r>
              <w:rPr>
                <w:sz w:val="22"/>
              </w:rPr>
              <w:t>and</w:t>
            </w:r>
            <w:r>
              <w:rPr>
                <w:spacing w:val="-14"/>
                <w:sz w:val="22"/>
              </w:rPr>
              <w:t> </w:t>
            </w:r>
            <w:r>
              <w:rPr>
                <w:sz w:val="22"/>
              </w:rPr>
              <w:t>is</w:t>
            </w:r>
            <w:r>
              <w:rPr>
                <w:spacing w:val="-12"/>
                <w:sz w:val="22"/>
              </w:rPr>
              <w:t> </w:t>
            </w:r>
            <w:r>
              <w:rPr>
                <w:sz w:val="22"/>
              </w:rPr>
              <w:t>intended</w:t>
            </w:r>
            <w:r>
              <w:rPr>
                <w:spacing w:val="-14"/>
                <w:sz w:val="22"/>
              </w:rPr>
              <w:t> </w:t>
            </w:r>
            <w:r>
              <w:rPr>
                <w:sz w:val="22"/>
              </w:rPr>
              <w:t>to</w:t>
            </w:r>
            <w:r>
              <w:rPr>
                <w:spacing w:val="-9"/>
                <w:sz w:val="22"/>
              </w:rPr>
              <w:t> </w:t>
            </w:r>
            <w:r>
              <w:rPr>
                <w:sz w:val="22"/>
              </w:rPr>
              <w:t>demonstrate</w:t>
            </w:r>
            <w:r>
              <w:rPr>
                <w:spacing w:val="-14"/>
                <w:sz w:val="22"/>
              </w:rPr>
              <w:t> </w:t>
            </w:r>
            <w:r>
              <w:rPr>
                <w:sz w:val="22"/>
              </w:rPr>
              <w:t>how</w:t>
            </w:r>
            <w:r>
              <w:rPr>
                <w:spacing w:val="-6"/>
                <w:sz w:val="22"/>
              </w:rPr>
              <w:t> </w:t>
            </w:r>
            <w:r>
              <w:rPr>
                <w:sz w:val="22"/>
              </w:rPr>
              <w:t>the </w:t>
            </w:r>
            <w:r>
              <w:rPr>
                <w:spacing w:val="-2"/>
                <w:sz w:val="22"/>
              </w:rPr>
              <w:t>proposed</w:t>
            </w:r>
            <w:r>
              <w:rPr>
                <w:spacing w:val="-14"/>
                <w:sz w:val="22"/>
              </w:rPr>
              <w:t> </w:t>
            </w:r>
            <w:r>
              <w:rPr>
                <w:spacing w:val="-2"/>
                <w:sz w:val="22"/>
              </w:rPr>
              <w:t>regional</w:t>
            </w:r>
            <w:r>
              <w:rPr>
                <w:spacing w:val="-13"/>
                <w:sz w:val="22"/>
              </w:rPr>
              <w:t> </w:t>
            </w:r>
            <w:r>
              <w:rPr>
                <w:spacing w:val="-2"/>
                <w:sz w:val="22"/>
              </w:rPr>
              <w:t>laboratory</w:t>
            </w:r>
            <w:r>
              <w:rPr>
                <w:spacing w:val="-13"/>
                <w:sz w:val="22"/>
              </w:rPr>
              <w:t> </w:t>
            </w:r>
            <w:r>
              <w:rPr>
                <w:spacing w:val="-2"/>
                <w:sz w:val="22"/>
              </w:rPr>
              <w:t>will</w:t>
            </w:r>
            <w:r>
              <w:rPr>
                <w:spacing w:val="-14"/>
                <w:sz w:val="22"/>
              </w:rPr>
              <w:t> </w:t>
            </w:r>
            <w:r>
              <w:rPr>
                <w:spacing w:val="-2"/>
                <w:sz w:val="22"/>
              </w:rPr>
              <w:t>contribute</w:t>
            </w:r>
            <w:r>
              <w:rPr>
                <w:spacing w:val="-13"/>
                <w:sz w:val="22"/>
              </w:rPr>
              <w:t> </w:t>
            </w:r>
            <w:r>
              <w:rPr>
                <w:spacing w:val="-2"/>
                <w:sz w:val="22"/>
              </w:rPr>
              <w:t>to</w:t>
            </w:r>
            <w:r>
              <w:rPr>
                <w:spacing w:val="-13"/>
                <w:sz w:val="22"/>
              </w:rPr>
              <w:t> </w:t>
            </w:r>
            <w:r>
              <w:rPr>
                <w:spacing w:val="-2"/>
                <w:sz w:val="22"/>
              </w:rPr>
              <w:t>improved</w:t>
            </w:r>
            <w:r>
              <w:rPr>
                <w:spacing w:val="-13"/>
                <w:sz w:val="22"/>
              </w:rPr>
              <w:t> </w:t>
            </w:r>
            <w:r>
              <w:rPr>
                <w:spacing w:val="-2"/>
                <w:sz w:val="22"/>
              </w:rPr>
              <w:t>service</w:t>
            </w:r>
            <w:r>
              <w:rPr>
                <w:spacing w:val="-14"/>
                <w:sz w:val="22"/>
              </w:rPr>
              <w:t> </w:t>
            </w:r>
            <w:r>
              <w:rPr>
                <w:spacing w:val="-2"/>
                <w:sz w:val="22"/>
              </w:rPr>
              <w:t>resilience,</w:t>
            </w:r>
            <w:r>
              <w:rPr>
                <w:spacing w:val="-13"/>
                <w:sz w:val="22"/>
              </w:rPr>
              <w:t> </w:t>
            </w:r>
            <w:r>
              <w:rPr>
                <w:spacing w:val="-2"/>
                <w:sz w:val="22"/>
              </w:rPr>
              <w:t>diagnostic</w:t>
            </w:r>
            <w:r>
              <w:rPr>
                <w:spacing w:val="-13"/>
                <w:sz w:val="22"/>
              </w:rPr>
              <w:t> </w:t>
            </w:r>
            <w:r>
              <w:rPr>
                <w:spacing w:val="-2"/>
                <w:sz w:val="22"/>
              </w:rPr>
              <w:t>turnaround</w:t>
            </w:r>
            <w:r>
              <w:rPr>
                <w:spacing w:val="-14"/>
                <w:sz w:val="22"/>
              </w:rPr>
              <w:t> </w:t>
            </w:r>
            <w:r>
              <w:rPr>
                <w:spacing w:val="-2"/>
                <w:sz w:val="22"/>
              </w:rPr>
              <w:t>times, cancer</w:t>
            </w:r>
            <w:r>
              <w:rPr>
                <w:spacing w:val="-3"/>
                <w:sz w:val="22"/>
              </w:rPr>
              <w:t> </w:t>
            </w:r>
            <w:r>
              <w:rPr>
                <w:spacing w:val="-2"/>
                <w:sz w:val="22"/>
              </w:rPr>
              <w:t>pathway</w:t>
            </w:r>
            <w:r>
              <w:rPr>
                <w:spacing w:val="-5"/>
                <w:sz w:val="22"/>
              </w:rPr>
              <w:t> </w:t>
            </w:r>
            <w:r>
              <w:rPr>
                <w:spacing w:val="-2"/>
                <w:sz w:val="22"/>
              </w:rPr>
              <w:t>performance, workforce sustainability,</w:t>
            </w:r>
            <w:r>
              <w:rPr>
                <w:spacing w:val="-6"/>
                <w:sz w:val="22"/>
              </w:rPr>
              <w:t> </w:t>
            </w:r>
            <w:r>
              <w:rPr>
                <w:spacing w:val="-2"/>
                <w:sz w:val="22"/>
              </w:rPr>
              <w:t>productivity</w:t>
            </w:r>
            <w:r>
              <w:rPr>
                <w:spacing w:val="-5"/>
                <w:sz w:val="22"/>
              </w:rPr>
              <w:t> </w:t>
            </w:r>
            <w:r>
              <w:rPr>
                <w:spacing w:val="-2"/>
                <w:sz w:val="22"/>
              </w:rPr>
              <w:t>and equitable access to specialist pathology</w:t>
            </w:r>
            <w:r>
              <w:rPr>
                <w:spacing w:val="-5"/>
                <w:sz w:val="22"/>
              </w:rPr>
              <w:t> </w:t>
            </w:r>
            <w:r>
              <w:rPr>
                <w:spacing w:val="-2"/>
                <w:sz w:val="22"/>
              </w:rPr>
              <w:t>services.</w:t>
            </w:r>
            <w:r>
              <w:rPr>
                <w:spacing w:val="-6"/>
                <w:sz w:val="22"/>
              </w:rPr>
              <w:t> </w:t>
            </w:r>
            <w:r>
              <w:rPr>
                <w:spacing w:val="-2"/>
                <w:sz w:val="22"/>
              </w:rPr>
              <w:t>Concurrently,</w:t>
            </w:r>
            <w:r>
              <w:rPr>
                <w:spacing w:val="-6"/>
                <w:sz w:val="22"/>
              </w:rPr>
              <w:t> </w:t>
            </w:r>
            <w:r>
              <w:rPr>
                <w:spacing w:val="-2"/>
                <w:sz w:val="22"/>
              </w:rPr>
              <w:t>the</w:t>
            </w:r>
            <w:r>
              <w:rPr>
                <w:spacing w:val="-7"/>
                <w:sz w:val="22"/>
              </w:rPr>
              <w:t> </w:t>
            </w:r>
            <w:r>
              <w:rPr>
                <w:spacing w:val="-2"/>
                <w:sz w:val="22"/>
              </w:rPr>
              <w:t>programme is</w:t>
            </w:r>
            <w:r>
              <w:rPr>
                <w:spacing w:val="-5"/>
                <w:sz w:val="22"/>
              </w:rPr>
              <w:t> </w:t>
            </w:r>
            <w:r>
              <w:rPr>
                <w:spacing w:val="-2"/>
                <w:sz w:val="22"/>
              </w:rPr>
              <w:t>working</w:t>
            </w:r>
            <w:r>
              <w:rPr>
                <w:spacing w:val="-7"/>
                <w:sz w:val="22"/>
              </w:rPr>
              <w:t> </w:t>
            </w:r>
            <w:r>
              <w:rPr>
                <w:spacing w:val="-2"/>
                <w:sz w:val="22"/>
              </w:rPr>
              <w:t>to establish robust</w:t>
            </w:r>
            <w:r>
              <w:rPr>
                <w:spacing w:val="-12"/>
                <w:sz w:val="22"/>
              </w:rPr>
              <w:t> </w:t>
            </w:r>
            <w:r>
              <w:rPr>
                <w:spacing w:val="-2"/>
                <w:sz w:val="22"/>
              </w:rPr>
              <w:t>baseline</w:t>
            </w:r>
            <w:r>
              <w:rPr>
                <w:spacing w:val="-7"/>
                <w:sz w:val="22"/>
              </w:rPr>
              <w:t> </w:t>
            </w:r>
            <w:r>
              <w:rPr>
                <w:spacing w:val="-2"/>
                <w:sz w:val="22"/>
              </w:rPr>
              <w:t>measures for </w:t>
            </w:r>
            <w:r>
              <w:rPr>
                <w:sz w:val="22"/>
              </w:rPr>
              <w:t>activity,</w:t>
            </w:r>
            <w:r>
              <w:rPr>
                <w:spacing w:val="-16"/>
                <w:sz w:val="22"/>
              </w:rPr>
              <w:t> </w:t>
            </w:r>
            <w:r>
              <w:rPr>
                <w:sz w:val="22"/>
              </w:rPr>
              <w:t>performance,</w:t>
            </w:r>
            <w:r>
              <w:rPr>
                <w:spacing w:val="-15"/>
                <w:sz w:val="22"/>
              </w:rPr>
              <w:t> </w:t>
            </w:r>
            <w:r>
              <w:rPr>
                <w:sz w:val="22"/>
              </w:rPr>
              <w:t>workforce</w:t>
            </w:r>
            <w:r>
              <w:rPr>
                <w:spacing w:val="-15"/>
                <w:sz w:val="22"/>
              </w:rPr>
              <w:t> </w:t>
            </w:r>
            <w:r>
              <w:rPr>
                <w:sz w:val="22"/>
              </w:rPr>
              <w:t>and</w:t>
            </w:r>
            <w:r>
              <w:rPr>
                <w:spacing w:val="-16"/>
                <w:sz w:val="22"/>
              </w:rPr>
              <w:t> </w:t>
            </w:r>
            <w:r>
              <w:rPr>
                <w:sz w:val="22"/>
              </w:rPr>
              <w:t>financial</w:t>
            </w:r>
            <w:r>
              <w:rPr>
                <w:spacing w:val="-15"/>
                <w:sz w:val="22"/>
              </w:rPr>
              <w:t> </w:t>
            </w:r>
            <w:r>
              <w:rPr>
                <w:sz w:val="22"/>
              </w:rPr>
              <w:t>metrics</w:t>
            </w:r>
            <w:r>
              <w:rPr>
                <w:spacing w:val="-15"/>
                <w:sz w:val="22"/>
              </w:rPr>
              <w:t> </w:t>
            </w:r>
            <w:r>
              <w:rPr>
                <w:sz w:val="22"/>
              </w:rPr>
              <w:t>to</w:t>
            </w:r>
            <w:r>
              <w:rPr>
                <w:spacing w:val="-15"/>
                <w:sz w:val="22"/>
              </w:rPr>
              <w:t> </w:t>
            </w:r>
            <w:r>
              <w:rPr>
                <w:sz w:val="22"/>
              </w:rPr>
              <w:t>support</w:t>
            </w:r>
            <w:r>
              <w:rPr>
                <w:spacing w:val="-16"/>
                <w:sz w:val="22"/>
              </w:rPr>
              <w:t> </w:t>
            </w:r>
            <w:r>
              <w:rPr>
                <w:sz w:val="22"/>
              </w:rPr>
              <w:t>benefits</w:t>
            </w:r>
            <w:r>
              <w:rPr>
                <w:spacing w:val="-15"/>
                <w:sz w:val="22"/>
              </w:rPr>
              <w:t> </w:t>
            </w:r>
            <w:r>
              <w:rPr>
                <w:sz w:val="22"/>
              </w:rPr>
              <w:t>realisation</w:t>
            </w:r>
            <w:r>
              <w:rPr>
                <w:spacing w:val="-15"/>
                <w:sz w:val="22"/>
              </w:rPr>
              <w:t> </w:t>
            </w:r>
            <w:r>
              <w:rPr>
                <w:sz w:val="22"/>
              </w:rPr>
              <w:t>and</w:t>
            </w:r>
            <w:r>
              <w:rPr>
                <w:spacing w:val="-16"/>
                <w:sz w:val="22"/>
              </w:rPr>
              <w:t> </w:t>
            </w:r>
            <w:r>
              <w:rPr>
                <w:sz w:val="22"/>
              </w:rPr>
              <w:t>the</w:t>
            </w:r>
            <w:r>
              <w:rPr>
                <w:spacing w:val="-15"/>
                <w:sz w:val="22"/>
              </w:rPr>
              <w:t> </w:t>
            </w:r>
            <w:r>
              <w:rPr>
                <w:sz w:val="22"/>
              </w:rPr>
              <w:t>future evaluation of programme outcomes.</w:t>
            </w:r>
          </w:p>
          <w:p>
            <w:pPr>
              <w:pStyle w:val="TableParagraph"/>
              <w:spacing w:before="140"/>
              <w:ind w:left="120"/>
              <w:rPr>
                <w:b/>
                <w:sz w:val="22"/>
              </w:rPr>
            </w:pPr>
            <w:r>
              <w:rPr>
                <w:b/>
                <w:color w:val="394871"/>
                <w:spacing w:val="-4"/>
                <w:sz w:val="22"/>
              </w:rPr>
              <w:t>South-East</w:t>
            </w:r>
            <w:r>
              <w:rPr>
                <w:b/>
                <w:color w:val="394871"/>
                <w:spacing w:val="-5"/>
                <w:sz w:val="22"/>
              </w:rPr>
              <w:t> </w:t>
            </w:r>
            <w:r>
              <w:rPr>
                <w:b/>
                <w:color w:val="394871"/>
                <w:spacing w:val="-4"/>
                <w:sz w:val="22"/>
              </w:rPr>
              <w:t>Wales</w:t>
            </w:r>
          </w:p>
          <w:p>
            <w:pPr>
              <w:pStyle w:val="TableParagraph"/>
              <w:spacing w:line="276" w:lineRule="auto" w:before="97"/>
              <w:ind w:left="120" w:right="54"/>
              <w:rPr>
                <w:sz w:val="22"/>
              </w:rPr>
            </w:pPr>
            <w:r>
              <w:rPr>
                <w:spacing w:val="-2"/>
                <w:sz w:val="22"/>
              </w:rPr>
              <w:t>Development</w:t>
            </w:r>
            <w:r>
              <w:rPr>
                <w:spacing w:val="-14"/>
                <w:sz w:val="22"/>
              </w:rPr>
              <w:t> </w:t>
            </w:r>
            <w:r>
              <w:rPr>
                <w:spacing w:val="-2"/>
                <w:sz w:val="22"/>
              </w:rPr>
              <w:t>of</w:t>
            </w:r>
            <w:r>
              <w:rPr>
                <w:spacing w:val="-13"/>
                <w:sz w:val="22"/>
              </w:rPr>
              <w:t> </w:t>
            </w:r>
            <w:r>
              <w:rPr>
                <w:spacing w:val="-2"/>
                <w:sz w:val="22"/>
              </w:rPr>
              <w:t>a</w:t>
            </w:r>
            <w:r>
              <w:rPr>
                <w:spacing w:val="-13"/>
                <w:sz w:val="22"/>
              </w:rPr>
              <w:t> </w:t>
            </w:r>
            <w:r>
              <w:rPr>
                <w:spacing w:val="-2"/>
                <w:sz w:val="22"/>
              </w:rPr>
              <w:t>regional</w:t>
            </w:r>
            <w:r>
              <w:rPr>
                <w:spacing w:val="-14"/>
                <w:sz w:val="22"/>
              </w:rPr>
              <w:t> </w:t>
            </w:r>
            <w:r>
              <w:rPr>
                <w:spacing w:val="-2"/>
                <w:sz w:val="22"/>
              </w:rPr>
              <w:t>cellular</w:t>
            </w:r>
            <w:r>
              <w:rPr>
                <w:spacing w:val="-12"/>
                <w:sz w:val="22"/>
              </w:rPr>
              <w:t> </w:t>
            </w:r>
            <w:r>
              <w:rPr>
                <w:spacing w:val="-2"/>
                <w:sz w:val="22"/>
              </w:rPr>
              <w:t>pathology</w:t>
            </w:r>
            <w:r>
              <w:rPr>
                <w:spacing w:val="-12"/>
                <w:sz w:val="22"/>
              </w:rPr>
              <w:t> </w:t>
            </w:r>
            <w:r>
              <w:rPr>
                <w:spacing w:val="-2"/>
                <w:sz w:val="22"/>
              </w:rPr>
              <w:t>service</w:t>
            </w:r>
            <w:r>
              <w:rPr>
                <w:spacing w:val="-10"/>
                <w:sz w:val="22"/>
              </w:rPr>
              <w:t> </w:t>
            </w:r>
            <w:r>
              <w:rPr>
                <w:spacing w:val="-2"/>
                <w:sz w:val="22"/>
              </w:rPr>
              <w:t>in</w:t>
            </w:r>
            <w:r>
              <w:rPr>
                <w:spacing w:val="-14"/>
                <w:sz w:val="22"/>
              </w:rPr>
              <w:t> </w:t>
            </w:r>
            <w:r>
              <w:rPr>
                <w:spacing w:val="-2"/>
                <w:sz w:val="22"/>
              </w:rPr>
              <w:t>South-East</w:t>
            </w:r>
            <w:r>
              <w:rPr>
                <w:spacing w:val="-13"/>
                <w:sz w:val="22"/>
              </w:rPr>
              <w:t> </w:t>
            </w:r>
            <w:r>
              <w:rPr>
                <w:spacing w:val="-2"/>
                <w:sz w:val="22"/>
              </w:rPr>
              <w:t>Wales</w:t>
            </w:r>
            <w:r>
              <w:rPr>
                <w:spacing w:val="-12"/>
                <w:sz w:val="22"/>
              </w:rPr>
              <w:t> </w:t>
            </w:r>
            <w:r>
              <w:rPr>
                <w:spacing w:val="-2"/>
                <w:sz w:val="22"/>
              </w:rPr>
              <w:t>continues</w:t>
            </w:r>
            <w:r>
              <w:rPr>
                <w:spacing w:val="-12"/>
                <w:sz w:val="22"/>
              </w:rPr>
              <w:t> </w:t>
            </w:r>
            <w:r>
              <w:rPr>
                <w:spacing w:val="-2"/>
                <w:sz w:val="22"/>
              </w:rPr>
              <w:t>to</w:t>
            </w:r>
            <w:r>
              <w:rPr>
                <w:spacing w:val="-14"/>
                <w:sz w:val="22"/>
              </w:rPr>
              <w:t> </w:t>
            </w:r>
            <w:r>
              <w:rPr>
                <w:spacing w:val="-2"/>
                <w:sz w:val="22"/>
              </w:rPr>
              <w:t>progress</w:t>
            </w:r>
            <w:r>
              <w:rPr>
                <w:spacing w:val="-12"/>
                <w:sz w:val="22"/>
              </w:rPr>
              <w:t> </w:t>
            </w:r>
            <w:r>
              <w:rPr>
                <w:spacing w:val="-2"/>
                <w:sz w:val="22"/>
              </w:rPr>
              <w:t>through </w:t>
            </w:r>
            <w:r>
              <w:rPr>
                <w:sz w:val="22"/>
              </w:rPr>
              <w:t>a</w:t>
            </w:r>
            <w:r>
              <w:rPr>
                <w:spacing w:val="-16"/>
                <w:sz w:val="22"/>
              </w:rPr>
              <w:t> </w:t>
            </w:r>
            <w:r>
              <w:rPr>
                <w:sz w:val="22"/>
              </w:rPr>
              <w:t>partnership</w:t>
            </w:r>
            <w:r>
              <w:rPr>
                <w:spacing w:val="-14"/>
                <w:sz w:val="22"/>
              </w:rPr>
              <w:t> </w:t>
            </w:r>
            <w:r>
              <w:rPr>
                <w:sz w:val="22"/>
              </w:rPr>
              <w:t>between</w:t>
            </w:r>
            <w:r>
              <w:rPr>
                <w:spacing w:val="-10"/>
                <w:sz w:val="22"/>
              </w:rPr>
              <w:t> </w:t>
            </w:r>
            <w:r>
              <w:rPr>
                <w:sz w:val="22"/>
              </w:rPr>
              <w:t>Aneurin</w:t>
            </w:r>
            <w:r>
              <w:rPr>
                <w:spacing w:val="-10"/>
                <w:sz w:val="22"/>
              </w:rPr>
              <w:t> </w:t>
            </w:r>
            <w:r>
              <w:rPr>
                <w:sz w:val="22"/>
              </w:rPr>
              <w:t>Bevan,</w:t>
            </w:r>
            <w:r>
              <w:rPr>
                <w:spacing w:val="-14"/>
                <w:sz w:val="22"/>
              </w:rPr>
              <w:t> </w:t>
            </w:r>
            <w:r>
              <w:rPr>
                <w:sz w:val="22"/>
              </w:rPr>
              <w:t>Cardiff</w:t>
            </w:r>
            <w:r>
              <w:rPr>
                <w:spacing w:val="-14"/>
                <w:sz w:val="22"/>
              </w:rPr>
              <w:t> </w:t>
            </w:r>
            <w:r>
              <w:rPr>
                <w:sz w:val="22"/>
              </w:rPr>
              <w:t>and</w:t>
            </w:r>
            <w:r>
              <w:rPr>
                <w:spacing w:val="-10"/>
                <w:sz w:val="22"/>
              </w:rPr>
              <w:t> </w:t>
            </w:r>
            <w:r>
              <w:rPr>
                <w:sz w:val="22"/>
              </w:rPr>
              <w:t>Vale</w:t>
            </w:r>
            <w:r>
              <w:rPr>
                <w:spacing w:val="-15"/>
                <w:sz w:val="22"/>
              </w:rPr>
              <w:t> </w:t>
            </w:r>
            <w:r>
              <w:rPr>
                <w:sz w:val="22"/>
              </w:rPr>
              <w:t>and</w:t>
            </w:r>
            <w:r>
              <w:rPr>
                <w:spacing w:val="-15"/>
                <w:sz w:val="22"/>
              </w:rPr>
              <w:t> </w:t>
            </w:r>
            <w:r>
              <w:rPr>
                <w:sz w:val="22"/>
              </w:rPr>
              <w:t>Cwm</w:t>
            </w:r>
            <w:r>
              <w:rPr>
                <w:spacing w:val="-11"/>
                <w:sz w:val="22"/>
              </w:rPr>
              <w:t> </w:t>
            </w:r>
            <w:r>
              <w:rPr>
                <w:sz w:val="22"/>
              </w:rPr>
              <w:t>Taf</w:t>
            </w:r>
            <w:r>
              <w:rPr>
                <w:spacing w:val="-16"/>
                <w:sz w:val="22"/>
              </w:rPr>
              <w:t> </w:t>
            </w:r>
            <w:r>
              <w:rPr>
                <w:sz w:val="22"/>
              </w:rPr>
              <w:t>Morgannwg</w:t>
            </w:r>
            <w:r>
              <w:rPr>
                <w:spacing w:val="-15"/>
                <w:sz w:val="22"/>
              </w:rPr>
              <w:t> </w:t>
            </w:r>
            <w:r>
              <w:rPr>
                <w:sz w:val="22"/>
              </w:rPr>
              <w:t>University</w:t>
            </w:r>
            <w:r>
              <w:rPr>
                <w:spacing w:val="-12"/>
                <w:sz w:val="22"/>
              </w:rPr>
              <w:t> </w:t>
            </w:r>
            <w:r>
              <w:rPr>
                <w:sz w:val="22"/>
              </w:rPr>
              <w:t>Health Boards.</w:t>
            </w:r>
            <w:r>
              <w:rPr>
                <w:spacing w:val="-16"/>
                <w:sz w:val="22"/>
              </w:rPr>
              <w:t> </w:t>
            </w:r>
            <w:r>
              <w:rPr>
                <w:sz w:val="22"/>
              </w:rPr>
              <w:t>A</w:t>
            </w:r>
            <w:r>
              <w:rPr>
                <w:spacing w:val="-15"/>
                <w:sz w:val="22"/>
              </w:rPr>
              <w:t> </w:t>
            </w:r>
            <w:r>
              <w:rPr>
                <w:sz w:val="22"/>
              </w:rPr>
              <w:t>preferred</w:t>
            </w:r>
            <w:r>
              <w:rPr>
                <w:spacing w:val="-10"/>
                <w:sz w:val="22"/>
              </w:rPr>
              <w:t> </w:t>
            </w:r>
            <w:r>
              <w:rPr>
                <w:sz w:val="22"/>
              </w:rPr>
              <w:t>site</w:t>
            </w:r>
            <w:r>
              <w:rPr>
                <w:spacing w:val="-10"/>
                <w:sz w:val="22"/>
              </w:rPr>
              <w:t> </w:t>
            </w:r>
            <w:r>
              <w:rPr>
                <w:sz w:val="22"/>
              </w:rPr>
              <w:t>has</w:t>
            </w:r>
            <w:r>
              <w:rPr>
                <w:spacing w:val="-13"/>
                <w:sz w:val="22"/>
              </w:rPr>
              <w:t> </w:t>
            </w:r>
            <w:r>
              <w:rPr>
                <w:sz w:val="22"/>
              </w:rPr>
              <w:t>been</w:t>
            </w:r>
            <w:r>
              <w:rPr>
                <w:spacing w:val="-14"/>
                <w:sz w:val="22"/>
              </w:rPr>
              <w:t> </w:t>
            </w:r>
            <w:r>
              <w:rPr>
                <w:sz w:val="22"/>
              </w:rPr>
              <w:t>identified,</w:t>
            </w:r>
            <w:r>
              <w:rPr>
                <w:spacing w:val="-16"/>
                <w:sz w:val="22"/>
              </w:rPr>
              <w:t> </w:t>
            </w:r>
            <w:r>
              <w:rPr>
                <w:sz w:val="22"/>
              </w:rPr>
              <w:t>and</w:t>
            </w:r>
            <w:r>
              <w:rPr>
                <w:spacing w:val="-9"/>
                <w:sz w:val="22"/>
              </w:rPr>
              <w:t> </w:t>
            </w:r>
            <w:r>
              <w:rPr>
                <w:sz w:val="22"/>
              </w:rPr>
              <w:t>the</w:t>
            </w:r>
            <w:r>
              <w:rPr>
                <w:spacing w:val="-14"/>
                <w:sz w:val="22"/>
              </w:rPr>
              <w:t> </w:t>
            </w:r>
            <w:r>
              <w:rPr>
                <w:sz w:val="22"/>
              </w:rPr>
              <w:t>programme</w:t>
            </w:r>
            <w:r>
              <w:rPr>
                <w:spacing w:val="-14"/>
                <w:sz w:val="22"/>
              </w:rPr>
              <w:t> </w:t>
            </w:r>
            <w:r>
              <w:rPr>
                <w:sz w:val="22"/>
              </w:rPr>
              <w:t>is</w:t>
            </w:r>
            <w:r>
              <w:rPr>
                <w:spacing w:val="-13"/>
                <w:sz w:val="22"/>
              </w:rPr>
              <w:t> </w:t>
            </w:r>
            <w:r>
              <w:rPr>
                <w:sz w:val="22"/>
              </w:rPr>
              <w:t>currently</w:t>
            </w:r>
            <w:r>
              <w:rPr>
                <w:spacing w:val="-13"/>
                <w:sz w:val="22"/>
              </w:rPr>
              <w:t> </w:t>
            </w:r>
            <w:r>
              <w:rPr>
                <w:sz w:val="22"/>
              </w:rPr>
              <w:t>finalising</w:t>
            </w:r>
            <w:r>
              <w:rPr>
                <w:spacing w:val="-16"/>
                <w:sz w:val="22"/>
              </w:rPr>
              <w:t> </w:t>
            </w:r>
            <w:r>
              <w:rPr>
                <w:sz w:val="22"/>
              </w:rPr>
              <w:t>its</w:t>
            </w:r>
            <w:r>
              <w:rPr>
                <w:spacing w:val="-9"/>
                <w:sz w:val="22"/>
              </w:rPr>
              <w:t> </w:t>
            </w:r>
            <w:r>
              <w:rPr>
                <w:sz w:val="22"/>
              </w:rPr>
              <w:t>SOC</w:t>
            </w:r>
            <w:r>
              <w:rPr>
                <w:spacing w:val="-15"/>
                <w:sz w:val="22"/>
              </w:rPr>
              <w:t> </w:t>
            </w:r>
            <w:r>
              <w:rPr>
                <w:sz w:val="22"/>
              </w:rPr>
              <w:t>which</w:t>
            </w:r>
            <w:r>
              <w:rPr>
                <w:spacing w:val="-10"/>
                <w:sz w:val="22"/>
              </w:rPr>
              <w:t> </w:t>
            </w:r>
            <w:r>
              <w:rPr>
                <w:sz w:val="22"/>
              </w:rPr>
              <w:t>is expected</w:t>
            </w:r>
            <w:r>
              <w:rPr>
                <w:spacing w:val="-13"/>
                <w:sz w:val="22"/>
              </w:rPr>
              <w:t> </w:t>
            </w:r>
            <w:r>
              <w:rPr>
                <w:sz w:val="22"/>
              </w:rPr>
              <w:t>to</w:t>
            </w:r>
            <w:r>
              <w:rPr>
                <w:spacing w:val="-11"/>
                <w:sz w:val="22"/>
              </w:rPr>
              <w:t> </w:t>
            </w:r>
            <w:r>
              <w:rPr>
                <w:sz w:val="22"/>
              </w:rPr>
              <w:t>be</w:t>
            </w:r>
            <w:r>
              <w:rPr>
                <w:spacing w:val="-15"/>
                <w:sz w:val="22"/>
              </w:rPr>
              <w:t> </w:t>
            </w:r>
            <w:r>
              <w:rPr>
                <w:sz w:val="22"/>
              </w:rPr>
              <w:t>presented</w:t>
            </w:r>
            <w:r>
              <w:rPr>
                <w:spacing w:val="-11"/>
                <w:sz w:val="22"/>
              </w:rPr>
              <w:t> </w:t>
            </w:r>
            <w:r>
              <w:rPr>
                <w:sz w:val="22"/>
              </w:rPr>
              <w:t>to</w:t>
            </w:r>
            <w:r>
              <w:rPr>
                <w:spacing w:val="-6"/>
                <w:sz w:val="22"/>
              </w:rPr>
              <w:t> </w:t>
            </w:r>
            <w:r>
              <w:rPr>
                <w:sz w:val="22"/>
              </w:rPr>
              <w:t>the</w:t>
            </w:r>
            <w:r>
              <w:rPr>
                <w:spacing w:val="-15"/>
                <w:sz w:val="22"/>
              </w:rPr>
              <w:t> </w:t>
            </w:r>
            <w:r>
              <w:rPr>
                <w:sz w:val="22"/>
              </w:rPr>
              <w:t>respective</w:t>
            </w:r>
            <w:r>
              <w:rPr>
                <w:spacing w:val="-15"/>
                <w:sz w:val="22"/>
              </w:rPr>
              <w:t> </w:t>
            </w:r>
            <w:r>
              <w:rPr>
                <w:sz w:val="22"/>
              </w:rPr>
              <w:t>Health</w:t>
            </w:r>
            <w:r>
              <w:rPr>
                <w:spacing w:val="-11"/>
                <w:sz w:val="22"/>
              </w:rPr>
              <w:t> </w:t>
            </w:r>
            <w:r>
              <w:rPr>
                <w:sz w:val="22"/>
              </w:rPr>
              <w:t>Boards</w:t>
            </w:r>
            <w:r>
              <w:rPr>
                <w:spacing w:val="-16"/>
                <w:sz w:val="22"/>
              </w:rPr>
              <w:t> </w:t>
            </w:r>
            <w:r>
              <w:rPr>
                <w:sz w:val="22"/>
              </w:rPr>
              <w:t>for</w:t>
            </w:r>
            <w:r>
              <w:rPr>
                <w:spacing w:val="-11"/>
                <w:sz w:val="22"/>
              </w:rPr>
              <w:t> </w:t>
            </w:r>
            <w:r>
              <w:rPr>
                <w:sz w:val="22"/>
              </w:rPr>
              <w:t>approval</w:t>
            </w:r>
            <w:r>
              <w:rPr>
                <w:spacing w:val="-13"/>
                <w:sz w:val="22"/>
              </w:rPr>
              <w:t> </w:t>
            </w:r>
            <w:r>
              <w:rPr>
                <w:sz w:val="22"/>
              </w:rPr>
              <w:t>during</w:t>
            </w:r>
            <w:r>
              <w:rPr>
                <w:spacing w:val="-15"/>
                <w:sz w:val="22"/>
              </w:rPr>
              <w:t> </w:t>
            </w:r>
            <w:r>
              <w:rPr>
                <w:sz w:val="22"/>
              </w:rPr>
              <w:t>autumn</w:t>
            </w:r>
            <w:r>
              <w:rPr>
                <w:spacing w:val="-11"/>
                <w:sz w:val="22"/>
              </w:rPr>
              <w:t> </w:t>
            </w:r>
            <w:r>
              <w:rPr>
                <w:sz w:val="22"/>
              </w:rPr>
              <w:t>2026.</w:t>
            </w:r>
          </w:p>
          <w:p>
            <w:pPr>
              <w:pStyle w:val="TableParagraph"/>
              <w:spacing w:line="276" w:lineRule="auto" w:before="142"/>
              <w:ind w:left="120" w:right="117"/>
              <w:rPr>
                <w:sz w:val="22"/>
              </w:rPr>
            </w:pPr>
            <w:r>
              <w:rPr>
                <w:sz w:val="22"/>
              </w:rPr>
              <w:t>A</w:t>
            </w:r>
            <w:r>
              <w:rPr>
                <w:spacing w:val="-16"/>
                <w:sz w:val="22"/>
              </w:rPr>
              <w:t> </w:t>
            </w:r>
            <w:r>
              <w:rPr>
                <w:sz w:val="22"/>
              </w:rPr>
              <w:t>discussion</w:t>
            </w:r>
            <w:r>
              <w:rPr>
                <w:spacing w:val="-8"/>
                <w:sz w:val="22"/>
              </w:rPr>
              <w:t> </w:t>
            </w:r>
            <w:r>
              <w:rPr>
                <w:sz w:val="22"/>
              </w:rPr>
              <w:t>is</w:t>
            </w:r>
            <w:r>
              <w:rPr>
                <w:spacing w:val="-11"/>
                <w:sz w:val="22"/>
              </w:rPr>
              <w:t> </w:t>
            </w:r>
            <w:r>
              <w:rPr>
                <w:sz w:val="22"/>
              </w:rPr>
              <w:t>due</w:t>
            </w:r>
            <w:r>
              <w:rPr>
                <w:spacing w:val="-8"/>
                <w:sz w:val="22"/>
              </w:rPr>
              <w:t> </w:t>
            </w:r>
            <w:r>
              <w:rPr>
                <w:sz w:val="22"/>
              </w:rPr>
              <w:t>to</w:t>
            </w:r>
            <w:r>
              <w:rPr>
                <w:spacing w:val="-8"/>
                <w:sz w:val="22"/>
              </w:rPr>
              <w:t> </w:t>
            </w:r>
            <w:r>
              <w:rPr>
                <w:sz w:val="22"/>
              </w:rPr>
              <w:t>take</w:t>
            </w:r>
            <w:r>
              <w:rPr>
                <w:spacing w:val="-13"/>
                <w:sz w:val="22"/>
              </w:rPr>
              <w:t> </w:t>
            </w:r>
            <w:r>
              <w:rPr>
                <w:sz w:val="22"/>
              </w:rPr>
              <w:t>place</w:t>
            </w:r>
            <w:r>
              <w:rPr>
                <w:spacing w:val="-13"/>
                <w:sz w:val="22"/>
              </w:rPr>
              <w:t> </w:t>
            </w:r>
            <w:r>
              <w:rPr>
                <w:sz w:val="22"/>
              </w:rPr>
              <w:t>at</w:t>
            </w:r>
            <w:r>
              <w:rPr>
                <w:spacing w:val="-12"/>
                <w:sz w:val="22"/>
              </w:rPr>
              <w:t> </w:t>
            </w:r>
            <w:r>
              <w:rPr>
                <w:sz w:val="22"/>
              </w:rPr>
              <w:t>the</w:t>
            </w:r>
            <w:r>
              <w:rPr>
                <w:spacing w:val="-13"/>
                <w:sz w:val="22"/>
              </w:rPr>
              <w:t> </w:t>
            </w:r>
            <w:r>
              <w:rPr>
                <w:sz w:val="22"/>
              </w:rPr>
              <w:t>Chief</w:t>
            </w:r>
            <w:r>
              <w:rPr>
                <w:spacing w:val="-12"/>
                <w:sz w:val="22"/>
              </w:rPr>
              <w:t> </w:t>
            </w:r>
            <w:r>
              <w:rPr>
                <w:sz w:val="22"/>
              </w:rPr>
              <w:t>Executive</w:t>
            </w:r>
            <w:r>
              <w:rPr>
                <w:spacing w:val="-8"/>
                <w:sz w:val="22"/>
              </w:rPr>
              <w:t> </w:t>
            </w:r>
            <w:r>
              <w:rPr>
                <w:sz w:val="22"/>
              </w:rPr>
              <w:t>Management</w:t>
            </w:r>
            <w:r>
              <w:rPr>
                <w:spacing w:val="-12"/>
                <w:sz w:val="22"/>
              </w:rPr>
              <w:t> </w:t>
            </w:r>
            <w:r>
              <w:rPr>
                <w:sz w:val="22"/>
              </w:rPr>
              <w:t>Team</w:t>
            </w:r>
            <w:r>
              <w:rPr>
                <w:spacing w:val="-9"/>
                <w:sz w:val="22"/>
              </w:rPr>
              <w:t> </w:t>
            </w:r>
            <w:r>
              <w:rPr>
                <w:sz w:val="22"/>
              </w:rPr>
              <w:t>(CEMT)</w:t>
            </w:r>
            <w:r>
              <w:rPr>
                <w:spacing w:val="-7"/>
                <w:sz w:val="22"/>
              </w:rPr>
              <w:t> </w:t>
            </w:r>
            <w:r>
              <w:rPr>
                <w:sz w:val="22"/>
              </w:rPr>
              <w:t>on</w:t>
            </w:r>
            <w:r>
              <w:rPr>
                <w:spacing w:val="-13"/>
                <w:sz w:val="22"/>
              </w:rPr>
              <w:t> </w:t>
            </w:r>
            <w:r>
              <w:rPr>
                <w:sz w:val="22"/>
              </w:rPr>
              <w:t>6</w:t>
            </w:r>
            <w:r>
              <w:rPr>
                <w:sz w:val="22"/>
                <w:vertAlign w:val="superscript"/>
              </w:rPr>
              <w:t>th</w:t>
            </w:r>
            <w:r>
              <w:rPr>
                <w:spacing w:val="-8"/>
                <w:sz w:val="22"/>
                <w:vertAlign w:val="baseline"/>
              </w:rPr>
              <w:t> </w:t>
            </w:r>
            <w:r>
              <w:rPr>
                <w:sz w:val="22"/>
                <w:vertAlign w:val="baseline"/>
              </w:rPr>
              <w:t>October regarding</w:t>
            </w:r>
            <w:r>
              <w:rPr>
                <w:spacing w:val="-16"/>
                <w:sz w:val="22"/>
                <w:vertAlign w:val="baseline"/>
              </w:rPr>
              <w:t> </w:t>
            </w:r>
            <w:r>
              <w:rPr>
                <w:sz w:val="22"/>
                <w:vertAlign w:val="baseline"/>
              </w:rPr>
              <w:t>the</w:t>
            </w:r>
            <w:r>
              <w:rPr>
                <w:spacing w:val="-15"/>
                <w:sz w:val="22"/>
                <w:vertAlign w:val="baseline"/>
              </w:rPr>
              <w:t> </w:t>
            </w:r>
            <w:r>
              <w:rPr>
                <w:sz w:val="22"/>
                <w:vertAlign w:val="baseline"/>
              </w:rPr>
              <w:t>progress</w:t>
            </w:r>
            <w:r>
              <w:rPr>
                <w:spacing w:val="-15"/>
                <w:sz w:val="22"/>
                <w:vertAlign w:val="baseline"/>
              </w:rPr>
              <w:t> </w:t>
            </w:r>
            <w:r>
              <w:rPr>
                <w:sz w:val="22"/>
                <w:vertAlign w:val="baseline"/>
              </w:rPr>
              <w:t>of</w:t>
            </w:r>
            <w:r>
              <w:rPr>
                <w:spacing w:val="-16"/>
                <w:sz w:val="22"/>
                <w:vertAlign w:val="baseline"/>
              </w:rPr>
              <w:t> </w:t>
            </w:r>
            <w:r>
              <w:rPr>
                <w:sz w:val="22"/>
                <w:vertAlign w:val="baseline"/>
              </w:rPr>
              <w:t>both</w:t>
            </w:r>
            <w:r>
              <w:rPr>
                <w:spacing w:val="-15"/>
                <w:sz w:val="22"/>
                <w:vertAlign w:val="baseline"/>
              </w:rPr>
              <w:t> </w:t>
            </w:r>
            <w:r>
              <w:rPr>
                <w:sz w:val="22"/>
                <w:vertAlign w:val="baseline"/>
              </w:rPr>
              <w:t>Laboratory</w:t>
            </w:r>
            <w:r>
              <w:rPr>
                <w:spacing w:val="-12"/>
                <w:sz w:val="22"/>
                <w:vertAlign w:val="baseline"/>
              </w:rPr>
              <w:t> </w:t>
            </w:r>
            <w:r>
              <w:rPr>
                <w:sz w:val="22"/>
                <w:vertAlign w:val="baseline"/>
              </w:rPr>
              <w:t>developments</w:t>
            </w:r>
            <w:r>
              <w:rPr>
                <w:spacing w:val="-13"/>
                <w:sz w:val="22"/>
                <w:vertAlign w:val="baseline"/>
              </w:rPr>
              <w:t> </w:t>
            </w:r>
            <w:r>
              <w:rPr>
                <w:sz w:val="22"/>
                <w:vertAlign w:val="baseline"/>
              </w:rPr>
              <w:t>in</w:t>
            </w:r>
            <w:r>
              <w:rPr>
                <w:spacing w:val="-10"/>
                <w:sz w:val="22"/>
                <w:vertAlign w:val="baseline"/>
              </w:rPr>
              <w:t> </w:t>
            </w:r>
            <w:r>
              <w:rPr>
                <w:sz w:val="22"/>
                <w:vertAlign w:val="baseline"/>
              </w:rPr>
              <w:t>the</w:t>
            </w:r>
            <w:r>
              <w:rPr>
                <w:spacing w:val="-10"/>
                <w:sz w:val="22"/>
                <w:vertAlign w:val="baseline"/>
              </w:rPr>
              <w:t> </w:t>
            </w:r>
            <w:r>
              <w:rPr>
                <w:sz w:val="22"/>
                <w:vertAlign w:val="baseline"/>
              </w:rPr>
              <w:t>South</w:t>
            </w:r>
            <w:r>
              <w:rPr>
                <w:spacing w:val="-10"/>
                <w:sz w:val="22"/>
                <w:vertAlign w:val="baseline"/>
              </w:rPr>
              <w:t> </w:t>
            </w:r>
            <w:r>
              <w:rPr>
                <w:sz w:val="22"/>
                <w:vertAlign w:val="baseline"/>
              </w:rPr>
              <w:t>of</w:t>
            </w:r>
            <w:r>
              <w:rPr>
                <w:spacing w:val="-14"/>
                <w:sz w:val="22"/>
                <w:vertAlign w:val="baseline"/>
              </w:rPr>
              <w:t> </w:t>
            </w:r>
            <w:r>
              <w:rPr>
                <w:sz w:val="22"/>
                <w:vertAlign w:val="baseline"/>
              </w:rPr>
              <w:t>Wales.</w:t>
            </w:r>
            <w:r>
              <w:rPr>
                <w:spacing w:val="-14"/>
                <w:sz w:val="22"/>
                <w:vertAlign w:val="baseline"/>
              </w:rPr>
              <w:t> </w:t>
            </w:r>
            <w:r>
              <w:rPr>
                <w:sz w:val="22"/>
                <w:vertAlign w:val="baseline"/>
              </w:rPr>
              <w:t>The</w:t>
            </w:r>
            <w:r>
              <w:rPr>
                <w:spacing w:val="-14"/>
                <w:sz w:val="22"/>
                <w:vertAlign w:val="baseline"/>
              </w:rPr>
              <w:t> </w:t>
            </w:r>
            <w:r>
              <w:rPr>
                <w:sz w:val="22"/>
                <w:vertAlign w:val="baseline"/>
              </w:rPr>
              <w:t>clinical</w:t>
            </w:r>
            <w:r>
              <w:rPr>
                <w:spacing w:val="-12"/>
                <w:sz w:val="22"/>
                <w:vertAlign w:val="baseline"/>
              </w:rPr>
              <w:t> </w:t>
            </w:r>
            <w:r>
              <w:rPr>
                <w:sz w:val="22"/>
                <w:vertAlign w:val="baseline"/>
              </w:rPr>
              <w:t>lead</w:t>
            </w:r>
            <w:r>
              <w:rPr>
                <w:spacing w:val="-10"/>
                <w:sz w:val="22"/>
                <w:vertAlign w:val="baseline"/>
              </w:rPr>
              <w:t> </w:t>
            </w:r>
            <w:r>
              <w:rPr>
                <w:sz w:val="22"/>
                <w:vertAlign w:val="baseline"/>
              </w:rPr>
              <w:t>for Performance</w:t>
            </w:r>
            <w:r>
              <w:rPr>
                <w:spacing w:val="-16"/>
                <w:sz w:val="22"/>
                <w:vertAlign w:val="baseline"/>
              </w:rPr>
              <w:t> </w:t>
            </w:r>
            <w:r>
              <w:rPr>
                <w:sz w:val="22"/>
                <w:vertAlign w:val="baseline"/>
              </w:rPr>
              <w:t>and</w:t>
            </w:r>
            <w:r>
              <w:rPr>
                <w:spacing w:val="-15"/>
                <w:sz w:val="22"/>
                <w:vertAlign w:val="baseline"/>
              </w:rPr>
              <w:t> </w:t>
            </w:r>
            <w:r>
              <w:rPr>
                <w:sz w:val="22"/>
                <w:vertAlign w:val="baseline"/>
              </w:rPr>
              <w:t>improvement</w:t>
            </w:r>
            <w:r>
              <w:rPr>
                <w:spacing w:val="-15"/>
                <w:sz w:val="22"/>
                <w:vertAlign w:val="baseline"/>
              </w:rPr>
              <w:t> </w:t>
            </w:r>
            <w:r>
              <w:rPr>
                <w:sz w:val="22"/>
                <w:vertAlign w:val="baseline"/>
              </w:rPr>
              <w:t>has</w:t>
            </w:r>
            <w:r>
              <w:rPr>
                <w:spacing w:val="-16"/>
                <w:sz w:val="22"/>
                <w:vertAlign w:val="baseline"/>
              </w:rPr>
              <w:t> </w:t>
            </w:r>
            <w:r>
              <w:rPr>
                <w:sz w:val="22"/>
                <w:vertAlign w:val="baseline"/>
              </w:rPr>
              <w:t>been</w:t>
            </w:r>
            <w:r>
              <w:rPr>
                <w:spacing w:val="-10"/>
                <w:sz w:val="22"/>
                <w:vertAlign w:val="baseline"/>
              </w:rPr>
              <w:t> </w:t>
            </w:r>
            <w:r>
              <w:rPr>
                <w:sz w:val="22"/>
                <w:vertAlign w:val="baseline"/>
              </w:rPr>
              <w:t>invited</w:t>
            </w:r>
            <w:r>
              <w:rPr>
                <w:spacing w:val="-11"/>
                <w:sz w:val="22"/>
                <w:vertAlign w:val="baseline"/>
              </w:rPr>
              <w:t> </w:t>
            </w:r>
            <w:r>
              <w:rPr>
                <w:sz w:val="22"/>
                <w:vertAlign w:val="baseline"/>
              </w:rPr>
              <w:t>to</w:t>
            </w:r>
            <w:r>
              <w:rPr>
                <w:spacing w:val="-15"/>
                <w:sz w:val="22"/>
                <w:vertAlign w:val="baseline"/>
              </w:rPr>
              <w:t> </w:t>
            </w:r>
            <w:r>
              <w:rPr>
                <w:sz w:val="22"/>
                <w:vertAlign w:val="baseline"/>
              </w:rPr>
              <w:t>inform</w:t>
            </w:r>
            <w:r>
              <w:rPr>
                <w:spacing w:val="-16"/>
                <w:sz w:val="22"/>
                <w:vertAlign w:val="baseline"/>
              </w:rPr>
              <w:t> </w:t>
            </w:r>
            <w:r>
              <w:rPr>
                <w:sz w:val="22"/>
                <w:vertAlign w:val="baseline"/>
              </w:rPr>
              <w:t>and</w:t>
            </w:r>
            <w:r>
              <w:rPr>
                <w:spacing w:val="-14"/>
                <w:sz w:val="22"/>
                <w:vertAlign w:val="baseline"/>
              </w:rPr>
              <w:t> </w:t>
            </w:r>
            <w:r>
              <w:rPr>
                <w:sz w:val="22"/>
                <w:vertAlign w:val="baseline"/>
              </w:rPr>
              <w:t>facilitate</w:t>
            </w:r>
            <w:r>
              <w:rPr>
                <w:spacing w:val="-5"/>
                <w:sz w:val="22"/>
                <w:vertAlign w:val="baseline"/>
              </w:rPr>
              <w:t> </w:t>
            </w:r>
            <w:r>
              <w:rPr>
                <w:sz w:val="22"/>
                <w:vertAlign w:val="baseline"/>
              </w:rPr>
              <w:t>a</w:t>
            </w:r>
            <w:r>
              <w:rPr>
                <w:spacing w:val="-15"/>
                <w:sz w:val="22"/>
                <w:vertAlign w:val="baseline"/>
              </w:rPr>
              <w:t> </w:t>
            </w:r>
            <w:r>
              <w:rPr>
                <w:sz w:val="22"/>
                <w:vertAlign w:val="baseline"/>
              </w:rPr>
              <w:t>discussion</w:t>
            </w:r>
            <w:r>
              <w:rPr>
                <w:spacing w:val="-15"/>
                <w:sz w:val="22"/>
                <w:vertAlign w:val="baseline"/>
              </w:rPr>
              <w:t> </w:t>
            </w:r>
            <w:r>
              <w:rPr>
                <w:sz w:val="22"/>
                <w:vertAlign w:val="baseline"/>
              </w:rPr>
              <w:t>regarding</w:t>
            </w:r>
            <w:r>
              <w:rPr>
                <w:spacing w:val="-15"/>
                <w:sz w:val="22"/>
                <w:vertAlign w:val="baseline"/>
              </w:rPr>
              <w:t> </w:t>
            </w:r>
            <w:r>
              <w:rPr>
                <w:sz w:val="22"/>
                <w:vertAlign w:val="baseline"/>
              </w:rPr>
              <w:t>the </w:t>
            </w:r>
            <w:r>
              <w:rPr>
                <w:spacing w:val="-2"/>
                <w:sz w:val="22"/>
                <w:vertAlign w:val="baseline"/>
              </w:rPr>
              <w:t>plans,</w:t>
            </w:r>
            <w:r>
              <w:rPr>
                <w:spacing w:val="-7"/>
                <w:sz w:val="22"/>
                <w:vertAlign w:val="baseline"/>
              </w:rPr>
              <w:t> </w:t>
            </w:r>
            <w:r>
              <w:rPr>
                <w:spacing w:val="-2"/>
                <w:sz w:val="22"/>
                <w:vertAlign w:val="baseline"/>
              </w:rPr>
              <w:t>including</w:t>
            </w:r>
            <w:r>
              <w:rPr>
                <w:spacing w:val="-8"/>
                <w:sz w:val="22"/>
                <w:vertAlign w:val="baseline"/>
              </w:rPr>
              <w:t> </w:t>
            </w:r>
            <w:r>
              <w:rPr>
                <w:spacing w:val="-2"/>
                <w:sz w:val="22"/>
                <w:vertAlign w:val="baseline"/>
              </w:rPr>
              <w:t>the important</w:t>
            </w:r>
            <w:r>
              <w:rPr>
                <w:spacing w:val="-7"/>
                <w:sz w:val="22"/>
                <w:vertAlign w:val="baseline"/>
              </w:rPr>
              <w:t> </w:t>
            </w:r>
            <w:r>
              <w:rPr>
                <w:spacing w:val="-2"/>
                <w:sz w:val="22"/>
                <w:vertAlign w:val="baseline"/>
              </w:rPr>
              <w:t>strategic</w:t>
            </w:r>
            <w:r>
              <w:rPr>
                <w:spacing w:val="-6"/>
                <w:sz w:val="22"/>
                <w:vertAlign w:val="baseline"/>
              </w:rPr>
              <w:t> </w:t>
            </w:r>
            <w:r>
              <w:rPr>
                <w:spacing w:val="-2"/>
                <w:sz w:val="22"/>
                <w:vertAlign w:val="baseline"/>
              </w:rPr>
              <w:t>question:</w:t>
            </w:r>
            <w:r>
              <w:rPr>
                <w:spacing w:val="-12"/>
                <w:sz w:val="22"/>
                <w:vertAlign w:val="baseline"/>
              </w:rPr>
              <w:t> </w:t>
            </w:r>
            <w:r>
              <w:rPr>
                <w:spacing w:val="-2"/>
                <w:sz w:val="22"/>
                <w:vertAlign w:val="baseline"/>
              </w:rPr>
              <w:t>whether</w:t>
            </w:r>
            <w:r>
              <w:rPr>
                <w:spacing w:val="-9"/>
                <w:sz w:val="22"/>
                <w:vertAlign w:val="baseline"/>
              </w:rPr>
              <w:t> </w:t>
            </w:r>
            <w:r>
              <w:rPr>
                <w:spacing w:val="-2"/>
                <w:sz w:val="22"/>
                <w:vertAlign w:val="baseline"/>
              </w:rPr>
              <w:t>Welsh</w:t>
            </w:r>
            <w:r>
              <w:rPr>
                <w:spacing w:val="-3"/>
                <w:sz w:val="22"/>
                <w:vertAlign w:val="baseline"/>
              </w:rPr>
              <w:t> </w:t>
            </w:r>
            <w:r>
              <w:rPr>
                <w:spacing w:val="-2"/>
                <w:sz w:val="22"/>
                <w:vertAlign w:val="baseline"/>
              </w:rPr>
              <w:t>Government</w:t>
            </w:r>
            <w:r>
              <w:rPr>
                <w:spacing w:val="-7"/>
                <w:sz w:val="22"/>
                <w:vertAlign w:val="baseline"/>
              </w:rPr>
              <w:t> </w:t>
            </w:r>
            <w:r>
              <w:rPr>
                <w:spacing w:val="-2"/>
                <w:sz w:val="22"/>
                <w:vertAlign w:val="baseline"/>
              </w:rPr>
              <w:t>investment</w:t>
            </w:r>
            <w:r>
              <w:rPr>
                <w:spacing w:val="-7"/>
                <w:sz w:val="22"/>
                <w:vertAlign w:val="baseline"/>
              </w:rPr>
              <w:t> </w:t>
            </w:r>
            <w:r>
              <w:rPr>
                <w:spacing w:val="-2"/>
                <w:sz w:val="22"/>
                <w:vertAlign w:val="baseline"/>
              </w:rPr>
              <w:t>is</w:t>
            </w:r>
            <w:r>
              <w:rPr>
                <w:spacing w:val="-6"/>
                <w:sz w:val="22"/>
                <w:vertAlign w:val="baseline"/>
              </w:rPr>
              <w:t> </w:t>
            </w:r>
            <w:r>
              <w:rPr>
                <w:spacing w:val="-2"/>
                <w:sz w:val="22"/>
                <w:vertAlign w:val="baseline"/>
              </w:rPr>
              <w:t>more</w:t>
            </w:r>
            <w:r>
              <w:rPr>
                <w:spacing w:val="-8"/>
                <w:sz w:val="22"/>
                <w:vertAlign w:val="baseline"/>
              </w:rPr>
              <w:t> </w:t>
            </w:r>
            <w:r>
              <w:rPr>
                <w:spacing w:val="-2"/>
                <w:sz w:val="22"/>
                <w:vertAlign w:val="baseline"/>
              </w:rPr>
              <w:t>likely </w:t>
            </w:r>
            <w:r>
              <w:rPr>
                <w:sz w:val="22"/>
                <w:vertAlign w:val="baseline"/>
              </w:rPr>
              <w:t>to</w:t>
            </w:r>
            <w:r>
              <w:rPr>
                <w:spacing w:val="-16"/>
                <w:sz w:val="22"/>
                <w:vertAlign w:val="baseline"/>
              </w:rPr>
              <w:t> </w:t>
            </w:r>
            <w:r>
              <w:rPr>
                <w:sz w:val="22"/>
                <w:vertAlign w:val="baseline"/>
              </w:rPr>
              <w:t>be</w:t>
            </w:r>
            <w:r>
              <w:rPr>
                <w:spacing w:val="-14"/>
                <w:sz w:val="22"/>
                <w:vertAlign w:val="baseline"/>
              </w:rPr>
              <w:t> </w:t>
            </w:r>
            <w:r>
              <w:rPr>
                <w:sz w:val="22"/>
                <w:vertAlign w:val="baseline"/>
              </w:rPr>
              <w:t>secured</w:t>
            </w:r>
            <w:r>
              <w:rPr>
                <w:spacing w:val="-11"/>
                <w:sz w:val="22"/>
                <w:vertAlign w:val="baseline"/>
              </w:rPr>
              <w:t> </w:t>
            </w:r>
            <w:r>
              <w:rPr>
                <w:sz w:val="22"/>
                <w:vertAlign w:val="baseline"/>
              </w:rPr>
              <w:t>through</w:t>
            </w:r>
            <w:r>
              <w:rPr>
                <w:spacing w:val="-16"/>
                <w:sz w:val="22"/>
                <w:vertAlign w:val="baseline"/>
              </w:rPr>
              <w:t> </w:t>
            </w:r>
            <w:r>
              <w:rPr>
                <w:sz w:val="22"/>
                <w:vertAlign w:val="baseline"/>
              </w:rPr>
              <w:t>a</w:t>
            </w:r>
            <w:r>
              <w:rPr>
                <w:spacing w:val="-11"/>
                <w:sz w:val="22"/>
                <w:vertAlign w:val="baseline"/>
              </w:rPr>
              <w:t> </w:t>
            </w:r>
            <w:r>
              <w:rPr>
                <w:sz w:val="22"/>
                <w:vertAlign w:val="baseline"/>
              </w:rPr>
              <w:t>single</w:t>
            </w:r>
            <w:r>
              <w:rPr>
                <w:spacing w:val="-9"/>
                <w:sz w:val="22"/>
                <w:vertAlign w:val="baseline"/>
              </w:rPr>
              <w:t> </w:t>
            </w:r>
            <w:r>
              <w:rPr>
                <w:sz w:val="22"/>
                <w:vertAlign w:val="baseline"/>
              </w:rPr>
              <w:t>South</w:t>
            </w:r>
            <w:r>
              <w:rPr>
                <w:spacing w:val="-16"/>
                <w:sz w:val="22"/>
                <w:vertAlign w:val="baseline"/>
              </w:rPr>
              <w:t> </w:t>
            </w:r>
            <w:r>
              <w:rPr>
                <w:sz w:val="22"/>
                <w:vertAlign w:val="baseline"/>
              </w:rPr>
              <w:t>Wales</w:t>
            </w:r>
            <w:r>
              <w:rPr>
                <w:spacing w:val="-12"/>
                <w:sz w:val="22"/>
                <w:vertAlign w:val="baseline"/>
              </w:rPr>
              <w:t> </w:t>
            </w:r>
            <w:r>
              <w:rPr>
                <w:sz w:val="22"/>
                <w:vertAlign w:val="baseline"/>
              </w:rPr>
              <w:t>laboratory</w:t>
            </w:r>
            <w:r>
              <w:rPr>
                <w:spacing w:val="-16"/>
                <w:sz w:val="22"/>
                <w:vertAlign w:val="baseline"/>
              </w:rPr>
              <w:t> </w:t>
            </w:r>
            <w:r>
              <w:rPr>
                <w:sz w:val="22"/>
                <w:vertAlign w:val="baseline"/>
              </w:rPr>
              <w:t>development</w:t>
            </w:r>
            <w:r>
              <w:rPr>
                <w:spacing w:val="-14"/>
                <w:sz w:val="22"/>
                <w:vertAlign w:val="baseline"/>
              </w:rPr>
              <w:t> </w:t>
            </w:r>
            <w:r>
              <w:rPr>
                <w:sz w:val="22"/>
                <w:vertAlign w:val="baseline"/>
              </w:rPr>
              <w:t>rather</w:t>
            </w:r>
            <w:r>
              <w:rPr>
                <w:spacing w:val="-12"/>
                <w:sz w:val="22"/>
                <w:vertAlign w:val="baseline"/>
              </w:rPr>
              <w:t> </w:t>
            </w:r>
            <w:r>
              <w:rPr>
                <w:sz w:val="22"/>
                <w:vertAlign w:val="baseline"/>
              </w:rPr>
              <w:t>than</w:t>
            </w:r>
            <w:r>
              <w:rPr>
                <w:spacing w:val="-16"/>
                <w:sz w:val="22"/>
                <w:vertAlign w:val="baseline"/>
              </w:rPr>
              <w:t> </w:t>
            </w:r>
            <w:r>
              <w:rPr>
                <w:sz w:val="22"/>
                <w:vertAlign w:val="baseline"/>
              </w:rPr>
              <w:t>through</w:t>
            </w:r>
            <w:r>
              <w:rPr>
                <w:spacing w:val="-11"/>
                <w:sz w:val="22"/>
                <w:vertAlign w:val="baseline"/>
              </w:rPr>
              <w:t> </w:t>
            </w:r>
            <w:r>
              <w:rPr>
                <w:sz w:val="22"/>
                <w:vertAlign w:val="baseline"/>
              </w:rPr>
              <w:t>two</w:t>
            </w:r>
            <w:r>
              <w:rPr>
                <w:spacing w:val="-11"/>
                <w:sz w:val="22"/>
                <w:vertAlign w:val="baseline"/>
              </w:rPr>
              <w:t> </w:t>
            </w:r>
            <w:r>
              <w:rPr>
                <w:sz w:val="22"/>
                <w:vertAlign w:val="baseline"/>
              </w:rPr>
              <w:t>distinct regional</w:t>
            </w:r>
            <w:r>
              <w:rPr>
                <w:spacing w:val="-16"/>
                <w:sz w:val="22"/>
                <w:vertAlign w:val="baseline"/>
              </w:rPr>
              <w:t> </w:t>
            </w:r>
            <w:r>
              <w:rPr>
                <w:sz w:val="22"/>
                <w:vertAlign w:val="baseline"/>
              </w:rPr>
              <w:t>proposals.</w:t>
            </w:r>
            <w:r>
              <w:rPr>
                <w:spacing w:val="-15"/>
                <w:sz w:val="22"/>
                <w:vertAlign w:val="baseline"/>
              </w:rPr>
              <w:t> </w:t>
            </w:r>
            <w:r>
              <w:rPr>
                <w:sz w:val="22"/>
                <w:vertAlign w:val="baseline"/>
              </w:rPr>
              <w:t>To</w:t>
            </w:r>
            <w:r>
              <w:rPr>
                <w:spacing w:val="-11"/>
                <w:sz w:val="22"/>
                <w:vertAlign w:val="baseline"/>
              </w:rPr>
              <w:t> </w:t>
            </w:r>
            <w:r>
              <w:rPr>
                <w:sz w:val="22"/>
                <w:vertAlign w:val="baseline"/>
              </w:rPr>
              <w:t>support</w:t>
            </w:r>
            <w:r>
              <w:rPr>
                <w:spacing w:val="-10"/>
                <w:sz w:val="22"/>
                <w:vertAlign w:val="baseline"/>
              </w:rPr>
              <w:t> </w:t>
            </w:r>
            <w:r>
              <w:rPr>
                <w:sz w:val="22"/>
                <w:vertAlign w:val="baseline"/>
              </w:rPr>
              <w:t>the</w:t>
            </w:r>
            <w:r>
              <w:rPr>
                <w:spacing w:val="-15"/>
                <w:sz w:val="22"/>
                <w:vertAlign w:val="baseline"/>
              </w:rPr>
              <w:t> </w:t>
            </w:r>
            <w:r>
              <w:rPr>
                <w:sz w:val="22"/>
                <w:vertAlign w:val="baseline"/>
              </w:rPr>
              <w:t>discussion</w:t>
            </w:r>
            <w:r>
              <w:rPr>
                <w:spacing w:val="-15"/>
                <w:sz w:val="22"/>
                <w:vertAlign w:val="baseline"/>
              </w:rPr>
              <w:t> </w:t>
            </w:r>
            <w:r>
              <w:rPr>
                <w:sz w:val="22"/>
                <w:vertAlign w:val="baseline"/>
              </w:rPr>
              <w:t>a</w:t>
            </w:r>
            <w:r>
              <w:rPr>
                <w:spacing w:val="-8"/>
                <w:sz w:val="22"/>
                <w:vertAlign w:val="baseline"/>
              </w:rPr>
              <w:t> </w:t>
            </w:r>
            <w:r>
              <w:rPr>
                <w:sz w:val="22"/>
                <w:vertAlign w:val="baseline"/>
              </w:rPr>
              <w:t>brief</w:t>
            </w:r>
            <w:r>
              <w:rPr>
                <w:spacing w:val="-10"/>
                <w:sz w:val="22"/>
                <w:vertAlign w:val="baseline"/>
              </w:rPr>
              <w:t> </w:t>
            </w:r>
            <w:r>
              <w:rPr>
                <w:sz w:val="22"/>
                <w:vertAlign w:val="baseline"/>
              </w:rPr>
              <w:t>has</w:t>
            </w:r>
            <w:r>
              <w:rPr>
                <w:spacing w:val="-16"/>
                <w:sz w:val="22"/>
                <w:vertAlign w:val="baseline"/>
              </w:rPr>
              <w:t> </w:t>
            </w:r>
            <w:r>
              <w:rPr>
                <w:sz w:val="22"/>
                <w:vertAlign w:val="baseline"/>
              </w:rPr>
              <w:t>been</w:t>
            </w:r>
            <w:r>
              <w:rPr>
                <w:spacing w:val="-15"/>
                <w:sz w:val="22"/>
                <w:vertAlign w:val="baseline"/>
              </w:rPr>
              <w:t> </w:t>
            </w:r>
            <w:r>
              <w:rPr>
                <w:sz w:val="22"/>
                <w:vertAlign w:val="baseline"/>
              </w:rPr>
              <w:t>provided</w:t>
            </w:r>
            <w:r>
              <w:rPr>
                <w:spacing w:val="-11"/>
                <w:sz w:val="22"/>
                <w:vertAlign w:val="baseline"/>
              </w:rPr>
              <w:t> </w:t>
            </w:r>
            <w:r>
              <w:rPr>
                <w:sz w:val="22"/>
                <w:vertAlign w:val="baseline"/>
              </w:rPr>
              <w:t>to</w:t>
            </w:r>
            <w:r>
              <w:rPr>
                <w:spacing w:val="-11"/>
                <w:sz w:val="22"/>
                <w:vertAlign w:val="baseline"/>
              </w:rPr>
              <w:t> </w:t>
            </w:r>
            <w:r>
              <w:rPr>
                <w:sz w:val="22"/>
                <w:vertAlign w:val="baseline"/>
              </w:rPr>
              <w:t>the</w:t>
            </w:r>
            <w:r>
              <w:rPr>
                <w:spacing w:val="-11"/>
                <w:sz w:val="22"/>
                <w:vertAlign w:val="baseline"/>
              </w:rPr>
              <w:t> </w:t>
            </w:r>
            <w:r>
              <w:rPr>
                <w:sz w:val="22"/>
                <w:vertAlign w:val="baseline"/>
              </w:rPr>
              <w:t>two</w:t>
            </w:r>
            <w:r>
              <w:rPr>
                <w:spacing w:val="-11"/>
                <w:sz w:val="22"/>
                <w:vertAlign w:val="baseline"/>
              </w:rPr>
              <w:t> </w:t>
            </w:r>
            <w:r>
              <w:rPr>
                <w:sz w:val="22"/>
                <w:vertAlign w:val="baseline"/>
              </w:rPr>
              <w:t>Chief</w:t>
            </w:r>
            <w:r>
              <w:rPr>
                <w:spacing w:val="-15"/>
                <w:sz w:val="22"/>
                <w:vertAlign w:val="baseline"/>
              </w:rPr>
              <w:t> </w:t>
            </w:r>
            <w:r>
              <w:rPr>
                <w:sz w:val="22"/>
                <w:vertAlign w:val="baseline"/>
              </w:rPr>
              <w:t>Executives </w:t>
            </w:r>
            <w:r>
              <w:rPr>
                <w:spacing w:val="-2"/>
                <w:sz w:val="22"/>
                <w:vertAlign w:val="baseline"/>
              </w:rPr>
              <w:t>ahead</w:t>
            </w:r>
            <w:r>
              <w:rPr>
                <w:spacing w:val="-14"/>
                <w:sz w:val="22"/>
                <w:vertAlign w:val="baseline"/>
              </w:rPr>
              <w:t> </w:t>
            </w:r>
            <w:r>
              <w:rPr>
                <w:spacing w:val="-2"/>
                <w:sz w:val="22"/>
                <w:vertAlign w:val="baseline"/>
              </w:rPr>
              <w:t>of</w:t>
            </w:r>
            <w:r>
              <w:rPr>
                <w:spacing w:val="-13"/>
                <w:sz w:val="22"/>
                <w:vertAlign w:val="baseline"/>
              </w:rPr>
              <w:t> </w:t>
            </w:r>
            <w:r>
              <w:rPr>
                <w:spacing w:val="-2"/>
                <w:sz w:val="22"/>
                <w:vertAlign w:val="baseline"/>
              </w:rPr>
              <w:t>the</w:t>
            </w:r>
            <w:r>
              <w:rPr>
                <w:spacing w:val="-13"/>
                <w:sz w:val="22"/>
                <w:vertAlign w:val="baseline"/>
              </w:rPr>
              <w:t> </w:t>
            </w:r>
            <w:r>
              <w:rPr>
                <w:spacing w:val="-2"/>
                <w:sz w:val="22"/>
                <w:vertAlign w:val="baseline"/>
              </w:rPr>
              <w:t>CEMT</w:t>
            </w:r>
            <w:r>
              <w:rPr>
                <w:spacing w:val="-13"/>
                <w:sz w:val="22"/>
                <w:vertAlign w:val="baseline"/>
              </w:rPr>
              <w:t> </w:t>
            </w:r>
            <w:r>
              <w:rPr>
                <w:spacing w:val="-2"/>
                <w:sz w:val="22"/>
                <w:vertAlign w:val="baseline"/>
              </w:rPr>
              <w:t>meeting.</w:t>
            </w:r>
            <w:r>
              <w:rPr>
                <w:spacing w:val="-12"/>
                <w:sz w:val="22"/>
                <w:vertAlign w:val="baseline"/>
              </w:rPr>
              <w:t> </w:t>
            </w:r>
            <w:r>
              <w:rPr>
                <w:spacing w:val="-2"/>
                <w:sz w:val="22"/>
                <w:vertAlign w:val="baseline"/>
              </w:rPr>
              <w:t>While</w:t>
            </w:r>
            <w:r>
              <w:rPr>
                <w:spacing w:val="-9"/>
                <w:sz w:val="22"/>
                <w:vertAlign w:val="baseline"/>
              </w:rPr>
              <w:t> </w:t>
            </w:r>
            <w:r>
              <w:rPr>
                <w:spacing w:val="-2"/>
                <w:sz w:val="22"/>
                <w:vertAlign w:val="baseline"/>
              </w:rPr>
              <w:t>there</w:t>
            </w:r>
            <w:r>
              <w:rPr>
                <w:spacing w:val="-14"/>
                <w:sz w:val="22"/>
                <w:vertAlign w:val="baseline"/>
              </w:rPr>
              <w:t> </w:t>
            </w:r>
            <w:r>
              <w:rPr>
                <w:spacing w:val="-2"/>
                <w:sz w:val="22"/>
                <w:vertAlign w:val="baseline"/>
              </w:rPr>
              <w:t>are</w:t>
            </w:r>
            <w:r>
              <w:rPr>
                <w:spacing w:val="-9"/>
                <w:sz w:val="22"/>
                <w:vertAlign w:val="baseline"/>
              </w:rPr>
              <w:t> </w:t>
            </w:r>
            <w:r>
              <w:rPr>
                <w:spacing w:val="-2"/>
                <w:sz w:val="22"/>
                <w:vertAlign w:val="baseline"/>
              </w:rPr>
              <w:t>understandable</w:t>
            </w:r>
            <w:r>
              <w:rPr>
                <w:spacing w:val="-14"/>
                <w:sz w:val="22"/>
                <w:vertAlign w:val="baseline"/>
              </w:rPr>
              <w:t> </w:t>
            </w:r>
            <w:r>
              <w:rPr>
                <w:spacing w:val="-2"/>
                <w:sz w:val="22"/>
                <w:vertAlign w:val="baseline"/>
              </w:rPr>
              <w:t>reasons</w:t>
            </w:r>
            <w:r>
              <w:rPr>
                <w:spacing w:val="-13"/>
                <w:sz w:val="22"/>
                <w:vertAlign w:val="baseline"/>
              </w:rPr>
              <w:t> </w:t>
            </w:r>
            <w:r>
              <w:rPr>
                <w:spacing w:val="-2"/>
                <w:sz w:val="22"/>
                <w:vertAlign w:val="baseline"/>
              </w:rPr>
              <w:t>why</w:t>
            </w:r>
            <w:r>
              <w:rPr>
                <w:spacing w:val="-12"/>
                <w:sz w:val="22"/>
                <w:vertAlign w:val="baseline"/>
              </w:rPr>
              <w:t> </w:t>
            </w:r>
            <w:r>
              <w:rPr>
                <w:spacing w:val="-2"/>
                <w:sz w:val="22"/>
                <w:vertAlign w:val="baseline"/>
              </w:rPr>
              <w:t>a</w:t>
            </w:r>
            <w:r>
              <w:rPr>
                <w:spacing w:val="-9"/>
                <w:sz w:val="22"/>
                <w:vertAlign w:val="baseline"/>
              </w:rPr>
              <w:t> </w:t>
            </w:r>
            <w:r>
              <w:rPr>
                <w:spacing w:val="-2"/>
                <w:sz w:val="22"/>
                <w:vertAlign w:val="baseline"/>
              </w:rPr>
              <w:t>single</w:t>
            </w:r>
            <w:r>
              <w:rPr>
                <w:spacing w:val="-9"/>
                <w:sz w:val="22"/>
                <w:vertAlign w:val="baseline"/>
              </w:rPr>
              <w:t> </w:t>
            </w:r>
            <w:r>
              <w:rPr>
                <w:spacing w:val="-2"/>
                <w:sz w:val="22"/>
                <w:vertAlign w:val="baseline"/>
              </w:rPr>
              <w:t>South</w:t>
            </w:r>
            <w:r>
              <w:rPr>
                <w:spacing w:val="-14"/>
                <w:sz w:val="22"/>
                <w:vertAlign w:val="baseline"/>
              </w:rPr>
              <w:t> </w:t>
            </w:r>
            <w:r>
              <w:rPr>
                <w:spacing w:val="-2"/>
                <w:sz w:val="22"/>
                <w:vertAlign w:val="baseline"/>
              </w:rPr>
              <w:t>Wales</w:t>
            </w:r>
            <w:r>
              <w:rPr>
                <w:spacing w:val="-7"/>
                <w:sz w:val="22"/>
                <w:vertAlign w:val="baseline"/>
              </w:rPr>
              <w:t> </w:t>
            </w:r>
            <w:r>
              <w:rPr>
                <w:spacing w:val="-2"/>
                <w:sz w:val="22"/>
                <w:vertAlign w:val="baseline"/>
              </w:rPr>
              <w:t>facility </w:t>
            </w:r>
            <w:r>
              <w:rPr>
                <w:sz w:val="22"/>
                <w:vertAlign w:val="baseline"/>
              </w:rPr>
              <w:t>would</w:t>
            </w:r>
            <w:r>
              <w:rPr>
                <w:spacing w:val="-15"/>
                <w:sz w:val="22"/>
                <w:vertAlign w:val="baseline"/>
              </w:rPr>
              <w:t> </w:t>
            </w:r>
            <w:r>
              <w:rPr>
                <w:sz w:val="22"/>
                <w:vertAlign w:val="baseline"/>
              </w:rPr>
              <w:t>be</w:t>
            </w:r>
            <w:r>
              <w:rPr>
                <w:spacing w:val="-15"/>
                <w:sz w:val="22"/>
                <w:vertAlign w:val="baseline"/>
              </w:rPr>
              <w:t> </w:t>
            </w:r>
            <w:r>
              <w:rPr>
                <w:sz w:val="22"/>
                <w:vertAlign w:val="baseline"/>
              </w:rPr>
              <w:t>considered,</w:t>
            </w:r>
            <w:r>
              <w:rPr>
                <w:spacing w:val="-15"/>
                <w:sz w:val="22"/>
                <w:vertAlign w:val="baseline"/>
              </w:rPr>
              <w:t> </w:t>
            </w:r>
            <w:r>
              <w:rPr>
                <w:sz w:val="22"/>
                <w:vertAlign w:val="baseline"/>
              </w:rPr>
              <w:t>revisiting</w:t>
            </w:r>
            <w:r>
              <w:rPr>
                <w:spacing w:val="-15"/>
                <w:sz w:val="22"/>
                <w:vertAlign w:val="baseline"/>
              </w:rPr>
              <w:t> </w:t>
            </w:r>
            <w:r>
              <w:rPr>
                <w:sz w:val="22"/>
                <w:vertAlign w:val="baseline"/>
              </w:rPr>
              <w:t>this</w:t>
            </w:r>
            <w:r>
              <w:rPr>
                <w:spacing w:val="-14"/>
                <w:sz w:val="22"/>
                <w:vertAlign w:val="baseline"/>
              </w:rPr>
              <w:t> </w:t>
            </w:r>
            <w:r>
              <w:rPr>
                <w:sz w:val="22"/>
                <w:vertAlign w:val="baseline"/>
              </w:rPr>
              <w:t>question</w:t>
            </w:r>
            <w:r>
              <w:rPr>
                <w:spacing w:val="-11"/>
                <w:sz w:val="22"/>
                <w:vertAlign w:val="baseline"/>
              </w:rPr>
              <w:t> </w:t>
            </w:r>
            <w:r>
              <w:rPr>
                <w:sz w:val="22"/>
                <w:vertAlign w:val="baseline"/>
              </w:rPr>
              <w:t>at</w:t>
            </w:r>
            <w:r>
              <w:rPr>
                <w:spacing w:val="-15"/>
                <w:sz w:val="22"/>
                <w:vertAlign w:val="baseline"/>
              </w:rPr>
              <w:t> </w:t>
            </w:r>
            <w:r>
              <w:rPr>
                <w:sz w:val="22"/>
                <w:vertAlign w:val="baseline"/>
              </w:rPr>
              <w:t>this</w:t>
            </w:r>
            <w:r>
              <w:rPr>
                <w:spacing w:val="-14"/>
                <w:sz w:val="22"/>
                <w:vertAlign w:val="baseline"/>
              </w:rPr>
              <w:t> </w:t>
            </w:r>
            <w:r>
              <w:rPr>
                <w:sz w:val="22"/>
                <w:vertAlign w:val="baseline"/>
              </w:rPr>
              <w:t>stage</w:t>
            </w:r>
            <w:r>
              <w:rPr>
                <w:spacing w:val="-15"/>
                <w:sz w:val="22"/>
                <w:vertAlign w:val="baseline"/>
              </w:rPr>
              <w:t> </w:t>
            </w:r>
            <w:r>
              <w:rPr>
                <w:sz w:val="22"/>
                <w:vertAlign w:val="baseline"/>
              </w:rPr>
              <w:t>of</w:t>
            </w:r>
            <w:r>
              <w:rPr>
                <w:spacing w:val="-15"/>
                <w:sz w:val="22"/>
                <w:vertAlign w:val="baseline"/>
              </w:rPr>
              <w:t> </w:t>
            </w:r>
            <w:r>
              <w:rPr>
                <w:sz w:val="22"/>
                <w:vertAlign w:val="baseline"/>
              </w:rPr>
              <w:t>the</w:t>
            </w:r>
            <w:r>
              <w:rPr>
                <w:spacing w:val="-15"/>
                <w:sz w:val="22"/>
                <w:vertAlign w:val="baseline"/>
              </w:rPr>
              <w:t> </w:t>
            </w:r>
            <w:r>
              <w:rPr>
                <w:sz w:val="22"/>
                <w:vertAlign w:val="baseline"/>
              </w:rPr>
              <w:t>process</w:t>
            </w:r>
            <w:r>
              <w:rPr>
                <w:spacing w:val="-14"/>
                <w:sz w:val="22"/>
                <w:vertAlign w:val="baseline"/>
              </w:rPr>
              <w:t> </w:t>
            </w:r>
            <w:r>
              <w:rPr>
                <w:sz w:val="22"/>
                <w:vertAlign w:val="baseline"/>
              </w:rPr>
              <w:t>risks</w:t>
            </w:r>
            <w:r>
              <w:rPr>
                <w:spacing w:val="-14"/>
                <w:sz w:val="22"/>
                <w:vertAlign w:val="baseline"/>
              </w:rPr>
              <w:t> </w:t>
            </w:r>
            <w:r>
              <w:rPr>
                <w:sz w:val="22"/>
                <w:vertAlign w:val="baseline"/>
              </w:rPr>
              <w:t>significant</w:t>
            </w:r>
            <w:r>
              <w:rPr>
                <w:spacing w:val="-15"/>
                <w:sz w:val="22"/>
                <w:vertAlign w:val="baseline"/>
              </w:rPr>
              <w:t> </w:t>
            </w:r>
            <w:r>
              <w:rPr>
                <w:sz w:val="22"/>
                <w:vertAlign w:val="baseline"/>
              </w:rPr>
              <w:t>delay</w:t>
            </w:r>
            <w:r>
              <w:rPr>
                <w:spacing w:val="-6"/>
                <w:sz w:val="22"/>
                <w:vertAlign w:val="baseline"/>
              </w:rPr>
              <w:t> </w:t>
            </w:r>
            <w:r>
              <w:rPr>
                <w:sz w:val="22"/>
                <w:vertAlign w:val="baseline"/>
              </w:rPr>
              <w:t>to</w:t>
            </w:r>
            <w:r>
              <w:rPr>
                <w:spacing w:val="-11"/>
                <w:sz w:val="22"/>
                <w:vertAlign w:val="baseline"/>
              </w:rPr>
              <w:t> </w:t>
            </w:r>
            <w:r>
              <w:rPr>
                <w:sz w:val="22"/>
                <w:vertAlign w:val="baseline"/>
              </w:rPr>
              <w:t>the programme</w:t>
            </w:r>
            <w:r>
              <w:rPr>
                <w:spacing w:val="-10"/>
                <w:sz w:val="22"/>
                <w:vertAlign w:val="baseline"/>
              </w:rPr>
              <w:t> </w:t>
            </w:r>
            <w:r>
              <w:rPr>
                <w:sz w:val="22"/>
                <w:vertAlign w:val="baseline"/>
              </w:rPr>
              <w:t>and</w:t>
            </w:r>
            <w:r>
              <w:rPr>
                <w:spacing w:val="-5"/>
                <w:sz w:val="22"/>
                <w:vertAlign w:val="baseline"/>
              </w:rPr>
              <w:t> </w:t>
            </w:r>
            <w:r>
              <w:rPr>
                <w:sz w:val="22"/>
                <w:vertAlign w:val="baseline"/>
              </w:rPr>
              <w:t>the</w:t>
            </w:r>
            <w:r>
              <w:rPr>
                <w:spacing w:val="-10"/>
                <w:sz w:val="22"/>
                <w:vertAlign w:val="baseline"/>
              </w:rPr>
              <w:t> </w:t>
            </w:r>
            <w:r>
              <w:rPr>
                <w:sz w:val="22"/>
                <w:vertAlign w:val="baseline"/>
              </w:rPr>
              <w:t>mitigation</w:t>
            </w:r>
            <w:r>
              <w:rPr>
                <w:spacing w:val="-10"/>
                <w:sz w:val="22"/>
                <w:vertAlign w:val="baseline"/>
              </w:rPr>
              <w:t> </w:t>
            </w:r>
            <w:r>
              <w:rPr>
                <w:sz w:val="22"/>
                <w:vertAlign w:val="baseline"/>
              </w:rPr>
              <w:t>of</w:t>
            </w:r>
            <w:r>
              <w:rPr>
                <w:spacing w:val="-9"/>
                <w:sz w:val="22"/>
                <w:vertAlign w:val="baseline"/>
              </w:rPr>
              <w:t> </w:t>
            </w:r>
            <w:r>
              <w:rPr>
                <w:sz w:val="22"/>
                <w:vertAlign w:val="baseline"/>
              </w:rPr>
              <w:t>the</w:t>
            </w:r>
            <w:r>
              <w:rPr>
                <w:spacing w:val="-5"/>
                <w:sz w:val="22"/>
                <w:vertAlign w:val="baseline"/>
              </w:rPr>
              <w:t> </w:t>
            </w:r>
            <w:r>
              <w:rPr>
                <w:sz w:val="22"/>
                <w:vertAlign w:val="baseline"/>
              </w:rPr>
              <w:t>substantial</w:t>
            </w:r>
            <w:r>
              <w:rPr>
                <w:spacing w:val="-7"/>
                <w:sz w:val="22"/>
                <w:vertAlign w:val="baseline"/>
              </w:rPr>
              <w:t> </w:t>
            </w:r>
            <w:r>
              <w:rPr>
                <w:sz w:val="22"/>
                <w:vertAlign w:val="baseline"/>
              </w:rPr>
              <w:t>service</w:t>
            </w:r>
            <w:r>
              <w:rPr>
                <w:spacing w:val="-10"/>
                <w:sz w:val="22"/>
                <w:vertAlign w:val="baseline"/>
              </w:rPr>
              <w:t> </w:t>
            </w:r>
            <w:r>
              <w:rPr>
                <w:sz w:val="22"/>
                <w:vertAlign w:val="baseline"/>
              </w:rPr>
              <w:t>risks.</w:t>
            </w:r>
          </w:p>
          <w:p>
            <w:pPr>
              <w:pStyle w:val="TableParagraph"/>
              <w:spacing w:before="99"/>
              <w:rPr>
                <w:sz w:val="22"/>
              </w:rPr>
            </w:pPr>
          </w:p>
          <w:p>
            <w:pPr>
              <w:pStyle w:val="TableParagraph"/>
              <w:ind w:left="120"/>
              <w:rPr>
                <w:b/>
                <w:sz w:val="22"/>
              </w:rPr>
            </w:pPr>
            <w:r>
              <w:rPr>
                <w:b/>
                <w:color w:val="394871"/>
                <w:sz w:val="22"/>
              </w:rPr>
              <w:t>Capital</w:t>
            </w:r>
            <w:r>
              <w:rPr>
                <w:b/>
                <w:color w:val="394871"/>
                <w:spacing w:val="-3"/>
                <w:sz w:val="22"/>
              </w:rPr>
              <w:t> </w:t>
            </w:r>
            <w:r>
              <w:rPr>
                <w:b/>
                <w:color w:val="394871"/>
                <w:spacing w:val="-2"/>
                <w:sz w:val="22"/>
              </w:rPr>
              <w:t>Programme</w:t>
            </w:r>
          </w:p>
          <w:p>
            <w:pPr>
              <w:pStyle w:val="TableParagraph"/>
              <w:spacing w:line="276" w:lineRule="auto" w:before="37"/>
              <w:ind w:left="120" w:right="145"/>
              <w:rPr>
                <w:sz w:val="22"/>
              </w:rPr>
            </w:pPr>
            <w:r>
              <w:rPr>
                <w:color w:val="232323"/>
                <w:sz w:val="22"/>
              </w:rPr>
              <w:t>In February</w:t>
            </w:r>
            <w:r>
              <w:rPr>
                <w:color w:val="232323"/>
                <w:spacing w:val="-3"/>
                <w:sz w:val="22"/>
              </w:rPr>
              <w:t> </w:t>
            </w:r>
            <w:r>
              <w:rPr>
                <w:color w:val="232323"/>
                <w:sz w:val="22"/>
              </w:rPr>
              <w:t>2026,</w:t>
            </w:r>
            <w:r>
              <w:rPr>
                <w:color w:val="232323"/>
                <w:spacing w:val="-4"/>
                <w:sz w:val="22"/>
              </w:rPr>
              <w:t> </w:t>
            </w:r>
            <w:r>
              <w:rPr>
                <w:color w:val="232323"/>
                <w:sz w:val="22"/>
              </w:rPr>
              <w:t>the</w:t>
            </w:r>
            <w:r>
              <w:rPr>
                <w:color w:val="232323"/>
                <w:spacing w:val="-5"/>
                <w:sz w:val="22"/>
              </w:rPr>
              <w:t> </w:t>
            </w:r>
            <w:r>
              <w:rPr>
                <w:color w:val="232323"/>
                <w:sz w:val="22"/>
              </w:rPr>
              <w:t>preferred site was</w:t>
            </w:r>
            <w:r>
              <w:rPr>
                <w:color w:val="232323"/>
                <w:spacing w:val="-8"/>
                <w:sz w:val="22"/>
              </w:rPr>
              <w:t> </w:t>
            </w:r>
            <w:r>
              <w:rPr>
                <w:color w:val="232323"/>
                <w:sz w:val="22"/>
              </w:rPr>
              <w:t>agreed by</w:t>
            </w:r>
            <w:r>
              <w:rPr>
                <w:color w:val="232323"/>
                <w:spacing w:val="-8"/>
                <w:sz w:val="22"/>
              </w:rPr>
              <w:t> </w:t>
            </w:r>
            <w:r>
              <w:rPr>
                <w:color w:val="232323"/>
                <w:sz w:val="22"/>
              </w:rPr>
              <w:t>both Health Boards</w:t>
            </w:r>
            <w:r>
              <w:rPr>
                <w:color w:val="232323"/>
                <w:spacing w:val="-8"/>
                <w:sz w:val="22"/>
              </w:rPr>
              <w:t> </w:t>
            </w:r>
            <w:r>
              <w:rPr>
                <w:color w:val="232323"/>
                <w:sz w:val="22"/>
              </w:rPr>
              <w:t>at</w:t>
            </w:r>
            <w:r>
              <w:rPr>
                <w:color w:val="232323"/>
                <w:spacing w:val="-4"/>
                <w:sz w:val="22"/>
              </w:rPr>
              <w:t> </w:t>
            </w:r>
            <w:r>
              <w:rPr>
                <w:color w:val="232323"/>
                <w:sz w:val="22"/>
              </w:rPr>
              <w:t>the RJC</w:t>
            </w:r>
            <w:r>
              <w:rPr>
                <w:color w:val="232323"/>
                <w:spacing w:val="-6"/>
                <w:sz w:val="22"/>
              </w:rPr>
              <w:t> </w:t>
            </w:r>
            <w:r>
              <w:rPr>
                <w:color w:val="232323"/>
                <w:sz w:val="22"/>
              </w:rPr>
              <w:t>and subsequently a special Swansea Bay Board and an extraordinary Hywel Dda Board. This site is an existing building at Swansea University Bay Campus. There is a pre-design forecast outturn of £12.482m, including £7.511m works costs. This remains subject to design development, surveys, equipment decisions, procurement, and tendered cost validation.</w:t>
            </w:r>
          </w:p>
          <w:p>
            <w:pPr>
              <w:pStyle w:val="TableParagraph"/>
              <w:spacing w:line="276" w:lineRule="auto" w:before="101"/>
              <w:ind w:left="120"/>
              <w:rPr>
                <w:sz w:val="22"/>
              </w:rPr>
            </w:pPr>
            <w:r>
              <w:rPr>
                <w:color w:val="232323"/>
                <w:sz w:val="22"/>
              </w:rPr>
              <w:t>RIBA Stage 1 </w:t>
            </w:r>
            <w:r>
              <w:rPr>
                <w:color w:val="002351"/>
                <w:sz w:val="22"/>
              </w:rPr>
              <w:t>(setting the brief) </w:t>
            </w:r>
            <w:r>
              <w:rPr>
                <w:color w:val="232323"/>
                <w:sz w:val="22"/>
              </w:rPr>
              <w:t>is almost complete.</w:t>
            </w:r>
            <w:r>
              <w:rPr>
                <w:color w:val="232323"/>
                <w:spacing w:val="-3"/>
                <w:sz w:val="22"/>
              </w:rPr>
              <w:t> </w:t>
            </w:r>
            <w:r>
              <w:rPr>
                <w:color w:val="232323"/>
                <w:sz w:val="22"/>
              </w:rPr>
              <w:t>This involved several key stakeholder end-user meetings,</w:t>
            </w:r>
            <w:r>
              <w:rPr>
                <w:color w:val="232323"/>
                <w:spacing w:val="-6"/>
                <w:sz w:val="22"/>
              </w:rPr>
              <w:t> </w:t>
            </w:r>
            <w:r>
              <w:rPr>
                <w:color w:val="232323"/>
                <w:sz w:val="22"/>
              </w:rPr>
              <w:t>site</w:t>
            </w:r>
            <w:r>
              <w:rPr>
                <w:color w:val="232323"/>
                <w:spacing w:val="-3"/>
                <w:sz w:val="22"/>
              </w:rPr>
              <w:t> </w:t>
            </w:r>
            <w:r>
              <w:rPr>
                <w:color w:val="232323"/>
                <w:sz w:val="22"/>
              </w:rPr>
              <w:t>visits</w:t>
            </w:r>
            <w:r>
              <w:rPr>
                <w:color w:val="232323"/>
                <w:spacing w:val="-5"/>
                <w:sz w:val="22"/>
              </w:rPr>
              <w:t> </w:t>
            </w:r>
            <w:r>
              <w:rPr>
                <w:color w:val="232323"/>
                <w:sz w:val="22"/>
              </w:rPr>
              <w:t>and</w:t>
            </w:r>
            <w:r>
              <w:rPr>
                <w:color w:val="232323"/>
                <w:spacing w:val="-3"/>
                <w:sz w:val="22"/>
              </w:rPr>
              <w:t> </w:t>
            </w:r>
            <w:r>
              <w:rPr>
                <w:color w:val="232323"/>
                <w:sz w:val="22"/>
              </w:rPr>
              <w:t>design</w:t>
            </w:r>
            <w:r>
              <w:rPr>
                <w:color w:val="232323"/>
                <w:spacing w:val="-3"/>
                <w:sz w:val="22"/>
              </w:rPr>
              <w:t> </w:t>
            </w:r>
            <w:r>
              <w:rPr>
                <w:color w:val="232323"/>
                <w:sz w:val="22"/>
              </w:rPr>
              <w:t>development</w:t>
            </w:r>
            <w:r>
              <w:rPr>
                <w:color w:val="232323"/>
                <w:spacing w:val="-6"/>
                <w:sz w:val="22"/>
              </w:rPr>
              <w:t> </w:t>
            </w:r>
            <w:r>
              <w:rPr>
                <w:color w:val="232323"/>
                <w:sz w:val="22"/>
              </w:rPr>
              <w:t>workshops</w:t>
            </w:r>
            <w:r>
              <w:rPr>
                <w:color w:val="232323"/>
                <w:spacing w:val="-5"/>
                <w:sz w:val="22"/>
              </w:rPr>
              <w:t> </w:t>
            </w:r>
            <w:r>
              <w:rPr>
                <w:color w:val="232323"/>
                <w:sz w:val="22"/>
              </w:rPr>
              <w:t>which</w:t>
            </w:r>
            <w:r>
              <w:rPr>
                <w:color w:val="232323"/>
                <w:spacing w:val="-3"/>
                <w:sz w:val="22"/>
              </w:rPr>
              <w:t> </w:t>
            </w:r>
            <w:r>
              <w:rPr>
                <w:color w:val="232323"/>
                <w:sz w:val="22"/>
              </w:rPr>
              <w:t>have</w:t>
            </w:r>
            <w:r>
              <w:rPr>
                <w:color w:val="232323"/>
                <w:spacing w:val="-3"/>
                <w:sz w:val="22"/>
              </w:rPr>
              <w:t> </w:t>
            </w:r>
            <w:r>
              <w:rPr>
                <w:color w:val="232323"/>
                <w:sz w:val="22"/>
              </w:rPr>
              <w:t>informed</w:t>
            </w:r>
            <w:r>
              <w:rPr>
                <w:color w:val="232323"/>
                <w:spacing w:val="-3"/>
                <w:sz w:val="22"/>
              </w:rPr>
              <w:t> </w:t>
            </w:r>
            <w:r>
              <w:rPr>
                <w:color w:val="232323"/>
                <w:sz w:val="22"/>
              </w:rPr>
              <w:t>the</w:t>
            </w:r>
            <w:r>
              <w:rPr>
                <w:color w:val="232323"/>
                <w:spacing w:val="-7"/>
                <w:sz w:val="22"/>
              </w:rPr>
              <w:t> </w:t>
            </w:r>
            <w:r>
              <w:rPr>
                <w:color w:val="232323"/>
                <w:sz w:val="22"/>
              </w:rPr>
              <w:t>process</w:t>
            </w:r>
            <w:r>
              <w:rPr>
                <w:color w:val="232323"/>
                <w:spacing w:val="-5"/>
                <w:sz w:val="22"/>
              </w:rPr>
              <w:t> </w:t>
            </w:r>
            <w:r>
              <w:rPr>
                <w:color w:val="232323"/>
                <w:sz w:val="22"/>
              </w:rPr>
              <w:t>iteratively</w:t>
            </w:r>
          </w:p>
        </w:tc>
      </w:tr>
    </w:tbl>
    <w:p>
      <w:pPr>
        <w:pStyle w:val="BodyText"/>
        <w:spacing w:before="37"/>
        <w:rPr>
          <w:sz w:val="16"/>
        </w:rPr>
      </w:pPr>
    </w:p>
    <w:p>
      <w:pPr>
        <w:spacing w:before="0"/>
        <w:ind w:left="657" w:right="228" w:firstLine="0"/>
        <w:jc w:val="center"/>
        <w:rPr>
          <w:sz w:val="16"/>
        </w:rPr>
      </w:pPr>
      <w:r>
        <w:rPr>
          <w:spacing w:val="-2"/>
          <w:sz w:val="16"/>
        </w:rPr>
        <w:t>Page</w:t>
      </w:r>
      <w:r>
        <w:rPr>
          <w:spacing w:val="-7"/>
          <w:sz w:val="16"/>
        </w:rPr>
        <w:t> </w:t>
      </w:r>
      <w:r>
        <w:rPr>
          <w:spacing w:val="-2"/>
          <w:sz w:val="16"/>
        </w:rPr>
        <w:t>3</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35" name="Image 335"/>
            <wp:cNvGraphicFramePr>
              <a:graphicFrameLocks/>
            </wp:cNvGraphicFramePr>
            <a:graphic>
              <a:graphicData uri="http://schemas.openxmlformats.org/drawingml/2006/picture">
                <pic:pic>
                  <pic:nvPicPr>
                    <pic:cNvPr id="335" name="Image 335"/>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36" name="Image 336"/>
            <wp:cNvGraphicFramePr>
              <a:graphicFrameLocks/>
            </wp:cNvGraphicFramePr>
            <a:graphic>
              <a:graphicData uri="http://schemas.openxmlformats.org/drawingml/2006/picture">
                <pic:pic>
                  <pic:nvPicPr>
                    <pic:cNvPr id="336" name="Image 336"/>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9912" w:hRule="atLeast"/>
        </w:trPr>
        <w:tc>
          <w:tcPr>
            <w:tcW w:w="10069" w:type="dxa"/>
          </w:tcPr>
          <w:p>
            <w:pPr>
              <w:pStyle w:val="TableParagraph"/>
              <w:spacing w:line="276" w:lineRule="auto" w:before="98"/>
              <w:ind w:left="120" w:right="169"/>
              <w:rPr>
                <w:sz w:val="22"/>
              </w:rPr>
            </w:pPr>
            <w:r>
              <w:rPr>
                <w:color w:val="232323"/>
                <w:sz w:val="22"/>
              </w:rPr>
              <w:t>and further clarified design. The schedule of accommodation and laboratory layouts are being refined with service representatives. Current information indicates ground and first floor requirements, 13 clinical reading rooms capable of accommodating two occupants each, and potential</w:t>
            </w:r>
            <w:r>
              <w:rPr>
                <w:color w:val="232323"/>
                <w:spacing w:val="-4"/>
                <w:sz w:val="22"/>
              </w:rPr>
              <w:t> </w:t>
            </w:r>
            <w:r>
              <w:rPr>
                <w:color w:val="232323"/>
                <w:sz w:val="22"/>
              </w:rPr>
              <w:t>future</w:t>
            </w:r>
            <w:r>
              <w:rPr>
                <w:color w:val="232323"/>
                <w:spacing w:val="-2"/>
                <w:sz w:val="22"/>
              </w:rPr>
              <w:t> </w:t>
            </w:r>
            <w:r>
              <w:rPr>
                <w:color w:val="232323"/>
                <w:sz w:val="22"/>
              </w:rPr>
              <w:t>use</w:t>
            </w:r>
            <w:r>
              <w:rPr>
                <w:color w:val="232323"/>
                <w:spacing w:val="-2"/>
                <w:sz w:val="22"/>
              </w:rPr>
              <w:t> </w:t>
            </w:r>
            <w:r>
              <w:rPr>
                <w:color w:val="232323"/>
                <w:sz w:val="22"/>
              </w:rPr>
              <w:t>or</w:t>
            </w:r>
            <w:r>
              <w:rPr>
                <w:color w:val="232323"/>
                <w:spacing w:val="-3"/>
                <w:sz w:val="22"/>
              </w:rPr>
              <w:t> </w:t>
            </w:r>
            <w:r>
              <w:rPr>
                <w:color w:val="232323"/>
                <w:sz w:val="22"/>
              </w:rPr>
              <w:t>sub-letting</w:t>
            </w:r>
            <w:r>
              <w:rPr>
                <w:color w:val="232323"/>
                <w:spacing w:val="-7"/>
                <w:sz w:val="22"/>
              </w:rPr>
              <w:t> </w:t>
            </w:r>
            <w:r>
              <w:rPr>
                <w:color w:val="232323"/>
                <w:sz w:val="22"/>
              </w:rPr>
              <w:t>of</w:t>
            </w:r>
            <w:r>
              <w:rPr>
                <w:color w:val="232323"/>
                <w:spacing w:val="-6"/>
                <w:sz w:val="22"/>
              </w:rPr>
              <w:t> </w:t>
            </w:r>
            <w:r>
              <w:rPr>
                <w:color w:val="232323"/>
                <w:sz w:val="22"/>
              </w:rPr>
              <w:t>the</w:t>
            </w:r>
            <w:r>
              <w:rPr>
                <w:color w:val="232323"/>
                <w:spacing w:val="-2"/>
                <w:sz w:val="22"/>
              </w:rPr>
              <w:t> </w:t>
            </w:r>
            <w:r>
              <w:rPr>
                <w:color w:val="232323"/>
                <w:sz w:val="22"/>
              </w:rPr>
              <w:t>second</w:t>
            </w:r>
            <w:r>
              <w:rPr>
                <w:color w:val="232323"/>
                <w:spacing w:val="-2"/>
                <w:sz w:val="22"/>
              </w:rPr>
              <w:t> </w:t>
            </w:r>
            <w:r>
              <w:rPr>
                <w:color w:val="232323"/>
                <w:sz w:val="22"/>
              </w:rPr>
              <w:t>floor</w:t>
            </w:r>
            <w:r>
              <w:rPr>
                <w:color w:val="232323"/>
                <w:spacing w:val="-8"/>
                <w:sz w:val="22"/>
              </w:rPr>
              <w:t> </w:t>
            </w:r>
            <w:r>
              <w:rPr>
                <w:color w:val="232323"/>
                <w:sz w:val="22"/>
              </w:rPr>
              <w:t>to</w:t>
            </w:r>
            <w:r>
              <w:rPr>
                <w:color w:val="232323"/>
                <w:spacing w:val="-2"/>
                <w:sz w:val="22"/>
              </w:rPr>
              <w:t> </w:t>
            </w:r>
            <w:r>
              <w:rPr>
                <w:color w:val="232323"/>
                <w:sz w:val="22"/>
              </w:rPr>
              <w:t>mitigate</w:t>
            </w:r>
            <w:r>
              <w:rPr>
                <w:color w:val="232323"/>
                <w:spacing w:val="-2"/>
                <w:sz w:val="22"/>
              </w:rPr>
              <w:t> </w:t>
            </w:r>
            <w:r>
              <w:rPr>
                <w:color w:val="232323"/>
                <w:sz w:val="22"/>
              </w:rPr>
              <w:t>revenue</w:t>
            </w:r>
            <w:r>
              <w:rPr>
                <w:color w:val="232323"/>
                <w:spacing w:val="-2"/>
                <w:sz w:val="22"/>
              </w:rPr>
              <w:t> </w:t>
            </w:r>
            <w:r>
              <w:rPr>
                <w:color w:val="232323"/>
                <w:sz w:val="22"/>
              </w:rPr>
              <w:t>impact.</w:t>
            </w:r>
            <w:r>
              <w:rPr>
                <w:color w:val="232323"/>
                <w:spacing w:val="-6"/>
                <w:sz w:val="22"/>
              </w:rPr>
              <w:t> </w:t>
            </w:r>
            <w:r>
              <w:rPr>
                <w:color w:val="232323"/>
                <w:sz w:val="22"/>
              </w:rPr>
              <w:t>Once</w:t>
            </w:r>
            <w:r>
              <w:rPr>
                <w:color w:val="232323"/>
                <w:spacing w:val="-2"/>
                <w:sz w:val="22"/>
              </w:rPr>
              <w:t> </w:t>
            </w:r>
            <w:r>
              <w:rPr>
                <w:color w:val="232323"/>
                <w:sz w:val="22"/>
              </w:rPr>
              <w:t>the</w:t>
            </w:r>
            <w:r>
              <w:rPr>
                <w:color w:val="232323"/>
                <w:spacing w:val="-2"/>
                <w:sz w:val="22"/>
              </w:rPr>
              <w:t> </w:t>
            </w:r>
            <w:r>
              <w:rPr>
                <w:color w:val="232323"/>
                <w:sz w:val="22"/>
              </w:rPr>
              <w:t>laboratory footprint and clinical adjacencies have been agreed, and RIBA Stage 1 signed off, the project will progress into RIBA Stage 2 (outline design).</w:t>
            </w:r>
          </w:p>
          <w:p>
            <w:pPr>
              <w:pStyle w:val="TableParagraph"/>
              <w:spacing w:line="276" w:lineRule="auto" w:before="100"/>
              <w:ind w:left="120"/>
              <w:rPr>
                <w:sz w:val="22"/>
              </w:rPr>
            </w:pPr>
            <w:r>
              <w:rPr>
                <w:color w:val="232323"/>
                <w:sz w:val="22"/>
              </w:rPr>
              <w:t>Current technical matters include assessing roof replacement options, laboratory category specification,</w:t>
            </w:r>
            <w:r>
              <w:rPr>
                <w:color w:val="232323"/>
                <w:spacing w:val="-5"/>
                <w:sz w:val="22"/>
              </w:rPr>
              <w:t> </w:t>
            </w:r>
            <w:r>
              <w:rPr>
                <w:color w:val="232323"/>
                <w:sz w:val="22"/>
              </w:rPr>
              <w:t>building</w:t>
            </w:r>
            <w:r>
              <w:rPr>
                <w:color w:val="232323"/>
                <w:spacing w:val="-6"/>
                <w:sz w:val="22"/>
              </w:rPr>
              <w:t> </w:t>
            </w:r>
            <w:r>
              <w:rPr>
                <w:color w:val="232323"/>
                <w:sz w:val="22"/>
              </w:rPr>
              <w:t>regulations</w:t>
            </w:r>
            <w:r>
              <w:rPr>
                <w:color w:val="232323"/>
                <w:spacing w:val="-4"/>
                <w:sz w:val="22"/>
              </w:rPr>
              <w:t> </w:t>
            </w:r>
            <w:r>
              <w:rPr>
                <w:color w:val="232323"/>
                <w:sz w:val="22"/>
              </w:rPr>
              <w:t>requirements</w:t>
            </w:r>
            <w:r>
              <w:rPr>
                <w:color w:val="232323"/>
                <w:spacing w:val="-9"/>
                <w:sz w:val="22"/>
              </w:rPr>
              <w:t> </w:t>
            </w:r>
            <w:r>
              <w:rPr>
                <w:color w:val="232323"/>
                <w:sz w:val="22"/>
              </w:rPr>
              <w:t>effective</w:t>
            </w:r>
            <w:r>
              <w:rPr>
                <w:color w:val="232323"/>
                <w:spacing w:val="-1"/>
                <w:sz w:val="22"/>
              </w:rPr>
              <w:t> </w:t>
            </w:r>
            <w:r>
              <w:rPr>
                <w:color w:val="232323"/>
                <w:sz w:val="22"/>
              </w:rPr>
              <w:t>from</w:t>
            </w:r>
            <w:r>
              <w:rPr>
                <w:color w:val="232323"/>
                <w:spacing w:val="-7"/>
                <w:sz w:val="22"/>
              </w:rPr>
              <w:t> </w:t>
            </w:r>
            <w:r>
              <w:rPr>
                <w:color w:val="232323"/>
                <w:sz w:val="22"/>
              </w:rPr>
              <w:t>1</w:t>
            </w:r>
            <w:r>
              <w:rPr>
                <w:color w:val="232323"/>
                <w:spacing w:val="-1"/>
                <w:sz w:val="22"/>
              </w:rPr>
              <w:t> </w:t>
            </w:r>
            <w:r>
              <w:rPr>
                <w:color w:val="232323"/>
                <w:sz w:val="22"/>
              </w:rPr>
              <w:t>July</w:t>
            </w:r>
            <w:r>
              <w:rPr>
                <w:color w:val="232323"/>
                <w:spacing w:val="-4"/>
                <w:sz w:val="22"/>
              </w:rPr>
              <w:t> </w:t>
            </w:r>
            <w:r>
              <w:rPr>
                <w:color w:val="232323"/>
                <w:sz w:val="22"/>
              </w:rPr>
              <w:t>2026,</w:t>
            </w:r>
            <w:r>
              <w:rPr>
                <w:color w:val="232323"/>
                <w:spacing w:val="-5"/>
                <w:sz w:val="22"/>
              </w:rPr>
              <w:t> </w:t>
            </w:r>
            <w:r>
              <w:rPr>
                <w:color w:val="232323"/>
                <w:sz w:val="22"/>
              </w:rPr>
              <w:t>building</w:t>
            </w:r>
            <w:r>
              <w:rPr>
                <w:color w:val="232323"/>
                <w:spacing w:val="-6"/>
                <w:sz w:val="22"/>
              </w:rPr>
              <w:t> </w:t>
            </w:r>
            <w:r>
              <w:rPr>
                <w:color w:val="232323"/>
                <w:sz w:val="22"/>
              </w:rPr>
              <w:t>control</w:t>
            </w:r>
            <w:r>
              <w:rPr>
                <w:color w:val="232323"/>
                <w:spacing w:val="-3"/>
                <w:sz w:val="22"/>
              </w:rPr>
              <w:t> </w:t>
            </w:r>
            <w:r>
              <w:rPr>
                <w:color w:val="232323"/>
                <w:sz w:val="22"/>
              </w:rPr>
              <w:t>and</w:t>
            </w:r>
            <w:r>
              <w:rPr>
                <w:color w:val="232323"/>
                <w:spacing w:val="-1"/>
                <w:sz w:val="22"/>
              </w:rPr>
              <w:t> </w:t>
            </w:r>
            <w:r>
              <w:rPr>
                <w:color w:val="232323"/>
                <w:sz w:val="22"/>
              </w:rPr>
              <w:t>NEC supervisor appointments, IM&amp;T and digital infrastructure, equipment configuration, drainage and services, and the condition and apportionment of cost to support replacement of existing plant. The roof replacement is currently outside the agreed scope, pending evaluation.</w:t>
            </w:r>
          </w:p>
          <w:p>
            <w:pPr>
              <w:pStyle w:val="TableParagraph"/>
              <w:spacing w:line="276" w:lineRule="auto" w:before="101"/>
              <w:ind w:left="120" w:right="212"/>
              <w:rPr>
                <w:sz w:val="22"/>
              </w:rPr>
            </w:pPr>
            <w:r>
              <w:rPr>
                <w:color w:val="232323"/>
                <w:sz w:val="22"/>
              </w:rPr>
              <w:t>Draft Head of Terms</w:t>
            </w:r>
            <w:r>
              <w:rPr>
                <w:color w:val="232323"/>
                <w:spacing w:val="-4"/>
                <w:sz w:val="22"/>
              </w:rPr>
              <w:t> </w:t>
            </w:r>
            <w:r>
              <w:rPr>
                <w:color w:val="232323"/>
                <w:sz w:val="22"/>
              </w:rPr>
              <w:t>(HoTs) are under legal review. Matters still to be concluded include roof works and cost apportionment, the level of university strip-out and lease arrangements. Lease costs are agreed at</w:t>
            </w:r>
            <w:r>
              <w:rPr>
                <w:color w:val="232323"/>
                <w:spacing w:val="-4"/>
                <w:sz w:val="22"/>
              </w:rPr>
              <w:t> </w:t>
            </w:r>
            <w:r>
              <w:rPr>
                <w:color w:val="232323"/>
                <w:sz w:val="22"/>
              </w:rPr>
              <w:t>£16</w:t>
            </w:r>
            <w:r>
              <w:rPr>
                <w:color w:val="232323"/>
                <w:spacing w:val="-5"/>
                <w:sz w:val="22"/>
              </w:rPr>
              <w:t> </w:t>
            </w:r>
            <w:r>
              <w:rPr>
                <w:color w:val="232323"/>
                <w:sz w:val="22"/>
              </w:rPr>
              <w:t>per</w:t>
            </w:r>
            <w:r>
              <w:rPr>
                <w:color w:val="232323"/>
                <w:spacing w:val="-1"/>
                <w:sz w:val="22"/>
              </w:rPr>
              <w:t> </w:t>
            </w:r>
            <w:r>
              <w:rPr>
                <w:color w:val="232323"/>
                <w:sz w:val="22"/>
              </w:rPr>
              <w:t>sqft</w:t>
            </w:r>
            <w:r>
              <w:rPr>
                <w:color w:val="232323"/>
                <w:spacing w:val="-4"/>
                <w:sz w:val="22"/>
              </w:rPr>
              <w:t> </w:t>
            </w:r>
            <w:r>
              <w:rPr>
                <w:color w:val="232323"/>
                <w:sz w:val="22"/>
              </w:rPr>
              <w:t>and service charges</w:t>
            </w:r>
            <w:r>
              <w:rPr>
                <w:color w:val="232323"/>
                <w:spacing w:val="-8"/>
                <w:sz w:val="22"/>
              </w:rPr>
              <w:t> </w:t>
            </w:r>
            <w:r>
              <w:rPr>
                <w:color w:val="232323"/>
                <w:sz w:val="22"/>
              </w:rPr>
              <w:t>at</w:t>
            </w:r>
            <w:r>
              <w:rPr>
                <w:color w:val="232323"/>
                <w:spacing w:val="-4"/>
                <w:sz w:val="22"/>
              </w:rPr>
              <w:t> </w:t>
            </w:r>
            <w:r>
              <w:rPr>
                <w:color w:val="232323"/>
                <w:sz w:val="22"/>
              </w:rPr>
              <w:t>£4.50</w:t>
            </w:r>
            <w:r>
              <w:rPr>
                <w:color w:val="232323"/>
                <w:spacing w:val="-5"/>
                <w:sz w:val="22"/>
              </w:rPr>
              <w:t> </w:t>
            </w:r>
            <w:r>
              <w:rPr>
                <w:color w:val="232323"/>
                <w:sz w:val="22"/>
              </w:rPr>
              <w:t>per</w:t>
            </w:r>
            <w:r>
              <w:rPr>
                <w:color w:val="232323"/>
                <w:spacing w:val="-1"/>
                <w:sz w:val="22"/>
              </w:rPr>
              <w:t> </w:t>
            </w:r>
            <w:r>
              <w:rPr>
                <w:color w:val="232323"/>
                <w:sz w:val="22"/>
              </w:rPr>
              <w:t>sqft</w:t>
            </w:r>
            <w:r>
              <w:rPr>
                <w:color w:val="232323"/>
                <w:spacing w:val="-4"/>
                <w:sz w:val="22"/>
              </w:rPr>
              <w:t> </w:t>
            </w:r>
            <w:r>
              <w:rPr>
                <w:color w:val="232323"/>
                <w:sz w:val="22"/>
              </w:rPr>
              <w:t>over</w:t>
            </w:r>
            <w:r>
              <w:rPr>
                <w:color w:val="232323"/>
                <w:spacing w:val="-6"/>
                <w:sz w:val="22"/>
              </w:rPr>
              <w:t> </w:t>
            </w:r>
            <w:r>
              <w:rPr>
                <w:color w:val="232323"/>
                <w:sz w:val="22"/>
              </w:rPr>
              <w:t>an</w:t>
            </w:r>
            <w:r>
              <w:rPr>
                <w:color w:val="232323"/>
                <w:spacing w:val="-5"/>
                <w:sz w:val="22"/>
              </w:rPr>
              <w:t> </w:t>
            </w:r>
            <w:r>
              <w:rPr>
                <w:color w:val="232323"/>
                <w:sz w:val="22"/>
              </w:rPr>
              <w:t>area of</w:t>
            </w:r>
            <w:r>
              <w:rPr>
                <w:color w:val="232323"/>
                <w:spacing w:val="-4"/>
                <w:sz w:val="22"/>
              </w:rPr>
              <w:t> </w:t>
            </w:r>
            <w:r>
              <w:rPr>
                <w:color w:val="232323"/>
                <w:sz w:val="22"/>
              </w:rPr>
              <w:t>28,389 sqft</w:t>
            </w:r>
            <w:r>
              <w:rPr>
                <w:color w:val="232323"/>
                <w:spacing w:val="-4"/>
                <w:sz w:val="22"/>
              </w:rPr>
              <w:t> </w:t>
            </w:r>
            <w:r>
              <w:rPr>
                <w:color w:val="232323"/>
                <w:sz w:val="22"/>
              </w:rPr>
              <w:t>(2,637 m2). The requested additional three-month rent-free extension above the current 18-month rent-free period was declined (NB the rent-free period commences from Welsh Government approval of the business case).</w:t>
            </w:r>
          </w:p>
          <w:p>
            <w:pPr>
              <w:pStyle w:val="TableParagraph"/>
              <w:spacing w:line="276" w:lineRule="auto" w:before="100"/>
              <w:ind w:left="120" w:right="138"/>
              <w:rPr>
                <w:sz w:val="22"/>
              </w:rPr>
            </w:pPr>
            <w:r>
              <w:rPr>
                <w:color w:val="232323"/>
                <w:sz w:val="22"/>
              </w:rPr>
              <w:t>The proposed Containment Level (CL) for the Cytology Laboratory has been challenged by the service. The current scope includes CL2 space, while urgent work is developing the service justification, functional requirements, risk assessment for CL3 disease requirements, regulatory position</w:t>
            </w:r>
            <w:r>
              <w:rPr>
                <w:color w:val="232323"/>
                <w:spacing w:val="-7"/>
                <w:sz w:val="22"/>
              </w:rPr>
              <w:t> </w:t>
            </w:r>
            <w:r>
              <w:rPr>
                <w:color w:val="232323"/>
                <w:sz w:val="22"/>
              </w:rPr>
              <w:t>and</w:t>
            </w:r>
            <w:r>
              <w:rPr>
                <w:color w:val="232323"/>
                <w:spacing w:val="-2"/>
                <w:sz w:val="22"/>
              </w:rPr>
              <w:t> </w:t>
            </w:r>
            <w:r>
              <w:rPr>
                <w:color w:val="232323"/>
                <w:sz w:val="22"/>
              </w:rPr>
              <w:t>views</w:t>
            </w:r>
            <w:r>
              <w:rPr>
                <w:color w:val="232323"/>
                <w:spacing w:val="-5"/>
                <w:sz w:val="22"/>
              </w:rPr>
              <w:t> </w:t>
            </w:r>
            <w:r>
              <w:rPr>
                <w:color w:val="232323"/>
                <w:sz w:val="22"/>
              </w:rPr>
              <w:t>from</w:t>
            </w:r>
            <w:r>
              <w:rPr>
                <w:color w:val="232323"/>
                <w:spacing w:val="-3"/>
                <w:sz w:val="22"/>
              </w:rPr>
              <w:t> </w:t>
            </w:r>
            <w:r>
              <w:rPr>
                <w:color w:val="232323"/>
                <w:sz w:val="22"/>
              </w:rPr>
              <w:t>Public</w:t>
            </w:r>
            <w:r>
              <w:rPr>
                <w:color w:val="232323"/>
                <w:spacing w:val="-5"/>
                <w:sz w:val="22"/>
              </w:rPr>
              <w:t> </w:t>
            </w:r>
            <w:r>
              <w:rPr>
                <w:color w:val="232323"/>
                <w:sz w:val="22"/>
              </w:rPr>
              <w:t>Health</w:t>
            </w:r>
            <w:r>
              <w:rPr>
                <w:color w:val="232323"/>
                <w:spacing w:val="-2"/>
                <w:sz w:val="22"/>
              </w:rPr>
              <w:t> </w:t>
            </w:r>
            <w:r>
              <w:rPr>
                <w:color w:val="232323"/>
                <w:sz w:val="22"/>
              </w:rPr>
              <w:t>Wales</w:t>
            </w:r>
            <w:r>
              <w:rPr>
                <w:color w:val="232323"/>
                <w:spacing w:val="-9"/>
                <w:sz w:val="22"/>
              </w:rPr>
              <w:t> </w:t>
            </w:r>
            <w:r>
              <w:rPr>
                <w:color w:val="232323"/>
                <w:sz w:val="22"/>
              </w:rPr>
              <w:t>and</w:t>
            </w:r>
            <w:r>
              <w:rPr>
                <w:color w:val="232323"/>
                <w:spacing w:val="-2"/>
                <w:sz w:val="22"/>
              </w:rPr>
              <w:t> </w:t>
            </w:r>
            <w:r>
              <w:rPr>
                <w:color w:val="232323"/>
                <w:sz w:val="22"/>
              </w:rPr>
              <w:t>the</w:t>
            </w:r>
            <w:r>
              <w:rPr>
                <w:color w:val="232323"/>
                <w:spacing w:val="-2"/>
                <w:sz w:val="22"/>
              </w:rPr>
              <w:t> </w:t>
            </w:r>
            <w:r>
              <w:rPr>
                <w:color w:val="232323"/>
                <w:sz w:val="22"/>
              </w:rPr>
              <w:t>National</w:t>
            </w:r>
            <w:r>
              <w:rPr>
                <w:color w:val="232323"/>
                <w:spacing w:val="-4"/>
                <w:sz w:val="22"/>
              </w:rPr>
              <w:t> </w:t>
            </w:r>
            <w:r>
              <w:rPr>
                <w:color w:val="232323"/>
                <w:sz w:val="22"/>
              </w:rPr>
              <w:t>Programme.</w:t>
            </w:r>
            <w:r>
              <w:rPr>
                <w:color w:val="232323"/>
                <w:spacing w:val="-6"/>
                <w:sz w:val="22"/>
              </w:rPr>
              <w:t> </w:t>
            </w:r>
            <w:r>
              <w:rPr>
                <w:color w:val="232323"/>
                <w:sz w:val="22"/>
              </w:rPr>
              <w:t>A</w:t>
            </w:r>
            <w:r>
              <w:rPr>
                <w:color w:val="232323"/>
                <w:spacing w:val="-6"/>
                <w:sz w:val="22"/>
              </w:rPr>
              <w:t> </w:t>
            </w:r>
            <w:r>
              <w:rPr>
                <w:color w:val="232323"/>
                <w:sz w:val="22"/>
              </w:rPr>
              <w:t>firm</w:t>
            </w:r>
            <w:r>
              <w:rPr>
                <w:color w:val="232323"/>
                <w:spacing w:val="-3"/>
                <w:sz w:val="22"/>
              </w:rPr>
              <w:t> </w:t>
            </w:r>
            <w:r>
              <w:rPr>
                <w:color w:val="232323"/>
                <w:sz w:val="22"/>
              </w:rPr>
              <w:t>recommendation</w:t>
            </w:r>
            <w:r>
              <w:rPr>
                <w:color w:val="232323"/>
                <w:spacing w:val="-2"/>
                <w:sz w:val="22"/>
              </w:rPr>
              <w:t> </w:t>
            </w:r>
            <w:r>
              <w:rPr>
                <w:color w:val="232323"/>
                <w:sz w:val="22"/>
              </w:rPr>
              <w:t>is expected to be presented to the Steering Group on 12th October 2026. If accepted, this will</w:t>
            </w:r>
            <w:r>
              <w:rPr>
                <w:color w:val="232323"/>
                <w:sz w:val="22"/>
              </w:rPr>
              <w:t> represent an increase in scope.</w:t>
            </w:r>
          </w:p>
          <w:p>
            <w:pPr>
              <w:pStyle w:val="TableParagraph"/>
              <w:spacing w:line="276" w:lineRule="auto" w:before="100"/>
              <w:ind w:left="120" w:right="148"/>
              <w:rPr>
                <w:sz w:val="22"/>
              </w:rPr>
            </w:pPr>
            <w:r>
              <w:rPr>
                <w:color w:val="232323"/>
                <w:sz w:val="22"/>
              </w:rPr>
              <w:t>Current</w:t>
            </w:r>
            <w:r>
              <w:rPr>
                <w:color w:val="232323"/>
                <w:spacing w:val="-6"/>
                <w:sz w:val="22"/>
              </w:rPr>
              <w:t> </w:t>
            </w:r>
            <w:r>
              <w:rPr>
                <w:color w:val="232323"/>
                <w:sz w:val="22"/>
              </w:rPr>
              <w:t>equipment</w:t>
            </w:r>
            <w:r>
              <w:rPr>
                <w:color w:val="232323"/>
                <w:spacing w:val="-6"/>
                <w:sz w:val="22"/>
              </w:rPr>
              <w:t> </w:t>
            </w:r>
            <w:r>
              <w:rPr>
                <w:color w:val="232323"/>
                <w:sz w:val="22"/>
              </w:rPr>
              <w:t>specifications</w:t>
            </w:r>
            <w:r>
              <w:rPr>
                <w:color w:val="232323"/>
                <w:spacing w:val="-10"/>
                <w:sz w:val="22"/>
              </w:rPr>
              <w:t> </w:t>
            </w:r>
            <w:r>
              <w:rPr>
                <w:color w:val="232323"/>
                <w:sz w:val="22"/>
              </w:rPr>
              <w:t>have</w:t>
            </w:r>
            <w:r>
              <w:rPr>
                <w:color w:val="232323"/>
                <w:spacing w:val="-2"/>
                <w:sz w:val="22"/>
              </w:rPr>
              <w:t> </w:t>
            </w:r>
            <w:r>
              <w:rPr>
                <w:color w:val="232323"/>
                <w:sz w:val="22"/>
              </w:rPr>
              <w:t>been</w:t>
            </w:r>
            <w:r>
              <w:rPr>
                <w:color w:val="232323"/>
                <w:spacing w:val="-7"/>
                <w:sz w:val="22"/>
              </w:rPr>
              <w:t> </w:t>
            </w:r>
            <w:r>
              <w:rPr>
                <w:color w:val="232323"/>
                <w:sz w:val="22"/>
              </w:rPr>
              <w:t>provided</w:t>
            </w:r>
            <w:r>
              <w:rPr>
                <w:color w:val="232323"/>
                <w:spacing w:val="-2"/>
                <w:sz w:val="22"/>
              </w:rPr>
              <w:t> </w:t>
            </w:r>
            <w:r>
              <w:rPr>
                <w:color w:val="232323"/>
                <w:sz w:val="22"/>
              </w:rPr>
              <w:t>to</w:t>
            </w:r>
            <w:r>
              <w:rPr>
                <w:color w:val="232323"/>
                <w:spacing w:val="-2"/>
                <w:sz w:val="22"/>
              </w:rPr>
              <w:t> </w:t>
            </w:r>
            <w:r>
              <w:rPr>
                <w:color w:val="232323"/>
                <w:sz w:val="22"/>
              </w:rPr>
              <w:t>the</w:t>
            </w:r>
            <w:r>
              <w:rPr>
                <w:color w:val="232323"/>
                <w:spacing w:val="-2"/>
                <w:sz w:val="22"/>
              </w:rPr>
              <w:t> </w:t>
            </w:r>
            <w:r>
              <w:rPr>
                <w:color w:val="232323"/>
                <w:sz w:val="22"/>
              </w:rPr>
              <w:t>Supply</w:t>
            </w:r>
            <w:r>
              <w:rPr>
                <w:color w:val="232323"/>
                <w:spacing w:val="-5"/>
                <w:sz w:val="22"/>
              </w:rPr>
              <w:t> </w:t>
            </w:r>
            <w:r>
              <w:rPr>
                <w:color w:val="232323"/>
                <w:sz w:val="22"/>
              </w:rPr>
              <w:t>Chain Partner.</w:t>
            </w:r>
            <w:r>
              <w:rPr>
                <w:color w:val="232323"/>
                <w:spacing w:val="-4"/>
                <w:sz w:val="22"/>
              </w:rPr>
              <w:t> </w:t>
            </w:r>
            <w:r>
              <w:rPr>
                <w:color w:val="232323"/>
                <w:sz w:val="22"/>
              </w:rPr>
              <w:t>Future</w:t>
            </w:r>
            <w:r>
              <w:rPr>
                <w:color w:val="232323"/>
                <w:spacing w:val="-2"/>
                <w:sz w:val="22"/>
              </w:rPr>
              <w:t> </w:t>
            </w:r>
            <w:r>
              <w:rPr>
                <w:color w:val="232323"/>
                <w:sz w:val="22"/>
              </w:rPr>
              <w:t>equipment requirements remain dependent on emerging national Digital and Automated Microtomy</w:t>
            </w:r>
            <w:r>
              <w:rPr>
                <w:color w:val="232323"/>
                <w:spacing w:val="40"/>
                <w:sz w:val="22"/>
              </w:rPr>
              <w:t> </w:t>
            </w:r>
            <w:r>
              <w:rPr>
                <w:color w:val="232323"/>
                <w:sz w:val="22"/>
              </w:rPr>
              <w:t>programmes and agreement on the approach to equipping the consolidated service. This work is progressing through the Finance Project Team, led by procurement leads.</w:t>
            </w:r>
          </w:p>
          <w:p>
            <w:pPr>
              <w:pStyle w:val="TableParagraph"/>
              <w:spacing w:before="2"/>
              <w:ind w:left="120"/>
              <w:rPr>
                <w:sz w:val="22"/>
              </w:rPr>
            </w:pPr>
            <w:r>
              <w:rPr>
                <w:color w:val="232323"/>
                <w:sz w:val="22"/>
              </w:rPr>
              <w:t>Operational</w:t>
            </w:r>
            <w:r>
              <w:rPr>
                <w:color w:val="232323"/>
                <w:spacing w:val="-6"/>
                <w:sz w:val="22"/>
              </w:rPr>
              <w:t> </w:t>
            </w:r>
            <w:r>
              <w:rPr>
                <w:color w:val="232323"/>
                <w:sz w:val="22"/>
              </w:rPr>
              <w:t>availability</w:t>
            </w:r>
            <w:r>
              <w:rPr>
                <w:color w:val="232323"/>
                <w:spacing w:val="-6"/>
                <w:sz w:val="22"/>
              </w:rPr>
              <w:t> </w:t>
            </w:r>
            <w:r>
              <w:rPr>
                <w:color w:val="232323"/>
                <w:sz w:val="22"/>
              </w:rPr>
              <w:t>and</w:t>
            </w:r>
            <w:r>
              <w:rPr>
                <w:color w:val="232323"/>
                <w:spacing w:val="-4"/>
                <w:sz w:val="22"/>
              </w:rPr>
              <w:t> </w:t>
            </w:r>
            <w:r>
              <w:rPr>
                <w:color w:val="232323"/>
                <w:sz w:val="22"/>
              </w:rPr>
              <w:t>the</w:t>
            </w:r>
            <w:r>
              <w:rPr>
                <w:color w:val="232323"/>
                <w:spacing w:val="-8"/>
                <w:sz w:val="22"/>
              </w:rPr>
              <w:t> </w:t>
            </w:r>
            <w:r>
              <w:rPr>
                <w:color w:val="232323"/>
                <w:sz w:val="22"/>
              </w:rPr>
              <w:t>ambitious</w:t>
            </w:r>
            <w:r>
              <w:rPr>
                <w:color w:val="232323"/>
                <w:spacing w:val="-6"/>
                <w:sz w:val="22"/>
              </w:rPr>
              <w:t> </w:t>
            </w:r>
            <w:r>
              <w:rPr>
                <w:color w:val="232323"/>
                <w:sz w:val="22"/>
              </w:rPr>
              <w:t>timeline</w:t>
            </w:r>
            <w:r>
              <w:rPr>
                <w:color w:val="232323"/>
                <w:spacing w:val="-4"/>
                <w:sz w:val="22"/>
              </w:rPr>
              <w:t> </w:t>
            </w:r>
            <w:r>
              <w:rPr>
                <w:color w:val="232323"/>
                <w:sz w:val="22"/>
              </w:rPr>
              <w:t>for</w:t>
            </w:r>
            <w:r>
              <w:rPr>
                <w:color w:val="232323"/>
                <w:spacing w:val="-4"/>
                <w:sz w:val="22"/>
              </w:rPr>
              <w:t> </w:t>
            </w:r>
            <w:r>
              <w:rPr>
                <w:color w:val="232323"/>
                <w:sz w:val="22"/>
              </w:rPr>
              <w:t>constructor</w:t>
            </w:r>
            <w:r>
              <w:rPr>
                <w:color w:val="232323"/>
                <w:spacing w:val="-9"/>
                <w:sz w:val="22"/>
              </w:rPr>
              <w:t> </w:t>
            </w:r>
            <w:r>
              <w:rPr>
                <w:color w:val="232323"/>
                <w:sz w:val="22"/>
              </w:rPr>
              <w:t>outputs</w:t>
            </w:r>
            <w:r>
              <w:rPr>
                <w:color w:val="232323"/>
                <w:spacing w:val="-7"/>
                <w:sz w:val="22"/>
              </w:rPr>
              <w:t> </w:t>
            </w:r>
            <w:r>
              <w:rPr>
                <w:color w:val="232323"/>
                <w:sz w:val="22"/>
              </w:rPr>
              <w:t>remain</w:t>
            </w:r>
            <w:r>
              <w:rPr>
                <w:color w:val="232323"/>
                <w:spacing w:val="-3"/>
                <w:sz w:val="22"/>
              </w:rPr>
              <w:t> </w:t>
            </w:r>
            <w:r>
              <w:rPr>
                <w:color w:val="232323"/>
                <w:sz w:val="22"/>
              </w:rPr>
              <w:t>significant</w:t>
            </w:r>
            <w:r>
              <w:rPr>
                <w:color w:val="232323"/>
                <w:spacing w:val="-7"/>
                <w:sz w:val="22"/>
              </w:rPr>
              <w:t> </w:t>
            </w:r>
            <w:r>
              <w:rPr>
                <w:color w:val="232323"/>
                <w:spacing w:val="-2"/>
                <w:sz w:val="22"/>
              </w:rPr>
              <w:t>risks.</w:t>
            </w:r>
          </w:p>
          <w:p>
            <w:pPr>
              <w:pStyle w:val="TableParagraph"/>
              <w:spacing w:before="74"/>
              <w:rPr>
                <w:sz w:val="22"/>
              </w:rPr>
            </w:pPr>
          </w:p>
          <w:p>
            <w:pPr>
              <w:pStyle w:val="TableParagraph"/>
              <w:spacing w:line="278" w:lineRule="auto"/>
              <w:ind w:left="120" w:right="117"/>
              <w:rPr>
                <w:sz w:val="22"/>
              </w:rPr>
            </w:pPr>
            <w:r>
              <w:rPr>
                <w:color w:val="232323"/>
                <w:sz w:val="22"/>
              </w:rPr>
              <w:t>Existing</w:t>
            </w:r>
            <w:r>
              <w:rPr>
                <w:color w:val="232323"/>
                <w:spacing w:val="-6"/>
                <w:sz w:val="22"/>
              </w:rPr>
              <w:t> </w:t>
            </w:r>
            <w:r>
              <w:rPr>
                <w:color w:val="232323"/>
                <w:sz w:val="22"/>
              </w:rPr>
              <w:t>laboratory</w:t>
            </w:r>
            <w:r>
              <w:rPr>
                <w:color w:val="232323"/>
                <w:spacing w:val="-4"/>
                <w:sz w:val="22"/>
              </w:rPr>
              <w:t> </w:t>
            </w:r>
            <w:r>
              <w:rPr>
                <w:color w:val="232323"/>
                <w:sz w:val="22"/>
              </w:rPr>
              <w:t>site</w:t>
            </w:r>
            <w:r>
              <w:rPr>
                <w:color w:val="232323"/>
                <w:spacing w:val="-1"/>
                <w:sz w:val="22"/>
              </w:rPr>
              <w:t> </w:t>
            </w:r>
            <w:r>
              <w:rPr>
                <w:color w:val="232323"/>
                <w:sz w:val="22"/>
              </w:rPr>
              <w:t>visits</w:t>
            </w:r>
            <w:r>
              <w:rPr>
                <w:color w:val="232323"/>
                <w:spacing w:val="-4"/>
                <w:sz w:val="22"/>
              </w:rPr>
              <w:t> </w:t>
            </w:r>
            <w:r>
              <w:rPr>
                <w:color w:val="232323"/>
                <w:sz w:val="22"/>
              </w:rPr>
              <w:t>have</w:t>
            </w:r>
            <w:r>
              <w:rPr>
                <w:color w:val="232323"/>
                <w:spacing w:val="-1"/>
                <w:sz w:val="22"/>
              </w:rPr>
              <w:t> </w:t>
            </w:r>
            <w:r>
              <w:rPr>
                <w:color w:val="232323"/>
                <w:sz w:val="22"/>
              </w:rPr>
              <w:t>taken</w:t>
            </w:r>
            <w:r>
              <w:rPr>
                <w:color w:val="232323"/>
                <w:spacing w:val="-1"/>
                <w:sz w:val="22"/>
              </w:rPr>
              <w:t> </w:t>
            </w:r>
            <w:r>
              <w:rPr>
                <w:color w:val="232323"/>
                <w:sz w:val="22"/>
              </w:rPr>
              <w:t>place</w:t>
            </w:r>
            <w:r>
              <w:rPr>
                <w:color w:val="232323"/>
                <w:spacing w:val="-6"/>
                <w:sz w:val="22"/>
              </w:rPr>
              <w:t> </w:t>
            </w:r>
            <w:r>
              <w:rPr>
                <w:color w:val="232323"/>
                <w:sz w:val="22"/>
              </w:rPr>
              <w:t>during</w:t>
            </w:r>
            <w:r>
              <w:rPr>
                <w:color w:val="232323"/>
                <w:spacing w:val="-6"/>
                <w:sz w:val="22"/>
              </w:rPr>
              <w:t> </w:t>
            </w:r>
            <w:r>
              <w:rPr>
                <w:color w:val="232323"/>
                <w:sz w:val="22"/>
              </w:rPr>
              <w:t>August</w:t>
            </w:r>
            <w:r>
              <w:rPr>
                <w:color w:val="232323"/>
                <w:spacing w:val="-5"/>
                <w:sz w:val="22"/>
              </w:rPr>
              <w:t> </w:t>
            </w:r>
            <w:r>
              <w:rPr>
                <w:color w:val="232323"/>
                <w:sz w:val="22"/>
              </w:rPr>
              <w:t>and</w:t>
            </w:r>
            <w:r>
              <w:rPr>
                <w:color w:val="232323"/>
                <w:spacing w:val="-1"/>
                <w:sz w:val="22"/>
              </w:rPr>
              <w:t> </w:t>
            </w:r>
            <w:r>
              <w:rPr>
                <w:color w:val="232323"/>
                <w:sz w:val="22"/>
              </w:rPr>
              <w:t>September,</w:t>
            </w:r>
            <w:r>
              <w:rPr>
                <w:color w:val="232323"/>
                <w:spacing w:val="-5"/>
                <w:sz w:val="22"/>
              </w:rPr>
              <w:t> </w:t>
            </w:r>
            <w:r>
              <w:rPr>
                <w:color w:val="232323"/>
                <w:sz w:val="22"/>
              </w:rPr>
              <w:t>including</w:t>
            </w:r>
            <w:r>
              <w:rPr>
                <w:color w:val="232323"/>
                <w:spacing w:val="-6"/>
                <w:sz w:val="22"/>
              </w:rPr>
              <w:t> </w:t>
            </w:r>
            <w:r>
              <w:rPr>
                <w:color w:val="232323"/>
                <w:sz w:val="22"/>
              </w:rPr>
              <w:t>several</w:t>
            </w:r>
            <w:r>
              <w:rPr>
                <w:color w:val="232323"/>
                <w:spacing w:val="-3"/>
                <w:sz w:val="22"/>
              </w:rPr>
              <w:t> </w:t>
            </w:r>
            <w:r>
              <w:rPr>
                <w:color w:val="232323"/>
                <w:sz w:val="22"/>
              </w:rPr>
              <w:t>visits to the proposed new laboratory site to inform design specifications, functional adjacencies, key constraints and a high-level test-for-fit.</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68"/>
        <w:rPr>
          <w:sz w:val="16"/>
        </w:rPr>
      </w:pPr>
    </w:p>
    <w:p>
      <w:pPr>
        <w:spacing w:before="1"/>
        <w:ind w:left="657" w:right="228" w:firstLine="0"/>
        <w:jc w:val="center"/>
        <w:rPr>
          <w:sz w:val="16"/>
        </w:rPr>
      </w:pPr>
      <w:r>
        <w:rPr>
          <w:spacing w:val="-2"/>
          <w:sz w:val="16"/>
        </w:rPr>
        <w:t>Page</w:t>
      </w:r>
      <w:r>
        <w:rPr>
          <w:spacing w:val="-7"/>
          <w:sz w:val="16"/>
        </w:rPr>
        <w:t> </w:t>
      </w:r>
      <w:r>
        <w:rPr>
          <w:spacing w:val="-2"/>
          <w:sz w:val="16"/>
        </w:rPr>
        <w:t>4</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37" name="Image 337"/>
            <wp:cNvGraphicFramePr>
              <a:graphicFrameLocks/>
            </wp:cNvGraphicFramePr>
            <a:graphic>
              <a:graphicData uri="http://schemas.openxmlformats.org/drawingml/2006/picture">
                <pic:pic>
                  <pic:nvPicPr>
                    <pic:cNvPr id="337" name="Image 337"/>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38" name="Image 338"/>
            <wp:cNvGraphicFramePr>
              <a:graphicFrameLocks/>
            </wp:cNvGraphicFramePr>
            <a:graphic>
              <a:graphicData uri="http://schemas.openxmlformats.org/drawingml/2006/picture">
                <pic:pic>
                  <pic:nvPicPr>
                    <pic:cNvPr id="338" name="Image 338"/>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588" w:hRule="atLeast"/>
        </w:trPr>
        <w:tc>
          <w:tcPr>
            <w:tcW w:w="10069" w:type="dxa"/>
          </w:tcPr>
          <w:p>
            <w:pPr>
              <w:pStyle w:val="TableParagraph"/>
              <w:spacing w:before="170"/>
              <w:rPr>
                <w:sz w:val="20"/>
              </w:rPr>
            </w:pPr>
          </w:p>
          <w:p>
            <w:pPr>
              <w:pStyle w:val="TableParagraph"/>
              <w:ind w:left="349"/>
              <w:rPr>
                <w:sz w:val="20"/>
              </w:rPr>
            </w:pPr>
            <w:r>
              <w:rPr>
                <w:sz w:val="20"/>
              </w:rPr>
              <w:drawing>
                <wp:inline distT="0" distB="0" distL="0" distR="0">
                  <wp:extent cx="5939833" cy="3193256"/>
                  <wp:effectExtent l="0" t="0" r="0" b="0"/>
                  <wp:docPr id="339" name="Image 339"/>
                  <wp:cNvGraphicFramePr>
                    <a:graphicFrameLocks/>
                  </wp:cNvGraphicFramePr>
                  <a:graphic>
                    <a:graphicData uri="http://schemas.openxmlformats.org/drawingml/2006/picture">
                      <pic:pic>
                        <pic:nvPicPr>
                          <pic:cNvPr id="339" name="Image 339"/>
                          <pic:cNvPicPr/>
                        </pic:nvPicPr>
                        <pic:blipFill>
                          <a:blip r:embed="rId66" cstate="print"/>
                          <a:stretch>
                            <a:fillRect/>
                          </a:stretch>
                        </pic:blipFill>
                        <pic:spPr>
                          <a:xfrm>
                            <a:off x="0" y="0"/>
                            <a:ext cx="5939833" cy="3193256"/>
                          </a:xfrm>
                          <a:prstGeom prst="rect">
                            <a:avLst/>
                          </a:prstGeom>
                        </pic:spPr>
                      </pic:pic>
                    </a:graphicData>
                  </a:graphic>
                </wp:inline>
              </w:drawing>
            </w:r>
            <w:r>
              <w:rPr>
                <w:sz w:val="20"/>
              </w:rPr>
            </w:r>
          </w:p>
          <w:p>
            <w:pPr>
              <w:pStyle w:val="TableParagraph"/>
              <w:spacing w:line="580" w:lineRule="atLeast" w:before="33"/>
              <w:ind w:left="120" w:right="6022"/>
              <w:rPr>
                <w:b/>
                <w:sz w:val="22"/>
              </w:rPr>
            </w:pPr>
            <w:r>
              <w:rPr>
                <w:color w:val="232323"/>
                <w:sz w:val="22"/>
              </w:rPr>
              <w:t>File</w:t>
            </w:r>
            <w:r>
              <w:rPr>
                <w:color w:val="232323"/>
                <w:spacing w:val="-8"/>
                <w:sz w:val="22"/>
              </w:rPr>
              <w:t> </w:t>
            </w:r>
            <w:r>
              <w:rPr>
                <w:color w:val="232323"/>
                <w:sz w:val="22"/>
              </w:rPr>
              <w:t>available</w:t>
            </w:r>
            <w:r>
              <w:rPr>
                <w:color w:val="232323"/>
                <w:spacing w:val="-5"/>
                <w:sz w:val="22"/>
              </w:rPr>
              <w:t> </w:t>
            </w:r>
            <w:r>
              <w:rPr>
                <w:color w:val="232323"/>
                <w:sz w:val="22"/>
              </w:rPr>
              <w:t>in</w:t>
            </w:r>
            <w:r>
              <w:rPr>
                <w:color w:val="232323"/>
                <w:spacing w:val="-8"/>
                <w:sz w:val="22"/>
              </w:rPr>
              <w:t> </w:t>
            </w:r>
            <w:r>
              <w:rPr>
                <w:color w:val="232323"/>
                <w:sz w:val="22"/>
              </w:rPr>
              <w:t>larger</w:t>
            </w:r>
            <w:r>
              <w:rPr>
                <w:color w:val="232323"/>
                <w:spacing w:val="-7"/>
                <w:sz w:val="22"/>
              </w:rPr>
              <w:t> </w:t>
            </w:r>
            <w:r>
              <w:rPr>
                <w:color w:val="232323"/>
                <w:sz w:val="22"/>
              </w:rPr>
              <w:t>view</w:t>
            </w:r>
            <w:r>
              <w:rPr>
                <w:color w:val="232323"/>
                <w:spacing w:val="-9"/>
                <w:sz w:val="22"/>
              </w:rPr>
              <w:t> </w:t>
            </w:r>
            <w:r>
              <w:rPr>
                <w:b/>
                <w:color w:val="1F487C"/>
                <w:sz w:val="22"/>
                <w:u w:val="single" w:color="1F487C"/>
              </w:rPr>
              <w:t>here</w:t>
            </w:r>
            <w:r>
              <w:rPr>
                <w:b/>
                <w:color w:val="232323"/>
                <w:sz w:val="22"/>
                <w:u w:val="none"/>
              </w:rPr>
              <w:t>. </w:t>
            </w:r>
            <w:r>
              <w:rPr>
                <w:b/>
                <w:color w:val="1F487C"/>
                <w:sz w:val="22"/>
                <w:u w:val="none"/>
              </w:rPr>
              <w:t>Project Risks</w:t>
            </w:r>
          </w:p>
          <w:p>
            <w:pPr>
              <w:pStyle w:val="TableParagraph"/>
              <w:spacing w:before="43"/>
              <w:ind w:left="120"/>
              <w:rPr>
                <w:sz w:val="22"/>
              </w:rPr>
            </w:pPr>
            <w:r>
              <w:rPr>
                <w:color w:val="232323"/>
                <w:sz w:val="22"/>
              </w:rPr>
              <w:t>The</w:t>
            </w:r>
            <w:r>
              <w:rPr>
                <w:color w:val="232323"/>
                <w:spacing w:val="-2"/>
                <w:sz w:val="22"/>
              </w:rPr>
              <w:t> </w:t>
            </w:r>
            <w:r>
              <w:rPr>
                <w:color w:val="232323"/>
                <w:sz w:val="22"/>
              </w:rPr>
              <w:t>strategic</w:t>
            </w:r>
            <w:r>
              <w:rPr>
                <w:color w:val="232323"/>
                <w:spacing w:val="-3"/>
                <w:sz w:val="22"/>
              </w:rPr>
              <w:t> </w:t>
            </w:r>
            <w:r>
              <w:rPr>
                <w:color w:val="232323"/>
                <w:sz w:val="22"/>
              </w:rPr>
              <w:t>project</w:t>
            </w:r>
            <w:r>
              <w:rPr>
                <w:color w:val="232323"/>
                <w:spacing w:val="-4"/>
                <w:sz w:val="22"/>
              </w:rPr>
              <w:t> </w:t>
            </w:r>
            <w:r>
              <w:rPr>
                <w:color w:val="232323"/>
                <w:sz w:val="22"/>
              </w:rPr>
              <w:t>risks</w:t>
            </w:r>
            <w:r>
              <w:rPr>
                <w:color w:val="232323"/>
                <w:spacing w:val="-3"/>
                <w:sz w:val="22"/>
              </w:rPr>
              <w:t> </w:t>
            </w:r>
            <w:r>
              <w:rPr>
                <w:color w:val="232323"/>
                <w:sz w:val="22"/>
              </w:rPr>
              <w:t>identified</w:t>
            </w:r>
            <w:r>
              <w:rPr>
                <w:color w:val="232323"/>
                <w:spacing w:val="-5"/>
                <w:sz w:val="22"/>
              </w:rPr>
              <w:t> </w:t>
            </w:r>
            <w:r>
              <w:rPr>
                <w:color w:val="232323"/>
                <w:sz w:val="22"/>
              </w:rPr>
              <w:t>as</w:t>
            </w:r>
            <w:r>
              <w:rPr>
                <w:color w:val="232323"/>
                <w:spacing w:val="-3"/>
                <w:sz w:val="22"/>
              </w:rPr>
              <w:t> </w:t>
            </w:r>
            <w:r>
              <w:rPr>
                <w:color w:val="232323"/>
                <w:sz w:val="22"/>
              </w:rPr>
              <w:t>16 or</w:t>
            </w:r>
            <w:r>
              <w:rPr>
                <w:color w:val="232323"/>
                <w:spacing w:val="-1"/>
                <w:sz w:val="22"/>
              </w:rPr>
              <w:t> </w:t>
            </w:r>
            <w:r>
              <w:rPr>
                <w:color w:val="232323"/>
                <w:sz w:val="22"/>
              </w:rPr>
              <w:t>above</w:t>
            </w:r>
            <w:r>
              <w:rPr>
                <w:color w:val="232323"/>
                <w:spacing w:val="-5"/>
                <w:sz w:val="22"/>
              </w:rPr>
              <w:t> </w:t>
            </w:r>
            <w:r>
              <w:rPr>
                <w:color w:val="232323"/>
                <w:sz w:val="22"/>
              </w:rPr>
              <w:t>are</w:t>
            </w:r>
            <w:r>
              <w:rPr>
                <w:color w:val="232323"/>
                <w:spacing w:val="-5"/>
                <w:sz w:val="22"/>
              </w:rPr>
              <w:t> </w:t>
            </w:r>
            <w:r>
              <w:rPr>
                <w:color w:val="232323"/>
                <w:sz w:val="22"/>
              </w:rPr>
              <w:t>as</w:t>
            </w:r>
            <w:r>
              <w:rPr>
                <w:color w:val="232323"/>
                <w:spacing w:val="-2"/>
                <w:sz w:val="22"/>
              </w:rPr>
              <w:t> follows:</w:t>
            </w:r>
          </w:p>
        </w:tc>
      </w:tr>
    </w:tbl>
    <w:p>
      <w:pPr>
        <w:pStyle w:val="BodyText"/>
        <w:spacing w:before="92"/>
        <w:rPr>
          <w:sz w:val="16"/>
        </w:rPr>
      </w:pPr>
    </w:p>
    <w:p>
      <w:pPr>
        <w:spacing w:before="0"/>
        <w:ind w:left="657" w:right="228" w:firstLine="0"/>
        <w:jc w:val="center"/>
        <w:rPr>
          <w:sz w:val="16"/>
        </w:rPr>
      </w:pPr>
      <w:r>
        <w:rPr>
          <w:sz w:val="16"/>
        </w:rPr>
        <mc:AlternateContent>
          <mc:Choice Requires="wps">
            <w:drawing>
              <wp:anchor distT="0" distB="0" distL="0" distR="0" allowOverlap="1" layoutInCell="1" locked="0" behindDoc="0" simplePos="0" relativeHeight="15781376">
                <wp:simplePos x="0" y="0"/>
                <wp:positionH relativeFrom="page">
                  <wp:posOffset>622617</wp:posOffset>
                </wp:positionH>
                <wp:positionV relativeFrom="paragraph">
                  <wp:posOffset>-4833356</wp:posOffset>
                </wp:positionV>
                <wp:extent cx="6203950" cy="3968115"/>
                <wp:effectExtent l="0" t="0" r="0" b="0"/>
                <wp:wrapNone/>
                <wp:docPr id="340" name="Textbox 340"/>
                <wp:cNvGraphicFramePr>
                  <a:graphicFrameLocks/>
                </wp:cNvGraphicFramePr>
                <a:graphic>
                  <a:graphicData uri="http://schemas.microsoft.com/office/word/2010/wordprocessingShape">
                    <wps:wsp>
                      <wps:cNvPr id="340" name="Textbox 340"/>
                      <wps:cNvSpPr txBox="1"/>
                      <wps:spPr>
                        <a:xfrm>
                          <a:off x="0" y="0"/>
                          <a:ext cx="6203950" cy="396811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68"/>
                              <w:gridCol w:w="1286"/>
                              <w:gridCol w:w="870"/>
                              <w:gridCol w:w="1916"/>
                            </w:tblGrid>
                            <w:tr>
                              <w:trPr>
                                <w:trHeight w:val="375" w:hRule="atLeast"/>
                              </w:trPr>
                              <w:tc>
                                <w:tcPr>
                                  <w:tcW w:w="5568" w:type="dxa"/>
                                </w:tcPr>
                                <w:p>
                                  <w:pPr>
                                    <w:pStyle w:val="TableParagraph"/>
                                    <w:spacing w:before="13"/>
                                    <w:ind w:left="15"/>
                                    <w:rPr>
                                      <w:b/>
                                      <w:sz w:val="22"/>
                                    </w:rPr>
                                  </w:pPr>
                                  <w:r>
                                    <w:rPr>
                                      <w:b/>
                                      <w:color w:val="232323"/>
                                      <w:sz w:val="22"/>
                                    </w:rPr>
                                    <w:t>Risk</w:t>
                                  </w:r>
                                  <w:r>
                                    <w:rPr>
                                      <w:b/>
                                      <w:color w:val="232323"/>
                                      <w:spacing w:val="1"/>
                                      <w:sz w:val="22"/>
                                    </w:rPr>
                                    <w:t> </w:t>
                                  </w:r>
                                  <w:r>
                                    <w:rPr>
                                      <w:b/>
                                      <w:color w:val="232323"/>
                                      <w:spacing w:val="-2"/>
                                      <w:sz w:val="22"/>
                                    </w:rPr>
                                    <w:t>Description</w:t>
                                  </w:r>
                                </w:p>
                              </w:tc>
                              <w:tc>
                                <w:tcPr>
                                  <w:tcW w:w="1286" w:type="dxa"/>
                                </w:tcPr>
                                <w:p>
                                  <w:pPr>
                                    <w:pStyle w:val="TableParagraph"/>
                                    <w:spacing w:before="13"/>
                                    <w:ind w:left="9"/>
                                    <w:jc w:val="center"/>
                                    <w:rPr>
                                      <w:b/>
                                      <w:sz w:val="22"/>
                                    </w:rPr>
                                  </w:pPr>
                                  <w:r>
                                    <w:rPr>
                                      <w:b/>
                                      <w:color w:val="232323"/>
                                      <w:spacing w:val="-2"/>
                                      <w:sz w:val="22"/>
                                    </w:rPr>
                                    <w:t>Probability</w:t>
                                  </w:r>
                                </w:p>
                              </w:tc>
                              <w:tc>
                                <w:tcPr>
                                  <w:tcW w:w="870" w:type="dxa"/>
                                </w:tcPr>
                                <w:p>
                                  <w:pPr>
                                    <w:pStyle w:val="TableParagraph"/>
                                    <w:spacing w:before="13"/>
                                    <w:jc w:val="center"/>
                                    <w:rPr>
                                      <w:b/>
                                      <w:sz w:val="22"/>
                                    </w:rPr>
                                  </w:pPr>
                                  <w:r>
                                    <w:rPr>
                                      <w:b/>
                                      <w:color w:val="232323"/>
                                      <w:spacing w:val="-2"/>
                                      <w:sz w:val="22"/>
                                    </w:rPr>
                                    <w:t>Impact</w:t>
                                  </w:r>
                                </w:p>
                              </w:tc>
                              <w:tc>
                                <w:tcPr>
                                  <w:tcW w:w="1916" w:type="dxa"/>
                                </w:tcPr>
                                <w:p>
                                  <w:pPr>
                                    <w:pStyle w:val="TableParagraph"/>
                                    <w:spacing w:before="13"/>
                                    <w:ind w:left="14"/>
                                    <w:jc w:val="center"/>
                                    <w:rPr>
                                      <w:b/>
                                      <w:sz w:val="22"/>
                                    </w:rPr>
                                  </w:pPr>
                                  <w:r>
                                    <w:rPr>
                                      <w:b/>
                                      <w:color w:val="232323"/>
                                      <w:spacing w:val="-4"/>
                                      <w:sz w:val="22"/>
                                    </w:rPr>
                                    <w:t>Score</w:t>
                                  </w:r>
                                </w:p>
                              </w:tc>
                            </w:tr>
                            <w:tr>
                              <w:trPr>
                                <w:trHeight w:val="595" w:hRule="atLeast"/>
                              </w:trPr>
                              <w:tc>
                                <w:tcPr>
                                  <w:tcW w:w="5568" w:type="dxa"/>
                                </w:tcPr>
                                <w:p>
                                  <w:pPr>
                                    <w:pStyle w:val="TableParagraph"/>
                                    <w:spacing w:before="13"/>
                                    <w:ind w:left="15"/>
                                    <w:rPr>
                                      <w:sz w:val="22"/>
                                    </w:rPr>
                                  </w:pPr>
                                  <w:r>
                                    <w:rPr>
                                      <w:color w:val="232323"/>
                                      <w:sz w:val="22"/>
                                    </w:rPr>
                                    <w:t>Risk</w:t>
                                  </w:r>
                                  <w:r>
                                    <w:rPr>
                                      <w:color w:val="232323"/>
                                      <w:spacing w:val="-4"/>
                                      <w:sz w:val="22"/>
                                    </w:rPr>
                                    <w:t> </w:t>
                                  </w:r>
                                  <w:r>
                                    <w:rPr>
                                      <w:color w:val="232323"/>
                                      <w:sz w:val="22"/>
                                    </w:rPr>
                                    <w:t>the</w:t>
                                  </w:r>
                                  <w:r>
                                    <w:rPr>
                                      <w:color w:val="232323"/>
                                      <w:spacing w:val="-2"/>
                                      <w:sz w:val="22"/>
                                    </w:rPr>
                                    <w:t> </w:t>
                                  </w:r>
                                  <w:r>
                                    <w:rPr>
                                      <w:color w:val="232323"/>
                                      <w:sz w:val="22"/>
                                    </w:rPr>
                                    <w:t>resource</w:t>
                                  </w:r>
                                  <w:r>
                                    <w:rPr>
                                      <w:color w:val="232323"/>
                                      <w:spacing w:val="-1"/>
                                      <w:sz w:val="22"/>
                                    </w:rPr>
                                    <w:t> </w:t>
                                  </w:r>
                                  <w:r>
                                    <w:rPr>
                                      <w:color w:val="232323"/>
                                      <w:sz w:val="22"/>
                                    </w:rPr>
                                    <w:t>schedule</w:t>
                                  </w:r>
                                  <w:r>
                                    <w:rPr>
                                      <w:color w:val="232323"/>
                                      <w:spacing w:val="-1"/>
                                      <w:sz w:val="22"/>
                                    </w:rPr>
                                    <w:t> </w:t>
                                  </w:r>
                                  <w:r>
                                    <w:rPr>
                                      <w:color w:val="232323"/>
                                      <w:sz w:val="22"/>
                                    </w:rPr>
                                    <w:t>to</w:t>
                                  </w:r>
                                  <w:r>
                                    <w:rPr>
                                      <w:color w:val="232323"/>
                                      <w:spacing w:val="-1"/>
                                      <w:sz w:val="22"/>
                                    </w:rPr>
                                    <w:t> </w:t>
                                  </w:r>
                                  <w:r>
                                    <w:rPr>
                                      <w:color w:val="232323"/>
                                      <w:sz w:val="22"/>
                                    </w:rPr>
                                    <w:t>support</w:t>
                                  </w:r>
                                  <w:r>
                                    <w:rPr>
                                      <w:color w:val="232323"/>
                                      <w:spacing w:val="-5"/>
                                      <w:sz w:val="22"/>
                                    </w:rPr>
                                    <w:t> </w:t>
                                  </w:r>
                                  <w:r>
                                    <w:rPr>
                                      <w:color w:val="232323"/>
                                      <w:sz w:val="22"/>
                                    </w:rPr>
                                    <w:t>draw-down</w:t>
                                  </w:r>
                                  <w:r>
                                    <w:rPr>
                                      <w:color w:val="232323"/>
                                      <w:spacing w:val="-1"/>
                                      <w:sz w:val="22"/>
                                    </w:rPr>
                                    <w:t> </w:t>
                                  </w:r>
                                  <w:r>
                                    <w:rPr>
                                      <w:color w:val="232323"/>
                                      <w:sz w:val="22"/>
                                    </w:rPr>
                                    <w:t>of</w:t>
                                  </w:r>
                                  <w:r>
                                    <w:rPr>
                                      <w:color w:val="232323"/>
                                      <w:spacing w:val="-9"/>
                                      <w:sz w:val="22"/>
                                    </w:rPr>
                                    <w:t> </w:t>
                                  </w:r>
                                  <w:r>
                                    <w:rPr>
                                      <w:color w:val="232323"/>
                                      <w:spacing w:val="-5"/>
                                      <w:sz w:val="22"/>
                                    </w:rPr>
                                    <w:t>WG</w:t>
                                  </w:r>
                                </w:p>
                                <w:p>
                                  <w:pPr>
                                    <w:pStyle w:val="TableParagraph"/>
                                    <w:spacing w:before="37"/>
                                    <w:ind w:left="15"/>
                                    <w:rPr>
                                      <w:sz w:val="22"/>
                                    </w:rPr>
                                  </w:pPr>
                                  <w:r>
                                    <w:rPr>
                                      <w:color w:val="232323"/>
                                      <w:sz w:val="22"/>
                                    </w:rPr>
                                    <w:t>funds</w:t>
                                  </w:r>
                                  <w:r>
                                    <w:rPr>
                                      <w:color w:val="232323"/>
                                      <w:spacing w:val="-5"/>
                                      <w:sz w:val="22"/>
                                    </w:rPr>
                                    <w:t> </w:t>
                                  </w:r>
                                  <w:r>
                                    <w:rPr>
                                      <w:color w:val="232323"/>
                                      <w:sz w:val="22"/>
                                    </w:rPr>
                                    <w:t>for</w:t>
                                  </w:r>
                                  <w:r>
                                    <w:rPr>
                                      <w:color w:val="232323"/>
                                      <w:spacing w:val="-2"/>
                                      <w:sz w:val="22"/>
                                    </w:rPr>
                                    <w:t> </w:t>
                                  </w:r>
                                  <w:r>
                                    <w:rPr>
                                      <w:color w:val="232323"/>
                                      <w:sz w:val="22"/>
                                    </w:rPr>
                                    <w:t>internal</w:t>
                                  </w:r>
                                  <w:r>
                                    <w:rPr>
                                      <w:color w:val="232323"/>
                                      <w:spacing w:val="-4"/>
                                      <w:sz w:val="22"/>
                                    </w:rPr>
                                    <w:t> </w:t>
                                  </w:r>
                                  <w:r>
                                    <w:rPr>
                                      <w:color w:val="232323"/>
                                      <w:sz w:val="22"/>
                                    </w:rPr>
                                    <w:t>fees</w:t>
                                  </w:r>
                                  <w:r>
                                    <w:rPr>
                                      <w:color w:val="232323"/>
                                      <w:spacing w:val="-4"/>
                                      <w:sz w:val="22"/>
                                    </w:rPr>
                                    <w:t> </w:t>
                                  </w:r>
                                  <w:r>
                                    <w:rPr>
                                      <w:color w:val="232323"/>
                                      <w:sz w:val="22"/>
                                    </w:rPr>
                                    <w:t>to</w:t>
                                  </w:r>
                                  <w:r>
                                    <w:rPr>
                                      <w:color w:val="232323"/>
                                      <w:spacing w:val="-1"/>
                                      <w:sz w:val="22"/>
                                    </w:rPr>
                                    <w:t> </w:t>
                                  </w:r>
                                  <w:r>
                                    <w:rPr>
                                      <w:color w:val="232323"/>
                                      <w:sz w:val="22"/>
                                    </w:rPr>
                                    <w:t>develop</w:t>
                                  </w:r>
                                  <w:r>
                                    <w:rPr>
                                      <w:color w:val="232323"/>
                                      <w:spacing w:val="-2"/>
                                      <w:sz w:val="22"/>
                                    </w:rPr>
                                    <w:t> </w:t>
                                  </w:r>
                                  <w:r>
                                    <w:rPr>
                                      <w:color w:val="232323"/>
                                      <w:sz w:val="22"/>
                                    </w:rPr>
                                    <w:t>FBC</w:t>
                                  </w:r>
                                  <w:r>
                                    <w:rPr>
                                      <w:color w:val="232323"/>
                                      <w:spacing w:val="-3"/>
                                      <w:sz w:val="22"/>
                                    </w:rPr>
                                    <w:t> </w:t>
                                  </w:r>
                                  <w:r>
                                    <w:rPr>
                                      <w:color w:val="232323"/>
                                      <w:sz w:val="22"/>
                                    </w:rPr>
                                    <w:t>is</w:t>
                                  </w:r>
                                  <w:r>
                                    <w:rPr>
                                      <w:color w:val="232323"/>
                                      <w:spacing w:val="-4"/>
                                      <w:sz w:val="22"/>
                                    </w:rPr>
                                    <w:t> </w:t>
                                  </w:r>
                                  <w:r>
                                    <w:rPr>
                                      <w:color w:val="232323"/>
                                      <w:spacing w:val="-2"/>
                                      <w:sz w:val="22"/>
                                    </w:rPr>
                                    <w:t>inadequate</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5</w:t>
                                  </w:r>
                                </w:p>
                              </w:tc>
                              <w:tc>
                                <w:tcPr>
                                  <w:tcW w:w="1916" w:type="dxa"/>
                                  <w:shd w:val="clear" w:color="auto" w:fill="FF0000"/>
                                </w:tcPr>
                                <w:p>
                                  <w:pPr>
                                    <w:pStyle w:val="TableParagraph"/>
                                    <w:spacing w:before="13"/>
                                    <w:ind w:left="14" w:right="1"/>
                                    <w:jc w:val="center"/>
                                    <w:rPr>
                                      <w:sz w:val="22"/>
                                    </w:rPr>
                                  </w:pPr>
                                  <w:r>
                                    <w:rPr>
                                      <w:color w:val="232323"/>
                                      <w:spacing w:val="-5"/>
                                      <w:sz w:val="22"/>
                                    </w:rPr>
                                    <w:t>20</w:t>
                                  </w:r>
                                </w:p>
                              </w:tc>
                            </w:tr>
                            <w:tr>
                              <w:trPr>
                                <w:trHeight w:val="600" w:hRule="atLeast"/>
                              </w:trPr>
                              <w:tc>
                                <w:tcPr>
                                  <w:tcW w:w="5568" w:type="dxa"/>
                                </w:tcPr>
                                <w:p>
                                  <w:pPr>
                                    <w:pStyle w:val="TableParagraph"/>
                                    <w:spacing w:before="14"/>
                                    <w:ind w:left="15"/>
                                    <w:rPr>
                                      <w:sz w:val="22"/>
                                    </w:rPr>
                                  </w:pPr>
                                  <w:r>
                                    <w:rPr>
                                      <w:color w:val="232323"/>
                                      <w:sz w:val="22"/>
                                    </w:rPr>
                                    <w:t>Risk</w:t>
                                  </w:r>
                                  <w:r>
                                    <w:rPr>
                                      <w:color w:val="232323"/>
                                      <w:spacing w:val="-7"/>
                                      <w:sz w:val="22"/>
                                    </w:rPr>
                                    <w:t> </w:t>
                                  </w:r>
                                  <w:r>
                                    <w:rPr>
                                      <w:color w:val="232323"/>
                                      <w:sz w:val="22"/>
                                    </w:rPr>
                                    <w:t>that</w:t>
                                  </w:r>
                                  <w:r>
                                    <w:rPr>
                                      <w:color w:val="232323"/>
                                      <w:spacing w:val="-5"/>
                                      <w:sz w:val="22"/>
                                    </w:rPr>
                                    <w:t> </w:t>
                                  </w:r>
                                  <w:r>
                                    <w:rPr>
                                      <w:color w:val="232323"/>
                                      <w:sz w:val="22"/>
                                    </w:rPr>
                                    <w:t>revenue</w:t>
                                  </w:r>
                                  <w:r>
                                    <w:rPr>
                                      <w:color w:val="232323"/>
                                      <w:spacing w:val="-2"/>
                                      <w:sz w:val="22"/>
                                    </w:rPr>
                                    <w:t> </w:t>
                                  </w:r>
                                  <w:r>
                                    <w:rPr>
                                      <w:color w:val="232323"/>
                                      <w:sz w:val="22"/>
                                    </w:rPr>
                                    <w:t>requirement</w:t>
                                  </w:r>
                                  <w:r>
                                    <w:rPr>
                                      <w:color w:val="232323"/>
                                      <w:spacing w:val="-5"/>
                                      <w:sz w:val="22"/>
                                    </w:rPr>
                                    <w:t> </w:t>
                                  </w:r>
                                  <w:r>
                                    <w:rPr>
                                      <w:color w:val="232323"/>
                                      <w:sz w:val="22"/>
                                    </w:rPr>
                                    <w:t>for</w:t>
                                  </w:r>
                                  <w:r>
                                    <w:rPr>
                                      <w:color w:val="232323"/>
                                      <w:spacing w:val="-2"/>
                                      <w:sz w:val="22"/>
                                    </w:rPr>
                                    <w:t> </w:t>
                                  </w:r>
                                  <w:r>
                                    <w:rPr>
                                      <w:color w:val="232323"/>
                                      <w:sz w:val="22"/>
                                    </w:rPr>
                                    <w:t>ongoing</w:t>
                                  </w:r>
                                  <w:r>
                                    <w:rPr>
                                      <w:color w:val="232323"/>
                                      <w:spacing w:val="-6"/>
                                      <w:sz w:val="22"/>
                                    </w:rPr>
                                    <w:t> </w:t>
                                  </w:r>
                                  <w:r>
                                    <w:rPr>
                                      <w:color w:val="232323"/>
                                      <w:spacing w:val="-2"/>
                                      <w:sz w:val="22"/>
                                    </w:rPr>
                                    <w:t>service</w:t>
                                  </w:r>
                                </w:p>
                                <w:p>
                                  <w:pPr>
                                    <w:pStyle w:val="TableParagraph"/>
                                    <w:spacing w:before="42"/>
                                    <w:ind w:left="15"/>
                                    <w:rPr>
                                      <w:sz w:val="22"/>
                                    </w:rPr>
                                  </w:pPr>
                                  <w:r>
                                    <w:rPr>
                                      <w:color w:val="232323"/>
                                      <w:sz w:val="22"/>
                                    </w:rPr>
                                    <w:t>consolidation</w:t>
                                  </w:r>
                                  <w:r>
                                    <w:rPr>
                                      <w:color w:val="232323"/>
                                      <w:spacing w:val="-3"/>
                                      <w:sz w:val="22"/>
                                    </w:rPr>
                                    <w:t> </w:t>
                                  </w:r>
                                  <w:r>
                                    <w:rPr>
                                      <w:color w:val="232323"/>
                                      <w:sz w:val="22"/>
                                    </w:rPr>
                                    <w:t>and</w:t>
                                  </w:r>
                                  <w:r>
                                    <w:rPr>
                                      <w:color w:val="232323"/>
                                      <w:spacing w:val="-2"/>
                                      <w:sz w:val="22"/>
                                    </w:rPr>
                                    <w:t> </w:t>
                                  </w:r>
                                  <w:r>
                                    <w:rPr>
                                      <w:color w:val="232323"/>
                                      <w:sz w:val="22"/>
                                    </w:rPr>
                                    <w:t>sustainability</w:t>
                                  </w:r>
                                  <w:r>
                                    <w:rPr>
                                      <w:color w:val="232323"/>
                                      <w:spacing w:val="-5"/>
                                      <w:sz w:val="22"/>
                                    </w:rPr>
                                    <w:t> </w:t>
                                  </w:r>
                                  <w:r>
                                    <w:rPr>
                                      <w:color w:val="232323"/>
                                      <w:sz w:val="22"/>
                                    </w:rPr>
                                    <w:t>is</w:t>
                                  </w:r>
                                  <w:r>
                                    <w:rPr>
                                      <w:color w:val="232323"/>
                                      <w:spacing w:val="-5"/>
                                      <w:sz w:val="22"/>
                                    </w:rPr>
                                    <w:t> </w:t>
                                  </w:r>
                                  <w:r>
                                    <w:rPr>
                                      <w:color w:val="232323"/>
                                      <w:sz w:val="22"/>
                                    </w:rPr>
                                    <w:t>not</w:t>
                                  </w:r>
                                  <w:r>
                                    <w:rPr>
                                      <w:color w:val="232323"/>
                                      <w:spacing w:val="-5"/>
                                      <w:sz w:val="22"/>
                                    </w:rPr>
                                    <w:t> </w:t>
                                  </w:r>
                                  <w:r>
                                    <w:rPr>
                                      <w:color w:val="232323"/>
                                      <w:spacing w:val="-2"/>
                                      <w:sz w:val="22"/>
                                    </w:rPr>
                                    <w:t>affordable.</w:t>
                                  </w:r>
                                </w:p>
                              </w:tc>
                              <w:tc>
                                <w:tcPr>
                                  <w:tcW w:w="1286" w:type="dxa"/>
                                </w:tcPr>
                                <w:p>
                                  <w:pPr>
                                    <w:pStyle w:val="TableParagraph"/>
                                    <w:spacing w:before="14"/>
                                    <w:ind w:left="9" w:right="4"/>
                                    <w:jc w:val="center"/>
                                    <w:rPr>
                                      <w:sz w:val="22"/>
                                    </w:rPr>
                                  </w:pPr>
                                  <w:r>
                                    <w:rPr>
                                      <w:color w:val="232323"/>
                                      <w:spacing w:val="-10"/>
                                      <w:sz w:val="22"/>
                                    </w:rPr>
                                    <w:t>4</w:t>
                                  </w:r>
                                </w:p>
                              </w:tc>
                              <w:tc>
                                <w:tcPr>
                                  <w:tcW w:w="870" w:type="dxa"/>
                                </w:tcPr>
                                <w:p>
                                  <w:pPr>
                                    <w:pStyle w:val="TableParagraph"/>
                                    <w:spacing w:before="14"/>
                                    <w:jc w:val="center"/>
                                    <w:rPr>
                                      <w:sz w:val="22"/>
                                    </w:rPr>
                                  </w:pPr>
                                  <w:r>
                                    <w:rPr>
                                      <w:color w:val="232323"/>
                                      <w:spacing w:val="-10"/>
                                      <w:sz w:val="22"/>
                                    </w:rPr>
                                    <w:t>5</w:t>
                                  </w:r>
                                </w:p>
                              </w:tc>
                              <w:tc>
                                <w:tcPr>
                                  <w:tcW w:w="1916" w:type="dxa"/>
                                  <w:shd w:val="clear" w:color="auto" w:fill="FF0000"/>
                                </w:tcPr>
                                <w:p>
                                  <w:pPr>
                                    <w:pStyle w:val="TableParagraph"/>
                                    <w:spacing w:before="14"/>
                                    <w:ind w:left="14" w:right="1"/>
                                    <w:jc w:val="center"/>
                                    <w:rPr>
                                      <w:sz w:val="22"/>
                                    </w:rPr>
                                  </w:pPr>
                                  <w:r>
                                    <w:rPr>
                                      <w:color w:val="232323"/>
                                      <w:spacing w:val="-5"/>
                                      <w:sz w:val="22"/>
                                    </w:rPr>
                                    <w:t>20</w:t>
                                  </w:r>
                                </w:p>
                              </w:tc>
                            </w:tr>
                            <w:tr>
                              <w:trPr>
                                <w:trHeight w:val="345" w:hRule="atLeast"/>
                              </w:trPr>
                              <w:tc>
                                <w:tcPr>
                                  <w:tcW w:w="5568" w:type="dxa"/>
                                </w:tcPr>
                                <w:p>
                                  <w:pPr>
                                    <w:pStyle w:val="TableParagraph"/>
                                    <w:spacing w:before="13"/>
                                    <w:ind w:left="15"/>
                                    <w:rPr>
                                      <w:sz w:val="22"/>
                                    </w:rPr>
                                  </w:pPr>
                                  <w:r>
                                    <w:rPr>
                                      <w:color w:val="232323"/>
                                      <w:sz w:val="22"/>
                                    </w:rPr>
                                    <w:t>Risk</w:t>
                                  </w:r>
                                  <w:r>
                                    <w:rPr>
                                      <w:color w:val="232323"/>
                                      <w:spacing w:val="-5"/>
                                      <w:sz w:val="22"/>
                                    </w:rPr>
                                    <w:t> </w:t>
                                  </w:r>
                                  <w:r>
                                    <w:rPr>
                                      <w:color w:val="232323"/>
                                      <w:sz w:val="22"/>
                                    </w:rPr>
                                    <w:t>of</w:t>
                                  </w:r>
                                  <w:r>
                                    <w:rPr>
                                      <w:color w:val="232323"/>
                                      <w:spacing w:val="-3"/>
                                      <w:sz w:val="22"/>
                                    </w:rPr>
                                    <w:t> </w:t>
                                  </w:r>
                                  <w:r>
                                    <w:rPr>
                                      <w:color w:val="232323"/>
                                      <w:sz w:val="22"/>
                                    </w:rPr>
                                    <w:t>programme</w:t>
                                  </w:r>
                                  <w:r>
                                    <w:rPr>
                                      <w:color w:val="232323"/>
                                      <w:spacing w:val="-4"/>
                                      <w:sz w:val="22"/>
                                    </w:rPr>
                                    <w:t> </w:t>
                                  </w:r>
                                  <w:r>
                                    <w:rPr>
                                      <w:color w:val="232323"/>
                                      <w:spacing w:val="-2"/>
                                      <w:sz w:val="22"/>
                                    </w:rPr>
                                    <w:t>delays</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5</w:t>
                                  </w:r>
                                </w:p>
                              </w:tc>
                              <w:tc>
                                <w:tcPr>
                                  <w:tcW w:w="1916" w:type="dxa"/>
                                  <w:shd w:val="clear" w:color="auto" w:fill="FF0000"/>
                                </w:tcPr>
                                <w:p>
                                  <w:pPr>
                                    <w:pStyle w:val="TableParagraph"/>
                                    <w:spacing w:before="13"/>
                                    <w:ind w:left="14" w:right="1"/>
                                    <w:jc w:val="center"/>
                                    <w:rPr>
                                      <w:sz w:val="22"/>
                                    </w:rPr>
                                  </w:pPr>
                                  <w:r>
                                    <w:rPr>
                                      <w:color w:val="232323"/>
                                      <w:spacing w:val="-5"/>
                                      <w:sz w:val="22"/>
                                    </w:rPr>
                                    <w:t>20</w:t>
                                  </w:r>
                                </w:p>
                              </w:tc>
                            </w:tr>
                            <w:tr>
                              <w:trPr>
                                <w:trHeight w:val="595" w:hRule="atLeast"/>
                              </w:trPr>
                              <w:tc>
                                <w:tcPr>
                                  <w:tcW w:w="5568" w:type="dxa"/>
                                </w:tcPr>
                                <w:p>
                                  <w:pPr>
                                    <w:pStyle w:val="TableParagraph"/>
                                    <w:spacing w:before="13"/>
                                    <w:ind w:left="15"/>
                                    <w:rPr>
                                      <w:sz w:val="22"/>
                                    </w:rPr>
                                  </w:pPr>
                                  <w:r>
                                    <w:rPr>
                                      <w:color w:val="232323"/>
                                      <w:sz w:val="22"/>
                                    </w:rPr>
                                    <w:t>Risk</w:t>
                                  </w:r>
                                  <w:r>
                                    <w:rPr>
                                      <w:color w:val="232323"/>
                                      <w:spacing w:val="-9"/>
                                      <w:sz w:val="22"/>
                                    </w:rPr>
                                    <w:t> </w:t>
                                  </w:r>
                                  <w:r>
                                    <w:rPr>
                                      <w:color w:val="232323"/>
                                      <w:sz w:val="22"/>
                                    </w:rPr>
                                    <w:t>that</w:t>
                                  </w:r>
                                  <w:r>
                                    <w:rPr>
                                      <w:color w:val="232323"/>
                                      <w:spacing w:val="-7"/>
                                      <w:sz w:val="22"/>
                                    </w:rPr>
                                    <w:t> </w:t>
                                  </w:r>
                                  <w:r>
                                    <w:rPr>
                                      <w:color w:val="232323"/>
                                      <w:sz w:val="22"/>
                                    </w:rPr>
                                    <w:t>procurement</w:t>
                                  </w:r>
                                  <w:r>
                                    <w:rPr>
                                      <w:color w:val="232323"/>
                                      <w:spacing w:val="-7"/>
                                      <w:sz w:val="22"/>
                                    </w:rPr>
                                    <w:t> </w:t>
                                  </w:r>
                                  <w:r>
                                    <w:rPr>
                                      <w:color w:val="232323"/>
                                      <w:sz w:val="22"/>
                                    </w:rPr>
                                    <w:t>process</w:t>
                                  </w:r>
                                  <w:r>
                                    <w:rPr>
                                      <w:color w:val="232323"/>
                                      <w:spacing w:val="-6"/>
                                      <w:sz w:val="22"/>
                                    </w:rPr>
                                    <w:t> </w:t>
                                  </w:r>
                                  <w:r>
                                    <w:rPr>
                                      <w:color w:val="232323"/>
                                      <w:sz w:val="22"/>
                                    </w:rPr>
                                    <w:t>timeline/complexity</w:t>
                                  </w:r>
                                  <w:r>
                                    <w:rPr>
                                      <w:color w:val="232323"/>
                                      <w:spacing w:val="-6"/>
                                      <w:sz w:val="22"/>
                                    </w:rPr>
                                    <w:t> </w:t>
                                  </w:r>
                                  <w:r>
                                    <w:rPr>
                                      <w:color w:val="232323"/>
                                      <w:spacing w:val="-5"/>
                                      <w:sz w:val="22"/>
                                    </w:rPr>
                                    <w:t>is</w:t>
                                  </w:r>
                                </w:p>
                                <w:p>
                                  <w:pPr>
                                    <w:pStyle w:val="TableParagraph"/>
                                    <w:spacing w:before="37"/>
                                    <w:ind w:left="15"/>
                                    <w:rPr>
                                      <w:sz w:val="22"/>
                                    </w:rPr>
                                  </w:pPr>
                                  <w:r>
                                    <w:rPr>
                                      <w:color w:val="232323"/>
                                      <w:spacing w:val="-2"/>
                                      <w:sz w:val="22"/>
                                    </w:rPr>
                                    <w:t>underestimated</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r>
                              <w:trPr>
                                <w:trHeight w:val="345" w:hRule="atLeast"/>
                              </w:trPr>
                              <w:tc>
                                <w:tcPr>
                                  <w:tcW w:w="5568" w:type="dxa"/>
                                </w:tcPr>
                                <w:p>
                                  <w:pPr>
                                    <w:pStyle w:val="TableParagraph"/>
                                    <w:spacing w:before="14"/>
                                    <w:ind w:left="15"/>
                                    <w:rPr>
                                      <w:sz w:val="22"/>
                                    </w:rPr>
                                  </w:pPr>
                                  <w:r>
                                    <w:rPr>
                                      <w:color w:val="232323"/>
                                      <w:sz w:val="22"/>
                                    </w:rPr>
                                    <w:t>Risk</w:t>
                                  </w:r>
                                  <w:r>
                                    <w:rPr>
                                      <w:color w:val="232323"/>
                                      <w:spacing w:val="-5"/>
                                      <w:sz w:val="22"/>
                                    </w:rPr>
                                    <w:t> </w:t>
                                  </w:r>
                                  <w:r>
                                    <w:rPr>
                                      <w:color w:val="232323"/>
                                      <w:sz w:val="22"/>
                                    </w:rPr>
                                    <w:t>that</w:t>
                                  </w:r>
                                  <w:r>
                                    <w:rPr>
                                      <w:color w:val="232323"/>
                                      <w:spacing w:val="-5"/>
                                      <w:sz w:val="22"/>
                                    </w:rPr>
                                    <w:t> </w:t>
                                  </w:r>
                                  <w:r>
                                    <w:rPr>
                                      <w:color w:val="232323"/>
                                      <w:sz w:val="22"/>
                                    </w:rPr>
                                    <w:t>capital</w:t>
                                  </w:r>
                                  <w:r>
                                    <w:rPr>
                                      <w:color w:val="232323"/>
                                      <w:spacing w:val="-8"/>
                                      <w:sz w:val="22"/>
                                    </w:rPr>
                                    <w:t> </w:t>
                                  </w:r>
                                  <w:r>
                                    <w:rPr>
                                      <w:color w:val="232323"/>
                                      <w:sz w:val="22"/>
                                    </w:rPr>
                                    <w:t>requirements</w:t>
                                  </w:r>
                                  <w:r>
                                    <w:rPr>
                                      <w:color w:val="232323"/>
                                      <w:spacing w:val="-4"/>
                                      <w:sz w:val="22"/>
                                    </w:rPr>
                                    <w:t> </w:t>
                                  </w:r>
                                  <w:r>
                                    <w:rPr>
                                      <w:color w:val="232323"/>
                                      <w:sz w:val="22"/>
                                    </w:rPr>
                                    <w:t>are</w:t>
                                  </w:r>
                                  <w:r>
                                    <w:rPr>
                                      <w:color w:val="232323"/>
                                      <w:spacing w:val="-1"/>
                                      <w:sz w:val="22"/>
                                    </w:rPr>
                                    <w:t> </w:t>
                                  </w:r>
                                  <w:r>
                                    <w:rPr>
                                      <w:color w:val="232323"/>
                                      <w:sz w:val="22"/>
                                    </w:rPr>
                                    <w:t>under/over</w:t>
                                  </w:r>
                                  <w:r>
                                    <w:rPr>
                                      <w:color w:val="232323"/>
                                      <w:spacing w:val="-2"/>
                                      <w:sz w:val="22"/>
                                    </w:rPr>
                                    <w:t> estimated</w:t>
                                  </w:r>
                                </w:p>
                              </w:tc>
                              <w:tc>
                                <w:tcPr>
                                  <w:tcW w:w="1286" w:type="dxa"/>
                                </w:tcPr>
                                <w:p>
                                  <w:pPr>
                                    <w:pStyle w:val="TableParagraph"/>
                                    <w:spacing w:before="14"/>
                                    <w:ind w:left="9" w:right="4"/>
                                    <w:jc w:val="center"/>
                                    <w:rPr>
                                      <w:sz w:val="22"/>
                                    </w:rPr>
                                  </w:pPr>
                                  <w:r>
                                    <w:rPr>
                                      <w:color w:val="232323"/>
                                      <w:spacing w:val="-10"/>
                                      <w:sz w:val="22"/>
                                    </w:rPr>
                                    <w:t>4</w:t>
                                  </w:r>
                                </w:p>
                              </w:tc>
                              <w:tc>
                                <w:tcPr>
                                  <w:tcW w:w="870" w:type="dxa"/>
                                </w:tcPr>
                                <w:p>
                                  <w:pPr>
                                    <w:pStyle w:val="TableParagraph"/>
                                    <w:spacing w:before="14"/>
                                    <w:jc w:val="center"/>
                                    <w:rPr>
                                      <w:sz w:val="22"/>
                                    </w:rPr>
                                  </w:pPr>
                                  <w:r>
                                    <w:rPr>
                                      <w:color w:val="232323"/>
                                      <w:spacing w:val="-10"/>
                                      <w:sz w:val="22"/>
                                    </w:rPr>
                                    <w:t>4</w:t>
                                  </w:r>
                                </w:p>
                              </w:tc>
                              <w:tc>
                                <w:tcPr>
                                  <w:tcW w:w="1916" w:type="dxa"/>
                                  <w:shd w:val="clear" w:color="auto" w:fill="FF0000"/>
                                </w:tcPr>
                                <w:p>
                                  <w:pPr>
                                    <w:pStyle w:val="TableParagraph"/>
                                    <w:spacing w:before="14"/>
                                    <w:ind w:left="14" w:right="1"/>
                                    <w:jc w:val="center"/>
                                    <w:rPr>
                                      <w:sz w:val="22"/>
                                    </w:rPr>
                                  </w:pPr>
                                  <w:r>
                                    <w:rPr>
                                      <w:color w:val="232323"/>
                                      <w:spacing w:val="-5"/>
                                      <w:sz w:val="22"/>
                                    </w:rPr>
                                    <w:t>16</w:t>
                                  </w:r>
                                </w:p>
                              </w:tc>
                            </w:tr>
                            <w:tr>
                              <w:trPr>
                                <w:trHeight w:val="594" w:hRule="atLeast"/>
                              </w:trPr>
                              <w:tc>
                                <w:tcPr>
                                  <w:tcW w:w="5568" w:type="dxa"/>
                                </w:tcPr>
                                <w:p>
                                  <w:pPr>
                                    <w:pStyle w:val="TableParagraph"/>
                                    <w:spacing w:before="13"/>
                                    <w:ind w:left="15"/>
                                    <w:rPr>
                                      <w:sz w:val="22"/>
                                    </w:rPr>
                                  </w:pPr>
                                  <w:r>
                                    <w:rPr>
                                      <w:color w:val="232323"/>
                                      <w:sz w:val="22"/>
                                    </w:rPr>
                                    <w:t>Risk</w:t>
                                  </w:r>
                                  <w:r>
                                    <w:rPr>
                                      <w:color w:val="232323"/>
                                      <w:spacing w:val="-5"/>
                                      <w:sz w:val="22"/>
                                    </w:rPr>
                                    <w:t> </w:t>
                                  </w:r>
                                  <w:r>
                                    <w:rPr>
                                      <w:color w:val="232323"/>
                                      <w:sz w:val="22"/>
                                    </w:rPr>
                                    <w:t>that</w:t>
                                  </w:r>
                                  <w:r>
                                    <w:rPr>
                                      <w:color w:val="232323"/>
                                      <w:spacing w:val="-6"/>
                                      <w:sz w:val="22"/>
                                    </w:rPr>
                                    <w:t> </w:t>
                                  </w:r>
                                  <w:r>
                                    <w:rPr>
                                      <w:color w:val="232323"/>
                                      <w:sz w:val="22"/>
                                    </w:rPr>
                                    <w:t>equipment</w:t>
                                  </w:r>
                                  <w:r>
                                    <w:rPr>
                                      <w:color w:val="232323"/>
                                      <w:spacing w:val="-5"/>
                                      <w:sz w:val="22"/>
                                    </w:rPr>
                                    <w:t> </w:t>
                                  </w:r>
                                  <w:r>
                                    <w:rPr>
                                      <w:color w:val="232323"/>
                                      <w:sz w:val="22"/>
                                    </w:rPr>
                                    <w:t>requirements/costs</w:t>
                                  </w:r>
                                  <w:r>
                                    <w:rPr>
                                      <w:color w:val="232323"/>
                                      <w:spacing w:val="-5"/>
                                      <w:sz w:val="22"/>
                                    </w:rPr>
                                    <w:t> </w:t>
                                  </w:r>
                                  <w:r>
                                    <w:rPr>
                                      <w:color w:val="232323"/>
                                      <w:sz w:val="22"/>
                                    </w:rPr>
                                    <w:t>will</w:t>
                                  </w:r>
                                  <w:r>
                                    <w:rPr>
                                      <w:color w:val="232323"/>
                                      <w:spacing w:val="-4"/>
                                      <w:sz w:val="22"/>
                                    </w:rPr>
                                    <w:t> </w:t>
                                  </w:r>
                                  <w:r>
                                    <w:rPr>
                                      <w:color w:val="232323"/>
                                      <w:sz w:val="22"/>
                                    </w:rPr>
                                    <w:t>be</w:t>
                                  </w:r>
                                  <w:r>
                                    <w:rPr>
                                      <w:color w:val="232323"/>
                                      <w:spacing w:val="-1"/>
                                      <w:sz w:val="22"/>
                                    </w:rPr>
                                    <w:t> </w:t>
                                  </w:r>
                                  <w:r>
                                    <w:rPr>
                                      <w:color w:val="232323"/>
                                      <w:spacing w:val="-2"/>
                                      <w:sz w:val="22"/>
                                    </w:rPr>
                                    <w:t>under-</w:t>
                                  </w:r>
                                </w:p>
                                <w:p>
                                  <w:pPr>
                                    <w:pStyle w:val="TableParagraph"/>
                                    <w:spacing w:before="37"/>
                                    <w:ind w:left="15"/>
                                    <w:rPr>
                                      <w:sz w:val="22"/>
                                    </w:rPr>
                                  </w:pPr>
                                  <w:r>
                                    <w:rPr>
                                      <w:color w:val="232323"/>
                                      <w:spacing w:val="-2"/>
                                      <w:sz w:val="22"/>
                                    </w:rPr>
                                    <w:t>estimated</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r>
                              <w:trPr>
                                <w:trHeight w:val="600" w:hRule="atLeast"/>
                              </w:trPr>
                              <w:tc>
                                <w:tcPr>
                                  <w:tcW w:w="5568" w:type="dxa"/>
                                </w:tcPr>
                                <w:p>
                                  <w:pPr>
                                    <w:pStyle w:val="TableParagraph"/>
                                    <w:spacing w:before="13"/>
                                    <w:ind w:left="15"/>
                                    <w:rPr>
                                      <w:sz w:val="22"/>
                                    </w:rPr>
                                  </w:pPr>
                                  <w:r>
                                    <w:rPr>
                                      <w:color w:val="232323"/>
                                      <w:sz w:val="22"/>
                                    </w:rPr>
                                    <w:t>Risk</w:t>
                                  </w:r>
                                  <w:r>
                                    <w:rPr>
                                      <w:color w:val="232323"/>
                                      <w:spacing w:val="-5"/>
                                      <w:sz w:val="22"/>
                                    </w:rPr>
                                    <w:t> </w:t>
                                  </w:r>
                                  <w:r>
                                    <w:rPr>
                                      <w:color w:val="232323"/>
                                      <w:sz w:val="22"/>
                                    </w:rPr>
                                    <w:t>that</w:t>
                                  </w:r>
                                  <w:r>
                                    <w:rPr>
                                      <w:color w:val="232323"/>
                                      <w:spacing w:val="-6"/>
                                      <w:sz w:val="22"/>
                                    </w:rPr>
                                    <w:t> </w:t>
                                  </w:r>
                                  <w:r>
                                    <w:rPr>
                                      <w:color w:val="232323"/>
                                      <w:sz w:val="22"/>
                                    </w:rPr>
                                    <w:t>digital</w:t>
                                  </w:r>
                                  <w:r>
                                    <w:rPr>
                                      <w:color w:val="232323"/>
                                      <w:spacing w:val="-4"/>
                                      <w:sz w:val="22"/>
                                    </w:rPr>
                                    <w:t> </w:t>
                                  </w:r>
                                  <w:r>
                                    <w:rPr>
                                      <w:color w:val="232323"/>
                                      <w:sz w:val="22"/>
                                    </w:rPr>
                                    <w:t>equipping</w:t>
                                  </w:r>
                                  <w:r>
                                    <w:rPr>
                                      <w:color w:val="232323"/>
                                      <w:spacing w:val="-7"/>
                                      <w:sz w:val="22"/>
                                    </w:rPr>
                                    <w:t> </w:t>
                                  </w:r>
                                  <w:r>
                                    <w:rPr>
                                      <w:color w:val="232323"/>
                                      <w:sz w:val="22"/>
                                    </w:rPr>
                                    <w:t>requirements</w:t>
                                  </w:r>
                                  <w:r>
                                    <w:rPr>
                                      <w:color w:val="232323"/>
                                      <w:spacing w:val="-5"/>
                                      <w:sz w:val="22"/>
                                    </w:rPr>
                                    <w:t> </w:t>
                                  </w:r>
                                  <w:r>
                                    <w:rPr>
                                      <w:color w:val="232323"/>
                                      <w:sz w:val="22"/>
                                    </w:rPr>
                                    <w:t>(hardware</w:t>
                                  </w:r>
                                  <w:r>
                                    <w:rPr>
                                      <w:color w:val="232323"/>
                                      <w:spacing w:val="-1"/>
                                      <w:sz w:val="22"/>
                                    </w:rPr>
                                    <w:t> </w:t>
                                  </w:r>
                                  <w:r>
                                    <w:rPr>
                                      <w:color w:val="232323"/>
                                      <w:spacing w:val="-10"/>
                                      <w:sz w:val="22"/>
                                    </w:rPr>
                                    <w:t>&amp;</w:t>
                                  </w:r>
                                </w:p>
                                <w:p>
                                  <w:pPr>
                                    <w:pStyle w:val="TableParagraph"/>
                                    <w:spacing w:before="38"/>
                                    <w:ind w:left="15"/>
                                    <w:rPr>
                                      <w:sz w:val="22"/>
                                    </w:rPr>
                                  </w:pPr>
                                  <w:r>
                                    <w:rPr>
                                      <w:color w:val="232323"/>
                                      <w:sz w:val="22"/>
                                    </w:rPr>
                                    <w:t>fibre</w:t>
                                  </w:r>
                                  <w:r>
                                    <w:rPr>
                                      <w:color w:val="232323"/>
                                      <w:spacing w:val="-3"/>
                                      <w:sz w:val="22"/>
                                    </w:rPr>
                                    <w:t> </w:t>
                                  </w:r>
                                  <w:r>
                                    <w:rPr>
                                      <w:color w:val="232323"/>
                                      <w:sz w:val="22"/>
                                    </w:rPr>
                                    <w:t>cabling)</w:t>
                                  </w:r>
                                  <w:r>
                                    <w:rPr>
                                      <w:color w:val="232323"/>
                                      <w:spacing w:val="-4"/>
                                      <w:sz w:val="22"/>
                                    </w:rPr>
                                    <w:t> </w:t>
                                  </w:r>
                                  <w:r>
                                    <w:rPr>
                                      <w:color w:val="232323"/>
                                      <w:sz w:val="22"/>
                                    </w:rPr>
                                    <w:t>could</w:t>
                                  </w:r>
                                  <w:r>
                                    <w:rPr>
                                      <w:color w:val="232323"/>
                                      <w:spacing w:val="-3"/>
                                      <w:sz w:val="22"/>
                                    </w:rPr>
                                    <w:t> </w:t>
                                  </w:r>
                                  <w:r>
                                    <w:rPr>
                                      <w:color w:val="232323"/>
                                      <w:sz w:val="22"/>
                                    </w:rPr>
                                    <w:t>be</w:t>
                                  </w:r>
                                  <w:r>
                                    <w:rPr>
                                      <w:color w:val="232323"/>
                                      <w:spacing w:val="-2"/>
                                      <w:sz w:val="22"/>
                                    </w:rPr>
                                    <w:t> underestimated</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r>
                              <w:trPr>
                                <w:trHeight w:val="595" w:hRule="atLeast"/>
                              </w:trPr>
                              <w:tc>
                                <w:tcPr>
                                  <w:tcW w:w="5568" w:type="dxa"/>
                                </w:tcPr>
                                <w:p>
                                  <w:pPr>
                                    <w:pStyle w:val="TableParagraph"/>
                                    <w:spacing w:before="14"/>
                                    <w:ind w:left="15"/>
                                    <w:rPr>
                                      <w:sz w:val="22"/>
                                    </w:rPr>
                                  </w:pPr>
                                  <w:r>
                                    <w:rPr>
                                      <w:color w:val="232323"/>
                                      <w:sz w:val="22"/>
                                    </w:rPr>
                                    <w:t>Risk</w:t>
                                  </w:r>
                                  <w:r>
                                    <w:rPr>
                                      <w:color w:val="232323"/>
                                      <w:spacing w:val="-7"/>
                                      <w:sz w:val="22"/>
                                    </w:rPr>
                                    <w:t> </w:t>
                                  </w:r>
                                  <w:r>
                                    <w:rPr>
                                      <w:color w:val="232323"/>
                                      <w:sz w:val="22"/>
                                    </w:rPr>
                                    <w:t>that</w:t>
                                  </w:r>
                                  <w:r>
                                    <w:rPr>
                                      <w:color w:val="232323"/>
                                      <w:spacing w:val="-5"/>
                                      <w:sz w:val="22"/>
                                    </w:rPr>
                                    <w:t> </w:t>
                                  </w:r>
                                  <w:r>
                                    <w:rPr>
                                      <w:color w:val="232323"/>
                                      <w:sz w:val="22"/>
                                    </w:rPr>
                                    <w:t>late</w:t>
                                  </w:r>
                                  <w:r>
                                    <w:rPr>
                                      <w:color w:val="232323"/>
                                      <w:spacing w:val="-1"/>
                                      <w:sz w:val="22"/>
                                    </w:rPr>
                                    <w:t> </w:t>
                                  </w:r>
                                  <w:r>
                                    <w:rPr>
                                      <w:color w:val="232323"/>
                                      <w:sz w:val="22"/>
                                    </w:rPr>
                                    <w:t>confirmation</w:t>
                                  </w:r>
                                  <w:r>
                                    <w:rPr>
                                      <w:color w:val="232323"/>
                                      <w:spacing w:val="-1"/>
                                      <w:sz w:val="22"/>
                                    </w:rPr>
                                    <w:t> </w:t>
                                  </w:r>
                                  <w:r>
                                    <w:rPr>
                                      <w:color w:val="232323"/>
                                      <w:sz w:val="22"/>
                                    </w:rPr>
                                    <w:t>of</w:t>
                                  </w:r>
                                  <w:r>
                                    <w:rPr>
                                      <w:color w:val="232323"/>
                                      <w:spacing w:val="-5"/>
                                      <w:sz w:val="22"/>
                                    </w:rPr>
                                    <w:t> </w:t>
                                  </w:r>
                                  <w:r>
                                    <w:rPr>
                                      <w:color w:val="232323"/>
                                      <w:sz w:val="22"/>
                                    </w:rPr>
                                    <w:t>Lab</w:t>
                                  </w:r>
                                  <w:r>
                                    <w:rPr>
                                      <w:color w:val="232323"/>
                                      <w:spacing w:val="-6"/>
                                      <w:sz w:val="22"/>
                                    </w:rPr>
                                    <w:t> </w:t>
                                  </w:r>
                                  <w:r>
                                    <w:rPr>
                                      <w:color w:val="232323"/>
                                      <w:sz w:val="22"/>
                                    </w:rPr>
                                    <w:t>eqpt</w:t>
                                  </w:r>
                                  <w:r>
                                    <w:rPr>
                                      <w:color w:val="232323"/>
                                      <w:spacing w:val="-5"/>
                                      <w:sz w:val="22"/>
                                    </w:rPr>
                                    <w:t> </w:t>
                                  </w:r>
                                  <w:r>
                                    <w:rPr>
                                      <w:color w:val="232323"/>
                                      <w:sz w:val="22"/>
                                    </w:rPr>
                                    <w:t>requirements</w:t>
                                  </w:r>
                                  <w:r>
                                    <w:rPr>
                                      <w:color w:val="232323"/>
                                      <w:spacing w:val="-4"/>
                                      <w:sz w:val="22"/>
                                    </w:rPr>
                                    <w:t> </w:t>
                                  </w:r>
                                  <w:r>
                                    <w:rPr>
                                      <w:color w:val="232323"/>
                                      <w:spacing w:val="-10"/>
                                      <w:sz w:val="22"/>
                                    </w:rPr>
                                    <w:t>/</w:t>
                                  </w:r>
                                </w:p>
                                <w:p>
                                  <w:pPr>
                                    <w:pStyle w:val="TableParagraph"/>
                                    <w:spacing w:before="37"/>
                                    <w:ind w:left="15"/>
                                    <w:rPr>
                                      <w:sz w:val="22"/>
                                    </w:rPr>
                                  </w:pPr>
                                  <w:r>
                                    <w:rPr>
                                      <w:color w:val="232323"/>
                                      <w:sz w:val="22"/>
                                    </w:rPr>
                                    <w:t>configuration</w:t>
                                  </w:r>
                                  <w:r>
                                    <w:rPr>
                                      <w:color w:val="232323"/>
                                      <w:spacing w:val="-2"/>
                                      <w:sz w:val="22"/>
                                    </w:rPr>
                                    <w:t> </w:t>
                                  </w:r>
                                  <w:r>
                                    <w:rPr>
                                      <w:color w:val="232323"/>
                                      <w:sz w:val="22"/>
                                    </w:rPr>
                                    <w:t>will</w:t>
                                  </w:r>
                                  <w:r>
                                    <w:rPr>
                                      <w:color w:val="232323"/>
                                      <w:spacing w:val="-3"/>
                                      <w:sz w:val="22"/>
                                    </w:rPr>
                                    <w:t> </w:t>
                                  </w:r>
                                  <w:r>
                                    <w:rPr>
                                      <w:color w:val="232323"/>
                                      <w:sz w:val="22"/>
                                    </w:rPr>
                                    <w:t>delay</w:t>
                                  </w:r>
                                  <w:r>
                                    <w:rPr>
                                      <w:color w:val="232323"/>
                                      <w:spacing w:val="-9"/>
                                      <w:sz w:val="22"/>
                                    </w:rPr>
                                    <w:t> </w:t>
                                  </w:r>
                                  <w:r>
                                    <w:rPr>
                                      <w:color w:val="232323"/>
                                      <w:sz w:val="22"/>
                                    </w:rPr>
                                    <w:t>design</w:t>
                                  </w:r>
                                  <w:r>
                                    <w:rPr>
                                      <w:color w:val="232323"/>
                                      <w:spacing w:val="-6"/>
                                      <w:sz w:val="22"/>
                                    </w:rPr>
                                    <w:t> </w:t>
                                  </w:r>
                                  <w:r>
                                    <w:rPr>
                                      <w:color w:val="232323"/>
                                      <w:spacing w:val="-2"/>
                                      <w:sz w:val="22"/>
                                    </w:rPr>
                                    <w:t>process</w:t>
                                  </w:r>
                                </w:p>
                              </w:tc>
                              <w:tc>
                                <w:tcPr>
                                  <w:tcW w:w="1286" w:type="dxa"/>
                                </w:tcPr>
                                <w:p>
                                  <w:pPr>
                                    <w:pStyle w:val="TableParagraph"/>
                                    <w:spacing w:before="14"/>
                                    <w:ind w:left="9" w:right="4"/>
                                    <w:jc w:val="center"/>
                                    <w:rPr>
                                      <w:sz w:val="22"/>
                                    </w:rPr>
                                  </w:pPr>
                                  <w:r>
                                    <w:rPr>
                                      <w:color w:val="232323"/>
                                      <w:spacing w:val="-10"/>
                                      <w:sz w:val="22"/>
                                    </w:rPr>
                                    <w:t>4</w:t>
                                  </w:r>
                                </w:p>
                              </w:tc>
                              <w:tc>
                                <w:tcPr>
                                  <w:tcW w:w="870" w:type="dxa"/>
                                </w:tcPr>
                                <w:p>
                                  <w:pPr>
                                    <w:pStyle w:val="TableParagraph"/>
                                    <w:spacing w:before="14"/>
                                    <w:jc w:val="center"/>
                                    <w:rPr>
                                      <w:sz w:val="22"/>
                                    </w:rPr>
                                  </w:pPr>
                                  <w:r>
                                    <w:rPr>
                                      <w:color w:val="232323"/>
                                      <w:spacing w:val="-10"/>
                                      <w:sz w:val="22"/>
                                    </w:rPr>
                                    <w:t>4</w:t>
                                  </w:r>
                                </w:p>
                              </w:tc>
                              <w:tc>
                                <w:tcPr>
                                  <w:tcW w:w="1916" w:type="dxa"/>
                                  <w:shd w:val="clear" w:color="auto" w:fill="FF0000"/>
                                </w:tcPr>
                                <w:p>
                                  <w:pPr>
                                    <w:pStyle w:val="TableParagraph"/>
                                    <w:spacing w:before="14"/>
                                    <w:ind w:left="14" w:right="1"/>
                                    <w:jc w:val="center"/>
                                    <w:rPr>
                                      <w:sz w:val="22"/>
                                    </w:rPr>
                                  </w:pPr>
                                  <w:r>
                                    <w:rPr>
                                      <w:color w:val="232323"/>
                                      <w:spacing w:val="-5"/>
                                      <w:sz w:val="22"/>
                                    </w:rPr>
                                    <w:t>16</w:t>
                                  </w:r>
                                </w:p>
                              </w:tc>
                            </w:tr>
                            <w:tr>
                              <w:trPr>
                                <w:trHeight w:val="595" w:hRule="atLeast"/>
                              </w:trPr>
                              <w:tc>
                                <w:tcPr>
                                  <w:tcW w:w="5568" w:type="dxa"/>
                                </w:tcPr>
                                <w:p>
                                  <w:pPr>
                                    <w:pStyle w:val="TableParagraph"/>
                                    <w:spacing w:before="13"/>
                                    <w:ind w:left="15"/>
                                    <w:rPr>
                                      <w:sz w:val="22"/>
                                    </w:rPr>
                                  </w:pPr>
                                  <w:r>
                                    <w:rPr>
                                      <w:color w:val="232323"/>
                                      <w:sz w:val="22"/>
                                    </w:rPr>
                                    <w:t>Risk</w:t>
                                  </w:r>
                                  <w:r>
                                    <w:rPr>
                                      <w:color w:val="232323"/>
                                      <w:spacing w:val="-5"/>
                                      <w:sz w:val="22"/>
                                    </w:rPr>
                                    <w:t> </w:t>
                                  </w:r>
                                  <w:r>
                                    <w:rPr>
                                      <w:color w:val="232323"/>
                                      <w:sz w:val="22"/>
                                    </w:rPr>
                                    <w:t>that</w:t>
                                  </w:r>
                                  <w:r>
                                    <w:rPr>
                                      <w:color w:val="232323"/>
                                      <w:spacing w:val="-6"/>
                                      <w:sz w:val="22"/>
                                    </w:rPr>
                                    <w:t> </w:t>
                                  </w:r>
                                  <w:r>
                                    <w:rPr>
                                      <w:color w:val="232323"/>
                                      <w:sz w:val="22"/>
                                    </w:rPr>
                                    <w:t>Laboratory</w:t>
                                  </w:r>
                                  <w:r>
                                    <w:rPr>
                                      <w:color w:val="232323"/>
                                      <w:spacing w:val="-4"/>
                                      <w:sz w:val="22"/>
                                    </w:rPr>
                                    <w:t> </w:t>
                                  </w:r>
                                  <w:r>
                                    <w:rPr>
                                      <w:color w:val="232323"/>
                                      <w:sz w:val="22"/>
                                    </w:rPr>
                                    <w:t>configuration</w:t>
                                  </w:r>
                                  <w:r>
                                    <w:rPr>
                                      <w:color w:val="232323"/>
                                      <w:spacing w:val="-2"/>
                                      <w:sz w:val="22"/>
                                    </w:rPr>
                                    <w:t> </w:t>
                                  </w:r>
                                  <w:r>
                                    <w:rPr>
                                      <w:color w:val="232323"/>
                                      <w:sz w:val="22"/>
                                    </w:rPr>
                                    <w:t>and</w:t>
                                  </w:r>
                                  <w:r>
                                    <w:rPr>
                                      <w:color w:val="232323"/>
                                      <w:spacing w:val="-6"/>
                                      <w:sz w:val="22"/>
                                    </w:rPr>
                                    <w:t> </w:t>
                                  </w:r>
                                  <w:r>
                                    <w:rPr>
                                      <w:color w:val="232323"/>
                                      <w:sz w:val="22"/>
                                    </w:rPr>
                                    <w:t>design</w:t>
                                  </w:r>
                                  <w:r>
                                    <w:rPr>
                                      <w:color w:val="232323"/>
                                      <w:spacing w:val="-2"/>
                                      <w:sz w:val="22"/>
                                    </w:rPr>
                                    <w:t> </w:t>
                                  </w:r>
                                  <w:r>
                                    <w:rPr>
                                      <w:color w:val="232323"/>
                                      <w:sz w:val="22"/>
                                    </w:rPr>
                                    <w:t>is</w:t>
                                  </w:r>
                                  <w:r>
                                    <w:rPr>
                                      <w:color w:val="232323"/>
                                      <w:spacing w:val="-4"/>
                                      <w:sz w:val="22"/>
                                    </w:rPr>
                                    <w:t> </w:t>
                                  </w:r>
                                  <w:r>
                                    <w:rPr>
                                      <w:color w:val="232323"/>
                                      <w:spacing w:val="-2"/>
                                      <w:sz w:val="22"/>
                                    </w:rPr>
                                    <w:t>poorly</w:t>
                                  </w:r>
                                </w:p>
                                <w:p>
                                  <w:pPr>
                                    <w:pStyle w:val="TableParagraph"/>
                                    <w:spacing w:before="37"/>
                                    <w:ind w:left="15"/>
                                    <w:rPr>
                                      <w:sz w:val="22"/>
                                    </w:rPr>
                                  </w:pPr>
                                  <w:r>
                                    <w:rPr>
                                      <w:color w:val="232323"/>
                                      <w:spacing w:val="-2"/>
                                      <w:sz w:val="22"/>
                                    </w:rPr>
                                    <w:t>informed/planned</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r>
                              <w:trPr>
                                <w:trHeight w:val="890" w:hRule="atLeast"/>
                              </w:trPr>
                              <w:tc>
                                <w:tcPr>
                                  <w:tcW w:w="5568" w:type="dxa"/>
                                </w:tcPr>
                                <w:p>
                                  <w:pPr>
                                    <w:pStyle w:val="TableParagraph"/>
                                    <w:spacing w:line="276" w:lineRule="auto" w:before="13"/>
                                    <w:ind w:left="15"/>
                                    <w:rPr>
                                      <w:sz w:val="22"/>
                                    </w:rPr>
                                  </w:pPr>
                                  <w:r>
                                    <w:rPr>
                                      <w:color w:val="232323"/>
                                      <w:sz w:val="22"/>
                                    </w:rPr>
                                    <w:t>Risk</w:t>
                                  </w:r>
                                  <w:r>
                                    <w:rPr>
                                      <w:color w:val="232323"/>
                                      <w:spacing w:val="-6"/>
                                      <w:sz w:val="22"/>
                                    </w:rPr>
                                    <w:t> </w:t>
                                  </w:r>
                                  <w:r>
                                    <w:rPr>
                                      <w:color w:val="232323"/>
                                      <w:sz w:val="22"/>
                                    </w:rPr>
                                    <w:t>that</w:t>
                                  </w:r>
                                  <w:r>
                                    <w:rPr>
                                      <w:color w:val="232323"/>
                                      <w:spacing w:val="-7"/>
                                      <w:sz w:val="22"/>
                                    </w:rPr>
                                    <w:t> </w:t>
                                  </w:r>
                                  <w:r>
                                    <w:rPr>
                                      <w:color w:val="232323"/>
                                      <w:sz w:val="22"/>
                                    </w:rPr>
                                    <w:t>new</w:t>
                                  </w:r>
                                  <w:r>
                                    <w:rPr>
                                      <w:color w:val="232323"/>
                                      <w:spacing w:val="-5"/>
                                      <w:sz w:val="22"/>
                                    </w:rPr>
                                    <w:t> </w:t>
                                  </w:r>
                                  <w:r>
                                    <w:rPr>
                                      <w:color w:val="232323"/>
                                      <w:sz w:val="22"/>
                                    </w:rPr>
                                    <w:t>Building</w:t>
                                  </w:r>
                                  <w:r>
                                    <w:rPr>
                                      <w:color w:val="232323"/>
                                      <w:spacing w:val="-8"/>
                                      <w:sz w:val="22"/>
                                    </w:rPr>
                                    <w:t> </w:t>
                                  </w:r>
                                  <w:r>
                                    <w:rPr>
                                      <w:color w:val="232323"/>
                                      <w:sz w:val="22"/>
                                    </w:rPr>
                                    <w:t>Control</w:t>
                                  </w:r>
                                  <w:r>
                                    <w:rPr>
                                      <w:color w:val="232323"/>
                                      <w:spacing w:val="-5"/>
                                      <w:sz w:val="22"/>
                                    </w:rPr>
                                    <w:t> </w:t>
                                  </w:r>
                                  <w:r>
                                    <w:rPr>
                                      <w:color w:val="232323"/>
                                      <w:sz w:val="22"/>
                                    </w:rPr>
                                    <w:t>regulations</w:t>
                                  </w:r>
                                  <w:r>
                                    <w:rPr>
                                      <w:color w:val="232323"/>
                                      <w:spacing w:val="-6"/>
                                      <w:sz w:val="22"/>
                                    </w:rPr>
                                    <w:t> </w:t>
                                  </w:r>
                                  <w:r>
                                    <w:rPr>
                                      <w:color w:val="232323"/>
                                      <w:sz w:val="22"/>
                                    </w:rPr>
                                    <w:t>(effective</w:t>
                                  </w:r>
                                  <w:r>
                                    <w:rPr>
                                      <w:color w:val="232323"/>
                                      <w:spacing w:val="-8"/>
                                      <w:sz w:val="22"/>
                                    </w:rPr>
                                    <w:t> </w:t>
                                  </w:r>
                                  <w:r>
                                    <w:rPr>
                                      <w:color w:val="232323"/>
                                      <w:sz w:val="22"/>
                                    </w:rPr>
                                    <w:t>from the 1st of July 2026) approvals will be more onerous</w:t>
                                  </w:r>
                                </w:p>
                                <w:p>
                                  <w:pPr>
                                    <w:pStyle w:val="TableParagraph"/>
                                    <w:spacing w:before="3"/>
                                    <w:ind w:left="15"/>
                                    <w:rPr>
                                      <w:sz w:val="22"/>
                                    </w:rPr>
                                  </w:pPr>
                                  <w:r>
                                    <w:rPr>
                                      <w:color w:val="232323"/>
                                      <w:sz w:val="22"/>
                                    </w:rPr>
                                    <w:t>extending</w:t>
                                  </w:r>
                                  <w:r>
                                    <w:rPr>
                                      <w:color w:val="232323"/>
                                      <w:spacing w:val="-4"/>
                                      <w:sz w:val="22"/>
                                    </w:rPr>
                                    <w:t> </w:t>
                                  </w:r>
                                  <w:r>
                                    <w:rPr>
                                      <w:color w:val="232323"/>
                                      <w:sz w:val="22"/>
                                    </w:rPr>
                                    <w:t>project</w:t>
                                  </w:r>
                                  <w:r>
                                    <w:rPr>
                                      <w:color w:val="232323"/>
                                      <w:spacing w:val="-2"/>
                                      <w:sz w:val="22"/>
                                    </w:rPr>
                                    <w:t> timelines.</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bl>
                          <w:p>
                            <w:pPr>
                              <w:pStyle w:val="BodyText"/>
                            </w:pPr>
                          </w:p>
                        </w:txbxContent>
                      </wps:txbx>
                      <wps:bodyPr wrap="square" lIns="0" tIns="0" rIns="0" bIns="0" rtlCol="0">
                        <a:noAutofit/>
                      </wps:bodyPr>
                    </wps:wsp>
                  </a:graphicData>
                </a:graphic>
              </wp:anchor>
            </w:drawing>
          </mc:Choice>
          <mc:Fallback>
            <w:pict>
              <v:shape style="position:absolute;margin-left:49.025002pt;margin-top:-380.579224pt;width:488.5pt;height:312.45pt;mso-position-horizontal-relative:page;mso-position-vertical-relative:paragraph;z-index:15781376" type="#_x0000_t202" id="docshape177"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68"/>
                        <w:gridCol w:w="1286"/>
                        <w:gridCol w:w="870"/>
                        <w:gridCol w:w="1916"/>
                      </w:tblGrid>
                      <w:tr>
                        <w:trPr>
                          <w:trHeight w:val="375" w:hRule="atLeast"/>
                        </w:trPr>
                        <w:tc>
                          <w:tcPr>
                            <w:tcW w:w="5568" w:type="dxa"/>
                          </w:tcPr>
                          <w:p>
                            <w:pPr>
                              <w:pStyle w:val="TableParagraph"/>
                              <w:spacing w:before="13"/>
                              <w:ind w:left="15"/>
                              <w:rPr>
                                <w:b/>
                                <w:sz w:val="22"/>
                              </w:rPr>
                            </w:pPr>
                            <w:r>
                              <w:rPr>
                                <w:b/>
                                <w:color w:val="232323"/>
                                <w:sz w:val="22"/>
                              </w:rPr>
                              <w:t>Risk</w:t>
                            </w:r>
                            <w:r>
                              <w:rPr>
                                <w:b/>
                                <w:color w:val="232323"/>
                                <w:spacing w:val="1"/>
                                <w:sz w:val="22"/>
                              </w:rPr>
                              <w:t> </w:t>
                            </w:r>
                            <w:r>
                              <w:rPr>
                                <w:b/>
                                <w:color w:val="232323"/>
                                <w:spacing w:val="-2"/>
                                <w:sz w:val="22"/>
                              </w:rPr>
                              <w:t>Description</w:t>
                            </w:r>
                          </w:p>
                        </w:tc>
                        <w:tc>
                          <w:tcPr>
                            <w:tcW w:w="1286" w:type="dxa"/>
                          </w:tcPr>
                          <w:p>
                            <w:pPr>
                              <w:pStyle w:val="TableParagraph"/>
                              <w:spacing w:before="13"/>
                              <w:ind w:left="9"/>
                              <w:jc w:val="center"/>
                              <w:rPr>
                                <w:b/>
                                <w:sz w:val="22"/>
                              </w:rPr>
                            </w:pPr>
                            <w:r>
                              <w:rPr>
                                <w:b/>
                                <w:color w:val="232323"/>
                                <w:spacing w:val="-2"/>
                                <w:sz w:val="22"/>
                              </w:rPr>
                              <w:t>Probability</w:t>
                            </w:r>
                          </w:p>
                        </w:tc>
                        <w:tc>
                          <w:tcPr>
                            <w:tcW w:w="870" w:type="dxa"/>
                          </w:tcPr>
                          <w:p>
                            <w:pPr>
                              <w:pStyle w:val="TableParagraph"/>
                              <w:spacing w:before="13"/>
                              <w:jc w:val="center"/>
                              <w:rPr>
                                <w:b/>
                                <w:sz w:val="22"/>
                              </w:rPr>
                            </w:pPr>
                            <w:r>
                              <w:rPr>
                                <w:b/>
                                <w:color w:val="232323"/>
                                <w:spacing w:val="-2"/>
                                <w:sz w:val="22"/>
                              </w:rPr>
                              <w:t>Impact</w:t>
                            </w:r>
                          </w:p>
                        </w:tc>
                        <w:tc>
                          <w:tcPr>
                            <w:tcW w:w="1916" w:type="dxa"/>
                          </w:tcPr>
                          <w:p>
                            <w:pPr>
                              <w:pStyle w:val="TableParagraph"/>
                              <w:spacing w:before="13"/>
                              <w:ind w:left="14"/>
                              <w:jc w:val="center"/>
                              <w:rPr>
                                <w:b/>
                                <w:sz w:val="22"/>
                              </w:rPr>
                            </w:pPr>
                            <w:r>
                              <w:rPr>
                                <w:b/>
                                <w:color w:val="232323"/>
                                <w:spacing w:val="-4"/>
                                <w:sz w:val="22"/>
                              </w:rPr>
                              <w:t>Score</w:t>
                            </w:r>
                          </w:p>
                        </w:tc>
                      </w:tr>
                      <w:tr>
                        <w:trPr>
                          <w:trHeight w:val="595" w:hRule="atLeast"/>
                        </w:trPr>
                        <w:tc>
                          <w:tcPr>
                            <w:tcW w:w="5568" w:type="dxa"/>
                          </w:tcPr>
                          <w:p>
                            <w:pPr>
                              <w:pStyle w:val="TableParagraph"/>
                              <w:spacing w:before="13"/>
                              <w:ind w:left="15"/>
                              <w:rPr>
                                <w:sz w:val="22"/>
                              </w:rPr>
                            </w:pPr>
                            <w:r>
                              <w:rPr>
                                <w:color w:val="232323"/>
                                <w:sz w:val="22"/>
                              </w:rPr>
                              <w:t>Risk</w:t>
                            </w:r>
                            <w:r>
                              <w:rPr>
                                <w:color w:val="232323"/>
                                <w:spacing w:val="-4"/>
                                <w:sz w:val="22"/>
                              </w:rPr>
                              <w:t> </w:t>
                            </w:r>
                            <w:r>
                              <w:rPr>
                                <w:color w:val="232323"/>
                                <w:sz w:val="22"/>
                              </w:rPr>
                              <w:t>the</w:t>
                            </w:r>
                            <w:r>
                              <w:rPr>
                                <w:color w:val="232323"/>
                                <w:spacing w:val="-2"/>
                                <w:sz w:val="22"/>
                              </w:rPr>
                              <w:t> </w:t>
                            </w:r>
                            <w:r>
                              <w:rPr>
                                <w:color w:val="232323"/>
                                <w:sz w:val="22"/>
                              </w:rPr>
                              <w:t>resource</w:t>
                            </w:r>
                            <w:r>
                              <w:rPr>
                                <w:color w:val="232323"/>
                                <w:spacing w:val="-1"/>
                                <w:sz w:val="22"/>
                              </w:rPr>
                              <w:t> </w:t>
                            </w:r>
                            <w:r>
                              <w:rPr>
                                <w:color w:val="232323"/>
                                <w:sz w:val="22"/>
                              </w:rPr>
                              <w:t>schedule</w:t>
                            </w:r>
                            <w:r>
                              <w:rPr>
                                <w:color w:val="232323"/>
                                <w:spacing w:val="-1"/>
                                <w:sz w:val="22"/>
                              </w:rPr>
                              <w:t> </w:t>
                            </w:r>
                            <w:r>
                              <w:rPr>
                                <w:color w:val="232323"/>
                                <w:sz w:val="22"/>
                              </w:rPr>
                              <w:t>to</w:t>
                            </w:r>
                            <w:r>
                              <w:rPr>
                                <w:color w:val="232323"/>
                                <w:spacing w:val="-1"/>
                                <w:sz w:val="22"/>
                              </w:rPr>
                              <w:t> </w:t>
                            </w:r>
                            <w:r>
                              <w:rPr>
                                <w:color w:val="232323"/>
                                <w:sz w:val="22"/>
                              </w:rPr>
                              <w:t>support</w:t>
                            </w:r>
                            <w:r>
                              <w:rPr>
                                <w:color w:val="232323"/>
                                <w:spacing w:val="-5"/>
                                <w:sz w:val="22"/>
                              </w:rPr>
                              <w:t> </w:t>
                            </w:r>
                            <w:r>
                              <w:rPr>
                                <w:color w:val="232323"/>
                                <w:sz w:val="22"/>
                              </w:rPr>
                              <w:t>draw-down</w:t>
                            </w:r>
                            <w:r>
                              <w:rPr>
                                <w:color w:val="232323"/>
                                <w:spacing w:val="-1"/>
                                <w:sz w:val="22"/>
                              </w:rPr>
                              <w:t> </w:t>
                            </w:r>
                            <w:r>
                              <w:rPr>
                                <w:color w:val="232323"/>
                                <w:sz w:val="22"/>
                              </w:rPr>
                              <w:t>of</w:t>
                            </w:r>
                            <w:r>
                              <w:rPr>
                                <w:color w:val="232323"/>
                                <w:spacing w:val="-9"/>
                                <w:sz w:val="22"/>
                              </w:rPr>
                              <w:t> </w:t>
                            </w:r>
                            <w:r>
                              <w:rPr>
                                <w:color w:val="232323"/>
                                <w:spacing w:val="-5"/>
                                <w:sz w:val="22"/>
                              </w:rPr>
                              <w:t>WG</w:t>
                            </w:r>
                          </w:p>
                          <w:p>
                            <w:pPr>
                              <w:pStyle w:val="TableParagraph"/>
                              <w:spacing w:before="37"/>
                              <w:ind w:left="15"/>
                              <w:rPr>
                                <w:sz w:val="22"/>
                              </w:rPr>
                            </w:pPr>
                            <w:r>
                              <w:rPr>
                                <w:color w:val="232323"/>
                                <w:sz w:val="22"/>
                              </w:rPr>
                              <w:t>funds</w:t>
                            </w:r>
                            <w:r>
                              <w:rPr>
                                <w:color w:val="232323"/>
                                <w:spacing w:val="-5"/>
                                <w:sz w:val="22"/>
                              </w:rPr>
                              <w:t> </w:t>
                            </w:r>
                            <w:r>
                              <w:rPr>
                                <w:color w:val="232323"/>
                                <w:sz w:val="22"/>
                              </w:rPr>
                              <w:t>for</w:t>
                            </w:r>
                            <w:r>
                              <w:rPr>
                                <w:color w:val="232323"/>
                                <w:spacing w:val="-2"/>
                                <w:sz w:val="22"/>
                              </w:rPr>
                              <w:t> </w:t>
                            </w:r>
                            <w:r>
                              <w:rPr>
                                <w:color w:val="232323"/>
                                <w:sz w:val="22"/>
                              </w:rPr>
                              <w:t>internal</w:t>
                            </w:r>
                            <w:r>
                              <w:rPr>
                                <w:color w:val="232323"/>
                                <w:spacing w:val="-4"/>
                                <w:sz w:val="22"/>
                              </w:rPr>
                              <w:t> </w:t>
                            </w:r>
                            <w:r>
                              <w:rPr>
                                <w:color w:val="232323"/>
                                <w:sz w:val="22"/>
                              </w:rPr>
                              <w:t>fees</w:t>
                            </w:r>
                            <w:r>
                              <w:rPr>
                                <w:color w:val="232323"/>
                                <w:spacing w:val="-4"/>
                                <w:sz w:val="22"/>
                              </w:rPr>
                              <w:t> </w:t>
                            </w:r>
                            <w:r>
                              <w:rPr>
                                <w:color w:val="232323"/>
                                <w:sz w:val="22"/>
                              </w:rPr>
                              <w:t>to</w:t>
                            </w:r>
                            <w:r>
                              <w:rPr>
                                <w:color w:val="232323"/>
                                <w:spacing w:val="-1"/>
                                <w:sz w:val="22"/>
                              </w:rPr>
                              <w:t> </w:t>
                            </w:r>
                            <w:r>
                              <w:rPr>
                                <w:color w:val="232323"/>
                                <w:sz w:val="22"/>
                              </w:rPr>
                              <w:t>develop</w:t>
                            </w:r>
                            <w:r>
                              <w:rPr>
                                <w:color w:val="232323"/>
                                <w:spacing w:val="-2"/>
                                <w:sz w:val="22"/>
                              </w:rPr>
                              <w:t> </w:t>
                            </w:r>
                            <w:r>
                              <w:rPr>
                                <w:color w:val="232323"/>
                                <w:sz w:val="22"/>
                              </w:rPr>
                              <w:t>FBC</w:t>
                            </w:r>
                            <w:r>
                              <w:rPr>
                                <w:color w:val="232323"/>
                                <w:spacing w:val="-3"/>
                                <w:sz w:val="22"/>
                              </w:rPr>
                              <w:t> </w:t>
                            </w:r>
                            <w:r>
                              <w:rPr>
                                <w:color w:val="232323"/>
                                <w:sz w:val="22"/>
                              </w:rPr>
                              <w:t>is</w:t>
                            </w:r>
                            <w:r>
                              <w:rPr>
                                <w:color w:val="232323"/>
                                <w:spacing w:val="-4"/>
                                <w:sz w:val="22"/>
                              </w:rPr>
                              <w:t> </w:t>
                            </w:r>
                            <w:r>
                              <w:rPr>
                                <w:color w:val="232323"/>
                                <w:spacing w:val="-2"/>
                                <w:sz w:val="22"/>
                              </w:rPr>
                              <w:t>inadequate</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5</w:t>
                            </w:r>
                          </w:p>
                        </w:tc>
                        <w:tc>
                          <w:tcPr>
                            <w:tcW w:w="1916" w:type="dxa"/>
                            <w:shd w:val="clear" w:color="auto" w:fill="FF0000"/>
                          </w:tcPr>
                          <w:p>
                            <w:pPr>
                              <w:pStyle w:val="TableParagraph"/>
                              <w:spacing w:before="13"/>
                              <w:ind w:left="14" w:right="1"/>
                              <w:jc w:val="center"/>
                              <w:rPr>
                                <w:sz w:val="22"/>
                              </w:rPr>
                            </w:pPr>
                            <w:r>
                              <w:rPr>
                                <w:color w:val="232323"/>
                                <w:spacing w:val="-5"/>
                                <w:sz w:val="22"/>
                              </w:rPr>
                              <w:t>20</w:t>
                            </w:r>
                          </w:p>
                        </w:tc>
                      </w:tr>
                      <w:tr>
                        <w:trPr>
                          <w:trHeight w:val="600" w:hRule="atLeast"/>
                        </w:trPr>
                        <w:tc>
                          <w:tcPr>
                            <w:tcW w:w="5568" w:type="dxa"/>
                          </w:tcPr>
                          <w:p>
                            <w:pPr>
                              <w:pStyle w:val="TableParagraph"/>
                              <w:spacing w:before="14"/>
                              <w:ind w:left="15"/>
                              <w:rPr>
                                <w:sz w:val="22"/>
                              </w:rPr>
                            </w:pPr>
                            <w:r>
                              <w:rPr>
                                <w:color w:val="232323"/>
                                <w:sz w:val="22"/>
                              </w:rPr>
                              <w:t>Risk</w:t>
                            </w:r>
                            <w:r>
                              <w:rPr>
                                <w:color w:val="232323"/>
                                <w:spacing w:val="-7"/>
                                <w:sz w:val="22"/>
                              </w:rPr>
                              <w:t> </w:t>
                            </w:r>
                            <w:r>
                              <w:rPr>
                                <w:color w:val="232323"/>
                                <w:sz w:val="22"/>
                              </w:rPr>
                              <w:t>that</w:t>
                            </w:r>
                            <w:r>
                              <w:rPr>
                                <w:color w:val="232323"/>
                                <w:spacing w:val="-5"/>
                                <w:sz w:val="22"/>
                              </w:rPr>
                              <w:t> </w:t>
                            </w:r>
                            <w:r>
                              <w:rPr>
                                <w:color w:val="232323"/>
                                <w:sz w:val="22"/>
                              </w:rPr>
                              <w:t>revenue</w:t>
                            </w:r>
                            <w:r>
                              <w:rPr>
                                <w:color w:val="232323"/>
                                <w:spacing w:val="-2"/>
                                <w:sz w:val="22"/>
                              </w:rPr>
                              <w:t> </w:t>
                            </w:r>
                            <w:r>
                              <w:rPr>
                                <w:color w:val="232323"/>
                                <w:sz w:val="22"/>
                              </w:rPr>
                              <w:t>requirement</w:t>
                            </w:r>
                            <w:r>
                              <w:rPr>
                                <w:color w:val="232323"/>
                                <w:spacing w:val="-5"/>
                                <w:sz w:val="22"/>
                              </w:rPr>
                              <w:t> </w:t>
                            </w:r>
                            <w:r>
                              <w:rPr>
                                <w:color w:val="232323"/>
                                <w:sz w:val="22"/>
                              </w:rPr>
                              <w:t>for</w:t>
                            </w:r>
                            <w:r>
                              <w:rPr>
                                <w:color w:val="232323"/>
                                <w:spacing w:val="-2"/>
                                <w:sz w:val="22"/>
                              </w:rPr>
                              <w:t> </w:t>
                            </w:r>
                            <w:r>
                              <w:rPr>
                                <w:color w:val="232323"/>
                                <w:sz w:val="22"/>
                              </w:rPr>
                              <w:t>ongoing</w:t>
                            </w:r>
                            <w:r>
                              <w:rPr>
                                <w:color w:val="232323"/>
                                <w:spacing w:val="-6"/>
                                <w:sz w:val="22"/>
                              </w:rPr>
                              <w:t> </w:t>
                            </w:r>
                            <w:r>
                              <w:rPr>
                                <w:color w:val="232323"/>
                                <w:spacing w:val="-2"/>
                                <w:sz w:val="22"/>
                              </w:rPr>
                              <w:t>service</w:t>
                            </w:r>
                          </w:p>
                          <w:p>
                            <w:pPr>
                              <w:pStyle w:val="TableParagraph"/>
                              <w:spacing w:before="42"/>
                              <w:ind w:left="15"/>
                              <w:rPr>
                                <w:sz w:val="22"/>
                              </w:rPr>
                            </w:pPr>
                            <w:r>
                              <w:rPr>
                                <w:color w:val="232323"/>
                                <w:sz w:val="22"/>
                              </w:rPr>
                              <w:t>consolidation</w:t>
                            </w:r>
                            <w:r>
                              <w:rPr>
                                <w:color w:val="232323"/>
                                <w:spacing w:val="-3"/>
                                <w:sz w:val="22"/>
                              </w:rPr>
                              <w:t> </w:t>
                            </w:r>
                            <w:r>
                              <w:rPr>
                                <w:color w:val="232323"/>
                                <w:sz w:val="22"/>
                              </w:rPr>
                              <w:t>and</w:t>
                            </w:r>
                            <w:r>
                              <w:rPr>
                                <w:color w:val="232323"/>
                                <w:spacing w:val="-2"/>
                                <w:sz w:val="22"/>
                              </w:rPr>
                              <w:t> </w:t>
                            </w:r>
                            <w:r>
                              <w:rPr>
                                <w:color w:val="232323"/>
                                <w:sz w:val="22"/>
                              </w:rPr>
                              <w:t>sustainability</w:t>
                            </w:r>
                            <w:r>
                              <w:rPr>
                                <w:color w:val="232323"/>
                                <w:spacing w:val="-5"/>
                                <w:sz w:val="22"/>
                              </w:rPr>
                              <w:t> </w:t>
                            </w:r>
                            <w:r>
                              <w:rPr>
                                <w:color w:val="232323"/>
                                <w:sz w:val="22"/>
                              </w:rPr>
                              <w:t>is</w:t>
                            </w:r>
                            <w:r>
                              <w:rPr>
                                <w:color w:val="232323"/>
                                <w:spacing w:val="-5"/>
                                <w:sz w:val="22"/>
                              </w:rPr>
                              <w:t> </w:t>
                            </w:r>
                            <w:r>
                              <w:rPr>
                                <w:color w:val="232323"/>
                                <w:sz w:val="22"/>
                              </w:rPr>
                              <w:t>not</w:t>
                            </w:r>
                            <w:r>
                              <w:rPr>
                                <w:color w:val="232323"/>
                                <w:spacing w:val="-5"/>
                                <w:sz w:val="22"/>
                              </w:rPr>
                              <w:t> </w:t>
                            </w:r>
                            <w:r>
                              <w:rPr>
                                <w:color w:val="232323"/>
                                <w:spacing w:val="-2"/>
                                <w:sz w:val="22"/>
                              </w:rPr>
                              <w:t>affordable.</w:t>
                            </w:r>
                          </w:p>
                        </w:tc>
                        <w:tc>
                          <w:tcPr>
                            <w:tcW w:w="1286" w:type="dxa"/>
                          </w:tcPr>
                          <w:p>
                            <w:pPr>
                              <w:pStyle w:val="TableParagraph"/>
                              <w:spacing w:before="14"/>
                              <w:ind w:left="9" w:right="4"/>
                              <w:jc w:val="center"/>
                              <w:rPr>
                                <w:sz w:val="22"/>
                              </w:rPr>
                            </w:pPr>
                            <w:r>
                              <w:rPr>
                                <w:color w:val="232323"/>
                                <w:spacing w:val="-10"/>
                                <w:sz w:val="22"/>
                              </w:rPr>
                              <w:t>4</w:t>
                            </w:r>
                          </w:p>
                        </w:tc>
                        <w:tc>
                          <w:tcPr>
                            <w:tcW w:w="870" w:type="dxa"/>
                          </w:tcPr>
                          <w:p>
                            <w:pPr>
                              <w:pStyle w:val="TableParagraph"/>
                              <w:spacing w:before="14"/>
                              <w:jc w:val="center"/>
                              <w:rPr>
                                <w:sz w:val="22"/>
                              </w:rPr>
                            </w:pPr>
                            <w:r>
                              <w:rPr>
                                <w:color w:val="232323"/>
                                <w:spacing w:val="-10"/>
                                <w:sz w:val="22"/>
                              </w:rPr>
                              <w:t>5</w:t>
                            </w:r>
                          </w:p>
                        </w:tc>
                        <w:tc>
                          <w:tcPr>
                            <w:tcW w:w="1916" w:type="dxa"/>
                            <w:shd w:val="clear" w:color="auto" w:fill="FF0000"/>
                          </w:tcPr>
                          <w:p>
                            <w:pPr>
                              <w:pStyle w:val="TableParagraph"/>
                              <w:spacing w:before="14"/>
                              <w:ind w:left="14" w:right="1"/>
                              <w:jc w:val="center"/>
                              <w:rPr>
                                <w:sz w:val="22"/>
                              </w:rPr>
                            </w:pPr>
                            <w:r>
                              <w:rPr>
                                <w:color w:val="232323"/>
                                <w:spacing w:val="-5"/>
                                <w:sz w:val="22"/>
                              </w:rPr>
                              <w:t>20</w:t>
                            </w:r>
                          </w:p>
                        </w:tc>
                      </w:tr>
                      <w:tr>
                        <w:trPr>
                          <w:trHeight w:val="345" w:hRule="atLeast"/>
                        </w:trPr>
                        <w:tc>
                          <w:tcPr>
                            <w:tcW w:w="5568" w:type="dxa"/>
                          </w:tcPr>
                          <w:p>
                            <w:pPr>
                              <w:pStyle w:val="TableParagraph"/>
                              <w:spacing w:before="13"/>
                              <w:ind w:left="15"/>
                              <w:rPr>
                                <w:sz w:val="22"/>
                              </w:rPr>
                            </w:pPr>
                            <w:r>
                              <w:rPr>
                                <w:color w:val="232323"/>
                                <w:sz w:val="22"/>
                              </w:rPr>
                              <w:t>Risk</w:t>
                            </w:r>
                            <w:r>
                              <w:rPr>
                                <w:color w:val="232323"/>
                                <w:spacing w:val="-5"/>
                                <w:sz w:val="22"/>
                              </w:rPr>
                              <w:t> </w:t>
                            </w:r>
                            <w:r>
                              <w:rPr>
                                <w:color w:val="232323"/>
                                <w:sz w:val="22"/>
                              </w:rPr>
                              <w:t>of</w:t>
                            </w:r>
                            <w:r>
                              <w:rPr>
                                <w:color w:val="232323"/>
                                <w:spacing w:val="-3"/>
                                <w:sz w:val="22"/>
                              </w:rPr>
                              <w:t> </w:t>
                            </w:r>
                            <w:r>
                              <w:rPr>
                                <w:color w:val="232323"/>
                                <w:sz w:val="22"/>
                              </w:rPr>
                              <w:t>programme</w:t>
                            </w:r>
                            <w:r>
                              <w:rPr>
                                <w:color w:val="232323"/>
                                <w:spacing w:val="-4"/>
                                <w:sz w:val="22"/>
                              </w:rPr>
                              <w:t> </w:t>
                            </w:r>
                            <w:r>
                              <w:rPr>
                                <w:color w:val="232323"/>
                                <w:spacing w:val="-2"/>
                                <w:sz w:val="22"/>
                              </w:rPr>
                              <w:t>delays</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5</w:t>
                            </w:r>
                          </w:p>
                        </w:tc>
                        <w:tc>
                          <w:tcPr>
                            <w:tcW w:w="1916" w:type="dxa"/>
                            <w:shd w:val="clear" w:color="auto" w:fill="FF0000"/>
                          </w:tcPr>
                          <w:p>
                            <w:pPr>
                              <w:pStyle w:val="TableParagraph"/>
                              <w:spacing w:before="13"/>
                              <w:ind w:left="14" w:right="1"/>
                              <w:jc w:val="center"/>
                              <w:rPr>
                                <w:sz w:val="22"/>
                              </w:rPr>
                            </w:pPr>
                            <w:r>
                              <w:rPr>
                                <w:color w:val="232323"/>
                                <w:spacing w:val="-5"/>
                                <w:sz w:val="22"/>
                              </w:rPr>
                              <w:t>20</w:t>
                            </w:r>
                          </w:p>
                        </w:tc>
                      </w:tr>
                      <w:tr>
                        <w:trPr>
                          <w:trHeight w:val="595" w:hRule="atLeast"/>
                        </w:trPr>
                        <w:tc>
                          <w:tcPr>
                            <w:tcW w:w="5568" w:type="dxa"/>
                          </w:tcPr>
                          <w:p>
                            <w:pPr>
                              <w:pStyle w:val="TableParagraph"/>
                              <w:spacing w:before="13"/>
                              <w:ind w:left="15"/>
                              <w:rPr>
                                <w:sz w:val="22"/>
                              </w:rPr>
                            </w:pPr>
                            <w:r>
                              <w:rPr>
                                <w:color w:val="232323"/>
                                <w:sz w:val="22"/>
                              </w:rPr>
                              <w:t>Risk</w:t>
                            </w:r>
                            <w:r>
                              <w:rPr>
                                <w:color w:val="232323"/>
                                <w:spacing w:val="-9"/>
                                <w:sz w:val="22"/>
                              </w:rPr>
                              <w:t> </w:t>
                            </w:r>
                            <w:r>
                              <w:rPr>
                                <w:color w:val="232323"/>
                                <w:sz w:val="22"/>
                              </w:rPr>
                              <w:t>that</w:t>
                            </w:r>
                            <w:r>
                              <w:rPr>
                                <w:color w:val="232323"/>
                                <w:spacing w:val="-7"/>
                                <w:sz w:val="22"/>
                              </w:rPr>
                              <w:t> </w:t>
                            </w:r>
                            <w:r>
                              <w:rPr>
                                <w:color w:val="232323"/>
                                <w:sz w:val="22"/>
                              </w:rPr>
                              <w:t>procurement</w:t>
                            </w:r>
                            <w:r>
                              <w:rPr>
                                <w:color w:val="232323"/>
                                <w:spacing w:val="-7"/>
                                <w:sz w:val="22"/>
                              </w:rPr>
                              <w:t> </w:t>
                            </w:r>
                            <w:r>
                              <w:rPr>
                                <w:color w:val="232323"/>
                                <w:sz w:val="22"/>
                              </w:rPr>
                              <w:t>process</w:t>
                            </w:r>
                            <w:r>
                              <w:rPr>
                                <w:color w:val="232323"/>
                                <w:spacing w:val="-6"/>
                                <w:sz w:val="22"/>
                              </w:rPr>
                              <w:t> </w:t>
                            </w:r>
                            <w:r>
                              <w:rPr>
                                <w:color w:val="232323"/>
                                <w:sz w:val="22"/>
                              </w:rPr>
                              <w:t>timeline/complexity</w:t>
                            </w:r>
                            <w:r>
                              <w:rPr>
                                <w:color w:val="232323"/>
                                <w:spacing w:val="-6"/>
                                <w:sz w:val="22"/>
                              </w:rPr>
                              <w:t> </w:t>
                            </w:r>
                            <w:r>
                              <w:rPr>
                                <w:color w:val="232323"/>
                                <w:spacing w:val="-5"/>
                                <w:sz w:val="22"/>
                              </w:rPr>
                              <w:t>is</w:t>
                            </w:r>
                          </w:p>
                          <w:p>
                            <w:pPr>
                              <w:pStyle w:val="TableParagraph"/>
                              <w:spacing w:before="37"/>
                              <w:ind w:left="15"/>
                              <w:rPr>
                                <w:sz w:val="22"/>
                              </w:rPr>
                            </w:pPr>
                            <w:r>
                              <w:rPr>
                                <w:color w:val="232323"/>
                                <w:spacing w:val="-2"/>
                                <w:sz w:val="22"/>
                              </w:rPr>
                              <w:t>underestimated</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r>
                        <w:trPr>
                          <w:trHeight w:val="345" w:hRule="atLeast"/>
                        </w:trPr>
                        <w:tc>
                          <w:tcPr>
                            <w:tcW w:w="5568" w:type="dxa"/>
                          </w:tcPr>
                          <w:p>
                            <w:pPr>
                              <w:pStyle w:val="TableParagraph"/>
                              <w:spacing w:before="14"/>
                              <w:ind w:left="15"/>
                              <w:rPr>
                                <w:sz w:val="22"/>
                              </w:rPr>
                            </w:pPr>
                            <w:r>
                              <w:rPr>
                                <w:color w:val="232323"/>
                                <w:sz w:val="22"/>
                              </w:rPr>
                              <w:t>Risk</w:t>
                            </w:r>
                            <w:r>
                              <w:rPr>
                                <w:color w:val="232323"/>
                                <w:spacing w:val="-5"/>
                                <w:sz w:val="22"/>
                              </w:rPr>
                              <w:t> </w:t>
                            </w:r>
                            <w:r>
                              <w:rPr>
                                <w:color w:val="232323"/>
                                <w:sz w:val="22"/>
                              </w:rPr>
                              <w:t>that</w:t>
                            </w:r>
                            <w:r>
                              <w:rPr>
                                <w:color w:val="232323"/>
                                <w:spacing w:val="-5"/>
                                <w:sz w:val="22"/>
                              </w:rPr>
                              <w:t> </w:t>
                            </w:r>
                            <w:r>
                              <w:rPr>
                                <w:color w:val="232323"/>
                                <w:sz w:val="22"/>
                              </w:rPr>
                              <w:t>capital</w:t>
                            </w:r>
                            <w:r>
                              <w:rPr>
                                <w:color w:val="232323"/>
                                <w:spacing w:val="-8"/>
                                <w:sz w:val="22"/>
                              </w:rPr>
                              <w:t> </w:t>
                            </w:r>
                            <w:r>
                              <w:rPr>
                                <w:color w:val="232323"/>
                                <w:sz w:val="22"/>
                              </w:rPr>
                              <w:t>requirements</w:t>
                            </w:r>
                            <w:r>
                              <w:rPr>
                                <w:color w:val="232323"/>
                                <w:spacing w:val="-4"/>
                                <w:sz w:val="22"/>
                              </w:rPr>
                              <w:t> </w:t>
                            </w:r>
                            <w:r>
                              <w:rPr>
                                <w:color w:val="232323"/>
                                <w:sz w:val="22"/>
                              </w:rPr>
                              <w:t>are</w:t>
                            </w:r>
                            <w:r>
                              <w:rPr>
                                <w:color w:val="232323"/>
                                <w:spacing w:val="-1"/>
                                <w:sz w:val="22"/>
                              </w:rPr>
                              <w:t> </w:t>
                            </w:r>
                            <w:r>
                              <w:rPr>
                                <w:color w:val="232323"/>
                                <w:sz w:val="22"/>
                              </w:rPr>
                              <w:t>under/over</w:t>
                            </w:r>
                            <w:r>
                              <w:rPr>
                                <w:color w:val="232323"/>
                                <w:spacing w:val="-2"/>
                                <w:sz w:val="22"/>
                              </w:rPr>
                              <w:t> estimated</w:t>
                            </w:r>
                          </w:p>
                        </w:tc>
                        <w:tc>
                          <w:tcPr>
                            <w:tcW w:w="1286" w:type="dxa"/>
                          </w:tcPr>
                          <w:p>
                            <w:pPr>
                              <w:pStyle w:val="TableParagraph"/>
                              <w:spacing w:before="14"/>
                              <w:ind w:left="9" w:right="4"/>
                              <w:jc w:val="center"/>
                              <w:rPr>
                                <w:sz w:val="22"/>
                              </w:rPr>
                            </w:pPr>
                            <w:r>
                              <w:rPr>
                                <w:color w:val="232323"/>
                                <w:spacing w:val="-10"/>
                                <w:sz w:val="22"/>
                              </w:rPr>
                              <w:t>4</w:t>
                            </w:r>
                          </w:p>
                        </w:tc>
                        <w:tc>
                          <w:tcPr>
                            <w:tcW w:w="870" w:type="dxa"/>
                          </w:tcPr>
                          <w:p>
                            <w:pPr>
                              <w:pStyle w:val="TableParagraph"/>
                              <w:spacing w:before="14"/>
                              <w:jc w:val="center"/>
                              <w:rPr>
                                <w:sz w:val="22"/>
                              </w:rPr>
                            </w:pPr>
                            <w:r>
                              <w:rPr>
                                <w:color w:val="232323"/>
                                <w:spacing w:val="-10"/>
                                <w:sz w:val="22"/>
                              </w:rPr>
                              <w:t>4</w:t>
                            </w:r>
                          </w:p>
                        </w:tc>
                        <w:tc>
                          <w:tcPr>
                            <w:tcW w:w="1916" w:type="dxa"/>
                            <w:shd w:val="clear" w:color="auto" w:fill="FF0000"/>
                          </w:tcPr>
                          <w:p>
                            <w:pPr>
                              <w:pStyle w:val="TableParagraph"/>
                              <w:spacing w:before="14"/>
                              <w:ind w:left="14" w:right="1"/>
                              <w:jc w:val="center"/>
                              <w:rPr>
                                <w:sz w:val="22"/>
                              </w:rPr>
                            </w:pPr>
                            <w:r>
                              <w:rPr>
                                <w:color w:val="232323"/>
                                <w:spacing w:val="-5"/>
                                <w:sz w:val="22"/>
                              </w:rPr>
                              <w:t>16</w:t>
                            </w:r>
                          </w:p>
                        </w:tc>
                      </w:tr>
                      <w:tr>
                        <w:trPr>
                          <w:trHeight w:val="594" w:hRule="atLeast"/>
                        </w:trPr>
                        <w:tc>
                          <w:tcPr>
                            <w:tcW w:w="5568" w:type="dxa"/>
                          </w:tcPr>
                          <w:p>
                            <w:pPr>
                              <w:pStyle w:val="TableParagraph"/>
                              <w:spacing w:before="13"/>
                              <w:ind w:left="15"/>
                              <w:rPr>
                                <w:sz w:val="22"/>
                              </w:rPr>
                            </w:pPr>
                            <w:r>
                              <w:rPr>
                                <w:color w:val="232323"/>
                                <w:sz w:val="22"/>
                              </w:rPr>
                              <w:t>Risk</w:t>
                            </w:r>
                            <w:r>
                              <w:rPr>
                                <w:color w:val="232323"/>
                                <w:spacing w:val="-5"/>
                                <w:sz w:val="22"/>
                              </w:rPr>
                              <w:t> </w:t>
                            </w:r>
                            <w:r>
                              <w:rPr>
                                <w:color w:val="232323"/>
                                <w:sz w:val="22"/>
                              </w:rPr>
                              <w:t>that</w:t>
                            </w:r>
                            <w:r>
                              <w:rPr>
                                <w:color w:val="232323"/>
                                <w:spacing w:val="-6"/>
                                <w:sz w:val="22"/>
                              </w:rPr>
                              <w:t> </w:t>
                            </w:r>
                            <w:r>
                              <w:rPr>
                                <w:color w:val="232323"/>
                                <w:sz w:val="22"/>
                              </w:rPr>
                              <w:t>equipment</w:t>
                            </w:r>
                            <w:r>
                              <w:rPr>
                                <w:color w:val="232323"/>
                                <w:spacing w:val="-5"/>
                                <w:sz w:val="22"/>
                              </w:rPr>
                              <w:t> </w:t>
                            </w:r>
                            <w:r>
                              <w:rPr>
                                <w:color w:val="232323"/>
                                <w:sz w:val="22"/>
                              </w:rPr>
                              <w:t>requirements/costs</w:t>
                            </w:r>
                            <w:r>
                              <w:rPr>
                                <w:color w:val="232323"/>
                                <w:spacing w:val="-5"/>
                                <w:sz w:val="22"/>
                              </w:rPr>
                              <w:t> </w:t>
                            </w:r>
                            <w:r>
                              <w:rPr>
                                <w:color w:val="232323"/>
                                <w:sz w:val="22"/>
                              </w:rPr>
                              <w:t>will</w:t>
                            </w:r>
                            <w:r>
                              <w:rPr>
                                <w:color w:val="232323"/>
                                <w:spacing w:val="-4"/>
                                <w:sz w:val="22"/>
                              </w:rPr>
                              <w:t> </w:t>
                            </w:r>
                            <w:r>
                              <w:rPr>
                                <w:color w:val="232323"/>
                                <w:sz w:val="22"/>
                              </w:rPr>
                              <w:t>be</w:t>
                            </w:r>
                            <w:r>
                              <w:rPr>
                                <w:color w:val="232323"/>
                                <w:spacing w:val="-1"/>
                                <w:sz w:val="22"/>
                              </w:rPr>
                              <w:t> </w:t>
                            </w:r>
                            <w:r>
                              <w:rPr>
                                <w:color w:val="232323"/>
                                <w:spacing w:val="-2"/>
                                <w:sz w:val="22"/>
                              </w:rPr>
                              <w:t>under-</w:t>
                            </w:r>
                          </w:p>
                          <w:p>
                            <w:pPr>
                              <w:pStyle w:val="TableParagraph"/>
                              <w:spacing w:before="37"/>
                              <w:ind w:left="15"/>
                              <w:rPr>
                                <w:sz w:val="22"/>
                              </w:rPr>
                            </w:pPr>
                            <w:r>
                              <w:rPr>
                                <w:color w:val="232323"/>
                                <w:spacing w:val="-2"/>
                                <w:sz w:val="22"/>
                              </w:rPr>
                              <w:t>estimated</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r>
                        <w:trPr>
                          <w:trHeight w:val="600" w:hRule="atLeast"/>
                        </w:trPr>
                        <w:tc>
                          <w:tcPr>
                            <w:tcW w:w="5568" w:type="dxa"/>
                          </w:tcPr>
                          <w:p>
                            <w:pPr>
                              <w:pStyle w:val="TableParagraph"/>
                              <w:spacing w:before="13"/>
                              <w:ind w:left="15"/>
                              <w:rPr>
                                <w:sz w:val="22"/>
                              </w:rPr>
                            </w:pPr>
                            <w:r>
                              <w:rPr>
                                <w:color w:val="232323"/>
                                <w:sz w:val="22"/>
                              </w:rPr>
                              <w:t>Risk</w:t>
                            </w:r>
                            <w:r>
                              <w:rPr>
                                <w:color w:val="232323"/>
                                <w:spacing w:val="-5"/>
                                <w:sz w:val="22"/>
                              </w:rPr>
                              <w:t> </w:t>
                            </w:r>
                            <w:r>
                              <w:rPr>
                                <w:color w:val="232323"/>
                                <w:sz w:val="22"/>
                              </w:rPr>
                              <w:t>that</w:t>
                            </w:r>
                            <w:r>
                              <w:rPr>
                                <w:color w:val="232323"/>
                                <w:spacing w:val="-6"/>
                                <w:sz w:val="22"/>
                              </w:rPr>
                              <w:t> </w:t>
                            </w:r>
                            <w:r>
                              <w:rPr>
                                <w:color w:val="232323"/>
                                <w:sz w:val="22"/>
                              </w:rPr>
                              <w:t>digital</w:t>
                            </w:r>
                            <w:r>
                              <w:rPr>
                                <w:color w:val="232323"/>
                                <w:spacing w:val="-4"/>
                                <w:sz w:val="22"/>
                              </w:rPr>
                              <w:t> </w:t>
                            </w:r>
                            <w:r>
                              <w:rPr>
                                <w:color w:val="232323"/>
                                <w:sz w:val="22"/>
                              </w:rPr>
                              <w:t>equipping</w:t>
                            </w:r>
                            <w:r>
                              <w:rPr>
                                <w:color w:val="232323"/>
                                <w:spacing w:val="-7"/>
                                <w:sz w:val="22"/>
                              </w:rPr>
                              <w:t> </w:t>
                            </w:r>
                            <w:r>
                              <w:rPr>
                                <w:color w:val="232323"/>
                                <w:sz w:val="22"/>
                              </w:rPr>
                              <w:t>requirements</w:t>
                            </w:r>
                            <w:r>
                              <w:rPr>
                                <w:color w:val="232323"/>
                                <w:spacing w:val="-5"/>
                                <w:sz w:val="22"/>
                              </w:rPr>
                              <w:t> </w:t>
                            </w:r>
                            <w:r>
                              <w:rPr>
                                <w:color w:val="232323"/>
                                <w:sz w:val="22"/>
                              </w:rPr>
                              <w:t>(hardware</w:t>
                            </w:r>
                            <w:r>
                              <w:rPr>
                                <w:color w:val="232323"/>
                                <w:spacing w:val="-1"/>
                                <w:sz w:val="22"/>
                              </w:rPr>
                              <w:t> </w:t>
                            </w:r>
                            <w:r>
                              <w:rPr>
                                <w:color w:val="232323"/>
                                <w:spacing w:val="-10"/>
                                <w:sz w:val="22"/>
                              </w:rPr>
                              <w:t>&amp;</w:t>
                            </w:r>
                          </w:p>
                          <w:p>
                            <w:pPr>
                              <w:pStyle w:val="TableParagraph"/>
                              <w:spacing w:before="38"/>
                              <w:ind w:left="15"/>
                              <w:rPr>
                                <w:sz w:val="22"/>
                              </w:rPr>
                            </w:pPr>
                            <w:r>
                              <w:rPr>
                                <w:color w:val="232323"/>
                                <w:sz w:val="22"/>
                              </w:rPr>
                              <w:t>fibre</w:t>
                            </w:r>
                            <w:r>
                              <w:rPr>
                                <w:color w:val="232323"/>
                                <w:spacing w:val="-3"/>
                                <w:sz w:val="22"/>
                              </w:rPr>
                              <w:t> </w:t>
                            </w:r>
                            <w:r>
                              <w:rPr>
                                <w:color w:val="232323"/>
                                <w:sz w:val="22"/>
                              </w:rPr>
                              <w:t>cabling)</w:t>
                            </w:r>
                            <w:r>
                              <w:rPr>
                                <w:color w:val="232323"/>
                                <w:spacing w:val="-4"/>
                                <w:sz w:val="22"/>
                              </w:rPr>
                              <w:t> </w:t>
                            </w:r>
                            <w:r>
                              <w:rPr>
                                <w:color w:val="232323"/>
                                <w:sz w:val="22"/>
                              </w:rPr>
                              <w:t>could</w:t>
                            </w:r>
                            <w:r>
                              <w:rPr>
                                <w:color w:val="232323"/>
                                <w:spacing w:val="-3"/>
                                <w:sz w:val="22"/>
                              </w:rPr>
                              <w:t> </w:t>
                            </w:r>
                            <w:r>
                              <w:rPr>
                                <w:color w:val="232323"/>
                                <w:sz w:val="22"/>
                              </w:rPr>
                              <w:t>be</w:t>
                            </w:r>
                            <w:r>
                              <w:rPr>
                                <w:color w:val="232323"/>
                                <w:spacing w:val="-2"/>
                                <w:sz w:val="22"/>
                              </w:rPr>
                              <w:t> underestimated</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r>
                        <w:trPr>
                          <w:trHeight w:val="595" w:hRule="atLeast"/>
                        </w:trPr>
                        <w:tc>
                          <w:tcPr>
                            <w:tcW w:w="5568" w:type="dxa"/>
                          </w:tcPr>
                          <w:p>
                            <w:pPr>
                              <w:pStyle w:val="TableParagraph"/>
                              <w:spacing w:before="14"/>
                              <w:ind w:left="15"/>
                              <w:rPr>
                                <w:sz w:val="22"/>
                              </w:rPr>
                            </w:pPr>
                            <w:r>
                              <w:rPr>
                                <w:color w:val="232323"/>
                                <w:sz w:val="22"/>
                              </w:rPr>
                              <w:t>Risk</w:t>
                            </w:r>
                            <w:r>
                              <w:rPr>
                                <w:color w:val="232323"/>
                                <w:spacing w:val="-7"/>
                                <w:sz w:val="22"/>
                              </w:rPr>
                              <w:t> </w:t>
                            </w:r>
                            <w:r>
                              <w:rPr>
                                <w:color w:val="232323"/>
                                <w:sz w:val="22"/>
                              </w:rPr>
                              <w:t>that</w:t>
                            </w:r>
                            <w:r>
                              <w:rPr>
                                <w:color w:val="232323"/>
                                <w:spacing w:val="-5"/>
                                <w:sz w:val="22"/>
                              </w:rPr>
                              <w:t> </w:t>
                            </w:r>
                            <w:r>
                              <w:rPr>
                                <w:color w:val="232323"/>
                                <w:sz w:val="22"/>
                              </w:rPr>
                              <w:t>late</w:t>
                            </w:r>
                            <w:r>
                              <w:rPr>
                                <w:color w:val="232323"/>
                                <w:spacing w:val="-1"/>
                                <w:sz w:val="22"/>
                              </w:rPr>
                              <w:t> </w:t>
                            </w:r>
                            <w:r>
                              <w:rPr>
                                <w:color w:val="232323"/>
                                <w:sz w:val="22"/>
                              </w:rPr>
                              <w:t>confirmation</w:t>
                            </w:r>
                            <w:r>
                              <w:rPr>
                                <w:color w:val="232323"/>
                                <w:spacing w:val="-1"/>
                                <w:sz w:val="22"/>
                              </w:rPr>
                              <w:t> </w:t>
                            </w:r>
                            <w:r>
                              <w:rPr>
                                <w:color w:val="232323"/>
                                <w:sz w:val="22"/>
                              </w:rPr>
                              <w:t>of</w:t>
                            </w:r>
                            <w:r>
                              <w:rPr>
                                <w:color w:val="232323"/>
                                <w:spacing w:val="-5"/>
                                <w:sz w:val="22"/>
                              </w:rPr>
                              <w:t> </w:t>
                            </w:r>
                            <w:r>
                              <w:rPr>
                                <w:color w:val="232323"/>
                                <w:sz w:val="22"/>
                              </w:rPr>
                              <w:t>Lab</w:t>
                            </w:r>
                            <w:r>
                              <w:rPr>
                                <w:color w:val="232323"/>
                                <w:spacing w:val="-6"/>
                                <w:sz w:val="22"/>
                              </w:rPr>
                              <w:t> </w:t>
                            </w:r>
                            <w:r>
                              <w:rPr>
                                <w:color w:val="232323"/>
                                <w:sz w:val="22"/>
                              </w:rPr>
                              <w:t>eqpt</w:t>
                            </w:r>
                            <w:r>
                              <w:rPr>
                                <w:color w:val="232323"/>
                                <w:spacing w:val="-5"/>
                                <w:sz w:val="22"/>
                              </w:rPr>
                              <w:t> </w:t>
                            </w:r>
                            <w:r>
                              <w:rPr>
                                <w:color w:val="232323"/>
                                <w:sz w:val="22"/>
                              </w:rPr>
                              <w:t>requirements</w:t>
                            </w:r>
                            <w:r>
                              <w:rPr>
                                <w:color w:val="232323"/>
                                <w:spacing w:val="-4"/>
                                <w:sz w:val="22"/>
                              </w:rPr>
                              <w:t> </w:t>
                            </w:r>
                            <w:r>
                              <w:rPr>
                                <w:color w:val="232323"/>
                                <w:spacing w:val="-10"/>
                                <w:sz w:val="22"/>
                              </w:rPr>
                              <w:t>/</w:t>
                            </w:r>
                          </w:p>
                          <w:p>
                            <w:pPr>
                              <w:pStyle w:val="TableParagraph"/>
                              <w:spacing w:before="37"/>
                              <w:ind w:left="15"/>
                              <w:rPr>
                                <w:sz w:val="22"/>
                              </w:rPr>
                            </w:pPr>
                            <w:r>
                              <w:rPr>
                                <w:color w:val="232323"/>
                                <w:sz w:val="22"/>
                              </w:rPr>
                              <w:t>configuration</w:t>
                            </w:r>
                            <w:r>
                              <w:rPr>
                                <w:color w:val="232323"/>
                                <w:spacing w:val="-2"/>
                                <w:sz w:val="22"/>
                              </w:rPr>
                              <w:t> </w:t>
                            </w:r>
                            <w:r>
                              <w:rPr>
                                <w:color w:val="232323"/>
                                <w:sz w:val="22"/>
                              </w:rPr>
                              <w:t>will</w:t>
                            </w:r>
                            <w:r>
                              <w:rPr>
                                <w:color w:val="232323"/>
                                <w:spacing w:val="-3"/>
                                <w:sz w:val="22"/>
                              </w:rPr>
                              <w:t> </w:t>
                            </w:r>
                            <w:r>
                              <w:rPr>
                                <w:color w:val="232323"/>
                                <w:sz w:val="22"/>
                              </w:rPr>
                              <w:t>delay</w:t>
                            </w:r>
                            <w:r>
                              <w:rPr>
                                <w:color w:val="232323"/>
                                <w:spacing w:val="-9"/>
                                <w:sz w:val="22"/>
                              </w:rPr>
                              <w:t> </w:t>
                            </w:r>
                            <w:r>
                              <w:rPr>
                                <w:color w:val="232323"/>
                                <w:sz w:val="22"/>
                              </w:rPr>
                              <w:t>design</w:t>
                            </w:r>
                            <w:r>
                              <w:rPr>
                                <w:color w:val="232323"/>
                                <w:spacing w:val="-6"/>
                                <w:sz w:val="22"/>
                              </w:rPr>
                              <w:t> </w:t>
                            </w:r>
                            <w:r>
                              <w:rPr>
                                <w:color w:val="232323"/>
                                <w:spacing w:val="-2"/>
                                <w:sz w:val="22"/>
                              </w:rPr>
                              <w:t>process</w:t>
                            </w:r>
                          </w:p>
                        </w:tc>
                        <w:tc>
                          <w:tcPr>
                            <w:tcW w:w="1286" w:type="dxa"/>
                          </w:tcPr>
                          <w:p>
                            <w:pPr>
                              <w:pStyle w:val="TableParagraph"/>
                              <w:spacing w:before="14"/>
                              <w:ind w:left="9" w:right="4"/>
                              <w:jc w:val="center"/>
                              <w:rPr>
                                <w:sz w:val="22"/>
                              </w:rPr>
                            </w:pPr>
                            <w:r>
                              <w:rPr>
                                <w:color w:val="232323"/>
                                <w:spacing w:val="-10"/>
                                <w:sz w:val="22"/>
                              </w:rPr>
                              <w:t>4</w:t>
                            </w:r>
                          </w:p>
                        </w:tc>
                        <w:tc>
                          <w:tcPr>
                            <w:tcW w:w="870" w:type="dxa"/>
                          </w:tcPr>
                          <w:p>
                            <w:pPr>
                              <w:pStyle w:val="TableParagraph"/>
                              <w:spacing w:before="14"/>
                              <w:jc w:val="center"/>
                              <w:rPr>
                                <w:sz w:val="22"/>
                              </w:rPr>
                            </w:pPr>
                            <w:r>
                              <w:rPr>
                                <w:color w:val="232323"/>
                                <w:spacing w:val="-10"/>
                                <w:sz w:val="22"/>
                              </w:rPr>
                              <w:t>4</w:t>
                            </w:r>
                          </w:p>
                        </w:tc>
                        <w:tc>
                          <w:tcPr>
                            <w:tcW w:w="1916" w:type="dxa"/>
                            <w:shd w:val="clear" w:color="auto" w:fill="FF0000"/>
                          </w:tcPr>
                          <w:p>
                            <w:pPr>
                              <w:pStyle w:val="TableParagraph"/>
                              <w:spacing w:before="14"/>
                              <w:ind w:left="14" w:right="1"/>
                              <w:jc w:val="center"/>
                              <w:rPr>
                                <w:sz w:val="22"/>
                              </w:rPr>
                            </w:pPr>
                            <w:r>
                              <w:rPr>
                                <w:color w:val="232323"/>
                                <w:spacing w:val="-5"/>
                                <w:sz w:val="22"/>
                              </w:rPr>
                              <w:t>16</w:t>
                            </w:r>
                          </w:p>
                        </w:tc>
                      </w:tr>
                      <w:tr>
                        <w:trPr>
                          <w:trHeight w:val="595" w:hRule="atLeast"/>
                        </w:trPr>
                        <w:tc>
                          <w:tcPr>
                            <w:tcW w:w="5568" w:type="dxa"/>
                          </w:tcPr>
                          <w:p>
                            <w:pPr>
                              <w:pStyle w:val="TableParagraph"/>
                              <w:spacing w:before="13"/>
                              <w:ind w:left="15"/>
                              <w:rPr>
                                <w:sz w:val="22"/>
                              </w:rPr>
                            </w:pPr>
                            <w:r>
                              <w:rPr>
                                <w:color w:val="232323"/>
                                <w:sz w:val="22"/>
                              </w:rPr>
                              <w:t>Risk</w:t>
                            </w:r>
                            <w:r>
                              <w:rPr>
                                <w:color w:val="232323"/>
                                <w:spacing w:val="-5"/>
                                <w:sz w:val="22"/>
                              </w:rPr>
                              <w:t> </w:t>
                            </w:r>
                            <w:r>
                              <w:rPr>
                                <w:color w:val="232323"/>
                                <w:sz w:val="22"/>
                              </w:rPr>
                              <w:t>that</w:t>
                            </w:r>
                            <w:r>
                              <w:rPr>
                                <w:color w:val="232323"/>
                                <w:spacing w:val="-6"/>
                                <w:sz w:val="22"/>
                              </w:rPr>
                              <w:t> </w:t>
                            </w:r>
                            <w:r>
                              <w:rPr>
                                <w:color w:val="232323"/>
                                <w:sz w:val="22"/>
                              </w:rPr>
                              <w:t>Laboratory</w:t>
                            </w:r>
                            <w:r>
                              <w:rPr>
                                <w:color w:val="232323"/>
                                <w:spacing w:val="-4"/>
                                <w:sz w:val="22"/>
                              </w:rPr>
                              <w:t> </w:t>
                            </w:r>
                            <w:r>
                              <w:rPr>
                                <w:color w:val="232323"/>
                                <w:sz w:val="22"/>
                              </w:rPr>
                              <w:t>configuration</w:t>
                            </w:r>
                            <w:r>
                              <w:rPr>
                                <w:color w:val="232323"/>
                                <w:spacing w:val="-2"/>
                                <w:sz w:val="22"/>
                              </w:rPr>
                              <w:t> </w:t>
                            </w:r>
                            <w:r>
                              <w:rPr>
                                <w:color w:val="232323"/>
                                <w:sz w:val="22"/>
                              </w:rPr>
                              <w:t>and</w:t>
                            </w:r>
                            <w:r>
                              <w:rPr>
                                <w:color w:val="232323"/>
                                <w:spacing w:val="-6"/>
                                <w:sz w:val="22"/>
                              </w:rPr>
                              <w:t> </w:t>
                            </w:r>
                            <w:r>
                              <w:rPr>
                                <w:color w:val="232323"/>
                                <w:sz w:val="22"/>
                              </w:rPr>
                              <w:t>design</w:t>
                            </w:r>
                            <w:r>
                              <w:rPr>
                                <w:color w:val="232323"/>
                                <w:spacing w:val="-2"/>
                                <w:sz w:val="22"/>
                              </w:rPr>
                              <w:t> </w:t>
                            </w:r>
                            <w:r>
                              <w:rPr>
                                <w:color w:val="232323"/>
                                <w:sz w:val="22"/>
                              </w:rPr>
                              <w:t>is</w:t>
                            </w:r>
                            <w:r>
                              <w:rPr>
                                <w:color w:val="232323"/>
                                <w:spacing w:val="-4"/>
                                <w:sz w:val="22"/>
                              </w:rPr>
                              <w:t> </w:t>
                            </w:r>
                            <w:r>
                              <w:rPr>
                                <w:color w:val="232323"/>
                                <w:spacing w:val="-2"/>
                                <w:sz w:val="22"/>
                              </w:rPr>
                              <w:t>poorly</w:t>
                            </w:r>
                          </w:p>
                          <w:p>
                            <w:pPr>
                              <w:pStyle w:val="TableParagraph"/>
                              <w:spacing w:before="37"/>
                              <w:ind w:left="15"/>
                              <w:rPr>
                                <w:sz w:val="22"/>
                              </w:rPr>
                            </w:pPr>
                            <w:r>
                              <w:rPr>
                                <w:color w:val="232323"/>
                                <w:spacing w:val="-2"/>
                                <w:sz w:val="22"/>
                              </w:rPr>
                              <w:t>informed/planned</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r>
                        <w:trPr>
                          <w:trHeight w:val="890" w:hRule="atLeast"/>
                        </w:trPr>
                        <w:tc>
                          <w:tcPr>
                            <w:tcW w:w="5568" w:type="dxa"/>
                          </w:tcPr>
                          <w:p>
                            <w:pPr>
                              <w:pStyle w:val="TableParagraph"/>
                              <w:spacing w:line="276" w:lineRule="auto" w:before="13"/>
                              <w:ind w:left="15"/>
                              <w:rPr>
                                <w:sz w:val="22"/>
                              </w:rPr>
                            </w:pPr>
                            <w:r>
                              <w:rPr>
                                <w:color w:val="232323"/>
                                <w:sz w:val="22"/>
                              </w:rPr>
                              <w:t>Risk</w:t>
                            </w:r>
                            <w:r>
                              <w:rPr>
                                <w:color w:val="232323"/>
                                <w:spacing w:val="-6"/>
                                <w:sz w:val="22"/>
                              </w:rPr>
                              <w:t> </w:t>
                            </w:r>
                            <w:r>
                              <w:rPr>
                                <w:color w:val="232323"/>
                                <w:sz w:val="22"/>
                              </w:rPr>
                              <w:t>that</w:t>
                            </w:r>
                            <w:r>
                              <w:rPr>
                                <w:color w:val="232323"/>
                                <w:spacing w:val="-7"/>
                                <w:sz w:val="22"/>
                              </w:rPr>
                              <w:t> </w:t>
                            </w:r>
                            <w:r>
                              <w:rPr>
                                <w:color w:val="232323"/>
                                <w:sz w:val="22"/>
                              </w:rPr>
                              <w:t>new</w:t>
                            </w:r>
                            <w:r>
                              <w:rPr>
                                <w:color w:val="232323"/>
                                <w:spacing w:val="-5"/>
                                <w:sz w:val="22"/>
                              </w:rPr>
                              <w:t> </w:t>
                            </w:r>
                            <w:r>
                              <w:rPr>
                                <w:color w:val="232323"/>
                                <w:sz w:val="22"/>
                              </w:rPr>
                              <w:t>Building</w:t>
                            </w:r>
                            <w:r>
                              <w:rPr>
                                <w:color w:val="232323"/>
                                <w:spacing w:val="-8"/>
                                <w:sz w:val="22"/>
                              </w:rPr>
                              <w:t> </w:t>
                            </w:r>
                            <w:r>
                              <w:rPr>
                                <w:color w:val="232323"/>
                                <w:sz w:val="22"/>
                              </w:rPr>
                              <w:t>Control</w:t>
                            </w:r>
                            <w:r>
                              <w:rPr>
                                <w:color w:val="232323"/>
                                <w:spacing w:val="-5"/>
                                <w:sz w:val="22"/>
                              </w:rPr>
                              <w:t> </w:t>
                            </w:r>
                            <w:r>
                              <w:rPr>
                                <w:color w:val="232323"/>
                                <w:sz w:val="22"/>
                              </w:rPr>
                              <w:t>regulations</w:t>
                            </w:r>
                            <w:r>
                              <w:rPr>
                                <w:color w:val="232323"/>
                                <w:spacing w:val="-6"/>
                                <w:sz w:val="22"/>
                              </w:rPr>
                              <w:t> </w:t>
                            </w:r>
                            <w:r>
                              <w:rPr>
                                <w:color w:val="232323"/>
                                <w:sz w:val="22"/>
                              </w:rPr>
                              <w:t>(effective</w:t>
                            </w:r>
                            <w:r>
                              <w:rPr>
                                <w:color w:val="232323"/>
                                <w:spacing w:val="-8"/>
                                <w:sz w:val="22"/>
                              </w:rPr>
                              <w:t> </w:t>
                            </w:r>
                            <w:r>
                              <w:rPr>
                                <w:color w:val="232323"/>
                                <w:sz w:val="22"/>
                              </w:rPr>
                              <w:t>from the 1st of July 2026) approvals will be more onerous</w:t>
                            </w:r>
                          </w:p>
                          <w:p>
                            <w:pPr>
                              <w:pStyle w:val="TableParagraph"/>
                              <w:spacing w:before="3"/>
                              <w:ind w:left="15"/>
                              <w:rPr>
                                <w:sz w:val="22"/>
                              </w:rPr>
                            </w:pPr>
                            <w:r>
                              <w:rPr>
                                <w:color w:val="232323"/>
                                <w:sz w:val="22"/>
                              </w:rPr>
                              <w:t>extending</w:t>
                            </w:r>
                            <w:r>
                              <w:rPr>
                                <w:color w:val="232323"/>
                                <w:spacing w:val="-4"/>
                                <w:sz w:val="22"/>
                              </w:rPr>
                              <w:t> </w:t>
                            </w:r>
                            <w:r>
                              <w:rPr>
                                <w:color w:val="232323"/>
                                <w:sz w:val="22"/>
                              </w:rPr>
                              <w:t>project</w:t>
                            </w:r>
                            <w:r>
                              <w:rPr>
                                <w:color w:val="232323"/>
                                <w:spacing w:val="-2"/>
                                <w:sz w:val="22"/>
                              </w:rPr>
                              <w:t> timelines.</w:t>
                            </w:r>
                          </w:p>
                        </w:tc>
                        <w:tc>
                          <w:tcPr>
                            <w:tcW w:w="1286" w:type="dxa"/>
                          </w:tcPr>
                          <w:p>
                            <w:pPr>
                              <w:pStyle w:val="TableParagraph"/>
                              <w:spacing w:before="13"/>
                              <w:ind w:left="9" w:right="4"/>
                              <w:jc w:val="center"/>
                              <w:rPr>
                                <w:sz w:val="22"/>
                              </w:rPr>
                            </w:pPr>
                            <w:r>
                              <w:rPr>
                                <w:color w:val="232323"/>
                                <w:spacing w:val="-10"/>
                                <w:sz w:val="22"/>
                              </w:rPr>
                              <w:t>4</w:t>
                            </w:r>
                          </w:p>
                        </w:tc>
                        <w:tc>
                          <w:tcPr>
                            <w:tcW w:w="870" w:type="dxa"/>
                          </w:tcPr>
                          <w:p>
                            <w:pPr>
                              <w:pStyle w:val="TableParagraph"/>
                              <w:spacing w:before="13"/>
                              <w:jc w:val="center"/>
                              <w:rPr>
                                <w:sz w:val="22"/>
                              </w:rPr>
                            </w:pPr>
                            <w:r>
                              <w:rPr>
                                <w:color w:val="232323"/>
                                <w:spacing w:val="-10"/>
                                <w:sz w:val="22"/>
                              </w:rPr>
                              <w:t>4</w:t>
                            </w:r>
                          </w:p>
                        </w:tc>
                        <w:tc>
                          <w:tcPr>
                            <w:tcW w:w="1916" w:type="dxa"/>
                            <w:shd w:val="clear" w:color="auto" w:fill="FF0000"/>
                          </w:tcPr>
                          <w:p>
                            <w:pPr>
                              <w:pStyle w:val="TableParagraph"/>
                              <w:spacing w:before="13"/>
                              <w:ind w:left="14" w:right="1"/>
                              <w:jc w:val="center"/>
                              <w:rPr>
                                <w:sz w:val="22"/>
                              </w:rPr>
                            </w:pPr>
                            <w:r>
                              <w:rPr>
                                <w:color w:val="232323"/>
                                <w:spacing w:val="-5"/>
                                <w:sz w:val="22"/>
                              </w:rPr>
                              <w:t>16</w:t>
                            </w:r>
                          </w:p>
                        </w:tc>
                      </w:tr>
                    </w:tbl>
                    <w:p>
                      <w:pPr>
                        <w:pStyle w:val="BodyText"/>
                      </w:pPr>
                    </w:p>
                  </w:txbxContent>
                </v:textbox>
                <w10:wrap type="none"/>
              </v:shape>
            </w:pict>
          </mc:Fallback>
        </mc:AlternateContent>
      </w:r>
      <w:r>
        <w:rPr>
          <w:spacing w:val="-2"/>
          <w:sz w:val="16"/>
        </w:rPr>
        <w:t>Page</w:t>
      </w:r>
      <w:r>
        <w:rPr>
          <w:spacing w:val="-7"/>
          <w:sz w:val="16"/>
        </w:rPr>
        <w:t> </w:t>
      </w:r>
      <w:r>
        <w:rPr>
          <w:spacing w:val="-2"/>
          <w:sz w:val="16"/>
        </w:rPr>
        <w:t>5</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41" name="Image 341"/>
            <wp:cNvGraphicFramePr>
              <a:graphicFrameLocks/>
            </wp:cNvGraphicFramePr>
            <a:graphic>
              <a:graphicData uri="http://schemas.openxmlformats.org/drawingml/2006/picture">
                <pic:pic>
                  <pic:nvPicPr>
                    <pic:cNvPr id="341" name="Image 341"/>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42" name="Image 342"/>
            <wp:cNvGraphicFramePr>
              <a:graphicFrameLocks/>
            </wp:cNvGraphicFramePr>
            <a:graphic>
              <a:graphicData uri="http://schemas.openxmlformats.org/drawingml/2006/picture">
                <pic:pic>
                  <pic:nvPicPr>
                    <pic:cNvPr id="342" name="Image 342"/>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543" w:hRule="atLeast"/>
        </w:trPr>
        <w:tc>
          <w:tcPr>
            <w:tcW w:w="10069" w:type="dxa"/>
          </w:tcPr>
          <w:p>
            <w:pPr>
              <w:pStyle w:val="TableParagraph"/>
              <w:spacing w:before="98"/>
              <w:ind w:left="120"/>
              <w:rPr>
                <w:b/>
                <w:sz w:val="22"/>
              </w:rPr>
            </w:pPr>
            <w:r>
              <w:rPr>
                <w:b/>
                <w:color w:val="394871"/>
                <w:sz w:val="22"/>
              </w:rPr>
              <w:t>Business</w:t>
            </w:r>
            <w:r>
              <w:rPr>
                <w:b/>
                <w:color w:val="394871"/>
                <w:spacing w:val="-3"/>
                <w:sz w:val="22"/>
              </w:rPr>
              <w:t> </w:t>
            </w:r>
            <w:r>
              <w:rPr>
                <w:b/>
                <w:color w:val="394871"/>
                <w:sz w:val="22"/>
              </w:rPr>
              <w:t>Case</w:t>
            </w:r>
            <w:r>
              <w:rPr>
                <w:b/>
                <w:color w:val="394871"/>
                <w:spacing w:val="-2"/>
                <w:sz w:val="22"/>
              </w:rPr>
              <w:t> </w:t>
            </w:r>
            <w:r>
              <w:rPr>
                <w:b/>
                <w:color w:val="394871"/>
                <w:sz w:val="22"/>
              </w:rPr>
              <w:t>Development</w:t>
            </w:r>
            <w:r>
              <w:rPr>
                <w:b/>
                <w:color w:val="394871"/>
                <w:spacing w:val="-6"/>
                <w:sz w:val="22"/>
              </w:rPr>
              <w:t> </w:t>
            </w:r>
            <w:r>
              <w:rPr>
                <w:b/>
                <w:color w:val="394871"/>
                <w:sz w:val="22"/>
              </w:rPr>
              <w:t>and</w:t>
            </w:r>
            <w:r>
              <w:rPr>
                <w:b/>
                <w:color w:val="394871"/>
                <w:spacing w:val="-4"/>
                <w:sz w:val="22"/>
              </w:rPr>
              <w:t> </w:t>
            </w:r>
            <w:r>
              <w:rPr>
                <w:b/>
                <w:color w:val="394871"/>
                <w:sz w:val="22"/>
              </w:rPr>
              <w:t>Benefits</w:t>
            </w:r>
            <w:r>
              <w:rPr>
                <w:b/>
                <w:color w:val="394871"/>
                <w:spacing w:val="-2"/>
                <w:sz w:val="22"/>
              </w:rPr>
              <w:t> Realisation</w:t>
            </w:r>
          </w:p>
          <w:p>
            <w:pPr>
              <w:pStyle w:val="TableParagraph"/>
              <w:spacing w:line="276" w:lineRule="auto" w:before="97"/>
              <w:ind w:left="120" w:right="404"/>
              <w:rPr>
                <w:sz w:val="22"/>
              </w:rPr>
            </w:pPr>
            <w:r>
              <w:rPr>
                <w:color w:val="232323"/>
                <w:sz w:val="22"/>
              </w:rPr>
              <w:t>The Regional Pathology</w:t>
            </w:r>
            <w:r>
              <w:rPr>
                <w:color w:val="232323"/>
                <w:spacing w:val="-1"/>
                <w:sz w:val="22"/>
              </w:rPr>
              <w:t> </w:t>
            </w:r>
            <w:r>
              <w:rPr>
                <w:color w:val="232323"/>
                <w:sz w:val="22"/>
              </w:rPr>
              <w:t>Laboratory</w:t>
            </w:r>
            <w:r>
              <w:rPr>
                <w:color w:val="232323"/>
                <w:spacing w:val="-1"/>
                <w:sz w:val="22"/>
              </w:rPr>
              <w:t> </w:t>
            </w:r>
            <w:r>
              <w:rPr>
                <w:color w:val="232323"/>
                <w:sz w:val="22"/>
              </w:rPr>
              <w:t>Full Business</w:t>
            </w:r>
            <w:r>
              <w:rPr>
                <w:color w:val="232323"/>
                <w:spacing w:val="-1"/>
                <w:sz w:val="22"/>
              </w:rPr>
              <w:t> </w:t>
            </w:r>
            <w:r>
              <w:rPr>
                <w:color w:val="232323"/>
                <w:sz w:val="22"/>
              </w:rPr>
              <w:t>Case (FBC) continues</w:t>
            </w:r>
            <w:r>
              <w:rPr>
                <w:color w:val="232323"/>
                <w:spacing w:val="-1"/>
                <w:sz w:val="22"/>
              </w:rPr>
              <w:t> </w:t>
            </w:r>
            <w:r>
              <w:rPr>
                <w:color w:val="232323"/>
                <w:sz w:val="22"/>
              </w:rPr>
              <w:t>to progress</w:t>
            </w:r>
            <w:r>
              <w:rPr>
                <w:color w:val="232323"/>
                <w:spacing w:val="-1"/>
                <w:sz w:val="22"/>
              </w:rPr>
              <w:t> </w:t>
            </w:r>
            <w:r>
              <w:rPr>
                <w:color w:val="232323"/>
                <w:sz w:val="22"/>
              </w:rPr>
              <w:t>as</w:t>
            </w:r>
            <w:r>
              <w:rPr>
                <w:color w:val="232323"/>
                <w:spacing w:val="-1"/>
                <w:sz w:val="22"/>
              </w:rPr>
              <w:t> </w:t>
            </w:r>
            <w:r>
              <w:rPr>
                <w:color w:val="232323"/>
                <w:sz w:val="22"/>
              </w:rPr>
              <w:t>planned, with</w:t>
            </w:r>
            <w:r>
              <w:rPr>
                <w:color w:val="232323"/>
                <w:spacing w:val="-2"/>
                <w:sz w:val="22"/>
              </w:rPr>
              <w:t> </w:t>
            </w:r>
            <w:r>
              <w:rPr>
                <w:color w:val="232323"/>
                <w:sz w:val="22"/>
              </w:rPr>
              <w:t>the</w:t>
            </w:r>
            <w:r>
              <w:rPr>
                <w:color w:val="232323"/>
                <w:spacing w:val="-2"/>
                <w:sz w:val="22"/>
              </w:rPr>
              <w:t> </w:t>
            </w:r>
            <w:r>
              <w:rPr>
                <w:color w:val="232323"/>
                <w:sz w:val="22"/>
              </w:rPr>
              <w:t>Strategic</w:t>
            </w:r>
            <w:r>
              <w:rPr>
                <w:color w:val="232323"/>
                <w:spacing w:val="-5"/>
                <w:sz w:val="22"/>
              </w:rPr>
              <w:t> </w:t>
            </w:r>
            <w:r>
              <w:rPr>
                <w:color w:val="232323"/>
                <w:sz w:val="22"/>
              </w:rPr>
              <w:t>Case</w:t>
            </w:r>
            <w:r>
              <w:rPr>
                <w:color w:val="232323"/>
                <w:spacing w:val="-2"/>
                <w:sz w:val="22"/>
              </w:rPr>
              <w:t> </w:t>
            </w:r>
            <w:r>
              <w:rPr>
                <w:color w:val="232323"/>
                <w:sz w:val="22"/>
              </w:rPr>
              <w:t>nearing</w:t>
            </w:r>
            <w:r>
              <w:rPr>
                <w:color w:val="232323"/>
                <w:spacing w:val="-7"/>
                <w:sz w:val="22"/>
              </w:rPr>
              <w:t> </w:t>
            </w:r>
            <w:r>
              <w:rPr>
                <w:color w:val="232323"/>
                <w:sz w:val="22"/>
              </w:rPr>
              <w:t>completion.</w:t>
            </w:r>
            <w:r>
              <w:rPr>
                <w:color w:val="232323"/>
                <w:spacing w:val="-6"/>
                <w:sz w:val="22"/>
              </w:rPr>
              <w:t> </w:t>
            </w:r>
            <w:r>
              <w:rPr>
                <w:color w:val="232323"/>
                <w:sz w:val="22"/>
              </w:rPr>
              <w:t>The</w:t>
            </w:r>
            <w:r>
              <w:rPr>
                <w:color w:val="232323"/>
                <w:spacing w:val="-2"/>
                <w:sz w:val="22"/>
              </w:rPr>
              <w:t> </w:t>
            </w:r>
            <w:r>
              <w:rPr>
                <w:color w:val="232323"/>
                <w:sz w:val="22"/>
              </w:rPr>
              <w:t>Economic,</w:t>
            </w:r>
            <w:r>
              <w:rPr>
                <w:color w:val="232323"/>
                <w:spacing w:val="-6"/>
                <w:sz w:val="22"/>
              </w:rPr>
              <w:t> </w:t>
            </w:r>
            <w:r>
              <w:rPr>
                <w:color w:val="232323"/>
                <w:sz w:val="22"/>
              </w:rPr>
              <w:t>Commercial</w:t>
            </w:r>
            <w:r>
              <w:rPr>
                <w:color w:val="232323"/>
                <w:spacing w:val="-4"/>
                <w:sz w:val="22"/>
              </w:rPr>
              <w:t> </w:t>
            </w:r>
            <w:r>
              <w:rPr>
                <w:color w:val="232323"/>
                <w:sz w:val="22"/>
              </w:rPr>
              <w:t>and</w:t>
            </w:r>
            <w:r>
              <w:rPr>
                <w:color w:val="232323"/>
                <w:spacing w:val="-7"/>
                <w:sz w:val="22"/>
              </w:rPr>
              <w:t> </w:t>
            </w:r>
            <w:r>
              <w:rPr>
                <w:color w:val="232323"/>
                <w:sz w:val="22"/>
              </w:rPr>
              <w:t>Management</w:t>
            </w:r>
            <w:r>
              <w:rPr>
                <w:color w:val="232323"/>
                <w:spacing w:val="-6"/>
                <w:sz w:val="22"/>
              </w:rPr>
              <w:t> </w:t>
            </w:r>
            <w:r>
              <w:rPr>
                <w:color w:val="232323"/>
                <w:sz w:val="22"/>
              </w:rPr>
              <w:t>Cases are well advanced. Ongoing programme activity is informing the development of the remaining cases, including demand, capacity, affordability, and strategic benefits realisation requirements.</w:t>
            </w:r>
          </w:p>
          <w:p>
            <w:pPr>
              <w:pStyle w:val="TableParagraph"/>
              <w:spacing w:before="39"/>
              <w:rPr>
                <w:sz w:val="22"/>
              </w:rPr>
            </w:pPr>
          </w:p>
          <w:p>
            <w:pPr>
              <w:pStyle w:val="TableParagraph"/>
              <w:spacing w:line="276" w:lineRule="auto"/>
              <w:ind w:left="120" w:right="212"/>
              <w:rPr>
                <w:sz w:val="22"/>
              </w:rPr>
            </w:pPr>
            <w:r>
              <w:rPr>
                <w:color w:val="232323"/>
                <w:sz w:val="22"/>
              </w:rPr>
              <w:t>Benefits realisation is now profiled over 1-2 years, 3-4 years and 5 year+ as appropriate to a transitional</w:t>
            </w:r>
            <w:r>
              <w:rPr>
                <w:color w:val="232323"/>
                <w:spacing w:val="-9"/>
                <w:sz w:val="22"/>
              </w:rPr>
              <w:t> </w:t>
            </w:r>
            <w:r>
              <w:rPr>
                <w:color w:val="232323"/>
                <w:sz w:val="22"/>
              </w:rPr>
              <w:t>project.</w:t>
            </w:r>
            <w:r>
              <w:rPr>
                <w:color w:val="232323"/>
                <w:spacing w:val="-6"/>
                <w:sz w:val="22"/>
              </w:rPr>
              <w:t> </w:t>
            </w:r>
            <w:r>
              <w:rPr>
                <w:color w:val="232323"/>
                <w:sz w:val="22"/>
              </w:rPr>
              <w:t>Benefits</w:t>
            </w:r>
            <w:r>
              <w:rPr>
                <w:color w:val="232323"/>
                <w:spacing w:val="-5"/>
                <w:sz w:val="22"/>
              </w:rPr>
              <w:t> </w:t>
            </w:r>
            <w:r>
              <w:rPr>
                <w:color w:val="232323"/>
                <w:sz w:val="22"/>
              </w:rPr>
              <w:t>are</w:t>
            </w:r>
            <w:r>
              <w:rPr>
                <w:color w:val="232323"/>
                <w:spacing w:val="-3"/>
                <w:sz w:val="22"/>
              </w:rPr>
              <w:t> </w:t>
            </w:r>
            <w:r>
              <w:rPr>
                <w:color w:val="232323"/>
                <w:sz w:val="22"/>
              </w:rPr>
              <w:t>profiled</w:t>
            </w:r>
            <w:r>
              <w:rPr>
                <w:color w:val="232323"/>
                <w:spacing w:val="-3"/>
                <w:sz w:val="22"/>
              </w:rPr>
              <w:t> </w:t>
            </w:r>
            <w:r>
              <w:rPr>
                <w:color w:val="232323"/>
                <w:sz w:val="22"/>
              </w:rPr>
              <w:t>expected</w:t>
            </w:r>
            <w:r>
              <w:rPr>
                <w:color w:val="232323"/>
                <w:spacing w:val="-3"/>
                <w:sz w:val="22"/>
              </w:rPr>
              <w:t> </w:t>
            </w:r>
            <w:r>
              <w:rPr>
                <w:color w:val="232323"/>
                <w:sz w:val="22"/>
              </w:rPr>
              <w:t>through</w:t>
            </w:r>
            <w:r>
              <w:rPr>
                <w:color w:val="232323"/>
                <w:spacing w:val="-3"/>
                <w:sz w:val="22"/>
              </w:rPr>
              <w:t> </w:t>
            </w:r>
            <w:r>
              <w:rPr>
                <w:color w:val="232323"/>
                <w:sz w:val="22"/>
              </w:rPr>
              <w:t>improved</w:t>
            </w:r>
            <w:r>
              <w:rPr>
                <w:color w:val="232323"/>
                <w:spacing w:val="-3"/>
                <w:sz w:val="22"/>
              </w:rPr>
              <w:t> </w:t>
            </w:r>
            <w:r>
              <w:rPr>
                <w:color w:val="232323"/>
                <w:sz w:val="22"/>
              </w:rPr>
              <w:t>resilience,</w:t>
            </w:r>
            <w:r>
              <w:rPr>
                <w:color w:val="232323"/>
                <w:spacing w:val="-6"/>
                <w:sz w:val="22"/>
              </w:rPr>
              <w:t> </w:t>
            </w:r>
            <w:r>
              <w:rPr>
                <w:color w:val="232323"/>
                <w:sz w:val="22"/>
              </w:rPr>
              <w:t>compliance,</w:t>
            </w:r>
            <w:r>
              <w:rPr>
                <w:color w:val="232323"/>
                <w:spacing w:val="-6"/>
                <w:sz w:val="22"/>
              </w:rPr>
              <w:t> </w:t>
            </w:r>
            <w:r>
              <w:rPr>
                <w:color w:val="232323"/>
                <w:sz w:val="22"/>
              </w:rPr>
              <w:t>and</w:t>
            </w:r>
            <w:r>
              <w:rPr>
                <w:color w:val="232323"/>
                <w:spacing w:val="-3"/>
                <w:sz w:val="22"/>
              </w:rPr>
              <w:t> </w:t>
            </w:r>
            <w:r>
              <w:rPr>
                <w:color w:val="232323"/>
                <w:sz w:val="22"/>
              </w:rPr>
              <w:t>risk reduction, with longer-term transformational opportunities focused on service standardisation, workforce redesign, digital pathology and efficiency improvements. Further work is underway to finalise benefits, affordability assumptions and supporting governance arrangements.</w:t>
            </w:r>
          </w:p>
          <w:p>
            <w:pPr>
              <w:pStyle w:val="TableParagraph"/>
              <w:spacing w:before="38"/>
              <w:rPr>
                <w:sz w:val="22"/>
              </w:rPr>
            </w:pPr>
          </w:p>
          <w:p>
            <w:pPr>
              <w:pStyle w:val="TableParagraph"/>
              <w:ind w:left="120"/>
              <w:rPr>
                <w:b/>
                <w:sz w:val="22"/>
              </w:rPr>
            </w:pPr>
            <w:r>
              <w:rPr>
                <w:b/>
                <w:color w:val="1F487C"/>
                <w:spacing w:val="-2"/>
                <w:sz w:val="22"/>
              </w:rPr>
              <w:t>Resource</w:t>
            </w:r>
          </w:p>
          <w:p>
            <w:pPr>
              <w:pStyle w:val="TableParagraph"/>
              <w:spacing w:line="276" w:lineRule="auto" w:before="177"/>
              <w:ind w:left="120" w:right="115"/>
              <w:jc w:val="both"/>
              <w:rPr>
                <w:sz w:val="22"/>
              </w:rPr>
            </w:pPr>
            <w:r>
              <w:rPr>
                <w:spacing w:val="-4"/>
                <w:sz w:val="22"/>
              </w:rPr>
              <w:t>The</w:t>
            </w:r>
            <w:r>
              <w:rPr>
                <w:spacing w:val="-9"/>
                <w:sz w:val="22"/>
              </w:rPr>
              <w:t> </w:t>
            </w:r>
            <w:r>
              <w:rPr>
                <w:spacing w:val="-4"/>
                <w:sz w:val="22"/>
              </w:rPr>
              <w:t>Programme</w:t>
            </w:r>
            <w:r>
              <w:rPr>
                <w:spacing w:val="-9"/>
                <w:sz w:val="22"/>
              </w:rPr>
              <w:t> </w:t>
            </w:r>
            <w:r>
              <w:rPr>
                <w:spacing w:val="-4"/>
                <w:sz w:val="22"/>
              </w:rPr>
              <w:t>identified the</w:t>
            </w:r>
            <w:r>
              <w:rPr>
                <w:spacing w:val="-9"/>
                <w:sz w:val="22"/>
              </w:rPr>
              <w:t> </w:t>
            </w:r>
            <w:r>
              <w:rPr>
                <w:spacing w:val="-4"/>
                <w:sz w:val="22"/>
              </w:rPr>
              <w:t>need</w:t>
            </w:r>
            <w:r>
              <w:rPr>
                <w:spacing w:val="-9"/>
                <w:sz w:val="22"/>
              </w:rPr>
              <w:t> </w:t>
            </w:r>
            <w:r>
              <w:rPr>
                <w:spacing w:val="-4"/>
                <w:sz w:val="22"/>
              </w:rPr>
              <w:t>for</w:t>
            </w:r>
            <w:r>
              <w:rPr>
                <w:spacing w:val="-10"/>
                <w:sz w:val="22"/>
              </w:rPr>
              <w:t> </w:t>
            </w:r>
            <w:r>
              <w:rPr>
                <w:spacing w:val="-4"/>
                <w:sz w:val="22"/>
              </w:rPr>
              <w:t>an interim Regional</w:t>
            </w:r>
            <w:r>
              <w:rPr>
                <w:spacing w:val="-10"/>
                <w:sz w:val="22"/>
              </w:rPr>
              <w:t> </w:t>
            </w:r>
            <w:r>
              <w:rPr>
                <w:spacing w:val="-4"/>
                <w:sz w:val="22"/>
              </w:rPr>
              <w:t>Service</w:t>
            </w:r>
            <w:r>
              <w:rPr>
                <w:spacing w:val="-9"/>
                <w:sz w:val="22"/>
              </w:rPr>
              <w:t> </w:t>
            </w:r>
            <w:r>
              <w:rPr>
                <w:spacing w:val="-4"/>
                <w:sz w:val="22"/>
              </w:rPr>
              <w:t>Director</w:t>
            </w:r>
            <w:r>
              <w:rPr>
                <w:spacing w:val="-10"/>
                <w:sz w:val="22"/>
              </w:rPr>
              <w:t> </w:t>
            </w:r>
            <w:r>
              <w:rPr>
                <w:spacing w:val="-4"/>
                <w:sz w:val="22"/>
              </w:rPr>
              <w:t>in November</w:t>
            </w:r>
            <w:r>
              <w:rPr>
                <w:spacing w:val="-10"/>
                <w:sz w:val="22"/>
              </w:rPr>
              <w:t> </w:t>
            </w:r>
            <w:r>
              <w:rPr>
                <w:spacing w:val="-4"/>
                <w:sz w:val="22"/>
              </w:rPr>
              <w:t>2025</w:t>
            </w:r>
            <w:r>
              <w:rPr>
                <w:spacing w:val="-9"/>
                <w:sz w:val="22"/>
              </w:rPr>
              <w:t> </w:t>
            </w:r>
            <w:r>
              <w:rPr>
                <w:spacing w:val="-4"/>
                <w:sz w:val="22"/>
              </w:rPr>
              <w:t>to</w:t>
            </w:r>
            <w:r>
              <w:rPr>
                <w:spacing w:val="-9"/>
                <w:sz w:val="22"/>
              </w:rPr>
              <w:t> </w:t>
            </w:r>
            <w:r>
              <w:rPr>
                <w:spacing w:val="-4"/>
                <w:sz w:val="22"/>
              </w:rPr>
              <w:t>provide </w:t>
            </w:r>
            <w:r>
              <w:rPr>
                <w:sz w:val="22"/>
              </w:rPr>
              <w:t>dedicated</w:t>
            </w:r>
            <w:r>
              <w:rPr>
                <w:spacing w:val="-6"/>
                <w:sz w:val="22"/>
              </w:rPr>
              <w:t> </w:t>
            </w:r>
            <w:r>
              <w:rPr>
                <w:sz w:val="22"/>
              </w:rPr>
              <w:t>leadership</w:t>
            </w:r>
            <w:r>
              <w:rPr>
                <w:spacing w:val="-6"/>
                <w:sz w:val="22"/>
              </w:rPr>
              <w:t> </w:t>
            </w:r>
            <w:r>
              <w:rPr>
                <w:sz w:val="22"/>
              </w:rPr>
              <w:t>and</w:t>
            </w:r>
            <w:r>
              <w:rPr>
                <w:spacing w:val="-6"/>
                <w:sz w:val="22"/>
              </w:rPr>
              <w:t> </w:t>
            </w:r>
            <w:r>
              <w:rPr>
                <w:sz w:val="22"/>
              </w:rPr>
              <w:t>coordination</w:t>
            </w:r>
            <w:r>
              <w:rPr>
                <w:spacing w:val="-6"/>
                <w:sz w:val="22"/>
              </w:rPr>
              <w:t> </w:t>
            </w:r>
            <w:r>
              <w:rPr>
                <w:sz w:val="22"/>
              </w:rPr>
              <w:t>across</w:t>
            </w:r>
            <w:r>
              <w:rPr>
                <w:spacing w:val="-8"/>
                <w:sz w:val="22"/>
              </w:rPr>
              <w:t> </w:t>
            </w:r>
            <w:r>
              <w:rPr>
                <w:sz w:val="22"/>
              </w:rPr>
              <w:t>the</w:t>
            </w:r>
            <w:r>
              <w:rPr>
                <w:spacing w:val="-2"/>
                <w:sz w:val="22"/>
              </w:rPr>
              <w:t> </w:t>
            </w:r>
            <w:r>
              <w:rPr>
                <w:sz w:val="22"/>
              </w:rPr>
              <w:t>Regional</w:t>
            </w:r>
            <w:r>
              <w:rPr>
                <w:spacing w:val="-7"/>
                <w:sz w:val="22"/>
              </w:rPr>
              <w:t> </w:t>
            </w:r>
            <w:r>
              <w:rPr>
                <w:sz w:val="22"/>
              </w:rPr>
              <w:t>Cellular</w:t>
            </w:r>
            <w:r>
              <w:rPr>
                <w:spacing w:val="-3"/>
                <w:sz w:val="22"/>
              </w:rPr>
              <w:t> </w:t>
            </w:r>
            <w:r>
              <w:rPr>
                <w:sz w:val="22"/>
              </w:rPr>
              <w:t>Pathology</w:t>
            </w:r>
            <w:r>
              <w:rPr>
                <w:spacing w:val="-4"/>
                <w:sz w:val="22"/>
              </w:rPr>
              <w:t> </w:t>
            </w:r>
            <w:r>
              <w:rPr>
                <w:sz w:val="22"/>
              </w:rPr>
              <w:t>Programme.</w:t>
            </w:r>
            <w:r>
              <w:rPr>
                <w:spacing w:val="-5"/>
                <w:sz w:val="22"/>
              </w:rPr>
              <w:t> </w:t>
            </w:r>
            <w:r>
              <w:rPr>
                <w:sz w:val="22"/>
              </w:rPr>
              <w:t>However, </w:t>
            </w:r>
            <w:r>
              <w:rPr>
                <w:spacing w:val="-2"/>
                <w:sz w:val="22"/>
              </w:rPr>
              <w:t>neither</w:t>
            </w:r>
            <w:r>
              <w:rPr>
                <w:spacing w:val="-6"/>
                <w:sz w:val="22"/>
              </w:rPr>
              <w:t> </w:t>
            </w:r>
            <w:r>
              <w:rPr>
                <w:spacing w:val="-2"/>
                <w:sz w:val="22"/>
              </w:rPr>
              <w:t>Health Board</w:t>
            </w:r>
            <w:r>
              <w:rPr>
                <w:spacing w:val="-5"/>
                <w:sz w:val="22"/>
              </w:rPr>
              <w:t> </w:t>
            </w:r>
            <w:r>
              <w:rPr>
                <w:spacing w:val="-2"/>
                <w:sz w:val="22"/>
              </w:rPr>
              <w:t>had</w:t>
            </w:r>
            <w:r>
              <w:rPr>
                <w:spacing w:val="-5"/>
                <w:sz w:val="22"/>
              </w:rPr>
              <w:t> </w:t>
            </w:r>
            <w:r>
              <w:rPr>
                <w:spacing w:val="-2"/>
                <w:sz w:val="22"/>
              </w:rPr>
              <w:t>sufficient</w:t>
            </w:r>
            <w:r>
              <w:rPr>
                <w:spacing w:val="-4"/>
                <w:sz w:val="22"/>
              </w:rPr>
              <w:t> </w:t>
            </w:r>
            <w:r>
              <w:rPr>
                <w:spacing w:val="-2"/>
                <w:sz w:val="22"/>
              </w:rPr>
              <w:t>funding</w:t>
            </w:r>
            <w:r>
              <w:rPr>
                <w:spacing w:val="-5"/>
                <w:sz w:val="22"/>
              </w:rPr>
              <w:t> </w:t>
            </w:r>
            <w:r>
              <w:rPr>
                <w:spacing w:val="-2"/>
                <w:sz w:val="22"/>
              </w:rPr>
              <w:t>within</w:t>
            </w:r>
            <w:r>
              <w:rPr>
                <w:spacing w:val="-5"/>
                <w:sz w:val="22"/>
              </w:rPr>
              <w:t> </w:t>
            </w:r>
            <w:r>
              <w:rPr>
                <w:spacing w:val="-2"/>
                <w:sz w:val="22"/>
              </w:rPr>
              <w:t>existing</w:t>
            </w:r>
            <w:r>
              <w:rPr>
                <w:spacing w:val="-5"/>
                <w:sz w:val="22"/>
              </w:rPr>
              <w:t> </w:t>
            </w:r>
            <w:r>
              <w:rPr>
                <w:spacing w:val="-2"/>
                <w:sz w:val="22"/>
              </w:rPr>
              <w:t>service</w:t>
            </w:r>
            <w:r>
              <w:rPr>
                <w:spacing w:val="-5"/>
                <w:sz w:val="22"/>
              </w:rPr>
              <w:t> </w:t>
            </w:r>
            <w:r>
              <w:rPr>
                <w:spacing w:val="-2"/>
                <w:sz w:val="22"/>
              </w:rPr>
              <w:t>establishment</w:t>
            </w:r>
            <w:r>
              <w:rPr>
                <w:spacing w:val="-8"/>
                <w:sz w:val="22"/>
              </w:rPr>
              <w:t> </w:t>
            </w:r>
            <w:r>
              <w:rPr>
                <w:spacing w:val="-2"/>
                <w:sz w:val="22"/>
              </w:rPr>
              <w:t>budgets</w:t>
            </w:r>
            <w:r>
              <w:rPr>
                <w:spacing w:val="-3"/>
                <w:sz w:val="22"/>
              </w:rPr>
              <w:t> </w:t>
            </w:r>
            <w:r>
              <w:rPr>
                <w:spacing w:val="-2"/>
                <w:sz w:val="22"/>
              </w:rPr>
              <w:t>to</w:t>
            </w:r>
            <w:r>
              <w:rPr>
                <w:spacing w:val="-5"/>
                <w:sz w:val="22"/>
              </w:rPr>
              <w:t> </w:t>
            </w:r>
            <w:r>
              <w:rPr>
                <w:spacing w:val="-2"/>
                <w:sz w:val="22"/>
              </w:rPr>
              <w:t>support</w:t>
            </w:r>
            <w:r>
              <w:rPr>
                <w:spacing w:val="-4"/>
                <w:sz w:val="22"/>
              </w:rPr>
              <w:t> </w:t>
            </w:r>
            <w:r>
              <w:rPr>
                <w:spacing w:val="-2"/>
                <w:sz w:val="22"/>
              </w:rPr>
              <w:t>the appointment.</w:t>
            </w:r>
          </w:p>
          <w:p>
            <w:pPr>
              <w:pStyle w:val="TableParagraph"/>
              <w:spacing w:line="276" w:lineRule="auto" w:before="142"/>
              <w:ind w:left="120" w:right="113"/>
              <w:jc w:val="both"/>
              <w:rPr>
                <w:sz w:val="22"/>
              </w:rPr>
            </w:pPr>
            <w:r>
              <w:rPr>
                <w:spacing w:val="-2"/>
                <w:sz w:val="22"/>
              </w:rPr>
              <w:t>Following</w:t>
            </w:r>
            <w:r>
              <w:rPr>
                <w:spacing w:val="-9"/>
                <w:sz w:val="22"/>
              </w:rPr>
              <w:t> </w:t>
            </w:r>
            <w:r>
              <w:rPr>
                <w:spacing w:val="-2"/>
                <w:sz w:val="22"/>
              </w:rPr>
              <w:t>confirmation</w:t>
            </w:r>
            <w:r>
              <w:rPr>
                <w:spacing w:val="-9"/>
                <w:sz w:val="22"/>
              </w:rPr>
              <w:t> </w:t>
            </w:r>
            <w:r>
              <w:rPr>
                <w:spacing w:val="-2"/>
                <w:sz w:val="22"/>
              </w:rPr>
              <w:t>of</w:t>
            </w:r>
            <w:r>
              <w:rPr>
                <w:spacing w:val="-8"/>
                <w:sz w:val="22"/>
              </w:rPr>
              <w:t> </w:t>
            </w:r>
            <w:r>
              <w:rPr>
                <w:spacing w:val="-2"/>
                <w:sz w:val="22"/>
              </w:rPr>
              <w:t>Welsh</w:t>
            </w:r>
            <w:r>
              <w:rPr>
                <w:spacing w:val="-4"/>
                <w:sz w:val="22"/>
              </w:rPr>
              <w:t> </w:t>
            </w:r>
            <w:r>
              <w:rPr>
                <w:spacing w:val="-2"/>
                <w:sz w:val="22"/>
              </w:rPr>
              <w:t>Government</w:t>
            </w:r>
            <w:r>
              <w:rPr>
                <w:spacing w:val="-8"/>
                <w:sz w:val="22"/>
              </w:rPr>
              <w:t> </w:t>
            </w:r>
            <w:r>
              <w:rPr>
                <w:spacing w:val="-2"/>
                <w:sz w:val="22"/>
              </w:rPr>
              <w:t>funding</w:t>
            </w:r>
            <w:r>
              <w:rPr>
                <w:spacing w:val="-4"/>
                <w:sz w:val="22"/>
              </w:rPr>
              <w:t> </w:t>
            </w:r>
            <w:r>
              <w:rPr>
                <w:spacing w:val="-2"/>
                <w:sz w:val="22"/>
              </w:rPr>
              <w:t>to</w:t>
            </w:r>
            <w:r>
              <w:rPr>
                <w:spacing w:val="-9"/>
                <w:sz w:val="22"/>
              </w:rPr>
              <w:t> </w:t>
            </w:r>
            <w:r>
              <w:rPr>
                <w:spacing w:val="-2"/>
                <w:sz w:val="22"/>
              </w:rPr>
              <w:t>support</w:t>
            </w:r>
            <w:r>
              <w:rPr>
                <w:spacing w:val="-7"/>
                <w:sz w:val="22"/>
              </w:rPr>
              <w:t> </w:t>
            </w:r>
            <w:r>
              <w:rPr>
                <w:spacing w:val="-2"/>
                <w:sz w:val="22"/>
              </w:rPr>
              <w:t>FBC</w:t>
            </w:r>
            <w:r>
              <w:rPr>
                <w:spacing w:val="-5"/>
                <w:sz w:val="22"/>
              </w:rPr>
              <w:t> </w:t>
            </w:r>
            <w:r>
              <w:rPr>
                <w:spacing w:val="-2"/>
                <w:sz w:val="22"/>
              </w:rPr>
              <w:t>development,</w:t>
            </w:r>
            <w:r>
              <w:rPr>
                <w:spacing w:val="-12"/>
                <w:sz w:val="22"/>
              </w:rPr>
              <w:t> </w:t>
            </w:r>
            <w:r>
              <w:rPr>
                <w:spacing w:val="-2"/>
                <w:sz w:val="22"/>
              </w:rPr>
              <w:t>it</w:t>
            </w:r>
            <w:r>
              <w:rPr>
                <w:spacing w:val="-12"/>
                <w:sz w:val="22"/>
              </w:rPr>
              <w:t> </w:t>
            </w:r>
            <w:r>
              <w:rPr>
                <w:spacing w:val="-2"/>
                <w:sz w:val="22"/>
              </w:rPr>
              <w:t>was</w:t>
            </w:r>
            <w:r>
              <w:rPr>
                <w:spacing w:val="-12"/>
                <w:sz w:val="22"/>
              </w:rPr>
              <w:t> </w:t>
            </w:r>
            <w:r>
              <w:rPr>
                <w:spacing w:val="-2"/>
                <w:sz w:val="22"/>
              </w:rPr>
              <w:t>agreed</w:t>
            </w:r>
            <w:r>
              <w:rPr>
                <w:spacing w:val="-4"/>
                <w:sz w:val="22"/>
              </w:rPr>
              <w:t> </w:t>
            </w:r>
            <w:r>
              <w:rPr>
                <w:spacing w:val="-2"/>
                <w:sz w:val="22"/>
              </w:rPr>
              <w:t>that</w:t>
            </w:r>
            <w:r>
              <w:rPr>
                <w:spacing w:val="-12"/>
                <w:sz w:val="22"/>
              </w:rPr>
              <w:t> </w:t>
            </w:r>
            <w:r>
              <w:rPr>
                <w:spacing w:val="-2"/>
                <w:sz w:val="22"/>
              </w:rPr>
              <w:t>a proportion</w:t>
            </w:r>
            <w:r>
              <w:rPr>
                <w:spacing w:val="-14"/>
                <w:sz w:val="22"/>
              </w:rPr>
              <w:t> </w:t>
            </w:r>
            <w:r>
              <w:rPr>
                <w:spacing w:val="-2"/>
                <w:sz w:val="22"/>
              </w:rPr>
              <w:t>of</w:t>
            </w:r>
            <w:r>
              <w:rPr>
                <w:spacing w:val="-13"/>
                <w:sz w:val="22"/>
              </w:rPr>
              <w:t> </w:t>
            </w:r>
            <w:r>
              <w:rPr>
                <w:spacing w:val="-2"/>
                <w:sz w:val="22"/>
              </w:rPr>
              <w:t>this</w:t>
            </w:r>
            <w:r>
              <w:rPr>
                <w:spacing w:val="-13"/>
                <w:sz w:val="22"/>
              </w:rPr>
              <w:t> </w:t>
            </w:r>
            <w:r>
              <w:rPr>
                <w:spacing w:val="-2"/>
                <w:sz w:val="22"/>
              </w:rPr>
              <w:t>allocation</w:t>
            </w:r>
            <w:r>
              <w:rPr>
                <w:spacing w:val="-14"/>
                <w:sz w:val="22"/>
              </w:rPr>
              <w:t> </w:t>
            </w:r>
            <w:r>
              <w:rPr>
                <w:spacing w:val="-2"/>
                <w:sz w:val="22"/>
              </w:rPr>
              <w:t>would</w:t>
            </w:r>
            <w:r>
              <w:rPr>
                <w:spacing w:val="-13"/>
                <w:sz w:val="22"/>
              </w:rPr>
              <w:t> </w:t>
            </w:r>
            <w:r>
              <w:rPr>
                <w:spacing w:val="-2"/>
                <w:sz w:val="22"/>
              </w:rPr>
              <w:t>be</w:t>
            </w:r>
            <w:r>
              <w:rPr>
                <w:spacing w:val="-13"/>
                <w:sz w:val="22"/>
              </w:rPr>
              <w:t> </w:t>
            </w:r>
            <w:r>
              <w:rPr>
                <w:spacing w:val="-2"/>
                <w:sz w:val="22"/>
              </w:rPr>
              <w:t>used</w:t>
            </w:r>
            <w:r>
              <w:rPr>
                <w:spacing w:val="-13"/>
                <w:sz w:val="22"/>
              </w:rPr>
              <w:t> </w:t>
            </w:r>
            <w:r>
              <w:rPr>
                <w:spacing w:val="-2"/>
                <w:sz w:val="22"/>
              </w:rPr>
              <w:t>to</w:t>
            </w:r>
            <w:r>
              <w:rPr>
                <w:spacing w:val="-14"/>
                <w:sz w:val="22"/>
              </w:rPr>
              <w:t> </w:t>
            </w:r>
            <w:r>
              <w:rPr>
                <w:spacing w:val="-2"/>
                <w:sz w:val="22"/>
              </w:rPr>
              <w:t>fund</w:t>
            </w:r>
            <w:r>
              <w:rPr>
                <w:spacing w:val="-13"/>
                <w:sz w:val="22"/>
              </w:rPr>
              <w:t> </w:t>
            </w:r>
            <w:r>
              <w:rPr>
                <w:spacing w:val="-2"/>
                <w:sz w:val="22"/>
              </w:rPr>
              <w:t>the</w:t>
            </w:r>
            <w:r>
              <w:rPr>
                <w:spacing w:val="-9"/>
                <w:sz w:val="22"/>
              </w:rPr>
              <w:t> </w:t>
            </w:r>
            <w:r>
              <w:rPr>
                <w:spacing w:val="-2"/>
                <w:sz w:val="22"/>
              </w:rPr>
              <w:t>interim</w:t>
            </w:r>
            <w:r>
              <w:rPr>
                <w:spacing w:val="-14"/>
                <w:sz w:val="22"/>
              </w:rPr>
              <w:t> </w:t>
            </w:r>
            <w:r>
              <w:rPr>
                <w:spacing w:val="-2"/>
                <w:sz w:val="22"/>
              </w:rPr>
              <w:t>post</w:t>
            </w:r>
            <w:r>
              <w:rPr>
                <w:spacing w:val="-13"/>
                <w:sz w:val="22"/>
              </w:rPr>
              <w:t> </w:t>
            </w:r>
            <w:r>
              <w:rPr>
                <w:spacing w:val="-2"/>
                <w:sz w:val="22"/>
              </w:rPr>
              <w:t>and</w:t>
            </w:r>
            <w:r>
              <w:rPr>
                <w:spacing w:val="-13"/>
                <w:sz w:val="22"/>
              </w:rPr>
              <w:t> </w:t>
            </w:r>
            <w:r>
              <w:rPr>
                <w:spacing w:val="-2"/>
                <w:sz w:val="22"/>
              </w:rPr>
              <w:t>associated</w:t>
            </w:r>
            <w:r>
              <w:rPr>
                <w:spacing w:val="-13"/>
                <w:sz w:val="22"/>
              </w:rPr>
              <w:t> </w:t>
            </w:r>
            <w:r>
              <w:rPr>
                <w:spacing w:val="-2"/>
                <w:sz w:val="22"/>
              </w:rPr>
              <w:t>backfill</w:t>
            </w:r>
            <w:r>
              <w:rPr>
                <w:spacing w:val="-14"/>
                <w:sz w:val="22"/>
              </w:rPr>
              <w:t> </w:t>
            </w:r>
            <w:r>
              <w:rPr>
                <w:spacing w:val="-2"/>
                <w:sz w:val="22"/>
              </w:rPr>
              <w:t>arrangements. This</w:t>
            </w:r>
            <w:r>
              <w:rPr>
                <w:spacing w:val="-9"/>
                <w:sz w:val="22"/>
              </w:rPr>
              <w:t> </w:t>
            </w:r>
            <w:r>
              <w:rPr>
                <w:spacing w:val="-2"/>
                <w:sz w:val="22"/>
              </w:rPr>
              <w:t>approach was</w:t>
            </w:r>
            <w:r>
              <w:rPr>
                <w:spacing w:val="-4"/>
                <w:sz w:val="22"/>
              </w:rPr>
              <w:t> </w:t>
            </w:r>
            <w:r>
              <w:rPr>
                <w:spacing w:val="-2"/>
                <w:sz w:val="22"/>
              </w:rPr>
              <w:t>intended</w:t>
            </w:r>
            <w:r>
              <w:rPr>
                <w:spacing w:val="-6"/>
                <w:sz w:val="22"/>
              </w:rPr>
              <w:t> </w:t>
            </w:r>
            <w:r>
              <w:rPr>
                <w:spacing w:val="-2"/>
                <w:sz w:val="22"/>
              </w:rPr>
              <w:t>to</w:t>
            </w:r>
            <w:r>
              <w:rPr>
                <w:spacing w:val="-3"/>
                <w:sz w:val="22"/>
              </w:rPr>
              <w:t> </w:t>
            </w:r>
            <w:r>
              <w:rPr>
                <w:spacing w:val="-2"/>
                <w:sz w:val="22"/>
              </w:rPr>
              <w:t>mitigate</w:t>
            </w:r>
            <w:r>
              <w:rPr>
                <w:spacing w:val="-3"/>
                <w:sz w:val="22"/>
              </w:rPr>
              <w:t> </w:t>
            </w:r>
            <w:r>
              <w:rPr>
                <w:spacing w:val="-2"/>
                <w:sz w:val="22"/>
              </w:rPr>
              <w:t>operational</w:t>
            </w:r>
            <w:r>
              <w:rPr>
                <w:spacing w:val="-8"/>
                <w:sz w:val="22"/>
              </w:rPr>
              <w:t> </w:t>
            </w:r>
            <w:r>
              <w:rPr>
                <w:spacing w:val="-2"/>
                <w:sz w:val="22"/>
              </w:rPr>
              <w:t>pressures</w:t>
            </w:r>
            <w:r>
              <w:rPr>
                <w:spacing w:val="-4"/>
                <w:sz w:val="22"/>
              </w:rPr>
              <w:t> </w:t>
            </w:r>
            <w:r>
              <w:rPr>
                <w:spacing w:val="-2"/>
                <w:sz w:val="22"/>
              </w:rPr>
              <w:t>within</w:t>
            </w:r>
            <w:r>
              <w:rPr>
                <w:spacing w:val="-3"/>
                <w:sz w:val="22"/>
              </w:rPr>
              <w:t> </w:t>
            </w:r>
            <w:r>
              <w:rPr>
                <w:spacing w:val="-2"/>
                <w:sz w:val="22"/>
              </w:rPr>
              <w:t>service teams,</w:t>
            </w:r>
            <w:r>
              <w:rPr>
                <w:spacing w:val="-10"/>
                <w:sz w:val="22"/>
              </w:rPr>
              <w:t> </w:t>
            </w:r>
            <w:r>
              <w:rPr>
                <w:spacing w:val="-2"/>
                <w:sz w:val="22"/>
              </w:rPr>
              <w:t>enabling</w:t>
            </w:r>
            <w:r>
              <w:rPr>
                <w:spacing w:val="-6"/>
                <w:sz w:val="22"/>
              </w:rPr>
              <w:t> </w:t>
            </w:r>
            <w:r>
              <w:rPr>
                <w:spacing w:val="-2"/>
                <w:sz w:val="22"/>
              </w:rPr>
              <w:t>continued </w:t>
            </w:r>
            <w:r>
              <w:rPr>
                <w:sz w:val="22"/>
              </w:rPr>
              <w:t>contribution</w:t>
            </w:r>
            <w:r>
              <w:rPr>
                <w:spacing w:val="-16"/>
                <w:sz w:val="22"/>
              </w:rPr>
              <w:t> </w:t>
            </w:r>
            <w:r>
              <w:rPr>
                <w:sz w:val="22"/>
              </w:rPr>
              <w:t>to</w:t>
            </w:r>
            <w:r>
              <w:rPr>
                <w:spacing w:val="-15"/>
                <w:sz w:val="22"/>
              </w:rPr>
              <w:t> </w:t>
            </w:r>
            <w:r>
              <w:rPr>
                <w:sz w:val="22"/>
              </w:rPr>
              <w:t>programme</w:t>
            </w:r>
            <w:r>
              <w:rPr>
                <w:spacing w:val="-15"/>
                <w:sz w:val="22"/>
              </w:rPr>
              <w:t> </w:t>
            </w:r>
            <w:r>
              <w:rPr>
                <w:sz w:val="22"/>
              </w:rPr>
              <w:t>development</w:t>
            </w:r>
            <w:r>
              <w:rPr>
                <w:spacing w:val="-16"/>
                <w:sz w:val="22"/>
              </w:rPr>
              <w:t> </w:t>
            </w:r>
            <w:r>
              <w:rPr>
                <w:sz w:val="22"/>
              </w:rPr>
              <w:t>whilst</w:t>
            </w:r>
            <w:r>
              <w:rPr>
                <w:spacing w:val="-15"/>
                <w:sz w:val="22"/>
              </w:rPr>
              <w:t> </w:t>
            </w:r>
            <w:r>
              <w:rPr>
                <w:sz w:val="22"/>
              </w:rPr>
              <w:t>establishing</w:t>
            </w:r>
            <w:r>
              <w:rPr>
                <w:spacing w:val="-15"/>
                <w:sz w:val="22"/>
              </w:rPr>
              <w:t> </w:t>
            </w:r>
            <w:r>
              <w:rPr>
                <w:sz w:val="22"/>
              </w:rPr>
              <w:t>a</w:t>
            </w:r>
            <w:r>
              <w:rPr>
                <w:spacing w:val="-15"/>
                <w:sz w:val="22"/>
              </w:rPr>
              <w:t> </w:t>
            </w:r>
            <w:r>
              <w:rPr>
                <w:sz w:val="22"/>
              </w:rPr>
              <w:t>single</w:t>
            </w:r>
            <w:r>
              <w:rPr>
                <w:spacing w:val="-16"/>
                <w:sz w:val="22"/>
              </w:rPr>
              <w:t> </w:t>
            </w:r>
            <w:r>
              <w:rPr>
                <w:sz w:val="22"/>
              </w:rPr>
              <w:t>point</w:t>
            </w:r>
            <w:r>
              <w:rPr>
                <w:spacing w:val="-15"/>
                <w:sz w:val="22"/>
              </w:rPr>
              <w:t> </w:t>
            </w:r>
            <w:r>
              <w:rPr>
                <w:sz w:val="22"/>
              </w:rPr>
              <w:t>of</w:t>
            </w:r>
            <w:r>
              <w:rPr>
                <w:spacing w:val="-15"/>
                <w:sz w:val="22"/>
              </w:rPr>
              <w:t> </w:t>
            </w:r>
            <w:r>
              <w:rPr>
                <w:sz w:val="22"/>
              </w:rPr>
              <w:t>regional</w:t>
            </w:r>
            <w:r>
              <w:rPr>
                <w:spacing w:val="-16"/>
                <w:sz w:val="22"/>
              </w:rPr>
              <w:t> </w:t>
            </w:r>
            <w:r>
              <w:rPr>
                <w:sz w:val="22"/>
              </w:rPr>
              <w:t>leadership.</w:t>
            </w:r>
          </w:p>
          <w:p>
            <w:pPr>
              <w:pStyle w:val="TableParagraph"/>
              <w:spacing w:line="276" w:lineRule="auto" w:before="141"/>
              <w:ind w:left="120" w:right="106"/>
              <w:jc w:val="both"/>
              <w:rPr>
                <w:sz w:val="22"/>
              </w:rPr>
            </w:pPr>
            <w:r>
              <w:rPr>
                <w:sz w:val="22"/>
              </w:rPr>
              <w:t>Progression</w:t>
            </w:r>
            <w:r>
              <w:rPr>
                <w:spacing w:val="-9"/>
                <w:sz w:val="22"/>
              </w:rPr>
              <w:t> </w:t>
            </w:r>
            <w:r>
              <w:rPr>
                <w:sz w:val="22"/>
              </w:rPr>
              <w:t>of</w:t>
            </w:r>
            <w:r>
              <w:rPr>
                <w:spacing w:val="-7"/>
                <w:sz w:val="22"/>
              </w:rPr>
              <w:t> </w:t>
            </w:r>
            <w:r>
              <w:rPr>
                <w:sz w:val="22"/>
              </w:rPr>
              <w:t>the</w:t>
            </w:r>
            <w:r>
              <w:rPr>
                <w:spacing w:val="-12"/>
                <w:sz w:val="22"/>
              </w:rPr>
              <w:t> </w:t>
            </w:r>
            <w:r>
              <w:rPr>
                <w:sz w:val="22"/>
              </w:rPr>
              <w:t>appointment</w:t>
            </w:r>
            <w:r>
              <w:rPr>
                <w:spacing w:val="-11"/>
                <w:sz w:val="22"/>
              </w:rPr>
              <w:t> </w:t>
            </w:r>
            <w:r>
              <w:rPr>
                <w:sz w:val="22"/>
              </w:rPr>
              <w:t>was</w:t>
            </w:r>
            <w:r>
              <w:rPr>
                <w:spacing w:val="-10"/>
                <w:sz w:val="22"/>
              </w:rPr>
              <w:t> </w:t>
            </w:r>
            <w:r>
              <w:rPr>
                <w:sz w:val="22"/>
              </w:rPr>
              <w:t>subject</w:t>
            </w:r>
            <w:r>
              <w:rPr>
                <w:spacing w:val="-11"/>
                <w:sz w:val="22"/>
              </w:rPr>
              <w:t> </w:t>
            </w:r>
            <w:r>
              <w:rPr>
                <w:sz w:val="22"/>
              </w:rPr>
              <w:t>to</w:t>
            </w:r>
            <w:r>
              <w:rPr>
                <w:spacing w:val="-9"/>
                <w:sz w:val="22"/>
              </w:rPr>
              <w:t> </w:t>
            </w:r>
            <w:r>
              <w:rPr>
                <w:sz w:val="22"/>
              </w:rPr>
              <w:t>a</w:t>
            </w:r>
            <w:r>
              <w:rPr>
                <w:spacing w:val="-12"/>
                <w:sz w:val="22"/>
              </w:rPr>
              <w:t> </w:t>
            </w:r>
            <w:r>
              <w:rPr>
                <w:sz w:val="22"/>
              </w:rPr>
              <w:t>period</w:t>
            </w:r>
            <w:r>
              <w:rPr>
                <w:spacing w:val="-12"/>
                <w:sz w:val="22"/>
              </w:rPr>
              <w:t> </w:t>
            </w:r>
            <w:r>
              <w:rPr>
                <w:sz w:val="22"/>
              </w:rPr>
              <w:t>of</w:t>
            </w:r>
            <w:r>
              <w:rPr>
                <w:spacing w:val="-11"/>
                <w:sz w:val="22"/>
              </w:rPr>
              <w:t> </w:t>
            </w:r>
            <w:r>
              <w:rPr>
                <w:sz w:val="22"/>
              </w:rPr>
              <w:t>due</w:t>
            </w:r>
            <w:r>
              <w:rPr>
                <w:spacing w:val="-12"/>
                <w:sz w:val="22"/>
              </w:rPr>
              <w:t> </w:t>
            </w:r>
            <w:r>
              <w:rPr>
                <w:sz w:val="22"/>
              </w:rPr>
              <w:t>diligence,</w:t>
            </w:r>
            <w:r>
              <w:rPr>
                <w:spacing w:val="-11"/>
                <w:sz w:val="22"/>
              </w:rPr>
              <w:t> </w:t>
            </w:r>
            <w:r>
              <w:rPr>
                <w:sz w:val="22"/>
              </w:rPr>
              <w:t>resulting</w:t>
            </w:r>
            <w:r>
              <w:rPr>
                <w:spacing w:val="-16"/>
                <w:sz w:val="22"/>
              </w:rPr>
              <w:t> </w:t>
            </w:r>
            <w:r>
              <w:rPr>
                <w:sz w:val="22"/>
              </w:rPr>
              <w:t>in</w:t>
            </w:r>
            <w:r>
              <w:rPr>
                <w:spacing w:val="-3"/>
                <w:sz w:val="22"/>
              </w:rPr>
              <w:t> </w:t>
            </w:r>
            <w:r>
              <w:rPr>
                <w:sz w:val="22"/>
              </w:rPr>
              <w:t>some</w:t>
            </w:r>
            <w:r>
              <w:rPr>
                <w:spacing w:val="-12"/>
                <w:sz w:val="22"/>
              </w:rPr>
              <w:t> </w:t>
            </w:r>
            <w:r>
              <w:rPr>
                <w:sz w:val="22"/>
              </w:rPr>
              <w:t>delay</w:t>
            </w:r>
            <w:r>
              <w:rPr>
                <w:spacing w:val="-6"/>
                <w:sz w:val="22"/>
              </w:rPr>
              <w:t> </w:t>
            </w:r>
            <w:r>
              <w:rPr>
                <w:sz w:val="22"/>
              </w:rPr>
              <w:t>to</w:t>
            </w:r>
            <w:r>
              <w:rPr>
                <w:spacing w:val="-8"/>
                <w:sz w:val="22"/>
              </w:rPr>
              <w:t> </w:t>
            </w:r>
            <w:r>
              <w:rPr>
                <w:sz w:val="22"/>
              </w:rPr>
              <w:t>the recruitment process. Subsequently, Hywel Dda University Health Board, working collaboratively with service</w:t>
            </w:r>
            <w:r>
              <w:rPr>
                <w:spacing w:val="-12"/>
                <w:sz w:val="22"/>
              </w:rPr>
              <w:t> </w:t>
            </w:r>
            <w:r>
              <w:rPr>
                <w:sz w:val="22"/>
              </w:rPr>
              <w:t>directors</w:t>
            </w:r>
            <w:r>
              <w:rPr>
                <w:spacing w:val="-14"/>
                <w:sz w:val="22"/>
              </w:rPr>
              <w:t> </w:t>
            </w:r>
            <w:r>
              <w:rPr>
                <w:sz w:val="22"/>
              </w:rPr>
              <w:t>and</w:t>
            </w:r>
            <w:r>
              <w:rPr>
                <w:spacing w:val="-13"/>
                <w:sz w:val="22"/>
              </w:rPr>
              <w:t> </w:t>
            </w:r>
            <w:r>
              <w:rPr>
                <w:sz w:val="22"/>
              </w:rPr>
              <w:t>Workforce</w:t>
            </w:r>
            <w:r>
              <w:rPr>
                <w:spacing w:val="-15"/>
                <w:sz w:val="22"/>
              </w:rPr>
              <w:t> </w:t>
            </w:r>
            <w:r>
              <w:rPr>
                <w:sz w:val="22"/>
              </w:rPr>
              <w:t>representatives</w:t>
            </w:r>
            <w:r>
              <w:rPr>
                <w:spacing w:val="-14"/>
                <w:sz w:val="22"/>
              </w:rPr>
              <w:t> </w:t>
            </w:r>
            <w:r>
              <w:rPr>
                <w:sz w:val="22"/>
              </w:rPr>
              <w:t>from</w:t>
            </w:r>
            <w:r>
              <w:rPr>
                <w:spacing w:val="-13"/>
                <w:sz w:val="22"/>
              </w:rPr>
              <w:t> </w:t>
            </w:r>
            <w:r>
              <w:rPr>
                <w:sz w:val="22"/>
              </w:rPr>
              <w:t>both</w:t>
            </w:r>
            <w:r>
              <w:rPr>
                <w:spacing w:val="-12"/>
                <w:sz w:val="22"/>
              </w:rPr>
              <w:t> </w:t>
            </w:r>
            <w:r>
              <w:rPr>
                <w:sz w:val="22"/>
              </w:rPr>
              <w:t>Health</w:t>
            </w:r>
            <w:r>
              <w:rPr>
                <w:spacing w:val="-8"/>
                <w:sz w:val="22"/>
              </w:rPr>
              <w:t> </w:t>
            </w:r>
            <w:r>
              <w:rPr>
                <w:sz w:val="22"/>
              </w:rPr>
              <w:t>Boards,</w:t>
            </w:r>
            <w:r>
              <w:rPr>
                <w:spacing w:val="-15"/>
                <w:sz w:val="22"/>
              </w:rPr>
              <w:t> </w:t>
            </w:r>
            <w:r>
              <w:rPr>
                <w:sz w:val="22"/>
              </w:rPr>
              <w:t>led</w:t>
            </w:r>
            <w:r>
              <w:rPr>
                <w:spacing w:val="-8"/>
                <w:sz w:val="22"/>
              </w:rPr>
              <w:t> </w:t>
            </w:r>
            <w:r>
              <w:rPr>
                <w:sz w:val="22"/>
              </w:rPr>
              <w:t>the</w:t>
            </w:r>
            <w:r>
              <w:rPr>
                <w:spacing w:val="-15"/>
                <w:sz w:val="22"/>
              </w:rPr>
              <w:t> </w:t>
            </w:r>
            <w:r>
              <w:rPr>
                <w:sz w:val="22"/>
              </w:rPr>
              <w:t>recruitment</w:t>
            </w:r>
            <w:r>
              <w:rPr>
                <w:spacing w:val="-15"/>
                <w:sz w:val="22"/>
              </w:rPr>
              <w:t> </w:t>
            </w:r>
            <w:r>
              <w:rPr>
                <w:sz w:val="22"/>
              </w:rPr>
              <w:t>process. </w:t>
            </w:r>
            <w:r>
              <w:rPr>
                <w:spacing w:val="-2"/>
                <w:sz w:val="22"/>
              </w:rPr>
              <w:t>Interviews</w:t>
            </w:r>
            <w:r>
              <w:rPr>
                <w:spacing w:val="-12"/>
                <w:sz w:val="22"/>
              </w:rPr>
              <w:t> </w:t>
            </w:r>
            <w:r>
              <w:rPr>
                <w:spacing w:val="-2"/>
                <w:sz w:val="22"/>
              </w:rPr>
              <w:t>were</w:t>
            </w:r>
            <w:r>
              <w:rPr>
                <w:spacing w:val="-9"/>
                <w:sz w:val="22"/>
              </w:rPr>
              <w:t> </w:t>
            </w:r>
            <w:r>
              <w:rPr>
                <w:spacing w:val="-2"/>
                <w:sz w:val="22"/>
              </w:rPr>
              <w:t>held</w:t>
            </w:r>
            <w:r>
              <w:rPr>
                <w:spacing w:val="-9"/>
                <w:sz w:val="22"/>
              </w:rPr>
              <w:t> </w:t>
            </w:r>
            <w:r>
              <w:rPr>
                <w:spacing w:val="-2"/>
                <w:sz w:val="22"/>
              </w:rPr>
              <w:t>on</w:t>
            </w:r>
            <w:r>
              <w:rPr>
                <w:spacing w:val="-9"/>
                <w:sz w:val="22"/>
              </w:rPr>
              <w:t> </w:t>
            </w:r>
            <w:r>
              <w:rPr>
                <w:spacing w:val="-2"/>
                <w:sz w:val="22"/>
              </w:rPr>
              <w:t>25</w:t>
            </w:r>
            <w:r>
              <w:rPr>
                <w:spacing w:val="-4"/>
                <w:sz w:val="22"/>
              </w:rPr>
              <w:t> </w:t>
            </w:r>
            <w:r>
              <w:rPr>
                <w:spacing w:val="-2"/>
                <w:sz w:val="22"/>
              </w:rPr>
              <w:t>September,</w:t>
            </w:r>
            <w:r>
              <w:rPr>
                <w:spacing w:val="-13"/>
                <w:sz w:val="22"/>
              </w:rPr>
              <w:t> </w:t>
            </w:r>
            <w:r>
              <w:rPr>
                <w:spacing w:val="-2"/>
                <w:sz w:val="22"/>
              </w:rPr>
              <w:t>with</w:t>
            </w:r>
            <w:r>
              <w:rPr>
                <w:spacing w:val="-9"/>
                <w:sz w:val="22"/>
              </w:rPr>
              <w:t> </w:t>
            </w:r>
            <w:r>
              <w:rPr>
                <w:spacing w:val="-2"/>
                <w:sz w:val="22"/>
              </w:rPr>
              <w:t>a</w:t>
            </w:r>
            <w:r>
              <w:rPr>
                <w:spacing w:val="-9"/>
                <w:sz w:val="22"/>
              </w:rPr>
              <w:t> </w:t>
            </w:r>
            <w:r>
              <w:rPr>
                <w:spacing w:val="-2"/>
                <w:sz w:val="22"/>
              </w:rPr>
              <w:t>panel</w:t>
            </w:r>
            <w:r>
              <w:rPr>
                <w:spacing w:val="-10"/>
                <w:sz w:val="22"/>
              </w:rPr>
              <w:t> </w:t>
            </w:r>
            <w:r>
              <w:rPr>
                <w:spacing w:val="-2"/>
                <w:sz w:val="22"/>
              </w:rPr>
              <w:t>comprising</w:t>
            </w:r>
            <w:r>
              <w:rPr>
                <w:spacing w:val="-9"/>
                <w:sz w:val="22"/>
              </w:rPr>
              <w:t> </w:t>
            </w:r>
            <w:r>
              <w:rPr>
                <w:spacing w:val="-2"/>
                <w:sz w:val="22"/>
              </w:rPr>
              <w:t>senior</w:t>
            </w:r>
            <w:r>
              <w:rPr>
                <w:spacing w:val="-10"/>
                <w:sz w:val="22"/>
              </w:rPr>
              <w:t> </w:t>
            </w:r>
            <w:r>
              <w:rPr>
                <w:spacing w:val="-2"/>
                <w:sz w:val="22"/>
              </w:rPr>
              <w:t>representatives</w:t>
            </w:r>
            <w:r>
              <w:rPr>
                <w:spacing w:val="-7"/>
                <w:sz w:val="22"/>
              </w:rPr>
              <w:t> </w:t>
            </w:r>
            <w:r>
              <w:rPr>
                <w:spacing w:val="-2"/>
                <w:sz w:val="22"/>
              </w:rPr>
              <w:t>from</w:t>
            </w:r>
            <w:r>
              <w:rPr>
                <w:spacing w:val="-10"/>
                <w:sz w:val="22"/>
              </w:rPr>
              <w:t> </w:t>
            </w:r>
            <w:r>
              <w:rPr>
                <w:spacing w:val="-2"/>
                <w:sz w:val="22"/>
              </w:rPr>
              <w:t>both</w:t>
            </w:r>
            <w:r>
              <w:rPr>
                <w:spacing w:val="-9"/>
                <w:sz w:val="22"/>
              </w:rPr>
              <w:t> </w:t>
            </w:r>
            <w:r>
              <w:rPr>
                <w:spacing w:val="-2"/>
                <w:sz w:val="22"/>
              </w:rPr>
              <w:t>Health </w:t>
            </w:r>
            <w:r>
              <w:rPr>
                <w:spacing w:val="-4"/>
                <w:sz w:val="22"/>
              </w:rPr>
              <w:t>Boards, including</w:t>
            </w:r>
            <w:r>
              <w:rPr>
                <w:spacing w:val="-5"/>
                <w:sz w:val="22"/>
              </w:rPr>
              <w:t> </w:t>
            </w:r>
            <w:r>
              <w:rPr>
                <w:spacing w:val="-4"/>
                <w:sz w:val="22"/>
              </w:rPr>
              <w:t>programme and</w:t>
            </w:r>
            <w:r>
              <w:rPr>
                <w:spacing w:val="-5"/>
                <w:sz w:val="22"/>
              </w:rPr>
              <w:t> </w:t>
            </w:r>
            <w:r>
              <w:rPr>
                <w:spacing w:val="-4"/>
                <w:sz w:val="22"/>
              </w:rPr>
              <w:t>performance leads. A stakeholder</w:t>
            </w:r>
            <w:r>
              <w:rPr>
                <w:spacing w:val="-6"/>
                <w:sz w:val="22"/>
              </w:rPr>
              <w:t> </w:t>
            </w:r>
            <w:r>
              <w:rPr>
                <w:spacing w:val="-4"/>
                <w:sz w:val="22"/>
              </w:rPr>
              <w:t>panel</w:t>
            </w:r>
            <w:r>
              <w:rPr>
                <w:spacing w:val="-6"/>
                <w:sz w:val="22"/>
              </w:rPr>
              <w:t> </w:t>
            </w:r>
            <w:r>
              <w:rPr>
                <w:spacing w:val="-4"/>
                <w:sz w:val="22"/>
              </w:rPr>
              <w:t>was</w:t>
            </w:r>
            <w:r>
              <w:rPr>
                <w:spacing w:val="-9"/>
                <w:sz w:val="22"/>
              </w:rPr>
              <w:t> </w:t>
            </w:r>
            <w:r>
              <w:rPr>
                <w:spacing w:val="-4"/>
                <w:sz w:val="22"/>
              </w:rPr>
              <w:t>also convened, including </w:t>
            </w:r>
            <w:r>
              <w:rPr>
                <w:spacing w:val="-2"/>
                <w:sz w:val="22"/>
              </w:rPr>
              <w:t>representatives</w:t>
            </w:r>
            <w:r>
              <w:rPr>
                <w:spacing w:val="-6"/>
                <w:sz w:val="22"/>
              </w:rPr>
              <w:t> </w:t>
            </w:r>
            <w:r>
              <w:rPr>
                <w:spacing w:val="-2"/>
                <w:sz w:val="22"/>
              </w:rPr>
              <w:t>from</w:t>
            </w:r>
            <w:r>
              <w:rPr>
                <w:spacing w:val="-9"/>
                <w:sz w:val="22"/>
              </w:rPr>
              <w:t> </w:t>
            </w:r>
            <w:r>
              <w:rPr>
                <w:spacing w:val="-2"/>
                <w:sz w:val="22"/>
              </w:rPr>
              <w:t>workforce,</w:t>
            </w:r>
            <w:r>
              <w:rPr>
                <w:spacing w:val="-11"/>
                <w:sz w:val="22"/>
              </w:rPr>
              <w:t> </w:t>
            </w:r>
            <w:r>
              <w:rPr>
                <w:spacing w:val="-2"/>
                <w:sz w:val="22"/>
              </w:rPr>
              <w:t>pathology,</w:t>
            </w:r>
            <w:r>
              <w:rPr>
                <w:spacing w:val="-7"/>
                <w:sz w:val="22"/>
              </w:rPr>
              <w:t> </w:t>
            </w:r>
            <w:r>
              <w:rPr>
                <w:spacing w:val="-2"/>
                <w:sz w:val="22"/>
              </w:rPr>
              <w:t>regional</w:t>
            </w:r>
            <w:r>
              <w:rPr>
                <w:spacing w:val="-9"/>
                <w:sz w:val="22"/>
              </w:rPr>
              <w:t> </w:t>
            </w:r>
            <w:r>
              <w:rPr>
                <w:spacing w:val="-2"/>
                <w:sz w:val="22"/>
              </w:rPr>
              <w:t>programme</w:t>
            </w:r>
            <w:r>
              <w:rPr>
                <w:spacing w:val="-8"/>
                <w:sz w:val="22"/>
              </w:rPr>
              <w:t> </w:t>
            </w:r>
            <w:r>
              <w:rPr>
                <w:spacing w:val="-2"/>
                <w:sz w:val="22"/>
              </w:rPr>
              <w:t>management</w:t>
            </w:r>
            <w:r>
              <w:rPr>
                <w:spacing w:val="-11"/>
                <w:sz w:val="22"/>
              </w:rPr>
              <w:t> </w:t>
            </w:r>
            <w:r>
              <w:rPr>
                <w:spacing w:val="-2"/>
                <w:sz w:val="22"/>
              </w:rPr>
              <w:t>office</w:t>
            </w:r>
            <w:r>
              <w:rPr>
                <w:spacing w:val="-3"/>
                <w:sz w:val="22"/>
              </w:rPr>
              <w:t> </w:t>
            </w:r>
            <w:r>
              <w:rPr>
                <w:spacing w:val="-2"/>
                <w:sz w:val="22"/>
              </w:rPr>
              <w:t>and</w:t>
            </w:r>
            <w:r>
              <w:rPr>
                <w:spacing w:val="-8"/>
                <w:sz w:val="22"/>
              </w:rPr>
              <w:t> </w:t>
            </w:r>
            <w:r>
              <w:rPr>
                <w:spacing w:val="-2"/>
                <w:sz w:val="22"/>
              </w:rPr>
              <w:t>finance</w:t>
            </w:r>
            <w:r>
              <w:rPr>
                <w:spacing w:val="-3"/>
                <w:sz w:val="22"/>
              </w:rPr>
              <w:t> </w:t>
            </w:r>
            <w:r>
              <w:rPr>
                <w:spacing w:val="-2"/>
                <w:sz w:val="22"/>
              </w:rPr>
              <w:t>teams. </w:t>
            </w:r>
            <w:r>
              <w:rPr>
                <w:sz w:val="22"/>
              </w:rPr>
              <w:t>Following a robust recruitment process, an appointment was made to the post of Regional Service </w:t>
            </w:r>
            <w:r>
              <w:rPr>
                <w:spacing w:val="-2"/>
                <w:sz w:val="22"/>
              </w:rPr>
              <w:t>Director.</w:t>
            </w:r>
          </w:p>
          <w:p>
            <w:pPr>
              <w:pStyle w:val="TableParagraph"/>
              <w:spacing w:line="278" w:lineRule="auto" w:before="139"/>
              <w:ind w:left="120" w:right="115"/>
              <w:jc w:val="both"/>
              <w:rPr>
                <w:sz w:val="22"/>
              </w:rPr>
            </w:pPr>
            <w:r>
              <w:rPr>
                <w:sz w:val="22"/>
              </w:rPr>
              <w:t>The appointment represents a critical milestone for the programme and will provide the leadership capacity</w:t>
            </w:r>
            <w:r>
              <w:rPr>
                <w:spacing w:val="-16"/>
                <w:sz w:val="22"/>
              </w:rPr>
              <w:t> </w:t>
            </w:r>
            <w:r>
              <w:rPr>
                <w:sz w:val="22"/>
              </w:rPr>
              <w:t>required</w:t>
            </w:r>
            <w:r>
              <w:rPr>
                <w:spacing w:val="-11"/>
                <w:sz w:val="22"/>
              </w:rPr>
              <w:t> </w:t>
            </w:r>
            <w:r>
              <w:rPr>
                <w:sz w:val="22"/>
              </w:rPr>
              <w:t>to</w:t>
            </w:r>
            <w:r>
              <w:rPr>
                <w:spacing w:val="-14"/>
                <w:sz w:val="22"/>
              </w:rPr>
              <w:t> </w:t>
            </w:r>
            <w:r>
              <w:rPr>
                <w:sz w:val="22"/>
              </w:rPr>
              <w:t>maintain</w:t>
            </w:r>
            <w:r>
              <w:rPr>
                <w:spacing w:val="-14"/>
                <w:sz w:val="22"/>
              </w:rPr>
              <w:t> </w:t>
            </w:r>
            <w:r>
              <w:rPr>
                <w:sz w:val="22"/>
              </w:rPr>
              <w:t>momentum,</w:t>
            </w:r>
            <w:r>
              <w:rPr>
                <w:spacing w:val="-14"/>
                <w:sz w:val="22"/>
              </w:rPr>
              <w:t> </w:t>
            </w:r>
            <w:r>
              <w:rPr>
                <w:sz w:val="22"/>
              </w:rPr>
              <w:t>support</w:t>
            </w:r>
            <w:r>
              <w:rPr>
                <w:spacing w:val="-14"/>
                <w:sz w:val="22"/>
              </w:rPr>
              <w:t> </w:t>
            </w:r>
            <w:r>
              <w:rPr>
                <w:sz w:val="22"/>
              </w:rPr>
              <w:t>delivery</w:t>
            </w:r>
            <w:r>
              <w:rPr>
                <w:spacing w:val="-13"/>
                <w:sz w:val="22"/>
              </w:rPr>
              <w:t> </w:t>
            </w:r>
            <w:r>
              <w:rPr>
                <w:sz w:val="22"/>
              </w:rPr>
              <w:t>of</w:t>
            </w:r>
            <w:r>
              <w:rPr>
                <w:spacing w:val="-14"/>
                <w:sz w:val="22"/>
              </w:rPr>
              <w:t> </w:t>
            </w:r>
            <w:r>
              <w:rPr>
                <w:sz w:val="22"/>
              </w:rPr>
              <w:t>key</w:t>
            </w:r>
            <w:r>
              <w:rPr>
                <w:spacing w:val="-13"/>
                <w:sz w:val="22"/>
              </w:rPr>
              <w:t> </w:t>
            </w:r>
            <w:r>
              <w:rPr>
                <w:sz w:val="22"/>
              </w:rPr>
              <w:t>programme</w:t>
            </w:r>
            <w:r>
              <w:rPr>
                <w:spacing w:val="-14"/>
                <w:sz w:val="22"/>
              </w:rPr>
              <w:t> </w:t>
            </w:r>
            <w:r>
              <w:rPr>
                <w:sz w:val="22"/>
              </w:rPr>
              <w:t>dependencies,</w:t>
            </w:r>
            <w:r>
              <w:rPr>
                <w:spacing w:val="-14"/>
                <w:sz w:val="22"/>
              </w:rPr>
              <w:t> </w:t>
            </w:r>
            <w:r>
              <w:rPr>
                <w:sz w:val="22"/>
              </w:rPr>
              <w:t>and</w:t>
            </w:r>
            <w:r>
              <w:rPr>
                <w:spacing w:val="-14"/>
                <w:sz w:val="22"/>
              </w:rPr>
              <w:t> </w:t>
            </w:r>
            <w:r>
              <w:rPr>
                <w:sz w:val="22"/>
              </w:rPr>
              <w:t>drive completion</w:t>
            </w:r>
            <w:r>
              <w:rPr>
                <w:spacing w:val="-6"/>
                <w:sz w:val="22"/>
              </w:rPr>
              <w:t> </w:t>
            </w:r>
            <w:r>
              <w:rPr>
                <w:sz w:val="22"/>
              </w:rPr>
              <w:t>of</w:t>
            </w:r>
            <w:r>
              <w:rPr>
                <w:spacing w:val="-5"/>
                <w:sz w:val="22"/>
              </w:rPr>
              <w:t> </w:t>
            </w:r>
            <w:r>
              <w:rPr>
                <w:sz w:val="22"/>
              </w:rPr>
              <w:t>the FBC</w:t>
            </w:r>
            <w:r>
              <w:rPr>
                <w:spacing w:val="-7"/>
                <w:sz w:val="22"/>
              </w:rPr>
              <w:t> </w:t>
            </w:r>
            <w:r>
              <w:rPr>
                <w:sz w:val="22"/>
              </w:rPr>
              <w:t>over</w:t>
            </w:r>
            <w:r>
              <w:rPr>
                <w:spacing w:val="-2"/>
                <w:sz w:val="22"/>
              </w:rPr>
              <w:t> </w:t>
            </w:r>
            <w:r>
              <w:rPr>
                <w:sz w:val="22"/>
              </w:rPr>
              <w:t>the</w:t>
            </w:r>
            <w:r>
              <w:rPr>
                <w:spacing w:val="-1"/>
                <w:sz w:val="22"/>
              </w:rPr>
              <w:t> </w:t>
            </w:r>
            <w:r>
              <w:rPr>
                <w:sz w:val="22"/>
              </w:rPr>
              <w:t>coming twelve months.</w:t>
            </w:r>
          </w:p>
          <w:p>
            <w:pPr>
              <w:pStyle w:val="TableParagraph"/>
              <w:spacing w:line="276" w:lineRule="auto" w:before="135"/>
              <w:ind w:left="120" w:right="109"/>
              <w:jc w:val="both"/>
              <w:rPr>
                <w:sz w:val="22"/>
              </w:rPr>
            </w:pPr>
            <w:r>
              <w:rPr>
                <w:spacing w:val="-2"/>
                <w:sz w:val="22"/>
              </w:rPr>
              <w:t>The</w:t>
            </w:r>
            <w:r>
              <w:rPr>
                <w:spacing w:val="-10"/>
                <w:sz w:val="22"/>
              </w:rPr>
              <w:t> </w:t>
            </w:r>
            <w:r>
              <w:rPr>
                <w:spacing w:val="-2"/>
                <w:sz w:val="22"/>
              </w:rPr>
              <w:t>resource</w:t>
            </w:r>
            <w:r>
              <w:rPr>
                <w:spacing w:val="-5"/>
                <w:sz w:val="22"/>
              </w:rPr>
              <w:t> </w:t>
            </w:r>
            <w:r>
              <w:rPr>
                <w:spacing w:val="-2"/>
                <w:sz w:val="22"/>
              </w:rPr>
              <w:t>requirement</w:t>
            </w:r>
            <w:r>
              <w:rPr>
                <w:spacing w:val="-9"/>
                <w:sz w:val="22"/>
              </w:rPr>
              <w:t> </w:t>
            </w:r>
            <w:r>
              <w:rPr>
                <w:spacing w:val="-2"/>
                <w:sz w:val="22"/>
              </w:rPr>
              <w:t>submitted</w:t>
            </w:r>
            <w:r>
              <w:rPr>
                <w:spacing w:val="-5"/>
                <w:sz w:val="22"/>
              </w:rPr>
              <w:t> </w:t>
            </w:r>
            <w:r>
              <w:rPr>
                <w:spacing w:val="-2"/>
                <w:sz w:val="22"/>
              </w:rPr>
              <w:t>to</w:t>
            </w:r>
            <w:r>
              <w:rPr>
                <w:spacing w:val="-10"/>
                <w:sz w:val="22"/>
              </w:rPr>
              <w:t> </w:t>
            </w:r>
            <w:r>
              <w:rPr>
                <w:spacing w:val="-2"/>
                <w:sz w:val="22"/>
              </w:rPr>
              <w:t>Welsh</w:t>
            </w:r>
            <w:r>
              <w:rPr>
                <w:spacing w:val="-5"/>
                <w:sz w:val="22"/>
              </w:rPr>
              <w:t> </w:t>
            </w:r>
            <w:r>
              <w:rPr>
                <w:spacing w:val="-2"/>
                <w:sz w:val="22"/>
              </w:rPr>
              <w:t>Government</w:t>
            </w:r>
            <w:r>
              <w:rPr>
                <w:spacing w:val="-13"/>
                <w:sz w:val="22"/>
              </w:rPr>
              <w:t> </w:t>
            </w:r>
            <w:r>
              <w:rPr>
                <w:spacing w:val="-2"/>
                <w:sz w:val="22"/>
              </w:rPr>
              <w:t>was</w:t>
            </w:r>
            <w:r>
              <w:rPr>
                <w:spacing w:val="-8"/>
                <w:sz w:val="22"/>
              </w:rPr>
              <w:t> </w:t>
            </w:r>
            <w:r>
              <w:rPr>
                <w:spacing w:val="-2"/>
                <w:sz w:val="22"/>
              </w:rPr>
              <w:t>developed</w:t>
            </w:r>
            <w:r>
              <w:rPr>
                <w:spacing w:val="-10"/>
                <w:sz w:val="22"/>
              </w:rPr>
              <w:t> </w:t>
            </w:r>
            <w:r>
              <w:rPr>
                <w:spacing w:val="-2"/>
                <w:sz w:val="22"/>
              </w:rPr>
              <w:t>in</w:t>
            </w:r>
            <w:r>
              <w:rPr>
                <w:spacing w:val="-5"/>
                <w:sz w:val="22"/>
              </w:rPr>
              <w:t> </w:t>
            </w:r>
            <w:r>
              <w:rPr>
                <w:spacing w:val="-2"/>
                <w:sz w:val="22"/>
              </w:rPr>
              <w:t>March</w:t>
            </w:r>
            <w:r>
              <w:rPr>
                <w:spacing w:val="-5"/>
                <w:sz w:val="22"/>
              </w:rPr>
              <w:t> </w:t>
            </w:r>
            <w:r>
              <w:rPr>
                <w:spacing w:val="-2"/>
                <w:sz w:val="22"/>
              </w:rPr>
              <w:t>2026</w:t>
            </w:r>
            <w:r>
              <w:rPr>
                <w:spacing w:val="-10"/>
                <w:sz w:val="22"/>
              </w:rPr>
              <w:t> </w:t>
            </w:r>
            <w:r>
              <w:rPr>
                <w:spacing w:val="-2"/>
                <w:sz w:val="22"/>
              </w:rPr>
              <w:t>and</w:t>
            </w:r>
            <w:r>
              <w:rPr>
                <w:spacing w:val="-10"/>
                <w:sz w:val="22"/>
              </w:rPr>
              <w:t> </w:t>
            </w:r>
            <w:r>
              <w:rPr>
                <w:spacing w:val="-2"/>
                <w:sz w:val="22"/>
              </w:rPr>
              <w:t>reflected </w:t>
            </w:r>
            <w:r>
              <w:rPr>
                <w:sz w:val="22"/>
              </w:rPr>
              <w:t>the anticipated programme management, service consolidation, operational, clinical and specialist </w:t>
            </w:r>
            <w:r>
              <w:rPr>
                <w:spacing w:val="-2"/>
                <w:sz w:val="22"/>
              </w:rPr>
              <w:t>functional</w:t>
            </w:r>
            <w:r>
              <w:rPr>
                <w:spacing w:val="-14"/>
                <w:sz w:val="22"/>
              </w:rPr>
              <w:t> </w:t>
            </w:r>
            <w:r>
              <w:rPr>
                <w:spacing w:val="-2"/>
                <w:sz w:val="22"/>
              </w:rPr>
              <w:t>support</w:t>
            </w:r>
            <w:r>
              <w:rPr>
                <w:spacing w:val="-13"/>
                <w:sz w:val="22"/>
              </w:rPr>
              <w:t> </w:t>
            </w:r>
            <w:r>
              <w:rPr>
                <w:spacing w:val="-2"/>
                <w:sz w:val="22"/>
              </w:rPr>
              <w:t>required</w:t>
            </w:r>
            <w:r>
              <w:rPr>
                <w:spacing w:val="-13"/>
                <w:sz w:val="22"/>
              </w:rPr>
              <w:t> </w:t>
            </w:r>
            <w:r>
              <w:rPr>
                <w:spacing w:val="-2"/>
                <w:sz w:val="22"/>
              </w:rPr>
              <w:t>to</w:t>
            </w:r>
            <w:r>
              <w:rPr>
                <w:spacing w:val="-14"/>
                <w:sz w:val="22"/>
              </w:rPr>
              <w:t> </w:t>
            </w:r>
            <w:r>
              <w:rPr>
                <w:spacing w:val="-2"/>
                <w:sz w:val="22"/>
              </w:rPr>
              <w:t>develop</w:t>
            </w:r>
            <w:r>
              <w:rPr>
                <w:spacing w:val="-13"/>
                <w:sz w:val="22"/>
              </w:rPr>
              <w:t> </w:t>
            </w:r>
            <w:r>
              <w:rPr>
                <w:spacing w:val="-2"/>
                <w:sz w:val="22"/>
              </w:rPr>
              <w:t>a</w:t>
            </w:r>
            <w:r>
              <w:rPr>
                <w:spacing w:val="-13"/>
                <w:sz w:val="22"/>
              </w:rPr>
              <w:t> </w:t>
            </w:r>
            <w:r>
              <w:rPr>
                <w:spacing w:val="-2"/>
                <w:sz w:val="22"/>
              </w:rPr>
              <w:t>robust</w:t>
            </w:r>
            <w:r>
              <w:rPr>
                <w:spacing w:val="-13"/>
                <w:sz w:val="22"/>
              </w:rPr>
              <w:t> </w:t>
            </w:r>
            <w:r>
              <w:rPr>
                <w:spacing w:val="-2"/>
                <w:sz w:val="22"/>
              </w:rPr>
              <w:t>Full</w:t>
            </w:r>
            <w:r>
              <w:rPr>
                <w:spacing w:val="-14"/>
                <w:sz w:val="22"/>
              </w:rPr>
              <w:t> </w:t>
            </w:r>
            <w:r>
              <w:rPr>
                <w:spacing w:val="-2"/>
                <w:sz w:val="22"/>
              </w:rPr>
              <w:t>Business</w:t>
            </w:r>
            <w:r>
              <w:rPr>
                <w:spacing w:val="-13"/>
                <w:sz w:val="22"/>
              </w:rPr>
              <w:t> </w:t>
            </w:r>
            <w:r>
              <w:rPr>
                <w:spacing w:val="-2"/>
                <w:sz w:val="22"/>
              </w:rPr>
              <w:t>Case.</w:t>
            </w:r>
            <w:r>
              <w:rPr>
                <w:spacing w:val="-13"/>
                <w:sz w:val="22"/>
              </w:rPr>
              <w:t> </w:t>
            </w:r>
            <w:r>
              <w:rPr>
                <w:spacing w:val="-2"/>
                <w:sz w:val="22"/>
              </w:rPr>
              <w:t>The</w:t>
            </w:r>
            <w:r>
              <w:rPr>
                <w:spacing w:val="-14"/>
                <w:sz w:val="22"/>
              </w:rPr>
              <w:t> </w:t>
            </w:r>
            <w:r>
              <w:rPr>
                <w:spacing w:val="-2"/>
                <w:sz w:val="22"/>
              </w:rPr>
              <w:t>estimated</w:t>
            </w:r>
            <w:r>
              <w:rPr>
                <w:spacing w:val="-13"/>
                <w:sz w:val="22"/>
              </w:rPr>
              <w:t> </w:t>
            </w:r>
            <w:r>
              <w:rPr>
                <w:spacing w:val="-2"/>
                <w:sz w:val="22"/>
              </w:rPr>
              <w:t>resource</w:t>
            </w:r>
            <w:r>
              <w:rPr>
                <w:spacing w:val="-13"/>
                <w:sz w:val="22"/>
              </w:rPr>
              <w:t> </w:t>
            </w:r>
            <w:r>
              <w:rPr>
                <w:spacing w:val="-2"/>
                <w:sz w:val="22"/>
              </w:rPr>
              <w:t>requirement </w:t>
            </w:r>
            <w:r>
              <w:rPr>
                <w:sz w:val="22"/>
              </w:rPr>
              <w:t>was valued at £800k. Welsh Government subsequently approved a sum of £1.7 million to support </w:t>
            </w:r>
            <w:r>
              <w:rPr>
                <w:spacing w:val="-2"/>
                <w:sz w:val="22"/>
              </w:rPr>
              <w:t>business</w:t>
            </w:r>
            <w:r>
              <w:rPr>
                <w:spacing w:val="-8"/>
                <w:sz w:val="22"/>
              </w:rPr>
              <w:t> </w:t>
            </w:r>
            <w:r>
              <w:rPr>
                <w:spacing w:val="-2"/>
                <w:sz w:val="22"/>
              </w:rPr>
              <w:t>case</w:t>
            </w:r>
            <w:r>
              <w:rPr>
                <w:spacing w:val="-5"/>
                <w:sz w:val="22"/>
              </w:rPr>
              <w:t> </w:t>
            </w:r>
            <w:r>
              <w:rPr>
                <w:spacing w:val="-2"/>
                <w:sz w:val="22"/>
              </w:rPr>
              <w:t>development,</w:t>
            </w:r>
            <w:r>
              <w:rPr>
                <w:spacing w:val="-9"/>
                <w:sz w:val="22"/>
              </w:rPr>
              <w:t> </w:t>
            </w:r>
            <w:r>
              <w:rPr>
                <w:spacing w:val="-2"/>
                <w:sz w:val="22"/>
              </w:rPr>
              <w:t>with</w:t>
            </w:r>
            <w:r>
              <w:rPr>
                <w:spacing w:val="-10"/>
                <w:sz w:val="22"/>
              </w:rPr>
              <w:t> </w:t>
            </w:r>
            <w:r>
              <w:rPr>
                <w:spacing w:val="-2"/>
                <w:sz w:val="22"/>
              </w:rPr>
              <w:t>an</w:t>
            </w:r>
            <w:r>
              <w:rPr>
                <w:spacing w:val="-5"/>
                <w:sz w:val="22"/>
              </w:rPr>
              <w:t> </w:t>
            </w:r>
            <w:r>
              <w:rPr>
                <w:spacing w:val="-2"/>
                <w:sz w:val="22"/>
              </w:rPr>
              <w:t>agreed</w:t>
            </w:r>
            <w:r>
              <w:rPr>
                <w:spacing w:val="-5"/>
                <w:sz w:val="22"/>
              </w:rPr>
              <w:t> </w:t>
            </w:r>
            <w:r>
              <w:rPr>
                <w:spacing w:val="-2"/>
                <w:sz w:val="22"/>
              </w:rPr>
              <w:t>proportion</w:t>
            </w:r>
            <w:r>
              <w:rPr>
                <w:spacing w:val="-10"/>
                <w:sz w:val="22"/>
              </w:rPr>
              <w:t> </w:t>
            </w:r>
            <w:r>
              <w:rPr>
                <w:spacing w:val="-2"/>
                <w:sz w:val="22"/>
              </w:rPr>
              <w:t>of</w:t>
            </w:r>
            <w:r>
              <w:rPr>
                <w:spacing w:val="-4"/>
                <w:sz w:val="22"/>
              </w:rPr>
              <w:t> </w:t>
            </w:r>
            <w:r>
              <w:rPr>
                <w:spacing w:val="-2"/>
                <w:sz w:val="22"/>
              </w:rPr>
              <w:t>the</w:t>
            </w:r>
            <w:r>
              <w:rPr>
                <w:spacing w:val="-5"/>
                <w:sz w:val="22"/>
              </w:rPr>
              <w:t> </w:t>
            </w:r>
            <w:r>
              <w:rPr>
                <w:spacing w:val="-2"/>
                <w:sz w:val="22"/>
              </w:rPr>
              <w:t>allocation ringfenced</w:t>
            </w:r>
            <w:r>
              <w:rPr>
                <w:spacing w:val="-4"/>
                <w:sz w:val="22"/>
              </w:rPr>
              <w:t> </w:t>
            </w:r>
            <w:r>
              <w:rPr>
                <w:spacing w:val="-2"/>
                <w:sz w:val="22"/>
              </w:rPr>
              <w:t>for</w:t>
            </w:r>
            <w:r>
              <w:rPr>
                <w:spacing w:val="-6"/>
                <w:sz w:val="22"/>
              </w:rPr>
              <w:t> </w:t>
            </w:r>
            <w:r>
              <w:rPr>
                <w:spacing w:val="-2"/>
                <w:sz w:val="22"/>
              </w:rPr>
              <w:t>internal</w:t>
            </w:r>
            <w:r>
              <w:rPr>
                <w:spacing w:val="-7"/>
                <w:sz w:val="22"/>
              </w:rPr>
              <w:t> </w:t>
            </w:r>
            <w:r>
              <w:rPr>
                <w:spacing w:val="-2"/>
                <w:sz w:val="22"/>
              </w:rPr>
              <w:t>resource </w:t>
            </w:r>
            <w:r>
              <w:rPr>
                <w:sz w:val="22"/>
              </w:rPr>
              <w:t>costs and specialist internal support, to the value of £300k. This funding has been instrumental in </w:t>
            </w:r>
            <w:r>
              <w:rPr>
                <w:spacing w:val="-2"/>
                <w:sz w:val="22"/>
              </w:rPr>
              <w:t>progressing</w:t>
            </w:r>
            <w:r>
              <w:rPr>
                <w:spacing w:val="-13"/>
                <w:sz w:val="22"/>
              </w:rPr>
              <w:t> </w:t>
            </w:r>
            <w:r>
              <w:rPr>
                <w:spacing w:val="-2"/>
                <w:sz w:val="22"/>
              </w:rPr>
              <w:t>programme</w:t>
            </w:r>
            <w:r>
              <w:rPr>
                <w:spacing w:val="-11"/>
                <w:sz w:val="22"/>
              </w:rPr>
              <w:t> </w:t>
            </w:r>
            <w:r>
              <w:rPr>
                <w:spacing w:val="-2"/>
                <w:sz w:val="22"/>
              </w:rPr>
              <w:t>activity</w:t>
            </w:r>
            <w:r>
              <w:rPr>
                <w:spacing w:val="-9"/>
                <w:sz w:val="22"/>
              </w:rPr>
              <w:t> </w:t>
            </w:r>
            <w:r>
              <w:rPr>
                <w:spacing w:val="-2"/>
                <w:sz w:val="22"/>
              </w:rPr>
              <w:t>to</w:t>
            </w:r>
            <w:r>
              <w:rPr>
                <w:spacing w:val="-11"/>
                <w:sz w:val="22"/>
              </w:rPr>
              <w:t> </w:t>
            </w:r>
            <w:r>
              <w:rPr>
                <w:spacing w:val="-2"/>
                <w:sz w:val="22"/>
              </w:rPr>
              <w:t>date,</w:t>
            </w:r>
            <w:r>
              <w:rPr>
                <w:spacing w:val="-14"/>
                <w:sz w:val="22"/>
              </w:rPr>
              <w:t> </w:t>
            </w:r>
            <w:r>
              <w:rPr>
                <w:spacing w:val="-2"/>
                <w:sz w:val="22"/>
              </w:rPr>
              <w:t>including</w:t>
            </w:r>
            <w:r>
              <w:rPr>
                <w:spacing w:val="-10"/>
                <w:sz w:val="22"/>
              </w:rPr>
              <w:t> </w:t>
            </w:r>
            <w:r>
              <w:rPr>
                <w:spacing w:val="-2"/>
                <w:sz w:val="22"/>
              </w:rPr>
              <w:t>establishment</w:t>
            </w:r>
            <w:r>
              <w:rPr>
                <w:spacing w:val="-14"/>
                <w:sz w:val="22"/>
              </w:rPr>
              <w:t> </w:t>
            </w:r>
            <w:r>
              <w:rPr>
                <w:spacing w:val="-2"/>
                <w:sz w:val="22"/>
              </w:rPr>
              <w:t>of</w:t>
            </w:r>
            <w:r>
              <w:rPr>
                <w:spacing w:val="-13"/>
                <w:sz w:val="22"/>
              </w:rPr>
              <w:t> </w:t>
            </w:r>
            <w:r>
              <w:rPr>
                <w:spacing w:val="-2"/>
                <w:sz w:val="22"/>
              </w:rPr>
              <w:t>the</w:t>
            </w:r>
            <w:r>
              <w:rPr>
                <w:spacing w:val="-6"/>
                <w:sz w:val="22"/>
              </w:rPr>
              <w:t> </w:t>
            </w:r>
            <w:r>
              <w:rPr>
                <w:spacing w:val="-2"/>
                <w:sz w:val="22"/>
              </w:rPr>
              <w:t>interim</w:t>
            </w:r>
            <w:r>
              <w:rPr>
                <w:spacing w:val="-7"/>
                <w:sz w:val="22"/>
              </w:rPr>
              <w:t> </w:t>
            </w:r>
            <w:r>
              <w:rPr>
                <w:spacing w:val="-2"/>
                <w:sz w:val="22"/>
              </w:rPr>
              <w:t>Regional</w:t>
            </w:r>
            <w:r>
              <w:rPr>
                <w:spacing w:val="-12"/>
                <w:sz w:val="22"/>
              </w:rPr>
              <w:t> </w:t>
            </w:r>
            <w:r>
              <w:rPr>
                <w:spacing w:val="-2"/>
                <w:sz w:val="22"/>
              </w:rPr>
              <w:t>Service</w:t>
            </w:r>
            <w:r>
              <w:rPr>
                <w:spacing w:val="-11"/>
                <w:sz w:val="22"/>
              </w:rPr>
              <w:t> </w:t>
            </w:r>
            <w:r>
              <w:rPr>
                <w:spacing w:val="-2"/>
                <w:sz w:val="22"/>
              </w:rPr>
              <w:t>Director </w:t>
            </w:r>
            <w:r>
              <w:rPr>
                <w:sz w:val="22"/>
              </w:rPr>
              <w:t>role</w:t>
            </w:r>
            <w:r>
              <w:rPr>
                <w:spacing w:val="-6"/>
                <w:sz w:val="22"/>
              </w:rPr>
              <w:t> </w:t>
            </w:r>
            <w:r>
              <w:rPr>
                <w:sz w:val="22"/>
              </w:rPr>
              <w:t>and</w:t>
            </w:r>
            <w:r>
              <w:rPr>
                <w:spacing w:val="-6"/>
                <w:sz w:val="22"/>
              </w:rPr>
              <w:t> </w:t>
            </w:r>
            <w:r>
              <w:rPr>
                <w:sz w:val="22"/>
              </w:rPr>
              <w:t>supporting</w:t>
            </w:r>
            <w:r>
              <w:rPr>
                <w:spacing w:val="-6"/>
                <w:sz w:val="22"/>
              </w:rPr>
              <w:t> </w:t>
            </w:r>
            <w:r>
              <w:rPr>
                <w:sz w:val="22"/>
              </w:rPr>
              <w:t>key</w:t>
            </w:r>
            <w:r>
              <w:rPr>
                <w:spacing w:val="-9"/>
                <w:sz w:val="22"/>
              </w:rPr>
              <w:t> </w:t>
            </w:r>
            <w:r>
              <w:rPr>
                <w:sz w:val="22"/>
              </w:rPr>
              <w:t>workstreams</w:t>
            </w:r>
            <w:r>
              <w:rPr>
                <w:spacing w:val="-4"/>
                <w:sz w:val="22"/>
              </w:rPr>
              <w:t> </w:t>
            </w:r>
            <w:r>
              <w:rPr>
                <w:sz w:val="22"/>
              </w:rPr>
              <w:t>across</w:t>
            </w:r>
            <w:r>
              <w:rPr>
                <w:spacing w:val="-4"/>
                <w:sz w:val="22"/>
              </w:rPr>
              <w:t> </w:t>
            </w:r>
            <w:r>
              <w:rPr>
                <w:sz w:val="22"/>
              </w:rPr>
              <w:t>the</w:t>
            </w:r>
            <w:r>
              <w:rPr>
                <w:spacing w:val="-2"/>
                <w:sz w:val="22"/>
              </w:rPr>
              <w:t> </w:t>
            </w:r>
            <w:r>
              <w:rPr>
                <w:sz w:val="22"/>
              </w:rPr>
              <w:t>programme.</w:t>
            </w:r>
          </w:p>
          <w:p>
            <w:pPr>
              <w:pStyle w:val="TableParagraph"/>
              <w:spacing w:line="276" w:lineRule="auto" w:before="138"/>
              <w:ind w:left="120" w:right="109"/>
              <w:jc w:val="both"/>
              <w:rPr>
                <w:sz w:val="22"/>
              </w:rPr>
            </w:pPr>
            <w:r>
              <w:rPr>
                <w:sz w:val="22"/>
              </w:rPr>
              <w:t>Whilst this investment has significantly strengthened programme capacity, there remains a residual </w:t>
            </w:r>
            <w:r>
              <w:rPr>
                <w:spacing w:val="-4"/>
                <w:sz w:val="22"/>
              </w:rPr>
              <w:t>resource gap across</w:t>
            </w:r>
            <w:r>
              <w:rPr>
                <w:spacing w:val="-5"/>
                <w:sz w:val="22"/>
              </w:rPr>
              <w:t> </w:t>
            </w:r>
            <w:r>
              <w:rPr>
                <w:spacing w:val="-4"/>
                <w:sz w:val="22"/>
              </w:rPr>
              <w:t>operational and</w:t>
            </w:r>
            <w:r>
              <w:rPr>
                <w:spacing w:val="-7"/>
                <w:sz w:val="22"/>
              </w:rPr>
              <w:t> </w:t>
            </w:r>
            <w:r>
              <w:rPr>
                <w:spacing w:val="-4"/>
                <w:sz w:val="22"/>
              </w:rPr>
              <w:t>specialist</w:t>
            </w:r>
            <w:r>
              <w:rPr>
                <w:spacing w:val="-6"/>
                <w:sz w:val="22"/>
              </w:rPr>
              <w:t> </w:t>
            </w:r>
            <w:r>
              <w:rPr>
                <w:spacing w:val="-4"/>
                <w:sz w:val="22"/>
              </w:rPr>
              <w:t>functions.</w:t>
            </w:r>
            <w:r>
              <w:rPr>
                <w:spacing w:val="-6"/>
                <w:sz w:val="22"/>
              </w:rPr>
              <w:t> </w:t>
            </w:r>
            <w:r>
              <w:rPr>
                <w:spacing w:val="-4"/>
                <w:sz w:val="22"/>
              </w:rPr>
              <w:t>This shortfall continues</w:t>
            </w:r>
            <w:r>
              <w:rPr>
                <w:spacing w:val="-5"/>
                <w:sz w:val="22"/>
              </w:rPr>
              <w:t> </w:t>
            </w:r>
            <w:r>
              <w:rPr>
                <w:spacing w:val="-4"/>
                <w:sz w:val="22"/>
              </w:rPr>
              <w:t>to be managed through </w:t>
            </w:r>
            <w:r>
              <w:rPr>
                <w:spacing w:val="-2"/>
                <w:sz w:val="22"/>
              </w:rPr>
              <w:t>contributions</w:t>
            </w:r>
            <w:r>
              <w:rPr>
                <w:spacing w:val="-14"/>
                <w:sz w:val="22"/>
              </w:rPr>
              <w:t> </w:t>
            </w:r>
            <w:r>
              <w:rPr>
                <w:spacing w:val="-2"/>
                <w:sz w:val="22"/>
              </w:rPr>
              <w:t>from</w:t>
            </w:r>
            <w:r>
              <w:rPr>
                <w:spacing w:val="-13"/>
                <w:sz w:val="22"/>
              </w:rPr>
              <w:t> </w:t>
            </w:r>
            <w:r>
              <w:rPr>
                <w:spacing w:val="-2"/>
                <w:sz w:val="22"/>
              </w:rPr>
              <w:t>RJC</w:t>
            </w:r>
            <w:r>
              <w:rPr>
                <w:spacing w:val="-13"/>
                <w:sz w:val="22"/>
              </w:rPr>
              <w:t> </w:t>
            </w:r>
            <w:r>
              <w:rPr>
                <w:spacing w:val="-2"/>
                <w:sz w:val="22"/>
              </w:rPr>
              <w:t>resources,</w:t>
            </w:r>
            <w:r>
              <w:rPr>
                <w:spacing w:val="-14"/>
                <w:sz w:val="22"/>
              </w:rPr>
              <w:t> </w:t>
            </w:r>
            <w:r>
              <w:rPr>
                <w:spacing w:val="-2"/>
                <w:sz w:val="22"/>
              </w:rPr>
              <w:t>operational</w:t>
            </w:r>
            <w:r>
              <w:rPr>
                <w:spacing w:val="-13"/>
                <w:sz w:val="22"/>
              </w:rPr>
              <w:t> </w:t>
            </w:r>
            <w:r>
              <w:rPr>
                <w:spacing w:val="-2"/>
                <w:sz w:val="22"/>
              </w:rPr>
              <w:t>service</w:t>
            </w:r>
            <w:r>
              <w:rPr>
                <w:spacing w:val="-13"/>
                <w:sz w:val="22"/>
              </w:rPr>
              <w:t> </w:t>
            </w:r>
            <w:r>
              <w:rPr>
                <w:spacing w:val="-2"/>
                <w:sz w:val="22"/>
              </w:rPr>
              <w:t>teams</w:t>
            </w:r>
            <w:r>
              <w:rPr>
                <w:spacing w:val="-13"/>
                <w:sz w:val="22"/>
              </w:rPr>
              <w:t> </w:t>
            </w:r>
            <w:r>
              <w:rPr>
                <w:spacing w:val="-2"/>
                <w:sz w:val="22"/>
              </w:rPr>
              <w:t>and</w:t>
            </w:r>
            <w:r>
              <w:rPr>
                <w:spacing w:val="-14"/>
                <w:sz w:val="22"/>
              </w:rPr>
              <w:t> </w:t>
            </w:r>
            <w:r>
              <w:rPr>
                <w:spacing w:val="-2"/>
                <w:sz w:val="22"/>
              </w:rPr>
              <w:t>Health</w:t>
            </w:r>
            <w:r>
              <w:rPr>
                <w:spacing w:val="-12"/>
                <w:sz w:val="22"/>
              </w:rPr>
              <w:t> </w:t>
            </w:r>
            <w:r>
              <w:rPr>
                <w:spacing w:val="-2"/>
                <w:sz w:val="22"/>
              </w:rPr>
              <w:t>Board</w:t>
            </w:r>
            <w:r>
              <w:rPr>
                <w:spacing w:val="-11"/>
                <w:sz w:val="22"/>
              </w:rPr>
              <w:t> </w:t>
            </w:r>
            <w:r>
              <w:rPr>
                <w:spacing w:val="-2"/>
                <w:sz w:val="22"/>
              </w:rPr>
              <w:t>functional</w:t>
            </w:r>
            <w:r>
              <w:rPr>
                <w:spacing w:val="-13"/>
                <w:sz w:val="22"/>
              </w:rPr>
              <w:t> </w:t>
            </w:r>
            <w:r>
              <w:rPr>
                <w:spacing w:val="-2"/>
                <w:sz w:val="22"/>
              </w:rPr>
              <w:t>specialists.</w:t>
            </w:r>
            <w:r>
              <w:rPr>
                <w:spacing w:val="-11"/>
                <w:sz w:val="22"/>
              </w:rPr>
              <w:t> </w:t>
            </w:r>
            <w:r>
              <w:rPr>
                <w:spacing w:val="-2"/>
                <w:sz w:val="22"/>
              </w:rPr>
              <w:t>As </w:t>
            </w:r>
            <w:r>
              <w:rPr>
                <w:sz w:val="22"/>
              </w:rPr>
              <w:t>programme activity accelerates and interdependencies become increasingly complex, the continued </w:t>
            </w:r>
            <w:r>
              <w:rPr>
                <w:spacing w:val="-2"/>
                <w:sz w:val="22"/>
              </w:rPr>
              <w:t>reliance</w:t>
            </w:r>
            <w:r>
              <w:rPr>
                <w:spacing w:val="-14"/>
                <w:sz w:val="22"/>
              </w:rPr>
              <w:t> </w:t>
            </w:r>
            <w:r>
              <w:rPr>
                <w:spacing w:val="-2"/>
                <w:sz w:val="22"/>
              </w:rPr>
              <w:t>on</w:t>
            </w:r>
            <w:r>
              <w:rPr>
                <w:spacing w:val="-13"/>
                <w:sz w:val="22"/>
              </w:rPr>
              <w:t> </w:t>
            </w:r>
            <w:r>
              <w:rPr>
                <w:spacing w:val="-2"/>
                <w:sz w:val="22"/>
              </w:rPr>
              <w:t>existing</w:t>
            </w:r>
            <w:r>
              <w:rPr>
                <w:spacing w:val="-13"/>
                <w:sz w:val="22"/>
              </w:rPr>
              <w:t> </w:t>
            </w:r>
            <w:r>
              <w:rPr>
                <w:spacing w:val="-2"/>
                <w:sz w:val="22"/>
              </w:rPr>
              <w:t>capacity</w:t>
            </w:r>
            <w:r>
              <w:rPr>
                <w:spacing w:val="-11"/>
                <w:sz w:val="22"/>
              </w:rPr>
              <w:t> </w:t>
            </w:r>
            <w:r>
              <w:rPr>
                <w:spacing w:val="-2"/>
                <w:sz w:val="22"/>
              </w:rPr>
              <w:t>presents</w:t>
            </w:r>
            <w:r>
              <w:rPr>
                <w:spacing w:val="-11"/>
                <w:sz w:val="22"/>
              </w:rPr>
              <w:t> </w:t>
            </w:r>
            <w:r>
              <w:rPr>
                <w:spacing w:val="-2"/>
                <w:sz w:val="22"/>
              </w:rPr>
              <w:t>an</w:t>
            </w:r>
            <w:r>
              <w:rPr>
                <w:spacing w:val="-13"/>
                <w:sz w:val="22"/>
              </w:rPr>
              <w:t> </w:t>
            </w:r>
            <w:r>
              <w:rPr>
                <w:spacing w:val="-2"/>
                <w:sz w:val="22"/>
              </w:rPr>
              <w:t>ongoing</w:t>
            </w:r>
            <w:r>
              <w:rPr>
                <w:spacing w:val="-14"/>
                <w:sz w:val="22"/>
              </w:rPr>
              <w:t> </w:t>
            </w:r>
            <w:r>
              <w:rPr>
                <w:spacing w:val="-2"/>
                <w:sz w:val="22"/>
              </w:rPr>
              <w:t>delivery</w:t>
            </w:r>
            <w:r>
              <w:rPr>
                <w:spacing w:val="-10"/>
                <w:sz w:val="22"/>
              </w:rPr>
              <w:t> </w:t>
            </w:r>
            <w:r>
              <w:rPr>
                <w:spacing w:val="-2"/>
                <w:sz w:val="22"/>
              </w:rPr>
              <w:t>risk</w:t>
            </w:r>
            <w:r>
              <w:rPr>
                <w:spacing w:val="-14"/>
                <w:sz w:val="22"/>
              </w:rPr>
              <w:t> </w:t>
            </w:r>
            <w:r>
              <w:rPr>
                <w:spacing w:val="-2"/>
                <w:sz w:val="22"/>
              </w:rPr>
              <w:t>which</w:t>
            </w:r>
            <w:r>
              <w:rPr>
                <w:spacing w:val="-7"/>
                <w:sz w:val="22"/>
              </w:rPr>
              <w:t> </w:t>
            </w:r>
            <w:r>
              <w:rPr>
                <w:spacing w:val="-2"/>
                <w:sz w:val="22"/>
              </w:rPr>
              <w:t>may</w:t>
            </w:r>
            <w:r>
              <w:rPr>
                <w:spacing w:val="-11"/>
                <w:sz w:val="22"/>
              </w:rPr>
              <w:t> </w:t>
            </w:r>
            <w:r>
              <w:rPr>
                <w:spacing w:val="-2"/>
                <w:sz w:val="22"/>
              </w:rPr>
              <w:t>impact</w:t>
            </w:r>
            <w:r>
              <w:rPr>
                <w:spacing w:val="-14"/>
                <w:sz w:val="22"/>
              </w:rPr>
              <w:t> </w:t>
            </w:r>
            <w:r>
              <w:rPr>
                <w:spacing w:val="-2"/>
                <w:sz w:val="22"/>
              </w:rPr>
              <w:t>programme</w:t>
            </w:r>
            <w:r>
              <w:rPr>
                <w:spacing w:val="-7"/>
                <w:sz w:val="22"/>
              </w:rPr>
              <w:t> </w:t>
            </w:r>
            <w:r>
              <w:rPr>
                <w:spacing w:val="-2"/>
                <w:sz w:val="22"/>
              </w:rPr>
              <w:t>timelines</w:t>
            </w:r>
            <w:r>
              <w:rPr>
                <w:spacing w:val="-11"/>
                <w:sz w:val="22"/>
              </w:rPr>
              <w:t> </w:t>
            </w:r>
            <w:r>
              <w:rPr>
                <w:spacing w:val="-2"/>
                <w:sz w:val="22"/>
              </w:rPr>
              <w:t>if </w:t>
            </w:r>
            <w:r>
              <w:rPr>
                <w:sz w:val="22"/>
              </w:rPr>
              <w:t>additional support cannot be secured.</w:t>
            </w:r>
          </w:p>
        </w:tc>
      </w:tr>
    </w:tbl>
    <w:p>
      <w:pPr>
        <w:pStyle w:val="BodyText"/>
        <w:spacing w:before="137"/>
        <w:rPr>
          <w:sz w:val="16"/>
        </w:rPr>
      </w:pPr>
    </w:p>
    <w:p>
      <w:pPr>
        <w:spacing w:before="0"/>
        <w:ind w:left="657" w:right="228" w:firstLine="0"/>
        <w:jc w:val="center"/>
        <w:rPr>
          <w:sz w:val="16"/>
        </w:rPr>
      </w:pPr>
      <w:r>
        <w:rPr>
          <w:spacing w:val="-2"/>
          <w:sz w:val="16"/>
        </w:rPr>
        <w:t>Page</w:t>
      </w:r>
      <w:r>
        <w:rPr>
          <w:spacing w:val="-7"/>
          <w:sz w:val="16"/>
        </w:rPr>
        <w:t> </w:t>
      </w:r>
      <w:r>
        <w:rPr>
          <w:spacing w:val="-2"/>
          <w:sz w:val="16"/>
        </w:rPr>
        <w:t>6</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43" name="Image 343"/>
            <wp:cNvGraphicFramePr>
              <a:graphicFrameLocks/>
            </wp:cNvGraphicFramePr>
            <a:graphic>
              <a:graphicData uri="http://schemas.openxmlformats.org/drawingml/2006/picture">
                <pic:pic>
                  <pic:nvPicPr>
                    <pic:cNvPr id="343" name="Image 343"/>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44" name="Image 344"/>
            <wp:cNvGraphicFramePr>
              <a:graphicFrameLocks/>
            </wp:cNvGraphicFramePr>
            <a:graphic>
              <a:graphicData uri="http://schemas.openxmlformats.org/drawingml/2006/picture">
                <pic:pic>
                  <pic:nvPicPr>
                    <pic:cNvPr id="344" name="Image 344"/>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703" w:hRule="atLeast"/>
        </w:trPr>
        <w:tc>
          <w:tcPr>
            <w:tcW w:w="10069" w:type="dxa"/>
          </w:tcPr>
          <w:p>
            <w:pPr>
              <w:pStyle w:val="TableParagraph"/>
              <w:spacing w:before="178"/>
              <w:ind w:left="120"/>
              <w:rPr>
                <w:b/>
                <w:sz w:val="22"/>
              </w:rPr>
            </w:pPr>
            <w:r>
              <w:rPr>
                <w:b/>
                <w:color w:val="394871"/>
                <w:spacing w:val="-4"/>
                <w:sz w:val="22"/>
              </w:rPr>
              <w:t>Service</w:t>
            </w:r>
            <w:r>
              <w:rPr>
                <w:b/>
                <w:color w:val="394871"/>
                <w:sz w:val="22"/>
              </w:rPr>
              <w:t> </w:t>
            </w:r>
            <w:r>
              <w:rPr>
                <w:b/>
                <w:color w:val="394871"/>
                <w:spacing w:val="-4"/>
                <w:sz w:val="22"/>
              </w:rPr>
              <w:t>Consolidation</w:t>
            </w:r>
            <w:r>
              <w:rPr>
                <w:b/>
                <w:color w:val="394871"/>
                <w:sz w:val="22"/>
              </w:rPr>
              <w:t> </w:t>
            </w:r>
            <w:r>
              <w:rPr>
                <w:b/>
                <w:color w:val="394871"/>
                <w:spacing w:val="-4"/>
                <w:sz w:val="22"/>
              </w:rPr>
              <w:t>Baselining</w:t>
            </w:r>
          </w:p>
          <w:p>
            <w:pPr>
              <w:pStyle w:val="TableParagraph"/>
              <w:spacing w:line="276" w:lineRule="auto" w:before="97"/>
              <w:ind w:left="120" w:right="138"/>
              <w:rPr>
                <w:sz w:val="22"/>
              </w:rPr>
            </w:pPr>
            <w:r>
              <w:rPr>
                <w:sz w:val="22"/>
              </w:rPr>
              <w:t>To support the development of a robust and evidence-based FBC, the programme has commissioned</w:t>
            </w:r>
            <w:r>
              <w:rPr>
                <w:spacing w:val="-2"/>
                <w:sz w:val="22"/>
              </w:rPr>
              <w:t> </w:t>
            </w:r>
            <w:r>
              <w:rPr>
                <w:sz w:val="22"/>
              </w:rPr>
              <w:t>the</w:t>
            </w:r>
            <w:r>
              <w:rPr>
                <w:spacing w:val="-2"/>
                <w:sz w:val="22"/>
              </w:rPr>
              <w:t> </w:t>
            </w:r>
            <w:r>
              <w:rPr>
                <w:sz w:val="22"/>
              </w:rPr>
              <w:t>Healthcare</w:t>
            </w:r>
            <w:r>
              <w:rPr>
                <w:spacing w:val="-2"/>
                <w:sz w:val="22"/>
              </w:rPr>
              <w:t> </w:t>
            </w:r>
            <w:r>
              <w:rPr>
                <w:sz w:val="22"/>
              </w:rPr>
              <w:t>Systems</w:t>
            </w:r>
            <w:r>
              <w:rPr>
                <w:spacing w:val="-5"/>
                <w:sz w:val="22"/>
              </w:rPr>
              <w:t> </w:t>
            </w:r>
            <w:r>
              <w:rPr>
                <w:sz w:val="22"/>
              </w:rPr>
              <w:t>Engineering(HCSE)</w:t>
            </w:r>
            <w:r>
              <w:rPr>
                <w:spacing w:val="-2"/>
                <w:sz w:val="22"/>
              </w:rPr>
              <w:t> </w:t>
            </w:r>
            <w:r>
              <w:rPr>
                <w:sz w:val="22"/>
              </w:rPr>
              <w:t>Team</w:t>
            </w:r>
            <w:r>
              <w:rPr>
                <w:spacing w:val="-8"/>
                <w:sz w:val="22"/>
              </w:rPr>
              <w:t> </w:t>
            </w:r>
            <w:r>
              <w:rPr>
                <w:sz w:val="22"/>
              </w:rPr>
              <w:t>at</w:t>
            </w:r>
            <w:r>
              <w:rPr>
                <w:spacing w:val="-6"/>
                <w:sz w:val="22"/>
              </w:rPr>
              <w:t> </w:t>
            </w:r>
            <w:r>
              <w:rPr>
                <w:sz w:val="22"/>
              </w:rPr>
              <w:t>Swansea</w:t>
            </w:r>
            <w:r>
              <w:rPr>
                <w:spacing w:val="-2"/>
                <w:sz w:val="22"/>
              </w:rPr>
              <w:t> </w:t>
            </w:r>
            <w:r>
              <w:rPr>
                <w:sz w:val="22"/>
              </w:rPr>
              <w:t>Bay</w:t>
            </w:r>
            <w:r>
              <w:rPr>
                <w:spacing w:val="-5"/>
                <w:sz w:val="22"/>
              </w:rPr>
              <w:t> </w:t>
            </w:r>
            <w:r>
              <w:rPr>
                <w:sz w:val="22"/>
              </w:rPr>
              <w:t>University</w:t>
            </w:r>
            <w:r>
              <w:rPr>
                <w:spacing w:val="-5"/>
                <w:sz w:val="22"/>
              </w:rPr>
              <w:t> </w:t>
            </w:r>
            <w:r>
              <w:rPr>
                <w:sz w:val="22"/>
              </w:rPr>
              <w:t>Health Board</w:t>
            </w:r>
            <w:r>
              <w:rPr>
                <w:spacing w:val="-2"/>
                <w:sz w:val="22"/>
              </w:rPr>
              <w:t> </w:t>
            </w:r>
            <w:r>
              <w:rPr>
                <w:sz w:val="22"/>
              </w:rPr>
              <w:t>to</w:t>
            </w:r>
            <w:r>
              <w:rPr>
                <w:spacing w:val="-2"/>
                <w:sz w:val="22"/>
              </w:rPr>
              <w:t> </w:t>
            </w:r>
            <w:r>
              <w:rPr>
                <w:sz w:val="22"/>
              </w:rPr>
              <w:t>undertake</w:t>
            </w:r>
            <w:r>
              <w:rPr>
                <w:spacing w:val="-2"/>
                <w:sz w:val="22"/>
              </w:rPr>
              <w:t> </w:t>
            </w:r>
            <w:r>
              <w:rPr>
                <w:sz w:val="22"/>
              </w:rPr>
              <w:t>a</w:t>
            </w:r>
            <w:r>
              <w:rPr>
                <w:spacing w:val="-2"/>
                <w:sz w:val="22"/>
              </w:rPr>
              <w:t> </w:t>
            </w:r>
            <w:r>
              <w:rPr>
                <w:sz w:val="22"/>
              </w:rPr>
              <w:t>comprehensive</w:t>
            </w:r>
            <w:r>
              <w:rPr>
                <w:spacing w:val="-7"/>
                <w:sz w:val="22"/>
              </w:rPr>
              <w:t> </w:t>
            </w:r>
            <w:r>
              <w:rPr>
                <w:sz w:val="22"/>
              </w:rPr>
              <w:t>activity</w:t>
            </w:r>
            <w:r>
              <w:rPr>
                <w:spacing w:val="-5"/>
                <w:sz w:val="22"/>
              </w:rPr>
              <w:t> </w:t>
            </w:r>
            <w:r>
              <w:rPr>
                <w:sz w:val="22"/>
              </w:rPr>
              <w:t>and</w:t>
            </w:r>
            <w:r>
              <w:rPr>
                <w:spacing w:val="-2"/>
                <w:sz w:val="22"/>
              </w:rPr>
              <w:t> </w:t>
            </w:r>
            <w:r>
              <w:rPr>
                <w:sz w:val="22"/>
              </w:rPr>
              <w:t>demand</w:t>
            </w:r>
            <w:r>
              <w:rPr>
                <w:spacing w:val="-2"/>
                <w:sz w:val="22"/>
              </w:rPr>
              <w:t> </w:t>
            </w:r>
            <w:r>
              <w:rPr>
                <w:sz w:val="22"/>
              </w:rPr>
              <w:t>baselining</w:t>
            </w:r>
            <w:r>
              <w:rPr>
                <w:spacing w:val="-7"/>
                <w:sz w:val="22"/>
              </w:rPr>
              <w:t> </w:t>
            </w:r>
            <w:r>
              <w:rPr>
                <w:sz w:val="22"/>
              </w:rPr>
              <w:t>exercise. This</w:t>
            </w:r>
            <w:r>
              <w:rPr>
                <w:spacing w:val="-5"/>
                <w:sz w:val="22"/>
              </w:rPr>
              <w:t> </w:t>
            </w:r>
            <w:r>
              <w:rPr>
                <w:sz w:val="22"/>
              </w:rPr>
              <w:t>has</w:t>
            </w:r>
            <w:r>
              <w:rPr>
                <w:spacing w:val="-5"/>
                <w:sz w:val="22"/>
              </w:rPr>
              <w:t> </w:t>
            </w:r>
            <w:r>
              <w:rPr>
                <w:sz w:val="22"/>
              </w:rPr>
              <w:t>been</w:t>
            </w:r>
            <w:r>
              <w:rPr>
                <w:spacing w:val="-2"/>
                <w:sz w:val="22"/>
              </w:rPr>
              <w:t> </w:t>
            </w:r>
            <w:r>
              <w:rPr>
                <w:sz w:val="22"/>
              </w:rPr>
              <w:t>funded from within the WG internal resourcing allocation.</w:t>
            </w:r>
          </w:p>
          <w:p>
            <w:pPr>
              <w:pStyle w:val="TableParagraph"/>
              <w:spacing w:before="39"/>
              <w:rPr>
                <w:sz w:val="22"/>
              </w:rPr>
            </w:pPr>
          </w:p>
          <w:p>
            <w:pPr>
              <w:pStyle w:val="TableParagraph"/>
              <w:spacing w:line="276" w:lineRule="auto"/>
              <w:ind w:left="120"/>
              <w:rPr>
                <w:sz w:val="22"/>
              </w:rPr>
            </w:pPr>
            <w:r>
              <w:rPr>
                <w:sz w:val="22"/>
              </w:rPr>
              <w:t>This work has focused on establishing a consistent methodology, common datasets and agreed performance metrics across both organisations, ensuring that future planning, capacity modelling, workforce assessments and financial appraisals are based on comparable and reliable information. The</w:t>
            </w:r>
            <w:r>
              <w:rPr>
                <w:spacing w:val="-2"/>
                <w:sz w:val="22"/>
              </w:rPr>
              <w:t> </w:t>
            </w:r>
            <w:r>
              <w:rPr>
                <w:sz w:val="22"/>
              </w:rPr>
              <w:t>exercise</w:t>
            </w:r>
            <w:r>
              <w:rPr>
                <w:spacing w:val="-2"/>
                <w:sz w:val="22"/>
              </w:rPr>
              <w:t> </w:t>
            </w:r>
            <w:r>
              <w:rPr>
                <w:sz w:val="22"/>
              </w:rPr>
              <w:t>will</w:t>
            </w:r>
            <w:r>
              <w:rPr>
                <w:spacing w:val="-4"/>
                <w:sz w:val="22"/>
              </w:rPr>
              <w:t> </w:t>
            </w:r>
            <w:r>
              <w:rPr>
                <w:sz w:val="22"/>
              </w:rPr>
              <w:t>provide</w:t>
            </w:r>
            <w:r>
              <w:rPr>
                <w:spacing w:val="-7"/>
                <w:sz w:val="22"/>
              </w:rPr>
              <w:t> </w:t>
            </w:r>
            <w:r>
              <w:rPr>
                <w:sz w:val="22"/>
              </w:rPr>
              <w:t>a</w:t>
            </w:r>
            <w:r>
              <w:rPr>
                <w:spacing w:val="-2"/>
                <w:sz w:val="22"/>
              </w:rPr>
              <w:t> </w:t>
            </w:r>
            <w:r>
              <w:rPr>
                <w:sz w:val="22"/>
              </w:rPr>
              <w:t>single</w:t>
            </w:r>
            <w:r>
              <w:rPr>
                <w:spacing w:val="-2"/>
                <w:sz w:val="22"/>
              </w:rPr>
              <w:t> </w:t>
            </w:r>
            <w:r>
              <w:rPr>
                <w:sz w:val="22"/>
              </w:rPr>
              <w:t>version</w:t>
            </w:r>
            <w:r>
              <w:rPr>
                <w:spacing w:val="-7"/>
                <w:sz w:val="22"/>
              </w:rPr>
              <w:t> </w:t>
            </w:r>
            <w:r>
              <w:rPr>
                <w:sz w:val="22"/>
              </w:rPr>
              <w:t>of</w:t>
            </w:r>
            <w:r>
              <w:rPr>
                <w:spacing w:val="-6"/>
                <w:sz w:val="22"/>
              </w:rPr>
              <w:t> </w:t>
            </w:r>
            <w:r>
              <w:rPr>
                <w:sz w:val="22"/>
              </w:rPr>
              <w:t>the</w:t>
            </w:r>
            <w:r>
              <w:rPr>
                <w:spacing w:val="-2"/>
                <w:sz w:val="22"/>
              </w:rPr>
              <w:t> </w:t>
            </w:r>
            <w:r>
              <w:rPr>
                <w:sz w:val="22"/>
              </w:rPr>
              <w:t>truth</w:t>
            </w:r>
            <w:r>
              <w:rPr>
                <w:spacing w:val="-7"/>
                <w:sz w:val="22"/>
              </w:rPr>
              <w:t> </w:t>
            </w:r>
            <w:r>
              <w:rPr>
                <w:sz w:val="22"/>
              </w:rPr>
              <w:t>for</w:t>
            </w:r>
            <w:r>
              <w:rPr>
                <w:spacing w:val="-3"/>
                <w:sz w:val="22"/>
              </w:rPr>
              <w:t> </w:t>
            </w:r>
            <w:r>
              <w:rPr>
                <w:sz w:val="22"/>
              </w:rPr>
              <w:t>the</w:t>
            </w:r>
            <w:r>
              <w:rPr>
                <w:spacing w:val="-2"/>
                <w:sz w:val="22"/>
              </w:rPr>
              <w:t> </w:t>
            </w:r>
            <w:r>
              <w:rPr>
                <w:sz w:val="22"/>
              </w:rPr>
              <w:t>programme,</w:t>
            </w:r>
            <w:r>
              <w:rPr>
                <w:spacing w:val="-6"/>
                <w:sz w:val="22"/>
              </w:rPr>
              <w:t> </w:t>
            </w:r>
            <w:r>
              <w:rPr>
                <w:sz w:val="22"/>
              </w:rPr>
              <w:t>improving</w:t>
            </w:r>
            <w:r>
              <w:rPr>
                <w:spacing w:val="-7"/>
                <w:sz w:val="22"/>
              </w:rPr>
              <w:t> </w:t>
            </w:r>
            <w:r>
              <w:rPr>
                <w:sz w:val="22"/>
              </w:rPr>
              <w:t>confidence</w:t>
            </w:r>
            <w:r>
              <w:rPr>
                <w:spacing w:val="-2"/>
                <w:sz w:val="22"/>
              </w:rPr>
              <w:t> </w:t>
            </w:r>
            <w:r>
              <w:rPr>
                <w:sz w:val="22"/>
              </w:rPr>
              <w:t>in</w:t>
            </w:r>
            <w:r>
              <w:rPr>
                <w:spacing w:val="-2"/>
                <w:sz w:val="22"/>
              </w:rPr>
              <w:t> </w:t>
            </w:r>
            <w:r>
              <w:rPr>
                <w:sz w:val="22"/>
              </w:rPr>
              <w:t>the underlying assumptions and enabling informed decision-making as the regional service model and business case are developed. Initial work has highlighted the importance of data validation and standardisation across systems, reinforcing the need for a structured and independent approach to baseline development.</w:t>
            </w:r>
          </w:p>
          <w:p>
            <w:pPr>
              <w:pStyle w:val="TableParagraph"/>
              <w:spacing w:before="40"/>
              <w:rPr>
                <w:sz w:val="22"/>
              </w:rPr>
            </w:pPr>
          </w:p>
          <w:p>
            <w:pPr>
              <w:pStyle w:val="TableParagraph"/>
              <w:spacing w:line="276" w:lineRule="auto"/>
              <w:ind w:left="120" w:right="212"/>
              <w:rPr>
                <w:sz w:val="22"/>
              </w:rPr>
            </w:pPr>
            <w:r>
              <w:rPr>
                <w:sz w:val="22"/>
              </w:rPr>
              <w:t>HCSE were on site at Glangwili General Hospital on 9</w:t>
            </w:r>
            <w:r>
              <w:rPr>
                <w:sz w:val="22"/>
                <w:vertAlign w:val="superscript"/>
              </w:rPr>
              <w:t>th</w:t>
            </w:r>
            <w:r>
              <w:rPr>
                <w:sz w:val="22"/>
                <w:vertAlign w:val="baseline"/>
              </w:rPr>
              <w:t> of September and have since produced a report</w:t>
            </w:r>
            <w:r>
              <w:rPr>
                <w:spacing w:val="-6"/>
                <w:sz w:val="22"/>
                <w:vertAlign w:val="baseline"/>
              </w:rPr>
              <w:t> </w:t>
            </w:r>
            <w:r>
              <w:rPr>
                <w:sz w:val="22"/>
                <w:vertAlign w:val="baseline"/>
              </w:rPr>
              <w:t>on</w:t>
            </w:r>
            <w:r>
              <w:rPr>
                <w:spacing w:val="-2"/>
                <w:sz w:val="22"/>
                <w:vertAlign w:val="baseline"/>
              </w:rPr>
              <w:t> </w:t>
            </w:r>
            <w:r>
              <w:rPr>
                <w:sz w:val="22"/>
                <w:vertAlign w:val="baseline"/>
              </w:rPr>
              <w:t>their</w:t>
            </w:r>
            <w:r>
              <w:rPr>
                <w:spacing w:val="-3"/>
                <w:sz w:val="22"/>
                <w:vertAlign w:val="baseline"/>
              </w:rPr>
              <w:t> </w:t>
            </w:r>
            <w:r>
              <w:rPr>
                <w:sz w:val="22"/>
                <w:vertAlign w:val="baseline"/>
              </w:rPr>
              <w:t>findings</w:t>
            </w:r>
            <w:r>
              <w:rPr>
                <w:spacing w:val="-5"/>
                <w:sz w:val="22"/>
                <w:vertAlign w:val="baseline"/>
              </w:rPr>
              <w:t> </w:t>
            </w:r>
            <w:r>
              <w:rPr>
                <w:sz w:val="22"/>
                <w:vertAlign w:val="baseline"/>
              </w:rPr>
              <w:t>including</w:t>
            </w:r>
            <w:r>
              <w:rPr>
                <w:spacing w:val="-7"/>
                <w:sz w:val="22"/>
                <w:vertAlign w:val="baseline"/>
              </w:rPr>
              <w:t> </w:t>
            </w:r>
            <w:r>
              <w:rPr>
                <w:sz w:val="22"/>
                <w:vertAlign w:val="baseline"/>
              </w:rPr>
              <w:t>a</w:t>
            </w:r>
            <w:r>
              <w:rPr>
                <w:spacing w:val="-2"/>
                <w:sz w:val="22"/>
                <w:vertAlign w:val="baseline"/>
              </w:rPr>
              <w:t> </w:t>
            </w:r>
            <w:r>
              <w:rPr>
                <w:sz w:val="22"/>
                <w:vertAlign w:val="baseline"/>
              </w:rPr>
              <w:t>comparative</w:t>
            </w:r>
            <w:r>
              <w:rPr>
                <w:spacing w:val="-2"/>
                <w:sz w:val="22"/>
                <w:vertAlign w:val="baseline"/>
              </w:rPr>
              <w:t> </w:t>
            </w:r>
            <w:r>
              <w:rPr>
                <w:sz w:val="22"/>
                <w:vertAlign w:val="baseline"/>
              </w:rPr>
              <w:t>analysis</w:t>
            </w:r>
            <w:r>
              <w:rPr>
                <w:spacing w:val="-5"/>
                <w:sz w:val="22"/>
                <w:vertAlign w:val="baseline"/>
              </w:rPr>
              <w:t> </w:t>
            </w:r>
            <w:r>
              <w:rPr>
                <w:sz w:val="22"/>
                <w:vertAlign w:val="baseline"/>
              </w:rPr>
              <w:t>for</w:t>
            </w:r>
            <w:r>
              <w:rPr>
                <w:spacing w:val="-3"/>
                <w:sz w:val="22"/>
                <w:vertAlign w:val="baseline"/>
              </w:rPr>
              <w:t> </w:t>
            </w:r>
            <w:r>
              <w:rPr>
                <w:sz w:val="22"/>
                <w:vertAlign w:val="baseline"/>
              </w:rPr>
              <w:t>Swansea</w:t>
            </w:r>
            <w:r>
              <w:rPr>
                <w:spacing w:val="-2"/>
                <w:sz w:val="22"/>
                <w:vertAlign w:val="baseline"/>
              </w:rPr>
              <w:t> </w:t>
            </w:r>
            <w:r>
              <w:rPr>
                <w:sz w:val="22"/>
                <w:vertAlign w:val="baseline"/>
              </w:rPr>
              <w:t>Bay</w:t>
            </w:r>
            <w:r>
              <w:rPr>
                <w:spacing w:val="-9"/>
                <w:sz w:val="22"/>
                <w:vertAlign w:val="baseline"/>
              </w:rPr>
              <w:t> </w:t>
            </w:r>
            <w:r>
              <w:rPr>
                <w:sz w:val="22"/>
                <w:vertAlign w:val="baseline"/>
              </w:rPr>
              <w:t>and</w:t>
            </w:r>
            <w:r>
              <w:rPr>
                <w:spacing w:val="-2"/>
                <w:sz w:val="22"/>
                <w:vertAlign w:val="baseline"/>
              </w:rPr>
              <w:t> </w:t>
            </w:r>
            <w:r>
              <w:rPr>
                <w:sz w:val="22"/>
                <w:vertAlign w:val="baseline"/>
              </w:rPr>
              <w:t>Hywel</w:t>
            </w:r>
            <w:r>
              <w:rPr>
                <w:spacing w:val="-4"/>
                <w:sz w:val="22"/>
                <w:vertAlign w:val="baseline"/>
              </w:rPr>
              <w:t> </w:t>
            </w:r>
            <w:r>
              <w:rPr>
                <w:sz w:val="22"/>
                <w:vertAlign w:val="baseline"/>
              </w:rPr>
              <w:t>Dda’s</w:t>
            </w:r>
            <w:r>
              <w:rPr>
                <w:spacing w:val="-5"/>
                <w:sz w:val="22"/>
                <w:vertAlign w:val="baseline"/>
              </w:rPr>
              <w:t> </w:t>
            </w:r>
            <w:r>
              <w:rPr>
                <w:sz w:val="22"/>
                <w:vertAlign w:val="baseline"/>
              </w:rPr>
              <w:t>Cellular Pathology operations. The next steps for this piece of work, is service scrutiny and validation followed by sharing the findings with the Finance and Workforce leads for inclusion in their work programme. This is due to take place week commencing 12</w:t>
            </w:r>
            <w:r>
              <w:rPr>
                <w:sz w:val="22"/>
                <w:vertAlign w:val="superscript"/>
              </w:rPr>
              <w:t>th</w:t>
            </w:r>
            <w:r>
              <w:rPr>
                <w:sz w:val="22"/>
                <w:vertAlign w:val="baseline"/>
              </w:rPr>
              <w:t> October.</w:t>
            </w:r>
          </w:p>
          <w:p>
            <w:pPr>
              <w:pStyle w:val="TableParagraph"/>
              <w:spacing w:before="141"/>
              <w:ind w:left="120"/>
              <w:rPr>
                <w:b/>
                <w:sz w:val="22"/>
              </w:rPr>
            </w:pPr>
            <w:r>
              <w:rPr>
                <w:b/>
                <w:color w:val="394871"/>
                <w:spacing w:val="-2"/>
                <w:sz w:val="22"/>
              </w:rPr>
              <w:t>Finance</w:t>
            </w:r>
          </w:p>
          <w:p>
            <w:pPr>
              <w:pStyle w:val="TableParagraph"/>
              <w:spacing w:before="64"/>
              <w:rPr>
                <w:sz w:val="22"/>
              </w:rPr>
            </w:pPr>
          </w:p>
          <w:p>
            <w:pPr>
              <w:pStyle w:val="TableParagraph"/>
              <w:spacing w:line="276" w:lineRule="auto" w:before="1"/>
              <w:ind w:left="120" w:right="123"/>
              <w:rPr>
                <w:sz w:val="22"/>
              </w:rPr>
            </w:pPr>
            <w:r>
              <w:rPr>
                <w:sz w:val="22"/>
              </w:rPr>
              <w:t>A combined Finance and Procurement Group has been formed over the summer to enable coordination of the associated workstreams and ensure the appropriate engagement and crossover, with a clear workplan currently being finalised to assure the required outputs. The financial planning and affordability assessment continues to progress, with work underway to establish the baseline activity, demand, workforce and financial position that will inform development of the FBC. Key dependencies, assumptions and information requirements have been identified across all finance workstreams, supporting greater clarity regarding programme costs, delivery timescales and affordability considerations. In parallel, information governance arrangements, including supporting data-sharing documentation, have been completed,</w:t>
            </w:r>
            <w:r>
              <w:rPr>
                <w:spacing w:val="-5"/>
                <w:sz w:val="22"/>
              </w:rPr>
              <w:t> </w:t>
            </w:r>
            <w:r>
              <w:rPr>
                <w:sz w:val="22"/>
              </w:rPr>
              <w:t>enabling several interdependent workstreams to progress.</w:t>
            </w:r>
            <w:r>
              <w:rPr>
                <w:spacing w:val="-3"/>
                <w:sz w:val="22"/>
              </w:rPr>
              <w:t> </w:t>
            </w:r>
            <w:r>
              <w:rPr>
                <w:sz w:val="22"/>
              </w:rPr>
              <w:t>The</w:t>
            </w:r>
            <w:r>
              <w:rPr>
                <w:spacing w:val="-1"/>
                <w:sz w:val="22"/>
              </w:rPr>
              <w:t> </w:t>
            </w:r>
            <w:r>
              <w:rPr>
                <w:sz w:val="22"/>
              </w:rPr>
              <w:t>output</w:t>
            </w:r>
            <w:r>
              <w:rPr>
                <w:spacing w:val="-5"/>
                <w:sz w:val="22"/>
              </w:rPr>
              <w:t> </w:t>
            </w:r>
            <w:r>
              <w:rPr>
                <w:sz w:val="22"/>
              </w:rPr>
              <w:t>of</w:t>
            </w:r>
            <w:r>
              <w:rPr>
                <w:spacing w:val="-5"/>
                <w:sz w:val="22"/>
              </w:rPr>
              <w:t> </w:t>
            </w:r>
            <w:r>
              <w:rPr>
                <w:sz w:val="22"/>
              </w:rPr>
              <w:t>the</w:t>
            </w:r>
            <w:r>
              <w:rPr>
                <w:spacing w:val="-1"/>
                <w:sz w:val="22"/>
              </w:rPr>
              <w:t> </w:t>
            </w:r>
            <w:r>
              <w:rPr>
                <w:sz w:val="22"/>
              </w:rPr>
              <w:t>HCSE</w:t>
            </w:r>
            <w:r>
              <w:rPr>
                <w:spacing w:val="-5"/>
                <w:sz w:val="22"/>
              </w:rPr>
              <w:t> </w:t>
            </w:r>
            <w:r>
              <w:rPr>
                <w:sz w:val="22"/>
              </w:rPr>
              <w:t>baseline</w:t>
            </w:r>
            <w:r>
              <w:rPr>
                <w:spacing w:val="-1"/>
                <w:sz w:val="22"/>
              </w:rPr>
              <w:t> </w:t>
            </w:r>
            <w:r>
              <w:rPr>
                <w:sz w:val="22"/>
              </w:rPr>
              <w:t>assessment</w:t>
            </w:r>
            <w:r>
              <w:rPr>
                <w:spacing w:val="-5"/>
                <w:sz w:val="22"/>
              </w:rPr>
              <w:t> </w:t>
            </w:r>
            <w:r>
              <w:rPr>
                <w:sz w:val="22"/>
              </w:rPr>
              <w:t>will</w:t>
            </w:r>
            <w:r>
              <w:rPr>
                <w:spacing w:val="-3"/>
                <w:sz w:val="22"/>
              </w:rPr>
              <w:t> </w:t>
            </w:r>
            <w:r>
              <w:rPr>
                <w:sz w:val="22"/>
              </w:rPr>
              <w:t>be</w:t>
            </w:r>
            <w:r>
              <w:rPr>
                <w:spacing w:val="-1"/>
                <w:sz w:val="22"/>
              </w:rPr>
              <w:t> </w:t>
            </w:r>
            <w:r>
              <w:rPr>
                <w:sz w:val="22"/>
              </w:rPr>
              <w:t>a</w:t>
            </w:r>
            <w:r>
              <w:rPr>
                <w:spacing w:val="-1"/>
                <w:sz w:val="22"/>
              </w:rPr>
              <w:t> </w:t>
            </w:r>
            <w:r>
              <w:rPr>
                <w:sz w:val="22"/>
              </w:rPr>
              <w:t>key</w:t>
            </w:r>
            <w:r>
              <w:rPr>
                <w:spacing w:val="-9"/>
                <w:sz w:val="22"/>
              </w:rPr>
              <w:t> </w:t>
            </w:r>
            <w:r>
              <w:rPr>
                <w:sz w:val="22"/>
              </w:rPr>
              <w:t>data</w:t>
            </w:r>
            <w:r>
              <w:rPr>
                <w:spacing w:val="-1"/>
                <w:sz w:val="22"/>
              </w:rPr>
              <w:t> </w:t>
            </w:r>
            <w:r>
              <w:rPr>
                <w:sz w:val="22"/>
              </w:rPr>
              <w:t>set</w:t>
            </w:r>
            <w:r>
              <w:rPr>
                <w:spacing w:val="-5"/>
                <w:sz w:val="22"/>
              </w:rPr>
              <w:t> </w:t>
            </w:r>
            <w:r>
              <w:rPr>
                <w:sz w:val="22"/>
              </w:rPr>
              <w:t>to</w:t>
            </w:r>
            <w:r>
              <w:rPr>
                <w:spacing w:val="-1"/>
                <w:sz w:val="22"/>
              </w:rPr>
              <w:t> </w:t>
            </w:r>
            <w:r>
              <w:rPr>
                <w:sz w:val="22"/>
              </w:rPr>
              <w:t>feed</w:t>
            </w:r>
            <w:r>
              <w:rPr>
                <w:spacing w:val="-1"/>
                <w:sz w:val="22"/>
              </w:rPr>
              <w:t> </w:t>
            </w:r>
            <w:r>
              <w:rPr>
                <w:sz w:val="22"/>
              </w:rPr>
              <w:t>into</w:t>
            </w:r>
            <w:r>
              <w:rPr>
                <w:spacing w:val="-1"/>
                <w:sz w:val="22"/>
              </w:rPr>
              <w:t> </w:t>
            </w:r>
            <w:r>
              <w:rPr>
                <w:sz w:val="22"/>
              </w:rPr>
              <w:t>the</w:t>
            </w:r>
            <w:r>
              <w:rPr>
                <w:spacing w:val="-1"/>
                <w:sz w:val="22"/>
              </w:rPr>
              <w:t> </w:t>
            </w:r>
            <w:r>
              <w:rPr>
                <w:sz w:val="22"/>
              </w:rPr>
              <w:t>finance workstreams. This combined with the financial assessment and clarity on service scope, are key to inform options for the ongoing inter Health Board contractual arrangements which will be framed through the finance work programme, taking into account the reality of activity reporting arrangements which will be key performance metrics.</w:t>
            </w:r>
          </w:p>
          <w:p>
            <w:pPr>
              <w:pStyle w:val="TableParagraph"/>
              <w:spacing w:before="25"/>
              <w:rPr>
                <w:sz w:val="22"/>
              </w:rPr>
            </w:pPr>
          </w:p>
          <w:p>
            <w:pPr>
              <w:pStyle w:val="TableParagraph"/>
              <w:spacing w:line="276" w:lineRule="auto"/>
              <w:ind w:left="120" w:right="197"/>
              <w:rPr>
                <w:sz w:val="22"/>
              </w:rPr>
            </w:pPr>
            <w:r>
              <w:rPr>
                <w:sz w:val="22"/>
              </w:rPr>
              <w:t>Development of the future procurement approach is also advancing. A regional managed service contract</w:t>
            </w:r>
            <w:r>
              <w:rPr>
                <w:spacing w:val="-5"/>
                <w:sz w:val="22"/>
              </w:rPr>
              <w:t> </w:t>
            </w:r>
            <w:r>
              <w:rPr>
                <w:sz w:val="22"/>
              </w:rPr>
              <w:t>is</w:t>
            </w:r>
            <w:r>
              <w:rPr>
                <w:spacing w:val="-4"/>
                <w:sz w:val="22"/>
              </w:rPr>
              <w:t> </w:t>
            </w:r>
            <w:r>
              <w:rPr>
                <w:sz w:val="22"/>
              </w:rPr>
              <w:t>emerging</w:t>
            </w:r>
            <w:r>
              <w:rPr>
                <w:spacing w:val="-6"/>
                <w:sz w:val="22"/>
              </w:rPr>
              <w:t> </w:t>
            </w:r>
            <w:r>
              <w:rPr>
                <w:sz w:val="22"/>
              </w:rPr>
              <w:t>as</w:t>
            </w:r>
            <w:r>
              <w:rPr>
                <w:spacing w:val="-4"/>
                <w:sz w:val="22"/>
              </w:rPr>
              <w:t> </w:t>
            </w:r>
            <w:r>
              <w:rPr>
                <w:sz w:val="22"/>
              </w:rPr>
              <w:t>a</w:t>
            </w:r>
            <w:r>
              <w:rPr>
                <w:spacing w:val="-1"/>
                <w:sz w:val="22"/>
              </w:rPr>
              <w:t> </w:t>
            </w:r>
            <w:r>
              <w:rPr>
                <w:sz w:val="22"/>
              </w:rPr>
              <w:t>critical</w:t>
            </w:r>
            <w:r>
              <w:rPr>
                <w:spacing w:val="-3"/>
                <w:sz w:val="22"/>
              </w:rPr>
              <w:t> </w:t>
            </w:r>
            <w:r>
              <w:rPr>
                <w:sz w:val="22"/>
              </w:rPr>
              <w:t>enabler</w:t>
            </w:r>
            <w:r>
              <w:rPr>
                <w:spacing w:val="-2"/>
                <w:sz w:val="22"/>
              </w:rPr>
              <w:t> </w:t>
            </w:r>
            <w:r>
              <w:rPr>
                <w:sz w:val="22"/>
              </w:rPr>
              <w:t>of</w:t>
            </w:r>
            <w:r>
              <w:rPr>
                <w:spacing w:val="-5"/>
                <w:sz w:val="22"/>
              </w:rPr>
              <w:t> </w:t>
            </w:r>
            <w:r>
              <w:rPr>
                <w:sz w:val="22"/>
              </w:rPr>
              <w:t>the</w:t>
            </w:r>
            <w:r>
              <w:rPr>
                <w:spacing w:val="-1"/>
                <w:sz w:val="22"/>
              </w:rPr>
              <w:t> </w:t>
            </w:r>
            <w:r>
              <w:rPr>
                <w:sz w:val="22"/>
              </w:rPr>
              <w:t>consolidated</w:t>
            </w:r>
            <w:r>
              <w:rPr>
                <w:spacing w:val="-1"/>
                <w:sz w:val="22"/>
              </w:rPr>
              <w:t> </w:t>
            </w:r>
            <w:r>
              <w:rPr>
                <w:sz w:val="22"/>
              </w:rPr>
              <w:t>service,</w:t>
            </w:r>
            <w:r>
              <w:rPr>
                <w:spacing w:val="-5"/>
                <w:sz w:val="22"/>
              </w:rPr>
              <w:t> </w:t>
            </w:r>
            <w:r>
              <w:rPr>
                <w:sz w:val="22"/>
              </w:rPr>
              <w:t>recognising</w:t>
            </w:r>
            <w:r>
              <w:rPr>
                <w:spacing w:val="-6"/>
                <w:sz w:val="22"/>
              </w:rPr>
              <w:t> </w:t>
            </w:r>
            <w:r>
              <w:rPr>
                <w:sz w:val="22"/>
              </w:rPr>
              <w:t>that</w:t>
            </w:r>
            <w:r>
              <w:rPr>
                <w:spacing w:val="-5"/>
                <w:sz w:val="22"/>
              </w:rPr>
              <w:t> </w:t>
            </w:r>
            <w:r>
              <w:rPr>
                <w:sz w:val="22"/>
              </w:rPr>
              <w:t>the</w:t>
            </w:r>
            <w:r>
              <w:rPr>
                <w:spacing w:val="-1"/>
                <w:sz w:val="22"/>
              </w:rPr>
              <w:t> </w:t>
            </w:r>
            <w:r>
              <w:rPr>
                <w:sz w:val="22"/>
              </w:rPr>
              <w:t>two</w:t>
            </w:r>
            <w:r>
              <w:rPr>
                <w:spacing w:val="-1"/>
                <w:sz w:val="22"/>
              </w:rPr>
              <w:t> </w:t>
            </w:r>
            <w:r>
              <w:rPr>
                <w:sz w:val="22"/>
              </w:rPr>
              <w:t>Health Boards currently operate different equipment, maintenance and consumables models via separate suppliers and to different timelines. The FBC will therefore need to confirm the preferred procurement</w:t>
            </w:r>
            <w:r>
              <w:rPr>
                <w:spacing w:val="-7"/>
                <w:sz w:val="22"/>
              </w:rPr>
              <w:t> </w:t>
            </w:r>
            <w:r>
              <w:rPr>
                <w:sz w:val="22"/>
              </w:rPr>
              <w:t>strategy</w:t>
            </w:r>
            <w:r>
              <w:rPr>
                <w:spacing w:val="-6"/>
                <w:sz w:val="22"/>
              </w:rPr>
              <w:t> </w:t>
            </w:r>
            <w:r>
              <w:rPr>
                <w:sz w:val="22"/>
              </w:rPr>
              <w:t>and</w:t>
            </w:r>
            <w:r>
              <w:rPr>
                <w:spacing w:val="-3"/>
                <w:sz w:val="22"/>
              </w:rPr>
              <w:t> </w:t>
            </w:r>
            <w:r>
              <w:rPr>
                <w:sz w:val="22"/>
              </w:rPr>
              <w:t>define</w:t>
            </w:r>
            <w:r>
              <w:rPr>
                <w:spacing w:val="-3"/>
                <w:sz w:val="22"/>
              </w:rPr>
              <w:t> </w:t>
            </w:r>
            <w:r>
              <w:rPr>
                <w:sz w:val="22"/>
              </w:rPr>
              <w:t>associated</w:t>
            </w:r>
            <w:r>
              <w:rPr>
                <w:spacing w:val="-3"/>
                <w:sz w:val="22"/>
              </w:rPr>
              <w:t> </w:t>
            </w:r>
            <w:r>
              <w:rPr>
                <w:sz w:val="22"/>
              </w:rPr>
              <w:t>contractual</w:t>
            </w:r>
            <w:r>
              <w:rPr>
                <w:spacing w:val="-5"/>
                <w:sz w:val="22"/>
              </w:rPr>
              <w:t> </w:t>
            </w:r>
            <w:r>
              <w:rPr>
                <w:sz w:val="22"/>
              </w:rPr>
              <w:t>arrangements,</w:t>
            </w:r>
            <w:r>
              <w:rPr>
                <w:spacing w:val="-7"/>
                <w:sz w:val="22"/>
              </w:rPr>
              <w:t> </w:t>
            </w:r>
            <w:r>
              <w:rPr>
                <w:sz w:val="22"/>
              </w:rPr>
              <w:t>including</w:t>
            </w:r>
            <w:r>
              <w:rPr>
                <w:spacing w:val="-8"/>
                <w:sz w:val="22"/>
              </w:rPr>
              <w:t> </w:t>
            </w:r>
            <w:r>
              <w:rPr>
                <w:sz w:val="22"/>
              </w:rPr>
              <w:t>contract</w:t>
            </w:r>
            <w:r>
              <w:rPr>
                <w:spacing w:val="-7"/>
                <w:sz w:val="22"/>
              </w:rPr>
              <w:t> </w:t>
            </w:r>
            <w:r>
              <w:rPr>
                <w:sz w:val="22"/>
              </w:rPr>
              <w:t>interfaces, charging mechanisms, change control processes, risk allocation and the treatment of equipment replacement</w:t>
            </w:r>
            <w:r>
              <w:rPr>
                <w:spacing w:val="-4"/>
                <w:sz w:val="22"/>
              </w:rPr>
              <w:t> </w:t>
            </w:r>
            <w:r>
              <w:rPr>
                <w:sz w:val="22"/>
              </w:rPr>
              <w:t>and lifecycle</w:t>
            </w:r>
            <w:r>
              <w:rPr>
                <w:spacing w:val="-1"/>
                <w:sz w:val="22"/>
              </w:rPr>
              <w:t> </w:t>
            </w:r>
            <w:r>
              <w:rPr>
                <w:sz w:val="22"/>
              </w:rPr>
              <w:t>costs.</w:t>
            </w:r>
            <w:r>
              <w:rPr>
                <w:spacing w:val="-4"/>
                <w:sz w:val="22"/>
              </w:rPr>
              <w:t> </w:t>
            </w:r>
            <w:r>
              <w:rPr>
                <w:sz w:val="22"/>
              </w:rPr>
              <w:t>Procurement</w:t>
            </w:r>
            <w:r>
              <w:rPr>
                <w:spacing w:val="-9"/>
                <w:sz w:val="22"/>
              </w:rPr>
              <w:t> </w:t>
            </w:r>
            <w:r>
              <w:rPr>
                <w:sz w:val="22"/>
              </w:rPr>
              <w:t>and contracting</w:t>
            </w:r>
            <w:r>
              <w:rPr>
                <w:spacing w:val="-5"/>
                <w:sz w:val="22"/>
              </w:rPr>
              <w:t> </w:t>
            </w:r>
            <w:r>
              <w:rPr>
                <w:sz w:val="22"/>
              </w:rPr>
              <w:t>options</w:t>
            </w:r>
            <w:r>
              <w:rPr>
                <w:spacing w:val="-3"/>
                <w:sz w:val="22"/>
              </w:rPr>
              <w:t> </w:t>
            </w:r>
            <w:r>
              <w:rPr>
                <w:sz w:val="22"/>
              </w:rPr>
              <w:t>are currently</w:t>
            </w:r>
            <w:r>
              <w:rPr>
                <w:spacing w:val="-3"/>
                <w:sz w:val="22"/>
              </w:rPr>
              <w:t> </w:t>
            </w:r>
            <w:r>
              <w:rPr>
                <w:sz w:val="22"/>
              </w:rPr>
              <w:t>being</w:t>
            </w:r>
            <w:r>
              <w:rPr>
                <w:spacing w:val="-5"/>
                <w:sz w:val="22"/>
              </w:rPr>
              <w:t> </w:t>
            </w:r>
            <w:r>
              <w:rPr>
                <w:sz w:val="22"/>
              </w:rPr>
              <w:t>developed to inform future decision-making and support alignment between programme delivery and procurement timescales.</w:t>
            </w:r>
          </w:p>
          <w:p>
            <w:pPr>
              <w:pStyle w:val="TableParagraph"/>
              <w:spacing w:before="29"/>
              <w:rPr>
                <w:sz w:val="22"/>
              </w:rPr>
            </w:pPr>
          </w:p>
          <w:p>
            <w:pPr>
              <w:pStyle w:val="TableParagraph"/>
              <w:spacing w:line="276" w:lineRule="auto"/>
              <w:ind w:left="120"/>
              <w:rPr>
                <w:sz w:val="22"/>
              </w:rPr>
            </w:pPr>
            <w:r>
              <w:rPr>
                <w:sz w:val="22"/>
              </w:rPr>
              <w:t>Commercial</w:t>
            </w:r>
            <w:r>
              <w:rPr>
                <w:spacing w:val="-9"/>
                <w:sz w:val="22"/>
              </w:rPr>
              <w:t> </w:t>
            </w:r>
            <w:r>
              <w:rPr>
                <w:sz w:val="22"/>
              </w:rPr>
              <w:t>discussions</w:t>
            </w:r>
            <w:r>
              <w:rPr>
                <w:spacing w:val="-6"/>
                <w:sz w:val="22"/>
              </w:rPr>
              <w:t> </w:t>
            </w:r>
            <w:r>
              <w:rPr>
                <w:sz w:val="22"/>
              </w:rPr>
              <w:t>relating</w:t>
            </w:r>
            <w:r>
              <w:rPr>
                <w:spacing w:val="-7"/>
                <w:sz w:val="22"/>
              </w:rPr>
              <w:t> </w:t>
            </w:r>
            <w:r>
              <w:rPr>
                <w:sz w:val="22"/>
              </w:rPr>
              <w:t>to</w:t>
            </w:r>
            <w:r>
              <w:rPr>
                <w:spacing w:val="-3"/>
                <w:sz w:val="22"/>
              </w:rPr>
              <w:t> </w:t>
            </w:r>
            <w:r>
              <w:rPr>
                <w:sz w:val="22"/>
              </w:rPr>
              <w:t>the</w:t>
            </w:r>
            <w:r>
              <w:rPr>
                <w:spacing w:val="-3"/>
                <w:sz w:val="22"/>
              </w:rPr>
              <w:t> </w:t>
            </w:r>
            <w:r>
              <w:rPr>
                <w:sz w:val="22"/>
              </w:rPr>
              <w:t>proposed</w:t>
            </w:r>
            <w:r>
              <w:rPr>
                <w:spacing w:val="-3"/>
                <w:sz w:val="22"/>
              </w:rPr>
              <w:t> </w:t>
            </w:r>
            <w:r>
              <w:rPr>
                <w:sz w:val="22"/>
              </w:rPr>
              <w:t>Bay</w:t>
            </w:r>
            <w:r>
              <w:rPr>
                <w:spacing w:val="-6"/>
                <w:sz w:val="22"/>
              </w:rPr>
              <w:t> </w:t>
            </w:r>
            <w:r>
              <w:rPr>
                <w:sz w:val="22"/>
              </w:rPr>
              <w:t>Campus</w:t>
            </w:r>
            <w:r>
              <w:rPr>
                <w:spacing w:val="-6"/>
                <w:sz w:val="22"/>
              </w:rPr>
              <w:t> </w:t>
            </w:r>
            <w:r>
              <w:rPr>
                <w:sz w:val="22"/>
              </w:rPr>
              <w:t>accommodation</w:t>
            </w:r>
            <w:r>
              <w:rPr>
                <w:spacing w:val="-3"/>
                <w:sz w:val="22"/>
              </w:rPr>
              <w:t> </w:t>
            </w:r>
            <w:r>
              <w:rPr>
                <w:sz w:val="22"/>
              </w:rPr>
              <w:t>are</w:t>
            </w:r>
            <w:r>
              <w:rPr>
                <w:spacing w:val="-3"/>
                <w:sz w:val="22"/>
              </w:rPr>
              <w:t> </w:t>
            </w:r>
            <w:r>
              <w:rPr>
                <w:sz w:val="22"/>
              </w:rPr>
              <w:t>continuing.</w:t>
            </w:r>
            <w:r>
              <w:rPr>
                <w:spacing w:val="-7"/>
                <w:sz w:val="22"/>
              </w:rPr>
              <w:t> </w:t>
            </w:r>
            <w:r>
              <w:rPr>
                <w:sz w:val="22"/>
              </w:rPr>
              <w:t>A number of key matters require resolution through the Heads of Terms and lease negotiations,</w:t>
            </w:r>
          </w:p>
        </w:tc>
      </w:tr>
    </w:tbl>
    <w:p>
      <w:pPr>
        <w:spacing w:before="161"/>
        <w:ind w:left="657" w:right="228" w:firstLine="0"/>
        <w:jc w:val="center"/>
        <w:rPr>
          <w:sz w:val="16"/>
        </w:rPr>
      </w:pPr>
      <w:r>
        <w:rPr>
          <w:spacing w:val="-2"/>
          <w:sz w:val="16"/>
        </w:rPr>
        <w:t>Page</w:t>
      </w:r>
      <w:r>
        <w:rPr>
          <w:spacing w:val="-7"/>
          <w:sz w:val="16"/>
        </w:rPr>
        <w:t> </w:t>
      </w:r>
      <w:r>
        <w:rPr>
          <w:spacing w:val="-2"/>
          <w:sz w:val="16"/>
        </w:rPr>
        <w:t>7</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45" name="Image 345"/>
            <wp:cNvGraphicFramePr>
              <a:graphicFrameLocks/>
            </wp:cNvGraphicFramePr>
            <a:graphic>
              <a:graphicData uri="http://schemas.openxmlformats.org/drawingml/2006/picture">
                <pic:pic>
                  <pic:nvPicPr>
                    <pic:cNvPr id="345" name="Image 345"/>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46" name="Image 346"/>
            <wp:cNvGraphicFramePr>
              <a:graphicFrameLocks/>
            </wp:cNvGraphicFramePr>
            <a:graphic>
              <a:graphicData uri="http://schemas.openxmlformats.org/drawingml/2006/picture">
                <pic:pic>
                  <pic:nvPicPr>
                    <pic:cNvPr id="346" name="Image 346"/>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813" w:hRule="atLeast"/>
        </w:trPr>
        <w:tc>
          <w:tcPr>
            <w:tcW w:w="10069" w:type="dxa"/>
          </w:tcPr>
          <w:p>
            <w:pPr>
              <w:pStyle w:val="TableParagraph"/>
              <w:spacing w:line="276" w:lineRule="auto" w:before="98"/>
              <w:ind w:left="120" w:right="212"/>
              <w:rPr>
                <w:sz w:val="22"/>
              </w:rPr>
            </w:pPr>
            <w:r>
              <w:rPr>
                <w:sz w:val="22"/>
              </w:rPr>
              <w:t>including lease duration, service charges, facilities management, rent-free arrangements, landlord and tenant responsibilities, treatment of existing assets, liabilities associated with roof and plant infrastructure,</w:t>
            </w:r>
            <w:r>
              <w:rPr>
                <w:spacing w:val="-5"/>
                <w:sz w:val="22"/>
              </w:rPr>
              <w:t> </w:t>
            </w:r>
            <w:r>
              <w:rPr>
                <w:sz w:val="22"/>
              </w:rPr>
              <w:t>strip-out</w:t>
            </w:r>
            <w:r>
              <w:rPr>
                <w:spacing w:val="-5"/>
                <w:sz w:val="22"/>
              </w:rPr>
              <w:t> </w:t>
            </w:r>
            <w:r>
              <w:rPr>
                <w:sz w:val="22"/>
              </w:rPr>
              <w:t>requirements,</w:t>
            </w:r>
            <w:r>
              <w:rPr>
                <w:spacing w:val="-5"/>
                <w:sz w:val="22"/>
              </w:rPr>
              <w:t> </w:t>
            </w:r>
            <w:r>
              <w:rPr>
                <w:sz w:val="22"/>
              </w:rPr>
              <w:t>access</w:t>
            </w:r>
            <w:r>
              <w:rPr>
                <w:spacing w:val="-9"/>
                <w:sz w:val="22"/>
              </w:rPr>
              <w:t> </w:t>
            </w:r>
            <w:r>
              <w:rPr>
                <w:sz w:val="22"/>
              </w:rPr>
              <w:t>and</w:t>
            </w:r>
            <w:r>
              <w:rPr>
                <w:spacing w:val="-1"/>
                <w:sz w:val="22"/>
              </w:rPr>
              <w:t> </w:t>
            </w:r>
            <w:r>
              <w:rPr>
                <w:sz w:val="22"/>
              </w:rPr>
              <w:t>parking</w:t>
            </w:r>
            <w:r>
              <w:rPr>
                <w:spacing w:val="-6"/>
                <w:sz w:val="22"/>
              </w:rPr>
              <w:t> </w:t>
            </w:r>
            <w:r>
              <w:rPr>
                <w:sz w:val="22"/>
              </w:rPr>
              <w:t>arrangements,</w:t>
            </w:r>
            <w:r>
              <w:rPr>
                <w:spacing w:val="-5"/>
                <w:sz w:val="22"/>
              </w:rPr>
              <w:t> </w:t>
            </w:r>
            <w:r>
              <w:rPr>
                <w:sz w:val="22"/>
              </w:rPr>
              <w:t>and</w:t>
            </w:r>
            <w:r>
              <w:rPr>
                <w:spacing w:val="-1"/>
                <w:sz w:val="22"/>
              </w:rPr>
              <w:t> </w:t>
            </w:r>
            <w:r>
              <w:rPr>
                <w:sz w:val="22"/>
              </w:rPr>
              <w:t>the</w:t>
            </w:r>
            <w:r>
              <w:rPr>
                <w:spacing w:val="-1"/>
                <w:sz w:val="22"/>
              </w:rPr>
              <w:t> </w:t>
            </w:r>
            <w:r>
              <w:rPr>
                <w:sz w:val="22"/>
              </w:rPr>
              <w:t>use</w:t>
            </w:r>
            <w:r>
              <w:rPr>
                <w:spacing w:val="-1"/>
                <w:sz w:val="22"/>
              </w:rPr>
              <w:t> </w:t>
            </w:r>
            <w:r>
              <w:rPr>
                <w:sz w:val="22"/>
              </w:rPr>
              <w:t>of</w:t>
            </w:r>
            <w:r>
              <w:rPr>
                <w:spacing w:val="-5"/>
                <w:sz w:val="22"/>
              </w:rPr>
              <w:t> </w:t>
            </w:r>
            <w:r>
              <w:rPr>
                <w:sz w:val="22"/>
              </w:rPr>
              <w:t>any</w:t>
            </w:r>
            <w:r>
              <w:rPr>
                <w:spacing w:val="-4"/>
                <w:sz w:val="22"/>
              </w:rPr>
              <w:t> </w:t>
            </w:r>
            <w:r>
              <w:rPr>
                <w:sz w:val="22"/>
              </w:rPr>
              <w:t>shared university facilities. These discussions will be critical to establishing the long-term affordability and operational viability of the proposed solution.</w:t>
            </w:r>
          </w:p>
          <w:p>
            <w:pPr>
              <w:pStyle w:val="TableParagraph"/>
              <w:spacing w:before="28"/>
              <w:rPr>
                <w:sz w:val="22"/>
              </w:rPr>
            </w:pPr>
          </w:p>
          <w:p>
            <w:pPr>
              <w:pStyle w:val="TableParagraph"/>
              <w:spacing w:line="276" w:lineRule="auto"/>
              <w:ind w:left="120" w:right="212"/>
              <w:rPr>
                <w:sz w:val="22"/>
              </w:rPr>
            </w:pPr>
            <w:r>
              <w:rPr>
                <w:sz w:val="22"/>
              </w:rPr>
              <w:t>Revenue affordability remains a significant</w:t>
            </w:r>
            <w:r>
              <w:rPr>
                <w:spacing w:val="-1"/>
                <w:sz w:val="22"/>
              </w:rPr>
              <w:t> </w:t>
            </w:r>
            <w:r>
              <w:rPr>
                <w:sz w:val="22"/>
              </w:rPr>
              <w:t>programme risk</w:t>
            </w:r>
            <w:r>
              <w:rPr>
                <w:b/>
                <w:sz w:val="22"/>
              </w:rPr>
              <w:t>.</w:t>
            </w:r>
            <w:r>
              <w:rPr>
                <w:b/>
                <w:spacing w:val="-1"/>
                <w:sz w:val="22"/>
              </w:rPr>
              <w:t> </w:t>
            </w:r>
            <w:r>
              <w:rPr>
                <w:sz w:val="22"/>
              </w:rPr>
              <w:t>Further work is required to quantify the full financial implications of service consolidation and occupation of the proposed facility, including accommodation,</w:t>
            </w:r>
            <w:r>
              <w:rPr>
                <w:spacing w:val="-5"/>
                <w:sz w:val="22"/>
              </w:rPr>
              <w:t> </w:t>
            </w:r>
            <w:r>
              <w:rPr>
                <w:sz w:val="22"/>
              </w:rPr>
              <w:t>facilities</w:t>
            </w:r>
            <w:r>
              <w:rPr>
                <w:spacing w:val="-9"/>
                <w:sz w:val="22"/>
              </w:rPr>
              <w:t> </w:t>
            </w:r>
            <w:r>
              <w:rPr>
                <w:sz w:val="22"/>
              </w:rPr>
              <w:t>management,</w:t>
            </w:r>
            <w:r>
              <w:rPr>
                <w:spacing w:val="-5"/>
                <w:sz w:val="22"/>
              </w:rPr>
              <w:t> </w:t>
            </w:r>
            <w:r>
              <w:rPr>
                <w:sz w:val="22"/>
              </w:rPr>
              <w:t>operational</w:t>
            </w:r>
            <w:r>
              <w:rPr>
                <w:spacing w:val="-8"/>
                <w:sz w:val="22"/>
              </w:rPr>
              <w:t> </w:t>
            </w:r>
            <w:r>
              <w:rPr>
                <w:sz w:val="22"/>
              </w:rPr>
              <w:t>support</w:t>
            </w:r>
            <w:r>
              <w:rPr>
                <w:spacing w:val="-10"/>
                <w:sz w:val="22"/>
              </w:rPr>
              <w:t> </w:t>
            </w:r>
            <w:r>
              <w:rPr>
                <w:sz w:val="22"/>
              </w:rPr>
              <w:t>and</w:t>
            </w:r>
            <w:r>
              <w:rPr>
                <w:spacing w:val="-1"/>
                <w:sz w:val="22"/>
              </w:rPr>
              <w:t> </w:t>
            </w:r>
            <w:r>
              <w:rPr>
                <w:sz w:val="22"/>
              </w:rPr>
              <w:t>future</w:t>
            </w:r>
            <w:r>
              <w:rPr>
                <w:spacing w:val="-1"/>
                <w:sz w:val="22"/>
              </w:rPr>
              <w:t> </w:t>
            </w:r>
            <w:r>
              <w:rPr>
                <w:sz w:val="22"/>
              </w:rPr>
              <w:t>service</w:t>
            </w:r>
            <w:r>
              <w:rPr>
                <w:spacing w:val="-6"/>
                <w:sz w:val="22"/>
              </w:rPr>
              <w:t> </w:t>
            </w:r>
            <w:r>
              <w:rPr>
                <w:sz w:val="22"/>
              </w:rPr>
              <w:t>delivery</w:t>
            </w:r>
            <w:r>
              <w:rPr>
                <w:spacing w:val="-4"/>
                <w:sz w:val="22"/>
              </w:rPr>
              <w:t> </w:t>
            </w:r>
            <w:r>
              <w:rPr>
                <w:sz w:val="22"/>
              </w:rPr>
              <w:t>costs.</w:t>
            </w:r>
            <w:r>
              <w:rPr>
                <w:spacing w:val="-5"/>
                <w:sz w:val="22"/>
              </w:rPr>
              <w:t> </w:t>
            </w:r>
            <w:r>
              <w:rPr>
                <w:sz w:val="22"/>
              </w:rPr>
              <w:t>While opportunities to offset costs through service consolidation, operational efficiencies, digital transformation and potential commercial income streams continue to be explored, the overall affordability position will only be confirmed once the future operating model, procurement arrangements and infrastructure requirements have been fully defined through the FBC process.</w:t>
            </w:r>
          </w:p>
          <w:p>
            <w:pPr>
              <w:pStyle w:val="TableParagraph"/>
              <w:rPr>
                <w:sz w:val="22"/>
              </w:rPr>
            </w:pPr>
          </w:p>
          <w:p>
            <w:pPr>
              <w:pStyle w:val="TableParagraph"/>
              <w:spacing w:before="63"/>
              <w:rPr>
                <w:sz w:val="22"/>
              </w:rPr>
            </w:pPr>
          </w:p>
          <w:p>
            <w:pPr>
              <w:pStyle w:val="TableParagraph"/>
              <w:ind w:left="120"/>
              <w:rPr>
                <w:b/>
                <w:sz w:val="22"/>
              </w:rPr>
            </w:pPr>
            <w:r>
              <w:rPr>
                <w:b/>
                <w:color w:val="394871"/>
                <w:spacing w:val="-2"/>
                <w:sz w:val="22"/>
              </w:rPr>
              <w:t>Workforce</w:t>
            </w:r>
          </w:p>
          <w:p>
            <w:pPr>
              <w:pStyle w:val="TableParagraph"/>
              <w:spacing w:line="276" w:lineRule="auto" w:before="98"/>
              <w:ind w:left="120"/>
              <w:rPr>
                <w:sz w:val="22"/>
              </w:rPr>
            </w:pPr>
            <w:r>
              <w:rPr>
                <w:sz w:val="22"/>
              </w:rPr>
              <w:t>The</w:t>
            </w:r>
            <w:r>
              <w:rPr>
                <w:spacing w:val="-16"/>
                <w:sz w:val="22"/>
              </w:rPr>
              <w:t> </w:t>
            </w:r>
            <w:r>
              <w:rPr>
                <w:sz w:val="22"/>
              </w:rPr>
              <w:t>future</w:t>
            </w:r>
            <w:r>
              <w:rPr>
                <w:spacing w:val="-15"/>
                <w:sz w:val="22"/>
              </w:rPr>
              <w:t> </w:t>
            </w:r>
            <w:r>
              <w:rPr>
                <w:sz w:val="22"/>
              </w:rPr>
              <w:t>regional</w:t>
            </w:r>
            <w:r>
              <w:rPr>
                <w:spacing w:val="-13"/>
                <w:sz w:val="22"/>
              </w:rPr>
              <w:t> </w:t>
            </w:r>
            <w:r>
              <w:rPr>
                <w:sz w:val="22"/>
              </w:rPr>
              <w:t>model</w:t>
            </w:r>
            <w:r>
              <w:rPr>
                <w:spacing w:val="-16"/>
                <w:sz w:val="22"/>
              </w:rPr>
              <w:t> </w:t>
            </w:r>
            <w:r>
              <w:rPr>
                <w:sz w:val="22"/>
              </w:rPr>
              <w:t>is</w:t>
            </w:r>
            <w:r>
              <w:rPr>
                <w:spacing w:val="-15"/>
                <w:sz w:val="22"/>
              </w:rPr>
              <w:t> </w:t>
            </w:r>
            <w:r>
              <w:rPr>
                <w:sz w:val="22"/>
              </w:rPr>
              <w:t>intended</w:t>
            </w:r>
            <w:r>
              <w:rPr>
                <w:spacing w:val="-10"/>
                <w:sz w:val="22"/>
              </w:rPr>
              <w:t> </w:t>
            </w:r>
            <w:r>
              <w:rPr>
                <w:sz w:val="22"/>
              </w:rPr>
              <w:t>to</w:t>
            </w:r>
            <w:r>
              <w:rPr>
                <w:spacing w:val="-15"/>
                <w:sz w:val="22"/>
              </w:rPr>
              <w:t> </w:t>
            </w:r>
            <w:r>
              <w:rPr>
                <w:sz w:val="22"/>
              </w:rPr>
              <w:t>bring</w:t>
            </w:r>
            <w:r>
              <w:rPr>
                <w:spacing w:val="-15"/>
                <w:sz w:val="22"/>
              </w:rPr>
              <w:t> </w:t>
            </w:r>
            <w:r>
              <w:rPr>
                <w:sz w:val="22"/>
              </w:rPr>
              <w:t>together</w:t>
            </w:r>
            <w:r>
              <w:rPr>
                <w:spacing w:val="-16"/>
                <w:sz w:val="22"/>
              </w:rPr>
              <w:t> </w:t>
            </w:r>
            <w:r>
              <w:rPr>
                <w:sz w:val="22"/>
              </w:rPr>
              <w:t>the</w:t>
            </w:r>
            <w:r>
              <w:rPr>
                <w:spacing w:val="-10"/>
                <w:sz w:val="22"/>
              </w:rPr>
              <w:t> </w:t>
            </w:r>
            <w:r>
              <w:rPr>
                <w:sz w:val="22"/>
              </w:rPr>
              <w:t>two</w:t>
            </w:r>
            <w:r>
              <w:rPr>
                <w:spacing w:val="-11"/>
                <w:sz w:val="22"/>
              </w:rPr>
              <w:t> </w:t>
            </w:r>
            <w:r>
              <w:rPr>
                <w:sz w:val="22"/>
              </w:rPr>
              <w:t>laboratory</w:t>
            </w:r>
            <w:r>
              <w:rPr>
                <w:spacing w:val="-13"/>
                <w:sz w:val="22"/>
              </w:rPr>
              <w:t> </w:t>
            </w:r>
            <w:r>
              <w:rPr>
                <w:sz w:val="22"/>
              </w:rPr>
              <w:t>services</w:t>
            </w:r>
            <w:r>
              <w:rPr>
                <w:spacing w:val="-13"/>
                <w:sz w:val="22"/>
              </w:rPr>
              <w:t> </w:t>
            </w:r>
            <w:r>
              <w:rPr>
                <w:sz w:val="22"/>
              </w:rPr>
              <w:t>through</w:t>
            </w:r>
            <w:r>
              <w:rPr>
                <w:spacing w:val="-15"/>
                <w:sz w:val="22"/>
              </w:rPr>
              <w:t> </w:t>
            </w:r>
            <w:r>
              <w:rPr>
                <w:sz w:val="22"/>
              </w:rPr>
              <w:t>a</w:t>
            </w:r>
            <w:r>
              <w:rPr>
                <w:spacing w:val="-11"/>
                <w:sz w:val="22"/>
              </w:rPr>
              <w:t> </w:t>
            </w:r>
            <w:r>
              <w:rPr>
                <w:sz w:val="22"/>
              </w:rPr>
              <w:t>single </w:t>
            </w:r>
            <w:r>
              <w:rPr>
                <w:spacing w:val="-4"/>
                <w:sz w:val="22"/>
              </w:rPr>
              <w:t>regional workforce arrangement, supported by</w:t>
            </w:r>
            <w:r>
              <w:rPr>
                <w:spacing w:val="-5"/>
                <w:sz w:val="22"/>
              </w:rPr>
              <w:t> </w:t>
            </w:r>
            <w:r>
              <w:rPr>
                <w:spacing w:val="-4"/>
                <w:sz w:val="22"/>
              </w:rPr>
              <w:t>unified governance, standardised processes</w:t>
            </w:r>
            <w:r>
              <w:rPr>
                <w:spacing w:val="-5"/>
                <w:sz w:val="22"/>
              </w:rPr>
              <w:t> </w:t>
            </w:r>
            <w:r>
              <w:rPr>
                <w:spacing w:val="-4"/>
                <w:sz w:val="22"/>
              </w:rPr>
              <w:t>and digital </w:t>
            </w:r>
            <w:r>
              <w:rPr>
                <w:sz w:val="22"/>
              </w:rPr>
              <w:t>working.</w:t>
            </w:r>
            <w:r>
              <w:rPr>
                <w:spacing w:val="-16"/>
                <w:sz w:val="22"/>
              </w:rPr>
              <w:t> </w:t>
            </w:r>
            <w:r>
              <w:rPr>
                <w:sz w:val="22"/>
              </w:rPr>
              <w:t>The</w:t>
            </w:r>
            <w:r>
              <w:rPr>
                <w:spacing w:val="-15"/>
                <w:sz w:val="22"/>
              </w:rPr>
              <w:t> </w:t>
            </w:r>
            <w:r>
              <w:rPr>
                <w:sz w:val="22"/>
              </w:rPr>
              <w:t>workforce</w:t>
            </w:r>
            <w:r>
              <w:rPr>
                <w:spacing w:val="-15"/>
                <w:sz w:val="22"/>
              </w:rPr>
              <w:t> </w:t>
            </w:r>
            <w:r>
              <w:rPr>
                <w:sz w:val="22"/>
              </w:rPr>
              <w:t>case</w:t>
            </w:r>
            <w:r>
              <w:rPr>
                <w:spacing w:val="-16"/>
                <w:sz w:val="22"/>
              </w:rPr>
              <w:t> </w:t>
            </w:r>
            <w:r>
              <w:rPr>
                <w:sz w:val="22"/>
              </w:rPr>
              <w:t>is</w:t>
            </w:r>
            <w:r>
              <w:rPr>
                <w:spacing w:val="-15"/>
                <w:sz w:val="22"/>
              </w:rPr>
              <w:t> </w:t>
            </w:r>
            <w:r>
              <w:rPr>
                <w:sz w:val="22"/>
              </w:rPr>
              <w:t>central</w:t>
            </w:r>
            <w:r>
              <w:rPr>
                <w:spacing w:val="-15"/>
                <w:sz w:val="22"/>
              </w:rPr>
              <w:t> </w:t>
            </w:r>
            <w:r>
              <w:rPr>
                <w:sz w:val="22"/>
              </w:rPr>
              <w:t>because</w:t>
            </w:r>
            <w:r>
              <w:rPr>
                <w:spacing w:val="-15"/>
                <w:sz w:val="22"/>
              </w:rPr>
              <w:t> </w:t>
            </w:r>
            <w:r>
              <w:rPr>
                <w:sz w:val="22"/>
              </w:rPr>
              <w:t>consultant</w:t>
            </w:r>
            <w:r>
              <w:rPr>
                <w:spacing w:val="-16"/>
                <w:sz w:val="22"/>
              </w:rPr>
              <w:t> </w:t>
            </w:r>
            <w:r>
              <w:rPr>
                <w:sz w:val="22"/>
              </w:rPr>
              <w:t>vacancies,</w:t>
            </w:r>
            <w:r>
              <w:rPr>
                <w:spacing w:val="-15"/>
                <w:sz w:val="22"/>
              </w:rPr>
              <w:t> </w:t>
            </w:r>
            <w:r>
              <w:rPr>
                <w:sz w:val="22"/>
              </w:rPr>
              <w:t>recruitment</w:t>
            </w:r>
            <w:r>
              <w:rPr>
                <w:spacing w:val="-15"/>
                <w:sz w:val="22"/>
              </w:rPr>
              <w:t> </w:t>
            </w:r>
            <w:r>
              <w:rPr>
                <w:sz w:val="22"/>
              </w:rPr>
              <w:t>and</w:t>
            </w:r>
            <w:r>
              <w:rPr>
                <w:spacing w:val="-16"/>
                <w:sz w:val="22"/>
              </w:rPr>
              <w:t> </w:t>
            </w:r>
            <w:r>
              <w:rPr>
                <w:sz w:val="22"/>
              </w:rPr>
              <w:t>retention difficulties,</w:t>
            </w:r>
            <w:r>
              <w:rPr>
                <w:spacing w:val="-16"/>
                <w:sz w:val="22"/>
              </w:rPr>
              <w:t> </w:t>
            </w:r>
            <w:r>
              <w:rPr>
                <w:sz w:val="22"/>
              </w:rPr>
              <w:t>ageing</w:t>
            </w:r>
            <w:r>
              <w:rPr>
                <w:spacing w:val="-15"/>
                <w:sz w:val="22"/>
              </w:rPr>
              <w:t> </w:t>
            </w:r>
            <w:r>
              <w:rPr>
                <w:sz w:val="22"/>
              </w:rPr>
              <w:t>workforce</w:t>
            </w:r>
            <w:r>
              <w:rPr>
                <w:spacing w:val="-15"/>
                <w:sz w:val="22"/>
              </w:rPr>
              <w:t> </w:t>
            </w:r>
            <w:r>
              <w:rPr>
                <w:sz w:val="22"/>
              </w:rPr>
              <w:t>risks,</w:t>
            </w:r>
            <w:r>
              <w:rPr>
                <w:spacing w:val="-16"/>
                <w:sz w:val="22"/>
              </w:rPr>
              <w:t> </w:t>
            </w:r>
            <w:r>
              <w:rPr>
                <w:sz w:val="22"/>
              </w:rPr>
              <w:t>training</w:t>
            </w:r>
            <w:r>
              <w:rPr>
                <w:spacing w:val="-15"/>
                <w:sz w:val="22"/>
              </w:rPr>
              <w:t> </w:t>
            </w:r>
            <w:r>
              <w:rPr>
                <w:sz w:val="22"/>
              </w:rPr>
              <w:t>capacity</w:t>
            </w:r>
            <w:r>
              <w:rPr>
                <w:spacing w:val="-15"/>
                <w:sz w:val="22"/>
              </w:rPr>
              <w:t> </w:t>
            </w:r>
            <w:r>
              <w:rPr>
                <w:sz w:val="22"/>
              </w:rPr>
              <w:t>constraints</w:t>
            </w:r>
            <w:r>
              <w:rPr>
                <w:spacing w:val="-15"/>
                <w:sz w:val="22"/>
              </w:rPr>
              <w:t> </w:t>
            </w:r>
            <w:r>
              <w:rPr>
                <w:sz w:val="22"/>
              </w:rPr>
              <w:t>and</w:t>
            </w:r>
            <w:r>
              <w:rPr>
                <w:spacing w:val="-16"/>
                <w:sz w:val="22"/>
              </w:rPr>
              <w:t> </w:t>
            </w:r>
            <w:r>
              <w:rPr>
                <w:sz w:val="22"/>
              </w:rPr>
              <w:t>reliance</w:t>
            </w:r>
            <w:r>
              <w:rPr>
                <w:spacing w:val="-15"/>
                <w:sz w:val="22"/>
              </w:rPr>
              <w:t> </w:t>
            </w:r>
            <w:r>
              <w:rPr>
                <w:sz w:val="22"/>
              </w:rPr>
              <w:t>on</w:t>
            </w:r>
            <w:r>
              <w:rPr>
                <w:spacing w:val="-15"/>
                <w:sz w:val="22"/>
              </w:rPr>
              <w:t> </w:t>
            </w:r>
            <w:r>
              <w:rPr>
                <w:sz w:val="22"/>
              </w:rPr>
              <w:t>overtime,</w:t>
            </w:r>
            <w:r>
              <w:rPr>
                <w:spacing w:val="-16"/>
                <w:sz w:val="22"/>
              </w:rPr>
              <w:t> </w:t>
            </w:r>
            <w:r>
              <w:rPr>
                <w:sz w:val="22"/>
              </w:rPr>
              <w:t>agency support</w:t>
            </w:r>
            <w:r>
              <w:rPr>
                <w:spacing w:val="-16"/>
                <w:sz w:val="22"/>
              </w:rPr>
              <w:t> </w:t>
            </w:r>
            <w:r>
              <w:rPr>
                <w:sz w:val="22"/>
              </w:rPr>
              <w:t>and</w:t>
            </w:r>
            <w:r>
              <w:rPr>
                <w:spacing w:val="-15"/>
                <w:sz w:val="22"/>
              </w:rPr>
              <w:t> </w:t>
            </w:r>
            <w:r>
              <w:rPr>
                <w:sz w:val="22"/>
              </w:rPr>
              <w:t>outsourcing</w:t>
            </w:r>
            <w:r>
              <w:rPr>
                <w:spacing w:val="-15"/>
                <w:sz w:val="22"/>
              </w:rPr>
              <w:t> </w:t>
            </w:r>
            <w:r>
              <w:rPr>
                <w:sz w:val="22"/>
              </w:rPr>
              <w:t>affect</w:t>
            </w:r>
            <w:r>
              <w:rPr>
                <w:spacing w:val="-16"/>
                <w:sz w:val="22"/>
              </w:rPr>
              <w:t> </w:t>
            </w:r>
            <w:r>
              <w:rPr>
                <w:sz w:val="22"/>
              </w:rPr>
              <w:t>sustainability.</w:t>
            </w:r>
            <w:r>
              <w:rPr>
                <w:spacing w:val="-15"/>
                <w:sz w:val="22"/>
              </w:rPr>
              <w:t> </w:t>
            </w:r>
            <w:r>
              <w:rPr>
                <w:sz w:val="22"/>
              </w:rPr>
              <w:t>The</w:t>
            </w:r>
            <w:r>
              <w:rPr>
                <w:spacing w:val="-15"/>
                <w:sz w:val="22"/>
              </w:rPr>
              <w:t> </w:t>
            </w:r>
            <w:r>
              <w:rPr>
                <w:sz w:val="22"/>
              </w:rPr>
              <w:t>workforce</w:t>
            </w:r>
            <w:r>
              <w:rPr>
                <w:spacing w:val="-15"/>
                <w:sz w:val="22"/>
              </w:rPr>
              <w:t> </w:t>
            </w:r>
            <w:r>
              <w:rPr>
                <w:sz w:val="22"/>
              </w:rPr>
              <w:t>resilience</w:t>
            </w:r>
            <w:r>
              <w:rPr>
                <w:spacing w:val="-15"/>
                <w:sz w:val="22"/>
              </w:rPr>
              <w:t> </w:t>
            </w:r>
            <w:r>
              <w:rPr>
                <w:sz w:val="22"/>
              </w:rPr>
              <w:t>was</w:t>
            </w:r>
            <w:r>
              <w:rPr>
                <w:spacing w:val="-15"/>
                <w:sz w:val="22"/>
              </w:rPr>
              <w:t> </w:t>
            </w:r>
            <w:r>
              <w:rPr>
                <w:sz w:val="22"/>
              </w:rPr>
              <w:t>a</w:t>
            </w:r>
            <w:r>
              <w:rPr>
                <w:spacing w:val="-9"/>
                <w:sz w:val="22"/>
              </w:rPr>
              <w:t> </w:t>
            </w:r>
            <w:r>
              <w:rPr>
                <w:sz w:val="22"/>
              </w:rPr>
              <w:t>key</w:t>
            </w:r>
            <w:r>
              <w:rPr>
                <w:spacing w:val="-14"/>
                <w:sz w:val="22"/>
              </w:rPr>
              <w:t> </w:t>
            </w:r>
            <w:r>
              <w:rPr>
                <w:sz w:val="22"/>
              </w:rPr>
              <w:t>component</w:t>
            </w:r>
            <w:r>
              <w:rPr>
                <w:spacing w:val="-16"/>
                <w:sz w:val="22"/>
              </w:rPr>
              <w:t> </w:t>
            </w:r>
            <w:r>
              <w:rPr>
                <w:sz w:val="22"/>
              </w:rPr>
              <w:t>in</w:t>
            </w:r>
            <w:r>
              <w:rPr>
                <w:spacing w:val="-11"/>
                <w:sz w:val="22"/>
              </w:rPr>
              <w:t> </w:t>
            </w:r>
            <w:r>
              <w:rPr>
                <w:sz w:val="22"/>
              </w:rPr>
              <w:t>the service</w:t>
            </w:r>
            <w:r>
              <w:rPr>
                <w:spacing w:val="-4"/>
                <w:sz w:val="22"/>
              </w:rPr>
              <w:t> </w:t>
            </w:r>
            <w:r>
              <w:rPr>
                <w:sz w:val="22"/>
              </w:rPr>
              <w:t>led</w:t>
            </w:r>
            <w:r>
              <w:rPr>
                <w:spacing w:val="-9"/>
                <w:sz w:val="22"/>
              </w:rPr>
              <w:t> </w:t>
            </w:r>
            <w:r>
              <w:rPr>
                <w:sz w:val="22"/>
              </w:rPr>
              <w:t>discussion</w:t>
            </w:r>
            <w:r>
              <w:rPr>
                <w:spacing w:val="-9"/>
                <w:sz w:val="22"/>
              </w:rPr>
              <w:t> </w:t>
            </w:r>
            <w:r>
              <w:rPr>
                <w:sz w:val="22"/>
              </w:rPr>
              <w:t>on</w:t>
            </w:r>
            <w:r>
              <w:rPr>
                <w:spacing w:val="-4"/>
                <w:sz w:val="22"/>
              </w:rPr>
              <w:t> </w:t>
            </w:r>
            <w:r>
              <w:rPr>
                <w:sz w:val="22"/>
              </w:rPr>
              <w:t>site</w:t>
            </w:r>
            <w:r>
              <w:rPr>
                <w:spacing w:val="-9"/>
                <w:sz w:val="22"/>
              </w:rPr>
              <w:t> </w:t>
            </w:r>
            <w:r>
              <w:rPr>
                <w:sz w:val="22"/>
              </w:rPr>
              <w:t>preference</w:t>
            </w:r>
            <w:r>
              <w:rPr>
                <w:spacing w:val="-4"/>
                <w:sz w:val="22"/>
              </w:rPr>
              <w:t> </w:t>
            </w:r>
            <w:r>
              <w:rPr>
                <w:sz w:val="22"/>
              </w:rPr>
              <w:t>in</w:t>
            </w:r>
            <w:r>
              <w:rPr>
                <w:spacing w:val="-9"/>
                <w:sz w:val="22"/>
              </w:rPr>
              <w:t> </w:t>
            </w:r>
            <w:r>
              <w:rPr>
                <w:sz w:val="22"/>
              </w:rPr>
              <w:t>February</w:t>
            </w:r>
            <w:r>
              <w:rPr>
                <w:spacing w:val="-2"/>
                <w:sz w:val="22"/>
              </w:rPr>
              <w:t> </w:t>
            </w:r>
            <w:r>
              <w:rPr>
                <w:sz w:val="22"/>
              </w:rPr>
              <w:t>2026.</w:t>
            </w:r>
          </w:p>
          <w:p>
            <w:pPr>
              <w:pStyle w:val="TableParagraph"/>
              <w:spacing w:line="276" w:lineRule="auto" w:before="105"/>
              <w:ind w:left="120" w:right="212"/>
              <w:rPr>
                <w:sz w:val="22"/>
              </w:rPr>
            </w:pPr>
            <w:r>
              <w:rPr>
                <w:spacing w:val="-2"/>
                <w:sz w:val="22"/>
              </w:rPr>
              <w:t>The</w:t>
            </w:r>
            <w:r>
              <w:rPr>
                <w:spacing w:val="-12"/>
                <w:sz w:val="22"/>
              </w:rPr>
              <w:t> </w:t>
            </w:r>
            <w:r>
              <w:rPr>
                <w:spacing w:val="-2"/>
                <w:sz w:val="22"/>
              </w:rPr>
              <w:t>working</w:t>
            </w:r>
            <w:r>
              <w:rPr>
                <w:spacing w:val="-12"/>
                <w:sz w:val="22"/>
              </w:rPr>
              <w:t> </w:t>
            </w:r>
            <w:r>
              <w:rPr>
                <w:spacing w:val="-2"/>
                <w:sz w:val="22"/>
              </w:rPr>
              <w:t>assumption</w:t>
            </w:r>
            <w:r>
              <w:rPr>
                <w:spacing w:val="-12"/>
                <w:sz w:val="22"/>
              </w:rPr>
              <w:t> </w:t>
            </w:r>
            <w:r>
              <w:rPr>
                <w:spacing w:val="-2"/>
                <w:sz w:val="22"/>
              </w:rPr>
              <w:t>is</w:t>
            </w:r>
            <w:r>
              <w:rPr>
                <w:spacing w:val="-11"/>
                <w:sz w:val="22"/>
              </w:rPr>
              <w:t> </w:t>
            </w:r>
            <w:r>
              <w:rPr>
                <w:spacing w:val="-2"/>
                <w:sz w:val="22"/>
              </w:rPr>
              <w:t>that</w:t>
            </w:r>
            <w:r>
              <w:rPr>
                <w:spacing w:val="-12"/>
                <w:sz w:val="22"/>
              </w:rPr>
              <w:t> </w:t>
            </w:r>
            <w:r>
              <w:rPr>
                <w:spacing w:val="-2"/>
                <w:sz w:val="22"/>
              </w:rPr>
              <w:t>the</w:t>
            </w:r>
            <w:r>
              <w:rPr>
                <w:spacing w:val="-5"/>
                <w:sz w:val="22"/>
              </w:rPr>
              <w:t> </w:t>
            </w:r>
            <w:r>
              <w:rPr>
                <w:spacing w:val="-2"/>
                <w:sz w:val="22"/>
              </w:rPr>
              <w:t>service</w:t>
            </w:r>
            <w:r>
              <w:rPr>
                <w:spacing w:val="-8"/>
                <w:sz w:val="22"/>
              </w:rPr>
              <w:t> </w:t>
            </w:r>
            <w:r>
              <w:rPr>
                <w:spacing w:val="-2"/>
                <w:sz w:val="22"/>
              </w:rPr>
              <w:t>will</w:t>
            </w:r>
            <w:r>
              <w:rPr>
                <w:spacing w:val="-13"/>
                <w:sz w:val="22"/>
              </w:rPr>
              <w:t> </w:t>
            </w:r>
            <w:r>
              <w:rPr>
                <w:spacing w:val="-2"/>
                <w:sz w:val="22"/>
              </w:rPr>
              <w:t>be</w:t>
            </w:r>
            <w:r>
              <w:rPr>
                <w:spacing w:val="-8"/>
                <w:sz w:val="22"/>
              </w:rPr>
              <w:t> </w:t>
            </w:r>
            <w:r>
              <w:rPr>
                <w:spacing w:val="-2"/>
                <w:sz w:val="22"/>
              </w:rPr>
              <w:t>hosted</w:t>
            </w:r>
            <w:r>
              <w:rPr>
                <w:spacing w:val="-12"/>
                <w:sz w:val="22"/>
              </w:rPr>
              <w:t> </w:t>
            </w:r>
            <w:r>
              <w:rPr>
                <w:spacing w:val="-2"/>
                <w:sz w:val="22"/>
              </w:rPr>
              <w:t>by</w:t>
            </w:r>
            <w:r>
              <w:rPr>
                <w:spacing w:val="-6"/>
                <w:sz w:val="22"/>
              </w:rPr>
              <w:t> </w:t>
            </w:r>
            <w:r>
              <w:rPr>
                <w:spacing w:val="-2"/>
                <w:sz w:val="22"/>
              </w:rPr>
              <w:t>Swansea</w:t>
            </w:r>
            <w:r>
              <w:rPr>
                <w:spacing w:val="-8"/>
                <w:sz w:val="22"/>
              </w:rPr>
              <w:t> </w:t>
            </w:r>
            <w:r>
              <w:rPr>
                <w:spacing w:val="-2"/>
                <w:sz w:val="22"/>
              </w:rPr>
              <w:t>Bay</w:t>
            </w:r>
            <w:r>
              <w:rPr>
                <w:spacing w:val="-11"/>
                <w:sz w:val="22"/>
              </w:rPr>
              <w:t> </w:t>
            </w:r>
            <w:r>
              <w:rPr>
                <w:spacing w:val="-2"/>
                <w:sz w:val="22"/>
              </w:rPr>
              <w:t>UHB</w:t>
            </w:r>
            <w:r>
              <w:rPr>
                <w:spacing w:val="-12"/>
                <w:sz w:val="22"/>
              </w:rPr>
              <w:t> </w:t>
            </w:r>
            <w:r>
              <w:rPr>
                <w:spacing w:val="-2"/>
                <w:sz w:val="22"/>
              </w:rPr>
              <w:t>and</w:t>
            </w:r>
            <w:r>
              <w:rPr>
                <w:spacing w:val="-8"/>
                <w:sz w:val="22"/>
              </w:rPr>
              <w:t> </w:t>
            </w:r>
            <w:r>
              <w:rPr>
                <w:spacing w:val="-2"/>
                <w:sz w:val="22"/>
              </w:rPr>
              <w:t>that</w:t>
            </w:r>
            <w:r>
              <w:rPr>
                <w:spacing w:val="-12"/>
                <w:sz w:val="22"/>
              </w:rPr>
              <w:t> </w:t>
            </w:r>
            <w:r>
              <w:rPr>
                <w:spacing w:val="-2"/>
                <w:sz w:val="22"/>
              </w:rPr>
              <w:t>a</w:t>
            </w:r>
            <w:r>
              <w:rPr>
                <w:spacing w:val="-12"/>
                <w:sz w:val="22"/>
              </w:rPr>
              <w:t> </w:t>
            </w:r>
            <w:r>
              <w:rPr>
                <w:spacing w:val="-2"/>
                <w:sz w:val="22"/>
              </w:rPr>
              <w:t>relevant </w:t>
            </w:r>
            <w:r>
              <w:rPr>
                <w:sz w:val="22"/>
              </w:rPr>
              <w:t>transfer</w:t>
            </w:r>
            <w:r>
              <w:rPr>
                <w:spacing w:val="-16"/>
                <w:sz w:val="22"/>
              </w:rPr>
              <w:t> </w:t>
            </w:r>
            <w:r>
              <w:rPr>
                <w:sz w:val="22"/>
              </w:rPr>
              <w:t>under</w:t>
            </w:r>
            <w:r>
              <w:rPr>
                <w:spacing w:val="-15"/>
                <w:sz w:val="22"/>
              </w:rPr>
              <w:t> </w:t>
            </w:r>
            <w:r>
              <w:rPr>
                <w:sz w:val="22"/>
              </w:rPr>
              <w:t>TUPE</w:t>
            </w:r>
            <w:r>
              <w:rPr>
                <w:spacing w:val="-15"/>
                <w:sz w:val="22"/>
              </w:rPr>
              <w:t> </w:t>
            </w:r>
            <w:r>
              <w:rPr>
                <w:sz w:val="22"/>
              </w:rPr>
              <w:t>may</w:t>
            </w:r>
            <w:r>
              <w:rPr>
                <w:spacing w:val="-16"/>
                <w:sz w:val="22"/>
              </w:rPr>
              <w:t> </w:t>
            </w:r>
            <w:r>
              <w:rPr>
                <w:sz w:val="22"/>
              </w:rPr>
              <w:t>apply</w:t>
            </w:r>
            <w:r>
              <w:rPr>
                <w:spacing w:val="-15"/>
                <w:sz w:val="22"/>
              </w:rPr>
              <w:t> </w:t>
            </w:r>
            <w:r>
              <w:rPr>
                <w:sz w:val="22"/>
              </w:rPr>
              <w:t>to</w:t>
            </w:r>
            <w:r>
              <w:rPr>
                <w:spacing w:val="-15"/>
                <w:sz w:val="22"/>
              </w:rPr>
              <w:t> </w:t>
            </w:r>
            <w:r>
              <w:rPr>
                <w:sz w:val="22"/>
              </w:rPr>
              <w:t>existing</w:t>
            </w:r>
            <w:r>
              <w:rPr>
                <w:spacing w:val="-15"/>
                <w:sz w:val="22"/>
              </w:rPr>
              <w:t> </w:t>
            </w:r>
            <w:r>
              <w:rPr>
                <w:sz w:val="22"/>
              </w:rPr>
              <w:t>staff</w:t>
            </w:r>
            <w:r>
              <w:rPr>
                <w:spacing w:val="-16"/>
                <w:sz w:val="22"/>
              </w:rPr>
              <w:t> </w:t>
            </w:r>
            <w:r>
              <w:rPr>
                <w:sz w:val="22"/>
              </w:rPr>
              <w:t>following</w:t>
            </w:r>
            <w:r>
              <w:rPr>
                <w:spacing w:val="-15"/>
                <w:sz w:val="22"/>
              </w:rPr>
              <w:t> </w:t>
            </w:r>
            <w:r>
              <w:rPr>
                <w:sz w:val="22"/>
              </w:rPr>
              <w:t>a</w:t>
            </w:r>
            <w:r>
              <w:rPr>
                <w:spacing w:val="-15"/>
                <w:sz w:val="22"/>
              </w:rPr>
              <w:t> </w:t>
            </w:r>
            <w:r>
              <w:rPr>
                <w:sz w:val="22"/>
              </w:rPr>
              <w:t>transitional</w:t>
            </w:r>
            <w:r>
              <w:rPr>
                <w:spacing w:val="-16"/>
                <w:sz w:val="22"/>
              </w:rPr>
              <w:t> </w:t>
            </w:r>
            <w:r>
              <w:rPr>
                <w:sz w:val="22"/>
              </w:rPr>
              <w:t>phase.</w:t>
            </w:r>
            <w:r>
              <w:rPr>
                <w:spacing w:val="-15"/>
                <w:sz w:val="22"/>
              </w:rPr>
              <w:t> </w:t>
            </w:r>
            <w:r>
              <w:rPr>
                <w:sz w:val="22"/>
              </w:rPr>
              <w:t>This</w:t>
            </w:r>
            <w:r>
              <w:rPr>
                <w:spacing w:val="-15"/>
                <w:sz w:val="22"/>
              </w:rPr>
              <w:t> </w:t>
            </w:r>
            <w:r>
              <w:rPr>
                <w:sz w:val="22"/>
              </w:rPr>
              <w:t>requires</w:t>
            </w:r>
            <w:r>
              <w:rPr>
                <w:spacing w:val="-15"/>
                <w:sz w:val="22"/>
              </w:rPr>
              <w:t> </w:t>
            </w:r>
            <w:r>
              <w:rPr>
                <w:sz w:val="22"/>
              </w:rPr>
              <w:t>formal legal,</w:t>
            </w:r>
            <w:r>
              <w:rPr>
                <w:spacing w:val="-6"/>
                <w:sz w:val="22"/>
              </w:rPr>
              <w:t> </w:t>
            </w:r>
            <w:r>
              <w:rPr>
                <w:sz w:val="22"/>
              </w:rPr>
              <w:t>HR</w:t>
            </w:r>
            <w:r>
              <w:rPr>
                <w:spacing w:val="-2"/>
                <w:sz w:val="22"/>
              </w:rPr>
              <w:t> </w:t>
            </w:r>
            <w:r>
              <w:rPr>
                <w:sz w:val="22"/>
              </w:rPr>
              <w:t>and</w:t>
            </w:r>
            <w:r>
              <w:rPr>
                <w:spacing w:val="-1"/>
                <w:sz w:val="22"/>
              </w:rPr>
              <w:t> </w:t>
            </w:r>
            <w:r>
              <w:rPr>
                <w:sz w:val="22"/>
              </w:rPr>
              <w:t>organisational change</w:t>
            </w:r>
            <w:r>
              <w:rPr>
                <w:spacing w:val="-1"/>
                <w:sz w:val="22"/>
              </w:rPr>
              <w:t> </w:t>
            </w:r>
            <w:r>
              <w:rPr>
                <w:sz w:val="22"/>
              </w:rPr>
              <w:t>validation.</w:t>
            </w:r>
          </w:p>
          <w:p>
            <w:pPr>
              <w:pStyle w:val="TableParagraph"/>
              <w:spacing w:line="276" w:lineRule="auto" w:before="97"/>
              <w:ind w:left="120" w:right="212"/>
              <w:rPr>
                <w:sz w:val="22"/>
              </w:rPr>
            </w:pPr>
            <w:r>
              <w:rPr>
                <w:sz w:val="22"/>
              </w:rPr>
              <w:t>The</w:t>
            </w:r>
            <w:r>
              <w:rPr>
                <w:spacing w:val="-16"/>
                <w:sz w:val="22"/>
              </w:rPr>
              <w:t> </w:t>
            </w:r>
            <w:r>
              <w:rPr>
                <w:sz w:val="22"/>
              </w:rPr>
              <w:t>workforce</w:t>
            </w:r>
            <w:r>
              <w:rPr>
                <w:spacing w:val="-15"/>
                <w:sz w:val="22"/>
              </w:rPr>
              <w:t> </w:t>
            </w:r>
            <w:r>
              <w:rPr>
                <w:sz w:val="22"/>
              </w:rPr>
              <w:t>plan</w:t>
            </w:r>
            <w:r>
              <w:rPr>
                <w:spacing w:val="-15"/>
                <w:sz w:val="22"/>
              </w:rPr>
              <w:t> </w:t>
            </w:r>
            <w:r>
              <w:rPr>
                <w:sz w:val="22"/>
              </w:rPr>
              <w:t>must</w:t>
            </w:r>
            <w:r>
              <w:rPr>
                <w:spacing w:val="-16"/>
                <w:sz w:val="22"/>
              </w:rPr>
              <w:t> </w:t>
            </w:r>
            <w:r>
              <w:rPr>
                <w:sz w:val="22"/>
              </w:rPr>
              <w:t>confirm</w:t>
            </w:r>
            <w:r>
              <w:rPr>
                <w:spacing w:val="-14"/>
                <w:sz w:val="22"/>
              </w:rPr>
              <w:t> </w:t>
            </w:r>
            <w:r>
              <w:rPr>
                <w:sz w:val="22"/>
              </w:rPr>
              <w:t>current</w:t>
            </w:r>
            <w:r>
              <w:rPr>
                <w:spacing w:val="-14"/>
                <w:sz w:val="22"/>
              </w:rPr>
              <w:t> </w:t>
            </w:r>
            <w:r>
              <w:rPr>
                <w:sz w:val="22"/>
              </w:rPr>
              <w:t>WTE</w:t>
            </w:r>
            <w:r>
              <w:rPr>
                <w:spacing w:val="-16"/>
                <w:sz w:val="22"/>
              </w:rPr>
              <w:t> </w:t>
            </w:r>
            <w:r>
              <w:rPr>
                <w:sz w:val="22"/>
              </w:rPr>
              <w:t>and</w:t>
            </w:r>
            <w:r>
              <w:rPr>
                <w:spacing w:val="-11"/>
                <w:sz w:val="22"/>
              </w:rPr>
              <w:t> </w:t>
            </w:r>
            <w:r>
              <w:rPr>
                <w:sz w:val="22"/>
              </w:rPr>
              <w:t>vacancy</w:t>
            </w:r>
            <w:r>
              <w:rPr>
                <w:spacing w:val="-14"/>
                <w:sz w:val="22"/>
              </w:rPr>
              <w:t> </w:t>
            </w:r>
            <w:r>
              <w:rPr>
                <w:sz w:val="22"/>
              </w:rPr>
              <w:t>baselines,</w:t>
            </w:r>
            <w:r>
              <w:rPr>
                <w:spacing w:val="-15"/>
                <w:sz w:val="22"/>
              </w:rPr>
              <w:t> </w:t>
            </w:r>
            <w:r>
              <w:rPr>
                <w:sz w:val="22"/>
              </w:rPr>
              <w:t>future</w:t>
            </w:r>
            <w:r>
              <w:rPr>
                <w:spacing w:val="-11"/>
                <w:sz w:val="22"/>
              </w:rPr>
              <w:t> </w:t>
            </w:r>
            <w:r>
              <w:rPr>
                <w:sz w:val="22"/>
              </w:rPr>
              <w:t>establishment</w:t>
            </w:r>
            <w:r>
              <w:rPr>
                <w:spacing w:val="-16"/>
                <w:sz w:val="22"/>
              </w:rPr>
              <w:t> </w:t>
            </w:r>
            <w:r>
              <w:rPr>
                <w:sz w:val="22"/>
              </w:rPr>
              <w:t>and</w:t>
            </w:r>
            <w:r>
              <w:rPr>
                <w:spacing w:val="-11"/>
                <w:sz w:val="22"/>
              </w:rPr>
              <w:t> </w:t>
            </w:r>
            <w:r>
              <w:rPr>
                <w:sz w:val="22"/>
              </w:rPr>
              <w:t>skill </w:t>
            </w:r>
            <w:r>
              <w:rPr>
                <w:spacing w:val="-4"/>
                <w:sz w:val="22"/>
              </w:rPr>
              <w:t>mix, leadership and management</w:t>
            </w:r>
            <w:r>
              <w:rPr>
                <w:spacing w:val="-5"/>
                <w:sz w:val="22"/>
              </w:rPr>
              <w:t> </w:t>
            </w:r>
            <w:r>
              <w:rPr>
                <w:spacing w:val="-4"/>
                <w:sz w:val="22"/>
              </w:rPr>
              <w:t>arrangements, training capacity, succession planning, harmonisation </w:t>
            </w:r>
            <w:r>
              <w:rPr>
                <w:sz w:val="22"/>
              </w:rPr>
              <w:t>implications,</w:t>
            </w:r>
            <w:r>
              <w:rPr>
                <w:spacing w:val="-16"/>
                <w:sz w:val="22"/>
              </w:rPr>
              <w:t> </w:t>
            </w:r>
            <w:r>
              <w:rPr>
                <w:sz w:val="22"/>
              </w:rPr>
              <w:t>staff</w:t>
            </w:r>
            <w:r>
              <w:rPr>
                <w:spacing w:val="-15"/>
                <w:sz w:val="22"/>
              </w:rPr>
              <w:t> </w:t>
            </w:r>
            <w:r>
              <w:rPr>
                <w:sz w:val="22"/>
              </w:rPr>
              <w:t>engagement</w:t>
            </w:r>
            <w:r>
              <w:rPr>
                <w:spacing w:val="-15"/>
                <w:sz w:val="22"/>
              </w:rPr>
              <w:t> </w:t>
            </w:r>
            <w:r>
              <w:rPr>
                <w:sz w:val="22"/>
              </w:rPr>
              <w:t>and</w:t>
            </w:r>
            <w:r>
              <w:rPr>
                <w:spacing w:val="-16"/>
                <w:sz w:val="22"/>
              </w:rPr>
              <w:t> </w:t>
            </w:r>
            <w:r>
              <w:rPr>
                <w:sz w:val="22"/>
              </w:rPr>
              <w:t>consultation,</w:t>
            </w:r>
            <w:r>
              <w:rPr>
                <w:spacing w:val="-15"/>
                <w:sz w:val="22"/>
              </w:rPr>
              <w:t> </w:t>
            </w:r>
            <w:r>
              <w:rPr>
                <w:sz w:val="22"/>
              </w:rPr>
              <w:t>transfer</w:t>
            </w:r>
            <w:r>
              <w:rPr>
                <w:spacing w:val="-15"/>
                <w:sz w:val="22"/>
              </w:rPr>
              <w:t> </w:t>
            </w:r>
            <w:r>
              <w:rPr>
                <w:sz w:val="22"/>
              </w:rPr>
              <w:t>arrangements</w:t>
            </w:r>
            <w:r>
              <w:rPr>
                <w:spacing w:val="-15"/>
                <w:sz w:val="22"/>
              </w:rPr>
              <w:t> </w:t>
            </w:r>
            <w:r>
              <w:rPr>
                <w:sz w:val="22"/>
              </w:rPr>
              <w:t>and</w:t>
            </w:r>
            <w:r>
              <w:rPr>
                <w:spacing w:val="-16"/>
                <w:sz w:val="22"/>
              </w:rPr>
              <w:t> </w:t>
            </w:r>
            <w:r>
              <w:rPr>
                <w:sz w:val="22"/>
              </w:rPr>
              <w:t>the</w:t>
            </w:r>
            <w:r>
              <w:rPr>
                <w:spacing w:val="-15"/>
                <w:sz w:val="22"/>
              </w:rPr>
              <w:t> </w:t>
            </w:r>
            <w:r>
              <w:rPr>
                <w:sz w:val="22"/>
              </w:rPr>
              <w:t>workforce</w:t>
            </w:r>
            <w:r>
              <w:rPr>
                <w:spacing w:val="-15"/>
                <w:sz w:val="22"/>
              </w:rPr>
              <w:t> </w:t>
            </w:r>
            <w:r>
              <w:rPr>
                <w:sz w:val="22"/>
              </w:rPr>
              <w:t>revenue requirement.</w:t>
            </w:r>
            <w:r>
              <w:rPr>
                <w:spacing w:val="-16"/>
                <w:sz w:val="22"/>
              </w:rPr>
              <w:t> </w:t>
            </w:r>
            <w:r>
              <w:rPr>
                <w:sz w:val="22"/>
              </w:rPr>
              <w:t>The</w:t>
            </w:r>
            <w:r>
              <w:rPr>
                <w:spacing w:val="-15"/>
                <w:sz w:val="22"/>
              </w:rPr>
              <w:t> </w:t>
            </w:r>
            <w:r>
              <w:rPr>
                <w:sz w:val="22"/>
              </w:rPr>
              <w:t>university</w:t>
            </w:r>
            <w:r>
              <w:rPr>
                <w:spacing w:val="-15"/>
                <w:sz w:val="22"/>
              </w:rPr>
              <w:t> </w:t>
            </w:r>
            <w:r>
              <w:rPr>
                <w:sz w:val="22"/>
              </w:rPr>
              <w:t>location</w:t>
            </w:r>
            <w:r>
              <w:rPr>
                <w:spacing w:val="-16"/>
                <w:sz w:val="22"/>
              </w:rPr>
              <w:t> </w:t>
            </w:r>
            <w:r>
              <w:rPr>
                <w:sz w:val="22"/>
              </w:rPr>
              <w:t>is</w:t>
            </w:r>
            <w:r>
              <w:rPr>
                <w:spacing w:val="-15"/>
                <w:sz w:val="22"/>
              </w:rPr>
              <w:t> </w:t>
            </w:r>
            <w:r>
              <w:rPr>
                <w:sz w:val="22"/>
              </w:rPr>
              <w:t>expected</w:t>
            </w:r>
            <w:r>
              <w:rPr>
                <w:spacing w:val="-15"/>
                <w:sz w:val="22"/>
              </w:rPr>
              <w:t> </w:t>
            </w:r>
            <w:r>
              <w:rPr>
                <w:sz w:val="22"/>
              </w:rPr>
              <w:t>to</w:t>
            </w:r>
            <w:r>
              <w:rPr>
                <w:spacing w:val="-15"/>
                <w:sz w:val="22"/>
              </w:rPr>
              <w:t> </w:t>
            </w:r>
            <w:r>
              <w:rPr>
                <w:sz w:val="22"/>
              </w:rPr>
              <w:t>support</w:t>
            </w:r>
            <w:r>
              <w:rPr>
                <w:spacing w:val="-16"/>
                <w:sz w:val="22"/>
              </w:rPr>
              <w:t> </w:t>
            </w:r>
            <w:r>
              <w:rPr>
                <w:sz w:val="22"/>
              </w:rPr>
              <w:t>recruitment,</w:t>
            </w:r>
            <w:r>
              <w:rPr>
                <w:spacing w:val="-15"/>
                <w:sz w:val="22"/>
              </w:rPr>
              <w:t> </w:t>
            </w:r>
            <w:r>
              <w:rPr>
                <w:sz w:val="22"/>
              </w:rPr>
              <w:t>education,</w:t>
            </w:r>
            <w:r>
              <w:rPr>
                <w:spacing w:val="-15"/>
                <w:sz w:val="22"/>
              </w:rPr>
              <w:t> </w:t>
            </w:r>
            <w:r>
              <w:rPr>
                <w:sz w:val="22"/>
              </w:rPr>
              <w:t>research</w:t>
            </w:r>
            <w:r>
              <w:rPr>
                <w:spacing w:val="-16"/>
                <w:sz w:val="22"/>
              </w:rPr>
              <w:t> </w:t>
            </w:r>
            <w:r>
              <w:rPr>
                <w:sz w:val="22"/>
              </w:rPr>
              <w:t>and advanced</w:t>
            </w:r>
            <w:r>
              <w:rPr>
                <w:spacing w:val="-10"/>
                <w:sz w:val="22"/>
              </w:rPr>
              <w:t> </w:t>
            </w:r>
            <w:r>
              <w:rPr>
                <w:sz w:val="22"/>
              </w:rPr>
              <w:t>practice,</w:t>
            </w:r>
            <w:r>
              <w:rPr>
                <w:spacing w:val="-14"/>
                <w:sz w:val="22"/>
              </w:rPr>
              <w:t> </w:t>
            </w:r>
            <w:r>
              <w:rPr>
                <w:sz w:val="22"/>
              </w:rPr>
              <w:t>but</w:t>
            </w:r>
            <w:r>
              <w:rPr>
                <w:spacing w:val="-9"/>
                <w:sz w:val="22"/>
              </w:rPr>
              <w:t> </w:t>
            </w:r>
            <w:r>
              <w:rPr>
                <w:sz w:val="22"/>
              </w:rPr>
              <w:t>these</w:t>
            </w:r>
            <w:r>
              <w:rPr>
                <w:spacing w:val="-10"/>
                <w:sz w:val="22"/>
              </w:rPr>
              <w:t> </w:t>
            </w:r>
            <w:r>
              <w:rPr>
                <w:sz w:val="22"/>
              </w:rPr>
              <w:t>benefits</w:t>
            </w:r>
            <w:r>
              <w:rPr>
                <w:spacing w:val="-13"/>
                <w:sz w:val="22"/>
              </w:rPr>
              <w:t> </w:t>
            </w:r>
            <w:r>
              <w:rPr>
                <w:sz w:val="22"/>
              </w:rPr>
              <w:t>must</w:t>
            </w:r>
            <w:r>
              <w:rPr>
                <w:spacing w:val="-9"/>
                <w:sz w:val="22"/>
              </w:rPr>
              <w:t> </w:t>
            </w:r>
            <w:r>
              <w:rPr>
                <w:sz w:val="22"/>
              </w:rPr>
              <w:t>be</w:t>
            </w:r>
            <w:r>
              <w:rPr>
                <w:spacing w:val="-10"/>
                <w:sz w:val="22"/>
              </w:rPr>
              <w:t> </w:t>
            </w:r>
            <w:r>
              <w:rPr>
                <w:sz w:val="22"/>
              </w:rPr>
              <w:t>evidenced</w:t>
            </w:r>
            <w:r>
              <w:rPr>
                <w:spacing w:val="-10"/>
                <w:sz w:val="22"/>
              </w:rPr>
              <w:t> </w:t>
            </w:r>
            <w:r>
              <w:rPr>
                <w:sz w:val="22"/>
              </w:rPr>
              <w:t>and</w:t>
            </w:r>
            <w:r>
              <w:rPr>
                <w:spacing w:val="-10"/>
                <w:sz w:val="22"/>
              </w:rPr>
              <w:t> </w:t>
            </w:r>
            <w:r>
              <w:rPr>
                <w:sz w:val="22"/>
              </w:rPr>
              <w:t>measured.</w:t>
            </w:r>
          </w:p>
          <w:p>
            <w:pPr>
              <w:pStyle w:val="TableParagraph"/>
              <w:spacing w:line="276" w:lineRule="auto" w:before="101"/>
              <w:ind w:left="120"/>
              <w:rPr>
                <w:sz w:val="22"/>
              </w:rPr>
            </w:pPr>
            <w:r>
              <w:rPr>
                <w:spacing w:val="-2"/>
                <w:sz w:val="22"/>
              </w:rPr>
              <w:t>This</w:t>
            </w:r>
            <w:r>
              <w:rPr>
                <w:spacing w:val="-13"/>
                <w:sz w:val="22"/>
              </w:rPr>
              <w:t> </w:t>
            </w:r>
            <w:r>
              <w:rPr>
                <w:spacing w:val="-2"/>
                <w:sz w:val="22"/>
              </w:rPr>
              <w:t>workplan</w:t>
            </w:r>
            <w:r>
              <w:rPr>
                <w:spacing w:val="-14"/>
                <w:sz w:val="22"/>
              </w:rPr>
              <w:t> </w:t>
            </w:r>
            <w:r>
              <w:rPr>
                <w:spacing w:val="-2"/>
                <w:sz w:val="22"/>
              </w:rPr>
              <w:t>has</w:t>
            </w:r>
            <w:r>
              <w:rPr>
                <w:spacing w:val="-11"/>
                <w:sz w:val="22"/>
              </w:rPr>
              <w:t> </w:t>
            </w:r>
            <w:r>
              <w:rPr>
                <w:spacing w:val="-2"/>
                <w:sz w:val="22"/>
              </w:rPr>
              <w:t>been</w:t>
            </w:r>
            <w:r>
              <w:rPr>
                <w:spacing w:val="-14"/>
                <w:sz w:val="22"/>
              </w:rPr>
              <w:t> </w:t>
            </w:r>
            <w:r>
              <w:rPr>
                <w:spacing w:val="-2"/>
                <w:sz w:val="22"/>
              </w:rPr>
              <w:t>drafted</w:t>
            </w:r>
            <w:r>
              <w:rPr>
                <w:spacing w:val="-8"/>
                <w:sz w:val="22"/>
              </w:rPr>
              <w:t> </w:t>
            </w:r>
            <w:r>
              <w:rPr>
                <w:spacing w:val="-2"/>
                <w:sz w:val="22"/>
              </w:rPr>
              <w:t>and</w:t>
            </w:r>
            <w:r>
              <w:rPr>
                <w:spacing w:val="-14"/>
                <w:sz w:val="22"/>
              </w:rPr>
              <w:t> </w:t>
            </w:r>
            <w:r>
              <w:rPr>
                <w:spacing w:val="-2"/>
                <w:sz w:val="22"/>
              </w:rPr>
              <w:t>is</w:t>
            </w:r>
            <w:r>
              <w:rPr>
                <w:spacing w:val="-11"/>
                <w:sz w:val="22"/>
              </w:rPr>
              <w:t> </w:t>
            </w:r>
            <w:r>
              <w:rPr>
                <w:spacing w:val="-2"/>
                <w:sz w:val="22"/>
              </w:rPr>
              <w:t>currently</w:t>
            </w:r>
            <w:r>
              <w:rPr>
                <w:spacing w:val="-12"/>
                <w:sz w:val="22"/>
              </w:rPr>
              <w:t> </w:t>
            </w:r>
            <w:r>
              <w:rPr>
                <w:spacing w:val="-2"/>
                <w:sz w:val="22"/>
              </w:rPr>
              <w:t>sat</w:t>
            </w:r>
            <w:r>
              <w:rPr>
                <w:spacing w:val="-13"/>
                <w:sz w:val="22"/>
              </w:rPr>
              <w:t> </w:t>
            </w:r>
            <w:r>
              <w:rPr>
                <w:spacing w:val="-2"/>
                <w:sz w:val="22"/>
              </w:rPr>
              <w:t>with</w:t>
            </w:r>
            <w:r>
              <w:rPr>
                <w:spacing w:val="-14"/>
                <w:sz w:val="22"/>
              </w:rPr>
              <w:t> </w:t>
            </w:r>
            <w:r>
              <w:rPr>
                <w:spacing w:val="-2"/>
                <w:sz w:val="22"/>
              </w:rPr>
              <w:t>workforce</w:t>
            </w:r>
            <w:r>
              <w:rPr>
                <w:spacing w:val="-13"/>
                <w:sz w:val="22"/>
              </w:rPr>
              <w:t> </w:t>
            </w:r>
            <w:r>
              <w:rPr>
                <w:spacing w:val="-2"/>
                <w:sz w:val="22"/>
              </w:rPr>
              <w:t>leads</w:t>
            </w:r>
            <w:r>
              <w:rPr>
                <w:spacing w:val="-7"/>
                <w:sz w:val="22"/>
              </w:rPr>
              <w:t> </w:t>
            </w:r>
            <w:r>
              <w:rPr>
                <w:spacing w:val="-2"/>
                <w:sz w:val="22"/>
              </w:rPr>
              <w:t>for</w:t>
            </w:r>
            <w:r>
              <w:rPr>
                <w:spacing w:val="-14"/>
                <w:sz w:val="22"/>
              </w:rPr>
              <w:t> </w:t>
            </w:r>
            <w:r>
              <w:rPr>
                <w:spacing w:val="-2"/>
                <w:sz w:val="22"/>
              </w:rPr>
              <w:t>scrutiny,</w:t>
            </w:r>
            <w:r>
              <w:rPr>
                <w:spacing w:val="-7"/>
                <w:sz w:val="22"/>
              </w:rPr>
              <w:t> </w:t>
            </w:r>
            <w:r>
              <w:rPr>
                <w:spacing w:val="-2"/>
                <w:sz w:val="22"/>
              </w:rPr>
              <w:t>validation</w:t>
            </w:r>
            <w:r>
              <w:rPr>
                <w:spacing w:val="-9"/>
                <w:sz w:val="22"/>
              </w:rPr>
              <w:t> </w:t>
            </w:r>
            <w:r>
              <w:rPr>
                <w:spacing w:val="-2"/>
                <w:sz w:val="22"/>
              </w:rPr>
              <w:t>and finalisation.</w:t>
            </w:r>
          </w:p>
          <w:p>
            <w:pPr>
              <w:pStyle w:val="TableParagraph"/>
              <w:spacing w:before="240"/>
              <w:rPr>
                <w:sz w:val="22"/>
              </w:rPr>
            </w:pPr>
          </w:p>
          <w:p>
            <w:pPr>
              <w:pStyle w:val="TableParagraph"/>
              <w:ind w:left="120"/>
              <w:rPr>
                <w:b/>
                <w:sz w:val="22"/>
              </w:rPr>
            </w:pPr>
            <w:r>
              <w:rPr>
                <w:b/>
                <w:color w:val="1F487C"/>
                <w:spacing w:val="-2"/>
                <w:sz w:val="22"/>
              </w:rPr>
              <w:t>Staff</w:t>
            </w:r>
            <w:r>
              <w:rPr>
                <w:b/>
                <w:color w:val="1F487C"/>
                <w:spacing w:val="-13"/>
                <w:sz w:val="22"/>
              </w:rPr>
              <w:t> </w:t>
            </w:r>
            <w:r>
              <w:rPr>
                <w:b/>
                <w:color w:val="1F487C"/>
                <w:spacing w:val="-2"/>
                <w:sz w:val="22"/>
              </w:rPr>
              <w:t>Engagement</w:t>
            </w:r>
          </w:p>
          <w:p>
            <w:pPr>
              <w:pStyle w:val="TableParagraph"/>
              <w:spacing w:line="276" w:lineRule="auto" w:before="138"/>
              <w:ind w:left="120" w:right="212"/>
              <w:rPr>
                <w:sz w:val="22"/>
              </w:rPr>
            </w:pPr>
            <w:r>
              <w:rPr>
                <w:sz w:val="22"/>
              </w:rPr>
              <w:t>A</w:t>
            </w:r>
            <w:r>
              <w:rPr>
                <w:spacing w:val="-14"/>
                <w:sz w:val="22"/>
              </w:rPr>
              <w:t> </w:t>
            </w:r>
            <w:r>
              <w:rPr>
                <w:sz w:val="22"/>
              </w:rPr>
              <w:t>communication</w:t>
            </w:r>
            <w:r>
              <w:rPr>
                <w:spacing w:val="-14"/>
                <w:sz w:val="22"/>
              </w:rPr>
              <w:t> </w:t>
            </w:r>
            <w:r>
              <w:rPr>
                <w:sz w:val="22"/>
              </w:rPr>
              <w:t>and</w:t>
            </w:r>
            <w:r>
              <w:rPr>
                <w:spacing w:val="-14"/>
                <w:sz w:val="22"/>
              </w:rPr>
              <w:t> </w:t>
            </w:r>
            <w:r>
              <w:rPr>
                <w:sz w:val="22"/>
              </w:rPr>
              <w:t>engagement</w:t>
            </w:r>
            <w:r>
              <w:rPr>
                <w:spacing w:val="-13"/>
                <w:sz w:val="22"/>
              </w:rPr>
              <w:t> </w:t>
            </w:r>
            <w:r>
              <w:rPr>
                <w:sz w:val="22"/>
              </w:rPr>
              <w:t>plan</w:t>
            </w:r>
            <w:r>
              <w:rPr>
                <w:spacing w:val="-14"/>
                <w:sz w:val="22"/>
              </w:rPr>
              <w:t> </w:t>
            </w:r>
            <w:r>
              <w:rPr>
                <w:sz w:val="22"/>
              </w:rPr>
              <w:t>has</w:t>
            </w:r>
            <w:r>
              <w:rPr>
                <w:spacing w:val="-12"/>
                <w:sz w:val="22"/>
              </w:rPr>
              <w:t> </w:t>
            </w:r>
            <w:r>
              <w:rPr>
                <w:sz w:val="22"/>
              </w:rPr>
              <w:t>been</w:t>
            </w:r>
            <w:r>
              <w:rPr>
                <w:spacing w:val="-14"/>
                <w:sz w:val="22"/>
              </w:rPr>
              <w:t> </w:t>
            </w:r>
            <w:r>
              <w:rPr>
                <w:sz w:val="22"/>
              </w:rPr>
              <w:t>developed</w:t>
            </w:r>
            <w:r>
              <w:rPr>
                <w:spacing w:val="-14"/>
                <w:sz w:val="22"/>
              </w:rPr>
              <w:t> </w:t>
            </w:r>
            <w:r>
              <w:rPr>
                <w:sz w:val="22"/>
              </w:rPr>
              <w:t>to</w:t>
            </w:r>
            <w:r>
              <w:rPr>
                <w:spacing w:val="-9"/>
                <w:sz w:val="22"/>
              </w:rPr>
              <w:t> </w:t>
            </w:r>
            <w:r>
              <w:rPr>
                <w:sz w:val="22"/>
              </w:rPr>
              <w:t>support</w:t>
            </w:r>
            <w:r>
              <w:rPr>
                <w:spacing w:val="-16"/>
                <w:sz w:val="22"/>
              </w:rPr>
              <w:t> </w:t>
            </w:r>
            <w:r>
              <w:rPr>
                <w:sz w:val="22"/>
              </w:rPr>
              <w:t>delivery</w:t>
            </w:r>
            <w:r>
              <w:rPr>
                <w:spacing w:val="-11"/>
                <w:sz w:val="22"/>
              </w:rPr>
              <w:t> </w:t>
            </w:r>
            <w:r>
              <w:rPr>
                <w:sz w:val="22"/>
              </w:rPr>
              <w:t>of</w:t>
            </w:r>
            <w:r>
              <w:rPr>
                <w:spacing w:val="-8"/>
                <w:sz w:val="22"/>
              </w:rPr>
              <w:t> </w:t>
            </w:r>
            <w:r>
              <w:rPr>
                <w:sz w:val="22"/>
              </w:rPr>
              <w:t>the</w:t>
            </w:r>
            <w:r>
              <w:rPr>
                <w:spacing w:val="-14"/>
                <w:sz w:val="22"/>
              </w:rPr>
              <w:t> </w:t>
            </w:r>
            <w:r>
              <w:rPr>
                <w:sz w:val="22"/>
              </w:rPr>
              <w:t>Regional </w:t>
            </w:r>
            <w:r>
              <w:rPr>
                <w:spacing w:val="-2"/>
                <w:sz w:val="22"/>
              </w:rPr>
              <w:t>Cellular</w:t>
            </w:r>
            <w:r>
              <w:rPr>
                <w:spacing w:val="-14"/>
                <w:sz w:val="22"/>
              </w:rPr>
              <w:t> </w:t>
            </w:r>
            <w:r>
              <w:rPr>
                <w:spacing w:val="-2"/>
                <w:sz w:val="22"/>
              </w:rPr>
              <w:t>Pathology</w:t>
            </w:r>
            <w:r>
              <w:rPr>
                <w:spacing w:val="-13"/>
                <w:sz w:val="22"/>
              </w:rPr>
              <w:t> </w:t>
            </w:r>
            <w:r>
              <w:rPr>
                <w:spacing w:val="-2"/>
                <w:sz w:val="22"/>
              </w:rPr>
              <w:t>Programme,</w:t>
            </w:r>
            <w:r>
              <w:rPr>
                <w:spacing w:val="-13"/>
                <w:sz w:val="22"/>
              </w:rPr>
              <w:t> </w:t>
            </w:r>
            <w:r>
              <w:rPr>
                <w:spacing w:val="-2"/>
                <w:sz w:val="22"/>
              </w:rPr>
              <w:t>ensuring</w:t>
            </w:r>
            <w:r>
              <w:rPr>
                <w:spacing w:val="-14"/>
                <w:sz w:val="22"/>
              </w:rPr>
              <w:t> </w:t>
            </w:r>
            <w:r>
              <w:rPr>
                <w:spacing w:val="-2"/>
                <w:sz w:val="22"/>
              </w:rPr>
              <w:t>timely,</w:t>
            </w:r>
            <w:r>
              <w:rPr>
                <w:spacing w:val="-13"/>
                <w:sz w:val="22"/>
              </w:rPr>
              <w:t> </w:t>
            </w:r>
            <w:r>
              <w:rPr>
                <w:spacing w:val="-2"/>
                <w:sz w:val="22"/>
              </w:rPr>
              <w:t>transparent</w:t>
            </w:r>
            <w:r>
              <w:rPr>
                <w:spacing w:val="-13"/>
                <w:sz w:val="22"/>
              </w:rPr>
              <w:t> </w:t>
            </w:r>
            <w:r>
              <w:rPr>
                <w:spacing w:val="-2"/>
                <w:sz w:val="22"/>
              </w:rPr>
              <w:t>and</w:t>
            </w:r>
            <w:r>
              <w:rPr>
                <w:spacing w:val="-13"/>
                <w:sz w:val="22"/>
              </w:rPr>
              <w:t> </w:t>
            </w:r>
            <w:r>
              <w:rPr>
                <w:spacing w:val="-2"/>
                <w:sz w:val="22"/>
              </w:rPr>
              <w:t>consistent</w:t>
            </w:r>
            <w:r>
              <w:rPr>
                <w:spacing w:val="-14"/>
                <w:sz w:val="22"/>
              </w:rPr>
              <w:t> </w:t>
            </w:r>
            <w:r>
              <w:rPr>
                <w:spacing w:val="-2"/>
                <w:sz w:val="22"/>
              </w:rPr>
              <w:t>engagement</w:t>
            </w:r>
            <w:r>
              <w:rPr>
                <w:spacing w:val="-13"/>
                <w:sz w:val="22"/>
              </w:rPr>
              <w:t> </w:t>
            </w:r>
            <w:r>
              <w:rPr>
                <w:spacing w:val="-2"/>
                <w:sz w:val="22"/>
              </w:rPr>
              <w:t>with</w:t>
            </w:r>
            <w:r>
              <w:rPr>
                <w:spacing w:val="-13"/>
                <w:sz w:val="22"/>
              </w:rPr>
              <w:t> </w:t>
            </w:r>
            <w:r>
              <w:rPr>
                <w:spacing w:val="-2"/>
                <w:sz w:val="22"/>
              </w:rPr>
              <w:t>staff, clinical</w:t>
            </w:r>
            <w:r>
              <w:rPr>
                <w:spacing w:val="-14"/>
                <w:sz w:val="22"/>
              </w:rPr>
              <w:t> </w:t>
            </w:r>
            <w:r>
              <w:rPr>
                <w:spacing w:val="-2"/>
                <w:sz w:val="22"/>
              </w:rPr>
              <w:t>leaders,</w:t>
            </w:r>
            <w:r>
              <w:rPr>
                <w:spacing w:val="-13"/>
                <w:sz w:val="22"/>
              </w:rPr>
              <w:t> </w:t>
            </w:r>
            <w:r>
              <w:rPr>
                <w:spacing w:val="-2"/>
                <w:sz w:val="22"/>
              </w:rPr>
              <w:t>partner</w:t>
            </w:r>
            <w:r>
              <w:rPr>
                <w:spacing w:val="-13"/>
                <w:sz w:val="22"/>
              </w:rPr>
              <w:t> </w:t>
            </w:r>
            <w:r>
              <w:rPr>
                <w:spacing w:val="-2"/>
                <w:sz w:val="22"/>
              </w:rPr>
              <w:t>organisations</w:t>
            </w:r>
            <w:r>
              <w:rPr>
                <w:spacing w:val="-14"/>
                <w:sz w:val="22"/>
              </w:rPr>
              <w:t> </w:t>
            </w:r>
            <w:r>
              <w:rPr>
                <w:spacing w:val="-2"/>
                <w:sz w:val="22"/>
              </w:rPr>
              <w:t>and</w:t>
            </w:r>
            <w:r>
              <w:rPr>
                <w:spacing w:val="-13"/>
                <w:sz w:val="22"/>
              </w:rPr>
              <w:t> </w:t>
            </w:r>
            <w:r>
              <w:rPr>
                <w:spacing w:val="-2"/>
                <w:sz w:val="22"/>
              </w:rPr>
              <w:t>key</w:t>
            </w:r>
            <w:r>
              <w:rPr>
                <w:spacing w:val="-13"/>
                <w:sz w:val="22"/>
              </w:rPr>
              <w:t> </w:t>
            </w:r>
            <w:r>
              <w:rPr>
                <w:spacing w:val="-2"/>
                <w:sz w:val="22"/>
              </w:rPr>
              <w:t>stakeholders</w:t>
            </w:r>
            <w:r>
              <w:rPr>
                <w:spacing w:val="-13"/>
                <w:sz w:val="22"/>
              </w:rPr>
              <w:t> </w:t>
            </w:r>
            <w:r>
              <w:rPr>
                <w:spacing w:val="-2"/>
                <w:sz w:val="22"/>
              </w:rPr>
              <w:t>throughout</w:t>
            </w:r>
            <w:r>
              <w:rPr>
                <w:spacing w:val="-14"/>
                <w:sz w:val="22"/>
              </w:rPr>
              <w:t> </w:t>
            </w:r>
            <w:r>
              <w:rPr>
                <w:spacing w:val="-2"/>
                <w:sz w:val="22"/>
              </w:rPr>
              <w:t>the</w:t>
            </w:r>
            <w:r>
              <w:rPr>
                <w:spacing w:val="-13"/>
                <w:sz w:val="22"/>
              </w:rPr>
              <w:t> </w:t>
            </w:r>
            <w:r>
              <w:rPr>
                <w:spacing w:val="-2"/>
                <w:sz w:val="22"/>
              </w:rPr>
              <w:t>development</w:t>
            </w:r>
            <w:r>
              <w:rPr>
                <w:spacing w:val="-13"/>
                <w:sz w:val="22"/>
              </w:rPr>
              <w:t> </w:t>
            </w:r>
            <w:r>
              <w:rPr>
                <w:spacing w:val="-2"/>
                <w:sz w:val="22"/>
              </w:rPr>
              <w:t>of</w:t>
            </w:r>
            <w:r>
              <w:rPr>
                <w:spacing w:val="-14"/>
                <w:sz w:val="22"/>
              </w:rPr>
              <w:t> </w:t>
            </w:r>
            <w:r>
              <w:rPr>
                <w:spacing w:val="-2"/>
                <w:sz w:val="22"/>
              </w:rPr>
              <w:t>the</w:t>
            </w:r>
            <w:r>
              <w:rPr>
                <w:spacing w:val="-13"/>
                <w:sz w:val="22"/>
              </w:rPr>
              <w:t> </w:t>
            </w:r>
            <w:r>
              <w:rPr>
                <w:spacing w:val="-2"/>
                <w:sz w:val="22"/>
              </w:rPr>
              <w:t>Full </w:t>
            </w:r>
            <w:r>
              <w:rPr>
                <w:sz w:val="22"/>
              </w:rPr>
              <w:t>Business</w:t>
            </w:r>
            <w:r>
              <w:rPr>
                <w:spacing w:val="-14"/>
                <w:sz w:val="22"/>
              </w:rPr>
              <w:t> </w:t>
            </w:r>
            <w:r>
              <w:rPr>
                <w:sz w:val="22"/>
              </w:rPr>
              <w:t>Case</w:t>
            </w:r>
            <w:r>
              <w:rPr>
                <w:spacing w:val="-14"/>
                <w:sz w:val="22"/>
              </w:rPr>
              <w:t> </w:t>
            </w:r>
            <w:r>
              <w:rPr>
                <w:sz w:val="22"/>
              </w:rPr>
              <w:t>(FBC).</w:t>
            </w:r>
            <w:r>
              <w:rPr>
                <w:spacing w:val="-13"/>
                <w:sz w:val="22"/>
              </w:rPr>
              <w:t> </w:t>
            </w:r>
            <w:r>
              <w:rPr>
                <w:sz w:val="22"/>
              </w:rPr>
              <w:t>The</w:t>
            </w:r>
            <w:r>
              <w:rPr>
                <w:spacing w:val="-9"/>
                <w:sz w:val="22"/>
              </w:rPr>
              <w:t> </w:t>
            </w:r>
            <w:r>
              <w:rPr>
                <w:sz w:val="22"/>
              </w:rPr>
              <w:t>approach</w:t>
            </w:r>
            <w:r>
              <w:rPr>
                <w:spacing w:val="-14"/>
                <w:sz w:val="22"/>
              </w:rPr>
              <w:t> </w:t>
            </w:r>
            <w:r>
              <w:rPr>
                <w:sz w:val="22"/>
              </w:rPr>
              <w:t>is</w:t>
            </w:r>
            <w:r>
              <w:rPr>
                <w:spacing w:val="-12"/>
                <w:sz w:val="22"/>
              </w:rPr>
              <w:t> </w:t>
            </w:r>
            <w:r>
              <w:rPr>
                <w:sz w:val="22"/>
              </w:rPr>
              <w:t>underpinned</w:t>
            </w:r>
            <w:r>
              <w:rPr>
                <w:spacing w:val="-9"/>
                <w:sz w:val="22"/>
              </w:rPr>
              <w:t> </w:t>
            </w:r>
            <w:r>
              <w:rPr>
                <w:sz w:val="22"/>
              </w:rPr>
              <w:t>by</w:t>
            </w:r>
            <w:r>
              <w:rPr>
                <w:spacing w:val="-16"/>
                <w:sz w:val="22"/>
              </w:rPr>
              <w:t> </w:t>
            </w:r>
            <w:r>
              <w:rPr>
                <w:sz w:val="22"/>
              </w:rPr>
              <w:t>principles</w:t>
            </w:r>
            <w:r>
              <w:rPr>
                <w:spacing w:val="-15"/>
                <w:sz w:val="22"/>
              </w:rPr>
              <w:t> </w:t>
            </w:r>
            <w:r>
              <w:rPr>
                <w:sz w:val="22"/>
              </w:rPr>
              <w:t>of</w:t>
            </w:r>
            <w:r>
              <w:rPr>
                <w:spacing w:val="-13"/>
                <w:sz w:val="22"/>
              </w:rPr>
              <w:t> </w:t>
            </w:r>
            <w:r>
              <w:rPr>
                <w:sz w:val="22"/>
              </w:rPr>
              <w:t>early</w:t>
            </w:r>
            <w:r>
              <w:rPr>
                <w:spacing w:val="-12"/>
                <w:sz w:val="22"/>
              </w:rPr>
              <w:t> </w:t>
            </w:r>
            <w:r>
              <w:rPr>
                <w:sz w:val="22"/>
              </w:rPr>
              <w:t>engagement,</w:t>
            </w:r>
            <w:r>
              <w:rPr>
                <w:spacing w:val="-13"/>
                <w:sz w:val="22"/>
              </w:rPr>
              <w:t> </w:t>
            </w:r>
            <w:r>
              <w:rPr>
                <w:sz w:val="22"/>
              </w:rPr>
              <w:t>two-way </w:t>
            </w:r>
            <w:r>
              <w:rPr>
                <w:spacing w:val="-2"/>
                <w:sz w:val="22"/>
              </w:rPr>
              <w:t>communication and</w:t>
            </w:r>
            <w:r>
              <w:rPr>
                <w:spacing w:val="-7"/>
                <w:sz w:val="22"/>
              </w:rPr>
              <w:t> </w:t>
            </w:r>
            <w:r>
              <w:rPr>
                <w:spacing w:val="-2"/>
                <w:sz w:val="22"/>
              </w:rPr>
              <w:t>workforce involvement</w:t>
            </w:r>
            <w:r>
              <w:rPr>
                <w:spacing w:val="-6"/>
                <w:sz w:val="22"/>
              </w:rPr>
              <w:t> </w:t>
            </w:r>
            <w:r>
              <w:rPr>
                <w:spacing w:val="-2"/>
                <w:sz w:val="22"/>
              </w:rPr>
              <w:t>to build</w:t>
            </w:r>
            <w:r>
              <w:rPr>
                <w:spacing w:val="-7"/>
                <w:sz w:val="22"/>
              </w:rPr>
              <w:t> </w:t>
            </w:r>
            <w:r>
              <w:rPr>
                <w:spacing w:val="-2"/>
                <w:sz w:val="22"/>
              </w:rPr>
              <w:t>understanding,</w:t>
            </w:r>
            <w:r>
              <w:rPr>
                <w:spacing w:val="-6"/>
                <w:sz w:val="22"/>
              </w:rPr>
              <w:t> </w:t>
            </w:r>
            <w:r>
              <w:rPr>
                <w:spacing w:val="-2"/>
                <w:sz w:val="22"/>
              </w:rPr>
              <w:t>address</w:t>
            </w:r>
            <w:r>
              <w:rPr>
                <w:spacing w:val="-5"/>
                <w:sz w:val="22"/>
              </w:rPr>
              <w:t> </w:t>
            </w:r>
            <w:r>
              <w:rPr>
                <w:spacing w:val="-2"/>
                <w:sz w:val="22"/>
              </w:rPr>
              <w:t>concerns</w:t>
            </w:r>
            <w:r>
              <w:rPr>
                <w:spacing w:val="-5"/>
                <w:sz w:val="22"/>
              </w:rPr>
              <w:t> </w:t>
            </w:r>
            <w:r>
              <w:rPr>
                <w:spacing w:val="-2"/>
                <w:sz w:val="22"/>
              </w:rPr>
              <w:t>and support </w:t>
            </w:r>
            <w:r>
              <w:rPr>
                <w:sz w:val="22"/>
              </w:rPr>
              <w:t>organisational readiness for change.</w:t>
            </w:r>
          </w:p>
          <w:p>
            <w:pPr>
              <w:pStyle w:val="TableParagraph"/>
              <w:spacing w:line="276" w:lineRule="auto" w:before="99"/>
              <w:ind w:left="120"/>
              <w:rPr>
                <w:sz w:val="22"/>
              </w:rPr>
            </w:pPr>
            <w:r>
              <w:rPr>
                <w:sz w:val="22"/>
              </w:rPr>
              <w:t>Initial</w:t>
            </w:r>
            <w:r>
              <w:rPr>
                <w:spacing w:val="-16"/>
                <w:sz w:val="22"/>
              </w:rPr>
              <w:t> </w:t>
            </w:r>
            <w:r>
              <w:rPr>
                <w:sz w:val="22"/>
              </w:rPr>
              <w:t>engagement</w:t>
            </w:r>
            <w:r>
              <w:rPr>
                <w:spacing w:val="-15"/>
                <w:sz w:val="22"/>
              </w:rPr>
              <w:t> </w:t>
            </w:r>
            <w:r>
              <w:rPr>
                <w:sz w:val="22"/>
              </w:rPr>
              <w:t>with</w:t>
            </w:r>
            <w:r>
              <w:rPr>
                <w:spacing w:val="-15"/>
                <w:sz w:val="22"/>
              </w:rPr>
              <w:t> </w:t>
            </w:r>
            <w:r>
              <w:rPr>
                <w:sz w:val="22"/>
              </w:rPr>
              <w:t>Cellular</w:t>
            </w:r>
            <w:r>
              <w:rPr>
                <w:spacing w:val="-16"/>
                <w:sz w:val="22"/>
              </w:rPr>
              <w:t> </w:t>
            </w:r>
            <w:r>
              <w:rPr>
                <w:sz w:val="22"/>
              </w:rPr>
              <w:t>Pathology</w:t>
            </w:r>
            <w:r>
              <w:rPr>
                <w:spacing w:val="-13"/>
                <w:sz w:val="22"/>
              </w:rPr>
              <w:t> </w:t>
            </w:r>
            <w:r>
              <w:rPr>
                <w:sz w:val="22"/>
              </w:rPr>
              <w:t>Section</w:t>
            </w:r>
            <w:r>
              <w:rPr>
                <w:spacing w:val="-15"/>
                <w:sz w:val="22"/>
              </w:rPr>
              <w:t> </w:t>
            </w:r>
            <w:r>
              <w:rPr>
                <w:sz w:val="22"/>
              </w:rPr>
              <w:t>Managers</w:t>
            </w:r>
            <w:r>
              <w:rPr>
                <w:spacing w:val="-16"/>
                <w:sz w:val="22"/>
              </w:rPr>
              <w:t> </w:t>
            </w:r>
            <w:r>
              <w:rPr>
                <w:sz w:val="22"/>
              </w:rPr>
              <w:t>was</w:t>
            </w:r>
            <w:r>
              <w:rPr>
                <w:spacing w:val="-15"/>
                <w:sz w:val="22"/>
              </w:rPr>
              <w:t> </w:t>
            </w:r>
            <w:r>
              <w:rPr>
                <w:sz w:val="22"/>
              </w:rPr>
              <w:t>undertaken</w:t>
            </w:r>
            <w:r>
              <w:rPr>
                <w:spacing w:val="-13"/>
                <w:sz w:val="22"/>
              </w:rPr>
              <w:t> </w:t>
            </w:r>
            <w:r>
              <w:rPr>
                <w:sz w:val="22"/>
              </w:rPr>
              <w:t>in</w:t>
            </w:r>
            <w:r>
              <w:rPr>
                <w:spacing w:val="-14"/>
                <w:sz w:val="22"/>
              </w:rPr>
              <w:t> </w:t>
            </w:r>
            <w:r>
              <w:rPr>
                <w:sz w:val="22"/>
              </w:rPr>
              <w:t>September</w:t>
            </w:r>
            <w:r>
              <w:rPr>
                <w:spacing w:val="-14"/>
                <w:sz w:val="22"/>
              </w:rPr>
              <w:t> </w:t>
            </w:r>
            <w:r>
              <w:rPr>
                <w:sz w:val="22"/>
              </w:rPr>
              <w:t>2026</w:t>
            </w:r>
            <w:r>
              <w:rPr>
                <w:spacing w:val="-16"/>
                <w:sz w:val="22"/>
              </w:rPr>
              <w:t> </w:t>
            </w:r>
            <w:r>
              <w:rPr>
                <w:sz w:val="22"/>
              </w:rPr>
              <w:t>to </w:t>
            </w:r>
            <w:r>
              <w:rPr>
                <w:spacing w:val="-2"/>
                <w:sz w:val="22"/>
              </w:rPr>
              <w:t>introduce</w:t>
            </w:r>
            <w:r>
              <w:rPr>
                <w:spacing w:val="-14"/>
                <w:sz w:val="22"/>
              </w:rPr>
              <w:t> </w:t>
            </w:r>
            <w:r>
              <w:rPr>
                <w:spacing w:val="-2"/>
                <w:sz w:val="22"/>
              </w:rPr>
              <w:t>the</w:t>
            </w:r>
            <w:r>
              <w:rPr>
                <w:spacing w:val="-13"/>
                <w:sz w:val="22"/>
              </w:rPr>
              <w:t> </w:t>
            </w:r>
            <w:r>
              <w:rPr>
                <w:spacing w:val="-2"/>
                <w:sz w:val="22"/>
              </w:rPr>
              <w:t>programme,</w:t>
            </w:r>
            <w:r>
              <w:rPr>
                <w:spacing w:val="-13"/>
                <w:sz w:val="22"/>
              </w:rPr>
              <w:t> </w:t>
            </w:r>
            <w:r>
              <w:rPr>
                <w:spacing w:val="-2"/>
                <w:sz w:val="22"/>
              </w:rPr>
              <w:t>and</w:t>
            </w:r>
            <w:r>
              <w:rPr>
                <w:spacing w:val="-14"/>
                <w:sz w:val="22"/>
              </w:rPr>
              <w:t> </w:t>
            </w:r>
            <w:r>
              <w:rPr>
                <w:spacing w:val="-2"/>
                <w:sz w:val="22"/>
              </w:rPr>
              <w:t>to</w:t>
            </w:r>
            <w:r>
              <w:rPr>
                <w:spacing w:val="-13"/>
                <w:sz w:val="22"/>
              </w:rPr>
              <w:t> </w:t>
            </w:r>
            <w:r>
              <w:rPr>
                <w:spacing w:val="-2"/>
                <w:sz w:val="22"/>
              </w:rPr>
              <w:t>gather</w:t>
            </w:r>
            <w:r>
              <w:rPr>
                <w:spacing w:val="-13"/>
                <w:sz w:val="22"/>
              </w:rPr>
              <w:t> </w:t>
            </w:r>
            <w:r>
              <w:rPr>
                <w:spacing w:val="-2"/>
                <w:sz w:val="22"/>
              </w:rPr>
              <w:t>feedback</w:t>
            </w:r>
            <w:r>
              <w:rPr>
                <w:spacing w:val="-13"/>
                <w:sz w:val="22"/>
              </w:rPr>
              <w:t> </w:t>
            </w:r>
            <w:r>
              <w:rPr>
                <w:spacing w:val="-2"/>
                <w:sz w:val="22"/>
              </w:rPr>
              <w:t>on</w:t>
            </w:r>
            <w:r>
              <w:rPr>
                <w:spacing w:val="-14"/>
                <w:sz w:val="22"/>
              </w:rPr>
              <w:t> </w:t>
            </w:r>
            <w:r>
              <w:rPr>
                <w:spacing w:val="-2"/>
                <w:sz w:val="22"/>
              </w:rPr>
              <w:t>design</w:t>
            </w:r>
            <w:r>
              <w:rPr>
                <w:spacing w:val="-11"/>
                <w:sz w:val="22"/>
              </w:rPr>
              <w:t> </w:t>
            </w:r>
            <w:r>
              <w:rPr>
                <w:spacing w:val="-2"/>
                <w:sz w:val="22"/>
              </w:rPr>
              <w:t>information</w:t>
            </w:r>
            <w:r>
              <w:rPr>
                <w:spacing w:val="-12"/>
                <w:sz w:val="22"/>
              </w:rPr>
              <w:t> </w:t>
            </w:r>
            <w:r>
              <w:rPr>
                <w:spacing w:val="-2"/>
                <w:sz w:val="22"/>
              </w:rPr>
              <w:t>for</w:t>
            </w:r>
            <w:r>
              <w:rPr>
                <w:spacing w:val="-13"/>
                <w:sz w:val="22"/>
              </w:rPr>
              <w:t> </w:t>
            </w:r>
            <w:r>
              <w:rPr>
                <w:spacing w:val="-2"/>
                <w:sz w:val="22"/>
              </w:rPr>
              <w:t>laboratory</w:t>
            </w:r>
            <w:r>
              <w:rPr>
                <w:spacing w:val="-13"/>
                <w:sz w:val="22"/>
              </w:rPr>
              <w:t> </w:t>
            </w:r>
            <w:r>
              <w:rPr>
                <w:spacing w:val="-2"/>
                <w:sz w:val="22"/>
              </w:rPr>
              <w:t>adjacencies</w:t>
            </w:r>
            <w:r>
              <w:rPr>
                <w:spacing w:val="-14"/>
                <w:sz w:val="22"/>
              </w:rPr>
              <w:t> </w:t>
            </w:r>
            <w:r>
              <w:rPr>
                <w:spacing w:val="-2"/>
                <w:sz w:val="22"/>
              </w:rPr>
              <w:t>and </w:t>
            </w:r>
            <w:r>
              <w:rPr>
                <w:sz w:val="22"/>
              </w:rPr>
              <w:t>flow.</w:t>
            </w:r>
            <w:r>
              <w:rPr>
                <w:spacing w:val="-16"/>
                <w:sz w:val="22"/>
              </w:rPr>
              <w:t> </w:t>
            </w:r>
            <w:r>
              <w:rPr>
                <w:sz w:val="22"/>
              </w:rPr>
              <w:t>This</w:t>
            </w:r>
            <w:r>
              <w:rPr>
                <w:spacing w:val="-13"/>
                <w:sz w:val="22"/>
              </w:rPr>
              <w:t> </w:t>
            </w:r>
            <w:r>
              <w:rPr>
                <w:sz w:val="22"/>
              </w:rPr>
              <w:t>took</w:t>
            </w:r>
            <w:r>
              <w:rPr>
                <w:spacing w:val="-12"/>
                <w:sz w:val="22"/>
              </w:rPr>
              <w:t> </w:t>
            </w:r>
            <w:r>
              <w:rPr>
                <w:sz w:val="22"/>
              </w:rPr>
              <w:t>place</w:t>
            </w:r>
            <w:r>
              <w:rPr>
                <w:spacing w:val="-10"/>
                <w:sz w:val="22"/>
              </w:rPr>
              <w:t> </w:t>
            </w:r>
            <w:r>
              <w:rPr>
                <w:sz w:val="22"/>
              </w:rPr>
              <w:t>on</w:t>
            </w:r>
            <w:r>
              <w:rPr>
                <w:spacing w:val="-10"/>
                <w:sz w:val="22"/>
              </w:rPr>
              <w:t> </w:t>
            </w:r>
            <w:r>
              <w:rPr>
                <w:sz w:val="22"/>
              </w:rPr>
              <w:t>two</w:t>
            </w:r>
            <w:r>
              <w:rPr>
                <w:spacing w:val="-10"/>
                <w:sz w:val="22"/>
              </w:rPr>
              <w:t> </w:t>
            </w:r>
            <w:r>
              <w:rPr>
                <w:sz w:val="22"/>
              </w:rPr>
              <w:t>consecutive</w:t>
            </w:r>
            <w:r>
              <w:rPr>
                <w:spacing w:val="-10"/>
                <w:sz w:val="22"/>
              </w:rPr>
              <w:t> </w:t>
            </w:r>
            <w:r>
              <w:rPr>
                <w:sz w:val="22"/>
              </w:rPr>
              <w:t>site</w:t>
            </w:r>
            <w:r>
              <w:rPr>
                <w:spacing w:val="-10"/>
                <w:sz w:val="22"/>
              </w:rPr>
              <w:t> </w:t>
            </w:r>
            <w:r>
              <w:rPr>
                <w:sz w:val="22"/>
              </w:rPr>
              <w:t>visits</w:t>
            </w:r>
            <w:r>
              <w:rPr>
                <w:spacing w:val="-16"/>
                <w:sz w:val="22"/>
              </w:rPr>
              <w:t> </w:t>
            </w:r>
            <w:r>
              <w:rPr>
                <w:sz w:val="22"/>
              </w:rPr>
              <w:t>and</w:t>
            </w:r>
            <w:r>
              <w:rPr>
                <w:spacing w:val="-13"/>
                <w:sz w:val="22"/>
              </w:rPr>
              <w:t> </w:t>
            </w:r>
            <w:r>
              <w:rPr>
                <w:sz w:val="22"/>
              </w:rPr>
              <w:t>follow</w:t>
            </w:r>
            <w:r>
              <w:rPr>
                <w:spacing w:val="-11"/>
                <w:sz w:val="22"/>
              </w:rPr>
              <w:t> </w:t>
            </w:r>
            <w:r>
              <w:rPr>
                <w:sz w:val="22"/>
              </w:rPr>
              <w:t>up</w:t>
            </w:r>
            <w:r>
              <w:rPr>
                <w:spacing w:val="-14"/>
                <w:sz w:val="22"/>
              </w:rPr>
              <w:t> </w:t>
            </w:r>
            <w:r>
              <w:rPr>
                <w:sz w:val="22"/>
              </w:rPr>
              <w:t>meeting</w:t>
            </w:r>
            <w:r>
              <w:rPr>
                <w:spacing w:val="-16"/>
                <w:sz w:val="22"/>
              </w:rPr>
              <w:t> </w:t>
            </w:r>
            <w:r>
              <w:rPr>
                <w:sz w:val="22"/>
              </w:rPr>
              <w:t>at</w:t>
            </w:r>
            <w:r>
              <w:rPr>
                <w:spacing w:val="-13"/>
                <w:sz w:val="22"/>
              </w:rPr>
              <w:t> </w:t>
            </w:r>
            <w:r>
              <w:rPr>
                <w:sz w:val="22"/>
              </w:rPr>
              <w:t>Morriston</w:t>
            </w:r>
            <w:r>
              <w:rPr>
                <w:spacing w:val="-14"/>
                <w:sz w:val="22"/>
              </w:rPr>
              <w:t> </w:t>
            </w:r>
            <w:r>
              <w:rPr>
                <w:sz w:val="22"/>
              </w:rPr>
              <w:t>hospital.</w:t>
            </w:r>
          </w:p>
          <w:p>
            <w:pPr>
              <w:pStyle w:val="TableParagraph"/>
              <w:spacing w:line="276" w:lineRule="auto" w:before="98"/>
              <w:ind w:left="120"/>
              <w:rPr>
                <w:sz w:val="22"/>
              </w:rPr>
            </w:pPr>
            <w:r>
              <w:rPr>
                <w:spacing w:val="-2"/>
                <w:sz w:val="22"/>
              </w:rPr>
              <w:t>A</w:t>
            </w:r>
            <w:r>
              <w:rPr>
                <w:spacing w:val="-14"/>
                <w:sz w:val="22"/>
              </w:rPr>
              <w:t> </w:t>
            </w:r>
            <w:r>
              <w:rPr>
                <w:spacing w:val="-2"/>
                <w:sz w:val="22"/>
              </w:rPr>
              <w:t>wider</w:t>
            </w:r>
            <w:r>
              <w:rPr>
                <w:spacing w:val="-12"/>
                <w:sz w:val="22"/>
              </w:rPr>
              <w:t> </w:t>
            </w:r>
            <w:r>
              <w:rPr>
                <w:spacing w:val="-2"/>
                <w:sz w:val="22"/>
              </w:rPr>
              <w:t>staff</w:t>
            </w:r>
            <w:r>
              <w:rPr>
                <w:spacing w:val="-12"/>
                <w:sz w:val="22"/>
              </w:rPr>
              <w:t> </w:t>
            </w:r>
            <w:r>
              <w:rPr>
                <w:spacing w:val="-2"/>
                <w:sz w:val="22"/>
              </w:rPr>
              <w:t>engagement</w:t>
            </w:r>
            <w:r>
              <w:rPr>
                <w:spacing w:val="-13"/>
                <w:sz w:val="22"/>
              </w:rPr>
              <w:t> </w:t>
            </w:r>
            <w:r>
              <w:rPr>
                <w:spacing w:val="-2"/>
                <w:sz w:val="22"/>
              </w:rPr>
              <w:t>session</w:t>
            </w:r>
            <w:r>
              <w:rPr>
                <w:spacing w:val="-9"/>
                <w:sz w:val="22"/>
              </w:rPr>
              <w:t> </w:t>
            </w:r>
            <w:r>
              <w:rPr>
                <w:spacing w:val="-2"/>
                <w:sz w:val="22"/>
              </w:rPr>
              <w:t>is</w:t>
            </w:r>
            <w:r>
              <w:rPr>
                <w:spacing w:val="-12"/>
                <w:sz w:val="22"/>
              </w:rPr>
              <w:t> </w:t>
            </w:r>
            <w:r>
              <w:rPr>
                <w:spacing w:val="-2"/>
                <w:sz w:val="22"/>
              </w:rPr>
              <w:t>scheduled</w:t>
            </w:r>
            <w:r>
              <w:rPr>
                <w:spacing w:val="-14"/>
                <w:sz w:val="22"/>
              </w:rPr>
              <w:t> </w:t>
            </w:r>
            <w:r>
              <w:rPr>
                <w:spacing w:val="-2"/>
                <w:sz w:val="22"/>
              </w:rPr>
              <w:t>for</w:t>
            </w:r>
            <w:r>
              <w:rPr>
                <w:spacing w:val="-9"/>
                <w:sz w:val="22"/>
              </w:rPr>
              <w:t> </w:t>
            </w:r>
            <w:r>
              <w:rPr>
                <w:spacing w:val="-2"/>
                <w:sz w:val="22"/>
              </w:rPr>
              <w:t>6</w:t>
            </w:r>
            <w:r>
              <w:rPr>
                <w:spacing w:val="-4"/>
                <w:sz w:val="22"/>
              </w:rPr>
              <w:t> </w:t>
            </w:r>
            <w:r>
              <w:rPr>
                <w:spacing w:val="-2"/>
                <w:sz w:val="22"/>
              </w:rPr>
              <w:t>October</w:t>
            </w:r>
            <w:r>
              <w:rPr>
                <w:spacing w:val="-14"/>
                <w:sz w:val="22"/>
              </w:rPr>
              <w:t> </w:t>
            </w:r>
            <w:r>
              <w:rPr>
                <w:spacing w:val="-2"/>
                <w:sz w:val="22"/>
              </w:rPr>
              <w:t>2026,</w:t>
            </w:r>
            <w:r>
              <w:rPr>
                <w:spacing w:val="-12"/>
                <w:sz w:val="22"/>
              </w:rPr>
              <w:t> </w:t>
            </w:r>
            <w:r>
              <w:rPr>
                <w:spacing w:val="-2"/>
                <w:sz w:val="22"/>
              </w:rPr>
              <w:t>during</w:t>
            </w:r>
            <w:r>
              <w:rPr>
                <w:spacing w:val="-14"/>
                <w:sz w:val="22"/>
              </w:rPr>
              <w:t> </w:t>
            </w:r>
            <w:r>
              <w:rPr>
                <w:spacing w:val="-2"/>
                <w:sz w:val="22"/>
              </w:rPr>
              <w:t>which</w:t>
            </w:r>
            <w:r>
              <w:rPr>
                <w:spacing w:val="-13"/>
                <w:sz w:val="22"/>
              </w:rPr>
              <w:t> </w:t>
            </w:r>
            <w:r>
              <w:rPr>
                <w:spacing w:val="-2"/>
                <w:sz w:val="22"/>
              </w:rPr>
              <w:t>programme</w:t>
            </w:r>
            <w:r>
              <w:rPr>
                <w:spacing w:val="-9"/>
                <w:sz w:val="22"/>
              </w:rPr>
              <w:t> </w:t>
            </w:r>
            <w:r>
              <w:rPr>
                <w:spacing w:val="-2"/>
                <w:sz w:val="22"/>
              </w:rPr>
              <w:t>leads</w:t>
            </w:r>
            <w:r>
              <w:rPr>
                <w:spacing w:val="-14"/>
                <w:sz w:val="22"/>
              </w:rPr>
              <w:t> </w:t>
            </w:r>
            <w:r>
              <w:rPr>
                <w:spacing w:val="-2"/>
                <w:sz w:val="22"/>
              </w:rPr>
              <w:t>will </w:t>
            </w:r>
            <w:r>
              <w:rPr>
                <w:sz w:val="22"/>
              </w:rPr>
              <w:t>provide</w:t>
            </w:r>
            <w:r>
              <w:rPr>
                <w:spacing w:val="-16"/>
                <w:sz w:val="22"/>
              </w:rPr>
              <w:t> </w:t>
            </w:r>
            <w:r>
              <w:rPr>
                <w:sz w:val="22"/>
              </w:rPr>
              <w:t>an</w:t>
            </w:r>
            <w:r>
              <w:rPr>
                <w:spacing w:val="-14"/>
                <w:sz w:val="22"/>
              </w:rPr>
              <w:t> </w:t>
            </w:r>
            <w:r>
              <w:rPr>
                <w:sz w:val="22"/>
              </w:rPr>
              <w:t>overview</w:t>
            </w:r>
            <w:r>
              <w:rPr>
                <w:spacing w:val="-11"/>
                <w:sz w:val="22"/>
              </w:rPr>
              <w:t> </w:t>
            </w:r>
            <w:r>
              <w:rPr>
                <w:sz w:val="22"/>
              </w:rPr>
              <w:t>of</w:t>
            </w:r>
            <w:r>
              <w:rPr>
                <w:spacing w:val="-13"/>
                <w:sz w:val="22"/>
              </w:rPr>
              <w:t> </w:t>
            </w:r>
            <w:r>
              <w:rPr>
                <w:sz w:val="22"/>
              </w:rPr>
              <w:t>progress</w:t>
            </w:r>
            <w:r>
              <w:rPr>
                <w:spacing w:val="-12"/>
                <w:sz w:val="22"/>
              </w:rPr>
              <w:t> </w:t>
            </w:r>
            <w:r>
              <w:rPr>
                <w:sz w:val="22"/>
              </w:rPr>
              <w:t>since</w:t>
            </w:r>
            <w:r>
              <w:rPr>
                <w:spacing w:val="-10"/>
                <w:sz w:val="22"/>
              </w:rPr>
              <w:t> </w:t>
            </w:r>
            <w:r>
              <w:rPr>
                <w:sz w:val="22"/>
              </w:rPr>
              <w:t>Board</w:t>
            </w:r>
            <w:r>
              <w:rPr>
                <w:spacing w:val="-14"/>
                <w:sz w:val="22"/>
              </w:rPr>
              <w:t> </w:t>
            </w:r>
            <w:r>
              <w:rPr>
                <w:sz w:val="22"/>
              </w:rPr>
              <w:t>endorsement</w:t>
            </w:r>
            <w:r>
              <w:rPr>
                <w:spacing w:val="-16"/>
                <w:sz w:val="22"/>
              </w:rPr>
              <w:t> </w:t>
            </w:r>
            <w:r>
              <w:rPr>
                <w:sz w:val="22"/>
              </w:rPr>
              <w:t>in</w:t>
            </w:r>
            <w:r>
              <w:rPr>
                <w:spacing w:val="-9"/>
                <w:sz w:val="22"/>
              </w:rPr>
              <w:t> </w:t>
            </w:r>
            <w:r>
              <w:rPr>
                <w:sz w:val="22"/>
              </w:rPr>
              <w:t>February</w:t>
            </w:r>
            <w:r>
              <w:rPr>
                <w:spacing w:val="-12"/>
                <w:sz w:val="22"/>
              </w:rPr>
              <w:t> </w:t>
            </w:r>
            <w:r>
              <w:rPr>
                <w:sz w:val="22"/>
              </w:rPr>
              <w:t>2026,</w:t>
            </w:r>
            <w:r>
              <w:rPr>
                <w:spacing w:val="-13"/>
                <w:sz w:val="22"/>
              </w:rPr>
              <w:t> </w:t>
            </w:r>
            <w:r>
              <w:rPr>
                <w:sz w:val="22"/>
              </w:rPr>
              <w:t>share</w:t>
            </w:r>
            <w:r>
              <w:rPr>
                <w:spacing w:val="-14"/>
                <w:sz w:val="22"/>
              </w:rPr>
              <w:t> </w:t>
            </w:r>
            <w:r>
              <w:rPr>
                <w:sz w:val="22"/>
              </w:rPr>
              <w:t>emerging </w:t>
            </w:r>
            <w:r>
              <w:rPr>
                <w:spacing w:val="-2"/>
                <w:sz w:val="22"/>
              </w:rPr>
              <w:t>information regarding</w:t>
            </w:r>
            <w:r>
              <w:rPr>
                <w:spacing w:val="-4"/>
                <w:sz w:val="22"/>
              </w:rPr>
              <w:t> </w:t>
            </w:r>
            <w:r>
              <w:rPr>
                <w:spacing w:val="-2"/>
                <w:sz w:val="22"/>
              </w:rPr>
              <w:t>the proposed</w:t>
            </w:r>
            <w:r>
              <w:rPr>
                <w:spacing w:val="-4"/>
                <w:sz w:val="22"/>
              </w:rPr>
              <w:t> </w:t>
            </w:r>
            <w:r>
              <w:rPr>
                <w:spacing w:val="-2"/>
                <w:sz w:val="22"/>
              </w:rPr>
              <w:t>laboratory site,</w:t>
            </w:r>
            <w:r>
              <w:rPr>
                <w:spacing w:val="-3"/>
                <w:sz w:val="22"/>
              </w:rPr>
              <w:t> </w:t>
            </w:r>
            <w:r>
              <w:rPr>
                <w:spacing w:val="-2"/>
                <w:sz w:val="22"/>
              </w:rPr>
              <w:t>including</w:t>
            </w:r>
            <w:r>
              <w:rPr>
                <w:spacing w:val="-9"/>
                <w:sz w:val="22"/>
              </w:rPr>
              <w:t> </w:t>
            </w:r>
            <w:r>
              <w:rPr>
                <w:spacing w:val="-2"/>
                <w:sz w:val="22"/>
              </w:rPr>
              <w:t>external visualisations,</w:t>
            </w:r>
            <w:r>
              <w:rPr>
                <w:spacing w:val="-8"/>
                <w:sz w:val="22"/>
              </w:rPr>
              <w:t> </w:t>
            </w:r>
            <w:r>
              <w:rPr>
                <w:spacing w:val="-2"/>
                <w:sz w:val="22"/>
              </w:rPr>
              <w:t>and outline the </w:t>
            </w:r>
            <w:r>
              <w:rPr>
                <w:sz w:val="22"/>
              </w:rPr>
              <w:t>programme timeline through to FBC</w:t>
            </w:r>
            <w:r>
              <w:rPr>
                <w:spacing w:val="-1"/>
                <w:sz w:val="22"/>
              </w:rPr>
              <w:t> </w:t>
            </w:r>
            <w:r>
              <w:rPr>
                <w:sz w:val="22"/>
              </w:rPr>
              <w:t>submission.</w:t>
            </w:r>
          </w:p>
        </w:tc>
      </w:tr>
    </w:tbl>
    <w:p>
      <w:pPr>
        <w:spacing w:before="51"/>
        <w:ind w:left="657" w:right="228" w:firstLine="0"/>
        <w:jc w:val="center"/>
        <w:rPr>
          <w:sz w:val="16"/>
        </w:rPr>
      </w:pPr>
      <w:r>
        <w:rPr>
          <w:spacing w:val="-2"/>
          <w:sz w:val="16"/>
        </w:rPr>
        <w:t>Page</w:t>
      </w:r>
      <w:r>
        <w:rPr>
          <w:spacing w:val="-7"/>
          <w:sz w:val="16"/>
        </w:rPr>
        <w:t> </w:t>
      </w:r>
      <w:r>
        <w:rPr>
          <w:spacing w:val="-2"/>
          <w:sz w:val="16"/>
        </w:rPr>
        <w:t>8</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tabs>
          <w:tab w:pos="7157" w:val="left" w:leader="none"/>
        </w:tabs>
        <w:spacing w:line="240" w:lineRule="auto"/>
        <w:ind w:left="602" w:right="0" w:firstLine="0"/>
        <w:rPr>
          <w:sz w:val="20"/>
        </w:rPr>
      </w:pPr>
      <w:r>
        <w:rPr>
          <w:sz w:val="20"/>
        </w:rPr>
        <w:drawing>
          <wp:inline distT="0" distB="0" distL="0" distR="0">
            <wp:extent cx="2461004" cy="536543"/>
            <wp:effectExtent l="0" t="0" r="0" b="0"/>
            <wp:docPr id="347" name="Image 347"/>
            <wp:cNvGraphicFramePr>
              <a:graphicFrameLocks/>
            </wp:cNvGraphicFramePr>
            <a:graphic>
              <a:graphicData uri="http://schemas.openxmlformats.org/drawingml/2006/picture">
                <pic:pic>
                  <pic:nvPicPr>
                    <pic:cNvPr id="347" name="Image 347"/>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348" name="Image 348"/>
            <wp:cNvGraphicFramePr>
              <a:graphicFrameLocks/>
            </wp:cNvGraphicFramePr>
            <a:graphic>
              <a:graphicData uri="http://schemas.openxmlformats.org/drawingml/2006/picture">
                <pic:pic>
                  <pic:nvPicPr>
                    <pic:cNvPr id="348" name="Image 348"/>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170" w:hRule="atLeast"/>
        </w:trPr>
        <w:tc>
          <w:tcPr>
            <w:tcW w:w="10069" w:type="dxa"/>
          </w:tcPr>
          <w:p>
            <w:pPr>
              <w:pStyle w:val="TableParagraph"/>
              <w:spacing w:line="276" w:lineRule="auto" w:before="98"/>
              <w:ind w:left="120" w:right="212"/>
              <w:rPr>
                <w:sz w:val="22"/>
              </w:rPr>
            </w:pPr>
            <w:r>
              <w:rPr>
                <w:spacing w:val="-2"/>
                <w:sz w:val="22"/>
              </w:rPr>
              <w:t>Feedback</w:t>
            </w:r>
            <w:r>
              <w:rPr>
                <w:spacing w:val="-14"/>
                <w:sz w:val="22"/>
              </w:rPr>
              <w:t> </w:t>
            </w:r>
            <w:r>
              <w:rPr>
                <w:spacing w:val="-2"/>
                <w:sz w:val="22"/>
              </w:rPr>
              <w:t>received</w:t>
            </w:r>
            <w:r>
              <w:rPr>
                <w:spacing w:val="-13"/>
                <w:sz w:val="22"/>
              </w:rPr>
              <w:t> </w:t>
            </w:r>
            <w:r>
              <w:rPr>
                <w:spacing w:val="-2"/>
                <w:sz w:val="22"/>
              </w:rPr>
              <w:t>through</w:t>
            </w:r>
            <w:r>
              <w:rPr>
                <w:spacing w:val="-13"/>
                <w:sz w:val="22"/>
              </w:rPr>
              <w:t> </w:t>
            </w:r>
            <w:r>
              <w:rPr>
                <w:spacing w:val="-2"/>
                <w:sz w:val="22"/>
              </w:rPr>
              <w:t>this</w:t>
            </w:r>
            <w:r>
              <w:rPr>
                <w:spacing w:val="-13"/>
                <w:sz w:val="22"/>
              </w:rPr>
              <w:t> </w:t>
            </w:r>
            <w:r>
              <w:rPr>
                <w:spacing w:val="-2"/>
                <w:sz w:val="22"/>
              </w:rPr>
              <w:t>and</w:t>
            </w:r>
            <w:r>
              <w:rPr>
                <w:spacing w:val="-14"/>
                <w:sz w:val="22"/>
              </w:rPr>
              <w:t> </w:t>
            </w:r>
            <w:r>
              <w:rPr>
                <w:spacing w:val="-2"/>
                <w:sz w:val="22"/>
              </w:rPr>
              <w:t>subsequent</w:t>
            </w:r>
            <w:r>
              <w:rPr>
                <w:spacing w:val="-13"/>
                <w:sz w:val="22"/>
              </w:rPr>
              <w:t> </w:t>
            </w:r>
            <w:r>
              <w:rPr>
                <w:spacing w:val="-2"/>
                <w:sz w:val="22"/>
              </w:rPr>
              <w:t>engagement</w:t>
            </w:r>
            <w:r>
              <w:rPr>
                <w:spacing w:val="-13"/>
                <w:sz w:val="22"/>
              </w:rPr>
              <w:t> </w:t>
            </w:r>
            <w:r>
              <w:rPr>
                <w:spacing w:val="-2"/>
                <w:sz w:val="22"/>
              </w:rPr>
              <w:t>activity</w:t>
            </w:r>
            <w:r>
              <w:rPr>
                <w:spacing w:val="-13"/>
                <w:sz w:val="22"/>
              </w:rPr>
              <w:t> </w:t>
            </w:r>
            <w:r>
              <w:rPr>
                <w:spacing w:val="-2"/>
                <w:sz w:val="22"/>
              </w:rPr>
              <w:t>will</w:t>
            </w:r>
            <w:r>
              <w:rPr>
                <w:spacing w:val="-14"/>
                <w:sz w:val="22"/>
              </w:rPr>
              <w:t> </w:t>
            </w:r>
            <w:r>
              <w:rPr>
                <w:spacing w:val="-2"/>
                <w:sz w:val="22"/>
              </w:rPr>
              <w:t>be</w:t>
            </w:r>
            <w:r>
              <w:rPr>
                <w:spacing w:val="-9"/>
                <w:sz w:val="22"/>
              </w:rPr>
              <w:t> </w:t>
            </w:r>
            <w:r>
              <w:rPr>
                <w:spacing w:val="-2"/>
                <w:sz w:val="22"/>
              </w:rPr>
              <w:t>used</w:t>
            </w:r>
            <w:r>
              <w:rPr>
                <w:spacing w:val="-10"/>
                <w:sz w:val="22"/>
              </w:rPr>
              <w:t> </w:t>
            </w:r>
            <w:r>
              <w:rPr>
                <w:spacing w:val="-2"/>
                <w:sz w:val="22"/>
              </w:rPr>
              <w:t>to</w:t>
            </w:r>
            <w:r>
              <w:rPr>
                <w:spacing w:val="-10"/>
                <w:sz w:val="22"/>
              </w:rPr>
              <w:t> </w:t>
            </w:r>
            <w:r>
              <w:rPr>
                <w:spacing w:val="-2"/>
                <w:sz w:val="22"/>
              </w:rPr>
              <w:t>shape</w:t>
            </w:r>
            <w:r>
              <w:rPr>
                <w:spacing w:val="-14"/>
                <w:sz w:val="22"/>
              </w:rPr>
              <w:t> </w:t>
            </w:r>
            <w:r>
              <w:rPr>
                <w:spacing w:val="-2"/>
                <w:sz w:val="22"/>
              </w:rPr>
              <w:t>and</w:t>
            </w:r>
            <w:r>
              <w:rPr>
                <w:spacing w:val="-13"/>
                <w:sz w:val="22"/>
              </w:rPr>
              <w:t> </w:t>
            </w:r>
            <w:r>
              <w:rPr>
                <w:spacing w:val="-2"/>
                <w:sz w:val="22"/>
              </w:rPr>
              <w:t>inform </w:t>
            </w:r>
            <w:r>
              <w:rPr>
                <w:sz w:val="22"/>
              </w:rPr>
              <w:t>the</w:t>
            </w:r>
            <w:r>
              <w:rPr>
                <w:spacing w:val="-16"/>
                <w:sz w:val="22"/>
              </w:rPr>
              <w:t> </w:t>
            </w:r>
            <w:r>
              <w:rPr>
                <w:sz w:val="22"/>
              </w:rPr>
              <w:t>ongoing</w:t>
            </w:r>
            <w:r>
              <w:rPr>
                <w:spacing w:val="-15"/>
                <w:sz w:val="22"/>
              </w:rPr>
              <w:t> </w:t>
            </w:r>
            <w:r>
              <w:rPr>
                <w:sz w:val="22"/>
              </w:rPr>
              <w:t>communications</w:t>
            </w:r>
            <w:r>
              <w:rPr>
                <w:spacing w:val="-15"/>
                <w:sz w:val="22"/>
              </w:rPr>
              <w:t> </w:t>
            </w:r>
            <w:r>
              <w:rPr>
                <w:sz w:val="22"/>
              </w:rPr>
              <w:t>and</w:t>
            </w:r>
            <w:r>
              <w:rPr>
                <w:spacing w:val="-16"/>
                <w:sz w:val="22"/>
              </w:rPr>
              <w:t> </w:t>
            </w:r>
            <w:r>
              <w:rPr>
                <w:sz w:val="22"/>
              </w:rPr>
              <w:t>engagement</w:t>
            </w:r>
            <w:r>
              <w:rPr>
                <w:spacing w:val="-15"/>
                <w:sz w:val="22"/>
              </w:rPr>
              <w:t> </w:t>
            </w:r>
            <w:r>
              <w:rPr>
                <w:sz w:val="22"/>
              </w:rPr>
              <w:t>programme,</w:t>
            </w:r>
            <w:r>
              <w:rPr>
                <w:spacing w:val="-15"/>
                <w:sz w:val="22"/>
              </w:rPr>
              <w:t> </w:t>
            </w:r>
            <w:r>
              <w:rPr>
                <w:sz w:val="22"/>
              </w:rPr>
              <w:t>ensuring</w:t>
            </w:r>
            <w:r>
              <w:rPr>
                <w:spacing w:val="-15"/>
                <w:sz w:val="22"/>
              </w:rPr>
              <w:t> </w:t>
            </w:r>
            <w:r>
              <w:rPr>
                <w:sz w:val="22"/>
              </w:rPr>
              <w:t>that</w:t>
            </w:r>
            <w:r>
              <w:rPr>
                <w:spacing w:val="-16"/>
                <w:sz w:val="22"/>
              </w:rPr>
              <w:t> </w:t>
            </w:r>
            <w:r>
              <w:rPr>
                <w:sz w:val="22"/>
              </w:rPr>
              <w:t>staff</w:t>
            </w:r>
            <w:r>
              <w:rPr>
                <w:spacing w:val="-15"/>
                <w:sz w:val="22"/>
              </w:rPr>
              <w:t> </w:t>
            </w:r>
            <w:r>
              <w:rPr>
                <w:sz w:val="22"/>
              </w:rPr>
              <w:t>perspectives</w:t>
            </w:r>
            <w:r>
              <w:rPr>
                <w:spacing w:val="-15"/>
                <w:sz w:val="22"/>
              </w:rPr>
              <w:t> </w:t>
            </w:r>
            <w:r>
              <w:rPr>
                <w:sz w:val="22"/>
              </w:rPr>
              <w:t>are appropriately</w:t>
            </w:r>
            <w:r>
              <w:rPr>
                <w:spacing w:val="-6"/>
                <w:sz w:val="22"/>
              </w:rPr>
              <w:t> </w:t>
            </w:r>
            <w:r>
              <w:rPr>
                <w:sz w:val="22"/>
              </w:rPr>
              <w:t>considered</w:t>
            </w:r>
            <w:r>
              <w:rPr>
                <w:spacing w:val="-8"/>
                <w:sz w:val="22"/>
              </w:rPr>
              <w:t> </w:t>
            </w:r>
            <w:r>
              <w:rPr>
                <w:sz w:val="22"/>
              </w:rPr>
              <w:t>as</w:t>
            </w:r>
            <w:r>
              <w:rPr>
                <w:spacing w:val="-1"/>
                <w:sz w:val="22"/>
              </w:rPr>
              <w:t> </w:t>
            </w:r>
            <w:r>
              <w:rPr>
                <w:sz w:val="22"/>
              </w:rPr>
              <w:t>the</w:t>
            </w:r>
            <w:r>
              <w:rPr>
                <w:spacing w:val="-8"/>
                <w:sz w:val="22"/>
              </w:rPr>
              <w:t> </w:t>
            </w:r>
            <w:r>
              <w:rPr>
                <w:sz w:val="22"/>
              </w:rPr>
              <w:t>programme</w:t>
            </w:r>
            <w:r>
              <w:rPr>
                <w:spacing w:val="-8"/>
                <w:sz w:val="22"/>
              </w:rPr>
              <w:t> </w:t>
            </w:r>
            <w:r>
              <w:rPr>
                <w:sz w:val="22"/>
              </w:rPr>
              <w:t>progresses.</w:t>
            </w:r>
          </w:p>
        </w:tc>
      </w:tr>
      <w:tr>
        <w:trPr>
          <w:trHeight w:val="3531" w:hRule="atLeast"/>
        </w:trPr>
        <w:tc>
          <w:tcPr>
            <w:tcW w:w="10069" w:type="dxa"/>
          </w:tcPr>
          <w:p>
            <w:pPr>
              <w:pStyle w:val="TableParagraph"/>
              <w:spacing w:before="99"/>
              <w:ind w:left="120"/>
              <w:rPr>
                <w:b/>
                <w:sz w:val="22"/>
              </w:rPr>
            </w:pPr>
            <w:r>
              <w:rPr>
                <w:b/>
                <w:color w:val="394871"/>
                <w:spacing w:val="-4"/>
                <w:sz w:val="22"/>
              </w:rPr>
              <w:t>Argymhelliad</w:t>
            </w:r>
            <w:r>
              <w:rPr>
                <w:b/>
                <w:color w:val="394871"/>
                <w:spacing w:val="-1"/>
                <w:sz w:val="22"/>
              </w:rPr>
              <w:t> </w:t>
            </w:r>
            <w:r>
              <w:rPr>
                <w:b/>
                <w:color w:val="394871"/>
                <w:spacing w:val="-4"/>
                <w:sz w:val="22"/>
              </w:rPr>
              <w:t>/</w:t>
            </w:r>
            <w:r>
              <w:rPr>
                <w:b/>
                <w:color w:val="394871"/>
                <w:spacing w:val="-2"/>
                <w:sz w:val="22"/>
              </w:rPr>
              <w:t> </w:t>
            </w:r>
            <w:r>
              <w:rPr>
                <w:b/>
                <w:color w:val="394871"/>
                <w:spacing w:val="-4"/>
                <w:sz w:val="22"/>
              </w:rPr>
              <w:t>Recommendation</w:t>
            </w:r>
          </w:p>
          <w:p>
            <w:pPr>
              <w:pStyle w:val="TableParagraph"/>
              <w:spacing w:before="79"/>
              <w:rPr>
                <w:sz w:val="22"/>
              </w:rPr>
            </w:pPr>
          </w:p>
          <w:p>
            <w:pPr>
              <w:pStyle w:val="TableParagraph"/>
              <w:ind w:left="120"/>
              <w:rPr>
                <w:sz w:val="22"/>
              </w:rPr>
            </w:pPr>
            <w:r>
              <w:rPr>
                <w:spacing w:val="-2"/>
                <w:sz w:val="22"/>
              </w:rPr>
              <w:t>The</w:t>
            </w:r>
            <w:r>
              <w:rPr>
                <w:spacing w:val="-16"/>
                <w:sz w:val="22"/>
              </w:rPr>
              <w:t> </w:t>
            </w:r>
            <w:r>
              <w:rPr>
                <w:spacing w:val="-2"/>
                <w:sz w:val="22"/>
              </w:rPr>
              <w:t>Regional</w:t>
            </w:r>
            <w:r>
              <w:rPr>
                <w:spacing w:val="-11"/>
                <w:sz w:val="22"/>
              </w:rPr>
              <w:t> </w:t>
            </w:r>
            <w:r>
              <w:rPr>
                <w:spacing w:val="-2"/>
                <w:sz w:val="22"/>
              </w:rPr>
              <w:t>Joint</w:t>
            </w:r>
            <w:r>
              <w:rPr>
                <w:spacing w:val="-13"/>
                <w:sz w:val="22"/>
              </w:rPr>
              <w:t> </w:t>
            </w:r>
            <w:r>
              <w:rPr>
                <w:spacing w:val="-2"/>
                <w:sz w:val="22"/>
              </w:rPr>
              <w:t>Committee</w:t>
            </w:r>
            <w:r>
              <w:rPr>
                <w:spacing w:val="-9"/>
                <w:sz w:val="22"/>
              </w:rPr>
              <w:t> </w:t>
            </w:r>
            <w:r>
              <w:rPr>
                <w:spacing w:val="-2"/>
                <w:sz w:val="22"/>
              </w:rPr>
              <w:t>is</w:t>
            </w:r>
            <w:r>
              <w:rPr>
                <w:spacing w:val="-12"/>
                <w:sz w:val="22"/>
              </w:rPr>
              <w:t> </w:t>
            </w:r>
            <w:r>
              <w:rPr>
                <w:spacing w:val="-2"/>
                <w:sz w:val="22"/>
              </w:rPr>
              <w:t>asked</w:t>
            </w:r>
            <w:r>
              <w:rPr>
                <w:spacing w:val="-9"/>
                <w:sz w:val="22"/>
              </w:rPr>
              <w:t> </w:t>
            </w:r>
            <w:r>
              <w:rPr>
                <w:spacing w:val="-5"/>
                <w:sz w:val="22"/>
              </w:rPr>
              <w:t>to:</w:t>
            </w:r>
          </w:p>
          <w:p>
            <w:pPr>
              <w:pStyle w:val="TableParagraph"/>
              <w:numPr>
                <w:ilvl w:val="0"/>
                <w:numId w:val="25"/>
              </w:numPr>
              <w:tabs>
                <w:tab w:pos="840" w:val="left" w:leader="none"/>
              </w:tabs>
              <w:spacing w:line="283" w:lineRule="auto" w:before="172" w:after="0"/>
              <w:ind w:left="840" w:right="669" w:hanging="361"/>
              <w:jc w:val="both"/>
              <w:rPr>
                <w:sz w:val="22"/>
              </w:rPr>
            </w:pPr>
            <w:r>
              <w:rPr>
                <w:b/>
                <w:sz w:val="22"/>
              </w:rPr>
              <w:t>TAKE</w:t>
            </w:r>
            <w:r>
              <w:rPr>
                <w:b/>
                <w:spacing w:val="-6"/>
                <w:sz w:val="22"/>
              </w:rPr>
              <w:t> </w:t>
            </w:r>
            <w:r>
              <w:rPr>
                <w:b/>
                <w:sz w:val="22"/>
              </w:rPr>
              <w:t>ASSURANCE</w:t>
            </w:r>
            <w:r>
              <w:rPr>
                <w:b/>
                <w:spacing w:val="-4"/>
                <w:sz w:val="22"/>
              </w:rPr>
              <w:t> </w:t>
            </w:r>
            <w:r>
              <w:rPr>
                <w:sz w:val="22"/>
              </w:rPr>
              <w:t>from</w:t>
            </w:r>
            <w:r>
              <w:rPr>
                <w:spacing w:val="-2"/>
                <w:sz w:val="22"/>
              </w:rPr>
              <w:t> </w:t>
            </w:r>
            <w:r>
              <w:rPr>
                <w:sz w:val="22"/>
              </w:rPr>
              <w:t>the</w:t>
            </w:r>
            <w:r>
              <w:rPr>
                <w:spacing w:val="-2"/>
                <w:sz w:val="22"/>
              </w:rPr>
              <w:t> </w:t>
            </w:r>
            <w:r>
              <w:rPr>
                <w:sz w:val="22"/>
              </w:rPr>
              <w:t>progress</w:t>
            </w:r>
            <w:r>
              <w:rPr>
                <w:spacing w:val="-5"/>
                <w:sz w:val="22"/>
              </w:rPr>
              <w:t> </w:t>
            </w:r>
            <w:r>
              <w:rPr>
                <w:sz w:val="22"/>
              </w:rPr>
              <w:t>made</w:t>
            </w:r>
            <w:r>
              <w:rPr>
                <w:spacing w:val="-2"/>
                <w:sz w:val="22"/>
              </w:rPr>
              <w:t> </w:t>
            </w:r>
            <w:r>
              <w:rPr>
                <w:sz w:val="22"/>
              </w:rPr>
              <w:t>in</w:t>
            </w:r>
            <w:r>
              <w:rPr>
                <w:spacing w:val="-2"/>
                <w:sz w:val="22"/>
              </w:rPr>
              <w:t> </w:t>
            </w:r>
            <w:r>
              <w:rPr>
                <w:sz w:val="22"/>
              </w:rPr>
              <w:t>developing</w:t>
            </w:r>
            <w:r>
              <w:rPr>
                <w:spacing w:val="-7"/>
                <w:sz w:val="22"/>
              </w:rPr>
              <w:t> </w:t>
            </w:r>
            <w:r>
              <w:rPr>
                <w:sz w:val="22"/>
              </w:rPr>
              <w:t>the</w:t>
            </w:r>
            <w:r>
              <w:rPr>
                <w:spacing w:val="-2"/>
                <w:sz w:val="22"/>
              </w:rPr>
              <w:t> </w:t>
            </w:r>
            <w:r>
              <w:rPr>
                <w:sz w:val="22"/>
              </w:rPr>
              <w:t>Full</w:t>
            </w:r>
            <w:r>
              <w:rPr>
                <w:spacing w:val="-4"/>
                <w:sz w:val="22"/>
              </w:rPr>
              <w:t> </w:t>
            </w:r>
            <w:r>
              <w:rPr>
                <w:sz w:val="22"/>
              </w:rPr>
              <w:t>Business</w:t>
            </w:r>
            <w:r>
              <w:rPr>
                <w:spacing w:val="-5"/>
                <w:sz w:val="22"/>
              </w:rPr>
              <w:t> </w:t>
            </w:r>
            <w:r>
              <w:rPr>
                <w:sz w:val="22"/>
              </w:rPr>
              <w:t>Case</w:t>
            </w:r>
            <w:r>
              <w:rPr>
                <w:spacing w:val="-2"/>
                <w:sz w:val="22"/>
              </w:rPr>
              <w:t> </w:t>
            </w:r>
            <w:r>
              <w:rPr>
                <w:sz w:val="22"/>
              </w:rPr>
              <w:t>and Regional</w:t>
            </w:r>
            <w:r>
              <w:rPr>
                <w:spacing w:val="-4"/>
                <w:sz w:val="22"/>
              </w:rPr>
              <w:t> </w:t>
            </w:r>
            <w:r>
              <w:rPr>
                <w:sz w:val="22"/>
              </w:rPr>
              <w:t>Cellular</w:t>
            </w:r>
            <w:r>
              <w:rPr>
                <w:spacing w:val="-3"/>
                <w:sz w:val="22"/>
              </w:rPr>
              <w:t> </w:t>
            </w:r>
            <w:r>
              <w:rPr>
                <w:sz w:val="22"/>
              </w:rPr>
              <w:t>Pathology</w:t>
            </w:r>
            <w:r>
              <w:rPr>
                <w:spacing w:val="-5"/>
                <w:sz w:val="22"/>
              </w:rPr>
              <w:t> </w:t>
            </w:r>
            <w:r>
              <w:rPr>
                <w:sz w:val="22"/>
              </w:rPr>
              <w:t>Programme</w:t>
            </w:r>
            <w:r>
              <w:rPr>
                <w:spacing w:val="-2"/>
                <w:sz w:val="22"/>
              </w:rPr>
              <w:t> </w:t>
            </w:r>
            <w:r>
              <w:rPr>
                <w:sz w:val="22"/>
              </w:rPr>
              <w:t>since</w:t>
            </w:r>
            <w:r>
              <w:rPr>
                <w:spacing w:val="-2"/>
                <w:sz w:val="22"/>
              </w:rPr>
              <w:t> </w:t>
            </w:r>
            <w:r>
              <w:rPr>
                <w:sz w:val="22"/>
              </w:rPr>
              <w:t>approval</w:t>
            </w:r>
            <w:r>
              <w:rPr>
                <w:spacing w:val="-9"/>
                <w:sz w:val="22"/>
              </w:rPr>
              <w:t> </w:t>
            </w:r>
            <w:r>
              <w:rPr>
                <w:sz w:val="22"/>
              </w:rPr>
              <w:t>of</w:t>
            </w:r>
            <w:r>
              <w:rPr>
                <w:spacing w:val="-6"/>
                <w:sz w:val="22"/>
              </w:rPr>
              <w:t> </w:t>
            </w:r>
            <w:r>
              <w:rPr>
                <w:sz w:val="22"/>
              </w:rPr>
              <w:t>the</w:t>
            </w:r>
            <w:r>
              <w:rPr>
                <w:spacing w:val="-2"/>
                <w:sz w:val="22"/>
              </w:rPr>
              <w:t> </w:t>
            </w:r>
            <w:r>
              <w:rPr>
                <w:sz w:val="22"/>
              </w:rPr>
              <w:t>preferred</w:t>
            </w:r>
            <w:r>
              <w:rPr>
                <w:spacing w:val="-2"/>
                <w:sz w:val="22"/>
              </w:rPr>
              <w:t> </w:t>
            </w:r>
            <w:r>
              <w:rPr>
                <w:sz w:val="22"/>
              </w:rPr>
              <w:t>site</w:t>
            </w:r>
            <w:r>
              <w:rPr>
                <w:spacing w:val="-2"/>
                <w:sz w:val="22"/>
              </w:rPr>
              <w:t> </w:t>
            </w:r>
            <w:r>
              <w:rPr>
                <w:sz w:val="22"/>
              </w:rPr>
              <w:t>in</w:t>
            </w:r>
            <w:r>
              <w:rPr>
                <w:spacing w:val="-2"/>
                <w:sz w:val="22"/>
              </w:rPr>
              <w:t> </w:t>
            </w:r>
            <w:r>
              <w:rPr>
                <w:sz w:val="22"/>
              </w:rPr>
              <w:t>February </w:t>
            </w:r>
            <w:r>
              <w:rPr>
                <w:spacing w:val="-2"/>
                <w:sz w:val="22"/>
              </w:rPr>
              <w:t>2026.</w:t>
            </w:r>
          </w:p>
          <w:p>
            <w:pPr>
              <w:pStyle w:val="TableParagraph"/>
              <w:numPr>
                <w:ilvl w:val="0"/>
                <w:numId w:val="25"/>
              </w:numPr>
              <w:tabs>
                <w:tab w:pos="840" w:val="left" w:leader="none"/>
              </w:tabs>
              <w:spacing w:line="255" w:lineRule="exact" w:before="0" w:after="0"/>
              <w:ind w:left="840" w:right="0" w:hanging="360"/>
              <w:jc w:val="left"/>
              <w:rPr>
                <w:sz w:val="22"/>
              </w:rPr>
            </w:pPr>
            <w:r>
              <w:rPr>
                <w:b/>
                <w:sz w:val="22"/>
              </w:rPr>
              <w:t>ACKNOWLEDGE</w:t>
            </w:r>
            <w:r>
              <w:rPr>
                <w:b/>
                <w:spacing w:val="-6"/>
                <w:sz w:val="22"/>
              </w:rPr>
              <w:t> </w:t>
            </w:r>
            <w:r>
              <w:rPr>
                <w:b/>
                <w:sz w:val="22"/>
              </w:rPr>
              <w:t>AND</w:t>
            </w:r>
            <w:r>
              <w:rPr>
                <w:b/>
                <w:spacing w:val="-4"/>
                <w:sz w:val="22"/>
              </w:rPr>
              <w:t> </w:t>
            </w:r>
            <w:r>
              <w:rPr>
                <w:b/>
                <w:sz w:val="22"/>
              </w:rPr>
              <w:t>DISCUSS</w:t>
            </w:r>
            <w:r>
              <w:rPr>
                <w:b/>
                <w:spacing w:val="-1"/>
                <w:sz w:val="22"/>
              </w:rPr>
              <w:t> </w:t>
            </w:r>
            <w:r>
              <w:rPr>
                <w:sz w:val="22"/>
              </w:rPr>
              <w:t>the</w:t>
            </w:r>
            <w:r>
              <w:rPr>
                <w:spacing w:val="-2"/>
                <w:sz w:val="22"/>
              </w:rPr>
              <w:t> </w:t>
            </w:r>
            <w:r>
              <w:rPr>
                <w:sz w:val="22"/>
              </w:rPr>
              <w:t>key</w:t>
            </w:r>
            <w:r>
              <w:rPr>
                <w:spacing w:val="-5"/>
                <w:sz w:val="22"/>
              </w:rPr>
              <w:t> </w:t>
            </w:r>
            <w:r>
              <w:rPr>
                <w:sz w:val="22"/>
              </w:rPr>
              <w:t>programme</w:t>
            </w:r>
            <w:r>
              <w:rPr>
                <w:spacing w:val="-2"/>
                <w:sz w:val="22"/>
              </w:rPr>
              <w:t> </w:t>
            </w:r>
            <w:r>
              <w:rPr>
                <w:sz w:val="22"/>
              </w:rPr>
              <w:t>risks,</w:t>
            </w:r>
            <w:r>
              <w:rPr>
                <w:spacing w:val="-5"/>
                <w:sz w:val="22"/>
              </w:rPr>
              <w:t> </w:t>
            </w:r>
            <w:r>
              <w:rPr>
                <w:sz w:val="22"/>
              </w:rPr>
              <w:t>dependencies</w:t>
            </w:r>
            <w:r>
              <w:rPr>
                <w:spacing w:val="-5"/>
                <w:sz w:val="22"/>
              </w:rPr>
              <w:t> </w:t>
            </w:r>
            <w:r>
              <w:rPr>
                <w:sz w:val="22"/>
              </w:rPr>
              <w:t>and</w:t>
            </w:r>
            <w:r>
              <w:rPr>
                <w:spacing w:val="-1"/>
                <w:sz w:val="22"/>
              </w:rPr>
              <w:t> </w:t>
            </w:r>
            <w:r>
              <w:rPr>
                <w:spacing w:val="-2"/>
                <w:sz w:val="22"/>
              </w:rPr>
              <w:t>mitigations</w:t>
            </w:r>
          </w:p>
          <w:p>
            <w:pPr>
              <w:pStyle w:val="TableParagraph"/>
              <w:numPr>
                <w:ilvl w:val="0"/>
                <w:numId w:val="25"/>
              </w:numPr>
              <w:tabs>
                <w:tab w:pos="840" w:val="left" w:leader="none"/>
              </w:tabs>
              <w:spacing w:line="280" w:lineRule="auto" w:before="30" w:after="0"/>
              <w:ind w:left="840" w:right="149" w:hanging="361"/>
              <w:jc w:val="left"/>
              <w:rPr>
                <w:sz w:val="22"/>
              </w:rPr>
            </w:pPr>
            <w:r>
              <w:rPr>
                <w:b/>
                <w:sz w:val="22"/>
              </w:rPr>
              <w:t>ENDORSE</w:t>
            </w:r>
            <w:r>
              <w:rPr>
                <w:b/>
                <w:spacing w:val="-6"/>
                <w:sz w:val="22"/>
              </w:rPr>
              <w:t> </w:t>
            </w:r>
            <w:r>
              <w:rPr>
                <w:sz w:val="22"/>
              </w:rPr>
              <w:t>the</w:t>
            </w:r>
            <w:r>
              <w:rPr>
                <w:spacing w:val="-3"/>
                <w:sz w:val="22"/>
              </w:rPr>
              <w:t> </w:t>
            </w:r>
            <w:r>
              <w:rPr>
                <w:sz w:val="22"/>
              </w:rPr>
              <w:t>continued</w:t>
            </w:r>
            <w:r>
              <w:rPr>
                <w:spacing w:val="-3"/>
                <w:sz w:val="22"/>
              </w:rPr>
              <w:t> </w:t>
            </w:r>
            <w:r>
              <w:rPr>
                <w:sz w:val="22"/>
              </w:rPr>
              <w:t>development</w:t>
            </w:r>
            <w:r>
              <w:rPr>
                <w:spacing w:val="-6"/>
                <w:sz w:val="22"/>
              </w:rPr>
              <w:t> </w:t>
            </w:r>
            <w:r>
              <w:rPr>
                <w:sz w:val="22"/>
              </w:rPr>
              <w:t>of</w:t>
            </w:r>
            <w:r>
              <w:rPr>
                <w:spacing w:val="-6"/>
                <w:sz w:val="22"/>
              </w:rPr>
              <w:t> </w:t>
            </w:r>
            <w:r>
              <w:rPr>
                <w:sz w:val="22"/>
              </w:rPr>
              <w:t>the</w:t>
            </w:r>
            <w:r>
              <w:rPr>
                <w:spacing w:val="-3"/>
                <w:sz w:val="22"/>
              </w:rPr>
              <w:t> </w:t>
            </w:r>
            <w:r>
              <w:rPr>
                <w:sz w:val="22"/>
              </w:rPr>
              <w:t>Full</w:t>
            </w:r>
            <w:r>
              <w:rPr>
                <w:spacing w:val="-5"/>
                <w:sz w:val="22"/>
              </w:rPr>
              <w:t> </w:t>
            </w:r>
            <w:r>
              <w:rPr>
                <w:sz w:val="22"/>
              </w:rPr>
              <w:t>Business</w:t>
            </w:r>
            <w:r>
              <w:rPr>
                <w:spacing w:val="-6"/>
                <w:sz w:val="22"/>
              </w:rPr>
              <w:t> </w:t>
            </w:r>
            <w:r>
              <w:rPr>
                <w:sz w:val="22"/>
              </w:rPr>
              <w:t>Case</w:t>
            </w:r>
            <w:r>
              <w:rPr>
                <w:spacing w:val="-3"/>
                <w:sz w:val="22"/>
              </w:rPr>
              <w:t> </w:t>
            </w:r>
            <w:r>
              <w:rPr>
                <w:sz w:val="22"/>
              </w:rPr>
              <w:t>and</w:t>
            </w:r>
            <w:r>
              <w:rPr>
                <w:spacing w:val="-7"/>
                <w:sz w:val="22"/>
              </w:rPr>
              <w:t> </w:t>
            </w:r>
            <w:r>
              <w:rPr>
                <w:sz w:val="22"/>
              </w:rPr>
              <w:t>associated</w:t>
            </w:r>
            <w:r>
              <w:rPr>
                <w:spacing w:val="-3"/>
                <w:sz w:val="22"/>
              </w:rPr>
              <w:t> </w:t>
            </w:r>
            <w:r>
              <w:rPr>
                <w:sz w:val="22"/>
              </w:rPr>
              <w:t>programme </w:t>
            </w:r>
            <w:r>
              <w:rPr>
                <w:spacing w:val="-2"/>
                <w:sz w:val="22"/>
              </w:rPr>
              <w:t>workstreams.</w:t>
            </w:r>
          </w:p>
          <w:p>
            <w:pPr>
              <w:pStyle w:val="TableParagraph"/>
              <w:numPr>
                <w:ilvl w:val="0"/>
                <w:numId w:val="25"/>
              </w:numPr>
              <w:tabs>
                <w:tab w:pos="840" w:val="left" w:leader="none"/>
              </w:tabs>
              <w:spacing w:line="258" w:lineRule="exact" w:before="0" w:after="0"/>
              <w:ind w:left="840" w:right="0" w:hanging="360"/>
              <w:jc w:val="left"/>
              <w:rPr>
                <w:sz w:val="22"/>
              </w:rPr>
            </w:pPr>
            <w:r>
              <w:rPr>
                <w:b/>
                <w:sz w:val="22"/>
              </w:rPr>
              <w:t>ENDORSE</w:t>
            </w:r>
            <w:r>
              <w:rPr>
                <w:b/>
                <w:spacing w:val="-5"/>
                <w:sz w:val="22"/>
              </w:rPr>
              <w:t> </w:t>
            </w:r>
            <w:r>
              <w:rPr>
                <w:sz w:val="22"/>
              </w:rPr>
              <w:t>a</w:t>
            </w:r>
            <w:r>
              <w:rPr>
                <w:spacing w:val="-1"/>
                <w:sz w:val="22"/>
              </w:rPr>
              <w:t> </w:t>
            </w:r>
            <w:r>
              <w:rPr>
                <w:sz w:val="22"/>
              </w:rPr>
              <w:t>further</w:t>
            </w:r>
            <w:r>
              <w:rPr>
                <w:spacing w:val="-7"/>
                <w:sz w:val="22"/>
              </w:rPr>
              <w:t> </w:t>
            </w:r>
            <w:r>
              <w:rPr>
                <w:sz w:val="22"/>
              </w:rPr>
              <w:t>update</w:t>
            </w:r>
            <w:r>
              <w:rPr>
                <w:spacing w:val="2"/>
                <w:sz w:val="22"/>
              </w:rPr>
              <w:t> </w:t>
            </w:r>
            <w:r>
              <w:rPr>
                <w:sz w:val="22"/>
              </w:rPr>
              <w:t>to</w:t>
            </w:r>
            <w:r>
              <w:rPr>
                <w:spacing w:val="-1"/>
                <w:sz w:val="22"/>
              </w:rPr>
              <w:t> </w:t>
            </w:r>
            <w:r>
              <w:rPr>
                <w:sz w:val="22"/>
              </w:rPr>
              <w:t>the</w:t>
            </w:r>
            <w:r>
              <w:rPr>
                <w:spacing w:val="-1"/>
                <w:sz w:val="22"/>
              </w:rPr>
              <w:t> </w:t>
            </w:r>
            <w:r>
              <w:rPr>
                <w:sz w:val="22"/>
              </w:rPr>
              <w:t>RJC</w:t>
            </w:r>
            <w:r>
              <w:rPr>
                <w:spacing w:val="-1"/>
                <w:sz w:val="22"/>
              </w:rPr>
              <w:t> </w:t>
            </w:r>
            <w:r>
              <w:rPr>
                <w:sz w:val="22"/>
              </w:rPr>
              <w:t>in</w:t>
            </w:r>
            <w:r>
              <w:rPr>
                <w:spacing w:val="-1"/>
                <w:sz w:val="22"/>
              </w:rPr>
              <w:t> </w:t>
            </w:r>
            <w:r>
              <w:rPr>
                <w:sz w:val="22"/>
              </w:rPr>
              <w:t>February</w:t>
            </w:r>
            <w:r>
              <w:rPr>
                <w:spacing w:val="-4"/>
                <w:sz w:val="22"/>
              </w:rPr>
              <w:t> </w:t>
            </w:r>
            <w:r>
              <w:rPr>
                <w:spacing w:val="-2"/>
                <w:sz w:val="22"/>
              </w:rPr>
              <w:t>2027.</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34"/>
        <w:rPr>
          <w:sz w:val="16"/>
        </w:rPr>
      </w:pPr>
    </w:p>
    <w:p>
      <w:pPr>
        <w:spacing w:before="0"/>
        <w:ind w:left="657" w:right="228" w:firstLine="0"/>
        <w:jc w:val="center"/>
        <w:rPr>
          <w:sz w:val="16"/>
        </w:rPr>
      </w:pPr>
      <w:r>
        <w:rPr>
          <w:spacing w:val="-2"/>
          <w:sz w:val="16"/>
        </w:rPr>
        <w:t>Page</w:t>
      </w:r>
      <w:r>
        <w:rPr>
          <w:spacing w:val="-7"/>
          <w:sz w:val="16"/>
        </w:rPr>
        <w:t> </w:t>
      </w:r>
      <w:r>
        <w:rPr>
          <w:spacing w:val="-2"/>
          <w:sz w:val="16"/>
        </w:rPr>
        <w:t>9</w:t>
      </w:r>
      <w:r>
        <w:rPr>
          <w:spacing w:val="-9"/>
          <w:sz w:val="16"/>
        </w:rPr>
        <w:t> </w:t>
      </w:r>
      <w:r>
        <w:rPr>
          <w:spacing w:val="-2"/>
          <w:sz w:val="16"/>
        </w:rPr>
        <w:t>of</w:t>
      </w:r>
      <w:r>
        <w:rPr>
          <w:spacing w:val="-9"/>
          <w:sz w:val="16"/>
        </w:rPr>
        <w:t> </w:t>
      </w:r>
      <w:r>
        <w:rPr>
          <w:spacing w:val="-10"/>
          <w:sz w:val="16"/>
        </w:rPr>
        <w:t>9</w:t>
      </w:r>
    </w:p>
    <w:p>
      <w:pPr>
        <w:spacing w:after="0"/>
        <w:jc w:val="center"/>
        <w:rPr>
          <w:sz w:val="16"/>
        </w:rPr>
        <w:sectPr>
          <w:pgSz w:w="11910" w:h="16840"/>
          <w:pgMar w:header="0" w:footer="149" w:top="220" w:bottom="340" w:left="283" w:right="708"/>
        </w:sectPr>
      </w:pPr>
    </w:p>
    <w:p>
      <w:pPr>
        <w:pStyle w:val="Heading4"/>
        <w:ind w:right="722"/>
        <w:jc w:val="right"/>
      </w:pPr>
      <w:r>
        <w:rPr/>
        <mc:AlternateContent>
          <mc:Choice Requires="wps">
            <w:drawing>
              <wp:anchor distT="0" distB="0" distL="0" distR="0" allowOverlap="1" layoutInCell="1" locked="0" behindDoc="0" simplePos="0" relativeHeight="15782400">
                <wp:simplePos x="0" y="0"/>
                <wp:positionH relativeFrom="page">
                  <wp:posOffset>933767</wp:posOffset>
                </wp:positionH>
                <wp:positionV relativeFrom="paragraph">
                  <wp:posOffset>54292</wp:posOffset>
                </wp:positionV>
                <wp:extent cx="457834" cy="464184"/>
                <wp:effectExtent l="0" t="0" r="0" b="0"/>
                <wp:wrapNone/>
                <wp:docPr id="349" name="Group 349"/>
                <wp:cNvGraphicFramePr>
                  <a:graphicFrameLocks/>
                </wp:cNvGraphicFramePr>
                <a:graphic>
                  <a:graphicData uri="http://schemas.microsoft.com/office/word/2010/wordprocessingGroup">
                    <wpg:wgp>
                      <wpg:cNvPr id="349" name="Group 349"/>
                      <wpg:cNvGrpSpPr/>
                      <wpg:grpSpPr>
                        <a:xfrm>
                          <a:off x="0" y="0"/>
                          <a:ext cx="457834" cy="464184"/>
                          <a:chExt cx="457834" cy="464184"/>
                        </a:xfrm>
                      </wpg:grpSpPr>
                      <wps:wsp>
                        <wps:cNvPr id="350" name="Graphic 350"/>
                        <wps:cNvSpPr/>
                        <wps:spPr>
                          <a:xfrm>
                            <a:off x="0" y="0"/>
                            <a:ext cx="457834" cy="464184"/>
                          </a:xfrm>
                          <a:custGeom>
                            <a:avLst/>
                            <a:gdLst/>
                            <a:ahLst/>
                            <a:cxnLst/>
                            <a:rect l="l" t="t" r="r" b="b"/>
                            <a:pathLst>
                              <a:path w="457834" h="464184">
                                <a:moveTo>
                                  <a:pt x="457517" y="0"/>
                                </a:moveTo>
                                <a:lnTo>
                                  <a:pt x="0" y="0"/>
                                </a:lnTo>
                                <a:lnTo>
                                  <a:pt x="0" y="463867"/>
                                </a:lnTo>
                                <a:lnTo>
                                  <a:pt x="457517" y="463867"/>
                                </a:lnTo>
                                <a:lnTo>
                                  <a:pt x="457517" y="0"/>
                                </a:lnTo>
                                <a:close/>
                              </a:path>
                            </a:pathLst>
                          </a:custGeom>
                          <a:solidFill>
                            <a:srgbClr val="000000"/>
                          </a:solidFill>
                        </wps:spPr>
                        <wps:bodyPr wrap="square" lIns="0" tIns="0" rIns="0" bIns="0" rtlCol="0">
                          <a:prstTxWarp prst="textNoShape">
                            <a:avLst/>
                          </a:prstTxWarp>
                          <a:noAutofit/>
                        </wps:bodyPr>
                      </wps:wsp>
                      <wps:wsp>
                        <wps:cNvPr id="351" name="Textbox 351"/>
                        <wps:cNvSpPr txBox="1"/>
                        <wps:spPr>
                          <a:xfrm>
                            <a:off x="0" y="0"/>
                            <a:ext cx="457834" cy="464184"/>
                          </a:xfrm>
                          <a:prstGeom prst="rect">
                            <a:avLst/>
                          </a:prstGeom>
                        </wps:spPr>
                        <wps:txbx>
                          <w:txbxContent>
                            <w:p>
                              <w:pPr>
                                <w:spacing w:before="122"/>
                                <w:ind w:left="0" w:right="0" w:firstLine="0"/>
                                <w:jc w:val="center"/>
                                <w:rPr>
                                  <w:sz w:val="36"/>
                                </w:rPr>
                              </w:pPr>
                              <w:r>
                                <w:rPr>
                                  <w:color w:val="FFFFFF"/>
                                  <w:spacing w:val="-10"/>
                                  <w:sz w:val="36"/>
                                </w:rPr>
                                <w:t>4</w:t>
                              </w:r>
                            </w:p>
                          </w:txbxContent>
                        </wps:txbx>
                        <wps:bodyPr wrap="square" lIns="0" tIns="0" rIns="0" bIns="0" rtlCol="0">
                          <a:noAutofit/>
                        </wps:bodyPr>
                      </wps:wsp>
                    </wpg:wgp>
                  </a:graphicData>
                </a:graphic>
              </wp:anchor>
            </w:drawing>
          </mc:Choice>
          <mc:Fallback>
            <w:pict>
              <v:group style="position:absolute;margin-left:73.525002pt;margin-top:4.275pt;width:36.050pt;height:36.550pt;mso-position-horizontal-relative:page;mso-position-vertical-relative:paragraph;z-index:15782400" id="docshapegroup178" coordorigin="1471,86" coordsize="721,731">
                <v:rect style="position:absolute;left:1470;top:85;width:721;height:731" id="docshape179" filled="true" fillcolor="#000000" stroked="false">
                  <v:fill type="solid"/>
                </v:rect>
                <v:shape style="position:absolute;left:1470;top:85;width:721;height:731" type="#_x0000_t202" id="docshape180" filled="false" stroked="false">
                  <v:textbox inset="0,0,0,0">
                    <w:txbxContent>
                      <w:p>
                        <w:pPr>
                          <w:spacing w:before="122"/>
                          <w:ind w:left="0" w:right="0" w:firstLine="0"/>
                          <w:jc w:val="center"/>
                          <w:rPr>
                            <w:sz w:val="36"/>
                          </w:rPr>
                        </w:pPr>
                        <w:r>
                          <w:rPr>
                            <w:color w:val="FFFFFF"/>
                            <w:spacing w:val="-10"/>
                            <w:sz w:val="36"/>
                          </w:rPr>
                          <w:t>4</w:t>
                        </w:r>
                      </w:p>
                    </w:txbxContent>
                  </v:textbox>
                  <w10:wrap type="none"/>
                </v:shape>
                <w10:wrap type="none"/>
              </v:group>
            </w:pict>
          </mc:Fallback>
        </mc:AlternateContent>
      </w:r>
      <w:r>
        <w:rPr/>
        <w:t>11:10</w:t>
      </w:r>
      <w:r>
        <w:rPr>
          <w:spacing w:val="-4"/>
        </w:rPr>
        <w:t> </w:t>
      </w:r>
      <w:r>
        <w:rPr/>
        <w:t>AM,</w:t>
      </w:r>
      <w:r>
        <w:rPr>
          <w:spacing w:val="1"/>
        </w:rPr>
        <w:t> </w:t>
      </w:r>
      <w:r>
        <w:rPr/>
        <w:t>10</w:t>
      </w:r>
      <w:r>
        <w:rPr>
          <w:spacing w:val="-6"/>
        </w:rPr>
        <w:t> </w:t>
      </w:r>
      <w:r>
        <w:rPr>
          <w:spacing w:val="-4"/>
        </w:rPr>
        <w:t>Mins</w:t>
      </w:r>
    </w:p>
    <w:p>
      <w:pPr>
        <w:pStyle w:val="BodyText"/>
        <w:rPr>
          <w:b/>
          <w:sz w:val="20"/>
        </w:rPr>
      </w:pPr>
    </w:p>
    <w:p>
      <w:pPr>
        <w:pStyle w:val="BodyText"/>
        <w:spacing w:before="36"/>
        <w:rPr>
          <w:b/>
          <w:sz w:val="20"/>
        </w:rPr>
      </w:pPr>
      <w:r>
        <w:rPr>
          <w:b/>
          <w:sz w:val="20"/>
        </w:rPr>
        <mc:AlternateContent>
          <mc:Choice Requires="wps">
            <w:drawing>
              <wp:anchor distT="0" distB="0" distL="0" distR="0" allowOverlap="1" layoutInCell="1" locked="0" behindDoc="1" simplePos="0" relativeHeight="487641088">
                <wp:simplePos x="0" y="0"/>
                <wp:positionH relativeFrom="page">
                  <wp:posOffset>914400</wp:posOffset>
                </wp:positionH>
                <wp:positionV relativeFrom="paragraph">
                  <wp:posOffset>184179</wp:posOffset>
                </wp:positionV>
                <wp:extent cx="5730875" cy="6350"/>
                <wp:effectExtent l="0" t="0" r="0" b="0"/>
                <wp:wrapTopAndBottom/>
                <wp:docPr id="352" name="Graphic 352"/>
                <wp:cNvGraphicFramePr>
                  <a:graphicFrameLocks/>
                </wp:cNvGraphicFramePr>
                <a:graphic>
                  <a:graphicData uri="http://schemas.microsoft.com/office/word/2010/wordprocessingShape">
                    <wps:wsp>
                      <wps:cNvPr id="352" name="Graphic 352"/>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4.502344pt;width:451.25pt;height:.5pt;mso-position-horizontal-relative:page;mso-position-vertical-relative:paragraph;z-index:-15675392;mso-wrap-distance-left:0;mso-wrap-distance-right:0" id="docshape181"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pgSz w:w="11910" w:h="16840"/>
          <w:pgMar w:header="0" w:footer="149" w:top="1940" w:bottom="340" w:left="283" w:right="708"/>
        </w:sectPr>
      </w:pPr>
    </w:p>
    <w:p>
      <w:pPr>
        <w:pStyle w:val="Heading2"/>
        <w:numPr>
          <w:ilvl w:val="0"/>
          <w:numId w:val="2"/>
        </w:numPr>
        <w:tabs>
          <w:tab w:pos="1426" w:val="left" w:leader="none"/>
        </w:tabs>
        <w:spacing w:line="261" w:lineRule="auto" w:before="90" w:after="0"/>
        <w:ind w:left="1157" w:right="38" w:firstLine="0"/>
        <w:jc w:val="left"/>
      </w:pPr>
      <w:bookmarkStart w:name="4 - RJC/38: Regional Health Economy Subg" w:id="33"/>
      <w:bookmarkEnd w:id="33"/>
      <w:r>
        <w:rPr/>
      </w:r>
      <w:r>
        <w:rPr/>
        <w:t>-</w:t>
      </w:r>
      <w:r>
        <w:rPr>
          <w:spacing w:val="-8"/>
        </w:rPr>
        <w:t> </w:t>
      </w:r>
      <w:r>
        <w:rPr/>
        <w:t>RJC/38:</w:t>
      </w:r>
      <w:r>
        <w:rPr>
          <w:spacing w:val="-12"/>
        </w:rPr>
        <w:t> </w:t>
      </w:r>
      <w:r>
        <w:rPr/>
        <w:t>Regional</w:t>
      </w:r>
      <w:r>
        <w:rPr>
          <w:spacing w:val="-9"/>
        </w:rPr>
        <w:t> </w:t>
      </w:r>
      <w:r>
        <w:rPr/>
        <w:t>Health</w:t>
      </w:r>
      <w:r>
        <w:rPr>
          <w:spacing w:val="-10"/>
        </w:rPr>
        <w:t> </w:t>
      </w:r>
      <w:r>
        <w:rPr/>
        <w:t>Economy Subgroup Update</w:t>
      </w:r>
    </w:p>
    <w:p>
      <w:pPr>
        <w:spacing w:line="261" w:lineRule="auto" w:before="93"/>
        <w:ind w:left="1157" w:right="726" w:firstLine="35"/>
        <w:jc w:val="right"/>
        <w:rPr>
          <w:b/>
          <w:i/>
          <w:sz w:val="22"/>
        </w:rPr>
      </w:pPr>
      <w:r>
        <w:rPr/>
        <w:br w:type="column"/>
      </w:r>
      <w:r>
        <w:rPr>
          <w:b/>
          <w:i/>
          <w:sz w:val="22"/>
        </w:rPr>
        <w:t>Ardiana</w:t>
      </w:r>
      <w:r>
        <w:rPr>
          <w:b/>
          <w:i/>
          <w:spacing w:val="-13"/>
          <w:sz w:val="22"/>
        </w:rPr>
        <w:t> </w:t>
      </w:r>
      <w:r>
        <w:rPr>
          <w:b/>
          <w:i/>
          <w:sz w:val="22"/>
        </w:rPr>
        <w:t>Gjini</w:t>
      </w:r>
      <w:r>
        <w:rPr>
          <w:b/>
          <w:i/>
          <w:spacing w:val="-15"/>
          <w:sz w:val="22"/>
        </w:rPr>
        <w:t> </w:t>
      </w:r>
      <w:r>
        <w:rPr>
          <w:b/>
          <w:i/>
          <w:sz w:val="22"/>
        </w:rPr>
        <w:t>(Hywel</w:t>
      </w:r>
      <w:r>
        <w:rPr>
          <w:b/>
          <w:i/>
          <w:sz w:val="22"/>
        </w:rPr>
        <w:t> Dda</w:t>
      </w:r>
      <w:r>
        <w:rPr>
          <w:b/>
          <w:i/>
          <w:spacing w:val="-10"/>
          <w:sz w:val="22"/>
        </w:rPr>
        <w:t> </w:t>
      </w:r>
      <w:r>
        <w:rPr>
          <w:b/>
          <w:i/>
          <w:sz w:val="22"/>
        </w:rPr>
        <w:t>UHB</w:t>
      </w:r>
      <w:r>
        <w:rPr>
          <w:b/>
          <w:i/>
          <w:spacing w:val="-10"/>
          <w:sz w:val="22"/>
        </w:rPr>
        <w:t> </w:t>
      </w:r>
      <w:r>
        <w:rPr>
          <w:b/>
          <w:i/>
          <w:sz w:val="22"/>
        </w:rPr>
        <w:t>-</w:t>
      </w:r>
      <w:r>
        <w:rPr>
          <w:b/>
          <w:i/>
          <w:spacing w:val="-10"/>
          <w:sz w:val="22"/>
        </w:rPr>
        <w:t> </w:t>
      </w:r>
      <w:r>
        <w:rPr>
          <w:b/>
          <w:i/>
          <w:sz w:val="22"/>
        </w:rPr>
        <w:t>Executive Director of Public</w:t>
      </w:r>
    </w:p>
    <w:p>
      <w:pPr>
        <w:spacing w:line="246" w:lineRule="exact" w:before="0"/>
        <w:ind w:left="0" w:right="729" w:firstLine="0"/>
        <w:jc w:val="right"/>
        <w:rPr>
          <w:b/>
          <w:i/>
          <w:sz w:val="22"/>
        </w:rPr>
      </w:pPr>
      <w:r>
        <w:rPr>
          <w:b/>
          <w:i/>
          <w:spacing w:val="-2"/>
          <w:sz w:val="22"/>
        </w:rPr>
        <w:t>Health)</w:t>
      </w:r>
    </w:p>
    <w:p>
      <w:pPr>
        <w:spacing w:after="0" w:line="246" w:lineRule="exact"/>
        <w:jc w:val="right"/>
        <w:rPr>
          <w:b/>
          <w:i/>
          <w:sz w:val="22"/>
        </w:rPr>
        <w:sectPr>
          <w:type w:val="continuous"/>
          <w:pgSz w:w="11910" w:h="16840"/>
          <w:pgMar w:header="0" w:footer="149" w:top="760" w:bottom="280" w:left="283" w:right="708"/>
          <w:cols w:num="2" w:equalWidth="0">
            <w:col w:w="6606" w:space="242"/>
            <w:col w:w="4071"/>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62"/>
        <w:rPr>
          <w:b/>
          <w:i/>
          <w:sz w:val="22"/>
        </w:rPr>
      </w:pPr>
    </w:p>
    <w:p>
      <w:pPr>
        <w:spacing w:before="0"/>
        <w:ind w:left="1157" w:right="0" w:firstLine="0"/>
        <w:jc w:val="left"/>
        <w:rPr>
          <w:b/>
          <w:sz w:val="22"/>
        </w:rPr>
      </w:pPr>
      <w:r>
        <w:rPr>
          <w:b/>
          <w:spacing w:val="-2"/>
          <w:sz w:val="22"/>
        </w:rPr>
        <w:t>Attachments</w:t>
      </w:r>
    </w:p>
    <w:p>
      <w:pPr>
        <w:spacing w:before="180"/>
        <w:ind w:left="1157" w:right="0" w:firstLine="0"/>
        <w:jc w:val="left"/>
        <w:rPr>
          <w:sz w:val="18"/>
        </w:rPr>
      </w:pPr>
      <w:r>
        <w:rPr>
          <w:sz w:val="18"/>
          <w:u w:val="single"/>
        </w:rPr>
        <w:t>RJC</w:t>
      </w:r>
      <w:r>
        <w:rPr>
          <w:spacing w:val="-1"/>
          <w:sz w:val="18"/>
          <w:u w:val="single"/>
        </w:rPr>
        <w:t> </w:t>
      </w:r>
      <w:r>
        <w:rPr>
          <w:sz w:val="18"/>
          <w:u w:val="single"/>
        </w:rPr>
        <w:t>38a</w:t>
      </w:r>
      <w:r>
        <w:rPr>
          <w:spacing w:val="-1"/>
          <w:sz w:val="18"/>
          <w:u w:val="single"/>
        </w:rPr>
        <w:t> </w:t>
      </w:r>
      <w:r>
        <w:rPr>
          <w:sz w:val="18"/>
          <w:u w:val="single"/>
        </w:rPr>
        <w:t>Regional Health</w:t>
      </w:r>
      <w:r>
        <w:rPr>
          <w:spacing w:val="-2"/>
          <w:sz w:val="18"/>
          <w:u w:val="single"/>
        </w:rPr>
        <w:t> </w:t>
      </w:r>
      <w:r>
        <w:rPr>
          <w:sz w:val="18"/>
          <w:u w:val="single"/>
        </w:rPr>
        <w:t>Economy</w:t>
      </w:r>
      <w:r>
        <w:rPr>
          <w:spacing w:val="-1"/>
          <w:sz w:val="18"/>
          <w:u w:val="single"/>
        </w:rPr>
        <w:t> </w:t>
      </w:r>
      <w:r>
        <w:rPr>
          <w:sz w:val="18"/>
          <w:u w:val="single"/>
        </w:rPr>
        <w:t>Subgroup AAA</w:t>
      </w:r>
      <w:r>
        <w:rPr>
          <w:spacing w:val="-1"/>
          <w:sz w:val="18"/>
          <w:u w:val="single"/>
        </w:rPr>
        <w:t> </w:t>
      </w:r>
      <w:r>
        <w:rPr>
          <w:spacing w:val="-2"/>
          <w:sz w:val="18"/>
          <w:u w:val="single"/>
        </w:rPr>
        <w:t>Report.pdf</w:t>
      </w:r>
    </w:p>
    <w:p>
      <w:pPr>
        <w:spacing w:before="173"/>
        <w:ind w:left="1157" w:right="0" w:firstLine="0"/>
        <w:jc w:val="left"/>
        <w:rPr>
          <w:sz w:val="18"/>
        </w:rPr>
      </w:pPr>
      <w:r>
        <w:rPr>
          <w:sz w:val="18"/>
          <w:u w:val="single"/>
        </w:rPr>
        <w:t>RJC</w:t>
      </w:r>
      <w:r>
        <w:rPr>
          <w:spacing w:val="-3"/>
          <w:sz w:val="18"/>
          <w:u w:val="single"/>
        </w:rPr>
        <w:t> </w:t>
      </w:r>
      <w:r>
        <w:rPr>
          <w:sz w:val="18"/>
          <w:u w:val="single"/>
        </w:rPr>
        <w:t>38b</w:t>
      </w:r>
      <w:r>
        <w:rPr>
          <w:spacing w:val="-1"/>
          <w:sz w:val="18"/>
          <w:u w:val="single"/>
        </w:rPr>
        <w:t> </w:t>
      </w:r>
      <w:r>
        <w:rPr>
          <w:sz w:val="18"/>
          <w:u w:val="single"/>
        </w:rPr>
        <w:t>Regional Health</w:t>
      </w:r>
      <w:r>
        <w:rPr>
          <w:spacing w:val="-1"/>
          <w:sz w:val="18"/>
          <w:u w:val="single"/>
        </w:rPr>
        <w:t> </w:t>
      </w:r>
      <w:r>
        <w:rPr>
          <w:sz w:val="18"/>
          <w:u w:val="single"/>
        </w:rPr>
        <w:t>Economy</w:t>
      </w:r>
      <w:r>
        <w:rPr>
          <w:spacing w:val="-2"/>
          <w:sz w:val="18"/>
          <w:u w:val="single"/>
        </w:rPr>
        <w:t> </w:t>
      </w:r>
      <w:r>
        <w:rPr>
          <w:sz w:val="18"/>
          <w:u w:val="single"/>
        </w:rPr>
        <w:t>RJC Subgroup Work</w:t>
      </w:r>
      <w:r>
        <w:rPr>
          <w:spacing w:val="-1"/>
          <w:sz w:val="18"/>
          <w:u w:val="single"/>
        </w:rPr>
        <w:t> </w:t>
      </w:r>
      <w:r>
        <w:rPr>
          <w:sz w:val="18"/>
          <w:u w:val="single"/>
        </w:rPr>
        <w:t>Programme</w:t>
      </w:r>
      <w:r>
        <w:rPr>
          <w:spacing w:val="-1"/>
          <w:sz w:val="18"/>
          <w:u w:val="single"/>
        </w:rPr>
        <w:t> </w:t>
      </w:r>
      <w:r>
        <w:rPr>
          <w:spacing w:val="-2"/>
          <w:sz w:val="18"/>
          <w:u w:val="single"/>
        </w:rPr>
        <w:t>Summary.pdf</w:t>
      </w:r>
    </w:p>
    <w:p>
      <w:pPr>
        <w:spacing w:after="0"/>
        <w:jc w:val="left"/>
        <w:rPr>
          <w:sz w:val="18"/>
        </w:rPr>
        <w:sectPr>
          <w:type w:val="continuous"/>
          <w:pgSz w:w="11910" w:h="16840"/>
          <w:pgMar w:header="0" w:footer="149" w:top="760" w:bottom="280" w:left="283" w:right="708"/>
        </w:sectPr>
      </w:pPr>
    </w:p>
    <w:p>
      <w:pPr>
        <w:tabs>
          <w:tab w:pos="7427" w:val="left" w:leader="none"/>
        </w:tabs>
        <w:spacing w:line="240" w:lineRule="auto"/>
        <w:ind w:left="78" w:right="0" w:firstLine="0"/>
        <w:rPr>
          <w:position w:val="2"/>
          <w:sz w:val="20"/>
        </w:rPr>
      </w:pPr>
      <w:r>
        <w:rPr>
          <w:sz w:val="20"/>
        </w:rPr>
        <w:drawing>
          <wp:inline distT="0" distB="0" distL="0" distR="0">
            <wp:extent cx="2305246" cy="549021"/>
            <wp:effectExtent l="0" t="0" r="0" b="0"/>
            <wp:docPr id="353" name="Image 353"/>
            <wp:cNvGraphicFramePr>
              <a:graphicFrameLocks/>
            </wp:cNvGraphicFramePr>
            <a:graphic>
              <a:graphicData uri="http://schemas.openxmlformats.org/drawingml/2006/picture">
                <pic:pic>
                  <pic:nvPicPr>
                    <pic:cNvPr id="353" name="Image 353"/>
                    <pic:cNvPicPr/>
                  </pic:nvPicPr>
                  <pic:blipFill>
                    <a:blip r:embed="rId7" cstate="print"/>
                    <a:stretch>
                      <a:fillRect/>
                    </a:stretch>
                  </pic:blipFill>
                  <pic:spPr>
                    <a:xfrm>
                      <a:off x="0" y="0"/>
                      <a:ext cx="2305246" cy="549021"/>
                    </a:xfrm>
                    <a:prstGeom prst="rect">
                      <a:avLst/>
                    </a:prstGeom>
                  </pic:spPr>
                </pic:pic>
              </a:graphicData>
            </a:graphic>
          </wp:inline>
        </w:drawing>
      </w:r>
      <w:r>
        <w:rPr>
          <w:sz w:val="20"/>
        </w:rPr>
      </w:r>
      <w:r>
        <w:rPr>
          <w:sz w:val="20"/>
        </w:rPr>
        <w:tab/>
      </w:r>
      <w:r>
        <w:rPr>
          <w:position w:val="2"/>
          <w:sz w:val="20"/>
        </w:rPr>
        <w:drawing>
          <wp:inline distT="0" distB="0" distL="0" distR="0">
            <wp:extent cx="2136994" cy="520065"/>
            <wp:effectExtent l="0" t="0" r="0" b="0"/>
            <wp:docPr id="354" name="Image 354"/>
            <wp:cNvGraphicFramePr>
              <a:graphicFrameLocks/>
            </wp:cNvGraphicFramePr>
            <a:graphic>
              <a:graphicData uri="http://schemas.openxmlformats.org/drawingml/2006/picture">
                <pic:pic>
                  <pic:nvPicPr>
                    <pic:cNvPr id="354" name="Image 354"/>
                    <pic:cNvPicPr/>
                  </pic:nvPicPr>
                  <pic:blipFill>
                    <a:blip r:embed="rId67" cstate="print"/>
                    <a:stretch>
                      <a:fillRect/>
                    </a:stretch>
                  </pic:blipFill>
                  <pic:spPr>
                    <a:xfrm>
                      <a:off x="0" y="0"/>
                      <a:ext cx="2136994" cy="520065"/>
                    </a:xfrm>
                    <a:prstGeom prst="rect">
                      <a:avLst/>
                    </a:prstGeom>
                  </pic:spPr>
                </pic:pic>
              </a:graphicData>
            </a:graphic>
          </wp:inline>
        </w:drawing>
      </w:r>
      <w:r>
        <w:rPr>
          <w:position w:val="2"/>
          <w:sz w:val="20"/>
        </w:rPr>
      </w:r>
    </w:p>
    <w:p>
      <w:pPr>
        <w:pStyle w:val="Heading4"/>
        <w:spacing w:line="256" w:lineRule="auto"/>
        <w:ind w:left="652" w:right="228"/>
        <w:jc w:val="center"/>
      </w:pPr>
      <w:bookmarkStart w:name="Attachments" w:id="34"/>
      <w:bookmarkEnd w:id="34"/>
      <w:r>
        <w:rPr>
          <w:b w:val="0"/>
        </w:rPr>
      </w:r>
      <w:bookmarkStart w:name="RJC 38a Regional Health Economy Subgroup" w:id="35"/>
      <w:bookmarkEnd w:id="35"/>
      <w:r>
        <w:rPr>
          <w:b w:val="0"/>
        </w:rPr>
      </w:r>
      <w:r>
        <w:rPr/>
        <w:t>REGIONAL</w:t>
      </w:r>
      <w:r>
        <w:rPr>
          <w:spacing w:val="-20"/>
        </w:rPr>
        <w:t> </w:t>
      </w:r>
      <w:r>
        <w:rPr/>
        <w:t>HEALTH</w:t>
      </w:r>
      <w:r>
        <w:rPr>
          <w:spacing w:val="-19"/>
        </w:rPr>
        <w:t> </w:t>
      </w:r>
      <w:r>
        <w:rPr/>
        <w:t>ECONOMY</w:t>
      </w:r>
      <w:r>
        <w:rPr>
          <w:spacing w:val="-20"/>
        </w:rPr>
        <w:t> </w:t>
      </w:r>
      <w:r>
        <w:rPr/>
        <w:t>SUBGROUP</w:t>
      </w:r>
      <w:r>
        <w:rPr>
          <w:spacing w:val="-19"/>
        </w:rPr>
        <w:t> </w:t>
      </w:r>
      <w:r>
        <w:rPr/>
        <w:t>UPDATE</w:t>
      </w:r>
      <w:r>
        <w:rPr>
          <w:spacing w:val="-18"/>
        </w:rPr>
        <w:t> </w:t>
      </w:r>
      <w:r>
        <w:rPr/>
        <w:t>REPORT/ ADRODDIAD DIWEDDARU’R PWYLLGOR</w:t>
      </w:r>
    </w:p>
    <w:p>
      <w:pPr>
        <w:pStyle w:val="Heading4"/>
        <w:spacing w:before="166"/>
        <w:ind w:left="655" w:right="228"/>
        <w:jc w:val="center"/>
      </w:pPr>
      <w:r>
        <w:rPr/>
        <w:t>Regional</w:t>
      </w:r>
      <w:r>
        <w:rPr>
          <w:spacing w:val="-2"/>
        </w:rPr>
        <w:t> </w:t>
      </w:r>
      <w:r>
        <w:rPr/>
        <w:t>Joint</w:t>
      </w:r>
      <w:r>
        <w:rPr>
          <w:spacing w:val="-1"/>
        </w:rPr>
        <w:t> </w:t>
      </w:r>
      <w:r>
        <w:rPr>
          <w:spacing w:val="-2"/>
        </w:rPr>
        <w:t>Committee</w:t>
      </w:r>
    </w:p>
    <w:p>
      <w:pPr>
        <w:spacing w:before="183"/>
        <w:ind w:left="1157" w:right="0" w:firstLine="0"/>
        <w:jc w:val="left"/>
        <w:rPr>
          <w:sz w:val="20"/>
        </w:rPr>
      </w:pPr>
      <w:r>
        <w:rPr>
          <w:b/>
          <w:sz w:val="20"/>
        </w:rPr>
        <w:t>Date</w:t>
      </w:r>
      <w:r>
        <w:rPr>
          <w:b/>
          <w:spacing w:val="-5"/>
          <w:sz w:val="20"/>
        </w:rPr>
        <w:t> </w:t>
      </w:r>
      <w:r>
        <w:rPr>
          <w:b/>
          <w:sz w:val="20"/>
        </w:rPr>
        <w:t>of</w:t>
      </w:r>
      <w:r>
        <w:rPr>
          <w:b/>
          <w:spacing w:val="-5"/>
          <w:sz w:val="20"/>
        </w:rPr>
        <w:t> </w:t>
      </w:r>
      <w:r>
        <w:rPr>
          <w:b/>
          <w:sz w:val="20"/>
        </w:rPr>
        <w:t>last</w:t>
      </w:r>
      <w:r>
        <w:rPr>
          <w:b/>
          <w:spacing w:val="-5"/>
          <w:sz w:val="20"/>
        </w:rPr>
        <w:t> </w:t>
      </w:r>
      <w:r>
        <w:rPr>
          <w:b/>
          <w:sz w:val="20"/>
        </w:rPr>
        <w:t>meeting/</w:t>
      </w:r>
      <w:r>
        <w:rPr>
          <w:b/>
          <w:spacing w:val="-4"/>
          <w:sz w:val="20"/>
        </w:rPr>
        <w:t> </w:t>
      </w:r>
      <w:r>
        <w:rPr>
          <w:b/>
          <w:sz w:val="20"/>
        </w:rPr>
        <w:t>Dyddiad</w:t>
      </w:r>
      <w:r>
        <w:rPr>
          <w:b/>
          <w:spacing w:val="-6"/>
          <w:sz w:val="20"/>
        </w:rPr>
        <w:t> </w:t>
      </w:r>
      <w:r>
        <w:rPr>
          <w:b/>
          <w:sz w:val="20"/>
        </w:rPr>
        <w:t>y cyfarfod</w:t>
      </w:r>
      <w:r>
        <w:rPr>
          <w:b/>
          <w:spacing w:val="-1"/>
          <w:sz w:val="20"/>
        </w:rPr>
        <w:t> </w:t>
      </w:r>
      <w:r>
        <w:rPr>
          <w:b/>
          <w:sz w:val="20"/>
        </w:rPr>
        <w:t>diwethaf</w:t>
      </w:r>
      <w:r>
        <w:rPr>
          <w:sz w:val="20"/>
        </w:rPr>
        <w:t>:</w:t>
      </w:r>
      <w:r>
        <w:rPr>
          <w:spacing w:val="-5"/>
          <w:sz w:val="20"/>
        </w:rPr>
        <w:t> </w:t>
      </w:r>
      <w:r>
        <w:rPr>
          <w:sz w:val="20"/>
        </w:rPr>
        <w:t>14</w:t>
      </w:r>
      <w:r>
        <w:rPr>
          <w:spacing w:val="4"/>
          <w:sz w:val="20"/>
        </w:rPr>
        <w:t> </w:t>
      </w:r>
      <w:r>
        <w:rPr>
          <w:sz w:val="20"/>
        </w:rPr>
        <w:t>September</w:t>
      </w:r>
      <w:r>
        <w:rPr>
          <w:spacing w:val="-4"/>
          <w:sz w:val="20"/>
        </w:rPr>
        <w:t> 2026</w:t>
      </w:r>
    </w:p>
    <w:p>
      <w:pPr>
        <w:spacing w:before="180"/>
        <w:ind w:left="1157" w:right="0" w:firstLine="0"/>
        <w:jc w:val="left"/>
        <w:rPr>
          <w:sz w:val="20"/>
        </w:rPr>
      </w:pPr>
      <w:r>
        <w:rPr>
          <w:b/>
          <w:sz w:val="20"/>
        </w:rPr>
        <w:t>Quoracy/</w:t>
      </w:r>
      <w:r>
        <w:rPr>
          <w:b/>
          <w:spacing w:val="-3"/>
          <w:sz w:val="20"/>
        </w:rPr>
        <w:t> </w:t>
      </w:r>
      <w:r>
        <w:rPr>
          <w:b/>
          <w:sz w:val="20"/>
        </w:rPr>
        <w:t>Cworwm</w:t>
      </w:r>
      <w:r>
        <w:rPr>
          <w:sz w:val="20"/>
        </w:rPr>
        <w:t>:</w:t>
      </w:r>
      <w:r>
        <w:rPr>
          <w:spacing w:val="-8"/>
          <w:sz w:val="20"/>
        </w:rPr>
        <w:t> </w:t>
      </w:r>
      <w:r>
        <w:rPr>
          <w:spacing w:val="-5"/>
          <w:sz w:val="20"/>
        </w:rPr>
        <w:t>Met</w:t>
      </w:r>
    </w:p>
    <w:p>
      <w:pPr>
        <w:spacing w:before="180"/>
        <w:ind w:left="1157" w:right="0" w:firstLine="0"/>
        <w:jc w:val="left"/>
        <w:rPr>
          <w:sz w:val="20"/>
        </w:rPr>
      </w:pPr>
      <w:r>
        <w:rPr>
          <w:b/>
          <w:sz w:val="20"/>
        </w:rPr>
        <w:t>Report</w:t>
      </w:r>
      <w:r>
        <w:rPr>
          <w:b/>
          <w:spacing w:val="-11"/>
          <w:sz w:val="20"/>
        </w:rPr>
        <w:t> </w:t>
      </w:r>
      <w:r>
        <w:rPr>
          <w:b/>
          <w:sz w:val="20"/>
        </w:rPr>
        <w:t>by/</w:t>
      </w:r>
      <w:r>
        <w:rPr>
          <w:b/>
          <w:spacing w:val="-12"/>
          <w:sz w:val="20"/>
        </w:rPr>
        <w:t> </w:t>
      </w:r>
      <w:r>
        <w:rPr>
          <w:b/>
          <w:sz w:val="20"/>
        </w:rPr>
        <w:t>Adroddiad</w:t>
      </w:r>
      <w:r>
        <w:rPr>
          <w:b/>
          <w:spacing w:val="-3"/>
          <w:sz w:val="20"/>
        </w:rPr>
        <w:t> </w:t>
      </w:r>
      <w:r>
        <w:rPr>
          <w:b/>
          <w:sz w:val="20"/>
        </w:rPr>
        <w:t>gan</w:t>
      </w:r>
      <w:r>
        <w:rPr>
          <w:sz w:val="20"/>
        </w:rPr>
        <w:t>:</w:t>
      </w:r>
      <w:r>
        <w:rPr>
          <w:spacing w:val="-14"/>
          <w:sz w:val="20"/>
        </w:rPr>
        <w:t> </w:t>
      </w:r>
      <w:r>
        <w:rPr>
          <w:sz w:val="20"/>
        </w:rPr>
        <w:t>Ardiana</w:t>
      </w:r>
      <w:r>
        <w:rPr>
          <w:spacing w:val="-7"/>
          <w:sz w:val="20"/>
        </w:rPr>
        <w:t> </w:t>
      </w:r>
      <w:r>
        <w:rPr>
          <w:sz w:val="20"/>
        </w:rPr>
        <w:t>Gjini,</w:t>
      </w:r>
      <w:r>
        <w:rPr>
          <w:spacing w:val="-5"/>
          <w:sz w:val="20"/>
        </w:rPr>
        <w:t> </w:t>
      </w:r>
      <w:r>
        <w:rPr>
          <w:sz w:val="20"/>
        </w:rPr>
        <w:t>Executive</w:t>
      </w:r>
      <w:r>
        <w:rPr>
          <w:spacing w:val="-3"/>
          <w:sz w:val="20"/>
        </w:rPr>
        <w:t> </w:t>
      </w:r>
      <w:r>
        <w:rPr>
          <w:sz w:val="20"/>
        </w:rPr>
        <w:t>Lead</w:t>
      </w:r>
      <w:r>
        <w:rPr>
          <w:spacing w:val="-5"/>
          <w:sz w:val="20"/>
        </w:rPr>
        <w:t> </w:t>
      </w:r>
      <w:r>
        <w:rPr>
          <w:sz w:val="20"/>
        </w:rPr>
        <w:t>supported</w:t>
      </w:r>
      <w:r>
        <w:rPr>
          <w:spacing w:val="-2"/>
          <w:sz w:val="20"/>
        </w:rPr>
        <w:t> </w:t>
      </w:r>
      <w:r>
        <w:rPr>
          <w:sz w:val="20"/>
        </w:rPr>
        <w:t>by</w:t>
      </w:r>
      <w:r>
        <w:rPr>
          <w:spacing w:val="-6"/>
          <w:sz w:val="20"/>
        </w:rPr>
        <w:t> </w:t>
      </w:r>
      <w:r>
        <w:rPr>
          <w:sz w:val="20"/>
        </w:rPr>
        <w:t>Hugo</w:t>
      </w:r>
      <w:r>
        <w:rPr>
          <w:spacing w:val="-7"/>
          <w:sz w:val="20"/>
        </w:rPr>
        <w:t> </w:t>
      </w:r>
      <w:r>
        <w:rPr>
          <w:sz w:val="20"/>
        </w:rPr>
        <w:t>Van</w:t>
      </w:r>
      <w:r>
        <w:rPr>
          <w:spacing w:val="-6"/>
          <w:sz w:val="20"/>
        </w:rPr>
        <w:t> </w:t>
      </w:r>
      <w:r>
        <w:rPr>
          <w:spacing w:val="-2"/>
          <w:sz w:val="20"/>
        </w:rPr>
        <w:t>Woerden</w:t>
      </w:r>
    </w:p>
    <w:p>
      <w:pPr>
        <w:pStyle w:val="BodyText"/>
        <w:spacing w:before="189"/>
        <w:rPr>
          <w:sz w:val="20"/>
        </w:rPr>
      </w:pPr>
      <w:r>
        <w:rPr>
          <w:sz w:val="20"/>
        </w:rPr>
        <mc:AlternateContent>
          <mc:Choice Requires="wps">
            <w:drawing>
              <wp:anchor distT="0" distB="0" distL="0" distR="0" allowOverlap="1" layoutInCell="1" locked="0" behindDoc="1" simplePos="0" relativeHeight="487642112">
                <wp:simplePos x="0" y="0"/>
                <wp:positionH relativeFrom="page">
                  <wp:posOffset>914717</wp:posOffset>
                </wp:positionH>
                <wp:positionV relativeFrom="paragraph">
                  <wp:posOffset>281854</wp:posOffset>
                </wp:positionV>
                <wp:extent cx="5591175" cy="1270"/>
                <wp:effectExtent l="0" t="0" r="0" b="0"/>
                <wp:wrapTopAndBottom/>
                <wp:docPr id="355" name="Graphic 355"/>
                <wp:cNvGraphicFramePr>
                  <a:graphicFrameLocks/>
                </wp:cNvGraphicFramePr>
                <a:graphic>
                  <a:graphicData uri="http://schemas.microsoft.com/office/word/2010/wordprocessingShape">
                    <wps:wsp>
                      <wps:cNvPr id="355" name="Graphic 355"/>
                      <wps:cNvSpPr/>
                      <wps:spPr>
                        <a:xfrm>
                          <a:off x="0" y="0"/>
                          <a:ext cx="5591175" cy="1270"/>
                        </a:xfrm>
                        <a:custGeom>
                          <a:avLst/>
                          <a:gdLst/>
                          <a:ahLst/>
                          <a:cxnLst/>
                          <a:rect l="l" t="t" r="r" b="b"/>
                          <a:pathLst>
                            <a:path w="5591175" h="0">
                              <a:moveTo>
                                <a:pt x="0" y="0"/>
                              </a:moveTo>
                              <a:lnTo>
                                <a:pt x="5590969"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2.193239pt;width:440.25pt;height:.1pt;mso-position-horizontal-relative:page;mso-position-vertical-relative:paragraph;z-index:-15674368;mso-wrap-distance-left:0;mso-wrap-distance-right:0" id="docshape182" coordorigin="1441,444" coordsize="8805,0" path="m1441,444l10245,444e" filled="false" stroked="true" strokeweight=".756pt" strokecolor="#000000">
                <v:path arrowok="t"/>
                <v:stroke dashstyle="solid"/>
                <w10:wrap type="topAndBottom"/>
              </v:shape>
            </w:pict>
          </mc:Fallback>
        </mc:AlternateContent>
      </w:r>
    </w:p>
    <w:p>
      <w:pPr>
        <w:pStyle w:val="Heading9"/>
        <w:spacing w:line="261" w:lineRule="auto" w:before="187"/>
        <w:ind w:left="1157" w:right="758"/>
        <w:jc w:val="left"/>
      </w:pPr>
      <w:r>
        <w:rPr/>
        <w:t>KEY</w:t>
      </w:r>
      <w:r>
        <w:rPr>
          <w:spacing w:val="-14"/>
        </w:rPr>
        <w:t> </w:t>
      </w:r>
      <w:r>
        <w:rPr/>
        <w:t>DISCUSSION</w:t>
      </w:r>
      <w:r>
        <w:rPr>
          <w:spacing w:val="-9"/>
        </w:rPr>
        <w:t> </w:t>
      </w:r>
      <w:r>
        <w:rPr/>
        <w:t>POINTS</w:t>
      </w:r>
      <w:r>
        <w:rPr>
          <w:spacing w:val="-14"/>
        </w:rPr>
        <w:t> </w:t>
      </w:r>
      <w:r>
        <w:rPr/>
        <w:t>AND</w:t>
      </w:r>
      <w:r>
        <w:rPr>
          <w:spacing w:val="-9"/>
        </w:rPr>
        <w:t> </w:t>
      </w:r>
      <w:r>
        <w:rPr/>
        <w:t>MATTERS</w:t>
      </w:r>
      <w:r>
        <w:rPr>
          <w:spacing w:val="-10"/>
        </w:rPr>
        <w:t> </w:t>
      </w:r>
      <w:r>
        <w:rPr/>
        <w:t>FROM</w:t>
      </w:r>
      <w:r>
        <w:rPr>
          <w:spacing w:val="-10"/>
        </w:rPr>
        <w:t> </w:t>
      </w:r>
      <w:r>
        <w:rPr/>
        <w:t>THE</w:t>
      </w:r>
      <w:r>
        <w:rPr>
          <w:spacing w:val="-10"/>
        </w:rPr>
        <w:t> </w:t>
      </w:r>
      <w:r>
        <w:rPr/>
        <w:t>DISCUSSION</w:t>
      </w:r>
      <w:r>
        <w:rPr>
          <w:spacing w:val="-13"/>
        </w:rPr>
        <w:t> </w:t>
      </w:r>
      <w:r>
        <w:rPr/>
        <w:t>AT</w:t>
      </w:r>
      <w:r>
        <w:rPr>
          <w:spacing w:val="-12"/>
        </w:rPr>
        <w:t> </w:t>
      </w:r>
      <w:r>
        <w:rPr/>
        <w:t>THE MEETING/ PWYNTIAU TRAFOD ALLWEDDOL A MATERION I’W</w:t>
      </w:r>
    </w:p>
    <w:p>
      <w:pPr>
        <w:pStyle w:val="Heading9"/>
        <w:spacing w:line="269" w:lineRule="exact"/>
        <w:ind w:left="1157"/>
        <w:jc w:val="left"/>
      </w:pPr>
      <w:r>
        <w:rPr/>
        <w:t>HUWCHGYFEIRIO</w:t>
      </w:r>
      <w:r>
        <w:rPr>
          <w:spacing w:val="-9"/>
        </w:rPr>
        <w:t> </w:t>
      </w:r>
      <w:r>
        <w:rPr/>
        <w:t>O’R</w:t>
      </w:r>
      <w:r>
        <w:rPr>
          <w:spacing w:val="-3"/>
        </w:rPr>
        <w:t> </w:t>
      </w:r>
      <w:r>
        <w:rPr/>
        <w:t>DRAFODAETH</w:t>
      </w:r>
      <w:r>
        <w:rPr>
          <w:spacing w:val="-8"/>
        </w:rPr>
        <w:t> </w:t>
      </w:r>
      <w:r>
        <w:rPr/>
        <w:t>YN</w:t>
      </w:r>
      <w:r>
        <w:rPr>
          <w:spacing w:val="-8"/>
        </w:rPr>
        <w:t> </w:t>
      </w:r>
      <w:r>
        <w:rPr/>
        <w:t>Y</w:t>
      </w:r>
      <w:r>
        <w:rPr>
          <w:spacing w:val="-4"/>
        </w:rPr>
        <w:t> </w:t>
      </w:r>
      <w:r>
        <w:rPr>
          <w:spacing w:val="-2"/>
        </w:rPr>
        <w:t>CYFARFOD:</w:t>
      </w:r>
    </w:p>
    <w:p>
      <w:pPr>
        <w:pStyle w:val="BodyText"/>
        <w:spacing w:line="259" w:lineRule="auto" w:before="184"/>
        <w:ind w:left="1157" w:right="758"/>
      </w:pPr>
      <w:r>
        <w:rPr>
          <w:b/>
        </w:rPr>
        <w:t>Alert</w:t>
      </w:r>
      <w:hyperlink w:history="true" w:anchor="_bookmark8">
        <w:r>
          <w:rPr>
            <w:b/>
            <w:vertAlign w:val="superscript"/>
          </w:rPr>
          <w:t>1</w:t>
        </w:r>
      </w:hyperlink>
      <w:r>
        <w:rPr>
          <w:b/>
          <w:vertAlign w:val="baseline"/>
        </w:rPr>
        <w:t> </w:t>
      </w:r>
      <w:r>
        <w:rPr>
          <w:vertAlign w:val="baseline"/>
        </w:rPr>
        <w:t>(may require discussion. e.g. include significant risks, issues, decisions required,</w:t>
      </w:r>
      <w:r>
        <w:rPr>
          <w:spacing w:val="-5"/>
          <w:vertAlign w:val="baseline"/>
        </w:rPr>
        <w:t> </w:t>
      </w:r>
      <w:r>
        <w:rPr>
          <w:vertAlign w:val="baseline"/>
        </w:rPr>
        <w:t>change</w:t>
      </w:r>
      <w:r>
        <w:rPr>
          <w:spacing w:val="-2"/>
          <w:vertAlign w:val="baseline"/>
        </w:rPr>
        <w:t> </w:t>
      </w:r>
      <w:r>
        <w:rPr>
          <w:vertAlign w:val="baseline"/>
        </w:rPr>
        <w:t>requests for</w:t>
      </w:r>
      <w:r>
        <w:rPr>
          <w:spacing w:val="-3"/>
          <w:vertAlign w:val="baseline"/>
        </w:rPr>
        <w:t> </w:t>
      </w:r>
      <w:r>
        <w:rPr>
          <w:vertAlign w:val="baseline"/>
        </w:rPr>
        <w:t>timescales,</w:t>
      </w:r>
      <w:r>
        <w:rPr>
          <w:spacing w:val="-5"/>
          <w:vertAlign w:val="baseline"/>
        </w:rPr>
        <w:t> </w:t>
      </w:r>
      <w:r>
        <w:rPr>
          <w:vertAlign w:val="baseline"/>
        </w:rPr>
        <w:t>scope</w:t>
      </w:r>
      <w:r>
        <w:rPr>
          <w:spacing w:val="-4"/>
          <w:vertAlign w:val="baseline"/>
        </w:rPr>
        <w:t> </w:t>
      </w:r>
      <w:r>
        <w:rPr>
          <w:vertAlign w:val="baseline"/>
        </w:rPr>
        <w:t>or</w:t>
      </w:r>
      <w:r>
        <w:rPr>
          <w:spacing w:val="-3"/>
          <w:vertAlign w:val="baseline"/>
        </w:rPr>
        <w:t> </w:t>
      </w:r>
      <w:r>
        <w:rPr>
          <w:vertAlign w:val="baseline"/>
        </w:rPr>
        <w:t>milestones</w:t>
      </w:r>
      <w:r>
        <w:rPr>
          <w:spacing w:val="-3"/>
          <w:vertAlign w:val="baseline"/>
        </w:rPr>
        <w:t> </w:t>
      </w:r>
      <w:r>
        <w:rPr>
          <w:vertAlign w:val="baseline"/>
        </w:rPr>
        <w:t>within</w:t>
      </w:r>
      <w:r>
        <w:rPr>
          <w:spacing w:val="-2"/>
          <w:vertAlign w:val="baseline"/>
        </w:rPr>
        <w:t> </w:t>
      </w:r>
      <w:r>
        <w:rPr>
          <w:vertAlign w:val="baseline"/>
        </w:rPr>
        <w:t>subgroup</w:t>
      </w:r>
      <w:r>
        <w:rPr>
          <w:spacing w:val="-2"/>
          <w:vertAlign w:val="baseline"/>
        </w:rPr>
        <w:t> </w:t>
      </w:r>
      <w:r>
        <w:rPr>
          <w:vertAlign w:val="baseline"/>
        </w:rPr>
        <w:t>work programmes and matters requiring escalation.)/ </w:t>
      </w:r>
      <w:r>
        <w:rPr>
          <w:b/>
          <w:vertAlign w:val="baseline"/>
        </w:rPr>
        <w:t>Rhybuddio </w:t>
      </w:r>
      <w:r>
        <w:rPr>
          <w:vertAlign w:val="baseline"/>
        </w:rPr>
        <w:t>(efallai y bydd angen trafodaeth. e.e. cynnwys risgiau sylweddol, materion, penderfyniadau sydd eu hangen, ceisiadau am newid ar gyfer amserlenni, cwmpas neu gerrig milltir o fewn rhaglenni gwaith is-grŵp a materion sydd angen eu huwchgyfeirio)</w:t>
      </w:r>
    </w:p>
    <w:p>
      <w:pPr>
        <w:spacing w:before="155"/>
        <w:ind w:left="1157" w:right="0" w:firstLine="0"/>
        <w:jc w:val="left"/>
        <w:rPr>
          <w:sz w:val="20"/>
        </w:rPr>
      </w:pPr>
      <w:r>
        <w:rPr>
          <w:sz w:val="20"/>
        </w:rPr>
        <w:t>The</w:t>
      </w:r>
      <w:r>
        <w:rPr>
          <w:spacing w:val="-6"/>
          <w:sz w:val="20"/>
        </w:rPr>
        <w:t> </w:t>
      </w:r>
      <w:r>
        <w:rPr>
          <w:sz w:val="20"/>
        </w:rPr>
        <w:t>Regional</w:t>
      </w:r>
      <w:r>
        <w:rPr>
          <w:spacing w:val="-2"/>
          <w:sz w:val="20"/>
        </w:rPr>
        <w:t> </w:t>
      </w:r>
      <w:r>
        <w:rPr>
          <w:sz w:val="20"/>
        </w:rPr>
        <w:t>Health</w:t>
      </w:r>
      <w:r>
        <w:rPr>
          <w:spacing w:val="-4"/>
          <w:sz w:val="20"/>
        </w:rPr>
        <w:t> </w:t>
      </w:r>
      <w:r>
        <w:rPr>
          <w:sz w:val="20"/>
        </w:rPr>
        <w:t>Economy</w:t>
      </w:r>
      <w:r>
        <w:rPr>
          <w:spacing w:val="-3"/>
          <w:sz w:val="20"/>
        </w:rPr>
        <w:t> </w:t>
      </w:r>
      <w:r>
        <w:rPr>
          <w:sz w:val="20"/>
        </w:rPr>
        <w:t>Group</w:t>
      </w:r>
      <w:r>
        <w:rPr>
          <w:spacing w:val="-4"/>
          <w:sz w:val="20"/>
        </w:rPr>
        <w:t> </w:t>
      </w:r>
      <w:r>
        <w:rPr>
          <w:sz w:val="20"/>
        </w:rPr>
        <w:t>had</w:t>
      </w:r>
      <w:r>
        <w:rPr>
          <w:spacing w:val="-4"/>
          <w:sz w:val="20"/>
        </w:rPr>
        <w:t> </w:t>
      </w:r>
      <w:r>
        <w:rPr>
          <w:sz w:val="20"/>
        </w:rPr>
        <w:t>no</w:t>
      </w:r>
      <w:r>
        <w:rPr>
          <w:spacing w:val="-4"/>
          <w:sz w:val="20"/>
        </w:rPr>
        <w:t> </w:t>
      </w:r>
      <w:r>
        <w:rPr>
          <w:sz w:val="20"/>
        </w:rPr>
        <w:t>items</w:t>
      </w:r>
      <w:r>
        <w:rPr>
          <w:spacing w:val="-3"/>
          <w:sz w:val="20"/>
        </w:rPr>
        <w:t> </w:t>
      </w:r>
      <w:r>
        <w:rPr>
          <w:sz w:val="20"/>
        </w:rPr>
        <w:t>of</w:t>
      </w:r>
      <w:r>
        <w:rPr>
          <w:spacing w:val="1"/>
          <w:sz w:val="20"/>
        </w:rPr>
        <w:t> </w:t>
      </w:r>
      <w:r>
        <w:rPr>
          <w:sz w:val="20"/>
        </w:rPr>
        <w:t>which</w:t>
      </w:r>
      <w:r>
        <w:rPr>
          <w:spacing w:val="-3"/>
          <w:sz w:val="20"/>
        </w:rPr>
        <w:t> </w:t>
      </w:r>
      <w:r>
        <w:rPr>
          <w:sz w:val="20"/>
        </w:rPr>
        <w:t>to</w:t>
      </w:r>
      <w:r>
        <w:rPr>
          <w:spacing w:val="-4"/>
          <w:sz w:val="20"/>
        </w:rPr>
        <w:t> </w:t>
      </w:r>
      <w:r>
        <w:rPr>
          <w:sz w:val="20"/>
        </w:rPr>
        <w:t>alert</w:t>
      </w:r>
      <w:r>
        <w:rPr>
          <w:spacing w:val="-4"/>
          <w:sz w:val="20"/>
        </w:rPr>
        <w:t> </w:t>
      </w:r>
      <w:r>
        <w:rPr>
          <w:sz w:val="20"/>
        </w:rPr>
        <w:t>members</w:t>
      </w:r>
      <w:r>
        <w:rPr>
          <w:spacing w:val="1"/>
          <w:sz w:val="20"/>
        </w:rPr>
        <w:t> </w:t>
      </w:r>
      <w:r>
        <w:rPr>
          <w:sz w:val="20"/>
        </w:rPr>
        <w:t>of</w:t>
      </w:r>
      <w:r>
        <w:rPr>
          <w:spacing w:val="-4"/>
          <w:sz w:val="20"/>
        </w:rPr>
        <w:t> </w:t>
      </w:r>
      <w:r>
        <w:rPr>
          <w:sz w:val="20"/>
        </w:rPr>
        <w:t>the</w:t>
      </w:r>
      <w:r>
        <w:rPr>
          <w:spacing w:val="-3"/>
          <w:sz w:val="20"/>
        </w:rPr>
        <w:t> </w:t>
      </w:r>
      <w:r>
        <w:rPr>
          <w:spacing w:val="-4"/>
          <w:sz w:val="20"/>
        </w:rPr>
        <w:t>RJC.</w:t>
      </w:r>
    </w:p>
    <w:p>
      <w:pPr>
        <w:spacing w:before="182"/>
        <w:ind w:left="1157" w:right="0" w:firstLine="0"/>
        <w:jc w:val="left"/>
        <w:rPr>
          <w:sz w:val="24"/>
        </w:rPr>
      </w:pPr>
      <w:r>
        <w:rPr>
          <w:b/>
          <w:sz w:val="24"/>
        </w:rPr>
        <w:t>Advise</w:t>
      </w:r>
      <w:hyperlink w:history="true" w:anchor="_bookmark9">
        <w:r>
          <w:rPr>
            <w:b/>
            <w:sz w:val="24"/>
            <w:vertAlign w:val="superscript"/>
          </w:rPr>
          <w:t>2</w:t>
        </w:r>
      </w:hyperlink>
      <w:r>
        <w:rPr>
          <w:b/>
          <w:spacing w:val="-4"/>
          <w:sz w:val="24"/>
          <w:vertAlign w:val="baseline"/>
        </w:rPr>
        <w:t> </w:t>
      </w:r>
      <w:r>
        <w:rPr>
          <w:sz w:val="24"/>
          <w:vertAlign w:val="baseline"/>
        </w:rPr>
        <w:t>(to</w:t>
      </w:r>
      <w:r>
        <w:rPr>
          <w:spacing w:val="-3"/>
          <w:sz w:val="24"/>
          <w:vertAlign w:val="baseline"/>
        </w:rPr>
        <w:t> </w:t>
      </w:r>
      <w:r>
        <w:rPr>
          <w:sz w:val="24"/>
          <w:vertAlign w:val="baseline"/>
        </w:rPr>
        <w:t>monitor)/</w:t>
      </w:r>
      <w:r>
        <w:rPr>
          <w:spacing w:val="-4"/>
          <w:sz w:val="24"/>
          <w:vertAlign w:val="baseline"/>
        </w:rPr>
        <w:t> </w:t>
      </w:r>
      <w:r>
        <w:rPr>
          <w:b/>
          <w:sz w:val="24"/>
          <w:vertAlign w:val="baseline"/>
        </w:rPr>
        <w:t>Cynghori </w:t>
      </w:r>
      <w:r>
        <w:rPr>
          <w:sz w:val="24"/>
          <w:vertAlign w:val="baseline"/>
        </w:rPr>
        <w:t>(i</w:t>
      </w:r>
      <w:r>
        <w:rPr>
          <w:spacing w:val="-3"/>
          <w:sz w:val="24"/>
          <w:vertAlign w:val="baseline"/>
        </w:rPr>
        <w:t> </w:t>
      </w:r>
      <w:r>
        <w:rPr>
          <w:spacing w:val="-2"/>
          <w:sz w:val="24"/>
          <w:vertAlign w:val="baseline"/>
        </w:rPr>
        <w:t>fonitro)</w:t>
      </w:r>
    </w:p>
    <w:p>
      <w:pPr>
        <w:spacing w:line="259" w:lineRule="auto" w:before="177"/>
        <w:ind w:left="1157" w:right="758" w:firstLine="0"/>
        <w:jc w:val="left"/>
        <w:rPr>
          <w:sz w:val="20"/>
        </w:rPr>
      </w:pPr>
      <w:r>
        <w:rPr>
          <w:sz w:val="20"/>
        </w:rPr>
        <w:t>The Regional Health Economy Subgroup wishes to advise members of the RJC that this report provides a cumulative update since the RJC meeting in</w:t>
      </w:r>
      <w:r>
        <w:rPr>
          <w:spacing w:val="-7"/>
          <w:sz w:val="20"/>
        </w:rPr>
        <w:t> </w:t>
      </w:r>
      <w:r>
        <w:rPr>
          <w:sz w:val="20"/>
        </w:rPr>
        <w:t>April 2026.</w:t>
      </w:r>
      <w:r>
        <w:rPr>
          <w:spacing w:val="-7"/>
          <w:sz w:val="20"/>
        </w:rPr>
        <w:t> </w:t>
      </w:r>
      <w:r>
        <w:rPr>
          <w:sz w:val="20"/>
        </w:rPr>
        <w:t>As the July RJC meeting was stood</w:t>
      </w:r>
      <w:r>
        <w:rPr>
          <w:spacing w:val="-5"/>
          <w:sz w:val="20"/>
        </w:rPr>
        <w:t> </w:t>
      </w:r>
      <w:r>
        <w:rPr>
          <w:sz w:val="20"/>
        </w:rPr>
        <w:t>down,</w:t>
      </w:r>
      <w:r>
        <w:rPr>
          <w:spacing w:val="-5"/>
          <w:sz w:val="20"/>
        </w:rPr>
        <w:t> </w:t>
      </w:r>
      <w:r>
        <w:rPr>
          <w:sz w:val="20"/>
        </w:rPr>
        <w:t>activity</w:t>
      </w:r>
      <w:r>
        <w:rPr>
          <w:spacing w:val="-4"/>
          <w:sz w:val="20"/>
        </w:rPr>
        <w:t> </w:t>
      </w:r>
      <w:r>
        <w:rPr>
          <w:sz w:val="20"/>
        </w:rPr>
        <w:t>previously prepared for</w:t>
      </w:r>
      <w:r>
        <w:rPr>
          <w:spacing w:val="-5"/>
          <w:sz w:val="20"/>
        </w:rPr>
        <w:t> </w:t>
      </w:r>
      <w:r>
        <w:rPr>
          <w:sz w:val="20"/>
        </w:rPr>
        <w:t>July</w:t>
      </w:r>
      <w:r>
        <w:rPr>
          <w:spacing w:val="-3"/>
          <w:sz w:val="20"/>
        </w:rPr>
        <w:t> </w:t>
      </w:r>
      <w:r>
        <w:rPr>
          <w:sz w:val="20"/>
        </w:rPr>
        <w:t>has</w:t>
      </w:r>
      <w:r>
        <w:rPr>
          <w:spacing w:val="-4"/>
          <w:sz w:val="20"/>
        </w:rPr>
        <w:t> </w:t>
      </w:r>
      <w:r>
        <w:rPr>
          <w:sz w:val="20"/>
        </w:rPr>
        <w:t>been</w:t>
      </w:r>
      <w:r>
        <w:rPr>
          <w:spacing w:val="-5"/>
          <w:sz w:val="20"/>
        </w:rPr>
        <w:t> </w:t>
      </w:r>
      <w:r>
        <w:rPr>
          <w:sz w:val="20"/>
        </w:rPr>
        <w:t>retained</w:t>
      </w:r>
      <w:r>
        <w:rPr>
          <w:spacing w:val="-5"/>
          <w:sz w:val="20"/>
        </w:rPr>
        <w:t> </w:t>
      </w:r>
      <w:r>
        <w:rPr>
          <w:sz w:val="20"/>
        </w:rPr>
        <w:t>where</w:t>
      </w:r>
      <w:r>
        <w:rPr>
          <w:spacing w:val="-5"/>
          <w:sz w:val="20"/>
        </w:rPr>
        <w:t> </w:t>
      </w:r>
      <w:r>
        <w:rPr>
          <w:sz w:val="20"/>
        </w:rPr>
        <w:t>it remains relevant,</w:t>
      </w:r>
      <w:r>
        <w:rPr>
          <w:spacing w:val="-5"/>
          <w:sz w:val="20"/>
        </w:rPr>
        <w:t> </w:t>
      </w:r>
      <w:r>
        <w:rPr>
          <w:sz w:val="20"/>
        </w:rPr>
        <w:t>with substantive progress since then highlighted below.</w:t>
      </w:r>
    </w:p>
    <w:p>
      <w:pPr>
        <w:pStyle w:val="BodyText"/>
        <w:spacing w:before="68"/>
        <w:rPr>
          <w:sz w:val="20"/>
        </w:rPr>
      </w:pPr>
    </w:p>
    <w:p>
      <w:pPr>
        <w:pStyle w:val="ListParagraph"/>
        <w:numPr>
          <w:ilvl w:val="0"/>
          <w:numId w:val="26"/>
        </w:numPr>
        <w:tabs>
          <w:tab w:pos="1877" w:val="left" w:leader="none"/>
        </w:tabs>
        <w:spacing w:line="307" w:lineRule="auto" w:before="0" w:after="0"/>
        <w:ind w:left="1877" w:right="772" w:hanging="360"/>
        <w:jc w:val="left"/>
        <w:rPr>
          <w:rFonts w:ascii="Symbol" w:hAnsi="Symbol"/>
          <w:sz w:val="24"/>
        </w:rPr>
      </w:pPr>
      <w:r>
        <w:rPr>
          <w:sz w:val="20"/>
        </w:rPr>
        <w:t>Across the programme, the subgroup has moved from initial scoping towards a clearer set of products</w:t>
      </w:r>
      <w:r>
        <w:rPr>
          <w:spacing w:val="-1"/>
          <w:sz w:val="20"/>
        </w:rPr>
        <w:t> </w:t>
      </w:r>
      <w:r>
        <w:rPr>
          <w:sz w:val="20"/>
        </w:rPr>
        <w:t>and</w:t>
      </w:r>
      <w:r>
        <w:rPr>
          <w:spacing w:val="-2"/>
          <w:sz w:val="20"/>
        </w:rPr>
        <w:t> </w:t>
      </w:r>
      <w:r>
        <w:rPr>
          <w:sz w:val="20"/>
        </w:rPr>
        <w:t>delivery</w:t>
      </w:r>
      <w:r>
        <w:rPr>
          <w:spacing w:val="-1"/>
          <w:sz w:val="20"/>
        </w:rPr>
        <w:t> </w:t>
      </w:r>
      <w:r>
        <w:rPr>
          <w:sz w:val="20"/>
        </w:rPr>
        <w:t>priorities.</w:t>
      </w:r>
      <w:r>
        <w:rPr>
          <w:spacing w:val="-11"/>
          <w:sz w:val="20"/>
        </w:rPr>
        <w:t> </w:t>
      </w:r>
      <w:r>
        <w:rPr>
          <w:sz w:val="20"/>
        </w:rPr>
        <w:t>These</w:t>
      </w:r>
      <w:r>
        <w:rPr>
          <w:spacing w:val="-6"/>
          <w:sz w:val="20"/>
        </w:rPr>
        <w:t> </w:t>
      </w:r>
      <w:r>
        <w:rPr>
          <w:sz w:val="20"/>
        </w:rPr>
        <w:t>include</w:t>
      </w:r>
      <w:r>
        <w:rPr>
          <w:spacing w:val="-6"/>
          <w:sz w:val="20"/>
        </w:rPr>
        <w:t> </w:t>
      </w:r>
      <w:r>
        <w:rPr>
          <w:sz w:val="20"/>
        </w:rPr>
        <w:t>a</w:t>
      </w:r>
      <w:r>
        <w:rPr>
          <w:spacing w:val="-2"/>
          <w:sz w:val="20"/>
        </w:rPr>
        <w:t> </w:t>
      </w:r>
      <w:r>
        <w:rPr>
          <w:sz w:val="20"/>
        </w:rPr>
        <w:t>phased</w:t>
      </w:r>
      <w:r>
        <w:rPr>
          <w:spacing w:val="-2"/>
          <w:sz w:val="20"/>
        </w:rPr>
        <w:t> </w:t>
      </w:r>
      <w:r>
        <w:rPr>
          <w:sz w:val="20"/>
        </w:rPr>
        <w:t>Regional</w:t>
      </w:r>
      <w:r>
        <w:rPr>
          <w:spacing w:val="-4"/>
          <w:sz w:val="20"/>
        </w:rPr>
        <w:t> </w:t>
      </w:r>
      <w:r>
        <w:rPr>
          <w:sz w:val="20"/>
        </w:rPr>
        <w:t>Health</w:t>
      </w:r>
      <w:r>
        <w:rPr>
          <w:spacing w:val="-6"/>
          <w:sz w:val="20"/>
        </w:rPr>
        <w:t> </w:t>
      </w:r>
      <w:r>
        <w:rPr>
          <w:sz w:val="20"/>
        </w:rPr>
        <w:t>Intelligence</w:t>
      </w:r>
      <w:r>
        <w:rPr>
          <w:spacing w:val="-6"/>
          <w:sz w:val="20"/>
        </w:rPr>
        <w:t> </w:t>
      </w:r>
      <w:r>
        <w:rPr>
          <w:sz w:val="20"/>
        </w:rPr>
        <w:t>product, a</w:t>
      </w:r>
      <w:r>
        <w:rPr>
          <w:spacing w:val="-4"/>
          <w:sz w:val="20"/>
        </w:rPr>
        <w:t> </w:t>
      </w:r>
      <w:r>
        <w:rPr>
          <w:sz w:val="20"/>
        </w:rPr>
        <w:t>shared</w:t>
      </w:r>
      <w:r>
        <w:rPr>
          <w:spacing w:val="-4"/>
          <w:sz w:val="20"/>
        </w:rPr>
        <w:t> </w:t>
      </w:r>
      <w:r>
        <w:rPr>
          <w:sz w:val="20"/>
        </w:rPr>
        <w:t>regional</w:t>
      </w:r>
      <w:r>
        <w:rPr>
          <w:spacing w:val="-2"/>
          <w:sz w:val="20"/>
        </w:rPr>
        <w:t> </w:t>
      </w:r>
      <w:r>
        <w:rPr>
          <w:sz w:val="20"/>
        </w:rPr>
        <w:t>health equity</w:t>
      </w:r>
      <w:r>
        <w:rPr>
          <w:spacing w:val="-3"/>
          <w:sz w:val="20"/>
        </w:rPr>
        <w:t> </w:t>
      </w:r>
      <w:r>
        <w:rPr>
          <w:sz w:val="20"/>
        </w:rPr>
        <w:t>framework,</w:t>
      </w:r>
      <w:r>
        <w:rPr>
          <w:spacing w:val="-3"/>
          <w:sz w:val="20"/>
        </w:rPr>
        <w:t> </w:t>
      </w:r>
      <w:r>
        <w:rPr>
          <w:sz w:val="20"/>
        </w:rPr>
        <w:t>a product-development</w:t>
      </w:r>
      <w:r>
        <w:rPr>
          <w:spacing w:val="-4"/>
          <w:sz w:val="20"/>
        </w:rPr>
        <w:t> </w:t>
      </w:r>
      <w:r>
        <w:rPr>
          <w:sz w:val="20"/>
        </w:rPr>
        <w:t>roadmap</w:t>
      </w:r>
      <w:r>
        <w:rPr>
          <w:spacing w:val="-4"/>
          <w:sz w:val="20"/>
        </w:rPr>
        <w:t> </w:t>
      </w:r>
      <w:r>
        <w:rPr>
          <w:sz w:val="20"/>
        </w:rPr>
        <w:t>for the</w:t>
      </w:r>
      <w:r>
        <w:rPr>
          <w:spacing w:val="-4"/>
          <w:sz w:val="20"/>
        </w:rPr>
        <w:t> </w:t>
      </w:r>
      <w:r>
        <w:rPr>
          <w:sz w:val="20"/>
        </w:rPr>
        <w:t>long-term plan, practical procurement and preventative-spend activity, and delivery of the Warm and Healthy Homes programme.</w:t>
      </w:r>
    </w:p>
    <w:p>
      <w:pPr>
        <w:pStyle w:val="ListParagraph"/>
        <w:numPr>
          <w:ilvl w:val="0"/>
          <w:numId w:val="26"/>
        </w:numPr>
        <w:tabs>
          <w:tab w:pos="1877" w:val="left" w:leader="none"/>
        </w:tabs>
        <w:spacing w:line="241" w:lineRule="exact" w:before="0" w:after="0"/>
        <w:ind w:left="1877" w:right="0" w:hanging="360"/>
        <w:jc w:val="left"/>
        <w:rPr>
          <w:rFonts w:ascii="Symbol" w:hAnsi="Symbol"/>
          <w:sz w:val="24"/>
        </w:rPr>
      </w:pPr>
      <w:r>
        <w:rPr>
          <w:b/>
          <w:sz w:val="20"/>
        </w:rPr>
        <w:t>Governance</w:t>
      </w:r>
      <w:r>
        <w:rPr>
          <w:b/>
          <w:spacing w:val="-8"/>
          <w:sz w:val="20"/>
        </w:rPr>
        <w:t> </w:t>
      </w:r>
      <w:r>
        <w:rPr>
          <w:b/>
          <w:sz w:val="20"/>
        </w:rPr>
        <w:t>and</w:t>
      </w:r>
      <w:r>
        <w:rPr>
          <w:b/>
          <w:spacing w:val="-6"/>
          <w:sz w:val="20"/>
        </w:rPr>
        <w:t> </w:t>
      </w:r>
      <w:r>
        <w:rPr>
          <w:b/>
          <w:sz w:val="20"/>
        </w:rPr>
        <w:t>strategic</w:t>
      </w:r>
      <w:r>
        <w:rPr>
          <w:b/>
          <w:spacing w:val="-6"/>
          <w:sz w:val="20"/>
        </w:rPr>
        <w:t> </w:t>
      </w:r>
      <w:r>
        <w:rPr>
          <w:b/>
          <w:spacing w:val="-2"/>
          <w:sz w:val="20"/>
        </w:rPr>
        <w:t>direction</w:t>
      </w:r>
    </w:p>
    <w:p>
      <w:pPr>
        <w:spacing w:line="312" w:lineRule="auto" w:before="60"/>
        <w:ind w:left="1877" w:right="758" w:firstLine="0"/>
        <w:jc w:val="left"/>
        <w:rPr>
          <w:sz w:val="20"/>
        </w:rPr>
      </w:pPr>
      <w:r>
        <w:rPr>
          <w:sz w:val="20"/>
        </w:rPr>
        <w:t>The</w:t>
      </w:r>
      <w:r>
        <w:rPr>
          <w:spacing w:val="-7"/>
          <w:sz w:val="20"/>
        </w:rPr>
        <w:t> </w:t>
      </w:r>
      <w:r>
        <w:rPr>
          <w:sz w:val="20"/>
        </w:rPr>
        <w:t>subgroup</w:t>
      </w:r>
      <w:r>
        <w:rPr>
          <w:spacing w:val="-7"/>
          <w:sz w:val="20"/>
        </w:rPr>
        <w:t> </w:t>
      </w:r>
      <w:r>
        <w:rPr>
          <w:sz w:val="20"/>
        </w:rPr>
        <w:t>reviewed</w:t>
      </w:r>
      <w:r>
        <w:rPr>
          <w:spacing w:val="-7"/>
          <w:sz w:val="20"/>
        </w:rPr>
        <w:t> </w:t>
      </w:r>
      <w:r>
        <w:rPr>
          <w:sz w:val="20"/>
        </w:rPr>
        <w:t>its</w:t>
      </w:r>
      <w:r>
        <w:rPr>
          <w:spacing w:val="-2"/>
          <w:sz w:val="20"/>
        </w:rPr>
        <w:t> </w:t>
      </w:r>
      <w:r>
        <w:rPr>
          <w:sz w:val="20"/>
        </w:rPr>
        <w:t>refreshed</w:t>
      </w:r>
      <w:r>
        <w:rPr>
          <w:spacing w:val="-7"/>
          <w:sz w:val="20"/>
        </w:rPr>
        <w:t> </w:t>
      </w:r>
      <w:r>
        <w:rPr>
          <w:sz w:val="20"/>
        </w:rPr>
        <w:t>Terms</w:t>
      </w:r>
      <w:r>
        <w:rPr>
          <w:spacing w:val="-6"/>
          <w:sz w:val="20"/>
        </w:rPr>
        <w:t> </w:t>
      </w:r>
      <w:r>
        <w:rPr>
          <w:sz w:val="20"/>
        </w:rPr>
        <w:t>of</w:t>
      </w:r>
      <w:r>
        <w:rPr>
          <w:spacing w:val="-7"/>
          <w:sz w:val="20"/>
        </w:rPr>
        <w:t> </w:t>
      </w:r>
      <w:r>
        <w:rPr>
          <w:sz w:val="20"/>
        </w:rPr>
        <w:t>Reference</w:t>
      </w:r>
      <w:r>
        <w:rPr>
          <w:spacing w:val="-2"/>
          <w:sz w:val="20"/>
        </w:rPr>
        <w:t> </w:t>
      </w:r>
      <w:r>
        <w:rPr>
          <w:sz w:val="20"/>
        </w:rPr>
        <w:t>on</w:t>
      </w:r>
      <w:r>
        <w:rPr>
          <w:spacing w:val="-7"/>
          <w:sz w:val="20"/>
        </w:rPr>
        <w:t> </w:t>
      </w:r>
      <w:r>
        <w:rPr>
          <w:sz w:val="20"/>
        </w:rPr>
        <w:t>14</w:t>
      </w:r>
      <w:r>
        <w:rPr>
          <w:spacing w:val="-7"/>
          <w:sz w:val="20"/>
        </w:rPr>
        <w:t> </w:t>
      </w:r>
      <w:r>
        <w:rPr>
          <w:sz w:val="20"/>
        </w:rPr>
        <w:t>September</w:t>
      </w:r>
      <w:r>
        <w:rPr>
          <w:spacing w:val="-7"/>
          <w:sz w:val="20"/>
        </w:rPr>
        <w:t> </w:t>
      </w:r>
      <w:r>
        <w:rPr>
          <w:sz w:val="20"/>
        </w:rPr>
        <w:t>2026.</w:t>
      </w:r>
      <w:r>
        <w:rPr>
          <w:spacing w:val="-7"/>
          <w:sz w:val="20"/>
        </w:rPr>
        <w:t> </w:t>
      </w:r>
      <w:r>
        <w:rPr>
          <w:sz w:val="20"/>
        </w:rPr>
        <w:t>The</w:t>
      </w:r>
      <w:r>
        <w:rPr>
          <w:spacing w:val="-2"/>
          <w:sz w:val="20"/>
        </w:rPr>
        <w:t> </w:t>
      </w:r>
      <w:r>
        <w:rPr>
          <w:sz w:val="20"/>
        </w:rPr>
        <w:t>revised purpose and objectives align with the updated RJC Terms of Reference and strategic</w:t>
      </w:r>
    </w:p>
    <w:p>
      <w:pPr>
        <w:spacing w:line="314" w:lineRule="auto" w:before="2"/>
        <w:ind w:left="1877" w:right="758" w:firstLine="0"/>
        <w:jc w:val="left"/>
        <w:rPr>
          <w:sz w:val="20"/>
        </w:rPr>
      </w:pPr>
      <w:r>
        <w:rPr>
          <w:sz w:val="20"/>
        </w:rPr>
        <w:t>objectives.</w:t>
      </w:r>
      <w:r>
        <w:rPr>
          <w:spacing w:val="-5"/>
          <w:sz w:val="20"/>
        </w:rPr>
        <w:t> </w:t>
      </w:r>
      <w:r>
        <w:rPr>
          <w:sz w:val="20"/>
        </w:rPr>
        <w:t>Members</w:t>
      </w:r>
      <w:r>
        <w:rPr>
          <w:spacing w:val="-5"/>
          <w:sz w:val="20"/>
        </w:rPr>
        <w:t> </w:t>
      </w:r>
      <w:r>
        <w:rPr>
          <w:sz w:val="20"/>
        </w:rPr>
        <w:t>supported</w:t>
      </w:r>
      <w:r>
        <w:rPr>
          <w:spacing w:val="-6"/>
          <w:sz w:val="20"/>
        </w:rPr>
        <w:t> </w:t>
      </w:r>
      <w:r>
        <w:rPr>
          <w:sz w:val="20"/>
        </w:rPr>
        <w:t>the</w:t>
      </w:r>
      <w:r>
        <w:rPr>
          <w:spacing w:val="-6"/>
          <w:sz w:val="20"/>
        </w:rPr>
        <w:t> </w:t>
      </w:r>
      <w:r>
        <w:rPr>
          <w:sz w:val="20"/>
        </w:rPr>
        <w:t>document</w:t>
      </w:r>
      <w:r>
        <w:rPr>
          <w:spacing w:val="-6"/>
          <w:sz w:val="20"/>
        </w:rPr>
        <w:t> </w:t>
      </w:r>
      <w:r>
        <w:rPr>
          <w:sz w:val="20"/>
        </w:rPr>
        <w:t>in</w:t>
      </w:r>
      <w:r>
        <w:rPr>
          <w:spacing w:val="-6"/>
          <w:sz w:val="20"/>
        </w:rPr>
        <w:t> </w:t>
      </w:r>
      <w:r>
        <w:rPr>
          <w:sz w:val="20"/>
        </w:rPr>
        <w:t>principle, subject</w:t>
      </w:r>
      <w:r>
        <w:rPr>
          <w:spacing w:val="-5"/>
          <w:sz w:val="20"/>
        </w:rPr>
        <w:t> </w:t>
      </w:r>
      <w:r>
        <w:rPr>
          <w:sz w:val="20"/>
        </w:rPr>
        <w:t>to</w:t>
      </w:r>
      <w:r>
        <w:rPr>
          <w:spacing w:val="-2"/>
          <w:sz w:val="20"/>
        </w:rPr>
        <w:t> </w:t>
      </w:r>
      <w:r>
        <w:rPr>
          <w:sz w:val="20"/>
        </w:rPr>
        <w:t>minor</w:t>
      </w:r>
      <w:r>
        <w:rPr>
          <w:spacing w:val="-1"/>
          <w:sz w:val="20"/>
        </w:rPr>
        <w:t> </w:t>
      </w:r>
      <w:r>
        <w:rPr>
          <w:sz w:val="20"/>
        </w:rPr>
        <w:t>amendments.</w:t>
      </w:r>
      <w:r>
        <w:rPr>
          <w:spacing w:val="-4"/>
          <w:sz w:val="20"/>
        </w:rPr>
        <w:t> </w:t>
      </w:r>
      <w:r>
        <w:rPr>
          <w:sz w:val="20"/>
        </w:rPr>
        <w:t>The wording will recognise the subgroup’s sphere of influence and the wider role of health, care, public services, communities, economic partners, local authorities and universities.</w:t>
      </w:r>
    </w:p>
    <w:p>
      <w:pPr>
        <w:pStyle w:val="ListParagraph"/>
        <w:numPr>
          <w:ilvl w:val="0"/>
          <w:numId w:val="26"/>
        </w:numPr>
        <w:tabs>
          <w:tab w:pos="1877" w:val="left" w:leader="none"/>
        </w:tabs>
        <w:spacing w:line="237" w:lineRule="exact" w:before="0" w:after="0"/>
        <w:ind w:left="1877" w:right="0" w:hanging="360"/>
        <w:jc w:val="left"/>
        <w:rPr>
          <w:rFonts w:ascii="Symbol" w:hAnsi="Symbol"/>
          <w:sz w:val="24"/>
        </w:rPr>
      </w:pPr>
      <w:r>
        <w:rPr>
          <w:b/>
          <w:sz w:val="20"/>
        </w:rPr>
        <w:t>Regional</w:t>
      </w:r>
      <w:r>
        <w:rPr>
          <w:b/>
          <w:spacing w:val="-6"/>
          <w:sz w:val="20"/>
        </w:rPr>
        <w:t> </w:t>
      </w:r>
      <w:r>
        <w:rPr>
          <w:b/>
          <w:sz w:val="20"/>
        </w:rPr>
        <w:t>Health</w:t>
      </w:r>
      <w:r>
        <w:rPr>
          <w:b/>
          <w:spacing w:val="-7"/>
          <w:sz w:val="20"/>
        </w:rPr>
        <w:t> </w:t>
      </w:r>
      <w:r>
        <w:rPr>
          <w:b/>
          <w:sz w:val="20"/>
        </w:rPr>
        <w:t>Intelligence</w:t>
      </w:r>
      <w:r>
        <w:rPr>
          <w:b/>
          <w:spacing w:val="-2"/>
          <w:sz w:val="20"/>
        </w:rPr>
        <w:t> </w:t>
      </w:r>
      <w:r>
        <w:rPr>
          <w:b/>
          <w:sz w:val="20"/>
        </w:rPr>
        <w:t>and</w:t>
      </w:r>
      <w:r>
        <w:rPr>
          <w:b/>
          <w:spacing w:val="-6"/>
          <w:sz w:val="20"/>
        </w:rPr>
        <w:t> </w:t>
      </w:r>
      <w:r>
        <w:rPr>
          <w:b/>
          <w:spacing w:val="-2"/>
          <w:sz w:val="20"/>
        </w:rPr>
        <w:t>outcomes</w:t>
      </w:r>
    </w:p>
    <w:p>
      <w:pPr>
        <w:spacing w:line="312" w:lineRule="auto" w:before="60"/>
        <w:ind w:left="1877" w:right="758" w:firstLine="0"/>
        <w:jc w:val="left"/>
        <w:rPr>
          <w:sz w:val="20"/>
        </w:rPr>
      </w:pPr>
      <w:r>
        <w:rPr>
          <w:sz w:val="20"/>
        </w:rPr>
        <w:t>The</w:t>
      </w:r>
      <w:r>
        <w:rPr>
          <w:spacing w:val="-3"/>
          <w:sz w:val="20"/>
        </w:rPr>
        <w:t> </w:t>
      </w:r>
      <w:r>
        <w:rPr>
          <w:sz w:val="20"/>
        </w:rPr>
        <w:t>subgroup</w:t>
      </w:r>
      <w:r>
        <w:rPr>
          <w:spacing w:val="-3"/>
          <w:sz w:val="20"/>
        </w:rPr>
        <w:t> </w:t>
      </w:r>
      <w:r>
        <w:rPr>
          <w:sz w:val="20"/>
        </w:rPr>
        <w:t>endorsed</w:t>
      </w:r>
      <w:r>
        <w:rPr>
          <w:spacing w:val="-3"/>
          <w:sz w:val="20"/>
        </w:rPr>
        <w:t> </w:t>
      </w:r>
      <w:r>
        <w:rPr>
          <w:sz w:val="20"/>
        </w:rPr>
        <w:t>a</w:t>
      </w:r>
      <w:r>
        <w:rPr>
          <w:spacing w:val="-3"/>
          <w:sz w:val="20"/>
        </w:rPr>
        <w:t> </w:t>
      </w:r>
      <w:r>
        <w:rPr>
          <w:sz w:val="20"/>
        </w:rPr>
        <w:t>phased Regional</w:t>
      </w:r>
      <w:r>
        <w:rPr>
          <w:spacing w:val="-1"/>
          <w:sz w:val="20"/>
        </w:rPr>
        <w:t> </w:t>
      </w:r>
      <w:r>
        <w:rPr>
          <w:sz w:val="20"/>
        </w:rPr>
        <w:t>Health</w:t>
      </w:r>
      <w:r>
        <w:rPr>
          <w:spacing w:val="-3"/>
          <w:sz w:val="20"/>
        </w:rPr>
        <w:t> </w:t>
      </w:r>
      <w:r>
        <w:rPr>
          <w:sz w:val="20"/>
        </w:rPr>
        <w:t>Intelligence</w:t>
      </w:r>
      <w:r>
        <w:rPr>
          <w:spacing w:val="-3"/>
          <w:sz w:val="20"/>
        </w:rPr>
        <w:t> </w:t>
      </w:r>
      <w:r>
        <w:rPr>
          <w:sz w:val="20"/>
        </w:rPr>
        <w:t>approach.</w:t>
      </w:r>
      <w:r>
        <w:rPr>
          <w:spacing w:val="-3"/>
          <w:sz w:val="20"/>
        </w:rPr>
        <w:t> </w:t>
      </w:r>
      <w:r>
        <w:rPr>
          <w:sz w:val="20"/>
        </w:rPr>
        <w:t>The</w:t>
      </w:r>
      <w:r>
        <w:rPr>
          <w:spacing w:val="-3"/>
          <w:sz w:val="20"/>
        </w:rPr>
        <w:t> </w:t>
      </w:r>
      <w:r>
        <w:rPr>
          <w:sz w:val="20"/>
        </w:rPr>
        <w:t>initial product will be a proportionate refresh of the previous regional</w:t>
      </w:r>
      <w:r>
        <w:rPr>
          <w:spacing w:val="-4"/>
          <w:sz w:val="20"/>
        </w:rPr>
        <w:t> </w:t>
      </w:r>
      <w:r>
        <w:rPr>
          <w:sz w:val="20"/>
        </w:rPr>
        <w:t>ARCH Health Needs</w:t>
      </w:r>
      <w:r>
        <w:rPr>
          <w:spacing w:val="-5"/>
          <w:sz w:val="20"/>
        </w:rPr>
        <w:t> </w:t>
      </w:r>
      <w:r>
        <w:rPr>
          <w:sz w:val="20"/>
        </w:rPr>
        <w:t>Assessment, drawing</w:t>
      </w:r>
      <w:r>
        <w:rPr>
          <w:spacing w:val="-5"/>
          <w:sz w:val="20"/>
        </w:rPr>
        <w:t> </w:t>
      </w:r>
      <w:r>
        <w:rPr>
          <w:sz w:val="20"/>
        </w:rPr>
        <w:t>on</w:t>
      </w:r>
      <w:r>
        <w:rPr>
          <w:spacing w:val="-5"/>
          <w:sz w:val="20"/>
        </w:rPr>
        <w:t> </w:t>
      </w:r>
      <w:r>
        <w:rPr>
          <w:sz w:val="20"/>
        </w:rPr>
        <w:t>the</w:t>
      </w:r>
      <w:r>
        <w:rPr>
          <w:spacing w:val="-1"/>
          <w:sz w:val="20"/>
        </w:rPr>
        <w:t> </w:t>
      </w:r>
      <w:r>
        <w:rPr>
          <w:sz w:val="20"/>
        </w:rPr>
        <w:t>latest</w:t>
      </w:r>
      <w:r>
        <w:rPr>
          <w:spacing w:val="-4"/>
          <w:sz w:val="20"/>
        </w:rPr>
        <w:t> </w:t>
      </w:r>
      <w:r>
        <w:rPr>
          <w:sz w:val="20"/>
        </w:rPr>
        <w:t>accessible</w:t>
      </w:r>
      <w:r>
        <w:rPr>
          <w:spacing w:val="-4"/>
          <w:sz w:val="20"/>
        </w:rPr>
        <w:t> </w:t>
      </w:r>
      <w:r>
        <w:rPr>
          <w:sz w:val="20"/>
        </w:rPr>
        <w:t>evidence</w:t>
      </w:r>
      <w:r>
        <w:rPr>
          <w:spacing w:val="-5"/>
          <w:sz w:val="20"/>
        </w:rPr>
        <w:t> </w:t>
      </w:r>
      <w:r>
        <w:rPr>
          <w:sz w:val="20"/>
        </w:rPr>
        <w:t>from</w:t>
      </w:r>
      <w:r>
        <w:rPr>
          <w:spacing w:val="-2"/>
          <w:sz w:val="20"/>
        </w:rPr>
        <w:t> </w:t>
      </w:r>
      <w:r>
        <w:rPr>
          <w:sz w:val="20"/>
        </w:rPr>
        <w:t>both</w:t>
      </w:r>
      <w:r>
        <w:rPr>
          <w:spacing w:val="-2"/>
          <w:sz w:val="20"/>
        </w:rPr>
        <w:t> </w:t>
      </w:r>
      <w:r>
        <w:rPr>
          <w:sz w:val="20"/>
        </w:rPr>
        <w:t>health</w:t>
      </w:r>
      <w:r>
        <w:rPr>
          <w:spacing w:val="-5"/>
          <w:sz w:val="20"/>
        </w:rPr>
        <w:t> </w:t>
      </w:r>
      <w:r>
        <w:rPr>
          <w:sz w:val="20"/>
        </w:rPr>
        <w:t>boards,</w:t>
      </w:r>
      <w:r>
        <w:rPr>
          <w:spacing w:val="-4"/>
          <w:sz w:val="20"/>
        </w:rPr>
        <w:t> </w:t>
      </w:r>
      <w:r>
        <w:rPr>
          <w:sz w:val="20"/>
        </w:rPr>
        <w:t>Public</w:t>
      </w:r>
      <w:r>
        <w:rPr>
          <w:spacing w:val="-4"/>
          <w:sz w:val="20"/>
        </w:rPr>
        <w:t> </w:t>
      </w:r>
      <w:r>
        <w:rPr>
          <w:sz w:val="20"/>
        </w:rPr>
        <w:t>Health</w:t>
      </w:r>
      <w:r>
        <w:rPr>
          <w:spacing w:val="-5"/>
          <w:sz w:val="20"/>
        </w:rPr>
        <w:t> </w:t>
      </w:r>
      <w:r>
        <w:rPr>
          <w:sz w:val="20"/>
        </w:rPr>
        <w:t>Wales and</w:t>
      </w:r>
    </w:p>
    <w:p>
      <w:pPr>
        <w:pStyle w:val="BodyText"/>
        <w:spacing w:before="6"/>
        <w:rPr>
          <w:sz w:val="7"/>
        </w:rPr>
      </w:pPr>
      <w:r>
        <w:rPr>
          <w:sz w:val="7"/>
        </w:rPr>
        <mc:AlternateContent>
          <mc:Choice Requires="wps">
            <w:drawing>
              <wp:anchor distT="0" distB="0" distL="0" distR="0" allowOverlap="1" layoutInCell="1" locked="0" behindDoc="1" simplePos="0" relativeHeight="487642624">
                <wp:simplePos x="0" y="0"/>
                <wp:positionH relativeFrom="page">
                  <wp:posOffset>914717</wp:posOffset>
                </wp:positionH>
                <wp:positionV relativeFrom="paragraph">
                  <wp:posOffset>70391</wp:posOffset>
                </wp:positionV>
                <wp:extent cx="1830070" cy="9525"/>
                <wp:effectExtent l="0" t="0" r="0" b="0"/>
                <wp:wrapTopAndBottom/>
                <wp:docPr id="356" name="Graphic 356"/>
                <wp:cNvGraphicFramePr>
                  <a:graphicFrameLocks/>
                </wp:cNvGraphicFramePr>
                <a:graphic>
                  <a:graphicData uri="http://schemas.microsoft.com/office/word/2010/wordprocessingShape">
                    <wps:wsp>
                      <wps:cNvPr id="356" name="Graphic 356"/>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5002pt;margin-top:5.542643pt;width:144.080pt;height:.75pt;mso-position-horizontal-relative:page;mso-position-vertical-relative:paragraph;z-index:-15673856;mso-wrap-distance-left:0;mso-wrap-distance-right:0" id="docshape183" filled="true" fillcolor="#000000" stroked="false">
                <v:fill type="solid"/>
                <w10:wrap type="topAndBottom"/>
              </v:rect>
            </w:pict>
          </mc:Fallback>
        </mc:AlternateContent>
      </w:r>
    </w:p>
    <w:p>
      <w:pPr>
        <w:spacing w:before="100"/>
        <w:ind w:left="1157" w:right="813" w:firstLine="0"/>
        <w:jc w:val="left"/>
        <w:rPr>
          <w:rFonts w:ascii="Calibri"/>
          <w:sz w:val="20"/>
        </w:rPr>
      </w:pPr>
      <w:bookmarkStart w:name="_bookmark8" w:id="36"/>
      <w:bookmarkEnd w:id="36"/>
      <w:r>
        <w:rPr/>
      </w:r>
      <w:r>
        <w:rPr>
          <w:rFonts w:ascii="Calibri"/>
          <w:position w:val="6"/>
          <w:sz w:val="13"/>
        </w:rPr>
        <w:t>1</w:t>
      </w:r>
      <w:r>
        <w:rPr>
          <w:rFonts w:ascii="Calibri"/>
          <w:spacing w:val="18"/>
          <w:position w:val="6"/>
          <w:sz w:val="13"/>
        </w:rPr>
        <w:t> </w:t>
      </w:r>
      <w:r>
        <w:rPr>
          <w:rFonts w:ascii="Calibri"/>
          <w:i/>
          <w:sz w:val="20"/>
        </w:rPr>
        <w:t>There is a lack of confidence that any action in place is sufficient to address the issue</w:t>
      </w:r>
      <w:r>
        <w:rPr>
          <w:rFonts w:ascii="Calibri"/>
          <w:i/>
          <w:spacing w:val="-2"/>
          <w:sz w:val="20"/>
        </w:rPr>
        <w:t> </w:t>
      </w:r>
      <w:r>
        <w:rPr>
          <w:rFonts w:ascii="Calibri"/>
          <w:i/>
          <w:sz w:val="20"/>
        </w:rPr>
        <w:t>satisfactorily and/or</w:t>
      </w:r>
      <w:r>
        <w:rPr>
          <w:rFonts w:ascii="Calibri"/>
          <w:i/>
          <w:sz w:val="20"/>
        </w:rPr>
        <w:t> within</w:t>
      </w:r>
      <w:r>
        <w:rPr>
          <w:rFonts w:ascii="Calibri"/>
          <w:i/>
          <w:spacing w:val="-1"/>
          <w:sz w:val="20"/>
        </w:rPr>
        <w:t> </w:t>
      </w:r>
      <w:r>
        <w:rPr>
          <w:rFonts w:ascii="Calibri"/>
          <w:i/>
          <w:sz w:val="20"/>
        </w:rPr>
        <w:t>the</w:t>
      </w:r>
      <w:r>
        <w:rPr>
          <w:rFonts w:ascii="Calibri"/>
          <w:i/>
          <w:spacing w:val="-3"/>
          <w:sz w:val="20"/>
        </w:rPr>
        <w:t> </w:t>
      </w:r>
      <w:r>
        <w:rPr>
          <w:rFonts w:ascii="Calibri"/>
          <w:i/>
          <w:sz w:val="20"/>
        </w:rPr>
        <w:t>scope</w:t>
      </w:r>
      <w:r>
        <w:rPr>
          <w:rFonts w:ascii="Calibri"/>
          <w:i/>
          <w:spacing w:val="-8"/>
          <w:sz w:val="20"/>
        </w:rPr>
        <w:t> </w:t>
      </w:r>
      <w:r>
        <w:rPr>
          <w:rFonts w:ascii="Calibri"/>
          <w:i/>
          <w:sz w:val="20"/>
        </w:rPr>
        <w:t>of</w:t>
      </w:r>
      <w:r>
        <w:rPr>
          <w:rFonts w:ascii="Calibri"/>
          <w:i/>
          <w:spacing w:val="-4"/>
          <w:sz w:val="20"/>
        </w:rPr>
        <w:t> </w:t>
      </w:r>
      <w:r>
        <w:rPr>
          <w:rFonts w:ascii="Calibri"/>
          <w:i/>
          <w:sz w:val="20"/>
        </w:rPr>
        <w:t>the</w:t>
      </w:r>
      <w:r>
        <w:rPr>
          <w:rFonts w:ascii="Calibri"/>
          <w:i/>
          <w:spacing w:val="-3"/>
          <w:sz w:val="20"/>
        </w:rPr>
        <w:t> </w:t>
      </w:r>
      <w:r>
        <w:rPr>
          <w:rFonts w:ascii="Calibri"/>
          <w:i/>
          <w:sz w:val="20"/>
        </w:rPr>
        <w:t>operational</w:t>
      </w:r>
      <w:r>
        <w:rPr>
          <w:rFonts w:ascii="Calibri"/>
          <w:i/>
          <w:spacing w:val="-3"/>
          <w:sz w:val="20"/>
        </w:rPr>
        <w:t> </w:t>
      </w:r>
      <w:r>
        <w:rPr>
          <w:rFonts w:ascii="Calibri"/>
          <w:i/>
          <w:sz w:val="20"/>
        </w:rPr>
        <w:t>team</w:t>
      </w:r>
      <w:r>
        <w:rPr>
          <w:rFonts w:ascii="Calibri"/>
          <w:i/>
          <w:spacing w:val="-6"/>
          <w:sz w:val="20"/>
        </w:rPr>
        <w:t> </w:t>
      </w:r>
      <w:r>
        <w:rPr>
          <w:rFonts w:ascii="Calibri"/>
          <w:i/>
          <w:sz w:val="20"/>
        </w:rPr>
        <w:t>or</w:t>
      </w:r>
      <w:r>
        <w:rPr>
          <w:rFonts w:ascii="Calibri"/>
          <w:i/>
          <w:spacing w:val="-1"/>
          <w:sz w:val="20"/>
        </w:rPr>
        <w:t> </w:t>
      </w:r>
      <w:r>
        <w:rPr>
          <w:rFonts w:ascii="Calibri"/>
          <w:i/>
          <w:sz w:val="20"/>
        </w:rPr>
        <w:t>executive</w:t>
      </w:r>
      <w:r>
        <w:rPr>
          <w:rFonts w:ascii="Calibri"/>
          <w:i/>
          <w:spacing w:val="-3"/>
          <w:sz w:val="20"/>
        </w:rPr>
        <w:t> </w:t>
      </w:r>
      <w:r>
        <w:rPr>
          <w:rFonts w:ascii="Calibri"/>
          <w:i/>
          <w:sz w:val="20"/>
        </w:rPr>
        <w:t>to</w:t>
      </w:r>
      <w:r>
        <w:rPr>
          <w:rFonts w:ascii="Calibri"/>
          <w:i/>
          <w:spacing w:val="-6"/>
          <w:sz w:val="20"/>
        </w:rPr>
        <w:t> </w:t>
      </w:r>
      <w:r>
        <w:rPr>
          <w:rFonts w:ascii="Calibri"/>
          <w:i/>
          <w:sz w:val="20"/>
        </w:rPr>
        <w:t>resolve.</w:t>
      </w:r>
      <w:r>
        <w:rPr>
          <w:rFonts w:ascii="Calibri"/>
          <w:i/>
          <w:spacing w:val="40"/>
          <w:sz w:val="20"/>
        </w:rPr>
        <w:t> </w:t>
      </w:r>
      <w:r>
        <w:rPr>
          <w:rFonts w:ascii="Calibri"/>
          <w:i/>
          <w:sz w:val="20"/>
        </w:rPr>
        <w:t>Engagement,</w:t>
      </w:r>
      <w:r>
        <w:rPr>
          <w:rFonts w:ascii="Calibri"/>
          <w:i/>
          <w:spacing w:val="-2"/>
          <w:sz w:val="20"/>
        </w:rPr>
        <w:t> </w:t>
      </w:r>
      <w:r>
        <w:rPr>
          <w:rFonts w:ascii="Calibri"/>
          <w:i/>
          <w:sz w:val="20"/>
        </w:rPr>
        <w:t>action</w:t>
      </w:r>
      <w:r>
        <w:rPr>
          <w:rFonts w:ascii="Calibri"/>
          <w:i/>
          <w:spacing w:val="-6"/>
          <w:sz w:val="20"/>
        </w:rPr>
        <w:t> </w:t>
      </w:r>
      <w:r>
        <w:rPr>
          <w:rFonts w:ascii="Calibri"/>
          <w:i/>
          <w:sz w:val="20"/>
        </w:rPr>
        <w:t>or</w:t>
      </w:r>
      <w:r>
        <w:rPr>
          <w:rFonts w:ascii="Calibri"/>
          <w:i/>
          <w:spacing w:val="-1"/>
          <w:sz w:val="20"/>
        </w:rPr>
        <w:t> </w:t>
      </w:r>
      <w:r>
        <w:rPr>
          <w:rFonts w:ascii="Calibri"/>
          <w:i/>
          <w:sz w:val="20"/>
        </w:rPr>
        <w:t>intervention</w:t>
      </w:r>
      <w:r>
        <w:rPr>
          <w:rFonts w:ascii="Calibri"/>
          <w:i/>
          <w:spacing w:val="-1"/>
          <w:sz w:val="20"/>
        </w:rPr>
        <w:t> </w:t>
      </w:r>
      <w:r>
        <w:rPr>
          <w:rFonts w:ascii="Calibri"/>
          <w:i/>
          <w:sz w:val="20"/>
        </w:rPr>
        <w:t>required. </w:t>
      </w:r>
      <w:bookmarkStart w:name="_bookmark9" w:id="37"/>
      <w:bookmarkEnd w:id="37"/>
      <w:r>
        <w:rPr>
          <w:rFonts w:ascii="Calibri"/>
          <w:i/>
          <w:sz w:val="20"/>
        </w:rPr>
      </w:r>
      <w:r>
        <w:rPr>
          <w:rFonts w:ascii="Calibri"/>
          <w:position w:val="6"/>
          <w:sz w:val="13"/>
        </w:rPr>
        <w:t>2</w:t>
      </w:r>
      <w:r>
        <w:rPr>
          <w:rFonts w:ascii="Calibri"/>
          <w:spacing w:val="11"/>
          <w:position w:val="6"/>
          <w:sz w:val="13"/>
        </w:rPr>
        <w:t> </w:t>
      </w:r>
      <w:r>
        <w:rPr>
          <w:rFonts w:ascii="Calibri"/>
          <w:i/>
          <w:sz w:val="20"/>
        </w:rPr>
        <w:t>There</w:t>
      </w:r>
      <w:r>
        <w:rPr>
          <w:rFonts w:ascii="Calibri"/>
          <w:i/>
          <w:spacing w:val="-4"/>
          <w:sz w:val="20"/>
        </w:rPr>
        <w:t> </w:t>
      </w:r>
      <w:r>
        <w:rPr>
          <w:rFonts w:ascii="Calibri"/>
          <w:i/>
          <w:sz w:val="20"/>
        </w:rPr>
        <w:t>are</w:t>
      </w:r>
      <w:r>
        <w:rPr>
          <w:rFonts w:ascii="Calibri"/>
          <w:i/>
          <w:spacing w:val="-4"/>
          <w:sz w:val="20"/>
        </w:rPr>
        <w:t> </w:t>
      </w:r>
      <w:r>
        <w:rPr>
          <w:rFonts w:ascii="Calibri"/>
          <w:i/>
          <w:sz w:val="20"/>
        </w:rPr>
        <w:t>areas</w:t>
      </w:r>
      <w:r>
        <w:rPr>
          <w:rFonts w:ascii="Calibri"/>
          <w:i/>
          <w:spacing w:val="-2"/>
          <w:sz w:val="20"/>
        </w:rPr>
        <w:t> </w:t>
      </w:r>
      <w:r>
        <w:rPr>
          <w:rFonts w:ascii="Calibri"/>
          <w:i/>
          <w:sz w:val="20"/>
        </w:rPr>
        <w:t>of</w:t>
      </w:r>
      <w:r>
        <w:rPr>
          <w:rFonts w:ascii="Calibri"/>
          <w:i/>
          <w:spacing w:val="-5"/>
          <w:sz w:val="20"/>
        </w:rPr>
        <w:t> </w:t>
      </w:r>
      <w:r>
        <w:rPr>
          <w:rFonts w:ascii="Calibri"/>
          <w:i/>
          <w:sz w:val="20"/>
        </w:rPr>
        <w:t>concern</w:t>
      </w:r>
      <w:r>
        <w:rPr>
          <w:rFonts w:ascii="Calibri"/>
          <w:i/>
          <w:spacing w:val="-2"/>
          <w:sz w:val="20"/>
        </w:rPr>
        <w:t> </w:t>
      </w:r>
      <w:r>
        <w:rPr>
          <w:rFonts w:ascii="Calibri"/>
          <w:i/>
          <w:sz w:val="20"/>
        </w:rPr>
        <w:t>where</w:t>
      </w:r>
      <w:r>
        <w:rPr>
          <w:rFonts w:ascii="Calibri"/>
          <w:i/>
          <w:spacing w:val="-4"/>
          <w:sz w:val="20"/>
        </w:rPr>
        <w:t> </w:t>
      </w:r>
      <w:r>
        <w:rPr>
          <w:rFonts w:ascii="Calibri"/>
          <w:i/>
          <w:sz w:val="20"/>
        </w:rPr>
        <w:t>assurance</w:t>
      </w:r>
      <w:r>
        <w:rPr>
          <w:rFonts w:ascii="Calibri"/>
          <w:i/>
          <w:spacing w:val="-4"/>
          <w:sz w:val="20"/>
        </w:rPr>
        <w:t> </w:t>
      </w:r>
      <w:r>
        <w:rPr>
          <w:rFonts w:ascii="Calibri"/>
          <w:i/>
          <w:sz w:val="20"/>
        </w:rPr>
        <w:t>has</w:t>
      </w:r>
      <w:r>
        <w:rPr>
          <w:rFonts w:ascii="Calibri"/>
          <w:i/>
          <w:spacing w:val="-2"/>
          <w:sz w:val="20"/>
        </w:rPr>
        <w:t> </w:t>
      </w:r>
      <w:r>
        <w:rPr>
          <w:rFonts w:ascii="Calibri"/>
          <w:i/>
          <w:sz w:val="20"/>
        </w:rPr>
        <w:t>been</w:t>
      </w:r>
      <w:r>
        <w:rPr>
          <w:rFonts w:ascii="Calibri"/>
          <w:i/>
          <w:spacing w:val="-2"/>
          <w:sz w:val="20"/>
        </w:rPr>
        <w:t> </w:t>
      </w:r>
      <w:r>
        <w:rPr>
          <w:rFonts w:ascii="Calibri"/>
          <w:i/>
          <w:sz w:val="20"/>
        </w:rPr>
        <w:t>taken</w:t>
      </w:r>
      <w:r>
        <w:rPr>
          <w:rFonts w:ascii="Calibri"/>
          <w:i/>
          <w:spacing w:val="-7"/>
          <w:sz w:val="20"/>
        </w:rPr>
        <w:t> </w:t>
      </w:r>
      <w:r>
        <w:rPr>
          <w:rFonts w:ascii="Calibri"/>
          <w:i/>
          <w:sz w:val="20"/>
        </w:rPr>
        <w:t>on</w:t>
      </w:r>
      <w:r>
        <w:rPr>
          <w:rFonts w:ascii="Calibri"/>
          <w:i/>
          <w:spacing w:val="-2"/>
          <w:sz w:val="20"/>
        </w:rPr>
        <w:t> </w:t>
      </w:r>
      <w:r>
        <w:rPr>
          <w:rFonts w:ascii="Calibri"/>
          <w:i/>
          <w:sz w:val="20"/>
        </w:rPr>
        <w:t>actions</w:t>
      </w:r>
      <w:r>
        <w:rPr>
          <w:rFonts w:ascii="Calibri"/>
          <w:i/>
          <w:spacing w:val="-2"/>
          <w:sz w:val="20"/>
        </w:rPr>
        <w:t> </w:t>
      </w:r>
      <w:r>
        <w:rPr>
          <w:rFonts w:ascii="Calibri"/>
          <w:i/>
          <w:sz w:val="20"/>
        </w:rPr>
        <w:t>in</w:t>
      </w:r>
      <w:r>
        <w:rPr>
          <w:rFonts w:ascii="Calibri"/>
          <w:i/>
          <w:spacing w:val="-7"/>
          <w:sz w:val="20"/>
        </w:rPr>
        <w:t> </w:t>
      </w:r>
      <w:r>
        <w:rPr>
          <w:rFonts w:ascii="Calibri"/>
          <w:i/>
          <w:sz w:val="20"/>
        </w:rPr>
        <w:t>place</w:t>
      </w:r>
      <w:r>
        <w:rPr>
          <w:rFonts w:ascii="Calibri"/>
          <w:i/>
          <w:spacing w:val="-4"/>
          <w:sz w:val="20"/>
        </w:rPr>
        <w:t> </w:t>
      </w:r>
      <w:r>
        <w:rPr>
          <w:rFonts w:ascii="Calibri"/>
          <w:i/>
          <w:sz w:val="20"/>
        </w:rPr>
        <w:t>but</w:t>
      </w:r>
      <w:r>
        <w:rPr>
          <w:rFonts w:ascii="Calibri"/>
          <w:i/>
          <w:spacing w:val="-5"/>
          <w:sz w:val="20"/>
        </w:rPr>
        <w:t> </w:t>
      </w:r>
      <w:r>
        <w:rPr>
          <w:rFonts w:ascii="Calibri"/>
          <w:i/>
          <w:sz w:val="20"/>
        </w:rPr>
        <w:t>requires</w:t>
      </w:r>
      <w:r>
        <w:rPr>
          <w:rFonts w:ascii="Calibri"/>
          <w:i/>
          <w:spacing w:val="-7"/>
          <w:sz w:val="20"/>
        </w:rPr>
        <w:t> </w:t>
      </w:r>
      <w:r>
        <w:rPr>
          <w:rFonts w:ascii="Calibri"/>
          <w:i/>
          <w:sz w:val="20"/>
        </w:rPr>
        <w:t>close</w:t>
      </w:r>
      <w:r>
        <w:rPr>
          <w:rFonts w:ascii="Calibri"/>
          <w:i/>
          <w:spacing w:val="-4"/>
          <w:sz w:val="20"/>
        </w:rPr>
        <w:t> </w:t>
      </w:r>
      <w:r>
        <w:rPr>
          <w:rFonts w:ascii="Calibri"/>
          <w:i/>
          <w:sz w:val="20"/>
        </w:rPr>
        <w:t>monitoring.</w:t>
      </w:r>
      <w:r>
        <w:rPr>
          <w:rFonts w:ascii="Calibri"/>
          <w:i/>
          <w:sz w:val="20"/>
        </w:rPr>
        <w:t> An early warning of an emerging and potentially serious concern</w:t>
      </w:r>
      <w:r>
        <w:rPr>
          <w:rFonts w:ascii="Calibri"/>
          <w:sz w:val="20"/>
        </w:rPr>
        <w:t>.</w:t>
      </w:r>
    </w:p>
    <w:p>
      <w:pPr>
        <w:spacing w:before="194"/>
        <w:ind w:left="421" w:right="0" w:firstLine="0"/>
        <w:jc w:val="center"/>
        <w:rPr>
          <w:rFonts w:ascii="Calibri"/>
          <w:b/>
          <w:sz w:val="22"/>
        </w:rPr>
      </w:pPr>
      <w:r>
        <w:rPr>
          <w:rFonts w:ascii="Calibri"/>
          <w:sz w:val="22"/>
        </w:rPr>
        <w:t>Page</w:t>
      </w:r>
      <w:r>
        <w:rPr>
          <w:rFonts w:ascii="Calibri"/>
          <w:spacing w:val="-4"/>
          <w:sz w:val="22"/>
        </w:rPr>
        <w:t> </w:t>
      </w:r>
      <w:r>
        <w:rPr>
          <w:rFonts w:ascii="Calibri"/>
          <w:b/>
          <w:sz w:val="22"/>
        </w:rPr>
        <w:t>1</w:t>
      </w:r>
      <w:r>
        <w:rPr>
          <w:rFonts w:ascii="Calibri"/>
          <w:b/>
          <w:spacing w:val="-5"/>
          <w:sz w:val="22"/>
        </w:rPr>
        <w:t> </w:t>
      </w:r>
      <w:r>
        <w:rPr>
          <w:rFonts w:ascii="Calibri"/>
          <w:sz w:val="22"/>
        </w:rPr>
        <w:t>of</w:t>
      </w:r>
      <w:r>
        <w:rPr>
          <w:rFonts w:ascii="Calibri"/>
          <w:spacing w:val="-4"/>
          <w:sz w:val="22"/>
        </w:rPr>
        <w:t> </w:t>
      </w:r>
      <w:r>
        <w:rPr>
          <w:rFonts w:ascii="Calibri"/>
          <w:b/>
          <w:spacing w:val="-10"/>
          <w:sz w:val="22"/>
        </w:rPr>
        <w:t>4</w:t>
      </w:r>
    </w:p>
    <w:p>
      <w:pPr>
        <w:spacing w:after="0"/>
        <w:jc w:val="center"/>
        <w:rPr>
          <w:rFonts w:ascii="Calibri"/>
          <w:b/>
          <w:sz w:val="22"/>
        </w:rPr>
        <w:sectPr>
          <w:pgSz w:w="11910" w:h="16840"/>
          <w:pgMar w:header="0" w:footer="149" w:top="380" w:bottom="340" w:left="283" w:right="708"/>
        </w:sectPr>
      </w:pPr>
    </w:p>
    <w:p>
      <w:pPr>
        <w:tabs>
          <w:tab w:pos="7427" w:val="left" w:leader="none"/>
        </w:tabs>
        <w:spacing w:line="240" w:lineRule="auto"/>
        <w:ind w:left="78" w:right="0" w:firstLine="0"/>
        <w:rPr>
          <w:rFonts w:ascii="Calibri"/>
          <w:position w:val="2"/>
          <w:sz w:val="20"/>
        </w:rPr>
      </w:pPr>
      <w:r>
        <w:rPr>
          <w:rFonts w:ascii="Calibri"/>
          <w:sz w:val="20"/>
        </w:rPr>
        <w:drawing>
          <wp:inline distT="0" distB="0" distL="0" distR="0">
            <wp:extent cx="2305246" cy="549021"/>
            <wp:effectExtent l="0" t="0" r="0" b="0"/>
            <wp:docPr id="357" name="Image 357"/>
            <wp:cNvGraphicFramePr>
              <a:graphicFrameLocks/>
            </wp:cNvGraphicFramePr>
            <a:graphic>
              <a:graphicData uri="http://schemas.openxmlformats.org/drawingml/2006/picture">
                <pic:pic>
                  <pic:nvPicPr>
                    <pic:cNvPr id="357" name="Image 357"/>
                    <pic:cNvPicPr/>
                  </pic:nvPicPr>
                  <pic:blipFill>
                    <a:blip r:embed="rId7" cstate="print"/>
                    <a:stretch>
                      <a:fillRect/>
                    </a:stretch>
                  </pic:blipFill>
                  <pic:spPr>
                    <a:xfrm>
                      <a:off x="0" y="0"/>
                      <a:ext cx="2305246" cy="549021"/>
                    </a:xfrm>
                    <a:prstGeom prst="rect">
                      <a:avLst/>
                    </a:prstGeom>
                  </pic:spPr>
                </pic:pic>
              </a:graphicData>
            </a:graphic>
          </wp:inline>
        </w:drawing>
      </w:r>
      <w:r>
        <w:rPr>
          <w:rFonts w:ascii="Calibri"/>
          <w:sz w:val="20"/>
        </w:rPr>
      </w:r>
      <w:r>
        <w:rPr>
          <w:rFonts w:ascii="Calibri"/>
          <w:sz w:val="20"/>
        </w:rPr>
        <w:tab/>
      </w:r>
      <w:r>
        <w:rPr>
          <w:rFonts w:ascii="Calibri"/>
          <w:position w:val="2"/>
          <w:sz w:val="20"/>
        </w:rPr>
        <w:drawing>
          <wp:inline distT="0" distB="0" distL="0" distR="0">
            <wp:extent cx="2136994" cy="520065"/>
            <wp:effectExtent l="0" t="0" r="0" b="0"/>
            <wp:docPr id="358" name="Image 358"/>
            <wp:cNvGraphicFramePr>
              <a:graphicFrameLocks/>
            </wp:cNvGraphicFramePr>
            <a:graphic>
              <a:graphicData uri="http://schemas.openxmlformats.org/drawingml/2006/picture">
                <pic:pic>
                  <pic:nvPicPr>
                    <pic:cNvPr id="358" name="Image 358"/>
                    <pic:cNvPicPr/>
                  </pic:nvPicPr>
                  <pic:blipFill>
                    <a:blip r:embed="rId67" cstate="print"/>
                    <a:stretch>
                      <a:fillRect/>
                    </a:stretch>
                  </pic:blipFill>
                  <pic:spPr>
                    <a:xfrm>
                      <a:off x="0" y="0"/>
                      <a:ext cx="2136994" cy="520065"/>
                    </a:xfrm>
                    <a:prstGeom prst="rect">
                      <a:avLst/>
                    </a:prstGeom>
                  </pic:spPr>
                </pic:pic>
              </a:graphicData>
            </a:graphic>
          </wp:inline>
        </w:drawing>
      </w:r>
      <w:r>
        <w:rPr>
          <w:rFonts w:ascii="Calibri"/>
          <w:position w:val="2"/>
          <w:sz w:val="20"/>
        </w:rPr>
      </w:r>
    </w:p>
    <w:p>
      <w:pPr>
        <w:pStyle w:val="BodyText"/>
        <w:spacing w:before="23"/>
        <w:rPr>
          <w:rFonts w:ascii="Calibri"/>
          <w:b/>
          <w:sz w:val="20"/>
        </w:rPr>
      </w:pPr>
    </w:p>
    <w:p>
      <w:pPr>
        <w:spacing w:line="314" w:lineRule="auto" w:before="1"/>
        <w:ind w:left="1877" w:right="758" w:firstLine="0"/>
        <w:jc w:val="left"/>
        <w:rPr>
          <w:sz w:val="20"/>
        </w:rPr>
      </w:pPr>
      <w:r>
        <w:rPr>
          <w:sz w:val="20"/>
        </w:rPr>
        <w:t>wider partners, while recording material gaps and limitations. Equalities information will be integrated</w:t>
      </w:r>
      <w:r>
        <w:rPr>
          <w:spacing w:val="-8"/>
          <w:sz w:val="20"/>
        </w:rPr>
        <w:t> </w:t>
      </w:r>
      <w:r>
        <w:rPr>
          <w:sz w:val="20"/>
        </w:rPr>
        <w:t>throughout.</w:t>
      </w:r>
      <w:r>
        <w:rPr>
          <w:spacing w:val="-10"/>
          <w:sz w:val="20"/>
        </w:rPr>
        <w:t> </w:t>
      </w:r>
      <w:r>
        <w:rPr>
          <w:sz w:val="20"/>
        </w:rPr>
        <w:t>A</w:t>
      </w:r>
      <w:r>
        <w:rPr>
          <w:spacing w:val="-14"/>
          <w:sz w:val="20"/>
        </w:rPr>
        <w:t> </w:t>
      </w:r>
      <w:r>
        <w:rPr>
          <w:sz w:val="20"/>
        </w:rPr>
        <w:t>Regional</w:t>
      </w:r>
      <w:r>
        <w:rPr>
          <w:spacing w:val="-4"/>
          <w:sz w:val="20"/>
        </w:rPr>
        <w:t> </w:t>
      </w:r>
      <w:r>
        <w:rPr>
          <w:sz w:val="20"/>
        </w:rPr>
        <w:t>Equity</w:t>
      </w:r>
      <w:r>
        <w:rPr>
          <w:spacing w:val="-5"/>
          <w:sz w:val="20"/>
        </w:rPr>
        <w:t> </w:t>
      </w:r>
      <w:r>
        <w:rPr>
          <w:sz w:val="20"/>
        </w:rPr>
        <w:t>Plan</w:t>
      </w:r>
      <w:r>
        <w:rPr>
          <w:spacing w:val="-5"/>
          <w:sz w:val="20"/>
        </w:rPr>
        <w:t> </w:t>
      </w:r>
      <w:r>
        <w:rPr>
          <w:sz w:val="20"/>
        </w:rPr>
        <w:t>will</w:t>
      </w:r>
      <w:r>
        <w:rPr>
          <w:spacing w:val="-3"/>
          <w:sz w:val="20"/>
        </w:rPr>
        <w:t> </w:t>
      </w:r>
      <w:r>
        <w:rPr>
          <w:sz w:val="20"/>
        </w:rPr>
        <w:t>continue</w:t>
      </w:r>
      <w:r>
        <w:rPr>
          <w:spacing w:val="-5"/>
          <w:sz w:val="20"/>
        </w:rPr>
        <w:t> </w:t>
      </w:r>
      <w:r>
        <w:rPr>
          <w:sz w:val="20"/>
        </w:rPr>
        <w:t>as</w:t>
      </w:r>
      <w:r>
        <w:rPr>
          <w:spacing w:val="-5"/>
          <w:sz w:val="20"/>
        </w:rPr>
        <w:t> </w:t>
      </w:r>
      <w:r>
        <w:rPr>
          <w:sz w:val="20"/>
        </w:rPr>
        <w:t>a</w:t>
      </w:r>
      <w:r>
        <w:rPr>
          <w:spacing w:val="-5"/>
          <w:sz w:val="20"/>
        </w:rPr>
        <w:t> </w:t>
      </w:r>
      <w:r>
        <w:rPr>
          <w:sz w:val="20"/>
        </w:rPr>
        <w:t>separate</w:t>
      </w:r>
      <w:r>
        <w:rPr>
          <w:spacing w:val="-5"/>
          <w:sz w:val="20"/>
        </w:rPr>
        <w:t> </w:t>
      </w:r>
      <w:r>
        <w:rPr>
          <w:sz w:val="20"/>
        </w:rPr>
        <w:t>but interdependent workstream.</w:t>
      </w:r>
      <w:r>
        <w:rPr>
          <w:spacing w:val="-2"/>
          <w:sz w:val="20"/>
        </w:rPr>
        <w:t> </w:t>
      </w:r>
      <w:r>
        <w:rPr>
          <w:sz w:val="20"/>
        </w:rPr>
        <w:t>The</w:t>
      </w:r>
      <w:r>
        <w:rPr>
          <w:spacing w:val="-2"/>
          <w:sz w:val="20"/>
        </w:rPr>
        <w:t> </w:t>
      </w:r>
      <w:r>
        <w:rPr>
          <w:sz w:val="20"/>
        </w:rPr>
        <w:t>next</w:t>
      </w:r>
      <w:r>
        <w:rPr>
          <w:spacing w:val="-1"/>
          <w:sz w:val="20"/>
        </w:rPr>
        <w:t> </w:t>
      </w:r>
      <w:r>
        <w:rPr>
          <w:sz w:val="20"/>
        </w:rPr>
        <w:t>phase</w:t>
      </w:r>
      <w:r>
        <w:rPr>
          <w:spacing w:val="-2"/>
          <w:sz w:val="20"/>
        </w:rPr>
        <w:t> </w:t>
      </w:r>
      <w:r>
        <w:rPr>
          <w:sz w:val="20"/>
        </w:rPr>
        <w:t>will clarify</w:t>
      </w:r>
      <w:r>
        <w:rPr>
          <w:spacing w:val="-1"/>
          <w:sz w:val="20"/>
        </w:rPr>
        <w:t> </w:t>
      </w:r>
      <w:r>
        <w:rPr>
          <w:sz w:val="20"/>
        </w:rPr>
        <w:t>the</w:t>
      </w:r>
      <w:r>
        <w:rPr>
          <w:spacing w:val="-2"/>
          <w:sz w:val="20"/>
        </w:rPr>
        <w:t> </w:t>
      </w:r>
      <w:r>
        <w:rPr>
          <w:sz w:val="20"/>
        </w:rPr>
        <w:t>ownership, delivery</w:t>
      </w:r>
      <w:r>
        <w:rPr>
          <w:spacing w:val="-1"/>
          <w:sz w:val="20"/>
        </w:rPr>
        <w:t> </w:t>
      </w:r>
      <w:r>
        <w:rPr>
          <w:sz w:val="20"/>
        </w:rPr>
        <w:t>leadership</w:t>
      </w:r>
      <w:r>
        <w:rPr>
          <w:spacing w:val="-1"/>
          <w:sz w:val="20"/>
        </w:rPr>
        <w:t> </w:t>
      </w:r>
      <w:r>
        <w:rPr>
          <w:sz w:val="20"/>
        </w:rPr>
        <w:t>and</w:t>
      </w:r>
      <w:r>
        <w:rPr>
          <w:spacing w:val="-2"/>
          <w:sz w:val="20"/>
        </w:rPr>
        <w:t> </w:t>
      </w:r>
      <w:r>
        <w:rPr>
          <w:sz w:val="20"/>
        </w:rPr>
        <w:t>capacity,</w:t>
      </w:r>
      <w:r>
        <w:rPr>
          <w:spacing w:val="-2"/>
          <w:sz w:val="20"/>
        </w:rPr>
        <w:t> </w:t>
      </w:r>
      <w:r>
        <w:rPr>
          <w:sz w:val="20"/>
        </w:rPr>
        <w:t>and develop an indicator and outcomes framework. A</w:t>
      </w:r>
      <w:r>
        <w:rPr>
          <w:spacing w:val="-7"/>
          <w:sz w:val="20"/>
        </w:rPr>
        <w:t> </w:t>
      </w:r>
      <w:r>
        <w:rPr>
          <w:sz w:val="20"/>
        </w:rPr>
        <w:t>focused discussion will also consider</w:t>
      </w:r>
    </w:p>
    <w:p>
      <w:pPr>
        <w:spacing w:line="312" w:lineRule="auto" w:before="0"/>
        <w:ind w:left="1877" w:right="758" w:firstLine="0"/>
        <w:jc w:val="left"/>
        <w:rPr>
          <w:sz w:val="20"/>
        </w:rPr>
      </w:pPr>
      <w:r>
        <w:rPr>
          <w:sz w:val="20"/>
        </w:rPr>
        <w:t>practical</w:t>
      </w:r>
      <w:r>
        <w:rPr>
          <w:spacing w:val="-4"/>
          <w:sz w:val="20"/>
        </w:rPr>
        <w:t> </w:t>
      </w:r>
      <w:r>
        <w:rPr>
          <w:sz w:val="20"/>
        </w:rPr>
        <w:t>options</w:t>
      </w:r>
      <w:r>
        <w:rPr>
          <w:spacing w:val="-5"/>
          <w:sz w:val="20"/>
        </w:rPr>
        <w:t> </w:t>
      </w:r>
      <w:r>
        <w:rPr>
          <w:sz w:val="20"/>
        </w:rPr>
        <w:t>for</w:t>
      </w:r>
      <w:r>
        <w:rPr>
          <w:spacing w:val="-6"/>
          <w:sz w:val="20"/>
        </w:rPr>
        <w:t> </w:t>
      </w:r>
      <w:r>
        <w:rPr>
          <w:sz w:val="20"/>
        </w:rPr>
        <w:t>modelling</w:t>
      </w:r>
      <w:r>
        <w:rPr>
          <w:spacing w:val="-1"/>
          <w:sz w:val="20"/>
        </w:rPr>
        <w:t> </w:t>
      </w:r>
      <w:r>
        <w:rPr>
          <w:sz w:val="20"/>
        </w:rPr>
        <w:t>and</w:t>
      </w:r>
      <w:r>
        <w:rPr>
          <w:spacing w:val="-6"/>
          <w:sz w:val="20"/>
        </w:rPr>
        <w:t> </w:t>
      </w:r>
      <w:r>
        <w:rPr>
          <w:sz w:val="20"/>
        </w:rPr>
        <w:t>prioritising</w:t>
      </w:r>
      <w:r>
        <w:rPr>
          <w:spacing w:val="-1"/>
          <w:sz w:val="20"/>
        </w:rPr>
        <w:t> </w:t>
      </w:r>
      <w:r>
        <w:rPr>
          <w:sz w:val="20"/>
        </w:rPr>
        <w:t>population</w:t>
      </w:r>
      <w:r>
        <w:rPr>
          <w:spacing w:val="-1"/>
          <w:sz w:val="20"/>
        </w:rPr>
        <w:t> </w:t>
      </w:r>
      <w:r>
        <w:rPr>
          <w:sz w:val="20"/>
        </w:rPr>
        <w:t>health</w:t>
      </w:r>
      <w:r>
        <w:rPr>
          <w:spacing w:val="-6"/>
          <w:sz w:val="20"/>
        </w:rPr>
        <w:t> </w:t>
      </w:r>
      <w:r>
        <w:rPr>
          <w:sz w:val="20"/>
        </w:rPr>
        <w:t>investment,</w:t>
      </w:r>
      <w:r>
        <w:rPr>
          <w:spacing w:val="-6"/>
          <w:sz w:val="20"/>
        </w:rPr>
        <w:t> </w:t>
      </w:r>
      <w:r>
        <w:rPr>
          <w:sz w:val="20"/>
        </w:rPr>
        <w:t>including</w:t>
      </w:r>
      <w:r>
        <w:rPr>
          <w:spacing w:val="-6"/>
          <w:sz w:val="20"/>
        </w:rPr>
        <w:t> </w:t>
      </w:r>
      <w:r>
        <w:rPr>
          <w:sz w:val="20"/>
        </w:rPr>
        <w:t>health economics methods, cluster-level risk prioritisation and programme evaluation.</w:t>
      </w:r>
    </w:p>
    <w:p>
      <w:pPr>
        <w:pStyle w:val="ListParagraph"/>
        <w:numPr>
          <w:ilvl w:val="0"/>
          <w:numId w:val="26"/>
        </w:numPr>
        <w:tabs>
          <w:tab w:pos="1877" w:val="left" w:leader="none"/>
        </w:tabs>
        <w:spacing w:line="242" w:lineRule="exact" w:before="0" w:after="0"/>
        <w:ind w:left="1877" w:right="0" w:hanging="360"/>
        <w:jc w:val="left"/>
        <w:rPr>
          <w:rFonts w:ascii="Symbol" w:hAnsi="Symbol"/>
          <w:sz w:val="24"/>
        </w:rPr>
      </w:pPr>
      <w:r>
        <w:rPr>
          <w:b/>
          <w:sz w:val="20"/>
        </w:rPr>
        <w:t>Regional</w:t>
      </w:r>
      <w:r>
        <w:rPr>
          <w:b/>
          <w:spacing w:val="-6"/>
          <w:sz w:val="20"/>
        </w:rPr>
        <w:t> </w:t>
      </w:r>
      <w:r>
        <w:rPr>
          <w:b/>
          <w:sz w:val="20"/>
        </w:rPr>
        <w:t>health</w:t>
      </w:r>
      <w:r>
        <w:rPr>
          <w:b/>
          <w:spacing w:val="-6"/>
          <w:sz w:val="20"/>
        </w:rPr>
        <w:t> </w:t>
      </w:r>
      <w:r>
        <w:rPr>
          <w:b/>
          <w:sz w:val="20"/>
        </w:rPr>
        <w:t>equity</w:t>
      </w:r>
      <w:r>
        <w:rPr>
          <w:b/>
          <w:spacing w:val="-5"/>
          <w:sz w:val="20"/>
        </w:rPr>
        <w:t> </w:t>
      </w:r>
      <w:r>
        <w:rPr>
          <w:b/>
          <w:spacing w:val="-2"/>
          <w:sz w:val="20"/>
        </w:rPr>
        <w:t>framework</w:t>
      </w:r>
    </w:p>
    <w:p>
      <w:pPr>
        <w:spacing w:line="312" w:lineRule="auto" w:before="55"/>
        <w:ind w:left="1877" w:right="813" w:firstLine="0"/>
        <w:jc w:val="left"/>
        <w:rPr>
          <w:sz w:val="20"/>
        </w:rPr>
      </w:pPr>
      <w:r>
        <w:rPr>
          <w:sz w:val="20"/>
        </w:rPr>
        <w:t>Following review of current activity across both health boards, the subgroup agreed to develop</w:t>
      </w:r>
      <w:r>
        <w:rPr>
          <w:spacing w:val="-7"/>
          <w:sz w:val="20"/>
        </w:rPr>
        <w:t> </w:t>
      </w:r>
      <w:r>
        <w:rPr>
          <w:sz w:val="20"/>
        </w:rPr>
        <w:t>a</w:t>
      </w:r>
      <w:r>
        <w:rPr>
          <w:spacing w:val="-2"/>
          <w:sz w:val="20"/>
        </w:rPr>
        <w:t> </w:t>
      </w:r>
      <w:r>
        <w:rPr>
          <w:sz w:val="20"/>
        </w:rPr>
        <w:t>shared</w:t>
      </w:r>
      <w:r>
        <w:rPr>
          <w:spacing w:val="-7"/>
          <w:sz w:val="20"/>
        </w:rPr>
        <w:t> </w:t>
      </w:r>
      <w:r>
        <w:rPr>
          <w:sz w:val="20"/>
        </w:rPr>
        <w:t>regional</w:t>
      </w:r>
      <w:r>
        <w:rPr>
          <w:spacing w:val="-1"/>
          <w:sz w:val="20"/>
        </w:rPr>
        <w:t> </w:t>
      </w:r>
      <w:r>
        <w:rPr>
          <w:sz w:val="20"/>
        </w:rPr>
        <w:t>health</w:t>
      </w:r>
      <w:r>
        <w:rPr>
          <w:spacing w:val="-2"/>
          <w:sz w:val="20"/>
        </w:rPr>
        <w:t> </w:t>
      </w:r>
      <w:r>
        <w:rPr>
          <w:sz w:val="20"/>
        </w:rPr>
        <w:t>equity</w:t>
      </w:r>
      <w:r>
        <w:rPr>
          <w:spacing w:val="-1"/>
          <w:sz w:val="20"/>
        </w:rPr>
        <w:t> </w:t>
      </w:r>
      <w:r>
        <w:rPr>
          <w:sz w:val="20"/>
        </w:rPr>
        <w:t>framework</w:t>
      </w:r>
      <w:r>
        <w:rPr>
          <w:spacing w:val="-1"/>
          <w:sz w:val="20"/>
        </w:rPr>
        <w:t> </w:t>
      </w:r>
      <w:r>
        <w:rPr>
          <w:sz w:val="20"/>
        </w:rPr>
        <w:t>rather</w:t>
      </w:r>
      <w:r>
        <w:rPr>
          <w:spacing w:val="-3"/>
          <w:sz w:val="20"/>
        </w:rPr>
        <w:t> </w:t>
      </w:r>
      <w:r>
        <w:rPr>
          <w:sz w:val="20"/>
        </w:rPr>
        <w:t>than</w:t>
      </w:r>
      <w:r>
        <w:rPr>
          <w:spacing w:val="-7"/>
          <w:sz w:val="20"/>
        </w:rPr>
        <w:t> </w:t>
      </w:r>
      <w:r>
        <w:rPr>
          <w:sz w:val="20"/>
        </w:rPr>
        <w:t>a</w:t>
      </w:r>
      <w:r>
        <w:rPr>
          <w:spacing w:val="-7"/>
          <w:sz w:val="20"/>
        </w:rPr>
        <w:t> </w:t>
      </w:r>
      <w:r>
        <w:rPr>
          <w:sz w:val="20"/>
        </w:rPr>
        <w:t>single</w:t>
      </w:r>
      <w:r>
        <w:rPr>
          <w:spacing w:val="-6"/>
          <w:sz w:val="20"/>
        </w:rPr>
        <w:t> </w:t>
      </w:r>
      <w:r>
        <w:rPr>
          <w:sz w:val="20"/>
        </w:rPr>
        <w:t>uniform health</w:t>
      </w:r>
      <w:r>
        <w:rPr>
          <w:spacing w:val="-2"/>
          <w:sz w:val="20"/>
        </w:rPr>
        <w:t> </w:t>
      </w:r>
      <w:r>
        <w:rPr>
          <w:sz w:val="20"/>
        </w:rPr>
        <w:t>equity delivery plan. The framework will establish common principles, assessment methods and regional priorities while allowing delivery to be adapted to local population needs and organisational arrangements. The existing equity-informed health impact assessment toolkit will be reviewed for regional use.</w:t>
      </w:r>
      <w:r>
        <w:rPr>
          <w:spacing w:val="-5"/>
          <w:sz w:val="20"/>
        </w:rPr>
        <w:t> </w:t>
      </w:r>
      <w:r>
        <w:rPr>
          <w:sz w:val="20"/>
        </w:rPr>
        <w:t>A</w:t>
      </w:r>
      <w:r>
        <w:rPr>
          <w:spacing w:val="-13"/>
          <w:sz w:val="20"/>
        </w:rPr>
        <w:t> </w:t>
      </w:r>
      <w:r>
        <w:rPr>
          <w:sz w:val="20"/>
        </w:rPr>
        <w:t>small number of potential regional pilots will be explored where there is clear added value, including scoping poverty training, subject to agreed resource, funding and governance arrangements.</w:t>
      </w:r>
    </w:p>
    <w:p>
      <w:pPr>
        <w:pStyle w:val="ListParagraph"/>
        <w:numPr>
          <w:ilvl w:val="0"/>
          <w:numId w:val="26"/>
        </w:numPr>
        <w:tabs>
          <w:tab w:pos="1877" w:val="left" w:leader="none"/>
        </w:tabs>
        <w:spacing w:line="250" w:lineRule="exact" w:before="0" w:after="0"/>
        <w:ind w:left="1877" w:right="0" w:hanging="360"/>
        <w:jc w:val="left"/>
        <w:rPr>
          <w:rFonts w:ascii="Symbol" w:hAnsi="Symbol"/>
          <w:sz w:val="24"/>
        </w:rPr>
      </w:pPr>
      <w:r>
        <w:rPr>
          <w:b/>
          <w:sz w:val="20"/>
        </w:rPr>
        <w:t>Long-term</w:t>
      </w:r>
      <w:r>
        <w:rPr>
          <w:b/>
          <w:spacing w:val="-4"/>
          <w:sz w:val="20"/>
        </w:rPr>
        <w:t> </w:t>
      </w:r>
      <w:r>
        <w:rPr>
          <w:b/>
          <w:sz w:val="20"/>
        </w:rPr>
        <w:t>Regional</w:t>
      </w:r>
      <w:r>
        <w:rPr>
          <w:b/>
          <w:spacing w:val="-8"/>
          <w:sz w:val="20"/>
        </w:rPr>
        <w:t> </w:t>
      </w:r>
      <w:r>
        <w:rPr>
          <w:b/>
          <w:sz w:val="20"/>
        </w:rPr>
        <w:t>Health</w:t>
      </w:r>
      <w:r>
        <w:rPr>
          <w:b/>
          <w:spacing w:val="-8"/>
          <w:sz w:val="20"/>
        </w:rPr>
        <w:t> </w:t>
      </w:r>
      <w:r>
        <w:rPr>
          <w:b/>
          <w:sz w:val="20"/>
        </w:rPr>
        <w:t>Economy</w:t>
      </w:r>
      <w:r>
        <w:rPr>
          <w:b/>
          <w:spacing w:val="-7"/>
          <w:sz w:val="20"/>
        </w:rPr>
        <w:t> </w:t>
      </w:r>
      <w:r>
        <w:rPr>
          <w:b/>
          <w:spacing w:val="-4"/>
          <w:sz w:val="20"/>
        </w:rPr>
        <w:t>Plan</w:t>
      </w:r>
    </w:p>
    <w:p>
      <w:pPr>
        <w:spacing w:line="312" w:lineRule="auto" w:before="59"/>
        <w:ind w:left="1877" w:right="758" w:firstLine="0"/>
        <w:jc w:val="left"/>
        <w:rPr>
          <w:sz w:val="20"/>
        </w:rPr>
      </w:pPr>
      <w:r>
        <w:rPr>
          <w:sz w:val="20"/>
        </w:rPr>
        <w:t>Development</w:t>
      </w:r>
      <w:r>
        <w:rPr>
          <w:spacing w:val="-1"/>
          <w:sz w:val="20"/>
        </w:rPr>
        <w:t> </w:t>
      </w:r>
      <w:r>
        <w:rPr>
          <w:sz w:val="20"/>
        </w:rPr>
        <w:t>of</w:t>
      </w:r>
      <w:r>
        <w:rPr>
          <w:spacing w:val="-1"/>
          <w:sz w:val="20"/>
        </w:rPr>
        <w:t> </w:t>
      </w:r>
      <w:r>
        <w:rPr>
          <w:sz w:val="20"/>
        </w:rPr>
        <w:t>the</w:t>
      </w:r>
      <w:r>
        <w:rPr>
          <w:spacing w:val="-1"/>
          <w:sz w:val="20"/>
        </w:rPr>
        <w:t> </w:t>
      </w:r>
      <w:r>
        <w:rPr>
          <w:sz w:val="20"/>
        </w:rPr>
        <w:t>long-term</w:t>
      </w:r>
      <w:r>
        <w:rPr>
          <w:spacing w:val="-1"/>
          <w:sz w:val="20"/>
        </w:rPr>
        <w:t> </w:t>
      </w:r>
      <w:r>
        <w:rPr>
          <w:sz w:val="20"/>
        </w:rPr>
        <w:t>plan</w:t>
      </w:r>
      <w:r>
        <w:rPr>
          <w:spacing w:val="-1"/>
          <w:sz w:val="20"/>
        </w:rPr>
        <w:t> </w:t>
      </w:r>
      <w:r>
        <w:rPr>
          <w:sz w:val="20"/>
        </w:rPr>
        <w:t>is now managed</w:t>
      </w:r>
      <w:r>
        <w:rPr>
          <w:spacing w:val="-1"/>
          <w:sz w:val="20"/>
        </w:rPr>
        <w:t> </w:t>
      </w:r>
      <w:r>
        <w:rPr>
          <w:sz w:val="20"/>
        </w:rPr>
        <w:t>through</w:t>
      </w:r>
      <w:r>
        <w:rPr>
          <w:spacing w:val="-1"/>
          <w:sz w:val="20"/>
        </w:rPr>
        <w:t> </w:t>
      </w:r>
      <w:r>
        <w:rPr>
          <w:sz w:val="20"/>
        </w:rPr>
        <w:t>a</w:t>
      </w:r>
      <w:r>
        <w:rPr>
          <w:spacing w:val="-1"/>
          <w:sz w:val="20"/>
        </w:rPr>
        <w:t> </w:t>
      </w:r>
      <w:r>
        <w:rPr>
          <w:sz w:val="20"/>
        </w:rPr>
        <w:t>product-development</w:t>
      </w:r>
      <w:r>
        <w:rPr>
          <w:spacing w:val="-1"/>
          <w:sz w:val="20"/>
        </w:rPr>
        <w:t> </w:t>
      </w:r>
      <w:r>
        <w:rPr>
          <w:sz w:val="20"/>
        </w:rPr>
        <w:t>roadmap covering</w:t>
      </w:r>
      <w:r>
        <w:rPr>
          <w:spacing w:val="-5"/>
          <w:sz w:val="20"/>
        </w:rPr>
        <w:t> </w:t>
      </w:r>
      <w:r>
        <w:rPr>
          <w:sz w:val="20"/>
        </w:rPr>
        <w:t>strategic</w:t>
      </w:r>
      <w:r>
        <w:rPr>
          <w:spacing w:val="-3"/>
          <w:sz w:val="20"/>
        </w:rPr>
        <w:t> </w:t>
      </w:r>
      <w:r>
        <w:rPr>
          <w:sz w:val="20"/>
        </w:rPr>
        <w:t>analysis,</w:t>
      </w:r>
      <w:r>
        <w:rPr>
          <w:spacing w:val="-4"/>
          <w:sz w:val="20"/>
        </w:rPr>
        <w:t> </w:t>
      </w:r>
      <w:r>
        <w:rPr>
          <w:sz w:val="20"/>
        </w:rPr>
        <w:t>the</w:t>
      </w:r>
      <w:r>
        <w:rPr>
          <w:spacing w:val="-5"/>
          <w:sz w:val="20"/>
        </w:rPr>
        <w:t> </w:t>
      </w:r>
      <w:r>
        <w:rPr>
          <w:sz w:val="20"/>
        </w:rPr>
        <w:t>plan</w:t>
      </w:r>
      <w:r>
        <w:rPr>
          <w:spacing w:val="-5"/>
          <w:sz w:val="20"/>
        </w:rPr>
        <w:t> </w:t>
      </w:r>
      <w:r>
        <w:rPr>
          <w:sz w:val="20"/>
        </w:rPr>
        <w:t>structure,</w:t>
      </w:r>
      <w:r>
        <w:rPr>
          <w:spacing w:val="-5"/>
          <w:sz w:val="20"/>
        </w:rPr>
        <w:t> </w:t>
      </w:r>
      <w:r>
        <w:rPr>
          <w:sz w:val="20"/>
        </w:rPr>
        <w:t>engagement</w:t>
      </w:r>
      <w:r>
        <w:rPr>
          <w:spacing w:val="-5"/>
          <w:sz w:val="20"/>
        </w:rPr>
        <w:t> </w:t>
      </w:r>
      <w:r>
        <w:rPr>
          <w:sz w:val="20"/>
        </w:rPr>
        <w:t>outputs,</w:t>
      </w:r>
      <w:r>
        <w:rPr>
          <w:spacing w:val="-5"/>
          <w:sz w:val="20"/>
        </w:rPr>
        <w:t> </w:t>
      </w:r>
      <w:r>
        <w:rPr>
          <w:sz w:val="20"/>
        </w:rPr>
        <w:t>health</w:t>
      </w:r>
      <w:r>
        <w:rPr>
          <w:spacing w:val="-5"/>
          <w:sz w:val="20"/>
        </w:rPr>
        <w:t> </w:t>
      </w:r>
      <w:r>
        <w:rPr>
          <w:sz w:val="20"/>
        </w:rPr>
        <w:t>intelligence, health equity, procurement and preventative spend, international learning and the draft plan. The</w:t>
      </w:r>
      <w:r>
        <w:rPr>
          <w:sz w:val="20"/>
        </w:rPr>
        <w:t> plan structure and Three Horizons engagement approach have been drafted, using the 4Ps framework of People, Place, Procurement/Public Purse and Partnerships with an explicit equity lens. Members have been asked to review the completeness of the product scope, the achievability of the proposed timescales and alignment with health board and partner</w:t>
      </w:r>
      <w:r>
        <w:rPr>
          <w:spacing w:val="40"/>
          <w:sz w:val="20"/>
        </w:rPr>
        <w:t> </w:t>
      </w:r>
      <w:r>
        <w:rPr>
          <w:sz w:val="20"/>
        </w:rPr>
        <w:t>planning cycles.</w:t>
      </w:r>
      <w:r>
        <w:rPr>
          <w:spacing w:val="-8"/>
          <w:sz w:val="20"/>
        </w:rPr>
        <w:t> </w:t>
      </w:r>
      <w:r>
        <w:rPr>
          <w:sz w:val="20"/>
        </w:rPr>
        <w:t>Any material issue affecting delivery of the draft plan will be escalated to the Executive Leads.</w:t>
      </w:r>
    </w:p>
    <w:p>
      <w:pPr>
        <w:pStyle w:val="ListParagraph"/>
        <w:numPr>
          <w:ilvl w:val="0"/>
          <w:numId w:val="26"/>
        </w:numPr>
        <w:tabs>
          <w:tab w:pos="1877" w:val="left" w:leader="none"/>
        </w:tabs>
        <w:spacing w:line="250" w:lineRule="exact" w:before="0" w:after="0"/>
        <w:ind w:left="1877" w:right="0" w:hanging="360"/>
        <w:jc w:val="left"/>
        <w:rPr>
          <w:rFonts w:ascii="Symbol" w:hAnsi="Symbol"/>
          <w:sz w:val="24"/>
        </w:rPr>
      </w:pPr>
      <w:r>
        <w:rPr>
          <w:b/>
          <w:sz w:val="20"/>
        </w:rPr>
        <w:t>Procurement</w:t>
      </w:r>
      <w:r>
        <w:rPr>
          <w:b/>
          <w:spacing w:val="-10"/>
          <w:sz w:val="20"/>
        </w:rPr>
        <w:t> </w:t>
      </w:r>
      <w:r>
        <w:rPr>
          <w:b/>
          <w:sz w:val="20"/>
        </w:rPr>
        <w:t>and</w:t>
      </w:r>
      <w:r>
        <w:rPr>
          <w:b/>
          <w:spacing w:val="-6"/>
          <w:sz w:val="20"/>
        </w:rPr>
        <w:t> </w:t>
      </w:r>
      <w:r>
        <w:rPr>
          <w:b/>
          <w:sz w:val="20"/>
        </w:rPr>
        <w:t>preventative</w:t>
      </w:r>
      <w:r>
        <w:rPr>
          <w:b/>
          <w:spacing w:val="-9"/>
          <w:sz w:val="20"/>
        </w:rPr>
        <w:t> </w:t>
      </w:r>
      <w:r>
        <w:rPr>
          <w:b/>
          <w:spacing w:val="-4"/>
          <w:sz w:val="20"/>
        </w:rPr>
        <w:t>spend</w:t>
      </w:r>
    </w:p>
    <w:p>
      <w:pPr>
        <w:spacing w:line="312" w:lineRule="auto" w:before="60"/>
        <w:ind w:left="1877" w:right="758" w:firstLine="0"/>
        <w:jc w:val="left"/>
        <w:rPr>
          <w:sz w:val="20"/>
        </w:rPr>
      </w:pPr>
      <w:r>
        <w:rPr>
          <w:sz w:val="20"/>
        </w:rPr>
        <w:t>A</w:t>
      </w:r>
      <w:r>
        <w:rPr>
          <w:spacing w:val="-14"/>
          <w:sz w:val="20"/>
        </w:rPr>
        <w:t> </w:t>
      </w:r>
      <w:r>
        <w:rPr>
          <w:sz w:val="20"/>
        </w:rPr>
        <w:t>regional</w:t>
      </w:r>
      <w:r>
        <w:rPr>
          <w:spacing w:val="-6"/>
          <w:sz w:val="20"/>
        </w:rPr>
        <w:t> </w:t>
      </w:r>
      <w:r>
        <w:rPr>
          <w:sz w:val="20"/>
        </w:rPr>
        <w:t>procurement</w:t>
      </w:r>
      <w:r>
        <w:rPr>
          <w:spacing w:val="-5"/>
          <w:sz w:val="20"/>
        </w:rPr>
        <w:t> </w:t>
      </w:r>
      <w:r>
        <w:rPr>
          <w:sz w:val="20"/>
        </w:rPr>
        <w:t>workshop</w:t>
      </w:r>
      <w:r>
        <w:rPr>
          <w:spacing w:val="-5"/>
          <w:sz w:val="20"/>
        </w:rPr>
        <w:t> </w:t>
      </w:r>
      <w:r>
        <w:rPr>
          <w:sz w:val="20"/>
        </w:rPr>
        <w:t>in</w:t>
      </w:r>
      <w:r>
        <w:rPr>
          <w:spacing w:val="-14"/>
          <w:sz w:val="20"/>
        </w:rPr>
        <w:t> </w:t>
      </w:r>
      <w:r>
        <w:rPr>
          <w:sz w:val="20"/>
        </w:rPr>
        <w:t>August</w:t>
      </w:r>
      <w:r>
        <w:rPr>
          <w:spacing w:val="-5"/>
          <w:sz w:val="20"/>
        </w:rPr>
        <w:t> </w:t>
      </w:r>
      <w:r>
        <w:rPr>
          <w:sz w:val="20"/>
        </w:rPr>
        <w:t>brought together</w:t>
      </w:r>
      <w:r>
        <w:rPr>
          <w:spacing w:val="-5"/>
          <w:sz w:val="20"/>
        </w:rPr>
        <w:t> </w:t>
      </w:r>
      <w:r>
        <w:rPr>
          <w:sz w:val="20"/>
        </w:rPr>
        <w:t>finance,</w:t>
      </w:r>
      <w:r>
        <w:rPr>
          <w:spacing w:val="-5"/>
          <w:sz w:val="20"/>
        </w:rPr>
        <w:t> </w:t>
      </w:r>
      <w:r>
        <w:rPr>
          <w:sz w:val="20"/>
        </w:rPr>
        <w:t>procurement,</w:t>
      </w:r>
      <w:r>
        <w:rPr>
          <w:spacing w:val="-5"/>
          <w:sz w:val="20"/>
        </w:rPr>
        <w:t> </w:t>
      </w:r>
      <w:r>
        <w:rPr>
          <w:sz w:val="20"/>
        </w:rPr>
        <w:t>public health, value-based healthcare and RJC colleagues. Work is progressing to establish a</w:t>
      </w:r>
    </w:p>
    <w:p>
      <w:pPr>
        <w:spacing w:line="312" w:lineRule="auto" w:before="3"/>
        <w:ind w:left="1877" w:right="758" w:firstLine="0"/>
        <w:jc w:val="left"/>
        <w:rPr>
          <w:sz w:val="20"/>
        </w:rPr>
      </w:pPr>
      <w:r>
        <w:rPr>
          <w:sz w:val="20"/>
        </w:rPr>
        <w:t>structured regional baseline across processes, governance, data, benefit methodologies, controls and current collaborative activity, and to identify practical opportunities for regional alignment. Public sector food procurement remains a shared regional priority and will be supported by baseline work on demand, spend, suppliers, contracts and supply chains.</w:t>
      </w:r>
      <w:r>
        <w:rPr>
          <w:spacing w:val="-3"/>
          <w:sz w:val="20"/>
        </w:rPr>
        <w:t> </w:t>
      </w:r>
      <w:r>
        <w:rPr>
          <w:sz w:val="20"/>
        </w:rPr>
        <w:t>A Regional Public Sector Food Procurement Workshop is scheduled for November focused on agreeing</w:t>
      </w:r>
      <w:r>
        <w:rPr>
          <w:spacing w:val="-6"/>
          <w:sz w:val="20"/>
        </w:rPr>
        <w:t> </w:t>
      </w:r>
      <w:r>
        <w:rPr>
          <w:sz w:val="20"/>
        </w:rPr>
        <w:t>common</w:t>
      </w:r>
      <w:r>
        <w:rPr>
          <w:spacing w:val="-1"/>
          <w:sz w:val="20"/>
        </w:rPr>
        <w:t> </w:t>
      </w:r>
      <w:r>
        <w:rPr>
          <w:sz w:val="20"/>
        </w:rPr>
        <w:t>principles</w:t>
      </w:r>
      <w:r>
        <w:rPr>
          <w:spacing w:val="-5"/>
          <w:sz w:val="20"/>
        </w:rPr>
        <w:t> </w:t>
      </w:r>
      <w:r>
        <w:rPr>
          <w:sz w:val="20"/>
        </w:rPr>
        <w:t>for</w:t>
      </w:r>
      <w:r>
        <w:rPr>
          <w:spacing w:val="-6"/>
          <w:sz w:val="20"/>
        </w:rPr>
        <w:t> </w:t>
      </w:r>
      <w:r>
        <w:rPr>
          <w:sz w:val="20"/>
        </w:rPr>
        <w:t>public-sector</w:t>
      </w:r>
      <w:r>
        <w:rPr>
          <w:spacing w:val="-6"/>
          <w:sz w:val="20"/>
        </w:rPr>
        <w:t> </w:t>
      </w:r>
      <w:r>
        <w:rPr>
          <w:sz w:val="20"/>
        </w:rPr>
        <w:t>food</w:t>
      </w:r>
      <w:r>
        <w:rPr>
          <w:spacing w:val="-6"/>
          <w:sz w:val="20"/>
        </w:rPr>
        <w:t> </w:t>
      </w:r>
      <w:r>
        <w:rPr>
          <w:sz w:val="20"/>
        </w:rPr>
        <w:t>procurement.</w:t>
      </w:r>
      <w:r>
        <w:rPr>
          <w:spacing w:val="-4"/>
          <w:sz w:val="20"/>
        </w:rPr>
        <w:t> </w:t>
      </w:r>
      <w:r>
        <w:rPr>
          <w:sz w:val="20"/>
        </w:rPr>
        <w:t>Preventative-spend</w:t>
      </w:r>
      <w:r>
        <w:rPr>
          <w:spacing w:val="-6"/>
          <w:sz w:val="20"/>
        </w:rPr>
        <w:t> </w:t>
      </w:r>
      <w:r>
        <w:rPr>
          <w:sz w:val="20"/>
        </w:rPr>
        <w:t>mapping is</w:t>
      </w:r>
      <w:r>
        <w:rPr>
          <w:spacing w:val="-1"/>
          <w:sz w:val="20"/>
        </w:rPr>
        <w:t> </w:t>
      </w:r>
      <w:r>
        <w:rPr>
          <w:sz w:val="20"/>
        </w:rPr>
        <w:t>progressing,</w:t>
      </w:r>
      <w:r>
        <w:rPr>
          <w:spacing w:val="-3"/>
          <w:sz w:val="20"/>
        </w:rPr>
        <w:t> </w:t>
      </w:r>
      <w:r>
        <w:rPr>
          <w:sz w:val="20"/>
        </w:rPr>
        <w:t>with an</w:t>
      </w:r>
      <w:r>
        <w:rPr>
          <w:spacing w:val="-3"/>
          <w:sz w:val="20"/>
        </w:rPr>
        <w:t> </w:t>
      </w:r>
      <w:r>
        <w:rPr>
          <w:sz w:val="20"/>
        </w:rPr>
        <w:t>accompanying</w:t>
      </w:r>
      <w:r>
        <w:rPr>
          <w:spacing w:val="-3"/>
          <w:sz w:val="20"/>
        </w:rPr>
        <w:t> </w:t>
      </w:r>
      <w:r>
        <w:rPr>
          <w:sz w:val="20"/>
        </w:rPr>
        <w:t>interpretative note to</w:t>
      </w:r>
      <w:r>
        <w:rPr>
          <w:spacing w:val="-3"/>
          <w:sz w:val="20"/>
        </w:rPr>
        <w:t> </w:t>
      </w:r>
      <w:r>
        <w:rPr>
          <w:sz w:val="20"/>
        </w:rPr>
        <w:t>be</w:t>
      </w:r>
      <w:r>
        <w:rPr>
          <w:spacing w:val="-3"/>
          <w:sz w:val="20"/>
        </w:rPr>
        <w:t> </w:t>
      </w:r>
      <w:r>
        <w:rPr>
          <w:sz w:val="20"/>
        </w:rPr>
        <w:t>developed</w:t>
      </w:r>
      <w:r>
        <w:rPr>
          <w:spacing w:val="-3"/>
          <w:sz w:val="20"/>
        </w:rPr>
        <w:t> </w:t>
      </w:r>
      <w:r>
        <w:rPr>
          <w:sz w:val="20"/>
        </w:rPr>
        <w:t>to</w:t>
      </w:r>
      <w:r>
        <w:rPr>
          <w:spacing w:val="-3"/>
          <w:sz w:val="20"/>
        </w:rPr>
        <w:t> </w:t>
      </w:r>
      <w:r>
        <w:rPr>
          <w:sz w:val="20"/>
        </w:rPr>
        <w:t>support</w:t>
      </w:r>
      <w:r>
        <w:rPr>
          <w:spacing w:val="-3"/>
          <w:sz w:val="20"/>
        </w:rPr>
        <w:t> </w:t>
      </w:r>
      <w:r>
        <w:rPr>
          <w:sz w:val="20"/>
        </w:rPr>
        <w:t>a</w:t>
      </w:r>
      <w:r>
        <w:rPr>
          <w:spacing w:val="-3"/>
          <w:sz w:val="20"/>
        </w:rPr>
        <w:t> </w:t>
      </w:r>
      <w:r>
        <w:rPr>
          <w:sz w:val="20"/>
        </w:rPr>
        <w:t>shared understanding of prevention definitions and their application to the regional mapping.</w:t>
      </w:r>
    </w:p>
    <w:p>
      <w:pPr>
        <w:pStyle w:val="ListParagraph"/>
        <w:numPr>
          <w:ilvl w:val="0"/>
          <w:numId w:val="26"/>
        </w:numPr>
        <w:tabs>
          <w:tab w:pos="1877" w:val="left" w:leader="none"/>
        </w:tabs>
        <w:spacing w:line="249" w:lineRule="exact" w:before="0" w:after="0"/>
        <w:ind w:left="1877" w:right="0" w:hanging="360"/>
        <w:jc w:val="left"/>
        <w:rPr>
          <w:rFonts w:ascii="Symbol" w:hAnsi="Symbol"/>
          <w:sz w:val="24"/>
        </w:rPr>
      </w:pPr>
      <w:r>
        <w:rPr>
          <w:b/>
          <w:sz w:val="20"/>
        </w:rPr>
        <w:t>Warm</w:t>
      </w:r>
      <w:r>
        <w:rPr>
          <w:b/>
          <w:spacing w:val="-6"/>
          <w:sz w:val="20"/>
        </w:rPr>
        <w:t> </w:t>
      </w:r>
      <w:r>
        <w:rPr>
          <w:b/>
          <w:sz w:val="20"/>
        </w:rPr>
        <w:t>and</w:t>
      </w:r>
      <w:r>
        <w:rPr>
          <w:b/>
          <w:spacing w:val="-9"/>
          <w:sz w:val="20"/>
        </w:rPr>
        <w:t> </w:t>
      </w:r>
      <w:r>
        <w:rPr>
          <w:b/>
          <w:sz w:val="20"/>
        </w:rPr>
        <w:t>Healthy</w:t>
      </w:r>
      <w:r>
        <w:rPr>
          <w:b/>
          <w:spacing w:val="-4"/>
          <w:sz w:val="20"/>
        </w:rPr>
        <w:t> Homes</w:t>
      </w:r>
    </w:p>
    <w:p>
      <w:pPr>
        <w:spacing w:line="314" w:lineRule="auto" w:before="59"/>
        <w:ind w:left="1877" w:right="735" w:firstLine="0"/>
        <w:jc w:val="left"/>
        <w:rPr>
          <w:sz w:val="20"/>
        </w:rPr>
      </w:pPr>
      <w:r>
        <w:rPr>
          <w:sz w:val="20"/>
        </w:rPr>
        <w:t>Planned hospital in-reach activity will commence across the four Hywel Dda acute hospitals from</w:t>
      </w:r>
      <w:r>
        <w:rPr>
          <w:spacing w:val="-8"/>
          <w:sz w:val="20"/>
        </w:rPr>
        <w:t> </w:t>
      </w:r>
      <w:r>
        <w:rPr>
          <w:sz w:val="20"/>
        </w:rPr>
        <w:t>late</w:t>
      </w:r>
      <w:r>
        <w:rPr>
          <w:spacing w:val="-8"/>
          <w:sz w:val="20"/>
        </w:rPr>
        <w:t> </w:t>
      </w:r>
      <w:r>
        <w:rPr>
          <w:sz w:val="20"/>
        </w:rPr>
        <w:t>September,</w:t>
      </w:r>
      <w:r>
        <w:rPr>
          <w:spacing w:val="-3"/>
          <w:sz w:val="20"/>
        </w:rPr>
        <w:t> </w:t>
      </w:r>
      <w:r>
        <w:rPr>
          <w:sz w:val="20"/>
        </w:rPr>
        <w:t>alongside</w:t>
      </w:r>
      <w:r>
        <w:rPr>
          <w:spacing w:val="-8"/>
          <w:sz w:val="20"/>
        </w:rPr>
        <w:t> </w:t>
      </w:r>
      <w:r>
        <w:rPr>
          <w:sz w:val="20"/>
        </w:rPr>
        <w:t>summer</w:t>
      </w:r>
      <w:r>
        <w:rPr>
          <w:spacing w:val="-8"/>
          <w:sz w:val="20"/>
        </w:rPr>
        <w:t> </w:t>
      </w:r>
      <w:r>
        <w:rPr>
          <w:sz w:val="20"/>
        </w:rPr>
        <w:t>in-reach</w:t>
      </w:r>
      <w:r>
        <w:rPr>
          <w:spacing w:val="-8"/>
          <w:sz w:val="20"/>
        </w:rPr>
        <w:t> </w:t>
      </w:r>
      <w:r>
        <w:rPr>
          <w:sz w:val="20"/>
        </w:rPr>
        <w:t>activity</w:t>
      </w:r>
      <w:r>
        <w:rPr>
          <w:spacing w:val="-2"/>
          <w:sz w:val="20"/>
        </w:rPr>
        <w:t> </w:t>
      </w:r>
      <w:r>
        <w:rPr>
          <w:sz w:val="20"/>
        </w:rPr>
        <w:t>already</w:t>
      </w:r>
      <w:r>
        <w:rPr>
          <w:spacing w:val="-2"/>
          <w:sz w:val="20"/>
        </w:rPr>
        <w:t> </w:t>
      </w:r>
      <w:r>
        <w:rPr>
          <w:sz w:val="20"/>
        </w:rPr>
        <w:t>undertaken</w:t>
      </w:r>
      <w:r>
        <w:rPr>
          <w:spacing w:val="-3"/>
          <w:sz w:val="20"/>
        </w:rPr>
        <w:t> </w:t>
      </w:r>
      <w:r>
        <w:rPr>
          <w:sz w:val="20"/>
        </w:rPr>
        <w:t>in</w:t>
      </w:r>
      <w:r>
        <w:rPr>
          <w:spacing w:val="-8"/>
          <w:sz w:val="20"/>
        </w:rPr>
        <w:t> </w:t>
      </w:r>
      <w:r>
        <w:rPr>
          <w:sz w:val="20"/>
        </w:rPr>
        <w:t>Swansea</w:t>
      </w:r>
      <w:r>
        <w:rPr>
          <w:spacing w:val="-8"/>
          <w:sz w:val="20"/>
        </w:rPr>
        <w:t> </w:t>
      </w:r>
      <w:r>
        <w:rPr>
          <w:sz w:val="20"/>
        </w:rPr>
        <w:t>Bay. Briton Ferry East 2 was identified as the Swansea Bay pilot locality, supported by combined Energy Performance Certificate (EPC) and health data to target potentially eligible households. Nest funding and delivery support have been confirmed. Evaluation arrangements, including the status of potential HAPS match funding and wider evaluation support, remain in development and are due to return to the subgroup in November.</w:t>
      </w:r>
    </w:p>
    <w:p>
      <w:pPr>
        <w:pStyle w:val="ListParagraph"/>
        <w:numPr>
          <w:ilvl w:val="0"/>
          <w:numId w:val="26"/>
        </w:numPr>
        <w:tabs>
          <w:tab w:pos="1877" w:val="left" w:leader="none"/>
        </w:tabs>
        <w:spacing w:line="233" w:lineRule="exact" w:before="0" w:after="0"/>
        <w:ind w:left="1877" w:right="0" w:hanging="360"/>
        <w:jc w:val="left"/>
        <w:rPr>
          <w:rFonts w:ascii="Symbol" w:hAnsi="Symbol"/>
          <w:sz w:val="24"/>
        </w:rPr>
      </w:pPr>
      <w:r>
        <w:rPr>
          <w:b/>
          <w:sz w:val="20"/>
        </w:rPr>
        <w:t>International</w:t>
      </w:r>
      <w:r>
        <w:rPr>
          <w:b/>
          <w:spacing w:val="-7"/>
          <w:sz w:val="20"/>
        </w:rPr>
        <w:t> </w:t>
      </w:r>
      <w:r>
        <w:rPr>
          <w:b/>
          <w:sz w:val="20"/>
        </w:rPr>
        <w:t>learning</w:t>
      </w:r>
      <w:r>
        <w:rPr>
          <w:b/>
          <w:spacing w:val="-7"/>
          <w:sz w:val="20"/>
        </w:rPr>
        <w:t> </w:t>
      </w:r>
      <w:r>
        <w:rPr>
          <w:b/>
          <w:sz w:val="20"/>
        </w:rPr>
        <w:t>and</w:t>
      </w:r>
      <w:r>
        <w:rPr>
          <w:b/>
          <w:spacing w:val="-7"/>
          <w:sz w:val="20"/>
        </w:rPr>
        <w:t> </w:t>
      </w:r>
      <w:r>
        <w:rPr>
          <w:b/>
          <w:spacing w:val="-2"/>
          <w:sz w:val="20"/>
        </w:rPr>
        <w:t>partnerships</w:t>
      </w:r>
    </w:p>
    <w:p>
      <w:pPr>
        <w:pStyle w:val="BodyText"/>
        <w:rPr>
          <w:b/>
          <w:sz w:val="22"/>
        </w:rPr>
      </w:pPr>
    </w:p>
    <w:p>
      <w:pPr>
        <w:pStyle w:val="BodyText"/>
        <w:spacing w:before="132"/>
        <w:rPr>
          <w:b/>
          <w:sz w:val="22"/>
        </w:rPr>
      </w:pPr>
    </w:p>
    <w:p>
      <w:pPr>
        <w:spacing w:before="0"/>
        <w:ind w:left="421" w:right="0" w:firstLine="0"/>
        <w:jc w:val="center"/>
        <w:rPr>
          <w:rFonts w:ascii="Calibri"/>
          <w:b/>
          <w:sz w:val="22"/>
        </w:rPr>
      </w:pPr>
      <w:r>
        <w:rPr>
          <w:rFonts w:ascii="Calibri"/>
          <w:sz w:val="22"/>
        </w:rPr>
        <w:t>Page</w:t>
      </w:r>
      <w:r>
        <w:rPr>
          <w:rFonts w:ascii="Calibri"/>
          <w:spacing w:val="-4"/>
          <w:sz w:val="22"/>
        </w:rPr>
        <w:t> </w:t>
      </w:r>
      <w:r>
        <w:rPr>
          <w:rFonts w:ascii="Calibri"/>
          <w:b/>
          <w:sz w:val="22"/>
        </w:rPr>
        <w:t>2</w:t>
      </w:r>
      <w:r>
        <w:rPr>
          <w:rFonts w:ascii="Calibri"/>
          <w:b/>
          <w:spacing w:val="-5"/>
          <w:sz w:val="22"/>
        </w:rPr>
        <w:t> </w:t>
      </w:r>
      <w:r>
        <w:rPr>
          <w:rFonts w:ascii="Calibri"/>
          <w:sz w:val="22"/>
        </w:rPr>
        <w:t>of</w:t>
      </w:r>
      <w:r>
        <w:rPr>
          <w:rFonts w:ascii="Calibri"/>
          <w:spacing w:val="-4"/>
          <w:sz w:val="22"/>
        </w:rPr>
        <w:t> </w:t>
      </w:r>
      <w:r>
        <w:rPr>
          <w:rFonts w:ascii="Calibri"/>
          <w:b/>
          <w:spacing w:val="-10"/>
          <w:sz w:val="22"/>
        </w:rPr>
        <w:t>4</w:t>
      </w:r>
    </w:p>
    <w:p>
      <w:pPr>
        <w:spacing w:after="0"/>
        <w:jc w:val="center"/>
        <w:rPr>
          <w:rFonts w:ascii="Calibri"/>
          <w:b/>
          <w:sz w:val="22"/>
        </w:rPr>
        <w:sectPr>
          <w:pgSz w:w="11910" w:h="16840"/>
          <w:pgMar w:header="0" w:footer="149" w:top="380" w:bottom="340" w:left="283" w:right="708"/>
        </w:sectPr>
      </w:pPr>
    </w:p>
    <w:p>
      <w:pPr>
        <w:tabs>
          <w:tab w:pos="7427" w:val="left" w:leader="none"/>
        </w:tabs>
        <w:spacing w:line="240" w:lineRule="auto"/>
        <w:ind w:left="78" w:right="0" w:firstLine="0"/>
        <w:rPr>
          <w:rFonts w:ascii="Calibri"/>
          <w:position w:val="2"/>
          <w:sz w:val="20"/>
        </w:rPr>
      </w:pPr>
      <w:r>
        <w:rPr>
          <w:rFonts w:ascii="Calibri"/>
          <w:sz w:val="20"/>
        </w:rPr>
        <w:drawing>
          <wp:inline distT="0" distB="0" distL="0" distR="0">
            <wp:extent cx="2305246" cy="549021"/>
            <wp:effectExtent l="0" t="0" r="0" b="0"/>
            <wp:docPr id="359" name="Image 359"/>
            <wp:cNvGraphicFramePr>
              <a:graphicFrameLocks/>
            </wp:cNvGraphicFramePr>
            <a:graphic>
              <a:graphicData uri="http://schemas.openxmlformats.org/drawingml/2006/picture">
                <pic:pic>
                  <pic:nvPicPr>
                    <pic:cNvPr id="359" name="Image 359"/>
                    <pic:cNvPicPr/>
                  </pic:nvPicPr>
                  <pic:blipFill>
                    <a:blip r:embed="rId7" cstate="print"/>
                    <a:stretch>
                      <a:fillRect/>
                    </a:stretch>
                  </pic:blipFill>
                  <pic:spPr>
                    <a:xfrm>
                      <a:off x="0" y="0"/>
                      <a:ext cx="2305246" cy="549021"/>
                    </a:xfrm>
                    <a:prstGeom prst="rect">
                      <a:avLst/>
                    </a:prstGeom>
                  </pic:spPr>
                </pic:pic>
              </a:graphicData>
            </a:graphic>
          </wp:inline>
        </w:drawing>
      </w:r>
      <w:r>
        <w:rPr>
          <w:rFonts w:ascii="Calibri"/>
          <w:sz w:val="20"/>
        </w:rPr>
      </w:r>
      <w:r>
        <w:rPr>
          <w:rFonts w:ascii="Calibri"/>
          <w:sz w:val="20"/>
        </w:rPr>
        <w:tab/>
      </w:r>
      <w:r>
        <w:rPr>
          <w:rFonts w:ascii="Calibri"/>
          <w:position w:val="2"/>
          <w:sz w:val="20"/>
        </w:rPr>
        <w:drawing>
          <wp:inline distT="0" distB="0" distL="0" distR="0">
            <wp:extent cx="2136994" cy="520065"/>
            <wp:effectExtent l="0" t="0" r="0" b="0"/>
            <wp:docPr id="360" name="Image 360"/>
            <wp:cNvGraphicFramePr>
              <a:graphicFrameLocks/>
            </wp:cNvGraphicFramePr>
            <a:graphic>
              <a:graphicData uri="http://schemas.openxmlformats.org/drawingml/2006/picture">
                <pic:pic>
                  <pic:nvPicPr>
                    <pic:cNvPr id="360" name="Image 360"/>
                    <pic:cNvPicPr/>
                  </pic:nvPicPr>
                  <pic:blipFill>
                    <a:blip r:embed="rId67" cstate="print"/>
                    <a:stretch>
                      <a:fillRect/>
                    </a:stretch>
                  </pic:blipFill>
                  <pic:spPr>
                    <a:xfrm>
                      <a:off x="0" y="0"/>
                      <a:ext cx="2136994" cy="520065"/>
                    </a:xfrm>
                    <a:prstGeom prst="rect">
                      <a:avLst/>
                    </a:prstGeom>
                  </pic:spPr>
                </pic:pic>
              </a:graphicData>
            </a:graphic>
          </wp:inline>
        </w:drawing>
      </w:r>
      <w:r>
        <w:rPr>
          <w:rFonts w:ascii="Calibri"/>
          <w:position w:val="2"/>
          <w:sz w:val="20"/>
        </w:rPr>
      </w:r>
    </w:p>
    <w:p>
      <w:pPr>
        <w:pStyle w:val="BodyText"/>
        <w:spacing w:before="23"/>
        <w:rPr>
          <w:rFonts w:ascii="Calibri"/>
          <w:b/>
          <w:sz w:val="20"/>
        </w:rPr>
      </w:pPr>
    </w:p>
    <w:p>
      <w:pPr>
        <w:spacing w:line="312" w:lineRule="auto" w:before="1"/>
        <w:ind w:left="1877" w:right="735" w:firstLine="0"/>
        <w:jc w:val="left"/>
        <w:rPr>
          <w:sz w:val="20"/>
        </w:rPr>
      </w:pPr>
      <w:r>
        <w:rPr>
          <w:sz w:val="20"/>
        </w:rPr>
        <w:t>The</w:t>
      </w:r>
      <w:r>
        <w:rPr>
          <w:spacing w:val="-5"/>
          <w:sz w:val="20"/>
        </w:rPr>
        <w:t> </w:t>
      </w:r>
      <w:r>
        <w:rPr>
          <w:sz w:val="20"/>
        </w:rPr>
        <w:t>international</w:t>
      </w:r>
      <w:r>
        <w:rPr>
          <w:spacing w:val="-3"/>
          <w:sz w:val="20"/>
        </w:rPr>
        <w:t> </w:t>
      </w:r>
      <w:r>
        <w:rPr>
          <w:sz w:val="20"/>
        </w:rPr>
        <w:t>learning webinar</w:t>
      </w:r>
      <w:r>
        <w:rPr>
          <w:spacing w:val="-5"/>
          <w:sz w:val="20"/>
        </w:rPr>
        <w:t> </w:t>
      </w:r>
      <w:r>
        <w:rPr>
          <w:sz w:val="20"/>
        </w:rPr>
        <w:t>held on</w:t>
      </w:r>
      <w:r>
        <w:rPr>
          <w:spacing w:val="-5"/>
          <w:sz w:val="20"/>
        </w:rPr>
        <w:t> </w:t>
      </w:r>
      <w:r>
        <w:rPr>
          <w:sz w:val="20"/>
        </w:rPr>
        <w:t>22</w:t>
      </w:r>
      <w:r>
        <w:rPr>
          <w:spacing w:val="-5"/>
          <w:sz w:val="20"/>
        </w:rPr>
        <w:t> </w:t>
      </w:r>
      <w:r>
        <w:rPr>
          <w:sz w:val="20"/>
        </w:rPr>
        <w:t>July</w:t>
      </w:r>
      <w:r>
        <w:rPr>
          <w:spacing w:val="-3"/>
          <w:sz w:val="20"/>
        </w:rPr>
        <w:t> </w:t>
      </w:r>
      <w:r>
        <w:rPr>
          <w:sz w:val="20"/>
        </w:rPr>
        <w:t>2026</w:t>
      </w:r>
      <w:r>
        <w:rPr>
          <w:spacing w:val="-5"/>
          <w:sz w:val="20"/>
        </w:rPr>
        <w:t> </w:t>
      </w:r>
      <w:r>
        <w:rPr>
          <w:sz w:val="20"/>
        </w:rPr>
        <w:t>was</w:t>
      </w:r>
      <w:r>
        <w:rPr>
          <w:spacing w:val="-4"/>
          <w:sz w:val="20"/>
        </w:rPr>
        <w:t> </w:t>
      </w:r>
      <w:r>
        <w:rPr>
          <w:sz w:val="20"/>
        </w:rPr>
        <w:t>completed</w:t>
      </w:r>
      <w:r>
        <w:rPr>
          <w:spacing w:val="-5"/>
          <w:sz w:val="20"/>
        </w:rPr>
        <w:t> </w:t>
      </w:r>
      <w:r>
        <w:rPr>
          <w:sz w:val="20"/>
        </w:rPr>
        <w:t>and</w:t>
      </w:r>
      <w:r>
        <w:rPr>
          <w:spacing w:val="-5"/>
          <w:sz w:val="20"/>
        </w:rPr>
        <w:t> </w:t>
      </w:r>
      <w:r>
        <w:rPr>
          <w:sz w:val="20"/>
        </w:rPr>
        <w:t>the recording and insights report were circulated. The subgroup agreed to continue exploring learning opportunities through the WHO Regions for Health Network, Healthy Places approaches and the</w:t>
      </w:r>
      <w:r>
        <w:rPr>
          <w:spacing w:val="-6"/>
          <w:sz w:val="20"/>
        </w:rPr>
        <w:t> </w:t>
      </w:r>
      <w:r>
        <w:rPr>
          <w:sz w:val="20"/>
        </w:rPr>
        <w:t>Wales</w:t>
      </w:r>
      <w:r>
        <w:rPr>
          <w:spacing w:val="-1"/>
          <w:sz w:val="20"/>
        </w:rPr>
        <w:t> </w:t>
      </w:r>
      <w:r>
        <w:rPr>
          <w:sz w:val="20"/>
        </w:rPr>
        <w:t>and</w:t>
      </w:r>
      <w:r>
        <w:rPr>
          <w:spacing w:val="-6"/>
          <w:sz w:val="20"/>
        </w:rPr>
        <w:t> </w:t>
      </w:r>
      <w:r>
        <w:rPr>
          <w:sz w:val="20"/>
        </w:rPr>
        <w:t>WHO</w:t>
      </w:r>
      <w:r>
        <w:rPr>
          <w:spacing w:val="-5"/>
          <w:sz w:val="20"/>
        </w:rPr>
        <w:t> </w:t>
      </w:r>
      <w:r>
        <w:rPr>
          <w:sz w:val="20"/>
        </w:rPr>
        <w:t>Special</w:t>
      </w:r>
      <w:r>
        <w:rPr>
          <w:spacing w:val="-4"/>
          <w:sz w:val="20"/>
        </w:rPr>
        <w:t> </w:t>
      </w:r>
      <w:r>
        <w:rPr>
          <w:sz w:val="20"/>
        </w:rPr>
        <w:t>Initiative</w:t>
      </w:r>
      <w:r>
        <w:rPr>
          <w:spacing w:val="-2"/>
          <w:sz w:val="20"/>
        </w:rPr>
        <w:t> </w:t>
      </w:r>
      <w:r>
        <w:rPr>
          <w:sz w:val="20"/>
        </w:rPr>
        <w:t>on</w:t>
      </w:r>
      <w:r>
        <w:rPr>
          <w:spacing w:val="-6"/>
          <w:sz w:val="20"/>
        </w:rPr>
        <w:t> </w:t>
      </w:r>
      <w:r>
        <w:rPr>
          <w:sz w:val="20"/>
        </w:rPr>
        <w:t>Health</w:t>
      </w:r>
      <w:r>
        <w:rPr>
          <w:spacing w:val="-6"/>
          <w:sz w:val="20"/>
        </w:rPr>
        <w:t> </w:t>
      </w:r>
      <w:r>
        <w:rPr>
          <w:sz w:val="20"/>
        </w:rPr>
        <w:t>and</w:t>
      </w:r>
      <w:r>
        <w:rPr>
          <w:spacing w:val="-2"/>
          <w:sz w:val="20"/>
        </w:rPr>
        <w:t> </w:t>
      </w:r>
      <w:r>
        <w:rPr>
          <w:sz w:val="20"/>
        </w:rPr>
        <w:t>the</w:t>
      </w:r>
      <w:r>
        <w:rPr>
          <w:spacing w:val="-2"/>
          <w:sz w:val="20"/>
        </w:rPr>
        <w:t> </w:t>
      </w:r>
      <w:r>
        <w:rPr>
          <w:sz w:val="20"/>
        </w:rPr>
        <w:t>Wellbeing</w:t>
      </w:r>
      <w:r>
        <w:rPr>
          <w:spacing w:val="-6"/>
          <w:sz w:val="20"/>
        </w:rPr>
        <w:t> </w:t>
      </w:r>
      <w:r>
        <w:rPr>
          <w:sz w:val="20"/>
        </w:rPr>
        <w:t>Economy.</w:t>
      </w:r>
      <w:r>
        <w:rPr>
          <w:spacing w:val="-6"/>
          <w:sz w:val="20"/>
        </w:rPr>
        <w:t> </w:t>
      </w:r>
      <w:r>
        <w:rPr>
          <w:sz w:val="20"/>
        </w:rPr>
        <w:t>The</w:t>
      </w:r>
      <w:r>
        <w:rPr>
          <w:spacing w:val="-2"/>
          <w:sz w:val="20"/>
        </w:rPr>
        <w:t> </w:t>
      </w:r>
      <w:r>
        <w:rPr>
          <w:sz w:val="20"/>
        </w:rPr>
        <w:t>programme is also linking with emerging WHO wellbeing economy outcomes and indicator work to inform the regional outcomes framework.</w:t>
      </w:r>
    </w:p>
    <w:p>
      <w:pPr>
        <w:pStyle w:val="ListParagraph"/>
        <w:numPr>
          <w:ilvl w:val="0"/>
          <w:numId w:val="26"/>
        </w:numPr>
        <w:tabs>
          <w:tab w:pos="1877" w:val="left" w:leader="none"/>
        </w:tabs>
        <w:spacing w:line="247" w:lineRule="exact" w:before="0" w:after="0"/>
        <w:ind w:left="1877" w:right="0" w:hanging="360"/>
        <w:jc w:val="left"/>
        <w:rPr>
          <w:rFonts w:ascii="Symbol" w:hAnsi="Symbol"/>
          <w:sz w:val="24"/>
        </w:rPr>
      </w:pPr>
      <w:r>
        <w:rPr>
          <w:b/>
          <w:sz w:val="20"/>
        </w:rPr>
        <w:t>Cross-programme</w:t>
      </w:r>
      <w:r>
        <w:rPr>
          <w:b/>
          <w:spacing w:val="-11"/>
          <w:sz w:val="20"/>
        </w:rPr>
        <w:t> </w:t>
      </w:r>
      <w:r>
        <w:rPr>
          <w:b/>
          <w:spacing w:val="-2"/>
          <w:sz w:val="20"/>
        </w:rPr>
        <w:t>alignment</w:t>
      </w:r>
    </w:p>
    <w:p>
      <w:pPr>
        <w:spacing w:line="312" w:lineRule="auto" w:before="59"/>
        <w:ind w:left="1877" w:right="735" w:firstLine="0"/>
        <w:jc w:val="left"/>
        <w:rPr>
          <w:sz w:val="20"/>
        </w:rPr>
      </w:pPr>
      <w:r>
        <w:rPr>
          <w:sz w:val="20"/>
        </w:rPr>
        <w:t>The programme continues to strengthen links with other RJC workstreams. Population health and inequalities evidence is being positioned to inform established regional clinical service programmes through the appropriate governance routes. Workforce input is informing the People chapter of the long-term plan, while finance and procurement collaboration is supporting</w:t>
      </w:r>
      <w:r>
        <w:rPr>
          <w:spacing w:val="-2"/>
          <w:sz w:val="20"/>
        </w:rPr>
        <w:t> </w:t>
      </w:r>
      <w:r>
        <w:rPr>
          <w:sz w:val="20"/>
        </w:rPr>
        <w:t>the</w:t>
      </w:r>
      <w:r>
        <w:rPr>
          <w:spacing w:val="-2"/>
          <w:sz w:val="20"/>
        </w:rPr>
        <w:t> </w:t>
      </w:r>
      <w:r>
        <w:rPr>
          <w:sz w:val="20"/>
        </w:rPr>
        <w:t>Procurement/Public</w:t>
      </w:r>
      <w:r>
        <w:rPr>
          <w:spacing w:val="-1"/>
          <w:sz w:val="20"/>
        </w:rPr>
        <w:t> </w:t>
      </w:r>
      <w:r>
        <w:rPr>
          <w:sz w:val="20"/>
        </w:rPr>
        <w:t>Purse</w:t>
      </w:r>
      <w:r>
        <w:rPr>
          <w:spacing w:val="-2"/>
          <w:sz w:val="20"/>
        </w:rPr>
        <w:t> </w:t>
      </w:r>
      <w:r>
        <w:rPr>
          <w:sz w:val="20"/>
        </w:rPr>
        <w:t>strand.</w:t>
      </w:r>
      <w:r>
        <w:rPr>
          <w:spacing w:val="-2"/>
          <w:sz w:val="20"/>
        </w:rPr>
        <w:t> </w:t>
      </w:r>
      <w:r>
        <w:rPr>
          <w:sz w:val="20"/>
        </w:rPr>
        <w:t>The</w:t>
      </w:r>
      <w:r>
        <w:rPr>
          <w:spacing w:val="-2"/>
          <w:sz w:val="20"/>
        </w:rPr>
        <w:t> </w:t>
      </w:r>
      <w:r>
        <w:rPr>
          <w:sz w:val="20"/>
        </w:rPr>
        <w:t>subgroup has</w:t>
      </w:r>
      <w:r>
        <w:rPr>
          <w:spacing w:val="-1"/>
          <w:sz w:val="20"/>
        </w:rPr>
        <w:t> </w:t>
      </w:r>
      <w:r>
        <w:rPr>
          <w:sz w:val="20"/>
        </w:rPr>
        <w:t>emphasised</w:t>
      </w:r>
      <w:r>
        <w:rPr>
          <w:spacing w:val="-2"/>
          <w:sz w:val="20"/>
        </w:rPr>
        <w:t> </w:t>
      </w:r>
      <w:r>
        <w:rPr>
          <w:sz w:val="20"/>
        </w:rPr>
        <w:t>that</w:t>
      </w:r>
      <w:r>
        <w:rPr>
          <w:spacing w:val="-2"/>
          <w:sz w:val="20"/>
        </w:rPr>
        <w:t> </w:t>
      </w:r>
      <w:r>
        <w:rPr>
          <w:sz w:val="20"/>
        </w:rPr>
        <w:t>regional activity</w:t>
      </w:r>
      <w:r>
        <w:rPr>
          <w:spacing w:val="-4"/>
          <w:sz w:val="20"/>
        </w:rPr>
        <w:t> </w:t>
      </w:r>
      <w:r>
        <w:rPr>
          <w:sz w:val="20"/>
        </w:rPr>
        <w:t>should add</w:t>
      </w:r>
      <w:r>
        <w:rPr>
          <w:spacing w:val="-5"/>
          <w:sz w:val="20"/>
        </w:rPr>
        <w:t> </w:t>
      </w:r>
      <w:r>
        <w:rPr>
          <w:sz w:val="20"/>
        </w:rPr>
        <w:t>value,</w:t>
      </w:r>
      <w:r>
        <w:rPr>
          <w:spacing w:val="-5"/>
          <w:sz w:val="20"/>
        </w:rPr>
        <w:t> </w:t>
      </w:r>
      <w:r>
        <w:rPr>
          <w:sz w:val="20"/>
        </w:rPr>
        <w:t>avoid</w:t>
      </w:r>
      <w:r>
        <w:rPr>
          <w:spacing w:val="-4"/>
          <w:sz w:val="20"/>
        </w:rPr>
        <w:t> </w:t>
      </w:r>
      <w:r>
        <w:rPr>
          <w:sz w:val="20"/>
        </w:rPr>
        <w:t>duplication</w:t>
      </w:r>
      <w:r>
        <w:rPr>
          <w:spacing w:val="-5"/>
          <w:sz w:val="20"/>
        </w:rPr>
        <w:t> </w:t>
      </w:r>
      <w:r>
        <w:rPr>
          <w:sz w:val="20"/>
        </w:rPr>
        <w:t>of</w:t>
      </w:r>
      <w:r>
        <w:rPr>
          <w:spacing w:val="-5"/>
          <w:sz w:val="20"/>
        </w:rPr>
        <w:t> </w:t>
      </w:r>
      <w:r>
        <w:rPr>
          <w:sz w:val="20"/>
        </w:rPr>
        <w:t>local</w:t>
      </w:r>
      <w:r>
        <w:rPr>
          <w:spacing w:val="-3"/>
          <w:sz w:val="20"/>
        </w:rPr>
        <w:t> </w:t>
      </w:r>
      <w:r>
        <w:rPr>
          <w:sz w:val="20"/>
        </w:rPr>
        <w:t>work and</w:t>
      </w:r>
      <w:r>
        <w:rPr>
          <w:spacing w:val="-5"/>
          <w:sz w:val="20"/>
        </w:rPr>
        <w:t> </w:t>
      </w:r>
      <w:r>
        <w:rPr>
          <w:sz w:val="20"/>
        </w:rPr>
        <w:t>remain</w:t>
      </w:r>
      <w:r>
        <w:rPr>
          <w:spacing w:val="-4"/>
          <w:sz w:val="20"/>
        </w:rPr>
        <w:t> </w:t>
      </w:r>
      <w:r>
        <w:rPr>
          <w:sz w:val="20"/>
        </w:rPr>
        <w:t>proportionate</w:t>
      </w:r>
      <w:r>
        <w:rPr>
          <w:spacing w:val="-5"/>
          <w:sz w:val="20"/>
        </w:rPr>
        <w:t> </w:t>
      </w:r>
      <w:r>
        <w:rPr>
          <w:sz w:val="20"/>
        </w:rPr>
        <w:t>to available </w:t>
      </w:r>
      <w:r>
        <w:rPr>
          <w:spacing w:val="-2"/>
          <w:sz w:val="20"/>
        </w:rPr>
        <w:t>capacity.</w:t>
      </w:r>
    </w:p>
    <w:p>
      <w:pPr>
        <w:spacing w:before="218"/>
        <w:ind w:left="1157" w:right="0" w:firstLine="0"/>
        <w:jc w:val="left"/>
        <w:rPr>
          <w:sz w:val="20"/>
        </w:rPr>
      </w:pPr>
      <w:r>
        <w:rPr>
          <w:b/>
          <w:sz w:val="20"/>
        </w:rPr>
        <w:t>Assure</w:t>
      </w:r>
      <w:r>
        <w:rPr>
          <w:b/>
          <w:spacing w:val="-5"/>
          <w:sz w:val="20"/>
        </w:rPr>
        <w:t> </w:t>
      </w:r>
      <w:r>
        <w:rPr>
          <w:sz w:val="20"/>
        </w:rPr>
        <w:t>(to note)/</w:t>
      </w:r>
      <w:r>
        <w:rPr>
          <w:spacing w:val="-4"/>
          <w:sz w:val="20"/>
        </w:rPr>
        <w:t> </w:t>
      </w:r>
      <w:r>
        <w:rPr>
          <w:b/>
          <w:sz w:val="20"/>
        </w:rPr>
        <w:t>Sicrhau</w:t>
      </w:r>
      <w:r>
        <w:rPr>
          <w:b/>
          <w:spacing w:val="-6"/>
          <w:sz w:val="20"/>
        </w:rPr>
        <w:t> </w:t>
      </w:r>
      <w:r>
        <w:rPr>
          <w:sz w:val="20"/>
        </w:rPr>
        <w:t>(i</w:t>
      </w:r>
      <w:r>
        <w:rPr>
          <w:spacing w:val="-3"/>
          <w:sz w:val="20"/>
        </w:rPr>
        <w:t> </w:t>
      </w:r>
      <w:r>
        <w:rPr>
          <w:spacing w:val="-2"/>
          <w:sz w:val="20"/>
        </w:rPr>
        <w:t>nodi)</w:t>
      </w:r>
    </w:p>
    <w:p>
      <w:pPr>
        <w:spacing w:before="180"/>
        <w:ind w:left="1157" w:right="0" w:firstLine="0"/>
        <w:jc w:val="left"/>
        <w:rPr>
          <w:sz w:val="20"/>
        </w:rPr>
      </w:pPr>
      <w:r>
        <w:rPr>
          <w:sz w:val="20"/>
        </w:rPr>
        <w:t>The</w:t>
      </w:r>
      <w:r>
        <w:rPr>
          <w:spacing w:val="-7"/>
          <w:sz w:val="20"/>
        </w:rPr>
        <w:t> </w:t>
      </w:r>
      <w:r>
        <w:rPr>
          <w:sz w:val="20"/>
        </w:rPr>
        <w:t>Regional</w:t>
      </w:r>
      <w:r>
        <w:rPr>
          <w:spacing w:val="-3"/>
          <w:sz w:val="20"/>
        </w:rPr>
        <w:t> </w:t>
      </w:r>
      <w:r>
        <w:rPr>
          <w:sz w:val="20"/>
        </w:rPr>
        <w:t>Health</w:t>
      </w:r>
      <w:r>
        <w:rPr>
          <w:spacing w:val="-5"/>
          <w:sz w:val="20"/>
        </w:rPr>
        <w:t> </w:t>
      </w:r>
      <w:r>
        <w:rPr>
          <w:sz w:val="20"/>
        </w:rPr>
        <w:t>Economy</w:t>
      </w:r>
      <w:r>
        <w:rPr>
          <w:spacing w:val="-3"/>
          <w:sz w:val="20"/>
        </w:rPr>
        <w:t> </w:t>
      </w:r>
      <w:r>
        <w:rPr>
          <w:sz w:val="20"/>
        </w:rPr>
        <w:t>Group</w:t>
      </w:r>
      <w:r>
        <w:rPr>
          <w:spacing w:val="-5"/>
          <w:sz w:val="20"/>
        </w:rPr>
        <w:t> </w:t>
      </w:r>
      <w:r>
        <w:rPr>
          <w:sz w:val="20"/>
        </w:rPr>
        <w:t>wishes</w:t>
      </w:r>
      <w:r>
        <w:rPr>
          <w:spacing w:val="-4"/>
          <w:sz w:val="20"/>
        </w:rPr>
        <w:t> </w:t>
      </w:r>
      <w:r>
        <w:rPr>
          <w:sz w:val="20"/>
        </w:rPr>
        <w:t>to</w:t>
      </w:r>
      <w:r>
        <w:rPr>
          <w:spacing w:val="-5"/>
          <w:sz w:val="20"/>
        </w:rPr>
        <w:t> </w:t>
      </w:r>
      <w:r>
        <w:rPr>
          <w:sz w:val="20"/>
        </w:rPr>
        <w:t>assure</w:t>
      </w:r>
      <w:r>
        <w:rPr>
          <w:spacing w:val="-4"/>
          <w:sz w:val="20"/>
        </w:rPr>
        <w:t> </w:t>
      </w:r>
      <w:r>
        <w:rPr>
          <w:sz w:val="20"/>
        </w:rPr>
        <w:t>members</w:t>
      </w:r>
      <w:r>
        <w:rPr>
          <w:spacing w:val="1"/>
          <w:sz w:val="20"/>
        </w:rPr>
        <w:t> </w:t>
      </w:r>
      <w:r>
        <w:rPr>
          <w:sz w:val="20"/>
        </w:rPr>
        <w:t>of</w:t>
      </w:r>
      <w:r>
        <w:rPr>
          <w:spacing w:val="-5"/>
          <w:sz w:val="20"/>
        </w:rPr>
        <w:t> </w:t>
      </w:r>
      <w:r>
        <w:rPr>
          <w:sz w:val="20"/>
        </w:rPr>
        <w:t>the</w:t>
      </w:r>
      <w:r>
        <w:rPr>
          <w:spacing w:val="-5"/>
          <w:sz w:val="20"/>
        </w:rPr>
        <w:t> </w:t>
      </w:r>
      <w:r>
        <w:rPr>
          <w:sz w:val="20"/>
        </w:rPr>
        <w:t>RJC</w:t>
      </w:r>
      <w:r>
        <w:rPr>
          <w:spacing w:val="-2"/>
          <w:sz w:val="20"/>
        </w:rPr>
        <w:t> that:</w:t>
      </w:r>
    </w:p>
    <w:p>
      <w:pPr>
        <w:pStyle w:val="ListParagraph"/>
        <w:numPr>
          <w:ilvl w:val="0"/>
          <w:numId w:val="26"/>
        </w:numPr>
        <w:tabs>
          <w:tab w:pos="1877" w:val="left" w:leader="none"/>
        </w:tabs>
        <w:spacing w:line="264" w:lineRule="auto" w:before="172" w:after="0"/>
        <w:ind w:left="1877" w:right="1416" w:hanging="360"/>
        <w:jc w:val="left"/>
        <w:rPr>
          <w:rFonts w:ascii="Symbol" w:hAnsi="Symbol"/>
          <w:sz w:val="20"/>
        </w:rPr>
      </w:pPr>
      <w:r>
        <w:rPr>
          <w:sz w:val="20"/>
        </w:rPr>
        <w:t>The</w:t>
      </w:r>
      <w:r>
        <w:rPr>
          <w:spacing w:val="-5"/>
          <w:sz w:val="20"/>
        </w:rPr>
        <w:t> </w:t>
      </w:r>
      <w:r>
        <w:rPr>
          <w:sz w:val="20"/>
        </w:rPr>
        <w:t>subgroup</w:t>
      </w:r>
      <w:r>
        <w:rPr>
          <w:spacing w:val="-5"/>
          <w:sz w:val="20"/>
        </w:rPr>
        <w:t> </w:t>
      </w:r>
      <w:r>
        <w:rPr>
          <w:sz w:val="20"/>
        </w:rPr>
        <w:t>has maintained oversight</w:t>
      </w:r>
      <w:r>
        <w:rPr>
          <w:spacing w:val="-5"/>
          <w:sz w:val="20"/>
        </w:rPr>
        <w:t> </w:t>
      </w:r>
      <w:r>
        <w:rPr>
          <w:sz w:val="20"/>
        </w:rPr>
        <w:t>of</w:t>
      </w:r>
      <w:r>
        <w:rPr>
          <w:spacing w:val="-5"/>
          <w:sz w:val="20"/>
        </w:rPr>
        <w:t> </w:t>
      </w:r>
      <w:r>
        <w:rPr>
          <w:sz w:val="20"/>
        </w:rPr>
        <w:t>the</w:t>
      </w:r>
      <w:r>
        <w:rPr>
          <w:spacing w:val="-5"/>
          <w:sz w:val="20"/>
        </w:rPr>
        <w:t> </w:t>
      </w:r>
      <w:r>
        <w:rPr>
          <w:sz w:val="20"/>
        </w:rPr>
        <w:t>programme,</w:t>
      </w:r>
      <w:r>
        <w:rPr>
          <w:spacing w:val="-5"/>
          <w:sz w:val="20"/>
        </w:rPr>
        <w:t> </w:t>
      </w:r>
      <w:r>
        <w:rPr>
          <w:sz w:val="20"/>
        </w:rPr>
        <w:t>with</w:t>
      </w:r>
      <w:r>
        <w:rPr>
          <w:spacing w:val="-5"/>
          <w:sz w:val="20"/>
        </w:rPr>
        <w:t> </w:t>
      </w:r>
      <w:r>
        <w:rPr>
          <w:sz w:val="20"/>
        </w:rPr>
        <w:t>a</w:t>
      </w:r>
      <w:r>
        <w:rPr>
          <w:spacing w:val="-5"/>
          <w:sz w:val="20"/>
        </w:rPr>
        <w:t> </w:t>
      </w:r>
      <w:r>
        <w:rPr>
          <w:sz w:val="20"/>
        </w:rPr>
        <w:t>clear</w:t>
      </w:r>
      <w:r>
        <w:rPr>
          <w:spacing w:val="-5"/>
          <w:sz w:val="20"/>
        </w:rPr>
        <w:t> </w:t>
      </w:r>
      <w:r>
        <w:rPr>
          <w:sz w:val="20"/>
        </w:rPr>
        <w:t>action</w:t>
      </w:r>
      <w:r>
        <w:rPr>
          <w:spacing w:val="-5"/>
          <w:sz w:val="20"/>
        </w:rPr>
        <w:t> </w:t>
      </w:r>
      <w:r>
        <w:rPr>
          <w:sz w:val="20"/>
        </w:rPr>
        <w:t>trail and escalation route supporting delivery across the workstreams.</w:t>
      </w:r>
    </w:p>
    <w:p>
      <w:pPr>
        <w:pStyle w:val="ListParagraph"/>
        <w:numPr>
          <w:ilvl w:val="0"/>
          <w:numId w:val="26"/>
        </w:numPr>
        <w:tabs>
          <w:tab w:pos="1877" w:val="left" w:leader="none"/>
        </w:tabs>
        <w:spacing w:line="233" w:lineRule="exact" w:before="0" w:after="0"/>
        <w:ind w:left="1877" w:right="0" w:hanging="360"/>
        <w:jc w:val="left"/>
        <w:rPr>
          <w:rFonts w:ascii="Symbol" w:hAnsi="Symbol"/>
          <w:sz w:val="20"/>
        </w:rPr>
      </w:pPr>
      <w:r>
        <w:rPr>
          <w:sz w:val="20"/>
        </w:rPr>
        <w:t>The</w:t>
      </w:r>
      <w:r>
        <w:rPr>
          <w:spacing w:val="-7"/>
          <w:sz w:val="20"/>
        </w:rPr>
        <w:t> </w:t>
      </w:r>
      <w:r>
        <w:rPr>
          <w:sz w:val="20"/>
        </w:rPr>
        <w:t>Regional</w:t>
      </w:r>
      <w:r>
        <w:rPr>
          <w:spacing w:val="-4"/>
          <w:sz w:val="20"/>
        </w:rPr>
        <w:t> </w:t>
      </w:r>
      <w:r>
        <w:rPr>
          <w:sz w:val="20"/>
        </w:rPr>
        <w:t>Health</w:t>
      </w:r>
      <w:r>
        <w:rPr>
          <w:spacing w:val="-6"/>
          <w:sz w:val="20"/>
        </w:rPr>
        <w:t> </w:t>
      </w:r>
      <w:r>
        <w:rPr>
          <w:sz w:val="20"/>
        </w:rPr>
        <w:t>Intelligence</w:t>
      </w:r>
      <w:r>
        <w:rPr>
          <w:spacing w:val="-7"/>
          <w:sz w:val="20"/>
        </w:rPr>
        <w:t> </w:t>
      </w:r>
      <w:r>
        <w:rPr>
          <w:sz w:val="20"/>
        </w:rPr>
        <w:t>Scoping</w:t>
      </w:r>
      <w:r>
        <w:rPr>
          <w:spacing w:val="-6"/>
          <w:sz w:val="20"/>
        </w:rPr>
        <w:t> </w:t>
      </w:r>
      <w:r>
        <w:rPr>
          <w:sz w:val="20"/>
        </w:rPr>
        <w:t>Document</w:t>
      </w:r>
      <w:r>
        <w:rPr>
          <w:spacing w:val="-1"/>
          <w:sz w:val="20"/>
        </w:rPr>
        <w:t> </w:t>
      </w:r>
      <w:r>
        <w:rPr>
          <w:sz w:val="20"/>
        </w:rPr>
        <w:t>has</w:t>
      </w:r>
      <w:r>
        <w:rPr>
          <w:spacing w:val="-1"/>
          <w:sz w:val="20"/>
        </w:rPr>
        <w:t> </w:t>
      </w:r>
      <w:r>
        <w:rPr>
          <w:sz w:val="20"/>
        </w:rPr>
        <w:t>been</w:t>
      </w:r>
      <w:r>
        <w:rPr>
          <w:spacing w:val="-6"/>
          <w:sz w:val="20"/>
        </w:rPr>
        <w:t> </w:t>
      </w:r>
      <w:r>
        <w:rPr>
          <w:sz w:val="20"/>
        </w:rPr>
        <w:t>endorsed</w:t>
      </w:r>
      <w:r>
        <w:rPr>
          <w:spacing w:val="-6"/>
          <w:sz w:val="20"/>
        </w:rPr>
        <w:t> </w:t>
      </w:r>
      <w:r>
        <w:rPr>
          <w:sz w:val="20"/>
        </w:rPr>
        <w:t>in</w:t>
      </w:r>
      <w:r>
        <w:rPr>
          <w:spacing w:val="-2"/>
          <w:sz w:val="20"/>
        </w:rPr>
        <w:t> </w:t>
      </w:r>
      <w:r>
        <w:rPr>
          <w:sz w:val="20"/>
        </w:rPr>
        <w:t>principle,</w:t>
      </w:r>
      <w:r>
        <w:rPr>
          <w:spacing w:val="-6"/>
          <w:sz w:val="20"/>
        </w:rPr>
        <w:t> </w:t>
      </w:r>
      <w:r>
        <w:rPr>
          <w:sz w:val="20"/>
        </w:rPr>
        <w:t>with</w:t>
      </w:r>
      <w:r>
        <w:rPr>
          <w:spacing w:val="-6"/>
          <w:sz w:val="20"/>
        </w:rPr>
        <w:t> </w:t>
      </w:r>
      <w:r>
        <w:rPr>
          <w:spacing w:val="-10"/>
          <w:sz w:val="20"/>
        </w:rPr>
        <w:t>a</w:t>
      </w:r>
    </w:p>
    <w:p>
      <w:pPr>
        <w:spacing w:line="256" w:lineRule="auto" w:before="24"/>
        <w:ind w:left="1877" w:right="813" w:firstLine="0"/>
        <w:jc w:val="left"/>
        <w:rPr>
          <w:sz w:val="20"/>
        </w:rPr>
      </w:pPr>
      <w:r>
        <w:rPr>
          <w:sz w:val="20"/>
        </w:rPr>
        <w:t>proportionate</w:t>
      </w:r>
      <w:r>
        <w:rPr>
          <w:spacing w:val="-6"/>
          <w:sz w:val="20"/>
        </w:rPr>
        <w:t> </w:t>
      </w:r>
      <w:r>
        <w:rPr>
          <w:sz w:val="20"/>
        </w:rPr>
        <w:t>initial</w:t>
      </w:r>
      <w:r>
        <w:rPr>
          <w:spacing w:val="-4"/>
          <w:sz w:val="20"/>
        </w:rPr>
        <w:t> </w:t>
      </w:r>
      <w:r>
        <w:rPr>
          <w:sz w:val="20"/>
        </w:rPr>
        <w:t>product</w:t>
      </w:r>
      <w:r>
        <w:rPr>
          <w:spacing w:val="-6"/>
          <w:sz w:val="20"/>
        </w:rPr>
        <w:t> </w:t>
      </w:r>
      <w:r>
        <w:rPr>
          <w:sz w:val="20"/>
        </w:rPr>
        <w:t>identified</w:t>
      </w:r>
      <w:r>
        <w:rPr>
          <w:spacing w:val="-6"/>
          <w:sz w:val="20"/>
        </w:rPr>
        <w:t> </w:t>
      </w:r>
      <w:r>
        <w:rPr>
          <w:sz w:val="20"/>
        </w:rPr>
        <w:t>and</w:t>
      </w:r>
      <w:r>
        <w:rPr>
          <w:spacing w:val="-6"/>
          <w:sz w:val="20"/>
        </w:rPr>
        <w:t> </w:t>
      </w:r>
      <w:r>
        <w:rPr>
          <w:sz w:val="20"/>
        </w:rPr>
        <w:t>the</w:t>
      </w:r>
      <w:r>
        <w:rPr>
          <w:spacing w:val="-2"/>
          <w:sz w:val="20"/>
        </w:rPr>
        <w:t> </w:t>
      </w:r>
      <w:r>
        <w:rPr>
          <w:sz w:val="20"/>
        </w:rPr>
        <w:t>principal</w:t>
      </w:r>
      <w:r>
        <w:rPr>
          <w:spacing w:val="-4"/>
          <w:sz w:val="20"/>
        </w:rPr>
        <w:t> </w:t>
      </w:r>
      <w:r>
        <w:rPr>
          <w:sz w:val="20"/>
        </w:rPr>
        <w:t>delivery</w:t>
      </w:r>
      <w:r>
        <w:rPr>
          <w:spacing w:val="-5"/>
          <w:sz w:val="20"/>
        </w:rPr>
        <w:t> </w:t>
      </w:r>
      <w:r>
        <w:rPr>
          <w:sz w:val="20"/>
        </w:rPr>
        <w:t>dependencies</w:t>
      </w:r>
      <w:r>
        <w:rPr>
          <w:spacing w:val="-5"/>
          <w:sz w:val="20"/>
        </w:rPr>
        <w:t> </w:t>
      </w:r>
      <w:r>
        <w:rPr>
          <w:sz w:val="20"/>
        </w:rPr>
        <w:t>clearly </w:t>
      </w:r>
      <w:r>
        <w:rPr>
          <w:spacing w:val="-2"/>
          <w:sz w:val="20"/>
        </w:rPr>
        <w:t>recorded.</w:t>
      </w:r>
    </w:p>
    <w:p>
      <w:pPr>
        <w:pStyle w:val="ListParagraph"/>
        <w:numPr>
          <w:ilvl w:val="0"/>
          <w:numId w:val="26"/>
        </w:numPr>
        <w:tabs>
          <w:tab w:pos="1877" w:val="left" w:leader="none"/>
        </w:tabs>
        <w:spacing w:line="259" w:lineRule="auto" w:before="0" w:after="0"/>
        <w:ind w:left="1877" w:right="871" w:hanging="360"/>
        <w:jc w:val="left"/>
        <w:rPr>
          <w:rFonts w:ascii="Symbol" w:hAnsi="Symbol"/>
          <w:sz w:val="20"/>
        </w:rPr>
      </w:pPr>
      <w:r>
        <w:rPr>
          <w:sz w:val="20"/>
        </w:rPr>
        <w:t>A</w:t>
      </w:r>
      <w:r>
        <w:rPr>
          <w:spacing w:val="-7"/>
          <w:sz w:val="20"/>
        </w:rPr>
        <w:t> </w:t>
      </w:r>
      <w:r>
        <w:rPr>
          <w:sz w:val="20"/>
        </w:rPr>
        <w:t>shared regional health equity framework has been agreed as the preferred direction, balancing</w:t>
      </w:r>
      <w:r>
        <w:rPr>
          <w:spacing w:val="-6"/>
          <w:sz w:val="20"/>
        </w:rPr>
        <w:t> </w:t>
      </w:r>
      <w:r>
        <w:rPr>
          <w:sz w:val="20"/>
        </w:rPr>
        <w:t>common</w:t>
      </w:r>
      <w:r>
        <w:rPr>
          <w:spacing w:val="-6"/>
          <w:sz w:val="20"/>
        </w:rPr>
        <w:t> </w:t>
      </w:r>
      <w:r>
        <w:rPr>
          <w:sz w:val="20"/>
        </w:rPr>
        <w:t>regional</w:t>
      </w:r>
      <w:r>
        <w:rPr>
          <w:spacing w:val="-1"/>
          <w:sz w:val="20"/>
        </w:rPr>
        <w:t> </w:t>
      </w:r>
      <w:r>
        <w:rPr>
          <w:sz w:val="20"/>
        </w:rPr>
        <w:t>principles</w:t>
      </w:r>
      <w:r>
        <w:rPr>
          <w:spacing w:val="-1"/>
          <w:sz w:val="20"/>
        </w:rPr>
        <w:t> </w:t>
      </w:r>
      <w:r>
        <w:rPr>
          <w:sz w:val="20"/>
        </w:rPr>
        <w:t>and</w:t>
      </w:r>
      <w:r>
        <w:rPr>
          <w:spacing w:val="-2"/>
          <w:sz w:val="20"/>
        </w:rPr>
        <w:t> </w:t>
      </w:r>
      <w:r>
        <w:rPr>
          <w:sz w:val="20"/>
        </w:rPr>
        <w:t>methods</w:t>
      </w:r>
      <w:r>
        <w:rPr>
          <w:spacing w:val="-5"/>
          <w:sz w:val="20"/>
        </w:rPr>
        <w:t> </w:t>
      </w:r>
      <w:r>
        <w:rPr>
          <w:sz w:val="20"/>
        </w:rPr>
        <w:t>with</w:t>
      </w:r>
      <w:r>
        <w:rPr>
          <w:spacing w:val="-2"/>
          <w:sz w:val="20"/>
        </w:rPr>
        <w:t> </w:t>
      </w:r>
      <w:r>
        <w:rPr>
          <w:sz w:val="20"/>
        </w:rPr>
        <w:t>delivery</w:t>
      </w:r>
      <w:r>
        <w:rPr>
          <w:spacing w:val="-5"/>
          <w:sz w:val="20"/>
        </w:rPr>
        <w:t> </w:t>
      </w:r>
      <w:r>
        <w:rPr>
          <w:sz w:val="20"/>
        </w:rPr>
        <w:t>adapted</w:t>
      </w:r>
      <w:r>
        <w:rPr>
          <w:spacing w:val="-6"/>
          <w:sz w:val="20"/>
        </w:rPr>
        <w:t> </w:t>
      </w:r>
      <w:r>
        <w:rPr>
          <w:sz w:val="20"/>
        </w:rPr>
        <w:t>to</w:t>
      </w:r>
      <w:r>
        <w:rPr>
          <w:spacing w:val="-6"/>
          <w:sz w:val="20"/>
        </w:rPr>
        <w:t> </w:t>
      </w:r>
      <w:r>
        <w:rPr>
          <w:sz w:val="20"/>
        </w:rPr>
        <w:t>local</w:t>
      </w:r>
      <w:r>
        <w:rPr>
          <w:spacing w:val="-5"/>
          <w:sz w:val="20"/>
        </w:rPr>
        <w:t> </w:t>
      </w:r>
      <w:r>
        <w:rPr>
          <w:sz w:val="20"/>
        </w:rPr>
        <w:t>needs</w:t>
      </w:r>
      <w:r>
        <w:rPr>
          <w:spacing w:val="-1"/>
          <w:sz w:val="20"/>
        </w:rPr>
        <w:t> </w:t>
      </w:r>
      <w:r>
        <w:rPr>
          <w:sz w:val="20"/>
        </w:rPr>
        <w:t>and </w:t>
      </w:r>
      <w:r>
        <w:rPr>
          <w:spacing w:val="-2"/>
          <w:sz w:val="20"/>
        </w:rPr>
        <w:t>arrangements.</w:t>
      </w:r>
    </w:p>
    <w:p>
      <w:pPr>
        <w:spacing w:before="156"/>
        <w:ind w:left="1157" w:right="0" w:firstLine="0"/>
        <w:jc w:val="left"/>
        <w:rPr>
          <w:sz w:val="20"/>
        </w:rPr>
      </w:pPr>
      <w:r>
        <w:rPr>
          <w:sz w:val="20"/>
        </w:rPr>
        <w:t>The</w:t>
      </w:r>
      <w:r>
        <w:rPr>
          <w:spacing w:val="-8"/>
          <w:sz w:val="20"/>
        </w:rPr>
        <w:t> </w:t>
      </w:r>
      <w:r>
        <w:rPr>
          <w:sz w:val="20"/>
        </w:rPr>
        <w:t>long-term</w:t>
      </w:r>
      <w:r>
        <w:rPr>
          <w:spacing w:val="-5"/>
          <w:sz w:val="20"/>
        </w:rPr>
        <w:t> </w:t>
      </w:r>
      <w:r>
        <w:rPr>
          <w:sz w:val="20"/>
        </w:rPr>
        <w:t>plan</w:t>
      </w:r>
      <w:r>
        <w:rPr>
          <w:spacing w:val="-6"/>
          <w:sz w:val="20"/>
        </w:rPr>
        <w:t> </w:t>
      </w:r>
      <w:r>
        <w:rPr>
          <w:sz w:val="20"/>
        </w:rPr>
        <w:t>is</w:t>
      </w:r>
      <w:r>
        <w:rPr>
          <w:spacing w:val="-4"/>
          <w:sz w:val="20"/>
        </w:rPr>
        <w:t> </w:t>
      </w:r>
      <w:r>
        <w:rPr>
          <w:sz w:val="20"/>
        </w:rPr>
        <w:t>supported</w:t>
      </w:r>
      <w:r>
        <w:rPr>
          <w:spacing w:val="-6"/>
          <w:sz w:val="20"/>
        </w:rPr>
        <w:t> </w:t>
      </w:r>
      <w:r>
        <w:rPr>
          <w:sz w:val="20"/>
        </w:rPr>
        <w:t>by</w:t>
      </w:r>
      <w:r>
        <w:rPr>
          <w:spacing w:val="-4"/>
          <w:sz w:val="20"/>
        </w:rPr>
        <w:t> </w:t>
      </w:r>
      <w:r>
        <w:rPr>
          <w:sz w:val="20"/>
        </w:rPr>
        <w:t>a</w:t>
      </w:r>
      <w:r>
        <w:rPr>
          <w:spacing w:val="-1"/>
          <w:sz w:val="20"/>
        </w:rPr>
        <w:t> </w:t>
      </w:r>
      <w:r>
        <w:rPr>
          <w:sz w:val="20"/>
        </w:rPr>
        <w:t>visible</w:t>
      </w:r>
      <w:r>
        <w:rPr>
          <w:spacing w:val="-5"/>
          <w:sz w:val="20"/>
        </w:rPr>
        <w:t> </w:t>
      </w:r>
      <w:r>
        <w:rPr>
          <w:sz w:val="20"/>
        </w:rPr>
        <w:t>product roadmap.</w:t>
      </w:r>
      <w:r>
        <w:rPr>
          <w:spacing w:val="-6"/>
          <w:sz w:val="20"/>
        </w:rPr>
        <w:t> </w:t>
      </w:r>
      <w:r>
        <w:rPr>
          <w:sz w:val="20"/>
        </w:rPr>
        <w:t>Completed</w:t>
      </w:r>
      <w:r>
        <w:rPr>
          <w:spacing w:val="-1"/>
          <w:sz w:val="20"/>
        </w:rPr>
        <w:t> </w:t>
      </w:r>
      <w:r>
        <w:rPr>
          <w:sz w:val="20"/>
        </w:rPr>
        <w:t>outputs</w:t>
      </w:r>
      <w:r>
        <w:rPr>
          <w:spacing w:val="-4"/>
          <w:sz w:val="20"/>
        </w:rPr>
        <w:t> </w:t>
      </w:r>
      <w:r>
        <w:rPr>
          <w:sz w:val="20"/>
        </w:rPr>
        <w:t>include</w:t>
      </w:r>
      <w:r>
        <w:rPr>
          <w:spacing w:val="-5"/>
          <w:sz w:val="20"/>
        </w:rPr>
        <w:t> the</w:t>
      </w:r>
    </w:p>
    <w:p>
      <w:pPr>
        <w:spacing w:line="261" w:lineRule="auto" w:before="20"/>
        <w:ind w:left="1157" w:right="758" w:firstLine="0"/>
        <w:jc w:val="left"/>
        <w:rPr>
          <w:sz w:val="20"/>
        </w:rPr>
      </w:pPr>
      <w:r>
        <w:rPr>
          <w:sz w:val="20"/>
        </w:rPr>
        <w:t>strategic</w:t>
      </w:r>
      <w:r>
        <w:rPr>
          <w:spacing w:val="-1"/>
          <w:sz w:val="20"/>
        </w:rPr>
        <w:t> </w:t>
      </w:r>
      <w:r>
        <w:rPr>
          <w:sz w:val="20"/>
        </w:rPr>
        <w:t>analysis,</w:t>
      </w:r>
      <w:r>
        <w:rPr>
          <w:spacing w:val="-6"/>
          <w:sz w:val="20"/>
        </w:rPr>
        <w:t> </w:t>
      </w:r>
      <w:r>
        <w:rPr>
          <w:sz w:val="20"/>
        </w:rPr>
        <w:t>Place</w:t>
      </w:r>
      <w:r>
        <w:rPr>
          <w:spacing w:val="-7"/>
          <w:sz w:val="20"/>
        </w:rPr>
        <w:t> </w:t>
      </w:r>
      <w:r>
        <w:rPr>
          <w:sz w:val="20"/>
        </w:rPr>
        <w:t>workshop</w:t>
      </w:r>
      <w:r>
        <w:rPr>
          <w:spacing w:val="-2"/>
          <w:sz w:val="20"/>
        </w:rPr>
        <w:t> </w:t>
      </w:r>
      <w:r>
        <w:rPr>
          <w:sz w:val="20"/>
        </w:rPr>
        <w:t>outputs,</w:t>
      </w:r>
      <w:r>
        <w:rPr>
          <w:spacing w:val="-7"/>
          <w:sz w:val="20"/>
        </w:rPr>
        <w:t> </w:t>
      </w:r>
      <w:r>
        <w:rPr>
          <w:sz w:val="20"/>
        </w:rPr>
        <w:t>procurement workshop</w:t>
      </w:r>
      <w:r>
        <w:rPr>
          <w:spacing w:val="-2"/>
          <w:sz w:val="20"/>
        </w:rPr>
        <w:t> </w:t>
      </w:r>
      <w:r>
        <w:rPr>
          <w:sz w:val="20"/>
        </w:rPr>
        <w:t>outputs</w:t>
      </w:r>
      <w:r>
        <w:rPr>
          <w:spacing w:val="-6"/>
          <w:sz w:val="20"/>
        </w:rPr>
        <w:t> </w:t>
      </w:r>
      <w:r>
        <w:rPr>
          <w:sz w:val="20"/>
        </w:rPr>
        <w:t>and</w:t>
      </w:r>
      <w:r>
        <w:rPr>
          <w:spacing w:val="-7"/>
          <w:sz w:val="20"/>
        </w:rPr>
        <w:t> </w:t>
      </w:r>
      <w:r>
        <w:rPr>
          <w:sz w:val="20"/>
        </w:rPr>
        <w:t>international</w:t>
      </w:r>
      <w:r>
        <w:rPr>
          <w:spacing w:val="-5"/>
          <w:sz w:val="20"/>
        </w:rPr>
        <w:t> </w:t>
      </w:r>
      <w:r>
        <w:rPr>
          <w:sz w:val="20"/>
        </w:rPr>
        <w:t>learning outputs, with an initial draft of the plan scheduled for consideration by the subgroup in November.</w:t>
      </w:r>
    </w:p>
    <w:p>
      <w:pPr>
        <w:pStyle w:val="BodyText"/>
        <w:spacing w:before="14"/>
        <w:rPr>
          <w:sz w:val="20"/>
        </w:rPr>
      </w:pPr>
    </w:p>
    <w:p>
      <w:pPr>
        <w:spacing w:before="1"/>
        <w:ind w:left="1157" w:right="0" w:firstLine="0"/>
        <w:jc w:val="left"/>
        <w:rPr>
          <w:b/>
          <w:sz w:val="20"/>
        </w:rPr>
      </w:pPr>
      <w:r>
        <w:rPr>
          <w:b/>
          <w:sz w:val="20"/>
        </w:rPr>
        <w:t>Review</w:t>
      </w:r>
      <w:r>
        <w:rPr>
          <w:b/>
          <w:spacing w:val="-4"/>
          <w:sz w:val="20"/>
        </w:rPr>
        <w:t> </w:t>
      </w:r>
      <w:r>
        <w:rPr>
          <w:b/>
          <w:sz w:val="20"/>
        </w:rPr>
        <w:t>of</w:t>
      </w:r>
      <w:r>
        <w:rPr>
          <w:b/>
          <w:spacing w:val="-5"/>
          <w:sz w:val="20"/>
        </w:rPr>
        <w:t> </w:t>
      </w:r>
      <w:r>
        <w:rPr>
          <w:b/>
          <w:sz w:val="20"/>
        </w:rPr>
        <w:t>Risks/</w:t>
      </w:r>
      <w:r>
        <w:rPr>
          <w:b/>
          <w:spacing w:val="-10"/>
          <w:sz w:val="20"/>
        </w:rPr>
        <w:t> </w:t>
      </w:r>
      <w:r>
        <w:rPr>
          <w:b/>
          <w:sz w:val="20"/>
        </w:rPr>
        <w:t>Adolygiad</w:t>
      </w:r>
      <w:r>
        <w:rPr>
          <w:b/>
          <w:spacing w:val="-6"/>
          <w:sz w:val="20"/>
        </w:rPr>
        <w:t> </w:t>
      </w:r>
      <w:r>
        <w:rPr>
          <w:b/>
          <w:sz w:val="20"/>
        </w:rPr>
        <w:t>o</w:t>
      </w:r>
      <w:r>
        <w:rPr>
          <w:b/>
          <w:spacing w:val="-3"/>
          <w:sz w:val="20"/>
        </w:rPr>
        <w:t> </w:t>
      </w:r>
      <w:r>
        <w:rPr>
          <w:b/>
          <w:spacing w:val="-2"/>
          <w:sz w:val="20"/>
        </w:rPr>
        <w:t>Risgiau</w:t>
      </w:r>
    </w:p>
    <w:p>
      <w:pPr>
        <w:pStyle w:val="ListParagraph"/>
        <w:numPr>
          <w:ilvl w:val="0"/>
          <w:numId w:val="26"/>
        </w:numPr>
        <w:tabs>
          <w:tab w:pos="1877" w:val="left" w:leader="none"/>
        </w:tabs>
        <w:spacing w:line="237" w:lineRule="auto" w:before="18" w:after="0"/>
        <w:ind w:left="1877" w:right="811" w:hanging="360"/>
        <w:jc w:val="left"/>
        <w:rPr>
          <w:rFonts w:ascii="Symbol" w:hAnsi="Symbol"/>
          <w:sz w:val="24"/>
        </w:rPr>
      </w:pPr>
      <w:r>
        <w:rPr>
          <w:sz w:val="20"/>
        </w:rPr>
        <w:t>The</w:t>
      </w:r>
      <w:r>
        <w:rPr>
          <w:spacing w:val="-7"/>
          <w:sz w:val="20"/>
        </w:rPr>
        <w:t> </w:t>
      </w:r>
      <w:r>
        <w:rPr>
          <w:sz w:val="20"/>
        </w:rPr>
        <w:t>principal</w:t>
      </w:r>
      <w:r>
        <w:rPr>
          <w:spacing w:val="-5"/>
          <w:sz w:val="20"/>
        </w:rPr>
        <w:t> </w:t>
      </w:r>
      <w:r>
        <w:rPr>
          <w:sz w:val="20"/>
        </w:rPr>
        <w:t>risk</w:t>
      </w:r>
      <w:r>
        <w:rPr>
          <w:spacing w:val="-6"/>
          <w:sz w:val="20"/>
        </w:rPr>
        <w:t> </w:t>
      </w:r>
      <w:r>
        <w:rPr>
          <w:sz w:val="20"/>
        </w:rPr>
        <w:t>is</w:t>
      </w:r>
      <w:r>
        <w:rPr>
          <w:spacing w:val="-5"/>
          <w:sz w:val="20"/>
        </w:rPr>
        <w:t> </w:t>
      </w:r>
      <w:r>
        <w:rPr>
          <w:sz w:val="20"/>
        </w:rPr>
        <w:t>insufficient</w:t>
      </w:r>
      <w:r>
        <w:rPr>
          <w:spacing w:val="-7"/>
          <w:sz w:val="20"/>
        </w:rPr>
        <w:t> </w:t>
      </w:r>
      <w:r>
        <w:rPr>
          <w:sz w:val="20"/>
        </w:rPr>
        <w:t>analytical</w:t>
      </w:r>
      <w:r>
        <w:rPr>
          <w:spacing w:val="-5"/>
          <w:sz w:val="20"/>
        </w:rPr>
        <w:t> </w:t>
      </w:r>
      <w:r>
        <w:rPr>
          <w:sz w:val="20"/>
        </w:rPr>
        <w:t>and</w:t>
      </w:r>
      <w:r>
        <w:rPr>
          <w:spacing w:val="-2"/>
          <w:sz w:val="20"/>
        </w:rPr>
        <w:t> </w:t>
      </w:r>
      <w:r>
        <w:rPr>
          <w:sz w:val="20"/>
        </w:rPr>
        <w:t>public</w:t>
      </w:r>
      <w:r>
        <w:rPr>
          <w:spacing w:val="-6"/>
          <w:sz w:val="20"/>
        </w:rPr>
        <w:t> </w:t>
      </w:r>
      <w:r>
        <w:rPr>
          <w:sz w:val="20"/>
        </w:rPr>
        <w:t>health</w:t>
      </w:r>
      <w:r>
        <w:rPr>
          <w:spacing w:val="-7"/>
          <w:sz w:val="20"/>
        </w:rPr>
        <w:t> </w:t>
      </w:r>
      <w:r>
        <w:rPr>
          <w:sz w:val="20"/>
        </w:rPr>
        <w:t>capacity,</w:t>
      </w:r>
      <w:r>
        <w:rPr>
          <w:spacing w:val="-7"/>
          <w:sz w:val="20"/>
        </w:rPr>
        <w:t> </w:t>
      </w:r>
      <w:r>
        <w:rPr>
          <w:sz w:val="20"/>
        </w:rPr>
        <w:t>together</w:t>
      </w:r>
      <w:r>
        <w:rPr>
          <w:spacing w:val="-7"/>
          <w:sz w:val="20"/>
        </w:rPr>
        <w:t> </w:t>
      </w:r>
      <w:r>
        <w:rPr>
          <w:sz w:val="20"/>
        </w:rPr>
        <w:t>with</w:t>
      </w:r>
      <w:r>
        <w:rPr>
          <w:spacing w:val="-3"/>
          <w:sz w:val="20"/>
        </w:rPr>
        <w:t> </w:t>
      </w:r>
      <w:r>
        <w:rPr>
          <w:sz w:val="20"/>
        </w:rPr>
        <w:t>unresolved ownership and delivery leadership, which may delay the Regional Health Intelligence Profile and related frameworks. Wider risks include scope expansion, duplication with local work, engagement fatigue and delivery plans exceeding available resource. Mitigation includes phased delivery, use of the product roadmap to prioritise work, alignment with existing planning and governance routes, and escalation of material delivery issues to the Executive </w:t>
      </w:r>
      <w:r>
        <w:rPr>
          <w:spacing w:val="-2"/>
          <w:sz w:val="20"/>
        </w:rPr>
        <w:t>Leads.</w:t>
      </w:r>
    </w:p>
    <w:p>
      <w:pPr>
        <w:pStyle w:val="BodyText"/>
        <w:spacing w:before="55"/>
        <w:rPr>
          <w:sz w:val="20"/>
        </w:rPr>
      </w:pPr>
    </w:p>
    <w:p>
      <w:pPr>
        <w:spacing w:before="0"/>
        <w:ind w:left="1157" w:right="0" w:firstLine="0"/>
        <w:jc w:val="left"/>
        <w:rPr>
          <w:b/>
          <w:sz w:val="20"/>
        </w:rPr>
      </w:pPr>
      <w:r>
        <w:rPr>
          <w:b/>
          <w:sz w:val="20"/>
        </w:rPr>
        <w:t>Sharing</w:t>
      </w:r>
      <w:r>
        <w:rPr>
          <w:b/>
          <w:spacing w:val="-6"/>
          <w:sz w:val="20"/>
        </w:rPr>
        <w:t> </w:t>
      </w:r>
      <w:r>
        <w:rPr>
          <w:b/>
          <w:sz w:val="20"/>
        </w:rPr>
        <w:t>of</w:t>
      </w:r>
      <w:r>
        <w:rPr>
          <w:b/>
          <w:spacing w:val="-4"/>
          <w:sz w:val="20"/>
        </w:rPr>
        <w:t> </w:t>
      </w:r>
      <w:r>
        <w:rPr>
          <w:b/>
          <w:sz w:val="20"/>
        </w:rPr>
        <w:t>learning/</w:t>
      </w:r>
      <w:r>
        <w:rPr>
          <w:b/>
          <w:spacing w:val="-4"/>
          <w:sz w:val="20"/>
        </w:rPr>
        <w:t> </w:t>
      </w:r>
      <w:r>
        <w:rPr>
          <w:b/>
          <w:sz w:val="20"/>
        </w:rPr>
        <w:t>Rhannu</w:t>
      </w:r>
      <w:r>
        <w:rPr>
          <w:b/>
          <w:spacing w:val="-5"/>
          <w:sz w:val="20"/>
        </w:rPr>
        <w:t> </w:t>
      </w:r>
      <w:r>
        <w:rPr>
          <w:b/>
          <w:spacing w:val="-4"/>
          <w:sz w:val="20"/>
        </w:rPr>
        <w:t>dysgu</w:t>
      </w:r>
    </w:p>
    <w:p>
      <w:pPr>
        <w:pStyle w:val="ListParagraph"/>
        <w:numPr>
          <w:ilvl w:val="0"/>
          <w:numId w:val="26"/>
        </w:numPr>
        <w:tabs>
          <w:tab w:pos="1877" w:val="left" w:leader="none"/>
        </w:tabs>
        <w:spacing w:line="256" w:lineRule="auto" w:before="171" w:after="0"/>
        <w:ind w:left="1877" w:right="981" w:hanging="360"/>
        <w:jc w:val="left"/>
        <w:rPr>
          <w:rFonts w:ascii="Symbol" w:hAnsi="Symbol"/>
          <w:sz w:val="24"/>
        </w:rPr>
      </w:pPr>
      <w:r>
        <w:rPr>
          <w:sz w:val="20"/>
        </w:rPr>
        <w:t>Learning</w:t>
      </w:r>
      <w:r>
        <w:rPr>
          <w:spacing w:val="-7"/>
          <w:sz w:val="20"/>
        </w:rPr>
        <w:t> </w:t>
      </w:r>
      <w:r>
        <w:rPr>
          <w:sz w:val="20"/>
        </w:rPr>
        <w:t>from</w:t>
      </w:r>
      <w:r>
        <w:rPr>
          <w:spacing w:val="-7"/>
          <w:sz w:val="20"/>
        </w:rPr>
        <w:t> </w:t>
      </w:r>
      <w:r>
        <w:rPr>
          <w:sz w:val="20"/>
        </w:rPr>
        <w:t>the</w:t>
      </w:r>
      <w:r>
        <w:rPr>
          <w:spacing w:val="-7"/>
          <w:sz w:val="20"/>
        </w:rPr>
        <w:t> </w:t>
      </w:r>
      <w:r>
        <w:rPr>
          <w:sz w:val="20"/>
        </w:rPr>
        <w:t>July</w:t>
      </w:r>
      <w:r>
        <w:rPr>
          <w:spacing w:val="-5"/>
          <w:sz w:val="20"/>
        </w:rPr>
        <w:t> </w:t>
      </w:r>
      <w:r>
        <w:rPr>
          <w:sz w:val="20"/>
        </w:rPr>
        <w:t>international</w:t>
      </w:r>
      <w:r>
        <w:rPr>
          <w:spacing w:val="-5"/>
          <w:sz w:val="20"/>
        </w:rPr>
        <w:t> </w:t>
      </w:r>
      <w:r>
        <w:rPr>
          <w:sz w:val="20"/>
        </w:rPr>
        <w:t>webinar,</w:t>
      </w:r>
      <w:r>
        <w:rPr>
          <w:spacing w:val="-7"/>
          <w:sz w:val="20"/>
        </w:rPr>
        <w:t> </w:t>
      </w:r>
      <w:r>
        <w:rPr>
          <w:sz w:val="20"/>
        </w:rPr>
        <w:t>the</w:t>
      </w:r>
      <w:r>
        <w:rPr>
          <w:spacing w:val="-7"/>
          <w:sz w:val="20"/>
        </w:rPr>
        <w:t> </w:t>
      </w:r>
      <w:r>
        <w:rPr>
          <w:sz w:val="20"/>
        </w:rPr>
        <w:t>Place</w:t>
      </w:r>
      <w:r>
        <w:rPr>
          <w:spacing w:val="-7"/>
          <w:sz w:val="20"/>
        </w:rPr>
        <w:t> </w:t>
      </w:r>
      <w:r>
        <w:rPr>
          <w:sz w:val="20"/>
        </w:rPr>
        <w:t>workshop,</w:t>
      </w:r>
      <w:r>
        <w:rPr>
          <w:spacing w:val="-1"/>
          <w:sz w:val="20"/>
        </w:rPr>
        <w:t> </w:t>
      </w:r>
      <w:r>
        <w:rPr>
          <w:sz w:val="20"/>
        </w:rPr>
        <w:t>the</w:t>
      </w:r>
      <w:r>
        <w:rPr>
          <w:spacing w:val="-2"/>
          <w:sz w:val="20"/>
        </w:rPr>
        <w:t> </w:t>
      </w:r>
      <w:r>
        <w:rPr>
          <w:sz w:val="20"/>
        </w:rPr>
        <w:t>regional</w:t>
      </w:r>
      <w:r>
        <w:rPr>
          <w:spacing w:val="-5"/>
          <w:sz w:val="20"/>
        </w:rPr>
        <w:t> </w:t>
      </w:r>
      <w:r>
        <w:rPr>
          <w:sz w:val="20"/>
        </w:rPr>
        <w:t>procurement workshop and the development of health intelligence and equity products is being incorporated into the emerging long-term plan. The agreed direction is to use the regional space to connect intelligence, align priorities, share and adapt effective practice, support selected joint prevention activity and embed equity, while retaining local delivery where population needs or organisational arrangements differ.</w:t>
      </w:r>
    </w:p>
    <w:p>
      <w:pPr>
        <w:spacing w:before="164"/>
        <w:ind w:left="1157" w:right="0" w:firstLine="0"/>
        <w:jc w:val="left"/>
        <w:rPr>
          <w:b/>
          <w:sz w:val="20"/>
        </w:rPr>
      </w:pPr>
      <w:r>
        <w:rPr>
          <w:b/>
          <w:spacing w:val="-2"/>
          <w:sz w:val="20"/>
        </w:rPr>
        <w:t>Recommendation/</w:t>
      </w:r>
      <w:r>
        <w:rPr>
          <w:b/>
          <w:spacing w:val="10"/>
          <w:sz w:val="20"/>
        </w:rPr>
        <w:t> </w:t>
      </w:r>
      <w:r>
        <w:rPr>
          <w:b/>
          <w:spacing w:val="-2"/>
          <w:sz w:val="20"/>
        </w:rPr>
        <w:t>Argymhelliad</w:t>
      </w:r>
    </w:p>
    <w:p>
      <w:pPr>
        <w:spacing w:before="176"/>
        <w:ind w:left="1157" w:right="0" w:firstLine="0"/>
        <w:jc w:val="left"/>
        <w:rPr>
          <w:sz w:val="20"/>
        </w:rPr>
      </w:pPr>
      <w:r>
        <w:rPr>
          <w:sz w:val="20"/>
        </w:rPr>
        <w:t>That</w:t>
      </w:r>
      <w:r>
        <w:rPr>
          <w:spacing w:val="-6"/>
          <w:sz w:val="20"/>
        </w:rPr>
        <w:t> </w:t>
      </w:r>
      <w:r>
        <w:rPr>
          <w:sz w:val="20"/>
        </w:rPr>
        <w:t>RJC</w:t>
      </w:r>
      <w:r>
        <w:rPr>
          <w:spacing w:val="-4"/>
          <w:sz w:val="20"/>
        </w:rPr>
        <w:t> </w:t>
      </w:r>
      <w:r>
        <w:rPr>
          <w:spacing w:val="-2"/>
          <w:sz w:val="20"/>
        </w:rPr>
        <w:t>members:</w:t>
      </w:r>
    </w:p>
    <w:p>
      <w:pPr>
        <w:pStyle w:val="BodyText"/>
        <w:rPr>
          <w:sz w:val="22"/>
        </w:rPr>
      </w:pPr>
    </w:p>
    <w:p>
      <w:pPr>
        <w:pStyle w:val="BodyText"/>
        <w:spacing w:before="232"/>
        <w:rPr>
          <w:sz w:val="22"/>
        </w:rPr>
      </w:pPr>
    </w:p>
    <w:p>
      <w:pPr>
        <w:spacing w:before="0"/>
        <w:ind w:left="421" w:right="0" w:firstLine="0"/>
        <w:jc w:val="center"/>
        <w:rPr>
          <w:rFonts w:ascii="Calibri"/>
          <w:b/>
          <w:sz w:val="22"/>
        </w:rPr>
      </w:pPr>
      <w:r>
        <w:rPr>
          <w:rFonts w:ascii="Calibri"/>
          <w:sz w:val="22"/>
        </w:rPr>
        <w:t>Page</w:t>
      </w:r>
      <w:r>
        <w:rPr>
          <w:rFonts w:ascii="Calibri"/>
          <w:spacing w:val="-4"/>
          <w:sz w:val="22"/>
        </w:rPr>
        <w:t> </w:t>
      </w:r>
      <w:r>
        <w:rPr>
          <w:rFonts w:ascii="Calibri"/>
          <w:b/>
          <w:sz w:val="22"/>
        </w:rPr>
        <w:t>3</w:t>
      </w:r>
      <w:r>
        <w:rPr>
          <w:rFonts w:ascii="Calibri"/>
          <w:b/>
          <w:spacing w:val="-5"/>
          <w:sz w:val="22"/>
        </w:rPr>
        <w:t> </w:t>
      </w:r>
      <w:r>
        <w:rPr>
          <w:rFonts w:ascii="Calibri"/>
          <w:sz w:val="22"/>
        </w:rPr>
        <w:t>of</w:t>
      </w:r>
      <w:r>
        <w:rPr>
          <w:rFonts w:ascii="Calibri"/>
          <w:spacing w:val="-4"/>
          <w:sz w:val="22"/>
        </w:rPr>
        <w:t> </w:t>
      </w:r>
      <w:r>
        <w:rPr>
          <w:rFonts w:ascii="Calibri"/>
          <w:b/>
          <w:spacing w:val="-10"/>
          <w:sz w:val="22"/>
        </w:rPr>
        <w:t>4</w:t>
      </w:r>
    </w:p>
    <w:p>
      <w:pPr>
        <w:spacing w:after="0"/>
        <w:jc w:val="center"/>
        <w:rPr>
          <w:rFonts w:ascii="Calibri"/>
          <w:b/>
          <w:sz w:val="22"/>
        </w:rPr>
        <w:sectPr>
          <w:pgSz w:w="11910" w:h="16840"/>
          <w:pgMar w:header="0" w:footer="149" w:top="380" w:bottom="340" w:left="283" w:right="708"/>
        </w:sectPr>
      </w:pPr>
    </w:p>
    <w:p>
      <w:pPr>
        <w:tabs>
          <w:tab w:pos="7427" w:val="left" w:leader="none"/>
        </w:tabs>
        <w:spacing w:line="240" w:lineRule="auto"/>
        <w:ind w:left="78" w:right="0" w:firstLine="0"/>
        <w:rPr>
          <w:rFonts w:ascii="Calibri"/>
          <w:position w:val="2"/>
          <w:sz w:val="20"/>
        </w:rPr>
      </w:pPr>
      <w:r>
        <w:rPr>
          <w:rFonts w:ascii="Calibri"/>
          <w:sz w:val="20"/>
        </w:rPr>
        <w:drawing>
          <wp:inline distT="0" distB="0" distL="0" distR="0">
            <wp:extent cx="2305246" cy="549021"/>
            <wp:effectExtent l="0" t="0" r="0" b="0"/>
            <wp:docPr id="361" name="Image 361"/>
            <wp:cNvGraphicFramePr>
              <a:graphicFrameLocks/>
            </wp:cNvGraphicFramePr>
            <a:graphic>
              <a:graphicData uri="http://schemas.openxmlformats.org/drawingml/2006/picture">
                <pic:pic>
                  <pic:nvPicPr>
                    <pic:cNvPr id="361" name="Image 361"/>
                    <pic:cNvPicPr/>
                  </pic:nvPicPr>
                  <pic:blipFill>
                    <a:blip r:embed="rId7" cstate="print"/>
                    <a:stretch>
                      <a:fillRect/>
                    </a:stretch>
                  </pic:blipFill>
                  <pic:spPr>
                    <a:xfrm>
                      <a:off x="0" y="0"/>
                      <a:ext cx="2305246" cy="549021"/>
                    </a:xfrm>
                    <a:prstGeom prst="rect">
                      <a:avLst/>
                    </a:prstGeom>
                  </pic:spPr>
                </pic:pic>
              </a:graphicData>
            </a:graphic>
          </wp:inline>
        </w:drawing>
      </w:r>
      <w:r>
        <w:rPr>
          <w:rFonts w:ascii="Calibri"/>
          <w:sz w:val="20"/>
        </w:rPr>
      </w:r>
      <w:r>
        <w:rPr>
          <w:rFonts w:ascii="Calibri"/>
          <w:sz w:val="20"/>
        </w:rPr>
        <w:tab/>
      </w:r>
      <w:r>
        <w:rPr>
          <w:rFonts w:ascii="Calibri"/>
          <w:position w:val="2"/>
          <w:sz w:val="20"/>
        </w:rPr>
        <w:drawing>
          <wp:inline distT="0" distB="0" distL="0" distR="0">
            <wp:extent cx="2136994" cy="520065"/>
            <wp:effectExtent l="0" t="0" r="0" b="0"/>
            <wp:docPr id="362" name="Image 362"/>
            <wp:cNvGraphicFramePr>
              <a:graphicFrameLocks/>
            </wp:cNvGraphicFramePr>
            <a:graphic>
              <a:graphicData uri="http://schemas.openxmlformats.org/drawingml/2006/picture">
                <pic:pic>
                  <pic:nvPicPr>
                    <pic:cNvPr id="362" name="Image 362"/>
                    <pic:cNvPicPr/>
                  </pic:nvPicPr>
                  <pic:blipFill>
                    <a:blip r:embed="rId67" cstate="print"/>
                    <a:stretch>
                      <a:fillRect/>
                    </a:stretch>
                  </pic:blipFill>
                  <pic:spPr>
                    <a:xfrm>
                      <a:off x="0" y="0"/>
                      <a:ext cx="2136994" cy="520065"/>
                    </a:xfrm>
                    <a:prstGeom prst="rect">
                      <a:avLst/>
                    </a:prstGeom>
                  </pic:spPr>
                </pic:pic>
              </a:graphicData>
            </a:graphic>
          </wp:inline>
        </w:drawing>
      </w:r>
      <w:r>
        <w:rPr>
          <w:rFonts w:ascii="Calibri"/>
          <w:position w:val="2"/>
          <w:sz w:val="20"/>
        </w:rPr>
      </w:r>
    </w:p>
    <w:p>
      <w:pPr>
        <w:pStyle w:val="ListParagraph"/>
        <w:numPr>
          <w:ilvl w:val="0"/>
          <w:numId w:val="26"/>
        </w:numPr>
        <w:tabs>
          <w:tab w:pos="1877" w:val="left" w:leader="none"/>
        </w:tabs>
        <w:spacing w:line="259" w:lineRule="auto" w:before="194" w:after="0"/>
        <w:ind w:left="1877" w:right="944" w:hanging="360"/>
        <w:jc w:val="left"/>
        <w:rPr>
          <w:rFonts w:ascii="Symbol" w:hAnsi="Symbol"/>
          <w:sz w:val="20"/>
        </w:rPr>
      </w:pPr>
      <w:r>
        <w:rPr>
          <w:b/>
          <w:sz w:val="20"/>
        </w:rPr>
        <w:t>RECOGNISE</w:t>
      </w:r>
      <w:r>
        <w:rPr>
          <w:b/>
          <w:spacing w:val="-2"/>
          <w:sz w:val="20"/>
        </w:rPr>
        <w:t> </w:t>
      </w:r>
      <w:r>
        <w:rPr>
          <w:sz w:val="20"/>
        </w:rPr>
        <w:t>the</w:t>
      </w:r>
      <w:r>
        <w:rPr>
          <w:spacing w:val="-5"/>
          <w:sz w:val="20"/>
        </w:rPr>
        <w:t> </w:t>
      </w:r>
      <w:r>
        <w:rPr>
          <w:sz w:val="20"/>
        </w:rPr>
        <w:t>progress made</w:t>
      </w:r>
      <w:r>
        <w:rPr>
          <w:spacing w:val="-5"/>
          <w:sz w:val="20"/>
        </w:rPr>
        <w:t> </w:t>
      </w:r>
      <w:r>
        <w:rPr>
          <w:sz w:val="20"/>
        </w:rPr>
        <w:t>since</w:t>
      </w:r>
      <w:r>
        <w:rPr>
          <w:spacing w:val="-14"/>
          <w:sz w:val="20"/>
        </w:rPr>
        <w:t> </w:t>
      </w:r>
      <w:r>
        <w:rPr>
          <w:sz w:val="20"/>
        </w:rPr>
        <w:t>April</w:t>
      </w:r>
      <w:r>
        <w:rPr>
          <w:spacing w:val="-2"/>
          <w:sz w:val="20"/>
        </w:rPr>
        <w:t> </w:t>
      </w:r>
      <w:r>
        <w:rPr>
          <w:sz w:val="20"/>
        </w:rPr>
        <w:t>2026,</w:t>
      </w:r>
      <w:r>
        <w:rPr>
          <w:spacing w:val="-5"/>
          <w:sz w:val="20"/>
        </w:rPr>
        <w:t> </w:t>
      </w:r>
      <w:r>
        <w:rPr>
          <w:sz w:val="20"/>
        </w:rPr>
        <w:t>including</w:t>
      </w:r>
      <w:r>
        <w:rPr>
          <w:spacing w:val="-5"/>
          <w:sz w:val="20"/>
        </w:rPr>
        <w:t> </w:t>
      </w:r>
      <w:r>
        <w:rPr>
          <w:sz w:val="20"/>
        </w:rPr>
        <w:t>the</w:t>
      </w:r>
      <w:r>
        <w:rPr>
          <w:spacing w:val="-1"/>
          <w:sz w:val="20"/>
        </w:rPr>
        <w:t> </w:t>
      </w:r>
      <w:r>
        <w:rPr>
          <w:sz w:val="20"/>
        </w:rPr>
        <w:t>development</w:t>
      </w:r>
      <w:r>
        <w:rPr>
          <w:spacing w:val="-1"/>
          <w:sz w:val="20"/>
        </w:rPr>
        <w:t> </w:t>
      </w:r>
      <w:r>
        <w:rPr>
          <w:sz w:val="20"/>
        </w:rPr>
        <w:t>of</w:t>
      </w:r>
      <w:r>
        <w:rPr>
          <w:spacing w:val="-5"/>
          <w:sz w:val="20"/>
        </w:rPr>
        <w:t> </w:t>
      </w:r>
      <w:r>
        <w:rPr>
          <w:sz w:val="20"/>
        </w:rPr>
        <w:t>the</w:t>
      </w:r>
      <w:r>
        <w:rPr>
          <w:spacing w:val="-5"/>
          <w:sz w:val="20"/>
        </w:rPr>
        <w:t> </w:t>
      </w:r>
      <w:r>
        <w:rPr>
          <w:sz w:val="20"/>
        </w:rPr>
        <w:t>phased Regional Health Intelligence approach, shared regional health equity framework and long-term plan product roadmap.</w:t>
      </w:r>
    </w:p>
    <w:p>
      <w:pPr>
        <w:pStyle w:val="ListParagraph"/>
        <w:numPr>
          <w:ilvl w:val="0"/>
          <w:numId w:val="26"/>
        </w:numPr>
        <w:tabs>
          <w:tab w:pos="1877" w:val="left" w:leader="none"/>
        </w:tabs>
        <w:spacing w:line="259" w:lineRule="auto" w:before="0" w:after="0"/>
        <w:ind w:left="1877" w:right="1195" w:hanging="360"/>
        <w:jc w:val="left"/>
        <w:rPr>
          <w:rFonts w:ascii="Symbol" w:hAnsi="Symbol"/>
          <w:sz w:val="20"/>
        </w:rPr>
      </w:pPr>
      <w:r>
        <w:rPr>
          <w:b/>
          <w:sz w:val="20"/>
        </w:rPr>
        <w:t>SUPPORT </w:t>
      </w:r>
      <w:r>
        <w:rPr>
          <w:sz w:val="20"/>
        </w:rPr>
        <w:t>the continued phased and proportionate development of the programme, prioritising</w:t>
      </w:r>
      <w:r>
        <w:rPr>
          <w:spacing w:val="-1"/>
          <w:sz w:val="20"/>
        </w:rPr>
        <w:t> </w:t>
      </w:r>
      <w:r>
        <w:rPr>
          <w:sz w:val="20"/>
        </w:rPr>
        <w:t>activity</w:t>
      </w:r>
      <w:r>
        <w:rPr>
          <w:spacing w:val="-4"/>
          <w:sz w:val="20"/>
        </w:rPr>
        <w:t> </w:t>
      </w:r>
      <w:r>
        <w:rPr>
          <w:sz w:val="20"/>
        </w:rPr>
        <w:t>that provides</w:t>
      </w:r>
      <w:r>
        <w:rPr>
          <w:spacing w:val="-4"/>
          <w:sz w:val="20"/>
        </w:rPr>
        <w:t> </w:t>
      </w:r>
      <w:r>
        <w:rPr>
          <w:sz w:val="20"/>
        </w:rPr>
        <w:t>clear</w:t>
      </w:r>
      <w:r>
        <w:rPr>
          <w:spacing w:val="-5"/>
          <w:sz w:val="20"/>
        </w:rPr>
        <w:t> </w:t>
      </w:r>
      <w:r>
        <w:rPr>
          <w:sz w:val="20"/>
        </w:rPr>
        <w:t>regional</w:t>
      </w:r>
      <w:r>
        <w:rPr>
          <w:spacing w:val="-3"/>
          <w:sz w:val="20"/>
        </w:rPr>
        <w:t> </w:t>
      </w:r>
      <w:r>
        <w:rPr>
          <w:sz w:val="20"/>
        </w:rPr>
        <w:t>added</w:t>
      </w:r>
      <w:r>
        <w:rPr>
          <w:spacing w:val="-5"/>
          <w:sz w:val="20"/>
        </w:rPr>
        <w:t> </w:t>
      </w:r>
      <w:r>
        <w:rPr>
          <w:sz w:val="20"/>
        </w:rPr>
        <w:t>value</w:t>
      </w:r>
      <w:r>
        <w:rPr>
          <w:spacing w:val="-5"/>
          <w:sz w:val="20"/>
        </w:rPr>
        <w:t> </w:t>
      </w:r>
      <w:r>
        <w:rPr>
          <w:sz w:val="20"/>
        </w:rPr>
        <w:t>and</w:t>
      </w:r>
      <w:r>
        <w:rPr>
          <w:spacing w:val="-1"/>
          <w:sz w:val="20"/>
        </w:rPr>
        <w:t> </w:t>
      </w:r>
      <w:r>
        <w:rPr>
          <w:b/>
          <w:sz w:val="20"/>
        </w:rPr>
        <w:t>RECOGNISE</w:t>
      </w:r>
      <w:r>
        <w:rPr>
          <w:b/>
          <w:spacing w:val="-2"/>
          <w:sz w:val="20"/>
        </w:rPr>
        <w:t> </w:t>
      </w:r>
      <w:r>
        <w:rPr>
          <w:sz w:val="20"/>
        </w:rPr>
        <w:t>the</w:t>
      </w:r>
      <w:r>
        <w:rPr>
          <w:spacing w:val="-5"/>
          <w:sz w:val="20"/>
        </w:rPr>
        <w:t> </w:t>
      </w:r>
      <w:r>
        <w:rPr>
          <w:sz w:val="20"/>
        </w:rPr>
        <w:t>current analytical, public health and health intelligence capacity constraints, together with the identified ownership and delivery dependencies which may affect the pace and scope of </w:t>
      </w:r>
      <w:r>
        <w:rPr>
          <w:spacing w:val="-2"/>
          <w:sz w:val="20"/>
        </w:rPr>
        <w:t>delivery.</w:t>
      </w:r>
    </w:p>
    <w:p>
      <w:pPr>
        <w:pStyle w:val="ListParagraph"/>
        <w:numPr>
          <w:ilvl w:val="0"/>
          <w:numId w:val="27"/>
        </w:numPr>
        <w:tabs>
          <w:tab w:pos="1517" w:val="left" w:leader="none"/>
        </w:tabs>
        <w:spacing w:line="381" w:lineRule="auto" w:before="0" w:after="0"/>
        <w:ind w:left="1157" w:right="1592" w:firstLine="0"/>
        <w:jc w:val="left"/>
        <w:rPr>
          <w:sz w:val="20"/>
        </w:rPr>
      </w:pPr>
      <w:r>
        <w:rPr>
          <w:b/>
          <w:sz w:val="20"/>
        </w:rPr>
        <w:t>Date</w:t>
      </w:r>
      <w:r>
        <w:rPr>
          <w:b/>
          <w:spacing w:val="-4"/>
          <w:sz w:val="20"/>
        </w:rPr>
        <w:t> </w:t>
      </w:r>
      <w:r>
        <w:rPr>
          <w:b/>
          <w:sz w:val="20"/>
        </w:rPr>
        <w:t>of</w:t>
      </w:r>
      <w:r>
        <w:rPr>
          <w:b/>
          <w:spacing w:val="-4"/>
          <w:sz w:val="20"/>
        </w:rPr>
        <w:t> </w:t>
      </w:r>
      <w:r>
        <w:rPr>
          <w:b/>
          <w:sz w:val="20"/>
        </w:rPr>
        <w:t>next</w:t>
      </w:r>
      <w:r>
        <w:rPr>
          <w:b/>
          <w:spacing w:val="-4"/>
          <w:sz w:val="20"/>
        </w:rPr>
        <w:t> </w:t>
      </w:r>
      <w:r>
        <w:rPr>
          <w:b/>
          <w:sz w:val="20"/>
        </w:rPr>
        <w:t>meeting/</w:t>
      </w:r>
      <w:r>
        <w:rPr>
          <w:b/>
          <w:spacing w:val="-4"/>
          <w:sz w:val="20"/>
        </w:rPr>
        <w:t> </w:t>
      </w:r>
      <w:r>
        <w:rPr>
          <w:b/>
          <w:sz w:val="20"/>
        </w:rPr>
        <w:t>Dyddiad</w:t>
      </w:r>
      <w:r>
        <w:rPr>
          <w:b/>
          <w:spacing w:val="-1"/>
          <w:sz w:val="20"/>
        </w:rPr>
        <w:t> </w:t>
      </w:r>
      <w:r>
        <w:rPr>
          <w:b/>
          <w:sz w:val="20"/>
        </w:rPr>
        <w:t>y</w:t>
      </w:r>
      <w:r>
        <w:rPr>
          <w:b/>
          <w:spacing w:val="-4"/>
          <w:sz w:val="20"/>
        </w:rPr>
        <w:t> </w:t>
      </w:r>
      <w:r>
        <w:rPr>
          <w:b/>
          <w:sz w:val="20"/>
        </w:rPr>
        <w:t>cyfarfod</w:t>
      </w:r>
      <w:r>
        <w:rPr>
          <w:b/>
          <w:spacing w:val="-5"/>
          <w:sz w:val="20"/>
        </w:rPr>
        <w:t> </w:t>
      </w:r>
      <w:r>
        <w:rPr>
          <w:b/>
          <w:sz w:val="20"/>
        </w:rPr>
        <w:t>nesaf</w:t>
      </w:r>
      <w:r>
        <w:rPr>
          <w:sz w:val="20"/>
        </w:rPr>
        <w:t>: Regional</w:t>
      </w:r>
      <w:r>
        <w:rPr>
          <w:spacing w:val="-3"/>
          <w:sz w:val="20"/>
        </w:rPr>
        <w:t> </w:t>
      </w:r>
      <w:r>
        <w:rPr>
          <w:sz w:val="20"/>
        </w:rPr>
        <w:t>Health</w:t>
      </w:r>
      <w:r>
        <w:rPr>
          <w:spacing w:val="-4"/>
          <w:sz w:val="20"/>
        </w:rPr>
        <w:t> </w:t>
      </w:r>
      <w:r>
        <w:rPr>
          <w:sz w:val="20"/>
        </w:rPr>
        <w:t>Economy</w:t>
      </w:r>
      <w:r>
        <w:rPr>
          <w:spacing w:val="-4"/>
          <w:sz w:val="20"/>
        </w:rPr>
        <w:t> </w:t>
      </w:r>
      <w:r>
        <w:rPr>
          <w:sz w:val="20"/>
        </w:rPr>
        <w:t>Subgroup 23 November 2026</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72"/>
        <w:rPr>
          <w:sz w:val="22"/>
        </w:rPr>
      </w:pPr>
    </w:p>
    <w:p>
      <w:pPr>
        <w:spacing w:before="0"/>
        <w:ind w:left="421" w:right="0" w:firstLine="0"/>
        <w:jc w:val="center"/>
        <w:rPr>
          <w:rFonts w:ascii="Calibri"/>
          <w:b/>
          <w:sz w:val="22"/>
        </w:rPr>
      </w:pPr>
      <w:r>
        <w:rPr>
          <w:rFonts w:ascii="Calibri"/>
          <w:sz w:val="22"/>
        </w:rPr>
        <w:t>Page</w:t>
      </w:r>
      <w:r>
        <w:rPr>
          <w:rFonts w:ascii="Calibri"/>
          <w:spacing w:val="-4"/>
          <w:sz w:val="22"/>
        </w:rPr>
        <w:t> </w:t>
      </w:r>
      <w:r>
        <w:rPr>
          <w:rFonts w:ascii="Calibri"/>
          <w:b/>
          <w:sz w:val="22"/>
        </w:rPr>
        <w:t>4</w:t>
      </w:r>
      <w:r>
        <w:rPr>
          <w:rFonts w:ascii="Calibri"/>
          <w:b/>
          <w:spacing w:val="-5"/>
          <w:sz w:val="22"/>
        </w:rPr>
        <w:t> </w:t>
      </w:r>
      <w:r>
        <w:rPr>
          <w:rFonts w:ascii="Calibri"/>
          <w:sz w:val="22"/>
        </w:rPr>
        <w:t>of</w:t>
      </w:r>
      <w:r>
        <w:rPr>
          <w:rFonts w:ascii="Calibri"/>
          <w:spacing w:val="-4"/>
          <w:sz w:val="22"/>
        </w:rPr>
        <w:t> </w:t>
      </w:r>
      <w:r>
        <w:rPr>
          <w:rFonts w:ascii="Calibri"/>
          <w:b/>
          <w:spacing w:val="-10"/>
          <w:sz w:val="22"/>
        </w:rPr>
        <w:t>4</w:t>
      </w:r>
    </w:p>
    <w:p>
      <w:pPr>
        <w:spacing w:after="0"/>
        <w:jc w:val="center"/>
        <w:rPr>
          <w:rFonts w:ascii="Calibri"/>
          <w:b/>
          <w:sz w:val="22"/>
        </w:rPr>
        <w:sectPr>
          <w:pgSz w:w="11910" w:h="16840"/>
          <w:pgMar w:header="0" w:footer="149" w:top="380" w:bottom="340" w:left="283" w:right="708"/>
        </w:sectPr>
      </w:pPr>
    </w:p>
    <w:p>
      <w:pPr>
        <w:pStyle w:val="BodyText"/>
        <w:rPr>
          <w:rFonts w:ascii="Calibri"/>
          <w:b/>
          <w:sz w:val="26"/>
        </w:rPr>
      </w:pPr>
    </w:p>
    <w:p>
      <w:pPr>
        <w:pStyle w:val="BodyText"/>
        <w:rPr>
          <w:rFonts w:ascii="Calibri"/>
          <w:b/>
          <w:sz w:val="26"/>
        </w:rPr>
      </w:pPr>
    </w:p>
    <w:p>
      <w:pPr>
        <w:pStyle w:val="BodyText"/>
        <w:rPr>
          <w:rFonts w:ascii="Calibri"/>
          <w:b/>
          <w:sz w:val="26"/>
        </w:rPr>
      </w:pPr>
    </w:p>
    <w:p>
      <w:pPr>
        <w:pStyle w:val="BodyText"/>
        <w:spacing w:before="17"/>
        <w:rPr>
          <w:rFonts w:ascii="Calibri"/>
          <w:b/>
          <w:sz w:val="26"/>
        </w:rPr>
      </w:pPr>
    </w:p>
    <w:p>
      <w:pPr>
        <w:pStyle w:val="Heading8"/>
        <w:numPr>
          <w:ilvl w:val="0"/>
          <w:numId w:val="28"/>
        </w:numPr>
        <w:tabs>
          <w:tab w:pos="367" w:val="left" w:leader="none"/>
        </w:tabs>
        <w:spacing w:line="240" w:lineRule="auto" w:before="0" w:after="0"/>
        <w:ind w:left="367" w:right="0" w:hanging="284"/>
        <w:jc w:val="left"/>
      </w:pPr>
      <w:bookmarkStart w:name="RJC 38b Regional Health Economy  RJC Sub" w:id="38"/>
      <w:bookmarkEnd w:id="38"/>
      <w:r>
        <w:rPr>
          <w:b w:val="0"/>
        </w:rPr>
      </w:r>
      <w:r>
        <w:rPr>
          <w:color w:val="001F5F"/>
        </w:rPr>
        <w:t>Subgroup</w:t>
      </w:r>
      <w:r>
        <w:rPr>
          <w:color w:val="001F5F"/>
          <w:spacing w:val="-3"/>
        </w:rPr>
        <w:t> </w:t>
      </w:r>
      <w:r>
        <w:rPr>
          <w:color w:val="001F5F"/>
          <w:spacing w:val="-2"/>
        </w:rPr>
        <w:t>Summary</w:t>
      </w:r>
    </w:p>
    <w:p>
      <w:pPr>
        <w:spacing w:before="68"/>
        <w:ind w:left="0" w:right="3245" w:firstLine="0"/>
        <w:jc w:val="center"/>
        <w:rPr>
          <w:b/>
          <w:sz w:val="20"/>
        </w:rPr>
      </w:pPr>
      <w:r>
        <w:rPr/>
        <w:br w:type="column"/>
      </w: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before="75"/>
        <w:ind w:left="5" w:right="3239" w:firstLine="0"/>
        <w:jc w:val="center"/>
        <w:rPr>
          <w:b/>
          <w:sz w:val="36"/>
        </w:rPr>
      </w:pPr>
      <w:r>
        <w:rPr>
          <w:b/>
          <w:color w:val="1F4E79"/>
          <w:sz w:val="36"/>
        </w:rPr>
        <w:t>RJC</w:t>
      </w:r>
      <w:r>
        <w:rPr>
          <w:b/>
          <w:color w:val="1F4E79"/>
          <w:spacing w:val="-4"/>
          <w:sz w:val="36"/>
        </w:rPr>
        <w:t> </w:t>
      </w:r>
      <w:r>
        <w:rPr>
          <w:b/>
          <w:color w:val="1F4E79"/>
          <w:sz w:val="36"/>
        </w:rPr>
        <w:t>Subgroup</w:t>
      </w:r>
      <w:r>
        <w:rPr>
          <w:b/>
          <w:color w:val="1F4E79"/>
          <w:spacing w:val="-4"/>
          <w:sz w:val="36"/>
        </w:rPr>
        <w:t> </w:t>
      </w:r>
      <w:r>
        <w:rPr>
          <w:b/>
          <w:color w:val="1F4E79"/>
          <w:sz w:val="36"/>
        </w:rPr>
        <w:t>Work</w:t>
      </w:r>
      <w:r>
        <w:rPr>
          <w:b/>
          <w:color w:val="1F4E79"/>
          <w:spacing w:val="-4"/>
          <w:sz w:val="36"/>
        </w:rPr>
        <w:t> </w:t>
      </w:r>
      <w:r>
        <w:rPr>
          <w:b/>
          <w:color w:val="1F4E79"/>
          <w:sz w:val="36"/>
        </w:rPr>
        <w:t>Programme</w:t>
      </w:r>
      <w:r>
        <w:rPr>
          <w:b/>
          <w:color w:val="1F4E79"/>
          <w:spacing w:val="-4"/>
          <w:sz w:val="36"/>
        </w:rPr>
        <w:t> </w:t>
      </w:r>
      <w:r>
        <w:rPr>
          <w:b/>
          <w:color w:val="1F4E79"/>
          <w:sz w:val="36"/>
        </w:rPr>
        <w:t>Summary</w:t>
      </w:r>
      <w:r>
        <w:rPr>
          <w:b/>
          <w:color w:val="1F4E79"/>
          <w:spacing w:val="-3"/>
          <w:sz w:val="36"/>
        </w:rPr>
        <w:t> </w:t>
      </w:r>
      <w:r>
        <w:rPr>
          <w:b/>
          <w:color w:val="1F4E79"/>
          <w:spacing w:val="-2"/>
          <w:sz w:val="36"/>
        </w:rPr>
        <w:t>Template</w:t>
      </w:r>
    </w:p>
    <w:p>
      <w:pPr>
        <w:spacing w:before="100"/>
        <w:ind w:left="0" w:right="3239" w:firstLine="0"/>
        <w:jc w:val="center"/>
        <w:rPr>
          <w:i/>
          <w:sz w:val="18"/>
        </w:rPr>
      </w:pPr>
      <w:r>
        <w:rPr>
          <w:i/>
          <w:color w:val="666666"/>
          <w:sz w:val="18"/>
        </w:rPr>
        <w:t>Blank</w:t>
      </w:r>
      <w:r>
        <w:rPr>
          <w:i/>
          <w:color w:val="666666"/>
          <w:spacing w:val="-6"/>
          <w:sz w:val="18"/>
        </w:rPr>
        <w:t> </w:t>
      </w:r>
      <w:r>
        <w:rPr>
          <w:i/>
          <w:color w:val="666666"/>
          <w:sz w:val="18"/>
        </w:rPr>
        <w:t>subgroup-level</w:t>
      </w:r>
      <w:r>
        <w:rPr>
          <w:i/>
          <w:color w:val="666666"/>
          <w:spacing w:val="-3"/>
          <w:sz w:val="18"/>
        </w:rPr>
        <w:t> </w:t>
      </w:r>
      <w:r>
        <w:rPr>
          <w:i/>
          <w:color w:val="666666"/>
          <w:sz w:val="18"/>
        </w:rPr>
        <w:t>reporting</w:t>
      </w:r>
      <w:r>
        <w:rPr>
          <w:i/>
          <w:color w:val="666666"/>
          <w:spacing w:val="-2"/>
          <w:sz w:val="18"/>
        </w:rPr>
        <w:t> </w:t>
      </w:r>
      <w:r>
        <w:rPr>
          <w:i/>
          <w:color w:val="666666"/>
          <w:sz w:val="18"/>
        </w:rPr>
        <w:t>template</w:t>
      </w:r>
      <w:r>
        <w:rPr>
          <w:i/>
          <w:color w:val="666666"/>
          <w:spacing w:val="-4"/>
          <w:sz w:val="18"/>
        </w:rPr>
        <w:t> </w:t>
      </w:r>
      <w:r>
        <w:rPr>
          <w:i/>
          <w:color w:val="666666"/>
          <w:sz w:val="18"/>
        </w:rPr>
        <w:t>for</w:t>
      </w:r>
      <w:r>
        <w:rPr>
          <w:i/>
          <w:color w:val="666666"/>
          <w:spacing w:val="-2"/>
          <w:sz w:val="18"/>
        </w:rPr>
        <w:t> completion</w:t>
      </w:r>
    </w:p>
    <w:p>
      <w:pPr>
        <w:spacing w:after="0"/>
        <w:jc w:val="center"/>
        <w:rPr>
          <w:i/>
          <w:sz w:val="18"/>
        </w:rPr>
        <w:sectPr>
          <w:footerReference w:type="default" r:id="rId68"/>
          <w:pgSz w:w="16840" w:h="11910" w:orient="landscape"/>
          <w:pgMar w:header="0" w:footer="198" w:top="840" w:bottom="380" w:left="566" w:right="566"/>
          <w:cols w:num="2" w:equalWidth="0">
            <w:col w:w="2897" w:space="354"/>
            <w:col w:w="12457"/>
          </w:cols>
        </w:sectPr>
      </w:pPr>
    </w:p>
    <w:p>
      <w:pPr>
        <w:pStyle w:val="BodyText"/>
        <w:spacing w:before="10"/>
        <w:rPr>
          <w:i/>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3081"/>
        <w:gridCol w:w="12444"/>
      </w:tblGrid>
      <w:tr>
        <w:trPr>
          <w:trHeight w:val="510" w:hRule="atLeast"/>
        </w:trPr>
        <w:tc>
          <w:tcPr>
            <w:tcW w:w="3081" w:type="dxa"/>
            <w:shd w:val="clear" w:color="auto" w:fill="1F4E79"/>
          </w:tcPr>
          <w:p>
            <w:pPr>
              <w:pStyle w:val="TableParagraph"/>
              <w:spacing w:before="150"/>
              <w:ind w:left="87"/>
              <w:rPr>
                <w:b/>
                <w:sz w:val="17"/>
              </w:rPr>
            </w:pPr>
            <w:r>
              <w:rPr>
                <w:b/>
                <w:color w:val="FFFFFF"/>
                <w:sz w:val="17"/>
              </w:rPr>
              <w:t>Reporting</w:t>
            </w:r>
            <w:r>
              <w:rPr>
                <w:b/>
                <w:color w:val="FFFFFF"/>
                <w:spacing w:val="-4"/>
                <w:sz w:val="17"/>
              </w:rPr>
              <w:t> </w:t>
            </w:r>
            <w:r>
              <w:rPr>
                <w:b/>
                <w:color w:val="FFFFFF"/>
                <w:spacing w:val="-2"/>
                <w:sz w:val="17"/>
              </w:rPr>
              <w:t>Period</w:t>
            </w:r>
          </w:p>
        </w:tc>
        <w:tc>
          <w:tcPr>
            <w:tcW w:w="12444" w:type="dxa"/>
          </w:tcPr>
          <w:p>
            <w:pPr>
              <w:pStyle w:val="TableParagraph"/>
              <w:spacing w:before="150"/>
              <w:ind w:left="87"/>
              <w:rPr>
                <w:sz w:val="17"/>
              </w:rPr>
            </w:pPr>
            <w:r>
              <w:rPr>
                <w:sz w:val="17"/>
              </w:rPr>
              <w:t>July</w:t>
            </w:r>
            <w:r>
              <w:rPr>
                <w:spacing w:val="-7"/>
                <w:sz w:val="17"/>
              </w:rPr>
              <w:t> </w:t>
            </w:r>
            <w:r>
              <w:rPr>
                <w:sz w:val="17"/>
              </w:rPr>
              <w:t>–</w:t>
            </w:r>
            <w:r>
              <w:rPr>
                <w:spacing w:val="-5"/>
                <w:sz w:val="17"/>
              </w:rPr>
              <w:t> </w:t>
            </w:r>
            <w:r>
              <w:rPr>
                <w:sz w:val="17"/>
              </w:rPr>
              <w:t>September</w:t>
            </w:r>
            <w:r>
              <w:rPr>
                <w:spacing w:val="-5"/>
                <w:sz w:val="17"/>
              </w:rPr>
              <w:t> </w:t>
            </w:r>
            <w:r>
              <w:rPr>
                <w:spacing w:val="-4"/>
                <w:sz w:val="17"/>
              </w:rPr>
              <w:t>2026</w:t>
            </w:r>
          </w:p>
        </w:tc>
      </w:tr>
      <w:tr>
        <w:trPr>
          <w:trHeight w:val="510" w:hRule="atLeast"/>
        </w:trPr>
        <w:tc>
          <w:tcPr>
            <w:tcW w:w="3081" w:type="dxa"/>
            <w:shd w:val="clear" w:color="auto" w:fill="D9EAF7"/>
          </w:tcPr>
          <w:p>
            <w:pPr>
              <w:pStyle w:val="TableParagraph"/>
              <w:spacing w:before="150"/>
              <w:ind w:left="87"/>
              <w:rPr>
                <w:b/>
                <w:sz w:val="17"/>
              </w:rPr>
            </w:pPr>
            <w:r>
              <w:rPr>
                <w:b/>
                <w:sz w:val="17"/>
              </w:rPr>
              <w:t>Subgroup</w:t>
            </w:r>
            <w:r>
              <w:rPr>
                <w:b/>
                <w:spacing w:val="2"/>
                <w:sz w:val="17"/>
              </w:rPr>
              <w:t> </w:t>
            </w:r>
            <w:r>
              <w:rPr>
                <w:b/>
                <w:spacing w:val="-4"/>
                <w:sz w:val="17"/>
              </w:rPr>
              <w:t>Name</w:t>
            </w:r>
          </w:p>
        </w:tc>
        <w:tc>
          <w:tcPr>
            <w:tcW w:w="12444" w:type="dxa"/>
          </w:tcPr>
          <w:p>
            <w:pPr>
              <w:pStyle w:val="TableParagraph"/>
              <w:spacing w:before="146"/>
              <w:ind w:left="87"/>
              <w:rPr>
                <w:sz w:val="18"/>
              </w:rPr>
            </w:pPr>
            <w:r>
              <w:rPr>
                <w:sz w:val="18"/>
              </w:rPr>
              <w:t>Regional</w:t>
            </w:r>
            <w:r>
              <w:rPr>
                <w:spacing w:val="-1"/>
                <w:sz w:val="18"/>
              </w:rPr>
              <w:t> </w:t>
            </w:r>
            <w:r>
              <w:rPr>
                <w:sz w:val="18"/>
              </w:rPr>
              <w:t>Health</w:t>
            </w:r>
            <w:r>
              <w:rPr>
                <w:spacing w:val="-1"/>
                <w:sz w:val="18"/>
              </w:rPr>
              <w:t> </w:t>
            </w:r>
            <w:r>
              <w:rPr>
                <w:sz w:val="18"/>
              </w:rPr>
              <w:t>Economy</w:t>
            </w:r>
            <w:r>
              <w:rPr>
                <w:spacing w:val="-1"/>
                <w:sz w:val="18"/>
              </w:rPr>
              <w:t> </w:t>
            </w:r>
            <w:r>
              <w:rPr>
                <w:sz w:val="18"/>
              </w:rPr>
              <w:t>Sub-</w:t>
            </w:r>
            <w:r>
              <w:rPr>
                <w:spacing w:val="-2"/>
                <w:sz w:val="18"/>
              </w:rPr>
              <w:t>Group</w:t>
            </w:r>
          </w:p>
        </w:tc>
      </w:tr>
      <w:tr>
        <w:trPr>
          <w:trHeight w:val="510" w:hRule="atLeast"/>
        </w:trPr>
        <w:tc>
          <w:tcPr>
            <w:tcW w:w="3081" w:type="dxa"/>
            <w:shd w:val="clear" w:color="auto" w:fill="D9EAF7"/>
          </w:tcPr>
          <w:p>
            <w:pPr>
              <w:pStyle w:val="TableParagraph"/>
              <w:spacing w:before="150"/>
              <w:ind w:left="87"/>
              <w:rPr>
                <w:b/>
                <w:sz w:val="17"/>
              </w:rPr>
            </w:pPr>
            <w:r>
              <w:rPr>
                <w:b/>
                <w:spacing w:val="-2"/>
                <w:sz w:val="17"/>
              </w:rPr>
              <w:t>Stage</w:t>
            </w:r>
          </w:p>
        </w:tc>
        <w:tc>
          <w:tcPr>
            <w:tcW w:w="12444" w:type="dxa"/>
          </w:tcPr>
          <w:p>
            <w:pPr>
              <w:pStyle w:val="TableParagraph"/>
              <w:spacing w:before="146"/>
              <w:ind w:left="87"/>
              <w:rPr>
                <w:sz w:val="18"/>
              </w:rPr>
            </w:pPr>
            <w:r>
              <w:rPr>
                <w:sz w:val="18"/>
              </w:rPr>
              <w:t>Define /</w:t>
            </w:r>
            <w:r>
              <w:rPr>
                <w:spacing w:val="-1"/>
                <w:sz w:val="18"/>
              </w:rPr>
              <w:t> </w:t>
            </w:r>
            <w:r>
              <w:rPr>
                <w:spacing w:val="-2"/>
                <w:sz w:val="18"/>
              </w:rPr>
              <w:t>Delivery</w:t>
            </w:r>
          </w:p>
        </w:tc>
      </w:tr>
      <w:tr>
        <w:trPr>
          <w:trHeight w:val="510" w:hRule="atLeast"/>
        </w:trPr>
        <w:tc>
          <w:tcPr>
            <w:tcW w:w="3081" w:type="dxa"/>
            <w:shd w:val="clear" w:color="auto" w:fill="D9EAF7"/>
          </w:tcPr>
          <w:p>
            <w:pPr>
              <w:pStyle w:val="TableParagraph"/>
              <w:spacing w:before="150"/>
              <w:ind w:left="87"/>
              <w:rPr>
                <w:b/>
                <w:sz w:val="17"/>
              </w:rPr>
            </w:pPr>
            <w:r>
              <w:rPr>
                <w:b/>
                <w:spacing w:val="-2"/>
                <w:sz w:val="17"/>
              </w:rPr>
              <w:t>Version</w:t>
            </w:r>
          </w:p>
        </w:tc>
        <w:tc>
          <w:tcPr>
            <w:tcW w:w="12444" w:type="dxa"/>
          </w:tcPr>
          <w:p>
            <w:pPr>
              <w:pStyle w:val="TableParagraph"/>
              <w:spacing w:before="150"/>
              <w:ind w:left="87"/>
              <w:rPr>
                <w:sz w:val="17"/>
              </w:rPr>
            </w:pPr>
            <w:r>
              <w:rPr>
                <w:spacing w:val="-5"/>
                <w:sz w:val="17"/>
              </w:rPr>
              <w:t>0.2</w:t>
            </w:r>
          </w:p>
        </w:tc>
      </w:tr>
      <w:tr>
        <w:trPr>
          <w:trHeight w:val="510" w:hRule="atLeast"/>
        </w:trPr>
        <w:tc>
          <w:tcPr>
            <w:tcW w:w="3081" w:type="dxa"/>
            <w:shd w:val="clear" w:color="auto" w:fill="D9EAF7"/>
          </w:tcPr>
          <w:p>
            <w:pPr>
              <w:pStyle w:val="TableParagraph"/>
              <w:spacing w:before="150"/>
              <w:ind w:left="87"/>
              <w:rPr>
                <w:b/>
                <w:sz w:val="17"/>
              </w:rPr>
            </w:pPr>
            <w:r>
              <w:rPr>
                <w:b/>
                <w:sz w:val="17"/>
              </w:rPr>
              <w:t>Executive</w:t>
            </w:r>
            <w:r>
              <w:rPr>
                <w:b/>
                <w:spacing w:val="-9"/>
                <w:sz w:val="17"/>
              </w:rPr>
              <w:t> </w:t>
            </w:r>
            <w:r>
              <w:rPr>
                <w:b/>
                <w:spacing w:val="-2"/>
                <w:sz w:val="17"/>
              </w:rPr>
              <w:t>Lead(s)</w:t>
            </w:r>
          </w:p>
        </w:tc>
        <w:tc>
          <w:tcPr>
            <w:tcW w:w="12444" w:type="dxa"/>
          </w:tcPr>
          <w:p>
            <w:pPr>
              <w:pStyle w:val="TableParagraph"/>
              <w:spacing w:before="146"/>
              <w:ind w:left="87"/>
              <w:rPr>
                <w:sz w:val="18"/>
              </w:rPr>
            </w:pPr>
            <w:r>
              <w:rPr>
                <w:sz w:val="18"/>
              </w:rPr>
              <w:t>Ardiana</w:t>
            </w:r>
            <w:r>
              <w:rPr>
                <w:spacing w:val="-5"/>
                <w:sz w:val="18"/>
              </w:rPr>
              <w:t> </w:t>
            </w:r>
            <w:r>
              <w:rPr>
                <w:sz w:val="18"/>
              </w:rPr>
              <w:t>Gjini</w:t>
            </w:r>
            <w:r>
              <w:rPr>
                <w:spacing w:val="-4"/>
                <w:sz w:val="18"/>
              </w:rPr>
              <w:t> </w:t>
            </w:r>
            <w:r>
              <w:rPr>
                <w:sz w:val="18"/>
              </w:rPr>
              <w:t>(SRO)</w:t>
            </w:r>
            <w:r>
              <w:rPr>
                <w:spacing w:val="-4"/>
                <w:sz w:val="18"/>
              </w:rPr>
              <w:t> </w:t>
            </w:r>
            <w:r>
              <w:rPr>
                <w:sz w:val="18"/>
              </w:rPr>
              <w:t>and</w:t>
            </w:r>
            <w:r>
              <w:rPr>
                <w:spacing w:val="-5"/>
                <w:sz w:val="18"/>
              </w:rPr>
              <w:t> </w:t>
            </w:r>
            <w:r>
              <w:rPr>
                <w:sz w:val="18"/>
              </w:rPr>
              <w:t>Hugo</w:t>
            </w:r>
            <w:r>
              <w:rPr>
                <w:spacing w:val="-4"/>
                <w:sz w:val="18"/>
              </w:rPr>
              <w:t> </w:t>
            </w:r>
            <w:r>
              <w:rPr>
                <w:sz w:val="18"/>
              </w:rPr>
              <w:t>Van</w:t>
            </w:r>
            <w:r>
              <w:rPr>
                <w:spacing w:val="-4"/>
                <w:sz w:val="18"/>
              </w:rPr>
              <w:t> </w:t>
            </w:r>
            <w:r>
              <w:rPr>
                <w:spacing w:val="-2"/>
                <w:sz w:val="18"/>
              </w:rPr>
              <w:t>Woerden</w:t>
            </w:r>
          </w:p>
        </w:tc>
      </w:tr>
      <w:tr>
        <w:trPr>
          <w:trHeight w:val="510" w:hRule="atLeast"/>
        </w:trPr>
        <w:tc>
          <w:tcPr>
            <w:tcW w:w="3081" w:type="dxa"/>
            <w:shd w:val="clear" w:color="auto" w:fill="D9EAF7"/>
          </w:tcPr>
          <w:p>
            <w:pPr>
              <w:pStyle w:val="TableParagraph"/>
              <w:spacing w:before="151"/>
              <w:ind w:left="87"/>
              <w:rPr>
                <w:b/>
                <w:sz w:val="17"/>
              </w:rPr>
            </w:pPr>
            <w:r>
              <w:rPr>
                <w:b/>
                <w:sz w:val="17"/>
              </w:rPr>
              <w:t>Operational</w:t>
            </w:r>
            <w:r>
              <w:rPr>
                <w:b/>
                <w:spacing w:val="-11"/>
                <w:sz w:val="17"/>
              </w:rPr>
              <w:t> </w:t>
            </w:r>
            <w:r>
              <w:rPr>
                <w:b/>
                <w:spacing w:val="-2"/>
                <w:sz w:val="17"/>
              </w:rPr>
              <w:t>Lead(s)</w:t>
            </w:r>
          </w:p>
        </w:tc>
        <w:tc>
          <w:tcPr>
            <w:tcW w:w="12444" w:type="dxa"/>
          </w:tcPr>
          <w:p>
            <w:pPr>
              <w:pStyle w:val="TableParagraph"/>
              <w:spacing w:before="151"/>
              <w:ind w:left="87"/>
              <w:rPr>
                <w:sz w:val="17"/>
              </w:rPr>
            </w:pPr>
            <w:r>
              <w:rPr>
                <w:spacing w:val="-5"/>
                <w:sz w:val="17"/>
              </w:rPr>
              <w:t>N/A</w:t>
            </w:r>
          </w:p>
        </w:tc>
      </w:tr>
      <w:tr>
        <w:trPr>
          <w:trHeight w:val="510" w:hRule="atLeast"/>
        </w:trPr>
        <w:tc>
          <w:tcPr>
            <w:tcW w:w="3081" w:type="dxa"/>
            <w:shd w:val="clear" w:color="auto" w:fill="D9EAF7"/>
          </w:tcPr>
          <w:p>
            <w:pPr>
              <w:pStyle w:val="TableParagraph"/>
              <w:spacing w:before="150"/>
              <w:ind w:left="87"/>
              <w:rPr>
                <w:b/>
                <w:sz w:val="17"/>
              </w:rPr>
            </w:pPr>
            <w:r>
              <w:rPr>
                <w:b/>
                <w:spacing w:val="-2"/>
                <w:sz w:val="17"/>
              </w:rPr>
              <w:t>Clinical</w:t>
            </w:r>
            <w:r>
              <w:rPr>
                <w:b/>
                <w:spacing w:val="2"/>
                <w:sz w:val="17"/>
              </w:rPr>
              <w:t> </w:t>
            </w:r>
            <w:r>
              <w:rPr>
                <w:b/>
                <w:spacing w:val="-2"/>
                <w:sz w:val="17"/>
              </w:rPr>
              <w:t>Lead(s)</w:t>
            </w:r>
          </w:p>
        </w:tc>
        <w:tc>
          <w:tcPr>
            <w:tcW w:w="12444" w:type="dxa"/>
          </w:tcPr>
          <w:p>
            <w:pPr>
              <w:pStyle w:val="TableParagraph"/>
              <w:spacing w:before="150"/>
              <w:ind w:left="87"/>
              <w:rPr>
                <w:sz w:val="17"/>
              </w:rPr>
            </w:pPr>
            <w:r>
              <w:rPr>
                <w:spacing w:val="-5"/>
                <w:sz w:val="17"/>
              </w:rPr>
              <w:t>N/A</w:t>
            </w:r>
          </w:p>
        </w:tc>
      </w:tr>
      <w:tr>
        <w:trPr>
          <w:trHeight w:val="510" w:hRule="atLeast"/>
        </w:trPr>
        <w:tc>
          <w:tcPr>
            <w:tcW w:w="3081" w:type="dxa"/>
            <w:shd w:val="clear" w:color="auto" w:fill="D9EAF7"/>
          </w:tcPr>
          <w:p>
            <w:pPr>
              <w:pStyle w:val="TableParagraph"/>
              <w:spacing w:before="151"/>
              <w:ind w:left="87"/>
              <w:rPr>
                <w:b/>
                <w:sz w:val="17"/>
              </w:rPr>
            </w:pPr>
            <w:r>
              <w:rPr>
                <w:b/>
                <w:sz w:val="17"/>
              </w:rPr>
              <w:t>Programme</w:t>
            </w:r>
            <w:r>
              <w:rPr>
                <w:b/>
                <w:spacing w:val="-9"/>
                <w:sz w:val="17"/>
              </w:rPr>
              <w:t> </w:t>
            </w:r>
            <w:r>
              <w:rPr>
                <w:b/>
                <w:spacing w:val="-4"/>
                <w:sz w:val="17"/>
              </w:rPr>
              <w:t>Lead</w:t>
            </w:r>
          </w:p>
        </w:tc>
        <w:tc>
          <w:tcPr>
            <w:tcW w:w="12444" w:type="dxa"/>
          </w:tcPr>
          <w:p>
            <w:pPr>
              <w:pStyle w:val="TableParagraph"/>
              <w:spacing w:before="151"/>
              <w:ind w:left="87"/>
              <w:rPr>
                <w:sz w:val="17"/>
              </w:rPr>
            </w:pPr>
            <w:r>
              <w:rPr>
                <w:sz w:val="17"/>
              </w:rPr>
              <w:t>Sophie</w:t>
            </w:r>
            <w:r>
              <w:rPr>
                <w:spacing w:val="-3"/>
                <w:sz w:val="17"/>
              </w:rPr>
              <w:t> </w:t>
            </w:r>
            <w:r>
              <w:rPr>
                <w:spacing w:val="-4"/>
                <w:sz w:val="17"/>
              </w:rPr>
              <w:t>Marr</w:t>
            </w:r>
          </w:p>
        </w:tc>
      </w:tr>
      <w:tr>
        <w:trPr>
          <w:trHeight w:val="510" w:hRule="atLeast"/>
        </w:trPr>
        <w:tc>
          <w:tcPr>
            <w:tcW w:w="3081" w:type="dxa"/>
            <w:shd w:val="clear" w:color="auto" w:fill="D9EAF7"/>
          </w:tcPr>
          <w:p>
            <w:pPr>
              <w:pStyle w:val="TableParagraph"/>
              <w:spacing w:before="150"/>
              <w:ind w:left="87"/>
              <w:rPr>
                <w:b/>
                <w:sz w:val="17"/>
              </w:rPr>
            </w:pPr>
            <w:r>
              <w:rPr>
                <w:b/>
                <w:sz w:val="17"/>
              </w:rPr>
              <w:t>Reports</w:t>
            </w:r>
            <w:r>
              <w:rPr>
                <w:b/>
                <w:spacing w:val="-2"/>
                <w:sz w:val="17"/>
              </w:rPr>
              <w:t> </w:t>
            </w:r>
            <w:r>
              <w:rPr>
                <w:b/>
                <w:spacing w:val="-5"/>
                <w:sz w:val="17"/>
              </w:rPr>
              <w:t>To</w:t>
            </w:r>
          </w:p>
        </w:tc>
        <w:tc>
          <w:tcPr>
            <w:tcW w:w="12444" w:type="dxa"/>
          </w:tcPr>
          <w:p>
            <w:pPr>
              <w:pStyle w:val="TableParagraph"/>
              <w:spacing w:before="150"/>
              <w:ind w:left="87"/>
              <w:rPr>
                <w:sz w:val="17"/>
              </w:rPr>
            </w:pPr>
            <w:r>
              <w:rPr>
                <w:spacing w:val="-5"/>
                <w:sz w:val="17"/>
              </w:rPr>
              <w:t>RJC</w:t>
            </w:r>
          </w:p>
        </w:tc>
      </w:tr>
      <w:tr>
        <w:trPr>
          <w:trHeight w:val="510" w:hRule="atLeast"/>
        </w:trPr>
        <w:tc>
          <w:tcPr>
            <w:tcW w:w="3081" w:type="dxa"/>
            <w:shd w:val="clear" w:color="auto" w:fill="D9EAF7"/>
          </w:tcPr>
          <w:p>
            <w:pPr>
              <w:pStyle w:val="TableParagraph"/>
              <w:spacing w:before="150"/>
              <w:ind w:left="87"/>
              <w:rPr>
                <w:b/>
                <w:sz w:val="17"/>
              </w:rPr>
            </w:pPr>
            <w:r>
              <w:rPr>
                <w:b/>
                <w:sz w:val="17"/>
              </w:rPr>
              <w:t>Receives</w:t>
            </w:r>
            <w:r>
              <w:rPr>
                <w:b/>
                <w:spacing w:val="-3"/>
                <w:sz w:val="17"/>
              </w:rPr>
              <w:t> </w:t>
            </w:r>
            <w:r>
              <w:rPr>
                <w:b/>
                <w:sz w:val="17"/>
              </w:rPr>
              <w:t>Reports</w:t>
            </w:r>
            <w:r>
              <w:rPr>
                <w:b/>
                <w:spacing w:val="-3"/>
                <w:sz w:val="17"/>
              </w:rPr>
              <w:t> </w:t>
            </w:r>
            <w:r>
              <w:rPr>
                <w:b/>
                <w:spacing w:val="-4"/>
                <w:sz w:val="17"/>
              </w:rPr>
              <w:t>From</w:t>
            </w:r>
          </w:p>
        </w:tc>
        <w:tc>
          <w:tcPr>
            <w:tcW w:w="12444" w:type="dxa"/>
          </w:tcPr>
          <w:p>
            <w:pPr>
              <w:pStyle w:val="TableParagraph"/>
              <w:spacing w:before="150"/>
              <w:ind w:left="87"/>
              <w:rPr>
                <w:sz w:val="17"/>
              </w:rPr>
            </w:pPr>
            <w:r>
              <w:rPr>
                <w:sz w:val="17"/>
              </w:rPr>
              <w:t>Subgroup</w:t>
            </w:r>
            <w:r>
              <w:rPr>
                <w:spacing w:val="-5"/>
                <w:sz w:val="17"/>
              </w:rPr>
              <w:t> </w:t>
            </w:r>
            <w:r>
              <w:rPr>
                <w:spacing w:val="-2"/>
                <w:sz w:val="17"/>
              </w:rPr>
              <w:t>Programmes/Projects</w:t>
            </w:r>
          </w:p>
        </w:tc>
      </w:tr>
      <w:tr>
        <w:trPr>
          <w:trHeight w:val="510" w:hRule="atLeast"/>
        </w:trPr>
        <w:tc>
          <w:tcPr>
            <w:tcW w:w="3081" w:type="dxa"/>
            <w:shd w:val="clear" w:color="auto" w:fill="D9EAF7"/>
          </w:tcPr>
          <w:p>
            <w:pPr>
              <w:pStyle w:val="TableParagraph"/>
              <w:spacing w:before="150"/>
              <w:ind w:left="87"/>
              <w:rPr>
                <w:b/>
                <w:sz w:val="17"/>
              </w:rPr>
            </w:pPr>
            <w:r>
              <w:rPr>
                <w:b/>
                <w:sz w:val="17"/>
              </w:rPr>
              <w:t>Meeting</w:t>
            </w:r>
            <w:r>
              <w:rPr>
                <w:b/>
                <w:spacing w:val="-4"/>
                <w:sz w:val="17"/>
              </w:rPr>
              <w:t> </w:t>
            </w:r>
            <w:r>
              <w:rPr>
                <w:b/>
                <w:spacing w:val="-2"/>
                <w:sz w:val="17"/>
              </w:rPr>
              <w:t>Frequency</w:t>
            </w:r>
          </w:p>
        </w:tc>
        <w:tc>
          <w:tcPr>
            <w:tcW w:w="12444" w:type="dxa"/>
          </w:tcPr>
          <w:p>
            <w:pPr>
              <w:pStyle w:val="TableParagraph"/>
              <w:spacing w:before="150"/>
              <w:ind w:left="87"/>
              <w:rPr>
                <w:sz w:val="17"/>
              </w:rPr>
            </w:pPr>
            <w:r>
              <w:rPr>
                <w:spacing w:val="-2"/>
                <w:sz w:val="17"/>
              </w:rPr>
              <w:t>Bimonthly</w:t>
            </w:r>
          </w:p>
        </w:tc>
      </w:tr>
      <w:tr>
        <w:trPr>
          <w:trHeight w:val="795" w:hRule="atLeast"/>
        </w:trPr>
        <w:tc>
          <w:tcPr>
            <w:tcW w:w="3081" w:type="dxa"/>
            <w:shd w:val="clear" w:color="auto" w:fill="D9EAF7"/>
          </w:tcPr>
          <w:p>
            <w:pPr>
              <w:pStyle w:val="TableParagraph"/>
              <w:spacing w:before="100"/>
              <w:rPr>
                <w:i/>
                <w:sz w:val="17"/>
              </w:rPr>
            </w:pPr>
          </w:p>
          <w:p>
            <w:pPr>
              <w:pStyle w:val="TableParagraph"/>
              <w:ind w:left="87"/>
              <w:rPr>
                <w:b/>
                <w:sz w:val="17"/>
              </w:rPr>
            </w:pPr>
            <w:r>
              <w:rPr>
                <w:b/>
                <w:sz w:val="17"/>
              </w:rPr>
              <w:t>ToR</w:t>
            </w:r>
            <w:r>
              <w:rPr>
                <w:b/>
                <w:spacing w:val="-1"/>
                <w:sz w:val="17"/>
              </w:rPr>
              <w:t> </w:t>
            </w:r>
            <w:r>
              <w:rPr>
                <w:b/>
                <w:spacing w:val="-2"/>
                <w:sz w:val="17"/>
              </w:rPr>
              <w:t>Agreed</w:t>
            </w:r>
          </w:p>
        </w:tc>
        <w:tc>
          <w:tcPr>
            <w:tcW w:w="12444" w:type="dxa"/>
          </w:tcPr>
          <w:p>
            <w:pPr>
              <w:pStyle w:val="TableParagraph"/>
              <w:spacing w:before="90"/>
              <w:ind w:left="87"/>
              <w:rPr>
                <w:sz w:val="17"/>
              </w:rPr>
            </w:pPr>
            <w:r>
              <w:rPr>
                <w:spacing w:val="-5"/>
                <w:sz w:val="17"/>
              </w:rPr>
              <w:t>Yes</w:t>
            </w:r>
          </w:p>
          <w:p>
            <w:pPr>
              <w:pStyle w:val="TableParagraph"/>
              <w:spacing w:before="19"/>
              <w:rPr>
                <w:i/>
                <w:sz w:val="17"/>
              </w:rPr>
            </w:pPr>
          </w:p>
          <w:p>
            <w:pPr>
              <w:pStyle w:val="TableParagraph"/>
              <w:spacing w:before="1"/>
              <w:ind w:left="87"/>
              <w:rPr>
                <w:sz w:val="17"/>
              </w:rPr>
            </w:pPr>
            <w:r>
              <w:rPr>
                <w:sz w:val="17"/>
              </w:rPr>
              <w:t>Refreshed</w:t>
            </w:r>
            <w:r>
              <w:rPr>
                <w:spacing w:val="-6"/>
                <w:sz w:val="17"/>
              </w:rPr>
              <w:t> </w:t>
            </w:r>
            <w:r>
              <w:rPr>
                <w:sz w:val="17"/>
              </w:rPr>
              <w:t>Terms</w:t>
            </w:r>
            <w:r>
              <w:rPr>
                <w:spacing w:val="-5"/>
                <w:sz w:val="17"/>
              </w:rPr>
              <w:t> </w:t>
            </w:r>
            <w:r>
              <w:rPr>
                <w:sz w:val="17"/>
              </w:rPr>
              <w:t>of</w:t>
            </w:r>
            <w:r>
              <w:rPr>
                <w:spacing w:val="-2"/>
                <w:sz w:val="17"/>
              </w:rPr>
              <w:t> </w:t>
            </w:r>
            <w:r>
              <w:rPr>
                <w:sz w:val="17"/>
              </w:rPr>
              <w:t>Reference</w:t>
            </w:r>
            <w:r>
              <w:rPr>
                <w:spacing w:val="-4"/>
                <w:sz w:val="17"/>
              </w:rPr>
              <w:t> </w:t>
            </w:r>
            <w:r>
              <w:rPr>
                <w:sz w:val="17"/>
              </w:rPr>
              <w:t>supported</w:t>
            </w:r>
            <w:r>
              <w:rPr>
                <w:spacing w:val="-4"/>
                <w:sz w:val="17"/>
              </w:rPr>
              <w:t> </w:t>
            </w:r>
            <w:r>
              <w:rPr>
                <w:sz w:val="17"/>
              </w:rPr>
              <w:t>in</w:t>
            </w:r>
            <w:r>
              <w:rPr>
                <w:spacing w:val="-4"/>
                <w:sz w:val="17"/>
              </w:rPr>
              <w:t> </w:t>
            </w:r>
            <w:r>
              <w:rPr>
                <w:sz w:val="17"/>
              </w:rPr>
              <w:t>principle</w:t>
            </w:r>
            <w:r>
              <w:rPr>
                <w:spacing w:val="-4"/>
                <w:sz w:val="17"/>
              </w:rPr>
              <w:t> </w:t>
            </w:r>
            <w:r>
              <w:rPr>
                <w:sz w:val="17"/>
              </w:rPr>
              <w:t>on</w:t>
            </w:r>
            <w:r>
              <w:rPr>
                <w:spacing w:val="-4"/>
                <w:sz w:val="17"/>
              </w:rPr>
              <w:t> </w:t>
            </w:r>
            <w:r>
              <w:rPr>
                <w:sz w:val="17"/>
              </w:rPr>
              <w:t>14</w:t>
            </w:r>
            <w:r>
              <w:rPr>
                <w:spacing w:val="-3"/>
                <w:sz w:val="17"/>
              </w:rPr>
              <w:t> </w:t>
            </w:r>
            <w:r>
              <w:rPr>
                <w:sz w:val="17"/>
              </w:rPr>
              <w:t>September</w:t>
            </w:r>
            <w:r>
              <w:rPr>
                <w:spacing w:val="-6"/>
                <w:sz w:val="17"/>
              </w:rPr>
              <w:t> </w:t>
            </w:r>
            <w:r>
              <w:rPr>
                <w:sz w:val="17"/>
              </w:rPr>
              <w:t>2026,</w:t>
            </w:r>
            <w:r>
              <w:rPr>
                <w:spacing w:val="-7"/>
                <w:sz w:val="17"/>
              </w:rPr>
              <w:t> </w:t>
            </w:r>
            <w:r>
              <w:rPr>
                <w:sz w:val="17"/>
              </w:rPr>
              <w:t>subject</w:t>
            </w:r>
            <w:r>
              <w:rPr>
                <w:spacing w:val="-2"/>
                <w:sz w:val="17"/>
              </w:rPr>
              <w:t> </w:t>
            </w:r>
            <w:r>
              <w:rPr>
                <w:sz w:val="17"/>
              </w:rPr>
              <w:t>to</w:t>
            </w:r>
            <w:r>
              <w:rPr>
                <w:spacing w:val="1"/>
                <w:sz w:val="17"/>
              </w:rPr>
              <w:t> </w:t>
            </w:r>
            <w:r>
              <w:rPr>
                <w:sz w:val="17"/>
              </w:rPr>
              <w:t>final</w:t>
            </w:r>
            <w:r>
              <w:rPr>
                <w:spacing w:val="-3"/>
                <w:sz w:val="17"/>
              </w:rPr>
              <w:t> </w:t>
            </w:r>
            <w:r>
              <w:rPr>
                <w:sz w:val="17"/>
              </w:rPr>
              <w:t>amendments</w:t>
            </w:r>
            <w:r>
              <w:rPr>
                <w:spacing w:val="-5"/>
                <w:sz w:val="17"/>
              </w:rPr>
              <w:t> </w:t>
            </w:r>
            <w:r>
              <w:rPr>
                <w:sz w:val="17"/>
              </w:rPr>
              <w:t>and</w:t>
            </w:r>
            <w:r>
              <w:rPr>
                <w:spacing w:val="-4"/>
                <w:sz w:val="17"/>
              </w:rPr>
              <w:t> </w:t>
            </w:r>
            <w:r>
              <w:rPr>
                <w:sz w:val="17"/>
              </w:rPr>
              <w:t>RJC</w:t>
            </w:r>
            <w:r>
              <w:rPr>
                <w:spacing w:val="-2"/>
                <w:sz w:val="17"/>
              </w:rPr>
              <w:t> approval.</w:t>
            </w:r>
          </w:p>
        </w:tc>
      </w:tr>
    </w:tbl>
    <w:p>
      <w:pPr>
        <w:pStyle w:val="BodyText"/>
        <w:rPr>
          <w:i/>
          <w:sz w:val="14"/>
        </w:rPr>
      </w:pPr>
    </w:p>
    <w:p>
      <w:pPr>
        <w:pStyle w:val="BodyText"/>
        <w:rPr>
          <w:i/>
          <w:sz w:val="14"/>
        </w:rPr>
      </w:pPr>
    </w:p>
    <w:p>
      <w:pPr>
        <w:pStyle w:val="BodyText"/>
        <w:rPr>
          <w:i/>
          <w:sz w:val="14"/>
        </w:rPr>
      </w:pPr>
    </w:p>
    <w:p>
      <w:pPr>
        <w:pStyle w:val="BodyText"/>
        <w:rPr>
          <w:i/>
          <w:sz w:val="14"/>
        </w:rPr>
      </w:pPr>
    </w:p>
    <w:p>
      <w:pPr>
        <w:pStyle w:val="BodyText"/>
        <w:rPr>
          <w:i/>
          <w:sz w:val="14"/>
        </w:rPr>
      </w:pPr>
    </w:p>
    <w:p>
      <w:pPr>
        <w:pStyle w:val="BodyText"/>
        <w:rPr>
          <w:i/>
          <w:sz w:val="14"/>
        </w:rPr>
      </w:pPr>
    </w:p>
    <w:p>
      <w:pPr>
        <w:pStyle w:val="BodyText"/>
        <w:rPr>
          <w:i/>
          <w:sz w:val="14"/>
        </w:rPr>
      </w:pPr>
    </w:p>
    <w:p>
      <w:pPr>
        <w:pStyle w:val="BodyText"/>
        <w:rPr>
          <w:i/>
          <w:sz w:val="14"/>
        </w:rPr>
      </w:pPr>
    </w:p>
    <w:p>
      <w:pPr>
        <w:pStyle w:val="BodyText"/>
        <w:rPr>
          <w:i/>
          <w:sz w:val="14"/>
        </w:rPr>
      </w:pPr>
    </w:p>
    <w:p>
      <w:pPr>
        <w:pStyle w:val="BodyText"/>
        <w:rPr>
          <w:i/>
          <w:sz w:val="14"/>
        </w:rPr>
      </w:pPr>
    </w:p>
    <w:p>
      <w:pPr>
        <w:pStyle w:val="BodyText"/>
        <w:spacing w:before="101"/>
        <w:rPr>
          <w:i/>
          <w:sz w:val="14"/>
        </w:rPr>
      </w:pPr>
    </w:p>
    <w:p>
      <w:pPr>
        <w:spacing w:before="1"/>
        <w:ind w:left="9" w:right="8" w:firstLine="0"/>
        <w:jc w:val="center"/>
        <w:rPr>
          <w:sz w:val="14"/>
        </w:rPr>
      </w:pPr>
      <w:r>
        <w:rPr>
          <w:color w:val="1F4E79"/>
          <w:sz w:val="14"/>
        </w:rPr>
        <w:t>Hywel</w:t>
      </w:r>
      <w:r>
        <w:rPr>
          <w:color w:val="1F4E79"/>
          <w:spacing w:val="-5"/>
          <w:sz w:val="14"/>
        </w:rPr>
        <w:t> </w:t>
      </w:r>
      <w:r>
        <w:rPr>
          <w:color w:val="1F4E79"/>
          <w:sz w:val="14"/>
        </w:rPr>
        <w:t>Dda</w:t>
      </w:r>
      <w:r>
        <w:rPr>
          <w:color w:val="1F4E79"/>
          <w:spacing w:val="-2"/>
          <w:sz w:val="14"/>
        </w:rPr>
        <w:t> </w:t>
      </w:r>
      <w:r>
        <w:rPr>
          <w:color w:val="1F4E79"/>
          <w:sz w:val="14"/>
        </w:rPr>
        <w:t>/</w:t>
      </w:r>
      <w:r>
        <w:rPr>
          <w:color w:val="1F4E79"/>
          <w:spacing w:val="-6"/>
          <w:sz w:val="14"/>
        </w:rPr>
        <w:t> </w:t>
      </w:r>
      <w:r>
        <w:rPr>
          <w:color w:val="1F4E79"/>
          <w:sz w:val="14"/>
        </w:rPr>
        <w:t>Swansea</w:t>
      </w:r>
      <w:r>
        <w:rPr>
          <w:color w:val="1F4E79"/>
          <w:spacing w:val="-5"/>
          <w:sz w:val="14"/>
        </w:rPr>
        <w:t> </w:t>
      </w:r>
      <w:r>
        <w:rPr>
          <w:color w:val="1F4E79"/>
          <w:sz w:val="14"/>
        </w:rPr>
        <w:t>Bay</w:t>
      </w:r>
      <w:r>
        <w:rPr>
          <w:color w:val="1F4E79"/>
          <w:spacing w:val="-3"/>
          <w:sz w:val="14"/>
        </w:rPr>
        <w:t> </w:t>
      </w:r>
      <w:r>
        <w:rPr>
          <w:color w:val="1F4E79"/>
          <w:sz w:val="14"/>
        </w:rPr>
        <w:t>University</w:t>
      </w:r>
      <w:r>
        <w:rPr>
          <w:color w:val="1F4E79"/>
          <w:spacing w:val="-3"/>
          <w:sz w:val="14"/>
        </w:rPr>
        <w:t> </w:t>
      </w:r>
      <w:r>
        <w:rPr>
          <w:color w:val="1F4E79"/>
          <w:sz w:val="14"/>
        </w:rPr>
        <w:t>Health</w:t>
      </w:r>
      <w:r>
        <w:rPr>
          <w:color w:val="1F4E79"/>
          <w:spacing w:val="-2"/>
          <w:sz w:val="14"/>
        </w:rPr>
        <w:t> </w:t>
      </w:r>
      <w:r>
        <w:rPr>
          <w:color w:val="1F4E79"/>
          <w:sz w:val="14"/>
        </w:rPr>
        <w:t>Boards</w:t>
      </w:r>
      <w:r>
        <w:rPr>
          <w:color w:val="1F4E79"/>
          <w:spacing w:val="-2"/>
          <w:sz w:val="14"/>
        </w:rPr>
        <w:t> </w:t>
      </w:r>
      <w:r>
        <w:rPr>
          <w:color w:val="1F4E79"/>
          <w:sz w:val="14"/>
        </w:rPr>
        <w:t>|</w:t>
      </w:r>
      <w:r>
        <w:rPr>
          <w:color w:val="1F4E79"/>
          <w:spacing w:val="-9"/>
          <w:sz w:val="14"/>
        </w:rPr>
        <w:t> </w:t>
      </w:r>
      <w:r>
        <w:rPr>
          <w:color w:val="1F4E79"/>
          <w:sz w:val="14"/>
        </w:rPr>
        <w:t>Byrddau</w:t>
      </w:r>
      <w:r>
        <w:rPr>
          <w:color w:val="1F4E79"/>
          <w:spacing w:val="-2"/>
          <w:sz w:val="14"/>
        </w:rPr>
        <w:t> </w:t>
      </w:r>
      <w:r>
        <w:rPr>
          <w:color w:val="1F4E79"/>
          <w:sz w:val="14"/>
        </w:rPr>
        <w:t>Iechyd</w:t>
      </w:r>
      <w:r>
        <w:rPr>
          <w:color w:val="1F4E79"/>
          <w:spacing w:val="-2"/>
          <w:sz w:val="14"/>
        </w:rPr>
        <w:t> </w:t>
      </w:r>
      <w:r>
        <w:rPr>
          <w:color w:val="1F4E79"/>
          <w:sz w:val="14"/>
        </w:rPr>
        <w:t>Prifysgol</w:t>
      </w:r>
      <w:r>
        <w:rPr>
          <w:color w:val="1F4E79"/>
          <w:spacing w:val="-4"/>
          <w:sz w:val="14"/>
        </w:rPr>
        <w:t> </w:t>
      </w:r>
      <w:r>
        <w:rPr>
          <w:color w:val="1F4E79"/>
          <w:sz w:val="14"/>
        </w:rPr>
        <w:t>Hywel</w:t>
      </w:r>
      <w:r>
        <w:rPr>
          <w:color w:val="1F4E79"/>
          <w:spacing w:val="-5"/>
          <w:sz w:val="14"/>
        </w:rPr>
        <w:t> </w:t>
      </w:r>
      <w:r>
        <w:rPr>
          <w:color w:val="1F4E79"/>
          <w:sz w:val="14"/>
        </w:rPr>
        <w:t>Dda</w:t>
      </w:r>
      <w:r>
        <w:rPr>
          <w:color w:val="1F4E79"/>
          <w:spacing w:val="-1"/>
          <w:sz w:val="14"/>
        </w:rPr>
        <w:t> </w:t>
      </w:r>
      <w:r>
        <w:rPr>
          <w:color w:val="1F4E79"/>
          <w:sz w:val="14"/>
        </w:rPr>
        <w:t>/</w:t>
      </w:r>
      <w:r>
        <w:rPr>
          <w:color w:val="1F4E79"/>
          <w:spacing w:val="-7"/>
          <w:sz w:val="14"/>
        </w:rPr>
        <w:t> </w:t>
      </w:r>
      <w:r>
        <w:rPr>
          <w:color w:val="1F4E79"/>
          <w:sz w:val="14"/>
        </w:rPr>
        <w:t>Bae</w:t>
      </w:r>
      <w:r>
        <w:rPr>
          <w:color w:val="1F4E79"/>
          <w:spacing w:val="-1"/>
          <w:sz w:val="14"/>
        </w:rPr>
        <w:t> </w:t>
      </w:r>
      <w:r>
        <w:rPr>
          <w:color w:val="1F4E79"/>
          <w:spacing w:val="-2"/>
          <w:sz w:val="14"/>
        </w:rPr>
        <w:t>Abertawe</w:t>
      </w:r>
    </w:p>
    <w:p>
      <w:pPr>
        <w:spacing w:after="0"/>
        <w:jc w:val="center"/>
        <w:rPr>
          <w:sz w:val="14"/>
        </w:rPr>
        <w:sectPr>
          <w:type w:val="continuous"/>
          <w:pgSz w:w="16840" w:h="11910" w:orient="landscape"/>
          <w:pgMar w:header="0" w:footer="198" w:top="760" w:bottom="280" w:left="566" w:right="566"/>
        </w:sectPr>
      </w:pPr>
    </w:p>
    <w:p>
      <w:pPr>
        <w:pStyle w:val="Heading8"/>
        <w:numPr>
          <w:ilvl w:val="0"/>
          <w:numId w:val="28"/>
        </w:numPr>
        <w:tabs>
          <w:tab w:pos="367" w:val="left" w:leader="none"/>
        </w:tabs>
        <w:spacing w:line="240" w:lineRule="auto" w:before="66" w:after="0"/>
        <w:ind w:left="367" w:right="0" w:hanging="284"/>
        <w:jc w:val="left"/>
      </w:pPr>
      <w:r>
        <w:rPr/>
        <mc:AlternateContent>
          <mc:Choice Requires="wps">
            <w:drawing>
              <wp:anchor distT="0" distB="0" distL="0" distR="0" allowOverlap="1" layoutInCell="1" locked="0" behindDoc="1" simplePos="0" relativeHeight="477137408">
                <wp:simplePos x="0" y="0"/>
                <wp:positionH relativeFrom="page">
                  <wp:posOffset>412750</wp:posOffset>
                </wp:positionH>
                <wp:positionV relativeFrom="paragraph">
                  <wp:posOffset>311531</wp:posOffset>
                </wp:positionV>
                <wp:extent cx="9867900" cy="1839595"/>
                <wp:effectExtent l="0" t="0" r="0" b="0"/>
                <wp:wrapNone/>
                <wp:docPr id="365" name="Group 365"/>
                <wp:cNvGraphicFramePr>
                  <a:graphicFrameLocks/>
                </wp:cNvGraphicFramePr>
                <a:graphic>
                  <a:graphicData uri="http://schemas.microsoft.com/office/word/2010/wordprocessingGroup">
                    <wpg:wgp>
                      <wpg:cNvPr id="365" name="Group 365"/>
                      <wpg:cNvGrpSpPr/>
                      <wpg:grpSpPr>
                        <a:xfrm>
                          <a:off x="0" y="0"/>
                          <a:ext cx="9867900" cy="1839595"/>
                          <a:chExt cx="9867900" cy="1839595"/>
                        </a:xfrm>
                      </wpg:grpSpPr>
                      <wps:wsp>
                        <wps:cNvPr id="366" name="Graphic 366"/>
                        <wps:cNvSpPr/>
                        <wps:spPr>
                          <a:xfrm>
                            <a:off x="0" y="254253"/>
                            <a:ext cx="9867900" cy="1584960"/>
                          </a:xfrm>
                          <a:custGeom>
                            <a:avLst/>
                            <a:gdLst/>
                            <a:ahLst/>
                            <a:cxnLst/>
                            <a:rect l="l" t="t" r="r" b="b"/>
                            <a:pathLst>
                              <a:path w="9867900" h="1584960">
                                <a:moveTo>
                                  <a:pt x="9867900" y="0"/>
                                </a:moveTo>
                                <a:lnTo>
                                  <a:pt x="9858375" y="0"/>
                                </a:lnTo>
                                <a:lnTo>
                                  <a:pt x="9858375" y="66675"/>
                                </a:lnTo>
                                <a:lnTo>
                                  <a:pt x="9858375" y="1575435"/>
                                </a:lnTo>
                                <a:lnTo>
                                  <a:pt x="9525" y="1575435"/>
                                </a:lnTo>
                                <a:lnTo>
                                  <a:pt x="9525" y="66675"/>
                                </a:lnTo>
                                <a:lnTo>
                                  <a:pt x="9525" y="0"/>
                                </a:lnTo>
                                <a:lnTo>
                                  <a:pt x="0" y="0"/>
                                </a:lnTo>
                                <a:lnTo>
                                  <a:pt x="0" y="66675"/>
                                </a:lnTo>
                                <a:lnTo>
                                  <a:pt x="0" y="1575435"/>
                                </a:lnTo>
                                <a:lnTo>
                                  <a:pt x="0" y="1584960"/>
                                </a:lnTo>
                                <a:lnTo>
                                  <a:pt x="9525" y="1584960"/>
                                </a:lnTo>
                                <a:lnTo>
                                  <a:pt x="9858375" y="1584960"/>
                                </a:lnTo>
                                <a:lnTo>
                                  <a:pt x="9867900" y="1584960"/>
                                </a:lnTo>
                                <a:lnTo>
                                  <a:pt x="9867900" y="1575435"/>
                                </a:lnTo>
                                <a:lnTo>
                                  <a:pt x="9867900" y="66675"/>
                                </a:lnTo>
                                <a:lnTo>
                                  <a:pt x="9867900" y="0"/>
                                </a:lnTo>
                                <a:close/>
                              </a:path>
                            </a:pathLst>
                          </a:custGeom>
                          <a:solidFill>
                            <a:srgbClr val="6E6E6E"/>
                          </a:solidFill>
                        </wps:spPr>
                        <wps:bodyPr wrap="square" lIns="0" tIns="0" rIns="0" bIns="0" rtlCol="0">
                          <a:prstTxWarp prst="textNoShape">
                            <a:avLst/>
                          </a:prstTxWarp>
                          <a:noAutofit/>
                        </wps:bodyPr>
                      </wps:wsp>
                      <wps:wsp>
                        <wps:cNvPr id="367" name="Textbox 367"/>
                        <wps:cNvSpPr txBox="1"/>
                        <wps:spPr>
                          <a:xfrm>
                            <a:off x="4762" y="4762"/>
                            <a:ext cx="9858375" cy="254635"/>
                          </a:xfrm>
                          <a:prstGeom prst="rect">
                            <a:avLst/>
                          </a:prstGeom>
                          <a:solidFill>
                            <a:srgbClr val="1F4E79"/>
                          </a:solidFill>
                          <a:ln w="9525">
                            <a:solidFill>
                              <a:srgbClr val="6E6E6E"/>
                            </a:solidFill>
                            <a:prstDash val="solid"/>
                          </a:ln>
                        </wps:spPr>
                        <wps:txbx>
                          <w:txbxContent>
                            <w:p>
                              <w:pPr>
                                <w:spacing w:before="90"/>
                                <w:ind w:left="80" w:right="0" w:firstLine="0"/>
                                <w:jc w:val="left"/>
                                <w:rPr>
                                  <w:b/>
                                  <w:color w:val="000000"/>
                                  <w:sz w:val="17"/>
                                </w:rPr>
                              </w:pPr>
                              <w:r>
                                <w:rPr>
                                  <w:b/>
                                  <w:color w:val="FFFFFF"/>
                                  <w:sz w:val="17"/>
                                </w:rPr>
                                <w:t>Subgroup</w:t>
                              </w:r>
                              <w:r>
                                <w:rPr>
                                  <w:b/>
                                  <w:color w:val="FFFFFF"/>
                                  <w:spacing w:val="2"/>
                                  <w:sz w:val="17"/>
                                </w:rPr>
                                <w:t> </w:t>
                              </w:r>
                              <w:r>
                                <w:rPr>
                                  <w:b/>
                                  <w:color w:val="FFFFFF"/>
                                  <w:spacing w:val="-2"/>
                                  <w:sz w:val="17"/>
                                </w:rPr>
                                <w:t>Scope</w:t>
                              </w:r>
                            </w:p>
                          </w:txbxContent>
                        </wps:txbx>
                        <wps:bodyPr wrap="square" lIns="0" tIns="0" rIns="0" bIns="0" rtlCol="0">
                          <a:noAutofit/>
                        </wps:bodyPr>
                      </wps:wsp>
                    </wpg:wgp>
                  </a:graphicData>
                </a:graphic>
              </wp:anchor>
            </w:drawing>
          </mc:Choice>
          <mc:Fallback>
            <w:pict>
              <v:group style="position:absolute;margin-left:32.5pt;margin-top:24.530001pt;width:777pt;height:144.85pt;mso-position-horizontal-relative:page;mso-position-vertical-relative:paragraph;z-index:-26179072" id="docshapegroup185" coordorigin="650,491" coordsize="15540,2897">
                <v:shape style="position:absolute;left:650;top:891;width:15540;height:2496" id="docshape186" coordorigin="650,891" coordsize="15540,2496" path="m16190,891l16175,891,16175,996,16175,3372,665,3372,665,996,665,891,650,891,650,996,650,3372,650,3387,665,3387,16175,3387,16190,3387,16190,3372,16190,996,16190,891xe" filled="true" fillcolor="#6e6e6e" stroked="false">
                  <v:path arrowok="t"/>
                  <v:fill type="solid"/>
                </v:shape>
                <v:shape style="position:absolute;left:657;top:498;width:15525;height:401" type="#_x0000_t202" id="docshape187" filled="true" fillcolor="#1f4e79" stroked="true" strokeweight=".75pt" strokecolor="#6e6e6e">
                  <v:textbox inset="0,0,0,0">
                    <w:txbxContent>
                      <w:p>
                        <w:pPr>
                          <w:spacing w:before="90"/>
                          <w:ind w:left="80" w:right="0" w:firstLine="0"/>
                          <w:jc w:val="left"/>
                          <w:rPr>
                            <w:b/>
                            <w:color w:val="000000"/>
                            <w:sz w:val="17"/>
                          </w:rPr>
                        </w:pPr>
                        <w:r>
                          <w:rPr>
                            <w:b/>
                            <w:color w:val="FFFFFF"/>
                            <w:sz w:val="17"/>
                          </w:rPr>
                          <w:t>Subgroup</w:t>
                        </w:r>
                        <w:r>
                          <w:rPr>
                            <w:b/>
                            <w:color w:val="FFFFFF"/>
                            <w:spacing w:val="2"/>
                            <w:sz w:val="17"/>
                          </w:rPr>
                          <w:t> </w:t>
                        </w:r>
                        <w:r>
                          <w:rPr>
                            <w:b/>
                            <w:color w:val="FFFFFF"/>
                            <w:spacing w:val="-2"/>
                            <w:sz w:val="17"/>
                          </w:rPr>
                          <w:t>Scope</w:t>
                        </w:r>
                      </w:p>
                    </w:txbxContent>
                  </v:textbox>
                  <v:fill type="solid"/>
                  <v:stroke dashstyle="solid"/>
                  <w10:wrap type="none"/>
                </v:shape>
                <w10:wrap type="none"/>
              </v:group>
            </w:pict>
          </mc:Fallback>
        </mc:AlternateContent>
      </w:r>
      <w:r>
        <w:rPr>
          <w:color w:val="001F5F"/>
        </w:rPr>
        <w:t>Subgroup</w:t>
      </w:r>
      <w:r>
        <w:rPr>
          <w:color w:val="001F5F"/>
          <w:spacing w:val="-5"/>
        </w:rPr>
        <w:t> </w:t>
      </w:r>
      <w:r>
        <w:rPr>
          <w:color w:val="001F5F"/>
          <w:spacing w:val="-4"/>
        </w:rPr>
        <w:t>Scope</w:t>
      </w:r>
    </w:p>
    <w:p>
      <w:pPr>
        <w:pStyle w:val="BodyText"/>
        <w:rPr>
          <w:b/>
          <w:sz w:val="20"/>
        </w:rPr>
      </w:pPr>
    </w:p>
    <w:p>
      <w:pPr>
        <w:pStyle w:val="BodyText"/>
        <w:spacing w:before="171"/>
        <w:rPr>
          <w:b/>
          <w:sz w:val="20"/>
        </w:rPr>
      </w:pPr>
    </w:p>
    <w:tbl>
      <w:tblPr>
        <w:tblW w:w="0" w:type="auto"/>
        <w:jc w:val="left"/>
        <w:tblInd w:w="18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0" w:type="dxa"/>
          <w:left w:w="0" w:type="dxa"/>
          <w:bottom w:w="0" w:type="dxa"/>
          <w:right w:w="0" w:type="dxa"/>
        </w:tblCellMar>
        <w:tblLook w:val="01E0"/>
      </w:tblPr>
      <w:tblGrid>
        <w:gridCol w:w="2231"/>
        <w:gridCol w:w="12694"/>
      </w:tblGrid>
      <w:tr>
        <w:trPr>
          <w:trHeight w:val="265" w:hRule="atLeast"/>
        </w:trPr>
        <w:tc>
          <w:tcPr>
            <w:tcW w:w="2231" w:type="dxa"/>
            <w:shd w:val="clear" w:color="auto" w:fill="1F4E79"/>
          </w:tcPr>
          <w:p>
            <w:pPr>
              <w:pStyle w:val="TableParagraph"/>
              <w:spacing w:before="20"/>
              <w:ind w:left="110"/>
              <w:rPr>
                <w:b/>
                <w:sz w:val="17"/>
              </w:rPr>
            </w:pPr>
            <w:r>
              <w:rPr>
                <w:b/>
                <w:color w:val="FFFFFF"/>
                <w:sz w:val="17"/>
              </w:rPr>
              <w:t>4P</w:t>
            </w:r>
            <w:r>
              <w:rPr>
                <w:b/>
                <w:color w:val="FFFFFF"/>
                <w:spacing w:val="-1"/>
                <w:sz w:val="17"/>
              </w:rPr>
              <w:t> </w:t>
            </w:r>
            <w:r>
              <w:rPr>
                <w:b/>
                <w:color w:val="FFFFFF"/>
                <w:spacing w:val="-4"/>
                <w:sz w:val="17"/>
              </w:rPr>
              <w:t>theme</w:t>
            </w:r>
          </w:p>
        </w:tc>
        <w:tc>
          <w:tcPr>
            <w:tcW w:w="12694" w:type="dxa"/>
            <w:shd w:val="clear" w:color="auto" w:fill="1F4E79"/>
          </w:tcPr>
          <w:p>
            <w:pPr>
              <w:pStyle w:val="TableParagraph"/>
              <w:spacing w:before="20"/>
              <w:ind w:left="110"/>
              <w:rPr>
                <w:b/>
                <w:sz w:val="17"/>
              </w:rPr>
            </w:pPr>
            <w:r>
              <w:rPr>
                <w:b/>
                <w:color w:val="FFFFFF"/>
                <w:sz w:val="17"/>
              </w:rPr>
              <w:t>Programme</w:t>
            </w:r>
            <w:r>
              <w:rPr>
                <w:b/>
                <w:color w:val="FFFFFF"/>
                <w:spacing w:val="-8"/>
                <w:sz w:val="17"/>
              </w:rPr>
              <w:t> </w:t>
            </w:r>
            <w:r>
              <w:rPr>
                <w:b/>
                <w:color w:val="FFFFFF"/>
                <w:sz w:val="17"/>
              </w:rPr>
              <w:t>/</w:t>
            </w:r>
            <w:r>
              <w:rPr>
                <w:b/>
                <w:color w:val="FFFFFF"/>
                <w:spacing w:val="-5"/>
                <w:sz w:val="17"/>
              </w:rPr>
              <w:t> </w:t>
            </w:r>
            <w:r>
              <w:rPr>
                <w:b/>
                <w:color w:val="FFFFFF"/>
                <w:sz w:val="17"/>
              </w:rPr>
              <w:t>initiative</w:t>
            </w:r>
            <w:r>
              <w:rPr>
                <w:b/>
                <w:color w:val="FFFFFF"/>
                <w:spacing w:val="-2"/>
                <w:sz w:val="17"/>
              </w:rPr>
              <w:t> coverage</w:t>
            </w:r>
          </w:p>
        </w:tc>
      </w:tr>
      <w:tr>
        <w:trPr>
          <w:trHeight w:val="490" w:hRule="atLeast"/>
        </w:trPr>
        <w:tc>
          <w:tcPr>
            <w:tcW w:w="2231" w:type="dxa"/>
          </w:tcPr>
          <w:p>
            <w:pPr>
              <w:pStyle w:val="TableParagraph"/>
              <w:spacing w:before="130"/>
              <w:ind w:left="110"/>
              <w:rPr>
                <w:sz w:val="17"/>
              </w:rPr>
            </w:pPr>
            <w:r>
              <w:rPr>
                <w:spacing w:val="-2"/>
                <w:sz w:val="17"/>
              </w:rPr>
              <w:t>People</w:t>
            </w:r>
          </w:p>
        </w:tc>
        <w:tc>
          <w:tcPr>
            <w:tcW w:w="12694" w:type="dxa"/>
          </w:tcPr>
          <w:p>
            <w:pPr>
              <w:pStyle w:val="TableParagraph"/>
              <w:spacing w:line="226" w:lineRule="exact"/>
              <w:ind w:left="110"/>
              <w:rPr>
                <w:sz w:val="17"/>
              </w:rPr>
            </w:pPr>
            <w:r>
              <w:rPr>
                <w:sz w:val="17"/>
              </w:rPr>
              <w:t>Workforce</w:t>
            </w:r>
            <w:r>
              <w:rPr>
                <w:spacing w:val="-2"/>
                <w:sz w:val="17"/>
              </w:rPr>
              <w:t> </w:t>
            </w:r>
            <w:r>
              <w:rPr>
                <w:sz w:val="17"/>
              </w:rPr>
              <w:t>development</w:t>
            </w:r>
            <w:r>
              <w:rPr>
                <w:spacing w:val="-5"/>
                <w:sz w:val="17"/>
              </w:rPr>
              <w:t> </w:t>
            </w:r>
            <w:r>
              <w:rPr>
                <w:sz w:val="17"/>
              </w:rPr>
              <w:t>aligned</w:t>
            </w:r>
            <w:r>
              <w:rPr>
                <w:spacing w:val="-2"/>
                <w:sz w:val="17"/>
              </w:rPr>
              <w:t> </w:t>
            </w:r>
            <w:r>
              <w:rPr>
                <w:sz w:val="17"/>
              </w:rPr>
              <w:t>to</w:t>
            </w:r>
            <w:r>
              <w:rPr>
                <w:spacing w:val="-2"/>
                <w:sz w:val="17"/>
              </w:rPr>
              <w:t> </w:t>
            </w:r>
            <w:r>
              <w:rPr>
                <w:sz w:val="17"/>
              </w:rPr>
              <w:t>current and</w:t>
            </w:r>
            <w:r>
              <w:rPr>
                <w:spacing w:val="-2"/>
                <w:sz w:val="17"/>
              </w:rPr>
              <w:t> </w:t>
            </w:r>
            <w:r>
              <w:rPr>
                <w:sz w:val="17"/>
              </w:rPr>
              <w:t>future</w:t>
            </w:r>
            <w:r>
              <w:rPr>
                <w:spacing w:val="-2"/>
                <w:sz w:val="17"/>
              </w:rPr>
              <w:t> </w:t>
            </w:r>
            <w:r>
              <w:rPr>
                <w:sz w:val="17"/>
              </w:rPr>
              <w:t>population</w:t>
            </w:r>
            <w:r>
              <w:rPr>
                <w:spacing w:val="-2"/>
                <w:sz w:val="17"/>
              </w:rPr>
              <w:t> </w:t>
            </w:r>
            <w:r>
              <w:rPr>
                <w:sz w:val="17"/>
              </w:rPr>
              <w:t>need,</w:t>
            </w:r>
            <w:r>
              <w:rPr>
                <w:spacing w:val="-5"/>
                <w:sz w:val="17"/>
              </w:rPr>
              <w:t> </w:t>
            </w:r>
            <w:r>
              <w:rPr>
                <w:sz w:val="17"/>
              </w:rPr>
              <w:t>local</w:t>
            </w:r>
            <w:r>
              <w:rPr>
                <w:spacing w:val="-1"/>
                <w:sz w:val="17"/>
              </w:rPr>
              <w:t> </w:t>
            </w:r>
            <w:r>
              <w:rPr>
                <w:sz w:val="17"/>
              </w:rPr>
              <w:t>pathways</w:t>
            </w:r>
            <w:r>
              <w:rPr>
                <w:spacing w:val="-2"/>
                <w:sz w:val="17"/>
              </w:rPr>
              <w:t> </w:t>
            </w:r>
            <w:r>
              <w:rPr>
                <w:sz w:val="17"/>
              </w:rPr>
              <w:t>to</w:t>
            </w:r>
            <w:r>
              <w:rPr>
                <w:spacing w:val="-2"/>
                <w:sz w:val="17"/>
              </w:rPr>
              <w:t> </w:t>
            </w:r>
            <w:r>
              <w:rPr>
                <w:sz w:val="17"/>
              </w:rPr>
              <w:t>health</w:t>
            </w:r>
            <w:r>
              <w:rPr>
                <w:spacing w:val="-2"/>
                <w:sz w:val="17"/>
              </w:rPr>
              <w:t> </w:t>
            </w:r>
            <w:r>
              <w:rPr>
                <w:sz w:val="17"/>
              </w:rPr>
              <w:t>and</w:t>
            </w:r>
            <w:r>
              <w:rPr>
                <w:spacing w:val="-2"/>
                <w:sz w:val="17"/>
              </w:rPr>
              <w:t> </w:t>
            </w:r>
            <w:r>
              <w:rPr>
                <w:sz w:val="17"/>
              </w:rPr>
              <w:t>social care</w:t>
            </w:r>
            <w:r>
              <w:rPr>
                <w:spacing w:val="-2"/>
                <w:sz w:val="17"/>
              </w:rPr>
              <w:t> </w:t>
            </w:r>
            <w:r>
              <w:rPr>
                <w:sz w:val="17"/>
              </w:rPr>
              <w:t>employment,</w:t>
            </w:r>
            <w:r>
              <w:rPr>
                <w:spacing w:val="-5"/>
                <w:sz w:val="17"/>
              </w:rPr>
              <w:t> </w:t>
            </w:r>
            <w:r>
              <w:rPr>
                <w:sz w:val="17"/>
              </w:rPr>
              <w:t>schools/colleges,</w:t>
            </w:r>
            <w:r>
              <w:rPr>
                <w:spacing w:val="-4"/>
                <w:sz w:val="17"/>
              </w:rPr>
              <w:t> </w:t>
            </w:r>
            <w:r>
              <w:rPr>
                <w:sz w:val="17"/>
              </w:rPr>
              <w:t>FE/HE</w:t>
            </w:r>
            <w:r>
              <w:rPr>
                <w:spacing w:val="-1"/>
                <w:sz w:val="17"/>
              </w:rPr>
              <w:t> </w:t>
            </w:r>
            <w:r>
              <w:rPr>
                <w:sz w:val="17"/>
              </w:rPr>
              <w:t>links, apprenticeships, anchor responsibilities and the People chapter of the long-term plan.</w:t>
            </w:r>
          </w:p>
        </w:tc>
      </w:tr>
      <w:tr>
        <w:trPr>
          <w:trHeight w:val="490" w:hRule="atLeast"/>
        </w:trPr>
        <w:tc>
          <w:tcPr>
            <w:tcW w:w="2231" w:type="dxa"/>
            <w:shd w:val="clear" w:color="auto" w:fill="F3F7FA"/>
          </w:tcPr>
          <w:p>
            <w:pPr>
              <w:pStyle w:val="TableParagraph"/>
              <w:spacing w:before="131"/>
              <w:ind w:left="110"/>
              <w:rPr>
                <w:sz w:val="17"/>
              </w:rPr>
            </w:pPr>
            <w:r>
              <w:rPr>
                <w:spacing w:val="-2"/>
                <w:sz w:val="17"/>
              </w:rPr>
              <w:t>Place</w:t>
            </w:r>
          </w:p>
        </w:tc>
        <w:tc>
          <w:tcPr>
            <w:tcW w:w="12694" w:type="dxa"/>
            <w:shd w:val="clear" w:color="auto" w:fill="F3F7FA"/>
          </w:tcPr>
          <w:p>
            <w:pPr>
              <w:pStyle w:val="TableParagraph"/>
              <w:spacing w:line="276" w:lineRule="auto" w:before="20"/>
              <w:ind w:left="110"/>
              <w:rPr>
                <w:sz w:val="17"/>
              </w:rPr>
            </w:pPr>
            <w:r>
              <w:rPr>
                <w:sz w:val="17"/>
              </w:rPr>
              <w:t>Warm</w:t>
            </w:r>
            <w:r>
              <w:rPr>
                <w:spacing w:val="-4"/>
                <w:sz w:val="17"/>
              </w:rPr>
              <w:t> </w:t>
            </w:r>
            <w:r>
              <w:rPr>
                <w:sz w:val="17"/>
              </w:rPr>
              <w:t>and</w:t>
            </w:r>
            <w:r>
              <w:rPr>
                <w:spacing w:val="-2"/>
                <w:sz w:val="17"/>
              </w:rPr>
              <w:t> </w:t>
            </w:r>
            <w:r>
              <w:rPr>
                <w:sz w:val="17"/>
              </w:rPr>
              <w:t>Healthy</w:t>
            </w:r>
            <w:r>
              <w:rPr>
                <w:spacing w:val="-2"/>
                <w:sz w:val="17"/>
              </w:rPr>
              <w:t> </w:t>
            </w:r>
            <w:r>
              <w:rPr>
                <w:sz w:val="17"/>
              </w:rPr>
              <w:t>Homes, Welsh</w:t>
            </w:r>
            <w:r>
              <w:rPr>
                <w:spacing w:val="-2"/>
                <w:sz w:val="17"/>
              </w:rPr>
              <w:t> </w:t>
            </w:r>
            <w:r>
              <w:rPr>
                <w:sz w:val="17"/>
              </w:rPr>
              <w:t>Veg</w:t>
            </w:r>
            <w:r>
              <w:rPr>
                <w:spacing w:val="-2"/>
                <w:sz w:val="17"/>
              </w:rPr>
              <w:t> </w:t>
            </w:r>
            <w:r>
              <w:rPr>
                <w:sz w:val="17"/>
              </w:rPr>
              <w:t>in</w:t>
            </w:r>
            <w:r>
              <w:rPr>
                <w:spacing w:val="-2"/>
                <w:sz w:val="17"/>
              </w:rPr>
              <w:t> </w:t>
            </w:r>
            <w:r>
              <w:rPr>
                <w:sz w:val="17"/>
              </w:rPr>
              <w:t>Schools,</w:t>
            </w:r>
            <w:r>
              <w:rPr>
                <w:spacing w:val="-5"/>
                <w:sz w:val="17"/>
              </w:rPr>
              <w:t> </w:t>
            </w:r>
            <w:r>
              <w:rPr>
                <w:sz w:val="17"/>
              </w:rPr>
              <w:t>Local Development</w:t>
            </w:r>
            <w:r>
              <w:rPr>
                <w:spacing w:val="-5"/>
                <w:sz w:val="17"/>
              </w:rPr>
              <w:t> </w:t>
            </w:r>
            <w:r>
              <w:rPr>
                <w:sz w:val="17"/>
              </w:rPr>
              <w:t>Plan</w:t>
            </w:r>
            <w:r>
              <w:rPr>
                <w:spacing w:val="-2"/>
                <w:sz w:val="17"/>
              </w:rPr>
              <w:t> </w:t>
            </w:r>
            <w:r>
              <w:rPr>
                <w:sz w:val="17"/>
              </w:rPr>
              <w:t>/</w:t>
            </w:r>
            <w:r>
              <w:rPr>
                <w:spacing w:val="-5"/>
                <w:sz w:val="17"/>
              </w:rPr>
              <w:t> </w:t>
            </w:r>
            <w:r>
              <w:rPr>
                <w:sz w:val="17"/>
              </w:rPr>
              <w:t>place</w:t>
            </w:r>
            <w:r>
              <w:rPr>
                <w:spacing w:val="-2"/>
                <w:sz w:val="17"/>
              </w:rPr>
              <w:t> </w:t>
            </w:r>
            <w:r>
              <w:rPr>
                <w:sz w:val="17"/>
              </w:rPr>
              <w:t>engagement, Pride</w:t>
            </w:r>
            <w:r>
              <w:rPr>
                <w:spacing w:val="-2"/>
                <w:sz w:val="17"/>
              </w:rPr>
              <w:t> </w:t>
            </w:r>
            <w:r>
              <w:rPr>
                <w:sz w:val="17"/>
              </w:rPr>
              <w:t>in</w:t>
            </w:r>
            <w:r>
              <w:rPr>
                <w:spacing w:val="-2"/>
                <w:sz w:val="17"/>
              </w:rPr>
              <w:t> </w:t>
            </w:r>
            <w:r>
              <w:rPr>
                <w:sz w:val="17"/>
              </w:rPr>
              <w:t>Place</w:t>
            </w:r>
            <w:r>
              <w:rPr>
                <w:spacing w:val="-2"/>
                <w:sz w:val="17"/>
              </w:rPr>
              <w:t> </w:t>
            </w:r>
            <w:r>
              <w:rPr>
                <w:sz w:val="17"/>
              </w:rPr>
              <w:t>opportunities,</w:t>
            </w:r>
            <w:r>
              <w:rPr>
                <w:spacing w:val="-4"/>
                <w:sz w:val="17"/>
              </w:rPr>
              <w:t> </w:t>
            </w:r>
            <w:r>
              <w:rPr>
                <w:sz w:val="17"/>
              </w:rPr>
              <w:t>housing</w:t>
            </w:r>
            <w:r>
              <w:rPr>
                <w:spacing w:val="-2"/>
                <w:sz w:val="17"/>
              </w:rPr>
              <w:t> </w:t>
            </w:r>
            <w:r>
              <w:rPr>
                <w:sz w:val="17"/>
              </w:rPr>
              <w:t>quality,</w:t>
            </w:r>
            <w:r>
              <w:rPr>
                <w:spacing w:val="-5"/>
                <w:sz w:val="17"/>
              </w:rPr>
              <w:t> </w:t>
            </w:r>
            <w:r>
              <w:rPr>
                <w:sz w:val="17"/>
              </w:rPr>
              <w:t>community</w:t>
            </w:r>
            <w:r>
              <w:rPr>
                <w:spacing w:val="-3"/>
                <w:sz w:val="17"/>
              </w:rPr>
              <w:t> </w:t>
            </w:r>
            <w:r>
              <w:rPr>
                <w:sz w:val="17"/>
              </w:rPr>
              <w:t>assets, climate resilience and local wider determinants.</w:t>
            </w:r>
          </w:p>
        </w:tc>
      </w:tr>
      <w:tr>
        <w:trPr>
          <w:trHeight w:val="490" w:hRule="atLeast"/>
        </w:trPr>
        <w:tc>
          <w:tcPr>
            <w:tcW w:w="2231" w:type="dxa"/>
          </w:tcPr>
          <w:p>
            <w:pPr>
              <w:pStyle w:val="TableParagraph"/>
              <w:spacing w:line="226" w:lineRule="exact"/>
              <w:ind w:left="110" w:right="619"/>
              <w:rPr>
                <w:sz w:val="17"/>
              </w:rPr>
            </w:pPr>
            <w:r>
              <w:rPr>
                <w:sz w:val="17"/>
              </w:rPr>
              <w:t>Procurement / Preventative</w:t>
            </w:r>
            <w:r>
              <w:rPr>
                <w:spacing w:val="-12"/>
                <w:sz w:val="17"/>
              </w:rPr>
              <w:t> </w:t>
            </w:r>
            <w:r>
              <w:rPr>
                <w:sz w:val="17"/>
              </w:rPr>
              <w:t>Spend</w:t>
            </w:r>
          </w:p>
        </w:tc>
        <w:tc>
          <w:tcPr>
            <w:tcW w:w="12694" w:type="dxa"/>
          </w:tcPr>
          <w:p>
            <w:pPr>
              <w:pStyle w:val="TableParagraph"/>
              <w:spacing w:line="226" w:lineRule="exact"/>
              <w:ind w:left="110" w:right="192"/>
              <w:rPr>
                <w:sz w:val="17"/>
              </w:rPr>
            </w:pPr>
            <w:r>
              <w:rPr>
                <w:sz w:val="17"/>
              </w:rPr>
              <w:t>Public</w:t>
            </w:r>
            <w:r>
              <w:rPr>
                <w:spacing w:val="-3"/>
                <w:sz w:val="17"/>
              </w:rPr>
              <w:t> </w:t>
            </w:r>
            <w:r>
              <w:rPr>
                <w:sz w:val="17"/>
              </w:rPr>
              <w:t>sector</w:t>
            </w:r>
            <w:r>
              <w:rPr>
                <w:spacing w:val="-4"/>
                <w:sz w:val="17"/>
              </w:rPr>
              <w:t> </w:t>
            </w:r>
            <w:r>
              <w:rPr>
                <w:sz w:val="17"/>
              </w:rPr>
              <w:t>food</w:t>
            </w:r>
            <w:r>
              <w:rPr>
                <w:spacing w:val="-2"/>
                <w:sz w:val="17"/>
              </w:rPr>
              <w:t> </w:t>
            </w:r>
            <w:r>
              <w:rPr>
                <w:sz w:val="17"/>
              </w:rPr>
              <w:t>procurement,</w:t>
            </w:r>
            <w:r>
              <w:rPr>
                <w:spacing w:val="-5"/>
                <w:sz w:val="17"/>
              </w:rPr>
              <w:t> </w:t>
            </w:r>
            <w:r>
              <w:rPr>
                <w:sz w:val="17"/>
              </w:rPr>
              <w:t>Health</w:t>
            </w:r>
            <w:r>
              <w:rPr>
                <w:spacing w:val="-2"/>
                <w:sz w:val="17"/>
              </w:rPr>
              <w:t> </w:t>
            </w:r>
            <w:r>
              <w:rPr>
                <w:sz w:val="17"/>
              </w:rPr>
              <w:t>Anchors</w:t>
            </w:r>
            <w:r>
              <w:rPr>
                <w:spacing w:val="-3"/>
                <w:sz w:val="17"/>
              </w:rPr>
              <w:t> </w:t>
            </w:r>
            <w:r>
              <w:rPr>
                <w:sz w:val="17"/>
              </w:rPr>
              <w:t>Learning</w:t>
            </w:r>
            <w:r>
              <w:rPr>
                <w:spacing w:val="-2"/>
                <w:sz w:val="17"/>
              </w:rPr>
              <w:t> </w:t>
            </w:r>
            <w:r>
              <w:rPr>
                <w:sz w:val="17"/>
              </w:rPr>
              <w:t>Network, regional procurement</w:t>
            </w:r>
            <w:r>
              <w:rPr>
                <w:spacing w:val="-5"/>
                <w:sz w:val="17"/>
              </w:rPr>
              <w:t> </w:t>
            </w:r>
            <w:r>
              <w:rPr>
                <w:sz w:val="17"/>
              </w:rPr>
              <w:t>workshop,</w:t>
            </w:r>
            <w:r>
              <w:rPr>
                <w:spacing w:val="-4"/>
                <w:sz w:val="17"/>
              </w:rPr>
              <w:t> </w:t>
            </w:r>
            <w:r>
              <w:rPr>
                <w:sz w:val="17"/>
              </w:rPr>
              <w:t>prevention</w:t>
            </w:r>
            <w:r>
              <w:rPr>
                <w:spacing w:val="-2"/>
                <w:sz w:val="17"/>
              </w:rPr>
              <w:t> </w:t>
            </w:r>
            <w:r>
              <w:rPr>
                <w:sz w:val="17"/>
              </w:rPr>
              <w:t>spend</w:t>
            </w:r>
            <w:r>
              <w:rPr>
                <w:spacing w:val="-2"/>
                <w:sz w:val="17"/>
              </w:rPr>
              <w:t> </w:t>
            </w:r>
            <w:r>
              <w:rPr>
                <w:sz w:val="17"/>
              </w:rPr>
              <w:t>baseline</w:t>
            </w:r>
            <w:r>
              <w:rPr>
                <w:spacing w:val="-2"/>
                <w:sz w:val="17"/>
              </w:rPr>
              <w:t> </w:t>
            </w:r>
            <w:r>
              <w:rPr>
                <w:sz w:val="17"/>
              </w:rPr>
              <w:t>mapping,</w:t>
            </w:r>
            <w:r>
              <w:rPr>
                <w:spacing w:val="-4"/>
                <w:sz w:val="17"/>
              </w:rPr>
              <w:t> </w:t>
            </w:r>
            <w:r>
              <w:rPr>
                <w:sz w:val="17"/>
              </w:rPr>
              <w:t>value-based</w:t>
            </w:r>
            <w:r>
              <w:rPr>
                <w:spacing w:val="-2"/>
                <w:sz w:val="17"/>
              </w:rPr>
              <w:t> </w:t>
            </w:r>
            <w:r>
              <w:rPr>
                <w:sz w:val="17"/>
              </w:rPr>
              <w:t>healthcare, health economics and use of procurement as a policy lever for local economic and health improvement.</w:t>
            </w:r>
          </w:p>
        </w:tc>
      </w:tr>
      <w:tr>
        <w:trPr>
          <w:trHeight w:val="490" w:hRule="atLeast"/>
        </w:trPr>
        <w:tc>
          <w:tcPr>
            <w:tcW w:w="2231" w:type="dxa"/>
            <w:shd w:val="clear" w:color="auto" w:fill="F3F7FA"/>
          </w:tcPr>
          <w:p>
            <w:pPr>
              <w:pStyle w:val="TableParagraph"/>
              <w:spacing w:before="130"/>
              <w:ind w:left="110"/>
              <w:rPr>
                <w:sz w:val="17"/>
              </w:rPr>
            </w:pPr>
            <w:r>
              <w:rPr>
                <w:spacing w:val="-2"/>
                <w:sz w:val="17"/>
              </w:rPr>
              <w:t>Partnerships</w:t>
            </w:r>
          </w:p>
        </w:tc>
        <w:tc>
          <w:tcPr>
            <w:tcW w:w="12694" w:type="dxa"/>
            <w:shd w:val="clear" w:color="auto" w:fill="F3F7FA"/>
          </w:tcPr>
          <w:p>
            <w:pPr>
              <w:pStyle w:val="TableParagraph"/>
              <w:spacing w:line="276" w:lineRule="auto" w:before="20"/>
              <w:ind w:left="110" w:right="192"/>
              <w:rPr>
                <w:sz w:val="17"/>
              </w:rPr>
            </w:pPr>
            <w:r>
              <w:rPr>
                <w:sz w:val="17"/>
              </w:rPr>
              <w:t>Health</w:t>
            </w:r>
            <w:r>
              <w:rPr>
                <w:spacing w:val="-2"/>
                <w:sz w:val="17"/>
              </w:rPr>
              <w:t> </w:t>
            </w:r>
            <w:r>
              <w:rPr>
                <w:sz w:val="17"/>
              </w:rPr>
              <w:t>Intelligence,</w:t>
            </w:r>
            <w:r>
              <w:rPr>
                <w:spacing w:val="-5"/>
                <w:sz w:val="17"/>
              </w:rPr>
              <w:t> </w:t>
            </w:r>
            <w:r>
              <w:rPr>
                <w:sz w:val="17"/>
              </w:rPr>
              <w:t>Health</w:t>
            </w:r>
            <w:r>
              <w:rPr>
                <w:spacing w:val="-2"/>
                <w:sz w:val="17"/>
              </w:rPr>
              <w:t> </w:t>
            </w:r>
            <w:r>
              <w:rPr>
                <w:sz w:val="17"/>
              </w:rPr>
              <w:t>Inequalities,</w:t>
            </w:r>
            <w:r>
              <w:rPr>
                <w:spacing w:val="-4"/>
                <w:sz w:val="17"/>
              </w:rPr>
              <w:t> </w:t>
            </w:r>
            <w:r>
              <w:rPr>
                <w:sz w:val="17"/>
              </w:rPr>
              <w:t>PHW</w:t>
            </w:r>
            <w:r>
              <w:rPr>
                <w:spacing w:val="-3"/>
                <w:sz w:val="17"/>
              </w:rPr>
              <w:t> </w:t>
            </w:r>
            <w:r>
              <w:rPr>
                <w:sz w:val="17"/>
              </w:rPr>
              <w:t>support,</w:t>
            </w:r>
            <w:r>
              <w:rPr>
                <w:spacing w:val="-5"/>
                <w:sz w:val="17"/>
              </w:rPr>
              <w:t> </w:t>
            </w:r>
            <w:r>
              <w:rPr>
                <w:sz w:val="17"/>
              </w:rPr>
              <w:t>PSBs,</w:t>
            </w:r>
            <w:r>
              <w:rPr>
                <w:spacing w:val="-5"/>
                <w:sz w:val="17"/>
              </w:rPr>
              <w:t> </w:t>
            </w:r>
            <w:r>
              <w:rPr>
                <w:sz w:val="17"/>
              </w:rPr>
              <w:t>FGCO,</w:t>
            </w:r>
            <w:r>
              <w:rPr>
                <w:spacing w:val="-5"/>
                <w:sz w:val="17"/>
              </w:rPr>
              <w:t> </w:t>
            </w:r>
            <w:r>
              <w:rPr>
                <w:sz w:val="17"/>
              </w:rPr>
              <w:t>WHO /</w:t>
            </w:r>
            <w:r>
              <w:rPr>
                <w:spacing w:val="-5"/>
                <w:sz w:val="17"/>
              </w:rPr>
              <w:t> </w:t>
            </w:r>
            <w:r>
              <w:rPr>
                <w:sz w:val="17"/>
              </w:rPr>
              <w:t>international learning,</w:t>
            </w:r>
            <w:r>
              <w:rPr>
                <w:spacing w:val="-5"/>
                <w:sz w:val="17"/>
              </w:rPr>
              <w:t> </w:t>
            </w:r>
            <w:r>
              <w:rPr>
                <w:sz w:val="17"/>
              </w:rPr>
              <w:t>cross-subgroup</w:t>
            </w:r>
            <w:r>
              <w:rPr>
                <w:spacing w:val="-2"/>
                <w:sz w:val="17"/>
              </w:rPr>
              <w:t> </w:t>
            </w:r>
            <w:r>
              <w:rPr>
                <w:sz w:val="17"/>
              </w:rPr>
              <w:t>collaboration</w:t>
            </w:r>
            <w:r>
              <w:rPr>
                <w:spacing w:val="-2"/>
                <w:sz w:val="17"/>
              </w:rPr>
              <w:t> </w:t>
            </w:r>
            <w:r>
              <w:rPr>
                <w:sz w:val="17"/>
              </w:rPr>
              <w:t>and</w:t>
            </w:r>
            <w:r>
              <w:rPr>
                <w:spacing w:val="-2"/>
                <w:sz w:val="17"/>
              </w:rPr>
              <w:t> </w:t>
            </w:r>
            <w:r>
              <w:rPr>
                <w:sz w:val="17"/>
              </w:rPr>
              <w:t>stakeholder</w:t>
            </w:r>
            <w:r>
              <w:rPr>
                <w:spacing w:val="-4"/>
                <w:sz w:val="17"/>
              </w:rPr>
              <w:t> </w:t>
            </w:r>
            <w:r>
              <w:rPr>
                <w:sz w:val="17"/>
              </w:rPr>
              <w:t>engagement</w:t>
            </w:r>
            <w:r>
              <w:rPr>
                <w:spacing w:val="-5"/>
                <w:sz w:val="17"/>
              </w:rPr>
              <w:t> </w:t>
            </w:r>
            <w:r>
              <w:rPr>
                <w:sz w:val="17"/>
              </w:rPr>
              <w:t>for the long-term RHE Strategic Plan.</w:t>
            </w:r>
          </w:p>
        </w:tc>
      </w:tr>
    </w:tbl>
    <w:p>
      <w:pPr>
        <w:pStyle w:val="Heading8"/>
        <w:numPr>
          <w:ilvl w:val="0"/>
          <w:numId w:val="28"/>
        </w:numPr>
        <w:tabs>
          <w:tab w:pos="367" w:val="left" w:leader="none"/>
        </w:tabs>
        <w:spacing w:line="240" w:lineRule="auto" w:before="267" w:after="0"/>
        <w:ind w:left="367" w:right="0" w:hanging="284"/>
        <w:jc w:val="left"/>
      </w:pPr>
      <w:r>
        <w:rPr>
          <w:color w:val="001F5F"/>
        </w:rPr>
        <w:t>Ambition</w:t>
      </w:r>
      <w:r>
        <w:rPr>
          <w:color w:val="001F5F"/>
          <w:spacing w:val="-5"/>
        </w:rPr>
        <w:t> </w:t>
      </w:r>
      <w:r>
        <w:rPr>
          <w:color w:val="001F5F"/>
          <w:spacing w:val="-2"/>
        </w:rPr>
        <w:t>Statement(s)</w:t>
      </w:r>
    </w:p>
    <w:p>
      <w:pPr>
        <w:pStyle w:val="BodyText"/>
        <w:spacing w:before="5"/>
        <w:rPr>
          <w:b/>
          <w:sz w:val="10"/>
        </w:rPr>
      </w:pPr>
    </w:p>
    <w:tbl>
      <w:tblPr>
        <w:tblW w:w="0" w:type="auto"/>
        <w:jc w:val="left"/>
        <w:tblInd w:w="8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5540"/>
      </w:tblGrid>
      <w:tr>
        <w:trPr>
          <w:trHeight w:val="385" w:hRule="atLeast"/>
        </w:trPr>
        <w:tc>
          <w:tcPr>
            <w:tcW w:w="15540" w:type="dxa"/>
            <w:shd w:val="clear" w:color="auto" w:fill="1F4E79"/>
          </w:tcPr>
          <w:p>
            <w:pPr>
              <w:pStyle w:val="TableParagraph"/>
              <w:spacing w:before="90"/>
              <w:ind w:left="92"/>
              <w:rPr>
                <w:b/>
                <w:sz w:val="17"/>
              </w:rPr>
            </w:pPr>
            <w:r>
              <w:rPr>
                <w:b/>
                <w:color w:val="FFFFFF"/>
                <w:sz w:val="17"/>
              </w:rPr>
              <w:t>Ambition</w:t>
            </w:r>
            <w:r>
              <w:rPr>
                <w:b/>
                <w:color w:val="FFFFFF"/>
                <w:spacing w:val="-8"/>
                <w:sz w:val="17"/>
              </w:rPr>
              <w:t> </w:t>
            </w:r>
            <w:r>
              <w:rPr>
                <w:b/>
                <w:color w:val="FFFFFF"/>
                <w:spacing w:val="-2"/>
                <w:sz w:val="17"/>
              </w:rPr>
              <w:t>Statement(s)</w:t>
            </w:r>
          </w:p>
        </w:tc>
      </w:tr>
      <w:tr>
        <w:trPr>
          <w:trHeight w:val="800" w:hRule="atLeast"/>
        </w:trPr>
        <w:tc>
          <w:tcPr>
            <w:tcW w:w="15540" w:type="dxa"/>
          </w:tcPr>
          <w:p>
            <w:pPr>
              <w:pStyle w:val="TableParagraph"/>
              <w:spacing w:line="252" w:lineRule="auto" w:before="91"/>
              <w:ind w:left="92" w:right="344"/>
              <w:jc w:val="both"/>
              <w:rPr>
                <w:sz w:val="17"/>
              </w:rPr>
            </w:pPr>
            <w:r>
              <w:rPr>
                <w:sz w:val="17"/>
              </w:rPr>
              <w:t>The</w:t>
            </w:r>
            <w:r>
              <w:rPr>
                <w:spacing w:val="-2"/>
                <w:sz w:val="17"/>
              </w:rPr>
              <w:t> </w:t>
            </w:r>
            <w:r>
              <w:rPr>
                <w:sz w:val="17"/>
              </w:rPr>
              <w:t>Regional</w:t>
            </w:r>
            <w:r>
              <w:rPr>
                <w:spacing w:val="-1"/>
                <w:sz w:val="17"/>
              </w:rPr>
              <w:t> </w:t>
            </w:r>
            <w:r>
              <w:rPr>
                <w:sz w:val="17"/>
              </w:rPr>
              <w:t>Health</w:t>
            </w:r>
            <w:r>
              <w:rPr>
                <w:spacing w:val="-2"/>
                <w:sz w:val="17"/>
              </w:rPr>
              <w:t> </w:t>
            </w:r>
            <w:r>
              <w:rPr>
                <w:sz w:val="17"/>
              </w:rPr>
              <w:t>Economy</w:t>
            </w:r>
            <w:r>
              <w:rPr>
                <w:spacing w:val="-3"/>
                <w:sz w:val="17"/>
              </w:rPr>
              <w:t> </w:t>
            </w:r>
            <w:r>
              <w:rPr>
                <w:sz w:val="17"/>
              </w:rPr>
              <w:t>Programme</w:t>
            </w:r>
            <w:r>
              <w:rPr>
                <w:spacing w:val="-2"/>
                <w:sz w:val="17"/>
              </w:rPr>
              <w:t> </w:t>
            </w:r>
            <w:r>
              <w:rPr>
                <w:sz w:val="17"/>
              </w:rPr>
              <w:t>aspires</w:t>
            </w:r>
            <w:r>
              <w:rPr>
                <w:spacing w:val="-2"/>
                <w:sz w:val="17"/>
              </w:rPr>
              <w:t> </w:t>
            </w:r>
            <w:r>
              <w:rPr>
                <w:sz w:val="17"/>
              </w:rPr>
              <w:t>to</w:t>
            </w:r>
            <w:r>
              <w:rPr>
                <w:spacing w:val="-2"/>
                <w:sz w:val="17"/>
              </w:rPr>
              <w:t> </w:t>
            </w:r>
            <w:r>
              <w:rPr>
                <w:sz w:val="17"/>
              </w:rPr>
              <w:t>create</w:t>
            </w:r>
            <w:r>
              <w:rPr>
                <w:spacing w:val="-2"/>
                <w:sz w:val="17"/>
              </w:rPr>
              <w:t> </w:t>
            </w:r>
            <w:r>
              <w:rPr>
                <w:sz w:val="17"/>
              </w:rPr>
              <w:t>a thriving,</w:t>
            </w:r>
            <w:r>
              <w:rPr>
                <w:spacing w:val="-5"/>
                <w:sz w:val="17"/>
              </w:rPr>
              <w:t> </w:t>
            </w:r>
            <w:r>
              <w:rPr>
                <w:sz w:val="17"/>
              </w:rPr>
              <w:t>equitable</w:t>
            </w:r>
            <w:r>
              <w:rPr>
                <w:spacing w:val="-2"/>
                <w:sz w:val="17"/>
              </w:rPr>
              <w:t> </w:t>
            </w:r>
            <w:r>
              <w:rPr>
                <w:sz w:val="17"/>
              </w:rPr>
              <w:t>health</w:t>
            </w:r>
            <w:r>
              <w:rPr>
                <w:spacing w:val="-2"/>
                <w:sz w:val="17"/>
              </w:rPr>
              <w:t> </w:t>
            </w:r>
            <w:r>
              <w:rPr>
                <w:sz w:val="17"/>
              </w:rPr>
              <w:t>economy</w:t>
            </w:r>
            <w:r>
              <w:rPr>
                <w:spacing w:val="-3"/>
                <w:sz w:val="17"/>
              </w:rPr>
              <w:t> </w:t>
            </w:r>
            <w:r>
              <w:rPr>
                <w:sz w:val="17"/>
              </w:rPr>
              <w:t>that serves</w:t>
            </w:r>
            <w:r>
              <w:rPr>
                <w:spacing w:val="-2"/>
                <w:sz w:val="17"/>
              </w:rPr>
              <w:t> </w:t>
            </w:r>
            <w:r>
              <w:rPr>
                <w:sz w:val="17"/>
              </w:rPr>
              <w:t>almost</w:t>
            </w:r>
            <w:r>
              <w:rPr>
                <w:spacing w:val="-5"/>
                <w:sz w:val="17"/>
              </w:rPr>
              <w:t> </w:t>
            </w:r>
            <w:r>
              <w:rPr>
                <w:sz w:val="17"/>
              </w:rPr>
              <w:t>800,000</w:t>
            </w:r>
            <w:r>
              <w:rPr>
                <w:spacing w:val="-2"/>
                <w:sz w:val="17"/>
              </w:rPr>
              <w:t> </w:t>
            </w:r>
            <w:r>
              <w:rPr>
                <w:sz w:val="17"/>
              </w:rPr>
              <w:t>people</w:t>
            </w:r>
            <w:r>
              <w:rPr>
                <w:spacing w:val="-2"/>
                <w:sz w:val="17"/>
              </w:rPr>
              <w:t> </w:t>
            </w:r>
            <w:r>
              <w:rPr>
                <w:sz w:val="17"/>
              </w:rPr>
              <w:t>across</w:t>
            </w:r>
            <w:r>
              <w:rPr>
                <w:spacing w:val="-2"/>
                <w:sz w:val="17"/>
              </w:rPr>
              <w:t> </w:t>
            </w:r>
            <w:r>
              <w:rPr>
                <w:sz w:val="17"/>
              </w:rPr>
              <w:t>South</w:t>
            </w:r>
            <w:r>
              <w:rPr>
                <w:spacing w:val="-2"/>
                <w:sz w:val="17"/>
              </w:rPr>
              <w:t> </w:t>
            </w:r>
            <w:r>
              <w:rPr>
                <w:sz w:val="17"/>
              </w:rPr>
              <w:t>West Wales</w:t>
            </w:r>
            <w:r>
              <w:rPr>
                <w:spacing w:val="-2"/>
                <w:sz w:val="17"/>
              </w:rPr>
              <w:t> </w:t>
            </w:r>
            <w:r>
              <w:rPr>
                <w:sz w:val="17"/>
              </w:rPr>
              <w:t>by</w:t>
            </w:r>
            <w:r>
              <w:rPr>
                <w:spacing w:val="-2"/>
                <w:sz w:val="17"/>
              </w:rPr>
              <w:t> </w:t>
            </w:r>
            <w:r>
              <w:rPr>
                <w:sz w:val="17"/>
              </w:rPr>
              <w:t>aligning</w:t>
            </w:r>
            <w:r>
              <w:rPr>
                <w:spacing w:val="-2"/>
                <w:sz w:val="17"/>
              </w:rPr>
              <w:t> </w:t>
            </w:r>
            <w:r>
              <w:rPr>
                <w:sz w:val="17"/>
              </w:rPr>
              <w:t>strategies,</w:t>
            </w:r>
            <w:r>
              <w:rPr>
                <w:spacing w:val="-4"/>
                <w:sz w:val="17"/>
              </w:rPr>
              <w:t> </w:t>
            </w:r>
            <w:r>
              <w:rPr>
                <w:sz w:val="17"/>
              </w:rPr>
              <w:t>amplifying</w:t>
            </w:r>
            <w:r>
              <w:rPr>
                <w:spacing w:val="-2"/>
                <w:sz w:val="17"/>
              </w:rPr>
              <w:t> </w:t>
            </w:r>
            <w:r>
              <w:rPr>
                <w:sz w:val="17"/>
              </w:rPr>
              <w:t>existing efforts,</w:t>
            </w:r>
            <w:r>
              <w:rPr>
                <w:spacing w:val="-4"/>
                <w:sz w:val="17"/>
              </w:rPr>
              <w:t> </w:t>
            </w:r>
            <w:r>
              <w:rPr>
                <w:sz w:val="17"/>
              </w:rPr>
              <w:t>and accelerating</w:t>
            </w:r>
            <w:r>
              <w:rPr>
                <w:spacing w:val="-1"/>
                <w:sz w:val="17"/>
              </w:rPr>
              <w:t> </w:t>
            </w:r>
            <w:r>
              <w:rPr>
                <w:sz w:val="17"/>
              </w:rPr>
              <w:t>innovation.</w:t>
            </w:r>
            <w:r>
              <w:rPr>
                <w:spacing w:val="-4"/>
                <w:sz w:val="17"/>
              </w:rPr>
              <w:t> </w:t>
            </w:r>
            <w:r>
              <w:rPr>
                <w:sz w:val="17"/>
              </w:rPr>
              <w:t>Through</w:t>
            </w:r>
            <w:r>
              <w:rPr>
                <w:spacing w:val="-1"/>
                <w:sz w:val="17"/>
              </w:rPr>
              <w:t> </w:t>
            </w:r>
            <w:r>
              <w:rPr>
                <w:sz w:val="17"/>
              </w:rPr>
              <w:t>a</w:t>
            </w:r>
            <w:r>
              <w:rPr>
                <w:spacing w:val="-1"/>
                <w:sz w:val="17"/>
              </w:rPr>
              <w:t> </w:t>
            </w:r>
            <w:r>
              <w:rPr>
                <w:sz w:val="17"/>
              </w:rPr>
              <w:t>collaborative</w:t>
            </w:r>
            <w:r>
              <w:rPr>
                <w:spacing w:val="-1"/>
                <w:sz w:val="17"/>
              </w:rPr>
              <w:t> </w:t>
            </w:r>
            <w:r>
              <w:rPr>
                <w:sz w:val="17"/>
              </w:rPr>
              <w:t>population</w:t>
            </w:r>
            <w:r>
              <w:rPr>
                <w:spacing w:val="-1"/>
                <w:sz w:val="17"/>
              </w:rPr>
              <w:t> </w:t>
            </w:r>
            <w:r>
              <w:rPr>
                <w:sz w:val="17"/>
              </w:rPr>
              <w:t>health</w:t>
            </w:r>
            <w:r>
              <w:rPr>
                <w:spacing w:val="-1"/>
                <w:sz w:val="17"/>
              </w:rPr>
              <w:t> </w:t>
            </w:r>
            <w:r>
              <w:rPr>
                <w:sz w:val="17"/>
              </w:rPr>
              <w:t>approach</w:t>
            </w:r>
            <w:r>
              <w:rPr>
                <w:spacing w:val="-1"/>
                <w:sz w:val="17"/>
              </w:rPr>
              <w:t> </w:t>
            </w:r>
            <w:r>
              <w:rPr>
                <w:sz w:val="17"/>
              </w:rPr>
              <w:t>rooted</w:t>
            </w:r>
            <w:r>
              <w:rPr>
                <w:spacing w:val="-1"/>
                <w:sz w:val="17"/>
              </w:rPr>
              <w:t> </w:t>
            </w:r>
            <w:r>
              <w:rPr>
                <w:sz w:val="17"/>
              </w:rPr>
              <w:t>in</w:t>
            </w:r>
            <w:r>
              <w:rPr>
                <w:spacing w:val="-1"/>
                <w:sz w:val="17"/>
              </w:rPr>
              <w:t> </w:t>
            </w:r>
            <w:r>
              <w:rPr>
                <w:sz w:val="17"/>
              </w:rPr>
              <w:t>the Marmot</w:t>
            </w:r>
            <w:r>
              <w:rPr>
                <w:spacing w:val="-4"/>
                <w:sz w:val="17"/>
              </w:rPr>
              <w:t> </w:t>
            </w:r>
            <w:r>
              <w:rPr>
                <w:sz w:val="17"/>
              </w:rPr>
              <w:t>Principles</w:t>
            </w:r>
            <w:r>
              <w:rPr>
                <w:spacing w:val="-1"/>
                <w:sz w:val="17"/>
              </w:rPr>
              <w:t> </w:t>
            </w:r>
            <w:r>
              <w:rPr>
                <w:sz w:val="17"/>
              </w:rPr>
              <w:t>and Social Model for</w:t>
            </w:r>
            <w:r>
              <w:rPr>
                <w:spacing w:val="-3"/>
                <w:sz w:val="17"/>
              </w:rPr>
              <w:t> </w:t>
            </w:r>
            <w:r>
              <w:rPr>
                <w:sz w:val="17"/>
              </w:rPr>
              <w:t>Health</w:t>
            </w:r>
            <w:r>
              <w:rPr>
                <w:spacing w:val="-1"/>
                <w:sz w:val="17"/>
              </w:rPr>
              <w:t> </w:t>
            </w:r>
            <w:r>
              <w:rPr>
                <w:sz w:val="17"/>
              </w:rPr>
              <w:t>and</w:t>
            </w:r>
            <w:r>
              <w:rPr>
                <w:spacing w:val="-1"/>
                <w:sz w:val="17"/>
              </w:rPr>
              <w:t> </w:t>
            </w:r>
            <w:r>
              <w:rPr>
                <w:sz w:val="17"/>
              </w:rPr>
              <w:t>Wellbeing,</w:t>
            </w:r>
            <w:r>
              <w:rPr>
                <w:spacing w:val="-4"/>
                <w:sz w:val="17"/>
              </w:rPr>
              <w:t> </w:t>
            </w:r>
            <w:r>
              <w:rPr>
                <w:sz w:val="17"/>
              </w:rPr>
              <w:t>the</w:t>
            </w:r>
            <w:r>
              <w:rPr>
                <w:spacing w:val="-1"/>
                <w:sz w:val="17"/>
              </w:rPr>
              <w:t> </w:t>
            </w:r>
            <w:r>
              <w:rPr>
                <w:sz w:val="17"/>
              </w:rPr>
              <w:t>programme</w:t>
            </w:r>
            <w:r>
              <w:rPr>
                <w:spacing w:val="-1"/>
                <w:sz w:val="17"/>
              </w:rPr>
              <w:t> </w:t>
            </w:r>
            <w:r>
              <w:rPr>
                <w:sz w:val="17"/>
              </w:rPr>
              <w:t>will scale</w:t>
            </w:r>
            <w:r>
              <w:rPr>
                <w:spacing w:val="-1"/>
                <w:sz w:val="17"/>
              </w:rPr>
              <w:t> </w:t>
            </w:r>
            <w:r>
              <w:rPr>
                <w:sz w:val="17"/>
              </w:rPr>
              <w:t>up</w:t>
            </w:r>
            <w:r>
              <w:rPr>
                <w:spacing w:val="-1"/>
                <w:sz w:val="17"/>
              </w:rPr>
              <w:t> </w:t>
            </w:r>
            <w:r>
              <w:rPr>
                <w:sz w:val="17"/>
              </w:rPr>
              <w:t>proven practice, foster regional learning, and drive sustainable systems change to maximise impact, investment and health equity across the region.</w:t>
            </w:r>
          </w:p>
        </w:tc>
      </w:tr>
    </w:tbl>
    <w:p>
      <w:pPr>
        <w:pStyle w:val="Heading8"/>
        <w:numPr>
          <w:ilvl w:val="0"/>
          <w:numId w:val="28"/>
        </w:numPr>
        <w:tabs>
          <w:tab w:pos="367" w:val="left" w:leader="none"/>
        </w:tabs>
        <w:spacing w:line="240" w:lineRule="auto" w:before="162" w:after="0"/>
        <w:ind w:left="367" w:right="0" w:hanging="284"/>
        <w:jc w:val="left"/>
      </w:pPr>
      <w:r>
        <w:rPr>
          <w:color w:val="001F5F"/>
        </w:rPr>
        <w:t>Objective</w:t>
      </w:r>
      <w:r>
        <w:rPr>
          <w:color w:val="001F5F"/>
          <w:spacing w:val="-3"/>
        </w:rPr>
        <w:t> </w:t>
      </w:r>
      <w:r>
        <w:rPr>
          <w:color w:val="001F5F"/>
        </w:rPr>
        <w:t>/</w:t>
      </w:r>
      <w:r>
        <w:rPr>
          <w:color w:val="001F5F"/>
          <w:spacing w:val="-4"/>
        </w:rPr>
        <w:t> </w:t>
      </w:r>
      <w:r>
        <w:rPr>
          <w:color w:val="001F5F"/>
        </w:rPr>
        <w:t>Output</w:t>
      </w:r>
      <w:r>
        <w:rPr>
          <w:color w:val="001F5F"/>
          <w:spacing w:val="-8"/>
        </w:rPr>
        <w:t> </w:t>
      </w:r>
      <w:r>
        <w:rPr>
          <w:color w:val="001F5F"/>
          <w:spacing w:val="-2"/>
        </w:rPr>
        <w:t>Statements</w:t>
      </w:r>
    </w:p>
    <w:p>
      <w:pPr>
        <w:pStyle w:val="BodyText"/>
        <w:spacing w:before="5"/>
        <w:rPr>
          <w:b/>
          <w:sz w:val="10"/>
        </w:rPr>
      </w:pPr>
    </w:p>
    <w:tbl>
      <w:tblPr>
        <w:tblW w:w="0" w:type="auto"/>
        <w:jc w:val="left"/>
        <w:tblInd w:w="13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1378"/>
        <w:gridCol w:w="2451"/>
        <w:gridCol w:w="1615"/>
      </w:tblGrid>
      <w:tr>
        <w:trPr>
          <w:trHeight w:val="375" w:hRule="atLeast"/>
        </w:trPr>
        <w:tc>
          <w:tcPr>
            <w:tcW w:w="11378" w:type="dxa"/>
            <w:shd w:val="clear" w:color="auto" w:fill="1F4E79"/>
          </w:tcPr>
          <w:p>
            <w:pPr>
              <w:pStyle w:val="TableParagraph"/>
              <w:spacing w:before="90"/>
              <w:ind w:left="87"/>
              <w:rPr>
                <w:b/>
                <w:sz w:val="16"/>
              </w:rPr>
            </w:pPr>
            <w:r>
              <w:rPr>
                <w:b/>
                <w:color w:val="FFFFFF"/>
                <w:sz w:val="16"/>
              </w:rPr>
              <w:t>Objective</w:t>
            </w:r>
            <w:r>
              <w:rPr>
                <w:b/>
                <w:color w:val="FFFFFF"/>
                <w:spacing w:val="-1"/>
                <w:sz w:val="16"/>
              </w:rPr>
              <w:t> </w:t>
            </w:r>
            <w:r>
              <w:rPr>
                <w:b/>
                <w:color w:val="FFFFFF"/>
                <w:sz w:val="16"/>
              </w:rPr>
              <w:t>/ </w:t>
            </w:r>
            <w:r>
              <w:rPr>
                <w:b/>
                <w:color w:val="FFFFFF"/>
                <w:spacing w:val="-2"/>
                <w:sz w:val="16"/>
              </w:rPr>
              <w:t>Output</w:t>
            </w:r>
          </w:p>
        </w:tc>
        <w:tc>
          <w:tcPr>
            <w:tcW w:w="2451" w:type="dxa"/>
            <w:shd w:val="clear" w:color="auto" w:fill="1F4E79"/>
          </w:tcPr>
          <w:p>
            <w:pPr>
              <w:pStyle w:val="TableParagraph"/>
              <w:spacing w:before="90"/>
              <w:ind w:left="93"/>
              <w:rPr>
                <w:b/>
                <w:sz w:val="16"/>
              </w:rPr>
            </w:pPr>
            <w:r>
              <w:rPr>
                <w:b/>
                <w:color w:val="FFFFFF"/>
                <w:sz w:val="16"/>
              </w:rPr>
              <w:t>Target</w:t>
            </w:r>
            <w:r>
              <w:rPr>
                <w:b/>
                <w:color w:val="FFFFFF"/>
                <w:spacing w:val="2"/>
                <w:sz w:val="16"/>
              </w:rPr>
              <w:t> </w:t>
            </w:r>
            <w:r>
              <w:rPr>
                <w:b/>
                <w:color w:val="FFFFFF"/>
                <w:spacing w:val="-4"/>
                <w:sz w:val="16"/>
              </w:rPr>
              <w:t>Date</w:t>
            </w:r>
          </w:p>
        </w:tc>
        <w:tc>
          <w:tcPr>
            <w:tcW w:w="1615" w:type="dxa"/>
            <w:tcBorders>
              <w:right w:val="single" w:sz="8" w:space="0" w:color="6E6E6E"/>
            </w:tcBorders>
            <w:shd w:val="clear" w:color="auto" w:fill="1F4E79"/>
          </w:tcPr>
          <w:p>
            <w:pPr>
              <w:pStyle w:val="TableParagraph"/>
              <w:spacing w:before="90"/>
              <w:ind w:left="88"/>
              <w:rPr>
                <w:b/>
                <w:sz w:val="16"/>
              </w:rPr>
            </w:pPr>
            <w:r>
              <w:rPr>
                <w:b/>
                <w:color w:val="FFFFFF"/>
                <w:spacing w:val="-5"/>
                <w:sz w:val="16"/>
              </w:rPr>
              <w:t>RAG</w:t>
            </w:r>
          </w:p>
        </w:tc>
      </w:tr>
      <w:tr>
        <w:trPr>
          <w:trHeight w:val="540" w:hRule="atLeast"/>
        </w:trPr>
        <w:tc>
          <w:tcPr>
            <w:tcW w:w="11378" w:type="dxa"/>
          </w:tcPr>
          <w:p>
            <w:pPr>
              <w:pStyle w:val="TableParagraph"/>
              <w:spacing w:before="165"/>
              <w:ind w:left="87"/>
              <w:rPr>
                <w:sz w:val="17"/>
              </w:rPr>
            </w:pPr>
            <w:r>
              <w:rPr>
                <w:sz w:val="17"/>
              </w:rPr>
              <w:t>Increase</w:t>
            </w:r>
            <w:r>
              <w:rPr>
                <w:spacing w:val="-7"/>
                <w:sz w:val="17"/>
              </w:rPr>
              <w:t> </w:t>
            </w:r>
            <w:r>
              <w:rPr>
                <w:sz w:val="17"/>
              </w:rPr>
              <w:t>the number</w:t>
            </w:r>
            <w:r>
              <w:rPr>
                <w:spacing w:val="-6"/>
                <w:sz w:val="17"/>
              </w:rPr>
              <w:t> </w:t>
            </w:r>
            <w:r>
              <w:rPr>
                <w:sz w:val="17"/>
              </w:rPr>
              <w:t>of</w:t>
            </w:r>
            <w:r>
              <w:rPr>
                <w:spacing w:val="-7"/>
                <w:sz w:val="17"/>
              </w:rPr>
              <w:t> </w:t>
            </w:r>
            <w:r>
              <w:rPr>
                <w:sz w:val="17"/>
              </w:rPr>
              <w:t>people</w:t>
            </w:r>
            <w:r>
              <w:rPr>
                <w:spacing w:val="-5"/>
                <w:sz w:val="17"/>
              </w:rPr>
              <w:t> </w:t>
            </w:r>
            <w:r>
              <w:rPr>
                <w:sz w:val="17"/>
              </w:rPr>
              <w:t>accessing</w:t>
            </w:r>
            <w:r>
              <w:rPr>
                <w:spacing w:val="-4"/>
                <w:sz w:val="17"/>
              </w:rPr>
              <w:t> </w:t>
            </w:r>
            <w:r>
              <w:rPr>
                <w:sz w:val="17"/>
              </w:rPr>
              <w:t>eligible</w:t>
            </w:r>
            <w:r>
              <w:rPr>
                <w:spacing w:val="-5"/>
                <w:sz w:val="17"/>
              </w:rPr>
              <w:t> </w:t>
            </w:r>
            <w:r>
              <w:rPr>
                <w:sz w:val="17"/>
              </w:rPr>
              <w:t>funding</w:t>
            </w:r>
            <w:r>
              <w:rPr>
                <w:spacing w:val="-4"/>
                <w:sz w:val="17"/>
              </w:rPr>
              <w:t> </w:t>
            </w:r>
            <w:r>
              <w:rPr>
                <w:sz w:val="17"/>
              </w:rPr>
              <w:t>to</w:t>
            </w:r>
            <w:r>
              <w:rPr>
                <w:spacing w:val="-4"/>
                <w:sz w:val="17"/>
              </w:rPr>
              <w:t> </w:t>
            </w:r>
            <w:r>
              <w:rPr>
                <w:sz w:val="17"/>
              </w:rPr>
              <w:t>increase</w:t>
            </w:r>
            <w:r>
              <w:rPr>
                <w:spacing w:val="-5"/>
                <w:sz w:val="17"/>
              </w:rPr>
              <w:t> </w:t>
            </w:r>
            <w:r>
              <w:rPr>
                <w:sz w:val="17"/>
              </w:rPr>
              <w:t>warmth (such</w:t>
            </w:r>
            <w:r>
              <w:rPr>
                <w:spacing w:val="-4"/>
                <w:sz w:val="17"/>
              </w:rPr>
              <w:t> </w:t>
            </w:r>
            <w:r>
              <w:rPr>
                <w:sz w:val="17"/>
              </w:rPr>
              <w:t>as</w:t>
            </w:r>
            <w:r>
              <w:rPr>
                <w:spacing w:val="-4"/>
                <w:sz w:val="17"/>
              </w:rPr>
              <w:t> </w:t>
            </w:r>
            <w:r>
              <w:rPr>
                <w:spacing w:val="-2"/>
                <w:sz w:val="17"/>
              </w:rPr>
              <w:t>Nest)</w:t>
            </w:r>
          </w:p>
        </w:tc>
        <w:tc>
          <w:tcPr>
            <w:tcW w:w="2451" w:type="dxa"/>
          </w:tcPr>
          <w:p>
            <w:pPr>
              <w:pStyle w:val="TableParagraph"/>
              <w:spacing w:before="165"/>
              <w:ind w:left="93"/>
              <w:rPr>
                <w:sz w:val="17"/>
              </w:rPr>
            </w:pPr>
            <w:r>
              <w:rPr>
                <w:sz w:val="17"/>
              </w:rPr>
              <w:t>Oct</w:t>
            </w:r>
            <w:r>
              <w:rPr>
                <w:spacing w:val="-8"/>
                <w:sz w:val="17"/>
              </w:rPr>
              <w:t> </w:t>
            </w:r>
            <w:r>
              <w:rPr>
                <w:spacing w:val="-4"/>
                <w:sz w:val="17"/>
              </w:rPr>
              <w:t>2026</w:t>
            </w:r>
          </w:p>
        </w:tc>
        <w:tc>
          <w:tcPr>
            <w:tcW w:w="1615" w:type="dxa"/>
            <w:tcBorders>
              <w:right w:val="single" w:sz="8" w:space="0" w:color="6E6E6E"/>
            </w:tcBorders>
            <w:shd w:val="clear" w:color="auto" w:fill="FFC000"/>
          </w:tcPr>
          <w:p>
            <w:pPr>
              <w:pStyle w:val="TableParagraph"/>
              <w:rPr>
                <w:rFonts w:ascii="Times New Roman"/>
                <w:sz w:val="16"/>
              </w:rPr>
            </w:pPr>
          </w:p>
        </w:tc>
      </w:tr>
      <w:tr>
        <w:trPr>
          <w:trHeight w:val="590" w:hRule="atLeast"/>
        </w:trPr>
        <w:tc>
          <w:tcPr>
            <w:tcW w:w="11378" w:type="dxa"/>
          </w:tcPr>
          <w:p>
            <w:pPr>
              <w:pStyle w:val="TableParagraph"/>
              <w:spacing w:line="252" w:lineRule="auto" w:before="91"/>
              <w:ind w:left="87"/>
              <w:rPr>
                <w:sz w:val="17"/>
              </w:rPr>
            </w:pPr>
            <w:r>
              <w:rPr>
                <w:sz w:val="17"/>
              </w:rPr>
              <w:t>Develop</w:t>
            </w:r>
            <w:r>
              <w:rPr>
                <w:spacing w:val="-3"/>
                <w:sz w:val="17"/>
              </w:rPr>
              <w:t> </w:t>
            </w:r>
            <w:r>
              <w:rPr>
                <w:sz w:val="17"/>
              </w:rPr>
              <w:t>and</w:t>
            </w:r>
            <w:r>
              <w:rPr>
                <w:spacing w:val="-3"/>
                <w:sz w:val="17"/>
              </w:rPr>
              <w:t> </w:t>
            </w:r>
            <w:r>
              <w:rPr>
                <w:sz w:val="17"/>
              </w:rPr>
              <w:t>agree</w:t>
            </w:r>
            <w:r>
              <w:rPr>
                <w:spacing w:val="-3"/>
                <w:sz w:val="17"/>
              </w:rPr>
              <w:t> </w:t>
            </w:r>
            <w:r>
              <w:rPr>
                <w:sz w:val="17"/>
              </w:rPr>
              <w:t>a</w:t>
            </w:r>
            <w:r>
              <w:rPr>
                <w:spacing w:val="-3"/>
                <w:sz w:val="17"/>
              </w:rPr>
              <w:t> </w:t>
            </w:r>
            <w:r>
              <w:rPr>
                <w:sz w:val="17"/>
              </w:rPr>
              <w:t>measurable</w:t>
            </w:r>
            <w:r>
              <w:rPr>
                <w:spacing w:val="-3"/>
                <w:sz w:val="17"/>
              </w:rPr>
              <w:t> </w:t>
            </w:r>
            <w:r>
              <w:rPr>
                <w:sz w:val="17"/>
              </w:rPr>
              <w:t>outcome</w:t>
            </w:r>
            <w:r>
              <w:rPr>
                <w:spacing w:val="-3"/>
                <w:sz w:val="17"/>
              </w:rPr>
              <w:t> </w:t>
            </w:r>
            <w:r>
              <w:rPr>
                <w:sz w:val="17"/>
              </w:rPr>
              <w:t>objective</w:t>
            </w:r>
            <w:r>
              <w:rPr>
                <w:spacing w:val="-3"/>
                <w:sz w:val="17"/>
              </w:rPr>
              <w:t> </w:t>
            </w:r>
            <w:r>
              <w:rPr>
                <w:sz w:val="17"/>
              </w:rPr>
              <w:t>relating</w:t>
            </w:r>
            <w:r>
              <w:rPr>
                <w:spacing w:val="-3"/>
                <w:sz w:val="17"/>
              </w:rPr>
              <w:t> </w:t>
            </w:r>
            <w:r>
              <w:rPr>
                <w:sz w:val="17"/>
              </w:rPr>
              <w:t>to</w:t>
            </w:r>
            <w:r>
              <w:rPr>
                <w:spacing w:val="-3"/>
                <w:sz w:val="17"/>
              </w:rPr>
              <w:t> </w:t>
            </w:r>
            <w:r>
              <w:rPr>
                <w:sz w:val="17"/>
              </w:rPr>
              <w:t>avoidable</w:t>
            </w:r>
            <w:r>
              <w:rPr>
                <w:spacing w:val="-3"/>
                <w:sz w:val="17"/>
              </w:rPr>
              <w:t> </w:t>
            </w:r>
            <w:r>
              <w:rPr>
                <w:sz w:val="17"/>
              </w:rPr>
              <w:t>healthcare</w:t>
            </w:r>
            <w:r>
              <w:rPr>
                <w:spacing w:val="-3"/>
                <w:sz w:val="17"/>
              </w:rPr>
              <w:t> </w:t>
            </w:r>
            <w:r>
              <w:rPr>
                <w:sz w:val="17"/>
              </w:rPr>
              <w:t>demand</w:t>
            </w:r>
            <w:r>
              <w:rPr>
                <w:spacing w:val="-3"/>
                <w:sz w:val="17"/>
              </w:rPr>
              <w:t> </w:t>
            </w:r>
            <w:r>
              <w:rPr>
                <w:sz w:val="17"/>
              </w:rPr>
              <w:t>affecting the</w:t>
            </w:r>
            <w:r>
              <w:rPr>
                <w:spacing w:val="-3"/>
                <w:sz w:val="17"/>
              </w:rPr>
              <w:t> </w:t>
            </w:r>
            <w:r>
              <w:rPr>
                <w:sz w:val="17"/>
              </w:rPr>
              <w:t>20% most</w:t>
            </w:r>
            <w:r>
              <w:rPr>
                <w:spacing w:val="-5"/>
                <w:sz w:val="17"/>
              </w:rPr>
              <w:t> </w:t>
            </w:r>
            <w:r>
              <w:rPr>
                <w:sz w:val="17"/>
              </w:rPr>
              <w:t>deprived</w:t>
            </w:r>
            <w:r>
              <w:rPr>
                <w:spacing w:val="-3"/>
                <w:sz w:val="17"/>
              </w:rPr>
              <w:t> </w:t>
            </w:r>
            <w:r>
              <w:rPr>
                <w:sz w:val="17"/>
              </w:rPr>
              <w:t>communities</w:t>
            </w:r>
            <w:r>
              <w:rPr>
                <w:spacing w:val="-3"/>
                <w:sz w:val="17"/>
              </w:rPr>
              <w:t> </w:t>
            </w:r>
            <w:r>
              <w:rPr>
                <w:sz w:val="17"/>
              </w:rPr>
              <w:t>in</w:t>
            </w:r>
            <w:r>
              <w:rPr>
                <w:spacing w:val="-3"/>
                <w:sz w:val="17"/>
              </w:rPr>
              <w:t> </w:t>
            </w:r>
            <w:r>
              <w:rPr>
                <w:sz w:val="17"/>
              </w:rPr>
              <w:t>the region, including an agreed baseline, measure and boundaries of subgroup influence.</w:t>
            </w:r>
          </w:p>
        </w:tc>
        <w:tc>
          <w:tcPr>
            <w:tcW w:w="2451" w:type="dxa"/>
          </w:tcPr>
          <w:p>
            <w:pPr>
              <w:pStyle w:val="TableParagraph"/>
              <w:spacing w:line="252" w:lineRule="auto" w:before="91"/>
              <w:ind w:left="93" w:right="28"/>
              <w:rPr>
                <w:sz w:val="17"/>
              </w:rPr>
            </w:pPr>
            <w:r>
              <w:rPr>
                <w:sz w:val="17"/>
              </w:rPr>
              <w:t>TBC following agreement of the</w:t>
            </w:r>
            <w:r>
              <w:rPr>
                <w:spacing w:val="-9"/>
                <w:sz w:val="17"/>
              </w:rPr>
              <w:t> </w:t>
            </w:r>
            <w:r>
              <w:rPr>
                <w:sz w:val="17"/>
              </w:rPr>
              <w:t>final</w:t>
            </w:r>
            <w:r>
              <w:rPr>
                <w:spacing w:val="-8"/>
                <w:sz w:val="17"/>
              </w:rPr>
              <w:t> </w:t>
            </w:r>
            <w:r>
              <w:rPr>
                <w:sz w:val="17"/>
              </w:rPr>
              <w:t>wording</w:t>
            </w:r>
            <w:r>
              <w:rPr>
                <w:spacing w:val="-9"/>
                <w:sz w:val="17"/>
              </w:rPr>
              <w:t> </w:t>
            </w:r>
            <w:r>
              <w:rPr>
                <w:sz w:val="17"/>
              </w:rPr>
              <w:t>and</w:t>
            </w:r>
            <w:r>
              <w:rPr>
                <w:spacing w:val="-9"/>
                <w:sz w:val="17"/>
              </w:rPr>
              <w:t> </w:t>
            </w:r>
            <w:r>
              <w:rPr>
                <w:sz w:val="17"/>
              </w:rPr>
              <w:t>baseline</w:t>
            </w:r>
          </w:p>
        </w:tc>
        <w:tc>
          <w:tcPr>
            <w:tcW w:w="1615" w:type="dxa"/>
            <w:tcBorders>
              <w:right w:val="single" w:sz="8" w:space="0" w:color="6E6E6E"/>
            </w:tcBorders>
            <w:shd w:val="clear" w:color="auto" w:fill="00AF50"/>
          </w:tcPr>
          <w:p>
            <w:pPr>
              <w:pStyle w:val="TableParagraph"/>
              <w:rPr>
                <w:rFonts w:ascii="Times New Roman"/>
                <w:sz w:val="16"/>
              </w:rPr>
            </w:pPr>
          </w:p>
        </w:tc>
      </w:tr>
    </w:tbl>
    <w:p>
      <w:pPr>
        <w:pStyle w:val="Heading8"/>
        <w:numPr>
          <w:ilvl w:val="0"/>
          <w:numId w:val="28"/>
        </w:numPr>
        <w:tabs>
          <w:tab w:pos="367" w:val="left" w:leader="none"/>
        </w:tabs>
        <w:spacing w:line="240" w:lineRule="auto" w:before="161" w:after="0"/>
        <w:ind w:left="367" w:right="0" w:hanging="284"/>
        <w:jc w:val="left"/>
      </w:pPr>
      <w:r>
        <w:rPr>
          <w:color w:val="001F5F"/>
        </w:rPr>
        <w:t>Milestones</w:t>
      </w:r>
      <w:r>
        <w:rPr>
          <w:color w:val="001F5F"/>
          <w:spacing w:val="-6"/>
        </w:rPr>
        <w:t> </w:t>
      </w:r>
      <w:r>
        <w:rPr>
          <w:color w:val="001F5F"/>
        </w:rPr>
        <w:t>&amp;</w:t>
      </w:r>
      <w:r>
        <w:rPr>
          <w:color w:val="001F5F"/>
          <w:spacing w:val="-4"/>
        </w:rPr>
        <w:t> </w:t>
      </w:r>
      <w:r>
        <w:rPr>
          <w:color w:val="001F5F"/>
          <w:spacing w:val="-2"/>
        </w:rPr>
        <w:t>Deliverables</w:t>
      </w:r>
    </w:p>
    <w:p>
      <w:pPr>
        <w:pStyle w:val="BodyText"/>
        <w:spacing w:before="10"/>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4382"/>
        <w:gridCol w:w="4652"/>
        <w:gridCol w:w="1531"/>
        <w:gridCol w:w="1536"/>
        <w:gridCol w:w="3426"/>
      </w:tblGrid>
      <w:tr>
        <w:trPr>
          <w:trHeight w:val="360" w:hRule="atLeast"/>
        </w:trPr>
        <w:tc>
          <w:tcPr>
            <w:tcW w:w="4382" w:type="dxa"/>
            <w:shd w:val="clear" w:color="auto" w:fill="1F4E79"/>
          </w:tcPr>
          <w:p>
            <w:pPr>
              <w:pStyle w:val="TableParagraph"/>
              <w:spacing w:before="89"/>
              <w:ind w:left="107"/>
              <w:rPr>
                <w:b/>
                <w:sz w:val="15"/>
              </w:rPr>
            </w:pPr>
            <w:r>
              <w:rPr>
                <w:b/>
                <w:color w:val="FFFFFF"/>
                <w:sz w:val="15"/>
              </w:rPr>
              <w:t>RJC</w:t>
            </w:r>
            <w:r>
              <w:rPr>
                <w:b/>
                <w:color w:val="FFFFFF"/>
                <w:spacing w:val="-5"/>
                <w:sz w:val="15"/>
              </w:rPr>
              <w:t> </w:t>
            </w:r>
            <w:r>
              <w:rPr>
                <w:b/>
                <w:color w:val="FFFFFF"/>
                <w:sz w:val="15"/>
              </w:rPr>
              <w:t>Subgroup</w:t>
            </w:r>
            <w:r>
              <w:rPr>
                <w:b/>
                <w:color w:val="FFFFFF"/>
                <w:spacing w:val="-2"/>
                <w:sz w:val="15"/>
              </w:rPr>
              <w:t> Objective</w:t>
            </w:r>
          </w:p>
        </w:tc>
        <w:tc>
          <w:tcPr>
            <w:tcW w:w="4652" w:type="dxa"/>
            <w:shd w:val="clear" w:color="auto" w:fill="1F4E79"/>
          </w:tcPr>
          <w:p>
            <w:pPr>
              <w:pStyle w:val="TableParagraph"/>
              <w:spacing w:before="89"/>
              <w:ind w:left="92"/>
              <w:rPr>
                <w:b/>
                <w:sz w:val="15"/>
              </w:rPr>
            </w:pPr>
            <w:r>
              <w:rPr>
                <w:b/>
                <w:color w:val="FFFFFF"/>
                <w:sz w:val="15"/>
              </w:rPr>
              <w:t>Milestone</w:t>
            </w:r>
            <w:r>
              <w:rPr>
                <w:b/>
                <w:color w:val="FFFFFF"/>
                <w:spacing w:val="-5"/>
                <w:sz w:val="15"/>
              </w:rPr>
              <w:t> </w:t>
            </w:r>
            <w:r>
              <w:rPr>
                <w:b/>
                <w:color w:val="FFFFFF"/>
                <w:sz w:val="15"/>
              </w:rPr>
              <w:t>/</w:t>
            </w:r>
            <w:r>
              <w:rPr>
                <w:b/>
                <w:color w:val="FFFFFF"/>
                <w:spacing w:val="-6"/>
                <w:sz w:val="15"/>
              </w:rPr>
              <w:t> </w:t>
            </w:r>
            <w:r>
              <w:rPr>
                <w:b/>
                <w:color w:val="FFFFFF"/>
                <w:spacing w:val="-2"/>
                <w:sz w:val="15"/>
              </w:rPr>
              <w:t>Deliverable</w:t>
            </w:r>
          </w:p>
        </w:tc>
        <w:tc>
          <w:tcPr>
            <w:tcW w:w="1531" w:type="dxa"/>
            <w:shd w:val="clear" w:color="auto" w:fill="1F4E79"/>
          </w:tcPr>
          <w:p>
            <w:pPr>
              <w:pStyle w:val="TableParagraph"/>
              <w:spacing w:before="89"/>
              <w:ind w:left="86"/>
              <w:rPr>
                <w:b/>
                <w:sz w:val="15"/>
              </w:rPr>
            </w:pPr>
            <w:r>
              <w:rPr>
                <w:b/>
                <w:color w:val="FFFFFF"/>
                <w:sz w:val="15"/>
              </w:rPr>
              <w:t>Target</w:t>
            </w:r>
            <w:r>
              <w:rPr>
                <w:b/>
                <w:color w:val="FFFFFF"/>
                <w:spacing w:val="2"/>
                <w:sz w:val="15"/>
              </w:rPr>
              <w:t> </w:t>
            </w:r>
            <w:r>
              <w:rPr>
                <w:b/>
                <w:color w:val="FFFFFF"/>
                <w:spacing w:val="-4"/>
                <w:sz w:val="15"/>
              </w:rPr>
              <w:t>Date</w:t>
            </w:r>
          </w:p>
        </w:tc>
        <w:tc>
          <w:tcPr>
            <w:tcW w:w="1536" w:type="dxa"/>
            <w:shd w:val="clear" w:color="auto" w:fill="1F4E79"/>
          </w:tcPr>
          <w:p>
            <w:pPr>
              <w:pStyle w:val="TableParagraph"/>
              <w:spacing w:before="89"/>
              <w:ind w:left="90"/>
              <w:rPr>
                <w:b/>
                <w:sz w:val="15"/>
              </w:rPr>
            </w:pPr>
            <w:r>
              <w:rPr>
                <w:b/>
                <w:color w:val="FFFFFF"/>
                <w:sz w:val="15"/>
              </w:rPr>
              <w:t>This</w:t>
            </w:r>
            <w:r>
              <w:rPr>
                <w:b/>
                <w:color w:val="FFFFFF"/>
                <w:spacing w:val="-4"/>
                <w:sz w:val="15"/>
              </w:rPr>
              <w:t> </w:t>
            </w:r>
            <w:r>
              <w:rPr>
                <w:b/>
                <w:color w:val="FFFFFF"/>
                <w:sz w:val="15"/>
              </w:rPr>
              <w:t>Period</w:t>
            </w:r>
            <w:r>
              <w:rPr>
                <w:b/>
                <w:color w:val="FFFFFF"/>
                <w:spacing w:val="-5"/>
                <w:sz w:val="15"/>
              </w:rPr>
              <w:t> </w:t>
            </w:r>
            <w:r>
              <w:rPr>
                <w:b/>
                <w:color w:val="FFFFFF"/>
                <w:spacing w:val="-2"/>
                <w:sz w:val="15"/>
              </w:rPr>
              <w:t>(RAG)</w:t>
            </w:r>
          </w:p>
        </w:tc>
        <w:tc>
          <w:tcPr>
            <w:tcW w:w="3426" w:type="dxa"/>
            <w:shd w:val="clear" w:color="auto" w:fill="1F4E79"/>
          </w:tcPr>
          <w:p>
            <w:pPr>
              <w:pStyle w:val="TableParagraph"/>
              <w:spacing w:before="89"/>
              <w:ind w:left="90"/>
              <w:rPr>
                <w:b/>
                <w:sz w:val="15"/>
              </w:rPr>
            </w:pPr>
            <w:r>
              <w:rPr>
                <w:b/>
                <w:color w:val="FFFFFF"/>
                <w:sz w:val="15"/>
              </w:rPr>
              <w:t>Comments</w:t>
            </w:r>
            <w:r>
              <w:rPr>
                <w:b/>
                <w:color w:val="FFFFFF"/>
                <w:spacing w:val="-2"/>
                <w:sz w:val="15"/>
              </w:rPr>
              <w:t> </w:t>
            </w:r>
            <w:r>
              <w:rPr>
                <w:b/>
                <w:color w:val="FFFFFF"/>
                <w:sz w:val="15"/>
              </w:rPr>
              <w:t>/</w:t>
            </w:r>
            <w:r>
              <w:rPr>
                <w:b/>
                <w:color w:val="FFFFFF"/>
                <w:spacing w:val="-4"/>
                <w:sz w:val="15"/>
              </w:rPr>
              <w:t> </w:t>
            </w:r>
            <w:r>
              <w:rPr>
                <w:b/>
                <w:color w:val="FFFFFF"/>
                <w:spacing w:val="-2"/>
                <w:sz w:val="15"/>
              </w:rPr>
              <w:t>Notes</w:t>
            </w:r>
          </w:p>
        </w:tc>
      </w:tr>
      <w:tr>
        <w:trPr>
          <w:trHeight w:val="792" w:hRule="atLeast"/>
        </w:trPr>
        <w:tc>
          <w:tcPr>
            <w:tcW w:w="4382" w:type="dxa"/>
            <w:vMerge w:val="restart"/>
            <w:tcBorders>
              <w:bottom w:val="nil"/>
            </w:tcBorders>
          </w:tcPr>
          <w:p>
            <w:pPr>
              <w:pStyle w:val="TableParagraph"/>
              <w:tabs>
                <w:tab w:pos="827" w:val="left" w:leader="none"/>
              </w:tabs>
              <w:spacing w:line="252" w:lineRule="auto" w:before="88"/>
              <w:ind w:left="107" w:right="361"/>
              <w:rPr>
                <w:sz w:val="17"/>
              </w:rPr>
            </w:pPr>
            <w:r>
              <w:rPr>
                <w:spacing w:val="-2"/>
                <w:sz w:val="17"/>
              </w:rPr>
              <w:t>3.2.1</w:t>
            </w:r>
            <w:r>
              <w:rPr>
                <w:sz w:val="17"/>
              </w:rPr>
              <w:tab/>
              <w:t>Seek</w:t>
            </w:r>
            <w:r>
              <w:rPr>
                <w:spacing w:val="-9"/>
                <w:sz w:val="17"/>
              </w:rPr>
              <w:t> </w:t>
            </w:r>
            <w:r>
              <w:rPr>
                <w:sz w:val="17"/>
              </w:rPr>
              <w:t>assurance</w:t>
            </w:r>
            <w:r>
              <w:rPr>
                <w:spacing w:val="-8"/>
                <w:sz w:val="17"/>
              </w:rPr>
              <w:t> </w:t>
            </w:r>
            <w:r>
              <w:rPr>
                <w:sz w:val="17"/>
              </w:rPr>
              <w:t>that</w:t>
            </w:r>
            <w:r>
              <w:rPr>
                <w:spacing w:val="-11"/>
                <w:sz w:val="17"/>
              </w:rPr>
              <w:t> </w:t>
            </w:r>
            <w:r>
              <w:rPr>
                <w:sz w:val="17"/>
              </w:rPr>
              <w:t>a</w:t>
            </w:r>
            <w:r>
              <w:rPr>
                <w:spacing w:val="-4"/>
                <w:sz w:val="17"/>
              </w:rPr>
              <w:t> </w:t>
            </w:r>
            <w:r>
              <w:rPr>
                <w:sz w:val="17"/>
              </w:rPr>
              <w:t>long</w:t>
            </w:r>
            <w:r>
              <w:rPr>
                <w:rFonts w:ascii="Cambria Math" w:hAnsi="Cambria Math"/>
                <w:sz w:val="17"/>
              </w:rPr>
              <w:t>‑</w:t>
            </w:r>
            <w:r>
              <w:rPr>
                <w:sz w:val="17"/>
              </w:rPr>
              <w:t>term</w:t>
            </w:r>
            <w:r>
              <w:rPr>
                <w:spacing w:val="-6"/>
                <w:sz w:val="17"/>
              </w:rPr>
              <w:t> </w:t>
            </w:r>
            <w:r>
              <w:rPr>
                <w:sz w:val="17"/>
              </w:rPr>
              <w:t>Regional Health Economy Strategic Plan is produced that provides a shared regional direction and enables coordinated, equitable system change.</w:t>
            </w:r>
          </w:p>
        </w:tc>
        <w:tc>
          <w:tcPr>
            <w:tcW w:w="4652" w:type="dxa"/>
            <w:tcBorders>
              <w:bottom w:val="single" w:sz="8" w:space="0" w:color="6E6E6E"/>
            </w:tcBorders>
          </w:tcPr>
          <w:p>
            <w:pPr>
              <w:pStyle w:val="TableParagraph"/>
              <w:spacing w:line="252" w:lineRule="auto" w:before="90"/>
              <w:ind w:left="92" w:right="292"/>
              <w:jc w:val="both"/>
              <w:rPr>
                <w:sz w:val="17"/>
              </w:rPr>
            </w:pPr>
            <w:r>
              <w:rPr>
                <w:sz w:val="17"/>
              </w:rPr>
              <w:t>Maintain</w:t>
            </w:r>
            <w:r>
              <w:rPr>
                <w:spacing w:val="-7"/>
                <w:sz w:val="17"/>
              </w:rPr>
              <w:t> </w:t>
            </w:r>
            <w:r>
              <w:rPr>
                <w:sz w:val="17"/>
              </w:rPr>
              <w:t>and</w:t>
            </w:r>
            <w:r>
              <w:rPr>
                <w:spacing w:val="-7"/>
                <w:sz w:val="17"/>
              </w:rPr>
              <w:t> </w:t>
            </w:r>
            <w:r>
              <w:rPr>
                <w:sz w:val="17"/>
              </w:rPr>
              <w:t>agree</w:t>
            </w:r>
            <w:r>
              <w:rPr>
                <w:spacing w:val="-7"/>
                <w:sz w:val="17"/>
              </w:rPr>
              <w:t> </w:t>
            </w:r>
            <w:r>
              <w:rPr>
                <w:sz w:val="17"/>
              </w:rPr>
              <w:t>the</w:t>
            </w:r>
            <w:r>
              <w:rPr>
                <w:spacing w:val="-7"/>
                <w:sz w:val="17"/>
              </w:rPr>
              <w:t> </w:t>
            </w:r>
            <w:r>
              <w:rPr>
                <w:sz w:val="17"/>
              </w:rPr>
              <w:t>Product</w:t>
            </w:r>
            <w:r>
              <w:rPr>
                <w:spacing w:val="-5"/>
                <w:sz w:val="17"/>
              </w:rPr>
              <w:t> </w:t>
            </w:r>
            <w:r>
              <w:rPr>
                <w:sz w:val="17"/>
              </w:rPr>
              <w:t>Development</w:t>
            </w:r>
            <w:r>
              <w:rPr>
                <w:spacing w:val="-10"/>
                <w:sz w:val="17"/>
              </w:rPr>
              <w:t> </w:t>
            </w:r>
            <w:r>
              <w:rPr>
                <w:sz w:val="17"/>
              </w:rPr>
              <w:t>Roadmap, including</w:t>
            </w:r>
            <w:r>
              <w:rPr>
                <w:spacing w:val="-7"/>
                <w:sz w:val="17"/>
              </w:rPr>
              <w:t> </w:t>
            </w:r>
            <w:r>
              <w:rPr>
                <w:sz w:val="17"/>
              </w:rPr>
              <w:t>products,</w:t>
            </w:r>
            <w:r>
              <w:rPr>
                <w:spacing w:val="-10"/>
                <w:sz w:val="17"/>
              </w:rPr>
              <w:t> </w:t>
            </w:r>
            <w:r>
              <w:rPr>
                <w:sz w:val="17"/>
              </w:rPr>
              <w:t>leads,</w:t>
            </w:r>
            <w:r>
              <w:rPr>
                <w:spacing w:val="-9"/>
                <w:sz w:val="17"/>
              </w:rPr>
              <w:t> </w:t>
            </w:r>
            <w:r>
              <w:rPr>
                <w:sz w:val="17"/>
              </w:rPr>
              <w:t>dependencies,</w:t>
            </w:r>
            <w:r>
              <w:rPr>
                <w:spacing w:val="-9"/>
                <w:sz w:val="17"/>
              </w:rPr>
              <w:t> </w:t>
            </w:r>
            <w:r>
              <w:rPr>
                <w:sz w:val="17"/>
              </w:rPr>
              <w:t>timescales</w:t>
            </w:r>
            <w:r>
              <w:rPr>
                <w:spacing w:val="-7"/>
                <w:sz w:val="17"/>
              </w:rPr>
              <w:t> </w:t>
            </w:r>
            <w:r>
              <w:rPr>
                <w:sz w:val="17"/>
              </w:rPr>
              <w:t>and engagement</w:t>
            </w:r>
            <w:r>
              <w:rPr>
                <w:spacing w:val="-3"/>
                <w:sz w:val="17"/>
              </w:rPr>
              <w:t> </w:t>
            </w:r>
            <w:r>
              <w:rPr>
                <w:sz w:val="17"/>
              </w:rPr>
              <w:t>alignment</w:t>
            </w:r>
          </w:p>
        </w:tc>
        <w:tc>
          <w:tcPr>
            <w:tcW w:w="1531" w:type="dxa"/>
            <w:tcBorders>
              <w:bottom w:val="single" w:sz="8" w:space="0" w:color="6E6E6E"/>
            </w:tcBorders>
          </w:tcPr>
          <w:p>
            <w:pPr>
              <w:pStyle w:val="TableParagraph"/>
              <w:spacing w:before="100"/>
              <w:rPr>
                <w:b/>
                <w:sz w:val="17"/>
              </w:rPr>
            </w:pPr>
          </w:p>
          <w:p>
            <w:pPr>
              <w:pStyle w:val="TableParagraph"/>
              <w:ind w:left="86"/>
              <w:rPr>
                <w:sz w:val="17"/>
              </w:rPr>
            </w:pPr>
            <w:r>
              <w:rPr>
                <w:sz w:val="17"/>
              </w:rPr>
              <w:t>September</w:t>
            </w:r>
            <w:r>
              <w:rPr>
                <w:spacing w:val="-12"/>
                <w:sz w:val="17"/>
              </w:rPr>
              <w:t> </w:t>
            </w:r>
            <w:r>
              <w:rPr>
                <w:spacing w:val="-4"/>
                <w:sz w:val="17"/>
              </w:rPr>
              <w:t>2026</w:t>
            </w:r>
          </w:p>
        </w:tc>
        <w:tc>
          <w:tcPr>
            <w:tcW w:w="1536" w:type="dxa"/>
            <w:tcBorders>
              <w:bottom w:val="single" w:sz="8" w:space="0" w:color="6E6E6E"/>
            </w:tcBorders>
            <w:shd w:val="clear" w:color="auto" w:fill="00AF50"/>
          </w:tcPr>
          <w:p>
            <w:pPr>
              <w:pStyle w:val="TableParagraph"/>
              <w:rPr>
                <w:rFonts w:ascii="Times New Roman"/>
                <w:sz w:val="16"/>
              </w:rPr>
            </w:pPr>
          </w:p>
        </w:tc>
        <w:tc>
          <w:tcPr>
            <w:tcW w:w="3426" w:type="dxa"/>
            <w:tcBorders>
              <w:bottom w:val="single" w:sz="8" w:space="0" w:color="6E6E6E"/>
            </w:tcBorders>
          </w:tcPr>
          <w:p>
            <w:pPr>
              <w:pStyle w:val="TableParagraph"/>
              <w:rPr>
                <w:rFonts w:ascii="Times New Roman"/>
                <w:sz w:val="16"/>
              </w:rPr>
            </w:pPr>
          </w:p>
        </w:tc>
      </w:tr>
      <w:tr>
        <w:trPr>
          <w:trHeight w:val="587" w:hRule="atLeast"/>
        </w:trPr>
        <w:tc>
          <w:tcPr>
            <w:tcW w:w="4382" w:type="dxa"/>
            <w:vMerge/>
            <w:tcBorders>
              <w:top w:val="nil"/>
              <w:bottom w:val="nil"/>
            </w:tcBorders>
          </w:tcPr>
          <w:p>
            <w:pPr>
              <w:rPr>
                <w:sz w:val="2"/>
                <w:szCs w:val="2"/>
              </w:rPr>
            </w:pPr>
          </w:p>
        </w:tc>
        <w:tc>
          <w:tcPr>
            <w:tcW w:w="4652" w:type="dxa"/>
            <w:tcBorders>
              <w:top w:val="single" w:sz="8" w:space="0" w:color="6E6E6E"/>
            </w:tcBorders>
          </w:tcPr>
          <w:p>
            <w:pPr>
              <w:pStyle w:val="TableParagraph"/>
              <w:spacing w:line="252" w:lineRule="auto" w:before="88"/>
              <w:ind w:left="92"/>
              <w:rPr>
                <w:sz w:val="17"/>
              </w:rPr>
            </w:pPr>
            <w:r>
              <w:rPr>
                <w:sz w:val="17"/>
              </w:rPr>
              <w:t>RJC</w:t>
            </w:r>
            <w:r>
              <w:rPr>
                <w:spacing w:val="-6"/>
                <w:sz w:val="17"/>
              </w:rPr>
              <w:t> </w:t>
            </w:r>
            <w:r>
              <w:rPr>
                <w:sz w:val="17"/>
              </w:rPr>
              <w:t>approval</w:t>
            </w:r>
            <w:r>
              <w:rPr>
                <w:spacing w:val="-6"/>
                <w:sz w:val="17"/>
              </w:rPr>
              <w:t> </w:t>
            </w:r>
            <w:r>
              <w:rPr>
                <w:sz w:val="17"/>
              </w:rPr>
              <w:t>of</w:t>
            </w:r>
            <w:r>
              <w:rPr>
                <w:spacing w:val="-9"/>
                <w:sz w:val="17"/>
              </w:rPr>
              <w:t> </w:t>
            </w:r>
            <w:r>
              <w:rPr>
                <w:sz w:val="17"/>
              </w:rPr>
              <w:t>draft</w:t>
            </w:r>
            <w:r>
              <w:rPr>
                <w:spacing w:val="-5"/>
                <w:sz w:val="17"/>
              </w:rPr>
              <w:t> </w:t>
            </w:r>
            <w:r>
              <w:rPr>
                <w:sz w:val="17"/>
              </w:rPr>
              <w:t>long-term</w:t>
            </w:r>
            <w:r>
              <w:rPr>
                <w:spacing w:val="-4"/>
                <w:sz w:val="17"/>
              </w:rPr>
              <w:t> </w:t>
            </w:r>
            <w:r>
              <w:rPr>
                <w:sz w:val="17"/>
              </w:rPr>
              <w:t>Regional</w:t>
            </w:r>
            <w:r>
              <w:rPr>
                <w:spacing w:val="-5"/>
                <w:sz w:val="17"/>
              </w:rPr>
              <w:t> </w:t>
            </w:r>
            <w:r>
              <w:rPr>
                <w:sz w:val="17"/>
              </w:rPr>
              <w:t>Health</w:t>
            </w:r>
            <w:r>
              <w:rPr>
                <w:spacing w:val="-7"/>
                <w:sz w:val="17"/>
              </w:rPr>
              <w:t> </w:t>
            </w:r>
            <w:r>
              <w:rPr>
                <w:sz w:val="17"/>
              </w:rPr>
              <w:t>Economy Strategic Plan.</w:t>
            </w:r>
          </w:p>
        </w:tc>
        <w:tc>
          <w:tcPr>
            <w:tcW w:w="1531" w:type="dxa"/>
            <w:tcBorders>
              <w:top w:val="single" w:sz="8" w:space="0" w:color="6E6E6E"/>
            </w:tcBorders>
          </w:tcPr>
          <w:p>
            <w:pPr>
              <w:pStyle w:val="TableParagraph"/>
              <w:spacing w:before="193"/>
              <w:ind w:left="86"/>
              <w:rPr>
                <w:sz w:val="17"/>
              </w:rPr>
            </w:pPr>
            <w:r>
              <w:rPr>
                <w:sz w:val="17"/>
              </w:rPr>
              <w:t>March</w:t>
            </w:r>
            <w:r>
              <w:rPr>
                <w:spacing w:val="-7"/>
                <w:sz w:val="17"/>
              </w:rPr>
              <w:t> </w:t>
            </w:r>
            <w:r>
              <w:rPr>
                <w:spacing w:val="-4"/>
                <w:sz w:val="17"/>
              </w:rPr>
              <w:t>2027</w:t>
            </w:r>
          </w:p>
        </w:tc>
        <w:tc>
          <w:tcPr>
            <w:tcW w:w="1536" w:type="dxa"/>
            <w:tcBorders>
              <w:top w:val="single" w:sz="8" w:space="0" w:color="6E6E6E"/>
            </w:tcBorders>
            <w:shd w:val="clear" w:color="auto" w:fill="00AF50"/>
          </w:tcPr>
          <w:p>
            <w:pPr>
              <w:pStyle w:val="TableParagraph"/>
              <w:rPr>
                <w:rFonts w:ascii="Times New Roman"/>
                <w:sz w:val="16"/>
              </w:rPr>
            </w:pPr>
          </w:p>
        </w:tc>
        <w:tc>
          <w:tcPr>
            <w:tcW w:w="3426" w:type="dxa"/>
            <w:tcBorders>
              <w:top w:val="single" w:sz="8" w:space="0" w:color="6E6E6E"/>
            </w:tcBorders>
          </w:tcPr>
          <w:p>
            <w:pPr>
              <w:pStyle w:val="TableParagraph"/>
              <w:rPr>
                <w:rFonts w:ascii="Times New Roman"/>
                <w:sz w:val="16"/>
              </w:rPr>
            </w:pPr>
          </w:p>
        </w:tc>
      </w:tr>
    </w:tbl>
    <w:p>
      <w:pPr>
        <w:pStyle w:val="BodyText"/>
        <w:spacing w:before="152"/>
        <w:rPr>
          <w:b/>
          <w:sz w:val="26"/>
        </w:rPr>
      </w:pPr>
    </w:p>
    <w:p>
      <w:pPr>
        <w:spacing w:before="0"/>
        <w:ind w:left="9" w:right="8" w:firstLine="0"/>
        <w:jc w:val="center"/>
        <w:rPr>
          <w:sz w:val="14"/>
        </w:rPr>
      </w:pPr>
      <w:r>
        <w:rPr>
          <w:color w:val="1F4E79"/>
          <w:sz w:val="14"/>
        </w:rPr>
        <w:t>Hywel</w:t>
      </w:r>
      <w:r>
        <w:rPr>
          <w:color w:val="1F4E79"/>
          <w:spacing w:val="-5"/>
          <w:sz w:val="14"/>
        </w:rPr>
        <w:t> </w:t>
      </w:r>
      <w:r>
        <w:rPr>
          <w:color w:val="1F4E79"/>
          <w:sz w:val="14"/>
        </w:rPr>
        <w:t>Dda</w:t>
      </w:r>
      <w:r>
        <w:rPr>
          <w:color w:val="1F4E79"/>
          <w:spacing w:val="-2"/>
          <w:sz w:val="14"/>
        </w:rPr>
        <w:t> </w:t>
      </w:r>
      <w:r>
        <w:rPr>
          <w:color w:val="1F4E79"/>
          <w:sz w:val="14"/>
        </w:rPr>
        <w:t>/</w:t>
      </w:r>
      <w:r>
        <w:rPr>
          <w:color w:val="1F4E79"/>
          <w:spacing w:val="-6"/>
          <w:sz w:val="14"/>
        </w:rPr>
        <w:t> </w:t>
      </w:r>
      <w:r>
        <w:rPr>
          <w:color w:val="1F4E79"/>
          <w:sz w:val="14"/>
        </w:rPr>
        <w:t>Swansea</w:t>
      </w:r>
      <w:r>
        <w:rPr>
          <w:color w:val="1F4E79"/>
          <w:spacing w:val="-5"/>
          <w:sz w:val="14"/>
        </w:rPr>
        <w:t> </w:t>
      </w:r>
      <w:r>
        <w:rPr>
          <w:color w:val="1F4E79"/>
          <w:sz w:val="14"/>
        </w:rPr>
        <w:t>Bay</w:t>
      </w:r>
      <w:r>
        <w:rPr>
          <w:color w:val="1F4E79"/>
          <w:spacing w:val="-3"/>
          <w:sz w:val="14"/>
        </w:rPr>
        <w:t> </w:t>
      </w:r>
      <w:r>
        <w:rPr>
          <w:color w:val="1F4E79"/>
          <w:sz w:val="14"/>
        </w:rPr>
        <w:t>University</w:t>
      </w:r>
      <w:r>
        <w:rPr>
          <w:color w:val="1F4E79"/>
          <w:spacing w:val="-3"/>
          <w:sz w:val="14"/>
        </w:rPr>
        <w:t> </w:t>
      </w:r>
      <w:r>
        <w:rPr>
          <w:color w:val="1F4E79"/>
          <w:sz w:val="14"/>
        </w:rPr>
        <w:t>Health</w:t>
      </w:r>
      <w:r>
        <w:rPr>
          <w:color w:val="1F4E79"/>
          <w:spacing w:val="-2"/>
          <w:sz w:val="14"/>
        </w:rPr>
        <w:t> </w:t>
      </w:r>
      <w:r>
        <w:rPr>
          <w:color w:val="1F4E79"/>
          <w:sz w:val="14"/>
        </w:rPr>
        <w:t>Boards</w:t>
      </w:r>
      <w:r>
        <w:rPr>
          <w:color w:val="1F4E79"/>
          <w:spacing w:val="-2"/>
          <w:sz w:val="14"/>
        </w:rPr>
        <w:t> </w:t>
      </w:r>
      <w:r>
        <w:rPr>
          <w:color w:val="1F4E79"/>
          <w:sz w:val="14"/>
        </w:rPr>
        <w:t>|</w:t>
      </w:r>
      <w:r>
        <w:rPr>
          <w:color w:val="1F4E79"/>
          <w:spacing w:val="-9"/>
          <w:sz w:val="14"/>
        </w:rPr>
        <w:t> </w:t>
      </w:r>
      <w:r>
        <w:rPr>
          <w:color w:val="1F4E79"/>
          <w:sz w:val="14"/>
        </w:rPr>
        <w:t>Byrddau</w:t>
      </w:r>
      <w:r>
        <w:rPr>
          <w:color w:val="1F4E79"/>
          <w:spacing w:val="-2"/>
          <w:sz w:val="14"/>
        </w:rPr>
        <w:t> </w:t>
      </w:r>
      <w:r>
        <w:rPr>
          <w:color w:val="1F4E79"/>
          <w:sz w:val="14"/>
        </w:rPr>
        <w:t>Iechyd</w:t>
      </w:r>
      <w:r>
        <w:rPr>
          <w:color w:val="1F4E79"/>
          <w:spacing w:val="-2"/>
          <w:sz w:val="14"/>
        </w:rPr>
        <w:t> </w:t>
      </w:r>
      <w:r>
        <w:rPr>
          <w:color w:val="1F4E79"/>
          <w:sz w:val="14"/>
        </w:rPr>
        <w:t>Prifysgol</w:t>
      </w:r>
      <w:r>
        <w:rPr>
          <w:color w:val="1F4E79"/>
          <w:spacing w:val="-4"/>
          <w:sz w:val="14"/>
        </w:rPr>
        <w:t> </w:t>
      </w:r>
      <w:r>
        <w:rPr>
          <w:color w:val="1F4E79"/>
          <w:sz w:val="14"/>
        </w:rPr>
        <w:t>Hywel</w:t>
      </w:r>
      <w:r>
        <w:rPr>
          <w:color w:val="1F4E79"/>
          <w:spacing w:val="-5"/>
          <w:sz w:val="14"/>
        </w:rPr>
        <w:t> </w:t>
      </w:r>
      <w:r>
        <w:rPr>
          <w:color w:val="1F4E79"/>
          <w:sz w:val="14"/>
        </w:rPr>
        <w:t>Dda</w:t>
      </w:r>
      <w:r>
        <w:rPr>
          <w:color w:val="1F4E79"/>
          <w:spacing w:val="-1"/>
          <w:sz w:val="14"/>
        </w:rPr>
        <w:t> </w:t>
      </w:r>
      <w:r>
        <w:rPr>
          <w:color w:val="1F4E79"/>
          <w:sz w:val="14"/>
        </w:rPr>
        <w:t>/</w:t>
      </w:r>
      <w:r>
        <w:rPr>
          <w:color w:val="1F4E79"/>
          <w:spacing w:val="-7"/>
          <w:sz w:val="14"/>
        </w:rPr>
        <w:t> </w:t>
      </w:r>
      <w:r>
        <w:rPr>
          <w:color w:val="1F4E79"/>
          <w:sz w:val="14"/>
        </w:rPr>
        <w:t>Bae</w:t>
      </w:r>
      <w:r>
        <w:rPr>
          <w:color w:val="1F4E79"/>
          <w:spacing w:val="-1"/>
          <w:sz w:val="14"/>
        </w:rPr>
        <w:t> </w:t>
      </w:r>
      <w:r>
        <w:rPr>
          <w:color w:val="1F4E79"/>
          <w:spacing w:val="-2"/>
          <w:sz w:val="14"/>
        </w:rPr>
        <w:t>Abertawe</w:t>
      </w:r>
    </w:p>
    <w:p>
      <w:pPr>
        <w:spacing w:after="0"/>
        <w:jc w:val="center"/>
        <w:rPr>
          <w:sz w:val="14"/>
        </w:rPr>
        <w:sectPr>
          <w:pgSz w:w="16840" w:h="11910" w:orient="landscape"/>
          <w:pgMar w:header="0" w:footer="198" w:top="840" w:bottom="380" w:left="566" w:right="566"/>
        </w:sectPr>
      </w:pPr>
    </w:p>
    <w:p>
      <w:pPr>
        <w:pStyle w:val="BodyText"/>
        <w:spacing w:before="2"/>
        <w:rPr>
          <w:sz w:val="2"/>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4382"/>
        <w:gridCol w:w="4652"/>
        <w:gridCol w:w="1531"/>
        <w:gridCol w:w="1536"/>
        <w:gridCol w:w="3426"/>
      </w:tblGrid>
      <w:tr>
        <w:trPr>
          <w:trHeight w:val="360" w:hRule="atLeast"/>
        </w:trPr>
        <w:tc>
          <w:tcPr>
            <w:tcW w:w="4382" w:type="dxa"/>
            <w:shd w:val="clear" w:color="auto" w:fill="1F4E79"/>
          </w:tcPr>
          <w:p>
            <w:pPr>
              <w:pStyle w:val="TableParagraph"/>
              <w:spacing w:before="89"/>
              <w:ind w:left="107"/>
              <w:rPr>
                <w:b/>
                <w:sz w:val="15"/>
              </w:rPr>
            </w:pPr>
            <w:r>
              <w:rPr>
                <w:b/>
                <w:color w:val="FFFFFF"/>
                <w:sz w:val="15"/>
              </w:rPr>
              <w:t>RJC</w:t>
            </w:r>
            <w:r>
              <w:rPr>
                <w:b/>
                <w:color w:val="FFFFFF"/>
                <w:spacing w:val="-5"/>
                <w:sz w:val="15"/>
              </w:rPr>
              <w:t> </w:t>
            </w:r>
            <w:r>
              <w:rPr>
                <w:b/>
                <w:color w:val="FFFFFF"/>
                <w:sz w:val="15"/>
              </w:rPr>
              <w:t>Subgroup</w:t>
            </w:r>
            <w:r>
              <w:rPr>
                <w:b/>
                <w:color w:val="FFFFFF"/>
                <w:spacing w:val="-2"/>
                <w:sz w:val="15"/>
              </w:rPr>
              <w:t> Objective</w:t>
            </w:r>
          </w:p>
        </w:tc>
        <w:tc>
          <w:tcPr>
            <w:tcW w:w="4652" w:type="dxa"/>
            <w:shd w:val="clear" w:color="auto" w:fill="1F4E79"/>
          </w:tcPr>
          <w:p>
            <w:pPr>
              <w:pStyle w:val="TableParagraph"/>
              <w:spacing w:before="89"/>
              <w:ind w:left="92"/>
              <w:rPr>
                <w:b/>
                <w:sz w:val="15"/>
              </w:rPr>
            </w:pPr>
            <w:r>
              <w:rPr>
                <w:b/>
                <w:color w:val="FFFFFF"/>
                <w:sz w:val="15"/>
              </w:rPr>
              <w:t>Milestone</w:t>
            </w:r>
            <w:r>
              <w:rPr>
                <w:b/>
                <w:color w:val="FFFFFF"/>
                <w:spacing w:val="-5"/>
                <w:sz w:val="15"/>
              </w:rPr>
              <w:t> </w:t>
            </w:r>
            <w:r>
              <w:rPr>
                <w:b/>
                <w:color w:val="FFFFFF"/>
                <w:sz w:val="15"/>
              </w:rPr>
              <w:t>/</w:t>
            </w:r>
            <w:r>
              <w:rPr>
                <w:b/>
                <w:color w:val="FFFFFF"/>
                <w:spacing w:val="-6"/>
                <w:sz w:val="15"/>
              </w:rPr>
              <w:t> </w:t>
            </w:r>
            <w:r>
              <w:rPr>
                <w:b/>
                <w:color w:val="FFFFFF"/>
                <w:spacing w:val="-2"/>
                <w:sz w:val="15"/>
              </w:rPr>
              <w:t>Deliverable</w:t>
            </w:r>
          </w:p>
        </w:tc>
        <w:tc>
          <w:tcPr>
            <w:tcW w:w="1531" w:type="dxa"/>
            <w:shd w:val="clear" w:color="auto" w:fill="1F4E79"/>
          </w:tcPr>
          <w:p>
            <w:pPr>
              <w:pStyle w:val="TableParagraph"/>
              <w:spacing w:before="89"/>
              <w:ind w:left="86"/>
              <w:rPr>
                <w:b/>
                <w:sz w:val="15"/>
              </w:rPr>
            </w:pPr>
            <w:r>
              <w:rPr>
                <w:b/>
                <w:color w:val="FFFFFF"/>
                <w:sz w:val="15"/>
              </w:rPr>
              <w:t>Target</w:t>
            </w:r>
            <w:r>
              <w:rPr>
                <w:b/>
                <w:color w:val="FFFFFF"/>
                <w:spacing w:val="2"/>
                <w:sz w:val="15"/>
              </w:rPr>
              <w:t> </w:t>
            </w:r>
            <w:r>
              <w:rPr>
                <w:b/>
                <w:color w:val="FFFFFF"/>
                <w:spacing w:val="-4"/>
                <w:sz w:val="15"/>
              </w:rPr>
              <w:t>Date</w:t>
            </w:r>
          </w:p>
        </w:tc>
        <w:tc>
          <w:tcPr>
            <w:tcW w:w="1536" w:type="dxa"/>
            <w:shd w:val="clear" w:color="auto" w:fill="1F4E79"/>
          </w:tcPr>
          <w:p>
            <w:pPr>
              <w:pStyle w:val="TableParagraph"/>
              <w:spacing w:before="89"/>
              <w:ind w:left="90"/>
              <w:rPr>
                <w:b/>
                <w:sz w:val="15"/>
              </w:rPr>
            </w:pPr>
            <w:r>
              <w:rPr>
                <w:b/>
                <w:color w:val="FFFFFF"/>
                <w:sz w:val="15"/>
              </w:rPr>
              <w:t>This</w:t>
            </w:r>
            <w:r>
              <w:rPr>
                <w:b/>
                <w:color w:val="FFFFFF"/>
                <w:spacing w:val="-4"/>
                <w:sz w:val="15"/>
              </w:rPr>
              <w:t> </w:t>
            </w:r>
            <w:r>
              <w:rPr>
                <w:b/>
                <w:color w:val="FFFFFF"/>
                <w:sz w:val="15"/>
              </w:rPr>
              <w:t>Period</w:t>
            </w:r>
            <w:r>
              <w:rPr>
                <w:b/>
                <w:color w:val="FFFFFF"/>
                <w:spacing w:val="-5"/>
                <w:sz w:val="15"/>
              </w:rPr>
              <w:t> </w:t>
            </w:r>
            <w:r>
              <w:rPr>
                <w:b/>
                <w:color w:val="FFFFFF"/>
                <w:spacing w:val="-2"/>
                <w:sz w:val="15"/>
              </w:rPr>
              <w:t>(RAG)</w:t>
            </w:r>
          </w:p>
        </w:tc>
        <w:tc>
          <w:tcPr>
            <w:tcW w:w="3426" w:type="dxa"/>
            <w:shd w:val="clear" w:color="auto" w:fill="1F4E79"/>
          </w:tcPr>
          <w:p>
            <w:pPr>
              <w:pStyle w:val="TableParagraph"/>
              <w:spacing w:before="89"/>
              <w:ind w:left="90"/>
              <w:rPr>
                <w:b/>
                <w:sz w:val="15"/>
              </w:rPr>
            </w:pPr>
            <w:r>
              <w:rPr>
                <w:b/>
                <w:color w:val="FFFFFF"/>
                <w:sz w:val="15"/>
              </w:rPr>
              <w:t>Comments</w:t>
            </w:r>
            <w:r>
              <w:rPr>
                <w:b/>
                <w:color w:val="FFFFFF"/>
                <w:spacing w:val="-2"/>
                <w:sz w:val="15"/>
              </w:rPr>
              <w:t> </w:t>
            </w:r>
            <w:r>
              <w:rPr>
                <w:b/>
                <w:color w:val="FFFFFF"/>
                <w:sz w:val="15"/>
              </w:rPr>
              <w:t>/</w:t>
            </w:r>
            <w:r>
              <w:rPr>
                <w:b/>
                <w:color w:val="FFFFFF"/>
                <w:spacing w:val="-4"/>
                <w:sz w:val="15"/>
              </w:rPr>
              <w:t> </w:t>
            </w:r>
            <w:r>
              <w:rPr>
                <w:b/>
                <w:color w:val="FFFFFF"/>
                <w:spacing w:val="-2"/>
                <w:sz w:val="15"/>
              </w:rPr>
              <w:t>Notes</w:t>
            </w:r>
          </w:p>
        </w:tc>
      </w:tr>
      <w:tr>
        <w:trPr>
          <w:trHeight w:val="590" w:hRule="atLeast"/>
        </w:trPr>
        <w:tc>
          <w:tcPr>
            <w:tcW w:w="4382" w:type="dxa"/>
          </w:tcPr>
          <w:p>
            <w:pPr>
              <w:pStyle w:val="TableParagraph"/>
              <w:rPr>
                <w:rFonts w:ascii="Times New Roman"/>
                <w:sz w:val="16"/>
              </w:rPr>
            </w:pPr>
          </w:p>
        </w:tc>
        <w:tc>
          <w:tcPr>
            <w:tcW w:w="4652" w:type="dxa"/>
          </w:tcPr>
          <w:p>
            <w:pPr>
              <w:pStyle w:val="TableParagraph"/>
              <w:spacing w:line="252" w:lineRule="auto" w:before="90"/>
              <w:ind w:left="92" w:right="38"/>
              <w:rPr>
                <w:sz w:val="17"/>
              </w:rPr>
            </w:pPr>
            <w:r>
              <w:rPr>
                <w:sz w:val="17"/>
              </w:rPr>
              <w:t>Translate</w:t>
            </w:r>
            <w:r>
              <w:rPr>
                <w:spacing w:val="-7"/>
                <w:sz w:val="17"/>
              </w:rPr>
              <w:t> </w:t>
            </w:r>
            <w:r>
              <w:rPr>
                <w:sz w:val="17"/>
              </w:rPr>
              <w:t>strategic</w:t>
            </w:r>
            <w:r>
              <w:rPr>
                <w:spacing w:val="-8"/>
                <w:sz w:val="17"/>
              </w:rPr>
              <w:t> </w:t>
            </w:r>
            <w:r>
              <w:rPr>
                <w:sz w:val="17"/>
              </w:rPr>
              <w:t>plan</w:t>
            </w:r>
            <w:r>
              <w:rPr>
                <w:spacing w:val="-7"/>
                <w:sz w:val="17"/>
              </w:rPr>
              <w:t> </w:t>
            </w:r>
            <w:r>
              <w:rPr>
                <w:sz w:val="17"/>
              </w:rPr>
              <w:t>into</w:t>
            </w:r>
            <w:r>
              <w:rPr>
                <w:spacing w:val="-7"/>
                <w:sz w:val="17"/>
              </w:rPr>
              <w:t> </w:t>
            </w:r>
            <w:r>
              <w:rPr>
                <w:sz w:val="17"/>
              </w:rPr>
              <w:t>delivery</w:t>
            </w:r>
            <w:r>
              <w:rPr>
                <w:spacing w:val="-8"/>
                <w:sz w:val="17"/>
              </w:rPr>
              <w:t> </w:t>
            </w:r>
            <w:r>
              <w:rPr>
                <w:sz w:val="17"/>
              </w:rPr>
              <w:t>plan,</w:t>
            </w:r>
            <w:r>
              <w:rPr>
                <w:spacing w:val="-10"/>
                <w:sz w:val="17"/>
              </w:rPr>
              <w:t> </w:t>
            </w:r>
            <w:r>
              <w:rPr>
                <w:sz w:val="17"/>
              </w:rPr>
              <w:t>benefits framework and annual review cycle.</w:t>
            </w:r>
          </w:p>
        </w:tc>
        <w:tc>
          <w:tcPr>
            <w:tcW w:w="1531" w:type="dxa"/>
          </w:tcPr>
          <w:p>
            <w:pPr>
              <w:pStyle w:val="TableParagraph"/>
              <w:rPr>
                <w:sz w:val="17"/>
              </w:rPr>
            </w:pPr>
          </w:p>
          <w:p>
            <w:pPr>
              <w:pStyle w:val="TableParagraph"/>
              <w:ind w:left="86"/>
              <w:rPr>
                <w:sz w:val="17"/>
              </w:rPr>
            </w:pPr>
            <w:r>
              <w:rPr>
                <w:sz w:val="17"/>
              </w:rPr>
              <w:t>April </w:t>
            </w:r>
            <w:r>
              <w:rPr>
                <w:spacing w:val="-4"/>
                <w:sz w:val="17"/>
              </w:rPr>
              <w:t>2027</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r>
        <w:trPr>
          <w:trHeight w:val="800" w:hRule="atLeast"/>
        </w:trPr>
        <w:tc>
          <w:tcPr>
            <w:tcW w:w="4382" w:type="dxa"/>
            <w:vMerge w:val="restart"/>
          </w:tcPr>
          <w:p>
            <w:pPr>
              <w:pStyle w:val="TableParagraph"/>
              <w:tabs>
                <w:tab w:pos="827" w:val="left" w:leader="none"/>
              </w:tabs>
              <w:spacing w:line="254" w:lineRule="auto" w:before="90"/>
              <w:ind w:left="107" w:right="118"/>
              <w:rPr>
                <w:sz w:val="17"/>
              </w:rPr>
            </w:pPr>
            <w:r>
              <w:rPr>
                <w:spacing w:val="-2"/>
                <w:sz w:val="17"/>
              </w:rPr>
              <w:t>3.2.2</w:t>
            </w:r>
            <w:r>
              <w:rPr>
                <w:sz w:val="17"/>
              </w:rPr>
              <w:tab/>
              <w:t>Seek</w:t>
            </w:r>
            <w:r>
              <w:rPr>
                <w:spacing w:val="-8"/>
                <w:sz w:val="17"/>
              </w:rPr>
              <w:t> </w:t>
            </w:r>
            <w:r>
              <w:rPr>
                <w:sz w:val="17"/>
              </w:rPr>
              <w:t>assurance</w:t>
            </w:r>
            <w:r>
              <w:rPr>
                <w:spacing w:val="-7"/>
                <w:sz w:val="17"/>
              </w:rPr>
              <w:t> </w:t>
            </w:r>
            <w:r>
              <w:rPr>
                <w:sz w:val="17"/>
              </w:rPr>
              <w:t>that</w:t>
            </w:r>
            <w:r>
              <w:rPr>
                <w:spacing w:val="-10"/>
                <w:sz w:val="17"/>
              </w:rPr>
              <w:t> </w:t>
            </w:r>
            <w:r>
              <w:rPr>
                <w:sz w:val="17"/>
              </w:rPr>
              <w:t>a</w:t>
            </w:r>
            <w:r>
              <w:rPr>
                <w:spacing w:val="-3"/>
                <w:sz w:val="17"/>
              </w:rPr>
              <w:t> </w:t>
            </w:r>
            <w:r>
              <w:rPr>
                <w:sz w:val="17"/>
              </w:rPr>
              <w:t>shared</w:t>
            </w:r>
            <w:r>
              <w:rPr>
                <w:spacing w:val="-7"/>
                <w:sz w:val="17"/>
              </w:rPr>
              <w:t> </w:t>
            </w:r>
            <w:r>
              <w:rPr>
                <w:sz w:val="17"/>
              </w:rPr>
              <w:t>regional</w:t>
            </w:r>
            <w:r>
              <w:rPr>
                <w:spacing w:val="-6"/>
                <w:sz w:val="17"/>
              </w:rPr>
              <w:t> </w:t>
            </w:r>
            <w:r>
              <w:rPr>
                <w:sz w:val="17"/>
              </w:rPr>
              <w:t>health profile is established which identifies the key drivers of health inequality</w:t>
            </w:r>
            <w:r>
              <w:rPr>
                <w:spacing w:val="-1"/>
                <w:sz w:val="17"/>
              </w:rPr>
              <w:t> </w:t>
            </w:r>
            <w:r>
              <w:rPr>
                <w:sz w:val="17"/>
              </w:rPr>
              <w:t>and future healthcare demand across the region and is routinely used to inform regional </w:t>
            </w:r>
            <w:r>
              <w:rPr>
                <w:spacing w:val="-2"/>
                <w:sz w:val="17"/>
              </w:rPr>
              <w:t>planning.</w:t>
            </w:r>
          </w:p>
        </w:tc>
        <w:tc>
          <w:tcPr>
            <w:tcW w:w="4652" w:type="dxa"/>
          </w:tcPr>
          <w:p>
            <w:pPr>
              <w:pStyle w:val="TableParagraph"/>
              <w:spacing w:before="100"/>
              <w:rPr>
                <w:sz w:val="17"/>
              </w:rPr>
            </w:pPr>
          </w:p>
          <w:p>
            <w:pPr>
              <w:pStyle w:val="TableParagraph"/>
              <w:ind w:left="92"/>
              <w:rPr>
                <w:sz w:val="17"/>
              </w:rPr>
            </w:pPr>
            <w:r>
              <w:rPr>
                <w:sz w:val="17"/>
              </w:rPr>
              <w:t>Develop</w:t>
            </w:r>
            <w:r>
              <w:rPr>
                <w:spacing w:val="-5"/>
                <w:sz w:val="17"/>
              </w:rPr>
              <w:t> </w:t>
            </w:r>
            <w:r>
              <w:rPr>
                <w:sz w:val="17"/>
              </w:rPr>
              <w:t>Regional</w:t>
            </w:r>
            <w:r>
              <w:rPr>
                <w:spacing w:val="-5"/>
                <w:sz w:val="17"/>
              </w:rPr>
              <w:t> </w:t>
            </w:r>
            <w:r>
              <w:rPr>
                <w:sz w:val="17"/>
              </w:rPr>
              <w:t>Health</w:t>
            </w:r>
            <w:r>
              <w:rPr>
                <w:spacing w:val="-5"/>
                <w:sz w:val="17"/>
              </w:rPr>
              <w:t> </w:t>
            </w:r>
            <w:r>
              <w:rPr>
                <w:sz w:val="17"/>
              </w:rPr>
              <w:t>Intelligence</w:t>
            </w:r>
            <w:r>
              <w:rPr>
                <w:spacing w:val="-5"/>
                <w:sz w:val="17"/>
              </w:rPr>
              <w:t> </w:t>
            </w:r>
            <w:r>
              <w:rPr>
                <w:sz w:val="17"/>
              </w:rPr>
              <w:t>Scoping</w:t>
            </w:r>
            <w:r>
              <w:rPr>
                <w:spacing w:val="-4"/>
                <w:sz w:val="17"/>
              </w:rPr>
              <w:t> </w:t>
            </w:r>
            <w:r>
              <w:rPr>
                <w:spacing w:val="-2"/>
                <w:sz w:val="17"/>
              </w:rPr>
              <w:t>Document.</w:t>
            </w:r>
          </w:p>
        </w:tc>
        <w:tc>
          <w:tcPr>
            <w:tcW w:w="1531" w:type="dxa"/>
          </w:tcPr>
          <w:p>
            <w:pPr>
              <w:pStyle w:val="TableParagraph"/>
              <w:spacing w:before="100"/>
              <w:rPr>
                <w:sz w:val="17"/>
              </w:rPr>
            </w:pPr>
          </w:p>
          <w:p>
            <w:pPr>
              <w:pStyle w:val="TableParagraph"/>
              <w:ind w:left="86"/>
              <w:rPr>
                <w:sz w:val="17"/>
              </w:rPr>
            </w:pPr>
            <w:r>
              <w:rPr>
                <w:sz w:val="17"/>
              </w:rPr>
              <w:t>August</w:t>
            </w:r>
            <w:r>
              <w:rPr>
                <w:spacing w:val="-4"/>
                <w:sz w:val="17"/>
              </w:rPr>
              <w:t> 2026</w:t>
            </w:r>
          </w:p>
        </w:tc>
        <w:tc>
          <w:tcPr>
            <w:tcW w:w="1536" w:type="dxa"/>
            <w:shd w:val="clear" w:color="auto" w:fill="00AF50"/>
          </w:tcPr>
          <w:p>
            <w:pPr>
              <w:pStyle w:val="TableParagraph"/>
              <w:rPr>
                <w:rFonts w:ascii="Times New Roman"/>
                <w:sz w:val="16"/>
              </w:rPr>
            </w:pPr>
          </w:p>
        </w:tc>
        <w:tc>
          <w:tcPr>
            <w:tcW w:w="3426" w:type="dxa"/>
          </w:tcPr>
          <w:p>
            <w:pPr>
              <w:pStyle w:val="TableParagraph"/>
              <w:spacing w:line="254" w:lineRule="auto" w:before="90"/>
              <w:ind w:left="90" w:right="280"/>
              <w:jc w:val="both"/>
              <w:rPr>
                <w:sz w:val="17"/>
              </w:rPr>
            </w:pPr>
            <w:r>
              <w:rPr>
                <w:sz w:val="17"/>
              </w:rPr>
              <w:t>Scoping</w:t>
            </w:r>
            <w:r>
              <w:rPr>
                <w:spacing w:val="-6"/>
                <w:sz w:val="17"/>
              </w:rPr>
              <w:t> </w:t>
            </w:r>
            <w:r>
              <w:rPr>
                <w:sz w:val="17"/>
              </w:rPr>
              <w:t>document</w:t>
            </w:r>
            <w:r>
              <w:rPr>
                <w:spacing w:val="-8"/>
                <w:sz w:val="17"/>
              </w:rPr>
              <w:t> </w:t>
            </w:r>
            <w:r>
              <w:rPr>
                <w:sz w:val="17"/>
              </w:rPr>
              <w:t>endorsed</w:t>
            </w:r>
            <w:r>
              <w:rPr>
                <w:spacing w:val="-6"/>
                <w:sz w:val="17"/>
              </w:rPr>
              <w:t> </w:t>
            </w:r>
            <w:r>
              <w:rPr>
                <w:sz w:val="17"/>
              </w:rPr>
              <w:t>in</w:t>
            </w:r>
            <w:r>
              <w:rPr>
                <w:spacing w:val="-6"/>
                <w:sz w:val="17"/>
              </w:rPr>
              <w:t> </w:t>
            </w:r>
            <w:r>
              <w:rPr>
                <w:sz w:val="17"/>
              </w:rPr>
              <w:t>principle on</w:t>
            </w:r>
            <w:r>
              <w:rPr>
                <w:spacing w:val="-9"/>
                <w:sz w:val="17"/>
              </w:rPr>
              <w:t> </w:t>
            </w:r>
            <w:r>
              <w:rPr>
                <w:sz w:val="17"/>
              </w:rPr>
              <w:t>14</w:t>
            </w:r>
            <w:r>
              <w:rPr>
                <w:spacing w:val="-9"/>
                <w:sz w:val="17"/>
              </w:rPr>
              <w:t> </w:t>
            </w:r>
            <w:r>
              <w:rPr>
                <w:sz w:val="17"/>
              </w:rPr>
              <w:t>September;</w:t>
            </w:r>
            <w:r>
              <w:rPr>
                <w:spacing w:val="-8"/>
                <w:sz w:val="17"/>
              </w:rPr>
              <w:t> </w:t>
            </w:r>
            <w:r>
              <w:rPr>
                <w:sz w:val="17"/>
              </w:rPr>
              <w:t>phased</w:t>
            </w:r>
            <w:r>
              <w:rPr>
                <w:spacing w:val="-9"/>
                <w:sz w:val="17"/>
              </w:rPr>
              <w:t> </w:t>
            </w:r>
            <w:r>
              <w:rPr>
                <w:sz w:val="17"/>
              </w:rPr>
              <w:t>approach</w:t>
            </w:r>
            <w:r>
              <w:rPr>
                <w:spacing w:val="-9"/>
                <w:sz w:val="17"/>
              </w:rPr>
              <w:t> </w:t>
            </w:r>
            <w:r>
              <w:rPr>
                <w:sz w:val="17"/>
              </w:rPr>
              <w:t>and ARCH HNA refresh agreed.</w:t>
            </w:r>
          </w:p>
        </w:tc>
      </w:tr>
      <w:tr>
        <w:trPr>
          <w:trHeight w:val="795" w:hRule="atLeast"/>
        </w:trPr>
        <w:tc>
          <w:tcPr>
            <w:tcW w:w="4382" w:type="dxa"/>
            <w:vMerge/>
            <w:tcBorders>
              <w:top w:val="nil"/>
            </w:tcBorders>
          </w:tcPr>
          <w:p>
            <w:pPr>
              <w:rPr>
                <w:sz w:val="2"/>
                <w:szCs w:val="2"/>
              </w:rPr>
            </w:pPr>
          </w:p>
        </w:tc>
        <w:tc>
          <w:tcPr>
            <w:tcW w:w="4652" w:type="dxa"/>
          </w:tcPr>
          <w:p>
            <w:pPr>
              <w:pStyle w:val="TableParagraph"/>
              <w:spacing w:line="252" w:lineRule="auto" w:before="91"/>
              <w:ind w:left="92" w:right="121"/>
              <w:rPr>
                <w:sz w:val="17"/>
              </w:rPr>
            </w:pPr>
            <w:r>
              <w:rPr>
                <w:sz w:val="17"/>
              </w:rPr>
              <w:t>Agree</w:t>
            </w:r>
            <w:r>
              <w:rPr>
                <w:spacing w:val="-6"/>
                <w:sz w:val="17"/>
              </w:rPr>
              <w:t> </w:t>
            </w:r>
            <w:r>
              <w:rPr>
                <w:sz w:val="17"/>
              </w:rPr>
              <w:t>inequalities</w:t>
            </w:r>
            <w:r>
              <w:rPr>
                <w:spacing w:val="-6"/>
                <w:sz w:val="17"/>
              </w:rPr>
              <w:t> </w:t>
            </w:r>
            <w:r>
              <w:rPr>
                <w:sz w:val="17"/>
              </w:rPr>
              <w:t>plan</w:t>
            </w:r>
            <w:r>
              <w:rPr>
                <w:spacing w:val="-6"/>
                <w:sz w:val="17"/>
              </w:rPr>
              <w:t> </w:t>
            </w:r>
            <w:r>
              <w:rPr>
                <w:sz w:val="17"/>
              </w:rPr>
              <w:t>and</w:t>
            </w:r>
            <w:r>
              <w:rPr>
                <w:spacing w:val="-6"/>
                <w:sz w:val="17"/>
              </w:rPr>
              <w:t> </w:t>
            </w:r>
            <w:r>
              <w:rPr>
                <w:sz w:val="17"/>
              </w:rPr>
              <w:t>evaluation</w:t>
            </w:r>
            <w:r>
              <w:rPr>
                <w:spacing w:val="-6"/>
                <w:sz w:val="17"/>
              </w:rPr>
              <w:t> </w:t>
            </w:r>
            <w:r>
              <w:rPr>
                <w:sz w:val="17"/>
              </w:rPr>
              <w:t>approach</w:t>
            </w:r>
            <w:r>
              <w:rPr>
                <w:spacing w:val="-6"/>
                <w:sz w:val="17"/>
              </w:rPr>
              <w:t> </w:t>
            </w:r>
            <w:r>
              <w:rPr>
                <w:sz w:val="17"/>
              </w:rPr>
              <w:t>with</w:t>
            </w:r>
            <w:r>
              <w:rPr>
                <w:spacing w:val="-6"/>
                <w:sz w:val="17"/>
              </w:rPr>
              <w:t> </w:t>
            </w:r>
            <w:r>
              <w:rPr>
                <w:sz w:val="17"/>
              </w:rPr>
              <w:t>Joint Senior Management Teams across both Local Public Health Teams.</w:t>
            </w:r>
          </w:p>
        </w:tc>
        <w:tc>
          <w:tcPr>
            <w:tcW w:w="1531" w:type="dxa"/>
          </w:tcPr>
          <w:p>
            <w:pPr>
              <w:pStyle w:val="TableParagraph"/>
              <w:spacing w:before="100"/>
              <w:rPr>
                <w:sz w:val="17"/>
              </w:rPr>
            </w:pPr>
          </w:p>
          <w:p>
            <w:pPr>
              <w:pStyle w:val="TableParagraph"/>
              <w:ind w:left="86"/>
              <w:rPr>
                <w:sz w:val="17"/>
              </w:rPr>
            </w:pPr>
            <w:r>
              <w:rPr>
                <w:sz w:val="17"/>
              </w:rPr>
              <w:t>September</w:t>
            </w:r>
            <w:r>
              <w:rPr>
                <w:spacing w:val="-12"/>
                <w:sz w:val="17"/>
              </w:rPr>
              <w:t> </w:t>
            </w:r>
            <w:r>
              <w:rPr>
                <w:spacing w:val="-4"/>
                <w:sz w:val="17"/>
              </w:rPr>
              <w:t>2026</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r>
        <w:trPr>
          <w:trHeight w:val="795" w:hRule="atLeast"/>
        </w:trPr>
        <w:tc>
          <w:tcPr>
            <w:tcW w:w="4382" w:type="dxa"/>
            <w:vMerge/>
            <w:tcBorders>
              <w:top w:val="nil"/>
            </w:tcBorders>
          </w:tcPr>
          <w:p>
            <w:pPr>
              <w:rPr>
                <w:sz w:val="2"/>
                <w:szCs w:val="2"/>
              </w:rPr>
            </w:pPr>
          </w:p>
        </w:tc>
        <w:tc>
          <w:tcPr>
            <w:tcW w:w="4652" w:type="dxa"/>
          </w:tcPr>
          <w:p>
            <w:pPr>
              <w:pStyle w:val="TableParagraph"/>
              <w:spacing w:line="252" w:lineRule="auto" w:before="90"/>
              <w:ind w:left="92" w:right="102"/>
              <w:rPr>
                <w:sz w:val="17"/>
              </w:rPr>
            </w:pPr>
            <w:r>
              <w:rPr>
                <w:sz w:val="17"/>
              </w:rPr>
              <w:t>Develop</w:t>
            </w:r>
            <w:r>
              <w:rPr>
                <w:spacing w:val="-7"/>
                <w:sz w:val="17"/>
              </w:rPr>
              <w:t> </w:t>
            </w:r>
            <w:r>
              <w:rPr>
                <w:sz w:val="17"/>
              </w:rPr>
              <w:t>shared</w:t>
            </w:r>
            <w:r>
              <w:rPr>
                <w:spacing w:val="-7"/>
                <w:sz w:val="17"/>
              </w:rPr>
              <w:t> </w:t>
            </w:r>
            <w:r>
              <w:rPr>
                <w:sz w:val="17"/>
              </w:rPr>
              <w:t>regional</w:t>
            </w:r>
            <w:r>
              <w:rPr>
                <w:spacing w:val="-5"/>
                <w:sz w:val="17"/>
              </w:rPr>
              <w:t> </w:t>
            </w:r>
            <w:r>
              <w:rPr>
                <w:sz w:val="17"/>
              </w:rPr>
              <w:t>health</w:t>
            </w:r>
            <w:r>
              <w:rPr>
                <w:spacing w:val="-7"/>
                <w:sz w:val="17"/>
              </w:rPr>
              <w:t> </w:t>
            </w:r>
            <w:r>
              <w:rPr>
                <w:sz w:val="17"/>
              </w:rPr>
              <w:t>equity</w:t>
            </w:r>
            <w:r>
              <w:rPr>
                <w:spacing w:val="-8"/>
                <w:sz w:val="17"/>
              </w:rPr>
              <w:t> </w:t>
            </w:r>
            <w:r>
              <w:rPr>
                <w:sz w:val="17"/>
              </w:rPr>
              <w:t>framework,</w:t>
            </w:r>
            <w:r>
              <w:rPr>
                <w:spacing w:val="-5"/>
                <w:sz w:val="17"/>
              </w:rPr>
              <w:t> </w:t>
            </w:r>
            <w:r>
              <w:rPr>
                <w:sz w:val="17"/>
              </w:rPr>
              <w:t>including common methodology, regional priorities, pilots,</w:t>
            </w:r>
            <w:r>
              <w:rPr>
                <w:spacing w:val="40"/>
                <w:sz w:val="17"/>
              </w:rPr>
              <w:t> </w:t>
            </w:r>
            <w:r>
              <w:rPr>
                <w:sz w:val="17"/>
              </w:rPr>
              <w:t>ownership, governance, funding and measures</w:t>
            </w:r>
          </w:p>
        </w:tc>
        <w:tc>
          <w:tcPr>
            <w:tcW w:w="1531" w:type="dxa"/>
          </w:tcPr>
          <w:p>
            <w:pPr>
              <w:pStyle w:val="TableParagraph"/>
              <w:spacing w:before="100"/>
              <w:rPr>
                <w:sz w:val="17"/>
              </w:rPr>
            </w:pPr>
          </w:p>
          <w:p>
            <w:pPr>
              <w:pStyle w:val="TableParagraph"/>
              <w:ind w:left="86"/>
              <w:rPr>
                <w:sz w:val="17"/>
              </w:rPr>
            </w:pPr>
            <w:r>
              <w:rPr>
                <w:sz w:val="17"/>
              </w:rPr>
              <w:t>October</w:t>
            </w:r>
            <w:r>
              <w:rPr>
                <w:spacing w:val="-13"/>
                <w:sz w:val="17"/>
              </w:rPr>
              <w:t> </w:t>
            </w:r>
            <w:r>
              <w:rPr>
                <w:spacing w:val="-4"/>
                <w:sz w:val="17"/>
              </w:rPr>
              <w:t>2026</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r>
        <w:trPr>
          <w:trHeight w:val="795" w:hRule="atLeast"/>
        </w:trPr>
        <w:tc>
          <w:tcPr>
            <w:tcW w:w="4382" w:type="dxa"/>
            <w:vMerge/>
            <w:tcBorders>
              <w:top w:val="nil"/>
            </w:tcBorders>
          </w:tcPr>
          <w:p>
            <w:pPr>
              <w:rPr>
                <w:sz w:val="2"/>
                <w:szCs w:val="2"/>
              </w:rPr>
            </w:pPr>
          </w:p>
        </w:tc>
        <w:tc>
          <w:tcPr>
            <w:tcW w:w="4652" w:type="dxa"/>
          </w:tcPr>
          <w:p>
            <w:pPr>
              <w:pStyle w:val="TableParagraph"/>
              <w:spacing w:line="252" w:lineRule="auto" w:before="90"/>
              <w:ind w:left="92"/>
              <w:rPr>
                <w:sz w:val="17"/>
              </w:rPr>
            </w:pPr>
            <w:r>
              <w:rPr>
                <w:sz w:val="17"/>
              </w:rPr>
              <w:t>Confirm ownership, delivery leadership, minimum viable scope</w:t>
            </w:r>
            <w:r>
              <w:rPr>
                <w:spacing w:val="-5"/>
                <w:sz w:val="17"/>
              </w:rPr>
              <w:t> </w:t>
            </w:r>
            <w:r>
              <w:rPr>
                <w:sz w:val="17"/>
              </w:rPr>
              <w:t>and</w:t>
            </w:r>
            <w:r>
              <w:rPr>
                <w:spacing w:val="-5"/>
                <w:sz w:val="17"/>
              </w:rPr>
              <w:t> </w:t>
            </w:r>
            <w:r>
              <w:rPr>
                <w:sz w:val="17"/>
              </w:rPr>
              <w:t>available</w:t>
            </w:r>
            <w:r>
              <w:rPr>
                <w:spacing w:val="-5"/>
                <w:sz w:val="17"/>
              </w:rPr>
              <w:t> </w:t>
            </w:r>
            <w:r>
              <w:rPr>
                <w:sz w:val="17"/>
              </w:rPr>
              <w:t>capacity</w:t>
            </w:r>
            <w:r>
              <w:rPr>
                <w:spacing w:val="-4"/>
                <w:sz w:val="17"/>
              </w:rPr>
              <w:t> </w:t>
            </w:r>
            <w:r>
              <w:rPr>
                <w:sz w:val="17"/>
              </w:rPr>
              <w:t>for</w:t>
            </w:r>
            <w:r>
              <w:rPr>
                <w:spacing w:val="-7"/>
                <w:sz w:val="17"/>
              </w:rPr>
              <w:t> </w:t>
            </w:r>
            <w:r>
              <w:rPr>
                <w:sz w:val="17"/>
              </w:rPr>
              <w:t>development</w:t>
            </w:r>
            <w:r>
              <w:rPr>
                <w:spacing w:val="-8"/>
                <w:sz w:val="17"/>
              </w:rPr>
              <w:t> </w:t>
            </w:r>
            <w:r>
              <w:rPr>
                <w:sz w:val="17"/>
              </w:rPr>
              <w:t>of</w:t>
            </w:r>
            <w:r>
              <w:rPr>
                <w:spacing w:val="-8"/>
                <w:sz w:val="17"/>
              </w:rPr>
              <w:t> </w:t>
            </w:r>
            <w:r>
              <w:rPr>
                <w:sz w:val="17"/>
              </w:rPr>
              <w:t>Regional Health Intelligence Profile</w:t>
            </w:r>
          </w:p>
        </w:tc>
        <w:tc>
          <w:tcPr>
            <w:tcW w:w="1531" w:type="dxa"/>
          </w:tcPr>
          <w:p>
            <w:pPr>
              <w:pStyle w:val="TableParagraph"/>
              <w:spacing w:before="100"/>
              <w:rPr>
                <w:sz w:val="17"/>
              </w:rPr>
            </w:pPr>
          </w:p>
          <w:p>
            <w:pPr>
              <w:pStyle w:val="TableParagraph"/>
              <w:ind w:left="86"/>
              <w:rPr>
                <w:sz w:val="17"/>
              </w:rPr>
            </w:pPr>
            <w:r>
              <w:rPr>
                <w:sz w:val="17"/>
              </w:rPr>
              <w:t>October</w:t>
            </w:r>
            <w:r>
              <w:rPr>
                <w:spacing w:val="-13"/>
                <w:sz w:val="17"/>
              </w:rPr>
              <w:t> </w:t>
            </w:r>
            <w:r>
              <w:rPr>
                <w:spacing w:val="-4"/>
                <w:sz w:val="17"/>
              </w:rPr>
              <w:t>2026</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r>
        <w:trPr>
          <w:trHeight w:val="540" w:hRule="atLeast"/>
        </w:trPr>
        <w:tc>
          <w:tcPr>
            <w:tcW w:w="4382" w:type="dxa"/>
            <w:vMerge/>
            <w:tcBorders>
              <w:top w:val="nil"/>
            </w:tcBorders>
          </w:tcPr>
          <w:p>
            <w:pPr>
              <w:rPr>
                <w:sz w:val="2"/>
                <w:szCs w:val="2"/>
              </w:rPr>
            </w:pPr>
          </w:p>
        </w:tc>
        <w:tc>
          <w:tcPr>
            <w:tcW w:w="4652" w:type="dxa"/>
          </w:tcPr>
          <w:p>
            <w:pPr>
              <w:pStyle w:val="TableParagraph"/>
              <w:spacing w:before="171"/>
              <w:ind w:left="92"/>
              <w:rPr>
                <w:sz w:val="17"/>
              </w:rPr>
            </w:pPr>
            <w:r>
              <w:rPr>
                <w:sz w:val="17"/>
              </w:rPr>
              <w:t>Produce</w:t>
            </w:r>
            <w:r>
              <w:rPr>
                <w:spacing w:val="-5"/>
                <w:sz w:val="17"/>
              </w:rPr>
              <w:t> </w:t>
            </w:r>
            <w:r>
              <w:rPr>
                <w:sz w:val="17"/>
              </w:rPr>
              <w:t>a</w:t>
            </w:r>
            <w:r>
              <w:rPr>
                <w:spacing w:val="-5"/>
                <w:sz w:val="17"/>
              </w:rPr>
              <w:t> </w:t>
            </w:r>
            <w:r>
              <w:rPr>
                <w:sz w:val="17"/>
              </w:rPr>
              <w:t>shared</w:t>
            </w:r>
            <w:r>
              <w:rPr>
                <w:spacing w:val="-5"/>
                <w:sz w:val="17"/>
              </w:rPr>
              <w:t> </w:t>
            </w:r>
            <w:r>
              <w:rPr>
                <w:sz w:val="17"/>
              </w:rPr>
              <w:t>regional</w:t>
            </w:r>
            <w:r>
              <w:rPr>
                <w:spacing w:val="-4"/>
                <w:sz w:val="17"/>
              </w:rPr>
              <w:t> </w:t>
            </w:r>
            <w:r>
              <w:rPr>
                <w:sz w:val="17"/>
              </w:rPr>
              <w:t>health</w:t>
            </w:r>
            <w:r>
              <w:rPr>
                <w:spacing w:val="-4"/>
                <w:sz w:val="17"/>
              </w:rPr>
              <w:t> </w:t>
            </w:r>
            <w:r>
              <w:rPr>
                <w:spacing w:val="-2"/>
                <w:sz w:val="17"/>
              </w:rPr>
              <w:t>profile.</w:t>
            </w:r>
          </w:p>
        </w:tc>
        <w:tc>
          <w:tcPr>
            <w:tcW w:w="1531" w:type="dxa"/>
          </w:tcPr>
          <w:p>
            <w:pPr>
              <w:pStyle w:val="TableParagraph"/>
              <w:spacing w:before="171"/>
              <w:ind w:left="86"/>
              <w:rPr>
                <w:sz w:val="17"/>
              </w:rPr>
            </w:pPr>
            <w:r>
              <w:rPr>
                <w:sz w:val="17"/>
              </w:rPr>
              <w:t>March</w:t>
            </w:r>
            <w:r>
              <w:rPr>
                <w:spacing w:val="-7"/>
                <w:sz w:val="17"/>
              </w:rPr>
              <w:t> </w:t>
            </w:r>
            <w:r>
              <w:rPr>
                <w:spacing w:val="-4"/>
                <w:sz w:val="17"/>
              </w:rPr>
              <w:t>2027</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r>
        <w:trPr>
          <w:trHeight w:val="795" w:hRule="atLeast"/>
        </w:trPr>
        <w:tc>
          <w:tcPr>
            <w:tcW w:w="4382" w:type="dxa"/>
            <w:vMerge w:val="restart"/>
          </w:tcPr>
          <w:p>
            <w:pPr>
              <w:pStyle w:val="TableParagraph"/>
              <w:tabs>
                <w:tab w:pos="827" w:val="left" w:leader="none"/>
              </w:tabs>
              <w:spacing w:line="252" w:lineRule="auto" w:before="90"/>
              <w:ind w:left="107" w:right="272"/>
              <w:rPr>
                <w:sz w:val="17"/>
              </w:rPr>
            </w:pPr>
            <w:r>
              <w:rPr>
                <w:spacing w:val="-2"/>
                <w:sz w:val="17"/>
              </w:rPr>
              <w:t>3.2.3</w:t>
            </w:r>
            <w:r>
              <w:rPr>
                <w:sz w:val="17"/>
              </w:rPr>
              <w:tab/>
              <w:t>Oversee the required preparatory work enabling the regional health economy to become a designated</w:t>
            </w:r>
            <w:r>
              <w:rPr>
                <w:spacing w:val="-5"/>
                <w:sz w:val="17"/>
              </w:rPr>
              <w:t> </w:t>
            </w:r>
            <w:r>
              <w:rPr>
                <w:sz w:val="17"/>
              </w:rPr>
              <w:t>WHO</w:t>
            </w:r>
            <w:r>
              <w:rPr>
                <w:spacing w:val="-7"/>
                <w:sz w:val="17"/>
              </w:rPr>
              <w:t> </w:t>
            </w:r>
            <w:r>
              <w:rPr>
                <w:sz w:val="17"/>
              </w:rPr>
              <w:t>sub</w:t>
            </w:r>
            <w:r>
              <w:rPr>
                <w:spacing w:val="-5"/>
                <w:sz w:val="17"/>
              </w:rPr>
              <w:t> </w:t>
            </w:r>
            <w:r>
              <w:rPr>
                <w:sz w:val="17"/>
              </w:rPr>
              <w:t>regional</w:t>
            </w:r>
            <w:r>
              <w:rPr>
                <w:spacing w:val="-3"/>
                <w:sz w:val="17"/>
              </w:rPr>
              <w:t> </w:t>
            </w:r>
            <w:r>
              <w:rPr>
                <w:sz w:val="17"/>
              </w:rPr>
              <w:t>health</w:t>
            </w:r>
            <w:r>
              <w:rPr>
                <w:spacing w:val="-5"/>
                <w:sz w:val="17"/>
              </w:rPr>
              <w:t> </w:t>
            </w:r>
            <w:r>
              <w:rPr>
                <w:sz w:val="17"/>
              </w:rPr>
              <w:t>network</w:t>
            </w:r>
            <w:r>
              <w:rPr>
                <w:spacing w:val="-6"/>
                <w:sz w:val="17"/>
              </w:rPr>
              <w:t> </w:t>
            </w:r>
            <w:r>
              <w:rPr>
                <w:sz w:val="17"/>
              </w:rPr>
              <w:t>so</w:t>
            </w:r>
            <w:r>
              <w:rPr>
                <w:spacing w:val="-5"/>
                <w:sz w:val="17"/>
              </w:rPr>
              <w:t> </w:t>
            </w:r>
            <w:r>
              <w:rPr>
                <w:sz w:val="17"/>
              </w:rPr>
              <w:t>that the RJC can benefit from the shared learning opportunities</w:t>
            </w:r>
            <w:r>
              <w:rPr>
                <w:spacing w:val="-8"/>
                <w:sz w:val="17"/>
              </w:rPr>
              <w:t> </w:t>
            </w:r>
            <w:r>
              <w:rPr>
                <w:sz w:val="17"/>
              </w:rPr>
              <w:t>afforded</w:t>
            </w:r>
            <w:r>
              <w:rPr>
                <w:spacing w:val="-8"/>
                <w:sz w:val="17"/>
              </w:rPr>
              <w:t> </w:t>
            </w:r>
            <w:r>
              <w:rPr>
                <w:sz w:val="17"/>
              </w:rPr>
              <w:t>by</w:t>
            </w:r>
            <w:r>
              <w:rPr>
                <w:spacing w:val="-4"/>
                <w:sz w:val="17"/>
              </w:rPr>
              <w:t> </w:t>
            </w:r>
            <w:r>
              <w:rPr>
                <w:sz w:val="17"/>
              </w:rPr>
              <w:t>participation</w:t>
            </w:r>
            <w:r>
              <w:rPr>
                <w:spacing w:val="-8"/>
                <w:sz w:val="17"/>
              </w:rPr>
              <w:t> </w:t>
            </w:r>
            <w:r>
              <w:rPr>
                <w:sz w:val="17"/>
              </w:rPr>
              <w:t>in</w:t>
            </w:r>
            <w:r>
              <w:rPr>
                <w:spacing w:val="-8"/>
                <w:sz w:val="17"/>
              </w:rPr>
              <w:t> </w:t>
            </w:r>
            <w:r>
              <w:rPr>
                <w:sz w:val="17"/>
              </w:rPr>
              <w:t>the</w:t>
            </w:r>
            <w:r>
              <w:rPr>
                <w:spacing w:val="-8"/>
                <w:sz w:val="17"/>
              </w:rPr>
              <w:t> </w:t>
            </w:r>
            <w:r>
              <w:rPr>
                <w:sz w:val="17"/>
              </w:rPr>
              <w:t>network.</w:t>
            </w:r>
          </w:p>
        </w:tc>
        <w:tc>
          <w:tcPr>
            <w:tcW w:w="4652" w:type="dxa"/>
          </w:tcPr>
          <w:p>
            <w:pPr>
              <w:pStyle w:val="TableParagraph"/>
              <w:spacing w:line="252" w:lineRule="auto" w:before="90"/>
              <w:ind w:left="92" w:right="121"/>
              <w:rPr>
                <w:sz w:val="17"/>
              </w:rPr>
            </w:pPr>
            <w:r>
              <w:rPr>
                <w:sz w:val="17"/>
              </w:rPr>
              <w:t>Hold International Learning Webinar hosted by WHO Europe</w:t>
            </w:r>
            <w:r>
              <w:rPr>
                <w:spacing w:val="-6"/>
                <w:sz w:val="17"/>
              </w:rPr>
              <w:t> </w:t>
            </w:r>
            <w:r>
              <w:rPr>
                <w:sz w:val="17"/>
              </w:rPr>
              <w:t>Regions</w:t>
            </w:r>
            <w:r>
              <w:rPr>
                <w:spacing w:val="-7"/>
                <w:sz w:val="17"/>
              </w:rPr>
              <w:t> </w:t>
            </w:r>
            <w:r>
              <w:rPr>
                <w:sz w:val="17"/>
              </w:rPr>
              <w:t>for</w:t>
            </w:r>
            <w:r>
              <w:rPr>
                <w:spacing w:val="-8"/>
                <w:sz w:val="17"/>
              </w:rPr>
              <w:t> </w:t>
            </w:r>
            <w:r>
              <w:rPr>
                <w:sz w:val="17"/>
              </w:rPr>
              <w:t>Health</w:t>
            </w:r>
            <w:r>
              <w:rPr>
                <w:spacing w:val="-6"/>
                <w:sz w:val="17"/>
              </w:rPr>
              <w:t> </w:t>
            </w:r>
            <w:r>
              <w:rPr>
                <w:sz w:val="17"/>
              </w:rPr>
              <w:t>Network</w:t>
            </w:r>
            <w:r>
              <w:rPr>
                <w:spacing w:val="-7"/>
                <w:sz w:val="17"/>
              </w:rPr>
              <w:t> </w:t>
            </w:r>
            <w:r>
              <w:rPr>
                <w:sz w:val="17"/>
              </w:rPr>
              <w:t>and</w:t>
            </w:r>
            <w:r>
              <w:rPr>
                <w:spacing w:val="-6"/>
                <w:sz w:val="17"/>
              </w:rPr>
              <w:t> </w:t>
            </w:r>
            <w:r>
              <w:rPr>
                <w:sz w:val="17"/>
              </w:rPr>
              <w:t>WHO</w:t>
            </w:r>
            <w:r>
              <w:rPr>
                <w:spacing w:val="-9"/>
                <w:sz w:val="17"/>
              </w:rPr>
              <w:t> </w:t>
            </w:r>
            <w:r>
              <w:rPr>
                <w:sz w:val="17"/>
              </w:rPr>
              <w:t>Europe Healthy Cities Network</w:t>
            </w:r>
          </w:p>
        </w:tc>
        <w:tc>
          <w:tcPr>
            <w:tcW w:w="1531" w:type="dxa"/>
          </w:tcPr>
          <w:p>
            <w:pPr>
              <w:pStyle w:val="TableParagraph"/>
              <w:spacing w:before="100"/>
              <w:rPr>
                <w:sz w:val="17"/>
              </w:rPr>
            </w:pPr>
          </w:p>
          <w:p>
            <w:pPr>
              <w:pStyle w:val="TableParagraph"/>
              <w:ind w:left="86"/>
              <w:rPr>
                <w:sz w:val="17"/>
              </w:rPr>
            </w:pPr>
            <w:r>
              <w:rPr>
                <w:sz w:val="17"/>
              </w:rPr>
              <w:t>July</w:t>
            </w:r>
            <w:r>
              <w:rPr>
                <w:spacing w:val="-3"/>
                <w:sz w:val="17"/>
              </w:rPr>
              <w:t> </w:t>
            </w:r>
            <w:r>
              <w:rPr>
                <w:spacing w:val="-4"/>
                <w:sz w:val="17"/>
              </w:rPr>
              <w:t>2026</w:t>
            </w:r>
          </w:p>
        </w:tc>
        <w:tc>
          <w:tcPr>
            <w:tcW w:w="1536" w:type="dxa"/>
            <w:shd w:val="clear" w:color="auto" w:fill="00AF50"/>
          </w:tcPr>
          <w:p>
            <w:pPr>
              <w:pStyle w:val="TableParagraph"/>
              <w:rPr>
                <w:rFonts w:ascii="Times New Roman"/>
                <w:sz w:val="16"/>
              </w:rPr>
            </w:pPr>
          </w:p>
        </w:tc>
        <w:tc>
          <w:tcPr>
            <w:tcW w:w="3426" w:type="dxa"/>
          </w:tcPr>
          <w:p>
            <w:pPr>
              <w:pStyle w:val="TableParagraph"/>
              <w:rPr>
                <w:sz w:val="17"/>
              </w:rPr>
            </w:pPr>
          </w:p>
          <w:p>
            <w:pPr>
              <w:pStyle w:val="TableParagraph"/>
              <w:spacing w:line="252" w:lineRule="auto"/>
              <w:ind w:left="90"/>
              <w:rPr>
                <w:sz w:val="17"/>
              </w:rPr>
            </w:pPr>
            <w:r>
              <w:rPr>
                <w:sz w:val="17"/>
              </w:rPr>
              <w:t>Complete.</w:t>
            </w:r>
            <w:r>
              <w:rPr>
                <w:spacing w:val="-11"/>
                <w:sz w:val="17"/>
              </w:rPr>
              <w:t> </w:t>
            </w:r>
            <w:r>
              <w:rPr>
                <w:sz w:val="17"/>
              </w:rPr>
              <w:t>Webinar</w:t>
            </w:r>
            <w:r>
              <w:rPr>
                <w:spacing w:val="-11"/>
                <w:sz w:val="17"/>
              </w:rPr>
              <w:t> </w:t>
            </w:r>
            <w:r>
              <w:rPr>
                <w:sz w:val="17"/>
              </w:rPr>
              <w:t>Recording</w:t>
            </w:r>
            <w:r>
              <w:rPr>
                <w:spacing w:val="-9"/>
                <w:sz w:val="17"/>
              </w:rPr>
              <w:t> </w:t>
            </w:r>
            <w:r>
              <w:rPr>
                <w:sz w:val="17"/>
              </w:rPr>
              <w:t>and</w:t>
            </w:r>
            <w:r>
              <w:rPr>
                <w:spacing w:val="-9"/>
                <w:sz w:val="17"/>
              </w:rPr>
              <w:t> </w:t>
            </w:r>
            <w:r>
              <w:rPr>
                <w:sz w:val="17"/>
              </w:rPr>
              <w:t>Insights Report</w:t>
            </w:r>
            <w:r>
              <w:rPr>
                <w:spacing w:val="-3"/>
                <w:sz w:val="17"/>
              </w:rPr>
              <w:t> </w:t>
            </w:r>
            <w:r>
              <w:rPr>
                <w:sz w:val="17"/>
              </w:rPr>
              <w:t>circulated.</w:t>
            </w:r>
          </w:p>
        </w:tc>
      </w:tr>
      <w:tr>
        <w:trPr>
          <w:trHeight w:val="590" w:hRule="atLeast"/>
        </w:trPr>
        <w:tc>
          <w:tcPr>
            <w:tcW w:w="4382" w:type="dxa"/>
            <w:vMerge/>
            <w:tcBorders>
              <w:top w:val="nil"/>
            </w:tcBorders>
          </w:tcPr>
          <w:p>
            <w:pPr>
              <w:rPr>
                <w:sz w:val="2"/>
                <w:szCs w:val="2"/>
              </w:rPr>
            </w:pPr>
          </w:p>
        </w:tc>
        <w:tc>
          <w:tcPr>
            <w:tcW w:w="4652" w:type="dxa"/>
          </w:tcPr>
          <w:p>
            <w:pPr>
              <w:pStyle w:val="TableParagraph"/>
              <w:spacing w:line="252" w:lineRule="auto" w:before="90"/>
              <w:ind w:left="92"/>
              <w:rPr>
                <w:sz w:val="17"/>
              </w:rPr>
            </w:pPr>
            <w:r>
              <w:rPr>
                <w:sz w:val="17"/>
              </w:rPr>
              <w:t>Continue</w:t>
            </w:r>
            <w:r>
              <w:rPr>
                <w:spacing w:val="-7"/>
                <w:sz w:val="17"/>
              </w:rPr>
              <w:t> </w:t>
            </w:r>
            <w:r>
              <w:rPr>
                <w:sz w:val="17"/>
              </w:rPr>
              <w:t>ongoing</w:t>
            </w:r>
            <w:r>
              <w:rPr>
                <w:spacing w:val="-7"/>
                <w:sz w:val="17"/>
              </w:rPr>
              <w:t> </w:t>
            </w:r>
            <w:r>
              <w:rPr>
                <w:sz w:val="17"/>
              </w:rPr>
              <w:t>engagement</w:t>
            </w:r>
            <w:r>
              <w:rPr>
                <w:spacing w:val="-10"/>
                <w:sz w:val="17"/>
              </w:rPr>
              <w:t> </w:t>
            </w:r>
            <w:r>
              <w:rPr>
                <w:sz w:val="17"/>
              </w:rPr>
              <w:t>events</w:t>
            </w:r>
            <w:r>
              <w:rPr>
                <w:spacing w:val="-8"/>
                <w:sz w:val="17"/>
              </w:rPr>
              <w:t> </w:t>
            </w:r>
            <w:r>
              <w:rPr>
                <w:sz w:val="17"/>
              </w:rPr>
              <w:t>with</w:t>
            </w:r>
            <w:r>
              <w:rPr>
                <w:spacing w:val="-7"/>
                <w:sz w:val="17"/>
              </w:rPr>
              <w:t> </w:t>
            </w:r>
            <w:r>
              <w:rPr>
                <w:sz w:val="17"/>
              </w:rPr>
              <w:t>WHO</w:t>
            </w:r>
            <w:r>
              <w:rPr>
                <w:spacing w:val="-5"/>
                <w:sz w:val="17"/>
              </w:rPr>
              <w:t> </w:t>
            </w:r>
            <w:r>
              <w:rPr>
                <w:sz w:val="17"/>
              </w:rPr>
              <w:t>Europe Regions for Health Network and Healthy Cities Network</w:t>
            </w:r>
          </w:p>
        </w:tc>
        <w:tc>
          <w:tcPr>
            <w:tcW w:w="1531" w:type="dxa"/>
          </w:tcPr>
          <w:p>
            <w:pPr>
              <w:pStyle w:val="TableParagraph"/>
              <w:rPr>
                <w:sz w:val="17"/>
              </w:rPr>
            </w:pPr>
          </w:p>
          <w:p>
            <w:pPr>
              <w:pStyle w:val="TableParagraph"/>
              <w:ind w:left="86"/>
              <w:rPr>
                <w:sz w:val="17"/>
              </w:rPr>
            </w:pPr>
            <w:r>
              <w:rPr>
                <w:sz w:val="17"/>
              </w:rPr>
              <w:t>January</w:t>
            </w:r>
            <w:r>
              <w:rPr>
                <w:spacing w:val="-8"/>
                <w:sz w:val="17"/>
              </w:rPr>
              <w:t> </w:t>
            </w:r>
            <w:r>
              <w:rPr>
                <w:spacing w:val="-4"/>
                <w:sz w:val="17"/>
              </w:rPr>
              <w:t>2027</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r>
        <w:trPr>
          <w:trHeight w:val="590" w:hRule="atLeast"/>
        </w:trPr>
        <w:tc>
          <w:tcPr>
            <w:tcW w:w="4382" w:type="dxa"/>
            <w:vMerge/>
            <w:tcBorders>
              <w:top w:val="nil"/>
            </w:tcBorders>
          </w:tcPr>
          <w:p>
            <w:pPr>
              <w:rPr>
                <w:sz w:val="2"/>
                <w:szCs w:val="2"/>
              </w:rPr>
            </w:pPr>
          </w:p>
        </w:tc>
        <w:tc>
          <w:tcPr>
            <w:tcW w:w="4652" w:type="dxa"/>
          </w:tcPr>
          <w:p>
            <w:pPr>
              <w:pStyle w:val="TableParagraph"/>
              <w:spacing w:line="252" w:lineRule="auto" w:before="90"/>
              <w:ind w:left="92" w:right="121"/>
              <w:rPr>
                <w:sz w:val="17"/>
              </w:rPr>
            </w:pPr>
            <w:r>
              <w:rPr>
                <w:sz w:val="17"/>
              </w:rPr>
              <w:t>Explore</w:t>
            </w:r>
            <w:r>
              <w:rPr>
                <w:spacing w:val="-6"/>
                <w:sz w:val="17"/>
              </w:rPr>
              <w:t> </w:t>
            </w:r>
            <w:r>
              <w:rPr>
                <w:sz w:val="17"/>
              </w:rPr>
              <w:t>and</w:t>
            </w:r>
            <w:r>
              <w:rPr>
                <w:spacing w:val="-6"/>
                <w:sz w:val="17"/>
              </w:rPr>
              <w:t> </w:t>
            </w:r>
            <w:r>
              <w:rPr>
                <w:sz w:val="17"/>
              </w:rPr>
              <w:t>scope</w:t>
            </w:r>
            <w:r>
              <w:rPr>
                <w:spacing w:val="-5"/>
                <w:sz w:val="17"/>
              </w:rPr>
              <w:t> </w:t>
            </w:r>
            <w:r>
              <w:rPr>
                <w:sz w:val="17"/>
              </w:rPr>
              <w:t>WHO</w:t>
            </w:r>
            <w:r>
              <w:rPr>
                <w:spacing w:val="-8"/>
                <w:sz w:val="17"/>
              </w:rPr>
              <w:t> </w:t>
            </w:r>
            <w:r>
              <w:rPr>
                <w:sz w:val="17"/>
              </w:rPr>
              <w:t>Europe</w:t>
            </w:r>
            <w:r>
              <w:rPr>
                <w:spacing w:val="-6"/>
                <w:sz w:val="17"/>
              </w:rPr>
              <w:t> </w:t>
            </w:r>
            <w:r>
              <w:rPr>
                <w:sz w:val="17"/>
              </w:rPr>
              <w:t>Regions</w:t>
            </w:r>
            <w:r>
              <w:rPr>
                <w:spacing w:val="-7"/>
                <w:sz w:val="17"/>
              </w:rPr>
              <w:t> </w:t>
            </w:r>
            <w:r>
              <w:rPr>
                <w:sz w:val="17"/>
              </w:rPr>
              <w:t>for</w:t>
            </w:r>
            <w:r>
              <w:rPr>
                <w:spacing w:val="-7"/>
                <w:sz w:val="17"/>
              </w:rPr>
              <w:t> </w:t>
            </w:r>
            <w:r>
              <w:rPr>
                <w:sz w:val="17"/>
              </w:rPr>
              <w:t>Health Network</w:t>
            </w:r>
            <w:r>
              <w:rPr>
                <w:spacing w:val="-4"/>
                <w:sz w:val="17"/>
              </w:rPr>
              <w:t> </w:t>
            </w:r>
            <w:r>
              <w:rPr>
                <w:sz w:val="17"/>
              </w:rPr>
              <w:t>in-person</w:t>
            </w:r>
            <w:r>
              <w:rPr>
                <w:spacing w:val="-2"/>
                <w:sz w:val="17"/>
              </w:rPr>
              <w:t> </w:t>
            </w:r>
            <w:r>
              <w:rPr>
                <w:sz w:val="17"/>
              </w:rPr>
              <w:t>visit</w:t>
            </w:r>
            <w:r>
              <w:rPr>
                <w:spacing w:val="-6"/>
                <w:sz w:val="17"/>
              </w:rPr>
              <w:t> </w:t>
            </w:r>
            <w:r>
              <w:rPr>
                <w:sz w:val="17"/>
              </w:rPr>
              <w:t>to</w:t>
            </w:r>
            <w:r>
              <w:rPr>
                <w:spacing w:val="-2"/>
                <w:sz w:val="17"/>
              </w:rPr>
              <w:t> </w:t>
            </w:r>
            <w:r>
              <w:rPr>
                <w:sz w:val="17"/>
              </w:rPr>
              <w:t>Wales</w:t>
            </w:r>
            <w:r>
              <w:rPr>
                <w:spacing w:val="-3"/>
                <w:sz w:val="17"/>
              </w:rPr>
              <w:t> </w:t>
            </w:r>
            <w:r>
              <w:rPr>
                <w:sz w:val="17"/>
              </w:rPr>
              <w:t>with</w:t>
            </w:r>
            <w:r>
              <w:rPr>
                <w:spacing w:val="-2"/>
                <w:sz w:val="17"/>
              </w:rPr>
              <w:t> </w:t>
            </w:r>
            <w:r>
              <w:rPr>
                <w:sz w:val="17"/>
              </w:rPr>
              <w:t>RJC</w:t>
            </w:r>
            <w:r>
              <w:rPr>
                <w:spacing w:val="-1"/>
                <w:sz w:val="17"/>
              </w:rPr>
              <w:t> </w:t>
            </w:r>
            <w:r>
              <w:rPr>
                <w:spacing w:val="-2"/>
                <w:sz w:val="17"/>
              </w:rPr>
              <w:t>members</w:t>
            </w:r>
          </w:p>
        </w:tc>
        <w:tc>
          <w:tcPr>
            <w:tcW w:w="1531" w:type="dxa"/>
          </w:tcPr>
          <w:p>
            <w:pPr>
              <w:pStyle w:val="TableParagraph"/>
              <w:rPr>
                <w:sz w:val="17"/>
              </w:rPr>
            </w:pPr>
          </w:p>
          <w:p>
            <w:pPr>
              <w:pStyle w:val="TableParagraph"/>
              <w:ind w:left="86"/>
              <w:rPr>
                <w:sz w:val="17"/>
              </w:rPr>
            </w:pPr>
            <w:r>
              <w:rPr>
                <w:sz w:val="17"/>
              </w:rPr>
              <w:t>March</w:t>
            </w:r>
            <w:r>
              <w:rPr>
                <w:spacing w:val="-7"/>
                <w:sz w:val="17"/>
              </w:rPr>
              <w:t> </w:t>
            </w:r>
            <w:r>
              <w:rPr>
                <w:spacing w:val="-4"/>
                <w:sz w:val="17"/>
              </w:rPr>
              <w:t>2027</w:t>
            </w:r>
          </w:p>
        </w:tc>
        <w:tc>
          <w:tcPr>
            <w:tcW w:w="1536" w:type="dxa"/>
            <w:shd w:val="clear" w:color="auto" w:fill="00AF50"/>
          </w:tcPr>
          <w:p>
            <w:pPr>
              <w:pStyle w:val="TableParagraph"/>
              <w:rPr>
                <w:rFonts w:ascii="Times New Roman"/>
                <w:sz w:val="16"/>
              </w:rPr>
            </w:pPr>
          </w:p>
        </w:tc>
        <w:tc>
          <w:tcPr>
            <w:tcW w:w="3426" w:type="dxa"/>
          </w:tcPr>
          <w:p>
            <w:pPr>
              <w:pStyle w:val="TableParagraph"/>
              <w:rPr>
                <w:rFonts w:ascii="Times New Roman"/>
                <w:sz w:val="16"/>
              </w:rPr>
            </w:pPr>
          </w:p>
        </w:tc>
      </w:tr>
    </w:tbl>
    <w:p>
      <w:pPr>
        <w:pStyle w:val="Heading8"/>
        <w:numPr>
          <w:ilvl w:val="0"/>
          <w:numId w:val="28"/>
        </w:numPr>
        <w:tabs>
          <w:tab w:pos="367" w:val="left" w:leader="none"/>
        </w:tabs>
        <w:spacing w:line="240" w:lineRule="auto" w:before="164" w:after="0"/>
        <w:ind w:left="367" w:right="0" w:hanging="284"/>
        <w:jc w:val="left"/>
      </w:pPr>
      <w:r>
        <w:rPr>
          <w:color w:val="001F5F"/>
        </w:rPr>
        <w:t>Resource</w:t>
      </w:r>
      <w:r>
        <w:rPr>
          <w:color w:val="001F5F"/>
          <w:spacing w:val="-4"/>
        </w:rPr>
        <w:t> </w:t>
      </w:r>
      <w:r>
        <w:rPr>
          <w:color w:val="001F5F"/>
        </w:rPr>
        <w:t>/</w:t>
      </w:r>
      <w:r>
        <w:rPr>
          <w:color w:val="001F5F"/>
          <w:spacing w:val="-7"/>
        </w:rPr>
        <w:t> </w:t>
      </w:r>
      <w:r>
        <w:rPr>
          <w:color w:val="001F5F"/>
        </w:rPr>
        <w:t>Funding</w:t>
      </w:r>
      <w:r>
        <w:rPr>
          <w:color w:val="001F5F"/>
          <w:spacing w:val="-3"/>
        </w:rPr>
        <w:t> </w:t>
      </w:r>
      <w:r>
        <w:rPr>
          <w:color w:val="001F5F"/>
          <w:spacing w:val="-2"/>
        </w:rPr>
        <w:t>Considerations</w:t>
      </w:r>
    </w:p>
    <w:p>
      <w:pPr>
        <w:pStyle w:val="BodyText"/>
        <w:spacing w:before="10"/>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5172"/>
        <w:gridCol w:w="5177"/>
        <w:gridCol w:w="5178"/>
      </w:tblGrid>
      <w:tr>
        <w:trPr>
          <w:trHeight w:val="360" w:hRule="atLeast"/>
        </w:trPr>
        <w:tc>
          <w:tcPr>
            <w:tcW w:w="5172" w:type="dxa"/>
            <w:shd w:val="clear" w:color="auto" w:fill="1F4E79"/>
          </w:tcPr>
          <w:p>
            <w:pPr>
              <w:pStyle w:val="TableParagraph"/>
              <w:spacing w:before="89"/>
              <w:ind w:left="87"/>
              <w:rPr>
                <w:b/>
                <w:sz w:val="15"/>
              </w:rPr>
            </w:pPr>
            <w:r>
              <w:rPr>
                <w:b/>
                <w:color w:val="FFFFFF"/>
                <w:sz w:val="15"/>
              </w:rPr>
              <w:t>Resource</w:t>
            </w:r>
            <w:r>
              <w:rPr>
                <w:b/>
                <w:color w:val="FFFFFF"/>
                <w:spacing w:val="-4"/>
                <w:sz w:val="15"/>
              </w:rPr>
              <w:t> </w:t>
            </w:r>
            <w:r>
              <w:rPr>
                <w:b/>
                <w:color w:val="FFFFFF"/>
                <w:sz w:val="15"/>
              </w:rPr>
              <w:t>/</w:t>
            </w:r>
            <w:r>
              <w:rPr>
                <w:b/>
                <w:color w:val="FFFFFF"/>
                <w:spacing w:val="-6"/>
                <w:sz w:val="15"/>
              </w:rPr>
              <w:t> </w:t>
            </w:r>
            <w:r>
              <w:rPr>
                <w:b/>
                <w:color w:val="FFFFFF"/>
                <w:sz w:val="15"/>
              </w:rPr>
              <w:t>Funding</w:t>
            </w:r>
            <w:r>
              <w:rPr>
                <w:b/>
                <w:color w:val="FFFFFF"/>
                <w:spacing w:val="-5"/>
                <w:sz w:val="15"/>
              </w:rPr>
              <w:t> </w:t>
            </w:r>
            <w:r>
              <w:rPr>
                <w:b/>
                <w:color w:val="FFFFFF"/>
                <w:spacing w:val="-2"/>
                <w:sz w:val="15"/>
              </w:rPr>
              <w:t>Requirement</w:t>
            </w:r>
          </w:p>
        </w:tc>
        <w:tc>
          <w:tcPr>
            <w:tcW w:w="5177" w:type="dxa"/>
            <w:shd w:val="clear" w:color="auto" w:fill="1F4E79"/>
          </w:tcPr>
          <w:p>
            <w:pPr>
              <w:pStyle w:val="TableParagraph"/>
              <w:spacing w:before="89"/>
              <w:ind w:left="92"/>
              <w:rPr>
                <w:b/>
                <w:sz w:val="15"/>
              </w:rPr>
            </w:pPr>
            <w:r>
              <w:rPr>
                <w:b/>
                <w:color w:val="FFFFFF"/>
                <w:spacing w:val="-2"/>
                <w:sz w:val="15"/>
              </w:rPr>
              <w:t>Description</w:t>
            </w:r>
          </w:p>
        </w:tc>
        <w:tc>
          <w:tcPr>
            <w:tcW w:w="5178" w:type="dxa"/>
            <w:shd w:val="clear" w:color="auto" w:fill="1F4E79"/>
          </w:tcPr>
          <w:p>
            <w:pPr>
              <w:pStyle w:val="TableParagraph"/>
              <w:spacing w:before="89"/>
              <w:ind w:left="91"/>
              <w:rPr>
                <w:b/>
                <w:sz w:val="15"/>
              </w:rPr>
            </w:pPr>
            <w:r>
              <w:rPr>
                <w:b/>
                <w:color w:val="FFFFFF"/>
                <w:sz w:val="15"/>
              </w:rPr>
              <w:t>Impact</w:t>
            </w:r>
            <w:r>
              <w:rPr>
                <w:b/>
                <w:color w:val="FFFFFF"/>
                <w:spacing w:val="-5"/>
                <w:sz w:val="15"/>
              </w:rPr>
              <w:t> </w:t>
            </w:r>
            <w:r>
              <w:rPr>
                <w:b/>
                <w:color w:val="FFFFFF"/>
                <w:sz w:val="15"/>
              </w:rPr>
              <w:t>/</w:t>
            </w:r>
            <w:r>
              <w:rPr>
                <w:b/>
                <w:color w:val="FFFFFF"/>
                <w:spacing w:val="-4"/>
                <w:sz w:val="15"/>
              </w:rPr>
              <w:t> </w:t>
            </w:r>
            <w:r>
              <w:rPr>
                <w:b/>
                <w:color w:val="FFFFFF"/>
                <w:spacing w:val="-2"/>
                <w:sz w:val="15"/>
              </w:rPr>
              <w:t>Mitigation</w:t>
            </w:r>
          </w:p>
        </w:tc>
      </w:tr>
      <w:tr>
        <w:trPr>
          <w:trHeight w:val="2140" w:hRule="atLeast"/>
        </w:trPr>
        <w:tc>
          <w:tcPr>
            <w:tcW w:w="5172" w:type="dxa"/>
          </w:tcPr>
          <w:p>
            <w:pPr>
              <w:pStyle w:val="TableParagraph"/>
              <w:rPr>
                <w:b/>
                <w:sz w:val="18"/>
              </w:rPr>
            </w:pPr>
          </w:p>
          <w:p>
            <w:pPr>
              <w:pStyle w:val="TableParagraph"/>
              <w:rPr>
                <w:b/>
                <w:sz w:val="18"/>
              </w:rPr>
            </w:pPr>
          </w:p>
          <w:p>
            <w:pPr>
              <w:pStyle w:val="TableParagraph"/>
              <w:rPr>
                <w:b/>
                <w:sz w:val="18"/>
              </w:rPr>
            </w:pPr>
          </w:p>
          <w:p>
            <w:pPr>
              <w:pStyle w:val="TableParagraph"/>
              <w:spacing w:before="28"/>
              <w:rPr>
                <w:b/>
                <w:sz w:val="18"/>
              </w:rPr>
            </w:pPr>
          </w:p>
          <w:p>
            <w:pPr>
              <w:pStyle w:val="TableParagraph"/>
              <w:spacing w:line="249" w:lineRule="auto"/>
              <w:ind w:left="87" w:right="121"/>
              <w:rPr>
                <w:b/>
                <w:sz w:val="18"/>
              </w:rPr>
            </w:pPr>
            <w:r>
              <w:rPr>
                <w:b/>
                <w:sz w:val="18"/>
              </w:rPr>
              <w:t>RESOURCE</w:t>
            </w:r>
            <w:r>
              <w:rPr>
                <w:b/>
                <w:spacing w:val="-8"/>
                <w:sz w:val="18"/>
              </w:rPr>
              <w:t> </w:t>
            </w:r>
            <w:r>
              <w:rPr>
                <w:b/>
                <w:sz w:val="18"/>
              </w:rPr>
              <w:t>ANALYSIS</w:t>
            </w:r>
            <w:r>
              <w:rPr>
                <w:b/>
                <w:spacing w:val="-8"/>
                <w:sz w:val="18"/>
              </w:rPr>
              <w:t> </w:t>
            </w:r>
            <w:r>
              <w:rPr>
                <w:b/>
                <w:sz w:val="18"/>
              </w:rPr>
              <w:t>/</w:t>
            </w:r>
            <w:r>
              <w:rPr>
                <w:b/>
                <w:spacing w:val="-8"/>
                <w:sz w:val="18"/>
              </w:rPr>
              <w:t> </w:t>
            </w:r>
            <w:r>
              <w:rPr>
                <w:b/>
                <w:sz w:val="18"/>
              </w:rPr>
              <w:t>ASSUMPTIONS</w:t>
            </w:r>
            <w:r>
              <w:rPr>
                <w:b/>
                <w:spacing w:val="-8"/>
                <w:sz w:val="18"/>
              </w:rPr>
              <w:t> </w:t>
            </w:r>
            <w:r>
              <w:rPr>
                <w:b/>
                <w:sz w:val="18"/>
              </w:rPr>
              <w:t>/ REQUIREMENTS / IMPACT / GAPS</w:t>
            </w:r>
          </w:p>
        </w:tc>
        <w:tc>
          <w:tcPr>
            <w:tcW w:w="5177" w:type="dxa"/>
          </w:tcPr>
          <w:p>
            <w:pPr>
              <w:pStyle w:val="TableParagraph"/>
              <w:spacing w:line="252" w:lineRule="auto" w:before="91"/>
              <w:ind w:left="92" w:right="27"/>
              <w:rPr>
                <w:sz w:val="18"/>
              </w:rPr>
            </w:pPr>
            <w:r>
              <w:rPr>
                <w:sz w:val="18"/>
              </w:rPr>
              <w:t>The work is based on existing public health team capacity, PHW input, RJC PMO coordination and partner support. Delivery</w:t>
            </w:r>
            <w:r>
              <w:rPr>
                <w:spacing w:val="-5"/>
                <w:sz w:val="18"/>
              </w:rPr>
              <w:t> </w:t>
            </w:r>
            <w:r>
              <w:rPr>
                <w:sz w:val="18"/>
              </w:rPr>
              <w:t>will</w:t>
            </w:r>
            <w:r>
              <w:rPr>
                <w:spacing w:val="-5"/>
                <w:sz w:val="18"/>
              </w:rPr>
              <w:t> </w:t>
            </w:r>
            <w:r>
              <w:rPr>
                <w:sz w:val="18"/>
              </w:rPr>
              <w:t>require</w:t>
            </w:r>
            <w:r>
              <w:rPr>
                <w:spacing w:val="-5"/>
                <w:sz w:val="18"/>
              </w:rPr>
              <w:t> </w:t>
            </w:r>
            <w:r>
              <w:rPr>
                <w:sz w:val="18"/>
              </w:rPr>
              <w:t>clear</w:t>
            </w:r>
            <w:r>
              <w:rPr>
                <w:spacing w:val="-5"/>
                <w:sz w:val="18"/>
              </w:rPr>
              <w:t> </w:t>
            </w:r>
            <w:r>
              <w:rPr>
                <w:sz w:val="18"/>
              </w:rPr>
              <w:t>prioritisation</w:t>
            </w:r>
            <w:r>
              <w:rPr>
                <w:spacing w:val="-5"/>
                <w:sz w:val="18"/>
              </w:rPr>
              <w:t> </w:t>
            </w:r>
            <w:r>
              <w:rPr>
                <w:sz w:val="18"/>
              </w:rPr>
              <w:t>because</w:t>
            </w:r>
            <w:r>
              <w:rPr>
                <w:spacing w:val="-5"/>
                <w:sz w:val="18"/>
              </w:rPr>
              <w:t> </w:t>
            </w:r>
            <w:r>
              <w:rPr>
                <w:sz w:val="18"/>
              </w:rPr>
              <w:t>the</w:t>
            </w:r>
            <w:r>
              <w:rPr>
                <w:spacing w:val="-5"/>
                <w:sz w:val="18"/>
              </w:rPr>
              <w:t> </w:t>
            </w:r>
            <w:r>
              <w:rPr>
                <w:sz w:val="18"/>
              </w:rPr>
              <w:t>ambition</w:t>
            </w:r>
            <w:r>
              <w:rPr>
                <w:spacing w:val="-5"/>
                <w:sz w:val="18"/>
              </w:rPr>
              <w:t> </w:t>
            </w:r>
            <w:r>
              <w:rPr>
                <w:sz w:val="18"/>
              </w:rPr>
              <w:t>is broader than current dedicated capacity.</w:t>
            </w:r>
          </w:p>
          <w:p>
            <w:pPr>
              <w:pStyle w:val="TableParagraph"/>
              <w:spacing w:before="14"/>
              <w:rPr>
                <w:b/>
                <w:sz w:val="18"/>
              </w:rPr>
            </w:pPr>
          </w:p>
          <w:p>
            <w:pPr>
              <w:pStyle w:val="TableParagraph"/>
              <w:spacing w:line="252" w:lineRule="auto"/>
              <w:ind w:left="92" w:right="77"/>
              <w:rPr>
                <w:sz w:val="18"/>
              </w:rPr>
            </w:pPr>
            <w:r>
              <w:rPr>
                <w:sz w:val="18"/>
              </w:rPr>
              <w:t>No dedicated analytical resource or single delivery lead has</w:t>
            </w:r>
            <w:r>
              <w:rPr>
                <w:spacing w:val="40"/>
                <w:sz w:val="18"/>
              </w:rPr>
              <w:t> </w:t>
            </w:r>
            <w:r>
              <w:rPr>
                <w:sz w:val="18"/>
              </w:rPr>
              <w:t>yet</w:t>
            </w:r>
            <w:r>
              <w:rPr>
                <w:spacing w:val="-5"/>
                <w:sz w:val="18"/>
              </w:rPr>
              <w:t> </w:t>
            </w:r>
            <w:r>
              <w:rPr>
                <w:sz w:val="18"/>
              </w:rPr>
              <w:t>been</w:t>
            </w:r>
            <w:r>
              <w:rPr>
                <w:spacing w:val="-5"/>
                <w:sz w:val="18"/>
              </w:rPr>
              <w:t> </w:t>
            </w:r>
            <w:r>
              <w:rPr>
                <w:sz w:val="18"/>
              </w:rPr>
              <w:t>confirmed</w:t>
            </w:r>
            <w:r>
              <w:rPr>
                <w:spacing w:val="-5"/>
                <w:sz w:val="18"/>
              </w:rPr>
              <w:t> </w:t>
            </w:r>
            <w:r>
              <w:rPr>
                <w:sz w:val="18"/>
              </w:rPr>
              <w:t>for</w:t>
            </w:r>
            <w:r>
              <w:rPr>
                <w:spacing w:val="-5"/>
                <w:sz w:val="18"/>
              </w:rPr>
              <w:t> </w:t>
            </w:r>
            <w:r>
              <w:rPr>
                <w:sz w:val="18"/>
              </w:rPr>
              <w:t>the</w:t>
            </w:r>
            <w:r>
              <w:rPr>
                <w:spacing w:val="-5"/>
                <w:sz w:val="18"/>
              </w:rPr>
              <w:t> </w:t>
            </w:r>
            <w:r>
              <w:rPr>
                <w:sz w:val="18"/>
              </w:rPr>
              <w:t>Regional</w:t>
            </w:r>
            <w:r>
              <w:rPr>
                <w:spacing w:val="-5"/>
                <w:sz w:val="18"/>
              </w:rPr>
              <w:t> </w:t>
            </w:r>
            <w:r>
              <w:rPr>
                <w:sz w:val="18"/>
              </w:rPr>
              <w:t>Health</w:t>
            </w:r>
            <w:r>
              <w:rPr>
                <w:spacing w:val="-5"/>
                <w:sz w:val="18"/>
              </w:rPr>
              <w:t> </w:t>
            </w:r>
            <w:r>
              <w:rPr>
                <w:sz w:val="18"/>
              </w:rPr>
              <w:t>Intelligence</w:t>
            </w:r>
            <w:r>
              <w:rPr>
                <w:spacing w:val="-5"/>
                <w:sz w:val="18"/>
              </w:rPr>
              <w:t> </w:t>
            </w:r>
            <w:r>
              <w:rPr>
                <w:sz w:val="18"/>
              </w:rPr>
              <w:t>Profile. Existing public health and analytical teams are managing competing priorities and reduced capacity. Scope and</w:t>
            </w:r>
          </w:p>
        </w:tc>
        <w:tc>
          <w:tcPr>
            <w:tcW w:w="5178" w:type="dxa"/>
          </w:tcPr>
          <w:p>
            <w:pPr>
              <w:pStyle w:val="TableParagraph"/>
              <w:spacing w:before="104"/>
              <w:rPr>
                <w:b/>
                <w:sz w:val="18"/>
              </w:rPr>
            </w:pPr>
          </w:p>
          <w:p>
            <w:pPr>
              <w:pStyle w:val="TableParagraph"/>
              <w:spacing w:line="252" w:lineRule="auto"/>
              <w:ind w:left="91" w:right="131"/>
              <w:rPr>
                <w:sz w:val="18"/>
              </w:rPr>
            </w:pPr>
            <w:r>
              <w:rPr>
                <w:sz w:val="18"/>
              </w:rPr>
              <w:t>Confirming ownership and delivery leadership, agreeing a minimum viable scope and realistic timetable, prioritising outputs through the product roadmap, and maintaining RHE subgroup</w:t>
            </w:r>
            <w:r>
              <w:rPr>
                <w:spacing w:val="-5"/>
                <w:sz w:val="18"/>
              </w:rPr>
              <w:t> </w:t>
            </w:r>
            <w:r>
              <w:rPr>
                <w:sz w:val="18"/>
              </w:rPr>
              <w:t>/</w:t>
            </w:r>
            <w:r>
              <w:rPr>
                <w:spacing w:val="-5"/>
                <w:sz w:val="18"/>
              </w:rPr>
              <w:t> </w:t>
            </w:r>
            <w:r>
              <w:rPr>
                <w:sz w:val="18"/>
              </w:rPr>
              <w:t>RJC</w:t>
            </w:r>
            <w:r>
              <w:rPr>
                <w:spacing w:val="-5"/>
                <w:sz w:val="18"/>
              </w:rPr>
              <w:t> </w:t>
            </w:r>
            <w:r>
              <w:rPr>
                <w:sz w:val="18"/>
              </w:rPr>
              <w:t>PMO</w:t>
            </w:r>
            <w:r>
              <w:rPr>
                <w:spacing w:val="-5"/>
                <w:sz w:val="18"/>
              </w:rPr>
              <w:t> </w:t>
            </w:r>
            <w:r>
              <w:rPr>
                <w:sz w:val="18"/>
              </w:rPr>
              <w:t>oversight.</w:t>
            </w:r>
            <w:r>
              <w:rPr>
                <w:spacing w:val="-5"/>
                <w:sz w:val="18"/>
              </w:rPr>
              <w:t> </w:t>
            </w:r>
            <w:r>
              <w:rPr>
                <w:sz w:val="18"/>
              </w:rPr>
              <w:t>Where</w:t>
            </w:r>
            <w:r>
              <w:rPr>
                <w:spacing w:val="-5"/>
                <w:sz w:val="18"/>
              </w:rPr>
              <w:t> </w:t>
            </w:r>
            <w:r>
              <w:rPr>
                <w:sz w:val="18"/>
              </w:rPr>
              <w:t>capacity</w:t>
            </w:r>
            <w:r>
              <w:rPr>
                <w:spacing w:val="-5"/>
                <w:sz w:val="18"/>
              </w:rPr>
              <w:t> </w:t>
            </w:r>
            <w:r>
              <w:rPr>
                <w:sz w:val="18"/>
              </w:rPr>
              <w:t>gaps</w:t>
            </w:r>
            <w:r>
              <w:rPr>
                <w:spacing w:val="-5"/>
                <w:sz w:val="18"/>
              </w:rPr>
              <w:t> </w:t>
            </w:r>
            <w:r>
              <w:rPr>
                <w:sz w:val="18"/>
              </w:rPr>
              <w:t>remain, existing PHW, public health, analytical, academic and partner support will be explored, with unconfirmed activity treated as future opportunity rather than committed delivery.</w:t>
            </w:r>
          </w:p>
        </w:tc>
      </w:tr>
    </w:tbl>
    <w:p>
      <w:pPr>
        <w:spacing w:before="170"/>
        <w:ind w:left="9" w:right="8" w:firstLine="0"/>
        <w:jc w:val="center"/>
        <w:rPr>
          <w:sz w:val="14"/>
        </w:rPr>
      </w:pPr>
      <w:r>
        <w:rPr>
          <w:color w:val="1F4E79"/>
          <w:sz w:val="14"/>
        </w:rPr>
        <w:t>Hywel</w:t>
      </w:r>
      <w:r>
        <w:rPr>
          <w:color w:val="1F4E79"/>
          <w:spacing w:val="-5"/>
          <w:sz w:val="14"/>
        </w:rPr>
        <w:t> </w:t>
      </w:r>
      <w:r>
        <w:rPr>
          <w:color w:val="1F4E79"/>
          <w:sz w:val="14"/>
        </w:rPr>
        <w:t>Dda</w:t>
      </w:r>
      <w:r>
        <w:rPr>
          <w:color w:val="1F4E79"/>
          <w:spacing w:val="-2"/>
          <w:sz w:val="14"/>
        </w:rPr>
        <w:t> </w:t>
      </w:r>
      <w:r>
        <w:rPr>
          <w:color w:val="1F4E79"/>
          <w:sz w:val="14"/>
        </w:rPr>
        <w:t>/</w:t>
      </w:r>
      <w:r>
        <w:rPr>
          <w:color w:val="1F4E79"/>
          <w:spacing w:val="-6"/>
          <w:sz w:val="14"/>
        </w:rPr>
        <w:t> </w:t>
      </w:r>
      <w:r>
        <w:rPr>
          <w:color w:val="1F4E79"/>
          <w:sz w:val="14"/>
        </w:rPr>
        <w:t>Swansea</w:t>
      </w:r>
      <w:r>
        <w:rPr>
          <w:color w:val="1F4E79"/>
          <w:spacing w:val="-5"/>
          <w:sz w:val="14"/>
        </w:rPr>
        <w:t> </w:t>
      </w:r>
      <w:r>
        <w:rPr>
          <w:color w:val="1F4E79"/>
          <w:sz w:val="14"/>
        </w:rPr>
        <w:t>Bay</w:t>
      </w:r>
      <w:r>
        <w:rPr>
          <w:color w:val="1F4E79"/>
          <w:spacing w:val="-3"/>
          <w:sz w:val="14"/>
        </w:rPr>
        <w:t> </w:t>
      </w:r>
      <w:r>
        <w:rPr>
          <w:color w:val="1F4E79"/>
          <w:sz w:val="14"/>
        </w:rPr>
        <w:t>University</w:t>
      </w:r>
      <w:r>
        <w:rPr>
          <w:color w:val="1F4E79"/>
          <w:spacing w:val="-3"/>
          <w:sz w:val="14"/>
        </w:rPr>
        <w:t> </w:t>
      </w:r>
      <w:r>
        <w:rPr>
          <w:color w:val="1F4E79"/>
          <w:sz w:val="14"/>
        </w:rPr>
        <w:t>Health</w:t>
      </w:r>
      <w:r>
        <w:rPr>
          <w:color w:val="1F4E79"/>
          <w:spacing w:val="-2"/>
          <w:sz w:val="14"/>
        </w:rPr>
        <w:t> </w:t>
      </w:r>
      <w:r>
        <w:rPr>
          <w:color w:val="1F4E79"/>
          <w:sz w:val="14"/>
        </w:rPr>
        <w:t>Boards</w:t>
      </w:r>
      <w:r>
        <w:rPr>
          <w:color w:val="1F4E79"/>
          <w:spacing w:val="-2"/>
          <w:sz w:val="14"/>
        </w:rPr>
        <w:t> </w:t>
      </w:r>
      <w:r>
        <w:rPr>
          <w:color w:val="1F4E79"/>
          <w:sz w:val="14"/>
        </w:rPr>
        <w:t>|</w:t>
      </w:r>
      <w:r>
        <w:rPr>
          <w:color w:val="1F4E79"/>
          <w:spacing w:val="-9"/>
          <w:sz w:val="14"/>
        </w:rPr>
        <w:t> </w:t>
      </w:r>
      <w:r>
        <w:rPr>
          <w:color w:val="1F4E79"/>
          <w:sz w:val="14"/>
        </w:rPr>
        <w:t>Byrddau</w:t>
      </w:r>
      <w:r>
        <w:rPr>
          <w:color w:val="1F4E79"/>
          <w:spacing w:val="-2"/>
          <w:sz w:val="14"/>
        </w:rPr>
        <w:t> </w:t>
      </w:r>
      <w:r>
        <w:rPr>
          <w:color w:val="1F4E79"/>
          <w:sz w:val="14"/>
        </w:rPr>
        <w:t>Iechyd</w:t>
      </w:r>
      <w:r>
        <w:rPr>
          <w:color w:val="1F4E79"/>
          <w:spacing w:val="-2"/>
          <w:sz w:val="14"/>
        </w:rPr>
        <w:t> </w:t>
      </w:r>
      <w:r>
        <w:rPr>
          <w:color w:val="1F4E79"/>
          <w:sz w:val="14"/>
        </w:rPr>
        <w:t>Prifysgol</w:t>
      </w:r>
      <w:r>
        <w:rPr>
          <w:color w:val="1F4E79"/>
          <w:spacing w:val="-4"/>
          <w:sz w:val="14"/>
        </w:rPr>
        <w:t> </w:t>
      </w:r>
      <w:r>
        <w:rPr>
          <w:color w:val="1F4E79"/>
          <w:sz w:val="14"/>
        </w:rPr>
        <w:t>Hywel</w:t>
      </w:r>
      <w:r>
        <w:rPr>
          <w:color w:val="1F4E79"/>
          <w:spacing w:val="-5"/>
          <w:sz w:val="14"/>
        </w:rPr>
        <w:t> </w:t>
      </w:r>
      <w:r>
        <w:rPr>
          <w:color w:val="1F4E79"/>
          <w:sz w:val="14"/>
        </w:rPr>
        <w:t>Dda</w:t>
      </w:r>
      <w:r>
        <w:rPr>
          <w:color w:val="1F4E79"/>
          <w:spacing w:val="-1"/>
          <w:sz w:val="14"/>
        </w:rPr>
        <w:t> </w:t>
      </w:r>
      <w:r>
        <w:rPr>
          <w:color w:val="1F4E79"/>
          <w:sz w:val="14"/>
        </w:rPr>
        <w:t>/</w:t>
      </w:r>
      <w:r>
        <w:rPr>
          <w:color w:val="1F4E79"/>
          <w:spacing w:val="-7"/>
          <w:sz w:val="14"/>
        </w:rPr>
        <w:t> </w:t>
      </w:r>
      <w:r>
        <w:rPr>
          <w:color w:val="1F4E79"/>
          <w:sz w:val="14"/>
        </w:rPr>
        <w:t>Bae</w:t>
      </w:r>
      <w:r>
        <w:rPr>
          <w:color w:val="1F4E79"/>
          <w:spacing w:val="-1"/>
          <w:sz w:val="14"/>
        </w:rPr>
        <w:t> </w:t>
      </w:r>
      <w:r>
        <w:rPr>
          <w:color w:val="1F4E79"/>
          <w:spacing w:val="-2"/>
          <w:sz w:val="14"/>
        </w:rPr>
        <w:t>Abertawe</w:t>
      </w:r>
    </w:p>
    <w:p>
      <w:pPr>
        <w:spacing w:after="0"/>
        <w:jc w:val="center"/>
        <w:rPr>
          <w:sz w:val="14"/>
        </w:rPr>
        <w:sectPr>
          <w:pgSz w:w="16840" w:h="11910" w:orient="landscape"/>
          <w:pgMar w:header="0" w:footer="198" w:top="880" w:bottom="380" w:left="566" w:right="566"/>
        </w:sectPr>
      </w:pPr>
    </w:p>
    <w:p>
      <w:pPr>
        <w:pStyle w:val="BodyText"/>
        <w:spacing w:before="2"/>
        <w:rPr>
          <w:sz w:val="2"/>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5172"/>
        <w:gridCol w:w="5177"/>
        <w:gridCol w:w="5178"/>
      </w:tblGrid>
      <w:tr>
        <w:trPr>
          <w:trHeight w:val="360" w:hRule="atLeast"/>
        </w:trPr>
        <w:tc>
          <w:tcPr>
            <w:tcW w:w="5172" w:type="dxa"/>
            <w:shd w:val="clear" w:color="auto" w:fill="1F4E79"/>
          </w:tcPr>
          <w:p>
            <w:pPr>
              <w:pStyle w:val="TableParagraph"/>
              <w:spacing w:before="89"/>
              <w:ind w:left="87"/>
              <w:rPr>
                <w:b/>
                <w:sz w:val="15"/>
              </w:rPr>
            </w:pPr>
            <w:r>
              <w:rPr>
                <w:b/>
                <w:color w:val="FFFFFF"/>
                <w:sz w:val="15"/>
              </w:rPr>
              <w:t>Resource</w:t>
            </w:r>
            <w:r>
              <w:rPr>
                <w:b/>
                <w:color w:val="FFFFFF"/>
                <w:spacing w:val="-4"/>
                <w:sz w:val="15"/>
              </w:rPr>
              <w:t> </w:t>
            </w:r>
            <w:r>
              <w:rPr>
                <w:b/>
                <w:color w:val="FFFFFF"/>
                <w:sz w:val="15"/>
              </w:rPr>
              <w:t>/</w:t>
            </w:r>
            <w:r>
              <w:rPr>
                <w:b/>
                <w:color w:val="FFFFFF"/>
                <w:spacing w:val="-6"/>
                <w:sz w:val="15"/>
              </w:rPr>
              <w:t> </w:t>
            </w:r>
            <w:r>
              <w:rPr>
                <w:b/>
                <w:color w:val="FFFFFF"/>
                <w:sz w:val="15"/>
              </w:rPr>
              <w:t>Funding</w:t>
            </w:r>
            <w:r>
              <w:rPr>
                <w:b/>
                <w:color w:val="FFFFFF"/>
                <w:spacing w:val="-5"/>
                <w:sz w:val="15"/>
              </w:rPr>
              <w:t> </w:t>
            </w:r>
            <w:r>
              <w:rPr>
                <w:b/>
                <w:color w:val="FFFFFF"/>
                <w:spacing w:val="-2"/>
                <w:sz w:val="15"/>
              </w:rPr>
              <w:t>Requirement</w:t>
            </w:r>
          </w:p>
        </w:tc>
        <w:tc>
          <w:tcPr>
            <w:tcW w:w="5177" w:type="dxa"/>
            <w:shd w:val="clear" w:color="auto" w:fill="1F4E79"/>
          </w:tcPr>
          <w:p>
            <w:pPr>
              <w:pStyle w:val="TableParagraph"/>
              <w:spacing w:before="89"/>
              <w:ind w:left="92"/>
              <w:rPr>
                <w:b/>
                <w:sz w:val="15"/>
              </w:rPr>
            </w:pPr>
            <w:r>
              <w:rPr>
                <w:b/>
                <w:color w:val="FFFFFF"/>
                <w:spacing w:val="-2"/>
                <w:sz w:val="15"/>
              </w:rPr>
              <w:t>Description</w:t>
            </w:r>
          </w:p>
        </w:tc>
        <w:tc>
          <w:tcPr>
            <w:tcW w:w="5178" w:type="dxa"/>
            <w:shd w:val="clear" w:color="auto" w:fill="1F4E79"/>
          </w:tcPr>
          <w:p>
            <w:pPr>
              <w:pStyle w:val="TableParagraph"/>
              <w:spacing w:before="89"/>
              <w:ind w:left="91"/>
              <w:rPr>
                <w:b/>
                <w:sz w:val="15"/>
              </w:rPr>
            </w:pPr>
            <w:r>
              <w:rPr>
                <w:b/>
                <w:color w:val="FFFFFF"/>
                <w:sz w:val="15"/>
              </w:rPr>
              <w:t>Impact</w:t>
            </w:r>
            <w:r>
              <w:rPr>
                <w:b/>
                <w:color w:val="FFFFFF"/>
                <w:spacing w:val="-5"/>
                <w:sz w:val="15"/>
              </w:rPr>
              <w:t> </w:t>
            </w:r>
            <w:r>
              <w:rPr>
                <w:b/>
                <w:color w:val="FFFFFF"/>
                <w:sz w:val="15"/>
              </w:rPr>
              <w:t>/</w:t>
            </w:r>
            <w:r>
              <w:rPr>
                <w:b/>
                <w:color w:val="FFFFFF"/>
                <w:spacing w:val="-4"/>
                <w:sz w:val="15"/>
              </w:rPr>
              <w:t> </w:t>
            </w:r>
            <w:r>
              <w:rPr>
                <w:b/>
                <w:color w:val="FFFFFF"/>
                <w:spacing w:val="-2"/>
                <w:sz w:val="15"/>
              </w:rPr>
              <w:t>Mitigation</w:t>
            </w:r>
          </w:p>
        </w:tc>
      </w:tr>
      <w:tr>
        <w:trPr>
          <w:trHeight w:val="835" w:hRule="atLeast"/>
        </w:trPr>
        <w:tc>
          <w:tcPr>
            <w:tcW w:w="5172" w:type="dxa"/>
          </w:tcPr>
          <w:p>
            <w:pPr>
              <w:pStyle w:val="TableParagraph"/>
              <w:rPr>
                <w:rFonts w:ascii="Times New Roman"/>
                <w:sz w:val="16"/>
              </w:rPr>
            </w:pPr>
          </w:p>
        </w:tc>
        <w:tc>
          <w:tcPr>
            <w:tcW w:w="5177" w:type="dxa"/>
          </w:tcPr>
          <w:p>
            <w:pPr>
              <w:pStyle w:val="TableParagraph"/>
              <w:spacing w:line="252" w:lineRule="auto" w:before="91"/>
              <w:ind w:left="92"/>
              <w:rPr>
                <w:sz w:val="18"/>
              </w:rPr>
            </w:pPr>
            <w:r>
              <w:rPr>
                <w:sz w:val="18"/>
              </w:rPr>
              <w:t>timescales must therefore remain proportionate until accountable</w:t>
            </w:r>
            <w:r>
              <w:rPr>
                <w:spacing w:val="-8"/>
                <w:sz w:val="18"/>
              </w:rPr>
              <w:t> </w:t>
            </w:r>
            <w:r>
              <w:rPr>
                <w:sz w:val="18"/>
              </w:rPr>
              <w:t>ownership,</w:t>
            </w:r>
            <w:r>
              <w:rPr>
                <w:spacing w:val="-8"/>
                <w:sz w:val="18"/>
              </w:rPr>
              <w:t> </w:t>
            </w:r>
            <w:r>
              <w:rPr>
                <w:sz w:val="18"/>
              </w:rPr>
              <w:t>leadership</w:t>
            </w:r>
            <w:r>
              <w:rPr>
                <w:spacing w:val="-8"/>
                <w:sz w:val="18"/>
              </w:rPr>
              <w:t> </w:t>
            </w:r>
            <w:r>
              <w:rPr>
                <w:sz w:val="18"/>
              </w:rPr>
              <w:t>and</w:t>
            </w:r>
            <w:r>
              <w:rPr>
                <w:spacing w:val="-8"/>
                <w:sz w:val="18"/>
              </w:rPr>
              <w:t> </w:t>
            </w:r>
            <w:r>
              <w:rPr>
                <w:sz w:val="18"/>
              </w:rPr>
              <w:t>available</w:t>
            </w:r>
            <w:r>
              <w:rPr>
                <w:spacing w:val="-8"/>
                <w:sz w:val="18"/>
              </w:rPr>
              <w:t> </w:t>
            </w:r>
            <w:r>
              <w:rPr>
                <w:sz w:val="18"/>
              </w:rPr>
              <w:t>capacity</w:t>
            </w:r>
            <w:r>
              <w:rPr>
                <w:spacing w:val="-7"/>
                <w:sz w:val="18"/>
              </w:rPr>
              <w:t> </w:t>
            </w:r>
            <w:r>
              <w:rPr>
                <w:sz w:val="18"/>
              </w:rPr>
              <w:t>are </w:t>
            </w:r>
            <w:r>
              <w:rPr>
                <w:spacing w:val="-2"/>
                <w:sz w:val="18"/>
              </w:rPr>
              <w:t>agreed.</w:t>
            </w:r>
          </w:p>
        </w:tc>
        <w:tc>
          <w:tcPr>
            <w:tcW w:w="5178" w:type="dxa"/>
          </w:tcPr>
          <w:p>
            <w:pPr>
              <w:pStyle w:val="TableParagraph"/>
              <w:rPr>
                <w:rFonts w:ascii="Times New Roman"/>
                <w:sz w:val="16"/>
              </w:rPr>
            </w:pPr>
          </w:p>
        </w:tc>
      </w:tr>
      <w:tr>
        <w:trPr>
          <w:trHeight w:val="2136" w:hRule="atLeast"/>
        </w:trPr>
        <w:tc>
          <w:tcPr>
            <w:tcW w:w="5172" w:type="dxa"/>
          </w:tcPr>
          <w:p>
            <w:pPr>
              <w:pStyle w:val="TableParagraph"/>
              <w:rPr>
                <w:sz w:val="18"/>
              </w:rPr>
            </w:pPr>
          </w:p>
          <w:p>
            <w:pPr>
              <w:pStyle w:val="TableParagraph"/>
              <w:rPr>
                <w:sz w:val="18"/>
              </w:rPr>
            </w:pPr>
          </w:p>
          <w:p>
            <w:pPr>
              <w:pStyle w:val="TableParagraph"/>
              <w:rPr>
                <w:sz w:val="18"/>
              </w:rPr>
            </w:pPr>
          </w:p>
          <w:p>
            <w:pPr>
              <w:pStyle w:val="TableParagraph"/>
              <w:spacing w:before="23"/>
              <w:rPr>
                <w:sz w:val="18"/>
              </w:rPr>
            </w:pPr>
          </w:p>
          <w:p>
            <w:pPr>
              <w:pStyle w:val="TableParagraph"/>
              <w:spacing w:line="249" w:lineRule="auto" w:before="1"/>
              <w:ind w:left="87"/>
              <w:rPr>
                <w:b/>
                <w:sz w:val="18"/>
              </w:rPr>
            </w:pPr>
            <w:r>
              <w:rPr>
                <w:b/>
                <w:sz w:val="18"/>
              </w:rPr>
              <w:t>FUNDING</w:t>
            </w:r>
            <w:r>
              <w:rPr>
                <w:b/>
                <w:spacing w:val="-6"/>
                <w:sz w:val="18"/>
              </w:rPr>
              <w:t> </w:t>
            </w:r>
            <w:r>
              <w:rPr>
                <w:b/>
                <w:sz w:val="18"/>
              </w:rPr>
              <w:t>ASSUMPTIONS</w:t>
            </w:r>
            <w:r>
              <w:rPr>
                <w:b/>
                <w:spacing w:val="-6"/>
                <w:sz w:val="18"/>
              </w:rPr>
              <w:t> </w:t>
            </w:r>
            <w:r>
              <w:rPr>
                <w:b/>
                <w:sz w:val="18"/>
              </w:rPr>
              <w:t>/</w:t>
            </w:r>
            <w:r>
              <w:rPr>
                <w:b/>
                <w:spacing w:val="-6"/>
                <w:sz w:val="18"/>
              </w:rPr>
              <w:t> </w:t>
            </w:r>
            <w:r>
              <w:rPr>
                <w:b/>
                <w:sz w:val="18"/>
              </w:rPr>
              <w:t>REQUIREMENTS</w:t>
            </w:r>
            <w:r>
              <w:rPr>
                <w:b/>
                <w:spacing w:val="-6"/>
                <w:sz w:val="18"/>
              </w:rPr>
              <w:t> </w:t>
            </w:r>
            <w:r>
              <w:rPr>
                <w:b/>
                <w:sz w:val="18"/>
              </w:rPr>
              <w:t>/</w:t>
            </w:r>
            <w:r>
              <w:rPr>
                <w:b/>
                <w:spacing w:val="-6"/>
                <w:sz w:val="18"/>
              </w:rPr>
              <w:t> </w:t>
            </w:r>
            <w:r>
              <w:rPr>
                <w:b/>
                <w:sz w:val="18"/>
              </w:rPr>
              <w:t>IMPACT</w:t>
            </w:r>
            <w:r>
              <w:rPr>
                <w:b/>
                <w:spacing w:val="-3"/>
                <w:sz w:val="18"/>
              </w:rPr>
              <w:t> </w:t>
            </w:r>
            <w:r>
              <w:rPr>
                <w:b/>
                <w:sz w:val="18"/>
              </w:rPr>
              <w:t>/ </w:t>
            </w:r>
            <w:r>
              <w:rPr>
                <w:b/>
                <w:spacing w:val="-4"/>
                <w:sz w:val="18"/>
              </w:rPr>
              <w:t>GAPS</w:t>
            </w:r>
          </w:p>
        </w:tc>
        <w:tc>
          <w:tcPr>
            <w:tcW w:w="5177" w:type="dxa"/>
          </w:tcPr>
          <w:p>
            <w:pPr>
              <w:pStyle w:val="TableParagraph"/>
              <w:spacing w:line="252" w:lineRule="auto" w:before="91"/>
              <w:ind w:left="92" w:right="27"/>
              <w:rPr>
                <w:sz w:val="18"/>
              </w:rPr>
            </w:pPr>
            <w:r>
              <w:rPr>
                <w:sz w:val="18"/>
              </w:rPr>
              <w:t>No</w:t>
            </w:r>
            <w:r>
              <w:rPr>
                <w:spacing w:val="-5"/>
                <w:sz w:val="18"/>
              </w:rPr>
              <w:t> </w:t>
            </w:r>
            <w:r>
              <w:rPr>
                <w:sz w:val="18"/>
              </w:rPr>
              <w:t>specific</w:t>
            </w:r>
            <w:r>
              <w:rPr>
                <w:spacing w:val="-5"/>
                <w:sz w:val="18"/>
              </w:rPr>
              <w:t> </w:t>
            </w:r>
            <w:r>
              <w:rPr>
                <w:sz w:val="18"/>
              </w:rPr>
              <w:t>funding</w:t>
            </w:r>
            <w:r>
              <w:rPr>
                <w:spacing w:val="-5"/>
                <w:sz w:val="18"/>
              </w:rPr>
              <w:t> </w:t>
            </w:r>
            <w:r>
              <w:rPr>
                <w:sz w:val="18"/>
              </w:rPr>
              <w:t>source</w:t>
            </w:r>
            <w:r>
              <w:rPr>
                <w:spacing w:val="-5"/>
                <w:sz w:val="18"/>
              </w:rPr>
              <w:t> </w:t>
            </w:r>
            <w:r>
              <w:rPr>
                <w:sz w:val="18"/>
              </w:rPr>
              <w:t>identified.</w:t>
            </w:r>
            <w:r>
              <w:rPr>
                <w:spacing w:val="-6"/>
                <w:sz w:val="18"/>
              </w:rPr>
              <w:t> </w:t>
            </w:r>
            <w:r>
              <w:rPr>
                <w:sz w:val="18"/>
              </w:rPr>
              <w:t>Delivery</w:t>
            </w:r>
            <w:r>
              <w:rPr>
                <w:spacing w:val="-5"/>
                <w:sz w:val="18"/>
              </w:rPr>
              <w:t> </w:t>
            </w:r>
            <w:r>
              <w:rPr>
                <w:sz w:val="18"/>
              </w:rPr>
              <w:t>is</w:t>
            </w:r>
            <w:r>
              <w:rPr>
                <w:spacing w:val="-5"/>
                <w:sz w:val="18"/>
              </w:rPr>
              <w:t> </w:t>
            </w:r>
            <w:r>
              <w:rPr>
                <w:sz w:val="18"/>
              </w:rPr>
              <w:t>dependent</w:t>
            </w:r>
            <w:r>
              <w:rPr>
                <w:spacing w:val="-5"/>
                <w:sz w:val="18"/>
              </w:rPr>
              <w:t> </w:t>
            </w:r>
            <w:r>
              <w:rPr>
                <w:sz w:val="18"/>
              </w:rPr>
              <w:t>on prioritising existing resource and connecting to prevention, value and wider determinant funding opportunities where </w:t>
            </w:r>
            <w:r>
              <w:rPr>
                <w:spacing w:val="-2"/>
                <w:sz w:val="18"/>
              </w:rPr>
              <w:t>available.</w:t>
            </w:r>
          </w:p>
          <w:p>
            <w:pPr>
              <w:pStyle w:val="TableParagraph"/>
              <w:spacing w:before="9"/>
              <w:rPr>
                <w:sz w:val="18"/>
              </w:rPr>
            </w:pPr>
          </w:p>
          <w:p>
            <w:pPr>
              <w:pStyle w:val="TableParagraph"/>
              <w:spacing w:line="252" w:lineRule="auto"/>
              <w:ind w:left="92" w:right="173"/>
              <w:rPr>
                <w:sz w:val="18"/>
              </w:rPr>
            </w:pPr>
            <w:r>
              <w:rPr>
                <w:sz w:val="18"/>
              </w:rPr>
              <w:t>Potential regional pilots, external health economics or academic</w:t>
            </w:r>
            <w:r>
              <w:rPr>
                <w:spacing w:val="-8"/>
                <w:sz w:val="18"/>
              </w:rPr>
              <w:t> </w:t>
            </w:r>
            <w:r>
              <w:rPr>
                <w:sz w:val="18"/>
              </w:rPr>
              <w:t>support,</w:t>
            </w:r>
            <w:r>
              <w:rPr>
                <w:spacing w:val="-8"/>
                <w:sz w:val="18"/>
              </w:rPr>
              <w:t> </w:t>
            </w:r>
            <w:r>
              <w:rPr>
                <w:sz w:val="18"/>
              </w:rPr>
              <w:t>poverty</w:t>
            </w:r>
            <w:r>
              <w:rPr>
                <w:spacing w:val="-7"/>
                <w:sz w:val="18"/>
              </w:rPr>
              <w:t> </w:t>
            </w:r>
            <w:r>
              <w:rPr>
                <w:sz w:val="18"/>
              </w:rPr>
              <w:t>training</w:t>
            </w:r>
            <w:r>
              <w:rPr>
                <w:spacing w:val="-8"/>
                <w:sz w:val="18"/>
              </w:rPr>
              <w:t> </w:t>
            </w:r>
            <w:r>
              <w:rPr>
                <w:sz w:val="18"/>
              </w:rPr>
              <w:t>and</w:t>
            </w:r>
            <w:r>
              <w:rPr>
                <w:spacing w:val="-7"/>
                <w:sz w:val="18"/>
              </w:rPr>
              <w:t> </w:t>
            </w:r>
            <w:r>
              <w:rPr>
                <w:sz w:val="18"/>
              </w:rPr>
              <w:t>evaluation</w:t>
            </w:r>
            <w:r>
              <w:rPr>
                <w:spacing w:val="-8"/>
                <w:sz w:val="18"/>
              </w:rPr>
              <w:t> </w:t>
            </w:r>
            <w:r>
              <w:rPr>
                <w:sz w:val="18"/>
              </w:rPr>
              <w:t>activity must not be treated as commitments until a funding, commissioning and governance route is agreed.</w:t>
            </w:r>
          </w:p>
        </w:tc>
        <w:tc>
          <w:tcPr>
            <w:tcW w:w="5178" w:type="dxa"/>
          </w:tcPr>
          <w:p>
            <w:pPr>
              <w:pStyle w:val="TableParagraph"/>
              <w:spacing w:line="252" w:lineRule="auto" w:before="196"/>
              <w:ind w:left="91" w:right="111"/>
              <w:rPr>
                <w:sz w:val="18"/>
              </w:rPr>
            </w:pPr>
            <w:r>
              <w:rPr>
                <w:sz w:val="18"/>
              </w:rPr>
              <w:t>Prioritising delivery within existing resources, using the</w:t>
            </w:r>
            <w:r>
              <w:rPr>
                <w:spacing w:val="40"/>
                <w:sz w:val="18"/>
              </w:rPr>
              <w:t> </w:t>
            </w:r>
            <w:r>
              <w:rPr>
                <w:sz w:val="18"/>
              </w:rPr>
              <w:t>product roadmap to focus activity on agreed RHE objectives, and exploring external, academic, prevention, value-based healthcare or partner funding routes. Any pilots, training, evaluation or health economics input will only progress where a clear funding, commissioning and governance route is agreed;</w:t>
            </w:r>
            <w:r>
              <w:rPr>
                <w:spacing w:val="-5"/>
                <w:sz w:val="18"/>
              </w:rPr>
              <w:t> </w:t>
            </w:r>
            <w:r>
              <w:rPr>
                <w:sz w:val="18"/>
              </w:rPr>
              <w:t>otherwise</w:t>
            </w:r>
            <w:r>
              <w:rPr>
                <w:spacing w:val="-5"/>
                <w:sz w:val="18"/>
              </w:rPr>
              <w:t> </w:t>
            </w:r>
            <w:r>
              <w:rPr>
                <w:sz w:val="18"/>
              </w:rPr>
              <w:t>they</w:t>
            </w:r>
            <w:r>
              <w:rPr>
                <w:spacing w:val="-6"/>
                <w:sz w:val="18"/>
              </w:rPr>
              <w:t> </w:t>
            </w:r>
            <w:r>
              <w:rPr>
                <w:sz w:val="18"/>
              </w:rPr>
              <w:t>will</w:t>
            </w:r>
            <w:r>
              <w:rPr>
                <w:spacing w:val="-5"/>
                <w:sz w:val="18"/>
              </w:rPr>
              <w:t> </w:t>
            </w:r>
            <w:r>
              <w:rPr>
                <w:sz w:val="18"/>
              </w:rPr>
              <w:t>be</w:t>
            </w:r>
            <w:r>
              <w:rPr>
                <w:spacing w:val="-5"/>
                <w:sz w:val="18"/>
              </w:rPr>
              <w:t> </w:t>
            </w:r>
            <w:r>
              <w:rPr>
                <w:sz w:val="18"/>
              </w:rPr>
              <w:t>recorded</w:t>
            </w:r>
            <w:r>
              <w:rPr>
                <w:spacing w:val="-6"/>
                <w:sz w:val="18"/>
              </w:rPr>
              <w:t> </w:t>
            </w:r>
            <w:r>
              <w:rPr>
                <w:sz w:val="18"/>
              </w:rPr>
              <w:t>as</w:t>
            </w:r>
            <w:r>
              <w:rPr>
                <w:spacing w:val="-5"/>
                <w:sz w:val="18"/>
              </w:rPr>
              <w:t> </w:t>
            </w:r>
            <w:r>
              <w:rPr>
                <w:sz w:val="18"/>
              </w:rPr>
              <w:t>future</w:t>
            </w:r>
            <w:r>
              <w:rPr>
                <w:spacing w:val="-5"/>
                <w:sz w:val="18"/>
              </w:rPr>
              <w:t> </w:t>
            </w:r>
            <w:r>
              <w:rPr>
                <w:sz w:val="18"/>
              </w:rPr>
              <w:t>opportunities rather than committed deliverables.</w:t>
            </w:r>
          </w:p>
        </w:tc>
      </w:tr>
    </w:tbl>
    <w:p>
      <w:pPr>
        <w:pStyle w:val="Heading8"/>
        <w:numPr>
          <w:ilvl w:val="0"/>
          <w:numId w:val="28"/>
        </w:numPr>
        <w:tabs>
          <w:tab w:pos="367" w:val="left" w:leader="none"/>
        </w:tabs>
        <w:spacing w:line="240" w:lineRule="auto" w:before="162" w:after="0"/>
        <w:ind w:left="367" w:right="0" w:hanging="284"/>
        <w:jc w:val="left"/>
      </w:pPr>
      <w:r>
        <w:rPr>
          <w:color w:val="001F5F"/>
          <w:spacing w:val="-2"/>
        </w:rPr>
        <w:t>Risks</w:t>
      </w:r>
    </w:p>
    <w:p>
      <w:pPr>
        <w:pStyle w:val="BodyText"/>
        <w:spacing w:before="10"/>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851"/>
        <w:gridCol w:w="4227"/>
        <w:gridCol w:w="3662"/>
        <w:gridCol w:w="1696"/>
        <w:gridCol w:w="996"/>
        <w:gridCol w:w="1697"/>
        <w:gridCol w:w="2402"/>
      </w:tblGrid>
      <w:tr>
        <w:trPr>
          <w:trHeight w:val="342" w:hRule="atLeast"/>
        </w:trPr>
        <w:tc>
          <w:tcPr>
            <w:tcW w:w="851" w:type="dxa"/>
            <w:tcBorders>
              <w:bottom w:val="single" w:sz="8" w:space="0" w:color="6E6E6E"/>
            </w:tcBorders>
            <w:shd w:val="clear" w:color="auto" w:fill="1F4E79"/>
          </w:tcPr>
          <w:p>
            <w:pPr>
              <w:pStyle w:val="TableParagraph"/>
              <w:spacing w:before="88"/>
              <w:ind w:left="87"/>
              <w:rPr>
                <w:b/>
                <w:sz w:val="14"/>
              </w:rPr>
            </w:pPr>
            <w:r>
              <w:rPr>
                <w:b/>
                <w:color w:val="FFFFFF"/>
                <w:spacing w:val="-5"/>
                <w:sz w:val="14"/>
              </w:rPr>
              <w:t>Ref</w:t>
            </w:r>
          </w:p>
        </w:tc>
        <w:tc>
          <w:tcPr>
            <w:tcW w:w="4227" w:type="dxa"/>
            <w:tcBorders>
              <w:bottom w:val="single" w:sz="8" w:space="0" w:color="6E6E6E"/>
            </w:tcBorders>
            <w:shd w:val="clear" w:color="auto" w:fill="1F4E79"/>
          </w:tcPr>
          <w:p>
            <w:pPr>
              <w:pStyle w:val="TableParagraph"/>
              <w:spacing w:before="88"/>
              <w:ind w:left="92"/>
              <w:rPr>
                <w:b/>
                <w:sz w:val="14"/>
              </w:rPr>
            </w:pPr>
            <w:r>
              <w:rPr>
                <w:b/>
                <w:color w:val="FFFFFF"/>
                <w:sz w:val="14"/>
              </w:rPr>
              <w:t>Risk </w:t>
            </w:r>
            <w:r>
              <w:rPr>
                <w:b/>
                <w:color w:val="FFFFFF"/>
                <w:spacing w:val="-2"/>
                <w:sz w:val="14"/>
              </w:rPr>
              <w:t>Description</w:t>
            </w:r>
          </w:p>
        </w:tc>
        <w:tc>
          <w:tcPr>
            <w:tcW w:w="3662" w:type="dxa"/>
            <w:tcBorders>
              <w:bottom w:val="single" w:sz="8" w:space="0" w:color="6E6E6E"/>
            </w:tcBorders>
            <w:shd w:val="clear" w:color="auto" w:fill="1F4E79"/>
          </w:tcPr>
          <w:p>
            <w:pPr>
              <w:pStyle w:val="TableParagraph"/>
              <w:spacing w:before="88"/>
              <w:ind w:left="91"/>
              <w:rPr>
                <w:b/>
                <w:sz w:val="14"/>
              </w:rPr>
            </w:pPr>
            <w:r>
              <w:rPr>
                <w:b/>
                <w:color w:val="FFFFFF"/>
                <w:spacing w:val="-2"/>
                <w:sz w:val="14"/>
              </w:rPr>
              <w:t>Mitigation</w:t>
            </w:r>
          </w:p>
        </w:tc>
        <w:tc>
          <w:tcPr>
            <w:tcW w:w="1696" w:type="dxa"/>
            <w:tcBorders>
              <w:bottom w:val="single" w:sz="8" w:space="0" w:color="6E6E6E"/>
            </w:tcBorders>
            <w:shd w:val="clear" w:color="auto" w:fill="1F4E79"/>
          </w:tcPr>
          <w:p>
            <w:pPr>
              <w:pStyle w:val="TableParagraph"/>
              <w:spacing w:before="88"/>
              <w:ind w:left="90"/>
              <w:rPr>
                <w:b/>
                <w:sz w:val="14"/>
              </w:rPr>
            </w:pPr>
            <w:r>
              <w:rPr>
                <w:b/>
                <w:color w:val="FFFFFF"/>
                <w:sz w:val="14"/>
              </w:rPr>
              <w:t>Action</w:t>
            </w:r>
            <w:r>
              <w:rPr>
                <w:b/>
                <w:color w:val="FFFFFF"/>
                <w:spacing w:val="-5"/>
                <w:sz w:val="14"/>
              </w:rPr>
              <w:t> </w:t>
            </w:r>
            <w:r>
              <w:rPr>
                <w:b/>
                <w:color w:val="FFFFFF"/>
                <w:spacing w:val="-2"/>
                <w:sz w:val="14"/>
              </w:rPr>
              <w:t>Owner</w:t>
            </w:r>
          </w:p>
        </w:tc>
        <w:tc>
          <w:tcPr>
            <w:tcW w:w="996" w:type="dxa"/>
            <w:tcBorders>
              <w:bottom w:val="single" w:sz="8" w:space="0" w:color="6E6E6E"/>
            </w:tcBorders>
            <w:shd w:val="clear" w:color="auto" w:fill="1F4E79"/>
          </w:tcPr>
          <w:p>
            <w:pPr>
              <w:pStyle w:val="TableParagraph"/>
              <w:spacing w:before="88"/>
              <w:ind w:left="89"/>
              <w:rPr>
                <w:b/>
                <w:sz w:val="14"/>
              </w:rPr>
            </w:pPr>
            <w:r>
              <w:rPr>
                <w:b/>
                <w:color w:val="FFFFFF"/>
                <w:spacing w:val="-5"/>
                <w:sz w:val="14"/>
              </w:rPr>
              <w:t>RAG</w:t>
            </w:r>
          </w:p>
        </w:tc>
        <w:tc>
          <w:tcPr>
            <w:tcW w:w="1697" w:type="dxa"/>
            <w:tcBorders>
              <w:bottom w:val="single" w:sz="8" w:space="0" w:color="6E6E6E"/>
            </w:tcBorders>
            <w:shd w:val="clear" w:color="auto" w:fill="1F4E79"/>
          </w:tcPr>
          <w:p>
            <w:pPr>
              <w:pStyle w:val="TableParagraph"/>
              <w:spacing w:before="88"/>
              <w:ind w:left="83"/>
              <w:rPr>
                <w:b/>
                <w:sz w:val="14"/>
              </w:rPr>
            </w:pPr>
            <w:r>
              <w:rPr>
                <w:b/>
                <w:color w:val="FFFFFF"/>
                <w:sz w:val="14"/>
              </w:rPr>
              <w:t>Risk </w:t>
            </w:r>
            <w:r>
              <w:rPr>
                <w:b/>
                <w:color w:val="FFFFFF"/>
                <w:spacing w:val="-2"/>
                <w:sz w:val="14"/>
              </w:rPr>
              <w:t>Owner</w:t>
            </w:r>
          </w:p>
        </w:tc>
        <w:tc>
          <w:tcPr>
            <w:tcW w:w="2402" w:type="dxa"/>
            <w:tcBorders>
              <w:bottom w:val="single" w:sz="8" w:space="0" w:color="6E6E6E"/>
            </w:tcBorders>
            <w:shd w:val="clear" w:color="auto" w:fill="1F4E79"/>
          </w:tcPr>
          <w:p>
            <w:pPr>
              <w:pStyle w:val="TableParagraph"/>
              <w:spacing w:before="88"/>
              <w:ind w:left="87"/>
              <w:rPr>
                <w:b/>
                <w:sz w:val="14"/>
              </w:rPr>
            </w:pPr>
            <w:r>
              <w:rPr>
                <w:b/>
                <w:color w:val="FFFFFF"/>
                <w:sz w:val="14"/>
              </w:rPr>
              <w:t>Residual</w:t>
            </w:r>
            <w:r>
              <w:rPr>
                <w:b/>
                <w:color w:val="FFFFFF"/>
                <w:spacing w:val="-3"/>
                <w:sz w:val="14"/>
              </w:rPr>
              <w:t> </w:t>
            </w:r>
            <w:r>
              <w:rPr>
                <w:b/>
                <w:color w:val="FFFFFF"/>
                <w:spacing w:val="-4"/>
                <w:sz w:val="14"/>
              </w:rPr>
              <w:t>Risk</w:t>
            </w:r>
          </w:p>
        </w:tc>
      </w:tr>
      <w:tr>
        <w:trPr>
          <w:trHeight w:val="952" w:hRule="atLeast"/>
        </w:trPr>
        <w:tc>
          <w:tcPr>
            <w:tcW w:w="851" w:type="dxa"/>
            <w:tcBorders>
              <w:top w:val="single" w:sz="8" w:space="0" w:color="6E6E6E"/>
            </w:tcBorders>
          </w:tcPr>
          <w:p>
            <w:pPr>
              <w:pStyle w:val="TableParagraph"/>
              <w:spacing w:before="177"/>
              <w:rPr>
                <w:b/>
                <w:sz w:val="17"/>
              </w:rPr>
            </w:pPr>
          </w:p>
          <w:p>
            <w:pPr>
              <w:pStyle w:val="TableParagraph"/>
              <w:spacing w:before="1"/>
              <w:ind w:left="87"/>
              <w:rPr>
                <w:sz w:val="17"/>
              </w:rPr>
            </w:pPr>
            <w:r>
              <w:rPr>
                <w:spacing w:val="-10"/>
                <w:sz w:val="17"/>
              </w:rPr>
              <w:t>1</w:t>
            </w:r>
          </w:p>
        </w:tc>
        <w:tc>
          <w:tcPr>
            <w:tcW w:w="4227" w:type="dxa"/>
            <w:tcBorders>
              <w:top w:val="single" w:sz="8" w:space="0" w:color="6E6E6E"/>
            </w:tcBorders>
          </w:tcPr>
          <w:p>
            <w:pPr>
              <w:pStyle w:val="TableParagraph"/>
              <w:spacing w:line="252" w:lineRule="auto" w:before="87"/>
              <w:ind w:left="92" w:right="129"/>
              <w:rPr>
                <w:sz w:val="16"/>
              </w:rPr>
            </w:pPr>
            <w:r>
              <w:rPr>
                <w:sz w:val="16"/>
              </w:rPr>
              <w:t>If analytical/public health capacity and delivery leadership are not confirmed, the Regional Health Intelligence</w:t>
            </w:r>
            <w:r>
              <w:rPr>
                <w:spacing w:val="-5"/>
                <w:sz w:val="16"/>
              </w:rPr>
              <w:t> </w:t>
            </w:r>
            <w:r>
              <w:rPr>
                <w:sz w:val="16"/>
              </w:rPr>
              <w:t>Profile</w:t>
            </w:r>
            <w:r>
              <w:rPr>
                <w:spacing w:val="-5"/>
                <w:sz w:val="16"/>
              </w:rPr>
              <w:t> </w:t>
            </w:r>
            <w:r>
              <w:rPr>
                <w:sz w:val="16"/>
              </w:rPr>
              <w:t>and</w:t>
            </w:r>
            <w:r>
              <w:rPr>
                <w:spacing w:val="-10"/>
                <w:sz w:val="16"/>
              </w:rPr>
              <w:t> </w:t>
            </w:r>
            <w:r>
              <w:rPr>
                <w:sz w:val="16"/>
              </w:rPr>
              <w:t>outcomes</w:t>
            </w:r>
            <w:r>
              <w:rPr>
                <w:spacing w:val="-6"/>
                <w:sz w:val="16"/>
              </w:rPr>
              <w:t> </w:t>
            </w:r>
            <w:r>
              <w:rPr>
                <w:sz w:val="16"/>
              </w:rPr>
              <w:t>framework</w:t>
            </w:r>
            <w:r>
              <w:rPr>
                <w:spacing w:val="-10"/>
                <w:sz w:val="16"/>
              </w:rPr>
              <w:t> </w:t>
            </w:r>
            <w:r>
              <w:rPr>
                <w:sz w:val="16"/>
              </w:rPr>
              <w:t>may</w:t>
            </w:r>
            <w:r>
              <w:rPr>
                <w:spacing w:val="-6"/>
                <w:sz w:val="16"/>
              </w:rPr>
              <w:t> </w:t>
            </w:r>
            <w:r>
              <w:rPr>
                <w:sz w:val="16"/>
              </w:rPr>
              <w:t>be delayed or reduced in scope.</w:t>
            </w:r>
          </w:p>
        </w:tc>
        <w:tc>
          <w:tcPr>
            <w:tcW w:w="3662" w:type="dxa"/>
            <w:tcBorders>
              <w:top w:val="single" w:sz="8" w:space="0" w:color="6E6E6E"/>
            </w:tcBorders>
          </w:tcPr>
          <w:p>
            <w:pPr>
              <w:pStyle w:val="TableParagraph"/>
              <w:spacing w:before="98"/>
              <w:rPr>
                <w:b/>
                <w:sz w:val="16"/>
              </w:rPr>
            </w:pPr>
          </w:p>
          <w:p>
            <w:pPr>
              <w:pStyle w:val="TableParagraph"/>
              <w:spacing w:line="254" w:lineRule="auto"/>
              <w:ind w:left="91"/>
              <w:rPr>
                <w:sz w:val="16"/>
              </w:rPr>
            </w:pPr>
            <w:r>
              <w:rPr>
                <w:sz w:val="16"/>
              </w:rPr>
              <w:t>Prioritise</w:t>
            </w:r>
            <w:r>
              <w:rPr>
                <w:spacing w:val="-6"/>
                <w:sz w:val="16"/>
              </w:rPr>
              <w:t> </w:t>
            </w:r>
            <w:r>
              <w:rPr>
                <w:sz w:val="16"/>
              </w:rPr>
              <w:t>scope</w:t>
            </w:r>
            <w:r>
              <w:rPr>
                <w:spacing w:val="-11"/>
                <w:sz w:val="16"/>
              </w:rPr>
              <w:t> </w:t>
            </w:r>
            <w:r>
              <w:rPr>
                <w:sz w:val="16"/>
              </w:rPr>
              <w:t>and</w:t>
            </w:r>
            <w:r>
              <w:rPr>
                <w:spacing w:val="-6"/>
                <w:sz w:val="16"/>
              </w:rPr>
              <w:t> </w:t>
            </w:r>
            <w:r>
              <w:rPr>
                <w:sz w:val="16"/>
              </w:rPr>
              <w:t>capacity</w:t>
            </w:r>
            <w:r>
              <w:rPr>
                <w:spacing w:val="-7"/>
                <w:sz w:val="16"/>
              </w:rPr>
              <w:t> </w:t>
            </w:r>
            <w:r>
              <w:rPr>
                <w:sz w:val="16"/>
              </w:rPr>
              <w:t>through</w:t>
            </w:r>
            <w:r>
              <w:rPr>
                <w:spacing w:val="-11"/>
                <w:sz w:val="16"/>
              </w:rPr>
              <w:t> </w:t>
            </w:r>
            <w:r>
              <w:rPr>
                <w:sz w:val="16"/>
              </w:rPr>
              <w:t>agreed </w:t>
            </w:r>
            <w:r>
              <w:rPr>
                <w:spacing w:val="-2"/>
                <w:sz w:val="16"/>
              </w:rPr>
              <w:t>governance.</w:t>
            </w:r>
          </w:p>
        </w:tc>
        <w:tc>
          <w:tcPr>
            <w:tcW w:w="1696" w:type="dxa"/>
            <w:tcBorders>
              <w:top w:val="single" w:sz="8" w:space="0" w:color="6E6E6E"/>
            </w:tcBorders>
          </w:tcPr>
          <w:p>
            <w:pPr>
              <w:pStyle w:val="TableParagraph"/>
              <w:spacing w:before="98"/>
              <w:rPr>
                <w:b/>
                <w:sz w:val="16"/>
              </w:rPr>
            </w:pPr>
          </w:p>
          <w:p>
            <w:pPr>
              <w:pStyle w:val="TableParagraph"/>
              <w:spacing w:line="254" w:lineRule="auto"/>
              <w:ind w:left="90"/>
              <w:rPr>
                <w:sz w:val="16"/>
              </w:rPr>
            </w:pPr>
            <w:r>
              <w:rPr>
                <w:sz w:val="16"/>
              </w:rPr>
              <w:t>Ardiana</w:t>
            </w:r>
            <w:r>
              <w:rPr>
                <w:spacing w:val="-12"/>
                <w:sz w:val="16"/>
              </w:rPr>
              <w:t> </w:t>
            </w:r>
            <w:r>
              <w:rPr>
                <w:sz w:val="16"/>
              </w:rPr>
              <w:t>Gjini/Hugo Van Woerden</w:t>
            </w:r>
          </w:p>
        </w:tc>
        <w:tc>
          <w:tcPr>
            <w:tcW w:w="996" w:type="dxa"/>
            <w:tcBorders>
              <w:top w:val="single" w:sz="8" w:space="0" w:color="6E6E6E"/>
            </w:tcBorders>
            <w:shd w:val="clear" w:color="auto" w:fill="FF0000"/>
          </w:tcPr>
          <w:p>
            <w:pPr>
              <w:pStyle w:val="TableParagraph"/>
              <w:spacing w:before="177"/>
              <w:rPr>
                <w:b/>
                <w:sz w:val="17"/>
              </w:rPr>
            </w:pPr>
          </w:p>
          <w:p>
            <w:pPr>
              <w:pStyle w:val="TableParagraph"/>
              <w:spacing w:before="1"/>
              <w:ind w:right="434"/>
              <w:jc w:val="right"/>
              <w:rPr>
                <w:sz w:val="17"/>
              </w:rPr>
            </w:pPr>
            <w:r>
              <w:rPr>
                <w:spacing w:val="-10"/>
                <w:sz w:val="17"/>
              </w:rPr>
              <w:t>+</w:t>
            </w:r>
          </w:p>
        </w:tc>
        <w:tc>
          <w:tcPr>
            <w:tcW w:w="1697" w:type="dxa"/>
            <w:tcBorders>
              <w:top w:val="single" w:sz="8" w:space="0" w:color="6E6E6E"/>
            </w:tcBorders>
          </w:tcPr>
          <w:p>
            <w:pPr>
              <w:pStyle w:val="TableParagraph"/>
              <w:spacing w:before="98"/>
              <w:rPr>
                <w:b/>
                <w:sz w:val="16"/>
              </w:rPr>
            </w:pPr>
          </w:p>
          <w:p>
            <w:pPr>
              <w:pStyle w:val="TableParagraph"/>
              <w:spacing w:line="254" w:lineRule="auto"/>
              <w:ind w:left="83" w:right="3"/>
              <w:rPr>
                <w:sz w:val="16"/>
              </w:rPr>
            </w:pPr>
            <w:r>
              <w:rPr>
                <w:sz w:val="16"/>
              </w:rPr>
              <w:t>Ardiana</w:t>
            </w:r>
            <w:r>
              <w:rPr>
                <w:spacing w:val="-12"/>
                <w:sz w:val="16"/>
              </w:rPr>
              <w:t> </w:t>
            </w:r>
            <w:r>
              <w:rPr>
                <w:sz w:val="16"/>
              </w:rPr>
              <w:t>Gjini/Hugo Van Woerden</w:t>
            </w:r>
          </w:p>
        </w:tc>
        <w:tc>
          <w:tcPr>
            <w:tcW w:w="2402" w:type="dxa"/>
            <w:tcBorders>
              <w:top w:val="single" w:sz="8" w:space="0" w:color="6E6E6E"/>
            </w:tcBorders>
            <w:shd w:val="clear" w:color="auto" w:fill="FFC000"/>
          </w:tcPr>
          <w:p>
            <w:pPr>
              <w:pStyle w:val="TableParagraph"/>
              <w:spacing w:before="177"/>
              <w:rPr>
                <w:b/>
                <w:sz w:val="17"/>
              </w:rPr>
            </w:pPr>
          </w:p>
          <w:p>
            <w:pPr>
              <w:pStyle w:val="TableParagraph"/>
              <w:spacing w:before="1"/>
              <w:ind w:right="1160"/>
              <w:jc w:val="right"/>
              <w:rPr>
                <w:sz w:val="17"/>
              </w:rPr>
            </w:pPr>
            <w:r>
              <w:rPr>
                <w:spacing w:val="-10"/>
                <w:sz w:val="17"/>
              </w:rPr>
              <w:t>-</w:t>
            </w:r>
          </w:p>
        </w:tc>
      </w:tr>
      <w:tr>
        <w:trPr>
          <w:trHeight w:val="955" w:hRule="atLeast"/>
        </w:trPr>
        <w:tc>
          <w:tcPr>
            <w:tcW w:w="851" w:type="dxa"/>
          </w:tcPr>
          <w:p>
            <w:pPr>
              <w:pStyle w:val="TableParagraph"/>
              <w:spacing w:before="180"/>
              <w:rPr>
                <w:b/>
                <w:sz w:val="17"/>
              </w:rPr>
            </w:pPr>
          </w:p>
          <w:p>
            <w:pPr>
              <w:pStyle w:val="TableParagraph"/>
              <w:ind w:left="87"/>
              <w:rPr>
                <w:sz w:val="17"/>
              </w:rPr>
            </w:pPr>
            <w:r>
              <w:rPr>
                <w:spacing w:val="-5"/>
                <w:sz w:val="17"/>
              </w:rPr>
              <w:t>2.</w:t>
            </w:r>
          </w:p>
        </w:tc>
        <w:tc>
          <w:tcPr>
            <w:tcW w:w="4227" w:type="dxa"/>
          </w:tcPr>
          <w:p>
            <w:pPr>
              <w:pStyle w:val="TableParagraph"/>
              <w:spacing w:line="252" w:lineRule="auto" w:before="90"/>
              <w:ind w:left="92" w:right="129"/>
              <w:rPr>
                <w:sz w:val="16"/>
              </w:rPr>
            </w:pPr>
            <w:r>
              <w:rPr>
                <w:sz w:val="16"/>
              </w:rPr>
              <w:t>If</w:t>
            </w:r>
            <w:r>
              <w:rPr>
                <w:spacing w:val="-4"/>
                <w:sz w:val="16"/>
              </w:rPr>
              <w:t> </w:t>
            </w:r>
            <w:r>
              <w:rPr>
                <w:sz w:val="16"/>
              </w:rPr>
              <w:t>the</w:t>
            </w:r>
            <w:r>
              <w:rPr>
                <w:spacing w:val="-4"/>
                <w:sz w:val="16"/>
              </w:rPr>
              <w:t> </w:t>
            </w:r>
            <w:r>
              <w:rPr>
                <w:sz w:val="16"/>
              </w:rPr>
              <w:t>RHE</w:t>
            </w:r>
            <w:r>
              <w:rPr>
                <w:spacing w:val="-6"/>
                <w:sz w:val="16"/>
              </w:rPr>
              <w:t> </w:t>
            </w:r>
            <w:r>
              <w:rPr>
                <w:sz w:val="16"/>
              </w:rPr>
              <w:t>programme</w:t>
            </w:r>
            <w:r>
              <w:rPr>
                <w:spacing w:val="-4"/>
                <w:sz w:val="16"/>
              </w:rPr>
              <w:t> </w:t>
            </w:r>
            <w:r>
              <w:rPr>
                <w:sz w:val="16"/>
              </w:rPr>
              <w:t>scope</w:t>
            </w:r>
            <w:r>
              <w:rPr>
                <w:spacing w:val="-4"/>
                <w:sz w:val="16"/>
              </w:rPr>
              <w:t> </w:t>
            </w:r>
            <w:r>
              <w:rPr>
                <w:sz w:val="16"/>
              </w:rPr>
              <w:t>is</w:t>
            </w:r>
            <w:r>
              <w:rPr>
                <w:spacing w:val="-4"/>
                <w:sz w:val="16"/>
              </w:rPr>
              <w:t> </w:t>
            </w:r>
            <w:r>
              <w:rPr>
                <w:sz w:val="16"/>
              </w:rPr>
              <w:t>not</w:t>
            </w:r>
            <w:r>
              <w:rPr>
                <w:spacing w:val="-9"/>
                <w:sz w:val="16"/>
              </w:rPr>
              <w:t> </w:t>
            </w:r>
            <w:r>
              <w:rPr>
                <w:sz w:val="16"/>
              </w:rPr>
              <w:t>actively</w:t>
            </w:r>
            <w:r>
              <w:rPr>
                <w:spacing w:val="-4"/>
                <w:sz w:val="16"/>
              </w:rPr>
              <w:t> </w:t>
            </w:r>
            <w:r>
              <w:rPr>
                <w:sz w:val="16"/>
              </w:rPr>
              <w:t>prioritised, the volume of products and partner expectations may exceed</w:t>
            </w:r>
            <w:r>
              <w:rPr>
                <w:spacing w:val="-5"/>
                <w:sz w:val="16"/>
              </w:rPr>
              <w:t> </w:t>
            </w:r>
            <w:r>
              <w:rPr>
                <w:sz w:val="16"/>
              </w:rPr>
              <w:t>available</w:t>
            </w:r>
            <w:r>
              <w:rPr>
                <w:spacing w:val="-5"/>
                <w:sz w:val="16"/>
              </w:rPr>
              <w:t> </w:t>
            </w:r>
            <w:r>
              <w:rPr>
                <w:sz w:val="16"/>
              </w:rPr>
              <w:t>capacity</w:t>
            </w:r>
            <w:r>
              <w:rPr>
                <w:spacing w:val="-10"/>
                <w:sz w:val="16"/>
              </w:rPr>
              <w:t> </w:t>
            </w:r>
            <w:r>
              <w:rPr>
                <w:sz w:val="16"/>
              </w:rPr>
              <w:t>and</w:t>
            </w:r>
            <w:r>
              <w:rPr>
                <w:spacing w:val="-5"/>
                <w:sz w:val="16"/>
              </w:rPr>
              <w:t> </w:t>
            </w:r>
            <w:r>
              <w:rPr>
                <w:sz w:val="16"/>
              </w:rPr>
              <w:t>affect</w:t>
            </w:r>
            <w:r>
              <w:rPr>
                <w:spacing w:val="-6"/>
                <w:sz w:val="16"/>
              </w:rPr>
              <w:t> </w:t>
            </w:r>
            <w:r>
              <w:rPr>
                <w:sz w:val="16"/>
              </w:rPr>
              <w:t>quality</w:t>
            </w:r>
            <w:r>
              <w:rPr>
                <w:spacing w:val="-6"/>
                <w:sz w:val="16"/>
              </w:rPr>
              <w:t> </w:t>
            </w:r>
            <w:r>
              <w:rPr>
                <w:sz w:val="16"/>
              </w:rPr>
              <w:t>or</w:t>
            </w:r>
            <w:r>
              <w:rPr>
                <w:spacing w:val="-5"/>
                <w:sz w:val="16"/>
              </w:rPr>
              <w:t> </w:t>
            </w:r>
            <w:r>
              <w:rPr>
                <w:sz w:val="16"/>
              </w:rPr>
              <w:t>delivery </w:t>
            </w:r>
            <w:r>
              <w:rPr>
                <w:spacing w:val="-2"/>
                <w:sz w:val="16"/>
              </w:rPr>
              <w:t>timescales.</w:t>
            </w:r>
          </w:p>
        </w:tc>
        <w:tc>
          <w:tcPr>
            <w:tcW w:w="3662" w:type="dxa"/>
          </w:tcPr>
          <w:p>
            <w:pPr>
              <w:pStyle w:val="TableParagraph"/>
              <w:spacing w:before="101"/>
              <w:rPr>
                <w:b/>
                <w:sz w:val="16"/>
              </w:rPr>
            </w:pPr>
          </w:p>
          <w:p>
            <w:pPr>
              <w:pStyle w:val="TableParagraph"/>
              <w:spacing w:line="247" w:lineRule="auto"/>
              <w:ind w:left="91"/>
              <w:rPr>
                <w:sz w:val="16"/>
              </w:rPr>
            </w:pPr>
            <w:r>
              <w:rPr>
                <w:sz w:val="16"/>
              </w:rPr>
              <w:t>Agree</w:t>
            </w:r>
            <w:r>
              <w:rPr>
                <w:spacing w:val="-6"/>
                <w:sz w:val="16"/>
              </w:rPr>
              <w:t> </w:t>
            </w:r>
            <w:r>
              <w:rPr>
                <w:sz w:val="16"/>
              </w:rPr>
              <w:t>scope,</w:t>
            </w:r>
            <w:r>
              <w:rPr>
                <w:spacing w:val="-11"/>
                <w:sz w:val="16"/>
              </w:rPr>
              <w:t> </w:t>
            </w:r>
            <w:r>
              <w:rPr>
                <w:sz w:val="16"/>
              </w:rPr>
              <w:t>sequencing</w:t>
            </w:r>
            <w:r>
              <w:rPr>
                <w:spacing w:val="-6"/>
                <w:sz w:val="16"/>
              </w:rPr>
              <w:t> </w:t>
            </w:r>
            <w:r>
              <w:rPr>
                <w:sz w:val="16"/>
              </w:rPr>
              <w:t>and</w:t>
            </w:r>
            <w:r>
              <w:rPr>
                <w:spacing w:val="-6"/>
                <w:sz w:val="16"/>
              </w:rPr>
              <w:t> </w:t>
            </w:r>
            <w:r>
              <w:rPr>
                <w:sz w:val="16"/>
              </w:rPr>
              <w:t>priorities</w:t>
            </w:r>
            <w:r>
              <w:rPr>
                <w:spacing w:val="-7"/>
                <w:sz w:val="16"/>
              </w:rPr>
              <w:t> </w:t>
            </w:r>
            <w:r>
              <w:rPr>
                <w:sz w:val="16"/>
              </w:rPr>
              <w:t>through RHE governance.</w:t>
            </w:r>
          </w:p>
        </w:tc>
        <w:tc>
          <w:tcPr>
            <w:tcW w:w="1696" w:type="dxa"/>
          </w:tcPr>
          <w:p>
            <w:pPr>
              <w:pStyle w:val="TableParagraph"/>
              <w:spacing w:before="101"/>
              <w:rPr>
                <w:b/>
                <w:sz w:val="16"/>
              </w:rPr>
            </w:pPr>
          </w:p>
          <w:p>
            <w:pPr>
              <w:pStyle w:val="TableParagraph"/>
              <w:spacing w:line="247" w:lineRule="auto"/>
              <w:ind w:left="90"/>
              <w:rPr>
                <w:sz w:val="16"/>
              </w:rPr>
            </w:pPr>
            <w:r>
              <w:rPr>
                <w:sz w:val="16"/>
              </w:rPr>
              <w:t>Ardiana</w:t>
            </w:r>
            <w:r>
              <w:rPr>
                <w:spacing w:val="-12"/>
                <w:sz w:val="16"/>
              </w:rPr>
              <w:t> </w:t>
            </w:r>
            <w:r>
              <w:rPr>
                <w:sz w:val="16"/>
              </w:rPr>
              <w:t>Gjini/Hugo Van Woerden</w:t>
            </w:r>
          </w:p>
        </w:tc>
        <w:tc>
          <w:tcPr>
            <w:tcW w:w="996" w:type="dxa"/>
            <w:shd w:val="clear" w:color="auto" w:fill="FFC000"/>
          </w:tcPr>
          <w:p>
            <w:pPr>
              <w:pStyle w:val="TableParagraph"/>
              <w:spacing w:before="180"/>
              <w:rPr>
                <w:b/>
                <w:sz w:val="17"/>
              </w:rPr>
            </w:pPr>
          </w:p>
          <w:p>
            <w:pPr>
              <w:pStyle w:val="TableParagraph"/>
              <w:ind w:right="457"/>
              <w:jc w:val="right"/>
              <w:rPr>
                <w:sz w:val="17"/>
              </w:rPr>
            </w:pPr>
            <w:r>
              <w:rPr>
                <w:spacing w:val="-10"/>
                <w:sz w:val="17"/>
              </w:rPr>
              <w:t>-</w:t>
            </w:r>
          </w:p>
        </w:tc>
        <w:tc>
          <w:tcPr>
            <w:tcW w:w="1697" w:type="dxa"/>
          </w:tcPr>
          <w:p>
            <w:pPr>
              <w:pStyle w:val="TableParagraph"/>
              <w:spacing w:before="101"/>
              <w:rPr>
                <w:b/>
                <w:sz w:val="16"/>
              </w:rPr>
            </w:pPr>
          </w:p>
          <w:p>
            <w:pPr>
              <w:pStyle w:val="TableParagraph"/>
              <w:spacing w:line="247" w:lineRule="auto"/>
              <w:ind w:left="83" w:right="3"/>
              <w:rPr>
                <w:sz w:val="16"/>
              </w:rPr>
            </w:pPr>
            <w:r>
              <w:rPr>
                <w:sz w:val="16"/>
              </w:rPr>
              <w:t>Ardiana</w:t>
            </w:r>
            <w:r>
              <w:rPr>
                <w:spacing w:val="-12"/>
                <w:sz w:val="16"/>
              </w:rPr>
              <w:t> </w:t>
            </w:r>
            <w:r>
              <w:rPr>
                <w:sz w:val="16"/>
              </w:rPr>
              <w:t>Gjini/Hugo Van Woerden</w:t>
            </w:r>
          </w:p>
        </w:tc>
        <w:tc>
          <w:tcPr>
            <w:tcW w:w="2402" w:type="dxa"/>
            <w:shd w:val="clear" w:color="auto" w:fill="00AF50"/>
          </w:tcPr>
          <w:p>
            <w:pPr>
              <w:pStyle w:val="TableParagraph"/>
              <w:spacing w:before="180"/>
              <w:rPr>
                <w:b/>
                <w:sz w:val="17"/>
              </w:rPr>
            </w:pPr>
          </w:p>
          <w:p>
            <w:pPr>
              <w:pStyle w:val="TableParagraph"/>
              <w:ind w:right="1160"/>
              <w:jc w:val="right"/>
              <w:rPr>
                <w:sz w:val="17"/>
              </w:rPr>
            </w:pPr>
            <w:r>
              <w:rPr>
                <w:spacing w:val="-10"/>
                <w:sz w:val="17"/>
              </w:rPr>
              <w:t>-</w:t>
            </w:r>
          </w:p>
        </w:tc>
      </w:tr>
      <w:tr>
        <w:trPr>
          <w:trHeight w:val="950" w:hRule="atLeast"/>
        </w:trPr>
        <w:tc>
          <w:tcPr>
            <w:tcW w:w="851" w:type="dxa"/>
          </w:tcPr>
          <w:p>
            <w:pPr>
              <w:pStyle w:val="TableParagraph"/>
              <w:spacing w:before="175"/>
              <w:rPr>
                <w:b/>
                <w:sz w:val="17"/>
              </w:rPr>
            </w:pPr>
          </w:p>
          <w:p>
            <w:pPr>
              <w:pStyle w:val="TableParagraph"/>
              <w:ind w:left="87"/>
              <w:rPr>
                <w:sz w:val="17"/>
              </w:rPr>
            </w:pPr>
            <w:r>
              <w:rPr>
                <w:spacing w:val="-4"/>
                <w:sz w:val="17"/>
              </w:rPr>
              <w:t>Su3.</w:t>
            </w:r>
          </w:p>
        </w:tc>
        <w:tc>
          <w:tcPr>
            <w:tcW w:w="4227" w:type="dxa"/>
          </w:tcPr>
          <w:p>
            <w:pPr>
              <w:pStyle w:val="TableParagraph"/>
              <w:spacing w:line="249" w:lineRule="auto" w:before="90"/>
              <w:ind w:left="92" w:right="129"/>
              <w:rPr>
                <w:sz w:val="16"/>
              </w:rPr>
            </w:pPr>
            <w:r>
              <w:rPr>
                <w:sz w:val="16"/>
              </w:rPr>
              <w:t>If</w:t>
            </w:r>
            <w:r>
              <w:rPr>
                <w:spacing w:val="-5"/>
                <w:sz w:val="16"/>
              </w:rPr>
              <w:t> </w:t>
            </w:r>
            <w:r>
              <w:rPr>
                <w:sz w:val="16"/>
              </w:rPr>
              <w:t>regional</w:t>
            </w:r>
            <w:r>
              <w:rPr>
                <w:spacing w:val="-6"/>
                <w:sz w:val="16"/>
              </w:rPr>
              <w:t> </w:t>
            </w:r>
            <w:r>
              <w:rPr>
                <w:sz w:val="16"/>
              </w:rPr>
              <w:t>activity</w:t>
            </w:r>
            <w:r>
              <w:rPr>
                <w:spacing w:val="-5"/>
                <w:sz w:val="16"/>
              </w:rPr>
              <w:t> </w:t>
            </w:r>
            <w:r>
              <w:rPr>
                <w:sz w:val="16"/>
              </w:rPr>
              <w:t>is</w:t>
            </w:r>
            <w:r>
              <w:rPr>
                <w:spacing w:val="-5"/>
                <w:sz w:val="16"/>
              </w:rPr>
              <w:t> </w:t>
            </w:r>
            <w:r>
              <w:rPr>
                <w:sz w:val="16"/>
              </w:rPr>
              <w:t>not</w:t>
            </w:r>
            <w:r>
              <w:rPr>
                <w:spacing w:val="-9"/>
                <w:sz w:val="16"/>
              </w:rPr>
              <w:t> </w:t>
            </w:r>
            <w:r>
              <w:rPr>
                <w:sz w:val="16"/>
              </w:rPr>
              <w:t>clearly</w:t>
            </w:r>
            <w:r>
              <w:rPr>
                <w:spacing w:val="-5"/>
                <w:sz w:val="16"/>
              </w:rPr>
              <w:t> </w:t>
            </w:r>
            <w:r>
              <w:rPr>
                <w:sz w:val="16"/>
              </w:rPr>
              <w:t>differentiated</w:t>
            </w:r>
            <w:r>
              <w:rPr>
                <w:spacing w:val="-4"/>
                <w:sz w:val="16"/>
              </w:rPr>
              <w:t> </w:t>
            </w:r>
            <w:r>
              <w:rPr>
                <w:sz w:val="16"/>
              </w:rPr>
              <w:t>from</w:t>
            </w:r>
            <w:r>
              <w:rPr>
                <w:spacing w:val="-4"/>
                <w:sz w:val="16"/>
              </w:rPr>
              <w:t> </w:t>
            </w:r>
            <w:r>
              <w:rPr>
                <w:sz w:val="16"/>
              </w:rPr>
              <w:t>local health board and partner work, the programme may duplicate existing activity rather than demonstrate distinct regional value.</w:t>
            </w:r>
          </w:p>
        </w:tc>
        <w:tc>
          <w:tcPr>
            <w:tcW w:w="3662" w:type="dxa"/>
          </w:tcPr>
          <w:p>
            <w:pPr>
              <w:pStyle w:val="TableParagraph"/>
              <w:spacing w:before="96"/>
              <w:rPr>
                <w:b/>
                <w:sz w:val="16"/>
              </w:rPr>
            </w:pPr>
          </w:p>
          <w:p>
            <w:pPr>
              <w:pStyle w:val="TableParagraph"/>
              <w:spacing w:line="254" w:lineRule="auto"/>
              <w:ind w:left="91"/>
              <w:rPr>
                <w:sz w:val="16"/>
              </w:rPr>
            </w:pPr>
            <w:r>
              <w:rPr>
                <w:sz w:val="16"/>
              </w:rPr>
              <w:t>Manage</w:t>
            </w:r>
            <w:r>
              <w:rPr>
                <w:spacing w:val="-10"/>
                <w:sz w:val="16"/>
              </w:rPr>
              <w:t> </w:t>
            </w:r>
            <w:r>
              <w:rPr>
                <w:sz w:val="16"/>
              </w:rPr>
              <w:t>through</w:t>
            </w:r>
            <w:r>
              <w:rPr>
                <w:spacing w:val="-6"/>
                <w:sz w:val="16"/>
              </w:rPr>
              <w:t> </w:t>
            </w:r>
            <w:r>
              <w:rPr>
                <w:sz w:val="16"/>
              </w:rPr>
              <w:t>agreed</w:t>
            </w:r>
            <w:r>
              <w:rPr>
                <w:spacing w:val="-10"/>
                <w:sz w:val="16"/>
              </w:rPr>
              <w:t> </w:t>
            </w:r>
            <w:r>
              <w:rPr>
                <w:sz w:val="16"/>
              </w:rPr>
              <w:t>RHE</w:t>
            </w:r>
            <w:r>
              <w:rPr>
                <w:spacing w:val="-9"/>
                <w:sz w:val="16"/>
              </w:rPr>
              <w:t> </w:t>
            </w:r>
            <w:r>
              <w:rPr>
                <w:sz w:val="16"/>
              </w:rPr>
              <w:t>governance</w:t>
            </w:r>
            <w:r>
              <w:rPr>
                <w:spacing w:val="-6"/>
                <w:sz w:val="16"/>
              </w:rPr>
              <w:t> </w:t>
            </w:r>
            <w:r>
              <w:rPr>
                <w:sz w:val="16"/>
              </w:rPr>
              <w:t>and </w:t>
            </w:r>
            <w:r>
              <w:rPr>
                <w:spacing w:val="-2"/>
                <w:sz w:val="16"/>
              </w:rPr>
              <w:t>prioritisation.</w:t>
            </w:r>
          </w:p>
        </w:tc>
        <w:tc>
          <w:tcPr>
            <w:tcW w:w="1696" w:type="dxa"/>
          </w:tcPr>
          <w:p>
            <w:pPr>
              <w:pStyle w:val="TableParagraph"/>
              <w:spacing w:before="96"/>
              <w:rPr>
                <w:b/>
                <w:sz w:val="16"/>
              </w:rPr>
            </w:pPr>
          </w:p>
          <w:p>
            <w:pPr>
              <w:pStyle w:val="TableParagraph"/>
              <w:spacing w:line="254" w:lineRule="auto"/>
              <w:ind w:left="90"/>
              <w:rPr>
                <w:sz w:val="16"/>
              </w:rPr>
            </w:pPr>
            <w:r>
              <w:rPr>
                <w:sz w:val="16"/>
              </w:rPr>
              <w:t>Ardiana</w:t>
            </w:r>
            <w:r>
              <w:rPr>
                <w:spacing w:val="-12"/>
                <w:sz w:val="16"/>
              </w:rPr>
              <w:t> </w:t>
            </w:r>
            <w:r>
              <w:rPr>
                <w:sz w:val="16"/>
              </w:rPr>
              <w:t>Gjini/Hugo Van Woerden</w:t>
            </w:r>
          </w:p>
        </w:tc>
        <w:tc>
          <w:tcPr>
            <w:tcW w:w="996" w:type="dxa"/>
            <w:shd w:val="clear" w:color="auto" w:fill="FFC000"/>
          </w:tcPr>
          <w:p>
            <w:pPr>
              <w:pStyle w:val="TableParagraph"/>
              <w:spacing w:before="175"/>
              <w:rPr>
                <w:b/>
                <w:sz w:val="17"/>
              </w:rPr>
            </w:pPr>
          </w:p>
          <w:p>
            <w:pPr>
              <w:pStyle w:val="TableParagraph"/>
              <w:ind w:right="457"/>
              <w:jc w:val="right"/>
              <w:rPr>
                <w:sz w:val="17"/>
              </w:rPr>
            </w:pPr>
            <w:r>
              <w:rPr>
                <w:spacing w:val="-10"/>
                <w:sz w:val="17"/>
              </w:rPr>
              <w:t>-</w:t>
            </w:r>
          </w:p>
        </w:tc>
        <w:tc>
          <w:tcPr>
            <w:tcW w:w="1697" w:type="dxa"/>
          </w:tcPr>
          <w:p>
            <w:pPr>
              <w:pStyle w:val="TableParagraph"/>
              <w:spacing w:before="96"/>
              <w:rPr>
                <w:b/>
                <w:sz w:val="16"/>
              </w:rPr>
            </w:pPr>
          </w:p>
          <w:p>
            <w:pPr>
              <w:pStyle w:val="TableParagraph"/>
              <w:spacing w:line="254" w:lineRule="auto"/>
              <w:ind w:left="83" w:right="3"/>
              <w:rPr>
                <w:sz w:val="16"/>
              </w:rPr>
            </w:pPr>
            <w:r>
              <w:rPr>
                <w:sz w:val="16"/>
              </w:rPr>
              <w:t>Ardiana</w:t>
            </w:r>
            <w:r>
              <w:rPr>
                <w:spacing w:val="-12"/>
                <w:sz w:val="16"/>
              </w:rPr>
              <w:t> </w:t>
            </w:r>
            <w:r>
              <w:rPr>
                <w:sz w:val="16"/>
              </w:rPr>
              <w:t>Gjini/Hugo Van Woerden</w:t>
            </w:r>
          </w:p>
        </w:tc>
        <w:tc>
          <w:tcPr>
            <w:tcW w:w="2402" w:type="dxa"/>
            <w:shd w:val="clear" w:color="auto" w:fill="FFC000"/>
          </w:tcPr>
          <w:p>
            <w:pPr>
              <w:pStyle w:val="TableParagraph"/>
              <w:spacing w:before="175"/>
              <w:rPr>
                <w:b/>
                <w:sz w:val="17"/>
              </w:rPr>
            </w:pPr>
          </w:p>
          <w:p>
            <w:pPr>
              <w:pStyle w:val="TableParagraph"/>
              <w:ind w:right="1160"/>
              <w:jc w:val="right"/>
              <w:rPr>
                <w:sz w:val="17"/>
              </w:rPr>
            </w:pPr>
            <w:r>
              <w:rPr>
                <w:spacing w:val="-10"/>
                <w:sz w:val="17"/>
              </w:rPr>
              <w:t>-</w:t>
            </w:r>
          </w:p>
        </w:tc>
      </w:tr>
    </w:tbl>
    <w:p>
      <w:pPr>
        <w:pStyle w:val="Heading8"/>
        <w:numPr>
          <w:ilvl w:val="0"/>
          <w:numId w:val="28"/>
        </w:numPr>
        <w:tabs>
          <w:tab w:pos="367" w:val="left" w:leader="none"/>
        </w:tabs>
        <w:spacing w:line="240" w:lineRule="auto" w:before="163" w:after="0"/>
        <w:ind w:left="367" w:right="0" w:hanging="284"/>
        <w:jc w:val="left"/>
      </w:pPr>
      <w:r>
        <w:rPr>
          <w:color w:val="001F5F"/>
          <w:spacing w:val="-2"/>
        </w:rPr>
        <w:t>Dependencies</w:t>
      </w:r>
    </w:p>
    <w:p>
      <w:pPr>
        <w:pStyle w:val="BodyText"/>
        <w:spacing w:before="10"/>
        <w:rPr>
          <w:b/>
          <w:sz w:val="10"/>
        </w:rPr>
      </w:pPr>
    </w:p>
    <w:tbl>
      <w:tblPr>
        <w:tblW w:w="0" w:type="auto"/>
        <w:jc w:val="left"/>
        <w:tblInd w:w="15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5747"/>
        <w:gridCol w:w="5476"/>
        <w:gridCol w:w="1870"/>
        <w:gridCol w:w="2305"/>
      </w:tblGrid>
      <w:tr>
        <w:trPr>
          <w:trHeight w:val="360" w:hRule="atLeast"/>
        </w:trPr>
        <w:tc>
          <w:tcPr>
            <w:tcW w:w="5747" w:type="dxa"/>
            <w:shd w:val="clear" w:color="auto" w:fill="1F4E79"/>
          </w:tcPr>
          <w:p>
            <w:pPr>
              <w:pStyle w:val="TableParagraph"/>
              <w:spacing w:before="89"/>
              <w:ind w:left="92"/>
              <w:rPr>
                <w:b/>
                <w:sz w:val="15"/>
              </w:rPr>
            </w:pPr>
            <w:r>
              <w:rPr>
                <w:b/>
                <w:color w:val="FFFFFF"/>
                <w:spacing w:val="-2"/>
                <w:sz w:val="15"/>
              </w:rPr>
              <w:t>Description</w:t>
            </w:r>
          </w:p>
        </w:tc>
        <w:tc>
          <w:tcPr>
            <w:tcW w:w="5476" w:type="dxa"/>
            <w:shd w:val="clear" w:color="auto" w:fill="1F4E79"/>
          </w:tcPr>
          <w:p>
            <w:pPr>
              <w:pStyle w:val="TableParagraph"/>
              <w:spacing w:before="89"/>
              <w:ind w:left="92"/>
              <w:rPr>
                <w:b/>
                <w:sz w:val="15"/>
              </w:rPr>
            </w:pPr>
            <w:r>
              <w:rPr>
                <w:b/>
                <w:color w:val="FFFFFF"/>
                <w:sz w:val="15"/>
              </w:rPr>
              <w:t>How</w:t>
            </w:r>
            <w:r>
              <w:rPr>
                <w:b/>
                <w:color w:val="FFFFFF"/>
                <w:spacing w:val="-2"/>
                <w:sz w:val="15"/>
              </w:rPr>
              <w:t> </w:t>
            </w:r>
            <w:r>
              <w:rPr>
                <w:b/>
                <w:color w:val="FFFFFF"/>
                <w:sz w:val="15"/>
              </w:rPr>
              <w:t>Dependency</w:t>
            </w:r>
            <w:r>
              <w:rPr>
                <w:b/>
                <w:color w:val="FFFFFF"/>
                <w:spacing w:val="-7"/>
                <w:sz w:val="15"/>
              </w:rPr>
              <w:t> </w:t>
            </w:r>
            <w:r>
              <w:rPr>
                <w:b/>
                <w:color w:val="FFFFFF"/>
                <w:sz w:val="15"/>
              </w:rPr>
              <w:t>is</w:t>
            </w:r>
            <w:r>
              <w:rPr>
                <w:b/>
                <w:color w:val="FFFFFF"/>
                <w:spacing w:val="-3"/>
                <w:sz w:val="15"/>
              </w:rPr>
              <w:t> </w:t>
            </w:r>
            <w:r>
              <w:rPr>
                <w:b/>
                <w:color w:val="FFFFFF"/>
                <w:spacing w:val="-2"/>
                <w:sz w:val="15"/>
              </w:rPr>
              <w:t>Managed</w:t>
            </w:r>
          </w:p>
        </w:tc>
        <w:tc>
          <w:tcPr>
            <w:tcW w:w="1870" w:type="dxa"/>
            <w:shd w:val="clear" w:color="auto" w:fill="1F4E79"/>
          </w:tcPr>
          <w:p>
            <w:pPr>
              <w:pStyle w:val="TableParagraph"/>
              <w:spacing w:before="89"/>
              <w:ind w:left="92"/>
              <w:rPr>
                <w:b/>
                <w:sz w:val="15"/>
              </w:rPr>
            </w:pPr>
            <w:r>
              <w:rPr>
                <w:b/>
                <w:color w:val="FFFFFF"/>
                <w:sz w:val="15"/>
              </w:rPr>
              <w:t>Action</w:t>
            </w:r>
            <w:r>
              <w:rPr>
                <w:b/>
                <w:color w:val="FFFFFF"/>
                <w:spacing w:val="-8"/>
                <w:sz w:val="15"/>
              </w:rPr>
              <w:t> </w:t>
            </w:r>
            <w:r>
              <w:rPr>
                <w:b/>
                <w:color w:val="FFFFFF"/>
                <w:spacing w:val="-2"/>
                <w:sz w:val="15"/>
              </w:rPr>
              <w:t>Owner</w:t>
            </w:r>
          </w:p>
        </w:tc>
        <w:tc>
          <w:tcPr>
            <w:tcW w:w="2305" w:type="dxa"/>
            <w:shd w:val="clear" w:color="auto" w:fill="1F4E79"/>
          </w:tcPr>
          <w:p>
            <w:pPr>
              <w:pStyle w:val="TableParagraph"/>
              <w:spacing w:before="89"/>
              <w:ind w:left="93"/>
              <w:rPr>
                <w:b/>
                <w:sz w:val="15"/>
              </w:rPr>
            </w:pPr>
            <w:r>
              <w:rPr>
                <w:b/>
                <w:color w:val="FFFFFF"/>
                <w:sz w:val="15"/>
              </w:rPr>
              <w:t>Dependency</w:t>
            </w:r>
            <w:r>
              <w:rPr>
                <w:b/>
                <w:color w:val="FFFFFF"/>
                <w:spacing w:val="-9"/>
                <w:sz w:val="15"/>
              </w:rPr>
              <w:t> </w:t>
            </w:r>
            <w:r>
              <w:rPr>
                <w:b/>
                <w:color w:val="FFFFFF"/>
                <w:spacing w:val="-2"/>
                <w:sz w:val="15"/>
              </w:rPr>
              <w:t>Owner</w:t>
            </w:r>
          </w:p>
        </w:tc>
      </w:tr>
      <w:tr>
        <w:trPr>
          <w:trHeight w:val="1145" w:hRule="atLeast"/>
        </w:trPr>
        <w:tc>
          <w:tcPr>
            <w:tcW w:w="5747" w:type="dxa"/>
          </w:tcPr>
          <w:p>
            <w:pPr>
              <w:pStyle w:val="TableParagraph"/>
              <w:rPr>
                <w:b/>
                <w:sz w:val="16"/>
              </w:rPr>
            </w:pPr>
          </w:p>
          <w:p>
            <w:pPr>
              <w:pStyle w:val="TableParagraph"/>
              <w:spacing w:before="106"/>
              <w:rPr>
                <w:b/>
                <w:sz w:val="16"/>
              </w:rPr>
            </w:pPr>
          </w:p>
          <w:p>
            <w:pPr>
              <w:pStyle w:val="TableParagraph"/>
              <w:spacing w:before="1"/>
              <w:ind w:left="92"/>
              <w:rPr>
                <w:sz w:val="16"/>
              </w:rPr>
            </w:pPr>
            <w:r>
              <w:rPr>
                <w:sz w:val="16"/>
              </w:rPr>
              <w:t>Confirmed</w:t>
            </w:r>
            <w:r>
              <w:rPr>
                <w:spacing w:val="-7"/>
                <w:sz w:val="16"/>
              </w:rPr>
              <w:t> </w:t>
            </w:r>
            <w:r>
              <w:rPr>
                <w:sz w:val="16"/>
              </w:rPr>
              <w:t>analytical</w:t>
            </w:r>
            <w:r>
              <w:rPr>
                <w:spacing w:val="-4"/>
                <w:sz w:val="16"/>
              </w:rPr>
              <w:t> </w:t>
            </w:r>
            <w:r>
              <w:rPr>
                <w:sz w:val="16"/>
              </w:rPr>
              <w:t>and</w:t>
            </w:r>
            <w:r>
              <w:rPr>
                <w:spacing w:val="-2"/>
                <w:sz w:val="16"/>
              </w:rPr>
              <w:t> </w:t>
            </w:r>
            <w:r>
              <w:rPr>
                <w:sz w:val="16"/>
              </w:rPr>
              <w:t>public</w:t>
            </w:r>
            <w:r>
              <w:rPr>
                <w:spacing w:val="-3"/>
                <w:sz w:val="16"/>
              </w:rPr>
              <w:t> </w:t>
            </w:r>
            <w:r>
              <w:rPr>
                <w:sz w:val="16"/>
              </w:rPr>
              <w:t>health</w:t>
            </w:r>
            <w:r>
              <w:rPr>
                <w:spacing w:val="-2"/>
                <w:sz w:val="16"/>
              </w:rPr>
              <w:t> capacity</w:t>
            </w:r>
          </w:p>
        </w:tc>
        <w:tc>
          <w:tcPr>
            <w:tcW w:w="5476" w:type="dxa"/>
          </w:tcPr>
          <w:p>
            <w:pPr>
              <w:pStyle w:val="TableParagraph"/>
              <w:spacing w:line="252" w:lineRule="auto" w:before="90"/>
              <w:ind w:left="92" w:right="97"/>
              <w:rPr>
                <w:sz w:val="16"/>
              </w:rPr>
            </w:pPr>
            <w:r>
              <w:rPr>
                <w:sz w:val="16"/>
              </w:rPr>
              <w:t>The scope and sequencing of the Regional</w:t>
            </w:r>
            <w:r>
              <w:rPr>
                <w:spacing w:val="-1"/>
                <w:sz w:val="16"/>
              </w:rPr>
              <w:t> </w:t>
            </w:r>
            <w:r>
              <w:rPr>
                <w:sz w:val="16"/>
              </w:rPr>
              <w:t>Health Intelligence Profile will be kept proportionate to confirmed capacity, using a phased approach beginning</w:t>
            </w:r>
            <w:r>
              <w:rPr>
                <w:spacing w:val="-2"/>
                <w:sz w:val="16"/>
              </w:rPr>
              <w:t> </w:t>
            </w:r>
            <w:r>
              <w:rPr>
                <w:sz w:val="16"/>
              </w:rPr>
              <w:t>with</w:t>
            </w:r>
            <w:r>
              <w:rPr>
                <w:spacing w:val="-7"/>
                <w:sz w:val="16"/>
              </w:rPr>
              <w:t> </w:t>
            </w:r>
            <w:r>
              <w:rPr>
                <w:sz w:val="16"/>
              </w:rPr>
              <w:t>a</w:t>
            </w:r>
            <w:r>
              <w:rPr>
                <w:spacing w:val="-2"/>
                <w:sz w:val="16"/>
              </w:rPr>
              <w:t> </w:t>
            </w:r>
            <w:r>
              <w:rPr>
                <w:sz w:val="16"/>
              </w:rPr>
              <w:t>refresh</w:t>
            </w:r>
            <w:r>
              <w:rPr>
                <w:spacing w:val="-7"/>
                <w:sz w:val="16"/>
              </w:rPr>
              <w:t> </w:t>
            </w:r>
            <w:r>
              <w:rPr>
                <w:sz w:val="16"/>
              </w:rPr>
              <w:t>of</w:t>
            </w:r>
            <w:r>
              <w:rPr>
                <w:spacing w:val="-3"/>
                <w:sz w:val="16"/>
              </w:rPr>
              <w:t> </w:t>
            </w:r>
            <w:r>
              <w:rPr>
                <w:sz w:val="16"/>
              </w:rPr>
              <w:t>the</w:t>
            </w:r>
            <w:r>
              <w:rPr>
                <w:spacing w:val="-7"/>
                <w:sz w:val="16"/>
              </w:rPr>
              <w:t> </w:t>
            </w:r>
            <w:r>
              <w:rPr>
                <w:sz w:val="16"/>
              </w:rPr>
              <w:t>previous</w:t>
            </w:r>
            <w:r>
              <w:rPr>
                <w:spacing w:val="-8"/>
                <w:sz w:val="16"/>
              </w:rPr>
              <w:t> </w:t>
            </w:r>
            <w:r>
              <w:rPr>
                <w:sz w:val="16"/>
              </w:rPr>
              <w:t>ARCH</w:t>
            </w:r>
            <w:r>
              <w:rPr>
                <w:spacing w:val="-4"/>
                <w:sz w:val="16"/>
              </w:rPr>
              <w:t> </w:t>
            </w:r>
            <w:r>
              <w:rPr>
                <w:sz w:val="16"/>
              </w:rPr>
              <w:t>Health</w:t>
            </w:r>
            <w:r>
              <w:rPr>
                <w:spacing w:val="-2"/>
                <w:sz w:val="16"/>
              </w:rPr>
              <w:t> </w:t>
            </w:r>
            <w:r>
              <w:rPr>
                <w:sz w:val="16"/>
              </w:rPr>
              <w:t>Needs</w:t>
            </w:r>
            <w:r>
              <w:rPr>
                <w:spacing w:val="-3"/>
                <w:sz w:val="16"/>
              </w:rPr>
              <w:t> </w:t>
            </w:r>
            <w:r>
              <w:rPr>
                <w:sz w:val="16"/>
              </w:rPr>
              <w:t>Assessment and escalating any material resource constraint through the Executive </w:t>
            </w:r>
            <w:r>
              <w:rPr>
                <w:spacing w:val="-2"/>
                <w:sz w:val="16"/>
              </w:rPr>
              <w:t>Leads.</w:t>
            </w:r>
          </w:p>
        </w:tc>
        <w:tc>
          <w:tcPr>
            <w:tcW w:w="1870" w:type="dxa"/>
          </w:tcPr>
          <w:p>
            <w:pPr>
              <w:pStyle w:val="TableParagraph"/>
              <w:rPr>
                <w:b/>
                <w:sz w:val="16"/>
              </w:rPr>
            </w:pPr>
          </w:p>
          <w:p>
            <w:pPr>
              <w:pStyle w:val="TableParagraph"/>
              <w:spacing w:before="11"/>
              <w:rPr>
                <w:b/>
                <w:sz w:val="16"/>
              </w:rPr>
            </w:pPr>
          </w:p>
          <w:p>
            <w:pPr>
              <w:pStyle w:val="TableParagraph"/>
              <w:spacing w:line="254" w:lineRule="auto" w:before="1"/>
              <w:ind w:left="92"/>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c>
          <w:tcPr>
            <w:tcW w:w="2305" w:type="dxa"/>
          </w:tcPr>
          <w:p>
            <w:pPr>
              <w:pStyle w:val="TableParagraph"/>
              <w:rPr>
                <w:b/>
                <w:sz w:val="16"/>
              </w:rPr>
            </w:pPr>
          </w:p>
          <w:p>
            <w:pPr>
              <w:pStyle w:val="TableParagraph"/>
              <w:spacing w:before="11"/>
              <w:rPr>
                <w:b/>
                <w:sz w:val="16"/>
              </w:rPr>
            </w:pPr>
          </w:p>
          <w:p>
            <w:pPr>
              <w:pStyle w:val="TableParagraph"/>
              <w:spacing w:line="254" w:lineRule="auto" w:before="1"/>
              <w:ind w:left="93"/>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r>
    </w:tbl>
    <w:p>
      <w:pPr>
        <w:pStyle w:val="BodyText"/>
        <w:rPr>
          <w:b/>
          <w:sz w:val="26"/>
        </w:rPr>
      </w:pPr>
    </w:p>
    <w:p>
      <w:pPr>
        <w:pStyle w:val="BodyText"/>
        <w:spacing w:before="127"/>
        <w:rPr>
          <w:b/>
          <w:sz w:val="26"/>
        </w:rPr>
      </w:pPr>
    </w:p>
    <w:p>
      <w:pPr>
        <w:spacing w:before="0"/>
        <w:ind w:left="9" w:right="8" w:firstLine="0"/>
        <w:jc w:val="center"/>
        <w:rPr>
          <w:sz w:val="14"/>
        </w:rPr>
      </w:pPr>
      <w:r>
        <w:rPr>
          <w:color w:val="1F4E79"/>
          <w:sz w:val="14"/>
        </w:rPr>
        <w:t>Hywel</w:t>
      </w:r>
      <w:r>
        <w:rPr>
          <w:color w:val="1F4E79"/>
          <w:spacing w:val="-5"/>
          <w:sz w:val="14"/>
        </w:rPr>
        <w:t> </w:t>
      </w:r>
      <w:r>
        <w:rPr>
          <w:color w:val="1F4E79"/>
          <w:sz w:val="14"/>
        </w:rPr>
        <w:t>Dda</w:t>
      </w:r>
      <w:r>
        <w:rPr>
          <w:color w:val="1F4E79"/>
          <w:spacing w:val="-2"/>
          <w:sz w:val="14"/>
        </w:rPr>
        <w:t> </w:t>
      </w:r>
      <w:r>
        <w:rPr>
          <w:color w:val="1F4E79"/>
          <w:sz w:val="14"/>
        </w:rPr>
        <w:t>/</w:t>
      </w:r>
      <w:r>
        <w:rPr>
          <w:color w:val="1F4E79"/>
          <w:spacing w:val="-6"/>
          <w:sz w:val="14"/>
        </w:rPr>
        <w:t> </w:t>
      </w:r>
      <w:r>
        <w:rPr>
          <w:color w:val="1F4E79"/>
          <w:sz w:val="14"/>
        </w:rPr>
        <w:t>Swansea</w:t>
      </w:r>
      <w:r>
        <w:rPr>
          <w:color w:val="1F4E79"/>
          <w:spacing w:val="-5"/>
          <w:sz w:val="14"/>
        </w:rPr>
        <w:t> </w:t>
      </w:r>
      <w:r>
        <w:rPr>
          <w:color w:val="1F4E79"/>
          <w:sz w:val="14"/>
        </w:rPr>
        <w:t>Bay</w:t>
      </w:r>
      <w:r>
        <w:rPr>
          <w:color w:val="1F4E79"/>
          <w:spacing w:val="-3"/>
          <w:sz w:val="14"/>
        </w:rPr>
        <w:t> </w:t>
      </w:r>
      <w:r>
        <w:rPr>
          <w:color w:val="1F4E79"/>
          <w:sz w:val="14"/>
        </w:rPr>
        <w:t>University</w:t>
      </w:r>
      <w:r>
        <w:rPr>
          <w:color w:val="1F4E79"/>
          <w:spacing w:val="-3"/>
          <w:sz w:val="14"/>
        </w:rPr>
        <w:t> </w:t>
      </w:r>
      <w:r>
        <w:rPr>
          <w:color w:val="1F4E79"/>
          <w:sz w:val="14"/>
        </w:rPr>
        <w:t>Health</w:t>
      </w:r>
      <w:r>
        <w:rPr>
          <w:color w:val="1F4E79"/>
          <w:spacing w:val="-2"/>
          <w:sz w:val="14"/>
        </w:rPr>
        <w:t> </w:t>
      </w:r>
      <w:r>
        <w:rPr>
          <w:color w:val="1F4E79"/>
          <w:sz w:val="14"/>
        </w:rPr>
        <w:t>Boards</w:t>
      </w:r>
      <w:r>
        <w:rPr>
          <w:color w:val="1F4E79"/>
          <w:spacing w:val="-2"/>
          <w:sz w:val="14"/>
        </w:rPr>
        <w:t> </w:t>
      </w:r>
      <w:r>
        <w:rPr>
          <w:color w:val="1F4E79"/>
          <w:sz w:val="14"/>
        </w:rPr>
        <w:t>|</w:t>
      </w:r>
      <w:r>
        <w:rPr>
          <w:color w:val="1F4E79"/>
          <w:spacing w:val="-9"/>
          <w:sz w:val="14"/>
        </w:rPr>
        <w:t> </w:t>
      </w:r>
      <w:r>
        <w:rPr>
          <w:color w:val="1F4E79"/>
          <w:sz w:val="14"/>
        </w:rPr>
        <w:t>Byrddau</w:t>
      </w:r>
      <w:r>
        <w:rPr>
          <w:color w:val="1F4E79"/>
          <w:spacing w:val="-2"/>
          <w:sz w:val="14"/>
        </w:rPr>
        <w:t> </w:t>
      </w:r>
      <w:r>
        <w:rPr>
          <w:color w:val="1F4E79"/>
          <w:sz w:val="14"/>
        </w:rPr>
        <w:t>Iechyd</w:t>
      </w:r>
      <w:r>
        <w:rPr>
          <w:color w:val="1F4E79"/>
          <w:spacing w:val="-2"/>
          <w:sz w:val="14"/>
        </w:rPr>
        <w:t> </w:t>
      </w:r>
      <w:r>
        <w:rPr>
          <w:color w:val="1F4E79"/>
          <w:sz w:val="14"/>
        </w:rPr>
        <w:t>Prifysgol</w:t>
      </w:r>
      <w:r>
        <w:rPr>
          <w:color w:val="1F4E79"/>
          <w:spacing w:val="-4"/>
          <w:sz w:val="14"/>
        </w:rPr>
        <w:t> </w:t>
      </w:r>
      <w:r>
        <w:rPr>
          <w:color w:val="1F4E79"/>
          <w:sz w:val="14"/>
        </w:rPr>
        <w:t>Hywel</w:t>
      </w:r>
      <w:r>
        <w:rPr>
          <w:color w:val="1F4E79"/>
          <w:spacing w:val="-5"/>
          <w:sz w:val="14"/>
        </w:rPr>
        <w:t> </w:t>
      </w:r>
      <w:r>
        <w:rPr>
          <w:color w:val="1F4E79"/>
          <w:sz w:val="14"/>
        </w:rPr>
        <w:t>Dda</w:t>
      </w:r>
      <w:r>
        <w:rPr>
          <w:color w:val="1F4E79"/>
          <w:spacing w:val="-1"/>
          <w:sz w:val="14"/>
        </w:rPr>
        <w:t> </w:t>
      </w:r>
      <w:r>
        <w:rPr>
          <w:color w:val="1F4E79"/>
          <w:sz w:val="14"/>
        </w:rPr>
        <w:t>/</w:t>
      </w:r>
      <w:r>
        <w:rPr>
          <w:color w:val="1F4E79"/>
          <w:spacing w:val="-7"/>
          <w:sz w:val="14"/>
        </w:rPr>
        <w:t> </w:t>
      </w:r>
      <w:r>
        <w:rPr>
          <w:color w:val="1F4E79"/>
          <w:sz w:val="14"/>
        </w:rPr>
        <w:t>Bae</w:t>
      </w:r>
      <w:r>
        <w:rPr>
          <w:color w:val="1F4E79"/>
          <w:spacing w:val="-1"/>
          <w:sz w:val="14"/>
        </w:rPr>
        <w:t> </w:t>
      </w:r>
      <w:r>
        <w:rPr>
          <w:color w:val="1F4E79"/>
          <w:spacing w:val="-2"/>
          <w:sz w:val="14"/>
        </w:rPr>
        <w:t>Abertawe</w:t>
      </w:r>
    </w:p>
    <w:p>
      <w:pPr>
        <w:spacing w:after="0"/>
        <w:jc w:val="center"/>
        <w:rPr>
          <w:sz w:val="14"/>
        </w:rPr>
        <w:sectPr>
          <w:pgSz w:w="16840" w:h="11910" w:orient="landscape"/>
          <w:pgMar w:header="0" w:footer="198" w:top="880" w:bottom="380" w:left="566" w:right="566"/>
        </w:sectPr>
      </w:pPr>
    </w:p>
    <w:p>
      <w:pPr>
        <w:pStyle w:val="BodyText"/>
        <w:spacing w:before="2"/>
        <w:rPr>
          <w:sz w:val="2"/>
        </w:rPr>
      </w:pPr>
    </w:p>
    <w:tbl>
      <w:tblPr>
        <w:tblW w:w="0" w:type="auto"/>
        <w:jc w:val="left"/>
        <w:tblInd w:w="15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5747"/>
        <w:gridCol w:w="5476"/>
        <w:gridCol w:w="1870"/>
        <w:gridCol w:w="2305"/>
      </w:tblGrid>
      <w:tr>
        <w:trPr>
          <w:trHeight w:val="360" w:hRule="atLeast"/>
        </w:trPr>
        <w:tc>
          <w:tcPr>
            <w:tcW w:w="5747" w:type="dxa"/>
            <w:shd w:val="clear" w:color="auto" w:fill="1F4E79"/>
          </w:tcPr>
          <w:p>
            <w:pPr>
              <w:pStyle w:val="TableParagraph"/>
              <w:spacing w:before="89"/>
              <w:ind w:left="92"/>
              <w:rPr>
                <w:b/>
                <w:sz w:val="15"/>
              </w:rPr>
            </w:pPr>
            <w:r>
              <w:rPr>
                <w:b/>
                <w:color w:val="FFFFFF"/>
                <w:spacing w:val="-2"/>
                <w:sz w:val="15"/>
              </w:rPr>
              <w:t>Description</w:t>
            </w:r>
          </w:p>
        </w:tc>
        <w:tc>
          <w:tcPr>
            <w:tcW w:w="5476" w:type="dxa"/>
            <w:shd w:val="clear" w:color="auto" w:fill="1F4E79"/>
          </w:tcPr>
          <w:p>
            <w:pPr>
              <w:pStyle w:val="TableParagraph"/>
              <w:spacing w:before="89"/>
              <w:ind w:left="92"/>
              <w:rPr>
                <w:b/>
                <w:sz w:val="15"/>
              </w:rPr>
            </w:pPr>
            <w:r>
              <w:rPr>
                <w:b/>
                <w:color w:val="FFFFFF"/>
                <w:sz w:val="15"/>
              </w:rPr>
              <w:t>How</w:t>
            </w:r>
            <w:r>
              <w:rPr>
                <w:b/>
                <w:color w:val="FFFFFF"/>
                <w:spacing w:val="-2"/>
                <w:sz w:val="15"/>
              </w:rPr>
              <w:t> </w:t>
            </w:r>
            <w:r>
              <w:rPr>
                <w:b/>
                <w:color w:val="FFFFFF"/>
                <w:sz w:val="15"/>
              </w:rPr>
              <w:t>Dependency</w:t>
            </w:r>
            <w:r>
              <w:rPr>
                <w:b/>
                <w:color w:val="FFFFFF"/>
                <w:spacing w:val="-7"/>
                <w:sz w:val="15"/>
              </w:rPr>
              <w:t> </w:t>
            </w:r>
            <w:r>
              <w:rPr>
                <w:b/>
                <w:color w:val="FFFFFF"/>
                <w:sz w:val="15"/>
              </w:rPr>
              <w:t>is</w:t>
            </w:r>
            <w:r>
              <w:rPr>
                <w:b/>
                <w:color w:val="FFFFFF"/>
                <w:spacing w:val="-3"/>
                <w:sz w:val="15"/>
              </w:rPr>
              <w:t> </w:t>
            </w:r>
            <w:r>
              <w:rPr>
                <w:b/>
                <w:color w:val="FFFFFF"/>
                <w:spacing w:val="-2"/>
                <w:sz w:val="15"/>
              </w:rPr>
              <w:t>Managed</w:t>
            </w:r>
          </w:p>
        </w:tc>
        <w:tc>
          <w:tcPr>
            <w:tcW w:w="1870" w:type="dxa"/>
            <w:shd w:val="clear" w:color="auto" w:fill="1F4E79"/>
          </w:tcPr>
          <w:p>
            <w:pPr>
              <w:pStyle w:val="TableParagraph"/>
              <w:spacing w:before="89"/>
              <w:ind w:left="92"/>
              <w:rPr>
                <w:b/>
                <w:sz w:val="15"/>
              </w:rPr>
            </w:pPr>
            <w:r>
              <w:rPr>
                <w:b/>
                <w:color w:val="FFFFFF"/>
                <w:sz w:val="15"/>
              </w:rPr>
              <w:t>Action</w:t>
            </w:r>
            <w:r>
              <w:rPr>
                <w:b/>
                <w:color w:val="FFFFFF"/>
                <w:spacing w:val="-8"/>
                <w:sz w:val="15"/>
              </w:rPr>
              <w:t> </w:t>
            </w:r>
            <w:r>
              <w:rPr>
                <w:b/>
                <w:color w:val="FFFFFF"/>
                <w:spacing w:val="-2"/>
                <w:sz w:val="15"/>
              </w:rPr>
              <w:t>Owner</w:t>
            </w:r>
          </w:p>
        </w:tc>
        <w:tc>
          <w:tcPr>
            <w:tcW w:w="2305" w:type="dxa"/>
            <w:shd w:val="clear" w:color="auto" w:fill="1F4E79"/>
          </w:tcPr>
          <w:p>
            <w:pPr>
              <w:pStyle w:val="TableParagraph"/>
              <w:spacing w:before="89"/>
              <w:ind w:left="93"/>
              <w:rPr>
                <w:b/>
                <w:sz w:val="15"/>
              </w:rPr>
            </w:pPr>
            <w:r>
              <w:rPr>
                <w:b/>
                <w:color w:val="FFFFFF"/>
                <w:sz w:val="15"/>
              </w:rPr>
              <w:t>Dependency</w:t>
            </w:r>
            <w:r>
              <w:rPr>
                <w:b/>
                <w:color w:val="FFFFFF"/>
                <w:spacing w:val="-9"/>
                <w:sz w:val="15"/>
              </w:rPr>
              <w:t> </w:t>
            </w:r>
            <w:r>
              <w:rPr>
                <w:b/>
                <w:color w:val="FFFFFF"/>
                <w:spacing w:val="-2"/>
                <w:sz w:val="15"/>
              </w:rPr>
              <w:t>Owner</w:t>
            </w:r>
          </w:p>
        </w:tc>
      </w:tr>
      <w:tr>
        <w:trPr>
          <w:trHeight w:val="760" w:hRule="atLeast"/>
        </w:trPr>
        <w:tc>
          <w:tcPr>
            <w:tcW w:w="5747" w:type="dxa"/>
          </w:tcPr>
          <w:p>
            <w:pPr>
              <w:pStyle w:val="TableParagraph"/>
              <w:spacing w:before="101"/>
              <w:rPr>
                <w:sz w:val="16"/>
              </w:rPr>
            </w:pPr>
          </w:p>
          <w:p>
            <w:pPr>
              <w:pStyle w:val="TableParagraph"/>
              <w:ind w:left="92"/>
              <w:rPr>
                <w:sz w:val="16"/>
              </w:rPr>
            </w:pPr>
            <w:r>
              <w:rPr>
                <w:sz w:val="16"/>
              </w:rPr>
              <w:t>Confirmed</w:t>
            </w:r>
            <w:r>
              <w:rPr>
                <w:spacing w:val="-9"/>
                <w:sz w:val="16"/>
              </w:rPr>
              <w:t> </w:t>
            </w:r>
            <w:r>
              <w:rPr>
                <w:sz w:val="16"/>
              </w:rPr>
              <w:t>accountable</w:t>
            </w:r>
            <w:r>
              <w:rPr>
                <w:spacing w:val="-5"/>
                <w:sz w:val="16"/>
              </w:rPr>
              <w:t> </w:t>
            </w:r>
            <w:r>
              <w:rPr>
                <w:sz w:val="16"/>
              </w:rPr>
              <w:t>ownership</w:t>
            </w:r>
            <w:r>
              <w:rPr>
                <w:spacing w:val="-4"/>
                <w:sz w:val="16"/>
              </w:rPr>
              <w:t> </w:t>
            </w:r>
            <w:r>
              <w:rPr>
                <w:sz w:val="16"/>
              </w:rPr>
              <w:t>and</w:t>
            </w:r>
            <w:r>
              <w:rPr>
                <w:spacing w:val="-4"/>
                <w:sz w:val="16"/>
              </w:rPr>
              <w:t> </w:t>
            </w:r>
            <w:r>
              <w:rPr>
                <w:sz w:val="16"/>
              </w:rPr>
              <w:t>programme</w:t>
            </w:r>
            <w:r>
              <w:rPr>
                <w:spacing w:val="-4"/>
                <w:sz w:val="16"/>
              </w:rPr>
              <w:t> </w:t>
            </w:r>
            <w:r>
              <w:rPr>
                <w:spacing w:val="-2"/>
                <w:sz w:val="16"/>
              </w:rPr>
              <w:t>leadership</w:t>
            </w:r>
          </w:p>
        </w:tc>
        <w:tc>
          <w:tcPr>
            <w:tcW w:w="5476" w:type="dxa"/>
          </w:tcPr>
          <w:p>
            <w:pPr>
              <w:pStyle w:val="TableParagraph"/>
              <w:spacing w:line="254" w:lineRule="auto" w:before="90"/>
              <w:ind w:left="92" w:right="132"/>
              <w:rPr>
                <w:sz w:val="16"/>
              </w:rPr>
            </w:pPr>
            <w:r>
              <w:rPr>
                <w:sz w:val="16"/>
              </w:rPr>
              <w:t>Executive Leads will agree the accountable owner and delivery lead for the</w:t>
            </w:r>
            <w:r>
              <w:rPr>
                <w:spacing w:val="-4"/>
                <w:sz w:val="16"/>
              </w:rPr>
              <w:t> </w:t>
            </w:r>
            <w:r>
              <w:rPr>
                <w:sz w:val="16"/>
              </w:rPr>
              <w:t>Regional</w:t>
            </w:r>
            <w:r>
              <w:rPr>
                <w:spacing w:val="-6"/>
                <w:sz w:val="16"/>
              </w:rPr>
              <w:t> </w:t>
            </w:r>
            <w:r>
              <w:rPr>
                <w:sz w:val="16"/>
              </w:rPr>
              <w:t>Health</w:t>
            </w:r>
            <w:r>
              <w:rPr>
                <w:spacing w:val="-4"/>
                <w:sz w:val="16"/>
              </w:rPr>
              <w:t> </w:t>
            </w:r>
            <w:r>
              <w:rPr>
                <w:sz w:val="16"/>
              </w:rPr>
              <w:t>Intelligence</w:t>
            </w:r>
            <w:r>
              <w:rPr>
                <w:spacing w:val="-4"/>
                <w:sz w:val="16"/>
              </w:rPr>
              <w:t> </w:t>
            </w:r>
            <w:r>
              <w:rPr>
                <w:sz w:val="16"/>
              </w:rPr>
              <w:t>Profile</w:t>
            </w:r>
            <w:r>
              <w:rPr>
                <w:spacing w:val="-4"/>
                <w:sz w:val="16"/>
              </w:rPr>
              <w:t> </w:t>
            </w:r>
            <w:r>
              <w:rPr>
                <w:sz w:val="16"/>
              </w:rPr>
              <w:t>before</w:t>
            </w:r>
            <w:r>
              <w:rPr>
                <w:spacing w:val="-4"/>
                <w:sz w:val="16"/>
              </w:rPr>
              <w:t> </w:t>
            </w:r>
            <w:r>
              <w:rPr>
                <w:sz w:val="16"/>
              </w:rPr>
              <w:t>the</w:t>
            </w:r>
            <w:r>
              <w:rPr>
                <w:spacing w:val="-4"/>
                <w:sz w:val="16"/>
              </w:rPr>
              <w:t> </w:t>
            </w:r>
            <w:r>
              <w:rPr>
                <w:sz w:val="16"/>
              </w:rPr>
              <w:t>detailed</w:t>
            </w:r>
            <w:r>
              <w:rPr>
                <w:spacing w:val="-4"/>
                <w:sz w:val="16"/>
              </w:rPr>
              <w:t> </w:t>
            </w:r>
            <w:r>
              <w:rPr>
                <w:sz w:val="16"/>
              </w:rPr>
              <w:t>scope,</w:t>
            </w:r>
            <w:r>
              <w:rPr>
                <w:spacing w:val="-10"/>
                <w:sz w:val="16"/>
              </w:rPr>
              <w:t> </w:t>
            </w:r>
            <w:r>
              <w:rPr>
                <w:sz w:val="16"/>
              </w:rPr>
              <w:t>delivery timetable and allocation of work are finalised.</w:t>
            </w:r>
          </w:p>
        </w:tc>
        <w:tc>
          <w:tcPr>
            <w:tcW w:w="1870" w:type="dxa"/>
          </w:tcPr>
          <w:p>
            <w:pPr>
              <w:pStyle w:val="TableParagraph"/>
              <w:spacing w:before="5"/>
              <w:rPr>
                <w:sz w:val="16"/>
              </w:rPr>
            </w:pPr>
          </w:p>
          <w:p>
            <w:pPr>
              <w:pStyle w:val="TableParagraph"/>
              <w:spacing w:line="247" w:lineRule="auto" w:before="1"/>
              <w:ind w:left="92"/>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c>
          <w:tcPr>
            <w:tcW w:w="2305" w:type="dxa"/>
          </w:tcPr>
          <w:p>
            <w:pPr>
              <w:pStyle w:val="TableParagraph"/>
              <w:spacing w:before="5"/>
              <w:rPr>
                <w:sz w:val="16"/>
              </w:rPr>
            </w:pPr>
          </w:p>
          <w:p>
            <w:pPr>
              <w:pStyle w:val="TableParagraph"/>
              <w:spacing w:line="247" w:lineRule="auto" w:before="1"/>
              <w:ind w:left="93"/>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r>
      <w:tr>
        <w:trPr>
          <w:trHeight w:val="955" w:hRule="atLeast"/>
        </w:trPr>
        <w:tc>
          <w:tcPr>
            <w:tcW w:w="5747" w:type="dxa"/>
          </w:tcPr>
          <w:p>
            <w:pPr>
              <w:pStyle w:val="TableParagraph"/>
              <w:rPr>
                <w:sz w:val="16"/>
              </w:rPr>
            </w:pPr>
          </w:p>
          <w:p>
            <w:pPr>
              <w:pStyle w:val="TableParagraph"/>
              <w:spacing w:before="11"/>
              <w:rPr>
                <w:sz w:val="16"/>
              </w:rPr>
            </w:pPr>
          </w:p>
          <w:p>
            <w:pPr>
              <w:pStyle w:val="TableParagraph"/>
              <w:spacing w:before="1"/>
              <w:ind w:left="92"/>
              <w:rPr>
                <w:sz w:val="16"/>
              </w:rPr>
            </w:pPr>
            <w:r>
              <w:rPr>
                <w:sz w:val="16"/>
              </w:rPr>
              <w:t>Access</w:t>
            </w:r>
            <w:r>
              <w:rPr>
                <w:spacing w:val="-4"/>
                <w:sz w:val="16"/>
              </w:rPr>
              <w:t> </w:t>
            </w:r>
            <w:r>
              <w:rPr>
                <w:sz w:val="16"/>
              </w:rPr>
              <w:t>to</w:t>
            </w:r>
            <w:r>
              <w:rPr>
                <w:spacing w:val="-2"/>
                <w:sz w:val="16"/>
              </w:rPr>
              <w:t> </w:t>
            </w:r>
            <w:r>
              <w:rPr>
                <w:sz w:val="16"/>
              </w:rPr>
              <w:t>current</w:t>
            </w:r>
            <w:r>
              <w:rPr>
                <w:spacing w:val="-3"/>
                <w:sz w:val="16"/>
              </w:rPr>
              <w:t> </w:t>
            </w:r>
            <w:r>
              <w:rPr>
                <w:sz w:val="16"/>
              </w:rPr>
              <w:t>health</w:t>
            </w:r>
            <w:r>
              <w:rPr>
                <w:spacing w:val="-2"/>
                <w:sz w:val="16"/>
              </w:rPr>
              <w:t> </w:t>
            </w:r>
            <w:r>
              <w:rPr>
                <w:sz w:val="16"/>
              </w:rPr>
              <w:t>board,</w:t>
            </w:r>
            <w:r>
              <w:rPr>
                <w:spacing w:val="-3"/>
                <w:sz w:val="16"/>
              </w:rPr>
              <w:t> </w:t>
            </w:r>
            <w:r>
              <w:rPr>
                <w:sz w:val="16"/>
              </w:rPr>
              <w:t>PHW</w:t>
            </w:r>
            <w:r>
              <w:rPr>
                <w:spacing w:val="-4"/>
                <w:sz w:val="16"/>
              </w:rPr>
              <w:t> </w:t>
            </w:r>
            <w:r>
              <w:rPr>
                <w:sz w:val="16"/>
              </w:rPr>
              <w:t>and</w:t>
            </w:r>
            <w:r>
              <w:rPr>
                <w:spacing w:val="-7"/>
                <w:sz w:val="16"/>
              </w:rPr>
              <w:t> </w:t>
            </w:r>
            <w:r>
              <w:rPr>
                <w:sz w:val="16"/>
              </w:rPr>
              <w:t>partner</w:t>
            </w:r>
            <w:r>
              <w:rPr>
                <w:spacing w:val="-2"/>
                <w:sz w:val="16"/>
              </w:rPr>
              <w:t> intelligence</w:t>
            </w:r>
          </w:p>
        </w:tc>
        <w:tc>
          <w:tcPr>
            <w:tcW w:w="5476" w:type="dxa"/>
          </w:tcPr>
          <w:p>
            <w:pPr>
              <w:pStyle w:val="TableParagraph"/>
              <w:spacing w:line="252" w:lineRule="auto" w:before="90"/>
              <w:ind w:left="92"/>
              <w:rPr>
                <w:sz w:val="16"/>
              </w:rPr>
            </w:pPr>
            <w:r>
              <w:rPr>
                <w:sz w:val="16"/>
              </w:rPr>
              <w:t>Existing</w:t>
            </w:r>
            <w:r>
              <w:rPr>
                <w:spacing w:val="-4"/>
                <w:sz w:val="16"/>
              </w:rPr>
              <w:t> </w:t>
            </w:r>
            <w:r>
              <w:rPr>
                <w:sz w:val="16"/>
              </w:rPr>
              <w:t>intelligence</w:t>
            </w:r>
            <w:r>
              <w:rPr>
                <w:spacing w:val="-4"/>
                <w:sz w:val="16"/>
              </w:rPr>
              <w:t> </w:t>
            </w:r>
            <w:r>
              <w:rPr>
                <w:sz w:val="16"/>
              </w:rPr>
              <w:t>products</w:t>
            </w:r>
            <w:r>
              <w:rPr>
                <w:spacing w:val="-5"/>
                <w:sz w:val="16"/>
              </w:rPr>
              <w:t> </w:t>
            </w:r>
            <w:r>
              <w:rPr>
                <w:sz w:val="16"/>
              </w:rPr>
              <w:t>will</w:t>
            </w:r>
            <w:r>
              <w:rPr>
                <w:spacing w:val="-6"/>
                <w:sz w:val="16"/>
              </w:rPr>
              <w:t> </w:t>
            </w:r>
            <w:r>
              <w:rPr>
                <w:sz w:val="16"/>
              </w:rPr>
              <w:t>be</w:t>
            </w:r>
            <w:r>
              <w:rPr>
                <w:spacing w:val="-4"/>
                <w:sz w:val="16"/>
              </w:rPr>
              <w:t> </w:t>
            </w:r>
            <w:r>
              <w:rPr>
                <w:sz w:val="16"/>
              </w:rPr>
              <w:t>mapped</w:t>
            </w:r>
            <w:r>
              <w:rPr>
                <w:spacing w:val="-4"/>
                <w:sz w:val="16"/>
              </w:rPr>
              <w:t> </w:t>
            </w:r>
            <w:r>
              <w:rPr>
                <w:sz w:val="16"/>
              </w:rPr>
              <w:t>against</w:t>
            </w:r>
            <w:r>
              <w:rPr>
                <w:spacing w:val="-5"/>
                <w:sz w:val="16"/>
              </w:rPr>
              <w:t> </w:t>
            </w:r>
            <w:r>
              <w:rPr>
                <w:sz w:val="16"/>
              </w:rPr>
              <w:t>the</w:t>
            </w:r>
            <w:r>
              <w:rPr>
                <w:spacing w:val="-4"/>
                <w:sz w:val="16"/>
              </w:rPr>
              <w:t> </w:t>
            </w:r>
            <w:r>
              <w:rPr>
                <w:sz w:val="16"/>
              </w:rPr>
              <w:t>agreed</w:t>
            </w:r>
            <w:r>
              <w:rPr>
                <w:spacing w:val="-4"/>
                <w:sz w:val="16"/>
              </w:rPr>
              <w:t> </w:t>
            </w:r>
            <w:r>
              <w:rPr>
                <w:sz w:val="16"/>
              </w:rPr>
              <w:t>regional framework,</w:t>
            </w:r>
            <w:r>
              <w:rPr>
                <w:spacing w:val="-6"/>
                <w:sz w:val="16"/>
              </w:rPr>
              <w:t> </w:t>
            </w:r>
            <w:r>
              <w:rPr>
                <w:sz w:val="16"/>
              </w:rPr>
              <w:t>with</w:t>
            </w:r>
            <w:r>
              <w:rPr>
                <w:spacing w:val="-5"/>
                <w:sz w:val="16"/>
              </w:rPr>
              <w:t> </w:t>
            </w:r>
            <w:r>
              <w:rPr>
                <w:sz w:val="16"/>
              </w:rPr>
              <w:t>information</w:t>
            </w:r>
            <w:r>
              <w:rPr>
                <w:spacing w:val="-5"/>
                <w:sz w:val="16"/>
              </w:rPr>
              <w:t> </w:t>
            </w:r>
            <w:r>
              <w:rPr>
                <w:sz w:val="16"/>
              </w:rPr>
              <w:t>requested</w:t>
            </w:r>
            <w:r>
              <w:rPr>
                <w:spacing w:val="-5"/>
                <w:sz w:val="16"/>
              </w:rPr>
              <w:t> </w:t>
            </w:r>
            <w:r>
              <w:rPr>
                <w:sz w:val="16"/>
              </w:rPr>
              <w:t>from</w:t>
            </w:r>
            <w:r>
              <w:rPr>
                <w:spacing w:val="-5"/>
                <w:sz w:val="16"/>
              </w:rPr>
              <w:t> </w:t>
            </w:r>
            <w:r>
              <w:rPr>
                <w:sz w:val="16"/>
              </w:rPr>
              <w:t>Health</w:t>
            </w:r>
            <w:r>
              <w:rPr>
                <w:spacing w:val="-5"/>
                <w:sz w:val="16"/>
              </w:rPr>
              <w:t> </w:t>
            </w:r>
            <w:r>
              <w:rPr>
                <w:sz w:val="16"/>
              </w:rPr>
              <w:t>Boards,</w:t>
            </w:r>
            <w:r>
              <w:rPr>
                <w:spacing w:val="-6"/>
                <w:sz w:val="16"/>
              </w:rPr>
              <w:t> </w:t>
            </w:r>
            <w:r>
              <w:rPr>
                <w:sz w:val="16"/>
              </w:rPr>
              <w:t>Public</w:t>
            </w:r>
            <w:r>
              <w:rPr>
                <w:spacing w:val="-6"/>
                <w:sz w:val="16"/>
              </w:rPr>
              <w:t> </w:t>
            </w:r>
            <w:r>
              <w:rPr>
                <w:sz w:val="16"/>
              </w:rPr>
              <w:t>Health Wales and partners and any material data gaps or limitations recorded transparently within the refreshed profile.</w:t>
            </w:r>
          </w:p>
        </w:tc>
        <w:tc>
          <w:tcPr>
            <w:tcW w:w="1870" w:type="dxa"/>
          </w:tcPr>
          <w:p>
            <w:pPr>
              <w:pStyle w:val="TableParagraph"/>
              <w:spacing w:before="100"/>
              <w:rPr>
                <w:sz w:val="16"/>
              </w:rPr>
            </w:pPr>
          </w:p>
          <w:p>
            <w:pPr>
              <w:pStyle w:val="TableParagraph"/>
              <w:spacing w:line="254" w:lineRule="auto" w:before="1"/>
              <w:ind w:left="92"/>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c>
          <w:tcPr>
            <w:tcW w:w="2305" w:type="dxa"/>
          </w:tcPr>
          <w:p>
            <w:pPr>
              <w:pStyle w:val="TableParagraph"/>
              <w:spacing w:before="100"/>
              <w:rPr>
                <w:sz w:val="16"/>
              </w:rPr>
            </w:pPr>
          </w:p>
          <w:p>
            <w:pPr>
              <w:pStyle w:val="TableParagraph"/>
              <w:spacing w:line="254" w:lineRule="auto" w:before="1"/>
              <w:ind w:left="93"/>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r>
      <w:tr>
        <w:trPr>
          <w:trHeight w:val="950" w:hRule="atLeast"/>
        </w:trPr>
        <w:tc>
          <w:tcPr>
            <w:tcW w:w="5747" w:type="dxa"/>
          </w:tcPr>
          <w:p>
            <w:pPr>
              <w:pStyle w:val="TableParagraph"/>
              <w:rPr>
                <w:sz w:val="16"/>
              </w:rPr>
            </w:pPr>
          </w:p>
          <w:p>
            <w:pPr>
              <w:pStyle w:val="TableParagraph"/>
              <w:spacing w:before="11"/>
              <w:rPr>
                <w:sz w:val="16"/>
              </w:rPr>
            </w:pPr>
          </w:p>
          <w:p>
            <w:pPr>
              <w:pStyle w:val="TableParagraph"/>
              <w:spacing w:before="1"/>
              <w:ind w:left="92"/>
              <w:rPr>
                <w:sz w:val="16"/>
              </w:rPr>
            </w:pPr>
            <w:r>
              <w:rPr>
                <w:sz w:val="16"/>
              </w:rPr>
              <w:t>Agreement</w:t>
            </w:r>
            <w:r>
              <w:rPr>
                <w:spacing w:val="-9"/>
                <w:sz w:val="16"/>
              </w:rPr>
              <w:t> </w:t>
            </w:r>
            <w:r>
              <w:rPr>
                <w:sz w:val="16"/>
              </w:rPr>
              <w:t>of</w:t>
            </w:r>
            <w:r>
              <w:rPr>
                <w:spacing w:val="-3"/>
                <w:sz w:val="16"/>
              </w:rPr>
              <w:t> </w:t>
            </w:r>
            <w:r>
              <w:rPr>
                <w:sz w:val="16"/>
              </w:rPr>
              <w:t>indicators,</w:t>
            </w:r>
            <w:r>
              <w:rPr>
                <w:spacing w:val="-4"/>
                <w:sz w:val="16"/>
              </w:rPr>
              <w:t> </w:t>
            </w:r>
            <w:r>
              <w:rPr>
                <w:sz w:val="16"/>
              </w:rPr>
              <w:t>outcomes</w:t>
            </w:r>
            <w:r>
              <w:rPr>
                <w:spacing w:val="-3"/>
                <w:sz w:val="16"/>
              </w:rPr>
              <w:t> </w:t>
            </w:r>
            <w:r>
              <w:rPr>
                <w:sz w:val="16"/>
              </w:rPr>
              <w:t>and</w:t>
            </w:r>
            <w:r>
              <w:rPr>
                <w:spacing w:val="-7"/>
                <w:sz w:val="16"/>
              </w:rPr>
              <w:t> </w:t>
            </w:r>
            <w:r>
              <w:rPr>
                <w:sz w:val="16"/>
              </w:rPr>
              <w:t>baseline</w:t>
            </w:r>
            <w:r>
              <w:rPr>
                <w:spacing w:val="-7"/>
                <w:sz w:val="16"/>
              </w:rPr>
              <w:t> </w:t>
            </w:r>
            <w:r>
              <w:rPr>
                <w:spacing w:val="-2"/>
                <w:sz w:val="16"/>
              </w:rPr>
              <w:t>measures</w:t>
            </w:r>
          </w:p>
        </w:tc>
        <w:tc>
          <w:tcPr>
            <w:tcW w:w="5476" w:type="dxa"/>
          </w:tcPr>
          <w:p>
            <w:pPr>
              <w:pStyle w:val="TableParagraph"/>
              <w:spacing w:line="252" w:lineRule="auto" w:before="90"/>
              <w:ind w:left="92" w:right="123"/>
              <w:jc w:val="both"/>
              <w:rPr>
                <w:sz w:val="16"/>
              </w:rPr>
            </w:pPr>
            <w:r>
              <w:rPr>
                <w:sz w:val="16"/>
              </w:rPr>
              <w:t>A</w:t>
            </w:r>
            <w:r>
              <w:rPr>
                <w:spacing w:val="-3"/>
                <w:sz w:val="16"/>
              </w:rPr>
              <w:t> </w:t>
            </w:r>
            <w:r>
              <w:rPr>
                <w:sz w:val="16"/>
              </w:rPr>
              <w:t>regional</w:t>
            </w:r>
            <w:r>
              <w:rPr>
                <w:spacing w:val="-2"/>
                <w:sz w:val="16"/>
              </w:rPr>
              <w:t> </w:t>
            </w:r>
            <w:r>
              <w:rPr>
                <w:sz w:val="16"/>
              </w:rPr>
              <w:t>outcomes</w:t>
            </w:r>
            <w:r>
              <w:rPr>
                <w:spacing w:val="-6"/>
                <w:sz w:val="16"/>
              </w:rPr>
              <w:t> </w:t>
            </w:r>
            <w:r>
              <w:rPr>
                <w:sz w:val="16"/>
              </w:rPr>
              <w:t>and indicator framework</w:t>
            </w:r>
            <w:r>
              <w:rPr>
                <w:spacing w:val="-1"/>
                <w:sz w:val="16"/>
              </w:rPr>
              <w:t> </w:t>
            </w:r>
            <w:r>
              <w:rPr>
                <w:sz w:val="16"/>
              </w:rPr>
              <w:t>will</w:t>
            </w:r>
            <w:r>
              <w:rPr>
                <w:spacing w:val="-2"/>
                <w:sz w:val="16"/>
              </w:rPr>
              <w:t> </w:t>
            </w:r>
            <w:r>
              <w:rPr>
                <w:sz w:val="16"/>
              </w:rPr>
              <w:t>be developed alongside the refreshed</w:t>
            </w:r>
            <w:r>
              <w:rPr>
                <w:spacing w:val="-1"/>
                <w:sz w:val="16"/>
              </w:rPr>
              <w:t> </w:t>
            </w:r>
            <w:r>
              <w:rPr>
                <w:sz w:val="16"/>
              </w:rPr>
              <w:t>health</w:t>
            </w:r>
            <w:r>
              <w:rPr>
                <w:spacing w:val="-1"/>
                <w:sz w:val="16"/>
              </w:rPr>
              <w:t> </w:t>
            </w:r>
            <w:r>
              <w:rPr>
                <w:sz w:val="16"/>
              </w:rPr>
              <w:t>profile,</w:t>
            </w:r>
            <w:r>
              <w:rPr>
                <w:spacing w:val="-2"/>
                <w:sz w:val="16"/>
              </w:rPr>
              <w:t> </w:t>
            </w:r>
            <w:r>
              <w:rPr>
                <w:sz w:val="16"/>
              </w:rPr>
              <w:t>drawing</w:t>
            </w:r>
            <w:r>
              <w:rPr>
                <w:spacing w:val="-1"/>
                <w:sz w:val="16"/>
              </w:rPr>
              <w:t> </w:t>
            </w:r>
            <w:r>
              <w:rPr>
                <w:sz w:val="16"/>
              </w:rPr>
              <w:t>on available national and WHO work and</w:t>
            </w:r>
            <w:r>
              <w:rPr>
                <w:spacing w:val="-4"/>
                <w:sz w:val="16"/>
              </w:rPr>
              <w:t> </w:t>
            </w:r>
            <w:r>
              <w:rPr>
                <w:sz w:val="16"/>
              </w:rPr>
              <w:t>agreeing</w:t>
            </w:r>
            <w:r>
              <w:rPr>
                <w:spacing w:val="-4"/>
                <w:sz w:val="16"/>
              </w:rPr>
              <w:t> </w:t>
            </w:r>
            <w:r>
              <w:rPr>
                <w:sz w:val="16"/>
              </w:rPr>
              <w:t>a</w:t>
            </w:r>
            <w:r>
              <w:rPr>
                <w:spacing w:val="-9"/>
                <w:sz w:val="16"/>
              </w:rPr>
              <w:t> </w:t>
            </w:r>
            <w:r>
              <w:rPr>
                <w:sz w:val="16"/>
              </w:rPr>
              <w:t>proportionate</w:t>
            </w:r>
            <w:r>
              <w:rPr>
                <w:spacing w:val="-4"/>
                <w:sz w:val="16"/>
              </w:rPr>
              <w:t> </w:t>
            </w:r>
            <w:r>
              <w:rPr>
                <w:sz w:val="16"/>
              </w:rPr>
              <w:t>baseline</w:t>
            </w:r>
            <w:r>
              <w:rPr>
                <w:spacing w:val="-4"/>
                <w:sz w:val="16"/>
              </w:rPr>
              <w:t> </w:t>
            </w:r>
            <w:r>
              <w:rPr>
                <w:sz w:val="16"/>
              </w:rPr>
              <w:t>and</w:t>
            </w:r>
            <w:r>
              <w:rPr>
                <w:spacing w:val="-4"/>
                <w:sz w:val="16"/>
              </w:rPr>
              <w:t> </w:t>
            </w:r>
            <w:r>
              <w:rPr>
                <w:sz w:val="16"/>
              </w:rPr>
              <w:t>measures</w:t>
            </w:r>
            <w:r>
              <w:rPr>
                <w:spacing w:val="-5"/>
                <w:sz w:val="16"/>
              </w:rPr>
              <w:t> </w:t>
            </w:r>
            <w:r>
              <w:rPr>
                <w:sz w:val="16"/>
              </w:rPr>
              <w:t>through</w:t>
            </w:r>
            <w:r>
              <w:rPr>
                <w:spacing w:val="-4"/>
                <w:sz w:val="16"/>
              </w:rPr>
              <w:t> </w:t>
            </w:r>
            <w:r>
              <w:rPr>
                <w:sz w:val="16"/>
              </w:rPr>
              <w:t>the</w:t>
            </w:r>
            <w:r>
              <w:rPr>
                <w:spacing w:val="-9"/>
                <w:sz w:val="16"/>
              </w:rPr>
              <w:t> </w:t>
            </w:r>
            <w:r>
              <w:rPr>
                <w:sz w:val="16"/>
              </w:rPr>
              <w:t>Steering Group before they are incorporated into the long-term plan.</w:t>
            </w:r>
          </w:p>
        </w:tc>
        <w:tc>
          <w:tcPr>
            <w:tcW w:w="1870" w:type="dxa"/>
          </w:tcPr>
          <w:p>
            <w:pPr>
              <w:pStyle w:val="TableParagraph"/>
              <w:spacing w:before="95"/>
              <w:rPr>
                <w:sz w:val="16"/>
              </w:rPr>
            </w:pPr>
          </w:p>
          <w:p>
            <w:pPr>
              <w:pStyle w:val="TableParagraph"/>
              <w:spacing w:line="254" w:lineRule="auto" w:before="1"/>
              <w:ind w:left="92"/>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c>
          <w:tcPr>
            <w:tcW w:w="2305" w:type="dxa"/>
          </w:tcPr>
          <w:p>
            <w:pPr>
              <w:pStyle w:val="TableParagraph"/>
              <w:spacing w:before="95"/>
              <w:rPr>
                <w:sz w:val="16"/>
              </w:rPr>
            </w:pPr>
          </w:p>
          <w:p>
            <w:pPr>
              <w:pStyle w:val="TableParagraph"/>
              <w:spacing w:line="254" w:lineRule="auto" w:before="1"/>
              <w:ind w:left="93"/>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r>
    </w:tbl>
    <w:p>
      <w:pPr>
        <w:pStyle w:val="Heading8"/>
        <w:numPr>
          <w:ilvl w:val="0"/>
          <w:numId w:val="28"/>
        </w:numPr>
        <w:tabs>
          <w:tab w:pos="367" w:val="left" w:leader="none"/>
        </w:tabs>
        <w:spacing w:line="240" w:lineRule="auto" w:before="163" w:after="0"/>
        <w:ind w:left="367" w:right="0" w:hanging="284"/>
        <w:jc w:val="left"/>
      </w:pPr>
      <w:r>
        <w:rPr>
          <w:color w:val="001F5F"/>
          <w:spacing w:val="-2"/>
        </w:rPr>
        <w:t>Issues</w:t>
      </w:r>
    </w:p>
    <w:p>
      <w:pPr>
        <w:pStyle w:val="BodyText"/>
        <w:spacing w:before="10"/>
        <w:rPr>
          <w:b/>
          <w:sz w:val="10"/>
        </w:rPr>
      </w:pPr>
    </w:p>
    <w:tbl>
      <w:tblPr>
        <w:tblW w:w="0" w:type="auto"/>
        <w:jc w:val="left"/>
        <w:tblInd w:w="279"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860"/>
        <w:gridCol w:w="4322"/>
        <w:gridCol w:w="3601"/>
        <w:gridCol w:w="1875"/>
        <w:gridCol w:w="2160"/>
        <w:gridCol w:w="2345"/>
      </w:tblGrid>
      <w:tr>
        <w:trPr>
          <w:trHeight w:val="350" w:hRule="atLeast"/>
        </w:trPr>
        <w:tc>
          <w:tcPr>
            <w:tcW w:w="860" w:type="dxa"/>
            <w:shd w:val="clear" w:color="auto" w:fill="1F4E79"/>
          </w:tcPr>
          <w:p>
            <w:pPr>
              <w:pStyle w:val="TableParagraph"/>
              <w:spacing w:before="88"/>
              <w:ind w:left="87"/>
              <w:rPr>
                <w:b/>
                <w:sz w:val="14"/>
              </w:rPr>
            </w:pPr>
            <w:r>
              <w:rPr>
                <w:b/>
                <w:color w:val="FFFFFF"/>
                <w:spacing w:val="-5"/>
                <w:sz w:val="14"/>
              </w:rPr>
              <w:t>Ref</w:t>
            </w:r>
          </w:p>
        </w:tc>
        <w:tc>
          <w:tcPr>
            <w:tcW w:w="4322" w:type="dxa"/>
            <w:shd w:val="clear" w:color="auto" w:fill="1F4E79"/>
          </w:tcPr>
          <w:p>
            <w:pPr>
              <w:pStyle w:val="TableParagraph"/>
              <w:spacing w:before="88"/>
              <w:ind w:left="92"/>
              <w:rPr>
                <w:b/>
                <w:sz w:val="14"/>
              </w:rPr>
            </w:pPr>
            <w:r>
              <w:rPr>
                <w:b/>
                <w:color w:val="FFFFFF"/>
                <w:sz w:val="14"/>
              </w:rPr>
              <w:t>Issue</w:t>
            </w:r>
            <w:r>
              <w:rPr>
                <w:b/>
                <w:color w:val="FFFFFF"/>
                <w:spacing w:val="-2"/>
                <w:sz w:val="14"/>
              </w:rPr>
              <w:t> Description</w:t>
            </w:r>
          </w:p>
        </w:tc>
        <w:tc>
          <w:tcPr>
            <w:tcW w:w="3601" w:type="dxa"/>
            <w:shd w:val="clear" w:color="auto" w:fill="1F4E79"/>
          </w:tcPr>
          <w:p>
            <w:pPr>
              <w:pStyle w:val="TableParagraph"/>
              <w:spacing w:before="88"/>
              <w:ind w:left="92"/>
              <w:rPr>
                <w:b/>
                <w:sz w:val="14"/>
              </w:rPr>
            </w:pPr>
            <w:r>
              <w:rPr>
                <w:b/>
                <w:color w:val="FFFFFF"/>
                <w:spacing w:val="-2"/>
                <w:sz w:val="14"/>
              </w:rPr>
              <w:t>Impact</w:t>
            </w:r>
          </w:p>
        </w:tc>
        <w:tc>
          <w:tcPr>
            <w:tcW w:w="1875" w:type="dxa"/>
            <w:shd w:val="clear" w:color="auto" w:fill="1F4E79"/>
          </w:tcPr>
          <w:p>
            <w:pPr>
              <w:pStyle w:val="TableParagraph"/>
              <w:spacing w:before="88"/>
              <w:ind w:left="91"/>
              <w:rPr>
                <w:b/>
                <w:sz w:val="14"/>
              </w:rPr>
            </w:pPr>
            <w:r>
              <w:rPr>
                <w:b/>
                <w:color w:val="FFFFFF"/>
                <w:sz w:val="14"/>
              </w:rPr>
              <w:t>Action</w:t>
            </w:r>
            <w:r>
              <w:rPr>
                <w:b/>
                <w:color w:val="FFFFFF"/>
                <w:spacing w:val="-5"/>
                <w:sz w:val="14"/>
              </w:rPr>
              <w:t> </w:t>
            </w:r>
            <w:r>
              <w:rPr>
                <w:b/>
                <w:color w:val="FFFFFF"/>
                <w:spacing w:val="-2"/>
                <w:sz w:val="14"/>
              </w:rPr>
              <w:t>Owner</w:t>
            </w:r>
          </w:p>
        </w:tc>
        <w:tc>
          <w:tcPr>
            <w:tcW w:w="2160" w:type="dxa"/>
            <w:shd w:val="clear" w:color="auto" w:fill="1F4E79"/>
          </w:tcPr>
          <w:p>
            <w:pPr>
              <w:pStyle w:val="TableParagraph"/>
              <w:spacing w:before="88"/>
              <w:ind w:left="92"/>
              <w:rPr>
                <w:b/>
                <w:sz w:val="14"/>
              </w:rPr>
            </w:pPr>
            <w:r>
              <w:rPr>
                <w:b/>
                <w:color w:val="FFFFFF"/>
                <w:sz w:val="14"/>
              </w:rPr>
              <w:t>Target</w:t>
            </w:r>
            <w:r>
              <w:rPr>
                <w:b/>
                <w:color w:val="FFFFFF"/>
                <w:spacing w:val="-3"/>
                <w:sz w:val="14"/>
              </w:rPr>
              <w:t> </w:t>
            </w:r>
            <w:r>
              <w:rPr>
                <w:b/>
                <w:color w:val="FFFFFF"/>
                <w:sz w:val="14"/>
              </w:rPr>
              <w:t>Resolution</w:t>
            </w:r>
            <w:r>
              <w:rPr>
                <w:b/>
                <w:color w:val="FFFFFF"/>
                <w:spacing w:val="-1"/>
                <w:sz w:val="14"/>
              </w:rPr>
              <w:t> </w:t>
            </w:r>
            <w:r>
              <w:rPr>
                <w:b/>
                <w:color w:val="FFFFFF"/>
                <w:spacing w:val="-4"/>
                <w:sz w:val="14"/>
              </w:rPr>
              <w:t>Date</w:t>
            </w:r>
          </w:p>
        </w:tc>
        <w:tc>
          <w:tcPr>
            <w:tcW w:w="2345" w:type="dxa"/>
            <w:shd w:val="clear" w:color="auto" w:fill="1F4E79"/>
          </w:tcPr>
          <w:p>
            <w:pPr>
              <w:pStyle w:val="TableParagraph"/>
              <w:spacing w:before="88"/>
              <w:ind w:left="93"/>
              <w:rPr>
                <w:b/>
                <w:sz w:val="14"/>
              </w:rPr>
            </w:pPr>
            <w:r>
              <w:rPr>
                <w:b/>
                <w:color w:val="FFFFFF"/>
                <w:spacing w:val="-2"/>
                <w:sz w:val="14"/>
              </w:rPr>
              <w:t>Status</w:t>
            </w:r>
          </w:p>
        </w:tc>
      </w:tr>
      <w:tr>
        <w:trPr>
          <w:trHeight w:val="950" w:hRule="atLeast"/>
        </w:trPr>
        <w:tc>
          <w:tcPr>
            <w:tcW w:w="860" w:type="dxa"/>
          </w:tcPr>
          <w:p>
            <w:pPr>
              <w:pStyle w:val="TableParagraph"/>
              <w:spacing w:before="180"/>
              <w:rPr>
                <w:b/>
                <w:sz w:val="17"/>
              </w:rPr>
            </w:pPr>
          </w:p>
          <w:p>
            <w:pPr>
              <w:pStyle w:val="TableParagraph"/>
              <w:ind w:left="87"/>
              <w:rPr>
                <w:sz w:val="17"/>
              </w:rPr>
            </w:pPr>
            <w:r>
              <w:rPr>
                <w:spacing w:val="-5"/>
                <w:sz w:val="17"/>
              </w:rPr>
              <w:t>1.</w:t>
            </w:r>
          </w:p>
        </w:tc>
        <w:tc>
          <w:tcPr>
            <w:tcW w:w="4322" w:type="dxa"/>
          </w:tcPr>
          <w:p>
            <w:pPr>
              <w:pStyle w:val="TableParagraph"/>
              <w:spacing w:before="1"/>
              <w:rPr>
                <w:b/>
                <w:sz w:val="16"/>
              </w:rPr>
            </w:pPr>
          </w:p>
          <w:p>
            <w:pPr>
              <w:pStyle w:val="TableParagraph"/>
              <w:spacing w:line="252" w:lineRule="auto"/>
              <w:ind w:left="92" w:right="192"/>
              <w:jc w:val="both"/>
              <w:rPr>
                <w:sz w:val="16"/>
              </w:rPr>
            </w:pPr>
            <w:r>
              <w:rPr>
                <w:sz w:val="16"/>
              </w:rPr>
              <w:t>Additional ad hoc</w:t>
            </w:r>
            <w:r>
              <w:rPr>
                <w:spacing w:val="-2"/>
                <w:sz w:val="16"/>
              </w:rPr>
              <w:t> </w:t>
            </w:r>
            <w:r>
              <w:rPr>
                <w:sz w:val="16"/>
              </w:rPr>
              <w:t>analytical</w:t>
            </w:r>
            <w:r>
              <w:rPr>
                <w:spacing w:val="-2"/>
                <w:sz w:val="16"/>
              </w:rPr>
              <w:t> </w:t>
            </w:r>
            <w:r>
              <w:rPr>
                <w:sz w:val="16"/>
              </w:rPr>
              <w:t>requests are</w:t>
            </w:r>
            <w:r>
              <w:rPr>
                <w:spacing w:val="-1"/>
                <w:sz w:val="16"/>
              </w:rPr>
              <w:t> </w:t>
            </w:r>
            <w:r>
              <w:rPr>
                <w:sz w:val="16"/>
              </w:rPr>
              <w:t>being</w:t>
            </w:r>
            <w:r>
              <w:rPr>
                <w:spacing w:val="-1"/>
                <w:sz w:val="16"/>
              </w:rPr>
              <w:t> </w:t>
            </w:r>
            <w:r>
              <w:rPr>
                <w:sz w:val="16"/>
              </w:rPr>
              <w:t>added</w:t>
            </w:r>
            <w:r>
              <w:rPr>
                <w:spacing w:val="-1"/>
                <w:sz w:val="16"/>
              </w:rPr>
              <w:t> </w:t>
            </w:r>
            <w:r>
              <w:rPr>
                <w:sz w:val="16"/>
              </w:rPr>
              <w:t>to the</w:t>
            </w:r>
            <w:r>
              <w:rPr>
                <w:spacing w:val="-4"/>
                <w:sz w:val="16"/>
              </w:rPr>
              <w:t> </w:t>
            </w:r>
            <w:r>
              <w:rPr>
                <w:sz w:val="16"/>
              </w:rPr>
              <w:t>programme</w:t>
            </w:r>
            <w:r>
              <w:rPr>
                <w:spacing w:val="-4"/>
                <w:sz w:val="16"/>
              </w:rPr>
              <w:t> </w:t>
            </w:r>
            <w:r>
              <w:rPr>
                <w:sz w:val="16"/>
              </w:rPr>
              <w:t>of</w:t>
            </w:r>
            <w:r>
              <w:rPr>
                <w:spacing w:val="-9"/>
                <w:sz w:val="16"/>
              </w:rPr>
              <w:t> </w:t>
            </w:r>
            <w:r>
              <w:rPr>
                <w:sz w:val="16"/>
              </w:rPr>
              <w:t>work</w:t>
            </w:r>
            <w:r>
              <w:rPr>
                <w:spacing w:val="-4"/>
                <w:sz w:val="16"/>
              </w:rPr>
              <w:t> </w:t>
            </w:r>
            <w:r>
              <w:rPr>
                <w:sz w:val="16"/>
              </w:rPr>
              <w:t>and</w:t>
            </w:r>
            <w:r>
              <w:rPr>
                <w:spacing w:val="-4"/>
                <w:sz w:val="16"/>
              </w:rPr>
              <w:t> </w:t>
            </w:r>
            <w:r>
              <w:rPr>
                <w:sz w:val="16"/>
              </w:rPr>
              <w:t>require</w:t>
            </w:r>
            <w:r>
              <w:rPr>
                <w:spacing w:val="-8"/>
                <w:sz w:val="16"/>
              </w:rPr>
              <w:t> </w:t>
            </w:r>
            <w:r>
              <w:rPr>
                <w:sz w:val="16"/>
              </w:rPr>
              <w:t>ongoing</w:t>
            </w:r>
            <w:r>
              <w:rPr>
                <w:spacing w:val="-8"/>
                <w:sz w:val="16"/>
              </w:rPr>
              <w:t> </w:t>
            </w:r>
            <w:r>
              <w:rPr>
                <w:sz w:val="16"/>
              </w:rPr>
              <w:t>prioritisation within existing resources.</w:t>
            </w:r>
          </w:p>
        </w:tc>
        <w:tc>
          <w:tcPr>
            <w:tcW w:w="3601" w:type="dxa"/>
          </w:tcPr>
          <w:p>
            <w:pPr>
              <w:pStyle w:val="TableParagraph"/>
              <w:spacing w:line="252" w:lineRule="auto" w:before="90"/>
              <w:ind w:left="92"/>
              <w:rPr>
                <w:sz w:val="16"/>
              </w:rPr>
            </w:pPr>
            <w:r>
              <w:rPr>
                <w:sz w:val="16"/>
              </w:rPr>
              <w:t>Competing</w:t>
            </w:r>
            <w:r>
              <w:rPr>
                <w:spacing w:val="-3"/>
                <w:sz w:val="16"/>
              </w:rPr>
              <w:t> </w:t>
            </w:r>
            <w:r>
              <w:rPr>
                <w:sz w:val="16"/>
              </w:rPr>
              <w:t>requests are</w:t>
            </w:r>
            <w:r>
              <w:rPr>
                <w:spacing w:val="-3"/>
                <w:sz w:val="16"/>
              </w:rPr>
              <w:t> </w:t>
            </w:r>
            <w:r>
              <w:rPr>
                <w:sz w:val="16"/>
              </w:rPr>
              <w:t>increasing pressure</w:t>
            </w:r>
            <w:r>
              <w:rPr>
                <w:spacing w:val="-3"/>
                <w:sz w:val="16"/>
              </w:rPr>
              <w:t> </w:t>
            </w:r>
            <w:r>
              <w:rPr>
                <w:sz w:val="16"/>
              </w:rPr>
              <w:t>on limited analytical capacity, leading to some slippage</w:t>
            </w:r>
            <w:r>
              <w:rPr>
                <w:spacing w:val="-9"/>
                <w:sz w:val="16"/>
              </w:rPr>
              <w:t> </w:t>
            </w:r>
            <w:r>
              <w:rPr>
                <w:sz w:val="16"/>
              </w:rPr>
              <w:t>against</w:t>
            </w:r>
            <w:r>
              <w:rPr>
                <w:spacing w:val="-9"/>
                <w:sz w:val="16"/>
              </w:rPr>
              <w:t> </w:t>
            </w:r>
            <w:r>
              <w:rPr>
                <w:sz w:val="16"/>
              </w:rPr>
              <w:t>existing</w:t>
            </w:r>
            <w:r>
              <w:rPr>
                <w:spacing w:val="-12"/>
                <w:sz w:val="16"/>
              </w:rPr>
              <w:t> </w:t>
            </w:r>
            <w:r>
              <w:rPr>
                <w:sz w:val="16"/>
              </w:rPr>
              <w:t>programme</w:t>
            </w:r>
            <w:r>
              <w:rPr>
                <w:spacing w:val="-7"/>
                <w:sz w:val="16"/>
              </w:rPr>
              <w:t> </w:t>
            </w:r>
            <w:r>
              <w:rPr>
                <w:sz w:val="16"/>
              </w:rPr>
              <w:t>timescales and requiring active sequencing of outputs.</w:t>
            </w:r>
          </w:p>
        </w:tc>
        <w:tc>
          <w:tcPr>
            <w:tcW w:w="1875" w:type="dxa"/>
          </w:tcPr>
          <w:p>
            <w:pPr>
              <w:pStyle w:val="TableParagraph"/>
              <w:spacing w:before="101"/>
              <w:rPr>
                <w:b/>
                <w:sz w:val="16"/>
              </w:rPr>
            </w:pPr>
          </w:p>
          <w:p>
            <w:pPr>
              <w:pStyle w:val="TableParagraph"/>
              <w:spacing w:line="247" w:lineRule="auto"/>
              <w:ind w:left="91"/>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c>
          <w:tcPr>
            <w:tcW w:w="2160" w:type="dxa"/>
          </w:tcPr>
          <w:p>
            <w:pPr>
              <w:pStyle w:val="TableParagraph"/>
              <w:spacing w:before="101"/>
              <w:rPr>
                <w:b/>
                <w:sz w:val="16"/>
              </w:rPr>
            </w:pPr>
          </w:p>
          <w:p>
            <w:pPr>
              <w:pStyle w:val="TableParagraph"/>
              <w:spacing w:line="247" w:lineRule="auto"/>
              <w:ind w:left="92" w:right="125"/>
              <w:rPr>
                <w:sz w:val="16"/>
              </w:rPr>
            </w:pPr>
            <w:r>
              <w:rPr>
                <w:sz w:val="16"/>
              </w:rPr>
              <w:t>Ongoing</w:t>
            </w:r>
            <w:r>
              <w:rPr>
                <w:spacing w:val="-12"/>
                <w:sz w:val="16"/>
              </w:rPr>
              <w:t> </w:t>
            </w:r>
            <w:r>
              <w:rPr>
                <w:sz w:val="16"/>
              </w:rPr>
              <w:t>review</w:t>
            </w:r>
            <w:r>
              <w:rPr>
                <w:spacing w:val="-11"/>
                <w:sz w:val="16"/>
              </w:rPr>
              <w:t> </w:t>
            </w:r>
            <w:r>
              <w:rPr>
                <w:sz w:val="16"/>
              </w:rPr>
              <w:t>through RHE governance</w:t>
            </w:r>
          </w:p>
        </w:tc>
        <w:tc>
          <w:tcPr>
            <w:tcW w:w="2345" w:type="dxa"/>
          </w:tcPr>
          <w:p>
            <w:pPr>
              <w:pStyle w:val="TableParagraph"/>
              <w:spacing w:before="1"/>
              <w:rPr>
                <w:b/>
                <w:sz w:val="16"/>
              </w:rPr>
            </w:pPr>
          </w:p>
          <w:p>
            <w:pPr>
              <w:pStyle w:val="TableParagraph"/>
              <w:spacing w:line="252" w:lineRule="auto"/>
              <w:ind w:left="93" w:right="72"/>
              <w:rPr>
                <w:sz w:val="16"/>
              </w:rPr>
            </w:pPr>
            <w:r>
              <w:rPr>
                <w:sz w:val="16"/>
              </w:rPr>
              <w:t>Open – being managed through</w:t>
            </w:r>
            <w:r>
              <w:rPr>
                <w:spacing w:val="-12"/>
                <w:sz w:val="16"/>
              </w:rPr>
              <w:t> </w:t>
            </w:r>
            <w:r>
              <w:rPr>
                <w:sz w:val="16"/>
              </w:rPr>
              <w:t>prioritisation</w:t>
            </w:r>
            <w:r>
              <w:rPr>
                <w:spacing w:val="-11"/>
                <w:sz w:val="16"/>
              </w:rPr>
              <w:t> </w:t>
            </w:r>
            <w:r>
              <w:rPr>
                <w:sz w:val="16"/>
              </w:rPr>
              <w:t>and </w:t>
            </w:r>
            <w:r>
              <w:rPr>
                <w:spacing w:val="-2"/>
                <w:sz w:val="16"/>
              </w:rPr>
              <w:t>sequencing</w:t>
            </w:r>
          </w:p>
        </w:tc>
      </w:tr>
      <w:tr>
        <w:trPr>
          <w:trHeight w:val="1150" w:hRule="atLeast"/>
        </w:trPr>
        <w:tc>
          <w:tcPr>
            <w:tcW w:w="860" w:type="dxa"/>
          </w:tcPr>
          <w:p>
            <w:pPr>
              <w:pStyle w:val="TableParagraph"/>
              <w:rPr>
                <w:b/>
                <w:sz w:val="17"/>
              </w:rPr>
            </w:pPr>
          </w:p>
          <w:p>
            <w:pPr>
              <w:pStyle w:val="TableParagraph"/>
              <w:spacing w:before="85"/>
              <w:rPr>
                <w:b/>
                <w:sz w:val="17"/>
              </w:rPr>
            </w:pPr>
          </w:p>
          <w:p>
            <w:pPr>
              <w:pStyle w:val="TableParagraph"/>
              <w:ind w:left="87"/>
              <w:rPr>
                <w:sz w:val="17"/>
              </w:rPr>
            </w:pPr>
            <w:r>
              <w:rPr>
                <w:spacing w:val="-5"/>
                <w:sz w:val="17"/>
              </w:rPr>
              <w:t>2.</w:t>
            </w:r>
          </w:p>
        </w:tc>
        <w:tc>
          <w:tcPr>
            <w:tcW w:w="4322" w:type="dxa"/>
          </w:tcPr>
          <w:p>
            <w:pPr>
              <w:pStyle w:val="TableParagraph"/>
              <w:spacing w:before="100"/>
              <w:rPr>
                <w:b/>
                <w:sz w:val="16"/>
              </w:rPr>
            </w:pPr>
          </w:p>
          <w:p>
            <w:pPr>
              <w:pStyle w:val="TableParagraph"/>
              <w:spacing w:line="252" w:lineRule="auto" w:before="1"/>
              <w:ind w:left="92"/>
              <w:rPr>
                <w:sz w:val="16"/>
              </w:rPr>
            </w:pPr>
            <w:r>
              <w:rPr>
                <w:sz w:val="16"/>
              </w:rPr>
              <w:t>Changes to other RJC subgroups and their work programmes</w:t>
            </w:r>
            <w:r>
              <w:rPr>
                <w:spacing w:val="-10"/>
                <w:sz w:val="16"/>
              </w:rPr>
              <w:t> </w:t>
            </w:r>
            <w:r>
              <w:rPr>
                <w:sz w:val="16"/>
              </w:rPr>
              <w:t>may</w:t>
            </w:r>
            <w:r>
              <w:rPr>
                <w:spacing w:val="-5"/>
                <w:sz w:val="16"/>
              </w:rPr>
              <w:t> </w:t>
            </w:r>
            <w:r>
              <w:rPr>
                <w:sz w:val="16"/>
              </w:rPr>
              <w:t>affect</w:t>
            </w:r>
            <w:r>
              <w:rPr>
                <w:spacing w:val="-5"/>
                <w:sz w:val="16"/>
              </w:rPr>
              <w:t> </w:t>
            </w:r>
            <w:r>
              <w:rPr>
                <w:sz w:val="16"/>
              </w:rPr>
              <w:t>the</w:t>
            </w:r>
            <w:r>
              <w:rPr>
                <w:spacing w:val="-4"/>
                <w:sz w:val="16"/>
              </w:rPr>
              <w:t> </w:t>
            </w:r>
            <w:r>
              <w:rPr>
                <w:sz w:val="16"/>
              </w:rPr>
              <w:t>feasibility</w:t>
            </w:r>
            <w:r>
              <w:rPr>
                <w:spacing w:val="-5"/>
                <w:sz w:val="16"/>
              </w:rPr>
              <w:t> </w:t>
            </w:r>
            <w:r>
              <w:rPr>
                <w:sz w:val="16"/>
              </w:rPr>
              <w:t>and</w:t>
            </w:r>
            <w:r>
              <w:rPr>
                <w:spacing w:val="-4"/>
                <w:sz w:val="16"/>
              </w:rPr>
              <w:t> </w:t>
            </w:r>
            <w:r>
              <w:rPr>
                <w:sz w:val="16"/>
              </w:rPr>
              <w:t>deliverability</w:t>
            </w:r>
            <w:r>
              <w:rPr>
                <w:spacing w:val="-5"/>
                <w:sz w:val="16"/>
              </w:rPr>
              <w:t> </w:t>
            </w:r>
            <w:r>
              <w:rPr>
                <w:sz w:val="16"/>
              </w:rPr>
              <w:t>of the Regional Health Economy programme of work.</w:t>
            </w:r>
          </w:p>
        </w:tc>
        <w:tc>
          <w:tcPr>
            <w:tcW w:w="3601" w:type="dxa"/>
          </w:tcPr>
          <w:p>
            <w:pPr>
              <w:pStyle w:val="TableParagraph"/>
              <w:spacing w:line="252" w:lineRule="auto" w:before="90"/>
              <w:ind w:left="92"/>
              <w:rPr>
                <w:sz w:val="16"/>
              </w:rPr>
            </w:pPr>
            <w:r>
              <w:rPr>
                <w:sz w:val="16"/>
              </w:rPr>
              <w:t>Any significant changes in related subgroup priorities, deliverables or assumptions could create dependencies, capacity pressures or sequencing</w:t>
            </w:r>
            <w:r>
              <w:rPr>
                <w:spacing w:val="-5"/>
                <w:sz w:val="16"/>
              </w:rPr>
              <w:t> </w:t>
            </w:r>
            <w:r>
              <w:rPr>
                <w:sz w:val="16"/>
              </w:rPr>
              <w:t>issues</w:t>
            </w:r>
            <w:r>
              <w:rPr>
                <w:spacing w:val="-6"/>
                <w:sz w:val="16"/>
              </w:rPr>
              <w:t> </w:t>
            </w:r>
            <w:r>
              <w:rPr>
                <w:sz w:val="16"/>
              </w:rPr>
              <w:t>for</w:t>
            </w:r>
            <w:r>
              <w:rPr>
                <w:spacing w:val="-10"/>
                <w:sz w:val="16"/>
              </w:rPr>
              <w:t> </w:t>
            </w:r>
            <w:r>
              <w:rPr>
                <w:sz w:val="16"/>
              </w:rPr>
              <w:t>RHE</w:t>
            </w:r>
            <w:r>
              <w:rPr>
                <w:spacing w:val="-6"/>
                <w:sz w:val="16"/>
              </w:rPr>
              <w:t> </w:t>
            </w:r>
            <w:r>
              <w:rPr>
                <w:sz w:val="16"/>
              </w:rPr>
              <w:t>programmes</w:t>
            </w:r>
            <w:r>
              <w:rPr>
                <w:spacing w:val="-5"/>
                <w:sz w:val="16"/>
              </w:rPr>
              <w:t> </w:t>
            </w:r>
            <w:r>
              <w:rPr>
                <w:sz w:val="16"/>
              </w:rPr>
              <w:t>and </w:t>
            </w:r>
            <w:r>
              <w:rPr>
                <w:spacing w:val="-2"/>
                <w:sz w:val="16"/>
              </w:rPr>
              <w:t>timescales.</w:t>
            </w:r>
          </w:p>
        </w:tc>
        <w:tc>
          <w:tcPr>
            <w:tcW w:w="1875" w:type="dxa"/>
          </w:tcPr>
          <w:p>
            <w:pPr>
              <w:pStyle w:val="TableParagraph"/>
              <w:rPr>
                <w:b/>
                <w:sz w:val="16"/>
              </w:rPr>
            </w:pPr>
          </w:p>
          <w:p>
            <w:pPr>
              <w:pStyle w:val="TableParagraph"/>
              <w:spacing w:before="12"/>
              <w:rPr>
                <w:b/>
                <w:sz w:val="16"/>
              </w:rPr>
            </w:pPr>
          </w:p>
          <w:p>
            <w:pPr>
              <w:pStyle w:val="TableParagraph"/>
              <w:spacing w:line="254" w:lineRule="auto"/>
              <w:ind w:left="91"/>
              <w:rPr>
                <w:sz w:val="16"/>
              </w:rPr>
            </w:pPr>
            <w:r>
              <w:rPr>
                <w:sz w:val="16"/>
              </w:rPr>
              <w:t>Ardiana</w:t>
            </w:r>
            <w:r>
              <w:rPr>
                <w:spacing w:val="-12"/>
                <w:sz w:val="16"/>
              </w:rPr>
              <w:t> </w:t>
            </w:r>
            <w:r>
              <w:rPr>
                <w:sz w:val="16"/>
              </w:rPr>
              <w:t>Gjini/Hugo</w:t>
            </w:r>
            <w:r>
              <w:rPr>
                <w:spacing w:val="-11"/>
                <w:sz w:val="16"/>
              </w:rPr>
              <w:t> </w:t>
            </w:r>
            <w:r>
              <w:rPr>
                <w:sz w:val="16"/>
              </w:rPr>
              <w:t>Van </w:t>
            </w:r>
            <w:r>
              <w:rPr>
                <w:spacing w:val="-2"/>
                <w:sz w:val="16"/>
              </w:rPr>
              <w:t>Woerden</w:t>
            </w:r>
          </w:p>
        </w:tc>
        <w:tc>
          <w:tcPr>
            <w:tcW w:w="2160" w:type="dxa"/>
          </w:tcPr>
          <w:p>
            <w:pPr>
              <w:pStyle w:val="TableParagraph"/>
              <w:spacing w:before="100"/>
              <w:rPr>
                <w:b/>
                <w:sz w:val="16"/>
              </w:rPr>
            </w:pPr>
          </w:p>
          <w:p>
            <w:pPr>
              <w:pStyle w:val="TableParagraph"/>
              <w:spacing w:line="252" w:lineRule="auto" w:before="1"/>
              <w:ind w:left="92"/>
              <w:rPr>
                <w:sz w:val="16"/>
              </w:rPr>
            </w:pPr>
            <w:r>
              <w:rPr>
                <w:sz w:val="16"/>
              </w:rPr>
              <w:t>Ongoing</w:t>
            </w:r>
            <w:r>
              <w:rPr>
                <w:spacing w:val="-12"/>
                <w:sz w:val="16"/>
              </w:rPr>
              <w:t> </w:t>
            </w:r>
            <w:r>
              <w:rPr>
                <w:sz w:val="16"/>
              </w:rPr>
              <w:t>review</w:t>
            </w:r>
            <w:r>
              <w:rPr>
                <w:spacing w:val="-11"/>
                <w:sz w:val="16"/>
              </w:rPr>
              <w:t> </w:t>
            </w:r>
            <w:r>
              <w:rPr>
                <w:sz w:val="16"/>
              </w:rPr>
              <w:t>through subgroup and RHE </w:t>
            </w:r>
            <w:r>
              <w:rPr>
                <w:spacing w:val="-2"/>
                <w:sz w:val="16"/>
              </w:rPr>
              <w:t>governance</w:t>
            </w:r>
          </w:p>
        </w:tc>
        <w:tc>
          <w:tcPr>
            <w:tcW w:w="2345" w:type="dxa"/>
          </w:tcPr>
          <w:p>
            <w:pPr>
              <w:pStyle w:val="TableParagraph"/>
              <w:spacing w:before="100"/>
              <w:rPr>
                <w:b/>
                <w:sz w:val="16"/>
              </w:rPr>
            </w:pPr>
          </w:p>
          <w:p>
            <w:pPr>
              <w:pStyle w:val="TableParagraph"/>
              <w:spacing w:line="252" w:lineRule="auto" w:before="1"/>
              <w:ind w:left="93" w:right="72"/>
              <w:rPr>
                <w:sz w:val="16"/>
              </w:rPr>
            </w:pPr>
            <w:r>
              <w:rPr>
                <w:sz w:val="16"/>
              </w:rPr>
              <w:t>Open</w:t>
            </w:r>
            <w:r>
              <w:rPr>
                <w:spacing w:val="-10"/>
                <w:sz w:val="16"/>
              </w:rPr>
              <w:t> </w:t>
            </w:r>
            <w:r>
              <w:rPr>
                <w:sz w:val="16"/>
              </w:rPr>
              <w:t>–</w:t>
            </w:r>
            <w:r>
              <w:rPr>
                <w:spacing w:val="-9"/>
                <w:sz w:val="16"/>
              </w:rPr>
              <w:t> </w:t>
            </w:r>
            <w:r>
              <w:rPr>
                <w:sz w:val="16"/>
              </w:rPr>
              <w:t>to</w:t>
            </w:r>
            <w:r>
              <w:rPr>
                <w:spacing w:val="-12"/>
                <w:sz w:val="16"/>
              </w:rPr>
              <w:t> </w:t>
            </w:r>
            <w:r>
              <w:rPr>
                <w:sz w:val="16"/>
              </w:rPr>
              <w:t>be</w:t>
            </w:r>
            <w:r>
              <w:rPr>
                <w:spacing w:val="-8"/>
                <w:sz w:val="16"/>
              </w:rPr>
              <w:t> </w:t>
            </w:r>
            <w:r>
              <w:rPr>
                <w:sz w:val="16"/>
              </w:rPr>
              <w:t>monitored through routine work programme</w:t>
            </w:r>
            <w:r>
              <w:rPr>
                <w:spacing w:val="-4"/>
                <w:sz w:val="16"/>
              </w:rPr>
              <w:t> </w:t>
            </w:r>
            <w:r>
              <w:rPr>
                <w:sz w:val="16"/>
              </w:rPr>
              <w:t>review</w:t>
            </w:r>
          </w:p>
        </w:tc>
      </w:tr>
    </w:tbl>
    <w:p>
      <w:pPr>
        <w:pStyle w:val="Heading8"/>
        <w:ind w:left="83" w:firstLine="0"/>
      </w:pPr>
      <w:r>
        <w:rPr>
          <w:color w:val="001F5F"/>
        </w:rPr>
        <w:t>RAG</w:t>
      </w:r>
      <w:r>
        <w:rPr>
          <w:color w:val="001F5F"/>
          <w:spacing w:val="-8"/>
        </w:rPr>
        <w:t> </w:t>
      </w:r>
      <w:r>
        <w:rPr>
          <w:color w:val="001F5F"/>
        </w:rPr>
        <w:t>Definitions</w:t>
      </w:r>
      <w:r>
        <w:rPr>
          <w:color w:val="001F5F"/>
          <w:spacing w:val="-4"/>
        </w:rPr>
        <w:t> </w:t>
      </w:r>
      <w:r>
        <w:rPr>
          <w:color w:val="001F5F"/>
        </w:rPr>
        <w:t>and</w:t>
      </w:r>
      <w:r>
        <w:rPr>
          <w:color w:val="001F5F"/>
          <w:spacing w:val="-4"/>
        </w:rPr>
        <w:t> </w:t>
      </w:r>
      <w:r>
        <w:rPr>
          <w:color w:val="001F5F"/>
        </w:rPr>
        <w:t>Scoring</w:t>
      </w:r>
      <w:r>
        <w:rPr>
          <w:color w:val="001F5F"/>
          <w:spacing w:val="-4"/>
        </w:rPr>
        <w:t> </w:t>
      </w:r>
      <w:r>
        <w:rPr>
          <w:color w:val="001F5F"/>
          <w:spacing w:val="-2"/>
        </w:rPr>
        <w:t>Guidance</w:t>
      </w:r>
    </w:p>
    <w:p>
      <w:pPr>
        <w:spacing w:before="199"/>
        <w:ind w:left="83" w:right="0" w:firstLine="0"/>
        <w:jc w:val="left"/>
        <w:rPr>
          <w:b/>
          <w:sz w:val="22"/>
        </w:rPr>
      </w:pPr>
      <w:r>
        <w:rPr>
          <w:b/>
          <w:color w:val="1F4E79"/>
          <w:sz w:val="22"/>
        </w:rPr>
        <w:t>Delivery</w:t>
      </w:r>
      <w:r>
        <w:rPr>
          <w:b/>
          <w:color w:val="1F4E79"/>
          <w:spacing w:val="-4"/>
          <w:sz w:val="22"/>
        </w:rPr>
        <w:t> </w:t>
      </w:r>
      <w:r>
        <w:rPr>
          <w:b/>
          <w:color w:val="1F4E79"/>
          <w:sz w:val="22"/>
        </w:rPr>
        <w:t>RAG</w:t>
      </w:r>
      <w:r>
        <w:rPr>
          <w:b/>
          <w:color w:val="1F4E79"/>
          <w:spacing w:val="-2"/>
          <w:sz w:val="22"/>
        </w:rPr>
        <w:t> Definitions</w:t>
      </w:r>
    </w:p>
    <w:p>
      <w:pPr>
        <w:pStyle w:val="BodyText"/>
        <w:spacing w:before="8"/>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861"/>
        <w:gridCol w:w="13664"/>
      </w:tblGrid>
      <w:tr>
        <w:trPr>
          <w:trHeight w:val="370" w:hRule="atLeast"/>
        </w:trPr>
        <w:tc>
          <w:tcPr>
            <w:tcW w:w="1861" w:type="dxa"/>
            <w:shd w:val="clear" w:color="auto" w:fill="1F4E79"/>
          </w:tcPr>
          <w:p>
            <w:pPr>
              <w:pStyle w:val="TableParagraph"/>
              <w:spacing w:before="89"/>
              <w:ind w:left="87"/>
              <w:rPr>
                <w:b/>
                <w:sz w:val="16"/>
              </w:rPr>
            </w:pPr>
            <w:r>
              <w:rPr>
                <w:b/>
                <w:color w:val="FFFFFF"/>
                <w:spacing w:val="-5"/>
                <w:sz w:val="16"/>
              </w:rPr>
              <w:t>RAG</w:t>
            </w:r>
          </w:p>
        </w:tc>
        <w:tc>
          <w:tcPr>
            <w:tcW w:w="13664" w:type="dxa"/>
            <w:shd w:val="clear" w:color="auto" w:fill="1F4E79"/>
          </w:tcPr>
          <w:p>
            <w:pPr>
              <w:pStyle w:val="TableParagraph"/>
              <w:spacing w:before="89"/>
              <w:ind w:left="92"/>
              <w:rPr>
                <w:b/>
                <w:sz w:val="16"/>
              </w:rPr>
            </w:pPr>
            <w:r>
              <w:rPr>
                <w:b/>
                <w:color w:val="FFFFFF"/>
                <w:spacing w:val="-2"/>
                <w:sz w:val="16"/>
              </w:rPr>
              <w:t>Definition</w:t>
            </w:r>
          </w:p>
        </w:tc>
      </w:tr>
      <w:tr>
        <w:trPr>
          <w:trHeight w:val="375" w:hRule="atLeast"/>
        </w:trPr>
        <w:tc>
          <w:tcPr>
            <w:tcW w:w="1861" w:type="dxa"/>
            <w:shd w:val="clear" w:color="auto" w:fill="404040"/>
          </w:tcPr>
          <w:p>
            <w:pPr>
              <w:pStyle w:val="TableParagraph"/>
              <w:spacing w:before="90"/>
              <w:ind w:left="87"/>
              <w:rPr>
                <w:b/>
                <w:sz w:val="16"/>
              </w:rPr>
            </w:pPr>
            <w:r>
              <w:rPr>
                <w:b/>
                <w:color w:val="FFFFFF"/>
                <w:spacing w:val="-2"/>
                <w:sz w:val="16"/>
              </w:rPr>
              <w:t>Black</w:t>
            </w:r>
          </w:p>
        </w:tc>
        <w:tc>
          <w:tcPr>
            <w:tcW w:w="13664" w:type="dxa"/>
          </w:tcPr>
          <w:p>
            <w:pPr>
              <w:pStyle w:val="TableParagraph"/>
              <w:spacing w:before="90"/>
              <w:ind w:left="92"/>
              <w:rPr>
                <w:sz w:val="16"/>
              </w:rPr>
            </w:pPr>
            <w:r>
              <w:rPr>
                <w:sz w:val="16"/>
              </w:rPr>
              <w:t>Activity</w:t>
            </w:r>
            <w:r>
              <w:rPr>
                <w:spacing w:val="-2"/>
                <w:sz w:val="16"/>
              </w:rPr>
              <w:t> </w:t>
            </w:r>
            <w:r>
              <w:rPr>
                <w:sz w:val="16"/>
              </w:rPr>
              <w:t>has</w:t>
            </w:r>
            <w:r>
              <w:rPr>
                <w:spacing w:val="-1"/>
                <w:sz w:val="16"/>
              </w:rPr>
              <w:t> </w:t>
            </w:r>
            <w:r>
              <w:rPr>
                <w:sz w:val="16"/>
              </w:rPr>
              <w:t>yet</w:t>
            </w:r>
            <w:r>
              <w:rPr>
                <w:spacing w:val="-2"/>
                <w:sz w:val="16"/>
              </w:rPr>
              <w:t> </w:t>
            </w:r>
            <w:r>
              <w:rPr>
                <w:sz w:val="16"/>
              </w:rPr>
              <w:t>to </w:t>
            </w:r>
            <w:r>
              <w:rPr>
                <w:spacing w:val="-2"/>
                <w:sz w:val="16"/>
              </w:rPr>
              <w:t>commence.</w:t>
            </w:r>
          </w:p>
        </w:tc>
      </w:tr>
      <w:tr>
        <w:trPr>
          <w:trHeight w:val="370" w:hRule="atLeast"/>
        </w:trPr>
        <w:tc>
          <w:tcPr>
            <w:tcW w:w="1861" w:type="dxa"/>
            <w:shd w:val="clear" w:color="auto" w:fill="C00000"/>
          </w:tcPr>
          <w:p>
            <w:pPr>
              <w:pStyle w:val="TableParagraph"/>
              <w:spacing w:before="90"/>
              <w:ind w:left="87"/>
              <w:rPr>
                <w:b/>
                <w:sz w:val="16"/>
              </w:rPr>
            </w:pPr>
            <w:r>
              <w:rPr>
                <w:b/>
                <w:color w:val="FFFFFF"/>
                <w:spacing w:val="-5"/>
                <w:sz w:val="16"/>
              </w:rPr>
              <w:t>Red</w:t>
            </w:r>
          </w:p>
        </w:tc>
        <w:tc>
          <w:tcPr>
            <w:tcW w:w="13664" w:type="dxa"/>
          </w:tcPr>
          <w:p>
            <w:pPr>
              <w:pStyle w:val="TableParagraph"/>
              <w:spacing w:before="90"/>
              <w:ind w:left="92"/>
              <w:rPr>
                <w:sz w:val="16"/>
              </w:rPr>
            </w:pPr>
            <w:r>
              <w:rPr>
                <w:sz w:val="16"/>
              </w:rPr>
              <w:t>Objective/output/milestone</w:t>
            </w:r>
            <w:r>
              <w:rPr>
                <w:spacing w:val="-3"/>
                <w:sz w:val="16"/>
              </w:rPr>
              <w:t> </w:t>
            </w:r>
            <w:r>
              <w:rPr>
                <w:sz w:val="16"/>
              </w:rPr>
              <w:t>will</w:t>
            </w:r>
            <w:r>
              <w:rPr>
                <w:spacing w:val="-5"/>
                <w:sz w:val="16"/>
              </w:rPr>
              <w:t> </w:t>
            </w:r>
            <w:r>
              <w:rPr>
                <w:sz w:val="16"/>
              </w:rPr>
              <w:t>not</w:t>
            </w:r>
            <w:r>
              <w:rPr>
                <w:spacing w:val="-8"/>
                <w:sz w:val="16"/>
              </w:rPr>
              <w:t> </w:t>
            </w:r>
            <w:r>
              <w:rPr>
                <w:sz w:val="16"/>
              </w:rPr>
              <w:t>be</w:t>
            </w:r>
            <w:r>
              <w:rPr>
                <w:spacing w:val="-3"/>
                <w:sz w:val="16"/>
              </w:rPr>
              <w:t> </w:t>
            </w:r>
            <w:r>
              <w:rPr>
                <w:sz w:val="16"/>
              </w:rPr>
              <w:t>delivered</w:t>
            </w:r>
            <w:r>
              <w:rPr>
                <w:spacing w:val="-2"/>
                <w:sz w:val="16"/>
              </w:rPr>
              <w:t> </w:t>
            </w:r>
            <w:r>
              <w:rPr>
                <w:sz w:val="16"/>
              </w:rPr>
              <w:t>within</w:t>
            </w:r>
            <w:r>
              <w:rPr>
                <w:spacing w:val="-7"/>
                <w:sz w:val="16"/>
              </w:rPr>
              <w:t> </w:t>
            </w:r>
            <w:r>
              <w:rPr>
                <w:sz w:val="16"/>
              </w:rPr>
              <w:t>agreed</w:t>
            </w:r>
            <w:r>
              <w:rPr>
                <w:spacing w:val="-3"/>
                <w:sz w:val="16"/>
              </w:rPr>
              <w:t> </w:t>
            </w:r>
            <w:r>
              <w:rPr>
                <w:sz w:val="16"/>
              </w:rPr>
              <w:t>timeline.</w:t>
            </w:r>
            <w:r>
              <w:rPr>
                <w:spacing w:val="-4"/>
                <w:sz w:val="16"/>
              </w:rPr>
              <w:t> </w:t>
            </w:r>
            <w:r>
              <w:rPr>
                <w:sz w:val="16"/>
              </w:rPr>
              <w:t>Immediate</w:t>
            </w:r>
            <w:r>
              <w:rPr>
                <w:spacing w:val="-7"/>
                <w:sz w:val="16"/>
              </w:rPr>
              <w:t> </w:t>
            </w:r>
            <w:r>
              <w:rPr>
                <w:sz w:val="16"/>
              </w:rPr>
              <w:t>corrective</w:t>
            </w:r>
            <w:r>
              <w:rPr>
                <w:spacing w:val="-3"/>
                <w:sz w:val="16"/>
              </w:rPr>
              <w:t> </w:t>
            </w:r>
            <w:r>
              <w:rPr>
                <w:sz w:val="16"/>
              </w:rPr>
              <w:t>action</w:t>
            </w:r>
            <w:r>
              <w:rPr>
                <w:spacing w:val="-2"/>
                <w:sz w:val="16"/>
              </w:rPr>
              <w:t> </w:t>
            </w:r>
            <w:r>
              <w:rPr>
                <w:sz w:val="16"/>
              </w:rPr>
              <w:t>required</w:t>
            </w:r>
            <w:r>
              <w:rPr>
                <w:spacing w:val="-8"/>
                <w:sz w:val="16"/>
              </w:rPr>
              <w:t> </w:t>
            </w:r>
            <w:r>
              <w:rPr>
                <w:sz w:val="16"/>
              </w:rPr>
              <w:t>or</w:t>
            </w:r>
            <w:r>
              <w:rPr>
                <w:spacing w:val="-2"/>
                <w:sz w:val="16"/>
              </w:rPr>
              <w:t> </w:t>
            </w:r>
            <w:r>
              <w:rPr>
                <w:sz w:val="16"/>
              </w:rPr>
              <w:t>formal</w:t>
            </w:r>
            <w:r>
              <w:rPr>
                <w:spacing w:val="-5"/>
                <w:sz w:val="16"/>
              </w:rPr>
              <w:t> </w:t>
            </w:r>
            <w:r>
              <w:rPr>
                <w:sz w:val="16"/>
              </w:rPr>
              <w:t>change</w:t>
            </w:r>
            <w:r>
              <w:rPr>
                <w:spacing w:val="-7"/>
                <w:sz w:val="16"/>
              </w:rPr>
              <w:t> </w:t>
            </w:r>
            <w:r>
              <w:rPr>
                <w:sz w:val="16"/>
              </w:rPr>
              <w:t>action</w:t>
            </w:r>
            <w:r>
              <w:rPr>
                <w:spacing w:val="-3"/>
                <w:sz w:val="16"/>
              </w:rPr>
              <w:t> </w:t>
            </w:r>
            <w:r>
              <w:rPr>
                <w:sz w:val="16"/>
              </w:rPr>
              <w:t>initiated.</w:t>
            </w:r>
            <w:r>
              <w:rPr>
                <w:spacing w:val="-3"/>
                <w:sz w:val="16"/>
              </w:rPr>
              <w:t> </w:t>
            </w:r>
            <w:r>
              <w:rPr>
                <w:sz w:val="16"/>
              </w:rPr>
              <w:t>Report</w:t>
            </w:r>
            <w:r>
              <w:rPr>
                <w:spacing w:val="-4"/>
                <w:sz w:val="16"/>
              </w:rPr>
              <w:t> </w:t>
            </w:r>
            <w:r>
              <w:rPr>
                <w:sz w:val="16"/>
              </w:rPr>
              <w:t>as</w:t>
            </w:r>
            <w:r>
              <w:rPr>
                <w:spacing w:val="-4"/>
                <w:sz w:val="16"/>
              </w:rPr>
              <w:t> </w:t>
            </w:r>
            <w:r>
              <w:rPr>
                <w:sz w:val="16"/>
              </w:rPr>
              <w:t>Advise</w:t>
            </w:r>
            <w:r>
              <w:rPr>
                <w:spacing w:val="-7"/>
                <w:sz w:val="16"/>
              </w:rPr>
              <w:t> </w:t>
            </w:r>
            <w:r>
              <w:rPr>
                <w:sz w:val="16"/>
              </w:rPr>
              <w:t>or</w:t>
            </w:r>
            <w:r>
              <w:rPr>
                <w:spacing w:val="-2"/>
                <w:sz w:val="16"/>
              </w:rPr>
              <w:t> Alert.</w:t>
            </w:r>
          </w:p>
        </w:tc>
      </w:tr>
      <w:tr>
        <w:trPr>
          <w:trHeight w:val="375" w:hRule="atLeast"/>
        </w:trPr>
        <w:tc>
          <w:tcPr>
            <w:tcW w:w="1861" w:type="dxa"/>
            <w:shd w:val="clear" w:color="auto" w:fill="FFC000"/>
          </w:tcPr>
          <w:p>
            <w:pPr>
              <w:pStyle w:val="TableParagraph"/>
              <w:spacing w:before="90"/>
              <w:ind w:left="87"/>
              <w:rPr>
                <w:b/>
                <w:sz w:val="16"/>
              </w:rPr>
            </w:pPr>
            <w:r>
              <w:rPr>
                <w:b/>
                <w:spacing w:val="-4"/>
                <w:sz w:val="16"/>
              </w:rPr>
              <w:t>Amber</w:t>
            </w:r>
          </w:p>
        </w:tc>
        <w:tc>
          <w:tcPr>
            <w:tcW w:w="13664" w:type="dxa"/>
          </w:tcPr>
          <w:p>
            <w:pPr>
              <w:pStyle w:val="TableParagraph"/>
              <w:spacing w:before="90"/>
              <w:ind w:left="92"/>
              <w:rPr>
                <w:sz w:val="16"/>
              </w:rPr>
            </w:pPr>
            <w:r>
              <w:rPr>
                <w:sz w:val="16"/>
              </w:rPr>
              <w:t>Forecasting</w:t>
            </w:r>
            <w:r>
              <w:rPr>
                <w:spacing w:val="-3"/>
                <w:sz w:val="16"/>
              </w:rPr>
              <w:t> </w:t>
            </w:r>
            <w:r>
              <w:rPr>
                <w:sz w:val="16"/>
              </w:rPr>
              <w:t>that</w:t>
            </w:r>
            <w:r>
              <w:rPr>
                <w:spacing w:val="-3"/>
                <w:sz w:val="16"/>
              </w:rPr>
              <w:t> </w:t>
            </w:r>
            <w:r>
              <w:rPr>
                <w:sz w:val="16"/>
              </w:rPr>
              <w:t>there</w:t>
            </w:r>
            <w:r>
              <w:rPr>
                <w:spacing w:val="-2"/>
                <w:sz w:val="16"/>
              </w:rPr>
              <w:t> </w:t>
            </w:r>
            <w:r>
              <w:rPr>
                <w:sz w:val="16"/>
              </w:rPr>
              <w:t>is</w:t>
            </w:r>
            <w:r>
              <w:rPr>
                <w:spacing w:val="-4"/>
                <w:sz w:val="16"/>
              </w:rPr>
              <w:t> </w:t>
            </w:r>
            <w:r>
              <w:rPr>
                <w:sz w:val="16"/>
              </w:rPr>
              <w:t>a</w:t>
            </w:r>
            <w:r>
              <w:rPr>
                <w:spacing w:val="-2"/>
                <w:sz w:val="16"/>
              </w:rPr>
              <w:t> </w:t>
            </w:r>
            <w:r>
              <w:rPr>
                <w:sz w:val="16"/>
              </w:rPr>
              <w:t>significant</w:t>
            </w:r>
            <w:r>
              <w:rPr>
                <w:spacing w:val="-3"/>
                <w:sz w:val="16"/>
              </w:rPr>
              <w:t> </w:t>
            </w:r>
            <w:r>
              <w:rPr>
                <w:sz w:val="16"/>
              </w:rPr>
              <w:t>risk</w:t>
            </w:r>
            <w:r>
              <w:rPr>
                <w:spacing w:val="-4"/>
                <w:sz w:val="16"/>
              </w:rPr>
              <w:t> </w:t>
            </w:r>
            <w:r>
              <w:rPr>
                <w:sz w:val="16"/>
              </w:rPr>
              <w:t>that</w:t>
            </w:r>
            <w:r>
              <w:rPr>
                <w:spacing w:val="-3"/>
                <w:sz w:val="16"/>
              </w:rPr>
              <w:t> </w:t>
            </w:r>
            <w:r>
              <w:rPr>
                <w:sz w:val="16"/>
              </w:rPr>
              <w:t>objective/output/milestone</w:t>
            </w:r>
            <w:r>
              <w:rPr>
                <w:spacing w:val="-7"/>
                <w:sz w:val="16"/>
              </w:rPr>
              <w:t> </w:t>
            </w:r>
            <w:r>
              <w:rPr>
                <w:sz w:val="16"/>
              </w:rPr>
              <w:t>will</w:t>
            </w:r>
            <w:r>
              <w:rPr>
                <w:spacing w:val="-4"/>
                <w:sz w:val="16"/>
              </w:rPr>
              <w:t> </w:t>
            </w:r>
            <w:r>
              <w:rPr>
                <w:sz w:val="16"/>
              </w:rPr>
              <w:t>not</w:t>
            </w:r>
            <w:r>
              <w:rPr>
                <w:spacing w:val="-3"/>
                <w:sz w:val="16"/>
              </w:rPr>
              <w:t> </w:t>
            </w:r>
            <w:r>
              <w:rPr>
                <w:sz w:val="16"/>
              </w:rPr>
              <w:t>be</w:t>
            </w:r>
            <w:r>
              <w:rPr>
                <w:spacing w:val="-3"/>
                <w:sz w:val="16"/>
              </w:rPr>
              <w:t> </w:t>
            </w:r>
            <w:r>
              <w:rPr>
                <w:sz w:val="16"/>
              </w:rPr>
              <w:t>delivered.</w:t>
            </w:r>
            <w:r>
              <w:rPr>
                <w:spacing w:val="-8"/>
                <w:sz w:val="16"/>
              </w:rPr>
              <w:t> </w:t>
            </w:r>
            <w:r>
              <w:rPr>
                <w:sz w:val="16"/>
              </w:rPr>
              <w:t>Mitigating</w:t>
            </w:r>
            <w:r>
              <w:rPr>
                <w:spacing w:val="-7"/>
                <w:sz w:val="16"/>
              </w:rPr>
              <w:t> </w:t>
            </w:r>
            <w:r>
              <w:rPr>
                <w:sz w:val="16"/>
              </w:rPr>
              <w:t>action</w:t>
            </w:r>
            <w:r>
              <w:rPr>
                <w:spacing w:val="-2"/>
                <w:sz w:val="16"/>
              </w:rPr>
              <w:t> </w:t>
            </w:r>
            <w:r>
              <w:rPr>
                <w:sz w:val="16"/>
              </w:rPr>
              <w:t>is</w:t>
            </w:r>
            <w:r>
              <w:rPr>
                <w:spacing w:val="-3"/>
                <w:sz w:val="16"/>
              </w:rPr>
              <w:t> </w:t>
            </w:r>
            <w:r>
              <w:rPr>
                <w:sz w:val="16"/>
              </w:rPr>
              <w:t>being</w:t>
            </w:r>
            <w:r>
              <w:rPr>
                <w:spacing w:val="-2"/>
                <w:sz w:val="16"/>
              </w:rPr>
              <w:t> taken.</w:t>
            </w:r>
          </w:p>
        </w:tc>
      </w:tr>
      <w:tr>
        <w:trPr>
          <w:trHeight w:val="375" w:hRule="atLeast"/>
        </w:trPr>
        <w:tc>
          <w:tcPr>
            <w:tcW w:w="1861" w:type="dxa"/>
            <w:shd w:val="clear" w:color="auto" w:fill="00AF50"/>
          </w:tcPr>
          <w:p>
            <w:pPr>
              <w:pStyle w:val="TableParagraph"/>
              <w:spacing w:before="90"/>
              <w:ind w:left="87"/>
              <w:rPr>
                <w:b/>
                <w:sz w:val="16"/>
              </w:rPr>
            </w:pPr>
            <w:r>
              <w:rPr>
                <w:b/>
                <w:color w:val="FFFFFF"/>
                <w:spacing w:val="-2"/>
                <w:sz w:val="16"/>
              </w:rPr>
              <w:t>Green</w:t>
            </w:r>
          </w:p>
        </w:tc>
        <w:tc>
          <w:tcPr>
            <w:tcW w:w="13664" w:type="dxa"/>
          </w:tcPr>
          <w:p>
            <w:pPr>
              <w:pStyle w:val="TableParagraph"/>
              <w:spacing w:before="90"/>
              <w:ind w:left="92"/>
              <w:rPr>
                <w:sz w:val="16"/>
              </w:rPr>
            </w:pPr>
            <w:r>
              <w:rPr>
                <w:sz w:val="16"/>
              </w:rPr>
              <w:t>Objective/output/milestone</w:t>
            </w:r>
            <w:r>
              <w:rPr>
                <w:spacing w:val="-4"/>
                <w:sz w:val="16"/>
              </w:rPr>
              <w:t> </w:t>
            </w:r>
            <w:r>
              <w:rPr>
                <w:sz w:val="16"/>
              </w:rPr>
              <w:t>forecast</w:t>
            </w:r>
            <w:r>
              <w:rPr>
                <w:spacing w:val="-4"/>
                <w:sz w:val="16"/>
              </w:rPr>
              <w:t> </w:t>
            </w:r>
            <w:r>
              <w:rPr>
                <w:sz w:val="16"/>
              </w:rPr>
              <w:t>to</w:t>
            </w:r>
            <w:r>
              <w:rPr>
                <w:spacing w:val="-3"/>
                <w:sz w:val="16"/>
              </w:rPr>
              <w:t> </w:t>
            </w:r>
            <w:r>
              <w:rPr>
                <w:sz w:val="16"/>
              </w:rPr>
              <w:t>be</w:t>
            </w:r>
            <w:r>
              <w:rPr>
                <w:spacing w:val="-3"/>
                <w:sz w:val="16"/>
              </w:rPr>
              <w:t> </w:t>
            </w:r>
            <w:r>
              <w:rPr>
                <w:sz w:val="16"/>
              </w:rPr>
              <w:t>on</w:t>
            </w:r>
            <w:r>
              <w:rPr>
                <w:spacing w:val="-4"/>
                <w:sz w:val="16"/>
              </w:rPr>
              <w:t> </w:t>
            </w:r>
            <w:r>
              <w:rPr>
                <w:sz w:val="16"/>
              </w:rPr>
              <w:t>time</w:t>
            </w:r>
            <w:r>
              <w:rPr>
                <w:spacing w:val="-7"/>
                <w:sz w:val="16"/>
              </w:rPr>
              <w:t> </w:t>
            </w:r>
            <w:r>
              <w:rPr>
                <w:sz w:val="16"/>
              </w:rPr>
              <w:t>or</w:t>
            </w:r>
            <w:r>
              <w:rPr>
                <w:spacing w:val="-3"/>
                <w:sz w:val="16"/>
              </w:rPr>
              <w:t> </w:t>
            </w:r>
            <w:r>
              <w:rPr>
                <w:spacing w:val="-2"/>
                <w:sz w:val="16"/>
              </w:rPr>
              <w:t>early.</w:t>
            </w:r>
          </w:p>
        </w:tc>
      </w:tr>
      <w:tr>
        <w:trPr>
          <w:trHeight w:val="370" w:hRule="atLeast"/>
        </w:trPr>
        <w:tc>
          <w:tcPr>
            <w:tcW w:w="1861" w:type="dxa"/>
            <w:shd w:val="clear" w:color="auto" w:fill="006FC0"/>
          </w:tcPr>
          <w:p>
            <w:pPr>
              <w:pStyle w:val="TableParagraph"/>
              <w:spacing w:before="90"/>
              <w:ind w:left="87"/>
              <w:rPr>
                <w:b/>
                <w:sz w:val="16"/>
              </w:rPr>
            </w:pPr>
            <w:r>
              <w:rPr>
                <w:b/>
                <w:color w:val="FFFFFF"/>
                <w:spacing w:val="-4"/>
                <w:sz w:val="16"/>
              </w:rPr>
              <w:t>Blue</w:t>
            </w:r>
          </w:p>
        </w:tc>
        <w:tc>
          <w:tcPr>
            <w:tcW w:w="13664" w:type="dxa"/>
          </w:tcPr>
          <w:p>
            <w:pPr>
              <w:pStyle w:val="TableParagraph"/>
              <w:spacing w:before="90"/>
              <w:ind w:left="92"/>
              <w:rPr>
                <w:sz w:val="16"/>
              </w:rPr>
            </w:pPr>
            <w:r>
              <w:rPr>
                <w:sz w:val="16"/>
              </w:rPr>
              <w:t>Task </w:t>
            </w:r>
            <w:r>
              <w:rPr>
                <w:spacing w:val="-2"/>
                <w:sz w:val="16"/>
              </w:rPr>
              <w:t>complete.</w:t>
            </w:r>
          </w:p>
        </w:tc>
      </w:tr>
    </w:tbl>
    <w:p>
      <w:pPr>
        <w:pStyle w:val="BodyText"/>
        <w:rPr>
          <w:b/>
          <w:sz w:val="22"/>
        </w:rPr>
      </w:pPr>
    </w:p>
    <w:p>
      <w:pPr>
        <w:pStyle w:val="BodyText"/>
        <w:spacing w:before="39"/>
        <w:rPr>
          <w:b/>
          <w:sz w:val="22"/>
        </w:rPr>
      </w:pPr>
    </w:p>
    <w:p>
      <w:pPr>
        <w:spacing w:before="0"/>
        <w:ind w:left="9" w:right="8" w:firstLine="0"/>
        <w:jc w:val="center"/>
        <w:rPr>
          <w:sz w:val="14"/>
        </w:rPr>
      </w:pPr>
      <w:r>
        <w:rPr>
          <w:color w:val="1F4E79"/>
          <w:sz w:val="14"/>
        </w:rPr>
        <w:t>Hywel</w:t>
      </w:r>
      <w:r>
        <w:rPr>
          <w:color w:val="1F4E79"/>
          <w:spacing w:val="-5"/>
          <w:sz w:val="14"/>
        </w:rPr>
        <w:t> </w:t>
      </w:r>
      <w:r>
        <w:rPr>
          <w:color w:val="1F4E79"/>
          <w:sz w:val="14"/>
        </w:rPr>
        <w:t>Dda</w:t>
      </w:r>
      <w:r>
        <w:rPr>
          <w:color w:val="1F4E79"/>
          <w:spacing w:val="-2"/>
          <w:sz w:val="14"/>
        </w:rPr>
        <w:t> </w:t>
      </w:r>
      <w:r>
        <w:rPr>
          <w:color w:val="1F4E79"/>
          <w:sz w:val="14"/>
        </w:rPr>
        <w:t>/</w:t>
      </w:r>
      <w:r>
        <w:rPr>
          <w:color w:val="1F4E79"/>
          <w:spacing w:val="-6"/>
          <w:sz w:val="14"/>
        </w:rPr>
        <w:t> </w:t>
      </w:r>
      <w:r>
        <w:rPr>
          <w:color w:val="1F4E79"/>
          <w:sz w:val="14"/>
        </w:rPr>
        <w:t>Swansea</w:t>
      </w:r>
      <w:r>
        <w:rPr>
          <w:color w:val="1F4E79"/>
          <w:spacing w:val="-5"/>
          <w:sz w:val="14"/>
        </w:rPr>
        <w:t> </w:t>
      </w:r>
      <w:r>
        <w:rPr>
          <w:color w:val="1F4E79"/>
          <w:sz w:val="14"/>
        </w:rPr>
        <w:t>Bay</w:t>
      </w:r>
      <w:r>
        <w:rPr>
          <w:color w:val="1F4E79"/>
          <w:spacing w:val="-3"/>
          <w:sz w:val="14"/>
        </w:rPr>
        <w:t> </w:t>
      </w:r>
      <w:r>
        <w:rPr>
          <w:color w:val="1F4E79"/>
          <w:sz w:val="14"/>
        </w:rPr>
        <w:t>University</w:t>
      </w:r>
      <w:r>
        <w:rPr>
          <w:color w:val="1F4E79"/>
          <w:spacing w:val="-3"/>
          <w:sz w:val="14"/>
        </w:rPr>
        <w:t> </w:t>
      </w:r>
      <w:r>
        <w:rPr>
          <w:color w:val="1F4E79"/>
          <w:sz w:val="14"/>
        </w:rPr>
        <w:t>Health</w:t>
      </w:r>
      <w:r>
        <w:rPr>
          <w:color w:val="1F4E79"/>
          <w:spacing w:val="-2"/>
          <w:sz w:val="14"/>
        </w:rPr>
        <w:t> </w:t>
      </w:r>
      <w:r>
        <w:rPr>
          <w:color w:val="1F4E79"/>
          <w:sz w:val="14"/>
        </w:rPr>
        <w:t>Boards</w:t>
      </w:r>
      <w:r>
        <w:rPr>
          <w:color w:val="1F4E79"/>
          <w:spacing w:val="-2"/>
          <w:sz w:val="14"/>
        </w:rPr>
        <w:t> </w:t>
      </w:r>
      <w:r>
        <w:rPr>
          <w:color w:val="1F4E79"/>
          <w:sz w:val="14"/>
        </w:rPr>
        <w:t>|</w:t>
      </w:r>
      <w:r>
        <w:rPr>
          <w:color w:val="1F4E79"/>
          <w:spacing w:val="-9"/>
          <w:sz w:val="14"/>
        </w:rPr>
        <w:t> </w:t>
      </w:r>
      <w:r>
        <w:rPr>
          <w:color w:val="1F4E79"/>
          <w:sz w:val="14"/>
        </w:rPr>
        <w:t>Byrddau</w:t>
      </w:r>
      <w:r>
        <w:rPr>
          <w:color w:val="1F4E79"/>
          <w:spacing w:val="-2"/>
          <w:sz w:val="14"/>
        </w:rPr>
        <w:t> </w:t>
      </w:r>
      <w:r>
        <w:rPr>
          <w:color w:val="1F4E79"/>
          <w:sz w:val="14"/>
        </w:rPr>
        <w:t>Iechyd</w:t>
      </w:r>
      <w:r>
        <w:rPr>
          <w:color w:val="1F4E79"/>
          <w:spacing w:val="-2"/>
          <w:sz w:val="14"/>
        </w:rPr>
        <w:t> </w:t>
      </w:r>
      <w:r>
        <w:rPr>
          <w:color w:val="1F4E79"/>
          <w:sz w:val="14"/>
        </w:rPr>
        <w:t>Prifysgol</w:t>
      </w:r>
      <w:r>
        <w:rPr>
          <w:color w:val="1F4E79"/>
          <w:spacing w:val="-4"/>
          <w:sz w:val="14"/>
        </w:rPr>
        <w:t> </w:t>
      </w:r>
      <w:r>
        <w:rPr>
          <w:color w:val="1F4E79"/>
          <w:sz w:val="14"/>
        </w:rPr>
        <w:t>Hywel</w:t>
      </w:r>
      <w:r>
        <w:rPr>
          <w:color w:val="1F4E79"/>
          <w:spacing w:val="-5"/>
          <w:sz w:val="14"/>
        </w:rPr>
        <w:t> </w:t>
      </w:r>
      <w:r>
        <w:rPr>
          <w:color w:val="1F4E79"/>
          <w:sz w:val="14"/>
        </w:rPr>
        <w:t>Dda</w:t>
      </w:r>
      <w:r>
        <w:rPr>
          <w:color w:val="1F4E79"/>
          <w:spacing w:val="-1"/>
          <w:sz w:val="14"/>
        </w:rPr>
        <w:t> </w:t>
      </w:r>
      <w:r>
        <w:rPr>
          <w:color w:val="1F4E79"/>
          <w:sz w:val="14"/>
        </w:rPr>
        <w:t>/</w:t>
      </w:r>
      <w:r>
        <w:rPr>
          <w:color w:val="1F4E79"/>
          <w:spacing w:val="-7"/>
          <w:sz w:val="14"/>
        </w:rPr>
        <w:t> </w:t>
      </w:r>
      <w:r>
        <w:rPr>
          <w:color w:val="1F4E79"/>
          <w:sz w:val="14"/>
        </w:rPr>
        <w:t>Bae</w:t>
      </w:r>
      <w:r>
        <w:rPr>
          <w:color w:val="1F4E79"/>
          <w:spacing w:val="-1"/>
          <w:sz w:val="14"/>
        </w:rPr>
        <w:t> </w:t>
      </w:r>
      <w:r>
        <w:rPr>
          <w:color w:val="1F4E79"/>
          <w:spacing w:val="-2"/>
          <w:sz w:val="14"/>
        </w:rPr>
        <w:t>Abertawe</w:t>
      </w:r>
    </w:p>
    <w:p>
      <w:pPr>
        <w:spacing w:after="0"/>
        <w:jc w:val="center"/>
        <w:rPr>
          <w:sz w:val="14"/>
        </w:rPr>
        <w:sectPr>
          <w:pgSz w:w="16840" w:h="11910" w:orient="landscape"/>
          <w:pgMar w:header="0" w:footer="198" w:top="880" w:bottom="380" w:left="566" w:right="566"/>
        </w:sectPr>
      </w:pPr>
    </w:p>
    <w:p>
      <w:pPr>
        <w:spacing w:before="64"/>
        <w:ind w:left="83" w:right="0" w:firstLine="0"/>
        <w:jc w:val="left"/>
        <w:rPr>
          <w:b/>
          <w:sz w:val="22"/>
        </w:rPr>
      </w:pPr>
      <w:r>
        <w:rPr>
          <w:b/>
          <w:color w:val="1F4E79"/>
          <w:sz w:val="22"/>
        </w:rPr>
        <w:t>Risk</w:t>
      </w:r>
      <w:r>
        <w:rPr>
          <w:b/>
          <w:color w:val="1F4E79"/>
          <w:spacing w:val="1"/>
          <w:sz w:val="22"/>
        </w:rPr>
        <w:t> </w:t>
      </w:r>
      <w:r>
        <w:rPr>
          <w:b/>
          <w:color w:val="1F4E79"/>
          <w:sz w:val="22"/>
        </w:rPr>
        <w:t>RAG</w:t>
      </w:r>
      <w:r>
        <w:rPr>
          <w:b/>
          <w:color w:val="1F4E79"/>
          <w:spacing w:val="-3"/>
          <w:sz w:val="22"/>
        </w:rPr>
        <w:t> </w:t>
      </w:r>
      <w:r>
        <w:rPr>
          <w:b/>
          <w:color w:val="1F4E79"/>
          <w:spacing w:val="-2"/>
          <w:sz w:val="22"/>
        </w:rPr>
        <w:t>Definitions</w:t>
      </w:r>
    </w:p>
    <w:p>
      <w:pPr>
        <w:pStyle w:val="BodyText"/>
        <w:spacing w:before="3"/>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861"/>
        <w:gridCol w:w="13664"/>
      </w:tblGrid>
      <w:tr>
        <w:trPr>
          <w:trHeight w:val="374" w:hRule="atLeast"/>
        </w:trPr>
        <w:tc>
          <w:tcPr>
            <w:tcW w:w="1861" w:type="dxa"/>
            <w:shd w:val="clear" w:color="auto" w:fill="1F4E79"/>
          </w:tcPr>
          <w:p>
            <w:pPr>
              <w:pStyle w:val="TableParagraph"/>
              <w:spacing w:before="90"/>
              <w:ind w:left="87"/>
              <w:rPr>
                <w:b/>
                <w:sz w:val="16"/>
              </w:rPr>
            </w:pPr>
            <w:r>
              <w:rPr>
                <w:b/>
                <w:color w:val="FFFFFF"/>
                <w:spacing w:val="-5"/>
                <w:sz w:val="16"/>
              </w:rPr>
              <w:t>RAG</w:t>
            </w:r>
          </w:p>
        </w:tc>
        <w:tc>
          <w:tcPr>
            <w:tcW w:w="13664" w:type="dxa"/>
            <w:shd w:val="clear" w:color="auto" w:fill="1F4E79"/>
          </w:tcPr>
          <w:p>
            <w:pPr>
              <w:pStyle w:val="TableParagraph"/>
              <w:spacing w:before="90"/>
              <w:ind w:left="92"/>
              <w:rPr>
                <w:b/>
                <w:sz w:val="16"/>
              </w:rPr>
            </w:pPr>
            <w:r>
              <w:rPr>
                <w:b/>
                <w:color w:val="FFFFFF"/>
                <w:spacing w:val="-2"/>
                <w:sz w:val="16"/>
              </w:rPr>
              <w:t>Definition</w:t>
            </w:r>
          </w:p>
        </w:tc>
      </w:tr>
      <w:tr>
        <w:trPr>
          <w:trHeight w:val="375" w:hRule="atLeast"/>
        </w:trPr>
        <w:tc>
          <w:tcPr>
            <w:tcW w:w="1861" w:type="dxa"/>
            <w:shd w:val="clear" w:color="auto" w:fill="C00000"/>
          </w:tcPr>
          <w:p>
            <w:pPr>
              <w:pStyle w:val="TableParagraph"/>
              <w:spacing w:before="90"/>
              <w:ind w:left="87"/>
              <w:rPr>
                <w:b/>
                <w:sz w:val="16"/>
              </w:rPr>
            </w:pPr>
            <w:r>
              <w:rPr>
                <w:b/>
                <w:color w:val="FFFFFF"/>
                <w:spacing w:val="-5"/>
                <w:sz w:val="16"/>
              </w:rPr>
              <w:t>Red</w:t>
            </w:r>
          </w:p>
        </w:tc>
        <w:tc>
          <w:tcPr>
            <w:tcW w:w="13664" w:type="dxa"/>
          </w:tcPr>
          <w:p>
            <w:pPr>
              <w:pStyle w:val="TableParagraph"/>
              <w:spacing w:before="90"/>
              <w:ind w:left="92"/>
              <w:rPr>
                <w:sz w:val="16"/>
              </w:rPr>
            </w:pPr>
            <w:r>
              <w:rPr>
                <w:sz w:val="16"/>
              </w:rPr>
              <w:t>High</w:t>
            </w:r>
            <w:r>
              <w:rPr>
                <w:spacing w:val="-3"/>
                <w:sz w:val="16"/>
              </w:rPr>
              <w:t> </w:t>
            </w:r>
            <w:r>
              <w:rPr>
                <w:sz w:val="16"/>
              </w:rPr>
              <w:t>likelihood</w:t>
            </w:r>
            <w:r>
              <w:rPr>
                <w:spacing w:val="-2"/>
                <w:sz w:val="16"/>
              </w:rPr>
              <w:t> </w:t>
            </w:r>
            <w:r>
              <w:rPr>
                <w:sz w:val="16"/>
              </w:rPr>
              <w:t>and/or</w:t>
            </w:r>
            <w:r>
              <w:rPr>
                <w:spacing w:val="-6"/>
                <w:sz w:val="16"/>
              </w:rPr>
              <w:t> </w:t>
            </w:r>
            <w:r>
              <w:rPr>
                <w:sz w:val="16"/>
              </w:rPr>
              <w:t>high</w:t>
            </w:r>
            <w:r>
              <w:rPr>
                <w:spacing w:val="-2"/>
                <w:sz w:val="16"/>
              </w:rPr>
              <w:t> </w:t>
            </w:r>
            <w:r>
              <w:rPr>
                <w:sz w:val="16"/>
              </w:rPr>
              <w:t>impact</w:t>
            </w:r>
            <w:r>
              <w:rPr>
                <w:spacing w:val="-3"/>
                <w:sz w:val="16"/>
              </w:rPr>
              <w:t> </w:t>
            </w:r>
            <w:r>
              <w:rPr>
                <w:sz w:val="16"/>
              </w:rPr>
              <w:t>risk</w:t>
            </w:r>
            <w:r>
              <w:rPr>
                <w:spacing w:val="-8"/>
                <w:sz w:val="16"/>
              </w:rPr>
              <w:t> </w:t>
            </w:r>
            <w:r>
              <w:rPr>
                <w:sz w:val="16"/>
              </w:rPr>
              <w:t>requiring</w:t>
            </w:r>
            <w:r>
              <w:rPr>
                <w:spacing w:val="-3"/>
                <w:sz w:val="16"/>
              </w:rPr>
              <w:t> </w:t>
            </w:r>
            <w:r>
              <w:rPr>
                <w:sz w:val="16"/>
              </w:rPr>
              <w:t>active</w:t>
            </w:r>
            <w:r>
              <w:rPr>
                <w:spacing w:val="-6"/>
                <w:sz w:val="16"/>
              </w:rPr>
              <w:t> </w:t>
            </w:r>
            <w:r>
              <w:rPr>
                <w:spacing w:val="-2"/>
                <w:sz w:val="16"/>
              </w:rPr>
              <w:t>management.</w:t>
            </w:r>
          </w:p>
        </w:tc>
      </w:tr>
      <w:tr>
        <w:trPr>
          <w:trHeight w:val="370" w:hRule="atLeast"/>
        </w:trPr>
        <w:tc>
          <w:tcPr>
            <w:tcW w:w="1861" w:type="dxa"/>
            <w:shd w:val="clear" w:color="auto" w:fill="FFC000"/>
          </w:tcPr>
          <w:p>
            <w:pPr>
              <w:pStyle w:val="TableParagraph"/>
              <w:spacing w:before="90"/>
              <w:ind w:left="87"/>
              <w:rPr>
                <w:b/>
                <w:sz w:val="16"/>
              </w:rPr>
            </w:pPr>
            <w:r>
              <w:rPr>
                <w:b/>
                <w:spacing w:val="-4"/>
                <w:sz w:val="16"/>
              </w:rPr>
              <w:t>Amber</w:t>
            </w:r>
          </w:p>
        </w:tc>
        <w:tc>
          <w:tcPr>
            <w:tcW w:w="13664" w:type="dxa"/>
          </w:tcPr>
          <w:p>
            <w:pPr>
              <w:pStyle w:val="TableParagraph"/>
              <w:spacing w:before="90"/>
              <w:ind w:left="92"/>
              <w:rPr>
                <w:sz w:val="16"/>
              </w:rPr>
            </w:pPr>
            <w:r>
              <w:rPr>
                <w:sz w:val="16"/>
              </w:rPr>
              <w:t>Moderate</w:t>
            </w:r>
            <w:r>
              <w:rPr>
                <w:spacing w:val="-2"/>
                <w:sz w:val="16"/>
              </w:rPr>
              <w:t> </w:t>
            </w:r>
            <w:r>
              <w:rPr>
                <w:sz w:val="16"/>
              </w:rPr>
              <w:t>risk</w:t>
            </w:r>
            <w:r>
              <w:rPr>
                <w:spacing w:val="-8"/>
                <w:sz w:val="16"/>
              </w:rPr>
              <w:t> </w:t>
            </w:r>
            <w:r>
              <w:rPr>
                <w:sz w:val="16"/>
              </w:rPr>
              <w:t>requiring</w:t>
            </w:r>
            <w:r>
              <w:rPr>
                <w:spacing w:val="-2"/>
                <w:sz w:val="16"/>
              </w:rPr>
              <w:t> </w:t>
            </w:r>
            <w:r>
              <w:rPr>
                <w:sz w:val="16"/>
              </w:rPr>
              <w:t>monitoring</w:t>
            </w:r>
            <w:r>
              <w:rPr>
                <w:spacing w:val="-6"/>
                <w:sz w:val="16"/>
              </w:rPr>
              <w:t> </w:t>
            </w:r>
            <w:r>
              <w:rPr>
                <w:sz w:val="16"/>
              </w:rPr>
              <w:t>and</w:t>
            </w:r>
            <w:r>
              <w:rPr>
                <w:spacing w:val="-6"/>
                <w:sz w:val="16"/>
              </w:rPr>
              <w:t> </w:t>
            </w:r>
            <w:r>
              <w:rPr>
                <w:spacing w:val="-2"/>
                <w:sz w:val="16"/>
              </w:rPr>
              <w:t>mitigation.</w:t>
            </w:r>
          </w:p>
        </w:tc>
      </w:tr>
      <w:tr>
        <w:trPr>
          <w:trHeight w:val="375" w:hRule="atLeast"/>
        </w:trPr>
        <w:tc>
          <w:tcPr>
            <w:tcW w:w="1861" w:type="dxa"/>
            <w:shd w:val="clear" w:color="auto" w:fill="00AF50"/>
          </w:tcPr>
          <w:p>
            <w:pPr>
              <w:pStyle w:val="TableParagraph"/>
              <w:spacing w:before="90"/>
              <w:ind w:left="87"/>
              <w:rPr>
                <w:b/>
                <w:sz w:val="16"/>
              </w:rPr>
            </w:pPr>
            <w:r>
              <w:rPr>
                <w:b/>
                <w:color w:val="FFFFFF"/>
                <w:spacing w:val="-2"/>
                <w:sz w:val="16"/>
              </w:rPr>
              <w:t>Green</w:t>
            </w:r>
          </w:p>
        </w:tc>
        <w:tc>
          <w:tcPr>
            <w:tcW w:w="13664" w:type="dxa"/>
          </w:tcPr>
          <w:p>
            <w:pPr>
              <w:pStyle w:val="TableParagraph"/>
              <w:spacing w:before="90"/>
              <w:ind w:left="92"/>
              <w:rPr>
                <w:sz w:val="16"/>
              </w:rPr>
            </w:pPr>
            <w:r>
              <w:rPr>
                <w:sz w:val="16"/>
              </w:rPr>
              <w:t>Low</w:t>
            </w:r>
            <w:r>
              <w:rPr>
                <w:spacing w:val="-3"/>
                <w:sz w:val="16"/>
              </w:rPr>
              <w:t> </w:t>
            </w:r>
            <w:r>
              <w:rPr>
                <w:sz w:val="16"/>
              </w:rPr>
              <w:t>risk</w:t>
            </w:r>
            <w:r>
              <w:rPr>
                <w:spacing w:val="-2"/>
                <w:sz w:val="16"/>
              </w:rPr>
              <w:t> </w:t>
            </w:r>
            <w:r>
              <w:rPr>
                <w:sz w:val="16"/>
              </w:rPr>
              <w:t>with</w:t>
            </w:r>
            <w:r>
              <w:rPr>
                <w:spacing w:val="-1"/>
                <w:sz w:val="16"/>
              </w:rPr>
              <w:t> </w:t>
            </w:r>
            <w:r>
              <w:rPr>
                <w:sz w:val="16"/>
              </w:rPr>
              <w:t>routine</w:t>
            </w:r>
            <w:r>
              <w:rPr>
                <w:spacing w:val="-5"/>
                <w:sz w:val="16"/>
              </w:rPr>
              <w:t> </w:t>
            </w:r>
            <w:r>
              <w:rPr>
                <w:spacing w:val="-2"/>
                <w:sz w:val="16"/>
              </w:rPr>
              <w:t>monitoring.</w:t>
            </w:r>
          </w:p>
        </w:tc>
      </w:tr>
    </w:tbl>
    <w:p>
      <w:pPr>
        <w:spacing w:before="160"/>
        <w:ind w:left="83" w:right="0" w:firstLine="0"/>
        <w:jc w:val="left"/>
        <w:rPr>
          <w:b/>
          <w:sz w:val="22"/>
        </w:rPr>
      </w:pPr>
      <w:r>
        <w:rPr>
          <w:b/>
          <w:color w:val="1F4E79"/>
          <w:sz w:val="22"/>
        </w:rPr>
        <w:t>Risk</w:t>
      </w:r>
      <w:r>
        <w:rPr>
          <w:b/>
          <w:color w:val="1F4E79"/>
          <w:spacing w:val="-1"/>
          <w:sz w:val="22"/>
        </w:rPr>
        <w:t> </w:t>
      </w:r>
      <w:r>
        <w:rPr>
          <w:b/>
          <w:color w:val="1F4E79"/>
          <w:sz w:val="22"/>
        </w:rPr>
        <w:t>Scoring</w:t>
      </w:r>
      <w:r>
        <w:rPr>
          <w:b/>
          <w:color w:val="1F4E79"/>
          <w:spacing w:val="-1"/>
          <w:sz w:val="22"/>
        </w:rPr>
        <w:t> </w:t>
      </w:r>
      <w:r>
        <w:rPr>
          <w:b/>
          <w:color w:val="1F4E79"/>
          <w:spacing w:val="-2"/>
          <w:sz w:val="22"/>
        </w:rPr>
        <w:t>Matrix</w:t>
      </w:r>
    </w:p>
    <w:p>
      <w:pPr>
        <w:pStyle w:val="BodyText"/>
        <w:spacing w:before="4"/>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2586"/>
        <w:gridCol w:w="2586"/>
        <w:gridCol w:w="2591"/>
        <w:gridCol w:w="2585"/>
        <w:gridCol w:w="2591"/>
        <w:gridCol w:w="2586"/>
      </w:tblGrid>
      <w:tr>
        <w:trPr>
          <w:trHeight w:val="360" w:hRule="atLeast"/>
        </w:trPr>
        <w:tc>
          <w:tcPr>
            <w:tcW w:w="2586" w:type="dxa"/>
            <w:shd w:val="clear" w:color="auto" w:fill="1F4E79"/>
          </w:tcPr>
          <w:p>
            <w:pPr>
              <w:pStyle w:val="TableParagraph"/>
              <w:spacing w:before="89"/>
              <w:ind w:left="87"/>
              <w:rPr>
                <w:b/>
                <w:sz w:val="15"/>
              </w:rPr>
            </w:pPr>
            <w:r>
              <w:rPr>
                <w:b/>
                <w:color w:val="FFFFFF"/>
                <w:sz w:val="15"/>
              </w:rPr>
              <w:t>Likelihood</w:t>
            </w:r>
            <w:r>
              <w:rPr>
                <w:b/>
                <w:color w:val="FFFFFF"/>
                <w:spacing w:val="-3"/>
                <w:sz w:val="15"/>
              </w:rPr>
              <w:t> </w:t>
            </w:r>
            <w:r>
              <w:rPr>
                <w:b/>
                <w:color w:val="FFFFFF"/>
                <w:sz w:val="15"/>
              </w:rPr>
              <w:t>/</w:t>
            </w:r>
            <w:r>
              <w:rPr>
                <w:b/>
                <w:color w:val="FFFFFF"/>
                <w:spacing w:val="-7"/>
                <w:sz w:val="15"/>
              </w:rPr>
              <w:t> </w:t>
            </w:r>
            <w:r>
              <w:rPr>
                <w:b/>
                <w:color w:val="FFFFFF"/>
                <w:spacing w:val="-2"/>
                <w:sz w:val="15"/>
              </w:rPr>
              <w:t>Impact</w:t>
            </w:r>
          </w:p>
        </w:tc>
        <w:tc>
          <w:tcPr>
            <w:tcW w:w="2586" w:type="dxa"/>
            <w:shd w:val="clear" w:color="auto" w:fill="1F4E79"/>
          </w:tcPr>
          <w:p>
            <w:pPr>
              <w:pStyle w:val="TableParagraph"/>
              <w:spacing w:before="89"/>
              <w:ind w:left="92"/>
              <w:rPr>
                <w:b/>
                <w:sz w:val="15"/>
              </w:rPr>
            </w:pPr>
            <w:r>
              <w:rPr>
                <w:b/>
                <w:color w:val="FFFFFF"/>
                <w:spacing w:val="-10"/>
                <w:sz w:val="15"/>
              </w:rPr>
              <w:t>1</w:t>
            </w:r>
          </w:p>
        </w:tc>
        <w:tc>
          <w:tcPr>
            <w:tcW w:w="2591" w:type="dxa"/>
            <w:shd w:val="clear" w:color="auto" w:fill="1F4E79"/>
          </w:tcPr>
          <w:p>
            <w:pPr>
              <w:pStyle w:val="TableParagraph"/>
              <w:spacing w:before="89"/>
              <w:ind w:left="92"/>
              <w:rPr>
                <w:b/>
                <w:sz w:val="15"/>
              </w:rPr>
            </w:pPr>
            <w:r>
              <w:rPr>
                <w:b/>
                <w:color w:val="FFFFFF"/>
                <w:spacing w:val="-10"/>
                <w:sz w:val="15"/>
              </w:rPr>
              <w:t>2</w:t>
            </w:r>
          </w:p>
        </w:tc>
        <w:tc>
          <w:tcPr>
            <w:tcW w:w="2585" w:type="dxa"/>
            <w:shd w:val="clear" w:color="auto" w:fill="1F4E79"/>
          </w:tcPr>
          <w:p>
            <w:pPr>
              <w:pStyle w:val="TableParagraph"/>
              <w:spacing w:before="89"/>
              <w:ind w:left="87"/>
              <w:rPr>
                <w:b/>
                <w:sz w:val="15"/>
              </w:rPr>
            </w:pPr>
            <w:r>
              <w:rPr>
                <w:b/>
                <w:color w:val="FFFFFF"/>
                <w:spacing w:val="-10"/>
                <w:sz w:val="15"/>
              </w:rPr>
              <w:t>3</w:t>
            </w:r>
          </w:p>
        </w:tc>
        <w:tc>
          <w:tcPr>
            <w:tcW w:w="2591" w:type="dxa"/>
            <w:shd w:val="clear" w:color="auto" w:fill="1F4E79"/>
          </w:tcPr>
          <w:p>
            <w:pPr>
              <w:pStyle w:val="TableParagraph"/>
              <w:spacing w:before="89"/>
              <w:ind w:left="92"/>
              <w:rPr>
                <w:b/>
                <w:sz w:val="15"/>
              </w:rPr>
            </w:pPr>
            <w:r>
              <w:rPr>
                <w:b/>
                <w:color w:val="FFFFFF"/>
                <w:spacing w:val="-10"/>
                <w:sz w:val="15"/>
              </w:rPr>
              <w:t>4</w:t>
            </w:r>
          </w:p>
        </w:tc>
        <w:tc>
          <w:tcPr>
            <w:tcW w:w="2586" w:type="dxa"/>
            <w:shd w:val="clear" w:color="auto" w:fill="1F4E79"/>
          </w:tcPr>
          <w:p>
            <w:pPr>
              <w:pStyle w:val="TableParagraph"/>
              <w:spacing w:before="89"/>
              <w:ind w:left="87"/>
              <w:rPr>
                <w:b/>
                <w:sz w:val="15"/>
              </w:rPr>
            </w:pPr>
            <w:r>
              <w:rPr>
                <w:b/>
                <w:color w:val="FFFFFF"/>
                <w:spacing w:val="-10"/>
                <w:sz w:val="15"/>
              </w:rPr>
              <w:t>5</w:t>
            </w:r>
          </w:p>
        </w:tc>
      </w:tr>
      <w:tr>
        <w:trPr>
          <w:trHeight w:val="360" w:hRule="atLeast"/>
        </w:trPr>
        <w:tc>
          <w:tcPr>
            <w:tcW w:w="2586" w:type="dxa"/>
            <w:shd w:val="clear" w:color="auto" w:fill="D9EAF7"/>
          </w:tcPr>
          <w:p>
            <w:pPr>
              <w:pStyle w:val="TableParagraph"/>
              <w:spacing w:before="89"/>
              <w:ind w:left="87"/>
              <w:rPr>
                <w:b/>
                <w:sz w:val="15"/>
              </w:rPr>
            </w:pPr>
            <w:r>
              <w:rPr>
                <w:b/>
                <w:sz w:val="15"/>
              </w:rPr>
              <w:t>Almost</w:t>
            </w:r>
            <w:r>
              <w:rPr>
                <w:b/>
                <w:spacing w:val="-2"/>
                <w:sz w:val="15"/>
              </w:rPr>
              <w:t> </w:t>
            </w:r>
            <w:r>
              <w:rPr>
                <w:b/>
                <w:sz w:val="15"/>
              </w:rPr>
              <w:t>Certain</w:t>
            </w:r>
            <w:r>
              <w:rPr>
                <w:b/>
                <w:spacing w:val="-4"/>
                <w:sz w:val="15"/>
              </w:rPr>
              <w:t> </w:t>
            </w:r>
            <w:r>
              <w:rPr>
                <w:b/>
                <w:spacing w:val="-5"/>
                <w:sz w:val="15"/>
              </w:rPr>
              <w:t>(5)</w:t>
            </w:r>
          </w:p>
        </w:tc>
        <w:tc>
          <w:tcPr>
            <w:tcW w:w="2586" w:type="dxa"/>
          </w:tcPr>
          <w:p>
            <w:pPr>
              <w:pStyle w:val="TableParagraph"/>
              <w:spacing w:before="89"/>
              <w:ind w:left="92"/>
              <w:rPr>
                <w:sz w:val="15"/>
              </w:rPr>
            </w:pPr>
            <w:r>
              <w:rPr>
                <w:spacing w:val="-10"/>
                <w:sz w:val="15"/>
              </w:rPr>
              <w:t>5</w:t>
            </w:r>
          </w:p>
        </w:tc>
        <w:tc>
          <w:tcPr>
            <w:tcW w:w="2591" w:type="dxa"/>
          </w:tcPr>
          <w:p>
            <w:pPr>
              <w:pStyle w:val="TableParagraph"/>
              <w:spacing w:before="89"/>
              <w:ind w:left="92"/>
              <w:rPr>
                <w:sz w:val="15"/>
              </w:rPr>
            </w:pPr>
            <w:r>
              <w:rPr>
                <w:spacing w:val="-5"/>
                <w:sz w:val="15"/>
              </w:rPr>
              <w:t>10</w:t>
            </w:r>
          </w:p>
        </w:tc>
        <w:tc>
          <w:tcPr>
            <w:tcW w:w="2585" w:type="dxa"/>
          </w:tcPr>
          <w:p>
            <w:pPr>
              <w:pStyle w:val="TableParagraph"/>
              <w:spacing w:before="89"/>
              <w:ind w:left="87"/>
              <w:rPr>
                <w:sz w:val="15"/>
              </w:rPr>
            </w:pPr>
            <w:r>
              <w:rPr>
                <w:spacing w:val="-5"/>
                <w:sz w:val="15"/>
              </w:rPr>
              <w:t>15</w:t>
            </w:r>
          </w:p>
        </w:tc>
        <w:tc>
          <w:tcPr>
            <w:tcW w:w="2591" w:type="dxa"/>
          </w:tcPr>
          <w:p>
            <w:pPr>
              <w:pStyle w:val="TableParagraph"/>
              <w:spacing w:before="89"/>
              <w:ind w:left="92"/>
              <w:rPr>
                <w:sz w:val="15"/>
              </w:rPr>
            </w:pPr>
            <w:r>
              <w:rPr>
                <w:spacing w:val="-5"/>
                <w:sz w:val="15"/>
              </w:rPr>
              <w:t>20</w:t>
            </w:r>
          </w:p>
        </w:tc>
        <w:tc>
          <w:tcPr>
            <w:tcW w:w="2586" w:type="dxa"/>
          </w:tcPr>
          <w:p>
            <w:pPr>
              <w:pStyle w:val="TableParagraph"/>
              <w:spacing w:before="89"/>
              <w:ind w:left="87"/>
              <w:rPr>
                <w:sz w:val="15"/>
              </w:rPr>
            </w:pPr>
            <w:r>
              <w:rPr>
                <w:spacing w:val="-5"/>
                <w:sz w:val="15"/>
              </w:rPr>
              <w:t>25</w:t>
            </w:r>
          </w:p>
        </w:tc>
      </w:tr>
      <w:tr>
        <w:trPr>
          <w:trHeight w:val="365" w:hRule="atLeast"/>
        </w:trPr>
        <w:tc>
          <w:tcPr>
            <w:tcW w:w="2586" w:type="dxa"/>
            <w:shd w:val="clear" w:color="auto" w:fill="D9EAF7"/>
          </w:tcPr>
          <w:p>
            <w:pPr>
              <w:pStyle w:val="TableParagraph"/>
              <w:spacing w:before="89"/>
              <w:ind w:left="87"/>
              <w:rPr>
                <w:b/>
                <w:sz w:val="15"/>
              </w:rPr>
            </w:pPr>
            <w:r>
              <w:rPr>
                <w:b/>
                <w:sz w:val="15"/>
              </w:rPr>
              <w:t>Likely</w:t>
            </w:r>
            <w:r>
              <w:rPr>
                <w:b/>
                <w:spacing w:val="-10"/>
                <w:sz w:val="15"/>
              </w:rPr>
              <w:t> </w:t>
            </w:r>
            <w:r>
              <w:rPr>
                <w:b/>
                <w:spacing w:val="-5"/>
                <w:sz w:val="15"/>
              </w:rPr>
              <w:t>(4)</w:t>
            </w:r>
          </w:p>
        </w:tc>
        <w:tc>
          <w:tcPr>
            <w:tcW w:w="2586" w:type="dxa"/>
          </w:tcPr>
          <w:p>
            <w:pPr>
              <w:pStyle w:val="TableParagraph"/>
              <w:spacing w:before="89"/>
              <w:ind w:left="92"/>
              <w:rPr>
                <w:sz w:val="15"/>
              </w:rPr>
            </w:pPr>
            <w:r>
              <w:rPr>
                <w:spacing w:val="-10"/>
                <w:sz w:val="15"/>
              </w:rPr>
              <w:t>4</w:t>
            </w:r>
          </w:p>
        </w:tc>
        <w:tc>
          <w:tcPr>
            <w:tcW w:w="2591" w:type="dxa"/>
          </w:tcPr>
          <w:p>
            <w:pPr>
              <w:pStyle w:val="TableParagraph"/>
              <w:spacing w:before="89"/>
              <w:ind w:left="92"/>
              <w:rPr>
                <w:sz w:val="15"/>
              </w:rPr>
            </w:pPr>
            <w:r>
              <w:rPr>
                <w:spacing w:val="-10"/>
                <w:sz w:val="15"/>
              </w:rPr>
              <w:t>8</w:t>
            </w:r>
          </w:p>
        </w:tc>
        <w:tc>
          <w:tcPr>
            <w:tcW w:w="2585" w:type="dxa"/>
          </w:tcPr>
          <w:p>
            <w:pPr>
              <w:pStyle w:val="TableParagraph"/>
              <w:spacing w:before="89"/>
              <w:ind w:left="87"/>
              <w:rPr>
                <w:sz w:val="15"/>
              </w:rPr>
            </w:pPr>
            <w:r>
              <w:rPr>
                <w:spacing w:val="-5"/>
                <w:sz w:val="15"/>
              </w:rPr>
              <w:t>12</w:t>
            </w:r>
          </w:p>
        </w:tc>
        <w:tc>
          <w:tcPr>
            <w:tcW w:w="2591" w:type="dxa"/>
          </w:tcPr>
          <w:p>
            <w:pPr>
              <w:pStyle w:val="TableParagraph"/>
              <w:spacing w:before="89"/>
              <w:ind w:left="92"/>
              <w:rPr>
                <w:sz w:val="15"/>
              </w:rPr>
            </w:pPr>
            <w:r>
              <w:rPr>
                <w:spacing w:val="-5"/>
                <w:sz w:val="15"/>
              </w:rPr>
              <w:t>16</w:t>
            </w:r>
          </w:p>
        </w:tc>
        <w:tc>
          <w:tcPr>
            <w:tcW w:w="2586" w:type="dxa"/>
          </w:tcPr>
          <w:p>
            <w:pPr>
              <w:pStyle w:val="TableParagraph"/>
              <w:spacing w:before="89"/>
              <w:ind w:left="87"/>
              <w:rPr>
                <w:sz w:val="15"/>
              </w:rPr>
            </w:pPr>
            <w:r>
              <w:rPr>
                <w:spacing w:val="-5"/>
                <w:sz w:val="15"/>
              </w:rPr>
              <w:t>20</w:t>
            </w:r>
          </w:p>
        </w:tc>
      </w:tr>
      <w:tr>
        <w:trPr>
          <w:trHeight w:val="360" w:hRule="atLeast"/>
        </w:trPr>
        <w:tc>
          <w:tcPr>
            <w:tcW w:w="2586" w:type="dxa"/>
            <w:shd w:val="clear" w:color="auto" w:fill="D9EAF7"/>
          </w:tcPr>
          <w:p>
            <w:pPr>
              <w:pStyle w:val="TableParagraph"/>
              <w:spacing w:before="89"/>
              <w:ind w:left="87"/>
              <w:rPr>
                <w:b/>
                <w:sz w:val="15"/>
              </w:rPr>
            </w:pPr>
            <w:r>
              <w:rPr>
                <w:b/>
                <w:sz w:val="15"/>
              </w:rPr>
              <w:t>Possible</w:t>
            </w:r>
            <w:r>
              <w:rPr>
                <w:b/>
                <w:spacing w:val="-7"/>
                <w:sz w:val="15"/>
              </w:rPr>
              <w:t> </w:t>
            </w:r>
            <w:r>
              <w:rPr>
                <w:b/>
                <w:spacing w:val="-5"/>
                <w:sz w:val="15"/>
              </w:rPr>
              <w:t>(3)</w:t>
            </w:r>
          </w:p>
        </w:tc>
        <w:tc>
          <w:tcPr>
            <w:tcW w:w="2586" w:type="dxa"/>
          </w:tcPr>
          <w:p>
            <w:pPr>
              <w:pStyle w:val="TableParagraph"/>
              <w:spacing w:before="89"/>
              <w:ind w:left="92"/>
              <w:rPr>
                <w:sz w:val="15"/>
              </w:rPr>
            </w:pPr>
            <w:r>
              <w:rPr>
                <w:spacing w:val="-10"/>
                <w:sz w:val="15"/>
              </w:rPr>
              <w:t>3</w:t>
            </w:r>
          </w:p>
        </w:tc>
        <w:tc>
          <w:tcPr>
            <w:tcW w:w="2591" w:type="dxa"/>
          </w:tcPr>
          <w:p>
            <w:pPr>
              <w:pStyle w:val="TableParagraph"/>
              <w:spacing w:before="89"/>
              <w:ind w:left="92"/>
              <w:rPr>
                <w:sz w:val="15"/>
              </w:rPr>
            </w:pPr>
            <w:r>
              <w:rPr>
                <w:spacing w:val="-10"/>
                <w:sz w:val="15"/>
              </w:rPr>
              <w:t>6</w:t>
            </w:r>
          </w:p>
        </w:tc>
        <w:tc>
          <w:tcPr>
            <w:tcW w:w="2585" w:type="dxa"/>
          </w:tcPr>
          <w:p>
            <w:pPr>
              <w:pStyle w:val="TableParagraph"/>
              <w:spacing w:before="89"/>
              <w:ind w:left="87"/>
              <w:rPr>
                <w:sz w:val="15"/>
              </w:rPr>
            </w:pPr>
            <w:r>
              <w:rPr>
                <w:spacing w:val="-10"/>
                <w:sz w:val="15"/>
              </w:rPr>
              <w:t>9</w:t>
            </w:r>
          </w:p>
        </w:tc>
        <w:tc>
          <w:tcPr>
            <w:tcW w:w="2591" w:type="dxa"/>
          </w:tcPr>
          <w:p>
            <w:pPr>
              <w:pStyle w:val="TableParagraph"/>
              <w:spacing w:before="89"/>
              <w:ind w:left="92"/>
              <w:rPr>
                <w:sz w:val="15"/>
              </w:rPr>
            </w:pPr>
            <w:r>
              <w:rPr>
                <w:spacing w:val="-5"/>
                <w:sz w:val="15"/>
              </w:rPr>
              <w:t>12</w:t>
            </w:r>
          </w:p>
        </w:tc>
        <w:tc>
          <w:tcPr>
            <w:tcW w:w="2586" w:type="dxa"/>
          </w:tcPr>
          <w:p>
            <w:pPr>
              <w:pStyle w:val="TableParagraph"/>
              <w:spacing w:before="89"/>
              <w:ind w:left="87"/>
              <w:rPr>
                <w:sz w:val="15"/>
              </w:rPr>
            </w:pPr>
            <w:r>
              <w:rPr>
                <w:spacing w:val="-5"/>
                <w:sz w:val="15"/>
              </w:rPr>
              <w:t>15</w:t>
            </w:r>
          </w:p>
        </w:tc>
      </w:tr>
      <w:tr>
        <w:trPr>
          <w:trHeight w:val="360" w:hRule="atLeast"/>
        </w:trPr>
        <w:tc>
          <w:tcPr>
            <w:tcW w:w="2586" w:type="dxa"/>
            <w:shd w:val="clear" w:color="auto" w:fill="D9EAF7"/>
          </w:tcPr>
          <w:p>
            <w:pPr>
              <w:pStyle w:val="TableParagraph"/>
              <w:spacing w:before="89"/>
              <w:ind w:left="87"/>
              <w:rPr>
                <w:b/>
                <w:sz w:val="15"/>
              </w:rPr>
            </w:pPr>
            <w:r>
              <w:rPr>
                <w:b/>
                <w:spacing w:val="-2"/>
                <w:sz w:val="15"/>
              </w:rPr>
              <w:t>Unlikely</w:t>
            </w:r>
            <w:r>
              <w:rPr>
                <w:b/>
                <w:spacing w:val="5"/>
                <w:sz w:val="15"/>
              </w:rPr>
              <w:t> </w:t>
            </w:r>
            <w:r>
              <w:rPr>
                <w:b/>
                <w:spacing w:val="-5"/>
                <w:sz w:val="15"/>
              </w:rPr>
              <w:t>(2)</w:t>
            </w:r>
          </w:p>
        </w:tc>
        <w:tc>
          <w:tcPr>
            <w:tcW w:w="2586" w:type="dxa"/>
          </w:tcPr>
          <w:p>
            <w:pPr>
              <w:pStyle w:val="TableParagraph"/>
              <w:spacing w:before="89"/>
              <w:ind w:left="92"/>
              <w:rPr>
                <w:sz w:val="15"/>
              </w:rPr>
            </w:pPr>
            <w:r>
              <w:rPr>
                <w:spacing w:val="-10"/>
                <w:sz w:val="15"/>
              </w:rPr>
              <w:t>2</w:t>
            </w:r>
          </w:p>
        </w:tc>
        <w:tc>
          <w:tcPr>
            <w:tcW w:w="2591" w:type="dxa"/>
          </w:tcPr>
          <w:p>
            <w:pPr>
              <w:pStyle w:val="TableParagraph"/>
              <w:spacing w:before="89"/>
              <w:ind w:left="92"/>
              <w:rPr>
                <w:sz w:val="15"/>
              </w:rPr>
            </w:pPr>
            <w:r>
              <w:rPr>
                <w:spacing w:val="-10"/>
                <w:sz w:val="15"/>
              </w:rPr>
              <w:t>4</w:t>
            </w:r>
          </w:p>
        </w:tc>
        <w:tc>
          <w:tcPr>
            <w:tcW w:w="2585" w:type="dxa"/>
          </w:tcPr>
          <w:p>
            <w:pPr>
              <w:pStyle w:val="TableParagraph"/>
              <w:spacing w:before="89"/>
              <w:ind w:left="87"/>
              <w:rPr>
                <w:sz w:val="15"/>
              </w:rPr>
            </w:pPr>
            <w:r>
              <w:rPr>
                <w:spacing w:val="-10"/>
                <w:sz w:val="15"/>
              </w:rPr>
              <w:t>6</w:t>
            </w:r>
          </w:p>
        </w:tc>
        <w:tc>
          <w:tcPr>
            <w:tcW w:w="2591" w:type="dxa"/>
          </w:tcPr>
          <w:p>
            <w:pPr>
              <w:pStyle w:val="TableParagraph"/>
              <w:spacing w:before="89"/>
              <w:ind w:left="92"/>
              <w:rPr>
                <w:sz w:val="15"/>
              </w:rPr>
            </w:pPr>
            <w:r>
              <w:rPr>
                <w:spacing w:val="-10"/>
                <w:sz w:val="15"/>
              </w:rPr>
              <w:t>8</w:t>
            </w:r>
          </w:p>
        </w:tc>
        <w:tc>
          <w:tcPr>
            <w:tcW w:w="2586" w:type="dxa"/>
          </w:tcPr>
          <w:p>
            <w:pPr>
              <w:pStyle w:val="TableParagraph"/>
              <w:spacing w:before="89"/>
              <w:ind w:left="87"/>
              <w:rPr>
                <w:sz w:val="15"/>
              </w:rPr>
            </w:pPr>
            <w:r>
              <w:rPr>
                <w:spacing w:val="-5"/>
                <w:sz w:val="15"/>
              </w:rPr>
              <w:t>10</w:t>
            </w:r>
          </w:p>
        </w:tc>
      </w:tr>
      <w:tr>
        <w:trPr>
          <w:trHeight w:val="360" w:hRule="atLeast"/>
        </w:trPr>
        <w:tc>
          <w:tcPr>
            <w:tcW w:w="2586" w:type="dxa"/>
            <w:shd w:val="clear" w:color="auto" w:fill="D9EAF7"/>
          </w:tcPr>
          <w:p>
            <w:pPr>
              <w:pStyle w:val="TableParagraph"/>
              <w:spacing w:before="89"/>
              <w:ind w:left="87"/>
              <w:rPr>
                <w:b/>
                <w:sz w:val="15"/>
              </w:rPr>
            </w:pPr>
            <w:r>
              <w:rPr>
                <w:b/>
                <w:sz w:val="15"/>
              </w:rPr>
              <w:t>Rare </w:t>
            </w:r>
            <w:r>
              <w:rPr>
                <w:b/>
                <w:spacing w:val="-5"/>
                <w:sz w:val="15"/>
              </w:rPr>
              <w:t>(1)</w:t>
            </w:r>
          </w:p>
        </w:tc>
        <w:tc>
          <w:tcPr>
            <w:tcW w:w="2586" w:type="dxa"/>
          </w:tcPr>
          <w:p>
            <w:pPr>
              <w:pStyle w:val="TableParagraph"/>
              <w:spacing w:before="89"/>
              <w:ind w:left="92"/>
              <w:rPr>
                <w:sz w:val="15"/>
              </w:rPr>
            </w:pPr>
            <w:r>
              <w:rPr>
                <w:spacing w:val="-10"/>
                <w:sz w:val="15"/>
              </w:rPr>
              <w:t>1</w:t>
            </w:r>
          </w:p>
        </w:tc>
        <w:tc>
          <w:tcPr>
            <w:tcW w:w="2591" w:type="dxa"/>
          </w:tcPr>
          <w:p>
            <w:pPr>
              <w:pStyle w:val="TableParagraph"/>
              <w:spacing w:before="89"/>
              <w:ind w:left="92"/>
              <w:rPr>
                <w:sz w:val="15"/>
              </w:rPr>
            </w:pPr>
            <w:r>
              <w:rPr>
                <w:spacing w:val="-10"/>
                <w:sz w:val="15"/>
              </w:rPr>
              <w:t>2</w:t>
            </w:r>
          </w:p>
        </w:tc>
        <w:tc>
          <w:tcPr>
            <w:tcW w:w="2585" w:type="dxa"/>
          </w:tcPr>
          <w:p>
            <w:pPr>
              <w:pStyle w:val="TableParagraph"/>
              <w:spacing w:before="89"/>
              <w:ind w:left="87"/>
              <w:rPr>
                <w:sz w:val="15"/>
              </w:rPr>
            </w:pPr>
            <w:r>
              <w:rPr>
                <w:spacing w:val="-10"/>
                <w:sz w:val="15"/>
              </w:rPr>
              <w:t>3</w:t>
            </w:r>
          </w:p>
        </w:tc>
        <w:tc>
          <w:tcPr>
            <w:tcW w:w="2591" w:type="dxa"/>
          </w:tcPr>
          <w:p>
            <w:pPr>
              <w:pStyle w:val="TableParagraph"/>
              <w:spacing w:before="89"/>
              <w:ind w:left="92"/>
              <w:rPr>
                <w:sz w:val="15"/>
              </w:rPr>
            </w:pPr>
            <w:r>
              <w:rPr>
                <w:spacing w:val="-10"/>
                <w:sz w:val="15"/>
              </w:rPr>
              <w:t>4</w:t>
            </w:r>
          </w:p>
        </w:tc>
        <w:tc>
          <w:tcPr>
            <w:tcW w:w="2586" w:type="dxa"/>
          </w:tcPr>
          <w:p>
            <w:pPr>
              <w:pStyle w:val="TableParagraph"/>
              <w:spacing w:before="89"/>
              <w:ind w:left="87"/>
              <w:rPr>
                <w:sz w:val="15"/>
              </w:rPr>
            </w:pPr>
            <w:r>
              <w:rPr>
                <w:spacing w:val="-10"/>
                <w:sz w:val="15"/>
              </w:rPr>
              <w:t>5</w:t>
            </w:r>
          </w:p>
        </w:tc>
      </w:tr>
    </w:tbl>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64"/>
        <w:rPr>
          <w:b/>
          <w:sz w:val="22"/>
        </w:rPr>
      </w:pPr>
    </w:p>
    <w:p>
      <w:pPr>
        <w:spacing w:before="0"/>
        <w:ind w:left="9" w:right="8" w:firstLine="0"/>
        <w:jc w:val="center"/>
        <w:rPr>
          <w:sz w:val="14"/>
        </w:rPr>
      </w:pPr>
      <w:r>
        <w:rPr>
          <w:color w:val="1F4E79"/>
          <w:sz w:val="14"/>
        </w:rPr>
        <w:t>Hywel</w:t>
      </w:r>
      <w:r>
        <w:rPr>
          <w:color w:val="1F4E79"/>
          <w:spacing w:val="-5"/>
          <w:sz w:val="14"/>
        </w:rPr>
        <w:t> </w:t>
      </w:r>
      <w:r>
        <w:rPr>
          <w:color w:val="1F4E79"/>
          <w:sz w:val="14"/>
        </w:rPr>
        <w:t>Dda</w:t>
      </w:r>
      <w:r>
        <w:rPr>
          <w:color w:val="1F4E79"/>
          <w:spacing w:val="-2"/>
          <w:sz w:val="14"/>
        </w:rPr>
        <w:t> </w:t>
      </w:r>
      <w:r>
        <w:rPr>
          <w:color w:val="1F4E79"/>
          <w:sz w:val="14"/>
        </w:rPr>
        <w:t>/</w:t>
      </w:r>
      <w:r>
        <w:rPr>
          <w:color w:val="1F4E79"/>
          <w:spacing w:val="-6"/>
          <w:sz w:val="14"/>
        </w:rPr>
        <w:t> </w:t>
      </w:r>
      <w:r>
        <w:rPr>
          <w:color w:val="1F4E79"/>
          <w:sz w:val="14"/>
        </w:rPr>
        <w:t>Swansea</w:t>
      </w:r>
      <w:r>
        <w:rPr>
          <w:color w:val="1F4E79"/>
          <w:spacing w:val="-5"/>
          <w:sz w:val="14"/>
        </w:rPr>
        <w:t> </w:t>
      </w:r>
      <w:r>
        <w:rPr>
          <w:color w:val="1F4E79"/>
          <w:sz w:val="14"/>
        </w:rPr>
        <w:t>Bay</w:t>
      </w:r>
      <w:r>
        <w:rPr>
          <w:color w:val="1F4E79"/>
          <w:spacing w:val="-3"/>
          <w:sz w:val="14"/>
        </w:rPr>
        <w:t> </w:t>
      </w:r>
      <w:r>
        <w:rPr>
          <w:color w:val="1F4E79"/>
          <w:sz w:val="14"/>
        </w:rPr>
        <w:t>University</w:t>
      </w:r>
      <w:r>
        <w:rPr>
          <w:color w:val="1F4E79"/>
          <w:spacing w:val="-3"/>
          <w:sz w:val="14"/>
        </w:rPr>
        <w:t> </w:t>
      </w:r>
      <w:r>
        <w:rPr>
          <w:color w:val="1F4E79"/>
          <w:sz w:val="14"/>
        </w:rPr>
        <w:t>Health</w:t>
      </w:r>
      <w:r>
        <w:rPr>
          <w:color w:val="1F4E79"/>
          <w:spacing w:val="-2"/>
          <w:sz w:val="14"/>
        </w:rPr>
        <w:t> </w:t>
      </w:r>
      <w:r>
        <w:rPr>
          <w:color w:val="1F4E79"/>
          <w:sz w:val="14"/>
        </w:rPr>
        <w:t>Boards</w:t>
      </w:r>
      <w:r>
        <w:rPr>
          <w:color w:val="1F4E79"/>
          <w:spacing w:val="-2"/>
          <w:sz w:val="14"/>
        </w:rPr>
        <w:t> </w:t>
      </w:r>
      <w:r>
        <w:rPr>
          <w:color w:val="1F4E79"/>
          <w:sz w:val="14"/>
        </w:rPr>
        <w:t>|</w:t>
      </w:r>
      <w:r>
        <w:rPr>
          <w:color w:val="1F4E79"/>
          <w:spacing w:val="-9"/>
          <w:sz w:val="14"/>
        </w:rPr>
        <w:t> </w:t>
      </w:r>
      <w:r>
        <w:rPr>
          <w:color w:val="1F4E79"/>
          <w:sz w:val="14"/>
        </w:rPr>
        <w:t>Byrddau</w:t>
      </w:r>
      <w:r>
        <w:rPr>
          <w:color w:val="1F4E79"/>
          <w:spacing w:val="-2"/>
          <w:sz w:val="14"/>
        </w:rPr>
        <w:t> </w:t>
      </w:r>
      <w:r>
        <w:rPr>
          <w:color w:val="1F4E79"/>
          <w:sz w:val="14"/>
        </w:rPr>
        <w:t>Iechyd</w:t>
      </w:r>
      <w:r>
        <w:rPr>
          <w:color w:val="1F4E79"/>
          <w:spacing w:val="-2"/>
          <w:sz w:val="14"/>
        </w:rPr>
        <w:t> </w:t>
      </w:r>
      <w:r>
        <w:rPr>
          <w:color w:val="1F4E79"/>
          <w:sz w:val="14"/>
        </w:rPr>
        <w:t>Prifysgol</w:t>
      </w:r>
      <w:r>
        <w:rPr>
          <w:color w:val="1F4E79"/>
          <w:spacing w:val="-4"/>
          <w:sz w:val="14"/>
        </w:rPr>
        <w:t> </w:t>
      </w:r>
      <w:r>
        <w:rPr>
          <w:color w:val="1F4E79"/>
          <w:sz w:val="14"/>
        </w:rPr>
        <w:t>Hywel</w:t>
      </w:r>
      <w:r>
        <w:rPr>
          <w:color w:val="1F4E79"/>
          <w:spacing w:val="-5"/>
          <w:sz w:val="14"/>
        </w:rPr>
        <w:t> </w:t>
      </w:r>
      <w:r>
        <w:rPr>
          <w:color w:val="1F4E79"/>
          <w:sz w:val="14"/>
        </w:rPr>
        <w:t>Dda</w:t>
      </w:r>
      <w:r>
        <w:rPr>
          <w:color w:val="1F4E79"/>
          <w:spacing w:val="-1"/>
          <w:sz w:val="14"/>
        </w:rPr>
        <w:t> </w:t>
      </w:r>
      <w:r>
        <w:rPr>
          <w:color w:val="1F4E79"/>
          <w:sz w:val="14"/>
        </w:rPr>
        <w:t>/</w:t>
      </w:r>
      <w:r>
        <w:rPr>
          <w:color w:val="1F4E79"/>
          <w:spacing w:val="-7"/>
          <w:sz w:val="14"/>
        </w:rPr>
        <w:t> </w:t>
      </w:r>
      <w:r>
        <w:rPr>
          <w:color w:val="1F4E79"/>
          <w:sz w:val="14"/>
        </w:rPr>
        <w:t>Bae</w:t>
      </w:r>
      <w:r>
        <w:rPr>
          <w:color w:val="1F4E79"/>
          <w:spacing w:val="-1"/>
          <w:sz w:val="14"/>
        </w:rPr>
        <w:t> </w:t>
      </w:r>
      <w:r>
        <w:rPr>
          <w:color w:val="1F4E79"/>
          <w:spacing w:val="-2"/>
          <w:sz w:val="14"/>
        </w:rPr>
        <w:t>Abertawe</w:t>
      </w:r>
    </w:p>
    <w:p>
      <w:pPr>
        <w:spacing w:after="0"/>
        <w:jc w:val="center"/>
        <w:rPr>
          <w:sz w:val="14"/>
        </w:rPr>
        <w:sectPr>
          <w:pgSz w:w="16840" w:h="11910" w:orient="landscape"/>
          <w:pgMar w:header="0" w:footer="198" w:top="840" w:bottom="380" w:left="566" w:right="566"/>
        </w:sectPr>
      </w:pPr>
    </w:p>
    <w:p>
      <w:pPr>
        <w:pStyle w:val="Heading4"/>
        <w:ind w:right="13"/>
        <w:jc w:val="right"/>
      </w:pPr>
      <w:r>
        <w:rPr/>
        <mc:AlternateContent>
          <mc:Choice Requires="wps">
            <w:drawing>
              <wp:anchor distT="0" distB="0" distL="0" distR="0" allowOverlap="1" layoutInCell="1" locked="0" behindDoc="0" simplePos="0" relativeHeight="15784960">
                <wp:simplePos x="0" y="0"/>
                <wp:positionH relativeFrom="page">
                  <wp:posOffset>933767</wp:posOffset>
                </wp:positionH>
                <wp:positionV relativeFrom="paragraph">
                  <wp:posOffset>54292</wp:posOffset>
                </wp:positionV>
                <wp:extent cx="457834" cy="464184"/>
                <wp:effectExtent l="0" t="0" r="0" b="0"/>
                <wp:wrapNone/>
                <wp:docPr id="370" name="Group 370"/>
                <wp:cNvGraphicFramePr>
                  <a:graphicFrameLocks/>
                </wp:cNvGraphicFramePr>
                <a:graphic>
                  <a:graphicData uri="http://schemas.microsoft.com/office/word/2010/wordprocessingGroup">
                    <wpg:wgp>
                      <wpg:cNvPr id="370" name="Group 370"/>
                      <wpg:cNvGrpSpPr/>
                      <wpg:grpSpPr>
                        <a:xfrm>
                          <a:off x="0" y="0"/>
                          <a:ext cx="457834" cy="464184"/>
                          <a:chExt cx="457834" cy="464184"/>
                        </a:xfrm>
                      </wpg:grpSpPr>
                      <wps:wsp>
                        <wps:cNvPr id="371" name="Graphic 371"/>
                        <wps:cNvSpPr/>
                        <wps:spPr>
                          <a:xfrm>
                            <a:off x="0" y="0"/>
                            <a:ext cx="457834" cy="464184"/>
                          </a:xfrm>
                          <a:custGeom>
                            <a:avLst/>
                            <a:gdLst/>
                            <a:ahLst/>
                            <a:cxnLst/>
                            <a:rect l="l" t="t" r="r" b="b"/>
                            <a:pathLst>
                              <a:path w="457834" h="464184">
                                <a:moveTo>
                                  <a:pt x="457517" y="0"/>
                                </a:moveTo>
                                <a:lnTo>
                                  <a:pt x="0" y="0"/>
                                </a:lnTo>
                                <a:lnTo>
                                  <a:pt x="0" y="463867"/>
                                </a:lnTo>
                                <a:lnTo>
                                  <a:pt x="457517" y="463867"/>
                                </a:lnTo>
                                <a:lnTo>
                                  <a:pt x="457517" y="0"/>
                                </a:lnTo>
                                <a:close/>
                              </a:path>
                            </a:pathLst>
                          </a:custGeom>
                          <a:solidFill>
                            <a:srgbClr val="000000"/>
                          </a:solidFill>
                        </wps:spPr>
                        <wps:bodyPr wrap="square" lIns="0" tIns="0" rIns="0" bIns="0" rtlCol="0">
                          <a:prstTxWarp prst="textNoShape">
                            <a:avLst/>
                          </a:prstTxWarp>
                          <a:noAutofit/>
                        </wps:bodyPr>
                      </wps:wsp>
                      <wps:wsp>
                        <wps:cNvPr id="372" name="Textbox 372"/>
                        <wps:cNvSpPr txBox="1"/>
                        <wps:spPr>
                          <a:xfrm>
                            <a:off x="0" y="0"/>
                            <a:ext cx="457834" cy="464184"/>
                          </a:xfrm>
                          <a:prstGeom prst="rect">
                            <a:avLst/>
                          </a:prstGeom>
                        </wps:spPr>
                        <wps:txbx>
                          <w:txbxContent>
                            <w:p>
                              <w:pPr>
                                <w:spacing w:before="122"/>
                                <w:ind w:left="0" w:right="0" w:firstLine="0"/>
                                <w:jc w:val="center"/>
                                <w:rPr>
                                  <w:sz w:val="36"/>
                                </w:rPr>
                              </w:pPr>
                              <w:r>
                                <w:rPr>
                                  <w:color w:val="FFFFFF"/>
                                  <w:spacing w:val="-10"/>
                                  <w:sz w:val="36"/>
                                </w:rPr>
                                <w:t>5</w:t>
                              </w:r>
                            </w:p>
                          </w:txbxContent>
                        </wps:txbx>
                        <wps:bodyPr wrap="square" lIns="0" tIns="0" rIns="0" bIns="0" rtlCol="0">
                          <a:noAutofit/>
                        </wps:bodyPr>
                      </wps:wsp>
                    </wpg:wgp>
                  </a:graphicData>
                </a:graphic>
              </wp:anchor>
            </w:drawing>
          </mc:Choice>
          <mc:Fallback>
            <w:pict>
              <v:group style="position:absolute;margin-left:73.525002pt;margin-top:4.275pt;width:36.050pt;height:36.550pt;mso-position-horizontal-relative:page;mso-position-vertical-relative:paragraph;z-index:15784960" id="docshapegroup189" coordorigin="1471,86" coordsize="721,731">
                <v:rect style="position:absolute;left:1470;top:85;width:721;height:731" id="docshape190" filled="true" fillcolor="#000000" stroked="false">
                  <v:fill type="solid"/>
                </v:rect>
                <v:shape style="position:absolute;left:1470;top:85;width:721;height:731" type="#_x0000_t202" id="docshape191" filled="false" stroked="false">
                  <v:textbox inset="0,0,0,0">
                    <w:txbxContent>
                      <w:p>
                        <w:pPr>
                          <w:spacing w:before="122"/>
                          <w:ind w:left="0" w:right="0" w:firstLine="0"/>
                          <w:jc w:val="center"/>
                          <w:rPr>
                            <w:sz w:val="36"/>
                          </w:rPr>
                        </w:pPr>
                        <w:r>
                          <w:rPr>
                            <w:color w:val="FFFFFF"/>
                            <w:spacing w:val="-10"/>
                            <w:sz w:val="36"/>
                          </w:rPr>
                          <w:t>5</w:t>
                        </w:r>
                      </w:p>
                    </w:txbxContent>
                  </v:textbox>
                  <w10:wrap type="none"/>
                </v:shape>
                <w10:wrap type="none"/>
              </v:group>
            </w:pict>
          </mc:Fallback>
        </mc:AlternateContent>
      </w:r>
      <w:r>
        <w:rPr/>
        <w:t>11:20</w:t>
      </w:r>
      <w:r>
        <w:rPr>
          <w:spacing w:val="-4"/>
        </w:rPr>
        <w:t> </w:t>
      </w:r>
      <w:r>
        <w:rPr/>
        <w:t>AM,</w:t>
      </w:r>
      <w:r>
        <w:rPr>
          <w:spacing w:val="1"/>
        </w:rPr>
        <w:t> </w:t>
      </w:r>
      <w:r>
        <w:rPr/>
        <w:t>15</w:t>
      </w:r>
      <w:r>
        <w:rPr>
          <w:spacing w:val="-6"/>
        </w:rPr>
        <w:t> </w:t>
      </w:r>
      <w:r>
        <w:rPr>
          <w:spacing w:val="-4"/>
        </w:rPr>
        <w:t>Mins</w:t>
      </w:r>
    </w:p>
    <w:p>
      <w:pPr>
        <w:pStyle w:val="BodyText"/>
        <w:rPr>
          <w:b/>
          <w:sz w:val="20"/>
        </w:rPr>
      </w:pPr>
    </w:p>
    <w:p>
      <w:pPr>
        <w:pStyle w:val="BodyText"/>
        <w:spacing w:before="36"/>
        <w:rPr>
          <w:b/>
          <w:sz w:val="20"/>
        </w:rPr>
      </w:pPr>
      <w:r>
        <w:rPr>
          <w:b/>
          <w:sz w:val="20"/>
        </w:rPr>
        <mc:AlternateContent>
          <mc:Choice Requires="wps">
            <w:drawing>
              <wp:anchor distT="0" distB="0" distL="0" distR="0" allowOverlap="1" layoutInCell="1" locked="0" behindDoc="1" simplePos="0" relativeHeight="487643648">
                <wp:simplePos x="0" y="0"/>
                <wp:positionH relativeFrom="page">
                  <wp:posOffset>914400</wp:posOffset>
                </wp:positionH>
                <wp:positionV relativeFrom="paragraph">
                  <wp:posOffset>184179</wp:posOffset>
                </wp:positionV>
                <wp:extent cx="5730875" cy="6350"/>
                <wp:effectExtent l="0" t="0" r="0" b="0"/>
                <wp:wrapTopAndBottom/>
                <wp:docPr id="373" name="Graphic 373"/>
                <wp:cNvGraphicFramePr>
                  <a:graphicFrameLocks/>
                </wp:cNvGraphicFramePr>
                <a:graphic>
                  <a:graphicData uri="http://schemas.microsoft.com/office/word/2010/wordprocessingShape">
                    <wps:wsp>
                      <wps:cNvPr id="373" name="Graphic 373"/>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4.502344pt;width:451.25pt;height:.5pt;mso-position-horizontal-relative:page;mso-position-vertical-relative:paragraph;z-index:-15672832;mso-wrap-distance-left:0;mso-wrap-distance-right:0" id="docshape192"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footerReference w:type="default" r:id="rId69"/>
          <w:pgSz w:w="11910" w:h="16840"/>
          <w:pgMar w:header="0" w:footer="149" w:top="1940" w:bottom="340" w:left="1417" w:right="1417"/>
        </w:sectPr>
      </w:pPr>
    </w:p>
    <w:p>
      <w:pPr>
        <w:pStyle w:val="Heading2"/>
        <w:numPr>
          <w:ilvl w:val="0"/>
          <w:numId w:val="2"/>
        </w:numPr>
        <w:tabs>
          <w:tab w:pos="292" w:val="left" w:leader="none"/>
        </w:tabs>
        <w:spacing w:line="261" w:lineRule="auto" w:before="90" w:after="0"/>
        <w:ind w:left="23" w:right="0" w:firstLine="0"/>
        <w:jc w:val="left"/>
      </w:pPr>
      <w:bookmarkStart w:name="5 - RJC/39a: Research, Innovation and Ex" w:id="39"/>
      <w:bookmarkEnd w:id="39"/>
      <w:r>
        <w:rPr/>
      </w:r>
      <w:r>
        <w:rPr/>
        <w:t>-</w:t>
      </w:r>
      <w:r>
        <w:rPr>
          <w:spacing w:val="-9"/>
        </w:rPr>
        <w:t> </w:t>
      </w:r>
      <w:r>
        <w:rPr/>
        <w:t>RJC/39a:</w:t>
      </w:r>
      <w:r>
        <w:rPr>
          <w:spacing w:val="-8"/>
        </w:rPr>
        <w:t> </w:t>
      </w:r>
      <w:r>
        <w:rPr/>
        <w:t>Research,</w:t>
      </w:r>
      <w:r>
        <w:rPr>
          <w:spacing w:val="-13"/>
        </w:rPr>
        <w:t> </w:t>
      </w:r>
      <w:r>
        <w:rPr/>
        <w:t>Innovation</w:t>
      </w:r>
      <w:r>
        <w:rPr>
          <w:spacing w:val="-11"/>
        </w:rPr>
        <w:t> </w:t>
      </w:r>
      <w:r>
        <w:rPr/>
        <w:t>and Excellence Subgroup Update</w:t>
      </w:r>
    </w:p>
    <w:p>
      <w:pPr>
        <w:spacing w:line="261" w:lineRule="auto" w:before="93"/>
        <w:ind w:left="23" w:right="18" w:firstLine="330"/>
        <w:jc w:val="both"/>
        <w:rPr>
          <w:b/>
          <w:i/>
          <w:sz w:val="22"/>
        </w:rPr>
      </w:pPr>
      <w:r>
        <w:rPr/>
        <w:br w:type="column"/>
      </w:r>
      <w:r>
        <w:rPr>
          <w:b/>
          <w:i/>
          <w:sz w:val="22"/>
        </w:rPr>
        <w:t>Mark</w:t>
      </w:r>
      <w:r>
        <w:rPr>
          <w:b/>
          <w:i/>
          <w:spacing w:val="-16"/>
          <w:sz w:val="22"/>
        </w:rPr>
        <w:t> </w:t>
      </w:r>
      <w:r>
        <w:rPr>
          <w:b/>
          <w:i/>
          <w:sz w:val="22"/>
        </w:rPr>
        <w:t>Henwood</w:t>
      </w:r>
      <w:r>
        <w:rPr>
          <w:b/>
          <w:i/>
          <w:sz w:val="22"/>
        </w:rPr>
        <w:t> (Hywel</w:t>
      </w:r>
      <w:r>
        <w:rPr>
          <w:b/>
          <w:i/>
          <w:spacing w:val="-1"/>
          <w:sz w:val="22"/>
        </w:rPr>
        <w:t> </w:t>
      </w:r>
      <w:r>
        <w:rPr>
          <w:b/>
          <w:i/>
          <w:sz w:val="22"/>
        </w:rPr>
        <w:t>Dda UHB - Executive</w:t>
      </w:r>
      <w:r>
        <w:rPr>
          <w:b/>
          <w:i/>
          <w:spacing w:val="-4"/>
          <w:sz w:val="22"/>
        </w:rPr>
        <w:t> </w:t>
      </w:r>
      <w:r>
        <w:rPr>
          <w:b/>
          <w:i/>
          <w:spacing w:val="-2"/>
          <w:sz w:val="22"/>
        </w:rPr>
        <w:t>Medical</w:t>
      </w:r>
    </w:p>
    <w:p>
      <w:pPr>
        <w:spacing w:line="246" w:lineRule="exact" w:before="0"/>
        <w:ind w:left="1003" w:right="0" w:firstLine="0"/>
        <w:jc w:val="left"/>
        <w:rPr>
          <w:b/>
          <w:i/>
          <w:sz w:val="22"/>
        </w:rPr>
      </w:pPr>
      <w:r>
        <w:rPr>
          <w:b/>
          <w:i/>
          <w:spacing w:val="-2"/>
          <w:sz w:val="22"/>
        </w:rPr>
        <w:t>Director)</w:t>
      </w:r>
    </w:p>
    <w:p>
      <w:pPr>
        <w:spacing w:after="0" w:line="246" w:lineRule="exact"/>
        <w:jc w:val="left"/>
        <w:rPr>
          <w:b/>
          <w:i/>
          <w:sz w:val="22"/>
        </w:rPr>
        <w:sectPr>
          <w:type w:val="continuous"/>
          <w:pgSz w:w="11910" w:h="16840"/>
          <w:pgMar w:header="0" w:footer="149" w:top="760" w:bottom="280" w:left="1417" w:right="1417"/>
          <w:cols w:num="2" w:equalWidth="0">
            <w:col w:w="5559" w:space="1570"/>
            <w:col w:w="1947"/>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62"/>
        <w:rPr>
          <w:b/>
          <w:i/>
          <w:sz w:val="22"/>
        </w:rPr>
      </w:pPr>
    </w:p>
    <w:p>
      <w:pPr>
        <w:spacing w:before="0"/>
        <w:ind w:left="23" w:right="0" w:firstLine="0"/>
        <w:jc w:val="left"/>
        <w:rPr>
          <w:b/>
          <w:sz w:val="22"/>
        </w:rPr>
      </w:pPr>
      <w:r>
        <w:rPr>
          <w:b/>
          <w:spacing w:val="-2"/>
          <w:sz w:val="22"/>
        </w:rPr>
        <w:t>Attachments</w:t>
      </w:r>
    </w:p>
    <w:p>
      <w:pPr>
        <w:spacing w:before="180"/>
        <w:ind w:left="23" w:right="0" w:firstLine="0"/>
        <w:jc w:val="left"/>
        <w:rPr>
          <w:sz w:val="18"/>
        </w:rPr>
      </w:pPr>
      <w:r>
        <w:rPr>
          <w:sz w:val="18"/>
          <w:u w:val="single"/>
        </w:rPr>
        <w:t>RJC</w:t>
      </w:r>
      <w:r>
        <w:rPr>
          <w:spacing w:val="-3"/>
          <w:sz w:val="18"/>
          <w:u w:val="single"/>
        </w:rPr>
        <w:t> </w:t>
      </w:r>
      <w:r>
        <w:rPr>
          <w:sz w:val="18"/>
          <w:u w:val="single"/>
        </w:rPr>
        <w:t>39a</w:t>
      </w:r>
      <w:r>
        <w:rPr>
          <w:spacing w:val="-2"/>
          <w:sz w:val="18"/>
          <w:u w:val="single"/>
        </w:rPr>
        <w:t> </w:t>
      </w:r>
      <w:r>
        <w:rPr>
          <w:sz w:val="18"/>
          <w:u w:val="single"/>
        </w:rPr>
        <w:t>Research, Excellence</w:t>
      </w:r>
      <w:r>
        <w:rPr>
          <w:spacing w:val="-1"/>
          <w:sz w:val="18"/>
          <w:u w:val="single"/>
        </w:rPr>
        <w:t> </w:t>
      </w:r>
      <w:r>
        <w:rPr>
          <w:sz w:val="18"/>
          <w:u w:val="single"/>
        </w:rPr>
        <w:t>and</w:t>
      </w:r>
      <w:r>
        <w:rPr>
          <w:spacing w:val="-1"/>
          <w:sz w:val="18"/>
          <w:u w:val="single"/>
        </w:rPr>
        <w:t> </w:t>
      </w:r>
      <w:r>
        <w:rPr>
          <w:sz w:val="18"/>
          <w:u w:val="single"/>
        </w:rPr>
        <w:t>Innovation</w:t>
      </w:r>
      <w:r>
        <w:rPr>
          <w:spacing w:val="-1"/>
          <w:sz w:val="18"/>
          <w:u w:val="single"/>
        </w:rPr>
        <w:t> </w:t>
      </w:r>
      <w:r>
        <w:rPr>
          <w:sz w:val="18"/>
          <w:u w:val="single"/>
        </w:rPr>
        <w:t>Subgroup</w:t>
      </w:r>
      <w:r>
        <w:rPr>
          <w:spacing w:val="-1"/>
          <w:sz w:val="18"/>
          <w:u w:val="single"/>
        </w:rPr>
        <w:t> </w:t>
      </w:r>
      <w:r>
        <w:rPr>
          <w:sz w:val="18"/>
          <w:u w:val="single"/>
        </w:rPr>
        <w:t>(AAA)</w:t>
      </w:r>
      <w:r>
        <w:rPr>
          <w:spacing w:val="3"/>
          <w:sz w:val="18"/>
          <w:u w:val="single"/>
        </w:rPr>
        <w:t> </w:t>
      </w:r>
      <w:r>
        <w:rPr>
          <w:sz w:val="18"/>
          <w:u w:val="single"/>
        </w:rPr>
        <w:t>Update</w:t>
      </w:r>
      <w:r>
        <w:rPr>
          <w:spacing w:val="-1"/>
          <w:sz w:val="18"/>
          <w:u w:val="single"/>
        </w:rPr>
        <w:t> </w:t>
      </w:r>
      <w:r>
        <w:rPr>
          <w:spacing w:val="-2"/>
          <w:sz w:val="18"/>
          <w:u w:val="single"/>
        </w:rPr>
        <w:t>Report.pdf</w:t>
      </w:r>
    </w:p>
    <w:p>
      <w:pPr>
        <w:spacing w:before="173"/>
        <w:ind w:left="23" w:right="0" w:firstLine="0"/>
        <w:jc w:val="left"/>
        <w:rPr>
          <w:sz w:val="18"/>
        </w:rPr>
      </w:pPr>
      <w:r>
        <w:rPr>
          <w:sz w:val="18"/>
          <w:u w:val="single"/>
        </w:rPr>
        <w:t>RJC</w:t>
      </w:r>
      <w:r>
        <w:rPr>
          <w:spacing w:val="-3"/>
          <w:sz w:val="18"/>
          <w:u w:val="single"/>
        </w:rPr>
        <w:t> </w:t>
      </w:r>
      <w:r>
        <w:rPr>
          <w:sz w:val="18"/>
          <w:u w:val="single"/>
        </w:rPr>
        <w:t>39b</w:t>
      </w:r>
      <w:r>
        <w:rPr>
          <w:spacing w:val="-2"/>
          <w:sz w:val="18"/>
          <w:u w:val="single"/>
        </w:rPr>
        <w:t> </w:t>
      </w:r>
      <w:r>
        <w:rPr>
          <w:sz w:val="18"/>
          <w:u w:val="single"/>
        </w:rPr>
        <w:t>Research, Excellence</w:t>
      </w:r>
      <w:r>
        <w:rPr>
          <w:spacing w:val="-1"/>
          <w:sz w:val="18"/>
          <w:u w:val="single"/>
        </w:rPr>
        <w:t> </w:t>
      </w:r>
      <w:r>
        <w:rPr>
          <w:sz w:val="18"/>
          <w:u w:val="single"/>
        </w:rPr>
        <w:t>and Innovation</w:t>
      </w:r>
      <w:r>
        <w:rPr>
          <w:spacing w:val="-2"/>
          <w:sz w:val="18"/>
          <w:u w:val="single"/>
        </w:rPr>
        <w:t> </w:t>
      </w:r>
      <w:r>
        <w:rPr>
          <w:sz w:val="18"/>
          <w:u w:val="single"/>
        </w:rPr>
        <w:t>Subgroup Work</w:t>
      </w:r>
      <w:r>
        <w:rPr>
          <w:spacing w:val="3"/>
          <w:sz w:val="18"/>
          <w:u w:val="single"/>
        </w:rPr>
        <w:t> </w:t>
      </w:r>
      <w:r>
        <w:rPr>
          <w:sz w:val="18"/>
          <w:u w:val="single"/>
        </w:rPr>
        <w:t>Programme</w:t>
      </w:r>
      <w:r>
        <w:rPr>
          <w:spacing w:val="-1"/>
          <w:sz w:val="18"/>
          <w:u w:val="single"/>
        </w:rPr>
        <w:t> </w:t>
      </w:r>
      <w:r>
        <w:rPr>
          <w:spacing w:val="-2"/>
          <w:sz w:val="18"/>
          <w:u w:val="single"/>
        </w:rPr>
        <w:t>Summary.pdf</w:t>
      </w:r>
    </w:p>
    <w:p>
      <w:pPr>
        <w:spacing w:after="0"/>
        <w:jc w:val="left"/>
        <w:rPr>
          <w:sz w:val="18"/>
        </w:rPr>
        <w:sectPr>
          <w:type w:val="continuous"/>
          <w:pgSz w:w="11910" w:h="16840"/>
          <w:pgMar w:header="0" w:footer="149" w:top="760" w:bottom="280" w:left="1417" w:right="1417"/>
        </w:sectPr>
      </w:pPr>
    </w:p>
    <w:p>
      <w:pPr>
        <w:tabs>
          <w:tab w:pos="5149" w:val="left" w:leader="none"/>
        </w:tabs>
        <w:spacing w:line="240" w:lineRule="auto"/>
        <w:ind w:left="561" w:right="-58" w:firstLine="0"/>
        <w:rPr>
          <w:position w:val="9"/>
          <w:sz w:val="20"/>
        </w:rPr>
      </w:pPr>
      <w:r>
        <w:rPr>
          <w:sz w:val="20"/>
        </w:rPr>
        <w:drawing>
          <wp:inline distT="0" distB="0" distL="0" distR="0">
            <wp:extent cx="2247389" cy="585216"/>
            <wp:effectExtent l="0" t="0" r="0" b="0"/>
            <wp:docPr id="374" name="Image 374"/>
            <wp:cNvGraphicFramePr>
              <a:graphicFrameLocks/>
            </wp:cNvGraphicFramePr>
            <a:graphic>
              <a:graphicData uri="http://schemas.openxmlformats.org/drawingml/2006/picture">
                <pic:pic>
                  <pic:nvPicPr>
                    <pic:cNvPr id="374" name="Image 374"/>
                    <pic:cNvPicPr/>
                  </pic:nvPicPr>
                  <pic:blipFill>
                    <a:blip r:embed="rId50" cstate="print"/>
                    <a:stretch>
                      <a:fillRect/>
                    </a:stretch>
                  </pic:blipFill>
                  <pic:spPr>
                    <a:xfrm>
                      <a:off x="0" y="0"/>
                      <a:ext cx="2247389" cy="585216"/>
                    </a:xfrm>
                    <a:prstGeom prst="rect">
                      <a:avLst/>
                    </a:prstGeom>
                  </pic:spPr>
                </pic:pic>
              </a:graphicData>
            </a:graphic>
          </wp:inline>
        </w:drawing>
      </w:r>
      <w:r>
        <w:rPr>
          <w:sz w:val="20"/>
        </w:rPr>
      </w:r>
      <w:r>
        <w:rPr>
          <w:sz w:val="20"/>
        </w:rPr>
        <w:tab/>
      </w:r>
      <w:r>
        <w:rPr>
          <w:position w:val="9"/>
          <w:sz w:val="20"/>
        </w:rPr>
        <w:drawing>
          <wp:inline distT="0" distB="0" distL="0" distR="0">
            <wp:extent cx="2494674" cy="549021"/>
            <wp:effectExtent l="0" t="0" r="0" b="0"/>
            <wp:docPr id="375" name="Image 375"/>
            <wp:cNvGraphicFramePr>
              <a:graphicFrameLocks/>
            </wp:cNvGraphicFramePr>
            <a:graphic>
              <a:graphicData uri="http://schemas.openxmlformats.org/drawingml/2006/picture">
                <pic:pic>
                  <pic:nvPicPr>
                    <pic:cNvPr id="375" name="Image 375"/>
                    <pic:cNvPicPr/>
                  </pic:nvPicPr>
                  <pic:blipFill>
                    <a:blip r:embed="rId7" cstate="print"/>
                    <a:stretch>
                      <a:fillRect/>
                    </a:stretch>
                  </pic:blipFill>
                  <pic:spPr>
                    <a:xfrm>
                      <a:off x="0" y="0"/>
                      <a:ext cx="2494674" cy="549021"/>
                    </a:xfrm>
                    <a:prstGeom prst="rect">
                      <a:avLst/>
                    </a:prstGeom>
                  </pic:spPr>
                </pic:pic>
              </a:graphicData>
            </a:graphic>
          </wp:inline>
        </w:drawing>
      </w:r>
      <w:r>
        <w:rPr>
          <w:position w:val="9"/>
          <w:sz w:val="20"/>
        </w:rPr>
      </w:r>
    </w:p>
    <w:p>
      <w:pPr>
        <w:pStyle w:val="BodyText"/>
        <w:spacing w:before="130"/>
        <w:rPr>
          <w:sz w:val="28"/>
        </w:rPr>
      </w:pPr>
    </w:p>
    <w:p>
      <w:pPr>
        <w:pStyle w:val="Heading4"/>
        <w:spacing w:line="256" w:lineRule="auto" w:before="0"/>
        <w:ind w:left="1124" w:hanging="1006"/>
      </w:pPr>
      <w:bookmarkStart w:name="Attachments" w:id="40"/>
      <w:bookmarkEnd w:id="40"/>
      <w:r>
        <w:rPr>
          <w:b w:val="0"/>
        </w:rPr>
      </w:r>
      <w:bookmarkStart w:name="RJC 39a Research, Excellence and Innovat" w:id="41"/>
      <w:bookmarkEnd w:id="41"/>
      <w:r>
        <w:rPr>
          <w:b w:val="0"/>
        </w:rPr>
      </w:r>
      <w:r>
        <w:rPr>
          <w:color w:val="FF0000"/>
        </w:rPr>
        <w:t>REGIONAL</w:t>
      </w:r>
      <w:r>
        <w:rPr>
          <w:color w:val="FF0000"/>
          <w:spacing w:val="-20"/>
        </w:rPr>
        <w:t> </w:t>
      </w:r>
      <w:r>
        <w:rPr>
          <w:color w:val="FF0000"/>
        </w:rPr>
        <w:t>RESEARCH,</w:t>
      </w:r>
      <w:r>
        <w:rPr>
          <w:color w:val="FF0000"/>
          <w:spacing w:val="-19"/>
        </w:rPr>
        <w:t> </w:t>
      </w:r>
      <w:r>
        <w:rPr>
          <w:color w:val="FF0000"/>
        </w:rPr>
        <w:t>EXCELLENCE</w:t>
      </w:r>
      <w:r>
        <w:rPr>
          <w:color w:val="FF0000"/>
          <w:spacing w:val="-20"/>
        </w:rPr>
        <w:t> </w:t>
      </w:r>
      <w:r>
        <w:rPr>
          <w:color w:val="FF0000"/>
        </w:rPr>
        <w:t>AND</w:t>
      </w:r>
      <w:r>
        <w:rPr>
          <w:color w:val="FF0000"/>
          <w:spacing w:val="-19"/>
        </w:rPr>
        <w:t> </w:t>
      </w:r>
      <w:r>
        <w:rPr>
          <w:color w:val="FF0000"/>
        </w:rPr>
        <w:t>INNOVATION</w:t>
      </w:r>
      <w:r>
        <w:rPr>
          <w:color w:val="FF0000"/>
          <w:spacing w:val="-20"/>
        </w:rPr>
        <w:t> </w:t>
      </w:r>
      <w:r>
        <w:rPr/>
        <w:t>UPDATE REPORT/ ADRODDIAD DIWEDDARU’R PWYLLGOR</w:t>
      </w:r>
    </w:p>
    <w:p>
      <w:pPr>
        <w:pStyle w:val="Heading4"/>
        <w:spacing w:before="166"/>
        <w:ind w:left="2810"/>
      </w:pPr>
      <w:r>
        <w:rPr/>
        <w:t>Regional</w:t>
      </w:r>
      <w:r>
        <w:rPr>
          <w:spacing w:val="-2"/>
        </w:rPr>
        <w:t> </w:t>
      </w:r>
      <w:r>
        <w:rPr/>
        <w:t>Joint</w:t>
      </w:r>
      <w:r>
        <w:rPr>
          <w:spacing w:val="1"/>
        </w:rPr>
        <w:t> </w:t>
      </w:r>
      <w:r>
        <w:rPr>
          <w:spacing w:val="-2"/>
        </w:rPr>
        <w:t>Committee</w:t>
      </w:r>
    </w:p>
    <w:p>
      <w:pPr>
        <w:spacing w:line="400" w:lineRule="auto" w:before="186"/>
        <w:ind w:left="23" w:right="552" w:firstLine="0"/>
        <w:jc w:val="left"/>
        <w:rPr>
          <w:b/>
          <w:sz w:val="24"/>
        </w:rPr>
      </w:pPr>
      <w:r>
        <w:rPr>
          <w:b/>
          <w:sz w:val="24"/>
        </w:rPr>
        <w:t>Date</w:t>
      </w:r>
      <w:r>
        <w:rPr>
          <w:b/>
          <w:spacing w:val="-3"/>
          <w:sz w:val="24"/>
        </w:rPr>
        <w:t> </w:t>
      </w:r>
      <w:r>
        <w:rPr>
          <w:b/>
          <w:sz w:val="24"/>
        </w:rPr>
        <w:t>of</w:t>
      </w:r>
      <w:r>
        <w:rPr>
          <w:b/>
          <w:spacing w:val="-4"/>
          <w:sz w:val="24"/>
        </w:rPr>
        <w:t> </w:t>
      </w:r>
      <w:r>
        <w:rPr>
          <w:b/>
          <w:sz w:val="24"/>
        </w:rPr>
        <w:t>last</w:t>
      </w:r>
      <w:r>
        <w:rPr>
          <w:b/>
          <w:spacing w:val="-4"/>
          <w:sz w:val="24"/>
        </w:rPr>
        <w:t> </w:t>
      </w:r>
      <w:r>
        <w:rPr>
          <w:b/>
          <w:sz w:val="24"/>
        </w:rPr>
        <w:t>meeting/</w:t>
      </w:r>
      <w:r>
        <w:rPr>
          <w:b/>
          <w:spacing w:val="-3"/>
          <w:sz w:val="24"/>
        </w:rPr>
        <w:t> </w:t>
      </w:r>
      <w:r>
        <w:rPr>
          <w:b/>
          <w:sz w:val="24"/>
        </w:rPr>
        <w:t>Dyddiad</w:t>
      </w:r>
      <w:r>
        <w:rPr>
          <w:b/>
          <w:spacing w:val="-6"/>
          <w:sz w:val="24"/>
        </w:rPr>
        <w:t> </w:t>
      </w:r>
      <w:r>
        <w:rPr>
          <w:b/>
          <w:sz w:val="24"/>
        </w:rPr>
        <w:t>y</w:t>
      </w:r>
      <w:r>
        <w:rPr>
          <w:b/>
          <w:spacing w:val="-3"/>
          <w:sz w:val="24"/>
        </w:rPr>
        <w:t> </w:t>
      </w:r>
      <w:r>
        <w:rPr>
          <w:b/>
          <w:sz w:val="24"/>
        </w:rPr>
        <w:t>cyfarfod</w:t>
      </w:r>
      <w:r>
        <w:rPr>
          <w:b/>
          <w:spacing w:val="-1"/>
          <w:sz w:val="24"/>
        </w:rPr>
        <w:t> </w:t>
      </w:r>
      <w:r>
        <w:rPr>
          <w:b/>
          <w:sz w:val="24"/>
        </w:rPr>
        <w:t>diwethaf</w:t>
      </w:r>
      <w:r>
        <w:rPr>
          <w:sz w:val="24"/>
        </w:rPr>
        <w:t>:</w:t>
      </w:r>
      <w:r>
        <w:rPr>
          <w:spacing w:val="-6"/>
          <w:sz w:val="24"/>
        </w:rPr>
        <w:t> </w:t>
      </w:r>
      <w:r>
        <w:rPr>
          <w:b/>
          <w:sz w:val="24"/>
        </w:rPr>
        <w:t>6</w:t>
      </w:r>
      <w:r>
        <w:rPr>
          <w:b/>
          <w:sz w:val="24"/>
          <w:vertAlign w:val="superscript"/>
        </w:rPr>
        <w:t>th</w:t>
      </w:r>
      <w:r>
        <w:rPr>
          <w:b/>
          <w:spacing w:val="-12"/>
          <w:sz w:val="24"/>
          <w:vertAlign w:val="baseline"/>
        </w:rPr>
        <w:t> </w:t>
      </w:r>
      <w:r>
        <w:rPr>
          <w:b/>
          <w:sz w:val="24"/>
          <w:vertAlign w:val="baseline"/>
        </w:rPr>
        <w:t>August</w:t>
      </w:r>
      <w:r>
        <w:rPr>
          <w:b/>
          <w:spacing w:val="-4"/>
          <w:sz w:val="24"/>
          <w:vertAlign w:val="baseline"/>
        </w:rPr>
        <w:t> </w:t>
      </w:r>
      <w:r>
        <w:rPr>
          <w:b/>
          <w:sz w:val="24"/>
          <w:vertAlign w:val="baseline"/>
        </w:rPr>
        <w:t>2026 Quoracy/ Cworwm</w:t>
      </w:r>
      <w:r>
        <w:rPr>
          <w:sz w:val="24"/>
          <w:vertAlign w:val="baseline"/>
        </w:rPr>
        <w:t>: </w:t>
      </w:r>
      <w:r>
        <w:rPr>
          <w:b/>
          <w:sz w:val="24"/>
          <w:vertAlign w:val="baseline"/>
        </w:rPr>
        <w:t>Yes</w:t>
      </w:r>
    </w:p>
    <w:p>
      <w:pPr>
        <w:pStyle w:val="BodyText"/>
        <w:spacing w:line="261" w:lineRule="auto"/>
        <w:ind w:left="23"/>
      </w:pPr>
      <w:r>
        <w:rPr>
          <w:b/>
        </w:rPr>
        <w:t>Report</w:t>
      </w:r>
      <w:r>
        <w:rPr>
          <w:b/>
          <w:spacing w:val="-4"/>
        </w:rPr>
        <w:t> </w:t>
      </w:r>
      <w:r>
        <w:rPr>
          <w:b/>
        </w:rPr>
        <w:t>by/</w:t>
      </w:r>
      <w:r>
        <w:rPr>
          <w:b/>
          <w:spacing w:val="-11"/>
        </w:rPr>
        <w:t> </w:t>
      </w:r>
      <w:r>
        <w:rPr>
          <w:b/>
        </w:rPr>
        <w:t>Adroddiad</w:t>
      </w:r>
      <w:r>
        <w:rPr>
          <w:b/>
          <w:spacing w:val="-1"/>
        </w:rPr>
        <w:t> </w:t>
      </w:r>
      <w:r>
        <w:rPr>
          <w:b/>
        </w:rPr>
        <w:t>gan</w:t>
      </w:r>
      <w:r>
        <w:rPr/>
        <w:t>:</w:t>
      </w:r>
      <w:r>
        <w:rPr>
          <w:spacing w:val="-6"/>
        </w:rPr>
        <w:t> </w:t>
      </w:r>
      <w:r>
        <w:rPr/>
        <w:t>Leighton</w:t>
      </w:r>
      <w:r>
        <w:rPr>
          <w:spacing w:val="-3"/>
        </w:rPr>
        <w:t> </w:t>
      </w:r>
      <w:r>
        <w:rPr/>
        <w:t>Phillips,</w:t>
      </w:r>
      <w:r>
        <w:rPr>
          <w:spacing w:val="-11"/>
        </w:rPr>
        <w:t> </w:t>
      </w:r>
      <w:r>
        <w:rPr/>
        <w:t>Regional</w:t>
      </w:r>
      <w:r>
        <w:rPr>
          <w:spacing w:val="-3"/>
        </w:rPr>
        <w:t> </w:t>
      </w:r>
      <w:r>
        <w:rPr/>
        <w:t>director</w:t>
      </w:r>
      <w:r>
        <w:rPr>
          <w:spacing w:val="-4"/>
        </w:rPr>
        <w:t> </w:t>
      </w:r>
      <w:r>
        <w:rPr/>
        <w:t>for</w:t>
      </w:r>
      <w:r>
        <w:rPr>
          <w:spacing w:val="-4"/>
        </w:rPr>
        <w:t> </w:t>
      </w:r>
      <w:r>
        <w:rPr/>
        <w:t>Research</w:t>
      </w:r>
      <w:r>
        <w:rPr>
          <w:spacing w:val="-3"/>
        </w:rPr>
        <w:t> </w:t>
      </w:r>
      <w:r>
        <w:rPr/>
        <w:t>and Innovation/Liz Wonnacott, Head of Service – Medical Director, Swansea Bay</w:t>
      </w:r>
    </w:p>
    <w:p>
      <w:pPr>
        <w:pStyle w:val="BodyText"/>
        <w:spacing w:before="158"/>
        <w:rPr>
          <w:sz w:val="20"/>
        </w:rPr>
      </w:pPr>
      <w:r>
        <w:rPr>
          <w:sz w:val="20"/>
        </w:rPr>
        <mc:AlternateContent>
          <mc:Choice Requires="wps">
            <w:drawing>
              <wp:anchor distT="0" distB="0" distL="0" distR="0" allowOverlap="1" layoutInCell="1" locked="0" behindDoc="1" simplePos="0" relativeHeight="487644672">
                <wp:simplePos x="0" y="0"/>
                <wp:positionH relativeFrom="page">
                  <wp:posOffset>914717</wp:posOffset>
                </wp:positionH>
                <wp:positionV relativeFrom="paragraph">
                  <wp:posOffset>261901</wp:posOffset>
                </wp:positionV>
                <wp:extent cx="5676900" cy="1270"/>
                <wp:effectExtent l="0" t="0" r="0" b="0"/>
                <wp:wrapTopAndBottom/>
                <wp:docPr id="376" name="Graphic 376"/>
                <wp:cNvGraphicFramePr>
                  <a:graphicFrameLocks/>
                </wp:cNvGraphicFramePr>
                <a:graphic>
                  <a:graphicData uri="http://schemas.microsoft.com/office/word/2010/wordprocessingShape">
                    <wps:wsp>
                      <wps:cNvPr id="376" name="Graphic 376"/>
                      <wps:cNvSpPr/>
                      <wps:spPr>
                        <a:xfrm>
                          <a:off x="0" y="0"/>
                          <a:ext cx="5676900" cy="1270"/>
                        </a:xfrm>
                        <a:custGeom>
                          <a:avLst/>
                          <a:gdLst/>
                          <a:ahLst/>
                          <a:cxnLst/>
                          <a:rect l="l" t="t" r="r" b="b"/>
                          <a:pathLst>
                            <a:path w="5676900" h="0">
                              <a:moveTo>
                                <a:pt x="0" y="0"/>
                              </a:moveTo>
                              <a:lnTo>
                                <a:pt x="567661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0.622147pt;width:447pt;height:.1pt;mso-position-horizontal-relative:page;mso-position-vertical-relative:paragraph;z-index:-15671808;mso-wrap-distance-left:0;mso-wrap-distance-right:0" id="docshape193" coordorigin="1441,412" coordsize="8940,0" path="m1441,412l10380,412e" filled="false" stroked="true" strokeweight=".756pt" strokecolor="#000000">
                <v:path arrowok="t"/>
                <v:stroke dashstyle="solid"/>
                <w10:wrap type="topAndBottom"/>
              </v:shape>
            </w:pict>
          </mc:Fallback>
        </mc:AlternateContent>
      </w:r>
    </w:p>
    <w:p>
      <w:pPr>
        <w:pStyle w:val="Heading9"/>
        <w:spacing w:before="182"/>
        <w:ind w:left="23"/>
        <w:jc w:val="left"/>
      </w:pPr>
      <w:r>
        <w:rPr/>
        <w:t>KEY</w:t>
      </w:r>
      <w:r>
        <w:rPr>
          <w:spacing w:val="-14"/>
        </w:rPr>
        <w:t> </w:t>
      </w:r>
      <w:r>
        <w:rPr/>
        <w:t>DISCUSSION</w:t>
      </w:r>
      <w:r>
        <w:rPr>
          <w:spacing w:val="-9"/>
        </w:rPr>
        <w:t> </w:t>
      </w:r>
      <w:r>
        <w:rPr/>
        <w:t>POINTS</w:t>
      </w:r>
      <w:r>
        <w:rPr>
          <w:spacing w:val="-14"/>
        </w:rPr>
        <w:t> </w:t>
      </w:r>
      <w:r>
        <w:rPr/>
        <w:t>AND</w:t>
      </w:r>
      <w:r>
        <w:rPr>
          <w:spacing w:val="-9"/>
        </w:rPr>
        <w:t> </w:t>
      </w:r>
      <w:r>
        <w:rPr/>
        <w:t>MATTERS</w:t>
      </w:r>
      <w:r>
        <w:rPr>
          <w:spacing w:val="-10"/>
        </w:rPr>
        <w:t> </w:t>
      </w:r>
      <w:r>
        <w:rPr/>
        <w:t>FROM</w:t>
      </w:r>
      <w:r>
        <w:rPr>
          <w:spacing w:val="-10"/>
        </w:rPr>
        <w:t> </w:t>
      </w:r>
      <w:r>
        <w:rPr/>
        <w:t>THE</w:t>
      </w:r>
      <w:r>
        <w:rPr>
          <w:spacing w:val="-10"/>
        </w:rPr>
        <w:t> </w:t>
      </w:r>
      <w:r>
        <w:rPr/>
        <w:t>DISCUSSION</w:t>
      </w:r>
      <w:r>
        <w:rPr>
          <w:spacing w:val="-13"/>
        </w:rPr>
        <w:t> </w:t>
      </w:r>
      <w:r>
        <w:rPr/>
        <w:t>AT</w:t>
      </w:r>
      <w:r>
        <w:rPr>
          <w:spacing w:val="-12"/>
        </w:rPr>
        <w:t> </w:t>
      </w:r>
      <w:r>
        <w:rPr/>
        <w:t>THE MEETING/ PWYNTIAU TRAFOD ALLWEDDOL A MATERION I’W</w:t>
      </w:r>
    </w:p>
    <w:p>
      <w:pPr>
        <w:pStyle w:val="Heading9"/>
        <w:spacing w:line="274" w:lineRule="exact"/>
        <w:ind w:left="23"/>
        <w:jc w:val="left"/>
      </w:pPr>
      <w:r>
        <w:rPr/>
        <w:t>HUWCHGYFEIRIO</w:t>
      </w:r>
      <w:r>
        <w:rPr>
          <w:spacing w:val="-9"/>
        </w:rPr>
        <w:t> </w:t>
      </w:r>
      <w:r>
        <w:rPr/>
        <w:t>O’R</w:t>
      </w:r>
      <w:r>
        <w:rPr>
          <w:spacing w:val="-3"/>
        </w:rPr>
        <w:t> </w:t>
      </w:r>
      <w:r>
        <w:rPr/>
        <w:t>DRAFODAETH</w:t>
      </w:r>
      <w:r>
        <w:rPr>
          <w:spacing w:val="-8"/>
        </w:rPr>
        <w:t> </w:t>
      </w:r>
      <w:r>
        <w:rPr/>
        <w:t>YN</w:t>
      </w:r>
      <w:r>
        <w:rPr>
          <w:spacing w:val="-8"/>
        </w:rPr>
        <w:t> </w:t>
      </w:r>
      <w:r>
        <w:rPr/>
        <w:t>Y</w:t>
      </w:r>
      <w:r>
        <w:rPr>
          <w:spacing w:val="-4"/>
        </w:rPr>
        <w:t> </w:t>
      </w:r>
      <w:r>
        <w:rPr>
          <w:spacing w:val="-2"/>
        </w:rPr>
        <w:t>CYFARFOD:</w:t>
      </w:r>
    </w:p>
    <w:p>
      <w:pPr>
        <w:pStyle w:val="BodyText"/>
        <w:ind w:left="23"/>
      </w:pPr>
      <w:r>
        <w:rPr>
          <w:b/>
        </w:rPr>
        <w:t>Alert</w:t>
      </w:r>
      <w:hyperlink w:history="true" w:anchor="_bookmark10">
        <w:r>
          <w:rPr>
            <w:b/>
            <w:vertAlign w:val="superscript"/>
          </w:rPr>
          <w:t>1</w:t>
        </w:r>
      </w:hyperlink>
      <w:r>
        <w:rPr>
          <w:b/>
          <w:vertAlign w:val="baseline"/>
        </w:rPr>
        <w:t> </w:t>
      </w:r>
      <w:r>
        <w:rPr>
          <w:vertAlign w:val="baseline"/>
        </w:rPr>
        <w:t>(may require discussion. e.g. include significant risks, issues, decisions required,</w:t>
      </w:r>
      <w:r>
        <w:rPr>
          <w:spacing w:val="-5"/>
          <w:vertAlign w:val="baseline"/>
        </w:rPr>
        <w:t> </w:t>
      </w:r>
      <w:r>
        <w:rPr>
          <w:vertAlign w:val="baseline"/>
        </w:rPr>
        <w:t>change</w:t>
      </w:r>
      <w:r>
        <w:rPr>
          <w:spacing w:val="-2"/>
          <w:vertAlign w:val="baseline"/>
        </w:rPr>
        <w:t> </w:t>
      </w:r>
      <w:r>
        <w:rPr>
          <w:vertAlign w:val="baseline"/>
        </w:rPr>
        <w:t>requests for</w:t>
      </w:r>
      <w:r>
        <w:rPr>
          <w:spacing w:val="-3"/>
          <w:vertAlign w:val="baseline"/>
        </w:rPr>
        <w:t> </w:t>
      </w:r>
      <w:r>
        <w:rPr>
          <w:vertAlign w:val="baseline"/>
        </w:rPr>
        <w:t>timescales,</w:t>
      </w:r>
      <w:r>
        <w:rPr>
          <w:spacing w:val="-5"/>
          <w:vertAlign w:val="baseline"/>
        </w:rPr>
        <w:t> </w:t>
      </w:r>
      <w:r>
        <w:rPr>
          <w:vertAlign w:val="baseline"/>
        </w:rPr>
        <w:t>scope</w:t>
      </w:r>
      <w:r>
        <w:rPr>
          <w:spacing w:val="-4"/>
          <w:vertAlign w:val="baseline"/>
        </w:rPr>
        <w:t> </w:t>
      </w:r>
      <w:r>
        <w:rPr>
          <w:vertAlign w:val="baseline"/>
        </w:rPr>
        <w:t>or</w:t>
      </w:r>
      <w:r>
        <w:rPr>
          <w:spacing w:val="-3"/>
          <w:vertAlign w:val="baseline"/>
        </w:rPr>
        <w:t> </w:t>
      </w:r>
      <w:r>
        <w:rPr>
          <w:vertAlign w:val="baseline"/>
        </w:rPr>
        <w:t>milestones</w:t>
      </w:r>
      <w:r>
        <w:rPr>
          <w:spacing w:val="-3"/>
          <w:vertAlign w:val="baseline"/>
        </w:rPr>
        <w:t> </w:t>
      </w:r>
      <w:r>
        <w:rPr>
          <w:vertAlign w:val="baseline"/>
        </w:rPr>
        <w:t>within</w:t>
      </w:r>
      <w:r>
        <w:rPr>
          <w:spacing w:val="-2"/>
          <w:vertAlign w:val="baseline"/>
        </w:rPr>
        <w:t> </w:t>
      </w:r>
      <w:r>
        <w:rPr>
          <w:vertAlign w:val="baseline"/>
        </w:rPr>
        <w:t>subgroup</w:t>
      </w:r>
      <w:r>
        <w:rPr>
          <w:spacing w:val="-2"/>
          <w:vertAlign w:val="baseline"/>
        </w:rPr>
        <w:t> </w:t>
      </w:r>
      <w:r>
        <w:rPr>
          <w:vertAlign w:val="baseline"/>
        </w:rPr>
        <w:t>work programmes and matters requiring escalation.)/ </w:t>
      </w:r>
      <w:r>
        <w:rPr>
          <w:b/>
          <w:vertAlign w:val="baseline"/>
        </w:rPr>
        <w:t>Rhybuddio </w:t>
      </w:r>
      <w:r>
        <w:rPr>
          <w:vertAlign w:val="baseline"/>
        </w:rPr>
        <w:t>(efallai y bydd angen </w:t>
      </w:r>
      <w:r>
        <w:rPr>
          <w:spacing w:val="-2"/>
          <w:vertAlign w:val="baseline"/>
        </w:rPr>
        <w:t>trafodaeth)</w:t>
      </w:r>
    </w:p>
    <w:p>
      <w:pPr>
        <w:pStyle w:val="ListParagraph"/>
        <w:numPr>
          <w:ilvl w:val="0"/>
          <w:numId w:val="29"/>
        </w:numPr>
        <w:tabs>
          <w:tab w:pos="743" w:val="left" w:leader="none"/>
        </w:tabs>
        <w:spacing w:line="240" w:lineRule="auto" w:before="0" w:after="0"/>
        <w:ind w:left="743" w:right="0" w:hanging="359"/>
        <w:jc w:val="left"/>
        <w:rPr>
          <w:sz w:val="24"/>
        </w:rPr>
      </w:pPr>
      <w:r>
        <w:rPr>
          <w:sz w:val="24"/>
        </w:rPr>
        <w:t>There</w:t>
      </w:r>
      <w:r>
        <w:rPr>
          <w:spacing w:val="-3"/>
          <w:sz w:val="24"/>
        </w:rPr>
        <w:t> </w:t>
      </w:r>
      <w:r>
        <w:rPr>
          <w:sz w:val="24"/>
        </w:rPr>
        <w:t>are</w:t>
      </w:r>
      <w:r>
        <w:rPr>
          <w:spacing w:val="-3"/>
          <w:sz w:val="24"/>
        </w:rPr>
        <w:t> </w:t>
      </w:r>
      <w:r>
        <w:rPr>
          <w:sz w:val="24"/>
        </w:rPr>
        <w:t>no</w:t>
      </w:r>
      <w:r>
        <w:rPr>
          <w:spacing w:val="-2"/>
          <w:sz w:val="24"/>
        </w:rPr>
        <w:t> </w:t>
      </w:r>
      <w:r>
        <w:rPr>
          <w:sz w:val="24"/>
        </w:rPr>
        <w:t>matters</w:t>
      </w:r>
      <w:r>
        <w:rPr>
          <w:spacing w:val="-4"/>
          <w:sz w:val="24"/>
        </w:rPr>
        <w:t> </w:t>
      </w:r>
      <w:r>
        <w:rPr>
          <w:sz w:val="24"/>
        </w:rPr>
        <w:t>requiring</w:t>
      </w:r>
      <w:r>
        <w:rPr>
          <w:spacing w:val="-3"/>
          <w:sz w:val="24"/>
        </w:rPr>
        <w:t> </w:t>
      </w:r>
      <w:r>
        <w:rPr>
          <w:sz w:val="24"/>
        </w:rPr>
        <w:t>an</w:t>
      </w:r>
      <w:r>
        <w:rPr>
          <w:spacing w:val="-2"/>
          <w:sz w:val="24"/>
        </w:rPr>
        <w:t> </w:t>
      </w:r>
      <w:r>
        <w:rPr>
          <w:sz w:val="24"/>
        </w:rPr>
        <w:t>‘alert’</w:t>
      </w:r>
      <w:r>
        <w:rPr>
          <w:spacing w:val="-12"/>
          <w:sz w:val="24"/>
        </w:rPr>
        <w:t> </w:t>
      </w:r>
      <w:r>
        <w:rPr>
          <w:spacing w:val="-2"/>
          <w:sz w:val="24"/>
        </w:rPr>
        <w:t>status.</w:t>
      </w:r>
    </w:p>
    <w:p>
      <w:pPr>
        <w:pStyle w:val="BodyText"/>
      </w:pPr>
    </w:p>
    <w:p>
      <w:pPr>
        <w:pStyle w:val="BodyText"/>
      </w:pPr>
    </w:p>
    <w:p>
      <w:pPr>
        <w:spacing w:line="275" w:lineRule="exact" w:before="0"/>
        <w:ind w:left="23" w:right="0" w:firstLine="0"/>
        <w:jc w:val="left"/>
        <w:rPr>
          <w:sz w:val="24"/>
        </w:rPr>
      </w:pPr>
      <w:r>
        <w:rPr>
          <w:b/>
          <w:sz w:val="24"/>
        </w:rPr>
        <w:t>Advise</w:t>
      </w:r>
      <w:hyperlink w:history="true" w:anchor="_bookmark11">
        <w:r>
          <w:rPr>
            <w:b/>
            <w:sz w:val="24"/>
            <w:vertAlign w:val="superscript"/>
          </w:rPr>
          <w:t>2</w:t>
        </w:r>
      </w:hyperlink>
      <w:r>
        <w:rPr>
          <w:b/>
          <w:spacing w:val="-4"/>
          <w:sz w:val="24"/>
          <w:vertAlign w:val="baseline"/>
        </w:rPr>
        <w:t> </w:t>
      </w:r>
      <w:r>
        <w:rPr>
          <w:sz w:val="24"/>
          <w:vertAlign w:val="baseline"/>
        </w:rPr>
        <w:t>(to</w:t>
      </w:r>
      <w:r>
        <w:rPr>
          <w:spacing w:val="-3"/>
          <w:sz w:val="24"/>
          <w:vertAlign w:val="baseline"/>
        </w:rPr>
        <w:t> </w:t>
      </w:r>
      <w:r>
        <w:rPr>
          <w:sz w:val="24"/>
          <w:vertAlign w:val="baseline"/>
        </w:rPr>
        <w:t>monitor)/</w:t>
      </w:r>
      <w:r>
        <w:rPr>
          <w:spacing w:val="-4"/>
          <w:sz w:val="24"/>
          <w:vertAlign w:val="baseline"/>
        </w:rPr>
        <w:t> </w:t>
      </w:r>
      <w:r>
        <w:rPr>
          <w:b/>
          <w:sz w:val="24"/>
          <w:vertAlign w:val="baseline"/>
        </w:rPr>
        <w:t>Cynghori </w:t>
      </w:r>
      <w:r>
        <w:rPr>
          <w:sz w:val="24"/>
          <w:vertAlign w:val="baseline"/>
        </w:rPr>
        <w:t>(i</w:t>
      </w:r>
      <w:r>
        <w:rPr>
          <w:spacing w:val="-3"/>
          <w:sz w:val="24"/>
          <w:vertAlign w:val="baseline"/>
        </w:rPr>
        <w:t> </w:t>
      </w:r>
      <w:r>
        <w:rPr>
          <w:spacing w:val="-2"/>
          <w:sz w:val="24"/>
          <w:vertAlign w:val="baseline"/>
        </w:rPr>
        <w:t>fonitro)</w:t>
      </w:r>
    </w:p>
    <w:p>
      <w:pPr>
        <w:pStyle w:val="ListParagraph"/>
        <w:numPr>
          <w:ilvl w:val="0"/>
          <w:numId w:val="29"/>
        </w:numPr>
        <w:tabs>
          <w:tab w:pos="744" w:val="left" w:leader="none"/>
        </w:tabs>
        <w:spacing w:line="240" w:lineRule="auto" w:before="0" w:after="0"/>
        <w:ind w:left="744" w:right="46" w:hanging="360"/>
        <w:jc w:val="left"/>
        <w:rPr>
          <w:sz w:val="24"/>
        </w:rPr>
      </w:pPr>
      <w:r>
        <w:rPr>
          <w:b/>
          <w:sz w:val="24"/>
        </w:rPr>
        <w:t>Improving</w:t>
      </w:r>
      <w:r>
        <w:rPr>
          <w:b/>
          <w:spacing w:val="-8"/>
          <w:sz w:val="24"/>
        </w:rPr>
        <w:t> </w:t>
      </w:r>
      <w:r>
        <w:rPr>
          <w:b/>
          <w:sz w:val="24"/>
        </w:rPr>
        <w:t>Patient</w:t>
      </w:r>
      <w:r>
        <w:rPr>
          <w:b/>
          <w:spacing w:val="-10"/>
          <w:sz w:val="24"/>
        </w:rPr>
        <w:t> </w:t>
      </w:r>
      <w:r>
        <w:rPr>
          <w:b/>
          <w:sz w:val="24"/>
        </w:rPr>
        <w:t>Access</w:t>
      </w:r>
      <w:r>
        <w:rPr>
          <w:b/>
          <w:spacing w:val="-5"/>
          <w:sz w:val="24"/>
        </w:rPr>
        <w:t> </w:t>
      </w:r>
      <w:r>
        <w:rPr>
          <w:b/>
          <w:sz w:val="24"/>
        </w:rPr>
        <w:t>to</w:t>
      </w:r>
      <w:r>
        <w:rPr>
          <w:b/>
          <w:spacing w:val="-8"/>
          <w:sz w:val="24"/>
        </w:rPr>
        <w:t> </w:t>
      </w:r>
      <w:r>
        <w:rPr>
          <w:b/>
          <w:sz w:val="24"/>
        </w:rPr>
        <w:t>Cancer</w:t>
      </w:r>
      <w:r>
        <w:rPr>
          <w:b/>
          <w:spacing w:val="-5"/>
          <w:sz w:val="24"/>
        </w:rPr>
        <w:t> </w:t>
      </w:r>
      <w:r>
        <w:rPr>
          <w:b/>
          <w:sz w:val="24"/>
        </w:rPr>
        <w:t>Trials:</w:t>
      </w:r>
      <w:r>
        <w:rPr>
          <w:b/>
          <w:spacing w:val="-6"/>
          <w:sz w:val="24"/>
        </w:rPr>
        <w:t> </w:t>
      </w:r>
      <w:r>
        <w:rPr>
          <w:sz w:val="24"/>
        </w:rPr>
        <w:t>confirmation</w:t>
      </w:r>
      <w:r>
        <w:rPr>
          <w:spacing w:val="-5"/>
          <w:sz w:val="24"/>
        </w:rPr>
        <w:t> </w:t>
      </w:r>
      <w:r>
        <w:rPr>
          <w:sz w:val="24"/>
        </w:rPr>
        <w:t>has</w:t>
      </w:r>
      <w:r>
        <w:rPr>
          <w:spacing w:val="-6"/>
          <w:sz w:val="24"/>
        </w:rPr>
        <w:t> </w:t>
      </w:r>
      <w:r>
        <w:rPr>
          <w:sz w:val="24"/>
        </w:rPr>
        <w:t>been</w:t>
      </w:r>
      <w:r>
        <w:rPr>
          <w:spacing w:val="-5"/>
          <w:sz w:val="24"/>
        </w:rPr>
        <w:t> </w:t>
      </w:r>
      <w:r>
        <w:rPr>
          <w:sz w:val="24"/>
        </w:rPr>
        <w:t>received from Welsh Government that the bid for VPAG (Voluntary Scheme for Branded Medicines Pricing,</w:t>
      </w:r>
      <w:r>
        <w:rPr>
          <w:spacing w:val="-1"/>
          <w:sz w:val="24"/>
        </w:rPr>
        <w:t> </w:t>
      </w:r>
      <w:r>
        <w:rPr>
          <w:sz w:val="24"/>
        </w:rPr>
        <w:t>Access, and Growth) monies to develop a regional approach to oncology trials has been successful. This will provide sufficient monies over the next three years to implement several key recommendations, including bolstering capacity to co-ordinate trials across</w:t>
      </w:r>
      <w:r>
        <w:rPr>
          <w:spacing w:val="40"/>
          <w:sz w:val="24"/>
        </w:rPr>
        <w:t> </w:t>
      </w:r>
      <w:r>
        <w:rPr>
          <w:sz w:val="24"/>
        </w:rPr>
        <w:t>the region and investment</w:t>
      </w:r>
      <w:r>
        <w:rPr>
          <w:spacing w:val="-3"/>
          <w:sz w:val="24"/>
        </w:rPr>
        <w:t> </w:t>
      </w:r>
      <w:r>
        <w:rPr>
          <w:sz w:val="24"/>
        </w:rPr>
        <w:t>in Swansea Bay</w:t>
      </w:r>
      <w:r>
        <w:rPr>
          <w:spacing w:val="-1"/>
          <w:sz w:val="24"/>
        </w:rPr>
        <w:t> </w:t>
      </w:r>
      <w:r>
        <w:rPr>
          <w:sz w:val="24"/>
        </w:rPr>
        <w:t>to undertake the additional activity this generates.</w:t>
      </w:r>
      <w:r>
        <w:rPr>
          <w:spacing w:val="-2"/>
          <w:sz w:val="24"/>
        </w:rPr>
        <w:t> </w:t>
      </w:r>
      <w:r>
        <w:rPr>
          <w:sz w:val="24"/>
        </w:rPr>
        <w:t>As part of sustainability plans, aligned work supported by Directors of Finance, is considering the best mechanism to ensure financial flows across both organisations to meet the additional work generated by this activity and avoid clinical capacity or cost pressures.</w:t>
      </w:r>
      <w:r>
        <w:rPr>
          <w:spacing w:val="-3"/>
          <w:sz w:val="24"/>
        </w:rPr>
        <w:t> </w:t>
      </w:r>
      <w:r>
        <w:rPr>
          <w:sz w:val="24"/>
        </w:rPr>
        <w:t>Advancing this is essential to securing equitable access to trials, improved outcomes, and an attractive research environment in an increasingly competitive UK and internationally environment.</w:t>
      </w:r>
    </w:p>
    <w:p>
      <w:pPr>
        <w:pStyle w:val="ListParagraph"/>
        <w:numPr>
          <w:ilvl w:val="0"/>
          <w:numId w:val="29"/>
        </w:numPr>
        <w:tabs>
          <w:tab w:pos="744" w:val="left" w:leader="none"/>
        </w:tabs>
        <w:spacing w:line="240" w:lineRule="auto" w:before="0" w:after="0"/>
        <w:ind w:left="744" w:right="210" w:hanging="360"/>
        <w:jc w:val="left"/>
        <w:rPr>
          <w:sz w:val="24"/>
        </w:rPr>
      </w:pPr>
      <w:r>
        <w:rPr>
          <w:b/>
          <w:sz w:val="24"/>
        </w:rPr>
        <w:t>Scaling Cardiovascular Disease Innovation Project</w:t>
      </w:r>
      <w:r>
        <w:rPr>
          <w:sz w:val="24"/>
        </w:rPr>
        <w:t>.</w:t>
      </w:r>
      <w:r>
        <w:rPr>
          <w:spacing w:val="40"/>
          <w:sz w:val="24"/>
        </w:rPr>
        <w:t> </w:t>
      </w:r>
      <w:r>
        <w:rPr>
          <w:sz w:val="24"/>
        </w:rPr>
        <w:t>The Predict and Prevent project, supported by Amgen, was a collaborative cardiovascular (CVD)</w:t>
      </w:r>
      <w:r>
        <w:rPr>
          <w:spacing w:val="-6"/>
          <w:sz w:val="24"/>
        </w:rPr>
        <w:t> </w:t>
      </w:r>
      <w:r>
        <w:rPr>
          <w:sz w:val="24"/>
        </w:rPr>
        <w:t>initiative</w:t>
      </w:r>
      <w:r>
        <w:rPr>
          <w:spacing w:val="-6"/>
          <w:sz w:val="24"/>
        </w:rPr>
        <w:t> </w:t>
      </w:r>
      <w:r>
        <w:rPr>
          <w:sz w:val="24"/>
        </w:rPr>
        <w:t>involving</w:t>
      </w:r>
      <w:r>
        <w:rPr>
          <w:spacing w:val="-6"/>
          <w:sz w:val="24"/>
        </w:rPr>
        <w:t> </w:t>
      </w:r>
      <w:r>
        <w:rPr>
          <w:sz w:val="24"/>
        </w:rPr>
        <w:t>Hywel</w:t>
      </w:r>
      <w:r>
        <w:rPr>
          <w:spacing w:val="-6"/>
          <w:sz w:val="24"/>
        </w:rPr>
        <w:t> </w:t>
      </w:r>
      <w:r>
        <w:rPr>
          <w:sz w:val="24"/>
        </w:rPr>
        <w:t>Dda,</w:t>
      </w:r>
      <w:r>
        <w:rPr>
          <w:spacing w:val="-8"/>
          <w:sz w:val="24"/>
        </w:rPr>
        <w:t> </w:t>
      </w:r>
      <w:r>
        <w:rPr>
          <w:sz w:val="24"/>
        </w:rPr>
        <w:t>Swansea</w:t>
      </w:r>
      <w:r>
        <w:rPr>
          <w:spacing w:val="-10"/>
          <w:sz w:val="24"/>
        </w:rPr>
        <w:t> </w:t>
      </w:r>
      <w:r>
        <w:rPr>
          <w:sz w:val="24"/>
        </w:rPr>
        <w:t>Bay</w:t>
      </w:r>
      <w:r>
        <w:rPr>
          <w:spacing w:val="-6"/>
          <w:sz w:val="24"/>
        </w:rPr>
        <w:t> </w:t>
      </w:r>
      <w:r>
        <w:rPr>
          <w:sz w:val="24"/>
        </w:rPr>
        <w:t>and</w:t>
      </w:r>
      <w:r>
        <w:rPr>
          <w:spacing w:val="-6"/>
          <w:sz w:val="24"/>
        </w:rPr>
        <w:t> </w:t>
      </w:r>
      <w:r>
        <w:rPr>
          <w:sz w:val="24"/>
        </w:rPr>
        <w:t>Swansea</w:t>
      </w:r>
      <w:r>
        <w:rPr>
          <w:spacing w:val="-6"/>
          <w:sz w:val="24"/>
        </w:rPr>
        <w:t> </w:t>
      </w:r>
      <w:r>
        <w:rPr>
          <w:sz w:val="24"/>
        </w:rPr>
        <w:t>University, designed to move the system from reactive treatment to earlier, prevention-focused care. It combined population health analytics with service redesign, using the SAIL databank and wider informatics infrastructure to identify and</w:t>
      </w:r>
    </w:p>
    <w:p>
      <w:pPr>
        <w:pStyle w:val="BodyText"/>
        <w:spacing w:before="8"/>
        <w:rPr>
          <w:sz w:val="20"/>
        </w:rPr>
      </w:pPr>
      <w:r>
        <w:rPr>
          <w:sz w:val="20"/>
        </w:rPr>
        <mc:AlternateContent>
          <mc:Choice Requires="wps">
            <w:drawing>
              <wp:anchor distT="0" distB="0" distL="0" distR="0" allowOverlap="1" layoutInCell="1" locked="0" behindDoc="1" simplePos="0" relativeHeight="487645184">
                <wp:simplePos x="0" y="0"/>
                <wp:positionH relativeFrom="page">
                  <wp:posOffset>914717</wp:posOffset>
                </wp:positionH>
                <wp:positionV relativeFrom="paragraph">
                  <wp:posOffset>166522</wp:posOffset>
                </wp:positionV>
                <wp:extent cx="1830070" cy="9525"/>
                <wp:effectExtent l="0" t="0" r="0" b="0"/>
                <wp:wrapTopAndBottom/>
                <wp:docPr id="377" name="Graphic 377"/>
                <wp:cNvGraphicFramePr>
                  <a:graphicFrameLocks/>
                </wp:cNvGraphicFramePr>
                <a:graphic>
                  <a:graphicData uri="http://schemas.microsoft.com/office/word/2010/wordprocessingShape">
                    <wps:wsp>
                      <wps:cNvPr id="377" name="Graphic 377"/>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5002pt;margin-top:13.11203pt;width:144.080pt;height:.75pt;mso-position-horizontal-relative:page;mso-position-vertical-relative:paragraph;z-index:-15671296;mso-wrap-distance-left:0;mso-wrap-distance-right:0" id="docshape194" filled="true" fillcolor="#000000" stroked="false">
                <v:fill type="solid"/>
                <w10:wrap type="topAndBottom"/>
              </v:rect>
            </w:pict>
          </mc:Fallback>
        </mc:AlternateContent>
      </w:r>
    </w:p>
    <w:p>
      <w:pPr>
        <w:spacing w:line="240" w:lineRule="auto" w:before="99"/>
        <w:ind w:left="23" w:right="104" w:firstLine="0"/>
        <w:jc w:val="left"/>
        <w:rPr>
          <w:rFonts w:ascii="Calibri"/>
          <w:sz w:val="20"/>
        </w:rPr>
      </w:pPr>
      <w:bookmarkStart w:name="_bookmark10" w:id="42"/>
      <w:bookmarkEnd w:id="42"/>
      <w:r>
        <w:rPr/>
      </w:r>
      <w:r>
        <w:rPr>
          <w:rFonts w:ascii="Calibri"/>
          <w:position w:val="6"/>
          <w:sz w:val="13"/>
        </w:rPr>
        <w:t>1</w:t>
      </w:r>
      <w:r>
        <w:rPr>
          <w:rFonts w:ascii="Calibri"/>
          <w:spacing w:val="18"/>
          <w:position w:val="6"/>
          <w:sz w:val="13"/>
        </w:rPr>
        <w:t> </w:t>
      </w:r>
      <w:r>
        <w:rPr>
          <w:rFonts w:ascii="Calibri"/>
          <w:i/>
          <w:sz w:val="20"/>
        </w:rPr>
        <w:t>There is a lack of confidence that any action in place is sufficient to address the issue</w:t>
      </w:r>
      <w:r>
        <w:rPr>
          <w:rFonts w:ascii="Calibri"/>
          <w:i/>
          <w:spacing w:val="-2"/>
          <w:sz w:val="20"/>
        </w:rPr>
        <w:t> </w:t>
      </w:r>
      <w:r>
        <w:rPr>
          <w:rFonts w:ascii="Calibri"/>
          <w:i/>
          <w:sz w:val="20"/>
        </w:rPr>
        <w:t>satisfactorily and/or</w:t>
      </w:r>
      <w:r>
        <w:rPr>
          <w:rFonts w:ascii="Calibri"/>
          <w:i/>
          <w:sz w:val="20"/>
        </w:rPr>
        <w:t> within</w:t>
      </w:r>
      <w:r>
        <w:rPr>
          <w:rFonts w:ascii="Calibri"/>
          <w:i/>
          <w:spacing w:val="-1"/>
          <w:sz w:val="20"/>
        </w:rPr>
        <w:t> </w:t>
      </w:r>
      <w:r>
        <w:rPr>
          <w:rFonts w:ascii="Calibri"/>
          <w:i/>
          <w:sz w:val="20"/>
        </w:rPr>
        <w:t>the</w:t>
      </w:r>
      <w:r>
        <w:rPr>
          <w:rFonts w:ascii="Calibri"/>
          <w:i/>
          <w:spacing w:val="-3"/>
          <w:sz w:val="20"/>
        </w:rPr>
        <w:t> </w:t>
      </w:r>
      <w:r>
        <w:rPr>
          <w:rFonts w:ascii="Calibri"/>
          <w:i/>
          <w:sz w:val="20"/>
        </w:rPr>
        <w:t>scope</w:t>
      </w:r>
      <w:r>
        <w:rPr>
          <w:rFonts w:ascii="Calibri"/>
          <w:i/>
          <w:spacing w:val="-8"/>
          <w:sz w:val="20"/>
        </w:rPr>
        <w:t> </w:t>
      </w:r>
      <w:r>
        <w:rPr>
          <w:rFonts w:ascii="Calibri"/>
          <w:i/>
          <w:sz w:val="20"/>
        </w:rPr>
        <w:t>of</w:t>
      </w:r>
      <w:r>
        <w:rPr>
          <w:rFonts w:ascii="Calibri"/>
          <w:i/>
          <w:spacing w:val="-4"/>
          <w:sz w:val="20"/>
        </w:rPr>
        <w:t> </w:t>
      </w:r>
      <w:r>
        <w:rPr>
          <w:rFonts w:ascii="Calibri"/>
          <w:i/>
          <w:sz w:val="20"/>
        </w:rPr>
        <w:t>the</w:t>
      </w:r>
      <w:r>
        <w:rPr>
          <w:rFonts w:ascii="Calibri"/>
          <w:i/>
          <w:spacing w:val="-3"/>
          <w:sz w:val="20"/>
        </w:rPr>
        <w:t> </w:t>
      </w:r>
      <w:r>
        <w:rPr>
          <w:rFonts w:ascii="Calibri"/>
          <w:i/>
          <w:sz w:val="20"/>
        </w:rPr>
        <w:t>operational</w:t>
      </w:r>
      <w:r>
        <w:rPr>
          <w:rFonts w:ascii="Calibri"/>
          <w:i/>
          <w:spacing w:val="-3"/>
          <w:sz w:val="20"/>
        </w:rPr>
        <w:t> </w:t>
      </w:r>
      <w:r>
        <w:rPr>
          <w:rFonts w:ascii="Calibri"/>
          <w:i/>
          <w:sz w:val="20"/>
        </w:rPr>
        <w:t>team</w:t>
      </w:r>
      <w:r>
        <w:rPr>
          <w:rFonts w:ascii="Calibri"/>
          <w:i/>
          <w:spacing w:val="-6"/>
          <w:sz w:val="20"/>
        </w:rPr>
        <w:t> </w:t>
      </w:r>
      <w:r>
        <w:rPr>
          <w:rFonts w:ascii="Calibri"/>
          <w:i/>
          <w:sz w:val="20"/>
        </w:rPr>
        <w:t>or</w:t>
      </w:r>
      <w:r>
        <w:rPr>
          <w:rFonts w:ascii="Calibri"/>
          <w:i/>
          <w:spacing w:val="-1"/>
          <w:sz w:val="20"/>
        </w:rPr>
        <w:t> </w:t>
      </w:r>
      <w:r>
        <w:rPr>
          <w:rFonts w:ascii="Calibri"/>
          <w:i/>
          <w:sz w:val="20"/>
        </w:rPr>
        <w:t>executive</w:t>
      </w:r>
      <w:r>
        <w:rPr>
          <w:rFonts w:ascii="Calibri"/>
          <w:i/>
          <w:spacing w:val="-3"/>
          <w:sz w:val="20"/>
        </w:rPr>
        <w:t> </w:t>
      </w:r>
      <w:r>
        <w:rPr>
          <w:rFonts w:ascii="Calibri"/>
          <w:i/>
          <w:sz w:val="20"/>
        </w:rPr>
        <w:t>to</w:t>
      </w:r>
      <w:r>
        <w:rPr>
          <w:rFonts w:ascii="Calibri"/>
          <w:i/>
          <w:spacing w:val="-6"/>
          <w:sz w:val="20"/>
        </w:rPr>
        <w:t> </w:t>
      </w:r>
      <w:r>
        <w:rPr>
          <w:rFonts w:ascii="Calibri"/>
          <w:i/>
          <w:sz w:val="20"/>
        </w:rPr>
        <w:t>resolve.</w:t>
      </w:r>
      <w:r>
        <w:rPr>
          <w:rFonts w:ascii="Calibri"/>
          <w:i/>
          <w:spacing w:val="40"/>
          <w:sz w:val="20"/>
        </w:rPr>
        <w:t> </w:t>
      </w:r>
      <w:r>
        <w:rPr>
          <w:rFonts w:ascii="Calibri"/>
          <w:i/>
          <w:sz w:val="20"/>
        </w:rPr>
        <w:t>Engagement,</w:t>
      </w:r>
      <w:r>
        <w:rPr>
          <w:rFonts w:ascii="Calibri"/>
          <w:i/>
          <w:spacing w:val="-2"/>
          <w:sz w:val="20"/>
        </w:rPr>
        <w:t> </w:t>
      </w:r>
      <w:r>
        <w:rPr>
          <w:rFonts w:ascii="Calibri"/>
          <w:i/>
          <w:sz w:val="20"/>
        </w:rPr>
        <w:t>action</w:t>
      </w:r>
      <w:r>
        <w:rPr>
          <w:rFonts w:ascii="Calibri"/>
          <w:i/>
          <w:spacing w:val="-6"/>
          <w:sz w:val="20"/>
        </w:rPr>
        <w:t> </w:t>
      </w:r>
      <w:r>
        <w:rPr>
          <w:rFonts w:ascii="Calibri"/>
          <w:i/>
          <w:sz w:val="20"/>
        </w:rPr>
        <w:t>or</w:t>
      </w:r>
      <w:r>
        <w:rPr>
          <w:rFonts w:ascii="Calibri"/>
          <w:i/>
          <w:spacing w:val="-1"/>
          <w:sz w:val="20"/>
        </w:rPr>
        <w:t> </w:t>
      </w:r>
      <w:r>
        <w:rPr>
          <w:rFonts w:ascii="Calibri"/>
          <w:i/>
          <w:sz w:val="20"/>
        </w:rPr>
        <w:t>intervention</w:t>
      </w:r>
      <w:r>
        <w:rPr>
          <w:rFonts w:ascii="Calibri"/>
          <w:i/>
          <w:spacing w:val="-1"/>
          <w:sz w:val="20"/>
        </w:rPr>
        <w:t> </w:t>
      </w:r>
      <w:r>
        <w:rPr>
          <w:rFonts w:ascii="Calibri"/>
          <w:i/>
          <w:sz w:val="20"/>
        </w:rPr>
        <w:t>required. </w:t>
      </w:r>
      <w:bookmarkStart w:name="_bookmark11" w:id="43"/>
      <w:bookmarkEnd w:id="43"/>
      <w:r>
        <w:rPr>
          <w:rFonts w:ascii="Calibri"/>
          <w:i/>
          <w:sz w:val="20"/>
        </w:rPr>
      </w:r>
      <w:r>
        <w:rPr>
          <w:rFonts w:ascii="Calibri"/>
          <w:position w:val="6"/>
          <w:sz w:val="13"/>
        </w:rPr>
        <w:t>2</w:t>
      </w:r>
      <w:r>
        <w:rPr>
          <w:rFonts w:ascii="Calibri"/>
          <w:spacing w:val="11"/>
          <w:position w:val="6"/>
          <w:sz w:val="13"/>
        </w:rPr>
        <w:t> </w:t>
      </w:r>
      <w:r>
        <w:rPr>
          <w:rFonts w:ascii="Calibri"/>
          <w:i/>
          <w:sz w:val="20"/>
        </w:rPr>
        <w:t>There</w:t>
      </w:r>
      <w:r>
        <w:rPr>
          <w:rFonts w:ascii="Calibri"/>
          <w:i/>
          <w:spacing w:val="-4"/>
          <w:sz w:val="20"/>
        </w:rPr>
        <w:t> </w:t>
      </w:r>
      <w:r>
        <w:rPr>
          <w:rFonts w:ascii="Calibri"/>
          <w:i/>
          <w:sz w:val="20"/>
        </w:rPr>
        <w:t>are</w:t>
      </w:r>
      <w:r>
        <w:rPr>
          <w:rFonts w:ascii="Calibri"/>
          <w:i/>
          <w:spacing w:val="-4"/>
          <w:sz w:val="20"/>
        </w:rPr>
        <w:t> </w:t>
      </w:r>
      <w:r>
        <w:rPr>
          <w:rFonts w:ascii="Calibri"/>
          <w:i/>
          <w:sz w:val="20"/>
        </w:rPr>
        <w:t>areas</w:t>
      </w:r>
      <w:r>
        <w:rPr>
          <w:rFonts w:ascii="Calibri"/>
          <w:i/>
          <w:spacing w:val="-2"/>
          <w:sz w:val="20"/>
        </w:rPr>
        <w:t> </w:t>
      </w:r>
      <w:r>
        <w:rPr>
          <w:rFonts w:ascii="Calibri"/>
          <w:i/>
          <w:sz w:val="20"/>
        </w:rPr>
        <w:t>of</w:t>
      </w:r>
      <w:r>
        <w:rPr>
          <w:rFonts w:ascii="Calibri"/>
          <w:i/>
          <w:spacing w:val="-5"/>
          <w:sz w:val="20"/>
        </w:rPr>
        <w:t> </w:t>
      </w:r>
      <w:r>
        <w:rPr>
          <w:rFonts w:ascii="Calibri"/>
          <w:i/>
          <w:sz w:val="20"/>
        </w:rPr>
        <w:t>concern</w:t>
      </w:r>
      <w:r>
        <w:rPr>
          <w:rFonts w:ascii="Calibri"/>
          <w:i/>
          <w:spacing w:val="-2"/>
          <w:sz w:val="20"/>
        </w:rPr>
        <w:t> </w:t>
      </w:r>
      <w:r>
        <w:rPr>
          <w:rFonts w:ascii="Calibri"/>
          <w:i/>
          <w:sz w:val="20"/>
        </w:rPr>
        <w:t>where</w:t>
      </w:r>
      <w:r>
        <w:rPr>
          <w:rFonts w:ascii="Calibri"/>
          <w:i/>
          <w:spacing w:val="-4"/>
          <w:sz w:val="20"/>
        </w:rPr>
        <w:t> </w:t>
      </w:r>
      <w:r>
        <w:rPr>
          <w:rFonts w:ascii="Calibri"/>
          <w:i/>
          <w:sz w:val="20"/>
        </w:rPr>
        <w:t>assurance</w:t>
      </w:r>
      <w:r>
        <w:rPr>
          <w:rFonts w:ascii="Calibri"/>
          <w:i/>
          <w:spacing w:val="-4"/>
          <w:sz w:val="20"/>
        </w:rPr>
        <w:t> </w:t>
      </w:r>
      <w:r>
        <w:rPr>
          <w:rFonts w:ascii="Calibri"/>
          <w:i/>
          <w:sz w:val="20"/>
        </w:rPr>
        <w:t>has</w:t>
      </w:r>
      <w:r>
        <w:rPr>
          <w:rFonts w:ascii="Calibri"/>
          <w:i/>
          <w:spacing w:val="-2"/>
          <w:sz w:val="20"/>
        </w:rPr>
        <w:t> </w:t>
      </w:r>
      <w:r>
        <w:rPr>
          <w:rFonts w:ascii="Calibri"/>
          <w:i/>
          <w:sz w:val="20"/>
        </w:rPr>
        <w:t>been</w:t>
      </w:r>
      <w:r>
        <w:rPr>
          <w:rFonts w:ascii="Calibri"/>
          <w:i/>
          <w:spacing w:val="-2"/>
          <w:sz w:val="20"/>
        </w:rPr>
        <w:t> </w:t>
      </w:r>
      <w:r>
        <w:rPr>
          <w:rFonts w:ascii="Calibri"/>
          <w:i/>
          <w:sz w:val="20"/>
        </w:rPr>
        <w:t>taken</w:t>
      </w:r>
      <w:r>
        <w:rPr>
          <w:rFonts w:ascii="Calibri"/>
          <w:i/>
          <w:spacing w:val="-7"/>
          <w:sz w:val="20"/>
        </w:rPr>
        <w:t> </w:t>
      </w:r>
      <w:r>
        <w:rPr>
          <w:rFonts w:ascii="Calibri"/>
          <w:i/>
          <w:sz w:val="20"/>
        </w:rPr>
        <w:t>on</w:t>
      </w:r>
      <w:r>
        <w:rPr>
          <w:rFonts w:ascii="Calibri"/>
          <w:i/>
          <w:spacing w:val="-2"/>
          <w:sz w:val="20"/>
        </w:rPr>
        <w:t> </w:t>
      </w:r>
      <w:r>
        <w:rPr>
          <w:rFonts w:ascii="Calibri"/>
          <w:i/>
          <w:sz w:val="20"/>
        </w:rPr>
        <w:t>actions</w:t>
      </w:r>
      <w:r>
        <w:rPr>
          <w:rFonts w:ascii="Calibri"/>
          <w:i/>
          <w:spacing w:val="-2"/>
          <w:sz w:val="20"/>
        </w:rPr>
        <w:t> </w:t>
      </w:r>
      <w:r>
        <w:rPr>
          <w:rFonts w:ascii="Calibri"/>
          <w:i/>
          <w:sz w:val="20"/>
        </w:rPr>
        <w:t>in</w:t>
      </w:r>
      <w:r>
        <w:rPr>
          <w:rFonts w:ascii="Calibri"/>
          <w:i/>
          <w:spacing w:val="-7"/>
          <w:sz w:val="20"/>
        </w:rPr>
        <w:t> </w:t>
      </w:r>
      <w:r>
        <w:rPr>
          <w:rFonts w:ascii="Calibri"/>
          <w:i/>
          <w:sz w:val="20"/>
        </w:rPr>
        <w:t>place</w:t>
      </w:r>
      <w:r>
        <w:rPr>
          <w:rFonts w:ascii="Calibri"/>
          <w:i/>
          <w:spacing w:val="-4"/>
          <w:sz w:val="20"/>
        </w:rPr>
        <w:t> </w:t>
      </w:r>
      <w:r>
        <w:rPr>
          <w:rFonts w:ascii="Calibri"/>
          <w:i/>
          <w:sz w:val="20"/>
        </w:rPr>
        <w:t>but</w:t>
      </w:r>
      <w:r>
        <w:rPr>
          <w:rFonts w:ascii="Calibri"/>
          <w:i/>
          <w:spacing w:val="-5"/>
          <w:sz w:val="20"/>
        </w:rPr>
        <w:t> </w:t>
      </w:r>
      <w:r>
        <w:rPr>
          <w:rFonts w:ascii="Calibri"/>
          <w:i/>
          <w:sz w:val="20"/>
        </w:rPr>
        <w:t>requires</w:t>
      </w:r>
      <w:r>
        <w:rPr>
          <w:rFonts w:ascii="Calibri"/>
          <w:i/>
          <w:spacing w:val="-7"/>
          <w:sz w:val="20"/>
        </w:rPr>
        <w:t> </w:t>
      </w:r>
      <w:r>
        <w:rPr>
          <w:rFonts w:ascii="Calibri"/>
          <w:i/>
          <w:sz w:val="20"/>
        </w:rPr>
        <w:t>close</w:t>
      </w:r>
      <w:r>
        <w:rPr>
          <w:rFonts w:ascii="Calibri"/>
          <w:i/>
          <w:spacing w:val="-4"/>
          <w:sz w:val="20"/>
        </w:rPr>
        <w:t> </w:t>
      </w:r>
      <w:r>
        <w:rPr>
          <w:rFonts w:ascii="Calibri"/>
          <w:i/>
          <w:sz w:val="20"/>
        </w:rPr>
        <w:t>monitoring.</w:t>
      </w:r>
      <w:r>
        <w:rPr>
          <w:rFonts w:ascii="Calibri"/>
          <w:i/>
          <w:sz w:val="20"/>
        </w:rPr>
        <w:t> An early warning of an emerging and potentially serious concern</w:t>
      </w:r>
      <w:r>
        <w:rPr>
          <w:rFonts w:ascii="Calibri"/>
          <w:sz w:val="20"/>
        </w:rPr>
        <w:t>.</w:t>
      </w:r>
    </w:p>
    <w:p>
      <w:pPr>
        <w:spacing w:before="30"/>
        <w:ind w:left="4045" w:right="0" w:firstLine="0"/>
        <w:jc w:val="left"/>
        <w:rPr>
          <w:rFonts w:ascii="Calibri"/>
          <w:b/>
          <w:sz w:val="22"/>
        </w:rPr>
      </w:pPr>
      <w:r>
        <w:rPr>
          <w:rFonts w:ascii="Calibri"/>
          <w:sz w:val="22"/>
        </w:rPr>
        <w:t>Page</w:t>
      </w:r>
      <w:r>
        <w:rPr>
          <w:rFonts w:ascii="Calibri"/>
          <w:spacing w:val="-4"/>
          <w:sz w:val="22"/>
        </w:rPr>
        <w:t> </w:t>
      </w:r>
      <w:r>
        <w:rPr>
          <w:rFonts w:ascii="Calibri"/>
          <w:b/>
          <w:sz w:val="22"/>
        </w:rPr>
        <w:t>1</w:t>
      </w:r>
      <w:r>
        <w:rPr>
          <w:rFonts w:ascii="Calibri"/>
          <w:b/>
          <w:spacing w:val="-5"/>
          <w:sz w:val="22"/>
        </w:rPr>
        <w:t> </w:t>
      </w:r>
      <w:r>
        <w:rPr>
          <w:rFonts w:ascii="Calibri"/>
          <w:sz w:val="22"/>
        </w:rPr>
        <w:t>of</w:t>
      </w:r>
      <w:r>
        <w:rPr>
          <w:rFonts w:ascii="Calibri"/>
          <w:spacing w:val="-4"/>
          <w:sz w:val="22"/>
        </w:rPr>
        <w:t> </w:t>
      </w:r>
      <w:r>
        <w:rPr>
          <w:rFonts w:ascii="Calibri"/>
          <w:b/>
          <w:spacing w:val="-10"/>
          <w:sz w:val="22"/>
        </w:rPr>
        <w:t>3</w:t>
      </w:r>
    </w:p>
    <w:p>
      <w:pPr>
        <w:spacing w:after="0"/>
        <w:jc w:val="left"/>
        <w:rPr>
          <w:rFonts w:ascii="Calibri"/>
          <w:b/>
          <w:sz w:val="22"/>
        </w:rPr>
        <w:sectPr>
          <w:pgSz w:w="11910" w:h="16840"/>
          <w:pgMar w:header="0" w:footer="149" w:top="1140" w:bottom="340" w:left="1417" w:right="1417"/>
        </w:sectPr>
      </w:pPr>
    </w:p>
    <w:p>
      <w:pPr>
        <w:tabs>
          <w:tab w:pos="5149" w:val="left" w:leader="none"/>
        </w:tabs>
        <w:spacing w:line="240" w:lineRule="auto"/>
        <w:ind w:left="561" w:right="-58" w:firstLine="0"/>
        <w:rPr>
          <w:rFonts w:ascii="Calibri"/>
          <w:position w:val="9"/>
          <w:sz w:val="20"/>
        </w:rPr>
      </w:pPr>
      <w:r>
        <w:rPr>
          <w:rFonts w:ascii="Calibri"/>
          <w:sz w:val="20"/>
        </w:rPr>
        <w:drawing>
          <wp:inline distT="0" distB="0" distL="0" distR="0">
            <wp:extent cx="2247389" cy="585216"/>
            <wp:effectExtent l="0" t="0" r="0" b="0"/>
            <wp:docPr id="378" name="Image 378"/>
            <wp:cNvGraphicFramePr>
              <a:graphicFrameLocks/>
            </wp:cNvGraphicFramePr>
            <a:graphic>
              <a:graphicData uri="http://schemas.openxmlformats.org/drawingml/2006/picture">
                <pic:pic>
                  <pic:nvPicPr>
                    <pic:cNvPr id="378" name="Image 378"/>
                    <pic:cNvPicPr/>
                  </pic:nvPicPr>
                  <pic:blipFill>
                    <a:blip r:embed="rId50" cstate="print"/>
                    <a:stretch>
                      <a:fillRect/>
                    </a:stretch>
                  </pic:blipFill>
                  <pic:spPr>
                    <a:xfrm>
                      <a:off x="0" y="0"/>
                      <a:ext cx="2247389" cy="585216"/>
                    </a:xfrm>
                    <a:prstGeom prst="rect">
                      <a:avLst/>
                    </a:prstGeom>
                  </pic:spPr>
                </pic:pic>
              </a:graphicData>
            </a:graphic>
          </wp:inline>
        </w:drawing>
      </w:r>
      <w:r>
        <w:rPr>
          <w:rFonts w:ascii="Calibri"/>
          <w:sz w:val="20"/>
        </w:rPr>
      </w:r>
      <w:r>
        <w:rPr>
          <w:rFonts w:ascii="Calibri"/>
          <w:sz w:val="20"/>
        </w:rPr>
        <w:tab/>
      </w:r>
      <w:r>
        <w:rPr>
          <w:rFonts w:ascii="Calibri"/>
          <w:position w:val="9"/>
          <w:sz w:val="20"/>
        </w:rPr>
        <w:drawing>
          <wp:inline distT="0" distB="0" distL="0" distR="0">
            <wp:extent cx="2494674" cy="549021"/>
            <wp:effectExtent l="0" t="0" r="0" b="0"/>
            <wp:docPr id="379" name="Image 379"/>
            <wp:cNvGraphicFramePr>
              <a:graphicFrameLocks/>
            </wp:cNvGraphicFramePr>
            <a:graphic>
              <a:graphicData uri="http://schemas.openxmlformats.org/drawingml/2006/picture">
                <pic:pic>
                  <pic:nvPicPr>
                    <pic:cNvPr id="379" name="Image 379"/>
                    <pic:cNvPicPr/>
                  </pic:nvPicPr>
                  <pic:blipFill>
                    <a:blip r:embed="rId7" cstate="print"/>
                    <a:stretch>
                      <a:fillRect/>
                    </a:stretch>
                  </pic:blipFill>
                  <pic:spPr>
                    <a:xfrm>
                      <a:off x="0" y="0"/>
                      <a:ext cx="2494674" cy="549021"/>
                    </a:xfrm>
                    <a:prstGeom prst="rect">
                      <a:avLst/>
                    </a:prstGeom>
                  </pic:spPr>
                </pic:pic>
              </a:graphicData>
            </a:graphic>
          </wp:inline>
        </w:drawing>
      </w:r>
      <w:r>
        <w:rPr>
          <w:rFonts w:ascii="Calibri"/>
          <w:position w:val="9"/>
          <w:sz w:val="20"/>
        </w:rPr>
      </w:r>
    </w:p>
    <w:p>
      <w:pPr>
        <w:pStyle w:val="BodyText"/>
        <w:spacing w:before="159"/>
        <w:rPr>
          <w:rFonts w:ascii="Calibri"/>
          <w:b/>
        </w:rPr>
      </w:pPr>
    </w:p>
    <w:p>
      <w:pPr>
        <w:pStyle w:val="BodyText"/>
        <w:spacing w:line="237" w:lineRule="auto"/>
        <w:ind w:left="744"/>
      </w:pPr>
      <w:r>
        <w:rPr/>
        <w:t>stratify</w:t>
      </w:r>
      <w:r>
        <w:rPr>
          <w:spacing w:val="-3"/>
        </w:rPr>
        <w:t> </w:t>
      </w:r>
      <w:r>
        <w:rPr/>
        <w:t>patients</w:t>
      </w:r>
      <w:r>
        <w:rPr>
          <w:spacing w:val="-3"/>
        </w:rPr>
        <w:t> </w:t>
      </w:r>
      <w:r>
        <w:rPr/>
        <w:t>at</w:t>
      </w:r>
      <w:r>
        <w:rPr>
          <w:spacing w:val="-5"/>
        </w:rPr>
        <w:t> </w:t>
      </w:r>
      <w:r>
        <w:rPr/>
        <w:t>highest</w:t>
      </w:r>
      <w:r>
        <w:rPr>
          <w:spacing w:val="-5"/>
        </w:rPr>
        <w:t> </w:t>
      </w:r>
      <w:r>
        <w:rPr/>
        <w:t>risk</w:t>
      </w:r>
      <w:r>
        <w:rPr>
          <w:spacing w:val="-3"/>
        </w:rPr>
        <w:t> </w:t>
      </w:r>
      <w:r>
        <w:rPr/>
        <w:t>of</w:t>
      </w:r>
      <w:r>
        <w:rPr>
          <w:spacing w:val="-5"/>
        </w:rPr>
        <w:t> </w:t>
      </w:r>
      <w:r>
        <w:rPr/>
        <w:t>future</w:t>
      </w:r>
      <w:r>
        <w:rPr>
          <w:spacing w:val="-2"/>
        </w:rPr>
        <w:t> </w:t>
      </w:r>
      <w:r>
        <w:rPr/>
        <w:t>cardiovascular</w:t>
      </w:r>
      <w:r>
        <w:rPr>
          <w:spacing w:val="-3"/>
        </w:rPr>
        <w:t> </w:t>
      </w:r>
      <w:r>
        <w:rPr/>
        <w:t>events.</w:t>
      </w:r>
      <w:r>
        <w:rPr>
          <w:spacing w:val="-5"/>
        </w:rPr>
        <w:t> </w:t>
      </w:r>
      <w:r>
        <w:rPr/>
        <w:t>Building</w:t>
      </w:r>
      <w:r>
        <w:rPr>
          <w:spacing w:val="-2"/>
        </w:rPr>
        <w:t> </w:t>
      </w:r>
      <w:r>
        <w:rPr/>
        <w:t>on</w:t>
      </w:r>
      <w:r>
        <w:rPr>
          <w:spacing w:val="-2"/>
        </w:rPr>
        <w:t> </w:t>
      </w:r>
      <w:r>
        <w:rPr/>
        <w:t>this intelligence, the project tested targeted, high</w:t>
      </w:r>
      <w:r>
        <w:rPr>
          <w:rFonts w:ascii="Cambria Math" w:hAnsi="Cambria Math"/>
        </w:rPr>
        <w:t>‑</w:t>
      </w:r>
      <w:r>
        <w:rPr/>
        <w:t>intensity interventions,</w:t>
      </w:r>
    </w:p>
    <w:p>
      <w:pPr>
        <w:pStyle w:val="BodyText"/>
        <w:spacing w:before="1"/>
        <w:ind w:left="744" w:right="104"/>
      </w:pPr>
      <w:r>
        <w:rPr/>
        <w:t>particularly pharmacist-led prevention clinics, focused on lipid optimisation, blood pressure control and lifestyle support, to close the treatment gap and improve outcomes. Hywel Dda has agreed to fund a pathfinder project to move</w:t>
      </w:r>
      <w:r>
        <w:rPr>
          <w:spacing w:val="-4"/>
        </w:rPr>
        <w:t> </w:t>
      </w:r>
      <w:r>
        <w:rPr/>
        <w:t>the</w:t>
      </w:r>
      <w:r>
        <w:rPr>
          <w:spacing w:val="-4"/>
        </w:rPr>
        <w:t> </w:t>
      </w:r>
      <w:r>
        <w:rPr/>
        <w:t>model</w:t>
      </w:r>
      <w:r>
        <w:rPr>
          <w:spacing w:val="-4"/>
        </w:rPr>
        <w:t> </w:t>
      </w:r>
      <w:r>
        <w:rPr/>
        <w:t>towards</w:t>
      </w:r>
      <w:r>
        <w:rPr>
          <w:spacing w:val="-5"/>
        </w:rPr>
        <w:t> </w:t>
      </w:r>
      <w:r>
        <w:rPr/>
        <w:t>sustainability</w:t>
      </w:r>
      <w:r>
        <w:rPr>
          <w:spacing w:val="-5"/>
        </w:rPr>
        <w:t> </w:t>
      </w:r>
      <w:r>
        <w:rPr/>
        <w:t>and</w:t>
      </w:r>
      <w:r>
        <w:rPr>
          <w:spacing w:val="-4"/>
        </w:rPr>
        <w:t> </w:t>
      </w:r>
      <w:r>
        <w:rPr/>
        <w:t>Swansea</w:t>
      </w:r>
      <w:r>
        <w:rPr>
          <w:spacing w:val="-4"/>
        </w:rPr>
        <w:t> </w:t>
      </w:r>
      <w:r>
        <w:rPr/>
        <w:t>Bay</w:t>
      </w:r>
      <w:r>
        <w:rPr>
          <w:spacing w:val="-5"/>
        </w:rPr>
        <w:t> </w:t>
      </w:r>
      <w:r>
        <w:rPr/>
        <w:t>is</w:t>
      </w:r>
      <w:r>
        <w:rPr>
          <w:spacing w:val="-5"/>
        </w:rPr>
        <w:t> </w:t>
      </w:r>
      <w:r>
        <w:rPr/>
        <w:t>appraising</w:t>
      </w:r>
      <w:r>
        <w:rPr>
          <w:spacing w:val="-4"/>
        </w:rPr>
        <w:t> </w:t>
      </w:r>
      <w:r>
        <w:rPr/>
        <w:t>how</w:t>
      </w:r>
      <w:r>
        <w:rPr>
          <w:spacing w:val="-4"/>
        </w:rPr>
        <w:t> </w:t>
      </w:r>
      <w:r>
        <w:rPr/>
        <w:t>a sustainability plan could be situated in primary care but remains open to working regionally.</w:t>
      </w:r>
    </w:p>
    <w:p>
      <w:pPr>
        <w:pStyle w:val="ListParagraph"/>
        <w:numPr>
          <w:ilvl w:val="0"/>
          <w:numId w:val="29"/>
        </w:numPr>
        <w:tabs>
          <w:tab w:pos="734" w:val="left" w:leader="none"/>
        </w:tabs>
        <w:spacing w:line="240" w:lineRule="auto" w:before="0" w:after="0"/>
        <w:ind w:left="734" w:right="39" w:hanging="360"/>
        <w:jc w:val="left"/>
        <w:rPr>
          <w:sz w:val="24"/>
        </w:rPr>
      </w:pPr>
      <w:r>
        <w:rPr>
          <w:sz w:val="24"/>
        </w:rPr>
        <w:t>Discussions are continuing with executives in relation to the South West Wales Corporate Joint Committee around supporting a </w:t>
      </w:r>
      <w:r>
        <w:rPr>
          <w:b/>
          <w:sz w:val="24"/>
        </w:rPr>
        <w:t>coordinated, regionally led approach to developing the life sciences sector </w:t>
      </w:r>
      <w:r>
        <w:rPr>
          <w:sz w:val="24"/>
        </w:rPr>
        <w:t>as a core economic</w:t>
      </w:r>
      <w:r>
        <w:rPr>
          <w:spacing w:val="-6"/>
          <w:sz w:val="24"/>
        </w:rPr>
        <w:t> </w:t>
      </w:r>
      <w:r>
        <w:rPr>
          <w:sz w:val="24"/>
        </w:rPr>
        <w:t>priority.</w:t>
      </w:r>
      <w:r>
        <w:rPr>
          <w:spacing w:val="-8"/>
          <w:sz w:val="24"/>
        </w:rPr>
        <w:t> </w:t>
      </w:r>
      <w:r>
        <w:rPr>
          <w:sz w:val="24"/>
        </w:rPr>
        <w:t>South</w:t>
      </w:r>
      <w:r>
        <w:rPr>
          <w:spacing w:val="-5"/>
          <w:sz w:val="24"/>
        </w:rPr>
        <w:t> </w:t>
      </w:r>
      <w:r>
        <w:rPr>
          <w:sz w:val="24"/>
        </w:rPr>
        <w:t>West</w:t>
      </w:r>
      <w:r>
        <w:rPr>
          <w:spacing w:val="-8"/>
          <w:sz w:val="24"/>
        </w:rPr>
        <w:t> </w:t>
      </w:r>
      <w:r>
        <w:rPr>
          <w:sz w:val="24"/>
        </w:rPr>
        <w:t>Wales</w:t>
      </w:r>
      <w:r>
        <w:rPr>
          <w:spacing w:val="-6"/>
          <w:sz w:val="24"/>
        </w:rPr>
        <w:t> </w:t>
      </w:r>
      <w:r>
        <w:rPr>
          <w:sz w:val="24"/>
        </w:rPr>
        <w:t>has</w:t>
      </w:r>
      <w:r>
        <w:rPr>
          <w:spacing w:val="-6"/>
          <w:sz w:val="24"/>
        </w:rPr>
        <w:t> </w:t>
      </w:r>
      <w:r>
        <w:rPr>
          <w:sz w:val="24"/>
        </w:rPr>
        <w:t>strong</w:t>
      </w:r>
      <w:r>
        <w:rPr>
          <w:spacing w:val="-5"/>
          <w:sz w:val="24"/>
        </w:rPr>
        <w:t> </w:t>
      </w:r>
      <w:r>
        <w:rPr>
          <w:sz w:val="24"/>
        </w:rPr>
        <w:t>but</w:t>
      </w:r>
      <w:r>
        <w:rPr>
          <w:spacing w:val="-8"/>
          <w:sz w:val="24"/>
        </w:rPr>
        <w:t> </w:t>
      </w:r>
      <w:r>
        <w:rPr>
          <w:sz w:val="24"/>
        </w:rPr>
        <w:t>fragmented</w:t>
      </w:r>
      <w:r>
        <w:rPr>
          <w:spacing w:val="-5"/>
          <w:sz w:val="24"/>
        </w:rPr>
        <w:t> </w:t>
      </w:r>
      <w:r>
        <w:rPr>
          <w:sz w:val="24"/>
        </w:rPr>
        <w:t>assets</w:t>
      </w:r>
      <w:r>
        <w:rPr>
          <w:spacing w:val="-6"/>
          <w:sz w:val="24"/>
        </w:rPr>
        <w:t> </w:t>
      </w:r>
      <w:r>
        <w:rPr>
          <w:sz w:val="24"/>
        </w:rPr>
        <w:t>across the NHS, universities and industry, and aligning these through a shared regional framework could position the area as a nationally significant health innovation and life sciences testbed. There is an opportunity to move from isolated activity to a connected pipeline spanning research, evaluation, adoption and scale, supported by better access to skills, funding,</w:t>
      </w:r>
    </w:p>
    <w:p>
      <w:pPr>
        <w:pStyle w:val="BodyText"/>
        <w:ind w:left="734" w:right="104"/>
      </w:pPr>
      <w:r>
        <w:rPr/>
        <w:t>infrastructure</w:t>
      </w:r>
      <w:r>
        <w:rPr>
          <w:spacing w:val="-5"/>
        </w:rPr>
        <w:t> </w:t>
      </w:r>
      <w:r>
        <w:rPr/>
        <w:t>and</w:t>
      </w:r>
      <w:r>
        <w:rPr>
          <w:spacing w:val="-4"/>
        </w:rPr>
        <w:t> </w:t>
      </w:r>
      <w:r>
        <w:rPr/>
        <w:t>industry</w:t>
      </w:r>
      <w:r>
        <w:rPr>
          <w:spacing w:val="-5"/>
        </w:rPr>
        <w:t> </w:t>
      </w:r>
      <w:r>
        <w:rPr/>
        <w:t>engagement.</w:t>
      </w:r>
      <w:r>
        <w:rPr>
          <w:spacing w:val="-12"/>
        </w:rPr>
        <w:t> </w:t>
      </w:r>
      <w:r>
        <w:rPr/>
        <w:t>A</w:t>
      </w:r>
      <w:r>
        <w:rPr>
          <w:spacing w:val="-17"/>
        </w:rPr>
        <w:t> </w:t>
      </w:r>
      <w:r>
        <w:rPr/>
        <w:t>cross-partner</w:t>
      </w:r>
      <w:r>
        <w:rPr>
          <w:spacing w:val="-4"/>
        </w:rPr>
        <w:t> </w:t>
      </w:r>
      <w:r>
        <w:rPr/>
        <w:t>programme</w:t>
      </w:r>
      <w:r>
        <w:rPr>
          <w:spacing w:val="-2"/>
        </w:rPr>
        <w:t> </w:t>
      </w:r>
      <w:r>
        <w:rPr/>
        <w:t>is</w:t>
      </w:r>
      <w:r>
        <w:rPr>
          <w:spacing w:val="-5"/>
        </w:rPr>
        <w:t> </w:t>
      </w:r>
      <w:r>
        <w:rPr/>
        <w:t>being explored, which would develop a clear regional proposition and delivery model, with defined leadership and a prospectus to attract investment and support long-term economic growth and improved health outcomes. Further updates will be provided as the work progresses.</w:t>
      </w:r>
    </w:p>
    <w:p>
      <w:pPr>
        <w:spacing w:before="274"/>
        <w:ind w:left="23" w:right="0" w:firstLine="0"/>
        <w:jc w:val="left"/>
        <w:rPr>
          <w:sz w:val="24"/>
        </w:rPr>
      </w:pPr>
      <w:r>
        <w:rPr>
          <w:b/>
          <w:sz w:val="24"/>
        </w:rPr>
        <w:t>Assure</w:t>
      </w:r>
      <w:hyperlink w:history="true" w:anchor="_bookmark12">
        <w:r>
          <w:rPr>
            <w:b/>
            <w:sz w:val="24"/>
            <w:vertAlign w:val="superscript"/>
          </w:rPr>
          <w:t>3</w:t>
        </w:r>
      </w:hyperlink>
      <w:r>
        <w:rPr>
          <w:b/>
          <w:spacing w:val="-4"/>
          <w:sz w:val="24"/>
          <w:vertAlign w:val="baseline"/>
        </w:rPr>
        <w:t> </w:t>
      </w:r>
      <w:r>
        <w:rPr>
          <w:sz w:val="24"/>
          <w:vertAlign w:val="baseline"/>
        </w:rPr>
        <w:t>(to</w:t>
      </w:r>
      <w:r>
        <w:rPr>
          <w:spacing w:val="-2"/>
          <w:sz w:val="24"/>
          <w:vertAlign w:val="baseline"/>
        </w:rPr>
        <w:t> </w:t>
      </w:r>
      <w:r>
        <w:rPr>
          <w:sz w:val="24"/>
          <w:vertAlign w:val="baseline"/>
        </w:rPr>
        <w:t>note)/</w:t>
      </w:r>
      <w:r>
        <w:rPr>
          <w:spacing w:val="-4"/>
          <w:sz w:val="24"/>
          <w:vertAlign w:val="baseline"/>
        </w:rPr>
        <w:t> </w:t>
      </w:r>
      <w:r>
        <w:rPr>
          <w:b/>
          <w:sz w:val="24"/>
          <w:vertAlign w:val="baseline"/>
        </w:rPr>
        <w:t>Sicrhau</w:t>
      </w:r>
      <w:r>
        <w:rPr>
          <w:b/>
          <w:spacing w:val="-4"/>
          <w:sz w:val="24"/>
          <w:vertAlign w:val="baseline"/>
        </w:rPr>
        <w:t> </w:t>
      </w:r>
      <w:r>
        <w:rPr>
          <w:sz w:val="24"/>
          <w:vertAlign w:val="baseline"/>
        </w:rPr>
        <w:t>(i</w:t>
      </w:r>
      <w:r>
        <w:rPr>
          <w:spacing w:val="-1"/>
          <w:sz w:val="24"/>
          <w:vertAlign w:val="baseline"/>
        </w:rPr>
        <w:t> </w:t>
      </w:r>
      <w:r>
        <w:rPr>
          <w:spacing w:val="-2"/>
          <w:sz w:val="24"/>
          <w:vertAlign w:val="baseline"/>
        </w:rPr>
        <w:t>nodi)</w:t>
      </w:r>
    </w:p>
    <w:p>
      <w:pPr>
        <w:pStyle w:val="ListParagraph"/>
        <w:numPr>
          <w:ilvl w:val="0"/>
          <w:numId w:val="29"/>
        </w:numPr>
        <w:tabs>
          <w:tab w:pos="739" w:val="left" w:leader="none"/>
        </w:tabs>
        <w:spacing w:line="237" w:lineRule="auto" w:before="6" w:after="0"/>
        <w:ind w:left="739" w:right="488" w:hanging="360"/>
        <w:jc w:val="left"/>
        <w:rPr>
          <w:sz w:val="24"/>
        </w:rPr>
      </w:pPr>
      <w:r>
        <w:rPr>
          <w:b/>
          <w:sz w:val="24"/>
        </w:rPr>
        <w:t>Regional Research and Innovation Director</w:t>
      </w:r>
      <w:r>
        <w:rPr>
          <w:sz w:val="24"/>
        </w:rPr>
        <w:t>: Dr Leighton Phillips successfully</w:t>
      </w:r>
      <w:r>
        <w:rPr>
          <w:spacing w:val="-7"/>
          <w:sz w:val="24"/>
        </w:rPr>
        <w:t> </w:t>
      </w:r>
      <w:r>
        <w:rPr>
          <w:sz w:val="24"/>
        </w:rPr>
        <w:t>appointed</w:t>
      </w:r>
      <w:r>
        <w:rPr>
          <w:spacing w:val="-6"/>
          <w:sz w:val="24"/>
        </w:rPr>
        <w:t> </w:t>
      </w:r>
      <w:r>
        <w:rPr>
          <w:sz w:val="24"/>
        </w:rPr>
        <w:t>as</w:t>
      </w:r>
      <w:r>
        <w:rPr>
          <w:spacing w:val="-7"/>
          <w:sz w:val="24"/>
        </w:rPr>
        <w:t> </w:t>
      </w:r>
      <w:r>
        <w:rPr>
          <w:sz w:val="24"/>
        </w:rPr>
        <w:t>the</w:t>
      </w:r>
      <w:r>
        <w:rPr>
          <w:spacing w:val="-6"/>
          <w:sz w:val="24"/>
        </w:rPr>
        <w:t> </w:t>
      </w:r>
      <w:r>
        <w:rPr>
          <w:sz w:val="24"/>
        </w:rPr>
        <w:t>Regional</w:t>
      </w:r>
      <w:r>
        <w:rPr>
          <w:spacing w:val="-6"/>
          <w:sz w:val="24"/>
        </w:rPr>
        <w:t> </w:t>
      </w:r>
      <w:r>
        <w:rPr>
          <w:sz w:val="24"/>
        </w:rPr>
        <w:t>Research</w:t>
      </w:r>
      <w:r>
        <w:rPr>
          <w:spacing w:val="-6"/>
          <w:sz w:val="24"/>
        </w:rPr>
        <w:t> </w:t>
      </w:r>
      <w:r>
        <w:rPr>
          <w:sz w:val="24"/>
        </w:rPr>
        <w:t>and</w:t>
      </w:r>
      <w:r>
        <w:rPr>
          <w:spacing w:val="-6"/>
          <w:sz w:val="24"/>
        </w:rPr>
        <w:t> </w:t>
      </w:r>
      <w:r>
        <w:rPr>
          <w:sz w:val="24"/>
        </w:rPr>
        <w:t>Innovation</w:t>
      </w:r>
      <w:r>
        <w:rPr>
          <w:spacing w:val="-6"/>
          <w:sz w:val="24"/>
        </w:rPr>
        <w:t> </w:t>
      </w:r>
      <w:r>
        <w:rPr>
          <w:sz w:val="24"/>
        </w:rPr>
        <w:t>Director, taking up post on 21</w:t>
      </w:r>
      <w:r>
        <w:rPr>
          <w:sz w:val="24"/>
          <w:vertAlign w:val="superscript"/>
        </w:rPr>
        <w:t>st</w:t>
      </w:r>
      <w:r>
        <w:rPr>
          <w:sz w:val="24"/>
          <w:vertAlign w:val="baseline"/>
        </w:rPr>
        <w:t> September 2026, for an initial period of 12 months.</w:t>
      </w:r>
    </w:p>
    <w:p>
      <w:pPr>
        <w:pStyle w:val="BodyText"/>
        <w:spacing w:line="242" w:lineRule="auto" w:before="1"/>
        <w:ind w:left="739" w:right="104"/>
      </w:pPr>
      <w:r>
        <w:rPr/>
        <w:t>During this time a review of both organisations’</w:t>
      </w:r>
      <w:r>
        <w:rPr>
          <w:spacing w:val="-6"/>
        </w:rPr>
        <w:t> </w:t>
      </w:r>
      <w:r>
        <w:rPr/>
        <w:t>structures will be undertaken to develop a strategy and approach to working more regionally. Initials findings</w:t>
      </w:r>
      <w:r>
        <w:rPr>
          <w:spacing w:val="-5"/>
        </w:rPr>
        <w:t> </w:t>
      </w:r>
      <w:r>
        <w:rPr/>
        <w:t>will</w:t>
      </w:r>
      <w:r>
        <w:rPr>
          <w:spacing w:val="-4"/>
        </w:rPr>
        <w:t> </w:t>
      </w:r>
      <w:r>
        <w:rPr/>
        <w:t>be</w:t>
      </w:r>
      <w:r>
        <w:rPr>
          <w:spacing w:val="-4"/>
        </w:rPr>
        <w:t> </w:t>
      </w:r>
      <w:r>
        <w:rPr/>
        <w:t>shared</w:t>
      </w:r>
      <w:r>
        <w:rPr>
          <w:spacing w:val="-4"/>
        </w:rPr>
        <w:t> </w:t>
      </w:r>
      <w:r>
        <w:rPr/>
        <w:t>with</w:t>
      </w:r>
      <w:r>
        <w:rPr>
          <w:spacing w:val="-4"/>
        </w:rPr>
        <w:t> </w:t>
      </w:r>
      <w:r>
        <w:rPr/>
        <w:t>the</w:t>
      </w:r>
      <w:r>
        <w:rPr>
          <w:spacing w:val="-4"/>
        </w:rPr>
        <w:t> </w:t>
      </w:r>
      <w:r>
        <w:rPr/>
        <w:t>workstream towards</w:t>
      </w:r>
      <w:r>
        <w:rPr>
          <w:spacing w:val="-4"/>
        </w:rPr>
        <w:t> </w:t>
      </w:r>
      <w:r>
        <w:rPr/>
        <w:t>the</w:t>
      </w:r>
      <w:r>
        <w:rPr>
          <w:spacing w:val="-4"/>
        </w:rPr>
        <w:t> </w:t>
      </w:r>
      <w:r>
        <w:rPr/>
        <w:t>end</w:t>
      </w:r>
      <w:r>
        <w:rPr>
          <w:spacing w:val="-4"/>
        </w:rPr>
        <w:t> </w:t>
      </w:r>
      <w:r>
        <w:rPr/>
        <w:t>of</w:t>
      </w:r>
      <w:r>
        <w:rPr>
          <w:spacing w:val="-7"/>
        </w:rPr>
        <w:t> </w:t>
      </w:r>
      <w:r>
        <w:rPr/>
        <w:t>calendar</w:t>
      </w:r>
      <w:r>
        <w:rPr>
          <w:spacing w:val="-5"/>
        </w:rPr>
        <w:t> </w:t>
      </w:r>
      <w:r>
        <w:rPr/>
        <w:t>year.</w:t>
      </w:r>
    </w:p>
    <w:p>
      <w:pPr>
        <w:pStyle w:val="ListParagraph"/>
        <w:numPr>
          <w:ilvl w:val="0"/>
          <w:numId w:val="29"/>
        </w:numPr>
        <w:tabs>
          <w:tab w:pos="739" w:val="left" w:leader="none"/>
        </w:tabs>
        <w:spacing w:line="240" w:lineRule="auto" w:before="0" w:after="0"/>
        <w:ind w:left="739" w:right="27" w:hanging="360"/>
        <w:jc w:val="left"/>
        <w:rPr>
          <w:sz w:val="24"/>
        </w:rPr>
      </w:pPr>
      <w:r>
        <w:rPr>
          <w:sz w:val="24"/>
        </w:rPr>
        <w:t>A</w:t>
      </w:r>
      <w:r>
        <w:rPr>
          <w:spacing w:val="-7"/>
          <w:sz w:val="24"/>
        </w:rPr>
        <w:t> </w:t>
      </w:r>
      <w:r>
        <w:rPr>
          <w:sz w:val="24"/>
        </w:rPr>
        <w:t>strategic discussion was held between the Chief Executives and Chairs of the two Health Boards and the Vice-Chancellors of the region's three universities to explore how </w:t>
      </w:r>
      <w:r>
        <w:rPr>
          <w:b/>
          <w:sz w:val="24"/>
        </w:rPr>
        <w:t>NHS and University Partnership </w:t>
      </w:r>
      <w:r>
        <w:rPr>
          <w:sz w:val="24"/>
        </w:rPr>
        <w:t>could be used to create a stronger regional health economy and healthier communities. There</w:t>
      </w:r>
      <w:r>
        <w:rPr>
          <w:spacing w:val="-2"/>
          <w:sz w:val="24"/>
        </w:rPr>
        <w:t> </w:t>
      </w:r>
      <w:r>
        <w:rPr>
          <w:sz w:val="24"/>
        </w:rPr>
        <w:t>was</w:t>
      </w:r>
      <w:r>
        <w:rPr>
          <w:spacing w:val="-3"/>
          <w:sz w:val="24"/>
        </w:rPr>
        <w:t> </w:t>
      </w:r>
      <w:r>
        <w:rPr>
          <w:sz w:val="24"/>
        </w:rPr>
        <w:t>strong</w:t>
      </w:r>
      <w:r>
        <w:rPr>
          <w:spacing w:val="-2"/>
          <w:sz w:val="24"/>
        </w:rPr>
        <w:t> </w:t>
      </w:r>
      <w:r>
        <w:rPr>
          <w:sz w:val="24"/>
        </w:rPr>
        <w:t>support</w:t>
      </w:r>
      <w:r>
        <w:rPr>
          <w:spacing w:val="-5"/>
          <w:sz w:val="24"/>
        </w:rPr>
        <w:t> </w:t>
      </w:r>
      <w:r>
        <w:rPr>
          <w:sz w:val="24"/>
        </w:rPr>
        <w:t>for</w:t>
      </w:r>
      <w:r>
        <w:rPr>
          <w:spacing w:val="-3"/>
          <w:sz w:val="24"/>
        </w:rPr>
        <w:t> </w:t>
      </w:r>
      <w:r>
        <w:rPr>
          <w:sz w:val="24"/>
        </w:rPr>
        <w:t>a</w:t>
      </w:r>
      <w:r>
        <w:rPr>
          <w:spacing w:val="-2"/>
          <w:sz w:val="24"/>
        </w:rPr>
        <w:t> </w:t>
      </w:r>
      <w:r>
        <w:rPr>
          <w:sz w:val="24"/>
        </w:rPr>
        <w:t>renewed partnership,</w:t>
      </w:r>
      <w:r>
        <w:rPr>
          <w:spacing w:val="-5"/>
          <w:sz w:val="24"/>
        </w:rPr>
        <w:t> </w:t>
      </w:r>
      <w:r>
        <w:rPr>
          <w:sz w:val="24"/>
        </w:rPr>
        <w:t>with</w:t>
      </w:r>
      <w:r>
        <w:rPr>
          <w:spacing w:val="-2"/>
          <w:sz w:val="24"/>
        </w:rPr>
        <w:t> </w:t>
      </w:r>
      <w:r>
        <w:rPr>
          <w:sz w:val="24"/>
        </w:rPr>
        <w:t>a</w:t>
      </w:r>
      <w:r>
        <w:rPr>
          <w:spacing w:val="-2"/>
          <w:sz w:val="24"/>
        </w:rPr>
        <w:t> </w:t>
      </w:r>
      <w:r>
        <w:rPr>
          <w:sz w:val="24"/>
        </w:rPr>
        <w:t>clear</w:t>
      </w:r>
      <w:r>
        <w:rPr>
          <w:spacing w:val="-3"/>
          <w:sz w:val="24"/>
        </w:rPr>
        <w:t> </w:t>
      </w:r>
      <w:r>
        <w:rPr>
          <w:sz w:val="24"/>
        </w:rPr>
        <w:t>emphasis</w:t>
      </w:r>
      <w:r>
        <w:rPr>
          <w:spacing w:val="-3"/>
          <w:sz w:val="24"/>
        </w:rPr>
        <w:t> </w:t>
      </w:r>
      <w:r>
        <w:rPr>
          <w:sz w:val="24"/>
        </w:rPr>
        <w:t>on moving beyond previous arrangements towards a more purposeful, delivery-focused approach. Universities highlighted the strengths they could bring to shared</w:t>
      </w:r>
      <w:r>
        <w:rPr>
          <w:spacing w:val="-1"/>
          <w:sz w:val="24"/>
        </w:rPr>
        <w:t> </w:t>
      </w:r>
      <w:r>
        <w:rPr>
          <w:sz w:val="24"/>
        </w:rPr>
        <w:t>regional</w:t>
      </w:r>
      <w:r>
        <w:rPr>
          <w:spacing w:val="-1"/>
          <w:sz w:val="24"/>
        </w:rPr>
        <w:t> </w:t>
      </w:r>
      <w:r>
        <w:rPr>
          <w:sz w:val="24"/>
        </w:rPr>
        <w:t>priorities,</w:t>
      </w:r>
      <w:r>
        <w:rPr>
          <w:spacing w:val="-4"/>
          <w:sz w:val="24"/>
        </w:rPr>
        <w:t> </w:t>
      </w:r>
      <w:r>
        <w:rPr>
          <w:sz w:val="24"/>
        </w:rPr>
        <w:t>particularly</w:t>
      </w:r>
      <w:r>
        <w:rPr>
          <w:spacing w:val="-2"/>
          <w:sz w:val="24"/>
        </w:rPr>
        <w:t> </w:t>
      </w:r>
      <w:r>
        <w:rPr>
          <w:sz w:val="24"/>
        </w:rPr>
        <w:t>around</w:t>
      </w:r>
      <w:r>
        <w:rPr>
          <w:spacing w:val="-1"/>
          <w:sz w:val="24"/>
        </w:rPr>
        <w:t> </w:t>
      </w:r>
      <w:r>
        <w:rPr>
          <w:sz w:val="24"/>
        </w:rPr>
        <w:t>developing</w:t>
      </w:r>
      <w:r>
        <w:rPr>
          <w:spacing w:val="-1"/>
          <w:sz w:val="24"/>
        </w:rPr>
        <w:t> </w:t>
      </w:r>
      <w:r>
        <w:rPr>
          <w:sz w:val="24"/>
        </w:rPr>
        <w:t>a</w:t>
      </w:r>
      <w:r>
        <w:rPr>
          <w:spacing w:val="-1"/>
          <w:sz w:val="24"/>
        </w:rPr>
        <w:t> </w:t>
      </w:r>
      <w:r>
        <w:rPr>
          <w:sz w:val="24"/>
        </w:rPr>
        <w:t>healthy, skilled</w:t>
      </w:r>
      <w:r>
        <w:rPr>
          <w:spacing w:val="-1"/>
          <w:sz w:val="24"/>
        </w:rPr>
        <w:t> </w:t>
      </w:r>
      <w:r>
        <w:rPr>
          <w:sz w:val="24"/>
        </w:rPr>
        <w:t>and resilient workforce, recognising that learning is a lifelong endeavour, and the opportunity to influence educational commissioning and workforce development collectively.</w:t>
      </w:r>
      <w:r>
        <w:rPr>
          <w:spacing w:val="40"/>
          <w:sz w:val="24"/>
        </w:rPr>
        <w:t> </w:t>
      </w:r>
      <w:r>
        <w:rPr>
          <w:sz w:val="24"/>
        </w:rPr>
        <w:t>Cardiovascular disease emerged as a potential unifying challenge around which partners could align their research, education, clinical, public health and innovation</w:t>
      </w:r>
      <w:r>
        <w:rPr>
          <w:spacing w:val="-2"/>
          <w:sz w:val="24"/>
        </w:rPr>
        <w:t> </w:t>
      </w:r>
      <w:r>
        <w:rPr>
          <w:sz w:val="24"/>
        </w:rPr>
        <w:t>capabilities. It was recognised that improving heart health requires coordinated action on the wider determinants of health. All partners identified significant opportunities to align</w:t>
      </w:r>
    </w:p>
    <w:p>
      <w:pPr>
        <w:pStyle w:val="BodyText"/>
        <w:spacing w:before="113"/>
        <w:rPr>
          <w:sz w:val="20"/>
        </w:rPr>
      </w:pPr>
      <w:r>
        <w:rPr>
          <w:sz w:val="20"/>
        </w:rPr>
        <mc:AlternateContent>
          <mc:Choice Requires="wps">
            <w:drawing>
              <wp:anchor distT="0" distB="0" distL="0" distR="0" allowOverlap="1" layoutInCell="1" locked="0" behindDoc="1" simplePos="0" relativeHeight="487645696">
                <wp:simplePos x="0" y="0"/>
                <wp:positionH relativeFrom="page">
                  <wp:posOffset>914717</wp:posOffset>
                </wp:positionH>
                <wp:positionV relativeFrom="paragraph">
                  <wp:posOffset>233543</wp:posOffset>
                </wp:positionV>
                <wp:extent cx="1830070" cy="9525"/>
                <wp:effectExtent l="0" t="0" r="0" b="0"/>
                <wp:wrapTopAndBottom/>
                <wp:docPr id="380" name="Graphic 380"/>
                <wp:cNvGraphicFramePr>
                  <a:graphicFrameLocks/>
                </wp:cNvGraphicFramePr>
                <a:graphic>
                  <a:graphicData uri="http://schemas.microsoft.com/office/word/2010/wordprocessingShape">
                    <wps:wsp>
                      <wps:cNvPr id="380" name="Graphic 380"/>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5002pt;margin-top:18.389257pt;width:144.080pt;height:.75pt;mso-position-horizontal-relative:page;mso-position-vertical-relative:paragraph;z-index:-15670784;mso-wrap-distance-left:0;mso-wrap-distance-right:0" id="docshape195" filled="true" fillcolor="#000000" stroked="false">
                <v:fill type="solid"/>
                <w10:wrap type="topAndBottom"/>
              </v:rect>
            </w:pict>
          </mc:Fallback>
        </mc:AlternateContent>
      </w:r>
    </w:p>
    <w:p>
      <w:pPr>
        <w:spacing w:line="235" w:lineRule="auto" w:before="103"/>
        <w:ind w:left="23" w:right="0" w:firstLine="0"/>
        <w:jc w:val="left"/>
        <w:rPr>
          <w:rFonts w:ascii="Calibri"/>
          <w:i/>
          <w:sz w:val="20"/>
        </w:rPr>
      </w:pPr>
      <w:bookmarkStart w:name="_bookmark12" w:id="44"/>
      <w:bookmarkEnd w:id="44"/>
      <w:r>
        <w:rPr/>
      </w:r>
      <w:r>
        <w:rPr>
          <w:rFonts w:ascii="Calibri"/>
          <w:position w:val="6"/>
          <w:sz w:val="13"/>
        </w:rPr>
        <w:t>3</w:t>
      </w:r>
      <w:r>
        <w:rPr>
          <w:rFonts w:ascii="Calibri"/>
          <w:spacing w:val="12"/>
          <w:position w:val="6"/>
          <w:sz w:val="13"/>
        </w:rPr>
        <w:t> </w:t>
      </w:r>
      <w:r>
        <w:rPr>
          <w:rFonts w:ascii="Calibri"/>
          <w:i/>
          <w:sz w:val="20"/>
        </w:rPr>
        <w:t>There</w:t>
      </w:r>
      <w:r>
        <w:rPr>
          <w:rFonts w:ascii="Calibri"/>
          <w:i/>
          <w:spacing w:val="-3"/>
          <w:sz w:val="20"/>
        </w:rPr>
        <w:t> </w:t>
      </w:r>
      <w:r>
        <w:rPr>
          <w:rFonts w:ascii="Calibri"/>
          <w:i/>
          <w:sz w:val="20"/>
        </w:rPr>
        <w:t>is</w:t>
      </w:r>
      <w:r>
        <w:rPr>
          <w:rFonts w:ascii="Calibri"/>
          <w:i/>
          <w:spacing w:val="-2"/>
          <w:sz w:val="20"/>
        </w:rPr>
        <w:t> </w:t>
      </w:r>
      <w:r>
        <w:rPr>
          <w:rFonts w:ascii="Calibri"/>
          <w:i/>
          <w:sz w:val="20"/>
        </w:rPr>
        <w:t>confidence</w:t>
      </w:r>
      <w:r>
        <w:rPr>
          <w:rFonts w:ascii="Calibri"/>
          <w:i/>
          <w:spacing w:val="-3"/>
          <w:sz w:val="20"/>
        </w:rPr>
        <w:t> </w:t>
      </w:r>
      <w:r>
        <w:rPr>
          <w:rFonts w:ascii="Calibri"/>
          <w:i/>
          <w:sz w:val="20"/>
        </w:rPr>
        <w:t>that</w:t>
      </w:r>
      <w:r>
        <w:rPr>
          <w:rFonts w:ascii="Calibri"/>
          <w:i/>
          <w:spacing w:val="-4"/>
          <w:sz w:val="20"/>
        </w:rPr>
        <w:t> </w:t>
      </w:r>
      <w:r>
        <w:rPr>
          <w:rFonts w:ascii="Calibri"/>
          <w:i/>
          <w:sz w:val="20"/>
        </w:rPr>
        <w:t>actions</w:t>
      </w:r>
      <w:r>
        <w:rPr>
          <w:rFonts w:ascii="Calibri"/>
          <w:i/>
          <w:spacing w:val="-2"/>
          <w:sz w:val="20"/>
        </w:rPr>
        <w:t> </w:t>
      </w:r>
      <w:r>
        <w:rPr>
          <w:rFonts w:ascii="Calibri"/>
          <w:i/>
          <w:sz w:val="20"/>
        </w:rPr>
        <w:t>are</w:t>
      </w:r>
      <w:r>
        <w:rPr>
          <w:rFonts w:ascii="Calibri"/>
          <w:i/>
          <w:spacing w:val="-8"/>
          <w:sz w:val="20"/>
        </w:rPr>
        <w:t> </w:t>
      </w:r>
      <w:r>
        <w:rPr>
          <w:rFonts w:ascii="Calibri"/>
          <w:i/>
          <w:sz w:val="20"/>
        </w:rPr>
        <w:t>robust</w:t>
      </w:r>
      <w:r>
        <w:rPr>
          <w:rFonts w:ascii="Calibri"/>
          <w:i/>
          <w:spacing w:val="-4"/>
          <w:sz w:val="20"/>
        </w:rPr>
        <w:t> </w:t>
      </w:r>
      <w:r>
        <w:rPr>
          <w:rFonts w:ascii="Calibri"/>
          <w:i/>
          <w:sz w:val="20"/>
        </w:rPr>
        <w:t>and</w:t>
      </w:r>
      <w:r>
        <w:rPr>
          <w:rFonts w:ascii="Calibri"/>
          <w:i/>
          <w:spacing w:val="-2"/>
          <w:sz w:val="20"/>
        </w:rPr>
        <w:t> </w:t>
      </w:r>
      <w:r>
        <w:rPr>
          <w:rFonts w:ascii="Calibri"/>
          <w:i/>
          <w:sz w:val="20"/>
        </w:rPr>
        <w:t>will</w:t>
      </w:r>
      <w:r>
        <w:rPr>
          <w:rFonts w:ascii="Calibri"/>
          <w:i/>
          <w:spacing w:val="-3"/>
          <w:sz w:val="20"/>
        </w:rPr>
        <w:t> </w:t>
      </w:r>
      <w:r>
        <w:rPr>
          <w:rFonts w:ascii="Calibri"/>
          <w:i/>
          <w:sz w:val="20"/>
        </w:rPr>
        <w:t>be</w:t>
      </w:r>
      <w:r>
        <w:rPr>
          <w:rFonts w:ascii="Calibri"/>
          <w:i/>
          <w:spacing w:val="-3"/>
          <w:sz w:val="20"/>
        </w:rPr>
        <w:t> </w:t>
      </w:r>
      <w:r>
        <w:rPr>
          <w:rFonts w:ascii="Calibri"/>
          <w:i/>
          <w:sz w:val="20"/>
        </w:rPr>
        <w:t>sufficient</w:t>
      </w:r>
      <w:r>
        <w:rPr>
          <w:rFonts w:ascii="Calibri"/>
          <w:i/>
          <w:spacing w:val="-4"/>
          <w:sz w:val="20"/>
        </w:rPr>
        <w:t> </w:t>
      </w:r>
      <w:r>
        <w:rPr>
          <w:rFonts w:ascii="Calibri"/>
          <w:i/>
          <w:sz w:val="20"/>
        </w:rPr>
        <w:t>to</w:t>
      </w:r>
      <w:r>
        <w:rPr>
          <w:rFonts w:ascii="Calibri"/>
          <w:i/>
          <w:spacing w:val="-1"/>
          <w:sz w:val="20"/>
        </w:rPr>
        <w:t> </w:t>
      </w:r>
      <w:r>
        <w:rPr>
          <w:rFonts w:ascii="Calibri"/>
          <w:i/>
          <w:sz w:val="20"/>
        </w:rPr>
        <w:t>address</w:t>
      </w:r>
      <w:r>
        <w:rPr>
          <w:rFonts w:ascii="Calibri"/>
          <w:i/>
          <w:spacing w:val="-2"/>
          <w:sz w:val="20"/>
        </w:rPr>
        <w:t> </w:t>
      </w:r>
      <w:r>
        <w:rPr>
          <w:rFonts w:ascii="Calibri"/>
          <w:i/>
          <w:sz w:val="20"/>
        </w:rPr>
        <w:t>the</w:t>
      </w:r>
      <w:r>
        <w:rPr>
          <w:rFonts w:ascii="Calibri"/>
          <w:i/>
          <w:spacing w:val="-3"/>
          <w:sz w:val="20"/>
        </w:rPr>
        <w:t> </w:t>
      </w:r>
      <w:r>
        <w:rPr>
          <w:rFonts w:ascii="Calibri"/>
          <w:i/>
          <w:sz w:val="20"/>
        </w:rPr>
        <w:t>issue</w:t>
      </w:r>
      <w:r>
        <w:rPr>
          <w:rFonts w:ascii="Calibri"/>
          <w:i/>
          <w:spacing w:val="-8"/>
          <w:sz w:val="20"/>
        </w:rPr>
        <w:t> </w:t>
      </w:r>
      <w:r>
        <w:rPr>
          <w:rFonts w:ascii="Calibri"/>
          <w:i/>
          <w:sz w:val="20"/>
        </w:rPr>
        <w:t>or</w:t>
      </w:r>
      <w:r>
        <w:rPr>
          <w:rFonts w:ascii="Calibri"/>
          <w:i/>
          <w:spacing w:val="-2"/>
          <w:sz w:val="20"/>
        </w:rPr>
        <w:t> </w:t>
      </w:r>
      <w:r>
        <w:rPr>
          <w:rFonts w:ascii="Calibri"/>
          <w:i/>
          <w:sz w:val="20"/>
        </w:rPr>
        <w:t>generally</w:t>
      </w:r>
      <w:r>
        <w:rPr>
          <w:rFonts w:ascii="Calibri"/>
          <w:i/>
          <w:spacing w:val="-7"/>
          <w:sz w:val="20"/>
        </w:rPr>
        <w:t> </w:t>
      </w:r>
      <w:r>
        <w:rPr>
          <w:rFonts w:ascii="Calibri"/>
          <w:i/>
          <w:sz w:val="20"/>
        </w:rPr>
        <w:t>operating</w:t>
      </w:r>
      <w:r>
        <w:rPr>
          <w:rFonts w:ascii="Calibri"/>
          <w:i/>
          <w:sz w:val="20"/>
        </w:rPr>
        <w:t> effectively. Routine monitoring.</w:t>
      </w:r>
    </w:p>
    <w:p>
      <w:pPr>
        <w:spacing w:before="34"/>
        <w:ind w:left="0" w:right="1" w:firstLine="0"/>
        <w:jc w:val="center"/>
        <w:rPr>
          <w:rFonts w:ascii="Calibri"/>
          <w:b/>
          <w:sz w:val="22"/>
        </w:rPr>
      </w:pPr>
      <w:r>
        <w:rPr>
          <w:rFonts w:ascii="Calibri"/>
          <w:sz w:val="22"/>
        </w:rPr>
        <w:t>Page</w:t>
      </w:r>
      <w:r>
        <w:rPr>
          <w:rFonts w:ascii="Calibri"/>
          <w:spacing w:val="-4"/>
          <w:sz w:val="22"/>
        </w:rPr>
        <w:t> </w:t>
      </w:r>
      <w:r>
        <w:rPr>
          <w:rFonts w:ascii="Calibri"/>
          <w:b/>
          <w:sz w:val="22"/>
        </w:rPr>
        <w:t>2</w:t>
      </w:r>
      <w:r>
        <w:rPr>
          <w:rFonts w:ascii="Calibri"/>
          <w:b/>
          <w:spacing w:val="-5"/>
          <w:sz w:val="22"/>
        </w:rPr>
        <w:t> </w:t>
      </w:r>
      <w:r>
        <w:rPr>
          <w:rFonts w:ascii="Calibri"/>
          <w:sz w:val="22"/>
        </w:rPr>
        <w:t>of</w:t>
      </w:r>
      <w:r>
        <w:rPr>
          <w:rFonts w:ascii="Calibri"/>
          <w:spacing w:val="-4"/>
          <w:sz w:val="22"/>
        </w:rPr>
        <w:t> </w:t>
      </w:r>
      <w:r>
        <w:rPr>
          <w:rFonts w:ascii="Calibri"/>
          <w:b/>
          <w:spacing w:val="-10"/>
          <w:sz w:val="22"/>
        </w:rPr>
        <w:t>3</w:t>
      </w:r>
    </w:p>
    <w:p>
      <w:pPr>
        <w:spacing w:after="0"/>
        <w:jc w:val="center"/>
        <w:rPr>
          <w:rFonts w:ascii="Calibri"/>
          <w:b/>
          <w:sz w:val="22"/>
        </w:rPr>
        <w:sectPr>
          <w:pgSz w:w="11910" w:h="16840"/>
          <w:pgMar w:header="0" w:footer="149" w:top="1140" w:bottom="340" w:left="1417" w:right="1417"/>
        </w:sectPr>
      </w:pPr>
    </w:p>
    <w:p>
      <w:pPr>
        <w:tabs>
          <w:tab w:pos="5149" w:val="left" w:leader="none"/>
        </w:tabs>
        <w:spacing w:line="240" w:lineRule="auto"/>
        <w:ind w:left="561" w:right="-58" w:firstLine="0"/>
        <w:rPr>
          <w:rFonts w:ascii="Calibri"/>
          <w:position w:val="9"/>
          <w:sz w:val="20"/>
        </w:rPr>
      </w:pPr>
      <w:r>
        <w:rPr>
          <w:rFonts w:ascii="Calibri"/>
          <w:sz w:val="20"/>
        </w:rPr>
        <w:drawing>
          <wp:inline distT="0" distB="0" distL="0" distR="0">
            <wp:extent cx="2247389" cy="585216"/>
            <wp:effectExtent l="0" t="0" r="0" b="0"/>
            <wp:docPr id="381" name="Image 381"/>
            <wp:cNvGraphicFramePr>
              <a:graphicFrameLocks/>
            </wp:cNvGraphicFramePr>
            <a:graphic>
              <a:graphicData uri="http://schemas.openxmlformats.org/drawingml/2006/picture">
                <pic:pic>
                  <pic:nvPicPr>
                    <pic:cNvPr id="381" name="Image 381"/>
                    <pic:cNvPicPr/>
                  </pic:nvPicPr>
                  <pic:blipFill>
                    <a:blip r:embed="rId50" cstate="print"/>
                    <a:stretch>
                      <a:fillRect/>
                    </a:stretch>
                  </pic:blipFill>
                  <pic:spPr>
                    <a:xfrm>
                      <a:off x="0" y="0"/>
                      <a:ext cx="2247389" cy="585216"/>
                    </a:xfrm>
                    <a:prstGeom prst="rect">
                      <a:avLst/>
                    </a:prstGeom>
                  </pic:spPr>
                </pic:pic>
              </a:graphicData>
            </a:graphic>
          </wp:inline>
        </w:drawing>
      </w:r>
      <w:r>
        <w:rPr>
          <w:rFonts w:ascii="Calibri"/>
          <w:sz w:val="20"/>
        </w:rPr>
      </w:r>
      <w:r>
        <w:rPr>
          <w:rFonts w:ascii="Calibri"/>
          <w:sz w:val="20"/>
        </w:rPr>
        <w:tab/>
      </w:r>
      <w:r>
        <w:rPr>
          <w:rFonts w:ascii="Calibri"/>
          <w:position w:val="9"/>
          <w:sz w:val="20"/>
        </w:rPr>
        <w:drawing>
          <wp:inline distT="0" distB="0" distL="0" distR="0">
            <wp:extent cx="2494674" cy="549021"/>
            <wp:effectExtent l="0" t="0" r="0" b="0"/>
            <wp:docPr id="382" name="Image 382"/>
            <wp:cNvGraphicFramePr>
              <a:graphicFrameLocks/>
            </wp:cNvGraphicFramePr>
            <a:graphic>
              <a:graphicData uri="http://schemas.openxmlformats.org/drawingml/2006/picture">
                <pic:pic>
                  <pic:nvPicPr>
                    <pic:cNvPr id="382" name="Image 382"/>
                    <pic:cNvPicPr/>
                  </pic:nvPicPr>
                  <pic:blipFill>
                    <a:blip r:embed="rId7" cstate="print"/>
                    <a:stretch>
                      <a:fillRect/>
                    </a:stretch>
                  </pic:blipFill>
                  <pic:spPr>
                    <a:xfrm>
                      <a:off x="0" y="0"/>
                      <a:ext cx="2494674" cy="549021"/>
                    </a:xfrm>
                    <a:prstGeom prst="rect">
                      <a:avLst/>
                    </a:prstGeom>
                  </pic:spPr>
                </pic:pic>
              </a:graphicData>
            </a:graphic>
          </wp:inline>
        </w:drawing>
      </w:r>
      <w:r>
        <w:rPr>
          <w:rFonts w:ascii="Calibri"/>
          <w:position w:val="9"/>
          <w:sz w:val="20"/>
        </w:rPr>
      </w:r>
    </w:p>
    <w:p>
      <w:pPr>
        <w:pStyle w:val="BodyText"/>
        <w:spacing w:before="156"/>
        <w:rPr>
          <w:rFonts w:ascii="Calibri"/>
          <w:b/>
        </w:rPr>
      </w:pPr>
    </w:p>
    <w:p>
      <w:pPr>
        <w:pStyle w:val="BodyText"/>
        <w:spacing w:before="1"/>
        <w:ind w:left="739" w:right="15"/>
      </w:pPr>
      <w:r>
        <w:rPr/>
        <w:t>with</w:t>
      </w:r>
      <w:r>
        <w:rPr>
          <w:spacing w:val="-3"/>
        </w:rPr>
        <w:t> </w:t>
      </w:r>
      <w:r>
        <w:rPr/>
        <w:t>the</w:t>
      </w:r>
      <w:r>
        <w:rPr>
          <w:spacing w:val="-3"/>
        </w:rPr>
        <w:t> </w:t>
      </w:r>
      <w:r>
        <w:rPr/>
        <w:t>wider</w:t>
      </w:r>
      <w:r>
        <w:rPr>
          <w:spacing w:val="-5"/>
        </w:rPr>
        <w:t> </w:t>
      </w:r>
      <w:r>
        <w:rPr/>
        <w:t>regional</w:t>
      </w:r>
      <w:r>
        <w:rPr>
          <w:spacing w:val="-4"/>
        </w:rPr>
        <w:t> </w:t>
      </w:r>
      <w:r>
        <w:rPr/>
        <w:t>economic</w:t>
      </w:r>
      <w:r>
        <w:rPr>
          <w:spacing w:val="-5"/>
        </w:rPr>
        <w:t> </w:t>
      </w:r>
      <w:r>
        <w:rPr/>
        <w:t>development</w:t>
      </w:r>
      <w:r>
        <w:rPr>
          <w:spacing w:val="-7"/>
        </w:rPr>
        <w:t> </w:t>
      </w:r>
      <w:r>
        <w:rPr/>
        <w:t>arrangements,</w:t>
      </w:r>
      <w:r>
        <w:rPr>
          <w:spacing w:val="-7"/>
        </w:rPr>
        <w:t> </w:t>
      </w:r>
      <w:r>
        <w:rPr/>
        <w:t>recognising</w:t>
      </w:r>
      <w:r>
        <w:rPr>
          <w:spacing w:val="-4"/>
        </w:rPr>
        <w:t> </w:t>
      </w:r>
      <w:r>
        <w:rPr/>
        <w:t>the combined influence of health boards, universities and regional partners in supporting both health improvement and inclusive economic growth. It was agreed that a framework for ongoing partnership would be developed and brought</w:t>
      </w:r>
      <w:r>
        <w:rPr>
          <w:spacing w:val="-3"/>
        </w:rPr>
        <w:t> </w:t>
      </w:r>
      <w:r>
        <w:rPr/>
        <w:t>back</w:t>
      </w:r>
      <w:r>
        <w:rPr>
          <w:spacing w:val="-1"/>
        </w:rPr>
        <w:t> </w:t>
      </w:r>
      <w:r>
        <w:rPr/>
        <w:t>for</w:t>
      </w:r>
      <w:r>
        <w:rPr>
          <w:spacing w:val="-1"/>
        </w:rPr>
        <w:t> </w:t>
      </w:r>
      <w:r>
        <w:rPr/>
        <w:t>further</w:t>
      </w:r>
      <w:r>
        <w:rPr>
          <w:spacing w:val="-1"/>
        </w:rPr>
        <w:t> </w:t>
      </w:r>
      <w:r>
        <w:rPr/>
        <w:t>discussion early</w:t>
      </w:r>
      <w:r>
        <w:rPr>
          <w:spacing w:val="-1"/>
        </w:rPr>
        <w:t> </w:t>
      </w:r>
      <w:r>
        <w:rPr/>
        <w:t>in the new calendar</w:t>
      </w:r>
      <w:r>
        <w:rPr>
          <w:spacing w:val="-1"/>
        </w:rPr>
        <w:t> </w:t>
      </w:r>
      <w:r>
        <w:rPr/>
        <w:t>year,</w:t>
      </w:r>
      <w:r>
        <w:rPr>
          <w:spacing w:val="-3"/>
        </w:rPr>
        <w:t> </w:t>
      </w:r>
      <w:r>
        <w:rPr/>
        <w:t>supporting the</w:t>
      </w:r>
      <w:r>
        <w:rPr>
          <w:spacing w:val="-3"/>
        </w:rPr>
        <w:t> </w:t>
      </w:r>
      <w:r>
        <w:rPr/>
        <w:t>RJC's</w:t>
      </w:r>
      <w:r>
        <w:rPr>
          <w:spacing w:val="-4"/>
        </w:rPr>
        <w:t> </w:t>
      </w:r>
      <w:r>
        <w:rPr/>
        <w:t>ambition</w:t>
      </w:r>
      <w:r>
        <w:rPr>
          <w:spacing w:val="-3"/>
        </w:rPr>
        <w:t> </w:t>
      </w:r>
      <w:r>
        <w:rPr/>
        <w:t>to</w:t>
      </w:r>
      <w:r>
        <w:rPr>
          <w:spacing w:val="-3"/>
        </w:rPr>
        <w:t> </w:t>
      </w:r>
      <w:r>
        <w:rPr/>
        <w:t>improve</w:t>
      </w:r>
      <w:r>
        <w:rPr>
          <w:spacing w:val="-3"/>
        </w:rPr>
        <w:t> </w:t>
      </w:r>
      <w:r>
        <w:rPr/>
        <w:t>population</w:t>
      </w:r>
      <w:r>
        <w:rPr>
          <w:spacing w:val="-3"/>
        </w:rPr>
        <w:t> </w:t>
      </w:r>
      <w:r>
        <w:rPr/>
        <w:t>outcomes</w:t>
      </w:r>
      <w:r>
        <w:rPr>
          <w:spacing w:val="-4"/>
        </w:rPr>
        <w:t> </w:t>
      </w:r>
      <w:r>
        <w:rPr/>
        <w:t>through</w:t>
      </w:r>
      <w:r>
        <w:rPr>
          <w:spacing w:val="-3"/>
        </w:rPr>
        <w:t> </w:t>
      </w:r>
      <w:r>
        <w:rPr/>
        <w:t>stronger</w:t>
      </w:r>
      <w:r>
        <w:rPr>
          <w:spacing w:val="-4"/>
        </w:rPr>
        <w:t> </w:t>
      </w:r>
      <w:r>
        <w:rPr/>
        <w:t>regional collaboration and collective leadership.</w:t>
      </w:r>
    </w:p>
    <w:p>
      <w:pPr>
        <w:pStyle w:val="ListParagraph"/>
        <w:numPr>
          <w:ilvl w:val="0"/>
          <w:numId w:val="29"/>
        </w:numPr>
        <w:tabs>
          <w:tab w:pos="744" w:val="left" w:leader="none"/>
        </w:tabs>
        <w:spacing w:line="240" w:lineRule="auto" w:before="0" w:after="0"/>
        <w:ind w:left="744" w:right="20" w:hanging="360"/>
        <w:jc w:val="left"/>
        <w:rPr>
          <w:sz w:val="24"/>
        </w:rPr>
      </w:pPr>
      <w:r>
        <w:rPr>
          <w:sz w:val="24"/>
        </w:rPr>
        <w:t>This</w:t>
      </w:r>
      <w:r>
        <w:rPr>
          <w:spacing w:val="-4"/>
          <w:sz w:val="24"/>
        </w:rPr>
        <w:t> </w:t>
      </w:r>
      <w:r>
        <w:rPr>
          <w:sz w:val="24"/>
        </w:rPr>
        <w:t>year’s</w:t>
      </w:r>
      <w:r>
        <w:rPr>
          <w:spacing w:val="-3"/>
          <w:sz w:val="24"/>
        </w:rPr>
        <w:t> </w:t>
      </w:r>
      <w:r>
        <w:rPr>
          <w:b/>
          <w:sz w:val="24"/>
        </w:rPr>
        <w:t>regional</w:t>
      </w:r>
      <w:r>
        <w:rPr>
          <w:b/>
          <w:spacing w:val="-5"/>
          <w:sz w:val="24"/>
        </w:rPr>
        <w:t> </w:t>
      </w:r>
      <w:r>
        <w:rPr>
          <w:b/>
          <w:sz w:val="24"/>
        </w:rPr>
        <w:t>research</w:t>
      </w:r>
      <w:r>
        <w:rPr>
          <w:b/>
          <w:spacing w:val="-6"/>
          <w:sz w:val="24"/>
        </w:rPr>
        <w:t> </w:t>
      </w:r>
      <w:r>
        <w:rPr>
          <w:b/>
          <w:sz w:val="24"/>
        </w:rPr>
        <w:t>and</w:t>
      </w:r>
      <w:r>
        <w:rPr>
          <w:b/>
          <w:spacing w:val="-6"/>
          <w:sz w:val="24"/>
        </w:rPr>
        <w:t> </w:t>
      </w:r>
      <w:r>
        <w:rPr>
          <w:b/>
          <w:sz w:val="24"/>
        </w:rPr>
        <w:t>innovation symposium</w:t>
      </w:r>
      <w:r>
        <w:rPr>
          <w:b/>
          <w:spacing w:val="-1"/>
          <w:sz w:val="24"/>
        </w:rPr>
        <w:t> </w:t>
      </w:r>
      <w:r>
        <w:rPr>
          <w:sz w:val="24"/>
        </w:rPr>
        <w:t>will</w:t>
      </w:r>
      <w:r>
        <w:rPr>
          <w:spacing w:val="-3"/>
          <w:sz w:val="24"/>
        </w:rPr>
        <w:t> </w:t>
      </w:r>
      <w:r>
        <w:rPr>
          <w:sz w:val="24"/>
        </w:rPr>
        <w:t>take</w:t>
      </w:r>
      <w:r>
        <w:rPr>
          <w:spacing w:val="-3"/>
          <w:sz w:val="24"/>
        </w:rPr>
        <w:t> </w:t>
      </w:r>
      <w:r>
        <w:rPr>
          <w:sz w:val="24"/>
        </w:rPr>
        <w:t>place</w:t>
      </w:r>
      <w:r>
        <w:rPr>
          <w:spacing w:val="-3"/>
          <w:sz w:val="24"/>
        </w:rPr>
        <w:t> </w:t>
      </w:r>
      <w:r>
        <w:rPr>
          <w:sz w:val="24"/>
        </w:rPr>
        <w:t>on 19</w:t>
      </w:r>
      <w:r>
        <w:rPr>
          <w:sz w:val="24"/>
          <w:vertAlign w:val="superscript"/>
        </w:rPr>
        <w:t>th</w:t>
      </w:r>
      <w:r>
        <w:rPr>
          <w:sz w:val="24"/>
          <w:vertAlign w:val="baseline"/>
        </w:rPr>
        <w:t> November 2026 at Pentre</w:t>
      </w:r>
      <w:r>
        <w:rPr>
          <w:spacing w:val="-1"/>
          <w:sz w:val="24"/>
          <w:vertAlign w:val="baseline"/>
        </w:rPr>
        <w:t> </w:t>
      </w:r>
      <w:r>
        <w:rPr>
          <w:sz w:val="24"/>
          <w:vertAlign w:val="baseline"/>
        </w:rPr>
        <w:t>Awel. The morning session will focus on showcase presentations from research active staff, highlighting work across the local, regional and innovation spheres, while the afternoon will be</w:t>
      </w:r>
      <w:r>
        <w:rPr>
          <w:spacing w:val="40"/>
          <w:sz w:val="24"/>
          <w:vertAlign w:val="baseline"/>
        </w:rPr>
        <w:t> </w:t>
      </w:r>
      <w:r>
        <w:rPr>
          <w:sz w:val="24"/>
          <w:vertAlign w:val="baseline"/>
        </w:rPr>
        <w:t>focussed either on workshops or panel-based discussions.</w:t>
      </w:r>
    </w:p>
    <w:p>
      <w:pPr>
        <w:spacing w:line="275" w:lineRule="exact" w:before="251"/>
        <w:ind w:left="23" w:right="0" w:firstLine="0"/>
        <w:jc w:val="left"/>
        <w:rPr>
          <w:b/>
          <w:sz w:val="24"/>
        </w:rPr>
      </w:pPr>
      <w:r>
        <w:rPr>
          <w:b/>
          <w:sz w:val="24"/>
        </w:rPr>
        <w:t>Review</w:t>
      </w:r>
      <w:r>
        <w:rPr>
          <w:b/>
          <w:spacing w:val="-5"/>
          <w:sz w:val="24"/>
        </w:rPr>
        <w:t> </w:t>
      </w:r>
      <w:r>
        <w:rPr>
          <w:b/>
          <w:sz w:val="24"/>
        </w:rPr>
        <w:t>of</w:t>
      </w:r>
      <w:r>
        <w:rPr>
          <w:b/>
          <w:spacing w:val="-4"/>
          <w:sz w:val="24"/>
        </w:rPr>
        <w:t> </w:t>
      </w:r>
      <w:r>
        <w:rPr>
          <w:b/>
          <w:sz w:val="24"/>
        </w:rPr>
        <w:t>Risks/</w:t>
      </w:r>
      <w:r>
        <w:rPr>
          <w:b/>
          <w:spacing w:val="-9"/>
          <w:sz w:val="24"/>
        </w:rPr>
        <w:t> </w:t>
      </w:r>
      <w:r>
        <w:rPr>
          <w:b/>
          <w:sz w:val="24"/>
        </w:rPr>
        <w:t>Adolygiad</w:t>
      </w:r>
      <w:r>
        <w:rPr>
          <w:b/>
          <w:spacing w:val="-5"/>
          <w:sz w:val="24"/>
        </w:rPr>
        <w:t> </w:t>
      </w:r>
      <w:r>
        <w:rPr>
          <w:b/>
          <w:sz w:val="24"/>
        </w:rPr>
        <w:t>o</w:t>
      </w:r>
      <w:r>
        <w:rPr>
          <w:b/>
          <w:spacing w:val="-5"/>
          <w:sz w:val="24"/>
        </w:rPr>
        <w:t> </w:t>
      </w:r>
      <w:r>
        <w:rPr>
          <w:b/>
          <w:spacing w:val="-2"/>
          <w:sz w:val="24"/>
        </w:rPr>
        <w:t>Risgiau</w:t>
      </w:r>
    </w:p>
    <w:p>
      <w:pPr>
        <w:pStyle w:val="ListParagraph"/>
        <w:numPr>
          <w:ilvl w:val="0"/>
          <w:numId w:val="29"/>
        </w:numPr>
        <w:tabs>
          <w:tab w:pos="743" w:val="left" w:leader="none"/>
        </w:tabs>
        <w:spacing w:line="293" w:lineRule="exact" w:before="0" w:after="0"/>
        <w:ind w:left="743" w:right="0" w:hanging="359"/>
        <w:jc w:val="left"/>
        <w:rPr>
          <w:sz w:val="24"/>
        </w:rPr>
      </w:pPr>
      <w:r>
        <w:rPr>
          <w:sz w:val="24"/>
        </w:rPr>
        <w:t>There</w:t>
      </w:r>
      <w:r>
        <w:rPr>
          <w:spacing w:val="-3"/>
          <w:sz w:val="24"/>
        </w:rPr>
        <w:t> </w:t>
      </w:r>
      <w:r>
        <w:rPr>
          <w:sz w:val="24"/>
        </w:rPr>
        <w:t>are</w:t>
      </w:r>
      <w:r>
        <w:rPr>
          <w:spacing w:val="-2"/>
          <w:sz w:val="24"/>
        </w:rPr>
        <w:t> </w:t>
      </w:r>
      <w:r>
        <w:rPr>
          <w:sz w:val="24"/>
        </w:rPr>
        <w:t>currently</w:t>
      </w:r>
      <w:r>
        <w:rPr>
          <w:spacing w:val="-4"/>
          <w:sz w:val="24"/>
        </w:rPr>
        <w:t> </w:t>
      </w:r>
      <w:r>
        <w:rPr>
          <w:sz w:val="24"/>
        </w:rPr>
        <w:t>no</w:t>
      </w:r>
      <w:r>
        <w:rPr>
          <w:spacing w:val="-2"/>
          <w:sz w:val="24"/>
        </w:rPr>
        <w:t> </w:t>
      </w:r>
      <w:r>
        <w:rPr>
          <w:sz w:val="24"/>
        </w:rPr>
        <w:t>significant</w:t>
      </w:r>
      <w:r>
        <w:rPr>
          <w:spacing w:val="-6"/>
          <w:sz w:val="24"/>
        </w:rPr>
        <w:t> </w:t>
      </w:r>
      <w:r>
        <w:rPr>
          <w:sz w:val="24"/>
        </w:rPr>
        <w:t>risks</w:t>
      </w:r>
      <w:r>
        <w:rPr>
          <w:spacing w:val="-3"/>
          <w:sz w:val="24"/>
        </w:rPr>
        <w:t> </w:t>
      </w:r>
      <w:r>
        <w:rPr>
          <w:sz w:val="24"/>
        </w:rPr>
        <w:t>to</w:t>
      </w:r>
      <w:r>
        <w:rPr>
          <w:spacing w:val="-2"/>
          <w:sz w:val="24"/>
        </w:rPr>
        <w:t> raise.</w:t>
      </w:r>
    </w:p>
    <w:p>
      <w:pPr>
        <w:pStyle w:val="BodyText"/>
        <w:spacing w:before="1"/>
      </w:pPr>
    </w:p>
    <w:p>
      <w:pPr>
        <w:spacing w:line="275" w:lineRule="exact" w:before="0"/>
        <w:ind w:left="23" w:right="0" w:firstLine="0"/>
        <w:jc w:val="left"/>
        <w:rPr>
          <w:b/>
          <w:sz w:val="24"/>
        </w:rPr>
      </w:pPr>
      <w:r>
        <w:rPr>
          <w:b/>
          <w:sz w:val="24"/>
        </w:rPr>
        <w:t>Sharing</w:t>
      </w:r>
      <w:r>
        <w:rPr>
          <w:b/>
          <w:spacing w:val="-6"/>
          <w:sz w:val="24"/>
        </w:rPr>
        <w:t> </w:t>
      </w:r>
      <w:r>
        <w:rPr>
          <w:b/>
          <w:sz w:val="24"/>
        </w:rPr>
        <w:t>of</w:t>
      </w:r>
      <w:r>
        <w:rPr>
          <w:b/>
          <w:spacing w:val="1"/>
          <w:sz w:val="24"/>
        </w:rPr>
        <w:t> </w:t>
      </w:r>
      <w:r>
        <w:rPr>
          <w:b/>
          <w:sz w:val="24"/>
        </w:rPr>
        <w:t>learning/</w:t>
      </w:r>
      <w:r>
        <w:rPr>
          <w:b/>
          <w:spacing w:val="-6"/>
          <w:sz w:val="24"/>
        </w:rPr>
        <w:t> </w:t>
      </w:r>
      <w:r>
        <w:rPr>
          <w:b/>
          <w:sz w:val="24"/>
        </w:rPr>
        <w:t>Rhannu</w:t>
      </w:r>
      <w:r>
        <w:rPr>
          <w:b/>
          <w:spacing w:val="-5"/>
          <w:sz w:val="24"/>
        </w:rPr>
        <w:t> </w:t>
      </w:r>
      <w:r>
        <w:rPr>
          <w:b/>
          <w:spacing w:val="-4"/>
          <w:sz w:val="24"/>
        </w:rPr>
        <w:t>dysgu</w:t>
      </w:r>
    </w:p>
    <w:p>
      <w:pPr>
        <w:pStyle w:val="ListParagraph"/>
        <w:numPr>
          <w:ilvl w:val="0"/>
          <w:numId w:val="29"/>
        </w:numPr>
        <w:tabs>
          <w:tab w:pos="744" w:val="left" w:leader="none"/>
        </w:tabs>
        <w:spacing w:line="237" w:lineRule="auto" w:before="1" w:after="0"/>
        <w:ind w:left="744" w:right="372" w:hanging="360"/>
        <w:jc w:val="left"/>
        <w:rPr>
          <w:sz w:val="24"/>
        </w:rPr>
      </w:pPr>
      <w:r>
        <w:rPr>
          <w:sz w:val="24"/>
        </w:rPr>
        <w:t>The</w:t>
      </w:r>
      <w:r>
        <w:rPr>
          <w:spacing w:val="-4"/>
          <w:sz w:val="24"/>
        </w:rPr>
        <w:t> </w:t>
      </w:r>
      <w:r>
        <w:rPr>
          <w:sz w:val="24"/>
        </w:rPr>
        <w:t>regional</w:t>
      </w:r>
      <w:r>
        <w:rPr>
          <w:spacing w:val="-2"/>
          <w:sz w:val="24"/>
        </w:rPr>
        <w:t> </w:t>
      </w:r>
      <w:r>
        <w:rPr>
          <w:sz w:val="24"/>
        </w:rPr>
        <w:t>Research</w:t>
      </w:r>
      <w:r>
        <w:rPr>
          <w:spacing w:val="-4"/>
          <w:sz w:val="24"/>
        </w:rPr>
        <w:t> </w:t>
      </w:r>
      <w:r>
        <w:rPr>
          <w:sz w:val="24"/>
        </w:rPr>
        <w:t>and</w:t>
      </w:r>
      <w:r>
        <w:rPr>
          <w:spacing w:val="-4"/>
          <w:sz w:val="24"/>
        </w:rPr>
        <w:t> </w:t>
      </w:r>
      <w:r>
        <w:rPr>
          <w:sz w:val="24"/>
        </w:rPr>
        <w:t>Innovation</w:t>
      </w:r>
      <w:r>
        <w:rPr>
          <w:spacing w:val="-1"/>
          <w:sz w:val="24"/>
        </w:rPr>
        <w:t> </w:t>
      </w:r>
      <w:r>
        <w:rPr>
          <w:sz w:val="24"/>
        </w:rPr>
        <w:t>symposium</w:t>
      </w:r>
      <w:r>
        <w:rPr>
          <w:spacing w:val="-5"/>
          <w:sz w:val="24"/>
        </w:rPr>
        <w:t> </w:t>
      </w:r>
      <w:r>
        <w:rPr>
          <w:sz w:val="24"/>
        </w:rPr>
        <w:t>in</w:t>
      </w:r>
      <w:r>
        <w:rPr>
          <w:spacing w:val="-4"/>
          <w:sz w:val="24"/>
        </w:rPr>
        <w:t> </w:t>
      </w:r>
      <w:r>
        <w:rPr>
          <w:sz w:val="24"/>
        </w:rPr>
        <w:t>November</w:t>
      </w:r>
      <w:r>
        <w:rPr>
          <w:spacing w:val="-5"/>
          <w:sz w:val="24"/>
        </w:rPr>
        <w:t> </w:t>
      </w:r>
      <w:r>
        <w:rPr>
          <w:sz w:val="24"/>
        </w:rPr>
        <w:t>2026</w:t>
      </w:r>
      <w:r>
        <w:rPr>
          <w:spacing w:val="-4"/>
          <w:sz w:val="24"/>
        </w:rPr>
        <w:t> </w:t>
      </w:r>
      <w:r>
        <w:rPr>
          <w:sz w:val="24"/>
        </w:rPr>
        <w:t>is</w:t>
      </w:r>
      <w:r>
        <w:rPr>
          <w:spacing w:val="-5"/>
          <w:sz w:val="24"/>
        </w:rPr>
        <w:t> </w:t>
      </w:r>
      <w:r>
        <w:rPr>
          <w:sz w:val="24"/>
        </w:rPr>
        <w:t>an opportunity to share learning across the two health boards.</w:t>
      </w:r>
    </w:p>
    <w:p>
      <w:pPr>
        <w:pStyle w:val="ListParagraph"/>
        <w:numPr>
          <w:ilvl w:val="0"/>
          <w:numId w:val="29"/>
        </w:numPr>
        <w:tabs>
          <w:tab w:pos="744" w:val="left" w:leader="none"/>
        </w:tabs>
        <w:spacing w:line="240" w:lineRule="auto" w:before="0" w:after="0"/>
        <w:ind w:left="744" w:right="681" w:hanging="360"/>
        <w:jc w:val="left"/>
        <w:rPr>
          <w:sz w:val="24"/>
        </w:rPr>
      </w:pPr>
      <w:r>
        <w:rPr>
          <w:sz w:val="24"/>
        </w:rPr>
        <w:t>Several</w:t>
      </w:r>
      <w:r>
        <w:rPr>
          <w:spacing w:val="-4"/>
          <w:sz w:val="24"/>
        </w:rPr>
        <w:t> </w:t>
      </w:r>
      <w:r>
        <w:rPr>
          <w:sz w:val="24"/>
        </w:rPr>
        <w:t>of</w:t>
      </w:r>
      <w:r>
        <w:rPr>
          <w:spacing w:val="-7"/>
          <w:sz w:val="24"/>
        </w:rPr>
        <w:t> </w:t>
      </w:r>
      <w:r>
        <w:rPr>
          <w:sz w:val="24"/>
        </w:rPr>
        <w:t>the</w:t>
      </w:r>
      <w:r>
        <w:rPr>
          <w:spacing w:val="-4"/>
          <w:sz w:val="24"/>
        </w:rPr>
        <w:t> </w:t>
      </w:r>
      <w:r>
        <w:rPr>
          <w:sz w:val="24"/>
        </w:rPr>
        <w:t>examples</w:t>
      </w:r>
      <w:r>
        <w:rPr>
          <w:spacing w:val="-5"/>
          <w:sz w:val="24"/>
        </w:rPr>
        <w:t> </w:t>
      </w:r>
      <w:r>
        <w:rPr>
          <w:sz w:val="24"/>
        </w:rPr>
        <w:t>provided</w:t>
      </w:r>
      <w:r>
        <w:rPr>
          <w:spacing w:val="-4"/>
          <w:sz w:val="24"/>
        </w:rPr>
        <w:t> </w:t>
      </w:r>
      <w:r>
        <w:rPr>
          <w:sz w:val="24"/>
        </w:rPr>
        <w:t>within</w:t>
      </w:r>
      <w:r>
        <w:rPr>
          <w:spacing w:val="-4"/>
          <w:sz w:val="24"/>
        </w:rPr>
        <w:t> </w:t>
      </w:r>
      <w:r>
        <w:rPr>
          <w:sz w:val="24"/>
        </w:rPr>
        <w:t>the</w:t>
      </w:r>
      <w:r>
        <w:rPr>
          <w:spacing w:val="-4"/>
          <w:sz w:val="24"/>
        </w:rPr>
        <w:t> </w:t>
      </w:r>
      <w:r>
        <w:rPr>
          <w:sz w:val="24"/>
        </w:rPr>
        <w:t>paper</w:t>
      </w:r>
      <w:r>
        <w:rPr>
          <w:spacing w:val="-5"/>
          <w:sz w:val="24"/>
        </w:rPr>
        <w:t> </w:t>
      </w:r>
      <w:r>
        <w:rPr>
          <w:sz w:val="24"/>
        </w:rPr>
        <w:t>demonstrate</w:t>
      </w:r>
      <w:r>
        <w:rPr>
          <w:spacing w:val="-4"/>
          <w:sz w:val="24"/>
        </w:rPr>
        <w:t> </w:t>
      </w:r>
      <w:r>
        <w:rPr>
          <w:sz w:val="24"/>
        </w:rPr>
        <w:t>regional working having an impact on research and innovation and the benefits associated with the same.</w:t>
      </w:r>
    </w:p>
    <w:p>
      <w:pPr>
        <w:spacing w:before="274"/>
        <w:ind w:left="23" w:right="0" w:firstLine="0"/>
        <w:jc w:val="left"/>
        <w:rPr>
          <w:b/>
          <w:sz w:val="24"/>
        </w:rPr>
      </w:pPr>
      <w:r>
        <w:rPr>
          <w:b/>
          <w:spacing w:val="-2"/>
          <w:sz w:val="24"/>
        </w:rPr>
        <w:t>Recommendation/</w:t>
      </w:r>
      <w:r>
        <w:rPr>
          <w:b/>
          <w:spacing w:val="11"/>
          <w:sz w:val="24"/>
        </w:rPr>
        <w:t> </w:t>
      </w:r>
      <w:r>
        <w:rPr>
          <w:b/>
          <w:spacing w:val="-2"/>
          <w:sz w:val="24"/>
        </w:rPr>
        <w:t>Argymhelliad</w:t>
      </w:r>
    </w:p>
    <w:p>
      <w:pPr>
        <w:pStyle w:val="BodyText"/>
        <w:spacing w:line="275" w:lineRule="exact" w:before="5"/>
        <w:ind w:left="23"/>
      </w:pPr>
      <w:r>
        <w:rPr/>
        <w:t>Members</w:t>
      </w:r>
      <w:r>
        <w:rPr>
          <w:spacing w:val="-5"/>
        </w:rPr>
        <w:t> </w:t>
      </w:r>
      <w:r>
        <w:rPr/>
        <w:t>are</w:t>
      </w:r>
      <w:r>
        <w:rPr>
          <w:spacing w:val="-2"/>
        </w:rPr>
        <w:t> </w:t>
      </w:r>
      <w:r>
        <w:rPr/>
        <w:t>asked</w:t>
      </w:r>
      <w:r>
        <w:rPr>
          <w:spacing w:val="-2"/>
        </w:rPr>
        <w:t> </w:t>
      </w:r>
      <w:r>
        <w:rPr>
          <w:spacing w:val="-5"/>
        </w:rPr>
        <w:t>to:</w:t>
      </w:r>
    </w:p>
    <w:p>
      <w:pPr>
        <w:pStyle w:val="ListParagraph"/>
        <w:numPr>
          <w:ilvl w:val="0"/>
          <w:numId w:val="29"/>
        </w:numPr>
        <w:tabs>
          <w:tab w:pos="744" w:val="left" w:leader="none"/>
        </w:tabs>
        <w:spacing w:line="240" w:lineRule="auto" w:before="0" w:after="0"/>
        <w:ind w:left="744" w:right="208" w:hanging="360"/>
        <w:jc w:val="left"/>
        <w:rPr>
          <w:sz w:val="24"/>
        </w:rPr>
      </w:pPr>
      <w:r>
        <w:rPr>
          <w:b/>
          <w:sz w:val="24"/>
        </w:rPr>
        <w:t>BE ASSURED BY </w:t>
      </w:r>
      <w:r>
        <w:rPr>
          <w:sz w:val="24"/>
        </w:rPr>
        <w:t>the positive response approved bid for funding for the regional oncology trial task and finish group’s report and recommendations and the ongoing work for a funding bid; and ongoing work to sustain a CVD innovation</w:t>
      </w:r>
      <w:r>
        <w:rPr>
          <w:spacing w:val="-2"/>
          <w:sz w:val="24"/>
        </w:rPr>
        <w:t> </w:t>
      </w:r>
      <w:r>
        <w:rPr>
          <w:sz w:val="24"/>
        </w:rPr>
        <w:t>model</w:t>
      </w:r>
      <w:r>
        <w:rPr>
          <w:spacing w:val="-2"/>
          <w:sz w:val="24"/>
        </w:rPr>
        <w:t> </w:t>
      </w:r>
      <w:r>
        <w:rPr>
          <w:sz w:val="24"/>
        </w:rPr>
        <w:t>that</w:t>
      </w:r>
      <w:r>
        <w:rPr>
          <w:spacing w:val="-5"/>
          <w:sz w:val="24"/>
        </w:rPr>
        <w:t> </w:t>
      </w:r>
      <w:r>
        <w:rPr>
          <w:sz w:val="24"/>
        </w:rPr>
        <w:t>has</w:t>
      </w:r>
      <w:r>
        <w:rPr>
          <w:spacing w:val="-3"/>
          <w:sz w:val="24"/>
        </w:rPr>
        <w:t> </w:t>
      </w:r>
      <w:r>
        <w:rPr>
          <w:sz w:val="24"/>
        </w:rPr>
        <w:t>proven</w:t>
      </w:r>
      <w:r>
        <w:rPr>
          <w:spacing w:val="-2"/>
          <w:sz w:val="24"/>
        </w:rPr>
        <w:t> </w:t>
      </w:r>
      <w:r>
        <w:rPr>
          <w:sz w:val="24"/>
        </w:rPr>
        <w:t>impact</w:t>
      </w:r>
      <w:r>
        <w:rPr>
          <w:spacing w:val="-5"/>
          <w:sz w:val="24"/>
        </w:rPr>
        <w:t> </w:t>
      </w:r>
      <w:r>
        <w:rPr>
          <w:sz w:val="24"/>
        </w:rPr>
        <w:t>on</w:t>
      </w:r>
      <w:r>
        <w:rPr>
          <w:spacing w:val="-2"/>
          <w:sz w:val="24"/>
        </w:rPr>
        <w:t> </w:t>
      </w:r>
      <w:r>
        <w:rPr>
          <w:sz w:val="24"/>
        </w:rPr>
        <w:t>health</w:t>
      </w:r>
      <w:r>
        <w:rPr>
          <w:spacing w:val="-2"/>
          <w:sz w:val="24"/>
        </w:rPr>
        <w:t> </w:t>
      </w:r>
      <w:r>
        <w:rPr>
          <w:sz w:val="24"/>
        </w:rPr>
        <w:t>outcomes</w:t>
      </w:r>
      <w:r>
        <w:rPr>
          <w:spacing w:val="-3"/>
          <w:sz w:val="24"/>
        </w:rPr>
        <w:t> </w:t>
      </w:r>
      <w:r>
        <w:rPr>
          <w:sz w:val="24"/>
        </w:rPr>
        <w:t>and</w:t>
      </w:r>
      <w:r>
        <w:rPr>
          <w:spacing w:val="-2"/>
          <w:sz w:val="24"/>
        </w:rPr>
        <w:t> </w:t>
      </w:r>
      <w:r>
        <w:rPr>
          <w:sz w:val="24"/>
        </w:rPr>
        <w:t>addresses a pressing issue across the region.</w:t>
      </w:r>
    </w:p>
    <w:p>
      <w:pPr>
        <w:pStyle w:val="ListParagraph"/>
        <w:numPr>
          <w:ilvl w:val="0"/>
          <w:numId w:val="29"/>
        </w:numPr>
        <w:tabs>
          <w:tab w:pos="744" w:val="left" w:leader="none"/>
        </w:tabs>
        <w:spacing w:line="237" w:lineRule="auto" w:before="0" w:after="0"/>
        <w:ind w:left="744" w:right="278" w:hanging="360"/>
        <w:jc w:val="left"/>
        <w:rPr>
          <w:sz w:val="24"/>
        </w:rPr>
      </w:pPr>
      <w:r>
        <w:rPr>
          <w:b/>
          <w:sz w:val="24"/>
        </w:rPr>
        <w:t>BE</w:t>
      </w:r>
      <w:r>
        <w:rPr>
          <w:b/>
          <w:spacing w:val="-9"/>
          <w:sz w:val="24"/>
        </w:rPr>
        <w:t> </w:t>
      </w:r>
      <w:r>
        <w:rPr>
          <w:b/>
          <w:sz w:val="24"/>
        </w:rPr>
        <w:t>ASSURED</w:t>
      </w:r>
      <w:r>
        <w:rPr>
          <w:b/>
          <w:spacing w:val="-3"/>
          <w:sz w:val="24"/>
        </w:rPr>
        <w:t> </w:t>
      </w:r>
      <w:r>
        <w:rPr>
          <w:b/>
          <w:sz w:val="24"/>
        </w:rPr>
        <w:t>BY</w:t>
      </w:r>
      <w:r>
        <w:rPr>
          <w:b/>
          <w:spacing w:val="-7"/>
          <w:sz w:val="24"/>
        </w:rPr>
        <w:t> </w:t>
      </w:r>
      <w:r>
        <w:rPr>
          <w:sz w:val="24"/>
        </w:rPr>
        <w:t>the</w:t>
      </w:r>
      <w:r>
        <w:rPr>
          <w:spacing w:val="-3"/>
          <w:sz w:val="24"/>
        </w:rPr>
        <w:t> </w:t>
      </w:r>
      <w:r>
        <w:rPr>
          <w:sz w:val="24"/>
        </w:rPr>
        <w:t>recruitment</w:t>
      </w:r>
      <w:r>
        <w:rPr>
          <w:spacing w:val="-4"/>
          <w:sz w:val="24"/>
        </w:rPr>
        <w:t> </w:t>
      </w:r>
      <w:r>
        <w:rPr>
          <w:sz w:val="24"/>
        </w:rPr>
        <w:t>of</w:t>
      </w:r>
      <w:r>
        <w:rPr>
          <w:spacing w:val="-6"/>
          <w:sz w:val="24"/>
        </w:rPr>
        <w:t> </w:t>
      </w:r>
      <w:r>
        <w:rPr>
          <w:sz w:val="24"/>
        </w:rPr>
        <w:t>the</w:t>
      </w:r>
      <w:r>
        <w:rPr>
          <w:spacing w:val="-3"/>
          <w:sz w:val="24"/>
        </w:rPr>
        <w:t> </w:t>
      </w:r>
      <w:r>
        <w:rPr>
          <w:sz w:val="24"/>
        </w:rPr>
        <w:t>Regional</w:t>
      </w:r>
      <w:r>
        <w:rPr>
          <w:spacing w:val="-3"/>
          <w:sz w:val="24"/>
        </w:rPr>
        <w:t> </w:t>
      </w:r>
      <w:r>
        <w:rPr>
          <w:sz w:val="24"/>
        </w:rPr>
        <w:t>Director</w:t>
      </w:r>
      <w:r>
        <w:rPr>
          <w:spacing w:val="-4"/>
          <w:sz w:val="24"/>
        </w:rPr>
        <w:t> </w:t>
      </w:r>
      <w:r>
        <w:rPr>
          <w:sz w:val="24"/>
        </w:rPr>
        <w:t>of</w:t>
      </w:r>
      <w:r>
        <w:rPr>
          <w:spacing w:val="-6"/>
          <w:sz w:val="24"/>
        </w:rPr>
        <w:t> </w:t>
      </w:r>
      <w:r>
        <w:rPr>
          <w:sz w:val="24"/>
        </w:rPr>
        <w:t>Research</w:t>
      </w:r>
      <w:r>
        <w:rPr>
          <w:spacing w:val="-3"/>
          <w:sz w:val="24"/>
        </w:rPr>
        <w:t> </w:t>
      </w:r>
      <w:r>
        <w:rPr>
          <w:sz w:val="24"/>
        </w:rPr>
        <w:t>and Innovation post.</w:t>
      </w:r>
    </w:p>
    <w:p>
      <w:pPr>
        <w:pStyle w:val="ListParagraph"/>
        <w:numPr>
          <w:ilvl w:val="0"/>
          <w:numId w:val="29"/>
        </w:numPr>
        <w:tabs>
          <w:tab w:pos="744" w:val="left" w:leader="none"/>
        </w:tabs>
        <w:spacing w:line="237" w:lineRule="auto" w:before="4" w:after="0"/>
        <w:ind w:left="744" w:right="1104" w:hanging="360"/>
        <w:jc w:val="left"/>
        <w:rPr>
          <w:sz w:val="24"/>
        </w:rPr>
      </w:pPr>
      <w:r>
        <w:rPr>
          <w:b/>
          <w:sz w:val="24"/>
        </w:rPr>
        <w:t>BE</w:t>
      </w:r>
      <w:r>
        <w:rPr>
          <w:b/>
          <w:spacing w:val="-10"/>
          <w:sz w:val="24"/>
        </w:rPr>
        <w:t> </w:t>
      </w:r>
      <w:r>
        <w:rPr>
          <w:b/>
          <w:sz w:val="24"/>
        </w:rPr>
        <w:t>ASSURED</w:t>
      </w:r>
      <w:r>
        <w:rPr>
          <w:b/>
          <w:spacing w:val="-4"/>
          <w:sz w:val="24"/>
        </w:rPr>
        <w:t> </w:t>
      </w:r>
      <w:r>
        <w:rPr>
          <w:b/>
          <w:sz w:val="24"/>
        </w:rPr>
        <w:t>BY</w:t>
      </w:r>
      <w:r>
        <w:rPr>
          <w:b/>
          <w:spacing w:val="-8"/>
          <w:sz w:val="24"/>
        </w:rPr>
        <w:t> </w:t>
      </w:r>
      <w:r>
        <w:rPr>
          <w:sz w:val="24"/>
        </w:rPr>
        <w:t>the</w:t>
      </w:r>
      <w:r>
        <w:rPr>
          <w:spacing w:val="-4"/>
          <w:sz w:val="24"/>
        </w:rPr>
        <w:t> </w:t>
      </w:r>
      <w:r>
        <w:rPr>
          <w:sz w:val="24"/>
        </w:rPr>
        <w:t>growing</w:t>
      </w:r>
      <w:r>
        <w:rPr>
          <w:spacing w:val="-4"/>
          <w:sz w:val="24"/>
        </w:rPr>
        <w:t> </w:t>
      </w:r>
      <w:r>
        <w:rPr>
          <w:sz w:val="24"/>
        </w:rPr>
        <w:t>programme</w:t>
      </w:r>
      <w:r>
        <w:rPr>
          <w:spacing w:val="-4"/>
          <w:sz w:val="24"/>
        </w:rPr>
        <w:t> </w:t>
      </w:r>
      <w:r>
        <w:rPr>
          <w:sz w:val="24"/>
        </w:rPr>
        <w:t>of</w:t>
      </w:r>
      <w:r>
        <w:rPr>
          <w:spacing w:val="-7"/>
          <w:sz w:val="24"/>
        </w:rPr>
        <w:t> </w:t>
      </w:r>
      <w:r>
        <w:rPr>
          <w:sz w:val="24"/>
        </w:rPr>
        <w:t>regional</w:t>
      </w:r>
      <w:r>
        <w:rPr>
          <w:spacing w:val="-4"/>
          <w:sz w:val="24"/>
        </w:rPr>
        <w:t> </w:t>
      </w:r>
      <w:r>
        <w:rPr>
          <w:sz w:val="24"/>
        </w:rPr>
        <w:t>research</w:t>
      </w:r>
      <w:r>
        <w:rPr>
          <w:spacing w:val="-4"/>
          <w:sz w:val="24"/>
        </w:rPr>
        <w:t> </w:t>
      </w:r>
      <w:r>
        <w:rPr>
          <w:sz w:val="24"/>
        </w:rPr>
        <w:t>and innovation work.</w:t>
      </w:r>
    </w:p>
    <w:p>
      <w:pPr>
        <w:pStyle w:val="ListParagraph"/>
        <w:numPr>
          <w:ilvl w:val="0"/>
          <w:numId w:val="29"/>
        </w:numPr>
        <w:tabs>
          <w:tab w:pos="744" w:val="left" w:leader="none"/>
        </w:tabs>
        <w:spacing w:line="240" w:lineRule="auto" w:before="0" w:after="0"/>
        <w:ind w:left="744" w:right="214" w:hanging="360"/>
        <w:jc w:val="left"/>
        <w:rPr>
          <w:sz w:val="24"/>
        </w:rPr>
      </w:pPr>
      <w:r>
        <w:rPr>
          <w:b/>
          <w:sz w:val="24"/>
        </w:rPr>
        <w:t>ACKNOWLEDGE</w:t>
      </w:r>
      <w:r>
        <w:rPr>
          <w:b/>
          <w:spacing w:val="-2"/>
          <w:sz w:val="24"/>
        </w:rPr>
        <w:t> </w:t>
      </w:r>
      <w:r>
        <w:rPr>
          <w:sz w:val="24"/>
        </w:rPr>
        <w:t>the</w:t>
      </w:r>
      <w:r>
        <w:rPr>
          <w:spacing w:val="-3"/>
          <w:sz w:val="24"/>
        </w:rPr>
        <w:t> </w:t>
      </w:r>
      <w:r>
        <w:rPr>
          <w:sz w:val="24"/>
        </w:rPr>
        <w:t>commencement</w:t>
      </w:r>
      <w:r>
        <w:rPr>
          <w:spacing w:val="-6"/>
          <w:sz w:val="24"/>
        </w:rPr>
        <w:t> </w:t>
      </w:r>
      <w:r>
        <w:rPr>
          <w:sz w:val="24"/>
        </w:rPr>
        <w:t>of</w:t>
      </w:r>
      <w:r>
        <w:rPr>
          <w:spacing w:val="-6"/>
          <w:sz w:val="24"/>
        </w:rPr>
        <w:t> </w:t>
      </w:r>
      <w:r>
        <w:rPr>
          <w:sz w:val="24"/>
        </w:rPr>
        <w:t>work</w:t>
      </w:r>
      <w:r>
        <w:rPr>
          <w:spacing w:val="-4"/>
          <w:sz w:val="24"/>
        </w:rPr>
        <w:t> </w:t>
      </w:r>
      <w:r>
        <w:rPr>
          <w:sz w:val="24"/>
        </w:rPr>
        <w:t>to</w:t>
      </w:r>
      <w:r>
        <w:rPr>
          <w:spacing w:val="-3"/>
          <w:sz w:val="24"/>
        </w:rPr>
        <w:t> </w:t>
      </w:r>
      <w:r>
        <w:rPr>
          <w:sz w:val="24"/>
        </w:rPr>
        <w:t>support</w:t>
      </w:r>
      <w:r>
        <w:rPr>
          <w:spacing w:val="-6"/>
          <w:sz w:val="24"/>
        </w:rPr>
        <w:t> </w:t>
      </w:r>
      <w:r>
        <w:rPr>
          <w:sz w:val="24"/>
        </w:rPr>
        <w:t>life</w:t>
      </w:r>
      <w:r>
        <w:rPr>
          <w:spacing w:val="-3"/>
          <w:sz w:val="24"/>
        </w:rPr>
        <w:t> </w:t>
      </w:r>
      <w:r>
        <w:rPr>
          <w:sz w:val="24"/>
        </w:rPr>
        <w:t>sciences</w:t>
      </w:r>
      <w:r>
        <w:rPr>
          <w:spacing w:val="-4"/>
          <w:sz w:val="24"/>
        </w:rPr>
        <w:t> </w:t>
      </w:r>
      <w:r>
        <w:rPr>
          <w:sz w:val="24"/>
        </w:rPr>
        <w:t>in</w:t>
      </w:r>
      <w:r>
        <w:rPr>
          <w:spacing w:val="-3"/>
          <w:sz w:val="24"/>
        </w:rPr>
        <w:t> </w:t>
      </w:r>
      <w:r>
        <w:rPr>
          <w:sz w:val="24"/>
        </w:rPr>
        <w:t>the region and the co-ordinated involvement of both organisations in several wider regional symposia and partnership development opportunities.</w:t>
      </w:r>
    </w:p>
    <w:p>
      <w:pPr>
        <w:pStyle w:val="ListParagraph"/>
        <w:numPr>
          <w:ilvl w:val="0"/>
          <w:numId w:val="29"/>
        </w:numPr>
        <w:tabs>
          <w:tab w:pos="744" w:val="left" w:leader="none"/>
        </w:tabs>
        <w:spacing w:line="242" w:lineRule="auto" w:before="0" w:after="0"/>
        <w:ind w:left="744" w:right="50" w:hanging="360"/>
        <w:jc w:val="left"/>
        <w:rPr>
          <w:sz w:val="24"/>
        </w:rPr>
      </w:pPr>
      <w:r>
        <w:rPr>
          <w:b/>
          <w:sz w:val="24"/>
        </w:rPr>
        <w:t>ACKNOWLEDGE</w:t>
      </w:r>
      <w:r>
        <w:rPr>
          <w:b/>
          <w:spacing w:val="-2"/>
          <w:sz w:val="24"/>
        </w:rPr>
        <w:t> </w:t>
      </w:r>
      <w:r>
        <w:rPr>
          <w:sz w:val="24"/>
        </w:rPr>
        <w:t>the</w:t>
      </w:r>
      <w:r>
        <w:rPr>
          <w:spacing w:val="-3"/>
          <w:sz w:val="24"/>
        </w:rPr>
        <w:t> </w:t>
      </w:r>
      <w:r>
        <w:rPr>
          <w:sz w:val="24"/>
        </w:rPr>
        <w:t>commencement</w:t>
      </w:r>
      <w:r>
        <w:rPr>
          <w:spacing w:val="-6"/>
          <w:sz w:val="24"/>
        </w:rPr>
        <w:t> </w:t>
      </w:r>
      <w:r>
        <w:rPr>
          <w:sz w:val="24"/>
        </w:rPr>
        <w:t>of</w:t>
      </w:r>
      <w:r>
        <w:rPr>
          <w:spacing w:val="-6"/>
          <w:sz w:val="24"/>
        </w:rPr>
        <w:t> </w:t>
      </w:r>
      <w:r>
        <w:rPr>
          <w:sz w:val="24"/>
        </w:rPr>
        <w:t>work</w:t>
      </w:r>
      <w:r>
        <w:rPr>
          <w:spacing w:val="-4"/>
          <w:sz w:val="24"/>
        </w:rPr>
        <w:t> </w:t>
      </w:r>
      <w:r>
        <w:rPr>
          <w:sz w:val="24"/>
        </w:rPr>
        <w:t>to</w:t>
      </w:r>
      <w:r>
        <w:rPr>
          <w:spacing w:val="-3"/>
          <w:sz w:val="24"/>
        </w:rPr>
        <w:t> </w:t>
      </w:r>
      <w:r>
        <w:rPr>
          <w:sz w:val="24"/>
        </w:rPr>
        <w:t>support</w:t>
      </w:r>
      <w:r>
        <w:rPr>
          <w:spacing w:val="-2"/>
          <w:sz w:val="24"/>
        </w:rPr>
        <w:t> </w:t>
      </w:r>
      <w:r>
        <w:rPr>
          <w:sz w:val="24"/>
        </w:rPr>
        <w:t>a</w:t>
      </w:r>
      <w:r>
        <w:rPr>
          <w:spacing w:val="-3"/>
          <w:sz w:val="24"/>
        </w:rPr>
        <w:t> </w:t>
      </w:r>
      <w:r>
        <w:rPr>
          <w:sz w:val="24"/>
        </w:rPr>
        <w:t>regional</w:t>
      </w:r>
      <w:r>
        <w:rPr>
          <w:spacing w:val="-3"/>
          <w:sz w:val="24"/>
        </w:rPr>
        <w:t> </w:t>
      </w:r>
      <w:r>
        <w:rPr>
          <w:sz w:val="24"/>
        </w:rPr>
        <w:t>approach to NHS and University Partnership.</w:t>
      </w:r>
    </w:p>
    <w:p>
      <w:pPr>
        <w:spacing w:before="269"/>
        <w:ind w:left="23" w:right="0" w:firstLine="0"/>
        <w:jc w:val="left"/>
        <w:rPr>
          <w:b/>
          <w:sz w:val="24"/>
        </w:rPr>
      </w:pPr>
      <w:r>
        <w:rPr>
          <w:b/>
          <w:sz w:val="24"/>
        </w:rPr>
        <w:t>Date</w:t>
      </w:r>
      <w:r>
        <w:rPr>
          <w:b/>
          <w:spacing w:val="-2"/>
          <w:sz w:val="24"/>
        </w:rPr>
        <w:t> </w:t>
      </w:r>
      <w:r>
        <w:rPr>
          <w:b/>
          <w:sz w:val="24"/>
        </w:rPr>
        <w:t>of</w:t>
      </w:r>
      <w:r>
        <w:rPr>
          <w:b/>
          <w:spacing w:val="-2"/>
          <w:sz w:val="24"/>
        </w:rPr>
        <w:t> </w:t>
      </w:r>
      <w:r>
        <w:rPr>
          <w:b/>
          <w:sz w:val="24"/>
        </w:rPr>
        <w:t>next</w:t>
      </w:r>
      <w:r>
        <w:rPr>
          <w:b/>
          <w:spacing w:val="-2"/>
          <w:sz w:val="24"/>
        </w:rPr>
        <w:t> </w:t>
      </w:r>
      <w:r>
        <w:rPr>
          <w:b/>
          <w:sz w:val="24"/>
        </w:rPr>
        <w:t>meeting/</w:t>
      </w:r>
      <w:r>
        <w:rPr>
          <w:b/>
          <w:spacing w:val="-4"/>
          <w:sz w:val="24"/>
        </w:rPr>
        <w:t> </w:t>
      </w:r>
      <w:r>
        <w:rPr>
          <w:b/>
          <w:sz w:val="24"/>
        </w:rPr>
        <w:t>Dyddiad</w:t>
      </w:r>
      <w:r>
        <w:rPr>
          <w:b/>
          <w:spacing w:val="-4"/>
          <w:sz w:val="24"/>
        </w:rPr>
        <w:t> </w:t>
      </w:r>
      <w:r>
        <w:rPr>
          <w:b/>
          <w:sz w:val="24"/>
        </w:rPr>
        <w:t>y</w:t>
      </w:r>
      <w:r>
        <w:rPr>
          <w:b/>
          <w:spacing w:val="-1"/>
          <w:sz w:val="24"/>
        </w:rPr>
        <w:t> </w:t>
      </w:r>
      <w:r>
        <w:rPr>
          <w:b/>
          <w:sz w:val="24"/>
        </w:rPr>
        <w:t>cyfarfod</w:t>
      </w:r>
      <w:r>
        <w:rPr>
          <w:b/>
          <w:spacing w:val="1"/>
          <w:sz w:val="24"/>
        </w:rPr>
        <w:t> </w:t>
      </w:r>
      <w:r>
        <w:rPr>
          <w:b/>
          <w:sz w:val="24"/>
        </w:rPr>
        <w:t>nesaf</w:t>
      </w:r>
      <w:r>
        <w:rPr>
          <w:sz w:val="24"/>
        </w:rPr>
        <w:t>:</w:t>
      </w:r>
      <w:r>
        <w:rPr>
          <w:spacing w:val="-4"/>
          <w:sz w:val="24"/>
        </w:rPr>
        <w:t> </w:t>
      </w:r>
      <w:r>
        <w:rPr>
          <w:b/>
          <w:sz w:val="24"/>
        </w:rPr>
        <w:t>8</w:t>
      </w:r>
      <w:r>
        <w:rPr>
          <w:b/>
          <w:sz w:val="24"/>
          <w:vertAlign w:val="superscript"/>
        </w:rPr>
        <w:t>th</w:t>
      </w:r>
      <w:r>
        <w:rPr>
          <w:b/>
          <w:sz w:val="24"/>
          <w:vertAlign w:val="baseline"/>
        </w:rPr>
        <w:t> October</w:t>
      </w:r>
      <w:r>
        <w:rPr>
          <w:b/>
          <w:spacing w:val="-1"/>
          <w:sz w:val="24"/>
          <w:vertAlign w:val="baseline"/>
        </w:rPr>
        <w:t> </w:t>
      </w:r>
      <w:r>
        <w:rPr>
          <w:b/>
          <w:spacing w:val="-4"/>
          <w:sz w:val="24"/>
          <w:vertAlign w:val="baseline"/>
        </w:rPr>
        <w:t>2026</w:t>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16"/>
        <w:rPr>
          <w:b/>
          <w:sz w:val="22"/>
        </w:rPr>
      </w:pPr>
    </w:p>
    <w:p>
      <w:pPr>
        <w:spacing w:before="0"/>
        <w:ind w:left="0" w:right="1" w:firstLine="0"/>
        <w:jc w:val="center"/>
        <w:rPr>
          <w:rFonts w:ascii="Calibri"/>
          <w:b/>
          <w:sz w:val="22"/>
        </w:rPr>
      </w:pPr>
      <w:r>
        <w:rPr>
          <w:rFonts w:ascii="Calibri"/>
          <w:sz w:val="22"/>
        </w:rPr>
        <w:t>Page</w:t>
      </w:r>
      <w:r>
        <w:rPr>
          <w:rFonts w:ascii="Calibri"/>
          <w:spacing w:val="-4"/>
          <w:sz w:val="22"/>
        </w:rPr>
        <w:t> </w:t>
      </w:r>
      <w:r>
        <w:rPr>
          <w:rFonts w:ascii="Calibri"/>
          <w:b/>
          <w:sz w:val="22"/>
        </w:rPr>
        <w:t>3</w:t>
      </w:r>
      <w:r>
        <w:rPr>
          <w:rFonts w:ascii="Calibri"/>
          <w:b/>
          <w:spacing w:val="-5"/>
          <w:sz w:val="22"/>
        </w:rPr>
        <w:t> </w:t>
      </w:r>
      <w:r>
        <w:rPr>
          <w:rFonts w:ascii="Calibri"/>
          <w:sz w:val="22"/>
        </w:rPr>
        <w:t>of</w:t>
      </w:r>
      <w:r>
        <w:rPr>
          <w:rFonts w:ascii="Calibri"/>
          <w:spacing w:val="-4"/>
          <w:sz w:val="22"/>
        </w:rPr>
        <w:t> </w:t>
      </w:r>
      <w:r>
        <w:rPr>
          <w:rFonts w:ascii="Calibri"/>
          <w:b/>
          <w:spacing w:val="-10"/>
          <w:sz w:val="22"/>
        </w:rPr>
        <w:t>3</w:t>
      </w:r>
    </w:p>
    <w:p>
      <w:pPr>
        <w:spacing w:after="0"/>
        <w:jc w:val="center"/>
        <w:rPr>
          <w:rFonts w:ascii="Calibri"/>
          <w:b/>
          <w:sz w:val="22"/>
        </w:rPr>
        <w:sectPr>
          <w:pgSz w:w="11910" w:h="16840"/>
          <w:pgMar w:header="0" w:footer="149" w:top="1140" w:bottom="340" w:left="1417" w:right="1417"/>
        </w:sectPr>
      </w:pPr>
    </w:p>
    <w:p>
      <w:pPr>
        <w:tabs>
          <w:tab w:pos="10882" w:val="left" w:leader="none"/>
        </w:tabs>
        <w:spacing w:line="240" w:lineRule="auto"/>
        <w:ind w:left="1026" w:right="0" w:firstLine="0"/>
        <w:rPr>
          <w:rFonts w:ascii="Calibri"/>
          <w:position w:val="1"/>
          <w:sz w:val="20"/>
        </w:rPr>
      </w:pPr>
      <w:r>
        <w:rPr>
          <w:rFonts w:ascii="Calibri"/>
          <w:sz w:val="20"/>
        </w:rPr>
        <w:drawing>
          <wp:inline distT="0" distB="0" distL="0" distR="0">
            <wp:extent cx="1805958" cy="449579"/>
            <wp:effectExtent l="0" t="0" r="0" b="0"/>
            <wp:docPr id="385" name="Image 385"/>
            <wp:cNvGraphicFramePr>
              <a:graphicFrameLocks/>
            </wp:cNvGraphicFramePr>
            <a:graphic>
              <a:graphicData uri="http://schemas.openxmlformats.org/drawingml/2006/picture">
                <pic:pic>
                  <pic:nvPicPr>
                    <pic:cNvPr id="385" name="Image 385"/>
                    <pic:cNvPicPr/>
                  </pic:nvPicPr>
                  <pic:blipFill>
                    <a:blip r:embed="rId62" cstate="print"/>
                    <a:stretch>
                      <a:fillRect/>
                    </a:stretch>
                  </pic:blipFill>
                  <pic:spPr>
                    <a:xfrm>
                      <a:off x="0" y="0"/>
                      <a:ext cx="1805958" cy="449579"/>
                    </a:xfrm>
                    <a:prstGeom prst="rect">
                      <a:avLst/>
                    </a:prstGeom>
                  </pic:spPr>
                </pic:pic>
              </a:graphicData>
            </a:graphic>
          </wp:inline>
        </w:drawing>
      </w:r>
      <w:r>
        <w:rPr>
          <w:rFonts w:ascii="Calibri"/>
          <w:sz w:val="20"/>
        </w:rPr>
      </w:r>
      <w:r>
        <w:rPr>
          <w:rFonts w:ascii="Calibri"/>
          <w:sz w:val="20"/>
        </w:rPr>
        <w:tab/>
      </w:r>
      <w:r>
        <w:rPr>
          <w:rFonts w:ascii="Calibri"/>
          <w:position w:val="1"/>
          <w:sz w:val="20"/>
        </w:rPr>
        <w:drawing>
          <wp:inline distT="0" distB="0" distL="0" distR="0">
            <wp:extent cx="1743295" cy="445007"/>
            <wp:effectExtent l="0" t="0" r="0" b="0"/>
            <wp:docPr id="386" name="Image 386"/>
            <wp:cNvGraphicFramePr>
              <a:graphicFrameLocks/>
            </wp:cNvGraphicFramePr>
            <a:graphic>
              <a:graphicData uri="http://schemas.openxmlformats.org/drawingml/2006/picture">
                <pic:pic>
                  <pic:nvPicPr>
                    <pic:cNvPr id="386" name="Image 386"/>
                    <pic:cNvPicPr/>
                  </pic:nvPicPr>
                  <pic:blipFill>
                    <a:blip r:embed="rId63" cstate="print"/>
                    <a:stretch>
                      <a:fillRect/>
                    </a:stretch>
                  </pic:blipFill>
                  <pic:spPr>
                    <a:xfrm>
                      <a:off x="0" y="0"/>
                      <a:ext cx="1743295" cy="445007"/>
                    </a:xfrm>
                    <a:prstGeom prst="rect">
                      <a:avLst/>
                    </a:prstGeom>
                  </pic:spPr>
                </pic:pic>
              </a:graphicData>
            </a:graphic>
          </wp:inline>
        </w:drawing>
      </w:r>
      <w:r>
        <w:rPr>
          <w:rFonts w:ascii="Calibri"/>
          <w:position w:val="1"/>
          <w:sz w:val="20"/>
        </w:rPr>
      </w:r>
    </w:p>
    <w:p>
      <w:pPr>
        <w:spacing w:after="0" w:line="240" w:lineRule="auto"/>
        <w:rPr>
          <w:rFonts w:ascii="Calibri"/>
          <w:position w:val="1"/>
          <w:sz w:val="20"/>
        </w:rPr>
        <w:sectPr>
          <w:footerReference w:type="default" r:id="rId70"/>
          <w:pgSz w:w="16840" w:h="11910" w:orient="landscape"/>
          <w:pgMar w:header="0" w:footer="198" w:top="700" w:bottom="380" w:left="566" w:right="566"/>
        </w:sectPr>
      </w:pPr>
    </w:p>
    <w:p>
      <w:pPr>
        <w:pStyle w:val="BodyText"/>
        <w:rPr>
          <w:rFonts w:ascii="Calibri"/>
          <w:b/>
          <w:sz w:val="26"/>
        </w:rPr>
      </w:pPr>
    </w:p>
    <w:p>
      <w:pPr>
        <w:pStyle w:val="BodyText"/>
        <w:rPr>
          <w:rFonts w:ascii="Calibri"/>
          <w:b/>
          <w:sz w:val="26"/>
        </w:rPr>
      </w:pPr>
    </w:p>
    <w:p>
      <w:pPr>
        <w:pStyle w:val="BodyText"/>
        <w:rPr>
          <w:rFonts w:ascii="Calibri"/>
          <w:b/>
          <w:sz w:val="26"/>
        </w:rPr>
      </w:pPr>
    </w:p>
    <w:p>
      <w:pPr>
        <w:pStyle w:val="BodyText"/>
        <w:spacing w:before="54"/>
        <w:rPr>
          <w:rFonts w:ascii="Calibri"/>
          <w:b/>
          <w:sz w:val="26"/>
        </w:rPr>
      </w:pPr>
    </w:p>
    <w:p>
      <w:pPr>
        <w:pStyle w:val="Heading8"/>
        <w:numPr>
          <w:ilvl w:val="0"/>
          <w:numId w:val="30"/>
        </w:numPr>
        <w:tabs>
          <w:tab w:pos="367" w:val="left" w:leader="none"/>
        </w:tabs>
        <w:spacing w:line="240" w:lineRule="auto" w:before="0" w:after="0"/>
        <w:ind w:left="367" w:right="0" w:hanging="284"/>
        <w:jc w:val="left"/>
      </w:pPr>
      <w:bookmarkStart w:name="RJC 39b Research, Excellence and Innovat" w:id="45"/>
      <w:bookmarkEnd w:id="45"/>
      <w:r>
        <w:rPr>
          <w:b w:val="0"/>
        </w:rPr>
      </w:r>
      <w:r>
        <w:rPr>
          <w:color w:val="001F5F"/>
        </w:rPr>
        <w:t>Subgroup</w:t>
      </w:r>
      <w:r>
        <w:rPr>
          <w:color w:val="001F5F"/>
          <w:spacing w:val="-3"/>
        </w:rPr>
        <w:t> </w:t>
      </w:r>
      <w:r>
        <w:rPr>
          <w:color w:val="001F5F"/>
          <w:spacing w:val="-2"/>
        </w:rPr>
        <w:t>Summary</w:t>
      </w:r>
    </w:p>
    <w:p>
      <w:pPr>
        <w:spacing w:before="24"/>
        <w:ind w:left="0" w:right="3915" w:firstLine="0"/>
        <w:jc w:val="center"/>
        <w:rPr>
          <w:b/>
          <w:sz w:val="20"/>
        </w:rPr>
      </w:pPr>
      <w:r>
        <w:rPr/>
        <w:br w:type="column"/>
      </w: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before="75"/>
        <w:ind w:left="6" w:right="3915" w:firstLine="0"/>
        <w:jc w:val="center"/>
        <w:rPr>
          <w:b/>
          <w:sz w:val="36"/>
        </w:rPr>
      </w:pPr>
      <w:r>
        <w:rPr>
          <w:b/>
          <w:color w:val="1F4E79"/>
          <w:sz w:val="36"/>
        </w:rPr>
        <w:t>RJC</w:t>
      </w:r>
      <w:r>
        <w:rPr>
          <w:b/>
          <w:color w:val="1F4E79"/>
          <w:spacing w:val="-4"/>
          <w:sz w:val="36"/>
        </w:rPr>
        <w:t> </w:t>
      </w:r>
      <w:r>
        <w:rPr>
          <w:b/>
          <w:color w:val="1F4E79"/>
          <w:sz w:val="36"/>
        </w:rPr>
        <w:t>Subgroup</w:t>
      </w:r>
      <w:r>
        <w:rPr>
          <w:b/>
          <w:color w:val="1F4E79"/>
          <w:spacing w:val="-3"/>
          <w:sz w:val="36"/>
        </w:rPr>
        <w:t> </w:t>
      </w:r>
      <w:r>
        <w:rPr>
          <w:b/>
          <w:color w:val="1F4E79"/>
          <w:sz w:val="36"/>
        </w:rPr>
        <w:t>Work</w:t>
      </w:r>
      <w:r>
        <w:rPr>
          <w:b/>
          <w:color w:val="1F4E79"/>
          <w:spacing w:val="-3"/>
          <w:sz w:val="36"/>
        </w:rPr>
        <w:t> </w:t>
      </w:r>
      <w:r>
        <w:rPr>
          <w:b/>
          <w:color w:val="1F4E79"/>
          <w:sz w:val="36"/>
        </w:rPr>
        <w:t>Programme</w:t>
      </w:r>
      <w:r>
        <w:rPr>
          <w:b/>
          <w:color w:val="1F4E79"/>
          <w:spacing w:val="-3"/>
          <w:sz w:val="36"/>
        </w:rPr>
        <w:t> </w:t>
      </w:r>
      <w:r>
        <w:rPr>
          <w:b/>
          <w:color w:val="1F4E79"/>
          <w:spacing w:val="-2"/>
          <w:sz w:val="36"/>
        </w:rPr>
        <w:t>Summary</w:t>
      </w:r>
    </w:p>
    <w:p>
      <w:pPr>
        <w:spacing w:before="99"/>
        <w:ind w:left="5" w:right="3915" w:firstLine="0"/>
        <w:jc w:val="center"/>
        <w:rPr>
          <w:i/>
          <w:sz w:val="24"/>
        </w:rPr>
      </w:pPr>
      <w:r>
        <w:rPr>
          <w:i/>
          <w:color w:val="666666"/>
          <w:sz w:val="24"/>
        </w:rPr>
        <w:t>For</w:t>
      </w:r>
      <w:r>
        <w:rPr>
          <w:i/>
          <w:color w:val="666666"/>
          <w:spacing w:val="-4"/>
          <w:sz w:val="24"/>
        </w:rPr>
        <w:t> </w:t>
      </w:r>
      <w:r>
        <w:rPr>
          <w:i/>
          <w:color w:val="666666"/>
          <w:sz w:val="24"/>
        </w:rPr>
        <w:t>use</w:t>
      </w:r>
      <w:r>
        <w:rPr>
          <w:i/>
          <w:color w:val="666666"/>
          <w:spacing w:val="-2"/>
          <w:sz w:val="24"/>
        </w:rPr>
        <w:t> </w:t>
      </w:r>
      <w:r>
        <w:rPr>
          <w:i/>
          <w:color w:val="666666"/>
          <w:sz w:val="24"/>
        </w:rPr>
        <w:t>by</w:t>
      </w:r>
      <w:r>
        <w:rPr>
          <w:i/>
          <w:color w:val="666666"/>
          <w:spacing w:val="-3"/>
          <w:sz w:val="24"/>
        </w:rPr>
        <w:t> </w:t>
      </w:r>
      <w:r>
        <w:rPr>
          <w:i/>
          <w:color w:val="666666"/>
          <w:sz w:val="24"/>
        </w:rPr>
        <w:t>Regional</w:t>
      </w:r>
      <w:r>
        <w:rPr>
          <w:i/>
          <w:color w:val="666666"/>
          <w:spacing w:val="-2"/>
          <w:sz w:val="24"/>
        </w:rPr>
        <w:t> </w:t>
      </w:r>
      <w:r>
        <w:rPr>
          <w:i/>
          <w:color w:val="666666"/>
          <w:sz w:val="24"/>
        </w:rPr>
        <w:t>Programmes,</w:t>
      </w:r>
      <w:r>
        <w:rPr>
          <w:i/>
          <w:color w:val="666666"/>
          <w:spacing w:val="-6"/>
          <w:sz w:val="24"/>
        </w:rPr>
        <w:t> </w:t>
      </w:r>
      <w:r>
        <w:rPr>
          <w:i/>
          <w:color w:val="666666"/>
          <w:sz w:val="24"/>
        </w:rPr>
        <w:t>Projects,</w:t>
      </w:r>
      <w:r>
        <w:rPr>
          <w:i/>
          <w:color w:val="666666"/>
          <w:spacing w:val="-5"/>
          <w:sz w:val="24"/>
        </w:rPr>
        <w:t> </w:t>
      </w:r>
      <w:r>
        <w:rPr>
          <w:i/>
          <w:color w:val="666666"/>
          <w:sz w:val="24"/>
        </w:rPr>
        <w:t>Initiatives</w:t>
      </w:r>
      <w:r>
        <w:rPr>
          <w:i/>
          <w:color w:val="666666"/>
          <w:spacing w:val="-3"/>
          <w:sz w:val="24"/>
        </w:rPr>
        <w:t> </w:t>
      </w:r>
      <w:r>
        <w:rPr>
          <w:i/>
          <w:color w:val="666666"/>
          <w:sz w:val="24"/>
        </w:rPr>
        <w:t>and</w:t>
      </w:r>
      <w:r>
        <w:rPr>
          <w:i/>
          <w:color w:val="666666"/>
          <w:spacing w:val="-2"/>
          <w:sz w:val="24"/>
        </w:rPr>
        <w:t> </w:t>
      </w:r>
      <w:r>
        <w:rPr>
          <w:i/>
          <w:color w:val="666666"/>
          <w:sz w:val="24"/>
        </w:rPr>
        <w:t>Other</w:t>
      </w:r>
      <w:r>
        <w:rPr>
          <w:i/>
          <w:color w:val="666666"/>
          <w:spacing w:val="-3"/>
          <w:sz w:val="24"/>
        </w:rPr>
        <w:t> </w:t>
      </w:r>
      <w:r>
        <w:rPr>
          <w:i/>
          <w:color w:val="666666"/>
          <w:spacing w:val="-2"/>
          <w:sz w:val="24"/>
        </w:rPr>
        <w:t>Activities</w:t>
      </w:r>
    </w:p>
    <w:p>
      <w:pPr>
        <w:spacing w:after="0"/>
        <w:jc w:val="center"/>
        <w:rPr>
          <w:i/>
          <w:sz w:val="24"/>
        </w:rPr>
        <w:sectPr>
          <w:type w:val="continuous"/>
          <w:pgSz w:w="16840" w:h="11910" w:orient="landscape"/>
          <w:pgMar w:header="0" w:footer="198" w:top="760" w:bottom="280" w:left="566" w:right="566"/>
          <w:cols w:num="2" w:equalWidth="0">
            <w:col w:w="3883" w:space="37"/>
            <w:col w:w="11788"/>
          </w:cols>
        </w:sectPr>
      </w:pPr>
    </w:p>
    <w:p>
      <w:pPr>
        <w:pStyle w:val="BodyText"/>
        <w:spacing w:before="5"/>
        <w:rPr>
          <w:i/>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3081"/>
        <w:gridCol w:w="12444"/>
      </w:tblGrid>
      <w:tr>
        <w:trPr>
          <w:trHeight w:val="510" w:hRule="atLeast"/>
        </w:trPr>
        <w:tc>
          <w:tcPr>
            <w:tcW w:w="3081" w:type="dxa"/>
            <w:shd w:val="clear" w:color="auto" w:fill="1F4E79"/>
          </w:tcPr>
          <w:p>
            <w:pPr>
              <w:pStyle w:val="TableParagraph"/>
              <w:spacing w:before="155"/>
              <w:ind w:left="87"/>
              <w:rPr>
                <w:b/>
                <w:sz w:val="17"/>
              </w:rPr>
            </w:pPr>
            <w:r>
              <w:rPr>
                <w:b/>
                <w:color w:val="FFFFFF"/>
                <w:sz w:val="17"/>
              </w:rPr>
              <w:t>Reporting</w:t>
            </w:r>
            <w:r>
              <w:rPr>
                <w:b/>
                <w:color w:val="FFFFFF"/>
                <w:spacing w:val="-4"/>
                <w:sz w:val="17"/>
              </w:rPr>
              <w:t> </w:t>
            </w:r>
            <w:r>
              <w:rPr>
                <w:b/>
                <w:color w:val="FFFFFF"/>
                <w:spacing w:val="-2"/>
                <w:sz w:val="17"/>
              </w:rPr>
              <w:t>Period</w:t>
            </w:r>
          </w:p>
        </w:tc>
        <w:tc>
          <w:tcPr>
            <w:tcW w:w="12444" w:type="dxa"/>
          </w:tcPr>
          <w:p>
            <w:pPr>
              <w:pStyle w:val="TableParagraph"/>
              <w:spacing w:before="155"/>
              <w:ind w:left="92"/>
              <w:rPr>
                <w:sz w:val="17"/>
              </w:rPr>
            </w:pPr>
            <w:r>
              <w:rPr>
                <w:sz w:val="17"/>
              </w:rPr>
              <w:t>September</w:t>
            </w:r>
            <w:r>
              <w:rPr>
                <w:spacing w:val="-12"/>
                <w:sz w:val="17"/>
              </w:rPr>
              <w:t> </w:t>
            </w:r>
            <w:r>
              <w:rPr>
                <w:spacing w:val="-4"/>
                <w:sz w:val="17"/>
              </w:rPr>
              <w:t>2026</w:t>
            </w:r>
          </w:p>
        </w:tc>
      </w:tr>
      <w:tr>
        <w:trPr>
          <w:trHeight w:val="510" w:hRule="atLeast"/>
        </w:trPr>
        <w:tc>
          <w:tcPr>
            <w:tcW w:w="3081" w:type="dxa"/>
            <w:shd w:val="clear" w:color="auto" w:fill="D9EAF7"/>
          </w:tcPr>
          <w:p>
            <w:pPr>
              <w:pStyle w:val="TableParagraph"/>
              <w:spacing w:before="155"/>
              <w:ind w:left="87"/>
              <w:rPr>
                <w:b/>
                <w:sz w:val="17"/>
              </w:rPr>
            </w:pPr>
            <w:r>
              <w:rPr>
                <w:b/>
                <w:sz w:val="17"/>
              </w:rPr>
              <w:t>Subgroup</w:t>
            </w:r>
            <w:r>
              <w:rPr>
                <w:b/>
                <w:spacing w:val="2"/>
                <w:sz w:val="17"/>
              </w:rPr>
              <w:t> </w:t>
            </w:r>
            <w:r>
              <w:rPr>
                <w:b/>
                <w:spacing w:val="-4"/>
                <w:sz w:val="17"/>
              </w:rPr>
              <w:t>Name</w:t>
            </w:r>
          </w:p>
        </w:tc>
        <w:tc>
          <w:tcPr>
            <w:tcW w:w="12444" w:type="dxa"/>
          </w:tcPr>
          <w:p>
            <w:pPr>
              <w:pStyle w:val="TableParagraph"/>
              <w:spacing w:before="155"/>
              <w:ind w:left="92"/>
              <w:rPr>
                <w:sz w:val="17"/>
              </w:rPr>
            </w:pPr>
            <w:r>
              <w:rPr>
                <w:sz w:val="17"/>
              </w:rPr>
              <w:t>Regional</w:t>
            </w:r>
            <w:r>
              <w:rPr>
                <w:spacing w:val="-5"/>
                <w:sz w:val="17"/>
              </w:rPr>
              <w:t> </w:t>
            </w:r>
            <w:r>
              <w:rPr>
                <w:sz w:val="17"/>
              </w:rPr>
              <w:t>Research,</w:t>
            </w:r>
            <w:r>
              <w:rPr>
                <w:spacing w:val="-7"/>
                <w:sz w:val="17"/>
              </w:rPr>
              <w:t> </w:t>
            </w:r>
            <w:r>
              <w:rPr>
                <w:sz w:val="17"/>
              </w:rPr>
              <w:t>Innovation</w:t>
            </w:r>
            <w:r>
              <w:rPr>
                <w:spacing w:val="-6"/>
                <w:sz w:val="17"/>
              </w:rPr>
              <w:t> </w:t>
            </w:r>
            <w:r>
              <w:rPr>
                <w:sz w:val="17"/>
              </w:rPr>
              <w:t>and</w:t>
            </w:r>
            <w:r>
              <w:rPr>
                <w:spacing w:val="-5"/>
                <w:sz w:val="17"/>
              </w:rPr>
              <w:t> </w:t>
            </w:r>
            <w:r>
              <w:rPr>
                <w:spacing w:val="-2"/>
                <w:sz w:val="17"/>
              </w:rPr>
              <w:t>Excellence</w:t>
            </w:r>
          </w:p>
        </w:tc>
      </w:tr>
      <w:tr>
        <w:trPr>
          <w:trHeight w:val="510" w:hRule="atLeast"/>
        </w:trPr>
        <w:tc>
          <w:tcPr>
            <w:tcW w:w="3081" w:type="dxa"/>
            <w:shd w:val="clear" w:color="auto" w:fill="D9EAF7"/>
          </w:tcPr>
          <w:p>
            <w:pPr>
              <w:pStyle w:val="TableParagraph"/>
              <w:spacing w:before="155"/>
              <w:ind w:left="87"/>
              <w:rPr>
                <w:b/>
                <w:sz w:val="17"/>
              </w:rPr>
            </w:pPr>
            <w:r>
              <w:rPr>
                <w:b/>
                <w:sz w:val="17"/>
              </w:rPr>
              <w:t>Subgroup</w:t>
            </w:r>
            <w:r>
              <w:rPr>
                <w:b/>
                <w:spacing w:val="4"/>
                <w:sz w:val="17"/>
              </w:rPr>
              <w:t> </w:t>
            </w:r>
            <w:r>
              <w:rPr>
                <w:b/>
                <w:spacing w:val="-2"/>
                <w:sz w:val="17"/>
              </w:rPr>
              <w:t>Lead(s)</w:t>
            </w:r>
          </w:p>
        </w:tc>
        <w:tc>
          <w:tcPr>
            <w:tcW w:w="12444" w:type="dxa"/>
          </w:tcPr>
          <w:p>
            <w:pPr>
              <w:pStyle w:val="TableParagraph"/>
              <w:spacing w:before="155"/>
              <w:ind w:left="92"/>
              <w:rPr>
                <w:sz w:val="17"/>
              </w:rPr>
            </w:pPr>
            <w:r>
              <w:rPr>
                <w:sz w:val="17"/>
              </w:rPr>
              <w:t>Mr</w:t>
            </w:r>
            <w:r>
              <w:rPr>
                <w:spacing w:val="-6"/>
                <w:sz w:val="17"/>
              </w:rPr>
              <w:t> </w:t>
            </w:r>
            <w:r>
              <w:rPr>
                <w:sz w:val="17"/>
              </w:rPr>
              <w:t>Mark</w:t>
            </w:r>
            <w:r>
              <w:rPr>
                <w:spacing w:val="-4"/>
                <w:sz w:val="17"/>
              </w:rPr>
              <w:t> </w:t>
            </w:r>
            <w:r>
              <w:rPr>
                <w:sz w:val="17"/>
              </w:rPr>
              <w:t>Henwood</w:t>
            </w:r>
            <w:r>
              <w:rPr>
                <w:spacing w:val="-3"/>
                <w:sz w:val="17"/>
              </w:rPr>
              <w:t> </w:t>
            </w:r>
            <w:r>
              <w:rPr>
                <w:sz w:val="17"/>
              </w:rPr>
              <w:t>and</w:t>
            </w:r>
            <w:r>
              <w:rPr>
                <w:spacing w:val="-3"/>
                <w:sz w:val="17"/>
              </w:rPr>
              <w:t> </w:t>
            </w:r>
            <w:r>
              <w:rPr>
                <w:sz w:val="17"/>
              </w:rPr>
              <w:t>Dr</w:t>
            </w:r>
            <w:r>
              <w:rPr>
                <w:spacing w:val="-5"/>
                <w:sz w:val="17"/>
              </w:rPr>
              <w:t> </w:t>
            </w:r>
            <w:r>
              <w:rPr>
                <w:sz w:val="17"/>
              </w:rPr>
              <w:t>Raj</w:t>
            </w:r>
            <w:r>
              <w:rPr>
                <w:spacing w:val="-2"/>
                <w:sz w:val="17"/>
              </w:rPr>
              <w:t> </w:t>
            </w:r>
            <w:r>
              <w:rPr>
                <w:sz w:val="17"/>
              </w:rPr>
              <w:t>Krishnan</w:t>
            </w:r>
            <w:r>
              <w:rPr>
                <w:spacing w:val="-3"/>
                <w:sz w:val="17"/>
              </w:rPr>
              <w:t> </w:t>
            </w:r>
            <w:r>
              <w:rPr>
                <w:sz w:val="17"/>
              </w:rPr>
              <w:t>(Interim),</w:t>
            </w:r>
            <w:r>
              <w:rPr>
                <w:spacing w:val="-6"/>
                <w:sz w:val="17"/>
              </w:rPr>
              <w:t> </w:t>
            </w:r>
            <w:r>
              <w:rPr>
                <w:sz w:val="17"/>
              </w:rPr>
              <w:t>Executive</w:t>
            </w:r>
            <w:r>
              <w:rPr>
                <w:spacing w:val="-3"/>
                <w:sz w:val="17"/>
              </w:rPr>
              <w:t> </w:t>
            </w:r>
            <w:r>
              <w:rPr>
                <w:sz w:val="17"/>
              </w:rPr>
              <w:t>Medical</w:t>
            </w:r>
            <w:r>
              <w:rPr>
                <w:spacing w:val="-1"/>
                <w:sz w:val="17"/>
              </w:rPr>
              <w:t> </w:t>
            </w:r>
            <w:r>
              <w:rPr>
                <w:spacing w:val="-2"/>
                <w:sz w:val="17"/>
              </w:rPr>
              <w:t>Directors</w:t>
            </w:r>
          </w:p>
        </w:tc>
      </w:tr>
      <w:tr>
        <w:trPr>
          <w:trHeight w:val="507" w:hRule="atLeast"/>
        </w:trPr>
        <w:tc>
          <w:tcPr>
            <w:tcW w:w="3081" w:type="dxa"/>
            <w:tcBorders>
              <w:bottom w:val="single" w:sz="8" w:space="0" w:color="6E6E6E"/>
            </w:tcBorders>
            <w:shd w:val="clear" w:color="auto" w:fill="D9EAF7"/>
          </w:tcPr>
          <w:p>
            <w:pPr>
              <w:pStyle w:val="TableParagraph"/>
              <w:spacing w:before="155"/>
              <w:ind w:left="87"/>
              <w:rPr>
                <w:b/>
                <w:sz w:val="17"/>
              </w:rPr>
            </w:pPr>
            <w:r>
              <w:rPr>
                <w:b/>
                <w:sz w:val="17"/>
              </w:rPr>
              <w:t>Operational</w:t>
            </w:r>
            <w:r>
              <w:rPr>
                <w:b/>
                <w:spacing w:val="-11"/>
                <w:sz w:val="17"/>
              </w:rPr>
              <w:t> </w:t>
            </w:r>
            <w:r>
              <w:rPr>
                <w:b/>
                <w:spacing w:val="-2"/>
                <w:sz w:val="17"/>
              </w:rPr>
              <w:t>Lead(s)</w:t>
            </w:r>
          </w:p>
        </w:tc>
        <w:tc>
          <w:tcPr>
            <w:tcW w:w="12444" w:type="dxa"/>
            <w:tcBorders>
              <w:bottom w:val="single" w:sz="8" w:space="0" w:color="6E6E6E"/>
            </w:tcBorders>
          </w:tcPr>
          <w:p>
            <w:pPr>
              <w:pStyle w:val="TableParagraph"/>
              <w:spacing w:before="155"/>
              <w:ind w:left="92"/>
              <w:rPr>
                <w:sz w:val="17"/>
              </w:rPr>
            </w:pPr>
            <w:r>
              <w:rPr>
                <w:sz w:val="17"/>
              </w:rPr>
              <w:t>Liz</w:t>
            </w:r>
            <w:r>
              <w:rPr>
                <w:spacing w:val="-5"/>
                <w:sz w:val="17"/>
              </w:rPr>
              <w:t> </w:t>
            </w:r>
            <w:r>
              <w:rPr>
                <w:sz w:val="17"/>
              </w:rPr>
              <w:t>Wonnacott,</w:t>
            </w:r>
            <w:r>
              <w:rPr>
                <w:spacing w:val="-7"/>
                <w:sz w:val="17"/>
              </w:rPr>
              <w:t> </w:t>
            </w:r>
            <w:r>
              <w:rPr>
                <w:sz w:val="17"/>
              </w:rPr>
              <w:t>Head</w:t>
            </w:r>
            <w:r>
              <w:rPr>
                <w:spacing w:val="-4"/>
                <w:sz w:val="17"/>
              </w:rPr>
              <w:t> </w:t>
            </w:r>
            <w:r>
              <w:rPr>
                <w:sz w:val="17"/>
              </w:rPr>
              <w:t>of</w:t>
            </w:r>
            <w:r>
              <w:rPr>
                <w:spacing w:val="-2"/>
                <w:sz w:val="17"/>
              </w:rPr>
              <w:t> </w:t>
            </w:r>
            <w:r>
              <w:rPr>
                <w:sz w:val="17"/>
              </w:rPr>
              <w:t>Service</w:t>
            </w:r>
            <w:r>
              <w:rPr>
                <w:spacing w:val="-2"/>
                <w:sz w:val="17"/>
              </w:rPr>
              <w:t> </w:t>
            </w:r>
            <w:r>
              <w:rPr>
                <w:sz w:val="17"/>
              </w:rPr>
              <w:t>–</w:t>
            </w:r>
            <w:r>
              <w:rPr>
                <w:spacing w:val="-4"/>
                <w:sz w:val="17"/>
              </w:rPr>
              <w:t> </w:t>
            </w:r>
            <w:r>
              <w:rPr>
                <w:sz w:val="17"/>
              </w:rPr>
              <w:t>Medical</w:t>
            </w:r>
            <w:r>
              <w:rPr>
                <w:spacing w:val="-1"/>
                <w:sz w:val="17"/>
              </w:rPr>
              <w:t> </w:t>
            </w:r>
            <w:r>
              <w:rPr>
                <w:spacing w:val="-2"/>
                <w:sz w:val="17"/>
              </w:rPr>
              <w:t>Director</w:t>
            </w:r>
          </w:p>
        </w:tc>
      </w:tr>
      <w:tr>
        <w:trPr>
          <w:trHeight w:val="507" w:hRule="atLeast"/>
        </w:trPr>
        <w:tc>
          <w:tcPr>
            <w:tcW w:w="3081" w:type="dxa"/>
            <w:tcBorders>
              <w:top w:val="single" w:sz="8" w:space="0" w:color="6E6E6E"/>
            </w:tcBorders>
            <w:shd w:val="clear" w:color="auto" w:fill="D9EAF7"/>
          </w:tcPr>
          <w:p>
            <w:pPr>
              <w:pStyle w:val="TableParagraph"/>
              <w:spacing w:before="153"/>
              <w:ind w:left="87"/>
              <w:rPr>
                <w:b/>
                <w:sz w:val="17"/>
              </w:rPr>
            </w:pPr>
            <w:r>
              <w:rPr>
                <w:b/>
                <w:spacing w:val="-2"/>
                <w:sz w:val="17"/>
              </w:rPr>
              <w:t>Clinical</w:t>
            </w:r>
            <w:r>
              <w:rPr>
                <w:b/>
                <w:spacing w:val="2"/>
                <w:sz w:val="17"/>
              </w:rPr>
              <w:t> </w:t>
            </w:r>
            <w:r>
              <w:rPr>
                <w:b/>
                <w:spacing w:val="-2"/>
                <w:sz w:val="17"/>
              </w:rPr>
              <w:t>Lead(s)</w:t>
            </w:r>
          </w:p>
        </w:tc>
        <w:tc>
          <w:tcPr>
            <w:tcW w:w="12444" w:type="dxa"/>
            <w:tcBorders>
              <w:top w:val="single" w:sz="8" w:space="0" w:color="6E6E6E"/>
            </w:tcBorders>
          </w:tcPr>
          <w:p>
            <w:pPr>
              <w:pStyle w:val="TableParagraph"/>
              <w:spacing w:before="153"/>
              <w:ind w:left="92"/>
              <w:rPr>
                <w:sz w:val="17"/>
              </w:rPr>
            </w:pPr>
            <w:r>
              <w:rPr>
                <w:spacing w:val="-10"/>
                <w:sz w:val="17"/>
              </w:rPr>
              <w:t>-</w:t>
            </w:r>
          </w:p>
        </w:tc>
      </w:tr>
      <w:tr>
        <w:trPr>
          <w:trHeight w:val="510" w:hRule="atLeast"/>
        </w:trPr>
        <w:tc>
          <w:tcPr>
            <w:tcW w:w="3081" w:type="dxa"/>
            <w:shd w:val="clear" w:color="auto" w:fill="D9EAF7"/>
          </w:tcPr>
          <w:p>
            <w:pPr>
              <w:pStyle w:val="TableParagraph"/>
              <w:spacing w:before="155"/>
              <w:ind w:left="87"/>
              <w:rPr>
                <w:b/>
                <w:sz w:val="17"/>
              </w:rPr>
            </w:pPr>
            <w:r>
              <w:rPr>
                <w:b/>
                <w:sz w:val="17"/>
              </w:rPr>
              <w:t>Programme</w:t>
            </w:r>
            <w:r>
              <w:rPr>
                <w:b/>
                <w:spacing w:val="-8"/>
                <w:sz w:val="17"/>
              </w:rPr>
              <w:t> </w:t>
            </w:r>
            <w:r>
              <w:rPr>
                <w:b/>
                <w:spacing w:val="-4"/>
                <w:sz w:val="17"/>
              </w:rPr>
              <w:t>Lead</w:t>
            </w:r>
          </w:p>
        </w:tc>
        <w:tc>
          <w:tcPr>
            <w:tcW w:w="12444" w:type="dxa"/>
          </w:tcPr>
          <w:p>
            <w:pPr>
              <w:pStyle w:val="TableParagraph"/>
              <w:spacing w:before="155"/>
              <w:ind w:left="92"/>
              <w:rPr>
                <w:sz w:val="17"/>
              </w:rPr>
            </w:pPr>
            <w:r>
              <w:rPr>
                <w:sz w:val="17"/>
              </w:rPr>
              <w:t>Dr</w:t>
            </w:r>
            <w:r>
              <w:rPr>
                <w:spacing w:val="-9"/>
                <w:sz w:val="17"/>
              </w:rPr>
              <w:t> </w:t>
            </w:r>
            <w:r>
              <w:rPr>
                <w:sz w:val="17"/>
              </w:rPr>
              <w:t>Leighton</w:t>
            </w:r>
            <w:r>
              <w:rPr>
                <w:spacing w:val="-4"/>
                <w:sz w:val="17"/>
              </w:rPr>
              <w:t> </w:t>
            </w:r>
            <w:r>
              <w:rPr>
                <w:sz w:val="17"/>
              </w:rPr>
              <w:t>Phillips,</w:t>
            </w:r>
            <w:r>
              <w:rPr>
                <w:spacing w:val="-6"/>
                <w:sz w:val="17"/>
              </w:rPr>
              <w:t> </w:t>
            </w:r>
            <w:r>
              <w:rPr>
                <w:sz w:val="17"/>
              </w:rPr>
              <w:t>Regional</w:t>
            </w:r>
            <w:r>
              <w:rPr>
                <w:spacing w:val="-2"/>
                <w:sz w:val="17"/>
              </w:rPr>
              <w:t> </w:t>
            </w:r>
            <w:r>
              <w:rPr>
                <w:sz w:val="17"/>
              </w:rPr>
              <w:t>Research</w:t>
            </w:r>
            <w:r>
              <w:rPr>
                <w:spacing w:val="-4"/>
                <w:sz w:val="17"/>
              </w:rPr>
              <w:t> </w:t>
            </w:r>
            <w:r>
              <w:rPr>
                <w:sz w:val="17"/>
              </w:rPr>
              <w:t>and</w:t>
            </w:r>
            <w:r>
              <w:rPr>
                <w:spacing w:val="-4"/>
                <w:sz w:val="17"/>
              </w:rPr>
              <w:t> </w:t>
            </w:r>
            <w:r>
              <w:rPr>
                <w:sz w:val="17"/>
              </w:rPr>
              <w:t>Innovation</w:t>
            </w:r>
            <w:r>
              <w:rPr>
                <w:spacing w:val="-4"/>
                <w:sz w:val="17"/>
              </w:rPr>
              <w:t> </w:t>
            </w:r>
            <w:r>
              <w:rPr>
                <w:spacing w:val="-2"/>
                <w:sz w:val="17"/>
              </w:rPr>
              <w:t>Director</w:t>
            </w:r>
          </w:p>
        </w:tc>
      </w:tr>
      <w:tr>
        <w:trPr>
          <w:trHeight w:val="510" w:hRule="atLeast"/>
        </w:trPr>
        <w:tc>
          <w:tcPr>
            <w:tcW w:w="3081" w:type="dxa"/>
            <w:shd w:val="clear" w:color="auto" w:fill="D9EAF7"/>
          </w:tcPr>
          <w:p>
            <w:pPr>
              <w:pStyle w:val="TableParagraph"/>
              <w:spacing w:before="156"/>
              <w:ind w:left="87"/>
              <w:rPr>
                <w:b/>
                <w:sz w:val="17"/>
              </w:rPr>
            </w:pPr>
            <w:r>
              <w:rPr>
                <w:b/>
                <w:sz w:val="17"/>
              </w:rPr>
              <w:t>Reports</w:t>
            </w:r>
            <w:r>
              <w:rPr>
                <w:b/>
                <w:spacing w:val="-2"/>
                <w:sz w:val="17"/>
              </w:rPr>
              <w:t> </w:t>
            </w:r>
            <w:r>
              <w:rPr>
                <w:b/>
                <w:spacing w:val="-5"/>
                <w:sz w:val="17"/>
              </w:rPr>
              <w:t>To</w:t>
            </w:r>
          </w:p>
        </w:tc>
        <w:tc>
          <w:tcPr>
            <w:tcW w:w="12444" w:type="dxa"/>
          </w:tcPr>
          <w:p>
            <w:pPr>
              <w:pStyle w:val="TableParagraph"/>
              <w:spacing w:before="156"/>
              <w:ind w:left="92"/>
              <w:rPr>
                <w:sz w:val="17"/>
              </w:rPr>
            </w:pPr>
            <w:r>
              <w:rPr>
                <w:sz w:val="17"/>
              </w:rPr>
              <w:t>Regional</w:t>
            </w:r>
            <w:r>
              <w:rPr>
                <w:spacing w:val="-7"/>
                <w:sz w:val="17"/>
              </w:rPr>
              <w:t> </w:t>
            </w:r>
            <w:r>
              <w:rPr>
                <w:sz w:val="17"/>
              </w:rPr>
              <w:t>Research,</w:t>
            </w:r>
            <w:r>
              <w:rPr>
                <w:spacing w:val="-7"/>
                <w:sz w:val="17"/>
              </w:rPr>
              <w:t> </w:t>
            </w:r>
            <w:r>
              <w:rPr>
                <w:sz w:val="17"/>
              </w:rPr>
              <w:t>Innovation</w:t>
            </w:r>
            <w:r>
              <w:rPr>
                <w:spacing w:val="-5"/>
                <w:sz w:val="17"/>
              </w:rPr>
              <w:t> </w:t>
            </w:r>
            <w:r>
              <w:rPr>
                <w:sz w:val="17"/>
              </w:rPr>
              <w:t>and</w:t>
            </w:r>
            <w:r>
              <w:rPr>
                <w:spacing w:val="-5"/>
                <w:sz w:val="17"/>
              </w:rPr>
              <w:t> </w:t>
            </w:r>
            <w:r>
              <w:rPr>
                <w:sz w:val="17"/>
              </w:rPr>
              <w:t>Excellence</w:t>
            </w:r>
            <w:r>
              <w:rPr>
                <w:spacing w:val="-5"/>
                <w:sz w:val="17"/>
              </w:rPr>
              <w:t> </w:t>
            </w:r>
            <w:r>
              <w:rPr>
                <w:sz w:val="17"/>
              </w:rPr>
              <w:t>Oversight</w:t>
            </w:r>
            <w:r>
              <w:rPr>
                <w:spacing w:val="-8"/>
                <w:sz w:val="17"/>
              </w:rPr>
              <w:t> </w:t>
            </w:r>
            <w:r>
              <w:rPr>
                <w:spacing w:val="-4"/>
                <w:sz w:val="17"/>
              </w:rPr>
              <w:t>Group</w:t>
            </w:r>
          </w:p>
        </w:tc>
      </w:tr>
      <w:tr>
        <w:trPr>
          <w:trHeight w:val="510" w:hRule="atLeast"/>
        </w:trPr>
        <w:tc>
          <w:tcPr>
            <w:tcW w:w="3081" w:type="dxa"/>
            <w:shd w:val="clear" w:color="auto" w:fill="D9EAF7"/>
          </w:tcPr>
          <w:p>
            <w:pPr>
              <w:pStyle w:val="TableParagraph"/>
              <w:spacing w:before="155"/>
              <w:ind w:left="87"/>
              <w:rPr>
                <w:b/>
                <w:sz w:val="17"/>
              </w:rPr>
            </w:pPr>
            <w:r>
              <w:rPr>
                <w:b/>
                <w:sz w:val="17"/>
              </w:rPr>
              <w:t>Receives</w:t>
            </w:r>
            <w:r>
              <w:rPr>
                <w:b/>
                <w:spacing w:val="-3"/>
                <w:sz w:val="17"/>
              </w:rPr>
              <w:t> </w:t>
            </w:r>
            <w:r>
              <w:rPr>
                <w:b/>
                <w:sz w:val="17"/>
              </w:rPr>
              <w:t>Reports</w:t>
            </w:r>
            <w:r>
              <w:rPr>
                <w:b/>
                <w:spacing w:val="-3"/>
                <w:sz w:val="17"/>
              </w:rPr>
              <w:t> </w:t>
            </w:r>
            <w:r>
              <w:rPr>
                <w:b/>
                <w:spacing w:val="-4"/>
                <w:sz w:val="17"/>
              </w:rPr>
              <w:t>From</w:t>
            </w:r>
          </w:p>
        </w:tc>
        <w:tc>
          <w:tcPr>
            <w:tcW w:w="12444" w:type="dxa"/>
          </w:tcPr>
          <w:p>
            <w:pPr>
              <w:pStyle w:val="TableParagraph"/>
              <w:spacing w:before="155"/>
              <w:ind w:left="92"/>
              <w:rPr>
                <w:sz w:val="17"/>
              </w:rPr>
            </w:pPr>
            <w:r>
              <w:rPr>
                <w:sz w:val="17"/>
              </w:rPr>
              <w:t>Regional</w:t>
            </w:r>
            <w:r>
              <w:rPr>
                <w:spacing w:val="-4"/>
                <w:sz w:val="17"/>
              </w:rPr>
              <w:t> </w:t>
            </w:r>
            <w:r>
              <w:rPr>
                <w:sz w:val="17"/>
              </w:rPr>
              <w:t>oncology</w:t>
            </w:r>
            <w:r>
              <w:rPr>
                <w:spacing w:val="-4"/>
                <w:sz w:val="17"/>
              </w:rPr>
              <w:t> </w:t>
            </w:r>
            <w:r>
              <w:rPr>
                <w:sz w:val="17"/>
              </w:rPr>
              <w:t>task</w:t>
            </w:r>
            <w:r>
              <w:rPr>
                <w:spacing w:val="-4"/>
                <w:sz w:val="17"/>
              </w:rPr>
              <w:t> </w:t>
            </w:r>
            <w:r>
              <w:rPr>
                <w:sz w:val="17"/>
              </w:rPr>
              <w:t>and</w:t>
            </w:r>
            <w:r>
              <w:rPr>
                <w:spacing w:val="-4"/>
                <w:sz w:val="17"/>
              </w:rPr>
              <w:t> </w:t>
            </w:r>
            <w:r>
              <w:rPr>
                <w:sz w:val="17"/>
              </w:rPr>
              <w:t>finish</w:t>
            </w:r>
            <w:r>
              <w:rPr>
                <w:spacing w:val="-4"/>
                <w:sz w:val="17"/>
              </w:rPr>
              <w:t> group</w:t>
            </w:r>
          </w:p>
        </w:tc>
      </w:tr>
      <w:tr>
        <w:trPr>
          <w:trHeight w:val="510" w:hRule="atLeast"/>
        </w:trPr>
        <w:tc>
          <w:tcPr>
            <w:tcW w:w="3081" w:type="dxa"/>
            <w:shd w:val="clear" w:color="auto" w:fill="D9EAF7"/>
          </w:tcPr>
          <w:p>
            <w:pPr>
              <w:pStyle w:val="TableParagraph"/>
              <w:spacing w:before="156"/>
              <w:ind w:left="87"/>
              <w:rPr>
                <w:b/>
                <w:sz w:val="17"/>
              </w:rPr>
            </w:pPr>
            <w:r>
              <w:rPr>
                <w:b/>
                <w:sz w:val="17"/>
              </w:rPr>
              <w:t>Meeting</w:t>
            </w:r>
            <w:r>
              <w:rPr>
                <w:b/>
                <w:spacing w:val="-4"/>
                <w:sz w:val="17"/>
              </w:rPr>
              <w:t> </w:t>
            </w:r>
            <w:r>
              <w:rPr>
                <w:b/>
                <w:spacing w:val="-2"/>
                <w:sz w:val="17"/>
              </w:rPr>
              <w:t>Frequency</w:t>
            </w:r>
          </w:p>
        </w:tc>
        <w:tc>
          <w:tcPr>
            <w:tcW w:w="12444" w:type="dxa"/>
          </w:tcPr>
          <w:p>
            <w:pPr>
              <w:pStyle w:val="TableParagraph"/>
              <w:spacing w:before="156"/>
              <w:ind w:left="92"/>
              <w:rPr>
                <w:sz w:val="17"/>
              </w:rPr>
            </w:pPr>
            <w:r>
              <w:rPr>
                <w:sz w:val="17"/>
              </w:rPr>
              <w:t>Bi-</w:t>
            </w:r>
            <w:r>
              <w:rPr>
                <w:spacing w:val="-2"/>
                <w:sz w:val="17"/>
              </w:rPr>
              <w:t>monthly</w:t>
            </w:r>
          </w:p>
        </w:tc>
      </w:tr>
      <w:tr>
        <w:trPr>
          <w:trHeight w:val="510" w:hRule="atLeast"/>
        </w:trPr>
        <w:tc>
          <w:tcPr>
            <w:tcW w:w="3081" w:type="dxa"/>
            <w:shd w:val="clear" w:color="auto" w:fill="D9EAF7"/>
          </w:tcPr>
          <w:p>
            <w:pPr>
              <w:pStyle w:val="TableParagraph"/>
              <w:spacing w:before="155"/>
              <w:ind w:left="87"/>
              <w:rPr>
                <w:b/>
                <w:sz w:val="17"/>
              </w:rPr>
            </w:pPr>
            <w:r>
              <w:rPr>
                <w:b/>
                <w:sz w:val="17"/>
              </w:rPr>
              <w:t>ToR</w:t>
            </w:r>
            <w:r>
              <w:rPr>
                <w:b/>
                <w:spacing w:val="-1"/>
                <w:sz w:val="17"/>
              </w:rPr>
              <w:t> </w:t>
            </w:r>
            <w:r>
              <w:rPr>
                <w:b/>
                <w:spacing w:val="-2"/>
                <w:sz w:val="17"/>
              </w:rPr>
              <w:t>Agreed</w:t>
            </w:r>
          </w:p>
        </w:tc>
        <w:tc>
          <w:tcPr>
            <w:tcW w:w="12444" w:type="dxa"/>
          </w:tcPr>
          <w:p>
            <w:pPr>
              <w:pStyle w:val="TableParagraph"/>
              <w:spacing w:before="155"/>
              <w:ind w:left="92"/>
              <w:rPr>
                <w:sz w:val="17"/>
              </w:rPr>
            </w:pPr>
            <w:r>
              <w:rPr>
                <w:spacing w:val="-5"/>
                <w:sz w:val="17"/>
              </w:rPr>
              <w:t>Yes</w:t>
            </w:r>
          </w:p>
        </w:tc>
      </w:tr>
    </w:tbl>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201"/>
        <w:rPr>
          <w:i/>
          <w:sz w:val="20"/>
        </w:rPr>
      </w:pPr>
    </w:p>
    <w:p>
      <w:pPr>
        <w:spacing w:before="0"/>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type w:val="continuous"/>
          <w:pgSz w:w="16840" w:h="11910" w:orient="landscape"/>
          <w:pgMar w:header="0" w:footer="198" w:top="760" w:bottom="2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387" name="Image 387"/>
            <wp:cNvGraphicFramePr>
              <a:graphicFrameLocks/>
            </wp:cNvGraphicFramePr>
            <a:graphic>
              <a:graphicData uri="http://schemas.openxmlformats.org/drawingml/2006/picture">
                <pic:pic>
                  <pic:nvPicPr>
                    <pic:cNvPr id="387" name="Image 387"/>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388" name="Image 388"/>
            <wp:cNvGraphicFramePr>
              <a:graphicFrameLocks/>
            </wp:cNvGraphicFramePr>
            <a:graphic>
              <a:graphicData uri="http://schemas.openxmlformats.org/drawingml/2006/picture">
                <pic:pic>
                  <pic:nvPicPr>
                    <pic:cNvPr id="388" name="Image 388"/>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p>
      <w:pPr>
        <w:pStyle w:val="Heading8"/>
        <w:numPr>
          <w:ilvl w:val="0"/>
          <w:numId w:val="30"/>
        </w:numPr>
        <w:tabs>
          <w:tab w:pos="367" w:val="left" w:leader="none"/>
        </w:tabs>
        <w:spacing w:line="240" w:lineRule="auto" w:before="22" w:after="0"/>
        <w:ind w:left="367" w:right="0" w:hanging="284"/>
        <w:jc w:val="left"/>
      </w:pPr>
      <w:r>
        <w:rPr>
          <w:color w:val="001F5F"/>
        </w:rPr>
        <w:t>Subgroup</w:t>
      </w:r>
      <w:r>
        <w:rPr>
          <w:color w:val="001F5F"/>
          <w:spacing w:val="-5"/>
        </w:rPr>
        <w:t> </w:t>
      </w:r>
      <w:r>
        <w:rPr>
          <w:color w:val="001F5F"/>
          <w:spacing w:val="-4"/>
        </w:rPr>
        <w:t>Scope</w:t>
      </w:r>
    </w:p>
    <w:p>
      <w:pPr>
        <w:pStyle w:val="BodyText"/>
        <w:spacing w:before="11"/>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5525"/>
      </w:tblGrid>
      <w:tr>
        <w:trPr>
          <w:trHeight w:val="385" w:hRule="atLeast"/>
        </w:trPr>
        <w:tc>
          <w:tcPr>
            <w:tcW w:w="15525" w:type="dxa"/>
            <w:shd w:val="clear" w:color="auto" w:fill="1F4E79"/>
          </w:tcPr>
          <w:p>
            <w:pPr>
              <w:pStyle w:val="TableParagraph"/>
              <w:spacing w:before="90"/>
              <w:ind w:left="87"/>
              <w:rPr>
                <w:b/>
                <w:sz w:val="17"/>
              </w:rPr>
            </w:pPr>
            <w:r>
              <w:rPr>
                <w:b/>
                <w:color w:val="FFFFFF"/>
                <w:sz w:val="17"/>
              </w:rPr>
              <w:t>Subgroup</w:t>
            </w:r>
            <w:r>
              <w:rPr>
                <w:b/>
                <w:color w:val="FFFFFF"/>
                <w:spacing w:val="2"/>
                <w:sz w:val="17"/>
              </w:rPr>
              <w:t> </w:t>
            </w:r>
            <w:r>
              <w:rPr>
                <w:b/>
                <w:color w:val="FFFFFF"/>
                <w:spacing w:val="-2"/>
                <w:sz w:val="17"/>
              </w:rPr>
              <w:t>Scope</w:t>
            </w:r>
          </w:p>
        </w:tc>
      </w:tr>
      <w:tr>
        <w:trPr>
          <w:trHeight w:val="600" w:hRule="atLeast"/>
        </w:trPr>
        <w:tc>
          <w:tcPr>
            <w:tcW w:w="15525" w:type="dxa"/>
          </w:tcPr>
          <w:p>
            <w:pPr>
              <w:pStyle w:val="TableParagraph"/>
              <w:rPr>
                <w:b/>
                <w:sz w:val="17"/>
              </w:rPr>
            </w:pPr>
          </w:p>
          <w:p>
            <w:pPr>
              <w:pStyle w:val="TableParagraph"/>
              <w:ind w:left="87"/>
              <w:rPr>
                <w:sz w:val="17"/>
              </w:rPr>
            </w:pPr>
            <w:r>
              <w:rPr>
                <w:sz w:val="17"/>
              </w:rPr>
              <w:t>To</w:t>
            </w:r>
            <w:r>
              <w:rPr>
                <w:spacing w:val="-7"/>
                <w:sz w:val="17"/>
              </w:rPr>
              <w:t> </w:t>
            </w:r>
            <w:r>
              <w:rPr>
                <w:sz w:val="17"/>
              </w:rPr>
              <w:t>scope</w:t>
            </w:r>
            <w:r>
              <w:rPr>
                <w:spacing w:val="-4"/>
                <w:sz w:val="17"/>
              </w:rPr>
              <w:t> </w:t>
            </w:r>
            <w:r>
              <w:rPr>
                <w:sz w:val="17"/>
              </w:rPr>
              <w:t>and</w:t>
            </w:r>
            <w:r>
              <w:rPr>
                <w:spacing w:val="-4"/>
                <w:sz w:val="17"/>
              </w:rPr>
              <w:t> </w:t>
            </w:r>
            <w:r>
              <w:rPr>
                <w:sz w:val="17"/>
              </w:rPr>
              <w:t>implement</w:t>
            </w:r>
            <w:r>
              <w:rPr>
                <w:spacing w:val="-8"/>
                <w:sz w:val="17"/>
              </w:rPr>
              <w:t> </w:t>
            </w:r>
            <w:r>
              <w:rPr>
                <w:sz w:val="17"/>
              </w:rPr>
              <w:t>a</w:t>
            </w:r>
            <w:r>
              <w:rPr>
                <w:spacing w:val="-4"/>
                <w:sz w:val="17"/>
              </w:rPr>
              <w:t> </w:t>
            </w:r>
            <w:r>
              <w:rPr>
                <w:sz w:val="17"/>
              </w:rPr>
              <w:t>regional</w:t>
            </w:r>
            <w:r>
              <w:rPr>
                <w:spacing w:val="-2"/>
                <w:sz w:val="17"/>
              </w:rPr>
              <w:t> </w:t>
            </w:r>
            <w:r>
              <w:rPr>
                <w:sz w:val="17"/>
              </w:rPr>
              <w:t>approach</w:t>
            </w:r>
            <w:r>
              <w:rPr>
                <w:spacing w:val="-5"/>
                <w:sz w:val="17"/>
              </w:rPr>
              <w:t> </w:t>
            </w:r>
            <w:r>
              <w:rPr>
                <w:sz w:val="17"/>
              </w:rPr>
              <w:t>to</w:t>
            </w:r>
            <w:r>
              <w:rPr>
                <w:spacing w:val="1"/>
                <w:sz w:val="17"/>
              </w:rPr>
              <w:t> </w:t>
            </w:r>
            <w:r>
              <w:rPr>
                <w:sz w:val="17"/>
              </w:rPr>
              <w:t>research,</w:t>
            </w:r>
            <w:r>
              <w:rPr>
                <w:spacing w:val="-3"/>
                <w:sz w:val="17"/>
              </w:rPr>
              <w:t> </w:t>
            </w:r>
            <w:r>
              <w:rPr>
                <w:sz w:val="17"/>
              </w:rPr>
              <w:t>innovation</w:t>
            </w:r>
            <w:r>
              <w:rPr>
                <w:spacing w:val="-4"/>
                <w:sz w:val="17"/>
              </w:rPr>
              <w:t> </w:t>
            </w:r>
            <w:r>
              <w:rPr>
                <w:sz w:val="17"/>
              </w:rPr>
              <w:t>and</w:t>
            </w:r>
            <w:r>
              <w:rPr>
                <w:spacing w:val="-4"/>
                <w:sz w:val="17"/>
              </w:rPr>
              <w:t> </w:t>
            </w:r>
            <w:r>
              <w:rPr>
                <w:spacing w:val="-2"/>
                <w:sz w:val="17"/>
              </w:rPr>
              <w:t>excellence.</w:t>
            </w:r>
          </w:p>
        </w:tc>
      </w:tr>
      <w:tr>
        <w:trPr>
          <w:trHeight w:val="600" w:hRule="atLeast"/>
        </w:trPr>
        <w:tc>
          <w:tcPr>
            <w:tcW w:w="15525" w:type="dxa"/>
          </w:tcPr>
          <w:p>
            <w:pPr>
              <w:pStyle w:val="TableParagraph"/>
              <w:rPr>
                <w:rFonts w:ascii="Times New Roman"/>
                <w:sz w:val="18"/>
              </w:rPr>
            </w:pPr>
          </w:p>
        </w:tc>
      </w:tr>
      <w:tr>
        <w:trPr>
          <w:trHeight w:val="600" w:hRule="atLeast"/>
        </w:trPr>
        <w:tc>
          <w:tcPr>
            <w:tcW w:w="15525" w:type="dxa"/>
          </w:tcPr>
          <w:p>
            <w:pPr>
              <w:pStyle w:val="TableParagraph"/>
              <w:rPr>
                <w:rFonts w:ascii="Times New Roman"/>
                <w:sz w:val="18"/>
              </w:rPr>
            </w:pPr>
          </w:p>
        </w:tc>
      </w:tr>
    </w:tbl>
    <w:p>
      <w:pPr>
        <w:pStyle w:val="Heading8"/>
        <w:numPr>
          <w:ilvl w:val="0"/>
          <w:numId w:val="30"/>
        </w:numPr>
        <w:tabs>
          <w:tab w:pos="367" w:val="left" w:leader="none"/>
        </w:tabs>
        <w:spacing w:line="240" w:lineRule="auto" w:before="162" w:after="0"/>
        <w:ind w:left="367" w:right="0" w:hanging="284"/>
        <w:jc w:val="left"/>
      </w:pPr>
      <w:r>
        <w:rPr>
          <w:color w:val="001F5F"/>
        </w:rPr>
        <w:t>Ambition</w:t>
      </w:r>
      <w:r>
        <w:rPr>
          <w:color w:val="001F5F"/>
          <w:spacing w:val="-5"/>
        </w:rPr>
        <w:t> </w:t>
      </w:r>
      <w:r>
        <w:rPr>
          <w:color w:val="001F5F"/>
          <w:spacing w:val="-2"/>
        </w:rPr>
        <w:t>Statement(s)</w:t>
      </w:r>
    </w:p>
    <w:p>
      <w:pPr>
        <w:pStyle w:val="BodyText"/>
        <w:spacing w:before="10"/>
        <w:rPr>
          <w:b/>
          <w:sz w:val="10"/>
        </w:rPr>
      </w:pPr>
    </w:p>
    <w:tbl>
      <w:tblPr>
        <w:tblW w:w="0" w:type="auto"/>
        <w:jc w:val="left"/>
        <w:tblInd w:w="8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5540"/>
      </w:tblGrid>
      <w:tr>
        <w:trPr>
          <w:trHeight w:val="385" w:hRule="atLeast"/>
        </w:trPr>
        <w:tc>
          <w:tcPr>
            <w:tcW w:w="15540" w:type="dxa"/>
            <w:shd w:val="clear" w:color="auto" w:fill="1F4E79"/>
          </w:tcPr>
          <w:p>
            <w:pPr>
              <w:pStyle w:val="TableParagraph"/>
              <w:spacing w:before="90"/>
              <w:ind w:left="92"/>
              <w:rPr>
                <w:b/>
                <w:sz w:val="17"/>
              </w:rPr>
            </w:pPr>
            <w:r>
              <w:rPr>
                <w:b/>
                <w:color w:val="FFFFFF"/>
                <w:sz w:val="17"/>
              </w:rPr>
              <w:t>Ambition</w:t>
            </w:r>
            <w:r>
              <w:rPr>
                <w:b/>
                <w:color w:val="FFFFFF"/>
                <w:spacing w:val="-8"/>
                <w:sz w:val="17"/>
              </w:rPr>
              <w:t> </w:t>
            </w:r>
            <w:r>
              <w:rPr>
                <w:b/>
                <w:color w:val="FFFFFF"/>
                <w:spacing w:val="-2"/>
                <w:sz w:val="17"/>
              </w:rPr>
              <w:t>Statement(s)</w:t>
            </w:r>
          </w:p>
        </w:tc>
      </w:tr>
      <w:tr>
        <w:trPr>
          <w:trHeight w:val="600" w:hRule="atLeast"/>
        </w:trPr>
        <w:tc>
          <w:tcPr>
            <w:tcW w:w="15540" w:type="dxa"/>
          </w:tcPr>
          <w:p>
            <w:pPr>
              <w:pStyle w:val="TableParagraph"/>
              <w:rPr>
                <w:b/>
                <w:sz w:val="17"/>
              </w:rPr>
            </w:pPr>
          </w:p>
          <w:p>
            <w:pPr>
              <w:pStyle w:val="TableParagraph"/>
              <w:ind w:left="92"/>
              <w:rPr>
                <w:sz w:val="17"/>
              </w:rPr>
            </w:pPr>
            <w:r>
              <w:rPr>
                <w:sz w:val="17"/>
              </w:rPr>
              <w:t>To</w:t>
            </w:r>
            <w:r>
              <w:rPr>
                <w:spacing w:val="-7"/>
                <w:sz w:val="17"/>
              </w:rPr>
              <w:t> </w:t>
            </w:r>
            <w:r>
              <w:rPr>
                <w:sz w:val="17"/>
              </w:rPr>
              <w:t>create the</w:t>
            </w:r>
            <w:r>
              <w:rPr>
                <w:spacing w:val="-4"/>
                <w:sz w:val="17"/>
              </w:rPr>
              <w:t> </w:t>
            </w:r>
            <w:r>
              <w:rPr>
                <w:sz w:val="17"/>
              </w:rPr>
              <w:t>South-West</w:t>
            </w:r>
            <w:r>
              <w:rPr>
                <w:spacing w:val="-3"/>
                <w:sz w:val="17"/>
              </w:rPr>
              <w:t> </w:t>
            </w:r>
            <w:r>
              <w:rPr>
                <w:sz w:val="17"/>
              </w:rPr>
              <w:t>Wales</w:t>
            </w:r>
            <w:r>
              <w:rPr>
                <w:spacing w:val="-5"/>
                <w:sz w:val="17"/>
              </w:rPr>
              <w:t> </w:t>
            </w:r>
            <w:r>
              <w:rPr>
                <w:sz w:val="17"/>
              </w:rPr>
              <w:t>Regional</w:t>
            </w:r>
            <w:r>
              <w:rPr>
                <w:spacing w:val="-3"/>
                <w:sz w:val="17"/>
              </w:rPr>
              <w:t> </w:t>
            </w:r>
            <w:r>
              <w:rPr>
                <w:sz w:val="17"/>
              </w:rPr>
              <w:t>Research</w:t>
            </w:r>
            <w:r>
              <w:rPr>
                <w:spacing w:val="-4"/>
                <w:sz w:val="17"/>
              </w:rPr>
              <w:t> </w:t>
            </w:r>
            <w:r>
              <w:rPr>
                <w:sz w:val="17"/>
              </w:rPr>
              <w:t>and</w:t>
            </w:r>
            <w:r>
              <w:rPr>
                <w:spacing w:val="-5"/>
                <w:sz w:val="17"/>
              </w:rPr>
              <w:t> </w:t>
            </w:r>
            <w:r>
              <w:rPr>
                <w:sz w:val="17"/>
              </w:rPr>
              <w:t>Innovation</w:t>
            </w:r>
            <w:r>
              <w:rPr>
                <w:spacing w:val="-9"/>
                <w:sz w:val="17"/>
              </w:rPr>
              <w:t> </w:t>
            </w:r>
            <w:r>
              <w:rPr>
                <w:spacing w:val="-2"/>
                <w:sz w:val="17"/>
              </w:rPr>
              <w:t>Partnership</w:t>
            </w:r>
          </w:p>
        </w:tc>
      </w:tr>
      <w:tr>
        <w:trPr>
          <w:trHeight w:val="600" w:hRule="atLeast"/>
        </w:trPr>
        <w:tc>
          <w:tcPr>
            <w:tcW w:w="15540" w:type="dxa"/>
          </w:tcPr>
          <w:p>
            <w:pPr>
              <w:pStyle w:val="TableParagraph"/>
              <w:rPr>
                <w:rFonts w:ascii="Times New Roman"/>
                <w:sz w:val="18"/>
              </w:rPr>
            </w:pPr>
          </w:p>
        </w:tc>
      </w:tr>
      <w:tr>
        <w:trPr>
          <w:trHeight w:val="600" w:hRule="atLeast"/>
        </w:trPr>
        <w:tc>
          <w:tcPr>
            <w:tcW w:w="15540" w:type="dxa"/>
          </w:tcPr>
          <w:p>
            <w:pPr>
              <w:pStyle w:val="TableParagraph"/>
              <w:rPr>
                <w:rFonts w:ascii="Times New Roman"/>
                <w:sz w:val="18"/>
              </w:rPr>
            </w:pPr>
          </w:p>
        </w:tc>
      </w:tr>
    </w:tbl>
    <w:p>
      <w:pPr>
        <w:pStyle w:val="Heading8"/>
        <w:numPr>
          <w:ilvl w:val="0"/>
          <w:numId w:val="30"/>
        </w:numPr>
        <w:tabs>
          <w:tab w:pos="367" w:val="left" w:leader="none"/>
        </w:tabs>
        <w:spacing w:line="240" w:lineRule="auto" w:before="162" w:after="0"/>
        <w:ind w:left="367" w:right="0" w:hanging="284"/>
        <w:jc w:val="left"/>
      </w:pPr>
      <w:r>
        <w:rPr>
          <w:color w:val="001F5F"/>
        </w:rPr>
        <w:t>Objective</w:t>
      </w:r>
      <w:r>
        <w:rPr>
          <w:color w:val="001F5F"/>
          <w:spacing w:val="-3"/>
        </w:rPr>
        <w:t> </w:t>
      </w:r>
      <w:r>
        <w:rPr>
          <w:color w:val="001F5F"/>
        </w:rPr>
        <w:t>/</w:t>
      </w:r>
      <w:r>
        <w:rPr>
          <w:color w:val="001F5F"/>
          <w:spacing w:val="-4"/>
        </w:rPr>
        <w:t> </w:t>
      </w:r>
      <w:r>
        <w:rPr>
          <w:color w:val="001F5F"/>
        </w:rPr>
        <w:t>Output</w:t>
      </w:r>
      <w:r>
        <w:rPr>
          <w:color w:val="001F5F"/>
          <w:spacing w:val="-8"/>
        </w:rPr>
        <w:t> </w:t>
      </w:r>
      <w:r>
        <w:rPr>
          <w:color w:val="001F5F"/>
          <w:spacing w:val="-2"/>
        </w:rPr>
        <w:t>Statements</w:t>
      </w:r>
    </w:p>
    <w:p>
      <w:pPr>
        <w:pStyle w:val="BodyText"/>
        <w:spacing w:before="5"/>
        <w:rPr>
          <w:b/>
          <w:sz w:val="10"/>
        </w:rPr>
      </w:pPr>
    </w:p>
    <w:tbl>
      <w:tblPr>
        <w:tblW w:w="0" w:type="auto"/>
        <w:jc w:val="left"/>
        <w:tblInd w:w="13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1378"/>
        <w:gridCol w:w="2451"/>
        <w:gridCol w:w="1615"/>
      </w:tblGrid>
      <w:tr>
        <w:trPr>
          <w:trHeight w:val="375" w:hRule="atLeast"/>
        </w:trPr>
        <w:tc>
          <w:tcPr>
            <w:tcW w:w="11378" w:type="dxa"/>
            <w:shd w:val="clear" w:color="auto" w:fill="1F4E79"/>
          </w:tcPr>
          <w:p>
            <w:pPr>
              <w:pStyle w:val="TableParagraph"/>
              <w:spacing w:before="90"/>
              <w:ind w:left="87"/>
              <w:rPr>
                <w:b/>
                <w:sz w:val="16"/>
              </w:rPr>
            </w:pPr>
            <w:r>
              <w:rPr>
                <w:b/>
                <w:color w:val="FFFFFF"/>
                <w:sz w:val="16"/>
              </w:rPr>
              <w:t>Objective</w:t>
            </w:r>
            <w:r>
              <w:rPr>
                <w:b/>
                <w:color w:val="FFFFFF"/>
                <w:spacing w:val="-1"/>
                <w:sz w:val="16"/>
              </w:rPr>
              <w:t> </w:t>
            </w:r>
            <w:r>
              <w:rPr>
                <w:b/>
                <w:color w:val="FFFFFF"/>
                <w:sz w:val="16"/>
              </w:rPr>
              <w:t>/ </w:t>
            </w:r>
            <w:r>
              <w:rPr>
                <w:b/>
                <w:color w:val="FFFFFF"/>
                <w:spacing w:val="-2"/>
                <w:sz w:val="16"/>
              </w:rPr>
              <w:t>Output</w:t>
            </w:r>
          </w:p>
        </w:tc>
        <w:tc>
          <w:tcPr>
            <w:tcW w:w="2451" w:type="dxa"/>
            <w:shd w:val="clear" w:color="auto" w:fill="1F4E79"/>
          </w:tcPr>
          <w:p>
            <w:pPr>
              <w:pStyle w:val="TableParagraph"/>
              <w:spacing w:before="90"/>
              <w:ind w:left="93"/>
              <w:rPr>
                <w:b/>
                <w:sz w:val="16"/>
              </w:rPr>
            </w:pPr>
            <w:r>
              <w:rPr>
                <w:b/>
                <w:color w:val="FFFFFF"/>
                <w:sz w:val="16"/>
              </w:rPr>
              <w:t>Target</w:t>
            </w:r>
            <w:r>
              <w:rPr>
                <w:b/>
                <w:color w:val="FFFFFF"/>
                <w:spacing w:val="2"/>
                <w:sz w:val="16"/>
              </w:rPr>
              <w:t> </w:t>
            </w:r>
            <w:r>
              <w:rPr>
                <w:b/>
                <w:color w:val="FFFFFF"/>
                <w:spacing w:val="-4"/>
                <w:sz w:val="16"/>
              </w:rPr>
              <w:t>Date</w:t>
            </w:r>
          </w:p>
        </w:tc>
        <w:tc>
          <w:tcPr>
            <w:tcW w:w="1615" w:type="dxa"/>
            <w:tcBorders>
              <w:right w:val="single" w:sz="8" w:space="0" w:color="6E6E6E"/>
            </w:tcBorders>
            <w:shd w:val="clear" w:color="auto" w:fill="1F4E79"/>
          </w:tcPr>
          <w:p>
            <w:pPr>
              <w:pStyle w:val="TableParagraph"/>
              <w:spacing w:before="90"/>
              <w:ind w:left="88"/>
              <w:rPr>
                <w:b/>
                <w:sz w:val="16"/>
              </w:rPr>
            </w:pPr>
            <w:r>
              <w:rPr>
                <w:b/>
                <w:color w:val="FFFFFF"/>
                <w:spacing w:val="-5"/>
                <w:sz w:val="16"/>
              </w:rPr>
              <w:t>RAG</w:t>
            </w:r>
          </w:p>
        </w:tc>
      </w:tr>
      <w:tr>
        <w:trPr>
          <w:trHeight w:val="540" w:hRule="atLeast"/>
        </w:trPr>
        <w:tc>
          <w:tcPr>
            <w:tcW w:w="11378" w:type="dxa"/>
          </w:tcPr>
          <w:p>
            <w:pPr>
              <w:pStyle w:val="TableParagraph"/>
              <w:spacing w:before="170"/>
              <w:ind w:left="87"/>
              <w:rPr>
                <w:sz w:val="17"/>
              </w:rPr>
            </w:pPr>
            <w:r>
              <w:rPr>
                <w:sz w:val="17"/>
              </w:rPr>
              <w:t>Strategy</w:t>
            </w:r>
            <w:r>
              <w:rPr>
                <w:spacing w:val="-1"/>
                <w:sz w:val="17"/>
              </w:rPr>
              <w:t> </w:t>
            </w:r>
            <w:r>
              <w:rPr>
                <w:sz w:val="17"/>
              </w:rPr>
              <w:t>for</w:t>
            </w:r>
            <w:r>
              <w:rPr>
                <w:spacing w:val="-8"/>
                <w:sz w:val="17"/>
              </w:rPr>
              <w:t> </w:t>
            </w:r>
            <w:r>
              <w:rPr>
                <w:sz w:val="17"/>
              </w:rPr>
              <w:t>implementing</w:t>
            </w:r>
            <w:r>
              <w:rPr>
                <w:spacing w:val="-5"/>
                <w:sz w:val="17"/>
              </w:rPr>
              <w:t> </w:t>
            </w:r>
            <w:r>
              <w:rPr>
                <w:sz w:val="17"/>
              </w:rPr>
              <w:t>a</w:t>
            </w:r>
            <w:r>
              <w:rPr>
                <w:spacing w:val="-1"/>
                <w:sz w:val="17"/>
              </w:rPr>
              <w:t> </w:t>
            </w:r>
            <w:r>
              <w:rPr>
                <w:sz w:val="17"/>
              </w:rPr>
              <w:t>regional</w:t>
            </w:r>
            <w:r>
              <w:rPr>
                <w:spacing w:val="-4"/>
                <w:sz w:val="17"/>
              </w:rPr>
              <w:t> </w:t>
            </w:r>
            <w:r>
              <w:rPr>
                <w:sz w:val="17"/>
              </w:rPr>
              <w:t>approach</w:t>
            </w:r>
            <w:r>
              <w:rPr>
                <w:spacing w:val="-5"/>
                <w:sz w:val="17"/>
              </w:rPr>
              <w:t> </w:t>
            </w:r>
            <w:r>
              <w:rPr>
                <w:sz w:val="17"/>
              </w:rPr>
              <w:t>to</w:t>
            </w:r>
            <w:r>
              <w:rPr>
                <w:spacing w:val="-6"/>
                <w:sz w:val="17"/>
              </w:rPr>
              <w:t> </w:t>
            </w:r>
            <w:r>
              <w:rPr>
                <w:sz w:val="17"/>
              </w:rPr>
              <w:t>research</w:t>
            </w:r>
            <w:r>
              <w:rPr>
                <w:spacing w:val="-6"/>
                <w:sz w:val="17"/>
              </w:rPr>
              <w:t> </w:t>
            </w:r>
            <w:r>
              <w:rPr>
                <w:sz w:val="17"/>
              </w:rPr>
              <w:t>and </w:t>
            </w:r>
            <w:r>
              <w:rPr>
                <w:spacing w:val="-2"/>
                <w:sz w:val="17"/>
              </w:rPr>
              <w:t>innovation</w:t>
            </w:r>
          </w:p>
        </w:tc>
        <w:tc>
          <w:tcPr>
            <w:tcW w:w="2451" w:type="dxa"/>
          </w:tcPr>
          <w:p>
            <w:pPr>
              <w:pStyle w:val="TableParagraph"/>
              <w:spacing w:before="170"/>
              <w:ind w:left="93"/>
              <w:rPr>
                <w:sz w:val="17"/>
              </w:rPr>
            </w:pPr>
            <w:r>
              <w:rPr>
                <w:sz w:val="17"/>
              </w:rPr>
              <w:t>1</w:t>
            </w:r>
            <w:r>
              <w:rPr>
                <w:sz w:val="17"/>
                <w:vertAlign w:val="superscript"/>
              </w:rPr>
              <w:t>st</w:t>
            </w:r>
            <w:r>
              <w:rPr>
                <w:spacing w:val="-9"/>
                <w:sz w:val="17"/>
                <w:vertAlign w:val="baseline"/>
              </w:rPr>
              <w:t> </w:t>
            </w:r>
            <w:r>
              <w:rPr>
                <w:sz w:val="17"/>
                <w:vertAlign w:val="baseline"/>
              </w:rPr>
              <w:t>September</w:t>
            </w:r>
            <w:r>
              <w:rPr>
                <w:spacing w:val="-6"/>
                <w:sz w:val="17"/>
                <w:vertAlign w:val="baseline"/>
              </w:rPr>
              <w:t> </w:t>
            </w:r>
            <w:r>
              <w:rPr>
                <w:spacing w:val="-4"/>
                <w:sz w:val="17"/>
                <w:vertAlign w:val="baseline"/>
              </w:rPr>
              <w:t>2027</w:t>
            </w:r>
          </w:p>
        </w:tc>
        <w:tc>
          <w:tcPr>
            <w:tcW w:w="1615" w:type="dxa"/>
            <w:tcBorders>
              <w:right w:val="single" w:sz="8" w:space="0" w:color="6E6E6E"/>
            </w:tcBorders>
            <w:shd w:val="clear" w:color="auto" w:fill="9BBA58"/>
          </w:tcPr>
          <w:p>
            <w:pPr>
              <w:pStyle w:val="TableParagraph"/>
              <w:rPr>
                <w:rFonts w:ascii="Times New Roman"/>
                <w:sz w:val="18"/>
              </w:rPr>
            </w:pPr>
          </w:p>
        </w:tc>
      </w:tr>
      <w:tr>
        <w:trPr>
          <w:trHeight w:val="540" w:hRule="atLeast"/>
        </w:trPr>
        <w:tc>
          <w:tcPr>
            <w:tcW w:w="11378" w:type="dxa"/>
          </w:tcPr>
          <w:p>
            <w:pPr>
              <w:pStyle w:val="TableParagraph"/>
              <w:rPr>
                <w:rFonts w:ascii="Times New Roman"/>
                <w:sz w:val="18"/>
              </w:rPr>
            </w:pPr>
          </w:p>
        </w:tc>
        <w:tc>
          <w:tcPr>
            <w:tcW w:w="2451" w:type="dxa"/>
          </w:tcPr>
          <w:p>
            <w:pPr>
              <w:pStyle w:val="TableParagraph"/>
              <w:rPr>
                <w:rFonts w:ascii="Times New Roman"/>
                <w:sz w:val="18"/>
              </w:rPr>
            </w:pPr>
          </w:p>
        </w:tc>
        <w:tc>
          <w:tcPr>
            <w:tcW w:w="1615" w:type="dxa"/>
            <w:tcBorders>
              <w:right w:val="single" w:sz="8" w:space="0" w:color="6E6E6E"/>
            </w:tcBorders>
          </w:tcPr>
          <w:p>
            <w:pPr>
              <w:pStyle w:val="TableParagraph"/>
              <w:rPr>
                <w:rFonts w:ascii="Times New Roman"/>
                <w:sz w:val="18"/>
              </w:rPr>
            </w:pPr>
          </w:p>
        </w:tc>
      </w:tr>
      <w:tr>
        <w:trPr>
          <w:trHeight w:val="540" w:hRule="atLeast"/>
        </w:trPr>
        <w:tc>
          <w:tcPr>
            <w:tcW w:w="11378" w:type="dxa"/>
          </w:tcPr>
          <w:p>
            <w:pPr>
              <w:pStyle w:val="TableParagraph"/>
              <w:rPr>
                <w:rFonts w:ascii="Times New Roman"/>
                <w:sz w:val="18"/>
              </w:rPr>
            </w:pPr>
          </w:p>
        </w:tc>
        <w:tc>
          <w:tcPr>
            <w:tcW w:w="2451" w:type="dxa"/>
          </w:tcPr>
          <w:p>
            <w:pPr>
              <w:pStyle w:val="TableParagraph"/>
              <w:rPr>
                <w:rFonts w:ascii="Times New Roman"/>
                <w:sz w:val="18"/>
              </w:rPr>
            </w:pPr>
          </w:p>
        </w:tc>
        <w:tc>
          <w:tcPr>
            <w:tcW w:w="1615" w:type="dxa"/>
            <w:tcBorders>
              <w:right w:val="single" w:sz="8" w:space="0" w:color="6E6E6E"/>
            </w:tcBorders>
          </w:tcPr>
          <w:p>
            <w:pPr>
              <w:pStyle w:val="TableParagraph"/>
              <w:rPr>
                <w:rFonts w:ascii="Times New Roman"/>
                <w:sz w:val="18"/>
              </w:rPr>
            </w:pPr>
          </w:p>
        </w:tc>
      </w:tr>
      <w:tr>
        <w:trPr>
          <w:trHeight w:val="540" w:hRule="atLeast"/>
        </w:trPr>
        <w:tc>
          <w:tcPr>
            <w:tcW w:w="11378" w:type="dxa"/>
          </w:tcPr>
          <w:p>
            <w:pPr>
              <w:pStyle w:val="TableParagraph"/>
              <w:rPr>
                <w:rFonts w:ascii="Times New Roman"/>
                <w:sz w:val="18"/>
              </w:rPr>
            </w:pPr>
          </w:p>
        </w:tc>
        <w:tc>
          <w:tcPr>
            <w:tcW w:w="2451" w:type="dxa"/>
          </w:tcPr>
          <w:p>
            <w:pPr>
              <w:pStyle w:val="TableParagraph"/>
              <w:rPr>
                <w:rFonts w:ascii="Times New Roman"/>
                <w:sz w:val="18"/>
              </w:rPr>
            </w:pPr>
          </w:p>
        </w:tc>
        <w:tc>
          <w:tcPr>
            <w:tcW w:w="1615" w:type="dxa"/>
            <w:tcBorders>
              <w:right w:val="single" w:sz="8" w:space="0" w:color="6E6E6E"/>
            </w:tcBorders>
          </w:tcPr>
          <w:p>
            <w:pPr>
              <w:pStyle w:val="TableParagraph"/>
              <w:rPr>
                <w:rFonts w:ascii="Times New Roman"/>
                <w:sz w:val="18"/>
              </w:rPr>
            </w:pPr>
          </w:p>
        </w:tc>
      </w:tr>
    </w:tbl>
    <w:p>
      <w:pPr>
        <w:pStyle w:val="BodyText"/>
        <w:spacing w:before="219"/>
        <w:rPr>
          <w:b/>
          <w:sz w:val="26"/>
        </w:rPr>
      </w:pPr>
    </w:p>
    <w:p>
      <w:pPr>
        <w:spacing w:before="1"/>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389" name="Image 389"/>
            <wp:cNvGraphicFramePr>
              <a:graphicFrameLocks/>
            </wp:cNvGraphicFramePr>
            <a:graphic>
              <a:graphicData uri="http://schemas.openxmlformats.org/drawingml/2006/picture">
                <pic:pic>
                  <pic:nvPicPr>
                    <pic:cNvPr id="389" name="Image 389"/>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390" name="Image 390"/>
            <wp:cNvGraphicFramePr>
              <a:graphicFrameLocks/>
            </wp:cNvGraphicFramePr>
            <a:graphic>
              <a:graphicData uri="http://schemas.openxmlformats.org/drawingml/2006/picture">
                <pic:pic>
                  <pic:nvPicPr>
                    <pic:cNvPr id="390" name="Image 390"/>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tbl>
      <w:tblPr>
        <w:tblW w:w="0" w:type="auto"/>
        <w:jc w:val="left"/>
        <w:tblInd w:w="13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1378"/>
        <w:gridCol w:w="2451"/>
        <w:gridCol w:w="1615"/>
      </w:tblGrid>
      <w:tr>
        <w:trPr>
          <w:trHeight w:val="375" w:hRule="atLeast"/>
        </w:trPr>
        <w:tc>
          <w:tcPr>
            <w:tcW w:w="11378" w:type="dxa"/>
            <w:shd w:val="clear" w:color="auto" w:fill="1F4E79"/>
          </w:tcPr>
          <w:p>
            <w:pPr>
              <w:pStyle w:val="TableParagraph"/>
              <w:spacing w:before="89"/>
              <w:ind w:left="87"/>
              <w:rPr>
                <w:b/>
                <w:sz w:val="16"/>
              </w:rPr>
            </w:pPr>
            <w:r>
              <w:rPr>
                <w:b/>
                <w:color w:val="FFFFFF"/>
                <w:sz w:val="16"/>
              </w:rPr>
              <w:t>Objective</w:t>
            </w:r>
            <w:r>
              <w:rPr>
                <w:b/>
                <w:color w:val="FFFFFF"/>
                <w:spacing w:val="-1"/>
                <w:sz w:val="16"/>
              </w:rPr>
              <w:t> </w:t>
            </w:r>
            <w:r>
              <w:rPr>
                <w:b/>
                <w:color w:val="FFFFFF"/>
                <w:sz w:val="16"/>
              </w:rPr>
              <w:t>/ </w:t>
            </w:r>
            <w:r>
              <w:rPr>
                <w:b/>
                <w:color w:val="FFFFFF"/>
                <w:spacing w:val="-2"/>
                <w:sz w:val="16"/>
              </w:rPr>
              <w:t>Output</w:t>
            </w:r>
          </w:p>
        </w:tc>
        <w:tc>
          <w:tcPr>
            <w:tcW w:w="2451" w:type="dxa"/>
            <w:shd w:val="clear" w:color="auto" w:fill="1F4E79"/>
          </w:tcPr>
          <w:p>
            <w:pPr>
              <w:pStyle w:val="TableParagraph"/>
              <w:spacing w:before="89"/>
              <w:ind w:left="93"/>
              <w:rPr>
                <w:b/>
                <w:sz w:val="16"/>
              </w:rPr>
            </w:pPr>
            <w:r>
              <w:rPr>
                <w:b/>
                <w:color w:val="FFFFFF"/>
                <w:sz w:val="16"/>
              </w:rPr>
              <w:t>Target</w:t>
            </w:r>
            <w:r>
              <w:rPr>
                <w:b/>
                <w:color w:val="FFFFFF"/>
                <w:spacing w:val="2"/>
                <w:sz w:val="16"/>
              </w:rPr>
              <w:t> </w:t>
            </w:r>
            <w:r>
              <w:rPr>
                <w:b/>
                <w:color w:val="FFFFFF"/>
                <w:spacing w:val="-4"/>
                <w:sz w:val="16"/>
              </w:rPr>
              <w:t>Date</w:t>
            </w:r>
          </w:p>
        </w:tc>
        <w:tc>
          <w:tcPr>
            <w:tcW w:w="1615" w:type="dxa"/>
            <w:tcBorders>
              <w:right w:val="single" w:sz="8" w:space="0" w:color="6E6E6E"/>
            </w:tcBorders>
            <w:shd w:val="clear" w:color="auto" w:fill="1F4E79"/>
          </w:tcPr>
          <w:p>
            <w:pPr>
              <w:pStyle w:val="TableParagraph"/>
              <w:spacing w:before="89"/>
              <w:ind w:left="88"/>
              <w:rPr>
                <w:b/>
                <w:sz w:val="16"/>
              </w:rPr>
            </w:pPr>
            <w:r>
              <w:rPr>
                <w:b/>
                <w:color w:val="FFFFFF"/>
                <w:spacing w:val="-5"/>
                <w:sz w:val="16"/>
              </w:rPr>
              <w:t>RAG</w:t>
            </w:r>
          </w:p>
        </w:tc>
      </w:tr>
      <w:tr>
        <w:trPr>
          <w:trHeight w:val="540" w:hRule="atLeast"/>
        </w:trPr>
        <w:tc>
          <w:tcPr>
            <w:tcW w:w="11378" w:type="dxa"/>
          </w:tcPr>
          <w:p>
            <w:pPr>
              <w:pStyle w:val="TableParagraph"/>
              <w:rPr>
                <w:rFonts w:ascii="Times New Roman"/>
                <w:sz w:val="16"/>
              </w:rPr>
            </w:pPr>
          </w:p>
        </w:tc>
        <w:tc>
          <w:tcPr>
            <w:tcW w:w="2451" w:type="dxa"/>
          </w:tcPr>
          <w:p>
            <w:pPr>
              <w:pStyle w:val="TableParagraph"/>
              <w:rPr>
                <w:rFonts w:ascii="Times New Roman"/>
                <w:sz w:val="16"/>
              </w:rPr>
            </w:pPr>
          </w:p>
        </w:tc>
        <w:tc>
          <w:tcPr>
            <w:tcW w:w="1615" w:type="dxa"/>
            <w:tcBorders>
              <w:right w:val="single" w:sz="8" w:space="0" w:color="6E6E6E"/>
            </w:tcBorders>
          </w:tcPr>
          <w:p>
            <w:pPr>
              <w:pStyle w:val="TableParagraph"/>
              <w:rPr>
                <w:rFonts w:ascii="Times New Roman"/>
                <w:sz w:val="16"/>
              </w:rPr>
            </w:pPr>
          </w:p>
        </w:tc>
      </w:tr>
    </w:tbl>
    <w:p>
      <w:pPr>
        <w:pStyle w:val="Heading8"/>
        <w:numPr>
          <w:ilvl w:val="0"/>
          <w:numId w:val="30"/>
        </w:numPr>
        <w:tabs>
          <w:tab w:pos="367" w:val="left" w:leader="none"/>
        </w:tabs>
        <w:spacing w:line="240" w:lineRule="auto" w:before="183" w:after="0"/>
        <w:ind w:left="367" w:right="0" w:hanging="284"/>
        <w:jc w:val="left"/>
      </w:pPr>
      <w:r>
        <w:rPr>
          <w:color w:val="001F5F"/>
        </w:rPr>
        <w:t>Milestones</w:t>
      </w:r>
      <w:r>
        <w:rPr>
          <w:color w:val="001F5F"/>
          <w:spacing w:val="-6"/>
        </w:rPr>
        <w:t> </w:t>
      </w:r>
      <w:r>
        <w:rPr>
          <w:color w:val="001F5F"/>
        </w:rPr>
        <w:t>&amp;</w:t>
      </w:r>
      <w:r>
        <w:rPr>
          <w:color w:val="001F5F"/>
          <w:spacing w:val="-4"/>
        </w:rPr>
        <w:t> </w:t>
      </w:r>
      <w:r>
        <w:rPr>
          <w:color w:val="001F5F"/>
          <w:spacing w:val="-2"/>
        </w:rPr>
        <w:t>Deliverables</w:t>
      </w:r>
    </w:p>
    <w:p>
      <w:pPr>
        <w:pStyle w:val="BodyText"/>
        <w:spacing w:before="5"/>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4382"/>
        <w:gridCol w:w="4652"/>
        <w:gridCol w:w="1531"/>
        <w:gridCol w:w="1536"/>
        <w:gridCol w:w="3426"/>
      </w:tblGrid>
      <w:tr>
        <w:trPr>
          <w:trHeight w:val="365" w:hRule="atLeast"/>
        </w:trPr>
        <w:tc>
          <w:tcPr>
            <w:tcW w:w="4382" w:type="dxa"/>
            <w:shd w:val="clear" w:color="auto" w:fill="1F4E79"/>
          </w:tcPr>
          <w:p>
            <w:pPr>
              <w:pStyle w:val="TableParagraph"/>
              <w:spacing w:before="89"/>
              <w:ind w:left="107"/>
              <w:rPr>
                <w:b/>
                <w:sz w:val="15"/>
              </w:rPr>
            </w:pPr>
            <w:r>
              <w:rPr>
                <w:b/>
                <w:color w:val="FFFFFF"/>
                <w:sz w:val="15"/>
              </w:rPr>
              <w:t>RJC</w:t>
            </w:r>
            <w:r>
              <w:rPr>
                <w:b/>
                <w:color w:val="FFFFFF"/>
                <w:spacing w:val="-5"/>
                <w:sz w:val="15"/>
              </w:rPr>
              <w:t> </w:t>
            </w:r>
            <w:r>
              <w:rPr>
                <w:b/>
                <w:color w:val="FFFFFF"/>
                <w:sz w:val="15"/>
              </w:rPr>
              <w:t>Subgroup</w:t>
            </w:r>
            <w:r>
              <w:rPr>
                <w:b/>
                <w:color w:val="FFFFFF"/>
                <w:spacing w:val="-2"/>
                <w:sz w:val="15"/>
              </w:rPr>
              <w:t> Objective</w:t>
            </w:r>
          </w:p>
        </w:tc>
        <w:tc>
          <w:tcPr>
            <w:tcW w:w="4652" w:type="dxa"/>
            <w:shd w:val="clear" w:color="auto" w:fill="1F4E79"/>
          </w:tcPr>
          <w:p>
            <w:pPr>
              <w:pStyle w:val="TableParagraph"/>
              <w:spacing w:before="89"/>
              <w:ind w:left="92"/>
              <w:rPr>
                <w:b/>
                <w:sz w:val="15"/>
              </w:rPr>
            </w:pPr>
            <w:r>
              <w:rPr>
                <w:b/>
                <w:color w:val="FFFFFF"/>
                <w:sz w:val="15"/>
              </w:rPr>
              <w:t>Milestone</w:t>
            </w:r>
            <w:r>
              <w:rPr>
                <w:b/>
                <w:color w:val="FFFFFF"/>
                <w:spacing w:val="-5"/>
                <w:sz w:val="15"/>
              </w:rPr>
              <w:t> </w:t>
            </w:r>
            <w:r>
              <w:rPr>
                <w:b/>
                <w:color w:val="FFFFFF"/>
                <w:sz w:val="15"/>
              </w:rPr>
              <w:t>/</w:t>
            </w:r>
            <w:r>
              <w:rPr>
                <w:b/>
                <w:color w:val="FFFFFF"/>
                <w:spacing w:val="-6"/>
                <w:sz w:val="15"/>
              </w:rPr>
              <w:t> </w:t>
            </w:r>
            <w:r>
              <w:rPr>
                <w:b/>
                <w:color w:val="FFFFFF"/>
                <w:spacing w:val="-2"/>
                <w:sz w:val="15"/>
              </w:rPr>
              <w:t>Deliverable</w:t>
            </w:r>
          </w:p>
        </w:tc>
        <w:tc>
          <w:tcPr>
            <w:tcW w:w="1531" w:type="dxa"/>
            <w:shd w:val="clear" w:color="auto" w:fill="1F4E79"/>
          </w:tcPr>
          <w:p>
            <w:pPr>
              <w:pStyle w:val="TableParagraph"/>
              <w:spacing w:before="89"/>
              <w:ind w:left="86"/>
              <w:rPr>
                <w:b/>
                <w:sz w:val="15"/>
              </w:rPr>
            </w:pPr>
            <w:r>
              <w:rPr>
                <w:b/>
                <w:color w:val="FFFFFF"/>
                <w:sz w:val="15"/>
              </w:rPr>
              <w:t>Target</w:t>
            </w:r>
            <w:r>
              <w:rPr>
                <w:b/>
                <w:color w:val="FFFFFF"/>
                <w:spacing w:val="2"/>
                <w:sz w:val="15"/>
              </w:rPr>
              <w:t> </w:t>
            </w:r>
            <w:r>
              <w:rPr>
                <w:b/>
                <w:color w:val="FFFFFF"/>
                <w:spacing w:val="-4"/>
                <w:sz w:val="15"/>
              </w:rPr>
              <w:t>Date</w:t>
            </w:r>
          </w:p>
        </w:tc>
        <w:tc>
          <w:tcPr>
            <w:tcW w:w="1536" w:type="dxa"/>
            <w:shd w:val="clear" w:color="auto" w:fill="1F4E79"/>
          </w:tcPr>
          <w:p>
            <w:pPr>
              <w:pStyle w:val="TableParagraph"/>
              <w:spacing w:before="89"/>
              <w:ind w:left="90"/>
              <w:rPr>
                <w:b/>
                <w:sz w:val="15"/>
              </w:rPr>
            </w:pPr>
            <w:r>
              <w:rPr>
                <w:b/>
                <w:color w:val="FFFFFF"/>
                <w:sz w:val="15"/>
              </w:rPr>
              <w:t>This</w:t>
            </w:r>
            <w:r>
              <w:rPr>
                <w:b/>
                <w:color w:val="FFFFFF"/>
                <w:spacing w:val="-4"/>
                <w:sz w:val="15"/>
              </w:rPr>
              <w:t> </w:t>
            </w:r>
            <w:r>
              <w:rPr>
                <w:b/>
                <w:color w:val="FFFFFF"/>
                <w:sz w:val="15"/>
              </w:rPr>
              <w:t>Period</w:t>
            </w:r>
            <w:r>
              <w:rPr>
                <w:b/>
                <w:color w:val="FFFFFF"/>
                <w:spacing w:val="-5"/>
                <w:sz w:val="15"/>
              </w:rPr>
              <w:t> </w:t>
            </w:r>
            <w:r>
              <w:rPr>
                <w:b/>
                <w:color w:val="FFFFFF"/>
                <w:spacing w:val="-2"/>
                <w:sz w:val="15"/>
              </w:rPr>
              <w:t>(RAG)</w:t>
            </w:r>
          </w:p>
        </w:tc>
        <w:tc>
          <w:tcPr>
            <w:tcW w:w="3426" w:type="dxa"/>
            <w:shd w:val="clear" w:color="auto" w:fill="1F4E79"/>
          </w:tcPr>
          <w:p>
            <w:pPr>
              <w:pStyle w:val="TableParagraph"/>
              <w:spacing w:before="89"/>
              <w:ind w:left="90"/>
              <w:rPr>
                <w:b/>
                <w:sz w:val="15"/>
              </w:rPr>
            </w:pPr>
            <w:r>
              <w:rPr>
                <w:b/>
                <w:color w:val="FFFFFF"/>
                <w:sz w:val="15"/>
              </w:rPr>
              <w:t>Comments</w:t>
            </w:r>
            <w:r>
              <w:rPr>
                <w:b/>
                <w:color w:val="FFFFFF"/>
                <w:spacing w:val="-2"/>
                <w:sz w:val="15"/>
              </w:rPr>
              <w:t> </w:t>
            </w:r>
            <w:r>
              <w:rPr>
                <w:b/>
                <w:color w:val="FFFFFF"/>
                <w:sz w:val="15"/>
              </w:rPr>
              <w:t>/</w:t>
            </w:r>
            <w:r>
              <w:rPr>
                <w:b/>
                <w:color w:val="FFFFFF"/>
                <w:spacing w:val="-4"/>
                <w:sz w:val="15"/>
              </w:rPr>
              <w:t> </w:t>
            </w:r>
            <w:r>
              <w:rPr>
                <w:b/>
                <w:color w:val="FFFFFF"/>
                <w:spacing w:val="-2"/>
                <w:sz w:val="15"/>
              </w:rPr>
              <w:t>Notes</w:t>
            </w:r>
          </w:p>
        </w:tc>
      </w:tr>
      <w:tr>
        <w:trPr>
          <w:trHeight w:val="540" w:hRule="atLeast"/>
        </w:trPr>
        <w:tc>
          <w:tcPr>
            <w:tcW w:w="4382" w:type="dxa"/>
          </w:tcPr>
          <w:p>
            <w:pPr>
              <w:pStyle w:val="TableParagraph"/>
              <w:spacing w:before="90"/>
              <w:ind w:left="107"/>
              <w:rPr>
                <w:sz w:val="17"/>
              </w:rPr>
            </w:pPr>
            <w:r>
              <w:rPr>
                <w:sz w:val="17"/>
              </w:rPr>
              <w:t>Appointment</w:t>
            </w:r>
            <w:r>
              <w:rPr>
                <w:spacing w:val="-6"/>
                <w:sz w:val="17"/>
              </w:rPr>
              <w:t> </w:t>
            </w:r>
            <w:r>
              <w:rPr>
                <w:sz w:val="17"/>
              </w:rPr>
              <w:t>of</w:t>
            </w:r>
            <w:r>
              <w:rPr>
                <w:spacing w:val="-5"/>
                <w:sz w:val="17"/>
              </w:rPr>
              <w:t> </w:t>
            </w:r>
            <w:r>
              <w:rPr>
                <w:sz w:val="17"/>
              </w:rPr>
              <w:t>Regional</w:t>
            </w:r>
            <w:r>
              <w:rPr>
                <w:spacing w:val="-1"/>
                <w:sz w:val="17"/>
              </w:rPr>
              <w:t> </w:t>
            </w:r>
            <w:r>
              <w:rPr>
                <w:spacing w:val="-2"/>
                <w:sz w:val="17"/>
              </w:rPr>
              <w:t>Director</w:t>
            </w:r>
          </w:p>
        </w:tc>
        <w:tc>
          <w:tcPr>
            <w:tcW w:w="4652" w:type="dxa"/>
          </w:tcPr>
          <w:p>
            <w:pPr>
              <w:pStyle w:val="TableParagraph"/>
              <w:spacing w:before="165"/>
              <w:ind w:left="92"/>
              <w:rPr>
                <w:sz w:val="17"/>
              </w:rPr>
            </w:pPr>
            <w:r>
              <w:rPr>
                <w:sz w:val="17"/>
              </w:rPr>
              <w:t>Completed</w:t>
            </w:r>
            <w:r>
              <w:rPr>
                <w:spacing w:val="-8"/>
                <w:sz w:val="17"/>
              </w:rPr>
              <w:t> </w:t>
            </w:r>
            <w:r>
              <w:rPr>
                <w:sz w:val="17"/>
              </w:rPr>
              <w:t>recruitment</w:t>
            </w:r>
            <w:r>
              <w:rPr>
                <w:spacing w:val="-10"/>
                <w:sz w:val="17"/>
              </w:rPr>
              <w:t> </w:t>
            </w:r>
            <w:r>
              <w:rPr>
                <w:spacing w:val="-2"/>
                <w:sz w:val="17"/>
              </w:rPr>
              <w:t>process</w:t>
            </w:r>
          </w:p>
        </w:tc>
        <w:tc>
          <w:tcPr>
            <w:tcW w:w="1531" w:type="dxa"/>
          </w:tcPr>
          <w:p>
            <w:pPr>
              <w:pStyle w:val="TableParagraph"/>
              <w:spacing w:before="165"/>
              <w:ind w:left="86"/>
              <w:rPr>
                <w:sz w:val="17"/>
              </w:rPr>
            </w:pPr>
            <w:r>
              <w:rPr>
                <w:sz w:val="17"/>
              </w:rPr>
              <w:t>31</w:t>
            </w:r>
            <w:r>
              <w:rPr>
                <w:sz w:val="17"/>
                <w:vertAlign w:val="superscript"/>
              </w:rPr>
              <w:t>st</w:t>
            </w:r>
            <w:r>
              <w:rPr>
                <w:spacing w:val="-5"/>
                <w:sz w:val="17"/>
                <w:vertAlign w:val="baseline"/>
              </w:rPr>
              <w:t> </w:t>
            </w:r>
            <w:r>
              <w:rPr>
                <w:sz w:val="17"/>
                <w:vertAlign w:val="baseline"/>
              </w:rPr>
              <w:t>July</w:t>
            </w:r>
            <w:r>
              <w:rPr>
                <w:spacing w:val="-3"/>
                <w:sz w:val="17"/>
                <w:vertAlign w:val="baseline"/>
              </w:rPr>
              <w:t> </w:t>
            </w:r>
            <w:r>
              <w:rPr>
                <w:spacing w:val="-4"/>
                <w:sz w:val="17"/>
                <w:vertAlign w:val="baseline"/>
              </w:rPr>
              <w:t>2026</w:t>
            </w:r>
          </w:p>
        </w:tc>
        <w:tc>
          <w:tcPr>
            <w:tcW w:w="1536" w:type="dxa"/>
            <w:shd w:val="clear" w:color="auto" w:fill="9BBA58"/>
          </w:tcPr>
          <w:p>
            <w:pPr>
              <w:pStyle w:val="TableParagraph"/>
              <w:rPr>
                <w:rFonts w:ascii="Times New Roman"/>
                <w:sz w:val="16"/>
              </w:rPr>
            </w:pPr>
          </w:p>
        </w:tc>
        <w:tc>
          <w:tcPr>
            <w:tcW w:w="3426" w:type="dxa"/>
          </w:tcPr>
          <w:p>
            <w:pPr>
              <w:pStyle w:val="TableParagraph"/>
              <w:spacing w:before="165"/>
              <w:ind w:left="90"/>
              <w:rPr>
                <w:sz w:val="17"/>
              </w:rPr>
            </w:pPr>
            <w:r>
              <w:rPr>
                <w:spacing w:val="-2"/>
                <w:sz w:val="17"/>
              </w:rPr>
              <w:t>Completed</w:t>
            </w:r>
          </w:p>
        </w:tc>
      </w:tr>
      <w:tr>
        <w:trPr>
          <w:trHeight w:val="540" w:hRule="atLeast"/>
        </w:trPr>
        <w:tc>
          <w:tcPr>
            <w:tcW w:w="4382" w:type="dxa"/>
          </w:tcPr>
          <w:p>
            <w:pPr>
              <w:pStyle w:val="TableParagraph"/>
              <w:spacing w:before="91"/>
              <w:ind w:left="107"/>
              <w:rPr>
                <w:sz w:val="17"/>
              </w:rPr>
            </w:pPr>
            <w:r>
              <w:rPr>
                <w:sz w:val="17"/>
              </w:rPr>
              <w:t>Review</w:t>
            </w:r>
            <w:r>
              <w:rPr>
                <w:spacing w:val="-3"/>
                <w:sz w:val="17"/>
              </w:rPr>
              <w:t> </w:t>
            </w:r>
            <w:r>
              <w:rPr>
                <w:sz w:val="17"/>
              </w:rPr>
              <w:t>of</w:t>
            </w:r>
            <w:r>
              <w:rPr>
                <w:spacing w:val="-5"/>
                <w:sz w:val="17"/>
              </w:rPr>
              <w:t> </w:t>
            </w:r>
            <w:r>
              <w:rPr>
                <w:sz w:val="17"/>
              </w:rPr>
              <w:t>current</w:t>
            </w:r>
            <w:r>
              <w:rPr>
                <w:spacing w:val="-5"/>
                <w:sz w:val="17"/>
              </w:rPr>
              <w:t> </w:t>
            </w:r>
            <w:r>
              <w:rPr>
                <w:spacing w:val="-2"/>
                <w:sz w:val="17"/>
              </w:rPr>
              <w:t>structures</w:t>
            </w:r>
          </w:p>
        </w:tc>
        <w:tc>
          <w:tcPr>
            <w:tcW w:w="4652" w:type="dxa"/>
          </w:tcPr>
          <w:p>
            <w:pPr>
              <w:pStyle w:val="TableParagraph"/>
              <w:spacing w:before="91"/>
              <w:ind w:left="92"/>
              <w:rPr>
                <w:sz w:val="17"/>
              </w:rPr>
            </w:pPr>
            <w:r>
              <w:rPr>
                <w:sz w:val="17"/>
              </w:rPr>
              <w:t>100-day</w:t>
            </w:r>
            <w:r>
              <w:rPr>
                <w:spacing w:val="-6"/>
                <w:sz w:val="17"/>
              </w:rPr>
              <w:t> </w:t>
            </w:r>
            <w:r>
              <w:rPr>
                <w:sz w:val="17"/>
              </w:rPr>
              <w:t>review</w:t>
            </w:r>
            <w:r>
              <w:rPr>
                <w:spacing w:val="-3"/>
                <w:sz w:val="17"/>
              </w:rPr>
              <w:t> </w:t>
            </w:r>
            <w:r>
              <w:rPr>
                <w:spacing w:val="-2"/>
                <w:sz w:val="17"/>
              </w:rPr>
              <w:t>findings</w:t>
            </w:r>
          </w:p>
        </w:tc>
        <w:tc>
          <w:tcPr>
            <w:tcW w:w="1531" w:type="dxa"/>
          </w:tcPr>
          <w:p>
            <w:pPr>
              <w:pStyle w:val="TableParagraph"/>
              <w:spacing w:before="166"/>
              <w:ind w:left="86"/>
              <w:rPr>
                <w:sz w:val="17"/>
              </w:rPr>
            </w:pPr>
            <w:r>
              <w:rPr>
                <w:sz w:val="17"/>
              </w:rPr>
              <w:t>31</w:t>
            </w:r>
            <w:r>
              <w:rPr>
                <w:sz w:val="17"/>
                <w:vertAlign w:val="superscript"/>
              </w:rPr>
              <w:t>st</w:t>
            </w:r>
            <w:r>
              <w:rPr>
                <w:spacing w:val="-8"/>
                <w:sz w:val="17"/>
                <w:vertAlign w:val="baseline"/>
              </w:rPr>
              <w:t> </w:t>
            </w:r>
            <w:r>
              <w:rPr>
                <w:sz w:val="17"/>
                <w:vertAlign w:val="baseline"/>
              </w:rPr>
              <w:t>January</w:t>
            </w:r>
            <w:r>
              <w:rPr>
                <w:spacing w:val="-5"/>
                <w:sz w:val="17"/>
                <w:vertAlign w:val="baseline"/>
              </w:rPr>
              <w:t> </w:t>
            </w:r>
            <w:r>
              <w:rPr>
                <w:spacing w:val="-4"/>
                <w:sz w:val="17"/>
                <w:vertAlign w:val="baseline"/>
              </w:rPr>
              <w:t>2027</w:t>
            </w:r>
          </w:p>
        </w:tc>
        <w:tc>
          <w:tcPr>
            <w:tcW w:w="1536" w:type="dxa"/>
            <w:shd w:val="clear" w:color="auto" w:fill="9BBA58"/>
          </w:tcPr>
          <w:p>
            <w:pPr>
              <w:pStyle w:val="TableParagraph"/>
              <w:rPr>
                <w:rFonts w:ascii="Times New Roman"/>
                <w:sz w:val="16"/>
              </w:rPr>
            </w:pPr>
          </w:p>
        </w:tc>
        <w:tc>
          <w:tcPr>
            <w:tcW w:w="3426" w:type="dxa"/>
          </w:tcPr>
          <w:p>
            <w:pPr>
              <w:pStyle w:val="TableParagraph"/>
              <w:rPr>
                <w:rFonts w:ascii="Times New Roman"/>
                <w:sz w:val="16"/>
              </w:rPr>
            </w:pPr>
          </w:p>
        </w:tc>
      </w:tr>
      <w:tr>
        <w:trPr>
          <w:trHeight w:val="590" w:hRule="atLeast"/>
        </w:trPr>
        <w:tc>
          <w:tcPr>
            <w:tcW w:w="4382" w:type="dxa"/>
          </w:tcPr>
          <w:p>
            <w:pPr>
              <w:pStyle w:val="TableParagraph"/>
              <w:spacing w:before="90"/>
              <w:ind w:left="107"/>
              <w:rPr>
                <w:sz w:val="17"/>
              </w:rPr>
            </w:pPr>
            <w:r>
              <w:rPr>
                <w:sz w:val="17"/>
              </w:rPr>
              <w:t>Strategy</w:t>
            </w:r>
            <w:r>
              <w:rPr>
                <w:spacing w:val="-3"/>
                <w:sz w:val="17"/>
              </w:rPr>
              <w:t> </w:t>
            </w:r>
            <w:r>
              <w:rPr>
                <w:sz w:val="17"/>
              </w:rPr>
              <w:t>for</w:t>
            </w:r>
            <w:r>
              <w:rPr>
                <w:spacing w:val="-3"/>
                <w:sz w:val="17"/>
              </w:rPr>
              <w:t> </w:t>
            </w:r>
            <w:r>
              <w:rPr>
                <w:sz w:val="17"/>
              </w:rPr>
              <w:t>regional</w:t>
            </w:r>
            <w:r>
              <w:rPr>
                <w:spacing w:val="-4"/>
                <w:sz w:val="17"/>
              </w:rPr>
              <w:t> </w:t>
            </w:r>
            <w:r>
              <w:rPr>
                <w:spacing w:val="-2"/>
                <w:sz w:val="17"/>
              </w:rPr>
              <w:t>working</w:t>
            </w:r>
          </w:p>
        </w:tc>
        <w:tc>
          <w:tcPr>
            <w:tcW w:w="4652" w:type="dxa"/>
          </w:tcPr>
          <w:p>
            <w:pPr>
              <w:pStyle w:val="TableParagraph"/>
              <w:spacing w:line="252" w:lineRule="auto" w:before="90"/>
              <w:ind w:left="92" w:right="262"/>
              <w:rPr>
                <w:sz w:val="17"/>
              </w:rPr>
            </w:pPr>
            <w:r>
              <w:rPr>
                <w:sz w:val="17"/>
              </w:rPr>
              <w:t>Presentation</w:t>
            </w:r>
            <w:r>
              <w:rPr>
                <w:spacing w:val="-10"/>
                <w:sz w:val="17"/>
              </w:rPr>
              <w:t> </w:t>
            </w:r>
            <w:r>
              <w:rPr>
                <w:sz w:val="17"/>
              </w:rPr>
              <w:t>to</w:t>
            </w:r>
            <w:r>
              <w:rPr>
                <w:spacing w:val="-10"/>
                <w:sz w:val="17"/>
              </w:rPr>
              <w:t> </w:t>
            </w:r>
            <w:r>
              <w:rPr>
                <w:sz w:val="17"/>
              </w:rPr>
              <w:t>oversight</w:t>
            </w:r>
            <w:r>
              <w:rPr>
                <w:spacing w:val="-8"/>
                <w:sz w:val="17"/>
              </w:rPr>
              <w:t> </w:t>
            </w:r>
            <w:r>
              <w:rPr>
                <w:sz w:val="17"/>
              </w:rPr>
              <w:t>group</w:t>
            </w:r>
            <w:r>
              <w:rPr>
                <w:spacing w:val="-10"/>
                <w:sz w:val="17"/>
              </w:rPr>
              <w:t> </w:t>
            </w:r>
            <w:r>
              <w:rPr>
                <w:sz w:val="17"/>
              </w:rPr>
              <w:t>including </w:t>
            </w:r>
            <w:r>
              <w:rPr>
                <w:spacing w:val="-2"/>
                <w:sz w:val="17"/>
              </w:rPr>
              <w:t>recommendations</w:t>
            </w:r>
          </w:p>
        </w:tc>
        <w:tc>
          <w:tcPr>
            <w:tcW w:w="1531" w:type="dxa"/>
          </w:tcPr>
          <w:p>
            <w:pPr>
              <w:pStyle w:val="TableParagraph"/>
              <w:spacing w:before="190"/>
              <w:ind w:left="86"/>
              <w:rPr>
                <w:sz w:val="17"/>
              </w:rPr>
            </w:pPr>
            <w:r>
              <w:rPr>
                <w:sz w:val="17"/>
              </w:rPr>
              <w:t>31</w:t>
            </w:r>
            <w:r>
              <w:rPr>
                <w:sz w:val="17"/>
                <w:vertAlign w:val="superscript"/>
              </w:rPr>
              <w:t>st</w:t>
            </w:r>
            <w:r>
              <w:rPr>
                <w:spacing w:val="-5"/>
                <w:sz w:val="17"/>
                <w:vertAlign w:val="baseline"/>
              </w:rPr>
              <w:t> </w:t>
            </w:r>
            <w:r>
              <w:rPr>
                <w:sz w:val="17"/>
                <w:vertAlign w:val="baseline"/>
              </w:rPr>
              <w:t>August</w:t>
            </w:r>
            <w:r>
              <w:rPr>
                <w:spacing w:val="-4"/>
                <w:sz w:val="17"/>
                <w:vertAlign w:val="baseline"/>
              </w:rPr>
              <w:t> 2027</w:t>
            </w:r>
          </w:p>
        </w:tc>
        <w:tc>
          <w:tcPr>
            <w:tcW w:w="1536" w:type="dxa"/>
            <w:shd w:val="clear" w:color="auto" w:fill="9BBA58"/>
          </w:tcPr>
          <w:p>
            <w:pPr>
              <w:pStyle w:val="TableParagraph"/>
              <w:rPr>
                <w:rFonts w:ascii="Times New Roman"/>
                <w:sz w:val="16"/>
              </w:rPr>
            </w:pPr>
          </w:p>
        </w:tc>
        <w:tc>
          <w:tcPr>
            <w:tcW w:w="3426" w:type="dxa"/>
          </w:tcPr>
          <w:p>
            <w:pPr>
              <w:pStyle w:val="TableParagraph"/>
              <w:rPr>
                <w:rFonts w:ascii="Times New Roman"/>
                <w:sz w:val="16"/>
              </w:rPr>
            </w:pPr>
          </w:p>
        </w:tc>
      </w:tr>
      <w:tr>
        <w:trPr>
          <w:trHeight w:val="540" w:hRule="atLeast"/>
        </w:trPr>
        <w:tc>
          <w:tcPr>
            <w:tcW w:w="4382" w:type="dxa"/>
          </w:tcPr>
          <w:p>
            <w:pPr>
              <w:pStyle w:val="TableParagraph"/>
              <w:rPr>
                <w:rFonts w:ascii="Times New Roman"/>
                <w:sz w:val="16"/>
              </w:rPr>
            </w:pPr>
          </w:p>
        </w:tc>
        <w:tc>
          <w:tcPr>
            <w:tcW w:w="4652" w:type="dxa"/>
          </w:tcPr>
          <w:p>
            <w:pPr>
              <w:pStyle w:val="TableParagraph"/>
              <w:rPr>
                <w:rFonts w:ascii="Times New Roman"/>
                <w:sz w:val="16"/>
              </w:rPr>
            </w:pPr>
          </w:p>
        </w:tc>
        <w:tc>
          <w:tcPr>
            <w:tcW w:w="1531" w:type="dxa"/>
          </w:tcPr>
          <w:p>
            <w:pPr>
              <w:pStyle w:val="TableParagraph"/>
              <w:rPr>
                <w:rFonts w:ascii="Times New Roman"/>
                <w:sz w:val="16"/>
              </w:rPr>
            </w:pPr>
          </w:p>
        </w:tc>
        <w:tc>
          <w:tcPr>
            <w:tcW w:w="1536" w:type="dxa"/>
          </w:tcPr>
          <w:p>
            <w:pPr>
              <w:pStyle w:val="TableParagraph"/>
              <w:rPr>
                <w:rFonts w:ascii="Times New Roman"/>
                <w:sz w:val="16"/>
              </w:rPr>
            </w:pPr>
          </w:p>
        </w:tc>
        <w:tc>
          <w:tcPr>
            <w:tcW w:w="3426" w:type="dxa"/>
          </w:tcPr>
          <w:p>
            <w:pPr>
              <w:pStyle w:val="TableParagraph"/>
              <w:rPr>
                <w:rFonts w:ascii="Times New Roman"/>
                <w:sz w:val="16"/>
              </w:rPr>
            </w:pPr>
          </w:p>
        </w:tc>
      </w:tr>
      <w:tr>
        <w:trPr>
          <w:trHeight w:val="540" w:hRule="atLeast"/>
        </w:trPr>
        <w:tc>
          <w:tcPr>
            <w:tcW w:w="4382" w:type="dxa"/>
          </w:tcPr>
          <w:p>
            <w:pPr>
              <w:pStyle w:val="TableParagraph"/>
              <w:rPr>
                <w:rFonts w:ascii="Times New Roman"/>
                <w:sz w:val="16"/>
              </w:rPr>
            </w:pPr>
          </w:p>
        </w:tc>
        <w:tc>
          <w:tcPr>
            <w:tcW w:w="4652" w:type="dxa"/>
          </w:tcPr>
          <w:p>
            <w:pPr>
              <w:pStyle w:val="TableParagraph"/>
              <w:rPr>
                <w:rFonts w:ascii="Times New Roman"/>
                <w:sz w:val="16"/>
              </w:rPr>
            </w:pPr>
          </w:p>
        </w:tc>
        <w:tc>
          <w:tcPr>
            <w:tcW w:w="1531" w:type="dxa"/>
          </w:tcPr>
          <w:p>
            <w:pPr>
              <w:pStyle w:val="TableParagraph"/>
              <w:rPr>
                <w:rFonts w:ascii="Times New Roman"/>
                <w:sz w:val="16"/>
              </w:rPr>
            </w:pPr>
          </w:p>
        </w:tc>
        <w:tc>
          <w:tcPr>
            <w:tcW w:w="1536" w:type="dxa"/>
          </w:tcPr>
          <w:p>
            <w:pPr>
              <w:pStyle w:val="TableParagraph"/>
              <w:rPr>
                <w:rFonts w:ascii="Times New Roman"/>
                <w:sz w:val="16"/>
              </w:rPr>
            </w:pPr>
          </w:p>
        </w:tc>
        <w:tc>
          <w:tcPr>
            <w:tcW w:w="3426" w:type="dxa"/>
          </w:tcPr>
          <w:p>
            <w:pPr>
              <w:pStyle w:val="TableParagraph"/>
              <w:rPr>
                <w:rFonts w:ascii="Times New Roman"/>
                <w:sz w:val="16"/>
              </w:rPr>
            </w:pPr>
          </w:p>
        </w:tc>
      </w:tr>
      <w:tr>
        <w:trPr>
          <w:trHeight w:val="540" w:hRule="atLeast"/>
        </w:trPr>
        <w:tc>
          <w:tcPr>
            <w:tcW w:w="4382" w:type="dxa"/>
          </w:tcPr>
          <w:p>
            <w:pPr>
              <w:pStyle w:val="TableParagraph"/>
              <w:rPr>
                <w:rFonts w:ascii="Times New Roman"/>
                <w:sz w:val="16"/>
              </w:rPr>
            </w:pPr>
          </w:p>
        </w:tc>
        <w:tc>
          <w:tcPr>
            <w:tcW w:w="4652" w:type="dxa"/>
          </w:tcPr>
          <w:p>
            <w:pPr>
              <w:pStyle w:val="TableParagraph"/>
              <w:rPr>
                <w:rFonts w:ascii="Times New Roman"/>
                <w:sz w:val="16"/>
              </w:rPr>
            </w:pPr>
          </w:p>
        </w:tc>
        <w:tc>
          <w:tcPr>
            <w:tcW w:w="1531" w:type="dxa"/>
          </w:tcPr>
          <w:p>
            <w:pPr>
              <w:pStyle w:val="TableParagraph"/>
              <w:rPr>
                <w:rFonts w:ascii="Times New Roman"/>
                <w:sz w:val="16"/>
              </w:rPr>
            </w:pPr>
          </w:p>
        </w:tc>
        <w:tc>
          <w:tcPr>
            <w:tcW w:w="1536" w:type="dxa"/>
          </w:tcPr>
          <w:p>
            <w:pPr>
              <w:pStyle w:val="TableParagraph"/>
              <w:rPr>
                <w:rFonts w:ascii="Times New Roman"/>
                <w:sz w:val="16"/>
              </w:rPr>
            </w:pPr>
          </w:p>
        </w:tc>
        <w:tc>
          <w:tcPr>
            <w:tcW w:w="3426" w:type="dxa"/>
          </w:tcPr>
          <w:p>
            <w:pPr>
              <w:pStyle w:val="TableParagraph"/>
              <w:rPr>
                <w:rFonts w:ascii="Times New Roman"/>
                <w:sz w:val="16"/>
              </w:rPr>
            </w:pPr>
          </w:p>
        </w:tc>
      </w:tr>
      <w:tr>
        <w:trPr>
          <w:trHeight w:val="540" w:hRule="atLeast"/>
        </w:trPr>
        <w:tc>
          <w:tcPr>
            <w:tcW w:w="4382" w:type="dxa"/>
          </w:tcPr>
          <w:p>
            <w:pPr>
              <w:pStyle w:val="TableParagraph"/>
              <w:rPr>
                <w:rFonts w:ascii="Times New Roman"/>
                <w:sz w:val="16"/>
              </w:rPr>
            </w:pPr>
          </w:p>
        </w:tc>
        <w:tc>
          <w:tcPr>
            <w:tcW w:w="4652" w:type="dxa"/>
          </w:tcPr>
          <w:p>
            <w:pPr>
              <w:pStyle w:val="TableParagraph"/>
              <w:rPr>
                <w:rFonts w:ascii="Times New Roman"/>
                <w:sz w:val="16"/>
              </w:rPr>
            </w:pPr>
          </w:p>
        </w:tc>
        <w:tc>
          <w:tcPr>
            <w:tcW w:w="1531" w:type="dxa"/>
          </w:tcPr>
          <w:p>
            <w:pPr>
              <w:pStyle w:val="TableParagraph"/>
              <w:rPr>
                <w:rFonts w:ascii="Times New Roman"/>
                <w:sz w:val="16"/>
              </w:rPr>
            </w:pPr>
          </w:p>
        </w:tc>
        <w:tc>
          <w:tcPr>
            <w:tcW w:w="1536" w:type="dxa"/>
          </w:tcPr>
          <w:p>
            <w:pPr>
              <w:pStyle w:val="TableParagraph"/>
              <w:rPr>
                <w:rFonts w:ascii="Times New Roman"/>
                <w:sz w:val="16"/>
              </w:rPr>
            </w:pPr>
          </w:p>
        </w:tc>
        <w:tc>
          <w:tcPr>
            <w:tcW w:w="3426" w:type="dxa"/>
          </w:tcPr>
          <w:p>
            <w:pPr>
              <w:pStyle w:val="TableParagraph"/>
              <w:rPr>
                <w:rFonts w:ascii="Times New Roman"/>
                <w:sz w:val="16"/>
              </w:rPr>
            </w:pPr>
          </w:p>
        </w:tc>
      </w:tr>
    </w:tbl>
    <w:p>
      <w:pPr>
        <w:pStyle w:val="Heading8"/>
        <w:numPr>
          <w:ilvl w:val="0"/>
          <w:numId w:val="30"/>
        </w:numPr>
        <w:tabs>
          <w:tab w:pos="367" w:val="left" w:leader="none"/>
        </w:tabs>
        <w:spacing w:line="240" w:lineRule="auto" w:before="163" w:after="0"/>
        <w:ind w:left="367" w:right="0" w:hanging="284"/>
        <w:jc w:val="left"/>
      </w:pPr>
      <w:r>
        <w:rPr>
          <w:color w:val="001F5F"/>
        </w:rPr>
        <w:t>Resource</w:t>
      </w:r>
      <w:r>
        <w:rPr>
          <w:color w:val="001F5F"/>
          <w:spacing w:val="-4"/>
        </w:rPr>
        <w:t> </w:t>
      </w:r>
      <w:r>
        <w:rPr>
          <w:color w:val="001F5F"/>
        </w:rPr>
        <w:t>/</w:t>
      </w:r>
      <w:r>
        <w:rPr>
          <w:color w:val="001F5F"/>
          <w:spacing w:val="-7"/>
        </w:rPr>
        <w:t> </w:t>
      </w:r>
      <w:r>
        <w:rPr>
          <w:color w:val="001F5F"/>
        </w:rPr>
        <w:t>Funding</w:t>
      </w:r>
      <w:r>
        <w:rPr>
          <w:color w:val="001F5F"/>
          <w:spacing w:val="-3"/>
        </w:rPr>
        <w:t> </w:t>
      </w:r>
      <w:r>
        <w:rPr>
          <w:color w:val="001F5F"/>
          <w:spacing w:val="-2"/>
        </w:rPr>
        <w:t>Considerations</w:t>
      </w:r>
    </w:p>
    <w:p>
      <w:pPr>
        <w:pStyle w:val="BodyText"/>
        <w:spacing w:before="5"/>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5172"/>
        <w:gridCol w:w="5177"/>
        <w:gridCol w:w="5178"/>
      </w:tblGrid>
      <w:tr>
        <w:trPr>
          <w:trHeight w:val="365" w:hRule="atLeast"/>
        </w:trPr>
        <w:tc>
          <w:tcPr>
            <w:tcW w:w="5172" w:type="dxa"/>
            <w:shd w:val="clear" w:color="auto" w:fill="1F4E79"/>
          </w:tcPr>
          <w:p>
            <w:pPr>
              <w:pStyle w:val="TableParagraph"/>
              <w:spacing w:before="89"/>
              <w:ind w:left="87"/>
              <w:rPr>
                <w:b/>
                <w:sz w:val="15"/>
              </w:rPr>
            </w:pPr>
            <w:r>
              <w:rPr>
                <w:b/>
                <w:color w:val="FFFFFF"/>
                <w:sz w:val="15"/>
              </w:rPr>
              <w:t>Resource</w:t>
            </w:r>
            <w:r>
              <w:rPr>
                <w:b/>
                <w:color w:val="FFFFFF"/>
                <w:spacing w:val="-4"/>
                <w:sz w:val="15"/>
              </w:rPr>
              <w:t> </w:t>
            </w:r>
            <w:r>
              <w:rPr>
                <w:b/>
                <w:color w:val="FFFFFF"/>
                <w:sz w:val="15"/>
              </w:rPr>
              <w:t>/</w:t>
            </w:r>
            <w:r>
              <w:rPr>
                <w:b/>
                <w:color w:val="FFFFFF"/>
                <w:spacing w:val="-6"/>
                <w:sz w:val="15"/>
              </w:rPr>
              <w:t> </w:t>
            </w:r>
            <w:r>
              <w:rPr>
                <w:b/>
                <w:color w:val="FFFFFF"/>
                <w:sz w:val="15"/>
              </w:rPr>
              <w:t>Funding</w:t>
            </w:r>
            <w:r>
              <w:rPr>
                <w:b/>
                <w:color w:val="FFFFFF"/>
                <w:spacing w:val="-5"/>
                <w:sz w:val="15"/>
              </w:rPr>
              <w:t> </w:t>
            </w:r>
            <w:r>
              <w:rPr>
                <w:b/>
                <w:color w:val="FFFFFF"/>
                <w:spacing w:val="-2"/>
                <w:sz w:val="15"/>
              </w:rPr>
              <w:t>Requirement</w:t>
            </w:r>
          </w:p>
        </w:tc>
        <w:tc>
          <w:tcPr>
            <w:tcW w:w="5177" w:type="dxa"/>
            <w:shd w:val="clear" w:color="auto" w:fill="1F4E79"/>
          </w:tcPr>
          <w:p>
            <w:pPr>
              <w:pStyle w:val="TableParagraph"/>
              <w:spacing w:before="89"/>
              <w:ind w:left="92"/>
              <w:rPr>
                <w:b/>
                <w:sz w:val="15"/>
              </w:rPr>
            </w:pPr>
            <w:r>
              <w:rPr>
                <w:b/>
                <w:color w:val="FFFFFF"/>
                <w:sz w:val="15"/>
              </w:rPr>
              <w:t>Current</w:t>
            </w:r>
            <w:r>
              <w:rPr>
                <w:b/>
                <w:color w:val="FFFFFF"/>
                <w:spacing w:val="-4"/>
                <w:sz w:val="15"/>
              </w:rPr>
              <w:t> </w:t>
            </w:r>
            <w:r>
              <w:rPr>
                <w:b/>
                <w:color w:val="FFFFFF"/>
                <w:spacing w:val="-2"/>
                <w:sz w:val="15"/>
              </w:rPr>
              <w:t>Position</w:t>
            </w:r>
          </w:p>
        </w:tc>
        <w:tc>
          <w:tcPr>
            <w:tcW w:w="5178" w:type="dxa"/>
            <w:shd w:val="clear" w:color="auto" w:fill="1F4E79"/>
          </w:tcPr>
          <w:p>
            <w:pPr>
              <w:pStyle w:val="TableParagraph"/>
              <w:spacing w:before="89"/>
              <w:ind w:left="91"/>
              <w:rPr>
                <w:b/>
                <w:sz w:val="15"/>
              </w:rPr>
            </w:pPr>
            <w:r>
              <w:rPr>
                <w:b/>
                <w:color w:val="FFFFFF"/>
                <w:sz w:val="15"/>
              </w:rPr>
              <w:t>Impact</w:t>
            </w:r>
            <w:r>
              <w:rPr>
                <w:b/>
                <w:color w:val="FFFFFF"/>
                <w:spacing w:val="-5"/>
                <w:sz w:val="15"/>
              </w:rPr>
              <w:t> </w:t>
            </w:r>
            <w:r>
              <w:rPr>
                <w:b/>
                <w:color w:val="FFFFFF"/>
                <w:sz w:val="15"/>
              </w:rPr>
              <w:t>/</w:t>
            </w:r>
            <w:r>
              <w:rPr>
                <w:b/>
                <w:color w:val="FFFFFF"/>
                <w:spacing w:val="-4"/>
                <w:sz w:val="15"/>
              </w:rPr>
              <w:t> </w:t>
            </w:r>
            <w:r>
              <w:rPr>
                <w:b/>
                <w:color w:val="FFFFFF"/>
                <w:spacing w:val="-2"/>
                <w:sz w:val="15"/>
              </w:rPr>
              <w:t>Mitigation</w:t>
            </w:r>
          </w:p>
        </w:tc>
      </w:tr>
      <w:tr>
        <w:trPr>
          <w:trHeight w:val="590" w:hRule="atLeast"/>
        </w:trPr>
        <w:tc>
          <w:tcPr>
            <w:tcW w:w="5172" w:type="dxa"/>
          </w:tcPr>
          <w:p>
            <w:pPr>
              <w:pStyle w:val="TableParagraph"/>
              <w:spacing w:before="190"/>
              <w:ind w:left="87"/>
              <w:rPr>
                <w:sz w:val="17"/>
              </w:rPr>
            </w:pPr>
            <w:r>
              <w:rPr>
                <w:sz w:val="17"/>
              </w:rPr>
              <w:t>Director</w:t>
            </w:r>
            <w:r>
              <w:rPr>
                <w:spacing w:val="-4"/>
                <w:sz w:val="17"/>
              </w:rPr>
              <w:t> Post</w:t>
            </w:r>
          </w:p>
        </w:tc>
        <w:tc>
          <w:tcPr>
            <w:tcW w:w="5177" w:type="dxa"/>
          </w:tcPr>
          <w:p>
            <w:pPr>
              <w:pStyle w:val="TableParagraph"/>
              <w:spacing w:before="190"/>
              <w:ind w:left="92"/>
              <w:rPr>
                <w:sz w:val="17"/>
              </w:rPr>
            </w:pPr>
            <w:r>
              <w:rPr>
                <w:spacing w:val="-2"/>
                <w:sz w:val="17"/>
              </w:rPr>
              <w:t>Recruited</w:t>
            </w:r>
          </w:p>
        </w:tc>
        <w:tc>
          <w:tcPr>
            <w:tcW w:w="5178" w:type="dxa"/>
          </w:tcPr>
          <w:p>
            <w:pPr>
              <w:pStyle w:val="TableParagraph"/>
              <w:spacing w:line="252" w:lineRule="auto" w:before="90"/>
              <w:ind w:left="91" w:right="328"/>
              <w:rPr>
                <w:sz w:val="17"/>
              </w:rPr>
            </w:pPr>
            <w:r>
              <w:rPr>
                <w:sz w:val="17"/>
              </w:rPr>
              <w:t>12-month secondment funded through commercial income. Longer-term</w:t>
            </w:r>
            <w:r>
              <w:rPr>
                <w:spacing w:val="-5"/>
                <w:sz w:val="17"/>
              </w:rPr>
              <w:t> </w:t>
            </w:r>
            <w:r>
              <w:rPr>
                <w:sz w:val="17"/>
              </w:rPr>
              <w:t>arrangements</w:t>
            </w:r>
            <w:r>
              <w:rPr>
                <w:spacing w:val="-5"/>
                <w:sz w:val="17"/>
              </w:rPr>
              <w:t> </w:t>
            </w:r>
            <w:r>
              <w:rPr>
                <w:sz w:val="17"/>
              </w:rPr>
              <w:t>to</w:t>
            </w:r>
            <w:r>
              <w:rPr>
                <w:spacing w:val="-4"/>
                <w:sz w:val="17"/>
              </w:rPr>
              <w:t> </w:t>
            </w:r>
            <w:r>
              <w:rPr>
                <w:sz w:val="17"/>
              </w:rPr>
              <w:t>be</w:t>
            </w:r>
            <w:r>
              <w:rPr>
                <w:spacing w:val="-8"/>
                <w:sz w:val="17"/>
              </w:rPr>
              <w:t> </w:t>
            </w:r>
            <w:r>
              <w:rPr>
                <w:sz w:val="17"/>
              </w:rPr>
              <w:t>agreed</w:t>
            </w:r>
            <w:r>
              <w:rPr>
                <w:spacing w:val="-8"/>
                <w:sz w:val="17"/>
              </w:rPr>
              <w:t> </w:t>
            </w:r>
            <w:r>
              <w:rPr>
                <w:sz w:val="17"/>
              </w:rPr>
              <w:t>as</w:t>
            </w:r>
            <w:r>
              <w:rPr>
                <w:spacing w:val="-4"/>
                <w:sz w:val="17"/>
              </w:rPr>
              <w:t> </w:t>
            </w:r>
            <w:r>
              <w:rPr>
                <w:sz w:val="17"/>
              </w:rPr>
              <w:t>project</w:t>
            </w:r>
            <w:r>
              <w:rPr>
                <w:spacing w:val="-10"/>
                <w:sz w:val="17"/>
              </w:rPr>
              <w:t> </w:t>
            </w:r>
            <w:r>
              <w:rPr>
                <w:sz w:val="17"/>
              </w:rPr>
              <w:t>progresses.</w:t>
            </w:r>
          </w:p>
        </w:tc>
      </w:tr>
      <w:tr>
        <w:trPr>
          <w:trHeight w:val="590" w:hRule="atLeast"/>
        </w:trPr>
        <w:tc>
          <w:tcPr>
            <w:tcW w:w="5172" w:type="dxa"/>
          </w:tcPr>
          <w:p>
            <w:pPr>
              <w:pStyle w:val="TableParagraph"/>
              <w:spacing w:before="190"/>
              <w:ind w:left="87"/>
              <w:rPr>
                <w:sz w:val="17"/>
              </w:rPr>
            </w:pPr>
            <w:r>
              <w:rPr>
                <w:sz w:val="17"/>
              </w:rPr>
              <w:t>Project</w:t>
            </w:r>
            <w:r>
              <w:rPr>
                <w:spacing w:val="-8"/>
                <w:sz w:val="17"/>
              </w:rPr>
              <w:t> </w:t>
            </w:r>
            <w:r>
              <w:rPr>
                <w:sz w:val="17"/>
              </w:rPr>
              <w:t>management</w:t>
            </w:r>
            <w:r>
              <w:rPr>
                <w:spacing w:val="-8"/>
                <w:sz w:val="17"/>
              </w:rPr>
              <w:t> </w:t>
            </w:r>
            <w:r>
              <w:rPr>
                <w:spacing w:val="-2"/>
                <w:sz w:val="17"/>
              </w:rPr>
              <w:t>support</w:t>
            </w:r>
          </w:p>
        </w:tc>
        <w:tc>
          <w:tcPr>
            <w:tcW w:w="5177" w:type="dxa"/>
          </w:tcPr>
          <w:p>
            <w:pPr>
              <w:pStyle w:val="TableParagraph"/>
              <w:spacing w:before="190"/>
              <w:ind w:left="92"/>
              <w:rPr>
                <w:sz w:val="17"/>
              </w:rPr>
            </w:pPr>
            <w:r>
              <w:rPr>
                <w:sz w:val="17"/>
              </w:rPr>
              <w:t>Not</w:t>
            </w:r>
            <w:r>
              <w:rPr>
                <w:spacing w:val="-5"/>
                <w:sz w:val="17"/>
              </w:rPr>
              <w:t> </w:t>
            </w:r>
            <w:r>
              <w:rPr>
                <w:sz w:val="17"/>
              </w:rPr>
              <w:t>currently</w:t>
            </w:r>
            <w:r>
              <w:rPr>
                <w:spacing w:val="-4"/>
                <w:sz w:val="17"/>
              </w:rPr>
              <w:t> </w:t>
            </w:r>
            <w:r>
              <w:rPr>
                <w:sz w:val="17"/>
              </w:rPr>
              <w:t>in</w:t>
            </w:r>
            <w:r>
              <w:rPr>
                <w:spacing w:val="-2"/>
                <w:sz w:val="17"/>
              </w:rPr>
              <w:t> place</w:t>
            </w:r>
          </w:p>
        </w:tc>
        <w:tc>
          <w:tcPr>
            <w:tcW w:w="5178" w:type="dxa"/>
          </w:tcPr>
          <w:p>
            <w:pPr>
              <w:pStyle w:val="TableParagraph"/>
              <w:spacing w:line="252" w:lineRule="auto" w:before="90"/>
              <w:ind w:left="91" w:right="131"/>
              <w:rPr>
                <w:sz w:val="17"/>
              </w:rPr>
            </w:pPr>
            <w:r>
              <w:rPr>
                <w:sz w:val="17"/>
              </w:rPr>
              <w:t>Would</w:t>
            </w:r>
            <w:r>
              <w:rPr>
                <w:spacing w:val="-6"/>
                <w:sz w:val="17"/>
              </w:rPr>
              <w:t> </w:t>
            </w:r>
            <w:r>
              <w:rPr>
                <w:sz w:val="17"/>
              </w:rPr>
              <w:t>require</w:t>
            </w:r>
            <w:r>
              <w:rPr>
                <w:spacing w:val="-6"/>
                <w:sz w:val="17"/>
              </w:rPr>
              <w:t> </w:t>
            </w:r>
            <w:r>
              <w:rPr>
                <w:sz w:val="17"/>
              </w:rPr>
              <w:t>commercial</w:t>
            </w:r>
            <w:r>
              <w:rPr>
                <w:spacing w:val="-4"/>
                <w:sz w:val="17"/>
              </w:rPr>
              <w:t> </w:t>
            </w:r>
            <w:r>
              <w:rPr>
                <w:sz w:val="17"/>
              </w:rPr>
              <w:t>income</w:t>
            </w:r>
            <w:r>
              <w:rPr>
                <w:spacing w:val="-6"/>
                <w:sz w:val="17"/>
              </w:rPr>
              <w:t> </w:t>
            </w:r>
            <w:r>
              <w:rPr>
                <w:sz w:val="17"/>
              </w:rPr>
              <w:t>to</w:t>
            </w:r>
            <w:r>
              <w:rPr>
                <w:spacing w:val="-1"/>
                <w:sz w:val="17"/>
              </w:rPr>
              <w:t> </w:t>
            </w:r>
            <w:r>
              <w:rPr>
                <w:sz w:val="17"/>
              </w:rPr>
              <w:t>fund</w:t>
            </w:r>
            <w:r>
              <w:rPr>
                <w:spacing w:val="-6"/>
                <w:sz w:val="17"/>
              </w:rPr>
              <w:t> </w:t>
            </w:r>
            <w:r>
              <w:rPr>
                <w:sz w:val="17"/>
              </w:rPr>
              <w:t>to</w:t>
            </w:r>
            <w:r>
              <w:rPr>
                <w:spacing w:val="-1"/>
                <w:sz w:val="17"/>
              </w:rPr>
              <w:t> </w:t>
            </w:r>
            <w:r>
              <w:rPr>
                <w:sz w:val="17"/>
              </w:rPr>
              <w:t>avoid</w:t>
            </w:r>
            <w:r>
              <w:rPr>
                <w:spacing w:val="-6"/>
                <w:sz w:val="17"/>
              </w:rPr>
              <w:t> </w:t>
            </w:r>
            <w:r>
              <w:rPr>
                <w:sz w:val="17"/>
              </w:rPr>
              <w:t>increasing</w:t>
            </w:r>
            <w:r>
              <w:rPr>
                <w:spacing w:val="-6"/>
                <w:sz w:val="17"/>
              </w:rPr>
              <w:t> </w:t>
            </w:r>
            <w:r>
              <w:rPr>
                <w:sz w:val="17"/>
              </w:rPr>
              <w:t>the run rate of either organisation.</w:t>
            </w:r>
          </w:p>
        </w:tc>
      </w:tr>
      <w:tr>
        <w:trPr>
          <w:trHeight w:val="540" w:hRule="atLeast"/>
        </w:trPr>
        <w:tc>
          <w:tcPr>
            <w:tcW w:w="5172" w:type="dxa"/>
          </w:tcPr>
          <w:p>
            <w:pPr>
              <w:pStyle w:val="TableParagraph"/>
              <w:rPr>
                <w:rFonts w:ascii="Times New Roman"/>
                <w:sz w:val="16"/>
              </w:rPr>
            </w:pPr>
          </w:p>
        </w:tc>
        <w:tc>
          <w:tcPr>
            <w:tcW w:w="5177" w:type="dxa"/>
          </w:tcPr>
          <w:p>
            <w:pPr>
              <w:pStyle w:val="TableParagraph"/>
              <w:rPr>
                <w:rFonts w:ascii="Times New Roman"/>
                <w:sz w:val="16"/>
              </w:rPr>
            </w:pPr>
          </w:p>
        </w:tc>
        <w:tc>
          <w:tcPr>
            <w:tcW w:w="5178" w:type="dxa"/>
          </w:tcPr>
          <w:p>
            <w:pPr>
              <w:pStyle w:val="TableParagraph"/>
              <w:rPr>
                <w:rFonts w:ascii="Times New Roman"/>
                <w:sz w:val="16"/>
              </w:rPr>
            </w:pPr>
          </w:p>
        </w:tc>
      </w:tr>
    </w:tbl>
    <w:p>
      <w:pPr>
        <w:pStyle w:val="BodyText"/>
        <w:rPr>
          <w:b/>
          <w:sz w:val="26"/>
        </w:rPr>
      </w:pPr>
    </w:p>
    <w:p>
      <w:pPr>
        <w:pStyle w:val="BodyText"/>
        <w:spacing w:before="45"/>
        <w:rPr>
          <w:b/>
          <w:sz w:val="26"/>
        </w:rPr>
      </w:pPr>
    </w:p>
    <w:p>
      <w:pPr>
        <w:spacing w:before="0"/>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391" name="Image 391"/>
            <wp:cNvGraphicFramePr>
              <a:graphicFrameLocks/>
            </wp:cNvGraphicFramePr>
            <a:graphic>
              <a:graphicData uri="http://schemas.openxmlformats.org/drawingml/2006/picture">
                <pic:pic>
                  <pic:nvPicPr>
                    <pic:cNvPr id="391" name="Image 391"/>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392" name="Image 392"/>
            <wp:cNvGraphicFramePr>
              <a:graphicFrameLocks/>
            </wp:cNvGraphicFramePr>
            <a:graphic>
              <a:graphicData uri="http://schemas.openxmlformats.org/drawingml/2006/picture">
                <pic:pic>
                  <pic:nvPicPr>
                    <pic:cNvPr id="392" name="Image 392"/>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p>
      <w:pPr>
        <w:pStyle w:val="Heading8"/>
        <w:numPr>
          <w:ilvl w:val="0"/>
          <w:numId w:val="30"/>
        </w:numPr>
        <w:tabs>
          <w:tab w:pos="367" w:val="left" w:leader="none"/>
        </w:tabs>
        <w:spacing w:line="240" w:lineRule="auto" w:before="22" w:after="0"/>
        <w:ind w:left="367" w:right="0" w:hanging="284"/>
        <w:jc w:val="left"/>
      </w:pPr>
      <w:r>
        <w:rPr>
          <w:color w:val="001F5F"/>
          <w:spacing w:val="-2"/>
        </w:rPr>
        <w:t>Risks</w:t>
      </w:r>
    </w:p>
    <w:p>
      <w:pPr>
        <w:pStyle w:val="BodyText"/>
        <w:spacing w:before="11"/>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851"/>
        <w:gridCol w:w="4227"/>
        <w:gridCol w:w="3662"/>
        <w:gridCol w:w="1696"/>
        <w:gridCol w:w="996"/>
        <w:gridCol w:w="1697"/>
        <w:gridCol w:w="2402"/>
      </w:tblGrid>
      <w:tr>
        <w:trPr>
          <w:trHeight w:val="350" w:hRule="atLeast"/>
        </w:trPr>
        <w:tc>
          <w:tcPr>
            <w:tcW w:w="851" w:type="dxa"/>
            <w:shd w:val="clear" w:color="auto" w:fill="1F4E79"/>
          </w:tcPr>
          <w:p>
            <w:pPr>
              <w:pStyle w:val="TableParagraph"/>
              <w:spacing w:before="88"/>
              <w:ind w:left="87"/>
              <w:rPr>
                <w:b/>
                <w:sz w:val="14"/>
              </w:rPr>
            </w:pPr>
            <w:r>
              <w:rPr>
                <w:b/>
                <w:color w:val="FFFFFF"/>
                <w:spacing w:val="-5"/>
                <w:sz w:val="14"/>
              </w:rPr>
              <w:t>Ref</w:t>
            </w:r>
          </w:p>
        </w:tc>
        <w:tc>
          <w:tcPr>
            <w:tcW w:w="4227" w:type="dxa"/>
            <w:shd w:val="clear" w:color="auto" w:fill="1F4E79"/>
          </w:tcPr>
          <w:p>
            <w:pPr>
              <w:pStyle w:val="TableParagraph"/>
              <w:spacing w:before="88"/>
              <w:ind w:left="92"/>
              <w:rPr>
                <w:b/>
                <w:sz w:val="14"/>
              </w:rPr>
            </w:pPr>
            <w:r>
              <w:rPr>
                <w:b/>
                <w:color w:val="FFFFFF"/>
                <w:sz w:val="14"/>
              </w:rPr>
              <w:t>Risk </w:t>
            </w:r>
            <w:r>
              <w:rPr>
                <w:b/>
                <w:color w:val="FFFFFF"/>
                <w:spacing w:val="-2"/>
                <w:sz w:val="14"/>
              </w:rPr>
              <w:t>Description</w:t>
            </w:r>
          </w:p>
        </w:tc>
        <w:tc>
          <w:tcPr>
            <w:tcW w:w="3662" w:type="dxa"/>
            <w:shd w:val="clear" w:color="auto" w:fill="1F4E79"/>
          </w:tcPr>
          <w:p>
            <w:pPr>
              <w:pStyle w:val="TableParagraph"/>
              <w:spacing w:before="88"/>
              <w:ind w:left="91"/>
              <w:rPr>
                <w:b/>
                <w:sz w:val="14"/>
              </w:rPr>
            </w:pPr>
            <w:r>
              <w:rPr>
                <w:b/>
                <w:color w:val="FFFFFF"/>
                <w:spacing w:val="-2"/>
                <w:sz w:val="14"/>
              </w:rPr>
              <w:t>Mitigation</w:t>
            </w:r>
          </w:p>
        </w:tc>
        <w:tc>
          <w:tcPr>
            <w:tcW w:w="1696" w:type="dxa"/>
            <w:shd w:val="clear" w:color="auto" w:fill="1F4E79"/>
          </w:tcPr>
          <w:p>
            <w:pPr>
              <w:pStyle w:val="TableParagraph"/>
              <w:spacing w:before="88"/>
              <w:ind w:left="90"/>
              <w:rPr>
                <w:b/>
                <w:sz w:val="14"/>
              </w:rPr>
            </w:pPr>
            <w:r>
              <w:rPr>
                <w:b/>
                <w:color w:val="FFFFFF"/>
                <w:sz w:val="14"/>
              </w:rPr>
              <w:t>Action</w:t>
            </w:r>
            <w:r>
              <w:rPr>
                <w:b/>
                <w:color w:val="FFFFFF"/>
                <w:spacing w:val="-5"/>
                <w:sz w:val="14"/>
              </w:rPr>
              <w:t> </w:t>
            </w:r>
            <w:r>
              <w:rPr>
                <w:b/>
                <w:color w:val="FFFFFF"/>
                <w:spacing w:val="-2"/>
                <w:sz w:val="14"/>
              </w:rPr>
              <w:t>Owner</w:t>
            </w:r>
          </w:p>
        </w:tc>
        <w:tc>
          <w:tcPr>
            <w:tcW w:w="996" w:type="dxa"/>
            <w:shd w:val="clear" w:color="auto" w:fill="1F4E79"/>
          </w:tcPr>
          <w:p>
            <w:pPr>
              <w:pStyle w:val="TableParagraph"/>
              <w:spacing w:before="88"/>
              <w:ind w:left="89"/>
              <w:rPr>
                <w:b/>
                <w:sz w:val="14"/>
              </w:rPr>
            </w:pPr>
            <w:r>
              <w:rPr>
                <w:b/>
                <w:color w:val="FFFFFF"/>
                <w:spacing w:val="-5"/>
                <w:sz w:val="14"/>
              </w:rPr>
              <w:t>RAG</w:t>
            </w:r>
          </w:p>
        </w:tc>
        <w:tc>
          <w:tcPr>
            <w:tcW w:w="1697" w:type="dxa"/>
            <w:shd w:val="clear" w:color="auto" w:fill="1F4E79"/>
          </w:tcPr>
          <w:p>
            <w:pPr>
              <w:pStyle w:val="TableParagraph"/>
              <w:spacing w:before="88"/>
              <w:ind w:left="83"/>
              <w:rPr>
                <w:b/>
                <w:sz w:val="14"/>
              </w:rPr>
            </w:pPr>
            <w:r>
              <w:rPr>
                <w:b/>
                <w:color w:val="FFFFFF"/>
                <w:sz w:val="14"/>
              </w:rPr>
              <w:t>Risk </w:t>
            </w:r>
            <w:r>
              <w:rPr>
                <w:b/>
                <w:color w:val="FFFFFF"/>
                <w:spacing w:val="-2"/>
                <w:sz w:val="14"/>
              </w:rPr>
              <w:t>Owner</w:t>
            </w:r>
          </w:p>
        </w:tc>
        <w:tc>
          <w:tcPr>
            <w:tcW w:w="2402" w:type="dxa"/>
            <w:shd w:val="clear" w:color="auto" w:fill="1F4E79"/>
          </w:tcPr>
          <w:p>
            <w:pPr>
              <w:pStyle w:val="TableParagraph"/>
              <w:spacing w:before="88"/>
              <w:ind w:left="87"/>
              <w:rPr>
                <w:b/>
                <w:sz w:val="14"/>
              </w:rPr>
            </w:pPr>
            <w:r>
              <w:rPr>
                <w:b/>
                <w:color w:val="FFFFFF"/>
                <w:sz w:val="14"/>
              </w:rPr>
              <w:t>Residual</w:t>
            </w:r>
            <w:r>
              <w:rPr>
                <w:b/>
                <w:color w:val="FFFFFF"/>
                <w:spacing w:val="-3"/>
                <w:sz w:val="14"/>
              </w:rPr>
              <w:t> </w:t>
            </w:r>
            <w:r>
              <w:rPr>
                <w:b/>
                <w:color w:val="FFFFFF"/>
                <w:spacing w:val="-4"/>
                <w:sz w:val="14"/>
              </w:rPr>
              <w:t>Risk</w:t>
            </w:r>
          </w:p>
        </w:tc>
      </w:tr>
      <w:tr>
        <w:trPr>
          <w:trHeight w:val="540" w:hRule="atLeast"/>
        </w:trPr>
        <w:tc>
          <w:tcPr>
            <w:tcW w:w="851" w:type="dxa"/>
          </w:tcPr>
          <w:p>
            <w:pPr>
              <w:pStyle w:val="TableParagraph"/>
              <w:rPr>
                <w:rFonts w:ascii="Times New Roman"/>
                <w:sz w:val="16"/>
              </w:rPr>
            </w:pPr>
          </w:p>
        </w:tc>
        <w:tc>
          <w:tcPr>
            <w:tcW w:w="4227" w:type="dxa"/>
          </w:tcPr>
          <w:p>
            <w:pPr>
              <w:pStyle w:val="TableParagraph"/>
              <w:spacing w:before="165"/>
              <w:ind w:left="92"/>
              <w:rPr>
                <w:sz w:val="17"/>
              </w:rPr>
            </w:pPr>
            <w:r>
              <w:rPr>
                <w:sz w:val="17"/>
              </w:rPr>
              <w:t>No</w:t>
            </w:r>
            <w:r>
              <w:rPr>
                <w:spacing w:val="-5"/>
                <w:sz w:val="17"/>
              </w:rPr>
              <w:t> </w:t>
            </w:r>
            <w:r>
              <w:rPr>
                <w:sz w:val="17"/>
              </w:rPr>
              <w:t>risks</w:t>
            </w:r>
            <w:r>
              <w:rPr>
                <w:spacing w:val="-3"/>
                <w:sz w:val="17"/>
              </w:rPr>
              <w:t> </w:t>
            </w:r>
            <w:r>
              <w:rPr>
                <w:sz w:val="17"/>
              </w:rPr>
              <w:t>to</w:t>
            </w:r>
            <w:r>
              <w:rPr>
                <w:spacing w:val="-2"/>
                <w:sz w:val="17"/>
              </w:rPr>
              <w:t> highlight</w:t>
            </w:r>
          </w:p>
        </w:tc>
        <w:tc>
          <w:tcPr>
            <w:tcW w:w="3662" w:type="dxa"/>
          </w:tcPr>
          <w:p>
            <w:pPr>
              <w:pStyle w:val="TableParagraph"/>
              <w:rPr>
                <w:rFonts w:ascii="Times New Roman"/>
                <w:sz w:val="16"/>
              </w:rPr>
            </w:pPr>
          </w:p>
        </w:tc>
        <w:tc>
          <w:tcPr>
            <w:tcW w:w="1696" w:type="dxa"/>
          </w:tcPr>
          <w:p>
            <w:pPr>
              <w:pStyle w:val="TableParagraph"/>
              <w:rPr>
                <w:rFonts w:ascii="Times New Roman"/>
                <w:sz w:val="16"/>
              </w:rPr>
            </w:pPr>
          </w:p>
        </w:tc>
        <w:tc>
          <w:tcPr>
            <w:tcW w:w="996" w:type="dxa"/>
          </w:tcPr>
          <w:p>
            <w:pPr>
              <w:pStyle w:val="TableParagraph"/>
              <w:rPr>
                <w:rFonts w:ascii="Times New Roman"/>
                <w:sz w:val="16"/>
              </w:rPr>
            </w:pPr>
          </w:p>
        </w:tc>
        <w:tc>
          <w:tcPr>
            <w:tcW w:w="1697" w:type="dxa"/>
          </w:tcPr>
          <w:p>
            <w:pPr>
              <w:pStyle w:val="TableParagraph"/>
              <w:rPr>
                <w:rFonts w:ascii="Times New Roman"/>
                <w:sz w:val="16"/>
              </w:rPr>
            </w:pPr>
          </w:p>
        </w:tc>
        <w:tc>
          <w:tcPr>
            <w:tcW w:w="2402" w:type="dxa"/>
          </w:tcPr>
          <w:p>
            <w:pPr>
              <w:pStyle w:val="TableParagraph"/>
              <w:rPr>
                <w:rFonts w:ascii="Times New Roman"/>
                <w:sz w:val="16"/>
              </w:rPr>
            </w:pPr>
          </w:p>
        </w:tc>
      </w:tr>
      <w:tr>
        <w:trPr>
          <w:trHeight w:val="540" w:hRule="atLeast"/>
        </w:trPr>
        <w:tc>
          <w:tcPr>
            <w:tcW w:w="851" w:type="dxa"/>
          </w:tcPr>
          <w:p>
            <w:pPr>
              <w:pStyle w:val="TableParagraph"/>
              <w:rPr>
                <w:rFonts w:ascii="Times New Roman"/>
                <w:sz w:val="16"/>
              </w:rPr>
            </w:pPr>
          </w:p>
        </w:tc>
        <w:tc>
          <w:tcPr>
            <w:tcW w:w="4227" w:type="dxa"/>
          </w:tcPr>
          <w:p>
            <w:pPr>
              <w:pStyle w:val="TableParagraph"/>
              <w:rPr>
                <w:rFonts w:ascii="Times New Roman"/>
                <w:sz w:val="16"/>
              </w:rPr>
            </w:pPr>
          </w:p>
        </w:tc>
        <w:tc>
          <w:tcPr>
            <w:tcW w:w="3662" w:type="dxa"/>
          </w:tcPr>
          <w:p>
            <w:pPr>
              <w:pStyle w:val="TableParagraph"/>
              <w:rPr>
                <w:rFonts w:ascii="Times New Roman"/>
                <w:sz w:val="16"/>
              </w:rPr>
            </w:pPr>
          </w:p>
        </w:tc>
        <w:tc>
          <w:tcPr>
            <w:tcW w:w="1696" w:type="dxa"/>
          </w:tcPr>
          <w:p>
            <w:pPr>
              <w:pStyle w:val="TableParagraph"/>
              <w:rPr>
                <w:rFonts w:ascii="Times New Roman"/>
                <w:sz w:val="16"/>
              </w:rPr>
            </w:pPr>
          </w:p>
        </w:tc>
        <w:tc>
          <w:tcPr>
            <w:tcW w:w="996" w:type="dxa"/>
          </w:tcPr>
          <w:p>
            <w:pPr>
              <w:pStyle w:val="TableParagraph"/>
              <w:rPr>
                <w:rFonts w:ascii="Times New Roman"/>
                <w:sz w:val="16"/>
              </w:rPr>
            </w:pPr>
          </w:p>
        </w:tc>
        <w:tc>
          <w:tcPr>
            <w:tcW w:w="1697" w:type="dxa"/>
          </w:tcPr>
          <w:p>
            <w:pPr>
              <w:pStyle w:val="TableParagraph"/>
              <w:rPr>
                <w:rFonts w:ascii="Times New Roman"/>
                <w:sz w:val="16"/>
              </w:rPr>
            </w:pPr>
          </w:p>
        </w:tc>
        <w:tc>
          <w:tcPr>
            <w:tcW w:w="2402" w:type="dxa"/>
          </w:tcPr>
          <w:p>
            <w:pPr>
              <w:pStyle w:val="TableParagraph"/>
              <w:rPr>
                <w:rFonts w:ascii="Times New Roman"/>
                <w:sz w:val="16"/>
              </w:rPr>
            </w:pPr>
          </w:p>
        </w:tc>
      </w:tr>
      <w:tr>
        <w:trPr>
          <w:trHeight w:val="540" w:hRule="atLeast"/>
        </w:trPr>
        <w:tc>
          <w:tcPr>
            <w:tcW w:w="851" w:type="dxa"/>
          </w:tcPr>
          <w:p>
            <w:pPr>
              <w:pStyle w:val="TableParagraph"/>
              <w:rPr>
                <w:rFonts w:ascii="Times New Roman"/>
                <w:sz w:val="16"/>
              </w:rPr>
            </w:pPr>
          </w:p>
        </w:tc>
        <w:tc>
          <w:tcPr>
            <w:tcW w:w="4227" w:type="dxa"/>
          </w:tcPr>
          <w:p>
            <w:pPr>
              <w:pStyle w:val="TableParagraph"/>
              <w:rPr>
                <w:rFonts w:ascii="Times New Roman"/>
                <w:sz w:val="16"/>
              </w:rPr>
            </w:pPr>
          </w:p>
        </w:tc>
        <w:tc>
          <w:tcPr>
            <w:tcW w:w="3662" w:type="dxa"/>
          </w:tcPr>
          <w:p>
            <w:pPr>
              <w:pStyle w:val="TableParagraph"/>
              <w:rPr>
                <w:rFonts w:ascii="Times New Roman"/>
                <w:sz w:val="16"/>
              </w:rPr>
            </w:pPr>
          </w:p>
        </w:tc>
        <w:tc>
          <w:tcPr>
            <w:tcW w:w="1696" w:type="dxa"/>
          </w:tcPr>
          <w:p>
            <w:pPr>
              <w:pStyle w:val="TableParagraph"/>
              <w:rPr>
                <w:rFonts w:ascii="Times New Roman"/>
                <w:sz w:val="16"/>
              </w:rPr>
            </w:pPr>
          </w:p>
        </w:tc>
        <w:tc>
          <w:tcPr>
            <w:tcW w:w="996" w:type="dxa"/>
          </w:tcPr>
          <w:p>
            <w:pPr>
              <w:pStyle w:val="TableParagraph"/>
              <w:rPr>
                <w:rFonts w:ascii="Times New Roman"/>
                <w:sz w:val="16"/>
              </w:rPr>
            </w:pPr>
          </w:p>
        </w:tc>
        <w:tc>
          <w:tcPr>
            <w:tcW w:w="1697" w:type="dxa"/>
          </w:tcPr>
          <w:p>
            <w:pPr>
              <w:pStyle w:val="TableParagraph"/>
              <w:rPr>
                <w:rFonts w:ascii="Times New Roman"/>
                <w:sz w:val="16"/>
              </w:rPr>
            </w:pPr>
          </w:p>
        </w:tc>
        <w:tc>
          <w:tcPr>
            <w:tcW w:w="2402" w:type="dxa"/>
          </w:tcPr>
          <w:p>
            <w:pPr>
              <w:pStyle w:val="TableParagraph"/>
              <w:rPr>
                <w:rFonts w:ascii="Times New Roman"/>
                <w:sz w:val="16"/>
              </w:rPr>
            </w:pPr>
          </w:p>
        </w:tc>
      </w:tr>
      <w:tr>
        <w:trPr>
          <w:trHeight w:val="540" w:hRule="atLeast"/>
        </w:trPr>
        <w:tc>
          <w:tcPr>
            <w:tcW w:w="851" w:type="dxa"/>
          </w:tcPr>
          <w:p>
            <w:pPr>
              <w:pStyle w:val="TableParagraph"/>
              <w:rPr>
                <w:rFonts w:ascii="Times New Roman"/>
                <w:sz w:val="16"/>
              </w:rPr>
            </w:pPr>
          </w:p>
        </w:tc>
        <w:tc>
          <w:tcPr>
            <w:tcW w:w="4227" w:type="dxa"/>
          </w:tcPr>
          <w:p>
            <w:pPr>
              <w:pStyle w:val="TableParagraph"/>
              <w:rPr>
                <w:rFonts w:ascii="Times New Roman"/>
                <w:sz w:val="16"/>
              </w:rPr>
            </w:pPr>
          </w:p>
        </w:tc>
        <w:tc>
          <w:tcPr>
            <w:tcW w:w="3662" w:type="dxa"/>
          </w:tcPr>
          <w:p>
            <w:pPr>
              <w:pStyle w:val="TableParagraph"/>
              <w:rPr>
                <w:rFonts w:ascii="Times New Roman"/>
                <w:sz w:val="16"/>
              </w:rPr>
            </w:pPr>
          </w:p>
        </w:tc>
        <w:tc>
          <w:tcPr>
            <w:tcW w:w="1696" w:type="dxa"/>
          </w:tcPr>
          <w:p>
            <w:pPr>
              <w:pStyle w:val="TableParagraph"/>
              <w:rPr>
                <w:rFonts w:ascii="Times New Roman"/>
                <w:sz w:val="16"/>
              </w:rPr>
            </w:pPr>
          </w:p>
        </w:tc>
        <w:tc>
          <w:tcPr>
            <w:tcW w:w="996" w:type="dxa"/>
          </w:tcPr>
          <w:p>
            <w:pPr>
              <w:pStyle w:val="TableParagraph"/>
              <w:rPr>
                <w:rFonts w:ascii="Times New Roman"/>
                <w:sz w:val="16"/>
              </w:rPr>
            </w:pPr>
          </w:p>
        </w:tc>
        <w:tc>
          <w:tcPr>
            <w:tcW w:w="1697" w:type="dxa"/>
          </w:tcPr>
          <w:p>
            <w:pPr>
              <w:pStyle w:val="TableParagraph"/>
              <w:rPr>
                <w:rFonts w:ascii="Times New Roman"/>
                <w:sz w:val="16"/>
              </w:rPr>
            </w:pPr>
          </w:p>
        </w:tc>
        <w:tc>
          <w:tcPr>
            <w:tcW w:w="2402" w:type="dxa"/>
          </w:tcPr>
          <w:p>
            <w:pPr>
              <w:pStyle w:val="TableParagraph"/>
              <w:rPr>
                <w:rFonts w:ascii="Times New Roman"/>
                <w:sz w:val="16"/>
              </w:rPr>
            </w:pPr>
          </w:p>
        </w:tc>
      </w:tr>
      <w:tr>
        <w:trPr>
          <w:trHeight w:val="540" w:hRule="atLeast"/>
        </w:trPr>
        <w:tc>
          <w:tcPr>
            <w:tcW w:w="851" w:type="dxa"/>
          </w:tcPr>
          <w:p>
            <w:pPr>
              <w:pStyle w:val="TableParagraph"/>
              <w:rPr>
                <w:rFonts w:ascii="Times New Roman"/>
                <w:sz w:val="16"/>
              </w:rPr>
            </w:pPr>
          </w:p>
        </w:tc>
        <w:tc>
          <w:tcPr>
            <w:tcW w:w="4227" w:type="dxa"/>
          </w:tcPr>
          <w:p>
            <w:pPr>
              <w:pStyle w:val="TableParagraph"/>
              <w:rPr>
                <w:rFonts w:ascii="Times New Roman"/>
                <w:sz w:val="16"/>
              </w:rPr>
            </w:pPr>
          </w:p>
        </w:tc>
        <w:tc>
          <w:tcPr>
            <w:tcW w:w="3662" w:type="dxa"/>
          </w:tcPr>
          <w:p>
            <w:pPr>
              <w:pStyle w:val="TableParagraph"/>
              <w:rPr>
                <w:rFonts w:ascii="Times New Roman"/>
                <w:sz w:val="16"/>
              </w:rPr>
            </w:pPr>
          </w:p>
        </w:tc>
        <w:tc>
          <w:tcPr>
            <w:tcW w:w="1696" w:type="dxa"/>
          </w:tcPr>
          <w:p>
            <w:pPr>
              <w:pStyle w:val="TableParagraph"/>
              <w:rPr>
                <w:rFonts w:ascii="Times New Roman"/>
                <w:sz w:val="16"/>
              </w:rPr>
            </w:pPr>
          </w:p>
        </w:tc>
        <w:tc>
          <w:tcPr>
            <w:tcW w:w="996" w:type="dxa"/>
          </w:tcPr>
          <w:p>
            <w:pPr>
              <w:pStyle w:val="TableParagraph"/>
              <w:rPr>
                <w:rFonts w:ascii="Times New Roman"/>
                <w:sz w:val="16"/>
              </w:rPr>
            </w:pPr>
          </w:p>
        </w:tc>
        <w:tc>
          <w:tcPr>
            <w:tcW w:w="1697" w:type="dxa"/>
          </w:tcPr>
          <w:p>
            <w:pPr>
              <w:pStyle w:val="TableParagraph"/>
              <w:rPr>
                <w:rFonts w:ascii="Times New Roman"/>
                <w:sz w:val="16"/>
              </w:rPr>
            </w:pPr>
          </w:p>
        </w:tc>
        <w:tc>
          <w:tcPr>
            <w:tcW w:w="2402" w:type="dxa"/>
          </w:tcPr>
          <w:p>
            <w:pPr>
              <w:pStyle w:val="TableParagraph"/>
              <w:rPr>
                <w:rFonts w:ascii="Times New Roman"/>
                <w:sz w:val="16"/>
              </w:rPr>
            </w:pPr>
          </w:p>
        </w:tc>
      </w:tr>
    </w:tbl>
    <w:p>
      <w:pPr>
        <w:pStyle w:val="Heading8"/>
        <w:numPr>
          <w:ilvl w:val="0"/>
          <w:numId w:val="30"/>
        </w:numPr>
        <w:tabs>
          <w:tab w:pos="367" w:val="left" w:leader="none"/>
        </w:tabs>
        <w:spacing w:line="240" w:lineRule="auto" w:before="162" w:after="0"/>
        <w:ind w:left="367" w:right="0" w:hanging="284"/>
        <w:jc w:val="left"/>
      </w:pPr>
      <w:r>
        <w:rPr>
          <w:color w:val="001F5F"/>
          <w:spacing w:val="-2"/>
        </w:rPr>
        <w:t>Dependencies</w:t>
      </w:r>
    </w:p>
    <w:p>
      <w:pPr>
        <w:pStyle w:val="BodyText"/>
        <w:spacing w:before="5"/>
        <w:rPr>
          <w:b/>
          <w:sz w:val="10"/>
        </w:rPr>
      </w:pPr>
    </w:p>
    <w:tbl>
      <w:tblPr>
        <w:tblW w:w="0" w:type="auto"/>
        <w:jc w:val="left"/>
        <w:tblInd w:w="299"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4461"/>
        <w:gridCol w:w="5476"/>
        <w:gridCol w:w="1870"/>
        <w:gridCol w:w="1010"/>
        <w:gridCol w:w="2300"/>
      </w:tblGrid>
      <w:tr>
        <w:trPr>
          <w:trHeight w:val="365" w:hRule="atLeast"/>
        </w:trPr>
        <w:tc>
          <w:tcPr>
            <w:tcW w:w="4461" w:type="dxa"/>
            <w:shd w:val="clear" w:color="auto" w:fill="1F4E79"/>
          </w:tcPr>
          <w:p>
            <w:pPr>
              <w:pStyle w:val="TableParagraph"/>
              <w:spacing w:before="89"/>
              <w:ind w:left="92"/>
              <w:rPr>
                <w:b/>
                <w:sz w:val="15"/>
              </w:rPr>
            </w:pPr>
            <w:r>
              <w:rPr>
                <w:b/>
                <w:color w:val="FFFFFF"/>
                <w:spacing w:val="-2"/>
                <w:sz w:val="15"/>
              </w:rPr>
              <w:t>Description</w:t>
            </w:r>
          </w:p>
        </w:tc>
        <w:tc>
          <w:tcPr>
            <w:tcW w:w="5476" w:type="dxa"/>
            <w:shd w:val="clear" w:color="auto" w:fill="1F4E79"/>
          </w:tcPr>
          <w:p>
            <w:pPr>
              <w:pStyle w:val="TableParagraph"/>
              <w:spacing w:before="89"/>
              <w:ind w:left="92"/>
              <w:rPr>
                <w:b/>
                <w:sz w:val="15"/>
              </w:rPr>
            </w:pPr>
            <w:r>
              <w:rPr>
                <w:b/>
                <w:color w:val="FFFFFF"/>
                <w:sz w:val="15"/>
              </w:rPr>
              <w:t>How</w:t>
            </w:r>
            <w:r>
              <w:rPr>
                <w:b/>
                <w:color w:val="FFFFFF"/>
                <w:spacing w:val="-2"/>
                <w:sz w:val="15"/>
              </w:rPr>
              <w:t> </w:t>
            </w:r>
            <w:r>
              <w:rPr>
                <w:b/>
                <w:color w:val="FFFFFF"/>
                <w:sz w:val="15"/>
              </w:rPr>
              <w:t>Dependency</w:t>
            </w:r>
            <w:r>
              <w:rPr>
                <w:b/>
                <w:color w:val="FFFFFF"/>
                <w:spacing w:val="-7"/>
                <w:sz w:val="15"/>
              </w:rPr>
              <w:t> </w:t>
            </w:r>
            <w:r>
              <w:rPr>
                <w:b/>
                <w:color w:val="FFFFFF"/>
                <w:sz w:val="15"/>
              </w:rPr>
              <w:t>is</w:t>
            </w:r>
            <w:r>
              <w:rPr>
                <w:b/>
                <w:color w:val="FFFFFF"/>
                <w:spacing w:val="-3"/>
                <w:sz w:val="15"/>
              </w:rPr>
              <w:t> </w:t>
            </w:r>
            <w:r>
              <w:rPr>
                <w:b/>
                <w:color w:val="FFFFFF"/>
                <w:spacing w:val="-2"/>
                <w:sz w:val="15"/>
              </w:rPr>
              <w:t>Managed</w:t>
            </w:r>
          </w:p>
        </w:tc>
        <w:tc>
          <w:tcPr>
            <w:tcW w:w="1870" w:type="dxa"/>
            <w:shd w:val="clear" w:color="auto" w:fill="1F4E79"/>
          </w:tcPr>
          <w:p>
            <w:pPr>
              <w:pStyle w:val="TableParagraph"/>
              <w:spacing w:before="89"/>
              <w:ind w:left="92"/>
              <w:rPr>
                <w:b/>
                <w:sz w:val="15"/>
              </w:rPr>
            </w:pPr>
            <w:r>
              <w:rPr>
                <w:b/>
                <w:color w:val="FFFFFF"/>
                <w:sz w:val="15"/>
              </w:rPr>
              <w:t>Action</w:t>
            </w:r>
            <w:r>
              <w:rPr>
                <w:b/>
                <w:color w:val="FFFFFF"/>
                <w:spacing w:val="-8"/>
                <w:sz w:val="15"/>
              </w:rPr>
              <w:t> </w:t>
            </w:r>
            <w:r>
              <w:rPr>
                <w:b/>
                <w:color w:val="FFFFFF"/>
                <w:spacing w:val="-2"/>
                <w:sz w:val="15"/>
              </w:rPr>
              <w:t>Owner</w:t>
            </w:r>
          </w:p>
        </w:tc>
        <w:tc>
          <w:tcPr>
            <w:tcW w:w="1010" w:type="dxa"/>
            <w:shd w:val="clear" w:color="auto" w:fill="1F4E79"/>
          </w:tcPr>
          <w:p>
            <w:pPr>
              <w:pStyle w:val="TableParagraph"/>
              <w:spacing w:before="89"/>
              <w:ind w:left="94"/>
              <w:rPr>
                <w:b/>
                <w:sz w:val="15"/>
              </w:rPr>
            </w:pPr>
            <w:r>
              <w:rPr>
                <w:b/>
                <w:color w:val="FFFFFF"/>
                <w:spacing w:val="-5"/>
                <w:sz w:val="15"/>
              </w:rPr>
              <w:t>RAG</w:t>
            </w:r>
          </w:p>
        </w:tc>
        <w:tc>
          <w:tcPr>
            <w:tcW w:w="2300" w:type="dxa"/>
            <w:shd w:val="clear" w:color="auto" w:fill="1F4E79"/>
          </w:tcPr>
          <w:p>
            <w:pPr>
              <w:pStyle w:val="TableParagraph"/>
              <w:spacing w:before="89"/>
              <w:ind w:left="94"/>
              <w:rPr>
                <w:b/>
                <w:sz w:val="15"/>
              </w:rPr>
            </w:pPr>
            <w:r>
              <w:rPr>
                <w:b/>
                <w:color w:val="FFFFFF"/>
                <w:sz w:val="15"/>
              </w:rPr>
              <w:t>Dependency</w:t>
            </w:r>
            <w:r>
              <w:rPr>
                <w:b/>
                <w:color w:val="FFFFFF"/>
                <w:spacing w:val="-9"/>
                <w:sz w:val="15"/>
              </w:rPr>
              <w:t> </w:t>
            </w:r>
            <w:r>
              <w:rPr>
                <w:b/>
                <w:color w:val="FFFFFF"/>
                <w:spacing w:val="-2"/>
                <w:sz w:val="15"/>
              </w:rPr>
              <w:t>Owner</w:t>
            </w:r>
          </w:p>
        </w:tc>
      </w:tr>
      <w:tr>
        <w:trPr>
          <w:trHeight w:val="540" w:hRule="atLeast"/>
        </w:trPr>
        <w:tc>
          <w:tcPr>
            <w:tcW w:w="4461" w:type="dxa"/>
          </w:tcPr>
          <w:p>
            <w:pPr>
              <w:pStyle w:val="TableParagraph"/>
              <w:spacing w:before="165"/>
              <w:ind w:left="92"/>
              <w:rPr>
                <w:sz w:val="17"/>
              </w:rPr>
            </w:pPr>
            <w:r>
              <w:rPr>
                <w:sz w:val="17"/>
              </w:rPr>
              <w:t>No</w:t>
            </w:r>
            <w:r>
              <w:rPr>
                <w:spacing w:val="-4"/>
                <w:sz w:val="17"/>
              </w:rPr>
              <w:t> </w:t>
            </w:r>
            <w:r>
              <w:rPr>
                <w:sz w:val="17"/>
              </w:rPr>
              <w:t>dependencies</w:t>
            </w:r>
            <w:r>
              <w:rPr>
                <w:spacing w:val="-3"/>
                <w:sz w:val="17"/>
              </w:rPr>
              <w:t> </w:t>
            </w:r>
            <w:r>
              <w:rPr>
                <w:sz w:val="17"/>
              </w:rPr>
              <w:t>to</w:t>
            </w:r>
            <w:r>
              <w:rPr>
                <w:spacing w:val="-3"/>
                <w:sz w:val="17"/>
              </w:rPr>
              <w:t> </w:t>
            </w:r>
            <w:r>
              <w:rPr>
                <w:spacing w:val="-2"/>
                <w:sz w:val="17"/>
              </w:rPr>
              <w:t>highlight</w:t>
            </w:r>
          </w:p>
        </w:tc>
        <w:tc>
          <w:tcPr>
            <w:tcW w:w="5476" w:type="dxa"/>
          </w:tcPr>
          <w:p>
            <w:pPr>
              <w:pStyle w:val="TableParagraph"/>
              <w:rPr>
                <w:rFonts w:ascii="Times New Roman"/>
                <w:sz w:val="16"/>
              </w:rPr>
            </w:pPr>
          </w:p>
        </w:tc>
        <w:tc>
          <w:tcPr>
            <w:tcW w:w="1870" w:type="dxa"/>
          </w:tcPr>
          <w:p>
            <w:pPr>
              <w:pStyle w:val="TableParagraph"/>
              <w:rPr>
                <w:rFonts w:ascii="Times New Roman"/>
                <w:sz w:val="16"/>
              </w:rPr>
            </w:pPr>
          </w:p>
        </w:tc>
        <w:tc>
          <w:tcPr>
            <w:tcW w:w="1010" w:type="dxa"/>
          </w:tcPr>
          <w:p>
            <w:pPr>
              <w:pStyle w:val="TableParagraph"/>
              <w:rPr>
                <w:rFonts w:ascii="Times New Roman"/>
                <w:sz w:val="16"/>
              </w:rPr>
            </w:pPr>
          </w:p>
        </w:tc>
        <w:tc>
          <w:tcPr>
            <w:tcW w:w="2300" w:type="dxa"/>
          </w:tcPr>
          <w:p>
            <w:pPr>
              <w:pStyle w:val="TableParagraph"/>
              <w:rPr>
                <w:rFonts w:ascii="Times New Roman"/>
                <w:sz w:val="16"/>
              </w:rPr>
            </w:pPr>
          </w:p>
        </w:tc>
      </w:tr>
      <w:tr>
        <w:trPr>
          <w:trHeight w:val="540" w:hRule="atLeast"/>
        </w:trPr>
        <w:tc>
          <w:tcPr>
            <w:tcW w:w="4461" w:type="dxa"/>
          </w:tcPr>
          <w:p>
            <w:pPr>
              <w:pStyle w:val="TableParagraph"/>
              <w:rPr>
                <w:rFonts w:ascii="Times New Roman"/>
                <w:sz w:val="16"/>
              </w:rPr>
            </w:pPr>
          </w:p>
        </w:tc>
        <w:tc>
          <w:tcPr>
            <w:tcW w:w="5476" w:type="dxa"/>
          </w:tcPr>
          <w:p>
            <w:pPr>
              <w:pStyle w:val="TableParagraph"/>
              <w:rPr>
                <w:rFonts w:ascii="Times New Roman"/>
                <w:sz w:val="16"/>
              </w:rPr>
            </w:pPr>
          </w:p>
        </w:tc>
        <w:tc>
          <w:tcPr>
            <w:tcW w:w="1870" w:type="dxa"/>
          </w:tcPr>
          <w:p>
            <w:pPr>
              <w:pStyle w:val="TableParagraph"/>
              <w:rPr>
                <w:rFonts w:ascii="Times New Roman"/>
                <w:sz w:val="16"/>
              </w:rPr>
            </w:pPr>
          </w:p>
        </w:tc>
        <w:tc>
          <w:tcPr>
            <w:tcW w:w="1010" w:type="dxa"/>
          </w:tcPr>
          <w:p>
            <w:pPr>
              <w:pStyle w:val="TableParagraph"/>
              <w:rPr>
                <w:rFonts w:ascii="Times New Roman"/>
                <w:sz w:val="16"/>
              </w:rPr>
            </w:pPr>
          </w:p>
        </w:tc>
        <w:tc>
          <w:tcPr>
            <w:tcW w:w="2300" w:type="dxa"/>
          </w:tcPr>
          <w:p>
            <w:pPr>
              <w:pStyle w:val="TableParagraph"/>
              <w:rPr>
                <w:rFonts w:ascii="Times New Roman"/>
                <w:sz w:val="16"/>
              </w:rPr>
            </w:pPr>
          </w:p>
        </w:tc>
      </w:tr>
      <w:tr>
        <w:trPr>
          <w:trHeight w:val="540" w:hRule="atLeast"/>
        </w:trPr>
        <w:tc>
          <w:tcPr>
            <w:tcW w:w="4461" w:type="dxa"/>
          </w:tcPr>
          <w:p>
            <w:pPr>
              <w:pStyle w:val="TableParagraph"/>
              <w:rPr>
                <w:rFonts w:ascii="Times New Roman"/>
                <w:sz w:val="16"/>
              </w:rPr>
            </w:pPr>
          </w:p>
        </w:tc>
        <w:tc>
          <w:tcPr>
            <w:tcW w:w="5476" w:type="dxa"/>
          </w:tcPr>
          <w:p>
            <w:pPr>
              <w:pStyle w:val="TableParagraph"/>
              <w:rPr>
                <w:rFonts w:ascii="Times New Roman"/>
                <w:sz w:val="16"/>
              </w:rPr>
            </w:pPr>
          </w:p>
        </w:tc>
        <w:tc>
          <w:tcPr>
            <w:tcW w:w="1870" w:type="dxa"/>
          </w:tcPr>
          <w:p>
            <w:pPr>
              <w:pStyle w:val="TableParagraph"/>
              <w:rPr>
                <w:rFonts w:ascii="Times New Roman"/>
                <w:sz w:val="16"/>
              </w:rPr>
            </w:pPr>
          </w:p>
        </w:tc>
        <w:tc>
          <w:tcPr>
            <w:tcW w:w="1010" w:type="dxa"/>
          </w:tcPr>
          <w:p>
            <w:pPr>
              <w:pStyle w:val="TableParagraph"/>
              <w:rPr>
                <w:rFonts w:ascii="Times New Roman"/>
                <w:sz w:val="16"/>
              </w:rPr>
            </w:pPr>
          </w:p>
        </w:tc>
        <w:tc>
          <w:tcPr>
            <w:tcW w:w="2300" w:type="dxa"/>
          </w:tcPr>
          <w:p>
            <w:pPr>
              <w:pStyle w:val="TableParagraph"/>
              <w:rPr>
                <w:rFonts w:ascii="Times New Roman"/>
                <w:sz w:val="16"/>
              </w:rPr>
            </w:pPr>
          </w:p>
        </w:tc>
      </w:tr>
      <w:tr>
        <w:trPr>
          <w:trHeight w:val="540" w:hRule="atLeast"/>
        </w:trPr>
        <w:tc>
          <w:tcPr>
            <w:tcW w:w="4461" w:type="dxa"/>
          </w:tcPr>
          <w:p>
            <w:pPr>
              <w:pStyle w:val="TableParagraph"/>
              <w:rPr>
                <w:rFonts w:ascii="Times New Roman"/>
                <w:sz w:val="16"/>
              </w:rPr>
            </w:pPr>
          </w:p>
        </w:tc>
        <w:tc>
          <w:tcPr>
            <w:tcW w:w="5476" w:type="dxa"/>
          </w:tcPr>
          <w:p>
            <w:pPr>
              <w:pStyle w:val="TableParagraph"/>
              <w:rPr>
                <w:rFonts w:ascii="Times New Roman"/>
                <w:sz w:val="16"/>
              </w:rPr>
            </w:pPr>
          </w:p>
        </w:tc>
        <w:tc>
          <w:tcPr>
            <w:tcW w:w="1870" w:type="dxa"/>
          </w:tcPr>
          <w:p>
            <w:pPr>
              <w:pStyle w:val="TableParagraph"/>
              <w:rPr>
                <w:rFonts w:ascii="Times New Roman"/>
                <w:sz w:val="16"/>
              </w:rPr>
            </w:pPr>
          </w:p>
        </w:tc>
        <w:tc>
          <w:tcPr>
            <w:tcW w:w="1010" w:type="dxa"/>
          </w:tcPr>
          <w:p>
            <w:pPr>
              <w:pStyle w:val="TableParagraph"/>
              <w:rPr>
                <w:rFonts w:ascii="Times New Roman"/>
                <w:sz w:val="16"/>
              </w:rPr>
            </w:pPr>
          </w:p>
        </w:tc>
        <w:tc>
          <w:tcPr>
            <w:tcW w:w="2300" w:type="dxa"/>
          </w:tcPr>
          <w:p>
            <w:pPr>
              <w:pStyle w:val="TableParagraph"/>
              <w:rPr>
                <w:rFonts w:ascii="Times New Roman"/>
                <w:sz w:val="16"/>
              </w:rPr>
            </w:pPr>
          </w:p>
        </w:tc>
      </w:tr>
    </w:tbl>
    <w:p>
      <w:pPr>
        <w:pStyle w:val="Heading8"/>
        <w:numPr>
          <w:ilvl w:val="0"/>
          <w:numId w:val="30"/>
        </w:numPr>
        <w:tabs>
          <w:tab w:pos="367" w:val="left" w:leader="none"/>
        </w:tabs>
        <w:spacing w:line="240" w:lineRule="auto" w:before="162" w:after="0"/>
        <w:ind w:left="367" w:right="0" w:hanging="284"/>
        <w:jc w:val="left"/>
      </w:pPr>
      <w:r>
        <w:rPr>
          <w:color w:val="001F5F"/>
          <w:spacing w:val="-2"/>
        </w:rPr>
        <w:t>Issues</w:t>
      </w:r>
    </w:p>
    <w:p>
      <w:pPr>
        <w:pStyle w:val="BodyText"/>
        <w:spacing w:before="5"/>
        <w:rPr>
          <w:b/>
          <w:sz w:val="10"/>
        </w:rPr>
      </w:pPr>
    </w:p>
    <w:tbl>
      <w:tblPr>
        <w:tblW w:w="0" w:type="auto"/>
        <w:jc w:val="left"/>
        <w:tblInd w:w="279" w:type="dxa"/>
        <w:tblBorders>
          <w:top w:val="single" w:sz="8" w:space="0" w:color="6E6E6E"/>
          <w:left w:val="single" w:sz="8" w:space="0" w:color="6E6E6E"/>
          <w:bottom w:val="single" w:sz="8" w:space="0" w:color="6E6E6E"/>
          <w:right w:val="single" w:sz="8" w:space="0" w:color="6E6E6E"/>
          <w:insideH w:val="single" w:sz="8" w:space="0" w:color="6E6E6E"/>
          <w:insideV w:val="single" w:sz="8" w:space="0" w:color="6E6E6E"/>
        </w:tblBorders>
        <w:tblLayout w:type="fixed"/>
        <w:tblCellMar>
          <w:top w:w="0" w:type="dxa"/>
          <w:left w:w="0" w:type="dxa"/>
          <w:bottom w:w="0" w:type="dxa"/>
          <w:right w:w="0" w:type="dxa"/>
        </w:tblCellMar>
        <w:tblLook w:val="01E0"/>
      </w:tblPr>
      <w:tblGrid>
        <w:gridCol w:w="860"/>
        <w:gridCol w:w="4322"/>
        <w:gridCol w:w="3601"/>
        <w:gridCol w:w="1875"/>
        <w:gridCol w:w="2160"/>
        <w:gridCol w:w="2345"/>
      </w:tblGrid>
      <w:tr>
        <w:trPr>
          <w:trHeight w:val="347" w:hRule="atLeast"/>
        </w:trPr>
        <w:tc>
          <w:tcPr>
            <w:tcW w:w="860" w:type="dxa"/>
            <w:tcBorders>
              <w:left w:val="single" w:sz="6" w:space="0" w:color="6E6E6E"/>
              <w:bottom w:val="single" w:sz="6" w:space="0" w:color="6E6E6E"/>
              <w:right w:val="single" w:sz="6" w:space="0" w:color="6E6E6E"/>
            </w:tcBorders>
            <w:shd w:val="clear" w:color="auto" w:fill="1F4E79"/>
          </w:tcPr>
          <w:p>
            <w:pPr>
              <w:pStyle w:val="TableParagraph"/>
              <w:spacing w:before="86"/>
              <w:ind w:left="87"/>
              <w:rPr>
                <w:b/>
                <w:sz w:val="14"/>
              </w:rPr>
            </w:pPr>
            <w:r>
              <w:rPr>
                <w:b/>
                <w:color w:val="FFFFFF"/>
                <w:spacing w:val="-5"/>
                <w:sz w:val="14"/>
              </w:rPr>
              <w:t>Ref</w:t>
            </w:r>
          </w:p>
        </w:tc>
        <w:tc>
          <w:tcPr>
            <w:tcW w:w="4322" w:type="dxa"/>
            <w:tcBorders>
              <w:left w:val="single" w:sz="6" w:space="0" w:color="6E6E6E"/>
              <w:bottom w:val="single" w:sz="6" w:space="0" w:color="6E6E6E"/>
              <w:right w:val="single" w:sz="6" w:space="0" w:color="6E6E6E"/>
            </w:tcBorders>
            <w:shd w:val="clear" w:color="auto" w:fill="1F4E79"/>
          </w:tcPr>
          <w:p>
            <w:pPr>
              <w:pStyle w:val="TableParagraph"/>
              <w:spacing w:before="86"/>
              <w:ind w:left="92"/>
              <w:rPr>
                <w:b/>
                <w:sz w:val="14"/>
              </w:rPr>
            </w:pPr>
            <w:r>
              <w:rPr>
                <w:b/>
                <w:color w:val="FFFFFF"/>
                <w:sz w:val="14"/>
              </w:rPr>
              <w:t>Issue</w:t>
            </w:r>
            <w:r>
              <w:rPr>
                <w:b/>
                <w:color w:val="FFFFFF"/>
                <w:spacing w:val="-2"/>
                <w:sz w:val="14"/>
              </w:rPr>
              <w:t> Description</w:t>
            </w:r>
          </w:p>
        </w:tc>
        <w:tc>
          <w:tcPr>
            <w:tcW w:w="3601" w:type="dxa"/>
            <w:tcBorders>
              <w:left w:val="single" w:sz="6" w:space="0" w:color="6E6E6E"/>
              <w:bottom w:val="single" w:sz="6" w:space="0" w:color="6E6E6E"/>
              <w:right w:val="single" w:sz="6" w:space="0" w:color="6E6E6E"/>
            </w:tcBorders>
            <w:shd w:val="clear" w:color="auto" w:fill="1F4E79"/>
          </w:tcPr>
          <w:p>
            <w:pPr>
              <w:pStyle w:val="TableParagraph"/>
              <w:spacing w:before="86"/>
              <w:ind w:left="92"/>
              <w:rPr>
                <w:b/>
                <w:sz w:val="14"/>
              </w:rPr>
            </w:pPr>
            <w:r>
              <w:rPr>
                <w:b/>
                <w:color w:val="FFFFFF"/>
                <w:spacing w:val="-2"/>
                <w:sz w:val="14"/>
              </w:rPr>
              <w:t>Impact</w:t>
            </w:r>
          </w:p>
        </w:tc>
        <w:tc>
          <w:tcPr>
            <w:tcW w:w="1875" w:type="dxa"/>
            <w:tcBorders>
              <w:left w:val="single" w:sz="6" w:space="0" w:color="6E6E6E"/>
              <w:bottom w:val="single" w:sz="6" w:space="0" w:color="6E6E6E"/>
              <w:right w:val="single" w:sz="6" w:space="0" w:color="6E6E6E"/>
            </w:tcBorders>
            <w:shd w:val="clear" w:color="auto" w:fill="1F4E79"/>
          </w:tcPr>
          <w:p>
            <w:pPr>
              <w:pStyle w:val="TableParagraph"/>
              <w:spacing w:before="86"/>
              <w:ind w:left="91"/>
              <w:rPr>
                <w:b/>
                <w:sz w:val="14"/>
              </w:rPr>
            </w:pPr>
            <w:r>
              <w:rPr>
                <w:b/>
                <w:color w:val="FFFFFF"/>
                <w:sz w:val="14"/>
              </w:rPr>
              <w:t>Action</w:t>
            </w:r>
            <w:r>
              <w:rPr>
                <w:b/>
                <w:color w:val="FFFFFF"/>
                <w:spacing w:val="-5"/>
                <w:sz w:val="14"/>
              </w:rPr>
              <w:t> </w:t>
            </w:r>
            <w:r>
              <w:rPr>
                <w:b/>
                <w:color w:val="FFFFFF"/>
                <w:spacing w:val="-2"/>
                <w:sz w:val="14"/>
              </w:rPr>
              <w:t>Owner</w:t>
            </w:r>
          </w:p>
        </w:tc>
        <w:tc>
          <w:tcPr>
            <w:tcW w:w="2160" w:type="dxa"/>
            <w:tcBorders>
              <w:left w:val="single" w:sz="6" w:space="0" w:color="6E6E6E"/>
              <w:bottom w:val="single" w:sz="6" w:space="0" w:color="6E6E6E"/>
              <w:right w:val="single" w:sz="6" w:space="0" w:color="6E6E6E"/>
            </w:tcBorders>
            <w:shd w:val="clear" w:color="auto" w:fill="1F4E79"/>
          </w:tcPr>
          <w:p>
            <w:pPr>
              <w:pStyle w:val="TableParagraph"/>
              <w:spacing w:before="86"/>
              <w:ind w:left="92"/>
              <w:rPr>
                <w:b/>
                <w:sz w:val="14"/>
              </w:rPr>
            </w:pPr>
            <w:r>
              <w:rPr>
                <w:b/>
                <w:color w:val="FFFFFF"/>
                <w:sz w:val="14"/>
              </w:rPr>
              <w:t>Target</w:t>
            </w:r>
            <w:r>
              <w:rPr>
                <w:b/>
                <w:color w:val="FFFFFF"/>
                <w:spacing w:val="-3"/>
                <w:sz w:val="14"/>
              </w:rPr>
              <w:t> </w:t>
            </w:r>
            <w:r>
              <w:rPr>
                <w:b/>
                <w:color w:val="FFFFFF"/>
                <w:sz w:val="14"/>
              </w:rPr>
              <w:t>Resolution</w:t>
            </w:r>
            <w:r>
              <w:rPr>
                <w:b/>
                <w:color w:val="FFFFFF"/>
                <w:spacing w:val="-1"/>
                <w:sz w:val="14"/>
              </w:rPr>
              <w:t> </w:t>
            </w:r>
            <w:r>
              <w:rPr>
                <w:b/>
                <w:color w:val="FFFFFF"/>
                <w:spacing w:val="-4"/>
                <w:sz w:val="14"/>
              </w:rPr>
              <w:t>Date</w:t>
            </w:r>
          </w:p>
        </w:tc>
        <w:tc>
          <w:tcPr>
            <w:tcW w:w="2345" w:type="dxa"/>
            <w:tcBorders>
              <w:left w:val="single" w:sz="6" w:space="0" w:color="6E6E6E"/>
              <w:bottom w:val="single" w:sz="6" w:space="0" w:color="6E6E6E"/>
              <w:right w:val="single" w:sz="6" w:space="0" w:color="6E6E6E"/>
            </w:tcBorders>
            <w:shd w:val="clear" w:color="auto" w:fill="1F4E79"/>
          </w:tcPr>
          <w:p>
            <w:pPr>
              <w:pStyle w:val="TableParagraph"/>
              <w:spacing w:before="86"/>
              <w:ind w:left="93"/>
              <w:rPr>
                <w:b/>
                <w:sz w:val="14"/>
              </w:rPr>
            </w:pPr>
            <w:r>
              <w:rPr>
                <w:b/>
                <w:color w:val="FFFFFF"/>
                <w:spacing w:val="-2"/>
                <w:sz w:val="14"/>
              </w:rPr>
              <w:t>Status</w:t>
            </w:r>
          </w:p>
        </w:tc>
      </w:tr>
      <w:tr>
        <w:trPr>
          <w:trHeight w:val="540" w:hRule="atLeast"/>
        </w:trPr>
        <w:tc>
          <w:tcPr>
            <w:tcW w:w="860"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4322" w:type="dxa"/>
            <w:tcBorders>
              <w:top w:val="single" w:sz="6" w:space="0" w:color="6E6E6E"/>
              <w:left w:val="single" w:sz="6" w:space="0" w:color="6E6E6E"/>
              <w:bottom w:val="single" w:sz="6" w:space="0" w:color="6E6E6E"/>
              <w:right w:val="single" w:sz="6" w:space="0" w:color="6E6E6E"/>
            </w:tcBorders>
          </w:tcPr>
          <w:p>
            <w:pPr>
              <w:pStyle w:val="TableParagraph"/>
              <w:spacing w:before="170"/>
              <w:ind w:left="92"/>
              <w:rPr>
                <w:sz w:val="17"/>
              </w:rPr>
            </w:pPr>
            <w:r>
              <w:rPr>
                <w:sz w:val="17"/>
              </w:rPr>
              <w:t>No</w:t>
            </w:r>
            <w:r>
              <w:rPr>
                <w:spacing w:val="-3"/>
                <w:sz w:val="17"/>
              </w:rPr>
              <w:t> </w:t>
            </w:r>
            <w:r>
              <w:rPr>
                <w:sz w:val="17"/>
              </w:rPr>
              <w:t>issues</w:t>
            </w:r>
            <w:r>
              <w:rPr>
                <w:spacing w:val="-4"/>
                <w:sz w:val="17"/>
              </w:rPr>
              <w:t> </w:t>
            </w:r>
            <w:r>
              <w:rPr>
                <w:sz w:val="17"/>
              </w:rPr>
              <w:t>to</w:t>
            </w:r>
            <w:r>
              <w:rPr>
                <w:spacing w:val="-2"/>
                <w:sz w:val="17"/>
              </w:rPr>
              <w:t> highlight</w:t>
            </w:r>
          </w:p>
        </w:tc>
        <w:tc>
          <w:tcPr>
            <w:tcW w:w="3601"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1875"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2160"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2345"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r>
      <w:tr>
        <w:trPr>
          <w:trHeight w:val="540" w:hRule="atLeast"/>
        </w:trPr>
        <w:tc>
          <w:tcPr>
            <w:tcW w:w="860"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4322"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3601"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1875"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2160"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c>
          <w:tcPr>
            <w:tcW w:w="2345" w:type="dxa"/>
            <w:tcBorders>
              <w:top w:val="single" w:sz="6" w:space="0" w:color="6E6E6E"/>
              <w:left w:val="single" w:sz="6" w:space="0" w:color="6E6E6E"/>
              <w:bottom w:val="single" w:sz="6" w:space="0" w:color="6E6E6E"/>
              <w:right w:val="single" w:sz="6" w:space="0" w:color="6E6E6E"/>
            </w:tcBorders>
          </w:tcPr>
          <w:p>
            <w:pPr>
              <w:pStyle w:val="TableParagraph"/>
              <w:rPr>
                <w:rFonts w:ascii="Times New Roman"/>
                <w:sz w:val="16"/>
              </w:rPr>
            </w:pPr>
          </w:p>
        </w:tc>
      </w:tr>
    </w:tbl>
    <w:p>
      <w:pPr>
        <w:pStyle w:val="BodyText"/>
        <w:spacing w:before="107"/>
        <w:rPr>
          <w:b/>
          <w:sz w:val="26"/>
        </w:rPr>
      </w:pPr>
    </w:p>
    <w:p>
      <w:pPr>
        <w:spacing w:before="0"/>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393" name="Image 393"/>
            <wp:cNvGraphicFramePr>
              <a:graphicFrameLocks/>
            </wp:cNvGraphicFramePr>
            <a:graphic>
              <a:graphicData uri="http://schemas.openxmlformats.org/drawingml/2006/picture">
                <pic:pic>
                  <pic:nvPicPr>
                    <pic:cNvPr id="393" name="Image 393"/>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394" name="Image 394"/>
            <wp:cNvGraphicFramePr>
              <a:graphicFrameLocks/>
            </wp:cNvGraphicFramePr>
            <a:graphic>
              <a:graphicData uri="http://schemas.openxmlformats.org/drawingml/2006/picture">
                <pic:pic>
                  <pic:nvPicPr>
                    <pic:cNvPr id="394" name="Image 394"/>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tbl>
      <w:tblPr>
        <w:tblW w:w="0" w:type="auto"/>
        <w:jc w:val="left"/>
        <w:tblInd w:w="279"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860"/>
        <w:gridCol w:w="4322"/>
        <w:gridCol w:w="3601"/>
        <w:gridCol w:w="1875"/>
        <w:gridCol w:w="2160"/>
        <w:gridCol w:w="2345"/>
      </w:tblGrid>
      <w:tr>
        <w:trPr>
          <w:trHeight w:val="350" w:hRule="atLeast"/>
        </w:trPr>
        <w:tc>
          <w:tcPr>
            <w:tcW w:w="860" w:type="dxa"/>
            <w:shd w:val="clear" w:color="auto" w:fill="1F4E79"/>
          </w:tcPr>
          <w:p>
            <w:pPr>
              <w:pStyle w:val="TableParagraph"/>
              <w:spacing w:before="88"/>
              <w:ind w:left="87"/>
              <w:rPr>
                <w:b/>
                <w:sz w:val="14"/>
              </w:rPr>
            </w:pPr>
            <w:r>
              <w:rPr>
                <w:b/>
                <w:color w:val="FFFFFF"/>
                <w:spacing w:val="-5"/>
                <w:sz w:val="14"/>
              </w:rPr>
              <w:t>Ref</w:t>
            </w:r>
          </w:p>
        </w:tc>
        <w:tc>
          <w:tcPr>
            <w:tcW w:w="4322" w:type="dxa"/>
            <w:shd w:val="clear" w:color="auto" w:fill="1F4E79"/>
          </w:tcPr>
          <w:p>
            <w:pPr>
              <w:pStyle w:val="TableParagraph"/>
              <w:spacing w:before="88"/>
              <w:ind w:left="92"/>
              <w:rPr>
                <w:b/>
                <w:sz w:val="14"/>
              </w:rPr>
            </w:pPr>
            <w:r>
              <w:rPr>
                <w:b/>
                <w:color w:val="FFFFFF"/>
                <w:sz w:val="14"/>
              </w:rPr>
              <w:t>Issue</w:t>
            </w:r>
            <w:r>
              <w:rPr>
                <w:b/>
                <w:color w:val="FFFFFF"/>
                <w:spacing w:val="-2"/>
                <w:sz w:val="14"/>
              </w:rPr>
              <w:t> Description</w:t>
            </w:r>
          </w:p>
        </w:tc>
        <w:tc>
          <w:tcPr>
            <w:tcW w:w="3601" w:type="dxa"/>
            <w:shd w:val="clear" w:color="auto" w:fill="1F4E79"/>
          </w:tcPr>
          <w:p>
            <w:pPr>
              <w:pStyle w:val="TableParagraph"/>
              <w:spacing w:before="88"/>
              <w:ind w:left="92"/>
              <w:rPr>
                <w:b/>
                <w:sz w:val="14"/>
              </w:rPr>
            </w:pPr>
            <w:r>
              <w:rPr>
                <w:b/>
                <w:color w:val="FFFFFF"/>
                <w:spacing w:val="-2"/>
                <w:sz w:val="14"/>
              </w:rPr>
              <w:t>Impact</w:t>
            </w:r>
          </w:p>
        </w:tc>
        <w:tc>
          <w:tcPr>
            <w:tcW w:w="1875" w:type="dxa"/>
            <w:shd w:val="clear" w:color="auto" w:fill="1F4E79"/>
          </w:tcPr>
          <w:p>
            <w:pPr>
              <w:pStyle w:val="TableParagraph"/>
              <w:spacing w:before="88"/>
              <w:ind w:left="91"/>
              <w:rPr>
                <w:b/>
                <w:sz w:val="14"/>
              </w:rPr>
            </w:pPr>
            <w:r>
              <w:rPr>
                <w:b/>
                <w:color w:val="FFFFFF"/>
                <w:sz w:val="14"/>
              </w:rPr>
              <w:t>Action</w:t>
            </w:r>
            <w:r>
              <w:rPr>
                <w:b/>
                <w:color w:val="FFFFFF"/>
                <w:spacing w:val="-5"/>
                <w:sz w:val="14"/>
              </w:rPr>
              <w:t> </w:t>
            </w:r>
            <w:r>
              <w:rPr>
                <w:b/>
                <w:color w:val="FFFFFF"/>
                <w:spacing w:val="-2"/>
                <w:sz w:val="14"/>
              </w:rPr>
              <w:t>Owner</w:t>
            </w:r>
          </w:p>
        </w:tc>
        <w:tc>
          <w:tcPr>
            <w:tcW w:w="2160" w:type="dxa"/>
            <w:shd w:val="clear" w:color="auto" w:fill="1F4E79"/>
          </w:tcPr>
          <w:p>
            <w:pPr>
              <w:pStyle w:val="TableParagraph"/>
              <w:spacing w:before="88"/>
              <w:ind w:left="92"/>
              <w:rPr>
                <w:b/>
                <w:sz w:val="14"/>
              </w:rPr>
            </w:pPr>
            <w:r>
              <w:rPr>
                <w:b/>
                <w:color w:val="FFFFFF"/>
                <w:sz w:val="14"/>
              </w:rPr>
              <w:t>Target</w:t>
            </w:r>
            <w:r>
              <w:rPr>
                <w:b/>
                <w:color w:val="FFFFFF"/>
                <w:spacing w:val="-3"/>
                <w:sz w:val="14"/>
              </w:rPr>
              <w:t> </w:t>
            </w:r>
            <w:r>
              <w:rPr>
                <w:b/>
                <w:color w:val="FFFFFF"/>
                <w:sz w:val="14"/>
              </w:rPr>
              <w:t>Resolution</w:t>
            </w:r>
            <w:r>
              <w:rPr>
                <w:b/>
                <w:color w:val="FFFFFF"/>
                <w:spacing w:val="-1"/>
                <w:sz w:val="14"/>
              </w:rPr>
              <w:t> </w:t>
            </w:r>
            <w:r>
              <w:rPr>
                <w:b/>
                <w:color w:val="FFFFFF"/>
                <w:spacing w:val="-4"/>
                <w:sz w:val="14"/>
              </w:rPr>
              <w:t>Date</w:t>
            </w:r>
          </w:p>
        </w:tc>
        <w:tc>
          <w:tcPr>
            <w:tcW w:w="2345" w:type="dxa"/>
            <w:shd w:val="clear" w:color="auto" w:fill="1F4E79"/>
          </w:tcPr>
          <w:p>
            <w:pPr>
              <w:pStyle w:val="TableParagraph"/>
              <w:spacing w:before="88"/>
              <w:ind w:left="93"/>
              <w:rPr>
                <w:b/>
                <w:sz w:val="14"/>
              </w:rPr>
            </w:pPr>
            <w:r>
              <w:rPr>
                <w:b/>
                <w:color w:val="FFFFFF"/>
                <w:spacing w:val="-2"/>
                <w:sz w:val="14"/>
              </w:rPr>
              <w:t>Status</w:t>
            </w:r>
          </w:p>
        </w:tc>
      </w:tr>
      <w:tr>
        <w:trPr>
          <w:trHeight w:val="540" w:hRule="atLeast"/>
        </w:trPr>
        <w:tc>
          <w:tcPr>
            <w:tcW w:w="860" w:type="dxa"/>
          </w:tcPr>
          <w:p>
            <w:pPr>
              <w:pStyle w:val="TableParagraph"/>
              <w:rPr>
                <w:rFonts w:ascii="Times New Roman"/>
                <w:sz w:val="16"/>
              </w:rPr>
            </w:pPr>
          </w:p>
        </w:tc>
        <w:tc>
          <w:tcPr>
            <w:tcW w:w="4322" w:type="dxa"/>
          </w:tcPr>
          <w:p>
            <w:pPr>
              <w:pStyle w:val="TableParagraph"/>
              <w:rPr>
                <w:rFonts w:ascii="Times New Roman"/>
                <w:sz w:val="16"/>
              </w:rPr>
            </w:pPr>
          </w:p>
        </w:tc>
        <w:tc>
          <w:tcPr>
            <w:tcW w:w="3601" w:type="dxa"/>
          </w:tcPr>
          <w:p>
            <w:pPr>
              <w:pStyle w:val="TableParagraph"/>
              <w:rPr>
                <w:rFonts w:ascii="Times New Roman"/>
                <w:sz w:val="16"/>
              </w:rPr>
            </w:pPr>
          </w:p>
        </w:tc>
        <w:tc>
          <w:tcPr>
            <w:tcW w:w="1875" w:type="dxa"/>
          </w:tcPr>
          <w:p>
            <w:pPr>
              <w:pStyle w:val="TableParagraph"/>
              <w:rPr>
                <w:rFonts w:ascii="Times New Roman"/>
                <w:sz w:val="16"/>
              </w:rPr>
            </w:pPr>
          </w:p>
        </w:tc>
        <w:tc>
          <w:tcPr>
            <w:tcW w:w="2160" w:type="dxa"/>
          </w:tcPr>
          <w:p>
            <w:pPr>
              <w:pStyle w:val="TableParagraph"/>
              <w:rPr>
                <w:rFonts w:ascii="Times New Roman"/>
                <w:sz w:val="16"/>
              </w:rPr>
            </w:pPr>
          </w:p>
        </w:tc>
        <w:tc>
          <w:tcPr>
            <w:tcW w:w="2345" w:type="dxa"/>
          </w:tcPr>
          <w:p>
            <w:pPr>
              <w:pStyle w:val="TableParagraph"/>
              <w:rPr>
                <w:rFonts w:ascii="Times New Roman"/>
                <w:sz w:val="16"/>
              </w:rPr>
            </w:pPr>
          </w:p>
        </w:tc>
      </w:tr>
      <w:tr>
        <w:trPr>
          <w:trHeight w:val="540" w:hRule="atLeast"/>
        </w:trPr>
        <w:tc>
          <w:tcPr>
            <w:tcW w:w="860" w:type="dxa"/>
          </w:tcPr>
          <w:p>
            <w:pPr>
              <w:pStyle w:val="TableParagraph"/>
              <w:rPr>
                <w:rFonts w:ascii="Times New Roman"/>
                <w:sz w:val="16"/>
              </w:rPr>
            </w:pPr>
          </w:p>
        </w:tc>
        <w:tc>
          <w:tcPr>
            <w:tcW w:w="4322" w:type="dxa"/>
          </w:tcPr>
          <w:p>
            <w:pPr>
              <w:pStyle w:val="TableParagraph"/>
              <w:rPr>
                <w:rFonts w:ascii="Times New Roman"/>
                <w:sz w:val="16"/>
              </w:rPr>
            </w:pPr>
          </w:p>
        </w:tc>
        <w:tc>
          <w:tcPr>
            <w:tcW w:w="3601" w:type="dxa"/>
          </w:tcPr>
          <w:p>
            <w:pPr>
              <w:pStyle w:val="TableParagraph"/>
              <w:rPr>
                <w:rFonts w:ascii="Times New Roman"/>
                <w:sz w:val="16"/>
              </w:rPr>
            </w:pPr>
          </w:p>
        </w:tc>
        <w:tc>
          <w:tcPr>
            <w:tcW w:w="1875" w:type="dxa"/>
          </w:tcPr>
          <w:p>
            <w:pPr>
              <w:pStyle w:val="TableParagraph"/>
              <w:rPr>
                <w:rFonts w:ascii="Times New Roman"/>
                <w:sz w:val="16"/>
              </w:rPr>
            </w:pPr>
          </w:p>
        </w:tc>
        <w:tc>
          <w:tcPr>
            <w:tcW w:w="2160" w:type="dxa"/>
          </w:tcPr>
          <w:p>
            <w:pPr>
              <w:pStyle w:val="TableParagraph"/>
              <w:rPr>
                <w:rFonts w:ascii="Times New Roman"/>
                <w:sz w:val="16"/>
              </w:rPr>
            </w:pPr>
          </w:p>
        </w:tc>
        <w:tc>
          <w:tcPr>
            <w:tcW w:w="2345" w:type="dxa"/>
          </w:tcPr>
          <w:p>
            <w:pPr>
              <w:pStyle w:val="TableParagraph"/>
              <w:rPr>
                <w:rFonts w:ascii="Times New Roman"/>
                <w:sz w:val="16"/>
              </w:rPr>
            </w:pPr>
          </w:p>
        </w:tc>
      </w:tr>
    </w:tbl>
    <w:p>
      <w:pPr>
        <w:pStyle w:val="Heading8"/>
        <w:spacing w:before="183"/>
        <w:ind w:left="83" w:firstLine="0"/>
      </w:pPr>
      <w:r>
        <w:rPr>
          <w:color w:val="001F5F"/>
        </w:rPr>
        <w:t>RAG</w:t>
      </w:r>
      <w:r>
        <w:rPr>
          <w:color w:val="001F5F"/>
          <w:spacing w:val="-8"/>
        </w:rPr>
        <w:t> </w:t>
      </w:r>
      <w:r>
        <w:rPr>
          <w:color w:val="001F5F"/>
        </w:rPr>
        <w:t>Definitions</w:t>
      </w:r>
      <w:r>
        <w:rPr>
          <w:color w:val="001F5F"/>
          <w:spacing w:val="-4"/>
        </w:rPr>
        <w:t> </w:t>
      </w:r>
      <w:r>
        <w:rPr>
          <w:color w:val="001F5F"/>
        </w:rPr>
        <w:t>and</w:t>
      </w:r>
      <w:r>
        <w:rPr>
          <w:color w:val="001F5F"/>
          <w:spacing w:val="-4"/>
        </w:rPr>
        <w:t> </w:t>
      </w:r>
      <w:r>
        <w:rPr>
          <w:color w:val="001F5F"/>
        </w:rPr>
        <w:t>Scoring</w:t>
      </w:r>
      <w:r>
        <w:rPr>
          <w:color w:val="001F5F"/>
          <w:spacing w:val="-4"/>
        </w:rPr>
        <w:t> </w:t>
      </w:r>
      <w:r>
        <w:rPr>
          <w:color w:val="001F5F"/>
          <w:spacing w:val="-2"/>
        </w:rPr>
        <w:t>Guidance</w:t>
      </w:r>
    </w:p>
    <w:p>
      <w:pPr>
        <w:spacing w:before="204"/>
        <w:ind w:left="83" w:right="0" w:firstLine="0"/>
        <w:jc w:val="left"/>
        <w:rPr>
          <w:b/>
          <w:sz w:val="22"/>
        </w:rPr>
      </w:pPr>
      <w:r>
        <w:rPr>
          <w:b/>
          <w:color w:val="1F4E79"/>
          <w:sz w:val="22"/>
        </w:rPr>
        <w:t>Delivery</w:t>
      </w:r>
      <w:r>
        <w:rPr>
          <w:b/>
          <w:color w:val="1F4E79"/>
          <w:spacing w:val="-4"/>
          <w:sz w:val="22"/>
        </w:rPr>
        <w:t> </w:t>
      </w:r>
      <w:r>
        <w:rPr>
          <w:b/>
          <w:color w:val="1F4E79"/>
          <w:sz w:val="22"/>
        </w:rPr>
        <w:t>RAG</w:t>
      </w:r>
      <w:r>
        <w:rPr>
          <w:b/>
          <w:color w:val="1F4E79"/>
          <w:spacing w:val="-2"/>
          <w:sz w:val="22"/>
        </w:rPr>
        <w:t> Definitions</w:t>
      </w:r>
    </w:p>
    <w:p>
      <w:pPr>
        <w:pStyle w:val="BodyText"/>
        <w:spacing w:before="3"/>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861"/>
        <w:gridCol w:w="13664"/>
      </w:tblGrid>
      <w:tr>
        <w:trPr>
          <w:trHeight w:val="370" w:hRule="atLeast"/>
        </w:trPr>
        <w:tc>
          <w:tcPr>
            <w:tcW w:w="1861" w:type="dxa"/>
            <w:shd w:val="clear" w:color="auto" w:fill="1F4E79"/>
          </w:tcPr>
          <w:p>
            <w:pPr>
              <w:pStyle w:val="TableParagraph"/>
              <w:spacing w:before="90"/>
              <w:ind w:left="87"/>
              <w:rPr>
                <w:b/>
                <w:sz w:val="16"/>
              </w:rPr>
            </w:pPr>
            <w:r>
              <w:rPr>
                <w:b/>
                <w:color w:val="FFFFFF"/>
                <w:spacing w:val="-5"/>
                <w:sz w:val="16"/>
              </w:rPr>
              <w:t>RAG</w:t>
            </w:r>
          </w:p>
        </w:tc>
        <w:tc>
          <w:tcPr>
            <w:tcW w:w="13664" w:type="dxa"/>
            <w:shd w:val="clear" w:color="auto" w:fill="1F4E79"/>
          </w:tcPr>
          <w:p>
            <w:pPr>
              <w:pStyle w:val="TableParagraph"/>
              <w:spacing w:before="90"/>
              <w:ind w:left="92"/>
              <w:rPr>
                <w:b/>
                <w:sz w:val="16"/>
              </w:rPr>
            </w:pPr>
            <w:r>
              <w:rPr>
                <w:b/>
                <w:color w:val="FFFFFF"/>
                <w:spacing w:val="-2"/>
                <w:sz w:val="16"/>
              </w:rPr>
              <w:t>Definition</w:t>
            </w:r>
          </w:p>
        </w:tc>
      </w:tr>
      <w:tr>
        <w:trPr>
          <w:trHeight w:val="375" w:hRule="atLeast"/>
        </w:trPr>
        <w:tc>
          <w:tcPr>
            <w:tcW w:w="1861" w:type="dxa"/>
            <w:shd w:val="clear" w:color="auto" w:fill="404040"/>
          </w:tcPr>
          <w:p>
            <w:pPr>
              <w:pStyle w:val="TableParagraph"/>
              <w:spacing w:before="90"/>
              <w:ind w:left="87"/>
              <w:rPr>
                <w:b/>
                <w:sz w:val="16"/>
              </w:rPr>
            </w:pPr>
            <w:r>
              <w:rPr>
                <w:b/>
                <w:color w:val="FFFFFF"/>
                <w:spacing w:val="-2"/>
                <w:sz w:val="16"/>
              </w:rPr>
              <w:t>Black</w:t>
            </w:r>
          </w:p>
        </w:tc>
        <w:tc>
          <w:tcPr>
            <w:tcW w:w="13664" w:type="dxa"/>
          </w:tcPr>
          <w:p>
            <w:pPr>
              <w:pStyle w:val="TableParagraph"/>
              <w:spacing w:before="90"/>
              <w:ind w:left="92"/>
              <w:rPr>
                <w:sz w:val="16"/>
              </w:rPr>
            </w:pPr>
            <w:r>
              <w:rPr>
                <w:sz w:val="16"/>
              </w:rPr>
              <w:t>Activity</w:t>
            </w:r>
            <w:r>
              <w:rPr>
                <w:spacing w:val="-2"/>
                <w:sz w:val="16"/>
              </w:rPr>
              <w:t> </w:t>
            </w:r>
            <w:r>
              <w:rPr>
                <w:sz w:val="16"/>
              </w:rPr>
              <w:t>has</w:t>
            </w:r>
            <w:r>
              <w:rPr>
                <w:spacing w:val="-1"/>
                <w:sz w:val="16"/>
              </w:rPr>
              <w:t> </w:t>
            </w:r>
            <w:r>
              <w:rPr>
                <w:sz w:val="16"/>
              </w:rPr>
              <w:t>yet</w:t>
            </w:r>
            <w:r>
              <w:rPr>
                <w:spacing w:val="-2"/>
                <w:sz w:val="16"/>
              </w:rPr>
              <w:t> </w:t>
            </w:r>
            <w:r>
              <w:rPr>
                <w:sz w:val="16"/>
              </w:rPr>
              <w:t>to </w:t>
            </w:r>
            <w:r>
              <w:rPr>
                <w:spacing w:val="-2"/>
                <w:sz w:val="16"/>
              </w:rPr>
              <w:t>commence.</w:t>
            </w:r>
          </w:p>
        </w:tc>
      </w:tr>
      <w:tr>
        <w:trPr>
          <w:trHeight w:val="375" w:hRule="atLeast"/>
        </w:trPr>
        <w:tc>
          <w:tcPr>
            <w:tcW w:w="1861" w:type="dxa"/>
            <w:shd w:val="clear" w:color="auto" w:fill="C00000"/>
          </w:tcPr>
          <w:p>
            <w:pPr>
              <w:pStyle w:val="TableParagraph"/>
              <w:spacing w:before="90"/>
              <w:ind w:left="87"/>
              <w:rPr>
                <w:b/>
                <w:sz w:val="16"/>
              </w:rPr>
            </w:pPr>
            <w:r>
              <w:rPr>
                <w:b/>
                <w:color w:val="FFFFFF"/>
                <w:spacing w:val="-5"/>
                <w:sz w:val="16"/>
              </w:rPr>
              <w:t>Red</w:t>
            </w:r>
          </w:p>
        </w:tc>
        <w:tc>
          <w:tcPr>
            <w:tcW w:w="13664" w:type="dxa"/>
          </w:tcPr>
          <w:p>
            <w:pPr>
              <w:pStyle w:val="TableParagraph"/>
              <w:spacing w:before="90"/>
              <w:ind w:left="92"/>
              <w:rPr>
                <w:sz w:val="16"/>
              </w:rPr>
            </w:pPr>
            <w:r>
              <w:rPr>
                <w:sz w:val="16"/>
              </w:rPr>
              <w:t>Objective/output/milestone</w:t>
            </w:r>
            <w:r>
              <w:rPr>
                <w:spacing w:val="-3"/>
                <w:sz w:val="16"/>
              </w:rPr>
              <w:t> </w:t>
            </w:r>
            <w:r>
              <w:rPr>
                <w:sz w:val="16"/>
              </w:rPr>
              <w:t>will</w:t>
            </w:r>
            <w:r>
              <w:rPr>
                <w:spacing w:val="-5"/>
                <w:sz w:val="16"/>
              </w:rPr>
              <w:t> </w:t>
            </w:r>
            <w:r>
              <w:rPr>
                <w:sz w:val="16"/>
              </w:rPr>
              <w:t>not</w:t>
            </w:r>
            <w:r>
              <w:rPr>
                <w:spacing w:val="-8"/>
                <w:sz w:val="16"/>
              </w:rPr>
              <w:t> </w:t>
            </w:r>
            <w:r>
              <w:rPr>
                <w:sz w:val="16"/>
              </w:rPr>
              <w:t>be</w:t>
            </w:r>
            <w:r>
              <w:rPr>
                <w:spacing w:val="-3"/>
                <w:sz w:val="16"/>
              </w:rPr>
              <w:t> </w:t>
            </w:r>
            <w:r>
              <w:rPr>
                <w:sz w:val="16"/>
              </w:rPr>
              <w:t>delivered</w:t>
            </w:r>
            <w:r>
              <w:rPr>
                <w:spacing w:val="-2"/>
                <w:sz w:val="16"/>
              </w:rPr>
              <w:t> </w:t>
            </w:r>
            <w:r>
              <w:rPr>
                <w:sz w:val="16"/>
              </w:rPr>
              <w:t>within</w:t>
            </w:r>
            <w:r>
              <w:rPr>
                <w:spacing w:val="-7"/>
                <w:sz w:val="16"/>
              </w:rPr>
              <w:t> </w:t>
            </w:r>
            <w:r>
              <w:rPr>
                <w:sz w:val="16"/>
              </w:rPr>
              <w:t>agreed</w:t>
            </w:r>
            <w:r>
              <w:rPr>
                <w:spacing w:val="-3"/>
                <w:sz w:val="16"/>
              </w:rPr>
              <w:t> </w:t>
            </w:r>
            <w:r>
              <w:rPr>
                <w:sz w:val="16"/>
              </w:rPr>
              <w:t>timeline.</w:t>
            </w:r>
            <w:r>
              <w:rPr>
                <w:spacing w:val="-4"/>
                <w:sz w:val="16"/>
              </w:rPr>
              <w:t> </w:t>
            </w:r>
            <w:r>
              <w:rPr>
                <w:sz w:val="16"/>
              </w:rPr>
              <w:t>Immediate</w:t>
            </w:r>
            <w:r>
              <w:rPr>
                <w:spacing w:val="-7"/>
                <w:sz w:val="16"/>
              </w:rPr>
              <w:t> </w:t>
            </w:r>
            <w:r>
              <w:rPr>
                <w:sz w:val="16"/>
              </w:rPr>
              <w:t>corrective</w:t>
            </w:r>
            <w:r>
              <w:rPr>
                <w:spacing w:val="-3"/>
                <w:sz w:val="16"/>
              </w:rPr>
              <w:t> </w:t>
            </w:r>
            <w:r>
              <w:rPr>
                <w:sz w:val="16"/>
              </w:rPr>
              <w:t>action</w:t>
            </w:r>
            <w:r>
              <w:rPr>
                <w:spacing w:val="-2"/>
                <w:sz w:val="16"/>
              </w:rPr>
              <w:t> </w:t>
            </w:r>
            <w:r>
              <w:rPr>
                <w:sz w:val="16"/>
              </w:rPr>
              <w:t>required</w:t>
            </w:r>
            <w:r>
              <w:rPr>
                <w:spacing w:val="-8"/>
                <w:sz w:val="16"/>
              </w:rPr>
              <w:t> </w:t>
            </w:r>
            <w:r>
              <w:rPr>
                <w:sz w:val="16"/>
              </w:rPr>
              <w:t>or</w:t>
            </w:r>
            <w:r>
              <w:rPr>
                <w:spacing w:val="-2"/>
                <w:sz w:val="16"/>
              </w:rPr>
              <w:t> </w:t>
            </w:r>
            <w:r>
              <w:rPr>
                <w:sz w:val="16"/>
              </w:rPr>
              <w:t>formal</w:t>
            </w:r>
            <w:r>
              <w:rPr>
                <w:spacing w:val="-5"/>
                <w:sz w:val="16"/>
              </w:rPr>
              <w:t> </w:t>
            </w:r>
            <w:r>
              <w:rPr>
                <w:sz w:val="16"/>
              </w:rPr>
              <w:t>change</w:t>
            </w:r>
            <w:r>
              <w:rPr>
                <w:spacing w:val="-7"/>
                <w:sz w:val="16"/>
              </w:rPr>
              <w:t> </w:t>
            </w:r>
            <w:r>
              <w:rPr>
                <w:sz w:val="16"/>
              </w:rPr>
              <w:t>action</w:t>
            </w:r>
            <w:r>
              <w:rPr>
                <w:spacing w:val="-3"/>
                <w:sz w:val="16"/>
              </w:rPr>
              <w:t> </w:t>
            </w:r>
            <w:r>
              <w:rPr>
                <w:sz w:val="16"/>
              </w:rPr>
              <w:t>initiated.</w:t>
            </w:r>
            <w:r>
              <w:rPr>
                <w:spacing w:val="-3"/>
                <w:sz w:val="16"/>
              </w:rPr>
              <w:t> </w:t>
            </w:r>
            <w:r>
              <w:rPr>
                <w:sz w:val="16"/>
              </w:rPr>
              <w:t>Report</w:t>
            </w:r>
            <w:r>
              <w:rPr>
                <w:spacing w:val="-4"/>
                <w:sz w:val="16"/>
              </w:rPr>
              <w:t> </w:t>
            </w:r>
            <w:r>
              <w:rPr>
                <w:sz w:val="16"/>
              </w:rPr>
              <w:t>as</w:t>
            </w:r>
            <w:r>
              <w:rPr>
                <w:spacing w:val="-4"/>
                <w:sz w:val="16"/>
              </w:rPr>
              <w:t> </w:t>
            </w:r>
            <w:r>
              <w:rPr>
                <w:sz w:val="16"/>
              </w:rPr>
              <w:t>Advise</w:t>
            </w:r>
            <w:r>
              <w:rPr>
                <w:spacing w:val="-7"/>
                <w:sz w:val="16"/>
              </w:rPr>
              <w:t> </w:t>
            </w:r>
            <w:r>
              <w:rPr>
                <w:sz w:val="16"/>
              </w:rPr>
              <w:t>or</w:t>
            </w:r>
            <w:r>
              <w:rPr>
                <w:spacing w:val="-2"/>
                <w:sz w:val="16"/>
              </w:rPr>
              <w:t> Alert.</w:t>
            </w:r>
          </w:p>
        </w:tc>
      </w:tr>
      <w:tr>
        <w:trPr>
          <w:trHeight w:val="370" w:hRule="atLeast"/>
        </w:trPr>
        <w:tc>
          <w:tcPr>
            <w:tcW w:w="1861" w:type="dxa"/>
            <w:shd w:val="clear" w:color="auto" w:fill="FFC000"/>
          </w:tcPr>
          <w:p>
            <w:pPr>
              <w:pStyle w:val="TableParagraph"/>
              <w:spacing w:before="90"/>
              <w:ind w:left="87"/>
              <w:rPr>
                <w:b/>
                <w:sz w:val="16"/>
              </w:rPr>
            </w:pPr>
            <w:r>
              <w:rPr>
                <w:b/>
                <w:spacing w:val="-4"/>
                <w:sz w:val="16"/>
              </w:rPr>
              <w:t>Amber</w:t>
            </w:r>
          </w:p>
        </w:tc>
        <w:tc>
          <w:tcPr>
            <w:tcW w:w="13664" w:type="dxa"/>
          </w:tcPr>
          <w:p>
            <w:pPr>
              <w:pStyle w:val="TableParagraph"/>
              <w:spacing w:before="90"/>
              <w:ind w:left="92"/>
              <w:rPr>
                <w:sz w:val="16"/>
              </w:rPr>
            </w:pPr>
            <w:r>
              <w:rPr>
                <w:sz w:val="16"/>
              </w:rPr>
              <w:t>Forecasting</w:t>
            </w:r>
            <w:r>
              <w:rPr>
                <w:spacing w:val="-3"/>
                <w:sz w:val="16"/>
              </w:rPr>
              <w:t> </w:t>
            </w:r>
            <w:r>
              <w:rPr>
                <w:sz w:val="16"/>
              </w:rPr>
              <w:t>that</w:t>
            </w:r>
            <w:r>
              <w:rPr>
                <w:spacing w:val="-3"/>
                <w:sz w:val="16"/>
              </w:rPr>
              <w:t> </w:t>
            </w:r>
            <w:r>
              <w:rPr>
                <w:sz w:val="16"/>
              </w:rPr>
              <w:t>there</w:t>
            </w:r>
            <w:r>
              <w:rPr>
                <w:spacing w:val="-2"/>
                <w:sz w:val="16"/>
              </w:rPr>
              <w:t> </w:t>
            </w:r>
            <w:r>
              <w:rPr>
                <w:sz w:val="16"/>
              </w:rPr>
              <w:t>is</w:t>
            </w:r>
            <w:r>
              <w:rPr>
                <w:spacing w:val="-4"/>
                <w:sz w:val="16"/>
              </w:rPr>
              <w:t> </w:t>
            </w:r>
            <w:r>
              <w:rPr>
                <w:sz w:val="16"/>
              </w:rPr>
              <w:t>a</w:t>
            </w:r>
            <w:r>
              <w:rPr>
                <w:spacing w:val="-2"/>
                <w:sz w:val="16"/>
              </w:rPr>
              <w:t> </w:t>
            </w:r>
            <w:r>
              <w:rPr>
                <w:sz w:val="16"/>
              </w:rPr>
              <w:t>significant</w:t>
            </w:r>
            <w:r>
              <w:rPr>
                <w:spacing w:val="-3"/>
                <w:sz w:val="16"/>
              </w:rPr>
              <w:t> </w:t>
            </w:r>
            <w:r>
              <w:rPr>
                <w:sz w:val="16"/>
              </w:rPr>
              <w:t>risk</w:t>
            </w:r>
            <w:r>
              <w:rPr>
                <w:spacing w:val="-4"/>
                <w:sz w:val="16"/>
              </w:rPr>
              <w:t> </w:t>
            </w:r>
            <w:r>
              <w:rPr>
                <w:sz w:val="16"/>
              </w:rPr>
              <w:t>that</w:t>
            </w:r>
            <w:r>
              <w:rPr>
                <w:spacing w:val="-3"/>
                <w:sz w:val="16"/>
              </w:rPr>
              <w:t> </w:t>
            </w:r>
            <w:r>
              <w:rPr>
                <w:sz w:val="16"/>
              </w:rPr>
              <w:t>objective/output/milestone</w:t>
            </w:r>
            <w:r>
              <w:rPr>
                <w:spacing w:val="-7"/>
                <w:sz w:val="16"/>
              </w:rPr>
              <w:t> </w:t>
            </w:r>
            <w:r>
              <w:rPr>
                <w:sz w:val="16"/>
              </w:rPr>
              <w:t>will</w:t>
            </w:r>
            <w:r>
              <w:rPr>
                <w:spacing w:val="-4"/>
                <w:sz w:val="16"/>
              </w:rPr>
              <w:t> </w:t>
            </w:r>
            <w:r>
              <w:rPr>
                <w:sz w:val="16"/>
              </w:rPr>
              <w:t>not</w:t>
            </w:r>
            <w:r>
              <w:rPr>
                <w:spacing w:val="-3"/>
                <w:sz w:val="16"/>
              </w:rPr>
              <w:t> </w:t>
            </w:r>
            <w:r>
              <w:rPr>
                <w:sz w:val="16"/>
              </w:rPr>
              <w:t>be</w:t>
            </w:r>
            <w:r>
              <w:rPr>
                <w:spacing w:val="-3"/>
                <w:sz w:val="16"/>
              </w:rPr>
              <w:t> </w:t>
            </w:r>
            <w:r>
              <w:rPr>
                <w:sz w:val="16"/>
              </w:rPr>
              <w:t>delivered.</w:t>
            </w:r>
            <w:r>
              <w:rPr>
                <w:spacing w:val="-8"/>
                <w:sz w:val="16"/>
              </w:rPr>
              <w:t> </w:t>
            </w:r>
            <w:r>
              <w:rPr>
                <w:sz w:val="16"/>
              </w:rPr>
              <w:t>Mitigating</w:t>
            </w:r>
            <w:r>
              <w:rPr>
                <w:spacing w:val="-7"/>
                <w:sz w:val="16"/>
              </w:rPr>
              <w:t> </w:t>
            </w:r>
            <w:r>
              <w:rPr>
                <w:sz w:val="16"/>
              </w:rPr>
              <w:t>action</w:t>
            </w:r>
            <w:r>
              <w:rPr>
                <w:spacing w:val="-2"/>
                <w:sz w:val="16"/>
              </w:rPr>
              <w:t> </w:t>
            </w:r>
            <w:r>
              <w:rPr>
                <w:sz w:val="16"/>
              </w:rPr>
              <w:t>is</w:t>
            </w:r>
            <w:r>
              <w:rPr>
                <w:spacing w:val="-3"/>
                <w:sz w:val="16"/>
              </w:rPr>
              <w:t> </w:t>
            </w:r>
            <w:r>
              <w:rPr>
                <w:sz w:val="16"/>
              </w:rPr>
              <w:t>being</w:t>
            </w:r>
            <w:r>
              <w:rPr>
                <w:spacing w:val="-2"/>
                <w:sz w:val="16"/>
              </w:rPr>
              <w:t> taken.</w:t>
            </w:r>
          </w:p>
        </w:tc>
      </w:tr>
      <w:tr>
        <w:trPr>
          <w:trHeight w:val="375" w:hRule="atLeast"/>
        </w:trPr>
        <w:tc>
          <w:tcPr>
            <w:tcW w:w="1861" w:type="dxa"/>
            <w:shd w:val="clear" w:color="auto" w:fill="00AF50"/>
          </w:tcPr>
          <w:p>
            <w:pPr>
              <w:pStyle w:val="TableParagraph"/>
              <w:spacing w:before="90"/>
              <w:ind w:left="87"/>
              <w:rPr>
                <w:b/>
                <w:sz w:val="16"/>
              </w:rPr>
            </w:pPr>
            <w:r>
              <w:rPr>
                <w:b/>
                <w:color w:val="FFFFFF"/>
                <w:spacing w:val="-2"/>
                <w:sz w:val="16"/>
              </w:rPr>
              <w:t>Green</w:t>
            </w:r>
          </w:p>
        </w:tc>
        <w:tc>
          <w:tcPr>
            <w:tcW w:w="13664" w:type="dxa"/>
          </w:tcPr>
          <w:p>
            <w:pPr>
              <w:pStyle w:val="TableParagraph"/>
              <w:spacing w:before="90"/>
              <w:ind w:left="92"/>
              <w:rPr>
                <w:sz w:val="16"/>
              </w:rPr>
            </w:pPr>
            <w:r>
              <w:rPr>
                <w:sz w:val="16"/>
              </w:rPr>
              <w:t>Objective/output/milestone</w:t>
            </w:r>
            <w:r>
              <w:rPr>
                <w:spacing w:val="-4"/>
                <w:sz w:val="16"/>
              </w:rPr>
              <w:t> </w:t>
            </w:r>
            <w:r>
              <w:rPr>
                <w:sz w:val="16"/>
              </w:rPr>
              <w:t>forecast</w:t>
            </w:r>
            <w:r>
              <w:rPr>
                <w:spacing w:val="-4"/>
                <w:sz w:val="16"/>
              </w:rPr>
              <w:t> </w:t>
            </w:r>
            <w:r>
              <w:rPr>
                <w:sz w:val="16"/>
              </w:rPr>
              <w:t>to</w:t>
            </w:r>
            <w:r>
              <w:rPr>
                <w:spacing w:val="-3"/>
                <w:sz w:val="16"/>
              </w:rPr>
              <w:t> </w:t>
            </w:r>
            <w:r>
              <w:rPr>
                <w:sz w:val="16"/>
              </w:rPr>
              <w:t>be</w:t>
            </w:r>
            <w:r>
              <w:rPr>
                <w:spacing w:val="-3"/>
                <w:sz w:val="16"/>
              </w:rPr>
              <w:t> </w:t>
            </w:r>
            <w:r>
              <w:rPr>
                <w:sz w:val="16"/>
              </w:rPr>
              <w:t>on</w:t>
            </w:r>
            <w:r>
              <w:rPr>
                <w:spacing w:val="-4"/>
                <w:sz w:val="16"/>
              </w:rPr>
              <w:t> </w:t>
            </w:r>
            <w:r>
              <w:rPr>
                <w:sz w:val="16"/>
              </w:rPr>
              <w:t>time</w:t>
            </w:r>
            <w:r>
              <w:rPr>
                <w:spacing w:val="-7"/>
                <w:sz w:val="16"/>
              </w:rPr>
              <w:t> </w:t>
            </w:r>
            <w:r>
              <w:rPr>
                <w:sz w:val="16"/>
              </w:rPr>
              <w:t>or</w:t>
            </w:r>
            <w:r>
              <w:rPr>
                <w:spacing w:val="-3"/>
                <w:sz w:val="16"/>
              </w:rPr>
              <w:t> </w:t>
            </w:r>
            <w:r>
              <w:rPr>
                <w:spacing w:val="-2"/>
                <w:sz w:val="16"/>
              </w:rPr>
              <w:t>early.</w:t>
            </w:r>
          </w:p>
        </w:tc>
      </w:tr>
      <w:tr>
        <w:trPr>
          <w:trHeight w:val="375" w:hRule="atLeast"/>
        </w:trPr>
        <w:tc>
          <w:tcPr>
            <w:tcW w:w="1861" w:type="dxa"/>
            <w:shd w:val="clear" w:color="auto" w:fill="006FC0"/>
          </w:tcPr>
          <w:p>
            <w:pPr>
              <w:pStyle w:val="TableParagraph"/>
              <w:spacing w:before="90"/>
              <w:ind w:left="87"/>
              <w:rPr>
                <w:b/>
                <w:sz w:val="16"/>
              </w:rPr>
            </w:pPr>
            <w:r>
              <w:rPr>
                <w:b/>
                <w:color w:val="FFFFFF"/>
                <w:spacing w:val="-4"/>
                <w:sz w:val="16"/>
              </w:rPr>
              <w:t>Blue</w:t>
            </w:r>
          </w:p>
        </w:tc>
        <w:tc>
          <w:tcPr>
            <w:tcW w:w="13664" w:type="dxa"/>
          </w:tcPr>
          <w:p>
            <w:pPr>
              <w:pStyle w:val="TableParagraph"/>
              <w:spacing w:before="90"/>
              <w:ind w:left="92"/>
              <w:rPr>
                <w:sz w:val="16"/>
              </w:rPr>
            </w:pPr>
            <w:r>
              <w:rPr>
                <w:sz w:val="16"/>
              </w:rPr>
              <w:t>Task </w:t>
            </w:r>
            <w:r>
              <w:rPr>
                <w:spacing w:val="-2"/>
                <w:sz w:val="16"/>
              </w:rPr>
              <w:t>complete.</w:t>
            </w:r>
          </w:p>
        </w:tc>
      </w:tr>
    </w:tbl>
    <w:p>
      <w:pPr>
        <w:spacing w:before="160"/>
        <w:ind w:left="83" w:right="0" w:firstLine="0"/>
        <w:jc w:val="left"/>
        <w:rPr>
          <w:b/>
          <w:sz w:val="22"/>
        </w:rPr>
      </w:pPr>
      <w:r>
        <w:rPr>
          <w:b/>
          <w:color w:val="1F4E79"/>
          <w:sz w:val="22"/>
        </w:rPr>
        <w:t>Risk</w:t>
      </w:r>
      <w:r>
        <w:rPr>
          <w:b/>
          <w:color w:val="1F4E79"/>
          <w:spacing w:val="1"/>
          <w:sz w:val="22"/>
        </w:rPr>
        <w:t> </w:t>
      </w:r>
      <w:r>
        <w:rPr>
          <w:b/>
          <w:color w:val="1F4E79"/>
          <w:sz w:val="22"/>
        </w:rPr>
        <w:t>RAG</w:t>
      </w:r>
      <w:r>
        <w:rPr>
          <w:b/>
          <w:color w:val="1F4E79"/>
          <w:spacing w:val="-3"/>
          <w:sz w:val="22"/>
        </w:rPr>
        <w:t> </w:t>
      </w:r>
      <w:r>
        <w:rPr>
          <w:b/>
          <w:color w:val="1F4E79"/>
          <w:spacing w:val="-2"/>
          <w:sz w:val="22"/>
        </w:rPr>
        <w:t>Definitions</w:t>
      </w:r>
    </w:p>
    <w:p>
      <w:pPr>
        <w:pStyle w:val="BodyText"/>
        <w:spacing w:before="3"/>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1861"/>
        <w:gridCol w:w="13664"/>
      </w:tblGrid>
      <w:tr>
        <w:trPr>
          <w:trHeight w:val="370" w:hRule="atLeast"/>
        </w:trPr>
        <w:tc>
          <w:tcPr>
            <w:tcW w:w="1861" w:type="dxa"/>
            <w:shd w:val="clear" w:color="auto" w:fill="1F4E79"/>
          </w:tcPr>
          <w:p>
            <w:pPr>
              <w:pStyle w:val="TableParagraph"/>
              <w:spacing w:before="90"/>
              <w:ind w:left="87"/>
              <w:rPr>
                <w:b/>
                <w:sz w:val="16"/>
              </w:rPr>
            </w:pPr>
            <w:r>
              <w:rPr>
                <w:b/>
                <w:color w:val="FFFFFF"/>
                <w:spacing w:val="-5"/>
                <w:sz w:val="16"/>
              </w:rPr>
              <w:t>RAG</w:t>
            </w:r>
          </w:p>
        </w:tc>
        <w:tc>
          <w:tcPr>
            <w:tcW w:w="13664" w:type="dxa"/>
            <w:shd w:val="clear" w:color="auto" w:fill="1F4E79"/>
          </w:tcPr>
          <w:p>
            <w:pPr>
              <w:pStyle w:val="TableParagraph"/>
              <w:spacing w:before="90"/>
              <w:ind w:left="92"/>
              <w:rPr>
                <w:b/>
                <w:sz w:val="16"/>
              </w:rPr>
            </w:pPr>
            <w:r>
              <w:rPr>
                <w:b/>
                <w:color w:val="FFFFFF"/>
                <w:spacing w:val="-2"/>
                <w:sz w:val="16"/>
              </w:rPr>
              <w:t>Definition</w:t>
            </w:r>
          </w:p>
        </w:tc>
      </w:tr>
      <w:tr>
        <w:trPr>
          <w:trHeight w:val="372" w:hRule="atLeast"/>
        </w:trPr>
        <w:tc>
          <w:tcPr>
            <w:tcW w:w="1861" w:type="dxa"/>
            <w:tcBorders>
              <w:bottom w:val="single" w:sz="8" w:space="0" w:color="6E6E6E"/>
            </w:tcBorders>
            <w:shd w:val="clear" w:color="auto" w:fill="C00000"/>
          </w:tcPr>
          <w:p>
            <w:pPr>
              <w:pStyle w:val="TableParagraph"/>
              <w:spacing w:before="90"/>
              <w:ind w:left="87"/>
              <w:rPr>
                <w:b/>
                <w:sz w:val="16"/>
              </w:rPr>
            </w:pPr>
            <w:r>
              <w:rPr>
                <w:b/>
                <w:color w:val="FFFFFF"/>
                <w:spacing w:val="-5"/>
                <w:sz w:val="16"/>
              </w:rPr>
              <w:t>Red</w:t>
            </w:r>
          </w:p>
        </w:tc>
        <w:tc>
          <w:tcPr>
            <w:tcW w:w="13664" w:type="dxa"/>
            <w:tcBorders>
              <w:bottom w:val="single" w:sz="8" w:space="0" w:color="6E6E6E"/>
            </w:tcBorders>
          </w:tcPr>
          <w:p>
            <w:pPr>
              <w:pStyle w:val="TableParagraph"/>
              <w:spacing w:before="90"/>
              <w:ind w:left="92"/>
              <w:rPr>
                <w:sz w:val="16"/>
              </w:rPr>
            </w:pPr>
            <w:r>
              <w:rPr>
                <w:sz w:val="16"/>
              </w:rPr>
              <w:t>High</w:t>
            </w:r>
            <w:r>
              <w:rPr>
                <w:spacing w:val="-3"/>
                <w:sz w:val="16"/>
              </w:rPr>
              <w:t> </w:t>
            </w:r>
            <w:r>
              <w:rPr>
                <w:sz w:val="16"/>
              </w:rPr>
              <w:t>likelihood</w:t>
            </w:r>
            <w:r>
              <w:rPr>
                <w:spacing w:val="-2"/>
                <w:sz w:val="16"/>
              </w:rPr>
              <w:t> </w:t>
            </w:r>
            <w:r>
              <w:rPr>
                <w:sz w:val="16"/>
              </w:rPr>
              <w:t>and/or</w:t>
            </w:r>
            <w:r>
              <w:rPr>
                <w:spacing w:val="-6"/>
                <w:sz w:val="16"/>
              </w:rPr>
              <w:t> </w:t>
            </w:r>
            <w:r>
              <w:rPr>
                <w:sz w:val="16"/>
              </w:rPr>
              <w:t>high</w:t>
            </w:r>
            <w:r>
              <w:rPr>
                <w:spacing w:val="-2"/>
                <w:sz w:val="16"/>
              </w:rPr>
              <w:t> </w:t>
            </w:r>
            <w:r>
              <w:rPr>
                <w:sz w:val="16"/>
              </w:rPr>
              <w:t>impact</w:t>
            </w:r>
            <w:r>
              <w:rPr>
                <w:spacing w:val="-3"/>
                <w:sz w:val="16"/>
              </w:rPr>
              <w:t> </w:t>
            </w:r>
            <w:r>
              <w:rPr>
                <w:sz w:val="16"/>
              </w:rPr>
              <w:t>risk</w:t>
            </w:r>
            <w:r>
              <w:rPr>
                <w:spacing w:val="-8"/>
                <w:sz w:val="16"/>
              </w:rPr>
              <w:t> </w:t>
            </w:r>
            <w:r>
              <w:rPr>
                <w:sz w:val="16"/>
              </w:rPr>
              <w:t>requiring</w:t>
            </w:r>
            <w:r>
              <w:rPr>
                <w:spacing w:val="-3"/>
                <w:sz w:val="16"/>
              </w:rPr>
              <w:t> </w:t>
            </w:r>
            <w:r>
              <w:rPr>
                <w:sz w:val="16"/>
              </w:rPr>
              <w:t>active</w:t>
            </w:r>
            <w:r>
              <w:rPr>
                <w:spacing w:val="-6"/>
                <w:sz w:val="16"/>
              </w:rPr>
              <w:t> </w:t>
            </w:r>
            <w:r>
              <w:rPr>
                <w:spacing w:val="-2"/>
                <w:sz w:val="16"/>
              </w:rPr>
              <w:t>management.</w:t>
            </w:r>
          </w:p>
        </w:tc>
      </w:tr>
      <w:tr>
        <w:trPr>
          <w:trHeight w:val="372" w:hRule="atLeast"/>
        </w:trPr>
        <w:tc>
          <w:tcPr>
            <w:tcW w:w="1861" w:type="dxa"/>
            <w:tcBorders>
              <w:top w:val="single" w:sz="8" w:space="0" w:color="6E6E6E"/>
            </w:tcBorders>
            <w:shd w:val="clear" w:color="auto" w:fill="FFC000"/>
          </w:tcPr>
          <w:p>
            <w:pPr>
              <w:pStyle w:val="TableParagraph"/>
              <w:spacing w:before="87"/>
              <w:ind w:left="87"/>
              <w:rPr>
                <w:b/>
                <w:sz w:val="16"/>
              </w:rPr>
            </w:pPr>
            <w:r>
              <w:rPr>
                <w:b/>
                <w:spacing w:val="-4"/>
                <w:sz w:val="16"/>
              </w:rPr>
              <w:t>Amber</w:t>
            </w:r>
          </w:p>
        </w:tc>
        <w:tc>
          <w:tcPr>
            <w:tcW w:w="13664" w:type="dxa"/>
            <w:tcBorders>
              <w:top w:val="single" w:sz="8" w:space="0" w:color="6E6E6E"/>
            </w:tcBorders>
          </w:tcPr>
          <w:p>
            <w:pPr>
              <w:pStyle w:val="TableParagraph"/>
              <w:spacing w:before="87"/>
              <w:ind w:left="92"/>
              <w:rPr>
                <w:sz w:val="16"/>
              </w:rPr>
            </w:pPr>
            <w:r>
              <w:rPr>
                <w:sz w:val="16"/>
              </w:rPr>
              <w:t>Moderate</w:t>
            </w:r>
            <w:r>
              <w:rPr>
                <w:spacing w:val="-2"/>
                <w:sz w:val="16"/>
              </w:rPr>
              <w:t> </w:t>
            </w:r>
            <w:r>
              <w:rPr>
                <w:sz w:val="16"/>
              </w:rPr>
              <w:t>risk</w:t>
            </w:r>
            <w:r>
              <w:rPr>
                <w:spacing w:val="-8"/>
                <w:sz w:val="16"/>
              </w:rPr>
              <w:t> </w:t>
            </w:r>
            <w:r>
              <w:rPr>
                <w:sz w:val="16"/>
              </w:rPr>
              <w:t>requiring</w:t>
            </w:r>
            <w:r>
              <w:rPr>
                <w:spacing w:val="-2"/>
                <w:sz w:val="16"/>
              </w:rPr>
              <w:t> </w:t>
            </w:r>
            <w:r>
              <w:rPr>
                <w:sz w:val="16"/>
              </w:rPr>
              <w:t>monitoring</w:t>
            </w:r>
            <w:r>
              <w:rPr>
                <w:spacing w:val="-6"/>
                <w:sz w:val="16"/>
              </w:rPr>
              <w:t> </w:t>
            </w:r>
            <w:r>
              <w:rPr>
                <w:sz w:val="16"/>
              </w:rPr>
              <w:t>and</w:t>
            </w:r>
            <w:r>
              <w:rPr>
                <w:spacing w:val="-6"/>
                <w:sz w:val="16"/>
              </w:rPr>
              <w:t> </w:t>
            </w:r>
            <w:r>
              <w:rPr>
                <w:spacing w:val="-2"/>
                <w:sz w:val="16"/>
              </w:rPr>
              <w:t>mitigation.</w:t>
            </w:r>
          </w:p>
        </w:tc>
      </w:tr>
      <w:tr>
        <w:trPr>
          <w:trHeight w:val="370" w:hRule="atLeast"/>
        </w:trPr>
        <w:tc>
          <w:tcPr>
            <w:tcW w:w="1861" w:type="dxa"/>
            <w:shd w:val="clear" w:color="auto" w:fill="00AF50"/>
          </w:tcPr>
          <w:p>
            <w:pPr>
              <w:pStyle w:val="TableParagraph"/>
              <w:spacing w:before="89"/>
              <w:ind w:left="87"/>
              <w:rPr>
                <w:b/>
                <w:sz w:val="16"/>
              </w:rPr>
            </w:pPr>
            <w:r>
              <w:rPr>
                <w:b/>
                <w:color w:val="FFFFFF"/>
                <w:spacing w:val="-2"/>
                <w:sz w:val="16"/>
              </w:rPr>
              <w:t>Green</w:t>
            </w:r>
          </w:p>
        </w:tc>
        <w:tc>
          <w:tcPr>
            <w:tcW w:w="13664" w:type="dxa"/>
          </w:tcPr>
          <w:p>
            <w:pPr>
              <w:pStyle w:val="TableParagraph"/>
              <w:spacing w:before="89"/>
              <w:ind w:left="92"/>
              <w:rPr>
                <w:sz w:val="16"/>
              </w:rPr>
            </w:pPr>
            <w:r>
              <w:rPr>
                <w:sz w:val="16"/>
              </w:rPr>
              <w:t>Low</w:t>
            </w:r>
            <w:r>
              <w:rPr>
                <w:spacing w:val="-3"/>
                <w:sz w:val="16"/>
              </w:rPr>
              <w:t> </w:t>
            </w:r>
            <w:r>
              <w:rPr>
                <w:sz w:val="16"/>
              </w:rPr>
              <w:t>risk</w:t>
            </w:r>
            <w:r>
              <w:rPr>
                <w:spacing w:val="-2"/>
                <w:sz w:val="16"/>
              </w:rPr>
              <w:t> </w:t>
            </w:r>
            <w:r>
              <w:rPr>
                <w:sz w:val="16"/>
              </w:rPr>
              <w:t>with</w:t>
            </w:r>
            <w:r>
              <w:rPr>
                <w:spacing w:val="-1"/>
                <w:sz w:val="16"/>
              </w:rPr>
              <w:t> </w:t>
            </w:r>
            <w:r>
              <w:rPr>
                <w:sz w:val="16"/>
              </w:rPr>
              <w:t>routine</w:t>
            </w:r>
            <w:r>
              <w:rPr>
                <w:spacing w:val="-5"/>
                <w:sz w:val="16"/>
              </w:rPr>
              <w:t> </w:t>
            </w:r>
            <w:r>
              <w:rPr>
                <w:spacing w:val="-2"/>
                <w:sz w:val="16"/>
              </w:rPr>
              <w:t>monitoring.</w:t>
            </w:r>
          </w:p>
        </w:tc>
      </w:tr>
    </w:tbl>
    <w:p>
      <w:pPr>
        <w:spacing w:before="160"/>
        <w:ind w:left="83" w:right="0" w:firstLine="0"/>
        <w:jc w:val="left"/>
        <w:rPr>
          <w:b/>
          <w:sz w:val="22"/>
        </w:rPr>
      </w:pPr>
      <w:r>
        <w:rPr>
          <w:b/>
          <w:color w:val="1F4E79"/>
          <w:sz w:val="22"/>
        </w:rPr>
        <w:t>Risk</w:t>
      </w:r>
      <w:r>
        <w:rPr>
          <w:b/>
          <w:color w:val="1F4E79"/>
          <w:spacing w:val="-1"/>
          <w:sz w:val="22"/>
        </w:rPr>
        <w:t> </w:t>
      </w:r>
      <w:r>
        <w:rPr>
          <w:b/>
          <w:color w:val="1F4E79"/>
          <w:sz w:val="22"/>
        </w:rPr>
        <w:t>Scoring</w:t>
      </w:r>
      <w:r>
        <w:rPr>
          <w:b/>
          <w:color w:val="1F4E79"/>
          <w:spacing w:val="-1"/>
          <w:sz w:val="22"/>
        </w:rPr>
        <w:t> </w:t>
      </w:r>
      <w:r>
        <w:rPr>
          <w:b/>
          <w:color w:val="1F4E79"/>
          <w:spacing w:val="-2"/>
          <w:sz w:val="22"/>
        </w:rPr>
        <w:t>Matrix</w:t>
      </w:r>
    </w:p>
    <w:p>
      <w:pPr>
        <w:pStyle w:val="BodyText"/>
        <w:spacing w:before="4"/>
        <w:rPr>
          <w:b/>
          <w:sz w:val="10"/>
        </w:rPr>
      </w:pP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2586"/>
        <w:gridCol w:w="2586"/>
        <w:gridCol w:w="2591"/>
        <w:gridCol w:w="2585"/>
        <w:gridCol w:w="2591"/>
        <w:gridCol w:w="2586"/>
      </w:tblGrid>
      <w:tr>
        <w:trPr>
          <w:trHeight w:val="365" w:hRule="atLeast"/>
        </w:trPr>
        <w:tc>
          <w:tcPr>
            <w:tcW w:w="2586" w:type="dxa"/>
            <w:shd w:val="clear" w:color="auto" w:fill="1F4E79"/>
          </w:tcPr>
          <w:p>
            <w:pPr>
              <w:pStyle w:val="TableParagraph"/>
              <w:spacing w:before="89"/>
              <w:ind w:left="87"/>
              <w:rPr>
                <w:b/>
                <w:sz w:val="15"/>
              </w:rPr>
            </w:pPr>
            <w:r>
              <w:rPr>
                <w:b/>
                <w:color w:val="FFFFFF"/>
                <w:sz w:val="15"/>
              </w:rPr>
              <w:t>Likelihood</w:t>
            </w:r>
            <w:r>
              <w:rPr>
                <w:b/>
                <w:color w:val="FFFFFF"/>
                <w:spacing w:val="-3"/>
                <w:sz w:val="15"/>
              </w:rPr>
              <w:t> </w:t>
            </w:r>
            <w:r>
              <w:rPr>
                <w:b/>
                <w:color w:val="FFFFFF"/>
                <w:sz w:val="15"/>
              </w:rPr>
              <w:t>/</w:t>
            </w:r>
            <w:r>
              <w:rPr>
                <w:b/>
                <w:color w:val="FFFFFF"/>
                <w:spacing w:val="-7"/>
                <w:sz w:val="15"/>
              </w:rPr>
              <w:t> </w:t>
            </w:r>
            <w:r>
              <w:rPr>
                <w:b/>
                <w:color w:val="FFFFFF"/>
                <w:spacing w:val="-2"/>
                <w:sz w:val="15"/>
              </w:rPr>
              <w:t>Impact</w:t>
            </w:r>
          </w:p>
        </w:tc>
        <w:tc>
          <w:tcPr>
            <w:tcW w:w="2586" w:type="dxa"/>
            <w:shd w:val="clear" w:color="auto" w:fill="1F4E79"/>
          </w:tcPr>
          <w:p>
            <w:pPr>
              <w:pStyle w:val="TableParagraph"/>
              <w:spacing w:before="89"/>
              <w:ind w:left="92"/>
              <w:rPr>
                <w:b/>
                <w:sz w:val="15"/>
              </w:rPr>
            </w:pPr>
            <w:r>
              <w:rPr>
                <w:b/>
                <w:color w:val="FFFFFF"/>
                <w:spacing w:val="-10"/>
                <w:sz w:val="15"/>
              </w:rPr>
              <w:t>1</w:t>
            </w:r>
          </w:p>
        </w:tc>
        <w:tc>
          <w:tcPr>
            <w:tcW w:w="2591" w:type="dxa"/>
            <w:shd w:val="clear" w:color="auto" w:fill="1F4E79"/>
          </w:tcPr>
          <w:p>
            <w:pPr>
              <w:pStyle w:val="TableParagraph"/>
              <w:spacing w:before="89"/>
              <w:ind w:left="92"/>
              <w:rPr>
                <w:b/>
                <w:sz w:val="15"/>
              </w:rPr>
            </w:pPr>
            <w:r>
              <w:rPr>
                <w:b/>
                <w:color w:val="FFFFFF"/>
                <w:spacing w:val="-10"/>
                <w:sz w:val="15"/>
              </w:rPr>
              <w:t>2</w:t>
            </w:r>
          </w:p>
        </w:tc>
        <w:tc>
          <w:tcPr>
            <w:tcW w:w="2585" w:type="dxa"/>
            <w:shd w:val="clear" w:color="auto" w:fill="1F4E79"/>
          </w:tcPr>
          <w:p>
            <w:pPr>
              <w:pStyle w:val="TableParagraph"/>
              <w:spacing w:before="89"/>
              <w:ind w:left="87"/>
              <w:rPr>
                <w:b/>
                <w:sz w:val="15"/>
              </w:rPr>
            </w:pPr>
            <w:r>
              <w:rPr>
                <w:b/>
                <w:color w:val="FFFFFF"/>
                <w:spacing w:val="-10"/>
                <w:sz w:val="15"/>
              </w:rPr>
              <w:t>3</w:t>
            </w:r>
          </w:p>
        </w:tc>
        <w:tc>
          <w:tcPr>
            <w:tcW w:w="2591" w:type="dxa"/>
            <w:shd w:val="clear" w:color="auto" w:fill="1F4E79"/>
          </w:tcPr>
          <w:p>
            <w:pPr>
              <w:pStyle w:val="TableParagraph"/>
              <w:spacing w:before="89"/>
              <w:ind w:left="92"/>
              <w:rPr>
                <w:b/>
                <w:sz w:val="15"/>
              </w:rPr>
            </w:pPr>
            <w:r>
              <w:rPr>
                <w:b/>
                <w:color w:val="FFFFFF"/>
                <w:spacing w:val="-10"/>
                <w:sz w:val="15"/>
              </w:rPr>
              <w:t>4</w:t>
            </w:r>
          </w:p>
        </w:tc>
        <w:tc>
          <w:tcPr>
            <w:tcW w:w="2586" w:type="dxa"/>
            <w:shd w:val="clear" w:color="auto" w:fill="1F4E79"/>
          </w:tcPr>
          <w:p>
            <w:pPr>
              <w:pStyle w:val="TableParagraph"/>
              <w:spacing w:before="89"/>
              <w:ind w:left="87"/>
              <w:rPr>
                <w:b/>
                <w:sz w:val="15"/>
              </w:rPr>
            </w:pPr>
            <w:r>
              <w:rPr>
                <w:b/>
                <w:color w:val="FFFFFF"/>
                <w:spacing w:val="-10"/>
                <w:sz w:val="15"/>
              </w:rPr>
              <w:t>5</w:t>
            </w:r>
          </w:p>
        </w:tc>
      </w:tr>
      <w:tr>
        <w:trPr>
          <w:trHeight w:val="360" w:hRule="atLeast"/>
        </w:trPr>
        <w:tc>
          <w:tcPr>
            <w:tcW w:w="2586" w:type="dxa"/>
            <w:shd w:val="clear" w:color="auto" w:fill="D9EAF7"/>
          </w:tcPr>
          <w:p>
            <w:pPr>
              <w:pStyle w:val="TableParagraph"/>
              <w:spacing w:before="89"/>
              <w:ind w:left="87"/>
              <w:rPr>
                <w:b/>
                <w:sz w:val="15"/>
              </w:rPr>
            </w:pPr>
            <w:r>
              <w:rPr>
                <w:b/>
                <w:sz w:val="15"/>
              </w:rPr>
              <w:t>Almost</w:t>
            </w:r>
            <w:r>
              <w:rPr>
                <w:b/>
                <w:spacing w:val="-2"/>
                <w:sz w:val="15"/>
              </w:rPr>
              <w:t> </w:t>
            </w:r>
            <w:r>
              <w:rPr>
                <w:b/>
                <w:sz w:val="15"/>
              </w:rPr>
              <w:t>Certain</w:t>
            </w:r>
            <w:r>
              <w:rPr>
                <w:b/>
                <w:spacing w:val="-4"/>
                <w:sz w:val="15"/>
              </w:rPr>
              <w:t> </w:t>
            </w:r>
            <w:r>
              <w:rPr>
                <w:b/>
                <w:spacing w:val="-5"/>
                <w:sz w:val="15"/>
              </w:rPr>
              <w:t>(5)</w:t>
            </w:r>
          </w:p>
        </w:tc>
        <w:tc>
          <w:tcPr>
            <w:tcW w:w="2586" w:type="dxa"/>
          </w:tcPr>
          <w:p>
            <w:pPr>
              <w:pStyle w:val="TableParagraph"/>
              <w:spacing w:before="89"/>
              <w:ind w:left="92"/>
              <w:rPr>
                <w:sz w:val="15"/>
              </w:rPr>
            </w:pPr>
            <w:r>
              <w:rPr>
                <w:spacing w:val="-10"/>
                <w:sz w:val="15"/>
              </w:rPr>
              <w:t>5</w:t>
            </w:r>
          </w:p>
        </w:tc>
        <w:tc>
          <w:tcPr>
            <w:tcW w:w="2591" w:type="dxa"/>
          </w:tcPr>
          <w:p>
            <w:pPr>
              <w:pStyle w:val="TableParagraph"/>
              <w:spacing w:before="89"/>
              <w:ind w:left="92"/>
              <w:rPr>
                <w:sz w:val="15"/>
              </w:rPr>
            </w:pPr>
            <w:r>
              <w:rPr>
                <w:spacing w:val="-5"/>
                <w:sz w:val="15"/>
              </w:rPr>
              <w:t>10</w:t>
            </w:r>
          </w:p>
        </w:tc>
        <w:tc>
          <w:tcPr>
            <w:tcW w:w="2585" w:type="dxa"/>
          </w:tcPr>
          <w:p>
            <w:pPr>
              <w:pStyle w:val="TableParagraph"/>
              <w:spacing w:before="89"/>
              <w:ind w:left="87"/>
              <w:rPr>
                <w:sz w:val="15"/>
              </w:rPr>
            </w:pPr>
            <w:r>
              <w:rPr>
                <w:spacing w:val="-5"/>
                <w:sz w:val="15"/>
              </w:rPr>
              <w:t>15</w:t>
            </w:r>
          </w:p>
        </w:tc>
        <w:tc>
          <w:tcPr>
            <w:tcW w:w="2591" w:type="dxa"/>
          </w:tcPr>
          <w:p>
            <w:pPr>
              <w:pStyle w:val="TableParagraph"/>
              <w:spacing w:before="89"/>
              <w:ind w:left="92"/>
              <w:rPr>
                <w:sz w:val="15"/>
              </w:rPr>
            </w:pPr>
            <w:r>
              <w:rPr>
                <w:spacing w:val="-5"/>
                <w:sz w:val="15"/>
              </w:rPr>
              <w:t>20</w:t>
            </w:r>
          </w:p>
        </w:tc>
        <w:tc>
          <w:tcPr>
            <w:tcW w:w="2586" w:type="dxa"/>
          </w:tcPr>
          <w:p>
            <w:pPr>
              <w:pStyle w:val="TableParagraph"/>
              <w:spacing w:before="89"/>
              <w:ind w:left="87"/>
              <w:rPr>
                <w:sz w:val="15"/>
              </w:rPr>
            </w:pPr>
            <w:r>
              <w:rPr>
                <w:spacing w:val="-5"/>
                <w:sz w:val="15"/>
              </w:rPr>
              <w:t>25</w:t>
            </w:r>
          </w:p>
        </w:tc>
      </w:tr>
      <w:tr>
        <w:trPr>
          <w:trHeight w:val="360" w:hRule="atLeast"/>
        </w:trPr>
        <w:tc>
          <w:tcPr>
            <w:tcW w:w="2586" w:type="dxa"/>
            <w:shd w:val="clear" w:color="auto" w:fill="D9EAF7"/>
          </w:tcPr>
          <w:p>
            <w:pPr>
              <w:pStyle w:val="TableParagraph"/>
              <w:spacing w:before="89"/>
              <w:ind w:left="87"/>
              <w:rPr>
                <w:b/>
                <w:sz w:val="15"/>
              </w:rPr>
            </w:pPr>
            <w:r>
              <w:rPr>
                <w:b/>
                <w:sz w:val="15"/>
              </w:rPr>
              <w:t>Likely</w:t>
            </w:r>
            <w:r>
              <w:rPr>
                <w:b/>
                <w:spacing w:val="-10"/>
                <w:sz w:val="15"/>
              </w:rPr>
              <w:t> </w:t>
            </w:r>
            <w:r>
              <w:rPr>
                <w:b/>
                <w:spacing w:val="-5"/>
                <w:sz w:val="15"/>
              </w:rPr>
              <w:t>(4)</w:t>
            </w:r>
          </w:p>
        </w:tc>
        <w:tc>
          <w:tcPr>
            <w:tcW w:w="2586" w:type="dxa"/>
          </w:tcPr>
          <w:p>
            <w:pPr>
              <w:pStyle w:val="TableParagraph"/>
              <w:spacing w:before="89"/>
              <w:ind w:left="92"/>
              <w:rPr>
                <w:sz w:val="15"/>
              </w:rPr>
            </w:pPr>
            <w:r>
              <w:rPr>
                <w:spacing w:val="-10"/>
                <w:sz w:val="15"/>
              </w:rPr>
              <w:t>4</w:t>
            </w:r>
          </w:p>
        </w:tc>
        <w:tc>
          <w:tcPr>
            <w:tcW w:w="2591" w:type="dxa"/>
          </w:tcPr>
          <w:p>
            <w:pPr>
              <w:pStyle w:val="TableParagraph"/>
              <w:spacing w:before="89"/>
              <w:ind w:left="92"/>
              <w:rPr>
                <w:sz w:val="15"/>
              </w:rPr>
            </w:pPr>
            <w:r>
              <w:rPr>
                <w:spacing w:val="-10"/>
                <w:sz w:val="15"/>
              </w:rPr>
              <w:t>8</w:t>
            </w:r>
          </w:p>
        </w:tc>
        <w:tc>
          <w:tcPr>
            <w:tcW w:w="2585" w:type="dxa"/>
          </w:tcPr>
          <w:p>
            <w:pPr>
              <w:pStyle w:val="TableParagraph"/>
              <w:spacing w:before="89"/>
              <w:ind w:left="87"/>
              <w:rPr>
                <w:sz w:val="15"/>
              </w:rPr>
            </w:pPr>
            <w:r>
              <w:rPr>
                <w:spacing w:val="-5"/>
                <w:sz w:val="15"/>
              </w:rPr>
              <w:t>12</w:t>
            </w:r>
          </w:p>
        </w:tc>
        <w:tc>
          <w:tcPr>
            <w:tcW w:w="2591" w:type="dxa"/>
          </w:tcPr>
          <w:p>
            <w:pPr>
              <w:pStyle w:val="TableParagraph"/>
              <w:spacing w:before="89"/>
              <w:ind w:left="92"/>
              <w:rPr>
                <w:sz w:val="15"/>
              </w:rPr>
            </w:pPr>
            <w:r>
              <w:rPr>
                <w:spacing w:val="-5"/>
                <w:sz w:val="15"/>
              </w:rPr>
              <w:t>16</w:t>
            </w:r>
          </w:p>
        </w:tc>
        <w:tc>
          <w:tcPr>
            <w:tcW w:w="2586" w:type="dxa"/>
          </w:tcPr>
          <w:p>
            <w:pPr>
              <w:pStyle w:val="TableParagraph"/>
              <w:spacing w:before="89"/>
              <w:ind w:left="87"/>
              <w:rPr>
                <w:sz w:val="15"/>
              </w:rPr>
            </w:pPr>
            <w:r>
              <w:rPr>
                <w:spacing w:val="-5"/>
                <w:sz w:val="15"/>
              </w:rPr>
              <w:t>20</w:t>
            </w:r>
          </w:p>
        </w:tc>
      </w:tr>
      <w:tr>
        <w:trPr>
          <w:trHeight w:val="360" w:hRule="atLeast"/>
        </w:trPr>
        <w:tc>
          <w:tcPr>
            <w:tcW w:w="2586" w:type="dxa"/>
            <w:shd w:val="clear" w:color="auto" w:fill="D9EAF7"/>
          </w:tcPr>
          <w:p>
            <w:pPr>
              <w:pStyle w:val="TableParagraph"/>
              <w:spacing w:before="89"/>
              <w:ind w:left="87"/>
              <w:rPr>
                <w:b/>
                <w:sz w:val="15"/>
              </w:rPr>
            </w:pPr>
            <w:r>
              <w:rPr>
                <w:b/>
                <w:sz w:val="15"/>
              </w:rPr>
              <w:t>Possible</w:t>
            </w:r>
            <w:r>
              <w:rPr>
                <w:b/>
                <w:spacing w:val="-7"/>
                <w:sz w:val="15"/>
              </w:rPr>
              <w:t> </w:t>
            </w:r>
            <w:r>
              <w:rPr>
                <w:b/>
                <w:spacing w:val="-5"/>
                <w:sz w:val="15"/>
              </w:rPr>
              <w:t>(3)</w:t>
            </w:r>
          </w:p>
        </w:tc>
        <w:tc>
          <w:tcPr>
            <w:tcW w:w="2586" w:type="dxa"/>
          </w:tcPr>
          <w:p>
            <w:pPr>
              <w:pStyle w:val="TableParagraph"/>
              <w:spacing w:before="89"/>
              <w:ind w:left="92"/>
              <w:rPr>
                <w:sz w:val="15"/>
              </w:rPr>
            </w:pPr>
            <w:r>
              <w:rPr>
                <w:spacing w:val="-10"/>
                <w:sz w:val="15"/>
              </w:rPr>
              <w:t>3</w:t>
            </w:r>
          </w:p>
        </w:tc>
        <w:tc>
          <w:tcPr>
            <w:tcW w:w="2591" w:type="dxa"/>
          </w:tcPr>
          <w:p>
            <w:pPr>
              <w:pStyle w:val="TableParagraph"/>
              <w:spacing w:before="89"/>
              <w:ind w:left="92"/>
              <w:rPr>
                <w:sz w:val="15"/>
              </w:rPr>
            </w:pPr>
            <w:r>
              <w:rPr>
                <w:spacing w:val="-10"/>
                <w:sz w:val="15"/>
              </w:rPr>
              <w:t>6</w:t>
            </w:r>
          </w:p>
        </w:tc>
        <w:tc>
          <w:tcPr>
            <w:tcW w:w="2585" w:type="dxa"/>
          </w:tcPr>
          <w:p>
            <w:pPr>
              <w:pStyle w:val="TableParagraph"/>
              <w:spacing w:before="89"/>
              <w:ind w:left="87"/>
              <w:rPr>
                <w:sz w:val="15"/>
              </w:rPr>
            </w:pPr>
            <w:r>
              <w:rPr>
                <w:spacing w:val="-10"/>
                <w:sz w:val="15"/>
              </w:rPr>
              <w:t>9</w:t>
            </w:r>
          </w:p>
        </w:tc>
        <w:tc>
          <w:tcPr>
            <w:tcW w:w="2591" w:type="dxa"/>
          </w:tcPr>
          <w:p>
            <w:pPr>
              <w:pStyle w:val="TableParagraph"/>
              <w:spacing w:before="89"/>
              <w:ind w:left="92"/>
              <w:rPr>
                <w:sz w:val="15"/>
              </w:rPr>
            </w:pPr>
            <w:r>
              <w:rPr>
                <w:spacing w:val="-5"/>
                <w:sz w:val="15"/>
              </w:rPr>
              <w:t>12</w:t>
            </w:r>
          </w:p>
        </w:tc>
        <w:tc>
          <w:tcPr>
            <w:tcW w:w="2586" w:type="dxa"/>
          </w:tcPr>
          <w:p>
            <w:pPr>
              <w:pStyle w:val="TableParagraph"/>
              <w:spacing w:before="89"/>
              <w:ind w:left="87"/>
              <w:rPr>
                <w:sz w:val="15"/>
              </w:rPr>
            </w:pPr>
            <w:r>
              <w:rPr>
                <w:spacing w:val="-5"/>
                <w:sz w:val="15"/>
              </w:rPr>
              <w:t>15</w:t>
            </w:r>
          </w:p>
        </w:tc>
      </w:tr>
    </w:tbl>
    <w:p>
      <w:pPr>
        <w:spacing w:before="238"/>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tabs>
          <w:tab w:pos="10882" w:val="left" w:leader="none"/>
        </w:tabs>
        <w:spacing w:line="240" w:lineRule="auto"/>
        <w:ind w:left="1026" w:right="0" w:firstLine="0"/>
        <w:rPr>
          <w:position w:val="1"/>
          <w:sz w:val="20"/>
        </w:rPr>
      </w:pPr>
      <w:r>
        <w:rPr>
          <w:sz w:val="20"/>
        </w:rPr>
        <w:drawing>
          <wp:inline distT="0" distB="0" distL="0" distR="0">
            <wp:extent cx="1805958" cy="449579"/>
            <wp:effectExtent l="0" t="0" r="0" b="0"/>
            <wp:docPr id="395" name="Image 395"/>
            <wp:cNvGraphicFramePr>
              <a:graphicFrameLocks/>
            </wp:cNvGraphicFramePr>
            <a:graphic>
              <a:graphicData uri="http://schemas.openxmlformats.org/drawingml/2006/picture">
                <pic:pic>
                  <pic:nvPicPr>
                    <pic:cNvPr id="395" name="Image 395"/>
                    <pic:cNvPicPr/>
                  </pic:nvPicPr>
                  <pic:blipFill>
                    <a:blip r:embed="rId62" cstate="print"/>
                    <a:stretch>
                      <a:fillRect/>
                    </a:stretch>
                  </pic:blipFill>
                  <pic:spPr>
                    <a:xfrm>
                      <a:off x="0" y="0"/>
                      <a:ext cx="1805958" cy="449579"/>
                    </a:xfrm>
                    <a:prstGeom prst="rect">
                      <a:avLst/>
                    </a:prstGeom>
                  </pic:spPr>
                </pic:pic>
              </a:graphicData>
            </a:graphic>
          </wp:inline>
        </w:drawing>
      </w:r>
      <w:r>
        <w:rPr>
          <w:sz w:val="20"/>
        </w:rPr>
      </w:r>
      <w:r>
        <w:rPr>
          <w:sz w:val="20"/>
        </w:rPr>
        <w:tab/>
      </w:r>
      <w:r>
        <w:rPr>
          <w:position w:val="1"/>
          <w:sz w:val="20"/>
        </w:rPr>
        <w:drawing>
          <wp:inline distT="0" distB="0" distL="0" distR="0">
            <wp:extent cx="1743295" cy="445007"/>
            <wp:effectExtent l="0" t="0" r="0" b="0"/>
            <wp:docPr id="396" name="Image 396"/>
            <wp:cNvGraphicFramePr>
              <a:graphicFrameLocks/>
            </wp:cNvGraphicFramePr>
            <a:graphic>
              <a:graphicData uri="http://schemas.openxmlformats.org/drawingml/2006/picture">
                <pic:pic>
                  <pic:nvPicPr>
                    <pic:cNvPr id="396" name="Image 396"/>
                    <pic:cNvPicPr/>
                  </pic:nvPicPr>
                  <pic:blipFill>
                    <a:blip r:embed="rId63" cstate="print"/>
                    <a:stretch>
                      <a:fillRect/>
                    </a:stretch>
                  </pic:blipFill>
                  <pic:spPr>
                    <a:xfrm>
                      <a:off x="0" y="0"/>
                      <a:ext cx="1743295" cy="445007"/>
                    </a:xfrm>
                    <a:prstGeom prst="rect">
                      <a:avLst/>
                    </a:prstGeom>
                  </pic:spPr>
                </pic:pic>
              </a:graphicData>
            </a:graphic>
          </wp:inline>
        </w:drawing>
      </w:r>
      <w:r>
        <w:rPr>
          <w:position w:val="1"/>
          <w:sz w:val="20"/>
        </w:rPr>
      </w:r>
    </w:p>
    <w:tbl>
      <w:tblPr>
        <w:tblW w:w="0" w:type="auto"/>
        <w:jc w:val="left"/>
        <w:tblInd w:w="98" w:type="dxa"/>
        <w:tblBorders>
          <w:top w:val="single" w:sz="6" w:space="0" w:color="6E6E6E"/>
          <w:left w:val="single" w:sz="6" w:space="0" w:color="6E6E6E"/>
          <w:bottom w:val="single" w:sz="6" w:space="0" w:color="6E6E6E"/>
          <w:right w:val="single" w:sz="6" w:space="0" w:color="6E6E6E"/>
          <w:insideH w:val="single" w:sz="6" w:space="0" w:color="6E6E6E"/>
          <w:insideV w:val="single" w:sz="6" w:space="0" w:color="6E6E6E"/>
        </w:tblBorders>
        <w:tblLayout w:type="fixed"/>
        <w:tblCellMar>
          <w:top w:w="0" w:type="dxa"/>
          <w:left w:w="0" w:type="dxa"/>
          <w:bottom w:w="0" w:type="dxa"/>
          <w:right w:w="0" w:type="dxa"/>
        </w:tblCellMar>
        <w:tblLook w:val="01E0"/>
      </w:tblPr>
      <w:tblGrid>
        <w:gridCol w:w="2586"/>
        <w:gridCol w:w="2586"/>
        <w:gridCol w:w="2591"/>
        <w:gridCol w:w="2585"/>
        <w:gridCol w:w="2591"/>
        <w:gridCol w:w="2586"/>
      </w:tblGrid>
      <w:tr>
        <w:trPr>
          <w:trHeight w:val="360" w:hRule="atLeast"/>
        </w:trPr>
        <w:tc>
          <w:tcPr>
            <w:tcW w:w="2586" w:type="dxa"/>
            <w:shd w:val="clear" w:color="auto" w:fill="D9EAF7"/>
          </w:tcPr>
          <w:p>
            <w:pPr>
              <w:pStyle w:val="TableParagraph"/>
              <w:spacing w:before="89"/>
              <w:ind w:left="87"/>
              <w:rPr>
                <w:b/>
                <w:sz w:val="15"/>
              </w:rPr>
            </w:pPr>
            <w:r>
              <w:rPr>
                <w:b/>
                <w:spacing w:val="-2"/>
                <w:sz w:val="15"/>
              </w:rPr>
              <w:t>Unlikely</w:t>
            </w:r>
            <w:r>
              <w:rPr>
                <w:b/>
                <w:spacing w:val="5"/>
                <w:sz w:val="15"/>
              </w:rPr>
              <w:t> </w:t>
            </w:r>
            <w:r>
              <w:rPr>
                <w:b/>
                <w:spacing w:val="-5"/>
                <w:sz w:val="15"/>
              </w:rPr>
              <w:t>(2)</w:t>
            </w:r>
          </w:p>
        </w:tc>
        <w:tc>
          <w:tcPr>
            <w:tcW w:w="2586" w:type="dxa"/>
          </w:tcPr>
          <w:p>
            <w:pPr>
              <w:pStyle w:val="TableParagraph"/>
              <w:spacing w:before="89"/>
              <w:ind w:left="92"/>
              <w:rPr>
                <w:sz w:val="15"/>
              </w:rPr>
            </w:pPr>
            <w:r>
              <w:rPr>
                <w:spacing w:val="-10"/>
                <w:sz w:val="15"/>
              </w:rPr>
              <w:t>2</w:t>
            </w:r>
          </w:p>
        </w:tc>
        <w:tc>
          <w:tcPr>
            <w:tcW w:w="2591" w:type="dxa"/>
          </w:tcPr>
          <w:p>
            <w:pPr>
              <w:pStyle w:val="TableParagraph"/>
              <w:spacing w:before="89"/>
              <w:ind w:left="92"/>
              <w:rPr>
                <w:sz w:val="15"/>
              </w:rPr>
            </w:pPr>
            <w:r>
              <w:rPr>
                <w:spacing w:val="-10"/>
                <w:sz w:val="15"/>
              </w:rPr>
              <w:t>4</w:t>
            </w:r>
          </w:p>
        </w:tc>
        <w:tc>
          <w:tcPr>
            <w:tcW w:w="2585" w:type="dxa"/>
          </w:tcPr>
          <w:p>
            <w:pPr>
              <w:pStyle w:val="TableParagraph"/>
              <w:spacing w:before="89"/>
              <w:ind w:left="87"/>
              <w:rPr>
                <w:sz w:val="15"/>
              </w:rPr>
            </w:pPr>
            <w:r>
              <w:rPr>
                <w:spacing w:val="-10"/>
                <w:sz w:val="15"/>
              </w:rPr>
              <w:t>6</w:t>
            </w:r>
          </w:p>
        </w:tc>
        <w:tc>
          <w:tcPr>
            <w:tcW w:w="2591" w:type="dxa"/>
          </w:tcPr>
          <w:p>
            <w:pPr>
              <w:pStyle w:val="TableParagraph"/>
              <w:spacing w:before="89"/>
              <w:ind w:left="92"/>
              <w:rPr>
                <w:sz w:val="15"/>
              </w:rPr>
            </w:pPr>
            <w:r>
              <w:rPr>
                <w:spacing w:val="-10"/>
                <w:sz w:val="15"/>
              </w:rPr>
              <w:t>8</w:t>
            </w:r>
          </w:p>
        </w:tc>
        <w:tc>
          <w:tcPr>
            <w:tcW w:w="2586" w:type="dxa"/>
          </w:tcPr>
          <w:p>
            <w:pPr>
              <w:pStyle w:val="TableParagraph"/>
              <w:spacing w:before="89"/>
              <w:ind w:left="87"/>
              <w:rPr>
                <w:sz w:val="15"/>
              </w:rPr>
            </w:pPr>
            <w:r>
              <w:rPr>
                <w:spacing w:val="-5"/>
                <w:sz w:val="15"/>
              </w:rPr>
              <w:t>10</w:t>
            </w:r>
          </w:p>
        </w:tc>
      </w:tr>
      <w:tr>
        <w:trPr>
          <w:trHeight w:val="360" w:hRule="atLeast"/>
        </w:trPr>
        <w:tc>
          <w:tcPr>
            <w:tcW w:w="2586" w:type="dxa"/>
            <w:shd w:val="clear" w:color="auto" w:fill="D9EAF7"/>
          </w:tcPr>
          <w:p>
            <w:pPr>
              <w:pStyle w:val="TableParagraph"/>
              <w:spacing w:before="89"/>
              <w:ind w:left="87"/>
              <w:rPr>
                <w:b/>
                <w:sz w:val="15"/>
              </w:rPr>
            </w:pPr>
            <w:r>
              <w:rPr>
                <w:b/>
                <w:sz w:val="15"/>
              </w:rPr>
              <w:t>Rare </w:t>
            </w:r>
            <w:r>
              <w:rPr>
                <w:b/>
                <w:spacing w:val="-5"/>
                <w:sz w:val="15"/>
              </w:rPr>
              <w:t>(1)</w:t>
            </w:r>
          </w:p>
        </w:tc>
        <w:tc>
          <w:tcPr>
            <w:tcW w:w="2586" w:type="dxa"/>
          </w:tcPr>
          <w:p>
            <w:pPr>
              <w:pStyle w:val="TableParagraph"/>
              <w:spacing w:before="89"/>
              <w:ind w:left="92"/>
              <w:rPr>
                <w:sz w:val="15"/>
              </w:rPr>
            </w:pPr>
            <w:r>
              <w:rPr>
                <w:spacing w:val="-10"/>
                <w:sz w:val="15"/>
              </w:rPr>
              <w:t>1</w:t>
            </w:r>
          </w:p>
        </w:tc>
        <w:tc>
          <w:tcPr>
            <w:tcW w:w="2591" w:type="dxa"/>
          </w:tcPr>
          <w:p>
            <w:pPr>
              <w:pStyle w:val="TableParagraph"/>
              <w:spacing w:before="89"/>
              <w:ind w:left="92"/>
              <w:rPr>
                <w:sz w:val="15"/>
              </w:rPr>
            </w:pPr>
            <w:r>
              <w:rPr>
                <w:spacing w:val="-10"/>
                <w:sz w:val="15"/>
              </w:rPr>
              <w:t>2</w:t>
            </w:r>
          </w:p>
        </w:tc>
        <w:tc>
          <w:tcPr>
            <w:tcW w:w="2585" w:type="dxa"/>
          </w:tcPr>
          <w:p>
            <w:pPr>
              <w:pStyle w:val="TableParagraph"/>
              <w:spacing w:before="89"/>
              <w:ind w:left="87"/>
              <w:rPr>
                <w:sz w:val="15"/>
              </w:rPr>
            </w:pPr>
            <w:r>
              <w:rPr>
                <w:spacing w:val="-10"/>
                <w:sz w:val="15"/>
              </w:rPr>
              <w:t>3</w:t>
            </w:r>
          </w:p>
        </w:tc>
        <w:tc>
          <w:tcPr>
            <w:tcW w:w="2591" w:type="dxa"/>
          </w:tcPr>
          <w:p>
            <w:pPr>
              <w:pStyle w:val="TableParagraph"/>
              <w:spacing w:before="89"/>
              <w:ind w:left="92"/>
              <w:rPr>
                <w:sz w:val="15"/>
              </w:rPr>
            </w:pPr>
            <w:r>
              <w:rPr>
                <w:spacing w:val="-10"/>
                <w:sz w:val="15"/>
              </w:rPr>
              <w:t>4</w:t>
            </w:r>
          </w:p>
        </w:tc>
        <w:tc>
          <w:tcPr>
            <w:tcW w:w="2586" w:type="dxa"/>
          </w:tcPr>
          <w:p>
            <w:pPr>
              <w:pStyle w:val="TableParagraph"/>
              <w:spacing w:before="89"/>
              <w:ind w:left="87"/>
              <w:rPr>
                <w:sz w:val="15"/>
              </w:rPr>
            </w:pPr>
            <w:r>
              <w:rPr>
                <w:spacing w:val="-10"/>
                <w:sz w:val="15"/>
              </w:rPr>
              <w:t>5</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20"/>
        </w:rPr>
      </w:pPr>
    </w:p>
    <w:p>
      <w:pPr>
        <w:spacing w:before="0"/>
        <w:ind w:left="9" w:right="6" w:firstLine="0"/>
        <w:jc w:val="center"/>
        <w:rPr>
          <w:b/>
          <w:sz w:val="20"/>
        </w:rPr>
      </w:pPr>
      <w:r>
        <w:rPr>
          <w:b/>
          <w:color w:val="001F5F"/>
          <w:sz w:val="20"/>
        </w:rPr>
        <w:t>Regional</w:t>
      </w:r>
      <w:r>
        <w:rPr>
          <w:b/>
          <w:color w:val="001F5F"/>
          <w:spacing w:val="-6"/>
          <w:sz w:val="20"/>
        </w:rPr>
        <w:t> </w:t>
      </w:r>
      <w:r>
        <w:rPr>
          <w:b/>
          <w:color w:val="001F5F"/>
          <w:sz w:val="20"/>
        </w:rPr>
        <w:t>Joint</w:t>
      </w:r>
      <w:r>
        <w:rPr>
          <w:b/>
          <w:color w:val="001F5F"/>
          <w:spacing w:val="-5"/>
          <w:sz w:val="20"/>
        </w:rPr>
        <w:t> </w:t>
      </w:r>
      <w:r>
        <w:rPr>
          <w:b/>
          <w:color w:val="001F5F"/>
          <w:sz w:val="20"/>
        </w:rPr>
        <w:t>Committee</w:t>
      </w:r>
      <w:r>
        <w:rPr>
          <w:b/>
          <w:color w:val="001F5F"/>
          <w:spacing w:val="-1"/>
          <w:sz w:val="20"/>
        </w:rPr>
        <w:t> </w:t>
      </w:r>
      <w:r>
        <w:rPr>
          <w:b/>
          <w:color w:val="001F5F"/>
          <w:sz w:val="20"/>
        </w:rPr>
        <w:t>|</w:t>
      </w:r>
      <w:r>
        <w:rPr>
          <w:b/>
          <w:color w:val="001F5F"/>
          <w:spacing w:val="-5"/>
          <w:sz w:val="20"/>
        </w:rPr>
        <w:t> </w:t>
      </w:r>
      <w:r>
        <w:rPr>
          <w:b/>
          <w:color w:val="001F5F"/>
          <w:sz w:val="20"/>
        </w:rPr>
        <w:t>Cyd-bwyllgor</w:t>
      </w:r>
      <w:r>
        <w:rPr>
          <w:b/>
          <w:color w:val="001F5F"/>
          <w:spacing w:val="-1"/>
          <w:sz w:val="20"/>
        </w:rPr>
        <w:t> </w:t>
      </w:r>
      <w:r>
        <w:rPr>
          <w:b/>
          <w:color w:val="001F5F"/>
          <w:spacing w:val="-2"/>
          <w:sz w:val="20"/>
        </w:rPr>
        <w:t>Rhanbarthol</w:t>
      </w:r>
    </w:p>
    <w:p>
      <w:pPr>
        <w:spacing w:after="0"/>
        <w:jc w:val="center"/>
        <w:rPr>
          <w:b/>
          <w:sz w:val="20"/>
        </w:rPr>
        <w:sectPr>
          <w:pgSz w:w="16840" w:h="11910" w:orient="landscape"/>
          <w:pgMar w:header="0" w:footer="198" w:top="700" w:bottom="380" w:left="566" w:right="566"/>
        </w:sectPr>
      </w:pPr>
    </w:p>
    <w:p>
      <w:pPr>
        <w:pStyle w:val="Heading4"/>
        <w:tabs>
          <w:tab w:pos="7505" w:val="left" w:leader="none"/>
        </w:tabs>
        <w:ind w:left="882"/>
      </w:pPr>
      <w:r>
        <w:rPr>
          <w:b w:val="0"/>
          <w:spacing w:val="-5"/>
          <w:position w:val="-8"/>
          <w:sz w:val="36"/>
        </w:rPr>
        <w:t>5.1</w:t>
      </w:r>
      <w:r>
        <w:rPr>
          <w:b w:val="0"/>
          <w:position w:val="-8"/>
          <w:sz w:val="36"/>
        </w:rPr>
        <w:tab/>
      </w:r>
      <w:r>
        <w:rPr/>
        <w:t>11:35</w:t>
      </w:r>
      <w:r>
        <w:rPr>
          <w:spacing w:val="-2"/>
        </w:rPr>
        <w:t> </w:t>
      </w:r>
      <w:r>
        <w:rPr/>
        <w:t>AM,</w:t>
      </w:r>
      <w:r>
        <w:rPr>
          <w:spacing w:val="2"/>
        </w:rPr>
        <w:t> </w:t>
      </w:r>
      <w:r>
        <w:rPr/>
        <w:t>0</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646208">
                <wp:simplePos x="0" y="0"/>
                <wp:positionH relativeFrom="page">
                  <wp:posOffset>914400</wp:posOffset>
                </wp:positionH>
                <wp:positionV relativeFrom="paragraph">
                  <wp:posOffset>262302</wp:posOffset>
                </wp:positionV>
                <wp:extent cx="5730875" cy="6350"/>
                <wp:effectExtent l="0" t="0" r="0" b="0"/>
                <wp:wrapTopAndBottom/>
                <wp:docPr id="399" name="Graphic 399"/>
                <wp:cNvGraphicFramePr>
                  <a:graphicFrameLocks/>
                </wp:cNvGraphicFramePr>
                <a:graphic>
                  <a:graphicData uri="http://schemas.microsoft.com/office/word/2010/wordprocessingShape">
                    <wps:wsp>
                      <wps:cNvPr id="399" name="Graphic 399"/>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670272;mso-wrap-distance-left:0;mso-wrap-distance-right:0" id="docshape198" filled="true" fillcolor="#9f9f9f" stroked="false">
                <v:fill type="solid"/>
                <w10:wrap type="topAndBottom"/>
              </v:rect>
            </w:pict>
          </mc:Fallback>
        </mc:AlternateContent>
      </w:r>
    </w:p>
    <w:p>
      <w:pPr>
        <w:pStyle w:val="BodyText"/>
        <w:spacing w:before="176"/>
        <w:rPr>
          <w:b/>
          <w:sz w:val="22"/>
        </w:rPr>
      </w:pPr>
    </w:p>
    <w:p>
      <w:pPr>
        <w:tabs>
          <w:tab w:pos="7985" w:val="left" w:leader="none"/>
        </w:tabs>
        <w:spacing w:line="160" w:lineRule="auto" w:before="1"/>
        <w:ind w:left="7895" w:right="1010" w:hanging="7163"/>
        <w:jc w:val="right"/>
        <w:rPr>
          <w:b/>
          <w:i/>
          <w:sz w:val="22"/>
        </w:rPr>
      </w:pPr>
      <w:bookmarkStart w:name="5.1 - RJC/37c: Outline Programme" w:id="46"/>
      <w:bookmarkEnd w:id="46"/>
      <w:r>
        <w:rPr/>
      </w:r>
      <w:r>
        <w:rPr>
          <w:sz w:val="32"/>
        </w:rPr>
        <w:t>5.1 - RJC/37c: Outline Programme</w:t>
        <w:tab/>
        <w:tab/>
      </w:r>
      <w:r>
        <w:rPr>
          <w:b/>
          <w:i/>
          <w:position w:val="9"/>
          <w:sz w:val="22"/>
        </w:rPr>
        <w:t>Leighton</w:t>
      </w:r>
      <w:r>
        <w:rPr>
          <w:b/>
          <w:i/>
          <w:spacing w:val="-16"/>
          <w:position w:val="9"/>
          <w:sz w:val="22"/>
        </w:rPr>
        <w:t> </w:t>
      </w:r>
      <w:r>
        <w:rPr>
          <w:b/>
          <w:i/>
          <w:position w:val="9"/>
          <w:sz w:val="22"/>
        </w:rPr>
        <w:t>Phillips</w:t>
      </w:r>
      <w:r>
        <w:rPr>
          <w:b/>
          <w:i/>
          <w:position w:val="9"/>
          <w:sz w:val="22"/>
        </w:rPr>
        <w:t> </w:t>
      </w:r>
      <w:r>
        <w:rPr>
          <w:b/>
          <w:i/>
          <w:sz w:val="22"/>
        </w:rPr>
        <w:t>(Hywel</w:t>
      </w:r>
      <w:r>
        <w:rPr>
          <w:b/>
          <w:i/>
          <w:spacing w:val="-4"/>
          <w:sz w:val="22"/>
        </w:rPr>
        <w:t> </w:t>
      </w:r>
      <w:r>
        <w:rPr>
          <w:b/>
          <w:i/>
          <w:sz w:val="22"/>
        </w:rPr>
        <w:t>Dda UHB</w:t>
      </w:r>
      <w:r>
        <w:rPr>
          <w:b/>
          <w:i/>
          <w:spacing w:val="2"/>
          <w:sz w:val="22"/>
        </w:rPr>
        <w:t> </w:t>
      </w:r>
      <w:r>
        <w:rPr>
          <w:b/>
          <w:i/>
          <w:spacing w:val="-10"/>
          <w:sz w:val="22"/>
        </w:rPr>
        <w:t>-</w:t>
      </w:r>
    </w:p>
    <w:p>
      <w:pPr>
        <w:spacing w:line="256" w:lineRule="auto" w:before="38"/>
        <w:ind w:left="7505" w:right="1009" w:firstLine="530"/>
        <w:jc w:val="right"/>
        <w:rPr>
          <w:b/>
          <w:i/>
          <w:sz w:val="22"/>
        </w:rPr>
      </w:pPr>
      <w:r>
        <w:rPr>
          <w:b/>
          <w:i/>
          <w:sz w:val="22"/>
        </w:rPr>
        <w:t>Interim</w:t>
      </w:r>
      <w:r>
        <w:rPr>
          <w:b/>
          <w:i/>
          <w:spacing w:val="-16"/>
          <w:sz w:val="22"/>
        </w:rPr>
        <w:t> </w:t>
      </w:r>
      <w:r>
        <w:rPr>
          <w:b/>
          <w:i/>
          <w:sz w:val="22"/>
        </w:rPr>
        <w:t>Regional</w:t>
      </w:r>
      <w:r>
        <w:rPr>
          <w:b/>
          <w:i/>
          <w:sz w:val="22"/>
        </w:rPr>
        <w:t> Director</w:t>
      </w:r>
      <w:r>
        <w:rPr>
          <w:b/>
          <w:i/>
          <w:spacing w:val="-5"/>
          <w:sz w:val="22"/>
        </w:rPr>
        <w:t> </w:t>
      </w:r>
      <w:r>
        <w:rPr>
          <w:b/>
          <w:i/>
          <w:sz w:val="22"/>
        </w:rPr>
        <w:t>for</w:t>
      </w:r>
      <w:r>
        <w:rPr>
          <w:b/>
          <w:i/>
          <w:spacing w:val="-4"/>
          <w:sz w:val="22"/>
        </w:rPr>
        <w:t> </w:t>
      </w:r>
      <w:r>
        <w:rPr>
          <w:b/>
          <w:i/>
          <w:spacing w:val="-2"/>
          <w:sz w:val="22"/>
        </w:rPr>
        <w:t>Research</w:t>
      </w:r>
    </w:p>
    <w:p>
      <w:pPr>
        <w:spacing w:line="256" w:lineRule="auto" w:before="5"/>
        <w:ind w:left="7630" w:right="1011" w:firstLine="560"/>
        <w:jc w:val="right"/>
        <w:rPr>
          <w:b/>
          <w:i/>
          <w:sz w:val="22"/>
        </w:rPr>
      </w:pPr>
      <w:r>
        <w:rPr>
          <w:b/>
          <w:i/>
          <w:sz w:val="22"/>
        </w:rPr>
        <w:t>and</w:t>
      </w:r>
      <w:r>
        <w:rPr>
          <w:b/>
          <w:i/>
          <w:spacing w:val="-16"/>
          <w:sz w:val="22"/>
        </w:rPr>
        <w:t> </w:t>
      </w:r>
      <w:r>
        <w:rPr>
          <w:b/>
          <w:i/>
          <w:sz w:val="22"/>
        </w:rPr>
        <w:t>Innovation</w:t>
      </w:r>
      <w:r>
        <w:rPr>
          <w:b/>
          <w:i/>
          <w:sz w:val="22"/>
        </w:rPr>
        <w:t> (South West</w:t>
      </w:r>
      <w:r>
        <w:rPr>
          <w:b/>
          <w:i/>
          <w:spacing w:val="-5"/>
          <w:sz w:val="22"/>
        </w:rPr>
        <w:t> </w:t>
      </w:r>
      <w:r>
        <w:rPr>
          <w:b/>
          <w:i/>
          <w:spacing w:val="-2"/>
          <w:sz w:val="22"/>
        </w:rPr>
        <w:t>Wales))</w:t>
      </w: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3"/>
        <w:rPr>
          <w:b/>
          <w:i/>
          <w:sz w:val="22"/>
        </w:rPr>
      </w:pPr>
    </w:p>
    <w:p>
      <w:pPr>
        <w:spacing w:before="1"/>
        <w:ind w:left="732" w:right="0" w:firstLine="0"/>
        <w:jc w:val="left"/>
        <w:rPr>
          <w:b/>
          <w:sz w:val="22"/>
        </w:rPr>
      </w:pPr>
      <w:r>
        <w:rPr>
          <w:b/>
          <w:spacing w:val="-2"/>
          <w:sz w:val="22"/>
        </w:rPr>
        <w:t>Attachments</w:t>
      </w:r>
    </w:p>
    <w:p>
      <w:pPr>
        <w:spacing w:before="179"/>
        <w:ind w:left="732" w:right="0" w:firstLine="0"/>
        <w:jc w:val="left"/>
        <w:rPr>
          <w:sz w:val="18"/>
        </w:rPr>
      </w:pPr>
      <w:r>
        <w:rPr>
          <w:sz w:val="18"/>
          <w:u w:val="single"/>
        </w:rPr>
        <w:t>RJC</w:t>
      </w:r>
      <w:r>
        <w:rPr>
          <w:spacing w:val="-3"/>
          <w:sz w:val="18"/>
          <w:u w:val="single"/>
        </w:rPr>
        <w:t> </w:t>
      </w:r>
      <w:r>
        <w:rPr>
          <w:sz w:val="18"/>
          <w:u w:val="single"/>
        </w:rPr>
        <w:t>39c Research,</w:t>
      </w:r>
      <w:r>
        <w:rPr>
          <w:spacing w:val="-1"/>
          <w:sz w:val="18"/>
          <w:u w:val="single"/>
        </w:rPr>
        <w:t> </w:t>
      </w:r>
      <w:r>
        <w:rPr>
          <w:sz w:val="18"/>
          <w:u w:val="single"/>
        </w:rPr>
        <w:t>Innovation and Excellence Subgroup</w:t>
      </w:r>
      <w:r>
        <w:rPr>
          <w:spacing w:val="-1"/>
          <w:sz w:val="18"/>
          <w:u w:val="single"/>
        </w:rPr>
        <w:t> </w:t>
      </w:r>
      <w:r>
        <w:rPr>
          <w:sz w:val="18"/>
          <w:u w:val="single"/>
        </w:rPr>
        <w:t>Outline </w:t>
      </w:r>
      <w:r>
        <w:rPr>
          <w:spacing w:val="-2"/>
          <w:sz w:val="18"/>
          <w:u w:val="single"/>
        </w:rPr>
        <w:t>Programme.pdf</w:t>
      </w:r>
    </w:p>
    <w:p>
      <w:pPr>
        <w:spacing w:after="0"/>
        <w:jc w:val="left"/>
        <w:rPr>
          <w:sz w:val="18"/>
        </w:rPr>
        <w:sectPr>
          <w:footerReference w:type="default" r:id="rId71"/>
          <w:pgSz w:w="11910" w:h="16840"/>
          <w:pgMar w:header="0" w:footer="149" w:top="1940" w:bottom="34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400" name="Image 400"/>
            <wp:cNvGraphicFramePr>
              <a:graphicFrameLocks/>
            </wp:cNvGraphicFramePr>
            <a:graphic>
              <a:graphicData uri="http://schemas.openxmlformats.org/drawingml/2006/picture">
                <pic:pic>
                  <pic:nvPicPr>
                    <pic:cNvPr id="400" name="Image 400"/>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401" name="Image 401"/>
            <wp:cNvGraphicFramePr>
              <a:graphicFrameLocks/>
            </wp:cNvGraphicFramePr>
            <a:graphic>
              <a:graphicData uri="http://schemas.openxmlformats.org/drawingml/2006/picture">
                <pic:pic>
                  <pic:nvPicPr>
                    <pic:cNvPr id="401" name="Image 401"/>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p>
      <w:pPr>
        <w:pStyle w:val="BodyText"/>
        <w:spacing w:before="100"/>
        <w:rPr>
          <w:sz w:val="20"/>
        </w:rPr>
      </w:pP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645" w:hRule="atLeast"/>
        </w:trPr>
        <w:tc>
          <w:tcPr>
            <w:tcW w:w="10069" w:type="dxa"/>
            <w:shd w:val="clear" w:color="auto" w:fill="394871"/>
          </w:tcPr>
          <w:p>
            <w:pPr>
              <w:pStyle w:val="TableParagraph"/>
              <w:spacing w:before="30"/>
              <w:ind w:left="580"/>
              <w:rPr>
                <w:b/>
                <w:sz w:val="24"/>
              </w:rPr>
            </w:pPr>
            <w:bookmarkStart w:name="Attachments" w:id="47"/>
            <w:bookmarkEnd w:id="47"/>
            <w:r>
              <w:rPr/>
            </w:r>
            <w:bookmarkStart w:name="RJC 39c Research, Innovation and Excelle" w:id="48"/>
            <w:bookmarkEnd w:id="48"/>
            <w:r>
              <w:rPr/>
            </w:r>
            <w:r>
              <w:rPr>
                <w:b/>
                <w:color w:val="FFFFFF"/>
                <w:spacing w:val="-2"/>
                <w:sz w:val="24"/>
              </w:rPr>
              <w:t>JOINT</w:t>
            </w:r>
            <w:r>
              <w:rPr>
                <w:b/>
                <w:color w:val="FFFFFF"/>
                <w:spacing w:val="-17"/>
                <w:sz w:val="24"/>
              </w:rPr>
              <w:t> </w:t>
            </w:r>
            <w:r>
              <w:rPr>
                <w:b/>
                <w:color w:val="FFFFFF"/>
                <w:spacing w:val="-2"/>
                <w:sz w:val="24"/>
              </w:rPr>
              <w:t>HYWEL</w:t>
            </w:r>
            <w:r>
              <w:rPr>
                <w:b/>
                <w:color w:val="FFFFFF"/>
                <w:spacing w:val="-15"/>
                <w:sz w:val="24"/>
              </w:rPr>
              <w:t> </w:t>
            </w:r>
            <w:r>
              <w:rPr>
                <w:b/>
                <w:color w:val="FFFFFF"/>
                <w:spacing w:val="-2"/>
                <w:sz w:val="24"/>
              </w:rPr>
              <w:t>DDA/SWANSEA</w:t>
            </w:r>
            <w:r>
              <w:rPr>
                <w:b/>
                <w:color w:val="FFFFFF"/>
                <w:spacing w:val="-14"/>
                <w:sz w:val="24"/>
              </w:rPr>
              <w:t> </w:t>
            </w:r>
            <w:r>
              <w:rPr>
                <w:b/>
                <w:color w:val="FFFFFF"/>
                <w:spacing w:val="-2"/>
                <w:sz w:val="24"/>
              </w:rPr>
              <w:t>BAY</w:t>
            </w:r>
            <w:r>
              <w:rPr>
                <w:b/>
                <w:color w:val="FFFFFF"/>
                <w:spacing w:val="-15"/>
                <w:sz w:val="24"/>
              </w:rPr>
              <w:t> </w:t>
            </w:r>
            <w:r>
              <w:rPr>
                <w:b/>
                <w:color w:val="FFFFFF"/>
                <w:spacing w:val="-2"/>
                <w:sz w:val="24"/>
              </w:rPr>
              <w:t>UNIVERSITY</w:t>
            </w:r>
            <w:r>
              <w:rPr>
                <w:b/>
                <w:color w:val="FFFFFF"/>
                <w:spacing w:val="-15"/>
                <w:sz w:val="24"/>
              </w:rPr>
              <w:t> </w:t>
            </w:r>
            <w:r>
              <w:rPr>
                <w:b/>
                <w:color w:val="FFFFFF"/>
                <w:spacing w:val="-2"/>
                <w:sz w:val="24"/>
              </w:rPr>
              <w:t>HEALTH</w:t>
            </w:r>
            <w:r>
              <w:rPr>
                <w:b/>
                <w:color w:val="FFFFFF"/>
                <w:spacing w:val="-12"/>
                <w:sz w:val="24"/>
              </w:rPr>
              <w:t> </w:t>
            </w:r>
            <w:r>
              <w:rPr>
                <w:b/>
                <w:color w:val="FFFFFF"/>
                <w:spacing w:val="-2"/>
                <w:sz w:val="24"/>
              </w:rPr>
              <w:t>BOARD</w:t>
            </w:r>
            <w:r>
              <w:rPr>
                <w:b/>
                <w:color w:val="FFFFFF"/>
                <w:spacing w:val="-12"/>
                <w:sz w:val="24"/>
              </w:rPr>
              <w:t> </w:t>
            </w:r>
            <w:r>
              <w:rPr>
                <w:b/>
                <w:color w:val="FFFFFF"/>
                <w:spacing w:val="-2"/>
                <w:sz w:val="24"/>
              </w:rPr>
              <w:t>COMMITTEE</w:t>
            </w:r>
          </w:p>
          <w:p>
            <w:pPr>
              <w:pStyle w:val="TableParagraph"/>
              <w:spacing w:line="270" w:lineRule="exact" w:before="49"/>
              <w:ind w:left="655"/>
              <w:rPr>
                <w:b/>
                <w:sz w:val="24"/>
              </w:rPr>
            </w:pPr>
            <w:r>
              <w:rPr>
                <w:b/>
                <w:color w:val="FFFFFF"/>
                <w:spacing w:val="-2"/>
                <w:sz w:val="24"/>
              </w:rPr>
              <w:t>CYD-BWRDD</w:t>
            </w:r>
            <w:r>
              <w:rPr>
                <w:b/>
                <w:color w:val="FFFFFF"/>
                <w:spacing w:val="-17"/>
                <w:sz w:val="24"/>
              </w:rPr>
              <w:t> </w:t>
            </w:r>
            <w:r>
              <w:rPr>
                <w:b/>
                <w:color w:val="FFFFFF"/>
                <w:spacing w:val="-2"/>
                <w:sz w:val="24"/>
              </w:rPr>
              <w:t>IECHYD</w:t>
            </w:r>
            <w:r>
              <w:rPr>
                <w:b/>
                <w:color w:val="FFFFFF"/>
                <w:spacing w:val="-15"/>
                <w:sz w:val="24"/>
              </w:rPr>
              <w:t> </w:t>
            </w:r>
            <w:r>
              <w:rPr>
                <w:b/>
                <w:color w:val="FFFFFF"/>
                <w:spacing w:val="-2"/>
                <w:sz w:val="24"/>
              </w:rPr>
              <w:t>PRIFYSGOL</w:t>
            </w:r>
            <w:r>
              <w:rPr>
                <w:b/>
                <w:color w:val="FFFFFF"/>
                <w:spacing w:val="-14"/>
                <w:sz w:val="24"/>
              </w:rPr>
              <w:t> </w:t>
            </w:r>
            <w:r>
              <w:rPr>
                <w:b/>
                <w:color w:val="FFFFFF"/>
                <w:spacing w:val="-2"/>
                <w:sz w:val="24"/>
              </w:rPr>
              <w:t>HYWEL</w:t>
            </w:r>
            <w:r>
              <w:rPr>
                <w:b/>
                <w:color w:val="FFFFFF"/>
                <w:spacing w:val="-15"/>
                <w:sz w:val="24"/>
              </w:rPr>
              <w:t> </w:t>
            </w:r>
            <w:r>
              <w:rPr>
                <w:b/>
                <w:color w:val="FFFFFF"/>
                <w:spacing w:val="-2"/>
                <w:sz w:val="24"/>
              </w:rPr>
              <w:t>DDA/BAE</w:t>
            </w:r>
            <w:r>
              <w:rPr>
                <w:b/>
                <w:color w:val="FFFFFF"/>
                <w:spacing w:val="-15"/>
                <w:sz w:val="24"/>
              </w:rPr>
              <w:t> </w:t>
            </w:r>
            <w:r>
              <w:rPr>
                <w:b/>
                <w:color w:val="FFFFFF"/>
                <w:spacing w:val="-2"/>
                <w:sz w:val="24"/>
              </w:rPr>
              <w:t>ABERTAWE</w:t>
            </w:r>
            <w:r>
              <w:rPr>
                <w:b/>
                <w:color w:val="FFFFFF"/>
                <w:spacing w:val="-14"/>
                <w:sz w:val="24"/>
              </w:rPr>
              <w:t> </w:t>
            </w:r>
            <w:r>
              <w:rPr>
                <w:b/>
                <w:color w:val="FFFFFF"/>
                <w:spacing w:val="-2"/>
                <w:sz w:val="24"/>
              </w:rPr>
              <w:t>PWYLLGOR</w:t>
            </w:r>
          </w:p>
        </w:tc>
      </w:tr>
    </w:tbl>
    <w:p>
      <w:pPr>
        <w:pStyle w:val="BodyText"/>
        <w:spacing w:before="45"/>
        <w:rPr>
          <w:sz w:val="20"/>
        </w:rPr>
      </w:pP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2"/>
        <w:gridCol w:w="6098"/>
      </w:tblGrid>
      <w:tr>
        <w:trPr>
          <w:trHeight w:val="615" w:hRule="atLeast"/>
        </w:trPr>
        <w:tc>
          <w:tcPr>
            <w:tcW w:w="3972" w:type="dxa"/>
            <w:shd w:val="clear" w:color="auto" w:fill="C1A875"/>
          </w:tcPr>
          <w:p>
            <w:pPr>
              <w:pStyle w:val="TableParagraph"/>
              <w:spacing w:line="242" w:lineRule="auto" w:before="30"/>
              <w:ind w:left="110" w:right="1082"/>
              <w:rPr>
                <w:b/>
                <w:sz w:val="24"/>
              </w:rPr>
            </w:pPr>
            <w:r>
              <w:rPr>
                <w:b/>
                <w:spacing w:val="-4"/>
                <w:sz w:val="24"/>
              </w:rPr>
              <w:t>DYDDIAD</w:t>
            </w:r>
            <w:r>
              <w:rPr>
                <w:b/>
                <w:spacing w:val="-13"/>
                <w:sz w:val="24"/>
              </w:rPr>
              <w:t> </w:t>
            </w:r>
            <w:r>
              <w:rPr>
                <w:b/>
                <w:spacing w:val="-4"/>
                <w:sz w:val="24"/>
              </w:rPr>
              <w:t>Y</w:t>
            </w:r>
            <w:r>
              <w:rPr>
                <w:b/>
                <w:spacing w:val="-13"/>
                <w:sz w:val="24"/>
              </w:rPr>
              <w:t> </w:t>
            </w:r>
            <w:r>
              <w:rPr>
                <w:b/>
                <w:spacing w:val="-4"/>
                <w:sz w:val="24"/>
              </w:rPr>
              <w:t>CYFARFOD: </w:t>
            </w:r>
            <w:r>
              <w:rPr>
                <w:b/>
                <w:sz w:val="24"/>
              </w:rPr>
              <w:t>DATE OF MEETING:</w:t>
            </w:r>
          </w:p>
        </w:tc>
        <w:tc>
          <w:tcPr>
            <w:tcW w:w="6098" w:type="dxa"/>
          </w:tcPr>
          <w:p>
            <w:pPr>
              <w:pStyle w:val="TableParagraph"/>
              <w:ind w:left="109"/>
              <w:rPr>
                <w:sz w:val="24"/>
              </w:rPr>
            </w:pPr>
            <w:r>
              <w:rPr>
                <w:spacing w:val="-2"/>
                <w:sz w:val="24"/>
              </w:rPr>
              <w:t>13</w:t>
            </w:r>
            <w:r>
              <w:rPr>
                <w:spacing w:val="-15"/>
                <w:sz w:val="24"/>
              </w:rPr>
              <w:t> </w:t>
            </w:r>
            <w:r>
              <w:rPr>
                <w:spacing w:val="-2"/>
                <w:sz w:val="24"/>
              </w:rPr>
              <w:t>October</w:t>
            </w:r>
            <w:r>
              <w:rPr>
                <w:spacing w:val="-12"/>
                <w:sz w:val="24"/>
              </w:rPr>
              <w:t> </w:t>
            </w:r>
            <w:r>
              <w:rPr>
                <w:spacing w:val="-4"/>
                <w:sz w:val="24"/>
              </w:rPr>
              <w:t>2026</w:t>
            </w:r>
          </w:p>
        </w:tc>
      </w:tr>
      <w:tr>
        <w:trPr>
          <w:trHeight w:val="615" w:hRule="atLeast"/>
        </w:trPr>
        <w:tc>
          <w:tcPr>
            <w:tcW w:w="3972" w:type="dxa"/>
            <w:shd w:val="clear" w:color="auto" w:fill="C1A875"/>
          </w:tcPr>
          <w:p>
            <w:pPr>
              <w:pStyle w:val="TableParagraph"/>
              <w:spacing w:before="30"/>
              <w:ind w:left="110" w:right="1216"/>
              <w:rPr>
                <w:b/>
                <w:sz w:val="24"/>
              </w:rPr>
            </w:pPr>
            <w:r>
              <w:rPr>
                <w:b/>
                <w:spacing w:val="-2"/>
                <w:sz w:val="24"/>
              </w:rPr>
              <w:t>TEITL</w:t>
            </w:r>
            <w:r>
              <w:rPr>
                <w:b/>
                <w:spacing w:val="-15"/>
                <w:sz w:val="24"/>
              </w:rPr>
              <w:t> </w:t>
            </w:r>
            <w:r>
              <w:rPr>
                <w:b/>
                <w:spacing w:val="-2"/>
                <w:sz w:val="24"/>
              </w:rPr>
              <w:t>YR</w:t>
            </w:r>
            <w:r>
              <w:rPr>
                <w:b/>
                <w:spacing w:val="-15"/>
                <w:sz w:val="24"/>
              </w:rPr>
              <w:t> </w:t>
            </w:r>
            <w:r>
              <w:rPr>
                <w:b/>
                <w:spacing w:val="-2"/>
                <w:sz w:val="24"/>
              </w:rPr>
              <w:t>ADRODDIAD: </w:t>
            </w:r>
            <w:r>
              <w:rPr>
                <w:b/>
                <w:sz w:val="24"/>
              </w:rPr>
              <w:t>TITLE OF REPORT:</w:t>
            </w:r>
          </w:p>
        </w:tc>
        <w:tc>
          <w:tcPr>
            <w:tcW w:w="6098" w:type="dxa"/>
          </w:tcPr>
          <w:p>
            <w:pPr>
              <w:pStyle w:val="TableParagraph"/>
              <w:ind w:left="109"/>
              <w:rPr>
                <w:sz w:val="24"/>
              </w:rPr>
            </w:pPr>
            <w:r>
              <w:rPr>
                <w:spacing w:val="-2"/>
                <w:sz w:val="24"/>
              </w:rPr>
              <w:t>Developing</w:t>
            </w:r>
            <w:r>
              <w:rPr>
                <w:spacing w:val="-15"/>
                <w:sz w:val="24"/>
              </w:rPr>
              <w:t> </w:t>
            </w:r>
            <w:r>
              <w:rPr>
                <w:spacing w:val="-2"/>
                <w:sz w:val="24"/>
              </w:rPr>
              <w:t>a</w:t>
            </w:r>
            <w:r>
              <w:rPr>
                <w:spacing w:val="-15"/>
                <w:sz w:val="24"/>
              </w:rPr>
              <w:t> </w:t>
            </w:r>
            <w:r>
              <w:rPr>
                <w:spacing w:val="-2"/>
                <w:sz w:val="24"/>
              </w:rPr>
              <w:t>Regional</w:t>
            </w:r>
            <w:r>
              <w:rPr>
                <w:spacing w:val="-14"/>
                <w:sz w:val="24"/>
              </w:rPr>
              <w:t> </w:t>
            </w:r>
            <w:r>
              <w:rPr>
                <w:spacing w:val="-2"/>
                <w:sz w:val="24"/>
              </w:rPr>
              <w:t>Approach</w:t>
            </w:r>
            <w:r>
              <w:rPr>
                <w:spacing w:val="-15"/>
                <w:sz w:val="24"/>
              </w:rPr>
              <w:t> </w:t>
            </w:r>
            <w:r>
              <w:rPr>
                <w:spacing w:val="-2"/>
                <w:sz w:val="24"/>
              </w:rPr>
              <w:t>to</w:t>
            </w:r>
            <w:r>
              <w:rPr>
                <w:spacing w:val="-15"/>
                <w:sz w:val="24"/>
              </w:rPr>
              <w:t> </w:t>
            </w:r>
            <w:r>
              <w:rPr>
                <w:spacing w:val="-2"/>
                <w:sz w:val="24"/>
              </w:rPr>
              <w:t>Research</w:t>
            </w:r>
            <w:r>
              <w:rPr>
                <w:spacing w:val="-15"/>
                <w:sz w:val="24"/>
              </w:rPr>
              <w:t> </w:t>
            </w:r>
            <w:r>
              <w:rPr>
                <w:spacing w:val="-2"/>
                <w:sz w:val="24"/>
              </w:rPr>
              <w:t>and Innovation</w:t>
            </w:r>
          </w:p>
        </w:tc>
      </w:tr>
      <w:tr>
        <w:trPr>
          <w:trHeight w:val="615" w:hRule="atLeast"/>
        </w:trPr>
        <w:tc>
          <w:tcPr>
            <w:tcW w:w="3972" w:type="dxa"/>
            <w:shd w:val="clear" w:color="auto" w:fill="C1A875"/>
          </w:tcPr>
          <w:p>
            <w:pPr>
              <w:pStyle w:val="TableParagraph"/>
              <w:spacing w:before="30"/>
              <w:ind w:left="110"/>
              <w:rPr>
                <w:b/>
                <w:sz w:val="24"/>
              </w:rPr>
            </w:pPr>
            <w:r>
              <w:rPr>
                <w:b/>
                <w:spacing w:val="-4"/>
                <w:sz w:val="24"/>
              </w:rPr>
              <w:t>CYFARWYDDWR</w:t>
            </w:r>
            <w:r>
              <w:rPr>
                <w:b/>
                <w:spacing w:val="-13"/>
                <w:sz w:val="24"/>
              </w:rPr>
              <w:t> </w:t>
            </w:r>
            <w:r>
              <w:rPr>
                <w:b/>
                <w:spacing w:val="-4"/>
                <w:sz w:val="24"/>
              </w:rPr>
              <w:t>ARWEINIOL: </w:t>
            </w:r>
            <w:r>
              <w:rPr>
                <w:b/>
                <w:sz w:val="24"/>
              </w:rPr>
              <w:t>LEAD DIRECTORS:</w:t>
            </w:r>
          </w:p>
        </w:tc>
        <w:tc>
          <w:tcPr>
            <w:tcW w:w="6098" w:type="dxa"/>
          </w:tcPr>
          <w:p>
            <w:pPr>
              <w:pStyle w:val="TableParagraph"/>
              <w:ind w:left="109"/>
              <w:rPr>
                <w:sz w:val="24"/>
              </w:rPr>
            </w:pPr>
            <w:r>
              <w:rPr>
                <w:spacing w:val="-2"/>
                <w:sz w:val="24"/>
              </w:rPr>
              <w:t>Executive</w:t>
            </w:r>
            <w:r>
              <w:rPr>
                <w:spacing w:val="-15"/>
                <w:sz w:val="24"/>
              </w:rPr>
              <w:t> </w:t>
            </w:r>
            <w:r>
              <w:rPr>
                <w:spacing w:val="-2"/>
                <w:sz w:val="24"/>
              </w:rPr>
              <w:t>Medical</w:t>
            </w:r>
            <w:r>
              <w:rPr>
                <w:spacing w:val="-15"/>
                <w:sz w:val="24"/>
              </w:rPr>
              <w:t> </w:t>
            </w:r>
            <w:r>
              <w:rPr>
                <w:spacing w:val="-2"/>
                <w:sz w:val="24"/>
              </w:rPr>
              <w:t>Directors,</w:t>
            </w:r>
            <w:r>
              <w:rPr>
                <w:spacing w:val="-14"/>
                <w:sz w:val="24"/>
              </w:rPr>
              <w:t> </w:t>
            </w:r>
            <w:r>
              <w:rPr>
                <w:spacing w:val="-2"/>
                <w:sz w:val="24"/>
              </w:rPr>
              <w:t>Hywel</w:t>
            </w:r>
            <w:r>
              <w:rPr>
                <w:spacing w:val="-15"/>
                <w:sz w:val="24"/>
              </w:rPr>
              <w:t> </w:t>
            </w:r>
            <w:r>
              <w:rPr>
                <w:spacing w:val="-2"/>
                <w:sz w:val="24"/>
              </w:rPr>
              <w:t>Dda</w:t>
            </w:r>
            <w:r>
              <w:rPr>
                <w:spacing w:val="-15"/>
                <w:sz w:val="24"/>
              </w:rPr>
              <w:t> </w:t>
            </w:r>
            <w:r>
              <w:rPr>
                <w:spacing w:val="-2"/>
                <w:sz w:val="24"/>
              </w:rPr>
              <w:t>and</w:t>
            </w:r>
            <w:r>
              <w:rPr>
                <w:spacing w:val="-15"/>
                <w:sz w:val="24"/>
              </w:rPr>
              <w:t> </w:t>
            </w:r>
            <w:r>
              <w:rPr>
                <w:spacing w:val="-2"/>
                <w:sz w:val="24"/>
              </w:rPr>
              <w:t>Swansea </w:t>
            </w:r>
            <w:r>
              <w:rPr>
                <w:sz w:val="24"/>
              </w:rPr>
              <w:t>Bay University Health Boards</w:t>
            </w:r>
          </w:p>
        </w:tc>
      </w:tr>
      <w:tr>
        <w:trPr>
          <w:trHeight w:val="610" w:hRule="atLeast"/>
        </w:trPr>
        <w:tc>
          <w:tcPr>
            <w:tcW w:w="3972" w:type="dxa"/>
            <w:shd w:val="clear" w:color="auto" w:fill="C1A875"/>
          </w:tcPr>
          <w:p>
            <w:pPr>
              <w:pStyle w:val="TableParagraph"/>
              <w:spacing w:before="30"/>
              <w:ind w:left="110" w:right="1082"/>
              <w:rPr>
                <w:b/>
                <w:sz w:val="24"/>
              </w:rPr>
            </w:pPr>
            <w:r>
              <w:rPr>
                <w:b/>
                <w:sz w:val="24"/>
              </w:rPr>
              <w:t>SWYDDOG ADRODD: </w:t>
            </w:r>
            <w:r>
              <w:rPr>
                <w:b/>
                <w:spacing w:val="-4"/>
                <w:sz w:val="24"/>
              </w:rPr>
              <w:t>REPORTING</w:t>
            </w:r>
            <w:r>
              <w:rPr>
                <w:b/>
                <w:spacing w:val="-13"/>
                <w:sz w:val="24"/>
              </w:rPr>
              <w:t> </w:t>
            </w:r>
            <w:r>
              <w:rPr>
                <w:b/>
                <w:spacing w:val="-4"/>
                <w:sz w:val="24"/>
              </w:rPr>
              <w:t>OFFICER:</w:t>
            </w:r>
          </w:p>
        </w:tc>
        <w:tc>
          <w:tcPr>
            <w:tcW w:w="6098" w:type="dxa"/>
          </w:tcPr>
          <w:p>
            <w:pPr>
              <w:pStyle w:val="TableParagraph"/>
              <w:ind w:left="109" w:right="297"/>
              <w:rPr>
                <w:sz w:val="24"/>
              </w:rPr>
            </w:pPr>
            <w:r>
              <w:rPr>
                <w:spacing w:val="-2"/>
                <w:sz w:val="24"/>
              </w:rPr>
              <w:t>Director</w:t>
            </w:r>
            <w:r>
              <w:rPr>
                <w:spacing w:val="-15"/>
                <w:sz w:val="24"/>
              </w:rPr>
              <w:t> </w:t>
            </w:r>
            <w:r>
              <w:rPr>
                <w:spacing w:val="-2"/>
                <w:sz w:val="24"/>
              </w:rPr>
              <w:t>for</w:t>
            </w:r>
            <w:r>
              <w:rPr>
                <w:spacing w:val="-15"/>
                <w:sz w:val="24"/>
              </w:rPr>
              <w:t> </w:t>
            </w:r>
            <w:r>
              <w:rPr>
                <w:spacing w:val="-2"/>
                <w:sz w:val="24"/>
              </w:rPr>
              <w:t>Research</w:t>
            </w:r>
            <w:r>
              <w:rPr>
                <w:spacing w:val="-14"/>
                <w:sz w:val="24"/>
              </w:rPr>
              <w:t> </w:t>
            </w:r>
            <w:r>
              <w:rPr>
                <w:spacing w:val="-2"/>
                <w:sz w:val="24"/>
              </w:rPr>
              <w:t>and</w:t>
            </w:r>
            <w:r>
              <w:rPr>
                <w:spacing w:val="-15"/>
                <w:sz w:val="24"/>
              </w:rPr>
              <w:t> </w:t>
            </w:r>
            <w:r>
              <w:rPr>
                <w:spacing w:val="-2"/>
                <w:sz w:val="24"/>
              </w:rPr>
              <w:t>Innovation</w:t>
            </w:r>
            <w:r>
              <w:rPr>
                <w:spacing w:val="-15"/>
                <w:sz w:val="24"/>
              </w:rPr>
              <w:t> </w:t>
            </w:r>
            <w:r>
              <w:rPr>
                <w:spacing w:val="-2"/>
                <w:sz w:val="24"/>
              </w:rPr>
              <w:t>(South</w:t>
            </w:r>
            <w:r>
              <w:rPr>
                <w:spacing w:val="-15"/>
                <w:sz w:val="24"/>
              </w:rPr>
              <w:t> </w:t>
            </w:r>
            <w:r>
              <w:rPr>
                <w:spacing w:val="-2"/>
                <w:sz w:val="24"/>
              </w:rPr>
              <w:t>West Wales)</w:t>
            </w:r>
          </w:p>
        </w:tc>
      </w:tr>
    </w:tbl>
    <w:p>
      <w:pPr>
        <w:pStyle w:val="BodyText"/>
        <w:spacing w:before="51"/>
        <w:rPr>
          <w:sz w:val="20"/>
        </w:rPr>
      </w:pP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0" w:hRule="atLeast"/>
        </w:trPr>
        <w:tc>
          <w:tcPr>
            <w:tcW w:w="10069" w:type="dxa"/>
            <w:shd w:val="clear" w:color="auto" w:fill="394871"/>
          </w:tcPr>
          <w:p>
            <w:pPr>
              <w:pStyle w:val="TableParagraph"/>
              <w:spacing w:line="275" w:lineRule="exact"/>
              <w:ind w:left="110"/>
              <w:rPr>
                <w:sz w:val="24"/>
              </w:rPr>
            </w:pPr>
            <w:r>
              <w:rPr>
                <w:b/>
                <w:color w:val="FFFFFF"/>
                <w:spacing w:val="-2"/>
                <w:sz w:val="24"/>
              </w:rPr>
              <w:t>Pwrpas</w:t>
            </w:r>
            <w:r>
              <w:rPr>
                <w:b/>
                <w:color w:val="FFFFFF"/>
                <w:spacing w:val="-11"/>
                <w:sz w:val="24"/>
              </w:rPr>
              <w:t> </w:t>
            </w:r>
            <w:r>
              <w:rPr>
                <w:b/>
                <w:color w:val="FFFFFF"/>
                <w:spacing w:val="-2"/>
                <w:sz w:val="24"/>
              </w:rPr>
              <w:t>yr</w:t>
            </w:r>
            <w:r>
              <w:rPr>
                <w:b/>
                <w:color w:val="FFFFFF"/>
                <w:spacing w:val="-13"/>
                <w:sz w:val="24"/>
              </w:rPr>
              <w:t> </w:t>
            </w:r>
            <w:r>
              <w:rPr>
                <w:b/>
                <w:color w:val="FFFFFF"/>
                <w:spacing w:val="-2"/>
                <w:sz w:val="24"/>
              </w:rPr>
              <w:t>Adroddiad</w:t>
            </w:r>
            <w:r>
              <w:rPr>
                <w:b/>
                <w:color w:val="FFFFFF"/>
                <w:spacing w:val="-14"/>
                <w:sz w:val="24"/>
              </w:rPr>
              <w:t> </w:t>
            </w:r>
            <w:r>
              <w:rPr>
                <w:color w:val="FFFFFF"/>
                <w:spacing w:val="-2"/>
                <w:sz w:val="24"/>
              </w:rPr>
              <w:t>(dewiswch</w:t>
            </w:r>
            <w:r>
              <w:rPr>
                <w:color w:val="FFFFFF"/>
                <w:spacing w:val="-12"/>
                <w:sz w:val="24"/>
              </w:rPr>
              <w:t> </w:t>
            </w:r>
            <w:r>
              <w:rPr>
                <w:color w:val="FFFFFF"/>
                <w:spacing w:val="-2"/>
                <w:sz w:val="24"/>
              </w:rPr>
              <w:t>fel</w:t>
            </w:r>
            <w:r>
              <w:rPr>
                <w:color w:val="FFFFFF"/>
                <w:spacing w:val="-8"/>
                <w:sz w:val="24"/>
              </w:rPr>
              <w:t> </w:t>
            </w:r>
            <w:r>
              <w:rPr>
                <w:color w:val="FFFFFF"/>
                <w:spacing w:val="-2"/>
                <w:sz w:val="24"/>
              </w:rPr>
              <w:t>yn</w:t>
            </w:r>
            <w:r>
              <w:rPr>
                <w:color w:val="FFFFFF"/>
                <w:spacing w:val="-14"/>
                <w:sz w:val="24"/>
              </w:rPr>
              <w:t> </w:t>
            </w:r>
            <w:r>
              <w:rPr>
                <w:color w:val="FFFFFF"/>
                <w:spacing w:val="-2"/>
                <w:sz w:val="24"/>
              </w:rPr>
              <w:t>addas)</w:t>
            </w:r>
          </w:p>
          <w:p>
            <w:pPr>
              <w:pStyle w:val="TableParagraph"/>
              <w:spacing w:line="255" w:lineRule="exact"/>
              <w:ind w:left="110"/>
              <w:rPr>
                <w:sz w:val="24"/>
              </w:rPr>
            </w:pPr>
            <w:r>
              <w:rPr>
                <w:b/>
                <w:color w:val="FFFFFF"/>
                <w:spacing w:val="-2"/>
                <w:sz w:val="24"/>
              </w:rPr>
              <w:t>Purpose</w:t>
            </w:r>
            <w:r>
              <w:rPr>
                <w:b/>
                <w:color w:val="FFFFFF"/>
                <w:spacing w:val="-10"/>
                <w:sz w:val="24"/>
              </w:rPr>
              <w:t> </w:t>
            </w:r>
            <w:r>
              <w:rPr>
                <w:b/>
                <w:color w:val="FFFFFF"/>
                <w:spacing w:val="-2"/>
                <w:sz w:val="24"/>
              </w:rPr>
              <w:t>of</w:t>
            </w:r>
            <w:r>
              <w:rPr>
                <w:b/>
                <w:color w:val="FFFFFF"/>
                <w:spacing w:val="-11"/>
                <w:sz w:val="24"/>
              </w:rPr>
              <w:t> </w:t>
            </w:r>
            <w:r>
              <w:rPr>
                <w:b/>
                <w:color w:val="FFFFFF"/>
                <w:spacing w:val="-2"/>
                <w:sz w:val="24"/>
              </w:rPr>
              <w:t>the</w:t>
            </w:r>
            <w:r>
              <w:rPr>
                <w:b/>
                <w:color w:val="FFFFFF"/>
                <w:spacing w:val="-14"/>
                <w:sz w:val="24"/>
              </w:rPr>
              <w:t> </w:t>
            </w:r>
            <w:r>
              <w:rPr>
                <w:b/>
                <w:color w:val="FFFFFF"/>
                <w:spacing w:val="-2"/>
                <w:sz w:val="24"/>
              </w:rPr>
              <w:t>Report</w:t>
            </w:r>
            <w:r>
              <w:rPr>
                <w:b/>
                <w:color w:val="FFFFFF"/>
                <w:spacing w:val="-4"/>
                <w:sz w:val="24"/>
              </w:rPr>
              <w:t> </w:t>
            </w:r>
            <w:r>
              <w:rPr>
                <w:color w:val="FFFFFF"/>
                <w:spacing w:val="-2"/>
                <w:sz w:val="24"/>
              </w:rPr>
              <w:t>(select</w:t>
            </w:r>
            <w:r>
              <w:rPr>
                <w:color w:val="FFFFFF"/>
                <w:spacing w:val="-11"/>
                <w:sz w:val="24"/>
              </w:rPr>
              <w:t> </w:t>
            </w:r>
            <w:r>
              <w:rPr>
                <w:color w:val="FFFFFF"/>
                <w:spacing w:val="-2"/>
                <w:sz w:val="24"/>
              </w:rPr>
              <w:t>as</w:t>
            </w:r>
            <w:r>
              <w:rPr>
                <w:color w:val="FFFFFF"/>
                <w:spacing w:val="-14"/>
                <w:sz w:val="24"/>
              </w:rPr>
              <w:t> </w:t>
            </w:r>
            <w:r>
              <w:rPr>
                <w:color w:val="FFFFFF"/>
                <w:spacing w:val="-2"/>
                <w:sz w:val="24"/>
              </w:rPr>
              <w:t>appropriate)</w:t>
            </w:r>
          </w:p>
        </w:tc>
      </w:tr>
      <w:tr>
        <w:trPr>
          <w:trHeight w:val="275" w:hRule="atLeast"/>
        </w:trPr>
        <w:tc>
          <w:tcPr>
            <w:tcW w:w="10069" w:type="dxa"/>
          </w:tcPr>
          <w:p>
            <w:pPr>
              <w:pStyle w:val="TableParagraph"/>
              <w:spacing w:line="255" w:lineRule="exact"/>
              <w:ind w:left="165" w:right="159"/>
              <w:jc w:val="center"/>
              <w:rPr>
                <w:sz w:val="24"/>
              </w:rPr>
            </w:pPr>
            <w:r>
              <w:rPr>
                <w:spacing w:val="-2"/>
                <w:sz w:val="24"/>
              </w:rPr>
              <w:t>Er</w:t>
            </w:r>
            <w:r>
              <w:rPr>
                <w:spacing w:val="-15"/>
                <w:sz w:val="24"/>
              </w:rPr>
              <w:t> </w:t>
            </w:r>
            <w:r>
              <w:rPr>
                <w:spacing w:val="-2"/>
                <w:sz w:val="24"/>
              </w:rPr>
              <w:t>Sicrwydd/For</w:t>
            </w:r>
            <w:r>
              <w:rPr>
                <w:spacing w:val="-14"/>
                <w:sz w:val="24"/>
              </w:rPr>
              <w:t> </w:t>
            </w:r>
            <w:r>
              <w:rPr>
                <w:spacing w:val="-2"/>
                <w:sz w:val="24"/>
              </w:rPr>
              <w:t>Assurance</w:t>
            </w:r>
          </w:p>
        </w:tc>
      </w:tr>
    </w:tbl>
    <w:p>
      <w:pPr>
        <w:pStyle w:val="BodyText"/>
        <w:spacing w:before="45"/>
        <w:rPr>
          <w:sz w:val="20"/>
        </w:rPr>
      </w:pP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5" w:hRule="atLeast"/>
        </w:trPr>
        <w:tc>
          <w:tcPr>
            <w:tcW w:w="10069" w:type="dxa"/>
            <w:shd w:val="clear" w:color="auto" w:fill="394871"/>
          </w:tcPr>
          <w:p>
            <w:pPr>
              <w:pStyle w:val="TableParagraph"/>
              <w:spacing w:line="280" w:lineRule="exact"/>
              <w:ind w:left="110" w:right="7140"/>
              <w:rPr>
                <w:b/>
                <w:sz w:val="24"/>
              </w:rPr>
            </w:pPr>
            <w:r>
              <w:rPr>
                <w:b/>
                <w:color w:val="FFFFFF"/>
                <w:spacing w:val="-4"/>
                <w:sz w:val="24"/>
              </w:rPr>
              <w:t>ADRODDIAD</w:t>
            </w:r>
            <w:r>
              <w:rPr>
                <w:b/>
                <w:color w:val="FFFFFF"/>
                <w:spacing w:val="-13"/>
                <w:sz w:val="24"/>
              </w:rPr>
              <w:t> </w:t>
            </w:r>
            <w:r>
              <w:rPr>
                <w:b/>
                <w:color w:val="FFFFFF"/>
                <w:spacing w:val="-4"/>
                <w:sz w:val="24"/>
              </w:rPr>
              <w:t>SCAA </w:t>
            </w:r>
            <w:r>
              <w:rPr>
                <w:b/>
                <w:color w:val="FFFFFF"/>
                <w:sz w:val="24"/>
              </w:rPr>
              <w:t>SBAR REPORT</w:t>
            </w:r>
          </w:p>
        </w:tc>
      </w:tr>
      <w:tr>
        <w:trPr>
          <w:trHeight w:val="2945" w:hRule="atLeast"/>
        </w:trPr>
        <w:tc>
          <w:tcPr>
            <w:tcW w:w="10069" w:type="dxa"/>
          </w:tcPr>
          <w:p>
            <w:pPr>
              <w:pStyle w:val="TableParagraph"/>
              <w:spacing w:line="271" w:lineRule="exact"/>
              <w:ind w:left="110"/>
              <w:rPr>
                <w:b/>
                <w:sz w:val="24"/>
              </w:rPr>
            </w:pPr>
            <w:r>
              <w:rPr>
                <w:b/>
                <w:color w:val="394871"/>
                <w:spacing w:val="-2"/>
                <w:sz w:val="24"/>
                <w:u w:val="single" w:color="394871"/>
              </w:rPr>
              <w:t>Sefyllfa</w:t>
            </w:r>
            <w:r>
              <w:rPr>
                <w:b/>
                <w:color w:val="394871"/>
                <w:spacing w:val="-12"/>
                <w:sz w:val="24"/>
                <w:u w:val="single" w:color="394871"/>
              </w:rPr>
              <w:t> </w:t>
            </w:r>
            <w:r>
              <w:rPr>
                <w:b/>
                <w:color w:val="394871"/>
                <w:spacing w:val="-2"/>
                <w:sz w:val="24"/>
                <w:u w:val="single" w:color="394871"/>
              </w:rPr>
              <w:t>/</w:t>
            </w:r>
            <w:r>
              <w:rPr>
                <w:b/>
                <w:color w:val="394871"/>
                <w:spacing w:val="-10"/>
                <w:sz w:val="24"/>
                <w:u w:val="single" w:color="394871"/>
              </w:rPr>
              <w:t> </w:t>
            </w:r>
            <w:r>
              <w:rPr>
                <w:b/>
                <w:color w:val="394871"/>
                <w:spacing w:val="-2"/>
                <w:sz w:val="24"/>
                <w:u w:val="single" w:color="394871"/>
              </w:rPr>
              <w:t>Situation</w:t>
            </w:r>
          </w:p>
          <w:p>
            <w:pPr>
              <w:pStyle w:val="TableParagraph"/>
              <w:spacing w:before="23"/>
              <w:rPr>
                <w:sz w:val="24"/>
              </w:rPr>
            </w:pPr>
          </w:p>
          <w:p>
            <w:pPr>
              <w:pStyle w:val="TableParagraph"/>
              <w:spacing w:line="261" w:lineRule="auto"/>
              <w:ind w:left="110" w:right="117"/>
              <w:rPr>
                <w:sz w:val="24"/>
              </w:rPr>
            </w:pPr>
            <w:r>
              <w:rPr>
                <w:sz w:val="24"/>
              </w:rPr>
              <w:t>This paper presents a formative work plan for the Research, Innovation and Excellence workstream and describes several practical steps towards a more coherent regional approach to research and innovation. The programme and proposed activities are intended to strengthen collaboration across the NHS and with academic, industry and wider regional partners,</w:t>
            </w:r>
            <w:r>
              <w:rPr>
                <w:spacing w:val="-6"/>
                <w:sz w:val="24"/>
              </w:rPr>
              <w:t> </w:t>
            </w:r>
            <w:r>
              <w:rPr>
                <w:sz w:val="24"/>
              </w:rPr>
              <w:t>ensuring</w:t>
            </w:r>
            <w:r>
              <w:rPr>
                <w:spacing w:val="-3"/>
                <w:sz w:val="24"/>
              </w:rPr>
              <w:t> </w:t>
            </w:r>
            <w:r>
              <w:rPr>
                <w:sz w:val="24"/>
              </w:rPr>
              <w:t>that</w:t>
            </w:r>
            <w:r>
              <w:rPr>
                <w:spacing w:val="-6"/>
                <w:sz w:val="24"/>
              </w:rPr>
              <w:t> </w:t>
            </w:r>
            <w:r>
              <w:rPr>
                <w:sz w:val="24"/>
              </w:rPr>
              <w:t>research</w:t>
            </w:r>
            <w:r>
              <w:rPr>
                <w:spacing w:val="-3"/>
                <w:sz w:val="24"/>
              </w:rPr>
              <w:t> </w:t>
            </w:r>
            <w:r>
              <w:rPr>
                <w:sz w:val="24"/>
              </w:rPr>
              <w:t>and</w:t>
            </w:r>
            <w:r>
              <w:rPr>
                <w:spacing w:val="-3"/>
                <w:sz w:val="24"/>
              </w:rPr>
              <w:t> </w:t>
            </w:r>
            <w:r>
              <w:rPr>
                <w:sz w:val="24"/>
              </w:rPr>
              <w:t>innovation</w:t>
            </w:r>
            <w:r>
              <w:rPr>
                <w:spacing w:val="-8"/>
                <w:sz w:val="24"/>
              </w:rPr>
              <w:t> </w:t>
            </w:r>
            <w:r>
              <w:rPr>
                <w:sz w:val="24"/>
              </w:rPr>
              <w:t>make</w:t>
            </w:r>
            <w:r>
              <w:rPr>
                <w:spacing w:val="-3"/>
                <w:sz w:val="24"/>
              </w:rPr>
              <w:t> </w:t>
            </w:r>
            <w:r>
              <w:rPr>
                <w:sz w:val="24"/>
              </w:rPr>
              <w:t>a</w:t>
            </w:r>
            <w:r>
              <w:rPr>
                <w:spacing w:val="-3"/>
                <w:sz w:val="24"/>
              </w:rPr>
              <w:t> </w:t>
            </w:r>
            <w:r>
              <w:rPr>
                <w:sz w:val="24"/>
              </w:rPr>
              <w:t>meaningful</w:t>
            </w:r>
            <w:r>
              <w:rPr>
                <w:spacing w:val="-3"/>
                <w:sz w:val="24"/>
              </w:rPr>
              <w:t> </w:t>
            </w:r>
            <w:r>
              <w:rPr>
                <w:sz w:val="24"/>
              </w:rPr>
              <w:t>contribution</w:t>
            </w:r>
            <w:r>
              <w:rPr>
                <w:spacing w:val="-3"/>
                <w:sz w:val="24"/>
              </w:rPr>
              <w:t> </w:t>
            </w:r>
            <w:r>
              <w:rPr>
                <w:sz w:val="24"/>
              </w:rPr>
              <w:t>to</w:t>
            </w:r>
            <w:r>
              <w:rPr>
                <w:spacing w:val="-3"/>
                <w:sz w:val="24"/>
              </w:rPr>
              <w:t> </w:t>
            </w:r>
            <w:r>
              <w:rPr>
                <w:sz w:val="24"/>
              </w:rPr>
              <w:t>improving the health and wellbeing of the population of South West Wales.</w:t>
            </w:r>
            <w:r>
              <w:rPr>
                <w:spacing w:val="40"/>
                <w:sz w:val="24"/>
              </w:rPr>
              <w:t> </w:t>
            </w:r>
            <w:r>
              <w:rPr>
                <w:sz w:val="24"/>
              </w:rPr>
              <w:t>The Regional Joint Committee</w:t>
            </w:r>
            <w:r>
              <w:rPr>
                <w:spacing w:val="-14"/>
                <w:sz w:val="24"/>
              </w:rPr>
              <w:t> </w:t>
            </w:r>
            <w:r>
              <w:rPr>
                <w:sz w:val="24"/>
              </w:rPr>
              <w:t>is</w:t>
            </w:r>
            <w:r>
              <w:rPr>
                <w:spacing w:val="-10"/>
                <w:sz w:val="24"/>
              </w:rPr>
              <w:t> </w:t>
            </w:r>
            <w:r>
              <w:rPr>
                <w:sz w:val="24"/>
              </w:rPr>
              <w:t>asked</w:t>
            </w:r>
            <w:r>
              <w:rPr>
                <w:spacing w:val="-9"/>
                <w:sz w:val="24"/>
              </w:rPr>
              <w:t> </w:t>
            </w:r>
            <w:r>
              <w:rPr>
                <w:sz w:val="24"/>
              </w:rPr>
              <w:t>to</w:t>
            </w:r>
            <w:r>
              <w:rPr>
                <w:spacing w:val="-2"/>
                <w:sz w:val="24"/>
              </w:rPr>
              <w:t> </w:t>
            </w:r>
            <w:r>
              <w:rPr>
                <w:sz w:val="24"/>
              </w:rPr>
              <w:t>take</w:t>
            </w:r>
            <w:r>
              <w:rPr>
                <w:spacing w:val="-9"/>
                <w:sz w:val="24"/>
              </w:rPr>
              <w:t> </w:t>
            </w:r>
            <w:r>
              <w:rPr>
                <w:sz w:val="24"/>
              </w:rPr>
              <w:t>assurance</w:t>
            </w:r>
            <w:r>
              <w:rPr>
                <w:spacing w:val="-4"/>
                <w:sz w:val="24"/>
              </w:rPr>
              <w:t> </w:t>
            </w:r>
            <w:r>
              <w:rPr>
                <w:sz w:val="24"/>
              </w:rPr>
              <w:t>from</w:t>
            </w:r>
            <w:r>
              <w:rPr>
                <w:spacing w:val="-4"/>
                <w:sz w:val="24"/>
              </w:rPr>
              <w:t> </w:t>
            </w:r>
            <w:r>
              <w:rPr>
                <w:sz w:val="24"/>
              </w:rPr>
              <w:t>the</w:t>
            </w:r>
            <w:r>
              <w:rPr>
                <w:spacing w:val="-9"/>
                <w:sz w:val="24"/>
              </w:rPr>
              <w:t> </w:t>
            </w:r>
            <w:r>
              <w:rPr>
                <w:sz w:val="24"/>
              </w:rPr>
              <w:t>emerging</w:t>
            </w:r>
            <w:r>
              <w:rPr>
                <w:spacing w:val="-9"/>
                <w:sz w:val="24"/>
              </w:rPr>
              <w:t> </w:t>
            </w:r>
            <w:r>
              <w:rPr>
                <w:sz w:val="24"/>
              </w:rPr>
              <w:t>programme.</w:t>
            </w:r>
          </w:p>
        </w:tc>
      </w:tr>
      <w:tr>
        <w:trPr>
          <w:trHeight w:val="6071" w:hRule="atLeast"/>
        </w:trPr>
        <w:tc>
          <w:tcPr>
            <w:tcW w:w="10069" w:type="dxa"/>
          </w:tcPr>
          <w:p>
            <w:pPr>
              <w:pStyle w:val="TableParagraph"/>
              <w:ind w:left="110"/>
              <w:rPr>
                <w:b/>
                <w:sz w:val="24"/>
              </w:rPr>
            </w:pPr>
            <w:r>
              <w:rPr>
                <w:b/>
                <w:color w:val="394871"/>
                <w:spacing w:val="-2"/>
                <w:sz w:val="24"/>
                <w:u w:val="single" w:color="394871"/>
              </w:rPr>
              <w:t>Cefndir</w:t>
            </w:r>
            <w:r>
              <w:rPr>
                <w:b/>
                <w:color w:val="394871"/>
                <w:spacing w:val="-11"/>
                <w:sz w:val="24"/>
                <w:u w:val="single" w:color="394871"/>
              </w:rPr>
              <w:t> </w:t>
            </w:r>
            <w:r>
              <w:rPr>
                <w:b/>
                <w:color w:val="394871"/>
                <w:spacing w:val="-2"/>
                <w:sz w:val="24"/>
                <w:u w:val="single" w:color="394871"/>
              </w:rPr>
              <w:t>/</w:t>
            </w:r>
            <w:r>
              <w:rPr>
                <w:b/>
                <w:color w:val="394871"/>
                <w:spacing w:val="-13"/>
                <w:sz w:val="24"/>
                <w:u w:val="single" w:color="394871"/>
              </w:rPr>
              <w:t> </w:t>
            </w:r>
            <w:r>
              <w:rPr>
                <w:b/>
                <w:color w:val="394871"/>
                <w:spacing w:val="-2"/>
                <w:sz w:val="24"/>
                <w:u w:val="single" w:color="394871"/>
              </w:rPr>
              <w:t>Background</w:t>
            </w:r>
          </w:p>
          <w:p>
            <w:pPr>
              <w:pStyle w:val="TableParagraph"/>
              <w:spacing w:before="2"/>
              <w:rPr>
                <w:sz w:val="24"/>
              </w:rPr>
            </w:pPr>
          </w:p>
          <w:p>
            <w:pPr>
              <w:pStyle w:val="TableParagraph"/>
              <w:spacing w:before="1"/>
              <w:ind w:left="110" w:right="212"/>
              <w:rPr>
                <w:sz w:val="24"/>
              </w:rPr>
            </w:pPr>
            <w:r>
              <w:rPr>
                <w:sz w:val="24"/>
              </w:rPr>
              <w:t>The</w:t>
            </w:r>
            <w:r>
              <w:rPr>
                <w:spacing w:val="-17"/>
                <w:sz w:val="24"/>
              </w:rPr>
              <w:t> </w:t>
            </w:r>
            <w:r>
              <w:rPr>
                <w:sz w:val="24"/>
              </w:rPr>
              <w:t>Regional</w:t>
            </w:r>
            <w:r>
              <w:rPr>
                <w:spacing w:val="-17"/>
                <w:sz w:val="24"/>
              </w:rPr>
              <w:t> </w:t>
            </w:r>
            <w:r>
              <w:rPr>
                <w:sz w:val="24"/>
              </w:rPr>
              <w:t>Joint</w:t>
            </w:r>
            <w:r>
              <w:rPr>
                <w:spacing w:val="-16"/>
                <w:sz w:val="24"/>
              </w:rPr>
              <w:t> </w:t>
            </w:r>
            <w:r>
              <w:rPr>
                <w:sz w:val="24"/>
              </w:rPr>
              <w:t>Committee’s</w:t>
            </w:r>
            <w:r>
              <w:rPr>
                <w:spacing w:val="-17"/>
                <w:sz w:val="24"/>
              </w:rPr>
              <w:t> </w:t>
            </w:r>
            <w:r>
              <w:rPr>
                <w:sz w:val="24"/>
              </w:rPr>
              <w:t>Research,</w:t>
            </w:r>
            <w:r>
              <w:rPr>
                <w:spacing w:val="-17"/>
                <w:sz w:val="24"/>
              </w:rPr>
              <w:t> </w:t>
            </w:r>
            <w:r>
              <w:rPr>
                <w:sz w:val="24"/>
              </w:rPr>
              <w:t>Innovation</w:t>
            </w:r>
            <w:r>
              <w:rPr>
                <w:spacing w:val="-17"/>
                <w:sz w:val="24"/>
              </w:rPr>
              <w:t> </w:t>
            </w:r>
            <w:r>
              <w:rPr>
                <w:sz w:val="24"/>
              </w:rPr>
              <w:t>and</w:t>
            </w:r>
            <w:r>
              <w:rPr>
                <w:spacing w:val="-16"/>
                <w:sz w:val="24"/>
              </w:rPr>
              <w:t> </w:t>
            </w:r>
            <w:r>
              <w:rPr>
                <w:sz w:val="24"/>
              </w:rPr>
              <w:t>Excellence</w:t>
            </w:r>
            <w:r>
              <w:rPr>
                <w:spacing w:val="-17"/>
                <w:sz w:val="24"/>
              </w:rPr>
              <w:t> </w:t>
            </w:r>
            <w:r>
              <w:rPr>
                <w:sz w:val="24"/>
              </w:rPr>
              <w:t>work</w:t>
            </w:r>
            <w:r>
              <w:rPr>
                <w:spacing w:val="-17"/>
                <w:sz w:val="24"/>
              </w:rPr>
              <w:t> </w:t>
            </w:r>
            <w:r>
              <w:rPr>
                <w:sz w:val="24"/>
              </w:rPr>
              <w:t>stream</w:t>
            </w:r>
            <w:r>
              <w:rPr>
                <w:spacing w:val="-16"/>
                <w:sz w:val="24"/>
              </w:rPr>
              <w:t> </w:t>
            </w:r>
            <w:r>
              <w:rPr>
                <w:sz w:val="24"/>
              </w:rPr>
              <w:t>strongly </w:t>
            </w:r>
            <w:r>
              <w:rPr>
                <w:spacing w:val="-2"/>
                <w:sz w:val="24"/>
              </w:rPr>
              <w:t>aligns</w:t>
            </w:r>
            <w:r>
              <w:rPr>
                <w:spacing w:val="-14"/>
                <w:sz w:val="24"/>
              </w:rPr>
              <w:t> </w:t>
            </w:r>
            <w:r>
              <w:rPr>
                <w:spacing w:val="-2"/>
                <w:sz w:val="24"/>
              </w:rPr>
              <w:t>to</w:t>
            </w:r>
            <w:r>
              <w:rPr>
                <w:spacing w:val="-13"/>
                <w:sz w:val="24"/>
              </w:rPr>
              <w:t> </w:t>
            </w:r>
            <w:r>
              <w:rPr>
                <w:spacing w:val="-2"/>
                <w:sz w:val="24"/>
              </w:rPr>
              <w:t>growing</w:t>
            </w:r>
            <w:r>
              <w:rPr>
                <w:spacing w:val="-13"/>
                <w:sz w:val="24"/>
              </w:rPr>
              <w:t> </w:t>
            </w:r>
            <w:r>
              <w:rPr>
                <w:spacing w:val="-2"/>
                <w:sz w:val="24"/>
              </w:rPr>
              <w:t>national</w:t>
            </w:r>
            <w:r>
              <w:rPr>
                <w:spacing w:val="-13"/>
                <w:sz w:val="24"/>
              </w:rPr>
              <w:t> </w:t>
            </w:r>
            <w:r>
              <w:rPr>
                <w:spacing w:val="-2"/>
                <w:sz w:val="24"/>
              </w:rPr>
              <w:t>interest,</w:t>
            </w:r>
            <w:r>
              <w:rPr>
                <w:spacing w:val="-15"/>
                <w:sz w:val="24"/>
              </w:rPr>
              <w:t> </w:t>
            </w:r>
            <w:r>
              <w:rPr>
                <w:spacing w:val="-2"/>
                <w:sz w:val="24"/>
              </w:rPr>
              <w:t>championed</w:t>
            </w:r>
            <w:r>
              <w:rPr>
                <w:spacing w:val="-12"/>
                <w:sz w:val="24"/>
              </w:rPr>
              <w:t> </w:t>
            </w:r>
            <w:r>
              <w:rPr>
                <w:spacing w:val="-2"/>
                <w:sz w:val="24"/>
              </w:rPr>
              <w:t>by</w:t>
            </w:r>
            <w:r>
              <w:rPr>
                <w:spacing w:val="-14"/>
                <w:sz w:val="24"/>
              </w:rPr>
              <w:t> </w:t>
            </w:r>
            <w:r>
              <w:rPr>
                <w:spacing w:val="-2"/>
                <w:sz w:val="24"/>
              </w:rPr>
              <w:t>the</w:t>
            </w:r>
            <w:r>
              <w:rPr>
                <w:spacing w:val="-13"/>
                <w:sz w:val="24"/>
              </w:rPr>
              <w:t> </w:t>
            </w:r>
            <w:r>
              <w:rPr>
                <w:spacing w:val="-2"/>
                <w:sz w:val="24"/>
              </w:rPr>
              <w:t>Chief</w:t>
            </w:r>
            <w:r>
              <w:rPr>
                <w:spacing w:val="-15"/>
                <w:sz w:val="24"/>
              </w:rPr>
              <w:t> </w:t>
            </w:r>
            <w:r>
              <w:rPr>
                <w:spacing w:val="-2"/>
                <w:sz w:val="24"/>
              </w:rPr>
              <w:t>Medical</w:t>
            </w:r>
            <w:r>
              <w:rPr>
                <w:spacing w:val="-12"/>
                <w:sz w:val="24"/>
              </w:rPr>
              <w:t> </w:t>
            </w:r>
            <w:r>
              <w:rPr>
                <w:spacing w:val="-2"/>
                <w:sz w:val="24"/>
              </w:rPr>
              <w:t>Officer,</w:t>
            </w:r>
            <w:r>
              <w:rPr>
                <w:spacing w:val="-13"/>
                <w:sz w:val="24"/>
              </w:rPr>
              <w:t> </w:t>
            </w:r>
            <w:r>
              <w:rPr>
                <w:spacing w:val="-2"/>
                <w:sz w:val="24"/>
              </w:rPr>
              <w:t>in</w:t>
            </w:r>
            <w:r>
              <w:rPr>
                <w:spacing w:val="-13"/>
                <w:sz w:val="24"/>
              </w:rPr>
              <w:t> </w:t>
            </w:r>
            <w:r>
              <w:rPr>
                <w:spacing w:val="-2"/>
                <w:sz w:val="24"/>
              </w:rPr>
              <w:t>strengthening </w:t>
            </w:r>
            <w:r>
              <w:rPr>
                <w:sz w:val="24"/>
              </w:rPr>
              <w:t>Wales'</w:t>
            </w:r>
            <w:r>
              <w:rPr>
                <w:spacing w:val="-15"/>
                <w:sz w:val="24"/>
              </w:rPr>
              <w:t> </w:t>
            </w:r>
            <w:r>
              <w:rPr>
                <w:sz w:val="24"/>
              </w:rPr>
              <w:t>research</w:t>
            </w:r>
            <w:r>
              <w:rPr>
                <w:spacing w:val="-16"/>
                <w:sz w:val="24"/>
              </w:rPr>
              <w:t> </w:t>
            </w:r>
            <w:r>
              <w:rPr>
                <w:sz w:val="24"/>
              </w:rPr>
              <w:t>and</w:t>
            </w:r>
            <w:r>
              <w:rPr>
                <w:spacing w:val="-16"/>
                <w:sz w:val="24"/>
              </w:rPr>
              <w:t> </w:t>
            </w:r>
            <w:r>
              <w:rPr>
                <w:sz w:val="24"/>
              </w:rPr>
              <w:t>innovation</w:t>
            </w:r>
            <w:r>
              <w:rPr>
                <w:spacing w:val="-11"/>
                <w:sz w:val="24"/>
              </w:rPr>
              <w:t> </w:t>
            </w:r>
            <w:r>
              <w:rPr>
                <w:sz w:val="24"/>
              </w:rPr>
              <w:t>ecosystem,</w:t>
            </w:r>
            <w:r>
              <w:rPr>
                <w:spacing w:val="-17"/>
                <w:sz w:val="24"/>
              </w:rPr>
              <w:t> </w:t>
            </w:r>
            <w:r>
              <w:rPr>
                <w:sz w:val="24"/>
              </w:rPr>
              <w:t>with</w:t>
            </w:r>
            <w:r>
              <w:rPr>
                <w:spacing w:val="-11"/>
                <w:sz w:val="24"/>
              </w:rPr>
              <w:t> </w:t>
            </w:r>
            <w:r>
              <w:rPr>
                <w:sz w:val="24"/>
              </w:rPr>
              <w:t>increasing</w:t>
            </w:r>
            <w:r>
              <w:rPr>
                <w:spacing w:val="-11"/>
                <w:sz w:val="24"/>
              </w:rPr>
              <w:t> </w:t>
            </w:r>
            <w:r>
              <w:rPr>
                <w:sz w:val="24"/>
              </w:rPr>
              <w:t>emphasis</w:t>
            </w:r>
            <w:r>
              <w:rPr>
                <w:spacing w:val="-12"/>
                <w:sz w:val="24"/>
              </w:rPr>
              <w:t> </w:t>
            </w:r>
            <w:r>
              <w:rPr>
                <w:sz w:val="24"/>
              </w:rPr>
              <w:t>on</w:t>
            </w:r>
            <w:r>
              <w:rPr>
                <w:spacing w:val="-11"/>
                <w:sz w:val="24"/>
              </w:rPr>
              <w:t> </w:t>
            </w:r>
            <w:r>
              <w:rPr>
                <w:sz w:val="24"/>
              </w:rPr>
              <w:t>research </w:t>
            </w:r>
            <w:r>
              <w:rPr>
                <w:spacing w:val="-2"/>
                <w:sz w:val="24"/>
              </w:rPr>
              <w:t>participation,</w:t>
            </w:r>
            <w:r>
              <w:rPr>
                <w:spacing w:val="-8"/>
                <w:sz w:val="24"/>
              </w:rPr>
              <w:t> </w:t>
            </w:r>
            <w:r>
              <w:rPr>
                <w:spacing w:val="-2"/>
                <w:sz w:val="24"/>
              </w:rPr>
              <w:t>innovation</w:t>
            </w:r>
            <w:r>
              <w:rPr>
                <w:spacing w:val="-5"/>
                <w:sz w:val="24"/>
              </w:rPr>
              <w:t> </w:t>
            </w:r>
            <w:r>
              <w:rPr>
                <w:spacing w:val="-2"/>
                <w:sz w:val="24"/>
              </w:rPr>
              <w:t>adoption,</w:t>
            </w:r>
            <w:r>
              <w:rPr>
                <w:spacing w:val="-8"/>
                <w:sz w:val="24"/>
              </w:rPr>
              <w:t> </w:t>
            </w:r>
            <w:r>
              <w:rPr>
                <w:spacing w:val="-2"/>
                <w:sz w:val="24"/>
              </w:rPr>
              <w:t>data-driven</w:t>
            </w:r>
            <w:r>
              <w:rPr>
                <w:spacing w:val="-5"/>
                <w:sz w:val="24"/>
              </w:rPr>
              <w:t> </w:t>
            </w:r>
            <w:r>
              <w:rPr>
                <w:spacing w:val="-2"/>
                <w:sz w:val="24"/>
              </w:rPr>
              <w:t>improvement</w:t>
            </w:r>
            <w:r>
              <w:rPr>
                <w:spacing w:val="-8"/>
                <w:sz w:val="24"/>
              </w:rPr>
              <w:t> </w:t>
            </w:r>
            <w:r>
              <w:rPr>
                <w:spacing w:val="-2"/>
                <w:sz w:val="24"/>
              </w:rPr>
              <w:t>and collaboration</w:t>
            </w:r>
            <w:r>
              <w:rPr>
                <w:spacing w:val="-10"/>
                <w:sz w:val="24"/>
              </w:rPr>
              <w:t> </w:t>
            </w:r>
            <w:r>
              <w:rPr>
                <w:spacing w:val="-2"/>
                <w:sz w:val="24"/>
              </w:rPr>
              <w:t>across</w:t>
            </w:r>
            <w:r>
              <w:rPr>
                <w:spacing w:val="-6"/>
                <w:sz w:val="24"/>
              </w:rPr>
              <w:t> </w:t>
            </w:r>
            <w:r>
              <w:rPr>
                <w:spacing w:val="-2"/>
                <w:sz w:val="24"/>
              </w:rPr>
              <w:t>health, </w:t>
            </w:r>
            <w:r>
              <w:rPr>
                <w:sz w:val="24"/>
              </w:rPr>
              <w:t>academia and industry.</w:t>
            </w:r>
          </w:p>
          <w:p>
            <w:pPr>
              <w:pStyle w:val="TableParagraph"/>
              <w:spacing w:before="275"/>
              <w:ind w:left="110"/>
              <w:rPr>
                <w:sz w:val="24"/>
              </w:rPr>
            </w:pPr>
            <w:r>
              <w:rPr>
                <w:sz w:val="24"/>
              </w:rPr>
              <w:t>Over</w:t>
            </w:r>
            <w:r>
              <w:rPr>
                <w:spacing w:val="-10"/>
                <w:sz w:val="24"/>
              </w:rPr>
              <w:t> </w:t>
            </w:r>
            <w:r>
              <w:rPr>
                <w:sz w:val="24"/>
              </w:rPr>
              <w:t>the</w:t>
            </w:r>
            <w:r>
              <w:rPr>
                <w:spacing w:val="-10"/>
                <w:sz w:val="24"/>
              </w:rPr>
              <w:t> </w:t>
            </w:r>
            <w:r>
              <w:rPr>
                <w:sz w:val="24"/>
              </w:rPr>
              <w:t>past</w:t>
            </w:r>
            <w:r>
              <w:rPr>
                <w:spacing w:val="-12"/>
                <w:sz w:val="24"/>
              </w:rPr>
              <w:t> </w:t>
            </w:r>
            <w:r>
              <w:rPr>
                <w:sz w:val="24"/>
              </w:rPr>
              <w:t>year,</w:t>
            </w:r>
            <w:r>
              <w:rPr>
                <w:spacing w:val="-12"/>
                <w:sz w:val="24"/>
              </w:rPr>
              <w:t> </w:t>
            </w:r>
            <w:r>
              <w:rPr>
                <w:sz w:val="24"/>
              </w:rPr>
              <w:t>an</w:t>
            </w:r>
            <w:r>
              <w:rPr>
                <w:spacing w:val="-10"/>
                <w:sz w:val="24"/>
              </w:rPr>
              <w:t> </w:t>
            </w:r>
            <w:r>
              <w:rPr>
                <w:sz w:val="24"/>
              </w:rPr>
              <w:t>emerging</w:t>
            </w:r>
            <w:r>
              <w:rPr>
                <w:spacing w:val="-10"/>
                <w:sz w:val="24"/>
              </w:rPr>
              <w:t> </w:t>
            </w:r>
            <w:r>
              <w:rPr>
                <w:sz w:val="24"/>
              </w:rPr>
              <w:t>programme</w:t>
            </w:r>
            <w:r>
              <w:rPr>
                <w:spacing w:val="-14"/>
                <w:sz w:val="24"/>
              </w:rPr>
              <w:t> </w:t>
            </w:r>
            <w:r>
              <w:rPr>
                <w:sz w:val="24"/>
              </w:rPr>
              <w:t>of</w:t>
            </w:r>
            <w:r>
              <w:rPr>
                <w:spacing w:val="-12"/>
                <w:sz w:val="24"/>
              </w:rPr>
              <w:t> </w:t>
            </w:r>
            <w:r>
              <w:rPr>
                <w:sz w:val="24"/>
              </w:rPr>
              <w:t>regional</w:t>
            </w:r>
            <w:r>
              <w:rPr>
                <w:spacing w:val="-14"/>
                <w:sz w:val="24"/>
              </w:rPr>
              <w:t> </w:t>
            </w:r>
            <w:r>
              <w:rPr>
                <w:sz w:val="24"/>
              </w:rPr>
              <w:t>activity</w:t>
            </w:r>
            <w:r>
              <w:rPr>
                <w:spacing w:val="-10"/>
                <w:sz w:val="24"/>
              </w:rPr>
              <w:t> </w:t>
            </w:r>
            <w:r>
              <w:rPr>
                <w:sz w:val="24"/>
              </w:rPr>
              <w:t>has</w:t>
            </w:r>
            <w:r>
              <w:rPr>
                <w:spacing w:val="-15"/>
                <w:sz w:val="24"/>
              </w:rPr>
              <w:t> </w:t>
            </w:r>
            <w:r>
              <w:rPr>
                <w:sz w:val="24"/>
              </w:rPr>
              <w:t>been</w:t>
            </w:r>
            <w:r>
              <w:rPr>
                <w:spacing w:val="-10"/>
                <w:sz w:val="24"/>
              </w:rPr>
              <w:t> </w:t>
            </w:r>
            <w:r>
              <w:rPr>
                <w:sz w:val="24"/>
              </w:rPr>
              <w:t>overseen</w:t>
            </w:r>
            <w:r>
              <w:rPr>
                <w:spacing w:val="-10"/>
                <w:sz w:val="24"/>
              </w:rPr>
              <w:t> </w:t>
            </w:r>
            <w:r>
              <w:rPr>
                <w:sz w:val="24"/>
              </w:rPr>
              <w:t>by</w:t>
            </w:r>
            <w:r>
              <w:rPr>
                <w:spacing w:val="-6"/>
                <w:sz w:val="24"/>
              </w:rPr>
              <w:t> </w:t>
            </w:r>
            <w:r>
              <w:rPr>
                <w:sz w:val="24"/>
              </w:rPr>
              <w:t>the </w:t>
            </w:r>
            <w:r>
              <w:rPr>
                <w:spacing w:val="-2"/>
                <w:sz w:val="24"/>
              </w:rPr>
              <w:t>Executive</w:t>
            </w:r>
            <w:r>
              <w:rPr>
                <w:spacing w:val="-6"/>
                <w:sz w:val="24"/>
              </w:rPr>
              <w:t> </w:t>
            </w:r>
            <w:r>
              <w:rPr>
                <w:spacing w:val="-2"/>
                <w:sz w:val="24"/>
              </w:rPr>
              <w:t>Medical</w:t>
            </w:r>
            <w:r>
              <w:rPr>
                <w:spacing w:val="-11"/>
                <w:sz w:val="24"/>
              </w:rPr>
              <w:t> </w:t>
            </w:r>
            <w:r>
              <w:rPr>
                <w:spacing w:val="-2"/>
                <w:sz w:val="24"/>
              </w:rPr>
              <w:t>Directors</w:t>
            </w:r>
            <w:r>
              <w:rPr>
                <w:spacing w:val="-7"/>
                <w:sz w:val="24"/>
              </w:rPr>
              <w:t> </w:t>
            </w:r>
            <w:r>
              <w:rPr>
                <w:spacing w:val="-2"/>
                <w:sz w:val="24"/>
              </w:rPr>
              <w:t>and</w:t>
            </w:r>
            <w:r>
              <w:rPr>
                <w:spacing w:val="-6"/>
                <w:sz w:val="24"/>
              </w:rPr>
              <w:t> </w:t>
            </w:r>
            <w:r>
              <w:rPr>
                <w:spacing w:val="-2"/>
                <w:sz w:val="24"/>
              </w:rPr>
              <w:t>Research</w:t>
            </w:r>
            <w:r>
              <w:rPr>
                <w:spacing w:val="-6"/>
                <w:sz w:val="24"/>
              </w:rPr>
              <w:t> </w:t>
            </w:r>
            <w:r>
              <w:rPr>
                <w:spacing w:val="-2"/>
                <w:sz w:val="24"/>
              </w:rPr>
              <w:t>and</w:t>
            </w:r>
            <w:r>
              <w:rPr>
                <w:spacing w:val="-6"/>
                <w:sz w:val="24"/>
              </w:rPr>
              <w:t> </w:t>
            </w:r>
            <w:r>
              <w:rPr>
                <w:spacing w:val="-2"/>
                <w:sz w:val="24"/>
              </w:rPr>
              <w:t>Development</w:t>
            </w:r>
            <w:r>
              <w:rPr>
                <w:spacing w:val="-9"/>
                <w:sz w:val="24"/>
              </w:rPr>
              <w:t> </w:t>
            </w:r>
            <w:r>
              <w:rPr>
                <w:spacing w:val="-2"/>
                <w:sz w:val="24"/>
              </w:rPr>
              <w:t>leaders from</w:t>
            </w:r>
            <w:r>
              <w:rPr>
                <w:spacing w:val="-7"/>
                <w:sz w:val="24"/>
              </w:rPr>
              <w:t> </w:t>
            </w:r>
            <w:r>
              <w:rPr>
                <w:spacing w:val="-2"/>
                <w:sz w:val="24"/>
              </w:rPr>
              <w:t>both</w:t>
            </w:r>
            <w:r>
              <w:rPr>
                <w:spacing w:val="-6"/>
                <w:sz w:val="24"/>
              </w:rPr>
              <w:t> </w:t>
            </w:r>
            <w:r>
              <w:rPr>
                <w:spacing w:val="-2"/>
                <w:sz w:val="24"/>
              </w:rPr>
              <w:t>organisations, with</w:t>
            </w:r>
            <w:r>
              <w:rPr>
                <w:spacing w:val="-15"/>
                <w:sz w:val="24"/>
              </w:rPr>
              <w:t> </w:t>
            </w:r>
            <w:r>
              <w:rPr>
                <w:spacing w:val="-2"/>
                <w:sz w:val="24"/>
              </w:rPr>
              <w:t>progress</w:t>
            </w:r>
            <w:r>
              <w:rPr>
                <w:spacing w:val="-15"/>
                <w:sz w:val="24"/>
              </w:rPr>
              <w:t> </w:t>
            </w:r>
            <w:r>
              <w:rPr>
                <w:spacing w:val="-2"/>
                <w:sz w:val="24"/>
              </w:rPr>
              <w:t>and</w:t>
            </w:r>
            <w:r>
              <w:rPr>
                <w:spacing w:val="-14"/>
                <w:sz w:val="24"/>
              </w:rPr>
              <w:t> </w:t>
            </w:r>
            <w:r>
              <w:rPr>
                <w:spacing w:val="-2"/>
                <w:sz w:val="24"/>
              </w:rPr>
              <w:t>achievements</w:t>
            </w:r>
            <w:r>
              <w:rPr>
                <w:spacing w:val="-15"/>
                <w:sz w:val="24"/>
              </w:rPr>
              <w:t> </w:t>
            </w:r>
            <w:r>
              <w:rPr>
                <w:spacing w:val="-2"/>
                <w:sz w:val="24"/>
              </w:rPr>
              <w:t>reported</w:t>
            </w:r>
            <w:r>
              <w:rPr>
                <w:spacing w:val="-11"/>
                <w:sz w:val="24"/>
              </w:rPr>
              <w:t> </w:t>
            </w:r>
            <w:r>
              <w:rPr>
                <w:spacing w:val="-2"/>
                <w:sz w:val="24"/>
              </w:rPr>
              <w:t>through</w:t>
            </w:r>
            <w:r>
              <w:rPr>
                <w:spacing w:val="-13"/>
                <w:sz w:val="24"/>
              </w:rPr>
              <w:t> </w:t>
            </w:r>
            <w:r>
              <w:rPr>
                <w:spacing w:val="-2"/>
                <w:sz w:val="24"/>
              </w:rPr>
              <w:t>the</w:t>
            </w:r>
            <w:r>
              <w:rPr>
                <w:spacing w:val="-14"/>
                <w:sz w:val="24"/>
              </w:rPr>
              <w:t> </w:t>
            </w:r>
            <w:r>
              <w:rPr>
                <w:spacing w:val="-2"/>
                <w:sz w:val="24"/>
              </w:rPr>
              <w:t>associated</w:t>
            </w:r>
            <w:r>
              <w:rPr>
                <w:spacing w:val="-14"/>
                <w:sz w:val="24"/>
              </w:rPr>
              <w:t> </w:t>
            </w:r>
            <w:r>
              <w:rPr>
                <w:spacing w:val="-2"/>
                <w:sz w:val="24"/>
              </w:rPr>
              <w:t>3As</w:t>
            </w:r>
            <w:r>
              <w:rPr>
                <w:spacing w:val="-15"/>
                <w:sz w:val="24"/>
              </w:rPr>
              <w:t> </w:t>
            </w:r>
            <w:r>
              <w:rPr>
                <w:spacing w:val="-2"/>
                <w:sz w:val="24"/>
              </w:rPr>
              <w:t>report,</w:t>
            </w:r>
            <w:r>
              <w:rPr>
                <w:spacing w:val="-15"/>
                <w:sz w:val="24"/>
              </w:rPr>
              <w:t> </w:t>
            </w:r>
            <w:r>
              <w:rPr>
                <w:spacing w:val="-2"/>
                <w:sz w:val="24"/>
              </w:rPr>
              <w:t>including</w:t>
            </w:r>
            <w:r>
              <w:rPr>
                <w:spacing w:val="-13"/>
                <w:sz w:val="24"/>
              </w:rPr>
              <w:t> </w:t>
            </w:r>
            <w:r>
              <w:rPr>
                <w:spacing w:val="-2"/>
                <w:sz w:val="24"/>
              </w:rPr>
              <w:t>tangible activities</w:t>
            </w:r>
            <w:r>
              <w:rPr>
                <w:spacing w:val="-8"/>
                <w:sz w:val="24"/>
              </w:rPr>
              <w:t> </w:t>
            </w:r>
            <w:r>
              <w:rPr>
                <w:spacing w:val="-2"/>
                <w:sz w:val="24"/>
              </w:rPr>
              <w:t>to</w:t>
            </w:r>
            <w:r>
              <w:rPr>
                <w:spacing w:val="-15"/>
                <w:sz w:val="24"/>
              </w:rPr>
              <w:t> </w:t>
            </w:r>
            <w:r>
              <w:rPr>
                <w:spacing w:val="-2"/>
                <w:sz w:val="24"/>
              </w:rPr>
              <w:t>improve</w:t>
            </w:r>
            <w:r>
              <w:rPr>
                <w:spacing w:val="-11"/>
                <w:sz w:val="24"/>
              </w:rPr>
              <w:t> </w:t>
            </w:r>
            <w:r>
              <w:rPr>
                <w:spacing w:val="-2"/>
                <w:sz w:val="24"/>
              </w:rPr>
              <w:t>access</w:t>
            </w:r>
            <w:r>
              <w:rPr>
                <w:spacing w:val="-7"/>
                <w:sz w:val="24"/>
              </w:rPr>
              <w:t> </w:t>
            </w:r>
            <w:r>
              <w:rPr>
                <w:spacing w:val="-2"/>
                <w:sz w:val="24"/>
              </w:rPr>
              <w:t>to</w:t>
            </w:r>
            <w:r>
              <w:rPr>
                <w:spacing w:val="-11"/>
                <w:sz w:val="24"/>
              </w:rPr>
              <w:t> </w:t>
            </w:r>
            <w:r>
              <w:rPr>
                <w:spacing w:val="-2"/>
                <w:sz w:val="24"/>
              </w:rPr>
              <w:t>cancer</w:t>
            </w:r>
            <w:r>
              <w:rPr>
                <w:spacing w:val="-12"/>
                <w:sz w:val="24"/>
              </w:rPr>
              <w:t> </w:t>
            </w:r>
            <w:r>
              <w:rPr>
                <w:spacing w:val="-2"/>
                <w:sz w:val="24"/>
              </w:rPr>
              <w:t>research</w:t>
            </w:r>
            <w:r>
              <w:rPr>
                <w:spacing w:val="-11"/>
                <w:sz w:val="24"/>
              </w:rPr>
              <w:t> </w:t>
            </w:r>
            <w:r>
              <w:rPr>
                <w:spacing w:val="-2"/>
                <w:sz w:val="24"/>
              </w:rPr>
              <w:t>studies</w:t>
            </w:r>
            <w:r>
              <w:rPr>
                <w:spacing w:val="-12"/>
                <w:sz w:val="24"/>
              </w:rPr>
              <w:t> </w:t>
            </w:r>
            <w:r>
              <w:rPr>
                <w:spacing w:val="-2"/>
                <w:sz w:val="24"/>
              </w:rPr>
              <w:t>and</w:t>
            </w:r>
            <w:r>
              <w:rPr>
                <w:spacing w:val="-11"/>
                <w:sz w:val="24"/>
              </w:rPr>
              <w:t> </w:t>
            </w:r>
            <w:r>
              <w:rPr>
                <w:spacing w:val="-2"/>
                <w:sz w:val="24"/>
              </w:rPr>
              <w:t>work</w:t>
            </w:r>
            <w:r>
              <w:rPr>
                <w:spacing w:val="-7"/>
                <w:sz w:val="24"/>
              </w:rPr>
              <w:t> </w:t>
            </w:r>
            <w:r>
              <w:rPr>
                <w:spacing w:val="-2"/>
                <w:sz w:val="24"/>
              </w:rPr>
              <w:t>to</w:t>
            </w:r>
            <w:r>
              <w:rPr>
                <w:spacing w:val="-11"/>
                <w:sz w:val="24"/>
              </w:rPr>
              <w:t> </w:t>
            </w:r>
            <w:r>
              <w:rPr>
                <w:spacing w:val="-2"/>
                <w:sz w:val="24"/>
              </w:rPr>
              <w:t>understand</w:t>
            </w:r>
            <w:r>
              <w:rPr>
                <w:spacing w:val="-11"/>
                <w:sz w:val="24"/>
              </w:rPr>
              <w:t> </w:t>
            </w:r>
            <w:r>
              <w:rPr>
                <w:spacing w:val="-2"/>
                <w:sz w:val="24"/>
              </w:rPr>
              <w:t>and</w:t>
            </w:r>
            <w:r>
              <w:rPr>
                <w:spacing w:val="-11"/>
                <w:sz w:val="24"/>
              </w:rPr>
              <w:t> </w:t>
            </w:r>
            <w:r>
              <w:rPr>
                <w:spacing w:val="-2"/>
                <w:sz w:val="24"/>
              </w:rPr>
              <w:t>respond</w:t>
            </w:r>
            <w:r>
              <w:rPr>
                <w:spacing w:val="-11"/>
                <w:sz w:val="24"/>
              </w:rPr>
              <w:t> </w:t>
            </w:r>
            <w:r>
              <w:rPr>
                <w:spacing w:val="-2"/>
                <w:sz w:val="24"/>
              </w:rPr>
              <w:t>to </w:t>
            </w:r>
            <w:r>
              <w:rPr>
                <w:sz w:val="24"/>
              </w:rPr>
              <w:t>cardiovascular disease risk factors.</w:t>
            </w:r>
          </w:p>
          <w:p>
            <w:pPr>
              <w:pStyle w:val="TableParagraph"/>
              <w:rPr>
                <w:sz w:val="24"/>
              </w:rPr>
            </w:pPr>
          </w:p>
          <w:p>
            <w:pPr>
              <w:pStyle w:val="TableParagraph"/>
              <w:ind w:left="110" w:right="886"/>
              <w:jc w:val="both"/>
              <w:rPr>
                <w:sz w:val="24"/>
              </w:rPr>
            </w:pPr>
            <w:r>
              <w:rPr>
                <w:spacing w:val="-2"/>
                <w:sz w:val="24"/>
              </w:rPr>
              <w:t>The</w:t>
            </w:r>
            <w:r>
              <w:rPr>
                <w:spacing w:val="-15"/>
                <w:sz w:val="24"/>
              </w:rPr>
              <w:t> </w:t>
            </w:r>
            <w:r>
              <w:rPr>
                <w:spacing w:val="-2"/>
                <w:sz w:val="24"/>
              </w:rPr>
              <w:t>recent</w:t>
            </w:r>
            <w:r>
              <w:rPr>
                <w:spacing w:val="-15"/>
                <w:sz w:val="24"/>
              </w:rPr>
              <w:t> </w:t>
            </w:r>
            <w:r>
              <w:rPr>
                <w:spacing w:val="-2"/>
                <w:sz w:val="24"/>
              </w:rPr>
              <w:t>appointment</w:t>
            </w:r>
            <w:r>
              <w:rPr>
                <w:spacing w:val="-14"/>
                <w:sz w:val="24"/>
              </w:rPr>
              <w:t> </w:t>
            </w:r>
            <w:r>
              <w:rPr>
                <w:spacing w:val="-2"/>
                <w:sz w:val="24"/>
              </w:rPr>
              <w:t>of</w:t>
            </w:r>
            <w:r>
              <w:rPr>
                <w:spacing w:val="-15"/>
                <w:sz w:val="24"/>
              </w:rPr>
              <w:t> </w:t>
            </w:r>
            <w:r>
              <w:rPr>
                <w:spacing w:val="-2"/>
                <w:sz w:val="24"/>
              </w:rPr>
              <w:t>an</w:t>
            </w:r>
            <w:r>
              <w:rPr>
                <w:spacing w:val="-9"/>
                <w:sz w:val="24"/>
              </w:rPr>
              <w:t> </w:t>
            </w:r>
            <w:r>
              <w:rPr>
                <w:spacing w:val="-2"/>
                <w:sz w:val="24"/>
              </w:rPr>
              <w:t>Interim</w:t>
            </w:r>
            <w:r>
              <w:rPr>
                <w:spacing w:val="-15"/>
                <w:sz w:val="24"/>
              </w:rPr>
              <w:t> </w:t>
            </w:r>
            <w:r>
              <w:rPr>
                <w:spacing w:val="-2"/>
                <w:sz w:val="24"/>
              </w:rPr>
              <w:t>Director</w:t>
            </w:r>
            <w:r>
              <w:rPr>
                <w:spacing w:val="-9"/>
                <w:sz w:val="24"/>
              </w:rPr>
              <w:t> </w:t>
            </w:r>
            <w:r>
              <w:rPr>
                <w:spacing w:val="-2"/>
                <w:sz w:val="24"/>
              </w:rPr>
              <w:t>for</w:t>
            </w:r>
            <w:r>
              <w:rPr>
                <w:spacing w:val="-9"/>
                <w:sz w:val="24"/>
              </w:rPr>
              <w:t> </w:t>
            </w:r>
            <w:r>
              <w:rPr>
                <w:spacing w:val="-2"/>
                <w:sz w:val="24"/>
              </w:rPr>
              <w:t>Research</w:t>
            </w:r>
            <w:r>
              <w:rPr>
                <w:spacing w:val="-15"/>
                <w:sz w:val="24"/>
              </w:rPr>
              <w:t> </w:t>
            </w:r>
            <w:r>
              <w:rPr>
                <w:spacing w:val="-2"/>
                <w:sz w:val="24"/>
              </w:rPr>
              <w:t>and</w:t>
            </w:r>
            <w:r>
              <w:rPr>
                <w:spacing w:val="-12"/>
                <w:sz w:val="24"/>
              </w:rPr>
              <w:t> </w:t>
            </w:r>
            <w:r>
              <w:rPr>
                <w:spacing w:val="-2"/>
                <w:sz w:val="24"/>
              </w:rPr>
              <w:t>Innovation</w:t>
            </w:r>
            <w:r>
              <w:rPr>
                <w:spacing w:val="-9"/>
                <w:sz w:val="24"/>
              </w:rPr>
              <w:t> </w:t>
            </w:r>
            <w:r>
              <w:rPr>
                <w:spacing w:val="-2"/>
                <w:sz w:val="24"/>
              </w:rPr>
              <w:t>(South</w:t>
            </w:r>
            <w:r>
              <w:rPr>
                <w:spacing w:val="-8"/>
                <w:sz w:val="24"/>
              </w:rPr>
              <w:t> </w:t>
            </w:r>
            <w:r>
              <w:rPr>
                <w:spacing w:val="-2"/>
                <w:sz w:val="24"/>
              </w:rPr>
              <w:t>West Wales),</w:t>
            </w:r>
            <w:r>
              <w:rPr>
                <w:spacing w:val="-13"/>
                <w:sz w:val="24"/>
              </w:rPr>
              <w:t> </w:t>
            </w:r>
            <w:r>
              <w:rPr>
                <w:spacing w:val="-2"/>
                <w:sz w:val="24"/>
              </w:rPr>
              <w:t>who</w:t>
            </w:r>
            <w:r>
              <w:rPr>
                <w:spacing w:val="-6"/>
                <w:sz w:val="24"/>
              </w:rPr>
              <w:t> </w:t>
            </w:r>
            <w:r>
              <w:rPr>
                <w:spacing w:val="-2"/>
                <w:sz w:val="24"/>
              </w:rPr>
              <w:t>started</w:t>
            </w:r>
            <w:r>
              <w:rPr>
                <w:spacing w:val="-10"/>
                <w:sz w:val="24"/>
              </w:rPr>
              <w:t> </w:t>
            </w:r>
            <w:r>
              <w:rPr>
                <w:spacing w:val="-2"/>
                <w:sz w:val="24"/>
              </w:rPr>
              <w:t>on</w:t>
            </w:r>
            <w:r>
              <w:rPr>
                <w:spacing w:val="-10"/>
                <w:sz w:val="24"/>
              </w:rPr>
              <w:t> </w:t>
            </w:r>
            <w:r>
              <w:rPr>
                <w:spacing w:val="-2"/>
                <w:sz w:val="24"/>
              </w:rPr>
              <w:t>21</w:t>
            </w:r>
            <w:r>
              <w:rPr>
                <w:spacing w:val="-10"/>
                <w:sz w:val="24"/>
              </w:rPr>
              <w:t> </w:t>
            </w:r>
            <w:r>
              <w:rPr>
                <w:spacing w:val="-2"/>
                <w:sz w:val="24"/>
              </w:rPr>
              <w:t>September,</w:t>
            </w:r>
            <w:r>
              <w:rPr>
                <w:spacing w:val="-12"/>
                <w:sz w:val="24"/>
              </w:rPr>
              <w:t> </w:t>
            </w:r>
            <w:r>
              <w:rPr>
                <w:spacing w:val="-2"/>
                <w:sz w:val="24"/>
              </w:rPr>
              <w:t>provides</w:t>
            </w:r>
            <w:r>
              <w:rPr>
                <w:spacing w:val="-7"/>
                <w:sz w:val="24"/>
              </w:rPr>
              <w:t> </w:t>
            </w:r>
            <w:r>
              <w:rPr>
                <w:spacing w:val="-2"/>
                <w:sz w:val="24"/>
              </w:rPr>
              <w:t>an</w:t>
            </w:r>
            <w:r>
              <w:rPr>
                <w:spacing w:val="-15"/>
                <w:sz w:val="24"/>
              </w:rPr>
              <w:t> </w:t>
            </w:r>
            <w:r>
              <w:rPr>
                <w:spacing w:val="-2"/>
                <w:sz w:val="24"/>
              </w:rPr>
              <w:t>opportunity</w:t>
            </w:r>
            <w:r>
              <w:rPr>
                <w:spacing w:val="-11"/>
                <w:sz w:val="24"/>
              </w:rPr>
              <w:t> </w:t>
            </w:r>
            <w:r>
              <w:rPr>
                <w:spacing w:val="-2"/>
                <w:sz w:val="24"/>
              </w:rPr>
              <w:t>to</w:t>
            </w:r>
            <w:r>
              <w:rPr>
                <w:spacing w:val="-6"/>
                <w:sz w:val="24"/>
              </w:rPr>
              <w:t> </w:t>
            </w:r>
            <w:r>
              <w:rPr>
                <w:spacing w:val="-2"/>
                <w:sz w:val="24"/>
              </w:rPr>
              <w:t>move</w:t>
            </w:r>
            <w:r>
              <w:rPr>
                <w:spacing w:val="-6"/>
                <w:sz w:val="24"/>
              </w:rPr>
              <w:t> </w:t>
            </w:r>
            <w:r>
              <w:rPr>
                <w:spacing w:val="-2"/>
                <w:sz w:val="24"/>
              </w:rPr>
              <w:t>from</w:t>
            </w:r>
            <w:r>
              <w:rPr>
                <w:spacing w:val="-11"/>
                <w:sz w:val="24"/>
              </w:rPr>
              <w:t> </w:t>
            </w:r>
            <w:r>
              <w:rPr>
                <w:spacing w:val="-2"/>
                <w:sz w:val="24"/>
              </w:rPr>
              <w:t>a</w:t>
            </w:r>
            <w:r>
              <w:rPr>
                <w:spacing w:val="-10"/>
                <w:sz w:val="24"/>
              </w:rPr>
              <w:t> </w:t>
            </w:r>
            <w:r>
              <w:rPr>
                <w:spacing w:val="-2"/>
                <w:sz w:val="24"/>
              </w:rPr>
              <w:t>series</w:t>
            </w:r>
            <w:r>
              <w:rPr>
                <w:spacing w:val="-11"/>
                <w:sz w:val="24"/>
              </w:rPr>
              <w:t> </w:t>
            </w:r>
            <w:r>
              <w:rPr>
                <w:spacing w:val="-2"/>
                <w:sz w:val="24"/>
              </w:rPr>
              <w:t>of </w:t>
            </w:r>
            <w:r>
              <w:rPr>
                <w:sz w:val="24"/>
              </w:rPr>
              <w:t>individual</w:t>
            </w:r>
            <w:r>
              <w:rPr>
                <w:spacing w:val="-10"/>
                <w:sz w:val="24"/>
              </w:rPr>
              <w:t> </w:t>
            </w:r>
            <w:r>
              <w:rPr>
                <w:sz w:val="24"/>
              </w:rPr>
              <w:t>initiatives</w:t>
            </w:r>
            <w:r>
              <w:rPr>
                <w:spacing w:val="-11"/>
                <w:sz w:val="24"/>
              </w:rPr>
              <w:t> </w:t>
            </w:r>
            <w:r>
              <w:rPr>
                <w:sz w:val="24"/>
              </w:rPr>
              <w:t>towards</w:t>
            </w:r>
            <w:r>
              <w:rPr>
                <w:spacing w:val="-11"/>
                <w:sz w:val="24"/>
              </w:rPr>
              <w:t> </w:t>
            </w:r>
            <w:r>
              <w:rPr>
                <w:sz w:val="24"/>
              </w:rPr>
              <w:t>a</w:t>
            </w:r>
            <w:r>
              <w:rPr>
                <w:spacing w:val="-10"/>
                <w:sz w:val="24"/>
              </w:rPr>
              <w:t> </w:t>
            </w:r>
            <w:r>
              <w:rPr>
                <w:sz w:val="24"/>
              </w:rPr>
              <w:t>more</w:t>
            </w:r>
            <w:r>
              <w:rPr>
                <w:spacing w:val="-10"/>
                <w:sz w:val="24"/>
              </w:rPr>
              <w:t> </w:t>
            </w:r>
            <w:r>
              <w:rPr>
                <w:sz w:val="24"/>
              </w:rPr>
              <w:t>coherent</w:t>
            </w:r>
            <w:r>
              <w:rPr>
                <w:spacing w:val="-13"/>
                <w:sz w:val="24"/>
              </w:rPr>
              <w:t> </w:t>
            </w:r>
            <w:r>
              <w:rPr>
                <w:sz w:val="24"/>
              </w:rPr>
              <w:t>regional</w:t>
            </w:r>
            <w:r>
              <w:rPr>
                <w:spacing w:val="-14"/>
                <w:sz w:val="24"/>
              </w:rPr>
              <w:t> </w:t>
            </w:r>
            <w:r>
              <w:rPr>
                <w:sz w:val="24"/>
              </w:rPr>
              <w:t>programme.</w:t>
            </w:r>
          </w:p>
          <w:p>
            <w:pPr>
              <w:pStyle w:val="TableParagraph"/>
              <w:spacing w:before="1"/>
              <w:rPr>
                <w:sz w:val="24"/>
              </w:rPr>
            </w:pPr>
          </w:p>
          <w:p>
            <w:pPr>
              <w:pStyle w:val="TableParagraph"/>
              <w:ind w:left="110"/>
              <w:rPr>
                <w:sz w:val="24"/>
              </w:rPr>
            </w:pPr>
            <w:r>
              <w:rPr>
                <w:sz w:val="24"/>
              </w:rPr>
              <w:t>The</w:t>
            </w:r>
            <w:r>
              <w:rPr>
                <w:spacing w:val="-13"/>
                <w:sz w:val="24"/>
              </w:rPr>
              <w:t> </w:t>
            </w:r>
            <w:r>
              <w:rPr>
                <w:sz w:val="24"/>
              </w:rPr>
              <w:t>Assessment</w:t>
            </w:r>
            <w:r>
              <w:rPr>
                <w:spacing w:val="-14"/>
                <w:sz w:val="24"/>
              </w:rPr>
              <w:t> </w:t>
            </w:r>
            <w:r>
              <w:rPr>
                <w:sz w:val="24"/>
              </w:rPr>
              <w:t>section</w:t>
            </w:r>
            <w:r>
              <w:rPr>
                <w:spacing w:val="-10"/>
                <w:sz w:val="24"/>
              </w:rPr>
              <w:t> </w:t>
            </w:r>
            <w:r>
              <w:rPr>
                <w:sz w:val="24"/>
              </w:rPr>
              <w:t>provides</w:t>
            </w:r>
            <w:r>
              <w:rPr>
                <w:spacing w:val="-12"/>
                <w:sz w:val="24"/>
              </w:rPr>
              <w:t> </w:t>
            </w:r>
            <w:r>
              <w:rPr>
                <w:sz w:val="24"/>
              </w:rPr>
              <w:t>an</w:t>
            </w:r>
            <w:r>
              <w:rPr>
                <w:spacing w:val="-11"/>
                <w:sz w:val="24"/>
              </w:rPr>
              <w:t> </w:t>
            </w:r>
            <w:r>
              <w:rPr>
                <w:sz w:val="24"/>
              </w:rPr>
              <w:t>outline</w:t>
            </w:r>
            <w:r>
              <w:rPr>
                <w:spacing w:val="-11"/>
                <w:sz w:val="24"/>
              </w:rPr>
              <w:t> </w:t>
            </w:r>
            <w:r>
              <w:rPr>
                <w:sz w:val="24"/>
              </w:rPr>
              <w:t>work</w:t>
            </w:r>
            <w:r>
              <w:rPr>
                <w:spacing w:val="-17"/>
                <w:sz w:val="24"/>
              </w:rPr>
              <w:t> </w:t>
            </w:r>
            <w:r>
              <w:rPr>
                <w:sz w:val="24"/>
              </w:rPr>
              <w:t>programme</w:t>
            </w:r>
            <w:r>
              <w:rPr>
                <w:spacing w:val="-7"/>
                <w:sz w:val="24"/>
              </w:rPr>
              <w:t> </w:t>
            </w:r>
            <w:r>
              <w:rPr>
                <w:sz w:val="24"/>
              </w:rPr>
              <w:t>that</w:t>
            </w:r>
            <w:r>
              <w:rPr>
                <w:spacing w:val="-17"/>
                <w:sz w:val="24"/>
              </w:rPr>
              <w:t> </w:t>
            </w:r>
            <w:r>
              <w:rPr>
                <w:sz w:val="24"/>
              </w:rPr>
              <w:t>will</w:t>
            </w:r>
            <w:r>
              <w:rPr>
                <w:spacing w:val="-16"/>
                <w:sz w:val="24"/>
              </w:rPr>
              <w:t> </w:t>
            </w:r>
            <w:r>
              <w:rPr>
                <w:sz w:val="24"/>
              </w:rPr>
              <w:t>be</w:t>
            </w:r>
            <w:r>
              <w:rPr>
                <w:spacing w:val="-7"/>
                <w:sz w:val="24"/>
              </w:rPr>
              <w:t> </w:t>
            </w:r>
            <w:r>
              <w:rPr>
                <w:sz w:val="24"/>
              </w:rPr>
              <w:t>refined</w:t>
            </w:r>
            <w:r>
              <w:rPr>
                <w:spacing w:val="-11"/>
                <w:sz w:val="24"/>
              </w:rPr>
              <w:t> </w:t>
            </w:r>
            <w:r>
              <w:rPr>
                <w:sz w:val="24"/>
              </w:rPr>
              <w:t>over</w:t>
            </w:r>
            <w:r>
              <w:rPr>
                <w:spacing w:val="-8"/>
                <w:sz w:val="24"/>
              </w:rPr>
              <w:t> </w:t>
            </w:r>
            <w:r>
              <w:rPr>
                <w:sz w:val="24"/>
              </w:rPr>
              <w:t>the </w:t>
            </w:r>
            <w:r>
              <w:rPr>
                <w:spacing w:val="-2"/>
                <w:sz w:val="24"/>
              </w:rPr>
              <w:t>coming</w:t>
            </w:r>
            <w:r>
              <w:rPr>
                <w:spacing w:val="-15"/>
                <w:sz w:val="24"/>
              </w:rPr>
              <w:t> </w:t>
            </w:r>
            <w:r>
              <w:rPr>
                <w:spacing w:val="-2"/>
                <w:sz w:val="24"/>
              </w:rPr>
              <w:t>months</w:t>
            </w:r>
            <w:r>
              <w:rPr>
                <w:spacing w:val="-14"/>
                <w:sz w:val="24"/>
              </w:rPr>
              <w:t> </w:t>
            </w:r>
            <w:r>
              <w:rPr>
                <w:spacing w:val="-2"/>
                <w:sz w:val="24"/>
              </w:rPr>
              <w:t>to</w:t>
            </w:r>
            <w:r>
              <w:rPr>
                <w:spacing w:val="-13"/>
                <w:sz w:val="24"/>
              </w:rPr>
              <w:t> </w:t>
            </w:r>
            <w:r>
              <w:rPr>
                <w:spacing w:val="-2"/>
                <w:sz w:val="24"/>
              </w:rPr>
              <w:t>support</w:t>
            </w:r>
            <w:r>
              <w:rPr>
                <w:spacing w:val="-15"/>
                <w:sz w:val="24"/>
              </w:rPr>
              <w:t> </w:t>
            </w:r>
            <w:r>
              <w:rPr>
                <w:spacing w:val="-2"/>
                <w:sz w:val="24"/>
              </w:rPr>
              <w:t>the</w:t>
            </w:r>
            <w:r>
              <w:rPr>
                <w:spacing w:val="-15"/>
                <w:sz w:val="24"/>
              </w:rPr>
              <w:t> </w:t>
            </w:r>
            <w:r>
              <w:rPr>
                <w:spacing w:val="-2"/>
                <w:sz w:val="24"/>
              </w:rPr>
              <w:t>Committee's</w:t>
            </w:r>
            <w:r>
              <w:rPr>
                <w:spacing w:val="-13"/>
                <w:sz w:val="24"/>
              </w:rPr>
              <w:t> </w:t>
            </w:r>
            <w:r>
              <w:rPr>
                <w:spacing w:val="-2"/>
                <w:sz w:val="24"/>
              </w:rPr>
              <w:t>ambitions</w:t>
            </w:r>
            <w:r>
              <w:rPr>
                <w:spacing w:val="-14"/>
                <w:sz w:val="24"/>
              </w:rPr>
              <w:t> </w:t>
            </w:r>
            <w:r>
              <w:rPr>
                <w:spacing w:val="-2"/>
                <w:sz w:val="24"/>
              </w:rPr>
              <w:t>for</w:t>
            </w:r>
            <w:r>
              <w:rPr>
                <w:spacing w:val="-14"/>
                <w:sz w:val="24"/>
              </w:rPr>
              <w:t> </w:t>
            </w:r>
            <w:r>
              <w:rPr>
                <w:spacing w:val="-2"/>
                <w:sz w:val="24"/>
              </w:rPr>
              <w:t>regional</w:t>
            </w:r>
            <w:r>
              <w:rPr>
                <w:spacing w:val="-13"/>
                <w:sz w:val="24"/>
              </w:rPr>
              <w:t> </w:t>
            </w:r>
            <w:r>
              <w:rPr>
                <w:spacing w:val="-2"/>
                <w:sz w:val="24"/>
              </w:rPr>
              <w:t>collaboration</w:t>
            </w:r>
            <w:r>
              <w:rPr>
                <w:spacing w:val="-13"/>
                <w:sz w:val="24"/>
              </w:rPr>
              <w:t> </w:t>
            </w:r>
            <w:r>
              <w:rPr>
                <w:spacing w:val="-2"/>
                <w:sz w:val="24"/>
              </w:rPr>
              <w:t>in</w:t>
            </w:r>
            <w:r>
              <w:rPr>
                <w:spacing w:val="-13"/>
                <w:sz w:val="24"/>
              </w:rPr>
              <w:t> </w:t>
            </w:r>
            <w:r>
              <w:rPr>
                <w:spacing w:val="-2"/>
                <w:sz w:val="24"/>
              </w:rPr>
              <w:t>research, </w:t>
            </w:r>
            <w:r>
              <w:rPr>
                <w:sz w:val="24"/>
              </w:rPr>
              <w:t>innovation,</w:t>
            </w:r>
            <w:r>
              <w:rPr>
                <w:spacing w:val="-15"/>
                <w:sz w:val="24"/>
              </w:rPr>
              <w:t> </w:t>
            </w:r>
            <w:r>
              <w:rPr>
                <w:sz w:val="24"/>
              </w:rPr>
              <w:t>life</w:t>
            </w:r>
            <w:r>
              <w:rPr>
                <w:spacing w:val="-7"/>
                <w:sz w:val="24"/>
              </w:rPr>
              <w:t> </w:t>
            </w:r>
            <w:r>
              <w:rPr>
                <w:sz w:val="24"/>
              </w:rPr>
              <w:t>sciences</w:t>
            </w:r>
            <w:r>
              <w:rPr>
                <w:spacing w:val="-8"/>
                <w:sz w:val="24"/>
              </w:rPr>
              <w:t> </w:t>
            </w:r>
            <w:r>
              <w:rPr>
                <w:sz w:val="24"/>
              </w:rPr>
              <w:t>and</w:t>
            </w:r>
            <w:r>
              <w:rPr>
                <w:spacing w:val="-7"/>
                <w:sz w:val="24"/>
              </w:rPr>
              <w:t> </w:t>
            </w:r>
            <w:r>
              <w:rPr>
                <w:sz w:val="24"/>
              </w:rPr>
              <w:t>wider</w:t>
            </w:r>
            <w:r>
              <w:rPr>
                <w:spacing w:val="-8"/>
                <w:sz w:val="24"/>
              </w:rPr>
              <w:t> </w:t>
            </w:r>
            <w:r>
              <w:rPr>
                <w:sz w:val="24"/>
              </w:rPr>
              <w:t>partnership</w:t>
            </w:r>
            <w:r>
              <w:rPr>
                <w:spacing w:val="-7"/>
                <w:sz w:val="24"/>
              </w:rPr>
              <w:t> </w:t>
            </w:r>
            <w:r>
              <w:rPr>
                <w:sz w:val="24"/>
              </w:rPr>
              <w:t>development.</w:t>
            </w:r>
          </w:p>
        </w:tc>
      </w:tr>
    </w:tbl>
    <w:p>
      <w:pPr>
        <w:spacing w:before="81"/>
        <w:ind w:left="8" w:right="284" w:firstLine="0"/>
        <w:jc w:val="center"/>
        <w:rPr>
          <w:sz w:val="16"/>
        </w:rPr>
      </w:pPr>
      <w:r>
        <w:rPr>
          <w:spacing w:val="-2"/>
          <w:sz w:val="16"/>
        </w:rPr>
        <w:t>Page</w:t>
      </w:r>
      <w:r>
        <w:rPr>
          <w:spacing w:val="-7"/>
          <w:sz w:val="16"/>
        </w:rPr>
        <w:t> </w:t>
      </w:r>
      <w:r>
        <w:rPr>
          <w:spacing w:val="-2"/>
          <w:sz w:val="16"/>
        </w:rPr>
        <w:t>1</w:t>
      </w:r>
      <w:r>
        <w:rPr>
          <w:spacing w:val="-9"/>
          <w:sz w:val="16"/>
        </w:rPr>
        <w:t> </w:t>
      </w:r>
      <w:r>
        <w:rPr>
          <w:spacing w:val="-2"/>
          <w:sz w:val="16"/>
        </w:rPr>
        <w:t>of</w:t>
      </w:r>
      <w:r>
        <w:rPr>
          <w:spacing w:val="-9"/>
          <w:sz w:val="16"/>
        </w:rPr>
        <w:t> </w:t>
      </w:r>
      <w:r>
        <w:rPr>
          <w:spacing w:val="-10"/>
          <w:sz w:val="16"/>
        </w:rPr>
        <w:t>5</w:t>
      </w:r>
    </w:p>
    <w:p>
      <w:pPr>
        <w:spacing w:after="0"/>
        <w:jc w:val="center"/>
        <w:rPr>
          <w:sz w:val="16"/>
        </w:rPr>
        <w:sectPr>
          <w:pgSz w:w="11910" w:h="16840"/>
          <w:pgMar w:header="0" w:footer="149" w:top="220" w:bottom="34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402" name="Image 402"/>
            <wp:cNvGraphicFramePr>
              <a:graphicFrameLocks/>
            </wp:cNvGraphicFramePr>
            <a:graphic>
              <a:graphicData uri="http://schemas.openxmlformats.org/drawingml/2006/picture">
                <pic:pic>
                  <pic:nvPicPr>
                    <pic:cNvPr id="402" name="Image 402"/>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403" name="Image 403"/>
            <wp:cNvGraphicFramePr>
              <a:graphicFrameLocks/>
            </wp:cNvGraphicFramePr>
            <a:graphic>
              <a:graphicData uri="http://schemas.openxmlformats.org/drawingml/2006/picture">
                <pic:pic>
                  <pic:nvPicPr>
                    <pic:cNvPr id="403" name="Image 403"/>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708" w:hRule="atLeast"/>
        </w:trPr>
        <w:tc>
          <w:tcPr>
            <w:tcW w:w="10069" w:type="dxa"/>
          </w:tcPr>
          <w:p>
            <w:pPr>
              <w:pStyle w:val="TableParagraph"/>
              <w:ind w:left="110"/>
              <w:rPr>
                <w:b/>
                <w:sz w:val="24"/>
              </w:rPr>
            </w:pPr>
            <w:r>
              <w:rPr>
                <w:b/>
                <w:color w:val="394871"/>
                <w:spacing w:val="-2"/>
                <w:sz w:val="24"/>
                <w:u w:val="single" w:color="394871"/>
              </w:rPr>
              <w:t>Asesiad</w:t>
            </w:r>
            <w:r>
              <w:rPr>
                <w:b/>
                <w:color w:val="394871"/>
                <w:spacing w:val="-12"/>
                <w:sz w:val="24"/>
                <w:u w:val="single" w:color="394871"/>
              </w:rPr>
              <w:t> </w:t>
            </w:r>
            <w:r>
              <w:rPr>
                <w:b/>
                <w:color w:val="394871"/>
                <w:spacing w:val="-2"/>
                <w:sz w:val="24"/>
                <w:u w:val="single" w:color="394871"/>
              </w:rPr>
              <w:t>/</w:t>
            </w:r>
            <w:r>
              <w:rPr>
                <w:b/>
                <w:color w:val="394871"/>
                <w:spacing w:val="-12"/>
                <w:sz w:val="24"/>
                <w:u w:val="single" w:color="394871"/>
              </w:rPr>
              <w:t> </w:t>
            </w:r>
            <w:r>
              <w:rPr>
                <w:b/>
                <w:color w:val="394871"/>
                <w:spacing w:val="-2"/>
                <w:sz w:val="24"/>
                <w:u w:val="single" w:color="394871"/>
              </w:rPr>
              <w:t>Assessment</w:t>
            </w:r>
          </w:p>
          <w:p>
            <w:pPr>
              <w:pStyle w:val="TableParagraph"/>
              <w:spacing w:line="242" w:lineRule="auto" w:before="274"/>
              <w:ind w:left="110"/>
              <w:rPr>
                <w:sz w:val="24"/>
              </w:rPr>
            </w:pPr>
            <w:r>
              <w:rPr>
                <w:sz w:val="24"/>
              </w:rPr>
              <w:t>The</w:t>
            </w:r>
            <w:r>
              <w:rPr>
                <w:spacing w:val="-17"/>
                <w:sz w:val="24"/>
              </w:rPr>
              <w:t> </w:t>
            </w:r>
            <w:r>
              <w:rPr>
                <w:sz w:val="24"/>
              </w:rPr>
              <w:t>programme</w:t>
            </w:r>
            <w:r>
              <w:rPr>
                <w:spacing w:val="-16"/>
                <w:sz w:val="24"/>
              </w:rPr>
              <w:t> </w:t>
            </w:r>
            <w:r>
              <w:rPr>
                <w:sz w:val="24"/>
              </w:rPr>
              <w:t>scope</w:t>
            </w:r>
            <w:r>
              <w:rPr>
                <w:spacing w:val="-15"/>
                <w:sz w:val="24"/>
              </w:rPr>
              <w:t> </w:t>
            </w:r>
            <w:r>
              <w:rPr>
                <w:sz w:val="24"/>
              </w:rPr>
              <w:t>includes</w:t>
            </w:r>
            <w:r>
              <w:rPr>
                <w:spacing w:val="-17"/>
                <w:sz w:val="24"/>
              </w:rPr>
              <w:t> </w:t>
            </w:r>
            <w:r>
              <w:rPr>
                <w:sz w:val="24"/>
              </w:rPr>
              <w:t>research</w:t>
            </w:r>
            <w:r>
              <w:rPr>
                <w:spacing w:val="-16"/>
                <w:sz w:val="24"/>
              </w:rPr>
              <w:t> </w:t>
            </w:r>
            <w:r>
              <w:rPr>
                <w:sz w:val="24"/>
              </w:rPr>
              <w:t>and</w:t>
            </w:r>
            <w:r>
              <w:rPr>
                <w:spacing w:val="-16"/>
                <w:sz w:val="24"/>
              </w:rPr>
              <w:t> </w:t>
            </w:r>
            <w:r>
              <w:rPr>
                <w:sz w:val="24"/>
              </w:rPr>
              <w:t>development</w:t>
            </w:r>
            <w:r>
              <w:rPr>
                <w:spacing w:val="-17"/>
                <w:sz w:val="24"/>
              </w:rPr>
              <w:t> </w:t>
            </w:r>
            <w:r>
              <w:rPr>
                <w:sz w:val="24"/>
              </w:rPr>
              <w:t>activity</w:t>
            </w:r>
            <w:r>
              <w:rPr>
                <w:spacing w:val="-15"/>
                <w:sz w:val="24"/>
              </w:rPr>
              <w:t> </w:t>
            </w:r>
            <w:r>
              <w:rPr>
                <w:sz w:val="24"/>
              </w:rPr>
              <w:t>(including</w:t>
            </w:r>
            <w:r>
              <w:rPr>
                <w:spacing w:val="-16"/>
                <w:sz w:val="24"/>
              </w:rPr>
              <w:t> </w:t>
            </w:r>
            <w:r>
              <w:rPr>
                <w:sz w:val="24"/>
              </w:rPr>
              <w:t>commercial), </w:t>
            </w:r>
            <w:r>
              <w:rPr>
                <w:spacing w:val="-2"/>
                <w:sz w:val="24"/>
              </w:rPr>
              <w:t>innovation</w:t>
            </w:r>
            <w:r>
              <w:rPr>
                <w:spacing w:val="-15"/>
                <w:sz w:val="24"/>
              </w:rPr>
              <w:t> </w:t>
            </w:r>
            <w:r>
              <w:rPr>
                <w:spacing w:val="-2"/>
                <w:sz w:val="24"/>
              </w:rPr>
              <w:t>adoption,</w:t>
            </w:r>
            <w:r>
              <w:rPr>
                <w:spacing w:val="-15"/>
                <w:sz w:val="24"/>
              </w:rPr>
              <w:t> </w:t>
            </w:r>
            <w:r>
              <w:rPr>
                <w:spacing w:val="-2"/>
                <w:sz w:val="24"/>
              </w:rPr>
              <w:t>university</w:t>
            </w:r>
            <w:r>
              <w:rPr>
                <w:spacing w:val="-14"/>
                <w:sz w:val="24"/>
              </w:rPr>
              <w:t> </w:t>
            </w:r>
            <w:r>
              <w:rPr>
                <w:spacing w:val="-2"/>
                <w:sz w:val="24"/>
              </w:rPr>
              <w:t>partnerships,</w:t>
            </w:r>
            <w:r>
              <w:rPr>
                <w:spacing w:val="-15"/>
                <w:sz w:val="24"/>
              </w:rPr>
              <w:t> </w:t>
            </w:r>
            <w:r>
              <w:rPr>
                <w:spacing w:val="-2"/>
                <w:sz w:val="24"/>
              </w:rPr>
              <w:t>and</w:t>
            </w:r>
            <w:r>
              <w:rPr>
                <w:spacing w:val="-15"/>
                <w:sz w:val="24"/>
              </w:rPr>
              <w:t> </w:t>
            </w:r>
            <w:r>
              <w:rPr>
                <w:spacing w:val="-2"/>
                <w:sz w:val="24"/>
              </w:rPr>
              <w:t>wider</w:t>
            </w:r>
            <w:r>
              <w:rPr>
                <w:spacing w:val="-15"/>
                <w:sz w:val="24"/>
              </w:rPr>
              <w:t> </w:t>
            </w:r>
            <w:r>
              <w:rPr>
                <w:spacing w:val="-2"/>
                <w:sz w:val="24"/>
              </w:rPr>
              <w:t>opportunities</w:t>
            </w:r>
            <w:r>
              <w:rPr>
                <w:spacing w:val="-14"/>
                <w:sz w:val="24"/>
              </w:rPr>
              <w:t> </w:t>
            </w:r>
            <w:r>
              <w:rPr>
                <w:spacing w:val="-2"/>
                <w:sz w:val="24"/>
              </w:rPr>
              <w:t>to</w:t>
            </w:r>
            <w:r>
              <w:rPr>
                <w:spacing w:val="-15"/>
                <w:sz w:val="24"/>
              </w:rPr>
              <w:t> </w:t>
            </w:r>
            <w:r>
              <w:rPr>
                <w:spacing w:val="-2"/>
                <w:sz w:val="24"/>
              </w:rPr>
              <w:t>contribute</w:t>
            </w:r>
            <w:r>
              <w:rPr>
                <w:spacing w:val="-15"/>
                <w:sz w:val="24"/>
              </w:rPr>
              <w:t> </w:t>
            </w:r>
            <w:r>
              <w:rPr>
                <w:spacing w:val="-2"/>
                <w:sz w:val="24"/>
              </w:rPr>
              <w:t>to</w:t>
            </w:r>
            <w:r>
              <w:rPr>
                <w:spacing w:val="-14"/>
                <w:sz w:val="24"/>
              </w:rPr>
              <w:t> </w:t>
            </w:r>
            <w:r>
              <w:rPr>
                <w:spacing w:val="-2"/>
                <w:sz w:val="24"/>
              </w:rPr>
              <w:t>regional </w:t>
            </w:r>
            <w:r>
              <w:rPr>
                <w:sz w:val="24"/>
              </w:rPr>
              <w:t>economic</w:t>
            </w:r>
            <w:r>
              <w:rPr>
                <w:spacing w:val="-3"/>
                <w:sz w:val="24"/>
              </w:rPr>
              <w:t> </w:t>
            </w:r>
            <w:r>
              <w:rPr>
                <w:sz w:val="24"/>
              </w:rPr>
              <w:t>development through life sciences.</w:t>
            </w:r>
          </w:p>
          <w:p>
            <w:pPr>
              <w:pStyle w:val="TableParagraph"/>
              <w:spacing w:before="269"/>
              <w:ind w:left="110" w:right="212"/>
              <w:rPr>
                <w:sz w:val="24"/>
              </w:rPr>
            </w:pPr>
            <w:r>
              <w:rPr>
                <w:sz w:val="24"/>
              </w:rPr>
              <w:t>The</w:t>
            </w:r>
            <w:r>
              <w:rPr>
                <w:spacing w:val="-17"/>
                <w:sz w:val="24"/>
              </w:rPr>
              <w:t> </w:t>
            </w:r>
            <w:r>
              <w:rPr>
                <w:sz w:val="24"/>
              </w:rPr>
              <w:t>objectives</w:t>
            </w:r>
            <w:r>
              <w:rPr>
                <w:spacing w:val="-17"/>
                <w:sz w:val="24"/>
              </w:rPr>
              <w:t> </w:t>
            </w:r>
            <w:r>
              <w:rPr>
                <w:sz w:val="24"/>
              </w:rPr>
              <w:t>set</w:t>
            </w:r>
            <w:r>
              <w:rPr>
                <w:spacing w:val="-16"/>
                <w:sz w:val="24"/>
              </w:rPr>
              <w:t> </w:t>
            </w:r>
            <w:r>
              <w:rPr>
                <w:sz w:val="24"/>
              </w:rPr>
              <w:t>out</w:t>
            </w:r>
            <w:r>
              <w:rPr>
                <w:spacing w:val="-17"/>
                <w:sz w:val="24"/>
              </w:rPr>
              <w:t> </w:t>
            </w:r>
            <w:r>
              <w:rPr>
                <w:sz w:val="24"/>
              </w:rPr>
              <w:t>below</w:t>
            </w:r>
            <w:r>
              <w:rPr>
                <w:spacing w:val="-17"/>
                <w:sz w:val="24"/>
              </w:rPr>
              <w:t> </w:t>
            </w:r>
            <w:r>
              <w:rPr>
                <w:sz w:val="24"/>
              </w:rPr>
              <w:t>are</w:t>
            </w:r>
            <w:r>
              <w:rPr>
                <w:spacing w:val="-17"/>
                <w:sz w:val="24"/>
              </w:rPr>
              <w:t> </w:t>
            </w:r>
            <w:r>
              <w:rPr>
                <w:sz w:val="24"/>
              </w:rPr>
              <w:t>intended</w:t>
            </w:r>
            <w:r>
              <w:rPr>
                <w:spacing w:val="-16"/>
                <w:sz w:val="24"/>
              </w:rPr>
              <w:t> </w:t>
            </w:r>
            <w:r>
              <w:rPr>
                <w:sz w:val="24"/>
              </w:rPr>
              <w:t>to</w:t>
            </w:r>
            <w:r>
              <w:rPr>
                <w:spacing w:val="-17"/>
                <w:sz w:val="24"/>
              </w:rPr>
              <w:t> </w:t>
            </w:r>
            <w:r>
              <w:rPr>
                <w:sz w:val="24"/>
              </w:rPr>
              <w:t>establish</w:t>
            </w:r>
            <w:r>
              <w:rPr>
                <w:spacing w:val="-17"/>
                <w:sz w:val="24"/>
              </w:rPr>
              <w:t> </w:t>
            </w:r>
            <w:r>
              <w:rPr>
                <w:sz w:val="24"/>
              </w:rPr>
              <w:t>an</w:t>
            </w:r>
            <w:r>
              <w:rPr>
                <w:spacing w:val="-16"/>
                <w:sz w:val="24"/>
              </w:rPr>
              <w:t> </w:t>
            </w:r>
            <w:r>
              <w:rPr>
                <w:sz w:val="24"/>
              </w:rPr>
              <w:t>evidence</w:t>
            </w:r>
            <w:r>
              <w:rPr>
                <w:spacing w:val="-17"/>
                <w:sz w:val="24"/>
              </w:rPr>
              <w:t> </w:t>
            </w:r>
            <w:r>
              <w:rPr>
                <w:sz w:val="24"/>
              </w:rPr>
              <w:t>base</w:t>
            </w:r>
            <w:r>
              <w:rPr>
                <w:spacing w:val="-17"/>
                <w:sz w:val="24"/>
              </w:rPr>
              <w:t> </w:t>
            </w:r>
            <w:r>
              <w:rPr>
                <w:sz w:val="24"/>
              </w:rPr>
              <w:t>for</w:t>
            </w:r>
            <w:r>
              <w:rPr>
                <w:spacing w:val="-16"/>
                <w:sz w:val="24"/>
              </w:rPr>
              <w:t> </w:t>
            </w:r>
            <w:r>
              <w:rPr>
                <w:sz w:val="24"/>
              </w:rPr>
              <w:t>future</w:t>
            </w:r>
            <w:r>
              <w:rPr>
                <w:spacing w:val="-17"/>
                <w:sz w:val="24"/>
              </w:rPr>
              <w:t> </w:t>
            </w:r>
            <w:r>
              <w:rPr>
                <w:sz w:val="24"/>
              </w:rPr>
              <w:t>decision-</w:t>
            </w:r>
            <w:r>
              <w:rPr>
                <w:spacing w:val="-2"/>
                <w:sz w:val="24"/>
              </w:rPr>
              <w:t>making,</w:t>
            </w:r>
            <w:r>
              <w:rPr>
                <w:spacing w:val="-15"/>
                <w:sz w:val="24"/>
              </w:rPr>
              <w:t> </w:t>
            </w:r>
            <w:r>
              <w:rPr>
                <w:spacing w:val="-2"/>
                <w:sz w:val="24"/>
              </w:rPr>
              <w:t>strengthen</w:t>
            </w:r>
            <w:r>
              <w:rPr>
                <w:spacing w:val="-15"/>
                <w:sz w:val="24"/>
              </w:rPr>
              <w:t> </w:t>
            </w:r>
            <w:r>
              <w:rPr>
                <w:spacing w:val="-2"/>
                <w:sz w:val="24"/>
              </w:rPr>
              <w:t>regional</w:t>
            </w:r>
            <w:r>
              <w:rPr>
                <w:spacing w:val="-14"/>
                <w:sz w:val="24"/>
              </w:rPr>
              <w:t> </w:t>
            </w:r>
            <w:r>
              <w:rPr>
                <w:spacing w:val="-2"/>
                <w:sz w:val="24"/>
              </w:rPr>
              <w:t>partnerships,</w:t>
            </w:r>
            <w:r>
              <w:rPr>
                <w:spacing w:val="-15"/>
                <w:sz w:val="24"/>
              </w:rPr>
              <w:t> </w:t>
            </w:r>
            <w:r>
              <w:rPr>
                <w:spacing w:val="-2"/>
                <w:sz w:val="24"/>
              </w:rPr>
              <w:t>explore</w:t>
            </w:r>
            <w:r>
              <w:rPr>
                <w:spacing w:val="-15"/>
                <w:sz w:val="24"/>
              </w:rPr>
              <w:t> </w:t>
            </w:r>
            <w:r>
              <w:rPr>
                <w:spacing w:val="-2"/>
                <w:sz w:val="24"/>
              </w:rPr>
              <w:t>opportunities</w:t>
            </w:r>
            <w:r>
              <w:rPr>
                <w:spacing w:val="-15"/>
                <w:sz w:val="24"/>
              </w:rPr>
              <w:t> </w:t>
            </w:r>
            <w:r>
              <w:rPr>
                <w:spacing w:val="-2"/>
                <w:sz w:val="24"/>
              </w:rPr>
              <w:t>for</w:t>
            </w:r>
            <w:r>
              <w:rPr>
                <w:spacing w:val="-14"/>
                <w:sz w:val="24"/>
              </w:rPr>
              <w:t> </w:t>
            </w:r>
            <w:r>
              <w:rPr>
                <w:spacing w:val="-2"/>
                <w:sz w:val="24"/>
              </w:rPr>
              <w:t>greater</w:t>
            </w:r>
            <w:r>
              <w:rPr>
                <w:spacing w:val="-15"/>
                <w:sz w:val="24"/>
              </w:rPr>
              <w:t> </w:t>
            </w:r>
            <w:r>
              <w:rPr>
                <w:spacing w:val="-2"/>
                <w:sz w:val="24"/>
              </w:rPr>
              <w:t>collaboration</w:t>
            </w:r>
            <w:r>
              <w:rPr>
                <w:spacing w:val="-15"/>
                <w:sz w:val="24"/>
              </w:rPr>
              <w:t> </w:t>
            </w:r>
            <w:r>
              <w:rPr>
                <w:spacing w:val="-2"/>
                <w:sz w:val="24"/>
              </w:rPr>
              <w:t>and </w:t>
            </w:r>
            <w:r>
              <w:rPr>
                <w:sz w:val="24"/>
              </w:rPr>
              <w:t>demonstrate</w:t>
            </w:r>
            <w:r>
              <w:rPr>
                <w:spacing w:val="-17"/>
                <w:sz w:val="24"/>
              </w:rPr>
              <w:t> </w:t>
            </w:r>
            <w:r>
              <w:rPr>
                <w:sz w:val="24"/>
              </w:rPr>
              <w:t>the</w:t>
            </w:r>
            <w:r>
              <w:rPr>
                <w:spacing w:val="-17"/>
                <w:sz w:val="24"/>
              </w:rPr>
              <w:t> </w:t>
            </w:r>
            <w:r>
              <w:rPr>
                <w:sz w:val="24"/>
              </w:rPr>
              <w:t>benefits</w:t>
            </w:r>
            <w:r>
              <w:rPr>
                <w:spacing w:val="-16"/>
                <w:sz w:val="24"/>
              </w:rPr>
              <w:t> </w:t>
            </w:r>
            <w:r>
              <w:rPr>
                <w:sz w:val="24"/>
              </w:rPr>
              <w:t>of</w:t>
            </w:r>
            <w:r>
              <w:rPr>
                <w:spacing w:val="-17"/>
                <w:sz w:val="24"/>
              </w:rPr>
              <w:t> </w:t>
            </w:r>
            <w:r>
              <w:rPr>
                <w:sz w:val="24"/>
              </w:rPr>
              <w:t>regional</w:t>
            </w:r>
            <w:r>
              <w:rPr>
                <w:spacing w:val="-17"/>
                <w:sz w:val="24"/>
              </w:rPr>
              <w:t> </w:t>
            </w:r>
            <w:r>
              <w:rPr>
                <w:sz w:val="24"/>
              </w:rPr>
              <w:t>working</w:t>
            </w:r>
            <w:r>
              <w:rPr>
                <w:spacing w:val="-17"/>
                <w:sz w:val="24"/>
              </w:rPr>
              <w:t> </w:t>
            </w:r>
            <w:r>
              <w:rPr>
                <w:sz w:val="24"/>
              </w:rPr>
              <w:t>through</w:t>
            </w:r>
            <w:r>
              <w:rPr>
                <w:spacing w:val="-16"/>
                <w:sz w:val="24"/>
              </w:rPr>
              <w:t> </w:t>
            </w:r>
            <w:r>
              <w:rPr>
                <w:sz w:val="24"/>
              </w:rPr>
              <w:t>practical</w:t>
            </w:r>
            <w:r>
              <w:rPr>
                <w:spacing w:val="-17"/>
                <w:sz w:val="24"/>
              </w:rPr>
              <w:t> </w:t>
            </w:r>
            <w:r>
              <w:rPr>
                <w:sz w:val="24"/>
              </w:rPr>
              <w:t>delivery.</w:t>
            </w:r>
            <w:r>
              <w:rPr>
                <w:spacing w:val="35"/>
                <w:sz w:val="24"/>
              </w:rPr>
              <w:t> </w:t>
            </w:r>
            <w:r>
              <w:rPr>
                <w:sz w:val="24"/>
              </w:rPr>
              <w:t>They</w:t>
            </w:r>
            <w:r>
              <w:rPr>
                <w:spacing w:val="-17"/>
                <w:sz w:val="24"/>
              </w:rPr>
              <w:t> </w:t>
            </w:r>
            <w:r>
              <w:rPr>
                <w:sz w:val="24"/>
              </w:rPr>
              <w:t>are</w:t>
            </w:r>
            <w:r>
              <w:rPr>
                <w:spacing w:val="-17"/>
                <w:sz w:val="24"/>
              </w:rPr>
              <w:t> </w:t>
            </w:r>
            <w:r>
              <w:rPr>
                <w:sz w:val="24"/>
              </w:rPr>
              <w:t>formative and,</w:t>
            </w:r>
            <w:r>
              <w:rPr>
                <w:spacing w:val="-11"/>
                <w:sz w:val="24"/>
              </w:rPr>
              <w:t> </w:t>
            </w:r>
            <w:r>
              <w:rPr>
                <w:sz w:val="24"/>
              </w:rPr>
              <w:t>as</w:t>
            </w:r>
            <w:r>
              <w:rPr>
                <w:spacing w:val="-9"/>
                <w:sz w:val="24"/>
              </w:rPr>
              <w:t> </w:t>
            </w:r>
            <w:r>
              <w:rPr>
                <w:sz w:val="24"/>
              </w:rPr>
              <w:t>such,</w:t>
            </w:r>
            <w:r>
              <w:rPr>
                <w:spacing w:val="-11"/>
                <w:sz w:val="24"/>
              </w:rPr>
              <w:t> </w:t>
            </w:r>
            <w:r>
              <w:rPr>
                <w:sz w:val="24"/>
              </w:rPr>
              <w:t>will</w:t>
            </w:r>
            <w:r>
              <w:rPr>
                <w:spacing w:val="-8"/>
                <w:sz w:val="24"/>
              </w:rPr>
              <w:t> </w:t>
            </w:r>
            <w:r>
              <w:rPr>
                <w:sz w:val="24"/>
              </w:rPr>
              <w:t>benefit</w:t>
            </w:r>
            <w:r>
              <w:rPr>
                <w:spacing w:val="-6"/>
                <w:sz w:val="24"/>
              </w:rPr>
              <w:t> </w:t>
            </w:r>
            <w:r>
              <w:rPr>
                <w:sz w:val="24"/>
              </w:rPr>
              <w:t>from</w:t>
            </w:r>
            <w:r>
              <w:rPr>
                <w:spacing w:val="-9"/>
                <w:sz w:val="24"/>
              </w:rPr>
              <w:t> </w:t>
            </w:r>
            <w:r>
              <w:rPr>
                <w:sz w:val="24"/>
              </w:rPr>
              <w:t>further</w:t>
            </w:r>
            <w:r>
              <w:rPr>
                <w:spacing w:val="-9"/>
                <w:sz w:val="24"/>
              </w:rPr>
              <w:t> </w:t>
            </w:r>
            <w:r>
              <w:rPr>
                <w:sz w:val="24"/>
              </w:rPr>
              <w:t>refinement</w:t>
            </w:r>
            <w:r>
              <w:rPr>
                <w:spacing w:val="-6"/>
                <w:sz w:val="24"/>
              </w:rPr>
              <w:t> </w:t>
            </w:r>
            <w:r>
              <w:rPr>
                <w:sz w:val="24"/>
              </w:rPr>
              <w:t>over</w:t>
            </w:r>
            <w:r>
              <w:rPr>
                <w:spacing w:val="-9"/>
                <w:sz w:val="24"/>
              </w:rPr>
              <w:t> </w:t>
            </w:r>
            <w:r>
              <w:rPr>
                <w:sz w:val="24"/>
              </w:rPr>
              <w:t>the</w:t>
            </w:r>
            <w:r>
              <w:rPr>
                <w:spacing w:val="-8"/>
                <w:sz w:val="24"/>
              </w:rPr>
              <w:t> </w:t>
            </w:r>
            <w:r>
              <w:rPr>
                <w:sz w:val="24"/>
              </w:rPr>
              <w:t>coming</w:t>
            </w:r>
            <w:r>
              <w:rPr>
                <w:spacing w:val="-13"/>
                <w:sz w:val="24"/>
              </w:rPr>
              <w:t> </w:t>
            </w:r>
            <w:r>
              <w:rPr>
                <w:sz w:val="24"/>
              </w:rPr>
              <w:t>weeks.</w:t>
            </w:r>
          </w:p>
          <w:p>
            <w:pPr>
              <w:pStyle w:val="TableParagraph"/>
              <w:rPr>
                <w:sz w:val="24"/>
              </w:rPr>
            </w:pPr>
          </w:p>
          <w:p>
            <w:pPr>
              <w:pStyle w:val="TableParagraph"/>
              <w:numPr>
                <w:ilvl w:val="0"/>
                <w:numId w:val="31"/>
              </w:numPr>
              <w:tabs>
                <w:tab w:pos="1094" w:val="left" w:leader="none"/>
              </w:tabs>
              <w:spacing w:line="240" w:lineRule="auto" w:before="1" w:after="0"/>
              <w:ind w:left="1094" w:right="0" w:hanging="264"/>
              <w:jc w:val="left"/>
              <w:rPr>
                <w:b/>
                <w:sz w:val="24"/>
              </w:rPr>
            </w:pPr>
            <w:r>
              <w:rPr>
                <w:b/>
                <w:spacing w:val="-2"/>
                <w:sz w:val="24"/>
              </w:rPr>
              <w:t>Develop</w:t>
            </w:r>
            <w:r>
              <w:rPr>
                <w:b/>
                <w:spacing w:val="-17"/>
                <w:sz w:val="24"/>
              </w:rPr>
              <w:t> </w:t>
            </w:r>
            <w:r>
              <w:rPr>
                <w:b/>
                <w:spacing w:val="-2"/>
                <w:sz w:val="24"/>
              </w:rPr>
              <w:t>the</w:t>
            </w:r>
            <w:r>
              <w:rPr>
                <w:b/>
                <w:spacing w:val="-11"/>
                <w:sz w:val="24"/>
              </w:rPr>
              <w:t> </w:t>
            </w:r>
            <w:r>
              <w:rPr>
                <w:b/>
                <w:spacing w:val="-2"/>
                <w:sz w:val="24"/>
              </w:rPr>
              <w:t>Foundations</w:t>
            </w:r>
            <w:r>
              <w:rPr>
                <w:b/>
                <w:spacing w:val="-12"/>
                <w:sz w:val="24"/>
              </w:rPr>
              <w:t> </w:t>
            </w:r>
            <w:r>
              <w:rPr>
                <w:b/>
                <w:spacing w:val="-2"/>
                <w:sz w:val="24"/>
              </w:rPr>
              <w:t>for</w:t>
            </w:r>
            <w:r>
              <w:rPr>
                <w:b/>
                <w:spacing w:val="-12"/>
                <w:sz w:val="24"/>
              </w:rPr>
              <w:t> </w:t>
            </w:r>
            <w:r>
              <w:rPr>
                <w:b/>
                <w:spacing w:val="-2"/>
                <w:sz w:val="24"/>
              </w:rPr>
              <w:t>Regional</w:t>
            </w:r>
            <w:r>
              <w:rPr>
                <w:b/>
                <w:spacing w:val="-14"/>
                <w:sz w:val="24"/>
              </w:rPr>
              <w:t> </w:t>
            </w:r>
            <w:r>
              <w:rPr>
                <w:b/>
                <w:spacing w:val="-2"/>
                <w:sz w:val="24"/>
              </w:rPr>
              <w:t>Research</w:t>
            </w:r>
            <w:r>
              <w:rPr>
                <w:b/>
                <w:spacing w:val="-14"/>
                <w:sz w:val="24"/>
              </w:rPr>
              <w:t> </w:t>
            </w:r>
            <w:r>
              <w:rPr>
                <w:b/>
                <w:spacing w:val="-2"/>
                <w:sz w:val="24"/>
              </w:rPr>
              <w:t>and</w:t>
            </w:r>
            <w:r>
              <w:rPr>
                <w:b/>
                <w:spacing w:val="-10"/>
                <w:sz w:val="24"/>
              </w:rPr>
              <w:t> </w:t>
            </w:r>
            <w:r>
              <w:rPr>
                <w:b/>
                <w:spacing w:val="-2"/>
                <w:sz w:val="24"/>
              </w:rPr>
              <w:t>Innovation</w:t>
            </w:r>
            <w:r>
              <w:rPr>
                <w:b/>
                <w:spacing w:val="-14"/>
                <w:sz w:val="24"/>
              </w:rPr>
              <w:t> </w:t>
            </w:r>
            <w:r>
              <w:rPr>
                <w:b/>
                <w:spacing w:val="-2"/>
                <w:sz w:val="24"/>
              </w:rPr>
              <w:t>Collaboration</w:t>
            </w:r>
          </w:p>
          <w:p>
            <w:pPr>
              <w:pStyle w:val="TableParagraph"/>
              <w:spacing w:before="274"/>
              <w:ind w:left="830" w:right="212"/>
              <w:rPr>
                <w:sz w:val="24"/>
              </w:rPr>
            </w:pPr>
            <w:r>
              <w:rPr>
                <w:sz w:val="24"/>
              </w:rPr>
              <w:t>A</w:t>
            </w:r>
            <w:r>
              <w:rPr>
                <w:spacing w:val="-17"/>
                <w:sz w:val="24"/>
              </w:rPr>
              <w:t> </w:t>
            </w:r>
            <w:r>
              <w:rPr>
                <w:sz w:val="24"/>
              </w:rPr>
              <w:t>comprehensive</w:t>
            </w:r>
            <w:r>
              <w:rPr>
                <w:spacing w:val="-12"/>
                <w:sz w:val="24"/>
              </w:rPr>
              <w:t> </w:t>
            </w:r>
            <w:r>
              <w:rPr>
                <w:sz w:val="24"/>
              </w:rPr>
              <w:t>assessment</w:t>
            </w:r>
            <w:r>
              <w:rPr>
                <w:spacing w:val="-15"/>
                <w:sz w:val="24"/>
              </w:rPr>
              <w:t> </w:t>
            </w:r>
            <w:r>
              <w:rPr>
                <w:sz w:val="24"/>
              </w:rPr>
              <w:t>of</w:t>
            </w:r>
            <w:r>
              <w:rPr>
                <w:spacing w:val="-15"/>
                <w:sz w:val="24"/>
              </w:rPr>
              <w:t> </w:t>
            </w:r>
            <w:r>
              <w:rPr>
                <w:sz w:val="24"/>
              </w:rPr>
              <w:t>research,</w:t>
            </w:r>
            <w:r>
              <w:rPr>
                <w:spacing w:val="-17"/>
                <w:sz w:val="24"/>
              </w:rPr>
              <w:t> </w:t>
            </w:r>
            <w:r>
              <w:rPr>
                <w:sz w:val="24"/>
              </w:rPr>
              <w:t>innovation</w:t>
            </w:r>
            <w:r>
              <w:rPr>
                <w:spacing w:val="-12"/>
                <w:sz w:val="24"/>
              </w:rPr>
              <w:t> </w:t>
            </w:r>
            <w:r>
              <w:rPr>
                <w:sz w:val="24"/>
              </w:rPr>
              <w:t>and</w:t>
            </w:r>
            <w:r>
              <w:rPr>
                <w:spacing w:val="-13"/>
                <w:sz w:val="24"/>
              </w:rPr>
              <w:t> </w:t>
            </w:r>
            <w:r>
              <w:rPr>
                <w:sz w:val="24"/>
              </w:rPr>
              <w:t>university</w:t>
            </w:r>
            <w:r>
              <w:rPr>
                <w:spacing w:val="-17"/>
                <w:sz w:val="24"/>
              </w:rPr>
              <w:t> </w:t>
            </w:r>
            <w:r>
              <w:rPr>
                <w:sz w:val="24"/>
              </w:rPr>
              <w:t>partnership arrangements</w:t>
            </w:r>
            <w:r>
              <w:rPr>
                <w:spacing w:val="-10"/>
                <w:sz w:val="24"/>
              </w:rPr>
              <w:t> </w:t>
            </w:r>
            <w:r>
              <w:rPr>
                <w:sz w:val="24"/>
              </w:rPr>
              <w:t>within</w:t>
            </w:r>
            <w:r>
              <w:rPr>
                <w:spacing w:val="-10"/>
                <w:sz w:val="24"/>
              </w:rPr>
              <w:t> </w:t>
            </w:r>
            <w:r>
              <w:rPr>
                <w:sz w:val="24"/>
              </w:rPr>
              <w:t>Swansea</w:t>
            </w:r>
            <w:r>
              <w:rPr>
                <w:spacing w:val="-10"/>
                <w:sz w:val="24"/>
              </w:rPr>
              <w:t> </w:t>
            </w:r>
            <w:r>
              <w:rPr>
                <w:sz w:val="24"/>
              </w:rPr>
              <w:t>Bay</w:t>
            </w:r>
            <w:r>
              <w:rPr>
                <w:spacing w:val="-11"/>
                <w:sz w:val="24"/>
              </w:rPr>
              <w:t> </w:t>
            </w:r>
            <w:r>
              <w:rPr>
                <w:sz w:val="24"/>
              </w:rPr>
              <w:t>and</w:t>
            </w:r>
            <w:r>
              <w:rPr>
                <w:spacing w:val="-10"/>
                <w:sz w:val="24"/>
              </w:rPr>
              <w:t> </w:t>
            </w:r>
            <w:r>
              <w:rPr>
                <w:sz w:val="24"/>
              </w:rPr>
              <w:t>Hywel</w:t>
            </w:r>
            <w:r>
              <w:rPr>
                <w:spacing w:val="-10"/>
                <w:sz w:val="24"/>
              </w:rPr>
              <w:t> </w:t>
            </w:r>
            <w:r>
              <w:rPr>
                <w:sz w:val="24"/>
              </w:rPr>
              <w:t>Dda</w:t>
            </w:r>
            <w:r>
              <w:rPr>
                <w:spacing w:val="-15"/>
                <w:sz w:val="24"/>
              </w:rPr>
              <w:t> </w:t>
            </w:r>
            <w:r>
              <w:rPr>
                <w:sz w:val="24"/>
              </w:rPr>
              <w:t>University</w:t>
            </w:r>
            <w:r>
              <w:rPr>
                <w:spacing w:val="-15"/>
                <w:sz w:val="24"/>
              </w:rPr>
              <w:t> </w:t>
            </w:r>
            <w:r>
              <w:rPr>
                <w:sz w:val="24"/>
              </w:rPr>
              <w:t>Health</w:t>
            </w:r>
            <w:r>
              <w:rPr>
                <w:spacing w:val="-10"/>
                <w:sz w:val="24"/>
              </w:rPr>
              <w:t> </w:t>
            </w:r>
            <w:r>
              <w:rPr>
                <w:sz w:val="24"/>
              </w:rPr>
              <w:t>Boards</w:t>
            </w:r>
            <w:r>
              <w:rPr>
                <w:spacing w:val="-7"/>
                <w:sz w:val="24"/>
              </w:rPr>
              <w:t> </w:t>
            </w:r>
            <w:r>
              <w:rPr>
                <w:sz w:val="24"/>
              </w:rPr>
              <w:t>will</w:t>
            </w:r>
            <w:r>
              <w:rPr>
                <w:spacing w:val="-10"/>
                <w:sz w:val="24"/>
              </w:rPr>
              <w:t> </w:t>
            </w:r>
            <w:r>
              <w:rPr>
                <w:sz w:val="24"/>
              </w:rPr>
              <w:t>be undertaken</w:t>
            </w:r>
            <w:r>
              <w:rPr>
                <w:spacing w:val="-13"/>
                <w:sz w:val="24"/>
              </w:rPr>
              <w:t> </w:t>
            </w:r>
            <w:r>
              <w:rPr>
                <w:sz w:val="24"/>
              </w:rPr>
              <w:t>to</w:t>
            </w:r>
            <w:r>
              <w:rPr>
                <w:spacing w:val="-16"/>
                <w:sz w:val="24"/>
              </w:rPr>
              <w:t> </w:t>
            </w:r>
            <w:r>
              <w:rPr>
                <w:sz w:val="24"/>
              </w:rPr>
              <w:t>identify</w:t>
            </w:r>
            <w:r>
              <w:rPr>
                <w:spacing w:val="-17"/>
                <w:sz w:val="24"/>
              </w:rPr>
              <w:t> </w:t>
            </w:r>
            <w:r>
              <w:rPr>
                <w:sz w:val="24"/>
              </w:rPr>
              <w:t>opportunities</w:t>
            </w:r>
            <w:r>
              <w:rPr>
                <w:spacing w:val="-17"/>
                <w:sz w:val="24"/>
              </w:rPr>
              <w:t> </w:t>
            </w:r>
            <w:r>
              <w:rPr>
                <w:sz w:val="24"/>
              </w:rPr>
              <w:t>to</w:t>
            </w:r>
            <w:r>
              <w:rPr>
                <w:spacing w:val="-15"/>
                <w:sz w:val="24"/>
              </w:rPr>
              <w:t> </w:t>
            </w:r>
            <w:r>
              <w:rPr>
                <w:sz w:val="24"/>
              </w:rPr>
              <w:t>strengthen</w:t>
            </w:r>
            <w:r>
              <w:rPr>
                <w:spacing w:val="-16"/>
                <w:sz w:val="24"/>
              </w:rPr>
              <w:t> </w:t>
            </w:r>
            <w:r>
              <w:rPr>
                <w:sz w:val="24"/>
              </w:rPr>
              <w:t>collaboration,</w:t>
            </w:r>
            <w:r>
              <w:rPr>
                <w:spacing w:val="-17"/>
                <w:sz w:val="24"/>
              </w:rPr>
              <w:t> </w:t>
            </w:r>
            <w:r>
              <w:rPr>
                <w:sz w:val="24"/>
              </w:rPr>
              <w:t>increase</w:t>
            </w:r>
            <w:r>
              <w:rPr>
                <w:spacing w:val="-16"/>
                <w:sz w:val="24"/>
              </w:rPr>
              <w:t> </w:t>
            </w:r>
            <w:r>
              <w:rPr>
                <w:sz w:val="24"/>
              </w:rPr>
              <w:t>impact, </w:t>
            </w:r>
            <w:r>
              <w:rPr>
                <w:spacing w:val="-2"/>
                <w:sz w:val="24"/>
              </w:rPr>
              <w:t>improve</w:t>
            </w:r>
            <w:r>
              <w:rPr>
                <w:spacing w:val="-15"/>
                <w:sz w:val="24"/>
              </w:rPr>
              <w:t> </w:t>
            </w:r>
            <w:r>
              <w:rPr>
                <w:spacing w:val="-2"/>
                <w:sz w:val="24"/>
              </w:rPr>
              <w:t>organisational</w:t>
            </w:r>
            <w:r>
              <w:rPr>
                <w:spacing w:val="-15"/>
                <w:sz w:val="24"/>
              </w:rPr>
              <w:t> </w:t>
            </w:r>
            <w:r>
              <w:rPr>
                <w:spacing w:val="-2"/>
                <w:sz w:val="24"/>
              </w:rPr>
              <w:t>resilience</w:t>
            </w:r>
            <w:r>
              <w:rPr>
                <w:spacing w:val="-14"/>
                <w:sz w:val="24"/>
              </w:rPr>
              <w:t> </w:t>
            </w:r>
            <w:r>
              <w:rPr>
                <w:spacing w:val="-2"/>
                <w:sz w:val="24"/>
              </w:rPr>
              <w:t>and</w:t>
            </w:r>
            <w:r>
              <w:rPr>
                <w:spacing w:val="-15"/>
                <w:sz w:val="24"/>
              </w:rPr>
              <w:t> </w:t>
            </w:r>
            <w:r>
              <w:rPr>
                <w:spacing w:val="-2"/>
                <w:sz w:val="24"/>
              </w:rPr>
              <w:t>inform</w:t>
            </w:r>
            <w:r>
              <w:rPr>
                <w:spacing w:val="-15"/>
                <w:sz w:val="24"/>
              </w:rPr>
              <w:t> </w:t>
            </w:r>
            <w:r>
              <w:rPr>
                <w:spacing w:val="-2"/>
                <w:sz w:val="24"/>
              </w:rPr>
              <w:t>future</w:t>
            </w:r>
            <w:r>
              <w:rPr>
                <w:spacing w:val="-15"/>
                <w:sz w:val="24"/>
              </w:rPr>
              <w:t> </w:t>
            </w:r>
            <w:r>
              <w:rPr>
                <w:spacing w:val="-2"/>
                <w:sz w:val="24"/>
              </w:rPr>
              <w:t>regional</w:t>
            </w:r>
            <w:r>
              <w:rPr>
                <w:spacing w:val="-14"/>
                <w:sz w:val="24"/>
              </w:rPr>
              <w:t> </w:t>
            </w:r>
            <w:r>
              <w:rPr>
                <w:spacing w:val="-2"/>
                <w:sz w:val="24"/>
              </w:rPr>
              <w:t>decision-making.</w:t>
            </w:r>
            <w:r>
              <w:rPr>
                <w:spacing w:val="-15"/>
                <w:sz w:val="24"/>
              </w:rPr>
              <w:t> </w:t>
            </w:r>
            <w:r>
              <w:rPr>
                <w:spacing w:val="-2"/>
                <w:sz w:val="24"/>
              </w:rPr>
              <w:t>This</w:t>
            </w:r>
            <w:r>
              <w:rPr>
                <w:spacing w:val="-15"/>
                <w:sz w:val="24"/>
              </w:rPr>
              <w:t> </w:t>
            </w:r>
            <w:r>
              <w:rPr>
                <w:spacing w:val="-2"/>
                <w:sz w:val="24"/>
              </w:rPr>
              <w:t>will include:</w:t>
            </w:r>
          </w:p>
          <w:p>
            <w:pPr>
              <w:pStyle w:val="TableParagraph"/>
              <w:spacing w:before="3"/>
              <w:rPr>
                <w:sz w:val="24"/>
              </w:rPr>
            </w:pPr>
          </w:p>
          <w:p>
            <w:pPr>
              <w:pStyle w:val="TableParagraph"/>
              <w:numPr>
                <w:ilvl w:val="1"/>
                <w:numId w:val="31"/>
              </w:numPr>
              <w:tabs>
                <w:tab w:pos="1550" w:val="left" w:leader="none"/>
              </w:tabs>
              <w:spacing w:line="240" w:lineRule="auto" w:before="0" w:after="0"/>
              <w:ind w:left="1550" w:right="221" w:hanging="360"/>
              <w:jc w:val="left"/>
              <w:rPr>
                <w:sz w:val="24"/>
              </w:rPr>
            </w:pPr>
            <w:r>
              <w:rPr>
                <w:sz w:val="24"/>
              </w:rPr>
              <w:t>Reviewing</w:t>
            </w:r>
            <w:r>
              <w:rPr>
                <w:spacing w:val="-13"/>
                <w:sz w:val="24"/>
              </w:rPr>
              <w:t> </w:t>
            </w:r>
            <w:r>
              <w:rPr>
                <w:sz w:val="24"/>
              </w:rPr>
              <w:t>how</w:t>
            </w:r>
            <w:r>
              <w:rPr>
                <w:spacing w:val="-13"/>
                <w:sz w:val="24"/>
              </w:rPr>
              <w:t> </w:t>
            </w:r>
            <w:r>
              <w:rPr>
                <w:sz w:val="24"/>
              </w:rPr>
              <w:t>research,</w:t>
            </w:r>
            <w:r>
              <w:rPr>
                <w:spacing w:val="-17"/>
                <w:sz w:val="24"/>
              </w:rPr>
              <w:t> </w:t>
            </w:r>
            <w:r>
              <w:rPr>
                <w:sz w:val="24"/>
              </w:rPr>
              <w:t>innovation</w:t>
            </w:r>
            <w:r>
              <w:rPr>
                <w:spacing w:val="-14"/>
                <w:sz w:val="24"/>
              </w:rPr>
              <w:t> </w:t>
            </w:r>
            <w:r>
              <w:rPr>
                <w:sz w:val="24"/>
              </w:rPr>
              <w:t>and</w:t>
            </w:r>
            <w:r>
              <w:rPr>
                <w:spacing w:val="-14"/>
                <w:sz w:val="24"/>
              </w:rPr>
              <w:t> </w:t>
            </w:r>
            <w:r>
              <w:rPr>
                <w:sz w:val="24"/>
              </w:rPr>
              <w:t>university</w:t>
            </w:r>
            <w:r>
              <w:rPr>
                <w:spacing w:val="-15"/>
                <w:sz w:val="24"/>
              </w:rPr>
              <w:t> </w:t>
            </w:r>
            <w:r>
              <w:rPr>
                <w:sz w:val="24"/>
              </w:rPr>
              <w:t>partnership</w:t>
            </w:r>
            <w:r>
              <w:rPr>
                <w:spacing w:val="-7"/>
                <w:sz w:val="24"/>
              </w:rPr>
              <w:t> </w:t>
            </w:r>
            <w:r>
              <w:rPr>
                <w:sz w:val="24"/>
              </w:rPr>
              <w:t>functions</w:t>
            </w:r>
            <w:r>
              <w:rPr>
                <w:spacing w:val="-15"/>
                <w:sz w:val="24"/>
              </w:rPr>
              <w:t> </w:t>
            </w:r>
            <w:r>
              <w:rPr>
                <w:sz w:val="24"/>
              </w:rPr>
              <w:t>are </w:t>
            </w:r>
            <w:r>
              <w:rPr>
                <w:spacing w:val="-2"/>
                <w:sz w:val="24"/>
              </w:rPr>
              <w:t>organised</w:t>
            </w:r>
            <w:r>
              <w:rPr>
                <w:spacing w:val="-11"/>
                <w:sz w:val="24"/>
              </w:rPr>
              <w:t> </w:t>
            </w:r>
            <w:r>
              <w:rPr>
                <w:spacing w:val="-2"/>
                <w:sz w:val="24"/>
              </w:rPr>
              <w:t>and</w:t>
            </w:r>
            <w:r>
              <w:rPr>
                <w:spacing w:val="-6"/>
                <w:sz w:val="24"/>
              </w:rPr>
              <w:t> </w:t>
            </w:r>
            <w:r>
              <w:rPr>
                <w:spacing w:val="-2"/>
                <w:sz w:val="24"/>
              </w:rPr>
              <w:t>managed</w:t>
            </w:r>
            <w:r>
              <w:rPr>
                <w:spacing w:val="-10"/>
                <w:sz w:val="24"/>
              </w:rPr>
              <w:t> </w:t>
            </w:r>
            <w:r>
              <w:rPr>
                <w:spacing w:val="-2"/>
                <w:sz w:val="24"/>
              </w:rPr>
              <w:t>in</w:t>
            </w:r>
            <w:r>
              <w:rPr>
                <w:spacing w:val="-10"/>
                <w:sz w:val="24"/>
              </w:rPr>
              <w:t> </w:t>
            </w:r>
            <w:r>
              <w:rPr>
                <w:spacing w:val="-2"/>
                <w:sz w:val="24"/>
              </w:rPr>
              <w:t>both</w:t>
            </w:r>
            <w:r>
              <w:rPr>
                <w:spacing w:val="-9"/>
                <w:sz w:val="24"/>
              </w:rPr>
              <w:t> </w:t>
            </w:r>
            <w:r>
              <w:rPr>
                <w:spacing w:val="-2"/>
                <w:sz w:val="24"/>
              </w:rPr>
              <w:t>health</w:t>
            </w:r>
            <w:r>
              <w:rPr>
                <w:spacing w:val="-10"/>
                <w:sz w:val="24"/>
              </w:rPr>
              <w:t> </w:t>
            </w:r>
            <w:r>
              <w:rPr>
                <w:spacing w:val="-2"/>
                <w:sz w:val="24"/>
              </w:rPr>
              <w:t>boards.</w:t>
            </w:r>
            <w:r>
              <w:rPr>
                <w:spacing w:val="-9"/>
                <w:sz w:val="24"/>
              </w:rPr>
              <w:t> </w:t>
            </w:r>
            <w:r>
              <w:rPr>
                <w:spacing w:val="-2"/>
                <w:sz w:val="24"/>
              </w:rPr>
              <w:t>As</w:t>
            </w:r>
            <w:r>
              <w:rPr>
                <w:spacing w:val="-15"/>
                <w:sz w:val="24"/>
              </w:rPr>
              <w:t> </w:t>
            </w:r>
            <w:r>
              <w:rPr>
                <w:spacing w:val="-2"/>
                <w:sz w:val="24"/>
              </w:rPr>
              <w:t>part</w:t>
            </w:r>
            <w:r>
              <w:rPr>
                <w:spacing w:val="-13"/>
                <w:sz w:val="24"/>
              </w:rPr>
              <w:t> </w:t>
            </w:r>
            <w:r>
              <w:rPr>
                <w:spacing w:val="-2"/>
                <w:sz w:val="24"/>
              </w:rPr>
              <w:t>of</w:t>
            </w:r>
            <w:r>
              <w:rPr>
                <w:spacing w:val="-13"/>
                <w:sz w:val="24"/>
              </w:rPr>
              <w:t> </w:t>
            </w:r>
            <w:r>
              <w:rPr>
                <w:spacing w:val="-2"/>
                <w:sz w:val="24"/>
              </w:rPr>
              <w:t>this</w:t>
            </w:r>
            <w:r>
              <w:rPr>
                <w:spacing w:val="-11"/>
                <w:sz w:val="24"/>
              </w:rPr>
              <w:t> </w:t>
            </w:r>
            <w:r>
              <w:rPr>
                <w:spacing w:val="-2"/>
                <w:sz w:val="24"/>
              </w:rPr>
              <w:t>process,</w:t>
            </w:r>
            <w:r>
              <w:rPr>
                <w:spacing w:val="-13"/>
                <w:sz w:val="24"/>
              </w:rPr>
              <w:t> </w:t>
            </w:r>
            <w:r>
              <w:rPr>
                <w:spacing w:val="-2"/>
                <w:sz w:val="24"/>
              </w:rPr>
              <w:t>R&amp;D</w:t>
            </w:r>
            <w:r>
              <w:rPr>
                <w:spacing w:val="-10"/>
                <w:sz w:val="24"/>
              </w:rPr>
              <w:t> </w:t>
            </w:r>
            <w:r>
              <w:rPr>
                <w:spacing w:val="-2"/>
                <w:sz w:val="24"/>
              </w:rPr>
              <w:t>and Innovation</w:t>
            </w:r>
            <w:r>
              <w:rPr>
                <w:spacing w:val="-11"/>
                <w:sz w:val="24"/>
              </w:rPr>
              <w:t> </w:t>
            </w:r>
            <w:r>
              <w:rPr>
                <w:spacing w:val="-2"/>
                <w:sz w:val="24"/>
              </w:rPr>
              <w:t>teams</w:t>
            </w:r>
            <w:r>
              <w:rPr>
                <w:spacing w:val="-12"/>
                <w:sz w:val="24"/>
              </w:rPr>
              <w:t> </w:t>
            </w:r>
            <w:r>
              <w:rPr>
                <w:spacing w:val="-2"/>
                <w:sz w:val="24"/>
              </w:rPr>
              <w:t>will</w:t>
            </w:r>
            <w:r>
              <w:rPr>
                <w:spacing w:val="-11"/>
                <w:sz w:val="24"/>
              </w:rPr>
              <w:t> </w:t>
            </w:r>
            <w:r>
              <w:rPr>
                <w:spacing w:val="-2"/>
                <w:sz w:val="24"/>
              </w:rPr>
              <w:t>be</w:t>
            </w:r>
            <w:r>
              <w:rPr>
                <w:spacing w:val="-11"/>
                <w:sz w:val="24"/>
              </w:rPr>
              <w:t> </w:t>
            </w:r>
            <w:r>
              <w:rPr>
                <w:spacing w:val="-2"/>
                <w:sz w:val="24"/>
              </w:rPr>
              <w:t>offered</w:t>
            </w:r>
            <w:r>
              <w:rPr>
                <w:spacing w:val="-11"/>
                <w:sz w:val="24"/>
              </w:rPr>
              <w:t> </w:t>
            </w:r>
            <w:r>
              <w:rPr>
                <w:spacing w:val="-2"/>
                <w:sz w:val="24"/>
              </w:rPr>
              <w:t>opportunities</w:t>
            </w:r>
            <w:r>
              <w:rPr>
                <w:spacing w:val="-12"/>
                <w:sz w:val="24"/>
              </w:rPr>
              <w:t> </w:t>
            </w:r>
            <w:r>
              <w:rPr>
                <w:spacing w:val="-2"/>
                <w:sz w:val="24"/>
              </w:rPr>
              <w:t>to</w:t>
            </w:r>
            <w:r>
              <w:rPr>
                <w:spacing w:val="-11"/>
                <w:sz w:val="24"/>
              </w:rPr>
              <w:t> </w:t>
            </w:r>
            <w:r>
              <w:rPr>
                <w:spacing w:val="-2"/>
                <w:sz w:val="24"/>
              </w:rPr>
              <w:t>visit</w:t>
            </w:r>
            <w:r>
              <w:rPr>
                <w:spacing w:val="-13"/>
                <w:sz w:val="24"/>
              </w:rPr>
              <w:t> </w:t>
            </w:r>
            <w:r>
              <w:rPr>
                <w:spacing w:val="-2"/>
                <w:sz w:val="24"/>
              </w:rPr>
              <w:t>and</w:t>
            </w:r>
            <w:r>
              <w:rPr>
                <w:spacing w:val="-11"/>
                <w:sz w:val="24"/>
              </w:rPr>
              <w:t> </w:t>
            </w:r>
            <w:r>
              <w:rPr>
                <w:spacing w:val="-2"/>
                <w:sz w:val="24"/>
              </w:rPr>
              <w:t>observe</w:t>
            </w:r>
            <w:r>
              <w:rPr>
                <w:spacing w:val="-15"/>
                <w:sz w:val="24"/>
              </w:rPr>
              <w:t> </w:t>
            </w:r>
            <w:r>
              <w:rPr>
                <w:spacing w:val="-2"/>
                <w:sz w:val="24"/>
              </w:rPr>
              <w:t>arrangements within</w:t>
            </w:r>
            <w:r>
              <w:rPr>
                <w:spacing w:val="-5"/>
                <w:sz w:val="24"/>
              </w:rPr>
              <w:t> </w:t>
            </w:r>
            <w:r>
              <w:rPr>
                <w:spacing w:val="-2"/>
                <w:sz w:val="24"/>
              </w:rPr>
              <w:t>neighbouring</w:t>
            </w:r>
            <w:r>
              <w:rPr>
                <w:spacing w:val="-5"/>
                <w:sz w:val="24"/>
              </w:rPr>
              <w:t> </w:t>
            </w:r>
            <w:r>
              <w:rPr>
                <w:spacing w:val="-2"/>
                <w:sz w:val="24"/>
              </w:rPr>
              <w:t>organisations, supporting</w:t>
            </w:r>
            <w:r>
              <w:rPr>
                <w:spacing w:val="-5"/>
                <w:sz w:val="24"/>
              </w:rPr>
              <w:t> </w:t>
            </w:r>
            <w:r>
              <w:rPr>
                <w:spacing w:val="-2"/>
                <w:sz w:val="24"/>
              </w:rPr>
              <w:t>relationship</w:t>
            </w:r>
            <w:r>
              <w:rPr>
                <w:spacing w:val="-5"/>
                <w:sz w:val="24"/>
              </w:rPr>
              <w:t> </w:t>
            </w:r>
            <w:r>
              <w:rPr>
                <w:spacing w:val="-2"/>
                <w:sz w:val="24"/>
              </w:rPr>
              <w:t>development</w:t>
            </w:r>
            <w:r>
              <w:rPr>
                <w:spacing w:val="-8"/>
                <w:sz w:val="24"/>
              </w:rPr>
              <w:t> </w:t>
            </w:r>
            <w:r>
              <w:rPr>
                <w:spacing w:val="-2"/>
                <w:sz w:val="24"/>
              </w:rPr>
              <w:t>and</w:t>
            </w:r>
            <w:r>
              <w:rPr>
                <w:spacing w:val="-5"/>
                <w:sz w:val="24"/>
              </w:rPr>
              <w:t> </w:t>
            </w:r>
            <w:r>
              <w:rPr>
                <w:spacing w:val="-2"/>
                <w:sz w:val="24"/>
              </w:rPr>
              <w:t>the </w:t>
            </w:r>
            <w:r>
              <w:rPr>
                <w:sz w:val="24"/>
              </w:rPr>
              <w:t>transfer of learning and good practice.</w:t>
            </w:r>
          </w:p>
          <w:p>
            <w:pPr>
              <w:pStyle w:val="TableParagraph"/>
              <w:numPr>
                <w:ilvl w:val="1"/>
                <w:numId w:val="31"/>
              </w:numPr>
              <w:tabs>
                <w:tab w:pos="1550" w:val="left" w:leader="none"/>
              </w:tabs>
              <w:spacing w:line="237" w:lineRule="auto" w:before="0" w:after="0"/>
              <w:ind w:left="1550" w:right="1020" w:hanging="360"/>
              <w:jc w:val="left"/>
              <w:rPr>
                <w:sz w:val="24"/>
              </w:rPr>
            </w:pPr>
            <w:r>
              <w:rPr>
                <w:spacing w:val="-2"/>
                <w:sz w:val="24"/>
              </w:rPr>
              <w:t>Working</w:t>
            </w:r>
            <w:r>
              <w:rPr>
                <w:spacing w:val="-15"/>
                <w:sz w:val="24"/>
              </w:rPr>
              <w:t> </w:t>
            </w:r>
            <w:r>
              <w:rPr>
                <w:spacing w:val="-2"/>
                <w:sz w:val="24"/>
              </w:rPr>
              <w:t>with</w:t>
            </w:r>
            <w:r>
              <w:rPr>
                <w:spacing w:val="-15"/>
                <w:sz w:val="24"/>
              </w:rPr>
              <w:t> </w:t>
            </w:r>
            <w:r>
              <w:rPr>
                <w:spacing w:val="-2"/>
                <w:sz w:val="24"/>
              </w:rPr>
              <w:t>internal</w:t>
            </w:r>
            <w:r>
              <w:rPr>
                <w:spacing w:val="-14"/>
                <w:sz w:val="24"/>
              </w:rPr>
              <w:t> </w:t>
            </w:r>
            <w:r>
              <w:rPr>
                <w:spacing w:val="-2"/>
                <w:sz w:val="24"/>
              </w:rPr>
              <w:t>and</w:t>
            </w:r>
            <w:r>
              <w:rPr>
                <w:spacing w:val="-15"/>
                <w:sz w:val="24"/>
              </w:rPr>
              <w:t> </w:t>
            </w:r>
            <w:r>
              <w:rPr>
                <w:spacing w:val="-2"/>
                <w:sz w:val="24"/>
              </w:rPr>
              <w:t>external</w:t>
            </w:r>
            <w:r>
              <w:rPr>
                <w:spacing w:val="-15"/>
                <w:sz w:val="24"/>
              </w:rPr>
              <w:t> </w:t>
            </w:r>
            <w:r>
              <w:rPr>
                <w:spacing w:val="-2"/>
                <w:sz w:val="24"/>
              </w:rPr>
              <w:t>stakeholders</w:t>
            </w:r>
            <w:r>
              <w:rPr>
                <w:spacing w:val="-15"/>
                <w:sz w:val="24"/>
              </w:rPr>
              <w:t> </w:t>
            </w:r>
            <w:r>
              <w:rPr>
                <w:spacing w:val="-2"/>
                <w:sz w:val="24"/>
              </w:rPr>
              <w:t>to</w:t>
            </w:r>
            <w:r>
              <w:rPr>
                <w:spacing w:val="-14"/>
                <w:sz w:val="24"/>
              </w:rPr>
              <w:t> </w:t>
            </w:r>
            <w:r>
              <w:rPr>
                <w:spacing w:val="-2"/>
                <w:sz w:val="24"/>
              </w:rPr>
              <w:t>understand</w:t>
            </w:r>
            <w:r>
              <w:rPr>
                <w:spacing w:val="-15"/>
                <w:sz w:val="24"/>
              </w:rPr>
              <w:t> </w:t>
            </w:r>
            <w:r>
              <w:rPr>
                <w:spacing w:val="-2"/>
                <w:sz w:val="24"/>
              </w:rPr>
              <w:t>strengths, </w:t>
            </w:r>
            <w:r>
              <w:rPr>
                <w:sz w:val="24"/>
              </w:rPr>
              <w:t>challenges, opportunities and priorities.</w:t>
            </w:r>
          </w:p>
          <w:p>
            <w:pPr>
              <w:pStyle w:val="TableParagraph"/>
              <w:numPr>
                <w:ilvl w:val="1"/>
                <w:numId w:val="31"/>
              </w:numPr>
              <w:tabs>
                <w:tab w:pos="1550" w:val="left" w:leader="none"/>
              </w:tabs>
              <w:spacing w:line="242" w:lineRule="auto" w:before="0" w:after="0"/>
              <w:ind w:left="1550" w:right="96" w:hanging="360"/>
              <w:jc w:val="left"/>
              <w:rPr>
                <w:sz w:val="24"/>
              </w:rPr>
            </w:pPr>
            <w:r>
              <w:rPr>
                <w:spacing w:val="-2"/>
                <w:sz w:val="24"/>
              </w:rPr>
              <w:t>Assessing</w:t>
            </w:r>
            <w:r>
              <w:rPr>
                <w:spacing w:val="-15"/>
                <w:sz w:val="24"/>
              </w:rPr>
              <w:t> </w:t>
            </w:r>
            <w:r>
              <w:rPr>
                <w:spacing w:val="-2"/>
                <w:sz w:val="24"/>
              </w:rPr>
              <w:t>the</w:t>
            </w:r>
            <w:r>
              <w:rPr>
                <w:spacing w:val="-15"/>
                <w:sz w:val="24"/>
              </w:rPr>
              <w:t> </w:t>
            </w:r>
            <w:r>
              <w:rPr>
                <w:spacing w:val="-2"/>
                <w:sz w:val="24"/>
              </w:rPr>
              <w:t>current</w:t>
            </w:r>
            <w:r>
              <w:rPr>
                <w:spacing w:val="-14"/>
                <w:sz w:val="24"/>
              </w:rPr>
              <w:t> </w:t>
            </w:r>
            <w:r>
              <w:rPr>
                <w:spacing w:val="-2"/>
                <w:sz w:val="24"/>
              </w:rPr>
              <w:t>governance,</w:t>
            </w:r>
            <w:r>
              <w:rPr>
                <w:spacing w:val="-15"/>
                <w:sz w:val="24"/>
              </w:rPr>
              <w:t> </w:t>
            </w:r>
            <w:r>
              <w:rPr>
                <w:spacing w:val="-2"/>
                <w:sz w:val="24"/>
              </w:rPr>
              <w:t>leadership,</w:t>
            </w:r>
            <w:r>
              <w:rPr>
                <w:spacing w:val="-15"/>
                <w:sz w:val="24"/>
              </w:rPr>
              <w:t> </w:t>
            </w:r>
            <w:r>
              <w:rPr>
                <w:spacing w:val="-2"/>
                <w:sz w:val="24"/>
              </w:rPr>
              <w:t>financial,</w:t>
            </w:r>
            <w:r>
              <w:rPr>
                <w:spacing w:val="-15"/>
                <w:sz w:val="24"/>
              </w:rPr>
              <w:t> </w:t>
            </w:r>
            <w:r>
              <w:rPr>
                <w:spacing w:val="-2"/>
                <w:sz w:val="24"/>
              </w:rPr>
              <w:t>workforce,</w:t>
            </w:r>
            <w:r>
              <w:rPr>
                <w:spacing w:val="-14"/>
                <w:sz w:val="24"/>
              </w:rPr>
              <w:t> </w:t>
            </w:r>
            <w:r>
              <w:rPr>
                <w:spacing w:val="-2"/>
                <w:sz w:val="24"/>
              </w:rPr>
              <w:t>infrastructure, </w:t>
            </w:r>
            <w:r>
              <w:rPr>
                <w:sz w:val="24"/>
              </w:rPr>
              <w:t>performance,</w:t>
            </w:r>
            <w:r>
              <w:rPr>
                <w:spacing w:val="-11"/>
                <w:sz w:val="24"/>
              </w:rPr>
              <w:t> </w:t>
            </w:r>
            <w:r>
              <w:rPr>
                <w:sz w:val="24"/>
              </w:rPr>
              <w:t>partnerships</w:t>
            </w:r>
            <w:r>
              <w:rPr>
                <w:spacing w:val="-3"/>
                <w:sz w:val="24"/>
              </w:rPr>
              <w:t> </w:t>
            </w:r>
            <w:r>
              <w:rPr>
                <w:sz w:val="24"/>
              </w:rPr>
              <w:t>and</w:t>
            </w:r>
            <w:r>
              <w:rPr>
                <w:spacing w:val="-2"/>
                <w:sz w:val="24"/>
              </w:rPr>
              <w:t> </w:t>
            </w:r>
            <w:r>
              <w:rPr>
                <w:sz w:val="24"/>
              </w:rPr>
              <w:t>delivery</w:t>
            </w:r>
            <w:r>
              <w:rPr>
                <w:spacing w:val="-8"/>
                <w:sz w:val="24"/>
              </w:rPr>
              <w:t> </w:t>
            </w:r>
            <w:r>
              <w:rPr>
                <w:sz w:val="24"/>
              </w:rPr>
              <w:t>arrangements.</w:t>
            </w:r>
          </w:p>
          <w:p>
            <w:pPr>
              <w:pStyle w:val="TableParagraph"/>
              <w:numPr>
                <w:ilvl w:val="1"/>
                <w:numId w:val="31"/>
              </w:numPr>
              <w:tabs>
                <w:tab w:pos="1550" w:val="left" w:leader="none"/>
              </w:tabs>
              <w:spacing w:line="240" w:lineRule="auto" w:before="0" w:after="0"/>
              <w:ind w:left="1550" w:right="168" w:hanging="360"/>
              <w:jc w:val="left"/>
              <w:rPr>
                <w:sz w:val="24"/>
              </w:rPr>
            </w:pPr>
            <w:r>
              <w:rPr>
                <w:sz w:val="24"/>
              </w:rPr>
              <w:t>Identifying</w:t>
            </w:r>
            <w:r>
              <w:rPr>
                <w:spacing w:val="-14"/>
                <w:sz w:val="24"/>
              </w:rPr>
              <w:t> </w:t>
            </w:r>
            <w:r>
              <w:rPr>
                <w:sz w:val="24"/>
              </w:rPr>
              <w:t>opportunities</w:t>
            </w:r>
            <w:r>
              <w:rPr>
                <w:spacing w:val="-15"/>
                <w:sz w:val="24"/>
              </w:rPr>
              <w:t> </w:t>
            </w:r>
            <w:r>
              <w:rPr>
                <w:sz w:val="24"/>
              </w:rPr>
              <w:t>to</w:t>
            </w:r>
            <w:r>
              <w:rPr>
                <w:spacing w:val="-14"/>
                <w:sz w:val="24"/>
              </w:rPr>
              <w:t> </w:t>
            </w:r>
            <w:r>
              <w:rPr>
                <w:sz w:val="24"/>
              </w:rPr>
              <w:t>strengthen</w:t>
            </w:r>
            <w:r>
              <w:rPr>
                <w:spacing w:val="-14"/>
                <w:sz w:val="24"/>
              </w:rPr>
              <w:t> </w:t>
            </w:r>
            <w:r>
              <w:rPr>
                <w:sz w:val="24"/>
              </w:rPr>
              <w:t>alignment</w:t>
            </w:r>
            <w:r>
              <w:rPr>
                <w:spacing w:val="-16"/>
                <w:sz w:val="24"/>
              </w:rPr>
              <w:t> </w:t>
            </w:r>
            <w:r>
              <w:rPr>
                <w:sz w:val="24"/>
              </w:rPr>
              <w:t>between</w:t>
            </w:r>
            <w:r>
              <w:rPr>
                <w:spacing w:val="-9"/>
                <w:sz w:val="24"/>
              </w:rPr>
              <w:t> </w:t>
            </w:r>
            <w:r>
              <w:rPr>
                <w:sz w:val="24"/>
              </w:rPr>
              <w:t>the</w:t>
            </w:r>
            <w:r>
              <w:rPr>
                <w:spacing w:val="-14"/>
                <w:sz w:val="24"/>
              </w:rPr>
              <w:t> </w:t>
            </w:r>
            <w:r>
              <w:rPr>
                <w:sz w:val="24"/>
              </w:rPr>
              <w:t>Research, </w:t>
            </w:r>
            <w:r>
              <w:rPr>
                <w:spacing w:val="-2"/>
                <w:sz w:val="24"/>
              </w:rPr>
              <w:t>Innovation</w:t>
            </w:r>
            <w:r>
              <w:rPr>
                <w:spacing w:val="-15"/>
                <w:sz w:val="24"/>
              </w:rPr>
              <w:t> </w:t>
            </w:r>
            <w:r>
              <w:rPr>
                <w:spacing w:val="-2"/>
                <w:sz w:val="24"/>
              </w:rPr>
              <w:t>and</w:t>
            </w:r>
            <w:r>
              <w:rPr>
                <w:spacing w:val="-15"/>
                <w:sz w:val="24"/>
              </w:rPr>
              <w:t> </w:t>
            </w:r>
            <w:r>
              <w:rPr>
                <w:spacing w:val="-2"/>
                <w:sz w:val="24"/>
              </w:rPr>
              <w:t>Excellence</w:t>
            </w:r>
            <w:r>
              <w:rPr>
                <w:spacing w:val="-14"/>
                <w:sz w:val="24"/>
              </w:rPr>
              <w:t> </w:t>
            </w:r>
            <w:r>
              <w:rPr>
                <w:spacing w:val="-2"/>
                <w:sz w:val="24"/>
              </w:rPr>
              <w:t>work</w:t>
            </w:r>
            <w:r>
              <w:rPr>
                <w:spacing w:val="-15"/>
                <w:sz w:val="24"/>
              </w:rPr>
              <w:t> </w:t>
            </w:r>
            <w:r>
              <w:rPr>
                <w:spacing w:val="-2"/>
                <w:sz w:val="24"/>
              </w:rPr>
              <w:t>programme</w:t>
            </w:r>
            <w:r>
              <w:rPr>
                <w:spacing w:val="-15"/>
                <w:sz w:val="24"/>
              </w:rPr>
              <w:t> </w:t>
            </w:r>
            <w:r>
              <w:rPr>
                <w:spacing w:val="-2"/>
                <w:sz w:val="24"/>
              </w:rPr>
              <w:t>and</w:t>
            </w:r>
            <w:r>
              <w:rPr>
                <w:spacing w:val="-15"/>
                <w:sz w:val="24"/>
              </w:rPr>
              <w:t> </w:t>
            </w:r>
            <w:r>
              <w:rPr>
                <w:spacing w:val="-2"/>
                <w:sz w:val="24"/>
              </w:rPr>
              <w:t>other</w:t>
            </w:r>
            <w:r>
              <w:rPr>
                <w:spacing w:val="-14"/>
                <w:sz w:val="24"/>
              </w:rPr>
              <w:t> </w:t>
            </w:r>
            <w:r>
              <w:rPr>
                <w:spacing w:val="-2"/>
                <w:sz w:val="24"/>
              </w:rPr>
              <w:t>Regional</w:t>
            </w:r>
            <w:r>
              <w:rPr>
                <w:spacing w:val="-15"/>
                <w:sz w:val="24"/>
              </w:rPr>
              <w:t> </w:t>
            </w:r>
            <w:r>
              <w:rPr>
                <w:spacing w:val="-2"/>
                <w:sz w:val="24"/>
              </w:rPr>
              <w:t>Joint</w:t>
            </w:r>
            <w:r>
              <w:rPr>
                <w:spacing w:val="-14"/>
                <w:sz w:val="24"/>
              </w:rPr>
              <w:t> </w:t>
            </w:r>
            <w:r>
              <w:rPr>
                <w:spacing w:val="-2"/>
                <w:sz w:val="24"/>
              </w:rPr>
              <w:t>Committee </w:t>
            </w:r>
            <w:r>
              <w:rPr>
                <w:sz w:val="24"/>
              </w:rPr>
              <w:t>priorities,</w:t>
            </w:r>
            <w:r>
              <w:rPr>
                <w:spacing w:val="-13"/>
                <w:sz w:val="24"/>
              </w:rPr>
              <w:t> </w:t>
            </w:r>
            <w:r>
              <w:rPr>
                <w:sz w:val="24"/>
              </w:rPr>
              <w:t>particularly</w:t>
            </w:r>
            <w:r>
              <w:rPr>
                <w:spacing w:val="-9"/>
                <w:sz w:val="24"/>
              </w:rPr>
              <w:t> </w:t>
            </w:r>
            <w:r>
              <w:rPr>
                <w:sz w:val="24"/>
              </w:rPr>
              <w:t>Regional</w:t>
            </w:r>
            <w:r>
              <w:rPr>
                <w:spacing w:val="-9"/>
                <w:sz w:val="24"/>
              </w:rPr>
              <w:t> </w:t>
            </w:r>
            <w:r>
              <w:rPr>
                <w:sz w:val="24"/>
              </w:rPr>
              <w:t>Health</w:t>
            </w:r>
            <w:r>
              <w:rPr>
                <w:spacing w:val="-10"/>
                <w:sz w:val="24"/>
              </w:rPr>
              <w:t> </w:t>
            </w:r>
            <w:r>
              <w:rPr>
                <w:sz w:val="24"/>
              </w:rPr>
              <w:t>Economy</w:t>
            </w:r>
            <w:r>
              <w:rPr>
                <w:spacing w:val="-15"/>
                <w:sz w:val="24"/>
              </w:rPr>
              <w:t> </w:t>
            </w:r>
            <w:r>
              <w:rPr>
                <w:sz w:val="24"/>
              </w:rPr>
              <w:t>and</w:t>
            </w:r>
            <w:r>
              <w:rPr>
                <w:spacing w:val="-14"/>
                <w:sz w:val="24"/>
              </w:rPr>
              <w:t> </w:t>
            </w:r>
            <w:r>
              <w:rPr>
                <w:sz w:val="24"/>
              </w:rPr>
              <w:t>Service</w:t>
            </w:r>
            <w:r>
              <w:rPr>
                <w:spacing w:val="-9"/>
                <w:sz w:val="24"/>
              </w:rPr>
              <w:t> </w:t>
            </w:r>
            <w:r>
              <w:rPr>
                <w:sz w:val="24"/>
              </w:rPr>
              <w:t>Change programmes,</w:t>
            </w:r>
            <w:r>
              <w:rPr>
                <w:spacing w:val="-17"/>
                <w:sz w:val="24"/>
              </w:rPr>
              <w:t> </w:t>
            </w:r>
            <w:r>
              <w:rPr>
                <w:sz w:val="24"/>
              </w:rPr>
              <w:t>such</w:t>
            </w:r>
            <w:r>
              <w:rPr>
                <w:spacing w:val="-17"/>
                <w:sz w:val="24"/>
              </w:rPr>
              <w:t> </w:t>
            </w:r>
            <w:r>
              <w:rPr>
                <w:sz w:val="24"/>
              </w:rPr>
              <w:t>as</w:t>
            </w:r>
            <w:r>
              <w:rPr>
                <w:spacing w:val="-16"/>
                <w:sz w:val="24"/>
              </w:rPr>
              <w:t> </w:t>
            </w:r>
            <w:r>
              <w:rPr>
                <w:sz w:val="24"/>
              </w:rPr>
              <w:t>the</w:t>
            </w:r>
            <w:r>
              <w:rPr>
                <w:spacing w:val="-17"/>
                <w:sz w:val="24"/>
              </w:rPr>
              <w:t> </w:t>
            </w:r>
            <w:r>
              <w:rPr>
                <w:sz w:val="24"/>
              </w:rPr>
              <w:t>Regional</w:t>
            </w:r>
            <w:r>
              <w:rPr>
                <w:spacing w:val="-17"/>
                <w:sz w:val="24"/>
              </w:rPr>
              <w:t> </w:t>
            </w:r>
            <w:r>
              <w:rPr>
                <w:sz w:val="24"/>
              </w:rPr>
              <w:t>Cellular</w:t>
            </w:r>
            <w:r>
              <w:rPr>
                <w:spacing w:val="-17"/>
                <w:sz w:val="24"/>
              </w:rPr>
              <w:t> </w:t>
            </w:r>
            <w:r>
              <w:rPr>
                <w:sz w:val="24"/>
              </w:rPr>
              <w:t>Pathology</w:t>
            </w:r>
            <w:r>
              <w:rPr>
                <w:spacing w:val="-16"/>
                <w:sz w:val="24"/>
              </w:rPr>
              <w:t> </w:t>
            </w:r>
            <w:r>
              <w:rPr>
                <w:sz w:val="24"/>
              </w:rPr>
              <w:t>Centre</w:t>
            </w:r>
            <w:r>
              <w:rPr>
                <w:spacing w:val="-17"/>
                <w:sz w:val="24"/>
              </w:rPr>
              <w:t> </w:t>
            </w:r>
            <w:r>
              <w:rPr>
                <w:sz w:val="24"/>
              </w:rPr>
              <w:t>of</w:t>
            </w:r>
            <w:r>
              <w:rPr>
                <w:spacing w:val="-17"/>
                <w:sz w:val="24"/>
              </w:rPr>
              <w:t> </w:t>
            </w:r>
            <w:r>
              <w:rPr>
                <w:sz w:val="24"/>
              </w:rPr>
              <w:t>Excellence</w:t>
            </w:r>
            <w:r>
              <w:rPr>
                <w:spacing w:val="-16"/>
                <w:sz w:val="24"/>
              </w:rPr>
              <w:t> </w:t>
            </w:r>
            <w:r>
              <w:rPr>
                <w:sz w:val="24"/>
              </w:rPr>
              <w:t>and potential</w:t>
            </w:r>
            <w:r>
              <w:rPr>
                <w:spacing w:val="-1"/>
                <w:sz w:val="24"/>
              </w:rPr>
              <w:t> </w:t>
            </w:r>
            <w:r>
              <w:rPr>
                <w:sz w:val="24"/>
              </w:rPr>
              <w:t>for</w:t>
            </w:r>
            <w:r>
              <w:rPr>
                <w:spacing w:val="-7"/>
                <w:sz w:val="24"/>
              </w:rPr>
              <w:t> </w:t>
            </w:r>
            <w:r>
              <w:rPr>
                <w:sz w:val="24"/>
              </w:rPr>
              <w:t>on-site</w:t>
            </w:r>
            <w:r>
              <w:rPr>
                <w:spacing w:val="-11"/>
                <w:sz w:val="24"/>
              </w:rPr>
              <w:t> </w:t>
            </w:r>
            <w:r>
              <w:rPr>
                <w:sz w:val="24"/>
              </w:rPr>
              <w:t>and</w:t>
            </w:r>
            <w:r>
              <w:rPr>
                <w:spacing w:val="-11"/>
                <w:sz w:val="24"/>
              </w:rPr>
              <w:t> </w:t>
            </w:r>
            <w:r>
              <w:rPr>
                <w:sz w:val="24"/>
              </w:rPr>
              <w:t>aligned</w:t>
            </w:r>
            <w:r>
              <w:rPr>
                <w:spacing w:val="-6"/>
                <w:sz w:val="24"/>
              </w:rPr>
              <w:t> </w:t>
            </w:r>
            <w:r>
              <w:rPr>
                <w:sz w:val="24"/>
              </w:rPr>
              <w:t>pathology</w:t>
            </w:r>
            <w:r>
              <w:rPr>
                <w:spacing w:val="-7"/>
                <w:sz w:val="24"/>
              </w:rPr>
              <w:t> </w:t>
            </w:r>
            <w:r>
              <w:rPr>
                <w:sz w:val="24"/>
              </w:rPr>
              <w:t>research</w:t>
            </w:r>
            <w:r>
              <w:rPr>
                <w:spacing w:val="-11"/>
                <w:sz w:val="24"/>
              </w:rPr>
              <w:t> </w:t>
            </w:r>
            <w:r>
              <w:rPr>
                <w:sz w:val="24"/>
              </w:rPr>
              <w:t>activity.</w:t>
            </w:r>
          </w:p>
          <w:p>
            <w:pPr>
              <w:pStyle w:val="TableParagraph"/>
              <w:numPr>
                <w:ilvl w:val="1"/>
                <w:numId w:val="31"/>
              </w:numPr>
              <w:tabs>
                <w:tab w:pos="1550" w:val="left" w:leader="none"/>
              </w:tabs>
              <w:spacing w:line="240" w:lineRule="auto" w:before="0" w:after="0"/>
              <w:ind w:left="1550" w:right="284" w:hanging="360"/>
              <w:jc w:val="both"/>
              <w:rPr>
                <w:sz w:val="24"/>
              </w:rPr>
            </w:pPr>
            <w:r>
              <w:rPr>
                <w:spacing w:val="-2"/>
                <w:sz w:val="24"/>
              </w:rPr>
              <w:t>Seeking</w:t>
            </w:r>
            <w:r>
              <w:rPr>
                <w:spacing w:val="-14"/>
                <w:sz w:val="24"/>
              </w:rPr>
              <w:t> </w:t>
            </w:r>
            <w:r>
              <w:rPr>
                <w:spacing w:val="-2"/>
                <w:sz w:val="24"/>
              </w:rPr>
              <w:t>expert</w:t>
            </w:r>
            <w:r>
              <w:rPr>
                <w:spacing w:val="-13"/>
                <w:sz w:val="24"/>
              </w:rPr>
              <w:t> </w:t>
            </w:r>
            <w:r>
              <w:rPr>
                <w:spacing w:val="-2"/>
                <w:sz w:val="24"/>
              </w:rPr>
              <w:t>input</w:t>
            </w:r>
            <w:r>
              <w:rPr>
                <w:spacing w:val="-15"/>
                <w:sz w:val="24"/>
              </w:rPr>
              <w:t> </w:t>
            </w:r>
            <w:r>
              <w:rPr>
                <w:spacing w:val="-2"/>
                <w:sz w:val="24"/>
              </w:rPr>
              <w:t>and</w:t>
            </w:r>
            <w:r>
              <w:rPr>
                <w:spacing w:val="-15"/>
                <w:sz w:val="24"/>
              </w:rPr>
              <w:t> </w:t>
            </w:r>
            <w:r>
              <w:rPr>
                <w:spacing w:val="-2"/>
                <w:sz w:val="24"/>
              </w:rPr>
              <w:t>advice</w:t>
            </w:r>
            <w:r>
              <w:rPr>
                <w:spacing w:val="-10"/>
                <w:sz w:val="24"/>
              </w:rPr>
              <w:t> </w:t>
            </w:r>
            <w:r>
              <w:rPr>
                <w:spacing w:val="-2"/>
                <w:sz w:val="24"/>
              </w:rPr>
              <w:t>to</w:t>
            </w:r>
            <w:r>
              <w:rPr>
                <w:spacing w:val="-11"/>
                <w:sz w:val="24"/>
              </w:rPr>
              <w:t> </w:t>
            </w:r>
            <w:r>
              <w:rPr>
                <w:spacing w:val="-2"/>
                <w:sz w:val="24"/>
              </w:rPr>
              <w:t>provide</w:t>
            </w:r>
            <w:r>
              <w:rPr>
                <w:spacing w:val="-11"/>
                <w:sz w:val="24"/>
              </w:rPr>
              <w:t> </w:t>
            </w:r>
            <w:r>
              <w:rPr>
                <w:spacing w:val="-2"/>
                <w:sz w:val="24"/>
              </w:rPr>
              <w:t>constructive</w:t>
            </w:r>
            <w:r>
              <w:rPr>
                <w:spacing w:val="-11"/>
                <w:sz w:val="24"/>
              </w:rPr>
              <w:t> </w:t>
            </w:r>
            <w:r>
              <w:rPr>
                <w:spacing w:val="-2"/>
                <w:sz w:val="24"/>
              </w:rPr>
              <w:t>challenge,</w:t>
            </w:r>
            <w:r>
              <w:rPr>
                <w:spacing w:val="-13"/>
                <w:sz w:val="24"/>
              </w:rPr>
              <w:t> </w:t>
            </w:r>
            <w:r>
              <w:rPr>
                <w:spacing w:val="-2"/>
                <w:sz w:val="24"/>
              </w:rPr>
              <w:t>independent perspective</w:t>
            </w:r>
            <w:r>
              <w:rPr>
                <w:spacing w:val="-15"/>
                <w:sz w:val="24"/>
              </w:rPr>
              <w:t> </w:t>
            </w:r>
            <w:r>
              <w:rPr>
                <w:spacing w:val="-2"/>
                <w:sz w:val="24"/>
              </w:rPr>
              <w:t>and</w:t>
            </w:r>
            <w:r>
              <w:rPr>
                <w:spacing w:val="-15"/>
                <w:sz w:val="24"/>
              </w:rPr>
              <w:t> </w:t>
            </w:r>
            <w:r>
              <w:rPr>
                <w:spacing w:val="-2"/>
                <w:sz w:val="24"/>
              </w:rPr>
              <w:t>insight</w:t>
            </w:r>
            <w:r>
              <w:rPr>
                <w:spacing w:val="-13"/>
                <w:sz w:val="24"/>
              </w:rPr>
              <w:t> </w:t>
            </w:r>
            <w:r>
              <w:rPr>
                <w:spacing w:val="-2"/>
                <w:sz w:val="24"/>
              </w:rPr>
              <w:t>from</w:t>
            </w:r>
            <w:r>
              <w:rPr>
                <w:spacing w:val="-15"/>
                <w:sz w:val="24"/>
              </w:rPr>
              <w:t> </w:t>
            </w:r>
            <w:r>
              <w:rPr>
                <w:spacing w:val="-2"/>
                <w:sz w:val="24"/>
              </w:rPr>
              <w:t>relevant</w:t>
            </w:r>
            <w:r>
              <w:rPr>
                <w:spacing w:val="-14"/>
                <w:sz w:val="24"/>
              </w:rPr>
              <w:t> </w:t>
            </w:r>
            <w:r>
              <w:rPr>
                <w:spacing w:val="-2"/>
                <w:sz w:val="24"/>
              </w:rPr>
              <w:t>experience</w:t>
            </w:r>
            <w:r>
              <w:rPr>
                <w:spacing w:val="-10"/>
                <w:sz w:val="24"/>
              </w:rPr>
              <w:t> </w:t>
            </w:r>
            <w:r>
              <w:rPr>
                <w:spacing w:val="-2"/>
                <w:sz w:val="24"/>
              </w:rPr>
              <w:t>elsewhere.</w:t>
            </w:r>
            <w:r>
              <w:rPr>
                <w:spacing w:val="-13"/>
                <w:sz w:val="24"/>
              </w:rPr>
              <w:t> </w:t>
            </w:r>
            <w:r>
              <w:rPr>
                <w:spacing w:val="-2"/>
                <w:sz w:val="24"/>
              </w:rPr>
              <w:t>This</w:t>
            </w:r>
            <w:r>
              <w:rPr>
                <w:spacing w:val="-15"/>
                <w:sz w:val="24"/>
              </w:rPr>
              <w:t> </w:t>
            </w:r>
            <w:r>
              <w:rPr>
                <w:spacing w:val="-2"/>
                <w:sz w:val="24"/>
              </w:rPr>
              <w:t>may</w:t>
            </w:r>
            <w:r>
              <w:rPr>
                <w:spacing w:val="-15"/>
                <w:sz w:val="24"/>
              </w:rPr>
              <w:t> </w:t>
            </w:r>
            <w:r>
              <w:rPr>
                <w:spacing w:val="-2"/>
                <w:sz w:val="24"/>
              </w:rPr>
              <w:t>include</w:t>
            </w:r>
            <w:r>
              <w:rPr>
                <w:spacing w:val="-14"/>
                <w:sz w:val="24"/>
              </w:rPr>
              <w:t> </w:t>
            </w:r>
            <w:r>
              <w:rPr>
                <w:spacing w:val="-2"/>
                <w:sz w:val="24"/>
              </w:rPr>
              <w:t>a </w:t>
            </w:r>
            <w:r>
              <w:rPr>
                <w:sz w:val="24"/>
              </w:rPr>
              <w:t>peer</w:t>
            </w:r>
            <w:r>
              <w:rPr>
                <w:spacing w:val="-3"/>
                <w:sz w:val="24"/>
              </w:rPr>
              <w:t> </w:t>
            </w:r>
            <w:r>
              <w:rPr>
                <w:sz w:val="24"/>
              </w:rPr>
              <w:t>review</w:t>
            </w:r>
            <w:r>
              <w:rPr>
                <w:spacing w:val="-7"/>
                <w:sz w:val="24"/>
              </w:rPr>
              <w:t> </w:t>
            </w:r>
            <w:r>
              <w:rPr>
                <w:sz w:val="24"/>
              </w:rPr>
              <w:t>or</w:t>
            </w:r>
            <w:r>
              <w:rPr>
                <w:spacing w:val="-3"/>
                <w:sz w:val="24"/>
              </w:rPr>
              <w:t> </w:t>
            </w:r>
            <w:r>
              <w:rPr>
                <w:sz w:val="24"/>
              </w:rPr>
              <w:t>other</w:t>
            </w:r>
            <w:r>
              <w:rPr>
                <w:spacing w:val="-3"/>
                <w:sz w:val="24"/>
              </w:rPr>
              <w:t> </w:t>
            </w:r>
            <w:r>
              <w:rPr>
                <w:sz w:val="24"/>
              </w:rPr>
              <w:t>forms</w:t>
            </w:r>
            <w:r>
              <w:rPr>
                <w:spacing w:val="-8"/>
                <w:sz w:val="24"/>
              </w:rPr>
              <w:t> </w:t>
            </w:r>
            <w:r>
              <w:rPr>
                <w:sz w:val="24"/>
              </w:rPr>
              <w:t>of</w:t>
            </w:r>
            <w:r>
              <w:rPr>
                <w:spacing w:val="-5"/>
                <w:sz w:val="24"/>
              </w:rPr>
              <w:t> </w:t>
            </w:r>
            <w:r>
              <w:rPr>
                <w:sz w:val="24"/>
              </w:rPr>
              <w:t>external</w:t>
            </w:r>
            <w:r>
              <w:rPr>
                <w:spacing w:val="-2"/>
                <w:sz w:val="24"/>
              </w:rPr>
              <w:t> </w:t>
            </w:r>
            <w:r>
              <w:rPr>
                <w:sz w:val="24"/>
              </w:rPr>
              <w:t>expert support.</w:t>
            </w:r>
          </w:p>
          <w:p>
            <w:pPr>
              <w:pStyle w:val="TableParagraph"/>
              <w:spacing w:before="266"/>
              <w:ind w:left="830"/>
              <w:rPr>
                <w:sz w:val="24"/>
              </w:rPr>
            </w:pPr>
            <w:r>
              <w:rPr>
                <w:sz w:val="24"/>
              </w:rPr>
              <w:t>The</w:t>
            </w:r>
            <w:r>
              <w:rPr>
                <w:spacing w:val="-10"/>
                <w:sz w:val="24"/>
              </w:rPr>
              <w:t> </w:t>
            </w:r>
            <w:r>
              <w:rPr>
                <w:sz w:val="24"/>
              </w:rPr>
              <w:t>outputs</w:t>
            </w:r>
            <w:r>
              <w:rPr>
                <w:spacing w:val="-11"/>
                <w:sz w:val="24"/>
              </w:rPr>
              <w:t> </w:t>
            </w:r>
            <w:r>
              <w:rPr>
                <w:sz w:val="24"/>
              </w:rPr>
              <w:t>will</w:t>
            </w:r>
            <w:r>
              <w:rPr>
                <w:spacing w:val="-10"/>
                <w:sz w:val="24"/>
              </w:rPr>
              <w:t> </w:t>
            </w:r>
            <w:r>
              <w:rPr>
                <w:sz w:val="24"/>
              </w:rPr>
              <w:t>include</w:t>
            </w:r>
            <w:r>
              <w:rPr>
                <w:spacing w:val="-15"/>
                <w:sz w:val="24"/>
              </w:rPr>
              <w:t> </w:t>
            </w:r>
            <w:r>
              <w:rPr>
                <w:sz w:val="24"/>
              </w:rPr>
              <w:t>a</w:t>
            </w:r>
            <w:r>
              <w:rPr>
                <w:spacing w:val="-5"/>
                <w:sz w:val="24"/>
              </w:rPr>
              <w:t> </w:t>
            </w:r>
            <w:r>
              <w:rPr>
                <w:sz w:val="24"/>
              </w:rPr>
              <w:t>concise</w:t>
            </w:r>
            <w:r>
              <w:rPr>
                <w:spacing w:val="-10"/>
                <w:sz w:val="24"/>
              </w:rPr>
              <w:t> </w:t>
            </w:r>
            <w:r>
              <w:rPr>
                <w:sz w:val="24"/>
              </w:rPr>
              <w:t>assessment</w:t>
            </w:r>
            <w:r>
              <w:rPr>
                <w:spacing w:val="-13"/>
                <w:sz w:val="24"/>
              </w:rPr>
              <w:t> </w:t>
            </w:r>
            <w:r>
              <w:rPr>
                <w:sz w:val="24"/>
              </w:rPr>
              <w:t>report</w:t>
            </w:r>
            <w:r>
              <w:rPr>
                <w:spacing w:val="-13"/>
                <w:sz w:val="24"/>
              </w:rPr>
              <w:t> </w:t>
            </w:r>
            <w:r>
              <w:rPr>
                <w:sz w:val="24"/>
              </w:rPr>
              <w:t>setting</w:t>
            </w:r>
            <w:r>
              <w:rPr>
                <w:spacing w:val="-10"/>
                <w:sz w:val="24"/>
              </w:rPr>
              <w:t> </w:t>
            </w:r>
            <w:r>
              <w:rPr>
                <w:sz w:val="24"/>
              </w:rPr>
              <w:t>out</w:t>
            </w:r>
            <w:r>
              <w:rPr>
                <w:spacing w:val="-13"/>
                <w:sz w:val="24"/>
              </w:rPr>
              <w:t> </w:t>
            </w:r>
            <w:r>
              <w:rPr>
                <w:sz w:val="24"/>
              </w:rPr>
              <w:t>key</w:t>
            </w:r>
            <w:r>
              <w:rPr>
                <w:spacing w:val="-11"/>
                <w:sz w:val="24"/>
              </w:rPr>
              <w:t> </w:t>
            </w:r>
            <w:r>
              <w:rPr>
                <w:sz w:val="24"/>
              </w:rPr>
              <w:t>findings</w:t>
            </w:r>
            <w:r>
              <w:rPr>
                <w:spacing w:val="-11"/>
                <w:sz w:val="24"/>
              </w:rPr>
              <w:t> </w:t>
            </w:r>
            <w:r>
              <w:rPr>
                <w:sz w:val="24"/>
              </w:rPr>
              <w:t>and </w:t>
            </w:r>
            <w:r>
              <w:rPr>
                <w:spacing w:val="-4"/>
                <w:sz w:val="24"/>
              </w:rPr>
              <w:t>recommendations, shared learning across participating organisations and stakeholders, </w:t>
            </w:r>
            <w:r>
              <w:rPr>
                <w:sz w:val="24"/>
              </w:rPr>
              <w:t>and</w:t>
            </w:r>
            <w:r>
              <w:rPr>
                <w:spacing w:val="-14"/>
                <w:sz w:val="24"/>
              </w:rPr>
              <w:t> </w:t>
            </w:r>
            <w:r>
              <w:rPr>
                <w:sz w:val="24"/>
              </w:rPr>
              <w:t>a</w:t>
            </w:r>
            <w:r>
              <w:rPr>
                <w:spacing w:val="-9"/>
                <w:sz w:val="24"/>
              </w:rPr>
              <w:t> </w:t>
            </w:r>
            <w:r>
              <w:rPr>
                <w:sz w:val="24"/>
              </w:rPr>
              <w:t>robust</w:t>
            </w:r>
            <w:r>
              <w:rPr>
                <w:spacing w:val="-17"/>
                <w:sz w:val="24"/>
              </w:rPr>
              <w:t> </w:t>
            </w:r>
            <w:r>
              <w:rPr>
                <w:sz w:val="24"/>
              </w:rPr>
              <w:t>evidence</w:t>
            </w:r>
            <w:r>
              <w:rPr>
                <w:spacing w:val="-9"/>
                <w:sz w:val="24"/>
              </w:rPr>
              <w:t> </w:t>
            </w:r>
            <w:r>
              <w:rPr>
                <w:sz w:val="24"/>
              </w:rPr>
              <w:t>base</w:t>
            </w:r>
            <w:r>
              <w:rPr>
                <w:spacing w:val="-4"/>
                <w:sz w:val="24"/>
              </w:rPr>
              <w:t> </w:t>
            </w:r>
            <w:r>
              <w:rPr>
                <w:sz w:val="24"/>
              </w:rPr>
              <w:t>to</w:t>
            </w:r>
            <w:r>
              <w:rPr>
                <w:spacing w:val="-9"/>
                <w:sz w:val="24"/>
              </w:rPr>
              <w:t> </w:t>
            </w:r>
            <w:r>
              <w:rPr>
                <w:sz w:val="24"/>
              </w:rPr>
              <w:t>inform</w:t>
            </w:r>
            <w:r>
              <w:rPr>
                <w:spacing w:val="-5"/>
                <w:sz w:val="24"/>
              </w:rPr>
              <w:t> </w:t>
            </w:r>
            <w:r>
              <w:rPr>
                <w:sz w:val="24"/>
              </w:rPr>
              <w:t>the</w:t>
            </w:r>
            <w:r>
              <w:rPr>
                <w:spacing w:val="-9"/>
                <w:sz w:val="24"/>
              </w:rPr>
              <w:t> </w:t>
            </w:r>
            <w:r>
              <w:rPr>
                <w:sz w:val="24"/>
              </w:rPr>
              <w:t>development</w:t>
            </w:r>
            <w:r>
              <w:rPr>
                <w:spacing w:val="-12"/>
                <w:sz w:val="24"/>
              </w:rPr>
              <w:t> </w:t>
            </w:r>
            <w:r>
              <w:rPr>
                <w:sz w:val="24"/>
              </w:rPr>
              <w:t>of</w:t>
            </w:r>
            <w:r>
              <w:rPr>
                <w:spacing w:val="-12"/>
                <w:sz w:val="24"/>
              </w:rPr>
              <w:t> </w:t>
            </w:r>
            <w:r>
              <w:rPr>
                <w:sz w:val="24"/>
              </w:rPr>
              <w:t>a</w:t>
            </w:r>
            <w:r>
              <w:rPr>
                <w:spacing w:val="-9"/>
                <w:sz w:val="24"/>
              </w:rPr>
              <w:t> </w:t>
            </w:r>
            <w:r>
              <w:rPr>
                <w:sz w:val="24"/>
              </w:rPr>
              <w:t>future</w:t>
            </w:r>
            <w:r>
              <w:rPr>
                <w:spacing w:val="-9"/>
                <w:sz w:val="24"/>
              </w:rPr>
              <w:t> </w:t>
            </w:r>
            <w:r>
              <w:rPr>
                <w:sz w:val="24"/>
              </w:rPr>
              <w:t>regional</w:t>
            </w:r>
            <w:r>
              <w:rPr>
                <w:spacing w:val="-9"/>
                <w:sz w:val="24"/>
              </w:rPr>
              <w:t> </w:t>
            </w:r>
            <w:r>
              <w:rPr>
                <w:sz w:val="24"/>
              </w:rPr>
              <w:t>model</w:t>
            </w:r>
            <w:r>
              <w:rPr>
                <w:spacing w:val="-9"/>
                <w:sz w:val="24"/>
              </w:rPr>
              <w:t> </w:t>
            </w:r>
            <w:r>
              <w:rPr>
                <w:sz w:val="24"/>
              </w:rPr>
              <w:t>for research, innovation and excellence.</w:t>
            </w:r>
          </w:p>
          <w:p>
            <w:pPr>
              <w:pStyle w:val="TableParagraph"/>
              <w:rPr>
                <w:sz w:val="24"/>
              </w:rPr>
            </w:pPr>
          </w:p>
          <w:p>
            <w:pPr>
              <w:pStyle w:val="TableParagraph"/>
              <w:ind w:left="830"/>
              <w:rPr>
                <w:sz w:val="24"/>
              </w:rPr>
            </w:pPr>
            <w:r>
              <w:rPr>
                <w:spacing w:val="-4"/>
                <w:sz w:val="24"/>
              </w:rPr>
              <w:t>Target: January</w:t>
            </w:r>
            <w:r>
              <w:rPr>
                <w:spacing w:val="-1"/>
                <w:sz w:val="24"/>
              </w:rPr>
              <w:t> </w:t>
            </w:r>
            <w:r>
              <w:rPr>
                <w:spacing w:val="-4"/>
                <w:sz w:val="24"/>
              </w:rPr>
              <w:t>2027</w:t>
            </w:r>
          </w:p>
          <w:p>
            <w:pPr>
              <w:pStyle w:val="TableParagraph"/>
              <w:spacing w:before="3"/>
              <w:rPr>
                <w:sz w:val="24"/>
              </w:rPr>
            </w:pPr>
          </w:p>
          <w:p>
            <w:pPr>
              <w:pStyle w:val="TableParagraph"/>
              <w:numPr>
                <w:ilvl w:val="0"/>
                <w:numId w:val="31"/>
              </w:numPr>
              <w:tabs>
                <w:tab w:pos="1094" w:val="left" w:leader="none"/>
              </w:tabs>
              <w:spacing w:line="240" w:lineRule="auto" w:before="0" w:after="0"/>
              <w:ind w:left="1094" w:right="0" w:hanging="264"/>
              <w:jc w:val="left"/>
              <w:rPr>
                <w:b/>
                <w:sz w:val="24"/>
              </w:rPr>
            </w:pPr>
            <w:r>
              <w:rPr>
                <w:b/>
                <w:spacing w:val="-2"/>
                <w:sz w:val="24"/>
              </w:rPr>
              <w:t>Develop</w:t>
            </w:r>
            <w:r>
              <w:rPr>
                <w:b/>
                <w:spacing w:val="-15"/>
                <w:sz w:val="24"/>
              </w:rPr>
              <w:t> </w:t>
            </w:r>
            <w:r>
              <w:rPr>
                <w:b/>
                <w:spacing w:val="-2"/>
                <w:sz w:val="24"/>
              </w:rPr>
              <w:t>a</w:t>
            </w:r>
            <w:r>
              <w:rPr>
                <w:b/>
                <w:spacing w:val="-12"/>
                <w:sz w:val="24"/>
              </w:rPr>
              <w:t> </w:t>
            </w:r>
            <w:r>
              <w:rPr>
                <w:b/>
                <w:spacing w:val="-2"/>
                <w:sz w:val="24"/>
              </w:rPr>
              <w:t>Preferred</w:t>
            </w:r>
            <w:r>
              <w:rPr>
                <w:b/>
                <w:spacing w:val="-10"/>
                <w:sz w:val="24"/>
              </w:rPr>
              <w:t> </w:t>
            </w:r>
            <w:r>
              <w:rPr>
                <w:b/>
                <w:spacing w:val="-2"/>
                <w:sz w:val="24"/>
              </w:rPr>
              <w:t>Future</w:t>
            </w:r>
            <w:r>
              <w:rPr>
                <w:b/>
                <w:spacing w:val="-12"/>
                <w:sz w:val="24"/>
              </w:rPr>
              <w:t> </w:t>
            </w:r>
            <w:r>
              <w:rPr>
                <w:b/>
                <w:spacing w:val="-2"/>
                <w:sz w:val="24"/>
              </w:rPr>
              <w:t>Regional</w:t>
            </w:r>
            <w:r>
              <w:rPr>
                <w:b/>
                <w:spacing w:val="-9"/>
                <w:sz w:val="24"/>
              </w:rPr>
              <w:t> </w:t>
            </w:r>
            <w:r>
              <w:rPr>
                <w:b/>
                <w:spacing w:val="-2"/>
                <w:sz w:val="24"/>
              </w:rPr>
              <w:t>Model</w:t>
            </w:r>
          </w:p>
          <w:p>
            <w:pPr>
              <w:pStyle w:val="TableParagraph"/>
              <w:spacing w:before="274"/>
              <w:ind w:left="830"/>
              <w:rPr>
                <w:sz w:val="24"/>
              </w:rPr>
            </w:pPr>
            <w:r>
              <w:rPr>
                <w:sz w:val="24"/>
              </w:rPr>
              <w:t>There</w:t>
            </w:r>
            <w:r>
              <w:rPr>
                <w:spacing w:val="-15"/>
                <w:sz w:val="24"/>
              </w:rPr>
              <w:t> </w:t>
            </w:r>
            <w:r>
              <w:rPr>
                <w:sz w:val="24"/>
              </w:rPr>
              <w:t>are</w:t>
            </w:r>
            <w:r>
              <w:rPr>
                <w:spacing w:val="-13"/>
                <w:sz w:val="24"/>
              </w:rPr>
              <w:t> </w:t>
            </w:r>
            <w:r>
              <w:rPr>
                <w:sz w:val="24"/>
              </w:rPr>
              <w:t>a</w:t>
            </w:r>
            <w:r>
              <w:rPr>
                <w:spacing w:val="-13"/>
                <w:sz w:val="24"/>
              </w:rPr>
              <w:t> </w:t>
            </w:r>
            <w:r>
              <w:rPr>
                <w:sz w:val="24"/>
              </w:rPr>
              <w:t>range</w:t>
            </w:r>
            <w:r>
              <w:rPr>
                <w:spacing w:val="-13"/>
                <w:sz w:val="24"/>
              </w:rPr>
              <w:t> </w:t>
            </w:r>
            <w:r>
              <w:rPr>
                <w:sz w:val="24"/>
              </w:rPr>
              <w:t>of</w:t>
            </w:r>
            <w:r>
              <w:rPr>
                <w:spacing w:val="-17"/>
                <w:sz w:val="24"/>
              </w:rPr>
              <w:t> </w:t>
            </w:r>
            <w:r>
              <w:rPr>
                <w:sz w:val="24"/>
              </w:rPr>
              <w:t>potential</w:t>
            </w:r>
            <w:r>
              <w:rPr>
                <w:spacing w:val="-12"/>
                <w:sz w:val="24"/>
              </w:rPr>
              <w:t> </w:t>
            </w:r>
            <w:r>
              <w:rPr>
                <w:sz w:val="24"/>
              </w:rPr>
              <w:t>options</w:t>
            </w:r>
            <w:r>
              <w:rPr>
                <w:spacing w:val="-13"/>
                <w:sz w:val="24"/>
              </w:rPr>
              <w:t> </w:t>
            </w:r>
            <w:r>
              <w:rPr>
                <w:sz w:val="24"/>
              </w:rPr>
              <w:t>for</w:t>
            </w:r>
            <w:r>
              <w:rPr>
                <w:spacing w:val="-13"/>
                <w:sz w:val="24"/>
              </w:rPr>
              <w:t> </w:t>
            </w:r>
            <w:r>
              <w:rPr>
                <w:sz w:val="24"/>
              </w:rPr>
              <w:t>regional</w:t>
            </w:r>
            <w:r>
              <w:rPr>
                <w:spacing w:val="-13"/>
                <w:sz w:val="24"/>
              </w:rPr>
              <w:t> </w:t>
            </w:r>
            <w:r>
              <w:rPr>
                <w:sz w:val="24"/>
              </w:rPr>
              <w:t>working</w:t>
            </w:r>
            <w:r>
              <w:rPr>
                <w:spacing w:val="-13"/>
                <w:sz w:val="24"/>
              </w:rPr>
              <w:t> </w:t>
            </w:r>
            <w:r>
              <w:rPr>
                <w:sz w:val="24"/>
              </w:rPr>
              <w:t>across</w:t>
            </w:r>
            <w:r>
              <w:rPr>
                <w:spacing w:val="-9"/>
                <w:sz w:val="24"/>
              </w:rPr>
              <w:t> </w:t>
            </w:r>
            <w:r>
              <w:rPr>
                <w:sz w:val="24"/>
              </w:rPr>
              <w:t>research,</w:t>
            </w:r>
            <w:r>
              <w:rPr>
                <w:spacing w:val="-15"/>
                <w:sz w:val="24"/>
              </w:rPr>
              <w:t> </w:t>
            </w:r>
            <w:r>
              <w:rPr>
                <w:sz w:val="24"/>
              </w:rPr>
              <w:t>innovation and</w:t>
            </w:r>
            <w:r>
              <w:rPr>
                <w:spacing w:val="-17"/>
                <w:sz w:val="24"/>
              </w:rPr>
              <w:t> </w:t>
            </w:r>
            <w:r>
              <w:rPr>
                <w:sz w:val="24"/>
              </w:rPr>
              <w:t>excellence,</w:t>
            </w:r>
            <w:r>
              <w:rPr>
                <w:spacing w:val="-15"/>
                <w:sz w:val="24"/>
              </w:rPr>
              <w:t> </w:t>
            </w:r>
            <w:r>
              <w:rPr>
                <w:sz w:val="24"/>
              </w:rPr>
              <w:t>spanning</w:t>
            </w:r>
            <w:r>
              <w:rPr>
                <w:spacing w:val="-8"/>
                <w:sz w:val="24"/>
              </w:rPr>
              <w:t> </w:t>
            </w:r>
            <w:r>
              <w:rPr>
                <w:sz w:val="24"/>
              </w:rPr>
              <w:t>from</w:t>
            </w:r>
            <w:r>
              <w:rPr>
                <w:spacing w:val="-13"/>
                <w:sz w:val="24"/>
              </w:rPr>
              <w:t> </w:t>
            </w:r>
            <w:r>
              <w:rPr>
                <w:sz w:val="24"/>
              </w:rPr>
              <w:t>greater</w:t>
            </w:r>
            <w:r>
              <w:rPr>
                <w:spacing w:val="-13"/>
                <w:sz w:val="24"/>
              </w:rPr>
              <w:t> </w:t>
            </w:r>
            <w:r>
              <w:rPr>
                <w:sz w:val="24"/>
              </w:rPr>
              <w:t>alignment</w:t>
            </w:r>
            <w:r>
              <w:rPr>
                <w:spacing w:val="-11"/>
                <w:sz w:val="24"/>
              </w:rPr>
              <w:t> </w:t>
            </w:r>
            <w:r>
              <w:rPr>
                <w:sz w:val="24"/>
              </w:rPr>
              <w:t>of</w:t>
            </w:r>
            <w:r>
              <w:rPr>
                <w:spacing w:val="-15"/>
                <w:sz w:val="24"/>
              </w:rPr>
              <w:t> </w:t>
            </w:r>
            <w:r>
              <w:rPr>
                <w:sz w:val="24"/>
              </w:rPr>
              <w:t>activity</w:t>
            </w:r>
            <w:r>
              <w:rPr>
                <w:spacing w:val="-13"/>
                <w:sz w:val="24"/>
              </w:rPr>
              <w:t> </w:t>
            </w:r>
            <w:r>
              <w:rPr>
                <w:sz w:val="24"/>
              </w:rPr>
              <w:t>around</w:t>
            </w:r>
            <w:r>
              <w:rPr>
                <w:spacing w:val="-12"/>
                <w:sz w:val="24"/>
              </w:rPr>
              <w:t> </w:t>
            </w:r>
            <w:r>
              <w:rPr>
                <w:sz w:val="24"/>
              </w:rPr>
              <w:t>services</w:t>
            </w:r>
            <w:r>
              <w:rPr>
                <w:spacing w:val="-9"/>
                <w:sz w:val="24"/>
              </w:rPr>
              <w:t> </w:t>
            </w:r>
            <w:r>
              <w:rPr>
                <w:sz w:val="24"/>
              </w:rPr>
              <w:t>that </w:t>
            </w:r>
            <w:r>
              <w:rPr>
                <w:spacing w:val="-2"/>
                <w:sz w:val="24"/>
              </w:rPr>
              <w:t>increasingly</w:t>
            </w:r>
            <w:r>
              <w:rPr>
                <w:spacing w:val="-14"/>
                <w:sz w:val="24"/>
              </w:rPr>
              <w:t> </w:t>
            </w:r>
            <w:r>
              <w:rPr>
                <w:spacing w:val="-2"/>
                <w:sz w:val="24"/>
              </w:rPr>
              <w:t>operate</w:t>
            </w:r>
            <w:r>
              <w:rPr>
                <w:spacing w:val="-15"/>
                <w:sz w:val="24"/>
              </w:rPr>
              <w:t> </w:t>
            </w:r>
            <w:r>
              <w:rPr>
                <w:spacing w:val="-2"/>
                <w:sz w:val="24"/>
              </w:rPr>
              <w:t>on</w:t>
            </w:r>
            <w:r>
              <w:rPr>
                <w:spacing w:val="-15"/>
                <w:sz w:val="24"/>
              </w:rPr>
              <w:t> </w:t>
            </w:r>
            <w:r>
              <w:rPr>
                <w:spacing w:val="-2"/>
                <w:sz w:val="24"/>
              </w:rPr>
              <w:t>a</w:t>
            </w:r>
            <w:r>
              <w:rPr>
                <w:spacing w:val="-10"/>
                <w:sz w:val="24"/>
              </w:rPr>
              <w:t> </w:t>
            </w:r>
            <w:r>
              <w:rPr>
                <w:spacing w:val="-2"/>
                <w:sz w:val="24"/>
              </w:rPr>
              <w:t>regional</w:t>
            </w:r>
            <w:r>
              <w:rPr>
                <w:spacing w:val="-11"/>
                <w:sz w:val="24"/>
              </w:rPr>
              <w:t> </w:t>
            </w:r>
            <w:r>
              <w:rPr>
                <w:spacing w:val="-2"/>
                <w:sz w:val="24"/>
              </w:rPr>
              <w:t>basis,</w:t>
            </w:r>
            <w:r>
              <w:rPr>
                <w:spacing w:val="-14"/>
                <w:sz w:val="24"/>
              </w:rPr>
              <w:t> </w:t>
            </w:r>
            <w:r>
              <w:rPr>
                <w:spacing w:val="-2"/>
                <w:sz w:val="24"/>
              </w:rPr>
              <w:t>through</w:t>
            </w:r>
            <w:r>
              <w:rPr>
                <w:spacing w:val="-6"/>
                <w:sz w:val="24"/>
              </w:rPr>
              <w:t> </w:t>
            </w:r>
            <w:r>
              <w:rPr>
                <w:spacing w:val="-2"/>
                <w:sz w:val="24"/>
              </w:rPr>
              <w:t>to</w:t>
            </w:r>
            <w:r>
              <w:rPr>
                <w:spacing w:val="-11"/>
                <w:sz w:val="24"/>
              </w:rPr>
              <w:t> </w:t>
            </w:r>
            <w:r>
              <w:rPr>
                <w:spacing w:val="-2"/>
                <w:sz w:val="24"/>
              </w:rPr>
              <w:t>deeper</w:t>
            </w:r>
            <w:r>
              <w:rPr>
                <w:spacing w:val="-12"/>
                <w:sz w:val="24"/>
              </w:rPr>
              <w:t> </w:t>
            </w:r>
            <w:r>
              <w:rPr>
                <w:spacing w:val="-2"/>
                <w:sz w:val="24"/>
              </w:rPr>
              <w:t>integration</w:t>
            </w:r>
            <w:r>
              <w:rPr>
                <w:spacing w:val="-11"/>
                <w:sz w:val="24"/>
              </w:rPr>
              <w:t> </w:t>
            </w:r>
            <w:r>
              <w:rPr>
                <w:spacing w:val="-2"/>
                <w:sz w:val="24"/>
              </w:rPr>
              <w:t>of</w:t>
            </w:r>
            <w:r>
              <w:rPr>
                <w:spacing w:val="-14"/>
                <w:sz w:val="24"/>
              </w:rPr>
              <w:t> </w:t>
            </w:r>
            <w:r>
              <w:rPr>
                <w:spacing w:val="-2"/>
                <w:sz w:val="24"/>
              </w:rPr>
              <w:t>leadership</w:t>
            </w:r>
            <w:r>
              <w:rPr>
                <w:spacing w:val="-15"/>
                <w:sz w:val="24"/>
              </w:rPr>
              <w:t> </w:t>
            </w:r>
            <w:r>
              <w:rPr>
                <w:spacing w:val="-2"/>
                <w:sz w:val="24"/>
              </w:rPr>
              <w:t>and </w:t>
            </w:r>
            <w:r>
              <w:rPr>
                <w:sz w:val="24"/>
              </w:rPr>
              <w:t>delivery functions.</w:t>
            </w:r>
          </w:p>
          <w:p>
            <w:pPr>
              <w:pStyle w:val="TableParagraph"/>
              <w:spacing w:line="276" w:lineRule="exact" w:before="255"/>
              <w:ind w:left="830" w:right="212"/>
              <w:rPr>
                <w:sz w:val="24"/>
              </w:rPr>
            </w:pPr>
            <w:r>
              <w:rPr>
                <w:spacing w:val="-2"/>
                <w:sz w:val="24"/>
              </w:rPr>
              <w:t>Building</w:t>
            </w:r>
            <w:r>
              <w:rPr>
                <w:spacing w:val="-13"/>
                <w:sz w:val="24"/>
              </w:rPr>
              <w:t> </w:t>
            </w:r>
            <w:r>
              <w:rPr>
                <w:spacing w:val="-2"/>
                <w:sz w:val="24"/>
              </w:rPr>
              <w:t>on</w:t>
            </w:r>
            <w:r>
              <w:rPr>
                <w:spacing w:val="-13"/>
                <w:sz w:val="24"/>
              </w:rPr>
              <w:t> </w:t>
            </w:r>
            <w:r>
              <w:rPr>
                <w:spacing w:val="-2"/>
                <w:sz w:val="24"/>
              </w:rPr>
              <w:t>the</w:t>
            </w:r>
            <w:r>
              <w:rPr>
                <w:spacing w:val="-13"/>
                <w:sz w:val="24"/>
              </w:rPr>
              <w:t> </w:t>
            </w:r>
            <w:r>
              <w:rPr>
                <w:spacing w:val="-2"/>
                <w:sz w:val="24"/>
              </w:rPr>
              <w:t>findings</w:t>
            </w:r>
            <w:r>
              <w:rPr>
                <w:spacing w:val="-13"/>
                <w:sz w:val="24"/>
              </w:rPr>
              <w:t> </w:t>
            </w:r>
            <w:r>
              <w:rPr>
                <w:spacing w:val="-2"/>
                <w:sz w:val="24"/>
              </w:rPr>
              <w:t>from</w:t>
            </w:r>
            <w:r>
              <w:rPr>
                <w:spacing w:val="-9"/>
                <w:sz w:val="24"/>
              </w:rPr>
              <w:t> </w:t>
            </w:r>
            <w:r>
              <w:rPr>
                <w:spacing w:val="-2"/>
                <w:sz w:val="24"/>
              </w:rPr>
              <w:t>the</w:t>
            </w:r>
            <w:r>
              <w:rPr>
                <w:spacing w:val="-13"/>
                <w:sz w:val="24"/>
              </w:rPr>
              <w:t> </w:t>
            </w:r>
            <w:r>
              <w:rPr>
                <w:spacing w:val="-2"/>
                <w:sz w:val="24"/>
              </w:rPr>
              <w:t>assessment</w:t>
            </w:r>
            <w:r>
              <w:rPr>
                <w:spacing w:val="-15"/>
                <w:sz w:val="24"/>
              </w:rPr>
              <w:t> </w:t>
            </w:r>
            <w:r>
              <w:rPr>
                <w:spacing w:val="-2"/>
                <w:sz w:val="24"/>
              </w:rPr>
              <w:t>phase,</w:t>
            </w:r>
            <w:r>
              <w:rPr>
                <w:spacing w:val="-15"/>
                <w:sz w:val="24"/>
              </w:rPr>
              <w:t> </w:t>
            </w:r>
            <w:r>
              <w:rPr>
                <w:spacing w:val="-2"/>
                <w:sz w:val="24"/>
              </w:rPr>
              <w:t>structured</w:t>
            </w:r>
            <w:r>
              <w:rPr>
                <w:spacing w:val="-12"/>
                <w:sz w:val="24"/>
              </w:rPr>
              <w:t> </w:t>
            </w:r>
            <w:r>
              <w:rPr>
                <w:spacing w:val="-2"/>
                <w:sz w:val="24"/>
              </w:rPr>
              <w:t>work</w:t>
            </w:r>
            <w:r>
              <w:rPr>
                <w:spacing w:val="-13"/>
                <w:sz w:val="24"/>
              </w:rPr>
              <w:t> </w:t>
            </w:r>
            <w:r>
              <w:rPr>
                <w:spacing w:val="-2"/>
                <w:sz w:val="24"/>
              </w:rPr>
              <w:t>will</w:t>
            </w:r>
            <w:r>
              <w:rPr>
                <w:spacing w:val="-13"/>
                <w:sz w:val="24"/>
              </w:rPr>
              <w:t> </w:t>
            </w:r>
            <w:r>
              <w:rPr>
                <w:spacing w:val="-2"/>
                <w:sz w:val="24"/>
              </w:rPr>
              <w:t>be</w:t>
            </w:r>
            <w:r>
              <w:rPr>
                <w:spacing w:val="-13"/>
                <w:sz w:val="24"/>
              </w:rPr>
              <w:t> </w:t>
            </w:r>
            <w:r>
              <w:rPr>
                <w:spacing w:val="-2"/>
                <w:sz w:val="24"/>
              </w:rPr>
              <w:t>undertaken </w:t>
            </w:r>
            <w:r>
              <w:rPr>
                <w:sz w:val="24"/>
              </w:rPr>
              <w:t>to</w:t>
            </w:r>
            <w:r>
              <w:rPr>
                <w:spacing w:val="-12"/>
                <w:sz w:val="24"/>
              </w:rPr>
              <w:t> </w:t>
            </w:r>
            <w:r>
              <w:rPr>
                <w:sz w:val="24"/>
              </w:rPr>
              <w:t>evaluate</w:t>
            </w:r>
            <w:r>
              <w:rPr>
                <w:spacing w:val="-8"/>
                <w:sz w:val="24"/>
              </w:rPr>
              <w:t> </w:t>
            </w:r>
            <w:r>
              <w:rPr>
                <w:sz w:val="24"/>
              </w:rPr>
              <w:t>these</w:t>
            </w:r>
            <w:r>
              <w:rPr>
                <w:spacing w:val="-12"/>
                <w:sz w:val="24"/>
              </w:rPr>
              <w:t> </w:t>
            </w:r>
            <w:r>
              <w:rPr>
                <w:sz w:val="24"/>
              </w:rPr>
              <w:t>options</w:t>
            </w:r>
            <w:r>
              <w:rPr>
                <w:spacing w:val="-13"/>
                <w:sz w:val="24"/>
              </w:rPr>
              <w:t> </w:t>
            </w:r>
            <w:r>
              <w:rPr>
                <w:sz w:val="24"/>
              </w:rPr>
              <w:t>and</w:t>
            </w:r>
            <w:r>
              <w:rPr>
                <w:spacing w:val="-12"/>
                <w:sz w:val="24"/>
              </w:rPr>
              <w:t> </w:t>
            </w:r>
            <w:r>
              <w:rPr>
                <w:sz w:val="24"/>
              </w:rPr>
              <w:t>identify</w:t>
            </w:r>
            <w:r>
              <w:rPr>
                <w:spacing w:val="-13"/>
                <w:sz w:val="24"/>
              </w:rPr>
              <w:t> </w:t>
            </w:r>
            <w:r>
              <w:rPr>
                <w:sz w:val="24"/>
              </w:rPr>
              <w:t>the</w:t>
            </w:r>
            <w:r>
              <w:rPr>
                <w:spacing w:val="-12"/>
                <w:sz w:val="24"/>
              </w:rPr>
              <w:t> </w:t>
            </w:r>
            <w:r>
              <w:rPr>
                <w:sz w:val="24"/>
              </w:rPr>
              <w:t>arrangements</w:t>
            </w:r>
            <w:r>
              <w:rPr>
                <w:spacing w:val="-13"/>
                <w:sz w:val="24"/>
              </w:rPr>
              <w:t> </w:t>
            </w:r>
            <w:r>
              <w:rPr>
                <w:sz w:val="24"/>
              </w:rPr>
              <w:t>most</w:t>
            </w:r>
            <w:r>
              <w:rPr>
                <w:spacing w:val="-15"/>
                <w:sz w:val="24"/>
              </w:rPr>
              <w:t> </w:t>
            </w:r>
            <w:r>
              <w:rPr>
                <w:sz w:val="24"/>
              </w:rPr>
              <w:t>likely</w:t>
            </w:r>
            <w:r>
              <w:rPr>
                <w:spacing w:val="-13"/>
                <w:sz w:val="24"/>
              </w:rPr>
              <w:t> </w:t>
            </w:r>
            <w:r>
              <w:rPr>
                <w:sz w:val="24"/>
              </w:rPr>
              <w:t>to</w:t>
            </w:r>
            <w:r>
              <w:rPr>
                <w:spacing w:val="-8"/>
                <w:sz w:val="24"/>
              </w:rPr>
              <w:t> </w:t>
            </w:r>
            <w:r>
              <w:rPr>
                <w:sz w:val="24"/>
              </w:rPr>
              <w:t>strengthen</w:t>
            </w:r>
          </w:p>
        </w:tc>
      </w:tr>
    </w:tbl>
    <w:p>
      <w:pPr>
        <w:spacing w:before="156"/>
        <w:ind w:left="8" w:right="284" w:firstLine="0"/>
        <w:jc w:val="center"/>
        <w:rPr>
          <w:sz w:val="16"/>
        </w:rPr>
      </w:pPr>
      <w:r>
        <w:rPr>
          <w:spacing w:val="-2"/>
          <w:sz w:val="16"/>
        </w:rPr>
        <w:t>Page</w:t>
      </w:r>
      <w:r>
        <w:rPr>
          <w:spacing w:val="-7"/>
          <w:sz w:val="16"/>
        </w:rPr>
        <w:t> </w:t>
      </w:r>
      <w:r>
        <w:rPr>
          <w:spacing w:val="-2"/>
          <w:sz w:val="16"/>
        </w:rPr>
        <w:t>2</w:t>
      </w:r>
      <w:r>
        <w:rPr>
          <w:spacing w:val="-9"/>
          <w:sz w:val="16"/>
        </w:rPr>
        <w:t> </w:t>
      </w:r>
      <w:r>
        <w:rPr>
          <w:spacing w:val="-2"/>
          <w:sz w:val="16"/>
        </w:rPr>
        <w:t>of</w:t>
      </w:r>
      <w:r>
        <w:rPr>
          <w:spacing w:val="-9"/>
          <w:sz w:val="16"/>
        </w:rPr>
        <w:t> </w:t>
      </w:r>
      <w:r>
        <w:rPr>
          <w:spacing w:val="-10"/>
          <w:sz w:val="16"/>
        </w:rPr>
        <w:t>5</w:t>
      </w:r>
    </w:p>
    <w:p>
      <w:pPr>
        <w:spacing w:after="0"/>
        <w:jc w:val="center"/>
        <w:rPr>
          <w:sz w:val="16"/>
        </w:rPr>
        <w:sectPr>
          <w:pgSz w:w="11910" w:h="16840"/>
          <w:pgMar w:header="0" w:footer="149" w:top="220" w:bottom="34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404" name="Image 404"/>
            <wp:cNvGraphicFramePr>
              <a:graphicFrameLocks/>
            </wp:cNvGraphicFramePr>
            <a:graphic>
              <a:graphicData uri="http://schemas.openxmlformats.org/drawingml/2006/picture">
                <pic:pic>
                  <pic:nvPicPr>
                    <pic:cNvPr id="404" name="Image 404"/>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405" name="Image 405"/>
            <wp:cNvGraphicFramePr>
              <a:graphicFrameLocks/>
            </wp:cNvGraphicFramePr>
            <a:graphic>
              <a:graphicData uri="http://schemas.openxmlformats.org/drawingml/2006/picture">
                <pic:pic>
                  <pic:nvPicPr>
                    <pic:cNvPr id="405" name="Image 405"/>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693" w:hRule="atLeast"/>
        </w:trPr>
        <w:tc>
          <w:tcPr>
            <w:tcW w:w="10069" w:type="dxa"/>
          </w:tcPr>
          <w:p>
            <w:pPr>
              <w:pStyle w:val="TableParagraph"/>
              <w:ind w:left="830" w:right="212"/>
              <w:rPr>
                <w:sz w:val="24"/>
              </w:rPr>
            </w:pPr>
            <w:r>
              <w:rPr>
                <w:spacing w:val="-2"/>
                <w:sz w:val="24"/>
              </w:rPr>
              <w:t>collaboration,</w:t>
            </w:r>
            <w:r>
              <w:rPr>
                <w:spacing w:val="-15"/>
                <w:sz w:val="24"/>
              </w:rPr>
              <w:t> </w:t>
            </w:r>
            <w:r>
              <w:rPr>
                <w:spacing w:val="-2"/>
                <w:sz w:val="24"/>
              </w:rPr>
              <w:t>increase</w:t>
            </w:r>
            <w:r>
              <w:rPr>
                <w:spacing w:val="-15"/>
                <w:sz w:val="24"/>
              </w:rPr>
              <w:t> </w:t>
            </w:r>
            <w:r>
              <w:rPr>
                <w:spacing w:val="-2"/>
                <w:sz w:val="24"/>
              </w:rPr>
              <w:t>impact,</w:t>
            </w:r>
            <w:r>
              <w:rPr>
                <w:spacing w:val="-14"/>
                <w:sz w:val="24"/>
              </w:rPr>
              <w:t> </w:t>
            </w:r>
            <w:r>
              <w:rPr>
                <w:spacing w:val="-2"/>
                <w:sz w:val="24"/>
              </w:rPr>
              <w:t>improve</w:t>
            </w:r>
            <w:r>
              <w:rPr>
                <w:spacing w:val="-15"/>
                <w:sz w:val="24"/>
              </w:rPr>
              <w:t> </w:t>
            </w:r>
            <w:r>
              <w:rPr>
                <w:spacing w:val="-2"/>
                <w:sz w:val="24"/>
              </w:rPr>
              <w:t>resilience</w:t>
            </w:r>
            <w:r>
              <w:rPr>
                <w:spacing w:val="-15"/>
                <w:sz w:val="24"/>
              </w:rPr>
              <w:t> </w:t>
            </w:r>
            <w:r>
              <w:rPr>
                <w:spacing w:val="-2"/>
                <w:sz w:val="24"/>
              </w:rPr>
              <w:t>and</w:t>
            </w:r>
            <w:r>
              <w:rPr>
                <w:spacing w:val="-15"/>
                <w:sz w:val="24"/>
              </w:rPr>
              <w:t> </w:t>
            </w:r>
            <w:r>
              <w:rPr>
                <w:spacing w:val="-2"/>
                <w:sz w:val="24"/>
              </w:rPr>
              <w:t>support</w:t>
            </w:r>
            <w:r>
              <w:rPr>
                <w:spacing w:val="-14"/>
                <w:sz w:val="24"/>
              </w:rPr>
              <w:t> </w:t>
            </w:r>
            <w:r>
              <w:rPr>
                <w:spacing w:val="-2"/>
                <w:sz w:val="24"/>
              </w:rPr>
              <w:t>the</w:t>
            </w:r>
            <w:r>
              <w:rPr>
                <w:spacing w:val="-15"/>
                <w:sz w:val="24"/>
              </w:rPr>
              <w:t> </w:t>
            </w:r>
            <w:r>
              <w:rPr>
                <w:spacing w:val="-2"/>
                <w:sz w:val="24"/>
              </w:rPr>
              <w:t>long-term</w:t>
            </w:r>
            <w:r>
              <w:rPr>
                <w:spacing w:val="-15"/>
                <w:sz w:val="24"/>
              </w:rPr>
              <w:t> </w:t>
            </w:r>
            <w:r>
              <w:rPr>
                <w:spacing w:val="-2"/>
                <w:sz w:val="24"/>
              </w:rPr>
              <w:t>ambitions </w:t>
            </w:r>
            <w:r>
              <w:rPr>
                <w:sz w:val="24"/>
              </w:rPr>
              <w:t>of the region. This will include:</w:t>
            </w:r>
          </w:p>
          <w:p>
            <w:pPr>
              <w:pStyle w:val="TableParagraph"/>
              <w:numPr>
                <w:ilvl w:val="0"/>
                <w:numId w:val="32"/>
              </w:numPr>
              <w:tabs>
                <w:tab w:pos="1550" w:val="left" w:leader="none"/>
              </w:tabs>
              <w:spacing w:line="240" w:lineRule="auto" w:before="271" w:after="0"/>
              <w:ind w:left="1550" w:right="425" w:hanging="360"/>
              <w:jc w:val="both"/>
              <w:rPr>
                <w:sz w:val="24"/>
              </w:rPr>
            </w:pPr>
            <w:r>
              <w:rPr>
                <w:spacing w:val="-2"/>
                <w:sz w:val="24"/>
              </w:rPr>
              <w:t>Assessing</w:t>
            </w:r>
            <w:r>
              <w:rPr>
                <w:spacing w:val="-9"/>
                <w:sz w:val="24"/>
              </w:rPr>
              <w:t> </w:t>
            </w:r>
            <w:r>
              <w:rPr>
                <w:spacing w:val="-2"/>
                <w:sz w:val="24"/>
              </w:rPr>
              <w:t>relevant</w:t>
            </w:r>
            <w:r>
              <w:rPr>
                <w:spacing w:val="-11"/>
                <w:sz w:val="24"/>
              </w:rPr>
              <w:t> </w:t>
            </w:r>
            <w:r>
              <w:rPr>
                <w:spacing w:val="-2"/>
                <w:sz w:val="24"/>
              </w:rPr>
              <w:t>national</w:t>
            </w:r>
            <w:r>
              <w:rPr>
                <w:spacing w:val="-8"/>
                <w:sz w:val="24"/>
              </w:rPr>
              <w:t> </w:t>
            </w:r>
            <w:r>
              <w:rPr>
                <w:spacing w:val="-2"/>
                <w:sz w:val="24"/>
              </w:rPr>
              <w:t>and</w:t>
            </w:r>
            <w:r>
              <w:rPr>
                <w:spacing w:val="-8"/>
                <w:sz w:val="24"/>
              </w:rPr>
              <w:t> </w:t>
            </w:r>
            <w:r>
              <w:rPr>
                <w:spacing w:val="-2"/>
                <w:sz w:val="24"/>
              </w:rPr>
              <w:t>international</w:t>
            </w:r>
            <w:r>
              <w:rPr>
                <w:spacing w:val="-13"/>
                <w:sz w:val="24"/>
              </w:rPr>
              <w:t> </w:t>
            </w:r>
            <w:r>
              <w:rPr>
                <w:spacing w:val="-2"/>
                <w:sz w:val="24"/>
              </w:rPr>
              <w:t>examples</w:t>
            </w:r>
            <w:r>
              <w:rPr>
                <w:spacing w:val="-9"/>
                <w:sz w:val="24"/>
              </w:rPr>
              <w:t> </w:t>
            </w:r>
            <w:r>
              <w:rPr>
                <w:spacing w:val="-2"/>
                <w:sz w:val="24"/>
              </w:rPr>
              <w:t>of</w:t>
            </w:r>
            <w:r>
              <w:rPr>
                <w:spacing w:val="-15"/>
                <w:sz w:val="24"/>
              </w:rPr>
              <w:t> </w:t>
            </w:r>
            <w:r>
              <w:rPr>
                <w:spacing w:val="-2"/>
                <w:sz w:val="24"/>
              </w:rPr>
              <w:t>integrated</w:t>
            </w:r>
            <w:r>
              <w:rPr>
                <w:spacing w:val="-8"/>
                <w:sz w:val="24"/>
              </w:rPr>
              <w:t> </w:t>
            </w:r>
            <w:r>
              <w:rPr>
                <w:spacing w:val="-2"/>
                <w:sz w:val="24"/>
              </w:rPr>
              <w:t>research and</w:t>
            </w:r>
            <w:r>
              <w:rPr>
                <w:spacing w:val="-15"/>
                <w:sz w:val="24"/>
              </w:rPr>
              <w:t> </w:t>
            </w:r>
            <w:r>
              <w:rPr>
                <w:spacing w:val="-2"/>
                <w:sz w:val="24"/>
              </w:rPr>
              <w:t>innovation</w:t>
            </w:r>
            <w:r>
              <w:rPr>
                <w:spacing w:val="-15"/>
                <w:sz w:val="24"/>
              </w:rPr>
              <w:t> </w:t>
            </w:r>
            <w:r>
              <w:rPr>
                <w:spacing w:val="-2"/>
                <w:sz w:val="24"/>
              </w:rPr>
              <w:t>systems,</w:t>
            </w:r>
            <w:r>
              <w:rPr>
                <w:spacing w:val="-14"/>
                <w:sz w:val="24"/>
              </w:rPr>
              <w:t> </w:t>
            </w:r>
            <w:r>
              <w:rPr>
                <w:spacing w:val="-2"/>
                <w:sz w:val="24"/>
              </w:rPr>
              <w:t>identifying</w:t>
            </w:r>
            <w:r>
              <w:rPr>
                <w:spacing w:val="-15"/>
                <w:sz w:val="24"/>
              </w:rPr>
              <w:t> </w:t>
            </w:r>
            <w:r>
              <w:rPr>
                <w:spacing w:val="-2"/>
                <w:sz w:val="24"/>
              </w:rPr>
              <w:t>the</w:t>
            </w:r>
            <w:r>
              <w:rPr>
                <w:spacing w:val="-15"/>
                <w:sz w:val="24"/>
              </w:rPr>
              <w:t> </w:t>
            </w:r>
            <w:r>
              <w:rPr>
                <w:spacing w:val="-2"/>
                <w:sz w:val="24"/>
              </w:rPr>
              <w:t>lessons</w:t>
            </w:r>
            <w:r>
              <w:rPr>
                <w:spacing w:val="-10"/>
                <w:sz w:val="24"/>
              </w:rPr>
              <w:t> </w:t>
            </w:r>
            <w:r>
              <w:rPr>
                <w:spacing w:val="-2"/>
                <w:sz w:val="24"/>
              </w:rPr>
              <w:t>most</w:t>
            </w:r>
            <w:r>
              <w:rPr>
                <w:spacing w:val="-15"/>
                <w:sz w:val="24"/>
              </w:rPr>
              <w:t> </w:t>
            </w:r>
            <w:r>
              <w:rPr>
                <w:spacing w:val="-2"/>
                <w:sz w:val="24"/>
              </w:rPr>
              <w:t>applicable</w:t>
            </w:r>
            <w:r>
              <w:rPr>
                <w:spacing w:val="-13"/>
                <w:sz w:val="24"/>
              </w:rPr>
              <w:t> </w:t>
            </w:r>
            <w:r>
              <w:rPr>
                <w:spacing w:val="-2"/>
                <w:sz w:val="24"/>
              </w:rPr>
              <w:t>to</w:t>
            </w:r>
            <w:r>
              <w:rPr>
                <w:spacing w:val="-14"/>
                <w:sz w:val="24"/>
              </w:rPr>
              <w:t> </w:t>
            </w:r>
            <w:r>
              <w:rPr>
                <w:spacing w:val="-2"/>
                <w:sz w:val="24"/>
              </w:rPr>
              <w:t>South</w:t>
            </w:r>
            <w:r>
              <w:rPr>
                <w:spacing w:val="-9"/>
                <w:sz w:val="24"/>
              </w:rPr>
              <w:t> </w:t>
            </w:r>
            <w:r>
              <w:rPr>
                <w:spacing w:val="-2"/>
                <w:sz w:val="24"/>
              </w:rPr>
              <w:t>West </w:t>
            </w:r>
            <w:r>
              <w:rPr>
                <w:sz w:val="24"/>
              </w:rPr>
              <w:t>Wales. This will explore:</w:t>
            </w:r>
          </w:p>
          <w:p>
            <w:pPr>
              <w:pStyle w:val="TableParagraph"/>
              <w:numPr>
                <w:ilvl w:val="1"/>
                <w:numId w:val="32"/>
              </w:numPr>
              <w:tabs>
                <w:tab w:pos="2271" w:val="left" w:leader="none"/>
              </w:tabs>
              <w:spacing w:line="235" w:lineRule="auto" w:before="5" w:after="0"/>
              <w:ind w:left="2271" w:right="535" w:hanging="361"/>
              <w:jc w:val="left"/>
              <w:rPr>
                <w:sz w:val="24"/>
              </w:rPr>
            </w:pPr>
            <w:r>
              <w:rPr>
                <w:sz w:val="24"/>
              </w:rPr>
              <w:t>Regional</w:t>
            </w:r>
            <w:r>
              <w:rPr>
                <w:spacing w:val="-12"/>
                <w:sz w:val="24"/>
              </w:rPr>
              <w:t> </w:t>
            </w:r>
            <w:r>
              <w:rPr>
                <w:sz w:val="24"/>
              </w:rPr>
              <w:t>innovation</w:t>
            </w:r>
            <w:r>
              <w:rPr>
                <w:spacing w:val="-8"/>
                <w:sz w:val="24"/>
              </w:rPr>
              <w:t> </w:t>
            </w:r>
            <w:r>
              <w:rPr>
                <w:sz w:val="24"/>
              </w:rPr>
              <w:t>ecosystems</w:t>
            </w:r>
            <w:r>
              <w:rPr>
                <w:spacing w:val="-5"/>
                <w:sz w:val="24"/>
              </w:rPr>
              <w:t> </w:t>
            </w:r>
            <w:r>
              <w:rPr>
                <w:sz w:val="24"/>
              </w:rPr>
              <w:t>such</w:t>
            </w:r>
            <w:r>
              <w:rPr>
                <w:spacing w:val="-8"/>
                <w:sz w:val="24"/>
              </w:rPr>
              <w:t> </w:t>
            </w:r>
            <w:r>
              <w:rPr>
                <w:sz w:val="24"/>
              </w:rPr>
              <w:t>as</w:t>
            </w:r>
            <w:r>
              <w:rPr>
                <w:spacing w:val="-5"/>
                <w:sz w:val="24"/>
              </w:rPr>
              <w:t> </w:t>
            </w:r>
            <w:r>
              <w:rPr>
                <w:sz w:val="24"/>
              </w:rPr>
              <w:t>the</w:t>
            </w:r>
            <w:r>
              <w:rPr>
                <w:spacing w:val="-8"/>
                <w:sz w:val="24"/>
              </w:rPr>
              <w:t> </w:t>
            </w:r>
            <w:r>
              <w:rPr>
                <w:sz w:val="24"/>
              </w:rPr>
              <w:t>Capital</w:t>
            </w:r>
            <w:r>
              <w:rPr>
                <w:spacing w:val="-8"/>
                <w:sz w:val="24"/>
              </w:rPr>
              <w:t> </w:t>
            </w:r>
            <w:r>
              <w:rPr>
                <w:sz w:val="24"/>
              </w:rPr>
              <w:t>of</w:t>
            </w:r>
            <w:r>
              <w:rPr>
                <w:spacing w:val="-16"/>
                <w:sz w:val="24"/>
              </w:rPr>
              <w:t> </w:t>
            </w:r>
            <w:r>
              <w:rPr>
                <w:sz w:val="24"/>
              </w:rPr>
              <w:t>Life</w:t>
            </w:r>
            <w:r>
              <w:rPr>
                <w:spacing w:val="-8"/>
                <w:sz w:val="24"/>
              </w:rPr>
              <w:t> </w:t>
            </w:r>
            <w:r>
              <w:rPr>
                <w:sz w:val="24"/>
              </w:rPr>
              <w:t>model</w:t>
            </w:r>
            <w:r>
              <w:rPr>
                <w:spacing w:val="-2"/>
                <w:sz w:val="24"/>
              </w:rPr>
              <w:t> </w:t>
            </w:r>
            <w:r>
              <w:rPr>
                <w:sz w:val="24"/>
              </w:rPr>
              <w:t>in </w:t>
            </w:r>
            <w:r>
              <w:rPr>
                <w:spacing w:val="-2"/>
                <w:sz w:val="24"/>
              </w:rPr>
              <w:t>Denmark,</w:t>
            </w:r>
            <w:r>
              <w:rPr>
                <w:spacing w:val="-11"/>
                <w:sz w:val="24"/>
              </w:rPr>
              <w:t> </w:t>
            </w:r>
            <w:r>
              <w:rPr>
                <w:spacing w:val="-2"/>
                <w:sz w:val="24"/>
              </w:rPr>
              <w:t>Academic</w:t>
            </w:r>
            <w:r>
              <w:rPr>
                <w:spacing w:val="-9"/>
                <w:sz w:val="24"/>
              </w:rPr>
              <w:t> </w:t>
            </w:r>
            <w:r>
              <w:rPr>
                <w:spacing w:val="-2"/>
                <w:sz w:val="24"/>
              </w:rPr>
              <w:t>Health</w:t>
            </w:r>
            <w:r>
              <w:rPr>
                <w:spacing w:val="-8"/>
                <w:sz w:val="24"/>
              </w:rPr>
              <w:t> </w:t>
            </w:r>
            <w:r>
              <w:rPr>
                <w:spacing w:val="-2"/>
                <w:sz w:val="24"/>
              </w:rPr>
              <w:t>Science</w:t>
            </w:r>
            <w:r>
              <w:rPr>
                <w:spacing w:val="-8"/>
                <w:sz w:val="24"/>
              </w:rPr>
              <w:t> </w:t>
            </w:r>
            <w:r>
              <w:rPr>
                <w:spacing w:val="-2"/>
                <w:sz w:val="24"/>
              </w:rPr>
              <w:t>Systems</w:t>
            </w:r>
            <w:r>
              <w:rPr>
                <w:spacing w:val="-9"/>
                <w:sz w:val="24"/>
              </w:rPr>
              <w:t> </w:t>
            </w:r>
            <w:r>
              <w:rPr>
                <w:spacing w:val="-2"/>
                <w:sz w:val="24"/>
              </w:rPr>
              <w:t>and</w:t>
            </w:r>
            <w:r>
              <w:rPr>
                <w:spacing w:val="-13"/>
                <w:sz w:val="24"/>
              </w:rPr>
              <w:t> </w:t>
            </w:r>
            <w:r>
              <w:rPr>
                <w:spacing w:val="-2"/>
                <w:sz w:val="24"/>
              </w:rPr>
              <w:t>place-based</w:t>
            </w:r>
            <w:r>
              <w:rPr>
                <w:spacing w:val="-8"/>
                <w:sz w:val="24"/>
              </w:rPr>
              <w:t> </w:t>
            </w:r>
            <w:r>
              <w:rPr>
                <w:spacing w:val="-2"/>
                <w:sz w:val="24"/>
              </w:rPr>
              <w:t>health </w:t>
            </w:r>
            <w:r>
              <w:rPr>
                <w:spacing w:val="-4"/>
                <w:sz w:val="24"/>
              </w:rPr>
              <w:t>innovation partnerships that successfully align healthcare, universities, </w:t>
            </w:r>
            <w:r>
              <w:rPr>
                <w:sz w:val="24"/>
              </w:rPr>
              <w:t>industry,</w:t>
            </w:r>
            <w:r>
              <w:rPr>
                <w:spacing w:val="-17"/>
                <w:sz w:val="24"/>
              </w:rPr>
              <w:t> </w:t>
            </w:r>
            <w:r>
              <w:rPr>
                <w:sz w:val="24"/>
              </w:rPr>
              <w:t>research</w:t>
            </w:r>
            <w:r>
              <w:rPr>
                <w:spacing w:val="-17"/>
                <w:sz w:val="24"/>
              </w:rPr>
              <w:t> </w:t>
            </w:r>
            <w:r>
              <w:rPr>
                <w:sz w:val="24"/>
              </w:rPr>
              <w:t>infrastructure</w:t>
            </w:r>
            <w:r>
              <w:rPr>
                <w:spacing w:val="-16"/>
                <w:sz w:val="24"/>
              </w:rPr>
              <w:t> </w:t>
            </w:r>
            <w:r>
              <w:rPr>
                <w:sz w:val="24"/>
              </w:rPr>
              <w:t>and</w:t>
            </w:r>
            <w:r>
              <w:rPr>
                <w:spacing w:val="-17"/>
                <w:sz w:val="24"/>
              </w:rPr>
              <w:t> </w:t>
            </w:r>
            <w:r>
              <w:rPr>
                <w:sz w:val="24"/>
              </w:rPr>
              <w:t>economic</w:t>
            </w:r>
            <w:r>
              <w:rPr>
                <w:spacing w:val="-17"/>
                <w:sz w:val="24"/>
              </w:rPr>
              <w:t> </w:t>
            </w:r>
            <w:r>
              <w:rPr>
                <w:sz w:val="24"/>
              </w:rPr>
              <w:t>development</w:t>
            </w:r>
            <w:r>
              <w:rPr>
                <w:spacing w:val="-17"/>
                <w:sz w:val="24"/>
              </w:rPr>
              <w:t> </w:t>
            </w:r>
            <w:r>
              <w:rPr>
                <w:sz w:val="24"/>
              </w:rPr>
              <w:t>partners behind shared objectives.</w:t>
            </w:r>
          </w:p>
          <w:p>
            <w:pPr>
              <w:pStyle w:val="TableParagraph"/>
              <w:numPr>
                <w:ilvl w:val="1"/>
                <w:numId w:val="32"/>
              </w:numPr>
              <w:tabs>
                <w:tab w:pos="2271" w:val="left" w:leader="none"/>
              </w:tabs>
              <w:spacing w:line="235" w:lineRule="auto" w:before="7" w:after="0"/>
              <w:ind w:left="2271" w:right="349" w:hanging="361"/>
              <w:jc w:val="left"/>
              <w:rPr>
                <w:sz w:val="24"/>
              </w:rPr>
            </w:pPr>
            <w:r>
              <w:rPr>
                <w:spacing w:val="-2"/>
                <w:sz w:val="24"/>
              </w:rPr>
              <w:t>The</w:t>
            </w:r>
            <w:r>
              <w:rPr>
                <w:spacing w:val="-15"/>
                <w:sz w:val="24"/>
              </w:rPr>
              <w:t> </w:t>
            </w:r>
            <w:r>
              <w:rPr>
                <w:spacing w:val="-2"/>
                <w:sz w:val="24"/>
              </w:rPr>
              <w:t>lessons</w:t>
            </w:r>
            <w:r>
              <w:rPr>
                <w:spacing w:val="-15"/>
                <w:sz w:val="24"/>
              </w:rPr>
              <w:t> </w:t>
            </w:r>
            <w:r>
              <w:rPr>
                <w:spacing w:val="-2"/>
                <w:sz w:val="24"/>
              </w:rPr>
              <w:t>from</w:t>
            </w:r>
            <w:r>
              <w:rPr>
                <w:spacing w:val="-14"/>
                <w:sz w:val="24"/>
              </w:rPr>
              <w:t> </w:t>
            </w:r>
            <w:r>
              <w:rPr>
                <w:spacing w:val="-2"/>
                <w:sz w:val="24"/>
              </w:rPr>
              <w:t>recent</w:t>
            </w:r>
            <w:r>
              <w:rPr>
                <w:spacing w:val="-15"/>
                <w:sz w:val="24"/>
              </w:rPr>
              <w:t> </w:t>
            </w:r>
            <w:r>
              <w:rPr>
                <w:spacing w:val="-2"/>
                <w:sz w:val="24"/>
              </w:rPr>
              <w:t>national</w:t>
            </w:r>
            <w:r>
              <w:rPr>
                <w:spacing w:val="-15"/>
                <w:sz w:val="24"/>
              </w:rPr>
              <w:t> </w:t>
            </w:r>
            <w:r>
              <w:rPr>
                <w:spacing w:val="-2"/>
                <w:sz w:val="24"/>
              </w:rPr>
              <w:t>and</w:t>
            </w:r>
            <w:r>
              <w:rPr>
                <w:spacing w:val="-15"/>
                <w:sz w:val="24"/>
              </w:rPr>
              <w:t> </w:t>
            </w:r>
            <w:r>
              <w:rPr>
                <w:spacing w:val="-2"/>
                <w:sz w:val="24"/>
              </w:rPr>
              <w:t>international</w:t>
            </w:r>
            <w:r>
              <w:rPr>
                <w:spacing w:val="-14"/>
                <w:sz w:val="24"/>
              </w:rPr>
              <w:t> </w:t>
            </w:r>
            <w:r>
              <w:rPr>
                <w:spacing w:val="-2"/>
                <w:sz w:val="24"/>
              </w:rPr>
              <w:t>reviews</w:t>
            </w:r>
            <w:r>
              <w:rPr>
                <w:spacing w:val="-15"/>
                <w:sz w:val="24"/>
              </w:rPr>
              <w:t> </w:t>
            </w:r>
            <w:r>
              <w:rPr>
                <w:spacing w:val="-2"/>
                <w:sz w:val="24"/>
              </w:rPr>
              <w:t>into</w:t>
            </w:r>
            <w:r>
              <w:rPr>
                <w:spacing w:val="-15"/>
                <w:sz w:val="24"/>
              </w:rPr>
              <w:t> </w:t>
            </w:r>
            <w:r>
              <w:rPr>
                <w:spacing w:val="-2"/>
                <w:sz w:val="24"/>
              </w:rPr>
              <w:t>research </w:t>
            </w:r>
            <w:r>
              <w:rPr>
                <w:sz w:val="24"/>
              </w:rPr>
              <w:t>and</w:t>
            </w:r>
            <w:r>
              <w:rPr>
                <w:spacing w:val="-11"/>
                <w:sz w:val="24"/>
              </w:rPr>
              <w:t> </w:t>
            </w:r>
            <w:r>
              <w:rPr>
                <w:sz w:val="24"/>
              </w:rPr>
              <w:t>innovation,</w:t>
            </w:r>
            <w:r>
              <w:rPr>
                <w:spacing w:val="-14"/>
                <w:sz w:val="24"/>
              </w:rPr>
              <w:t> </w:t>
            </w:r>
            <w:r>
              <w:rPr>
                <w:sz w:val="24"/>
              </w:rPr>
              <w:t>including</w:t>
            </w:r>
            <w:r>
              <w:rPr>
                <w:spacing w:val="-6"/>
                <w:sz w:val="24"/>
              </w:rPr>
              <w:t> </w:t>
            </w:r>
            <w:r>
              <w:rPr>
                <w:sz w:val="24"/>
              </w:rPr>
              <w:t>how</w:t>
            </w:r>
            <w:r>
              <w:rPr>
                <w:spacing w:val="-6"/>
                <w:sz w:val="24"/>
              </w:rPr>
              <w:t> </w:t>
            </w:r>
            <w:r>
              <w:rPr>
                <w:sz w:val="24"/>
              </w:rPr>
              <w:t>health</w:t>
            </w:r>
            <w:r>
              <w:rPr>
                <w:spacing w:val="-6"/>
                <w:sz w:val="24"/>
              </w:rPr>
              <w:t> </w:t>
            </w:r>
            <w:r>
              <w:rPr>
                <w:sz w:val="24"/>
              </w:rPr>
              <w:t>systems</w:t>
            </w:r>
            <w:r>
              <w:rPr>
                <w:spacing w:val="-7"/>
                <w:sz w:val="24"/>
              </w:rPr>
              <w:t> </w:t>
            </w:r>
            <w:r>
              <w:rPr>
                <w:sz w:val="24"/>
              </w:rPr>
              <w:t>have</w:t>
            </w:r>
            <w:r>
              <w:rPr>
                <w:spacing w:val="-6"/>
                <w:sz w:val="24"/>
              </w:rPr>
              <w:t> </w:t>
            </w:r>
            <w:r>
              <w:rPr>
                <w:sz w:val="24"/>
              </w:rPr>
              <w:t>responded</w:t>
            </w:r>
            <w:r>
              <w:rPr>
                <w:spacing w:val="-6"/>
                <w:sz w:val="24"/>
              </w:rPr>
              <w:t> </w:t>
            </w:r>
            <w:r>
              <w:rPr>
                <w:sz w:val="24"/>
              </w:rPr>
              <w:t>to recommendations</w:t>
            </w:r>
            <w:r>
              <w:rPr>
                <w:spacing w:val="-15"/>
                <w:sz w:val="24"/>
              </w:rPr>
              <w:t> </w:t>
            </w:r>
            <w:r>
              <w:rPr>
                <w:sz w:val="24"/>
              </w:rPr>
              <w:t>arising</w:t>
            </w:r>
            <w:r>
              <w:rPr>
                <w:spacing w:val="-5"/>
                <w:sz w:val="24"/>
              </w:rPr>
              <w:t> </w:t>
            </w:r>
            <w:r>
              <w:rPr>
                <w:sz w:val="24"/>
              </w:rPr>
              <w:t>from</w:t>
            </w:r>
            <w:r>
              <w:rPr>
                <w:spacing w:val="-11"/>
                <w:sz w:val="24"/>
              </w:rPr>
              <w:t> </w:t>
            </w:r>
            <w:r>
              <w:rPr>
                <w:sz w:val="24"/>
              </w:rPr>
              <w:t>the</w:t>
            </w:r>
            <w:r>
              <w:rPr>
                <w:spacing w:val="-5"/>
                <w:sz w:val="24"/>
              </w:rPr>
              <w:t> </w:t>
            </w:r>
            <w:r>
              <w:rPr>
                <w:sz w:val="24"/>
              </w:rPr>
              <w:t>O'Shaughnessy</w:t>
            </w:r>
            <w:r>
              <w:rPr>
                <w:spacing w:val="-11"/>
                <w:sz w:val="24"/>
              </w:rPr>
              <w:t> </w:t>
            </w:r>
            <w:r>
              <w:rPr>
                <w:sz w:val="24"/>
              </w:rPr>
              <w:t>Review</w:t>
            </w:r>
            <w:r>
              <w:rPr>
                <w:spacing w:val="-10"/>
                <w:sz w:val="24"/>
              </w:rPr>
              <w:t> </w:t>
            </w:r>
            <w:r>
              <w:rPr>
                <w:sz w:val="24"/>
              </w:rPr>
              <w:t>and</w:t>
            </w:r>
            <w:r>
              <w:rPr>
                <w:spacing w:val="-10"/>
                <w:sz w:val="24"/>
              </w:rPr>
              <w:t> </w:t>
            </w:r>
            <w:r>
              <w:rPr>
                <w:sz w:val="24"/>
              </w:rPr>
              <w:t>other initiatives</w:t>
            </w:r>
            <w:r>
              <w:rPr>
                <w:spacing w:val="-15"/>
                <w:sz w:val="24"/>
              </w:rPr>
              <w:t> </w:t>
            </w:r>
            <w:r>
              <w:rPr>
                <w:sz w:val="24"/>
              </w:rPr>
              <w:t>aimed</w:t>
            </w:r>
            <w:r>
              <w:rPr>
                <w:spacing w:val="-13"/>
                <w:sz w:val="24"/>
              </w:rPr>
              <w:t> </w:t>
            </w:r>
            <w:r>
              <w:rPr>
                <w:sz w:val="24"/>
              </w:rPr>
              <w:t>at</w:t>
            </w:r>
            <w:r>
              <w:rPr>
                <w:spacing w:val="-16"/>
                <w:sz w:val="24"/>
              </w:rPr>
              <w:t> </w:t>
            </w:r>
            <w:r>
              <w:rPr>
                <w:sz w:val="24"/>
              </w:rPr>
              <w:t>improving</w:t>
            </w:r>
            <w:r>
              <w:rPr>
                <w:spacing w:val="-13"/>
                <w:sz w:val="24"/>
              </w:rPr>
              <w:t> </w:t>
            </w:r>
            <w:r>
              <w:rPr>
                <w:sz w:val="24"/>
              </w:rPr>
              <w:t>clinical</w:t>
            </w:r>
            <w:r>
              <w:rPr>
                <w:spacing w:val="-9"/>
                <w:sz w:val="24"/>
              </w:rPr>
              <w:t> </w:t>
            </w:r>
            <w:r>
              <w:rPr>
                <w:sz w:val="24"/>
              </w:rPr>
              <w:t>trial</w:t>
            </w:r>
            <w:r>
              <w:rPr>
                <w:spacing w:val="-13"/>
                <w:sz w:val="24"/>
              </w:rPr>
              <w:t> </w:t>
            </w:r>
            <w:r>
              <w:rPr>
                <w:sz w:val="24"/>
              </w:rPr>
              <w:t>delivery,</w:t>
            </w:r>
            <w:r>
              <w:rPr>
                <w:spacing w:val="-16"/>
                <w:sz w:val="24"/>
              </w:rPr>
              <w:t> </w:t>
            </w:r>
            <w:r>
              <w:rPr>
                <w:sz w:val="24"/>
              </w:rPr>
              <w:t>innovation</w:t>
            </w:r>
            <w:r>
              <w:rPr>
                <w:spacing w:val="-17"/>
                <w:sz w:val="24"/>
              </w:rPr>
              <w:t> </w:t>
            </w:r>
            <w:r>
              <w:rPr>
                <w:sz w:val="24"/>
              </w:rPr>
              <w:t>adoption, industry</w:t>
            </w:r>
            <w:r>
              <w:rPr>
                <w:spacing w:val="-3"/>
                <w:sz w:val="24"/>
              </w:rPr>
              <w:t> </w:t>
            </w:r>
            <w:r>
              <w:rPr>
                <w:sz w:val="24"/>
              </w:rPr>
              <w:t>engagement</w:t>
            </w:r>
            <w:r>
              <w:rPr>
                <w:spacing w:val="-5"/>
                <w:sz w:val="24"/>
              </w:rPr>
              <w:t> </w:t>
            </w:r>
            <w:r>
              <w:rPr>
                <w:sz w:val="24"/>
              </w:rPr>
              <w:t>and</w:t>
            </w:r>
            <w:r>
              <w:rPr>
                <w:spacing w:val="-2"/>
                <w:sz w:val="24"/>
              </w:rPr>
              <w:t> </w:t>
            </w:r>
            <w:r>
              <w:rPr>
                <w:sz w:val="24"/>
              </w:rPr>
              <w:t>research</w:t>
            </w:r>
            <w:r>
              <w:rPr>
                <w:spacing w:val="-2"/>
                <w:sz w:val="24"/>
              </w:rPr>
              <w:t> </w:t>
            </w:r>
            <w:r>
              <w:rPr>
                <w:sz w:val="24"/>
              </w:rPr>
              <w:t>sustainability.</w:t>
            </w:r>
          </w:p>
          <w:p>
            <w:pPr>
              <w:pStyle w:val="TableParagraph"/>
              <w:numPr>
                <w:ilvl w:val="0"/>
                <w:numId w:val="32"/>
              </w:numPr>
              <w:tabs>
                <w:tab w:pos="1550" w:val="left" w:leader="none"/>
              </w:tabs>
              <w:spacing w:line="240" w:lineRule="auto" w:before="1" w:after="0"/>
              <w:ind w:left="1550" w:right="188" w:hanging="360"/>
              <w:jc w:val="left"/>
              <w:rPr>
                <w:sz w:val="24"/>
              </w:rPr>
            </w:pPr>
            <w:r>
              <w:rPr>
                <w:spacing w:val="-2"/>
                <w:sz w:val="24"/>
              </w:rPr>
              <w:t>Identifying</w:t>
            </w:r>
            <w:r>
              <w:rPr>
                <w:spacing w:val="-15"/>
                <w:sz w:val="24"/>
              </w:rPr>
              <w:t> </w:t>
            </w:r>
            <w:r>
              <w:rPr>
                <w:spacing w:val="-2"/>
                <w:sz w:val="24"/>
              </w:rPr>
              <w:t>and</w:t>
            </w:r>
            <w:r>
              <w:rPr>
                <w:spacing w:val="-15"/>
                <w:sz w:val="24"/>
              </w:rPr>
              <w:t> </w:t>
            </w:r>
            <w:r>
              <w:rPr>
                <w:spacing w:val="-2"/>
                <w:sz w:val="24"/>
              </w:rPr>
              <w:t>evaluating,</w:t>
            </w:r>
            <w:r>
              <w:rPr>
                <w:spacing w:val="-14"/>
                <w:sz w:val="24"/>
              </w:rPr>
              <w:t> </w:t>
            </w:r>
            <w:r>
              <w:rPr>
                <w:spacing w:val="-2"/>
                <w:sz w:val="24"/>
              </w:rPr>
              <w:t>through</w:t>
            </w:r>
            <w:r>
              <w:rPr>
                <w:spacing w:val="-14"/>
                <w:sz w:val="24"/>
              </w:rPr>
              <w:t> </w:t>
            </w:r>
            <w:r>
              <w:rPr>
                <w:spacing w:val="-2"/>
                <w:sz w:val="24"/>
              </w:rPr>
              <w:t>cost-benefit</w:t>
            </w:r>
            <w:r>
              <w:rPr>
                <w:spacing w:val="-15"/>
                <w:sz w:val="24"/>
              </w:rPr>
              <w:t> </w:t>
            </w:r>
            <w:r>
              <w:rPr>
                <w:spacing w:val="-2"/>
                <w:sz w:val="24"/>
              </w:rPr>
              <w:t>analysis</w:t>
            </w:r>
            <w:r>
              <w:rPr>
                <w:spacing w:val="-15"/>
                <w:sz w:val="24"/>
              </w:rPr>
              <w:t> </w:t>
            </w:r>
            <w:r>
              <w:rPr>
                <w:spacing w:val="-2"/>
                <w:sz w:val="24"/>
              </w:rPr>
              <w:t>or</w:t>
            </w:r>
            <w:r>
              <w:rPr>
                <w:spacing w:val="-13"/>
                <w:sz w:val="24"/>
              </w:rPr>
              <w:t> </w:t>
            </w:r>
            <w:r>
              <w:rPr>
                <w:spacing w:val="-2"/>
                <w:sz w:val="24"/>
              </w:rPr>
              <w:t>equivalent,</w:t>
            </w:r>
            <w:r>
              <w:rPr>
                <w:spacing w:val="-15"/>
                <w:sz w:val="24"/>
              </w:rPr>
              <w:t> </w:t>
            </w:r>
            <w:r>
              <w:rPr>
                <w:spacing w:val="-2"/>
                <w:sz w:val="24"/>
              </w:rPr>
              <w:t>a</w:t>
            </w:r>
            <w:r>
              <w:rPr>
                <w:spacing w:val="-12"/>
                <w:sz w:val="24"/>
              </w:rPr>
              <w:t> </w:t>
            </w:r>
            <w:r>
              <w:rPr>
                <w:spacing w:val="-2"/>
                <w:sz w:val="24"/>
              </w:rPr>
              <w:t>range</w:t>
            </w:r>
            <w:r>
              <w:rPr>
                <w:spacing w:val="-12"/>
                <w:sz w:val="24"/>
              </w:rPr>
              <w:t> </w:t>
            </w:r>
            <w:r>
              <w:rPr>
                <w:spacing w:val="-2"/>
                <w:sz w:val="24"/>
              </w:rPr>
              <w:t>of </w:t>
            </w:r>
            <w:r>
              <w:rPr>
                <w:sz w:val="24"/>
              </w:rPr>
              <w:t>potential</w:t>
            </w:r>
            <w:r>
              <w:rPr>
                <w:spacing w:val="-11"/>
                <w:sz w:val="24"/>
              </w:rPr>
              <w:t> </w:t>
            </w:r>
            <w:r>
              <w:rPr>
                <w:sz w:val="24"/>
              </w:rPr>
              <w:t>models</w:t>
            </w:r>
            <w:r>
              <w:rPr>
                <w:spacing w:val="-11"/>
                <w:sz w:val="24"/>
              </w:rPr>
              <w:t> </w:t>
            </w:r>
            <w:r>
              <w:rPr>
                <w:sz w:val="24"/>
              </w:rPr>
              <w:t>for</w:t>
            </w:r>
            <w:r>
              <w:rPr>
                <w:spacing w:val="-11"/>
                <w:sz w:val="24"/>
              </w:rPr>
              <w:t> </w:t>
            </w:r>
            <w:r>
              <w:rPr>
                <w:sz w:val="24"/>
              </w:rPr>
              <w:t>regional</w:t>
            </w:r>
            <w:r>
              <w:rPr>
                <w:spacing w:val="-15"/>
                <w:sz w:val="24"/>
              </w:rPr>
              <w:t> </w:t>
            </w:r>
            <w:r>
              <w:rPr>
                <w:sz w:val="24"/>
              </w:rPr>
              <w:t>leadership,</w:t>
            </w:r>
            <w:r>
              <w:rPr>
                <w:spacing w:val="-17"/>
                <w:sz w:val="24"/>
              </w:rPr>
              <w:t> </w:t>
            </w:r>
            <w:r>
              <w:rPr>
                <w:sz w:val="24"/>
              </w:rPr>
              <w:t>governance,</w:t>
            </w:r>
            <w:r>
              <w:rPr>
                <w:spacing w:val="-13"/>
                <w:sz w:val="24"/>
              </w:rPr>
              <w:t> </w:t>
            </w:r>
            <w:r>
              <w:rPr>
                <w:sz w:val="24"/>
              </w:rPr>
              <w:t>delivery</w:t>
            </w:r>
            <w:r>
              <w:rPr>
                <w:spacing w:val="-16"/>
                <w:sz w:val="24"/>
              </w:rPr>
              <w:t> </w:t>
            </w:r>
            <w:r>
              <w:rPr>
                <w:sz w:val="24"/>
              </w:rPr>
              <w:t>and</w:t>
            </w:r>
            <w:r>
              <w:rPr>
                <w:spacing w:val="-10"/>
                <w:sz w:val="24"/>
              </w:rPr>
              <w:t> </w:t>
            </w:r>
            <w:r>
              <w:rPr>
                <w:sz w:val="24"/>
              </w:rPr>
              <w:t>support </w:t>
            </w:r>
            <w:r>
              <w:rPr>
                <w:spacing w:val="-2"/>
                <w:sz w:val="24"/>
              </w:rPr>
              <w:t>arrangements.</w:t>
            </w:r>
          </w:p>
          <w:p>
            <w:pPr>
              <w:pStyle w:val="TableParagraph"/>
              <w:numPr>
                <w:ilvl w:val="0"/>
                <w:numId w:val="32"/>
              </w:numPr>
              <w:tabs>
                <w:tab w:pos="1550" w:val="left" w:leader="none"/>
              </w:tabs>
              <w:spacing w:line="240" w:lineRule="auto" w:before="0" w:after="0"/>
              <w:ind w:left="1550" w:right="244" w:hanging="360"/>
              <w:jc w:val="left"/>
              <w:rPr>
                <w:sz w:val="24"/>
              </w:rPr>
            </w:pPr>
            <w:r>
              <w:rPr>
                <w:sz w:val="24"/>
              </w:rPr>
              <w:t>Working</w:t>
            </w:r>
            <w:r>
              <w:rPr>
                <w:spacing w:val="-11"/>
                <w:sz w:val="24"/>
              </w:rPr>
              <w:t> </w:t>
            </w:r>
            <w:r>
              <w:rPr>
                <w:sz w:val="24"/>
              </w:rPr>
              <w:t>closely</w:t>
            </w:r>
            <w:r>
              <w:rPr>
                <w:spacing w:val="-11"/>
                <w:sz w:val="24"/>
              </w:rPr>
              <w:t> </w:t>
            </w:r>
            <w:r>
              <w:rPr>
                <w:sz w:val="24"/>
              </w:rPr>
              <w:t>with</w:t>
            </w:r>
            <w:r>
              <w:rPr>
                <w:spacing w:val="-11"/>
                <w:sz w:val="24"/>
              </w:rPr>
              <w:t> </w:t>
            </w:r>
            <w:r>
              <w:rPr>
                <w:sz w:val="24"/>
              </w:rPr>
              <w:t>stakeholders</w:t>
            </w:r>
            <w:r>
              <w:rPr>
                <w:spacing w:val="-7"/>
                <w:sz w:val="24"/>
              </w:rPr>
              <w:t> </w:t>
            </w:r>
            <w:r>
              <w:rPr>
                <w:sz w:val="24"/>
              </w:rPr>
              <w:t>to</w:t>
            </w:r>
            <w:r>
              <w:rPr>
                <w:spacing w:val="-11"/>
                <w:sz w:val="24"/>
              </w:rPr>
              <w:t> </w:t>
            </w:r>
            <w:r>
              <w:rPr>
                <w:sz w:val="24"/>
              </w:rPr>
              <w:t>assess</w:t>
            </w:r>
            <w:r>
              <w:rPr>
                <w:spacing w:val="-16"/>
                <w:sz w:val="24"/>
              </w:rPr>
              <w:t> </w:t>
            </w:r>
            <w:r>
              <w:rPr>
                <w:sz w:val="24"/>
              </w:rPr>
              <w:t>how</w:t>
            </w:r>
            <w:r>
              <w:rPr>
                <w:spacing w:val="-11"/>
                <w:sz w:val="24"/>
              </w:rPr>
              <w:t> </w:t>
            </w:r>
            <w:r>
              <w:rPr>
                <w:sz w:val="24"/>
              </w:rPr>
              <w:t>these</w:t>
            </w:r>
            <w:r>
              <w:rPr>
                <w:spacing w:val="-11"/>
                <w:sz w:val="24"/>
              </w:rPr>
              <w:t> </w:t>
            </w:r>
            <w:r>
              <w:rPr>
                <w:sz w:val="24"/>
              </w:rPr>
              <w:t>different</w:t>
            </w:r>
            <w:r>
              <w:rPr>
                <w:spacing w:val="-13"/>
                <w:sz w:val="24"/>
              </w:rPr>
              <w:t> </w:t>
            </w:r>
            <w:r>
              <w:rPr>
                <w:sz w:val="24"/>
              </w:rPr>
              <w:t>models</w:t>
            </w:r>
            <w:r>
              <w:rPr>
                <w:spacing w:val="-11"/>
                <w:sz w:val="24"/>
              </w:rPr>
              <w:t> </w:t>
            </w:r>
            <w:r>
              <w:rPr>
                <w:sz w:val="24"/>
              </w:rPr>
              <w:t>could support</w:t>
            </w:r>
            <w:r>
              <w:rPr>
                <w:spacing w:val="-17"/>
                <w:sz w:val="24"/>
              </w:rPr>
              <w:t> </w:t>
            </w:r>
            <w:r>
              <w:rPr>
                <w:sz w:val="24"/>
              </w:rPr>
              <w:t>regional</w:t>
            </w:r>
            <w:r>
              <w:rPr>
                <w:spacing w:val="-17"/>
                <w:sz w:val="24"/>
              </w:rPr>
              <w:t> </w:t>
            </w:r>
            <w:r>
              <w:rPr>
                <w:sz w:val="24"/>
              </w:rPr>
              <w:t>priorities,</w:t>
            </w:r>
            <w:r>
              <w:rPr>
                <w:spacing w:val="-16"/>
                <w:sz w:val="24"/>
              </w:rPr>
              <w:t> </w:t>
            </w:r>
            <w:r>
              <w:rPr>
                <w:sz w:val="24"/>
              </w:rPr>
              <w:t>including</w:t>
            </w:r>
            <w:r>
              <w:rPr>
                <w:spacing w:val="-17"/>
                <w:sz w:val="24"/>
              </w:rPr>
              <w:t> </w:t>
            </w:r>
            <w:r>
              <w:rPr>
                <w:sz w:val="24"/>
              </w:rPr>
              <w:t>service</w:t>
            </w:r>
            <w:r>
              <w:rPr>
                <w:spacing w:val="-17"/>
                <w:sz w:val="24"/>
              </w:rPr>
              <w:t> </w:t>
            </w:r>
            <w:r>
              <w:rPr>
                <w:sz w:val="24"/>
              </w:rPr>
              <w:t>transformation,</w:t>
            </w:r>
            <w:r>
              <w:rPr>
                <w:spacing w:val="-17"/>
                <w:sz w:val="24"/>
              </w:rPr>
              <w:t> </w:t>
            </w:r>
            <w:r>
              <w:rPr>
                <w:sz w:val="24"/>
              </w:rPr>
              <w:t>workforce </w:t>
            </w:r>
            <w:r>
              <w:rPr>
                <w:spacing w:val="-2"/>
                <w:sz w:val="24"/>
              </w:rPr>
              <w:t>development,</w:t>
            </w:r>
            <w:r>
              <w:rPr>
                <w:spacing w:val="-15"/>
                <w:sz w:val="24"/>
              </w:rPr>
              <w:t> </w:t>
            </w:r>
            <w:r>
              <w:rPr>
                <w:spacing w:val="-2"/>
                <w:sz w:val="24"/>
              </w:rPr>
              <w:t>research</w:t>
            </w:r>
            <w:r>
              <w:rPr>
                <w:spacing w:val="-15"/>
                <w:sz w:val="24"/>
              </w:rPr>
              <w:t> </w:t>
            </w:r>
            <w:r>
              <w:rPr>
                <w:spacing w:val="-2"/>
                <w:sz w:val="24"/>
              </w:rPr>
              <w:t>performance,</w:t>
            </w:r>
            <w:r>
              <w:rPr>
                <w:spacing w:val="-14"/>
                <w:sz w:val="24"/>
              </w:rPr>
              <w:t> </w:t>
            </w:r>
            <w:r>
              <w:rPr>
                <w:spacing w:val="-2"/>
                <w:sz w:val="24"/>
              </w:rPr>
              <w:t>innovation</w:t>
            </w:r>
            <w:r>
              <w:rPr>
                <w:spacing w:val="-15"/>
                <w:sz w:val="24"/>
              </w:rPr>
              <w:t> </w:t>
            </w:r>
            <w:r>
              <w:rPr>
                <w:spacing w:val="-2"/>
                <w:sz w:val="24"/>
              </w:rPr>
              <w:t>adoption</w:t>
            </w:r>
            <w:r>
              <w:rPr>
                <w:spacing w:val="-15"/>
                <w:sz w:val="24"/>
              </w:rPr>
              <w:t> </w:t>
            </w:r>
            <w:r>
              <w:rPr>
                <w:spacing w:val="-2"/>
                <w:sz w:val="24"/>
              </w:rPr>
              <w:t>and</w:t>
            </w:r>
            <w:r>
              <w:rPr>
                <w:spacing w:val="-15"/>
                <w:sz w:val="24"/>
              </w:rPr>
              <w:t> </w:t>
            </w:r>
            <w:r>
              <w:rPr>
                <w:spacing w:val="-2"/>
                <w:sz w:val="24"/>
              </w:rPr>
              <w:t>economic</w:t>
            </w:r>
            <w:r>
              <w:rPr>
                <w:spacing w:val="-14"/>
                <w:sz w:val="24"/>
              </w:rPr>
              <w:t> </w:t>
            </w:r>
            <w:r>
              <w:rPr>
                <w:spacing w:val="-2"/>
                <w:sz w:val="24"/>
              </w:rPr>
              <w:t>growth.</w:t>
            </w:r>
          </w:p>
          <w:p>
            <w:pPr>
              <w:pStyle w:val="TableParagraph"/>
              <w:numPr>
                <w:ilvl w:val="0"/>
                <w:numId w:val="32"/>
              </w:numPr>
              <w:tabs>
                <w:tab w:pos="1550" w:val="left" w:leader="none"/>
              </w:tabs>
              <w:spacing w:line="237" w:lineRule="auto" w:before="1" w:after="0"/>
              <w:ind w:left="1550" w:right="179" w:hanging="360"/>
              <w:jc w:val="left"/>
              <w:rPr>
                <w:sz w:val="24"/>
              </w:rPr>
            </w:pPr>
            <w:r>
              <w:rPr>
                <w:spacing w:val="-2"/>
                <w:sz w:val="24"/>
              </w:rPr>
              <w:t>Developing</w:t>
            </w:r>
            <w:r>
              <w:rPr>
                <w:spacing w:val="-15"/>
                <w:sz w:val="24"/>
              </w:rPr>
              <w:t> </w:t>
            </w:r>
            <w:r>
              <w:rPr>
                <w:spacing w:val="-2"/>
                <w:sz w:val="24"/>
              </w:rPr>
              <w:t>recommendations</w:t>
            </w:r>
            <w:r>
              <w:rPr>
                <w:spacing w:val="-15"/>
                <w:sz w:val="24"/>
              </w:rPr>
              <w:t> </w:t>
            </w:r>
            <w:r>
              <w:rPr>
                <w:spacing w:val="-2"/>
                <w:sz w:val="24"/>
              </w:rPr>
              <w:t>and</w:t>
            </w:r>
            <w:r>
              <w:rPr>
                <w:spacing w:val="-14"/>
                <w:sz w:val="24"/>
              </w:rPr>
              <w:t> </w:t>
            </w:r>
            <w:r>
              <w:rPr>
                <w:spacing w:val="-2"/>
                <w:sz w:val="24"/>
              </w:rPr>
              <w:t>arriving</w:t>
            </w:r>
            <w:r>
              <w:rPr>
                <w:spacing w:val="-15"/>
                <w:sz w:val="24"/>
              </w:rPr>
              <w:t> </w:t>
            </w:r>
            <w:r>
              <w:rPr>
                <w:spacing w:val="-2"/>
                <w:sz w:val="24"/>
              </w:rPr>
              <w:t>at</w:t>
            </w:r>
            <w:r>
              <w:rPr>
                <w:spacing w:val="-15"/>
                <w:sz w:val="24"/>
              </w:rPr>
              <w:t> </w:t>
            </w:r>
            <w:r>
              <w:rPr>
                <w:spacing w:val="-2"/>
                <w:sz w:val="24"/>
              </w:rPr>
              <w:t>a</w:t>
            </w:r>
            <w:r>
              <w:rPr>
                <w:spacing w:val="-15"/>
                <w:sz w:val="24"/>
              </w:rPr>
              <w:t> </w:t>
            </w:r>
            <w:r>
              <w:rPr>
                <w:spacing w:val="-2"/>
                <w:sz w:val="24"/>
              </w:rPr>
              <w:t>preferred</w:t>
            </w:r>
            <w:r>
              <w:rPr>
                <w:spacing w:val="-14"/>
                <w:sz w:val="24"/>
              </w:rPr>
              <w:t> </w:t>
            </w:r>
            <w:r>
              <w:rPr>
                <w:spacing w:val="-2"/>
                <w:sz w:val="24"/>
              </w:rPr>
              <w:t>model</w:t>
            </w:r>
            <w:r>
              <w:rPr>
                <w:spacing w:val="-15"/>
                <w:sz w:val="24"/>
              </w:rPr>
              <w:t> </w:t>
            </w:r>
            <w:r>
              <w:rPr>
                <w:spacing w:val="-2"/>
                <w:sz w:val="24"/>
              </w:rPr>
              <w:t>for</w:t>
            </w:r>
            <w:r>
              <w:rPr>
                <w:spacing w:val="-15"/>
                <w:sz w:val="24"/>
              </w:rPr>
              <w:t> </w:t>
            </w:r>
            <w:r>
              <w:rPr>
                <w:spacing w:val="-2"/>
                <w:sz w:val="24"/>
              </w:rPr>
              <w:t>consideration </w:t>
            </w:r>
            <w:r>
              <w:rPr>
                <w:sz w:val="24"/>
              </w:rPr>
              <w:t>by the Regional Joint Committee.</w:t>
            </w:r>
          </w:p>
          <w:p>
            <w:pPr>
              <w:pStyle w:val="TableParagraph"/>
              <w:spacing w:before="4"/>
              <w:rPr>
                <w:sz w:val="24"/>
              </w:rPr>
            </w:pPr>
          </w:p>
          <w:p>
            <w:pPr>
              <w:pStyle w:val="TableParagraph"/>
              <w:ind w:left="830" w:right="212"/>
              <w:rPr>
                <w:sz w:val="24"/>
              </w:rPr>
            </w:pPr>
            <w:r>
              <w:rPr>
                <w:spacing w:val="-2"/>
                <w:sz w:val="24"/>
              </w:rPr>
              <w:t>The</w:t>
            </w:r>
            <w:r>
              <w:rPr>
                <w:spacing w:val="-15"/>
                <w:sz w:val="24"/>
              </w:rPr>
              <w:t> </w:t>
            </w:r>
            <w:r>
              <w:rPr>
                <w:spacing w:val="-2"/>
                <w:sz w:val="24"/>
              </w:rPr>
              <w:t>ultimate</w:t>
            </w:r>
            <w:r>
              <w:rPr>
                <w:spacing w:val="-15"/>
                <w:sz w:val="24"/>
              </w:rPr>
              <w:t> </w:t>
            </w:r>
            <w:r>
              <w:rPr>
                <w:spacing w:val="-2"/>
                <w:sz w:val="24"/>
              </w:rPr>
              <w:t>output</w:t>
            </w:r>
            <w:r>
              <w:rPr>
                <w:spacing w:val="-14"/>
                <w:sz w:val="24"/>
              </w:rPr>
              <w:t> </w:t>
            </w:r>
            <w:r>
              <w:rPr>
                <w:spacing w:val="-2"/>
                <w:sz w:val="24"/>
              </w:rPr>
              <w:t>will</w:t>
            </w:r>
            <w:r>
              <w:rPr>
                <w:spacing w:val="-15"/>
                <w:sz w:val="24"/>
              </w:rPr>
              <w:t> </w:t>
            </w:r>
            <w:r>
              <w:rPr>
                <w:spacing w:val="-2"/>
                <w:sz w:val="24"/>
              </w:rPr>
              <w:t>be</w:t>
            </w:r>
            <w:r>
              <w:rPr>
                <w:spacing w:val="-15"/>
                <w:sz w:val="24"/>
              </w:rPr>
              <w:t> </w:t>
            </w:r>
            <w:r>
              <w:rPr>
                <w:spacing w:val="-2"/>
                <w:sz w:val="24"/>
              </w:rPr>
              <w:t>a</w:t>
            </w:r>
            <w:r>
              <w:rPr>
                <w:spacing w:val="-13"/>
                <w:sz w:val="24"/>
              </w:rPr>
              <w:t> </w:t>
            </w:r>
            <w:r>
              <w:rPr>
                <w:spacing w:val="-2"/>
                <w:sz w:val="24"/>
              </w:rPr>
              <w:t>concise</w:t>
            </w:r>
            <w:r>
              <w:rPr>
                <w:spacing w:val="-15"/>
                <w:sz w:val="24"/>
              </w:rPr>
              <w:t> </w:t>
            </w:r>
            <w:r>
              <w:rPr>
                <w:spacing w:val="-2"/>
                <w:sz w:val="24"/>
              </w:rPr>
              <w:t>options</w:t>
            </w:r>
            <w:r>
              <w:rPr>
                <w:spacing w:val="-13"/>
                <w:sz w:val="24"/>
              </w:rPr>
              <w:t> </w:t>
            </w:r>
            <w:r>
              <w:rPr>
                <w:spacing w:val="-2"/>
                <w:sz w:val="24"/>
              </w:rPr>
              <w:t>appraisal</w:t>
            </w:r>
            <w:r>
              <w:rPr>
                <w:spacing w:val="-13"/>
                <w:sz w:val="24"/>
              </w:rPr>
              <w:t> </w:t>
            </w:r>
            <w:r>
              <w:rPr>
                <w:spacing w:val="-2"/>
                <w:sz w:val="24"/>
              </w:rPr>
              <w:t>describing</w:t>
            </w:r>
            <w:r>
              <w:rPr>
                <w:spacing w:val="-13"/>
                <w:sz w:val="24"/>
              </w:rPr>
              <w:t> </w:t>
            </w:r>
            <w:r>
              <w:rPr>
                <w:spacing w:val="-2"/>
                <w:sz w:val="24"/>
              </w:rPr>
              <w:t>potential</w:t>
            </w:r>
            <w:r>
              <w:rPr>
                <w:spacing w:val="-13"/>
                <w:sz w:val="24"/>
              </w:rPr>
              <w:t> </w:t>
            </w:r>
            <w:r>
              <w:rPr>
                <w:spacing w:val="-2"/>
                <w:sz w:val="24"/>
              </w:rPr>
              <w:t>approaches, </w:t>
            </w:r>
            <w:r>
              <w:rPr>
                <w:sz w:val="24"/>
              </w:rPr>
              <w:t>the</w:t>
            </w:r>
            <w:r>
              <w:rPr>
                <w:spacing w:val="-14"/>
                <w:sz w:val="24"/>
              </w:rPr>
              <w:t> </w:t>
            </w:r>
            <w:r>
              <w:rPr>
                <w:sz w:val="24"/>
              </w:rPr>
              <w:t>lessons</w:t>
            </w:r>
            <w:r>
              <w:rPr>
                <w:spacing w:val="-14"/>
                <w:sz w:val="24"/>
              </w:rPr>
              <w:t> </w:t>
            </w:r>
            <w:r>
              <w:rPr>
                <w:sz w:val="24"/>
              </w:rPr>
              <w:t>derived</w:t>
            </w:r>
            <w:r>
              <w:rPr>
                <w:spacing w:val="-8"/>
                <w:sz w:val="24"/>
              </w:rPr>
              <w:t> </w:t>
            </w:r>
            <w:r>
              <w:rPr>
                <w:sz w:val="24"/>
              </w:rPr>
              <w:t>from</w:t>
            </w:r>
            <w:r>
              <w:rPr>
                <w:spacing w:val="-17"/>
                <w:sz w:val="24"/>
              </w:rPr>
              <w:t> </w:t>
            </w:r>
            <w:r>
              <w:rPr>
                <w:sz w:val="24"/>
              </w:rPr>
              <w:t>national</w:t>
            </w:r>
            <w:r>
              <w:rPr>
                <w:spacing w:val="-17"/>
                <w:sz w:val="24"/>
              </w:rPr>
              <w:t> </w:t>
            </w:r>
            <w:r>
              <w:rPr>
                <w:sz w:val="24"/>
              </w:rPr>
              <w:t>and</w:t>
            </w:r>
            <w:r>
              <w:rPr>
                <w:spacing w:val="-16"/>
                <w:sz w:val="24"/>
              </w:rPr>
              <w:t> </w:t>
            </w:r>
            <w:r>
              <w:rPr>
                <w:sz w:val="24"/>
              </w:rPr>
              <w:t>international</w:t>
            </w:r>
            <w:r>
              <w:rPr>
                <w:spacing w:val="-17"/>
                <w:sz w:val="24"/>
              </w:rPr>
              <w:t> </w:t>
            </w:r>
            <w:r>
              <w:rPr>
                <w:sz w:val="24"/>
              </w:rPr>
              <w:t>exemplars,</w:t>
            </w:r>
            <w:r>
              <w:rPr>
                <w:spacing w:val="-15"/>
                <w:sz w:val="24"/>
              </w:rPr>
              <w:t> </w:t>
            </w:r>
            <w:r>
              <w:rPr>
                <w:sz w:val="24"/>
              </w:rPr>
              <w:t>stakeholder</w:t>
            </w:r>
            <w:r>
              <w:rPr>
                <w:spacing w:val="-14"/>
                <w:sz w:val="24"/>
              </w:rPr>
              <w:t> </w:t>
            </w:r>
            <w:r>
              <w:rPr>
                <w:sz w:val="24"/>
              </w:rPr>
              <w:t>feedback and</w:t>
            </w:r>
            <w:r>
              <w:rPr>
                <w:spacing w:val="-16"/>
                <w:sz w:val="24"/>
              </w:rPr>
              <w:t> </w:t>
            </w:r>
            <w:r>
              <w:rPr>
                <w:sz w:val="24"/>
              </w:rPr>
              <w:t>insights,</w:t>
            </w:r>
            <w:r>
              <w:rPr>
                <w:spacing w:val="-14"/>
                <w:sz w:val="24"/>
              </w:rPr>
              <w:t> </w:t>
            </w:r>
            <w:r>
              <w:rPr>
                <w:sz w:val="24"/>
              </w:rPr>
              <w:t>together</w:t>
            </w:r>
            <w:r>
              <w:rPr>
                <w:spacing w:val="-13"/>
                <w:sz w:val="24"/>
              </w:rPr>
              <w:t> </w:t>
            </w:r>
            <w:r>
              <w:rPr>
                <w:sz w:val="24"/>
              </w:rPr>
              <w:t>with</w:t>
            </w:r>
            <w:r>
              <w:rPr>
                <w:spacing w:val="-12"/>
                <w:sz w:val="24"/>
              </w:rPr>
              <w:t> </w:t>
            </w:r>
            <w:r>
              <w:rPr>
                <w:sz w:val="24"/>
              </w:rPr>
              <w:t>a</w:t>
            </w:r>
            <w:r>
              <w:rPr>
                <w:spacing w:val="-12"/>
                <w:sz w:val="24"/>
              </w:rPr>
              <w:t> </w:t>
            </w:r>
            <w:r>
              <w:rPr>
                <w:sz w:val="24"/>
              </w:rPr>
              <w:t>proposed</w:t>
            </w:r>
            <w:r>
              <w:rPr>
                <w:spacing w:val="-12"/>
                <w:sz w:val="24"/>
              </w:rPr>
              <w:t> </w:t>
            </w:r>
            <w:r>
              <w:rPr>
                <w:sz w:val="24"/>
              </w:rPr>
              <w:t>implementation</w:t>
            </w:r>
            <w:r>
              <w:rPr>
                <w:spacing w:val="-12"/>
                <w:sz w:val="24"/>
              </w:rPr>
              <w:t> </w:t>
            </w:r>
            <w:r>
              <w:rPr>
                <w:sz w:val="24"/>
              </w:rPr>
              <w:t>roadmap</w:t>
            </w:r>
            <w:r>
              <w:rPr>
                <w:spacing w:val="-7"/>
                <w:sz w:val="24"/>
              </w:rPr>
              <w:t> </w:t>
            </w:r>
            <w:r>
              <w:rPr>
                <w:sz w:val="24"/>
              </w:rPr>
              <w:t>to</w:t>
            </w:r>
            <w:r>
              <w:rPr>
                <w:spacing w:val="-16"/>
                <w:sz w:val="24"/>
              </w:rPr>
              <w:t> </w:t>
            </w:r>
            <w:r>
              <w:rPr>
                <w:sz w:val="24"/>
              </w:rPr>
              <w:t>inform</w:t>
            </w:r>
            <w:r>
              <w:rPr>
                <w:spacing w:val="-13"/>
                <w:sz w:val="24"/>
              </w:rPr>
              <w:t> </w:t>
            </w:r>
            <w:r>
              <w:rPr>
                <w:sz w:val="24"/>
              </w:rPr>
              <w:t>a</w:t>
            </w:r>
            <w:r>
              <w:rPr>
                <w:spacing w:val="-12"/>
                <w:sz w:val="24"/>
              </w:rPr>
              <w:t> </w:t>
            </w:r>
            <w:r>
              <w:rPr>
                <w:sz w:val="24"/>
              </w:rPr>
              <w:t>decision about the way forward.</w:t>
            </w:r>
          </w:p>
          <w:p>
            <w:pPr>
              <w:pStyle w:val="TableParagraph"/>
              <w:spacing w:before="1"/>
              <w:rPr>
                <w:sz w:val="24"/>
              </w:rPr>
            </w:pPr>
          </w:p>
          <w:p>
            <w:pPr>
              <w:pStyle w:val="TableParagraph"/>
              <w:ind w:left="830"/>
              <w:rPr>
                <w:sz w:val="24"/>
              </w:rPr>
            </w:pPr>
            <w:r>
              <w:rPr>
                <w:spacing w:val="-2"/>
                <w:sz w:val="24"/>
              </w:rPr>
              <w:t>Target:</w:t>
            </w:r>
            <w:r>
              <w:rPr>
                <w:spacing w:val="-15"/>
                <w:sz w:val="24"/>
              </w:rPr>
              <w:t> </w:t>
            </w:r>
            <w:r>
              <w:rPr>
                <w:spacing w:val="-2"/>
                <w:sz w:val="24"/>
              </w:rPr>
              <w:t>March</w:t>
            </w:r>
            <w:r>
              <w:rPr>
                <w:spacing w:val="-14"/>
                <w:sz w:val="24"/>
              </w:rPr>
              <w:t> </w:t>
            </w:r>
            <w:r>
              <w:rPr>
                <w:spacing w:val="-4"/>
                <w:sz w:val="24"/>
              </w:rPr>
              <w:t>2027</w:t>
            </w:r>
          </w:p>
          <w:p>
            <w:pPr>
              <w:pStyle w:val="TableParagraph"/>
              <w:spacing w:before="274"/>
              <w:ind w:left="830"/>
              <w:rPr>
                <w:b/>
                <w:sz w:val="24"/>
              </w:rPr>
            </w:pPr>
            <w:r>
              <w:rPr>
                <w:b/>
                <w:spacing w:val="-2"/>
                <w:sz w:val="24"/>
              </w:rPr>
              <w:t>3)</w:t>
            </w:r>
            <w:r>
              <w:rPr>
                <w:b/>
                <w:spacing w:val="-12"/>
                <w:sz w:val="24"/>
              </w:rPr>
              <w:t> </w:t>
            </w:r>
            <w:r>
              <w:rPr>
                <w:b/>
                <w:spacing w:val="-2"/>
                <w:sz w:val="24"/>
              </w:rPr>
              <w:t>Strengthen</w:t>
            </w:r>
            <w:r>
              <w:rPr>
                <w:b/>
                <w:spacing w:val="-14"/>
                <w:sz w:val="24"/>
              </w:rPr>
              <w:t> </w:t>
            </w:r>
            <w:r>
              <w:rPr>
                <w:b/>
                <w:spacing w:val="-2"/>
                <w:sz w:val="24"/>
              </w:rPr>
              <w:t>University</w:t>
            </w:r>
            <w:r>
              <w:rPr>
                <w:b/>
                <w:spacing w:val="-12"/>
                <w:sz w:val="24"/>
              </w:rPr>
              <w:t> </w:t>
            </w:r>
            <w:r>
              <w:rPr>
                <w:b/>
                <w:spacing w:val="-2"/>
                <w:sz w:val="24"/>
              </w:rPr>
              <w:t>and</w:t>
            </w:r>
            <w:r>
              <w:rPr>
                <w:b/>
                <w:spacing w:val="-14"/>
                <w:sz w:val="24"/>
              </w:rPr>
              <w:t> </w:t>
            </w:r>
            <w:r>
              <w:rPr>
                <w:b/>
                <w:spacing w:val="-2"/>
                <w:sz w:val="24"/>
              </w:rPr>
              <w:t>Health</w:t>
            </w:r>
            <w:r>
              <w:rPr>
                <w:b/>
                <w:spacing w:val="-15"/>
                <w:sz w:val="24"/>
              </w:rPr>
              <w:t> </w:t>
            </w:r>
            <w:r>
              <w:rPr>
                <w:b/>
                <w:spacing w:val="-2"/>
                <w:sz w:val="24"/>
              </w:rPr>
              <w:t>Board</w:t>
            </w:r>
            <w:r>
              <w:rPr>
                <w:b/>
                <w:spacing w:val="-10"/>
                <w:sz w:val="24"/>
              </w:rPr>
              <w:t> </w:t>
            </w:r>
            <w:r>
              <w:rPr>
                <w:b/>
                <w:spacing w:val="-2"/>
                <w:sz w:val="24"/>
              </w:rPr>
              <w:t>Partnerships</w:t>
            </w:r>
          </w:p>
          <w:p>
            <w:pPr>
              <w:pStyle w:val="TableParagraph"/>
              <w:spacing w:before="274"/>
              <w:ind w:left="830"/>
              <w:rPr>
                <w:sz w:val="24"/>
              </w:rPr>
            </w:pPr>
            <w:r>
              <w:rPr>
                <w:sz w:val="24"/>
              </w:rPr>
              <w:t>A</w:t>
            </w:r>
            <w:r>
              <w:rPr>
                <w:spacing w:val="-13"/>
                <w:sz w:val="24"/>
              </w:rPr>
              <w:t> </w:t>
            </w:r>
            <w:r>
              <w:rPr>
                <w:sz w:val="24"/>
              </w:rPr>
              <w:t>recent</w:t>
            </w:r>
            <w:r>
              <w:rPr>
                <w:spacing w:val="-15"/>
                <w:sz w:val="24"/>
              </w:rPr>
              <w:t> </w:t>
            </w:r>
            <w:r>
              <w:rPr>
                <w:sz w:val="24"/>
              </w:rPr>
              <w:t>discussion</w:t>
            </w:r>
            <w:r>
              <w:rPr>
                <w:spacing w:val="-12"/>
                <w:sz w:val="24"/>
              </w:rPr>
              <w:t> </w:t>
            </w:r>
            <w:r>
              <w:rPr>
                <w:sz w:val="24"/>
              </w:rPr>
              <w:t>involving</w:t>
            </w:r>
            <w:r>
              <w:rPr>
                <w:spacing w:val="-12"/>
                <w:sz w:val="24"/>
              </w:rPr>
              <w:t> </w:t>
            </w:r>
            <w:r>
              <w:rPr>
                <w:sz w:val="24"/>
              </w:rPr>
              <w:t>both</w:t>
            </w:r>
            <w:r>
              <w:rPr>
                <w:spacing w:val="-12"/>
                <w:sz w:val="24"/>
              </w:rPr>
              <w:t> </w:t>
            </w:r>
            <w:r>
              <w:rPr>
                <w:sz w:val="24"/>
              </w:rPr>
              <w:t>health</w:t>
            </w:r>
            <w:r>
              <w:rPr>
                <w:spacing w:val="-17"/>
                <w:sz w:val="24"/>
              </w:rPr>
              <w:t> </w:t>
            </w:r>
            <w:r>
              <w:rPr>
                <w:sz w:val="24"/>
              </w:rPr>
              <w:t>boards</w:t>
            </w:r>
            <w:r>
              <w:rPr>
                <w:spacing w:val="-13"/>
                <w:sz w:val="24"/>
              </w:rPr>
              <w:t> </w:t>
            </w:r>
            <w:r>
              <w:rPr>
                <w:sz w:val="24"/>
              </w:rPr>
              <w:t>and</w:t>
            </w:r>
            <w:r>
              <w:rPr>
                <w:spacing w:val="-12"/>
                <w:sz w:val="24"/>
              </w:rPr>
              <w:t> </w:t>
            </w:r>
            <w:r>
              <w:rPr>
                <w:sz w:val="24"/>
              </w:rPr>
              <w:t>the</w:t>
            </w:r>
            <w:r>
              <w:rPr>
                <w:spacing w:val="-12"/>
                <w:sz w:val="24"/>
              </w:rPr>
              <w:t> </w:t>
            </w:r>
            <w:r>
              <w:rPr>
                <w:sz w:val="24"/>
              </w:rPr>
              <w:t>region's</w:t>
            </w:r>
            <w:r>
              <w:rPr>
                <w:spacing w:val="-9"/>
                <w:sz w:val="24"/>
              </w:rPr>
              <w:t> </w:t>
            </w:r>
            <w:r>
              <w:rPr>
                <w:sz w:val="24"/>
              </w:rPr>
              <w:t>three</w:t>
            </w:r>
            <w:r>
              <w:rPr>
                <w:spacing w:val="-17"/>
                <w:sz w:val="24"/>
              </w:rPr>
              <w:t> </w:t>
            </w:r>
            <w:r>
              <w:rPr>
                <w:sz w:val="24"/>
              </w:rPr>
              <w:t>universities identified</w:t>
            </w:r>
            <w:r>
              <w:rPr>
                <w:spacing w:val="-11"/>
                <w:sz w:val="24"/>
              </w:rPr>
              <w:t> </w:t>
            </w:r>
            <w:r>
              <w:rPr>
                <w:sz w:val="24"/>
              </w:rPr>
              <w:t>a</w:t>
            </w:r>
            <w:r>
              <w:rPr>
                <w:spacing w:val="-11"/>
                <w:sz w:val="24"/>
              </w:rPr>
              <w:t> </w:t>
            </w:r>
            <w:r>
              <w:rPr>
                <w:sz w:val="24"/>
              </w:rPr>
              <w:t>strong</w:t>
            </w:r>
            <w:r>
              <w:rPr>
                <w:spacing w:val="-16"/>
                <w:sz w:val="24"/>
              </w:rPr>
              <w:t> </w:t>
            </w:r>
            <w:r>
              <w:rPr>
                <w:sz w:val="24"/>
              </w:rPr>
              <w:t>appetite</w:t>
            </w:r>
            <w:r>
              <w:rPr>
                <w:spacing w:val="-6"/>
                <w:sz w:val="24"/>
              </w:rPr>
              <w:t> </w:t>
            </w:r>
            <w:r>
              <w:rPr>
                <w:sz w:val="24"/>
              </w:rPr>
              <w:t>for</w:t>
            </w:r>
            <w:r>
              <w:rPr>
                <w:spacing w:val="-12"/>
                <w:sz w:val="24"/>
              </w:rPr>
              <w:t> </w:t>
            </w:r>
            <w:r>
              <w:rPr>
                <w:sz w:val="24"/>
              </w:rPr>
              <w:t>a</w:t>
            </w:r>
            <w:r>
              <w:rPr>
                <w:spacing w:val="-11"/>
                <w:sz w:val="24"/>
              </w:rPr>
              <w:t> </w:t>
            </w:r>
            <w:r>
              <w:rPr>
                <w:sz w:val="24"/>
              </w:rPr>
              <w:t>renewed</w:t>
            </w:r>
            <w:r>
              <w:rPr>
                <w:spacing w:val="-11"/>
                <w:sz w:val="24"/>
              </w:rPr>
              <w:t> </w:t>
            </w:r>
            <w:r>
              <w:rPr>
                <w:sz w:val="24"/>
              </w:rPr>
              <w:t>partnership,</w:t>
            </w:r>
            <w:r>
              <w:rPr>
                <w:spacing w:val="-14"/>
                <w:sz w:val="24"/>
              </w:rPr>
              <w:t> </w:t>
            </w:r>
            <w:r>
              <w:rPr>
                <w:sz w:val="24"/>
              </w:rPr>
              <w:t>with</w:t>
            </w:r>
            <w:r>
              <w:rPr>
                <w:spacing w:val="-11"/>
                <w:sz w:val="24"/>
              </w:rPr>
              <w:t> </w:t>
            </w:r>
            <w:r>
              <w:rPr>
                <w:sz w:val="24"/>
              </w:rPr>
              <w:t>an</w:t>
            </w:r>
            <w:r>
              <w:rPr>
                <w:spacing w:val="-11"/>
                <w:sz w:val="24"/>
              </w:rPr>
              <w:t> </w:t>
            </w:r>
            <w:r>
              <w:rPr>
                <w:sz w:val="24"/>
              </w:rPr>
              <w:t>emphasis</w:t>
            </w:r>
            <w:r>
              <w:rPr>
                <w:spacing w:val="-12"/>
                <w:sz w:val="24"/>
              </w:rPr>
              <w:t> </w:t>
            </w:r>
            <w:r>
              <w:rPr>
                <w:sz w:val="24"/>
              </w:rPr>
              <w:t>on</w:t>
            </w:r>
            <w:r>
              <w:rPr>
                <w:spacing w:val="-11"/>
                <w:sz w:val="24"/>
              </w:rPr>
              <w:t> </w:t>
            </w:r>
            <w:r>
              <w:rPr>
                <w:sz w:val="24"/>
              </w:rPr>
              <w:t>moving beyond</w:t>
            </w:r>
            <w:r>
              <w:rPr>
                <w:spacing w:val="-17"/>
                <w:sz w:val="24"/>
              </w:rPr>
              <w:t> </w:t>
            </w:r>
            <w:r>
              <w:rPr>
                <w:sz w:val="24"/>
              </w:rPr>
              <w:t>historical</w:t>
            </w:r>
            <w:r>
              <w:rPr>
                <w:spacing w:val="-17"/>
                <w:sz w:val="24"/>
              </w:rPr>
              <w:t> </w:t>
            </w:r>
            <w:r>
              <w:rPr>
                <w:sz w:val="24"/>
              </w:rPr>
              <w:t>arrangements</w:t>
            </w:r>
            <w:r>
              <w:rPr>
                <w:spacing w:val="-16"/>
                <w:sz w:val="24"/>
              </w:rPr>
              <w:t> </w:t>
            </w:r>
            <w:r>
              <w:rPr>
                <w:sz w:val="24"/>
              </w:rPr>
              <w:t>towards</w:t>
            </w:r>
            <w:r>
              <w:rPr>
                <w:spacing w:val="-17"/>
                <w:sz w:val="24"/>
              </w:rPr>
              <w:t> </w:t>
            </w:r>
            <w:r>
              <w:rPr>
                <w:sz w:val="24"/>
              </w:rPr>
              <w:t>a</w:t>
            </w:r>
            <w:r>
              <w:rPr>
                <w:spacing w:val="-17"/>
                <w:sz w:val="24"/>
              </w:rPr>
              <w:t> </w:t>
            </w:r>
            <w:r>
              <w:rPr>
                <w:sz w:val="24"/>
              </w:rPr>
              <w:t>more</w:t>
            </w:r>
            <w:r>
              <w:rPr>
                <w:spacing w:val="-12"/>
                <w:sz w:val="24"/>
              </w:rPr>
              <w:t> </w:t>
            </w:r>
            <w:r>
              <w:rPr>
                <w:sz w:val="24"/>
              </w:rPr>
              <w:t>purposeful,</w:t>
            </w:r>
            <w:r>
              <w:rPr>
                <w:spacing w:val="-17"/>
                <w:sz w:val="24"/>
              </w:rPr>
              <w:t> </w:t>
            </w:r>
            <w:r>
              <w:rPr>
                <w:sz w:val="24"/>
              </w:rPr>
              <w:t>delivery-focused</w:t>
            </w:r>
            <w:r>
              <w:rPr>
                <w:spacing w:val="-17"/>
                <w:sz w:val="24"/>
              </w:rPr>
              <w:t> </w:t>
            </w:r>
            <w:r>
              <w:rPr>
                <w:sz w:val="24"/>
              </w:rPr>
              <w:t>approach </w:t>
            </w:r>
            <w:r>
              <w:rPr>
                <w:spacing w:val="-2"/>
                <w:sz w:val="24"/>
              </w:rPr>
              <w:t>centred</w:t>
            </w:r>
            <w:r>
              <w:rPr>
                <w:spacing w:val="-13"/>
                <w:sz w:val="24"/>
              </w:rPr>
              <w:t> </w:t>
            </w:r>
            <w:r>
              <w:rPr>
                <w:spacing w:val="-2"/>
                <w:sz w:val="24"/>
              </w:rPr>
              <w:t>on</w:t>
            </w:r>
            <w:r>
              <w:rPr>
                <w:spacing w:val="-13"/>
                <w:sz w:val="24"/>
              </w:rPr>
              <w:t> </w:t>
            </w:r>
            <w:r>
              <w:rPr>
                <w:spacing w:val="-2"/>
                <w:sz w:val="24"/>
              </w:rPr>
              <w:t>shared</w:t>
            </w:r>
            <w:r>
              <w:rPr>
                <w:spacing w:val="-13"/>
                <w:sz w:val="24"/>
              </w:rPr>
              <w:t> </w:t>
            </w:r>
            <w:r>
              <w:rPr>
                <w:spacing w:val="-2"/>
                <w:sz w:val="24"/>
              </w:rPr>
              <w:t>regional</w:t>
            </w:r>
            <w:r>
              <w:rPr>
                <w:spacing w:val="-13"/>
                <w:sz w:val="24"/>
              </w:rPr>
              <w:t> </w:t>
            </w:r>
            <w:r>
              <w:rPr>
                <w:spacing w:val="-2"/>
                <w:sz w:val="24"/>
              </w:rPr>
              <w:t>priorities.</w:t>
            </w:r>
            <w:r>
              <w:rPr>
                <w:spacing w:val="48"/>
                <w:sz w:val="24"/>
              </w:rPr>
              <w:t> </w:t>
            </w:r>
            <w:r>
              <w:rPr>
                <w:spacing w:val="-2"/>
                <w:sz w:val="24"/>
              </w:rPr>
              <w:t>This</w:t>
            </w:r>
            <w:r>
              <w:rPr>
                <w:spacing w:val="-14"/>
                <w:sz w:val="24"/>
              </w:rPr>
              <w:t> </w:t>
            </w:r>
            <w:r>
              <w:rPr>
                <w:spacing w:val="-2"/>
                <w:sz w:val="24"/>
              </w:rPr>
              <w:t>will</w:t>
            </w:r>
            <w:r>
              <w:rPr>
                <w:spacing w:val="-13"/>
                <w:sz w:val="24"/>
              </w:rPr>
              <w:t> </w:t>
            </w:r>
            <w:r>
              <w:rPr>
                <w:spacing w:val="-2"/>
                <w:sz w:val="24"/>
              </w:rPr>
              <w:t>seek</w:t>
            </w:r>
            <w:r>
              <w:rPr>
                <w:spacing w:val="-14"/>
                <w:sz w:val="24"/>
              </w:rPr>
              <w:t> </w:t>
            </w:r>
            <w:r>
              <w:rPr>
                <w:spacing w:val="-2"/>
                <w:sz w:val="24"/>
              </w:rPr>
              <w:t>to</w:t>
            </w:r>
            <w:r>
              <w:rPr>
                <w:spacing w:val="-13"/>
                <w:sz w:val="24"/>
              </w:rPr>
              <w:t> </w:t>
            </w:r>
            <w:r>
              <w:rPr>
                <w:spacing w:val="-2"/>
                <w:sz w:val="24"/>
              </w:rPr>
              <w:t>leverage</w:t>
            </w:r>
            <w:r>
              <w:rPr>
                <w:spacing w:val="-11"/>
                <w:sz w:val="24"/>
              </w:rPr>
              <w:t> </w:t>
            </w:r>
            <w:r>
              <w:rPr>
                <w:spacing w:val="-2"/>
                <w:sz w:val="24"/>
              </w:rPr>
              <w:t>remarkable</w:t>
            </w:r>
            <w:r>
              <w:rPr>
                <w:spacing w:val="-13"/>
                <w:sz w:val="24"/>
              </w:rPr>
              <w:t> </w:t>
            </w:r>
            <w:r>
              <w:rPr>
                <w:spacing w:val="-2"/>
                <w:sz w:val="24"/>
              </w:rPr>
              <w:t>diversity</w:t>
            </w:r>
            <w:r>
              <w:rPr>
                <w:spacing w:val="-14"/>
                <w:sz w:val="24"/>
              </w:rPr>
              <w:t> </w:t>
            </w:r>
            <w:r>
              <w:rPr>
                <w:spacing w:val="-2"/>
                <w:sz w:val="24"/>
              </w:rPr>
              <w:t>and </w:t>
            </w:r>
            <w:r>
              <w:rPr>
                <w:sz w:val="24"/>
              </w:rPr>
              <w:t>opportunity</w:t>
            </w:r>
            <w:r>
              <w:rPr>
                <w:spacing w:val="-13"/>
                <w:sz w:val="24"/>
              </w:rPr>
              <w:t> </w:t>
            </w:r>
            <w:r>
              <w:rPr>
                <w:sz w:val="24"/>
              </w:rPr>
              <w:t>apparent</w:t>
            </w:r>
            <w:r>
              <w:rPr>
                <w:spacing w:val="-15"/>
                <w:sz w:val="24"/>
              </w:rPr>
              <w:t> </w:t>
            </w:r>
            <w:r>
              <w:rPr>
                <w:sz w:val="24"/>
              </w:rPr>
              <w:t>in</w:t>
            </w:r>
            <w:r>
              <w:rPr>
                <w:spacing w:val="-12"/>
                <w:sz w:val="24"/>
              </w:rPr>
              <w:t> </w:t>
            </w:r>
            <w:r>
              <w:rPr>
                <w:sz w:val="24"/>
              </w:rPr>
              <w:t>south</w:t>
            </w:r>
            <w:r>
              <w:rPr>
                <w:spacing w:val="-12"/>
                <w:sz w:val="24"/>
              </w:rPr>
              <w:t> </w:t>
            </w:r>
            <w:r>
              <w:rPr>
                <w:sz w:val="24"/>
              </w:rPr>
              <w:t>west</w:t>
            </w:r>
            <w:r>
              <w:rPr>
                <w:spacing w:val="-11"/>
                <w:sz w:val="24"/>
              </w:rPr>
              <w:t> </w:t>
            </w:r>
            <w:r>
              <w:rPr>
                <w:sz w:val="24"/>
              </w:rPr>
              <w:t>Wales.</w:t>
            </w:r>
            <w:r>
              <w:rPr>
                <w:spacing w:val="-11"/>
                <w:sz w:val="24"/>
              </w:rPr>
              <w:t> </w:t>
            </w:r>
            <w:r>
              <w:rPr>
                <w:sz w:val="24"/>
              </w:rPr>
              <w:t>From</w:t>
            </w:r>
            <w:r>
              <w:rPr>
                <w:spacing w:val="-13"/>
                <w:sz w:val="24"/>
              </w:rPr>
              <w:t> </w:t>
            </w:r>
            <w:r>
              <w:rPr>
                <w:sz w:val="24"/>
              </w:rPr>
              <w:t>vibrant</w:t>
            </w:r>
            <w:r>
              <w:rPr>
                <w:spacing w:val="-15"/>
                <w:sz w:val="24"/>
              </w:rPr>
              <w:t> </w:t>
            </w:r>
            <w:r>
              <w:rPr>
                <w:sz w:val="24"/>
              </w:rPr>
              <w:t>urban</w:t>
            </w:r>
            <w:r>
              <w:rPr>
                <w:spacing w:val="-8"/>
                <w:sz w:val="24"/>
              </w:rPr>
              <w:t> </w:t>
            </w:r>
            <w:r>
              <w:rPr>
                <w:sz w:val="24"/>
              </w:rPr>
              <w:t>centres</w:t>
            </w:r>
            <w:r>
              <w:rPr>
                <w:spacing w:val="-13"/>
                <w:sz w:val="24"/>
              </w:rPr>
              <w:t> </w:t>
            </w:r>
            <w:r>
              <w:rPr>
                <w:sz w:val="24"/>
              </w:rPr>
              <w:t>and</w:t>
            </w:r>
            <w:r>
              <w:rPr>
                <w:spacing w:val="-12"/>
                <w:sz w:val="24"/>
              </w:rPr>
              <w:t> </w:t>
            </w:r>
            <w:r>
              <w:rPr>
                <w:sz w:val="24"/>
              </w:rPr>
              <w:t>university communities</w:t>
            </w:r>
            <w:r>
              <w:rPr>
                <w:spacing w:val="-14"/>
                <w:sz w:val="24"/>
              </w:rPr>
              <w:t> </w:t>
            </w:r>
            <w:r>
              <w:rPr>
                <w:sz w:val="24"/>
              </w:rPr>
              <w:t>to</w:t>
            </w:r>
            <w:r>
              <w:rPr>
                <w:spacing w:val="-8"/>
                <w:sz w:val="24"/>
              </w:rPr>
              <w:t> </w:t>
            </w:r>
            <w:r>
              <w:rPr>
                <w:sz w:val="24"/>
              </w:rPr>
              <w:t>rural</w:t>
            </w:r>
            <w:r>
              <w:rPr>
                <w:spacing w:val="-13"/>
                <w:sz w:val="24"/>
              </w:rPr>
              <w:t> </w:t>
            </w:r>
            <w:r>
              <w:rPr>
                <w:sz w:val="24"/>
              </w:rPr>
              <w:t>heartlands</w:t>
            </w:r>
            <w:r>
              <w:rPr>
                <w:spacing w:val="-14"/>
                <w:sz w:val="24"/>
              </w:rPr>
              <w:t> </w:t>
            </w:r>
            <w:r>
              <w:rPr>
                <w:sz w:val="24"/>
              </w:rPr>
              <w:t>and</w:t>
            </w:r>
            <w:r>
              <w:rPr>
                <w:spacing w:val="-13"/>
                <w:sz w:val="24"/>
              </w:rPr>
              <w:t> </w:t>
            </w:r>
            <w:r>
              <w:rPr>
                <w:sz w:val="24"/>
              </w:rPr>
              <w:t>coastal</w:t>
            </w:r>
            <w:r>
              <w:rPr>
                <w:spacing w:val="-13"/>
                <w:sz w:val="24"/>
              </w:rPr>
              <w:t> </w:t>
            </w:r>
            <w:r>
              <w:rPr>
                <w:sz w:val="24"/>
              </w:rPr>
              <w:t>towns,</w:t>
            </w:r>
            <w:r>
              <w:rPr>
                <w:spacing w:val="-8"/>
                <w:sz w:val="24"/>
              </w:rPr>
              <w:t> </w:t>
            </w:r>
            <w:r>
              <w:rPr>
                <w:sz w:val="24"/>
              </w:rPr>
              <w:t>the</w:t>
            </w:r>
            <w:r>
              <w:rPr>
                <w:spacing w:val="-13"/>
                <w:sz w:val="24"/>
              </w:rPr>
              <w:t> </w:t>
            </w:r>
            <w:r>
              <w:rPr>
                <w:sz w:val="24"/>
              </w:rPr>
              <w:t>region</w:t>
            </w:r>
            <w:r>
              <w:rPr>
                <w:spacing w:val="-12"/>
                <w:sz w:val="24"/>
              </w:rPr>
              <w:t> </w:t>
            </w:r>
            <w:r>
              <w:rPr>
                <w:sz w:val="24"/>
              </w:rPr>
              <w:t>brings</w:t>
            </w:r>
            <w:r>
              <w:rPr>
                <w:spacing w:val="-9"/>
                <w:sz w:val="24"/>
              </w:rPr>
              <w:t> </w:t>
            </w:r>
            <w:r>
              <w:rPr>
                <w:sz w:val="24"/>
              </w:rPr>
              <w:t>together populations</w:t>
            </w:r>
            <w:r>
              <w:rPr>
                <w:spacing w:val="-9"/>
                <w:sz w:val="24"/>
              </w:rPr>
              <w:t> </w:t>
            </w:r>
            <w:r>
              <w:rPr>
                <w:sz w:val="24"/>
              </w:rPr>
              <w:t>with</w:t>
            </w:r>
            <w:r>
              <w:rPr>
                <w:spacing w:val="-13"/>
                <w:sz w:val="24"/>
              </w:rPr>
              <w:t> </w:t>
            </w:r>
            <w:r>
              <w:rPr>
                <w:sz w:val="24"/>
              </w:rPr>
              <w:t>different</w:t>
            </w:r>
            <w:r>
              <w:rPr>
                <w:spacing w:val="-11"/>
                <w:sz w:val="24"/>
              </w:rPr>
              <w:t> </w:t>
            </w:r>
            <w:r>
              <w:rPr>
                <w:sz w:val="24"/>
              </w:rPr>
              <w:t>needs,</w:t>
            </w:r>
            <w:r>
              <w:rPr>
                <w:spacing w:val="-16"/>
                <w:sz w:val="24"/>
              </w:rPr>
              <w:t> </w:t>
            </w:r>
            <w:r>
              <w:rPr>
                <w:sz w:val="24"/>
              </w:rPr>
              <w:t>experiences</w:t>
            </w:r>
            <w:r>
              <w:rPr>
                <w:spacing w:val="-14"/>
                <w:sz w:val="24"/>
              </w:rPr>
              <w:t> </w:t>
            </w:r>
            <w:r>
              <w:rPr>
                <w:sz w:val="24"/>
              </w:rPr>
              <w:t>and</w:t>
            </w:r>
            <w:r>
              <w:rPr>
                <w:spacing w:val="-13"/>
                <w:sz w:val="24"/>
              </w:rPr>
              <w:t> </w:t>
            </w:r>
            <w:r>
              <w:rPr>
                <w:sz w:val="24"/>
              </w:rPr>
              <w:t>strengths.</w:t>
            </w:r>
            <w:r>
              <w:rPr>
                <w:spacing w:val="-11"/>
                <w:sz w:val="24"/>
              </w:rPr>
              <w:t> </w:t>
            </w:r>
            <w:r>
              <w:rPr>
                <w:sz w:val="24"/>
              </w:rPr>
              <w:t>It</w:t>
            </w:r>
            <w:r>
              <w:rPr>
                <w:spacing w:val="-11"/>
                <w:sz w:val="24"/>
              </w:rPr>
              <w:t> </w:t>
            </w:r>
            <w:r>
              <w:rPr>
                <w:sz w:val="24"/>
              </w:rPr>
              <w:t>is</w:t>
            </w:r>
            <w:r>
              <w:rPr>
                <w:spacing w:val="-9"/>
                <w:sz w:val="24"/>
              </w:rPr>
              <w:t> </w:t>
            </w:r>
            <w:r>
              <w:rPr>
                <w:sz w:val="24"/>
              </w:rPr>
              <w:t>home</w:t>
            </w:r>
            <w:r>
              <w:rPr>
                <w:spacing w:val="-4"/>
                <w:sz w:val="24"/>
              </w:rPr>
              <w:t> </w:t>
            </w:r>
            <w:r>
              <w:rPr>
                <w:sz w:val="24"/>
              </w:rPr>
              <w:t>to</w:t>
            </w:r>
            <w:r>
              <w:rPr>
                <w:spacing w:val="-9"/>
                <w:sz w:val="24"/>
              </w:rPr>
              <w:t> </w:t>
            </w:r>
            <w:r>
              <w:rPr>
                <w:sz w:val="24"/>
              </w:rPr>
              <w:t>areas</w:t>
            </w:r>
            <w:r>
              <w:rPr>
                <w:spacing w:val="-9"/>
                <w:sz w:val="24"/>
              </w:rPr>
              <w:t> </w:t>
            </w:r>
            <w:r>
              <w:rPr>
                <w:sz w:val="24"/>
              </w:rPr>
              <w:t>of innovation</w:t>
            </w:r>
            <w:r>
              <w:rPr>
                <w:spacing w:val="-17"/>
                <w:sz w:val="24"/>
              </w:rPr>
              <w:t> </w:t>
            </w:r>
            <w:r>
              <w:rPr>
                <w:sz w:val="24"/>
              </w:rPr>
              <w:t>and</w:t>
            </w:r>
            <w:r>
              <w:rPr>
                <w:spacing w:val="-17"/>
                <w:sz w:val="24"/>
              </w:rPr>
              <w:t> </w:t>
            </w:r>
            <w:r>
              <w:rPr>
                <w:sz w:val="24"/>
              </w:rPr>
              <w:t>growth,</w:t>
            </w:r>
            <w:r>
              <w:rPr>
                <w:spacing w:val="-16"/>
                <w:sz w:val="24"/>
              </w:rPr>
              <w:t> </w:t>
            </w:r>
            <w:r>
              <w:rPr>
                <w:sz w:val="24"/>
              </w:rPr>
              <w:t>alongside</w:t>
            </w:r>
            <w:r>
              <w:rPr>
                <w:spacing w:val="-17"/>
                <w:sz w:val="24"/>
              </w:rPr>
              <w:t> </w:t>
            </w:r>
            <w:r>
              <w:rPr>
                <w:sz w:val="24"/>
              </w:rPr>
              <w:t>communities</w:t>
            </w:r>
            <w:r>
              <w:rPr>
                <w:spacing w:val="-14"/>
                <w:sz w:val="24"/>
              </w:rPr>
              <w:t> </w:t>
            </w:r>
            <w:r>
              <w:rPr>
                <w:sz w:val="24"/>
              </w:rPr>
              <w:t>facing</w:t>
            </w:r>
            <w:r>
              <w:rPr>
                <w:spacing w:val="-16"/>
                <w:sz w:val="24"/>
              </w:rPr>
              <w:t> </w:t>
            </w:r>
            <w:r>
              <w:rPr>
                <w:sz w:val="24"/>
              </w:rPr>
              <w:t>significant</w:t>
            </w:r>
            <w:r>
              <w:rPr>
                <w:spacing w:val="-17"/>
                <w:sz w:val="24"/>
              </w:rPr>
              <w:t> </w:t>
            </w:r>
            <w:r>
              <w:rPr>
                <w:sz w:val="24"/>
              </w:rPr>
              <w:t>health</w:t>
            </w:r>
            <w:r>
              <w:rPr>
                <w:spacing w:val="-16"/>
                <w:sz w:val="24"/>
              </w:rPr>
              <w:t> </w:t>
            </w:r>
            <w:r>
              <w:rPr>
                <w:sz w:val="24"/>
              </w:rPr>
              <w:t>inequalities</w:t>
            </w:r>
            <w:r>
              <w:rPr>
                <w:spacing w:val="-17"/>
                <w:sz w:val="24"/>
              </w:rPr>
              <w:t> </w:t>
            </w:r>
            <w:r>
              <w:rPr>
                <w:sz w:val="24"/>
              </w:rPr>
              <w:t>and challenges</w:t>
            </w:r>
            <w:r>
              <w:rPr>
                <w:spacing w:val="-17"/>
                <w:sz w:val="24"/>
              </w:rPr>
              <w:t> </w:t>
            </w:r>
            <w:r>
              <w:rPr>
                <w:sz w:val="24"/>
              </w:rPr>
              <w:t>in</w:t>
            </w:r>
            <w:r>
              <w:rPr>
                <w:spacing w:val="-11"/>
                <w:sz w:val="24"/>
              </w:rPr>
              <w:t> </w:t>
            </w:r>
            <w:r>
              <w:rPr>
                <w:sz w:val="24"/>
              </w:rPr>
              <w:t>accessing</w:t>
            </w:r>
            <w:r>
              <w:rPr>
                <w:spacing w:val="-11"/>
                <w:sz w:val="24"/>
              </w:rPr>
              <w:t> </w:t>
            </w:r>
            <w:r>
              <w:rPr>
                <w:sz w:val="24"/>
              </w:rPr>
              <w:t>services.</w:t>
            </w:r>
            <w:r>
              <w:rPr>
                <w:spacing w:val="-14"/>
                <w:sz w:val="24"/>
              </w:rPr>
              <w:t> </w:t>
            </w:r>
            <w:r>
              <w:rPr>
                <w:sz w:val="24"/>
              </w:rPr>
              <w:t>This</w:t>
            </w:r>
            <w:r>
              <w:rPr>
                <w:spacing w:val="-12"/>
                <w:sz w:val="24"/>
              </w:rPr>
              <w:t> </w:t>
            </w:r>
            <w:r>
              <w:rPr>
                <w:sz w:val="24"/>
              </w:rPr>
              <w:t>diversity</w:t>
            </w:r>
            <w:r>
              <w:rPr>
                <w:spacing w:val="-12"/>
                <w:sz w:val="24"/>
              </w:rPr>
              <w:t> </w:t>
            </w:r>
            <w:r>
              <w:rPr>
                <w:sz w:val="24"/>
              </w:rPr>
              <w:t>is</w:t>
            </w:r>
            <w:r>
              <w:rPr>
                <w:spacing w:val="-12"/>
                <w:sz w:val="24"/>
              </w:rPr>
              <w:t> </w:t>
            </w:r>
            <w:r>
              <w:rPr>
                <w:sz w:val="24"/>
              </w:rPr>
              <w:t>one</w:t>
            </w:r>
            <w:r>
              <w:rPr>
                <w:spacing w:val="-11"/>
                <w:sz w:val="24"/>
              </w:rPr>
              <w:t> </w:t>
            </w:r>
            <w:r>
              <w:rPr>
                <w:sz w:val="24"/>
              </w:rPr>
              <w:t>of</w:t>
            </w:r>
            <w:r>
              <w:rPr>
                <w:spacing w:val="-14"/>
                <w:sz w:val="24"/>
              </w:rPr>
              <w:t> </w:t>
            </w:r>
            <w:r>
              <w:rPr>
                <w:sz w:val="24"/>
              </w:rPr>
              <w:t>the</w:t>
            </w:r>
            <w:r>
              <w:rPr>
                <w:spacing w:val="-11"/>
                <w:sz w:val="24"/>
              </w:rPr>
              <w:t> </w:t>
            </w:r>
            <w:r>
              <w:rPr>
                <w:sz w:val="24"/>
              </w:rPr>
              <w:t>region's</w:t>
            </w:r>
            <w:r>
              <w:rPr>
                <w:spacing w:val="-12"/>
                <w:sz w:val="24"/>
              </w:rPr>
              <w:t> </w:t>
            </w:r>
            <w:r>
              <w:rPr>
                <w:sz w:val="24"/>
              </w:rPr>
              <w:t>greatest</w:t>
            </w:r>
            <w:r>
              <w:rPr>
                <w:spacing w:val="-14"/>
                <w:sz w:val="24"/>
              </w:rPr>
              <w:t> </w:t>
            </w:r>
            <w:r>
              <w:rPr>
                <w:sz w:val="24"/>
              </w:rPr>
              <w:t>assets, creating</w:t>
            </w:r>
            <w:r>
              <w:rPr>
                <w:spacing w:val="-13"/>
                <w:sz w:val="24"/>
              </w:rPr>
              <w:t> </w:t>
            </w:r>
            <w:r>
              <w:rPr>
                <w:sz w:val="24"/>
              </w:rPr>
              <w:t>a</w:t>
            </w:r>
            <w:r>
              <w:rPr>
                <w:spacing w:val="-13"/>
                <w:sz w:val="24"/>
              </w:rPr>
              <w:t> </w:t>
            </w:r>
            <w:r>
              <w:rPr>
                <w:sz w:val="24"/>
              </w:rPr>
              <w:t>unique</w:t>
            </w:r>
            <w:r>
              <w:rPr>
                <w:spacing w:val="-13"/>
                <w:sz w:val="24"/>
              </w:rPr>
              <w:t> </w:t>
            </w:r>
            <w:r>
              <w:rPr>
                <w:sz w:val="24"/>
              </w:rPr>
              <w:t>environment</w:t>
            </w:r>
            <w:r>
              <w:rPr>
                <w:spacing w:val="-15"/>
                <w:sz w:val="24"/>
              </w:rPr>
              <w:t> </w:t>
            </w:r>
            <w:r>
              <w:rPr>
                <w:sz w:val="24"/>
              </w:rPr>
              <w:t>in</w:t>
            </w:r>
            <w:r>
              <w:rPr>
                <w:spacing w:val="-13"/>
                <w:sz w:val="24"/>
              </w:rPr>
              <w:t> </w:t>
            </w:r>
            <w:r>
              <w:rPr>
                <w:sz w:val="24"/>
              </w:rPr>
              <w:t>which</w:t>
            </w:r>
            <w:r>
              <w:rPr>
                <w:spacing w:val="-13"/>
                <w:sz w:val="24"/>
              </w:rPr>
              <w:t> </w:t>
            </w:r>
            <w:r>
              <w:rPr>
                <w:sz w:val="24"/>
              </w:rPr>
              <w:t>universities,</w:t>
            </w:r>
            <w:r>
              <w:rPr>
                <w:spacing w:val="-15"/>
                <w:sz w:val="24"/>
              </w:rPr>
              <w:t> </w:t>
            </w:r>
            <w:r>
              <w:rPr>
                <w:sz w:val="24"/>
              </w:rPr>
              <w:t>health</w:t>
            </w:r>
            <w:r>
              <w:rPr>
                <w:spacing w:val="-13"/>
                <w:sz w:val="24"/>
              </w:rPr>
              <w:t> </w:t>
            </w:r>
            <w:r>
              <w:rPr>
                <w:sz w:val="24"/>
              </w:rPr>
              <w:t>systems,</w:t>
            </w:r>
            <w:r>
              <w:rPr>
                <w:spacing w:val="-15"/>
                <w:sz w:val="24"/>
              </w:rPr>
              <w:t> </w:t>
            </w:r>
            <w:r>
              <w:rPr>
                <w:sz w:val="24"/>
              </w:rPr>
              <w:t>industry</w:t>
            </w:r>
            <w:r>
              <w:rPr>
                <w:spacing w:val="-13"/>
                <w:sz w:val="24"/>
              </w:rPr>
              <w:t> </w:t>
            </w:r>
            <w:r>
              <w:rPr>
                <w:sz w:val="24"/>
              </w:rPr>
              <w:t>and communities</w:t>
            </w:r>
            <w:r>
              <w:rPr>
                <w:spacing w:val="-14"/>
                <w:sz w:val="24"/>
              </w:rPr>
              <w:t> </w:t>
            </w:r>
            <w:r>
              <w:rPr>
                <w:sz w:val="24"/>
              </w:rPr>
              <w:t>can</w:t>
            </w:r>
            <w:r>
              <w:rPr>
                <w:spacing w:val="-13"/>
                <w:sz w:val="24"/>
              </w:rPr>
              <w:t> </w:t>
            </w:r>
            <w:r>
              <w:rPr>
                <w:sz w:val="24"/>
              </w:rPr>
              <w:t>work</w:t>
            </w:r>
            <w:r>
              <w:rPr>
                <w:spacing w:val="-14"/>
                <w:sz w:val="24"/>
              </w:rPr>
              <w:t> </w:t>
            </w:r>
            <w:r>
              <w:rPr>
                <w:sz w:val="24"/>
              </w:rPr>
              <w:t>together</w:t>
            </w:r>
            <w:r>
              <w:rPr>
                <w:spacing w:val="-14"/>
                <w:sz w:val="24"/>
              </w:rPr>
              <w:t> </w:t>
            </w:r>
            <w:r>
              <w:rPr>
                <w:sz w:val="24"/>
              </w:rPr>
              <w:t>to</w:t>
            </w:r>
            <w:r>
              <w:rPr>
                <w:spacing w:val="-13"/>
                <w:sz w:val="24"/>
              </w:rPr>
              <w:t> </w:t>
            </w:r>
            <w:r>
              <w:rPr>
                <w:sz w:val="24"/>
              </w:rPr>
              <w:t>improve</w:t>
            </w:r>
            <w:r>
              <w:rPr>
                <w:spacing w:val="-13"/>
                <w:sz w:val="24"/>
              </w:rPr>
              <w:t> </w:t>
            </w:r>
            <w:r>
              <w:rPr>
                <w:sz w:val="24"/>
              </w:rPr>
              <w:t>lives,</w:t>
            </w:r>
            <w:r>
              <w:rPr>
                <w:spacing w:val="-11"/>
                <w:sz w:val="24"/>
              </w:rPr>
              <w:t> </w:t>
            </w:r>
            <w:r>
              <w:rPr>
                <w:sz w:val="24"/>
              </w:rPr>
              <w:t>reduce</w:t>
            </w:r>
            <w:r>
              <w:rPr>
                <w:spacing w:val="-13"/>
                <w:sz w:val="24"/>
              </w:rPr>
              <w:t> </w:t>
            </w:r>
            <w:r>
              <w:rPr>
                <w:sz w:val="24"/>
              </w:rPr>
              <w:t>inequalities</w:t>
            </w:r>
            <w:r>
              <w:rPr>
                <w:spacing w:val="-14"/>
                <w:sz w:val="24"/>
              </w:rPr>
              <w:t> </w:t>
            </w:r>
            <w:r>
              <w:rPr>
                <w:sz w:val="24"/>
              </w:rPr>
              <w:t>and</w:t>
            </w:r>
            <w:r>
              <w:rPr>
                <w:spacing w:val="-13"/>
                <w:sz w:val="24"/>
              </w:rPr>
              <w:t> </w:t>
            </w:r>
            <w:r>
              <w:rPr>
                <w:sz w:val="24"/>
              </w:rPr>
              <w:t>generate sustainable</w:t>
            </w:r>
            <w:r>
              <w:rPr>
                <w:spacing w:val="-15"/>
                <w:sz w:val="24"/>
              </w:rPr>
              <w:t> </w:t>
            </w:r>
            <w:r>
              <w:rPr>
                <w:sz w:val="24"/>
              </w:rPr>
              <w:t>economic</w:t>
            </w:r>
            <w:r>
              <w:rPr>
                <w:spacing w:val="-17"/>
                <w:sz w:val="24"/>
              </w:rPr>
              <w:t> </w:t>
            </w:r>
            <w:r>
              <w:rPr>
                <w:sz w:val="24"/>
              </w:rPr>
              <w:t>growth</w:t>
            </w:r>
            <w:r>
              <w:rPr>
                <w:spacing w:val="-12"/>
                <w:sz w:val="24"/>
              </w:rPr>
              <w:t> </w:t>
            </w:r>
            <w:r>
              <w:rPr>
                <w:sz w:val="24"/>
              </w:rPr>
              <w:t>through</w:t>
            </w:r>
            <w:r>
              <w:rPr>
                <w:spacing w:val="-12"/>
                <w:sz w:val="24"/>
              </w:rPr>
              <w:t> </w:t>
            </w:r>
            <w:r>
              <w:rPr>
                <w:sz w:val="24"/>
              </w:rPr>
              <w:t>research,</w:t>
            </w:r>
            <w:r>
              <w:rPr>
                <w:spacing w:val="-17"/>
                <w:sz w:val="24"/>
              </w:rPr>
              <w:t> </w:t>
            </w:r>
            <w:r>
              <w:rPr>
                <w:sz w:val="24"/>
              </w:rPr>
              <w:t>innovation</w:t>
            </w:r>
            <w:r>
              <w:rPr>
                <w:spacing w:val="-12"/>
                <w:sz w:val="24"/>
              </w:rPr>
              <w:t> </w:t>
            </w:r>
            <w:r>
              <w:rPr>
                <w:sz w:val="24"/>
              </w:rPr>
              <w:t>and</w:t>
            </w:r>
            <w:r>
              <w:rPr>
                <w:spacing w:val="-12"/>
                <w:sz w:val="24"/>
              </w:rPr>
              <w:t> </w:t>
            </w:r>
            <w:r>
              <w:rPr>
                <w:sz w:val="24"/>
              </w:rPr>
              <w:t>life</w:t>
            </w:r>
            <w:r>
              <w:rPr>
                <w:spacing w:val="-8"/>
                <w:sz w:val="24"/>
              </w:rPr>
              <w:t> </w:t>
            </w:r>
            <w:r>
              <w:rPr>
                <w:sz w:val="24"/>
              </w:rPr>
              <w:t>sciences.</w:t>
            </w:r>
          </w:p>
          <w:p>
            <w:pPr>
              <w:pStyle w:val="TableParagraph"/>
              <w:spacing w:before="3"/>
              <w:rPr>
                <w:sz w:val="24"/>
              </w:rPr>
            </w:pPr>
          </w:p>
          <w:p>
            <w:pPr>
              <w:pStyle w:val="TableParagraph"/>
              <w:ind w:left="830"/>
              <w:rPr>
                <w:sz w:val="24"/>
              </w:rPr>
            </w:pPr>
            <w:r>
              <w:rPr>
                <w:spacing w:val="-2"/>
                <w:sz w:val="24"/>
              </w:rPr>
              <w:t>Work</w:t>
            </w:r>
            <w:r>
              <w:rPr>
                <w:spacing w:val="-15"/>
                <w:sz w:val="24"/>
              </w:rPr>
              <w:t> </w:t>
            </w:r>
            <w:r>
              <w:rPr>
                <w:spacing w:val="-2"/>
                <w:sz w:val="24"/>
              </w:rPr>
              <w:t>will</w:t>
            </w:r>
            <w:r>
              <w:rPr>
                <w:spacing w:val="-15"/>
                <w:sz w:val="24"/>
              </w:rPr>
              <w:t> </w:t>
            </w:r>
            <w:r>
              <w:rPr>
                <w:spacing w:val="-2"/>
                <w:sz w:val="24"/>
              </w:rPr>
              <w:t>be</w:t>
            </w:r>
            <w:r>
              <w:rPr>
                <w:spacing w:val="-14"/>
                <w:sz w:val="24"/>
              </w:rPr>
              <w:t> </w:t>
            </w:r>
            <w:r>
              <w:rPr>
                <w:spacing w:val="-2"/>
                <w:sz w:val="24"/>
              </w:rPr>
              <w:t>undertaken</w:t>
            </w:r>
            <w:r>
              <w:rPr>
                <w:spacing w:val="-15"/>
                <w:sz w:val="24"/>
              </w:rPr>
              <w:t> </w:t>
            </w:r>
            <w:r>
              <w:rPr>
                <w:spacing w:val="-2"/>
                <w:sz w:val="24"/>
              </w:rPr>
              <w:t>to</w:t>
            </w:r>
            <w:r>
              <w:rPr>
                <w:spacing w:val="-12"/>
                <w:sz w:val="24"/>
              </w:rPr>
              <w:t> </w:t>
            </w:r>
            <w:r>
              <w:rPr>
                <w:spacing w:val="-2"/>
                <w:sz w:val="24"/>
              </w:rPr>
              <w:t>develop</w:t>
            </w:r>
            <w:r>
              <w:rPr>
                <w:spacing w:val="-13"/>
                <w:sz w:val="24"/>
              </w:rPr>
              <w:t> </w:t>
            </w:r>
            <w:r>
              <w:rPr>
                <w:spacing w:val="-2"/>
                <w:sz w:val="24"/>
              </w:rPr>
              <w:t>a</w:t>
            </w:r>
            <w:r>
              <w:rPr>
                <w:spacing w:val="-13"/>
                <w:sz w:val="24"/>
              </w:rPr>
              <w:t> </w:t>
            </w:r>
            <w:r>
              <w:rPr>
                <w:spacing w:val="-2"/>
                <w:sz w:val="24"/>
              </w:rPr>
              <w:t>regional</w:t>
            </w:r>
            <w:r>
              <w:rPr>
                <w:spacing w:val="-13"/>
                <w:sz w:val="24"/>
              </w:rPr>
              <w:t> </w:t>
            </w:r>
            <w:r>
              <w:rPr>
                <w:spacing w:val="-2"/>
                <w:sz w:val="24"/>
              </w:rPr>
              <w:t>university</w:t>
            </w:r>
            <w:r>
              <w:rPr>
                <w:spacing w:val="-14"/>
                <w:sz w:val="24"/>
              </w:rPr>
              <w:t> </w:t>
            </w:r>
            <w:r>
              <w:rPr>
                <w:spacing w:val="-2"/>
                <w:sz w:val="24"/>
              </w:rPr>
              <w:t>partnership</w:t>
            </w:r>
            <w:r>
              <w:rPr>
                <w:spacing w:val="-13"/>
                <w:sz w:val="24"/>
              </w:rPr>
              <w:t> </w:t>
            </w:r>
            <w:r>
              <w:rPr>
                <w:spacing w:val="-2"/>
                <w:sz w:val="24"/>
              </w:rPr>
              <w:t>framework</w:t>
            </w:r>
            <w:r>
              <w:rPr>
                <w:spacing w:val="-9"/>
                <w:sz w:val="24"/>
              </w:rPr>
              <w:t> </w:t>
            </w:r>
            <w:r>
              <w:rPr>
                <w:spacing w:val="-2"/>
                <w:sz w:val="24"/>
              </w:rPr>
              <w:t>that </w:t>
            </w:r>
            <w:r>
              <w:rPr>
                <w:sz w:val="24"/>
              </w:rPr>
              <w:t>supports</w:t>
            </w:r>
            <w:r>
              <w:rPr>
                <w:spacing w:val="-7"/>
                <w:sz w:val="24"/>
              </w:rPr>
              <w:t> </w:t>
            </w:r>
            <w:r>
              <w:rPr>
                <w:sz w:val="24"/>
              </w:rPr>
              <w:t>the</w:t>
            </w:r>
            <w:r>
              <w:rPr>
                <w:spacing w:val="-11"/>
                <w:sz w:val="24"/>
              </w:rPr>
              <w:t> </w:t>
            </w:r>
            <w:r>
              <w:rPr>
                <w:sz w:val="24"/>
              </w:rPr>
              <w:t>ambitions</w:t>
            </w:r>
            <w:r>
              <w:rPr>
                <w:spacing w:val="-12"/>
                <w:sz w:val="24"/>
              </w:rPr>
              <w:t> </w:t>
            </w:r>
            <w:r>
              <w:rPr>
                <w:sz w:val="24"/>
              </w:rPr>
              <w:t>of</w:t>
            </w:r>
            <w:r>
              <w:rPr>
                <w:spacing w:val="-14"/>
                <w:sz w:val="24"/>
              </w:rPr>
              <w:t> </w:t>
            </w:r>
            <w:r>
              <w:rPr>
                <w:sz w:val="24"/>
              </w:rPr>
              <w:t>South</w:t>
            </w:r>
            <w:r>
              <w:rPr>
                <w:spacing w:val="-6"/>
                <w:sz w:val="24"/>
              </w:rPr>
              <w:t> </w:t>
            </w:r>
            <w:r>
              <w:rPr>
                <w:sz w:val="24"/>
              </w:rPr>
              <w:t>West</w:t>
            </w:r>
            <w:r>
              <w:rPr>
                <w:spacing w:val="-9"/>
                <w:sz w:val="24"/>
              </w:rPr>
              <w:t> </w:t>
            </w:r>
            <w:r>
              <w:rPr>
                <w:sz w:val="24"/>
              </w:rPr>
              <w:t>Wales</w:t>
            </w:r>
            <w:r>
              <w:rPr>
                <w:spacing w:val="-12"/>
                <w:sz w:val="24"/>
              </w:rPr>
              <w:t> </w:t>
            </w:r>
            <w:r>
              <w:rPr>
                <w:sz w:val="24"/>
              </w:rPr>
              <w:t>across</w:t>
            </w:r>
            <w:r>
              <w:rPr>
                <w:spacing w:val="-12"/>
                <w:sz w:val="24"/>
              </w:rPr>
              <w:t> </w:t>
            </w:r>
            <w:r>
              <w:rPr>
                <w:sz w:val="24"/>
              </w:rPr>
              <w:t>research</w:t>
            </w:r>
            <w:r>
              <w:rPr>
                <w:spacing w:val="-11"/>
                <w:sz w:val="24"/>
              </w:rPr>
              <w:t> </w:t>
            </w:r>
            <w:r>
              <w:rPr>
                <w:sz w:val="24"/>
              </w:rPr>
              <w:t>and</w:t>
            </w:r>
            <w:r>
              <w:rPr>
                <w:spacing w:val="-15"/>
                <w:sz w:val="24"/>
              </w:rPr>
              <w:t> </w:t>
            </w:r>
            <w:r>
              <w:rPr>
                <w:sz w:val="24"/>
              </w:rPr>
              <w:t>development, education</w:t>
            </w:r>
            <w:r>
              <w:rPr>
                <w:spacing w:val="-5"/>
                <w:sz w:val="24"/>
              </w:rPr>
              <w:t> </w:t>
            </w:r>
            <w:r>
              <w:rPr>
                <w:sz w:val="24"/>
              </w:rPr>
              <w:t>and</w:t>
            </w:r>
            <w:r>
              <w:rPr>
                <w:spacing w:val="-5"/>
                <w:sz w:val="24"/>
              </w:rPr>
              <w:t> </w:t>
            </w:r>
            <w:r>
              <w:rPr>
                <w:sz w:val="24"/>
              </w:rPr>
              <w:t>learning,</w:t>
            </w:r>
            <w:r>
              <w:rPr>
                <w:spacing w:val="-8"/>
                <w:sz w:val="24"/>
              </w:rPr>
              <w:t> </w:t>
            </w:r>
            <w:r>
              <w:rPr>
                <w:sz w:val="24"/>
              </w:rPr>
              <w:t>and</w:t>
            </w:r>
            <w:r>
              <w:rPr>
                <w:spacing w:val="-5"/>
                <w:sz w:val="24"/>
              </w:rPr>
              <w:t> </w:t>
            </w:r>
            <w:r>
              <w:rPr>
                <w:sz w:val="24"/>
              </w:rPr>
              <w:t>enterprise</w:t>
            </w:r>
            <w:r>
              <w:rPr>
                <w:spacing w:val="-5"/>
                <w:sz w:val="24"/>
              </w:rPr>
              <w:t> </w:t>
            </w:r>
            <w:r>
              <w:rPr>
                <w:sz w:val="24"/>
              </w:rPr>
              <w:t>and</w:t>
            </w:r>
            <w:r>
              <w:rPr>
                <w:spacing w:val="-5"/>
                <w:sz w:val="24"/>
              </w:rPr>
              <w:t> </w:t>
            </w:r>
            <w:r>
              <w:rPr>
                <w:sz w:val="24"/>
              </w:rPr>
              <w:t>innovation.</w:t>
            </w:r>
          </w:p>
          <w:p>
            <w:pPr>
              <w:pStyle w:val="TableParagraph"/>
              <w:spacing w:before="2"/>
              <w:rPr>
                <w:sz w:val="24"/>
              </w:rPr>
            </w:pPr>
          </w:p>
          <w:p>
            <w:pPr>
              <w:pStyle w:val="TableParagraph"/>
              <w:ind w:left="830"/>
              <w:rPr>
                <w:sz w:val="24"/>
              </w:rPr>
            </w:pPr>
            <w:r>
              <w:rPr>
                <w:spacing w:val="-4"/>
                <w:sz w:val="24"/>
              </w:rPr>
              <w:t>The</w:t>
            </w:r>
            <w:r>
              <w:rPr>
                <w:spacing w:val="1"/>
                <w:sz w:val="24"/>
              </w:rPr>
              <w:t> </w:t>
            </w:r>
            <w:r>
              <w:rPr>
                <w:spacing w:val="-4"/>
                <w:sz w:val="24"/>
              </w:rPr>
              <w:t>development</w:t>
            </w:r>
            <w:r>
              <w:rPr>
                <w:spacing w:val="-1"/>
                <w:sz w:val="24"/>
              </w:rPr>
              <w:t> </w:t>
            </w:r>
            <w:r>
              <w:rPr>
                <w:spacing w:val="-4"/>
                <w:sz w:val="24"/>
              </w:rPr>
              <w:t>process</w:t>
            </w:r>
            <w:r>
              <w:rPr>
                <w:spacing w:val="-6"/>
                <w:sz w:val="24"/>
              </w:rPr>
              <w:t> </w:t>
            </w:r>
            <w:r>
              <w:rPr>
                <w:spacing w:val="-4"/>
                <w:sz w:val="24"/>
              </w:rPr>
              <w:t>will</w:t>
            </w:r>
            <w:r>
              <w:rPr>
                <w:spacing w:val="-3"/>
                <w:sz w:val="24"/>
              </w:rPr>
              <w:t> </w:t>
            </w:r>
            <w:r>
              <w:rPr>
                <w:spacing w:val="-4"/>
                <w:sz w:val="24"/>
              </w:rPr>
              <w:t>include:</w:t>
            </w:r>
          </w:p>
        </w:tc>
      </w:tr>
    </w:tbl>
    <w:p>
      <w:pPr>
        <w:spacing w:before="171"/>
        <w:ind w:left="8" w:right="284" w:firstLine="0"/>
        <w:jc w:val="center"/>
        <w:rPr>
          <w:sz w:val="16"/>
        </w:rPr>
      </w:pPr>
      <w:r>
        <w:rPr>
          <w:spacing w:val="-2"/>
          <w:sz w:val="16"/>
        </w:rPr>
        <w:t>Page</w:t>
      </w:r>
      <w:r>
        <w:rPr>
          <w:spacing w:val="-7"/>
          <w:sz w:val="16"/>
        </w:rPr>
        <w:t> </w:t>
      </w:r>
      <w:r>
        <w:rPr>
          <w:spacing w:val="-2"/>
          <w:sz w:val="16"/>
        </w:rPr>
        <w:t>3</w:t>
      </w:r>
      <w:r>
        <w:rPr>
          <w:spacing w:val="-9"/>
          <w:sz w:val="16"/>
        </w:rPr>
        <w:t> </w:t>
      </w:r>
      <w:r>
        <w:rPr>
          <w:spacing w:val="-2"/>
          <w:sz w:val="16"/>
        </w:rPr>
        <w:t>of</w:t>
      </w:r>
      <w:r>
        <w:rPr>
          <w:spacing w:val="-9"/>
          <w:sz w:val="16"/>
        </w:rPr>
        <w:t> </w:t>
      </w:r>
      <w:r>
        <w:rPr>
          <w:spacing w:val="-10"/>
          <w:sz w:val="16"/>
        </w:rPr>
        <w:t>5</w:t>
      </w:r>
    </w:p>
    <w:p>
      <w:pPr>
        <w:spacing w:after="0"/>
        <w:jc w:val="center"/>
        <w:rPr>
          <w:sz w:val="16"/>
        </w:rPr>
        <w:sectPr>
          <w:pgSz w:w="11910" w:h="16840"/>
          <w:pgMar w:header="0" w:footer="149" w:top="220" w:bottom="34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406" name="Image 406"/>
            <wp:cNvGraphicFramePr>
              <a:graphicFrameLocks/>
            </wp:cNvGraphicFramePr>
            <a:graphic>
              <a:graphicData uri="http://schemas.openxmlformats.org/drawingml/2006/picture">
                <pic:pic>
                  <pic:nvPicPr>
                    <pic:cNvPr id="406" name="Image 406"/>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407" name="Image 407"/>
            <wp:cNvGraphicFramePr>
              <a:graphicFrameLocks/>
            </wp:cNvGraphicFramePr>
            <a:graphic>
              <a:graphicData uri="http://schemas.openxmlformats.org/drawingml/2006/picture">
                <pic:pic>
                  <pic:nvPicPr>
                    <pic:cNvPr id="407" name="Image 407"/>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678" w:hRule="atLeast"/>
        </w:trPr>
        <w:tc>
          <w:tcPr>
            <w:tcW w:w="10069" w:type="dxa"/>
          </w:tcPr>
          <w:p>
            <w:pPr>
              <w:pStyle w:val="TableParagraph"/>
              <w:numPr>
                <w:ilvl w:val="0"/>
                <w:numId w:val="33"/>
              </w:numPr>
              <w:tabs>
                <w:tab w:pos="1550" w:val="left" w:leader="none"/>
              </w:tabs>
              <w:spacing w:line="240" w:lineRule="auto" w:before="0" w:after="0"/>
              <w:ind w:left="1550" w:right="168" w:hanging="360"/>
              <w:jc w:val="left"/>
              <w:rPr>
                <w:sz w:val="24"/>
              </w:rPr>
            </w:pPr>
            <w:r>
              <w:rPr>
                <w:spacing w:val="-2"/>
                <w:sz w:val="24"/>
              </w:rPr>
              <w:t>Bilateral</w:t>
            </w:r>
            <w:r>
              <w:rPr>
                <w:spacing w:val="-15"/>
                <w:sz w:val="24"/>
              </w:rPr>
              <w:t> </w:t>
            </w:r>
            <w:r>
              <w:rPr>
                <w:spacing w:val="-2"/>
                <w:sz w:val="24"/>
              </w:rPr>
              <w:t>discussions</w:t>
            </w:r>
            <w:r>
              <w:rPr>
                <w:spacing w:val="-14"/>
                <w:sz w:val="24"/>
              </w:rPr>
              <w:t> </w:t>
            </w:r>
            <w:r>
              <w:rPr>
                <w:spacing w:val="-2"/>
                <w:sz w:val="24"/>
              </w:rPr>
              <w:t>with</w:t>
            </w:r>
            <w:r>
              <w:rPr>
                <w:spacing w:val="-12"/>
                <w:sz w:val="24"/>
              </w:rPr>
              <w:t> </w:t>
            </w:r>
            <w:r>
              <w:rPr>
                <w:spacing w:val="-2"/>
                <w:sz w:val="24"/>
              </w:rPr>
              <w:t>the</w:t>
            </w:r>
            <w:r>
              <w:rPr>
                <w:spacing w:val="-12"/>
                <w:sz w:val="24"/>
              </w:rPr>
              <w:t> </w:t>
            </w:r>
            <w:r>
              <w:rPr>
                <w:spacing w:val="-2"/>
                <w:sz w:val="24"/>
              </w:rPr>
              <w:t>Vice</w:t>
            </w:r>
            <w:r>
              <w:rPr>
                <w:spacing w:val="-12"/>
                <w:sz w:val="24"/>
              </w:rPr>
              <w:t> </w:t>
            </w:r>
            <w:r>
              <w:rPr>
                <w:spacing w:val="-2"/>
                <w:sz w:val="24"/>
              </w:rPr>
              <w:t>Chancellors</w:t>
            </w:r>
            <w:r>
              <w:rPr>
                <w:spacing w:val="-13"/>
                <w:sz w:val="24"/>
              </w:rPr>
              <w:t> </w:t>
            </w:r>
            <w:r>
              <w:rPr>
                <w:spacing w:val="-2"/>
                <w:sz w:val="24"/>
              </w:rPr>
              <w:t>of</w:t>
            </w:r>
            <w:r>
              <w:rPr>
                <w:spacing w:val="-15"/>
                <w:sz w:val="24"/>
              </w:rPr>
              <w:t> </w:t>
            </w:r>
            <w:r>
              <w:rPr>
                <w:spacing w:val="-2"/>
                <w:sz w:val="24"/>
              </w:rPr>
              <w:t>each</w:t>
            </w:r>
            <w:r>
              <w:rPr>
                <w:spacing w:val="-15"/>
                <w:sz w:val="24"/>
              </w:rPr>
              <w:t> </w:t>
            </w:r>
            <w:r>
              <w:rPr>
                <w:spacing w:val="-2"/>
                <w:sz w:val="24"/>
              </w:rPr>
              <w:t>institution</w:t>
            </w:r>
            <w:r>
              <w:rPr>
                <w:spacing w:val="-14"/>
                <w:sz w:val="24"/>
              </w:rPr>
              <w:t> </w:t>
            </w:r>
            <w:r>
              <w:rPr>
                <w:spacing w:val="-2"/>
                <w:sz w:val="24"/>
              </w:rPr>
              <w:t>and</w:t>
            </w:r>
            <w:r>
              <w:rPr>
                <w:spacing w:val="-12"/>
                <w:sz w:val="24"/>
              </w:rPr>
              <w:t> </w:t>
            </w:r>
            <w:r>
              <w:rPr>
                <w:spacing w:val="-2"/>
                <w:sz w:val="24"/>
              </w:rPr>
              <w:t>their</w:t>
            </w:r>
            <w:r>
              <w:rPr>
                <w:spacing w:val="-13"/>
                <w:sz w:val="24"/>
              </w:rPr>
              <w:t> </w:t>
            </w:r>
            <w:r>
              <w:rPr>
                <w:spacing w:val="-2"/>
                <w:sz w:val="24"/>
              </w:rPr>
              <w:t>teams </w:t>
            </w:r>
            <w:r>
              <w:rPr>
                <w:sz w:val="24"/>
              </w:rPr>
              <w:t>to</w:t>
            </w:r>
            <w:r>
              <w:rPr>
                <w:spacing w:val="-11"/>
                <w:sz w:val="24"/>
              </w:rPr>
              <w:t> </w:t>
            </w:r>
            <w:r>
              <w:rPr>
                <w:sz w:val="24"/>
              </w:rPr>
              <w:t>identify</w:t>
            </w:r>
            <w:r>
              <w:rPr>
                <w:spacing w:val="-12"/>
                <w:sz w:val="24"/>
              </w:rPr>
              <w:t> </w:t>
            </w:r>
            <w:r>
              <w:rPr>
                <w:sz w:val="24"/>
              </w:rPr>
              <w:t>shared</w:t>
            </w:r>
            <w:r>
              <w:rPr>
                <w:spacing w:val="-11"/>
                <w:sz w:val="24"/>
              </w:rPr>
              <w:t> </w:t>
            </w:r>
            <w:r>
              <w:rPr>
                <w:sz w:val="24"/>
              </w:rPr>
              <w:t>priorities</w:t>
            </w:r>
            <w:r>
              <w:rPr>
                <w:spacing w:val="-12"/>
                <w:sz w:val="24"/>
              </w:rPr>
              <w:t> </w:t>
            </w:r>
            <w:r>
              <w:rPr>
                <w:sz w:val="24"/>
              </w:rPr>
              <w:t>for</w:t>
            </w:r>
            <w:r>
              <w:rPr>
                <w:spacing w:val="-12"/>
                <w:sz w:val="24"/>
              </w:rPr>
              <w:t> </w:t>
            </w:r>
            <w:r>
              <w:rPr>
                <w:sz w:val="24"/>
              </w:rPr>
              <w:t>future</w:t>
            </w:r>
            <w:r>
              <w:rPr>
                <w:spacing w:val="-11"/>
                <w:sz w:val="24"/>
              </w:rPr>
              <w:t> </w:t>
            </w:r>
            <w:r>
              <w:rPr>
                <w:sz w:val="24"/>
              </w:rPr>
              <w:t>collaboration.</w:t>
            </w:r>
            <w:r>
              <w:rPr>
                <w:spacing w:val="-13"/>
                <w:sz w:val="24"/>
              </w:rPr>
              <w:t> </w:t>
            </w:r>
            <w:r>
              <w:rPr>
                <w:sz w:val="24"/>
              </w:rPr>
              <w:t>As</w:t>
            </w:r>
            <w:r>
              <w:rPr>
                <w:spacing w:val="-12"/>
                <w:sz w:val="24"/>
              </w:rPr>
              <w:t> </w:t>
            </w:r>
            <w:r>
              <w:rPr>
                <w:sz w:val="24"/>
              </w:rPr>
              <w:t>part</w:t>
            </w:r>
            <w:r>
              <w:rPr>
                <w:spacing w:val="-13"/>
                <w:sz w:val="24"/>
              </w:rPr>
              <w:t> </w:t>
            </w:r>
            <w:r>
              <w:rPr>
                <w:sz w:val="24"/>
              </w:rPr>
              <w:t>of</w:t>
            </w:r>
            <w:r>
              <w:rPr>
                <w:spacing w:val="-13"/>
                <w:sz w:val="24"/>
              </w:rPr>
              <w:t> </w:t>
            </w:r>
            <w:r>
              <w:rPr>
                <w:sz w:val="24"/>
              </w:rPr>
              <w:t>this</w:t>
            </w:r>
            <w:r>
              <w:rPr>
                <w:spacing w:val="-12"/>
                <w:sz w:val="24"/>
              </w:rPr>
              <w:t> </w:t>
            </w:r>
            <w:r>
              <w:rPr>
                <w:sz w:val="24"/>
              </w:rPr>
              <w:t>process,</w:t>
            </w:r>
            <w:r>
              <w:rPr>
                <w:spacing w:val="-13"/>
                <w:sz w:val="24"/>
              </w:rPr>
              <w:t> </w:t>
            </w:r>
            <w:r>
              <w:rPr>
                <w:sz w:val="24"/>
              </w:rPr>
              <w:t>each partner's</w:t>
            </w:r>
            <w:r>
              <w:rPr>
                <w:spacing w:val="-16"/>
                <w:sz w:val="24"/>
              </w:rPr>
              <w:t> </w:t>
            </w:r>
            <w:r>
              <w:rPr>
                <w:sz w:val="24"/>
              </w:rPr>
              <w:t>capabilities,</w:t>
            </w:r>
            <w:r>
              <w:rPr>
                <w:spacing w:val="-17"/>
                <w:sz w:val="24"/>
              </w:rPr>
              <w:t> </w:t>
            </w:r>
            <w:r>
              <w:rPr>
                <w:sz w:val="24"/>
              </w:rPr>
              <w:t>priorities</w:t>
            </w:r>
            <w:r>
              <w:rPr>
                <w:spacing w:val="-13"/>
                <w:sz w:val="24"/>
              </w:rPr>
              <w:t> </w:t>
            </w:r>
            <w:r>
              <w:rPr>
                <w:sz w:val="24"/>
              </w:rPr>
              <w:t>and</w:t>
            </w:r>
            <w:r>
              <w:rPr>
                <w:spacing w:val="-13"/>
                <w:sz w:val="24"/>
              </w:rPr>
              <w:t> </w:t>
            </w:r>
            <w:r>
              <w:rPr>
                <w:sz w:val="24"/>
              </w:rPr>
              <w:t>strategic</w:t>
            </w:r>
            <w:r>
              <w:rPr>
                <w:spacing w:val="-14"/>
                <w:sz w:val="24"/>
              </w:rPr>
              <w:t> </w:t>
            </w:r>
            <w:r>
              <w:rPr>
                <w:sz w:val="24"/>
              </w:rPr>
              <w:t>ambitions</w:t>
            </w:r>
            <w:r>
              <w:rPr>
                <w:spacing w:val="-14"/>
                <w:sz w:val="24"/>
              </w:rPr>
              <w:t> </w:t>
            </w:r>
            <w:r>
              <w:rPr>
                <w:sz w:val="24"/>
              </w:rPr>
              <w:t>across</w:t>
            </w:r>
            <w:r>
              <w:rPr>
                <w:spacing w:val="-14"/>
                <w:sz w:val="24"/>
              </w:rPr>
              <w:t> </w:t>
            </w:r>
            <w:r>
              <w:rPr>
                <w:sz w:val="24"/>
              </w:rPr>
              <w:t>research</w:t>
            </w:r>
            <w:r>
              <w:rPr>
                <w:spacing w:val="-17"/>
                <w:sz w:val="24"/>
              </w:rPr>
              <w:t> </w:t>
            </w:r>
            <w:r>
              <w:rPr>
                <w:sz w:val="24"/>
              </w:rPr>
              <w:t>and development,</w:t>
            </w:r>
            <w:r>
              <w:rPr>
                <w:spacing w:val="-13"/>
                <w:sz w:val="24"/>
              </w:rPr>
              <w:t> </w:t>
            </w:r>
            <w:r>
              <w:rPr>
                <w:sz w:val="24"/>
              </w:rPr>
              <w:t>education</w:t>
            </w:r>
            <w:r>
              <w:rPr>
                <w:spacing w:val="-15"/>
                <w:sz w:val="24"/>
              </w:rPr>
              <w:t> </w:t>
            </w:r>
            <w:r>
              <w:rPr>
                <w:sz w:val="24"/>
              </w:rPr>
              <w:t>and</w:t>
            </w:r>
            <w:r>
              <w:rPr>
                <w:spacing w:val="-15"/>
                <w:sz w:val="24"/>
              </w:rPr>
              <w:t> </w:t>
            </w:r>
            <w:r>
              <w:rPr>
                <w:sz w:val="24"/>
              </w:rPr>
              <w:t>learning,</w:t>
            </w:r>
            <w:r>
              <w:rPr>
                <w:spacing w:val="-13"/>
                <w:sz w:val="24"/>
              </w:rPr>
              <w:t> </w:t>
            </w:r>
            <w:r>
              <w:rPr>
                <w:sz w:val="24"/>
              </w:rPr>
              <w:t>and</w:t>
            </w:r>
            <w:r>
              <w:rPr>
                <w:spacing w:val="-10"/>
                <w:sz w:val="24"/>
              </w:rPr>
              <w:t> </w:t>
            </w:r>
            <w:r>
              <w:rPr>
                <w:sz w:val="24"/>
              </w:rPr>
              <w:t>enterprise</w:t>
            </w:r>
            <w:r>
              <w:rPr>
                <w:spacing w:val="-10"/>
                <w:sz w:val="24"/>
              </w:rPr>
              <w:t> </w:t>
            </w:r>
            <w:r>
              <w:rPr>
                <w:sz w:val="24"/>
              </w:rPr>
              <w:t>and</w:t>
            </w:r>
            <w:r>
              <w:rPr>
                <w:spacing w:val="-10"/>
                <w:sz w:val="24"/>
              </w:rPr>
              <w:t> </w:t>
            </w:r>
            <w:r>
              <w:rPr>
                <w:sz w:val="24"/>
              </w:rPr>
              <w:t>innovation</w:t>
            </w:r>
            <w:r>
              <w:rPr>
                <w:spacing w:val="-15"/>
                <w:sz w:val="24"/>
              </w:rPr>
              <w:t> </w:t>
            </w:r>
            <w:r>
              <w:rPr>
                <w:sz w:val="24"/>
              </w:rPr>
              <w:t>will</w:t>
            </w:r>
            <w:r>
              <w:rPr>
                <w:spacing w:val="-15"/>
                <w:sz w:val="24"/>
              </w:rPr>
              <w:t> </w:t>
            </w:r>
            <w:r>
              <w:rPr>
                <w:sz w:val="24"/>
              </w:rPr>
              <w:t>be explored</w:t>
            </w:r>
            <w:r>
              <w:rPr>
                <w:spacing w:val="-9"/>
                <w:sz w:val="24"/>
              </w:rPr>
              <w:t> </w:t>
            </w:r>
            <w:r>
              <w:rPr>
                <w:sz w:val="24"/>
              </w:rPr>
              <w:t>to</w:t>
            </w:r>
            <w:r>
              <w:rPr>
                <w:spacing w:val="-13"/>
                <w:sz w:val="24"/>
              </w:rPr>
              <w:t> </w:t>
            </w:r>
            <w:r>
              <w:rPr>
                <w:sz w:val="24"/>
              </w:rPr>
              <w:t>identify</w:t>
            </w:r>
            <w:r>
              <w:rPr>
                <w:spacing w:val="-14"/>
                <w:sz w:val="24"/>
              </w:rPr>
              <w:t> </w:t>
            </w:r>
            <w:r>
              <w:rPr>
                <w:sz w:val="24"/>
              </w:rPr>
              <w:t>opportunities</w:t>
            </w:r>
            <w:r>
              <w:rPr>
                <w:spacing w:val="-14"/>
                <w:sz w:val="24"/>
              </w:rPr>
              <w:t> </w:t>
            </w:r>
            <w:r>
              <w:rPr>
                <w:sz w:val="24"/>
              </w:rPr>
              <w:t>for</w:t>
            </w:r>
            <w:r>
              <w:rPr>
                <w:spacing w:val="-14"/>
                <w:sz w:val="24"/>
              </w:rPr>
              <w:t> </w:t>
            </w:r>
            <w:r>
              <w:rPr>
                <w:sz w:val="24"/>
              </w:rPr>
              <w:t>greater</w:t>
            </w:r>
            <w:r>
              <w:rPr>
                <w:spacing w:val="-14"/>
                <w:sz w:val="24"/>
              </w:rPr>
              <w:t> </w:t>
            </w:r>
            <w:r>
              <w:rPr>
                <w:sz w:val="24"/>
              </w:rPr>
              <w:t>alignment</w:t>
            </w:r>
            <w:r>
              <w:rPr>
                <w:spacing w:val="-16"/>
                <w:sz w:val="24"/>
              </w:rPr>
              <w:t> </w:t>
            </w:r>
            <w:r>
              <w:rPr>
                <w:sz w:val="24"/>
              </w:rPr>
              <w:t>and</w:t>
            </w:r>
            <w:r>
              <w:rPr>
                <w:spacing w:val="-13"/>
                <w:sz w:val="24"/>
              </w:rPr>
              <w:t> </w:t>
            </w:r>
            <w:r>
              <w:rPr>
                <w:sz w:val="24"/>
              </w:rPr>
              <w:t>collective</w:t>
            </w:r>
            <w:r>
              <w:rPr>
                <w:spacing w:val="-13"/>
                <w:sz w:val="24"/>
              </w:rPr>
              <w:t> </w:t>
            </w:r>
            <w:r>
              <w:rPr>
                <w:sz w:val="24"/>
              </w:rPr>
              <w:t>impact.</w:t>
            </w:r>
          </w:p>
          <w:p>
            <w:pPr>
              <w:pStyle w:val="TableParagraph"/>
              <w:numPr>
                <w:ilvl w:val="0"/>
                <w:numId w:val="33"/>
              </w:numPr>
              <w:tabs>
                <w:tab w:pos="1550" w:val="left" w:leader="none"/>
              </w:tabs>
              <w:spacing w:line="240" w:lineRule="auto" w:before="0" w:after="0"/>
              <w:ind w:left="1550" w:right="154" w:hanging="360"/>
              <w:jc w:val="left"/>
              <w:rPr>
                <w:sz w:val="24"/>
              </w:rPr>
            </w:pPr>
            <w:r>
              <w:rPr>
                <w:sz w:val="24"/>
              </w:rPr>
              <w:t>Identifying</w:t>
            </w:r>
            <w:r>
              <w:rPr>
                <w:spacing w:val="-12"/>
                <w:sz w:val="24"/>
              </w:rPr>
              <w:t> </w:t>
            </w:r>
            <w:r>
              <w:rPr>
                <w:sz w:val="24"/>
              </w:rPr>
              <w:t>one</w:t>
            </w:r>
            <w:r>
              <w:rPr>
                <w:spacing w:val="-12"/>
                <w:sz w:val="24"/>
              </w:rPr>
              <w:t> </w:t>
            </w:r>
            <w:r>
              <w:rPr>
                <w:sz w:val="24"/>
              </w:rPr>
              <w:t>or</w:t>
            </w:r>
            <w:r>
              <w:rPr>
                <w:spacing w:val="-8"/>
                <w:sz w:val="24"/>
              </w:rPr>
              <w:t> </w:t>
            </w:r>
            <w:r>
              <w:rPr>
                <w:sz w:val="24"/>
              </w:rPr>
              <w:t>two</w:t>
            </w:r>
            <w:r>
              <w:rPr>
                <w:spacing w:val="-12"/>
                <w:sz w:val="24"/>
              </w:rPr>
              <w:t> </w:t>
            </w:r>
            <w:r>
              <w:rPr>
                <w:sz w:val="24"/>
              </w:rPr>
              <w:t>areas</w:t>
            </w:r>
            <w:r>
              <w:rPr>
                <w:spacing w:val="-13"/>
                <w:sz w:val="24"/>
              </w:rPr>
              <w:t> </w:t>
            </w:r>
            <w:r>
              <w:rPr>
                <w:sz w:val="24"/>
              </w:rPr>
              <w:t>where</w:t>
            </w:r>
            <w:r>
              <w:rPr>
                <w:spacing w:val="-9"/>
                <w:sz w:val="24"/>
              </w:rPr>
              <w:t> </w:t>
            </w:r>
            <w:r>
              <w:rPr>
                <w:sz w:val="24"/>
              </w:rPr>
              <w:t>bringing</w:t>
            </w:r>
            <w:r>
              <w:rPr>
                <w:spacing w:val="-7"/>
                <w:sz w:val="24"/>
              </w:rPr>
              <w:t> </w:t>
            </w:r>
            <w:r>
              <w:rPr>
                <w:sz w:val="24"/>
              </w:rPr>
              <w:t>together</w:t>
            </w:r>
            <w:r>
              <w:rPr>
                <w:spacing w:val="-13"/>
                <w:sz w:val="24"/>
              </w:rPr>
              <w:t> </w:t>
            </w:r>
            <w:r>
              <w:rPr>
                <w:sz w:val="24"/>
              </w:rPr>
              <w:t>three</w:t>
            </w:r>
            <w:r>
              <w:rPr>
                <w:spacing w:val="-12"/>
                <w:sz w:val="24"/>
              </w:rPr>
              <w:t> </w:t>
            </w:r>
            <w:r>
              <w:rPr>
                <w:sz w:val="24"/>
              </w:rPr>
              <w:t>universities</w:t>
            </w:r>
            <w:r>
              <w:rPr>
                <w:spacing w:val="-13"/>
                <w:sz w:val="24"/>
              </w:rPr>
              <w:t> </w:t>
            </w:r>
            <w:r>
              <w:rPr>
                <w:sz w:val="24"/>
              </w:rPr>
              <w:t>and</w:t>
            </w:r>
            <w:r>
              <w:rPr>
                <w:spacing w:val="-7"/>
                <w:sz w:val="24"/>
              </w:rPr>
              <w:t> </w:t>
            </w:r>
            <w:r>
              <w:rPr>
                <w:sz w:val="24"/>
              </w:rPr>
              <w:t>two health</w:t>
            </w:r>
            <w:r>
              <w:rPr>
                <w:spacing w:val="-9"/>
                <w:sz w:val="24"/>
              </w:rPr>
              <w:t> </w:t>
            </w:r>
            <w:r>
              <w:rPr>
                <w:sz w:val="24"/>
              </w:rPr>
              <w:t>boards</w:t>
            </w:r>
            <w:r>
              <w:rPr>
                <w:spacing w:val="-10"/>
                <w:sz w:val="24"/>
              </w:rPr>
              <w:t> </w:t>
            </w:r>
            <w:r>
              <w:rPr>
                <w:sz w:val="24"/>
              </w:rPr>
              <w:t>is</w:t>
            </w:r>
            <w:r>
              <w:rPr>
                <w:spacing w:val="-10"/>
                <w:sz w:val="24"/>
              </w:rPr>
              <w:t> </w:t>
            </w:r>
            <w:r>
              <w:rPr>
                <w:sz w:val="24"/>
              </w:rPr>
              <w:t>likely</w:t>
            </w:r>
            <w:r>
              <w:rPr>
                <w:spacing w:val="-5"/>
                <w:sz w:val="24"/>
              </w:rPr>
              <w:t> </w:t>
            </w:r>
            <w:r>
              <w:rPr>
                <w:sz w:val="24"/>
              </w:rPr>
              <w:t>to</w:t>
            </w:r>
            <w:r>
              <w:rPr>
                <w:spacing w:val="-9"/>
                <w:sz w:val="24"/>
              </w:rPr>
              <w:t> </w:t>
            </w:r>
            <w:r>
              <w:rPr>
                <w:sz w:val="24"/>
              </w:rPr>
              <w:t>deliver</w:t>
            </w:r>
            <w:r>
              <w:rPr>
                <w:spacing w:val="-14"/>
                <w:sz w:val="24"/>
              </w:rPr>
              <w:t> </w:t>
            </w:r>
            <w:r>
              <w:rPr>
                <w:sz w:val="24"/>
              </w:rPr>
              <w:t>greater</w:t>
            </w:r>
            <w:r>
              <w:rPr>
                <w:spacing w:val="-10"/>
                <w:sz w:val="24"/>
              </w:rPr>
              <w:t> </w:t>
            </w:r>
            <w:r>
              <w:rPr>
                <w:sz w:val="24"/>
              </w:rPr>
              <w:t>benefit</w:t>
            </w:r>
            <w:r>
              <w:rPr>
                <w:spacing w:val="-11"/>
                <w:sz w:val="24"/>
              </w:rPr>
              <w:t> </w:t>
            </w:r>
            <w:r>
              <w:rPr>
                <w:sz w:val="24"/>
              </w:rPr>
              <w:t>than</w:t>
            </w:r>
            <w:r>
              <w:rPr>
                <w:spacing w:val="-13"/>
                <w:sz w:val="24"/>
              </w:rPr>
              <w:t> </w:t>
            </w:r>
            <w:r>
              <w:rPr>
                <w:sz w:val="24"/>
              </w:rPr>
              <w:t>could</w:t>
            </w:r>
            <w:r>
              <w:rPr>
                <w:spacing w:val="-9"/>
                <w:sz w:val="24"/>
              </w:rPr>
              <w:t> </w:t>
            </w:r>
            <w:r>
              <w:rPr>
                <w:sz w:val="24"/>
              </w:rPr>
              <w:t>be</w:t>
            </w:r>
            <w:r>
              <w:rPr>
                <w:spacing w:val="-13"/>
                <w:sz w:val="24"/>
              </w:rPr>
              <w:t> </w:t>
            </w:r>
            <w:r>
              <w:rPr>
                <w:sz w:val="24"/>
              </w:rPr>
              <w:t>achieved</w:t>
            </w:r>
            <w:r>
              <w:rPr>
                <w:spacing w:val="-9"/>
                <w:sz w:val="24"/>
              </w:rPr>
              <w:t> </w:t>
            </w:r>
            <w:r>
              <w:rPr>
                <w:sz w:val="24"/>
              </w:rPr>
              <w:t>by</w:t>
            </w:r>
            <w:r>
              <w:rPr>
                <w:spacing w:val="-10"/>
                <w:sz w:val="24"/>
              </w:rPr>
              <w:t> </w:t>
            </w:r>
            <w:r>
              <w:rPr>
                <w:sz w:val="24"/>
              </w:rPr>
              <w:t>any </w:t>
            </w:r>
            <w:r>
              <w:rPr>
                <w:spacing w:val="-2"/>
                <w:sz w:val="24"/>
              </w:rPr>
              <w:t>organisation</w:t>
            </w:r>
            <w:r>
              <w:rPr>
                <w:spacing w:val="-15"/>
                <w:sz w:val="24"/>
              </w:rPr>
              <w:t> </w:t>
            </w:r>
            <w:r>
              <w:rPr>
                <w:spacing w:val="-2"/>
                <w:sz w:val="24"/>
              </w:rPr>
              <w:t>working</w:t>
            </w:r>
            <w:r>
              <w:rPr>
                <w:spacing w:val="-14"/>
                <w:sz w:val="24"/>
              </w:rPr>
              <w:t> </w:t>
            </w:r>
            <w:r>
              <w:rPr>
                <w:spacing w:val="-2"/>
                <w:sz w:val="24"/>
              </w:rPr>
              <w:t>in</w:t>
            </w:r>
            <w:r>
              <w:rPr>
                <w:spacing w:val="-12"/>
                <w:sz w:val="24"/>
              </w:rPr>
              <w:t> </w:t>
            </w:r>
            <w:r>
              <w:rPr>
                <w:spacing w:val="-2"/>
                <w:sz w:val="24"/>
              </w:rPr>
              <w:t>isolation.</w:t>
            </w:r>
            <w:r>
              <w:rPr>
                <w:spacing w:val="-10"/>
                <w:sz w:val="24"/>
              </w:rPr>
              <w:t> </w:t>
            </w:r>
            <w:r>
              <w:rPr>
                <w:spacing w:val="-2"/>
                <w:sz w:val="24"/>
              </w:rPr>
              <w:t>Whilst</w:t>
            </w:r>
            <w:r>
              <w:rPr>
                <w:spacing w:val="-10"/>
                <w:sz w:val="24"/>
              </w:rPr>
              <w:t> </w:t>
            </w:r>
            <w:r>
              <w:rPr>
                <w:spacing w:val="-2"/>
                <w:sz w:val="24"/>
              </w:rPr>
              <w:t>the</w:t>
            </w:r>
            <w:r>
              <w:rPr>
                <w:spacing w:val="-12"/>
                <w:sz w:val="24"/>
              </w:rPr>
              <w:t> </w:t>
            </w:r>
            <w:r>
              <w:rPr>
                <w:spacing w:val="-2"/>
                <w:sz w:val="24"/>
              </w:rPr>
              <w:t>starting</w:t>
            </w:r>
            <w:r>
              <w:rPr>
                <w:spacing w:val="-15"/>
                <w:sz w:val="24"/>
              </w:rPr>
              <w:t> </w:t>
            </w:r>
            <w:r>
              <w:rPr>
                <w:spacing w:val="-2"/>
                <w:sz w:val="24"/>
              </w:rPr>
              <w:t>point</w:t>
            </w:r>
            <w:r>
              <w:rPr>
                <w:spacing w:val="-14"/>
                <w:sz w:val="24"/>
              </w:rPr>
              <w:t> </w:t>
            </w:r>
            <w:r>
              <w:rPr>
                <w:spacing w:val="-2"/>
                <w:sz w:val="24"/>
              </w:rPr>
              <w:t>may</w:t>
            </w:r>
            <w:r>
              <w:rPr>
                <w:spacing w:val="-15"/>
                <w:sz w:val="24"/>
              </w:rPr>
              <w:t> </w:t>
            </w:r>
            <w:r>
              <w:rPr>
                <w:spacing w:val="-2"/>
                <w:sz w:val="24"/>
              </w:rPr>
              <w:t>be</w:t>
            </w:r>
            <w:r>
              <w:rPr>
                <w:spacing w:val="-15"/>
                <w:sz w:val="24"/>
              </w:rPr>
              <w:t> </w:t>
            </w:r>
            <w:r>
              <w:rPr>
                <w:spacing w:val="-2"/>
                <w:sz w:val="24"/>
              </w:rPr>
              <w:t>a</w:t>
            </w:r>
            <w:r>
              <w:rPr>
                <w:spacing w:val="-7"/>
                <w:sz w:val="24"/>
              </w:rPr>
              <w:t> </w:t>
            </w:r>
            <w:r>
              <w:rPr>
                <w:spacing w:val="-2"/>
                <w:sz w:val="24"/>
              </w:rPr>
              <w:t>shared</w:t>
            </w:r>
            <w:r>
              <w:rPr>
                <w:spacing w:val="-12"/>
                <w:sz w:val="24"/>
              </w:rPr>
              <w:t> </w:t>
            </w:r>
            <w:r>
              <w:rPr>
                <w:spacing w:val="-2"/>
                <w:sz w:val="24"/>
              </w:rPr>
              <w:t>health </w:t>
            </w:r>
            <w:r>
              <w:rPr>
                <w:sz w:val="24"/>
              </w:rPr>
              <w:t>challenge,</w:t>
            </w:r>
            <w:r>
              <w:rPr>
                <w:spacing w:val="-13"/>
                <w:sz w:val="24"/>
              </w:rPr>
              <w:t> </w:t>
            </w:r>
            <w:r>
              <w:rPr>
                <w:sz w:val="24"/>
              </w:rPr>
              <w:t>such</w:t>
            </w:r>
            <w:r>
              <w:rPr>
                <w:spacing w:val="-15"/>
                <w:sz w:val="24"/>
              </w:rPr>
              <w:t> </w:t>
            </w:r>
            <w:r>
              <w:rPr>
                <w:sz w:val="24"/>
              </w:rPr>
              <w:t>as</w:t>
            </w:r>
            <w:r>
              <w:rPr>
                <w:spacing w:val="-11"/>
                <w:sz w:val="24"/>
              </w:rPr>
              <w:t> </w:t>
            </w:r>
            <w:r>
              <w:rPr>
                <w:sz w:val="24"/>
              </w:rPr>
              <w:t>improving</w:t>
            </w:r>
            <w:r>
              <w:rPr>
                <w:spacing w:val="-10"/>
                <w:sz w:val="24"/>
              </w:rPr>
              <w:t> </w:t>
            </w:r>
            <w:r>
              <w:rPr>
                <w:sz w:val="24"/>
              </w:rPr>
              <w:t>cancer</w:t>
            </w:r>
            <w:r>
              <w:rPr>
                <w:spacing w:val="-11"/>
                <w:sz w:val="24"/>
              </w:rPr>
              <w:t> </w:t>
            </w:r>
            <w:r>
              <w:rPr>
                <w:sz w:val="24"/>
              </w:rPr>
              <w:t>outcomes</w:t>
            </w:r>
            <w:r>
              <w:rPr>
                <w:spacing w:val="-9"/>
                <w:sz w:val="24"/>
              </w:rPr>
              <w:t> </w:t>
            </w:r>
            <w:r>
              <w:rPr>
                <w:sz w:val="24"/>
              </w:rPr>
              <w:t>or</w:t>
            </w:r>
            <w:r>
              <w:rPr>
                <w:spacing w:val="-11"/>
                <w:sz w:val="24"/>
              </w:rPr>
              <w:t> </w:t>
            </w:r>
            <w:r>
              <w:rPr>
                <w:sz w:val="24"/>
              </w:rPr>
              <w:t>cardiovascular</w:t>
            </w:r>
            <w:r>
              <w:rPr>
                <w:spacing w:val="-11"/>
                <w:sz w:val="24"/>
              </w:rPr>
              <w:t> </w:t>
            </w:r>
            <w:r>
              <w:rPr>
                <w:sz w:val="24"/>
              </w:rPr>
              <w:t>health,</w:t>
            </w:r>
            <w:r>
              <w:rPr>
                <w:spacing w:val="-13"/>
                <w:sz w:val="24"/>
              </w:rPr>
              <w:t> </w:t>
            </w:r>
            <w:r>
              <w:rPr>
                <w:sz w:val="24"/>
              </w:rPr>
              <w:t>the intention</w:t>
            </w:r>
            <w:r>
              <w:rPr>
                <w:spacing w:val="-10"/>
                <w:sz w:val="24"/>
              </w:rPr>
              <w:t> </w:t>
            </w:r>
            <w:r>
              <w:rPr>
                <w:sz w:val="24"/>
              </w:rPr>
              <w:t>will</w:t>
            </w:r>
            <w:r>
              <w:rPr>
                <w:spacing w:val="-10"/>
                <w:sz w:val="24"/>
              </w:rPr>
              <w:t> </w:t>
            </w:r>
            <w:r>
              <w:rPr>
                <w:sz w:val="24"/>
              </w:rPr>
              <w:t>be</w:t>
            </w:r>
            <w:r>
              <w:rPr>
                <w:spacing w:val="-10"/>
                <w:sz w:val="24"/>
              </w:rPr>
              <w:t> </w:t>
            </w:r>
            <w:r>
              <w:rPr>
                <w:sz w:val="24"/>
              </w:rPr>
              <w:t>to</w:t>
            </w:r>
            <w:r>
              <w:rPr>
                <w:spacing w:val="-15"/>
                <w:sz w:val="24"/>
              </w:rPr>
              <w:t> </w:t>
            </w:r>
            <w:r>
              <w:rPr>
                <w:sz w:val="24"/>
              </w:rPr>
              <w:t>develop</w:t>
            </w:r>
            <w:r>
              <w:rPr>
                <w:spacing w:val="-10"/>
                <w:sz w:val="24"/>
              </w:rPr>
              <w:t> </w:t>
            </w:r>
            <w:r>
              <w:rPr>
                <w:sz w:val="24"/>
              </w:rPr>
              <w:t>whole-system</w:t>
            </w:r>
            <w:r>
              <w:rPr>
                <w:spacing w:val="-11"/>
                <w:sz w:val="24"/>
              </w:rPr>
              <w:t> </w:t>
            </w:r>
            <w:r>
              <w:rPr>
                <w:sz w:val="24"/>
              </w:rPr>
              <w:t>approaches</w:t>
            </w:r>
            <w:r>
              <w:rPr>
                <w:spacing w:val="-11"/>
                <w:sz w:val="24"/>
              </w:rPr>
              <w:t> </w:t>
            </w:r>
            <w:r>
              <w:rPr>
                <w:sz w:val="24"/>
              </w:rPr>
              <w:t>spanning</w:t>
            </w:r>
            <w:r>
              <w:rPr>
                <w:spacing w:val="-10"/>
                <w:sz w:val="24"/>
              </w:rPr>
              <w:t> </w:t>
            </w:r>
            <w:r>
              <w:rPr>
                <w:sz w:val="24"/>
              </w:rPr>
              <w:t>research. education,</w:t>
            </w:r>
            <w:r>
              <w:rPr>
                <w:spacing w:val="-17"/>
                <w:sz w:val="24"/>
              </w:rPr>
              <w:t> </w:t>
            </w:r>
            <w:r>
              <w:rPr>
                <w:sz w:val="24"/>
              </w:rPr>
              <w:t>innovation,</w:t>
            </w:r>
            <w:r>
              <w:rPr>
                <w:spacing w:val="-16"/>
                <w:sz w:val="24"/>
              </w:rPr>
              <w:t> </w:t>
            </w:r>
            <w:r>
              <w:rPr>
                <w:sz w:val="24"/>
              </w:rPr>
              <w:t>workforce</w:t>
            </w:r>
            <w:r>
              <w:rPr>
                <w:spacing w:val="-12"/>
                <w:sz w:val="24"/>
              </w:rPr>
              <w:t> </w:t>
            </w:r>
            <w:r>
              <w:rPr>
                <w:sz w:val="24"/>
              </w:rPr>
              <w:t>development</w:t>
            </w:r>
            <w:r>
              <w:rPr>
                <w:spacing w:val="-15"/>
                <w:sz w:val="24"/>
              </w:rPr>
              <w:t> </w:t>
            </w:r>
            <w:r>
              <w:rPr>
                <w:sz w:val="24"/>
              </w:rPr>
              <w:t>and</w:t>
            </w:r>
            <w:r>
              <w:rPr>
                <w:spacing w:val="-16"/>
                <w:sz w:val="24"/>
              </w:rPr>
              <w:t> </w:t>
            </w:r>
            <w:r>
              <w:rPr>
                <w:sz w:val="24"/>
              </w:rPr>
              <w:t>wider</w:t>
            </w:r>
            <w:r>
              <w:rPr>
                <w:spacing w:val="-13"/>
                <w:sz w:val="24"/>
              </w:rPr>
              <w:t> </w:t>
            </w:r>
            <w:r>
              <w:rPr>
                <w:sz w:val="24"/>
              </w:rPr>
              <w:t>societal</w:t>
            </w:r>
            <w:r>
              <w:rPr>
                <w:spacing w:val="-12"/>
                <w:sz w:val="24"/>
              </w:rPr>
              <w:t> </w:t>
            </w:r>
            <w:r>
              <w:rPr>
                <w:sz w:val="24"/>
              </w:rPr>
              <w:t>outcomes.</w:t>
            </w:r>
          </w:p>
          <w:p>
            <w:pPr>
              <w:pStyle w:val="TableParagraph"/>
              <w:numPr>
                <w:ilvl w:val="0"/>
                <w:numId w:val="33"/>
              </w:numPr>
              <w:tabs>
                <w:tab w:pos="1550" w:val="left" w:leader="none"/>
              </w:tabs>
              <w:spacing w:line="240" w:lineRule="auto" w:before="0" w:after="0"/>
              <w:ind w:left="1550" w:right="104" w:hanging="360"/>
              <w:jc w:val="both"/>
              <w:rPr>
                <w:sz w:val="24"/>
              </w:rPr>
            </w:pPr>
            <w:r>
              <w:rPr>
                <w:spacing w:val="-2"/>
                <w:sz w:val="24"/>
              </w:rPr>
              <w:t>Identifying</w:t>
            </w:r>
            <w:r>
              <w:rPr>
                <w:spacing w:val="-15"/>
                <w:sz w:val="24"/>
              </w:rPr>
              <w:t> </w:t>
            </w:r>
            <w:r>
              <w:rPr>
                <w:spacing w:val="-2"/>
                <w:sz w:val="24"/>
              </w:rPr>
              <w:t>opportunities</w:t>
            </w:r>
            <w:r>
              <w:rPr>
                <w:spacing w:val="-15"/>
                <w:sz w:val="24"/>
              </w:rPr>
              <w:t> </w:t>
            </w:r>
            <w:r>
              <w:rPr>
                <w:spacing w:val="-2"/>
                <w:sz w:val="24"/>
              </w:rPr>
              <w:t>to</w:t>
            </w:r>
            <w:r>
              <w:rPr>
                <w:spacing w:val="-14"/>
                <w:sz w:val="24"/>
              </w:rPr>
              <w:t> </w:t>
            </w:r>
            <w:r>
              <w:rPr>
                <w:spacing w:val="-2"/>
                <w:sz w:val="24"/>
              </w:rPr>
              <w:t>strengthen</w:t>
            </w:r>
            <w:r>
              <w:rPr>
                <w:spacing w:val="-15"/>
                <w:sz w:val="24"/>
              </w:rPr>
              <w:t> </w:t>
            </w:r>
            <w:r>
              <w:rPr>
                <w:spacing w:val="-2"/>
                <w:sz w:val="24"/>
              </w:rPr>
              <w:t>alignment</w:t>
            </w:r>
            <w:r>
              <w:rPr>
                <w:spacing w:val="-15"/>
                <w:sz w:val="24"/>
              </w:rPr>
              <w:t> </w:t>
            </w:r>
            <w:r>
              <w:rPr>
                <w:spacing w:val="-2"/>
                <w:sz w:val="24"/>
              </w:rPr>
              <w:t>between</w:t>
            </w:r>
            <w:r>
              <w:rPr>
                <w:spacing w:val="-15"/>
                <w:sz w:val="24"/>
              </w:rPr>
              <w:t> </w:t>
            </w:r>
            <w:r>
              <w:rPr>
                <w:spacing w:val="-2"/>
                <w:sz w:val="24"/>
              </w:rPr>
              <w:t>university</w:t>
            </w:r>
            <w:r>
              <w:rPr>
                <w:spacing w:val="-14"/>
                <w:sz w:val="24"/>
              </w:rPr>
              <w:t> </w:t>
            </w:r>
            <w:r>
              <w:rPr>
                <w:spacing w:val="-2"/>
                <w:sz w:val="24"/>
              </w:rPr>
              <w:t>partnerships, regional</w:t>
            </w:r>
            <w:r>
              <w:rPr>
                <w:spacing w:val="-15"/>
                <w:sz w:val="24"/>
              </w:rPr>
              <w:t> </w:t>
            </w:r>
            <w:r>
              <w:rPr>
                <w:spacing w:val="-2"/>
                <w:sz w:val="24"/>
              </w:rPr>
              <w:t>economic</w:t>
            </w:r>
            <w:r>
              <w:rPr>
                <w:spacing w:val="-15"/>
                <w:sz w:val="24"/>
              </w:rPr>
              <w:t> </w:t>
            </w:r>
            <w:r>
              <w:rPr>
                <w:spacing w:val="-2"/>
                <w:sz w:val="24"/>
              </w:rPr>
              <w:t>development</w:t>
            </w:r>
            <w:r>
              <w:rPr>
                <w:spacing w:val="-14"/>
                <w:sz w:val="24"/>
              </w:rPr>
              <w:t> </w:t>
            </w:r>
            <w:r>
              <w:rPr>
                <w:spacing w:val="-2"/>
                <w:sz w:val="24"/>
              </w:rPr>
              <w:t>priorities</w:t>
            </w:r>
            <w:r>
              <w:rPr>
                <w:spacing w:val="-15"/>
                <w:sz w:val="24"/>
              </w:rPr>
              <w:t> </w:t>
            </w:r>
            <w:r>
              <w:rPr>
                <w:spacing w:val="-2"/>
                <w:sz w:val="24"/>
              </w:rPr>
              <w:t>and</w:t>
            </w:r>
            <w:r>
              <w:rPr>
                <w:spacing w:val="-13"/>
                <w:sz w:val="24"/>
              </w:rPr>
              <w:t> </w:t>
            </w:r>
            <w:r>
              <w:rPr>
                <w:spacing w:val="-2"/>
                <w:sz w:val="24"/>
              </w:rPr>
              <w:t>the</w:t>
            </w:r>
            <w:r>
              <w:rPr>
                <w:spacing w:val="-14"/>
                <w:sz w:val="24"/>
              </w:rPr>
              <w:t> </w:t>
            </w:r>
            <w:r>
              <w:rPr>
                <w:spacing w:val="-2"/>
                <w:sz w:val="24"/>
              </w:rPr>
              <w:t>wider</w:t>
            </w:r>
            <w:r>
              <w:rPr>
                <w:spacing w:val="-14"/>
                <w:sz w:val="24"/>
              </w:rPr>
              <w:t> </w:t>
            </w:r>
            <w:r>
              <w:rPr>
                <w:spacing w:val="-2"/>
                <w:sz w:val="24"/>
              </w:rPr>
              <w:t>ambitions</w:t>
            </w:r>
            <w:r>
              <w:rPr>
                <w:spacing w:val="-15"/>
                <w:sz w:val="24"/>
              </w:rPr>
              <w:t> </w:t>
            </w:r>
            <w:r>
              <w:rPr>
                <w:spacing w:val="-2"/>
                <w:sz w:val="24"/>
              </w:rPr>
              <w:t>of</w:t>
            </w:r>
            <w:r>
              <w:rPr>
                <w:spacing w:val="-15"/>
                <w:sz w:val="24"/>
              </w:rPr>
              <w:t> </w:t>
            </w:r>
            <w:r>
              <w:rPr>
                <w:spacing w:val="-2"/>
                <w:sz w:val="24"/>
              </w:rPr>
              <w:t>the</w:t>
            </w:r>
            <w:r>
              <w:rPr>
                <w:spacing w:val="-13"/>
                <w:sz w:val="24"/>
              </w:rPr>
              <w:t> </w:t>
            </w:r>
            <w:r>
              <w:rPr>
                <w:spacing w:val="-2"/>
                <w:sz w:val="24"/>
              </w:rPr>
              <w:t>Regional </w:t>
            </w:r>
            <w:r>
              <w:rPr>
                <w:sz w:val="24"/>
              </w:rPr>
              <w:t>Joint Committee.</w:t>
            </w:r>
          </w:p>
          <w:p>
            <w:pPr>
              <w:pStyle w:val="TableParagraph"/>
              <w:spacing w:before="268"/>
              <w:ind w:left="830"/>
              <w:rPr>
                <w:sz w:val="24"/>
              </w:rPr>
            </w:pPr>
            <w:r>
              <w:rPr>
                <w:sz w:val="24"/>
              </w:rPr>
              <w:t>The</w:t>
            </w:r>
            <w:r>
              <w:rPr>
                <w:spacing w:val="-15"/>
                <w:sz w:val="24"/>
              </w:rPr>
              <w:t> </w:t>
            </w:r>
            <w:r>
              <w:rPr>
                <w:sz w:val="24"/>
              </w:rPr>
              <w:t>outputs</w:t>
            </w:r>
            <w:r>
              <w:rPr>
                <w:spacing w:val="-14"/>
                <w:sz w:val="24"/>
              </w:rPr>
              <w:t> </w:t>
            </w:r>
            <w:r>
              <w:rPr>
                <w:sz w:val="24"/>
              </w:rPr>
              <w:t>will</w:t>
            </w:r>
            <w:r>
              <w:rPr>
                <w:spacing w:val="-13"/>
                <w:sz w:val="24"/>
              </w:rPr>
              <w:t> </w:t>
            </w:r>
            <w:r>
              <w:rPr>
                <w:sz w:val="24"/>
              </w:rPr>
              <w:t>include</w:t>
            </w:r>
            <w:r>
              <w:rPr>
                <w:spacing w:val="-17"/>
                <w:sz w:val="24"/>
              </w:rPr>
              <w:t> </w:t>
            </w:r>
            <w:r>
              <w:rPr>
                <w:sz w:val="24"/>
              </w:rPr>
              <w:t>a</w:t>
            </w:r>
            <w:r>
              <w:rPr>
                <w:spacing w:val="-8"/>
                <w:sz w:val="24"/>
              </w:rPr>
              <w:t> </w:t>
            </w:r>
            <w:r>
              <w:rPr>
                <w:sz w:val="24"/>
              </w:rPr>
              <w:t>regional</w:t>
            </w:r>
            <w:r>
              <w:rPr>
                <w:spacing w:val="-13"/>
                <w:sz w:val="24"/>
              </w:rPr>
              <w:t> </w:t>
            </w:r>
            <w:r>
              <w:rPr>
                <w:sz w:val="24"/>
              </w:rPr>
              <w:t>university</w:t>
            </w:r>
            <w:r>
              <w:rPr>
                <w:spacing w:val="-17"/>
                <w:sz w:val="24"/>
              </w:rPr>
              <w:t> </w:t>
            </w:r>
            <w:r>
              <w:rPr>
                <w:sz w:val="24"/>
              </w:rPr>
              <w:t>partnership</w:t>
            </w:r>
            <w:r>
              <w:rPr>
                <w:spacing w:val="-8"/>
                <w:sz w:val="24"/>
              </w:rPr>
              <w:t> </w:t>
            </w:r>
            <w:r>
              <w:rPr>
                <w:sz w:val="24"/>
              </w:rPr>
              <w:t>framework</w:t>
            </w:r>
            <w:r>
              <w:rPr>
                <w:spacing w:val="-14"/>
                <w:sz w:val="24"/>
              </w:rPr>
              <w:t> </w:t>
            </w:r>
            <w:r>
              <w:rPr>
                <w:sz w:val="24"/>
              </w:rPr>
              <w:t>setting</w:t>
            </w:r>
            <w:r>
              <w:rPr>
                <w:spacing w:val="-17"/>
                <w:sz w:val="24"/>
              </w:rPr>
              <w:t> </w:t>
            </w:r>
            <w:r>
              <w:rPr>
                <w:sz w:val="24"/>
              </w:rPr>
              <w:t>out</w:t>
            </w:r>
            <w:r>
              <w:rPr>
                <w:spacing w:val="-15"/>
                <w:sz w:val="24"/>
              </w:rPr>
              <w:t> </w:t>
            </w:r>
            <w:r>
              <w:rPr>
                <w:sz w:val="24"/>
              </w:rPr>
              <w:t>shared </w:t>
            </w:r>
            <w:r>
              <w:rPr>
                <w:spacing w:val="-2"/>
                <w:sz w:val="24"/>
              </w:rPr>
              <w:t>priorities,</w:t>
            </w:r>
            <w:r>
              <w:rPr>
                <w:spacing w:val="-15"/>
                <w:sz w:val="24"/>
              </w:rPr>
              <w:t> </w:t>
            </w:r>
            <w:r>
              <w:rPr>
                <w:spacing w:val="-2"/>
                <w:sz w:val="24"/>
              </w:rPr>
              <w:t>partnership</w:t>
            </w:r>
            <w:r>
              <w:rPr>
                <w:spacing w:val="-15"/>
                <w:sz w:val="24"/>
              </w:rPr>
              <w:t> </w:t>
            </w:r>
            <w:r>
              <w:rPr>
                <w:spacing w:val="-2"/>
                <w:sz w:val="24"/>
              </w:rPr>
              <w:t>principles</w:t>
            </w:r>
            <w:r>
              <w:rPr>
                <w:spacing w:val="-14"/>
                <w:sz w:val="24"/>
              </w:rPr>
              <w:t> </w:t>
            </w:r>
            <w:r>
              <w:rPr>
                <w:spacing w:val="-2"/>
                <w:sz w:val="24"/>
              </w:rPr>
              <w:t>and</w:t>
            </w:r>
            <w:r>
              <w:rPr>
                <w:spacing w:val="-15"/>
                <w:sz w:val="24"/>
              </w:rPr>
              <w:t> </w:t>
            </w:r>
            <w:r>
              <w:rPr>
                <w:spacing w:val="-2"/>
                <w:sz w:val="24"/>
              </w:rPr>
              <w:t>governance</w:t>
            </w:r>
            <w:r>
              <w:rPr>
                <w:spacing w:val="-15"/>
                <w:sz w:val="24"/>
              </w:rPr>
              <w:t> </w:t>
            </w:r>
            <w:r>
              <w:rPr>
                <w:spacing w:val="-2"/>
                <w:sz w:val="24"/>
              </w:rPr>
              <w:t>arrangements,</w:t>
            </w:r>
            <w:r>
              <w:rPr>
                <w:spacing w:val="-15"/>
                <w:sz w:val="24"/>
              </w:rPr>
              <w:t> </w:t>
            </w:r>
            <w:r>
              <w:rPr>
                <w:spacing w:val="-2"/>
                <w:sz w:val="24"/>
              </w:rPr>
              <w:t>together</w:t>
            </w:r>
            <w:r>
              <w:rPr>
                <w:spacing w:val="-14"/>
                <w:sz w:val="24"/>
              </w:rPr>
              <w:t> </w:t>
            </w:r>
            <w:r>
              <w:rPr>
                <w:spacing w:val="-2"/>
                <w:sz w:val="24"/>
              </w:rPr>
              <w:t>with</w:t>
            </w:r>
            <w:r>
              <w:rPr>
                <w:spacing w:val="-15"/>
                <w:sz w:val="24"/>
              </w:rPr>
              <w:t> </w:t>
            </w:r>
            <w:r>
              <w:rPr>
                <w:spacing w:val="-2"/>
                <w:sz w:val="24"/>
              </w:rPr>
              <w:t>an</w:t>
            </w:r>
            <w:r>
              <w:rPr>
                <w:spacing w:val="-15"/>
                <w:sz w:val="24"/>
              </w:rPr>
              <w:t> </w:t>
            </w:r>
            <w:r>
              <w:rPr>
                <w:spacing w:val="-2"/>
                <w:sz w:val="24"/>
              </w:rPr>
              <w:t>agreed </w:t>
            </w:r>
            <w:r>
              <w:rPr>
                <w:sz w:val="24"/>
              </w:rPr>
              <w:t>programme</w:t>
            </w:r>
            <w:r>
              <w:rPr>
                <w:spacing w:val="-14"/>
                <w:sz w:val="24"/>
              </w:rPr>
              <w:t> </w:t>
            </w:r>
            <w:r>
              <w:rPr>
                <w:sz w:val="24"/>
              </w:rPr>
              <w:t>of</w:t>
            </w:r>
            <w:r>
              <w:rPr>
                <w:spacing w:val="-15"/>
                <w:sz w:val="24"/>
              </w:rPr>
              <w:t> </w:t>
            </w:r>
            <w:r>
              <w:rPr>
                <w:sz w:val="24"/>
              </w:rPr>
              <w:t>collaborative</w:t>
            </w:r>
            <w:r>
              <w:rPr>
                <w:spacing w:val="-13"/>
                <w:sz w:val="24"/>
              </w:rPr>
              <w:t> </w:t>
            </w:r>
            <w:r>
              <w:rPr>
                <w:sz w:val="24"/>
              </w:rPr>
              <w:t>activity</w:t>
            </w:r>
            <w:r>
              <w:rPr>
                <w:spacing w:val="-17"/>
                <w:sz w:val="24"/>
              </w:rPr>
              <w:t> </w:t>
            </w:r>
            <w:r>
              <w:rPr>
                <w:sz w:val="24"/>
              </w:rPr>
              <w:t>across</w:t>
            </w:r>
            <w:r>
              <w:rPr>
                <w:spacing w:val="-13"/>
                <w:sz w:val="24"/>
              </w:rPr>
              <w:t> </w:t>
            </w:r>
            <w:r>
              <w:rPr>
                <w:sz w:val="24"/>
              </w:rPr>
              <w:t>research</w:t>
            </w:r>
            <w:r>
              <w:rPr>
                <w:spacing w:val="-17"/>
                <w:sz w:val="24"/>
              </w:rPr>
              <w:t> </w:t>
            </w:r>
            <w:r>
              <w:rPr>
                <w:sz w:val="24"/>
              </w:rPr>
              <w:t>and</w:t>
            </w:r>
            <w:r>
              <w:rPr>
                <w:spacing w:val="-17"/>
                <w:sz w:val="24"/>
              </w:rPr>
              <w:t> </w:t>
            </w:r>
            <w:r>
              <w:rPr>
                <w:sz w:val="24"/>
              </w:rPr>
              <w:t>development,</w:t>
            </w:r>
            <w:r>
              <w:rPr>
                <w:spacing w:val="-15"/>
                <w:sz w:val="24"/>
              </w:rPr>
              <w:t> </w:t>
            </w:r>
            <w:r>
              <w:rPr>
                <w:sz w:val="24"/>
              </w:rPr>
              <w:t>education</w:t>
            </w:r>
            <w:r>
              <w:rPr>
                <w:spacing w:val="-13"/>
                <w:sz w:val="24"/>
              </w:rPr>
              <w:t> </w:t>
            </w:r>
            <w:r>
              <w:rPr>
                <w:sz w:val="24"/>
              </w:rPr>
              <w:t>and learning, and enterprise and innovation.</w:t>
            </w:r>
          </w:p>
          <w:p>
            <w:pPr>
              <w:pStyle w:val="TableParagraph"/>
              <w:rPr>
                <w:sz w:val="24"/>
              </w:rPr>
            </w:pPr>
          </w:p>
          <w:p>
            <w:pPr>
              <w:pStyle w:val="TableParagraph"/>
              <w:ind w:left="830"/>
              <w:rPr>
                <w:sz w:val="24"/>
              </w:rPr>
            </w:pPr>
            <w:r>
              <w:rPr>
                <w:spacing w:val="-2"/>
                <w:sz w:val="24"/>
              </w:rPr>
              <w:t>Target:</w:t>
            </w:r>
            <w:r>
              <w:rPr>
                <w:spacing w:val="-15"/>
                <w:sz w:val="24"/>
              </w:rPr>
              <w:t> </w:t>
            </w:r>
            <w:r>
              <w:rPr>
                <w:spacing w:val="-2"/>
                <w:sz w:val="24"/>
              </w:rPr>
              <w:t>January</w:t>
            </w:r>
            <w:r>
              <w:rPr>
                <w:spacing w:val="-15"/>
                <w:sz w:val="24"/>
              </w:rPr>
              <w:t> </w:t>
            </w:r>
            <w:r>
              <w:rPr>
                <w:spacing w:val="-2"/>
                <w:sz w:val="24"/>
              </w:rPr>
              <w:t>2027</w:t>
            </w:r>
            <w:r>
              <w:rPr>
                <w:spacing w:val="-12"/>
                <w:sz w:val="24"/>
              </w:rPr>
              <w:t> </w:t>
            </w:r>
            <w:r>
              <w:rPr>
                <w:spacing w:val="-2"/>
                <w:sz w:val="24"/>
              </w:rPr>
              <w:t>(outline</w:t>
            </w:r>
            <w:r>
              <w:rPr>
                <w:spacing w:val="-12"/>
                <w:sz w:val="24"/>
              </w:rPr>
              <w:t> </w:t>
            </w:r>
            <w:r>
              <w:rPr>
                <w:spacing w:val="-2"/>
                <w:sz w:val="24"/>
              </w:rPr>
              <w:t>for</w:t>
            </w:r>
            <w:r>
              <w:rPr>
                <w:spacing w:val="-14"/>
                <w:sz w:val="24"/>
              </w:rPr>
              <w:t> </w:t>
            </w:r>
            <w:r>
              <w:rPr>
                <w:spacing w:val="-2"/>
                <w:sz w:val="24"/>
              </w:rPr>
              <w:t>discussion)</w:t>
            </w:r>
          </w:p>
          <w:p>
            <w:pPr>
              <w:pStyle w:val="TableParagraph"/>
              <w:spacing w:before="3"/>
              <w:rPr>
                <w:sz w:val="24"/>
              </w:rPr>
            </w:pPr>
          </w:p>
          <w:p>
            <w:pPr>
              <w:pStyle w:val="TableParagraph"/>
              <w:ind w:left="830"/>
              <w:rPr>
                <w:b/>
                <w:sz w:val="24"/>
              </w:rPr>
            </w:pPr>
            <w:r>
              <w:rPr>
                <w:b/>
                <w:spacing w:val="-2"/>
                <w:sz w:val="24"/>
              </w:rPr>
              <w:t>4)</w:t>
            </w:r>
            <w:r>
              <w:rPr>
                <w:b/>
                <w:spacing w:val="-17"/>
                <w:sz w:val="24"/>
              </w:rPr>
              <w:t> </w:t>
            </w:r>
            <w:r>
              <w:rPr>
                <w:b/>
                <w:spacing w:val="-2"/>
                <w:sz w:val="24"/>
              </w:rPr>
              <w:t>Explore</w:t>
            </w:r>
            <w:r>
              <w:rPr>
                <w:b/>
                <w:spacing w:val="-8"/>
                <w:sz w:val="24"/>
              </w:rPr>
              <w:t> </w:t>
            </w:r>
            <w:r>
              <w:rPr>
                <w:b/>
                <w:spacing w:val="-2"/>
                <w:sz w:val="24"/>
              </w:rPr>
              <w:t>Opportunities</w:t>
            </w:r>
            <w:r>
              <w:rPr>
                <w:b/>
                <w:spacing w:val="-13"/>
                <w:sz w:val="24"/>
              </w:rPr>
              <w:t> </w:t>
            </w:r>
            <w:r>
              <w:rPr>
                <w:b/>
                <w:spacing w:val="-2"/>
                <w:sz w:val="24"/>
              </w:rPr>
              <w:t>for</w:t>
            </w:r>
            <w:r>
              <w:rPr>
                <w:b/>
                <w:spacing w:val="-13"/>
                <w:sz w:val="24"/>
              </w:rPr>
              <w:t> </w:t>
            </w:r>
            <w:r>
              <w:rPr>
                <w:b/>
                <w:spacing w:val="-2"/>
                <w:sz w:val="24"/>
              </w:rPr>
              <w:t>Life</w:t>
            </w:r>
            <w:r>
              <w:rPr>
                <w:b/>
                <w:spacing w:val="-12"/>
                <w:sz w:val="24"/>
              </w:rPr>
              <w:t> </w:t>
            </w:r>
            <w:r>
              <w:rPr>
                <w:b/>
                <w:spacing w:val="-2"/>
                <w:sz w:val="24"/>
              </w:rPr>
              <w:t>Sciences</w:t>
            </w:r>
            <w:r>
              <w:rPr>
                <w:b/>
                <w:spacing w:val="-13"/>
                <w:sz w:val="24"/>
              </w:rPr>
              <w:t> </w:t>
            </w:r>
            <w:r>
              <w:rPr>
                <w:b/>
                <w:spacing w:val="-2"/>
                <w:sz w:val="24"/>
              </w:rPr>
              <w:t>and</w:t>
            </w:r>
            <w:r>
              <w:rPr>
                <w:b/>
                <w:spacing w:val="-15"/>
                <w:sz w:val="24"/>
              </w:rPr>
              <w:t> </w:t>
            </w:r>
            <w:r>
              <w:rPr>
                <w:b/>
                <w:spacing w:val="-2"/>
                <w:sz w:val="24"/>
              </w:rPr>
              <w:t>Economic</w:t>
            </w:r>
            <w:r>
              <w:rPr>
                <w:b/>
                <w:spacing w:val="-12"/>
                <w:sz w:val="24"/>
              </w:rPr>
              <w:t> </w:t>
            </w:r>
            <w:r>
              <w:rPr>
                <w:b/>
                <w:spacing w:val="-2"/>
                <w:sz w:val="24"/>
              </w:rPr>
              <w:t>Development</w:t>
            </w:r>
          </w:p>
          <w:p>
            <w:pPr>
              <w:pStyle w:val="TableParagraph"/>
              <w:spacing w:before="275"/>
              <w:ind w:left="830" w:right="212"/>
              <w:rPr>
                <w:sz w:val="24"/>
              </w:rPr>
            </w:pPr>
            <w:r>
              <w:rPr>
                <w:spacing w:val="-2"/>
                <w:sz w:val="24"/>
              </w:rPr>
              <w:t>Recent</w:t>
            </w:r>
            <w:r>
              <w:rPr>
                <w:spacing w:val="-15"/>
                <w:sz w:val="24"/>
              </w:rPr>
              <w:t> </w:t>
            </w:r>
            <w:r>
              <w:rPr>
                <w:spacing w:val="-2"/>
                <w:sz w:val="24"/>
              </w:rPr>
              <w:t>discussions</w:t>
            </w:r>
            <w:r>
              <w:rPr>
                <w:spacing w:val="-13"/>
                <w:sz w:val="24"/>
              </w:rPr>
              <w:t> </w:t>
            </w:r>
            <w:r>
              <w:rPr>
                <w:spacing w:val="-2"/>
                <w:sz w:val="24"/>
              </w:rPr>
              <w:t>have</w:t>
            </w:r>
            <w:r>
              <w:rPr>
                <w:spacing w:val="-12"/>
                <w:sz w:val="24"/>
              </w:rPr>
              <w:t> </w:t>
            </w:r>
            <w:r>
              <w:rPr>
                <w:spacing w:val="-2"/>
                <w:sz w:val="24"/>
              </w:rPr>
              <w:t>identified</w:t>
            </w:r>
            <w:r>
              <w:rPr>
                <w:spacing w:val="-12"/>
                <w:sz w:val="24"/>
              </w:rPr>
              <w:t> </w:t>
            </w:r>
            <w:r>
              <w:rPr>
                <w:spacing w:val="-2"/>
                <w:sz w:val="24"/>
              </w:rPr>
              <w:t>an</w:t>
            </w:r>
            <w:r>
              <w:rPr>
                <w:spacing w:val="-12"/>
                <w:sz w:val="24"/>
              </w:rPr>
              <w:t> </w:t>
            </w:r>
            <w:r>
              <w:rPr>
                <w:spacing w:val="-2"/>
                <w:sz w:val="24"/>
              </w:rPr>
              <w:t>opportunity</w:t>
            </w:r>
            <w:r>
              <w:rPr>
                <w:spacing w:val="-13"/>
                <w:sz w:val="24"/>
              </w:rPr>
              <w:t> </w:t>
            </w:r>
            <w:r>
              <w:rPr>
                <w:spacing w:val="-2"/>
                <w:sz w:val="24"/>
              </w:rPr>
              <w:t>to</w:t>
            </w:r>
            <w:r>
              <w:rPr>
                <w:spacing w:val="-12"/>
                <w:sz w:val="24"/>
              </w:rPr>
              <w:t> </w:t>
            </w:r>
            <w:r>
              <w:rPr>
                <w:spacing w:val="-2"/>
                <w:sz w:val="24"/>
              </w:rPr>
              <w:t>consider</w:t>
            </w:r>
            <w:r>
              <w:rPr>
                <w:spacing w:val="-13"/>
                <w:sz w:val="24"/>
              </w:rPr>
              <w:t> </w:t>
            </w:r>
            <w:r>
              <w:rPr>
                <w:spacing w:val="-2"/>
                <w:sz w:val="24"/>
              </w:rPr>
              <w:t>how</w:t>
            </w:r>
            <w:r>
              <w:rPr>
                <w:spacing w:val="-12"/>
                <w:sz w:val="24"/>
              </w:rPr>
              <w:t> </w:t>
            </w:r>
            <w:r>
              <w:rPr>
                <w:spacing w:val="-2"/>
                <w:sz w:val="24"/>
              </w:rPr>
              <w:t>a</w:t>
            </w:r>
            <w:r>
              <w:rPr>
                <w:spacing w:val="-12"/>
                <w:sz w:val="24"/>
              </w:rPr>
              <w:t> </w:t>
            </w:r>
            <w:r>
              <w:rPr>
                <w:spacing w:val="-2"/>
                <w:sz w:val="24"/>
              </w:rPr>
              <w:t>regional</w:t>
            </w:r>
            <w:r>
              <w:rPr>
                <w:spacing w:val="-12"/>
                <w:sz w:val="24"/>
              </w:rPr>
              <w:t> </w:t>
            </w:r>
            <w:r>
              <w:rPr>
                <w:spacing w:val="-2"/>
                <w:sz w:val="24"/>
              </w:rPr>
              <w:t>approach </w:t>
            </w:r>
            <w:r>
              <w:rPr>
                <w:sz w:val="24"/>
              </w:rPr>
              <w:t>to</w:t>
            </w:r>
            <w:r>
              <w:rPr>
                <w:spacing w:val="-10"/>
                <w:sz w:val="24"/>
              </w:rPr>
              <w:t> </w:t>
            </w:r>
            <w:r>
              <w:rPr>
                <w:sz w:val="24"/>
              </w:rPr>
              <w:t>research</w:t>
            </w:r>
            <w:r>
              <w:rPr>
                <w:spacing w:val="-15"/>
                <w:sz w:val="24"/>
              </w:rPr>
              <w:t> </w:t>
            </w:r>
            <w:r>
              <w:rPr>
                <w:sz w:val="24"/>
              </w:rPr>
              <w:t>and</w:t>
            </w:r>
            <w:r>
              <w:rPr>
                <w:spacing w:val="-15"/>
                <w:sz w:val="24"/>
              </w:rPr>
              <w:t> </w:t>
            </w:r>
            <w:r>
              <w:rPr>
                <w:sz w:val="24"/>
              </w:rPr>
              <w:t>innovation</w:t>
            </w:r>
            <w:r>
              <w:rPr>
                <w:spacing w:val="-10"/>
                <w:sz w:val="24"/>
              </w:rPr>
              <w:t> </w:t>
            </w:r>
            <w:r>
              <w:rPr>
                <w:sz w:val="24"/>
              </w:rPr>
              <w:t>could</w:t>
            </w:r>
            <w:r>
              <w:rPr>
                <w:spacing w:val="-10"/>
                <w:sz w:val="24"/>
              </w:rPr>
              <w:t> </w:t>
            </w:r>
            <w:r>
              <w:rPr>
                <w:sz w:val="24"/>
              </w:rPr>
              <w:t>support</w:t>
            </w:r>
            <w:r>
              <w:rPr>
                <w:spacing w:val="-8"/>
                <w:sz w:val="24"/>
              </w:rPr>
              <w:t> </w:t>
            </w:r>
            <w:r>
              <w:rPr>
                <w:sz w:val="24"/>
              </w:rPr>
              <w:t>the</w:t>
            </w:r>
            <w:r>
              <w:rPr>
                <w:spacing w:val="-10"/>
                <w:sz w:val="24"/>
              </w:rPr>
              <w:t> </w:t>
            </w:r>
            <w:r>
              <w:rPr>
                <w:sz w:val="24"/>
              </w:rPr>
              <w:t>wider</w:t>
            </w:r>
            <w:r>
              <w:rPr>
                <w:spacing w:val="-16"/>
                <w:sz w:val="24"/>
              </w:rPr>
              <w:t> </w:t>
            </w:r>
            <w:r>
              <w:rPr>
                <w:sz w:val="24"/>
              </w:rPr>
              <w:t>ambition</w:t>
            </w:r>
            <w:r>
              <w:rPr>
                <w:spacing w:val="-10"/>
                <w:sz w:val="24"/>
              </w:rPr>
              <w:t> </w:t>
            </w:r>
            <w:r>
              <w:rPr>
                <w:sz w:val="24"/>
              </w:rPr>
              <w:t>of</w:t>
            </w:r>
            <w:r>
              <w:rPr>
                <w:spacing w:val="-8"/>
                <w:sz w:val="24"/>
              </w:rPr>
              <w:t> </w:t>
            </w:r>
            <w:r>
              <w:rPr>
                <w:sz w:val="24"/>
              </w:rPr>
              <w:t>making</w:t>
            </w:r>
            <w:r>
              <w:rPr>
                <w:spacing w:val="-10"/>
                <w:sz w:val="24"/>
              </w:rPr>
              <w:t> </w:t>
            </w:r>
            <w:r>
              <w:rPr>
                <w:sz w:val="24"/>
              </w:rPr>
              <w:t>South</w:t>
            </w:r>
            <w:r>
              <w:rPr>
                <w:spacing w:val="-5"/>
                <w:sz w:val="24"/>
              </w:rPr>
              <w:t> </w:t>
            </w:r>
            <w:r>
              <w:rPr>
                <w:sz w:val="24"/>
              </w:rPr>
              <w:t>West </w:t>
            </w:r>
            <w:r>
              <w:rPr>
                <w:spacing w:val="-2"/>
                <w:sz w:val="24"/>
              </w:rPr>
              <w:t>Wales</w:t>
            </w:r>
            <w:r>
              <w:rPr>
                <w:spacing w:val="-15"/>
                <w:sz w:val="24"/>
              </w:rPr>
              <w:t> </w:t>
            </w:r>
            <w:r>
              <w:rPr>
                <w:spacing w:val="-2"/>
                <w:sz w:val="24"/>
              </w:rPr>
              <w:t>a</w:t>
            </w:r>
            <w:r>
              <w:rPr>
                <w:spacing w:val="-15"/>
                <w:sz w:val="24"/>
              </w:rPr>
              <w:t> </w:t>
            </w:r>
            <w:r>
              <w:rPr>
                <w:spacing w:val="-2"/>
                <w:sz w:val="24"/>
              </w:rPr>
              <w:t>place</w:t>
            </w:r>
            <w:r>
              <w:rPr>
                <w:spacing w:val="-14"/>
                <w:sz w:val="24"/>
              </w:rPr>
              <w:t> </w:t>
            </w:r>
            <w:r>
              <w:rPr>
                <w:spacing w:val="-2"/>
                <w:sz w:val="24"/>
              </w:rPr>
              <w:t>where</w:t>
            </w:r>
            <w:r>
              <w:rPr>
                <w:spacing w:val="-11"/>
                <w:sz w:val="24"/>
              </w:rPr>
              <w:t> </w:t>
            </w:r>
            <w:r>
              <w:rPr>
                <w:spacing w:val="-2"/>
                <w:sz w:val="24"/>
              </w:rPr>
              <w:t>the</w:t>
            </w:r>
            <w:r>
              <w:rPr>
                <w:spacing w:val="-13"/>
                <w:sz w:val="24"/>
              </w:rPr>
              <w:t> </w:t>
            </w:r>
            <w:r>
              <w:rPr>
                <w:spacing w:val="-2"/>
                <w:sz w:val="24"/>
              </w:rPr>
              <w:t>life</w:t>
            </w:r>
            <w:r>
              <w:rPr>
                <w:spacing w:val="-14"/>
                <w:sz w:val="24"/>
              </w:rPr>
              <w:t> </w:t>
            </w:r>
            <w:r>
              <w:rPr>
                <w:spacing w:val="-2"/>
                <w:sz w:val="24"/>
              </w:rPr>
              <w:t>sciences</w:t>
            </w:r>
            <w:r>
              <w:rPr>
                <w:spacing w:val="-15"/>
                <w:sz w:val="24"/>
              </w:rPr>
              <w:t> </w:t>
            </w:r>
            <w:r>
              <w:rPr>
                <w:spacing w:val="-2"/>
                <w:sz w:val="24"/>
              </w:rPr>
              <w:t>sector</w:t>
            </w:r>
            <w:r>
              <w:rPr>
                <w:spacing w:val="-10"/>
                <w:sz w:val="24"/>
              </w:rPr>
              <w:t> </w:t>
            </w:r>
            <w:r>
              <w:rPr>
                <w:spacing w:val="-2"/>
                <w:sz w:val="24"/>
              </w:rPr>
              <w:t>flourishes,</w:t>
            </w:r>
            <w:r>
              <w:rPr>
                <w:spacing w:val="-15"/>
                <w:sz w:val="24"/>
              </w:rPr>
              <w:t> </w:t>
            </w:r>
            <w:r>
              <w:rPr>
                <w:spacing w:val="-2"/>
                <w:sz w:val="24"/>
              </w:rPr>
              <w:t>contributing</w:t>
            </w:r>
            <w:r>
              <w:rPr>
                <w:spacing w:val="-9"/>
                <w:sz w:val="24"/>
              </w:rPr>
              <w:t> </w:t>
            </w:r>
            <w:r>
              <w:rPr>
                <w:spacing w:val="-2"/>
                <w:sz w:val="24"/>
              </w:rPr>
              <w:t>to</w:t>
            </w:r>
            <w:r>
              <w:rPr>
                <w:spacing w:val="-14"/>
                <w:sz w:val="24"/>
              </w:rPr>
              <w:t> </w:t>
            </w:r>
            <w:r>
              <w:rPr>
                <w:spacing w:val="-2"/>
                <w:sz w:val="24"/>
              </w:rPr>
              <w:t>improved</w:t>
            </w:r>
            <w:r>
              <w:rPr>
                <w:spacing w:val="-14"/>
                <w:sz w:val="24"/>
              </w:rPr>
              <w:t> </w:t>
            </w:r>
            <w:r>
              <w:rPr>
                <w:spacing w:val="-2"/>
                <w:sz w:val="24"/>
              </w:rPr>
              <w:t>health </w:t>
            </w:r>
            <w:r>
              <w:rPr>
                <w:sz w:val="24"/>
              </w:rPr>
              <w:t>outcomes,</w:t>
            </w:r>
            <w:r>
              <w:rPr>
                <w:spacing w:val="-11"/>
                <w:sz w:val="24"/>
              </w:rPr>
              <w:t> </w:t>
            </w:r>
            <w:r>
              <w:rPr>
                <w:sz w:val="24"/>
              </w:rPr>
              <w:t>investment,</w:t>
            </w:r>
            <w:r>
              <w:rPr>
                <w:spacing w:val="-11"/>
                <w:sz w:val="24"/>
              </w:rPr>
              <w:t> </w:t>
            </w:r>
            <w:r>
              <w:rPr>
                <w:sz w:val="24"/>
              </w:rPr>
              <w:t>skills</w:t>
            </w:r>
            <w:r>
              <w:rPr>
                <w:spacing w:val="-9"/>
                <w:sz w:val="24"/>
              </w:rPr>
              <w:t> </w:t>
            </w:r>
            <w:r>
              <w:rPr>
                <w:sz w:val="24"/>
              </w:rPr>
              <w:t>development</w:t>
            </w:r>
            <w:r>
              <w:rPr>
                <w:spacing w:val="-11"/>
                <w:sz w:val="24"/>
              </w:rPr>
              <w:t> </w:t>
            </w:r>
            <w:r>
              <w:rPr>
                <w:sz w:val="24"/>
              </w:rPr>
              <w:t>and</w:t>
            </w:r>
            <w:r>
              <w:rPr>
                <w:spacing w:val="-8"/>
                <w:sz w:val="24"/>
              </w:rPr>
              <w:t> </w:t>
            </w:r>
            <w:r>
              <w:rPr>
                <w:sz w:val="24"/>
              </w:rPr>
              <w:t>economic</w:t>
            </w:r>
            <w:r>
              <w:rPr>
                <w:spacing w:val="-9"/>
                <w:sz w:val="24"/>
              </w:rPr>
              <w:t> </w:t>
            </w:r>
            <w:r>
              <w:rPr>
                <w:sz w:val="24"/>
              </w:rPr>
              <w:t>growth.</w:t>
            </w:r>
          </w:p>
          <w:p>
            <w:pPr>
              <w:pStyle w:val="TableParagraph"/>
              <w:rPr>
                <w:sz w:val="24"/>
              </w:rPr>
            </w:pPr>
          </w:p>
          <w:p>
            <w:pPr>
              <w:pStyle w:val="TableParagraph"/>
              <w:ind w:left="830"/>
              <w:rPr>
                <w:sz w:val="24"/>
              </w:rPr>
            </w:pPr>
            <w:r>
              <w:rPr>
                <w:sz w:val="24"/>
              </w:rPr>
              <w:t>While</w:t>
            </w:r>
            <w:r>
              <w:rPr>
                <w:spacing w:val="-11"/>
                <w:sz w:val="24"/>
              </w:rPr>
              <w:t> </w:t>
            </w:r>
            <w:r>
              <w:rPr>
                <w:sz w:val="24"/>
              </w:rPr>
              <w:t>the</w:t>
            </w:r>
            <w:r>
              <w:rPr>
                <w:spacing w:val="-11"/>
                <w:sz w:val="24"/>
              </w:rPr>
              <w:t> </w:t>
            </w:r>
            <w:r>
              <w:rPr>
                <w:sz w:val="24"/>
              </w:rPr>
              <w:t>primary</w:t>
            </w:r>
            <w:r>
              <w:rPr>
                <w:spacing w:val="-12"/>
                <w:sz w:val="24"/>
              </w:rPr>
              <w:t> </w:t>
            </w:r>
            <w:r>
              <w:rPr>
                <w:sz w:val="24"/>
              </w:rPr>
              <w:t>purpose</w:t>
            </w:r>
            <w:r>
              <w:rPr>
                <w:spacing w:val="-11"/>
                <w:sz w:val="24"/>
              </w:rPr>
              <w:t> </w:t>
            </w:r>
            <w:r>
              <w:rPr>
                <w:sz w:val="24"/>
              </w:rPr>
              <w:t>of</w:t>
            </w:r>
            <w:r>
              <w:rPr>
                <w:spacing w:val="-13"/>
                <w:sz w:val="24"/>
              </w:rPr>
              <w:t> </w:t>
            </w:r>
            <w:r>
              <w:rPr>
                <w:sz w:val="24"/>
              </w:rPr>
              <w:t>the</w:t>
            </w:r>
            <w:r>
              <w:rPr>
                <w:spacing w:val="-11"/>
                <w:sz w:val="24"/>
              </w:rPr>
              <w:t> </w:t>
            </w:r>
            <w:r>
              <w:rPr>
                <w:sz w:val="24"/>
              </w:rPr>
              <w:t>programme</w:t>
            </w:r>
            <w:r>
              <w:rPr>
                <w:spacing w:val="-11"/>
                <w:sz w:val="24"/>
              </w:rPr>
              <w:t> </w:t>
            </w:r>
            <w:r>
              <w:rPr>
                <w:sz w:val="24"/>
              </w:rPr>
              <w:t>is</w:t>
            </w:r>
            <w:r>
              <w:rPr>
                <w:spacing w:val="-7"/>
                <w:sz w:val="24"/>
              </w:rPr>
              <w:t> </w:t>
            </w:r>
            <w:r>
              <w:rPr>
                <w:sz w:val="24"/>
              </w:rPr>
              <w:t>to</w:t>
            </w:r>
            <w:r>
              <w:rPr>
                <w:spacing w:val="-15"/>
                <w:sz w:val="24"/>
              </w:rPr>
              <w:t> </w:t>
            </w:r>
            <w:r>
              <w:rPr>
                <w:sz w:val="24"/>
              </w:rPr>
              <w:t>improve</w:t>
            </w:r>
            <w:r>
              <w:rPr>
                <w:spacing w:val="-11"/>
                <w:sz w:val="24"/>
              </w:rPr>
              <w:t> </w:t>
            </w:r>
            <w:r>
              <w:rPr>
                <w:sz w:val="24"/>
              </w:rPr>
              <w:t>research</w:t>
            </w:r>
            <w:r>
              <w:rPr>
                <w:spacing w:val="-11"/>
                <w:sz w:val="24"/>
              </w:rPr>
              <w:t> </w:t>
            </w:r>
            <w:r>
              <w:rPr>
                <w:sz w:val="24"/>
              </w:rPr>
              <w:t>and</w:t>
            </w:r>
            <w:r>
              <w:rPr>
                <w:spacing w:val="-11"/>
                <w:sz w:val="24"/>
              </w:rPr>
              <w:t> </w:t>
            </w:r>
            <w:r>
              <w:rPr>
                <w:sz w:val="24"/>
              </w:rPr>
              <w:t>innovation </w:t>
            </w:r>
            <w:r>
              <w:rPr>
                <w:spacing w:val="-2"/>
                <w:sz w:val="24"/>
              </w:rPr>
              <w:t>outcomes, there</w:t>
            </w:r>
            <w:r>
              <w:rPr>
                <w:spacing w:val="-3"/>
                <w:sz w:val="24"/>
              </w:rPr>
              <w:t> </w:t>
            </w:r>
            <w:r>
              <w:rPr>
                <w:spacing w:val="-2"/>
                <w:sz w:val="24"/>
              </w:rPr>
              <w:t>is</w:t>
            </w:r>
            <w:r>
              <w:rPr>
                <w:spacing w:val="-4"/>
                <w:sz w:val="24"/>
              </w:rPr>
              <w:t> </w:t>
            </w:r>
            <w:r>
              <w:rPr>
                <w:spacing w:val="-2"/>
                <w:sz w:val="24"/>
              </w:rPr>
              <w:t>increasing</w:t>
            </w:r>
            <w:r>
              <w:rPr>
                <w:spacing w:val="-3"/>
                <w:sz w:val="24"/>
              </w:rPr>
              <w:t> </w:t>
            </w:r>
            <w:r>
              <w:rPr>
                <w:spacing w:val="-2"/>
                <w:sz w:val="24"/>
              </w:rPr>
              <w:t>recognition</w:t>
            </w:r>
            <w:r>
              <w:rPr>
                <w:spacing w:val="-3"/>
                <w:sz w:val="24"/>
              </w:rPr>
              <w:t> </w:t>
            </w:r>
            <w:r>
              <w:rPr>
                <w:spacing w:val="-2"/>
                <w:sz w:val="24"/>
              </w:rPr>
              <w:t>that</w:t>
            </w:r>
            <w:r>
              <w:rPr>
                <w:spacing w:val="-6"/>
                <w:sz w:val="24"/>
              </w:rPr>
              <w:t> </w:t>
            </w:r>
            <w:r>
              <w:rPr>
                <w:spacing w:val="-2"/>
                <w:sz w:val="24"/>
              </w:rPr>
              <w:t>high-performing</w:t>
            </w:r>
            <w:r>
              <w:rPr>
                <w:spacing w:val="-3"/>
                <w:sz w:val="24"/>
              </w:rPr>
              <w:t> </w:t>
            </w:r>
            <w:r>
              <w:rPr>
                <w:spacing w:val="-2"/>
                <w:sz w:val="24"/>
              </w:rPr>
              <w:t>research</w:t>
            </w:r>
            <w:r>
              <w:rPr>
                <w:spacing w:val="-8"/>
                <w:sz w:val="24"/>
              </w:rPr>
              <w:t> </w:t>
            </w:r>
            <w:r>
              <w:rPr>
                <w:spacing w:val="-2"/>
                <w:sz w:val="24"/>
              </w:rPr>
              <w:t>and</w:t>
            </w:r>
            <w:r>
              <w:rPr>
                <w:spacing w:val="-8"/>
                <w:sz w:val="24"/>
              </w:rPr>
              <w:t> </w:t>
            </w:r>
            <w:r>
              <w:rPr>
                <w:spacing w:val="-2"/>
                <w:sz w:val="24"/>
              </w:rPr>
              <w:t>innovation healthcare</w:t>
            </w:r>
            <w:r>
              <w:rPr>
                <w:spacing w:val="-15"/>
                <w:sz w:val="24"/>
              </w:rPr>
              <w:t> </w:t>
            </w:r>
            <w:r>
              <w:rPr>
                <w:spacing w:val="-2"/>
                <w:sz w:val="24"/>
              </w:rPr>
              <w:t>systems</w:t>
            </w:r>
            <w:r>
              <w:rPr>
                <w:spacing w:val="-15"/>
                <w:sz w:val="24"/>
              </w:rPr>
              <w:t> </w:t>
            </w:r>
            <w:r>
              <w:rPr>
                <w:spacing w:val="-2"/>
                <w:sz w:val="24"/>
              </w:rPr>
              <w:t>can</w:t>
            </w:r>
            <w:r>
              <w:rPr>
                <w:spacing w:val="-13"/>
                <w:sz w:val="24"/>
              </w:rPr>
              <w:t> </w:t>
            </w:r>
            <w:r>
              <w:rPr>
                <w:spacing w:val="-2"/>
                <w:sz w:val="24"/>
              </w:rPr>
              <w:t>also</w:t>
            </w:r>
            <w:r>
              <w:rPr>
                <w:spacing w:val="-9"/>
                <w:sz w:val="24"/>
              </w:rPr>
              <w:t> </w:t>
            </w:r>
            <w:r>
              <w:rPr>
                <w:spacing w:val="-2"/>
                <w:sz w:val="24"/>
              </w:rPr>
              <w:t>make</w:t>
            </w:r>
            <w:r>
              <w:rPr>
                <w:spacing w:val="-14"/>
                <w:sz w:val="24"/>
              </w:rPr>
              <w:t> </w:t>
            </w:r>
            <w:r>
              <w:rPr>
                <w:spacing w:val="-2"/>
                <w:sz w:val="24"/>
              </w:rPr>
              <w:t>a</w:t>
            </w:r>
            <w:r>
              <w:rPr>
                <w:spacing w:val="-14"/>
                <w:sz w:val="24"/>
              </w:rPr>
              <w:t> </w:t>
            </w:r>
            <w:r>
              <w:rPr>
                <w:spacing w:val="-2"/>
                <w:sz w:val="24"/>
              </w:rPr>
              <w:t>significant</w:t>
            </w:r>
            <w:r>
              <w:rPr>
                <w:spacing w:val="-15"/>
                <w:sz w:val="24"/>
              </w:rPr>
              <w:t> </w:t>
            </w:r>
            <w:r>
              <w:rPr>
                <w:spacing w:val="-2"/>
                <w:sz w:val="24"/>
              </w:rPr>
              <w:t>contribution</w:t>
            </w:r>
            <w:r>
              <w:rPr>
                <w:spacing w:val="-13"/>
                <w:sz w:val="24"/>
              </w:rPr>
              <w:t> </w:t>
            </w:r>
            <w:r>
              <w:rPr>
                <w:spacing w:val="-2"/>
                <w:sz w:val="24"/>
              </w:rPr>
              <w:t>to</w:t>
            </w:r>
            <w:r>
              <w:rPr>
                <w:spacing w:val="-14"/>
                <w:sz w:val="24"/>
              </w:rPr>
              <w:t> </w:t>
            </w:r>
            <w:r>
              <w:rPr>
                <w:spacing w:val="-2"/>
                <w:sz w:val="24"/>
              </w:rPr>
              <w:t>economic</w:t>
            </w:r>
            <w:r>
              <w:rPr>
                <w:spacing w:val="-14"/>
                <w:sz w:val="24"/>
              </w:rPr>
              <w:t> </w:t>
            </w:r>
            <w:r>
              <w:rPr>
                <w:spacing w:val="-2"/>
                <w:sz w:val="24"/>
              </w:rPr>
              <w:t>growth,</w:t>
            </w:r>
            <w:r>
              <w:rPr>
                <w:spacing w:val="-15"/>
                <w:sz w:val="24"/>
              </w:rPr>
              <w:t> </w:t>
            </w:r>
            <w:r>
              <w:rPr>
                <w:spacing w:val="-2"/>
                <w:sz w:val="24"/>
              </w:rPr>
              <w:t>inward </w:t>
            </w:r>
            <w:r>
              <w:rPr>
                <w:sz w:val="24"/>
              </w:rPr>
              <w:t>investment</w:t>
            </w:r>
            <w:r>
              <w:rPr>
                <w:spacing w:val="-17"/>
                <w:sz w:val="24"/>
              </w:rPr>
              <w:t> </w:t>
            </w:r>
            <w:r>
              <w:rPr>
                <w:sz w:val="24"/>
              </w:rPr>
              <w:t>and</w:t>
            </w:r>
            <w:r>
              <w:rPr>
                <w:spacing w:val="-17"/>
                <w:sz w:val="24"/>
              </w:rPr>
              <w:t> </w:t>
            </w:r>
            <w:r>
              <w:rPr>
                <w:sz w:val="24"/>
              </w:rPr>
              <w:t>workforce</w:t>
            </w:r>
            <w:r>
              <w:rPr>
                <w:spacing w:val="-16"/>
                <w:sz w:val="24"/>
              </w:rPr>
              <w:t> </w:t>
            </w:r>
            <w:r>
              <w:rPr>
                <w:sz w:val="24"/>
              </w:rPr>
              <w:t>development.</w:t>
            </w:r>
            <w:r>
              <w:rPr>
                <w:spacing w:val="13"/>
                <w:sz w:val="24"/>
              </w:rPr>
              <w:t> </w:t>
            </w:r>
            <w:r>
              <w:rPr>
                <w:sz w:val="24"/>
              </w:rPr>
              <w:t>The</w:t>
            </w:r>
            <w:r>
              <w:rPr>
                <w:spacing w:val="-16"/>
                <w:sz w:val="24"/>
              </w:rPr>
              <w:t> </w:t>
            </w:r>
            <w:r>
              <w:rPr>
                <w:sz w:val="24"/>
              </w:rPr>
              <w:t>region</w:t>
            </w:r>
            <w:r>
              <w:rPr>
                <w:spacing w:val="-17"/>
                <w:sz w:val="24"/>
              </w:rPr>
              <w:t> </w:t>
            </w:r>
            <w:r>
              <w:rPr>
                <w:sz w:val="24"/>
              </w:rPr>
              <w:t>already</w:t>
            </w:r>
            <w:r>
              <w:rPr>
                <w:spacing w:val="-17"/>
                <w:sz w:val="24"/>
              </w:rPr>
              <w:t> </w:t>
            </w:r>
            <w:r>
              <w:rPr>
                <w:sz w:val="24"/>
              </w:rPr>
              <w:t>has</w:t>
            </w:r>
            <w:r>
              <w:rPr>
                <w:spacing w:val="-16"/>
                <w:sz w:val="24"/>
              </w:rPr>
              <w:t> </w:t>
            </w:r>
            <w:r>
              <w:rPr>
                <w:sz w:val="24"/>
              </w:rPr>
              <w:t>a</w:t>
            </w:r>
            <w:r>
              <w:rPr>
                <w:spacing w:val="-17"/>
                <w:sz w:val="24"/>
              </w:rPr>
              <w:t> </w:t>
            </w:r>
            <w:r>
              <w:rPr>
                <w:sz w:val="24"/>
              </w:rPr>
              <w:t>good</w:t>
            </w:r>
            <w:r>
              <w:rPr>
                <w:spacing w:val="-15"/>
                <w:sz w:val="24"/>
              </w:rPr>
              <w:t> </w:t>
            </w:r>
            <w:r>
              <w:rPr>
                <w:sz w:val="24"/>
              </w:rPr>
              <w:t>reputation</w:t>
            </w:r>
            <w:r>
              <w:rPr>
                <w:spacing w:val="-16"/>
                <w:sz w:val="24"/>
              </w:rPr>
              <w:t> </w:t>
            </w:r>
            <w:r>
              <w:rPr>
                <w:sz w:val="24"/>
              </w:rPr>
              <w:t>and </w:t>
            </w:r>
            <w:r>
              <w:rPr>
                <w:spacing w:val="-2"/>
                <w:sz w:val="24"/>
              </w:rPr>
              <w:t>strong</w:t>
            </w:r>
            <w:r>
              <w:rPr>
                <w:spacing w:val="-10"/>
                <w:sz w:val="24"/>
              </w:rPr>
              <w:t> </w:t>
            </w:r>
            <w:r>
              <w:rPr>
                <w:spacing w:val="-2"/>
                <w:sz w:val="24"/>
              </w:rPr>
              <w:t>industry</w:t>
            </w:r>
            <w:r>
              <w:rPr>
                <w:spacing w:val="-11"/>
                <w:sz w:val="24"/>
              </w:rPr>
              <w:t> </w:t>
            </w:r>
            <w:r>
              <w:rPr>
                <w:spacing w:val="-2"/>
                <w:sz w:val="24"/>
              </w:rPr>
              <w:t>networks</w:t>
            </w:r>
            <w:r>
              <w:rPr>
                <w:spacing w:val="-11"/>
                <w:sz w:val="24"/>
              </w:rPr>
              <w:t> </w:t>
            </w:r>
            <w:r>
              <w:rPr>
                <w:spacing w:val="-2"/>
                <w:sz w:val="24"/>
              </w:rPr>
              <w:t>through</w:t>
            </w:r>
            <w:r>
              <w:rPr>
                <w:spacing w:val="-10"/>
                <w:sz w:val="24"/>
              </w:rPr>
              <w:t> </w:t>
            </w:r>
            <w:r>
              <w:rPr>
                <w:spacing w:val="-2"/>
                <w:sz w:val="24"/>
              </w:rPr>
              <w:t>initiatives</w:t>
            </w:r>
            <w:r>
              <w:rPr>
                <w:spacing w:val="-11"/>
                <w:sz w:val="24"/>
              </w:rPr>
              <w:t> </w:t>
            </w:r>
            <w:r>
              <w:rPr>
                <w:spacing w:val="-2"/>
                <w:sz w:val="24"/>
              </w:rPr>
              <w:t>including</w:t>
            </w:r>
            <w:r>
              <w:rPr>
                <w:spacing w:val="-10"/>
                <w:sz w:val="24"/>
              </w:rPr>
              <w:t> </w:t>
            </w:r>
            <w:r>
              <w:rPr>
                <w:spacing w:val="-2"/>
                <w:sz w:val="24"/>
              </w:rPr>
              <w:t>the</w:t>
            </w:r>
            <w:r>
              <w:rPr>
                <w:spacing w:val="-10"/>
                <w:sz w:val="24"/>
              </w:rPr>
              <w:t> </w:t>
            </w:r>
            <w:r>
              <w:rPr>
                <w:spacing w:val="-2"/>
                <w:sz w:val="24"/>
              </w:rPr>
              <w:t>Joint</w:t>
            </w:r>
            <w:r>
              <w:rPr>
                <w:spacing w:val="-13"/>
                <w:sz w:val="24"/>
              </w:rPr>
              <w:t> </w:t>
            </w:r>
            <w:r>
              <w:rPr>
                <w:spacing w:val="-2"/>
                <w:sz w:val="24"/>
              </w:rPr>
              <w:t>Clinical</w:t>
            </w:r>
            <w:r>
              <w:rPr>
                <w:spacing w:val="-10"/>
                <w:sz w:val="24"/>
              </w:rPr>
              <w:t> </w:t>
            </w:r>
            <w:r>
              <w:rPr>
                <w:spacing w:val="-2"/>
                <w:sz w:val="24"/>
              </w:rPr>
              <w:t>Research</w:t>
            </w:r>
            <w:r>
              <w:rPr>
                <w:spacing w:val="-5"/>
                <w:sz w:val="24"/>
              </w:rPr>
              <w:t> </w:t>
            </w:r>
            <w:r>
              <w:rPr>
                <w:spacing w:val="-2"/>
                <w:sz w:val="24"/>
              </w:rPr>
              <w:t>Facility </w:t>
            </w:r>
            <w:r>
              <w:rPr>
                <w:sz w:val="24"/>
              </w:rPr>
              <w:t>and the TriTech Institute.</w:t>
            </w:r>
          </w:p>
          <w:p>
            <w:pPr>
              <w:pStyle w:val="TableParagraph"/>
              <w:spacing w:before="4"/>
              <w:rPr>
                <w:sz w:val="24"/>
              </w:rPr>
            </w:pPr>
          </w:p>
          <w:p>
            <w:pPr>
              <w:pStyle w:val="TableParagraph"/>
              <w:ind w:left="830" w:right="212"/>
              <w:rPr>
                <w:sz w:val="24"/>
              </w:rPr>
            </w:pPr>
            <w:r>
              <w:rPr>
                <w:sz w:val="24"/>
              </w:rPr>
              <w:t>Discussions</w:t>
            </w:r>
            <w:r>
              <w:rPr>
                <w:spacing w:val="-13"/>
                <w:sz w:val="24"/>
              </w:rPr>
              <w:t> </w:t>
            </w:r>
            <w:r>
              <w:rPr>
                <w:sz w:val="24"/>
              </w:rPr>
              <w:t>are</w:t>
            </w:r>
            <w:r>
              <w:rPr>
                <w:spacing w:val="-12"/>
                <w:sz w:val="24"/>
              </w:rPr>
              <w:t> </w:t>
            </w:r>
            <w:r>
              <w:rPr>
                <w:sz w:val="24"/>
              </w:rPr>
              <w:t>underway</w:t>
            </w:r>
            <w:r>
              <w:rPr>
                <w:spacing w:val="-13"/>
                <w:sz w:val="24"/>
              </w:rPr>
              <w:t> </w:t>
            </w:r>
            <w:r>
              <w:rPr>
                <w:sz w:val="24"/>
              </w:rPr>
              <w:t>with</w:t>
            </w:r>
            <w:r>
              <w:rPr>
                <w:spacing w:val="-16"/>
                <w:sz w:val="24"/>
              </w:rPr>
              <w:t> </w:t>
            </w:r>
            <w:r>
              <w:rPr>
                <w:sz w:val="24"/>
              </w:rPr>
              <w:t>officers</w:t>
            </w:r>
            <w:r>
              <w:rPr>
                <w:spacing w:val="-13"/>
                <w:sz w:val="24"/>
              </w:rPr>
              <w:t> </w:t>
            </w:r>
            <w:r>
              <w:rPr>
                <w:sz w:val="24"/>
              </w:rPr>
              <w:t>supporting</w:t>
            </w:r>
            <w:r>
              <w:rPr>
                <w:spacing w:val="-12"/>
                <w:sz w:val="24"/>
              </w:rPr>
              <w:t> </w:t>
            </w:r>
            <w:r>
              <w:rPr>
                <w:sz w:val="24"/>
              </w:rPr>
              <w:t>the</w:t>
            </w:r>
            <w:r>
              <w:rPr>
                <w:spacing w:val="-12"/>
                <w:sz w:val="24"/>
              </w:rPr>
              <w:t> </w:t>
            </w:r>
            <w:r>
              <w:rPr>
                <w:sz w:val="24"/>
              </w:rPr>
              <w:t>South</w:t>
            </w:r>
            <w:r>
              <w:rPr>
                <w:spacing w:val="-12"/>
                <w:sz w:val="24"/>
              </w:rPr>
              <w:t> </w:t>
            </w:r>
            <w:r>
              <w:rPr>
                <w:sz w:val="24"/>
              </w:rPr>
              <w:t>West</w:t>
            </w:r>
            <w:r>
              <w:rPr>
                <w:spacing w:val="-15"/>
                <w:sz w:val="24"/>
              </w:rPr>
              <w:t> </w:t>
            </w:r>
            <w:r>
              <w:rPr>
                <w:sz w:val="24"/>
              </w:rPr>
              <w:t>Wales</w:t>
            </w:r>
            <w:r>
              <w:rPr>
                <w:spacing w:val="-13"/>
                <w:sz w:val="24"/>
              </w:rPr>
              <w:t> </w:t>
            </w:r>
            <w:r>
              <w:rPr>
                <w:sz w:val="24"/>
              </w:rPr>
              <w:t>Corporate Joint</w:t>
            </w:r>
            <w:r>
              <w:rPr>
                <w:spacing w:val="-15"/>
                <w:sz w:val="24"/>
              </w:rPr>
              <w:t> </w:t>
            </w:r>
            <w:r>
              <w:rPr>
                <w:sz w:val="24"/>
              </w:rPr>
              <w:t>Committee</w:t>
            </w:r>
            <w:r>
              <w:rPr>
                <w:spacing w:val="-12"/>
                <w:sz w:val="24"/>
              </w:rPr>
              <w:t> </w:t>
            </w:r>
            <w:r>
              <w:rPr>
                <w:sz w:val="24"/>
              </w:rPr>
              <w:t>to</w:t>
            </w:r>
            <w:r>
              <w:rPr>
                <w:spacing w:val="-12"/>
                <w:sz w:val="24"/>
              </w:rPr>
              <w:t> </w:t>
            </w:r>
            <w:r>
              <w:rPr>
                <w:sz w:val="24"/>
              </w:rPr>
              <w:t>explore</w:t>
            </w:r>
            <w:r>
              <w:rPr>
                <w:spacing w:val="-12"/>
                <w:sz w:val="24"/>
              </w:rPr>
              <w:t> </w:t>
            </w:r>
            <w:r>
              <w:rPr>
                <w:sz w:val="24"/>
              </w:rPr>
              <w:t>how</w:t>
            </w:r>
            <w:r>
              <w:rPr>
                <w:spacing w:val="-8"/>
                <w:sz w:val="24"/>
              </w:rPr>
              <w:t> </w:t>
            </w:r>
            <w:r>
              <w:rPr>
                <w:sz w:val="24"/>
              </w:rPr>
              <w:t>the</w:t>
            </w:r>
            <w:r>
              <w:rPr>
                <w:spacing w:val="-12"/>
                <w:sz w:val="24"/>
              </w:rPr>
              <w:t> </w:t>
            </w:r>
            <w:r>
              <w:rPr>
                <w:sz w:val="24"/>
              </w:rPr>
              <w:t>region's</w:t>
            </w:r>
            <w:r>
              <w:rPr>
                <w:spacing w:val="-13"/>
                <w:sz w:val="24"/>
              </w:rPr>
              <w:t> </w:t>
            </w:r>
            <w:r>
              <w:rPr>
                <w:sz w:val="24"/>
              </w:rPr>
              <w:t>research,</w:t>
            </w:r>
            <w:r>
              <w:rPr>
                <w:spacing w:val="-15"/>
                <w:sz w:val="24"/>
              </w:rPr>
              <w:t> </w:t>
            </w:r>
            <w:r>
              <w:rPr>
                <w:sz w:val="24"/>
              </w:rPr>
              <w:t>innovation</w:t>
            </w:r>
            <w:r>
              <w:rPr>
                <w:spacing w:val="-12"/>
                <w:sz w:val="24"/>
              </w:rPr>
              <w:t> </w:t>
            </w:r>
            <w:r>
              <w:rPr>
                <w:sz w:val="24"/>
              </w:rPr>
              <w:t>and</w:t>
            </w:r>
            <w:r>
              <w:rPr>
                <w:spacing w:val="-12"/>
                <w:sz w:val="24"/>
              </w:rPr>
              <w:t> </w:t>
            </w:r>
            <w:r>
              <w:rPr>
                <w:sz w:val="24"/>
              </w:rPr>
              <w:t>health</w:t>
            </w:r>
            <w:r>
              <w:rPr>
                <w:spacing w:val="-12"/>
                <w:sz w:val="24"/>
              </w:rPr>
              <w:t> </w:t>
            </w:r>
            <w:r>
              <w:rPr>
                <w:sz w:val="24"/>
              </w:rPr>
              <w:t>assets could</w:t>
            </w:r>
            <w:r>
              <w:rPr>
                <w:spacing w:val="-10"/>
                <w:sz w:val="24"/>
              </w:rPr>
              <w:t> </w:t>
            </w:r>
            <w:r>
              <w:rPr>
                <w:sz w:val="24"/>
              </w:rPr>
              <w:t>form</w:t>
            </w:r>
            <w:r>
              <w:rPr>
                <w:spacing w:val="-11"/>
                <w:sz w:val="24"/>
              </w:rPr>
              <w:t> </w:t>
            </w:r>
            <w:r>
              <w:rPr>
                <w:sz w:val="24"/>
              </w:rPr>
              <w:t>part</w:t>
            </w:r>
            <w:r>
              <w:rPr>
                <w:spacing w:val="-13"/>
                <w:sz w:val="24"/>
              </w:rPr>
              <w:t> </w:t>
            </w:r>
            <w:r>
              <w:rPr>
                <w:sz w:val="24"/>
              </w:rPr>
              <w:t>of</w:t>
            </w:r>
            <w:r>
              <w:rPr>
                <w:spacing w:val="-13"/>
                <w:sz w:val="24"/>
              </w:rPr>
              <w:t> </w:t>
            </w:r>
            <w:r>
              <w:rPr>
                <w:sz w:val="24"/>
              </w:rPr>
              <w:t>a</w:t>
            </w:r>
            <w:r>
              <w:rPr>
                <w:spacing w:val="-10"/>
                <w:sz w:val="24"/>
              </w:rPr>
              <w:t> </w:t>
            </w:r>
            <w:r>
              <w:rPr>
                <w:sz w:val="24"/>
              </w:rPr>
              <w:t>more</w:t>
            </w:r>
            <w:r>
              <w:rPr>
                <w:spacing w:val="-10"/>
                <w:sz w:val="24"/>
              </w:rPr>
              <w:t> </w:t>
            </w:r>
            <w:r>
              <w:rPr>
                <w:sz w:val="24"/>
              </w:rPr>
              <w:t>coherent</w:t>
            </w:r>
            <w:r>
              <w:rPr>
                <w:spacing w:val="-13"/>
                <w:sz w:val="24"/>
              </w:rPr>
              <w:t> </w:t>
            </w:r>
            <w:r>
              <w:rPr>
                <w:sz w:val="24"/>
              </w:rPr>
              <w:t>regional</w:t>
            </w:r>
            <w:r>
              <w:rPr>
                <w:spacing w:val="-10"/>
                <w:sz w:val="24"/>
              </w:rPr>
              <w:t> </w:t>
            </w:r>
            <w:r>
              <w:rPr>
                <w:sz w:val="24"/>
              </w:rPr>
              <w:t>proposition,</w:t>
            </w:r>
            <w:r>
              <w:rPr>
                <w:spacing w:val="-13"/>
                <w:sz w:val="24"/>
              </w:rPr>
              <w:t> </w:t>
            </w:r>
            <w:r>
              <w:rPr>
                <w:sz w:val="24"/>
              </w:rPr>
              <w:t>helping</w:t>
            </w:r>
            <w:r>
              <w:rPr>
                <w:spacing w:val="-10"/>
                <w:sz w:val="24"/>
              </w:rPr>
              <w:t> </w:t>
            </w:r>
            <w:r>
              <w:rPr>
                <w:sz w:val="24"/>
              </w:rPr>
              <w:t>to</w:t>
            </w:r>
            <w:r>
              <w:rPr>
                <w:spacing w:val="-10"/>
                <w:sz w:val="24"/>
              </w:rPr>
              <w:t> </w:t>
            </w:r>
            <w:r>
              <w:rPr>
                <w:sz w:val="24"/>
              </w:rPr>
              <w:t>strengthen </w:t>
            </w:r>
            <w:r>
              <w:rPr>
                <w:spacing w:val="-2"/>
                <w:sz w:val="24"/>
              </w:rPr>
              <w:t>investment</w:t>
            </w:r>
            <w:r>
              <w:rPr>
                <w:spacing w:val="-6"/>
                <w:sz w:val="24"/>
              </w:rPr>
              <w:t> </w:t>
            </w:r>
            <w:r>
              <w:rPr>
                <w:spacing w:val="-2"/>
                <w:sz w:val="24"/>
              </w:rPr>
              <w:t>attraction,</w:t>
            </w:r>
            <w:r>
              <w:rPr>
                <w:spacing w:val="-6"/>
                <w:sz w:val="24"/>
              </w:rPr>
              <w:t> </w:t>
            </w:r>
            <w:r>
              <w:rPr>
                <w:spacing w:val="-2"/>
                <w:sz w:val="24"/>
              </w:rPr>
              <w:t>support</w:t>
            </w:r>
            <w:r>
              <w:rPr>
                <w:spacing w:val="-12"/>
                <w:sz w:val="24"/>
              </w:rPr>
              <w:t> </w:t>
            </w:r>
            <w:r>
              <w:rPr>
                <w:spacing w:val="-2"/>
                <w:sz w:val="24"/>
              </w:rPr>
              <w:t>innovation</w:t>
            </w:r>
            <w:r>
              <w:rPr>
                <w:spacing w:val="-3"/>
                <w:sz w:val="24"/>
              </w:rPr>
              <w:t> </w:t>
            </w:r>
            <w:r>
              <w:rPr>
                <w:spacing w:val="-2"/>
                <w:sz w:val="24"/>
              </w:rPr>
              <w:t>adoption,</w:t>
            </w:r>
            <w:r>
              <w:rPr>
                <w:spacing w:val="-6"/>
                <w:sz w:val="24"/>
              </w:rPr>
              <w:t> </w:t>
            </w:r>
            <w:r>
              <w:rPr>
                <w:spacing w:val="-2"/>
                <w:sz w:val="24"/>
              </w:rPr>
              <w:t>promote commercial</w:t>
            </w:r>
            <w:r>
              <w:rPr>
                <w:spacing w:val="-3"/>
                <w:sz w:val="24"/>
              </w:rPr>
              <w:t> </w:t>
            </w:r>
            <w:r>
              <w:rPr>
                <w:spacing w:val="-2"/>
                <w:sz w:val="24"/>
              </w:rPr>
              <w:t>research</w:t>
            </w:r>
            <w:r>
              <w:rPr>
                <w:spacing w:val="-3"/>
                <w:sz w:val="24"/>
              </w:rPr>
              <w:t> </w:t>
            </w:r>
            <w:r>
              <w:rPr>
                <w:spacing w:val="-2"/>
                <w:sz w:val="24"/>
              </w:rPr>
              <w:t>and reinforce South</w:t>
            </w:r>
            <w:r>
              <w:rPr>
                <w:spacing w:val="-6"/>
                <w:sz w:val="24"/>
              </w:rPr>
              <w:t> </w:t>
            </w:r>
            <w:r>
              <w:rPr>
                <w:spacing w:val="-2"/>
                <w:sz w:val="24"/>
              </w:rPr>
              <w:t>West</w:t>
            </w:r>
            <w:r>
              <w:rPr>
                <w:spacing w:val="-4"/>
                <w:sz w:val="24"/>
              </w:rPr>
              <w:t> </w:t>
            </w:r>
            <w:r>
              <w:rPr>
                <w:spacing w:val="-2"/>
                <w:sz w:val="24"/>
              </w:rPr>
              <w:t>Wales'</w:t>
            </w:r>
            <w:r>
              <w:rPr>
                <w:spacing w:val="-8"/>
                <w:sz w:val="24"/>
              </w:rPr>
              <w:t> </w:t>
            </w:r>
            <w:r>
              <w:rPr>
                <w:spacing w:val="-2"/>
                <w:sz w:val="24"/>
              </w:rPr>
              <w:t>contribution</w:t>
            </w:r>
            <w:r>
              <w:rPr>
                <w:spacing w:val="-6"/>
                <w:sz w:val="24"/>
              </w:rPr>
              <w:t> </w:t>
            </w:r>
            <w:r>
              <w:rPr>
                <w:spacing w:val="-2"/>
                <w:sz w:val="24"/>
              </w:rPr>
              <w:t>to the</w:t>
            </w:r>
            <w:r>
              <w:rPr>
                <w:spacing w:val="-6"/>
                <w:sz w:val="24"/>
              </w:rPr>
              <w:t> </w:t>
            </w:r>
            <w:r>
              <w:rPr>
                <w:spacing w:val="-2"/>
                <w:sz w:val="24"/>
              </w:rPr>
              <w:t>life</w:t>
            </w:r>
            <w:r>
              <w:rPr>
                <w:spacing w:val="-11"/>
                <w:sz w:val="24"/>
              </w:rPr>
              <w:t> </w:t>
            </w:r>
            <w:r>
              <w:rPr>
                <w:spacing w:val="-2"/>
                <w:sz w:val="24"/>
              </w:rPr>
              <w:t>sciences</w:t>
            </w:r>
            <w:r>
              <w:rPr>
                <w:spacing w:val="-7"/>
                <w:sz w:val="24"/>
              </w:rPr>
              <w:t> </w:t>
            </w:r>
            <w:r>
              <w:rPr>
                <w:spacing w:val="-2"/>
                <w:sz w:val="24"/>
              </w:rPr>
              <w:t>sector.</w:t>
            </w:r>
            <w:r>
              <w:rPr>
                <w:spacing w:val="-9"/>
                <w:sz w:val="24"/>
              </w:rPr>
              <w:t> </w:t>
            </w:r>
            <w:r>
              <w:rPr>
                <w:spacing w:val="-2"/>
                <w:sz w:val="24"/>
              </w:rPr>
              <w:t>Consideration</w:t>
            </w:r>
            <w:r>
              <w:rPr>
                <w:spacing w:val="-6"/>
                <w:sz w:val="24"/>
              </w:rPr>
              <w:t> </w:t>
            </w:r>
            <w:r>
              <w:rPr>
                <w:spacing w:val="-2"/>
                <w:sz w:val="24"/>
              </w:rPr>
              <w:t>will also</w:t>
            </w:r>
            <w:r>
              <w:rPr>
                <w:spacing w:val="-15"/>
                <w:sz w:val="24"/>
              </w:rPr>
              <w:t> </w:t>
            </w:r>
            <w:r>
              <w:rPr>
                <w:spacing w:val="-2"/>
                <w:sz w:val="24"/>
              </w:rPr>
              <w:t>be</w:t>
            </w:r>
            <w:r>
              <w:rPr>
                <w:spacing w:val="-15"/>
                <w:sz w:val="24"/>
              </w:rPr>
              <w:t> </w:t>
            </w:r>
            <w:r>
              <w:rPr>
                <w:spacing w:val="-2"/>
                <w:sz w:val="24"/>
              </w:rPr>
              <w:t>given</w:t>
            </w:r>
            <w:r>
              <w:rPr>
                <w:spacing w:val="-10"/>
                <w:sz w:val="24"/>
              </w:rPr>
              <w:t> </w:t>
            </w:r>
            <w:r>
              <w:rPr>
                <w:spacing w:val="-2"/>
                <w:sz w:val="24"/>
              </w:rPr>
              <w:t>to</w:t>
            </w:r>
            <w:r>
              <w:rPr>
                <w:spacing w:val="-15"/>
                <w:sz w:val="24"/>
              </w:rPr>
              <w:t> </w:t>
            </w:r>
            <w:r>
              <w:rPr>
                <w:spacing w:val="-2"/>
                <w:sz w:val="24"/>
              </w:rPr>
              <w:t>how</w:t>
            </w:r>
            <w:r>
              <w:rPr>
                <w:spacing w:val="-14"/>
                <w:sz w:val="24"/>
              </w:rPr>
              <w:t> </w:t>
            </w:r>
            <w:r>
              <w:rPr>
                <w:spacing w:val="-2"/>
                <w:sz w:val="24"/>
              </w:rPr>
              <w:t>health,</w:t>
            </w:r>
            <w:r>
              <w:rPr>
                <w:spacing w:val="-14"/>
                <w:sz w:val="24"/>
              </w:rPr>
              <w:t> </w:t>
            </w:r>
            <w:r>
              <w:rPr>
                <w:spacing w:val="-2"/>
                <w:sz w:val="24"/>
              </w:rPr>
              <w:t>research,</w:t>
            </w:r>
            <w:r>
              <w:rPr>
                <w:spacing w:val="-14"/>
                <w:sz w:val="24"/>
              </w:rPr>
              <w:t> </w:t>
            </w:r>
            <w:r>
              <w:rPr>
                <w:spacing w:val="-2"/>
                <w:sz w:val="24"/>
              </w:rPr>
              <w:t>innovation</w:t>
            </w:r>
            <w:r>
              <w:rPr>
                <w:spacing w:val="-11"/>
                <w:sz w:val="24"/>
              </w:rPr>
              <w:t> </w:t>
            </w:r>
            <w:r>
              <w:rPr>
                <w:spacing w:val="-2"/>
                <w:sz w:val="24"/>
              </w:rPr>
              <w:t>and</w:t>
            </w:r>
            <w:r>
              <w:rPr>
                <w:spacing w:val="-12"/>
                <w:sz w:val="24"/>
              </w:rPr>
              <w:t> </w:t>
            </w:r>
            <w:r>
              <w:rPr>
                <w:spacing w:val="-2"/>
                <w:sz w:val="24"/>
              </w:rPr>
              <w:t>economic</w:t>
            </w:r>
            <w:r>
              <w:rPr>
                <w:spacing w:val="-12"/>
                <w:sz w:val="24"/>
              </w:rPr>
              <w:t> </w:t>
            </w:r>
            <w:r>
              <w:rPr>
                <w:spacing w:val="-2"/>
                <w:sz w:val="24"/>
              </w:rPr>
              <w:t>development</w:t>
            </w:r>
            <w:r>
              <w:rPr>
                <w:spacing w:val="-14"/>
                <w:sz w:val="24"/>
              </w:rPr>
              <w:t> </w:t>
            </w:r>
            <w:r>
              <w:rPr>
                <w:spacing w:val="-2"/>
                <w:sz w:val="24"/>
              </w:rPr>
              <w:t>priorities </w:t>
            </w:r>
            <w:r>
              <w:rPr>
                <w:sz w:val="24"/>
              </w:rPr>
              <w:t>can</w:t>
            </w:r>
            <w:r>
              <w:rPr>
                <w:spacing w:val="-16"/>
                <w:sz w:val="24"/>
              </w:rPr>
              <w:t> </w:t>
            </w:r>
            <w:r>
              <w:rPr>
                <w:sz w:val="24"/>
              </w:rPr>
              <w:t>be</w:t>
            </w:r>
            <w:r>
              <w:rPr>
                <w:spacing w:val="-16"/>
                <w:sz w:val="24"/>
              </w:rPr>
              <w:t> </w:t>
            </w:r>
            <w:r>
              <w:rPr>
                <w:sz w:val="24"/>
              </w:rPr>
              <w:t>better</w:t>
            </w:r>
            <w:r>
              <w:rPr>
                <w:spacing w:val="-13"/>
                <w:sz w:val="24"/>
              </w:rPr>
              <w:t> </w:t>
            </w:r>
            <w:r>
              <w:rPr>
                <w:sz w:val="24"/>
              </w:rPr>
              <w:t>aligned</w:t>
            </w:r>
            <w:r>
              <w:rPr>
                <w:spacing w:val="-12"/>
                <w:sz w:val="24"/>
              </w:rPr>
              <w:t> </w:t>
            </w:r>
            <w:r>
              <w:rPr>
                <w:sz w:val="24"/>
              </w:rPr>
              <w:t>to</w:t>
            </w:r>
            <w:r>
              <w:rPr>
                <w:spacing w:val="-12"/>
                <w:sz w:val="24"/>
              </w:rPr>
              <w:t> </w:t>
            </w:r>
            <w:r>
              <w:rPr>
                <w:sz w:val="24"/>
              </w:rPr>
              <w:t>maximise</w:t>
            </w:r>
            <w:r>
              <w:rPr>
                <w:spacing w:val="-12"/>
                <w:sz w:val="24"/>
              </w:rPr>
              <w:t> </w:t>
            </w:r>
            <w:r>
              <w:rPr>
                <w:sz w:val="24"/>
              </w:rPr>
              <w:t>regional</w:t>
            </w:r>
            <w:r>
              <w:rPr>
                <w:spacing w:val="-16"/>
                <w:sz w:val="24"/>
              </w:rPr>
              <w:t> </w:t>
            </w:r>
            <w:r>
              <w:rPr>
                <w:sz w:val="24"/>
              </w:rPr>
              <w:t>impact.</w:t>
            </w:r>
            <w:r>
              <w:rPr>
                <w:spacing w:val="52"/>
                <w:sz w:val="24"/>
              </w:rPr>
              <w:t> </w:t>
            </w:r>
            <w:r>
              <w:rPr>
                <w:sz w:val="24"/>
              </w:rPr>
              <w:t>This</w:t>
            </w:r>
            <w:r>
              <w:rPr>
                <w:spacing w:val="-13"/>
                <w:sz w:val="24"/>
              </w:rPr>
              <w:t> </w:t>
            </w:r>
            <w:r>
              <w:rPr>
                <w:sz w:val="24"/>
              </w:rPr>
              <w:t>work</w:t>
            </w:r>
            <w:r>
              <w:rPr>
                <w:spacing w:val="-13"/>
                <w:sz w:val="24"/>
              </w:rPr>
              <w:t> </w:t>
            </w:r>
            <w:r>
              <w:rPr>
                <w:sz w:val="24"/>
              </w:rPr>
              <w:t>will</w:t>
            </w:r>
            <w:r>
              <w:rPr>
                <w:spacing w:val="-12"/>
                <w:sz w:val="24"/>
              </w:rPr>
              <w:t> </w:t>
            </w:r>
            <w:r>
              <w:rPr>
                <w:sz w:val="24"/>
              </w:rPr>
              <w:t>include</w:t>
            </w:r>
            <w:r>
              <w:rPr>
                <w:spacing w:val="-16"/>
                <w:sz w:val="24"/>
              </w:rPr>
              <w:t> </w:t>
            </w:r>
            <w:r>
              <w:rPr>
                <w:sz w:val="24"/>
              </w:rPr>
              <w:t>discussions with industry partners in the region.</w:t>
            </w:r>
          </w:p>
          <w:p>
            <w:pPr>
              <w:pStyle w:val="TableParagraph"/>
              <w:spacing w:before="273"/>
              <w:ind w:left="830"/>
              <w:rPr>
                <w:sz w:val="24"/>
              </w:rPr>
            </w:pPr>
            <w:r>
              <w:rPr>
                <w:spacing w:val="-2"/>
                <w:sz w:val="24"/>
              </w:rPr>
              <w:t>The</w:t>
            </w:r>
            <w:r>
              <w:rPr>
                <w:spacing w:val="-15"/>
                <w:sz w:val="24"/>
              </w:rPr>
              <w:t> </w:t>
            </w:r>
            <w:r>
              <w:rPr>
                <w:spacing w:val="-2"/>
                <w:sz w:val="24"/>
              </w:rPr>
              <w:t>outputs</w:t>
            </w:r>
            <w:r>
              <w:rPr>
                <w:spacing w:val="-15"/>
                <w:sz w:val="24"/>
              </w:rPr>
              <w:t> </w:t>
            </w:r>
            <w:r>
              <w:rPr>
                <w:spacing w:val="-2"/>
                <w:sz w:val="24"/>
              </w:rPr>
              <w:t>will</w:t>
            </w:r>
            <w:r>
              <w:rPr>
                <w:spacing w:val="-12"/>
                <w:sz w:val="24"/>
              </w:rPr>
              <w:t> </w:t>
            </w:r>
            <w:r>
              <w:rPr>
                <w:spacing w:val="-2"/>
                <w:sz w:val="24"/>
              </w:rPr>
              <w:t>include</w:t>
            </w:r>
            <w:r>
              <w:rPr>
                <w:spacing w:val="-15"/>
                <w:sz w:val="24"/>
              </w:rPr>
              <w:t> </w:t>
            </w:r>
            <w:r>
              <w:rPr>
                <w:spacing w:val="-2"/>
                <w:sz w:val="24"/>
              </w:rPr>
              <w:t>an</w:t>
            </w:r>
            <w:r>
              <w:rPr>
                <w:spacing w:val="-13"/>
                <w:sz w:val="24"/>
              </w:rPr>
              <w:t> </w:t>
            </w:r>
            <w:r>
              <w:rPr>
                <w:spacing w:val="-2"/>
                <w:sz w:val="24"/>
              </w:rPr>
              <w:t>assessment</w:t>
            </w:r>
            <w:r>
              <w:rPr>
                <w:spacing w:val="-15"/>
                <w:sz w:val="24"/>
              </w:rPr>
              <w:t> </w:t>
            </w:r>
            <w:r>
              <w:rPr>
                <w:spacing w:val="-2"/>
                <w:sz w:val="24"/>
              </w:rPr>
              <w:t>of</w:t>
            </w:r>
            <w:r>
              <w:rPr>
                <w:spacing w:val="-15"/>
                <w:sz w:val="24"/>
              </w:rPr>
              <w:t> </w:t>
            </w:r>
            <w:r>
              <w:rPr>
                <w:spacing w:val="-2"/>
                <w:sz w:val="24"/>
              </w:rPr>
              <w:t>opportunities</w:t>
            </w:r>
            <w:r>
              <w:rPr>
                <w:spacing w:val="-13"/>
                <w:sz w:val="24"/>
              </w:rPr>
              <w:t> </w:t>
            </w:r>
            <w:r>
              <w:rPr>
                <w:spacing w:val="-2"/>
                <w:sz w:val="24"/>
              </w:rPr>
              <w:t>for</w:t>
            </w:r>
            <w:r>
              <w:rPr>
                <w:spacing w:val="-14"/>
                <w:sz w:val="24"/>
              </w:rPr>
              <w:t> </w:t>
            </w:r>
            <w:r>
              <w:rPr>
                <w:spacing w:val="-2"/>
                <w:sz w:val="24"/>
              </w:rPr>
              <w:t>regional</w:t>
            </w:r>
            <w:r>
              <w:rPr>
                <w:spacing w:val="-13"/>
                <w:sz w:val="24"/>
              </w:rPr>
              <w:t> </w:t>
            </w:r>
            <w:r>
              <w:rPr>
                <w:spacing w:val="-2"/>
                <w:sz w:val="24"/>
              </w:rPr>
              <w:t>collaboration</w:t>
            </w:r>
            <w:r>
              <w:rPr>
                <w:spacing w:val="-13"/>
                <w:sz w:val="24"/>
              </w:rPr>
              <w:t> </w:t>
            </w:r>
            <w:r>
              <w:rPr>
                <w:spacing w:val="-2"/>
                <w:sz w:val="24"/>
              </w:rPr>
              <w:t>and </w:t>
            </w:r>
            <w:r>
              <w:rPr>
                <w:sz w:val="24"/>
              </w:rPr>
              <w:t>recommendations</w:t>
            </w:r>
            <w:r>
              <w:rPr>
                <w:spacing w:val="-15"/>
                <w:sz w:val="24"/>
              </w:rPr>
              <w:t> </w:t>
            </w:r>
            <w:r>
              <w:rPr>
                <w:sz w:val="24"/>
              </w:rPr>
              <w:t>to</w:t>
            </w:r>
            <w:r>
              <w:rPr>
                <w:spacing w:val="-14"/>
                <w:sz w:val="24"/>
              </w:rPr>
              <w:t> </w:t>
            </w:r>
            <w:r>
              <w:rPr>
                <w:sz w:val="24"/>
              </w:rPr>
              <w:t>inform</w:t>
            </w:r>
            <w:r>
              <w:rPr>
                <w:spacing w:val="-14"/>
                <w:sz w:val="24"/>
              </w:rPr>
              <w:t> </w:t>
            </w:r>
            <w:r>
              <w:rPr>
                <w:sz w:val="24"/>
              </w:rPr>
              <w:t>future</w:t>
            </w:r>
            <w:r>
              <w:rPr>
                <w:spacing w:val="-14"/>
                <w:sz w:val="24"/>
              </w:rPr>
              <w:t> </w:t>
            </w:r>
            <w:r>
              <w:rPr>
                <w:sz w:val="24"/>
              </w:rPr>
              <w:t>discussions</w:t>
            </w:r>
            <w:r>
              <w:rPr>
                <w:spacing w:val="-14"/>
                <w:sz w:val="24"/>
              </w:rPr>
              <w:t> </w:t>
            </w:r>
            <w:r>
              <w:rPr>
                <w:sz w:val="24"/>
              </w:rPr>
              <w:t>with</w:t>
            </w:r>
            <w:r>
              <w:rPr>
                <w:spacing w:val="-17"/>
                <w:sz w:val="24"/>
              </w:rPr>
              <w:t> </w:t>
            </w:r>
            <w:r>
              <w:rPr>
                <w:sz w:val="24"/>
              </w:rPr>
              <w:t>regional</w:t>
            </w:r>
            <w:r>
              <w:rPr>
                <w:spacing w:val="-13"/>
                <w:sz w:val="24"/>
              </w:rPr>
              <w:t> </w:t>
            </w:r>
            <w:r>
              <w:rPr>
                <w:sz w:val="24"/>
              </w:rPr>
              <w:t>partners</w:t>
            </w:r>
            <w:r>
              <w:rPr>
                <w:spacing w:val="-14"/>
                <w:sz w:val="24"/>
              </w:rPr>
              <w:t> </w:t>
            </w:r>
            <w:r>
              <w:rPr>
                <w:sz w:val="24"/>
              </w:rPr>
              <w:t>regarding</w:t>
            </w:r>
            <w:r>
              <w:rPr>
                <w:spacing w:val="-14"/>
                <w:sz w:val="24"/>
              </w:rPr>
              <w:t> </w:t>
            </w:r>
            <w:r>
              <w:rPr>
                <w:sz w:val="24"/>
              </w:rPr>
              <w:t>the contribution</w:t>
            </w:r>
            <w:r>
              <w:rPr>
                <w:spacing w:val="-13"/>
                <w:sz w:val="24"/>
              </w:rPr>
              <w:t> </w:t>
            </w:r>
            <w:r>
              <w:rPr>
                <w:sz w:val="24"/>
              </w:rPr>
              <w:t>that</w:t>
            </w:r>
            <w:r>
              <w:rPr>
                <w:spacing w:val="-16"/>
                <w:sz w:val="24"/>
              </w:rPr>
              <w:t> </w:t>
            </w:r>
            <w:r>
              <w:rPr>
                <w:sz w:val="24"/>
              </w:rPr>
              <w:t>research,</w:t>
            </w:r>
            <w:r>
              <w:rPr>
                <w:spacing w:val="-16"/>
                <w:sz w:val="24"/>
              </w:rPr>
              <w:t> </w:t>
            </w:r>
            <w:r>
              <w:rPr>
                <w:sz w:val="24"/>
              </w:rPr>
              <w:t>innovation</w:t>
            </w:r>
            <w:r>
              <w:rPr>
                <w:spacing w:val="-13"/>
                <w:sz w:val="24"/>
              </w:rPr>
              <w:t> </w:t>
            </w:r>
            <w:r>
              <w:rPr>
                <w:sz w:val="24"/>
              </w:rPr>
              <w:t>and</w:t>
            </w:r>
            <w:r>
              <w:rPr>
                <w:spacing w:val="-13"/>
                <w:sz w:val="24"/>
              </w:rPr>
              <w:t> </w:t>
            </w:r>
            <w:r>
              <w:rPr>
                <w:sz w:val="24"/>
              </w:rPr>
              <w:t>life</w:t>
            </w:r>
            <w:r>
              <w:rPr>
                <w:spacing w:val="-13"/>
                <w:sz w:val="24"/>
              </w:rPr>
              <w:t> </w:t>
            </w:r>
            <w:r>
              <w:rPr>
                <w:sz w:val="24"/>
              </w:rPr>
              <w:t>sciences</w:t>
            </w:r>
            <w:r>
              <w:rPr>
                <w:spacing w:val="-14"/>
                <w:sz w:val="24"/>
              </w:rPr>
              <w:t> </w:t>
            </w:r>
            <w:r>
              <w:rPr>
                <w:sz w:val="24"/>
              </w:rPr>
              <w:t>could</w:t>
            </w:r>
            <w:r>
              <w:rPr>
                <w:spacing w:val="-8"/>
                <w:sz w:val="24"/>
              </w:rPr>
              <w:t> </w:t>
            </w:r>
            <w:r>
              <w:rPr>
                <w:sz w:val="24"/>
              </w:rPr>
              <w:t>make</w:t>
            </w:r>
            <w:r>
              <w:rPr>
                <w:spacing w:val="-8"/>
                <w:sz w:val="24"/>
              </w:rPr>
              <w:t> </w:t>
            </w:r>
            <w:r>
              <w:rPr>
                <w:sz w:val="24"/>
              </w:rPr>
              <w:t>to</w:t>
            </w:r>
            <w:r>
              <w:rPr>
                <w:spacing w:val="-13"/>
                <w:sz w:val="24"/>
              </w:rPr>
              <w:t> </w:t>
            </w:r>
            <w:r>
              <w:rPr>
                <w:sz w:val="24"/>
              </w:rPr>
              <w:t>the</w:t>
            </w:r>
            <w:r>
              <w:rPr>
                <w:spacing w:val="-8"/>
                <w:sz w:val="24"/>
              </w:rPr>
              <w:t> </w:t>
            </w:r>
            <w:r>
              <w:rPr>
                <w:sz w:val="24"/>
              </w:rPr>
              <w:t>future economic development</w:t>
            </w:r>
            <w:r>
              <w:rPr>
                <w:spacing w:val="-3"/>
                <w:sz w:val="24"/>
              </w:rPr>
              <w:t> </w:t>
            </w:r>
            <w:r>
              <w:rPr>
                <w:sz w:val="24"/>
              </w:rPr>
              <w:t>of South West Wales.</w:t>
            </w:r>
          </w:p>
          <w:p>
            <w:pPr>
              <w:pStyle w:val="TableParagraph"/>
              <w:rPr>
                <w:sz w:val="24"/>
              </w:rPr>
            </w:pPr>
          </w:p>
          <w:p>
            <w:pPr>
              <w:pStyle w:val="TableParagraph"/>
              <w:ind w:left="830"/>
              <w:rPr>
                <w:sz w:val="24"/>
              </w:rPr>
            </w:pPr>
            <w:r>
              <w:rPr>
                <w:spacing w:val="-2"/>
                <w:sz w:val="24"/>
              </w:rPr>
              <w:t>Target:</w:t>
            </w:r>
            <w:r>
              <w:rPr>
                <w:spacing w:val="-15"/>
                <w:sz w:val="24"/>
              </w:rPr>
              <w:t> </w:t>
            </w:r>
            <w:r>
              <w:rPr>
                <w:spacing w:val="-2"/>
                <w:sz w:val="24"/>
              </w:rPr>
              <w:t>November</w:t>
            </w:r>
            <w:r>
              <w:rPr>
                <w:spacing w:val="-15"/>
                <w:sz w:val="24"/>
              </w:rPr>
              <w:t> </w:t>
            </w:r>
            <w:r>
              <w:rPr>
                <w:spacing w:val="-2"/>
                <w:sz w:val="24"/>
              </w:rPr>
              <w:t>2026</w:t>
            </w:r>
            <w:r>
              <w:rPr>
                <w:spacing w:val="-14"/>
                <w:sz w:val="24"/>
              </w:rPr>
              <w:t> </w:t>
            </w:r>
            <w:r>
              <w:rPr>
                <w:spacing w:val="-2"/>
                <w:sz w:val="24"/>
              </w:rPr>
              <w:t>(regional</w:t>
            </w:r>
            <w:r>
              <w:rPr>
                <w:spacing w:val="-13"/>
                <w:sz w:val="24"/>
              </w:rPr>
              <w:t> </w:t>
            </w:r>
            <w:r>
              <w:rPr>
                <w:spacing w:val="-2"/>
                <w:sz w:val="24"/>
              </w:rPr>
              <w:t>commitment)</w:t>
            </w:r>
          </w:p>
        </w:tc>
      </w:tr>
    </w:tbl>
    <w:p>
      <w:pPr>
        <w:pStyle w:val="BodyText"/>
        <w:spacing w:before="2"/>
        <w:rPr>
          <w:sz w:val="16"/>
        </w:rPr>
      </w:pPr>
    </w:p>
    <w:p>
      <w:pPr>
        <w:spacing w:before="0"/>
        <w:ind w:left="8" w:right="284" w:firstLine="0"/>
        <w:jc w:val="center"/>
        <w:rPr>
          <w:sz w:val="16"/>
        </w:rPr>
      </w:pPr>
      <w:r>
        <w:rPr>
          <w:spacing w:val="-2"/>
          <w:sz w:val="16"/>
        </w:rPr>
        <w:t>Page</w:t>
      </w:r>
      <w:r>
        <w:rPr>
          <w:spacing w:val="-7"/>
          <w:sz w:val="16"/>
        </w:rPr>
        <w:t> </w:t>
      </w:r>
      <w:r>
        <w:rPr>
          <w:spacing w:val="-2"/>
          <w:sz w:val="16"/>
        </w:rPr>
        <w:t>4</w:t>
      </w:r>
      <w:r>
        <w:rPr>
          <w:spacing w:val="-9"/>
          <w:sz w:val="16"/>
        </w:rPr>
        <w:t> </w:t>
      </w:r>
      <w:r>
        <w:rPr>
          <w:spacing w:val="-2"/>
          <w:sz w:val="16"/>
        </w:rPr>
        <w:t>of</w:t>
      </w:r>
      <w:r>
        <w:rPr>
          <w:spacing w:val="-9"/>
          <w:sz w:val="16"/>
        </w:rPr>
        <w:t> </w:t>
      </w:r>
      <w:r>
        <w:rPr>
          <w:spacing w:val="-10"/>
          <w:sz w:val="16"/>
        </w:rPr>
        <w:t>5</w:t>
      </w:r>
    </w:p>
    <w:p>
      <w:pPr>
        <w:spacing w:after="0"/>
        <w:jc w:val="center"/>
        <w:rPr>
          <w:sz w:val="16"/>
        </w:rPr>
        <w:sectPr>
          <w:pgSz w:w="11910" w:h="16840"/>
          <w:pgMar w:header="0" w:footer="149" w:top="220" w:bottom="34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408" name="Image 408"/>
            <wp:cNvGraphicFramePr>
              <a:graphicFrameLocks/>
            </wp:cNvGraphicFramePr>
            <a:graphic>
              <a:graphicData uri="http://schemas.openxmlformats.org/drawingml/2006/picture">
                <pic:pic>
                  <pic:nvPicPr>
                    <pic:cNvPr id="408" name="Image 408"/>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409" name="Image 409"/>
            <wp:cNvGraphicFramePr>
              <a:graphicFrameLocks/>
            </wp:cNvGraphicFramePr>
            <a:graphic>
              <a:graphicData uri="http://schemas.openxmlformats.org/drawingml/2006/picture">
                <pic:pic>
                  <pic:nvPicPr>
                    <pic:cNvPr id="409" name="Image 409"/>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9107" w:hRule="atLeast"/>
        </w:trPr>
        <w:tc>
          <w:tcPr>
            <w:tcW w:w="10069" w:type="dxa"/>
          </w:tcPr>
          <w:p>
            <w:pPr>
              <w:pStyle w:val="TableParagraph"/>
              <w:ind w:left="830"/>
              <w:rPr>
                <w:b/>
                <w:sz w:val="24"/>
              </w:rPr>
            </w:pPr>
            <w:r>
              <w:rPr>
                <w:b/>
                <w:spacing w:val="-2"/>
                <w:sz w:val="24"/>
              </w:rPr>
              <w:t>5)</w:t>
            </w:r>
            <w:r>
              <w:rPr>
                <w:b/>
                <w:spacing w:val="-15"/>
                <w:sz w:val="24"/>
              </w:rPr>
              <w:t> </w:t>
            </w:r>
            <w:r>
              <w:rPr>
                <w:b/>
                <w:spacing w:val="-2"/>
                <w:sz w:val="24"/>
              </w:rPr>
              <w:t>Demonstrate</w:t>
            </w:r>
            <w:r>
              <w:rPr>
                <w:b/>
                <w:spacing w:val="-11"/>
                <w:sz w:val="24"/>
              </w:rPr>
              <w:t> </w:t>
            </w:r>
            <w:r>
              <w:rPr>
                <w:b/>
                <w:spacing w:val="-2"/>
                <w:sz w:val="24"/>
              </w:rPr>
              <w:t>the</w:t>
            </w:r>
            <w:r>
              <w:rPr>
                <w:b/>
                <w:spacing w:val="-9"/>
                <w:sz w:val="24"/>
              </w:rPr>
              <w:t> </w:t>
            </w:r>
            <w:r>
              <w:rPr>
                <w:b/>
                <w:spacing w:val="-2"/>
                <w:sz w:val="24"/>
              </w:rPr>
              <w:t>Value</w:t>
            </w:r>
            <w:r>
              <w:rPr>
                <w:b/>
                <w:spacing w:val="-10"/>
                <w:sz w:val="24"/>
              </w:rPr>
              <w:t> </w:t>
            </w:r>
            <w:r>
              <w:rPr>
                <w:b/>
                <w:spacing w:val="-2"/>
                <w:sz w:val="24"/>
              </w:rPr>
              <w:t>of</w:t>
            </w:r>
            <w:r>
              <w:rPr>
                <w:b/>
                <w:spacing w:val="-14"/>
                <w:sz w:val="24"/>
              </w:rPr>
              <w:t> </w:t>
            </w:r>
            <w:r>
              <w:rPr>
                <w:b/>
                <w:spacing w:val="-2"/>
                <w:sz w:val="24"/>
              </w:rPr>
              <w:t>Regional</w:t>
            </w:r>
            <w:r>
              <w:rPr>
                <w:b/>
                <w:spacing w:val="-12"/>
                <w:sz w:val="24"/>
              </w:rPr>
              <w:t> </w:t>
            </w:r>
            <w:r>
              <w:rPr>
                <w:b/>
                <w:spacing w:val="-2"/>
                <w:sz w:val="24"/>
              </w:rPr>
              <w:t>Working</w:t>
            </w:r>
          </w:p>
          <w:p>
            <w:pPr>
              <w:pStyle w:val="TableParagraph"/>
              <w:spacing w:before="274"/>
              <w:ind w:left="830"/>
              <w:rPr>
                <w:sz w:val="24"/>
              </w:rPr>
            </w:pPr>
            <w:r>
              <w:rPr>
                <w:sz w:val="24"/>
              </w:rPr>
              <w:t>Alongside</w:t>
            </w:r>
            <w:r>
              <w:rPr>
                <w:spacing w:val="-7"/>
                <w:sz w:val="24"/>
              </w:rPr>
              <w:t> </w:t>
            </w:r>
            <w:r>
              <w:rPr>
                <w:sz w:val="24"/>
              </w:rPr>
              <w:t>the</w:t>
            </w:r>
            <w:r>
              <w:rPr>
                <w:spacing w:val="-12"/>
                <w:sz w:val="24"/>
              </w:rPr>
              <w:t> </w:t>
            </w:r>
            <w:r>
              <w:rPr>
                <w:sz w:val="24"/>
              </w:rPr>
              <w:t>development</w:t>
            </w:r>
            <w:r>
              <w:rPr>
                <w:spacing w:val="-15"/>
                <w:sz w:val="24"/>
              </w:rPr>
              <w:t> </w:t>
            </w:r>
            <w:r>
              <w:rPr>
                <w:sz w:val="24"/>
              </w:rPr>
              <w:t>of</w:t>
            </w:r>
            <w:r>
              <w:rPr>
                <w:spacing w:val="-14"/>
                <w:sz w:val="24"/>
              </w:rPr>
              <w:t> </w:t>
            </w:r>
            <w:r>
              <w:rPr>
                <w:sz w:val="24"/>
              </w:rPr>
              <w:t>medium</w:t>
            </w:r>
            <w:r>
              <w:rPr>
                <w:spacing w:val="-13"/>
                <w:sz w:val="24"/>
              </w:rPr>
              <w:t> </w:t>
            </w:r>
            <w:r>
              <w:rPr>
                <w:sz w:val="24"/>
              </w:rPr>
              <w:t>to</w:t>
            </w:r>
            <w:r>
              <w:rPr>
                <w:spacing w:val="-11"/>
                <w:sz w:val="24"/>
              </w:rPr>
              <w:t> </w:t>
            </w:r>
            <w:r>
              <w:rPr>
                <w:sz w:val="24"/>
              </w:rPr>
              <w:t>longer-term</w:t>
            </w:r>
            <w:r>
              <w:rPr>
                <w:spacing w:val="-13"/>
                <w:sz w:val="24"/>
              </w:rPr>
              <w:t> </w:t>
            </w:r>
            <w:r>
              <w:rPr>
                <w:sz w:val="24"/>
              </w:rPr>
              <w:t>regional</w:t>
            </w:r>
            <w:r>
              <w:rPr>
                <w:spacing w:val="-17"/>
                <w:sz w:val="24"/>
              </w:rPr>
              <w:t> </w:t>
            </w:r>
            <w:r>
              <w:rPr>
                <w:sz w:val="24"/>
              </w:rPr>
              <w:t>arrangements,</w:t>
            </w:r>
            <w:r>
              <w:rPr>
                <w:spacing w:val="-14"/>
                <w:sz w:val="24"/>
              </w:rPr>
              <w:t> </w:t>
            </w:r>
            <w:r>
              <w:rPr>
                <w:sz w:val="24"/>
              </w:rPr>
              <w:t>a</w:t>
            </w:r>
            <w:r>
              <w:rPr>
                <w:spacing w:val="-12"/>
                <w:sz w:val="24"/>
              </w:rPr>
              <w:t> </w:t>
            </w:r>
            <w:r>
              <w:rPr>
                <w:sz w:val="24"/>
              </w:rPr>
              <w:t>small </w:t>
            </w:r>
            <w:r>
              <w:rPr>
                <w:spacing w:val="-2"/>
                <w:sz w:val="24"/>
              </w:rPr>
              <w:t>number</w:t>
            </w:r>
            <w:r>
              <w:rPr>
                <w:spacing w:val="-15"/>
                <w:sz w:val="24"/>
              </w:rPr>
              <w:t> </w:t>
            </w:r>
            <w:r>
              <w:rPr>
                <w:spacing w:val="-2"/>
                <w:sz w:val="24"/>
              </w:rPr>
              <w:t>of</w:t>
            </w:r>
            <w:r>
              <w:rPr>
                <w:spacing w:val="-15"/>
                <w:sz w:val="24"/>
              </w:rPr>
              <w:t> </w:t>
            </w:r>
            <w:r>
              <w:rPr>
                <w:spacing w:val="-2"/>
                <w:sz w:val="24"/>
              </w:rPr>
              <w:t>existing</w:t>
            </w:r>
            <w:r>
              <w:rPr>
                <w:spacing w:val="-7"/>
                <w:sz w:val="24"/>
              </w:rPr>
              <w:t> </w:t>
            </w:r>
            <w:r>
              <w:rPr>
                <w:spacing w:val="-2"/>
                <w:sz w:val="24"/>
              </w:rPr>
              <w:t>regional</w:t>
            </w:r>
            <w:r>
              <w:rPr>
                <w:spacing w:val="-12"/>
                <w:sz w:val="24"/>
              </w:rPr>
              <w:t> </w:t>
            </w:r>
            <w:r>
              <w:rPr>
                <w:spacing w:val="-2"/>
                <w:sz w:val="24"/>
              </w:rPr>
              <w:t>priorities</w:t>
            </w:r>
            <w:r>
              <w:rPr>
                <w:spacing w:val="-13"/>
                <w:sz w:val="24"/>
              </w:rPr>
              <w:t> </w:t>
            </w:r>
            <w:r>
              <w:rPr>
                <w:spacing w:val="-2"/>
                <w:sz w:val="24"/>
              </w:rPr>
              <w:t>will</w:t>
            </w:r>
            <w:r>
              <w:rPr>
                <w:spacing w:val="-12"/>
                <w:sz w:val="24"/>
              </w:rPr>
              <w:t> </w:t>
            </w:r>
            <w:r>
              <w:rPr>
                <w:spacing w:val="-2"/>
                <w:sz w:val="24"/>
              </w:rPr>
              <w:t>be</w:t>
            </w:r>
            <w:r>
              <w:rPr>
                <w:spacing w:val="-12"/>
                <w:sz w:val="24"/>
              </w:rPr>
              <w:t> </w:t>
            </w:r>
            <w:r>
              <w:rPr>
                <w:spacing w:val="-2"/>
                <w:sz w:val="24"/>
              </w:rPr>
              <w:t>used</w:t>
            </w:r>
            <w:r>
              <w:rPr>
                <w:spacing w:val="-12"/>
                <w:sz w:val="24"/>
              </w:rPr>
              <w:t> </w:t>
            </w:r>
            <w:r>
              <w:rPr>
                <w:spacing w:val="-2"/>
                <w:sz w:val="24"/>
              </w:rPr>
              <w:t>to</w:t>
            </w:r>
            <w:r>
              <w:rPr>
                <w:spacing w:val="-12"/>
                <w:sz w:val="24"/>
              </w:rPr>
              <w:t> </w:t>
            </w:r>
            <w:r>
              <w:rPr>
                <w:spacing w:val="-2"/>
                <w:sz w:val="24"/>
              </w:rPr>
              <w:t>demonstrate</w:t>
            </w:r>
            <w:r>
              <w:rPr>
                <w:spacing w:val="-12"/>
                <w:sz w:val="24"/>
              </w:rPr>
              <w:t> </w:t>
            </w:r>
            <w:r>
              <w:rPr>
                <w:spacing w:val="-2"/>
                <w:sz w:val="24"/>
              </w:rPr>
              <w:t>the</w:t>
            </w:r>
            <w:r>
              <w:rPr>
                <w:spacing w:val="-12"/>
                <w:sz w:val="24"/>
              </w:rPr>
              <w:t> </w:t>
            </w:r>
            <w:r>
              <w:rPr>
                <w:spacing w:val="-2"/>
                <w:sz w:val="24"/>
              </w:rPr>
              <w:t>practical</w:t>
            </w:r>
            <w:r>
              <w:rPr>
                <w:spacing w:val="-15"/>
                <w:sz w:val="24"/>
              </w:rPr>
              <w:t> </w:t>
            </w:r>
            <w:r>
              <w:rPr>
                <w:spacing w:val="-2"/>
                <w:sz w:val="24"/>
              </w:rPr>
              <w:t>benefits</w:t>
            </w:r>
            <w:r>
              <w:rPr>
                <w:spacing w:val="-15"/>
                <w:sz w:val="24"/>
              </w:rPr>
              <w:t> </w:t>
            </w:r>
            <w:r>
              <w:rPr>
                <w:spacing w:val="-2"/>
                <w:sz w:val="24"/>
              </w:rPr>
              <w:t>of </w:t>
            </w:r>
            <w:r>
              <w:rPr>
                <w:sz w:val="24"/>
              </w:rPr>
              <w:t>collaboration</w:t>
            </w:r>
            <w:r>
              <w:rPr>
                <w:spacing w:val="-17"/>
                <w:sz w:val="24"/>
              </w:rPr>
              <w:t> </w:t>
            </w:r>
            <w:r>
              <w:rPr>
                <w:sz w:val="24"/>
              </w:rPr>
              <w:t>across</w:t>
            </w:r>
            <w:r>
              <w:rPr>
                <w:spacing w:val="-17"/>
                <w:sz w:val="24"/>
              </w:rPr>
              <w:t> </w:t>
            </w:r>
            <w:r>
              <w:rPr>
                <w:sz w:val="24"/>
              </w:rPr>
              <w:t>organisational</w:t>
            </w:r>
            <w:r>
              <w:rPr>
                <w:spacing w:val="-16"/>
                <w:sz w:val="24"/>
              </w:rPr>
              <w:t> </w:t>
            </w:r>
            <w:r>
              <w:rPr>
                <w:sz w:val="24"/>
              </w:rPr>
              <w:t>boundaries.</w:t>
            </w:r>
            <w:r>
              <w:rPr>
                <w:spacing w:val="-17"/>
                <w:sz w:val="24"/>
              </w:rPr>
              <w:t> </w:t>
            </w:r>
            <w:r>
              <w:rPr>
                <w:sz w:val="24"/>
              </w:rPr>
              <w:t>Initial</w:t>
            </w:r>
            <w:r>
              <w:rPr>
                <w:spacing w:val="-17"/>
                <w:sz w:val="24"/>
              </w:rPr>
              <w:t> </w:t>
            </w:r>
            <w:r>
              <w:rPr>
                <w:sz w:val="24"/>
              </w:rPr>
              <w:t>focus</w:t>
            </w:r>
            <w:r>
              <w:rPr>
                <w:spacing w:val="-17"/>
                <w:sz w:val="24"/>
              </w:rPr>
              <w:t> </w:t>
            </w:r>
            <w:r>
              <w:rPr>
                <w:sz w:val="24"/>
              </w:rPr>
              <w:t>will</w:t>
            </w:r>
            <w:r>
              <w:rPr>
                <w:spacing w:val="-16"/>
                <w:sz w:val="24"/>
              </w:rPr>
              <w:t> </w:t>
            </w:r>
            <w:r>
              <w:rPr>
                <w:sz w:val="24"/>
              </w:rPr>
              <w:t>be</w:t>
            </w:r>
            <w:r>
              <w:rPr>
                <w:spacing w:val="-17"/>
                <w:sz w:val="24"/>
              </w:rPr>
              <w:t> </w:t>
            </w:r>
            <w:r>
              <w:rPr>
                <w:sz w:val="24"/>
              </w:rPr>
              <w:t>placed</w:t>
            </w:r>
            <w:r>
              <w:rPr>
                <w:spacing w:val="-17"/>
                <w:sz w:val="24"/>
              </w:rPr>
              <w:t> </w:t>
            </w:r>
            <w:r>
              <w:rPr>
                <w:sz w:val="24"/>
              </w:rPr>
              <w:t>on</w:t>
            </w:r>
            <w:r>
              <w:rPr>
                <w:spacing w:val="-16"/>
                <w:sz w:val="24"/>
              </w:rPr>
              <w:t> </w:t>
            </w:r>
            <w:r>
              <w:rPr>
                <w:sz w:val="24"/>
              </w:rPr>
              <w:t>improving access</w:t>
            </w:r>
            <w:r>
              <w:rPr>
                <w:spacing w:val="-11"/>
                <w:sz w:val="24"/>
              </w:rPr>
              <w:t> </w:t>
            </w:r>
            <w:r>
              <w:rPr>
                <w:sz w:val="24"/>
              </w:rPr>
              <w:t>to</w:t>
            </w:r>
            <w:r>
              <w:rPr>
                <w:spacing w:val="-10"/>
                <w:sz w:val="24"/>
              </w:rPr>
              <w:t> </w:t>
            </w:r>
            <w:r>
              <w:rPr>
                <w:sz w:val="24"/>
              </w:rPr>
              <w:t>cancer</w:t>
            </w:r>
            <w:r>
              <w:rPr>
                <w:spacing w:val="-11"/>
                <w:sz w:val="24"/>
              </w:rPr>
              <w:t> </w:t>
            </w:r>
            <w:r>
              <w:rPr>
                <w:sz w:val="24"/>
              </w:rPr>
              <w:t>research</w:t>
            </w:r>
            <w:r>
              <w:rPr>
                <w:spacing w:val="-10"/>
                <w:sz w:val="24"/>
              </w:rPr>
              <w:t> </w:t>
            </w:r>
            <w:r>
              <w:rPr>
                <w:sz w:val="24"/>
              </w:rPr>
              <w:t>studies</w:t>
            </w:r>
            <w:r>
              <w:rPr>
                <w:spacing w:val="-11"/>
                <w:sz w:val="24"/>
              </w:rPr>
              <w:t> </w:t>
            </w:r>
            <w:r>
              <w:rPr>
                <w:sz w:val="24"/>
              </w:rPr>
              <w:t>across</w:t>
            </w:r>
            <w:r>
              <w:rPr>
                <w:spacing w:val="-6"/>
                <w:sz w:val="24"/>
              </w:rPr>
              <w:t> </w:t>
            </w:r>
            <w:r>
              <w:rPr>
                <w:sz w:val="24"/>
              </w:rPr>
              <w:t>South</w:t>
            </w:r>
            <w:r>
              <w:rPr>
                <w:spacing w:val="-10"/>
                <w:sz w:val="24"/>
              </w:rPr>
              <w:t> </w:t>
            </w:r>
            <w:r>
              <w:rPr>
                <w:sz w:val="24"/>
              </w:rPr>
              <w:t>West</w:t>
            </w:r>
            <w:r>
              <w:rPr>
                <w:spacing w:val="-13"/>
                <w:sz w:val="24"/>
              </w:rPr>
              <w:t> </w:t>
            </w:r>
            <w:r>
              <w:rPr>
                <w:sz w:val="24"/>
              </w:rPr>
              <w:t>Wales</w:t>
            </w:r>
            <w:r>
              <w:rPr>
                <w:spacing w:val="-11"/>
                <w:sz w:val="24"/>
              </w:rPr>
              <w:t> </w:t>
            </w:r>
            <w:r>
              <w:rPr>
                <w:sz w:val="24"/>
              </w:rPr>
              <w:t>and</w:t>
            </w:r>
            <w:r>
              <w:rPr>
                <w:spacing w:val="-10"/>
                <w:sz w:val="24"/>
              </w:rPr>
              <w:t> </w:t>
            </w:r>
            <w:r>
              <w:rPr>
                <w:sz w:val="24"/>
              </w:rPr>
              <w:t>supporting</w:t>
            </w:r>
            <w:r>
              <w:rPr>
                <w:spacing w:val="-10"/>
                <w:sz w:val="24"/>
              </w:rPr>
              <w:t> </w:t>
            </w:r>
            <w:r>
              <w:rPr>
                <w:sz w:val="24"/>
              </w:rPr>
              <w:t>the continued</w:t>
            </w:r>
            <w:r>
              <w:rPr>
                <w:spacing w:val="-14"/>
                <w:sz w:val="24"/>
              </w:rPr>
              <w:t> </w:t>
            </w:r>
            <w:r>
              <w:rPr>
                <w:sz w:val="24"/>
              </w:rPr>
              <w:t>development</w:t>
            </w:r>
            <w:r>
              <w:rPr>
                <w:spacing w:val="-17"/>
                <w:sz w:val="24"/>
              </w:rPr>
              <w:t> </w:t>
            </w:r>
            <w:r>
              <w:rPr>
                <w:sz w:val="24"/>
              </w:rPr>
              <w:t>and</w:t>
            </w:r>
            <w:r>
              <w:rPr>
                <w:spacing w:val="-14"/>
                <w:sz w:val="24"/>
              </w:rPr>
              <w:t> </w:t>
            </w:r>
            <w:r>
              <w:rPr>
                <w:sz w:val="24"/>
              </w:rPr>
              <w:t>spread</w:t>
            </w:r>
            <w:r>
              <w:rPr>
                <w:spacing w:val="-14"/>
                <w:sz w:val="24"/>
              </w:rPr>
              <w:t> </w:t>
            </w:r>
            <w:r>
              <w:rPr>
                <w:sz w:val="24"/>
              </w:rPr>
              <w:t>of</w:t>
            </w:r>
            <w:r>
              <w:rPr>
                <w:spacing w:val="-17"/>
                <w:sz w:val="24"/>
              </w:rPr>
              <w:t> </w:t>
            </w:r>
            <w:r>
              <w:rPr>
                <w:sz w:val="24"/>
              </w:rPr>
              <w:t>a</w:t>
            </w:r>
            <w:r>
              <w:rPr>
                <w:spacing w:val="-14"/>
                <w:sz w:val="24"/>
              </w:rPr>
              <w:t> </w:t>
            </w:r>
            <w:r>
              <w:rPr>
                <w:sz w:val="24"/>
              </w:rPr>
              <w:t>regional</w:t>
            </w:r>
            <w:r>
              <w:rPr>
                <w:spacing w:val="-10"/>
                <w:sz w:val="24"/>
              </w:rPr>
              <w:t> </w:t>
            </w:r>
            <w:r>
              <w:rPr>
                <w:sz w:val="24"/>
              </w:rPr>
              <w:t>cardiovascular</w:t>
            </w:r>
            <w:r>
              <w:rPr>
                <w:spacing w:val="-15"/>
                <w:sz w:val="24"/>
              </w:rPr>
              <w:t> </w:t>
            </w:r>
            <w:r>
              <w:rPr>
                <w:sz w:val="24"/>
              </w:rPr>
              <w:t>disease</w:t>
            </w:r>
            <w:r>
              <w:rPr>
                <w:spacing w:val="-14"/>
                <w:sz w:val="24"/>
              </w:rPr>
              <w:t> </w:t>
            </w:r>
            <w:r>
              <w:rPr>
                <w:sz w:val="24"/>
              </w:rPr>
              <w:t>innovation </w:t>
            </w:r>
            <w:r>
              <w:rPr>
                <w:spacing w:val="-2"/>
                <w:sz w:val="24"/>
              </w:rPr>
              <w:t>programme,</w:t>
            </w:r>
            <w:r>
              <w:rPr>
                <w:spacing w:val="-8"/>
                <w:sz w:val="24"/>
              </w:rPr>
              <w:t> </w:t>
            </w:r>
            <w:r>
              <w:rPr>
                <w:spacing w:val="-2"/>
                <w:sz w:val="24"/>
              </w:rPr>
              <w:t>both</w:t>
            </w:r>
            <w:r>
              <w:rPr>
                <w:spacing w:val="-10"/>
                <w:sz w:val="24"/>
              </w:rPr>
              <w:t> </w:t>
            </w:r>
            <w:r>
              <w:rPr>
                <w:spacing w:val="-2"/>
                <w:sz w:val="24"/>
              </w:rPr>
              <w:t>of</w:t>
            </w:r>
            <w:r>
              <w:rPr>
                <w:spacing w:val="-8"/>
                <w:sz w:val="24"/>
              </w:rPr>
              <w:t> </w:t>
            </w:r>
            <w:r>
              <w:rPr>
                <w:spacing w:val="-2"/>
                <w:sz w:val="24"/>
              </w:rPr>
              <w:t>which</w:t>
            </w:r>
            <w:r>
              <w:rPr>
                <w:spacing w:val="-10"/>
                <w:sz w:val="24"/>
              </w:rPr>
              <w:t> </w:t>
            </w:r>
            <w:r>
              <w:rPr>
                <w:spacing w:val="-2"/>
                <w:sz w:val="24"/>
              </w:rPr>
              <w:t>have</w:t>
            </w:r>
            <w:r>
              <w:rPr>
                <w:spacing w:val="-5"/>
                <w:sz w:val="24"/>
              </w:rPr>
              <w:t> </w:t>
            </w:r>
            <w:r>
              <w:rPr>
                <w:spacing w:val="-2"/>
                <w:sz w:val="24"/>
              </w:rPr>
              <w:t>already</w:t>
            </w:r>
            <w:r>
              <w:rPr>
                <w:spacing w:val="-6"/>
                <w:sz w:val="24"/>
              </w:rPr>
              <w:t> </w:t>
            </w:r>
            <w:r>
              <w:rPr>
                <w:spacing w:val="-2"/>
                <w:sz w:val="24"/>
              </w:rPr>
              <w:t>demonstrated the</w:t>
            </w:r>
            <w:r>
              <w:rPr>
                <w:spacing w:val="-5"/>
                <w:sz w:val="24"/>
              </w:rPr>
              <w:t> </w:t>
            </w:r>
            <w:r>
              <w:rPr>
                <w:spacing w:val="-2"/>
                <w:sz w:val="24"/>
              </w:rPr>
              <w:t>value</w:t>
            </w:r>
            <w:r>
              <w:rPr>
                <w:spacing w:val="-10"/>
                <w:sz w:val="24"/>
              </w:rPr>
              <w:t> </w:t>
            </w:r>
            <w:r>
              <w:rPr>
                <w:spacing w:val="-2"/>
                <w:sz w:val="24"/>
              </w:rPr>
              <w:t>of</w:t>
            </w:r>
            <w:r>
              <w:rPr>
                <w:spacing w:val="-8"/>
                <w:sz w:val="24"/>
              </w:rPr>
              <w:t> </w:t>
            </w:r>
            <w:r>
              <w:rPr>
                <w:spacing w:val="-2"/>
                <w:sz w:val="24"/>
              </w:rPr>
              <w:t>cross-organisational </w:t>
            </w:r>
            <w:r>
              <w:rPr>
                <w:sz w:val="24"/>
              </w:rPr>
              <w:t>working</w:t>
            </w:r>
            <w:r>
              <w:rPr>
                <w:spacing w:val="-2"/>
                <w:sz w:val="24"/>
              </w:rPr>
              <w:t> </w:t>
            </w:r>
            <w:r>
              <w:rPr>
                <w:sz w:val="24"/>
              </w:rPr>
              <w:t>and</w:t>
            </w:r>
            <w:r>
              <w:rPr>
                <w:spacing w:val="-2"/>
                <w:sz w:val="24"/>
              </w:rPr>
              <w:t> </w:t>
            </w:r>
            <w:r>
              <w:rPr>
                <w:sz w:val="24"/>
              </w:rPr>
              <w:t>align</w:t>
            </w:r>
            <w:r>
              <w:rPr>
                <w:spacing w:val="-2"/>
                <w:sz w:val="24"/>
              </w:rPr>
              <w:t> </w:t>
            </w:r>
            <w:r>
              <w:rPr>
                <w:sz w:val="24"/>
              </w:rPr>
              <w:t>with</w:t>
            </w:r>
            <w:r>
              <w:rPr>
                <w:spacing w:val="-2"/>
                <w:sz w:val="24"/>
              </w:rPr>
              <w:t> </w:t>
            </w:r>
            <w:r>
              <w:rPr>
                <w:sz w:val="24"/>
              </w:rPr>
              <w:t>wider</w:t>
            </w:r>
            <w:r>
              <w:rPr>
                <w:spacing w:val="-3"/>
                <w:sz w:val="24"/>
              </w:rPr>
              <w:t> </w:t>
            </w:r>
            <w:r>
              <w:rPr>
                <w:sz w:val="24"/>
              </w:rPr>
              <w:t>regional</w:t>
            </w:r>
            <w:r>
              <w:rPr>
                <w:spacing w:val="-2"/>
                <w:sz w:val="24"/>
              </w:rPr>
              <w:t> </w:t>
            </w:r>
            <w:r>
              <w:rPr>
                <w:sz w:val="24"/>
              </w:rPr>
              <w:t>priorities.</w:t>
            </w:r>
          </w:p>
          <w:p>
            <w:pPr>
              <w:pStyle w:val="TableParagraph"/>
              <w:spacing w:before="2"/>
              <w:rPr>
                <w:sz w:val="24"/>
              </w:rPr>
            </w:pPr>
          </w:p>
          <w:p>
            <w:pPr>
              <w:pStyle w:val="TableParagraph"/>
              <w:ind w:left="830"/>
              <w:rPr>
                <w:sz w:val="24"/>
              </w:rPr>
            </w:pPr>
            <w:r>
              <w:rPr>
                <w:sz w:val="24"/>
              </w:rPr>
              <w:t>Importantly,</w:t>
            </w:r>
            <w:r>
              <w:rPr>
                <w:spacing w:val="-17"/>
                <w:sz w:val="24"/>
              </w:rPr>
              <w:t> </w:t>
            </w:r>
            <w:r>
              <w:rPr>
                <w:sz w:val="24"/>
              </w:rPr>
              <w:t>both</w:t>
            </w:r>
            <w:r>
              <w:rPr>
                <w:spacing w:val="-17"/>
                <w:sz w:val="24"/>
              </w:rPr>
              <w:t> </w:t>
            </w:r>
            <w:r>
              <w:rPr>
                <w:sz w:val="24"/>
              </w:rPr>
              <w:t>programmes</w:t>
            </w:r>
            <w:r>
              <w:rPr>
                <w:spacing w:val="-16"/>
                <w:sz w:val="24"/>
              </w:rPr>
              <w:t> </w:t>
            </w:r>
            <w:r>
              <w:rPr>
                <w:sz w:val="24"/>
              </w:rPr>
              <w:t>have</w:t>
            </w:r>
            <w:r>
              <w:rPr>
                <w:spacing w:val="-17"/>
                <w:sz w:val="24"/>
              </w:rPr>
              <w:t> </w:t>
            </w:r>
            <w:r>
              <w:rPr>
                <w:sz w:val="24"/>
              </w:rPr>
              <w:t>existing</w:t>
            </w:r>
            <w:r>
              <w:rPr>
                <w:spacing w:val="-17"/>
                <w:sz w:val="24"/>
              </w:rPr>
              <w:t> </w:t>
            </w:r>
            <w:r>
              <w:rPr>
                <w:sz w:val="24"/>
              </w:rPr>
              <w:t>investment,</w:t>
            </w:r>
            <w:r>
              <w:rPr>
                <w:spacing w:val="-17"/>
                <w:sz w:val="24"/>
              </w:rPr>
              <w:t> </w:t>
            </w:r>
            <w:r>
              <w:rPr>
                <w:sz w:val="24"/>
              </w:rPr>
              <w:t>established</w:t>
            </w:r>
            <w:r>
              <w:rPr>
                <w:spacing w:val="-15"/>
                <w:sz w:val="24"/>
              </w:rPr>
              <w:t> </w:t>
            </w:r>
            <w:r>
              <w:rPr>
                <w:sz w:val="24"/>
              </w:rPr>
              <w:t>governance </w:t>
            </w:r>
            <w:r>
              <w:rPr>
                <w:spacing w:val="-2"/>
                <w:sz w:val="24"/>
              </w:rPr>
              <w:t>arrangements</w:t>
            </w:r>
            <w:r>
              <w:rPr>
                <w:spacing w:val="-15"/>
                <w:sz w:val="24"/>
              </w:rPr>
              <w:t> </w:t>
            </w:r>
            <w:r>
              <w:rPr>
                <w:spacing w:val="-2"/>
                <w:sz w:val="24"/>
              </w:rPr>
              <w:t>and</w:t>
            </w:r>
            <w:r>
              <w:rPr>
                <w:spacing w:val="-15"/>
                <w:sz w:val="24"/>
              </w:rPr>
              <w:t> </w:t>
            </w:r>
            <w:r>
              <w:rPr>
                <w:spacing w:val="-2"/>
                <w:sz w:val="24"/>
              </w:rPr>
              <w:t>clearly</w:t>
            </w:r>
            <w:r>
              <w:rPr>
                <w:spacing w:val="-14"/>
                <w:sz w:val="24"/>
              </w:rPr>
              <w:t> </w:t>
            </w:r>
            <w:r>
              <w:rPr>
                <w:spacing w:val="-2"/>
                <w:sz w:val="24"/>
              </w:rPr>
              <w:t>defined</w:t>
            </w:r>
            <w:r>
              <w:rPr>
                <w:spacing w:val="-15"/>
                <w:sz w:val="24"/>
              </w:rPr>
              <w:t> </w:t>
            </w:r>
            <w:r>
              <w:rPr>
                <w:spacing w:val="-2"/>
                <w:sz w:val="24"/>
              </w:rPr>
              <w:t>deliverables,</w:t>
            </w:r>
            <w:r>
              <w:rPr>
                <w:spacing w:val="-15"/>
                <w:sz w:val="24"/>
              </w:rPr>
              <w:t> </w:t>
            </w:r>
            <w:r>
              <w:rPr>
                <w:spacing w:val="-2"/>
                <w:sz w:val="24"/>
              </w:rPr>
              <w:t>providing</w:t>
            </w:r>
            <w:r>
              <w:rPr>
                <w:spacing w:val="-15"/>
                <w:sz w:val="24"/>
              </w:rPr>
              <w:t> </w:t>
            </w:r>
            <w:r>
              <w:rPr>
                <w:spacing w:val="-2"/>
                <w:sz w:val="24"/>
              </w:rPr>
              <w:t>an</w:t>
            </w:r>
            <w:r>
              <w:rPr>
                <w:spacing w:val="-14"/>
                <w:sz w:val="24"/>
              </w:rPr>
              <w:t> </w:t>
            </w:r>
            <w:r>
              <w:rPr>
                <w:spacing w:val="-2"/>
                <w:sz w:val="24"/>
              </w:rPr>
              <w:t>opportunity</w:t>
            </w:r>
            <w:r>
              <w:rPr>
                <w:spacing w:val="-15"/>
                <w:sz w:val="24"/>
              </w:rPr>
              <w:t> </w:t>
            </w:r>
            <w:r>
              <w:rPr>
                <w:spacing w:val="-2"/>
                <w:sz w:val="24"/>
              </w:rPr>
              <w:t>to</w:t>
            </w:r>
            <w:r>
              <w:rPr>
                <w:spacing w:val="-15"/>
                <w:sz w:val="24"/>
              </w:rPr>
              <w:t> </w:t>
            </w:r>
            <w:r>
              <w:rPr>
                <w:spacing w:val="-2"/>
                <w:sz w:val="24"/>
              </w:rPr>
              <w:t>demonstrate </w:t>
            </w:r>
            <w:r>
              <w:rPr>
                <w:sz w:val="24"/>
              </w:rPr>
              <w:t>early</w:t>
            </w:r>
            <w:r>
              <w:rPr>
                <w:spacing w:val="-13"/>
                <w:sz w:val="24"/>
              </w:rPr>
              <w:t> </w:t>
            </w:r>
            <w:r>
              <w:rPr>
                <w:sz w:val="24"/>
              </w:rPr>
              <w:t>progress</w:t>
            </w:r>
            <w:r>
              <w:rPr>
                <w:spacing w:val="-13"/>
                <w:sz w:val="24"/>
              </w:rPr>
              <w:t> </w:t>
            </w:r>
            <w:r>
              <w:rPr>
                <w:sz w:val="24"/>
              </w:rPr>
              <w:t>and</w:t>
            </w:r>
            <w:r>
              <w:rPr>
                <w:spacing w:val="-12"/>
                <w:sz w:val="24"/>
              </w:rPr>
              <w:t> </w:t>
            </w:r>
            <w:r>
              <w:rPr>
                <w:sz w:val="24"/>
              </w:rPr>
              <w:t>tangible</w:t>
            </w:r>
            <w:r>
              <w:rPr>
                <w:spacing w:val="-12"/>
                <w:sz w:val="24"/>
              </w:rPr>
              <w:t> </w:t>
            </w:r>
            <w:r>
              <w:rPr>
                <w:sz w:val="24"/>
              </w:rPr>
              <w:t>benefits</w:t>
            </w:r>
            <w:r>
              <w:rPr>
                <w:spacing w:val="-13"/>
                <w:sz w:val="24"/>
              </w:rPr>
              <w:t> </w:t>
            </w:r>
            <w:r>
              <w:rPr>
                <w:sz w:val="24"/>
              </w:rPr>
              <w:t>from</w:t>
            </w:r>
            <w:r>
              <w:rPr>
                <w:spacing w:val="-13"/>
                <w:sz w:val="24"/>
              </w:rPr>
              <w:t> </w:t>
            </w:r>
            <w:r>
              <w:rPr>
                <w:sz w:val="24"/>
              </w:rPr>
              <w:t>regional</w:t>
            </w:r>
            <w:r>
              <w:rPr>
                <w:spacing w:val="-17"/>
                <w:sz w:val="24"/>
              </w:rPr>
              <w:t> </w:t>
            </w:r>
            <w:r>
              <w:rPr>
                <w:sz w:val="24"/>
              </w:rPr>
              <w:t>working.</w:t>
            </w:r>
            <w:r>
              <w:rPr>
                <w:spacing w:val="-14"/>
                <w:sz w:val="24"/>
              </w:rPr>
              <w:t> </w:t>
            </w:r>
            <w:r>
              <w:rPr>
                <w:sz w:val="24"/>
              </w:rPr>
              <w:t>Work</w:t>
            </w:r>
            <w:r>
              <w:rPr>
                <w:spacing w:val="-13"/>
                <w:sz w:val="24"/>
              </w:rPr>
              <w:t> </w:t>
            </w:r>
            <w:r>
              <w:rPr>
                <w:sz w:val="24"/>
              </w:rPr>
              <w:t>will</w:t>
            </w:r>
            <w:r>
              <w:rPr>
                <w:spacing w:val="-12"/>
                <w:sz w:val="24"/>
              </w:rPr>
              <w:t> </w:t>
            </w:r>
            <w:r>
              <w:rPr>
                <w:sz w:val="24"/>
              </w:rPr>
              <w:t>be</w:t>
            </w:r>
            <w:r>
              <w:rPr>
                <w:spacing w:val="-12"/>
                <w:sz w:val="24"/>
              </w:rPr>
              <w:t> </w:t>
            </w:r>
            <w:r>
              <w:rPr>
                <w:sz w:val="24"/>
              </w:rPr>
              <w:t>undertaken</w:t>
            </w:r>
            <w:r>
              <w:rPr>
                <w:spacing w:val="-12"/>
                <w:sz w:val="24"/>
              </w:rPr>
              <w:t> </w:t>
            </w:r>
            <w:r>
              <w:rPr>
                <w:sz w:val="24"/>
              </w:rPr>
              <w:t>to support</w:t>
            </w:r>
            <w:r>
              <w:rPr>
                <w:spacing w:val="-15"/>
                <w:sz w:val="24"/>
              </w:rPr>
              <w:t> </w:t>
            </w:r>
            <w:r>
              <w:rPr>
                <w:sz w:val="24"/>
              </w:rPr>
              <w:t>delivery,</w:t>
            </w:r>
            <w:r>
              <w:rPr>
                <w:spacing w:val="-14"/>
                <w:sz w:val="24"/>
              </w:rPr>
              <w:t> </w:t>
            </w:r>
            <w:r>
              <w:rPr>
                <w:sz w:val="24"/>
              </w:rPr>
              <w:t>remove</w:t>
            </w:r>
            <w:r>
              <w:rPr>
                <w:spacing w:val="-11"/>
                <w:sz w:val="24"/>
              </w:rPr>
              <w:t> </w:t>
            </w:r>
            <w:r>
              <w:rPr>
                <w:sz w:val="24"/>
              </w:rPr>
              <w:t>barriers</w:t>
            </w:r>
            <w:r>
              <w:rPr>
                <w:spacing w:val="-12"/>
                <w:sz w:val="24"/>
              </w:rPr>
              <w:t> </w:t>
            </w:r>
            <w:r>
              <w:rPr>
                <w:sz w:val="24"/>
              </w:rPr>
              <w:t>to</w:t>
            </w:r>
            <w:r>
              <w:rPr>
                <w:spacing w:val="-6"/>
                <w:sz w:val="24"/>
              </w:rPr>
              <w:t> </w:t>
            </w:r>
            <w:r>
              <w:rPr>
                <w:sz w:val="24"/>
              </w:rPr>
              <w:t>collaboration</w:t>
            </w:r>
            <w:r>
              <w:rPr>
                <w:spacing w:val="-11"/>
                <w:sz w:val="24"/>
              </w:rPr>
              <w:t> </w:t>
            </w:r>
            <w:r>
              <w:rPr>
                <w:sz w:val="24"/>
              </w:rPr>
              <w:t>and</w:t>
            </w:r>
            <w:r>
              <w:rPr>
                <w:spacing w:val="-15"/>
                <w:sz w:val="24"/>
              </w:rPr>
              <w:t> </w:t>
            </w:r>
            <w:r>
              <w:rPr>
                <w:sz w:val="24"/>
              </w:rPr>
              <w:t>maximise</w:t>
            </w:r>
            <w:r>
              <w:rPr>
                <w:spacing w:val="-11"/>
                <w:sz w:val="24"/>
              </w:rPr>
              <w:t> </w:t>
            </w:r>
            <w:r>
              <w:rPr>
                <w:sz w:val="24"/>
              </w:rPr>
              <w:t>the</w:t>
            </w:r>
            <w:r>
              <w:rPr>
                <w:spacing w:val="-15"/>
                <w:sz w:val="24"/>
              </w:rPr>
              <w:t> </w:t>
            </w:r>
            <w:r>
              <w:rPr>
                <w:sz w:val="24"/>
              </w:rPr>
              <w:t>impact</w:t>
            </w:r>
            <w:r>
              <w:rPr>
                <w:spacing w:val="-14"/>
                <w:sz w:val="24"/>
              </w:rPr>
              <w:t> </w:t>
            </w:r>
            <w:r>
              <w:rPr>
                <w:sz w:val="24"/>
              </w:rPr>
              <w:t>of</w:t>
            </w:r>
            <w:r>
              <w:rPr>
                <w:spacing w:val="-17"/>
                <w:sz w:val="24"/>
              </w:rPr>
              <w:t> </w:t>
            </w:r>
            <w:r>
              <w:rPr>
                <w:sz w:val="24"/>
              </w:rPr>
              <w:t>both programmes</w:t>
            </w:r>
            <w:r>
              <w:rPr>
                <w:spacing w:val="-15"/>
                <w:sz w:val="24"/>
              </w:rPr>
              <w:t> </w:t>
            </w:r>
            <w:r>
              <w:rPr>
                <w:sz w:val="24"/>
              </w:rPr>
              <w:t>on</w:t>
            </w:r>
            <w:r>
              <w:rPr>
                <w:spacing w:val="-14"/>
                <w:sz w:val="24"/>
              </w:rPr>
              <w:t> </w:t>
            </w:r>
            <w:r>
              <w:rPr>
                <w:sz w:val="24"/>
              </w:rPr>
              <w:t>patient</w:t>
            </w:r>
            <w:r>
              <w:rPr>
                <w:spacing w:val="-17"/>
                <w:sz w:val="24"/>
              </w:rPr>
              <w:t> </w:t>
            </w:r>
            <w:r>
              <w:rPr>
                <w:sz w:val="24"/>
              </w:rPr>
              <w:t>outcomes,</w:t>
            </w:r>
            <w:r>
              <w:rPr>
                <w:spacing w:val="-17"/>
                <w:sz w:val="24"/>
              </w:rPr>
              <w:t> </w:t>
            </w:r>
            <w:r>
              <w:rPr>
                <w:sz w:val="24"/>
              </w:rPr>
              <w:t>research</w:t>
            </w:r>
            <w:r>
              <w:rPr>
                <w:spacing w:val="-14"/>
                <w:sz w:val="24"/>
              </w:rPr>
              <w:t> </w:t>
            </w:r>
            <w:r>
              <w:rPr>
                <w:sz w:val="24"/>
              </w:rPr>
              <w:t>participation,</w:t>
            </w:r>
            <w:r>
              <w:rPr>
                <w:spacing w:val="-17"/>
                <w:sz w:val="24"/>
              </w:rPr>
              <w:t> </w:t>
            </w:r>
            <w:r>
              <w:rPr>
                <w:sz w:val="24"/>
              </w:rPr>
              <w:t>innovation</w:t>
            </w:r>
            <w:r>
              <w:rPr>
                <w:spacing w:val="-14"/>
                <w:sz w:val="24"/>
              </w:rPr>
              <w:t> </w:t>
            </w:r>
            <w:r>
              <w:rPr>
                <w:sz w:val="24"/>
              </w:rPr>
              <w:t>adoption</w:t>
            </w:r>
            <w:r>
              <w:rPr>
                <w:spacing w:val="-14"/>
                <w:sz w:val="24"/>
              </w:rPr>
              <w:t> </w:t>
            </w:r>
            <w:r>
              <w:rPr>
                <w:sz w:val="24"/>
              </w:rPr>
              <w:t>and service improvement.</w:t>
            </w:r>
          </w:p>
          <w:p>
            <w:pPr>
              <w:pStyle w:val="TableParagraph"/>
              <w:spacing w:before="275"/>
              <w:ind w:left="830"/>
              <w:rPr>
                <w:sz w:val="24"/>
              </w:rPr>
            </w:pPr>
            <w:r>
              <w:rPr>
                <w:sz w:val="24"/>
              </w:rPr>
              <w:t>The</w:t>
            </w:r>
            <w:r>
              <w:rPr>
                <w:spacing w:val="-11"/>
                <w:sz w:val="24"/>
              </w:rPr>
              <w:t> </w:t>
            </w:r>
            <w:r>
              <w:rPr>
                <w:sz w:val="24"/>
              </w:rPr>
              <w:t>outputs</w:t>
            </w:r>
            <w:r>
              <w:rPr>
                <w:spacing w:val="-12"/>
                <w:sz w:val="24"/>
              </w:rPr>
              <w:t> </w:t>
            </w:r>
            <w:r>
              <w:rPr>
                <w:sz w:val="24"/>
              </w:rPr>
              <w:t>will</w:t>
            </w:r>
            <w:r>
              <w:rPr>
                <w:spacing w:val="-11"/>
                <w:sz w:val="24"/>
              </w:rPr>
              <w:t> </w:t>
            </w:r>
            <w:r>
              <w:rPr>
                <w:sz w:val="24"/>
              </w:rPr>
              <w:t>include</w:t>
            </w:r>
            <w:r>
              <w:rPr>
                <w:spacing w:val="-15"/>
                <w:sz w:val="24"/>
              </w:rPr>
              <w:t> </w:t>
            </w:r>
            <w:r>
              <w:rPr>
                <w:sz w:val="24"/>
              </w:rPr>
              <w:t>demonstrable</w:t>
            </w:r>
            <w:r>
              <w:rPr>
                <w:spacing w:val="-11"/>
                <w:sz w:val="24"/>
              </w:rPr>
              <w:t> </w:t>
            </w:r>
            <w:r>
              <w:rPr>
                <w:sz w:val="24"/>
              </w:rPr>
              <w:t>progress</w:t>
            </w:r>
            <w:r>
              <w:rPr>
                <w:spacing w:val="-16"/>
                <w:sz w:val="24"/>
              </w:rPr>
              <w:t> </w:t>
            </w:r>
            <w:r>
              <w:rPr>
                <w:sz w:val="24"/>
              </w:rPr>
              <w:t>in</w:t>
            </w:r>
            <w:r>
              <w:rPr>
                <w:spacing w:val="-15"/>
                <w:sz w:val="24"/>
              </w:rPr>
              <w:t> </w:t>
            </w:r>
            <w:r>
              <w:rPr>
                <w:sz w:val="24"/>
              </w:rPr>
              <w:t>regional</w:t>
            </w:r>
            <w:r>
              <w:rPr>
                <w:spacing w:val="-11"/>
                <w:sz w:val="24"/>
              </w:rPr>
              <w:t> </w:t>
            </w:r>
            <w:r>
              <w:rPr>
                <w:sz w:val="24"/>
              </w:rPr>
              <w:t>cancer</w:t>
            </w:r>
            <w:r>
              <w:rPr>
                <w:spacing w:val="-12"/>
                <w:sz w:val="24"/>
              </w:rPr>
              <w:t> </w:t>
            </w:r>
            <w:r>
              <w:rPr>
                <w:sz w:val="24"/>
              </w:rPr>
              <w:t>research</w:t>
            </w:r>
            <w:r>
              <w:rPr>
                <w:spacing w:val="-11"/>
                <w:sz w:val="24"/>
              </w:rPr>
              <w:t> </w:t>
            </w:r>
            <w:r>
              <w:rPr>
                <w:sz w:val="24"/>
              </w:rPr>
              <w:t>and </w:t>
            </w:r>
            <w:r>
              <w:rPr>
                <w:spacing w:val="-2"/>
                <w:sz w:val="24"/>
              </w:rPr>
              <w:t>cardiovascular</w:t>
            </w:r>
            <w:r>
              <w:rPr>
                <w:spacing w:val="-11"/>
                <w:sz w:val="24"/>
              </w:rPr>
              <w:t> </w:t>
            </w:r>
            <w:r>
              <w:rPr>
                <w:spacing w:val="-2"/>
                <w:sz w:val="24"/>
              </w:rPr>
              <w:t>innovation,</w:t>
            </w:r>
            <w:r>
              <w:rPr>
                <w:spacing w:val="-8"/>
                <w:sz w:val="24"/>
              </w:rPr>
              <w:t> </w:t>
            </w:r>
            <w:r>
              <w:rPr>
                <w:spacing w:val="-2"/>
                <w:sz w:val="24"/>
              </w:rPr>
              <w:t>together</w:t>
            </w:r>
            <w:r>
              <w:rPr>
                <w:spacing w:val="-11"/>
                <w:sz w:val="24"/>
              </w:rPr>
              <w:t> </w:t>
            </w:r>
            <w:r>
              <w:rPr>
                <w:spacing w:val="-2"/>
                <w:sz w:val="24"/>
              </w:rPr>
              <w:t>with</w:t>
            </w:r>
            <w:r>
              <w:rPr>
                <w:spacing w:val="-10"/>
                <w:sz w:val="24"/>
              </w:rPr>
              <w:t> </w:t>
            </w:r>
            <w:r>
              <w:rPr>
                <w:spacing w:val="-2"/>
                <w:sz w:val="24"/>
              </w:rPr>
              <w:t>practical</w:t>
            </w:r>
            <w:r>
              <w:rPr>
                <w:spacing w:val="-5"/>
                <w:sz w:val="24"/>
              </w:rPr>
              <w:t> </w:t>
            </w:r>
            <w:r>
              <w:rPr>
                <w:spacing w:val="-2"/>
                <w:sz w:val="24"/>
              </w:rPr>
              <w:t>learning</w:t>
            </w:r>
            <w:r>
              <w:rPr>
                <w:spacing w:val="-10"/>
                <w:sz w:val="24"/>
              </w:rPr>
              <w:t> </w:t>
            </w:r>
            <w:r>
              <w:rPr>
                <w:spacing w:val="-2"/>
                <w:sz w:val="24"/>
              </w:rPr>
              <w:t>regarding</w:t>
            </w:r>
            <w:r>
              <w:rPr>
                <w:spacing w:val="-5"/>
                <w:sz w:val="24"/>
              </w:rPr>
              <w:t> </w:t>
            </w:r>
            <w:r>
              <w:rPr>
                <w:spacing w:val="-2"/>
                <w:sz w:val="24"/>
              </w:rPr>
              <w:t>the</w:t>
            </w:r>
            <w:r>
              <w:rPr>
                <w:spacing w:val="-10"/>
                <w:sz w:val="24"/>
              </w:rPr>
              <w:t> </w:t>
            </w:r>
            <w:r>
              <w:rPr>
                <w:spacing w:val="-2"/>
                <w:sz w:val="24"/>
              </w:rPr>
              <w:t>opportunities, challenges</w:t>
            </w:r>
            <w:r>
              <w:rPr>
                <w:spacing w:val="-15"/>
                <w:sz w:val="24"/>
              </w:rPr>
              <w:t> </w:t>
            </w:r>
            <w:r>
              <w:rPr>
                <w:spacing w:val="-2"/>
                <w:sz w:val="24"/>
              </w:rPr>
              <w:t>and</w:t>
            </w:r>
            <w:r>
              <w:rPr>
                <w:spacing w:val="-15"/>
                <w:sz w:val="24"/>
              </w:rPr>
              <w:t> </w:t>
            </w:r>
            <w:r>
              <w:rPr>
                <w:spacing w:val="-2"/>
                <w:sz w:val="24"/>
              </w:rPr>
              <w:t>benefits</w:t>
            </w:r>
            <w:r>
              <w:rPr>
                <w:spacing w:val="-14"/>
                <w:sz w:val="24"/>
              </w:rPr>
              <w:t> </w:t>
            </w:r>
            <w:r>
              <w:rPr>
                <w:spacing w:val="-2"/>
                <w:sz w:val="24"/>
              </w:rPr>
              <w:t>associated</w:t>
            </w:r>
            <w:r>
              <w:rPr>
                <w:spacing w:val="-15"/>
                <w:sz w:val="24"/>
              </w:rPr>
              <w:t> </w:t>
            </w:r>
            <w:r>
              <w:rPr>
                <w:spacing w:val="-2"/>
                <w:sz w:val="24"/>
              </w:rPr>
              <w:t>with</w:t>
            </w:r>
            <w:r>
              <w:rPr>
                <w:spacing w:val="-15"/>
                <w:sz w:val="24"/>
              </w:rPr>
              <w:t> </w:t>
            </w:r>
            <w:r>
              <w:rPr>
                <w:spacing w:val="-2"/>
                <w:sz w:val="24"/>
              </w:rPr>
              <w:t>regional</w:t>
            </w:r>
            <w:r>
              <w:rPr>
                <w:spacing w:val="-15"/>
                <w:sz w:val="24"/>
              </w:rPr>
              <w:t> </w:t>
            </w:r>
            <w:r>
              <w:rPr>
                <w:spacing w:val="-2"/>
                <w:sz w:val="24"/>
              </w:rPr>
              <w:t>working.</w:t>
            </w:r>
            <w:r>
              <w:rPr>
                <w:spacing w:val="-14"/>
                <w:sz w:val="24"/>
              </w:rPr>
              <w:t> </w:t>
            </w:r>
            <w:r>
              <w:rPr>
                <w:spacing w:val="-2"/>
                <w:sz w:val="24"/>
              </w:rPr>
              <w:t>Separate</w:t>
            </w:r>
            <w:r>
              <w:rPr>
                <w:spacing w:val="-15"/>
                <w:sz w:val="24"/>
              </w:rPr>
              <w:t> </w:t>
            </w:r>
            <w:r>
              <w:rPr>
                <w:spacing w:val="-2"/>
                <w:sz w:val="24"/>
              </w:rPr>
              <w:t>work</w:t>
            </w:r>
            <w:r>
              <w:rPr>
                <w:spacing w:val="-15"/>
                <w:sz w:val="24"/>
              </w:rPr>
              <w:t> </w:t>
            </w:r>
            <w:r>
              <w:rPr>
                <w:spacing w:val="-2"/>
                <w:sz w:val="24"/>
              </w:rPr>
              <w:t>programmes </w:t>
            </w:r>
            <w:r>
              <w:rPr>
                <w:sz w:val="24"/>
              </w:rPr>
              <w:t>with associated timelines are available.</w:t>
            </w:r>
          </w:p>
          <w:p>
            <w:pPr>
              <w:pStyle w:val="TableParagraph"/>
              <w:rPr>
                <w:sz w:val="24"/>
              </w:rPr>
            </w:pPr>
          </w:p>
          <w:p>
            <w:pPr>
              <w:pStyle w:val="TableParagraph"/>
              <w:ind w:left="110"/>
              <w:rPr>
                <w:sz w:val="24"/>
              </w:rPr>
            </w:pPr>
            <w:r>
              <w:rPr>
                <w:spacing w:val="-2"/>
                <w:sz w:val="24"/>
              </w:rPr>
              <w:t>Detailed</w:t>
            </w:r>
            <w:r>
              <w:rPr>
                <w:spacing w:val="-11"/>
                <w:sz w:val="24"/>
              </w:rPr>
              <w:t> </w:t>
            </w:r>
            <w:r>
              <w:rPr>
                <w:spacing w:val="-2"/>
                <w:sz w:val="24"/>
              </w:rPr>
              <w:t>work</w:t>
            </w:r>
            <w:r>
              <w:rPr>
                <w:spacing w:val="-12"/>
                <w:sz w:val="24"/>
              </w:rPr>
              <w:t> </w:t>
            </w:r>
            <w:r>
              <w:rPr>
                <w:spacing w:val="-2"/>
                <w:sz w:val="24"/>
              </w:rPr>
              <w:t>will</w:t>
            </w:r>
            <w:r>
              <w:rPr>
                <w:spacing w:val="-11"/>
                <w:sz w:val="24"/>
              </w:rPr>
              <w:t> </w:t>
            </w:r>
            <w:r>
              <w:rPr>
                <w:spacing w:val="-2"/>
                <w:sz w:val="24"/>
              </w:rPr>
              <w:t>now</w:t>
            </w:r>
            <w:r>
              <w:rPr>
                <w:spacing w:val="-11"/>
                <w:sz w:val="24"/>
              </w:rPr>
              <w:t> </w:t>
            </w:r>
            <w:r>
              <w:rPr>
                <w:spacing w:val="-2"/>
                <w:sz w:val="24"/>
              </w:rPr>
              <w:t>be</w:t>
            </w:r>
            <w:r>
              <w:rPr>
                <w:spacing w:val="-11"/>
                <w:sz w:val="24"/>
              </w:rPr>
              <w:t> </w:t>
            </w:r>
            <w:r>
              <w:rPr>
                <w:spacing w:val="-2"/>
                <w:sz w:val="24"/>
              </w:rPr>
              <w:t>undertaken</w:t>
            </w:r>
            <w:r>
              <w:rPr>
                <w:spacing w:val="-9"/>
                <w:sz w:val="24"/>
              </w:rPr>
              <w:t> </w:t>
            </w:r>
            <w:r>
              <w:rPr>
                <w:spacing w:val="-2"/>
                <w:sz w:val="24"/>
              </w:rPr>
              <w:t>to</w:t>
            </w:r>
            <w:r>
              <w:rPr>
                <w:spacing w:val="-11"/>
                <w:sz w:val="24"/>
              </w:rPr>
              <w:t> </w:t>
            </w:r>
            <w:r>
              <w:rPr>
                <w:spacing w:val="-2"/>
                <w:sz w:val="24"/>
              </w:rPr>
              <w:t>develop</w:t>
            </w:r>
            <w:r>
              <w:rPr>
                <w:spacing w:val="-6"/>
                <w:sz w:val="24"/>
              </w:rPr>
              <w:t> </w:t>
            </w:r>
            <w:r>
              <w:rPr>
                <w:spacing w:val="-2"/>
                <w:sz w:val="24"/>
              </w:rPr>
              <w:t>more</w:t>
            </w:r>
            <w:r>
              <w:rPr>
                <w:spacing w:val="-11"/>
                <w:sz w:val="24"/>
              </w:rPr>
              <w:t> </w:t>
            </w:r>
            <w:r>
              <w:rPr>
                <w:spacing w:val="-2"/>
                <w:sz w:val="24"/>
              </w:rPr>
              <w:t>granular</w:t>
            </w:r>
            <w:r>
              <w:rPr>
                <w:spacing w:val="-11"/>
                <w:sz w:val="24"/>
              </w:rPr>
              <w:t> </w:t>
            </w:r>
            <w:r>
              <w:rPr>
                <w:spacing w:val="-2"/>
                <w:sz w:val="24"/>
              </w:rPr>
              <w:t>actions</w:t>
            </w:r>
            <w:r>
              <w:rPr>
                <w:spacing w:val="-12"/>
                <w:sz w:val="24"/>
              </w:rPr>
              <w:t> </w:t>
            </w:r>
            <w:r>
              <w:rPr>
                <w:spacing w:val="-2"/>
                <w:sz w:val="24"/>
              </w:rPr>
              <w:t>for</w:t>
            </w:r>
            <w:r>
              <w:rPr>
                <w:spacing w:val="-12"/>
                <w:sz w:val="24"/>
              </w:rPr>
              <w:t> </w:t>
            </w:r>
            <w:r>
              <w:rPr>
                <w:spacing w:val="-2"/>
                <w:sz w:val="24"/>
              </w:rPr>
              <w:t>these</w:t>
            </w:r>
            <w:r>
              <w:rPr>
                <w:spacing w:val="-11"/>
                <w:sz w:val="24"/>
              </w:rPr>
              <w:t> </w:t>
            </w:r>
            <w:r>
              <w:rPr>
                <w:spacing w:val="-2"/>
                <w:sz w:val="24"/>
              </w:rPr>
              <w:t>areas.</w:t>
            </w:r>
            <w:r>
              <w:rPr>
                <w:spacing w:val="40"/>
                <w:sz w:val="24"/>
              </w:rPr>
              <w:t> </w:t>
            </w:r>
            <w:r>
              <w:rPr>
                <w:spacing w:val="-2"/>
                <w:sz w:val="24"/>
              </w:rPr>
              <w:t>In </w:t>
            </w:r>
            <w:r>
              <w:rPr>
                <w:sz w:val="24"/>
              </w:rPr>
              <w:t>respect</w:t>
            </w:r>
            <w:r>
              <w:rPr>
                <w:spacing w:val="-17"/>
                <w:sz w:val="24"/>
              </w:rPr>
              <w:t> </w:t>
            </w:r>
            <w:r>
              <w:rPr>
                <w:sz w:val="24"/>
              </w:rPr>
              <w:t>of</w:t>
            </w:r>
            <w:r>
              <w:rPr>
                <w:spacing w:val="-14"/>
                <w:sz w:val="24"/>
              </w:rPr>
              <w:t> </w:t>
            </w:r>
            <w:r>
              <w:rPr>
                <w:sz w:val="24"/>
              </w:rPr>
              <w:t>bullet</w:t>
            </w:r>
            <w:r>
              <w:rPr>
                <w:spacing w:val="-17"/>
                <w:sz w:val="24"/>
              </w:rPr>
              <w:t> </w:t>
            </w:r>
            <w:r>
              <w:rPr>
                <w:sz w:val="24"/>
              </w:rPr>
              <w:t>points</w:t>
            </w:r>
            <w:r>
              <w:rPr>
                <w:spacing w:val="-13"/>
                <w:sz w:val="24"/>
              </w:rPr>
              <w:t> </w:t>
            </w:r>
            <w:r>
              <w:rPr>
                <w:sz w:val="24"/>
              </w:rPr>
              <w:t>3-5,</w:t>
            </w:r>
            <w:r>
              <w:rPr>
                <w:spacing w:val="-15"/>
                <w:sz w:val="24"/>
              </w:rPr>
              <w:t> </w:t>
            </w:r>
            <w:r>
              <w:rPr>
                <w:sz w:val="24"/>
              </w:rPr>
              <w:t>the</w:t>
            </w:r>
            <w:r>
              <w:rPr>
                <w:spacing w:val="-17"/>
                <w:sz w:val="24"/>
              </w:rPr>
              <w:t> </w:t>
            </w:r>
            <w:r>
              <w:rPr>
                <w:sz w:val="24"/>
              </w:rPr>
              <w:t>3As</w:t>
            </w:r>
            <w:r>
              <w:rPr>
                <w:spacing w:val="-13"/>
                <w:sz w:val="24"/>
              </w:rPr>
              <w:t> </w:t>
            </w:r>
            <w:r>
              <w:rPr>
                <w:sz w:val="24"/>
              </w:rPr>
              <w:t>report</w:t>
            </w:r>
            <w:r>
              <w:rPr>
                <w:spacing w:val="-15"/>
                <w:sz w:val="24"/>
              </w:rPr>
              <w:t> </w:t>
            </w:r>
            <w:r>
              <w:rPr>
                <w:sz w:val="24"/>
              </w:rPr>
              <w:t>illustrates</w:t>
            </w:r>
            <w:r>
              <w:rPr>
                <w:spacing w:val="-8"/>
                <w:sz w:val="24"/>
              </w:rPr>
              <w:t> </w:t>
            </w:r>
            <w:r>
              <w:rPr>
                <w:sz w:val="24"/>
              </w:rPr>
              <w:t>the</w:t>
            </w:r>
            <w:r>
              <w:rPr>
                <w:spacing w:val="-12"/>
                <w:sz w:val="24"/>
              </w:rPr>
              <w:t> </w:t>
            </w:r>
            <w:r>
              <w:rPr>
                <w:sz w:val="24"/>
              </w:rPr>
              <w:t>practical</w:t>
            </w:r>
            <w:r>
              <w:rPr>
                <w:spacing w:val="-12"/>
                <w:sz w:val="24"/>
              </w:rPr>
              <w:t> </w:t>
            </w:r>
            <w:r>
              <w:rPr>
                <w:sz w:val="24"/>
              </w:rPr>
              <w:t>activities</w:t>
            </w:r>
            <w:r>
              <w:rPr>
                <w:spacing w:val="-13"/>
                <w:sz w:val="24"/>
              </w:rPr>
              <w:t> </w:t>
            </w:r>
            <w:r>
              <w:rPr>
                <w:sz w:val="24"/>
              </w:rPr>
              <w:t>already</w:t>
            </w:r>
            <w:r>
              <w:rPr>
                <w:spacing w:val="-13"/>
                <w:sz w:val="24"/>
              </w:rPr>
              <w:t> </w:t>
            </w:r>
            <w:r>
              <w:rPr>
                <w:sz w:val="24"/>
              </w:rPr>
              <w:t>being </w:t>
            </w:r>
            <w:r>
              <w:rPr>
                <w:spacing w:val="-2"/>
                <w:sz w:val="24"/>
              </w:rPr>
              <w:t>undertaken.</w:t>
            </w:r>
          </w:p>
          <w:p>
            <w:pPr>
              <w:pStyle w:val="TableParagraph"/>
              <w:spacing w:before="2"/>
              <w:rPr>
                <w:sz w:val="24"/>
              </w:rPr>
            </w:pPr>
          </w:p>
          <w:p>
            <w:pPr>
              <w:pStyle w:val="TableParagraph"/>
              <w:ind w:left="110"/>
              <w:rPr>
                <w:sz w:val="24"/>
              </w:rPr>
            </w:pPr>
            <w:r>
              <w:rPr>
                <w:spacing w:val="-2"/>
                <w:sz w:val="24"/>
              </w:rPr>
              <w:t>Taken</w:t>
            </w:r>
            <w:r>
              <w:rPr>
                <w:spacing w:val="-9"/>
                <w:sz w:val="24"/>
              </w:rPr>
              <w:t> </w:t>
            </w:r>
            <w:r>
              <w:rPr>
                <w:spacing w:val="-2"/>
                <w:sz w:val="24"/>
              </w:rPr>
              <w:t>together,</w:t>
            </w:r>
            <w:r>
              <w:rPr>
                <w:spacing w:val="-12"/>
                <w:sz w:val="24"/>
              </w:rPr>
              <w:t> </w:t>
            </w:r>
            <w:r>
              <w:rPr>
                <w:spacing w:val="-2"/>
                <w:sz w:val="24"/>
              </w:rPr>
              <w:t>this</w:t>
            </w:r>
            <w:r>
              <w:rPr>
                <w:spacing w:val="-10"/>
                <w:sz w:val="24"/>
              </w:rPr>
              <w:t> </w:t>
            </w:r>
            <w:r>
              <w:rPr>
                <w:spacing w:val="-2"/>
                <w:sz w:val="24"/>
              </w:rPr>
              <w:t>formative</w:t>
            </w:r>
            <w:r>
              <w:rPr>
                <w:spacing w:val="-13"/>
                <w:sz w:val="24"/>
              </w:rPr>
              <w:t> </w:t>
            </w:r>
            <w:r>
              <w:rPr>
                <w:spacing w:val="-2"/>
                <w:sz w:val="24"/>
              </w:rPr>
              <w:t>programme</w:t>
            </w:r>
            <w:r>
              <w:rPr>
                <w:spacing w:val="-13"/>
                <w:sz w:val="24"/>
              </w:rPr>
              <w:t> </w:t>
            </w:r>
            <w:r>
              <w:rPr>
                <w:spacing w:val="-2"/>
                <w:sz w:val="24"/>
              </w:rPr>
              <w:t>aims</w:t>
            </w:r>
            <w:r>
              <w:rPr>
                <w:spacing w:val="-10"/>
                <w:sz w:val="24"/>
              </w:rPr>
              <w:t> </w:t>
            </w:r>
            <w:r>
              <w:rPr>
                <w:spacing w:val="-2"/>
                <w:sz w:val="24"/>
              </w:rPr>
              <w:t>to</w:t>
            </w:r>
            <w:r>
              <w:rPr>
                <w:spacing w:val="-13"/>
                <w:sz w:val="24"/>
              </w:rPr>
              <w:t> </w:t>
            </w:r>
            <w:r>
              <w:rPr>
                <w:spacing w:val="-2"/>
                <w:sz w:val="24"/>
              </w:rPr>
              <w:t>take</w:t>
            </w:r>
            <w:r>
              <w:rPr>
                <w:spacing w:val="-13"/>
                <w:sz w:val="24"/>
              </w:rPr>
              <w:t> </w:t>
            </w:r>
            <w:r>
              <w:rPr>
                <w:spacing w:val="-2"/>
                <w:sz w:val="24"/>
              </w:rPr>
              <w:t>practical</w:t>
            </w:r>
            <w:r>
              <w:rPr>
                <w:spacing w:val="-13"/>
                <w:sz w:val="24"/>
              </w:rPr>
              <w:t> </w:t>
            </w:r>
            <w:r>
              <w:rPr>
                <w:spacing w:val="-2"/>
                <w:sz w:val="24"/>
              </w:rPr>
              <w:t>steps</w:t>
            </w:r>
            <w:r>
              <w:rPr>
                <w:spacing w:val="-14"/>
                <w:sz w:val="24"/>
              </w:rPr>
              <w:t> </w:t>
            </w:r>
            <w:r>
              <w:rPr>
                <w:spacing w:val="-2"/>
                <w:sz w:val="24"/>
              </w:rPr>
              <w:t>towards</w:t>
            </w:r>
            <w:r>
              <w:rPr>
                <w:spacing w:val="-14"/>
                <w:sz w:val="24"/>
              </w:rPr>
              <w:t> </w:t>
            </w:r>
            <w:r>
              <w:rPr>
                <w:spacing w:val="-2"/>
                <w:sz w:val="24"/>
              </w:rPr>
              <w:t>a</w:t>
            </w:r>
            <w:r>
              <w:rPr>
                <w:spacing w:val="-13"/>
                <w:sz w:val="24"/>
              </w:rPr>
              <w:t> </w:t>
            </w:r>
            <w:r>
              <w:rPr>
                <w:spacing w:val="-2"/>
                <w:sz w:val="24"/>
              </w:rPr>
              <w:t>more</w:t>
            </w:r>
            <w:r>
              <w:rPr>
                <w:spacing w:val="-13"/>
                <w:sz w:val="24"/>
              </w:rPr>
              <w:t> </w:t>
            </w:r>
            <w:r>
              <w:rPr>
                <w:spacing w:val="-2"/>
                <w:sz w:val="24"/>
              </w:rPr>
              <w:t>regional </w:t>
            </w:r>
            <w:r>
              <w:rPr>
                <w:sz w:val="24"/>
              </w:rPr>
              <w:t>approach</w:t>
            </w:r>
            <w:r>
              <w:rPr>
                <w:spacing w:val="-9"/>
                <w:sz w:val="24"/>
              </w:rPr>
              <w:t> </w:t>
            </w:r>
            <w:r>
              <w:rPr>
                <w:sz w:val="24"/>
              </w:rPr>
              <w:t>to</w:t>
            </w:r>
            <w:r>
              <w:rPr>
                <w:spacing w:val="-13"/>
                <w:sz w:val="24"/>
              </w:rPr>
              <w:t> </w:t>
            </w:r>
            <w:r>
              <w:rPr>
                <w:sz w:val="24"/>
              </w:rPr>
              <w:t>research,</w:t>
            </w:r>
            <w:r>
              <w:rPr>
                <w:spacing w:val="-16"/>
                <w:sz w:val="24"/>
              </w:rPr>
              <w:t> </w:t>
            </w:r>
            <w:r>
              <w:rPr>
                <w:sz w:val="24"/>
              </w:rPr>
              <w:t>innovation</w:t>
            </w:r>
            <w:r>
              <w:rPr>
                <w:spacing w:val="-13"/>
                <w:sz w:val="24"/>
              </w:rPr>
              <w:t> </w:t>
            </w:r>
            <w:r>
              <w:rPr>
                <w:sz w:val="24"/>
              </w:rPr>
              <w:t>and</w:t>
            </w:r>
            <w:r>
              <w:rPr>
                <w:spacing w:val="-13"/>
                <w:sz w:val="24"/>
              </w:rPr>
              <w:t> </w:t>
            </w:r>
            <w:r>
              <w:rPr>
                <w:sz w:val="24"/>
              </w:rPr>
              <w:t>excellence</w:t>
            </w:r>
            <w:r>
              <w:rPr>
                <w:spacing w:val="-9"/>
                <w:sz w:val="24"/>
              </w:rPr>
              <w:t> </w:t>
            </w:r>
            <w:r>
              <w:rPr>
                <w:sz w:val="24"/>
              </w:rPr>
              <w:t>across</w:t>
            </w:r>
            <w:r>
              <w:rPr>
                <w:spacing w:val="-14"/>
                <w:sz w:val="24"/>
              </w:rPr>
              <w:t> </w:t>
            </w:r>
            <w:r>
              <w:rPr>
                <w:sz w:val="24"/>
              </w:rPr>
              <w:t>South</w:t>
            </w:r>
            <w:r>
              <w:rPr>
                <w:spacing w:val="-13"/>
                <w:sz w:val="24"/>
              </w:rPr>
              <w:t> </w:t>
            </w:r>
            <w:r>
              <w:rPr>
                <w:sz w:val="24"/>
              </w:rPr>
              <w:t>West</w:t>
            </w:r>
            <w:r>
              <w:rPr>
                <w:spacing w:val="-16"/>
                <w:sz w:val="24"/>
              </w:rPr>
              <w:t> </w:t>
            </w:r>
            <w:r>
              <w:rPr>
                <w:sz w:val="24"/>
              </w:rPr>
              <w:t>Wales.</w:t>
            </w:r>
            <w:r>
              <w:rPr>
                <w:spacing w:val="-12"/>
                <w:sz w:val="24"/>
              </w:rPr>
              <w:t> </w:t>
            </w:r>
            <w:r>
              <w:rPr>
                <w:sz w:val="24"/>
              </w:rPr>
              <w:t>Through coordinated</w:t>
            </w:r>
            <w:r>
              <w:rPr>
                <w:spacing w:val="-17"/>
                <w:sz w:val="24"/>
              </w:rPr>
              <w:t> </w:t>
            </w:r>
            <w:r>
              <w:rPr>
                <w:sz w:val="24"/>
              </w:rPr>
              <w:t>activity</w:t>
            </w:r>
            <w:r>
              <w:rPr>
                <w:spacing w:val="-17"/>
                <w:sz w:val="24"/>
              </w:rPr>
              <w:t> </w:t>
            </w:r>
            <w:r>
              <w:rPr>
                <w:sz w:val="24"/>
              </w:rPr>
              <w:t>involving</w:t>
            </w:r>
            <w:r>
              <w:rPr>
                <w:spacing w:val="-16"/>
                <w:sz w:val="24"/>
              </w:rPr>
              <w:t> </w:t>
            </w:r>
            <w:r>
              <w:rPr>
                <w:sz w:val="24"/>
              </w:rPr>
              <w:t>the</w:t>
            </w:r>
            <w:r>
              <w:rPr>
                <w:spacing w:val="-17"/>
                <w:sz w:val="24"/>
              </w:rPr>
              <w:t> </w:t>
            </w:r>
            <w:r>
              <w:rPr>
                <w:sz w:val="24"/>
              </w:rPr>
              <w:t>NHS,</w:t>
            </w:r>
            <w:r>
              <w:rPr>
                <w:spacing w:val="-17"/>
                <w:sz w:val="24"/>
              </w:rPr>
              <w:t> </w:t>
            </w:r>
            <w:r>
              <w:rPr>
                <w:sz w:val="24"/>
              </w:rPr>
              <w:t>universities,</w:t>
            </w:r>
            <w:r>
              <w:rPr>
                <w:spacing w:val="-17"/>
                <w:sz w:val="24"/>
              </w:rPr>
              <w:t> </w:t>
            </w:r>
            <w:r>
              <w:rPr>
                <w:sz w:val="24"/>
              </w:rPr>
              <w:t>industry</w:t>
            </w:r>
            <w:r>
              <w:rPr>
                <w:spacing w:val="-16"/>
                <w:sz w:val="24"/>
              </w:rPr>
              <w:t> </w:t>
            </w:r>
            <w:r>
              <w:rPr>
                <w:sz w:val="24"/>
              </w:rPr>
              <w:t>and</w:t>
            </w:r>
            <w:r>
              <w:rPr>
                <w:spacing w:val="-17"/>
                <w:sz w:val="24"/>
              </w:rPr>
              <w:t> </w:t>
            </w:r>
            <w:r>
              <w:rPr>
                <w:sz w:val="24"/>
              </w:rPr>
              <w:t>wider</w:t>
            </w:r>
            <w:r>
              <w:rPr>
                <w:spacing w:val="-17"/>
                <w:sz w:val="24"/>
              </w:rPr>
              <w:t> </w:t>
            </w:r>
            <w:r>
              <w:rPr>
                <w:sz w:val="24"/>
              </w:rPr>
              <w:t>regional</w:t>
            </w:r>
            <w:r>
              <w:rPr>
                <w:spacing w:val="-16"/>
                <w:sz w:val="24"/>
              </w:rPr>
              <w:t> </w:t>
            </w:r>
            <w:r>
              <w:rPr>
                <w:sz w:val="24"/>
              </w:rPr>
              <w:t>partners,</w:t>
            </w:r>
            <w:r>
              <w:rPr>
                <w:spacing w:val="-17"/>
                <w:sz w:val="24"/>
              </w:rPr>
              <w:t> </w:t>
            </w:r>
            <w:r>
              <w:rPr>
                <w:sz w:val="24"/>
              </w:rPr>
              <w:t>it</w:t>
            </w:r>
            <w:r>
              <w:rPr>
                <w:spacing w:val="-17"/>
                <w:sz w:val="24"/>
              </w:rPr>
              <w:t> </w:t>
            </w:r>
            <w:r>
              <w:rPr>
                <w:sz w:val="24"/>
              </w:rPr>
              <w:t>will seek</w:t>
            </w:r>
            <w:r>
              <w:rPr>
                <w:spacing w:val="-17"/>
                <w:sz w:val="24"/>
              </w:rPr>
              <w:t> </w:t>
            </w:r>
            <w:r>
              <w:rPr>
                <w:sz w:val="24"/>
              </w:rPr>
              <w:t>to</w:t>
            </w:r>
            <w:r>
              <w:rPr>
                <w:spacing w:val="-17"/>
                <w:sz w:val="24"/>
              </w:rPr>
              <w:t> </w:t>
            </w:r>
            <w:r>
              <w:rPr>
                <w:sz w:val="24"/>
              </w:rPr>
              <w:t>strengthen</w:t>
            </w:r>
            <w:r>
              <w:rPr>
                <w:spacing w:val="-16"/>
                <w:sz w:val="24"/>
              </w:rPr>
              <w:t> </w:t>
            </w:r>
            <w:r>
              <w:rPr>
                <w:sz w:val="24"/>
              </w:rPr>
              <w:t>collaboration,</w:t>
            </w:r>
            <w:r>
              <w:rPr>
                <w:spacing w:val="-17"/>
                <w:sz w:val="24"/>
              </w:rPr>
              <w:t> </w:t>
            </w:r>
            <w:r>
              <w:rPr>
                <w:sz w:val="24"/>
              </w:rPr>
              <w:t>accelerate</w:t>
            </w:r>
            <w:r>
              <w:rPr>
                <w:spacing w:val="-14"/>
                <w:sz w:val="24"/>
              </w:rPr>
              <w:t> </w:t>
            </w:r>
            <w:r>
              <w:rPr>
                <w:sz w:val="24"/>
              </w:rPr>
              <w:t>the</w:t>
            </w:r>
            <w:r>
              <w:rPr>
                <w:spacing w:val="-15"/>
                <w:sz w:val="24"/>
              </w:rPr>
              <w:t> </w:t>
            </w:r>
            <w:r>
              <w:rPr>
                <w:sz w:val="24"/>
              </w:rPr>
              <w:t>adoption</w:t>
            </w:r>
            <w:r>
              <w:rPr>
                <w:spacing w:val="-16"/>
                <w:sz w:val="24"/>
              </w:rPr>
              <w:t> </w:t>
            </w:r>
            <w:r>
              <w:rPr>
                <w:sz w:val="24"/>
              </w:rPr>
              <w:t>of</w:t>
            </w:r>
            <w:r>
              <w:rPr>
                <w:spacing w:val="-17"/>
                <w:sz w:val="24"/>
              </w:rPr>
              <w:t> </w:t>
            </w:r>
            <w:r>
              <w:rPr>
                <w:sz w:val="24"/>
              </w:rPr>
              <w:t>innovation,</w:t>
            </w:r>
            <w:r>
              <w:rPr>
                <w:spacing w:val="-17"/>
                <w:sz w:val="24"/>
              </w:rPr>
              <w:t> </w:t>
            </w:r>
            <w:r>
              <w:rPr>
                <w:sz w:val="24"/>
              </w:rPr>
              <w:t>increase</w:t>
            </w:r>
            <w:r>
              <w:rPr>
                <w:spacing w:val="-15"/>
                <w:sz w:val="24"/>
              </w:rPr>
              <w:t> </w:t>
            </w:r>
            <w:r>
              <w:rPr>
                <w:sz w:val="24"/>
              </w:rPr>
              <w:t>research opportunities</w:t>
            </w:r>
            <w:r>
              <w:rPr>
                <w:spacing w:val="-15"/>
                <w:sz w:val="24"/>
              </w:rPr>
              <w:t> </w:t>
            </w:r>
            <w:r>
              <w:rPr>
                <w:sz w:val="24"/>
              </w:rPr>
              <w:t>and</w:t>
            </w:r>
            <w:r>
              <w:rPr>
                <w:spacing w:val="-13"/>
                <w:sz w:val="24"/>
              </w:rPr>
              <w:t> </w:t>
            </w:r>
            <w:r>
              <w:rPr>
                <w:sz w:val="24"/>
              </w:rPr>
              <w:t>support</w:t>
            </w:r>
            <w:r>
              <w:rPr>
                <w:spacing w:val="-16"/>
                <w:sz w:val="24"/>
              </w:rPr>
              <w:t> </w:t>
            </w:r>
            <w:r>
              <w:rPr>
                <w:sz w:val="24"/>
              </w:rPr>
              <w:t>sustainable</w:t>
            </w:r>
            <w:r>
              <w:rPr>
                <w:spacing w:val="-13"/>
                <w:sz w:val="24"/>
              </w:rPr>
              <w:t> </w:t>
            </w:r>
            <w:r>
              <w:rPr>
                <w:sz w:val="24"/>
              </w:rPr>
              <w:t>economic</w:t>
            </w:r>
            <w:r>
              <w:rPr>
                <w:spacing w:val="-10"/>
                <w:sz w:val="24"/>
              </w:rPr>
              <w:t> </w:t>
            </w:r>
            <w:r>
              <w:rPr>
                <w:sz w:val="24"/>
              </w:rPr>
              <w:t>growth,</w:t>
            </w:r>
            <w:r>
              <w:rPr>
                <w:spacing w:val="-16"/>
                <w:sz w:val="24"/>
              </w:rPr>
              <w:t> </w:t>
            </w:r>
            <w:r>
              <w:rPr>
                <w:sz w:val="24"/>
              </w:rPr>
              <w:t>with</w:t>
            </w:r>
            <w:r>
              <w:rPr>
                <w:spacing w:val="-13"/>
                <w:sz w:val="24"/>
              </w:rPr>
              <w:t> </w:t>
            </w:r>
            <w:r>
              <w:rPr>
                <w:sz w:val="24"/>
              </w:rPr>
              <w:t>the</w:t>
            </w:r>
            <w:r>
              <w:rPr>
                <w:spacing w:val="-17"/>
                <w:sz w:val="24"/>
              </w:rPr>
              <w:t> </w:t>
            </w:r>
            <w:r>
              <w:rPr>
                <w:sz w:val="24"/>
              </w:rPr>
              <w:t>ultimate</w:t>
            </w:r>
            <w:r>
              <w:rPr>
                <w:spacing w:val="-17"/>
                <w:sz w:val="24"/>
              </w:rPr>
              <w:t> </w:t>
            </w:r>
            <w:r>
              <w:rPr>
                <w:sz w:val="24"/>
              </w:rPr>
              <w:t>goal</w:t>
            </w:r>
            <w:r>
              <w:rPr>
                <w:spacing w:val="-13"/>
                <w:sz w:val="24"/>
              </w:rPr>
              <w:t> </w:t>
            </w:r>
            <w:r>
              <w:rPr>
                <w:sz w:val="24"/>
              </w:rPr>
              <w:t>of</w:t>
            </w:r>
            <w:r>
              <w:rPr>
                <w:spacing w:val="-16"/>
                <w:sz w:val="24"/>
              </w:rPr>
              <w:t> </w:t>
            </w:r>
            <w:r>
              <w:rPr>
                <w:sz w:val="24"/>
              </w:rPr>
              <w:t>improving health and wellbeing across the region.</w:t>
            </w:r>
          </w:p>
        </w:tc>
      </w:tr>
      <w:tr>
        <w:trPr>
          <w:trHeight w:val="1105" w:hRule="atLeast"/>
        </w:trPr>
        <w:tc>
          <w:tcPr>
            <w:tcW w:w="10069" w:type="dxa"/>
          </w:tcPr>
          <w:p>
            <w:pPr>
              <w:pStyle w:val="TableParagraph"/>
              <w:ind w:left="110"/>
              <w:rPr>
                <w:b/>
                <w:sz w:val="24"/>
              </w:rPr>
            </w:pPr>
            <w:r>
              <w:rPr>
                <w:b/>
                <w:color w:val="394871"/>
                <w:spacing w:val="-4"/>
                <w:sz w:val="24"/>
                <w:u w:val="single" w:color="394871"/>
              </w:rPr>
              <w:t>Argymhelliad</w:t>
            </w:r>
            <w:r>
              <w:rPr>
                <w:b/>
                <w:color w:val="394871"/>
                <w:spacing w:val="-3"/>
                <w:sz w:val="24"/>
                <w:u w:val="single" w:color="394871"/>
              </w:rPr>
              <w:t> </w:t>
            </w:r>
            <w:r>
              <w:rPr>
                <w:b/>
                <w:color w:val="394871"/>
                <w:spacing w:val="-4"/>
                <w:sz w:val="24"/>
                <w:u w:val="single" w:color="394871"/>
              </w:rPr>
              <w:t>/</w:t>
            </w:r>
            <w:r>
              <w:rPr>
                <w:b/>
                <w:color w:val="394871"/>
                <w:spacing w:val="-2"/>
                <w:sz w:val="24"/>
                <w:u w:val="single" w:color="394871"/>
              </w:rPr>
              <w:t> </w:t>
            </w:r>
            <w:r>
              <w:rPr>
                <w:b/>
                <w:color w:val="394871"/>
                <w:spacing w:val="-4"/>
                <w:sz w:val="24"/>
                <w:u w:val="single" w:color="394871"/>
              </w:rPr>
              <w:t>Recommendation</w:t>
            </w:r>
          </w:p>
          <w:p>
            <w:pPr>
              <w:pStyle w:val="TableParagraph"/>
              <w:spacing w:before="2"/>
              <w:rPr>
                <w:sz w:val="24"/>
              </w:rPr>
            </w:pPr>
          </w:p>
          <w:p>
            <w:pPr>
              <w:pStyle w:val="TableParagraph"/>
              <w:spacing w:before="1"/>
              <w:ind w:left="110"/>
              <w:rPr>
                <w:sz w:val="24"/>
              </w:rPr>
            </w:pPr>
            <w:r>
              <w:rPr>
                <w:spacing w:val="-2"/>
                <w:sz w:val="24"/>
              </w:rPr>
              <w:t>The</w:t>
            </w:r>
            <w:r>
              <w:rPr>
                <w:spacing w:val="-15"/>
                <w:sz w:val="24"/>
              </w:rPr>
              <w:t> </w:t>
            </w:r>
            <w:r>
              <w:rPr>
                <w:spacing w:val="-2"/>
                <w:sz w:val="24"/>
              </w:rPr>
              <w:t>Regional</w:t>
            </w:r>
            <w:r>
              <w:rPr>
                <w:spacing w:val="-12"/>
                <w:sz w:val="24"/>
              </w:rPr>
              <w:t> </w:t>
            </w:r>
            <w:r>
              <w:rPr>
                <w:spacing w:val="-2"/>
                <w:sz w:val="24"/>
              </w:rPr>
              <w:t>Joint</w:t>
            </w:r>
            <w:r>
              <w:rPr>
                <w:spacing w:val="-14"/>
                <w:sz w:val="24"/>
              </w:rPr>
              <w:t> </w:t>
            </w:r>
            <w:r>
              <w:rPr>
                <w:spacing w:val="-2"/>
                <w:sz w:val="24"/>
              </w:rPr>
              <w:t>Committee</w:t>
            </w:r>
            <w:r>
              <w:rPr>
                <w:spacing w:val="-12"/>
                <w:sz w:val="24"/>
              </w:rPr>
              <w:t> </w:t>
            </w:r>
            <w:r>
              <w:rPr>
                <w:spacing w:val="-2"/>
                <w:sz w:val="24"/>
              </w:rPr>
              <w:t>are</w:t>
            </w:r>
            <w:r>
              <w:rPr>
                <w:spacing w:val="-13"/>
                <w:sz w:val="24"/>
              </w:rPr>
              <w:t> </w:t>
            </w:r>
            <w:r>
              <w:rPr>
                <w:spacing w:val="-2"/>
                <w:sz w:val="24"/>
              </w:rPr>
              <w:t>asked</w:t>
            </w:r>
            <w:r>
              <w:rPr>
                <w:spacing w:val="-12"/>
                <w:sz w:val="24"/>
              </w:rPr>
              <w:t> </w:t>
            </w:r>
            <w:r>
              <w:rPr>
                <w:spacing w:val="-2"/>
                <w:sz w:val="24"/>
              </w:rPr>
              <w:t>to</w:t>
            </w:r>
            <w:r>
              <w:rPr>
                <w:spacing w:val="-9"/>
                <w:sz w:val="24"/>
              </w:rPr>
              <w:t> </w:t>
            </w:r>
            <w:r>
              <w:rPr>
                <w:spacing w:val="-2"/>
                <w:sz w:val="24"/>
              </w:rPr>
              <w:t>take</w:t>
            </w:r>
            <w:r>
              <w:rPr>
                <w:spacing w:val="-12"/>
                <w:sz w:val="24"/>
              </w:rPr>
              <w:t> </w:t>
            </w:r>
            <w:r>
              <w:rPr>
                <w:spacing w:val="-2"/>
                <w:sz w:val="24"/>
              </w:rPr>
              <w:t>assurance</w:t>
            </w:r>
            <w:r>
              <w:rPr>
                <w:spacing w:val="-8"/>
                <w:sz w:val="24"/>
              </w:rPr>
              <w:t> </w:t>
            </w:r>
            <w:r>
              <w:rPr>
                <w:spacing w:val="-2"/>
                <w:sz w:val="24"/>
              </w:rPr>
              <w:t>from</w:t>
            </w:r>
            <w:r>
              <w:rPr>
                <w:spacing w:val="-8"/>
                <w:sz w:val="24"/>
              </w:rPr>
              <w:t> </w:t>
            </w:r>
            <w:r>
              <w:rPr>
                <w:spacing w:val="-2"/>
                <w:sz w:val="24"/>
              </w:rPr>
              <w:t>this</w:t>
            </w:r>
            <w:r>
              <w:rPr>
                <w:spacing w:val="-9"/>
                <w:sz w:val="24"/>
              </w:rPr>
              <w:t> </w:t>
            </w:r>
            <w:r>
              <w:rPr>
                <w:spacing w:val="-2"/>
                <w:sz w:val="24"/>
              </w:rPr>
              <w:t>report</w:t>
            </w:r>
            <w:r>
              <w:rPr>
                <w:spacing w:val="-13"/>
                <w:sz w:val="24"/>
              </w:rPr>
              <w:t> </w:t>
            </w:r>
            <w:r>
              <w:rPr>
                <w:spacing w:val="-2"/>
                <w:sz w:val="24"/>
              </w:rPr>
              <w:t>this</w:t>
            </w:r>
            <w:r>
              <w:rPr>
                <w:spacing w:val="-12"/>
                <w:sz w:val="24"/>
              </w:rPr>
              <w:t> </w:t>
            </w:r>
            <w:r>
              <w:rPr>
                <w:spacing w:val="-2"/>
                <w:sz w:val="24"/>
              </w:rPr>
              <w:t>report.</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42"/>
        <w:rPr>
          <w:sz w:val="16"/>
        </w:rPr>
      </w:pPr>
    </w:p>
    <w:p>
      <w:pPr>
        <w:spacing w:before="1"/>
        <w:ind w:left="8" w:right="284" w:firstLine="0"/>
        <w:jc w:val="center"/>
        <w:rPr>
          <w:sz w:val="16"/>
        </w:rPr>
      </w:pPr>
      <w:r>
        <w:rPr>
          <w:spacing w:val="-2"/>
          <w:sz w:val="16"/>
        </w:rPr>
        <w:t>Page</w:t>
      </w:r>
      <w:r>
        <w:rPr>
          <w:spacing w:val="-7"/>
          <w:sz w:val="16"/>
        </w:rPr>
        <w:t> </w:t>
      </w:r>
      <w:r>
        <w:rPr>
          <w:spacing w:val="-2"/>
          <w:sz w:val="16"/>
        </w:rPr>
        <w:t>5</w:t>
      </w:r>
      <w:r>
        <w:rPr>
          <w:spacing w:val="-9"/>
          <w:sz w:val="16"/>
        </w:rPr>
        <w:t> </w:t>
      </w:r>
      <w:r>
        <w:rPr>
          <w:spacing w:val="-2"/>
          <w:sz w:val="16"/>
        </w:rPr>
        <w:t>of</w:t>
      </w:r>
      <w:r>
        <w:rPr>
          <w:spacing w:val="-9"/>
          <w:sz w:val="16"/>
        </w:rPr>
        <w:t> </w:t>
      </w:r>
      <w:r>
        <w:rPr>
          <w:spacing w:val="-10"/>
          <w:sz w:val="16"/>
        </w:rPr>
        <w:t>5</w:t>
      </w:r>
    </w:p>
    <w:p>
      <w:pPr>
        <w:spacing w:after="0"/>
        <w:jc w:val="center"/>
        <w:rPr>
          <w:sz w:val="16"/>
        </w:rPr>
        <w:sectPr>
          <w:pgSz w:w="11910" w:h="16840"/>
          <w:pgMar w:header="0" w:footer="149" w:top="220" w:bottom="340" w:left="708" w:right="425"/>
        </w:sectPr>
      </w:pPr>
    </w:p>
    <w:p>
      <w:pPr>
        <w:pStyle w:val="Heading4"/>
        <w:ind w:right="1005"/>
        <w:jc w:val="right"/>
      </w:pPr>
      <w:r>
        <w:rPr/>
        <mc:AlternateContent>
          <mc:Choice Requires="wps">
            <w:drawing>
              <wp:anchor distT="0" distB="0" distL="0" distR="0" allowOverlap="1" layoutInCell="1" locked="0" behindDoc="0" simplePos="0" relativeHeight="15788032">
                <wp:simplePos x="0" y="0"/>
                <wp:positionH relativeFrom="page">
                  <wp:posOffset>933767</wp:posOffset>
                </wp:positionH>
                <wp:positionV relativeFrom="paragraph">
                  <wp:posOffset>54292</wp:posOffset>
                </wp:positionV>
                <wp:extent cx="457834" cy="464184"/>
                <wp:effectExtent l="0" t="0" r="0" b="0"/>
                <wp:wrapNone/>
                <wp:docPr id="410" name="Group 410"/>
                <wp:cNvGraphicFramePr>
                  <a:graphicFrameLocks/>
                </wp:cNvGraphicFramePr>
                <a:graphic>
                  <a:graphicData uri="http://schemas.microsoft.com/office/word/2010/wordprocessingGroup">
                    <wpg:wgp>
                      <wpg:cNvPr id="410" name="Group 410"/>
                      <wpg:cNvGrpSpPr/>
                      <wpg:grpSpPr>
                        <a:xfrm>
                          <a:off x="0" y="0"/>
                          <a:ext cx="457834" cy="464184"/>
                          <a:chExt cx="457834" cy="464184"/>
                        </a:xfrm>
                      </wpg:grpSpPr>
                      <wps:wsp>
                        <wps:cNvPr id="411" name="Graphic 411"/>
                        <wps:cNvSpPr/>
                        <wps:spPr>
                          <a:xfrm>
                            <a:off x="0" y="0"/>
                            <a:ext cx="457834" cy="464184"/>
                          </a:xfrm>
                          <a:custGeom>
                            <a:avLst/>
                            <a:gdLst/>
                            <a:ahLst/>
                            <a:cxnLst/>
                            <a:rect l="l" t="t" r="r" b="b"/>
                            <a:pathLst>
                              <a:path w="457834" h="464184">
                                <a:moveTo>
                                  <a:pt x="457517" y="0"/>
                                </a:moveTo>
                                <a:lnTo>
                                  <a:pt x="0" y="0"/>
                                </a:lnTo>
                                <a:lnTo>
                                  <a:pt x="0" y="463867"/>
                                </a:lnTo>
                                <a:lnTo>
                                  <a:pt x="457517" y="463867"/>
                                </a:lnTo>
                                <a:lnTo>
                                  <a:pt x="457517" y="0"/>
                                </a:lnTo>
                                <a:close/>
                              </a:path>
                            </a:pathLst>
                          </a:custGeom>
                          <a:solidFill>
                            <a:srgbClr val="000000"/>
                          </a:solidFill>
                        </wps:spPr>
                        <wps:bodyPr wrap="square" lIns="0" tIns="0" rIns="0" bIns="0" rtlCol="0">
                          <a:prstTxWarp prst="textNoShape">
                            <a:avLst/>
                          </a:prstTxWarp>
                          <a:noAutofit/>
                        </wps:bodyPr>
                      </wps:wsp>
                      <wps:wsp>
                        <wps:cNvPr id="412" name="Textbox 412"/>
                        <wps:cNvSpPr txBox="1"/>
                        <wps:spPr>
                          <a:xfrm>
                            <a:off x="0" y="0"/>
                            <a:ext cx="457834" cy="464184"/>
                          </a:xfrm>
                          <a:prstGeom prst="rect">
                            <a:avLst/>
                          </a:prstGeom>
                        </wps:spPr>
                        <wps:txbx>
                          <w:txbxContent>
                            <w:p>
                              <w:pPr>
                                <w:spacing w:before="122"/>
                                <w:ind w:left="0" w:right="0" w:firstLine="0"/>
                                <w:jc w:val="center"/>
                                <w:rPr>
                                  <w:sz w:val="36"/>
                                </w:rPr>
                              </w:pPr>
                              <w:r>
                                <w:rPr>
                                  <w:color w:val="FFFFFF"/>
                                  <w:spacing w:val="-10"/>
                                  <w:sz w:val="36"/>
                                </w:rPr>
                                <w:t>6</w:t>
                              </w:r>
                            </w:p>
                          </w:txbxContent>
                        </wps:txbx>
                        <wps:bodyPr wrap="square" lIns="0" tIns="0" rIns="0" bIns="0" rtlCol="0">
                          <a:noAutofit/>
                        </wps:bodyPr>
                      </wps:wsp>
                    </wpg:wgp>
                  </a:graphicData>
                </a:graphic>
              </wp:anchor>
            </w:drawing>
          </mc:Choice>
          <mc:Fallback>
            <w:pict>
              <v:group style="position:absolute;margin-left:73.525002pt;margin-top:4.275pt;width:36.050pt;height:36.550pt;mso-position-horizontal-relative:page;mso-position-vertical-relative:paragraph;z-index:15788032" id="docshapegroup199" coordorigin="1471,86" coordsize="721,731">
                <v:rect style="position:absolute;left:1470;top:85;width:721;height:731" id="docshape200" filled="true" fillcolor="#000000" stroked="false">
                  <v:fill type="solid"/>
                </v:rect>
                <v:shape style="position:absolute;left:1470;top:85;width:721;height:731" type="#_x0000_t202" id="docshape201" filled="false" stroked="false">
                  <v:textbox inset="0,0,0,0">
                    <w:txbxContent>
                      <w:p>
                        <w:pPr>
                          <w:spacing w:before="122"/>
                          <w:ind w:left="0" w:right="0" w:firstLine="0"/>
                          <w:jc w:val="center"/>
                          <w:rPr>
                            <w:sz w:val="36"/>
                          </w:rPr>
                        </w:pPr>
                        <w:r>
                          <w:rPr>
                            <w:color w:val="FFFFFF"/>
                            <w:spacing w:val="-10"/>
                            <w:sz w:val="36"/>
                          </w:rPr>
                          <w:t>6</w:t>
                        </w:r>
                      </w:p>
                    </w:txbxContent>
                  </v:textbox>
                  <w10:wrap type="none"/>
                </v:shape>
                <w10:wrap type="none"/>
              </v:group>
            </w:pict>
          </mc:Fallback>
        </mc:AlternateContent>
      </w:r>
      <w:r>
        <w:rPr/>
        <w:t>11:35</w:t>
      </w:r>
      <w:r>
        <w:rPr>
          <w:spacing w:val="-4"/>
        </w:rPr>
        <w:t> </w:t>
      </w:r>
      <w:r>
        <w:rPr/>
        <w:t>AM,</w:t>
      </w:r>
      <w:r>
        <w:rPr>
          <w:spacing w:val="1"/>
        </w:rPr>
        <w:t> </w:t>
      </w:r>
      <w:r>
        <w:rPr/>
        <w:t>10</w:t>
      </w:r>
      <w:r>
        <w:rPr>
          <w:spacing w:val="-6"/>
        </w:rPr>
        <w:t> </w:t>
      </w:r>
      <w:r>
        <w:rPr>
          <w:spacing w:val="-4"/>
        </w:rPr>
        <w:t>Mins</w:t>
      </w:r>
    </w:p>
    <w:p>
      <w:pPr>
        <w:pStyle w:val="BodyText"/>
        <w:rPr>
          <w:b/>
          <w:sz w:val="20"/>
        </w:rPr>
      </w:pPr>
    </w:p>
    <w:p>
      <w:pPr>
        <w:pStyle w:val="BodyText"/>
        <w:spacing w:before="36"/>
        <w:rPr>
          <w:b/>
          <w:sz w:val="20"/>
        </w:rPr>
      </w:pPr>
      <w:r>
        <w:rPr>
          <w:b/>
          <w:sz w:val="20"/>
        </w:rPr>
        <mc:AlternateContent>
          <mc:Choice Requires="wps">
            <w:drawing>
              <wp:anchor distT="0" distB="0" distL="0" distR="0" allowOverlap="1" layoutInCell="1" locked="0" behindDoc="1" simplePos="0" relativeHeight="487646720">
                <wp:simplePos x="0" y="0"/>
                <wp:positionH relativeFrom="page">
                  <wp:posOffset>914400</wp:posOffset>
                </wp:positionH>
                <wp:positionV relativeFrom="paragraph">
                  <wp:posOffset>184179</wp:posOffset>
                </wp:positionV>
                <wp:extent cx="5730875" cy="6350"/>
                <wp:effectExtent l="0" t="0" r="0" b="0"/>
                <wp:wrapTopAndBottom/>
                <wp:docPr id="413" name="Graphic 413"/>
                <wp:cNvGraphicFramePr>
                  <a:graphicFrameLocks/>
                </wp:cNvGraphicFramePr>
                <a:graphic>
                  <a:graphicData uri="http://schemas.microsoft.com/office/word/2010/wordprocessingShape">
                    <wps:wsp>
                      <wps:cNvPr id="413" name="Graphic 413"/>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4.502344pt;width:451.25pt;height:.5pt;mso-position-horizontal-relative:page;mso-position-vertical-relative:paragraph;z-index:-15669760;mso-wrap-distance-left:0;mso-wrap-distance-right:0" id="docshape202"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pgSz w:w="11910" w:h="16840"/>
          <w:pgMar w:header="0" w:footer="149" w:top="1940" w:bottom="340" w:left="708" w:right="425"/>
        </w:sectPr>
      </w:pPr>
    </w:p>
    <w:p>
      <w:pPr>
        <w:pStyle w:val="Heading2"/>
        <w:numPr>
          <w:ilvl w:val="0"/>
          <w:numId w:val="2"/>
        </w:numPr>
        <w:tabs>
          <w:tab w:pos="1001" w:val="left" w:leader="none"/>
        </w:tabs>
        <w:spacing w:line="261" w:lineRule="auto" w:before="90" w:after="0"/>
        <w:ind w:left="732" w:right="38" w:firstLine="0"/>
        <w:jc w:val="left"/>
      </w:pPr>
      <w:bookmarkStart w:name="6 - RJC/40: Workforce and OD Subgroup Up" w:id="49"/>
      <w:bookmarkEnd w:id="49"/>
      <w:r>
        <w:rPr/>
      </w:r>
      <w:r>
        <w:rPr/>
        <w:t>-</w:t>
      </w:r>
      <w:r>
        <w:rPr>
          <w:spacing w:val="-6"/>
        </w:rPr>
        <w:t> </w:t>
      </w:r>
      <w:r>
        <w:rPr/>
        <w:t>RJC/40:</w:t>
      </w:r>
      <w:r>
        <w:rPr>
          <w:spacing w:val="-10"/>
        </w:rPr>
        <w:t> </w:t>
      </w:r>
      <w:r>
        <w:rPr/>
        <w:t>Workforce</w:t>
      </w:r>
      <w:r>
        <w:rPr>
          <w:spacing w:val="-8"/>
        </w:rPr>
        <w:t> </w:t>
      </w:r>
      <w:r>
        <w:rPr/>
        <w:t>and</w:t>
      </w:r>
      <w:r>
        <w:rPr>
          <w:spacing w:val="-9"/>
        </w:rPr>
        <w:t> </w:t>
      </w:r>
      <w:r>
        <w:rPr/>
        <w:t>OD</w:t>
      </w:r>
      <w:r>
        <w:rPr>
          <w:spacing w:val="-7"/>
        </w:rPr>
        <w:t> </w:t>
      </w:r>
      <w:r>
        <w:rPr/>
        <w:t>Subgroup </w:t>
      </w:r>
      <w:r>
        <w:rPr>
          <w:spacing w:val="-2"/>
        </w:rPr>
        <w:t>Update</w:t>
      </w:r>
    </w:p>
    <w:p>
      <w:pPr>
        <w:spacing w:line="259" w:lineRule="auto" w:before="93"/>
        <w:ind w:left="907" w:right="1009" w:hanging="175"/>
        <w:jc w:val="right"/>
        <w:rPr>
          <w:b/>
          <w:i/>
          <w:sz w:val="22"/>
        </w:rPr>
      </w:pPr>
      <w:r>
        <w:rPr/>
        <w:br w:type="column"/>
      </w:r>
      <w:r>
        <w:rPr>
          <w:b/>
          <w:i/>
          <w:sz w:val="22"/>
        </w:rPr>
        <w:t>Lisa</w:t>
      </w:r>
      <w:r>
        <w:rPr>
          <w:b/>
          <w:i/>
          <w:spacing w:val="-13"/>
          <w:sz w:val="22"/>
        </w:rPr>
        <w:t> </w:t>
      </w:r>
      <w:r>
        <w:rPr>
          <w:b/>
          <w:i/>
          <w:sz w:val="22"/>
        </w:rPr>
        <w:t>Gostling</w:t>
      </w:r>
      <w:r>
        <w:rPr>
          <w:b/>
          <w:i/>
          <w:spacing w:val="-14"/>
          <w:sz w:val="22"/>
        </w:rPr>
        <w:t> </w:t>
      </w:r>
      <w:r>
        <w:rPr>
          <w:b/>
          <w:i/>
          <w:sz w:val="22"/>
        </w:rPr>
        <w:t>(Hywel</w:t>
      </w:r>
      <w:r>
        <w:rPr>
          <w:b/>
          <w:i/>
          <w:sz w:val="22"/>
        </w:rPr>
        <w:t> Dda</w:t>
      </w:r>
      <w:r>
        <w:rPr>
          <w:b/>
          <w:i/>
          <w:spacing w:val="-10"/>
          <w:sz w:val="22"/>
        </w:rPr>
        <w:t> </w:t>
      </w:r>
      <w:r>
        <w:rPr>
          <w:b/>
          <w:i/>
          <w:sz w:val="22"/>
        </w:rPr>
        <w:t>UHB</w:t>
      </w:r>
      <w:r>
        <w:rPr>
          <w:b/>
          <w:i/>
          <w:spacing w:val="-10"/>
          <w:sz w:val="22"/>
        </w:rPr>
        <w:t> </w:t>
      </w:r>
      <w:r>
        <w:rPr>
          <w:b/>
          <w:i/>
          <w:sz w:val="22"/>
        </w:rPr>
        <w:t>-</w:t>
      </w:r>
      <w:r>
        <w:rPr>
          <w:b/>
          <w:i/>
          <w:spacing w:val="-11"/>
          <w:sz w:val="22"/>
        </w:rPr>
        <w:t> </w:t>
      </w:r>
      <w:r>
        <w:rPr>
          <w:b/>
          <w:i/>
          <w:sz w:val="22"/>
        </w:rPr>
        <w:t>Director of Workforce &amp; OD/Deputy CEO)</w:t>
      </w:r>
    </w:p>
    <w:p>
      <w:pPr>
        <w:spacing w:after="0" w:line="259" w:lineRule="auto"/>
        <w:jc w:val="right"/>
        <w:rPr>
          <w:b/>
          <w:i/>
          <w:sz w:val="22"/>
        </w:rPr>
        <w:sectPr>
          <w:type w:val="continuous"/>
          <w:pgSz w:w="11910" w:h="16840"/>
          <w:pgMar w:header="0" w:footer="149" w:top="760" w:bottom="280" w:left="708" w:right="425"/>
          <w:cols w:num="2" w:equalWidth="0">
            <w:col w:w="6607" w:space="251"/>
            <w:col w:w="3919"/>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3"/>
        <w:rPr>
          <w:b/>
          <w:i/>
          <w:sz w:val="22"/>
        </w:rPr>
      </w:pPr>
    </w:p>
    <w:p>
      <w:pPr>
        <w:spacing w:before="0"/>
        <w:ind w:left="732" w:right="0" w:firstLine="0"/>
        <w:jc w:val="left"/>
        <w:rPr>
          <w:b/>
          <w:sz w:val="22"/>
        </w:rPr>
      </w:pPr>
      <w:r>
        <w:rPr>
          <w:b/>
          <w:spacing w:val="-2"/>
          <w:sz w:val="22"/>
        </w:rPr>
        <w:t>Attachments</w:t>
      </w:r>
    </w:p>
    <w:p>
      <w:pPr>
        <w:spacing w:before="180"/>
        <w:ind w:left="732" w:right="0" w:firstLine="0"/>
        <w:jc w:val="left"/>
        <w:rPr>
          <w:sz w:val="18"/>
        </w:rPr>
      </w:pPr>
      <w:r>
        <w:rPr>
          <w:sz w:val="18"/>
          <w:u w:val="single"/>
        </w:rPr>
        <w:t>RJC</w:t>
      </w:r>
      <w:r>
        <w:rPr>
          <w:spacing w:val="-1"/>
          <w:sz w:val="18"/>
          <w:u w:val="single"/>
        </w:rPr>
        <w:t> </w:t>
      </w:r>
      <w:r>
        <w:rPr>
          <w:sz w:val="18"/>
          <w:u w:val="single"/>
        </w:rPr>
        <w:t>40a</w:t>
      </w:r>
      <w:r>
        <w:rPr>
          <w:spacing w:val="-1"/>
          <w:sz w:val="18"/>
          <w:u w:val="single"/>
        </w:rPr>
        <w:t> </w:t>
      </w:r>
      <w:r>
        <w:rPr>
          <w:sz w:val="18"/>
          <w:u w:val="single"/>
        </w:rPr>
        <w:t>Workforce</w:t>
      </w:r>
      <w:r>
        <w:rPr>
          <w:spacing w:val="-1"/>
          <w:sz w:val="18"/>
          <w:u w:val="single"/>
        </w:rPr>
        <w:t> </w:t>
      </w:r>
      <w:r>
        <w:rPr>
          <w:sz w:val="18"/>
          <w:u w:val="single"/>
        </w:rPr>
        <w:t>and OD</w:t>
      </w:r>
      <w:r>
        <w:rPr>
          <w:spacing w:val="-1"/>
          <w:sz w:val="18"/>
          <w:u w:val="single"/>
        </w:rPr>
        <w:t> </w:t>
      </w:r>
      <w:r>
        <w:rPr>
          <w:sz w:val="18"/>
          <w:u w:val="single"/>
        </w:rPr>
        <w:t>Subgroup (AAA)</w:t>
      </w:r>
      <w:r>
        <w:rPr>
          <w:spacing w:val="-1"/>
          <w:sz w:val="18"/>
          <w:u w:val="single"/>
        </w:rPr>
        <w:t> </w:t>
      </w:r>
      <w:r>
        <w:rPr>
          <w:sz w:val="18"/>
          <w:u w:val="single"/>
        </w:rPr>
        <w:t>Update </w:t>
      </w:r>
      <w:r>
        <w:rPr>
          <w:spacing w:val="-2"/>
          <w:sz w:val="18"/>
          <w:u w:val="single"/>
        </w:rPr>
        <w:t>Report.pdf</w:t>
      </w:r>
    </w:p>
    <w:p>
      <w:pPr>
        <w:spacing w:after="0"/>
        <w:jc w:val="left"/>
        <w:rPr>
          <w:sz w:val="18"/>
        </w:rPr>
        <w:sectPr>
          <w:type w:val="continuous"/>
          <w:pgSz w:w="11910" w:h="16840"/>
          <w:pgMar w:header="0" w:footer="149" w:top="760" w:bottom="280" w:left="708" w:right="425"/>
        </w:sectPr>
      </w:pPr>
    </w:p>
    <w:p>
      <w:pPr>
        <w:tabs>
          <w:tab w:pos="5858" w:val="left" w:leader="none"/>
        </w:tabs>
        <w:spacing w:line="240" w:lineRule="auto"/>
        <w:ind w:left="1270" w:right="0" w:firstLine="0"/>
        <w:rPr>
          <w:position w:val="9"/>
          <w:sz w:val="20"/>
        </w:rPr>
      </w:pPr>
      <w:r>
        <w:rPr>
          <w:sz w:val="20"/>
        </w:rPr>
        <w:drawing>
          <wp:inline distT="0" distB="0" distL="0" distR="0">
            <wp:extent cx="2247389" cy="585216"/>
            <wp:effectExtent l="0" t="0" r="0" b="0"/>
            <wp:docPr id="414" name="Image 414"/>
            <wp:cNvGraphicFramePr>
              <a:graphicFrameLocks/>
            </wp:cNvGraphicFramePr>
            <a:graphic>
              <a:graphicData uri="http://schemas.openxmlformats.org/drawingml/2006/picture">
                <pic:pic>
                  <pic:nvPicPr>
                    <pic:cNvPr id="414" name="Image 414"/>
                    <pic:cNvPicPr/>
                  </pic:nvPicPr>
                  <pic:blipFill>
                    <a:blip r:embed="rId50" cstate="print"/>
                    <a:stretch>
                      <a:fillRect/>
                    </a:stretch>
                  </pic:blipFill>
                  <pic:spPr>
                    <a:xfrm>
                      <a:off x="0" y="0"/>
                      <a:ext cx="2247389" cy="585216"/>
                    </a:xfrm>
                    <a:prstGeom prst="rect">
                      <a:avLst/>
                    </a:prstGeom>
                  </pic:spPr>
                </pic:pic>
              </a:graphicData>
            </a:graphic>
          </wp:inline>
        </w:drawing>
      </w:r>
      <w:r>
        <w:rPr>
          <w:sz w:val="20"/>
        </w:rPr>
      </w:r>
      <w:r>
        <w:rPr>
          <w:sz w:val="20"/>
        </w:rPr>
        <w:tab/>
      </w:r>
      <w:r>
        <w:rPr>
          <w:position w:val="9"/>
          <w:sz w:val="20"/>
        </w:rPr>
        <w:drawing>
          <wp:inline distT="0" distB="0" distL="0" distR="0">
            <wp:extent cx="2494674" cy="549021"/>
            <wp:effectExtent l="0" t="0" r="0" b="0"/>
            <wp:docPr id="415" name="Image 415"/>
            <wp:cNvGraphicFramePr>
              <a:graphicFrameLocks/>
            </wp:cNvGraphicFramePr>
            <a:graphic>
              <a:graphicData uri="http://schemas.openxmlformats.org/drawingml/2006/picture">
                <pic:pic>
                  <pic:nvPicPr>
                    <pic:cNvPr id="415" name="Image 415"/>
                    <pic:cNvPicPr/>
                  </pic:nvPicPr>
                  <pic:blipFill>
                    <a:blip r:embed="rId7" cstate="print"/>
                    <a:stretch>
                      <a:fillRect/>
                    </a:stretch>
                  </pic:blipFill>
                  <pic:spPr>
                    <a:xfrm>
                      <a:off x="0" y="0"/>
                      <a:ext cx="2494674" cy="549021"/>
                    </a:xfrm>
                    <a:prstGeom prst="rect">
                      <a:avLst/>
                    </a:prstGeom>
                  </pic:spPr>
                </pic:pic>
              </a:graphicData>
            </a:graphic>
          </wp:inline>
        </w:drawing>
      </w:r>
      <w:r>
        <w:rPr>
          <w:position w:val="9"/>
          <w:sz w:val="20"/>
        </w:rPr>
      </w:r>
    </w:p>
    <w:p>
      <w:pPr>
        <w:pStyle w:val="BodyText"/>
        <w:spacing w:before="130"/>
        <w:rPr>
          <w:sz w:val="28"/>
        </w:rPr>
      </w:pPr>
    </w:p>
    <w:p>
      <w:pPr>
        <w:pStyle w:val="Heading4"/>
        <w:spacing w:line="256" w:lineRule="auto" w:before="0"/>
        <w:ind w:left="3384" w:right="1096" w:hanging="1611"/>
      </w:pPr>
      <w:bookmarkStart w:name="Attachments" w:id="50"/>
      <w:bookmarkEnd w:id="50"/>
      <w:r>
        <w:rPr>
          <w:b w:val="0"/>
        </w:rPr>
      </w:r>
      <w:bookmarkStart w:name="RJC 40a Workforce and OD Subgroup (AAA) " w:id="51"/>
      <w:bookmarkEnd w:id="51"/>
      <w:r>
        <w:rPr>
          <w:b w:val="0"/>
        </w:rPr>
      </w:r>
      <w:r>
        <w:rPr/>
        <w:t>WORKFORCE</w:t>
      </w:r>
      <w:r>
        <w:rPr>
          <w:spacing w:val="-14"/>
        </w:rPr>
        <w:t> </w:t>
      </w:r>
      <w:r>
        <w:rPr/>
        <w:t>&amp;</w:t>
      </w:r>
      <w:r>
        <w:rPr>
          <w:spacing w:val="-13"/>
        </w:rPr>
        <w:t> </w:t>
      </w:r>
      <w:r>
        <w:rPr/>
        <w:t>OD</w:t>
      </w:r>
      <w:r>
        <w:rPr>
          <w:spacing w:val="-11"/>
        </w:rPr>
        <w:t> </w:t>
      </w:r>
      <w:r>
        <w:rPr/>
        <w:t>UPDATE</w:t>
      </w:r>
      <w:r>
        <w:rPr>
          <w:spacing w:val="-13"/>
        </w:rPr>
        <w:t> </w:t>
      </w:r>
      <w:r>
        <w:rPr/>
        <w:t>REPORT/</w:t>
      </w:r>
      <w:r>
        <w:rPr>
          <w:spacing w:val="-20"/>
        </w:rPr>
        <w:t> </w:t>
      </w:r>
      <w:r>
        <w:rPr/>
        <w:t>ADRODDIAD DIWEDDARU’R PWYLLGOR</w:t>
      </w:r>
    </w:p>
    <w:p>
      <w:pPr>
        <w:spacing w:line="388" w:lineRule="auto" w:before="166"/>
        <w:ind w:left="732" w:right="3656" w:firstLine="2786"/>
        <w:jc w:val="left"/>
        <w:rPr>
          <w:b/>
          <w:sz w:val="24"/>
        </w:rPr>
      </w:pPr>
      <w:r>
        <w:rPr>
          <w:b/>
          <w:sz w:val="28"/>
        </w:rPr>
        <w:t>Regional</w:t>
      </w:r>
      <w:r>
        <w:rPr>
          <w:b/>
          <w:spacing w:val="-16"/>
          <w:sz w:val="28"/>
        </w:rPr>
        <w:t> </w:t>
      </w:r>
      <w:r>
        <w:rPr>
          <w:b/>
          <w:sz w:val="28"/>
        </w:rPr>
        <w:t>Joint</w:t>
      </w:r>
      <w:r>
        <w:rPr>
          <w:b/>
          <w:spacing w:val="-14"/>
          <w:sz w:val="28"/>
        </w:rPr>
        <w:t> </w:t>
      </w:r>
      <w:r>
        <w:rPr>
          <w:b/>
          <w:sz w:val="28"/>
        </w:rPr>
        <w:t>Committee </w:t>
      </w:r>
      <w:r>
        <w:rPr>
          <w:b/>
          <w:sz w:val="24"/>
        </w:rPr>
        <w:t>Date of last meeting/ Dyddiad y cyfarfod diwethaf</w:t>
      </w:r>
      <w:r>
        <w:rPr>
          <w:sz w:val="24"/>
        </w:rPr>
        <w:t>: </w:t>
      </w:r>
      <w:r>
        <w:rPr>
          <w:b/>
          <w:sz w:val="24"/>
        </w:rPr>
        <w:t>Quoracy/ Cworwm</w:t>
      </w:r>
      <w:r>
        <w:rPr>
          <w:sz w:val="24"/>
        </w:rPr>
        <w:t>: </w:t>
      </w:r>
      <w:r>
        <w:rPr>
          <w:b/>
          <w:sz w:val="24"/>
        </w:rPr>
        <w:t>Met</w:t>
      </w:r>
    </w:p>
    <w:p>
      <w:pPr>
        <w:spacing w:before="7"/>
        <w:ind w:left="732" w:right="0" w:firstLine="0"/>
        <w:jc w:val="left"/>
        <w:rPr>
          <w:sz w:val="24"/>
        </w:rPr>
      </w:pPr>
      <w:r>
        <w:rPr>
          <w:b/>
          <w:sz w:val="24"/>
        </w:rPr>
        <w:t>Report</w:t>
      </w:r>
      <w:r>
        <w:rPr>
          <w:b/>
          <w:spacing w:val="-4"/>
          <w:sz w:val="24"/>
        </w:rPr>
        <w:t> </w:t>
      </w:r>
      <w:r>
        <w:rPr>
          <w:b/>
          <w:sz w:val="24"/>
        </w:rPr>
        <w:t>by/</w:t>
      </w:r>
      <w:r>
        <w:rPr>
          <w:b/>
          <w:spacing w:val="-10"/>
          <w:sz w:val="24"/>
        </w:rPr>
        <w:t> </w:t>
      </w:r>
      <w:r>
        <w:rPr>
          <w:b/>
          <w:sz w:val="24"/>
        </w:rPr>
        <w:t>Adroddiad</w:t>
      </w:r>
      <w:r>
        <w:rPr>
          <w:b/>
          <w:spacing w:val="-1"/>
          <w:sz w:val="24"/>
        </w:rPr>
        <w:t> </w:t>
      </w:r>
      <w:r>
        <w:rPr>
          <w:b/>
          <w:sz w:val="24"/>
        </w:rPr>
        <w:t>gan</w:t>
      </w:r>
      <w:r>
        <w:rPr>
          <w:sz w:val="24"/>
        </w:rPr>
        <w:t>:</w:t>
      </w:r>
      <w:r>
        <w:rPr>
          <w:spacing w:val="-5"/>
          <w:sz w:val="24"/>
        </w:rPr>
        <w:t> </w:t>
      </w:r>
      <w:r>
        <w:rPr>
          <w:sz w:val="24"/>
        </w:rPr>
        <w:t>Lisa</w:t>
      </w:r>
      <w:r>
        <w:rPr>
          <w:spacing w:val="-3"/>
          <w:sz w:val="24"/>
        </w:rPr>
        <w:t> </w:t>
      </w:r>
      <w:r>
        <w:rPr>
          <w:sz w:val="24"/>
        </w:rPr>
        <w:t>Gostling,</w:t>
      </w:r>
      <w:r>
        <w:rPr>
          <w:spacing w:val="-5"/>
          <w:sz w:val="24"/>
        </w:rPr>
        <w:t> </w:t>
      </w:r>
      <w:r>
        <w:rPr>
          <w:sz w:val="24"/>
        </w:rPr>
        <w:t>Executive</w:t>
      </w:r>
      <w:r>
        <w:rPr>
          <w:spacing w:val="-2"/>
          <w:sz w:val="24"/>
        </w:rPr>
        <w:t> </w:t>
      </w:r>
      <w:r>
        <w:rPr>
          <w:spacing w:val="-4"/>
          <w:sz w:val="24"/>
        </w:rPr>
        <w:t>Lead</w:t>
      </w:r>
    </w:p>
    <w:p>
      <w:pPr>
        <w:pStyle w:val="BodyText"/>
        <w:spacing w:before="196"/>
        <w:rPr>
          <w:sz w:val="20"/>
        </w:rPr>
      </w:pPr>
      <w:r>
        <w:rPr>
          <w:sz w:val="20"/>
        </w:rPr>
        <mc:AlternateContent>
          <mc:Choice Requires="wps">
            <w:drawing>
              <wp:anchor distT="0" distB="0" distL="0" distR="0" allowOverlap="1" layoutInCell="1" locked="0" behindDoc="1" simplePos="0" relativeHeight="487647744">
                <wp:simplePos x="0" y="0"/>
                <wp:positionH relativeFrom="page">
                  <wp:posOffset>914717</wp:posOffset>
                </wp:positionH>
                <wp:positionV relativeFrom="paragraph">
                  <wp:posOffset>285794</wp:posOffset>
                </wp:positionV>
                <wp:extent cx="5676900" cy="1270"/>
                <wp:effectExtent l="0" t="0" r="0" b="0"/>
                <wp:wrapTopAndBottom/>
                <wp:docPr id="416" name="Graphic 416"/>
                <wp:cNvGraphicFramePr>
                  <a:graphicFrameLocks/>
                </wp:cNvGraphicFramePr>
                <a:graphic>
                  <a:graphicData uri="http://schemas.microsoft.com/office/word/2010/wordprocessingShape">
                    <wps:wsp>
                      <wps:cNvPr id="416" name="Graphic 416"/>
                      <wps:cNvSpPr/>
                      <wps:spPr>
                        <a:xfrm>
                          <a:off x="0" y="0"/>
                          <a:ext cx="5676900" cy="1270"/>
                        </a:xfrm>
                        <a:custGeom>
                          <a:avLst/>
                          <a:gdLst/>
                          <a:ahLst/>
                          <a:cxnLst/>
                          <a:rect l="l" t="t" r="r" b="b"/>
                          <a:pathLst>
                            <a:path w="5676900" h="0">
                              <a:moveTo>
                                <a:pt x="0" y="0"/>
                              </a:moveTo>
                              <a:lnTo>
                                <a:pt x="567661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2.503494pt;width:447pt;height:.1pt;mso-position-horizontal-relative:page;mso-position-vertical-relative:paragraph;z-index:-15668736;mso-wrap-distance-left:0;mso-wrap-distance-right:0" id="docshape203" coordorigin="1441,450" coordsize="8940,0" path="m1441,450l10380,450e" filled="false" stroked="true" strokeweight=".756pt" strokecolor="#000000">
                <v:path arrowok="t"/>
                <v:stroke dashstyle="solid"/>
                <w10:wrap type="topAndBottom"/>
              </v:shape>
            </w:pict>
          </mc:Fallback>
        </mc:AlternateContent>
      </w:r>
    </w:p>
    <w:p>
      <w:pPr>
        <w:pStyle w:val="Heading9"/>
        <w:spacing w:line="261" w:lineRule="auto" w:before="182"/>
        <w:ind w:left="732" w:right="1096"/>
        <w:jc w:val="left"/>
      </w:pPr>
      <w:r>
        <w:rPr/>
        <w:t>KEY</w:t>
      </w:r>
      <w:r>
        <w:rPr>
          <w:spacing w:val="-14"/>
        </w:rPr>
        <w:t> </w:t>
      </w:r>
      <w:r>
        <w:rPr/>
        <w:t>DISCUSSION</w:t>
      </w:r>
      <w:r>
        <w:rPr>
          <w:spacing w:val="-9"/>
        </w:rPr>
        <w:t> </w:t>
      </w:r>
      <w:r>
        <w:rPr/>
        <w:t>POINTS</w:t>
      </w:r>
      <w:r>
        <w:rPr>
          <w:spacing w:val="-14"/>
        </w:rPr>
        <w:t> </w:t>
      </w:r>
      <w:r>
        <w:rPr/>
        <w:t>AND</w:t>
      </w:r>
      <w:r>
        <w:rPr>
          <w:spacing w:val="-9"/>
        </w:rPr>
        <w:t> </w:t>
      </w:r>
      <w:r>
        <w:rPr/>
        <w:t>MATTERS</w:t>
      </w:r>
      <w:r>
        <w:rPr>
          <w:spacing w:val="-10"/>
        </w:rPr>
        <w:t> </w:t>
      </w:r>
      <w:r>
        <w:rPr/>
        <w:t>FROM</w:t>
      </w:r>
      <w:r>
        <w:rPr>
          <w:spacing w:val="-10"/>
        </w:rPr>
        <w:t> </w:t>
      </w:r>
      <w:r>
        <w:rPr/>
        <w:t>THE</w:t>
      </w:r>
      <w:r>
        <w:rPr>
          <w:spacing w:val="-10"/>
        </w:rPr>
        <w:t> </w:t>
      </w:r>
      <w:r>
        <w:rPr/>
        <w:t>DISCUSSION</w:t>
      </w:r>
      <w:r>
        <w:rPr>
          <w:spacing w:val="-13"/>
        </w:rPr>
        <w:t> </w:t>
      </w:r>
      <w:r>
        <w:rPr/>
        <w:t>AT</w:t>
      </w:r>
      <w:r>
        <w:rPr>
          <w:spacing w:val="-12"/>
        </w:rPr>
        <w:t> </w:t>
      </w:r>
      <w:r>
        <w:rPr/>
        <w:t>THE MEETING/ PWYNTIAU TRAFOD ALLWEDDOL A MATERION I’W</w:t>
      </w:r>
    </w:p>
    <w:p>
      <w:pPr>
        <w:pStyle w:val="Heading9"/>
        <w:spacing w:line="269" w:lineRule="exact"/>
        <w:ind w:left="732"/>
        <w:jc w:val="left"/>
      </w:pPr>
      <w:r>
        <w:rPr/>
        <w:t>HUWCHGYFEIRIO</w:t>
      </w:r>
      <w:r>
        <w:rPr>
          <w:spacing w:val="-9"/>
        </w:rPr>
        <w:t> </w:t>
      </w:r>
      <w:r>
        <w:rPr/>
        <w:t>O’R</w:t>
      </w:r>
      <w:r>
        <w:rPr>
          <w:spacing w:val="-3"/>
        </w:rPr>
        <w:t> </w:t>
      </w:r>
      <w:r>
        <w:rPr/>
        <w:t>DRAFODAETH</w:t>
      </w:r>
      <w:r>
        <w:rPr>
          <w:spacing w:val="-8"/>
        </w:rPr>
        <w:t> </w:t>
      </w:r>
      <w:r>
        <w:rPr/>
        <w:t>YN</w:t>
      </w:r>
      <w:r>
        <w:rPr>
          <w:spacing w:val="-8"/>
        </w:rPr>
        <w:t> </w:t>
      </w:r>
      <w:r>
        <w:rPr/>
        <w:t>Y</w:t>
      </w:r>
      <w:r>
        <w:rPr>
          <w:spacing w:val="-4"/>
        </w:rPr>
        <w:t> </w:t>
      </w:r>
      <w:r>
        <w:rPr>
          <w:spacing w:val="-2"/>
        </w:rPr>
        <w:t>CYFARFOD:</w:t>
      </w:r>
    </w:p>
    <w:p>
      <w:pPr>
        <w:pStyle w:val="BodyText"/>
        <w:spacing w:line="259" w:lineRule="auto" w:before="184"/>
        <w:ind w:left="732" w:right="1096"/>
      </w:pPr>
      <w:r>
        <w:rPr>
          <w:b/>
        </w:rPr>
        <w:t>Alert</w:t>
      </w:r>
      <w:hyperlink w:history="true" w:anchor="_bookmark13">
        <w:r>
          <w:rPr>
            <w:b/>
            <w:vertAlign w:val="superscript"/>
          </w:rPr>
          <w:t>1</w:t>
        </w:r>
      </w:hyperlink>
      <w:r>
        <w:rPr>
          <w:b/>
          <w:vertAlign w:val="baseline"/>
        </w:rPr>
        <w:t> </w:t>
      </w:r>
      <w:r>
        <w:rPr>
          <w:vertAlign w:val="baseline"/>
        </w:rPr>
        <w:t>(may require discussion. e.g. include significant risks, issues, decisions required,</w:t>
      </w:r>
      <w:r>
        <w:rPr>
          <w:spacing w:val="-5"/>
          <w:vertAlign w:val="baseline"/>
        </w:rPr>
        <w:t> </w:t>
      </w:r>
      <w:r>
        <w:rPr>
          <w:vertAlign w:val="baseline"/>
        </w:rPr>
        <w:t>change</w:t>
      </w:r>
      <w:r>
        <w:rPr>
          <w:spacing w:val="-2"/>
          <w:vertAlign w:val="baseline"/>
        </w:rPr>
        <w:t> </w:t>
      </w:r>
      <w:r>
        <w:rPr>
          <w:vertAlign w:val="baseline"/>
        </w:rPr>
        <w:t>requests for</w:t>
      </w:r>
      <w:r>
        <w:rPr>
          <w:spacing w:val="-3"/>
          <w:vertAlign w:val="baseline"/>
        </w:rPr>
        <w:t> </w:t>
      </w:r>
      <w:r>
        <w:rPr>
          <w:vertAlign w:val="baseline"/>
        </w:rPr>
        <w:t>timescales,</w:t>
      </w:r>
      <w:r>
        <w:rPr>
          <w:spacing w:val="-5"/>
          <w:vertAlign w:val="baseline"/>
        </w:rPr>
        <w:t> </w:t>
      </w:r>
      <w:r>
        <w:rPr>
          <w:vertAlign w:val="baseline"/>
        </w:rPr>
        <w:t>scope</w:t>
      </w:r>
      <w:r>
        <w:rPr>
          <w:spacing w:val="-4"/>
          <w:vertAlign w:val="baseline"/>
        </w:rPr>
        <w:t> </w:t>
      </w:r>
      <w:r>
        <w:rPr>
          <w:vertAlign w:val="baseline"/>
        </w:rPr>
        <w:t>or</w:t>
      </w:r>
      <w:r>
        <w:rPr>
          <w:spacing w:val="-3"/>
          <w:vertAlign w:val="baseline"/>
        </w:rPr>
        <w:t> </w:t>
      </w:r>
      <w:r>
        <w:rPr>
          <w:vertAlign w:val="baseline"/>
        </w:rPr>
        <w:t>milestones</w:t>
      </w:r>
      <w:r>
        <w:rPr>
          <w:spacing w:val="-3"/>
          <w:vertAlign w:val="baseline"/>
        </w:rPr>
        <w:t> </w:t>
      </w:r>
      <w:r>
        <w:rPr>
          <w:vertAlign w:val="baseline"/>
        </w:rPr>
        <w:t>within</w:t>
      </w:r>
      <w:r>
        <w:rPr>
          <w:spacing w:val="-2"/>
          <w:vertAlign w:val="baseline"/>
        </w:rPr>
        <w:t> </w:t>
      </w:r>
      <w:r>
        <w:rPr>
          <w:vertAlign w:val="baseline"/>
        </w:rPr>
        <w:t>subgroup</w:t>
      </w:r>
      <w:r>
        <w:rPr>
          <w:spacing w:val="-2"/>
          <w:vertAlign w:val="baseline"/>
        </w:rPr>
        <w:t> </w:t>
      </w:r>
      <w:r>
        <w:rPr>
          <w:vertAlign w:val="baseline"/>
        </w:rPr>
        <w:t>work programmes and matters requiring escalation.)/ </w:t>
      </w:r>
      <w:r>
        <w:rPr>
          <w:b/>
          <w:vertAlign w:val="baseline"/>
        </w:rPr>
        <w:t>Rhybuddio </w:t>
      </w:r>
      <w:r>
        <w:rPr>
          <w:vertAlign w:val="baseline"/>
        </w:rPr>
        <w:t>(efallai y bydd angen </w:t>
      </w:r>
      <w:r>
        <w:rPr>
          <w:spacing w:val="-2"/>
          <w:vertAlign w:val="baseline"/>
        </w:rPr>
        <w:t>trafodaeth)</w:t>
      </w:r>
    </w:p>
    <w:p>
      <w:pPr>
        <w:pStyle w:val="BodyText"/>
        <w:spacing w:before="157"/>
      </w:pPr>
    </w:p>
    <w:p>
      <w:pPr>
        <w:spacing w:before="0"/>
        <w:ind w:left="732" w:right="0" w:firstLine="0"/>
        <w:jc w:val="left"/>
        <w:rPr>
          <w:sz w:val="24"/>
        </w:rPr>
      </w:pPr>
      <w:r>
        <w:rPr>
          <w:b/>
          <w:sz w:val="24"/>
        </w:rPr>
        <w:t>Advise</w:t>
      </w:r>
      <w:hyperlink w:history="true" w:anchor="_bookmark14">
        <w:r>
          <w:rPr>
            <w:b/>
            <w:sz w:val="24"/>
            <w:vertAlign w:val="superscript"/>
          </w:rPr>
          <w:t>2</w:t>
        </w:r>
      </w:hyperlink>
      <w:r>
        <w:rPr>
          <w:b/>
          <w:spacing w:val="-4"/>
          <w:sz w:val="24"/>
          <w:vertAlign w:val="baseline"/>
        </w:rPr>
        <w:t> </w:t>
      </w:r>
      <w:r>
        <w:rPr>
          <w:sz w:val="24"/>
          <w:vertAlign w:val="baseline"/>
        </w:rPr>
        <w:t>(to</w:t>
      </w:r>
      <w:r>
        <w:rPr>
          <w:spacing w:val="-3"/>
          <w:sz w:val="24"/>
          <w:vertAlign w:val="baseline"/>
        </w:rPr>
        <w:t> </w:t>
      </w:r>
      <w:r>
        <w:rPr>
          <w:sz w:val="24"/>
          <w:vertAlign w:val="baseline"/>
        </w:rPr>
        <w:t>monitor)/</w:t>
      </w:r>
      <w:r>
        <w:rPr>
          <w:spacing w:val="-4"/>
          <w:sz w:val="24"/>
          <w:vertAlign w:val="baseline"/>
        </w:rPr>
        <w:t> </w:t>
      </w:r>
      <w:r>
        <w:rPr>
          <w:b/>
          <w:sz w:val="24"/>
          <w:vertAlign w:val="baseline"/>
        </w:rPr>
        <w:t>Cynghori </w:t>
      </w:r>
      <w:r>
        <w:rPr>
          <w:sz w:val="24"/>
          <w:vertAlign w:val="baseline"/>
        </w:rPr>
        <w:t>(i</w:t>
      </w:r>
      <w:r>
        <w:rPr>
          <w:spacing w:val="-3"/>
          <w:sz w:val="24"/>
          <w:vertAlign w:val="baseline"/>
        </w:rPr>
        <w:t> </w:t>
      </w:r>
      <w:r>
        <w:rPr>
          <w:spacing w:val="-2"/>
          <w:sz w:val="24"/>
          <w:vertAlign w:val="baseline"/>
        </w:rPr>
        <w:t>fonitro)</w:t>
      </w:r>
    </w:p>
    <w:p>
      <w:pPr>
        <w:pStyle w:val="BodyText"/>
        <w:spacing w:before="184"/>
        <w:ind w:left="732"/>
        <w:rPr>
          <w:b/>
        </w:rPr>
      </w:pPr>
      <w:r>
        <w:rPr/>
        <w:t>The</w:t>
      </w:r>
      <w:r>
        <w:rPr>
          <w:spacing w:val="-5"/>
        </w:rPr>
        <w:t> </w:t>
      </w:r>
      <w:r>
        <w:rPr/>
        <w:t>Workforce</w:t>
      </w:r>
      <w:r>
        <w:rPr>
          <w:spacing w:val="-3"/>
        </w:rPr>
        <w:t> </w:t>
      </w:r>
      <w:r>
        <w:rPr/>
        <w:t>&amp;</w:t>
      </w:r>
      <w:r>
        <w:rPr>
          <w:spacing w:val="-4"/>
        </w:rPr>
        <w:t> </w:t>
      </w:r>
      <w:r>
        <w:rPr/>
        <w:t>OD</w:t>
      </w:r>
      <w:r>
        <w:rPr>
          <w:spacing w:val="-3"/>
        </w:rPr>
        <w:t> </w:t>
      </w:r>
      <w:r>
        <w:rPr/>
        <w:t>RJC</w:t>
      </w:r>
      <w:r>
        <w:rPr>
          <w:spacing w:val="-3"/>
        </w:rPr>
        <w:t> </w:t>
      </w:r>
      <w:r>
        <w:rPr/>
        <w:t>Sub-Group/Work</w:t>
      </w:r>
      <w:r>
        <w:rPr>
          <w:spacing w:val="-4"/>
        </w:rPr>
        <w:t> </w:t>
      </w:r>
      <w:r>
        <w:rPr/>
        <w:t>Programme</w:t>
      </w:r>
      <w:r>
        <w:rPr>
          <w:spacing w:val="-3"/>
        </w:rPr>
        <w:t> </w:t>
      </w:r>
      <w:r>
        <w:rPr/>
        <w:t>have</w:t>
      </w:r>
      <w:r>
        <w:rPr>
          <w:spacing w:val="-3"/>
        </w:rPr>
        <w:t> </w:t>
      </w:r>
      <w:r>
        <w:rPr/>
        <w:t>no</w:t>
      </w:r>
      <w:r>
        <w:rPr>
          <w:spacing w:val="-3"/>
        </w:rPr>
        <w:t> </w:t>
      </w:r>
      <w:r>
        <w:rPr/>
        <w:t>issues</w:t>
      </w:r>
      <w:r>
        <w:rPr>
          <w:spacing w:val="-4"/>
        </w:rPr>
        <w:t> </w:t>
      </w:r>
      <w:r>
        <w:rPr/>
        <w:t>to</w:t>
      </w:r>
      <w:r>
        <w:rPr>
          <w:spacing w:val="2"/>
        </w:rPr>
        <w:t> </w:t>
      </w:r>
      <w:r>
        <w:rPr>
          <w:b/>
          <w:spacing w:val="-2"/>
        </w:rPr>
        <w:t>advise</w:t>
      </w:r>
    </w:p>
    <w:p>
      <w:pPr>
        <w:pStyle w:val="BodyText"/>
        <w:spacing w:before="25"/>
        <w:ind w:left="732"/>
      </w:pPr>
      <w:r>
        <w:rPr/>
        <w:t>members</w:t>
      </w:r>
      <w:r>
        <w:rPr>
          <w:spacing w:val="-2"/>
        </w:rPr>
        <w:t> </w:t>
      </w:r>
      <w:r>
        <w:rPr/>
        <w:t>of</w:t>
      </w:r>
      <w:r>
        <w:rPr>
          <w:spacing w:val="-4"/>
        </w:rPr>
        <w:t> </w:t>
      </w:r>
      <w:r>
        <w:rPr/>
        <w:t>the</w:t>
      </w:r>
      <w:r>
        <w:rPr>
          <w:spacing w:val="-1"/>
        </w:rPr>
        <w:t> </w:t>
      </w:r>
      <w:r>
        <w:rPr/>
        <w:t>RJC </w:t>
      </w:r>
      <w:r>
        <w:rPr>
          <w:spacing w:val="-5"/>
        </w:rPr>
        <w:t>to.</w:t>
      </w:r>
    </w:p>
    <w:p>
      <w:pPr>
        <w:pStyle w:val="ListParagraph"/>
        <w:numPr>
          <w:ilvl w:val="0"/>
          <w:numId w:val="34"/>
        </w:numPr>
        <w:tabs>
          <w:tab w:pos="1453" w:val="left" w:leader="none"/>
        </w:tabs>
        <w:spacing w:line="259" w:lineRule="auto" w:before="178" w:after="0"/>
        <w:ind w:left="1453" w:right="1316" w:hanging="360"/>
        <w:jc w:val="left"/>
        <w:rPr>
          <w:sz w:val="24"/>
        </w:rPr>
      </w:pPr>
      <w:r>
        <w:rPr>
          <w:sz w:val="24"/>
        </w:rPr>
        <w:t>work is progressing with regards to staff wellbeing with a collaboration framework agreed.</w:t>
      </w:r>
      <w:r>
        <w:rPr>
          <w:spacing w:val="40"/>
          <w:sz w:val="24"/>
        </w:rPr>
        <w:t> </w:t>
      </w:r>
      <w:r>
        <w:rPr>
          <w:sz w:val="24"/>
        </w:rPr>
        <w:t>Work progresses but not at the pace expected due to capacity</w:t>
      </w:r>
      <w:r>
        <w:rPr>
          <w:spacing w:val="-3"/>
          <w:sz w:val="24"/>
        </w:rPr>
        <w:t> </w:t>
      </w:r>
      <w:r>
        <w:rPr>
          <w:sz w:val="24"/>
        </w:rPr>
        <w:t>issues</w:t>
      </w:r>
      <w:r>
        <w:rPr>
          <w:spacing w:val="-3"/>
          <w:sz w:val="24"/>
        </w:rPr>
        <w:t> </w:t>
      </w:r>
      <w:r>
        <w:rPr>
          <w:sz w:val="24"/>
        </w:rPr>
        <w:t>in</w:t>
      </w:r>
      <w:r>
        <w:rPr>
          <w:spacing w:val="-2"/>
          <w:sz w:val="24"/>
        </w:rPr>
        <w:t> </w:t>
      </w:r>
      <w:r>
        <w:rPr>
          <w:sz w:val="24"/>
        </w:rPr>
        <w:t>both</w:t>
      </w:r>
      <w:r>
        <w:rPr>
          <w:spacing w:val="-2"/>
          <w:sz w:val="24"/>
        </w:rPr>
        <w:t> </w:t>
      </w:r>
      <w:r>
        <w:rPr>
          <w:sz w:val="24"/>
        </w:rPr>
        <w:t>teams</w:t>
      </w:r>
      <w:r>
        <w:rPr>
          <w:spacing w:val="-3"/>
          <w:sz w:val="24"/>
        </w:rPr>
        <w:t> </w:t>
      </w:r>
      <w:r>
        <w:rPr>
          <w:sz w:val="24"/>
        </w:rPr>
        <w:t>to</w:t>
      </w:r>
      <w:r>
        <w:rPr>
          <w:spacing w:val="-2"/>
          <w:sz w:val="24"/>
        </w:rPr>
        <w:t> </w:t>
      </w:r>
      <w:r>
        <w:rPr>
          <w:sz w:val="24"/>
        </w:rPr>
        <w:t>drive</w:t>
      </w:r>
      <w:r>
        <w:rPr>
          <w:spacing w:val="-2"/>
          <w:sz w:val="24"/>
        </w:rPr>
        <w:t> </w:t>
      </w:r>
      <w:r>
        <w:rPr>
          <w:sz w:val="24"/>
        </w:rPr>
        <w:t>further</w:t>
      </w:r>
      <w:r>
        <w:rPr>
          <w:spacing w:val="-3"/>
          <w:sz w:val="24"/>
        </w:rPr>
        <w:t> </w:t>
      </w:r>
      <w:r>
        <w:rPr>
          <w:sz w:val="24"/>
        </w:rPr>
        <w:t>work.</w:t>
      </w:r>
      <w:r>
        <w:rPr>
          <w:spacing w:val="40"/>
          <w:sz w:val="24"/>
        </w:rPr>
        <w:t> </w:t>
      </w:r>
      <w:r>
        <w:rPr>
          <w:sz w:val="24"/>
        </w:rPr>
        <w:t>This</w:t>
      </w:r>
      <w:r>
        <w:rPr>
          <w:spacing w:val="-3"/>
          <w:sz w:val="24"/>
        </w:rPr>
        <w:t> </w:t>
      </w:r>
      <w:r>
        <w:rPr>
          <w:sz w:val="24"/>
        </w:rPr>
        <w:t>will</w:t>
      </w:r>
      <w:r>
        <w:rPr>
          <w:spacing w:val="-2"/>
          <w:sz w:val="24"/>
        </w:rPr>
        <w:t> </w:t>
      </w:r>
      <w:r>
        <w:rPr>
          <w:sz w:val="24"/>
        </w:rPr>
        <w:t>be</w:t>
      </w:r>
      <w:r>
        <w:rPr>
          <w:spacing w:val="-2"/>
          <w:sz w:val="24"/>
        </w:rPr>
        <w:t> </w:t>
      </w:r>
      <w:r>
        <w:rPr>
          <w:sz w:val="24"/>
        </w:rPr>
        <w:t>reviewed</w:t>
      </w:r>
      <w:r>
        <w:rPr>
          <w:spacing w:val="-2"/>
          <w:sz w:val="24"/>
        </w:rPr>
        <w:t> </w:t>
      </w:r>
      <w:r>
        <w:rPr>
          <w:sz w:val="24"/>
        </w:rPr>
        <w:t>at the next meeting.</w:t>
      </w:r>
    </w:p>
    <w:p>
      <w:pPr>
        <w:pStyle w:val="BodyText"/>
        <w:spacing w:before="179"/>
      </w:pPr>
    </w:p>
    <w:p>
      <w:pPr>
        <w:spacing w:before="0"/>
        <w:ind w:left="732" w:right="0" w:firstLine="0"/>
        <w:jc w:val="left"/>
        <w:rPr>
          <w:sz w:val="24"/>
        </w:rPr>
      </w:pPr>
      <w:r>
        <w:rPr>
          <w:b/>
          <w:sz w:val="24"/>
        </w:rPr>
        <w:t>Assure</w:t>
      </w:r>
      <w:hyperlink w:history="true" w:anchor="_bookmark15">
        <w:r>
          <w:rPr>
            <w:b/>
            <w:sz w:val="24"/>
            <w:vertAlign w:val="superscript"/>
          </w:rPr>
          <w:t>3</w:t>
        </w:r>
      </w:hyperlink>
      <w:r>
        <w:rPr>
          <w:b/>
          <w:spacing w:val="-4"/>
          <w:sz w:val="24"/>
          <w:vertAlign w:val="baseline"/>
        </w:rPr>
        <w:t> </w:t>
      </w:r>
      <w:r>
        <w:rPr>
          <w:sz w:val="24"/>
          <w:vertAlign w:val="baseline"/>
        </w:rPr>
        <w:t>(to</w:t>
      </w:r>
      <w:r>
        <w:rPr>
          <w:spacing w:val="-2"/>
          <w:sz w:val="24"/>
          <w:vertAlign w:val="baseline"/>
        </w:rPr>
        <w:t> </w:t>
      </w:r>
      <w:r>
        <w:rPr>
          <w:sz w:val="24"/>
          <w:vertAlign w:val="baseline"/>
        </w:rPr>
        <w:t>note)/</w:t>
      </w:r>
      <w:r>
        <w:rPr>
          <w:spacing w:val="-4"/>
          <w:sz w:val="24"/>
          <w:vertAlign w:val="baseline"/>
        </w:rPr>
        <w:t> </w:t>
      </w:r>
      <w:r>
        <w:rPr>
          <w:b/>
          <w:sz w:val="24"/>
          <w:vertAlign w:val="baseline"/>
        </w:rPr>
        <w:t>Sicrhau</w:t>
      </w:r>
      <w:r>
        <w:rPr>
          <w:b/>
          <w:spacing w:val="-4"/>
          <w:sz w:val="24"/>
          <w:vertAlign w:val="baseline"/>
        </w:rPr>
        <w:t> </w:t>
      </w:r>
      <w:r>
        <w:rPr>
          <w:sz w:val="24"/>
          <w:vertAlign w:val="baseline"/>
        </w:rPr>
        <w:t>(i</w:t>
      </w:r>
      <w:r>
        <w:rPr>
          <w:spacing w:val="-1"/>
          <w:sz w:val="24"/>
          <w:vertAlign w:val="baseline"/>
        </w:rPr>
        <w:t> </w:t>
      </w:r>
      <w:r>
        <w:rPr>
          <w:spacing w:val="-2"/>
          <w:sz w:val="24"/>
          <w:vertAlign w:val="baseline"/>
        </w:rPr>
        <w:t>nodi)</w:t>
      </w:r>
    </w:p>
    <w:p>
      <w:pPr>
        <w:pStyle w:val="BodyText"/>
        <w:spacing w:before="178"/>
      </w:pPr>
    </w:p>
    <w:p>
      <w:pPr>
        <w:pStyle w:val="BodyText"/>
        <w:spacing w:line="259" w:lineRule="auto"/>
        <w:ind w:left="732" w:right="1096"/>
      </w:pPr>
      <w:r>
        <w:rPr/>
        <w:t>The</w:t>
      </w:r>
      <w:r>
        <w:rPr>
          <w:spacing w:val="-4"/>
        </w:rPr>
        <w:t> </w:t>
      </w:r>
      <w:r>
        <w:rPr/>
        <w:t>Workforce</w:t>
      </w:r>
      <w:r>
        <w:rPr>
          <w:spacing w:val="-4"/>
        </w:rPr>
        <w:t> </w:t>
      </w:r>
      <w:r>
        <w:rPr/>
        <w:t>&amp;</w:t>
      </w:r>
      <w:r>
        <w:rPr>
          <w:spacing w:val="-5"/>
        </w:rPr>
        <w:t> </w:t>
      </w:r>
      <w:r>
        <w:rPr/>
        <w:t>OD</w:t>
      </w:r>
      <w:r>
        <w:rPr>
          <w:spacing w:val="-4"/>
        </w:rPr>
        <w:t> </w:t>
      </w:r>
      <w:r>
        <w:rPr/>
        <w:t>RJC</w:t>
      </w:r>
      <w:r>
        <w:rPr>
          <w:spacing w:val="-4"/>
        </w:rPr>
        <w:t> </w:t>
      </w:r>
      <w:r>
        <w:rPr/>
        <w:t>Sub-Group/Work</w:t>
      </w:r>
      <w:r>
        <w:rPr>
          <w:spacing w:val="-5"/>
        </w:rPr>
        <w:t> </w:t>
      </w:r>
      <w:r>
        <w:rPr/>
        <w:t>Programme</w:t>
      </w:r>
      <w:r>
        <w:rPr>
          <w:spacing w:val="-4"/>
        </w:rPr>
        <w:t> </w:t>
      </w:r>
      <w:r>
        <w:rPr/>
        <w:t>wish</w:t>
      </w:r>
      <w:r>
        <w:rPr>
          <w:spacing w:val="-4"/>
        </w:rPr>
        <w:t> </w:t>
      </w:r>
      <w:r>
        <w:rPr/>
        <w:t>to </w:t>
      </w:r>
      <w:r>
        <w:rPr>
          <w:b/>
        </w:rPr>
        <w:t>assure</w:t>
      </w:r>
      <w:r>
        <w:rPr>
          <w:b/>
          <w:spacing w:val="-2"/>
        </w:rPr>
        <w:t> </w:t>
      </w:r>
      <w:r>
        <w:rPr/>
        <w:t>members</w:t>
      </w:r>
      <w:r>
        <w:rPr>
          <w:spacing w:val="-5"/>
        </w:rPr>
        <w:t> </w:t>
      </w:r>
      <w:r>
        <w:rPr/>
        <w:t>of the RJC that a draft protocol for approval and oversight of regional posts has been drafted and the team will be refining over coming weeks with a view to adoption for any new roles to be introduced.</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
        <w:rPr>
          <w:sz w:val="20"/>
        </w:rPr>
      </w:pPr>
      <w:r>
        <w:rPr>
          <w:sz w:val="20"/>
        </w:rPr>
        <mc:AlternateContent>
          <mc:Choice Requires="wps">
            <w:drawing>
              <wp:anchor distT="0" distB="0" distL="0" distR="0" allowOverlap="1" layoutInCell="1" locked="0" behindDoc="1" simplePos="0" relativeHeight="487648256">
                <wp:simplePos x="0" y="0"/>
                <wp:positionH relativeFrom="page">
                  <wp:posOffset>914717</wp:posOffset>
                </wp:positionH>
                <wp:positionV relativeFrom="paragraph">
                  <wp:posOffset>170661</wp:posOffset>
                </wp:positionV>
                <wp:extent cx="1830070" cy="9525"/>
                <wp:effectExtent l="0" t="0" r="0" b="0"/>
                <wp:wrapTopAndBottom/>
                <wp:docPr id="417" name="Graphic 417"/>
                <wp:cNvGraphicFramePr>
                  <a:graphicFrameLocks/>
                </wp:cNvGraphicFramePr>
                <a:graphic>
                  <a:graphicData uri="http://schemas.microsoft.com/office/word/2010/wordprocessingShape">
                    <wps:wsp>
                      <wps:cNvPr id="417" name="Graphic 417"/>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5002pt;margin-top:13.437921pt;width:144.080pt;height:.75pt;mso-position-horizontal-relative:page;mso-position-vertical-relative:paragraph;z-index:-15668224;mso-wrap-distance-left:0;mso-wrap-distance-right:0" id="docshape204" filled="true" fillcolor="#000000" stroked="false">
                <v:fill type="solid"/>
                <w10:wrap type="topAndBottom"/>
              </v:rect>
            </w:pict>
          </mc:Fallback>
        </mc:AlternateContent>
      </w:r>
    </w:p>
    <w:p>
      <w:pPr>
        <w:spacing w:before="100"/>
        <w:ind w:left="732" w:right="1096" w:firstLine="0"/>
        <w:jc w:val="left"/>
        <w:rPr>
          <w:rFonts w:ascii="Calibri"/>
          <w:sz w:val="20"/>
        </w:rPr>
      </w:pPr>
      <w:bookmarkStart w:name="_bookmark13" w:id="52"/>
      <w:bookmarkEnd w:id="52"/>
      <w:r>
        <w:rPr/>
      </w:r>
      <w:r>
        <w:rPr>
          <w:rFonts w:ascii="Calibri"/>
          <w:position w:val="6"/>
          <w:sz w:val="13"/>
        </w:rPr>
        <w:t>1</w:t>
      </w:r>
      <w:r>
        <w:rPr>
          <w:rFonts w:ascii="Calibri"/>
          <w:spacing w:val="18"/>
          <w:position w:val="6"/>
          <w:sz w:val="13"/>
        </w:rPr>
        <w:t> </w:t>
      </w:r>
      <w:r>
        <w:rPr>
          <w:rFonts w:ascii="Calibri"/>
          <w:i/>
          <w:sz w:val="20"/>
        </w:rPr>
        <w:t>There is a lack of confidence that any action in place is sufficient to address the issue</w:t>
      </w:r>
      <w:r>
        <w:rPr>
          <w:rFonts w:ascii="Calibri"/>
          <w:i/>
          <w:spacing w:val="-2"/>
          <w:sz w:val="20"/>
        </w:rPr>
        <w:t> </w:t>
      </w:r>
      <w:r>
        <w:rPr>
          <w:rFonts w:ascii="Calibri"/>
          <w:i/>
          <w:sz w:val="20"/>
        </w:rPr>
        <w:t>satisfactorily and/or</w:t>
      </w:r>
      <w:r>
        <w:rPr>
          <w:rFonts w:ascii="Calibri"/>
          <w:i/>
          <w:sz w:val="20"/>
        </w:rPr>
        <w:t> within</w:t>
      </w:r>
      <w:r>
        <w:rPr>
          <w:rFonts w:ascii="Calibri"/>
          <w:i/>
          <w:spacing w:val="-1"/>
          <w:sz w:val="20"/>
        </w:rPr>
        <w:t> </w:t>
      </w:r>
      <w:r>
        <w:rPr>
          <w:rFonts w:ascii="Calibri"/>
          <w:i/>
          <w:sz w:val="20"/>
        </w:rPr>
        <w:t>the</w:t>
      </w:r>
      <w:r>
        <w:rPr>
          <w:rFonts w:ascii="Calibri"/>
          <w:i/>
          <w:spacing w:val="-3"/>
          <w:sz w:val="20"/>
        </w:rPr>
        <w:t> </w:t>
      </w:r>
      <w:r>
        <w:rPr>
          <w:rFonts w:ascii="Calibri"/>
          <w:i/>
          <w:sz w:val="20"/>
        </w:rPr>
        <w:t>scope</w:t>
      </w:r>
      <w:r>
        <w:rPr>
          <w:rFonts w:ascii="Calibri"/>
          <w:i/>
          <w:spacing w:val="-8"/>
          <w:sz w:val="20"/>
        </w:rPr>
        <w:t> </w:t>
      </w:r>
      <w:r>
        <w:rPr>
          <w:rFonts w:ascii="Calibri"/>
          <w:i/>
          <w:sz w:val="20"/>
        </w:rPr>
        <w:t>of</w:t>
      </w:r>
      <w:r>
        <w:rPr>
          <w:rFonts w:ascii="Calibri"/>
          <w:i/>
          <w:spacing w:val="-4"/>
          <w:sz w:val="20"/>
        </w:rPr>
        <w:t> </w:t>
      </w:r>
      <w:r>
        <w:rPr>
          <w:rFonts w:ascii="Calibri"/>
          <w:i/>
          <w:sz w:val="20"/>
        </w:rPr>
        <w:t>the</w:t>
      </w:r>
      <w:r>
        <w:rPr>
          <w:rFonts w:ascii="Calibri"/>
          <w:i/>
          <w:spacing w:val="-3"/>
          <w:sz w:val="20"/>
        </w:rPr>
        <w:t> </w:t>
      </w:r>
      <w:r>
        <w:rPr>
          <w:rFonts w:ascii="Calibri"/>
          <w:i/>
          <w:sz w:val="20"/>
        </w:rPr>
        <w:t>operational</w:t>
      </w:r>
      <w:r>
        <w:rPr>
          <w:rFonts w:ascii="Calibri"/>
          <w:i/>
          <w:spacing w:val="-3"/>
          <w:sz w:val="20"/>
        </w:rPr>
        <w:t> </w:t>
      </w:r>
      <w:r>
        <w:rPr>
          <w:rFonts w:ascii="Calibri"/>
          <w:i/>
          <w:sz w:val="20"/>
        </w:rPr>
        <w:t>team</w:t>
      </w:r>
      <w:r>
        <w:rPr>
          <w:rFonts w:ascii="Calibri"/>
          <w:i/>
          <w:spacing w:val="-6"/>
          <w:sz w:val="20"/>
        </w:rPr>
        <w:t> </w:t>
      </w:r>
      <w:r>
        <w:rPr>
          <w:rFonts w:ascii="Calibri"/>
          <w:i/>
          <w:sz w:val="20"/>
        </w:rPr>
        <w:t>or</w:t>
      </w:r>
      <w:r>
        <w:rPr>
          <w:rFonts w:ascii="Calibri"/>
          <w:i/>
          <w:spacing w:val="-1"/>
          <w:sz w:val="20"/>
        </w:rPr>
        <w:t> </w:t>
      </w:r>
      <w:r>
        <w:rPr>
          <w:rFonts w:ascii="Calibri"/>
          <w:i/>
          <w:sz w:val="20"/>
        </w:rPr>
        <w:t>executive</w:t>
      </w:r>
      <w:r>
        <w:rPr>
          <w:rFonts w:ascii="Calibri"/>
          <w:i/>
          <w:spacing w:val="-3"/>
          <w:sz w:val="20"/>
        </w:rPr>
        <w:t> </w:t>
      </w:r>
      <w:r>
        <w:rPr>
          <w:rFonts w:ascii="Calibri"/>
          <w:i/>
          <w:sz w:val="20"/>
        </w:rPr>
        <w:t>to</w:t>
      </w:r>
      <w:r>
        <w:rPr>
          <w:rFonts w:ascii="Calibri"/>
          <w:i/>
          <w:spacing w:val="-6"/>
          <w:sz w:val="20"/>
        </w:rPr>
        <w:t> </w:t>
      </w:r>
      <w:r>
        <w:rPr>
          <w:rFonts w:ascii="Calibri"/>
          <w:i/>
          <w:sz w:val="20"/>
        </w:rPr>
        <w:t>resolve.</w:t>
      </w:r>
      <w:r>
        <w:rPr>
          <w:rFonts w:ascii="Calibri"/>
          <w:i/>
          <w:spacing w:val="40"/>
          <w:sz w:val="20"/>
        </w:rPr>
        <w:t> </w:t>
      </w:r>
      <w:r>
        <w:rPr>
          <w:rFonts w:ascii="Calibri"/>
          <w:i/>
          <w:sz w:val="20"/>
        </w:rPr>
        <w:t>Engagement,</w:t>
      </w:r>
      <w:r>
        <w:rPr>
          <w:rFonts w:ascii="Calibri"/>
          <w:i/>
          <w:spacing w:val="-2"/>
          <w:sz w:val="20"/>
        </w:rPr>
        <w:t> </w:t>
      </w:r>
      <w:r>
        <w:rPr>
          <w:rFonts w:ascii="Calibri"/>
          <w:i/>
          <w:sz w:val="20"/>
        </w:rPr>
        <w:t>action</w:t>
      </w:r>
      <w:r>
        <w:rPr>
          <w:rFonts w:ascii="Calibri"/>
          <w:i/>
          <w:spacing w:val="-6"/>
          <w:sz w:val="20"/>
        </w:rPr>
        <w:t> </w:t>
      </w:r>
      <w:r>
        <w:rPr>
          <w:rFonts w:ascii="Calibri"/>
          <w:i/>
          <w:sz w:val="20"/>
        </w:rPr>
        <w:t>or</w:t>
      </w:r>
      <w:r>
        <w:rPr>
          <w:rFonts w:ascii="Calibri"/>
          <w:i/>
          <w:spacing w:val="-1"/>
          <w:sz w:val="20"/>
        </w:rPr>
        <w:t> </w:t>
      </w:r>
      <w:r>
        <w:rPr>
          <w:rFonts w:ascii="Calibri"/>
          <w:i/>
          <w:sz w:val="20"/>
        </w:rPr>
        <w:t>intervention</w:t>
      </w:r>
      <w:r>
        <w:rPr>
          <w:rFonts w:ascii="Calibri"/>
          <w:i/>
          <w:spacing w:val="-1"/>
          <w:sz w:val="20"/>
        </w:rPr>
        <w:t> </w:t>
      </w:r>
      <w:r>
        <w:rPr>
          <w:rFonts w:ascii="Calibri"/>
          <w:i/>
          <w:sz w:val="20"/>
        </w:rPr>
        <w:t>required. </w:t>
      </w:r>
      <w:bookmarkStart w:name="_bookmark14" w:id="53"/>
      <w:bookmarkEnd w:id="53"/>
      <w:r>
        <w:rPr>
          <w:rFonts w:ascii="Calibri"/>
          <w:i/>
          <w:sz w:val="20"/>
        </w:rPr>
      </w:r>
      <w:r>
        <w:rPr>
          <w:rFonts w:ascii="Calibri"/>
          <w:position w:val="6"/>
          <w:sz w:val="13"/>
        </w:rPr>
        <w:t>2</w:t>
      </w:r>
      <w:r>
        <w:rPr>
          <w:rFonts w:ascii="Calibri"/>
          <w:spacing w:val="11"/>
          <w:position w:val="6"/>
          <w:sz w:val="13"/>
        </w:rPr>
        <w:t> </w:t>
      </w:r>
      <w:r>
        <w:rPr>
          <w:rFonts w:ascii="Calibri"/>
          <w:i/>
          <w:sz w:val="20"/>
        </w:rPr>
        <w:t>There</w:t>
      </w:r>
      <w:r>
        <w:rPr>
          <w:rFonts w:ascii="Calibri"/>
          <w:i/>
          <w:spacing w:val="-4"/>
          <w:sz w:val="20"/>
        </w:rPr>
        <w:t> </w:t>
      </w:r>
      <w:r>
        <w:rPr>
          <w:rFonts w:ascii="Calibri"/>
          <w:i/>
          <w:sz w:val="20"/>
        </w:rPr>
        <w:t>are</w:t>
      </w:r>
      <w:r>
        <w:rPr>
          <w:rFonts w:ascii="Calibri"/>
          <w:i/>
          <w:spacing w:val="-4"/>
          <w:sz w:val="20"/>
        </w:rPr>
        <w:t> </w:t>
      </w:r>
      <w:r>
        <w:rPr>
          <w:rFonts w:ascii="Calibri"/>
          <w:i/>
          <w:sz w:val="20"/>
        </w:rPr>
        <w:t>areas</w:t>
      </w:r>
      <w:r>
        <w:rPr>
          <w:rFonts w:ascii="Calibri"/>
          <w:i/>
          <w:spacing w:val="-2"/>
          <w:sz w:val="20"/>
        </w:rPr>
        <w:t> </w:t>
      </w:r>
      <w:r>
        <w:rPr>
          <w:rFonts w:ascii="Calibri"/>
          <w:i/>
          <w:sz w:val="20"/>
        </w:rPr>
        <w:t>of</w:t>
      </w:r>
      <w:r>
        <w:rPr>
          <w:rFonts w:ascii="Calibri"/>
          <w:i/>
          <w:spacing w:val="-5"/>
          <w:sz w:val="20"/>
        </w:rPr>
        <w:t> </w:t>
      </w:r>
      <w:r>
        <w:rPr>
          <w:rFonts w:ascii="Calibri"/>
          <w:i/>
          <w:sz w:val="20"/>
        </w:rPr>
        <w:t>concern</w:t>
      </w:r>
      <w:r>
        <w:rPr>
          <w:rFonts w:ascii="Calibri"/>
          <w:i/>
          <w:spacing w:val="-2"/>
          <w:sz w:val="20"/>
        </w:rPr>
        <w:t> </w:t>
      </w:r>
      <w:r>
        <w:rPr>
          <w:rFonts w:ascii="Calibri"/>
          <w:i/>
          <w:sz w:val="20"/>
        </w:rPr>
        <w:t>where</w:t>
      </w:r>
      <w:r>
        <w:rPr>
          <w:rFonts w:ascii="Calibri"/>
          <w:i/>
          <w:spacing w:val="-4"/>
          <w:sz w:val="20"/>
        </w:rPr>
        <w:t> </w:t>
      </w:r>
      <w:r>
        <w:rPr>
          <w:rFonts w:ascii="Calibri"/>
          <w:i/>
          <w:sz w:val="20"/>
        </w:rPr>
        <w:t>assurance</w:t>
      </w:r>
      <w:r>
        <w:rPr>
          <w:rFonts w:ascii="Calibri"/>
          <w:i/>
          <w:spacing w:val="-4"/>
          <w:sz w:val="20"/>
        </w:rPr>
        <w:t> </w:t>
      </w:r>
      <w:r>
        <w:rPr>
          <w:rFonts w:ascii="Calibri"/>
          <w:i/>
          <w:sz w:val="20"/>
        </w:rPr>
        <w:t>has</w:t>
      </w:r>
      <w:r>
        <w:rPr>
          <w:rFonts w:ascii="Calibri"/>
          <w:i/>
          <w:spacing w:val="-2"/>
          <w:sz w:val="20"/>
        </w:rPr>
        <w:t> </w:t>
      </w:r>
      <w:r>
        <w:rPr>
          <w:rFonts w:ascii="Calibri"/>
          <w:i/>
          <w:sz w:val="20"/>
        </w:rPr>
        <w:t>been</w:t>
      </w:r>
      <w:r>
        <w:rPr>
          <w:rFonts w:ascii="Calibri"/>
          <w:i/>
          <w:spacing w:val="-2"/>
          <w:sz w:val="20"/>
        </w:rPr>
        <w:t> </w:t>
      </w:r>
      <w:r>
        <w:rPr>
          <w:rFonts w:ascii="Calibri"/>
          <w:i/>
          <w:sz w:val="20"/>
        </w:rPr>
        <w:t>taken</w:t>
      </w:r>
      <w:r>
        <w:rPr>
          <w:rFonts w:ascii="Calibri"/>
          <w:i/>
          <w:spacing w:val="-7"/>
          <w:sz w:val="20"/>
        </w:rPr>
        <w:t> </w:t>
      </w:r>
      <w:r>
        <w:rPr>
          <w:rFonts w:ascii="Calibri"/>
          <w:i/>
          <w:sz w:val="20"/>
        </w:rPr>
        <w:t>on</w:t>
      </w:r>
      <w:r>
        <w:rPr>
          <w:rFonts w:ascii="Calibri"/>
          <w:i/>
          <w:spacing w:val="-2"/>
          <w:sz w:val="20"/>
        </w:rPr>
        <w:t> </w:t>
      </w:r>
      <w:r>
        <w:rPr>
          <w:rFonts w:ascii="Calibri"/>
          <w:i/>
          <w:sz w:val="20"/>
        </w:rPr>
        <w:t>actions</w:t>
      </w:r>
      <w:r>
        <w:rPr>
          <w:rFonts w:ascii="Calibri"/>
          <w:i/>
          <w:spacing w:val="-2"/>
          <w:sz w:val="20"/>
        </w:rPr>
        <w:t> </w:t>
      </w:r>
      <w:r>
        <w:rPr>
          <w:rFonts w:ascii="Calibri"/>
          <w:i/>
          <w:sz w:val="20"/>
        </w:rPr>
        <w:t>in</w:t>
      </w:r>
      <w:r>
        <w:rPr>
          <w:rFonts w:ascii="Calibri"/>
          <w:i/>
          <w:spacing w:val="-7"/>
          <w:sz w:val="20"/>
        </w:rPr>
        <w:t> </w:t>
      </w:r>
      <w:r>
        <w:rPr>
          <w:rFonts w:ascii="Calibri"/>
          <w:i/>
          <w:sz w:val="20"/>
        </w:rPr>
        <w:t>place</w:t>
      </w:r>
      <w:r>
        <w:rPr>
          <w:rFonts w:ascii="Calibri"/>
          <w:i/>
          <w:spacing w:val="-4"/>
          <w:sz w:val="20"/>
        </w:rPr>
        <w:t> </w:t>
      </w:r>
      <w:r>
        <w:rPr>
          <w:rFonts w:ascii="Calibri"/>
          <w:i/>
          <w:sz w:val="20"/>
        </w:rPr>
        <w:t>but</w:t>
      </w:r>
      <w:r>
        <w:rPr>
          <w:rFonts w:ascii="Calibri"/>
          <w:i/>
          <w:spacing w:val="-5"/>
          <w:sz w:val="20"/>
        </w:rPr>
        <w:t> </w:t>
      </w:r>
      <w:r>
        <w:rPr>
          <w:rFonts w:ascii="Calibri"/>
          <w:i/>
          <w:sz w:val="20"/>
        </w:rPr>
        <w:t>requires</w:t>
      </w:r>
      <w:r>
        <w:rPr>
          <w:rFonts w:ascii="Calibri"/>
          <w:i/>
          <w:spacing w:val="-7"/>
          <w:sz w:val="20"/>
        </w:rPr>
        <w:t> </w:t>
      </w:r>
      <w:r>
        <w:rPr>
          <w:rFonts w:ascii="Calibri"/>
          <w:i/>
          <w:sz w:val="20"/>
        </w:rPr>
        <w:t>close</w:t>
      </w:r>
      <w:r>
        <w:rPr>
          <w:rFonts w:ascii="Calibri"/>
          <w:i/>
          <w:spacing w:val="-4"/>
          <w:sz w:val="20"/>
        </w:rPr>
        <w:t> </w:t>
      </w:r>
      <w:r>
        <w:rPr>
          <w:rFonts w:ascii="Calibri"/>
          <w:i/>
          <w:sz w:val="20"/>
        </w:rPr>
        <w:t>monitoring.</w:t>
      </w:r>
      <w:r>
        <w:rPr>
          <w:rFonts w:ascii="Calibri"/>
          <w:i/>
          <w:sz w:val="20"/>
        </w:rPr>
        <w:t> An early warning of an emerging and potentially serious concern</w:t>
      </w:r>
      <w:r>
        <w:rPr>
          <w:rFonts w:ascii="Calibri"/>
          <w:sz w:val="20"/>
        </w:rPr>
        <w:t>.</w:t>
      </w:r>
    </w:p>
    <w:p>
      <w:pPr>
        <w:spacing w:line="235" w:lineRule="auto" w:before="7"/>
        <w:ind w:left="732" w:right="1096" w:firstLine="0"/>
        <w:jc w:val="left"/>
        <w:rPr>
          <w:rFonts w:ascii="Calibri"/>
          <w:i/>
          <w:sz w:val="20"/>
        </w:rPr>
      </w:pPr>
      <w:bookmarkStart w:name="_bookmark15" w:id="54"/>
      <w:bookmarkEnd w:id="54"/>
      <w:r>
        <w:rPr/>
      </w:r>
      <w:r>
        <w:rPr>
          <w:rFonts w:ascii="Calibri"/>
          <w:position w:val="6"/>
          <w:sz w:val="13"/>
        </w:rPr>
        <w:t>3</w:t>
      </w:r>
      <w:r>
        <w:rPr>
          <w:rFonts w:ascii="Calibri"/>
          <w:spacing w:val="12"/>
          <w:position w:val="6"/>
          <w:sz w:val="13"/>
        </w:rPr>
        <w:t> </w:t>
      </w:r>
      <w:r>
        <w:rPr>
          <w:rFonts w:ascii="Calibri"/>
          <w:i/>
          <w:sz w:val="20"/>
        </w:rPr>
        <w:t>There</w:t>
      </w:r>
      <w:r>
        <w:rPr>
          <w:rFonts w:ascii="Calibri"/>
          <w:i/>
          <w:spacing w:val="-3"/>
          <w:sz w:val="20"/>
        </w:rPr>
        <w:t> </w:t>
      </w:r>
      <w:r>
        <w:rPr>
          <w:rFonts w:ascii="Calibri"/>
          <w:i/>
          <w:sz w:val="20"/>
        </w:rPr>
        <w:t>is</w:t>
      </w:r>
      <w:r>
        <w:rPr>
          <w:rFonts w:ascii="Calibri"/>
          <w:i/>
          <w:spacing w:val="-2"/>
          <w:sz w:val="20"/>
        </w:rPr>
        <w:t> </w:t>
      </w:r>
      <w:r>
        <w:rPr>
          <w:rFonts w:ascii="Calibri"/>
          <w:i/>
          <w:sz w:val="20"/>
        </w:rPr>
        <w:t>confidence</w:t>
      </w:r>
      <w:r>
        <w:rPr>
          <w:rFonts w:ascii="Calibri"/>
          <w:i/>
          <w:spacing w:val="-3"/>
          <w:sz w:val="20"/>
        </w:rPr>
        <w:t> </w:t>
      </w:r>
      <w:r>
        <w:rPr>
          <w:rFonts w:ascii="Calibri"/>
          <w:i/>
          <w:sz w:val="20"/>
        </w:rPr>
        <w:t>that</w:t>
      </w:r>
      <w:r>
        <w:rPr>
          <w:rFonts w:ascii="Calibri"/>
          <w:i/>
          <w:spacing w:val="-4"/>
          <w:sz w:val="20"/>
        </w:rPr>
        <w:t> </w:t>
      </w:r>
      <w:r>
        <w:rPr>
          <w:rFonts w:ascii="Calibri"/>
          <w:i/>
          <w:sz w:val="20"/>
        </w:rPr>
        <w:t>actions</w:t>
      </w:r>
      <w:r>
        <w:rPr>
          <w:rFonts w:ascii="Calibri"/>
          <w:i/>
          <w:spacing w:val="-2"/>
          <w:sz w:val="20"/>
        </w:rPr>
        <w:t> </w:t>
      </w:r>
      <w:r>
        <w:rPr>
          <w:rFonts w:ascii="Calibri"/>
          <w:i/>
          <w:sz w:val="20"/>
        </w:rPr>
        <w:t>are</w:t>
      </w:r>
      <w:r>
        <w:rPr>
          <w:rFonts w:ascii="Calibri"/>
          <w:i/>
          <w:spacing w:val="-8"/>
          <w:sz w:val="20"/>
        </w:rPr>
        <w:t> </w:t>
      </w:r>
      <w:r>
        <w:rPr>
          <w:rFonts w:ascii="Calibri"/>
          <w:i/>
          <w:sz w:val="20"/>
        </w:rPr>
        <w:t>robust</w:t>
      </w:r>
      <w:r>
        <w:rPr>
          <w:rFonts w:ascii="Calibri"/>
          <w:i/>
          <w:spacing w:val="-4"/>
          <w:sz w:val="20"/>
        </w:rPr>
        <w:t> </w:t>
      </w:r>
      <w:r>
        <w:rPr>
          <w:rFonts w:ascii="Calibri"/>
          <w:i/>
          <w:sz w:val="20"/>
        </w:rPr>
        <w:t>and</w:t>
      </w:r>
      <w:r>
        <w:rPr>
          <w:rFonts w:ascii="Calibri"/>
          <w:i/>
          <w:spacing w:val="-2"/>
          <w:sz w:val="20"/>
        </w:rPr>
        <w:t> </w:t>
      </w:r>
      <w:r>
        <w:rPr>
          <w:rFonts w:ascii="Calibri"/>
          <w:i/>
          <w:sz w:val="20"/>
        </w:rPr>
        <w:t>will</w:t>
      </w:r>
      <w:r>
        <w:rPr>
          <w:rFonts w:ascii="Calibri"/>
          <w:i/>
          <w:spacing w:val="-3"/>
          <w:sz w:val="20"/>
        </w:rPr>
        <w:t> </w:t>
      </w:r>
      <w:r>
        <w:rPr>
          <w:rFonts w:ascii="Calibri"/>
          <w:i/>
          <w:sz w:val="20"/>
        </w:rPr>
        <w:t>be</w:t>
      </w:r>
      <w:r>
        <w:rPr>
          <w:rFonts w:ascii="Calibri"/>
          <w:i/>
          <w:spacing w:val="-3"/>
          <w:sz w:val="20"/>
        </w:rPr>
        <w:t> </w:t>
      </w:r>
      <w:r>
        <w:rPr>
          <w:rFonts w:ascii="Calibri"/>
          <w:i/>
          <w:sz w:val="20"/>
        </w:rPr>
        <w:t>sufficient</w:t>
      </w:r>
      <w:r>
        <w:rPr>
          <w:rFonts w:ascii="Calibri"/>
          <w:i/>
          <w:spacing w:val="-4"/>
          <w:sz w:val="20"/>
        </w:rPr>
        <w:t> </w:t>
      </w:r>
      <w:r>
        <w:rPr>
          <w:rFonts w:ascii="Calibri"/>
          <w:i/>
          <w:sz w:val="20"/>
        </w:rPr>
        <w:t>to</w:t>
      </w:r>
      <w:r>
        <w:rPr>
          <w:rFonts w:ascii="Calibri"/>
          <w:i/>
          <w:spacing w:val="-1"/>
          <w:sz w:val="20"/>
        </w:rPr>
        <w:t> </w:t>
      </w:r>
      <w:r>
        <w:rPr>
          <w:rFonts w:ascii="Calibri"/>
          <w:i/>
          <w:sz w:val="20"/>
        </w:rPr>
        <w:t>address</w:t>
      </w:r>
      <w:r>
        <w:rPr>
          <w:rFonts w:ascii="Calibri"/>
          <w:i/>
          <w:spacing w:val="-2"/>
          <w:sz w:val="20"/>
        </w:rPr>
        <w:t> </w:t>
      </w:r>
      <w:r>
        <w:rPr>
          <w:rFonts w:ascii="Calibri"/>
          <w:i/>
          <w:sz w:val="20"/>
        </w:rPr>
        <w:t>the</w:t>
      </w:r>
      <w:r>
        <w:rPr>
          <w:rFonts w:ascii="Calibri"/>
          <w:i/>
          <w:spacing w:val="-3"/>
          <w:sz w:val="20"/>
        </w:rPr>
        <w:t> </w:t>
      </w:r>
      <w:r>
        <w:rPr>
          <w:rFonts w:ascii="Calibri"/>
          <w:i/>
          <w:sz w:val="20"/>
        </w:rPr>
        <w:t>issue</w:t>
      </w:r>
      <w:r>
        <w:rPr>
          <w:rFonts w:ascii="Calibri"/>
          <w:i/>
          <w:spacing w:val="-8"/>
          <w:sz w:val="20"/>
        </w:rPr>
        <w:t> </w:t>
      </w:r>
      <w:r>
        <w:rPr>
          <w:rFonts w:ascii="Calibri"/>
          <w:i/>
          <w:sz w:val="20"/>
        </w:rPr>
        <w:t>or</w:t>
      </w:r>
      <w:r>
        <w:rPr>
          <w:rFonts w:ascii="Calibri"/>
          <w:i/>
          <w:spacing w:val="-2"/>
          <w:sz w:val="20"/>
        </w:rPr>
        <w:t> </w:t>
      </w:r>
      <w:r>
        <w:rPr>
          <w:rFonts w:ascii="Calibri"/>
          <w:i/>
          <w:sz w:val="20"/>
        </w:rPr>
        <w:t>generally</w:t>
      </w:r>
      <w:r>
        <w:rPr>
          <w:rFonts w:ascii="Calibri"/>
          <w:i/>
          <w:spacing w:val="-7"/>
          <w:sz w:val="20"/>
        </w:rPr>
        <w:t> </w:t>
      </w:r>
      <w:r>
        <w:rPr>
          <w:rFonts w:ascii="Calibri"/>
          <w:i/>
          <w:sz w:val="20"/>
        </w:rPr>
        <w:t>operating</w:t>
      </w:r>
      <w:r>
        <w:rPr>
          <w:rFonts w:ascii="Calibri"/>
          <w:i/>
          <w:sz w:val="20"/>
        </w:rPr>
        <w:t> effectively. Routine monitoring.</w:t>
      </w:r>
    </w:p>
    <w:p>
      <w:pPr>
        <w:spacing w:before="34"/>
        <w:ind w:left="0" w:right="284" w:firstLine="0"/>
        <w:jc w:val="center"/>
        <w:rPr>
          <w:rFonts w:ascii="Calibri"/>
          <w:b/>
          <w:sz w:val="22"/>
        </w:rPr>
      </w:pPr>
      <w:r>
        <w:rPr>
          <w:rFonts w:ascii="Calibri"/>
          <w:sz w:val="22"/>
        </w:rPr>
        <w:t>Page</w:t>
      </w:r>
      <w:r>
        <w:rPr>
          <w:rFonts w:ascii="Calibri"/>
          <w:spacing w:val="-4"/>
          <w:sz w:val="22"/>
        </w:rPr>
        <w:t> </w:t>
      </w:r>
      <w:r>
        <w:rPr>
          <w:rFonts w:ascii="Calibri"/>
          <w:b/>
          <w:sz w:val="22"/>
        </w:rPr>
        <w:t>1</w:t>
      </w:r>
      <w:r>
        <w:rPr>
          <w:rFonts w:ascii="Calibri"/>
          <w:b/>
          <w:spacing w:val="-5"/>
          <w:sz w:val="22"/>
        </w:rPr>
        <w:t> </w:t>
      </w:r>
      <w:r>
        <w:rPr>
          <w:rFonts w:ascii="Calibri"/>
          <w:sz w:val="22"/>
        </w:rPr>
        <w:t>of</w:t>
      </w:r>
      <w:r>
        <w:rPr>
          <w:rFonts w:ascii="Calibri"/>
          <w:spacing w:val="-4"/>
          <w:sz w:val="22"/>
        </w:rPr>
        <w:t> </w:t>
      </w:r>
      <w:r>
        <w:rPr>
          <w:rFonts w:ascii="Calibri"/>
          <w:b/>
          <w:spacing w:val="-10"/>
          <w:sz w:val="22"/>
        </w:rPr>
        <w:t>2</w:t>
      </w:r>
    </w:p>
    <w:p>
      <w:pPr>
        <w:spacing w:after="0"/>
        <w:jc w:val="center"/>
        <w:rPr>
          <w:rFonts w:ascii="Calibri"/>
          <w:b/>
          <w:sz w:val="22"/>
        </w:rPr>
        <w:sectPr>
          <w:pgSz w:w="11910" w:h="16840"/>
          <w:pgMar w:header="0" w:footer="149" w:top="1140" w:bottom="340" w:left="708" w:right="425"/>
        </w:sectPr>
      </w:pPr>
    </w:p>
    <w:p>
      <w:pPr>
        <w:tabs>
          <w:tab w:pos="5858" w:val="left" w:leader="none"/>
        </w:tabs>
        <w:spacing w:line="240" w:lineRule="auto"/>
        <w:ind w:left="1270" w:right="0" w:firstLine="0"/>
        <w:rPr>
          <w:rFonts w:ascii="Calibri"/>
          <w:position w:val="9"/>
          <w:sz w:val="20"/>
        </w:rPr>
      </w:pPr>
      <w:r>
        <w:rPr>
          <w:rFonts w:ascii="Calibri"/>
          <w:sz w:val="20"/>
        </w:rPr>
        <w:drawing>
          <wp:inline distT="0" distB="0" distL="0" distR="0">
            <wp:extent cx="2247389" cy="585216"/>
            <wp:effectExtent l="0" t="0" r="0" b="0"/>
            <wp:docPr id="418" name="Image 418"/>
            <wp:cNvGraphicFramePr>
              <a:graphicFrameLocks/>
            </wp:cNvGraphicFramePr>
            <a:graphic>
              <a:graphicData uri="http://schemas.openxmlformats.org/drawingml/2006/picture">
                <pic:pic>
                  <pic:nvPicPr>
                    <pic:cNvPr id="418" name="Image 418"/>
                    <pic:cNvPicPr/>
                  </pic:nvPicPr>
                  <pic:blipFill>
                    <a:blip r:embed="rId50" cstate="print"/>
                    <a:stretch>
                      <a:fillRect/>
                    </a:stretch>
                  </pic:blipFill>
                  <pic:spPr>
                    <a:xfrm>
                      <a:off x="0" y="0"/>
                      <a:ext cx="2247389" cy="585216"/>
                    </a:xfrm>
                    <a:prstGeom prst="rect">
                      <a:avLst/>
                    </a:prstGeom>
                  </pic:spPr>
                </pic:pic>
              </a:graphicData>
            </a:graphic>
          </wp:inline>
        </w:drawing>
      </w:r>
      <w:r>
        <w:rPr>
          <w:rFonts w:ascii="Calibri"/>
          <w:sz w:val="20"/>
        </w:rPr>
      </w:r>
      <w:r>
        <w:rPr>
          <w:rFonts w:ascii="Calibri"/>
          <w:sz w:val="20"/>
        </w:rPr>
        <w:tab/>
      </w:r>
      <w:r>
        <w:rPr>
          <w:rFonts w:ascii="Calibri"/>
          <w:position w:val="9"/>
          <w:sz w:val="20"/>
        </w:rPr>
        <w:drawing>
          <wp:inline distT="0" distB="0" distL="0" distR="0">
            <wp:extent cx="2494674" cy="549021"/>
            <wp:effectExtent l="0" t="0" r="0" b="0"/>
            <wp:docPr id="419" name="Image 419"/>
            <wp:cNvGraphicFramePr>
              <a:graphicFrameLocks/>
            </wp:cNvGraphicFramePr>
            <a:graphic>
              <a:graphicData uri="http://schemas.openxmlformats.org/drawingml/2006/picture">
                <pic:pic>
                  <pic:nvPicPr>
                    <pic:cNvPr id="419" name="Image 419"/>
                    <pic:cNvPicPr/>
                  </pic:nvPicPr>
                  <pic:blipFill>
                    <a:blip r:embed="rId7" cstate="print"/>
                    <a:stretch>
                      <a:fillRect/>
                    </a:stretch>
                  </pic:blipFill>
                  <pic:spPr>
                    <a:xfrm>
                      <a:off x="0" y="0"/>
                      <a:ext cx="2494674" cy="549021"/>
                    </a:xfrm>
                    <a:prstGeom prst="rect">
                      <a:avLst/>
                    </a:prstGeom>
                  </pic:spPr>
                </pic:pic>
              </a:graphicData>
            </a:graphic>
          </wp:inline>
        </w:drawing>
      </w:r>
      <w:r>
        <w:rPr>
          <w:rFonts w:ascii="Calibri"/>
          <w:position w:val="9"/>
          <w:sz w:val="20"/>
        </w:rPr>
      </w:r>
    </w:p>
    <w:p>
      <w:pPr>
        <w:pStyle w:val="BodyText"/>
        <w:spacing w:before="161"/>
        <w:rPr>
          <w:rFonts w:ascii="Calibri"/>
          <w:b/>
        </w:rPr>
      </w:pPr>
    </w:p>
    <w:p>
      <w:pPr>
        <w:pStyle w:val="BodyText"/>
        <w:spacing w:line="256" w:lineRule="auto" w:before="1"/>
        <w:ind w:left="732" w:right="1096"/>
      </w:pPr>
      <w:r>
        <w:rPr/>
        <w:t>Work</w:t>
      </w:r>
      <w:r>
        <w:rPr>
          <w:spacing w:val="-4"/>
        </w:rPr>
        <w:t> </w:t>
      </w:r>
      <w:r>
        <w:rPr/>
        <w:t>continues</w:t>
      </w:r>
      <w:r>
        <w:rPr>
          <w:spacing w:val="-4"/>
        </w:rPr>
        <w:t> </w:t>
      </w:r>
      <w:r>
        <w:rPr/>
        <w:t>on</w:t>
      </w:r>
      <w:r>
        <w:rPr>
          <w:spacing w:val="-3"/>
        </w:rPr>
        <w:t> </w:t>
      </w:r>
      <w:r>
        <w:rPr/>
        <w:t>the</w:t>
      </w:r>
      <w:r>
        <w:rPr>
          <w:spacing w:val="-3"/>
        </w:rPr>
        <w:t> </w:t>
      </w:r>
      <w:r>
        <w:rPr/>
        <w:t>workforce</w:t>
      </w:r>
      <w:r>
        <w:rPr>
          <w:spacing w:val="-3"/>
        </w:rPr>
        <w:t> </w:t>
      </w:r>
      <w:r>
        <w:rPr/>
        <w:t>planning</w:t>
      </w:r>
      <w:r>
        <w:rPr>
          <w:spacing w:val="-3"/>
        </w:rPr>
        <w:t> </w:t>
      </w:r>
      <w:r>
        <w:rPr/>
        <w:t>workstream</w:t>
      </w:r>
      <w:r>
        <w:rPr>
          <w:spacing w:val="-4"/>
        </w:rPr>
        <w:t> </w:t>
      </w:r>
      <w:r>
        <w:rPr/>
        <w:t>and</w:t>
      </w:r>
      <w:r>
        <w:rPr>
          <w:spacing w:val="-3"/>
        </w:rPr>
        <w:t> </w:t>
      </w:r>
      <w:r>
        <w:rPr/>
        <w:t>a</w:t>
      </w:r>
      <w:r>
        <w:rPr>
          <w:spacing w:val="-3"/>
        </w:rPr>
        <w:t> </w:t>
      </w:r>
      <w:r>
        <w:rPr/>
        <w:t>draft</w:t>
      </w:r>
      <w:r>
        <w:rPr>
          <w:spacing w:val="-6"/>
        </w:rPr>
        <w:t> </w:t>
      </w:r>
      <w:r>
        <w:rPr/>
        <w:t>outline</w:t>
      </w:r>
      <w:r>
        <w:rPr>
          <w:spacing w:val="-3"/>
        </w:rPr>
        <w:t> </w:t>
      </w:r>
      <w:r>
        <w:rPr/>
        <w:t>will</w:t>
      </w:r>
      <w:r>
        <w:rPr>
          <w:spacing w:val="-3"/>
        </w:rPr>
        <w:t> </w:t>
      </w:r>
      <w:r>
        <w:rPr/>
        <w:t>be discussed in the next joint meeting.</w:t>
      </w:r>
    </w:p>
    <w:p>
      <w:pPr>
        <w:pStyle w:val="BodyText"/>
        <w:spacing w:line="256" w:lineRule="auto" w:before="164"/>
        <w:ind w:left="732" w:right="1096"/>
      </w:pPr>
      <w:r>
        <w:rPr/>
        <w:t>The</w:t>
      </w:r>
      <w:r>
        <w:rPr>
          <w:spacing w:val="-2"/>
        </w:rPr>
        <w:t> </w:t>
      </w:r>
      <w:r>
        <w:rPr/>
        <w:t>teams</w:t>
      </w:r>
      <w:r>
        <w:rPr>
          <w:spacing w:val="-2"/>
        </w:rPr>
        <w:t> </w:t>
      </w:r>
      <w:r>
        <w:rPr/>
        <w:t>will</w:t>
      </w:r>
      <w:r>
        <w:rPr>
          <w:spacing w:val="-2"/>
        </w:rPr>
        <w:t> </w:t>
      </w:r>
      <w:r>
        <w:rPr/>
        <w:t>also</w:t>
      </w:r>
      <w:r>
        <w:rPr>
          <w:spacing w:val="-2"/>
        </w:rPr>
        <w:t> </w:t>
      </w:r>
      <w:r>
        <w:rPr/>
        <w:t>be</w:t>
      </w:r>
      <w:r>
        <w:rPr>
          <w:spacing w:val="-2"/>
        </w:rPr>
        <w:t> </w:t>
      </w:r>
      <w:r>
        <w:rPr/>
        <w:t>looking</w:t>
      </w:r>
      <w:r>
        <w:rPr>
          <w:spacing w:val="-2"/>
        </w:rPr>
        <w:t> </w:t>
      </w:r>
      <w:r>
        <w:rPr/>
        <w:t>at</w:t>
      </w:r>
      <w:r>
        <w:rPr>
          <w:spacing w:val="-5"/>
        </w:rPr>
        <w:t> </w:t>
      </w:r>
      <w:r>
        <w:rPr/>
        <w:t>benchmarking</w:t>
      </w:r>
      <w:r>
        <w:rPr>
          <w:spacing w:val="-7"/>
        </w:rPr>
        <w:t> </w:t>
      </w:r>
      <w:r>
        <w:rPr/>
        <w:t>workforce</w:t>
      </w:r>
      <w:r>
        <w:rPr>
          <w:spacing w:val="-2"/>
        </w:rPr>
        <w:t> </w:t>
      </w:r>
      <w:r>
        <w:rPr/>
        <w:t>and</w:t>
      </w:r>
      <w:r>
        <w:rPr>
          <w:spacing w:val="-2"/>
        </w:rPr>
        <w:t> </w:t>
      </w:r>
      <w:r>
        <w:rPr/>
        <w:t>OD</w:t>
      </w:r>
      <w:r>
        <w:rPr>
          <w:spacing w:val="-2"/>
        </w:rPr>
        <w:t> </w:t>
      </w:r>
      <w:r>
        <w:rPr/>
        <w:t>functions</w:t>
      </w:r>
      <w:r>
        <w:rPr>
          <w:spacing w:val="-3"/>
        </w:rPr>
        <w:t> </w:t>
      </w:r>
      <w:r>
        <w:rPr/>
        <w:t>across NHS Wales organisations.</w:t>
      </w:r>
    </w:p>
    <w:p>
      <w:pPr>
        <w:pStyle w:val="BodyText"/>
      </w:pPr>
    </w:p>
    <w:p>
      <w:pPr>
        <w:pStyle w:val="BodyText"/>
        <w:spacing w:before="158"/>
      </w:pPr>
    </w:p>
    <w:p>
      <w:pPr>
        <w:spacing w:before="0"/>
        <w:ind w:left="732" w:right="0" w:firstLine="0"/>
        <w:jc w:val="left"/>
        <w:rPr>
          <w:b/>
          <w:sz w:val="24"/>
        </w:rPr>
      </w:pPr>
      <w:r>
        <w:rPr>
          <w:b/>
          <w:sz w:val="24"/>
        </w:rPr>
        <w:t>Review</w:t>
      </w:r>
      <w:r>
        <w:rPr>
          <w:b/>
          <w:spacing w:val="-5"/>
          <w:sz w:val="24"/>
        </w:rPr>
        <w:t> </w:t>
      </w:r>
      <w:r>
        <w:rPr>
          <w:b/>
          <w:sz w:val="24"/>
        </w:rPr>
        <w:t>of</w:t>
      </w:r>
      <w:r>
        <w:rPr>
          <w:b/>
          <w:spacing w:val="-4"/>
          <w:sz w:val="24"/>
        </w:rPr>
        <w:t> </w:t>
      </w:r>
      <w:r>
        <w:rPr>
          <w:b/>
          <w:sz w:val="24"/>
        </w:rPr>
        <w:t>Risks/</w:t>
      </w:r>
      <w:r>
        <w:rPr>
          <w:b/>
          <w:spacing w:val="-9"/>
          <w:sz w:val="24"/>
        </w:rPr>
        <w:t> </w:t>
      </w:r>
      <w:r>
        <w:rPr>
          <w:b/>
          <w:sz w:val="24"/>
        </w:rPr>
        <w:t>Adolygiad</w:t>
      </w:r>
      <w:r>
        <w:rPr>
          <w:b/>
          <w:spacing w:val="-5"/>
          <w:sz w:val="24"/>
        </w:rPr>
        <w:t> </w:t>
      </w:r>
      <w:r>
        <w:rPr>
          <w:b/>
          <w:sz w:val="24"/>
        </w:rPr>
        <w:t>o</w:t>
      </w:r>
      <w:r>
        <w:rPr>
          <w:b/>
          <w:spacing w:val="-5"/>
          <w:sz w:val="24"/>
        </w:rPr>
        <w:t> </w:t>
      </w:r>
      <w:r>
        <w:rPr>
          <w:b/>
          <w:spacing w:val="-2"/>
          <w:sz w:val="24"/>
        </w:rPr>
        <w:t>Risgiau</w:t>
      </w:r>
    </w:p>
    <w:p>
      <w:pPr>
        <w:pStyle w:val="BodyText"/>
        <w:spacing w:before="18"/>
        <w:rPr>
          <w:b/>
        </w:rPr>
      </w:pPr>
    </w:p>
    <w:p>
      <w:pPr>
        <w:pStyle w:val="BodyText"/>
        <w:ind w:left="732"/>
      </w:pPr>
      <w:r>
        <w:rPr/>
        <w:t>Risk</w:t>
      </w:r>
      <w:r>
        <w:rPr>
          <w:spacing w:val="-3"/>
        </w:rPr>
        <w:t> </w:t>
      </w:r>
      <w:r>
        <w:rPr/>
        <w:t>to</w:t>
      </w:r>
      <w:r>
        <w:rPr>
          <w:spacing w:val="-2"/>
        </w:rPr>
        <w:t> </w:t>
      </w:r>
      <w:r>
        <w:rPr/>
        <w:t>delivery</w:t>
      </w:r>
      <w:r>
        <w:rPr>
          <w:spacing w:val="-3"/>
        </w:rPr>
        <w:t> </w:t>
      </w:r>
      <w:r>
        <w:rPr/>
        <w:t>is</w:t>
      </w:r>
      <w:r>
        <w:rPr>
          <w:spacing w:val="-3"/>
        </w:rPr>
        <w:t> </w:t>
      </w:r>
      <w:r>
        <w:rPr/>
        <w:t>linked</w:t>
      </w:r>
      <w:r>
        <w:rPr>
          <w:spacing w:val="-2"/>
        </w:rPr>
        <w:t> </w:t>
      </w:r>
      <w:r>
        <w:rPr/>
        <w:t>to</w:t>
      </w:r>
      <w:r>
        <w:rPr>
          <w:spacing w:val="-2"/>
        </w:rPr>
        <w:t> </w:t>
      </w:r>
      <w:r>
        <w:rPr/>
        <w:t>capacity</w:t>
      </w:r>
      <w:r>
        <w:rPr>
          <w:spacing w:val="-2"/>
        </w:rPr>
        <w:t> </w:t>
      </w:r>
      <w:r>
        <w:rPr/>
        <w:t>for</w:t>
      </w:r>
      <w:r>
        <w:rPr>
          <w:spacing w:val="-3"/>
        </w:rPr>
        <w:t> </w:t>
      </w:r>
      <w:r>
        <w:rPr/>
        <w:t>all</w:t>
      </w:r>
      <w:r>
        <w:rPr>
          <w:spacing w:val="-2"/>
        </w:rPr>
        <w:t> </w:t>
      </w:r>
      <w:r>
        <w:rPr/>
        <w:t>members</w:t>
      </w:r>
      <w:r>
        <w:rPr>
          <w:spacing w:val="-3"/>
        </w:rPr>
        <w:t> </w:t>
      </w:r>
      <w:r>
        <w:rPr/>
        <w:t>of</w:t>
      </w:r>
      <w:r>
        <w:rPr>
          <w:spacing w:val="-5"/>
        </w:rPr>
        <w:t> </w:t>
      </w:r>
      <w:r>
        <w:rPr/>
        <w:t>the</w:t>
      </w:r>
      <w:r>
        <w:rPr>
          <w:spacing w:val="-2"/>
        </w:rPr>
        <w:t> </w:t>
      </w:r>
      <w:r>
        <w:rPr/>
        <w:t>WOD</w:t>
      </w:r>
      <w:r>
        <w:rPr>
          <w:spacing w:val="-1"/>
        </w:rPr>
        <w:t> </w:t>
      </w:r>
      <w:r>
        <w:rPr>
          <w:spacing w:val="-2"/>
        </w:rPr>
        <w:t>teams.</w:t>
      </w:r>
    </w:p>
    <w:p>
      <w:pPr>
        <w:pStyle w:val="BodyText"/>
        <w:spacing w:before="3"/>
      </w:pPr>
    </w:p>
    <w:p>
      <w:pPr>
        <w:spacing w:before="1"/>
        <w:ind w:left="732" w:right="0" w:firstLine="0"/>
        <w:jc w:val="left"/>
        <w:rPr>
          <w:b/>
          <w:sz w:val="24"/>
        </w:rPr>
      </w:pPr>
      <w:r>
        <w:rPr>
          <w:b/>
          <w:sz w:val="24"/>
        </w:rPr>
        <w:t>Sharing</w:t>
      </w:r>
      <w:r>
        <w:rPr>
          <w:b/>
          <w:spacing w:val="-6"/>
          <w:sz w:val="24"/>
        </w:rPr>
        <w:t> </w:t>
      </w:r>
      <w:r>
        <w:rPr>
          <w:b/>
          <w:sz w:val="24"/>
        </w:rPr>
        <w:t>of</w:t>
      </w:r>
      <w:r>
        <w:rPr>
          <w:b/>
          <w:spacing w:val="1"/>
          <w:sz w:val="24"/>
        </w:rPr>
        <w:t> </w:t>
      </w:r>
      <w:r>
        <w:rPr>
          <w:b/>
          <w:sz w:val="24"/>
        </w:rPr>
        <w:t>learning/</w:t>
      </w:r>
      <w:r>
        <w:rPr>
          <w:b/>
          <w:spacing w:val="-6"/>
          <w:sz w:val="24"/>
        </w:rPr>
        <w:t> </w:t>
      </w:r>
      <w:r>
        <w:rPr>
          <w:b/>
          <w:sz w:val="24"/>
        </w:rPr>
        <w:t>Rhannu</w:t>
      </w:r>
      <w:r>
        <w:rPr>
          <w:b/>
          <w:spacing w:val="-5"/>
          <w:sz w:val="24"/>
        </w:rPr>
        <w:t> </w:t>
      </w:r>
      <w:r>
        <w:rPr>
          <w:b/>
          <w:spacing w:val="-4"/>
          <w:sz w:val="24"/>
        </w:rPr>
        <w:t>dysgu</w:t>
      </w:r>
    </w:p>
    <w:p>
      <w:pPr>
        <w:pStyle w:val="BodyText"/>
        <w:spacing w:before="184"/>
        <w:ind w:left="732"/>
      </w:pPr>
      <w:r>
        <w:rPr>
          <w:spacing w:val="-5"/>
        </w:rPr>
        <w:t>nil</w:t>
      </w:r>
    </w:p>
    <w:p>
      <w:pPr>
        <w:spacing w:before="179"/>
        <w:ind w:left="732" w:right="0" w:firstLine="0"/>
        <w:jc w:val="left"/>
        <w:rPr>
          <w:b/>
          <w:sz w:val="24"/>
        </w:rPr>
      </w:pPr>
      <w:r>
        <w:rPr>
          <w:b/>
          <w:spacing w:val="-2"/>
          <w:sz w:val="24"/>
        </w:rPr>
        <w:t>Recommendation/</w:t>
      </w:r>
      <w:r>
        <w:rPr>
          <w:b/>
          <w:spacing w:val="11"/>
          <w:sz w:val="24"/>
        </w:rPr>
        <w:t> </w:t>
      </w:r>
      <w:r>
        <w:rPr>
          <w:b/>
          <w:spacing w:val="-2"/>
          <w:sz w:val="24"/>
        </w:rPr>
        <w:t>Argymhelliad</w:t>
      </w:r>
    </w:p>
    <w:p>
      <w:pPr>
        <w:pStyle w:val="BodyText"/>
        <w:spacing w:before="184"/>
        <w:ind w:left="797"/>
      </w:pPr>
      <w:r>
        <w:rPr>
          <w:spacing w:val="-5"/>
        </w:rPr>
        <w:t>nil</w:t>
      </w:r>
    </w:p>
    <w:p>
      <w:pPr>
        <w:pStyle w:val="BodyText"/>
      </w:pPr>
    </w:p>
    <w:p>
      <w:pPr>
        <w:pStyle w:val="BodyText"/>
        <w:spacing w:before="87"/>
      </w:pPr>
    </w:p>
    <w:p>
      <w:pPr>
        <w:spacing w:line="400" w:lineRule="auto" w:before="0"/>
        <w:ind w:left="732" w:right="4284" w:firstLine="0"/>
        <w:jc w:val="left"/>
        <w:rPr>
          <w:sz w:val="24"/>
        </w:rPr>
      </w:pPr>
      <w:r>
        <w:rPr>
          <w:b/>
          <w:sz w:val="24"/>
        </w:rPr>
        <w:t>Date</w:t>
      </w:r>
      <w:r>
        <w:rPr>
          <w:b/>
          <w:spacing w:val="-4"/>
          <w:sz w:val="24"/>
        </w:rPr>
        <w:t> </w:t>
      </w:r>
      <w:r>
        <w:rPr>
          <w:b/>
          <w:sz w:val="24"/>
        </w:rPr>
        <w:t>of</w:t>
      </w:r>
      <w:r>
        <w:rPr>
          <w:b/>
          <w:spacing w:val="-5"/>
          <w:sz w:val="24"/>
        </w:rPr>
        <w:t> </w:t>
      </w:r>
      <w:r>
        <w:rPr>
          <w:b/>
          <w:sz w:val="24"/>
        </w:rPr>
        <w:t>next</w:t>
      </w:r>
      <w:r>
        <w:rPr>
          <w:b/>
          <w:spacing w:val="-5"/>
          <w:sz w:val="24"/>
        </w:rPr>
        <w:t> </w:t>
      </w:r>
      <w:r>
        <w:rPr>
          <w:b/>
          <w:sz w:val="24"/>
        </w:rPr>
        <w:t>meeting/</w:t>
      </w:r>
      <w:r>
        <w:rPr>
          <w:b/>
          <w:spacing w:val="-7"/>
          <w:sz w:val="24"/>
        </w:rPr>
        <w:t> </w:t>
      </w:r>
      <w:r>
        <w:rPr>
          <w:b/>
          <w:sz w:val="24"/>
        </w:rPr>
        <w:t>Dyddiad</w:t>
      </w:r>
      <w:r>
        <w:rPr>
          <w:b/>
          <w:spacing w:val="-7"/>
          <w:sz w:val="24"/>
        </w:rPr>
        <w:t> </w:t>
      </w:r>
      <w:r>
        <w:rPr>
          <w:b/>
          <w:sz w:val="24"/>
        </w:rPr>
        <w:t>y</w:t>
      </w:r>
      <w:r>
        <w:rPr>
          <w:b/>
          <w:spacing w:val="-4"/>
          <w:sz w:val="24"/>
        </w:rPr>
        <w:t> </w:t>
      </w:r>
      <w:r>
        <w:rPr>
          <w:b/>
          <w:sz w:val="24"/>
        </w:rPr>
        <w:t>cyfarfod</w:t>
      </w:r>
      <w:r>
        <w:rPr>
          <w:b/>
          <w:spacing w:val="-2"/>
          <w:sz w:val="24"/>
        </w:rPr>
        <w:t> </w:t>
      </w:r>
      <w:r>
        <w:rPr>
          <w:b/>
          <w:sz w:val="24"/>
        </w:rPr>
        <w:t>nesaf</w:t>
      </w:r>
      <w:r>
        <w:rPr>
          <w:sz w:val="24"/>
        </w:rPr>
        <w:t>: 27</w:t>
      </w:r>
      <w:r>
        <w:rPr>
          <w:sz w:val="24"/>
          <w:vertAlign w:val="superscript"/>
        </w:rPr>
        <w:t>th</w:t>
      </w:r>
      <w:r>
        <w:rPr>
          <w:sz w:val="24"/>
          <w:vertAlign w:val="baseline"/>
        </w:rPr>
        <w:t> October 2026</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50"/>
        <w:rPr>
          <w:sz w:val="22"/>
        </w:rPr>
      </w:pPr>
    </w:p>
    <w:p>
      <w:pPr>
        <w:spacing w:before="1"/>
        <w:ind w:left="0" w:right="284" w:firstLine="0"/>
        <w:jc w:val="center"/>
        <w:rPr>
          <w:rFonts w:ascii="Calibri"/>
          <w:b/>
          <w:sz w:val="22"/>
        </w:rPr>
      </w:pPr>
      <w:r>
        <w:rPr>
          <w:rFonts w:ascii="Calibri"/>
          <w:sz w:val="22"/>
        </w:rPr>
        <w:t>Page</w:t>
      </w:r>
      <w:r>
        <w:rPr>
          <w:rFonts w:ascii="Calibri"/>
          <w:spacing w:val="-4"/>
          <w:sz w:val="22"/>
        </w:rPr>
        <w:t> </w:t>
      </w:r>
      <w:r>
        <w:rPr>
          <w:rFonts w:ascii="Calibri"/>
          <w:b/>
          <w:sz w:val="22"/>
        </w:rPr>
        <w:t>2</w:t>
      </w:r>
      <w:r>
        <w:rPr>
          <w:rFonts w:ascii="Calibri"/>
          <w:b/>
          <w:spacing w:val="-5"/>
          <w:sz w:val="22"/>
        </w:rPr>
        <w:t> </w:t>
      </w:r>
      <w:r>
        <w:rPr>
          <w:rFonts w:ascii="Calibri"/>
          <w:sz w:val="22"/>
        </w:rPr>
        <w:t>of</w:t>
      </w:r>
      <w:r>
        <w:rPr>
          <w:rFonts w:ascii="Calibri"/>
          <w:spacing w:val="-4"/>
          <w:sz w:val="22"/>
        </w:rPr>
        <w:t> </w:t>
      </w:r>
      <w:r>
        <w:rPr>
          <w:rFonts w:ascii="Calibri"/>
          <w:b/>
          <w:spacing w:val="-10"/>
          <w:sz w:val="22"/>
        </w:rPr>
        <w:t>2</w:t>
      </w:r>
    </w:p>
    <w:p>
      <w:pPr>
        <w:spacing w:after="0"/>
        <w:jc w:val="center"/>
        <w:rPr>
          <w:rFonts w:ascii="Calibri"/>
          <w:b/>
          <w:sz w:val="22"/>
        </w:rPr>
        <w:sectPr>
          <w:pgSz w:w="11910" w:h="16840"/>
          <w:pgMar w:header="0" w:footer="149" w:top="1140" w:bottom="340" w:left="708" w:right="425"/>
        </w:sectPr>
      </w:pPr>
    </w:p>
    <w:p>
      <w:pPr>
        <w:pStyle w:val="Heading4"/>
        <w:ind w:right="1001"/>
        <w:jc w:val="right"/>
      </w:pPr>
      <w:r>
        <w:rPr/>
        <mc:AlternateContent>
          <mc:Choice Requires="wps">
            <w:drawing>
              <wp:anchor distT="0" distB="0" distL="0" distR="0" allowOverlap="1" layoutInCell="1" locked="0" behindDoc="0" simplePos="0" relativeHeight="15790080">
                <wp:simplePos x="0" y="0"/>
                <wp:positionH relativeFrom="page">
                  <wp:posOffset>933767</wp:posOffset>
                </wp:positionH>
                <wp:positionV relativeFrom="paragraph">
                  <wp:posOffset>54292</wp:posOffset>
                </wp:positionV>
                <wp:extent cx="457834" cy="464184"/>
                <wp:effectExtent l="0" t="0" r="0" b="0"/>
                <wp:wrapNone/>
                <wp:docPr id="420" name="Group 420"/>
                <wp:cNvGraphicFramePr>
                  <a:graphicFrameLocks/>
                </wp:cNvGraphicFramePr>
                <a:graphic>
                  <a:graphicData uri="http://schemas.microsoft.com/office/word/2010/wordprocessingGroup">
                    <wpg:wgp>
                      <wpg:cNvPr id="420" name="Group 420"/>
                      <wpg:cNvGrpSpPr/>
                      <wpg:grpSpPr>
                        <a:xfrm>
                          <a:off x="0" y="0"/>
                          <a:ext cx="457834" cy="464184"/>
                          <a:chExt cx="457834" cy="464184"/>
                        </a:xfrm>
                      </wpg:grpSpPr>
                      <wps:wsp>
                        <wps:cNvPr id="421" name="Graphic 421"/>
                        <wps:cNvSpPr/>
                        <wps:spPr>
                          <a:xfrm>
                            <a:off x="0" y="0"/>
                            <a:ext cx="457834" cy="464184"/>
                          </a:xfrm>
                          <a:custGeom>
                            <a:avLst/>
                            <a:gdLst/>
                            <a:ahLst/>
                            <a:cxnLst/>
                            <a:rect l="l" t="t" r="r" b="b"/>
                            <a:pathLst>
                              <a:path w="457834" h="464184">
                                <a:moveTo>
                                  <a:pt x="457517" y="0"/>
                                </a:moveTo>
                                <a:lnTo>
                                  <a:pt x="0" y="0"/>
                                </a:lnTo>
                                <a:lnTo>
                                  <a:pt x="0" y="463867"/>
                                </a:lnTo>
                                <a:lnTo>
                                  <a:pt x="457517" y="463867"/>
                                </a:lnTo>
                                <a:lnTo>
                                  <a:pt x="457517" y="0"/>
                                </a:lnTo>
                                <a:close/>
                              </a:path>
                            </a:pathLst>
                          </a:custGeom>
                          <a:solidFill>
                            <a:srgbClr val="000000"/>
                          </a:solidFill>
                        </wps:spPr>
                        <wps:bodyPr wrap="square" lIns="0" tIns="0" rIns="0" bIns="0" rtlCol="0">
                          <a:prstTxWarp prst="textNoShape">
                            <a:avLst/>
                          </a:prstTxWarp>
                          <a:noAutofit/>
                        </wps:bodyPr>
                      </wps:wsp>
                      <wps:wsp>
                        <wps:cNvPr id="422" name="Textbox 422"/>
                        <wps:cNvSpPr txBox="1"/>
                        <wps:spPr>
                          <a:xfrm>
                            <a:off x="0" y="0"/>
                            <a:ext cx="457834" cy="464184"/>
                          </a:xfrm>
                          <a:prstGeom prst="rect">
                            <a:avLst/>
                          </a:prstGeom>
                        </wps:spPr>
                        <wps:txbx>
                          <w:txbxContent>
                            <w:p>
                              <w:pPr>
                                <w:spacing w:before="122"/>
                                <w:ind w:left="0" w:right="0" w:firstLine="0"/>
                                <w:jc w:val="center"/>
                                <w:rPr>
                                  <w:sz w:val="36"/>
                                </w:rPr>
                              </w:pPr>
                              <w:r>
                                <w:rPr>
                                  <w:color w:val="FFFFFF"/>
                                  <w:spacing w:val="-10"/>
                                  <w:sz w:val="36"/>
                                </w:rPr>
                                <w:t>7</w:t>
                              </w:r>
                            </w:p>
                          </w:txbxContent>
                        </wps:txbx>
                        <wps:bodyPr wrap="square" lIns="0" tIns="0" rIns="0" bIns="0" rtlCol="0">
                          <a:noAutofit/>
                        </wps:bodyPr>
                      </wps:wsp>
                    </wpg:wgp>
                  </a:graphicData>
                </a:graphic>
              </wp:anchor>
            </w:drawing>
          </mc:Choice>
          <mc:Fallback>
            <w:pict>
              <v:group style="position:absolute;margin-left:73.525002pt;margin-top:4.275pt;width:36.050pt;height:36.550pt;mso-position-horizontal-relative:page;mso-position-vertical-relative:paragraph;z-index:15790080" id="docshapegroup205" coordorigin="1471,86" coordsize="721,731">
                <v:rect style="position:absolute;left:1470;top:85;width:721;height:731" id="docshape206" filled="true" fillcolor="#000000" stroked="false">
                  <v:fill type="solid"/>
                </v:rect>
                <v:shape style="position:absolute;left:1470;top:85;width:721;height:731" type="#_x0000_t202" id="docshape207" filled="false" stroked="false">
                  <v:textbox inset="0,0,0,0">
                    <w:txbxContent>
                      <w:p>
                        <w:pPr>
                          <w:spacing w:before="122"/>
                          <w:ind w:left="0" w:right="0" w:firstLine="0"/>
                          <w:jc w:val="center"/>
                          <w:rPr>
                            <w:sz w:val="36"/>
                          </w:rPr>
                        </w:pPr>
                        <w:r>
                          <w:rPr>
                            <w:color w:val="FFFFFF"/>
                            <w:spacing w:val="-10"/>
                            <w:sz w:val="36"/>
                          </w:rPr>
                          <w:t>7</w:t>
                        </w:r>
                      </w:p>
                    </w:txbxContent>
                  </v:textbox>
                  <w10:wrap type="none"/>
                </v:shape>
                <w10:wrap type="none"/>
              </v:group>
            </w:pict>
          </mc:Fallback>
        </mc:AlternateContent>
      </w:r>
      <w:r>
        <w:rPr/>
        <w:t>11:45</w:t>
      </w:r>
      <w:r>
        <w:rPr>
          <w:spacing w:val="-4"/>
        </w:rPr>
        <w:t> </w:t>
      </w:r>
      <w:r>
        <w:rPr/>
        <w:t>AM,</w:t>
      </w:r>
      <w:r>
        <w:rPr>
          <w:spacing w:val="2"/>
        </w:rPr>
        <w:t> </w:t>
      </w:r>
      <w:r>
        <w:rPr/>
        <w:t>0</w:t>
      </w:r>
      <w:r>
        <w:rPr>
          <w:spacing w:val="-5"/>
        </w:rPr>
        <w:t> </w:t>
      </w:r>
      <w:r>
        <w:rPr>
          <w:spacing w:val="-4"/>
        </w:rPr>
        <w:t>Mins</w:t>
      </w:r>
    </w:p>
    <w:p>
      <w:pPr>
        <w:pStyle w:val="BodyText"/>
        <w:rPr>
          <w:b/>
          <w:sz w:val="20"/>
        </w:rPr>
      </w:pPr>
    </w:p>
    <w:p>
      <w:pPr>
        <w:pStyle w:val="BodyText"/>
        <w:spacing w:before="36"/>
        <w:rPr>
          <w:b/>
          <w:sz w:val="20"/>
        </w:rPr>
      </w:pPr>
      <w:r>
        <w:rPr>
          <w:b/>
          <w:sz w:val="20"/>
        </w:rPr>
        <mc:AlternateContent>
          <mc:Choice Requires="wps">
            <w:drawing>
              <wp:anchor distT="0" distB="0" distL="0" distR="0" allowOverlap="1" layoutInCell="1" locked="0" behindDoc="1" simplePos="0" relativeHeight="487648768">
                <wp:simplePos x="0" y="0"/>
                <wp:positionH relativeFrom="page">
                  <wp:posOffset>914400</wp:posOffset>
                </wp:positionH>
                <wp:positionV relativeFrom="paragraph">
                  <wp:posOffset>184179</wp:posOffset>
                </wp:positionV>
                <wp:extent cx="5730875" cy="6350"/>
                <wp:effectExtent l="0" t="0" r="0" b="0"/>
                <wp:wrapTopAndBottom/>
                <wp:docPr id="423" name="Graphic 423"/>
                <wp:cNvGraphicFramePr>
                  <a:graphicFrameLocks/>
                </wp:cNvGraphicFramePr>
                <a:graphic>
                  <a:graphicData uri="http://schemas.microsoft.com/office/word/2010/wordprocessingShape">
                    <wps:wsp>
                      <wps:cNvPr id="423" name="Graphic 423"/>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4.502344pt;width:451.25pt;height:.5pt;mso-position-horizontal-relative:page;mso-position-vertical-relative:paragraph;z-index:-15667712;mso-wrap-distance-left:0;mso-wrap-distance-right:0" id="docshape208" filled="true" fillcolor="#9f9f9f" stroked="false">
                <v:fill type="solid"/>
                <w10:wrap type="topAndBottom"/>
              </v:rect>
            </w:pict>
          </mc:Fallback>
        </mc:AlternateContent>
      </w:r>
    </w:p>
    <w:p>
      <w:pPr>
        <w:pStyle w:val="Heading2"/>
        <w:numPr>
          <w:ilvl w:val="0"/>
          <w:numId w:val="2"/>
        </w:numPr>
        <w:tabs>
          <w:tab w:pos="1001" w:val="left" w:leader="none"/>
        </w:tabs>
        <w:spacing w:line="240" w:lineRule="auto" w:before="331" w:after="0"/>
        <w:ind w:left="1001" w:right="0" w:hanging="269"/>
        <w:jc w:val="left"/>
      </w:pPr>
      <w:bookmarkStart w:name="7 - Governance" w:id="55"/>
      <w:bookmarkEnd w:id="55"/>
      <w:r>
        <w:rPr/>
      </w:r>
      <w:r>
        <w:rPr/>
        <w:t>-</w:t>
      </w:r>
      <w:r>
        <w:rPr>
          <w:spacing w:val="-2"/>
        </w:rPr>
        <w:t> Governance</w:t>
      </w:r>
    </w:p>
    <w:p>
      <w:pPr>
        <w:pStyle w:val="Heading2"/>
        <w:spacing w:after="0" w:line="240" w:lineRule="auto"/>
        <w:jc w:val="left"/>
        <w:sectPr>
          <w:pgSz w:w="11910" w:h="16840"/>
          <w:pgMar w:header="0" w:footer="149" w:top="1940" w:bottom="340" w:left="708" w:right="425"/>
        </w:sectPr>
      </w:pPr>
    </w:p>
    <w:p>
      <w:pPr>
        <w:pStyle w:val="Heading4"/>
        <w:tabs>
          <w:tab w:pos="7505" w:val="left" w:leader="none"/>
        </w:tabs>
        <w:ind w:left="882"/>
      </w:pPr>
      <w:r>
        <w:rPr>
          <w:b w:val="0"/>
          <w:spacing w:val="-5"/>
          <w:position w:val="-8"/>
          <w:sz w:val="36"/>
        </w:rPr>
        <w:t>7.1</w:t>
      </w:r>
      <w:r>
        <w:rPr>
          <w:b w:val="0"/>
          <w:position w:val="-8"/>
          <w:sz w:val="36"/>
        </w:rPr>
        <w:tab/>
      </w:r>
      <w:r>
        <w:rPr/>
        <w:t>11:45</w:t>
      </w:r>
      <w:r>
        <w:rPr>
          <w:spacing w:val="-2"/>
        </w:rPr>
        <w:t> </w:t>
      </w:r>
      <w:r>
        <w:rPr/>
        <w:t>AM,</w:t>
      </w:r>
      <w:r>
        <w:rPr>
          <w:spacing w:val="2"/>
        </w:rPr>
        <w:t> </w:t>
      </w:r>
      <w:r>
        <w:rPr/>
        <w:t>5</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649792">
                <wp:simplePos x="0" y="0"/>
                <wp:positionH relativeFrom="page">
                  <wp:posOffset>914400</wp:posOffset>
                </wp:positionH>
                <wp:positionV relativeFrom="paragraph">
                  <wp:posOffset>262302</wp:posOffset>
                </wp:positionV>
                <wp:extent cx="5730875" cy="6350"/>
                <wp:effectExtent l="0" t="0" r="0" b="0"/>
                <wp:wrapTopAndBottom/>
                <wp:docPr id="424" name="Graphic 424"/>
                <wp:cNvGraphicFramePr>
                  <a:graphicFrameLocks/>
                </wp:cNvGraphicFramePr>
                <a:graphic>
                  <a:graphicData uri="http://schemas.microsoft.com/office/word/2010/wordprocessingShape">
                    <wps:wsp>
                      <wps:cNvPr id="424" name="Graphic 424"/>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666688;mso-wrap-distance-left:0;mso-wrap-distance-right:0" id="docshape209"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pgSz w:w="11910" w:h="16840"/>
          <w:pgMar w:header="0" w:footer="149" w:top="1940" w:bottom="340" w:left="708" w:right="425"/>
        </w:sectPr>
      </w:pPr>
    </w:p>
    <w:p>
      <w:pPr>
        <w:pStyle w:val="Heading2"/>
        <w:spacing w:line="261" w:lineRule="auto"/>
        <w:ind w:left="732" w:right="38"/>
      </w:pPr>
      <w:bookmarkStart w:name="7.1 - RJC/41: Annual Review of Terms of " w:id="56"/>
      <w:bookmarkEnd w:id="56"/>
      <w:r>
        <w:rPr/>
      </w:r>
      <w:r>
        <w:rPr/>
        <w:t>7.1</w:t>
      </w:r>
      <w:r>
        <w:rPr>
          <w:spacing w:val="-2"/>
        </w:rPr>
        <w:t> </w:t>
      </w:r>
      <w:r>
        <w:rPr/>
        <w:t>-</w:t>
      </w:r>
      <w:r>
        <w:rPr>
          <w:spacing w:val="-7"/>
        </w:rPr>
        <w:t> </w:t>
      </w:r>
      <w:r>
        <w:rPr/>
        <w:t>RJC/41:</w:t>
      </w:r>
      <w:r>
        <w:rPr>
          <w:spacing w:val="-5"/>
        </w:rPr>
        <w:t> </w:t>
      </w:r>
      <w:r>
        <w:rPr/>
        <w:t>Annual</w:t>
      </w:r>
      <w:r>
        <w:rPr>
          <w:spacing w:val="-7"/>
        </w:rPr>
        <w:t> </w:t>
      </w:r>
      <w:r>
        <w:rPr/>
        <w:t>Review</w:t>
      </w:r>
      <w:r>
        <w:rPr>
          <w:spacing w:val="-10"/>
        </w:rPr>
        <w:t> </w:t>
      </w:r>
      <w:r>
        <w:rPr/>
        <w:t>of</w:t>
      </w:r>
      <w:r>
        <w:rPr>
          <w:spacing w:val="-5"/>
        </w:rPr>
        <w:t> </w:t>
      </w:r>
      <w:r>
        <w:rPr/>
        <w:t>Terms</w:t>
      </w:r>
      <w:r>
        <w:rPr>
          <w:spacing w:val="-6"/>
        </w:rPr>
        <w:t> </w:t>
      </w:r>
      <w:r>
        <w:rPr/>
        <w:t>of </w:t>
      </w:r>
      <w:r>
        <w:rPr>
          <w:spacing w:val="-2"/>
        </w:rPr>
        <w:t>Reference</w:t>
      </w:r>
    </w:p>
    <w:p>
      <w:pPr>
        <w:spacing w:line="261" w:lineRule="auto" w:before="93"/>
        <w:ind w:left="817" w:right="40" w:firstLine="930"/>
        <w:jc w:val="left"/>
        <w:rPr>
          <w:b/>
          <w:i/>
          <w:sz w:val="22"/>
        </w:rPr>
      </w:pPr>
      <w:r>
        <w:rPr/>
        <w:br w:type="column"/>
      </w:r>
      <w:r>
        <w:rPr>
          <w:b/>
          <w:i/>
          <w:sz w:val="22"/>
        </w:rPr>
        <w:t>Hazel</w:t>
      </w:r>
      <w:r>
        <w:rPr>
          <w:b/>
          <w:i/>
          <w:spacing w:val="-16"/>
          <w:sz w:val="22"/>
        </w:rPr>
        <w:t> </w:t>
      </w:r>
      <w:r>
        <w:rPr>
          <w:b/>
          <w:i/>
          <w:sz w:val="22"/>
        </w:rPr>
        <w:t>Lloyd</w:t>
      </w:r>
      <w:r>
        <w:rPr>
          <w:b/>
          <w:i/>
          <w:sz w:val="22"/>
        </w:rPr>
        <w:t> (Swansea</w:t>
      </w:r>
      <w:r>
        <w:rPr>
          <w:b/>
          <w:i/>
          <w:spacing w:val="-4"/>
          <w:sz w:val="22"/>
        </w:rPr>
        <w:t> </w:t>
      </w:r>
      <w:r>
        <w:rPr>
          <w:b/>
          <w:i/>
          <w:sz w:val="22"/>
        </w:rPr>
        <w:t>Bay</w:t>
      </w:r>
      <w:r>
        <w:rPr>
          <w:b/>
          <w:i/>
          <w:spacing w:val="-2"/>
          <w:sz w:val="22"/>
        </w:rPr>
        <w:t> </w:t>
      </w:r>
      <w:r>
        <w:rPr>
          <w:b/>
          <w:i/>
          <w:sz w:val="22"/>
        </w:rPr>
        <w:t>UHB </w:t>
      </w:r>
      <w:r>
        <w:rPr>
          <w:b/>
          <w:i/>
          <w:spacing w:val="-10"/>
          <w:sz w:val="22"/>
        </w:rPr>
        <w:t>-</w:t>
      </w:r>
    </w:p>
    <w:p>
      <w:pPr>
        <w:spacing w:line="256" w:lineRule="auto" w:before="0"/>
        <w:ind w:left="732" w:right="1012" w:firstLine="1185"/>
        <w:jc w:val="right"/>
        <w:rPr>
          <w:b/>
          <w:i/>
          <w:sz w:val="22"/>
        </w:rPr>
      </w:pPr>
      <w:r>
        <w:rPr>
          <w:b/>
          <w:i/>
          <w:spacing w:val="-2"/>
          <w:sz w:val="22"/>
        </w:rPr>
        <w:t>Corporate</w:t>
      </w:r>
      <w:r>
        <w:rPr>
          <w:b/>
          <w:i/>
          <w:spacing w:val="-2"/>
          <w:sz w:val="22"/>
        </w:rPr>
        <w:t> </w:t>
      </w:r>
      <w:r>
        <w:rPr>
          <w:b/>
          <w:i/>
          <w:sz w:val="22"/>
        </w:rPr>
        <w:t>Governance),</w:t>
      </w:r>
      <w:r>
        <w:rPr>
          <w:b/>
          <w:i/>
          <w:spacing w:val="-16"/>
          <w:sz w:val="22"/>
        </w:rPr>
        <w:t> </w:t>
      </w:r>
      <w:r>
        <w:rPr>
          <w:b/>
          <w:i/>
          <w:sz w:val="22"/>
        </w:rPr>
        <w:t>Joanne Wilson (Hywel Dda UHB - Director of</w:t>
      </w:r>
    </w:p>
    <w:p>
      <w:pPr>
        <w:spacing w:line="261" w:lineRule="auto" w:before="7"/>
        <w:ind w:left="997" w:right="1010" w:firstLine="920"/>
        <w:jc w:val="right"/>
        <w:rPr>
          <w:b/>
          <w:i/>
          <w:sz w:val="22"/>
        </w:rPr>
      </w:pPr>
      <w:r>
        <w:rPr>
          <w:b/>
          <w:i/>
          <w:spacing w:val="-2"/>
          <w:sz w:val="22"/>
        </w:rPr>
        <w:t>Corporate</w:t>
      </w:r>
      <w:r>
        <w:rPr>
          <w:b/>
          <w:i/>
          <w:spacing w:val="-2"/>
          <w:sz w:val="22"/>
        </w:rPr>
        <w:t> Governance/Board</w:t>
      </w:r>
    </w:p>
    <w:p>
      <w:pPr>
        <w:spacing w:line="246" w:lineRule="exact" w:before="0"/>
        <w:ind w:left="0" w:right="1011" w:firstLine="0"/>
        <w:jc w:val="right"/>
        <w:rPr>
          <w:b/>
          <w:i/>
          <w:sz w:val="22"/>
        </w:rPr>
      </w:pPr>
      <w:r>
        <w:rPr>
          <w:b/>
          <w:i/>
          <w:spacing w:val="-2"/>
          <w:sz w:val="22"/>
        </w:rPr>
        <w:t>Secretary)</w:t>
      </w:r>
    </w:p>
    <w:p>
      <w:pPr>
        <w:spacing w:after="0" w:line="246" w:lineRule="exact"/>
        <w:jc w:val="right"/>
        <w:rPr>
          <w:b/>
          <w:i/>
          <w:sz w:val="22"/>
        </w:rPr>
        <w:sectPr>
          <w:type w:val="continuous"/>
          <w:pgSz w:w="11910" w:h="16840"/>
          <w:pgMar w:header="0" w:footer="149" w:top="760" w:bottom="280" w:left="708" w:right="425"/>
          <w:cols w:num="2" w:equalWidth="0">
            <w:col w:w="6589" w:space="199"/>
            <w:col w:w="3989"/>
          </w:cols>
        </w:sectPr>
      </w:pPr>
    </w:p>
    <w:p>
      <w:pPr>
        <w:pStyle w:val="BodyText"/>
        <w:spacing w:before="80"/>
        <w:rPr>
          <w:b/>
          <w:i/>
          <w:sz w:val="22"/>
        </w:rPr>
      </w:pPr>
    </w:p>
    <w:p>
      <w:pPr>
        <w:spacing w:before="0"/>
        <w:ind w:left="732" w:right="0" w:firstLine="0"/>
        <w:jc w:val="left"/>
        <w:rPr>
          <w:rFonts w:ascii="Tahoma"/>
          <w:sz w:val="22"/>
        </w:rPr>
      </w:pPr>
      <w:r>
        <w:rPr>
          <w:rFonts w:ascii="Tahoma"/>
          <w:w w:val="85"/>
          <w:sz w:val="22"/>
        </w:rPr>
        <w:t>-</w:t>
      </w:r>
      <w:r>
        <w:rPr>
          <w:rFonts w:ascii="Tahoma"/>
          <w:spacing w:val="-5"/>
          <w:sz w:val="22"/>
        </w:rPr>
        <w:t>RJC</w:t>
      </w:r>
    </w:p>
    <w:p>
      <w:pPr>
        <w:spacing w:before="215"/>
        <w:ind w:left="732" w:right="0" w:firstLine="0"/>
        <w:jc w:val="left"/>
        <w:rPr>
          <w:rFonts w:ascii="Tahoma"/>
          <w:sz w:val="22"/>
        </w:rPr>
      </w:pPr>
      <w:r>
        <w:rPr>
          <w:rFonts w:ascii="Tahoma"/>
          <w:w w:val="90"/>
          <w:sz w:val="22"/>
        </w:rPr>
        <w:t>-RJC</w:t>
      </w:r>
      <w:r>
        <w:rPr>
          <w:rFonts w:ascii="Tahoma"/>
          <w:spacing w:val="-1"/>
          <w:w w:val="90"/>
          <w:sz w:val="22"/>
        </w:rPr>
        <w:t> </w:t>
      </w:r>
      <w:r>
        <w:rPr>
          <w:rFonts w:ascii="Tahoma"/>
          <w:spacing w:val="-2"/>
          <w:w w:val="90"/>
          <w:sz w:val="22"/>
        </w:rPr>
        <w:t>Subgroups</w:t>
      </w:r>
    </w:p>
    <w:p>
      <w:pPr>
        <w:pStyle w:val="BodyText"/>
        <w:rPr>
          <w:rFonts w:ascii="Tahoma"/>
          <w:sz w:val="22"/>
        </w:rPr>
      </w:pPr>
    </w:p>
    <w:p>
      <w:pPr>
        <w:pStyle w:val="BodyText"/>
        <w:spacing w:before="252"/>
        <w:rPr>
          <w:rFonts w:ascii="Tahoma"/>
          <w:sz w:val="22"/>
        </w:rPr>
      </w:pPr>
    </w:p>
    <w:p>
      <w:pPr>
        <w:spacing w:before="0"/>
        <w:ind w:left="732" w:right="0" w:firstLine="0"/>
        <w:jc w:val="left"/>
        <w:rPr>
          <w:b/>
          <w:sz w:val="22"/>
        </w:rPr>
      </w:pPr>
      <w:r>
        <w:rPr>
          <w:b/>
          <w:spacing w:val="-2"/>
          <w:sz w:val="22"/>
        </w:rPr>
        <w:t>Attachments</w:t>
      </w:r>
    </w:p>
    <w:p>
      <w:pPr>
        <w:spacing w:before="175"/>
        <w:ind w:left="732" w:right="0" w:firstLine="0"/>
        <w:jc w:val="left"/>
        <w:rPr>
          <w:sz w:val="18"/>
        </w:rPr>
      </w:pPr>
      <w:r>
        <w:rPr>
          <w:sz w:val="18"/>
          <w:u w:val="single"/>
        </w:rPr>
        <w:t>RJC 41a</w:t>
      </w:r>
      <w:r>
        <w:rPr>
          <w:spacing w:val="-1"/>
          <w:sz w:val="18"/>
          <w:u w:val="single"/>
        </w:rPr>
        <w:t> </w:t>
      </w:r>
      <w:r>
        <w:rPr>
          <w:sz w:val="18"/>
          <w:u w:val="single"/>
        </w:rPr>
        <w:t>Draft RJC </w:t>
      </w:r>
      <w:r>
        <w:rPr>
          <w:spacing w:val="-2"/>
          <w:sz w:val="18"/>
          <w:u w:val="single"/>
        </w:rPr>
        <w:t>ToR.pdf</w:t>
      </w:r>
    </w:p>
    <w:p>
      <w:pPr>
        <w:spacing w:before="178"/>
        <w:ind w:left="732" w:right="0" w:firstLine="0"/>
        <w:jc w:val="left"/>
        <w:rPr>
          <w:sz w:val="18"/>
        </w:rPr>
      </w:pPr>
      <w:r>
        <w:rPr>
          <w:sz w:val="18"/>
          <w:u w:val="single"/>
        </w:rPr>
        <w:t>RJC</w:t>
      </w:r>
      <w:r>
        <w:rPr>
          <w:spacing w:val="-1"/>
          <w:sz w:val="18"/>
          <w:u w:val="single"/>
        </w:rPr>
        <w:t> </w:t>
      </w:r>
      <w:r>
        <w:rPr>
          <w:sz w:val="18"/>
          <w:u w:val="single"/>
        </w:rPr>
        <w:t>41b</w:t>
      </w:r>
      <w:r>
        <w:rPr>
          <w:spacing w:val="-2"/>
          <w:sz w:val="18"/>
          <w:u w:val="single"/>
        </w:rPr>
        <w:t> </w:t>
      </w:r>
      <w:r>
        <w:rPr>
          <w:sz w:val="18"/>
          <w:u w:val="single"/>
        </w:rPr>
        <w:t>Regional Clinical</w:t>
      </w:r>
      <w:r>
        <w:rPr>
          <w:spacing w:val="-1"/>
          <w:sz w:val="18"/>
          <w:u w:val="single"/>
        </w:rPr>
        <w:t> </w:t>
      </w:r>
      <w:r>
        <w:rPr>
          <w:sz w:val="18"/>
          <w:u w:val="single"/>
        </w:rPr>
        <w:t>Services Planning</w:t>
      </w:r>
      <w:r>
        <w:rPr>
          <w:spacing w:val="-1"/>
          <w:sz w:val="18"/>
          <w:u w:val="single"/>
        </w:rPr>
        <w:t> </w:t>
      </w:r>
      <w:r>
        <w:rPr>
          <w:sz w:val="18"/>
          <w:u w:val="single"/>
        </w:rPr>
        <w:t>Subgroup</w:t>
      </w:r>
      <w:r>
        <w:rPr>
          <w:spacing w:val="-1"/>
          <w:sz w:val="18"/>
          <w:u w:val="single"/>
        </w:rPr>
        <w:t> </w:t>
      </w:r>
      <w:r>
        <w:rPr>
          <w:spacing w:val="-2"/>
          <w:sz w:val="18"/>
          <w:u w:val="single"/>
        </w:rPr>
        <w:t>ToR.pdf</w:t>
      </w:r>
    </w:p>
    <w:p>
      <w:pPr>
        <w:spacing w:line="441" w:lineRule="auto" w:before="178"/>
        <w:ind w:left="732" w:right="4284" w:firstLine="0"/>
        <w:jc w:val="left"/>
        <w:rPr>
          <w:sz w:val="18"/>
        </w:rPr>
      </w:pPr>
      <w:r>
        <w:rPr>
          <w:sz w:val="18"/>
          <w:u w:val="single"/>
        </w:rPr>
        <w:t>RJC</w:t>
      </w:r>
      <w:r>
        <w:rPr>
          <w:spacing w:val="-4"/>
          <w:sz w:val="18"/>
          <w:u w:val="single"/>
        </w:rPr>
        <w:t> </w:t>
      </w:r>
      <w:r>
        <w:rPr>
          <w:sz w:val="18"/>
          <w:u w:val="single"/>
        </w:rPr>
        <w:t>41c</w:t>
      </w:r>
      <w:r>
        <w:rPr>
          <w:spacing w:val="-4"/>
          <w:sz w:val="18"/>
          <w:u w:val="single"/>
        </w:rPr>
        <w:t> </w:t>
      </w:r>
      <w:r>
        <w:rPr>
          <w:sz w:val="18"/>
          <w:u w:val="single"/>
        </w:rPr>
        <w:t>Draft</w:t>
      </w:r>
      <w:r>
        <w:rPr>
          <w:spacing w:val="-4"/>
          <w:sz w:val="18"/>
          <w:u w:val="single"/>
        </w:rPr>
        <w:t> </w:t>
      </w:r>
      <w:r>
        <w:rPr>
          <w:sz w:val="18"/>
          <w:u w:val="single"/>
        </w:rPr>
        <w:t>Research,</w:t>
      </w:r>
      <w:r>
        <w:rPr>
          <w:spacing w:val="-4"/>
          <w:sz w:val="18"/>
          <w:u w:val="single"/>
        </w:rPr>
        <w:t> </w:t>
      </w:r>
      <w:r>
        <w:rPr>
          <w:sz w:val="18"/>
          <w:u w:val="single"/>
        </w:rPr>
        <w:t>Innovation</w:t>
      </w:r>
      <w:r>
        <w:rPr>
          <w:spacing w:val="-5"/>
          <w:sz w:val="18"/>
          <w:u w:val="single"/>
        </w:rPr>
        <w:t> </w:t>
      </w:r>
      <w:r>
        <w:rPr>
          <w:sz w:val="18"/>
          <w:u w:val="single"/>
        </w:rPr>
        <w:t>and</w:t>
      </w:r>
      <w:r>
        <w:rPr>
          <w:spacing w:val="-4"/>
          <w:sz w:val="18"/>
          <w:u w:val="single"/>
        </w:rPr>
        <w:t> </w:t>
      </w:r>
      <w:r>
        <w:rPr>
          <w:sz w:val="18"/>
          <w:u w:val="single"/>
        </w:rPr>
        <w:t>Excellence</w:t>
      </w:r>
      <w:r>
        <w:rPr>
          <w:spacing w:val="-5"/>
          <w:sz w:val="18"/>
          <w:u w:val="single"/>
        </w:rPr>
        <w:t> </w:t>
      </w:r>
      <w:r>
        <w:rPr>
          <w:sz w:val="18"/>
          <w:u w:val="single"/>
        </w:rPr>
        <w:t>Subgroup</w:t>
      </w:r>
      <w:r>
        <w:rPr>
          <w:spacing w:val="-1"/>
          <w:sz w:val="18"/>
          <w:u w:val="single"/>
        </w:rPr>
        <w:t> </w:t>
      </w:r>
      <w:r>
        <w:rPr>
          <w:sz w:val="18"/>
          <w:u w:val="single"/>
        </w:rPr>
        <w:t>ToR.pdf</w:t>
      </w:r>
      <w:r>
        <w:rPr>
          <w:sz w:val="18"/>
          <w:u w:val="none"/>
        </w:rPr>
        <w:t> </w:t>
      </w:r>
      <w:r>
        <w:rPr>
          <w:sz w:val="18"/>
          <w:u w:val="single"/>
        </w:rPr>
        <w:t>RJC 41d Draft RFCDDG Group ToR v0.4.pdf</w:t>
      </w:r>
    </w:p>
    <w:p>
      <w:pPr>
        <w:spacing w:line="446" w:lineRule="auto" w:before="4"/>
        <w:ind w:left="732" w:right="4876" w:firstLine="0"/>
        <w:jc w:val="left"/>
        <w:rPr>
          <w:sz w:val="18"/>
        </w:rPr>
      </w:pPr>
      <w:r>
        <w:rPr>
          <w:sz w:val="18"/>
          <w:u w:val="single"/>
        </w:rPr>
        <w:t>RJC</w:t>
      </w:r>
      <w:r>
        <w:rPr>
          <w:spacing w:val="-4"/>
          <w:sz w:val="18"/>
          <w:u w:val="single"/>
        </w:rPr>
        <w:t> </w:t>
      </w:r>
      <w:r>
        <w:rPr>
          <w:sz w:val="18"/>
          <w:u w:val="single"/>
        </w:rPr>
        <w:t>41e</w:t>
      </w:r>
      <w:r>
        <w:rPr>
          <w:spacing w:val="-5"/>
          <w:sz w:val="18"/>
          <w:u w:val="single"/>
        </w:rPr>
        <w:t> </w:t>
      </w:r>
      <w:r>
        <w:rPr>
          <w:sz w:val="18"/>
          <w:u w:val="single"/>
        </w:rPr>
        <w:t>Draft</w:t>
      </w:r>
      <w:r>
        <w:rPr>
          <w:spacing w:val="-4"/>
          <w:sz w:val="18"/>
          <w:u w:val="single"/>
        </w:rPr>
        <w:t> </w:t>
      </w:r>
      <w:r>
        <w:rPr>
          <w:sz w:val="18"/>
          <w:u w:val="single"/>
        </w:rPr>
        <w:t>Regional</w:t>
      </w:r>
      <w:r>
        <w:rPr>
          <w:spacing w:val="-4"/>
          <w:sz w:val="18"/>
          <w:u w:val="single"/>
        </w:rPr>
        <w:t> </w:t>
      </w:r>
      <w:r>
        <w:rPr>
          <w:sz w:val="18"/>
          <w:u w:val="single"/>
        </w:rPr>
        <w:t>Worforce</w:t>
      </w:r>
      <w:r>
        <w:rPr>
          <w:spacing w:val="-4"/>
          <w:sz w:val="18"/>
          <w:u w:val="single"/>
        </w:rPr>
        <w:t> </w:t>
      </w:r>
      <w:r>
        <w:rPr>
          <w:sz w:val="18"/>
          <w:u w:val="single"/>
        </w:rPr>
        <w:t>and</w:t>
      </w:r>
      <w:r>
        <w:rPr>
          <w:spacing w:val="-4"/>
          <w:sz w:val="18"/>
          <w:u w:val="single"/>
        </w:rPr>
        <w:t> </w:t>
      </w:r>
      <w:r>
        <w:rPr>
          <w:sz w:val="18"/>
          <w:u w:val="single"/>
        </w:rPr>
        <w:t>OD</w:t>
      </w:r>
      <w:r>
        <w:rPr>
          <w:spacing w:val="-4"/>
          <w:sz w:val="18"/>
          <w:u w:val="single"/>
        </w:rPr>
        <w:t> </w:t>
      </w:r>
      <w:r>
        <w:rPr>
          <w:sz w:val="18"/>
          <w:u w:val="single"/>
        </w:rPr>
        <w:t>Subgroup</w:t>
      </w:r>
      <w:r>
        <w:rPr>
          <w:spacing w:val="-5"/>
          <w:sz w:val="18"/>
          <w:u w:val="single"/>
        </w:rPr>
        <w:t> </w:t>
      </w:r>
      <w:r>
        <w:rPr>
          <w:sz w:val="18"/>
          <w:u w:val="single"/>
        </w:rPr>
        <w:t>ToR.pdf</w:t>
      </w:r>
      <w:r>
        <w:rPr>
          <w:sz w:val="18"/>
          <w:u w:val="none"/>
        </w:rPr>
        <w:t> </w:t>
      </w:r>
      <w:r>
        <w:rPr>
          <w:sz w:val="18"/>
          <w:u w:val="single"/>
        </w:rPr>
        <w:t>RJC 41f Regional Health Economy Subgroup ToR.pdf</w:t>
      </w:r>
    </w:p>
    <w:p>
      <w:pPr>
        <w:spacing w:after="0" w:line="446" w:lineRule="auto"/>
        <w:jc w:val="left"/>
        <w:rPr>
          <w:sz w:val="18"/>
        </w:rPr>
        <w:sectPr>
          <w:type w:val="continuous"/>
          <w:pgSz w:w="11910" w:h="16840"/>
          <w:pgMar w:header="0" w:footer="149" w:top="760" w:bottom="280" w:left="708" w:right="425"/>
        </w:sectPr>
      </w:pPr>
    </w:p>
    <w:p>
      <w:pPr>
        <w:tabs>
          <w:tab w:pos="7422" w:val="left" w:leader="none"/>
        </w:tabs>
        <w:spacing w:line="240" w:lineRule="auto"/>
        <w:ind w:left="143" w:right="0" w:firstLine="0"/>
        <w:rPr>
          <w:position w:val="1"/>
          <w:sz w:val="20"/>
        </w:rPr>
      </w:pPr>
      <w:r>
        <w:rPr>
          <w:sz w:val="20"/>
        </w:rPr>
        <w:drawing>
          <wp:inline distT="0" distB="0" distL="0" distR="0">
            <wp:extent cx="2030231" cy="514921"/>
            <wp:effectExtent l="0" t="0" r="0" b="0"/>
            <wp:docPr id="425" name="Image 425"/>
            <wp:cNvGraphicFramePr>
              <a:graphicFrameLocks/>
            </wp:cNvGraphicFramePr>
            <a:graphic>
              <a:graphicData uri="http://schemas.openxmlformats.org/drawingml/2006/picture">
                <pic:pic>
                  <pic:nvPicPr>
                    <pic:cNvPr id="425" name="Image 425"/>
                    <pic:cNvPicPr/>
                  </pic:nvPicPr>
                  <pic:blipFill>
                    <a:blip r:embed="rId72" cstate="print"/>
                    <a:stretch>
                      <a:fillRect/>
                    </a:stretch>
                  </pic:blipFill>
                  <pic:spPr>
                    <a:xfrm>
                      <a:off x="0" y="0"/>
                      <a:ext cx="2030231" cy="514921"/>
                    </a:xfrm>
                    <a:prstGeom prst="rect">
                      <a:avLst/>
                    </a:prstGeom>
                  </pic:spPr>
                </pic:pic>
              </a:graphicData>
            </a:graphic>
          </wp:inline>
        </w:drawing>
      </w:r>
      <w:r>
        <w:rPr>
          <w:sz w:val="20"/>
        </w:rPr>
      </w:r>
      <w:r>
        <w:rPr>
          <w:sz w:val="20"/>
        </w:rPr>
        <w:tab/>
      </w:r>
      <w:r>
        <w:rPr>
          <w:position w:val="1"/>
          <w:sz w:val="20"/>
        </w:rPr>
        <w:drawing>
          <wp:inline distT="0" distB="0" distL="0" distR="0">
            <wp:extent cx="1888092" cy="511587"/>
            <wp:effectExtent l="0" t="0" r="0" b="0"/>
            <wp:docPr id="426" name="Image 426" descr="hywel dda"/>
            <wp:cNvGraphicFramePr>
              <a:graphicFrameLocks/>
            </wp:cNvGraphicFramePr>
            <a:graphic>
              <a:graphicData uri="http://schemas.openxmlformats.org/drawingml/2006/picture">
                <pic:pic>
                  <pic:nvPicPr>
                    <pic:cNvPr id="426" name="Image 426" descr="hywel dda"/>
                    <pic:cNvPicPr/>
                  </pic:nvPicPr>
                  <pic:blipFill>
                    <a:blip r:embed="rId73" cstate="print"/>
                    <a:stretch>
                      <a:fillRect/>
                    </a:stretch>
                  </pic:blipFill>
                  <pic:spPr>
                    <a:xfrm>
                      <a:off x="0" y="0"/>
                      <a:ext cx="1888092" cy="511587"/>
                    </a:xfrm>
                    <a:prstGeom prst="rect">
                      <a:avLst/>
                    </a:prstGeom>
                  </pic:spPr>
                </pic:pic>
              </a:graphicData>
            </a:graphic>
          </wp:inline>
        </w:drawing>
      </w:r>
      <w:r>
        <w:rPr>
          <w:position w:val="1"/>
          <w:sz w:val="20"/>
        </w:rPr>
      </w:r>
    </w:p>
    <w:p>
      <w:pPr>
        <w:pStyle w:val="BodyText"/>
        <w:spacing w:before="66"/>
        <w:rPr>
          <w:sz w:val="20"/>
        </w:rPr>
      </w:pPr>
      <w:r>
        <w:rPr>
          <w:sz w:val="20"/>
        </w:rPr>
        <mc:AlternateContent>
          <mc:Choice Requires="wps">
            <w:drawing>
              <wp:anchor distT="0" distB="0" distL="0" distR="0" allowOverlap="1" layoutInCell="1" locked="0" behindDoc="1" simplePos="0" relativeHeight="487650304">
                <wp:simplePos x="0" y="0"/>
                <wp:positionH relativeFrom="page">
                  <wp:posOffset>1066164</wp:posOffset>
                </wp:positionH>
                <wp:positionV relativeFrom="paragraph">
                  <wp:posOffset>203200</wp:posOffset>
                </wp:positionV>
                <wp:extent cx="5617210" cy="2158365"/>
                <wp:effectExtent l="0" t="0" r="0" b="0"/>
                <wp:wrapTopAndBottom/>
                <wp:docPr id="427" name="Group 427"/>
                <wp:cNvGraphicFramePr>
                  <a:graphicFrameLocks/>
                </wp:cNvGraphicFramePr>
                <a:graphic>
                  <a:graphicData uri="http://schemas.microsoft.com/office/word/2010/wordprocessingGroup">
                    <wpg:wgp>
                      <wpg:cNvPr id="427" name="Group 427"/>
                      <wpg:cNvGrpSpPr/>
                      <wpg:grpSpPr>
                        <a:xfrm>
                          <a:off x="0" y="0"/>
                          <a:ext cx="5617210" cy="2158365"/>
                          <a:chExt cx="5617210" cy="2158365"/>
                        </a:xfrm>
                      </wpg:grpSpPr>
                      <wps:wsp>
                        <wps:cNvPr id="428" name="Graphic 428"/>
                        <wps:cNvSpPr/>
                        <wps:spPr>
                          <a:xfrm>
                            <a:off x="1861185" y="832484"/>
                            <a:ext cx="2047239" cy="345440"/>
                          </a:xfrm>
                          <a:custGeom>
                            <a:avLst/>
                            <a:gdLst/>
                            <a:ahLst/>
                            <a:cxnLst/>
                            <a:rect l="l" t="t" r="r" b="b"/>
                            <a:pathLst>
                              <a:path w="2047239" h="345440">
                                <a:moveTo>
                                  <a:pt x="76200" y="269240"/>
                                </a:moveTo>
                                <a:lnTo>
                                  <a:pt x="42799" y="269240"/>
                                </a:lnTo>
                                <a:lnTo>
                                  <a:pt x="42799" y="0"/>
                                </a:lnTo>
                                <a:lnTo>
                                  <a:pt x="33274" y="0"/>
                                </a:lnTo>
                                <a:lnTo>
                                  <a:pt x="33274" y="269240"/>
                                </a:lnTo>
                                <a:lnTo>
                                  <a:pt x="0" y="269240"/>
                                </a:lnTo>
                                <a:lnTo>
                                  <a:pt x="38100" y="345440"/>
                                </a:lnTo>
                                <a:lnTo>
                                  <a:pt x="69850" y="281940"/>
                                </a:lnTo>
                                <a:lnTo>
                                  <a:pt x="76200" y="269240"/>
                                </a:lnTo>
                                <a:close/>
                              </a:path>
                              <a:path w="2047239" h="345440">
                                <a:moveTo>
                                  <a:pt x="2047240" y="269240"/>
                                </a:moveTo>
                                <a:lnTo>
                                  <a:pt x="2013839" y="269240"/>
                                </a:lnTo>
                                <a:lnTo>
                                  <a:pt x="2013839" y="0"/>
                                </a:lnTo>
                                <a:lnTo>
                                  <a:pt x="2004314" y="0"/>
                                </a:lnTo>
                                <a:lnTo>
                                  <a:pt x="2004314" y="269240"/>
                                </a:lnTo>
                                <a:lnTo>
                                  <a:pt x="1971040" y="269240"/>
                                </a:lnTo>
                                <a:lnTo>
                                  <a:pt x="2009140" y="345440"/>
                                </a:lnTo>
                                <a:lnTo>
                                  <a:pt x="2040890" y="281940"/>
                                </a:lnTo>
                                <a:lnTo>
                                  <a:pt x="2047240" y="269240"/>
                                </a:lnTo>
                                <a:close/>
                              </a:path>
                            </a:pathLst>
                          </a:custGeom>
                          <a:solidFill>
                            <a:srgbClr val="1F487C"/>
                          </a:solidFill>
                        </wps:spPr>
                        <wps:bodyPr wrap="square" lIns="0" tIns="0" rIns="0" bIns="0" rtlCol="0">
                          <a:prstTxWarp prst="textNoShape">
                            <a:avLst/>
                          </a:prstTxWarp>
                          <a:noAutofit/>
                        </wps:bodyPr>
                      </wps:wsp>
                      <wps:wsp>
                        <wps:cNvPr id="429" name="Textbox 429"/>
                        <wps:cNvSpPr txBox="1"/>
                        <wps:spPr>
                          <a:xfrm>
                            <a:off x="1309687" y="1173162"/>
                            <a:ext cx="3067050" cy="984885"/>
                          </a:xfrm>
                          <a:prstGeom prst="rect">
                            <a:avLst/>
                          </a:prstGeom>
                          <a:solidFill>
                            <a:srgbClr val="394871"/>
                          </a:solidFill>
                          <a:ln w="0">
                            <a:solidFill>
                              <a:srgbClr val="394871"/>
                            </a:solidFill>
                            <a:prstDash val="solid"/>
                          </a:ln>
                        </wps:spPr>
                        <wps:txbx>
                          <w:txbxContent>
                            <w:p>
                              <w:pPr>
                                <w:spacing w:line="240" w:lineRule="auto" w:before="86"/>
                                <w:rPr>
                                  <w:color w:val="000000"/>
                                  <w:sz w:val="24"/>
                                </w:rPr>
                              </w:pPr>
                            </w:p>
                            <w:p>
                              <w:pPr>
                                <w:spacing w:line="242" w:lineRule="auto" w:before="0"/>
                                <w:ind w:left="104" w:right="102" w:firstLine="0"/>
                                <w:jc w:val="center"/>
                                <w:rPr>
                                  <w:b/>
                                  <w:color w:val="000000"/>
                                  <w:sz w:val="24"/>
                                </w:rPr>
                              </w:pPr>
                              <w:bookmarkStart w:name="Attachments" w:id="57"/>
                              <w:bookmarkEnd w:id="57"/>
                              <w:r>
                                <w:rPr>
                                  <w:color w:val="000000"/>
                                </w:rPr>
                              </w:r>
                              <w:bookmarkStart w:name="RJC 41a Draft RJC ToR" w:id="58"/>
                              <w:bookmarkEnd w:id="58"/>
                              <w:r>
                                <w:rPr>
                                  <w:color w:val="000000"/>
                                </w:rPr>
                              </w: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4"/>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wps:txbx>
                        <wps:bodyPr wrap="square" lIns="0" tIns="0" rIns="0" bIns="0" rtlCol="0">
                          <a:noAutofit/>
                        </wps:bodyPr>
                      </wps:wsp>
                      <wps:wsp>
                        <wps:cNvPr id="430" name="Textbox 430"/>
                        <wps:cNvSpPr txBox="1"/>
                        <wps:spPr>
                          <a:xfrm>
                            <a:off x="3148964" y="9525"/>
                            <a:ext cx="2458720" cy="822960"/>
                          </a:xfrm>
                          <a:prstGeom prst="rect">
                            <a:avLst/>
                          </a:prstGeom>
                          <a:solidFill>
                            <a:srgbClr val="C1A875"/>
                          </a:solidFill>
                          <a:ln w="19050">
                            <a:solidFill>
                              <a:srgbClr val="394871"/>
                            </a:solidFill>
                            <a:prstDash val="solid"/>
                          </a:ln>
                        </wps:spPr>
                        <wps:txbx>
                          <w:txbxContent>
                            <w:p>
                              <w:pPr>
                                <w:spacing w:line="240" w:lineRule="auto" w:before="82"/>
                                <w:rPr>
                                  <w:color w:val="000000"/>
                                  <w:sz w:val="24"/>
                                </w:rPr>
                              </w:pPr>
                            </w:p>
                            <w:p>
                              <w:pPr>
                                <w:spacing w:before="1"/>
                                <w:ind w:left="595" w:right="197" w:firstLine="735"/>
                                <w:jc w:val="left"/>
                                <w:rPr>
                                  <w:b/>
                                  <w:color w:val="000000"/>
                                  <w:sz w:val="24"/>
                                </w:rPr>
                              </w:pPr>
                              <w:r>
                                <w:rPr>
                                  <w:b/>
                                  <w:color w:val="FFFFFF"/>
                                  <w:sz w:val="24"/>
                                </w:rPr>
                                <w:t>Hywel Dda </w:t>
                              </w:r>
                              <w:r>
                                <w:rPr>
                                  <w:b/>
                                  <w:color w:val="FFFFFF"/>
                                  <w:spacing w:val="-4"/>
                                  <w:sz w:val="24"/>
                                </w:rPr>
                                <w:t>University</w:t>
                              </w:r>
                              <w:r>
                                <w:rPr>
                                  <w:b/>
                                  <w:color w:val="FFFFFF"/>
                                  <w:spacing w:val="-13"/>
                                  <w:sz w:val="24"/>
                                </w:rPr>
                                <w:t> </w:t>
                              </w:r>
                              <w:r>
                                <w:rPr>
                                  <w:b/>
                                  <w:color w:val="FFFFFF"/>
                                  <w:spacing w:val="-4"/>
                                  <w:sz w:val="24"/>
                                </w:rPr>
                                <w:t>Health</w:t>
                              </w:r>
                              <w:r>
                                <w:rPr>
                                  <w:b/>
                                  <w:color w:val="FFFFFF"/>
                                  <w:spacing w:val="-11"/>
                                  <w:sz w:val="24"/>
                                </w:rPr>
                                <w:t> </w:t>
                              </w:r>
                              <w:r>
                                <w:rPr>
                                  <w:b/>
                                  <w:color w:val="FFFFFF"/>
                                  <w:spacing w:val="-4"/>
                                  <w:sz w:val="24"/>
                                </w:rPr>
                                <w:t>Board</w:t>
                              </w:r>
                            </w:p>
                          </w:txbxContent>
                        </wps:txbx>
                        <wps:bodyPr wrap="square" lIns="0" tIns="0" rIns="0" bIns="0" rtlCol="0">
                          <a:noAutofit/>
                        </wps:bodyPr>
                      </wps:wsp>
                      <wps:wsp>
                        <wps:cNvPr id="431" name="Textbox 431"/>
                        <wps:cNvSpPr txBox="1"/>
                        <wps:spPr>
                          <a:xfrm>
                            <a:off x="9525" y="9525"/>
                            <a:ext cx="2407920" cy="822960"/>
                          </a:xfrm>
                          <a:prstGeom prst="rect">
                            <a:avLst/>
                          </a:prstGeom>
                          <a:solidFill>
                            <a:srgbClr val="C1A875"/>
                          </a:solidFill>
                          <a:ln w="19050">
                            <a:solidFill>
                              <a:srgbClr val="394871"/>
                            </a:solidFill>
                            <a:prstDash val="solid"/>
                          </a:ln>
                        </wps:spPr>
                        <wps:txbx>
                          <w:txbxContent>
                            <w:p>
                              <w:pPr>
                                <w:spacing w:line="240" w:lineRule="auto" w:before="82"/>
                                <w:rPr>
                                  <w:color w:val="000000"/>
                                  <w:sz w:val="24"/>
                                </w:rPr>
                              </w:pPr>
                            </w:p>
                            <w:p>
                              <w:pPr>
                                <w:spacing w:before="1"/>
                                <w:ind w:left="556" w:right="0" w:firstLine="575"/>
                                <w:jc w:val="left"/>
                                <w:rPr>
                                  <w:b/>
                                  <w:color w:val="000000"/>
                                  <w:sz w:val="24"/>
                                </w:rPr>
                              </w:pPr>
                              <w:r>
                                <w:rPr>
                                  <w:b/>
                                  <w:color w:val="FFFFFF"/>
                                  <w:sz w:val="24"/>
                                </w:rPr>
                                <w:t>Swansea Bay </w:t>
                              </w:r>
                              <w:r>
                                <w:rPr>
                                  <w:b/>
                                  <w:color w:val="FFFFFF"/>
                                  <w:spacing w:val="-4"/>
                                  <w:sz w:val="24"/>
                                </w:rPr>
                                <w:t>University</w:t>
                              </w:r>
                              <w:r>
                                <w:rPr>
                                  <w:b/>
                                  <w:color w:val="FFFFFF"/>
                                  <w:spacing w:val="-12"/>
                                  <w:sz w:val="24"/>
                                </w:rPr>
                                <w:t> </w:t>
                              </w:r>
                              <w:r>
                                <w:rPr>
                                  <w:b/>
                                  <w:color w:val="FFFFFF"/>
                                  <w:spacing w:val="-4"/>
                                  <w:sz w:val="24"/>
                                </w:rPr>
                                <w:t>Health</w:t>
                              </w:r>
                              <w:r>
                                <w:rPr>
                                  <w:b/>
                                  <w:color w:val="FFFFFF"/>
                                  <w:spacing w:val="-10"/>
                                  <w:sz w:val="24"/>
                                </w:rPr>
                                <w:t> </w:t>
                              </w:r>
                              <w:r>
                                <w:rPr>
                                  <w:b/>
                                  <w:color w:val="FFFFFF"/>
                                  <w:spacing w:val="-4"/>
                                  <w:sz w:val="24"/>
                                </w:rPr>
                                <w:t>Board</w:t>
                              </w:r>
                            </w:p>
                          </w:txbxContent>
                        </wps:txbx>
                        <wps:bodyPr wrap="square" lIns="0" tIns="0" rIns="0" bIns="0" rtlCol="0">
                          <a:noAutofit/>
                        </wps:bodyPr>
                      </wps:wsp>
                    </wpg:wgp>
                  </a:graphicData>
                </a:graphic>
              </wp:anchor>
            </w:drawing>
          </mc:Choice>
          <mc:Fallback>
            <w:pict>
              <v:group style="position:absolute;margin-left:83.949997pt;margin-top:16pt;width:442.3pt;height:169.95pt;mso-position-horizontal-relative:page;mso-position-vertical-relative:paragraph;z-index:-15666176;mso-wrap-distance-left:0;mso-wrap-distance-right:0" id="docshapegroup210" coordorigin="1679,320" coordsize="8846,3399">
                <v:shape style="position:absolute;left:4610;top:1631;width:3224;height:544" id="docshape211" coordorigin="4610,1631" coordsize="3224,544" path="m4730,2055l4677,2055,4677,1631,4662,1631,4662,2055,4610,2055,4670,2175,4720,2075,4730,2055xm7834,2055l7781,2055,7781,1631,7766,1631,7766,2055,7714,2055,7774,2175,7824,2075,7834,2055xe" filled="true" fillcolor="#1f487c" stroked="false">
                  <v:path arrowok="t"/>
                  <v:fill type="solid"/>
                </v:shape>
                <v:shape style="position:absolute;left:3741;top:2167;width:4830;height:1551" type="#_x0000_t202" id="docshape212" filled="true" fillcolor="#394871" stroked="true" strokeweight="0pt" strokecolor="#394871">
                  <v:textbox inset="0,0,0,0">
                    <w:txbxContent>
                      <w:p>
                        <w:pPr>
                          <w:spacing w:line="240" w:lineRule="auto" w:before="86"/>
                          <w:rPr>
                            <w:color w:val="000000"/>
                            <w:sz w:val="24"/>
                          </w:rPr>
                        </w:pPr>
                      </w:p>
                      <w:p>
                        <w:pPr>
                          <w:spacing w:line="242" w:lineRule="auto" w:before="0"/>
                          <w:ind w:left="104" w:right="102" w:firstLine="0"/>
                          <w:jc w:val="center"/>
                          <w:rPr>
                            <w:b/>
                            <w:color w:val="000000"/>
                            <w:sz w:val="24"/>
                          </w:rPr>
                        </w:pPr>
                        <w:bookmarkStart w:name="Attachments" w:id="59"/>
                        <w:bookmarkEnd w:id="59"/>
                        <w:r>
                          <w:rPr>
                            <w:color w:val="000000"/>
                          </w:rPr>
                        </w:r>
                        <w:bookmarkStart w:name="RJC 41a Draft RJC ToR" w:id="60"/>
                        <w:bookmarkEnd w:id="60"/>
                        <w:r>
                          <w:rPr>
                            <w:color w:val="000000"/>
                          </w:rPr>
                        </w: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4"/>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v:textbox>
                  <v:fill type="solid"/>
                  <v:stroke dashstyle="solid"/>
                  <w10:wrap type="none"/>
                </v:shape>
                <v:shape style="position:absolute;left:6638;top:335;width:3872;height:1296" type="#_x0000_t202" id="docshape213" filled="true" fillcolor="#c1a875" stroked="true" strokeweight="1.5pt" strokecolor="#394871">
                  <v:textbox inset="0,0,0,0">
                    <w:txbxContent>
                      <w:p>
                        <w:pPr>
                          <w:spacing w:line="240" w:lineRule="auto" w:before="82"/>
                          <w:rPr>
                            <w:color w:val="000000"/>
                            <w:sz w:val="24"/>
                          </w:rPr>
                        </w:pPr>
                      </w:p>
                      <w:p>
                        <w:pPr>
                          <w:spacing w:before="1"/>
                          <w:ind w:left="595" w:right="197" w:firstLine="735"/>
                          <w:jc w:val="left"/>
                          <w:rPr>
                            <w:b/>
                            <w:color w:val="000000"/>
                            <w:sz w:val="24"/>
                          </w:rPr>
                        </w:pPr>
                        <w:r>
                          <w:rPr>
                            <w:b/>
                            <w:color w:val="FFFFFF"/>
                            <w:sz w:val="24"/>
                          </w:rPr>
                          <w:t>Hywel Dda </w:t>
                        </w:r>
                        <w:r>
                          <w:rPr>
                            <w:b/>
                            <w:color w:val="FFFFFF"/>
                            <w:spacing w:val="-4"/>
                            <w:sz w:val="24"/>
                          </w:rPr>
                          <w:t>University</w:t>
                        </w:r>
                        <w:r>
                          <w:rPr>
                            <w:b/>
                            <w:color w:val="FFFFFF"/>
                            <w:spacing w:val="-13"/>
                            <w:sz w:val="24"/>
                          </w:rPr>
                          <w:t> </w:t>
                        </w:r>
                        <w:r>
                          <w:rPr>
                            <w:b/>
                            <w:color w:val="FFFFFF"/>
                            <w:spacing w:val="-4"/>
                            <w:sz w:val="24"/>
                          </w:rPr>
                          <w:t>Health</w:t>
                        </w:r>
                        <w:r>
                          <w:rPr>
                            <w:b/>
                            <w:color w:val="FFFFFF"/>
                            <w:spacing w:val="-11"/>
                            <w:sz w:val="24"/>
                          </w:rPr>
                          <w:t> </w:t>
                        </w:r>
                        <w:r>
                          <w:rPr>
                            <w:b/>
                            <w:color w:val="FFFFFF"/>
                            <w:spacing w:val="-4"/>
                            <w:sz w:val="24"/>
                          </w:rPr>
                          <w:t>Board</w:t>
                        </w:r>
                      </w:p>
                    </w:txbxContent>
                  </v:textbox>
                  <v:fill type="solid"/>
                  <v:stroke dashstyle="solid"/>
                  <w10:wrap type="none"/>
                </v:shape>
                <v:shape style="position:absolute;left:1694;top:335;width:3792;height:1296" type="#_x0000_t202" id="docshape214" filled="true" fillcolor="#c1a875" stroked="true" strokeweight="1.5pt" strokecolor="#394871">
                  <v:textbox inset="0,0,0,0">
                    <w:txbxContent>
                      <w:p>
                        <w:pPr>
                          <w:spacing w:line="240" w:lineRule="auto" w:before="82"/>
                          <w:rPr>
                            <w:color w:val="000000"/>
                            <w:sz w:val="24"/>
                          </w:rPr>
                        </w:pPr>
                      </w:p>
                      <w:p>
                        <w:pPr>
                          <w:spacing w:before="1"/>
                          <w:ind w:left="556" w:right="0" w:firstLine="575"/>
                          <w:jc w:val="left"/>
                          <w:rPr>
                            <w:b/>
                            <w:color w:val="000000"/>
                            <w:sz w:val="24"/>
                          </w:rPr>
                        </w:pPr>
                        <w:r>
                          <w:rPr>
                            <w:b/>
                            <w:color w:val="FFFFFF"/>
                            <w:sz w:val="24"/>
                          </w:rPr>
                          <w:t>Swansea Bay </w:t>
                        </w:r>
                        <w:r>
                          <w:rPr>
                            <w:b/>
                            <w:color w:val="FFFFFF"/>
                            <w:spacing w:val="-4"/>
                            <w:sz w:val="24"/>
                          </w:rPr>
                          <w:t>University</w:t>
                        </w:r>
                        <w:r>
                          <w:rPr>
                            <w:b/>
                            <w:color w:val="FFFFFF"/>
                            <w:spacing w:val="-12"/>
                            <w:sz w:val="24"/>
                          </w:rPr>
                          <w:t> </w:t>
                        </w:r>
                        <w:r>
                          <w:rPr>
                            <w:b/>
                            <w:color w:val="FFFFFF"/>
                            <w:spacing w:val="-4"/>
                            <w:sz w:val="24"/>
                          </w:rPr>
                          <w:t>Health</w:t>
                        </w:r>
                        <w:r>
                          <w:rPr>
                            <w:b/>
                            <w:color w:val="FFFFFF"/>
                            <w:spacing w:val="-10"/>
                            <w:sz w:val="24"/>
                          </w:rPr>
                          <w:t> </w:t>
                        </w:r>
                        <w:r>
                          <w:rPr>
                            <w:b/>
                            <w:color w:val="FFFFFF"/>
                            <w:spacing w:val="-4"/>
                            <w:sz w:val="24"/>
                          </w:rPr>
                          <w:t>Board</w:t>
                        </w:r>
                      </w:p>
                    </w:txbxContent>
                  </v:textbox>
                  <v:fill type="solid"/>
                  <v:stroke dashstyle="solid"/>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spacing w:before="32"/>
        <w:rPr>
          <w:sz w:val="20"/>
        </w:rPr>
      </w:pPr>
      <w:r>
        <w:rPr>
          <w:sz w:val="20"/>
        </w:rPr>
        <mc:AlternateContent>
          <mc:Choice Requires="wps">
            <w:drawing>
              <wp:anchor distT="0" distB="0" distL="0" distR="0" allowOverlap="1" layoutInCell="1" locked="0" behindDoc="1" simplePos="0" relativeHeight="487650816">
                <wp:simplePos x="0" y="0"/>
                <wp:positionH relativeFrom="page">
                  <wp:posOffset>559117</wp:posOffset>
                </wp:positionH>
                <wp:positionV relativeFrom="paragraph">
                  <wp:posOffset>201014</wp:posOffset>
                </wp:positionV>
                <wp:extent cx="6445250" cy="387350"/>
                <wp:effectExtent l="0" t="0" r="0" b="0"/>
                <wp:wrapTopAndBottom/>
                <wp:docPr id="432" name="Textbox 432"/>
                <wp:cNvGraphicFramePr>
                  <a:graphicFrameLocks/>
                </wp:cNvGraphicFramePr>
                <a:graphic>
                  <a:graphicData uri="http://schemas.microsoft.com/office/word/2010/wordprocessingShape">
                    <wps:wsp>
                      <wps:cNvPr id="432" name="Textbox 432"/>
                      <wps:cNvSpPr txBox="1"/>
                      <wps:spPr>
                        <a:xfrm>
                          <a:off x="0" y="0"/>
                          <a:ext cx="6445250" cy="387350"/>
                        </a:xfrm>
                        <a:prstGeom prst="rect">
                          <a:avLst/>
                        </a:prstGeom>
                        <a:solidFill>
                          <a:srgbClr val="C1A875"/>
                        </a:solidFill>
                        <a:ln w="38100">
                          <a:solidFill>
                            <a:srgbClr val="394871"/>
                          </a:solidFill>
                          <a:prstDash val="solid"/>
                        </a:ln>
                      </wps:spPr>
                      <wps:txbx>
                        <w:txbxContent>
                          <w:p>
                            <w:pPr>
                              <w:spacing w:line="275" w:lineRule="exact" w:before="0"/>
                              <w:ind w:left="4" w:right="4" w:firstLine="0"/>
                              <w:jc w:val="center"/>
                              <w:rPr>
                                <w:b/>
                                <w:color w:val="000000"/>
                                <w:sz w:val="24"/>
                              </w:rPr>
                            </w:pPr>
                            <w:r>
                              <w:rPr>
                                <w:b/>
                                <w:color w:val="000000"/>
                                <w:sz w:val="24"/>
                              </w:rPr>
                              <w:t>REGIONAL</w:t>
                            </w:r>
                            <w:r>
                              <w:rPr>
                                <w:b/>
                                <w:color w:val="000000"/>
                                <w:spacing w:val="-3"/>
                                <w:sz w:val="24"/>
                              </w:rPr>
                              <w:t> </w:t>
                            </w:r>
                            <w:r>
                              <w:rPr>
                                <w:b/>
                                <w:color w:val="000000"/>
                                <w:sz w:val="24"/>
                              </w:rPr>
                              <w:t>JOINT</w:t>
                            </w:r>
                            <w:r>
                              <w:rPr>
                                <w:b/>
                                <w:color w:val="000000"/>
                                <w:spacing w:val="1"/>
                                <w:sz w:val="24"/>
                              </w:rPr>
                              <w:t> </w:t>
                            </w:r>
                            <w:r>
                              <w:rPr>
                                <w:b/>
                                <w:color w:val="000000"/>
                                <w:sz w:val="24"/>
                              </w:rPr>
                              <w:t>COMMITTEE</w:t>
                            </w:r>
                            <w:r>
                              <w:rPr>
                                <w:b/>
                                <w:color w:val="000000"/>
                                <w:spacing w:val="-2"/>
                                <w:sz w:val="24"/>
                              </w:rPr>
                              <w:t> </w:t>
                            </w:r>
                            <w:r>
                              <w:rPr>
                                <w:b/>
                                <w:color w:val="000000"/>
                                <w:spacing w:val="-5"/>
                                <w:sz w:val="24"/>
                              </w:rPr>
                              <w:t>OF</w:t>
                            </w:r>
                          </w:p>
                          <w:p>
                            <w:pPr>
                              <w:spacing w:line="275" w:lineRule="exact" w:before="0"/>
                              <w:ind w:left="5" w:right="2" w:firstLine="0"/>
                              <w:jc w:val="center"/>
                              <w:rPr>
                                <w:b/>
                                <w:color w:val="000000"/>
                                <w:sz w:val="24"/>
                              </w:rPr>
                            </w:pPr>
                            <w:r>
                              <w:rPr>
                                <w:b/>
                                <w:color w:val="000000"/>
                                <w:sz w:val="24"/>
                              </w:rPr>
                              <w:t>SWANSEA</w:t>
                            </w:r>
                            <w:r>
                              <w:rPr>
                                <w:b/>
                                <w:color w:val="000000"/>
                                <w:spacing w:val="-3"/>
                                <w:sz w:val="24"/>
                              </w:rPr>
                              <w:t> </w:t>
                            </w:r>
                            <w:r>
                              <w:rPr>
                                <w:b/>
                                <w:color w:val="000000"/>
                                <w:sz w:val="24"/>
                              </w:rPr>
                              <w:t>BAY</w:t>
                            </w:r>
                            <w:r>
                              <w:rPr>
                                <w:b/>
                                <w:color w:val="000000"/>
                                <w:spacing w:val="-1"/>
                                <w:sz w:val="24"/>
                              </w:rPr>
                              <w:t> </w:t>
                            </w:r>
                            <w:r>
                              <w:rPr>
                                <w:b/>
                                <w:color w:val="000000"/>
                                <w:sz w:val="24"/>
                              </w:rPr>
                              <w:t>AND</w:t>
                            </w:r>
                            <w:r>
                              <w:rPr>
                                <w:b/>
                                <w:color w:val="000000"/>
                                <w:spacing w:val="-2"/>
                                <w:sz w:val="24"/>
                              </w:rPr>
                              <w:t> </w:t>
                            </w:r>
                            <w:r>
                              <w:rPr>
                                <w:b/>
                                <w:color w:val="000000"/>
                                <w:sz w:val="24"/>
                              </w:rPr>
                              <w:t>HYWEL</w:t>
                            </w:r>
                            <w:r>
                              <w:rPr>
                                <w:b/>
                                <w:color w:val="000000"/>
                                <w:spacing w:val="-6"/>
                                <w:sz w:val="24"/>
                              </w:rPr>
                              <w:t> </w:t>
                            </w:r>
                            <w:r>
                              <w:rPr>
                                <w:b/>
                                <w:color w:val="000000"/>
                                <w:sz w:val="24"/>
                              </w:rPr>
                              <w:t>DDA</w:t>
                            </w:r>
                            <w:r>
                              <w:rPr>
                                <w:b/>
                                <w:color w:val="000000"/>
                                <w:spacing w:val="-2"/>
                                <w:sz w:val="24"/>
                              </w:rPr>
                              <w:t> </w:t>
                            </w:r>
                            <w:r>
                              <w:rPr>
                                <w:b/>
                                <w:color w:val="000000"/>
                                <w:sz w:val="24"/>
                              </w:rPr>
                              <w:t>UNIVERSITY</w:t>
                            </w:r>
                            <w:r>
                              <w:rPr>
                                <w:b/>
                                <w:color w:val="000000"/>
                                <w:spacing w:val="-3"/>
                                <w:sz w:val="24"/>
                              </w:rPr>
                              <w:t> </w:t>
                            </w:r>
                            <w:r>
                              <w:rPr>
                                <w:b/>
                                <w:color w:val="000000"/>
                                <w:sz w:val="24"/>
                              </w:rPr>
                              <w:t>HEALTH</w:t>
                            </w:r>
                            <w:r>
                              <w:rPr>
                                <w:b/>
                                <w:color w:val="000000"/>
                                <w:spacing w:val="-2"/>
                                <w:sz w:val="24"/>
                              </w:rPr>
                              <w:t> BOARDS</w:t>
                            </w:r>
                          </w:p>
                        </w:txbxContent>
                      </wps:txbx>
                      <wps:bodyPr wrap="square" lIns="0" tIns="0" rIns="0" bIns="0" rtlCol="0">
                        <a:noAutofit/>
                      </wps:bodyPr>
                    </wps:wsp>
                  </a:graphicData>
                </a:graphic>
              </wp:anchor>
            </w:drawing>
          </mc:Choice>
          <mc:Fallback>
            <w:pict>
              <v:shape style="position:absolute;margin-left:44.025002pt;margin-top:15.827929pt;width:507.5pt;height:30.5pt;mso-position-horizontal-relative:page;mso-position-vertical-relative:paragraph;z-index:-15665664;mso-wrap-distance-left:0;mso-wrap-distance-right:0" type="#_x0000_t202" id="docshape215" filled="true" fillcolor="#c1a875" stroked="true" strokeweight="3pt" strokecolor="#394871">
                <v:textbox inset="0,0,0,0">
                  <w:txbxContent>
                    <w:p>
                      <w:pPr>
                        <w:spacing w:line="275" w:lineRule="exact" w:before="0"/>
                        <w:ind w:left="4" w:right="4" w:firstLine="0"/>
                        <w:jc w:val="center"/>
                        <w:rPr>
                          <w:b/>
                          <w:color w:val="000000"/>
                          <w:sz w:val="24"/>
                        </w:rPr>
                      </w:pPr>
                      <w:r>
                        <w:rPr>
                          <w:b/>
                          <w:color w:val="000000"/>
                          <w:sz w:val="24"/>
                        </w:rPr>
                        <w:t>REGIONAL</w:t>
                      </w:r>
                      <w:r>
                        <w:rPr>
                          <w:b/>
                          <w:color w:val="000000"/>
                          <w:spacing w:val="-3"/>
                          <w:sz w:val="24"/>
                        </w:rPr>
                        <w:t> </w:t>
                      </w:r>
                      <w:r>
                        <w:rPr>
                          <w:b/>
                          <w:color w:val="000000"/>
                          <w:sz w:val="24"/>
                        </w:rPr>
                        <w:t>JOINT</w:t>
                      </w:r>
                      <w:r>
                        <w:rPr>
                          <w:b/>
                          <w:color w:val="000000"/>
                          <w:spacing w:val="1"/>
                          <w:sz w:val="24"/>
                        </w:rPr>
                        <w:t> </w:t>
                      </w:r>
                      <w:r>
                        <w:rPr>
                          <w:b/>
                          <w:color w:val="000000"/>
                          <w:sz w:val="24"/>
                        </w:rPr>
                        <w:t>COMMITTEE</w:t>
                      </w:r>
                      <w:r>
                        <w:rPr>
                          <w:b/>
                          <w:color w:val="000000"/>
                          <w:spacing w:val="-2"/>
                          <w:sz w:val="24"/>
                        </w:rPr>
                        <w:t> </w:t>
                      </w:r>
                      <w:r>
                        <w:rPr>
                          <w:b/>
                          <w:color w:val="000000"/>
                          <w:spacing w:val="-5"/>
                          <w:sz w:val="24"/>
                        </w:rPr>
                        <w:t>OF</w:t>
                      </w:r>
                    </w:p>
                    <w:p>
                      <w:pPr>
                        <w:spacing w:line="275" w:lineRule="exact" w:before="0"/>
                        <w:ind w:left="5" w:right="2" w:firstLine="0"/>
                        <w:jc w:val="center"/>
                        <w:rPr>
                          <w:b/>
                          <w:color w:val="000000"/>
                          <w:sz w:val="24"/>
                        </w:rPr>
                      </w:pPr>
                      <w:r>
                        <w:rPr>
                          <w:b/>
                          <w:color w:val="000000"/>
                          <w:sz w:val="24"/>
                        </w:rPr>
                        <w:t>SWANSEA</w:t>
                      </w:r>
                      <w:r>
                        <w:rPr>
                          <w:b/>
                          <w:color w:val="000000"/>
                          <w:spacing w:val="-3"/>
                          <w:sz w:val="24"/>
                        </w:rPr>
                        <w:t> </w:t>
                      </w:r>
                      <w:r>
                        <w:rPr>
                          <w:b/>
                          <w:color w:val="000000"/>
                          <w:sz w:val="24"/>
                        </w:rPr>
                        <w:t>BAY</w:t>
                      </w:r>
                      <w:r>
                        <w:rPr>
                          <w:b/>
                          <w:color w:val="000000"/>
                          <w:spacing w:val="-1"/>
                          <w:sz w:val="24"/>
                        </w:rPr>
                        <w:t> </w:t>
                      </w:r>
                      <w:r>
                        <w:rPr>
                          <w:b/>
                          <w:color w:val="000000"/>
                          <w:sz w:val="24"/>
                        </w:rPr>
                        <w:t>AND</w:t>
                      </w:r>
                      <w:r>
                        <w:rPr>
                          <w:b/>
                          <w:color w:val="000000"/>
                          <w:spacing w:val="-2"/>
                          <w:sz w:val="24"/>
                        </w:rPr>
                        <w:t> </w:t>
                      </w:r>
                      <w:r>
                        <w:rPr>
                          <w:b/>
                          <w:color w:val="000000"/>
                          <w:sz w:val="24"/>
                        </w:rPr>
                        <w:t>HYWEL</w:t>
                      </w:r>
                      <w:r>
                        <w:rPr>
                          <w:b/>
                          <w:color w:val="000000"/>
                          <w:spacing w:val="-6"/>
                          <w:sz w:val="24"/>
                        </w:rPr>
                        <w:t> </w:t>
                      </w:r>
                      <w:r>
                        <w:rPr>
                          <w:b/>
                          <w:color w:val="000000"/>
                          <w:sz w:val="24"/>
                        </w:rPr>
                        <w:t>DDA</w:t>
                      </w:r>
                      <w:r>
                        <w:rPr>
                          <w:b/>
                          <w:color w:val="000000"/>
                          <w:spacing w:val="-2"/>
                          <w:sz w:val="24"/>
                        </w:rPr>
                        <w:t> </w:t>
                      </w:r>
                      <w:r>
                        <w:rPr>
                          <w:b/>
                          <w:color w:val="000000"/>
                          <w:sz w:val="24"/>
                        </w:rPr>
                        <w:t>UNIVERSITY</w:t>
                      </w:r>
                      <w:r>
                        <w:rPr>
                          <w:b/>
                          <w:color w:val="000000"/>
                          <w:spacing w:val="-3"/>
                          <w:sz w:val="24"/>
                        </w:rPr>
                        <w:t> </w:t>
                      </w:r>
                      <w:r>
                        <w:rPr>
                          <w:b/>
                          <w:color w:val="000000"/>
                          <w:sz w:val="24"/>
                        </w:rPr>
                        <w:t>HEALTH</w:t>
                      </w:r>
                      <w:r>
                        <w:rPr>
                          <w:b/>
                          <w:color w:val="000000"/>
                          <w:spacing w:val="-2"/>
                          <w:sz w:val="24"/>
                        </w:rPr>
                        <w:t> BOARDS</w:t>
                      </w:r>
                    </w:p>
                  </w:txbxContent>
                </v:textbox>
                <v:fill type="solid"/>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51328">
                <wp:simplePos x="0" y="0"/>
                <wp:positionH relativeFrom="page">
                  <wp:posOffset>554355</wp:posOffset>
                </wp:positionH>
                <wp:positionV relativeFrom="paragraph">
                  <wp:posOffset>783722</wp:posOffset>
                </wp:positionV>
                <wp:extent cx="6454775" cy="349885"/>
                <wp:effectExtent l="0" t="0" r="0" b="0"/>
                <wp:wrapTopAndBottom/>
                <wp:docPr id="433" name="Textbox 433"/>
                <wp:cNvGraphicFramePr>
                  <a:graphicFrameLocks/>
                </wp:cNvGraphicFramePr>
                <a:graphic>
                  <a:graphicData uri="http://schemas.microsoft.com/office/word/2010/wordprocessingShape">
                    <wps:wsp>
                      <wps:cNvPr id="433" name="Textbox 433"/>
                      <wps:cNvSpPr txBox="1"/>
                      <wps:spPr>
                        <a:xfrm>
                          <a:off x="0" y="0"/>
                          <a:ext cx="6454775" cy="349885"/>
                        </a:xfrm>
                        <a:prstGeom prst="rect">
                          <a:avLst/>
                        </a:prstGeom>
                        <a:solidFill>
                          <a:srgbClr val="394871"/>
                        </a:solidFill>
                        <a:ln w="28575">
                          <a:solidFill>
                            <a:srgbClr val="C1A875"/>
                          </a:solidFill>
                          <a:prstDash val="solid"/>
                        </a:ln>
                      </wps:spPr>
                      <wps:txbx>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wps:txbx>
                      <wps:bodyPr wrap="square" lIns="0" tIns="0" rIns="0" bIns="0" rtlCol="0">
                        <a:noAutofit/>
                      </wps:bodyPr>
                    </wps:wsp>
                  </a:graphicData>
                </a:graphic>
              </wp:anchor>
            </w:drawing>
          </mc:Choice>
          <mc:Fallback>
            <w:pict>
              <v:shape style="position:absolute;margin-left:43.650002pt;margin-top:61.71043pt;width:508.25pt;height:27.55pt;mso-position-horizontal-relative:page;mso-position-vertical-relative:paragraph;z-index:-15665152;mso-wrap-distance-left:0;mso-wrap-distance-right:0" type="#_x0000_t202" id="docshape216" filled="true" fillcolor="#394871" stroked="true" strokeweight="2.25pt" strokecolor="#c1a875">
                <v:textbox inset="0,0,0,0">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v:textbox>
                <v:fill type="solid"/>
                <v:stroke dashstyle="solid"/>
                <w10:wrap type="topAndBottom"/>
              </v:shape>
            </w:pict>
          </mc:Fallback>
        </mc:AlternateContent>
      </w:r>
    </w:p>
    <w:p>
      <w:pPr>
        <w:pStyle w:val="BodyText"/>
        <w:spacing w:before="30"/>
        <w:rPr>
          <w:sz w:val="20"/>
        </w:rPr>
      </w:pPr>
    </w:p>
    <w:p>
      <w:pPr>
        <w:pStyle w:val="BodyText"/>
        <w:spacing w:before="27"/>
        <w:rPr>
          <w:sz w:val="20"/>
        </w:rPr>
      </w:pPr>
    </w:p>
    <w:tbl>
      <w:tblPr>
        <w:tblW w:w="0" w:type="auto"/>
        <w:jc w:val="left"/>
        <w:tblInd w:w="147" w:type="dxa"/>
        <w:tblBorders>
          <w:top w:val="single" w:sz="2" w:space="0" w:color="394871"/>
          <w:left w:val="single" w:sz="2" w:space="0" w:color="394871"/>
          <w:bottom w:val="single" w:sz="2" w:space="0" w:color="394871"/>
          <w:right w:val="single" w:sz="2" w:space="0" w:color="394871"/>
          <w:insideH w:val="single" w:sz="2" w:space="0" w:color="394871"/>
          <w:insideV w:val="single" w:sz="2" w:space="0" w:color="394871"/>
        </w:tblBorders>
        <w:tblLayout w:type="fixed"/>
        <w:tblCellMar>
          <w:top w:w="0" w:type="dxa"/>
          <w:left w:w="0" w:type="dxa"/>
          <w:bottom w:w="0" w:type="dxa"/>
          <w:right w:w="0" w:type="dxa"/>
        </w:tblCellMar>
        <w:tblLook w:val="01E0"/>
      </w:tblPr>
      <w:tblGrid>
        <w:gridCol w:w="1411"/>
        <w:gridCol w:w="5533"/>
        <w:gridCol w:w="1421"/>
        <w:gridCol w:w="1841"/>
      </w:tblGrid>
      <w:tr>
        <w:trPr>
          <w:trHeight w:val="300" w:hRule="atLeast"/>
        </w:trPr>
        <w:tc>
          <w:tcPr>
            <w:tcW w:w="1411" w:type="dxa"/>
            <w:shd w:val="clear" w:color="auto" w:fill="C1A875"/>
          </w:tcPr>
          <w:p>
            <w:pPr>
              <w:pStyle w:val="TableParagraph"/>
              <w:spacing w:line="270" w:lineRule="exact" w:before="10"/>
              <w:jc w:val="center"/>
              <w:rPr>
                <w:b/>
                <w:sz w:val="24"/>
              </w:rPr>
            </w:pPr>
            <w:r>
              <w:rPr>
                <w:b/>
                <w:spacing w:val="-2"/>
                <w:sz w:val="24"/>
              </w:rPr>
              <w:t>Version</w:t>
            </w:r>
          </w:p>
        </w:tc>
        <w:tc>
          <w:tcPr>
            <w:tcW w:w="5533" w:type="dxa"/>
            <w:shd w:val="clear" w:color="auto" w:fill="C1A875"/>
          </w:tcPr>
          <w:p>
            <w:pPr>
              <w:pStyle w:val="TableParagraph"/>
              <w:spacing w:line="270" w:lineRule="exact" w:before="10"/>
              <w:jc w:val="center"/>
              <w:rPr>
                <w:b/>
                <w:sz w:val="24"/>
              </w:rPr>
            </w:pPr>
            <w:r>
              <w:rPr>
                <w:b/>
                <w:sz w:val="24"/>
              </w:rPr>
              <w:t>Issued</w:t>
            </w:r>
            <w:r>
              <w:rPr>
                <w:b/>
                <w:spacing w:val="-5"/>
                <w:sz w:val="24"/>
              </w:rPr>
              <w:t> To</w:t>
            </w:r>
          </w:p>
        </w:tc>
        <w:tc>
          <w:tcPr>
            <w:tcW w:w="1421" w:type="dxa"/>
            <w:shd w:val="clear" w:color="auto" w:fill="C1A875"/>
          </w:tcPr>
          <w:p>
            <w:pPr>
              <w:pStyle w:val="TableParagraph"/>
              <w:spacing w:line="270" w:lineRule="exact" w:before="10"/>
              <w:ind w:left="10"/>
              <w:jc w:val="center"/>
              <w:rPr>
                <w:b/>
                <w:sz w:val="24"/>
              </w:rPr>
            </w:pPr>
            <w:r>
              <w:rPr>
                <w:b/>
                <w:spacing w:val="-4"/>
                <w:sz w:val="24"/>
              </w:rPr>
              <w:t>Date</w:t>
            </w:r>
          </w:p>
        </w:tc>
        <w:tc>
          <w:tcPr>
            <w:tcW w:w="1841" w:type="dxa"/>
            <w:shd w:val="clear" w:color="auto" w:fill="C1A875"/>
          </w:tcPr>
          <w:p>
            <w:pPr>
              <w:pStyle w:val="TableParagraph"/>
              <w:spacing w:line="270" w:lineRule="exact" w:before="10"/>
              <w:ind w:left="107" w:right="99"/>
              <w:jc w:val="center"/>
              <w:rPr>
                <w:b/>
                <w:sz w:val="24"/>
              </w:rPr>
            </w:pPr>
            <w:r>
              <w:rPr>
                <w:b/>
                <w:spacing w:val="-2"/>
                <w:sz w:val="24"/>
              </w:rPr>
              <w:t>Comments</w:t>
            </w:r>
          </w:p>
        </w:tc>
      </w:tr>
      <w:tr>
        <w:trPr>
          <w:trHeight w:val="825" w:hRule="atLeast"/>
        </w:trPr>
        <w:tc>
          <w:tcPr>
            <w:tcW w:w="1411" w:type="dxa"/>
            <w:shd w:val="clear" w:color="auto" w:fill="C1A875"/>
          </w:tcPr>
          <w:p>
            <w:pPr>
              <w:pStyle w:val="TableParagraph"/>
              <w:spacing w:before="275"/>
              <w:jc w:val="center"/>
              <w:rPr>
                <w:sz w:val="24"/>
              </w:rPr>
            </w:pPr>
            <w:r>
              <w:rPr>
                <w:spacing w:val="-4"/>
                <w:sz w:val="24"/>
              </w:rPr>
              <w:t>V1.0</w:t>
            </w:r>
          </w:p>
        </w:tc>
        <w:tc>
          <w:tcPr>
            <w:tcW w:w="5533" w:type="dxa"/>
          </w:tcPr>
          <w:p>
            <w:pPr>
              <w:pStyle w:val="TableParagraph"/>
              <w:ind w:left="107" w:right="104"/>
              <w:rPr>
                <w:sz w:val="24"/>
              </w:rPr>
            </w:pPr>
            <w:r>
              <w:rPr>
                <w:sz w:val="24"/>
              </w:rPr>
              <w:t>Inaugural meeting of the Regional Joint Committee</w:t>
            </w:r>
            <w:r>
              <w:rPr>
                <w:spacing w:val="-6"/>
                <w:sz w:val="24"/>
              </w:rPr>
              <w:t> </w:t>
            </w:r>
            <w:r>
              <w:rPr>
                <w:sz w:val="24"/>
              </w:rPr>
              <w:t>of</w:t>
            </w:r>
            <w:r>
              <w:rPr>
                <w:spacing w:val="-7"/>
                <w:sz w:val="24"/>
              </w:rPr>
              <w:t> </w:t>
            </w:r>
            <w:r>
              <w:rPr>
                <w:sz w:val="24"/>
              </w:rPr>
              <w:t>Swansea</w:t>
            </w:r>
            <w:r>
              <w:rPr>
                <w:spacing w:val="-6"/>
                <w:sz w:val="24"/>
              </w:rPr>
              <w:t> </w:t>
            </w:r>
            <w:r>
              <w:rPr>
                <w:sz w:val="24"/>
              </w:rPr>
              <w:t>Bay</w:t>
            </w:r>
            <w:r>
              <w:rPr>
                <w:spacing w:val="-7"/>
                <w:sz w:val="24"/>
              </w:rPr>
              <w:t> </w:t>
            </w:r>
            <w:r>
              <w:rPr>
                <w:sz w:val="24"/>
              </w:rPr>
              <w:t>and</w:t>
            </w:r>
            <w:r>
              <w:rPr>
                <w:spacing w:val="-6"/>
                <w:sz w:val="24"/>
              </w:rPr>
              <w:t> </w:t>
            </w:r>
            <w:r>
              <w:rPr>
                <w:sz w:val="24"/>
              </w:rPr>
              <w:t>Hywel</w:t>
            </w:r>
            <w:r>
              <w:rPr>
                <w:spacing w:val="-6"/>
                <w:sz w:val="24"/>
              </w:rPr>
              <w:t> </w:t>
            </w:r>
            <w:r>
              <w:rPr>
                <w:sz w:val="24"/>
              </w:rPr>
              <w:t>Dda</w:t>
            </w:r>
          </w:p>
          <w:p>
            <w:pPr>
              <w:pStyle w:val="TableParagraph"/>
              <w:spacing w:line="254" w:lineRule="exact"/>
              <w:ind w:left="107"/>
              <w:rPr>
                <w:sz w:val="24"/>
              </w:rPr>
            </w:pPr>
            <w:r>
              <w:rPr>
                <w:sz w:val="24"/>
              </w:rPr>
              <w:t>University</w:t>
            </w:r>
            <w:r>
              <w:rPr>
                <w:spacing w:val="-3"/>
                <w:sz w:val="24"/>
              </w:rPr>
              <w:t> </w:t>
            </w:r>
            <w:r>
              <w:rPr>
                <w:sz w:val="24"/>
              </w:rPr>
              <w:t>Health</w:t>
            </w:r>
            <w:r>
              <w:rPr>
                <w:spacing w:val="-2"/>
                <w:sz w:val="24"/>
              </w:rPr>
              <w:t> Boards</w:t>
            </w:r>
          </w:p>
        </w:tc>
        <w:tc>
          <w:tcPr>
            <w:tcW w:w="1421" w:type="dxa"/>
          </w:tcPr>
          <w:p>
            <w:pPr>
              <w:pStyle w:val="TableParagraph"/>
              <w:spacing w:before="5"/>
              <w:ind w:left="10" w:right="1"/>
              <w:jc w:val="center"/>
              <w:rPr>
                <w:sz w:val="24"/>
              </w:rPr>
            </w:pPr>
            <w:r>
              <w:rPr>
                <w:spacing w:val="-2"/>
                <w:sz w:val="24"/>
              </w:rPr>
              <w:t>15/01/2025</w:t>
            </w:r>
          </w:p>
        </w:tc>
        <w:tc>
          <w:tcPr>
            <w:tcW w:w="1841" w:type="dxa"/>
          </w:tcPr>
          <w:p>
            <w:pPr>
              <w:pStyle w:val="TableParagraph"/>
              <w:ind w:left="108" w:right="95"/>
              <w:jc w:val="center"/>
              <w:rPr>
                <w:sz w:val="24"/>
              </w:rPr>
            </w:pPr>
            <w:r>
              <w:rPr>
                <w:spacing w:val="-2"/>
                <w:sz w:val="24"/>
              </w:rPr>
              <w:t>For</w:t>
            </w:r>
            <w:r>
              <w:rPr>
                <w:spacing w:val="-12"/>
                <w:sz w:val="24"/>
              </w:rPr>
              <w:t> </w:t>
            </w:r>
            <w:r>
              <w:rPr>
                <w:spacing w:val="-2"/>
                <w:sz w:val="24"/>
              </w:rPr>
              <w:t>Comment</w:t>
            </w:r>
          </w:p>
        </w:tc>
      </w:tr>
      <w:tr>
        <w:trPr>
          <w:trHeight w:val="555" w:hRule="atLeast"/>
        </w:trPr>
        <w:tc>
          <w:tcPr>
            <w:tcW w:w="1411" w:type="dxa"/>
            <w:shd w:val="clear" w:color="auto" w:fill="C1A875"/>
          </w:tcPr>
          <w:p>
            <w:pPr>
              <w:pStyle w:val="TableParagraph"/>
              <w:jc w:val="center"/>
              <w:rPr>
                <w:sz w:val="24"/>
              </w:rPr>
            </w:pPr>
            <w:r>
              <w:rPr>
                <w:spacing w:val="-5"/>
                <w:sz w:val="24"/>
              </w:rPr>
              <w:t>V.1</w:t>
            </w:r>
          </w:p>
        </w:tc>
        <w:tc>
          <w:tcPr>
            <w:tcW w:w="5533" w:type="dxa"/>
          </w:tcPr>
          <w:p>
            <w:pPr>
              <w:pStyle w:val="TableParagraph"/>
              <w:spacing w:line="276" w:lineRule="exact"/>
              <w:ind w:left="107" w:right="104"/>
              <w:rPr>
                <w:sz w:val="24"/>
              </w:rPr>
            </w:pPr>
            <w:r>
              <w:rPr>
                <w:sz w:val="24"/>
              </w:rPr>
              <w:t>The</w:t>
            </w:r>
            <w:r>
              <w:rPr>
                <w:spacing w:val="-5"/>
                <w:sz w:val="24"/>
              </w:rPr>
              <w:t> </w:t>
            </w:r>
            <w:r>
              <w:rPr>
                <w:sz w:val="24"/>
              </w:rPr>
              <w:t>Boards</w:t>
            </w:r>
            <w:r>
              <w:rPr>
                <w:spacing w:val="-6"/>
                <w:sz w:val="24"/>
              </w:rPr>
              <w:t> </w:t>
            </w:r>
            <w:r>
              <w:rPr>
                <w:sz w:val="24"/>
              </w:rPr>
              <w:t>of</w:t>
            </w:r>
            <w:r>
              <w:rPr>
                <w:spacing w:val="-8"/>
                <w:sz w:val="24"/>
              </w:rPr>
              <w:t> </w:t>
            </w:r>
            <w:r>
              <w:rPr>
                <w:sz w:val="24"/>
              </w:rPr>
              <w:t>Swansea</w:t>
            </w:r>
            <w:r>
              <w:rPr>
                <w:spacing w:val="-5"/>
                <w:sz w:val="24"/>
              </w:rPr>
              <w:t> </w:t>
            </w:r>
            <w:r>
              <w:rPr>
                <w:sz w:val="24"/>
              </w:rPr>
              <w:t>Bay</w:t>
            </w:r>
            <w:r>
              <w:rPr>
                <w:spacing w:val="-6"/>
                <w:sz w:val="24"/>
              </w:rPr>
              <w:t> </w:t>
            </w:r>
            <w:r>
              <w:rPr>
                <w:sz w:val="24"/>
              </w:rPr>
              <w:t>and</w:t>
            </w:r>
            <w:r>
              <w:rPr>
                <w:spacing w:val="-5"/>
                <w:sz w:val="24"/>
              </w:rPr>
              <w:t> </w:t>
            </w:r>
            <w:r>
              <w:rPr>
                <w:sz w:val="24"/>
              </w:rPr>
              <w:t>Hywel</w:t>
            </w:r>
            <w:r>
              <w:rPr>
                <w:spacing w:val="-5"/>
                <w:sz w:val="24"/>
              </w:rPr>
              <w:t> </w:t>
            </w:r>
            <w:r>
              <w:rPr>
                <w:sz w:val="24"/>
              </w:rPr>
              <w:t>Dda University Health Boards</w:t>
            </w:r>
          </w:p>
        </w:tc>
        <w:tc>
          <w:tcPr>
            <w:tcW w:w="1421" w:type="dxa"/>
          </w:tcPr>
          <w:p>
            <w:pPr>
              <w:pStyle w:val="TableParagraph"/>
              <w:ind w:left="10" w:right="1"/>
              <w:jc w:val="center"/>
              <w:rPr>
                <w:sz w:val="24"/>
              </w:rPr>
            </w:pPr>
            <w:r>
              <w:rPr>
                <w:spacing w:val="-2"/>
                <w:sz w:val="24"/>
              </w:rPr>
              <w:t>30/01/2025</w:t>
            </w:r>
          </w:p>
        </w:tc>
        <w:tc>
          <w:tcPr>
            <w:tcW w:w="1841" w:type="dxa"/>
          </w:tcPr>
          <w:p>
            <w:pPr>
              <w:pStyle w:val="TableParagraph"/>
              <w:ind w:left="107" w:right="98"/>
              <w:jc w:val="center"/>
              <w:rPr>
                <w:sz w:val="24"/>
              </w:rPr>
            </w:pPr>
            <w:r>
              <w:rPr>
                <w:spacing w:val="-2"/>
                <w:sz w:val="24"/>
              </w:rPr>
              <w:t>Approved</w:t>
            </w:r>
          </w:p>
        </w:tc>
      </w:tr>
      <w:tr>
        <w:trPr>
          <w:trHeight w:val="550" w:hRule="atLeast"/>
        </w:trPr>
        <w:tc>
          <w:tcPr>
            <w:tcW w:w="1411" w:type="dxa"/>
            <w:shd w:val="clear" w:color="auto" w:fill="C1A875"/>
          </w:tcPr>
          <w:p>
            <w:pPr>
              <w:pStyle w:val="TableParagraph"/>
              <w:spacing w:before="135"/>
              <w:jc w:val="center"/>
              <w:rPr>
                <w:sz w:val="24"/>
              </w:rPr>
            </w:pPr>
            <w:r>
              <w:rPr>
                <w:spacing w:val="-5"/>
                <w:sz w:val="24"/>
              </w:rPr>
              <w:t>V.2</w:t>
            </w:r>
          </w:p>
        </w:tc>
        <w:tc>
          <w:tcPr>
            <w:tcW w:w="5533" w:type="dxa"/>
          </w:tcPr>
          <w:p>
            <w:pPr>
              <w:pStyle w:val="TableParagraph"/>
              <w:spacing w:line="276" w:lineRule="exact"/>
              <w:ind w:left="107" w:right="104"/>
              <w:rPr>
                <w:sz w:val="24"/>
              </w:rPr>
            </w:pPr>
            <w:r>
              <w:rPr>
                <w:sz w:val="24"/>
              </w:rPr>
              <w:t>The</w:t>
            </w:r>
            <w:r>
              <w:rPr>
                <w:spacing w:val="-5"/>
                <w:sz w:val="24"/>
              </w:rPr>
              <w:t> </w:t>
            </w:r>
            <w:r>
              <w:rPr>
                <w:sz w:val="24"/>
              </w:rPr>
              <w:t>Boards</w:t>
            </w:r>
            <w:r>
              <w:rPr>
                <w:spacing w:val="-6"/>
                <w:sz w:val="24"/>
              </w:rPr>
              <w:t> </w:t>
            </w:r>
            <w:r>
              <w:rPr>
                <w:sz w:val="24"/>
              </w:rPr>
              <w:t>of</w:t>
            </w:r>
            <w:r>
              <w:rPr>
                <w:spacing w:val="-8"/>
                <w:sz w:val="24"/>
              </w:rPr>
              <w:t> </w:t>
            </w:r>
            <w:r>
              <w:rPr>
                <w:sz w:val="24"/>
              </w:rPr>
              <w:t>Swansea</w:t>
            </w:r>
            <w:r>
              <w:rPr>
                <w:spacing w:val="-5"/>
                <w:sz w:val="24"/>
              </w:rPr>
              <w:t> </w:t>
            </w:r>
            <w:r>
              <w:rPr>
                <w:sz w:val="24"/>
              </w:rPr>
              <w:t>Bay</w:t>
            </w:r>
            <w:r>
              <w:rPr>
                <w:spacing w:val="-6"/>
                <w:sz w:val="24"/>
              </w:rPr>
              <w:t> </w:t>
            </w:r>
            <w:r>
              <w:rPr>
                <w:sz w:val="24"/>
              </w:rPr>
              <w:t>and</w:t>
            </w:r>
            <w:r>
              <w:rPr>
                <w:spacing w:val="-5"/>
                <w:sz w:val="24"/>
              </w:rPr>
              <w:t> </w:t>
            </w:r>
            <w:r>
              <w:rPr>
                <w:sz w:val="24"/>
              </w:rPr>
              <w:t>Hywel</w:t>
            </w:r>
            <w:r>
              <w:rPr>
                <w:spacing w:val="-5"/>
                <w:sz w:val="24"/>
              </w:rPr>
              <w:t> </w:t>
            </w:r>
            <w:r>
              <w:rPr>
                <w:sz w:val="24"/>
              </w:rPr>
              <w:t>Dda University Health Boards</w:t>
            </w:r>
          </w:p>
        </w:tc>
        <w:tc>
          <w:tcPr>
            <w:tcW w:w="1421" w:type="dxa"/>
          </w:tcPr>
          <w:p>
            <w:pPr>
              <w:pStyle w:val="TableParagraph"/>
              <w:ind w:left="10" w:right="1"/>
              <w:jc w:val="center"/>
              <w:rPr>
                <w:sz w:val="24"/>
              </w:rPr>
            </w:pPr>
            <w:r>
              <w:rPr>
                <w:spacing w:val="-2"/>
                <w:sz w:val="24"/>
              </w:rPr>
              <w:t>29/05/2025</w:t>
            </w:r>
          </w:p>
        </w:tc>
        <w:tc>
          <w:tcPr>
            <w:tcW w:w="1841" w:type="dxa"/>
          </w:tcPr>
          <w:p>
            <w:pPr>
              <w:pStyle w:val="TableParagraph"/>
              <w:ind w:left="107" w:right="101"/>
              <w:jc w:val="center"/>
              <w:rPr>
                <w:sz w:val="24"/>
              </w:rPr>
            </w:pPr>
            <w:r>
              <w:rPr>
                <w:spacing w:val="-2"/>
                <w:sz w:val="24"/>
              </w:rPr>
              <w:t>Approved</w:t>
            </w:r>
          </w:p>
        </w:tc>
      </w:tr>
      <w:tr>
        <w:trPr>
          <w:trHeight w:val="548" w:hRule="atLeast"/>
        </w:trPr>
        <w:tc>
          <w:tcPr>
            <w:tcW w:w="1411" w:type="dxa"/>
            <w:shd w:val="clear" w:color="auto" w:fill="C1A875"/>
          </w:tcPr>
          <w:p>
            <w:pPr>
              <w:pStyle w:val="TableParagraph"/>
              <w:spacing w:before="138"/>
              <w:jc w:val="center"/>
              <w:rPr>
                <w:sz w:val="24"/>
              </w:rPr>
            </w:pPr>
            <w:r>
              <w:rPr>
                <w:spacing w:val="-5"/>
                <w:sz w:val="24"/>
              </w:rPr>
              <w:t>V.3</w:t>
            </w:r>
          </w:p>
        </w:tc>
        <w:tc>
          <w:tcPr>
            <w:tcW w:w="5533" w:type="dxa"/>
          </w:tcPr>
          <w:p>
            <w:pPr>
              <w:pStyle w:val="TableParagraph"/>
              <w:spacing w:line="276" w:lineRule="exact"/>
              <w:ind w:left="107" w:right="104"/>
              <w:rPr>
                <w:sz w:val="24"/>
              </w:rPr>
            </w:pPr>
            <w:r>
              <w:rPr>
                <w:sz w:val="24"/>
              </w:rPr>
              <w:t>Regional</w:t>
            </w:r>
            <w:r>
              <w:rPr>
                <w:spacing w:val="-6"/>
                <w:sz w:val="24"/>
              </w:rPr>
              <w:t> </w:t>
            </w:r>
            <w:r>
              <w:rPr>
                <w:sz w:val="24"/>
              </w:rPr>
              <w:t>Joint</w:t>
            </w:r>
            <w:r>
              <w:rPr>
                <w:spacing w:val="-9"/>
                <w:sz w:val="24"/>
              </w:rPr>
              <w:t> </w:t>
            </w:r>
            <w:r>
              <w:rPr>
                <w:sz w:val="24"/>
              </w:rPr>
              <w:t>Committee</w:t>
            </w:r>
            <w:r>
              <w:rPr>
                <w:spacing w:val="-6"/>
                <w:sz w:val="24"/>
              </w:rPr>
              <w:t> </w:t>
            </w:r>
            <w:r>
              <w:rPr>
                <w:sz w:val="24"/>
              </w:rPr>
              <w:t>of</w:t>
            </w:r>
            <w:r>
              <w:rPr>
                <w:spacing w:val="-9"/>
                <w:sz w:val="24"/>
              </w:rPr>
              <w:t> </w:t>
            </w:r>
            <w:r>
              <w:rPr>
                <w:sz w:val="24"/>
              </w:rPr>
              <w:t>Swansea</w:t>
            </w:r>
            <w:r>
              <w:rPr>
                <w:spacing w:val="-6"/>
                <w:sz w:val="24"/>
              </w:rPr>
              <w:t> </w:t>
            </w:r>
            <w:r>
              <w:rPr>
                <w:sz w:val="24"/>
              </w:rPr>
              <w:t>Bay</w:t>
            </w:r>
            <w:r>
              <w:rPr>
                <w:spacing w:val="-7"/>
                <w:sz w:val="24"/>
              </w:rPr>
              <w:t> </w:t>
            </w:r>
            <w:r>
              <w:rPr>
                <w:sz w:val="24"/>
              </w:rPr>
              <w:t>and Hywel Dda University Health Boards</w:t>
            </w:r>
          </w:p>
        </w:tc>
        <w:tc>
          <w:tcPr>
            <w:tcW w:w="1421" w:type="dxa"/>
          </w:tcPr>
          <w:p>
            <w:pPr>
              <w:pStyle w:val="TableParagraph"/>
              <w:spacing w:line="274" w:lineRule="exact"/>
              <w:ind w:left="10" w:right="1"/>
              <w:jc w:val="center"/>
              <w:rPr>
                <w:sz w:val="24"/>
              </w:rPr>
            </w:pPr>
            <w:r>
              <w:rPr>
                <w:spacing w:val="-2"/>
                <w:sz w:val="24"/>
              </w:rPr>
              <w:t>16/04/2025</w:t>
            </w:r>
          </w:p>
        </w:tc>
        <w:tc>
          <w:tcPr>
            <w:tcW w:w="1841" w:type="dxa"/>
          </w:tcPr>
          <w:p>
            <w:pPr>
              <w:pStyle w:val="TableParagraph"/>
              <w:spacing w:line="274" w:lineRule="exact"/>
              <w:ind w:left="107" w:right="95"/>
              <w:jc w:val="center"/>
              <w:rPr>
                <w:sz w:val="24"/>
              </w:rPr>
            </w:pPr>
            <w:r>
              <w:rPr>
                <w:spacing w:val="-2"/>
                <w:sz w:val="24"/>
              </w:rPr>
              <w:t>For</w:t>
            </w:r>
            <w:r>
              <w:rPr>
                <w:spacing w:val="-12"/>
                <w:sz w:val="24"/>
              </w:rPr>
              <w:t> </w:t>
            </w:r>
            <w:r>
              <w:rPr>
                <w:spacing w:val="-2"/>
                <w:sz w:val="24"/>
              </w:rPr>
              <w:t>Comment</w:t>
            </w:r>
          </w:p>
        </w:tc>
      </w:tr>
      <w:tr>
        <w:trPr>
          <w:trHeight w:val="825" w:hRule="atLeast"/>
        </w:trPr>
        <w:tc>
          <w:tcPr>
            <w:tcW w:w="1411" w:type="dxa"/>
            <w:shd w:val="clear" w:color="auto" w:fill="C1A875"/>
          </w:tcPr>
          <w:p>
            <w:pPr>
              <w:pStyle w:val="TableParagraph"/>
              <w:rPr>
                <w:sz w:val="24"/>
              </w:rPr>
            </w:pPr>
          </w:p>
          <w:p>
            <w:pPr>
              <w:pStyle w:val="TableParagraph"/>
              <w:jc w:val="center"/>
              <w:rPr>
                <w:sz w:val="24"/>
              </w:rPr>
            </w:pPr>
            <w:r>
              <w:rPr>
                <w:spacing w:val="-5"/>
                <w:sz w:val="24"/>
              </w:rPr>
              <w:t>V.4</w:t>
            </w:r>
          </w:p>
        </w:tc>
        <w:tc>
          <w:tcPr>
            <w:tcW w:w="5533" w:type="dxa"/>
          </w:tcPr>
          <w:p>
            <w:pPr>
              <w:pStyle w:val="TableParagraph"/>
              <w:spacing w:line="242" w:lineRule="auto"/>
              <w:ind w:left="107" w:right="104"/>
              <w:rPr>
                <w:sz w:val="24"/>
              </w:rPr>
            </w:pPr>
            <w:r>
              <w:rPr>
                <w:sz w:val="24"/>
              </w:rPr>
              <w:t>Co-Chairs,</w:t>
            </w:r>
            <w:r>
              <w:rPr>
                <w:spacing w:val="-10"/>
                <w:sz w:val="24"/>
              </w:rPr>
              <w:t> </w:t>
            </w:r>
            <w:r>
              <w:rPr>
                <w:sz w:val="24"/>
              </w:rPr>
              <w:t>Regional</w:t>
            </w:r>
            <w:r>
              <w:rPr>
                <w:spacing w:val="-7"/>
                <w:sz w:val="24"/>
              </w:rPr>
              <w:t> </w:t>
            </w:r>
            <w:r>
              <w:rPr>
                <w:sz w:val="24"/>
              </w:rPr>
              <w:t>Joint</w:t>
            </w:r>
            <w:r>
              <w:rPr>
                <w:spacing w:val="-10"/>
                <w:sz w:val="24"/>
              </w:rPr>
              <w:t> </w:t>
            </w:r>
            <w:r>
              <w:rPr>
                <w:sz w:val="24"/>
              </w:rPr>
              <w:t>Committee</w:t>
            </w:r>
            <w:r>
              <w:rPr>
                <w:spacing w:val="-7"/>
                <w:sz w:val="24"/>
              </w:rPr>
              <w:t> </w:t>
            </w:r>
            <w:r>
              <w:rPr>
                <w:sz w:val="24"/>
              </w:rPr>
              <w:t>of</w:t>
            </w:r>
            <w:r>
              <w:rPr>
                <w:spacing w:val="-10"/>
                <w:sz w:val="24"/>
              </w:rPr>
              <w:t> </w:t>
            </w:r>
            <w:r>
              <w:rPr>
                <w:sz w:val="24"/>
              </w:rPr>
              <w:t>Swansea Bay and Hywel Dda University Health Boards</w:t>
            </w:r>
          </w:p>
        </w:tc>
        <w:tc>
          <w:tcPr>
            <w:tcW w:w="1421" w:type="dxa"/>
          </w:tcPr>
          <w:p>
            <w:pPr>
              <w:pStyle w:val="TableParagraph"/>
              <w:spacing w:line="272" w:lineRule="exact"/>
              <w:ind w:left="10" w:right="1"/>
              <w:jc w:val="center"/>
              <w:rPr>
                <w:sz w:val="24"/>
              </w:rPr>
            </w:pPr>
            <w:r>
              <w:rPr>
                <w:spacing w:val="-2"/>
                <w:sz w:val="24"/>
              </w:rPr>
              <w:t>05/05/2026</w:t>
            </w:r>
          </w:p>
        </w:tc>
        <w:tc>
          <w:tcPr>
            <w:tcW w:w="1841" w:type="dxa"/>
          </w:tcPr>
          <w:p>
            <w:pPr>
              <w:pStyle w:val="TableParagraph"/>
              <w:spacing w:line="272" w:lineRule="exact"/>
              <w:ind w:left="107" w:right="100"/>
              <w:jc w:val="center"/>
              <w:rPr>
                <w:sz w:val="24"/>
              </w:rPr>
            </w:pPr>
            <w:r>
              <w:rPr>
                <w:spacing w:val="-2"/>
                <w:sz w:val="24"/>
              </w:rPr>
              <w:t>For</w:t>
            </w:r>
            <w:r>
              <w:rPr>
                <w:spacing w:val="-12"/>
                <w:sz w:val="24"/>
              </w:rPr>
              <w:t> </w:t>
            </w:r>
            <w:r>
              <w:rPr>
                <w:spacing w:val="-2"/>
                <w:sz w:val="24"/>
              </w:rPr>
              <w:t>Agreement</w:t>
            </w:r>
          </w:p>
          <w:p>
            <w:pPr>
              <w:pStyle w:val="TableParagraph"/>
              <w:spacing w:line="276" w:lineRule="exact"/>
              <w:ind w:left="107" w:right="95"/>
              <w:jc w:val="center"/>
              <w:rPr>
                <w:sz w:val="24"/>
              </w:rPr>
            </w:pPr>
            <w:r>
              <w:rPr>
                <w:spacing w:val="-4"/>
                <w:sz w:val="24"/>
              </w:rPr>
              <w:t>via</w:t>
            </w:r>
            <w:r>
              <w:rPr>
                <w:spacing w:val="-13"/>
                <w:sz w:val="24"/>
              </w:rPr>
              <w:t> </w:t>
            </w:r>
            <w:r>
              <w:rPr>
                <w:spacing w:val="-4"/>
                <w:sz w:val="24"/>
              </w:rPr>
              <w:t>Chairs </w:t>
            </w:r>
            <w:r>
              <w:rPr>
                <w:spacing w:val="-2"/>
                <w:sz w:val="24"/>
              </w:rPr>
              <w:t>Action</w:t>
            </w:r>
          </w:p>
        </w:tc>
      </w:tr>
      <w:tr>
        <w:trPr>
          <w:trHeight w:val="550" w:hRule="atLeast"/>
        </w:trPr>
        <w:tc>
          <w:tcPr>
            <w:tcW w:w="1411" w:type="dxa"/>
            <w:shd w:val="clear" w:color="auto" w:fill="C1A875"/>
          </w:tcPr>
          <w:p>
            <w:pPr>
              <w:pStyle w:val="TableParagraph"/>
              <w:spacing w:before="140"/>
              <w:jc w:val="center"/>
              <w:rPr>
                <w:sz w:val="24"/>
              </w:rPr>
            </w:pPr>
            <w:r>
              <w:rPr>
                <w:spacing w:val="-5"/>
                <w:sz w:val="24"/>
              </w:rPr>
              <w:t>V.5</w:t>
            </w:r>
          </w:p>
        </w:tc>
        <w:tc>
          <w:tcPr>
            <w:tcW w:w="5533" w:type="dxa"/>
          </w:tcPr>
          <w:p>
            <w:pPr>
              <w:pStyle w:val="TableParagraph"/>
              <w:spacing w:line="276" w:lineRule="exact"/>
              <w:ind w:left="107" w:right="104"/>
              <w:rPr>
                <w:sz w:val="24"/>
              </w:rPr>
            </w:pPr>
            <w:r>
              <w:rPr>
                <w:sz w:val="24"/>
              </w:rPr>
              <w:t>The</w:t>
            </w:r>
            <w:r>
              <w:rPr>
                <w:spacing w:val="-5"/>
                <w:sz w:val="24"/>
              </w:rPr>
              <w:t> </w:t>
            </w:r>
            <w:r>
              <w:rPr>
                <w:sz w:val="24"/>
              </w:rPr>
              <w:t>Boards</w:t>
            </w:r>
            <w:r>
              <w:rPr>
                <w:spacing w:val="-6"/>
                <w:sz w:val="24"/>
              </w:rPr>
              <w:t> </w:t>
            </w:r>
            <w:r>
              <w:rPr>
                <w:sz w:val="24"/>
              </w:rPr>
              <w:t>of</w:t>
            </w:r>
            <w:r>
              <w:rPr>
                <w:spacing w:val="-8"/>
                <w:sz w:val="24"/>
              </w:rPr>
              <w:t> </w:t>
            </w:r>
            <w:r>
              <w:rPr>
                <w:sz w:val="24"/>
              </w:rPr>
              <w:t>Swansea</w:t>
            </w:r>
            <w:r>
              <w:rPr>
                <w:spacing w:val="-5"/>
                <w:sz w:val="24"/>
              </w:rPr>
              <w:t> </w:t>
            </w:r>
            <w:r>
              <w:rPr>
                <w:sz w:val="24"/>
              </w:rPr>
              <w:t>Bay</w:t>
            </w:r>
            <w:r>
              <w:rPr>
                <w:spacing w:val="-6"/>
                <w:sz w:val="24"/>
              </w:rPr>
              <w:t> </w:t>
            </w:r>
            <w:r>
              <w:rPr>
                <w:sz w:val="24"/>
              </w:rPr>
              <w:t>and</w:t>
            </w:r>
            <w:r>
              <w:rPr>
                <w:spacing w:val="-5"/>
                <w:sz w:val="24"/>
              </w:rPr>
              <w:t> </w:t>
            </w:r>
            <w:r>
              <w:rPr>
                <w:sz w:val="24"/>
              </w:rPr>
              <w:t>Hywel</w:t>
            </w:r>
            <w:r>
              <w:rPr>
                <w:spacing w:val="-5"/>
                <w:sz w:val="24"/>
              </w:rPr>
              <w:t> </w:t>
            </w:r>
            <w:r>
              <w:rPr>
                <w:sz w:val="24"/>
              </w:rPr>
              <w:t>Dda University Health Boards</w:t>
            </w:r>
          </w:p>
        </w:tc>
        <w:tc>
          <w:tcPr>
            <w:tcW w:w="1421" w:type="dxa"/>
          </w:tcPr>
          <w:p>
            <w:pPr>
              <w:pStyle w:val="TableParagraph"/>
              <w:ind w:left="10" w:right="1"/>
              <w:jc w:val="center"/>
              <w:rPr>
                <w:sz w:val="24"/>
              </w:rPr>
            </w:pPr>
            <w:r>
              <w:rPr>
                <w:spacing w:val="-2"/>
                <w:sz w:val="24"/>
              </w:rPr>
              <w:t>28/05/2026</w:t>
            </w:r>
          </w:p>
        </w:tc>
        <w:tc>
          <w:tcPr>
            <w:tcW w:w="1841" w:type="dxa"/>
          </w:tcPr>
          <w:p>
            <w:pPr>
              <w:pStyle w:val="TableParagraph"/>
              <w:ind w:left="107" w:right="101"/>
              <w:jc w:val="center"/>
              <w:rPr>
                <w:sz w:val="24"/>
              </w:rPr>
            </w:pPr>
            <w:r>
              <w:rPr>
                <w:spacing w:val="-2"/>
                <w:sz w:val="24"/>
              </w:rPr>
              <w:t>Approved</w:t>
            </w:r>
          </w:p>
        </w:tc>
      </w:tr>
      <w:tr>
        <w:trPr>
          <w:trHeight w:val="553" w:hRule="atLeast"/>
        </w:trPr>
        <w:tc>
          <w:tcPr>
            <w:tcW w:w="1411" w:type="dxa"/>
            <w:shd w:val="clear" w:color="auto" w:fill="C1A875"/>
          </w:tcPr>
          <w:p>
            <w:pPr>
              <w:pStyle w:val="TableParagraph"/>
              <w:spacing w:before="138"/>
              <w:jc w:val="center"/>
              <w:rPr>
                <w:sz w:val="24"/>
              </w:rPr>
            </w:pPr>
            <w:r>
              <w:rPr>
                <w:color w:val="ED0000"/>
                <w:spacing w:val="-5"/>
                <w:sz w:val="24"/>
              </w:rPr>
              <w:t>V.6</w:t>
            </w:r>
          </w:p>
        </w:tc>
        <w:tc>
          <w:tcPr>
            <w:tcW w:w="5533" w:type="dxa"/>
          </w:tcPr>
          <w:p>
            <w:pPr>
              <w:pStyle w:val="TableParagraph"/>
              <w:spacing w:line="274" w:lineRule="exact"/>
              <w:ind w:left="107"/>
              <w:rPr>
                <w:sz w:val="24"/>
              </w:rPr>
            </w:pPr>
            <w:r>
              <w:rPr>
                <w:color w:val="ED0000"/>
                <w:sz w:val="24"/>
              </w:rPr>
              <w:t>Regional</w:t>
            </w:r>
            <w:r>
              <w:rPr>
                <w:color w:val="ED0000"/>
                <w:spacing w:val="-2"/>
                <w:sz w:val="24"/>
              </w:rPr>
              <w:t> </w:t>
            </w:r>
            <w:r>
              <w:rPr>
                <w:color w:val="ED0000"/>
                <w:sz w:val="24"/>
              </w:rPr>
              <w:t>Joint</w:t>
            </w:r>
            <w:r>
              <w:rPr>
                <w:color w:val="ED0000"/>
                <w:spacing w:val="-5"/>
                <w:sz w:val="24"/>
              </w:rPr>
              <w:t> </w:t>
            </w:r>
            <w:r>
              <w:rPr>
                <w:color w:val="ED0000"/>
                <w:sz w:val="24"/>
              </w:rPr>
              <w:t>Committee</w:t>
            </w:r>
            <w:r>
              <w:rPr>
                <w:color w:val="ED0000"/>
                <w:spacing w:val="-2"/>
                <w:sz w:val="24"/>
              </w:rPr>
              <w:t> </w:t>
            </w:r>
            <w:r>
              <w:rPr>
                <w:color w:val="ED0000"/>
                <w:sz w:val="24"/>
              </w:rPr>
              <w:t>of</w:t>
            </w:r>
            <w:r>
              <w:rPr>
                <w:color w:val="ED0000"/>
                <w:spacing w:val="-5"/>
                <w:sz w:val="24"/>
              </w:rPr>
              <w:t> </w:t>
            </w:r>
            <w:r>
              <w:rPr>
                <w:color w:val="ED0000"/>
                <w:sz w:val="24"/>
              </w:rPr>
              <w:t>Swansea</w:t>
            </w:r>
            <w:r>
              <w:rPr>
                <w:color w:val="ED0000"/>
                <w:spacing w:val="-2"/>
                <w:sz w:val="24"/>
              </w:rPr>
              <w:t> </w:t>
            </w:r>
            <w:r>
              <w:rPr>
                <w:color w:val="ED0000"/>
                <w:sz w:val="24"/>
              </w:rPr>
              <w:t>Bay</w:t>
            </w:r>
            <w:r>
              <w:rPr>
                <w:color w:val="ED0000"/>
                <w:spacing w:val="-2"/>
                <w:sz w:val="24"/>
              </w:rPr>
              <w:t> </w:t>
            </w:r>
            <w:r>
              <w:rPr>
                <w:color w:val="ED0000"/>
                <w:spacing w:val="-5"/>
                <w:sz w:val="24"/>
              </w:rPr>
              <w:t>and</w:t>
            </w:r>
          </w:p>
          <w:p>
            <w:pPr>
              <w:pStyle w:val="TableParagraph"/>
              <w:spacing w:line="255" w:lineRule="exact" w:before="4"/>
              <w:ind w:left="107"/>
              <w:rPr>
                <w:sz w:val="24"/>
              </w:rPr>
            </w:pPr>
            <w:r>
              <w:rPr>
                <w:color w:val="ED0000"/>
                <w:sz w:val="24"/>
              </w:rPr>
              <w:t>Hywel</w:t>
            </w:r>
            <w:r>
              <w:rPr>
                <w:color w:val="ED0000"/>
                <w:spacing w:val="-4"/>
                <w:sz w:val="24"/>
              </w:rPr>
              <w:t> </w:t>
            </w:r>
            <w:r>
              <w:rPr>
                <w:color w:val="ED0000"/>
                <w:sz w:val="24"/>
              </w:rPr>
              <w:t>Dda</w:t>
            </w:r>
            <w:r>
              <w:rPr>
                <w:color w:val="ED0000"/>
                <w:spacing w:val="-3"/>
                <w:sz w:val="24"/>
              </w:rPr>
              <w:t> </w:t>
            </w:r>
            <w:r>
              <w:rPr>
                <w:color w:val="ED0000"/>
                <w:sz w:val="24"/>
              </w:rPr>
              <w:t>University</w:t>
            </w:r>
            <w:r>
              <w:rPr>
                <w:color w:val="ED0000"/>
                <w:spacing w:val="-4"/>
                <w:sz w:val="24"/>
              </w:rPr>
              <w:t> </w:t>
            </w:r>
            <w:r>
              <w:rPr>
                <w:color w:val="ED0000"/>
                <w:sz w:val="24"/>
              </w:rPr>
              <w:t>Health</w:t>
            </w:r>
            <w:r>
              <w:rPr>
                <w:color w:val="ED0000"/>
                <w:spacing w:val="-3"/>
                <w:sz w:val="24"/>
              </w:rPr>
              <w:t> </w:t>
            </w:r>
            <w:r>
              <w:rPr>
                <w:color w:val="ED0000"/>
                <w:spacing w:val="-2"/>
                <w:sz w:val="24"/>
              </w:rPr>
              <w:t>Boards</w:t>
            </w:r>
          </w:p>
        </w:tc>
        <w:tc>
          <w:tcPr>
            <w:tcW w:w="1421" w:type="dxa"/>
          </w:tcPr>
          <w:p>
            <w:pPr>
              <w:pStyle w:val="TableParagraph"/>
              <w:spacing w:line="274" w:lineRule="exact"/>
              <w:ind w:left="10" w:right="1"/>
              <w:jc w:val="center"/>
              <w:rPr>
                <w:sz w:val="24"/>
              </w:rPr>
            </w:pPr>
            <w:r>
              <w:rPr>
                <w:color w:val="ED0000"/>
                <w:spacing w:val="-2"/>
                <w:sz w:val="24"/>
              </w:rPr>
              <w:t>13/10/2026</w:t>
            </w:r>
          </w:p>
        </w:tc>
        <w:tc>
          <w:tcPr>
            <w:tcW w:w="1841" w:type="dxa"/>
          </w:tcPr>
          <w:p>
            <w:pPr>
              <w:pStyle w:val="TableParagraph"/>
              <w:spacing w:line="274" w:lineRule="exact"/>
              <w:ind w:left="107" w:right="98"/>
              <w:jc w:val="center"/>
              <w:rPr>
                <w:sz w:val="24"/>
              </w:rPr>
            </w:pPr>
            <w:r>
              <w:rPr>
                <w:color w:val="ED0000"/>
                <w:spacing w:val="-2"/>
                <w:sz w:val="24"/>
              </w:rPr>
              <w:t>For</w:t>
            </w:r>
            <w:r>
              <w:rPr>
                <w:color w:val="ED0000"/>
                <w:spacing w:val="-13"/>
                <w:sz w:val="24"/>
              </w:rPr>
              <w:t> </w:t>
            </w:r>
            <w:r>
              <w:rPr>
                <w:color w:val="ED0000"/>
                <w:spacing w:val="-2"/>
                <w:sz w:val="24"/>
              </w:rPr>
              <w:t>Review</w:t>
            </w:r>
          </w:p>
        </w:tc>
      </w:tr>
      <w:tr>
        <w:trPr>
          <w:trHeight w:val="550" w:hRule="atLeast"/>
        </w:trPr>
        <w:tc>
          <w:tcPr>
            <w:tcW w:w="1411" w:type="dxa"/>
            <w:shd w:val="clear" w:color="auto" w:fill="C1A875"/>
          </w:tcPr>
          <w:p>
            <w:pPr>
              <w:pStyle w:val="TableParagraph"/>
              <w:spacing w:before="135"/>
              <w:jc w:val="center"/>
              <w:rPr>
                <w:sz w:val="24"/>
              </w:rPr>
            </w:pPr>
            <w:r>
              <w:rPr>
                <w:color w:val="ED0000"/>
                <w:spacing w:val="-5"/>
                <w:sz w:val="24"/>
              </w:rPr>
              <w:t>V.6</w:t>
            </w:r>
          </w:p>
        </w:tc>
        <w:tc>
          <w:tcPr>
            <w:tcW w:w="5533" w:type="dxa"/>
          </w:tcPr>
          <w:p>
            <w:pPr>
              <w:pStyle w:val="TableParagraph"/>
              <w:spacing w:line="276" w:lineRule="exact"/>
              <w:ind w:left="107" w:right="104"/>
              <w:rPr>
                <w:sz w:val="24"/>
              </w:rPr>
            </w:pPr>
            <w:r>
              <w:rPr>
                <w:color w:val="ED0000"/>
                <w:sz w:val="24"/>
              </w:rPr>
              <w:t>The</w:t>
            </w:r>
            <w:r>
              <w:rPr>
                <w:color w:val="ED0000"/>
                <w:spacing w:val="-5"/>
                <w:sz w:val="24"/>
              </w:rPr>
              <w:t> </w:t>
            </w:r>
            <w:r>
              <w:rPr>
                <w:color w:val="ED0000"/>
                <w:sz w:val="24"/>
              </w:rPr>
              <w:t>Boards</w:t>
            </w:r>
            <w:r>
              <w:rPr>
                <w:color w:val="ED0000"/>
                <w:spacing w:val="-6"/>
                <w:sz w:val="24"/>
              </w:rPr>
              <w:t> </w:t>
            </w:r>
            <w:r>
              <w:rPr>
                <w:color w:val="ED0000"/>
                <w:sz w:val="24"/>
              </w:rPr>
              <w:t>of</w:t>
            </w:r>
            <w:r>
              <w:rPr>
                <w:color w:val="ED0000"/>
                <w:spacing w:val="-8"/>
                <w:sz w:val="24"/>
              </w:rPr>
              <w:t> </w:t>
            </w:r>
            <w:r>
              <w:rPr>
                <w:color w:val="ED0000"/>
                <w:sz w:val="24"/>
              </w:rPr>
              <w:t>Swansea</w:t>
            </w:r>
            <w:r>
              <w:rPr>
                <w:color w:val="ED0000"/>
                <w:spacing w:val="-5"/>
                <w:sz w:val="24"/>
              </w:rPr>
              <w:t> </w:t>
            </w:r>
            <w:r>
              <w:rPr>
                <w:color w:val="ED0000"/>
                <w:sz w:val="24"/>
              </w:rPr>
              <w:t>Bay</w:t>
            </w:r>
            <w:r>
              <w:rPr>
                <w:color w:val="ED0000"/>
                <w:spacing w:val="-6"/>
                <w:sz w:val="24"/>
              </w:rPr>
              <w:t> </w:t>
            </w:r>
            <w:r>
              <w:rPr>
                <w:color w:val="ED0000"/>
                <w:sz w:val="24"/>
              </w:rPr>
              <w:t>and</w:t>
            </w:r>
            <w:r>
              <w:rPr>
                <w:color w:val="ED0000"/>
                <w:spacing w:val="-5"/>
                <w:sz w:val="24"/>
              </w:rPr>
              <w:t> </w:t>
            </w:r>
            <w:r>
              <w:rPr>
                <w:color w:val="ED0000"/>
                <w:sz w:val="24"/>
              </w:rPr>
              <w:t>Hywel</w:t>
            </w:r>
            <w:r>
              <w:rPr>
                <w:color w:val="ED0000"/>
                <w:spacing w:val="-5"/>
                <w:sz w:val="24"/>
              </w:rPr>
              <w:t> </w:t>
            </w:r>
            <w:r>
              <w:rPr>
                <w:color w:val="ED0000"/>
                <w:sz w:val="24"/>
              </w:rPr>
              <w:t>Dda University Health Boards</w:t>
            </w:r>
          </w:p>
        </w:tc>
        <w:tc>
          <w:tcPr>
            <w:tcW w:w="1421" w:type="dxa"/>
          </w:tcPr>
          <w:p>
            <w:pPr>
              <w:pStyle w:val="TableParagraph"/>
              <w:ind w:left="10" w:right="1"/>
              <w:jc w:val="center"/>
              <w:rPr>
                <w:sz w:val="24"/>
              </w:rPr>
            </w:pPr>
            <w:r>
              <w:rPr>
                <w:color w:val="ED0000"/>
                <w:spacing w:val="-2"/>
                <w:sz w:val="24"/>
              </w:rPr>
              <w:t>26/10/2026</w:t>
            </w:r>
          </w:p>
        </w:tc>
        <w:tc>
          <w:tcPr>
            <w:tcW w:w="1841" w:type="dxa"/>
          </w:tcPr>
          <w:p>
            <w:pPr>
              <w:pStyle w:val="TableParagraph"/>
              <w:ind w:left="107" w:right="103"/>
              <w:jc w:val="center"/>
              <w:rPr>
                <w:sz w:val="24"/>
              </w:rPr>
            </w:pPr>
            <w:r>
              <w:rPr>
                <w:color w:val="ED0000"/>
                <w:spacing w:val="-2"/>
                <w:sz w:val="24"/>
              </w:rPr>
              <w:t>For</w:t>
            </w:r>
            <w:r>
              <w:rPr>
                <w:color w:val="ED0000"/>
                <w:spacing w:val="-12"/>
                <w:sz w:val="24"/>
              </w:rPr>
              <w:t> </w:t>
            </w:r>
            <w:r>
              <w:rPr>
                <w:color w:val="ED0000"/>
                <w:spacing w:val="-2"/>
                <w:sz w:val="24"/>
              </w:rPr>
              <w:t>Approval</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5"/>
        <w:rPr>
          <w:sz w:val="20"/>
        </w:rPr>
      </w:pPr>
    </w:p>
    <w:p>
      <w:pPr>
        <w:spacing w:before="0"/>
        <w:ind w:left="4" w:right="284" w:firstLine="0"/>
        <w:jc w:val="center"/>
        <w:rPr>
          <w:sz w:val="20"/>
        </w:rPr>
      </w:pPr>
      <w:r>
        <w:rPr>
          <w:spacing w:val="-10"/>
          <w:sz w:val="20"/>
        </w:rPr>
        <w:t>1</w:t>
      </w:r>
    </w:p>
    <w:p>
      <w:pPr>
        <w:spacing w:after="0"/>
        <w:jc w:val="center"/>
        <w:rPr>
          <w:sz w:val="20"/>
        </w:rPr>
        <w:sectPr>
          <w:pgSz w:w="11910" w:h="16840"/>
          <w:pgMar w:header="0" w:footer="149" w:top="1220" w:bottom="340" w:left="708" w:right="425"/>
        </w:sectPr>
      </w:pPr>
    </w:p>
    <w:p>
      <w:pPr>
        <w:pStyle w:val="BodyText"/>
        <w:rPr>
          <w:sz w:val="20"/>
        </w:rPr>
      </w:pPr>
    </w:p>
    <w:p>
      <w:pPr>
        <w:pStyle w:val="BodyText"/>
        <w:rPr>
          <w:sz w:val="20"/>
        </w:rPr>
      </w:pPr>
    </w:p>
    <w:p>
      <w:pPr>
        <w:pStyle w:val="BodyText"/>
        <w:rPr>
          <w:sz w:val="20"/>
        </w:rPr>
      </w:pPr>
    </w:p>
    <w:p>
      <w:pPr>
        <w:pStyle w:val="BodyText"/>
        <w:spacing w:before="50"/>
        <w:rPr>
          <w:sz w:val="20"/>
        </w:rPr>
      </w:pPr>
    </w:p>
    <w:p>
      <w:pPr>
        <w:spacing w:line="240" w:lineRule="auto"/>
        <w:ind w:left="187" w:right="0" w:firstLine="0"/>
        <w:rPr>
          <w:sz w:val="20"/>
        </w:rPr>
      </w:pPr>
      <w:r>
        <w:rPr>
          <w:sz w:val="20"/>
        </w:rPr>
        <mc:AlternateContent>
          <mc:Choice Requires="wps">
            <w:drawing>
              <wp:inline distT="0" distB="0" distL="0" distR="0">
                <wp:extent cx="6642100" cy="194310"/>
                <wp:effectExtent l="9525" t="0" r="6350" b="15239"/>
                <wp:docPr id="434" name="Textbox 434"/>
                <wp:cNvGraphicFramePr>
                  <a:graphicFrameLocks/>
                </wp:cNvGraphicFramePr>
                <a:graphic>
                  <a:graphicData uri="http://schemas.microsoft.com/office/word/2010/wordprocessingShape">
                    <wps:wsp>
                      <wps:cNvPr id="434" name="Textbox 434"/>
                      <wps:cNvSpPr txBox="1"/>
                      <wps:spPr>
                        <a:xfrm>
                          <a:off x="0" y="0"/>
                          <a:ext cx="6642100" cy="19431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w:t>
                            </w:r>
                            <w:r>
                              <w:rPr>
                                <w:b/>
                                <w:color w:val="000000"/>
                                <w:spacing w:val="62"/>
                                <w:sz w:val="24"/>
                              </w:rPr>
                              <w:t> </w:t>
                            </w:r>
                            <w:r>
                              <w:rPr>
                                <w:b/>
                                <w:color w:val="000000"/>
                                <w:spacing w:val="-2"/>
                                <w:sz w:val="24"/>
                              </w:rPr>
                              <w:t>Constitution</w:t>
                            </w:r>
                          </w:p>
                        </w:txbxContent>
                      </wps:txbx>
                      <wps:bodyPr wrap="square" lIns="0" tIns="0" rIns="0" bIns="0" rtlCol="0">
                        <a:noAutofit/>
                      </wps:bodyPr>
                    </wps:wsp>
                  </a:graphicData>
                </a:graphic>
              </wp:inline>
            </w:drawing>
          </mc:Choice>
          <mc:Fallback>
            <w:pict>
              <v:shape style="width:523pt;height:15.3pt;mso-position-horizontal-relative:char;mso-position-vertical-relative:line" type="#_x0000_t202" id="docshape217" filled="true" fillcolor="#c1a875" stroked="true" strokeweight="1pt" strokecolor="#394871">
                <w10:anchorlock/>
                <v:textbox inset="0,0,0,0">
                  <w:txbxContent>
                    <w:p>
                      <w:pPr>
                        <w:spacing w:before="0"/>
                        <w:ind w:left="95" w:right="0" w:firstLine="0"/>
                        <w:jc w:val="left"/>
                        <w:rPr>
                          <w:b/>
                          <w:color w:val="000000"/>
                          <w:sz w:val="24"/>
                        </w:rPr>
                      </w:pPr>
                      <w:r>
                        <w:rPr>
                          <w:b/>
                          <w:color w:val="000000"/>
                          <w:sz w:val="24"/>
                        </w:rPr>
                        <w:t>1.</w:t>
                      </w:r>
                      <w:r>
                        <w:rPr>
                          <w:b/>
                          <w:color w:val="000000"/>
                          <w:spacing w:val="62"/>
                          <w:sz w:val="24"/>
                        </w:rPr>
                        <w:t> </w:t>
                      </w:r>
                      <w:r>
                        <w:rPr>
                          <w:b/>
                          <w:color w:val="000000"/>
                          <w:spacing w:val="-2"/>
                          <w:sz w:val="24"/>
                        </w:rPr>
                        <w:t>Constitution</w:t>
                      </w:r>
                    </w:p>
                  </w:txbxContent>
                </v:textbox>
                <v:fill type="solid"/>
                <v:stroke dashstyle="solid"/>
              </v:shape>
            </w:pict>
          </mc:Fallback>
        </mc:AlternateContent>
      </w:r>
      <w:r>
        <w:rPr>
          <w:sz w:val="20"/>
        </w:rPr>
      </w:r>
    </w:p>
    <w:p>
      <w:pPr>
        <w:pStyle w:val="ListParagraph"/>
        <w:numPr>
          <w:ilvl w:val="1"/>
          <w:numId w:val="35"/>
        </w:numPr>
        <w:tabs>
          <w:tab w:pos="860" w:val="left" w:leader="none"/>
          <w:tab w:pos="862" w:val="left" w:leader="none"/>
        </w:tabs>
        <w:spacing w:line="242" w:lineRule="auto" w:before="255" w:after="0"/>
        <w:ind w:left="862" w:right="530" w:hanging="720"/>
        <w:jc w:val="both"/>
        <w:rPr>
          <w:sz w:val="24"/>
        </w:rPr>
      </w:pPr>
      <w:r>
        <w:rPr>
          <w:sz w:val="24"/>
        </w:rPr>
        <mc:AlternateContent>
          <mc:Choice Requires="wps">
            <w:drawing>
              <wp:anchor distT="0" distB="0" distL="0" distR="0" allowOverlap="1" layoutInCell="1" locked="0" behindDoc="0" simplePos="0" relativeHeight="15794176">
                <wp:simplePos x="0" y="0"/>
                <wp:positionH relativeFrom="page">
                  <wp:posOffset>540067</wp:posOffset>
                </wp:positionH>
                <wp:positionV relativeFrom="paragraph">
                  <wp:posOffset>-838200</wp:posOffset>
                </wp:positionV>
                <wp:extent cx="6486525" cy="390525"/>
                <wp:effectExtent l="0" t="0" r="0" b="0"/>
                <wp:wrapNone/>
                <wp:docPr id="435" name="Textbox 435"/>
                <wp:cNvGraphicFramePr>
                  <a:graphicFrameLocks/>
                </wp:cNvGraphicFramePr>
                <a:graphic>
                  <a:graphicData uri="http://schemas.microsoft.com/office/word/2010/wordprocessingShape">
                    <wps:wsp>
                      <wps:cNvPr id="435" name="Textbox 435"/>
                      <wps:cNvSpPr txBox="1"/>
                      <wps:spPr>
                        <a:xfrm>
                          <a:off x="0" y="0"/>
                          <a:ext cx="6486525" cy="390525"/>
                        </a:xfrm>
                        <a:prstGeom prst="rect">
                          <a:avLst/>
                        </a:prstGeom>
                        <a:solidFill>
                          <a:srgbClr val="394871"/>
                        </a:solidFill>
                        <a:ln w="38100">
                          <a:solidFill>
                            <a:srgbClr val="C1A875"/>
                          </a:solidFill>
                          <a:prstDash val="solid"/>
                        </a:ln>
                      </wps:spPr>
                      <wps:txbx>
                        <w:txbxContent>
                          <w:p>
                            <w:pPr>
                              <w:spacing w:before="0"/>
                              <w:ind w:left="11" w:right="13"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4"/>
                                <w:sz w:val="24"/>
                              </w:rPr>
                              <w:t> </w:t>
                            </w:r>
                            <w:r>
                              <w:rPr>
                                <w:b/>
                                <w:color w:val="FFFFFF"/>
                                <w:spacing w:val="-5"/>
                                <w:sz w:val="24"/>
                              </w:rPr>
                              <w:t>OF</w:t>
                            </w:r>
                          </w:p>
                          <w:p>
                            <w:pPr>
                              <w:spacing w:line="275" w:lineRule="exact" w:before="4"/>
                              <w:ind w:left="0" w:right="13" w:firstLine="0"/>
                              <w:jc w:val="center"/>
                              <w:rPr>
                                <w:b/>
                                <w:color w:val="000000"/>
                                <w:sz w:val="24"/>
                              </w:rPr>
                            </w:pPr>
                            <w:r>
                              <w:rPr>
                                <w:b/>
                                <w:color w:val="FFFFFF"/>
                                <w:spacing w:val="-2"/>
                                <w:sz w:val="24"/>
                              </w:rPr>
                              <w:t>SWANSEA</w:t>
                            </w:r>
                            <w:r>
                              <w:rPr>
                                <w:b/>
                                <w:color w:val="FFFFFF"/>
                                <w:spacing w:val="-15"/>
                                <w:sz w:val="24"/>
                              </w:rPr>
                              <w:t> </w:t>
                            </w:r>
                            <w:r>
                              <w:rPr>
                                <w:b/>
                                <w:color w:val="FFFFFF"/>
                                <w:spacing w:val="-2"/>
                                <w:sz w:val="24"/>
                              </w:rPr>
                              <w:t>BAY</w:t>
                            </w:r>
                            <w:r>
                              <w:rPr>
                                <w:b/>
                                <w:color w:val="FFFFFF"/>
                                <w:spacing w:val="-12"/>
                                <w:sz w:val="24"/>
                              </w:rPr>
                              <w:t> </w:t>
                            </w:r>
                            <w:r>
                              <w:rPr>
                                <w:b/>
                                <w:color w:val="FFFFFF"/>
                                <w:spacing w:val="-2"/>
                                <w:sz w:val="24"/>
                              </w:rPr>
                              <w:t>AND</w:t>
                            </w:r>
                            <w:r>
                              <w:rPr>
                                <w:b/>
                                <w:color w:val="FFFFFF"/>
                                <w:spacing w:val="-11"/>
                                <w:sz w:val="24"/>
                              </w:rPr>
                              <w:t> </w:t>
                            </w:r>
                            <w:r>
                              <w:rPr>
                                <w:b/>
                                <w:color w:val="FFFFFF"/>
                                <w:spacing w:val="-2"/>
                                <w:sz w:val="24"/>
                              </w:rPr>
                              <w:t>HYWEL</w:t>
                            </w:r>
                            <w:r>
                              <w:rPr>
                                <w:b/>
                                <w:color w:val="FFFFFF"/>
                                <w:spacing w:val="-13"/>
                                <w:sz w:val="24"/>
                              </w:rPr>
                              <w:t> </w:t>
                            </w:r>
                            <w:r>
                              <w:rPr>
                                <w:b/>
                                <w:color w:val="FFFFFF"/>
                                <w:spacing w:val="-2"/>
                                <w:sz w:val="24"/>
                              </w:rPr>
                              <w:t>DDA</w:t>
                            </w:r>
                            <w:r>
                              <w:rPr>
                                <w:b/>
                                <w:color w:val="FFFFFF"/>
                                <w:spacing w:val="-11"/>
                                <w:sz w:val="24"/>
                              </w:rPr>
                              <w:t> </w:t>
                            </w:r>
                            <w:r>
                              <w:rPr>
                                <w:b/>
                                <w:color w:val="FFFFFF"/>
                                <w:spacing w:val="-2"/>
                                <w:sz w:val="24"/>
                              </w:rPr>
                              <w:t>UNIVERSITY</w:t>
                            </w:r>
                            <w:r>
                              <w:rPr>
                                <w:b/>
                                <w:color w:val="FFFFFF"/>
                                <w:spacing w:val="-15"/>
                                <w:sz w:val="24"/>
                              </w:rPr>
                              <w:t> </w:t>
                            </w:r>
                            <w:r>
                              <w:rPr>
                                <w:b/>
                                <w:color w:val="FFFFFF"/>
                                <w:spacing w:val="-2"/>
                                <w:sz w:val="24"/>
                              </w:rPr>
                              <w:t>HEALTH</w:t>
                            </w:r>
                            <w:r>
                              <w:rPr>
                                <w:b/>
                                <w:color w:val="FFFFFF"/>
                                <w:spacing w:val="-10"/>
                                <w:sz w:val="24"/>
                              </w:rPr>
                              <w:t> </w:t>
                            </w:r>
                            <w:r>
                              <w:rPr>
                                <w:b/>
                                <w:color w:val="FFFFFF"/>
                                <w:spacing w:val="-2"/>
                                <w:sz w:val="24"/>
                              </w:rPr>
                              <w:t>BOARDS</w:t>
                            </w:r>
                          </w:p>
                        </w:txbxContent>
                      </wps:txbx>
                      <wps:bodyPr wrap="square" lIns="0" tIns="0" rIns="0" bIns="0" rtlCol="0">
                        <a:noAutofit/>
                      </wps:bodyPr>
                    </wps:wsp>
                  </a:graphicData>
                </a:graphic>
              </wp:anchor>
            </w:drawing>
          </mc:Choice>
          <mc:Fallback>
            <w:pict>
              <v:shape style="position:absolute;margin-left:42.525002pt;margin-top:-66pt;width:510.75pt;height:30.75pt;mso-position-horizontal-relative:page;mso-position-vertical-relative:paragraph;z-index:15794176" type="#_x0000_t202" id="docshape218" filled="true" fillcolor="#394871" stroked="true" strokeweight="3pt" strokecolor="#c1a875">
                <v:textbox inset="0,0,0,0">
                  <w:txbxContent>
                    <w:p>
                      <w:pPr>
                        <w:spacing w:before="0"/>
                        <w:ind w:left="11" w:right="13"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4"/>
                          <w:sz w:val="24"/>
                        </w:rPr>
                        <w:t> </w:t>
                      </w:r>
                      <w:r>
                        <w:rPr>
                          <w:b/>
                          <w:color w:val="FFFFFF"/>
                          <w:spacing w:val="-5"/>
                          <w:sz w:val="24"/>
                        </w:rPr>
                        <w:t>OF</w:t>
                      </w:r>
                    </w:p>
                    <w:p>
                      <w:pPr>
                        <w:spacing w:line="275" w:lineRule="exact" w:before="4"/>
                        <w:ind w:left="0" w:right="13" w:firstLine="0"/>
                        <w:jc w:val="center"/>
                        <w:rPr>
                          <w:b/>
                          <w:color w:val="000000"/>
                          <w:sz w:val="24"/>
                        </w:rPr>
                      </w:pPr>
                      <w:r>
                        <w:rPr>
                          <w:b/>
                          <w:color w:val="FFFFFF"/>
                          <w:spacing w:val="-2"/>
                          <w:sz w:val="24"/>
                        </w:rPr>
                        <w:t>SWANSEA</w:t>
                      </w:r>
                      <w:r>
                        <w:rPr>
                          <w:b/>
                          <w:color w:val="FFFFFF"/>
                          <w:spacing w:val="-15"/>
                          <w:sz w:val="24"/>
                        </w:rPr>
                        <w:t> </w:t>
                      </w:r>
                      <w:r>
                        <w:rPr>
                          <w:b/>
                          <w:color w:val="FFFFFF"/>
                          <w:spacing w:val="-2"/>
                          <w:sz w:val="24"/>
                        </w:rPr>
                        <w:t>BAY</w:t>
                      </w:r>
                      <w:r>
                        <w:rPr>
                          <w:b/>
                          <w:color w:val="FFFFFF"/>
                          <w:spacing w:val="-12"/>
                          <w:sz w:val="24"/>
                        </w:rPr>
                        <w:t> </w:t>
                      </w:r>
                      <w:r>
                        <w:rPr>
                          <w:b/>
                          <w:color w:val="FFFFFF"/>
                          <w:spacing w:val="-2"/>
                          <w:sz w:val="24"/>
                        </w:rPr>
                        <w:t>AND</w:t>
                      </w:r>
                      <w:r>
                        <w:rPr>
                          <w:b/>
                          <w:color w:val="FFFFFF"/>
                          <w:spacing w:val="-11"/>
                          <w:sz w:val="24"/>
                        </w:rPr>
                        <w:t> </w:t>
                      </w:r>
                      <w:r>
                        <w:rPr>
                          <w:b/>
                          <w:color w:val="FFFFFF"/>
                          <w:spacing w:val="-2"/>
                          <w:sz w:val="24"/>
                        </w:rPr>
                        <w:t>HYWEL</w:t>
                      </w:r>
                      <w:r>
                        <w:rPr>
                          <w:b/>
                          <w:color w:val="FFFFFF"/>
                          <w:spacing w:val="-13"/>
                          <w:sz w:val="24"/>
                        </w:rPr>
                        <w:t> </w:t>
                      </w:r>
                      <w:r>
                        <w:rPr>
                          <w:b/>
                          <w:color w:val="FFFFFF"/>
                          <w:spacing w:val="-2"/>
                          <w:sz w:val="24"/>
                        </w:rPr>
                        <w:t>DDA</w:t>
                      </w:r>
                      <w:r>
                        <w:rPr>
                          <w:b/>
                          <w:color w:val="FFFFFF"/>
                          <w:spacing w:val="-11"/>
                          <w:sz w:val="24"/>
                        </w:rPr>
                        <w:t> </w:t>
                      </w:r>
                      <w:r>
                        <w:rPr>
                          <w:b/>
                          <w:color w:val="FFFFFF"/>
                          <w:spacing w:val="-2"/>
                          <w:sz w:val="24"/>
                        </w:rPr>
                        <w:t>UNIVERSITY</w:t>
                      </w:r>
                      <w:r>
                        <w:rPr>
                          <w:b/>
                          <w:color w:val="FFFFFF"/>
                          <w:spacing w:val="-15"/>
                          <w:sz w:val="24"/>
                        </w:rPr>
                        <w:t> </w:t>
                      </w:r>
                      <w:r>
                        <w:rPr>
                          <w:b/>
                          <w:color w:val="FFFFFF"/>
                          <w:spacing w:val="-2"/>
                          <w:sz w:val="24"/>
                        </w:rPr>
                        <w:t>HEALTH</w:t>
                      </w:r>
                      <w:r>
                        <w:rPr>
                          <w:b/>
                          <w:color w:val="FFFFFF"/>
                          <w:spacing w:val="-10"/>
                          <w:sz w:val="24"/>
                        </w:rPr>
                        <w:t> </w:t>
                      </w:r>
                      <w:r>
                        <w:rPr>
                          <w:b/>
                          <w:color w:val="FFFFFF"/>
                          <w:spacing w:val="-2"/>
                          <w:sz w:val="24"/>
                        </w:rPr>
                        <w:t>BOARDS</w:t>
                      </w:r>
                    </w:p>
                  </w:txbxContent>
                </v:textbox>
                <v:fill type="solid"/>
                <v:stroke dashstyle="solid"/>
                <w10:wrap type="none"/>
              </v:shape>
            </w:pict>
          </mc:Fallback>
        </mc:AlternateContent>
      </w:r>
      <w:r>
        <w:rPr>
          <w:spacing w:val="-2"/>
          <w:sz w:val="24"/>
        </w:rPr>
        <w:t>The</w:t>
      </w:r>
      <w:r>
        <w:rPr>
          <w:spacing w:val="-9"/>
          <w:sz w:val="24"/>
        </w:rPr>
        <w:t> </w:t>
      </w:r>
      <w:r>
        <w:rPr>
          <w:spacing w:val="-2"/>
          <w:sz w:val="24"/>
        </w:rPr>
        <w:t>Regional</w:t>
      </w:r>
      <w:r>
        <w:rPr>
          <w:spacing w:val="-9"/>
          <w:sz w:val="24"/>
        </w:rPr>
        <w:t> </w:t>
      </w:r>
      <w:r>
        <w:rPr>
          <w:spacing w:val="-2"/>
          <w:sz w:val="24"/>
        </w:rPr>
        <w:t>Joint</w:t>
      </w:r>
      <w:r>
        <w:rPr>
          <w:spacing w:val="-13"/>
          <w:sz w:val="24"/>
        </w:rPr>
        <w:t> </w:t>
      </w:r>
      <w:r>
        <w:rPr>
          <w:spacing w:val="-2"/>
          <w:sz w:val="24"/>
        </w:rPr>
        <w:t>Committee</w:t>
      </w:r>
      <w:r>
        <w:rPr>
          <w:spacing w:val="-9"/>
          <w:sz w:val="24"/>
        </w:rPr>
        <w:t> </w:t>
      </w:r>
      <w:r>
        <w:rPr>
          <w:spacing w:val="-2"/>
          <w:sz w:val="24"/>
        </w:rPr>
        <w:t>(RJC)</w:t>
      </w:r>
      <w:r>
        <w:rPr>
          <w:spacing w:val="-11"/>
          <w:sz w:val="24"/>
        </w:rPr>
        <w:t> </w:t>
      </w:r>
      <w:r>
        <w:rPr>
          <w:spacing w:val="-2"/>
          <w:sz w:val="24"/>
        </w:rPr>
        <w:t>has</w:t>
      </w:r>
      <w:r>
        <w:rPr>
          <w:spacing w:val="-11"/>
          <w:sz w:val="24"/>
        </w:rPr>
        <w:t> </w:t>
      </w:r>
      <w:r>
        <w:rPr>
          <w:spacing w:val="-2"/>
          <w:sz w:val="24"/>
        </w:rPr>
        <w:t>been</w:t>
      </w:r>
      <w:r>
        <w:rPr>
          <w:spacing w:val="-10"/>
          <w:sz w:val="24"/>
        </w:rPr>
        <w:t> </w:t>
      </w:r>
      <w:r>
        <w:rPr>
          <w:spacing w:val="-2"/>
          <w:sz w:val="24"/>
        </w:rPr>
        <w:t>established</w:t>
      </w:r>
      <w:r>
        <w:rPr>
          <w:spacing w:val="-9"/>
          <w:sz w:val="24"/>
        </w:rPr>
        <w:t> </w:t>
      </w:r>
      <w:r>
        <w:rPr>
          <w:color w:val="ED0000"/>
          <w:spacing w:val="-2"/>
          <w:sz w:val="24"/>
        </w:rPr>
        <w:t>under</w:t>
      </w:r>
      <w:r>
        <w:rPr>
          <w:color w:val="ED0000"/>
          <w:spacing w:val="-11"/>
          <w:sz w:val="24"/>
        </w:rPr>
        <w:t> </w:t>
      </w:r>
      <w:r>
        <w:rPr>
          <w:color w:val="ED0000"/>
          <w:spacing w:val="-2"/>
          <w:sz w:val="24"/>
        </w:rPr>
        <w:t>Ministerial</w:t>
      </w:r>
      <w:r>
        <w:rPr>
          <w:color w:val="ED0000"/>
          <w:spacing w:val="-10"/>
          <w:sz w:val="24"/>
        </w:rPr>
        <w:t> </w:t>
      </w:r>
      <w:r>
        <w:rPr>
          <w:color w:val="ED0000"/>
          <w:spacing w:val="-2"/>
          <w:sz w:val="24"/>
        </w:rPr>
        <w:t>Direction</w:t>
      </w:r>
      <w:r>
        <w:rPr>
          <w:color w:val="ED0000"/>
          <w:spacing w:val="-12"/>
          <w:sz w:val="24"/>
        </w:rPr>
        <w:t> </w:t>
      </w:r>
      <w:r>
        <w:rPr>
          <w:spacing w:val="-2"/>
          <w:sz w:val="24"/>
        </w:rPr>
        <w:t>as</w:t>
      </w:r>
      <w:r>
        <w:rPr>
          <w:spacing w:val="-11"/>
          <w:sz w:val="24"/>
        </w:rPr>
        <w:t> </w:t>
      </w:r>
      <w:r>
        <w:rPr>
          <w:spacing w:val="-2"/>
          <w:sz w:val="24"/>
        </w:rPr>
        <w:t>a Joint</w:t>
      </w:r>
      <w:r>
        <w:rPr>
          <w:spacing w:val="-15"/>
          <w:sz w:val="24"/>
        </w:rPr>
        <w:t> </w:t>
      </w:r>
      <w:r>
        <w:rPr>
          <w:spacing w:val="-2"/>
          <w:sz w:val="24"/>
        </w:rPr>
        <w:t>Committee</w:t>
      </w:r>
      <w:r>
        <w:rPr>
          <w:spacing w:val="-10"/>
          <w:sz w:val="24"/>
        </w:rPr>
        <w:t> </w:t>
      </w:r>
      <w:r>
        <w:rPr>
          <w:spacing w:val="-2"/>
          <w:sz w:val="24"/>
        </w:rPr>
        <w:t>of</w:t>
      </w:r>
      <w:r>
        <w:rPr>
          <w:spacing w:val="-11"/>
          <w:sz w:val="24"/>
        </w:rPr>
        <w:t> </w:t>
      </w:r>
      <w:r>
        <w:rPr>
          <w:spacing w:val="-2"/>
          <w:sz w:val="24"/>
        </w:rPr>
        <w:t>Swansea</w:t>
      </w:r>
      <w:r>
        <w:rPr>
          <w:spacing w:val="-8"/>
          <w:sz w:val="24"/>
        </w:rPr>
        <w:t> </w:t>
      </w:r>
      <w:r>
        <w:rPr>
          <w:spacing w:val="-2"/>
          <w:sz w:val="24"/>
        </w:rPr>
        <w:t>Bay</w:t>
      </w:r>
      <w:r>
        <w:rPr>
          <w:spacing w:val="-13"/>
          <w:sz w:val="24"/>
        </w:rPr>
        <w:t> </w:t>
      </w:r>
      <w:r>
        <w:rPr>
          <w:spacing w:val="-2"/>
          <w:sz w:val="24"/>
        </w:rPr>
        <w:t>and</w:t>
      </w:r>
      <w:r>
        <w:rPr>
          <w:spacing w:val="-12"/>
          <w:sz w:val="24"/>
        </w:rPr>
        <w:t> </w:t>
      </w:r>
      <w:r>
        <w:rPr>
          <w:spacing w:val="-2"/>
          <w:sz w:val="24"/>
        </w:rPr>
        <w:t>Hywel</w:t>
      </w:r>
      <w:r>
        <w:rPr>
          <w:spacing w:val="-12"/>
          <w:sz w:val="24"/>
        </w:rPr>
        <w:t> </w:t>
      </w:r>
      <w:r>
        <w:rPr>
          <w:spacing w:val="-2"/>
          <w:sz w:val="24"/>
        </w:rPr>
        <w:t>Dda</w:t>
      </w:r>
      <w:r>
        <w:rPr>
          <w:spacing w:val="-12"/>
          <w:sz w:val="24"/>
        </w:rPr>
        <w:t> </w:t>
      </w:r>
      <w:r>
        <w:rPr>
          <w:spacing w:val="-2"/>
          <w:sz w:val="24"/>
        </w:rPr>
        <w:t>University</w:t>
      </w:r>
      <w:r>
        <w:rPr>
          <w:spacing w:val="-13"/>
          <w:sz w:val="24"/>
        </w:rPr>
        <w:t> </w:t>
      </w:r>
      <w:r>
        <w:rPr>
          <w:spacing w:val="-2"/>
          <w:sz w:val="24"/>
        </w:rPr>
        <w:t>Health</w:t>
      </w:r>
      <w:r>
        <w:rPr>
          <w:spacing w:val="-12"/>
          <w:sz w:val="24"/>
        </w:rPr>
        <w:t> </w:t>
      </w:r>
      <w:r>
        <w:rPr>
          <w:spacing w:val="-2"/>
          <w:sz w:val="24"/>
        </w:rPr>
        <w:t>Boards</w:t>
      </w:r>
      <w:r>
        <w:rPr>
          <w:spacing w:val="-14"/>
          <w:sz w:val="24"/>
        </w:rPr>
        <w:t> </w:t>
      </w:r>
      <w:r>
        <w:rPr>
          <w:spacing w:val="-2"/>
          <w:sz w:val="24"/>
        </w:rPr>
        <w:t>and</w:t>
      </w:r>
      <w:r>
        <w:rPr>
          <w:spacing w:val="-12"/>
          <w:sz w:val="24"/>
        </w:rPr>
        <w:t> </w:t>
      </w:r>
      <w:r>
        <w:rPr>
          <w:spacing w:val="-2"/>
          <w:sz w:val="24"/>
        </w:rPr>
        <w:t>constituted </w:t>
      </w:r>
      <w:r>
        <w:rPr>
          <w:sz w:val="24"/>
        </w:rPr>
        <w:t>from 15 January 2025.</w:t>
      </w:r>
    </w:p>
    <w:p>
      <w:pPr>
        <w:pStyle w:val="ListParagraph"/>
        <w:numPr>
          <w:ilvl w:val="1"/>
          <w:numId w:val="35"/>
        </w:numPr>
        <w:tabs>
          <w:tab w:pos="862" w:val="left" w:leader="none"/>
        </w:tabs>
        <w:spacing w:line="240" w:lineRule="auto" w:before="269" w:after="0"/>
        <w:ind w:left="862" w:right="1017" w:hanging="720"/>
        <w:jc w:val="left"/>
        <w:rPr>
          <w:sz w:val="24"/>
        </w:rPr>
      </w:pPr>
      <w:r>
        <w:rPr>
          <w:spacing w:val="-2"/>
          <w:sz w:val="24"/>
        </w:rPr>
        <w:t>The</w:t>
      </w:r>
      <w:r>
        <w:rPr>
          <w:spacing w:val="-12"/>
          <w:sz w:val="24"/>
        </w:rPr>
        <w:t> </w:t>
      </w:r>
      <w:r>
        <w:rPr>
          <w:spacing w:val="-2"/>
          <w:sz w:val="24"/>
        </w:rPr>
        <w:t>RJC</w:t>
      </w:r>
      <w:r>
        <w:rPr>
          <w:spacing w:val="-11"/>
          <w:sz w:val="24"/>
        </w:rPr>
        <w:t> </w:t>
      </w:r>
      <w:r>
        <w:rPr>
          <w:spacing w:val="-2"/>
          <w:sz w:val="24"/>
        </w:rPr>
        <w:t>is</w:t>
      </w:r>
      <w:r>
        <w:rPr>
          <w:spacing w:val="-8"/>
          <w:sz w:val="24"/>
        </w:rPr>
        <w:t> </w:t>
      </w:r>
      <w:r>
        <w:rPr>
          <w:color w:val="ED0000"/>
          <w:spacing w:val="-2"/>
          <w:sz w:val="24"/>
        </w:rPr>
        <w:t>therefore</w:t>
      </w:r>
      <w:r>
        <w:rPr>
          <w:color w:val="ED0000"/>
          <w:spacing w:val="-12"/>
          <w:sz w:val="24"/>
        </w:rPr>
        <w:t> </w:t>
      </w:r>
      <w:r>
        <w:rPr>
          <w:color w:val="ED0000"/>
          <w:spacing w:val="-2"/>
          <w:sz w:val="24"/>
        </w:rPr>
        <w:t>accountable</w:t>
      </w:r>
      <w:r>
        <w:rPr>
          <w:color w:val="ED0000"/>
          <w:spacing w:val="-12"/>
          <w:sz w:val="24"/>
        </w:rPr>
        <w:t> </w:t>
      </w:r>
      <w:r>
        <w:rPr>
          <w:color w:val="ED0000"/>
          <w:spacing w:val="-2"/>
          <w:sz w:val="24"/>
        </w:rPr>
        <w:t>to</w:t>
      </w:r>
      <w:r>
        <w:rPr>
          <w:color w:val="ED0000"/>
          <w:spacing w:val="-7"/>
          <w:sz w:val="24"/>
        </w:rPr>
        <w:t> </w:t>
      </w:r>
      <w:r>
        <w:rPr>
          <w:color w:val="ED0000"/>
          <w:spacing w:val="-2"/>
          <w:sz w:val="24"/>
        </w:rPr>
        <w:t>the</w:t>
      </w:r>
      <w:r>
        <w:rPr>
          <w:color w:val="ED0000"/>
          <w:spacing w:val="-12"/>
          <w:sz w:val="24"/>
        </w:rPr>
        <w:t> </w:t>
      </w:r>
      <w:r>
        <w:rPr>
          <w:color w:val="ED0000"/>
          <w:spacing w:val="-2"/>
          <w:sz w:val="24"/>
        </w:rPr>
        <w:t>Cabinet</w:t>
      </w:r>
      <w:r>
        <w:rPr>
          <w:color w:val="ED0000"/>
          <w:spacing w:val="-8"/>
          <w:sz w:val="24"/>
        </w:rPr>
        <w:t> </w:t>
      </w:r>
      <w:r>
        <w:rPr>
          <w:color w:val="ED0000"/>
          <w:spacing w:val="-2"/>
          <w:sz w:val="24"/>
        </w:rPr>
        <w:t>Minister</w:t>
      </w:r>
      <w:r>
        <w:rPr>
          <w:color w:val="ED0000"/>
          <w:spacing w:val="-8"/>
          <w:sz w:val="24"/>
        </w:rPr>
        <w:t> </w:t>
      </w:r>
      <w:r>
        <w:rPr>
          <w:color w:val="ED0000"/>
          <w:spacing w:val="-2"/>
          <w:sz w:val="24"/>
        </w:rPr>
        <w:t>for</w:t>
      </w:r>
      <w:r>
        <w:rPr>
          <w:color w:val="ED0000"/>
          <w:spacing w:val="-13"/>
          <w:sz w:val="24"/>
        </w:rPr>
        <w:t> </w:t>
      </w:r>
      <w:r>
        <w:rPr>
          <w:color w:val="ED0000"/>
          <w:spacing w:val="-2"/>
          <w:sz w:val="24"/>
        </w:rPr>
        <w:t>delivering</w:t>
      </w:r>
      <w:r>
        <w:rPr>
          <w:color w:val="ED0000"/>
          <w:spacing w:val="-7"/>
          <w:sz w:val="24"/>
        </w:rPr>
        <w:t> </w:t>
      </w:r>
      <w:r>
        <w:rPr>
          <w:color w:val="ED0000"/>
          <w:spacing w:val="-2"/>
          <w:sz w:val="24"/>
        </w:rPr>
        <w:t>the</w:t>
      </w:r>
      <w:r>
        <w:rPr>
          <w:color w:val="ED0000"/>
          <w:spacing w:val="-12"/>
          <w:sz w:val="24"/>
        </w:rPr>
        <w:t> </w:t>
      </w:r>
      <w:r>
        <w:rPr>
          <w:color w:val="ED0000"/>
          <w:spacing w:val="-2"/>
          <w:sz w:val="24"/>
        </w:rPr>
        <w:t>remit</w:t>
      </w:r>
      <w:r>
        <w:rPr>
          <w:color w:val="ED0000"/>
          <w:spacing w:val="-15"/>
          <w:sz w:val="24"/>
        </w:rPr>
        <w:t> </w:t>
      </w:r>
      <w:r>
        <w:rPr>
          <w:color w:val="ED0000"/>
          <w:spacing w:val="-2"/>
          <w:sz w:val="24"/>
        </w:rPr>
        <w:t>of</w:t>
      </w:r>
      <w:r>
        <w:rPr>
          <w:color w:val="ED0000"/>
          <w:spacing w:val="-14"/>
          <w:sz w:val="24"/>
        </w:rPr>
        <w:t> </w:t>
      </w:r>
      <w:r>
        <w:rPr>
          <w:color w:val="ED0000"/>
          <w:spacing w:val="-2"/>
          <w:sz w:val="24"/>
        </w:rPr>
        <w:t>the Committee</w:t>
      </w:r>
      <w:r>
        <w:rPr>
          <w:spacing w:val="-2"/>
          <w:sz w:val="24"/>
        </w:rPr>
        <w:t>.</w:t>
      </w:r>
    </w:p>
    <w:p>
      <w:pPr>
        <w:pStyle w:val="BodyText"/>
        <w:spacing w:before="54"/>
        <w:rPr>
          <w:sz w:val="20"/>
        </w:rPr>
      </w:pPr>
      <w:r>
        <w:rPr>
          <w:sz w:val="20"/>
        </w:rPr>
        <mc:AlternateContent>
          <mc:Choice Requires="wps">
            <w:drawing>
              <wp:anchor distT="0" distB="0" distL="0" distR="0" allowOverlap="1" layoutInCell="1" locked="0" behindDoc="1" simplePos="0" relativeHeight="487652352">
                <wp:simplePos x="0" y="0"/>
                <wp:positionH relativeFrom="page">
                  <wp:posOffset>574992</wp:posOffset>
                </wp:positionH>
                <wp:positionV relativeFrom="paragraph">
                  <wp:posOffset>202462</wp:posOffset>
                </wp:positionV>
                <wp:extent cx="6642100" cy="193675"/>
                <wp:effectExtent l="0" t="0" r="0" b="0"/>
                <wp:wrapTopAndBottom/>
                <wp:docPr id="436" name="Textbox 436"/>
                <wp:cNvGraphicFramePr>
                  <a:graphicFrameLocks/>
                </wp:cNvGraphicFramePr>
                <a:graphic>
                  <a:graphicData uri="http://schemas.microsoft.com/office/word/2010/wordprocessingShape">
                    <wps:wsp>
                      <wps:cNvPr id="436" name="Textbox 436"/>
                      <wps:cNvSpPr txBox="1"/>
                      <wps:spPr>
                        <a:xfrm>
                          <a:off x="0" y="0"/>
                          <a:ext cx="66421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2.</w:t>
                            </w:r>
                            <w:r>
                              <w:rPr>
                                <w:b/>
                                <w:color w:val="000000"/>
                                <w:spacing w:val="61"/>
                                <w:sz w:val="24"/>
                              </w:rPr>
                              <w:t> </w:t>
                            </w:r>
                            <w:r>
                              <w:rPr>
                                <w:b/>
                                <w:color w:val="000000"/>
                                <w:spacing w:val="-2"/>
                                <w:sz w:val="24"/>
                              </w:rPr>
                              <w:t>Purpose</w:t>
                            </w:r>
                          </w:p>
                        </w:txbxContent>
                      </wps:txbx>
                      <wps:bodyPr wrap="square" lIns="0" tIns="0" rIns="0" bIns="0" rtlCol="0">
                        <a:noAutofit/>
                      </wps:bodyPr>
                    </wps:wsp>
                  </a:graphicData>
                </a:graphic>
              </wp:anchor>
            </w:drawing>
          </mc:Choice>
          <mc:Fallback>
            <w:pict>
              <v:shape style="position:absolute;margin-left:45.275002pt;margin-top:15.941895pt;width:523pt;height:15.25pt;mso-position-horizontal-relative:page;mso-position-vertical-relative:paragraph;z-index:-15664128;mso-wrap-distance-left:0;mso-wrap-distance-right:0" type="#_x0000_t202" id="docshape219" filled="true" fillcolor="#c1a875" stroked="true" strokeweight="1pt" strokecolor="#394871">
                <v:textbox inset="0,0,0,0">
                  <w:txbxContent>
                    <w:p>
                      <w:pPr>
                        <w:spacing w:before="0"/>
                        <w:ind w:left="95" w:right="0" w:firstLine="0"/>
                        <w:jc w:val="left"/>
                        <w:rPr>
                          <w:b/>
                          <w:color w:val="000000"/>
                          <w:sz w:val="24"/>
                        </w:rPr>
                      </w:pPr>
                      <w:r>
                        <w:rPr>
                          <w:b/>
                          <w:color w:val="000000"/>
                          <w:sz w:val="24"/>
                        </w:rPr>
                        <w:t>2.</w:t>
                      </w:r>
                      <w:r>
                        <w:rPr>
                          <w:b/>
                          <w:color w:val="000000"/>
                          <w:spacing w:val="61"/>
                          <w:sz w:val="24"/>
                        </w:rPr>
                        <w:t> </w:t>
                      </w:r>
                      <w:r>
                        <w:rPr>
                          <w:b/>
                          <w:color w:val="000000"/>
                          <w:spacing w:val="-2"/>
                          <w:sz w:val="24"/>
                        </w:rPr>
                        <w:t>Purpose</w:t>
                      </w:r>
                    </w:p>
                  </w:txbxContent>
                </v:textbox>
                <v:fill type="solid"/>
                <v:stroke dashstyle="solid"/>
                <w10:wrap type="topAndBottom"/>
              </v:shape>
            </w:pict>
          </mc:Fallback>
        </mc:AlternateContent>
      </w:r>
    </w:p>
    <w:p>
      <w:pPr>
        <w:pStyle w:val="BodyText"/>
        <w:spacing w:before="8"/>
      </w:pPr>
    </w:p>
    <w:p>
      <w:pPr>
        <w:pStyle w:val="ListParagraph"/>
        <w:numPr>
          <w:ilvl w:val="1"/>
          <w:numId w:val="36"/>
        </w:numPr>
        <w:tabs>
          <w:tab w:pos="852" w:val="left" w:leader="none"/>
        </w:tabs>
        <w:spacing w:line="240" w:lineRule="auto" w:before="1" w:after="0"/>
        <w:ind w:left="852" w:right="0" w:hanging="710"/>
        <w:jc w:val="left"/>
        <w:rPr>
          <w:sz w:val="24"/>
        </w:rPr>
      </w:pPr>
      <w:r>
        <w:rPr>
          <w:spacing w:val="-2"/>
          <w:sz w:val="24"/>
        </w:rPr>
        <w:t>The</w:t>
      </w:r>
      <w:r>
        <w:rPr>
          <w:spacing w:val="-8"/>
          <w:sz w:val="24"/>
        </w:rPr>
        <w:t> </w:t>
      </w:r>
      <w:r>
        <w:rPr>
          <w:spacing w:val="-2"/>
          <w:sz w:val="24"/>
        </w:rPr>
        <w:t>RJC</w:t>
      </w:r>
      <w:r>
        <w:rPr>
          <w:spacing w:val="-8"/>
          <w:sz w:val="24"/>
        </w:rPr>
        <w:t> </w:t>
      </w:r>
      <w:r>
        <w:rPr>
          <w:spacing w:val="-2"/>
          <w:sz w:val="24"/>
        </w:rPr>
        <w:t>has</w:t>
      </w:r>
      <w:r>
        <w:rPr>
          <w:spacing w:val="-15"/>
          <w:sz w:val="24"/>
        </w:rPr>
        <w:t> </w:t>
      </w:r>
      <w:r>
        <w:rPr>
          <w:spacing w:val="-2"/>
          <w:sz w:val="24"/>
        </w:rPr>
        <w:t>been</w:t>
      </w:r>
      <w:r>
        <w:rPr>
          <w:spacing w:val="-14"/>
          <w:sz w:val="24"/>
        </w:rPr>
        <w:t> </w:t>
      </w:r>
      <w:r>
        <w:rPr>
          <w:spacing w:val="-2"/>
          <w:sz w:val="24"/>
        </w:rPr>
        <w:t>established</w:t>
      </w:r>
      <w:r>
        <w:rPr>
          <w:spacing w:val="-8"/>
          <w:sz w:val="24"/>
        </w:rPr>
        <w:t> </w:t>
      </w:r>
      <w:r>
        <w:rPr>
          <w:spacing w:val="-5"/>
          <w:sz w:val="24"/>
        </w:rPr>
        <w:t>to:</w:t>
      </w:r>
    </w:p>
    <w:p>
      <w:pPr>
        <w:pStyle w:val="BodyText"/>
        <w:spacing w:before="3"/>
      </w:pPr>
    </w:p>
    <w:p>
      <w:pPr>
        <w:pStyle w:val="ListParagraph"/>
        <w:numPr>
          <w:ilvl w:val="2"/>
          <w:numId w:val="36"/>
        </w:numPr>
        <w:tabs>
          <w:tab w:pos="1560" w:val="left" w:leader="none"/>
          <w:tab w:pos="1563" w:val="left" w:leader="none"/>
        </w:tabs>
        <w:spacing w:line="240" w:lineRule="auto" w:before="0" w:after="0"/>
        <w:ind w:left="1563" w:right="443" w:hanging="711"/>
        <w:jc w:val="left"/>
        <w:rPr>
          <w:sz w:val="24"/>
        </w:rPr>
      </w:pPr>
      <w:r>
        <w:rPr>
          <w:sz w:val="24"/>
        </w:rPr>
        <w:t>Provide</w:t>
      </w:r>
      <w:r>
        <w:rPr>
          <w:spacing w:val="-17"/>
          <w:sz w:val="24"/>
        </w:rPr>
        <w:t> </w:t>
      </w:r>
      <w:r>
        <w:rPr>
          <w:sz w:val="24"/>
        </w:rPr>
        <w:t>joint</w:t>
      </w:r>
      <w:r>
        <w:rPr>
          <w:spacing w:val="-15"/>
          <w:sz w:val="24"/>
        </w:rPr>
        <w:t> </w:t>
      </w:r>
      <w:r>
        <w:rPr>
          <w:sz w:val="24"/>
        </w:rPr>
        <w:t>leadership</w:t>
      </w:r>
      <w:r>
        <w:rPr>
          <w:spacing w:val="-13"/>
          <w:sz w:val="24"/>
        </w:rPr>
        <w:t> </w:t>
      </w:r>
      <w:r>
        <w:rPr>
          <w:sz w:val="24"/>
        </w:rPr>
        <w:t>for</w:t>
      </w:r>
      <w:r>
        <w:rPr>
          <w:spacing w:val="-13"/>
          <w:sz w:val="24"/>
        </w:rPr>
        <w:t> </w:t>
      </w:r>
      <w:r>
        <w:rPr>
          <w:sz w:val="24"/>
        </w:rPr>
        <w:t>the</w:t>
      </w:r>
      <w:r>
        <w:rPr>
          <w:spacing w:val="-13"/>
          <w:sz w:val="24"/>
        </w:rPr>
        <w:t> </w:t>
      </w:r>
      <w:r>
        <w:rPr>
          <w:sz w:val="24"/>
        </w:rPr>
        <w:t>regional</w:t>
      </w:r>
      <w:r>
        <w:rPr>
          <w:spacing w:val="-13"/>
          <w:sz w:val="24"/>
        </w:rPr>
        <w:t> </w:t>
      </w:r>
      <w:r>
        <w:rPr>
          <w:sz w:val="24"/>
        </w:rPr>
        <w:t>planning,</w:t>
      </w:r>
      <w:r>
        <w:rPr>
          <w:spacing w:val="-8"/>
          <w:sz w:val="24"/>
        </w:rPr>
        <w:t> </w:t>
      </w:r>
      <w:r>
        <w:rPr>
          <w:sz w:val="24"/>
        </w:rPr>
        <w:t>commissioning,</w:t>
      </w:r>
      <w:r>
        <w:rPr>
          <w:spacing w:val="-13"/>
          <w:sz w:val="24"/>
        </w:rPr>
        <w:t> </w:t>
      </w:r>
      <w:r>
        <w:rPr>
          <w:sz w:val="24"/>
        </w:rPr>
        <w:t>and</w:t>
      </w:r>
      <w:r>
        <w:rPr>
          <w:spacing w:val="-13"/>
          <w:sz w:val="24"/>
        </w:rPr>
        <w:t> </w:t>
      </w:r>
      <w:r>
        <w:rPr>
          <w:sz w:val="24"/>
        </w:rPr>
        <w:t>delivery</w:t>
      </w:r>
      <w:r>
        <w:rPr>
          <w:spacing w:val="-13"/>
          <w:sz w:val="24"/>
        </w:rPr>
        <w:t> </w:t>
      </w:r>
      <w:r>
        <w:rPr>
          <w:sz w:val="24"/>
        </w:rPr>
        <w:t>of services</w:t>
      </w:r>
      <w:r>
        <w:rPr>
          <w:spacing w:val="-17"/>
          <w:sz w:val="24"/>
        </w:rPr>
        <w:t> </w:t>
      </w:r>
      <w:r>
        <w:rPr>
          <w:sz w:val="24"/>
        </w:rPr>
        <w:t>for</w:t>
      </w:r>
      <w:r>
        <w:rPr>
          <w:spacing w:val="-17"/>
          <w:sz w:val="24"/>
        </w:rPr>
        <w:t> </w:t>
      </w:r>
      <w:r>
        <w:rPr>
          <w:sz w:val="24"/>
        </w:rPr>
        <w:t>Swansea</w:t>
      </w:r>
      <w:r>
        <w:rPr>
          <w:spacing w:val="-16"/>
          <w:sz w:val="24"/>
        </w:rPr>
        <w:t> </w:t>
      </w:r>
      <w:r>
        <w:rPr>
          <w:sz w:val="24"/>
        </w:rPr>
        <w:t>Bay</w:t>
      </w:r>
      <w:r>
        <w:rPr>
          <w:spacing w:val="-17"/>
          <w:sz w:val="24"/>
        </w:rPr>
        <w:t> </w:t>
      </w:r>
      <w:r>
        <w:rPr>
          <w:sz w:val="24"/>
        </w:rPr>
        <w:t>University</w:t>
      </w:r>
      <w:r>
        <w:rPr>
          <w:spacing w:val="-17"/>
          <w:sz w:val="24"/>
        </w:rPr>
        <w:t> </w:t>
      </w:r>
      <w:r>
        <w:rPr>
          <w:sz w:val="24"/>
        </w:rPr>
        <w:t>Health</w:t>
      </w:r>
      <w:r>
        <w:rPr>
          <w:spacing w:val="-17"/>
          <w:sz w:val="24"/>
        </w:rPr>
        <w:t> </w:t>
      </w:r>
      <w:r>
        <w:rPr>
          <w:sz w:val="24"/>
        </w:rPr>
        <w:t>Board</w:t>
      </w:r>
      <w:r>
        <w:rPr>
          <w:spacing w:val="-16"/>
          <w:sz w:val="24"/>
        </w:rPr>
        <w:t> </w:t>
      </w:r>
      <w:r>
        <w:rPr>
          <w:sz w:val="24"/>
        </w:rPr>
        <w:t>and</w:t>
      </w:r>
      <w:r>
        <w:rPr>
          <w:spacing w:val="-17"/>
          <w:sz w:val="24"/>
        </w:rPr>
        <w:t> </w:t>
      </w:r>
      <w:r>
        <w:rPr>
          <w:sz w:val="24"/>
        </w:rPr>
        <w:t>Hywel</w:t>
      </w:r>
      <w:r>
        <w:rPr>
          <w:spacing w:val="-17"/>
          <w:sz w:val="24"/>
        </w:rPr>
        <w:t> </w:t>
      </w:r>
      <w:r>
        <w:rPr>
          <w:sz w:val="24"/>
        </w:rPr>
        <w:t>Dda</w:t>
      </w:r>
      <w:r>
        <w:rPr>
          <w:spacing w:val="-16"/>
          <w:sz w:val="24"/>
        </w:rPr>
        <w:t> </w:t>
      </w:r>
      <w:r>
        <w:rPr>
          <w:sz w:val="24"/>
        </w:rPr>
        <w:t>University</w:t>
      </w:r>
      <w:r>
        <w:rPr>
          <w:spacing w:val="-17"/>
          <w:sz w:val="24"/>
        </w:rPr>
        <w:t> </w:t>
      </w:r>
      <w:r>
        <w:rPr>
          <w:sz w:val="24"/>
        </w:rPr>
        <w:t>Health </w:t>
      </w:r>
      <w:r>
        <w:rPr>
          <w:spacing w:val="-2"/>
          <w:sz w:val="24"/>
        </w:rPr>
        <w:t>Board</w:t>
      </w:r>
      <w:r>
        <w:rPr>
          <w:spacing w:val="-15"/>
          <w:sz w:val="24"/>
        </w:rPr>
        <w:t> </w:t>
      </w:r>
      <w:r>
        <w:rPr>
          <w:spacing w:val="-2"/>
          <w:sz w:val="24"/>
        </w:rPr>
        <w:t>taking</w:t>
      </w:r>
      <w:r>
        <w:rPr>
          <w:spacing w:val="-14"/>
          <w:sz w:val="24"/>
        </w:rPr>
        <w:t> </w:t>
      </w:r>
      <w:r>
        <w:rPr>
          <w:spacing w:val="-2"/>
          <w:sz w:val="24"/>
        </w:rPr>
        <w:t>into</w:t>
      </w:r>
      <w:r>
        <w:rPr>
          <w:spacing w:val="-14"/>
          <w:sz w:val="24"/>
        </w:rPr>
        <w:t> </w:t>
      </w:r>
      <w:r>
        <w:rPr>
          <w:spacing w:val="-2"/>
          <w:sz w:val="24"/>
        </w:rPr>
        <w:t>account</w:t>
      </w:r>
      <w:r>
        <w:rPr>
          <w:spacing w:val="-15"/>
          <w:sz w:val="24"/>
        </w:rPr>
        <w:t> </w:t>
      </w:r>
      <w:r>
        <w:rPr>
          <w:spacing w:val="-2"/>
          <w:sz w:val="24"/>
        </w:rPr>
        <w:t>the</w:t>
      </w:r>
      <w:r>
        <w:rPr>
          <w:spacing w:val="-14"/>
          <w:sz w:val="24"/>
        </w:rPr>
        <w:t> </w:t>
      </w:r>
      <w:r>
        <w:rPr>
          <w:spacing w:val="-2"/>
          <w:sz w:val="24"/>
        </w:rPr>
        <w:t>service</w:t>
      </w:r>
      <w:r>
        <w:rPr>
          <w:spacing w:val="-15"/>
          <w:sz w:val="24"/>
        </w:rPr>
        <w:t> </w:t>
      </w:r>
      <w:r>
        <w:rPr>
          <w:spacing w:val="-2"/>
          <w:sz w:val="24"/>
        </w:rPr>
        <w:t>challenges,</w:t>
      </w:r>
      <w:r>
        <w:rPr>
          <w:spacing w:val="-15"/>
          <w:sz w:val="24"/>
        </w:rPr>
        <w:t> </w:t>
      </w:r>
      <w:r>
        <w:rPr>
          <w:spacing w:val="-2"/>
          <w:sz w:val="24"/>
        </w:rPr>
        <w:t>financial</w:t>
      </w:r>
      <w:r>
        <w:rPr>
          <w:spacing w:val="-10"/>
          <w:sz w:val="24"/>
        </w:rPr>
        <w:t> </w:t>
      </w:r>
      <w:r>
        <w:rPr>
          <w:spacing w:val="-2"/>
          <w:sz w:val="24"/>
        </w:rPr>
        <w:t>challenges</w:t>
      </w:r>
      <w:r>
        <w:rPr>
          <w:spacing w:val="-15"/>
          <w:sz w:val="24"/>
        </w:rPr>
        <w:t> </w:t>
      </w:r>
      <w:r>
        <w:rPr>
          <w:spacing w:val="-2"/>
          <w:sz w:val="24"/>
        </w:rPr>
        <w:t>and</w:t>
      </w:r>
      <w:r>
        <w:rPr>
          <w:spacing w:val="-14"/>
          <w:sz w:val="24"/>
        </w:rPr>
        <w:t> </w:t>
      </w:r>
      <w:r>
        <w:rPr>
          <w:spacing w:val="-2"/>
          <w:sz w:val="24"/>
        </w:rPr>
        <w:t>population </w:t>
      </w:r>
      <w:r>
        <w:rPr>
          <w:sz w:val="24"/>
        </w:rPr>
        <w:t>health</w:t>
      </w:r>
      <w:r>
        <w:rPr>
          <w:spacing w:val="-11"/>
          <w:sz w:val="24"/>
        </w:rPr>
        <w:t> </w:t>
      </w:r>
      <w:r>
        <w:rPr>
          <w:sz w:val="24"/>
        </w:rPr>
        <w:t>needs</w:t>
      </w:r>
      <w:r>
        <w:rPr>
          <w:spacing w:val="-12"/>
          <w:sz w:val="24"/>
        </w:rPr>
        <w:t> </w:t>
      </w:r>
      <w:r>
        <w:rPr>
          <w:sz w:val="24"/>
        </w:rPr>
        <w:t>of</w:t>
      </w:r>
      <w:r>
        <w:rPr>
          <w:spacing w:val="-14"/>
          <w:sz w:val="24"/>
        </w:rPr>
        <w:t> </w:t>
      </w:r>
      <w:r>
        <w:rPr>
          <w:sz w:val="24"/>
        </w:rPr>
        <w:t>both</w:t>
      </w:r>
      <w:r>
        <w:rPr>
          <w:spacing w:val="-11"/>
          <w:sz w:val="24"/>
        </w:rPr>
        <w:t> </w:t>
      </w:r>
      <w:r>
        <w:rPr>
          <w:sz w:val="24"/>
        </w:rPr>
        <w:t>organisations</w:t>
      </w:r>
      <w:r>
        <w:rPr>
          <w:spacing w:val="-11"/>
          <w:sz w:val="24"/>
        </w:rPr>
        <w:t> </w:t>
      </w:r>
      <w:r>
        <w:rPr>
          <w:sz w:val="24"/>
        </w:rPr>
        <w:t>and</w:t>
      </w:r>
      <w:r>
        <w:rPr>
          <w:spacing w:val="-11"/>
          <w:sz w:val="24"/>
        </w:rPr>
        <w:t> </w:t>
      </w:r>
      <w:r>
        <w:rPr>
          <w:sz w:val="24"/>
        </w:rPr>
        <w:t>the</w:t>
      </w:r>
      <w:r>
        <w:rPr>
          <w:spacing w:val="-11"/>
          <w:sz w:val="24"/>
        </w:rPr>
        <w:t> </w:t>
      </w:r>
      <w:r>
        <w:rPr>
          <w:sz w:val="24"/>
        </w:rPr>
        <w:t>work</w:t>
      </w:r>
      <w:r>
        <w:rPr>
          <w:spacing w:val="-8"/>
          <w:sz w:val="24"/>
        </w:rPr>
        <w:t> </w:t>
      </w:r>
      <w:r>
        <w:rPr>
          <w:sz w:val="24"/>
        </w:rPr>
        <w:t>previously</w:t>
      </w:r>
      <w:r>
        <w:rPr>
          <w:spacing w:val="-12"/>
          <w:sz w:val="24"/>
        </w:rPr>
        <w:t> </w:t>
      </w:r>
      <w:r>
        <w:rPr>
          <w:sz w:val="24"/>
        </w:rPr>
        <w:t>undertaken</w:t>
      </w:r>
      <w:r>
        <w:rPr>
          <w:spacing w:val="-11"/>
          <w:sz w:val="24"/>
        </w:rPr>
        <w:t> </w:t>
      </w:r>
      <w:r>
        <w:rPr>
          <w:sz w:val="24"/>
        </w:rPr>
        <w:t>through </w:t>
      </w:r>
      <w:r>
        <w:rPr>
          <w:spacing w:val="-2"/>
          <w:sz w:val="24"/>
        </w:rPr>
        <w:t>ARCH.</w:t>
      </w:r>
    </w:p>
    <w:p>
      <w:pPr>
        <w:pStyle w:val="ListParagraph"/>
        <w:numPr>
          <w:ilvl w:val="2"/>
          <w:numId w:val="36"/>
        </w:numPr>
        <w:tabs>
          <w:tab w:pos="1559" w:val="left" w:leader="none"/>
          <w:tab w:pos="1563" w:val="left" w:leader="none"/>
        </w:tabs>
        <w:spacing w:line="240" w:lineRule="auto" w:before="276" w:after="0"/>
        <w:ind w:left="1563" w:right="510" w:hanging="711"/>
        <w:jc w:val="left"/>
        <w:rPr>
          <w:sz w:val="24"/>
        </w:rPr>
      </w:pPr>
      <w:r>
        <w:rPr>
          <w:sz w:val="24"/>
        </w:rPr>
        <w:t>Establish</w:t>
      </w:r>
      <w:r>
        <w:rPr>
          <w:spacing w:val="-11"/>
          <w:sz w:val="24"/>
        </w:rPr>
        <w:t> </w:t>
      </w:r>
      <w:r>
        <w:rPr>
          <w:sz w:val="24"/>
        </w:rPr>
        <w:t>a</w:t>
      </w:r>
      <w:r>
        <w:rPr>
          <w:spacing w:val="-12"/>
          <w:sz w:val="24"/>
        </w:rPr>
        <w:t> </w:t>
      </w:r>
      <w:r>
        <w:rPr>
          <w:sz w:val="24"/>
        </w:rPr>
        <w:t>regional</w:t>
      </w:r>
      <w:r>
        <w:rPr>
          <w:spacing w:val="-12"/>
          <w:sz w:val="24"/>
        </w:rPr>
        <w:t> </w:t>
      </w:r>
      <w:r>
        <w:rPr>
          <w:sz w:val="24"/>
        </w:rPr>
        <w:t>approach</w:t>
      </w:r>
      <w:r>
        <w:rPr>
          <w:spacing w:val="-12"/>
          <w:sz w:val="24"/>
        </w:rPr>
        <w:t> </w:t>
      </w:r>
      <w:r>
        <w:rPr>
          <w:sz w:val="24"/>
        </w:rPr>
        <w:t>to</w:t>
      </w:r>
      <w:r>
        <w:rPr>
          <w:spacing w:val="-12"/>
          <w:sz w:val="24"/>
        </w:rPr>
        <w:t> </w:t>
      </w:r>
      <w:r>
        <w:rPr>
          <w:sz w:val="24"/>
        </w:rPr>
        <w:t>the</w:t>
      </w:r>
      <w:r>
        <w:rPr>
          <w:spacing w:val="-12"/>
          <w:sz w:val="24"/>
        </w:rPr>
        <w:t> </w:t>
      </w:r>
      <w:r>
        <w:rPr>
          <w:sz w:val="24"/>
        </w:rPr>
        <w:t>development</w:t>
      </w:r>
      <w:r>
        <w:rPr>
          <w:spacing w:val="-15"/>
          <w:sz w:val="24"/>
        </w:rPr>
        <w:t> </w:t>
      </w:r>
      <w:r>
        <w:rPr>
          <w:sz w:val="24"/>
        </w:rPr>
        <w:t>of</w:t>
      </w:r>
      <w:r>
        <w:rPr>
          <w:spacing w:val="-15"/>
          <w:sz w:val="24"/>
        </w:rPr>
        <w:t> </w:t>
      </w:r>
      <w:r>
        <w:rPr>
          <w:sz w:val="24"/>
        </w:rPr>
        <w:t>clinical</w:t>
      </w:r>
      <w:r>
        <w:rPr>
          <w:spacing w:val="-12"/>
          <w:sz w:val="24"/>
        </w:rPr>
        <w:t> </w:t>
      </w:r>
      <w:r>
        <w:rPr>
          <w:sz w:val="24"/>
        </w:rPr>
        <w:t>services</w:t>
      </w:r>
      <w:r>
        <w:rPr>
          <w:spacing w:val="-13"/>
          <w:sz w:val="24"/>
        </w:rPr>
        <w:t> </w:t>
      </w:r>
      <w:r>
        <w:rPr>
          <w:sz w:val="24"/>
        </w:rPr>
        <w:t>planning, aligned</w:t>
      </w:r>
      <w:r>
        <w:rPr>
          <w:spacing w:val="-12"/>
          <w:sz w:val="24"/>
        </w:rPr>
        <w:t> </w:t>
      </w:r>
      <w:r>
        <w:rPr>
          <w:sz w:val="24"/>
        </w:rPr>
        <w:t>to</w:t>
      </w:r>
      <w:r>
        <w:rPr>
          <w:spacing w:val="-12"/>
          <w:sz w:val="24"/>
        </w:rPr>
        <w:t> </w:t>
      </w:r>
      <w:r>
        <w:rPr>
          <w:sz w:val="24"/>
        </w:rPr>
        <w:t>regional</w:t>
      </w:r>
      <w:r>
        <w:rPr>
          <w:spacing w:val="-12"/>
          <w:sz w:val="24"/>
        </w:rPr>
        <w:t> </w:t>
      </w:r>
      <w:r>
        <w:rPr>
          <w:sz w:val="24"/>
        </w:rPr>
        <w:t>population</w:t>
      </w:r>
      <w:r>
        <w:rPr>
          <w:spacing w:val="-12"/>
          <w:sz w:val="24"/>
        </w:rPr>
        <w:t> </w:t>
      </w:r>
      <w:r>
        <w:rPr>
          <w:sz w:val="24"/>
        </w:rPr>
        <w:t>health</w:t>
      </w:r>
      <w:r>
        <w:rPr>
          <w:spacing w:val="-12"/>
          <w:sz w:val="24"/>
        </w:rPr>
        <w:t> </w:t>
      </w:r>
      <w:r>
        <w:rPr>
          <w:sz w:val="24"/>
        </w:rPr>
        <w:t>needs</w:t>
      </w:r>
      <w:r>
        <w:rPr>
          <w:spacing w:val="-17"/>
          <w:sz w:val="24"/>
        </w:rPr>
        <w:t> </w:t>
      </w:r>
      <w:r>
        <w:rPr>
          <w:sz w:val="24"/>
        </w:rPr>
        <w:t>assessments,</w:t>
      </w:r>
      <w:r>
        <w:rPr>
          <w:spacing w:val="-3"/>
          <w:sz w:val="24"/>
        </w:rPr>
        <w:t> </w:t>
      </w:r>
      <w:r>
        <w:rPr>
          <w:sz w:val="24"/>
        </w:rPr>
        <w:t>to</w:t>
      </w:r>
      <w:r>
        <w:rPr>
          <w:spacing w:val="-12"/>
          <w:sz w:val="24"/>
        </w:rPr>
        <w:t> </w:t>
      </w:r>
      <w:r>
        <w:rPr>
          <w:sz w:val="24"/>
        </w:rPr>
        <w:t>develop</w:t>
      </w:r>
      <w:r>
        <w:rPr>
          <w:spacing w:val="-12"/>
          <w:sz w:val="24"/>
        </w:rPr>
        <w:t> </w:t>
      </w:r>
      <w:r>
        <w:rPr>
          <w:sz w:val="24"/>
        </w:rPr>
        <w:t>and</w:t>
      </w:r>
      <w:r>
        <w:rPr>
          <w:spacing w:val="-16"/>
          <w:sz w:val="24"/>
        </w:rPr>
        <w:t> </w:t>
      </w:r>
      <w:r>
        <w:rPr>
          <w:sz w:val="24"/>
        </w:rPr>
        <w:t>deliver </w:t>
      </w:r>
      <w:r>
        <w:rPr>
          <w:spacing w:val="-2"/>
          <w:sz w:val="24"/>
        </w:rPr>
        <w:t>sustainable</w:t>
      </w:r>
      <w:r>
        <w:rPr>
          <w:spacing w:val="-15"/>
          <w:sz w:val="24"/>
        </w:rPr>
        <w:t> </w:t>
      </w:r>
      <w:r>
        <w:rPr>
          <w:spacing w:val="-2"/>
          <w:sz w:val="24"/>
        </w:rPr>
        <w:t>services</w:t>
      </w:r>
      <w:r>
        <w:rPr>
          <w:spacing w:val="-15"/>
          <w:sz w:val="24"/>
        </w:rPr>
        <w:t> </w:t>
      </w:r>
      <w:r>
        <w:rPr>
          <w:spacing w:val="-2"/>
          <w:sz w:val="24"/>
        </w:rPr>
        <w:t>in</w:t>
      </w:r>
      <w:r>
        <w:rPr>
          <w:spacing w:val="-10"/>
          <w:sz w:val="24"/>
        </w:rPr>
        <w:t> </w:t>
      </w:r>
      <w:r>
        <w:rPr>
          <w:spacing w:val="-2"/>
          <w:sz w:val="24"/>
        </w:rPr>
        <w:t>terms</w:t>
      </w:r>
      <w:r>
        <w:rPr>
          <w:spacing w:val="-14"/>
          <w:sz w:val="24"/>
        </w:rPr>
        <w:t> </w:t>
      </w:r>
      <w:r>
        <w:rPr>
          <w:spacing w:val="-2"/>
          <w:sz w:val="24"/>
        </w:rPr>
        <w:t>of</w:t>
      </w:r>
      <w:r>
        <w:rPr>
          <w:spacing w:val="-15"/>
          <w:sz w:val="24"/>
        </w:rPr>
        <w:t> </w:t>
      </w:r>
      <w:r>
        <w:rPr>
          <w:spacing w:val="-2"/>
          <w:sz w:val="24"/>
        </w:rPr>
        <w:t>achieving</w:t>
      </w:r>
      <w:r>
        <w:rPr>
          <w:spacing w:val="-15"/>
          <w:sz w:val="24"/>
        </w:rPr>
        <w:t> </w:t>
      </w:r>
      <w:r>
        <w:rPr>
          <w:spacing w:val="-2"/>
          <w:sz w:val="24"/>
        </w:rPr>
        <w:t>quality</w:t>
      </w:r>
      <w:r>
        <w:rPr>
          <w:spacing w:val="-9"/>
          <w:sz w:val="24"/>
        </w:rPr>
        <w:t> </w:t>
      </w:r>
      <w:r>
        <w:rPr>
          <w:spacing w:val="-2"/>
          <w:sz w:val="24"/>
        </w:rPr>
        <w:t>and</w:t>
      </w:r>
      <w:r>
        <w:rPr>
          <w:spacing w:val="-15"/>
          <w:sz w:val="24"/>
        </w:rPr>
        <w:t> </w:t>
      </w:r>
      <w:r>
        <w:rPr>
          <w:spacing w:val="-2"/>
          <w:sz w:val="24"/>
        </w:rPr>
        <w:t>outcome</w:t>
      </w:r>
      <w:r>
        <w:rPr>
          <w:spacing w:val="-13"/>
          <w:sz w:val="24"/>
        </w:rPr>
        <w:t> </w:t>
      </w:r>
      <w:r>
        <w:rPr>
          <w:spacing w:val="-2"/>
          <w:sz w:val="24"/>
        </w:rPr>
        <w:t>measures,</w:t>
      </w:r>
      <w:r>
        <w:rPr>
          <w:spacing w:val="-11"/>
          <w:sz w:val="24"/>
        </w:rPr>
        <w:t> </w:t>
      </w:r>
      <w:r>
        <w:rPr>
          <w:spacing w:val="-2"/>
          <w:sz w:val="24"/>
        </w:rPr>
        <w:t>workforce </w:t>
      </w:r>
      <w:r>
        <w:rPr>
          <w:sz w:val="24"/>
        </w:rPr>
        <w:t>and financial sustainability.</w:t>
      </w:r>
    </w:p>
    <w:p>
      <w:pPr>
        <w:pStyle w:val="BodyText"/>
      </w:pPr>
    </w:p>
    <w:p>
      <w:pPr>
        <w:pStyle w:val="ListParagraph"/>
        <w:numPr>
          <w:ilvl w:val="2"/>
          <w:numId w:val="36"/>
        </w:numPr>
        <w:tabs>
          <w:tab w:pos="1559" w:val="left" w:leader="none"/>
          <w:tab w:pos="1563" w:val="left" w:leader="none"/>
        </w:tabs>
        <w:spacing w:line="240" w:lineRule="auto" w:before="0" w:after="0"/>
        <w:ind w:left="1563" w:right="624" w:hanging="711"/>
        <w:jc w:val="left"/>
        <w:rPr>
          <w:sz w:val="24"/>
        </w:rPr>
      </w:pPr>
      <w:r>
        <w:rPr>
          <w:sz w:val="24"/>
        </w:rPr>
        <w:t>Prioritise</w:t>
      </w:r>
      <w:r>
        <w:rPr>
          <w:spacing w:val="-15"/>
          <w:sz w:val="24"/>
        </w:rPr>
        <w:t> </w:t>
      </w:r>
      <w:r>
        <w:rPr>
          <w:sz w:val="24"/>
        </w:rPr>
        <w:t>in-year</w:t>
      </w:r>
      <w:r>
        <w:rPr>
          <w:spacing w:val="-16"/>
          <w:sz w:val="24"/>
        </w:rPr>
        <w:t> </w:t>
      </w:r>
      <w:r>
        <w:rPr>
          <w:sz w:val="24"/>
        </w:rPr>
        <w:t>efficiencies</w:t>
      </w:r>
      <w:r>
        <w:rPr>
          <w:spacing w:val="-16"/>
          <w:sz w:val="24"/>
        </w:rPr>
        <w:t> </w:t>
      </w:r>
      <w:r>
        <w:rPr>
          <w:sz w:val="24"/>
        </w:rPr>
        <w:t>and</w:t>
      </w:r>
      <w:r>
        <w:rPr>
          <w:spacing w:val="-15"/>
          <w:sz w:val="24"/>
        </w:rPr>
        <w:t> </w:t>
      </w:r>
      <w:r>
        <w:rPr>
          <w:sz w:val="24"/>
        </w:rPr>
        <w:t>identify</w:t>
      </w:r>
      <w:r>
        <w:rPr>
          <w:spacing w:val="-14"/>
          <w:sz w:val="24"/>
        </w:rPr>
        <w:t> </w:t>
      </w:r>
      <w:r>
        <w:rPr>
          <w:sz w:val="24"/>
        </w:rPr>
        <w:t>priorities</w:t>
      </w:r>
      <w:r>
        <w:rPr>
          <w:spacing w:val="-16"/>
          <w:sz w:val="24"/>
        </w:rPr>
        <w:t> </w:t>
      </w:r>
      <w:r>
        <w:rPr>
          <w:sz w:val="24"/>
        </w:rPr>
        <w:t>for</w:t>
      </w:r>
      <w:r>
        <w:rPr>
          <w:spacing w:val="-16"/>
          <w:sz w:val="24"/>
        </w:rPr>
        <w:t> </w:t>
      </w:r>
      <w:r>
        <w:rPr>
          <w:sz w:val="24"/>
        </w:rPr>
        <w:t>the</w:t>
      </w:r>
      <w:r>
        <w:rPr>
          <w:spacing w:val="-14"/>
          <w:sz w:val="24"/>
        </w:rPr>
        <w:t> </w:t>
      </w:r>
      <w:r>
        <w:rPr>
          <w:sz w:val="24"/>
        </w:rPr>
        <w:t>Integrated</w:t>
      </w:r>
      <w:r>
        <w:rPr>
          <w:spacing w:val="-15"/>
          <w:sz w:val="24"/>
        </w:rPr>
        <w:t> </w:t>
      </w:r>
      <w:r>
        <w:rPr>
          <w:sz w:val="24"/>
        </w:rPr>
        <w:t>Medium</w:t>
      </w:r>
      <w:r>
        <w:rPr>
          <w:spacing w:val="-12"/>
          <w:sz w:val="24"/>
        </w:rPr>
        <w:t> </w:t>
      </w:r>
      <w:r>
        <w:rPr>
          <w:sz w:val="24"/>
        </w:rPr>
        <w:t>Term </w:t>
      </w:r>
      <w:r>
        <w:rPr>
          <w:spacing w:val="-2"/>
          <w:sz w:val="24"/>
        </w:rPr>
        <w:t>Plans</w:t>
      </w:r>
      <w:r>
        <w:rPr>
          <w:spacing w:val="-15"/>
          <w:sz w:val="24"/>
        </w:rPr>
        <w:t> </w:t>
      </w:r>
      <w:r>
        <w:rPr>
          <w:spacing w:val="-2"/>
          <w:sz w:val="24"/>
        </w:rPr>
        <w:t>(IMTPs)</w:t>
      </w:r>
      <w:r>
        <w:rPr>
          <w:spacing w:val="-7"/>
          <w:sz w:val="24"/>
        </w:rPr>
        <w:t> </w:t>
      </w:r>
      <w:r>
        <w:rPr>
          <w:spacing w:val="-2"/>
          <w:sz w:val="24"/>
        </w:rPr>
        <w:t>for</w:t>
      </w:r>
      <w:r>
        <w:rPr>
          <w:spacing w:val="-12"/>
          <w:sz w:val="24"/>
        </w:rPr>
        <w:t> </w:t>
      </w:r>
      <w:r>
        <w:rPr>
          <w:spacing w:val="-2"/>
          <w:sz w:val="24"/>
        </w:rPr>
        <w:t>both</w:t>
      </w:r>
      <w:r>
        <w:rPr>
          <w:spacing w:val="-11"/>
          <w:sz w:val="24"/>
        </w:rPr>
        <w:t> </w:t>
      </w:r>
      <w:r>
        <w:rPr>
          <w:spacing w:val="-2"/>
          <w:sz w:val="24"/>
        </w:rPr>
        <w:t>organisations,</w:t>
      </w:r>
      <w:r>
        <w:rPr>
          <w:spacing w:val="-14"/>
          <w:sz w:val="24"/>
        </w:rPr>
        <w:t> </w:t>
      </w:r>
      <w:r>
        <w:rPr>
          <w:spacing w:val="-2"/>
          <w:sz w:val="24"/>
        </w:rPr>
        <w:t>where</w:t>
      </w:r>
      <w:r>
        <w:rPr>
          <w:spacing w:val="-15"/>
          <w:sz w:val="24"/>
        </w:rPr>
        <w:t> </w:t>
      </w:r>
      <w:r>
        <w:rPr>
          <w:spacing w:val="-2"/>
          <w:sz w:val="24"/>
        </w:rPr>
        <w:t>a</w:t>
      </w:r>
      <w:r>
        <w:rPr>
          <w:spacing w:val="-6"/>
          <w:sz w:val="24"/>
        </w:rPr>
        <w:t> </w:t>
      </w:r>
      <w:r>
        <w:rPr>
          <w:spacing w:val="-2"/>
          <w:sz w:val="24"/>
        </w:rPr>
        <w:t>regional</w:t>
      </w:r>
      <w:r>
        <w:rPr>
          <w:spacing w:val="-14"/>
          <w:sz w:val="24"/>
        </w:rPr>
        <w:t> </w:t>
      </w:r>
      <w:r>
        <w:rPr>
          <w:spacing w:val="-2"/>
          <w:sz w:val="24"/>
        </w:rPr>
        <w:t>approach</w:t>
      </w:r>
      <w:r>
        <w:rPr>
          <w:spacing w:val="-15"/>
          <w:sz w:val="24"/>
        </w:rPr>
        <w:t> </w:t>
      </w:r>
      <w:r>
        <w:rPr>
          <w:spacing w:val="-2"/>
          <w:sz w:val="24"/>
        </w:rPr>
        <w:t>will</w:t>
      </w:r>
      <w:r>
        <w:rPr>
          <w:spacing w:val="-15"/>
          <w:sz w:val="24"/>
        </w:rPr>
        <w:t> </w:t>
      </w:r>
      <w:r>
        <w:rPr>
          <w:spacing w:val="-2"/>
          <w:sz w:val="24"/>
        </w:rPr>
        <w:t>deliver</w:t>
      </w:r>
      <w:r>
        <w:rPr>
          <w:spacing w:val="-14"/>
          <w:sz w:val="24"/>
        </w:rPr>
        <w:t> </w:t>
      </w:r>
      <w:r>
        <w:rPr>
          <w:spacing w:val="-2"/>
          <w:sz w:val="24"/>
        </w:rPr>
        <w:t>benefit </w:t>
      </w:r>
      <w:r>
        <w:rPr>
          <w:sz w:val="24"/>
        </w:rPr>
        <w:t>in the short term.</w:t>
      </w:r>
    </w:p>
    <w:p>
      <w:pPr>
        <w:pStyle w:val="ListParagraph"/>
        <w:numPr>
          <w:ilvl w:val="2"/>
          <w:numId w:val="36"/>
        </w:numPr>
        <w:tabs>
          <w:tab w:pos="1560" w:val="left" w:leader="none"/>
          <w:tab w:pos="1563" w:val="left" w:leader="none"/>
        </w:tabs>
        <w:spacing w:line="242" w:lineRule="auto" w:before="272" w:after="0"/>
        <w:ind w:left="1563" w:right="439" w:hanging="711"/>
        <w:jc w:val="left"/>
        <w:rPr>
          <w:sz w:val="24"/>
        </w:rPr>
      </w:pPr>
      <w:r>
        <w:rPr>
          <w:spacing w:val="-2"/>
          <w:sz w:val="24"/>
        </w:rPr>
        <w:t>Explore</w:t>
      </w:r>
      <w:r>
        <w:rPr>
          <w:spacing w:val="-15"/>
          <w:sz w:val="24"/>
        </w:rPr>
        <w:t> </w:t>
      </w:r>
      <w:r>
        <w:rPr>
          <w:spacing w:val="-2"/>
          <w:sz w:val="24"/>
        </w:rPr>
        <w:t>how</w:t>
      </w:r>
      <w:r>
        <w:rPr>
          <w:spacing w:val="-10"/>
          <w:sz w:val="24"/>
        </w:rPr>
        <w:t> </w:t>
      </w:r>
      <w:r>
        <w:rPr>
          <w:spacing w:val="-2"/>
          <w:sz w:val="24"/>
        </w:rPr>
        <w:t>the</w:t>
      </w:r>
      <w:r>
        <w:rPr>
          <w:spacing w:val="-10"/>
          <w:sz w:val="24"/>
        </w:rPr>
        <w:t> </w:t>
      </w:r>
      <w:r>
        <w:rPr>
          <w:spacing w:val="-2"/>
          <w:sz w:val="24"/>
        </w:rPr>
        <w:t>benefits</w:t>
      </w:r>
      <w:r>
        <w:rPr>
          <w:spacing w:val="-11"/>
          <w:sz w:val="24"/>
        </w:rPr>
        <w:t> </w:t>
      </w:r>
      <w:r>
        <w:rPr>
          <w:spacing w:val="-2"/>
          <w:sz w:val="24"/>
        </w:rPr>
        <w:t>of</w:t>
      </w:r>
      <w:r>
        <w:rPr>
          <w:spacing w:val="-13"/>
          <w:sz w:val="24"/>
        </w:rPr>
        <w:t> </w:t>
      </w:r>
      <w:r>
        <w:rPr>
          <w:spacing w:val="-2"/>
          <w:sz w:val="24"/>
        </w:rPr>
        <w:t>a</w:t>
      </w:r>
      <w:r>
        <w:rPr>
          <w:spacing w:val="-10"/>
          <w:sz w:val="24"/>
        </w:rPr>
        <w:t> </w:t>
      </w:r>
      <w:r>
        <w:rPr>
          <w:spacing w:val="-2"/>
          <w:sz w:val="24"/>
        </w:rPr>
        <w:t>regional</w:t>
      </w:r>
      <w:r>
        <w:rPr>
          <w:spacing w:val="-10"/>
          <w:sz w:val="24"/>
        </w:rPr>
        <w:t> </w:t>
      </w:r>
      <w:r>
        <w:rPr>
          <w:spacing w:val="-2"/>
          <w:sz w:val="24"/>
        </w:rPr>
        <w:t>health</w:t>
      </w:r>
      <w:r>
        <w:rPr>
          <w:spacing w:val="-10"/>
          <w:sz w:val="24"/>
        </w:rPr>
        <w:t> </w:t>
      </w:r>
      <w:r>
        <w:rPr>
          <w:spacing w:val="-2"/>
          <w:sz w:val="24"/>
        </w:rPr>
        <w:t>economy</w:t>
      </w:r>
      <w:r>
        <w:rPr>
          <w:spacing w:val="-11"/>
          <w:sz w:val="24"/>
        </w:rPr>
        <w:t> </w:t>
      </w:r>
      <w:r>
        <w:rPr>
          <w:spacing w:val="-2"/>
          <w:sz w:val="24"/>
        </w:rPr>
        <w:t>are</w:t>
      </w:r>
      <w:r>
        <w:rPr>
          <w:spacing w:val="-10"/>
          <w:sz w:val="24"/>
        </w:rPr>
        <w:t> </w:t>
      </w:r>
      <w:r>
        <w:rPr>
          <w:spacing w:val="-2"/>
          <w:sz w:val="24"/>
        </w:rPr>
        <w:t>harnessed</w:t>
      </w:r>
      <w:r>
        <w:rPr>
          <w:spacing w:val="-10"/>
          <w:sz w:val="24"/>
        </w:rPr>
        <w:t> </w:t>
      </w:r>
      <w:r>
        <w:rPr>
          <w:spacing w:val="-2"/>
          <w:sz w:val="24"/>
        </w:rPr>
        <w:t>to</w:t>
      </w:r>
      <w:r>
        <w:rPr>
          <w:spacing w:val="-10"/>
          <w:sz w:val="24"/>
        </w:rPr>
        <w:t> </w:t>
      </w:r>
      <w:r>
        <w:rPr>
          <w:spacing w:val="-2"/>
          <w:sz w:val="24"/>
        </w:rPr>
        <w:t>best</w:t>
      </w:r>
      <w:r>
        <w:rPr>
          <w:spacing w:val="-8"/>
          <w:sz w:val="24"/>
        </w:rPr>
        <w:t> </w:t>
      </w:r>
      <w:r>
        <w:rPr>
          <w:spacing w:val="-2"/>
          <w:sz w:val="24"/>
        </w:rPr>
        <w:t>serve</w:t>
      </w:r>
      <w:r>
        <w:rPr>
          <w:spacing w:val="-15"/>
          <w:sz w:val="24"/>
        </w:rPr>
        <w:t> </w:t>
      </w:r>
      <w:r>
        <w:rPr>
          <w:spacing w:val="-2"/>
          <w:sz w:val="24"/>
        </w:rPr>
        <w:t>a </w:t>
      </w:r>
      <w:r>
        <w:rPr>
          <w:sz w:val="24"/>
        </w:rPr>
        <w:t>population of over 800,000.</w:t>
      </w:r>
    </w:p>
    <w:p>
      <w:pPr>
        <w:pStyle w:val="ListParagraph"/>
        <w:numPr>
          <w:ilvl w:val="3"/>
          <w:numId w:val="36"/>
        </w:numPr>
        <w:tabs>
          <w:tab w:pos="2409" w:val="left" w:leader="none"/>
          <w:tab w:pos="2413" w:val="left" w:leader="none"/>
        </w:tabs>
        <w:spacing w:line="240" w:lineRule="auto" w:before="273" w:after="0"/>
        <w:ind w:left="2413" w:right="608" w:hanging="851"/>
        <w:jc w:val="both"/>
        <w:rPr>
          <w:sz w:val="24"/>
        </w:rPr>
      </w:pPr>
      <w:r>
        <w:rPr>
          <w:spacing w:val="-2"/>
          <w:sz w:val="24"/>
        </w:rPr>
        <w:t>In</w:t>
      </w:r>
      <w:r>
        <w:rPr>
          <w:spacing w:val="-13"/>
          <w:sz w:val="24"/>
        </w:rPr>
        <w:t> </w:t>
      </w:r>
      <w:r>
        <w:rPr>
          <w:spacing w:val="-2"/>
          <w:sz w:val="24"/>
        </w:rPr>
        <w:t>the</w:t>
      </w:r>
      <w:r>
        <w:rPr>
          <w:spacing w:val="-7"/>
          <w:sz w:val="24"/>
        </w:rPr>
        <w:t> </w:t>
      </w:r>
      <w:r>
        <w:rPr>
          <w:spacing w:val="-2"/>
          <w:sz w:val="24"/>
        </w:rPr>
        <w:t>short</w:t>
      </w:r>
      <w:r>
        <w:rPr>
          <w:spacing w:val="-14"/>
          <w:sz w:val="24"/>
        </w:rPr>
        <w:t> </w:t>
      </w:r>
      <w:r>
        <w:rPr>
          <w:spacing w:val="-2"/>
          <w:sz w:val="24"/>
        </w:rPr>
        <w:t>term</w:t>
      </w:r>
      <w:r>
        <w:rPr>
          <w:spacing w:val="-8"/>
          <w:sz w:val="24"/>
        </w:rPr>
        <w:t> </w:t>
      </w:r>
      <w:r>
        <w:rPr>
          <w:spacing w:val="-2"/>
          <w:sz w:val="24"/>
        </w:rPr>
        <w:t>focus</w:t>
      </w:r>
      <w:r>
        <w:rPr>
          <w:spacing w:val="-13"/>
          <w:sz w:val="24"/>
        </w:rPr>
        <w:t> </w:t>
      </w:r>
      <w:r>
        <w:rPr>
          <w:spacing w:val="-2"/>
          <w:sz w:val="24"/>
        </w:rPr>
        <w:t>on</w:t>
      </w:r>
      <w:r>
        <w:rPr>
          <w:spacing w:val="-15"/>
          <w:sz w:val="24"/>
        </w:rPr>
        <w:t> </w:t>
      </w:r>
      <w:r>
        <w:rPr>
          <w:spacing w:val="-2"/>
          <w:sz w:val="24"/>
        </w:rPr>
        <w:t>intensifying</w:t>
      </w:r>
      <w:r>
        <w:rPr>
          <w:spacing w:val="-11"/>
          <w:sz w:val="24"/>
        </w:rPr>
        <w:t> </w:t>
      </w:r>
      <w:r>
        <w:rPr>
          <w:spacing w:val="-2"/>
          <w:sz w:val="24"/>
        </w:rPr>
        <w:t>baseline</w:t>
      </w:r>
      <w:r>
        <w:rPr>
          <w:spacing w:val="-12"/>
          <w:sz w:val="24"/>
        </w:rPr>
        <w:t> </w:t>
      </w:r>
      <w:r>
        <w:rPr>
          <w:spacing w:val="-2"/>
          <w:sz w:val="24"/>
        </w:rPr>
        <w:t>work,</w:t>
      </w:r>
      <w:r>
        <w:rPr>
          <w:spacing w:val="-14"/>
          <w:sz w:val="24"/>
        </w:rPr>
        <w:t> </w:t>
      </w:r>
      <w:r>
        <w:rPr>
          <w:spacing w:val="-2"/>
          <w:sz w:val="24"/>
        </w:rPr>
        <w:t>supporting</w:t>
      </w:r>
      <w:r>
        <w:rPr>
          <w:spacing w:val="-12"/>
          <w:sz w:val="24"/>
        </w:rPr>
        <w:t> </w:t>
      </w:r>
      <w:r>
        <w:rPr>
          <w:spacing w:val="-2"/>
          <w:sz w:val="24"/>
        </w:rPr>
        <w:t>the</w:t>
      </w:r>
      <w:r>
        <w:rPr>
          <w:spacing w:val="-12"/>
          <w:sz w:val="24"/>
        </w:rPr>
        <w:t> </w:t>
      </w:r>
      <w:r>
        <w:rPr>
          <w:spacing w:val="-2"/>
          <w:sz w:val="24"/>
        </w:rPr>
        <w:t>in-year </w:t>
      </w:r>
      <w:r>
        <w:rPr>
          <w:sz w:val="24"/>
        </w:rPr>
        <w:t>financial</w:t>
      </w:r>
      <w:r>
        <w:rPr>
          <w:spacing w:val="-17"/>
          <w:sz w:val="24"/>
        </w:rPr>
        <w:t> </w:t>
      </w:r>
      <w:r>
        <w:rPr>
          <w:sz w:val="24"/>
        </w:rPr>
        <w:t>position</w:t>
      </w:r>
      <w:r>
        <w:rPr>
          <w:spacing w:val="-17"/>
          <w:sz w:val="24"/>
        </w:rPr>
        <w:t> </w:t>
      </w:r>
      <w:r>
        <w:rPr>
          <w:sz w:val="24"/>
        </w:rPr>
        <w:t>of</w:t>
      </w:r>
      <w:r>
        <w:rPr>
          <w:spacing w:val="-16"/>
          <w:sz w:val="24"/>
        </w:rPr>
        <w:t> </w:t>
      </w:r>
      <w:r>
        <w:rPr>
          <w:sz w:val="24"/>
        </w:rPr>
        <w:t>both</w:t>
      </w:r>
      <w:r>
        <w:rPr>
          <w:spacing w:val="-17"/>
          <w:sz w:val="24"/>
        </w:rPr>
        <w:t> </w:t>
      </w:r>
      <w:r>
        <w:rPr>
          <w:sz w:val="24"/>
        </w:rPr>
        <w:t>Boards,</w:t>
      </w:r>
      <w:r>
        <w:rPr>
          <w:spacing w:val="-17"/>
          <w:sz w:val="24"/>
        </w:rPr>
        <w:t> </w:t>
      </w:r>
      <w:r>
        <w:rPr>
          <w:sz w:val="24"/>
        </w:rPr>
        <w:t>impacting</w:t>
      </w:r>
      <w:r>
        <w:rPr>
          <w:spacing w:val="-17"/>
          <w:sz w:val="24"/>
        </w:rPr>
        <w:t> </w:t>
      </w:r>
      <w:r>
        <w:rPr>
          <w:sz w:val="24"/>
        </w:rPr>
        <w:t>also</w:t>
      </w:r>
      <w:r>
        <w:rPr>
          <w:spacing w:val="-16"/>
          <w:sz w:val="24"/>
        </w:rPr>
        <w:t> </w:t>
      </w:r>
      <w:r>
        <w:rPr>
          <w:sz w:val="24"/>
        </w:rPr>
        <w:t>on</w:t>
      </w:r>
      <w:r>
        <w:rPr>
          <w:spacing w:val="-17"/>
          <w:sz w:val="24"/>
        </w:rPr>
        <w:t> </w:t>
      </w:r>
      <w:r>
        <w:rPr>
          <w:sz w:val="24"/>
        </w:rPr>
        <w:t>cost</w:t>
      </w:r>
      <w:r>
        <w:rPr>
          <w:spacing w:val="-17"/>
          <w:sz w:val="24"/>
        </w:rPr>
        <w:t> </w:t>
      </w:r>
      <w:r>
        <w:rPr>
          <w:sz w:val="24"/>
        </w:rPr>
        <w:t>effectiveness,</w:t>
      </w:r>
      <w:r>
        <w:rPr>
          <w:spacing w:val="-16"/>
          <w:sz w:val="24"/>
        </w:rPr>
        <w:t> </w:t>
      </w:r>
      <w:r>
        <w:rPr>
          <w:sz w:val="24"/>
        </w:rPr>
        <w:t>and waiting list management.</w:t>
      </w:r>
    </w:p>
    <w:p>
      <w:pPr>
        <w:pStyle w:val="ListParagraph"/>
        <w:numPr>
          <w:ilvl w:val="3"/>
          <w:numId w:val="36"/>
        </w:numPr>
        <w:tabs>
          <w:tab w:pos="2334" w:val="left" w:leader="none"/>
          <w:tab w:pos="2413" w:val="left" w:leader="none"/>
        </w:tabs>
        <w:spacing w:line="240" w:lineRule="auto" w:before="3" w:after="0"/>
        <w:ind w:left="2413" w:right="724" w:hanging="851"/>
        <w:jc w:val="left"/>
        <w:rPr>
          <w:sz w:val="24"/>
        </w:rPr>
      </w:pPr>
      <w:r>
        <w:rPr>
          <w:sz w:val="24"/>
        </w:rPr>
        <w:t>In</w:t>
      </w:r>
      <w:r>
        <w:rPr>
          <w:spacing w:val="-2"/>
          <w:sz w:val="24"/>
        </w:rPr>
        <w:t> </w:t>
      </w:r>
      <w:r>
        <w:rPr>
          <w:sz w:val="24"/>
        </w:rPr>
        <w:t>the</w:t>
      </w:r>
      <w:r>
        <w:rPr>
          <w:spacing w:val="-7"/>
          <w:sz w:val="24"/>
        </w:rPr>
        <w:t> </w:t>
      </w:r>
      <w:r>
        <w:rPr>
          <w:sz w:val="24"/>
        </w:rPr>
        <w:t>medium</w:t>
      </w:r>
      <w:r>
        <w:rPr>
          <w:spacing w:val="-8"/>
          <w:sz w:val="24"/>
        </w:rPr>
        <w:t> </w:t>
      </w:r>
      <w:r>
        <w:rPr>
          <w:sz w:val="24"/>
        </w:rPr>
        <w:t>term</w:t>
      </w:r>
      <w:r>
        <w:rPr>
          <w:spacing w:val="-8"/>
          <w:sz w:val="24"/>
        </w:rPr>
        <w:t> </w:t>
      </w:r>
      <w:r>
        <w:rPr>
          <w:sz w:val="24"/>
        </w:rPr>
        <w:t>expand</w:t>
      </w:r>
      <w:r>
        <w:rPr>
          <w:spacing w:val="-12"/>
          <w:sz w:val="24"/>
        </w:rPr>
        <w:t> </w:t>
      </w:r>
      <w:r>
        <w:rPr>
          <w:sz w:val="24"/>
        </w:rPr>
        <w:t>on</w:t>
      </w:r>
      <w:r>
        <w:rPr>
          <w:spacing w:val="-7"/>
          <w:sz w:val="24"/>
        </w:rPr>
        <w:t> </w:t>
      </w:r>
      <w:r>
        <w:rPr>
          <w:sz w:val="24"/>
        </w:rPr>
        <w:t>the</w:t>
      </w:r>
      <w:r>
        <w:rPr>
          <w:spacing w:val="-7"/>
          <w:sz w:val="24"/>
        </w:rPr>
        <w:t> </w:t>
      </w:r>
      <w:r>
        <w:rPr>
          <w:sz w:val="24"/>
        </w:rPr>
        <w:t>short-term</w:t>
      </w:r>
      <w:r>
        <w:rPr>
          <w:spacing w:val="-8"/>
          <w:sz w:val="24"/>
        </w:rPr>
        <w:t> </w:t>
      </w:r>
      <w:r>
        <w:rPr>
          <w:sz w:val="24"/>
        </w:rPr>
        <w:t>gains</w:t>
      </w:r>
      <w:r>
        <w:rPr>
          <w:spacing w:val="-8"/>
          <w:sz w:val="24"/>
        </w:rPr>
        <w:t> </w:t>
      </w:r>
      <w:r>
        <w:rPr>
          <w:sz w:val="24"/>
        </w:rPr>
        <w:t>in</w:t>
      </w:r>
      <w:r>
        <w:rPr>
          <w:spacing w:val="-2"/>
          <w:sz w:val="24"/>
        </w:rPr>
        <w:t> </w:t>
      </w:r>
      <w:r>
        <w:rPr>
          <w:sz w:val="24"/>
        </w:rPr>
        <w:t>the</w:t>
      </w:r>
      <w:r>
        <w:rPr>
          <w:spacing w:val="-6"/>
          <w:sz w:val="24"/>
        </w:rPr>
        <w:t> </w:t>
      </w:r>
      <w:r>
        <w:rPr>
          <w:sz w:val="24"/>
        </w:rPr>
        <w:t>IMTP</w:t>
      </w:r>
      <w:r>
        <w:rPr>
          <w:spacing w:val="-8"/>
          <w:sz w:val="24"/>
        </w:rPr>
        <w:t> </w:t>
      </w:r>
      <w:r>
        <w:rPr>
          <w:sz w:val="24"/>
        </w:rPr>
        <w:t>process, developing</w:t>
      </w:r>
      <w:r>
        <w:rPr>
          <w:spacing w:val="-3"/>
          <w:sz w:val="24"/>
        </w:rPr>
        <w:t> </w:t>
      </w:r>
      <w:r>
        <w:rPr>
          <w:sz w:val="24"/>
        </w:rPr>
        <w:t>the</w:t>
      </w:r>
      <w:r>
        <w:rPr>
          <w:spacing w:val="-8"/>
          <w:sz w:val="24"/>
        </w:rPr>
        <w:t> </w:t>
      </w:r>
      <w:r>
        <w:rPr>
          <w:sz w:val="24"/>
        </w:rPr>
        <w:t>West</w:t>
      </w:r>
      <w:r>
        <w:rPr>
          <w:spacing w:val="-10"/>
          <w:sz w:val="24"/>
        </w:rPr>
        <w:t> </w:t>
      </w:r>
      <w:r>
        <w:rPr>
          <w:sz w:val="24"/>
        </w:rPr>
        <w:t>Wales</w:t>
      </w:r>
      <w:r>
        <w:rPr>
          <w:spacing w:val="-9"/>
          <w:sz w:val="24"/>
        </w:rPr>
        <w:t> </w:t>
      </w:r>
      <w:r>
        <w:rPr>
          <w:sz w:val="24"/>
        </w:rPr>
        <w:t>regional</w:t>
      </w:r>
      <w:r>
        <w:rPr>
          <w:spacing w:val="-7"/>
          <w:sz w:val="24"/>
        </w:rPr>
        <w:t> </w:t>
      </w:r>
      <w:r>
        <w:rPr>
          <w:sz w:val="24"/>
        </w:rPr>
        <w:t>health</w:t>
      </w:r>
      <w:r>
        <w:rPr>
          <w:spacing w:val="-7"/>
          <w:sz w:val="24"/>
        </w:rPr>
        <w:t> </w:t>
      </w:r>
      <w:r>
        <w:rPr>
          <w:sz w:val="24"/>
        </w:rPr>
        <w:t>economy</w:t>
      </w:r>
      <w:r>
        <w:rPr>
          <w:spacing w:val="-9"/>
          <w:sz w:val="24"/>
        </w:rPr>
        <w:t> </w:t>
      </w:r>
      <w:r>
        <w:rPr>
          <w:sz w:val="24"/>
        </w:rPr>
        <w:t>concept,</w:t>
      </w:r>
      <w:r>
        <w:rPr>
          <w:spacing w:val="-11"/>
          <w:sz w:val="24"/>
        </w:rPr>
        <w:t> </w:t>
      </w:r>
      <w:r>
        <w:rPr>
          <w:sz w:val="24"/>
        </w:rPr>
        <w:t>using</w:t>
      </w:r>
      <w:r>
        <w:rPr>
          <w:spacing w:val="-8"/>
          <w:sz w:val="24"/>
        </w:rPr>
        <w:t> </w:t>
      </w:r>
      <w:r>
        <w:rPr>
          <w:sz w:val="24"/>
        </w:rPr>
        <w:t>a </w:t>
      </w:r>
      <w:r>
        <w:rPr>
          <w:spacing w:val="-2"/>
          <w:sz w:val="24"/>
        </w:rPr>
        <w:t>‘discovery’</w:t>
      </w:r>
      <w:r>
        <w:rPr>
          <w:spacing w:val="-14"/>
          <w:sz w:val="24"/>
        </w:rPr>
        <w:t> </w:t>
      </w:r>
      <w:r>
        <w:rPr>
          <w:spacing w:val="-2"/>
          <w:sz w:val="24"/>
        </w:rPr>
        <w:t>approach</w:t>
      </w:r>
      <w:r>
        <w:rPr>
          <w:spacing w:val="-10"/>
          <w:sz w:val="24"/>
        </w:rPr>
        <w:t> </w:t>
      </w:r>
      <w:r>
        <w:rPr>
          <w:spacing w:val="-2"/>
          <w:sz w:val="24"/>
        </w:rPr>
        <w:t>through</w:t>
      </w:r>
      <w:r>
        <w:rPr>
          <w:spacing w:val="-11"/>
          <w:sz w:val="24"/>
        </w:rPr>
        <w:t> </w:t>
      </w:r>
      <w:r>
        <w:rPr>
          <w:spacing w:val="-2"/>
          <w:sz w:val="24"/>
        </w:rPr>
        <w:t>use</w:t>
      </w:r>
      <w:r>
        <w:rPr>
          <w:spacing w:val="-11"/>
          <w:sz w:val="24"/>
        </w:rPr>
        <w:t> </w:t>
      </w:r>
      <w:r>
        <w:rPr>
          <w:spacing w:val="-2"/>
          <w:sz w:val="24"/>
        </w:rPr>
        <w:t>of</w:t>
      </w:r>
      <w:r>
        <w:rPr>
          <w:spacing w:val="-14"/>
          <w:sz w:val="24"/>
        </w:rPr>
        <w:t> </w:t>
      </w:r>
      <w:r>
        <w:rPr>
          <w:spacing w:val="-2"/>
          <w:sz w:val="24"/>
        </w:rPr>
        <w:t>a</w:t>
      </w:r>
      <w:r>
        <w:rPr>
          <w:spacing w:val="-15"/>
          <w:sz w:val="24"/>
        </w:rPr>
        <w:t> </w:t>
      </w:r>
      <w:r>
        <w:rPr>
          <w:spacing w:val="-2"/>
          <w:sz w:val="24"/>
        </w:rPr>
        <w:t>broader</w:t>
      </w:r>
      <w:r>
        <w:rPr>
          <w:spacing w:val="-15"/>
          <w:sz w:val="24"/>
        </w:rPr>
        <w:t> </w:t>
      </w:r>
      <w:r>
        <w:rPr>
          <w:spacing w:val="-2"/>
          <w:sz w:val="24"/>
        </w:rPr>
        <w:t>data</w:t>
      </w:r>
      <w:r>
        <w:rPr>
          <w:spacing w:val="-11"/>
          <w:sz w:val="24"/>
        </w:rPr>
        <w:t> </w:t>
      </w:r>
      <w:r>
        <w:rPr>
          <w:spacing w:val="-2"/>
          <w:sz w:val="24"/>
        </w:rPr>
        <w:t>set</w:t>
      </w:r>
      <w:r>
        <w:rPr>
          <w:spacing w:val="-14"/>
          <w:sz w:val="24"/>
        </w:rPr>
        <w:t> </w:t>
      </w:r>
      <w:r>
        <w:rPr>
          <w:spacing w:val="-2"/>
          <w:sz w:val="24"/>
        </w:rPr>
        <w:t>and</w:t>
      </w:r>
      <w:r>
        <w:rPr>
          <w:spacing w:val="-11"/>
          <w:sz w:val="24"/>
        </w:rPr>
        <w:t> </w:t>
      </w:r>
      <w:r>
        <w:rPr>
          <w:spacing w:val="-2"/>
          <w:sz w:val="24"/>
        </w:rPr>
        <w:t>benchmarking </w:t>
      </w:r>
      <w:r>
        <w:rPr>
          <w:sz w:val="24"/>
        </w:rPr>
        <w:t>against</w:t>
      </w:r>
      <w:r>
        <w:rPr>
          <w:spacing w:val="-17"/>
          <w:sz w:val="24"/>
        </w:rPr>
        <w:t> </w:t>
      </w:r>
      <w:r>
        <w:rPr>
          <w:sz w:val="24"/>
        </w:rPr>
        <w:t>other</w:t>
      </w:r>
      <w:r>
        <w:rPr>
          <w:spacing w:val="-11"/>
          <w:sz w:val="24"/>
        </w:rPr>
        <w:t> </w:t>
      </w:r>
      <w:r>
        <w:rPr>
          <w:sz w:val="24"/>
        </w:rPr>
        <w:t>UK/International</w:t>
      </w:r>
      <w:r>
        <w:rPr>
          <w:spacing w:val="-10"/>
          <w:sz w:val="24"/>
        </w:rPr>
        <w:t> </w:t>
      </w:r>
      <w:r>
        <w:rPr>
          <w:sz w:val="24"/>
        </w:rPr>
        <w:t>models</w:t>
      </w:r>
      <w:r>
        <w:rPr>
          <w:spacing w:val="-11"/>
          <w:sz w:val="24"/>
        </w:rPr>
        <w:t> </w:t>
      </w:r>
      <w:r>
        <w:rPr>
          <w:sz w:val="24"/>
        </w:rPr>
        <w:t>and</w:t>
      </w:r>
      <w:r>
        <w:rPr>
          <w:spacing w:val="-10"/>
          <w:sz w:val="24"/>
        </w:rPr>
        <w:t> </w:t>
      </w:r>
      <w:r>
        <w:rPr>
          <w:sz w:val="24"/>
        </w:rPr>
        <w:t>becoming</w:t>
      </w:r>
      <w:r>
        <w:rPr>
          <w:spacing w:val="-15"/>
          <w:sz w:val="24"/>
        </w:rPr>
        <w:t> </w:t>
      </w:r>
      <w:r>
        <w:rPr>
          <w:sz w:val="24"/>
        </w:rPr>
        <w:t>a</w:t>
      </w:r>
      <w:r>
        <w:rPr>
          <w:spacing w:val="-10"/>
          <w:sz w:val="24"/>
        </w:rPr>
        <w:t> </w:t>
      </w:r>
      <w:r>
        <w:rPr>
          <w:sz w:val="24"/>
        </w:rPr>
        <w:t>designated</w:t>
      </w:r>
      <w:r>
        <w:rPr>
          <w:spacing w:val="-5"/>
          <w:sz w:val="24"/>
        </w:rPr>
        <w:t> </w:t>
      </w:r>
      <w:r>
        <w:rPr>
          <w:sz w:val="24"/>
        </w:rPr>
        <w:t>WHO Sub regional health network.</w:t>
      </w:r>
    </w:p>
    <w:p>
      <w:pPr>
        <w:pStyle w:val="ListParagraph"/>
        <w:numPr>
          <w:ilvl w:val="3"/>
          <w:numId w:val="36"/>
        </w:numPr>
        <w:tabs>
          <w:tab w:pos="2334" w:val="left" w:leader="none"/>
          <w:tab w:pos="2413" w:val="left" w:leader="none"/>
        </w:tabs>
        <w:spacing w:line="240" w:lineRule="auto" w:before="0" w:after="0"/>
        <w:ind w:left="2413" w:right="653" w:hanging="851"/>
        <w:jc w:val="left"/>
        <w:rPr>
          <w:sz w:val="24"/>
        </w:rPr>
      </w:pPr>
      <w:r>
        <w:rPr>
          <w:sz w:val="24"/>
        </w:rPr>
        <w:t>Within</w:t>
      </w:r>
      <w:r>
        <w:rPr>
          <w:spacing w:val="-4"/>
          <w:sz w:val="24"/>
        </w:rPr>
        <w:t> </w:t>
      </w:r>
      <w:r>
        <w:rPr>
          <w:sz w:val="24"/>
        </w:rPr>
        <w:t>the</w:t>
      </w:r>
      <w:r>
        <w:rPr>
          <w:spacing w:val="-9"/>
          <w:sz w:val="24"/>
        </w:rPr>
        <w:t> </w:t>
      </w:r>
      <w:r>
        <w:rPr>
          <w:sz w:val="24"/>
        </w:rPr>
        <w:t>next</w:t>
      </w:r>
      <w:r>
        <w:rPr>
          <w:spacing w:val="-12"/>
          <w:sz w:val="24"/>
        </w:rPr>
        <w:t> </w:t>
      </w:r>
      <w:r>
        <w:rPr>
          <w:strike/>
          <w:sz w:val="24"/>
        </w:rPr>
        <w:t>three</w:t>
      </w:r>
      <w:r>
        <w:rPr>
          <w:strike w:val="0"/>
          <w:spacing w:val="-8"/>
          <w:sz w:val="24"/>
        </w:rPr>
        <w:t> </w:t>
      </w:r>
      <w:r>
        <w:rPr>
          <w:strike/>
          <w:color w:val="ED0000"/>
          <w:sz w:val="24"/>
        </w:rPr>
        <w:t>two</w:t>
      </w:r>
      <w:r>
        <w:rPr>
          <w:strike w:val="0"/>
          <w:color w:val="ED0000"/>
          <w:spacing w:val="-8"/>
          <w:sz w:val="24"/>
        </w:rPr>
        <w:t> </w:t>
      </w:r>
      <w:r>
        <w:rPr>
          <w:strike w:val="0"/>
          <w:sz w:val="24"/>
        </w:rPr>
        <w:t>years</w:t>
      </w:r>
      <w:r>
        <w:rPr>
          <w:strike w:val="0"/>
          <w:color w:val="ED0000"/>
          <w:sz w:val="24"/>
        </w:rPr>
        <w:t>,</w:t>
      </w:r>
      <w:r>
        <w:rPr>
          <w:strike w:val="0"/>
          <w:color w:val="ED0000"/>
          <w:spacing w:val="-12"/>
          <w:sz w:val="24"/>
        </w:rPr>
        <w:t> </w:t>
      </w:r>
      <w:r>
        <w:rPr>
          <w:strike w:val="0"/>
          <w:sz w:val="24"/>
        </w:rPr>
        <w:t>have</w:t>
      </w:r>
      <w:r>
        <w:rPr>
          <w:strike w:val="0"/>
          <w:spacing w:val="-8"/>
          <w:sz w:val="24"/>
        </w:rPr>
        <w:t> </w:t>
      </w:r>
      <w:r>
        <w:rPr>
          <w:strike w:val="0"/>
          <w:sz w:val="24"/>
        </w:rPr>
        <w:t>an</w:t>
      </w:r>
      <w:r>
        <w:rPr>
          <w:strike w:val="0"/>
          <w:spacing w:val="-9"/>
          <w:sz w:val="24"/>
        </w:rPr>
        <w:t> </w:t>
      </w:r>
      <w:r>
        <w:rPr>
          <w:strike w:val="0"/>
          <w:sz w:val="24"/>
        </w:rPr>
        <w:t>integrated</w:t>
      </w:r>
      <w:r>
        <w:rPr>
          <w:strike w:val="0"/>
          <w:spacing w:val="-9"/>
          <w:sz w:val="24"/>
        </w:rPr>
        <w:t> </w:t>
      </w:r>
      <w:r>
        <w:rPr>
          <w:strike w:val="0"/>
          <w:sz w:val="24"/>
        </w:rPr>
        <w:t>approach</w:t>
      </w:r>
      <w:r>
        <w:rPr>
          <w:strike w:val="0"/>
          <w:spacing w:val="-9"/>
          <w:sz w:val="24"/>
        </w:rPr>
        <w:t> </w:t>
      </w:r>
      <w:r>
        <w:rPr>
          <w:strike w:val="0"/>
          <w:sz w:val="24"/>
        </w:rPr>
        <w:t>to</w:t>
      </w:r>
      <w:r>
        <w:rPr>
          <w:strike w:val="0"/>
          <w:spacing w:val="-9"/>
          <w:sz w:val="24"/>
        </w:rPr>
        <w:t> </w:t>
      </w:r>
      <w:r>
        <w:rPr>
          <w:strike w:val="0"/>
          <w:sz w:val="24"/>
        </w:rPr>
        <w:t>services across</w:t>
      </w:r>
      <w:r>
        <w:rPr>
          <w:strike w:val="0"/>
          <w:spacing w:val="-13"/>
          <w:sz w:val="24"/>
        </w:rPr>
        <w:t> </w:t>
      </w:r>
      <w:r>
        <w:rPr>
          <w:strike w:val="0"/>
          <w:sz w:val="24"/>
        </w:rPr>
        <w:t>the</w:t>
      </w:r>
      <w:r>
        <w:rPr>
          <w:strike w:val="0"/>
          <w:spacing w:val="-7"/>
          <w:sz w:val="24"/>
        </w:rPr>
        <w:t> </w:t>
      </w:r>
      <w:r>
        <w:rPr>
          <w:strike w:val="0"/>
          <w:sz w:val="24"/>
        </w:rPr>
        <w:t>regional</w:t>
      </w:r>
      <w:r>
        <w:rPr>
          <w:strike w:val="0"/>
          <w:spacing w:val="-12"/>
          <w:sz w:val="24"/>
        </w:rPr>
        <w:t> </w:t>
      </w:r>
      <w:r>
        <w:rPr>
          <w:strike w:val="0"/>
          <w:sz w:val="24"/>
        </w:rPr>
        <w:t>health</w:t>
      </w:r>
      <w:r>
        <w:rPr>
          <w:strike w:val="0"/>
          <w:spacing w:val="-12"/>
          <w:sz w:val="24"/>
        </w:rPr>
        <w:t> </w:t>
      </w:r>
      <w:r>
        <w:rPr>
          <w:strike w:val="0"/>
          <w:sz w:val="24"/>
        </w:rPr>
        <w:t>economy,</w:t>
      </w:r>
      <w:r>
        <w:rPr>
          <w:strike w:val="0"/>
          <w:spacing w:val="-15"/>
          <w:sz w:val="24"/>
        </w:rPr>
        <w:t> </w:t>
      </w:r>
      <w:r>
        <w:rPr>
          <w:strike w:val="0"/>
          <w:sz w:val="24"/>
        </w:rPr>
        <w:t>with</w:t>
      </w:r>
      <w:r>
        <w:rPr>
          <w:strike w:val="0"/>
          <w:spacing w:val="-12"/>
          <w:sz w:val="24"/>
        </w:rPr>
        <w:t> </w:t>
      </w:r>
      <w:r>
        <w:rPr>
          <w:strike w:val="0"/>
          <w:sz w:val="24"/>
        </w:rPr>
        <w:t>an</w:t>
      </w:r>
      <w:r>
        <w:rPr>
          <w:strike w:val="0"/>
          <w:spacing w:val="-12"/>
          <w:sz w:val="24"/>
        </w:rPr>
        <w:t> </w:t>
      </w:r>
      <w:r>
        <w:rPr>
          <w:strike w:val="0"/>
          <w:sz w:val="24"/>
        </w:rPr>
        <w:t>embedded</w:t>
      </w:r>
      <w:r>
        <w:rPr>
          <w:strike w:val="0"/>
          <w:spacing w:val="-17"/>
          <w:sz w:val="24"/>
        </w:rPr>
        <w:t> </w:t>
      </w:r>
      <w:r>
        <w:rPr>
          <w:strike w:val="0"/>
          <w:sz w:val="24"/>
        </w:rPr>
        <w:t>population</w:t>
      </w:r>
      <w:r>
        <w:rPr>
          <w:strike w:val="0"/>
          <w:spacing w:val="-12"/>
          <w:sz w:val="24"/>
        </w:rPr>
        <w:t> </w:t>
      </w:r>
      <w:r>
        <w:rPr>
          <w:strike w:val="0"/>
          <w:sz w:val="24"/>
        </w:rPr>
        <w:t>health and</w:t>
      </w:r>
      <w:r>
        <w:rPr>
          <w:strike w:val="0"/>
          <w:spacing w:val="-12"/>
          <w:sz w:val="24"/>
        </w:rPr>
        <w:t> </w:t>
      </w:r>
      <w:r>
        <w:rPr>
          <w:strike w:val="0"/>
          <w:sz w:val="24"/>
        </w:rPr>
        <w:t>needs</w:t>
      </w:r>
      <w:r>
        <w:rPr>
          <w:strike w:val="0"/>
          <w:spacing w:val="-8"/>
          <w:sz w:val="24"/>
        </w:rPr>
        <w:t> </w:t>
      </w:r>
      <w:r>
        <w:rPr>
          <w:strike w:val="0"/>
          <w:sz w:val="24"/>
        </w:rPr>
        <w:t>assessment</w:t>
      </w:r>
      <w:r>
        <w:rPr>
          <w:strike w:val="0"/>
          <w:spacing w:val="-10"/>
          <w:sz w:val="24"/>
        </w:rPr>
        <w:t> </w:t>
      </w:r>
      <w:r>
        <w:rPr>
          <w:strike w:val="0"/>
          <w:sz w:val="24"/>
        </w:rPr>
        <w:t>that</w:t>
      </w:r>
      <w:r>
        <w:rPr>
          <w:strike w:val="0"/>
          <w:spacing w:val="-10"/>
          <w:sz w:val="24"/>
        </w:rPr>
        <w:t> </w:t>
      </w:r>
      <w:r>
        <w:rPr>
          <w:strike w:val="0"/>
          <w:sz w:val="24"/>
        </w:rPr>
        <w:t>centres</w:t>
      </w:r>
      <w:r>
        <w:rPr>
          <w:strike w:val="0"/>
          <w:spacing w:val="-8"/>
          <w:sz w:val="24"/>
        </w:rPr>
        <w:t> </w:t>
      </w:r>
      <w:r>
        <w:rPr>
          <w:strike w:val="0"/>
          <w:sz w:val="24"/>
        </w:rPr>
        <w:t>on</w:t>
      </w:r>
      <w:r>
        <w:rPr>
          <w:strike w:val="0"/>
          <w:spacing w:val="-7"/>
          <w:sz w:val="24"/>
        </w:rPr>
        <w:t> </w:t>
      </w:r>
      <w:r>
        <w:rPr>
          <w:strike w:val="0"/>
          <w:sz w:val="24"/>
        </w:rPr>
        <w:t>health</w:t>
      </w:r>
      <w:r>
        <w:rPr>
          <w:strike w:val="0"/>
          <w:spacing w:val="-7"/>
          <w:sz w:val="24"/>
        </w:rPr>
        <w:t> </w:t>
      </w:r>
      <w:r>
        <w:rPr>
          <w:strike w:val="0"/>
          <w:sz w:val="24"/>
        </w:rPr>
        <w:t>improvement</w:t>
      </w:r>
      <w:r>
        <w:rPr>
          <w:strike w:val="0"/>
          <w:spacing w:val="-10"/>
          <w:sz w:val="24"/>
        </w:rPr>
        <w:t> </w:t>
      </w:r>
      <w:r>
        <w:rPr>
          <w:strike w:val="0"/>
          <w:sz w:val="24"/>
        </w:rPr>
        <w:t>and</w:t>
      </w:r>
      <w:r>
        <w:rPr>
          <w:strike w:val="0"/>
          <w:spacing w:val="-7"/>
          <w:sz w:val="24"/>
        </w:rPr>
        <w:t> </w:t>
      </w:r>
      <w:r>
        <w:rPr>
          <w:strike w:val="0"/>
          <w:sz w:val="24"/>
        </w:rPr>
        <w:t>health </w:t>
      </w:r>
      <w:r>
        <w:rPr>
          <w:strike w:val="0"/>
          <w:spacing w:val="-2"/>
          <w:sz w:val="24"/>
        </w:rPr>
        <w:t>inequities</w:t>
      </w:r>
      <w:r>
        <w:rPr>
          <w:strike w:val="0"/>
          <w:spacing w:val="-15"/>
          <w:sz w:val="24"/>
        </w:rPr>
        <w:t> </w:t>
      </w:r>
      <w:r>
        <w:rPr>
          <w:strike w:val="0"/>
          <w:spacing w:val="-2"/>
          <w:sz w:val="24"/>
        </w:rPr>
        <w:t>reduction.</w:t>
      </w:r>
      <w:r>
        <w:rPr>
          <w:strike w:val="0"/>
          <w:spacing w:val="-15"/>
          <w:sz w:val="24"/>
        </w:rPr>
        <w:t> </w:t>
      </w:r>
      <w:r>
        <w:rPr>
          <w:strike w:val="0"/>
          <w:spacing w:val="-2"/>
          <w:sz w:val="24"/>
        </w:rPr>
        <w:t>Both</w:t>
      </w:r>
      <w:r>
        <w:rPr>
          <w:strike w:val="0"/>
          <w:spacing w:val="-14"/>
          <w:sz w:val="24"/>
        </w:rPr>
        <w:t> </w:t>
      </w:r>
      <w:r>
        <w:rPr>
          <w:strike w:val="0"/>
          <w:spacing w:val="-2"/>
          <w:sz w:val="24"/>
        </w:rPr>
        <w:t>Boards,</w:t>
      </w:r>
      <w:r>
        <w:rPr>
          <w:strike w:val="0"/>
          <w:spacing w:val="-15"/>
          <w:sz w:val="24"/>
        </w:rPr>
        <w:t> </w:t>
      </w:r>
      <w:r>
        <w:rPr>
          <w:strike w:val="0"/>
          <w:spacing w:val="-2"/>
          <w:sz w:val="24"/>
        </w:rPr>
        <w:t>organisations,</w:t>
      </w:r>
      <w:r>
        <w:rPr>
          <w:strike w:val="0"/>
          <w:spacing w:val="-15"/>
          <w:sz w:val="24"/>
        </w:rPr>
        <w:t> </w:t>
      </w:r>
      <w:r>
        <w:rPr>
          <w:strike w:val="0"/>
          <w:spacing w:val="-2"/>
          <w:sz w:val="24"/>
        </w:rPr>
        <w:t>populations,</w:t>
      </w:r>
      <w:r>
        <w:rPr>
          <w:strike w:val="0"/>
          <w:spacing w:val="-15"/>
          <w:sz w:val="24"/>
        </w:rPr>
        <w:t> </w:t>
      </w:r>
      <w:r>
        <w:rPr>
          <w:strike w:val="0"/>
          <w:spacing w:val="-2"/>
          <w:sz w:val="24"/>
        </w:rPr>
        <w:t>and</w:t>
      </w:r>
      <w:r>
        <w:rPr>
          <w:strike w:val="0"/>
          <w:spacing w:val="-14"/>
          <w:sz w:val="24"/>
        </w:rPr>
        <w:t> </w:t>
      </w:r>
      <w:r>
        <w:rPr>
          <w:strike w:val="0"/>
          <w:spacing w:val="-2"/>
          <w:sz w:val="24"/>
        </w:rPr>
        <w:t>partners </w:t>
      </w:r>
      <w:r>
        <w:rPr>
          <w:strike w:val="0"/>
          <w:sz w:val="24"/>
        </w:rPr>
        <w:t>would</w:t>
      </w:r>
      <w:r>
        <w:rPr>
          <w:strike w:val="0"/>
          <w:spacing w:val="-11"/>
          <w:sz w:val="24"/>
        </w:rPr>
        <w:t> </w:t>
      </w:r>
      <w:r>
        <w:rPr>
          <w:strike w:val="0"/>
          <w:sz w:val="24"/>
        </w:rPr>
        <w:t>be</w:t>
      </w:r>
      <w:r>
        <w:rPr>
          <w:strike w:val="0"/>
          <w:spacing w:val="-6"/>
          <w:sz w:val="24"/>
        </w:rPr>
        <w:t> </w:t>
      </w:r>
      <w:r>
        <w:rPr>
          <w:strike w:val="0"/>
          <w:sz w:val="24"/>
        </w:rPr>
        <w:t>signed</w:t>
      </w:r>
      <w:r>
        <w:rPr>
          <w:strike w:val="0"/>
          <w:spacing w:val="-6"/>
          <w:sz w:val="24"/>
        </w:rPr>
        <w:t> </w:t>
      </w:r>
      <w:r>
        <w:rPr>
          <w:strike w:val="0"/>
          <w:sz w:val="24"/>
        </w:rPr>
        <w:t>up</w:t>
      </w:r>
      <w:r>
        <w:rPr>
          <w:strike w:val="0"/>
          <w:spacing w:val="-6"/>
          <w:sz w:val="24"/>
        </w:rPr>
        <w:t> </w:t>
      </w:r>
      <w:r>
        <w:rPr>
          <w:strike w:val="0"/>
          <w:sz w:val="24"/>
        </w:rPr>
        <w:t>to</w:t>
      </w:r>
      <w:r>
        <w:rPr>
          <w:strike w:val="0"/>
          <w:spacing w:val="-6"/>
          <w:sz w:val="24"/>
        </w:rPr>
        <w:t> </w:t>
      </w:r>
      <w:r>
        <w:rPr>
          <w:strike w:val="0"/>
          <w:sz w:val="24"/>
        </w:rPr>
        <w:t>a</w:t>
      </w:r>
      <w:r>
        <w:rPr>
          <w:strike w:val="0"/>
          <w:spacing w:val="-6"/>
          <w:sz w:val="24"/>
        </w:rPr>
        <w:t> </w:t>
      </w:r>
      <w:r>
        <w:rPr>
          <w:strike w:val="0"/>
          <w:sz w:val="24"/>
        </w:rPr>
        <w:t>Regional</w:t>
      </w:r>
      <w:r>
        <w:rPr>
          <w:strike w:val="0"/>
          <w:spacing w:val="-11"/>
          <w:sz w:val="24"/>
        </w:rPr>
        <w:t> </w:t>
      </w:r>
      <w:r>
        <w:rPr>
          <w:strike w:val="0"/>
          <w:sz w:val="24"/>
        </w:rPr>
        <w:t>Health</w:t>
      </w:r>
      <w:r>
        <w:rPr>
          <w:strike w:val="0"/>
          <w:spacing w:val="-6"/>
          <w:sz w:val="24"/>
        </w:rPr>
        <w:t> </w:t>
      </w:r>
      <w:r>
        <w:rPr>
          <w:strike w:val="0"/>
          <w:sz w:val="24"/>
        </w:rPr>
        <w:t>Economy</w:t>
      </w:r>
      <w:r>
        <w:rPr>
          <w:strike w:val="0"/>
          <w:spacing w:val="-5"/>
          <w:sz w:val="24"/>
        </w:rPr>
        <w:t> </w:t>
      </w:r>
      <w:r>
        <w:rPr>
          <w:strike w:val="0"/>
          <w:sz w:val="24"/>
        </w:rPr>
        <w:t>long</w:t>
      </w:r>
      <w:r>
        <w:rPr>
          <w:strike w:val="0"/>
          <w:spacing w:val="-6"/>
          <w:sz w:val="24"/>
        </w:rPr>
        <w:t> </w:t>
      </w:r>
      <w:r>
        <w:rPr>
          <w:strike w:val="0"/>
          <w:sz w:val="24"/>
        </w:rPr>
        <w:t>term</w:t>
      </w:r>
      <w:r>
        <w:rPr>
          <w:strike w:val="0"/>
          <w:spacing w:val="-7"/>
          <w:sz w:val="24"/>
        </w:rPr>
        <w:t> </w:t>
      </w:r>
      <w:r>
        <w:rPr>
          <w:strike w:val="0"/>
          <w:sz w:val="24"/>
        </w:rPr>
        <w:t>strategy.</w:t>
      </w:r>
    </w:p>
    <w:p>
      <w:pPr>
        <w:pStyle w:val="BodyText"/>
        <w:spacing w:before="77"/>
        <w:rPr>
          <w:sz w:val="20"/>
        </w:rPr>
      </w:pPr>
      <w:r>
        <w:rPr>
          <w:sz w:val="20"/>
        </w:rPr>
        <mc:AlternateContent>
          <mc:Choice Requires="wps">
            <w:drawing>
              <wp:anchor distT="0" distB="0" distL="0" distR="0" allowOverlap="1" layoutInCell="1" locked="0" behindDoc="1" simplePos="0" relativeHeight="487652864">
                <wp:simplePos x="0" y="0"/>
                <wp:positionH relativeFrom="page">
                  <wp:posOffset>574992</wp:posOffset>
                </wp:positionH>
                <wp:positionV relativeFrom="paragraph">
                  <wp:posOffset>216602</wp:posOffset>
                </wp:positionV>
                <wp:extent cx="6642100" cy="193675"/>
                <wp:effectExtent l="0" t="0" r="0" b="0"/>
                <wp:wrapTopAndBottom/>
                <wp:docPr id="437" name="Textbox 437"/>
                <wp:cNvGraphicFramePr>
                  <a:graphicFrameLocks/>
                </wp:cNvGraphicFramePr>
                <a:graphic>
                  <a:graphicData uri="http://schemas.microsoft.com/office/word/2010/wordprocessingShape">
                    <wps:wsp>
                      <wps:cNvPr id="437" name="Textbox 437"/>
                      <wps:cNvSpPr txBox="1"/>
                      <wps:spPr>
                        <a:xfrm>
                          <a:off x="0" y="0"/>
                          <a:ext cx="66421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3.</w:t>
                            </w:r>
                            <w:r>
                              <w:rPr>
                                <w:b/>
                                <w:color w:val="000000"/>
                                <w:spacing w:val="61"/>
                                <w:sz w:val="24"/>
                              </w:rPr>
                              <w:t> </w:t>
                            </w:r>
                            <w:r>
                              <w:rPr>
                                <w:b/>
                                <w:color w:val="000000"/>
                                <w:spacing w:val="-2"/>
                                <w:sz w:val="24"/>
                              </w:rPr>
                              <w:t>Objectives</w:t>
                            </w:r>
                          </w:p>
                        </w:txbxContent>
                      </wps:txbx>
                      <wps:bodyPr wrap="square" lIns="0" tIns="0" rIns="0" bIns="0" rtlCol="0">
                        <a:noAutofit/>
                      </wps:bodyPr>
                    </wps:wsp>
                  </a:graphicData>
                </a:graphic>
              </wp:anchor>
            </w:drawing>
          </mc:Choice>
          <mc:Fallback>
            <w:pict>
              <v:shape style="position:absolute;margin-left:45.275002pt;margin-top:17.055351pt;width:523pt;height:15.25pt;mso-position-horizontal-relative:page;mso-position-vertical-relative:paragraph;z-index:-15663616;mso-wrap-distance-left:0;mso-wrap-distance-right:0" type="#_x0000_t202" id="docshape220" filled="true" fillcolor="#c1a875" stroked="true" strokeweight="1pt" strokecolor="#394871">
                <v:textbox inset="0,0,0,0">
                  <w:txbxContent>
                    <w:p>
                      <w:pPr>
                        <w:spacing w:before="0"/>
                        <w:ind w:left="95" w:right="0" w:firstLine="0"/>
                        <w:jc w:val="left"/>
                        <w:rPr>
                          <w:b/>
                          <w:color w:val="000000"/>
                          <w:sz w:val="24"/>
                        </w:rPr>
                      </w:pPr>
                      <w:r>
                        <w:rPr>
                          <w:b/>
                          <w:color w:val="000000"/>
                          <w:sz w:val="24"/>
                        </w:rPr>
                        <w:t>3.</w:t>
                      </w:r>
                      <w:r>
                        <w:rPr>
                          <w:b/>
                          <w:color w:val="000000"/>
                          <w:spacing w:val="61"/>
                          <w:sz w:val="24"/>
                        </w:rPr>
                        <w:t> </w:t>
                      </w:r>
                      <w:r>
                        <w:rPr>
                          <w:b/>
                          <w:color w:val="000000"/>
                          <w:spacing w:val="-2"/>
                          <w:sz w:val="24"/>
                        </w:rPr>
                        <w:t>Objectives</w:t>
                      </w:r>
                    </w:p>
                  </w:txbxContent>
                </v:textbox>
                <v:fill type="solid"/>
                <v:stroke dashstyle="solid"/>
                <w10:wrap type="topAndBottom"/>
              </v:shape>
            </w:pict>
          </mc:Fallback>
        </mc:AlternateContent>
      </w:r>
    </w:p>
    <w:p>
      <w:pPr>
        <w:pStyle w:val="BodyText"/>
        <w:spacing w:before="8"/>
      </w:pPr>
    </w:p>
    <w:p>
      <w:pPr>
        <w:pStyle w:val="BodyText"/>
        <w:spacing w:before="1"/>
        <w:ind w:left="142"/>
      </w:pPr>
      <w:r>
        <w:rPr>
          <w:spacing w:val="-2"/>
        </w:rPr>
        <w:t>The</w:t>
      </w:r>
      <w:r>
        <w:rPr>
          <w:spacing w:val="-12"/>
        </w:rPr>
        <w:t> </w:t>
      </w:r>
      <w:r>
        <w:rPr>
          <w:spacing w:val="-2"/>
        </w:rPr>
        <w:t>following</w:t>
      </w:r>
      <w:r>
        <w:rPr>
          <w:spacing w:val="-10"/>
        </w:rPr>
        <w:t> </w:t>
      </w:r>
      <w:r>
        <w:rPr>
          <w:spacing w:val="-2"/>
        </w:rPr>
        <w:t>objectives</w:t>
      </w:r>
      <w:r>
        <w:rPr>
          <w:spacing w:val="-11"/>
        </w:rPr>
        <w:t> </w:t>
      </w:r>
      <w:r>
        <w:rPr>
          <w:spacing w:val="-2"/>
        </w:rPr>
        <w:t>are</w:t>
      </w:r>
      <w:r>
        <w:rPr>
          <w:spacing w:val="-15"/>
        </w:rPr>
        <w:t> </w:t>
      </w:r>
      <w:r>
        <w:rPr>
          <w:spacing w:val="-2"/>
        </w:rPr>
        <w:t>within</w:t>
      </w:r>
      <w:r>
        <w:rPr>
          <w:spacing w:val="-6"/>
        </w:rPr>
        <w:t> </w:t>
      </w:r>
      <w:r>
        <w:rPr>
          <w:spacing w:val="-2"/>
        </w:rPr>
        <w:t>the</w:t>
      </w:r>
      <w:r>
        <w:rPr>
          <w:spacing w:val="-11"/>
        </w:rPr>
        <w:t> </w:t>
      </w:r>
      <w:r>
        <w:rPr>
          <w:spacing w:val="-2"/>
        </w:rPr>
        <w:t>scope</w:t>
      </w:r>
      <w:r>
        <w:rPr>
          <w:spacing w:val="-11"/>
        </w:rPr>
        <w:t> </w:t>
      </w:r>
      <w:r>
        <w:rPr>
          <w:spacing w:val="-2"/>
        </w:rPr>
        <w:t>of</w:t>
      </w:r>
      <w:r>
        <w:rPr>
          <w:spacing w:val="-9"/>
        </w:rPr>
        <w:t> </w:t>
      </w:r>
      <w:r>
        <w:rPr>
          <w:spacing w:val="-2"/>
        </w:rPr>
        <w:t>the</w:t>
      </w:r>
      <w:r>
        <w:rPr>
          <w:spacing w:val="-13"/>
        </w:rPr>
        <w:t> </w:t>
      </w:r>
      <w:r>
        <w:rPr>
          <w:spacing w:val="-4"/>
        </w:rPr>
        <w:t>RJC:</w:t>
      </w:r>
    </w:p>
    <w:p>
      <w:pPr>
        <w:spacing w:before="141"/>
        <w:ind w:left="4" w:right="284" w:firstLine="0"/>
        <w:jc w:val="center"/>
        <w:rPr>
          <w:sz w:val="20"/>
        </w:rPr>
      </w:pPr>
      <w:r>
        <w:rPr>
          <w:spacing w:val="-10"/>
          <w:sz w:val="20"/>
        </w:rPr>
        <w:t>2</w:t>
      </w:r>
    </w:p>
    <w:p>
      <w:pPr>
        <w:spacing w:after="0"/>
        <w:jc w:val="center"/>
        <w:rPr>
          <w:sz w:val="20"/>
        </w:rPr>
        <w:sectPr>
          <w:pgSz w:w="11910" w:h="16840"/>
          <w:pgMar w:header="0" w:footer="149" w:top="1440" w:bottom="340" w:left="708" w:right="425"/>
        </w:sectPr>
      </w:pPr>
    </w:p>
    <w:p>
      <w:pPr>
        <w:numPr>
          <w:ilvl w:val="1"/>
          <w:numId w:val="37"/>
        </w:numPr>
        <w:tabs>
          <w:tab w:pos="852" w:val="left" w:leader="none"/>
        </w:tabs>
        <w:spacing w:before="80"/>
        <w:ind w:left="852" w:right="0" w:hanging="710"/>
        <w:jc w:val="left"/>
        <w:rPr>
          <w:b/>
          <w:sz w:val="24"/>
        </w:rPr>
      </w:pPr>
      <w:r>
        <w:rPr>
          <w:b/>
          <w:spacing w:val="-2"/>
          <w:sz w:val="24"/>
        </w:rPr>
        <w:t>Core</w:t>
      </w:r>
      <w:r>
        <w:rPr>
          <w:b/>
          <w:spacing w:val="-13"/>
          <w:sz w:val="24"/>
        </w:rPr>
        <w:t> </w:t>
      </w:r>
      <w:r>
        <w:rPr>
          <w:b/>
          <w:spacing w:val="-2"/>
          <w:sz w:val="24"/>
        </w:rPr>
        <w:t>Objectives</w:t>
      </w:r>
    </w:p>
    <w:p>
      <w:pPr>
        <w:pStyle w:val="BodyText"/>
        <w:spacing w:before="3"/>
        <w:rPr>
          <w:b/>
        </w:rPr>
      </w:pPr>
    </w:p>
    <w:p>
      <w:pPr>
        <w:pStyle w:val="ListParagraph"/>
        <w:numPr>
          <w:ilvl w:val="2"/>
          <w:numId w:val="37"/>
        </w:numPr>
        <w:tabs>
          <w:tab w:pos="1563" w:val="left" w:leader="none"/>
        </w:tabs>
        <w:spacing w:line="240" w:lineRule="auto" w:before="0" w:after="0"/>
        <w:ind w:left="1563" w:right="987" w:hanging="721"/>
        <w:jc w:val="left"/>
        <w:rPr>
          <w:sz w:val="24"/>
        </w:rPr>
      </w:pPr>
      <w:r>
        <w:rPr>
          <w:spacing w:val="-2"/>
          <w:sz w:val="24"/>
        </w:rPr>
        <w:t>Develop</w:t>
      </w:r>
      <w:r>
        <w:rPr>
          <w:spacing w:val="-11"/>
          <w:sz w:val="24"/>
        </w:rPr>
        <w:t> </w:t>
      </w:r>
      <w:r>
        <w:rPr>
          <w:spacing w:val="-2"/>
          <w:sz w:val="24"/>
        </w:rPr>
        <w:t>plans</w:t>
      </w:r>
      <w:r>
        <w:rPr>
          <w:spacing w:val="-7"/>
          <w:sz w:val="24"/>
        </w:rPr>
        <w:t> </w:t>
      </w:r>
      <w:r>
        <w:rPr>
          <w:spacing w:val="-2"/>
          <w:sz w:val="24"/>
        </w:rPr>
        <w:t>that</w:t>
      </w:r>
      <w:r>
        <w:rPr>
          <w:spacing w:val="-14"/>
          <w:sz w:val="24"/>
        </w:rPr>
        <w:t> </w:t>
      </w:r>
      <w:r>
        <w:rPr>
          <w:spacing w:val="-2"/>
          <w:sz w:val="24"/>
        </w:rPr>
        <w:t>are</w:t>
      </w:r>
      <w:r>
        <w:rPr>
          <w:spacing w:val="-10"/>
          <w:sz w:val="24"/>
        </w:rPr>
        <w:t> </w:t>
      </w:r>
      <w:r>
        <w:rPr>
          <w:spacing w:val="-2"/>
          <w:sz w:val="24"/>
        </w:rPr>
        <w:t>aligned</w:t>
      </w:r>
      <w:r>
        <w:rPr>
          <w:spacing w:val="-6"/>
          <w:sz w:val="24"/>
        </w:rPr>
        <w:t> </w:t>
      </w:r>
      <w:r>
        <w:rPr>
          <w:spacing w:val="-2"/>
          <w:sz w:val="24"/>
        </w:rPr>
        <w:t>to</w:t>
      </w:r>
      <w:r>
        <w:rPr>
          <w:spacing w:val="-11"/>
          <w:sz w:val="24"/>
        </w:rPr>
        <w:t> </w:t>
      </w:r>
      <w:r>
        <w:rPr>
          <w:spacing w:val="-2"/>
          <w:sz w:val="24"/>
        </w:rPr>
        <w:t>Health</w:t>
      </w:r>
      <w:r>
        <w:rPr>
          <w:spacing w:val="-11"/>
          <w:sz w:val="24"/>
        </w:rPr>
        <w:t> </w:t>
      </w:r>
      <w:r>
        <w:rPr>
          <w:spacing w:val="-2"/>
          <w:sz w:val="24"/>
        </w:rPr>
        <w:t>Board</w:t>
      </w:r>
      <w:r>
        <w:rPr>
          <w:spacing w:val="-11"/>
          <w:sz w:val="24"/>
        </w:rPr>
        <w:t> </w:t>
      </w:r>
      <w:r>
        <w:rPr>
          <w:spacing w:val="-2"/>
          <w:sz w:val="24"/>
        </w:rPr>
        <w:t>plans</w:t>
      </w:r>
      <w:r>
        <w:rPr>
          <w:spacing w:val="-12"/>
          <w:sz w:val="24"/>
        </w:rPr>
        <w:t> </w:t>
      </w:r>
      <w:r>
        <w:rPr>
          <w:spacing w:val="-2"/>
          <w:sz w:val="24"/>
        </w:rPr>
        <w:t>to</w:t>
      </w:r>
      <w:r>
        <w:rPr>
          <w:spacing w:val="-11"/>
          <w:sz w:val="24"/>
        </w:rPr>
        <w:t> </w:t>
      </w:r>
      <w:r>
        <w:rPr>
          <w:spacing w:val="-2"/>
          <w:sz w:val="24"/>
        </w:rPr>
        <w:t>ensure</w:t>
      </w:r>
      <w:r>
        <w:rPr>
          <w:spacing w:val="-6"/>
          <w:sz w:val="24"/>
        </w:rPr>
        <w:t> </w:t>
      </w:r>
      <w:r>
        <w:rPr>
          <w:spacing w:val="-2"/>
          <w:sz w:val="24"/>
        </w:rPr>
        <w:t>the</w:t>
      </w:r>
      <w:r>
        <w:rPr>
          <w:spacing w:val="-11"/>
          <w:sz w:val="24"/>
        </w:rPr>
        <w:t> </w:t>
      </w:r>
      <w:r>
        <w:rPr>
          <w:spacing w:val="-2"/>
          <w:sz w:val="24"/>
        </w:rPr>
        <w:t>benefits</w:t>
      </w:r>
      <w:r>
        <w:rPr>
          <w:spacing w:val="-12"/>
          <w:sz w:val="24"/>
        </w:rPr>
        <w:t> </w:t>
      </w:r>
      <w:r>
        <w:rPr>
          <w:spacing w:val="-2"/>
          <w:sz w:val="24"/>
        </w:rPr>
        <w:t>of</w:t>
      </w:r>
      <w:r>
        <w:rPr>
          <w:spacing w:val="-14"/>
          <w:sz w:val="24"/>
        </w:rPr>
        <w:t> </w:t>
      </w:r>
      <w:r>
        <w:rPr>
          <w:spacing w:val="-2"/>
          <w:sz w:val="24"/>
        </w:rPr>
        <w:t>a </w:t>
      </w:r>
      <w:r>
        <w:rPr>
          <w:sz w:val="24"/>
        </w:rPr>
        <w:t>regional</w:t>
      </w:r>
      <w:r>
        <w:rPr>
          <w:spacing w:val="-10"/>
          <w:sz w:val="24"/>
        </w:rPr>
        <w:t> </w:t>
      </w:r>
      <w:r>
        <w:rPr>
          <w:sz w:val="24"/>
        </w:rPr>
        <w:t>health</w:t>
      </w:r>
      <w:r>
        <w:rPr>
          <w:spacing w:val="-10"/>
          <w:sz w:val="24"/>
        </w:rPr>
        <w:t> </w:t>
      </w:r>
      <w:r>
        <w:rPr>
          <w:sz w:val="24"/>
        </w:rPr>
        <w:t>economy</w:t>
      </w:r>
      <w:r>
        <w:rPr>
          <w:spacing w:val="-6"/>
          <w:sz w:val="24"/>
        </w:rPr>
        <w:t> </w:t>
      </w:r>
      <w:r>
        <w:rPr>
          <w:sz w:val="24"/>
        </w:rPr>
        <w:t>for</w:t>
      </w:r>
      <w:r>
        <w:rPr>
          <w:spacing w:val="-11"/>
          <w:sz w:val="24"/>
        </w:rPr>
        <w:t> </w:t>
      </w:r>
      <w:r>
        <w:rPr>
          <w:sz w:val="24"/>
        </w:rPr>
        <w:t>a</w:t>
      </w:r>
      <w:r>
        <w:rPr>
          <w:spacing w:val="-10"/>
          <w:sz w:val="24"/>
        </w:rPr>
        <w:t> </w:t>
      </w:r>
      <w:r>
        <w:rPr>
          <w:sz w:val="24"/>
        </w:rPr>
        <w:t>population</w:t>
      </w:r>
      <w:r>
        <w:rPr>
          <w:spacing w:val="-10"/>
          <w:sz w:val="24"/>
        </w:rPr>
        <w:t> </w:t>
      </w:r>
      <w:r>
        <w:rPr>
          <w:sz w:val="24"/>
        </w:rPr>
        <w:t>of</w:t>
      </w:r>
      <w:r>
        <w:rPr>
          <w:spacing w:val="-10"/>
          <w:sz w:val="24"/>
        </w:rPr>
        <w:t> </w:t>
      </w:r>
      <w:r>
        <w:rPr>
          <w:sz w:val="24"/>
        </w:rPr>
        <w:t>circa</w:t>
      </w:r>
      <w:r>
        <w:rPr>
          <w:spacing w:val="-4"/>
          <w:sz w:val="24"/>
        </w:rPr>
        <w:t> </w:t>
      </w:r>
      <w:r>
        <w:rPr>
          <w:sz w:val="24"/>
        </w:rPr>
        <w:t>800,000</w:t>
      </w:r>
      <w:r>
        <w:rPr>
          <w:spacing w:val="-10"/>
          <w:sz w:val="24"/>
        </w:rPr>
        <w:t> </w:t>
      </w:r>
      <w:r>
        <w:rPr>
          <w:sz w:val="24"/>
        </w:rPr>
        <w:t>are</w:t>
      </w:r>
      <w:r>
        <w:rPr>
          <w:spacing w:val="-10"/>
          <w:sz w:val="24"/>
        </w:rPr>
        <w:t> </w:t>
      </w:r>
      <w:r>
        <w:rPr>
          <w:sz w:val="24"/>
        </w:rPr>
        <w:t>realised.</w:t>
      </w:r>
    </w:p>
    <w:p>
      <w:pPr>
        <w:pStyle w:val="ListParagraph"/>
        <w:numPr>
          <w:ilvl w:val="2"/>
          <w:numId w:val="37"/>
        </w:numPr>
        <w:tabs>
          <w:tab w:pos="1563" w:val="left" w:leader="none"/>
        </w:tabs>
        <w:spacing w:line="242" w:lineRule="auto" w:before="274" w:after="0"/>
        <w:ind w:left="1563" w:right="1119" w:hanging="721"/>
        <w:jc w:val="left"/>
        <w:rPr>
          <w:sz w:val="24"/>
        </w:rPr>
      </w:pPr>
      <w:r>
        <w:rPr>
          <w:spacing w:val="-2"/>
          <w:sz w:val="24"/>
        </w:rPr>
        <w:t>Bring</w:t>
      </w:r>
      <w:r>
        <w:rPr>
          <w:spacing w:val="-11"/>
          <w:sz w:val="24"/>
        </w:rPr>
        <w:t> </w:t>
      </w:r>
      <w:r>
        <w:rPr>
          <w:spacing w:val="-2"/>
          <w:sz w:val="24"/>
        </w:rPr>
        <w:t>together</w:t>
      </w:r>
      <w:r>
        <w:rPr>
          <w:spacing w:val="-12"/>
          <w:sz w:val="24"/>
        </w:rPr>
        <w:t> </w:t>
      </w:r>
      <w:r>
        <w:rPr>
          <w:spacing w:val="-2"/>
          <w:sz w:val="24"/>
        </w:rPr>
        <w:t>in</w:t>
      </w:r>
      <w:r>
        <w:rPr>
          <w:spacing w:val="-11"/>
          <w:sz w:val="24"/>
        </w:rPr>
        <w:t> </w:t>
      </w:r>
      <w:r>
        <w:rPr>
          <w:spacing w:val="-2"/>
          <w:sz w:val="24"/>
        </w:rPr>
        <w:t>one</w:t>
      </w:r>
      <w:r>
        <w:rPr>
          <w:spacing w:val="-11"/>
          <w:sz w:val="24"/>
        </w:rPr>
        <w:t> </w:t>
      </w:r>
      <w:r>
        <w:rPr>
          <w:spacing w:val="-2"/>
          <w:sz w:val="24"/>
        </w:rPr>
        <w:t>place</w:t>
      </w:r>
      <w:r>
        <w:rPr>
          <w:spacing w:val="-15"/>
          <w:sz w:val="24"/>
        </w:rPr>
        <w:t> </w:t>
      </w:r>
      <w:r>
        <w:rPr>
          <w:spacing w:val="-2"/>
          <w:sz w:val="24"/>
        </w:rPr>
        <w:t>all</w:t>
      </w:r>
      <w:r>
        <w:rPr>
          <w:spacing w:val="-7"/>
          <w:sz w:val="24"/>
        </w:rPr>
        <w:t> </w:t>
      </w:r>
      <w:r>
        <w:rPr>
          <w:spacing w:val="-2"/>
          <w:sz w:val="24"/>
        </w:rPr>
        <w:t>the</w:t>
      </w:r>
      <w:r>
        <w:rPr>
          <w:spacing w:val="-11"/>
          <w:sz w:val="24"/>
        </w:rPr>
        <w:t> </w:t>
      </w:r>
      <w:r>
        <w:rPr>
          <w:spacing w:val="-2"/>
          <w:sz w:val="24"/>
        </w:rPr>
        <w:t>projects,</w:t>
      </w:r>
      <w:r>
        <w:rPr>
          <w:spacing w:val="-14"/>
          <w:sz w:val="24"/>
        </w:rPr>
        <w:t> </w:t>
      </w:r>
      <w:r>
        <w:rPr>
          <w:spacing w:val="-2"/>
          <w:sz w:val="24"/>
        </w:rPr>
        <w:t>which</w:t>
      </w:r>
      <w:r>
        <w:rPr>
          <w:spacing w:val="-11"/>
          <w:sz w:val="24"/>
        </w:rPr>
        <w:t> </w:t>
      </w:r>
      <w:r>
        <w:rPr>
          <w:spacing w:val="-2"/>
          <w:sz w:val="24"/>
        </w:rPr>
        <w:t>will</w:t>
      </w:r>
      <w:r>
        <w:rPr>
          <w:spacing w:val="-11"/>
          <w:sz w:val="24"/>
        </w:rPr>
        <w:t> </w:t>
      </w:r>
      <w:r>
        <w:rPr>
          <w:spacing w:val="-2"/>
          <w:sz w:val="24"/>
        </w:rPr>
        <w:t>deliver</w:t>
      </w:r>
      <w:r>
        <w:rPr>
          <w:spacing w:val="-12"/>
          <w:sz w:val="24"/>
        </w:rPr>
        <w:t> </w:t>
      </w:r>
      <w:r>
        <w:rPr>
          <w:spacing w:val="-2"/>
          <w:sz w:val="24"/>
        </w:rPr>
        <w:t>significant</w:t>
      </w:r>
      <w:r>
        <w:rPr>
          <w:spacing w:val="-15"/>
          <w:sz w:val="24"/>
        </w:rPr>
        <w:t> </w:t>
      </w:r>
      <w:r>
        <w:rPr>
          <w:spacing w:val="-2"/>
          <w:sz w:val="24"/>
        </w:rPr>
        <w:t>in-year </w:t>
      </w:r>
      <w:r>
        <w:rPr>
          <w:sz w:val="24"/>
        </w:rPr>
        <w:t>progress</w:t>
      </w:r>
      <w:r>
        <w:rPr>
          <w:spacing w:val="-9"/>
          <w:sz w:val="24"/>
        </w:rPr>
        <w:t> </w:t>
      </w:r>
      <w:r>
        <w:rPr>
          <w:sz w:val="24"/>
        </w:rPr>
        <w:t>and</w:t>
      </w:r>
      <w:r>
        <w:rPr>
          <w:spacing w:val="-8"/>
          <w:sz w:val="24"/>
        </w:rPr>
        <w:t> </w:t>
      </w:r>
      <w:r>
        <w:rPr>
          <w:sz w:val="24"/>
        </w:rPr>
        <w:t>pace</w:t>
      </w:r>
      <w:r>
        <w:rPr>
          <w:spacing w:val="-8"/>
          <w:sz w:val="24"/>
        </w:rPr>
        <w:t> </w:t>
      </w:r>
      <w:r>
        <w:rPr>
          <w:sz w:val="24"/>
        </w:rPr>
        <w:t>in</w:t>
      </w:r>
      <w:r>
        <w:rPr>
          <w:spacing w:val="-8"/>
          <w:sz w:val="24"/>
        </w:rPr>
        <w:t> </w:t>
      </w:r>
      <w:r>
        <w:rPr>
          <w:sz w:val="24"/>
        </w:rPr>
        <w:t>delivery</w:t>
      </w:r>
      <w:r>
        <w:rPr>
          <w:spacing w:val="-13"/>
          <w:sz w:val="24"/>
        </w:rPr>
        <w:t> </w:t>
      </w:r>
      <w:r>
        <w:rPr>
          <w:sz w:val="24"/>
        </w:rPr>
        <w:t>in</w:t>
      </w:r>
      <w:r>
        <w:rPr>
          <w:spacing w:val="-8"/>
          <w:sz w:val="24"/>
        </w:rPr>
        <w:t> </w:t>
      </w:r>
      <w:r>
        <w:rPr>
          <w:sz w:val="24"/>
        </w:rPr>
        <w:t>the</w:t>
      </w:r>
      <w:r>
        <w:rPr>
          <w:spacing w:val="-8"/>
          <w:sz w:val="24"/>
        </w:rPr>
        <w:t> </w:t>
      </w:r>
      <w:r>
        <w:rPr>
          <w:sz w:val="24"/>
        </w:rPr>
        <w:t>health</w:t>
      </w:r>
      <w:r>
        <w:rPr>
          <w:spacing w:val="-8"/>
          <w:sz w:val="24"/>
        </w:rPr>
        <w:t> </w:t>
      </w:r>
      <w:r>
        <w:rPr>
          <w:sz w:val="24"/>
        </w:rPr>
        <w:t>and</w:t>
      </w:r>
      <w:r>
        <w:rPr>
          <w:spacing w:val="-8"/>
          <w:sz w:val="24"/>
        </w:rPr>
        <w:t> </w:t>
      </w:r>
      <w:r>
        <w:rPr>
          <w:sz w:val="24"/>
        </w:rPr>
        <w:t>care</w:t>
      </w:r>
      <w:r>
        <w:rPr>
          <w:spacing w:val="-8"/>
          <w:sz w:val="24"/>
        </w:rPr>
        <w:t> </w:t>
      </w:r>
      <w:r>
        <w:rPr>
          <w:sz w:val="24"/>
        </w:rPr>
        <w:t>system</w:t>
      </w:r>
      <w:r>
        <w:rPr>
          <w:spacing w:val="-9"/>
          <w:sz w:val="24"/>
        </w:rPr>
        <w:t> </w:t>
      </w:r>
      <w:r>
        <w:rPr>
          <w:sz w:val="24"/>
        </w:rPr>
        <w:t>for</w:t>
      </w:r>
      <w:r>
        <w:rPr>
          <w:spacing w:val="-9"/>
          <w:sz w:val="24"/>
        </w:rPr>
        <w:t> </w:t>
      </w:r>
      <w:r>
        <w:rPr>
          <w:sz w:val="24"/>
        </w:rPr>
        <w:t>the</w:t>
      </w:r>
      <w:r>
        <w:rPr>
          <w:spacing w:val="-8"/>
          <w:sz w:val="24"/>
        </w:rPr>
        <w:t> </w:t>
      </w:r>
      <w:r>
        <w:rPr>
          <w:sz w:val="24"/>
        </w:rPr>
        <w:t>region.</w:t>
      </w:r>
    </w:p>
    <w:p>
      <w:pPr>
        <w:pStyle w:val="ListParagraph"/>
        <w:numPr>
          <w:ilvl w:val="2"/>
          <w:numId w:val="37"/>
        </w:numPr>
        <w:tabs>
          <w:tab w:pos="1560" w:val="left" w:leader="none"/>
          <w:tab w:pos="1563" w:val="left" w:leader="none"/>
        </w:tabs>
        <w:spacing w:line="240" w:lineRule="auto" w:before="272" w:after="0"/>
        <w:ind w:left="1563" w:right="608" w:hanging="721"/>
        <w:jc w:val="both"/>
        <w:rPr>
          <w:sz w:val="24"/>
        </w:rPr>
      </w:pPr>
      <w:r>
        <w:rPr>
          <w:spacing w:val="-2"/>
          <w:sz w:val="24"/>
        </w:rPr>
        <w:t>Drive</w:t>
      </w:r>
      <w:r>
        <w:rPr>
          <w:spacing w:val="-7"/>
          <w:sz w:val="24"/>
        </w:rPr>
        <w:t> </w:t>
      </w:r>
      <w:r>
        <w:rPr>
          <w:spacing w:val="-2"/>
          <w:sz w:val="24"/>
        </w:rPr>
        <w:t>forward</w:t>
      </w:r>
      <w:r>
        <w:rPr>
          <w:spacing w:val="-12"/>
          <w:sz w:val="24"/>
        </w:rPr>
        <w:t> </w:t>
      </w:r>
      <w:r>
        <w:rPr>
          <w:spacing w:val="-2"/>
          <w:sz w:val="24"/>
        </w:rPr>
        <w:t>a range</w:t>
      </w:r>
      <w:r>
        <w:rPr>
          <w:spacing w:val="-7"/>
          <w:sz w:val="24"/>
        </w:rPr>
        <w:t> </w:t>
      </w:r>
      <w:r>
        <w:rPr>
          <w:spacing w:val="-2"/>
          <w:sz w:val="24"/>
        </w:rPr>
        <w:t>of</w:t>
      </w:r>
      <w:r>
        <w:rPr>
          <w:spacing w:val="-13"/>
          <w:sz w:val="24"/>
        </w:rPr>
        <w:t> </w:t>
      </w:r>
      <w:r>
        <w:rPr>
          <w:spacing w:val="-2"/>
          <w:sz w:val="24"/>
        </w:rPr>
        <w:t>projects</w:t>
      </w:r>
      <w:r>
        <w:rPr>
          <w:spacing w:val="-8"/>
          <w:sz w:val="24"/>
        </w:rPr>
        <w:t> </w:t>
      </w:r>
      <w:r>
        <w:rPr>
          <w:spacing w:val="-2"/>
          <w:sz w:val="24"/>
        </w:rPr>
        <w:t>that</w:t>
      </w:r>
      <w:r>
        <w:rPr>
          <w:spacing w:val="-10"/>
          <w:sz w:val="24"/>
        </w:rPr>
        <w:t> </w:t>
      </w:r>
      <w:r>
        <w:rPr>
          <w:spacing w:val="-2"/>
          <w:sz w:val="24"/>
        </w:rPr>
        <w:t>have</w:t>
      </w:r>
      <w:r>
        <w:rPr>
          <w:spacing w:val="-7"/>
          <w:sz w:val="24"/>
        </w:rPr>
        <w:t> </w:t>
      </w:r>
      <w:r>
        <w:rPr>
          <w:spacing w:val="-2"/>
          <w:sz w:val="24"/>
        </w:rPr>
        <w:t>been</w:t>
      </w:r>
      <w:r>
        <w:rPr>
          <w:spacing w:val="-7"/>
          <w:sz w:val="24"/>
        </w:rPr>
        <w:t> </w:t>
      </w:r>
      <w:r>
        <w:rPr>
          <w:spacing w:val="-2"/>
          <w:sz w:val="24"/>
        </w:rPr>
        <w:t>identified</w:t>
      </w:r>
      <w:r>
        <w:rPr>
          <w:spacing w:val="-7"/>
          <w:sz w:val="24"/>
        </w:rPr>
        <w:t> </w:t>
      </w:r>
      <w:r>
        <w:rPr>
          <w:spacing w:val="-2"/>
          <w:sz w:val="24"/>
        </w:rPr>
        <w:t>by</w:t>
      </w:r>
      <w:r>
        <w:rPr>
          <w:spacing w:val="-8"/>
          <w:sz w:val="24"/>
        </w:rPr>
        <w:t> </w:t>
      </w:r>
      <w:r>
        <w:rPr>
          <w:spacing w:val="-2"/>
          <w:sz w:val="24"/>
        </w:rPr>
        <w:t>partner</w:t>
      </w:r>
      <w:r>
        <w:rPr>
          <w:spacing w:val="-8"/>
          <w:sz w:val="24"/>
        </w:rPr>
        <w:t> </w:t>
      </w:r>
      <w:r>
        <w:rPr>
          <w:spacing w:val="-2"/>
          <w:sz w:val="24"/>
        </w:rPr>
        <w:t>organisations as</w:t>
      </w:r>
      <w:r>
        <w:rPr>
          <w:spacing w:val="-14"/>
          <w:sz w:val="24"/>
        </w:rPr>
        <w:t> </w:t>
      </w:r>
      <w:r>
        <w:rPr>
          <w:spacing w:val="-2"/>
          <w:sz w:val="24"/>
        </w:rPr>
        <w:t>priorities</w:t>
      </w:r>
      <w:r>
        <w:rPr>
          <w:spacing w:val="-10"/>
          <w:sz w:val="24"/>
        </w:rPr>
        <w:t> </w:t>
      </w:r>
      <w:r>
        <w:rPr>
          <w:spacing w:val="-2"/>
          <w:sz w:val="24"/>
        </w:rPr>
        <w:t>for</w:t>
      </w:r>
      <w:r>
        <w:rPr>
          <w:spacing w:val="-14"/>
          <w:sz w:val="24"/>
        </w:rPr>
        <w:t> </w:t>
      </w:r>
      <w:r>
        <w:rPr>
          <w:spacing w:val="-2"/>
          <w:sz w:val="24"/>
        </w:rPr>
        <w:t>joint</w:t>
      </w:r>
      <w:r>
        <w:rPr>
          <w:spacing w:val="-11"/>
          <w:sz w:val="24"/>
        </w:rPr>
        <w:t> </w:t>
      </w:r>
      <w:r>
        <w:rPr>
          <w:spacing w:val="-2"/>
          <w:sz w:val="24"/>
        </w:rPr>
        <w:t>working</w:t>
      </w:r>
      <w:r>
        <w:rPr>
          <w:spacing w:val="-9"/>
          <w:sz w:val="24"/>
        </w:rPr>
        <w:t> </w:t>
      </w:r>
      <w:r>
        <w:rPr>
          <w:spacing w:val="-2"/>
          <w:sz w:val="24"/>
        </w:rPr>
        <w:t>at</w:t>
      </w:r>
      <w:r>
        <w:rPr>
          <w:spacing w:val="-11"/>
          <w:sz w:val="24"/>
        </w:rPr>
        <w:t> </w:t>
      </w:r>
      <w:r>
        <w:rPr>
          <w:spacing w:val="-2"/>
          <w:sz w:val="24"/>
        </w:rPr>
        <w:t>pace</w:t>
      </w:r>
      <w:r>
        <w:rPr>
          <w:spacing w:val="-4"/>
          <w:sz w:val="24"/>
        </w:rPr>
        <w:t> </w:t>
      </w:r>
      <w:r>
        <w:rPr>
          <w:spacing w:val="-2"/>
          <w:sz w:val="24"/>
        </w:rPr>
        <w:t>to</w:t>
      </w:r>
      <w:r>
        <w:rPr>
          <w:spacing w:val="-9"/>
          <w:sz w:val="24"/>
        </w:rPr>
        <w:t> </w:t>
      </w:r>
      <w:r>
        <w:rPr>
          <w:spacing w:val="-2"/>
          <w:sz w:val="24"/>
        </w:rPr>
        <w:t>deliver</w:t>
      </w:r>
      <w:r>
        <w:rPr>
          <w:spacing w:val="-10"/>
          <w:sz w:val="24"/>
        </w:rPr>
        <w:t> </w:t>
      </w:r>
      <w:r>
        <w:rPr>
          <w:spacing w:val="-2"/>
          <w:sz w:val="24"/>
        </w:rPr>
        <w:t>Ministerial</w:t>
      </w:r>
      <w:r>
        <w:rPr>
          <w:spacing w:val="-9"/>
          <w:sz w:val="24"/>
        </w:rPr>
        <w:t> </w:t>
      </w:r>
      <w:r>
        <w:rPr>
          <w:spacing w:val="-2"/>
          <w:sz w:val="24"/>
        </w:rPr>
        <w:t>Priorities</w:t>
      </w:r>
      <w:r>
        <w:rPr>
          <w:spacing w:val="-4"/>
          <w:sz w:val="24"/>
        </w:rPr>
        <w:t> </w:t>
      </w:r>
      <w:r>
        <w:rPr>
          <w:spacing w:val="-2"/>
          <w:sz w:val="24"/>
        </w:rPr>
        <w:t>as</w:t>
      </w:r>
      <w:r>
        <w:rPr>
          <w:spacing w:val="-10"/>
          <w:sz w:val="24"/>
        </w:rPr>
        <w:t> </w:t>
      </w:r>
      <w:r>
        <w:rPr>
          <w:spacing w:val="-2"/>
          <w:sz w:val="24"/>
        </w:rPr>
        <w:t>part</w:t>
      </w:r>
      <w:r>
        <w:rPr>
          <w:spacing w:val="-11"/>
          <w:sz w:val="24"/>
        </w:rPr>
        <w:t> </w:t>
      </w:r>
      <w:r>
        <w:rPr>
          <w:spacing w:val="-2"/>
          <w:sz w:val="24"/>
        </w:rPr>
        <w:t>of</w:t>
      </w:r>
      <w:r>
        <w:rPr>
          <w:spacing w:val="-11"/>
          <w:sz w:val="24"/>
        </w:rPr>
        <w:t> </w:t>
      </w:r>
      <w:r>
        <w:rPr>
          <w:spacing w:val="-2"/>
          <w:sz w:val="24"/>
        </w:rPr>
        <w:t>a</w:t>
      </w:r>
      <w:r>
        <w:rPr>
          <w:spacing w:val="-9"/>
          <w:sz w:val="24"/>
        </w:rPr>
        <w:t> </w:t>
      </w:r>
      <w:r>
        <w:rPr>
          <w:spacing w:val="-2"/>
          <w:sz w:val="24"/>
        </w:rPr>
        <w:t>suite of</w:t>
      </w:r>
      <w:r>
        <w:rPr>
          <w:spacing w:val="-15"/>
          <w:sz w:val="24"/>
        </w:rPr>
        <w:t> </w:t>
      </w:r>
      <w:r>
        <w:rPr>
          <w:spacing w:val="-2"/>
          <w:sz w:val="24"/>
        </w:rPr>
        <w:t>integrated</w:t>
      </w:r>
      <w:r>
        <w:rPr>
          <w:spacing w:val="-13"/>
          <w:sz w:val="24"/>
        </w:rPr>
        <w:t> </w:t>
      </w:r>
      <w:r>
        <w:rPr>
          <w:spacing w:val="-2"/>
          <w:sz w:val="24"/>
        </w:rPr>
        <w:t>RJC</w:t>
      </w:r>
      <w:r>
        <w:rPr>
          <w:spacing w:val="-12"/>
          <w:sz w:val="24"/>
        </w:rPr>
        <w:t> </w:t>
      </w:r>
      <w:r>
        <w:rPr>
          <w:spacing w:val="-2"/>
          <w:sz w:val="24"/>
        </w:rPr>
        <w:t>subgroup</w:t>
      </w:r>
      <w:r>
        <w:rPr>
          <w:spacing w:val="-11"/>
          <w:sz w:val="24"/>
        </w:rPr>
        <w:t> </w:t>
      </w:r>
      <w:r>
        <w:rPr>
          <w:spacing w:val="-2"/>
          <w:sz w:val="24"/>
        </w:rPr>
        <w:t>programmes</w:t>
      </w:r>
      <w:r>
        <w:rPr>
          <w:spacing w:val="-13"/>
          <w:sz w:val="24"/>
        </w:rPr>
        <w:t> </w:t>
      </w:r>
      <w:r>
        <w:rPr>
          <w:spacing w:val="-2"/>
          <w:sz w:val="24"/>
        </w:rPr>
        <w:t>that</w:t>
      </w:r>
      <w:r>
        <w:rPr>
          <w:spacing w:val="-15"/>
          <w:sz w:val="24"/>
        </w:rPr>
        <w:t> </w:t>
      </w:r>
      <w:r>
        <w:rPr>
          <w:spacing w:val="-2"/>
          <w:sz w:val="24"/>
        </w:rPr>
        <w:t>deliver</w:t>
      </w:r>
      <w:r>
        <w:rPr>
          <w:spacing w:val="-13"/>
          <w:sz w:val="24"/>
        </w:rPr>
        <w:t> </w:t>
      </w:r>
      <w:r>
        <w:rPr>
          <w:spacing w:val="-2"/>
          <w:sz w:val="24"/>
        </w:rPr>
        <w:t>against</w:t>
      </w:r>
      <w:r>
        <w:rPr>
          <w:spacing w:val="-10"/>
          <w:sz w:val="24"/>
        </w:rPr>
        <w:t> </w:t>
      </w:r>
      <w:r>
        <w:rPr>
          <w:spacing w:val="-2"/>
          <w:sz w:val="24"/>
        </w:rPr>
        <w:t>the</w:t>
      </w:r>
      <w:r>
        <w:rPr>
          <w:spacing w:val="-12"/>
          <w:sz w:val="24"/>
        </w:rPr>
        <w:t> </w:t>
      </w:r>
      <w:r>
        <w:rPr>
          <w:spacing w:val="-2"/>
          <w:sz w:val="24"/>
        </w:rPr>
        <w:t>strategic</w:t>
      </w:r>
      <w:r>
        <w:rPr>
          <w:spacing w:val="-15"/>
          <w:sz w:val="24"/>
        </w:rPr>
        <w:t> </w:t>
      </w:r>
      <w:r>
        <w:rPr>
          <w:spacing w:val="-2"/>
          <w:sz w:val="24"/>
        </w:rPr>
        <w:t>aims</w:t>
      </w:r>
      <w:r>
        <w:rPr>
          <w:spacing w:val="-13"/>
          <w:sz w:val="24"/>
        </w:rPr>
        <w:t> </w:t>
      </w:r>
      <w:r>
        <w:rPr>
          <w:spacing w:val="-2"/>
          <w:sz w:val="24"/>
        </w:rPr>
        <w:t>and </w:t>
      </w:r>
      <w:r>
        <w:rPr>
          <w:sz w:val="24"/>
        </w:rPr>
        <w:t>objectives</w:t>
      </w:r>
      <w:r>
        <w:rPr>
          <w:spacing w:val="-10"/>
          <w:sz w:val="24"/>
        </w:rPr>
        <w:t> </w:t>
      </w:r>
      <w:r>
        <w:rPr>
          <w:sz w:val="24"/>
        </w:rPr>
        <w:t>agreed</w:t>
      </w:r>
      <w:r>
        <w:rPr>
          <w:spacing w:val="-9"/>
          <w:sz w:val="24"/>
        </w:rPr>
        <w:t> </w:t>
      </w:r>
      <w:r>
        <w:rPr>
          <w:sz w:val="24"/>
        </w:rPr>
        <w:t>by</w:t>
      </w:r>
      <w:r>
        <w:rPr>
          <w:spacing w:val="-5"/>
          <w:sz w:val="24"/>
        </w:rPr>
        <w:t> </w:t>
      </w:r>
      <w:r>
        <w:rPr>
          <w:sz w:val="24"/>
        </w:rPr>
        <w:t>the</w:t>
      </w:r>
      <w:r>
        <w:rPr>
          <w:spacing w:val="-8"/>
          <w:sz w:val="24"/>
        </w:rPr>
        <w:t> </w:t>
      </w:r>
      <w:r>
        <w:rPr>
          <w:sz w:val="24"/>
        </w:rPr>
        <w:t>RJC</w:t>
      </w:r>
      <w:r>
        <w:rPr>
          <w:spacing w:val="-8"/>
          <w:sz w:val="24"/>
        </w:rPr>
        <w:t> </w:t>
      </w:r>
      <w:r>
        <w:rPr>
          <w:sz w:val="24"/>
        </w:rPr>
        <w:t>and</w:t>
      </w:r>
      <w:r>
        <w:rPr>
          <w:spacing w:val="-9"/>
          <w:sz w:val="24"/>
        </w:rPr>
        <w:t> </w:t>
      </w:r>
      <w:r>
        <w:rPr>
          <w:sz w:val="24"/>
        </w:rPr>
        <w:t>ratified</w:t>
      </w:r>
      <w:r>
        <w:rPr>
          <w:spacing w:val="-9"/>
          <w:sz w:val="24"/>
        </w:rPr>
        <w:t> </w:t>
      </w:r>
      <w:r>
        <w:rPr>
          <w:sz w:val="24"/>
        </w:rPr>
        <w:t>by</w:t>
      </w:r>
      <w:r>
        <w:rPr>
          <w:spacing w:val="-10"/>
          <w:sz w:val="24"/>
        </w:rPr>
        <w:t> </w:t>
      </w:r>
      <w:r>
        <w:rPr>
          <w:sz w:val="24"/>
        </w:rPr>
        <w:t>both</w:t>
      </w:r>
      <w:r>
        <w:rPr>
          <w:spacing w:val="-9"/>
          <w:sz w:val="24"/>
        </w:rPr>
        <w:t> </w:t>
      </w:r>
      <w:r>
        <w:rPr>
          <w:sz w:val="24"/>
        </w:rPr>
        <w:t>sovereign</w:t>
      </w:r>
      <w:r>
        <w:rPr>
          <w:spacing w:val="-4"/>
          <w:sz w:val="24"/>
        </w:rPr>
        <w:t> </w:t>
      </w:r>
      <w:r>
        <w:rPr>
          <w:sz w:val="24"/>
        </w:rPr>
        <w:t>Boards.</w:t>
      </w:r>
    </w:p>
    <w:p>
      <w:pPr>
        <w:pStyle w:val="BodyText"/>
        <w:spacing w:before="1"/>
      </w:pPr>
    </w:p>
    <w:p>
      <w:pPr>
        <w:pStyle w:val="ListParagraph"/>
        <w:numPr>
          <w:ilvl w:val="2"/>
          <w:numId w:val="37"/>
        </w:numPr>
        <w:tabs>
          <w:tab w:pos="1563" w:val="left" w:leader="none"/>
        </w:tabs>
        <w:spacing w:line="240" w:lineRule="auto" w:before="0" w:after="0"/>
        <w:ind w:left="1563" w:right="503" w:hanging="721"/>
        <w:jc w:val="left"/>
        <w:rPr>
          <w:sz w:val="24"/>
        </w:rPr>
      </w:pPr>
      <w:r>
        <w:rPr>
          <w:sz w:val="24"/>
        </w:rPr>
        <w:t>Oversee</w:t>
      </w:r>
      <w:r>
        <w:rPr>
          <w:spacing w:val="-13"/>
          <w:sz w:val="24"/>
        </w:rPr>
        <w:t> </w:t>
      </w:r>
      <w:r>
        <w:rPr>
          <w:sz w:val="24"/>
        </w:rPr>
        <w:t>system-wide</w:t>
      </w:r>
      <w:r>
        <w:rPr>
          <w:spacing w:val="-13"/>
          <w:sz w:val="24"/>
        </w:rPr>
        <w:t> </w:t>
      </w:r>
      <w:r>
        <w:rPr>
          <w:sz w:val="24"/>
        </w:rPr>
        <w:t>and</w:t>
      </w:r>
      <w:r>
        <w:rPr>
          <w:spacing w:val="-13"/>
          <w:sz w:val="24"/>
        </w:rPr>
        <w:t> </w:t>
      </w:r>
      <w:r>
        <w:rPr>
          <w:sz w:val="24"/>
        </w:rPr>
        <w:t>strategic</w:t>
      </w:r>
      <w:r>
        <w:rPr>
          <w:spacing w:val="-14"/>
          <w:sz w:val="24"/>
        </w:rPr>
        <w:t> </w:t>
      </w:r>
      <w:r>
        <w:rPr>
          <w:sz w:val="24"/>
        </w:rPr>
        <w:t>matters</w:t>
      </w:r>
      <w:r>
        <w:rPr>
          <w:spacing w:val="-9"/>
          <w:sz w:val="24"/>
        </w:rPr>
        <w:t> </w:t>
      </w:r>
      <w:r>
        <w:rPr>
          <w:sz w:val="24"/>
        </w:rPr>
        <w:t>(including</w:t>
      </w:r>
      <w:r>
        <w:rPr>
          <w:spacing w:val="-17"/>
          <w:sz w:val="24"/>
        </w:rPr>
        <w:t> </w:t>
      </w:r>
      <w:r>
        <w:rPr>
          <w:sz w:val="24"/>
        </w:rPr>
        <w:t>assurance</w:t>
      </w:r>
      <w:r>
        <w:rPr>
          <w:spacing w:val="-12"/>
          <w:sz w:val="24"/>
        </w:rPr>
        <w:t> </w:t>
      </w:r>
      <w:r>
        <w:rPr>
          <w:sz w:val="24"/>
        </w:rPr>
        <w:t>beyond</w:t>
      </w:r>
      <w:r>
        <w:rPr>
          <w:spacing w:val="-9"/>
          <w:sz w:val="24"/>
        </w:rPr>
        <w:t> </w:t>
      </w:r>
      <w:r>
        <w:rPr>
          <w:sz w:val="24"/>
        </w:rPr>
        <w:t>any </w:t>
      </w:r>
      <w:r>
        <w:rPr>
          <w:spacing w:val="-2"/>
          <w:sz w:val="24"/>
        </w:rPr>
        <w:t>individual</w:t>
      </w:r>
      <w:r>
        <w:rPr>
          <w:spacing w:val="-15"/>
          <w:sz w:val="24"/>
        </w:rPr>
        <w:t> </w:t>
      </w:r>
      <w:r>
        <w:rPr>
          <w:spacing w:val="-2"/>
          <w:sz w:val="24"/>
        </w:rPr>
        <w:t>RJC</w:t>
      </w:r>
      <w:r>
        <w:rPr>
          <w:spacing w:val="-15"/>
          <w:sz w:val="24"/>
        </w:rPr>
        <w:t> </w:t>
      </w:r>
      <w:r>
        <w:rPr>
          <w:spacing w:val="-2"/>
          <w:sz w:val="24"/>
        </w:rPr>
        <w:t>subgroups</w:t>
      </w:r>
      <w:r>
        <w:rPr>
          <w:spacing w:val="-14"/>
          <w:sz w:val="24"/>
        </w:rPr>
        <w:t> </w:t>
      </w:r>
      <w:r>
        <w:rPr>
          <w:spacing w:val="-2"/>
          <w:sz w:val="24"/>
        </w:rPr>
        <w:t>and</w:t>
      </w:r>
      <w:r>
        <w:rPr>
          <w:spacing w:val="-15"/>
          <w:sz w:val="24"/>
        </w:rPr>
        <w:t> </w:t>
      </w:r>
      <w:r>
        <w:rPr>
          <w:spacing w:val="-2"/>
          <w:sz w:val="24"/>
        </w:rPr>
        <w:t>programmes),</w:t>
      </w:r>
      <w:r>
        <w:rPr>
          <w:spacing w:val="-15"/>
          <w:sz w:val="24"/>
        </w:rPr>
        <w:t> </w:t>
      </w:r>
      <w:r>
        <w:rPr>
          <w:spacing w:val="-2"/>
          <w:sz w:val="24"/>
        </w:rPr>
        <w:t>consistent</w:t>
      </w:r>
      <w:r>
        <w:rPr>
          <w:spacing w:val="-15"/>
          <w:sz w:val="24"/>
        </w:rPr>
        <w:t> </w:t>
      </w:r>
      <w:r>
        <w:rPr>
          <w:spacing w:val="-2"/>
          <w:sz w:val="24"/>
        </w:rPr>
        <w:t>with</w:t>
      </w:r>
      <w:r>
        <w:rPr>
          <w:spacing w:val="-14"/>
          <w:sz w:val="24"/>
        </w:rPr>
        <w:t> </w:t>
      </w:r>
      <w:r>
        <w:rPr>
          <w:spacing w:val="-2"/>
          <w:sz w:val="24"/>
        </w:rPr>
        <w:t>the</w:t>
      </w:r>
      <w:r>
        <w:rPr>
          <w:spacing w:val="-15"/>
          <w:sz w:val="24"/>
        </w:rPr>
        <w:t> </w:t>
      </w:r>
      <w:r>
        <w:rPr>
          <w:spacing w:val="-2"/>
          <w:sz w:val="24"/>
        </w:rPr>
        <w:t>Ministerial</w:t>
      </w:r>
      <w:r>
        <w:rPr>
          <w:spacing w:val="-14"/>
          <w:sz w:val="24"/>
        </w:rPr>
        <w:t> </w:t>
      </w:r>
      <w:r>
        <w:rPr>
          <w:spacing w:val="-2"/>
          <w:sz w:val="24"/>
        </w:rPr>
        <w:t>Direction </w:t>
      </w:r>
      <w:r>
        <w:rPr>
          <w:sz w:val="24"/>
        </w:rPr>
        <w:t>issued</w:t>
      </w:r>
      <w:r>
        <w:rPr>
          <w:spacing w:val="-6"/>
          <w:sz w:val="24"/>
        </w:rPr>
        <w:t> </w:t>
      </w:r>
      <w:r>
        <w:rPr>
          <w:sz w:val="24"/>
        </w:rPr>
        <w:t>and</w:t>
      </w:r>
      <w:r>
        <w:rPr>
          <w:spacing w:val="-1"/>
          <w:sz w:val="24"/>
        </w:rPr>
        <w:t> </w:t>
      </w:r>
      <w:r>
        <w:rPr>
          <w:sz w:val="24"/>
        </w:rPr>
        <w:t>the</w:t>
      </w:r>
      <w:r>
        <w:rPr>
          <w:spacing w:val="-5"/>
          <w:sz w:val="24"/>
        </w:rPr>
        <w:t> </w:t>
      </w:r>
      <w:r>
        <w:rPr>
          <w:sz w:val="24"/>
        </w:rPr>
        <w:t>expectations</w:t>
      </w:r>
      <w:r>
        <w:rPr>
          <w:spacing w:val="-7"/>
          <w:sz w:val="24"/>
        </w:rPr>
        <w:t> </w:t>
      </w:r>
      <w:r>
        <w:rPr>
          <w:sz w:val="24"/>
        </w:rPr>
        <w:t>of</w:t>
      </w:r>
      <w:r>
        <w:rPr>
          <w:spacing w:val="-9"/>
          <w:sz w:val="24"/>
        </w:rPr>
        <w:t> </w:t>
      </w:r>
      <w:r>
        <w:rPr>
          <w:sz w:val="24"/>
        </w:rPr>
        <w:t>a</w:t>
      </w:r>
      <w:r>
        <w:rPr>
          <w:spacing w:val="-6"/>
          <w:sz w:val="24"/>
        </w:rPr>
        <w:t> </w:t>
      </w:r>
      <w:r>
        <w:rPr>
          <w:sz w:val="24"/>
        </w:rPr>
        <w:t>Regional</w:t>
      </w:r>
      <w:r>
        <w:rPr>
          <w:spacing w:val="-6"/>
          <w:sz w:val="24"/>
        </w:rPr>
        <w:t> </w:t>
      </w:r>
      <w:r>
        <w:rPr>
          <w:sz w:val="24"/>
        </w:rPr>
        <w:t>Joint</w:t>
      </w:r>
      <w:r>
        <w:rPr>
          <w:spacing w:val="-4"/>
          <w:sz w:val="24"/>
        </w:rPr>
        <w:t> </w:t>
      </w:r>
      <w:r>
        <w:rPr>
          <w:sz w:val="24"/>
        </w:rPr>
        <w:t>Committee.</w:t>
      </w:r>
    </w:p>
    <w:p>
      <w:pPr>
        <w:pStyle w:val="BodyText"/>
        <w:spacing w:before="1"/>
      </w:pPr>
    </w:p>
    <w:p>
      <w:pPr>
        <w:pStyle w:val="ListParagraph"/>
        <w:numPr>
          <w:ilvl w:val="2"/>
          <w:numId w:val="37"/>
        </w:numPr>
        <w:tabs>
          <w:tab w:pos="1563" w:val="left" w:leader="none"/>
        </w:tabs>
        <w:spacing w:line="240" w:lineRule="auto" w:before="0" w:after="0"/>
        <w:ind w:left="1563" w:right="489" w:hanging="721"/>
        <w:jc w:val="left"/>
        <w:rPr>
          <w:sz w:val="24"/>
        </w:rPr>
      </w:pPr>
      <w:r>
        <w:rPr>
          <w:sz w:val="24"/>
        </w:rPr>
        <w:t>Seek</w:t>
      </w:r>
      <w:r>
        <w:rPr>
          <w:spacing w:val="-10"/>
          <w:sz w:val="24"/>
        </w:rPr>
        <w:t> </w:t>
      </w:r>
      <w:r>
        <w:rPr>
          <w:sz w:val="24"/>
        </w:rPr>
        <w:t>assurance</w:t>
      </w:r>
      <w:r>
        <w:rPr>
          <w:spacing w:val="-9"/>
          <w:sz w:val="24"/>
        </w:rPr>
        <w:t> </w:t>
      </w:r>
      <w:r>
        <w:rPr>
          <w:sz w:val="24"/>
        </w:rPr>
        <w:t>that</w:t>
      </w:r>
      <w:r>
        <w:rPr>
          <w:spacing w:val="-12"/>
          <w:sz w:val="24"/>
        </w:rPr>
        <w:t> </w:t>
      </w:r>
      <w:r>
        <w:rPr>
          <w:sz w:val="24"/>
        </w:rPr>
        <w:t>all</w:t>
      </w:r>
      <w:r>
        <w:rPr>
          <w:spacing w:val="-4"/>
          <w:sz w:val="24"/>
        </w:rPr>
        <w:t> </w:t>
      </w:r>
      <w:r>
        <w:rPr>
          <w:sz w:val="24"/>
        </w:rPr>
        <w:t>the</w:t>
      </w:r>
      <w:r>
        <w:rPr>
          <w:spacing w:val="-9"/>
          <w:sz w:val="24"/>
        </w:rPr>
        <w:t> </w:t>
      </w:r>
      <w:r>
        <w:rPr>
          <w:sz w:val="24"/>
        </w:rPr>
        <w:t>RJC</w:t>
      </w:r>
      <w:r>
        <w:rPr>
          <w:spacing w:val="-9"/>
          <w:sz w:val="24"/>
        </w:rPr>
        <w:t> </w:t>
      </w:r>
      <w:r>
        <w:rPr>
          <w:sz w:val="24"/>
        </w:rPr>
        <w:t>subgroups</w:t>
      </w:r>
      <w:r>
        <w:rPr>
          <w:spacing w:val="-15"/>
          <w:sz w:val="24"/>
        </w:rPr>
        <w:t> </w:t>
      </w:r>
      <w:r>
        <w:rPr>
          <w:sz w:val="24"/>
        </w:rPr>
        <w:t>and</w:t>
      </w:r>
      <w:r>
        <w:rPr>
          <w:spacing w:val="-6"/>
          <w:sz w:val="24"/>
        </w:rPr>
        <w:t> </w:t>
      </w:r>
      <w:r>
        <w:rPr>
          <w:sz w:val="24"/>
        </w:rPr>
        <w:t>programmes</w:t>
      </w:r>
      <w:r>
        <w:rPr>
          <w:spacing w:val="-10"/>
          <w:sz w:val="24"/>
        </w:rPr>
        <w:t> </w:t>
      </w:r>
      <w:r>
        <w:rPr>
          <w:sz w:val="24"/>
        </w:rPr>
        <w:t>are</w:t>
      </w:r>
      <w:r>
        <w:rPr>
          <w:spacing w:val="-9"/>
          <w:sz w:val="24"/>
        </w:rPr>
        <w:t> </w:t>
      </w:r>
      <w:r>
        <w:rPr>
          <w:sz w:val="24"/>
        </w:rPr>
        <w:t>aligned</w:t>
      </w:r>
      <w:r>
        <w:rPr>
          <w:spacing w:val="-9"/>
          <w:sz w:val="24"/>
        </w:rPr>
        <w:t> </w:t>
      </w:r>
      <w:r>
        <w:rPr>
          <w:sz w:val="24"/>
        </w:rPr>
        <w:t>with respective</w:t>
      </w:r>
      <w:r>
        <w:rPr>
          <w:spacing w:val="-17"/>
          <w:sz w:val="24"/>
        </w:rPr>
        <w:t> </w:t>
      </w:r>
      <w:r>
        <w:rPr>
          <w:sz w:val="24"/>
        </w:rPr>
        <w:t>University</w:t>
      </w:r>
      <w:r>
        <w:rPr>
          <w:spacing w:val="-17"/>
          <w:sz w:val="24"/>
        </w:rPr>
        <w:t> </w:t>
      </w:r>
      <w:r>
        <w:rPr>
          <w:sz w:val="24"/>
        </w:rPr>
        <w:t>Health</w:t>
      </w:r>
      <w:r>
        <w:rPr>
          <w:spacing w:val="-16"/>
          <w:sz w:val="24"/>
        </w:rPr>
        <w:t> </w:t>
      </w:r>
      <w:r>
        <w:rPr>
          <w:sz w:val="24"/>
        </w:rPr>
        <w:t>Board</w:t>
      </w:r>
      <w:r>
        <w:rPr>
          <w:spacing w:val="-16"/>
          <w:sz w:val="24"/>
        </w:rPr>
        <w:t> </w:t>
      </w:r>
      <w:r>
        <w:rPr>
          <w:sz w:val="24"/>
        </w:rPr>
        <w:t>strategic</w:t>
      </w:r>
      <w:r>
        <w:rPr>
          <w:spacing w:val="-16"/>
          <w:sz w:val="24"/>
        </w:rPr>
        <w:t> </w:t>
      </w:r>
      <w:r>
        <w:rPr>
          <w:sz w:val="24"/>
        </w:rPr>
        <w:t>priorities,</w:t>
      </w:r>
      <w:r>
        <w:rPr>
          <w:spacing w:val="-17"/>
          <w:sz w:val="24"/>
        </w:rPr>
        <w:t> </w:t>
      </w:r>
      <w:r>
        <w:rPr>
          <w:sz w:val="24"/>
        </w:rPr>
        <w:t>clinical</w:t>
      </w:r>
      <w:r>
        <w:rPr>
          <w:spacing w:val="-15"/>
          <w:sz w:val="24"/>
        </w:rPr>
        <w:t> </w:t>
      </w:r>
      <w:r>
        <w:rPr>
          <w:sz w:val="24"/>
        </w:rPr>
        <w:t>service</w:t>
      </w:r>
      <w:r>
        <w:rPr>
          <w:spacing w:val="-17"/>
          <w:sz w:val="24"/>
        </w:rPr>
        <w:t> </w:t>
      </w:r>
      <w:r>
        <w:rPr>
          <w:sz w:val="24"/>
        </w:rPr>
        <w:t>plans,</w:t>
      </w:r>
      <w:r>
        <w:rPr>
          <w:spacing w:val="-17"/>
          <w:sz w:val="24"/>
        </w:rPr>
        <w:t> </w:t>
      </w:r>
      <w:r>
        <w:rPr>
          <w:sz w:val="24"/>
        </w:rPr>
        <w:t>the </w:t>
      </w:r>
      <w:r>
        <w:rPr>
          <w:spacing w:val="-2"/>
          <w:sz w:val="24"/>
        </w:rPr>
        <w:t>strategic</w:t>
      </w:r>
      <w:r>
        <w:rPr>
          <w:spacing w:val="-15"/>
          <w:sz w:val="24"/>
        </w:rPr>
        <w:t> </w:t>
      </w:r>
      <w:r>
        <w:rPr>
          <w:spacing w:val="-2"/>
          <w:sz w:val="24"/>
        </w:rPr>
        <w:t>direction</w:t>
      </w:r>
      <w:r>
        <w:rPr>
          <w:spacing w:val="-15"/>
          <w:sz w:val="24"/>
        </w:rPr>
        <w:t> </w:t>
      </w:r>
      <w:r>
        <w:rPr>
          <w:spacing w:val="-2"/>
          <w:sz w:val="24"/>
        </w:rPr>
        <w:t>of</w:t>
      </w:r>
      <w:r>
        <w:rPr>
          <w:spacing w:val="-14"/>
          <w:sz w:val="24"/>
        </w:rPr>
        <w:t> </w:t>
      </w:r>
      <w:r>
        <w:rPr>
          <w:spacing w:val="-2"/>
          <w:sz w:val="24"/>
        </w:rPr>
        <w:t>Welsh</w:t>
      </w:r>
      <w:r>
        <w:rPr>
          <w:spacing w:val="-10"/>
          <w:sz w:val="24"/>
        </w:rPr>
        <w:t> </w:t>
      </w:r>
      <w:r>
        <w:rPr>
          <w:spacing w:val="-2"/>
          <w:sz w:val="24"/>
        </w:rPr>
        <w:t>Government</w:t>
      </w:r>
      <w:r>
        <w:rPr>
          <w:spacing w:val="-15"/>
          <w:sz w:val="24"/>
        </w:rPr>
        <w:t> </w:t>
      </w:r>
      <w:r>
        <w:rPr>
          <w:spacing w:val="-2"/>
          <w:sz w:val="24"/>
        </w:rPr>
        <w:t>and</w:t>
      </w:r>
      <w:r>
        <w:rPr>
          <w:spacing w:val="-13"/>
          <w:sz w:val="24"/>
        </w:rPr>
        <w:t> </w:t>
      </w:r>
      <w:r>
        <w:rPr>
          <w:spacing w:val="-2"/>
          <w:sz w:val="24"/>
        </w:rPr>
        <w:t>other</w:t>
      </w:r>
      <w:r>
        <w:rPr>
          <w:spacing w:val="-15"/>
          <w:sz w:val="24"/>
        </w:rPr>
        <w:t> </w:t>
      </w:r>
      <w:r>
        <w:rPr>
          <w:spacing w:val="-2"/>
          <w:sz w:val="24"/>
        </w:rPr>
        <w:t>partners</w:t>
      </w:r>
      <w:r>
        <w:rPr>
          <w:spacing w:val="-14"/>
          <w:sz w:val="24"/>
        </w:rPr>
        <w:t> </w:t>
      </w:r>
      <w:r>
        <w:rPr>
          <w:spacing w:val="-2"/>
          <w:sz w:val="24"/>
        </w:rPr>
        <w:t>(Powys</w:t>
      </w:r>
      <w:r>
        <w:rPr>
          <w:spacing w:val="-15"/>
          <w:sz w:val="24"/>
        </w:rPr>
        <w:t> </w:t>
      </w:r>
      <w:r>
        <w:rPr>
          <w:spacing w:val="-2"/>
          <w:sz w:val="24"/>
        </w:rPr>
        <w:t>Teaching</w:t>
      </w:r>
      <w:r>
        <w:rPr>
          <w:spacing w:val="-13"/>
          <w:sz w:val="24"/>
        </w:rPr>
        <w:t> </w:t>
      </w:r>
      <w:r>
        <w:rPr>
          <w:spacing w:val="-2"/>
          <w:sz w:val="24"/>
        </w:rPr>
        <w:t>Health </w:t>
      </w:r>
      <w:r>
        <w:rPr>
          <w:sz w:val="24"/>
        </w:rPr>
        <w:t>Board,</w:t>
      </w:r>
      <w:r>
        <w:rPr>
          <w:spacing w:val="-13"/>
          <w:sz w:val="24"/>
        </w:rPr>
        <w:t> </w:t>
      </w:r>
      <w:r>
        <w:rPr>
          <w:sz w:val="24"/>
        </w:rPr>
        <w:t>other</w:t>
      </w:r>
      <w:r>
        <w:rPr>
          <w:spacing w:val="-11"/>
          <w:sz w:val="24"/>
        </w:rPr>
        <w:t> </w:t>
      </w:r>
      <w:r>
        <w:rPr>
          <w:sz w:val="24"/>
        </w:rPr>
        <w:t>University</w:t>
      </w:r>
      <w:r>
        <w:rPr>
          <w:spacing w:val="-11"/>
          <w:sz w:val="24"/>
        </w:rPr>
        <w:t> </w:t>
      </w:r>
      <w:r>
        <w:rPr>
          <w:sz w:val="24"/>
        </w:rPr>
        <w:t>Health</w:t>
      </w:r>
      <w:r>
        <w:rPr>
          <w:spacing w:val="-10"/>
          <w:sz w:val="24"/>
        </w:rPr>
        <w:t> </w:t>
      </w:r>
      <w:r>
        <w:rPr>
          <w:sz w:val="24"/>
        </w:rPr>
        <w:t>Boards,</w:t>
      </w:r>
      <w:r>
        <w:rPr>
          <w:spacing w:val="-13"/>
          <w:sz w:val="24"/>
        </w:rPr>
        <w:t> </w:t>
      </w:r>
      <w:r>
        <w:rPr>
          <w:sz w:val="24"/>
        </w:rPr>
        <w:t>Mid</w:t>
      </w:r>
      <w:r>
        <w:rPr>
          <w:spacing w:val="-10"/>
          <w:sz w:val="24"/>
        </w:rPr>
        <w:t> </w:t>
      </w:r>
      <w:r>
        <w:rPr>
          <w:sz w:val="24"/>
        </w:rPr>
        <w:t>Wales</w:t>
      </w:r>
      <w:r>
        <w:rPr>
          <w:spacing w:val="-11"/>
          <w:sz w:val="24"/>
        </w:rPr>
        <w:t> </w:t>
      </w:r>
      <w:r>
        <w:rPr>
          <w:sz w:val="24"/>
        </w:rPr>
        <w:t>Joint</w:t>
      </w:r>
      <w:r>
        <w:rPr>
          <w:spacing w:val="-17"/>
          <w:sz w:val="24"/>
        </w:rPr>
        <w:t> </w:t>
      </w:r>
      <w:r>
        <w:rPr>
          <w:sz w:val="24"/>
        </w:rPr>
        <w:t>Committee,</w:t>
      </w:r>
      <w:r>
        <w:rPr>
          <w:spacing w:val="-12"/>
          <w:sz w:val="24"/>
        </w:rPr>
        <w:t> </w:t>
      </w:r>
      <w:r>
        <w:rPr>
          <w:sz w:val="24"/>
        </w:rPr>
        <w:t>remaining cognisant</w:t>
      </w:r>
      <w:r>
        <w:rPr>
          <w:spacing w:val="-14"/>
          <w:sz w:val="24"/>
        </w:rPr>
        <w:t> </w:t>
      </w:r>
      <w:r>
        <w:rPr>
          <w:sz w:val="24"/>
        </w:rPr>
        <w:t>of,</w:t>
      </w:r>
      <w:r>
        <w:rPr>
          <w:spacing w:val="-14"/>
          <w:sz w:val="24"/>
        </w:rPr>
        <w:t> </w:t>
      </w:r>
      <w:r>
        <w:rPr>
          <w:sz w:val="24"/>
        </w:rPr>
        <w:t>and</w:t>
      </w:r>
      <w:r>
        <w:rPr>
          <w:spacing w:val="-7"/>
          <w:sz w:val="24"/>
        </w:rPr>
        <w:t> </w:t>
      </w:r>
      <w:r>
        <w:rPr>
          <w:sz w:val="24"/>
        </w:rPr>
        <w:t>responding</w:t>
      </w:r>
      <w:r>
        <w:rPr>
          <w:spacing w:val="-12"/>
          <w:sz w:val="24"/>
        </w:rPr>
        <w:t> </w:t>
      </w:r>
      <w:r>
        <w:rPr>
          <w:sz w:val="24"/>
        </w:rPr>
        <w:t>to</w:t>
      </w:r>
      <w:r>
        <w:rPr>
          <w:spacing w:val="-7"/>
          <w:sz w:val="24"/>
        </w:rPr>
        <w:t> </w:t>
      </w:r>
      <w:r>
        <w:rPr>
          <w:sz w:val="24"/>
        </w:rPr>
        <w:t>the</w:t>
      </w:r>
      <w:r>
        <w:rPr>
          <w:spacing w:val="-12"/>
          <w:sz w:val="24"/>
        </w:rPr>
        <w:t> </w:t>
      </w:r>
      <w:r>
        <w:rPr>
          <w:sz w:val="24"/>
        </w:rPr>
        <w:t>changing</w:t>
      </w:r>
      <w:r>
        <w:rPr>
          <w:spacing w:val="-12"/>
          <w:sz w:val="24"/>
        </w:rPr>
        <w:t> </w:t>
      </w:r>
      <w:r>
        <w:rPr>
          <w:sz w:val="24"/>
        </w:rPr>
        <w:t>requirements</w:t>
      </w:r>
      <w:r>
        <w:rPr>
          <w:spacing w:val="-12"/>
          <w:sz w:val="24"/>
        </w:rPr>
        <w:t> </w:t>
      </w:r>
      <w:r>
        <w:rPr>
          <w:sz w:val="24"/>
        </w:rPr>
        <w:t>within</w:t>
      </w:r>
      <w:r>
        <w:rPr>
          <w:spacing w:val="-7"/>
          <w:sz w:val="24"/>
        </w:rPr>
        <w:t> </w:t>
      </w:r>
      <w:r>
        <w:rPr>
          <w:sz w:val="24"/>
        </w:rPr>
        <w:t>the</w:t>
      </w:r>
      <w:r>
        <w:rPr>
          <w:spacing w:val="-12"/>
          <w:sz w:val="24"/>
        </w:rPr>
        <w:t> </w:t>
      </w:r>
      <w:r>
        <w:rPr>
          <w:sz w:val="24"/>
        </w:rPr>
        <w:t>wider environment</w:t>
      </w:r>
      <w:r>
        <w:rPr>
          <w:spacing w:val="-8"/>
          <w:sz w:val="24"/>
        </w:rPr>
        <w:t> </w:t>
      </w:r>
      <w:r>
        <w:rPr>
          <w:sz w:val="24"/>
        </w:rPr>
        <w:t>of the Health Service in Wales.</w:t>
      </w:r>
    </w:p>
    <w:p>
      <w:pPr>
        <w:pStyle w:val="ListParagraph"/>
        <w:numPr>
          <w:ilvl w:val="2"/>
          <w:numId w:val="37"/>
        </w:numPr>
        <w:tabs>
          <w:tab w:pos="1563" w:val="left" w:leader="none"/>
        </w:tabs>
        <w:spacing w:line="240" w:lineRule="auto" w:before="275" w:after="0"/>
        <w:ind w:left="1563" w:right="809" w:hanging="721"/>
        <w:jc w:val="left"/>
        <w:rPr>
          <w:sz w:val="24"/>
        </w:rPr>
      </w:pPr>
      <w:r>
        <w:rPr>
          <w:spacing w:val="-2"/>
          <w:sz w:val="24"/>
        </w:rPr>
        <w:t>Maximise</w:t>
      </w:r>
      <w:r>
        <w:rPr>
          <w:spacing w:val="-14"/>
          <w:sz w:val="24"/>
        </w:rPr>
        <w:t> </w:t>
      </w:r>
      <w:r>
        <w:rPr>
          <w:spacing w:val="-2"/>
          <w:sz w:val="24"/>
        </w:rPr>
        <w:t>the</w:t>
      </w:r>
      <w:r>
        <w:rPr>
          <w:spacing w:val="-15"/>
          <w:sz w:val="24"/>
        </w:rPr>
        <w:t> </w:t>
      </w:r>
      <w:r>
        <w:rPr>
          <w:spacing w:val="-2"/>
          <w:sz w:val="24"/>
        </w:rPr>
        <w:t>use</w:t>
      </w:r>
      <w:r>
        <w:rPr>
          <w:spacing w:val="-12"/>
          <w:sz w:val="24"/>
        </w:rPr>
        <w:t> </w:t>
      </w:r>
      <w:r>
        <w:rPr>
          <w:spacing w:val="-2"/>
          <w:sz w:val="24"/>
        </w:rPr>
        <w:t>of</w:t>
      </w:r>
      <w:r>
        <w:rPr>
          <w:spacing w:val="-15"/>
          <w:sz w:val="24"/>
        </w:rPr>
        <w:t> </w:t>
      </w:r>
      <w:r>
        <w:rPr>
          <w:spacing w:val="-2"/>
          <w:sz w:val="24"/>
        </w:rPr>
        <w:t>digital</w:t>
      </w:r>
      <w:r>
        <w:rPr>
          <w:spacing w:val="-8"/>
          <w:sz w:val="24"/>
        </w:rPr>
        <w:t> </w:t>
      </w:r>
      <w:r>
        <w:rPr>
          <w:spacing w:val="-2"/>
          <w:sz w:val="24"/>
        </w:rPr>
        <w:t>technology</w:t>
      </w:r>
      <w:r>
        <w:rPr>
          <w:spacing w:val="-13"/>
          <w:sz w:val="24"/>
        </w:rPr>
        <w:t> </w:t>
      </w:r>
      <w:r>
        <w:rPr>
          <w:spacing w:val="-2"/>
          <w:sz w:val="24"/>
        </w:rPr>
        <w:t>and</w:t>
      </w:r>
      <w:r>
        <w:rPr>
          <w:spacing w:val="-12"/>
          <w:sz w:val="24"/>
        </w:rPr>
        <w:t> </w:t>
      </w:r>
      <w:r>
        <w:rPr>
          <w:spacing w:val="-2"/>
          <w:sz w:val="24"/>
        </w:rPr>
        <w:t>data</w:t>
      </w:r>
      <w:r>
        <w:rPr>
          <w:spacing w:val="-8"/>
          <w:sz w:val="24"/>
        </w:rPr>
        <w:t> </w:t>
      </w:r>
      <w:r>
        <w:rPr>
          <w:spacing w:val="-2"/>
          <w:sz w:val="24"/>
        </w:rPr>
        <w:t>to</w:t>
      </w:r>
      <w:r>
        <w:rPr>
          <w:spacing w:val="-12"/>
          <w:sz w:val="24"/>
        </w:rPr>
        <w:t> </w:t>
      </w:r>
      <w:r>
        <w:rPr>
          <w:spacing w:val="-2"/>
          <w:sz w:val="24"/>
        </w:rPr>
        <w:t>transform</w:t>
      </w:r>
      <w:r>
        <w:rPr>
          <w:spacing w:val="-9"/>
          <w:sz w:val="24"/>
        </w:rPr>
        <w:t> </w:t>
      </w:r>
      <w:r>
        <w:rPr>
          <w:spacing w:val="-2"/>
          <w:sz w:val="24"/>
        </w:rPr>
        <w:t>the</w:t>
      </w:r>
      <w:r>
        <w:rPr>
          <w:spacing w:val="-12"/>
          <w:sz w:val="24"/>
        </w:rPr>
        <w:t> </w:t>
      </w:r>
      <w:r>
        <w:rPr>
          <w:spacing w:val="-2"/>
          <w:sz w:val="24"/>
        </w:rPr>
        <w:t>delivery</w:t>
      </w:r>
      <w:r>
        <w:rPr>
          <w:spacing w:val="-13"/>
          <w:sz w:val="24"/>
        </w:rPr>
        <w:t> </w:t>
      </w:r>
      <w:r>
        <w:rPr>
          <w:spacing w:val="-2"/>
          <w:sz w:val="24"/>
        </w:rPr>
        <w:t>services </w:t>
      </w:r>
      <w:r>
        <w:rPr>
          <w:sz w:val="24"/>
        </w:rPr>
        <w:t>and improve patient experience.</w:t>
      </w:r>
    </w:p>
    <w:p>
      <w:pPr>
        <w:pStyle w:val="BodyText"/>
        <w:spacing w:before="2"/>
      </w:pPr>
    </w:p>
    <w:p>
      <w:pPr>
        <w:pStyle w:val="ListParagraph"/>
        <w:numPr>
          <w:ilvl w:val="2"/>
          <w:numId w:val="37"/>
        </w:numPr>
        <w:tabs>
          <w:tab w:pos="1563" w:val="left" w:leader="none"/>
        </w:tabs>
        <w:spacing w:line="240" w:lineRule="auto" w:before="0" w:after="0"/>
        <w:ind w:left="1563" w:right="449" w:hanging="721"/>
        <w:jc w:val="left"/>
        <w:rPr>
          <w:sz w:val="24"/>
        </w:rPr>
      </w:pPr>
      <w:r>
        <w:rPr>
          <w:sz w:val="24"/>
        </w:rPr>
        <w:t>Seek</w:t>
      </w:r>
      <w:r>
        <w:rPr>
          <w:spacing w:val="-10"/>
          <w:sz w:val="24"/>
        </w:rPr>
        <w:t> </w:t>
      </w:r>
      <w:r>
        <w:rPr>
          <w:sz w:val="24"/>
        </w:rPr>
        <w:t>assurance</w:t>
      </w:r>
      <w:r>
        <w:rPr>
          <w:spacing w:val="-9"/>
          <w:sz w:val="24"/>
        </w:rPr>
        <w:t> </w:t>
      </w:r>
      <w:r>
        <w:rPr>
          <w:sz w:val="24"/>
        </w:rPr>
        <w:t>that</w:t>
      </w:r>
      <w:r>
        <w:rPr>
          <w:spacing w:val="-12"/>
          <w:sz w:val="24"/>
        </w:rPr>
        <w:t> </w:t>
      </w:r>
      <w:r>
        <w:rPr>
          <w:sz w:val="24"/>
        </w:rPr>
        <w:t>all</w:t>
      </w:r>
      <w:r>
        <w:rPr>
          <w:spacing w:val="-9"/>
          <w:sz w:val="24"/>
        </w:rPr>
        <w:t> </w:t>
      </w:r>
      <w:r>
        <w:rPr>
          <w:sz w:val="24"/>
        </w:rPr>
        <w:t>RJC</w:t>
      </w:r>
      <w:r>
        <w:rPr>
          <w:spacing w:val="-4"/>
          <w:sz w:val="24"/>
        </w:rPr>
        <w:t> </w:t>
      </w:r>
      <w:r>
        <w:rPr>
          <w:sz w:val="24"/>
        </w:rPr>
        <w:t>subgroup</w:t>
      </w:r>
      <w:r>
        <w:rPr>
          <w:spacing w:val="-14"/>
          <w:sz w:val="24"/>
        </w:rPr>
        <w:t> </w:t>
      </w:r>
      <w:r>
        <w:rPr>
          <w:sz w:val="24"/>
        </w:rPr>
        <w:t>programmes</w:t>
      </w:r>
      <w:r>
        <w:rPr>
          <w:spacing w:val="-10"/>
          <w:sz w:val="24"/>
        </w:rPr>
        <w:t> </w:t>
      </w:r>
      <w:r>
        <w:rPr>
          <w:sz w:val="24"/>
        </w:rPr>
        <w:t>are</w:t>
      </w:r>
      <w:r>
        <w:rPr>
          <w:spacing w:val="-9"/>
          <w:sz w:val="24"/>
        </w:rPr>
        <w:t> </w:t>
      </w:r>
      <w:r>
        <w:rPr>
          <w:sz w:val="24"/>
        </w:rPr>
        <w:t>aligned</w:t>
      </w:r>
      <w:r>
        <w:rPr>
          <w:spacing w:val="-10"/>
          <w:sz w:val="24"/>
        </w:rPr>
        <w:t> </w:t>
      </w:r>
      <w:r>
        <w:rPr>
          <w:sz w:val="24"/>
        </w:rPr>
        <w:t>with</w:t>
      </w:r>
      <w:r>
        <w:rPr>
          <w:spacing w:val="-4"/>
          <w:sz w:val="24"/>
        </w:rPr>
        <w:t> </w:t>
      </w:r>
      <w:r>
        <w:rPr>
          <w:sz w:val="24"/>
        </w:rPr>
        <w:t>the</w:t>
      </w:r>
      <w:r>
        <w:rPr>
          <w:spacing w:val="-8"/>
          <w:sz w:val="24"/>
        </w:rPr>
        <w:t> </w:t>
      </w:r>
      <w:r>
        <w:rPr>
          <w:sz w:val="24"/>
        </w:rPr>
        <w:t>RJC </w:t>
      </w:r>
      <w:r>
        <w:rPr>
          <w:spacing w:val="-2"/>
          <w:sz w:val="24"/>
        </w:rPr>
        <w:t>programme</w:t>
      </w:r>
      <w:r>
        <w:rPr>
          <w:spacing w:val="-15"/>
          <w:sz w:val="24"/>
        </w:rPr>
        <w:t> </w:t>
      </w:r>
      <w:r>
        <w:rPr>
          <w:spacing w:val="-2"/>
          <w:sz w:val="24"/>
        </w:rPr>
        <w:t>of</w:t>
      </w:r>
      <w:r>
        <w:rPr>
          <w:spacing w:val="-15"/>
          <w:sz w:val="24"/>
        </w:rPr>
        <w:t> </w:t>
      </w:r>
      <w:r>
        <w:rPr>
          <w:spacing w:val="-2"/>
          <w:sz w:val="24"/>
        </w:rPr>
        <w:t>work,</w:t>
      </w:r>
      <w:r>
        <w:rPr>
          <w:spacing w:val="-14"/>
          <w:sz w:val="24"/>
        </w:rPr>
        <w:t> </w:t>
      </w:r>
      <w:r>
        <w:rPr>
          <w:spacing w:val="-2"/>
          <w:sz w:val="24"/>
        </w:rPr>
        <w:t>endorsing</w:t>
      </w:r>
      <w:r>
        <w:rPr>
          <w:spacing w:val="-15"/>
          <w:sz w:val="24"/>
        </w:rPr>
        <w:t> </w:t>
      </w:r>
      <w:r>
        <w:rPr>
          <w:spacing w:val="-2"/>
          <w:sz w:val="24"/>
        </w:rPr>
        <w:t>Business</w:t>
      </w:r>
      <w:r>
        <w:rPr>
          <w:spacing w:val="-15"/>
          <w:sz w:val="24"/>
        </w:rPr>
        <w:t> </w:t>
      </w:r>
      <w:r>
        <w:rPr>
          <w:spacing w:val="-2"/>
          <w:sz w:val="24"/>
        </w:rPr>
        <w:t>Cases</w:t>
      </w:r>
      <w:r>
        <w:rPr>
          <w:spacing w:val="-15"/>
          <w:sz w:val="24"/>
        </w:rPr>
        <w:t> </w:t>
      </w:r>
      <w:r>
        <w:rPr>
          <w:spacing w:val="-2"/>
          <w:sz w:val="24"/>
        </w:rPr>
        <w:t>pre–Sovereign</w:t>
      </w:r>
      <w:r>
        <w:rPr>
          <w:spacing w:val="-12"/>
          <w:sz w:val="24"/>
        </w:rPr>
        <w:t> </w:t>
      </w:r>
      <w:r>
        <w:rPr>
          <w:spacing w:val="-2"/>
          <w:sz w:val="24"/>
        </w:rPr>
        <w:t>Bodies</w:t>
      </w:r>
      <w:r>
        <w:rPr>
          <w:spacing w:val="-14"/>
          <w:sz w:val="24"/>
        </w:rPr>
        <w:t> </w:t>
      </w:r>
      <w:r>
        <w:rPr>
          <w:spacing w:val="-2"/>
          <w:sz w:val="24"/>
        </w:rPr>
        <w:t>approval,</w:t>
      </w:r>
      <w:r>
        <w:rPr>
          <w:spacing w:val="-15"/>
          <w:sz w:val="24"/>
        </w:rPr>
        <w:t> </w:t>
      </w:r>
      <w:r>
        <w:rPr>
          <w:spacing w:val="-2"/>
          <w:sz w:val="24"/>
        </w:rPr>
        <w:t>and </w:t>
      </w:r>
      <w:r>
        <w:rPr>
          <w:sz w:val="24"/>
        </w:rPr>
        <w:t>identifying</w:t>
      </w:r>
      <w:r>
        <w:rPr>
          <w:spacing w:val="-14"/>
          <w:sz w:val="24"/>
        </w:rPr>
        <w:t> </w:t>
      </w:r>
      <w:r>
        <w:rPr>
          <w:sz w:val="24"/>
        </w:rPr>
        <w:t>and</w:t>
      </w:r>
      <w:r>
        <w:rPr>
          <w:spacing w:val="-14"/>
          <w:sz w:val="24"/>
        </w:rPr>
        <w:t> </w:t>
      </w:r>
      <w:r>
        <w:rPr>
          <w:sz w:val="24"/>
        </w:rPr>
        <w:t>agreeing</w:t>
      </w:r>
      <w:r>
        <w:rPr>
          <w:spacing w:val="-9"/>
          <w:sz w:val="24"/>
        </w:rPr>
        <w:t> </w:t>
      </w:r>
      <w:r>
        <w:rPr>
          <w:sz w:val="24"/>
        </w:rPr>
        <w:t>any</w:t>
      </w:r>
      <w:r>
        <w:rPr>
          <w:spacing w:val="-10"/>
          <w:sz w:val="24"/>
        </w:rPr>
        <w:t> </w:t>
      </w:r>
      <w:r>
        <w:rPr>
          <w:sz w:val="24"/>
        </w:rPr>
        <w:t>further</w:t>
      </w:r>
      <w:r>
        <w:rPr>
          <w:spacing w:val="-10"/>
          <w:sz w:val="24"/>
        </w:rPr>
        <w:t> </w:t>
      </w:r>
      <w:r>
        <w:rPr>
          <w:sz w:val="24"/>
        </w:rPr>
        <w:t>projects</w:t>
      </w:r>
      <w:r>
        <w:rPr>
          <w:spacing w:val="-10"/>
          <w:sz w:val="24"/>
        </w:rPr>
        <w:t> </w:t>
      </w:r>
      <w:r>
        <w:rPr>
          <w:sz w:val="24"/>
        </w:rPr>
        <w:t>to</w:t>
      </w:r>
      <w:r>
        <w:rPr>
          <w:spacing w:val="-14"/>
          <w:sz w:val="24"/>
        </w:rPr>
        <w:t> </w:t>
      </w:r>
      <w:r>
        <w:rPr>
          <w:sz w:val="24"/>
        </w:rPr>
        <w:t>be</w:t>
      </w:r>
      <w:r>
        <w:rPr>
          <w:spacing w:val="-9"/>
          <w:sz w:val="24"/>
        </w:rPr>
        <w:t> </w:t>
      </w:r>
      <w:r>
        <w:rPr>
          <w:sz w:val="24"/>
        </w:rPr>
        <w:t>included</w:t>
      </w:r>
      <w:r>
        <w:rPr>
          <w:spacing w:val="-10"/>
          <w:sz w:val="24"/>
        </w:rPr>
        <w:t> </w:t>
      </w:r>
      <w:r>
        <w:rPr>
          <w:sz w:val="24"/>
        </w:rPr>
        <w:t>in</w:t>
      </w:r>
      <w:r>
        <w:rPr>
          <w:spacing w:val="-9"/>
          <w:sz w:val="24"/>
        </w:rPr>
        <w:t> </w:t>
      </w:r>
      <w:r>
        <w:rPr>
          <w:sz w:val="24"/>
        </w:rPr>
        <w:t>the</w:t>
      </w:r>
      <w:r>
        <w:rPr>
          <w:spacing w:val="-6"/>
          <w:sz w:val="24"/>
        </w:rPr>
        <w:t> </w:t>
      </w:r>
      <w:r>
        <w:rPr>
          <w:sz w:val="24"/>
        </w:rPr>
        <w:t>RJC</w:t>
      </w:r>
      <w:r>
        <w:rPr>
          <w:spacing w:val="-13"/>
          <w:sz w:val="24"/>
        </w:rPr>
        <w:t> </w:t>
      </w:r>
      <w:r>
        <w:rPr>
          <w:sz w:val="24"/>
        </w:rPr>
        <w:t>programme.</w:t>
      </w:r>
    </w:p>
    <w:p>
      <w:pPr>
        <w:pStyle w:val="ListParagraph"/>
        <w:numPr>
          <w:ilvl w:val="2"/>
          <w:numId w:val="37"/>
        </w:numPr>
        <w:tabs>
          <w:tab w:pos="1563" w:val="left" w:leader="none"/>
        </w:tabs>
        <w:spacing w:line="242" w:lineRule="auto" w:before="273" w:after="0"/>
        <w:ind w:left="1563" w:right="544" w:hanging="721"/>
        <w:jc w:val="left"/>
        <w:rPr>
          <w:sz w:val="24"/>
        </w:rPr>
      </w:pPr>
      <w:r>
        <w:rPr>
          <w:spacing w:val="-2"/>
          <w:sz w:val="24"/>
        </w:rPr>
        <w:t>Seek</w:t>
      </w:r>
      <w:r>
        <w:rPr>
          <w:spacing w:val="-15"/>
          <w:sz w:val="24"/>
        </w:rPr>
        <w:t> </w:t>
      </w:r>
      <w:r>
        <w:rPr>
          <w:spacing w:val="-2"/>
          <w:sz w:val="24"/>
        </w:rPr>
        <w:t>assurance</w:t>
      </w:r>
      <w:r>
        <w:rPr>
          <w:spacing w:val="-14"/>
          <w:sz w:val="24"/>
        </w:rPr>
        <w:t> </w:t>
      </w:r>
      <w:r>
        <w:rPr>
          <w:spacing w:val="-2"/>
          <w:sz w:val="24"/>
        </w:rPr>
        <w:t>that</w:t>
      </w:r>
      <w:r>
        <w:rPr>
          <w:spacing w:val="-15"/>
          <w:sz w:val="24"/>
        </w:rPr>
        <w:t> </w:t>
      </w:r>
      <w:r>
        <w:rPr>
          <w:spacing w:val="-2"/>
          <w:sz w:val="24"/>
        </w:rPr>
        <w:t>RJC</w:t>
      </w:r>
      <w:r>
        <w:rPr>
          <w:spacing w:val="-9"/>
          <w:sz w:val="24"/>
        </w:rPr>
        <w:t> </w:t>
      </w:r>
      <w:r>
        <w:rPr>
          <w:spacing w:val="-2"/>
          <w:sz w:val="24"/>
        </w:rPr>
        <w:t>subgroups</w:t>
      </w:r>
      <w:r>
        <w:rPr>
          <w:spacing w:val="-13"/>
          <w:sz w:val="24"/>
        </w:rPr>
        <w:t> </w:t>
      </w:r>
      <w:r>
        <w:rPr>
          <w:spacing w:val="-2"/>
          <w:sz w:val="24"/>
        </w:rPr>
        <w:t>deliver</w:t>
      </w:r>
      <w:r>
        <w:rPr>
          <w:spacing w:val="-15"/>
          <w:sz w:val="24"/>
        </w:rPr>
        <w:t> </w:t>
      </w:r>
      <w:r>
        <w:rPr>
          <w:spacing w:val="-2"/>
          <w:sz w:val="24"/>
        </w:rPr>
        <w:t>against</w:t>
      </w:r>
      <w:r>
        <w:rPr>
          <w:spacing w:val="-12"/>
          <w:sz w:val="24"/>
        </w:rPr>
        <w:t> </w:t>
      </w:r>
      <w:r>
        <w:rPr>
          <w:spacing w:val="-2"/>
          <w:sz w:val="24"/>
        </w:rPr>
        <w:t>their</w:t>
      </w:r>
      <w:r>
        <w:rPr>
          <w:spacing w:val="-15"/>
          <w:sz w:val="24"/>
        </w:rPr>
        <w:t> </w:t>
      </w:r>
      <w:r>
        <w:rPr>
          <w:spacing w:val="-2"/>
          <w:sz w:val="24"/>
        </w:rPr>
        <w:t>outcomes</w:t>
      </w:r>
      <w:r>
        <w:rPr>
          <w:spacing w:val="-14"/>
          <w:sz w:val="24"/>
        </w:rPr>
        <w:t> </w:t>
      </w:r>
      <w:r>
        <w:rPr>
          <w:spacing w:val="-2"/>
          <w:sz w:val="24"/>
        </w:rPr>
        <w:t>and</w:t>
      </w:r>
      <w:r>
        <w:rPr>
          <w:spacing w:val="-9"/>
          <w:sz w:val="24"/>
        </w:rPr>
        <w:t> </w:t>
      </w:r>
      <w:r>
        <w:rPr>
          <w:spacing w:val="-2"/>
          <w:sz w:val="24"/>
        </w:rPr>
        <w:t>timescales, </w:t>
      </w:r>
      <w:r>
        <w:rPr>
          <w:sz w:val="24"/>
        </w:rPr>
        <w:t>and</w:t>
      </w:r>
      <w:r>
        <w:rPr>
          <w:spacing w:val="-14"/>
          <w:sz w:val="24"/>
        </w:rPr>
        <w:t> </w:t>
      </w:r>
      <w:r>
        <w:rPr>
          <w:sz w:val="24"/>
        </w:rPr>
        <w:t>deliver</w:t>
      </w:r>
      <w:r>
        <w:rPr>
          <w:spacing w:val="-10"/>
          <w:sz w:val="24"/>
        </w:rPr>
        <w:t> </w:t>
      </w:r>
      <w:r>
        <w:rPr>
          <w:sz w:val="24"/>
        </w:rPr>
        <w:t>against</w:t>
      </w:r>
      <w:r>
        <w:rPr>
          <w:spacing w:val="-12"/>
          <w:sz w:val="24"/>
        </w:rPr>
        <w:t> </w:t>
      </w:r>
      <w:r>
        <w:rPr>
          <w:sz w:val="24"/>
        </w:rPr>
        <w:t>the</w:t>
      </w:r>
      <w:r>
        <w:rPr>
          <w:spacing w:val="-9"/>
          <w:sz w:val="24"/>
        </w:rPr>
        <w:t> </w:t>
      </w:r>
      <w:r>
        <w:rPr>
          <w:sz w:val="24"/>
        </w:rPr>
        <w:t>quality</w:t>
      </w:r>
      <w:r>
        <w:rPr>
          <w:spacing w:val="-6"/>
          <w:sz w:val="24"/>
        </w:rPr>
        <w:t> </w:t>
      </w:r>
      <w:r>
        <w:rPr>
          <w:sz w:val="24"/>
        </w:rPr>
        <w:t>measures</w:t>
      </w:r>
      <w:r>
        <w:rPr>
          <w:spacing w:val="-10"/>
          <w:sz w:val="24"/>
        </w:rPr>
        <w:t> </w:t>
      </w:r>
      <w:r>
        <w:rPr>
          <w:sz w:val="24"/>
        </w:rPr>
        <w:t>and</w:t>
      </w:r>
      <w:r>
        <w:rPr>
          <w:spacing w:val="-7"/>
          <w:sz w:val="24"/>
        </w:rPr>
        <w:t> </w:t>
      </w:r>
      <w:r>
        <w:rPr>
          <w:sz w:val="24"/>
        </w:rPr>
        <w:t>benefits,</w:t>
      </w:r>
      <w:r>
        <w:rPr>
          <w:spacing w:val="-12"/>
          <w:sz w:val="24"/>
        </w:rPr>
        <w:t> </w:t>
      </w:r>
      <w:r>
        <w:rPr>
          <w:sz w:val="24"/>
        </w:rPr>
        <w:t>as</w:t>
      </w:r>
      <w:r>
        <w:rPr>
          <w:spacing w:val="-10"/>
          <w:sz w:val="24"/>
        </w:rPr>
        <w:t> </w:t>
      </w:r>
      <w:r>
        <w:rPr>
          <w:sz w:val="24"/>
        </w:rPr>
        <w:t>identified</w:t>
      </w:r>
      <w:r>
        <w:rPr>
          <w:spacing w:val="-9"/>
          <w:sz w:val="24"/>
        </w:rPr>
        <w:t> </w:t>
      </w:r>
      <w:r>
        <w:rPr>
          <w:sz w:val="24"/>
        </w:rPr>
        <w:t>in</w:t>
      </w:r>
      <w:r>
        <w:rPr>
          <w:spacing w:val="-9"/>
          <w:sz w:val="24"/>
        </w:rPr>
        <w:t> </w:t>
      </w:r>
      <w:r>
        <w:rPr>
          <w:sz w:val="24"/>
        </w:rPr>
        <w:t>the</w:t>
      </w:r>
      <w:r>
        <w:rPr>
          <w:spacing w:val="-9"/>
          <w:sz w:val="24"/>
        </w:rPr>
        <w:t> </w:t>
      </w:r>
      <w:r>
        <w:rPr>
          <w:sz w:val="24"/>
        </w:rPr>
        <w:t>RJC subgroups portfolios and plans.</w:t>
      </w:r>
    </w:p>
    <w:p>
      <w:pPr>
        <w:pStyle w:val="ListParagraph"/>
        <w:numPr>
          <w:ilvl w:val="2"/>
          <w:numId w:val="37"/>
        </w:numPr>
        <w:tabs>
          <w:tab w:pos="1563" w:val="left" w:leader="none"/>
        </w:tabs>
        <w:spacing w:line="240" w:lineRule="auto" w:before="269" w:after="0"/>
        <w:ind w:left="1563" w:right="484" w:hanging="721"/>
        <w:jc w:val="left"/>
        <w:rPr>
          <w:sz w:val="24"/>
        </w:rPr>
      </w:pPr>
      <w:r>
        <w:rPr>
          <w:sz w:val="24"/>
        </w:rPr>
        <w:t>Manage</w:t>
      </w:r>
      <w:r>
        <w:rPr>
          <w:spacing w:val="-12"/>
          <w:sz w:val="24"/>
        </w:rPr>
        <w:t> </w:t>
      </w:r>
      <w:r>
        <w:rPr>
          <w:sz w:val="24"/>
        </w:rPr>
        <w:t>high-level</w:t>
      </w:r>
      <w:r>
        <w:rPr>
          <w:spacing w:val="-12"/>
          <w:sz w:val="24"/>
        </w:rPr>
        <w:t> </w:t>
      </w:r>
      <w:r>
        <w:rPr>
          <w:sz w:val="24"/>
        </w:rPr>
        <w:t>interdependencies</w:t>
      </w:r>
      <w:r>
        <w:rPr>
          <w:spacing w:val="-13"/>
          <w:sz w:val="24"/>
        </w:rPr>
        <w:t> </w:t>
      </w:r>
      <w:r>
        <w:rPr>
          <w:sz w:val="24"/>
        </w:rPr>
        <w:t>and</w:t>
      </w:r>
      <w:r>
        <w:rPr>
          <w:spacing w:val="-12"/>
          <w:sz w:val="24"/>
        </w:rPr>
        <w:t> </w:t>
      </w:r>
      <w:r>
        <w:rPr>
          <w:sz w:val="24"/>
        </w:rPr>
        <w:t>risks</w:t>
      </w:r>
      <w:r>
        <w:rPr>
          <w:spacing w:val="-13"/>
          <w:sz w:val="24"/>
        </w:rPr>
        <w:t> </w:t>
      </w:r>
      <w:r>
        <w:rPr>
          <w:sz w:val="24"/>
        </w:rPr>
        <w:t>associated</w:t>
      </w:r>
      <w:r>
        <w:rPr>
          <w:spacing w:val="-12"/>
          <w:sz w:val="24"/>
        </w:rPr>
        <w:t> </w:t>
      </w:r>
      <w:r>
        <w:rPr>
          <w:sz w:val="24"/>
        </w:rPr>
        <w:t>with</w:t>
      </w:r>
      <w:r>
        <w:rPr>
          <w:spacing w:val="-12"/>
          <w:sz w:val="24"/>
        </w:rPr>
        <w:t> </w:t>
      </w:r>
      <w:r>
        <w:rPr>
          <w:sz w:val="24"/>
        </w:rPr>
        <w:t>all</w:t>
      </w:r>
      <w:r>
        <w:rPr>
          <w:spacing w:val="-8"/>
          <w:sz w:val="24"/>
        </w:rPr>
        <w:t> </w:t>
      </w:r>
      <w:r>
        <w:rPr>
          <w:sz w:val="24"/>
        </w:rPr>
        <w:t>the</w:t>
      </w:r>
      <w:r>
        <w:rPr>
          <w:spacing w:val="-8"/>
          <w:sz w:val="24"/>
        </w:rPr>
        <w:t> </w:t>
      </w:r>
      <w:r>
        <w:rPr>
          <w:sz w:val="24"/>
        </w:rPr>
        <w:t>RJC subgroups</w:t>
      </w:r>
      <w:r>
        <w:rPr>
          <w:spacing w:val="-12"/>
          <w:sz w:val="24"/>
        </w:rPr>
        <w:t> </w:t>
      </w:r>
      <w:r>
        <w:rPr>
          <w:sz w:val="24"/>
        </w:rPr>
        <w:t>and</w:t>
      </w:r>
      <w:r>
        <w:rPr>
          <w:spacing w:val="-10"/>
          <w:sz w:val="24"/>
        </w:rPr>
        <w:t> </w:t>
      </w:r>
      <w:r>
        <w:rPr>
          <w:sz w:val="24"/>
        </w:rPr>
        <w:t>projects</w:t>
      </w:r>
      <w:r>
        <w:rPr>
          <w:spacing w:val="-12"/>
          <w:sz w:val="24"/>
        </w:rPr>
        <w:t> </w:t>
      </w:r>
      <w:r>
        <w:rPr>
          <w:sz w:val="24"/>
        </w:rPr>
        <w:t>and</w:t>
      </w:r>
      <w:r>
        <w:rPr>
          <w:spacing w:val="-11"/>
          <w:sz w:val="24"/>
        </w:rPr>
        <w:t> </w:t>
      </w:r>
      <w:r>
        <w:rPr>
          <w:sz w:val="24"/>
        </w:rPr>
        <w:t>consider</w:t>
      </w:r>
      <w:r>
        <w:rPr>
          <w:spacing w:val="-12"/>
          <w:sz w:val="24"/>
        </w:rPr>
        <w:t> </w:t>
      </w:r>
      <w:r>
        <w:rPr>
          <w:sz w:val="24"/>
        </w:rPr>
        <w:t>in</w:t>
      </w:r>
      <w:r>
        <w:rPr>
          <w:spacing w:val="-6"/>
          <w:sz w:val="24"/>
        </w:rPr>
        <w:t> </w:t>
      </w:r>
      <w:r>
        <w:rPr>
          <w:sz w:val="24"/>
        </w:rPr>
        <w:t>the</w:t>
      </w:r>
      <w:r>
        <w:rPr>
          <w:spacing w:val="-11"/>
          <w:sz w:val="24"/>
        </w:rPr>
        <w:t> </w:t>
      </w:r>
      <w:r>
        <w:rPr>
          <w:sz w:val="24"/>
        </w:rPr>
        <w:t>context</w:t>
      </w:r>
      <w:r>
        <w:rPr>
          <w:spacing w:val="-14"/>
          <w:sz w:val="24"/>
        </w:rPr>
        <w:t> </w:t>
      </w:r>
      <w:r>
        <w:rPr>
          <w:sz w:val="24"/>
        </w:rPr>
        <w:t>of</w:t>
      </w:r>
      <w:r>
        <w:rPr>
          <w:spacing w:val="-14"/>
          <w:sz w:val="24"/>
        </w:rPr>
        <w:t> </w:t>
      </w:r>
      <w:r>
        <w:rPr>
          <w:sz w:val="24"/>
        </w:rPr>
        <w:t>the</w:t>
      </w:r>
      <w:r>
        <w:rPr>
          <w:spacing w:val="-11"/>
          <w:sz w:val="24"/>
        </w:rPr>
        <w:t> </w:t>
      </w:r>
      <w:r>
        <w:rPr>
          <w:sz w:val="24"/>
        </w:rPr>
        <w:t>wider</w:t>
      </w:r>
      <w:r>
        <w:rPr>
          <w:spacing w:val="-12"/>
          <w:sz w:val="24"/>
        </w:rPr>
        <w:t> </w:t>
      </w:r>
      <w:r>
        <w:rPr>
          <w:sz w:val="24"/>
        </w:rPr>
        <w:t>strategic</w:t>
      </w:r>
      <w:r>
        <w:rPr>
          <w:spacing w:val="-12"/>
          <w:sz w:val="24"/>
        </w:rPr>
        <w:t> </w:t>
      </w:r>
      <w:r>
        <w:rPr>
          <w:sz w:val="24"/>
        </w:rPr>
        <w:t>regional </w:t>
      </w:r>
      <w:r>
        <w:rPr>
          <w:spacing w:val="-2"/>
          <w:sz w:val="24"/>
        </w:rPr>
        <w:t>plan,</w:t>
      </w:r>
      <w:r>
        <w:rPr>
          <w:spacing w:val="-15"/>
          <w:sz w:val="24"/>
        </w:rPr>
        <w:t> </w:t>
      </w:r>
      <w:r>
        <w:rPr>
          <w:spacing w:val="-2"/>
          <w:sz w:val="24"/>
        </w:rPr>
        <w:t>ensuring</w:t>
      </w:r>
      <w:r>
        <w:rPr>
          <w:spacing w:val="-15"/>
          <w:sz w:val="24"/>
        </w:rPr>
        <w:t> </w:t>
      </w:r>
      <w:r>
        <w:rPr>
          <w:spacing w:val="-2"/>
          <w:sz w:val="24"/>
        </w:rPr>
        <w:t>consistency,</w:t>
      </w:r>
      <w:r>
        <w:rPr>
          <w:spacing w:val="-14"/>
          <w:sz w:val="24"/>
        </w:rPr>
        <w:t> </w:t>
      </w:r>
      <w:r>
        <w:rPr>
          <w:spacing w:val="-2"/>
          <w:sz w:val="24"/>
        </w:rPr>
        <w:t>compatibility,</w:t>
      </w:r>
      <w:r>
        <w:rPr>
          <w:spacing w:val="-15"/>
          <w:sz w:val="24"/>
        </w:rPr>
        <w:t> </w:t>
      </w:r>
      <w:r>
        <w:rPr>
          <w:spacing w:val="-2"/>
          <w:sz w:val="24"/>
        </w:rPr>
        <w:t>and</w:t>
      </w:r>
      <w:r>
        <w:rPr>
          <w:spacing w:val="-15"/>
          <w:sz w:val="24"/>
        </w:rPr>
        <w:t> </w:t>
      </w:r>
      <w:r>
        <w:rPr>
          <w:spacing w:val="-2"/>
          <w:sz w:val="24"/>
        </w:rPr>
        <w:t>co-ordination</w:t>
      </w:r>
      <w:r>
        <w:rPr>
          <w:spacing w:val="-15"/>
          <w:sz w:val="24"/>
        </w:rPr>
        <w:t> </w:t>
      </w:r>
      <w:r>
        <w:rPr>
          <w:spacing w:val="-2"/>
          <w:sz w:val="24"/>
        </w:rPr>
        <w:t>between</w:t>
      </w:r>
      <w:r>
        <w:rPr>
          <w:spacing w:val="-14"/>
          <w:sz w:val="24"/>
        </w:rPr>
        <w:t> </w:t>
      </w:r>
      <w:r>
        <w:rPr>
          <w:spacing w:val="-2"/>
          <w:sz w:val="24"/>
        </w:rPr>
        <w:t>RJC</w:t>
      </w:r>
      <w:r>
        <w:rPr>
          <w:spacing w:val="-15"/>
          <w:sz w:val="24"/>
        </w:rPr>
        <w:t> </w:t>
      </w:r>
      <w:r>
        <w:rPr>
          <w:spacing w:val="-2"/>
          <w:sz w:val="24"/>
        </w:rPr>
        <w:t>subgroups </w:t>
      </w:r>
      <w:r>
        <w:rPr>
          <w:sz w:val="24"/>
        </w:rPr>
        <w:t>and programmes of work.</w:t>
      </w:r>
    </w:p>
    <w:p>
      <w:pPr>
        <w:pStyle w:val="BodyText"/>
      </w:pPr>
    </w:p>
    <w:p>
      <w:pPr>
        <w:pStyle w:val="ListParagraph"/>
        <w:numPr>
          <w:ilvl w:val="2"/>
          <w:numId w:val="37"/>
        </w:numPr>
        <w:tabs>
          <w:tab w:pos="1559" w:val="left" w:leader="none"/>
          <w:tab w:pos="1563" w:val="left" w:leader="none"/>
        </w:tabs>
        <w:spacing w:line="240" w:lineRule="auto" w:before="0" w:after="0"/>
        <w:ind w:left="1563" w:right="1167" w:hanging="721"/>
        <w:jc w:val="left"/>
        <w:rPr>
          <w:sz w:val="24"/>
        </w:rPr>
      </w:pPr>
      <w:r>
        <w:rPr>
          <w:spacing w:val="-2"/>
          <w:sz w:val="24"/>
        </w:rPr>
        <w:t>Progress</w:t>
      </w:r>
      <w:r>
        <w:rPr>
          <w:spacing w:val="-11"/>
          <w:sz w:val="24"/>
        </w:rPr>
        <w:t> </w:t>
      </w:r>
      <w:r>
        <w:rPr>
          <w:spacing w:val="-2"/>
          <w:sz w:val="24"/>
        </w:rPr>
        <w:t>RJC</w:t>
      </w:r>
      <w:r>
        <w:rPr>
          <w:spacing w:val="-11"/>
          <w:sz w:val="24"/>
        </w:rPr>
        <w:t> </w:t>
      </w:r>
      <w:r>
        <w:rPr>
          <w:spacing w:val="-2"/>
          <w:sz w:val="24"/>
        </w:rPr>
        <w:t>subgroup</w:t>
      </w:r>
      <w:r>
        <w:rPr>
          <w:spacing w:val="-14"/>
          <w:sz w:val="24"/>
        </w:rPr>
        <w:t> </w:t>
      </w:r>
      <w:r>
        <w:rPr>
          <w:spacing w:val="-2"/>
          <w:sz w:val="24"/>
        </w:rPr>
        <w:t>work</w:t>
      </w:r>
      <w:r>
        <w:rPr>
          <w:spacing w:val="-11"/>
          <w:sz w:val="24"/>
        </w:rPr>
        <w:t> </w:t>
      </w:r>
      <w:r>
        <w:rPr>
          <w:spacing w:val="-2"/>
          <w:sz w:val="24"/>
        </w:rPr>
        <w:t>programmes</w:t>
      </w:r>
      <w:r>
        <w:rPr>
          <w:spacing w:val="-11"/>
          <w:sz w:val="24"/>
        </w:rPr>
        <w:t> </w:t>
      </w:r>
      <w:r>
        <w:rPr>
          <w:spacing w:val="-2"/>
          <w:sz w:val="24"/>
        </w:rPr>
        <w:t>within</w:t>
      </w:r>
      <w:r>
        <w:rPr>
          <w:spacing w:val="-11"/>
          <w:sz w:val="24"/>
        </w:rPr>
        <w:t> </w:t>
      </w:r>
      <w:r>
        <w:rPr>
          <w:spacing w:val="-2"/>
          <w:sz w:val="24"/>
        </w:rPr>
        <w:t>the</w:t>
      </w:r>
      <w:r>
        <w:rPr>
          <w:spacing w:val="-11"/>
          <w:sz w:val="24"/>
        </w:rPr>
        <w:t> </w:t>
      </w:r>
      <w:r>
        <w:rPr>
          <w:spacing w:val="-2"/>
          <w:sz w:val="24"/>
        </w:rPr>
        <w:t>remit</w:t>
      </w:r>
      <w:r>
        <w:rPr>
          <w:spacing w:val="-13"/>
          <w:sz w:val="24"/>
        </w:rPr>
        <w:t> </w:t>
      </w:r>
      <w:r>
        <w:rPr>
          <w:spacing w:val="-2"/>
          <w:sz w:val="24"/>
        </w:rPr>
        <w:t>of</w:t>
      </w:r>
      <w:r>
        <w:rPr>
          <w:spacing w:val="-13"/>
          <w:sz w:val="24"/>
        </w:rPr>
        <w:t> </w:t>
      </w:r>
      <w:r>
        <w:rPr>
          <w:spacing w:val="-2"/>
          <w:sz w:val="24"/>
        </w:rPr>
        <w:t>the</w:t>
      </w:r>
      <w:r>
        <w:rPr>
          <w:spacing w:val="-7"/>
          <w:sz w:val="24"/>
        </w:rPr>
        <w:t> </w:t>
      </w:r>
      <w:r>
        <w:rPr>
          <w:spacing w:val="-2"/>
          <w:sz w:val="24"/>
        </w:rPr>
        <w:t>RJC</w:t>
      </w:r>
      <w:r>
        <w:rPr>
          <w:spacing w:val="-14"/>
          <w:sz w:val="24"/>
        </w:rPr>
        <w:t> </w:t>
      </w:r>
      <w:r>
        <w:rPr>
          <w:spacing w:val="-2"/>
          <w:sz w:val="24"/>
        </w:rPr>
        <w:t>without </w:t>
      </w:r>
      <w:r>
        <w:rPr>
          <w:sz w:val="24"/>
        </w:rPr>
        <w:t>unnecessary</w:t>
      </w:r>
      <w:r>
        <w:rPr>
          <w:spacing w:val="-3"/>
          <w:sz w:val="24"/>
        </w:rPr>
        <w:t> </w:t>
      </w:r>
      <w:r>
        <w:rPr>
          <w:sz w:val="24"/>
        </w:rPr>
        <w:t>recourse</w:t>
      </w:r>
      <w:r>
        <w:rPr>
          <w:spacing w:val="-2"/>
          <w:sz w:val="24"/>
        </w:rPr>
        <w:t> </w:t>
      </w:r>
      <w:r>
        <w:rPr>
          <w:sz w:val="24"/>
        </w:rPr>
        <w:t>elsewhere to</w:t>
      </w:r>
      <w:r>
        <w:rPr>
          <w:spacing w:val="-2"/>
          <w:sz w:val="24"/>
        </w:rPr>
        <w:t> </w:t>
      </w:r>
      <w:r>
        <w:rPr>
          <w:sz w:val="24"/>
        </w:rPr>
        <w:t>ensure</w:t>
      </w:r>
      <w:r>
        <w:rPr>
          <w:spacing w:val="-2"/>
          <w:sz w:val="24"/>
        </w:rPr>
        <w:t> </w:t>
      </w:r>
      <w:r>
        <w:rPr>
          <w:sz w:val="24"/>
        </w:rPr>
        <w:t>pace.</w:t>
      </w:r>
    </w:p>
    <w:p>
      <w:pPr>
        <w:pStyle w:val="BodyText"/>
        <w:spacing w:before="2"/>
      </w:pPr>
    </w:p>
    <w:p>
      <w:pPr>
        <w:pStyle w:val="ListParagraph"/>
        <w:numPr>
          <w:ilvl w:val="2"/>
          <w:numId w:val="37"/>
        </w:numPr>
        <w:tabs>
          <w:tab w:pos="1559" w:val="left" w:leader="none"/>
          <w:tab w:pos="1563" w:val="left" w:leader="none"/>
        </w:tabs>
        <w:spacing w:line="240" w:lineRule="auto" w:before="1" w:after="0"/>
        <w:ind w:left="1563" w:right="1158" w:hanging="721"/>
        <w:jc w:val="left"/>
        <w:rPr>
          <w:sz w:val="24"/>
        </w:rPr>
      </w:pPr>
      <w:r>
        <w:rPr>
          <w:spacing w:val="-2"/>
          <w:sz w:val="24"/>
        </w:rPr>
        <w:t>Seek</w:t>
      </w:r>
      <w:r>
        <w:rPr>
          <w:spacing w:val="-15"/>
          <w:sz w:val="24"/>
        </w:rPr>
        <w:t> </w:t>
      </w:r>
      <w:r>
        <w:rPr>
          <w:spacing w:val="-2"/>
          <w:sz w:val="24"/>
        </w:rPr>
        <w:t>assurance</w:t>
      </w:r>
      <w:r>
        <w:rPr>
          <w:spacing w:val="-15"/>
          <w:sz w:val="24"/>
        </w:rPr>
        <w:t> </w:t>
      </w:r>
      <w:r>
        <w:rPr>
          <w:spacing w:val="-2"/>
          <w:sz w:val="24"/>
        </w:rPr>
        <w:t>integrated</w:t>
      </w:r>
      <w:r>
        <w:rPr>
          <w:spacing w:val="-14"/>
          <w:sz w:val="24"/>
        </w:rPr>
        <w:t> </w:t>
      </w:r>
      <w:r>
        <w:rPr>
          <w:spacing w:val="-2"/>
          <w:sz w:val="24"/>
        </w:rPr>
        <w:t>impact</w:t>
      </w:r>
      <w:r>
        <w:rPr>
          <w:spacing w:val="-14"/>
          <w:sz w:val="24"/>
        </w:rPr>
        <w:t> </w:t>
      </w:r>
      <w:r>
        <w:rPr>
          <w:spacing w:val="-2"/>
          <w:sz w:val="24"/>
        </w:rPr>
        <w:t>assessments</w:t>
      </w:r>
      <w:r>
        <w:rPr>
          <w:spacing w:val="-9"/>
          <w:sz w:val="24"/>
        </w:rPr>
        <w:t> </w:t>
      </w:r>
      <w:r>
        <w:rPr>
          <w:spacing w:val="-2"/>
          <w:sz w:val="24"/>
        </w:rPr>
        <w:t>are</w:t>
      </w:r>
      <w:r>
        <w:rPr>
          <w:spacing w:val="-15"/>
          <w:sz w:val="24"/>
        </w:rPr>
        <w:t> </w:t>
      </w:r>
      <w:r>
        <w:rPr>
          <w:spacing w:val="-2"/>
          <w:sz w:val="24"/>
        </w:rPr>
        <w:t>undertaken</w:t>
      </w:r>
      <w:r>
        <w:rPr>
          <w:spacing w:val="-15"/>
          <w:sz w:val="24"/>
        </w:rPr>
        <w:t> </w:t>
      </w:r>
      <w:r>
        <w:rPr>
          <w:spacing w:val="-2"/>
          <w:sz w:val="24"/>
        </w:rPr>
        <w:t>of</w:t>
      </w:r>
      <w:r>
        <w:rPr>
          <w:spacing w:val="-14"/>
          <w:sz w:val="24"/>
        </w:rPr>
        <w:t> </w:t>
      </w:r>
      <w:r>
        <w:rPr>
          <w:spacing w:val="-2"/>
          <w:sz w:val="24"/>
        </w:rPr>
        <w:t>all</w:t>
      </w:r>
      <w:r>
        <w:rPr>
          <w:spacing w:val="-12"/>
          <w:sz w:val="24"/>
        </w:rPr>
        <w:t> </w:t>
      </w:r>
      <w:r>
        <w:rPr>
          <w:spacing w:val="-2"/>
          <w:sz w:val="24"/>
        </w:rPr>
        <w:t>planned </w:t>
      </w:r>
      <w:r>
        <w:rPr>
          <w:sz w:val="24"/>
        </w:rPr>
        <w:t>service</w:t>
      </w:r>
      <w:r>
        <w:rPr>
          <w:spacing w:val="-2"/>
          <w:sz w:val="24"/>
        </w:rPr>
        <w:t> </w:t>
      </w:r>
      <w:r>
        <w:rPr>
          <w:sz w:val="24"/>
        </w:rPr>
        <w:t>change</w:t>
      </w:r>
      <w:r>
        <w:rPr>
          <w:spacing w:val="-1"/>
          <w:sz w:val="24"/>
        </w:rPr>
        <w:t> </w:t>
      </w:r>
      <w:r>
        <w:rPr>
          <w:sz w:val="24"/>
        </w:rPr>
        <w:t>and</w:t>
      </w:r>
      <w:r>
        <w:rPr>
          <w:spacing w:val="-2"/>
          <w:sz w:val="24"/>
        </w:rPr>
        <w:t> </w:t>
      </w:r>
      <w:r>
        <w:rPr>
          <w:sz w:val="24"/>
        </w:rPr>
        <w:t>embedded</w:t>
      </w:r>
      <w:r>
        <w:rPr>
          <w:spacing w:val="-2"/>
          <w:sz w:val="24"/>
        </w:rPr>
        <w:t> </w:t>
      </w:r>
      <w:r>
        <w:rPr>
          <w:sz w:val="24"/>
        </w:rPr>
        <w:t>in the</w:t>
      </w:r>
      <w:r>
        <w:rPr>
          <w:spacing w:val="-2"/>
          <w:sz w:val="24"/>
        </w:rPr>
        <w:t> </w:t>
      </w:r>
      <w:r>
        <w:rPr>
          <w:sz w:val="24"/>
        </w:rPr>
        <w:t>ways</w:t>
      </w:r>
      <w:r>
        <w:rPr>
          <w:spacing w:val="-8"/>
          <w:sz w:val="24"/>
        </w:rPr>
        <w:t> </w:t>
      </w:r>
      <w:r>
        <w:rPr>
          <w:sz w:val="24"/>
        </w:rPr>
        <w:t>of</w:t>
      </w:r>
      <w:r>
        <w:rPr>
          <w:spacing w:val="-5"/>
          <w:sz w:val="24"/>
        </w:rPr>
        <w:t> </w:t>
      </w:r>
      <w:r>
        <w:rPr>
          <w:sz w:val="24"/>
        </w:rPr>
        <w:t>working.</w:t>
      </w:r>
    </w:p>
    <w:p>
      <w:pPr>
        <w:pStyle w:val="ListParagraph"/>
        <w:numPr>
          <w:ilvl w:val="2"/>
          <w:numId w:val="37"/>
        </w:numPr>
        <w:tabs>
          <w:tab w:pos="1559" w:val="left" w:leader="none"/>
          <w:tab w:pos="1563" w:val="left" w:leader="none"/>
        </w:tabs>
        <w:spacing w:line="240" w:lineRule="auto" w:before="273" w:after="0"/>
        <w:ind w:left="1563" w:right="444" w:hanging="721"/>
        <w:jc w:val="left"/>
        <w:rPr>
          <w:sz w:val="24"/>
        </w:rPr>
      </w:pPr>
      <w:r>
        <w:rPr>
          <w:sz w:val="24"/>
        </w:rPr>
        <w:t>Seek</w:t>
      </w:r>
      <w:r>
        <w:rPr>
          <w:spacing w:val="-11"/>
          <w:sz w:val="24"/>
        </w:rPr>
        <w:t> </w:t>
      </w:r>
      <w:r>
        <w:rPr>
          <w:sz w:val="24"/>
        </w:rPr>
        <w:t>assurance</w:t>
      </w:r>
      <w:r>
        <w:rPr>
          <w:spacing w:val="-10"/>
          <w:sz w:val="24"/>
        </w:rPr>
        <w:t> </w:t>
      </w:r>
      <w:r>
        <w:rPr>
          <w:sz w:val="24"/>
        </w:rPr>
        <w:t>that</w:t>
      </w:r>
      <w:r>
        <w:rPr>
          <w:spacing w:val="-12"/>
          <w:sz w:val="24"/>
        </w:rPr>
        <w:t> </w:t>
      </w:r>
      <w:r>
        <w:rPr>
          <w:sz w:val="24"/>
        </w:rPr>
        <w:t>all</w:t>
      </w:r>
      <w:r>
        <w:rPr>
          <w:spacing w:val="-9"/>
          <w:sz w:val="24"/>
        </w:rPr>
        <w:t> </w:t>
      </w:r>
      <w:r>
        <w:rPr>
          <w:sz w:val="24"/>
        </w:rPr>
        <w:t>subgroups’</w:t>
      </w:r>
      <w:r>
        <w:rPr>
          <w:spacing w:val="-9"/>
          <w:sz w:val="24"/>
        </w:rPr>
        <w:t> </w:t>
      </w:r>
      <w:r>
        <w:rPr>
          <w:sz w:val="24"/>
        </w:rPr>
        <w:t>plans</w:t>
      </w:r>
      <w:r>
        <w:rPr>
          <w:spacing w:val="-11"/>
          <w:sz w:val="24"/>
        </w:rPr>
        <w:t> </w:t>
      </w:r>
      <w:r>
        <w:rPr>
          <w:sz w:val="24"/>
        </w:rPr>
        <w:t>and</w:t>
      </w:r>
      <w:r>
        <w:rPr>
          <w:spacing w:val="-10"/>
          <w:sz w:val="24"/>
        </w:rPr>
        <w:t> </w:t>
      </w:r>
      <w:r>
        <w:rPr>
          <w:sz w:val="24"/>
        </w:rPr>
        <w:t>resources</w:t>
      </w:r>
      <w:r>
        <w:rPr>
          <w:spacing w:val="-11"/>
          <w:sz w:val="24"/>
        </w:rPr>
        <w:t> </w:t>
      </w:r>
      <w:r>
        <w:rPr>
          <w:sz w:val="24"/>
        </w:rPr>
        <w:t>are</w:t>
      </w:r>
      <w:r>
        <w:rPr>
          <w:spacing w:val="-10"/>
          <w:sz w:val="24"/>
        </w:rPr>
        <w:t> </w:t>
      </w:r>
      <w:r>
        <w:rPr>
          <w:sz w:val="24"/>
        </w:rPr>
        <w:t>prioritised</w:t>
      </w:r>
      <w:r>
        <w:rPr>
          <w:spacing w:val="-10"/>
          <w:sz w:val="24"/>
        </w:rPr>
        <w:t> </w:t>
      </w:r>
      <w:r>
        <w:rPr>
          <w:sz w:val="24"/>
        </w:rPr>
        <w:t>and coordinated</w:t>
      </w:r>
      <w:r>
        <w:rPr>
          <w:spacing w:val="-8"/>
          <w:sz w:val="24"/>
        </w:rPr>
        <w:t> </w:t>
      </w:r>
      <w:r>
        <w:rPr>
          <w:sz w:val="24"/>
        </w:rPr>
        <w:t>to</w:t>
      </w:r>
      <w:r>
        <w:rPr>
          <w:spacing w:val="-12"/>
          <w:sz w:val="24"/>
        </w:rPr>
        <w:t> </w:t>
      </w:r>
      <w:r>
        <w:rPr>
          <w:sz w:val="24"/>
        </w:rPr>
        <w:t>deliver</w:t>
      </w:r>
      <w:r>
        <w:rPr>
          <w:spacing w:val="-13"/>
          <w:sz w:val="24"/>
        </w:rPr>
        <w:t> </w:t>
      </w:r>
      <w:r>
        <w:rPr>
          <w:sz w:val="24"/>
        </w:rPr>
        <w:t>the</w:t>
      </w:r>
      <w:r>
        <w:rPr>
          <w:spacing w:val="-12"/>
          <w:sz w:val="24"/>
        </w:rPr>
        <w:t> </w:t>
      </w:r>
      <w:r>
        <w:rPr>
          <w:sz w:val="24"/>
        </w:rPr>
        <w:t>Clinical</w:t>
      </w:r>
      <w:r>
        <w:rPr>
          <w:spacing w:val="-12"/>
          <w:sz w:val="24"/>
        </w:rPr>
        <w:t> </w:t>
      </w:r>
      <w:r>
        <w:rPr>
          <w:sz w:val="24"/>
        </w:rPr>
        <w:t>Services</w:t>
      </w:r>
      <w:r>
        <w:rPr>
          <w:spacing w:val="-13"/>
          <w:sz w:val="24"/>
        </w:rPr>
        <w:t> </w:t>
      </w:r>
      <w:r>
        <w:rPr>
          <w:sz w:val="24"/>
        </w:rPr>
        <w:t>Planning</w:t>
      </w:r>
      <w:r>
        <w:rPr>
          <w:spacing w:val="-12"/>
          <w:sz w:val="24"/>
        </w:rPr>
        <w:t> </w:t>
      </w:r>
      <w:r>
        <w:rPr>
          <w:sz w:val="24"/>
        </w:rPr>
        <w:t>subgroup’s</w:t>
      </w:r>
      <w:r>
        <w:rPr>
          <w:spacing w:val="-13"/>
          <w:sz w:val="24"/>
        </w:rPr>
        <w:t> </w:t>
      </w:r>
      <w:r>
        <w:rPr>
          <w:sz w:val="24"/>
        </w:rPr>
        <w:t>clinical </w:t>
      </w:r>
      <w:r>
        <w:rPr>
          <w:spacing w:val="-2"/>
          <w:sz w:val="24"/>
        </w:rPr>
        <w:t>transformation</w:t>
      </w:r>
      <w:r>
        <w:rPr>
          <w:spacing w:val="-15"/>
          <w:sz w:val="24"/>
        </w:rPr>
        <w:t> </w:t>
      </w:r>
      <w:r>
        <w:rPr>
          <w:spacing w:val="-2"/>
          <w:sz w:val="24"/>
        </w:rPr>
        <w:t>programmes</w:t>
      </w:r>
      <w:r>
        <w:rPr>
          <w:spacing w:val="-15"/>
          <w:sz w:val="24"/>
        </w:rPr>
        <w:t> </w:t>
      </w:r>
      <w:r>
        <w:rPr>
          <w:spacing w:val="-2"/>
          <w:sz w:val="24"/>
        </w:rPr>
        <w:t>and</w:t>
      </w:r>
      <w:r>
        <w:rPr>
          <w:spacing w:val="-14"/>
          <w:sz w:val="24"/>
        </w:rPr>
        <w:t> </w:t>
      </w:r>
      <w:r>
        <w:rPr>
          <w:spacing w:val="-2"/>
          <w:sz w:val="24"/>
        </w:rPr>
        <w:t>improved</w:t>
      </w:r>
      <w:r>
        <w:rPr>
          <w:spacing w:val="-15"/>
          <w:sz w:val="24"/>
        </w:rPr>
        <w:t> </w:t>
      </w:r>
      <w:r>
        <w:rPr>
          <w:spacing w:val="-2"/>
          <w:sz w:val="24"/>
        </w:rPr>
        <w:t>outcomes</w:t>
      </w:r>
      <w:r>
        <w:rPr>
          <w:spacing w:val="-15"/>
          <w:sz w:val="24"/>
        </w:rPr>
        <w:t> </w:t>
      </w:r>
      <w:r>
        <w:rPr>
          <w:spacing w:val="-2"/>
          <w:sz w:val="24"/>
        </w:rPr>
        <w:t>for</w:t>
      </w:r>
      <w:r>
        <w:rPr>
          <w:spacing w:val="-14"/>
          <w:sz w:val="24"/>
        </w:rPr>
        <w:t> </w:t>
      </w:r>
      <w:r>
        <w:rPr>
          <w:spacing w:val="-2"/>
          <w:sz w:val="24"/>
        </w:rPr>
        <w:t>patients</w:t>
      </w:r>
      <w:r>
        <w:rPr>
          <w:spacing w:val="-14"/>
          <w:sz w:val="24"/>
        </w:rPr>
        <w:t> </w:t>
      </w:r>
      <w:r>
        <w:rPr>
          <w:spacing w:val="-2"/>
          <w:sz w:val="24"/>
        </w:rPr>
        <w:t>to</w:t>
      </w:r>
      <w:r>
        <w:rPr>
          <w:spacing w:val="-13"/>
          <w:sz w:val="24"/>
        </w:rPr>
        <w:t> </w:t>
      </w:r>
      <w:r>
        <w:rPr>
          <w:spacing w:val="-2"/>
          <w:sz w:val="24"/>
        </w:rPr>
        <w:t>ensure</w:t>
      </w:r>
      <w:r>
        <w:rPr>
          <w:spacing w:val="-9"/>
          <w:sz w:val="24"/>
        </w:rPr>
        <w:t> </w:t>
      </w:r>
      <w:r>
        <w:rPr>
          <w:spacing w:val="-2"/>
          <w:sz w:val="24"/>
        </w:rPr>
        <w:t>the</w:t>
      </w:r>
      <w:r>
        <w:rPr>
          <w:spacing w:val="-13"/>
          <w:sz w:val="24"/>
        </w:rPr>
        <w:t> </w:t>
      </w:r>
      <w:r>
        <w:rPr>
          <w:spacing w:val="-2"/>
          <w:sz w:val="24"/>
        </w:rPr>
        <w:t>RJC’s </w:t>
      </w:r>
      <w:r>
        <w:rPr>
          <w:sz w:val="24"/>
        </w:rPr>
        <w:t>delivery</w:t>
      </w:r>
      <w:r>
        <w:rPr>
          <w:spacing w:val="-17"/>
          <w:sz w:val="24"/>
        </w:rPr>
        <w:t> </w:t>
      </w:r>
      <w:r>
        <w:rPr>
          <w:sz w:val="24"/>
        </w:rPr>
        <w:t>is</w:t>
      </w:r>
      <w:r>
        <w:rPr>
          <w:spacing w:val="-12"/>
          <w:sz w:val="24"/>
        </w:rPr>
        <w:t> </w:t>
      </w:r>
      <w:r>
        <w:rPr>
          <w:sz w:val="24"/>
        </w:rPr>
        <w:t>aligned</w:t>
      </w:r>
      <w:r>
        <w:rPr>
          <w:spacing w:val="-11"/>
          <w:sz w:val="24"/>
        </w:rPr>
        <w:t> </w:t>
      </w:r>
      <w:r>
        <w:rPr>
          <w:sz w:val="24"/>
        </w:rPr>
        <w:t>with</w:t>
      </w:r>
      <w:r>
        <w:rPr>
          <w:spacing w:val="-11"/>
          <w:sz w:val="24"/>
        </w:rPr>
        <w:t> </w:t>
      </w:r>
      <w:r>
        <w:rPr>
          <w:sz w:val="24"/>
        </w:rPr>
        <w:t>expectations</w:t>
      </w:r>
      <w:r>
        <w:rPr>
          <w:spacing w:val="-12"/>
          <w:sz w:val="24"/>
        </w:rPr>
        <w:t> </w:t>
      </w:r>
      <w:r>
        <w:rPr>
          <w:sz w:val="24"/>
        </w:rPr>
        <w:t>set</w:t>
      </w:r>
      <w:r>
        <w:rPr>
          <w:spacing w:val="-14"/>
          <w:sz w:val="24"/>
        </w:rPr>
        <w:t> </w:t>
      </w:r>
      <w:r>
        <w:rPr>
          <w:sz w:val="24"/>
        </w:rPr>
        <w:t>by</w:t>
      </w:r>
      <w:r>
        <w:rPr>
          <w:spacing w:val="-12"/>
          <w:sz w:val="24"/>
        </w:rPr>
        <w:t> </w:t>
      </w:r>
      <w:r>
        <w:rPr>
          <w:sz w:val="24"/>
        </w:rPr>
        <w:t>Senedd</w:t>
      </w:r>
      <w:r>
        <w:rPr>
          <w:spacing w:val="-16"/>
          <w:sz w:val="24"/>
        </w:rPr>
        <w:t> </w:t>
      </w:r>
      <w:r>
        <w:rPr>
          <w:sz w:val="24"/>
        </w:rPr>
        <w:t>Ministers,</w:t>
      </w:r>
      <w:r>
        <w:rPr>
          <w:spacing w:val="-9"/>
          <w:sz w:val="24"/>
        </w:rPr>
        <w:t> </w:t>
      </w:r>
      <w:r>
        <w:rPr>
          <w:sz w:val="24"/>
        </w:rPr>
        <w:t>Welsh</w:t>
      </w:r>
      <w:r>
        <w:rPr>
          <w:spacing w:val="-6"/>
          <w:sz w:val="24"/>
        </w:rPr>
        <w:t> </w:t>
      </w:r>
      <w:r>
        <w:rPr>
          <w:sz w:val="24"/>
        </w:rPr>
        <w:t>Government officials,</w:t>
      </w:r>
      <w:r>
        <w:rPr>
          <w:spacing w:val="-5"/>
          <w:sz w:val="24"/>
        </w:rPr>
        <w:t> </w:t>
      </w:r>
      <w:r>
        <w:rPr>
          <w:sz w:val="24"/>
        </w:rPr>
        <w:t>and the</w:t>
      </w:r>
      <w:r>
        <w:rPr>
          <w:spacing w:val="-1"/>
          <w:sz w:val="24"/>
        </w:rPr>
        <w:t> </w:t>
      </w:r>
      <w:r>
        <w:rPr>
          <w:sz w:val="24"/>
        </w:rPr>
        <w:t>Health</w:t>
      </w:r>
      <w:r>
        <w:rPr>
          <w:spacing w:val="-2"/>
          <w:sz w:val="24"/>
        </w:rPr>
        <w:t> </w:t>
      </w:r>
      <w:r>
        <w:rPr>
          <w:sz w:val="24"/>
        </w:rPr>
        <w:t>Boards’</w:t>
      </w:r>
      <w:r>
        <w:rPr>
          <w:spacing w:val="-2"/>
          <w:sz w:val="24"/>
        </w:rPr>
        <w:t> </w:t>
      </w:r>
      <w:r>
        <w:rPr>
          <w:sz w:val="24"/>
        </w:rPr>
        <w:t>Annual</w:t>
      </w:r>
      <w:r>
        <w:rPr>
          <w:spacing w:val="-2"/>
          <w:sz w:val="24"/>
        </w:rPr>
        <w:t> </w:t>
      </w:r>
      <w:r>
        <w:rPr>
          <w:sz w:val="24"/>
        </w:rPr>
        <w:t>Plans.</w:t>
      </w:r>
    </w:p>
    <w:p>
      <w:pPr>
        <w:pStyle w:val="BodyText"/>
        <w:spacing w:before="228"/>
        <w:rPr>
          <w:sz w:val="20"/>
        </w:rPr>
      </w:pPr>
    </w:p>
    <w:p>
      <w:pPr>
        <w:spacing w:before="0"/>
        <w:ind w:left="4" w:right="284" w:firstLine="0"/>
        <w:jc w:val="center"/>
        <w:rPr>
          <w:sz w:val="20"/>
        </w:rPr>
      </w:pPr>
      <w:r>
        <w:rPr>
          <w:spacing w:val="-10"/>
          <w:sz w:val="20"/>
        </w:rPr>
        <w:t>3</w:t>
      </w:r>
    </w:p>
    <w:p>
      <w:pPr>
        <w:spacing w:after="0"/>
        <w:jc w:val="center"/>
        <w:rPr>
          <w:sz w:val="20"/>
        </w:rPr>
        <w:sectPr>
          <w:pgSz w:w="11910" w:h="16840"/>
          <w:pgMar w:header="0" w:footer="149" w:top="1420" w:bottom="340" w:left="708" w:right="425"/>
        </w:sectPr>
      </w:pPr>
    </w:p>
    <w:p>
      <w:pPr>
        <w:numPr>
          <w:ilvl w:val="1"/>
          <w:numId w:val="37"/>
        </w:numPr>
        <w:tabs>
          <w:tab w:pos="852" w:val="left" w:leader="none"/>
        </w:tabs>
        <w:spacing w:before="65"/>
        <w:ind w:left="852" w:right="0" w:hanging="710"/>
        <w:jc w:val="left"/>
        <w:rPr>
          <w:b/>
          <w:sz w:val="24"/>
        </w:rPr>
      </w:pPr>
      <w:r>
        <w:rPr>
          <w:b/>
          <w:spacing w:val="-2"/>
          <w:sz w:val="24"/>
        </w:rPr>
        <w:t>Regional</w:t>
      </w:r>
      <w:r>
        <w:rPr>
          <w:b/>
          <w:spacing w:val="-15"/>
          <w:sz w:val="24"/>
        </w:rPr>
        <w:t> </w:t>
      </w:r>
      <w:r>
        <w:rPr>
          <w:b/>
          <w:spacing w:val="-2"/>
          <w:sz w:val="24"/>
        </w:rPr>
        <w:t>Health</w:t>
      </w:r>
      <w:r>
        <w:rPr>
          <w:b/>
          <w:spacing w:val="-14"/>
          <w:sz w:val="24"/>
        </w:rPr>
        <w:t> </w:t>
      </w:r>
      <w:r>
        <w:rPr>
          <w:b/>
          <w:spacing w:val="-2"/>
          <w:sz w:val="24"/>
        </w:rPr>
        <w:t>Economy</w:t>
      </w:r>
    </w:p>
    <w:p>
      <w:pPr>
        <w:pStyle w:val="BodyText"/>
        <w:rPr>
          <w:b/>
        </w:rPr>
      </w:pPr>
    </w:p>
    <w:p>
      <w:pPr>
        <w:pStyle w:val="ListParagraph"/>
        <w:numPr>
          <w:ilvl w:val="2"/>
          <w:numId w:val="37"/>
        </w:numPr>
        <w:tabs>
          <w:tab w:pos="1560" w:val="left" w:leader="none"/>
          <w:tab w:pos="1563" w:val="left" w:leader="none"/>
        </w:tabs>
        <w:spacing w:line="240" w:lineRule="auto" w:before="0" w:after="0"/>
        <w:ind w:left="1563" w:right="1316" w:hanging="711"/>
        <w:jc w:val="both"/>
        <w:rPr>
          <w:sz w:val="24"/>
        </w:rPr>
      </w:pPr>
      <w:r>
        <w:rPr>
          <w:spacing w:val="-2"/>
          <w:sz w:val="24"/>
        </w:rPr>
        <w:t>Seek</w:t>
      </w:r>
      <w:r>
        <w:rPr>
          <w:spacing w:val="-14"/>
          <w:sz w:val="24"/>
        </w:rPr>
        <w:t> </w:t>
      </w:r>
      <w:r>
        <w:rPr>
          <w:spacing w:val="-2"/>
          <w:sz w:val="24"/>
        </w:rPr>
        <w:t>assurance</w:t>
      </w:r>
      <w:r>
        <w:rPr>
          <w:spacing w:val="-13"/>
          <w:sz w:val="24"/>
        </w:rPr>
        <w:t> </w:t>
      </w:r>
      <w:r>
        <w:rPr>
          <w:spacing w:val="-2"/>
          <w:sz w:val="24"/>
        </w:rPr>
        <w:t>that</w:t>
      </w:r>
      <w:r>
        <w:rPr>
          <w:spacing w:val="-15"/>
          <w:sz w:val="24"/>
        </w:rPr>
        <w:t> </w:t>
      </w:r>
      <w:r>
        <w:rPr>
          <w:spacing w:val="-2"/>
          <w:sz w:val="24"/>
        </w:rPr>
        <w:t>a</w:t>
      </w:r>
      <w:r>
        <w:rPr>
          <w:spacing w:val="-12"/>
          <w:sz w:val="24"/>
        </w:rPr>
        <w:t> </w:t>
      </w:r>
      <w:r>
        <w:rPr>
          <w:spacing w:val="-2"/>
          <w:sz w:val="24"/>
        </w:rPr>
        <w:t>long</w:t>
      </w:r>
      <w:r>
        <w:rPr>
          <w:rFonts w:ascii="Cambria Math" w:hAnsi="Cambria Math"/>
          <w:spacing w:val="-2"/>
          <w:sz w:val="24"/>
        </w:rPr>
        <w:t>‑</w:t>
      </w:r>
      <w:r>
        <w:rPr>
          <w:spacing w:val="-2"/>
          <w:sz w:val="24"/>
        </w:rPr>
        <w:t>term</w:t>
      </w:r>
      <w:r>
        <w:rPr>
          <w:spacing w:val="-14"/>
          <w:sz w:val="24"/>
        </w:rPr>
        <w:t> </w:t>
      </w:r>
      <w:r>
        <w:rPr>
          <w:spacing w:val="-2"/>
          <w:sz w:val="24"/>
        </w:rPr>
        <w:t>Regional</w:t>
      </w:r>
      <w:r>
        <w:rPr>
          <w:spacing w:val="-13"/>
          <w:sz w:val="24"/>
        </w:rPr>
        <w:t> </w:t>
      </w:r>
      <w:r>
        <w:rPr>
          <w:spacing w:val="-2"/>
          <w:sz w:val="24"/>
        </w:rPr>
        <w:t>Health</w:t>
      </w:r>
      <w:r>
        <w:rPr>
          <w:spacing w:val="-13"/>
          <w:sz w:val="24"/>
        </w:rPr>
        <w:t> </w:t>
      </w:r>
      <w:r>
        <w:rPr>
          <w:spacing w:val="-2"/>
          <w:sz w:val="24"/>
        </w:rPr>
        <w:t>Economy</w:t>
      </w:r>
      <w:r>
        <w:rPr>
          <w:spacing w:val="-14"/>
          <w:sz w:val="24"/>
        </w:rPr>
        <w:t> </w:t>
      </w:r>
      <w:r>
        <w:rPr>
          <w:spacing w:val="-2"/>
          <w:sz w:val="24"/>
        </w:rPr>
        <w:t>Strategic</w:t>
      </w:r>
      <w:r>
        <w:rPr>
          <w:spacing w:val="-9"/>
          <w:sz w:val="24"/>
        </w:rPr>
        <w:t> </w:t>
      </w:r>
      <w:r>
        <w:rPr>
          <w:spacing w:val="-2"/>
          <w:sz w:val="24"/>
        </w:rPr>
        <w:t>Plan</w:t>
      </w:r>
      <w:r>
        <w:rPr>
          <w:spacing w:val="-13"/>
          <w:sz w:val="24"/>
        </w:rPr>
        <w:t> </w:t>
      </w:r>
      <w:r>
        <w:rPr>
          <w:spacing w:val="-2"/>
          <w:sz w:val="24"/>
        </w:rPr>
        <w:t>is produced</w:t>
      </w:r>
      <w:r>
        <w:rPr>
          <w:spacing w:val="-9"/>
          <w:sz w:val="24"/>
        </w:rPr>
        <w:t> </w:t>
      </w:r>
      <w:r>
        <w:rPr>
          <w:spacing w:val="-2"/>
          <w:sz w:val="24"/>
        </w:rPr>
        <w:t>that</w:t>
      </w:r>
      <w:r>
        <w:rPr>
          <w:spacing w:val="-14"/>
          <w:sz w:val="24"/>
        </w:rPr>
        <w:t> </w:t>
      </w:r>
      <w:r>
        <w:rPr>
          <w:spacing w:val="-2"/>
          <w:sz w:val="24"/>
        </w:rPr>
        <w:t>provides</w:t>
      </w:r>
      <w:r>
        <w:rPr>
          <w:spacing w:val="-13"/>
          <w:sz w:val="24"/>
        </w:rPr>
        <w:t> </w:t>
      </w:r>
      <w:r>
        <w:rPr>
          <w:spacing w:val="-2"/>
          <w:sz w:val="24"/>
        </w:rPr>
        <w:t>a</w:t>
      </w:r>
      <w:r>
        <w:rPr>
          <w:spacing w:val="-12"/>
          <w:sz w:val="24"/>
        </w:rPr>
        <w:t> </w:t>
      </w:r>
      <w:r>
        <w:rPr>
          <w:spacing w:val="-2"/>
          <w:sz w:val="24"/>
        </w:rPr>
        <w:t>shared</w:t>
      </w:r>
      <w:r>
        <w:rPr>
          <w:spacing w:val="-12"/>
          <w:sz w:val="24"/>
        </w:rPr>
        <w:t> </w:t>
      </w:r>
      <w:r>
        <w:rPr>
          <w:spacing w:val="-2"/>
          <w:sz w:val="24"/>
        </w:rPr>
        <w:t>regional</w:t>
      </w:r>
      <w:r>
        <w:rPr>
          <w:spacing w:val="-15"/>
          <w:sz w:val="24"/>
        </w:rPr>
        <w:t> </w:t>
      </w:r>
      <w:r>
        <w:rPr>
          <w:spacing w:val="-2"/>
          <w:sz w:val="24"/>
        </w:rPr>
        <w:t>direction</w:t>
      </w:r>
      <w:r>
        <w:rPr>
          <w:spacing w:val="-15"/>
          <w:sz w:val="24"/>
        </w:rPr>
        <w:t> </w:t>
      </w:r>
      <w:r>
        <w:rPr>
          <w:spacing w:val="-2"/>
          <w:sz w:val="24"/>
        </w:rPr>
        <w:t>and</w:t>
      </w:r>
      <w:r>
        <w:rPr>
          <w:spacing w:val="-11"/>
          <w:sz w:val="24"/>
        </w:rPr>
        <w:t> </w:t>
      </w:r>
      <w:r>
        <w:rPr>
          <w:spacing w:val="-2"/>
          <w:sz w:val="24"/>
        </w:rPr>
        <w:t>enables</w:t>
      </w:r>
      <w:r>
        <w:rPr>
          <w:spacing w:val="-13"/>
          <w:sz w:val="24"/>
        </w:rPr>
        <w:t> </w:t>
      </w:r>
      <w:r>
        <w:rPr>
          <w:spacing w:val="-2"/>
          <w:sz w:val="24"/>
        </w:rPr>
        <w:t>coordinated, </w:t>
      </w:r>
      <w:r>
        <w:rPr>
          <w:sz w:val="24"/>
        </w:rPr>
        <w:t>equitable system change.</w:t>
      </w:r>
    </w:p>
    <w:p>
      <w:pPr>
        <w:pStyle w:val="ListParagraph"/>
        <w:numPr>
          <w:ilvl w:val="2"/>
          <w:numId w:val="37"/>
        </w:numPr>
        <w:tabs>
          <w:tab w:pos="1560" w:val="left" w:leader="none"/>
          <w:tab w:pos="1563" w:val="left" w:leader="none"/>
        </w:tabs>
        <w:spacing w:line="242" w:lineRule="auto" w:before="275" w:after="0"/>
        <w:ind w:left="1563" w:right="655" w:hanging="711"/>
        <w:jc w:val="both"/>
        <w:rPr>
          <w:sz w:val="24"/>
        </w:rPr>
      </w:pPr>
      <w:r>
        <w:rPr>
          <w:spacing w:val="-2"/>
          <w:sz w:val="24"/>
        </w:rPr>
        <w:t>Seek</w:t>
      </w:r>
      <w:r>
        <w:rPr>
          <w:spacing w:val="-9"/>
          <w:sz w:val="24"/>
        </w:rPr>
        <w:t> </w:t>
      </w:r>
      <w:r>
        <w:rPr>
          <w:spacing w:val="-2"/>
          <w:sz w:val="24"/>
        </w:rPr>
        <w:t>assurance</w:t>
      </w:r>
      <w:r>
        <w:rPr>
          <w:spacing w:val="-8"/>
          <w:sz w:val="24"/>
        </w:rPr>
        <w:t> </w:t>
      </w:r>
      <w:r>
        <w:rPr>
          <w:spacing w:val="-2"/>
          <w:sz w:val="24"/>
        </w:rPr>
        <w:t>that</w:t>
      </w:r>
      <w:r>
        <w:rPr>
          <w:spacing w:val="-11"/>
          <w:sz w:val="24"/>
        </w:rPr>
        <w:t> </w:t>
      </w:r>
      <w:r>
        <w:rPr>
          <w:spacing w:val="-2"/>
          <w:sz w:val="24"/>
        </w:rPr>
        <w:t>a</w:t>
      </w:r>
      <w:r>
        <w:rPr>
          <w:spacing w:val="-8"/>
          <w:sz w:val="24"/>
        </w:rPr>
        <w:t> </w:t>
      </w:r>
      <w:r>
        <w:rPr>
          <w:spacing w:val="-2"/>
          <w:sz w:val="24"/>
        </w:rPr>
        <w:t>shared</w:t>
      </w:r>
      <w:r>
        <w:rPr>
          <w:spacing w:val="-8"/>
          <w:sz w:val="24"/>
        </w:rPr>
        <w:t> </w:t>
      </w:r>
      <w:r>
        <w:rPr>
          <w:spacing w:val="-2"/>
          <w:sz w:val="24"/>
        </w:rPr>
        <w:t>regional</w:t>
      </w:r>
      <w:r>
        <w:rPr>
          <w:spacing w:val="-8"/>
          <w:sz w:val="24"/>
        </w:rPr>
        <w:t> </w:t>
      </w:r>
      <w:r>
        <w:rPr>
          <w:spacing w:val="-2"/>
          <w:sz w:val="24"/>
        </w:rPr>
        <w:t>health</w:t>
      </w:r>
      <w:r>
        <w:rPr>
          <w:spacing w:val="-13"/>
          <w:sz w:val="24"/>
        </w:rPr>
        <w:t> </w:t>
      </w:r>
      <w:r>
        <w:rPr>
          <w:spacing w:val="-2"/>
          <w:sz w:val="24"/>
        </w:rPr>
        <w:t>profile</w:t>
      </w:r>
      <w:r>
        <w:rPr>
          <w:spacing w:val="-8"/>
          <w:sz w:val="24"/>
        </w:rPr>
        <w:t> </w:t>
      </w:r>
      <w:r>
        <w:rPr>
          <w:spacing w:val="-2"/>
          <w:sz w:val="24"/>
        </w:rPr>
        <w:t>is</w:t>
      </w:r>
      <w:r>
        <w:rPr>
          <w:spacing w:val="-9"/>
          <w:sz w:val="24"/>
        </w:rPr>
        <w:t> </w:t>
      </w:r>
      <w:r>
        <w:rPr>
          <w:spacing w:val="-2"/>
          <w:sz w:val="24"/>
        </w:rPr>
        <w:t>established</w:t>
      </w:r>
      <w:r>
        <w:rPr>
          <w:spacing w:val="-8"/>
          <w:sz w:val="24"/>
        </w:rPr>
        <w:t> </w:t>
      </w:r>
      <w:r>
        <w:rPr>
          <w:spacing w:val="-2"/>
          <w:sz w:val="24"/>
        </w:rPr>
        <w:t>which</w:t>
      </w:r>
      <w:r>
        <w:rPr>
          <w:spacing w:val="-13"/>
          <w:sz w:val="24"/>
        </w:rPr>
        <w:t> </w:t>
      </w:r>
      <w:r>
        <w:rPr>
          <w:spacing w:val="-2"/>
          <w:sz w:val="24"/>
        </w:rPr>
        <w:t>identifies the</w:t>
      </w:r>
      <w:r>
        <w:rPr>
          <w:spacing w:val="-15"/>
          <w:sz w:val="24"/>
        </w:rPr>
        <w:t> </w:t>
      </w:r>
      <w:r>
        <w:rPr>
          <w:spacing w:val="-2"/>
          <w:sz w:val="24"/>
        </w:rPr>
        <w:t>key</w:t>
      </w:r>
      <w:r>
        <w:rPr>
          <w:spacing w:val="-14"/>
          <w:sz w:val="24"/>
        </w:rPr>
        <w:t> </w:t>
      </w:r>
      <w:r>
        <w:rPr>
          <w:spacing w:val="-2"/>
          <w:sz w:val="24"/>
        </w:rPr>
        <w:t>drivers</w:t>
      </w:r>
      <w:r>
        <w:rPr>
          <w:spacing w:val="-12"/>
          <w:sz w:val="24"/>
        </w:rPr>
        <w:t> </w:t>
      </w:r>
      <w:r>
        <w:rPr>
          <w:spacing w:val="-2"/>
          <w:sz w:val="24"/>
        </w:rPr>
        <w:t>of</w:t>
      </w:r>
      <w:r>
        <w:rPr>
          <w:spacing w:val="-14"/>
          <w:sz w:val="24"/>
        </w:rPr>
        <w:t> </w:t>
      </w:r>
      <w:r>
        <w:rPr>
          <w:spacing w:val="-2"/>
          <w:sz w:val="24"/>
        </w:rPr>
        <w:t>health</w:t>
      </w:r>
      <w:r>
        <w:rPr>
          <w:spacing w:val="-15"/>
          <w:sz w:val="24"/>
        </w:rPr>
        <w:t> </w:t>
      </w:r>
      <w:r>
        <w:rPr>
          <w:spacing w:val="-2"/>
          <w:sz w:val="24"/>
        </w:rPr>
        <w:t>inequality</w:t>
      </w:r>
      <w:r>
        <w:rPr>
          <w:spacing w:val="-12"/>
          <w:sz w:val="24"/>
        </w:rPr>
        <w:t> </w:t>
      </w:r>
      <w:r>
        <w:rPr>
          <w:spacing w:val="-2"/>
          <w:sz w:val="24"/>
        </w:rPr>
        <w:t>and</w:t>
      </w:r>
      <w:r>
        <w:rPr>
          <w:spacing w:val="-7"/>
          <w:sz w:val="24"/>
        </w:rPr>
        <w:t> </w:t>
      </w:r>
      <w:r>
        <w:rPr>
          <w:spacing w:val="-2"/>
          <w:sz w:val="24"/>
        </w:rPr>
        <w:t>future</w:t>
      </w:r>
      <w:r>
        <w:rPr>
          <w:spacing w:val="-12"/>
          <w:sz w:val="24"/>
        </w:rPr>
        <w:t> </w:t>
      </w:r>
      <w:r>
        <w:rPr>
          <w:spacing w:val="-2"/>
          <w:sz w:val="24"/>
        </w:rPr>
        <w:t>healthcare</w:t>
      </w:r>
      <w:r>
        <w:rPr>
          <w:spacing w:val="-12"/>
          <w:sz w:val="24"/>
        </w:rPr>
        <w:t> </w:t>
      </w:r>
      <w:r>
        <w:rPr>
          <w:spacing w:val="-2"/>
          <w:sz w:val="24"/>
        </w:rPr>
        <w:t>demand</w:t>
      </w:r>
      <w:r>
        <w:rPr>
          <w:spacing w:val="-12"/>
          <w:sz w:val="24"/>
        </w:rPr>
        <w:t> </w:t>
      </w:r>
      <w:r>
        <w:rPr>
          <w:spacing w:val="-2"/>
          <w:sz w:val="24"/>
        </w:rPr>
        <w:t>across</w:t>
      </w:r>
      <w:r>
        <w:rPr>
          <w:spacing w:val="-13"/>
          <w:sz w:val="24"/>
        </w:rPr>
        <w:t> </w:t>
      </w:r>
      <w:r>
        <w:rPr>
          <w:spacing w:val="-2"/>
          <w:sz w:val="24"/>
        </w:rPr>
        <w:t>the</w:t>
      </w:r>
      <w:r>
        <w:rPr>
          <w:spacing w:val="-12"/>
          <w:sz w:val="24"/>
        </w:rPr>
        <w:t> </w:t>
      </w:r>
      <w:r>
        <w:rPr>
          <w:spacing w:val="-2"/>
          <w:sz w:val="24"/>
        </w:rPr>
        <w:t>region </w:t>
      </w:r>
      <w:r>
        <w:rPr>
          <w:sz w:val="24"/>
        </w:rPr>
        <w:t>and</w:t>
      </w:r>
      <w:r>
        <w:rPr>
          <w:spacing w:val="-7"/>
          <w:sz w:val="24"/>
        </w:rPr>
        <w:t> </w:t>
      </w:r>
      <w:r>
        <w:rPr>
          <w:sz w:val="24"/>
        </w:rPr>
        <w:t>is routinely</w:t>
      </w:r>
      <w:r>
        <w:rPr>
          <w:spacing w:val="-3"/>
          <w:sz w:val="24"/>
        </w:rPr>
        <w:t> </w:t>
      </w:r>
      <w:r>
        <w:rPr>
          <w:sz w:val="24"/>
        </w:rPr>
        <w:t>used</w:t>
      </w:r>
      <w:r>
        <w:rPr>
          <w:spacing w:val="-2"/>
          <w:sz w:val="24"/>
        </w:rPr>
        <w:t> </w:t>
      </w:r>
      <w:r>
        <w:rPr>
          <w:sz w:val="24"/>
        </w:rPr>
        <w:t>to</w:t>
      </w:r>
      <w:r>
        <w:rPr>
          <w:spacing w:val="-2"/>
          <w:sz w:val="24"/>
        </w:rPr>
        <w:t> </w:t>
      </w:r>
      <w:r>
        <w:rPr>
          <w:sz w:val="24"/>
        </w:rPr>
        <w:t>inform</w:t>
      </w:r>
      <w:r>
        <w:rPr>
          <w:spacing w:val="-3"/>
          <w:sz w:val="24"/>
        </w:rPr>
        <w:t> </w:t>
      </w:r>
      <w:r>
        <w:rPr>
          <w:sz w:val="24"/>
        </w:rPr>
        <w:t>regional</w:t>
      </w:r>
      <w:r>
        <w:rPr>
          <w:spacing w:val="-2"/>
          <w:sz w:val="24"/>
        </w:rPr>
        <w:t> </w:t>
      </w:r>
      <w:r>
        <w:rPr>
          <w:sz w:val="24"/>
        </w:rPr>
        <w:t>planning.</w:t>
      </w:r>
    </w:p>
    <w:p>
      <w:pPr>
        <w:pStyle w:val="ListParagraph"/>
        <w:numPr>
          <w:ilvl w:val="2"/>
          <w:numId w:val="37"/>
        </w:numPr>
        <w:tabs>
          <w:tab w:pos="1560" w:val="left" w:leader="none"/>
          <w:tab w:pos="1563" w:val="left" w:leader="none"/>
        </w:tabs>
        <w:spacing w:line="242" w:lineRule="auto" w:before="269" w:after="0"/>
        <w:ind w:left="1563" w:right="531" w:hanging="711"/>
        <w:jc w:val="left"/>
        <w:rPr>
          <w:sz w:val="24"/>
        </w:rPr>
      </w:pPr>
      <w:r>
        <w:rPr>
          <w:sz w:val="24"/>
        </w:rPr>
        <w:t>Oversee</w:t>
      </w:r>
      <w:r>
        <w:rPr>
          <w:spacing w:val="-7"/>
          <w:sz w:val="24"/>
        </w:rPr>
        <w:t> </w:t>
      </w:r>
      <w:r>
        <w:rPr>
          <w:sz w:val="24"/>
        </w:rPr>
        <w:t>the</w:t>
      </w:r>
      <w:r>
        <w:rPr>
          <w:spacing w:val="-12"/>
          <w:sz w:val="24"/>
        </w:rPr>
        <w:t> </w:t>
      </w:r>
      <w:r>
        <w:rPr>
          <w:sz w:val="24"/>
        </w:rPr>
        <w:t>required</w:t>
      </w:r>
      <w:r>
        <w:rPr>
          <w:spacing w:val="-12"/>
          <w:sz w:val="24"/>
        </w:rPr>
        <w:t> </w:t>
      </w:r>
      <w:r>
        <w:rPr>
          <w:sz w:val="24"/>
        </w:rPr>
        <w:t>preparatory</w:t>
      </w:r>
      <w:r>
        <w:rPr>
          <w:spacing w:val="-17"/>
          <w:sz w:val="24"/>
        </w:rPr>
        <w:t> </w:t>
      </w:r>
      <w:r>
        <w:rPr>
          <w:sz w:val="24"/>
        </w:rPr>
        <w:t>work</w:t>
      </w:r>
      <w:r>
        <w:rPr>
          <w:spacing w:val="-12"/>
          <w:sz w:val="24"/>
        </w:rPr>
        <w:t> </w:t>
      </w:r>
      <w:r>
        <w:rPr>
          <w:sz w:val="24"/>
        </w:rPr>
        <w:t>enabling</w:t>
      </w:r>
      <w:r>
        <w:rPr>
          <w:spacing w:val="-12"/>
          <w:sz w:val="24"/>
        </w:rPr>
        <w:t> </w:t>
      </w:r>
      <w:r>
        <w:rPr>
          <w:sz w:val="24"/>
        </w:rPr>
        <w:t>the</w:t>
      </w:r>
      <w:r>
        <w:rPr>
          <w:spacing w:val="-16"/>
          <w:sz w:val="24"/>
        </w:rPr>
        <w:t> </w:t>
      </w:r>
      <w:r>
        <w:rPr>
          <w:sz w:val="24"/>
        </w:rPr>
        <w:t>regional</w:t>
      </w:r>
      <w:r>
        <w:rPr>
          <w:spacing w:val="-12"/>
          <w:sz w:val="24"/>
        </w:rPr>
        <w:t> </w:t>
      </w:r>
      <w:r>
        <w:rPr>
          <w:sz w:val="24"/>
        </w:rPr>
        <w:t>health</w:t>
      </w:r>
      <w:r>
        <w:rPr>
          <w:spacing w:val="-12"/>
          <w:sz w:val="24"/>
        </w:rPr>
        <w:t> </w:t>
      </w:r>
      <w:r>
        <w:rPr>
          <w:sz w:val="24"/>
        </w:rPr>
        <w:t>economy</w:t>
      </w:r>
      <w:r>
        <w:rPr>
          <w:spacing w:val="-8"/>
          <w:sz w:val="24"/>
        </w:rPr>
        <w:t> </w:t>
      </w:r>
      <w:r>
        <w:rPr>
          <w:sz w:val="24"/>
        </w:rPr>
        <w:t>to </w:t>
      </w:r>
      <w:r>
        <w:rPr>
          <w:spacing w:val="-2"/>
          <w:sz w:val="24"/>
        </w:rPr>
        <w:t>become</w:t>
      </w:r>
      <w:r>
        <w:rPr>
          <w:spacing w:val="-11"/>
          <w:sz w:val="24"/>
        </w:rPr>
        <w:t> </w:t>
      </w:r>
      <w:r>
        <w:rPr>
          <w:spacing w:val="-2"/>
          <w:sz w:val="24"/>
        </w:rPr>
        <w:t>a</w:t>
      </w:r>
      <w:r>
        <w:rPr>
          <w:spacing w:val="-11"/>
          <w:sz w:val="24"/>
        </w:rPr>
        <w:t> </w:t>
      </w:r>
      <w:r>
        <w:rPr>
          <w:spacing w:val="-2"/>
          <w:sz w:val="24"/>
        </w:rPr>
        <w:t>designated</w:t>
      </w:r>
      <w:r>
        <w:rPr>
          <w:spacing w:val="-11"/>
          <w:sz w:val="24"/>
        </w:rPr>
        <w:t> </w:t>
      </w:r>
      <w:r>
        <w:rPr>
          <w:spacing w:val="-2"/>
          <w:sz w:val="24"/>
        </w:rPr>
        <w:t>WHO</w:t>
      </w:r>
      <w:r>
        <w:rPr>
          <w:spacing w:val="-14"/>
          <w:sz w:val="24"/>
        </w:rPr>
        <w:t> </w:t>
      </w:r>
      <w:r>
        <w:rPr>
          <w:spacing w:val="-2"/>
          <w:sz w:val="24"/>
        </w:rPr>
        <w:t>sub</w:t>
      </w:r>
      <w:r>
        <w:rPr>
          <w:spacing w:val="-11"/>
          <w:sz w:val="24"/>
        </w:rPr>
        <w:t> </w:t>
      </w:r>
      <w:r>
        <w:rPr>
          <w:spacing w:val="-2"/>
          <w:sz w:val="24"/>
        </w:rPr>
        <w:t>regional</w:t>
      </w:r>
      <w:r>
        <w:rPr>
          <w:spacing w:val="-11"/>
          <w:sz w:val="24"/>
        </w:rPr>
        <w:t> </w:t>
      </w:r>
      <w:r>
        <w:rPr>
          <w:spacing w:val="-2"/>
          <w:sz w:val="24"/>
        </w:rPr>
        <w:t>health</w:t>
      </w:r>
      <w:r>
        <w:rPr>
          <w:spacing w:val="-11"/>
          <w:sz w:val="24"/>
        </w:rPr>
        <w:t> </w:t>
      </w:r>
      <w:r>
        <w:rPr>
          <w:spacing w:val="-2"/>
          <w:sz w:val="24"/>
        </w:rPr>
        <w:t>network</w:t>
      </w:r>
      <w:r>
        <w:rPr>
          <w:spacing w:val="-12"/>
          <w:sz w:val="24"/>
        </w:rPr>
        <w:t> </w:t>
      </w:r>
      <w:r>
        <w:rPr>
          <w:spacing w:val="-2"/>
          <w:sz w:val="24"/>
        </w:rPr>
        <w:t>so</w:t>
      </w:r>
      <w:r>
        <w:rPr>
          <w:spacing w:val="-11"/>
          <w:sz w:val="24"/>
        </w:rPr>
        <w:t> </w:t>
      </w:r>
      <w:r>
        <w:rPr>
          <w:spacing w:val="-2"/>
          <w:sz w:val="24"/>
        </w:rPr>
        <w:t>that</w:t>
      </w:r>
      <w:r>
        <w:rPr>
          <w:spacing w:val="-9"/>
          <w:sz w:val="24"/>
        </w:rPr>
        <w:t> </w:t>
      </w:r>
      <w:r>
        <w:rPr>
          <w:spacing w:val="-2"/>
          <w:sz w:val="24"/>
        </w:rPr>
        <w:t>the</w:t>
      </w:r>
      <w:r>
        <w:rPr>
          <w:spacing w:val="-11"/>
          <w:sz w:val="24"/>
        </w:rPr>
        <w:t> </w:t>
      </w:r>
      <w:r>
        <w:rPr>
          <w:spacing w:val="-2"/>
          <w:sz w:val="24"/>
        </w:rPr>
        <w:t>RJC</w:t>
      </w:r>
      <w:r>
        <w:rPr>
          <w:spacing w:val="-11"/>
          <w:sz w:val="24"/>
        </w:rPr>
        <w:t> </w:t>
      </w:r>
      <w:r>
        <w:rPr>
          <w:spacing w:val="-2"/>
          <w:sz w:val="24"/>
        </w:rPr>
        <w:t>can</w:t>
      </w:r>
      <w:r>
        <w:rPr>
          <w:spacing w:val="-11"/>
          <w:sz w:val="24"/>
        </w:rPr>
        <w:t> </w:t>
      </w:r>
      <w:r>
        <w:rPr>
          <w:spacing w:val="-2"/>
          <w:sz w:val="24"/>
        </w:rPr>
        <w:t>benefit </w:t>
      </w:r>
      <w:r>
        <w:rPr>
          <w:sz w:val="24"/>
        </w:rPr>
        <w:t>from</w:t>
      </w:r>
      <w:r>
        <w:rPr>
          <w:spacing w:val="-13"/>
          <w:sz w:val="24"/>
        </w:rPr>
        <w:t> </w:t>
      </w:r>
      <w:r>
        <w:rPr>
          <w:sz w:val="24"/>
        </w:rPr>
        <w:t>the</w:t>
      </w:r>
      <w:r>
        <w:rPr>
          <w:spacing w:val="-12"/>
          <w:sz w:val="24"/>
        </w:rPr>
        <w:t> </w:t>
      </w:r>
      <w:r>
        <w:rPr>
          <w:sz w:val="24"/>
        </w:rPr>
        <w:t>shared</w:t>
      </w:r>
      <w:r>
        <w:rPr>
          <w:spacing w:val="-12"/>
          <w:sz w:val="24"/>
        </w:rPr>
        <w:t> </w:t>
      </w:r>
      <w:r>
        <w:rPr>
          <w:sz w:val="24"/>
        </w:rPr>
        <w:t>learning</w:t>
      </w:r>
      <w:r>
        <w:rPr>
          <w:spacing w:val="-12"/>
          <w:sz w:val="24"/>
        </w:rPr>
        <w:t> </w:t>
      </w:r>
      <w:r>
        <w:rPr>
          <w:sz w:val="24"/>
        </w:rPr>
        <w:t>opportunities</w:t>
      </w:r>
      <w:r>
        <w:rPr>
          <w:spacing w:val="-13"/>
          <w:sz w:val="24"/>
        </w:rPr>
        <w:t> </w:t>
      </w:r>
      <w:r>
        <w:rPr>
          <w:sz w:val="24"/>
        </w:rPr>
        <w:t>afforded</w:t>
      </w:r>
      <w:r>
        <w:rPr>
          <w:spacing w:val="-12"/>
          <w:sz w:val="24"/>
        </w:rPr>
        <w:t> </w:t>
      </w:r>
      <w:r>
        <w:rPr>
          <w:sz w:val="24"/>
        </w:rPr>
        <w:t>by</w:t>
      </w:r>
      <w:r>
        <w:rPr>
          <w:spacing w:val="-17"/>
          <w:sz w:val="24"/>
        </w:rPr>
        <w:t> </w:t>
      </w:r>
      <w:r>
        <w:rPr>
          <w:sz w:val="24"/>
        </w:rPr>
        <w:t>participation</w:t>
      </w:r>
      <w:r>
        <w:rPr>
          <w:spacing w:val="-12"/>
          <w:sz w:val="24"/>
        </w:rPr>
        <w:t> </w:t>
      </w:r>
      <w:r>
        <w:rPr>
          <w:sz w:val="24"/>
        </w:rPr>
        <w:t>in</w:t>
      </w:r>
      <w:r>
        <w:rPr>
          <w:spacing w:val="-7"/>
          <w:sz w:val="24"/>
        </w:rPr>
        <w:t> </w:t>
      </w:r>
      <w:r>
        <w:rPr>
          <w:sz w:val="24"/>
        </w:rPr>
        <w:t>the</w:t>
      </w:r>
      <w:r>
        <w:rPr>
          <w:spacing w:val="-12"/>
          <w:sz w:val="24"/>
        </w:rPr>
        <w:t> </w:t>
      </w:r>
      <w:r>
        <w:rPr>
          <w:sz w:val="24"/>
        </w:rPr>
        <w:t>network.</w:t>
      </w:r>
    </w:p>
    <w:p>
      <w:pPr>
        <w:numPr>
          <w:ilvl w:val="1"/>
          <w:numId w:val="37"/>
        </w:numPr>
        <w:tabs>
          <w:tab w:pos="852" w:val="left" w:leader="none"/>
        </w:tabs>
        <w:spacing w:before="269"/>
        <w:ind w:left="852" w:right="0" w:hanging="710"/>
        <w:jc w:val="left"/>
        <w:rPr>
          <w:b/>
          <w:sz w:val="24"/>
        </w:rPr>
      </w:pPr>
      <w:r>
        <w:rPr>
          <w:b/>
          <w:spacing w:val="-4"/>
          <w:sz w:val="24"/>
        </w:rPr>
        <w:t>Clinical Services</w:t>
      </w:r>
      <w:r>
        <w:rPr>
          <w:b/>
          <w:spacing w:val="6"/>
          <w:sz w:val="24"/>
        </w:rPr>
        <w:t> </w:t>
      </w:r>
      <w:r>
        <w:rPr>
          <w:b/>
          <w:spacing w:val="-4"/>
          <w:sz w:val="24"/>
        </w:rPr>
        <w:t>Planning</w:t>
      </w:r>
    </w:p>
    <w:p>
      <w:pPr>
        <w:pStyle w:val="ListParagraph"/>
        <w:numPr>
          <w:ilvl w:val="2"/>
          <w:numId w:val="37"/>
        </w:numPr>
        <w:tabs>
          <w:tab w:pos="1560" w:val="left" w:leader="none"/>
          <w:tab w:pos="1563" w:val="left" w:leader="none"/>
        </w:tabs>
        <w:spacing w:line="242" w:lineRule="auto" w:before="275" w:after="0"/>
        <w:ind w:left="1563" w:right="658" w:hanging="711"/>
        <w:jc w:val="left"/>
        <w:rPr>
          <w:sz w:val="24"/>
        </w:rPr>
      </w:pPr>
      <w:r>
        <w:rPr>
          <w:sz w:val="24"/>
        </w:rPr>
        <w:t>Seek</w:t>
      </w:r>
      <w:r>
        <w:rPr>
          <w:spacing w:val="-11"/>
          <w:sz w:val="24"/>
        </w:rPr>
        <w:t> </w:t>
      </w:r>
      <w:r>
        <w:rPr>
          <w:sz w:val="24"/>
        </w:rPr>
        <w:t>assurance</w:t>
      </w:r>
      <w:r>
        <w:rPr>
          <w:spacing w:val="-10"/>
          <w:sz w:val="24"/>
        </w:rPr>
        <w:t> </w:t>
      </w:r>
      <w:r>
        <w:rPr>
          <w:sz w:val="24"/>
        </w:rPr>
        <w:t>that</w:t>
      </w:r>
      <w:r>
        <w:rPr>
          <w:spacing w:val="-13"/>
          <w:sz w:val="24"/>
        </w:rPr>
        <w:t> </w:t>
      </w:r>
      <w:r>
        <w:rPr>
          <w:sz w:val="24"/>
        </w:rPr>
        <w:t>regional</w:t>
      </w:r>
      <w:r>
        <w:rPr>
          <w:spacing w:val="-10"/>
          <w:sz w:val="24"/>
        </w:rPr>
        <w:t> </w:t>
      </w:r>
      <w:r>
        <w:rPr>
          <w:sz w:val="24"/>
        </w:rPr>
        <w:t>clinical</w:t>
      </w:r>
      <w:r>
        <w:rPr>
          <w:spacing w:val="-10"/>
          <w:sz w:val="24"/>
        </w:rPr>
        <w:t> </w:t>
      </w:r>
      <w:r>
        <w:rPr>
          <w:sz w:val="24"/>
        </w:rPr>
        <w:t>service</w:t>
      </w:r>
      <w:r>
        <w:rPr>
          <w:spacing w:val="-15"/>
          <w:sz w:val="24"/>
        </w:rPr>
        <w:t> </w:t>
      </w:r>
      <w:r>
        <w:rPr>
          <w:sz w:val="24"/>
        </w:rPr>
        <w:t>programmes</w:t>
      </w:r>
      <w:r>
        <w:rPr>
          <w:spacing w:val="-11"/>
          <w:sz w:val="24"/>
        </w:rPr>
        <w:t> </w:t>
      </w:r>
      <w:r>
        <w:rPr>
          <w:sz w:val="24"/>
        </w:rPr>
        <w:t>and</w:t>
      </w:r>
      <w:r>
        <w:rPr>
          <w:spacing w:val="-10"/>
          <w:sz w:val="24"/>
        </w:rPr>
        <w:t> </w:t>
      </w:r>
      <w:r>
        <w:rPr>
          <w:sz w:val="24"/>
        </w:rPr>
        <w:t>models</w:t>
      </w:r>
      <w:r>
        <w:rPr>
          <w:spacing w:val="-11"/>
          <w:sz w:val="24"/>
        </w:rPr>
        <w:t> </w:t>
      </w:r>
      <w:r>
        <w:rPr>
          <w:sz w:val="24"/>
        </w:rPr>
        <w:t>are </w:t>
      </w:r>
      <w:r>
        <w:rPr>
          <w:spacing w:val="-2"/>
          <w:sz w:val="24"/>
        </w:rPr>
        <w:t>developed</w:t>
      </w:r>
      <w:r>
        <w:rPr>
          <w:spacing w:val="-15"/>
          <w:sz w:val="24"/>
        </w:rPr>
        <w:t> </w:t>
      </w:r>
      <w:r>
        <w:rPr>
          <w:spacing w:val="-2"/>
          <w:sz w:val="24"/>
        </w:rPr>
        <w:t>and</w:t>
      </w:r>
      <w:r>
        <w:rPr>
          <w:spacing w:val="-15"/>
          <w:sz w:val="24"/>
        </w:rPr>
        <w:t> </w:t>
      </w:r>
      <w:r>
        <w:rPr>
          <w:spacing w:val="-2"/>
          <w:sz w:val="24"/>
        </w:rPr>
        <w:t>delivered,</w:t>
      </w:r>
      <w:r>
        <w:rPr>
          <w:spacing w:val="-14"/>
          <w:sz w:val="24"/>
        </w:rPr>
        <w:t> </w:t>
      </w:r>
      <w:r>
        <w:rPr>
          <w:spacing w:val="-2"/>
          <w:sz w:val="24"/>
        </w:rPr>
        <w:t>which</w:t>
      </w:r>
      <w:r>
        <w:rPr>
          <w:spacing w:val="-13"/>
          <w:sz w:val="24"/>
        </w:rPr>
        <w:t> </w:t>
      </w:r>
      <w:r>
        <w:rPr>
          <w:spacing w:val="-2"/>
          <w:sz w:val="24"/>
        </w:rPr>
        <w:t>improve</w:t>
      </w:r>
      <w:r>
        <w:rPr>
          <w:spacing w:val="-13"/>
          <w:sz w:val="24"/>
        </w:rPr>
        <w:t> </w:t>
      </w:r>
      <w:r>
        <w:rPr>
          <w:spacing w:val="-2"/>
          <w:sz w:val="24"/>
        </w:rPr>
        <w:t>resilience,</w:t>
      </w:r>
      <w:r>
        <w:rPr>
          <w:spacing w:val="-15"/>
          <w:sz w:val="24"/>
        </w:rPr>
        <w:t> </w:t>
      </w:r>
      <w:r>
        <w:rPr>
          <w:spacing w:val="-2"/>
          <w:sz w:val="24"/>
        </w:rPr>
        <w:t>equity</w:t>
      </w:r>
      <w:r>
        <w:rPr>
          <w:spacing w:val="-13"/>
          <w:sz w:val="24"/>
        </w:rPr>
        <w:t> </w:t>
      </w:r>
      <w:r>
        <w:rPr>
          <w:spacing w:val="-2"/>
          <w:sz w:val="24"/>
        </w:rPr>
        <w:t>of</w:t>
      </w:r>
      <w:r>
        <w:rPr>
          <w:spacing w:val="-15"/>
          <w:sz w:val="24"/>
        </w:rPr>
        <w:t> </w:t>
      </w:r>
      <w:r>
        <w:rPr>
          <w:spacing w:val="-2"/>
          <w:sz w:val="24"/>
        </w:rPr>
        <w:t>access</w:t>
      </w:r>
      <w:r>
        <w:rPr>
          <w:spacing w:val="-13"/>
          <w:sz w:val="24"/>
        </w:rPr>
        <w:t> </w:t>
      </w:r>
      <w:r>
        <w:rPr>
          <w:spacing w:val="-2"/>
          <w:sz w:val="24"/>
        </w:rPr>
        <w:t>and</w:t>
      </w:r>
      <w:r>
        <w:rPr>
          <w:spacing w:val="-13"/>
          <w:sz w:val="24"/>
        </w:rPr>
        <w:t> </w:t>
      </w:r>
      <w:r>
        <w:rPr>
          <w:spacing w:val="-2"/>
          <w:sz w:val="24"/>
        </w:rPr>
        <w:t>outcomes </w:t>
      </w:r>
      <w:r>
        <w:rPr>
          <w:sz w:val="24"/>
        </w:rPr>
        <w:t>across South West Wales.</w:t>
      </w:r>
    </w:p>
    <w:p>
      <w:pPr>
        <w:pStyle w:val="ListParagraph"/>
        <w:numPr>
          <w:ilvl w:val="2"/>
          <w:numId w:val="37"/>
        </w:numPr>
        <w:tabs>
          <w:tab w:pos="1560" w:val="left" w:leader="none"/>
          <w:tab w:pos="1563" w:val="left" w:leader="none"/>
        </w:tabs>
        <w:spacing w:line="240" w:lineRule="auto" w:before="269" w:after="0"/>
        <w:ind w:left="1563" w:right="499" w:hanging="711"/>
        <w:jc w:val="left"/>
        <w:rPr>
          <w:sz w:val="24"/>
        </w:rPr>
      </w:pPr>
      <w:r>
        <w:rPr>
          <w:sz w:val="24"/>
        </w:rPr>
        <w:t>Seek</w:t>
      </w:r>
      <w:r>
        <w:rPr>
          <w:spacing w:val="-10"/>
          <w:sz w:val="24"/>
        </w:rPr>
        <w:t> </w:t>
      </w:r>
      <w:r>
        <w:rPr>
          <w:sz w:val="24"/>
        </w:rPr>
        <w:t>assurance</w:t>
      </w:r>
      <w:r>
        <w:rPr>
          <w:spacing w:val="-9"/>
          <w:sz w:val="24"/>
        </w:rPr>
        <w:t> </w:t>
      </w:r>
      <w:r>
        <w:rPr>
          <w:sz w:val="24"/>
        </w:rPr>
        <w:t>that</w:t>
      </w:r>
      <w:r>
        <w:rPr>
          <w:spacing w:val="-12"/>
          <w:sz w:val="24"/>
        </w:rPr>
        <w:t> </w:t>
      </w:r>
      <w:r>
        <w:rPr>
          <w:sz w:val="24"/>
        </w:rPr>
        <w:t>processes</w:t>
      </w:r>
      <w:r>
        <w:rPr>
          <w:spacing w:val="-10"/>
          <w:sz w:val="24"/>
        </w:rPr>
        <w:t> </w:t>
      </w:r>
      <w:r>
        <w:rPr>
          <w:sz w:val="24"/>
        </w:rPr>
        <w:t>and</w:t>
      </w:r>
      <w:r>
        <w:rPr>
          <w:spacing w:val="-9"/>
          <w:sz w:val="24"/>
        </w:rPr>
        <w:t> </w:t>
      </w:r>
      <w:r>
        <w:rPr>
          <w:sz w:val="24"/>
        </w:rPr>
        <w:t>governance</w:t>
      </w:r>
      <w:r>
        <w:rPr>
          <w:spacing w:val="-4"/>
          <w:sz w:val="24"/>
        </w:rPr>
        <w:t> </w:t>
      </w:r>
      <w:r>
        <w:rPr>
          <w:sz w:val="24"/>
        </w:rPr>
        <w:t>are</w:t>
      </w:r>
      <w:r>
        <w:rPr>
          <w:spacing w:val="-14"/>
          <w:sz w:val="24"/>
        </w:rPr>
        <w:t> </w:t>
      </w:r>
      <w:r>
        <w:rPr>
          <w:sz w:val="24"/>
        </w:rPr>
        <w:t>in</w:t>
      </w:r>
      <w:r>
        <w:rPr>
          <w:spacing w:val="-9"/>
          <w:sz w:val="24"/>
        </w:rPr>
        <w:t> </w:t>
      </w:r>
      <w:r>
        <w:rPr>
          <w:sz w:val="24"/>
        </w:rPr>
        <w:t>place</w:t>
      </w:r>
      <w:r>
        <w:rPr>
          <w:spacing w:val="-9"/>
          <w:sz w:val="24"/>
        </w:rPr>
        <w:t> </w:t>
      </w:r>
      <w:r>
        <w:rPr>
          <w:sz w:val="24"/>
        </w:rPr>
        <w:t>where</w:t>
      </w:r>
      <w:r>
        <w:rPr>
          <w:spacing w:val="-4"/>
          <w:sz w:val="24"/>
        </w:rPr>
        <w:t> </w:t>
      </w:r>
      <w:r>
        <w:rPr>
          <w:sz w:val="24"/>
        </w:rPr>
        <w:t>SBUHB</w:t>
      </w:r>
      <w:r>
        <w:rPr>
          <w:spacing w:val="-15"/>
          <w:sz w:val="24"/>
        </w:rPr>
        <w:t> </w:t>
      </w:r>
      <w:r>
        <w:rPr>
          <w:sz w:val="24"/>
        </w:rPr>
        <w:t>and HDdUHB</w:t>
      </w:r>
      <w:r>
        <w:rPr>
          <w:spacing w:val="-10"/>
          <w:sz w:val="24"/>
        </w:rPr>
        <w:t> </w:t>
      </w:r>
      <w:r>
        <w:rPr>
          <w:sz w:val="24"/>
        </w:rPr>
        <w:t>work</w:t>
      </w:r>
      <w:r>
        <w:rPr>
          <w:spacing w:val="-10"/>
          <w:sz w:val="24"/>
        </w:rPr>
        <w:t> </w:t>
      </w:r>
      <w:r>
        <w:rPr>
          <w:sz w:val="24"/>
        </w:rPr>
        <w:t>in</w:t>
      </w:r>
      <w:r>
        <w:rPr>
          <w:spacing w:val="-9"/>
          <w:sz w:val="24"/>
        </w:rPr>
        <w:t> </w:t>
      </w:r>
      <w:r>
        <w:rPr>
          <w:sz w:val="24"/>
        </w:rPr>
        <w:t>partnership</w:t>
      </w:r>
      <w:r>
        <w:rPr>
          <w:spacing w:val="-9"/>
          <w:sz w:val="24"/>
        </w:rPr>
        <w:t> </w:t>
      </w:r>
      <w:r>
        <w:rPr>
          <w:sz w:val="24"/>
        </w:rPr>
        <w:t>to</w:t>
      </w:r>
      <w:r>
        <w:rPr>
          <w:spacing w:val="-9"/>
          <w:sz w:val="24"/>
        </w:rPr>
        <w:t> </w:t>
      </w:r>
      <w:r>
        <w:rPr>
          <w:sz w:val="24"/>
        </w:rPr>
        <w:t>commission</w:t>
      </w:r>
      <w:r>
        <w:rPr>
          <w:spacing w:val="-9"/>
          <w:sz w:val="24"/>
        </w:rPr>
        <w:t> </w:t>
      </w:r>
      <w:r>
        <w:rPr>
          <w:sz w:val="24"/>
        </w:rPr>
        <w:t>and</w:t>
      </w:r>
      <w:r>
        <w:rPr>
          <w:spacing w:val="-5"/>
          <w:sz w:val="24"/>
        </w:rPr>
        <w:t> </w:t>
      </w:r>
      <w:r>
        <w:rPr>
          <w:sz w:val="24"/>
        </w:rPr>
        <w:t>deliver</w:t>
      </w:r>
      <w:r>
        <w:rPr>
          <w:spacing w:val="-10"/>
          <w:sz w:val="24"/>
        </w:rPr>
        <w:t> </w:t>
      </w:r>
      <w:r>
        <w:rPr>
          <w:sz w:val="24"/>
        </w:rPr>
        <w:t>a</w:t>
      </w:r>
      <w:r>
        <w:rPr>
          <w:spacing w:val="-9"/>
          <w:sz w:val="24"/>
        </w:rPr>
        <w:t> </w:t>
      </w:r>
      <w:r>
        <w:rPr>
          <w:sz w:val="24"/>
        </w:rPr>
        <w:t>wide</w:t>
      </w:r>
      <w:r>
        <w:rPr>
          <w:spacing w:val="-9"/>
          <w:sz w:val="24"/>
        </w:rPr>
        <w:t> </w:t>
      </w:r>
      <w:r>
        <w:rPr>
          <w:sz w:val="24"/>
        </w:rPr>
        <w:t>range</w:t>
      </w:r>
      <w:r>
        <w:rPr>
          <w:spacing w:val="-14"/>
          <w:sz w:val="24"/>
        </w:rPr>
        <w:t> </w:t>
      </w:r>
      <w:r>
        <w:rPr>
          <w:sz w:val="24"/>
        </w:rPr>
        <w:t>of</w:t>
      </w:r>
      <w:r>
        <w:rPr>
          <w:spacing w:val="-12"/>
          <w:sz w:val="24"/>
        </w:rPr>
        <w:t> </w:t>
      </w:r>
      <w:r>
        <w:rPr>
          <w:sz w:val="24"/>
        </w:rPr>
        <w:t>services-contracting</w:t>
      </w:r>
      <w:r>
        <w:rPr>
          <w:spacing w:val="-12"/>
          <w:sz w:val="24"/>
        </w:rPr>
        <w:t> </w:t>
      </w:r>
      <w:r>
        <w:rPr>
          <w:sz w:val="24"/>
        </w:rPr>
        <w:t>arrangements</w:t>
      </w:r>
      <w:r>
        <w:rPr>
          <w:spacing w:val="-13"/>
          <w:sz w:val="24"/>
        </w:rPr>
        <w:t> </w:t>
      </w:r>
      <w:r>
        <w:rPr>
          <w:sz w:val="24"/>
        </w:rPr>
        <w:t>via</w:t>
      </w:r>
      <w:r>
        <w:rPr>
          <w:spacing w:val="-7"/>
          <w:sz w:val="24"/>
        </w:rPr>
        <w:t> </w:t>
      </w:r>
      <w:r>
        <w:rPr>
          <w:sz w:val="24"/>
        </w:rPr>
        <w:t>the</w:t>
      </w:r>
      <w:r>
        <w:rPr>
          <w:spacing w:val="-12"/>
          <w:sz w:val="24"/>
        </w:rPr>
        <w:t> </w:t>
      </w:r>
      <w:r>
        <w:rPr>
          <w:sz w:val="24"/>
        </w:rPr>
        <w:t>Long</w:t>
      </w:r>
      <w:r>
        <w:rPr>
          <w:spacing w:val="-12"/>
          <w:sz w:val="24"/>
        </w:rPr>
        <w:t> </w:t>
      </w:r>
      <w:r>
        <w:rPr>
          <w:sz w:val="24"/>
        </w:rPr>
        <w:t>Terms</w:t>
      </w:r>
      <w:r>
        <w:rPr>
          <w:spacing w:val="-13"/>
          <w:sz w:val="24"/>
        </w:rPr>
        <w:t> </w:t>
      </w:r>
      <w:r>
        <w:rPr>
          <w:sz w:val="24"/>
        </w:rPr>
        <w:t>Agreements</w:t>
      </w:r>
      <w:r>
        <w:rPr>
          <w:spacing w:val="-13"/>
          <w:sz w:val="24"/>
        </w:rPr>
        <w:t> </w:t>
      </w:r>
      <w:r>
        <w:rPr>
          <w:sz w:val="24"/>
        </w:rPr>
        <w:t>(LTAs)</w:t>
      </w:r>
      <w:r>
        <w:rPr>
          <w:spacing w:val="-13"/>
          <w:sz w:val="24"/>
        </w:rPr>
        <w:t> </w:t>
      </w:r>
      <w:r>
        <w:rPr>
          <w:sz w:val="24"/>
        </w:rPr>
        <w:t>or</w:t>
      </w:r>
      <w:r>
        <w:rPr>
          <w:spacing w:val="-13"/>
          <w:sz w:val="24"/>
        </w:rPr>
        <w:t> </w:t>
      </w:r>
      <w:r>
        <w:rPr>
          <w:sz w:val="24"/>
        </w:rPr>
        <w:t>Service</w:t>
      </w:r>
      <w:r>
        <w:rPr>
          <w:spacing w:val="-12"/>
          <w:sz w:val="24"/>
        </w:rPr>
        <w:t> </w:t>
      </w:r>
      <w:r>
        <w:rPr>
          <w:sz w:val="24"/>
        </w:rPr>
        <w:t>Level Agreements</w:t>
      </w:r>
      <w:r>
        <w:rPr>
          <w:spacing w:val="-12"/>
          <w:sz w:val="24"/>
        </w:rPr>
        <w:t> </w:t>
      </w:r>
      <w:r>
        <w:rPr>
          <w:sz w:val="24"/>
        </w:rPr>
        <w:t>(SLAs)</w:t>
      </w:r>
      <w:r>
        <w:rPr>
          <w:spacing w:val="-16"/>
          <w:sz w:val="24"/>
        </w:rPr>
        <w:t> </w:t>
      </w:r>
      <w:r>
        <w:rPr>
          <w:sz w:val="24"/>
        </w:rPr>
        <w:t>on</w:t>
      </w:r>
      <w:r>
        <w:rPr>
          <w:spacing w:val="-15"/>
          <w:sz w:val="24"/>
        </w:rPr>
        <w:t> </w:t>
      </w:r>
      <w:r>
        <w:rPr>
          <w:sz w:val="24"/>
        </w:rPr>
        <w:t>a</w:t>
      </w:r>
      <w:r>
        <w:rPr>
          <w:spacing w:val="-5"/>
          <w:sz w:val="24"/>
        </w:rPr>
        <w:t> </w:t>
      </w:r>
      <w:r>
        <w:rPr>
          <w:sz w:val="24"/>
        </w:rPr>
        <w:t>regional</w:t>
      </w:r>
      <w:r>
        <w:rPr>
          <w:spacing w:val="-10"/>
          <w:sz w:val="24"/>
        </w:rPr>
        <w:t> </w:t>
      </w:r>
      <w:r>
        <w:rPr>
          <w:sz w:val="24"/>
        </w:rPr>
        <w:t>basis,</w:t>
      </w:r>
      <w:r>
        <w:rPr>
          <w:spacing w:val="-17"/>
          <w:sz w:val="24"/>
        </w:rPr>
        <w:t> </w:t>
      </w:r>
      <w:r>
        <w:rPr>
          <w:sz w:val="24"/>
        </w:rPr>
        <w:t>including</w:t>
      </w:r>
      <w:r>
        <w:rPr>
          <w:spacing w:val="-10"/>
          <w:sz w:val="24"/>
        </w:rPr>
        <w:t> </w:t>
      </w:r>
      <w:r>
        <w:rPr>
          <w:sz w:val="24"/>
        </w:rPr>
        <w:t>work</w:t>
      </w:r>
      <w:r>
        <w:rPr>
          <w:spacing w:val="-11"/>
          <w:sz w:val="24"/>
        </w:rPr>
        <w:t> </w:t>
      </w:r>
      <w:r>
        <w:rPr>
          <w:sz w:val="24"/>
        </w:rPr>
        <w:t>commissioned</w:t>
      </w:r>
      <w:r>
        <w:rPr>
          <w:spacing w:val="-10"/>
          <w:sz w:val="24"/>
        </w:rPr>
        <w:t> </w:t>
      </w:r>
      <w:r>
        <w:rPr>
          <w:sz w:val="24"/>
        </w:rPr>
        <w:t>by</w:t>
      </w:r>
      <w:r>
        <w:rPr>
          <w:spacing w:val="-6"/>
          <w:sz w:val="24"/>
        </w:rPr>
        <w:t> </w:t>
      </w:r>
      <w:r>
        <w:rPr>
          <w:sz w:val="24"/>
        </w:rPr>
        <w:t>the</w:t>
      </w:r>
      <w:r>
        <w:rPr>
          <w:spacing w:val="-10"/>
          <w:sz w:val="24"/>
        </w:rPr>
        <w:t> </w:t>
      </w:r>
      <w:r>
        <w:rPr>
          <w:sz w:val="24"/>
        </w:rPr>
        <w:t>Joint </w:t>
      </w:r>
      <w:r>
        <w:rPr>
          <w:spacing w:val="-2"/>
          <w:sz w:val="24"/>
        </w:rPr>
        <w:t>Commissioning</w:t>
      </w:r>
      <w:r>
        <w:rPr>
          <w:spacing w:val="-15"/>
          <w:sz w:val="24"/>
        </w:rPr>
        <w:t> </w:t>
      </w:r>
      <w:r>
        <w:rPr>
          <w:spacing w:val="-2"/>
          <w:sz w:val="24"/>
        </w:rPr>
        <w:t>Committee</w:t>
      </w:r>
      <w:r>
        <w:rPr>
          <w:spacing w:val="-15"/>
          <w:sz w:val="24"/>
        </w:rPr>
        <w:t> </w:t>
      </w:r>
      <w:r>
        <w:rPr>
          <w:spacing w:val="-2"/>
          <w:sz w:val="24"/>
        </w:rPr>
        <w:t>and</w:t>
      </w:r>
      <w:r>
        <w:rPr>
          <w:spacing w:val="-14"/>
          <w:sz w:val="24"/>
        </w:rPr>
        <w:t> </w:t>
      </w:r>
      <w:r>
        <w:rPr>
          <w:spacing w:val="-2"/>
          <w:sz w:val="24"/>
        </w:rPr>
        <w:t>to</w:t>
      </w:r>
      <w:r>
        <w:rPr>
          <w:spacing w:val="-15"/>
          <w:sz w:val="24"/>
        </w:rPr>
        <w:t> </w:t>
      </w:r>
      <w:r>
        <w:rPr>
          <w:spacing w:val="-2"/>
          <w:sz w:val="24"/>
        </w:rPr>
        <w:t>explore</w:t>
      </w:r>
      <w:r>
        <w:rPr>
          <w:spacing w:val="-15"/>
          <w:sz w:val="24"/>
        </w:rPr>
        <w:t> </w:t>
      </w:r>
      <w:r>
        <w:rPr>
          <w:spacing w:val="-2"/>
          <w:sz w:val="24"/>
        </w:rPr>
        <w:t>opportunities</w:t>
      </w:r>
      <w:r>
        <w:rPr>
          <w:spacing w:val="-15"/>
          <w:sz w:val="24"/>
        </w:rPr>
        <w:t> </w:t>
      </w:r>
      <w:r>
        <w:rPr>
          <w:spacing w:val="-2"/>
          <w:sz w:val="24"/>
        </w:rPr>
        <w:t>for</w:t>
      </w:r>
      <w:r>
        <w:rPr>
          <w:spacing w:val="-14"/>
          <w:sz w:val="24"/>
        </w:rPr>
        <w:t> </w:t>
      </w:r>
      <w:r>
        <w:rPr>
          <w:spacing w:val="-2"/>
          <w:sz w:val="24"/>
        </w:rPr>
        <w:t>joint</w:t>
      </w:r>
      <w:r>
        <w:rPr>
          <w:spacing w:val="-15"/>
          <w:sz w:val="24"/>
        </w:rPr>
        <w:t> </w:t>
      </w:r>
      <w:r>
        <w:rPr>
          <w:spacing w:val="-2"/>
          <w:sz w:val="24"/>
        </w:rPr>
        <w:t>commissioning</w:t>
      </w:r>
      <w:r>
        <w:rPr>
          <w:spacing w:val="-14"/>
          <w:sz w:val="24"/>
        </w:rPr>
        <w:t> </w:t>
      </w:r>
      <w:r>
        <w:rPr>
          <w:spacing w:val="-2"/>
          <w:sz w:val="24"/>
        </w:rPr>
        <w:t>from </w:t>
      </w:r>
      <w:r>
        <w:rPr>
          <w:sz w:val="24"/>
        </w:rPr>
        <w:t>other providers.</w:t>
      </w:r>
    </w:p>
    <w:p>
      <w:pPr>
        <w:pStyle w:val="BodyText"/>
      </w:pPr>
    </w:p>
    <w:p>
      <w:pPr>
        <w:pStyle w:val="ListParagraph"/>
        <w:numPr>
          <w:ilvl w:val="2"/>
          <w:numId w:val="37"/>
        </w:numPr>
        <w:tabs>
          <w:tab w:pos="1560" w:val="left" w:leader="none"/>
          <w:tab w:pos="1563" w:val="left" w:leader="none"/>
        </w:tabs>
        <w:spacing w:line="240" w:lineRule="auto" w:before="0" w:after="0"/>
        <w:ind w:left="1563" w:right="1136" w:hanging="711"/>
        <w:jc w:val="left"/>
        <w:rPr>
          <w:sz w:val="24"/>
        </w:rPr>
      </w:pPr>
      <w:r>
        <w:rPr>
          <w:spacing w:val="-2"/>
          <w:sz w:val="24"/>
        </w:rPr>
        <w:t>Seek</w:t>
      </w:r>
      <w:r>
        <w:rPr>
          <w:spacing w:val="-15"/>
          <w:sz w:val="24"/>
        </w:rPr>
        <w:t> </w:t>
      </w:r>
      <w:r>
        <w:rPr>
          <w:spacing w:val="-2"/>
          <w:sz w:val="24"/>
        </w:rPr>
        <w:t>assurance</w:t>
      </w:r>
      <w:r>
        <w:rPr>
          <w:spacing w:val="-15"/>
          <w:sz w:val="24"/>
        </w:rPr>
        <w:t> </w:t>
      </w:r>
      <w:r>
        <w:rPr>
          <w:spacing w:val="-2"/>
          <w:sz w:val="24"/>
        </w:rPr>
        <w:t>that</w:t>
      </w:r>
      <w:r>
        <w:rPr>
          <w:spacing w:val="-14"/>
          <w:sz w:val="24"/>
        </w:rPr>
        <w:t> </w:t>
      </w:r>
      <w:r>
        <w:rPr>
          <w:spacing w:val="-2"/>
          <w:sz w:val="24"/>
        </w:rPr>
        <w:t>a</w:t>
      </w:r>
      <w:r>
        <w:rPr>
          <w:spacing w:val="-15"/>
          <w:sz w:val="24"/>
        </w:rPr>
        <w:t> </w:t>
      </w:r>
      <w:r>
        <w:rPr>
          <w:spacing w:val="-2"/>
          <w:sz w:val="24"/>
        </w:rPr>
        <w:t>consistent,</w:t>
      </w:r>
      <w:r>
        <w:rPr>
          <w:spacing w:val="-15"/>
          <w:sz w:val="24"/>
        </w:rPr>
        <w:t> </w:t>
      </w:r>
      <w:r>
        <w:rPr>
          <w:spacing w:val="-2"/>
          <w:sz w:val="24"/>
        </w:rPr>
        <w:t>intelligence</w:t>
      </w:r>
      <w:r>
        <w:rPr>
          <w:rFonts w:ascii="Cambria Math" w:hAnsi="Cambria Math"/>
          <w:spacing w:val="-2"/>
          <w:sz w:val="24"/>
        </w:rPr>
        <w:t>‑</w:t>
      </w:r>
      <w:r>
        <w:rPr>
          <w:spacing w:val="-2"/>
          <w:sz w:val="24"/>
        </w:rPr>
        <w:t>led</w:t>
      </w:r>
      <w:r>
        <w:rPr>
          <w:spacing w:val="-15"/>
          <w:sz w:val="24"/>
        </w:rPr>
        <w:t> </w:t>
      </w:r>
      <w:r>
        <w:rPr>
          <w:spacing w:val="-2"/>
          <w:sz w:val="24"/>
        </w:rPr>
        <w:t>approach</w:t>
      </w:r>
      <w:r>
        <w:rPr>
          <w:spacing w:val="-14"/>
          <w:sz w:val="24"/>
        </w:rPr>
        <w:t> </w:t>
      </w:r>
      <w:r>
        <w:rPr>
          <w:spacing w:val="-2"/>
          <w:sz w:val="24"/>
        </w:rPr>
        <w:t>to</w:t>
      </w:r>
      <w:r>
        <w:rPr>
          <w:spacing w:val="-15"/>
          <w:sz w:val="24"/>
        </w:rPr>
        <w:t> </w:t>
      </w:r>
      <w:r>
        <w:rPr>
          <w:spacing w:val="-2"/>
          <w:sz w:val="24"/>
        </w:rPr>
        <w:t>regional</w:t>
      </w:r>
      <w:r>
        <w:rPr>
          <w:spacing w:val="-11"/>
          <w:sz w:val="24"/>
        </w:rPr>
        <w:t> </w:t>
      </w:r>
      <w:r>
        <w:rPr>
          <w:spacing w:val="-2"/>
          <w:sz w:val="24"/>
        </w:rPr>
        <w:t>clinical </w:t>
      </w:r>
      <w:r>
        <w:rPr>
          <w:sz w:val="24"/>
        </w:rPr>
        <w:t>service</w:t>
      </w:r>
      <w:r>
        <w:rPr>
          <w:spacing w:val="-3"/>
          <w:sz w:val="24"/>
        </w:rPr>
        <w:t> </w:t>
      </w:r>
      <w:r>
        <w:rPr>
          <w:sz w:val="24"/>
        </w:rPr>
        <w:t>planning</w:t>
      </w:r>
      <w:r>
        <w:rPr>
          <w:spacing w:val="-3"/>
          <w:sz w:val="24"/>
        </w:rPr>
        <w:t> </w:t>
      </w:r>
      <w:r>
        <w:rPr>
          <w:sz w:val="24"/>
        </w:rPr>
        <w:t>and</w:t>
      </w:r>
      <w:r>
        <w:rPr>
          <w:spacing w:val="-3"/>
          <w:sz w:val="24"/>
        </w:rPr>
        <w:t> </w:t>
      </w:r>
      <w:r>
        <w:rPr>
          <w:sz w:val="24"/>
        </w:rPr>
        <w:t>investment</w:t>
      </w:r>
      <w:r>
        <w:rPr>
          <w:spacing w:val="-6"/>
          <w:sz w:val="24"/>
        </w:rPr>
        <w:t> </w:t>
      </w:r>
      <w:r>
        <w:rPr>
          <w:sz w:val="24"/>
        </w:rPr>
        <w:t>decisions</w:t>
      </w:r>
      <w:r>
        <w:rPr>
          <w:spacing w:val="-10"/>
          <w:sz w:val="24"/>
        </w:rPr>
        <w:t> </w:t>
      </w:r>
      <w:r>
        <w:rPr>
          <w:sz w:val="24"/>
        </w:rPr>
        <w:t>is</w:t>
      </w:r>
      <w:r>
        <w:rPr>
          <w:spacing w:val="-4"/>
          <w:sz w:val="24"/>
        </w:rPr>
        <w:t> </w:t>
      </w:r>
      <w:r>
        <w:rPr>
          <w:sz w:val="24"/>
        </w:rPr>
        <w:t>in</w:t>
      </w:r>
      <w:r>
        <w:rPr>
          <w:spacing w:val="-3"/>
          <w:sz w:val="24"/>
        </w:rPr>
        <w:t> </w:t>
      </w:r>
      <w:r>
        <w:rPr>
          <w:sz w:val="24"/>
        </w:rPr>
        <w:t>place.</w:t>
      </w:r>
    </w:p>
    <w:p>
      <w:pPr>
        <w:pStyle w:val="BodyText"/>
      </w:pPr>
    </w:p>
    <w:p>
      <w:pPr>
        <w:pStyle w:val="ListParagraph"/>
        <w:numPr>
          <w:ilvl w:val="2"/>
          <w:numId w:val="37"/>
        </w:numPr>
        <w:tabs>
          <w:tab w:pos="1560" w:val="left" w:leader="none"/>
        </w:tabs>
        <w:spacing w:line="275" w:lineRule="exact" w:before="1" w:after="0"/>
        <w:ind w:left="1560" w:right="0" w:hanging="708"/>
        <w:jc w:val="left"/>
        <w:rPr>
          <w:sz w:val="24"/>
        </w:rPr>
      </w:pPr>
      <w:r>
        <w:rPr>
          <w:spacing w:val="-2"/>
          <w:sz w:val="24"/>
        </w:rPr>
        <w:t>Seek</w:t>
      </w:r>
      <w:r>
        <w:rPr>
          <w:spacing w:val="-16"/>
          <w:sz w:val="24"/>
        </w:rPr>
        <w:t> </w:t>
      </w:r>
      <w:r>
        <w:rPr>
          <w:spacing w:val="-2"/>
          <w:sz w:val="24"/>
        </w:rPr>
        <w:t>assurance</w:t>
      </w:r>
      <w:r>
        <w:rPr>
          <w:spacing w:val="-12"/>
          <w:sz w:val="24"/>
        </w:rPr>
        <w:t> </w:t>
      </w:r>
      <w:r>
        <w:rPr>
          <w:spacing w:val="-2"/>
          <w:sz w:val="24"/>
        </w:rPr>
        <w:t>that</w:t>
      </w:r>
      <w:r>
        <w:rPr>
          <w:spacing w:val="-11"/>
          <w:sz w:val="24"/>
        </w:rPr>
        <w:t> </w:t>
      </w:r>
      <w:r>
        <w:rPr>
          <w:spacing w:val="-2"/>
          <w:sz w:val="24"/>
        </w:rPr>
        <w:t>the</w:t>
      </w:r>
      <w:r>
        <w:rPr>
          <w:spacing w:val="-12"/>
          <w:sz w:val="24"/>
        </w:rPr>
        <w:t> </w:t>
      </w:r>
      <w:r>
        <w:rPr>
          <w:spacing w:val="-2"/>
          <w:sz w:val="24"/>
        </w:rPr>
        <w:t>Health</w:t>
      </w:r>
      <w:r>
        <w:rPr>
          <w:spacing w:val="-11"/>
          <w:sz w:val="24"/>
        </w:rPr>
        <w:t> </w:t>
      </w:r>
      <w:r>
        <w:rPr>
          <w:spacing w:val="-2"/>
          <w:sz w:val="24"/>
        </w:rPr>
        <w:t>Boards</w:t>
      </w:r>
      <w:r>
        <w:rPr>
          <w:spacing w:val="-13"/>
          <w:sz w:val="24"/>
        </w:rPr>
        <w:t> </w:t>
      </w:r>
      <w:r>
        <w:rPr>
          <w:spacing w:val="-2"/>
          <w:sz w:val="24"/>
        </w:rPr>
        <w:t>Clinical</w:t>
      </w:r>
      <w:r>
        <w:rPr>
          <w:spacing w:val="-13"/>
          <w:sz w:val="24"/>
        </w:rPr>
        <w:t> </w:t>
      </w:r>
      <w:r>
        <w:rPr>
          <w:spacing w:val="-2"/>
          <w:sz w:val="24"/>
        </w:rPr>
        <w:t>Services</w:t>
      </w:r>
      <w:r>
        <w:rPr>
          <w:spacing w:val="-13"/>
          <w:sz w:val="24"/>
        </w:rPr>
        <w:t> </w:t>
      </w:r>
      <w:r>
        <w:rPr>
          <w:spacing w:val="-2"/>
          <w:sz w:val="24"/>
        </w:rPr>
        <w:t>Strategic</w:t>
      </w:r>
      <w:r>
        <w:rPr>
          <w:spacing w:val="-14"/>
          <w:sz w:val="24"/>
        </w:rPr>
        <w:t> </w:t>
      </w:r>
      <w:r>
        <w:rPr>
          <w:spacing w:val="-2"/>
          <w:sz w:val="24"/>
        </w:rPr>
        <w:t>Plans</w:t>
      </w:r>
      <w:r>
        <w:rPr>
          <w:spacing w:val="-13"/>
          <w:sz w:val="24"/>
        </w:rPr>
        <w:t> </w:t>
      </w:r>
      <w:r>
        <w:rPr>
          <w:spacing w:val="-2"/>
          <w:sz w:val="24"/>
        </w:rPr>
        <w:t>are</w:t>
      </w:r>
      <w:r>
        <w:rPr>
          <w:spacing w:val="-12"/>
          <w:sz w:val="24"/>
        </w:rPr>
        <w:t> </w:t>
      </w:r>
      <w:r>
        <w:rPr>
          <w:spacing w:val="-2"/>
          <w:sz w:val="24"/>
        </w:rPr>
        <w:t>aligned</w:t>
      </w:r>
    </w:p>
    <w:p>
      <w:pPr>
        <w:pStyle w:val="BodyText"/>
        <w:spacing w:line="275" w:lineRule="exact"/>
        <w:ind w:left="1563"/>
      </w:pPr>
      <w:r>
        <w:rPr>
          <w:spacing w:val="-2"/>
        </w:rPr>
        <w:t>in</w:t>
      </w:r>
      <w:r>
        <w:rPr>
          <w:spacing w:val="-17"/>
        </w:rPr>
        <w:t> </w:t>
      </w:r>
      <w:r>
        <w:rPr>
          <w:spacing w:val="-2"/>
        </w:rPr>
        <w:t>line</w:t>
      </w:r>
      <w:r>
        <w:rPr>
          <w:spacing w:val="-15"/>
        </w:rPr>
        <w:t> </w:t>
      </w:r>
      <w:r>
        <w:rPr>
          <w:spacing w:val="-2"/>
        </w:rPr>
        <w:t>with</w:t>
      </w:r>
      <w:r>
        <w:rPr>
          <w:spacing w:val="-11"/>
        </w:rPr>
        <w:t> </w:t>
      </w:r>
      <w:r>
        <w:rPr>
          <w:spacing w:val="-2"/>
        </w:rPr>
        <w:t>Ministerial</w:t>
      </w:r>
      <w:r>
        <w:rPr>
          <w:spacing w:val="-11"/>
        </w:rPr>
        <w:t> </w:t>
      </w:r>
      <w:r>
        <w:rPr>
          <w:spacing w:val="-2"/>
        </w:rPr>
        <w:t>Priorities</w:t>
      </w:r>
      <w:r>
        <w:rPr>
          <w:spacing w:val="-15"/>
        </w:rPr>
        <w:t> </w:t>
      </w:r>
      <w:r>
        <w:rPr>
          <w:spacing w:val="-2"/>
        </w:rPr>
        <w:t>in</w:t>
      </w:r>
      <w:r>
        <w:rPr>
          <w:spacing w:val="-11"/>
        </w:rPr>
        <w:t> </w:t>
      </w:r>
      <w:r>
        <w:rPr>
          <w:spacing w:val="-2"/>
        </w:rPr>
        <w:t>delivering</w:t>
      </w:r>
      <w:r>
        <w:rPr>
          <w:spacing w:val="-15"/>
        </w:rPr>
        <w:t> </w:t>
      </w:r>
      <w:r>
        <w:rPr>
          <w:spacing w:val="-2"/>
        </w:rPr>
        <w:t>‘A</w:t>
      </w:r>
      <w:r>
        <w:rPr>
          <w:spacing w:val="-12"/>
        </w:rPr>
        <w:t> </w:t>
      </w:r>
      <w:r>
        <w:rPr>
          <w:spacing w:val="-2"/>
        </w:rPr>
        <w:t>Healthier</w:t>
      </w:r>
      <w:r>
        <w:rPr>
          <w:spacing w:val="-11"/>
        </w:rPr>
        <w:t> </w:t>
      </w:r>
      <w:r>
        <w:rPr>
          <w:spacing w:val="-2"/>
        </w:rPr>
        <w:t>Wales’.</w:t>
      </w:r>
    </w:p>
    <w:p>
      <w:pPr>
        <w:pStyle w:val="BodyText"/>
        <w:spacing w:before="2"/>
      </w:pPr>
    </w:p>
    <w:p>
      <w:pPr>
        <w:pStyle w:val="ListParagraph"/>
        <w:numPr>
          <w:ilvl w:val="2"/>
          <w:numId w:val="37"/>
        </w:numPr>
        <w:tabs>
          <w:tab w:pos="1560" w:val="left" w:leader="none"/>
          <w:tab w:pos="1563" w:val="left" w:leader="none"/>
        </w:tabs>
        <w:spacing w:line="240" w:lineRule="auto" w:before="1" w:after="0"/>
        <w:ind w:left="1563" w:right="604" w:hanging="711"/>
        <w:jc w:val="left"/>
        <w:rPr>
          <w:sz w:val="24"/>
        </w:rPr>
      </w:pPr>
      <w:r>
        <w:rPr>
          <w:spacing w:val="-2"/>
          <w:sz w:val="24"/>
        </w:rPr>
        <w:t>Seek</w:t>
      </w:r>
      <w:r>
        <w:rPr>
          <w:spacing w:val="-15"/>
          <w:sz w:val="24"/>
        </w:rPr>
        <w:t> </w:t>
      </w:r>
      <w:r>
        <w:rPr>
          <w:spacing w:val="-2"/>
          <w:sz w:val="24"/>
        </w:rPr>
        <w:t>assurance</w:t>
      </w:r>
      <w:r>
        <w:rPr>
          <w:spacing w:val="-15"/>
          <w:sz w:val="24"/>
        </w:rPr>
        <w:t> </w:t>
      </w:r>
      <w:r>
        <w:rPr>
          <w:spacing w:val="-2"/>
          <w:sz w:val="24"/>
        </w:rPr>
        <w:t>that</w:t>
      </w:r>
      <w:r>
        <w:rPr>
          <w:spacing w:val="-14"/>
          <w:sz w:val="24"/>
        </w:rPr>
        <w:t> </w:t>
      </w:r>
      <w:r>
        <w:rPr>
          <w:spacing w:val="-2"/>
          <w:sz w:val="24"/>
        </w:rPr>
        <w:t>regional</w:t>
      </w:r>
      <w:r>
        <w:rPr>
          <w:spacing w:val="-13"/>
          <w:sz w:val="24"/>
        </w:rPr>
        <w:t> </w:t>
      </w:r>
      <w:r>
        <w:rPr>
          <w:spacing w:val="-2"/>
          <w:sz w:val="24"/>
        </w:rPr>
        <w:t>Cellular</w:t>
      </w:r>
      <w:r>
        <w:rPr>
          <w:spacing w:val="-14"/>
          <w:sz w:val="24"/>
        </w:rPr>
        <w:t> </w:t>
      </w:r>
      <w:r>
        <w:rPr>
          <w:spacing w:val="-2"/>
          <w:sz w:val="24"/>
        </w:rPr>
        <w:t>Pathology</w:t>
      </w:r>
      <w:r>
        <w:rPr>
          <w:spacing w:val="-9"/>
          <w:sz w:val="24"/>
        </w:rPr>
        <w:t> </w:t>
      </w:r>
      <w:r>
        <w:rPr>
          <w:spacing w:val="-2"/>
          <w:sz w:val="24"/>
        </w:rPr>
        <w:t>and</w:t>
      </w:r>
      <w:r>
        <w:rPr>
          <w:spacing w:val="-15"/>
          <w:sz w:val="24"/>
        </w:rPr>
        <w:t> </w:t>
      </w:r>
      <w:r>
        <w:rPr>
          <w:spacing w:val="-2"/>
          <w:sz w:val="24"/>
        </w:rPr>
        <w:t>SWW</w:t>
      </w:r>
      <w:r>
        <w:rPr>
          <w:spacing w:val="-15"/>
          <w:sz w:val="24"/>
        </w:rPr>
        <w:t> </w:t>
      </w:r>
      <w:r>
        <w:rPr>
          <w:spacing w:val="-2"/>
          <w:sz w:val="24"/>
        </w:rPr>
        <w:t>Cancer</w:t>
      </w:r>
      <w:r>
        <w:rPr>
          <w:spacing w:val="-13"/>
          <w:sz w:val="24"/>
        </w:rPr>
        <w:t> </w:t>
      </w:r>
      <w:r>
        <w:rPr>
          <w:spacing w:val="-2"/>
          <w:sz w:val="24"/>
        </w:rPr>
        <w:t>capital</w:t>
      </w:r>
      <w:r>
        <w:rPr>
          <w:spacing w:val="-13"/>
          <w:sz w:val="24"/>
        </w:rPr>
        <w:t> </w:t>
      </w:r>
      <w:r>
        <w:rPr>
          <w:spacing w:val="-2"/>
          <w:sz w:val="24"/>
        </w:rPr>
        <w:t>planning </w:t>
      </w:r>
      <w:r>
        <w:rPr>
          <w:sz w:val="24"/>
        </w:rPr>
        <w:t>programmes</w:t>
      </w:r>
      <w:r>
        <w:rPr>
          <w:spacing w:val="-10"/>
          <w:sz w:val="24"/>
        </w:rPr>
        <w:t> </w:t>
      </w:r>
      <w:r>
        <w:rPr>
          <w:sz w:val="24"/>
        </w:rPr>
        <w:t>are</w:t>
      </w:r>
      <w:r>
        <w:rPr>
          <w:spacing w:val="-9"/>
          <w:sz w:val="24"/>
        </w:rPr>
        <w:t> </w:t>
      </w:r>
      <w:r>
        <w:rPr>
          <w:sz w:val="24"/>
        </w:rPr>
        <w:t>delivered</w:t>
      </w:r>
      <w:r>
        <w:rPr>
          <w:spacing w:val="-9"/>
          <w:sz w:val="24"/>
        </w:rPr>
        <w:t> </w:t>
      </w:r>
      <w:r>
        <w:rPr>
          <w:sz w:val="24"/>
        </w:rPr>
        <w:t>to</w:t>
      </w:r>
      <w:r>
        <w:rPr>
          <w:spacing w:val="-9"/>
          <w:sz w:val="24"/>
        </w:rPr>
        <w:t> </w:t>
      </w:r>
      <w:r>
        <w:rPr>
          <w:sz w:val="24"/>
        </w:rPr>
        <w:t>plan</w:t>
      </w:r>
      <w:r>
        <w:rPr>
          <w:spacing w:val="-13"/>
          <w:sz w:val="24"/>
        </w:rPr>
        <w:t> </w:t>
      </w:r>
      <w:r>
        <w:rPr>
          <w:sz w:val="24"/>
        </w:rPr>
        <w:t>and</w:t>
      </w:r>
      <w:r>
        <w:rPr>
          <w:spacing w:val="-9"/>
          <w:sz w:val="24"/>
        </w:rPr>
        <w:t> </w:t>
      </w:r>
      <w:r>
        <w:rPr>
          <w:sz w:val="24"/>
        </w:rPr>
        <w:t>cost,</w:t>
      </w:r>
      <w:r>
        <w:rPr>
          <w:spacing w:val="-16"/>
          <w:sz w:val="24"/>
        </w:rPr>
        <w:t> </w:t>
      </w:r>
      <w:r>
        <w:rPr>
          <w:sz w:val="24"/>
        </w:rPr>
        <w:t>aligned</w:t>
      </w:r>
      <w:r>
        <w:rPr>
          <w:spacing w:val="-13"/>
          <w:sz w:val="24"/>
        </w:rPr>
        <w:t> </w:t>
      </w:r>
      <w:r>
        <w:rPr>
          <w:sz w:val="24"/>
        </w:rPr>
        <w:t>with</w:t>
      </w:r>
      <w:r>
        <w:rPr>
          <w:spacing w:val="-9"/>
          <w:sz w:val="24"/>
        </w:rPr>
        <w:t> </w:t>
      </w:r>
      <w:r>
        <w:rPr>
          <w:sz w:val="24"/>
        </w:rPr>
        <w:t>and</w:t>
      </w:r>
      <w:r>
        <w:rPr>
          <w:spacing w:val="-9"/>
          <w:sz w:val="24"/>
        </w:rPr>
        <w:t> </w:t>
      </w:r>
      <w:r>
        <w:rPr>
          <w:sz w:val="24"/>
        </w:rPr>
        <w:t>deliver</w:t>
      </w:r>
      <w:r>
        <w:rPr>
          <w:spacing w:val="-10"/>
          <w:sz w:val="24"/>
        </w:rPr>
        <w:t> </w:t>
      </w:r>
      <w:r>
        <w:rPr>
          <w:sz w:val="24"/>
        </w:rPr>
        <w:t>regional priorities,</w:t>
      </w:r>
      <w:r>
        <w:rPr>
          <w:spacing w:val="-17"/>
          <w:sz w:val="24"/>
        </w:rPr>
        <w:t> </w:t>
      </w:r>
      <w:r>
        <w:rPr>
          <w:sz w:val="24"/>
        </w:rPr>
        <w:t>efficiency</w:t>
      </w:r>
      <w:r>
        <w:rPr>
          <w:spacing w:val="-17"/>
          <w:sz w:val="24"/>
        </w:rPr>
        <w:t> </w:t>
      </w:r>
      <w:r>
        <w:rPr>
          <w:sz w:val="24"/>
        </w:rPr>
        <w:t>gains,</w:t>
      </w:r>
      <w:r>
        <w:rPr>
          <w:spacing w:val="-16"/>
          <w:sz w:val="24"/>
        </w:rPr>
        <w:t> </w:t>
      </w:r>
      <w:r>
        <w:rPr>
          <w:sz w:val="24"/>
        </w:rPr>
        <w:t>and</w:t>
      </w:r>
      <w:r>
        <w:rPr>
          <w:spacing w:val="-17"/>
          <w:sz w:val="24"/>
        </w:rPr>
        <w:t> </w:t>
      </w:r>
      <w:r>
        <w:rPr>
          <w:sz w:val="24"/>
        </w:rPr>
        <w:t>positively</w:t>
      </w:r>
      <w:r>
        <w:rPr>
          <w:spacing w:val="-17"/>
          <w:sz w:val="24"/>
        </w:rPr>
        <w:t> </w:t>
      </w:r>
      <w:r>
        <w:rPr>
          <w:sz w:val="24"/>
        </w:rPr>
        <w:t>impact</w:t>
      </w:r>
      <w:r>
        <w:rPr>
          <w:spacing w:val="-17"/>
          <w:sz w:val="24"/>
        </w:rPr>
        <w:t> </w:t>
      </w:r>
      <w:r>
        <w:rPr>
          <w:sz w:val="24"/>
        </w:rPr>
        <w:t>on</w:t>
      </w:r>
      <w:r>
        <w:rPr>
          <w:spacing w:val="-16"/>
          <w:sz w:val="24"/>
        </w:rPr>
        <w:t> </w:t>
      </w:r>
      <w:r>
        <w:rPr>
          <w:sz w:val="24"/>
        </w:rPr>
        <w:t>patient</w:t>
      </w:r>
      <w:r>
        <w:rPr>
          <w:spacing w:val="-17"/>
          <w:sz w:val="24"/>
        </w:rPr>
        <w:t> </w:t>
      </w:r>
      <w:r>
        <w:rPr>
          <w:sz w:val="24"/>
        </w:rPr>
        <w:t>services</w:t>
      </w:r>
      <w:r>
        <w:rPr>
          <w:spacing w:val="-17"/>
          <w:sz w:val="24"/>
        </w:rPr>
        <w:t> </w:t>
      </w:r>
      <w:r>
        <w:rPr>
          <w:sz w:val="24"/>
        </w:rPr>
        <w:t>and</w:t>
      </w:r>
      <w:r>
        <w:rPr>
          <w:spacing w:val="-16"/>
          <w:sz w:val="24"/>
        </w:rPr>
        <w:t> </w:t>
      </w:r>
      <w:r>
        <w:rPr>
          <w:sz w:val="24"/>
        </w:rPr>
        <w:t>outcomes.</w:t>
      </w:r>
    </w:p>
    <w:p>
      <w:pPr>
        <w:pStyle w:val="BodyText"/>
        <w:spacing w:before="1"/>
      </w:pPr>
    </w:p>
    <w:p>
      <w:pPr>
        <w:numPr>
          <w:ilvl w:val="1"/>
          <w:numId w:val="37"/>
        </w:numPr>
        <w:tabs>
          <w:tab w:pos="852" w:val="left" w:leader="none"/>
        </w:tabs>
        <w:spacing w:before="0"/>
        <w:ind w:left="852" w:right="0" w:hanging="710"/>
        <w:jc w:val="left"/>
        <w:rPr>
          <w:b/>
          <w:sz w:val="24"/>
        </w:rPr>
      </w:pPr>
      <w:r>
        <w:rPr>
          <w:b/>
          <w:spacing w:val="-4"/>
          <w:sz w:val="24"/>
        </w:rPr>
        <w:t>Research,</w:t>
      </w:r>
      <w:r>
        <w:rPr>
          <w:b/>
          <w:spacing w:val="1"/>
          <w:sz w:val="24"/>
        </w:rPr>
        <w:t> </w:t>
      </w:r>
      <w:r>
        <w:rPr>
          <w:b/>
          <w:spacing w:val="-4"/>
          <w:sz w:val="24"/>
        </w:rPr>
        <w:t>Innovation</w:t>
      </w:r>
      <w:r>
        <w:rPr>
          <w:b/>
          <w:spacing w:val="-3"/>
          <w:sz w:val="24"/>
        </w:rPr>
        <w:t> </w:t>
      </w:r>
      <w:r>
        <w:rPr>
          <w:b/>
          <w:spacing w:val="-4"/>
          <w:sz w:val="24"/>
        </w:rPr>
        <w:t>and</w:t>
      </w:r>
      <w:r>
        <w:rPr>
          <w:b/>
          <w:spacing w:val="-2"/>
          <w:sz w:val="24"/>
        </w:rPr>
        <w:t> </w:t>
      </w:r>
      <w:r>
        <w:rPr>
          <w:b/>
          <w:spacing w:val="-4"/>
          <w:sz w:val="24"/>
        </w:rPr>
        <w:t>Excellence</w:t>
      </w:r>
    </w:p>
    <w:p>
      <w:pPr>
        <w:pStyle w:val="ListParagraph"/>
        <w:numPr>
          <w:ilvl w:val="2"/>
          <w:numId w:val="37"/>
        </w:numPr>
        <w:tabs>
          <w:tab w:pos="1563" w:val="left" w:leader="none"/>
        </w:tabs>
        <w:spacing w:line="240" w:lineRule="auto" w:before="274" w:after="0"/>
        <w:ind w:left="1563" w:right="444" w:hanging="721"/>
        <w:jc w:val="left"/>
        <w:rPr>
          <w:sz w:val="24"/>
        </w:rPr>
      </w:pPr>
      <w:r>
        <w:rPr>
          <w:spacing w:val="-2"/>
          <w:sz w:val="24"/>
        </w:rPr>
        <w:t>Drive</w:t>
      </w:r>
      <w:r>
        <w:rPr>
          <w:spacing w:val="-11"/>
          <w:sz w:val="24"/>
        </w:rPr>
        <w:t> </w:t>
      </w:r>
      <w:r>
        <w:rPr>
          <w:spacing w:val="-2"/>
          <w:sz w:val="24"/>
        </w:rPr>
        <w:t>research,</w:t>
      </w:r>
      <w:r>
        <w:rPr>
          <w:spacing w:val="-13"/>
          <w:sz w:val="24"/>
        </w:rPr>
        <w:t> </w:t>
      </w:r>
      <w:r>
        <w:rPr>
          <w:spacing w:val="-2"/>
          <w:sz w:val="24"/>
        </w:rPr>
        <w:t>innovation,</w:t>
      </w:r>
      <w:r>
        <w:rPr>
          <w:spacing w:val="-12"/>
          <w:sz w:val="24"/>
        </w:rPr>
        <w:t> </w:t>
      </w:r>
      <w:r>
        <w:rPr>
          <w:spacing w:val="-2"/>
          <w:sz w:val="24"/>
        </w:rPr>
        <w:t>excellence,</w:t>
      </w:r>
      <w:r>
        <w:rPr>
          <w:spacing w:val="-13"/>
          <w:sz w:val="24"/>
        </w:rPr>
        <w:t> </w:t>
      </w:r>
      <w:r>
        <w:rPr>
          <w:spacing w:val="-2"/>
          <w:sz w:val="24"/>
        </w:rPr>
        <w:t>and</w:t>
      </w:r>
      <w:r>
        <w:rPr>
          <w:spacing w:val="-6"/>
          <w:sz w:val="24"/>
        </w:rPr>
        <w:t> </w:t>
      </w:r>
      <w:r>
        <w:rPr>
          <w:spacing w:val="-2"/>
          <w:sz w:val="24"/>
        </w:rPr>
        <w:t>training</w:t>
      </w:r>
      <w:r>
        <w:rPr>
          <w:spacing w:val="-15"/>
          <w:sz w:val="24"/>
        </w:rPr>
        <w:t> </w:t>
      </w:r>
      <w:r>
        <w:rPr>
          <w:spacing w:val="-2"/>
          <w:sz w:val="24"/>
        </w:rPr>
        <w:t>opportunities</w:t>
      </w:r>
      <w:r>
        <w:rPr>
          <w:spacing w:val="-11"/>
          <w:sz w:val="24"/>
        </w:rPr>
        <w:t> </w:t>
      </w:r>
      <w:r>
        <w:rPr>
          <w:spacing w:val="-2"/>
          <w:sz w:val="24"/>
        </w:rPr>
        <w:t>across</w:t>
      </w:r>
      <w:r>
        <w:rPr>
          <w:spacing w:val="-7"/>
          <w:sz w:val="24"/>
        </w:rPr>
        <w:t> </w:t>
      </w:r>
      <w:r>
        <w:rPr>
          <w:spacing w:val="-2"/>
          <w:sz w:val="24"/>
        </w:rPr>
        <w:t>the</w:t>
      </w:r>
      <w:r>
        <w:rPr>
          <w:spacing w:val="-11"/>
          <w:sz w:val="24"/>
        </w:rPr>
        <w:t> </w:t>
      </w:r>
      <w:r>
        <w:rPr>
          <w:spacing w:val="-2"/>
          <w:sz w:val="24"/>
        </w:rPr>
        <w:t>regional </w:t>
      </w:r>
      <w:r>
        <w:rPr>
          <w:sz w:val="24"/>
        </w:rPr>
        <w:t>health</w:t>
      </w:r>
      <w:r>
        <w:rPr>
          <w:spacing w:val="-13"/>
          <w:sz w:val="24"/>
        </w:rPr>
        <w:t> </w:t>
      </w:r>
      <w:r>
        <w:rPr>
          <w:sz w:val="24"/>
        </w:rPr>
        <w:t>economy</w:t>
      </w:r>
      <w:r>
        <w:rPr>
          <w:spacing w:val="-10"/>
          <w:sz w:val="24"/>
        </w:rPr>
        <w:t> </w:t>
      </w:r>
      <w:r>
        <w:rPr>
          <w:sz w:val="24"/>
        </w:rPr>
        <w:t>through</w:t>
      </w:r>
      <w:r>
        <w:rPr>
          <w:spacing w:val="-13"/>
          <w:sz w:val="24"/>
        </w:rPr>
        <w:t> </w:t>
      </w:r>
      <w:r>
        <w:rPr>
          <w:sz w:val="24"/>
        </w:rPr>
        <w:t>working</w:t>
      </w:r>
      <w:r>
        <w:rPr>
          <w:spacing w:val="-13"/>
          <w:sz w:val="24"/>
        </w:rPr>
        <w:t> </w:t>
      </w:r>
      <w:r>
        <w:rPr>
          <w:sz w:val="24"/>
        </w:rPr>
        <w:t>with</w:t>
      </w:r>
      <w:r>
        <w:rPr>
          <w:spacing w:val="-13"/>
          <w:sz w:val="24"/>
        </w:rPr>
        <w:t> </w:t>
      </w:r>
      <w:r>
        <w:rPr>
          <w:sz w:val="24"/>
        </w:rPr>
        <w:t>all</w:t>
      </w:r>
      <w:r>
        <w:rPr>
          <w:spacing w:val="-13"/>
          <w:sz w:val="24"/>
        </w:rPr>
        <w:t> </w:t>
      </w:r>
      <w:r>
        <w:rPr>
          <w:sz w:val="24"/>
        </w:rPr>
        <w:t>Universities</w:t>
      </w:r>
      <w:r>
        <w:rPr>
          <w:spacing w:val="-14"/>
          <w:sz w:val="24"/>
        </w:rPr>
        <w:t> </w:t>
      </w:r>
      <w:r>
        <w:rPr>
          <w:sz w:val="24"/>
        </w:rPr>
        <w:t>within</w:t>
      </w:r>
      <w:r>
        <w:rPr>
          <w:spacing w:val="-9"/>
          <w:sz w:val="24"/>
        </w:rPr>
        <w:t> </w:t>
      </w:r>
      <w:r>
        <w:rPr>
          <w:sz w:val="24"/>
        </w:rPr>
        <w:t>the</w:t>
      </w:r>
      <w:r>
        <w:rPr>
          <w:spacing w:val="-13"/>
          <w:sz w:val="24"/>
        </w:rPr>
        <w:t> </w:t>
      </w:r>
      <w:r>
        <w:rPr>
          <w:sz w:val="24"/>
        </w:rPr>
        <w:t>region</w:t>
      </w:r>
      <w:r>
        <w:rPr>
          <w:spacing w:val="-13"/>
          <w:sz w:val="24"/>
        </w:rPr>
        <w:t> </w:t>
      </w:r>
      <w:r>
        <w:rPr>
          <w:sz w:val="24"/>
        </w:rPr>
        <w:t>and</w:t>
      </w:r>
      <w:r>
        <w:rPr>
          <w:spacing w:val="-9"/>
          <w:sz w:val="24"/>
        </w:rPr>
        <w:t> </w:t>
      </w:r>
      <w:r>
        <w:rPr>
          <w:sz w:val="24"/>
        </w:rPr>
        <w:t>consider </w:t>
      </w:r>
      <w:r>
        <w:rPr>
          <w:spacing w:val="-2"/>
          <w:sz w:val="24"/>
        </w:rPr>
        <w:t>partnership</w:t>
      </w:r>
      <w:r>
        <w:rPr>
          <w:spacing w:val="-15"/>
          <w:sz w:val="24"/>
        </w:rPr>
        <w:t> </w:t>
      </w:r>
      <w:r>
        <w:rPr>
          <w:spacing w:val="-2"/>
          <w:sz w:val="24"/>
        </w:rPr>
        <w:t>with</w:t>
      </w:r>
      <w:r>
        <w:rPr>
          <w:spacing w:val="-15"/>
          <w:sz w:val="24"/>
        </w:rPr>
        <w:t> </w:t>
      </w:r>
      <w:r>
        <w:rPr>
          <w:spacing w:val="-2"/>
          <w:sz w:val="24"/>
        </w:rPr>
        <w:t>other</w:t>
      </w:r>
      <w:r>
        <w:rPr>
          <w:spacing w:val="-11"/>
          <w:sz w:val="24"/>
        </w:rPr>
        <w:t> </w:t>
      </w:r>
      <w:r>
        <w:rPr>
          <w:spacing w:val="-2"/>
          <w:sz w:val="24"/>
        </w:rPr>
        <w:t>Universities,</w:t>
      </w:r>
      <w:r>
        <w:rPr>
          <w:spacing w:val="-14"/>
          <w:sz w:val="24"/>
        </w:rPr>
        <w:t> </w:t>
      </w:r>
      <w:r>
        <w:rPr>
          <w:spacing w:val="-2"/>
          <w:sz w:val="24"/>
        </w:rPr>
        <w:t>outside</w:t>
      </w:r>
      <w:r>
        <w:rPr>
          <w:spacing w:val="-11"/>
          <w:sz w:val="24"/>
        </w:rPr>
        <w:t> </w:t>
      </w:r>
      <w:r>
        <w:rPr>
          <w:spacing w:val="-2"/>
          <w:sz w:val="24"/>
        </w:rPr>
        <w:t>of</w:t>
      </w:r>
      <w:r>
        <w:rPr>
          <w:spacing w:val="-14"/>
          <w:sz w:val="24"/>
        </w:rPr>
        <w:t> </w:t>
      </w:r>
      <w:r>
        <w:rPr>
          <w:spacing w:val="-2"/>
          <w:sz w:val="24"/>
        </w:rPr>
        <w:t>the</w:t>
      </w:r>
      <w:r>
        <w:rPr>
          <w:spacing w:val="-6"/>
          <w:sz w:val="24"/>
        </w:rPr>
        <w:t> </w:t>
      </w:r>
      <w:r>
        <w:rPr>
          <w:spacing w:val="-2"/>
          <w:sz w:val="24"/>
        </w:rPr>
        <w:t>region,</w:t>
      </w:r>
      <w:r>
        <w:rPr>
          <w:spacing w:val="-15"/>
          <w:sz w:val="24"/>
        </w:rPr>
        <w:t> </w:t>
      </w:r>
      <w:r>
        <w:rPr>
          <w:spacing w:val="-2"/>
          <w:sz w:val="24"/>
        </w:rPr>
        <w:t>where</w:t>
      </w:r>
      <w:r>
        <w:rPr>
          <w:spacing w:val="-6"/>
          <w:sz w:val="24"/>
        </w:rPr>
        <w:t> </w:t>
      </w:r>
      <w:r>
        <w:rPr>
          <w:spacing w:val="-2"/>
          <w:sz w:val="24"/>
        </w:rPr>
        <w:t>there</w:t>
      </w:r>
      <w:r>
        <w:rPr>
          <w:spacing w:val="-11"/>
          <w:sz w:val="24"/>
        </w:rPr>
        <w:t> </w:t>
      </w:r>
      <w:r>
        <w:rPr>
          <w:spacing w:val="-2"/>
          <w:sz w:val="24"/>
        </w:rPr>
        <w:t>is</w:t>
      </w:r>
      <w:r>
        <w:rPr>
          <w:spacing w:val="-12"/>
          <w:sz w:val="24"/>
        </w:rPr>
        <w:t> </w:t>
      </w:r>
      <w:r>
        <w:rPr>
          <w:spacing w:val="-2"/>
          <w:sz w:val="24"/>
        </w:rPr>
        <w:t>benefit</w:t>
      </w:r>
      <w:r>
        <w:rPr>
          <w:spacing w:val="-9"/>
          <w:sz w:val="24"/>
        </w:rPr>
        <w:t> </w:t>
      </w:r>
      <w:r>
        <w:rPr>
          <w:spacing w:val="-2"/>
          <w:sz w:val="24"/>
        </w:rPr>
        <w:t>to</w:t>
      </w:r>
      <w:r>
        <w:rPr>
          <w:spacing w:val="-15"/>
          <w:sz w:val="24"/>
        </w:rPr>
        <w:t> </w:t>
      </w:r>
      <w:r>
        <w:rPr>
          <w:spacing w:val="-2"/>
          <w:sz w:val="24"/>
        </w:rPr>
        <w:t>our population.</w:t>
      </w:r>
    </w:p>
    <w:p>
      <w:pPr>
        <w:pStyle w:val="BodyText"/>
        <w:spacing w:before="1"/>
      </w:pPr>
    </w:p>
    <w:p>
      <w:pPr>
        <w:pStyle w:val="ListParagraph"/>
        <w:numPr>
          <w:ilvl w:val="2"/>
          <w:numId w:val="37"/>
        </w:numPr>
        <w:tabs>
          <w:tab w:pos="1563" w:val="left" w:leader="none"/>
        </w:tabs>
        <w:spacing w:line="240" w:lineRule="auto" w:before="0" w:after="0"/>
        <w:ind w:left="1563" w:right="544" w:hanging="721"/>
        <w:jc w:val="left"/>
        <w:rPr>
          <w:sz w:val="24"/>
        </w:rPr>
      </w:pPr>
      <w:r>
        <w:rPr>
          <w:sz w:val="24"/>
        </w:rPr>
        <w:t>Develop</w:t>
      </w:r>
      <w:r>
        <w:rPr>
          <w:spacing w:val="-11"/>
          <w:sz w:val="24"/>
        </w:rPr>
        <w:t> </w:t>
      </w:r>
      <w:r>
        <w:rPr>
          <w:sz w:val="24"/>
        </w:rPr>
        <w:t>a</w:t>
      </w:r>
      <w:r>
        <w:rPr>
          <w:spacing w:val="-11"/>
          <w:sz w:val="24"/>
        </w:rPr>
        <w:t> </w:t>
      </w:r>
      <w:r>
        <w:rPr>
          <w:sz w:val="24"/>
        </w:rPr>
        <w:t>joint</w:t>
      </w:r>
      <w:r>
        <w:rPr>
          <w:spacing w:val="-14"/>
          <w:sz w:val="24"/>
        </w:rPr>
        <w:t> </w:t>
      </w:r>
      <w:r>
        <w:rPr>
          <w:sz w:val="24"/>
        </w:rPr>
        <w:t>research</w:t>
      </w:r>
      <w:r>
        <w:rPr>
          <w:spacing w:val="-11"/>
          <w:sz w:val="24"/>
        </w:rPr>
        <w:t> </w:t>
      </w:r>
      <w:r>
        <w:rPr>
          <w:sz w:val="24"/>
        </w:rPr>
        <w:t>development</w:t>
      </w:r>
      <w:r>
        <w:rPr>
          <w:spacing w:val="-14"/>
          <w:sz w:val="24"/>
        </w:rPr>
        <w:t> </w:t>
      </w:r>
      <w:r>
        <w:rPr>
          <w:sz w:val="24"/>
        </w:rPr>
        <w:t>and</w:t>
      </w:r>
      <w:r>
        <w:rPr>
          <w:spacing w:val="-11"/>
          <w:sz w:val="24"/>
        </w:rPr>
        <w:t> </w:t>
      </w:r>
      <w:r>
        <w:rPr>
          <w:sz w:val="24"/>
        </w:rPr>
        <w:t>innovation</w:t>
      </w:r>
      <w:r>
        <w:rPr>
          <w:spacing w:val="-11"/>
          <w:sz w:val="24"/>
        </w:rPr>
        <w:t> </w:t>
      </w:r>
      <w:r>
        <w:rPr>
          <w:sz w:val="24"/>
        </w:rPr>
        <w:t>strategic</w:t>
      </w:r>
      <w:r>
        <w:rPr>
          <w:spacing w:val="-12"/>
          <w:sz w:val="24"/>
        </w:rPr>
        <w:t> </w:t>
      </w:r>
      <w:r>
        <w:rPr>
          <w:sz w:val="24"/>
        </w:rPr>
        <w:t>plan</w:t>
      </w:r>
      <w:r>
        <w:rPr>
          <w:spacing w:val="-7"/>
          <w:sz w:val="24"/>
        </w:rPr>
        <w:t> </w:t>
      </w:r>
      <w:r>
        <w:rPr>
          <w:sz w:val="24"/>
        </w:rPr>
        <w:t>and</w:t>
      </w:r>
      <w:r>
        <w:rPr>
          <w:spacing w:val="-11"/>
          <w:sz w:val="24"/>
        </w:rPr>
        <w:t> </w:t>
      </w:r>
      <w:r>
        <w:rPr>
          <w:sz w:val="24"/>
        </w:rPr>
        <w:t>bring together</w:t>
      </w:r>
      <w:r>
        <w:rPr>
          <w:spacing w:val="-11"/>
          <w:sz w:val="24"/>
        </w:rPr>
        <w:t> </w:t>
      </w:r>
      <w:r>
        <w:rPr>
          <w:sz w:val="24"/>
        </w:rPr>
        <w:t>joint</w:t>
      </w:r>
      <w:r>
        <w:rPr>
          <w:spacing w:val="-12"/>
          <w:sz w:val="24"/>
        </w:rPr>
        <w:t> </w:t>
      </w:r>
      <w:r>
        <w:rPr>
          <w:sz w:val="24"/>
        </w:rPr>
        <w:t>capability</w:t>
      </w:r>
      <w:r>
        <w:rPr>
          <w:spacing w:val="-11"/>
          <w:sz w:val="24"/>
        </w:rPr>
        <w:t> </w:t>
      </w:r>
      <w:r>
        <w:rPr>
          <w:sz w:val="24"/>
        </w:rPr>
        <w:t>and</w:t>
      </w:r>
      <w:r>
        <w:rPr>
          <w:spacing w:val="-10"/>
          <w:sz w:val="24"/>
        </w:rPr>
        <w:t> </w:t>
      </w:r>
      <w:r>
        <w:rPr>
          <w:sz w:val="24"/>
        </w:rPr>
        <w:t>capacity</w:t>
      </w:r>
      <w:r>
        <w:rPr>
          <w:spacing w:val="-6"/>
          <w:sz w:val="24"/>
        </w:rPr>
        <w:t> </w:t>
      </w:r>
      <w:r>
        <w:rPr>
          <w:sz w:val="24"/>
        </w:rPr>
        <w:t>to</w:t>
      </w:r>
      <w:r>
        <w:rPr>
          <w:spacing w:val="-14"/>
          <w:sz w:val="24"/>
        </w:rPr>
        <w:t> </w:t>
      </w:r>
      <w:r>
        <w:rPr>
          <w:sz w:val="24"/>
        </w:rPr>
        <w:t>deliver</w:t>
      </w:r>
      <w:r>
        <w:rPr>
          <w:spacing w:val="-11"/>
          <w:sz w:val="24"/>
        </w:rPr>
        <w:t> </w:t>
      </w:r>
      <w:r>
        <w:rPr>
          <w:sz w:val="24"/>
        </w:rPr>
        <w:t>the</w:t>
      </w:r>
      <w:r>
        <w:rPr>
          <w:spacing w:val="-11"/>
          <w:sz w:val="24"/>
        </w:rPr>
        <w:t> </w:t>
      </w:r>
      <w:r>
        <w:rPr>
          <w:sz w:val="24"/>
        </w:rPr>
        <w:t>plan.</w:t>
      </w:r>
      <w:r>
        <w:rPr>
          <w:spacing w:val="-11"/>
          <w:sz w:val="24"/>
        </w:rPr>
        <w:t> </w:t>
      </w:r>
      <w:r>
        <w:rPr>
          <w:sz w:val="24"/>
        </w:rPr>
        <w:t>This</w:t>
      </w:r>
      <w:r>
        <w:rPr>
          <w:spacing w:val="-11"/>
          <w:sz w:val="24"/>
        </w:rPr>
        <w:t> </w:t>
      </w:r>
      <w:r>
        <w:rPr>
          <w:sz w:val="24"/>
        </w:rPr>
        <w:t>should</w:t>
      </w:r>
      <w:r>
        <w:rPr>
          <w:spacing w:val="-14"/>
          <w:sz w:val="24"/>
        </w:rPr>
        <w:t> </w:t>
      </w:r>
      <w:r>
        <w:rPr>
          <w:sz w:val="24"/>
        </w:rPr>
        <w:t>include</w:t>
      </w:r>
      <w:r>
        <w:rPr>
          <w:spacing w:val="-10"/>
          <w:sz w:val="24"/>
        </w:rPr>
        <w:t> </w:t>
      </w:r>
      <w:r>
        <w:rPr>
          <w:sz w:val="24"/>
        </w:rPr>
        <w:t>an </w:t>
      </w:r>
      <w:r>
        <w:rPr>
          <w:spacing w:val="-2"/>
          <w:sz w:val="24"/>
        </w:rPr>
        <w:t>equitable</w:t>
      </w:r>
      <w:r>
        <w:rPr>
          <w:spacing w:val="-14"/>
          <w:sz w:val="24"/>
        </w:rPr>
        <w:t> </w:t>
      </w:r>
      <w:r>
        <w:rPr>
          <w:spacing w:val="-2"/>
          <w:sz w:val="24"/>
        </w:rPr>
        <w:t>approach</w:t>
      </w:r>
      <w:r>
        <w:rPr>
          <w:spacing w:val="-11"/>
          <w:sz w:val="24"/>
        </w:rPr>
        <w:t> </w:t>
      </w:r>
      <w:r>
        <w:rPr>
          <w:spacing w:val="-2"/>
          <w:sz w:val="24"/>
        </w:rPr>
        <w:t>to</w:t>
      </w:r>
      <w:r>
        <w:rPr>
          <w:spacing w:val="-7"/>
          <w:sz w:val="24"/>
        </w:rPr>
        <w:t> </w:t>
      </w:r>
      <w:r>
        <w:rPr>
          <w:spacing w:val="-2"/>
          <w:sz w:val="24"/>
        </w:rPr>
        <w:t>trials</w:t>
      </w:r>
      <w:r>
        <w:rPr>
          <w:spacing w:val="-15"/>
          <w:sz w:val="24"/>
        </w:rPr>
        <w:t> </w:t>
      </w:r>
      <w:r>
        <w:rPr>
          <w:spacing w:val="-2"/>
          <w:sz w:val="24"/>
        </w:rPr>
        <w:t>access</w:t>
      </w:r>
      <w:r>
        <w:rPr>
          <w:spacing w:val="-12"/>
          <w:sz w:val="24"/>
        </w:rPr>
        <w:t> </w:t>
      </w:r>
      <w:r>
        <w:rPr>
          <w:spacing w:val="-2"/>
          <w:sz w:val="24"/>
        </w:rPr>
        <w:t>across</w:t>
      </w:r>
      <w:r>
        <w:rPr>
          <w:spacing w:val="-12"/>
          <w:sz w:val="24"/>
        </w:rPr>
        <w:t> </w:t>
      </w:r>
      <w:r>
        <w:rPr>
          <w:spacing w:val="-2"/>
          <w:sz w:val="24"/>
        </w:rPr>
        <w:t>the</w:t>
      </w:r>
      <w:r>
        <w:rPr>
          <w:spacing w:val="-11"/>
          <w:sz w:val="24"/>
        </w:rPr>
        <w:t> </w:t>
      </w:r>
      <w:r>
        <w:rPr>
          <w:spacing w:val="-2"/>
          <w:sz w:val="24"/>
        </w:rPr>
        <w:t>region</w:t>
      </w:r>
      <w:r>
        <w:rPr>
          <w:spacing w:val="-15"/>
          <w:sz w:val="24"/>
        </w:rPr>
        <w:t> </w:t>
      </w:r>
      <w:r>
        <w:rPr>
          <w:spacing w:val="-2"/>
          <w:sz w:val="24"/>
        </w:rPr>
        <w:t>and</w:t>
      </w:r>
      <w:r>
        <w:rPr>
          <w:spacing w:val="-11"/>
          <w:sz w:val="24"/>
        </w:rPr>
        <w:t> </w:t>
      </w:r>
      <w:r>
        <w:rPr>
          <w:spacing w:val="-2"/>
          <w:sz w:val="24"/>
        </w:rPr>
        <w:t>enhanced</w:t>
      </w:r>
      <w:r>
        <w:rPr>
          <w:spacing w:val="-11"/>
          <w:sz w:val="24"/>
        </w:rPr>
        <w:t> </w:t>
      </w:r>
      <w:r>
        <w:rPr>
          <w:spacing w:val="-2"/>
          <w:sz w:val="24"/>
        </w:rPr>
        <w:t>industry</w:t>
      </w:r>
      <w:r>
        <w:rPr>
          <w:spacing w:val="-12"/>
          <w:sz w:val="24"/>
        </w:rPr>
        <w:t> </w:t>
      </w:r>
      <w:r>
        <w:rPr>
          <w:spacing w:val="-2"/>
          <w:sz w:val="24"/>
        </w:rPr>
        <w:t>links</w:t>
      </w:r>
      <w:r>
        <w:rPr>
          <w:spacing w:val="-12"/>
          <w:sz w:val="24"/>
        </w:rPr>
        <w:t> </w:t>
      </w:r>
      <w:r>
        <w:rPr>
          <w:spacing w:val="-2"/>
          <w:sz w:val="24"/>
        </w:rPr>
        <w:t>to </w:t>
      </w:r>
      <w:r>
        <w:rPr>
          <w:sz w:val="24"/>
        </w:rPr>
        <w:t>benefit research and innovation.</w:t>
      </w:r>
    </w:p>
    <w:p>
      <w:pPr>
        <w:pStyle w:val="BodyText"/>
      </w:pPr>
    </w:p>
    <w:p>
      <w:pPr>
        <w:numPr>
          <w:ilvl w:val="1"/>
          <w:numId w:val="37"/>
        </w:numPr>
        <w:tabs>
          <w:tab w:pos="862" w:val="left" w:leader="none"/>
        </w:tabs>
        <w:spacing w:before="0"/>
        <w:ind w:left="862" w:right="0" w:hanging="720"/>
        <w:jc w:val="left"/>
        <w:rPr>
          <w:b/>
          <w:sz w:val="24"/>
        </w:rPr>
      </w:pPr>
      <w:r>
        <w:rPr>
          <w:b/>
          <w:spacing w:val="-2"/>
          <w:sz w:val="24"/>
        </w:rPr>
        <w:t>Workforce</w:t>
      </w:r>
      <w:r>
        <w:rPr>
          <w:b/>
          <w:spacing w:val="-14"/>
          <w:sz w:val="24"/>
        </w:rPr>
        <w:t> </w:t>
      </w:r>
      <w:r>
        <w:rPr>
          <w:b/>
          <w:spacing w:val="-2"/>
          <w:sz w:val="24"/>
        </w:rPr>
        <w:t>&amp;</w:t>
      </w:r>
      <w:r>
        <w:rPr>
          <w:b/>
          <w:spacing w:val="-12"/>
          <w:sz w:val="24"/>
        </w:rPr>
        <w:t> </w:t>
      </w:r>
      <w:r>
        <w:rPr>
          <w:b/>
          <w:spacing w:val="-5"/>
          <w:sz w:val="24"/>
        </w:rPr>
        <w:t>OD</w:t>
      </w:r>
    </w:p>
    <w:p>
      <w:pPr>
        <w:pStyle w:val="ListParagraph"/>
        <w:numPr>
          <w:ilvl w:val="2"/>
          <w:numId w:val="37"/>
        </w:numPr>
        <w:tabs>
          <w:tab w:pos="1559" w:val="left" w:leader="none"/>
          <w:tab w:pos="1563" w:val="left" w:leader="none"/>
        </w:tabs>
        <w:spacing w:line="242" w:lineRule="auto" w:before="274" w:after="0"/>
        <w:ind w:left="1563" w:right="659" w:hanging="711"/>
        <w:jc w:val="left"/>
        <w:rPr>
          <w:sz w:val="24"/>
        </w:rPr>
      </w:pPr>
      <w:r>
        <w:rPr>
          <w:spacing w:val="-2"/>
          <w:sz w:val="24"/>
        </w:rPr>
        <w:t>Develop</w:t>
      </w:r>
      <w:r>
        <w:rPr>
          <w:spacing w:val="-14"/>
          <w:sz w:val="24"/>
        </w:rPr>
        <w:t> </w:t>
      </w:r>
      <w:r>
        <w:rPr>
          <w:spacing w:val="-2"/>
          <w:sz w:val="24"/>
        </w:rPr>
        <w:t>a</w:t>
      </w:r>
      <w:r>
        <w:rPr>
          <w:spacing w:val="-10"/>
          <w:sz w:val="24"/>
        </w:rPr>
        <w:t> </w:t>
      </w:r>
      <w:r>
        <w:rPr>
          <w:spacing w:val="-2"/>
          <w:sz w:val="24"/>
        </w:rPr>
        <w:t>joint</w:t>
      </w:r>
      <w:r>
        <w:rPr>
          <w:spacing w:val="-15"/>
          <w:sz w:val="24"/>
        </w:rPr>
        <w:t> </w:t>
      </w:r>
      <w:r>
        <w:rPr>
          <w:spacing w:val="-2"/>
          <w:sz w:val="24"/>
        </w:rPr>
        <w:t>3-5</w:t>
      </w:r>
      <w:r>
        <w:rPr>
          <w:spacing w:val="-10"/>
          <w:sz w:val="24"/>
        </w:rPr>
        <w:t> </w:t>
      </w:r>
      <w:r>
        <w:rPr>
          <w:spacing w:val="-2"/>
          <w:sz w:val="24"/>
        </w:rPr>
        <w:t>year</w:t>
      </w:r>
      <w:r>
        <w:rPr>
          <w:spacing w:val="-15"/>
          <w:sz w:val="24"/>
        </w:rPr>
        <w:t> </w:t>
      </w:r>
      <w:r>
        <w:rPr>
          <w:spacing w:val="-2"/>
          <w:sz w:val="24"/>
        </w:rPr>
        <w:t>workforce</w:t>
      </w:r>
      <w:r>
        <w:rPr>
          <w:spacing w:val="-10"/>
          <w:sz w:val="24"/>
        </w:rPr>
        <w:t> </w:t>
      </w:r>
      <w:r>
        <w:rPr>
          <w:spacing w:val="-2"/>
          <w:sz w:val="24"/>
        </w:rPr>
        <w:t>plan</w:t>
      </w:r>
      <w:r>
        <w:rPr>
          <w:spacing w:val="-6"/>
          <w:sz w:val="24"/>
        </w:rPr>
        <w:t> </w:t>
      </w:r>
      <w:r>
        <w:rPr>
          <w:spacing w:val="-2"/>
          <w:sz w:val="24"/>
        </w:rPr>
        <w:t>for</w:t>
      </w:r>
      <w:r>
        <w:rPr>
          <w:spacing w:val="-11"/>
          <w:sz w:val="24"/>
        </w:rPr>
        <w:t> </w:t>
      </w:r>
      <w:r>
        <w:rPr>
          <w:spacing w:val="-2"/>
          <w:sz w:val="24"/>
        </w:rPr>
        <w:t>the</w:t>
      </w:r>
      <w:r>
        <w:rPr>
          <w:spacing w:val="-10"/>
          <w:sz w:val="24"/>
        </w:rPr>
        <w:t> </w:t>
      </w:r>
      <w:r>
        <w:rPr>
          <w:spacing w:val="-2"/>
          <w:sz w:val="24"/>
        </w:rPr>
        <w:t>region</w:t>
      </w:r>
      <w:r>
        <w:rPr>
          <w:spacing w:val="-15"/>
          <w:sz w:val="24"/>
        </w:rPr>
        <w:t> </w:t>
      </w:r>
      <w:r>
        <w:rPr>
          <w:spacing w:val="-2"/>
          <w:sz w:val="24"/>
        </w:rPr>
        <w:t>utilising</w:t>
      </w:r>
      <w:r>
        <w:rPr>
          <w:spacing w:val="-10"/>
          <w:sz w:val="24"/>
        </w:rPr>
        <w:t> </w:t>
      </w:r>
      <w:r>
        <w:rPr>
          <w:spacing w:val="-2"/>
          <w:sz w:val="24"/>
        </w:rPr>
        <w:t>the</w:t>
      </w:r>
      <w:r>
        <w:rPr>
          <w:spacing w:val="-10"/>
          <w:sz w:val="24"/>
        </w:rPr>
        <w:t> </w:t>
      </w:r>
      <w:r>
        <w:rPr>
          <w:spacing w:val="-2"/>
          <w:sz w:val="24"/>
        </w:rPr>
        <w:t>Health</w:t>
      </w:r>
      <w:r>
        <w:rPr>
          <w:spacing w:val="-10"/>
          <w:sz w:val="24"/>
        </w:rPr>
        <w:t> </w:t>
      </w:r>
      <w:r>
        <w:rPr>
          <w:spacing w:val="-2"/>
          <w:sz w:val="24"/>
        </w:rPr>
        <w:t>Education </w:t>
      </w:r>
      <w:r>
        <w:rPr>
          <w:sz w:val="24"/>
        </w:rPr>
        <w:t>and</w:t>
      </w:r>
      <w:r>
        <w:rPr>
          <w:spacing w:val="-12"/>
          <w:sz w:val="24"/>
        </w:rPr>
        <w:t> </w:t>
      </w:r>
      <w:r>
        <w:rPr>
          <w:sz w:val="24"/>
        </w:rPr>
        <w:t>Improvement</w:t>
      </w:r>
      <w:r>
        <w:rPr>
          <w:spacing w:val="-15"/>
          <w:sz w:val="24"/>
        </w:rPr>
        <w:t> </w:t>
      </w:r>
      <w:r>
        <w:rPr>
          <w:sz w:val="24"/>
        </w:rPr>
        <w:t>Wales</w:t>
      </w:r>
      <w:r>
        <w:rPr>
          <w:spacing w:val="-13"/>
          <w:sz w:val="24"/>
        </w:rPr>
        <w:t> </w:t>
      </w:r>
      <w:r>
        <w:rPr>
          <w:sz w:val="24"/>
        </w:rPr>
        <w:t>(HEIW)</w:t>
      </w:r>
      <w:r>
        <w:rPr>
          <w:spacing w:val="-9"/>
          <w:sz w:val="24"/>
        </w:rPr>
        <w:t> </w:t>
      </w:r>
      <w:r>
        <w:rPr>
          <w:sz w:val="24"/>
        </w:rPr>
        <w:t>framework</w:t>
      </w:r>
      <w:r>
        <w:rPr>
          <w:spacing w:val="-9"/>
          <w:sz w:val="24"/>
        </w:rPr>
        <w:t> </w:t>
      </w:r>
      <w:r>
        <w:rPr>
          <w:sz w:val="24"/>
        </w:rPr>
        <w:t>to</w:t>
      </w:r>
      <w:r>
        <w:rPr>
          <w:spacing w:val="-12"/>
          <w:sz w:val="24"/>
        </w:rPr>
        <w:t> </w:t>
      </w:r>
      <w:r>
        <w:rPr>
          <w:sz w:val="24"/>
        </w:rPr>
        <w:t>stabilise</w:t>
      </w:r>
      <w:r>
        <w:rPr>
          <w:spacing w:val="-12"/>
          <w:sz w:val="24"/>
        </w:rPr>
        <w:t> </w:t>
      </w:r>
      <w:r>
        <w:rPr>
          <w:sz w:val="24"/>
        </w:rPr>
        <w:t>fragile</w:t>
      </w:r>
      <w:r>
        <w:rPr>
          <w:spacing w:val="-12"/>
          <w:sz w:val="24"/>
        </w:rPr>
        <w:t> </w:t>
      </w:r>
      <w:r>
        <w:rPr>
          <w:sz w:val="24"/>
        </w:rPr>
        <w:t>services</w:t>
      </w:r>
      <w:r>
        <w:rPr>
          <w:spacing w:val="-13"/>
          <w:sz w:val="24"/>
        </w:rPr>
        <w:t> </w:t>
      </w:r>
      <w:r>
        <w:rPr>
          <w:sz w:val="24"/>
        </w:rPr>
        <w:t>where</w:t>
      </w:r>
    </w:p>
    <w:p>
      <w:pPr>
        <w:spacing w:before="166"/>
        <w:ind w:left="4" w:right="284" w:firstLine="0"/>
        <w:jc w:val="center"/>
        <w:rPr>
          <w:sz w:val="20"/>
        </w:rPr>
      </w:pPr>
      <w:r>
        <w:rPr>
          <w:spacing w:val="-10"/>
          <w:sz w:val="20"/>
        </w:rPr>
        <w:t>4</w:t>
      </w:r>
    </w:p>
    <w:p>
      <w:pPr>
        <w:spacing w:after="0"/>
        <w:jc w:val="center"/>
        <w:rPr>
          <w:sz w:val="20"/>
        </w:rPr>
        <w:sectPr>
          <w:pgSz w:w="11910" w:h="16840"/>
          <w:pgMar w:header="0" w:footer="149" w:top="1160" w:bottom="340" w:left="708" w:right="425"/>
        </w:sectPr>
      </w:pPr>
    </w:p>
    <w:p>
      <w:pPr>
        <w:pStyle w:val="BodyText"/>
        <w:spacing w:before="65"/>
        <w:ind w:left="1563" w:right="436"/>
      </w:pPr>
      <w:r>
        <w:rPr/>
        <w:t>possible</w:t>
      </w:r>
      <w:r>
        <w:rPr>
          <w:spacing w:val="-11"/>
        </w:rPr>
        <w:t> </w:t>
      </w:r>
      <w:r>
        <w:rPr/>
        <w:t>and</w:t>
      </w:r>
      <w:r>
        <w:rPr>
          <w:spacing w:val="-6"/>
        </w:rPr>
        <w:t> </w:t>
      </w:r>
      <w:r>
        <w:rPr/>
        <w:t>to</w:t>
      </w:r>
      <w:r>
        <w:rPr>
          <w:spacing w:val="-11"/>
        </w:rPr>
        <w:t> </w:t>
      </w:r>
      <w:r>
        <w:rPr/>
        <w:t>ensure</w:t>
      </w:r>
      <w:r>
        <w:rPr>
          <w:spacing w:val="-11"/>
        </w:rPr>
        <w:t> </w:t>
      </w:r>
      <w:r>
        <w:rPr/>
        <w:t>the</w:t>
      </w:r>
      <w:r>
        <w:rPr>
          <w:spacing w:val="-11"/>
        </w:rPr>
        <w:t> </w:t>
      </w:r>
      <w:r>
        <w:rPr/>
        <w:t>workforce</w:t>
      </w:r>
      <w:r>
        <w:rPr>
          <w:spacing w:val="-11"/>
        </w:rPr>
        <w:t> </w:t>
      </w:r>
      <w:r>
        <w:rPr/>
        <w:t>is</w:t>
      </w:r>
      <w:r>
        <w:rPr>
          <w:spacing w:val="-12"/>
        </w:rPr>
        <w:t> </w:t>
      </w:r>
      <w:r>
        <w:rPr/>
        <w:t>developed</w:t>
      </w:r>
      <w:r>
        <w:rPr>
          <w:spacing w:val="-16"/>
        </w:rPr>
        <w:t> </w:t>
      </w:r>
      <w:r>
        <w:rPr/>
        <w:t>and</w:t>
      </w:r>
      <w:r>
        <w:rPr>
          <w:spacing w:val="-11"/>
        </w:rPr>
        <w:t> </w:t>
      </w:r>
      <w:r>
        <w:rPr/>
        <w:t>recruited</w:t>
      </w:r>
      <w:r>
        <w:rPr>
          <w:spacing w:val="-6"/>
        </w:rPr>
        <w:t> </w:t>
      </w:r>
      <w:r>
        <w:rPr/>
        <w:t>for</w:t>
      </w:r>
      <w:r>
        <w:rPr>
          <w:spacing w:val="-12"/>
        </w:rPr>
        <w:t> </w:t>
      </w:r>
      <w:r>
        <w:rPr/>
        <w:t>our</w:t>
      </w:r>
      <w:r>
        <w:rPr>
          <w:spacing w:val="-7"/>
        </w:rPr>
        <w:t> </w:t>
      </w:r>
      <w:r>
        <w:rPr/>
        <w:t>services</w:t>
      </w:r>
      <w:r>
        <w:rPr>
          <w:spacing w:val="-12"/>
        </w:rPr>
        <w:t> </w:t>
      </w:r>
      <w:r>
        <w:rPr/>
        <w:t>of </w:t>
      </w:r>
      <w:r>
        <w:rPr>
          <w:spacing w:val="-2"/>
        </w:rPr>
        <w:t>the</w:t>
      </w:r>
      <w:r>
        <w:rPr>
          <w:spacing w:val="-17"/>
        </w:rPr>
        <w:t> </w:t>
      </w:r>
      <w:r>
        <w:rPr>
          <w:spacing w:val="-2"/>
        </w:rPr>
        <w:t>future</w:t>
      </w:r>
      <w:r>
        <w:rPr>
          <w:spacing w:val="-15"/>
        </w:rPr>
        <w:t> </w:t>
      </w:r>
      <w:r>
        <w:rPr>
          <w:spacing w:val="-2"/>
        </w:rPr>
        <w:t>considering</w:t>
      </w:r>
      <w:r>
        <w:rPr>
          <w:spacing w:val="-14"/>
        </w:rPr>
        <w:t> </w:t>
      </w:r>
      <w:r>
        <w:rPr>
          <w:spacing w:val="-2"/>
        </w:rPr>
        <w:t>new</w:t>
      </w:r>
      <w:r>
        <w:rPr>
          <w:spacing w:val="-15"/>
        </w:rPr>
        <w:t> </w:t>
      </w:r>
      <w:r>
        <w:rPr>
          <w:spacing w:val="-2"/>
        </w:rPr>
        <w:t>and</w:t>
      </w:r>
      <w:r>
        <w:rPr>
          <w:spacing w:val="-9"/>
        </w:rPr>
        <w:t> </w:t>
      </w:r>
      <w:r>
        <w:rPr>
          <w:spacing w:val="-2"/>
        </w:rPr>
        <w:t>changes</w:t>
      </w:r>
      <w:r>
        <w:rPr>
          <w:spacing w:val="-9"/>
        </w:rPr>
        <w:t> </w:t>
      </w:r>
      <w:r>
        <w:rPr>
          <w:spacing w:val="-2"/>
        </w:rPr>
        <w:t>roles</w:t>
      </w:r>
      <w:r>
        <w:rPr>
          <w:spacing w:val="-14"/>
        </w:rPr>
        <w:t> </w:t>
      </w:r>
      <w:r>
        <w:rPr>
          <w:spacing w:val="-2"/>
        </w:rPr>
        <w:t>which</w:t>
      </w:r>
      <w:r>
        <w:rPr>
          <w:spacing w:val="-15"/>
        </w:rPr>
        <w:t> </w:t>
      </w:r>
      <w:r>
        <w:rPr>
          <w:spacing w:val="-2"/>
        </w:rPr>
        <w:t>includes</w:t>
      </w:r>
      <w:r>
        <w:rPr>
          <w:spacing w:val="-15"/>
        </w:rPr>
        <w:t> </w:t>
      </w:r>
      <w:r>
        <w:rPr>
          <w:spacing w:val="-2"/>
        </w:rPr>
        <w:t>enhanced</w:t>
      </w:r>
      <w:r>
        <w:rPr>
          <w:spacing w:val="-13"/>
        </w:rPr>
        <w:t> </w:t>
      </w:r>
      <w:r>
        <w:rPr>
          <w:spacing w:val="-2"/>
        </w:rPr>
        <w:t>digital</w:t>
      </w:r>
      <w:r>
        <w:rPr>
          <w:spacing w:val="-8"/>
        </w:rPr>
        <w:t> </w:t>
      </w:r>
      <w:r>
        <w:rPr>
          <w:spacing w:val="-2"/>
        </w:rPr>
        <w:t>skills.</w:t>
      </w:r>
    </w:p>
    <w:p>
      <w:pPr>
        <w:pStyle w:val="BodyText"/>
        <w:spacing w:before="2"/>
      </w:pPr>
    </w:p>
    <w:p>
      <w:pPr>
        <w:pStyle w:val="ListParagraph"/>
        <w:numPr>
          <w:ilvl w:val="2"/>
          <w:numId w:val="37"/>
        </w:numPr>
        <w:tabs>
          <w:tab w:pos="1560" w:val="left" w:leader="none"/>
          <w:tab w:pos="1563" w:val="left" w:leader="none"/>
        </w:tabs>
        <w:spacing w:line="240" w:lineRule="auto" w:before="0" w:after="0"/>
        <w:ind w:left="1563" w:right="543" w:hanging="711"/>
        <w:jc w:val="left"/>
        <w:rPr>
          <w:sz w:val="24"/>
        </w:rPr>
      </w:pPr>
      <w:r>
        <w:rPr>
          <w:spacing w:val="-2"/>
          <w:sz w:val="24"/>
        </w:rPr>
        <w:t>Develop</w:t>
      </w:r>
      <w:r>
        <w:rPr>
          <w:spacing w:val="-13"/>
          <w:sz w:val="24"/>
        </w:rPr>
        <w:t> </w:t>
      </w:r>
      <w:r>
        <w:rPr>
          <w:spacing w:val="-2"/>
          <w:sz w:val="24"/>
        </w:rPr>
        <w:t>a</w:t>
      </w:r>
      <w:r>
        <w:rPr>
          <w:spacing w:val="-11"/>
          <w:sz w:val="24"/>
        </w:rPr>
        <w:t> </w:t>
      </w:r>
      <w:r>
        <w:rPr>
          <w:spacing w:val="-2"/>
          <w:sz w:val="24"/>
        </w:rPr>
        <w:t>regional</w:t>
      </w:r>
      <w:r>
        <w:rPr>
          <w:spacing w:val="-11"/>
          <w:sz w:val="24"/>
        </w:rPr>
        <w:t> </w:t>
      </w:r>
      <w:r>
        <w:rPr>
          <w:spacing w:val="-2"/>
          <w:sz w:val="24"/>
        </w:rPr>
        <w:t>leadership</w:t>
      </w:r>
      <w:r>
        <w:rPr>
          <w:spacing w:val="-11"/>
          <w:sz w:val="24"/>
        </w:rPr>
        <w:t> </w:t>
      </w:r>
      <w:r>
        <w:rPr>
          <w:spacing w:val="-2"/>
          <w:sz w:val="24"/>
        </w:rPr>
        <w:t>network</w:t>
      </w:r>
      <w:r>
        <w:rPr>
          <w:spacing w:val="-7"/>
          <w:sz w:val="24"/>
        </w:rPr>
        <w:t> </w:t>
      </w:r>
      <w:r>
        <w:rPr>
          <w:spacing w:val="-2"/>
          <w:sz w:val="24"/>
        </w:rPr>
        <w:t>to</w:t>
      </w:r>
      <w:r>
        <w:rPr>
          <w:spacing w:val="-11"/>
          <w:sz w:val="24"/>
        </w:rPr>
        <w:t> </w:t>
      </w:r>
      <w:r>
        <w:rPr>
          <w:spacing w:val="-2"/>
          <w:sz w:val="24"/>
        </w:rPr>
        <w:t>support</w:t>
      </w:r>
      <w:r>
        <w:rPr>
          <w:spacing w:val="-14"/>
          <w:sz w:val="24"/>
        </w:rPr>
        <w:t> </w:t>
      </w:r>
      <w:r>
        <w:rPr>
          <w:spacing w:val="-2"/>
          <w:sz w:val="24"/>
        </w:rPr>
        <w:t>leaders</w:t>
      </w:r>
      <w:r>
        <w:rPr>
          <w:spacing w:val="-12"/>
          <w:sz w:val="24"/>
        </w:rPr>
        <w:t> </w:t>
      </w:r>
      <w:r>
        <w:rPr>
          <w:spacing w:val="-2"/>
          <w:sz w:val="24"/>
        </w:rPr>
        <w:t>to</w:t>
      </w:r>
      <w:r>
        <w:rPr>
          <w:spacing w:val="-15"/>
          <w:sz w:val="24"/>
        </w:rPr>
        <w:t> </w:t>
      </w:r>
      <w:r>
        <w:rPr>
          <w:spacing w:val="-2"/>
          <w:sz w:val="24"/>
        </w:rPr>
        <w:t>plan</w:t>
      </w:r>
      <w:r>
        <w:rPr>
          <w:spacing w:val="-15"/>
          <w:sz w:val="24"/>
        </w:rPr>
        <w:t> </w:t>
      </w:r>
      <w:r>
        <w:rPr>
          <w:spacing w:val="-2"/>
          <w:sz w:val="24"/>
        </w:rPr>
        <w:t>and</w:t>
      </w:r>
      <w:r>
        <w:rPr>
          <w:spacing w:val="-14"/>
          <w:sz w:val="24"/>
        </w:rPr>
        <w:t> </w:t>
      </w:r>
      <w:r>
        <w:rPr>
          <w:spacing w:val="-2"/>
          <w:sz w:val="24"/>
        </w:rPr>
        <w:t>develop</w:t>
      </w:r>
      <w:r>
        <w:rPr>
          <w:spacing w:val="-6"/>
          <w:sz w:val="24"/>
        </w:rPr>
        <w:t> </w:t>
      </w:r>
      <w:r>
        <w:rPr>
          <w:spacing w:val="-2"/>
          <w:sz w:val="24"/>
        </w:rPr>
        <w:t>future </w:t>
      </w:r>
      <w:r>
        <w:rPr>
          <w:sz w:val="24"/>
        </w:rPr>
        <w:t>services</w:t>
      </w:r>
      <w:r>
        <w:rPr>
          <w:spacing w:val="-12"/>
          <w:sz w:val="24"/>
        </w:rPr>
        <w:t> </w:t>
      </w:r>
      <w:r>
        <w:rPr>
          <w:sz w:val="24"/>
        </w:rPr>
        <w:t>in</w:t>
      </w:r>
      <w:r>
        <w:rPr>
          <w:spacing w:val="-11"/>
          <w:sz w:val="24"/>
        </w:rPr>
        <w:t> </w:t>
      </w:r>
      <w:r>
        <w:rPr>
          <w:sz w:val="24"/>
        </w:rPr>
        <w:t>collaboration</w:t>
      </w:r>
      <w:r>
        <w:rPr>
          <w:spacing w:val="-11"/>
          <w:sz w:val="24"/>
        </w:rPr>
        <w:t> </w:t>
      </w:r>
      <w:r>
        <w:rPr>
          <w:sz w:val="24"/>
        </w:rPr>
        <w:t>and</w:t>
      </w:r>
      <w:r>
        <w:rPr>
          <w:spacing w:val="-11"/>
          <w:sz w:val="24"/>
        </w:rPr>
        <w:t> </w:t>
      </w:r>
      <w:r>
        <w:rPr>
          <w:sz w:val="24"/>
        </w:rPr>
        <w:t>ensure</w:t>
      </w:r>
      <w:r>
        <w:rPr>
          <w:spacing w:val="-7"/>
          <w:sz w:val="24"/>
        </w:rPr>
        <w:t> </w:t>
      </w:r>
      <w:r>
        <w:rPr>
          <w:sz w:val="24"/>
        </w:rPr>
        <w:t>future</w:t>
      </w:r>
      <w:r>
        <w:rPr>
          <w:spacing w:val="-11"/>
          <w:sz w:val="24"/>
        </w:rPr>
        <w:t> </w:t>
      </w:r>
      <w:r>
        <w:rPr>
          <w:sz w:val="24"/>
        </w:rPr>
        <w:t>programmes</w:t>
      </w:r>
      <w:r>
        <w:rPr>
          <w:spacing w:val="-12"/>
          <w:sz w:val="24"/>
        </w:rPr>
        <w:t> </w:t>
      </w:r>
      <w:r>
        <w:rPr>
          <w:sz w:val="24"/>
        </w:rPr>
        <w:t>embrace</w:t>
      </w:r>
      <w:r>
        <w:rPr>
          <w:spacing w:val="-11"/>
          <w:sz w:val="24"/>
        </w:rPr>
        <w:t> </w:t>
      </w:r>
      <w:r>
        <w:rPr>
          <w:sz w:val="24"/>
        </w:rPr>
        <w:t>the</w:t>
      </w:r>
      <w:r>
        <w:rPr>
          <w:spacing w:val="-11"/>
          <w:sz w:val="24"/>
        </w:rPr>
        <w:t> </w:t>
      </w:r>
      <w:r>
        <w:rPr>
          <w:sz w:val="24"/>
        </w:rPr>
        <w:t>soon</w:t>
      </w:r>
      <w:r>
        <w:rPr>
          <w:spacing w:val="-11"/>
          <w:sz w:val="24"/>
        </w:rPr>
        <w:t> </w:t>
      </w:r>
      <w:r>
        <w:rPr>
          <w:sz w:val="24"/>
        </w:rPr>
        <w:t>to</w:t>
      </w:r>
      <w:r>
        <w:rPr>
          <w:spacing w:val="-11"/>
          <w:sz w:val="24"/>
        </w:rPr>
        <w:t> </w:t>
      </w:r>
      <w:r>
        <w:rPr>
          <w:sz w:val="24"/>
        </w:rPr>
        <w:t>be launched</w:t>
      </w:r>
      <w:r>
        <w:rPr>
          <w:spacing w:val="-7"/>
          <w:sz w:val="24"/>
        </w:rPr>
        <w:t> </w:t>
      </w:r>
      <w:r>
        <w:rPr>
          <w:sz w:val="24"/>
        </w:rPr>
        <w:t>Management</w:t>
      </w:r>
      <w:r>
        <w:rPr>
          <w:spacing w:val="-10"/>
          <w:sz w:val="24"/>
        </w:rPr>
        <w:t> </w:t>
      </w:r>
      <w:r>
        <w:rPr>
          <w:sz w:val="24"/>
        </w:rPr>
        <w:t>and</w:t>
      </w:r>
      <w:r>
        <w:rPr>
          <w:spacing w:val="-7"/>
          <w:sz w:val="24"/>
        </w:rPr>
        <w:t> </w:t>
      </w:r>
      <w:r>
        <w:rPr>
          <w:sz w:val="24"/>
        </w:rPr>
        <w:t>Leadership</w:t>
      </w:r>
      <w:r>
        <w:rPr>
          <w:spacing w:val="-7"/>
          <w:sz w:val="24"/>
        </w:rPr>
        <w:t> </w:t>
      </w:r>
      <w:r>
        <w:rPr>
          <w:sz w:val="24"/>
        </w:rPr>
        <w:t>Competency</w:t>
      </w:r>
      <w:r>
        <w:rPr>
          <w:spacing w:val="-8"/>
          <w:sz w:val="24"/>
        </w:rPr>
        <w:t> </w:t>
      </w:r>
      <w:r>
        <w:rPr>
          <w:sz w:val="24"/>
        </w:rPr>
        <w:t>framework.</w:t>
      </w:r>
    </w:p>
    <w:p>
      <w:pPr>
        <w:pStyle w:val="BodyText"/>
        <w:spacing w:before="2"/>
      </w:pPr>
    </w:p>
    <w:p>
      <w:pPr>
        <w:pStyle w:val="ListParagraph"/>
        <w:numPr>
          <w:ilvl w:val="2"/>
          <w:numId w:val="37"/>
        </w:numPr>
        <w:tabs>
          <w:tab w:pos="1560" w:val="left" w:leader="none"/>
          <w:tab w:pos="1563" w:val="left" w:leader="none"/>
        </w:tabs>
        <w:spacing w:line="240" w:lineRule="auto" w:before="0" w:after="0"/>
        <w:ind w:left="1563" w:right="921" w:hanging="711"/>
        <w:jc w:val="left"/>
        <w:rPr>
          <w:sz w:val="24"/>
        </w:rPr>
      </w:pPr>
      <w:r>
        <w:rPr>
          <w:spacing w:val="-2"/>
          <w:sz w:val="24"/>
        </w:rPr>
        <w:t>Scope</w:t>
      </w:r>
      <w:r>
        <w:rPr>
          <w:spacing w:val="-15"/>
          <w:sz w:val="24"/>
        </w:rPr>
        <w:t> </w:t>
      </w:r>
      <w:r>
        <w:rPr>
          <w:spacing w:val="-2"/>
          <w:sz w:val="24"/>
        </w:rPr>
        <w:t>opportunities</w:t>
      </w:r>
      <w:r>
        <w:rPr>
          <w:spacing w:val="-15"/>
          <w:sz w:val="24"/>
        </w:rPr>
        <w:t> </w:t>
      </w:r>
      <w:r>
        <w:rPr>
          <w:spacing w:val="-2"/>
          <w:sz w:val="24"/>
        </w:rPr>
        <w:t>for</w:t>
      </w:r>
      <w:r>
        <w:rPr>
          <w:spacing w:val="-14"/>
          <w:sz w:val="24"/>
        </w:rPr>
        <w:t> </w:t>
      </w:r>
      <w:r>
        <w:rPr>
          <w:spacing w:val="-2"/>
          <w:sz w:val="24"/>
        </w:rPr>
        <w:t>joint</w:t>
      </w:r>
      <w:r>
        <w:rPr>
          <w:spacing w:val="-15"/>
          <w:sz w:val="24"/>
        </w:rPr>
        <w:t> </w:t>
      </w:r>
      <w:r>
        <w:rPr>
          <w:spacing w:val="-2"/>
          <w:sz w:val="24"/>
        </w:rPr>
        <w:t>working</w:t>
      </w:r>
      <w:r>
        <w:rPr>
          <w:spacing w:val="-15"/>
          <w:sz w:val="24"/>
        </w:rPr>
        <w:t> </w:t>
      </w:r>
      <w:r>
        <w:rPr>
          <w:spacing w:val="-2"/>
          <w:sz w:val="24"/>
        </w:rPr>
        <w:t>across</w:t>
      </w:r>
      <w:r>
        <w:rPr>
          <w:spacing w:val="-9"/>
          <w:sz w:val="24"/>
        </w:rPr>
        <w:t> </w:t>
      </w:r>
      <w:r>
        <w:rPr>
          <w:spacing w:val="-2"/>
          <w:sz w:val="24"/>
        </w:rPr>
        <w:t>Workforce</w:t>
      </w:r>
      <w:r>
        <w:rPr>
          <w:spacing w:val="-13"/>
          <w:sz w:val="24"/>
        </w:rPr>
        <w:t> </w:t>
      </w:r>
      <w:r>
        <w:rPr>
          <w:spacing w:val="-2"/>
          <w:sz w:val="24"/>
        </w:rPr>
        <w:t>&amp;</w:t>
      </w:r>
      <w:r>
        <w:rPr>
          <w:spacing w:val="-9"/>
          <w:sz w:val="24"/>
        </w:rPr>
        <w:t> </w:t>
      </w:r>
      <w:r>
        <w:rPr>
          <w:spacing w:val="-2"/>
          <w:sz w:val="24"/>
        </w:rPr>
        <w:t>OD</w:t>
      </w:r>
      <w:r>
        <w:rPr>
          <w:spacing w:val="-13"/>
          <w:sz w:val="24"/>
        </w:rPr>
        <w:t> </w:t>
      </w:r>
      <w:r>
        <w:rPr>
          <w:spacing w:val="-2"/>
          <w:sz w:val="24"/>
        </w:rPr>
        <w:t>teams</w:t>
      </w:r>
      <w:r>
        <w:rPr>
          <w:spacing w:val="-9"/>
          <w:sz w:val="24"/>
        </w:rPr>
        <w:t> </w:t>
      </w:r>
      <w:r>
        <w:rPr>
          <w:spacing w:val="-2"/>
          <w:sz w:val="24"/>
        </w:rPr>
        <w:t>to</w:t>
      </w:r>
      <w:r>
        <w:rPr>
          <w:spacing w:val="-13"/>
          <w:sz w:val="24"/>
        </w:rPr>
        <w:t> </w:t>
      </w:r>
      <w:r>
        <w:rPr>
          <w:spacing w:val="-2"/>
          <w:sz w:val="24"/>
        </w:rPr>
        <w:t>maximise </w:t>
      </w:r>
      <w:r>
        <w:rPr>
          <w:sz w:val="24"/>
        </w:rPr>
        <w:t>contribution</w:t>
      </w:r>
      <w:r>
        <w:rPr>
          <w:spacing w:val="-11"/>
          <w:sz w:val="24"/>
        </w:rPr>
        <w:t> </w:t>
      </w:r>
      <w:r>
        <w:rPr>
          <w:sz w:val="24"/>
        </w:rPr>
        <w:t>creating</w:t>
      </w:r>
      <w:r>
        <w:rPr>
          <w:spacing w:val="-16"/>
          <w:sz w:val="24"/>
        </w:rPr>
        <w:t> </w:t>
      </w:r>
      <w:r>
        <w:rPr>
          <w:sz w:val="24"/>
        </w:rPr>
        <w:t>greater</w:t>
      </w:r>
      <w:r>
        <w:rPr>
          <w:spacing w:val="-12"/>
          <w:sz w:val="24"/>
        </w:rPr>
        <w:t> </w:t>
      </w:r>
      <w:r>
        <w:rPr>
          <w:sz w:val="24"/>
        </w:rPr>
        <w:t>efficiency</w:t>
      </w:r>
      <w:r>
        <w:rPr>
          <w:spacing w:val="-12"/>
          <w:sz w:val="24"/>
        </w:rPr>
        <w:t> </w:t>
      </w:r>
      <w:r>
        <w:rPr>
          <w:sz w:val="24"/>
        </w:rPr>
        <w:t>and</w:t>
      </w:r>
      <w:r>
        <w:rPr>
          <w:spacing w:val="-11"/>
          <w:sz w:val="24"/>
        </w:rPr>
        <w:t> </w:t>
      </w:r>
      <w:r>
        <w:rPr>
          <w:sz w:val="24"/>
        </w:rPr>
        <w:t>consistency</w:t>
      </w:r>
      <w:r>
        <w:rPr>
          <w:spacing w:val="-12"/>
          <w:sz w:val="24"/>
        </w:rPr>
        <w:t> </w:t>
      </w:r>
      <w:r>
        <w:rPr>
          <w:sz w:val="24"/>
        </w:rPr>
        <w:t>of</w:t>
      </w:r>
      <w:r>
        <w:rPr>
          <w:spacing w:val="-14"/>
          <w:sz w:val="24"/>
        </w:rPr>
        <w:t> </w:t>
      </w:r>
      <w:r>
        <w:rPr>
          <w:sz w:val="24"/>
        </w:rPr>
        <w:t>approach.</w:t>
      </w:r>
    </w:p>
    <w:p>
      <w:pPr>
        <w:numPr>
          <w:ilvl w:val="1"/>
          <w:numId w:val="37"/>
        </w:numPr>
        <w:tabs>
          <w:tab w:pos="862" w:val="left" w:leader="none"/>
        </w:tabs>
        <w:spacing w:before="273"/>
        <w:ind w:left="862" w:right="0" w:hanging="720"/>
        <w:jc w:val="left"/>
        <w:rPr>
          <w:b/>
          <w:sz w:val="24"/>
        </w:rPr>
      </w:pPr>
      <w:r>
        <w:rPr>
          <w:b/>
          <w:spacing w:val="-2"/>
          <w:sz w:val="24"/>
        </w:rPr>
        <w:t>Finance</w:t>
      </w:r>
      <w:r>
        <w:rPr>
          <w:b/>
          <w:color w:val="ED0000"/>
          <w:spacing w:val="-2"/>
          <w:sz w:val="24"/>
        </w:rPr>
        <w:t>,</w:t>
      </w:r>
      <w:r>
        <w:rPr>
          <w:b/>
          <w:color w:val="ED0000"/>
          <w:spacing w:val="-15"/>
          <w:sz w:val="24"/>
        </w:rPr>
        <w:t> </w:t>
      </w:r>
      <w:r>
        <w:rPr>
          <w:b/>
          <w:spacing w:val="-2"/>
          <w:sz w:val="24"/>
        </w:rPr>
        <w:t>Contracting</w:t>
      </w:r>
      <w:r>
        <w:rPr>
          <w:b/>
          <w:color w:val="ED0000"/>
          <w:spacing w:val="-2"/>
          <w:sz w:val="24"/>
        </w:rPr>
        <w:t>,</w:t>
      </w:r>
      <w:r>
        <w:rPr>
          <w:b/>
          <w:color w:val="ED0000"/>
          <w:spacing w:val="-14"/>
          <w:sz w:val="24"/>
        </w:rPr>
        <w:t> </w:t>
      </w:r>
      <w:r>
        <w:rPr>
          <w:b/>
          <w:color w:val="ED0000"/>
          <w:spacing w:val="-2"/>
          <w:sz w:val="24"/>
        </w:rPr>
        <w:t>Data</w:t>
      </w:r>
      <w:r>
        <w:rPr>
          <w:b/>
          <w:color w:val="ED0000"/>
          <w:spacing w:val="-11"/>
          <w:sz w:val="24"/>
        </w:rPr>
        <w:t> </w:t>
      </w:r>
      <w:r>
        <w:rPr>
          <w:b/>
          <w:color w:val="ED0000"/>
          <w:spacing w:val="-2"/>
          <w:sz w:val="24"/>
        </w:rPr>
        <w:t>and</w:t>
      </w:r>
      <w:r>
        <w:rPr>
          <w:b/>
          <w:color w:val="ED0000"/>
          <w:spacing w:val="-14"/>
          <w:sz w:val="24"/>
        </w:rPr>
        <w:t> </w:t>
      </w:r>
      <w:r>
        <w:rPr>
          <w:b/>
          <w:color w:val="ED0000"/>
          <w:spacing w:val="-2"/>
          <w:sz w:val="24"/>
        </w:rPr>
        <w:t>Digital</w:t>
      </w:r>
    </w:p>
    <w:p>
      <w:pPr>
        <w:pStyle w:val="BodyText"/>
        <w:spacing w:before="3"/>
        <w:rPr>
          <w:b/>
        </w:rPr>
      </w:pPr>
    </w:p>
    <w:p>
      <w:pPr>
        <w:pStyle w:val="ListParagraph"/>
        <w:numPr>
          <w:ilvl w:val="2"/>
          <w:numId w:val="37"/>
        </w:numPr>
        <w:tabs>
          <w:tab w:pos="1559" w:val="left" w:leader="none"/>
          <w:tab w:pos="1563" w:val="left" w:leader="none"/>
        </w:tabs>
        <w:spacing w:line="240" w:lineRule="auto" w:before="0" w:after="0"/>
        <w:ind w:left="1563" w:right="622" w:hanging="711"/>
        <w:jc w:val="left"/>
        <w:rPr>
          <w:sz w:val="24"/>
        </w:rPr>
      </w:pPr>
      <w:r>
        <w:rPr>
          <w:spacing w:val="-2"/>
          <w:sz w:val="24"/>
        </w:rPr>
        <w:t>Seek</w:t>
      </w:r>
      <w:r>
        <w:rPr>
          <w:spacing w:val="-13"/>
          <w:sz w:val="24"/>
        </w:rPr>
        <w:t> </w:t>
      </w:r>
      <w:r>
        <w:rPr>
          <w:spacing w:val="-2"/>
          <w:sz w:val="24"/>
        </w:rPr>
        <w:t>assurance</w:t>
      </w:r>
      <w:r>
        <w:rPr>
          <w:spacing w:val="-12"/>
          <w:sz w:val="24"/>
        </w:rPr>
        <w:t> </w:t>
      </w:r>
      <w:r>
        <w:rPr>
          <w:spacing w:val="-2"/>
          <w:sz w:val="24"/>
        </w:rPr>
        <w:t>that</w:t>
      </w:r>
      <w:r>
        <w:rPr>
          <w:spacing w:val="-15"/>
          <w:sz w:val="24"/>
        </w:rPr>
        <w:t> </w:t>
      </w:r>
      <w:r>
        <w:rPr>
          <w:spacing w:val="-2"/>
          <w:sz w:val="24"/>
        </w:rPr>
        <w:t>a</w:t>
      </w:r>
      <w:r>
        <w:rPr>
          <w:spacing w:val="-12"/>
          <w:sz w:val="24"/>
        </w:rPr>
        <w:t> </w:t>
      </w:r>
      <w:r>
        <w:rPr>
          <w:spacing w:val="-2"/>
          <w:sz w:val="24"/>
        </w:rPr>
        <w:t>regional</w:t>
      </w:r>
      <w:r>
        <w:rPr>
          <w:spacing w:val="-12"/>
          <w:sz w:val="24"/>
        </w:rPr>
        <w:t> </w:t>
      </w:r>
      <w:r>
        <w:rPr>
          <w:spacing w:val="-2"/>
          <w:sz w:val="24"/>
        </w:rPr>
        <w:t>financial</w:t>
      </w:r>
      <w:r>
        <w:rPr>
          <w:spacing w:val="-8"/>
          <w:sz w:val="24"/>
        </w:rPr>
        <w:t> </w:t>
      </w:r>
      <w:r>
        <w:rPr>
          <w:spacing w:val="-2"/>
          <w:sz w:val="24"/>
        </w:rPr>
        <w:t>framework</w:t>
      </w:r>
      <w:r>
        <w:rPr>
          <w:spacing w:val="-13"/>
          <w:sz w:val="24"/>
        </w:rPr>
        <w:t> </w:t>
      </w:r>
      <w:r>
        <w:rPr>
          <w:spacing w:val="-2"/>
          <w:sz w:val="24"/>
        </w:rPr>
        <w:t>is</w:t>
      </w:r>
      <w:r>
        <w:rPr>
          <w:spacing w:val="-13"/>
          <w:sz w:val="24"/>
        </w:rPr>
        <w:t> </w:t>
      </w:r>
      <w:r>
        <w:rPr>
          <w:spacing w:val="-2"/>
          <w:sz w:val="24"/>
        </w:rPr>
        <w:t>in</w:t>
      </w:r>
      <w:r>
        <w:rPr>
          <w:spacing w:val="-12"/>
          <w:sz w:val="24"/>
        </w:rPr>
        <w:t> </w:t>
      </w:r>
      <w:r>
        <w:rPr>
          <w:spacing w:val="-2"/>
          <w:sz w:val="24"/>
        </w:rPr>
        <w:t>place</w:t>
      </w:r>
      <w:r>
        <w:rPr>
          <w:spacing w:val="-12"/>
          <w:sz w:val="24"/>
        </w:rPr>
        <w:t> </w:t>
      </w:r>
      <w:r>
        <w:rPr>
          <w:spacing w:val="-2"/>
          <w:sz w:val="24"/>
        </w:rPr>
        <w:t>enabling</w:t>
      </w:r>
      <w:r>
        <w:rPr>
          <w:spacing w:val="-12"/>
          <w:sz w:val="24"/>
        </w:rPr>
        <w:t> </w:t>
      </w:r>
      <w:r>
        <w:rPr>
          <w:spacing w:val="-2"/>
          <w:sz w:val="24"/>
        </w:rPr>
        <w:t>transparent </w:t>
      </w:r>
      <w:r>
        <w:rPr>
          <w:sz w:val="24"/>
        </w:rPr>
        <w:t>reporting</w:t>
      </w:r>
      <w:r>
        <w:rPr>
          <w:spacing w:val="-11"/>
          <w:sz w:val="24"/>
        </w:rPr>
        <w:t> </w:t>
      </w:r>
      <w:r>
        <w:rPr>
          <w:sz w:val="24"/>
        </w:rPr>
        <w:t>of</w:t>
      </w:r>
      <w:r>
        <w:rPr>
          <w:spacing w:val="-13"/>
          <w:sz w:val="24"/>
        </w:rPr>
        <w:t> </w:t>
      </w:r>
      <w:r>
        <w:rPr>
          <w:sz w:val="24"/>
        </w:rPr>
        <w:t>the</w:t>
      </w:r>
      <w:r>
        <w:rPr>
          <w:spacing w:val="-11"/>
          <w:sz w:val="24"/>
        </w:rPr>
        <w:t> </w:t>
      </w:r>
      <w:r>
        <w:rPr>
          <w:sz w:val="24"/>
        </w:rPr>
        <w:t>utilisation</w:t>
      </w:r>
      <w:r>
        <w:rPr>
          <w:spacing w:val="-15"/>
          <w:sz w:val="24"/>
        </w:rPr>
        <w:t> </w:t>
      </w:r>
      <w:r>
        <w:rPr>
          <w:sz w:val="24"/>
        </w:rPr>
        <w:t>and</w:t>
      </w:r>
      <w:r>
        <w:rPr>
          <w:spacing w:val="-15"/>
          <w:sz w:val="24"/>
        </w:rPr>
        <w:t> </w:t>
      </w:r>
      <w:r>
        <w:rPr>
          <w:sz w:val="24"/>
        </w:rPr>
        <w:t>allocation</w:t>
      </w:r>
      <w:r>
        <w:rPr>
          <w:spacing w:val="-11"/>
          <w:sz w:val="24"/>
        </w:rPr>
        <w:t> </w:t>
      </w:r>
      <w:r>
        <w:rPr>
          <w:sz w:val="24"/>
        </w:rPr>
        <w:t>of</w:t>
      </w:r>
      <w:r>
        <w:rPr>
          <w:spacing w:val="-13"/>
          <w:sz w:val="24"/>
        </w:rPr>
        <w:t> </w:t>
      </w:r>
      <w:r>
        <w:rPr>
          <w:sz w:val="24"/>
        </w:rPr>
        <w:t>resources</w:t>
      </w:r>
      <w:r>
        <w:rPr>
          <w:spacing w:val="-12"/>
          <w:sz w:val="24"/>
        </w:rPr>
        <w:t> </w:t>
      </w:r>
      <w:r>
        <w:rPr>
          <w:sz w:val="24"/>
        </w:rPr>
        <w:t>within</w:t>
      </w:r>
      <w:r>
        <w:rPr>
          <w:spacing w:val="-11"/>
          <w:sz w:val="24"/>
        </w:rPr>
        <w:t> </w:t>
      </w:r>
      <w:r>
        <w:rPr>
          <w:sz w:val="24"/>
        </w:rPr>
        <w:t>and</w:t>
      </w:r>
      <w:r>
        <w:rPr>
          <w:spacing w:val="-11"/>
          <w:sz w:val="24"/>
        </w:rPr>
        <w:t> </w:t>
      </w:r>
      <w:r>
        <w:rPr>
          <w:sz w:val="24"/>
        </w:rPr>
        <w:t>between</w:t>
      </w:r>
      <w:r>
        <w:rPr>
          <w:spacing w:val="-11"/>
          <w:sz w:val="24"/>
        </w:rPr>
        <w:t> </w:t>
      </w:r>
      <w:r>
        <w:rPr>
          <w:sz w:val="24"/>
        </w:rPr>
        <w:t>the</w:t>
      </w:r>
      <w:r>
        <w:rPr>
          <w:spacing w:val="-6"/>
          <w:sz w:val="24"/>
        </w:rPr>
        <w:t> </w:t>
      </w:r>
      <w:r>
        <w:rPr>
          <w:sz w:val="24"/>
        </w:rPr>
        <w:t>two Boards,</w:t>
      </w:r>
      <w:r>
        <w:rPr>
          <w:spacing w:val="-17"/>
          <w:sz w:val="24"/>
        </w:rPr>
        <w:t> </w:t>
      </w:r>
      <w:r>
        <w:rPr>
          <w:sz w:val="24"/>
        </w:rPr>
        <w:t>with</w:t>
      </w:r>
      <w:r>
        <w:rPr>
          <w:spacing w:val="-15"/>
          <w:sz w:val="24"/>
        </w:rPr>
        <w:t> </w:t>
      </w:r>
      <w:r>
        <w:rPr>
          <w:sz w:val="24"/>
        </w:rPr>
        <w:t>explicit</w:t>
      </w:r>
      <w:r>
        <w:rPr>
          <w:spacing w:val="-16"/>
          <w:sz w:val="24"/>
        </w:rPr>
        <w:t> </w:t>
      </w:r>
      <w:r>
        <w:rPr>
          <w:sz w:val="24"/>
        </w:rPr>
        <w:t>treatment</w:t>
      </w:r>
      <w:r>
        <w:rPr>
          <w:spacing w:val="-16"/>
          <w:sz w:val="24"/>
        </w:rPr>
        <w:t> </w:t>
      </w:r>
      <w:r>
        <w:rPr>
          <w:sz w:val="24"/>
        </w:rPr>
        <w:t>of</w:t>
      </w:r>
      <w:r>
        <w:rPr>
          <w:spacing w:val="-16"/>
          <w:sz w:val="24"/>
        </w:rPr>
        <w:t> </w:t>
      </w:r>
      <w:r>
        <w:rPr>
          <w:sz w:val="24"/>
        </w:rPr>
        <w:t>risk-share,</w:t>
      </w:r>
      <w:r>
        <w:rPr>
          <w:spacing w:val="-12"/>
          <w:sz w:val="24"/>
        </w:rPr>
        <w:t> </w:t>
      </w:r>
      <w:r>
        <w:rPr>
          <w:sz w:val="24"/>
        </w:rPr>
        <w:t>cross-boundary</w:t>
      </w:r>
      <w:r>
        <w:rPr>
          <w:spacing w:val="-14"/>
          <w:sz w:val="24"/>
        </w:rPr>
        <w:t> </w:t>
      </w:r>
      <w:r>
        <w:rPr>
          <w:sz w:val="24"/>
        </w:rPr>
        <w:t>activity,</w:t>
      </w:r>
      <w:r>
        <w:rPr>
          <w:spacing w:val="-16"/>
          <w:sz w:val="24"/>
        </w:rPr>
        <w:t> </w:t>
      </w:r>
      <w:r>
        <w:rPr>
          <w:sz w:val="24"/>
        </w:rPr>
        <w:t>capital,</w:t>
      </w:r>
      <w:r>
        <w:rPr>
          <w:spacing w:val="-17"/>
          <w:sz w:val="24"/>
        </w:rPr>
        <w:t> </w:t>
      </w:r>
      <w:r>
        <w:rPr>
          <w:sz w:val="24"/>
        </w:rPr>
        <w:t>and potential sharing of services.</w:t>
      </w:r>
    </w:p>
    <w:p>
      <w:pPr>
        <w:pStyle w:val="BodyText"/>
        <w:spacing w:before="1"/>
      </w:pPr>
    </w:p>
    <w:p>
      <w:pPr>
        <w:pStyle w:val="ListParagraph"/>
        <w:numPr>
          <w:ilvl w:val="2"/>
          <w:numId w:val="37"/>
        </w:numPr>
        <w:tabs>
          <w:tab w:pos="1560" w:val="left" w:leader="none"/>
          <w:tab w:pos="1563" w:val="left" w:leader="none"/>
        </w:tabs>
        <w:spacing w:line="240" w:lineRule="auto" w:before="0" w:after="0"/>
        <w:ind w:left="1563" w:right="592" w:hanging="711"/>
        <w:jc w:val="left"/>
        <w:rPr>
          <w:sz w:val="24"/>
        </w:rPr>
      </w:pPr>
      <w:r>
        <w:rPr>
          <w:sz w:val="24"/>
        </w:rPr>
        <w:t>Oversee</w:t>
      </w:r>
      <w:r>
        <w:rPr>
          <w:spacing w:val="-8"/>
          <w:sz w:val="24"/>
        </w:rPr>
        <w:t> </w:t>
      </w:r>
      <w:r>
        <w:rPr>
          <w:sz w:val="24"/>
        </w:rPr>
        <w:t>the</w:t>
      </w:r>
      <w:r>
        <w:rPr>
          <w:spacing w:val="-12"/>
          <w:sz w:val="24"/>
        </w:rPr>
        <w:t> </w:t>
      </w:r>
      <w:r>
        <w:rPr>
          <w:sz w:val="24"/>
        </w:rPr>
        <w:t>development</w:t>
      </w:r>
      <w:r>
        <w:rPr>
          <w:spacing w:val="-15"/>
          <w:sz w:val="24"/>
        </w:rPr>
        <w:t> </w:t>
      </w:r>
      <w:r>
        <w:rPr>
          <w:sz w:val="24"/>
        </w:rPr>
        <w:t>and</w:t>
      </w:r>
      <w:r>
        <w:rPr>
          <w:spacing w:val="-12"/>
          <w:sz w:val="24"/>
        </w:rPr>
        <w:t> </w:t>
      </w:r>
      <w:r>
        <w:rPr>
          <w:sz w:val="24"/>
        </w:rPr>
        <w:t>operation</w:t>
      </w:r>
      <w:r>
        <w:rPr>
          <w:spacing w:val="-12"/>
          <w:sz w:val="24"/>
        </w:rPr>
        <w:t> </w:t>
      </w:r>
      <w:r>
        <w:rPr>
          <w:sz w:val="24"/>
        </w:rPr>
        <w:t>of</w:t>
      </w:r>
      <w:r>
        <w:rPr>
          <w:spacing w:val="-15"/>
          <w:sz w:val="24"/>
        </w:rPr>
        <w:t> </w:t>
      </w:r>
      <w:r>
        <w:rPr>
          <w:sz w:val="24"/>
        </w:rPr>
        <w:t>joint</w:t>
      </w:r>
      <w:r>
        <w:rPr>
          <w:spacing w:val="-15"/>
          <w:sz w:val="24"/>
        </w:rPr>
        <w:t> </w:t>
      </w:r>
      <w:r>
        <w:rPr>
          <w:sz w:val="24"/>
        </w:rPr>
        <w:t>commissioning</w:t>
      </w:r>
      <w:r>
        <w:rPr>
          <w:spacing w:val="-12"/>
          <w:sz w:val="24"/>
        </w:rPr>
        <w:t> </w:t>
      </w:r>
      <w:r>
        <w:rPr>
          <w:sz w:val="24"/>
        </w:rPr>
        <w:t>arrangements, including</w:t>
      </w:r>
      <w:r>
        <w:rPr>
          <w:spacing w:val="-7"/>
          <w:sz w:val="24"/>
        </w:rPr>
        <w:t> </w:t>
      </w:r>
      <w:r>
        <w:rPr>
          <w:sz w:val="24"/>
        </w:rPr>
        <w:t>the</w:t>
      </w:r>
      <w:r>
        <w:rPr>
          <w:spacing w:val="-12"/>
          <w:sz w:val="24"/>
        </w:rPr>
        <w:t> </w:t>
      </w:r>
      <w:r>
        <w:rPr>
          <w:sz w:val="24"/>
        </w:rPr>
        <w:t>Long</w:t>
      </w:r>
      <w:r>
        <w:rPr>
          <w:spacing w:val="-12"/>
          <w:sz w:val="24"/>
        </w:rPr>
        <w:t> </w:t>
      </w:r>
      <w:r>
        <w:rPr>
          <w:sz w:val="24"/>
        </w:rPr>
        <w:t>Term</w:t>
      </w:r>
      <w:r>
        <w:rPr>
          <w:spacing w:val="-12"/>
          <w:sz w:val="24"/>
        </w:rPr>
        <w:t> </w:t>
      </w:r>
      <w:r>
        <w:rPr>
          <w:sz w:val="24"/>
        </w:rPr>
        <w:t>Agreements</w:t>
      </w:r>
      <w:r>
        <w:rPr>
          <w:spacing w:val="-13"/>
          <w:sz w:val="24"/>
        </w:rPr>
        <w:t> </w:t>
      </w:r>
      <w:r>
        <w:rPr>
          <w:sz w:val="24"/>
        </w:rPr>
        <w:t>and</w:t>
      </w:r>
      <w:r>
        <w:rPr>
          <w:spacing w:val="-12"/>
          <w:sz w:val="24"/>
        </w:rPr>
        <w:t> </w:t>
      </w:r>
      <w:r>
        <w:rPr>
          <w:sz w:val="24"/>
        </w:rPr>
        <w:t>Service</w:t>
      </w:r>
      <w:r>
        <w:rPr>
          <w:spacing w:val="-16"/>
          <w:sz w:val="24"/>
        </w:rPr>
        <w:t> </w:t>
      </w:r>
      <w:r>
        <w:rPr>
          <w:sz w:val="24"/>
        </w:rPr>
        <w:t>Level</w:t>
      </w:r>
      <w:r>
        <w:rPr>
          <w:spacing w:val="-12"/>
          <w:sz w:val="24"/>
        </w:rPr>
        <w:t> </w:t>
      </w:r>
      <w:r>
        <w:rPr>
          <w:sz w:val="24"/>
        </w:rPr>
        <w:t>Agreements</w:t>
      </w:r>
      <w:r>
        <w:rPr>
          <w:spacing w:val="-13"/>
          <w:sz w:val="24"/>
        </w:rPr>
        <w:t> </w:t>
      </w:r>
      <w:r>
        <w:rPr>
          <w:sz w:val="24"/>
        </w:rPr>
        <w:t>governing </w:t>
      </w:r>
      <w:r>
        <w:rPr>
          <w:spacing w:val="-2"/>
          <w:sz w:val="24"/>
        </w:rPr>
        <w:t>cross-boundary</w:t>
      </w:r>
      <w:r>
        <w:rPr>
          <w:spacing w:val="-15"/>
          <w:sz w:val="24"/>
        </w:rPr>
        <w:t> </w:t>
      </w:r>
      <w:r>
        <w:rPr>
          <w:spacing w:val="-2"/>
          <w:sz w:val="24"/>
        </w:rPr>
        <w:t>services,</w:t>
      </w:r>
      <w:r>
        <w:rPr>
          <w:spacing w:val="-15"/>
          <w:sz w:val="24"/>
        </w:rPr>
        <w:t> </w:t>
      </w:r>
      <w:r>
        <w:rPr>
          <w:spacing w:val="-2"/>
          <w:sz w:val="24"/>
        </w:rPr>
        <w:t>so</w:t>
      </w:r>
      <w:r>
        <w:rPr>
          <w:spacing w:val="-11"/>
          <w:sz w:val="24"/>
        </w:rPr>
        <w:t> </w:t>
      </w:r>
      <w:r>
        <w:rPr>
          <w:spacing w:val="-2"/>
          <w:sz w:val="24"/>
        </w:rPr>
        <w:t>that</w:t>
      </w:r>
      <w:r>
        <w:rPr>
          <w:spacing w:val="-15"/>
          <w:sz w:val="24"/>
        </w:rPr>
        <w:t> </w:t>
      </w:r>
      <w:r>
        <w:rPr>
          <w:spacing w:val="-2"/>
          <w:sz w:val="24"/>
        </w:rPr>
        <w:t>contracting</w:t>
      </w:r>
      <w:r>
        <w:rPr>
          <w:spacing w:val="-14"/>
          <w:sz w:val="24"/>
        </w:rPr>
        <w:t> </w:t>
      </w:r>
      <w:r>
        <w:rPr>
          <w:spacing w:val="-2"/>
          <w:sz w:val="24"/>
        </w:rPr>
        <w:t>reflects</w:t>
      </w:r>
      <w:r>
        <w:rPr>
          <w:spacing w:val="-15"/>
          <w:sz w:val="24"/>
        </w:rPr>
        <w:t> </w:t>
      </w:r>
      <w:r>
        <w:rPr>
          <w:spacing w:val="-2"/>
          <w:sz w:val="24"/>
        </w:rPr>
        <w:t>regional</w:t>
      </w:r>
      <w:r>
        <w:rPr>
          <w:spacing w:val="-14"/>
          <w:sz w:val="24"/>
        </w:rPr>
        <w:t> </w:t>
      </w:r>
      <w:r>
        <w:rPr>
          <w:spacing w:val="-2"/>
          <w:sz w:val="24"/>
        </w:rPr>
        <w:t>priorities</w:t>
      </w:r>
      <w:r>
        <w:rPr>
          <w:spacing w:val="-15"/>
          <w:sz w:val="24"/>
        </w:rPr>
        <w:t> </w:t>
      </w:r>
      <w:r>
        <w:rPr>
          <w:spacing w:val="-2"/>
          <w:sz w:val="24"/>
        </w:rPr>
        <w:t>and</w:t>
      </w:r>
      <w:r>
        <w:rPr>
          <w:spacing w:val="-10"/>
          <w:sz w:val="24"/>
        </w:rPr>
        <w:t> </w:t>
      </w:r>
      <w:r>
        <w:rPr>
          <w:spacing w:val="-2"/>
          <w:sz w:val="24"/>
        </w:rPr>
        <w:t>the</w:t>
      </w:r>
      <w:r>
        <w:rPr>
          <w:spacing w:val="-15"/>
          <w:sz w:val="24"/>
        </w:rPr>
        <w:t> </w:t>
      </w:r>
      <w:r>
        <w:rPr>
          <w:spacing w:val="-2"/>
          <w:sz w:val="24"/>
        </w:rPr>
        <w:t>work </w:t>
      </w:r>
      <w:r>
        <w:rPr>
          <w:sz w:val="24"/>
        </w:rPr>
        <w:t>of the Joint Commissioning Committee.</w:t>
      </w:r>
    </w:p>
    <w:p>
      <w:pPr>
        <w:pStyle w:val="ListParagraph"/>
        <w:numPr>
          <w:ilvl w:val="2"/>
          <w:numId w:val="37"/>
        </w:numPr>
        <w:tabs>
          <w:tab w:pos="1560" w:val="left" w:leader="none"/>
          <w:tab w:pos="1563" w:val="left" w:leader="none"/>
        </w:tabs>
        <w:spacing w:line="242" w:lineRule="auto" w:before="271" w:after="0"/>
        <w:ind w:left="1563" w:right="443" w:hanging="711"/>
        <w:jc w:val="both"/>
        <w:rPr>
          <w:sz w:val="24"/>
        </w:rPr>
      </w:pPr>
      <w:r>
        <w:rPr>
          <w:spacing w:val="-2"/>
          <w:sz w:val="24"/>
        </w:rPr>
        <w:t>Seek</w:t>
      </w:r>
      <w:r>
        <w:rPr>
          <w:spacing w:val="-9"/>
          <w:sz w:val="24"/>
        </w:rPr>
        <w:t> </w:t>
      </w:r>
      <w:r>
        <w:rPr>
          <w:spacing w:val="-2"/>
          <w:sz w:val="24"/>
        </w:rPr>
        <w:t>assurance</w:t>
      </w:r>
      <w:r>
        <w:rPr>
          <w:spacing w:val="-8"/>
          <w:sz w:val="24"/>
        </w:rPr>
        <w:t> </w:t>
      </w:r>
      <w:r>
        <w:rPr>
          <w:spacing w:val="-2"/>
          <w:sz w:val="24"/>
        </w:rPr>
        <w:t>that</w:t>
      </w:r>
      <w:r>
        <w:rPr>
          <w:spacing w:val="-11"/>
          <w:sz w:val="24"/>
        </w:rPr>
        <w:t> </w:t>
      </w:r>
      <w:r>
        <w:rPr>
          <w:spacing w:val="-2"/>
          <w:sz w:val="24"/>
        </w:rPr>
        <w:t>opportunities</w:t>
      </w:r>
      <w:r>
        <w:rPr>
          <w:spacing w:val="-9"/>
          <w:sz w:val="24"/>
        </w:rPr>
        <w:t> </w:t>
      </w:r>
      <w:r>
        <w:rPr>
          <w:spacing w:val="-2"/>
          <w:sz w:val="24"/>
        </w:rPr>
        <w:t>for</w:t>
      </w:r>
      <w:r>
        <w:rPr>
          <w:spacing w:val="-9"/>
          <w:sz w:val="24"/>
        </w:rPr>
        <w:t> </w:t>
      </w:r>
      <w:r>
        <w:rPr>
          <w:spacing w:val="-2"/>
          <w:sz w:val="24"/>
        </w:rPr>
        <w:t>value</w:t>
      </w:r>
      <w:r>
        <w:rPr>
          <w:spacing w:val="-8"/>
          <w:sz w:val="24"/>
        </w:rPr>
        <w:t> </w:t>
      </w:r>
      <w:r>
        <w:rPr>
          <w:spacing w:val="-2"/>
          <w:sz w:val="24"/>
        </w:rPr>
        <w:t>and</w:t>
      </w:r>
      <w:r>
        <w:rPr>
          <w:spacing w:val="-3"/>
          <w:sz w:val="24"/>
        </w:rPr>
        <w:t> </w:t>
      </w:r>
      <w:r>
        <w:rPr>
          <w:spacing w:val="-2"/>
          <w:sz w:val="24"/>
        </w:rPr>
        <w:t>efficiency</w:t>
      </w:r>
      <w:r>
        <w:rPr>
          <w:spacing w:val="-9"/>
          <w:sz w:val="24"/>
        </w:rPr>
        <w:t> </w:t>
      </w:r>
      <w:r>
        <w:rPr>
          <w:spacing w:val="-2"/>
          <w:sz w:val="24"/>
        </w:rPr>
        <w:t>across</w:t>
      </w:r>
      <w:r>
        <w:rPr>
          <w:spacing w:val="-9"/>
          <w:sz w:val="24"/>
        </w:rPr>
        <w:t> </w:t>
      </w:r>
      <w:r>
        <w:rPr>
          <w:spacing w:val="-2"/>
          <w:sz w:val="24"/>
        </w:rPr>
        <w:t>the</w:t>
      </w:r>
      <w:r>
        <w:rPr>
          <w:spacing w:val="-8"/>
          <w:sz w:val="24"/>
        </w:rPr>
        <w:t> </w:t>
      </w:r>
      <w:r>
        <w:rPr>
          <w:spacing w:val="-2"/>
          <w:sz w:val="24"/>
        </w:rPr>
        <w:t>regional</w:t>
      </w:r>
      <w:r>
        <w:rPr>
          <w:spacing w:val="-8"/>
          <w:sz w:val="24"/>
        </w:rPr>
        <w:t> </w:t>
      </w:r>
      <w:r>
        <w:rPr>
          <w:spacing w:val="-2"/>
          <w:sz w:val="24"/>
        </w:rPr>
        <w:t>health economy</w:t>
      </w:r>
      <w:r>
        <w:rPr>
          <w:spacing w:val="-15"/>
          <w:sz w:val="24"/>
        </w:rPr>
        <w:t> </w:t>
      </w:r>
      <w:r>
        <w:rPr>
          <w:spacing w:val="-2"/>
          <w:sz w:val="24"/>
        </w:rPr>
        <w:t>are</w:t>
      </w:r>
      <w:r>
        <w:rPr>
          <w:spacing w:val="-15"/>
          <w:sz w:val="24"/>
        </w:rPr>
        <w:t> </w:t>
      </w:r>
      <w:r>
        <w:rPr>
          <w:spacing w:val="-2"/>
          <w:sz w:val="24"/>
        </w:rPr>
        <w:t>systematically</w:t>
      </w:r>
      <w:r>
        <w:rPr>
          <w:spacing w:val="-14"/>
          <w:sz w:val="24"/>
        </w:rPr>
        <w:t> </w:t>
      </w:r>
      <w:r>
        <w:rPr>
          <w:spacing w:val="-2"/>
          <w:sz w:val="24"/>
        </w:rPr>
        <w:t>identified</w:t>
      </w:r>
      <w:r>
        <w:rPr>
          <w:spacing w:val="-13"/>
          <w:sz w:val="24"/>
        </w:rPr>
        <w:t> </w:t>
      </w:r>
      <w:r>
        <w:rPr>
          <w:spacing w:val="-2"/>
          <w:sz w:val="24"/>
        </w:rPr>
        <w:t>and</w:t>
      </w:r>
      <w:r>
        <w:rPr>
          <w:spacing w:val="-13"/>
          <w:sz w:val="24"/>
        </w:rPr>
        <w:t> </w:t>
      </w:r>
      <w:r>
        <w:rPr>
          <w:spacing w:val="-2"/>
          <w:sz w:val="24"/>
        </w:rPr>
        <w:t>tracked,</w:t>
      </w:r>
      <w:r>
        <w:rPr>
          <w:spacing w:val="-15"/>
          <w:sz w:val="24"/>
        </w:rPr>
        <w:t> </w:t>
      </w:r>
      <w:r>
        <w:rPr>
          <w:spacing w:val="-2"/>
          <w:sz w:val="24"/>
        </w:rPr>
        <w:t>with</w:t>
      </w:r>
      <w:r>
        <w:rPr>
          <w:spacing w:val="-15"/>
          <w:sz w:val="24"/>
        </w:rPr>
        <w:t> </w:t>
      </w:r>
      <w:r>
        <w:rPr>
          <w:spacing w:val="-2"/>
          <w:sz w:val="24"/>
        </w:rPr>
        <w:t>delivery</w:t>
      </w:r>
      <w:r>
        <w:rPr>
          <w:spacing w:val="-13"/>
          <w:sz w:val="24"/>
        </w:rPr>
        <w:t> </w:t>
      </w:r>
      <w:r>
        <w:rPr>
          <w:spacing w:val="-2"/>
          <w:sz w:val="24"/>
        </w:rPr>
        <w:t>aligned</w:t>
      </w:r>
      <w:r>
        <w:rPr>
          <w:spacing w:val="-8"/>
          <w:sz w:val="24"/>
        </w:rPr>
        <w:t> </w:t>
      </w:r>
      <w:r>
        <w:rPr>
          <w:spacing w:val="-2"/>
          <w:sz w:val="24"/>
        </w:rPr>
        <w:t>to</w:t>
      </w:r>
      <w:r>
        <w:rPr>
          <w:spacing w:val="-13"/>
          <w:sz w:val="24"/>
        </w:rPr>
        <w:t> </w:t>
      </w:r>
      <w:r>
        <w:rPr>
          <w:spacing w:val="-2"/>
          <w:sz w:val="24"/>
        </w:rPr>
        <w:t>the</w:t>
      </w:r>
      <w:r>
        <w:rPr>
          <w:spacing w:val="-8"/>
          <w:sz w:val="24"/>
        </w:rPr>
        <w:t> </w:t>
      </w:r>
      <w:r>
        <w:rPr>
          <w:spacing w:val="-2"/>
          <w:sz w:val="24"/>
        </w:rPr>
        <w:t>IMTPs </w:t>
      </w:r>
      <w:r>
        <w:rPr>
          <w:sz w:val="24"/>
        </w:rPr>
        <w:t>of both Boards.</w:t>
      </w:r>
    </w:p>
    <w:p>
      <w:pPr>
        <w:pStyle w:val="ListParagraph"/>
        <w:numPr>
          <w:ilvl w:val="2"/>
          <w:numId w:val="37"/>
        </w:numPr>
        <w:tabs>
          <w:tab w:pos="1560" w:val="left" w:leader="none"/>
          <w:tab w:pos="1563" w:val="left" w:leader="none"/>
        </w:tabs>
        <w:spacing w:line="242" w:lineRule="auto" w:before="269" w:after="0"/>
        <w:ind w:left="1563" w:right="486" w:hanging="711"/>
        <w:jc w:val="left"/>
        <w:rPr>
          <w:sz w:val="24"/>
        </w:rPr>
      </w:pPr>
      <w:r>
        <w:rPr>
          <w:spacing w:val="-2"/>
          <w:sz w:val="24"/>
        </w:rPr>
        <w:t>Develop</w:t>
      </w:r>
      <w:r>
        <w:rPr>
          <w:spacing w:val="-14"/>
          <w:sz w:val="24"/>
        </w:rPr>
        <w:t> </w:t>
      </w:r>
      <w:r>
        <w:rPr>
          <w:spacing w:val="-2"/>
          <w:sz w:val="24"/>
        </w:rPr>
        <w:t>coordinated</w:t>
      </w:r>
      <w:r>
        <w:rPr>
          <w:spacing w:val="-14"/>
          <w:sz w:val="24"/>
        </w:rPr>
        <w:t> </w:t>
      </w:r>
      <w:r>
        <w:rPr>
          <w:spacing w:val="-2"/>
          <w:sz w:val="24"/>
        </w:rPr>
        <w:t>financial</w:t>
      </w:r>
      <w:r>
        <w:rPr>
          <w:spacing w:val="-14"/>
          <w:sz w:val="24"/>
        </w:rPr>
        <w:t> </w:t>
      </w:r>
      <w:r>
        <w:rPr>
          <w:spacing w:val="-2"/>
          <w:sz w:val="24"/>
        </w:rPr>
        <w:t>planning</w:t>
      </w:r>
      <w:r>
        <w:rPr>
          <w:spacing w:val="-14"/>
          <w:sz w:val="24"/>
        </w:rPr>
        <w:t> </w:t>
      </w:r>
      <w:r>
        <w:rPr>
          <w:spacing w:val="-2"/>
          <w:sz w:val="24"/>
        </w:rPr>
        <w:t>and</w:t>
      </w:r>
      <w:r>
        <w:rPr>
          <w:spacing w:val="-14"/>
          <w:sz w:val="24"/>
        </w:rPr>
        <w:t> </w:t>
      </w:r>
      <w:r>
        <w:rPr>
          <w:spacing w:val="-2"/>
          <w:sz w:val="24"/>
        </w:rPr>
        <w:t>reporting</w:t>
      </w:r>
      <w:r>
        <w:rPr>
          <w:spacing w:val="-14"/>
          <w:sz w:val="24"/>
        </w:rPr>
        <w:t> </w:t>
      </w:r>
      <w:r>
        <w:rPr>
          <w:spacing w:val="-2"/>
          <w:sz w:val="24"/>
        </w:rPr>
        <w:t>across</w:t>
      </w:r>
      <w:r>
        <w:rPr>
          <w:spacing w:val="-15"/>
          <w:sz w:val="24"/>
        </w:rPr>
        <w:t> </w:t>
      </w:r>
      <w:r>
        <w:rPr>
          <w:spacing w:val="-2"/>
          <w:sz w:val="24"/>
        </w:rPr>
        <w:t>the</w:t>
      </w:r>
      <w:r>
        <w:rPr>
          <w:spacing w:val="-13"/>
          <w:sz w:val="24"/>
        </w:rPr>
        <w:t> </w:t>
      </w:r>
      <w:r>
        <w:rPr>
          <w:spacing w:val="-2"/>
          <w:sz w:val="24"/>
        </w:rPr>
        <w:t>RJC</w:t>
      </w:r>
      <w:r>
        <w:rPr>
          <w:spacing w:val="-9"/>
          <w:sz w:val="24"/>
        </w:rPr>
        <w:t> </w:t>
      </w:r>
      <w:r>
        <w:rPr>
          <w:spacing w:val="-2"/>
          <w:sz w:val="24"/>
        </w:rPr>
        <w:t>subgroups</w:t>
      </w:r>
      <w:r>
        <w:rPr>
          <w:spacing w:val="-15"/>
          <w:sz w:val="24"/>
        </w:rPr>
        <w:t> </w:t>
      </w:r>
      <w:r>
        <w:rPr>
          <w:spacing w:val="-2"/>
          <w:sz w:val="24"/>
        </w:rPr>
        <w:t>that </w:t>
      </w:r>
      <w:r>
        <w:rPr>
          <w:sz w:val="24"/>
        </w:rPr>
        <w:t>supports</w:t>
      </w:r>
      <w:r>
        <w:rPr>
          <w:spacing w:val="-14"/>
          <w:sz w:val="24"/>
        </w:rPr>
        <w:t> </w:t>
      </w:r>
      <w:r>
        <w:rPr>
          <w:sz w:val="24"/>
        </w:rPr>
        <w:t>both</w:t>
      </w:r>
      <w:r>
        <w:rPr>
          <w:spacing w:val="-13"/>
          <w:sz w:val="24"/>
        </w:rPr>
        <w:t> </w:t>
      </w:r>
      <w:r>
        <w:rPr>
          <w:sz w:val="24"/>
        </w:rPr>
        <w:t>organisations’</w:t>
      </w:r>
      <w:r>
        <w:rPr>
          <w:spacing w:val="-13"/>
          <w:sz w:val="24"/>
        </w:rPr>
        <w:t> </w:t>
      </w:r>
      <w:r>
        <w:rPr>
          <w:sz w:val="24"/>
        </w:rPr>
        <w:t>statutory</w:t>
      </w:r>
      <w:r>
        <w:rPr>
          <w:spacing w:val="-14"/>
          <w:sz w:val="24"/>
        </w:rPr>
        <w:t> </w:t>
      </w:r>
      <w:r>
        <w:rPr>
          <w:sz w:val="24"/>
        </w:rPr>
        <w:t>financial</w:t>
      </w:r>
      <w:r>
        <w:rPr>
          <w:spacing w:val="-13"/>
          <w:sz w:val="24"/>
        </w:rPr>
        <w:t> </w:t>
      </w:r>
      <w:r>
        <w:rPr>
          <w:sz w:val="24"/>
        </w:rPr>
        <w:t>duties</w:t>
      </w:r>
      <w:r>
        <w:rPr>
          <w:spacing w:val="-14"/>
          <w:sz w:val="24"/>
        </w:rPr>
        <w:t> </w:t>
      </w:r>
      <w:r>
        <w:rPr>
          <w:sz w:val="24"/>
        </w:rPr>
        <w:t>and</w:t>
      </w:r>
      <w:r>
        <w:rPr>
          <w:spacing w:val="-13"/>
          <w:sz w:val="24"/>
        </w:rPr>
        <w:t> </w:t>
      </w:r>
      <w:r>
        <w:rPr>
          <w:sz w:val="24"/>
        </w:rPr>
        <w:t>informs</w:t>
      </w:r>
      <w:r>
        <w:rPr>
          <w:spacing w:val="-10"/>
          <w:sz w:val="24"/>
        </w:rPr>
        <w:t> </w:t>
      </w:r>
      <w:r>
        <w:rPr>
          <w:sz w:val="24"/>
        </w:rPr>
        <w:t>Welsh Government</w:t>
      </w:r>
      <w:r>
        <w:rPr>
          <w:spacing w:val="-2"/>
          <w:sz w:val="24"/>
        </w:rPr>
        <w:t> </w:t>
      </w:r>
      <w:r>
        <w:rPr>
          <w:sz w:val="24"/>
        </w:rPr>
        <w:t>engagement</w:t>
      </w:r>
      <w:r>
        <w:rPr>
          <w:spacing w:val="-2"/>
          <w:sz w:val="24"/>
        </w:rPr>
        <w:t> </w:t>
      </w:r>
      <w:r>
        <w:rPr>
          <w:sz w:val="24"/>
        </w:rPr>
        <w:t>on regional investment.</w:t>
      </w:r>
    </w:p>
    <w:p>
      <w:pPr>
        <w:pStyle w:val="ListParagraph"/>
        <w:numPr>
          <w:ilvl w:val="2"/>
          <w:numId w:val="37"/>
        </w:numPr>
        <w:tabs>
          <w:tab w:pos="1559" w:val="left" w:leader="none"/>
          <w:tab w:pos="1563" w:val="left" w:leader="none"/>
        </w:tabs>
        <w:spacing w:line="240" w:lineRule="auto" w:before="270" w:after="0"/>
        <w:ind w:left="1563" w:right="1144" w:hanging="711"/>
        <w:jc w:val="left"/>
        <w:rPr>
          <w:sz w:val="24"/>
        </w:rPr>
      </w:pPr>
      <w:r>
        <w:rPr>
          <w:sz w:val="24"/>
        </w:rPr>
        <w:t>Seek</w:t>
      </w:r>
      <w:r>
        <w:rPr>
          <w:spacing w:val="-12"/>
          <w:sz w:val="24"/>
        </w:rPr>
        <w:t> </w:t>
      </w:r>
      <w:r>
        <w:rPr>
          <w:sz w:val="24"/>
        </w:rPr>
        <w:t>assurance</w:t>
      </w:r>
      <w:r>
        <w:rPr>
          <w:spacing w:val="-11"/>
          <w:sz w:val="24"/>
        </w:rPr>
        <w:t> </w:t>
      </w:r>
      <w:r>
        <w:rPr>
          <w:sz w:val="24"/>
        </w:rPr>
        <w:t>that</w:t>
      </w:r>
      <w:r>
        <w:rPr>
          <w:spacing w:val="-14"/>
          <w:sz w:val="24"/>
        </w:rPr>
        <w:t> </w:t>
      </w:r>
      <w:r>
        <w:rPr>
          <w:sz w:val="24"/>
        </w:rPr>
        <w:t>digital</w:t>
      </w:r>
      <w:r>
        <w:rPr>
          <w:spacing w:val="-11"/>
          <w:sz w:val="24"/>
        </w:rPr>
        <w:t> </w:t>
      </w:r>
      <w:r>
        <w:rPr>
          <w:sz w:val="24"/>
        </w:rPr>
        <w:t>solutions</w:t>
      </w:r>
      <w:r>
        <w:rPr>
          <w:spacing w:val="-12"/>
          <w:sz w:val="24"/>
        </w:rPr>
        <w:t> </w:t>
      </w:r>
      <w:r>
        <w:rPr>
          <w:sz w:val="24"/>
        </w:rPr>
        <w:t>enable</w:t>
      </w:r>
      <w:r>
        <w:rPr>
          <w:spacing w:val="-11"/>
          <w:sz w:val="24"/>
        </w:rPr>
        <w:t> </w:t>
      </w:r>
      <w:r>
        <w:rPr>
          <w:sz w:val="24"/>
        </w:rPr>
        <w:t>service</w:t>
      </w:r>
      <w:r>
        <w:rPr>
          <w:spacing w:val="-11"/>
          <w:sz w:val="24"/>
        </w:rPr>
        <w:t> </w:t>
      </w:r>
      <w:r>
        <w:rPr>
          <w:sz w:val="24"/>
        </w:rPr>
        <w:t>transformation</w:t>
      </w:r>
      <w:r>
        <w:rPr>
          <w:spacing w:val="-15"/>
          <w:sz w:val="24"/>
        </w:rPr>
        <w:t> </w:t>
      </w:r>
      <w:r>
        <w:rPr>
          <w:sz w:val="24"/>
        </w:rPr>
        <w:t>and </w:t>
      </w:r>
      <w:r>
        <w:rPr>
          <w:spacing w:val="-2"/>
          <w:sz w:val="24"/>
        </w:rPr>
        <w:t>systematically</w:t>
      </w:r>
      <w:r>
        <w:rPr>
          <w:spacing w:val="-13"/>
          <w:sz w:val="24"/>
        </w:rPr>
        <w:t> </w:t>
      </w:r>
      <w:r>
        <w:rPr>
          <w:spacing w:val="-2"/>
          <w:sz w:val="24"/>
        </w:rPr>
        <w:t>remove</w:t>
      </w:r>
      <w:r>
        <w:rPr>
          <w:spacing w:val="-12"/>
          <w:sz w:val="24"/>
        </w:rPr>
        <w:t> </w:t>
      </w:r>
      <w:r>
        <w:rPr>
          <w:spacing w:val="-2"/>
          <w:sz w:val="24"/>
        </w:rPr>
        <w:t>sources</w:t>
      </w:r>
      <w:r>
        <w:rPr>
          <w:spacing w:val="-13"/>
          <w:sz w:val="24"/>
        </w:rPr>
        <w:t> </w:t>
      </w:r>
      <w:r>
        <w:rPr>
          <w:spacing w:val="-2"/>
          <w:sz w:val="24"/>
        </w:rPr>
        <w:t>of</w:t>
      </w:r>
      <w:r>
        <w:rPr>
          <w:spacing w:val="-15"/>
          <w:sz w:val="24"/>
        </w:rPr>
        <w:t> </w:t>
      </w:r>
      <w:r>
        <w:rPr>
          <w:spacing w:val="-2"/>
          <w:sz w:val="24"/>
        </w:rPr>
        <w:t>friction</w:t>
      </w:r>
      <w:r>
        <w:rPr>
          <w:spacing w:val="-12"/>
          <w:sz w:val="24"/>
        </w:rPr>
        <w:t> </w:t>
      </w:r>
      <w:r>
        <w:rPr>
          <w:spacing w:val="-2"/>
          <w:sz w:val="24"/>
        </w:rPr>
        <w:t>in</w:t>
      </w:r>
      <w:r>
        <w:rPr>
          <w:spacing w:val="-12"/>
          <w:sz w:val="24"/>
        </w:rPr>
        <w:t> </w:t>
      </w:r>
      <w:r>
        <w:rPr>
          <w:spacing w:val="-2"/>
          <w:sz w:val="24"/>
        </w:rPr>
        <w:t>how</w:t>
      </w:r>
      <w:r>
        <w:rPr>
          <w:spacing w:val="-12"/>
          <w:sz w:val="24"/>
        </w:rPr>
        <w:t> </w:t>
      </w:r>
      <w:r>
        <w:rPr>
          <w:spacing w:val="-2"/>
          <w:sz w:val="24"/>
        </w:rPr>
        <w:t>staff</w:t>
      </w:r>
      <w:r>
        <w:rPr>
          <w:spacing w:val="-15"/>
          <w:sz w:val="24"/>
        </w:rPr>
        <w:t> </w:t>
      </w:r>
      <w:r>
        <w:rPr>
          <w:spacing w:val="-2"/>
          <w:sz w:val="24"/>
        </w:rPr>
        <w:t>and</w:t>
      </w:r>
      <w:r>
        <w:rPr>
          <w:spacing w:val="-12"/>
          <w:sz w:val="24"/>
        </w:rPr>
        <w:t> </w:t>
      </w:r>
      <w:r>
        <w:rPr>
          <w:spacing w:val="-2"/>
          <w:sz w:val="24"/>
        </w:rPr>
        <w:t>patients</w:t>
      </w:r>
      <w:r>
        <w:rPr>
          <w:spacing w:val="-13"/>
          <w:sz w:val="24"/>
        </w:rPr>
        <w:t> </w:t>
      </w:r>
      <w:r>
        <w:rPr>
          <w:spacing w:val="-2"/>
          <w:sz w:val="24"/>
        </w:rPr>
        <w:t>interact</w:t>
      </w:r>
      <w:r>
        <w:rPr>
          <w:spacing w:val="-15"/>
          <w:sz w:val="24"/>
        </w:rPr>
        <w:t> </w:t>
      </w:r>
      <w:r>
        <w:rPr>
          <w:spacing w:val="-2"/>
          <w:sz w:val="24"/>
        </w:rPr>
        <w:t>with </w:t>
      </w:r>
      <w:r>
        <w:rPr>
          <w:sz w:val="24"/>
        </w:rPr>
        <w:t>services,</w:t>
      </w:r>
      <w:r>
        <w:rPr>
          <w:spacing w:val="-13"/>
          <w:sz w:val="24"/>
        </w:rPr>
        <w:t> </w:t>
      </w:r>
      <w:r>
        <w:rPr>
          <w:sz w:val="24"/>
        </w:rPr>
        <w:t>including</w:t>
      </w:r>
      <w:r>
        <w:rPr>
          <w:spacing w:val="-10"/>
          <w:sz w:val="24"/>
        </w:rPr>
        <w:t> </w:t>
      </w:r>
      <w:r>
        <w:rPr>
          <w:sz w:val="24"/>
        </w:rPr>
        <w:t>reliance</w:t>
      </w:r>
      <w:r>
        <w:rPr>
          <w:spacing w:val="-10"/>
          <w:sz w:val="24"/>
        </w:rPr>
        <w:t> </w:t>
      </w:r>
      <w:r>
        <w:rPr>
          <w:sz w:val="24"/>
        </w:rPr>
        <w:t>on</w:t>
      </w:r>
      <w:r>
        <w:rPr>
          <w:spacing w:val="-10"/>
          <w:sz w:val="24"/>
        </w:rPr>
        <w:t> </w:t>
      </w:r>
      <w:r>
        <w:rPr>
          <w:sz w:val="24"/>
        </w:rPr>
        <w:t>manual</w:t>
      </w:r>
      <w:r>
        <w:rPr>
          <w:spacing w:val="-10"/>
          <w:sz w:val="24"/>
        </w:rPr>
        <w:t> </w:t>
      </w:r>
      <w:r>
        <w:rPr>
          <w:sz w:val="24"/>
        </w:rPr>
        <w:t>and</w:t>
      </w:r>
      <w:r>
        <w:rPr>
          <w:spacing w:val="-10"/>
          <w:sz w:val="24"/>
        </w:rPr>
        <w:t> </w:t>
      </w:r>
      <w:r>
        <w:rPr>
          <w:sz w:val="24"/>
        </w:rPr>
        <w:t>paper-based</w:t>
      </w:r>
      <w:r>
        <w:rPr>
          <w:spacing w:val="-10"/>
          <w:sz w:val="24"/>
        </w:rPr>
        <w:t> </w:t>
      </w:r>
      <w:r>
        <w:rPr>
          <w:sz w:val="24"/>
        </w:rPr>
        <w:t>processes.</w:t>
      </w:r>
    </w:p>
    <w:p>
      <w:pPr>
        <w:pStyle w:val="BodyText"/>
        <w:spacing w:before="1"/>
      </w:pPr>
    </w:p>
    <w:p>
      <w:pPr>
        <w:pStyle w:val="ListParagraph"/>
        <w:numPr>
          <w:ilvl w:val="2"/>
          <w:numId w:val="37"/>
        </w:numPr>
        <w:tabs>
          <w:tab w:pos="1559" w:val="left" w:leader="none"/>
          <w:tab w:pos="1563" w:val="left" w:leader="none"/>
        </w:tabs>
        <w:spacing w:line="240" w:lineRule="auto" w:before="0" w:after="0"/>
        <w:ind w:left="1563" w:right="598" w:hanging="711"/>
        <w:jc w:val="left"/>
        <w:rPr>
          <w:sz w:val="24"/>
        </w:rPr>
      </w:pPr>
      <w:r>
        <w:rPr>
          <w:sz w:val="24"/>
        </w:rPr>
        <w:t>Develop</w:t>
      </w:r>
      <w:r>
        <w:rPr>
          <w:spacing w:val="-12"/>
          <w:sz w:val="24"/>
        </w:rPr>
        <w:t> </w:t>
      </w:r>
      <w:r>
        <w:rPr>
          <w:sz w:val="24"/>
        </w:rPr>
        <w:t>a</w:t>
      </w:r>
      <w:r>
        <w:rPr>
          <w:spacing w:val="-12"/>
          <w:sz w:val="24"/>
        </w:rPr>
        <w:t> </w:t>
      </w:r>
      <w:r>
        <w:rPr>
          <w:sz w:val="24"/>
        </w:rPr>
        <w:t>regional</w:t>
      </w:r>
      <w:r>
        <w:rPr>
          <w:spacing w:val="-12"/>
          <w:sz w:val="24"/>
        </w:rPr>
        <w:t> </w:t>
      </w:r>
      <w:r>
        <w:rPr>
          <w:sz w:val="24"/>
        </w:rPr>
        <w:t>approach</w:t>
      </w:r>
      <w:r>
        <w:rPr>
          <w:spacing w:val="-12"/>
          <w:sz w:val="24"/>
        </w:rPr>
        <w:t> </w:t>
      </w:r>
      <w:r>
        <w:rPr>
          <w:sz w:val="24"/>
        </w:rPr>
        <w:t>to</w:t>
      </w:r>
      <w:r>
        <w:rPr>
          <w:spacing w:val="-12"/>
          <w:sz w:val="24"/>
        </w:rPr>
        <w:t> </w:t>
      </w:r>
      <w:r>
        <w:rPr>
          <w:sz w:val="24"/>
        </w:rPr>
        <w:t>data</w:t>
      </w:r>
      <w:r>
        <w:rPr>
          <w:spacing w:val="-12"/>
          <w:sz w:val="24"/>
        </w:rPr>
        <w:t> </w:t>
      </w:r>
      <w:r>
        <w:rPr>
          <w:sz w:val="24"/>
        </w:rPr>
        <w:t>sharing</w:t>
      </w:r>
      <w:r>
        <w:rPr>
          <w:spacing w:val="-12"/>
          <w:sz w:val="24"/>
        </w:rPr>
        <w:t> </w:t>
      </w:r>
      <w:r>
        <w:rPr>
          <w:sz w:val="24"/>
        </w:rPr>
        <w:t>and</w:t>
      </w:r>
      <w:r>
        <w:rPr>
          <w:spacing w:val="-8"/>
          <w:sz w:val="24"/>
        </w:rPr>
        <w:t> </w:t>
      </w:r>
      <w:r>
        <w:rPr>
          <w:sz w:val="24"/>
        </w:rPr>
        <w:t>interoperability,</w:t>
      </w:r>
      <w:r>
        <w:rPr>
          <w:spacing w:val="-15"/>
          <w:sz w:val="24"/>
        </w:rPr>
        <w:t> </w:t>
      </w:r>
      <w:r>
        <w:rPr>
          <w:sz w:val="24"/>
        </w:rPr>
        <w:t>ensuring </w:t>
      </w:r>
      <w:r>
        <w:rPr>
          <w:spacing w:val="-2"/>
          <w:sz w:val="24"/>
        </w:rPr>
        <w:t>information</w:t>
      </w:r>
      <w:r>
        <w:rPr>
          <w:spacing w:val="-15"/>
          <w:sz w:val="24"/>
        </w:rPr>
        <w:t> </w:t>
      </w:r>
      <w:r>
        <w:rPr>
          <w:spacing w:val="-2"/>
          <w:sz w:val="24"/>
        </w:rPr>
        <w:t>flows</w:t>
      </w:r>
      <w:r>
        <w:rPr>
          <w:spacing w:val="-12"/>
          <w:sz w:val="24"/>
        </w:rPr>
        <w:t> </w:t>
      </w:r>
      <w:r>
        <w:rPr>
          <w:spacing w:val="-2"/>
          <w:sz w:val="24"/>
        </w:rPr>
        <w:t>between</w:t>
      </w:r>
      <w:r>
        <w:rPr>
          <w:spacing w:val="-12"/>
          <w:sz w:val="24"/>
        </w:rPr>
        <w:t> </w:t>
      </w:r>
      <w:r>
        <w:rPr>
          <w:spacing w:val="-2"/>
          <w:sz w:val="24"/>
        </w:rPr>
        <w:t>the</w:t>
      </w:r>
      <w:r>
        <w:rPr>
          <w:spacing w:val="-12"/>
          <w:sz w:val="24"/>
        </w:rPr>
        <w:t> </w:t>
      </w:r>
      <w:r>
        <w:rPr>
          <w:spacing w:val="-2"/>
          <w:sz w:val="24"/>
        </w:rPr>
        <w:t>two</w:t>
      </w:r>
      <w:r>
        <w:rPr>
          <w:spacing w:val="-12"/>
          <w:sz w:val="24"/>
        </w:rPr>
        <w:t> </w:t>
      </w:r>
      <w:r>
        <w:rPr>
          <w:spacing w:val="-2"/>
          <w:sz w:val="24"/>
        </w:rPr>
        <w:t>Boards</w:t>
      </w:r>
      <w:r>
        <w:rPr>
          <w:spacing w:val="-13"/>
          <w:sz w:val="24"/>
        </w:rPr>
        <w:t> </w:t>
      </w:r>
      <w:r>
        <w:rPr>
          <w:spacing w:val="-2"/>
          <w:sz w:val="24"/>
        </w:rPr>
        <w:t>and</w:t>
      </w:r>
      <w:r>
        <w:rPr>
          <w:spacing w:val="-15"/>
          <w:sz w:val="24"/>
        </w:rPr>
        <w:t> </w:t>
      </w:r>
      <w:r>
        <w:rPr>
          <w:spacing w:val="-2"/>
          <w:sz w:val="24"/>
        </w:rPr>
        <w:t>with</w:t>
      </w:r>
      <w:r>
        <w:rPr>
          <w:spacing w:val="-12"/>
          <w:sz w:val="24"/>
        </w:rPr>
        <w:t> </w:t>
      </w:r>
      <w:r>
        <w:rPr>
          <w:spacing w:val="-2"/>
          <w:sz w:val="24"/>
        </w:rPr>
        <w:t>wider</w:t>
      </w:r>
      <w:r>
        <w:rPr>
          <w:spacing w:val="-13"/>
          <w:sz w:val="24"/>
        </w:rPr>
        <w:t> </w:t>
      </w:r>
      <w:r>
        <w:rPr>
          <w:spacing w:val="-2"/>
          <w:sz w:val="24"/>
        </w:rPr>
        <w:t>partners</w:t>
      </w:r>
      <w:r>
        <w:rPr>
          <w:spacing w:val="-13"/>
          <w:sz w:val="24"/>
        </w:rPr>
        <w:t> </w:t>
      </w:r>
      <w:r>
        <w:rPr>
          <w:spacing w:val="-2"/>
          <w:sz w:val="24"/>
        </w:rPr>
        <w:t>are</w:t>
      </w:r>
      <w:r>
        <w:rPr>
          <w:spacing w:val="-15"/>
          <w:sz w:val="24"/>
        </w:rPr>
        <w:t> </w:t>
      </w:r>
      <w:r>
        <w:rPr>
          <w:spacing w:val="-2"/>
          <w:sz w:val="24"/>
        </w:rPr>
        <w:t>appropriately </w:t>
      </w:r>
      <w:r>
        <w:rPr>
          <w:sz w:val="24"/>
        </w:rPr>
        <w:t>governed</w:t>
      </w:r>
      <w:r>
        <w:rPr>
          <w:spacing w:val="-7"/>
          <w:sz w:val="24"/>
        </w:rPr>
        <w:t> </w:t>
      </w:r>
      <w:r>
        <w:rPr>
          <w:sz w:val="24"/>
        </w:rPr>
        <w:t>and</w:t>
      </w:r>
      <w:r>
        <w:rPr>
          <w:spacing w:val="-7"/>
          <w:sz w:val="24"/>
        </w:rPr>
        <w:t> </w:t>
      </w:r>
      <w:r>
        <w:rPr>
          <w:sz w:val="24"/>
        </w:rPr>
        <w:t>aligned</w:t>
      </w:r>
      <w:r>
        <w:rPr>
          <w:spacing w:val="-7"/>
          <w:sz w:val="24"/>
        </w:rPr>
        <w:t> </w:t>
      </w:r>
      <w:r>
        <w:rPr>
          <w:sz w:val="24"/>
        </w:rPr>
        <w:t>to</w:t>
      </w:r>
      <w:r>
        <w:rPr>
          <w:spacing w:val="-7"/>
          <w:sz w:val="24"/>
        </w:rPr>
        <w:t> </w:t>
      </w:r>
      <w:r>
        <w:rPr>
          <w:sz w:val="24"/>
        </w:rPr>
        <w:t>all-Wales</w:t>
      </w:r>
      <w:r>
        <w:rPr>
          <w:spacing w:val="-8"/>
          <w:sz w:val="24"/>
        </w:rPr>
        <w:t> </w:t>
      </w:r>
      <w:r>
        <w:rPr>
          <w:sz w:val="24"/>
        </w:rPr>
        <w:t>architecture</w:t>
      </w:r>
      <w:r>
        <w:rPr>
          <w:spacing w:val="-7"/>
          <w:sz w:val="24"/>
        </w:rPr>
        <w:t> </w:t>
      </w:r>
      <w:r>
        <w:rPr>
          <w:sz w:val="24"/>
        </w:rPr>
        <w:t>and</w:t>
      </w:r>
      <w:r>
        <w:rPr>
          <w:spacing w:val="-12"/>
          <w:sz w:val="24"/>
        </w:rPr>
        <w:t> </w:t>
      </w:r>
      <w:r>
        <w:rPr>
          <w:sz w:val="24"/>
        </w:rPr>
        <w:t>standards.</w:t>
      </w:r>
    </w:p>
    <w:p>
      <w:pPr>
        <w:pStyle w:val="BodyText"/>
        <w:spacing w:before="1"/>
      </w:pPr>
    </w:p>
    <w:p>
      <w:pPr>
        <w:pStyle w:val="ListParagraph"/>
        <w:numPr>
          <w:ilvl w:val="2"/>
          <w:numId w:val="37"/>
        </w:numPr>
        <w:tabs>
          <w:tab w:pos="1559" w:val="left" w:leader="none"/>
          <w:tab w:pos="1563" w:val="left" w:leader="none"/>
        </w:tabs>
        <w:spacing w:line="240" w:lineRule="auto" w:before="0" w:after="0"/>
        <w:ind w:left="1563" w:right="670" w:hanging="711"/>
        <w:jc w:val="left"/>
        <w:rPr>
          <w:sz w:val="24"/>
        </w:rPr>
      </w:pPr>
      <w:r>
        <w:rPr>
          <w:spacing w:val="-2"/>
          <w:sz w:val="24"/>
        </w:rPr>
        <w:t>Oversee</w:t>
      </w:r>
      <w:r>
        <w:rPr>
          <w:spacing w:val="-15"/>
          <w:sz w:val="24"/>
        </w:rPr>
        <w:t> </w:t>
      </w:r>
      <w:r>
        <w:rPr>
          <w:spacing w:val="-2"/>
          <w:sz w:val="24"/>
        </w:rPr>
        <w:t>joint</w:t>
      </w:r>
      <w:r>
        <w:rPr>
          <w:spacing w:val="-15"/>
          <w:sz w:val="24"/>
        </w:rPr>
        <w:t> </w:t>
      </w:r>
      <w:r>
        <w:rPr>
          <w:spacing w:val="-2"/>
          <w:sz w:val="24"/>
        </w:rPr>
        <w:t>digital</w:t>
      </w:r>
      <w:r>
        <w:rPr>
          <w:spacing w:val="-14"/>
          <w:sz w:val="24"/>
        </w:rPr>
        <w:t> </w:t>
      </w:r>
      <w:r>
        <w:rPr>
          <w:spacing w:val="-2"/>
          <w:sz w:val="24"/>
        </w:rPr>
        <w:t>infrastructure</w:t>
      </w:r>
      <w:r>
        <w:rPr>
          <w:spacing w:val="-15"/>
          <w:sz w:val="24"/>
        </w:rPr>
        <w:t> </w:t>
      </w:r>
      <w:r>
        <w:rPr>
          <w:spacing w:val="-2"/>
          <w:sz w:val="24"/>
        </w:rPr>
        <w:t>and</w:t>
      </w:r>
      <w:r>
        <w:rPr>
          <w:spacing w:val="-15"/>
          <w:sz w:val="24"/>
        </w:rPr>
        <w:t> </w:t>
      </w:r>
      <w:r>
        <w:rPr>
          <w:spacing w:val="-2"/>
          <w:sz w:val="24"/>
        </w:rPr>
        <w:t>procurement</w:t>
      </w:r>
      <w:r>
        <w:rPr>
          <w:spacing w:val="-15"/>
          <w:sz w:val="24"/>
        </w:rPr>
        <w:t> </w:t>
      </w:r>
      <w:r>
        <w:rPr>
          <w:spacing w:val="-2"/>
          <w:sz w:val="24"/>
        </w:rPr>
        <w:t>decisions,</w:t>
      </w:r>
      <w:r>
        <w:rPr>
          <w:spacing w:val="-14"/>
          <w:sz w:val="24"/>
        </w:rPr>
        <w:t> </w:t>
      </w:r>
      <w:r>
        <w:rPr>
          <w:spacing w:val="-2"/>
          <w:sz w:val="24"/>
        </w:rPr>
        <w:t>reducing</w:t>
      </w:r>
      <w:r>
        <w:rPr>
          <w:spacing w:val="-15"/>
          <w:sz w:val="24"/>
        </w:rPr>
        <w:t> </w:t>
      </w:r>
      <w:r>
        <w:rPr>
          <w:spacing w:val="-2"/>
          <w:sz w:val="24"/>
        </w:rPr>
        <w:t>duplication </w:t>
      </w:r>
      <w:r>
        <w:rPr>
          <w:sz w:val="24"/>
        </w:rPr>
        <w:t>and</w:t>
      </w:r>
      <w:r>
        <w:rPr>
          <w:spacing w:val="-17"/>
          <w:sz w:val="24"/>
        </w:rPr>
        <w:t> </w:t>
      </w:r>
      <w:r>
        <w:rPr>
          <w:sz w:val="24"/>
        </w:rPr>
        <w:t>supporting</w:t>
      </w:r>
      <w:r>
        <w:rPr>
          <w:spacing w:val="-12"/>
          <w:sz w:val="24"/>
        </w:rPr>
        <w:t> </w:t>
      </w:r>
      <w:r>
        <w:rPr>
          <w:sz w:val="24"/>
        </w:rPr>
        <w:t>consolidation</w:t>
      </w:r>
      <w:r>
        <w:rPr>
          <w:spacing w:val="-12"/>
          <w:sz w:val="24"/>
        </w:rPr>
        <w:t> </w:t>
      </w:r>
      <w:r>
        <w:rPr>
          <w:sz w:val="24"/>
        </w:rPr>
        <w:t>onto</w:t>
      </w:r>
      <w:r>
        <w:rPr>
          <w:spacing w:val="-12"/>
          <w:sz w:val="24"/>
        </w:rPr>
        <w:t> </w:t>
      </w:r>
      <w:r>
        <w:rPr>
          <w:sz w:val="24"/>
        </w:rPr>
        <w:t>common</w:t>
      </w:r>
      <w:r>
        <w:rPr>
          <w:spacing w:val="-12"/>
          <w:sz w:val="24"/>
        </w:rPr>
        <w:t> </w:t>
      </w:r>
      <w:r>
        <w:rPr>
          <w:sz w:val="24"/>
        </w:rPr>
        <w:t>platforms</w:t>
      </w:r>
      <w:r>
        <w:rPr>
          <w:spacing w:val="-13"/>
          <w:sz w:val="24"/>
        </w:rPr>
        <w:t> </w:t>
      </w:r>
      <w:r>
        <w:rPr>
          <w:sz w:val="24"/>
        </w:rPr>
        <w:t>where</w:t>
      </w:r>
      <w:r>
        <w:rPr>
          <w:spacing w:val="-12"/>
          <w:sz w:val="24"/>
        </w:rPr>
        <w:t> </w:t>
      </w:r>
      <w:r>
        <w:rPr>
          <w:sz w:val="24"/>
        </w:rPr>
        <w:t>this</w:t>
      </w:r>
      <w:r>
        <w:rPr>
          <w:spacing w:val="-13"/>
          <w:sz w:val="24"/>
        </w:rPr>
        <w:t> </w:t>
      </w:r>
      <w:r>
        <w:rPr>
          <w:sz w:val="24"/>
        </w:rPr>
        <w:t>serves</w:t>
      </w:r>
      <w:r>
        <w:rPr>
          <w:spacing w:val="-13"/>
          <w:sz w:val="24"/>
        </w:rPr>
        <w:t> </w:t>
      </w:r>
      <w:r>
        <w:rPr>
          <w:sz w:val="24"/>
        </w:rPr>
        <w:t>regional </w:t>
      </w:r>
      <w:r>
        <w:rPr>
          <w:spacing w:val="-2"/>
          <w:sz w:val="24"/>
        </w:rPr>
        <w:t>priorities.</w:t>
      </w:r>
    </w:p>
    <w:p>
      <w:pPr>
        <w:pStyle w:val="ListParagraph"/>
        <w:numPr>
          <w:ilvl w:val="2"/>
          <w:numId w:val="37"/>
        </w:numPr>
        <w:tabs>
          <w:tab w:pos="1559" w:val="left" w:leader="none"/>
          <w:tab w:pos="1563" w:val="left" w:leader="none"/>
        </w:tabs>
        <w:spacing w:line="242" w:lineRule="auto" w:before="273" w:after="0"/>
        <w:ind w:left="1563" w:right="439" w:hanging="711"/>
        <w:jc w:val="left"/>
        <w:rPr>
          <w:sz w:val="24"/>
        </w:rPr>
      </w:pPr>
      <w:r>
        <w:rPr>
          <w:sz w:val="24"/>
        </w:rPr>
        <w:t>Seek</w:t>
      </w:r>
      <w:r>
        <w:rPr>
          <w:spacing w:val="-17"/>
          <w:sz w:val="24"/>
        </w:rPr>
        <w:t> </w:t>
      </w:r>
      <w:r>
        <w:rPr>
          <w:sz w:val="24"/>
        </w:rPr>
        <w:t>assurance</w:t>
      </w:r>
      <w:r>
        <w:rPr>
          <w:spacing w:val="-17"/>
          <w:sz w:val="24"/>
        </w:rPr>
        <w:t> </w:t>
      </w:r>
      <w:r>
        <w:rPr>
          <w:sz w:val="24"/>
        </w:rPr>
        <w:t>that</w:t>
      </w:r>
      <w:r>
        <w:rPr>
          <w:spacing w:val="-16"/>
          <w:sz w:val="24"/>
        </w:rPr>
        <w:t> </w:t>
      </w:r>
      <w:r>
        <w:rPr>
          <w:sz w:val="24"/>
        </w:rPr>
        <w:t>AI,</w:t>
      </w:r>
      <w:r>
        <w:rPr>
          <w:spacing w:val="-17"/>
          <w:sz w:val="24"/>
        </w:rPr>
        <w:t> </w:t>
      </w:r>
      <w:r>
        <w:rPr>
          <w:sz w:val="24"/>
        </w:rPr>
        <w:t>automation,</w:t>
      </w:r>
      <w:r>
        <w:rPr>
          <w:spacing w:val="-17"/>
          <w:sz w:val="24"/>
        </w:rPr>
        <w:t> </w:t>
      </w:r>
      <w:r>
        <w:rPr>
          <w:sz w:val="24"/>
        </w:rPr>
        <w:t>and</w:t>
      </w:r>
      <w:r>
        <w:rPr>
          <w:spacing w:val="-17"/>
          <w:sz w:val="24"/>
        </w:rPr>
        <w:t> </w:t>
      </w:r>
      <w:r>
        <w:rPr>
          <w:sz w:val="24"/>
        </w:rPr>
        <w:t>advanced</w:t>
      </w:r>
      <w:r>
        <w:rPr>
          <w:spacing w:val="-16"/>
          <w:sz w:val="24"/>
        </w:rPr>
        <w:t> </w:t>
      </w:r>
      <w:r>
        <w:rPr>
          <w:sz w:val="24"/>
        </w:rPr>
        <w:t>analytics</w:t>
      </w:r>
      <w:r>
        <w:rPr>
          <w:spacing w:val="-17"/>
          <w:sz w:val="24"/>
        </w:rPr>
        <w:t> </w:t>
      </w:r>
      <w:r>
        <w:rPr>
          <w:sz w:val="24"/>
        </w:rPr>
        <w:t>capability</w:t>
      </w:r>
      <w:r>
        <w:rPr>
          <w:spacing w:val="-17"/>
          <w:sz w:val="24"/>
        </w:rPr>
        <w:t> </w:t>
      </w:r>
      <w:r>
        <w:rPr>
          <w:sz w:val="24"/>
        </w:rPr>
        <w:t>is</w:t>
      </w:r>
      <w:r>
        <w:rPr>
          <w:spacing w:val="-16"/>
          <w:sz w:val="24"/>
        </w:rPr>
        <w:t> </w:t>
      </w:r>
      <w:r>
        <w:rPr>
          <w:sz w:val="24"/>
        </w:rPr>
        <w:t>developed </w:t>
      </w:r>
      <w:r>
        <w:rPr>
          <w:spacing w:val="-2"/>
          <w:sz w:val="24"/>
        </w:rPr>
        <w:t>across</w:t>
      </w:r>
      <w:r>
        <w:rPr>
          <w:spacing w:val="-12"/>
          <w:sz w:val="24"/>
        </w:rPr>
        <w:t> </w:t>
      </w:r>
      <w:r>
        <w:rPr>
          <w:spacing w:val="-2"/>
          <w:sz w:val="24"/>
        </w:rPr>
        <w:t>the</w:t>
      </w:r>
      <w:r>
        <w:rPr>
          <w:spacing w:val="-6"/>
          <w:sz w:val="24"/>
        </w:rPr>
        <w:t> </w:t>
      </w:r>
      <w:r>
        <w:rPr>
          <w:spacing w:val="-2"/>
          <w:sz w:val="24"/>
        </w:rPr>
        <w:t>region</w:t>
      </w:r>
      <w:r>
        <w:rPr>
          <w:spacing w:val="-11"/>
          <w:sz w:val="24"/>
        </w:rPr>
        <w:t> </w:t>
      </w:r>
      <w:r>
        <w:rPr>
          <w:spacing w:val="-2"/>
          <w:sz w:val="24"/>
        </w:rPr>
        <w:t>with</w:t>
      </w:r>
      <w:r>
        <w:rPr>
          <w:spacing w:val="-11"/>
          <w:sz w:val="24"/>
        </w:rPr>
        <w:t> </w:t>
      </w:r>
      <w:r>
        <w:rPr>
          <w:spacing w:val="-2"/>
          <w:sz w:val="24"/>
        </w:rPr>
        <w:t>appropriate</w:t>
      </w:r>
      <w:r>
        <w:rPr>
          <w:spacing w:val="-11"/>
          <w:sz w:val="24"/>
        </w:rPr>
        <w:t> </w:t>
      </w:r>
      <w:r>
        <w:rPr>
          <w:spacing w:val="-2"/>
          <w:sz w:val="24"/>
        </w:rPr>
        <w:t>governance,</w:t>
      </w:r>
      <w:r>
        <w:rPr>
          <w:spacing w:val="-14"/>
          <w:sz w:val="24"/>
        </w:rPr>
        <w:t> </w:t>
      </w:r>
      <w:r>
        <w:rPr>
          <w:spacing w:val="-2"/>
          <w:sz w:val="24"/>
        </w:rPr>
        <w:t>evaluation,</w:t>
      </w:r>
      <w:r>
        <w:rPr>
          <w:spacing w:val="-14"/>
          <w:sz w:val="24"/>
        </w:rPr>
        <w:t> </w:t>
      </w:r>
      <w:r>
        <w:rPr>
          <w:spacing w:val="-2"/>
          <w:sz w:val="24"/>
        </w:rPr>
        <w:t>and</w:t>
      </w:r>
      <w:r>
        <w:rPr>
          <w:spacing w:val="-15"/>
          <w:sz w:val="24"/>
        </w:rPr>
        <w:t> </w:t>
      </w:r>
      <w:r>
        <w:rPr>
          <w:spacing w:val="-2"/>
          <w:sz w:val="24"/>
        </w:rPr>
        <w:t>a</w:t>
      </w:r>
      <w:r>
        <w:rPr>
          <w:spacing w:val="-11"/>
          <w:sz w:val="24"/>
        </w:rPr>
        <w:t> </w:t>
      </w:r>
      <w:r>
        <w:rPr>
          <w:spacing w:val="-2"/>
          <w:sz w:val="24"/>
        </w:rPr>
        <w:t>clear</w:t>
      </w:r>
      <w:r>
        <w:rPr>
          <w:spacing w:val="-12"/>
          <w:sz w:val="24"/>
        </w:rPr>
        <w:t> </w:t>
      </w:r>
      <w:r>
        <w:rPr>
          <w:spacing w:val="-2"/>
          <w:sz w:val="24"/>
        </w:rPr>
        <w:t>line</w:t>
      </w:r>
      <w:r>
        <w:rPr>
          <w:spacing w:val="-11"/>
          <w:sz w:val="24"/>
        </w:rPr>
        <w:t> </w:t>
      </w:r>
      <w:r>
        <w:rPr>
          <w:spacing w:val="-2"/>
          <w:sz w:val="24"/>
        </w:rPr>
        <w:t>of</w:t>
      </w:r>
      <w:r>
        <w:rPr>
          <w:spacing w:val="-14"/>
          <w:sz w:val="24"/>
        </w:rPr>
        <w:t> </w:t>
      </w:r>
      <w:r>
        <w:rPr>
          <w:spacing w:val="-2"/>
          <w:sz w:val="24"/>
        </w:rPr>
        <w:t>sight</w:t>
      </w:r>
      <w:r>
        <w:rPr>
          <w:spacing w:val="-14"/>
          <w:sz w:val="24"/>
        </w:rPr>
        <w:t> </w:t>
      </w:r>
      <w:r>
        <w:rPr>
          <w:spacing w:val="-2"/>
          <w:sz w:val="24"/>
        </w:rPr>
        <w:t>to </w:t>
      </w:r>
      <w:r>
        <w:rPr>
          <w:sz w:val="24"/>
        </w:rPr>
        <w:t>clinical and operational benefit.</w:t>
      </w:r>
    </w:p>
    <w:p>
      <w:pPr>
        <w:pStyle w:val="BodyText"/>
        <w:spacing w:before="70"/>
        <w:rPr>
          <w:sz w:val="20"/>
        </w:rPr>
      </w:pPr>
      <w:r>
        <w:rPr>
          <w:sz w:val="20"/>
        </w:rPr>
        <mc:AlternateContent>
          <mc:Choice Requires="wps">
            <w:drawing>
              <wp:anchor distT="0" distB="0" distL="0" distR="0" allowOverlap="1" layoutInCell="1" locked="0" behindDoc="1" simplePos="0" relativeHeight="487653888">
                <wp:simplePos x="0" y="0"/>
                <wp:positionH relativeFrom="page">
                  <wp:posOffset>574992</wp:posOffset>
                </wp:positionH>
                <wp:positionV relativeFrom="paragraph">
                  <wp:posOffset>212153</wp:posOffset>
                </wp:positionV>
                <wp:extent cx="6553200" cy="193675"/>
                <wp:effectExtent l="0" t="0" r="0" b="0"/>
                <wp:wrapTopAndBottom/>
                <wp:docPr id="438" name="Textbox 438"/>
                <wp:cNvGraphicFramePr>
                  <a:graphicFrameLocks/>
                </wp:cNvGraphicFramePr>
                <a:graphic>
                  <a:graphicData uri="http://schemas.microsoft.com/office/word/2010/wordprocessingShape">
                    <wps:wsp>
                      <wps:cNvPr id="438" name="Textbox 438"/>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4.</w:t>
                            </w:r>
                            <w:r>
                              <w:rPr>
                                <w:b/>
                                <w:color w:val="000000"/>
                                <w:spacing w:val="30"/>
                                <w:sz w:val="24"/>
                              </w:rPr>
                              <w:t>  </w:t>
                            </w:r>
                            <w:r>
                              <w:rPr>
                                <w:b/>
                                <w:color w:val="000000"/>
                                <w:spacing w:val="-2"/>
                                <w:sz w:val="24"/>
                              </w:rPr>
                              <w:t>Engagement</w:t>
                            </w:r>
                          </w:p>
                        </w:txbxContent>
                      </wps:txbx>
                      <wps:bodyPr wrap="square" lIns="0" tIns="0" rIns="0" bIns="0" rtlCol="0">
                        <a:noAutofit/>
                      </wps:bodyPr>
                    </wps:wsp>
                  </a:graphicData>
                </a:graphic>
              </wp:anchor>
            </w:drawing>
          </mc:Choice>
          <mc:Fallback>
            <w:pict>
              <v:shape style="position:absolute;margin-left:45.275002pt;margin-top:16.704981pt;width:516pt;height:15.25pt;mso-position-horizontal-relative:page;mso-position-vertical-relative:paragraph;z-index:-15662592;mso-wrap-distance-left:0;mso-wrap-distance-right:0" type="#_x0000_t202" id="docshape221" filled="true" fillcolor="#c1a875" stroked="true" strokeweight="1pt" strokecolor="#394871">
                <v:textbox inset="0,0,0,0">
                  <w:txbxContent>
                    <w:p>
                      <w:pPr>
                        <w:spacing w:before="0"/>
                        <w:ind w:left="95" w:right="0" w:firstLine="0"/>
                        <w:jc w:val="left"/>
                        <w:rPr>
                          <w:b/>
                          <w:color w:val="000000"/>
                          <w:sz w:val="24"/>
                        </w:rPr>
                      </w:pPr>
                      <w:r>
                        <w:rPr>
                          <w:b/>
                          <w:color w:val="000000"/>
                          <w:sz w:val="24"/>
                        </w:rPr>
                        <w:t>4.</w:t>
                      </w:r>
                      <w:r>
                        <w:rPr>
                          <w:b/>
                          <w:color w:val="000000"/>
                          <w:spacing w:val="30"/>
                          <w:sz w:val="24"/>
                        </w:rPr>
                        <w:t>  </w:t>
                      </w:r>
                      <w:r>
                        <w:rPr>
                          <w:b/>
                          <w:color w:val="000000"/>
                          <w:spacing w:val="-2"/>
                          <w:sz w:val="24"/>
                        </w:rPr>
                        <w:t>Engagement</w:t>
                      </w:r>
                    </w:p>
                  </w:txbxContent>
                </v:textbox>
                <v:fill type="solid"/>
                <v:stroke dashstyle="solid"/>
                <w10:wrap type="topAndBottom"/>
              </v:shape>
            </w:pict>
          </mc:Fallback>
        </mc:AlternateContent>
      </w:r>
    </w:p>
    <w:p>
      <w:pPr>
        <w:pStyle w:val="BodyText"/>
        <w:spacing w:before="9"/>
      </w:pPr>
    </w:p>
    <w:p>
      <w:pPr>
        <w:pStyle w:val="ListParagraph"/>
        <w:numPr>
          <w:ilvl w:val="1"/>
          <w:numId w:val="38"/>
        </w:numPr>
        <w:tabs>
          <w:tab w:pos="852" w:val="left" w:leader="none"/>
        </w:tabs>
        <w:spacing w:line="242" w:lineRule="auto" w:before="0" w:after="0"/>
        <w:ind w:left="852" w:right="1035" w:hanging="710"/>
        <w:jc w:val="left"/>
        <w:rPr>
          <w:sz w:val="24"/>
        </w:rPr>
      </w:pPr>
      <w:r>
        <w:rPr>
          <w:spacing w:val="-2"/>
          <w:sz w:val="24"/>
        </w:rPr>
        <w:t>The</w:t>
      </w:r>
      <w:r>
        <w:rPr>
          <w:spacing w:val="-11"/>
          <w:sz w:val="24"/>
        </w:rPr>
        <w:t> </w:t>
      </w:r>
      <w:r>
        <w:rPr>
          <w:spacing w:val="-2"/>
          <w:sz w:val="24"/>
        </w:rPr>
        <w:t>RJC</w:t>
      </w:r>
      <w:r>
        <w:rPr>
          <w:spacing w:val="-10"/>
          <w:sz w:val="24"/>
        </w:rPr>
        <w:t> </w:t>
      </w:r>
      <w:r>
        <w:rPr>
          <w:spacing w:val="-2"/>
          <w:sz w:val="24"/>
        </w:rPr>
        <w:t>will</w:t>
      </w:r>
      <w:r>
        <w:rPr>
          <w:spacing w:val="-7"/>
          <w:sz w:val="24"/>
        </w:rPr>
        <w:t> </w:t>
      </w:r>
      <w:r>
        <w:rPr>
          <w:spacing w:val="-2"/>
          <w:sz w:val="24"/>
        </w:rPr>
        <w:t>take</w:t>
      </w:r>
      <w:r>
        <w:rPr>
          <w:spacing w:val="-11"/>
          <w:sz w:val="24"/>
        </w:rPr>
        <w:t> </w:t>
      </w:r>
      <w:r>
        <w:rPr>
          <w:spacing w:val="-2"/>
          <w:sz w:val="24"/>
        </w:rPr>
        <w:t>a</w:t>
      </w:r>
      <w:r>
        <w:rPr>
          <w:spacing w:val="-11"/>
          <w:sz w:val="24"/>
        </w:rPr>
        <w:t> </w:t>
      </w:r>
      <w:r>
        <w:rPr>
          <w:spacing w:val="-2"/>
          <w:sz w:val="24"/>
        </w:rPr>
        <w:t>‘people</w:t>
      </w:r>
      <w:r>
        <w:rPr>
          <w:spacing w:val="-7"/>
          <w:sz w:val="24"/>
        </w:rPr>
        <w:t> </w:t>
      </w:r>
      <w:r>
        <w:rPr>
          <w:spacing w:val="-2"/>
          <w:sz w:val="24"/>
        </w:rPr>
        <w:t>first'</w:t>
      </w:r>
      <w:r>
        <w:rPr>
          <w:spacing w:val="-13"/>
          <w:sz w:val="24"/>
        </w:rPr>
        <w:t> </w:t>
      </w:r>
      <w:r>
        <w:rPr>
          <w:spacing w:val="-2"/>
          <w:sz w:val="24"/>
        </w:rPr>
        <w:t>approach</w:t>
      </w:r>
      <w:r>
        <w:rPr>
          <w:spacing w:val="-9"/>
          <w:sz w:val="24"/>
        </w:rPr>
        <w:t> </w:t>
      </w:r>
      <w:r>
        <w:rPr>
          <w:spacing w:val="-2"/>
          <w:sz w:val="24"/>
        </w:rPr>
        <w:t>–</w:t>
      </w:r>
      <w:r>
        <w:rPr>
          <w:spacing w:val="-11"/>
          <w:sz w:val="24"/>
        </w:rPr>
        <w:t> </w:t>
      </w:r>
      <w:r>
        <w:rPr>
          <w:spacing w:val="-2"/>
          <w:sz w:val="24"/>
        </w:rPr>
        <w:t>putting</w:t>
      </w:r>
      <w:r>
        <w:rPr>
          <w:spacing w:val="-15"/>
          <w:sz w:val="24"/>
        </w:rPr>
        <w:t> </w:t>
      </w:r>
      <w:r>
        <w:rPr>
          <w:spacing w:val="-2"/>
          <w:sz w:val="24"/>
        </w:rPr>
        <w:t>patients,</w:t>
      </w:r>
      <w:r>
        <w:rPr>
          <w:spacing w:val="-14"/>
          <w:sz w:val="24"/>
        </w:rPr>
        <w:t> </w:t>
      </w:r>
      <w:r>
        <w:rPr>
          <w:spacing w:val="-2"/>
          <w:sz w:val="24"/>
        </w:rPr>
        <w:t>our</w:t>
      </w:r>
      <w:r>
        <w:rPr>
          <w:spacing w:val="-12"/>
          <w:sz w:val="24"/>
        </w:rPr>
        <w:t> </w:t>
      </w:r>
      <w:r>
        <w:rPr>
          <w:spacing w:val="-2"/>
          <w:sz w:val="24"/>
        </w:rPr>
        <w:t>communities</w:t>
      </w:r>
      <w:r>
        <w:rPr>
          <w:spacing w:val="-12"/>
          <w:sz w:val="24"/>
        </w:rPr>
        <w:t> </w:t>
      </w:r>
      <w:r>
        <w:rPr>
          <w:spacing w:val="-2"/>
          <w:sz w:val="24"/>
        </w:rPr>
        <w:t>and</w:t>
      </w:r>
      <w:r>
        <w:rPr>
          <w:spacing w:val="-11"/>
          <w:sz w:val="24"/>
        </w:rPr>
        <w:t> </w:t>
      </w:r>
      <w:r>
        <w:rPr>
          <w:spacing w:val="-2"/>
          <w:sz w:val="24"/>
        </w:rPr>
        <w:t>our </w:t>
      </w:r>
      <w:r>
        <w:rPr>
          <w:sz w:val="24"/>
        </w:rPr>
        <w:t>Health</w:t>
      </w:r>
      <w:r>
        <w:rPr>
          <w:spacing w:val="-3"/>
          <w:sz w:val="24"/>
        </w:rPr>
        <w:t> </w:t>
      </w:r>
      <w:r>
        <w:rPr>
          <w:sz w:val="24"/>
        </w:rPr>
        <w:t>Boards’ colleagues</w:t>
      </w:r>
      <w:r>
        <w:rPr>
          <w:spacing w:val="-4"/>
          <w:sz w:val="24"/>
        </w:rPr>
        <w:t> </w:t>
      </w:r>
      <w:r>
        <w:rPr>
          <w:sz w:val="24"/>
        </w:rPr>
        <w:t>at</w:t>
      </w:r>
      <w:r>
        <w:rPr>
          <w:spacing w:val="-1"/>
          <w:sz w:val="24"/>
        </w:rPr>
        <w:t> </w:t>
      </w:r>
      <w:r>
        <w:rPr>
          <w:sz w:val="24"/>
        </w:rPr>
        <w:t>the</w:t>
      </w:r>
      <w:r>
        <w:rPr>
          <w:spacing w:val="-3"/>
          <w:sz w:val="24"/>
        </w:rPr>
        <w:t> </w:t>
      </w:r>
      <w:r>
        <w:rPr>
          <w:sz w:val="24"/>
        </w:rPr>
        <w:t>centre</w:t>
      </w:r>
      <w:r>
        <w:rPr>
          <w:spacing w:val="-3"/>
          <w:sz w:val="24"/>
        </w:rPr>
        <w:t> </w:t>
      </w:r>
      <w:r>
        <w:rPr>
          <w:sz w:val="24"/>
        </w:rPr>
        <w:t>of</w:t>
      </w:r>
      <w:r>
        <w:rPr>
          <w:spacing w:val="-6"/>
          <w:sz w:val="24"/>
        </w:rPr>
        <w:t> </w:t>
      </w:r>
      <w:r>
        <w:rPr>
          <w:sz w:val="24"/>
        </w:rPr>
        <w:t>our</w:t>
      </w:r>
      <w:r>
        <w:rPr>
          <w:spacing w:val="-4"/>
          <w:sz w:val="24"/>
        </w:rPr>
        <w:t> </w:t>
      </w:r>
      <w:r>
        <w:rPr>
          <w:sz w:val="24"/>
        </w:rPr>
        <w:t>work.</w:t>
      </w:r>
    </w:p>
    <w:p>
      <w:pPr>
        <w:pStyle w:val="BodyText"/>
        <w:rPr>
          <w:sz w:val="20"/>
        </w:rPr>
      </w:pPr>
    </w:p>
    <w:p>
      <w:pPr>
        <w:pStyle w:val="BodyText"/>
        <w:rPr>
          <w:sz w:val="20"/>
        </w:rPr>
      </w:pPr>
    </w:p>
    <w:p>
      <w:pPr>
        <w:pStyle w:val="BodyText"/>
        <w:spacing w:before="210"/>
        <w:rPr>
          <w:sz w:val="20"/>
        </w:rPr>
      </w:pPr>
    </w:p>
    <w:p>
      <w:pPr>
        <w:spacing w:before="0"/>
        <w:ind w:left="4" w:right="284" w:firstLine="0"/>
        <w:jc w:val="center"/>
        <w:rPr>
          <w:sz w:val="20"/>
        </w:rPr>
      </w:pPr>
      <w:r>
        <w:rPr>
          <w:spacing w:val="-10"/>
          <w:sz w:val="20"/>
        </w:rPr>
        <w:t>5</w:t>
      </w:r>
    </w:p>
    <w:p>
      <w:pPr>
        <w:spacing w:after="0"/>
        <w:jc w:val="center"/>
        <w:rPr>
          <w:sz w:val="20"/>
        </w:rPr>
        <w:sectPr>
          <w:pgSz w:w="11910" w:h="16840"/>
          <w:pgMar w:header="0" w:footer="149" w:top="1160" w:bottom="340" w:left="708" w:right="425"/>
        </w:sectPr>
      </w:pPr>
    </w:p>
    <w:p>
      <w:pPr>
        <w:pStyle w:val="ListParagraph"/>
        <w:numPr>
          <w:ilvl w:val="1"/>
          <w:numId w:val="38"/>
        </w:numPr>
        <w:tabs>
          <w:tab w:pos="852" w:val="left" w:leader="none"/>
        </w:tabs>
        <w:spacing w:line="242" w:lineRule="auto" w:before="65" w:after="0"/>
        <w:ind w:left="852" w:right="1009" w:hanging="710"/>
        <w:jc w:val="left"/>
        <w:rPr>
          <w:sz w:val="24"/>
        </w:rPr>
      </w:pPr>
      <w:r>
        <w:rPr>
          <w:sz w:val="24"/>
        </w:rPr>
        <w:t>The</w:t>
      </w:r>
      <w:r>
        <w:rPr>
          <w:spacing w:val="-12"/>
          <w:sz w:val="24"/>
        </w:rPr>
        <w:t> </w:t>
      </w:r>
      <w:r>
        <w:rPr>
          <w:sz w:val="24"/>
        </w:rPr>
        <w:t>RJC</w:t>
      </w:r>
      <w:r>
        <w:rPr>
          <w:spacing w:val="-10"/>
          <w:sz w:val="24"/>
        </w:rPr>
        <w:t> </w:t>
      </w:r>
      <w:r>
        <w:rPr>
          <w:sz w:val="24"/>
        </w:rPr>
        <w:t>will,</w:t>
      </w:r>
      <w:r>
        <w:rPr>
          <w:spacing w:val="-14"/>
          <w:sz w:val="24"/>
        </w:rPr>
        <w:t> </w:t>
      </w:r>
      <w:r>
        <w:rPr>
          <w:sz w:val="24"/>
        </w:rPr>
        <w:t>in</w:t>
      </w:r>
      <w:r>
        <w:rPr>
          <w:spacing w:val="-11"/>
          <w:sz w:val="24"/>
        </w:rPr>
        <w:t> </w:t>
      </w:r>
      <w:r>
        <w:rPr>
          <w:sz w:val="24"/>
        </w:rPr>
        <w:t>respect</w:t>
      </w:r>
      <w:r>
        <w:rPr>
          <w:spacing w:val="-14"/>
          <w:sz w:val="24"/>
        </w:rPr>
        <w:t> </w:t>
      </w:r>
      <w:r>
        <w:rPr>
          <w:sz w:val="24"/>
        </w:rPr>
        <w:t>of</w:t>
      </w:r>
      <w:r>
        <w:rPr>
          <w:spacing w:val="-9"/>
          <w:sz w:val="24"/>
        </w:rPr>
        <w:t> </w:t>
      </w:r>
      <w:r>
        <w:rPr>
          <w:sz w:val="24"/>
        </w:rPr>
        <w:t>the</w:t>
      </w:r>
      <w:r>
        <w:rPr>
          <w:spacing w:val="-11"/>
          <w:sz w:val="24"/>
        </w:rPr>
        <w:t> </w:t>
      </w:r>
      <w:r>
        <w:rPr>
          <w:sz w:val="24"/>
        </w:rPr>
        <w:t>joint</w:t>
      </w:r>
      <w:r>
        <w:rPr>
          <w:spacing w:val="-14"/>
          <w:sz w:val="24"/>
        </w:rPr>
        <w:t> </w:t>
      </w:r>
      <w:r>
        <w:rPr>
          <w:sz w:val="24"/>
        </w:rPr>
        <w:t>projects,</w:t>
      </w:r>
      <w:r>
        <w:rPr>
          <w:spacing w:val="-17"/>
          <w:sz w:val="24"/>
        </w:rPr>
        <w:t> </w:t>
      </w:r>
      <w:r>
        <w:rPr>
          <w:sz w:val="24"/>
        </w:rPr>
        <w:t>initiatives</w:t>
      </w:r>
      <w:r>
        <w:rPr>
          <w:spacing w:val="-12"/>
          <w:sz w:val="24"/>
        </w:rPr>
        <w:t> </w:t>
      </w:r>
      <w:r>
        <w:rPr>
          <w:sz w:val="24"/>
        </w:rPr>
        <w:t>or</w:t>
      </w:r>
      <w:r>
        <w:rPr>
          <w:spacing w:val="-12"/>
          <w:sz w:val="24"/>
        </w:rPr>
        <w:t> </w:t>
      </w:r>
      <w:r>
        <w:rPr>
          <w:sz w:val="24"/>
        </w:rPr>
        <w:t>developments,</w:t>
      </w:r>
      <w:r>
        <w:rPr>
          <w:spacing w:val="-14"/>
          <w:sz w:val="24"/>
        </w:rPr>
        <w:t> </w:t>
      </w:r>
      <w:r>
        <w:rPr>
          <w:sz w:val="24"/>
        </w:rPr>
        <w:t>consider</w:t>
      </w:r>
      <w:r>
        <w:rPr>
          <w:spacing w:val="-7"/>
          <w:sz w:val="24"/>
        </w:rPr>
        <w:t> </w:t>
      </w:r>
      <w:r>
        <w:rPr>
          <w:sz w:val="24"/>
        </w:rPr>
        <w:t>the </w:t>
      </w:r>
      <w:r>
        <w:rPr>
          <w:spacing w:val="-2"/>
          <w:sz w:val="24"/>
        </w:rPr>
        <w:t>patient,</w:t>
      </w:r>
      <w:r>
        <w:rPr>
          <w:spacing w:val="-15"/>
          <w:sz w:val="24"/>
        </w:rPr>
        <w:t> </w:t>
      </w:r>
      <w:r>
        <w:rPr>
          <w:spacing w:val="-2"/>
          <w:sz w:val="24"/>
        </w:rPr>
        <w:t>public</w:t>
      </w:r>
      <w:r>
        <w:rPr>
          <w:spacing w:val="-15"/>
          <w:sz w:val="24"/>
        </w:rPr>
        <w:t> </w:t>
      </w:r>
      <w:r>
        <w:rPr>
          <w:spacing w:val="-2"/>
          <w:sz w:val="24"/>
        </w:rPr>
        <w:t>and</w:t>
      </w:r>
      <w:r>
        <w:rPr>
          <w:spacing w:val="-14"/>
          <w:sz w:val="24"/>
        </w:rPr>
        <w:t> </w:t>
      </w:r>
      <w:r>
        <w:rPr>
          <w:spacing w:val="-2"/>
          <w:sz w:val="24"/>
        </w:rPr>
        <w:t>stakeholder</w:t>
      </w:r>
      <w:r>
        <w:rPr>
          <w:spacing w:val="-15"/>
          <w:sz w:val="24"/>
        </w:rPr>
        <w:t> </w:t>
      </w:r>
      <w:r>
        <w:rPr>
          <w:spacing w:val="-2"/>
          <w:sz w:val="24"/>
        </w:rPr>
        <w:t>engagement</w:t>
      </w:r>
      <w:r>
        <w:rPr>
          <w:spacing w:val="-15"/>
          <w:sz w:val="24"/>
        </w:rPr>
        <w:t> </w:t>
      </w:r>
      <w:r>
        <w:rPr>
          <w:spacing w:val="-2"/>
          <w:sz w:val="24"/>
        </w:rPr>
        <w:t>requirements,</w:t>
      </w:r>
      <w:r>
        <w:rPr>
          <w:spacing w:val="-15"/>
          <w:sz w:val="24"/>
        </w:rPr>
        <w:t> </w:t>
      </w:r>
      <w:r>
        <w:rPr>
          <w:spacing w:val="-2"/>
          <w:sz w:val="24"/>
        </w:rPr>
        <w:t>and</w:t>
      </w:r>
      <w:r>
        <w:rPr>
          <w:spacing w:val="-14"/>
          <w:sz w:val="24"/>
        </w:rPr>
        <w:t> </w:t>
      </w:r>
      <w:r>
        <w:rPr>
          <w:spacing w:val="-2"/>
          <w:sz w:val="24"/>
        </w:rPr>
        <w:t>provide</w:t>
      </w:r>
      <w:r>
        <w:rPr>
          <w:spacing w:val="-15"/>
          <w:sz w:val="24"/>
        </w:rPr>
        <w:t> </w:t>
      </w:r>
      <w:r>
        <w:rPr>
          <w:spacing w:val="-2"/>
          <w:sz w:val="24"/>
        </w:rPr>
        <w:t>assurance</w:t>
      </w:r>
      <w:r>
        <w:rPr>
          <w:spacing w:val="-13"/>
          <w:sz w:val="24"/>
        </w:rPr>
        <w:t> </w:t>
      </w:r>
      <w:r>
        <w:rPr>
          <w:spacing w:val="-2"/>
          <w:sz w:val="24"/>
        </w:rPr>
        <w:t>and </w:t>
      </w:r>
      <w:r>
        <w:rPr>
          <w:sz w:val="24"/>
        </w:rPr>
        <w:t>advice</w:t>
      </w:r>
      <w:r>
        <w:rPr>
          <w:spacing w:val="-17"/>
          <w:sz w:val="24"/>
        </w:rPr>
        <w:t> </w:t>
      </w:r>
      <w:r>
        <w:rPr>
          <w:sz w:val="24"/>
        </w:rPr>
        <w:t>to</w:t>
      </w:r>
      <w:r>
        <w:rPr>
          <w:spacing w:val="-17"/>
          <w:sz w:val="24"/>
        </w:rPr>
        <w:t> </w:t>
      </w:r>
      <w:r>
        <w:rPr>
          <w:sz w:val="24"/>
        </w:rPr>
        <w:t>the</w:t>
      </w:r>
      <w:r>
        <w:rPr>
          <w:spacing w:val="-16"/>
          <w:sz w:val="24"/>
        </w:rPr>
        <w:t> </w:t>
      </w:r>
      <w:r>
        <w:rPr>
          <w:sz w:val="24"/>
        </w:rPr>
        <w:t>respective</w:t>
      </w:r>
      <w:r>
        <w:rPr>
          <w:spacing w:val="-17"/>
          <w:sz w:val="24"/>
        </w:rPr>
        <w:t> </w:t>
      </w:r>
      <w:r>
        <w:rPr>
          <w:sz w:val="24"/>
        </w:rPr>
        <w:t>Health</w:t>
      </w:r>
      <w:r>
        <w:rPr>
          <w:spacing w:val="-17"/>
          <w:sz w:val="24"/>
        </w:rPr>
        <w:t> </w:t>
      </w:r>
      <w:r>
        <w:rPr>
          <w:sz w:val="24"/>
        </w:rPr>
        <w:t>Boards</w:t>
      </w:r>
      <w:r>
        <w:rPr>
          <w:spacing w:val="-17"/>
          <w:sz w:val="24"/>
        </w:rPr>
        <w:t> </w:t>
      </w:r>
      <w:r>
        <w:rPr>
          <w:sz w:val="24"/>
        </w:rPr>
        <w:t>on</w:t>
      </w:r>
      <w:r>
        <w:rPr>
          <w:spacing w:val="-16"/>
          <w:sz w:val="24"/>
        </w:rPr>
        <w:t> </w:t>
      </w:r>
      <w:r>
        <w:rPr>
          <w:sz w:val="24"/>
        </w:rPr>
        <w:t>engagement</w:t>
      </w:r>
      <w:r>
        <w:rPr>
          <w:spacing w:val="-17"/>
          <w:sz w:val="24"/>
        </w:rPr>
        <w:t> </w:t>
      </w:r>
      <w:r>
        <w:rPr>
          <w:sz w:val="24"/>
        </w:rPr>
        <w:t>and</w:t>
      </w:r>
      <w:r>
        <w:rPr>
          <w:spacing w:val="-17"/>
          <w:sz w:val="24"/>
        </w:rPr>
        <w:t> </w:t>
      </w:r>
      <w:r>
        <w:rPr>
          <w:sz w:val="24"/>
        </w:rPr>
        <w:t>communication</w:t>
      </w:r>
      <w:r>
        <w:rPr>
          <w:spacing w:val="-16"/>
          <w:sz w:val="24"/>
        </w:rPr>
        <w:t> </w:t>
      </w:r>
      <w:r>
        <w:rPr>
          <w:sz w:val="24"/>
        </w:rPr>
        <w:t>activities.</w:t>
      </w:r>
    </w:p>
    <w:p>
      <w:pPr>
        <w:pStyle w:val="ListParagraph"/>
        <w:numPr>
          <w:ilvl w:val="1"/>
          <w:numId w:val="38"/>
        </w:numPr>
        <w:tabs>
          <w:tab w:pos="852" w:val="left" w:leader="none"/>
        </w:tabs>
        <w:spacing w:line="240" w:lineRule="auto" w:before="269" w:after="0"/>
        <w:ind w:left="852" w:right="1075" w:hanging="710"/>
        <w:jc w:val="left"/>
        <w:rPr>
          <w:sz w:val="24"/>
        </w:rPr>
      </w:pPr>
      <w:r>
        <w:rPr>
          <w:sz w:val="24"/>
        </w:rPr>
        <w:t>Promote</w:t>
      </w:r>
      <w:r>
        <w:rPr>
          <w:spacing w:val="-9"/>
          <w:sz w:val="24"/>
        </w:rPr>
        <w:t> </w:t>
      </w:r>
      <w:r>
        <w:rPr>
          <w:sz w:val="24"/>
        </w:rPr>
        <w:t>patient</w:t>
      </w:r>
      <w:r>
        <w:rPr>
          <w:spacing w:val="-12"/>
          <w:sz w:val="24"/>
        </w:rPr>
        <w:t> </w:t>
      </w:r>
      <w:r>
        <w:rPr>
          <w:sz w:val="24"/>
        </w:rPr>
        <w:t>and</w:t>
      </w:r>
      <w:r>
        <w:rPr>
          <w:spacing w:val="-9"/>
          <w:sz w:val="24"/>
        </w:rPr>
        <w:t> </w:t>
      </w:r>
      <w:r>
        <w:rPr>
          <w:sz w:val="24"/>
        </w:rPr>
        <w:t>public</w:t>
      </w:r>
      <w:r>
        <w:rPr>
          <w:spacing w:val="-10"/>
          <w:sz w:val="24"/>
        </w:rPr>
        <w:t> </w:t>
      </w:r>
      <w:r>
        <w:rPr>
          <w:sz w:val="24"/>
        </w:rPr>
        <w:t>engagement</w:t>
      </w:r>
      <w:r>
        <w:rPr>
          <w:spacing w:val="-12"/>
          <w:sz w:val="24"/>
        </w:rPr>
        <w:t> </w:t>
      </w:r>
      <w:r>
        <w:rPr>
          <w:sz w:val="24"/>
        </w:rPr>
        <w:t>in</w:t>
      </w:r>
      <w:r>
        <w:rPr>
          <w:spacing w:val="-9"/>
          <w:sz w:val="24"/>
        </w:rPr>
        <w:t> </w:t>
      </w:r>
      <w:r>
        <w:rPr>
          <w:sz w:val="24"/>
        </w:rPr>
        <w:t>the</w:t>
      </w:r>
      <w:r>
        <w:rPr>
          <w:spacing w:val="-9"/>
          <w:sz w:val="24"/>
        </w:rPr>
        <w:t> </w:t>
      </w:r>
      <w:r>
        <w:rPr>
          <w:sz w:val="24"/>
        </w:rPr>
        <w:t>review</w:t>
      </w:r>
      <w:r>
        <w:rPr>
          <w:spacing w:val="-14"/>
          <w:sz w:val="24"/>
        </w:rPr>
        <w:t> </w:t>
      </w:r>
      <w:r>
        <w:rPr>
          <w:sz w:val="24"/>
        </w:rPr>
        <w:t>and</w:t>
      </w:r>
      <w:r>
        <w:rPr>
          <w:spacing w:val="-9"/>
          <w:sz w:val="24"/>
        </w:rPr>
        <w:t> </w:t>
      </w:r>
      <w:r>
        <w:rPr>
          <w:sz w:val="24"/>
        </w:rPr>
        <w:t>redesign</w:t>
      </w:r>
      <w:r>
        <w:rPr>
          <w:spacing w:val="-9"/>
          <w:sz w:val="24"/>
        </w:rPr>
        <w:t> </w:t>
      </w:r>
      <w:r>
        <w:rPr>
          <w:sz w:val="24"/>
        </w:rPr>
        <w:t>of</w:t>
      </w:r>
      <w:r>
        <w:rPr>
          <w:spacing w:val="-12"/>
          <w:sz w:val="24"/>
        </w:rPr>
        <w:t> </w:t>
      </w:r>
      <w:r>
        <w:rPr>
          <w:sz w:val="24"/>
        </w:rPr>
        <w:t>NHS</w:t>
      </w:r>
      <w:r>
        <w:rPr>
          <w:spacing w:val="-10"/>
          <w:sz w:val="24"/>
        </w:rPr>
        <w:t> </w:t>
      </w:r>
      <w:r>
        <w:rPr>
          <w:sz w:val="24"/>
        </w:rPr>
        <w:t>services </w:t>
      </w:r>
      <w:r>
        <w:rPr>
          <w:spacing w:val="-2"/>
          <w:sz w:val="24"/>
        </w:rPr>
        <w:t>ensuring</w:t>
      </w:r>
      <w:r>
        <w:rPr>
          <w:spacing w:val="-11"/>
          <w:sz w:val="24"/>
        </w:rPr>
        <w:t> </w:t>
      </w:r>
      <w:r>
        <w:rPr>
          <w:spacing w:val="-2"/>
          <w:sz w:val="24"/>
        </w:rPr>
        <w:t>that</w:t>
      </w:r>
      <w:r>
        <w:rPr>
          <w:spacing w:val="-14"/>
          <w:sz w:val="24"/>
        </w:rPr>
        <w:t> </w:t>
      </w:r>
      <w:r>
        <w:rPr>
          <w:spacing w:val="-2"/>
          <w:sz w:val="24"/>
        </w:rPr>
        <w:t>the</w:t>
      </w:r>
      <w:r>
        <w:rPr>
          <w:spacing w:val="-11"/>
          <w:sz w:val="24"/>
        </w:rPr>
        <w:t> </w:t>
      </w:r>
      <w:r>
        <w:rPr>
          <w:spacing w:val="-2"/>
          <w:sz w:val="24"/>
        </w:rPr>
        <w:t>RJC</w:t>
      </w:r>
      <w:r>
        <w:rPr>
          <w:spacing w:val="-11"/>
          <w:sz w:val="24"/>
        </w:rPr>
        <w:t> </w:t>
      </w:r>
      <w:r>
        <w:rPr>
          <w:spacing w:val="-2"/>
          <w:sz w:val="24"/>
        </w:rPr>
        <w:t>can</w:t>
      </w:r>
      <w:r>
        <w:rPr>
          <w:spacing w:val="-12"/>
          <w:sz w:val="24"/>
        </w:rPr>
        <w:t> </w:t>
      </w:r>
      <w:r>
        <w:rPr>
          <w:spacing w:val="-2"/>
          <w:sz w:val="24"/>
        </w:rPr>
        <w:t>evidence</w:t>
      </w:r>
      <w:r>
        <w:rPr>
          <w:spacing w:val="-12"/>
          <w:sz w:val="24"/>
        </w:rPr>
        <w:t> </w:t>
      </w:r>
      <w:r>
        <w:rPr>
          <w:spacing w:val="-2"/>
          <w:sz w:val="24"/>
        </w:rPr>
        <w:t>where</w:t>
      </w:r>
      <w:r>
        <w:rPr>
          <w:spacing w:val="-15"/>
          <w:sz w:val="24"/>
        </w:rPr>
        <w:t> </w:t>
      </w:r>
      <w:r>
        <w:rPr>
          <w:spacing w:val="-2"/>
          <w:sz w:val="24"/>
        </w:rPr>
        <w:t>patient</w:t>
      </w:r>
      <w:r>
        <w:rPr>
          <w:spacing w:val="-14"/>
          <w:sz w:val="24"/>
        </w:rPr>
        <w:t> </w:t>
      </w:r>
      <w:r>
        <w:rPr>
          <w:spacing w:val="-2"/>
          <w:sz w:val="24"/>
        </w:rPr>
        <w:t>experience</w:t>
      </w:r>
      <w:r>
        <w:rPr>
          <w:spacing w:val="-12"/>
          <w:sz w:val="24"/>
        </w:rPr>
        <w:t> </w:t>
      </w:r>
      <w:r>
        <w:rPr>
          <w:spacing w:val="-2"/>
          <w:sz w:val="24"/>
        </w:rPr>
        <w:t>has</w:t>
      </w:r>
      <w:r>
        <w:rPr>
          <w:spacing w:val="-15"/>
          <w:sz w:val="24"/>
        </w:rPr>
        <w:t> </w:t>
      </w:r>
      <w:r>
        <w:rPr>
          <w:spacing w:val="-2"/>
          <w:sz w:val="24"/>
        </w:rPr>
        <w:t>influenced</w:t>
      </w:r>
      <w:r>
        <w:rPr>
          <w:spacing w:val="-12"/>
          <w:sz w:val="24"/>
        </w:rPr>
        <w:t> </w:t>
      </w:r>
      <w:r>
        <w:rPr>
          <w:spacing w:val="-2"/>
          <w:sz w:val="24"/>
        </w:rPr>
        <w:t>change.</w:t>
      </w:r>
    </w:p>
    <w:p>
      <w:pPr>
        <w:pStyle w:val="BodyText"/>
        <w:spacing w:before="2"/>
      </w:pPr>
    </w:p>
    <w:p>
      <w:pPr>
        <w:pStyle w:val="ListParagraph"/>
        <w:numPr>
          <w:ilvl w:val="1"/>
          <w:numId w:val="38"/>
        </w:numPr>
        <w:tabs>
          <w:tab w:pos="852" w:val="left" w:leader="none"/>
        </w:tabs>
        <w:spacing w:line="240" w:lineRule="auto" w:before="0" w:after="0"/>
        <w:ind w:left="852" w:right="762" w:hanging="710"/>
        <w:jc w:val="left"/>
        <w:rPr>
          <w:sz w:val="24"/>
        </w:rPr>
      </w:pPr>
      <w:r>
        <w:rPr>
          <w:spacing w:val="-2"/>
          <w:sz w:val="24"/>
        </w:rPr>
        <w:t>The</w:t>
      </w:r>
      <w:r>
        <w:rPr>
          <w:spacing w:val="-11"/>
          <w:sz w:val="24"/>
        </w:rPr>
        <w:t> </w:t>
      </w:r>
      <w:r>
        <w:rPr>
          <w:spacing w:val="-2"/>
          <w:sz w:val="24"/>
        </w:rPr>
        <w:t>RJC</w:t>
      </w:r>
      <w:r>
        <w:rPr>
          <w:spacing w:val="-11"/>
          <w:sz w:val="24"/>
        </w:rPr>
        <w:t> </w:t>
      </w:r>
      <w:r>
        <w:rPr>
          <w:spacing w:val="-2"/>
          <w:sz w:val="24"/>
        </w:rPr>
        <w:t>will</w:t>
      </w:r>
      <w:r>
        <w:rPr>
          <w:spacing w:val="-11"/>
          <w:sz w:val="24"/>
        </w:rPr>
        <w:t> </w:t>
      </w:r>
      <w:r>
        <w:rPr>
          <w:spacing w:val="-2"/>
          <w:sz w:val="24"/>
        </w:rPr>
        <w:t>ensure</w:t>
      </w:r>
      <w:r>
        <w:rPr>
          <w:spacing w:val="-7"/>
          <w:sz w:val="24"/>
        </w:rPr>
        <w:t> </w:t>
      </w:r>
      <w:r>
        <w:rPr>
          <w:spacing w:val="-2"/>
          <w:sz w:val="24"/>
        </w:rPr>
        <w:t>team</w:t>
      </w:r>
      <w:r>
        <w:rPr>
          <w:spacing w:val="-13"/>
          <w:sz w:val="24"/>
        </w:rPr>
        <w:t> </w:t>
      </w:r>
      <w:r>
        <w:rPr>
          <w:spacing w:val="-2"/>
          <w:sz w:val="24"/>
        </w:rPr>
        <w:t>colleagues</w:t>
      </w:r>
      <w:r>
        <w:rPr>
          <w:spacing w:val="-13"/>
          <w:sz w:val="24"/>
        </w:rPr>
        <w:t> </w:t>
      </w:r>
      <w:r>
        <w:rPr>
          <w:spacing w:val="-2"/>
          <w:sz w:val="24"/>
        </w:rPr>
        <w:t>are</w:t>
      </w:r>
      <w:r>
        <w:rPr>
          <w:spacing w:val="-12"/>
          <w:sz w:val="24"/>
        </w:rPr>
        <w:t> </w:t>
      </w:r>
      <w:r>
        <w:rPr>
          <w:spacing w:val="-2"/>
          <w:sz w:val="24"/>
        </w:rPr>
        <w:t>fully</w:t>
      </w:r>
      <w:r>
        <w:rPr>
          <w:spacing w:val="-13"/>
          <w:sz w:val="24"/>
        </w:rPr>
        <w:t> </w:t>
      </w:r>
      <w:r>
        <w:rPr>
          <w:spacing w:val="-2"/>
          <w:sz w:val="24"/>
        </w:rPr>
        <w:t>engaged,</w:t>
      </w:r>
      <w:r>
        <w:rPr>
          <w:spacing w:val="-14"/>
          <w:sz w:val="24"/>
        </w:rPr>
        <w:t> </w:t>
      </w:r>
      <w:r>
        <w:rPr>
          <w:spacing w:val="-2"/>
          <w:sz w:val="24"/>
        </w:rPr>
        <w:t>and</w:t>
      </w:r>
      <w:r>
        <w:rPr>
          <w:spacing w:val="-12"/>
          <w:sz w:val="24"/>
        </w:rPr>
        <w:t> </w:t>
      </w:r>
      <w:r>
        <w:rPr>
          <w:spacing w:val="-2"/>
          <w:sz w:val="24"/>
        </w:rPr>
        <w:t>our</w:t>
      </w:r>
      <w:r>
        <w:rPr>
          <w:spacing w:val="-13"/>
          <w:sz w:val="24"/>
        </w:rPr>
        <w:t> </w:t>
      </w:r>
      <w:r>
        <w:rPr>
          <w:spacing w:val="-2"/>
          <w:sz w:val="24"/>
        </w:rPr>
        <w:t>clinical</w:t>
      </w:r>
      <w:r>
        <w:rPr>
          <w:spacing w:val="-12"/>
          <w:sz w:val="24"/>
        </w:rPr>
        <w:t> </w:t>
      </w:r>
      <w:r>
        <w:rPr>
          <w:spacing w:val="-2"/>
          <w:sz w:val="24"/>
        </w:rPr>
        <w:t>service</w:t>
      </w:r>
      <w:r>
        <w:rPr>
          <w:spacing w:val="-12"/>
          <w:sz w:val="24"/>
        </w:rPr>
        <w:t> </w:t>
      </w:r>
      <w:r>
        <w:rPr>
          <w:spacing w:val="-2"/>
          <w:sz w:val="24"/>
        </w:rPr>
        <w:t>redesign </w:t>
      </w:r>
      <w:r>
        <w:rPr>
          <w:sz w:val="24"/>
        </w:rPr>
        <w:t>work</w:t>
      </w:r>
      <w:r>
        <w:rPr>
          <w:spacing w:val="-12"/>
          <w:sz w:val="24"/>
        </w:rPr>
        <w:t> </w:t>
      </w:r>
      <w:r>
        <w:rPr>
          <w:sz w:val="24"/>
        </w:rPr>
        <w:t>is</w:t>
      </w:r>
      <w:r>
        <w:rPr>
          <w:spacing w:val="-12"/>
          <w:sz w:val="24"/>
        </w:rPr>
        <w:t> </w:t>
      </w:r>
      <w:r>
        <w:rPr>
          <w:sz w:val="24"/>
        </w:rPr>
        <w:t>clinically</w:t>
      </w:r>
      <w:r>
        <w:rPr>
          <w:spacing w:val="-17"/>
          <w:sz w:val="24"/>
        </w:rPr>
        <w:t> </w:t>
      </w:r>
      <w:r>
        <w:rPr>
          <w:sz w:val="24"/>
        </w:rPr>
        <w:t>led,</w:t>
      </w:r>
      <w:r>
        <w:rPr>
          <w:spacing w:val="-13"/>
          <w:sz w:val="24"/>
        </w:rPr>
        <w:t> </w:t>
      </w:r>
      <w:r>
        <w:rPr>
          <w:sz w:val="24"/>
        </w:rPr>
        <w:t>with</w:t>
      </w:r>
      <w:r>
        <w:rPr>
          <w:spacing w:val="-11"/>
          <w:sz w:val="24"/>
        </w:rPr>
        <w:t> </w:t>
      </w:r>
      <w:r>
        <w:rPr>
          <w:sz w:val="24"/>
        </w:rPr>
        <w:t>a</w:t>
      </w:r>
      <w:r>
        <w:rPr>
          <w:spacing w:val="-11"/>
          <w:sz w:val="24"/>
        </w:rPr>
        <w:t> </w:t>
      </w:r>
      <w:r>
        <w:rPr>
          <w:sz w:val="24"/>
        </w:rPr>
        <w:t>multi-disciplinary</w:t>
      </w:r>
      <w:r>
        <w:rPr>
          <w:spacing w:val="-17"/>
          <w:sz w:val="24"/>
        </w:rPr>
        <w:t> </w:t>
      </w:r>
      <w:r>
        <w:rPr>
          <w:sz w:val="24"/>
        </w:rPr>
        <w:t>approach,</w:t>
      </w:r>
      <w:r>
        <w:rPr>
          <w:spacing w:val="-13"/>
          <w:sz w:val="24"/>
        </w:rPr>
        <w:t> </w:t>
      </w:r>
      <w:r>
        <w:rPr>
          <w:sz w:val="24"/>
        </w:rPr>
        <w:t>based</w:t>
      </w:r>
      <w:r>
        <w:rPr>
          <w:spacing w:val="-11"/>
          <w:sz w:val="24"/>
        </w:rPr>
        <w:t> </w:t>
      </w:r>
      <w:r>
        <w:rPr>
          <w:sz w:val="24"/>
        </w:rPr>
        <w:t>on</w:t>
      </w:r>
      <w:r>
        <w:rPr>
          <w:spacing w:val="-11"/>
          <w:sz w:val="24"/>
        </w:rPr>
        <w:t> </w:t>
      </w:r>
      <w:r>
        <w:rPr>
          <w:sz w:val="24"/>
        </w:rPr>
        <w:t>co-production</w:t>
      </w:r>
      <w:r>
        <w:rPr>
          <w:spacing w:val="-16"/>
          <w:sz w:val="24"/>
        </w:rPr>
        <w:t> </w:t>
      </w:r>
      <w:r>
        <w:rPr>
          <w:sz w:val="24"/>
        </w:rPr>
        <w:t>and organisational development principles.</w:t>
      </w:r>
    </w:p>
    <w:p>
      <w:pPr>
        <w:pStyle w:val="ListParagraph"/>
        <w:numPr>
          <w:ilvl w:val="1"/>
          <w:numId w:val="38"/>
        </w:numPr>
        <w:tabs>
          <w:tab w:pos="852" w:val="left" w:leader="none"/>
        </w:tabs>
        <w:spacing w:line="240" w:lineRule="auto" w:before="273" w:after="0"/>
        <w:ind w:left="852" w:right="0" w:hanging="710"/>
        <w:jc w:val="left"/>
        <w:rPr>
          <w:sz w:val="24"/>
        </w:rPr>
      </w:pPr>
      <w:r>
        <w:rPr>
          <w:spacing w:val="-2"/>
          <w:sz w:val="24"/>
        </w:rPr>
        <w:t>Promote</w:t>
      </w:r>
      <w:r>
        <w:rPr>
          <w:spacing w:val="-16"/>
          <w:sz w:val="24"/>
        </w:rPr>
        <w:t> </w:t>
      </w:r>
      <w:r>
        <w:rPr>
          <w:spacing w:val="-2"/>
          <w:sz w:val="24"/>
        </w:rPr>
        <w:t>understanding</w:t>
      </w:r>
      <w:r>
        <w:rPr>
          <w:spacing w:val="-11"/>
          <w:sz w:val="24"/>
        </w:rPr>
        <w:t> </w:t>
      </w:r>
      <w:r>
        <w:rPr>
          <w:spacing w:val="-2"/>
          <w:sz w:val="24"/>
        </w:rPr>
        <w:t>of</w:t>
      </w:r>
      <w:r>
        <w:rPr>
          <w:spacing w:val="-14"/>
          <w:sz w:val="24"/>
        </w:rPr>
        <w:t> </w:t>
      </w:r>
      <w:r>
        <w:rPr>
          <w:spacing w:val="-2"/>
          <w:sz w:val="24"/>
        </w:rPr>
        <w:t>the</w:t>
      </w:r>
      <w:r>
        <w:rPr>
          <w:spacing w:val="-15"/>
          <w:sz w:val="24"/>
        </w:rPr>
        <w:t> </w:t>
      </w:r>
      <w:r>
        <w:rPr>
          <w:spacing w:val="-2"/>
          <w:sz w:val="24"/>
        </w:rPr>
        <w:t>aims,</w:t>
      </w:r>
      <w:r>
        <w:rPr>
          <w:spacing w:val="-11"/>
          <w:sz w:val="24"/>
        </w:rPr>
        <w:t> </w:t>
      </w:r>
      <w:r>
        <w:rPr>
          <w:spacing w:val="-2"/>
          <w:sz w:val="24"/>
        </w:rPr>
        <w:t>objectives,</w:t>
      </w:r>
      <w:r>
        <w:rPr>
          <w:spacing w:val="-13"/>
          <w:sz w:val="24"/>
        </w:rPr>
        <w:t> </w:t>
      </w:r>
      <w:r>
        <w:rPr>
          <w:spacing w:val="-2"/>
          <w:sz w:val="24"/>
        </w:rPr>
        <w:t>and</w:t>
      </w:r>
      <w:r>
        <w:rPr>
          <w:spacing w:val="-15"/>
          <w:sz w:val="24"/>
        </w:rPr>
        <w:t> </w:t>
      </w:r>
      <w:r>
        <w:rPr>
          <w:spacing w:val="-2"/>
          <w:sz w:val="24"/>
        </w:rPr>
        <w:t>deliverables</w:t>
      </w:r>
      <w:r>
        <w:rPr>
          <w:spacing w:val="-12"/>
          <w:sz w:val="24"/>
        </w:rPr>
        <w:t> </w:t>
      </w:r>
      <w:r>
        <w:rPr>
          <w:spacing w:val="-2"/>
          <w:sz w:val="24"/>
        </w:rPr>
        <w:t>of</w:t>
      </w:r>
      <w:r>
        <w:rPr>
          <w:spacing w:val="-10"/>
          <w:sz w:val="24"/>
        </w:rPr>
        <w:t> </w:t>
      </w:r>
      <w:r>
        <w:rPr>
          <w:spacing w:val="-2"/>
          <w:sz w:val="24"/>
        </w:rPr>
        <w:t>the</w:t>
      </w:r>
      <w:r>
        <w:rPr>
          <w:spacing w:val="-10"/>
          <w:sz w:val="24"/>
        </w:rPr>
        <w:t> </w:t>
      </w:r>
      <w:r>
        <w:rPr>
          <w:spacing w:val="-2"/>
          <w:sz w:val="24"/>
        </w:rPr>
        <w:t>RJC</w:t>
      </w:r>
      <w:r>
        <w:rPr>
          <w:spacing w:val="-10"/>
          <w:sz w:val="24"/>
        </w:rPr>
        <w:t> </w:t>
      </w:r>
      <w:r>
        <w:rPr>
          <w:spacing w:val="-2"/>
          <w:sz w:val="24"/>
        </w:rPr>
        <w:t>programme.</w:t>
      </w:r>
    </w:p>
    <w:p>
      <w:pPr>
        <w:pStyle w:val="BodyText"/>
        <w:spacing w:before="3"/>
      </w:pPr>
    </w:p>
    <w:p>
      <w:pPr>
        <w:pStyle w:val="ListParagraph"/>
        <w:numPr>
          <w:ilvl w:val="1"/>
          <w:numId w:val="38"/>
        </w:numPr>
        <w:tabs>
          <w:tab w:pos="852" w:val="left" w:leader="none"/>
        </w:tabs>
        <w:spacing w:line="240" w:lineRule="auto" w:before="0" w:after="0"/>
        <w:ind w:left="852" w:right="0" w:hanging="710"/>
        <w:jc w:val="left"/>
        <w:rPr>
          <w:sz w:val="24"/>
        </w:rPr>
      </w:pPr>
      <w:r>
        <w:rPr>
          <w:spacing w:val="-2"/>
          <w:sz w:val="24"/>
        </w:rPr>
        <w:t>Ensure</w:t>
      </w:r>
      <w:r>
        <w:rPr>
          <w:spacing w:val="-14"/>
          <w:sz w:val="24"/>
        </w:rPr>
        <w:t> </w:t>
      </w:r>
      <w:r>
        <w:rPr>
          <w:spacing w:val="-2"/>
          <w:sz w:val="24"/>
        </w:rPr>
        <w:t>continued</w:t>
      </w:r>
      <w:r>
        <w:rPr>
          <w:spacing w:val="-13"/>
          <w:sz w:val="24"/>
        </w:rPr>
        <w:t> </w:t>
      </w:r>
      <w:r>
        <w:rPr>
          <w:spacing w:val="-2"/>
          <w:sz w:val="24"/>
        </w:rPr>
        <w:t>engagement</w:t>
      </w:r>
      <w:r>
        <w:rPr>
          <w:spacing w:val="-15"/>
          <w:sz w:val="24"/>
        </w:rPr>
        <w:t> </w:t>
      </w:r>
      <w:r>
        <w:rPr>
          <w:spacing w:val="-2"/>
          <w:sz w:val="24"/>
        </w:rPr>
        <w:t>with</w:t>
      </w:r>
      <w:r>
        <w:rPr>
          <w:spacing w:val="-13"/>
          <w:sz w:val="24"/>
        </w:rPr>
        <w:t> </w:t>
      </w:r>
      <w:r>
        <w:rPr>
          <w:spacing w:val="-2"/>
          <w:sz w:val="24"/>
        </w:rPr>
        <w:t>Llais</w:t>
      </w:r>
      <w:r>
        <w:rPr>
          <w:spacing w:val="-13"/>
          <w:sz w:val="24"/>
        </w:rPr>
        <w:t> </w:t>
      </w:r>
      <w:r>
        <w:rPr>
          <w:spacing w:val="-2"/>
          <w:sz w:val="24"/>
        </w:rPr>
        <w:t>in</w:t>
      </w:r>
      <w:r>
        <w:rPr>
          <w:spacing w:val="-13"/>
          <w:sz w:val="24"/>
        </w:rPr>
        <w:t> </w:t>
      </w:r>
      <w:r>
        <w:rPr>
          <w:spacing w:val="-2"/>
          <w:sz w:val="24"/>
        </w:rPr>
        <w:t>both</w:t>
      </w:r>
      <w:r>
        <w:rPr>
          <w:spacing w:val="-9"/>
          <w:sz w:val="24"/>
        </w:rPr>
        <w:t> </w:t>
      </w:r>
      <w:r>
        <w:rPr>
          <w:spacing w:val="-2"/>
          <w:sz w:val="24"/>
        </w:rPr>
        <w:t>partner</w:t>
      </w:r>
      <w:r>
        <w:rPr>
          <w:spacing w:val="-11"/>
          <w:sz w:val="24"/>
        </w:rPr>
        <w:t> </w:t>
      </w:r>
      <w:r>
        <w:rPr>
          <w:spacing w:val="-2"/>
          <w:sz w:val="24"/>
        </w:rPr>
        <w:t>organisations.</w:t>
      </w:r>
    </w:p>
    <w:p>
      <w:pPr>
        <w:pStyle w:val="ListParagraph"/>
        <w:numPr>
          <w:ilvl w:val="1"/>
          <w:numId w:val="38"/>
        </w:numPr>
        <w:tabs>
          <w:tab w:pos="852" w:val="left" w:leader="none"/>
        </w:tabs>
        <w:spacing w:line="240" w:lineRule="auto" w:before="274" w:after="0"/>
        <w:ind w:left="852" w:right="489" w:hanging="710"/>
        <w:jc w:val="left"/>
        <w:rPr>
          <w:sz w:val="24"/>
        </w:rPr>
      </w:pPr>
      <w:r>
        <w:rPr>
          <w:spacing w:val="-2"/>
          <w:sz w:val="24"/>
        </w:rPr>
        <w:t>Develop</w:t>
      </w:r>
      <w:r>
        <w:rPr>
          <w:spacing w:val="-14"/>
          <w:sz w:val="24"/>
        </w:rPr>
        <w:t> </w:t>
      </w:r>
      <w:r>
        <w:rPr>
          <w:spacing w:val="-2"/>
          <w:sz w:val="24"/>
        </w:rPr>
        <w:t>a</w:t>
      </w:r>
      <w:r>
        <w:rPr>
          <w:spacing w:val="-12"/>
          <w:sz w:val="24"/>
        </w:rPr>
        <w:t> </w:t>
      </w:r>
      <w:r>
        <w:rPr>
          <w:spacing w:val="-2"/>
          <w:sz w:val="24"/>
        </w:rPr>
        <w:t>communications</w:t>
      </w:r>
      <w:r>
        <w:rPr>
          <w:spacing w:val="-13"/>
          <w:sz w:val="24"/>
        </w:rPr>
        <w:t> </w:t>
      </w:r>
      <w:r>
        <w:rPr>
          <w:spacing w:val="-2"/>
          <w:sz w:val="24"/>
        </w:rPr>
        <w:t>plan</w:t>
      </w:r>
      <w:r>
        <w:rPr>
          <w:spacing w:val="-12"/>
          <w:sz w:val="24"/>
        </w:rPr>
        <w:t> </w:t>
      </w:r>
      <w:r>
        <w:rPr>
          <w:spacing w:val="-2"/>
          <w:sz w:val="24"/>
        </w:rPr>
        <w:t>ensuring</w:t>
      </w:r>
      <w:r>
        <w:rPr>
          <w:spacing w:val="-12"/>
          <w:sz w:val="24"/>
        </w:rPr>
        <w:t> </w:t>
      </w:r>
      <w:r>
        <w:rPr>
          <w:spacing w:val="-2"/>
          <w:sz w:val="24"/>
        </w:rPr>
        <w:t>stakeholder</w:t>
      </w:r>
      <w:r>
        <w:rPr>
          <w:spacing w:val="-13"/>
          <w:sz w:val="24"/>
        </w:rPr>
        <w:t> </w:t>
      </w:r>
      <w:r>
        <w:rPr>
          <w:spacing w:val="-2"/>
          <w:sz w:val="24"/>
        </w:rPr>
        <w:t>updates</w:t>
      </w:r>
      <w:r>
        <w:rPr>
          <w:spacing w:val="-13"/>
          <w:sz w:val="24"/>
        </w:rPr>
        <w:t> </w:t>
      </w:r>
      <w:r>
        <w:rPr>
          <w:spacing w:val="-2"/>
          <w:sz w:val="24"/>
        </w:rPr>
        <w:t>are</w:t>
      </w:r>
      <w:r>
        <w:rPr>
          <w:spacing w:val="-12"/>
          <w:sz w:val="24"/>
        </w:rPr>
        <w:t> </w:t>
      </w:r>
      <w:r>
        <w:rPr>
          <w:spacing w:val="-2"/>
          <w:sz w:val="24"/>
        </w:rPr>
        <w:t>provided</w:t>
      </w:r>
      <w:r>
        <w:rPr>
          <w:spacing w:val="-12"/>
          <w:sz w:val="24"/>
        </w:rPr>
        <w:t> </w:t>
      </w:r>
      <w:r>
        <w:rPr>
          <w:spacing w:val="-2"/>
          <w:sz w:val="24"/>
        </w:rPr>
        <w:t>after</w:t>
      </w:r>
      <w:r>
        <w:rPr>
          <w:spacing w:val="-13"/>
          <w:sz w:val="24"/>
        </w:rPr>
        <w:t> </w:t>
      </w:r>
      <w:r>
        <w:rPr>
          <w:spacing w:val="-2"/>
          <w:sz w:val="24"/>
        </w:rPr>
        <w:t>each</w:t>
      </w:r>
      <w:r>
        <w:rPr>
          <w:spacing w:val="-15"/>
          <w:sz w:val="24"/>
        </w:rPr>
        <w:t> </w:t>
      </w:r>
      <w:r>
        <w:rPr>
          <w:spacing w:val="-2"/>
          <w:sz w:val="24"/>
        </w:rPr>
        <w:t>RJC meeting.</w:t>
      </w:r>
    </w:p>
    <w:p>
      <w:pPr>
        <w:pStyle w:val="BodyText"/>
        <w:spacing w:before="80"/>
        <w:rPr>
          <w:sz w:val="20"/>
        </w:rPr>
      </w:pPr>
      <w:r>
        <w:rPr>
          <w:sz w:val="20"/>
        </w:rPr>
        <mc:AlternateContent>
          <mc:Choice Requires="wps">
            <w:drawing>
              <wp:anchor distT="0" distB="0" distL="0" distR="0" allowOverlap="1" layoutInCell="1" locked="0" behindDoc="1" simplePos="0" relativeHeight="487654400">
                <wp:simplePos x="0" y="0"/>
                <wp:positionH relativeFrom="page">
                  <wp:posOffset>574992</wp:posOffset>
                </wp:positionH>
                <wp:positionV relativeFrom="paragraph">
                  <wp:posOffset>218471</wp:posOffset>
                </wp:positionV>
                <wp:extent cx="6553200" cy="193675"/>
                <wp:effectExtent l="0" t="0" r="0" b="0"/>
                <wp:wrapTopAndBottom/>
                <wp:docPr id="439" name="Textbox 439"/>
                <wp:cNvGraphicFramePr>
                  <a:graphicFrameLocks/>
                </wp:cNvGraphicFramePr>
                <a:graphic>
                  <a:graphicData uri="http://schemas.microsoft.com/office/word/2010/wordprocessingShape">
                    <wps:wsp>
                      <wps:cNvPr id="439" name="Textbox 439"/>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5.</w:t>
                            </w:r>
                            <w:r>
                              <w:rPr>
                                <w:b/>
                                <w:color w:val="000000"/>
                                <w:spacing w:val="61"/>
                                <w:sz w:val="24"/>
                              </w:rPr>
                              <w:t> </w:t>
                            </w:r>
                            <w:r>
                              <w:rPr>
                                <w:b/>
                                <w:color w:val="000000"/>
                                <w:spacing w:val="-2"/>
                                <w:sz w:val="24"/>
                              </w:rPr>
                              <w:t>Governance</w:t>
                            </w:r>
                          </w:p>
                        </w:txbxContent>
                      </wps:txbx>
                      <wps:bodyPr wrap="square" lIns="0" tIns="0" rIns="0" bIns="0" rtlCol="0">
                        <a:noAutofit/>
                      </wps:bodyPr>
                    </wps:wsp>
                  </a:graphicData>
                </a:graphic>
              </wp:anchor>
            </w:drawing>
          </mc:Choice>
          <mc:Fallback>
            <w:pict>
              <v:shape style="position:absolute;margin-left:45.275002pt;margin-top:17.202442pt;width:516pt;height:15.25pt;mso-position-horizontal-relative:page;mso-position-vertical-relative:paragraph;z-index:-15662080;mso-wrap-distance-left:0;mso-wrap-distance-right:0" type="#_x0000_t202" id="docshape222" filled="true" fillcolor="#c1a875" stroked="true" strokeweight="1pt" strokecolor="#394871">
                <v:textbox inset="0,0,0,0">
                  <w:txbxContent>
                    <w:p>
                      <w:pPr>
                        <w:spacing w:before="0"/>
                        <w:ind w:left="95" w:right="0" w:firstLine="0"/>
                        <w:jc w:val="left"/>
                        <w:rPr>
                          <w:b/>
                          <w:color w:val="000000"/>
                          <w:sz w:val="24"/>
                        </w:rPr>
                      </w:pPr>
                      <w:r>
                        <w:rPr>
                          <w:b/>
                          <w:color w:val="000000"/>
                          <w:sz w:val="24"/>
                        </w:rPr>
                        <w:t>5.</w:t>
                      </w:r>
                      <w:r>
                        <w:rPr>
                          <w:b/>
                          <w:color w:val="000000"/>
                          <w:spacing w:val="61"/>
                          <w:sz w:val="24"/>
                        </w:rPr>
                        <w:t> </w:t>
                      </w:r>
                      <w:r>
                        <w:rPr>
                          <w:b/>
                          <w:color w:val="000000"/>
                          <w:spacing w:val="-2"/>
                          <w:sz w:val="24"/>
                        </w:rPr>
                        <w:t>Governance</w:t>
                      </w:r>
                    </w:p>
                  </w:txbxContent>
                </v:textbox>
                <v:fill type="solid"/>
                <v:stroke dashstyle="solid"/>
                <w10:wrap type="topAndBottom"/>
              </v:shape>
            </w:pict>
          </mc:Fallback>
        </mc:AlternateContent>
      </w:r>
    </w:p>
    <w:p>
      <w:pPr>
        <w:pStyle w:val="BodyText"/>
        <w:spacing w:before="8"/>
      </w:pPr>
    </w:p>
    <w:p>
      <w:pPr>
        <w:pStyle w:val="ListParagraph"/>
        <w:numPr>
          <w:ilvl w:val="1"/>
          <w:numId w:val="39"/>
        </w:numPr>
        <w:tabs>
          <w:tab w:pos="852" w:val="left" w:leader="none"/>
        </w:tabs>
        <w:spacing w:line="240" w:lineRule="auto" w:before="1" w:after="0"/>
        <w:ind w:left="852" w:right="611" w:hanging="710"/>
        <w:jc w:val="left"/>
        <w:rPr>
          <w:sz w:val="24"/>
        </w:rPr>
      </w:pPr>
      <w:r>
        <w:rPr>
          <w:spacing w:val="-2"/>
          <w:sz w:val="24"/>
        </w:rPr>
        <w:t>The</w:t>
      </w:r>
      <w:r>
        <w:rPr>
          <w:spacing w:val="-11"/>
          <w:sz w:val="24"/>
        </w:rPr>
        <w:t> </w:t>
      </w:r>
      <w:r>
        <w:rPr>
          <w:spacing w:val="-2"/>
          <w:sz w:val="24"/>
        </w:rPr>
        <w:t>RJC</w:t>
      </w:r>
      <w:r>
        <w:rPr>
          <w:spacing w:val="-9"/>
          <w:sz w:val="24"/>
        </w:rPr>
        <w:t> </w:t>
      </w:r>
      <w:r>
        <w:rPr>
          <w:spacing w:val="-2"/>
          <w:sz w:val="24"/>
        </w:rPr>
        <w:t>will</w:t>
      </w:r>
      <w:r>
        <w:rPr>
          <w:spacing w:val="-10"/>
          <w:sz w:val="24"/>
        </w:rPr>
        <w:t> </w:t>
      </w:r>
      <w:r>
        <w:rPr>
          <w:spacing w:val="-2"/>
          <w:sz w:val="24"/>
        </w:rPr>
        <w:t>operate</w:t>
      </w:r>
      <w:r>
        <w:rPr>
          <w:spacing w:val="-15"/>
          <w:sz w:val="24"/>
        </w:rPr>
        <w:t> </w:t>
      </w:r>
      <w:r>
        <w:rPr>
          <w:spacing w:val="-2"/>
          <w:sz w:val="24"/>
        </w:rPr>
        <w:t>in</w:t>
      </w:r>
      <w:r>
        <w:rPr>
          <w:spacing w:val="-10"/>
          <w:sz w:val="24"/>
        </w:rPr>
        <w:t> </w:t>
      </w:r>
      <w:r>
        <w:rPr>
          <w:spacing w:val="-2"/>
          <w:sz w:val="24"/>
        </w:rPr>
        <w:t>accordance</w:t>
      </w:r>
      <w:r>
        <w:rPr>
          <w:spacing w:val="-10"/>
          <w:sz w:val="24"/>
        </w:rPr>
        <w:t> </w:t>
      </w:r>
      <w:r>
        <w:rPr>
          <w:spacing w:val="-2"/>
          <w:sz w:val="24"/>
        </w:rPr>
        <w:t>with</w:t>
      </w:r>
      <w:r>
        <w:rPr>
          <w:spacing w:val="-10"/>
          <w:sz w:val="24"/>
        </w:rPr>
        <w:t> </w:t>
      </w:r>
      <w:r>
        <w:rPr>
          <w:spacing w:val="-2"/>
          <w:sz w:val="24"/>
        </w:rPr>
        <w:t>the</w:t>
      </w:r>
      <w:r>
        <w:rPr>
          <w:spacing w:val="-15"/>
          <w:sz w:val="24"/>
        </w:rPr>
        <w:t> </w:t>
      </w:r>
      <w:r>
        <w:rPr>
          <w:spacing w:val="-2"/>
          <w:sz w:val="24"/>
        </w:rPr>
        <w:t>design</w:t>
      </w:r>
      <w:r>
        <w:rPr>
          <w:spacing w:val="-14"/>
          <w:sz w:val="24"/>
        </w:rPr>
        <w:t> </w:t>
      </w:r>
      <w:r>
        <w:rPr>
          <w:spacing w:val="-2"/>
          <w:sz w:val="24"/>
        </w:rPr>
        <w:t>principles</w:t>
      </w:r>
      <w:r>
        <w:rPr>
          <w:spacing w:val="-7"/>
          <w:sz w:val="24"/>
        </w:rPr>
        <w:t> </w:t>
      </w:r>
      <w:r>
        <w:rPr>
          <w:spacing w:val="-2"/>
          <w:sz w:val="24"/>
        </w:rPr>
        <w:t>(agreed</w:t>
      </w:r>
      <w:r>
        <w:rPr>
          <w:spacing w:val="-9"/>
          <w:sz w:val="24"/>
        </w:rPr>
        <w:t> </w:t>
      </w:r>
      <w:r>
        <w:rPr>
          <w:spacing w:val="-2"/>
          <w:sz w:val="24"/>
        </w:rPr>
        <w:t>set</w:t>
      </w:r>
      <w:r>
        <w:rPr>
          <w:spacing w:val="-15"/>
          <w:sz w:val="24"/>
        </w:rPr>
        <w:t> </w:t>
      </w:r>
      <w:r>
        <w:rPr>
          <w:spacing w:val="-2"/>
          <w:sz w:val="24"/>
        </w:rPr>
        <w:t>of</w:t>
      </w:r>
      <w:r>
        <w:rPr>
          <w:spacing w:val="-12"/>
          <w:sz w:val="24"/>
        </w:rPr>
        <w:t> </w:t>
      </w:r>
      <w:r>
        <w:rPr>
          <w:spacing w:val="-2"/>
          <w:sz w:val="24"/>
        </w:rPr>
        <w:t>rules</w:t>
      </w:r>
      <w:r>
        <w:rPr>
          <w:spacing w:val="-11"/>
          <w:sz w:val="24"/>
        </w:rPr>
        <w:t> </w:t>
      </w:r>
      <w:r>
        <w:rPr>
          <w:spacing w:val="-2"/>
          <w:sz w:val="24"/>
        </w:rPr>
        <w:t>defining </w:t>
      </w:r>
      <w:r>
        <w:rPr>
          <w:sz w:val="24"/>
        </w:rPr>
        <w:t>purpose</w:t>
      </w:r>
      <w:r>
        <w:rPr>
          <w:spacing w:val="-6"/>
          <w:sz w:val="24"/>
        </w:rPr>
        <w:t> </w:t>
      </w:r>
      <w:r>
        <w:rPr>
          <w:sz w:val="24"/>
        </w:rPr>
        <w:t>through</w:t>
      </w:r>
      <w:r>
        <w:rPr>
          <w:spacing w:val="-15"/>
          <w:sz w:val="24"/>
        </w:rPr>
        <w:t> </w:t>
      </w:r>
      <w:r>
        <w:rPr>
          <w:sz w:val="24"/>
        </w:rPr>
        <w:t>intention</w:t>
      </w:r>
      <w:r>
        <w:rPr>
          <w:spacing w:val="-11"/>
          <w:sz w:val="24"/>
        </w:rPr>
        <w:t> </w:t>
      </w:r>
      <w:r>
        <w:rPr>
          <w:sz w:val="24"/>
        </w:rPr>
        <w:t>and</w:t>
      </w:r>
      <w:r>
        <w:rPr>
          <w:spacing w:val="-11"/>
          <w:sz w:val="24"/>
        </w:rPr>
        <w:t> </w:t>
      </w:r>
      <w:r>
        <w:rPr>
          <w:sz w:val="24"/>
        </w:rPr>
        <w:t>behaviour)</w:t>
      </w:r>
      <w:r>
        <w:rPr>
          <w:spacing w:val="-10"/>
          <w:sz w:val="24"/>
        </w:rPr>
        <w:t> </w:t>
      </w:r>
      <w:r>
        <w:rPr>
          <w:sz w:val="24"/>
        </w:rPr>
        <w:t>which</w:t>
      </w:r>
      <w:r>
        <w:rPr>
          <w:spacing w:val="-6"/>
          <w:sz w:val="24"/>
        </w:rPr>
        <w:t> </w:t>
      </w:r>
      <w:r>
        <w:rPr>
          <w:sz w:val="24"/>
        </w:rPr>
        <w:t>have</w:t>
      </w:r>
      <w:r>
        <w:rPr>
          <w:spacing w:val="-11"/>
          <w:sz w:val="24"/>
        </w:rPr>
        <w:t> </w:t>
      </w:r>
      <w:r>
        <w:rPr>
          <w:sz w:val="24"/>
        </w:rPr>
        <w:t>been</w:t>
      </w:r>
      <w:r>
        <w:rPr>
          <w:spacing w:val="-11"/>
          <w:sz w:val="24"/>
        </w:rPr>
        <w:t> </w:t>
      </w:r>
      <w:r>
        <w:rPr>
          <w:sz w:val="24"/>
        </w:rPr>
        <w:t>agreed</w:t>
      </w:r>
      <w:r>
        <w:rPr>
          <w:spacing w:val="-11"/>
          <w:sz w:val="24"/>
        </w:rPr>
        <w:t> </w:t>
      </w:r>
      <w:r>
        <w:rPr>
          <w:sz w:val="24"/>
        </w:rPr>
        <w:t>by</w:t>
      </w:r>
      <w:r>
        <w:rPr>
          <w:spacing w:val="-16"/>
          <w:sz w:val="24"/>
        </w:rPr>
        <w:t> </w:t>
      </w:r>
      <w:r>
        <w:rPr>
          <w:sz w:val="24"/>
        </w:rPr>
        <w:t>both</w:t>
      </w:r>
      <w:r>
        <w:rPr>
          <w:spacing w:val="-6"/>
          <w:sz w:val="24"/>
        </w:rPr>
        <w:t> </w:t>
      </w:r>
      <w:r>
        <w:rPr>
          <w:sz w:val="24"/>
        </w:rPr>
        <w:t>Boards</w:t>
      </w:r>
      <w:r>
        <w:rPr>
          <w:spacing w:val="-16"/>
          <w:sz w:val="24"/>
        </w:rPr>
        <w:t> </w:t>
      </w:r>
      <w:r>
        <w:rPr>
          <w:sz w:val="24"/>
        </w:rPr>
        <w:t>in November</w:t>
      </w:r>
      <w:r>
        <w:rPr>
          <w:spacing w:val="-13"/>
          <w:sz w:val="24"/>
        </w:rPr>
        <w:t> </w:t>
      </w:r>
      <w:r>
        <w:rPr>
          <w:sz w:val="24"/>
        </w:rPr>
        <w:t>2024.</w:t>
      </w:r>
      <w:r>
        <w:rPr>
          <w:spacing w:val="-5"/>
          <w:sz w:val="24"/>
        </w:rPr>
        <w:t> </w:t>
      </w:r>
      <w:r>
        <w:rPr>
          <w:sz w:val="24"/>
        </w:rPr>
        <w:t>The</w:t>
      </w:r>
      <w:r>
        <w:rPr>
          <w:spacing w:val="-7"/>
          <w:sz w:val="24"/>
        </w:rPr>
        <w:t> </w:t>
      </w:r>
      <w:r>
        <w:rPr>
          <w:sz w:val="24"/>
        </w:rPr>
        <w:t>benefits</w:t>
      </w:r>
      <w:r>
        <w:rPr>
          <w:spacing w:val="-8"/>
          <w:sz w:val="24"/>
        </w:rPr>
        <w:t> </w:t>
      </w:r>
      <w:r>
        <w:rPr>
          <w:sz w:val="24"/>
        </w:rPr>
        <w:t>of</w:t>
      </w:r>
      <w:r>
        <w:rPr>
          <w:spacing w:val="-10"/>
          <w:sz w:val="24"/>
        </w:rPr>
        <w:t> </w:t>
      </w:r>
      <w:r>
        <w:rPr>
          <w:sz w:val="24"/>
        </w:rPr>
        <w:t>using</w:t>
      </w:r>
      <w:r>
        <w:rPr>
          <w:spacing w:val="-7"/>
          <w:sz w:val="24"/>
        </w:rPr>
        <w:t> </w:t>
      </w:r>
      <w:r>
        <w:rPr>
          <w:sz w:val="24"/>
        </w:rPr>
        <w:t>design</w:t>
      </w:r>
      <w:r>
        <w:rPr>
          <w:spacing w:val="-7"/>
          <w:sz w:val="24"/>
        </w:rPr>
        <w:t> </w:t>
      </w:r>
      <w:r>
        <w:rPr>
          <w:sz w:val="24"/>
        </w:rPr>
        <w:t>principles</w:t>
      </w:r>
      <w:r>
        <w:rPr>
          <w:spacing w:val="-8"/>
          <w:sz w:val="24"/>
        </w:rPr>
        <w:t> </w:t>
      </w:r>
      <w:r>
        <w:rPr>
          <w:sz w:val="24"/>
        </w:rPr>
        <w:t>are</w:t>
      </w:r>
      <w:r>
        <w:rPr>
          <w:spacing w:val="-12"/>
          <w:sz w:val="24"/>
        </w:rPr>
        <w:t> </w:t>
      </w:r>
      <w:r>
        <w:rPr>
          <w:sz w:val="24"/>
        </w:rPr>
        <w:t>as</w:t>
      </w:r>
      <w:r>
        <w:rPr>
          <w:spacing w:val="-8"/>
          <w:sz w:val="24"/>
        </w:rPr>
        <w:t> </w:t>
      </w:r>
      <w:r>
        <w:rPr>
          <w:sz w:val="24"/>
        </w:rPr>
        <w:t>follows:</w:t>
      </w:r>
    </w:p>
    <w:p>
      <w:pPr>
        <w:pStyle w:val="BodyText"/>
      </w:pPr>
    </w:p>
    <w:p>
      <w:pPr>
        <w:pStyle w:val="ListParagraph"/>
        <w:numPr>
          <w:ilvl w:val="2"/>
          <w:numId w:val="39"/>
        </w:numPr>
        <w:tabs>
          <w:tab w:pos="1277" w:val="left" w:leader="none"/>
        </w:tabs>
        <w:spacing w:line="292" w:lineRule="exact" w:before="0" w:after="0"/>
        <w:ind w:left="1277" w:right="0" w:hanging="360"/>
        <w:jc w:val="left"/>
        <w:rPr>
          <w:sz w:val="24"/>
        </w:rPr>
      </w:pPr>
      <w:r>
        <w:rPr>
          <w:spacing w:val="-2"/>
          <w:sz w:val="24"/>
        </w:rPr>
        <w:t>They</w:t>
      </w:r>
      <w:r>
        <w:rPr>
          <w:spacing w:val="-13"/>
          <w:sz w:val="24"/>
        </w:rPr>
        <w:t> </w:t>
      </w:r>
      <w:r>
        <w:rPr>
          <w:spacing w:val="-2"/>
          <w:sz w:val="24"/>
        </w:rPr>
        <w:t>will</w:t>
      </w:r>
      <w:r>
        <w:rPr>
          <w:spacing w:val="-9"/>
          <w:sz w:val="24"/>
        </w:rPr>
        <w:t> </w:t>
      </w:r>
      <w:r>
        <w:rPr>
          <w:spacing w:val="-2"/>
          <w:sz w:val="24"/>
        </w:rPr>
        <w:t>embed</w:t>
      </w:r>
      <w:r>
        <w:rPr>
          <w:spacing w:val="-9"/>
          <w:sz w:val="24"/>
        </w:rPr>
        <w:t> </w:t>
      </w:r>
      <w:r>
        <w:rPr>
          <w:spacing w:val="-2"/>
          <w:sz w:val="24"/>
        </w:rPr>
        <w:t>our</w:t>
      </w:r>
      <w:r>
        <w:rPr>
          <w:spacing w:val="-11"/>
          <w:sz w:val="24"/>
        </w:rPr>
        <w:t> </w:t>
      </w:r>
      <w:r>
        <w:rPr>
          <w:spacing w:val="-2"/>
          <w:sz w:val="24"/>
        </w:rPr>
        <w:t>values</w:t>
      </w:r>
      <w:r>
        <w:rPr>
          <w:spacing w:val="-10"/>
          <w:sz w:val="24"/>
        </w:rPr>
        <w:t> </w:t>
      </w:r>
      <w:r>
        <w:rPr>
          <w:spacing w:val="-2"/>
          <w:sz w:val="24"/>
        </w:rPr>
        <w:t>in</w:t>
      </w:r>
      <w:r>
        <w:rPr>
          <w:spacing w:val="-9"/>
          <w:sz w:val="24"/>
        </w:rPr>
        <w:t> </w:t>
      </w:r>
      <w:r>
        <w:rPr>
          <w:spacing w:val="-2"/>
          <w:sz w:val="24"/>
        </w:rPr>
        <w:t>our</w:t>
      </w:r>
      <w:r>
        <w:rPr>
          <w:spacing w:val="-10"/>
          <w:sz w:val="24"/>
        </w:rPr>
        <w:t> </w:t>
      </w:r>
      <w:r>
        <w:rPr>
          <w:spacing w:val="-2"/>
          <w:sz w:val="24"/>
        </w:rPr>
        <w:t>behaviours</w:t>
      </w:r>
      <w:r>
        <w:rPr>
          <w:spacing w:val="-10"/>
          <w:sz w:val="24"/>
        </w:rPr>
        <w:t> </w:t>
      </w:r>
      <w:r>
        <w:rPr>
          <w:spacing w:val="-2"/>
          <w:sz w:val="24"/>
        </w:rPr>
        <w:t>and</w:t>
      </w:r>
      <w:r>
        <w:rPr>
          <w:spacing w:val="-14"/>
          <w:sz w:val="24"/>
        </w:rPr>
        <w:t> </w:t>
      </w:r>
      <w:r>
        <w:rPr>
          <w:spacing w:val="-2"/>
          <w:sz w:val="24"/>
        </w:rPr>
        <w:t>actions;</w:t>
      </w:r>
    </w:p>
    <w:p>
      <w:pPr>
        <w:pStyle w:val="ListParagraph"/>
        <w:numPr>
          <w:ilvl w:val="2"/>
          <w:numId w:val="39"/>
        </w:numPr>
        <w:tabs>
          <w:tab w:pos="1277" w:val="left" w:leader="none"/>
        </w:tabs>
        <w:spacing w:line="292" w:lineRule="exact" w:before="0" w:after="0"/>
        <w:ind w:left="1277" w:right="0" w:hanging="360"/>
        <w:jc w:val="left"/>
        <w:rPr>
          <w:sz w:val="24"/>
        </w:rPr>
      </w:pPr>
      <w:r>
        <w:rPr>
          <w:spacing w:val="-2"/>
          <w:sz w:val="24"/>
        </w:rPr>
        <w:t>They</w:t>
      </w:r>
      <w:r>
        <w:rPr>
          <w:spacing w:val="-15"/>
          <w:sz w:val="24"/>
        </w:rPr>
        <w:t> </w:t>
      </w:r>
      <w:r>
        <w:rPr>
          <w:spacing w:val="-2"/>
          <w:sz w:val="24"/>
        </w:rPr>
        <w:t>will</w:t>
      </w:r>
      <w:r>
        <w:rPr>
          <w:spacing w:val="-10"/>
          <w:sz w:val="24"/>
        </w:rPr>
        <w:t> </w:t>
      </w:r>
      <w:r>
        <w:rPr>
          <w:spacing w:val="-2"/>
          <w:sz w:val="24"/>
        </w:rPr>
        <w:t>provide</w:t>
      </w:r>
      <w:r>
        <w:rPr>
          <w:spacing w:val="-9"/>
          <w:sz w:val="24"/>
        </w:rPr>
        <w:t> </w:t>
      </w:r>
      <w:r>
        <w:rPr>
          <w:spacing w:val="-2"/>
          <w:sz w:val="24"/>
        </w:rPr>
        <w:t>a</w:t>
      </w:r>
      <w:r>
        <w:rPr>
          <w:spacing w:val="-10"/>
          <w:sz w:val="24"/>
        </w:rPr>
        <w:t> </w:t>
      </w:r>
      <w:r>
        <w:rPr>
          <w:spacing w:val="-2"/>
          <w:sz w:val="24"/>
        </w:rPr>
        <w:t>compass</w:t>
      </w:r>
      <w:r>
        <w:rPr>
          <w:spacing w:val="-11"/>
          <w:sz w:val="24"/>
        </w:rPr>
        <w:t> </w:t>
      </w:r>
      <w:r>
        <w:rPr>
          <w:spacing w:val="-2"/>
          <w:sz w:val="24"/>
        </w:rPr>
        <w:t>point</w:t>
      </w:r>
      <w:r>
        <w:rPr>
          <w:spacing w:val="-15"/>
          <w:sz w:val="24"/>
        </w:rPr>
        <w:t> </w:t>
      </w:r>
      <w:r>
        <w:rPr>
          <w:spacing w:val="-2"/>
          <w:sz w:val="24"/>
        </w:rPr>
        <w:t>when</w:t>
      </w:r>
      <w:r>
        <w:rPr>
          <w:spacing w:val="-10"/>
          <w:sz w:val="24"/>
        </w:rPr>
        <w:t> </w:t>
      </w:r>
      <w:r>
        <w:rPr>
          <w:spacing w:val="-2"/>
          <w:sz w:val="24"/>
        </w:rPr>
        <w:t>conflict</w:t>
      </w:r>
      <w:r>
        <w:rPr>
          <w:spacing w:val="-12"/>
          <w:sz w:val="24"/>
        </w:rPr>
        <w:t> </w:t>
      </w:r>
      <w:r>
        <w:rPr>
          <w:spacing w:val="-2"/>
          <w:sz w:val="24"/>
        </w:rPr>
        <w:t>or</w:t>
      </w:r>
      <w:r>
        <w:rPr>
          <w:spacing w:val="-15"/>
          <w:sz w:val="24"/>
        </w:rPr>
        <w:t> </w:t>
      </w:r>
      <w:r>
        <w:rPr>
          <w:spacing w:val="-2"/>
          <w:sz w:val="24"/>
        </w:rPr>
        <w:t>disagreement</w:t>
      </w:r>
      <w:r>
        <w:rPr>
          <w:spacing w:val="-12"/>
          <w:sz w:val="24"/>
        </w:rPr>
        <w:t> </w:t>
      </w:r>
      <w:r>
        <w:rPr>
          <w:spacing w:val="-2"/>
          <w:sz w:val="24"/>
        </w:rPr>
        <w:t>occurs;</w:t>
      </w:r>
    </w:p>
    <w:p>
      <w:pPr>
        <w:pStyle w:val="ListParagraph"/>
        <w:numPr>
          <w:ilvl w:val="2"/>
          <w:numId w:val="39"/>
        </w:numPr>
        <w:tabs>
          <w:tab w:pos="1277" w:val="left" w:leader="none"/>
        </w:tabs>
        <w:spacing w:line="292" w:lineRule="exact" w:before="1" w:after="0"/>
        <w:ind w:left="1277" w:right="0" w:hanging="360"/>
        <w:jc w:val="left"/>
        <w:rPr>
          <w:sz w:val="24"/>
        </w:rPr>
      </w:pPr>
      <w:r>
        <w:rPr>
          <w:spacing w:val="-2"/>
          <w:sz w:val="24"/>
        </w:rPr>
        <w:t>They</w:t>
      </w:r>
      <w:r>
        <w:rPr>
          <w:spacing w:val="-10"/>
          <w:sz w:val="24"/>
        </w:rPr>
        <w:t> </w:t>
      </w:r>
      <w:r>
        <w:rPr>
          <w:spacing w:val="-2"/>
          <w:sz w:val="24"/>
        </w:rPr>
        <w:t>will</w:t>
      </w:r>
      <w:r>
        <w:rPr>
          <w:spacing w:val="-9"/>
          <w:sz w:val="24"/>
        </w:rPr>
        <w:t> </w:t>
      </w:r>
      <w:r>
        <w:rPr>
          <w:spacing w:val="-2"/>
          <w:sz w:val="24"/>
        </w:rPr>
        <w:t>ensure</w:t>
      </w:r>
      <w:r>
        <w:rPr>
          <w:spacing w:val="-9"/>
          <w:sz w:val="24"/>
        </w:rPr>
        <w:t> </w:t>
      </w:r>
      <w:r>
        <w:rPr>
          <w:spacing w:val="-2"/>
          <w:sz w:val="24"/>
        </w:rPr>
        <w:t>we</w:t>
      </w:r>
      <w:r>
        <w:rPr>
          <w:spacing w:val="-9"/>
          <w:sz w:val="24"/>
        </w:rPr>
        <w:t> </w:t>
      </w:r>
      <w:r>
        <w:rPr>
          <w:spacing w:val="-2"/>
          <w:sz w:val="24"/>
        </w:rPr>
        <w:t>are</w:t>
      </w:r>
      <w:r>
        <w:rPr>
          <w:spacing w:val="-4"/>
          <w:sz w:val="24"/>
        </w:rPr>
        <w:t> </w:t>
      </w:r>
      <w:r>
        <w:rPr>
          <w:spacing w:val="-2"/>
          <w:sz w:val="24"/>
        </w:rPr>
        <w:t>consistent</w:t>
      </w:r>
      <w:r>
        <w:rPr>
          <w:spacing w:val="-12"/>
          <w:sz w:val="24"/>
        </w:rPr>
        <w:t> </w:t>
      </w:r>
      <w:r>
        <w:rPr>
          <w:spacing w:val="-2"/>
          <w:sz w:val="24"/>
        </w:rPr>
        <w:t>in</w:t>
      </w:r>
      <w:r>
        <w:rPr>
          <w:spacing w:val="-9"/>
          <w:sz w:val="24"/>
        </w:rPr>
        <w:t> </w:t>
      </w:r>
      <w:r>
        <w:rPr>
          <w:spacing w:val="-2"/>
          <w:sz w:val="24"/>
        </w:rPr>
        <w:t>what</w:t>
      </w:r>
      <w:r>
        <w:rPr>
          <w:spacing w:val="-11"/>
          <w:sz w:val="24"/>
        </w:rPr>
        <w:t> </w:t>
      </w:r>
      <w:r>
        <w:rPr>
          <w:spacing w:val="-2"/>
          <w:sz w:val="24"/>
        </w:rPr>
        <w:t>we</w:t>
      </w:r>
      <w:r>
        <w:rPr>
          <w:spacing w:val="-9"/>
          <w:sz w:val="24"/>
        </w:rPr>
        <w:t> </w:t>
      </w:r>
      <w:r>
        <w:rPr>
          <w:spacing w:val="-2"/>
          <w:sz w:val="24"/>
        </w:rPr>
        <w:t>say</w:t>
      </w:r>
      <w:r>
        <w:rPr>
          <w:spacing w:val="-15"/>
          <w:sz w:val="24"/>
        </w:rPr>
        <w:t> </w:t>
      </w:r>
      <w:r>
        <w:rPr>
          <w:spacing w:val="-2"/>
          <w:sz w:val="24"/>
        </w:rPr>
        <w:t>and</w:t>
      </w:r>
      <w:r>
        <w:rPr>
          <w:spacing w:val="-9"/>
          <w:sz w:val="24"/>
        </w:rPr>
        <w:t> </w:t>
      </w:r>
      <w:r>
        <w:rPr>
          <w:spacing w:val="-2"/>
          <w:sz w:val="24"/>
        </w:rPr>
        <w:t>do;</w:t>
      </w:r>
      <w:r>
        <w:rPr>
          <w:spacing w:val="-11"/>
          <w:sz w:val="24"/>
        </w:rPr>
        <w:t> </w:t>
      </w:r>
      <w:r>
        <w:rPr>
          <w:spacing w:val="-5"/>
          <w:sz w:val="24"/>
        </w:rPr>
        <w:t>and</w:t>
      </w:r>
    </w:p>
    <w:p>
      <w:pPr>
        <w:pStyle w:val="ListParagraph"/>
        <w:numPr>
          <w:ilvl w:val="2"/>
          <w:numId w:val="39"/>
        </w:numPr>
        <w:tabs>
          <w:tab w:pos="1277" w:val="left" w:leader="none"/>
        </w:tabs>
        <w:spacing w:line="292" w:lineRule="exact" w:before="0" w:after="0"/>
        <w:ind w:left="1277" w:right="0" w:hanging="360"/>
        <w:jc w:val="left"/>
        <w:rPr>
          <w:sz w:val="24"/>
        </w:rPr>
      </w:pPr>
      <w:r>
        <w:rPr>
          <w:spacing w:val="-2"/>
          <w:sz w:val="24"/>
        </w:rPr>
        <w:t>They</w:t>
      </w:r>
      <w:r>
        <w:rPr>
          <w:spacing w:val="-15"/>
          <w:sz w:val="24"/>
        </w:rPr>
        <w:t> </w:t>
      </w:r>
      <w:r>
        <w:rPr>
          <w:spacing w:val="-2"/>
          <w:sz w:val="24"/>
        </w:rPr>
        <w:t>are</w:t>
      </w:r>
      <w:r>
        <w:rPr>
          <w:spacing w:val="-15"/>
          <w:sz w:val="24"/>
        </w:rPr>
        <w:t> </w:t>
      </w:r>
      <w:r>
        <w:rPr>
          <w:spacing w:val="-2"/>
          <w:sz w:val="24"/>
        </w:rPr>
        <w:t>universally</w:t>
      </w:r>
      <w:r>
        <w:rPr>
          <w:spacing w:val="-14"/>
          <w:sz w:val="24"/>
        </w:rPr>
        <w:t> </w:t>
      </w:r>
      <w:r>
        <w:rPr>
          <w:spacing w:val="-2"/>
          <w:sz w:val="24"/>
        </w:rPr>
        <w:t>understood</w:t>
      </w:r>
      <w:r>
        <w:rPr>
          <w:spacing w:val="-15"/>
          <w:sz w:val="24"/>
        </w:rPr>
        <w:t> </w:t>
      </w:r>
      <w:r>
        <w:rPr>
          <w:spacing w:val="-2"/>
          <w:sz w:val="24"/>
        </w:rPr>
        <w:t>and</w:t>
      </w:r>
      <w:r>
        <w:rPr>
          <w:spacing w:val="-11"/>
          <w:sz w:val="24"/>
        </w:rPr>
        <w:t> </w:t>
      </w:r>
      <w:r>
        <w:rPr>
          <w:spacing w:val="-2"/>
          <w:sz w:val="24"/>
        </w:rPr>
        <w:t>accepted.</w:t>
      </w:r>
    </w:p>
    <w:p>
      <w:pPr>
        <w:pStyle w:val="BodyText"/>
        <w:spacing w:before="1"/>
      </w:pPr>
    </w:p>
    <w:p>
      <w:pPr>
        <w:pStyle w:val="BodyText"/>
        <w:spacing w:before="1"/>
        <w:ind w:left="852"/>
      </w:pPr>
      <w:r>
        <w:rPr>
          <w:spacing w:val="-2"/>
        </w:rPr>
        <w:t>The</w:t>
      </w:r>
      <w:r>
        <w:rPr>
          <w:spacing w:val="-12"/>
        </w:rPr>
        <w:t> </w:t>
      </w:r>
      <w:r>
        <w:rPr>
          <w:spacing w:val="-2"/>
        </w:rPr>
        <w:t>design</w:t>
      </w:r>
      <w:r>
        <w:rPr>
          <w:spacing w:val="-11"/>
        </w:rPr>
        <w:t> </w:t>
      </w:r>
      <w:r>
        <w:rPr>
          <w:spacing w:val="-2"/>
        </w:rPr>
        <w:t>principles</w:t>
      </w:r>
      <w:r>
        <w:rPr>
          <w:spacing w:val="-12"/>
        </w:rPr>
        <w:t> </w:t>
      </w:r>
      <w:r>
        <w:rPr>
          <w:spacing w:val="-2"/>
        </w:rPr>
        <w:t>agreed</w:t>
      </w:r>
      <w:r>
        <w:rPr>
          <w:spacing w:val="-15"/>
        </w:rPr>
        <w:t> </w:t>
      </w:r>
      <w:r>
        <w:rPr>
          <w:spacing w:val="-2"/>
        </w:rPr>
        <w:t>by</w:t>
      </w:r>
      <w:r>
        <w:rPr>
          <w:spacing w:val="-12"/>
        </w:rPr>
        <w:t> </w:t>
      </w:r>
      <w:r>
        <w:rPr>
          <w:spacing w:val="-2"/>
        </w:rPr>
        <w:t>both</w:t>
      </w:r>
      <w:r>
        <w:rPr>
          <w:spacing w:val="-11"/>
        </w:rPr>
        <w:t> </w:t>
      </w:r>
      <w:r>
        <w:rPr>
          <w:spacing w:val="-2"/>
        </w:rPr>
        <w:t>Boards</w:t>
      </w:r>
      <w:r>
        <w:rPr>
          <w:spacing w:val="-11"/>
        </w:rPr>
        <w:t> </w:t>
      </w:r>
      <w:r>
        <w:rPr>
          <w:spacing w:val="-4"/>
        </w:rPr>
        <w:t>are:</w:t>
      </w:r>
    </w:p>
    <w:p>
      <w:pPr>
        <w:pStyle w:val="BodyText"/>
        <w:spacing w:before="44"/>
        <w:rPr>
          <w:sz w:val="20"/>
        </w:rPr>
      </w:pPr>
    </w:p>
    <w:tbl>
      <w:tblPr>
        <w:tblW w:w="0" w:type="auto"/>
        <w:jc w:val="left"/>
        <w:tblInd w:w="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86"/>
        <w:gridCol w:w="7658"/>
      </w:tblGrid>
      <w:tr>
        <w:trPr>
          <w:trHeight w:val="550" w:hRule="atLeast"/>
        </w:trPr>
        <w:tc>
          <w:tcPr>
            <w:tcW w:w="1486" w:type="dxa"/>
          </w:tcPr>
          <w:p>
            <w:pPr>
              <w:pStyle w:val="TableParagraph"/>
              <w:ind w:left="110"/>
              <w:rPr>
                <w:sz w:val="24"/>
              </w:rPr>
            </w:pPr>
            <w:r>
              <w:rPr>
                <w:spacing w:val="-2"/>
                <w:sz w:val="24"/>
              </w:rPr>
              <w:t>Mindset</w:t>
            </w:r>
          </w:p>
        </w:tc>
        <w:tc>
          <w:tcPr>
            <w:tcW w:w="7658" w:type="dxa"/>
          </w:tcPr>
          <w:p>
            <w:pPr>
              <w:pStyle w:val="TableParagraph"/>
              <w:spacing w:line="276" w:lineRule="exact"/>
              <w:ind w:left="105"/>
              <w:rPr>
                <w:sz w:val="24"/>
              </w:rPr>
            </w:pPr>
            <w:r>
              <w:rPr>
                <w:spacing w:val="-2"/>
                <w:sz w:val="24"/>
              </w:rPr>
              <w:t>Trusting</w:t>
            </w:r>
            <w:r>
              <w:rPr>
                <w:spacing w:val="-15"/>
                <w:sz w:val="24"/>
              </w:rPr>
              <w:t> </w:t>
            </w:r>
            <w:r>
              <w:rPr>
                <w:spacing w:val="-2"/>
                <w:sz w:val="24"/>
              </w:rPr>
              <w:t>each</w:t>
            </w:r>
            <w:r>
              <w:rPr>
                <w:spacing w:val="-12"/>
                <w:sz w:val="24"/>
              </w:rPr>
              <w:t> </w:t>
            </w:r>
            <w:r>
              <w:rPr>
                <w:spacing w:val="-2"/>
                <w:sz w:val="24"/>
              </w:rPr>
              <w:t>other</w:t>
            </w:r>
            <w:r>
              <w:rPr>
                <w:spacing w:val="-8"/>
                <w:sz w:val="24"/>
              </w:rPr>
              <w:t> </w:t>
            </w:r>
            <w:r>
              <w:rPr>
                <w:spacing w:val="-2"/>
                <w:sz w:val="24"/>
              </w:rPr>
              <w:t>to</w:t>
            </w:r>
            <w:r>
              <w:rPr>
                <w:spacing w:val="-12"/>
                <w:sz w:val="24"/>
              </w:rPr>
              <w:t> </w:t>
            </w:r>
            <w:r>
              <w:rPr>
                <w:spacing w:val="-2"/>
                <w:sz w:val="24"/>
              </w:rPr>
              <w:t>do</w:t>
            </w:r>
            <w:r>
              <w:rPr>
                <w:spacing w:val="-12"/>
                <w:sz w:val="24"/>
              </w:rPr>
              <w:t> </w:t>
            </w:r>
            <w:r>
              <w:rPr>
                <w:spacing w:val="-2"/>
                <w:sz w:val="24"/>
              </w:rPr>
              <w:t>the</w:t>
            </w:r>
            <w:r>
              <w:rPr>
                <w:spacing w:val="-12"/>
                <w:sz w:val="24"/>
              </w:rPr>
              <w:t> </w:t>
            </w:r>
            <w:r>
              <w:rPr>
                <w:spacing w:val="-2"/>
                <w:sz w:val="24"/>
              </w:rPr>
              <w:t>right</w:t>
            </w:r>
            <w:r>
              <w:rPr>
                <w:spacing w:val="-10"/>
                <w:sz w:val="24"/>
              </w:rPr>
              <w:t> </w:t>
            </w:r>
            <w:r>
              <w:rPr>
                <w:spacing w:val="-2"/>
                <w:sz w:val="24"/>
              </w:rPr>
              <w:t>thing</w:t>
            </w:r>
            <w:r>
              <w:rPr>
                <w:spacing w:val="-12"/>
                <w:sz w:val="24"/>
              </w:rPr>
              <w:t> </w:t>
            </w:r>
            <w:r>
              <w:rPr>
                <w:spacing w:val="-2"/>
                <w:sz w:val="24"/>
              </w:rPr>
              <w:t>and</w:t>
            </w:r>
            <w:r>
              <w:rPr>
                <w:spacing w:val="-7"/>
                <w:sz w:val="24"/>
              </w:rPr>
              <w:t> </w:t>
            </w:r>
            <w:r>
              <w:rPr>
                <w:spacing w:val="-2"/>
                <w:sz w:val="24"/>
              </w:rPr>
              <w:t>to</w:t>
            </w:r>
            <w:r>
              <w:rPr>
                <w:spacing w:val="-12"/>
                <w:sz w:val="24"/>
              </w:rPr>
              <w:t> </w:t>
            </w:r>
            <w:r>
              <w:rPr>
                <w:spacing w:val="-2"/>
                <w:sz w:val="24"/>
              </w:rPr>
              <w:t>act</w:t>
            </w:r>
            <w:r>
              <w:rPr>
                <w:spacing w:val="-14"/>
                <w:sz w:val="24"/>
              </w:rPr>
              <w:t> </w:t>
            </w:r>
            <w:r>
              <w:rPr>
                <w:spacing w:val="-2"/>
                <w:sz w:val="24"/>
              </w:rPr>
              <w:t>with</w:t>
            </w:r>
            <w:r>
              <w:rPr>
                <w:spacing w:val="-7"/>
                <w:sz w:val="24"/>
              </w:rPr>
              <w:t> </w:t>
            </w:r>
            <w:r>
              <w:rPr>
                <w:spacing w:val="-2"/>
                <w:sz w:val="24"/>
              </w:rPr>
              <w:t>courage</w:t>
            </w:r>
            <w:r>
              <w:rPr>
                <w:spacing w:val="-12"/>
                <w:sz w:val="24"/>
              </w:rPr>
              <w:t> </w:t>
            </w:r>
            <w:r>
              <w:rPr>
                <w:spacing w:val="-2"/>
                <w:sz w:val="24"/>
              </w:rPr>
              <w:t>and conviction.</w:t>
            </w:r>
          </w:p>
        </w:tc>
      </w:tr>
      <w:tr>
        <w:trPr>
          <w:trHeight w:val="553" w:hRule="atLeast"/>
        </w:trPr>
        <w:tc>
          <w:tcPr>
            <w:tcW w:w="1486" w:type="dxa"/>
          </w:tcPr>
          <w:p>
            <w:pPr>
              <w:pStyle w:val="TableParagraph"/>
              <w:spacing w:line="274" w:lineRule="exact"/>
              <w:ind w:left="110"/>
              <w:rPr>
                <w:sz w:val="24"/>
              </w:rPr>
            </w:pPr>
            <w:r>
              <w:rPr>
                <w:spacing w:val="-2"/>
                <w:sz w:val="24"/>
              </w:rPr>
              <w:t>Process</w:t>
            </w:r>
          </w:p>
        </w:tc>
        <w:tc>
          <w:tcPr>
            <w:tcW w:w="7658" w:type="dxa"/>
          </w:tcPr>
          <w:p>
            <w:pPr>
              <w:pStyle w:val="TableParagraph"/>
              <w:spacing w:line="274" w:lineRule="exact"/>
              <w:ind w:left="105"/>
              <w:rPr>
                <w:sz w:val="24"/>
              </w:rPr>
            </w:pPr>
            <w:r>
              <w:rPr>
                <w:spacing w:val="-2"/>
                <w:sz w:val="24"/>
              </w:rPr>
              <w:t>Driven</w:t>
            </w:r>
            <w:r>
              <w:rPr>
                <w:spacing w:val="-15"/>
                <w:sz w:val="24"/>
              </w:rPr>
              <w:t> </w:t>
            </w:r>
            <w:r>
              <w:rPr>
                <w:spacing w:val="-2"/>
                <w:sz w:val="24"/>
              </w:rPr>
              <w:t>by</w:t>
            </w:r>
            <w:r>
              <w:rPr>
                <w:spacing w:val="-13"/>
                <w:sz w:val="24"/>
              </w:rPr>
              <w:t> </w:t>
            </w:r>
            <w:r>
              <w:rPr>
                <w:spacing w:val="-2"/>
                <w:sz w:val="24"/>
              </w:rPr>
              <w:t>data</w:t>
            </w:r>
            <w:r>
              <w:rPr>
                <w:spacing w:val="-12"/>
                <w:sz w:val="24"/>
              </w:rPr>
              <w:t> </w:t>
            </w:r>
            <w:r>
              <w:rPr>
                <w:spacing w:val="-2"/>
                <w:sz w:val="24"/>
              </w:rPr>
              <w:t>and</w:t>
            </w:r>
            <w:r>
              <w:rPr>
                <w:spacing w:val="-13"/>
                <w:sz w:val="24"/>
              </w:rPr>
              <w:t> </w:t>
            </w:r>
            <w:r>
              <w:rPr>
                <w:spacing w:val="-2"/>
                <w:sz w:val="24"/>
              </w:rPr>
              <w:t>evidence</w:t>
            </w:r>
            <w:r>
              <w:rPr>
                <w:spacing w:val="-12"/>
                <w:sz w:val="24"/>
              </w:rPr>
              <w:t> </w:t>
            </w:r>
            <w:r>
              <w:rPr>
                <w:spacing w:val="-2"/>
                <w:sz w:val="24"/>
              </w:rPr>
              <w:t>and</w:t>
            </w:r>
            <w:r>
              <w:rPr>
                <w:spacing w:val="-13"/>
                <w:sz w:val="24"/>
              </w:rPr>
              <w:t> </w:t>
            </w:r>
            <w:r>
              <w:rPr>
                <w:spacing w:val="-2"/>
                <w:sz w:val="24"/>
              </w:rPr>
              <w:t>embracing</w:t>
            </w:r>
            <w:r>
              <w:rPr>
                <w:spacing w:val="-12"/>
                <w:sz w:val="24"/>
              </w:rPr>
              <w:t> </w:t>
            </w:r>
            <w:r>
              <w:rPr>
                <w:spacing w:val="-2"/>
                <w:sz w:val="24"/>
              </w:rPr>
              <w:t>opportunities</w:t>
            </w:r>
            <w:r>
              <w:rPr>
                <w:spacing w:val="-13"/>
                <w:sz w:val="24"/>
              </w:rPr>
              <w:t> </w:t>
            </w:r>
            <w:r>
              <w:rPr>
                <w:spacing w:val="-2"/>
                <w:sz w:val="24"/>
              </w:rPr>
              <w:t>to</w:t>
            </w:r>
            <w:r>
              <w:rPr>
                <w:spacing w:val="-12"/>
                <w:sz w:val="24"/>
              </w:rPr>
              <w:t> </w:t>
            </w:r>
            <w:r>
              <w:rPr>
                <w:spacing w:val="-5"/>
                <w:sz w:val="24"/>
              </w:rPr>
              <w:t>re-</w:t>
            </w:r>
          </w:p>
          <w:p>
            <w:pPr>
              <w:pStyle w:val="TableParagraph"/>
              <w:spacing w:line="256" w:lineRule="exact" w:before="4"/>
              <w:ind w:left="105"/>
              <w:rPr>
                <w:sz w:val="24"/>
              </w:rPr>
            </w:pPr>
            <w:r>
              <w:rPr>
                <w:spacing w:val="-2"/>
                <w:sz w:val="24"/>
              </w:rPr>
              <w:t>imagine,</w:t>
            </w:r>
            <w:r>
              <w:rPr>
                <w:spacing w:val="-17"/>
                <w:sz w:val="24"/>
              </w:rPr>
              <w:t> </w:t>
            </w:r>
            <w:r>
              <w:rPr>
                <w:spacing w:val="-2"/>
                <w:sz w:val="24"/>
              </w:rPr>
              <w:t>redesign</w:t>
            </w:r>
            <w:r>
              <w:rPr>
                <w:spacing w:val="-15"/>
                <w:sz w:val="24"/>
              </w:rPr>
              <w:t> </w:t>
            </w:r>
            <w:r>
              <w:rPr>
                <w:spacing w:val="-2"/>
                <w:sz w:val="24"/>
              </w:rPr>
              <w:t>and</w:t>
            </w:r>
            <w:r>
              <w:rPr>
                <w:spacing w:val="-14"/>
                <w:sz w:val="24"/>
              </w:rPr>
              <w:t> </w:t>
            </w:r>
            <w:r>
              <w:rPr>
                <w:spacing w:val="-2"/>
                <w:sz w:val="24"/>
              </w:rPr>
              <w:t>innovate</w:t>
            </w:r>
            <w:r>
              <w:rPr>
                <w:spacing w:val="-13"/>
                <w:sz w:val="24"/>
              </w:rPr>
              <w:t> </w:t>
            </w:r>
            <w:r>
              <w:rPr>
                <w:spacing w:val="-2"/>
                <w:sz w:val="24"/>
              </w:rPr>
              <w:t>Sustainability</w:t>
            </w:r>
            <w:r>
              <w:rPr>
                <w:spacing w:val="-14"/>
                <w:sz w:val="24"/>
              </w:rPr>
              <w:t> </w:t>
            </w:r>
            <w:r>
              <w:rPr>
                <w:spacing w:val="-2"/>
                <w:sz w:val="24"/>
              </w:rPr>
              <w:t>of</w:t>
            </w:r>
            <w:r>
              <w:rPr>
                <w:spacing w:val="-15"/>
                <w:sz w:val="24"/>
              </w:rPr>
              <w:t> </w:t>
            </w:r>
            <w:r>
              <w:rPr>
                <w:spacing w:val="-2"/>
                <w:sz w:val="24"/>
              </w:rPr>
              <w:t>the</w:t>
            </w:r>
            <w:r>
              <w:rPr>
                <w:spacing w:val="-14"/>
                <w:sz w:val="24"/>
              </w:rPr>
              <w:t> </w:t>
            </w:r>
            <w:r>
              <w:rPr>
                <w:spacing w:val="-2"/>
                <w:sz w:val="24"/>
              </w:rPr>
              <w:t>architecture</w:t>
            </w:r>
          </w:p>
        </w:tc>
      </w:tr>
      <w:tr>
        <w:trPr>
          <w:trHeight w:val="550" w:hRule="atLeast"/>
        </w:trPr>
        <w:tc>
          <w:tcPr>
            <w:tcW w:w="1486" w:type="dxa"/>
          </w:tcPr>
          <w:p>
            <w:pPr>
              <w:pStyle w:val="TableParagraph"/>
              <w:ind w:left="110"/>
              <w:rPr>
                <w:sz w:val="24"/>
              </w:rPr>
            </w:pPr>
            <w:r>
              <w:rPr>
                <w:spacing w:val="-2"/>
                <w:sz w:val="24"/>
              </w:rPr>
              <w:t>Outcome</w:t>
            </w:r>
          </w:p>
        </w:tc>
        <w:tc>
          <w:tcPr>
            <w:tcW w:w="7658" w:type="dxa"/>
          </w:tcPr>
          <w:p>
            <w:pPr>
              <w:pStyle w:val="TableParagraph"/>
              <w:spacing w:line="276" w:lineRule="exact"/>
              <w:ind w:left="105"/>
              <w:rPr>
                <w:sz w:val="24"/>
              </w:rPr>
            </w:pPr>
            <w:r>
              <w:rPr>
                <w:spacing w:val="-2"/>
                <w:sz w:val="24"/>
              </w:rPr>
              <w:t>Building</w:t>
            </w:r>
            <w:r>
              <w:rPr>
                <w:spacing w:val="-15"/>
                <w:sz w:val="24"/>
              </w:rPr>
              <w:t> </w:t>
            </w:r>
            <w:r>
              <w:rPr>
                <w:spacing w:val="-2"/>
                <w:sz w:val="24"/>
              </w:rPr>
              <w:t>sustainable</w:t>
            </w:r>
            <w:r>
              <w:rPr>
                <w:spacing w:val="-15"/>
                <w:sz w:val="24"/>
              </w:rPr>
              <w:t> </w:t>
            </w:r>
            <w:r>
              <w:rPr>
                <w:spacing w:val="-2"/>
                <w:sz w:val="24"/>
              </w:rPr>
              <w:t>and</w:t>
            </w:r>
            <w:r>
              <w:rPr>
                <w:spacing w:val="-14"/>
                <w:sz w:val="24"/>
              </w:rPr>
              <w:t> </w:t>
            </w:r>
            <w:r>
              <w:rPr>
                <w:spacing w:val="-2"/>
                <w:sz w:val="24"/>
              </w:rPr>
              <w:t>future</w:t>
            </w:r>
            <w:r>
              <w:rPr>
                <w:spacing w:val="-15"/>
                <w:sz w:val="24"/>
              </w:rPr>
              <w:t> </w:t>
            </w:r>
            <w:r>
              <w:rPr>
                <w:spacing w:val="-2"/>
                <w:sz w:val="24"/>
              </w:rPr>
              <w:t>proofed</w:t>
            </w:r>
            <w:r>
              <w:rPr>
                <w:spacing w:val="-15"/>
                <w:sz w:val="24"/>
              </w:rPr>
              <w:t> </w:t>
            </w:r>
            <w:r>
              <w:rPr>
                <w:spacing w:val="-2"/>
                <w:sz w:val="24"/>
              </w:rPr>
              <w:t>services</w:t>
            </w:r>
            <w:r>
              <w:rPr>
                <w:spacing w:val="-13"/>
                <w:sz w:val="24"/>
              </w:rPr>
              <w:t> </w:t>
            </w:r>
            <w:r>
              <w:rPr>
                <w:spacing w:val="-2"/>
                <w:sz w:val="24"/>
              </w:rPr>
              <w:t>that</w:t>
            </w:r>
            <w:r>
              <w:rPr>
                <w:spacing w:val="-15"/>
                <w:sz w:val="24"/>
              </w:rPr>
              <w:t> </w:t>
            </w:r>
            <w:r>
              <w:rPr>
                <w:spacing w:val="-2"/>
                <w:sz w:val="24"/>
              </w:rPr>
              <w:t>have</w:t>
            </w:r>
            <w:r>
              <w:rPr>
                <w:spacing w:val="-10"/>
                <w:sz w:val="24"/>
              </w:rPr>
              <w:t> </w:t>
            </w:r>
            <w:r>
              <w:rPr>
                <w:spacing w:val="-2"/>
                <w:sz w:val="24"/>
              </w:rPr>
              <w:t>the</w:t>
            </w:r>
            <w:r>
              <w:rPr>
                <w:spacing w:val="-15"/>
                <w:sz w:val="24"/>
              </w:rPr>
              <w:t> </w:t>
            </w:r>
            <w:r>
              <w:rPr>
                <w:spacing w:val="-2"/>
                <w:sz w:val="24"/>
              </w:rPr>
              <w:t>greatest </w:t>
            </w:r>
            <w:r>
              <w:rPr>
                <w:sz w:val="24"/>
              </w:rPr>
              <w:t>impact</w:t>
            </w:r>
            <w:r>
              <w:rPr>
                <w:spacing w:val="-9"/>
                <w:sz w:val="24"/>
              </w:rPr>
              <w:t> </w:t>
            </w:r>
            <w:r>
              <w:rPr>
                <w:sz w:val="24"/>
              </w:rPr>
              <w:t>and</w:t>
            </w:r>
            <w:r>
              <w:rPr>
                <w:spacing w:val="-6"/>
                <w:sz w:val="24"/>
              </w:rPr>
              <w:t> </w:t>
            </w:r>
            <w:r>
              <w:rPr>
                <w:sz w:val="24"/>
              </w:rPr>
              <w:t>are</w:t>
            </w:r>
            <w:r>
              <w:rPr>
                <w:spacing w:val="-6"/>
                <w:sz w:val="24"/>
              </w:rPr>
              <w:t> </w:t>
            </w:r>
            <w:r>
              <w:rPr>
                <w:sz w:val="24"/>
              </w:rPr>
              <w:t>in</w:t>
            </w:r>
            <w:r>
              <w:rPr>
                <w:spacing w:val="-6"/>
                <w:sz w:val="24"/>
              </w:rPr>
              <w:t> </w:t>
            </w:r>
            <w:r>
              <w:rPr>
                <w:sz w:val="24"/>
              </w:rPr>
              <w:t>the</w:t>
            </w:r>
            <w:r>
              <w:rPr>
                <w:spacing w:val="-6"/>
                <w:sz w:val="24"/>
              </w:rPr>
              <w:t> </w:t>
            </w:r>
            <w:r>
              <w:rPr>
                <w:sz w:val="24"/>
              </w:rPr>
              <w:t>best</w:t>
            </w:r>
            <w:r>
              <w:rPr>
                <w:spacing w:val="-9"/>
                <w:sz w:val="24"/>
              </w:rPr>
              <w:t> </w:t>
            </w:r>
            <w:r>
              <w:rPr>
                <w:sz w:val="24"/>
              </w:rPr>
              <w:t>interests</w:t>
            </w:r>
            <w:r>
              <w:rPr>
                <w:spacing w:val="-7"/>
                <w:sz w:val="24"/>
              </w:rPr>
              <w:t> </w:t>
            </w:r>
            <w:r>
              <w:rPr>
                <w:sz w:val="24"/>
              </w:rPr>
              <w:t>of</w:t>
            </w:r>
            <w:r>
              <w:rPr>
                <w:spacing w:val="-9"/>
                <w:sz w:val="24"/>
              </w:rPr>
              <w:t> </w:t>
            </w:r>
            <w:r>
              <w:rPr>
                <w:sz w:val="24"/>
              </w:rPr>
              <w:t>all</w:t>
            </w:r>
            <w:r>
              <w:rPr>
                <w:spacing w:val="-6"/>
                <w:sz w:val="24"/>
              </w:rPr>
              <w:t> </w:t>
            </w:r>
            <w:r>
              <w:rPr>
                <w:sz w:val="24"/>
              </w:rPr>
              <w:t>communities</w:t>
            </w:r>
            <w:r>
              <w:rPr>
                <w:spacing w:val="-7"/>
                <w:sz w:val="24"/>
              </w:rPr>
              <w:t> </w:t>
            </w:r>
            <w:r>
              <w:rPr>
                <w:sz w:val="24"/>
              </w:rPr>
              <w:t>and</w:t>
            </w:r>
            <w:r>
              <w:rPr>
                <w:spacing w:val="-6"/>
                <w:sz w:val="24"/>
              </w:rPr>
              <w:t> </w:t>
            </w:r>
            <w:r>
              <w:rPr>
                <w:sz w:val="24"/>
              </w:rPr>
              <w:t>patients</w:t>
            </w:r>
          </w:p>
        </w:tc>
      </w:tr>
    </w:tbl>
    <w:p>
      <w:pPr>
        <w:pStyle w:val="ListParagraph"/>
        <w:numPr>
          <w:ilvl w:val="1"/>
          <w:numId w:val="39"/>
        </w:numPr>
        <w:tabs>
          <w:tab w:pos="862" w:val="left" w:leader="none"/>
        </w:tabs>
        <w:spacing w:line="244" w:lineRule="auto" w:before="275" w:after="0"/>
        <w:ind w:left="862" w:right="1146" w:hanging="720"/>
        <w:jc w:val="left"/>
        <w:rPr>
          <w:sz w:val="24"/>
        </w:rPr>
      </w:pPr>
      <w:r>
        <w:rPr>
          <w:spacing w:val="-2"/>
          <w:sz w:val="24"/>
        </w:rPr>
        <w:t>Ensure</w:t>
      </w:r>
      <w:r>
        <w:rPr>
          <w:spacing w:val="-11"/>
          <w:sz w:val="24"/>
        </w:rPr>
        <w:t> </w:t>
      </w:r>
      <w:r>
        <w:rPr>
          <w:spacing w:val="-2"/>
          <w:sz w:val="24"/>
        </w:rPr>
        <w:t>an</w:t>
      </w:r>
      <w:r>
        <w:rPr>
          <w:spacing w:val="-10"/>
          <w:sz w:val="24"/>
        </w:rPr>
        <w:t> </w:t>
      </w:r>
      <w:r>
        <w:rPr>
          <w:spacing w:val="-2"/>
          <w:sz w:val="24"/>
        </w:rPr>
        <w:t>effective</w:t>
      </w:r>
      <w:r>
        <w:rPr>
          <w:spacing w:val="-15"/>
          <w:sz w:val="24"/>
        </w:rPr>
        <w:t> </w:t>
      </w:r>
      <w:r>
        <w:rPr>
          <w:spacing w:val="-2"/>
          <w:sz w:val="24"/>
        </w:rPr>
        <w:t>governance</w:t>
      </w:r>
      <w:r>
        <w:rPr>
          <w:spacing w:val="-5"/>
          <w:sz w:val="24"/>
        </w:rPr>
        <w:t> </w:t>
      </w:r>
      <w:r>
        <w:rPr>
          <w:spacing w:val="-2"/>
          <w:sz w:val="24"/>
        </w:rPr>
        <w:t>framework</w:t>
      </w:r>
      <w:r>
        <w:rPr>
          <w:spacing w:val="-9"/>
          <w:sz w:val="24"/>
        </w:rPr>
        <w:t> </w:t>
      </w:r>
      <w:r>
        <w:rPr>
          <w:spacing w:val="-2"/>
          <w:sz w:val="24"/>
        </w:rPr>
        <w:t>is</w:t>
      </w:r>
      <w:r>
        <w:rPr>
          <w:spacing w:val="-15"/>
          <w:sz w:val="24"/>
        </w:rPr>
        <w:t> </w:t>
      </w:r>
      <w:r>
        <w:rPr>
          <w:spacing w:val="-2"/>
          <w:sz w:val="24"/>
        </w:rPr>
        <w:t>in</w:t>
      </w:r>
      <w:r>
        <w:rPr>
          <w:spacing w:val="-15"/>
          <w:sz w:val="24"/>
        </w:rPr>
        <w:t> </w:t>
      </w:r>
      <w:r>
        <w:rPr>
          <w:spacing w:val="-2"/>
          <w:sz w:val="24"/>
        </w:rPr>
        <w:t>place</w:t>
      </w:r>
      <w:r>
        <w:rPr>
          <w:spacing w:val="-10"/>
          <w:sz w:val="24"/>
        </w:rPr>
        <w:t> </w:t>
      </w:r>
      <w:r>
        <w:rPr>
          <w:spacing w:val="-2"/>
          <w:sz w:val="24"/>
        </w:rPr>
        <w:t>to</w:t>
      </w:r>
      <w:r>
        <w:rPr>
          <w:spacing w:val="-10"/>
          <w:sz w:val="24"/>
        </w:rPr>
        <w:t> </w:t>
      </w:r>
      <w:r>
        <w:rPr>
          <w:spacing w:val="-2"/>
          <w:sz w:val="24"/>
        </w:rPr>
        <w:t>govern</w:t>
      </w:r>
      <w:r>
        <w:rPr>
          <w:spacing w:val="-6"/>
          <w:sz w:val="24"/>
        </w:rPr>
        <w:t> </w:t>
      </w:r>
      <w:r>
        <w:rPr>
          <w:spacing w:val="-2"/>
          <w:sz w:val="24"/>
        </w:rPr>
        <w:t>the</w:t>
      </w:r>
      <w:r>
        <w:rPr>
          <w:spacing w:val="-10"/>
          <w:sz w:val="24"/>
        </w:rPr>
        <w:t> </w:t>
      </w:r>
      <w:r>
        <w:rPr>
          <w:spacing w:val="-2"/>
          <w:sz w:val="24"/>
        </w:rPr>
        <w:t>work</w:t>
      </w:r>
      <w:r>
        <w:rPr>
          <w:spacing w:val="-11"/>
          <w:sz w:val="24"/>
        </w:rPr>
        <w:t> </w:t>
      </w:r>
      <w:r>
        <w:rPr>
          <w:spacing w:val="-2"/>
          <w:sz w:val="24"/>
        </w:rPr>
        <w:t>of</w:t>
      </w:r>
      <w:r>
        <w:rPr>
          <w:spacing w:val="-8"/>
          <w:sz w:val="24"/>
        </w:rPr>
        <w:t> </w:t>
      </w:r>
      <w:r>
        <w:rPr>
          <w:spacing w:val="-2"/>
          <w:sz w:val="24"/>
        </w:rPr>
        <w:t>the</w:t>
      </w:r>
      <w:r>
        <w:rPr>
          <w:spacing w:val="-7"/>
          <w:sz w:val="24"/>
        </w:rPr>
        <w:t> </w:t>
      </w:r>
      <w:r>
        <w:rPr>
          <w:spacing w:val="-2"/>
          <w:sz w:val="24"/>
        </w:rPr>
        <w:t>RJC, which</w:t>
      </w:r>
      <w:r>
        <w:rPr>
          <w:spacing w:val="-8"/>
          <w:sz w:val="24"/>
        </w:rPr>
        <w:t> </w:t>
      </w:r>
      <w:r>
        <w:rPr>
          <w:spacing w:val="-2"/>
          <w:sz w:val="24"/>
        </w:rPr>
        <w:t>facilitates</w:t>
      </w:r>
      <w:r>
        <w:rPr>
          <w:spacing w:val="-10"/>
          <w:sz w:val="24"/>
        </w:rPr>
        <w:t> </w:t>
      </w:r>
      <w:r>
        <w:rPr>
          <w:spacing w:val="-2"/>
          <w:sz w:val="24"/>
        </w:rPr>
        <w:t>and</w:t>
      </w:r>
      <w:r>
        <w:rPr>
          <w:spacing w:val="-9"/>
          <w:sz w:val="24"/>
        </w:rPr>
        <w:t> </w:t>
      </w:r>
      <w:r>
        <w:rPr>
          <w:spacing w:val="-2"/>
          <w:sz w:val="24"/>
        </w:rPr>
        <w:t>enables</w:t>
      </w:r>
      <w:r>
        <w:rPr>
          <w:spacing w:val="-9"/>
          <w:sz w:val="24"/>
        </w:rPr>
        <w:t> </w:t>
      </w:r>
      <w:r>
        <w:rPr>
          <w:spacing w:val="-2"/>
          <w:sz w:val="24"/>
        </w:rPr>
        <w:t>the</w:t>
      </w:r>
      <w:r>
        <w:rPr>
          <w:spacing w:val="-9"/>
          <w:sz w:val="24"/>
        </w:rPr>
        <w:t> </w:t>
      </w:r>
      <w:r>
        <w:rPr>
          <w:spacing w:val="-2"/>
          <w:sz w:val="24"/>
        </w:rPr>
        <w:t>ambitions</w:t>
      </w:r>
      <w:r>
        <w:rPr>
          <w:spacing w:val="-9"/>
          <w:sz w:val="24"/>
        </w:rPr>
        <w:t> </w:t>
      </w:r>
      <w:r>
        <w:rPr>
          <w:spacing w:val="-2"/>
          <w:sz w:val="24"/>
        </w:rPr>
        <w:t>and</w:t>
      </w:r>
      <w:r>
        <w:rPr>
          <w:spacing w:val="-9"/>
          <w:sz w:val="24"/>
        </w:rPr>
        <w:t> </w:t>
      </w:r>
      <w:r>
        <w:rPr>
          <w:spacing w:val="-2"/>
          <w:sz w:val="24"/>
        </w:rPr>
        <w:t>design</w:t>
      </w:r>
      <w:r>
        <w:rPr>
          <w:spacing w:val="-9"/>
          <w:sz w:val="24"/>
        </w:rPr>
        <w:t> </w:t>
      </w:r>
      <w:r>
        <w:rPr>
          <w:spacing w:val="-2"/>
          <w:sz w:val="24"/>
        </w:rPr>
        <w:t>principles</w:t>
      </w:r>
      <w:r>
        <w:rPr>
          <w:spacing w:val="-10"/>
          <w:sz w:val="24"/>
        </w:rPr>
        <w:t> </w:t>
      </w:r>
      <w:r>
        <w:rPr>
          <w:spacing w:val="-2"/>
          <w:sz w:val="24"/>
        </w:rPr>
        <w:t>set</w:t>
      </w:r>
      <w:r>
        <w:rPr>
          <w:spacing w:val="-11"/>
          <w:sz w:val="24"/>
        </w:rPr>
        <w:t> </w:t>
      </w:r>
      <w:r>
        <w:rPr>
          <w:spacing w:val="-2"/>
          <w:sz w:val="24"/>
        </w:rPr>
        <w:t>out</w:t>
      </w:r>
      <w:r>
        <w:rPr>
          <w:spacing w:val="-11"/>
          <w:sz w:val="24"/>
        </w:rPr>
        <w:t> </w:t>
      </w:r>
      <w:r>
        <w:rPr>
          <w:spacing w:val="-2"/>
          <w:sz w:val="24"/>
        </w:rPr>
        <w:t>by</w:t>
      </w:r>
      <w:r>
        <w:rPr>
          <w:spacing w:val="-5"/>
          <w:sz w:val="24"/>
        </w:rPr>
        <w:t> </w:t>
      </w:r>
      <w:r>
        <w:rPr>
          <w:spacing w:val="-2"/>
          <w:sz w:val="24"/>
        </w:rPr>
        <w:t>the</w:t>
      </w:r>
      <w:r>
        <w:rPr>
          <w:spacing w:val="-7"/>
          <w:sz w:val="24"/>
        </w:rPr>
        <w:t> </w:t>
      </w:r>
      <w:r>
        <w:rPr>
          <w:spacing w:val="-2"/>
          <w:sz w:val="24"/>
        </w:rPr>
        <w:t>RJC.</w:t>
      </w:r>
    </w:p>
    <w:p>
      <w:pPr>
        <w:pStyle w:val="ListParagraph"/>
        <w:numPr>
          <w:ilvl w:val="1"/>
          <w:numId w:val="40"/>
        </w:numPr>
        <w:tabs>
          <w:tab w:pos="852" w:val="left" w:leader="none"/>
        </w:tabs>
        <w:spacing w:line="240" w:lineRule="auto" w:before="268" w:after="0"/>
        <w:ind w:left="852" w:right="1081" w:hanging="710"/>
        <w:jc w:val="left"/>
        <w:rPr>
          <w:sz w:val="24"/>
        </w:rPr>
      </w:pPr>
      <w:r>
        <w:rPr>
          <w:spacing w:val="-2"/>
          <w:sz w:val="24"/>
        </w:rPr>
        <w:t>Pro-actively</w:t>
      </w:r>
      <w:r>
        <w:rPr>
          <w:spacing w:val="-15"/>
          <w:sz w:val="24"/>
        </w:rPr>
        <w:t> </w:t>
      </w:r>
      <w:r>
        <w:rPr>
          <w:spacing w:val="-2"/>
          <w:sz w:val="24"/>
        </w:rPr>
        <w:t>manage</w:t>
      </w:r>
      <w:r>
        <w:rPr>
          <w:spacing w:val="-14"/>
          <w:sz w:val="24"/>
        </w:rPr>
        <w:t> </w:t>
      </w:r>
      <w:r>
        <w:rPr>
          <w:spacing w:val="-2"/>
          <w:sz w:val="24"/>
        </w:rPr>
        <w:t>the</w:t>
      </w:r>
      <w:r>
        <w:rPr>
          <w:spacing w:val="-14"/>
          <w:sz w:val="24"/>
        </w:rPr>
        <w:t> </w:t>
      </w:r>
      <w:r>
        <w:rPr>
          <w:spacing w:val="-2"/>
          <w:sz w:val="24"/>
        </w:rPr>
        <w:t>appropriate</w:t>
      </w:r>
      <w:r>
        <w:rPr>
          <w:spacing w:val="-14"/>
          <w:sz w:val="24"/>
        </w:rPr>
        <w:t> </w:t>
      </w:r>
      <w:r>
        <w:rPr>
          <w:spacing w:val="-2"/>
          <w:sz w:val="24"/>
        </w:rPr>
        <w:t>risks</w:t>
      </w:r>
      <w:r>
        <w:rPr>
          <w:spacing w:val="-15"/>
          <w:sz w:val="24"/>
        </w:rPr>
        <w:t> </w:t>
      </w:r>
      <w:r>
        <w:rPr>
          <w:spacing w:val="-2"/>
          <w:sz w:val="24"/>
        </w:rPr>
        <w:t>identified</w:t>
      </w:r>
      <w:r>
        <w:rPr>
          <w:spacing w:val="-15"/>
          <w:sz w:val="24"/>
        </w:rPr>
        <w:t> </w:t>
      </w:r>
      <w:r>
        <w:rPr>
          <w:spacing w:val="-2"/>
          <w:sz w:val="24"/>
        </w:rPr>
        <w:t>within</w:t>
      </w:r>
      <w:r>
        <w:rPr>
          <w:spacing w:val="-9"/>
          <w:sz w:val="24"/>
        </w:rPr>
        <w:t> </w:t>
      </w:r>
      <w:r>
        <w:rPr>
          <w:spacing w:val="-2"/>
          <w:sz w:val="24"/>
        </w:rPr>
        <w:t>the</w:t>
      </w:r>
      <w:r>
        <w:rPr>
          <w:spacing w:val="-11"/>
          <w:sz w:val="24"/>
        </w:rPr>
        <w:t> </w:t>
      </w:r>
      <w:r>
        <w:rPr>
          <w:spacing w:val="-2"/>
          <w:sz w:val="24"/>
        </w:rPr>
        <w:t>RJC</w:t>
      </w:r>
      <w:r>
        <w:rPr>
          <w:spacing w:val="-13"/>
          <w:sz w:val="24"/>
        </w:rPr>
        <w:t> </w:t>
      </w:r>
      <w:r>
        <w:rPr>
          <w:spacing w:val="-2"/>
          <w:sz w:val="24"/>
        </w:rPr>
        <w:t>programme,</w:t>
      </w:r>
      <w:r>
        <w:rPr>
          <w:spacing w:val="-15"/>
          <w:sz w:val="24"/>
        </w:rPr>
        <w:t> </w:t>
      </w:r>
      <w:r>
        <w:rPr>
          <w:spacing w:val="-2"/>
          <w:sz w:val="24"/>
        </w:rPr>
        <w:t>being </w:t>
      </w:r>
      <w:r>
        <w:rPr>
          <w:sz w:val="24"/>
        </w:rPr>
        <w:t>accountable</w:t>
      </w:r>
      <w:r>
        <w:rPr>
          <w:spacing w:val="-2"/>
          <w:sz w:val="24"/>
        </w:rPr>
        <w:t> </w:t>
      </w:r>
      <w:r>
        <w:rPr>
          <w:sz w:val="24"/>
        </w:rPr>
        <w:t>to</w:t>
      </w:r>
      <w:r>
        <w:rPr>
          <w:spacing w:val="-7"/>
          <w:sz w:val="24"/>
        </w:rPr>
        <w:t> </w:t>
      </w:r>
      <w:r>
        <w:rPr>
          <w:sz w:val="24"/>
        </w:rPr>
        <w:t>the</w:t>
      </w:r>
      <w:r>
        <w:rPr>
          <w:spacing w:val="-7"/>
          <w:sz w:val="24"/>
        </w:rPr>
        <w:t> </w:t>
      </w:r>
      <w:r>
        <w:rPr>
          <w:sz w:val="24"/>
        </w:rPr>
        <w:t>respective</w:t>
      </w:r>
      <w:r>
        <w:rPr>
          <w:spacing w:val="-7"/>
          <w:sz w:val="24"/>
        </w:rPr>
        <w:t> </w:t>
      </w:r>
      <w:r>
        <w:rPr>
          <w:sz w:val="24"/>
        </w:rPr>
        <w:t>University</w:t>
      </w:r>
      <w:r>
        <w:rPr>
          <w:spacing w:val="-8"/>
          <w:sz w:val="24"/>
        </w:rPr>
        <w:t> </w:t>
      </w:r>
      <w:r>
        <w:rPr>
          <w:sz w:val="24"/>
        </w:rPr>
        <w:t>Health</w:t>
      </w:r>
      <w:r>
        <w:rPr>
          <w:spacing w:val="-7"/>
          <w:sz w:val="24"/>
        </w:rPr>
        <w:t> </w:t>
      </w:r>
      <w:r>
        <w:rPr>
          <w:sz w:val="24"/>
        </w:rPr>
        <w:t>Boards.</w:t>
      </w:r>
    </w:p>
    <w:p>
      <w:pPr>
        <w:pStyle w:val="BodyText"/>
        <w:spacing w:before="1"/>
      </w:pPr>
    </w:p>
    <w:p>
      <w:pPr>
        <w:pStyle w:val="ListParagraph"/>
        <w:numPr>
          <w:ilvl w:val="1"/>
          <w:numId w:val="40"/>
        </w:numPr>
        <w:tabs>
          <w:tab w:pos="852" w:val="left" w:leader="none"/>
        </w:tabs>
        <w:spacing w:line="240" w:lineRule="auto" w:before="1" w:after="0"/>
        <w:ind w:left="852" w:right="0" w:hanging="710"/>
        <w:jc w:val="left"/>
        <w:rPr>
          <w:sz w:val="24"/>
        </w:rPr>
      </w:pPr>
      <w:r>
        <w:rPr>
          <w:spacing w:val="-2"/>
          <w:sz w:val="24"/>
        </w:rPr>
        <w:t>Develop</w:t>
      </w:r>
      <w:r>
        <w:rPr>
          <w:spacing w:val="-15"/>
          <w:sz w:val="24"/>
        </w:rPr>
        <w:t> </w:t>
      </w:r>
      <w:r>
        <w:rPr>
          <w:spacing w:val="-2"/>
          <w:sz w:val="24"/>
        </w:rPr>
        <w:t>a</w:t>
      </w:r>
      <w:r>
        <w:rPr>
          <w:spacing w:val="-10"/>
          <w:sz w:val="24"/>
        </w:rPr>
        <w:t> </w:t>
      </w:r>
      <w:r>
        <w:rPr>
          <w:spacing w:val="-2"/>
          <w:sz w:val="24"/>
        </w:rPr>
        <w:t>work</w:t>
      </w:r>
      <w:r>
        <w:rPr>
          <w:spacing w:val="-12"/>
          <w:sz w:val="24"/>
        </w:rPr>
        <w:t> </w:t>
      </w:r>
      <w:r>
        <w:rPr>
          <w:spacing w:val="-2"/>
          <w:sz w:val="24"/>
        </w:rPr>
        <w:t>programme</w:t>
      </w:r>
      <w:r>
        <w:rPr>
          <w:spacing w:val="-6"/>
          <w:sz w:val="24"/>
        </w:rPr>
        <w:t> </w:t>
      </w:r>
      <w:r>
        <w:rPr>
          <w:spacing w:val="-2"/>
          <w:sz w:val="24"/>
        </w:rPr>
        <w:t>that</w:t>
      </w:r>
      <w:r>
        <w:rPr>
          <w:spacing w:val="-15"/>
          <w:sz w:val="24"/>
        </w:rPr>
        <w:t> </w:t>
      </w:r>
      <w:r>
        <w:rPr>
          <w:spacing w:val="-2"/>
          <w:sz w:val="24"/>
        </w:rPr>
        <w:t>underpins</w:t>
      </w:r>
      <w:r>
        <w:rPr>
          <w:spacing w:val="-11"/>
          <w:sz w:val="24"/>
        </w:rPr>
        <w:t> </w:t>
      </w:r>
      <w:r>
        <w:rPr>
          <w:spacing w:val="-2"/>
          <w:sz w:val="24"/>
        </w:rPr>
        <w:t>the</w:t>
      </w:r>
      <w:r>
        <w:rPr>
          <w:spacing w:val="-11"/>
          <w:sz w:val="24"/>
        </w:rPr>
        <w:t> </w:t>
      </w:r>
      <w:r>
        <w:rPr>
          <w:spacing w:val="-2"/>
          <w:sz w:val="24"/>
        </w:rPr>
        <w:t>work</w:t>
      </w:r>
      <w:r>
        <w:rPr>
          <w:spacing w:val="-12"/>
          <w:sz w:val="24"/>
        </w:rPr>
        <w:t> </w:t>
      </w:r>
      <w:r>
        <w:rPr>
          <w:spacing w:val="-2"/>
          <w:sz w:val="24"/>
        </w:rPr>
        <w:t>of</w:t>
      </w:r>
      <w:r>
        <w:rPr>
          <w:spacing w:val="-9"/>
          <w:sz w:val="24"/>
        </w:rPr>
        <w:t> </w:t>
      </w:r>
      <w:r>
        <w:rPr>
          <w:spacing w:val="-2"/>
          <w:sz w:val="24"/>
        </w:rPr>
        <w:t>the</w:t>
      </w:r>
      <w:r>
        <w:rPr>
          <w:spacing w:val="-10"/>
          <w:sz w:val="24"/>
        </w:rPr>
        <w:t> </w:t>
      </w:r>
      <w:r>
        <w:rPr>
          <w:spacing w:val="-4"/>
          <w:sz w:val="24"/>
        </w:rPr>
        <w:t>RJC.</w:t>
      </w:r>
    </w:p>
    <w:p>
      <w:pPr>
        <w:pStyle w:val="ListParagraph"/>
        <w:numPr>
          <w:ilvl w:val="1"/>
          <w:numId w:val="40"/>
        </w:numPr>
        <w:tabs>
          <w:tab w:pos="852" w:val="left" w:leader="none"/>
        </w:tabs>
        <w:spacing w:line="240" w:lineRule="auto" w:before="274" w:after="0"/>
        <w:ind w:left="852" w:right="565" w:hanging="710"/>
        <w:jc w:val="left"/>
        <w:rPr>
          <w:sz w:val="24"/>
        </w:rPr>
      </w:pPr>
      <w:r>
        <w:rPr>
          <w:sz w:val="24"/>
        </w:rPr>
        <w:t>The</w:t>
      </w:r>
      <w:r>
        <w:rPr>
          <w:spacing w:val="-12"/>
          <w:sz w:val="24"/>
        </w:rPr>
        <w:t> </w:t>
      </w:r>
      <w:r>
        <w:rPr>
          <w:sz w:val="24"/>
        </w:rPr>
        <w:t>RJC</w:t>
      </w:r>
      <w:r>
        <w:rPr>
          <w:spacing w:val="-12"/>
          <w:sz w:val="24"/>
        </w:rPr>
        <w:t> </w:t>
      </w:r>
      <w:r>
        <w:rPr>
          <w:sz w:val="24"/>
        </w:rPr>
        <w:t>Chairs</w:t>
      </w:r>
      <w:r>
        <w:rPr>
          <w:spacing w:val="-13"/>
          <w:sz w:val="24"/>
        </w:rPr>
        <w:t> </w:t>
      </w:r>
      <w:r>
        <w:rPr>
          <w:sz w:val="24"/>
        </w:rPr>
        <w:t>will</w:t>
      </w:r>
      <w:r>
        <w:rPr>
          <w:spacing w:val="-12"/>
          <w:sz w:val="24"/>
        </w:rPr>
        <w:t> </w:t>
      </w:r>
      <w:r>
        <w:rPr>
          <w:sz w:val="24"/>
        </w:rPr>
        <w:t>maintain</w:t>
      </w:r>
      <w:r>
        <w:rPr>
          <w:spacing w:val="-12"/>
          <w:sz w:val="24"/>
        </w:rPr>
        <w:t> </w:t>
      </w:r>
      <w:r>
        <w:rPr>
          <w:sz w:val="24"/>
        </w:rPr>
        <w:t>a</w:t>
      </w:r>
      <w:r>
        <w:rPr>
          <w:spacing w:val="-7"/>
          <w:sz w:val="24"/>
        </w:rPr>
        <w:t> </w:t>
      </w:r>
      <w:r>
        <w:rPr>
          <w:sz w:val="24"/>
        </w:rPr>
        <w:t>formal</w:t>
      </w:r>
      <w:r>
        <w:rPr>
          <w:spacing w:val="-12"/>
          <w:sz w:val="24"/>
        </w:rPr>
        <w:t> </w:t>
      </w:r>
      <w:r>
        <w:rPr>
          <w:sz w:val="24"/>
        </w:rPr>
        <w:t>reporting</w:t>
      </w:r>
      <w:r>
        <w:rPr>
          <w:spacing w:val="-12"/>
          <w:sz w:val="24"/>
        </w:rPr>
        <w:t> </w:t>
      </w:r>
      <w:r>
        <w:rPr>
          <w:sz w:val="24"/>
        </w:rPr>
        <w:t>link</w:t>
      </w:r>
      <w:r>
        <w:rPr>
          <w:spacing w:val="-13"/>
          <w:sz w:val="24"/>
        </w:rPr>
        <w:t> </w:t>
      </w:r>
      <w:r>
        <w:rPr>
          <w:sz w:val="24"/>
        </w:rPr>
        <w:t>to</w:t>
      </w:r>
      <w:r>
        <w:rPr>
          <w:spacing w:val="-7"/>
          <w:sz w:val="24"/>
        </w:rPr>
        <w:t> </w:t>
      </w:r>
      <w:r>
        <w:rPr>
          <w:sz w:val="24"/>
        </w:rPr>
        <w:t>Welsh</w:t>
      </w:r>
      <w:r>
        <w:rPr>
          <w:spacing w:val="-7"/>
          <w:sz w:val="24"/>
        </w:rPr>
        <w:t> </w:t>
      </w:r>
      <w:r>
        <w:rPr>
          <w:sz w:val="24"/>
        </w:rPr>
        <w:t>Government,</w:t>
      </w:r>
      <w:r>
        <w:rPr>
          <w:spacing w:val="-15"/>
          <w:sz w:val="24"/>
        </w:rPr>
        <w:t> </w:t>
      </w:r>
      <w:r>
        <w:rPr>
          <w:sz w:val="24"/>
        </w:rPr>
        <w:t>to</w:t>
      </w:r>
      <w:r>
        <w:rPr>
          <w:spacing w:val="-12"/>
          <w:sz w:val="24"/>
        </w:rPr>
        <w:t> </w:t>
      </w:r>
      <w:r>
        <w:rPr>
          <w:sz w:val="24"/>
        </w:rPr>
        <w:t>include</w:t>
      </w:r>
      <w:r>
        <w:rPr>
          <w:spacing w:val="-12"/>
          <w:sz w:val="24"/>
        </w:rPr>
        <w:t> </w:t>
      </w:r>
      <w:r>
        <w:rPr>
          <w:sz w:val="24"/>
        </w:rPr>
        <w:t>the submission</w:t>
      </w:r>
      <w:r>
        <w:rPr>
          <w:spacing w:val="-16"/>
          <w:sz w:val="24"/>
        </w:rPr>
        <w:t> </w:t>
      </w:r>
      <w:r>
        <w:rPr>
          <w:sz w:val="24"/>
        </w:rPr>
        <w:t>of</w:t>
      </w:r>
      <w:r>
        <w:rPr>
          <w:spacing w:val="-17"/>
          <w:sz w:val="24"/>
        </w:rPr>
        <w:t> </w:t>
      </w:r>
      <w:r>
        <w:rPr>
          <w:sz w:val="24"/>
        </w:rPr>
        <w:t>assurance</w:t>
      </w:r>
      <w:r>
        <w:rPr>
          <w:spacing w:val="-13"/>
          <w:sz w:val="24"/>
        </w:rPr>
        <w:t> </w:t>
      </w:r>
      <w:r>
        <w:rPr>
          <w:sz w:val="24"/>
        </w:rPr>
        <w:t>products</w:t>
      </w:r>
      <w:r>
        <w:rPr>
          <w:spacing w:val="-14"/>
          <w:sz w:val="24"/>
        </w:rPr>
        <w:t> </w:t>
      </w:r>
      <w:r>
        <w:rPr>
          <w:sz w:val="24"/>
        </w:rPr>
        <w:t>to</w:t>
      </w:r>
      <w:r>
        <w:rPr>
          <w:spacing w:val="-8"/>
          <w:sz w:val="24"/>
        </w:rPr>
        <w:t> </w:t>
      </w:r>
      <w:r>
        <w:rPr>
          <w:sz w:val="24"/>
        </w:rPr>
        <w:t>the</w:t>
      </w:r>
      <w:r>
        <w:rPr>
          <w:spacing w:val="-13"/>
          <w:sz w:val="24"/>
        </w:rPr>
        <w:t> </w:t>
      </w:r>
      <w:r>
        <w:rPr>
          <w:sz w:val="24"/>
        </w:rPr>
        <w:t>Cabinet</w:t>
      </w:r>
      <w:r>
        <w:rPr>
          <w:spacing w:val="-16"/>
          <w:sz w:val="24"/>
        </w:rPr>
        <w:t> </w:t>
      </w:r>
      <w:r>
        <w:rPr>
          <w:sz w:val="24"/>
        </w:rPr>
        <w:t>Secretary</w:t>
      </w:r>
      <w:r>
        <w:rPr>
          <w:spacing w:val="-14"/>
          <w:sz w:val="24"/>
        </w:rPr>
        <w:t> </w:t>
      </w:r>
      <w:r>
        <w:rPr>
          <w:sz w:val="24"/>
        </w:rPr>
        <w:t>e.g.</w:t>
      </w:r>
      <w:r>
        <w:rPr>
          <w:spacing w:val="-11"/>
          <w:sz w:val="24"/>
        </w:rPr>
        <w:t> </w:t>
      </w:r>
      <w:r>
        <w:rPr>
          <w:sz w:val="24"/>
        </w:rPr>
        <w:t>the</w:t>
      </w:r>
      <w:r>
        <w:rPr>
          <w:spacing w:val="-13"/>
          <w:sz w:val="24"/>
        </w:rPr>
        <w:t> </w:t>
      </w:r>
      <w:r>
        <w:rPr>
          <w:sz w:val="24"/>
        </w:rPr>
        <w:t>Committee’s</w:t>
      </w:r>
      <w:r>
        <w:rPr>
          <w:spacing w:val="-14"/>
          <w:sz w:val="24"/>
        </w:rPr>
        <w:t> </w:t>
      </w:r>
      <w:r>
        <w:rPr>
          <w:sz w:val="24"/>
        </w:rPr>
        <w:t>annual </w:t>
      </w:r>
      <w:r>
        <w:rPr>
          <w:spacing w:val="-2"/>
          <w:sz w:val="24"/>
        </w:rPr>
        <w:t>self</w:t>
      </w:r>
      <w:r>
        <w:rPr>
          <w:spacing w:val="-15"/>
          <w:sz w:val="24"/>
        </w:rPr>
        <w:t> </w:t>
      </w:r>
      <w:r>
        <w:rPr>
          <w:spacing w:val="-2"/>
          <w:sz w:val="24"/>
        </w:rPr>
        <w:t>assessment</w:t>
      </w:r>
      <w:r>
        <w:rPr>
          <w:spacing w:val="-15"/>
          <w:sz w:val="24"/>
        </w:rPr>
        <w:t> </w:t>
      </w:r>
      <w:r>
        <w:rPr>
          <w:spacing w:val="-2"/>
          <w:sz w:val="24"/>
        </w:rPr>
        <w:t>as</w:t>
      </w:r>
      <w:r>
        <w:rPr>
          <w:spacing w:val="-12"/>
          <w:sz w:val="24"/>
        </w:rPr>
        <w:t> </w:t>
      </w:r>
      <w:r>
        <w:rPr>
          <w:spacing w:val="-2"/>
          <w:sz w:val="24"/>
        </w:rPr>
        <w:t>part</w:t>
      </w:r>
      <w:r>
        <w:rPr>
          <w:spacing w:val="-14"/>
          <w:sz w:val="24"/>
        </w:rPr>
        <w:t> </w:t>
      </w:r>
      <w:r>
        <w:rPr>
          <w:spacing w:val="-2"/>
          <w:sz w:val="24"/>
        </w:rPr>
        <w:t>of</w:t>
      </w:r>
      <w:r>
        <w:rPr>
          <w:spacing w:val="-14"/>
          <w:sz w:val="24"/>
        </w:rPr>
        <w:t> </w:t>
      </w:r>
      <w:r>
        <w:rPr>
          <w:spacing w:val="-2"/>
          <w:sz w:val="24"/>
        </w:rPr>
        <w:t>the</w:t>
      </w:r>
      <w:r>
        <w:rPr>
          <w:spacing w:val="-15"/>
          <w:sz w:val="24"/>
        </w:rPr>
        <w:t> </w:t>
      </w:r>
      <w:r>
        <w:rPr>
          <w:spacing w:val="-2"/>
          <w:sz w:val="24"/>
        </w:rPr>
        <w:t>RJC’s</w:t>
      </w:r>
      <w:r>
        <w:rPr>
          <w:spacing w:val="-7"/>
          <w:sz w:val="24"/>
        </w:rPr>
        <w:t> </w:t>
      </w:r>
      <w:r>
        <w:rPr>
          <w:spacing w:val="-2"/>
          <w:sz w:val="24"/>
        </w:rPr>
        <w:t>continuous</w:t>
      </w:r>
      <w:r>
        <w:rPr>
          <w:spacing w:val="-12"/>
          <w:sz w:val="24"/>
        </w:rPr>
        <w:t> </w:t>
      </w:r>
      <w:r>
        <w:rPr>
          <w:spacing w:val="-2"/>
          <w:sz w:val="24"/>
        </w:rPr>
        <w:t>improvement,</w:t>
      </w:r>
      <w:r>
        <w:rPr>
          <w:spacing w:val="-15"/>
          <w:sz w:val="24"/>
        </w:rPr>
        <w:t> </w:t>
      </w:r>
      <w:r>
        <w:rPr>
          <w:spacing w:val="-2"/>
          <w:sz w:val="24"/>
        </w:rPr>
        <w:t>governance</w:t>
      </w:r>
      <w:r>
        <w:rPr>
          <w:spacing w:val="-11"/>
          <w:sz w:val="24"/>
        </w:rPr>
        <w:t> </w:t>
      </w:r>
      <w:r>
        <w:rPr>
          <w:spacing w:val="-2"/>
          <w:sz w:val="24"/>
        </w:rPr>
        <w:t>and</w:t>
      </w:r>
      <w:r>
        <w:rPr>
          <w:spacing w:val="-11"/>
          <w:sz w:val="24"/>
        </w:rPr>
        <w:t> </w:t>
      </w:r>
      <w:r>
        <w:rPr>
          <w:spacing w:val="-2"/>
          <w:sz w:val="24"/>
        </w:rPr>
        <w:t>assurance </w:t>
      </w:r>
      <w:r>
        <w:rPr>
          <w:sz w:val="24"/>
        </w:rPr>
        <w:t>responsibilities,</w:t>
      </w:r>
      <w:r>
        <w:rPr>
          <w:spacing w:val="-17"/>
          <w:sz w:val="24"/>
        </w:rPr>
        <w:t> </w:t>
      </w:r>
      <w:r>
        <w:rPr>
          <w:sz w:val="24"/>
        </w:rPr>
        <w:t>including</w:t>
      </w:r>
      <w:r>
        <w:rPr>
          <w:spacing w:val="-15"/>
          <w:sz w:val="24"/>
        </w:rPr>
        <w:t> </w:t>
      </w:r>
      <w:r>
        <w:rPr>
          <w:sz w:val="24"/>
        </w:rPr>
        <w:t>its</w:t>
      </w:r>
      <w:r>
        <w:rPr>
          <w:spacing w:val="-14"/>
          <w:sz w:val="24"/>
        </w:rPr>
        <w:t> </w:t>
      </w:r>
      <w:r>
        <w:rPr>
          <w:sz w:val="24"/>
        </w:rPr>
        <w:t>role</w:t>
      </w:r>
      <w:r>
        <w:rPr>
          <w:spacing w:val="-14"/>
          <w:sz w:val="24"/>
        </w:rPr>
        <w:t> </w:t>
      </w:r>
      <w:r>
        <w:rPr>
          <w:sz w:val="24"/>
        </w:rPr>
        <w:t>in</w:t>
      </w:r>
      <w:r>
        <w:rPr>
          <w:spacing w:val="-14"/>
          <w:sz w:val="24"/>
        </w:rPr>
        <w:t> </w:t>
      </w:r>
      <w:r>
        <w:rPr>
          <w:sz w:val="24"/>
        </w:rPr>
        <w:t>evidencing</w:t>
      </w:r>
      <w:r>
        <w:rPr>
          <w:spacing w:val="-14"/>
          <w:sz w:val="24"/>
        </w:rPr>
        <w:t> </w:t>
      </w:r>
      <w:r>
        <w:rPr>
          <w:sz w:val="24"/>
        </w:rPr>
        <w:t>maturity</w:t>
      </w:r>
      <w:r>
        <w:rPr>
          <w:spacing w:val="-17"/>
          <w:sz w:val="24"/>
        </w:rPr>
        <w:t> </w:t>
      </w:r>
      <w:r>
        <w:rPr>
          <w:sz w:val="24"/>
        </w:rPr>
        <w:t>and</w:t>
      </w:r>
      <w:r>
        <w:rPr>
          <w:spacing w:val="-17"/>
          <w:sz w:val="24"/>
        </w:rPr>
        <w:t> </w:t>
      </w:r>
      <w:r>
        <w:rPr>
          <w:sz w:val="24"/>
        </w:rPr>
        <w:t>effectiveness.</w:t>
      </w:r>
    </w:p>
    <w:p>
      <w:pPr>
        <w:pStyle w:val="BodyText"/>
        <w:rPr>
          <w:sz w:val="20"/>
        </w:rPr>
      </w:pPr>
    </w:p>
    <w:p>
      <w:pPr>
        <w:pStyle w:val="BodyText"/>
        <w:rPr>
          <w:sz w:val="20"/>
        </w:rPr>
      </w:pPr>
    </w:p>
    <w:p>
      <w:pPr>
        <w:pStyle w:val="BodyText"/>
        <w:spacing w:before="69"/>
        <w:rPr>
          <w:sz w:val="20"/>
        </w:rPr>
      </w:pPr>
    </w:p>
    <w:p>
      <w:pPr>
        <w:spacing w:before="0"/>
        <w:ind w:left="4" w:right="284" w:firstLine="0"/>
        <w:jc w:val="center"/>
        <w:rPr>
          <w:sz w:val="20"/>
        </w:rPr>
      </w:pPr>
      <w:r>
        <w:rPr>
          <w:spacing w:val="-10"/>
          <w:sz w:val="20"/>
        </w:rPr>
        <w:t>6</w:t>
      </w:r>
    </w:p>
    <w:p>
      <w:pPr>
        <w:spacing w:after="0"/>
        <w:jc w:val="center"/>
        <w:rPr>
          <w:sz w:val="20"/>
        </w:rPr>
        <w:sectPr>
          <w:pgSz w:w="11910" w:h="16840"/>
          <w:pgMar w:header="0" w:footer="149" w:top="1160" w:bottom="340" w:left="708" w:right="425"/>
        </w:sectPr>
      </w:pPr>
    </w:p>
    <w:p>
      <w:pPr>
        <w:pStyle w:val="ListParagraph"/>
        <w:numPr>
          <w:ilvl w:val="1"/>
          <w:numId w:val="40"/>
        </w:numPr>
        <w:tabs>
          <w:tab w:pos="852" w:val="left" w:leader="none"/>
        </w:tabs>
        <w:spacing w:line="242" w:lineRule="auto" w:before="65" w:after="0"/>
        <w:ind w:left="852" w:right="788" w:hanging="710"/>
        <w:jc w:val="left"/>
        <w:rPr>
          <w:sz w:val="24"/>
        </w:rPr>
      </w:pPr>
      <w:r>
        <w:rPr>
          <w:color w:val="ED0000"/>
          <w:sz w:val="24"/>
        </w:rPr>
        <w:t>The</w:t>
      </w:r>
      <w:r>
        <w:rPr>
          <w:color w:val="ED0000"/>
          <w:spacing w:val="-11"/>
          <w:sz w:val="24"/>
        </w:rPr>
        <w:t> </w:t>
      </w:r>
      <w:r>
        <w:rPr>
          <w:color w:val="ED0000"/>
          <w:sz w:val="24"/>
        </w:rPr>
        <w:t>RJC</w:t>
      </w:r>
      <w:r>
        <w:rPr>
          <w:color w:val="ED0000"/>
          <w:spacing w:val="-11"/>
          <w:sz w:val="24"/>
        </w:rPr>
        <w:t> </w:t>
      </w:r>
      <w:r>
        <w:rPr>
          <w:color w:val="ED0000"/>
          <w:sz w:val="24"/>
        </w:rPr>
        <w:t>Chairs</w:t>
      </w:r>
      <w:r>
        <w:rPr>
          <w:color w:val="ED0000"/>
          <w:spacing w:val="-12"/>
          <w:sz w:val="24"/>
        </w:rPr>
        <w:t> </w:t>
      </w:r>
      <w:r>
        <w:rPr>
          <w:color w:val="ED0000"/>
          <w:sz w:val="24"/>
        </w:rPr>
        <w:t>will</w:t>
      </w:r>
      <w:r>
        <w:rPr>
          <w:color w:val="ED0000"/>
          <w:spacing w:val="-11"/>
          <w:sz w:val="24"/>
        </w:rPr>
        <w:t> </w:t>
      </w:r>
      <w:r>
        <w:rPr>
          <w:color w:val="ED0000"/>
          <w:sz w:val="24"/>
        </w:rPr>
        <w:t>also</w:t>
      </w:r>
      <w:r>
        <w:rPr>
          <w:color w:val="ED0000"/>
          <w:spacing w:val="-11"/>
          <w:sz w:val="24"/>
        </w:rPr>
        <w:t> </w:t>
      </w:r>
      <w:r>
        <w:rPr>
          <w:color w:val="ED0000"/>
          <w:sz w:val="24"/>
        </w:rPr>
        <w:t>provide</w:t>
      </w:r>
      <w:r>
        <w:rPr>
          <w:color w:val="ED0000"/>
          <w:spacing w:val="-11"/>
          <w:sz w:val="24"/>
        </w:rPr>
        <w:t> </w:t>
      </w:r>
      <w:r>
        <w:rPr>
          <w:color w:val="ED0000"/>
          <w:sz w:val="24"/>
        </w:rPr>
        <w:t>assurance</w:t>
      </w:r>
      <w:r>
        <w:rPr>
          <w:color w:val="ED0000"/>
          <w:spacing w:val="-11"/>
          <w:sz w:val="24"/>
        </w:rPr>
        <w:t> </w:t>
      </w:r>
      <w:r>
        <w:rPr>
          <w:color w:val="ED0000"/>
          <w:sz w:val="24"/>
        </w:rPr>
        <w:t>and</w:t>
      </w:r>
      <w:r>
        <w:rPr>
          <w:color w:val="ED0000"/>
          <w:spacing w:val="-6"/>
          <w:sz w:val="24"/>
        </w:rPr>
        <w:t> </w:t>
      </w:r>
      <w:r>
        <w:rPr>
          <w:color w:val="ED0000"/>
          <w:sz w:val="24"/>
        </w:rPr>
        <w:t>feedback</w:t>
      </w:r>
      <w:r>
        <w:rPr>
          <w:color w:val="ED0000"/>
          <w:spacing w:val="-12"/>
          <w:sz w:val="24"/>
        </w:rPr>
        <w:t> </w:t>
      </w:r>
      <w:r>
        <w:rPr>
          <w:color w:val="ED0000"/>
          <w:sz w:val="24"/>
        </w:rPr>
        <w:t>on</w:t>
      </w:r>
      <w:r>
        <w:rPr>
          <w:color w:val="ED0000"/>
          <w:spacing w:val="-11"/>
          <w:sz w:val="24"/>
        </w:rPr>
        <w:t> </w:t>
      </w:r>
      <w:r>
        <w:rPr>
          <w:color w:val="ED0000"/>
          <w:sz w:val="24"/>
        </w:rPr>
        <w:t>regional</w:t>
      </w:r>
      <w:r>
        <w:rPr>
          <w:color w:val="ED0000"/>
          <w:spacing w:val="-11"/>
          <w:sz w:val="24"/>
        </w:rPr>
        <w:t> </w:t>
      </w:r>
      <w:r>
        <w:rPr>
          <w:color w:val="ED0000"/>
          <w:sz w:val="24"/>
        </w:rPr>
        <w:t>matters</w:t>
      </w:r>
      <w:r>
        <w:rPr>
          <w:color w:val="ED0000"/>
          <w:spacing w:val="-12"/>
          <w:sz w:val="24"/>
        </w:rPr>
        <w:t> </w:t>
      </w:r>
      <w:r>
        <w:rPr>
          <w:color w:val="ED0000"/>
          <w:sz w:val="24"/>
        </w:rPr>
        <w:t>to</w:t>
      </w:r>
      <w:r>
        <w:rPr>
          <w:color w:val="ED0000"/>
          <w:spacing w:val="-6"/>
          <w:sz w:val="24"/>
        </w:rPr>
        <w:t> </w:t>
      </w:r>
      <w:r>
        <w:rPr>
          <w:color w:val="ED0000"/>
          <w:sz w:val="24"/>
        </w:rPr>
        <w:t>the </w:t>
      </w:r>
      <w:r>
        <w:rPr>
          <w:color w:val="ED0000"/>
          <w:spacing w:val="-2"/>
          <w:sz w:val="24"/>
        </w:rPr>
        <w:t>Cabinet</w:t>
      </w:r>
      <w:r>
        <w:rPr>
          <w:color w:val="ED0000"/>
          <w:spacing w:val="-14"/>
          <w:sz w:val="24"/>
        </w:rPr>
        <w:t> </w:t>
      </w:r>
      <w:r>
        <w:rPr>
          <w:color w:val="ED0000"/>
          <w:spacing w:val="-2"/>
          <w:sz w:val="24"/>
        </w:rPr>
        <w:t>Minister</w:t>
      </w:r>
      <w:r>
        <w:rPr>
          <w:color w:val="ED0000"/>
          <w:spacing w:val="-11"/>
          <w:sz w:val="24"/>
        </w:rPr>
        <w:t> </w:t>
      </w:r>
      <w:r>
        <w:rPr>
          <w:color w:val="ED0000"/>
          <w:spacing w:val="-2"/>
          <w:sz w:val="24"/>
        </w:rPr>
        <w:t>as</w:t>
      </w:r>
      <w:r>
        <w:rPr>
          <w:color w:val="ED0000"/>
          <w:spacing w:val="-12"/>
          <w:sz w:val="24"/>
        </w:rPr>
        <w:t> </w:t>
      </w:r>
      <w:r>
        <w:rPr>
          <w:color w:val="ED0000"/>
          <w:spacing w:val="-2"/>
          <w:sz w:val="24"/>
        </w:rPr>
        <w:t>part</w:t>
      </w:r>
      <w:r>
        <w:rPr>
          <w:color w:val="ED0000"/>
          <w:spacing w:val="-14"/>
          <w:sz w:val="24"/>
        </w:rPr>
        <w:t> </w:t>
      </w:r>
      <w:r>
        <w:rPr>
          <w:color w:val="ED0000"/>
          <w:spacing w:val="-2"/>
          <w:sz w:val="24"/>
        </w:rPr>
        <w:t>of</w:t>
      </w:r>
      <w:r>
        <w:rPr>
          <w:color w:val="ED0000"/>
          <w:spacing w:val="-9"/>
          <w:sz w:val="24"/>
        </w:rPr>
        <w:t> </w:t>
      </w:r>
      <w:r>
        <w:rPr>
          <w:color w:val="ED0000"/>
          <w:spacing w:val="-2"/>
          <w:sz w:val="24"/>
        </w:rPr>
        <w:t>their</w:t>
      </w:r>
      <w:r>
        <w:rPr>
          <w:color w:val="ED0000"/>
          <w:spacing w:val="-12"/>
          <w:sz w:val="24"/>
        </w:rPr>
        <w:t> </w:t>
      </w:r>
      <w:r>
        <w:rPr>
          <w:color w:val="ED0000"/>
          <w:spacing w:val="-2"/>
          <w:sz w:val="24"/>
        </w:rPr>
        <w:t>annual</w:t>
      </w:r>
      <w:r>
        <w:rPr>
          <w:color w:val="ED0000"/>
          <w:spacing w:val="-11"/>
          <w:sz w:val="24"/>
        </w:rPr>
        <w:t> </w:t>
      </w:r>
      <w:r>
        <w:rPr>
          <w:color w:val="ED0000"/>
          <w:spacing w:val="-2"/>
          <w:sz w:val="24"/>
        </w:rPr>
        <w:t>appraisals</w:t>
      </w:r>
      <w:r>
        <w:rPr>
          <w:color w:val="ED0000"/>
          <w:spacing w:val="-15"/>
          <w:sz w:val="24"/>
        </w:rPr>
        <w:t> </w:t>
      </w:r>
      <w:r>
        <w:rPr>
          <w:color w:val="ED0000"/>
          <w:spacing w:val="-2"/>
          <w:sz w:val="24"/>
        </w:rPr>
        <w:t>and</w:t>
      </w:r>
      <w:r>
        <w:rPr>
          <w:color w:val="ED0000"/>
          <w:spacing w:val="-6"/>
          <w:sz w:val="24"/>
        </w:rPr>
        <w:t> </w:t>
      </w:r>
      <w:r>
        <w:rPr>
          <w:color w:val="ED0000"/>
          <w:spacing w:val="-2"/>
          <w:sz w:val="24"/>
        </w:rPr>
        <w:t>regular</w:t>
      </w:r>
      <w:r>
        <w:rPr>
          <w:color w:val="ED0000"/>
          <w:spacing w:val="-12"/>
          <w:sz w:val="24"/>
        </w:rPr>
        <w:t> </w:t>
      </w:r>
      <w:r>
        <w:rPr>
          <w:color w:val="ED0000"/>
          <w:spacing w:val="-2"/>
          <w:sz w:val="24"/>
        </w:rPr>
        <w:t>meetings</w:t>
      </w:r>
      <w:r>
        <w:rPr>
          <w:color w:val="ED0000"/>
          <w:spacing w:val="-12"/>
          <w:sz w:val="24"/>
        </w:rPr>
        <w:t> </w:t>
      </w:r>
      <w:r>
        <w:rPr>
          <w:color w:val="ED0000"/>
          <w:spacing w:val="-2"/>
          <w:sz w:val="24"/>
        </w:rPr>
        <w:t>with</w:t>
      </w:r>
      <w:r>
        <w:rPr>
          <w:color w:val="ED0000"/>
          <w:spacing w:val="-11"/>
          <w:sz w:val="24"/>
        </w:rPr>
        <w:t> </w:t>
      </w:r>
      <w:r>
        <w:rPr>
          <w:color w:val="ED0000"/>
          <w:spacing w:val="-2"/>
          <w:sz w:val="24"/>
        </w:rPr>
        <w:t>the</w:t>
      </w:r>
      <w:r>
        <w:rPr>
          <w:color w:val="ED0000"/>
          <w:spacing w:val="-11"/>
          <w:sz w:val="24"/>
        </w:rPr>
        <w:t> </w:t>
      </w:r>
      <w:r>
        <w:rPr>
          <w:color w:val="ED0000"/>
          <w:spacing w:val="-2"/>
          <w:sz w:val="24"/>
        </w:rPr>
        <w:t>Cabinet Minister.</w:t>
      </w:r>
    </w:p>
    <w:p>
      <w:pPr>
        <w:pStyle w:val="BodyText"/>
        <w:spacing w:before="50"/>
        <w:rPr>
          <w:sz w:val="20"/>
        </w:rPr>
      </w:pPr>
      <w:r>
        <w:rPr>
          <w:sz w:val="20"/>
        </w:rPr>
        <mc:AlternateContent>
          <mc:Choice Requires="wps">
            <w:drawing>
              <wp:anchor distT="0" distB="0" distL="0" distR="0" allowOverlap="1" layoutInCell="1" locked="0" behindDoc="1" simplePos="0" relativeHeight="487654912">
                <wp:simplePos x="0" y="0"/>
                <wp:positionH relativeFrom="page">
                  <wp:posOffset>574992</wp:posOffset>
                </wp:positionH>
                <wp:positionV relativeFrom="paragraph">
                  <wp:posOffset>199638</wp:posOffset>
                </wp:positionV>
                <wp:extent cx="6642100" cy="191135"/>
                <wp:effectExtent l="0" t="0" r="0" b="0"/>
                <wp:wrapTopAndBottom/>
                <wp:docPr id="440" name="Textbox 440"/>
                <wp:cNvGraphicFramePr>
                  <a:graphicFrameLocks/>
                </wp:cNvGraphicFramePr>
                <a:graphic>
                  <a:graphicData uri="http://schemas.microsoft.com/office/word/2010/wordprocessingShape">
                    <wps:wsp>
                      <wps:cNvPr id="440" name="Textbox 440"/>
                      <wps:cNvSpPr txBox="1"/>
                      <wps:spPr>
                        <a:xfrm>
                          <a:off x="0" y="0"/>
                          <a:ext cx="6642100" cy="19113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6.</w:t>
                            </w:r>
                            <w:r>
                              <w:rPr>
                                <w:b/>
                                <w:color w:val="000000"/>
                                <w:spacing w:val="30"/>
                                <w:sz w:val="24"/>
                              </w:rPr>
                              <w:t>  </w:t>
                            </w:r>
                            <w:r>
                              <w:rPr>
                                <w:b/>
                                <w:color w:val="000000"/>
                                <w:spacing w:val="-2"/>
                                <w:sz w:val="24"/>
                              </w:rPr>
                              <w:t>Membership</w:t>
                            </w:r>
                          </w:p>
                        </w:txbxContent>
                      </wps:txbx>
                      <wps:bodyPr wrap="square" lIns="0" tIns="0" rIns="0" bIns="0" rtlCol="0">
                        <a:noAutofit/>
                      </wps:bodyPr>
                    </wps:wsp>
                  </a:graphicData>
                </a:graphic>
              </wp:anchor>
            </w:drawing>
          </mc:Choice>
          <mc:Fallback>
            <w:pict>
              <v:shape style="position:absolute;margin-left:45.275002pt;margin-top:15.719551pt;width:523pt;height:15.05pt;mso-position-horizontal-relative:page;mso-position-vertical-relative:paragraph;z-index:-15661568;mso-wrap-distance-left:0;mso-wrap-distance-right:0" type="#_x0000_t202" id="docshape223" filled="true" fillcolor="#c1a875" stroked="true" strokeweight="1pt" strokecolor="#394871">
                <v:textbox inset="0,0,0,0">
                  <w:txbxContent>
                    <w:p>
                      <w:pPr>
                        <w:spacing w:before="0"/>
                        <w:ind w:left="95" w:right="0" w:firstLine="0"/>
                        <w:jc w:val="left"/>
                        <w:rPr>
                          <w:b/>
                          <w:color w:val="000000"/>
                          <w:sz w:val="24"/>
                        </w:rPr>
                      </w:pPr>
                      <w:r>
                        <w:rPr>
                          <w:b/>
                          <w:color w:val="000000"/>
                          <w:sz w:val="24"/>
                        </w:rPr>
                        <w:t>6.</w:t>
                      </w:r>
                      <w:r>
                        <w:rPr>
                          <w:b/>
                          <w:color w:val="000000"/>
                          <w:spacing w:val="30"/>
                          <w:sz w:val="24"/>
                        </w:rPr>
                        <w:t>  </w:t>
                      </w:r>
                      <w:r>
                        <w:rPr>
                          <w:b/>
                          <w:color w:val="000000"/>
                          <w:spacing w:val="-2"/>
                          <w:sz w:val="24"/>
                        </w:rPr>
                        <w:t>Membership</w:t>
                      </w:r>
                    </w:p>
                  </w:txbxContent>
                </v:textbox>
                <v:fill type="solid"/>
                <v:stroke dashstyle="solid"/>
                <w10:wrap type="topAndBottom"/>
              </v:shape>
            </w:pict>
          </mc:Fallback>
        </mc:AlternateContent>
      </w:r>
    </w:p>
    <w:p>
      <w:pPr>
        <w:pStyle w:val="ListParagraph"/>
        <w:numPr>
          <w:ilvl w:val="1"/>
          <w:numId w:val="41"/>
        </w:numPr>
        <w:tabs>
          <w:tab w:pos="852" w:val="left" w:leader="none"/>
        </w:tabs>
        <w:spacing w:line="240" w:lineRule="auto" w:before="265" w:after="0"/>
        <w:ind w:left="852" w:right="0" w:hanging="710"/>
        <w:jc w:val="left"/>
        <w:rPr>
          <w:sz w:val="24"/>
        </w:rPr>
      </w:pPr>
      <w:r>
        <w:rPr>
          <w:sz w:val="24"/>
        </w:rPr>
        <w:t>To</w:t>
      </w:r>
      <w:r>
        <w:rPr>
          <w:spacing w:val="-3"/>
          <w:sz w:val="24"/>
        </w:rPr>
        <w:t> </w:t>
      </w:r>
      <w:r>
        <w:rPr>
          <w:sz w:val="24"/>
        </w:rPr>
        <w:t>ensure</w:t>
      </w:r>
      <w:r>
        <w:rPr>
          <w:spacing w:val="-2"/>
          <w:sz w:val="24"/>
        </w:rPr>
        <w:t> </w:t>
      </w:r>
      <w:r>
        <w:rPr>
          <w:sz w:val="24"/>
        </w:rPr>
        <w:t>the</w:t>
      </w:r>
      <w:r>
        <w:rPr>
          <w:spacing w:val="-1"/>
          <w:sz w:val="24"/>
        </w:rPr>
        <w:t> </w:t>
      </w:r>
      <w:r>
        <w:rPr>
          <w:sz w:val="24"/>
        </w:rPr>
        <w:t>RJC</w:t>
      </w:r>
      <w:r>
        <w:rPr>
          <w:spacing w:val="-1"/>
          <w:sz w:val="24"/>
        </w:rPr>
        <w:t> </w:t>
      </w:r>
      <w:r>
        <w:rPr>
          <w:sz w:val="24"/>
        </w:rPr>
        <w:t>undertakes</w:t>
      </w:r>
      <w:r>
        <w:rPr>
          <w:spacing w:val="-3"/>
          <w:sz w:val="24"/>
        </w:rPr>
        <w:t> </w:t>
      </w:r>
      <w:r>
        <w:rPr>
          <w:sz w:val="24"/>
        </w:rPr>
        <w:t>its</w:t>
      </w:r>
      <w:r>
        <w:rPr>
          <w:spacing w:val="-4"/>
          <w:sz w:val="24"/>
        </w:rPr>
        <w:t> </w:t>
      </w:r>
      <w:r>
        <w:rPr>
          <w:sz w:val="24"/>
        </w:rPr>
        <w:t>role</w:t>
      </w:r>
      <w:r>
        <w:rPr>
          <w:spacing w:val="-2"/>
          <w:sz w:val="24"/>
        </w:rPr>
        <w:t> </w:t>
      </w:r>
      <w:r>
        <w:rPr>
          <w:sz w:val="24"/>
        </w:rPr>
        <w:t>effectively,</w:t>
      </w:r>
      <w:r>
        <w:rPr>
          <w:spacing w:val="-5"/>
          <w:sz w:val="24"/>
        </w:rPr>
        <w:t> </w:t>
      </w:r>
      <w:r>
        <w:rPr>
          <w:sz w:val="24"/>
        </w:rPr>
        <w:t>its</w:t>
      </w:r>
      <w:r>
        <w:rPr>
          <w:spacing w:val="-3"/>
          <w:sz w:val="24"/>
        </w:rPr>
        <w:t> </w:t>
      </w:r>
      <w:r>
        <w:rPr>
          <w:sz w:val="24"/>
        </w:rPr>
        <w:t>members</w:t>
      </w:r>
      <w:r>
        <w:rPr>
          <w:spacing w:val="-4"/>
          <w:sz w:val="24"/>
        </w:rPr>
        <w:t> </w:t>
      </w:r>
      <w:r>
        <w:rPr>
          <w:sz w:val="24"/>
        </w:rPr>
        <w:t>are</w:t>
      </w:r>
      <w:r>
        <w:rPr>
          <w:spacing w:val="-2"/>
          <w:sz w:val="24"/>
        </w:rPr>
        <w:t> </w:t>
      </w:r>
      <w:r>
        <w:rPr>
          <w:sz w:val="24"/>
        </w:rPr>
        <w:t>asked</w:t>
      </w:r>
      <w:r>
        <w:rPr>
          <w:spacing w:val="-2"/>
          <w:sz w:val="24"/>
        </w:rPr>
        <w:t> </w:t>
      </w:r>
      <w:r>
        <w:rPr>
          <w:spacing w:val="-5"/>
          <w:sz w:val="24"/>
        </w:rPr>
        <w:t>to:</w:t>
      </w:r>
    </w:p>
    <w:p>
      <w:pPr>
        <w:pStyle w:val="ListParagraph"/>
        <w:numPr>
          <w:ilvl w:val="2"/>
          <w:numId w:val="41"/>
        </w:numPr>
        <w:tabs>
          <w:tab w:pos="1700" w:val="left" w:leader="none"/>
        </w:tabs>
        <w:spacing w:line="240" w:lineRule="auto" w:before="274" w:after="0"/>
        <w:ind w:left="1700" w:right="0" w:hanging="718"/>
        <w:jc w:val="left"/>
        <w:rPr>
          <w:sz w:val="24"/>
        </w:rPr>
      </w:pPr>
      <w:r>
        <w:rPr>
          <w:sz w:val="24"/>
        </w:rPr>
        <w:t>Attend quarterly</w:t>
      </w:r>
      <w:r>
        <w:rPr>
          <w:spacing w:val="-1"/>
          <w:sz w:val="24"/>
        </w:rPr>
        <w:t> </w:t>
      </w:r>
      <w:r>
        <w:rPr>
          <w:spacing w:val="-2"/>
          <w:sz w:val="24"/>
        </w:rPr>
        <w:t>meetings.</w:t>
      </w:r>
    </w:p>
    <w:p>
      <w:pPr>
        <w:pStyle w:val="ListParagraph"/>
        <w:numPr>
          <w:ilvl w:val="2"/>
          <w:numId w:val="41"/>
        </w:numPr>
        <w:tabs>
          <w:tab w:pos="1700" w:val="left" w:leader="none"/>
        </w:tabs>
        <w:spacing w:line="276" w:lineRule="exact" w:before="4" w:after="0"/>
        <w:ind w:left="1700" w:right="0" w:hanging="718"/>
        <w:jc w:val="left"/>
        <w:rPr>
          <w:sz w:val="24"/>
        </w:rPr>
      </w:pPr>
      <w:r>
        <w:rPr>
          <w:sz w:val="24"/>
        </w:rPr>
        <w:t>Adopt</w:t>
      </w:r>
      <w:r>
        <w:rPr>
          <w:spacing w:val="-8"/>
          <w:sz w:val="24"/>
        </w:rPr>
        <w:t> </w:t>
      </w:r>
      <w:r>
        <w:rPr>
          <w:sz w:val="24"/>
        </w:rPr>
        <w:t>an</w:t>
      </w:r>
      <w:r>
        <w:rPr>
          <w:spacing w:val="-3"/>
          <w:sz w:val="24"/>
        </w:rPr>
        <w:t> </w:t>
      </w:r>
      <w:r>
        <w:rPr>
          <w:sz w:val="24"/>
        </w:rPr>
        <w:t>open</w:t>
      </w:r>
      <w:r>
        <w:rPr>
          <w:spacing w:val="-2"/>
          <w:sz w:val="24"/>
        </w:rPr>
        <w:t> </w:t>
      </w:r>
      <w:r>
        <w:rPr>
          <w:sz w:val="24"/>
        </w:rPr>
        <w:t>and</w:t>
      </w:r>
      <w:r>
        <w:rPr>
          <w:spacing w:val="-3"/>
          <w:sz w:val="24"/>
        </w:rPr>
        <w:t> </w:t>
      </w:r>
      <w:r>
        <w:rPr>
          <w:sz w:val="24"/>
        </w:rPr>
        <w:t>constructively</w:t>
      </w:r>
      <w:r>
        <w:rPr>
          <w:spacing w:val="-4"/>
          <w:sz w:val="24"/>
        </w:rPr>
        <w:t> </w:t>
      </w:r>
      <w:r>
        <w:rPr>
          <w:sz w:val="24"/>
        </w:rPr>
        <w:t>challenging</w:t>
      </w:r>
      <w:r>
        <w:rPr>
          <w:spacing w:val="-2"/>
          <w:sz w:val="24"/>
        </w:rPr>
        <w:t> </w:t>
      </w:r>
      <w:r>
        <w:rPr>
          <w:sz w:val="24"/>
        </w:rPr>
        <w:t>approach</w:t>
      </w:r>
      <w:r>
        <w:rPr>
          <w:spacing w:val="-3"/>
          <w:sz w:val="24"/>
        </w:rPr>
        <w:t> </w:t>
      </w:r>
      <w:r>
        <w:rPr>
          <w:sz w:val="24"/>
        </w:rPr>
        <w:t>within</w:t>
      </w:r>
      <w:r>
        <w:rPr>
          <w:spacing w:val="-2"/>
          <w:sz w:val="24"/>
        </w:rPr>
        <w:t> meetings.</w:t>
      </w:r>
    </w:p>
    <w:p>
      <w:pPr>
        <w:pStyle w:val="ListParagraph"/>
        <w:numPr>
          <w:ilvl w:val="2"/>
          <w:numId w:val="41"/>
        </w:numPr>
        <w:tabs>
          <w:tab w:pos="1700" w:val="left" w:leader="none"/>
        </w:tabs>
        <w:spacing w:line="275" w:lineRule="exact" w:before="0" w:after="0"/>
        <w:ind w:left="1700" w:right="0" w:hanging="718"/>
        <w:jc w:val="left"/>
        <w:rPr>
          <w:sz w:val="24"/>
        </w:rPr>
      </w:pPr>
      <w:r>
        <w:rPr>
          <w:sz w:val="24"/>
        </w:rPr>
        <w:t>Promptly</w:t>
      </w:r>
      <w:r>
        <w:rPr>
          <w:spacing w:val="-5"/>
          <w:sz w:val="24"/>
        </w:rPr>
        <w:t> </w:t>
      </w:r>
      <w:r>
        <w:rPr>
          <w:sz w:val="24"/>
        </w:rPr>
        <w:t>follow</w:t>
      </w:r>
      <w:r>
        <w:rPr>
          <w:spacing w:val="-3"/>
          <w:sz w:val="24"/>
        </w:rPr>
        <w:t> </w:t>
      </w:r>
      <w:r>
        <w:rPr>
          <w:sz w:val="24"/>
        </w:rPr>
        <w:t>up</w:t>
      </w:r>
      <w:r>
        <w:rPr>
          <w:spacing w:val="-4"/>
          <w:sz w:val="24"/>
        </w:rPr>
        <w:t> </w:t>
      </w:r>
      <w:r>
        <w:rPr>
          <w:sz w:val="24"/>
        </w:rPr>
        <w:t>on</w:t>
      </w:r>
      <w:r>
        <w:rPr>
          <w:spacing w:val="-3"/>
          <w:sz w:val="24"/>
        </w:rPr>
        <w:t> </w:t>
      </w:r>
      <w:r>
        <w:rPr>
          <w:sz w:val="24"/>
        </w:rPr>
        <w:t>actions</w:t>
      </w:r>
      <w:r>
        <w:rPr>
          <w:spacing w:val="-5"/>
          <w:sz w:val="24"/>
        </w:rPr>
        <w:t> </w:t>
      </w:r>
      <w:r>
        <w:rPr>
          <w:sz w:val="24"/>
        </w:rPr>
        <w:t>and</w:t>
      </w:r>
      <w:r>
        <w:rPr>
          <w:spacing w:val="-3"/>
          <w:sz w:val="24"/>
        </w:rPr>
        <w:t> </w:t>
      </w:r>
      <w:r>
        <w:rPr>
          <w:sz w:val="24"/>
        </w:rPr>
        <w:t>commitments;</w:t>
      </w:r>
      <w:r>
        <w:rPr>
          <w:spacing w:val="-6"/>
          <w:sz w:val="24"/>
        </w:rPr>
        <w:t> </w:t>
      </w:r>
      <w:r>
        <w:rPr>
          <w:spacing w:val="-5"/>
          <w:sz w:val="24"/>
        </w:rPr>
        <w:t>and</w:t>
      </w:r>
    </w:p>
    <w:p>
      <w:pPr>
        <w:pStyle w:val="ListParagraph"/>
        <w:numPr>
          <w:ilvl w:val="2"/>
          <w:numId w:val="41"/>
        </w:numPr>
        <w:tabs>
          <w:tab w:pos="1700" w:val="left" w:leader="none"/>
          <w:tab w:pos="1703" w:val="left" w:leader="none"/>
        </w:tabs>
        <w:spacing w:line="240" w:lineRule="auto" w:before="0" w:after="0"/>
        <w:ind w:left="1703" w:right="798" w:hanging="721"/>
        <w:jc w:val="left"/>
        <w:rPr>
          <w:sz w:val="24"/>
        </w:rPr>
      </w:pPr>
      <w:r>
        <w:rPr>
          <w:sz w:val="24"/>
        </w:rPr>
        <w:t>Participate</w:t>
      </w:r>
      <w:r>
        <w:rPr>
          <w:spacing w:val="-4"/>
          <w:sz w:val="24"/>
        </w:rPr>
        <w:t> </w:t>
      </w:r>
      <w:r>
        <w:rPr>
          <w:sz w:val="24"/>
        </w:rPr>
        <w:t>in</w:t>
      </w:r>
      <w:r>
        <w:rPr>
          <w:spacing w:val="-4"/>
          <w:sz w:val="24"/>
        </w:rPr>
        <w:t> </w:t>
      </w:r>
      <w:r>
        <w:rPr>
          <w:sz w:val="24"/>
        </w:rPr>
        <w:t>electronic</w:t>
      </w:r>
      <w:r>
        <w:rPr>
          <w:spacing w:val="-5"/>
          <w:sz w:val="24"/>
        </w:rPr>
        <w:t> </w:t>
      </w:r>
      <w:r>
        <w:rPr>
          <w:sz w:val="24"/>
        </w:rPr>
        <w:t>and</w:t>
      </w:r>
      <w:r>
        <w:rPr>
          <w:spacing w:val="-4"/>
          <w:sz w:val="24"/>
        </w:rPr>
        <w:t> </w:t>
      </w:r>
      <w:r>
        <w:rPr>
          <w:sz w:val="24"/>
        </w:rPr>
        <w:t>virtual</w:t>
      </w:r>
      <w:r>
        <w:rPr>
          <w:spacing w:val="-4"/>
          <w:sz w:val="24"/>
        </w:rPr>
        <w:t> </w:t>
      </w:r>
      <w:r>
        <w:rPr>
          <w:sz w:val="24"/>
        </w:rPr>
        <w:t>channels</w:t>
      </w:r>
      <w:r>
        <w:rPr>
          <w:spacing w:val="-5"/>
          <w:sz w:val="24"/>
        </w:rPr>
        <w:t> </w:t>
      </w:r>
      <w:r>
        <w:rPr>
          <w:sz w:val="24"/>
        </w:rPr>
        <w:t>established</w:t>
      </w:r>
      <w:r>
        <w:rPr>
          <w:spacing w:val="-4"/>
          <w:sz w:val="24"/>
        </w:rPr>
        <w:t> </w:t>
      </w:r>
      <w:r>
        <w:rPr>
          <w:sz w:val="24"/>
        </w:rPr>
        <w:t>to</w:t>
      </w:r>
      <w:r>
        <w:rPr>
          <w:spacing w:val="-4"/>
          <w:sz w:val="24"/>
        </w:rPr>
        <w:t> </w:t>
      </w:r>
      <w:r>
        <w:rPr>
          <w:sz w:val="24"/>
        </w:rPr>
        <w:t>allow</w:t>
      </w:r>
      <w:r>
        <w:rPr>
          <w:spacing w:val="-4"/>
          <w:sz w:val="24"/>
        </w:rPr>
        <w:t> </w:t>
      </w:r>
      <w:r>
        <w:rPr>
          <w:sz w:val="24"/>
        </w:rPr>
        <w:t>a</w:t>
      </w:r>
      <w:r>
        <w:rPr>
          <w:spacing w:val="-4"/>
          <w:sz w:val="24"/>
        </w:rPr>
        <w:t> </w:t>
      </w:r>
      <w:r>
        <w:rPr>
          <w:sz w:val="24"/>
        </w:rPr>
        <w:t>continuous flow of information between committee members.</w:t>
      </w:r>
    </w:p>
    <w:p>
      <w:pPr>
        <w:pStyle w:val="BodyText"/>
        <w:spacing w:before="1"/>
      </w:pPr>
    </w:p>
    <w:p>
      <w:pPr>
        <w:pStyle w:val="ListParagraph"/>
        <w:numPr>
          <w:ilvl w:val="1"/>
          <w:numId w:val="41"/>
        </w:numPr>
        <w:tabs>
          <w:tab w:pos="852" w:val="left" w:leader="none"/>
        </w:tabs>
        <w:spacing w:line="240" w:lineRule="auto" w:before="0" w:after="0"/>
        <w:ind w:left="852" w:right="0" w:hanging="710"/>
        <w:jc w:val="left"/>
        <w:rPr>
          <w:sz w:val="24"/>
        </w:rPr>
      </w:pPr>
      <w:r>
        <w:rPr>
          <w:sz w:val="24"/>
        </w:rPr>
        <w:t>Membership</w:t>
      </w:r>
      <w:r>
        <w:rPr>
          <w:spacing w:val="-3"/>
          <w:sz w:val="24"/>
        </w:rPr>
        <w:t> </w:t>
      </w:r>
      <w:r>
        <w:rPr>
          <w:sz w:val="24"/>
        </w:rPr>
        <w:t>of</w:t>
      </w:r>
      <w:r>
        <w:rPr>
          <w:spacing w:val="-5"/>
          <w:sz w:val="24"/>
        </w:rPr>
        <w:t> </w:t>
      </w:r>
      <w:r>
        <w:rPr>
          <w:sz w:val="24"/>
        </w:rPr>
        <w:t>the RJC</w:t>
      </w:r>
      <w:r>
        <w:rPr>
          <w:spacing w:val="-1"/>
          <w:sz w:val="24"/>
        </w:rPr>
        <w:t> </w:t>
      </w:r>
      <w:r>
        <w:rPr>
          <w:sz w:val="24"/>
        </w:rPr>
        <w:t>shall</w:t>
      </w:r>
      <w:r>
        <w:rPr>
          <w:spacing w:val="-2"/>
          <w:sz w:val="24"/>
        </w:rPr>
        <w:t> comprise:</w:t>
      </w:r>
    </w:p>
    <w:p>
      <w:pPr>
        <w:pStyle w:val="BodyText"/>
        <w:spacing w:before="11"/>
        <w:rPr>
          <w:sz w:val="9"/>
        </w:r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4967"/>
        <w:gridCol w:w="5137"/>
      </w:tblGrid>
      <w:tr>
        <w:trPr>
          <w:trHeight w:val="285" w:hRule="atLeast"/>
        </w:trPr>
        <w:tc>
          <w:tcPr>
            <w:tcW w:w="4967" w:type="dxa"/>
            <w:shd w:val="clear" w:color="auto" w:fill="C1A875"/>
          </w:tcPr>
          <w:p>
            <w:pPr>
              <w:pStyle w:val="TableParagraph"/>
              <w:spacing w:line="265" w:lineRule="exact"/>
              <w:ind w:left="105"/>
              <w:rPr>
                <w:b/>
                <w:sz w:val="24"/>
              </w:rPr>
            </w:pPr>
            <w:r>
              <w:rPr>
                <w:b/>
                <w:spacing w:val="-2"/>
                <w:sz w:val="24"/>
              </w:rPr>
              <w:t>Member</w:t>
            </w:r>
          </w:p>
        </w:tc>
        <w:tc>
          <w:tcPr>
            <w:tcW w:w="5137" w:type="dxa"/>
            <w:shd w:val="clear" w:color="auto" w:fill="C1A875"/>
          </w:tcPr>
          <w:p>
            <w:pPr>
              <w:pStyle w:val="TableParagraph"/>
              <w:spacing w:line="265" w:lineRule="exact"/>
              <w:ind w:left="105"/>
              <w:rPr>
                <w:b/>
                <w:sz w:val="24"/>
              </w:rPr>
            </w:pPr>
            <w:r>
              <w:rPr>
                <w:b/>
                <w:spacing w:val="-2"/>
                <w:sz w:val="24"/>
              </w:rPr>
              <w:t>Organisation</w:t>
            </w:r>
          </w:p>
        </w:tc>
      </w:tr>
      <w:tr>
        <w:trPr>
          <w:trHeight w:val="285" w:hRule="atLeast"/>
        </w:trPr>
        <w:tc>
          <w:tcPr>
            <w:tcW w:w="4967" w:type="dxa"/>
          </w:tcPr>
          <w:p>
            <w:pPr>
              <w:pStyle w:val="TableParagraph"/>
              <w:spacing w:line="265" w:lineRule="exact"/>
              <w:ind w:left="105"/>
              <w:rPr>
                <w:sz w:val="24"/>
              </w:rPr>
            </w:pPr>
            <w:r>
              <w:rPr>
                <w:spacing w:val="-2"/>
                <w:sz w:val="24"/>
              </w:rPr>
              <w:t>Chair</w:t>
            </w:r>
            <w:r>
              <w:rPr>
                <w:spacing w:val="-13"/>
                <w:sz w:val="24"/>
              </w:rPr>
              <w:t> </w:t>
            </w:r>
            <w:r>
              <w:rPr>
                <w:spacing w:val="-2"/>
                <w:sz w:val="24"/>
              </w:rPr>
              <w:t>(RJC</w:t>
            </w:r>
            <w:r>
              <w:rPr>
                <w:spacing w:val="-10"/>
                <w:sz w:val="24"/>
              </w:rPr>
              <w:t> </w:t>
            </w:r>
            <w:r>
              <w:rPr>
                <w:spacing w:val="-2"/>
                <w:sz w:val="24"/>
              </w:rPr>
              <w:t>Joint</w:t>
            </w:r>
            <w:r>
              <w:rPr>
                <w:spacing w:val="-14"/>
                <w:sz w:val="24"/>
              </w:rPr>
              <w:t> </w:t>
            </w:r>
            <w:r>
              <w:rPr>
                <w:spacing w:val="-2"/>
                <w:sz w:val="24"/>
              </w:rPr>
              <w:t>Chair)</w:t>
            </w:r>
          </w:p>
        </w:tc>
        <w:tc>
          <w:tcPr>
            <w:tcW w:w="5137"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0" w:hRule="atLeast"/>
        </w:trPr>
        <w:tc>
          <w:tcPr>
            <w:tcW w:w="4967" w:type="dxa"/>
          </w:tcPr>
          <w:p>
            <w:pPr>
              <w:pStyle w:val="TableParagraph"/>
              <w:spacing w:line="260" w:lineRule="exact"/>
              <w:ind w:left="105"/>
              <w:rPr>
                <w:sz w:val="24"/>
              </w:rPr>
            </w:pPr>
            <w:r>
              <w:rPr>
                <w:spacing w:val="-2"/>
                <w:sz w:val="24"/>
              </w:rPr>
              <w:t>Chair</w:t>
            </w:r>
            <w:r>
              <w:rPr>
                <w:spacing w:val="-13"/>
                <w:sz w:val="24"/>
              </w:rPr>
              <w:t> </w:t>
            </w:r>
            <w:r>
              <w:rPr>
                <w:spacing w:val="-2"/>
                <w:sz w:val="24"/>
              </w:rPr>
              <w:t>(RJC</w:t>
            </w:r>
            <w:r>
              <w:rPr>
                <w:spacing w:val="-10"/>
                <w:sz w:val="24"/>
              </w:rPr>
              <w:t> </w:t>
            </w:r>
            <w:r>
              <w:rPr>
                <w:spacing w:val="-2"/>
                <w:sz w:val="24"/>
              </w:rPr>
              <w:t>Joint</w:t>
            </w:r>
            <w:r>
              <w:rPr>
                <w:spacing w:val="-14"/>
                <w:sz w:val="24"/>
              </w:rPr>
              <w:t> </w:t>
            </w:r>
            <w:r>
              <w:rPr>
                <w:spacing w:val="-2"/>
                <w:sz w:val="24"/>
              </w:rPr>
              <w:t>Chair)</w:t>
            </w:r>
          </w:p>
        </w:tc>
        <w:tc>
          <w:tcPr>
            <w:tcW w:w="5137" w:type="dxa"/>
          </w:tcPr>
          <w:p>
            <w:pPr>
              <w:pStyle w:val="TableParagraph"/>
              <w:spacing w:line="260"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4"/>
                <w:sz w:val="24"/>
              </w:rPr>
              <w:t>Independent</w:t>
            </w:r>
            <w:r>
              <w:rPr>
                <w:spacing w:val="-2"/>
                <w:sz w:val="24"/>
              </w:rPr>
              <w:t> </w:t>
            </w:r>
            <w:r>
              <w:rPr>
                <w:spacing w:val="-4"/>
                <w:sz w:val="24"/>
              </w:rPr>
              <w:t>Member</w:t>
            </w:r>
            <w:r>
              <w:rPr>
                <w:spacing w:val="2"/>
                <w:sz w:val="24"/>
              </w:rPr>
              <w:t> </w:t>
            </w:r>
            <w:r>
              <w:rPr>
                <w:spacing w:val="-4"/>
                <w:sz w:val="24"/>
              </w:rPr>
              <w:t>(Finance)</w:t>
            </w:r>
          </w:p>
        </w:tc>
        <w:tc>
          <w:tcPr>
            <w:tcW w:w="5137"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4"/>
                <w:sz w:val="24"/>
              </w:rPr>
              <w:t>Independent</w:t>
            </w:r>
            <w:r>
              <w:rPr>
                <w:spacing w:val="-2"/>
                <w:sz w:val="24"/>
              </w:rPr>
              <w:t> </w:t>
            </w:r>
            <w:r>
              <w:rPr>
                <w:spacing w:val="-4"/>
                <w:sz w:val="24"/>
              </w:rPr>
              <w:t>Member</w:t>
            </w:r>
            <w:r>
              <w:rPr>
                <w:spacing w:val="1"/>
                <w:sz w:val="24"/>
              </w:rPr>
              <w:t> </w:t>
            </w:r>
            <w:r>
              <w:rPr>
                <w:spacing w:val="-4"/>
                <w:sz w:val="24"/>
              </w:rPr>
              <w:t>(</w:t>
            </w:r>
            <w:r>
              <w:rPr>
                <w:strike/>
                <w:spacing w:val="-4"/>
                <w:sz w:val="24"/>
              </w:rPr>
              <w:t>Quality</w:t>
            </w:r>
            <w:r>
              <w:rPr>
                <w:strike w:val="0"/>
                <w:spacing w:val="1"/>
                <w:sz w:val="24"/>
              </w:rPr>
              <w:t> </w:t>
            </w:r>
            <w:r>
              <w:rPr>
                <w:strike w:val="0"/>
                <w:color w:val="ED0000"/>
                <w:spacing w:val="-4"/>
                <w:sz w:val="24"/>
              </w:rPr>
              <w:t>University</w:t>
            </w:r>
            <w:r>
              <w:rPr>
                <w:strike w:val="0"/>
                <w:spacing w:val="-4"/>
                <w:sz w:val="24"/>
              </w:rPr>
              <w:t>)</w:t>
            </w:r>
          </w:p>
        </w:tc>
        <w:tc>
          <w:tcPr>
            <w:tcW w:w="5137"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4"/>
                <w:sz w:val="24"/>
              </w:rPr>
              <w:t>Independent</w:t>
            </w:r>
            <w:r>
              <w:rPr>
                <w:spacing w:val="-2"/>
                <w:sz w:val="24"/>
              </w:rPr>
              <w:t> </w:t>
            </w:r>
            <w:r>
              <w:rPr>
                <w:spacing w:val="-4"/>
                <w:sz w:val="24"/>
              </w:rPr>
              <w:t>Member</w:t>
            </w:r>
            <w:r>
              <w:rPr>
                <w:spacing w:val="2"/>
                <w:sz w:val="24"/>
              </w:rPr>
              <w:t> </w:t>
            </w:r>
            <w:r>
              <w:rPr>
                <w:spacing w:val="-4"/>
                <w:sz w:val="24"/>
              </w:rPr>
              <w:t>(Governance)</w:t>
            </w:r>
          </w:p>
        </w:tc>
        <w:tc>
          <w:tcPr>
            <w:tcW w:w="5137"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4"/>
                <w:sz w:val="24"/>
              </w:rPr>
              <w:t>Independent</w:t>
            </w:r>
            <w:r>
              <w:rPr>
                <w:spacing w:val="-2"/>
                <w:sz w:val="24"/>
              </w:rPr>
              <w:t> </w:t>
            </w:r>
            <w:r>
              <w:rPr>
                <w:spacing w:val="-4"/>
                <w:sz w:val="24"/>
              </w:rPr>
              <w:t>Member</w:t>
            </w:r>
            <w:r>
              <w:rPr>
                <w:sz w:val="24"/>
              </w:rPr>
              <w:t> </w:t>
            </w:r>
            <w:r>
              <w:rPr>
                <w:spacing w:val="-4"/>
                <w:sz w:val="24"/>
              </w:rPr>
              <w:t>(</w:t>
            </w:r>
            <w:r>
              <w:rPr>
                <w:strike/>
                <w:spacing w:val="-4"/>
                <w:sz w:val="24"/>
              </w:rPr>
              <w:t>Planning</w:t>
            </w:r>
            <w:r>
              <w:rPr>
                <w:strike w:val="0"/>
                <w:spacing w:val="-2"/>
                <w:sz w:val="24"/>
              </w:rPr>
              <w:t> </w:t>
            </w:r>
            <w:r>
              <w:rPr>
                <w:strike w:val="0"/>
                <w:color w:val="ED0000"/>
                <w:spacing w:val="-4"/>
                <w:sz w:val="24"/>
              </w:rPr>
              <w:t>Digital</w:t>
            </w:r>
            <w:r>
              <w:rPr>
                <w:strike w:val="0"/>
                <w:spacing w:val="-4"/>
                <w:sz w:val="24"/>
              </w:rPr>
              <w:t>)</w:t>
            </w:r>
          </w:p>
        </w:tc>
        <w:tc>
          <w:tcPr>
            <w:tcW w:w="5137"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0" w:hRule="atLeast"/>
        </w:trPr>
        <w:tc>
          <w:tcPr>
            <w:tcW w:w="4967" w:type="dxa"/>
          </w:tcPr>
          <w:p>
            <w:pPr>
              <w:pStyle w:val="TableParagraph"/>
              <w:spacing w:line="260" w:lineRule="exact"/>
              <w:ind w:left="105"/>
              <w:rPr>
                <w:sz w:val="24"/>
              </w:rPr>
            </w:pPr>
            <w:r>
              <w:rPr>
                <w:spacing w:val="-4"/>
                <w:sz w:val="24"/>
              </w:rPr>
              <w:t>Independent</w:t>
            </w:r>
            <w:r>
              <w:rPr>
                <w:spacing w:val="-2"/>
                <w:sz w:val="24"/>
              </w:rPr>
              <w:t> </w:t>
            </w:r>
            <w:r>
              <w:rPr>
                <w:spacing w:val="-4"/>
                <w:sz w:val="24"/>
              </w:rPr>
              <w:t>Member</w:t>
            </w:r>
            <w:r>
              <w:rPr>
                <w:spacing w:val="2"/>
                <w:sz w:val="24"/>
              </w:rPr>
              <w:t> </w:t>
            </w:r>
            <w:r>
              <w:rPr>
                <w:spacing w:val="-4"/>
                <w:sz w:val="24"/>
              </w:rPr>
              <w:t>(Digital)</w:t>
            </w:r>
          </w:p>
        </w:tc>
        <w:tc>
          <w:tcPr>
            <w:tcW w:w="5137" w:type="dxa"/>
          </w:tcPr>
          <w:p>
            <w:pPr>
              <w:pStyle w:val="TableParagraph"/>
              <w:spacing w:line="260"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4"/>
                <w:sz w:val="24"/>
              </w:rPr>
              <w:t>Independent</w:t>
            </w:r>
            <w:r>
              <w:rPr>
                <w:spacing w:val="-2"/>
                <w:sz w:val="24"/>
              </w:rPr>
              <w:t> </w:t>
            </w:r>
            <w:r>
              <w:rPr>
                <w:spacing w:val="-4"/>
                <w:sz w:val="24"/>
              </w:rPr>
              <w:t>Member</w:t>
            </w:r>
            <w:r>
              <w:rPr>
                <w:spacing w:val="2"/>
                <w:sz w:val="24"/>
              </w:rPr>
              <w:t> </w:t>
            </w:r>
            <w:r>
              <w:rPr>
                <w:spacing w:val="-4"/>
                <w:sz w:val="24"/>
              </w:rPr>
              <w:t>(Community)</w:t>
            </w:r>
          </w:p>
        </w:tc>
        <w:tc>
          <w:tcPr>
            <w:tcW w:w="5137"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4967" w:type="dxa"/>
            <w:shd w:val="clear" w:color="auto" w:fill="C1A875"/>
          </w:tcPr>
          <w:p>
            <w:pPr>
              <w:pStyle w:val="TableParagraph"/>
              <w:spacing w:line="265" w:lineRule="exact"/>
              <w:ind w:left="105"/>
              <w:rPr>
                <w:b/>
                <w:sz w:val="24"/>
              </w:rPr>
            </w:pPr>
            <w:r>
              <w:rPr>
                <w:b/>
                <w:sz w:val="24"/>
              </w:rPr>
              <w:t>In</w:t>
            </w:r>
            <w:r>
              <w:rPr>
                <w:b/>
                <w:spacing w:val="-6"/>
                <w:sz w:val="24"/>
              </w:rPr>
              <w:t> </w:t>
            </w:r>
            <w:r>
              <w:rPr>
                <w:b/>
                <w:spacing w:val="-2"/>
                <w:sz w:val="24"/>
              </w:rPr>
              <w:t>Attendance</w:t>
            </w:r>
          </w:p>
        </w:tc>
        <w:tc>
          <w:tcPr>
            <w:tcW w:w="5137" w:type="dxa"/>
            <w:shd w:val="clear" w:color="auto" w:fill="C1A875"/>
          </w:tcPr>
          <w:p>
            <w:pPr>
              <w:pStyle w:val="TableParagraph"/>
              <w:rPr>
                <w:rFonts w:ascii="Times New Roman"/>
                <w:sz w:val="20"/>
              </w:rPr>
            </w:pPr>
          </w:p>
        </w:tc>
      </w:tr>
      <w:tr>
        <w:trPr>
          <w:trHeight w:val="285" w:hRule="atLeast"/>
        </w:trPr>
        <w:tc>
          <w:tcPr>
            <w:tcW w:w="4967" w:type="dxa"/>
          </w:tcPr>
          <w:p>
            <w:pPr>
              <w:pStyle w:val="TableParagraph"/>
              <w:spacing w:line="265" w:lineRule="exact"/>
              <w:ind w:left="105"/>
              <w:rPr>
                <w:sz w:val="24"/>
              </w:rPr>
            </w:pPr>
            <w:r>
              <w:rPr>
                <w:sz w:val="24"/>
              </w:rPr>
              <w:t>Vice</w:t>
            </w:r>
            <w:r>
              <w:rPr>
                <w:spacing w:val="-4"/>
                <w:sz w:val="24"/>
              </w:rPr>
              <w:t> </w:t>
            </w:r>
            <w:r>
              <w:rPr>
                <w:spacing w:val="-2"/>
                <w:sz w:val="24"/>
              </w:rPr>
              <w:t>Chair</w:t>
            </w:r>
          </w:p>
        </w:tc>
        <w:tc>
          <w:tcPr>
            <w:tcW w:w="5137" w:type="dxa"/>
          </w:tcPr>
          <w:p>
            <w:pPr>
              <w:pStyle w:val="TableParagraph"/>
              <w:spacing w:line="265" w:lineRule="exact"/>
              <w:ind w:left="105"/>
              <w:rPr>
                <w:sz w:val="24"/>
              </w:rPr>
            </w:pPr>
            <w:r>
              <w:rPr>
                <w:sz w:val="24"/>
              </w:rPr>
              <w:t>Swansea</w:t>
            </w:r>
            <w:r>
              <w:rPr>
                <w:spacing w:val="-3"/>
                <w:sz w:val="24"/>
              </w:rPr>
              <w:t> </w:t>
            </w:r>
            <w:r>
              <w:rPr>
                <w:sz w:val="24"/>
              </w:rPr>
              <w:t>Bay</w:t>
            </w:r>
            <w:r>
              <w:rPr>
                <w:spacing w:val="-3"/>
                <w:sz w:val="24"/>
              </w:rPr>
              <w:t> </w:t>
            </w:r>
            <w:r>
              <w:rPr>
                <w:sz w:val="24"/>
              </w:rPr>
              <w:t>University</w:t>
            </w:r>
            <w:r>
              <w:rPr>
                <w:spacing w:val="-3"/>
                <w:sz w:val="24"/>
              </w:rPr>
              <w:t> </w:t>
            </w:r>
            <w:r>
              <w:rPr>
                <w:sz w:val="24"/>
              </w:rPr>
              <w:t>Health</w:t>
            </w:r>
            <w:r>
              <w:rPr>
                <w:spacing w:val="-2"/>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z w:val="24"/>
              </w:rPr>
              <w:t>Vice</w:t>
            </w:r>
            <w:r>
              <w:rPr>
                <w:spacing w:val="-4"/>
                <w:sz w:val="24"/>
              </w:rPr>
              <w:t> </w:t>
            </w:r>
            <w:r>
              <w:rPr>
                <w:spacing w:val="-2"/>
                <w:sz w:val="24"/>
              </w:rPr>
              <w:t>Chair</w:t>
            </w:r>
          </w:p>
        </w:tc>
        <w:tc>
          <w:tcPr>
            <w:tcW w:w="5137" w:type="dxa"/>
          </w:tcPr>
          <w:p>
            <w:pPr>
              <w:pStyle w:val="TableParagraph"/>
              <w:spacing w:line="265" w:lineRule="exact"/>
              <w:ind w:left="105"/>
              <w:rPr>
                <w:sz w:val="24"/>
              </w:rPr>
            </w:pPr>
            <w:r>
              <w:rPr>
                <w:sz w:val="24"/>
              </w:rPr>
              <w:t>Hywel</w:t>
            </w:r>
            <w:r>
              <w:rPr>
                <w:spacing w:val="-4"/>
                <w:sz w:val="24"/>
              </w:rPr>
              <w:t> </w:t>
            </w:r>
            <w:r>
              <w:rPr>
                <w:sz w:val="24"/>
              </w:rPr>
              <w:t>Dda</w:t>
            </w:r>
            <w:r>
              <w:rPr>
                <w:spacing w:val="-3"/>
                <w:sz w:val="24"/>
              </w:rPr>
              <w:t> </w:t>
            </w:r>
            <w:r>
              <w:rPr>
                <w:sz w:val="24"/>
              </w:rPr>
              <w:t>University</w:t>
            </w:r>
            <w:r>
              <w:rPr>
                <w:spacing w:val="-4"/>
                <w:sz w:val="24"/>
              </w:rPr>
              <w:t> </w:t>
            </w:r>
            <w:r>
              <w:rPr>
                <w:sz w:val="24"/>
              </w:rPr>
              <w:t>Health</w:t>
            </w:r>
            <w:r>
              <w:rPr>
                <w:spacing w:val="-3"/>
                <w:sz w:val="24"/>
              </w:rPr>
              <w:t> </w:t>
            </w:r>
            <w:r>
              <w:rPr>
                <w:spacing w:val="-4"/>
                <w:sz w:val="24"/>
              </w:rPr>
              <w:t>Board</w:t>
            </w:r>
          </w:p>
        </w:tc>
      </w:tr>
      <w:tr>
        <w:trPr>
          <w:trHeight w:val="275" w:hRule="atLeast"/>
        </w:trPr>
        <w:tc>
          <w:tcPr>
            <w:tcW w:w="4967" w:type="dxa"/>
          </w:tcPr>
          <w:p>
            <w:pPr>
              <w:pStyle w:val="TableParagraph"/>
              <w:spacing w:line="255" w:lineRule="exact"/>
              <w:ind w:left="105"/>
              <w:rPr>
                <w:sz w:val="24"/>
              </w:rPr>
            </w:pPr>
            <w:r>
              <w:rPr>
                <w:spacing w:val="-4"/>
                <w:sz w:val="24"/>
              </w:rPr>
              <w:t>Chief</w:t>
            </w:r>
            <w:r>
              <w:rPr>
                <w:spacing w:val="-6"/>
                <w:sz w:val="24"/>
              </w:rPr>
              <w:t> </w:t>
            </w:r>
            <w:r>
              <w:rPr>
                <w:spacing w:val="-4"/>
                <w:sz w:val="24"/>
              </w:rPr>
              <w:t>Executive</w:t>
            </w:r>
            <w:r>
              <w:rPr>
                <w:spacing w:val="4"/>
                <w:sz w:val="24"/>
              </w:rPr>
              <w:t> </w:t>
            </w:r>
            <w:r>
              <w:rPr>
                <w:spacing w:val="-4"/>
                <w:sz w:val="24"/>
              </w:rPr>
              <w:t>Officer</w:t>
            </w:r>
          </w:p>
        </w:tc>
        <w:tc>
          <w:tcPr>
            <w:tcW w:w="5137" w:type="dxa"/>
          </w:tcPr>
          <w:p>
            <w:pPr>
              <w:pStyle w:val="TableParagraph"/>
              <w:spacing w:line="25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2"/>
                <w:sz w:val="24"/>
              </w:rPr>
              <w:t>Chief</w:t>
            </w:r>
            <w:r>
              <w:rPr>
                <w:spacing w:val="-15"/>
                <w:sz w:val="24"/>
              </w:rPr>
              <w:t> </w:t>
            </w:r>
            <w:r>
              <w:rPr>
                <w:spacing w:val="-2"/>
                <w:sz w:val="24"/>
              </w:rPr>
              <w:t>Executive</w:t>
            </w:r>
            <w:r>
              <w:rPr>
                <w:spacing w:val="-13"/>
                <w:sz w:val="24"/>
              </w:rPr>
              <w:t> </w:t>
            </w:r>
            <w:r>
              <w:rPr>
                <w:spacing w:val="-2"/>
                <w:sz w:val="24"/>
              </w:rPr>
              <w:t>Officer</w:t>
            </w:r>
          </w:p>
        </w:tc>
        <w:tc>
          <w:tcPr>
            <w:tcW w:w="5137"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0" w:hRule="atLeast"/>
        </w:trPr>
        <w:tc>
          <w:tcPr>
            <w:tcW w:w="4967" w:type="dxa"/>
          </w:tcPr>
          <w:p>
            <w:pPr>
              <w:pStyle w:val="TableParagraph"/>
              <w:spacing w:line="260" w:lineRule="exact"/>
              <w:ind w:left="105"/>
              <w:rPr>
                <w:sz w:val="24"/>
              </w:rPr>
            </w:pPr>
            <w:r>
              <w:rPr>
                <w:spacing w:val="-2"/>
                <w:sz w:val="24"/>
              </w:rPr>
              <w:t>Chief</w:t>
            </w:r>
            <w:r>
              <w:rPr>
                <w:spacing w:val="-15"/>
                <w:sz w:val="24"/>
              </w:rPr>
              <w:t> </w:t>
            </w:r>
            <w:r>
              <w:rPr>
                <w:spacing w:val="-2"/>
                <w:sz w:val="24"/>
              </w:rPr>
              <w:t>Operating</w:t>
            </w:r>
            <w:r>
              <w:rPr>
                <w:spacing w:val="-13"/>
                <w:sz w:val="24"/>
              </w:rPr>
              <w:t> </w:t>
            </w:r>
            <w:r>
              <w:rPr>
                <w:spacing w:val="-2"/>
                <w:sz w:val="24"/>
              </w:rPr>
              <w:t>Officer</w:t>
            </w:r>
          </w:p>
        </w:tc>
        <w:tc>
          <w:tcPr>
            <w:tcW w:w="5137" w:type="dxa"/>
          </w:tcPr>
          <w:p>
            <w:pPr>
              <w:pStyle w:val="TableParagraph"/>
              <w:spacing w:line="260"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4" w:hRule="atLeast"/>
        </w:trPr>
        <w:tc>
          <w:tcPr>
            <w:tcW w:w="4967" w:type="dxa"/>
          </w:tcPr>
          <w:p>
            <w:pPr>
              <w:pStyle w:val="TableParagraph"/>
              <w:spacing w:line="265" w:lineRule="exact"/>
              <w:ind w:left="105"/>
              <w:rPr>
                <w:sz w:val="24"/>
              </w:rPr>
            </w:pPr>
            <w:r>
              <w:rPr>
                <w:spacing w:val="-2"/>
                <w:sz w:val="24"/>
              </w:rPr>
              <w:t>Chief</w:t>
            </w:r>
            <w:r>
              <w:rPr>
                <w:spacing w:val="-15"/>
                <w:sz w:val="24"/>
              </w:rPr>
              <w:t> </w:t>
            </w:r>
            <w:r>
              <w:rPr>
                <w:spacing w:val="-2"/>
                <w:sz w:val="24"/>
              </w:rPr>
              <w:t>Operating</w:t>
            </w:r>
            <w:r>
              <w:rPr>
                <w:spacing w:val="-13"/>
                <w:sz w:val="24"/>
              </w:rPr>
              <w:t> </w:t>
            </w:r>
            <w:r>
              <w:rPr>
                <w:spacing w:val="-2"/>
                <w:sz w:val="24"/>
              </w:rPr>
              <w:t>Officer</w:t>
            </w:r>
          </w:p>
        </w:tc>
        <w:tc>
          <w:tcPr>
            <w:tcW w:w="5137"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2"/>
                <w:sz w:val="24"/>
              </w:rPr>
              <w:t>Executive</w:t>
            </w:r>
            <w:r>
              <w:rPr>
                <w:spacing w:val="-12"/>
                <w:sz w:val="24"/>
              </w:rPr>
              <w:t> </w:t>
            </w:r>
            <w:r>
              <w:rPr>
                <w:spacing w:val="-2"/>
                <w:sz w:val="24"/>
              </w:rPr>
              <w:t>Director</w:t>
            </w:r>
            <w:r>
              <w:rPr>
                <w:spacing w:val="-13"/>
                <w:sz w:val="24"/>
              </w:rPr>
              <w:t> </w:t>
            </w:r>
            <w:r>
              <w:rPr>
                <w:spacing w:val="-2"/>
                <w:sz w:val="24"/>
              </w:rPr>
              <w:t>of</w:t>
            </w:r>
            <w:r>
              <w:rPr>
                <w:spacing w:val="-15"/>
                <w:sz w:val="24"/>
              </w:rPr>
              <w:t> </w:t>
            </w:r>
            <w:r>
              <w:rPr>
                <w:spacing w:val="-2"/>
                <w:sz w:val="24"/>
              </w:rPr>
              <w:t>Strategy</w:t>
            </w:r>
            <w:r>
              <w:rPr>
                <w:spacing w:val="-13"/>
                <w:sz w:val="24"/>
              </w:rPr>
              <w:t> </w:t>
            </w:r>
            <w:r>
              <w:rPr>
                <w:spacing w:val="-2"/>
                <w:sz w:val="24"/>
              </w:rPr>
              <w:t>and</w:t>
            </w:r>
            <w:r>
              <w:rPr>
                <w:spacing w:val="-12"/>
                <w:sz w:val="24"/>
              </w:rPr>
              <w:t> </w:t>
            </w:r>
            <w:r>
              <w:rPr>
                <w:spacing w:val="-2"/>
                <w:sz w:val="24"/>
              </w:rPr>
              <w:t>Planning</w:t>
            </w:r>
          </w:p>
        </w:tc>
        <w:tc>
          <w:tcPr>
            <w:tcW w:w="5137"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2"/>
                <w:sz w:val="24"/>
              </w:rPr>
              <w:t>Executive</w:t>
            </w:r>
            <w:r>
              <w:rPr>
                <w:spacing w:val="-12"/>
                <w:sz w:val="24"/>
              </w:rPr>
              <w:t> </w:t>
            </w:r>
            <w:r>
              <w:rPr>
                <w:spacing w:val="-2"/>
                <w:sz w:val="24"/>
              </w:rPr>
              <w:t>Director</w:t>
            </w:r>
            <w:r>
              <w:rPr>
                <w:spacing w:val="-13"/>
                <w:sz w:val="24"/>
              </w:rPr>
              <w:t> </w:t>
            </w:r>
            <w:r>
              <w:rPr>
                <w:spacing w:val="-2"/>
                <w:sz w:val="24"/>
              </w:rPr>
              <w:t>of</w:t>
            </w:r>
            <w:r>
              <w:rPr>
                <w:spacing w:val="-15"/>
                <w:sz w:val="24"/>
              </w:rPr>
              <w:t> </w:t>
            </w:r>
            <w:r>
              <w:rPr>
                <w:spacing w:val="-2"/>
                <w:sz w:val="24"/>
              </w:rPr>
              <w:t>Strategy</w:t>
            </w:r>
            <w:r>
              <w:rPr>
                <w:spacing w:val="-13"/>
                <w:sz w:val="24"/>
              </w:rPr>
              <w:t> </w:t>
            </w:r>
            <w:r>
              <w:rPr>
                <w:spacing w:val="-2"/>
                <w:sz w:val="24"/>
              </w:rPr>
              <w:t>and</w:t>
            </w:r>
            <w:r>
              <w:rPr>
                <w:spacing w:val="-12"/>
                <w:sz w:val="24"/>
              </w:rPr>
              <w:t> </w:t>
            </w:r>
            <w:r>
              <w:rPr>
                <w:spacing w:val="-2"/>
                <w:sz w:val="24"/>
              </w:rPr>
              <w:t>Planning</w:t>
            </w:r>
          </w:p>
        </w:tc>
        <w:tc>
          <w:tcPr>
            <w:tcW w:w="5137"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2"/>
                <w:sz w:val="24"/>
              </w:rPr>
              <w:t>Executive</w:t>
            </w:r>
            <w:r>
              <w:rPr>
                <w:spacing w:val="-13"/>
                <w:sz w:val="24"/>
              </w:rPr>
              <w:t> </w:t>
            </w:r>
            <w:r>
              <w:rPr>
                <w:spacing w:val="-2"/>
                <w:sz w:val="24"/>
              </w:rPr>
              <w:t>Director</w:t>
            </w:r>
            <w:r>
              <w:rPr>
                <w:spacing w:val="-15"/>
                <w:sz w:val="24"/>
              </w:rPr>
              <w:t> </w:t>
            </w:r>
            <w:r>
              <w:rPr>
                <w:spacing w:val="-2"/>
                <w:sz w:val="24"/>
              </w:rPr>
              <w:t>of</w:t>
            </w:r>
            <w:r>
              <w:rPr>
                <w:spacing w:val="-11"/>
                <w:sz w:val="24"/>
              </w:rPr>
              <w:t> </w:t>
            </w:r>
            <w:r>
              <w:rPr>
                <w:spacing w:val="-2"/>
                <w:sz w:val="24"/>
              </w:rPr>
              <w:t>Finance</w:t>
            </w:r>
          </w:p>
        </w:tc>
        <w:tc>
          <w:tcPr>
            <w:tcW w:w="5137"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0" w:hRule="atLeast"/>
        </w:trPr>
        <w:tc>
          <w:tcPr>
            <w:tcW w:w="4967" w:type="dxa"/>
          </w:tcPr>
          <w:p>
            <w:pPr>
              <w:pStyle w:val="TableParagraph"/>
              <w:spacing w:line="260" w:lineRule="exact"/>
              <w:ind w:left="105"/>
              <w:rPr>
                <w:sz w:val="24"/>
              </w:rPr>
            </w:pPr>
            <w:r>
              <w:rPr>
                <w:spacing w:val="-2"/>
                <w:sz w:val="24"/>
              </w:rPr>
              <w:t>Executive</w:t>
            </w:r>
            <w:r>
              <w:rPr>
                <w:spacing w:val="-13"/>
                <w:sz w:val="24"/>
              </w:rPr>
              <w:t> </w:t>
            </w:r>
            <w:r>
              <w:rPr>
                <w:spacing w:val="-2"/>
                <w:sz w:val="24"/>
              </w:rPr>
              <w:t>Director</w:t>
            </w:r>
            <w:r>
              <w:rPr>
                <w:spacing w:val="-15"/>
                <w:sz w:val="24"/>
              </w:rPr>
              <w:t> </w:t>
            </w:r>
            <w:r>
              <w:rPr>
                <w:spacing w:val="-2"/>
                <w:sz w:val="24"/>
              </w:rPr>
              <w:t>of</w:t>
            </w:r>
            <w:r>
              <w:rPr>
                <w:spacing w:val="-11"/>
                <w:sz w:val="24"/>
              </w:rPr>
              <w:t> </w:t>
            </w:r>
            <w:r>
              <w:rPr>
                <w:spacing w:val="-2"/>
                <w:sz w:val="24"/>
              </w:rPr>
              <w:t>Finance</w:t>
            </w:r>
          </w:p>
        </w:tc>
        <w:tc>
          <w:tcPr>
            <w:tcW w:w="5137" w:type="dxa"/>
          </w:tcPr>
          <w:p>
            <w:pPr>
              <w:pStyle w:val="TableParagraph"/>
              <w:spacing w:line="260"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2"/>
                <w:sz w:val="24"/>
              </w:rPr>
              <w:t>Executive</w:t>
            </w:r>
            <w:r>
              <w:rPr>
                <w:spacing w:val="-16"/>
                <w:sz w:val="24"/>
              </w:rPr>
              <w:t> </w:t>
            </w:r>
            <w:r>
              <w:rPr>
                <w:spacing w:val="-2"/>
                <w:sz w:val="24"/>
              </w:rPr>
              <w:t>Director</w:t>
            </w:r>
            <w:r>
              <w:rPr>
                <w:spacing w:val="-15"/>
                <w:sz w:val="24"/>
              </w:rPr>
              <w:t> </w:t>
            </w:r>
            <w:r>
              <w:rPr>
                <w:spacing w:val="-2"/>
                <w:sz w:val="24"/>
              </w:rPr>
              <w:t>of</w:t>
            </w:r>
            <w:r>
              <w:rPr>
                <w:spacing w:val="-12"/>
                <w:sz w:val="24"/>
              </w:rPr>
              <w:t> </w:t>
            </w:r>
            <w:r>
              <w:rPr>
                <w:spacing w:val="-2"/>
                <w:sz w:val="24"/>
              </w:rPr>
              <w:t>Workforce</w:t>
            </w:r>
            <w:r>
              <w:rPr>
                <w:spacing w:val="-15"/>
                <w:sz w:val="24"/>
              </w:rPr>
              <w:t> </w:t>
            </w:r>
            <w:r>
              <w:rPr>
                <w:spacing w:val="-2"/>
                <w:sz w:val="24"/>
              </w:rPr>
              <w:t>and</w:t>
            </w:r>
            <w:r>
              <w:rPr>
                <w:spacing w:val="-9"/>
                <w:sz w:val="24"/>
              </w:rPr>
              <w:t> </w:t>
            </w:r>
            <w:r>
              <w:rPr>
                <w:spacing w:val="-5"/>
                <w:sz w:val="24"/>
              </w:rPr>
              <w:t>OD</w:t>
            </w:r>
          </w:p>
        </w:tc>
        <w:tc>
          <w:tcPr>
            <w:tcW w:w="5137"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4" w:hRule="atLeast"/>
        </w:trPr>
        <w:tc>
          <w:tcPr>
            <w:tcW w:w="4967" w:type="dxa"/>
          </w:tcPr>
          <w:p>
            <w:pPr>
              <w:pStyle w:val="TableParagraph"/>
              <w:spacing w:line="265" w:lineRule="exact"/>
              <w:ind w:left="105"/>
              <w:rPr>
                <w:sz w:val="24"/>
              </w:rPr>
            </w:pPr>
            <w:r>
              <w:rPr>
                <w:spacing w:val="-2"/>
                <w:sz w:val="24"/>
              </w:rPr>
              <w:t>Executive</w:t>
            </w:r>
            <w:r>
              <w:rPr>
                <w:spacing w:val="-16"/>
                <w:sz w:val="24"/>
              </w:rPr>
              <w:t> </w:t>
            </w:r>
            <w:r>
              <w:rPr>
                <w:spacing w:val="-2"/>
                <w:sz w:val="24"/>
              </w:rPr>
              <w:t>Director</w:t>
            </w:r>
            <w:r>
              <w:rPr>
                <w:spacing w:val="-15"/>
                <w:sz w:val="24"/>
              </w:rPr>
              <w:t> </w:t>
            </w:r>
            <w:r>
              <w:rPr>
                <w:spacing w:val="-2"/>
                <w:sz w:val="24"/>
              </w:rPr>
              <w:t>of</w:t>
            </w:r>
            <w:r>
              <w:rPr>
                <w:spacing w:val="-12"/>
                <w:sz w:val="24"/>
              </w:rPr>
              <w:t> </w:t>
            </w:r>
            <w:r>
              <w:rPr>
                <w:spacing w:val="-2"/>
                <w:sz w:val="24"/>
              </w:rPr>
              <w:t>Workforce</w:t>
            </w:r>
            <w:r>
              <w:rPr>
                <w:spacing w:val="-15"/>
                <w:sz w:val="24"/>
              </w:rPr>
              <w:t> </w:t>
            </w:r>
            <w:r>
              <w:rPr>
                <w:spacing w:val="-2"/>
                <w:sz w:val="24"/>
              </w:rPr>
              <w:t>and</w:t>
            </w:r>
            <w:r>
              <w:rPr>
                <w:spacing w:val="-9"/>
                <w:sz w:val="24"/>
              </w:rPr>
              <w:t> </w:t>
            </w:r>
            <w:r>
              <w:rPr>
                <w:spacing w:val="-5"/>
                <w:sz w:val="24"/>
              </w:rPr>
              <w:t>OD</w:t>
            </w:r>
          </w:p>
        </w:tc>
        <w:tc>
          <w:tcPr>
            <w:tcW w:w="5137"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4"/>
                <w:sz w:val="24"/>
              </w:rPr>
              <w:t>Executive</w:t>
            </w:r>
            <w:r>
              <w:rPr>
                <w:spacing w:val="-1"/>
                <w:sz w:val="24"/>
              </w:rPr>
              <w:t> </w:t>
            </w:r>
            <w:r>
              <w:rPr>
                <w:spacing w:val="-4"/>
                <w:sz w:val="24"/>
              </w:rPr>
              <w:t>Medical</w:t>
            </w:r>
            <w:r>
              <w:rPr>
                <w:spacing w:val="-7"/>
                <w:sz w:val="24"/>
              </w:rPr>
              <w:t> </w:t>
            </w:r>
            <w:r>
              <w:rPr>
                <w:spacing w:val="-4"/>
                <w:sz w:val="24"/>
              </w:rPr>
              <w:t>Director</w:t>
            </w:r>
          </w:p>
        </w:tc>
        <w:tc>
          <w:tcPr>
            <w:tcW w:w="5137"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4967" w:type="dxa"/>
          </w:tcPr>
          <w:p>
            <w:pPr>
              <w:pStyle w:val="TableParagraph"/>
              <w:spacing w:line="265" w:lineRule="exact"/>
              <w:ind w:left="105"/>
              <w:rPr>
                <w:sz w:val="24"/>
              </w:rPr>
            </w:pPr>
            <w:r>
              <w:rPr>
                <w:spacing w:val="-4"/>
                <w:sz w:val="24"/>
              </w:rPr>
              <w:t>Executive</w:t>
            </w:r>
            <w:r>
              <w:rPr>
                <w:spacing w:val="-1"/>
                <w:sz w:val="24"/>
              </w:rPr>
              <w:t> </w:t>
            </w:r>
            <w:r>
              <w:rPr>
                <w:spacing w:val="-4"/>
                <w:sz w:val="24"/>
              </w:rPr>
              <w:t>Medical</w:t>
            </w:r>
            <w:r>
              <w:rPr>
                <w:spacing w:val="-7"/>
                <w:sz w:val="24"/>
              </w:rPr>
              <w:t> </w:t>
            </w:r>
            <w:r>
              <w:rPr>
                <w:spacing w:val="-4"/>
                <w:sz w:val="24"/>
              </w:rPr>
              <w:t>Director</w:t>
            </w:r>
          </w:p>
        </w:tc>
        <w:tc>
          <w:tcPr>
            <w:tcW w:w="5137"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0" w:hRule="atLeast"/>
        </w:trPr>
        <w:tc>
          <w:tcPr>
            <w:tcW w:w="4967" w:type="dxa"/>
          </w:tcPr>
          <w:p>
            <w:pPr>
              <w:pStyle w:val="TableParagraph"/>
              <w:spacing w:line="260" w:lineRule="exact"/>
              <w:ind w:left="105"/>
              <w:rPr>
                <w:sz w:val="24"/>
              </w:rPr>
            </w:pPr>
            <w:r>
              <w:rPr>
                <w:color w:val="ED0000"/>
                <w:spacing w:val="-2"/>
                <w:sz w:val="24"/>
              </w:rPr>
              <w:t>Director</w:t>
            </w:r>
            <w:r>
              <w:rPr>
                <w:color w:val="ED0000"/>
                <w:spacing w:val="-13"/>
                <w:sz w:val="24"/>
              </w:rPr>
              <w:t> </w:t>
            </w:r>
            <w:r>
              <w:rPr>
                <w:color w:val="ED0000"/>
                <w:spacing w:val="-2"/>
                <w:sz w:val="24"/>
              </w:rPr>
              <w:t>of</w:t>
            </w:r>
            <w:r>
              <w:rPr>
                <w:color w:val="ED0000"/>
                <w:spacing w:val="-14"/>
                <w:sz w:val="24"/>
              </w:rPr>
              <w:t> </w:t>
            </w:r>
            <w:r>
              <w:rPr>
                <w:color w:val="ED0000"/>
                <w:spacing w:val="-2"/>
                <w:sz w:val="24"/>
              </w:rPr>
              <w:t>Public</w:t>
            </w:r>
            <w:r>
              <w:rPr>
                <w:color w:val="ED0000"/>
                <w:spacing w:val="-14"/>
                <w:sz w:val="24"/>
              </w:rPr>
              <w:t> </w:t>
            </w:r>
            <w:r>
              <w:rPr>
                <w:color w:val="ED0000"/>
                <w:spacing w:val="-2"/>
                <w:sz w:val="24"/>
              </w:rPr>
              <w:t>Health</w:t>
            </w:r>
          </w:p>
        </w:tc>
        <w:tc>
          <w:tcPr>
            <w:tcW w:w="5137" w:type="dxa"/>
          </w:tcPr>
          <w:p>
            <w:pPr>
              <w:pStyle w:val="TableParagraph"/>
              <w:spacing w:line="260" w:lineRule="exact"/>
              <w:ind w:left="105"/>
              <w:rPr>
                <w:sz w:val="24"/>
              </w:rPr>
            </w:pPr>
            <w:r>
              <w:rPr>
                <w:color w:val="ED0000"/>
                <w:spacing w:val="-4"/>
                <w:sz w:val="24"/>
              </w:rPr>
              <w:t>Swansea</w:t>
            </w:r>
            <w:r>
              <w:rPr>
                <w:color w:val="ED0000"/>
                <w:spacing w:val="-2"/>
                <w:sz w:val="24"/>
              </w:rPr>
              <w:t> </w:t>
            </w:r>
            <w:r>
              <w:rPr>
                <w:color w:val="ED0000"/>
                <w:spacing w:val="-4"/>
                <w:sz w:val="24"/>
              </w:rPr>
              <w:t>Bay</w:t>
            </w:r>
            <w:r>
              <w:rPr>
                <w:color w:val="ED0000"/>
                <w:spacing w:val="-2"/>
                <w:sz w:val="24"/>
              </w:rPr>
              <w:t> </w:t>
            </w:r>
            <w:r>
              <w:rPr>
                <w:color w:val="ED0000"/>
                <w:spacing w:val="-4"/>
                <w:sz w:val="24"/>
              </w:rPr>
              <w:t>University</w:t>
            </w:r>
            <w:r>
              <w:rPr>
                <w:color w:val="ED0000"/>
                <w:spacing w:val="-3"/>
                <w:sz w:val="24"/>
              </w:rPr>
              <w:t> </w:t>
            </w:r>
            <w:r>
              <w:rPr>
                <w:color w:val="ED0000"/>
                <w:spacing w:val="-4"/>
                <w:sz w:val="24"/>
              </w:rPr>
              <w:t>Health</w:t>
            </w:r>
            <w:r>
              <w:rPr>
                <w:color w:val="ED0000"/>
                <w:spacing w:val="-1"/>
                <w:sz w:val="24"/>
              </w:rPr>
              <w:t> </w:t>
            </w:r>
            <w:r>
              <w:rPr>
                <w:color w:val="ED0000"/>
                <w:spacing w:val="-4"/>
                <w:sz w:val="24"/>
              </w:rPr>
              <w:t>Board</w:t>
            </w:r>
          </w:p>
        </w:tc>
      </w:tr>
      <w:tr>
        <w:trPr>
          <w:trHeight w:val="285" w:hRule="atLeast"/>
        </w:trPr>
        <w:tc>
          <w:tcPr>
            <w:tcW w:w="4967" w:type="dxa"/>
          </w:tcPr>
          <w:p>
            <w:pPr>
              <w:pStyle w:val="TableParagraph"/>
              <w:spacing w:line="265" w:lineRule="exact"/>
              <w:ind w:left="105"/>
              <w:rPr>
                <w:sz w:val="24"/>
              </w:rPr>
            </w:pPr>
            <w:r>
              <w:rPr>
                <w:color w:val="ED0000"/>
                <w:spacing w:val="-2"/>
                <w:sz w:val="24"/>
              </w:rPr>
              <w:t>Director</w:t>
            </w:r>
            <w:r>
              <w:rPr>
                <w:color w:val="ED0000"/>
                <w:spacing w:val="-13"/>
                <w:sz w:val="24"/>
              </w:rPr>
              <w:t> </w:t>
            </w:r>
            <w:r>
              <w:rPr>
                <w:color w:val="ED0000"/>
                <w:spacing w:val="-2"/>
                <w:sz w:val="24"/>
              </w:rPr>
              <w:t>of</w:t>
            </w:r>
            <w:r>
              <w:rPr>
                <w:color w:val="ED0000"/>
                <w:spacing w:val="-14"/>
                <w:sz w:val="24"/>
              </w:rPr>
              <w:t> </w:t>
            </w:r>
            <w:r>
              <w:rPr>
                <w:color w:val="ED0000"/>
                <w:spacing w:val="-2"/>
                <w:sz w:val="24"/>
              </w:rPr>
              <w:t>Public</w:t>
            </w:r>
            <w:r>
              <w:rPr>
                <w:color w:val="ED0000"/>
                <w:spacing w:val="-14"/>
                <w:sz w:val="24"/>
              </w:rPr>
              <w:t> </w:t>
            </w:r>
            <w:r>
              <w:rPr>
                <w:color w:val="ED0000"/>
                <w:spacing w:val="-2"/>
                <w:sz w:val="24"/>
              </w:rPr>
              <w:t>Health</w:t>
            </w:r>
          </w:p>
        </w:tc>
        <w:tc>
          <w:tcPr>
            <w:tcW w:w="5137" w:type="dxa"/>
          </w:tcPr>
          <w:p>
            <w:pPr>
              <w:pStyle w:val="TableParagraph"/>
              <w:spacing w:line="265" w:lineRule="exact"/>
              <w:ind w:left="105"/>
              <w:rPr>
                <w:sz w:val="24"/>
              </w:rPr>
            </w:pPr>
            <w:r>
              <w:rPr>
                <w:color w:val="ED0000"/>
                <w:spacing w:val="-2"/>
                <w:sz w:val="24"/>
              </w:rPr>
              <w:t>Hywel</w:t>
            </w:r>
            <w:r>
              <w:rPr>
                <w:color w:val="ED0000"/>
                <w:spacing w:val="-15"/>
                <w:sz w:val="24"/>
              </w:rPr>
              <w:t> </w:t>
            </w:r>
            <w:r>
              <w:rPr>
                <w:color w:val="ED0000"/>
                <w:spacing w:val="-2"/>
                <w:sz w:val="24"/>
              </w:rPr>
              <w:t>Dda</w:t>
            </w:r>
            <w:r>
              <w:rPr>
                <w:color w:val="ED0000"/>
                <w:spacing w:val="-15"/>
                <w:sz w:val="24"/>
              </w:rPr>
              <w:t> </w:t>
            </w:r>
            <w:r>
              <w:rPr>
                <w:color w:val="ED0000"/>
                <w:spacing w:val="-2"/>
                <w:sz w:val="24"/>
              </w:rPr>
              <w:t>University</w:t>
            </w:r>
            <w:r>
              <w:rPr>
                <w:color w:val="ED0000"/>
                <w:spacing w:val="-14"/>
                <w:sz w:val="24"/>
              </w:rPr>
              <w:t> </w:t>
            </w:r>
            <w:r>
              <w:rPr>
                <w:color w:val="ED0000"/>
                <w:spacing w:val="-2"/>
                <w:sz w:val="24"/>
              </w:rPr>
              <w:t>Health</w:t>
            </w:r>
            <w:r>
              <w:rPr>
                <w:color w:val="ED0000"/>
                <w:spacing w:val="-12"/>
                <w:sz w:val="24"/>
              </w:rPr>
              <w:t> </w:t>
            </w:r>
            <w:r>
              <w:rPr>
                <w:color w:val="ED0000"/>
                <w:spacing w:val="-4"/>
                <w:sz w:val="24"/>
              </w:rPr>
              <w:t>Board</w:t>
            </w:r>
          </w:p>
        </w:tc>
      </w:tr>
      <w:tr>
        <w:trPr>
          <w:trHeight w:val="285" w:hRule="atLeast"/>
        </w:trPr>
        <w:tc>
          <w:tcPr>
            <w:tcW w:w="4967" w:type="dxa"/>
            <w:shd w:val="clear" w:color="auto" w:fill="C1A875"/>
          </w:tcPr>
          <w:p>
            <w:pPr>
              <w:pStyle w:val="TableParagraph"/>
              <w:spacing w:line="265" w:lineRule="exact"/>
              <w:ind w:left="105"/>
              <w:rPr>
                <w:b/>
                <w:sz w:val="24"/>
              </w:rPr>
            </w:pPr>
            <w:r>
              <w:rPr>
                <w:b/>
                <w:sz w:val="24"/>
              </w:rPr>
              <w:t>Governance</w:t>
            </w:r>
            <w:r>
              <w:rPr>
                <w:b/>
                <w:spacing w:val="-4"/>
                <w:sz w:val="24"/>
              </w:rPr>
              <w:t> </w:t>
            </w:r>
            <w:r>
              <w:rPr>
                <w:b/>
                <w:spacing w:val="-2"/>
                <w:sz w:val="24"/>
              </w:rPr>
              <w:t>Advice</w:t>
            </w:r>
          </w:p>
        </w:tc>
        <w:tc>
          <w:tcPr>
            <w:tcW w:w="5137" w:type="dxa"/>
            <w:shd w:val="clear" w:color="auto" w:fill="C1A875"/>
          </w:tcPr>
          <w:p>
            <w:pPr>
              <w:pStyle w:val="TableParagraph"/>
              <w:rPr>
                <w:rFonts w:ascii="Times New Roman"/>
                <w:sz w:val="20"/>
              </w:rPr>
            </w:pPr>
          </w:p>
        </w:tc>
      </w:tr>
      <w:tr>
        <w:trPr>
          <w:trHeight w:val="550" w:hRule="atLeast"/>
        </w:trPr>
        <w:tc>
          <w:tcPr>
            <w:tcW w:w="4967" w:type="dxa"/>
          </w:tcPr>
          <w:p>
            <w:pPr>
              <w:pStyle w:val="TableParagraph"/>
              <w:ind w:left="105"/>
              <w:rPr>
                <w:sz w:val="24"/>
              </w:rPr>
            </w:pPr>
            <w:r>
              <w:rPr>
                <w:spacing w:val="-2"/>
                <w:sz w:val="24"/>
              </w:rPr>
              <w:t>Director</w:t>
            </w:r>
            <w:r>
              <w:rPr>
                <w:spacing w:val="-14"/>
                <w:sz w:val="24"/>
              </w:rPr>
              <w:t> </w:t>
            </w:r>
            <w:r>
              <w:rPr>
                <w:spacing w:val="-2"/>
                <w:sz w:val="24"/>
              </w:rPr>
              <w:t>of</w:t>
            </w:r>
            <w:r>
              <w:rPr>
                <w:spacing w:val="-15"/>
                <w:sz w:val="24"/>
              </w:rPr>
              <w:t> </w:t>
            </w:r>
            <w:r>
              <w:rPr>
                <w:spacing w:val="-2"/>
                <w:sz w:val="24"/>
              </w:rPr>
              <w:t>Corporate</w:t>
            </w:r>
            <w:r>
              <w:rPr>
                <w:spacing w:val="-12"/>
                <w:sz w:val="24"/>
              </w:rPr>
              <w:t> </w:t>
            </w:r>
            <w:r>
              <w:rPr>
                <w:spacing w:val="-2"/>
                <w:sz w:val="24"/>
              </w:rPr>
              <w:t>Governance</w:t>
            </w:r>
          </w:p>
        </w:tc>
        <w:tc>
          <w:tcPr>
            <w:tcW w:w="5137" w:type="dxa"/>
          </w:tcPr>
          <w:p>
            <w:pPr>
              <w:pStyle w:val="TableParagraph"/>
              <w:spacing w:line="276" w:lineRule="exact"/>
              <w:ind w:left="105" w:right="193"/>
              <w:rPr>
                <w:sz w:val="24"/>
              </w:rPr>
            </w:pPr>
            <w:r>
              <w:rPr>
                <w:spacing w:val="-2"/>
                <w:sz w:val="24"/>
              </w:rPr>
              <w:t>Swansea</w:t>
            </w:r>
            <w:r>
              <w:rPr>
                <w:spacing w:val="-15"/>
                <w:sz w:val="24"/>
              </w:rPr>
              <w:t> </w:t>
            </w:r>
            <w:r>
              <w:rPr>
                <w:spacing w:val="-2"/>
                <w:sz w:val="24"/>
              </w:rPr>
              <w:t>Bay</w:t>
            </w:r>
            <w:r>
              <w:rPr>
                <w:spacing w:val="-15"/>
                <w:sz w:val="24"/>
              </w:rPr>
              <w:t> </w:t>
            </w:r>
            <w:r>
              <w:rPr>
                <w:spacing w:val="-2"/>
                <w:sz w:val="24"/>
              </w:rPr>
              <w:t>University</w:t>
            </w:r>
            <w:r>
              <w:rPr>
                <w:spacing w:val="-14"/>
                <w:sz w:val="24"/>
              </w:rPr>
              <w:t> </w:t>
            </w:r>
            <w:r>
              <w:rPr>
                <w:spacing w:val="-2"/>
                <w:sz w:val="24"/>
              </w:rPr>
              <w:t>Health</w:t>
            </w:r>
            <w:r>
              <w:rPr>
                <w:spacing w:val="-15"/>
                <w:sz w:val="24"/>
              </w:rPr>
              <w:t> </w:t>
            </w:r>
            <w:r>
              <w:rPr>
                <w:spacing w:val="-2"/>
                <w:sz w:val="24"/>
              </w:rPr>
              <w:t>Board</w:t>
            </w:r>
            <w:r>
              <w:rPr>
                <w:spacing w:val="-15"/>
                <w:sz w:val="24"/>
              </w:rPr>
              <w:t> </w:t>
            </w:r>
            <w:r>
              <w:rPr>
                <w:spacing w:val="-2"/>
                <w:sz w:val="24"/>
              </w:rPr>
              <w:t>or </w:t>
            </w:r>
            <w:r>
              <w:rPr>
                <w:sz w:val="24"/>
              </w:rPr>
              <w:t>Hywel Dda University Health Board</w:t>
            </w:r>
          </w:p>
        </w:tc>
      </w:tr>
      <w:tr>
        <w:trPr>
          <w:trHeight w:val="283" w:hRule="atLeast"/>
        </w:trPr>
        <w:tc>
          <w:tcPr>
            <w:tcW w:w="4967" w:type="dxa"/>
            <w:shd w:val="clear" w:color="auto" w:fill="C1A875"/>
          </w:tcPr>
          <w:p>
            <w:pPr>
              <w:pStyle w:val="TableParagraph"/>
              <w:spacing w:line="263" w:lineRule="exact"/>
              <w:ind w:left="105"/>
              <w:rPr>
                <w:sz w:val="24"/>
              </w:rPr>
            </w:pPr>
            <w:r>
              <w:rPr>
                <w:spacing w:val="-4"/>
                <w:sz w:val="24"/>
              </w:rPr>
              <w:t>Associate</w:t>
            </w:r>
            <w:r>
              <w:rPr>
                <w:spacing w:val="-3"/>
                <w:sz w:val="24"/>
              </w:rPr>
              <w:t> </w:t>
            </w:r>
            <w:r>
              <w:rPr>
                <w:spacing w:val="-2"/>
                <w:sz w:val="24"/>
              </w:rPr>
              <w:t>Member</w:t>
            </w:r>
          </w:p>
        </w:tc>
        <w:tc>
          <w:tcPr>
            <w:tcW w:w="5137" w:type="dxa"/>
            <w:shd w:val="clear" w:color="auto" w:fill="C1A875"/>
          </w:tcPr>
          <w:p>
            <w:pPr>
              <w:pStyle w:val="TableParagraph"/>
              <w:rPr>
                <w:rFonts w:ascii="Times New Roman"/>
                <w:sz w:val="20"/>
              </w:rPr>
            </w:pPr>
          </w:p>
        </w:tc>
      </w:tr>
      <w:tr>
        <w:trPr>
          <w:trHeight w:val="285" w:hRule="atLeast"/>
        </w:trPr>
        <w:tc>
          <w:tcPr>
            <w:tcW w:w="4967" w:type="dxa"/>
          </w:tcPr>
          <w:p>
            <w:pPr>
              <w:pStyle w:val="TableParagraph"/>
              <w:spacing w:line="265" w:lineRule="exact"/>
              <w:ind w:left="105"/>
              <w:rPr>
                <w:sz w:val="24"/>
              </w:rPr>
            </w:pPr>
            <w:r>
              <w:rPr>
                <w:spacing w:val="-2"/>
                <w:sz w:val="24"/>
              </w:rPr>
              <w:t>Chair</w:t>
            </w:r>
          </w:p>
        </w:tc>
        <w:tc>
          <w:tcPr>
            <w:tcW w:w="5137" w:type="dxa"/>
          </w:tcPr>
          <w:p>
            <w:pPr>
              <w:pStyle w:val="TableParagraph"/>
              <w:spacing w:line="265" w:lineRule="exact"/>
              <w:ind w:left="105"/>
              <w:rPr>
                <w:sz w:val="24"/>
              </w:rPr>
            </w:pPr>
            <w:r>
              <w:rPr>
                <w:spacing w:val="-2"/>
                <w:sz w:val="24"/>
              </w:rPr>
              <w:t>Powys</w:t>
            </w:r>
            <w:r>
              <w:rPr>
                <w:spacing w:val="-12"/>
                <w:sz w:val="24"/>
              </w:rPr>
              <w:t> </w:t>
            </w:r>
            <w:r>
              <w:rPr>
                <w:spacing w:val="-5"/>
                <w:sz w:val="24"/>
              </w:rPr>
              <w:t>THB</w:t>
            </w:r>
          </w:p>
        </w:tc>
      </w:tr>
      <w:tr>
        <w:trPr>
          <w:trHeight w:val="284" w:hRule="atLeast"/>
        </w:trPr>
        <w:tc>
          <w:tcPr>
            <w:tcW w:w="4967" w:type="dxa"/>
            <w:shd w:val="clear" w:color="auto" w:fill="C1A875"/>
          </w:tcPr>
          <w:p>
            <w:pPr>
              <w:pStyle w:val="TableParagraph"/>
              <w:spacing w:line="265" w:lineRule="exact"/>
              <w:ind w:left="105"/>
              <w:rPr>
                <w:sz w:val="24"/>
              </w:rPr>
            </w:pPr>
            <w:r>
              <w:rPr>
                <w:spacing w:val="-4"/>
                <w:sz w:val="24"/>
              </w:rPr>
              <w:t>Observer</w:t>
            </w:r>
            <w:r>
              <w:rPr>
                <w:spacing w:val="-2"/>
                <w:sz w:val="24"/>
              </w:rPr>
              <w:t> Members</w:t>
            </w:r>
          </w:p>
        </w:tc>
        <w:tc>
          <w:tcPr>
            <w:tcW w:w="5137" w:type="dxa"/>
            <w:shd w:val="clear" w:color="auto" w:fill="C1A875"/>
          </w:tcPr>
          <w:p>
            <w:pPr>
              <w:pStyle w:val="TableParagraph"/>
              <w:rPr>
                <w:rFonts w:ascii="Times New Roman"/>
                <w:sz w:val="20"/>
              </w:rPr>
            </w:pPr>
          </w:p>
        </w:tc>
      </w:tr>
      <w:tr>
        <w:trPr>
          <w:trHeight w:val="550" w:hRule="atLeast"/>
        </w:trPr>
        <w:tc>
          <w:tcPr>
            <w:tcW w:w="4967" w:type="dxa"/>
          </w:tcPr>
          <w:p>
            <w:pPr>
              <w:pStyle w:val="TableParagraph"/>
              <w:ind w:left="105"/>
              <w:rPr>
                <w:sz w:val="24"/>
              </w:rPr>
            </w:pPr>
            <w:r>
              <w:rPr>
                <w:spacing w:val="-2"/>
                <w:sz w:val="24"/>
              </w:rPr>
              <w:t>Director</w:t>
            </w:r>
            <w:r>
              <w:rPr>
                <w:spacing w:val="-12"/>
                <w:sz w:val="24"/>
              </w:rPr>
              <w:t> </w:t>
            </w:r>
            <w:r>
              <w:rPr>
                <w:spacing w:val="-2"/>
                <w:sz w:val="24"/>
              </w:rPr>
              <w:t>of</w:t>
            </w:r>
            <w:r>
              <w:rPr>
                <w:spacing w:val="-12"/>
                <w:sz w:val="24"/>
              </w:rPr>
              <w:t> </w:t>
            </w:r>
            <w:r>
              <w:rPr>
                <w:spacing w:val="-2"/>
                <w:sz w:val="24"/>
              </w:rPr>
              <w:t>Operations</w:t>
            </w:r>
          </w:p>
        </w:tc>
        <w:tc>
          <w:tcPr>
            <w:tcW w:w="5137" w:type="dxa"/>
          </w:tcPr>
          <w:p>
            <w:pPr>
              <w:pStyle w:val="TableParagraph"/>
              <w:spacing w:line="276" w:lineRule="exact"/>
              <w:ind w:left="105"/>
              <w:rPr>
                <w:sz w:val="24"/>
              </w:rPr>
            </w:pPr>
            <w:r>
              <w:rPr>
                <w:spacing w:val="-2"/>
                <w:sz w:val="24"/>
              </w:rPr>
              <w:t>Welsh</w:t>
            </w:r>
            <w:r>
              <w:rPr>
                <w:spacing w:val="-15"/>
                <w:sz w:val="24"/>
              </w:rPr>
              <w:t> </w:t>
            </w:r>
            <w:r>
              <w:rPr>
                <w:spacing w:val="-2"/>
                <w:sz w:val="24"/>
              </w:rPr>
              <w:t>Government’s</w:t>
            </w:r>
            <w:r>
              <w:rPr>
                <w:spacing w:val="-15"/>
                <w:sz w:val="24"/>
              </w:rPr>
              <w:t> </w:t>
            </w:r>
            <w:r>
              <w:rPr>
                <w:spacing w:val="-2"/>
                <w:sz w:val="24"/>
              </w:rPr>
              <w:t>Health,</w:t>
            </w:r>
            <w:r>
              <w:rPr>
                <w:spacing w:val="-14"/>
                <w:sz w:val="24"/>
              </w:rPr>
              <w:t> </w:t>
            </w:r>
            <w:r>
              <w:rPr>
                <w:spacing w:val="-2"/>
                <w:sz w:val="24"/>
              </w:rPr>
              <w:t>Social</w:t>
            </w:r>
            <w:r>
              <w:rPr>
                <w:spacing w:val="-15"/>
                <w:sz w:val="24"/>
              </w:rPr>
              <w:t> </w:t>
            </w:r>
            <w:r>
              <w:rPr>
                <w:spacing w:val="-2"/>
                <w:sz w:val="24"/>
              </w:rPr>
              <w:t>Care,</w:t>
            </w:r>
            <w:r>
              <w:rPr>
                <w:spacing w:val="-15"/>
                <w:sz w:val="24"/>
              </w:rPr>
              <w:t> </w:t>
            </w:r>
            <w:r>
              <w:rPr>
                <w:spacing w:val="-2"/>
                <w:sz w:val="24"/>
              </w:rPr>
              <w:t>and </w:t>
            </w:r>
            <w:r>
              <w:rPr>
                <w:sz w:val="24"/>
              </w:rPr>
              <w:t>Early Years Executive Directors Team</w:t>
            </w:r>
          </w:p>
        </w:tc>
      </w:tr>
    </w:tbl>
    <w:p>
      <w:pPr>
        <w:pStyle w:val="BodyText"/>
      </w:pPr>
    </w:p>
    <w:p>
      <w:pPr>
        <w:pStyle w:val="BodyText"/>
        <w:spacing w:before="1"/>
      </w:pPr>
    </w:p>
    <w:p>
      <w:pPr>
        <w:spacing w:before="0"/>
        <w:ind w:left="4" w:right="284" w:firstLine="0"/>
        <w:jc w:val="center"/>
        <w:rPr>
          <w:sz w:val="20"/>
        </w:rPr>
      </w:pPr>
      <w:r>
        <w:rPr>
          <w:spacing w:val="-10"/>
          <w:sz w:val="20"/>
        </w:rPr>
        <w:t>7</w:t>
      </w:r>
    </w:p>
    <w:p>
      <w:pPr>
        <w:spacing w:after="0"/>
        <w:jc w:val="center"/>
        <w:rPr>
          <w:sz w:val="20"/>
        </w:rPr>
        <w:sectPr>
          <w:pgSz w:w="11910" w:h="16840"/>
          <w:pgMar w:header="0" w:footer="149" w:top="1160" w:bottom="340" w:left="708" w:right="425"/>
        </w:sectPr>
      </w:pPr>
    </w:p>
    <w:p>
      <w:pPr>
        <w:pStyle w:val="BodyText"/>
        <w:spacing w:before="2"/>
        <w:rPr>
          <w:sz w:val="2"/>
        </w:r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4967"/>
        <w:gridCol w:w="5137"/>
      </w:tblGrid>
      <w:tr>
        <w:trPr>
          <w:trHeight w:val="555" w:hRule="atLeast"/>
        </w:trPr>
        <w:tc>
          <w:tcPr>
            <w:tcW w:w="4967" w:type="dxa"/>
          </w:tcPr>
          <w:p>
            <w:pPr>
              <w:pStyle w:val="TableParagraph"/>
              <w:ind w:left="105"/>
              <w:rPr>
                <w:sz w:val="24"/>
              </w:rPr>
            </w:pPr>
            <w:r>
              <w:rPr>
                <w:spacing w:val="-2"/>
                <w:sz w:val="24"/>
              </w:rPr>
              <w:t>Director</w:t>
            </w:r>
            <w:r>
              <w:rPr>
                <w:spacing w:val="-12"/>
                <w:sz w:val="24"/>
              </w:rPr>
              <w:t> </w:t>
            </w:r>
            <w:r>
              <w:rPr>
                <w:spacing w:val="-2"/>
                <w:sz w:val="24"/>
              </w:rPr>
              <w:t>of</w:t>
            </w:r>
            <w:r>
              <w:rPr>
                <w:spacing w:val="-12"/>
                <w:sz w:val="24"/>
              </w:rPr>
              <w:t> </w:t>
            </w:r>
            <w:r>
              <w:rPr>
                <w:spacing w:val="-2"/>
                <w:sz w:val="24"/>
              </w:rPr>
              <w:t>Planning</w:t>
            </w:r>
          </w:p>
        </w:tc>
        <w:tc>
          <w:tcPr>
            <w:tcW w:w="5137" w:type="dxa"/>
          </w:tcPr>
          <w:p>
            <w:pPr>
              <w:pStyle w:val="TableParagraph"/>
              <w:spacing w:line="275" w:lineRule="exact"/>
              <w:ind w:left="105"/>
              <w:rPr>
                <w:sz w:val="24"/>
              </w:rPr>
            </w:pPr>
            <w:r>
              <w:rPr>
                <w:spacing w:val="-4"/>
                <w:sz w:val="24"/>
              </w:rPr>
              <w:t>Welsh</w:t>
            </w:r>
            <w:r>
              <w:rPr>
                <w:spacing w:val="5"/>
                <w:sz w:val="24"/>
              </w:rPr>
              <w:t> </w:t>
            </w:r>
            <w:r>
              <w:rPr>
                <w:spacing w:val="-4"/>
                <w:sz w:val="24"/>
              </w:rPr>
              <w:t>Government’s</w:t>
            </w:r>
            <w:r>
              <w:rPr>
                <w:spacing w:val="-7"/>
                <w:sz w:val="24"/>
              </w:rPr>
              <w:t> </w:t>
            </w:r>
            <w:r>
              <w:rPr>
                <w:spacing w:val="-4"/>
                <w:sz w:val="24"/>
              </w:rPr>
              <w:t>Health,</w:t>
            </w:r>
            <w:r>
              <w:rPr>
                <w:spacing w:val="-3"/>
                <w:sz w:val="24"/>
              </w:rPr>
              <w:t> </w:t>
            </w:r>
            <w:r>
              <w:rPr>
                <w:spacing w:val="-4"/>
                <w:sz w:val="24"/>
              </w:rPr>
              <w:t>Social</w:t>
            </w:r>
            <w:r>
              <w:rPr>
                <w:sz w:val="24"/>
              </w:rPr>
              <w:t> </w:t>
            </w:r>
            <w:r>
              <w:rPr>
                <w:spacing w:val="-4"/>
                <w:sz w:val="24"/>
              </w:rPr>
              <w:t>Care,</w:t>
            </w:r>
            <w:r>
              <w:rPr>
                <w:spacing w:val="-3"/>
                <w:sz w:val="24"/>
              </w:rPr>
              <w:t> </w:t>
            </w:r>
            <w:r>
              <w:rPr>
                <w:spacing w:val="-5"/>
                <w:sz w:val="24"/>
              </w:rPr>
              <w:t>and</w:t>
            </w:r>
          </w:p>
          <w:p>
            <w:pPr>
              <w:pStyle w:val="TableParagraph"/>
              <w:spacing w:line="260" w:lineRule="exact"/>
              <w:ind w:left="105"/>
              <w:rPr>
                <w:sz w:val="24"/>
              </w:rPr>
            </w:pPr>
            <w:r>
              <w:rPr>
                <w:spacing w:val="-4"/>
                <w:sz w:val="24"/>
              </w:rPr>
              <w:t>Early</w:t>
            </w:r>
            <w:r>
              <w:rPr>
                <w:sz w:val="24"/>
              </w:rPr>
              <w:t> </w:t>
            </w:r>
            <w:r>
              <w:rPr>
                <w:spacing w:val="-4"/>
                <w:sz w:val="24"/>
              </w:rPr>
              <w:t>Years</w:t>
            </w:r>
            <w:r>
              <w:rPr>
                <w:sz w:val="24"/>
              </w:rPr>
              <w:t> </w:t>
            </w:r>
            <w:r>
              <w:rPr>
                <w:spacing w:val="-4"/>
                <w:sz w:val="24"/>
              </w:rPr>
              <w:t>Executive</w:t>
            </w:r>
            <w:r>
              <w:rPr>
                <w:spacing w:val="-5"/>
                <w:sz w:val="24"/>
              </w:rPr>
              <w:t> </w:t>
            </w:r>
            <w:r>
              <w:rPr>
                <w:spacing w:val="-4"/>
                <w:sz w:val="24"/>
              </w:rPr>
              <w:t>Directors</w:t>
            </w:r>
            <w:r>
              <w:rPr>
                <w:spacing w:val="1"/>
                <w:sz w:val="24"/>
              </w:rPr>
              <w:t> </w:t>
            </w:r>
            <w:r>
              <w:rPr>
                <w:spacing w:val="-4"/>
                <w:sz w:val="24"/>
              </w:rPr>
              <w:t>Team</w:t>
            </w:r>
          </w:p>
        </w:tc>
      </w:tr>
      <w:tr>
        <w:trPr>
          <w:trHeight w:val="550" w:hRule="atLeast"/>
        </w:trPr>
        <w:tc>
          <w:tcPr>
            <w:tcW w:w="10104" w:type="dxa"/>
            <w:gridSpan w:val="2"/>
            <w:shd w:val="clear" w:color="auto" w:fill="C1A875"/>
          </w:tcPr>
          <w:p>
            <w:pPr>
              <w:pStyle w:val="TableParagraph"/>
              <w:spacing w:line="276" w:lineRule="exact"/>
              <w:ind w:left="105" w:right="233"/>
              <w:rPr>
                <w:b/>
                <w:sz w:val="24"/>
              </w:rPr>
            </w:pPr>
            <w:r>
              <w:rPr>
                <w:b/>
                <w:sz w:val="24"/>
              </w:rPr>
              <w:t>Invitation</w:t>
            </w:r>
            <w:r>
              <w:rPr>
                <w:b/>
                <w:spacing w:val="-4"/>
                <w:sz w:val="24"/>
              </w:rPr>
              <w:t> </w:t>
            </w:r>
            <w:r>
              <w:rPr>
                <w:b/>
                <w:sz w:val="24"/>
              </w:rPr>
              <w:t>to</w:t>
            </w:r>
            <w:r>
              <w:rPr>
                <w:b/>
                <w:spacing w:val="-8"/>
                <w:sz w:val="24"/>
              </w:rPr>
              <w:t> </w:t>
            </w:r>
            <w:r>
              <w:rPr>
                <w:b/>
                <w:sz w:val="24"/>
              </w:rPr>
              <w:t>attend</w:t>
            </w:r>
            <w:r>
              <w:rPr>
                <w:b/>
                <w:spacing w:val="-4"/>
                <w:sz w:val="24"/>
              </w:rPr>
              <w:t> </w:t>
            </w:r>
            <w:r>
              <w:rPr>
                <w:b/>
                <w:sz w:val="24"/>
              </w:rPr>
              <w:t>to</w:t>
            </w:r>
            <w:r>
              <w:rPr>
                <w:b/>
                <w:spacing w:val="-4"/>
                <w:sz w:val="24"/>
              </w:rPr>
              <w:t> </w:t>
            </w:r>
            <w:r>
              <w:rPr>
                <w:b/>
                <w:sz w:val="24"/>
              </w:rPr>
              <w:t>discuss</w:t>
            </w:r>
            <w:r>
              <w:rPr>
                <w:b/>
                <w:spacing w:val="-5"/>
                <w:sz w:val="24"/>
              </w:rPr>
              <w:t> </w:t>
            </w:r>
            <w:r>
              <w:rPr>
                <w:b/>
                <w:sz w:val="24"/>
              </w:rPr>
              <w:t>work</w:t>
            </w:r>
            <w:r>
              <w:rPr>
                <w:b/>
                <w:spacing w:val="-5"/>
                <w:sz w:val="24"/>
              </w:rPr>
              <w:t> </w:t>
            </w:r>
            <w:r>
              <w:rPr>
                <w:b/>
                <w:sz w:val="24"/>
              </w:rPr>
              <w:t>programme</w:t>
            </w:r>
            <w:r>
              <w:rPr>
                <w:b/>
                <w:spacing w:val="-5"/>
                <w:sz w:val="24"/>
              </w:rPr>
              <w:t> </w:t>
            </w:r>
            <w:r>
              <w:rPr>
                <w:b/>
                <w:sz w:val="24"/>
              </w:rPr>
              <w:t>areas</w:t>
            </w:r>
            <w:r>
              <w:rPr>
                <w:b/>
                <w:spacing w:val="-5"/>
                <w:sz w:val="24"/>
              </w:rPr>
              <w:t> </w:t>
            </w:r>
            <w:r>
              <w:rPr>
                <w:b/>
                <w:sz w:val="24"/>
              </w:rPr>
              <w:t>requiring</w:t>
            </w:r>
            <w:r>
              <w:rPr>
                <w:b/>
                <w:spacing w:val="-8"/>
                <w:sz w:val="24"/>
              </w:rPr>
              <w:t> </w:t>
            </w:r>
            <w:r>
              <w:rPr>
                <w:b/>
                <w:sz w:val="24"/>
              </w:rPr>
              <w:t>wider</w:t>
            </w:r>
            <w:r>
              <w:rPr>
                <w:b/>
                <w:spacing w:val="-5"/>
                <w:sz w:val="24"/>
              </w:rPr>
              <w:t> </w:t>
            </w:r>
            <w:r>
              <w:rPr>
                <w:b/>
                <w:sz w:val="24"/>
              </w:rPr>
              <w:t>collaboration (as and when required)</w:t>
            </w:r>
          </w:p>
        </w:tc>
      </w:tr>
      <w:tr>
        <w:trPr>
          <w:trHeight w:val="283" w:hRule="atLeast"/>
        </w:trPr>
        <w:tc>
          <w:tcPr>
            <w:tcW w:w="4967" w:type="dxa"/>
          </w:tcPr>
          <w:p>
            <w:pPr>
              <w:pStyle w:val="TableParagraph"/>
              <w:spacing w:line="263" w:lineRule="exact"/>
              <w:ind w:left="105"/>
              <w:rPr>
                <w:sz w:val="24"/>
              </w:rPr>
            </w:pPr>
            <w:r>
              <w:rPr>
                <w:sz w:val="24"/>
              </w:rPr>
              <w:t>As</w:t>
            </w:r>
            <w:r>
              <w:rPr>
                <w:spacing w:val="-16"/>
                <w:sz w:val="24"/>
              </w:rPr>
              <w:t> </w:t>
            </w:r>
            <w:r>
              <w:rPr>
                <w:sz w:val="24"/>
              </w:rPr>
              <w:t>and</w:t>
            </w:r>
            <w:r>
              <w:rPr>
                <w:spacing w:val="-15"/>
                <w:sz w:val="24"/>
              </w:rPr>
              <w:t> </w:t>
            </w:r>
            <w:r>
              <w:rPr>
                <w:sz w:val="24"/>
              </w:rPr>
              <w:t>when</w:t>
            </w:r>
            <w:r>
              <w:rPr>
                <w:spacing w:val="-14"/>
                <w:sz w:val="24"/>
              </w:rPr>
              <w:t> </w:t>
            </w:r>
            <w:r>
              <w:rPr>
                <w:spacing w:val="-2"/>
                <w:sz w:val="24"/>
              </w:rPr>
              <w:t>required</w:t>
            </w:r>
          </w:p>
        </w:tc>
        <w:tc>
          <w:tcPr>
            <w:tcW w:w="5137" w:type="dxa"/>
          </w:tcPr>
          <w:p>
            <w:pPr>
              <w:pStyle w:val="TableParagraph"/>
              <w:rPr>
                <w:rFonts w:ascii="Times New Roman"/>
                <w:sz w:val="20"/>
              </w:rPr>
            </w:pPr>
          </w:p>
        </w:tc>
      </w:tr>
    </w:tbl>
    <w:p>
      <w:pPr>
        <w:pStyle w:val="BodyText"/>
        <w:spacing w:before="119"/>
      </w:pPr>
    </w:p>
    <w:p>
      <w:pPr>
        <w:pStyle w:val="ListParagraph"/>
        <w:numPr>
          <w:ilvl w:val="1"/>
          <w:numId w:val="41"/>
        </w:numPr>
        <w:tabs>
          <w:tab w:pos="852" w:val="left" w:leader="none"/>
        </w:tabs>
        <w:spacing w:line="240" w:lineRule="auto" w:before="1" w:after="0"/>
        <w:ind w:left="852" w:right="1441" w:hanging="710"/>
        <w:jc w:val="left"/>
        <w:rPr>
          <w:sz w:val="24"/>
        </w:rPr>
      </w:pPr>
      <w:r>
        <w:rPr>
          <w:sz w:val="24"/>
        </w:rPr>
        <w:t>The</w:t>
      </w:r>
      <w:r>
        <w:rPr>
          <w:spacing w:val="-2"/>
          <w:sz w:val="24"/>
        </w:rPr>
        <w:t> </w:t>
      </w:r>
      <w:r>
        <w:rPr>
          <w:sz w:val="24"/>
        </w:rPr>
        <w:t>RJC</w:t>
      </w:r>
      <w:r>
        <w:rPr>
          <w:spacing w:val="-2"/>
          <w:sz w:val="24"/>
        </w:rPr>
        <w:t> </w:t>
      </w:r>
      <w:r>
        <w:rPr>
          <w:sz w:val="24"/>
        </w:rPr>
        <w:t>will</w:t>
      </w:r>
      <w:r>
        <w:rPr>
          <w:spacing w:val="-3"/>
          <w:sz w:val="24"/>
        </w:rPr>
        <w:t> </w:t>
      </w:r>
      <w:r>
        <w:rPr>
          <w:sz w:val="24"/>
        </w:rPr>
        <w:t>be</w:t>
      </w:r>
      <w:r>
        <w:rPr>
          <w:spacing w:val="-1"/>
          <w:sz w:val="24"/>
        </w:rPr>
        <w:t> </w:t>
      </w:r>
      <w:r>
        <w:rPr>
          <w:sz w:val="24"/>
        </w:rPr>
        <w:t>jointly</w:t>
      </w:r>
      <w:r>
        <w:rPr>
          <w:spacing w:val="-3"/>
          <w:sz w:val="24"/>
        </w:rPr>
        <w:t> </w:t>
      </w:r>
      <w:r>
        <w:rPr>
          <w:sz w:val="24"/>
        </w:rPr>
        <w:t>chaired</w:t>
      </w:r>
      <w:r>
        <w:rPr>
          <w:spacing w:val="-3"/>
          <w:sz w:val="24"/>
        </w:rPr>
        <w:t> </w:t>
      </w:r>
      <w:r>
        <w:rPr>
          <w:sz w:val="24"/>
        </w:rPr>
        <w:t>by</w:t>
      </w:r>
      <w:r>
        <w:rPr>
          <w:spacing w:val="-4"/>
          <w:sz w:val="24"/>
        </w:rPr>
        <w:t> </w:t>
      </w:r>
      <w:r>
        <w:rPr>
          <w:sz w:val="24"/>
        </w:rPr>
        <w:t>the</w:t>
      </w:r>
      <w:r>
        <w:rPr>
          <w:spacing w:val="-1"/>
          <w:sz w:val="24"/>
        </w:rPr>
        <w:t> </w:t>
      </w:r>
      <w:r>
        <w:rPr>
          <w:sz w:val="24"/>
        </w:rPr>
        <w:t>Chairs</w:t>
      </w:r>
      <w:r>
        <w:rPr>
          <w:spacing w:val="-4"/>
          <w:sz w:val="24"/>
        </w:rPr>
        <w:t> </w:t>
      </w:r>
      <w:r>
        <w:rPr>
          <w:sz w:val="24"/>
        </w:rPr>
        <w:t>from</w:t>
      </w:r>
      <w:r>
        <w:rPr>
          <w:spacing w:val="-4"/>
          <w:sz w:val="24"/>
        </w:rPr>
        <w:t> </w:t>
      </w:r>
      <w:r>
        <w:rPr>
          <w:sz w:val="24"/>
        </w:rPr>
        <w:t>Swansea</w:t>
      </w:r>
      <w:r>
        <w:rPr>
          <w:spacing w:val="-3"/>
          <w:sz w:val="24"/>
        </w:rPr>
        <w:t> </w:t>
      </w:r>
      <w:r>
        <w:rPr>
          <w:sz w:val="24"/>
        </w:rPr>
        <w:t>Bay</w:t>
      </w:r>
      <w:r>
        <w:rPr>
          <w:spacing w:val="-3"/>
          <w:sz w:val="24"/>
        </w:rPr>
        <w:t> </w:t>
      </w:r>
      <w:r>
        <w:rPr>
          <w:sz w:val="24"/>
        </w:rPr>
        <w:t>and</w:t>
      </w:r>
      <w:r>
        <w:rPr>
          <w:spacing w:val="-2"/>
          <w:sz w:val="24"/>
        </w:rPr>
        <w:t> </w:t>
      </w:r>
      <w:r>
        <w:rPr>
          <w:sz w:val="24"/>
        </w:rPr>
        <w:t>Hywel</w:t>
      </w:r>
      <w:r>
        <w:rPr>
          <w:spacing w:val="-3"/>
          <w:sz w:val="24"/>
        </w:rPr>
        <w:t> </w:t>
      </w:r>
      <w:r>
        <w:rPr>
          <w:sz w:val="24"/>
        </w:rPr>
        <w:t>Dda University Health Boards.</w:t>
      </w:r>
    </w:p>
    <w:p>
      <w:pPr>
        <w:pStyle w:val="BodyText"/>
        <w:spacing w:before="1"/>
      </w:pPr>
    </w:p>
    <w:p>
      <w:pPr>
        <w:pStyle w:val="ListParagraph"/>
        <w:numPr>
          <w:ilvl w:val="1"/>
          <w:numId w:val="41"/>
        </w:numPr>
        <w:tabs>
          <w:tab w:pos="852" w:val="left" w:leader="none"/>
        </w:tabs>
        <w:spacing w:line="240" w:lineRule="auto" w:before="1" w:after="0"/>
        <w:ind w:left="852" w:right="0" w:hanging="710"/>
        <w:jc w:val="left"/>
        <w:rPr>
          <w:sz w:val="24"/>
        </w:rPr>
      </w:pPr>
      <w:r>
        <w:rPr>
          <w:sz w:val="24"/>
        </w:rPr>
        <w:t>Membership</w:t>
      </w:r>
      <w:r>
        <w:rPr>
          <w:spacing w:val="-4"/>
          <w:sz w:val="24"/>
        </w:rPr>
        <w:t> </w:t>
      </w:r>
      <w:r>
        <w:rPr>
          <w:sz w:val="24"/>
        </w:rPr>
        <w:t>of</w:t>
      </w:r>
      <w:r>
        <w:rPr>
          <w:spacing w:val="-4"/>
          <w:sz w:val="24"/>
        </w:rPr>
        <w:t> </w:t>
      </w:r>
      <w:r>
        <w:rPr>
          <w:sz w:val="24"/>
        </w:rPr>
        <w:t>the</w:t>
      </w:r>
      <w:r>
        <w:rPr>
          <w:spacing w:val="-1"/>
          <w:sz w:val="24"/>
        </w:rPr>
        <w:t> </w:t>
      </w:r>
      <w:r>
        <w:rPr>
          <w:sz w:val="24"/>
        </w:rPr>
        <w:t>RJC will</w:t>
      </w:r>
      <w:r>
        <w:rPr>
          <w:spacing w:val="-1"/>
          <w:sz w:val="24"/>
        </w:rPr>
        <w:t> </w:t>
      </w:r>
      <w:r>
        <w:rPr>
          <w:sz w:val="24"/>
        </w:rPr>
        <w:t>be</w:t>
      </w:r>
      <w:r>
        <w:rPr>
          <w:spacing w:val="-2"/>
          <w:sz w:val="24"/>
        </w:rPr>
        <w:t> </w:t>
      </w:r>
      <w:r>
        <w:rPr>
          <w:sz w:val="24"/>
        </w:rPr>
        <w:t>reviewed</w:t>
      </w:r>
      <w:r>
        <w:rPr>
          <w:spacing w:val="-1"/>
          <w:sz w:val="24"/>
        </w:rPr>
        <w:t> </w:t>
      </w:r>
      <w:r>
        <w:rPr>
          <w:sz w:val="24"/>
        </w:rPr>
        <w:t>on</w:t>
      </w:r>
      <w:r>
        <w:rPr>
          <w:spacing w:val="-2"/>
          <w:sz w:val="24"/>
        </w:rPr>
        <w:t> </w:t>
      </w:r>
      <w:r>
        <w:rPr>
          <w:sz w:val="24"/>
        </w:rPr>
        <w:t>an</w:t>
      </w:r>
      <w:r>
        <w:rPr>
          <w:spacing w:val="-5"/>
          <w:sz w:val="24"/>
        </w:rPr>
        <w:t> </w:t>
      </w:r>
      <w:r>
        <w:rPr>
          <w:sz w:val="24"/>
        </w:rPr>
        <w:t>annual</w:t>
      </w:r>
      <w:r>
        <w:rPr>
          <w:spacing w:val="-1"/>
          <w:sz w:val="24"/>
        </w:rPr>
        <w:t> </w:t>
      </w:r>
      <w:r>
        <w:rPr>
          <w:spacing w:val="-2"/>
          <w:sz w:val="24"/>
        </w:rPr>
        <w:t>basis.</w:t>
      </w:r>
    </w:p>
    <w:p>
      <w:pPr>
        <w:pStyle w:val="ListParagraph"/>
        <w:numPr>
          <w:ilvl w:val="1"/>
          <w:numId w:val="41"/>
        </w:numPr>
        <w:tabs>
          <w:tab w:pos="852" w:val="left" w:leader="none"/>
        </w:tabs>
        <w:spacing w:line="240" w:lineRule="auto" w:before="274" w:after="0"/>
        <w:ind w:left="852" w:right="0" w:hanging="710"/>
        <w:jc w:val="left"/>
        <w:rPr>
          <w:sz w:val="24"/>
        </w:rPr>
      </w:pPr>
      <w:r>
        <w:rPr>
          <w:sz w:val="24"/>
        </w:rPr>
        <w:t>The</w:t>
      </w:r>
      <w:r>
        <w:rPr>
          <w:spacing w:val="-3"/>
          <w:sz w:val="24"/>
        </w:rPr>
        <w:t> </w:t>
      </w:r>
      <w:r>
        <w:rPr>
          <w:sz w:val="24"/>
        </w:rPr>
        <w:t>RJC</w:t>
      </w:r>
      <w:r>
        <w:rPr>
          <w:spacing w:val="-2"/>
          <w:sz w:val="24"/>
        </w:rPr>
        <w:t> </w:t>
      </w:r>
      <w:r>
        <w:rPr>
          <w:sz w:val="24"/>
        </w:rPr>
        <w:t>will</w:t>
      </w:r>
      <w:r>
        <w:rPr>
          <w:spacing w:val="-3"/>
          <w:sz w:val="24"/>
        </w:rPr>
        <w:t> </w:t>
      </w:r>
      <w:r>
        <w:rPr>
          <w:sz w:val="24"/>
        </w:rPr>
        <w:t>be</w:t>
      </w:r>
      <w:r>
        <w:rPr>
          <w:spacing w:val="-3"/>
          <w:sz w:val="24"/>
        </w:rPr>
        <w:t> </w:t>
      </w:r>
      <w:r>
        <w:rPr>
          <w:sz w:val="24"/>
        </w:rPr>
        <w:t>supported</w:t>
      </w:r>
      <w:r>
        <w:rPr>
          <w:spacing w:val="-3"/>
          <w:sz w:val="24"/>
        </w:rPr>
        <w:t> </w:t>
      </w:r>
      <w:r>
        <w:rPr>
          <w:sz w:val="24"/>
        </w:rPr>
        <w:t>by</w:t>
      </w:r>
      <w:r>
        <w:rPr>
          <w:spacing w:val="-4"/>
          <w:sz w:val="24"/>
        </w:rPr>
        <w:t> </w:t>
      </w:r>
      <w:r>
        <w:rPr>
          <w:sz w:val="24"/>
        </w:rPr>
        <w:t>a</w:t>
      </w:r>
      <w:r>
        <w:rPr>
          <w:spacing w:val="-3"/>
          <w:sz w:val="24"/>
        </w:rPr>
        <w:t> </w:t>
      </w:r>
      <w:r>
        <w:rPr>
          <w:sz w:val="24"/>
        </w:rPr>
        <w:t>dedicated</w:t>
      </w:r>
      <w:r>
        <w:rPr>
          <w:spacing w:val="-3"/>
          <w:sz w:val="24"/>
        </w:rPr>
        <w:t> </w:t>
      </w:r>
      <w:r>
        <w:rPr>
          <w:sz w:val="24"/>
        </w:rPr>
        <w:t>Programme</w:t>
      </w:r>
      <w:r>
        <w:rPr>
          <w:spacing w:val="2"/>
          <w:sz w:val="24"/>
        </w:rPr>
        <w:t> </w:t>
      </w:r>
      <w:r>
        <w:rPr>
          <w:sz w:val="24"/>
        </w:rPr>
        <w:t>Management</w:t>
      </w:r>
      <w:r>
        <w:rPr>
          <w:spacing w:val="-6"/>
          <w:sz w:val="24"/>
        </w:rPr>
        <w:t> </w:t>
      </w:r>
      <w:r>
        <w:rPr>
          <w:sz w:val="24"/>
        </w:rPr>
        <w:t>Office</w:t>
      </w:r>
      <w:r>
        <w:rPr>
          <w:spacing w:val="-2"/>
          <w:sz w:val="24"/>
        </w:rPr>
        <w:t> (PMO).</w:t>
      </w:r>
    </w:p>
    <w:p>
      <w:pPr>
        <w:pStyle w:val="BodyText"/>
        <w:spacing w:before="200"/>
        <w:rPr>
          <w:sz w:val="20"/>
        </w:rPr>
      </w:pPr>
      <w:r>
        <w:rPr>
          <w:sz w:val="20"/>
        </w:rPr>
        <mc:AlternateContent>
          <mc:Choice Requires="wps">
            <w:drawing>
              <wp:anchor distT="0" distB="0" distL="0" distR="0" allowOverlap="1" layoutInCell="1" locked="0" behindDoc="1" simplePos="0" relativeHeight="487655424">
                <wp:simplePos x="0" y="0"/>
                <wp:positionH relativeFrom="page">
                  <wp:posOffset>574992</wp:posOffset>
                </wp:positionH>
                <wp:positionV relativeFrom="paragraph">
                  <wp:posOffset>295111</wp:posOffset>
                </wp:positionV>
                <wp:extent cx="6642100" cy="190500"/>
                <wp:effectExtent l="0" t="0" r="0" b="0"/>
                <wp:wrapTopAndBottom/>
                <wp:docPr id="441" name="Textbox 441"/>
                <wp:cNvGraphicFramePr>
                  <a:graphicFrameLocks/>
                </wp:cNvGraphicFramePr>
                <a:graphic>
                  <a:graphicData uri="http://schemas.microsoft.com/office/word/2010/wordprocessingShape">
                    <wps:wsp>
                      <wps:cNvPr id="441" name="Textbox 441"/>
                      <wps:cNvSpPr txBox="1"/>
                      <wps:spPr>
                        <a:xfrm>
                          <a:off x="0" y="0"/>
                          <a:ext cx="6642100" cy="19050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7.</w:t>
                            </w:r>
                            <w:r>
                              <w:rPr>
                                <w:b/>
                                <w:color w:val="000000"/>
                                <w:spacing w:val="68"/>
                                <w:w w:val="150"/>
                                <w:sz w:val="24"/>
                              </w:rPr>
                              <w:t> </w:t>
                            </w:r>
                            <w:r>
                              <w:rPr>
                                <w:b/>
                                <w:color w:val="000000"/>
                                <w:sz w:val="24"/>
                              </w:rPr>
                              <w:t>Quorum</w:t>
                            </w:r>
                            <w:r>
                              <w:rPr>
                                <w:b/>
                                <w:color w:val="000000"/>
                                <w:spacing w:val="-13"/>
                                <w:sz w:val="24"/>
                              </w:rPr>
                              <w:t> </w:t>
                            </w:r>
                            <w:r>
                              <w:rPr>
                                <w:b/>
                                <w:color w:val="000000"/>
                                <w:sz w:val="24"/>
                              </w:rPr>
                              <w:t>and</w:t>
                            </w:r>
                            <w:r>
                              <w:rPr>
                                <w:b/>
                                <w:color w:val="000000"/>
                                <w:spacing w:val="-15"/>
                                <w:sz w:val="24"/>
                              </w:rPr>
                              <w:t> </w:t>
                            </w:r>
                            <w:r>
                              <w:rPr>
                                <w:b/>
                                <w:color w:val="000000"/>
                                <w:spacing w:val="-2"/>
                                <w:sz w:val="24"/>
                              </w:rPr>
                              <w:t>Attendance</w:t>
                            </w:r>
                          </w:p>
                        </w:txbxContent>
                      </wps:txbx>
                      <wps:bodyPr wrap="square" lIns="0" tIns="0" rIns="0" bIns="0" rtlCol="0">
                        <a:noAutofit/>
                      </wps:bodyPr>
                    </wps:wsp>
                  </a:graphicData>
                </a:graphic>
              </wp:anchor>
            </w:drawing>
          </mc:Choice>
          <mc:Fallback>
            <w:pict>
              <v:shape style="position:absolute;margin-left:45.275002pt;margin-top:23.237129pt;width:523pt;height:15pt;mso-position-horizontal-relative:page;mso-position-vertical-relative:paragraph;z-index:-15661056;mso-wrap-distance-left:0;mso-wrap-distance-right:0" type="#_x0000_t202" id="docshape224" filled="true" fillcolor="#c1a875" stroked="true" strokeweight="1pt" strokecolor="#394871">
                <v:textbox inset="0,0,0,0">
                  <w:txbxContent>
                    <w:p>
                      <w:pPr>
                        <w:spacing w:before="0"/>
                        <w:ind w:left="95" w:right="0" w:firstLine="0"/>
                        <w:jc w:val="left"/>
                        <w:rPr>
                          <w:b/>
                          <w:color w:val="000000"/>
                          <w:sz w:val="24"/>
                        </w:rPr>
                      </w:pPr>
                      <w:r>
                        <w:rPr>
                          <w:b/>
                          <w:color w:val="000000"/>
                          <w:sz w:val="24"/>
                        </w:rPr>
                        <w:t>7.</w:t>
                      </w:r>
                      <w:r>
                        <w:rPr>
                          <w:b/>
                          <w:color w:val="000000"/>
                          <w:spacing w:val="68"/>
                          <w:w w:val="150"/>
                          <w:sz w:val="24"/>
                        </w:rPr>
                        <w:t> </w:t>
                      </w:r>
                      <w:r>
                        <w:rPr>
                          <w:b/>
                          <w:color w:val="000000"/>
                          <w:sz w:val="24"/>
                        </w:rPr>
                        <w:t>Quorum</w:t>
                      </w:r>
                      <w:r>
                        <w:rPr>
                          <w:b/>
                          <w:color w:val="000000"/>
                          <w:spacing w:val="-13"/>
                          <w:sz w:val="24"/>
                        </w:rPr>
                        <w:t> </w:t>
                      </w:r>
                      <w:r>
                        <w:rPr>
                          <w:b/>
                          <w:color w:val="000000"/>
                          <w:sz w:val="24"/>
                        </w:rPr>
                        <w:t>and</w:t>
                      </w:r>
                      <w:r>
                        <w:rPr>
                          <w:b/>
                          <w:color w:val="000000"/>
                          <w:spacing w:val="-15"/>
                          <w:sz w:val="24"/>
                        </w:rPr>
                        <w:t> </w:t>
                      </w:r>
                      <w:r>
                        <w:rPr>
                          <w:b/>
                          <w:color w:val="000000"/>
                          <w:spacing w:val="-2"/>
                          <w:sz w:val="24"/>
                        </w:rPr>
                        <w:t>Attendance</w:t>
                      </w:r>
                    </w:p>
                  </w:txbxContent>
                </v:textbox>
                <v:fill type="solid"/>
                <v:stroke dashstyle="solid"/>
                <w10:wrap type="topAndBottom"/>
              </v:shape>
            </w:pict>
          </mc:Fallback>
        </mc:AlternateContent>
      </w:r>
    </w:p>
    <w:p>
      <w:pPr>
        <w:pStyle w:val="ListParagraph"/>
        <w:numPr>
          <w:ilvl w:val="1"/>
          <w:numId w:val="42"/>
        </w:numPr>
        <w:tabs>
          <w:tab w:pos="862" w:val="left" w:leader="none"/>
        </w:tabs>
        <w:spacing w:line="240" w:lineRule="auto" w:before="265" w:after="0"/>
        <w:ind w:left="862" w:right="1657" w:hanging="720"/>
        <w:jc w:val="left"/>
        <w:rPr>
          <w:sz w:val="24"/>
        </w:rPr>
      </w:pPr>
      <w:r>
        <w:rPr>
          <w:sz w:val="24"/>
        </w:rPr>
        <w:t>A</w:t>
      </w:r>
      <w:r>
        <w:rPr>
          <w:spacing w:val="-3"/>
          <w:sz w:val="24"/>
        </w:rPr>
        <w:t> </w:t>
      </w:r>
      <w:r>
        <w:rPr>
          <w:sz w:val="24"/>
        </w:rPr>
        <w:t>quorum</w:t>
      </w:r>
      <w:r>
        <w:rPr>
          <w:spacing w:val="-3"/>
          <w:sz w:val="24"/>
        </w:rPr>
        <w:t> </w:t>
      </w:r>
      <w:r>
        <w:rPr>
          <w:sz w:val="24"/>
        </w:rPr>
        <w:t>shall</w:t>
      </w:r>
      <w:r>
        <w:rPr>
          <w:spacing w:val="-2"/>
          <w:sz w:val="24"/>
        </w:rPr>
        <w:t> </w:t>
      </w:r>
      <w:r>
        <w:rPr>
          <w:sz w:val="24"/>
        </w:rPr>
        <w:t>consist</w:t>
      </w:r>
      <w:r>
        <w:rPr>
          <w:spacing w:val="-2"/>
          <w:sz w:val="24"/>
        </w:rPr>
        <w:t> </w:t>
      </w:r>
      <w:r>
        <w:rPr>
          <w:sz w:val="24"/>
        </w:rPr>
        <w:t>of</w:t>
      </w:r>
      <w:r>
        <w:rPr>
          <w:spacing w:val="-4"/>
          <w:sz w:val="24"/>
        </w:rPr>
        <w:t> </w:t>
      </w:r>
      <w:r>
        <w:rPr>
          <w:sz w:val="24"/>
        </w:rPr>
        <w:t>a</w:t>
      </w:r>
      <w:r>
        <w:rPr>
          <w:spacing w:val="-2"/>
          <w:sz w:val="24"/>
        </w:rPr>
        <w:t> </w:t>
      </w:r>
      <w:r>
        <w:rPr>
          <w:sz w:val="24"/>
        </w:rPr>
        <w:t>Chair</w:t>
      </w:r>
      <w:r>
        <w:rPr>
          <w:spacing w:val="-2"/>
          <w:sz w:val="24"/>
        </w:rPr>
        <w:t> </w:t>
      </w:r>
      <w:r>
        <w:rPr>
          <w:sz w:val="24"/>
        </w:rPr>
        <w:t>and</w:t>
      </w:r>
      <w:r>
        <w:rPr>
          <w:spacing w:val="-1"/>
          <w:sz w:val="24"/>
        </w:rPr>
        <w:t> </w:t>
      </w:r>
      <w:r>
        <w:rPr>
          <w:sz w:val="24"/>
        </w:rPr>
        <w:t>Independent</w:t>
      </w:r>
      <w:r>
        <w:rPr>
          <w:spacing w:val="-5"/>
          <w:sz w:val="24"/>
        </w:rPr>
        <w:t> </w:t>
      </w:r>
      <w:r>
        <w:rPr>
          <w:sz w:val="24"/>
        </w:rPr>
        <w:t>Member</w:t>
      </w:r>
      <w:r>
        <w:rPr>
          <w:spacing w:val="-3"/>
          <w:sz w:val="24"/>
        </w:rPr>
        <w:t> </w:t>
      </w:r>
      <w:r>
        <w:rPr>
          <w:sz w:val="24"/>
        </w:rPr>
        <w:t>from</w:t>
      </w:r>
      <w:r>
        <w:rPr>
          <w:spacing w:val="-3"/>
          <w:sz w:val="24"/>
        </w:rPr>
        <w:t> </w:t>
      </w:r>
      <w:r>
        <w:rPr>
          <w:sz w:val="24"/>
        </w:rPr>
        <w:t>both</w:t>
      </w:r>
      <w:r>
        <w:rPr>
          <w:spacing w:val="-2"/>
          <w:sz w:val="24"/>
        </w:rPr>
        <w:t> </w:t>
      </w:r>
      <w:r>
        <w:rPr>
          <w:sz w:val="24"/>
        </w:rPr>
        <w:t>partner organisations plus a third of the in-attendance membership.</w:t>
      </w:r>
    </w:p>
    <w:p>
      <w:pPr>
        <w:pStyle w:val="BodyText"/>
        <w:spacing w:before="2"/>
      </w:pPr>
    </w:p>
    <w:p>
      <w:pPr>
        <w:pStyle w:val="ListParagraph"/>
        <w:numPr>
          <w:ilvl w:val="1"/>
          <w:numId w:val="42"/>
        </w:numPr>
        <w:tabs>
          <w:tab w:pos="850" w:val="left" w:leader="none"/>
          <w:tab w:pos="852" w:val="left" w:leader="none"/>
        </w:tabs>
        <w:spacing w:line="240" w:lineRule="auto" w:before="0" w:after="0"/>
        <w:ind w:left="852" w:right="417" w:hanging="710"/>
        <w:jc w:val="both"/>
        <w:rPr>
          <w:sz w:val="24"/>
        </w:rPr>
      </w:pPr>
      <w:r>
        <w:rPr>
          <w:sz w:val="24"/>
        </w:rPr>
        <w:t>The</w:t>
      </w:r>
      <w:r>
        <w:rPr>
          <w:spacing w:val="-14"/>
          <w:sz w:val="24"/>
        </w:rPr>
        <w:t> </w:t>
      </w:r>
      <w:r>
        <w:rPr>
          <w:sz w:val="24"/>
        </w:rPr>
        <w:t>membership</w:t>
      </w:r>
      <w:r>
        <w:rPr>
          <w:spacing w:val="-14"/>
          <w:sz w:val="24"/>
        </w:rPr>
        <w:t> </w:t>
      </w:r>
      <w:r>
        <w:rPr>
          <w:sz w:val="24"/>
        </w:rPr>
        <w:t>of</w:t>
      </w:r>
      <w:r>
        <w:rPr>
          <w:spacing w:val="-16"/>
          <w:sz w:val="24"/>
        </w:rPr>
        <w:t> </w:t>
      </w:r>
      <w:r>
        <w:rPr>
          <w:sz w:val="24"/>
        </w:rPr>
        <w:t>the</w:t>
      </w:r>
      <w:r>
        <w:rPr>
          <w:spacing w:val="-13"/>
          <w:sz w:val="24"/>
        </w:rPr>
        <w:t> </w:t>
      </w:r>
      <w:r>
        <w:rPr>
          <w:sz w:val="24"/>
        </w:rPr>
        <w:t>RJC</w:t>
      </w:r>
      <w:r>
        <w:rPr>
          <w:spacing w:val="-13"/>
          <w:sz w:val="24"/>
        </w:rPr>
        <w:t> </w:t>
      </w:r>
      <w:r>
        <w:rPr>
          <w:sz w:val="24"/>
        </w:rPr>
        <w:t>shall</w:t>
      </w:r>
      <w:r>
        <w:rPr>
          <w:spacing w:val="-14"/>
          <w:sz w:val="24"/>
        </w:rPr>
        <w:t> </w:t>
      </w:r>
      <w:r>
        <w:rPr>
          <w:sz w:val="24"/>
        </w:rPr>
        <w:t>be</w:t>
      </w:r>
      <w:r>
        <w:rPr>
          <w:spacing w:val="-14"/>
          <w:sz w:val="24"/>
        </w:rPr>
        <w:t> </w:t>
      </w:r>
      <w:r>
        <w:rPr>
          <w:sz w:val="24"/>
        </w:rPr>
        <w:t>determined</w:t>
      </w:r>
      <w:r>
        <w:rPr>
          <w:spacing w:val="-14"/>
          <w:sz w:val="24"/>
        </w:rPr>
        <w:t> </w:t>
      </w:r>
      <w:r>
        <w:rPr>
          <w:sz w:val="24"/>
        </w:rPr>
        <w:t>by</w:t>
      </w:r>
      <w:r>
        <w:rPr>
          <w:spacing w:val="-14"/>
          <w:sz w:val="24"/>
        </w:rPr>
        <w:t> </w:t>
      </w:r>
      <w:r>
        <w:rPr>
          <w:sz w:val="24"/>
        </w:rPr>
        <w:t>each</w:t>
      </w:r>
      <w:r>
        <w:rPr>
          <w:spacing w:val="-14"/>
          <w:sz w:val="24"/>
        </w:rPr>
        <w:t> </w:t>
      </w:r>
      <w:r>
        <w:rPr>
          <w:sz w:val="24"/>
        </w:rPr>
        <w:t>partner</w:t>
      </w:r>
      <w:r>
        <w:rPr>
          <w:spacing w:val="-15"/>
          <w:sz w:val="24"/>
        </w:rPr>
        <w:t> </w:t>
      </w:r>
      <w:r>
        <w:rPr>
          <w:sz w:val="24"/>
        </w:rPr>
        <w:t>organisation,</w:t>
      </w:r>
      <w:r>
        <w:rPr>
          <w:spacing w:val="-13"/>
          <w:sz w:val="24"/>
        </w:rPr>
        <w:t> </w:t>
      </w:r>
      <w:r>
        <w:rPr>
          <w:sz w:val="24"/>
        </w:rPr>
        <w:t>considering the balance of skills and expertise necessary to deliver the Joint Committee’s remit, and subject</w:t>
      </w:r>
      <w:r>
        <w:rPr>
          <w:spacing w:val="-13"/>
          <w:sz w:val="24"/>
        </w:rPr>
        <w:t> </w:t>
      </w:r>
      <w:r>
        <w:rPr>
          <w:sz w:val="24"/>
        </w:rPr>
        <w:t>to</w:t>
      </w:r>
      <w:r>
        <w:rPr>
          <w:spacing w:val="-10"/>
          <w:sz w:val="24"/>
        </w:rPr>
        <w:t> </w:t>
      </w:r>
      <w:r>
        <w:rPr>
          <w:sz w:val="24"/>
        </w:rPr>
        <w:t>any</w:t>
      </w:r>
      <w:r>
        <w:rPr>
          <w:spacing w:val="-11"/>
          <w:sz w:val="24"/>
        </w:rPr>
        <w:t> </w:t>
      </w:r>
      <w:r>
        <w:rPr>
          <w:sz w:val="24"/>
        </w:rPr>
        <w:t>specific</w:t>
      </w:r>
      <w:r>
        <w:rPr>
          <w:spacing w:val="-11"/>
          <w:sz w:val="24"/>
        </w:rPr>
        <w:t> </w:t>
      </w:r>
      <w:r>
        <w:rPr>
          <w:sz w:val="24"/>
        </w:rPr>
        <w:t>requirements</w:t>
      </w:r>
      <w:r>
        <w:rPr>
          <w:spacing w:val="-11"/>
          <w:sz w:val="24"/>
        </w:rPr>
        <w:t> </w:t>
      </w:r>
      <w:r>
        <w:rPr>
          <w:sz w:val="24"/>
        </w:rPr>
        <w:t>or</w:t>
      </w:r>
      <w:r>
        <w:rPr>
          <w:spacing w:val="-15"/>
          <w:sz w:val="24"/>
        </w:rPr>
        <w:t> </w:t>
      </w:r>
      <w:r>
        <w:rPr>
          <w:sz w:val="24"/>
        </w:rPr>
        <w:t>directions</w:t>
      </w:r>
      <w:r>
        <w:rPr>
          <w:spacing w:val="-6"/>
          <w:sz w:val="24"/>
        </w:rPr>
        <w:t> </w:t>
      </w:r>
      <w:r>
        <w:rPr>
          <w:sz w:val="24"/>
        </w:rPr>
        <w:t>made</w:t>
      </w:r>
      <w:r>
        <w:rPr>
          <w:spacing w:val="-10"/>
          <w:sz w:val="24"/>
        </w:rPr>
        <w:t> </w:t>
      </w:r>
      <w:r>
        <w:rPr>
          <w:sz w:val="24"/>
        </w:rPr>
        <w:t>by</w:t>
      </w:r>
      <w:r>
        <w:rPr>
          <w:spacing w:val="-11"/>
          <w:sz w:val="24"/>
        </w:rPr>
        <w:t> </w:t>
      </w:r>
      <w:r>
        <w:rPr>
          <w:sz w:val="24"/>
        </w:rPr>
        <w:t>Welsh</w:t>
      </w:r>
      <w:r>
        <w:rPr>
          <w:spacing w:val="-10"/>
          <w:sz w:val="24"/>
        </w:rPr>
        <w:t> </w:t>
      </w:r>
      <w:r>
        <w:rPr>
          <w:sz w:val="24"/>
        </w:rPr>
        <w:t>Government.</w:t>
      </w:r>
    </w:p>
    <w:p>
      <w:pPr>
        <w:pStyle w:val="ListParagraph"/>
        <w:numPr>
          <w:ilvl w:val="1"/>
          <w:numId w:val="42"/>
        </w:numPr>
        <w:tabs>
          <w:tab w:pos="850" w:val="left" w:leader="none"/>
          <w:tab w:pos="852" w:val="left" w:leader="none"/>
        </w:tabs>
        <w:spacing w:line="240" w:lineRule="auto" w:before="273" w:after="0"/>
        <w:ind w:left="852" w:right="411" w:hanging="710"/>
        <w:jc w:val="both"/>
        <w:rPr>
          <w:sz w:val="24"/>
        </w:rPr>
      </w:pPr>
      <w:r>
        <w:rPr>
          <w:sz w:val="24"/>
        </w:rPr>
        <w:t>Any senior</w:t>
      </w:r>
      <w:r>
        <w:rPr>
          <w:spacing w:val="-2"/>
          <w:sz w:val="24"/>
        </w:rPr>
        <w:t> </w:t>
      </w:r>
      <w:r>
        <w:rPr>
          <w:sz w:val="24"/>
        </w:rPr>
        <w:t>officer of the UHBs or partner organisation may, where appropriate, be invited to</w:t>
      </w:r>
      <w:r>
        <w:rPr>
          <w:spacing w:val="-7"/>
          <w:sz w:val="24"/>
        </w:rPr>
        <w:t> </w:t>
      </w:r>
      <w:r>
        <w:rPr>
          <w:sz w:val="24"/>
        </w:rPr>
        <w:t>attend,</w:t>
      </w:r>
      <w:r>
        <w:rPr>
          <w:spacing w:val="-10"/>
          <w:sz w:val="24"/>
        </w:rPr>
        <w:t> </w:t>
      </w:r>
      <w:r>
        <w:rPr>
          <w:sz w:val="24"/>
        </w:rPr>
        <w:t>for</w:t>
      </w:r>
      <w:r>
        <w:rPr>
          <w:spacing w:val="-8"/>
          <w:sz w:val="24"/>
        </w:rPr>
        <w:t> </w:t>
      </w:r>
      <w:r>
        <w:rPr>
          <w:sz w:val="24"/>
        </w:rPr>
        <w:t>either</w:t>
      </w:r>
      <w:r>
        <w:rPr>
          <w:spacing w:val="-13"/>
          <w:sz w:val="24"/>
        </w:rPr>
        <w:t> </w:t>
      </w:r>
      <w:r>
        <w:rPr>
          <w:sz w:val="24"/>
        </w:rPr>
        <w:t>all</w:t>
      </w:r>
      <w:r>
        <w:rPr>
          <w:spacing w:val="-12"/>
          <w:sz w:val="24"/>
        </w:rPr>
        <w:t> </w:t>
      </w:r>
      <w:r>
        <w:rPr>
          <w:sz w:val="24"/>
        </w:rPr>
        <w:t>or</w:t>
      </w:r>
      <w:r>
        <w:rPr>
          <w:spacing w:val="-8"/>
          <w:sz w:val="24"/>
        </w:rPr>
        <w:t> </w:t>
      </w:r>
      <w:r>
        <w:rPr>
          <w:sz w:val="24"/>
        </w:rPr>
        <w:t>part</w:t>
      </w:r>
      <w:r>
        <w:rPr>
          <w:spacing w:val="-10"/>
          <w:sz w:val="24"/>
        </w:rPr>
        <w:t> </w:t>
      </w:r>
      <w:r>
        <w:rPr>
          <w:sz w:val="24"/>
        </w:rPr>
        <w:t>of</w:t>
      </w:r>
      <w:r>
        <w:rPr>
          <w:spacing w:val="-10"/>
          <w:sz w:val="24"/>
        </w:rPr>
        <w:t> </w:t>
      </w:r>
      <w:r>
        <w:rPr>
          <w:sz w:val="24"/>
        </w:rPr>
        <w:t>a</w:t>
      </w:r>
      <w:r>
        <w:rPr>
          <w:spacing w:val="-7"/>
          <w:sz w:val="24"/>
        </w:rPr>
        <w:t> </w:t>
      </w:r>
      <w:r>
        <w:rPr>
          <w:sz w:val="24"/>
        </w:rPr>
        <w:t>meeting</w:t>
      </w:r>
      <w:r>
        <w:rPr>
          <w:spacing w:val="-7"/>
          <w:sz w:val="24"/>
        </w:rPr>
        <w:t> </w:t>
      </w:r>
      <w:r>
        <w:rPr>
          <w:sz w:val="24"/>
        </w:rPr>
        <w:t>to</w:t>
      </w:r>
      <w:r>
        <w:rPr>
          <w:spacing w:val="-7"/>
          <w:sz w:val="24"/>
        </w:rPr>
        <w:t> </w:t>
      </w:r>
      <w:r>
        <w:rPr>
          <w:sz w:val="24"/>
        </w:rPr>
        <w:t>assist</w:t>
      </w:r>
      <w:r>
        <w:rPr>
          <w:spacing w:val="-10"/>
          <w:sz w:val="24"/>
        </w:rPr>
        <w:t> </w:t>
      </w:r>
      <w:r>
        <w:rPr>
          <w:sz w:val="24"/>
        </w:rPr>
        <w:t>with</w:t>
      </w:r>
      <w:r>
        <w:rPr>
          <w:spacing w:val="-7"/>
          <w:sz w:val="24"/>
        </w:rPr>
        <w:t> </w:t>
      </w:r>
      <w:r>
        <w:rPr>
          <w:sz w:val="24"/>
        </w:rPr>
        <w:t>discussions</w:t>
      </w:r>
      <w:r>
        <w:rPr>
          <w:spacing w:val="-8"/>
          <w:sz w:val="24"/>
        </w:rPr>
        <w:t> </w:t>
      </w:r>
      <w:r>
        <w:rPr>
          <w:sz w:val="24"/>
        </w:rPr>
        <w:t>on</w:t>
      </w:r>
      <w:r>
        <w:rPr>
          <w:spacing w:val="-12"/>
          <w:sz w:val="24"/>
        </w:rPr>
        <w:t> </w:t>
      </w:r>
      <w:r>
        <w:rPr>
          <w:sz w:val="24"/>
        </w:rPr>
        <w:t>a</w:t>
      </w:r>
      <w:r>
        <w:rPr>
          <w:spacing w:val="-7"/>
          <w:sz w:val="24"/>
        </w:rPr>
        <w:t> </w:t>
      </w:r>
      <w:r>
        <w:rPr>
          <w:sz w:val="24"/>
        </w:rPr>
        <w:t>particular</w:t>
      </w:r>
      <w:r>
        <w:rPr>
          <w:spacing w:val="-13"/>
          <w:sz w:val="24"/>
        </w:rPr>
        <w:t> </w:t>
      </w:r>
      <w:r>
        <w:rPr>
          <w:sz w:val="24"/>
        </w:rPr>
        <w:t>matter.</w:t>
      </w:r>
    </w:p>
    <w:p>
      <w:pPr>
        <w:pStyle w:val="BodyText"/>
        <w:spacing w:before="1"/>
      </w:pPr>
    </w:p>
    <w:p>
      <w:pPr>
        <w:pStyle w:val="ListParagraph"/>
        <w:numPr>
          <w:ilvl w:val="1"/>
          <w:numId w:val="42"/>
        </w:numPr>
        <w:tabs>
          <w:tab w:pos="852" w:val="left" w:leader="none"/>
        </w:tabs>
        <w:spacing w:line="275" w:lineRule="exact" w:before="1" w:after="0"/>
        <w:ind w:left="852" w:right="0" w:hanging="710"/>
        <w:jc w:val="left"/>
        <w:rPr>
          <w:sz w:val="24"/>
        </w:rPr>
      </w:pPr>
      <w:r>
        <w:rPr>
          <w:sz w:val="24"/>
        </w:rPr>
        <w:t>The</w:t>
      </w:r>
      <w:r>
        <w:rPr>
          <w:spacing w:val="51"/>
          <w:sz w:val="24"/>
        </w:rPr>
        <w:t> </w:t>
      </w:r>
      <w:r>
        <w:rPr>
          <w:sz w:val="24"/>
        </w:rPr>
        <w:t>RJC</w:t>
      </w:r>
      <w:r>
        <w:rPr>
          <w:spacing w:val="52"/>
          <w:sz w:val="24"/>
        </w:rPr>
        <w:t> </w:t>
      </w:r>
      <w:r>
        <w:rPr>
          <w:sz w:val="24"/>
        </w:rPr>
        <w:t>may</w:t>
      </w:r>
      <w:r>
        <w:rPr>
          <w:spacing w:val="44"/>
          <w:sz w:val="24"/>
        </w:rPr>
        <w:t> </w:t>
      </w:r>
      <w:r>
        <w:rPr>
          <w:sz w:val="24"/>
        </w:rPr>
        <w:t>also</w:t>
      </w:r>
      <w:r>
        <w:rPr>
          <w:spacing w:val="51"/>
          <w:sz w:val="24"/>
        </w:rPr>
        <w:t> </w:t>
      </w:r>
      <w:r>
        <w:rPr>
          <w:sz w:val="24"/>
        </w:rPr>
        <w:t>co-opt</w:t>
      </w:r>
      <w:r>
        <w:rPr>
          <w:spacing w:val="48"/>
          <w:sz w:val="24"/>
        </w:rPr>
        <w:t> </w:t>
      </w:r>
      <w:r>
        <w:rPr>
          <w:sz w:val="24"/>
        </w:rPr>
        <w:t>additional</w:t>
      </w:r>
      <w:r>
        <w:rPr>
          <w:spacing w:val="45"/>
          <w:sz w:val="24"/>
        </w:rPr>
        <w:t> </w:t>
      </w:r>
      <w:r>
        <w:rPr>
          <w:sz w:val="24"/>
        </w:rPr>
        <w:t>independent</w:t>
      </w:r>
      <w:r>
        <w:rPr>
          <w:spacing w:val="48"/>
          <w:sz w:val="24"/>
        </w:rPr>
        <w:t> </w:t>
      </w:r>
      <w:r>
        <w:rPr>
          <w:sz w:val="24"/>
        </w:rPr>
        <w:t>external</w:t>
      </w:r>
      <w:r>
        <w:rPr>
          <w:spacing w:val="51"/>
          <w:sz w:val="24"/>
        </w:rPr>
        <w:t> </w:t>
      </w:r>
      <w:r>
        <w:rPr>
          <w:sz w:val="24"/>
        </w:rPr>
        <w:t>“experts”</w:t>
      </w:r>
      <w:r>
        <w:rPr>
          <w:spacing w:val="49"/>
          <w:sz w:val="24"/>
        </w:rPr>
        <w:t> </w:t>
      </w:r>
      <w:r>
        <w:rPr>
          <w:sz w:val="24"/>
        </w:rPr>
        <w:t>from</w:t>
      </w:r>
      <w:r>
        <w:rPr>
          <w:spacing w:val="50"/>
          <w:sz w:val="24"/>
        </w:rPr>
        <w:t> </w:t>
      </w:r>
      <w:r>
        <w:rPr>
          <w:sz w:val="24"/>
        </w:rPr>
        <w:t>outside</w:t>
      </w:r>
      <w:r>
        <w:rPr>
          <w:spacing w:val="51"/>
          <w:sz w:val="24"/>
        </w:rPr>
        <w:t> </w:t>
      </w:r>
      <w:r>
        <w:rPr>
          <w:spacing w:val="-5"/>
          <w:sz w:val="24"/>
        </w:rPr>
        <w:t>the</w:t>
      </w:r>
    </w:p>
    <w:p>
      <w:pPr>
        <w:pStyle w:val="BodyText"/>
        <w:spacing w:line="275" w:lineRule="exact"/>
        <w:ind w:left="852"/>
      </w:pPr>
      <w:r>
        <w:rPr/>
        <w:t>organisation</w:t>
      </w:r>
      <w:r>
        <w:rPr>
          <w:spacing w:val="-4"/>
        </w:rPr>
        <w:t> </w:t>
      </w:r>
      <w:r>
        <w:rPr/>
        <w:t>to</w:t>
      </w:r>
      <w:r>
        <w:rPr>
          <w:spacing w:val="-4"/>
        </w:rPr>
        <w:t> </w:t>
      </w:r>
      <w:r>
        <w:rPr/>
        <w:t>contribute</w:t>
      </w:r>
      <w:r>
        <w:rPr>
          <w:spacing w:val="-4"/>
        </w:rPr>
        <w:t> </w:t>
      </w:r>
      <w:r>
        <w:rPr/>
        <w:t>to</w:t>
      </w:r>
      <w:r>
        <w:rPr>
          <w:spacing w:val="-3"/>
        </w:rPr>
        <w:t> </w:t>
      </w:r>
      <w:r>
        <w:rPr/>
        <w:t>specialised</w:t>
      </w:r>
      <w:r>
        <w:rPr>
          <w:spacing w:val="-4"/>
        </w:rPr>
        <w:t> </w:t>
      </w:r>
      <w:r>
        <w:rPr/>
        <w:t>areas</w:t>
      </w:r>
      <w:r>
        <w:rPr>
          <w:spacing w:val="-5"/>
        </w:rPr>
        <w:t> </w:t>
      </w:r>
      <w:r>
        <w:rPr/>
        <w:t>of</w:t>
      </w:r>
      <w:r>
        <w:rPr>
          <w:spacing w:val="-6"/>
        </w:rPr>
        <w:t> </w:t>
      </w:r>
      <w:r>
        <w:rPr>
          <w:spacing w:val="-2"/>
        </w:rPr>
        <w:t>discussion.</w:t>
      </w:r>
    </w:p>
    <w:p>
      <w:pPr>
        <w:pStyle w:val="BodyText"/>
        <w:spacing w:before="48"/>
      </w:pPr>
    </w:p>
    <w:p>
      <w:pPr>
        <w:pStyle w:val="ListParagraph"/>
        <w:numPr>
          <w:ilvl w:val="1"/>
          <w:numId w:val="42"/>
        </w:numPr>
        <w:tabs>
          <w:tab w:pos="850" w:val="left" w:leader="none"/>
          <w:tab w:pos="852" w:val="left" w:leader="none"/>
        </w:tabs>
        <w:spacing w:line="240" w:lineRule="auto" w:before="0" w:after="0"/>
        <w:ind w:left="852" w:right="424" w:hanging="710"/>
        <w:jc w:val="both"/>
        <w:rPr>
          <w:sz w:val="24"/>
        </w:rPr>
      </w:pPr>
      <w:r>
        <w:rPr>
          <w:sz w:val="24"/>
        </w:rPr>
        <w:t>Should any member be unavailable to attend, they may nominate a deputy to attend in their place, subject to the agreement of both Co-Chairs.</w:t>
      </w:r>
    </w:p>
    <w:p>
      <w:pPr>
        <w:pStyle w:val="BodyText"/>
        <w:spacing w:before="42"/>
      </w:pPr>
    </w:p>
    <w:p>
      <w:pPr>
        <w:pStyle w:val="ListParagraph"/>
        <w:numPr>
          <w:ilvl w:val="1"/>
          <w:numId w:val="42"/>
        </w:numPr>
        <w:tabs>
          <w:tab w:pos="850" w:val="left" w:leader="none"/>
          <w:tab w:pos="852" w:val="left" w:leader="none"/>
        </w:tabs>
        <w:spacing w:line="242" w:lineRule="auto" w:before="0" w:after="0"/>
        <w:ind w:left="852" w:right="428" w:hanging="710"/>
        <w:jc w:val="both"/>
        <w:rPr>
          <w:sz w:val="24"/>
        </w:rPr>
      </w:pPr>
      <w:r>
        <w:rPr>
          <w:sz w:val="24"/>
        </w:rPr>
        <w:t>The RJC may ask any or all of those who normally attend but who are not members to withdraw to facilitate open and frank discussion of particular matters.</w:t>
      </w:r>
    </w:p>
    <w:p>
      <w:pPr>
        <w:pStyle w:val="BodyText"/>
        <w:spacing w:before="74"/>
        <w:rPr>
          <w:sz w:val="20"/>
        </w:rPr>
      </w:pPr>
      <w:r>
        <w:rPr>
          <w:sz w:val="20"/>
        </w:rPr>
        <mc:AlternateContent>
          <mc:Choice Requires="wps">
            <w:drawing>
              <wp:anchor distT="0" distB="0" distL="0" distR="0" allowOverlap="1" layoutInCell="1" locked="0" behindDoc="1" simplePos="0" relativeHeight="487655936">
                <wp:simplePos x="0" y="0"/>
                <wp:positionH relativeFrom="page">
                  <wp:posOffset>574992</wp:posOffset>
                </wp:positionH>
                <wp:positionV relativeFrom="paragraph">
                  <wp:posOffset>215046</wp:posOffset>
                </wp:positionV>
                <wp:extent cx="6553200" cy="193675"/>
                <wp:effectExtent l="0" t="0" r="0" b="0"/>
                <wp:wrapTopAndBottom/>
                <wp:docPr id="442" name="Textbox 442"/>
                <wp:cNvGraphicFramePr>
                  <a:graphicFrameLocks/>
                </wp:cNvGraphicFramePr>
                <a:graphic>
                  <a:graphicData uri="http://schemas.microsoft.com/office/word/2010/wordprocessingShape">
                    <wps:wsp>
                      <wps:cNvPr id="442" name="Textbox 442"/>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8.</w:t>
                            </w:r>
                            <w:r>
                              <w:rPr>
                                <w:b/>
                                <w:color w:val="000000"/>
                                <w:spacing w:val="29"/>
                                <w:sz w:val="24"/>
                              </w:rPr>
                              <w:t>  </w:t>
                            </w:r>
                            <w:r>
                              <w:rPr>
                                <w:b/>
                                <w:color w:val="000000"/>
                                <w:sz w:val="24"/>
                              </w:rPr>
                              <w:t>Agenda</w:t>
                            </w:r>
                            <w:r>
                              <w:rPr>
                                <w:b/>
                                <w:color w:val="000000"/>
                                <w:spacing w:val="1"/>
                                <w:sz w:val="24"/>
                              </w:rPr>
                              <w:t> </w:t>
                            </w:r>
                            <w:r>
                              <w:rPr>
                                <w:b/>
                                <w:color w:val="000000"/>
                                <w:sz w:val="24"/>
                              </w:rPr>
                              <w:t>and</w:t>
                            </w:r>
                            <w:r>
                              <w:rPr>
                                <w:b/>
                                <w:color w:val="000000"/>
                                <w:spacing w:val="-4"/>
                                <w:sz w:val="24"/>
                              </w:rPr>
                              <w:t> </w:t>
                            </w:r>
                            <w:r>
                              <w:rPr>
                                <w:b/>
                                <w:color w:val="000000"/>
                                <w:spacing w:val="-2"/>
                                <w:sz w:val="24"/>
                              </w:rPr>
                              <w:t>Papers</w:t>
                            </w:r>
                          </w:p>
                        </w:txbxContent>
                      </wps:txbx>
                      <wps:bodyPr wrap="square" lIns="0" tIns="0" rIns="0" bIns="0" rtlCol="0">
                        <a:noAutofit/>
                      </wps:bodyPr>
                    </wps:wsp>
                  </a:graphicData>
                </a:graphic>
              </wp:anchor>
            </w:drawing>
          </mc:Choice>
          <mc:Fallback>
            <w:pict>
              <v:shape style="position:absolute;margin-left:45.275002pt;margin-top:16.932774pt;width:516pt;height:15.25pt;mso-position-horizontal-relative:page;mso-position-vertical-relative:paragraph;z-index:-15660544;mso-wrap-distance-left:0;mso-wrap-distance-right:0" type="#_x0000_t202" id="docshape225" filled="true" fillcolor="#c1a875" stroked="true" strokeweight="1pt" strokecolor="#394871">
                <v:textbox inset="0,0,0,0">
                  <w:txbxContent>
                    <w:p>
                      <w:pPr>
                        <w:spacing w:before="0"/>
                        <w:ind w:left="95" w:right="0" w:firstLine="0"/>
                        <w:jc w:val="left"/>
                        <w:rPr>
                          <w:b/>
                          <w:color w:val="000000"/>
                          <w:sz w:val="24"/>
                        </w:rPr>
                      </w:pPr>
                      <w:r>
                        <w:rPr>
                          <w:b/>
                          <w:color w:val="000000"/>
                          <w:sz w:val="24"/>
                        </w:rPr>
                        <w:t>8.</w:t>
                      </w:r>
                      <w:r>
                        <w:rPr>
                          <w:b/>
                          <w:color w:val="000000"/>
                          <w:spacing w:val="29"/>
                          <w:sz w:val="24"/>
                        </w:rPr>
                        <w:t>  </w:t>
                      </w:r>
                      <w:r>
                        <w:rPr>
                          <w:b/>
                          <w:color w:val="000000"/>
                          <w:sz w:val="24"/>
                        </w:rPr>
                        <w:t>Agenda</w:t>
                      </w:r>
                      <w:r>
                        <w:rPr>
                          <w:b/>
                          <w:color w:val="000000"/>
                          <w:spacing w:val="1"/>
                          <w:sz w:val="24"/>
                        </w:rPr>
                        <w:t> </w:t>
                      </w:r>
                      <w:r>
                        <w:rPr>
                          <w:b/>
                          <w:color w:val="000000"/>
                          <w:sz w:val="24"/>
                        </w:rPr>
                        <w:t>and</w:t>
                      </w:r>
                      <w:r>
                        <w:rPr>
                          <w:b/>
                          <w:color w:val="000000"/>
                          <w:spacing w:val="-4"/>
                          <w:sz w:val="24"/>
                        </w:rPr>
                        <w:t> </w:t>
                      </w:r>
                      <w:r>
                        <w:rPr>
                          <w:b/>
                          <w:color w:val="000000"/>
                          <w:spacing w:val="-2"/>
                          <w:sz w:val="24"/>
                        </w:rPr>
                        <w:t>Papers</w:t>
                      </w:r>
                    </w:p>
                  </w:txbxContent>
                </v:textbox>
                <v:fill type="solid"/>
                <v:stroke dashstyle="solid"/>
                <w10:wrap type="topAndBottom"/>
              </v:shape>
            </w:pict>
          </mc:Fallback>
        </mc:AlternateContent>
      </w:r>
    </w:p>
    <w:p>
      <w:pPr>
        <w:pStyle w:val="BodyText"/>
        <w:spacing w:before="8"/>
      </w:pPr>
    </w:p>
    <w:p>
      <w:pPr>
        <w:pStyle w:val="ListParagraph"/>
        <w:numPr>
          <w:ilvl w:val="1"/>
          <w:numId w:val="43"/>
        </w:numPr>
        <w:tabs>
          <w:tab w:pos="852" w:val="left" w:leader="none"/>
        </w:tabs>
        <w:spacing w:line="240" w:lineRule="auto" w:before="1" w:after="0"/>
        <w:ind w:left="852" w:right="794" w:hanging="710"/>
        <w:jc w:val="left"/>
        <w:rPr>
          <w:sz w:val="24"/>
        </w:rPr>
      </w:pPr>
      <w:r>
        <w:rPr>
          <w:spacing w:val="-2"/>
          <w:sz w:val="24"/>
        </w:rPr>
        <w:t>The</w:t>
      </w:r>
      <w:r>
        <w:rPr>
          <w:spacing w:val="-13"/>
          <w:sz w:val="24"/>
        </w:rPr>
        <w:t> </w:t>
      </w:r>
      <w:r>
        <w:rPr>
          <w:spacing w:val="-2"/>
          <w:sz w:val="24"/>
        </w:rPr>
        <w:t>Committee</w:t>
      </w:r>
      <w:r>
        <w:rPr>
          <w:spacing w:val="-10"/>
          <w:sz w:val="24"/>
        </w:rPr>
        <w:t> </w:t>
      </w:r>
      <w:r>
        <w:rPr>
          <w:spacing w:val="-2"/>
          <w:sz w:val="24"/>
        </w:rPr>
        <w:t>Secretary</w:t>
      </w:r>
      <w:r>
        <w:rPr>
          <w:spacing w:val="-11"/>
          <w:sz w:val="24"/>
        </w:rPr>
        <w:t> </w:t>
      </w:r>
      <w:r>
        <w:rPr>
          <w:spacing w:val="-2"/>
          <w:sz w:val="24"/>
        </w:rPr>
        <w:t>is</w:t>
      </w:r>
      <w:r>
        <w:rPr>
          <w:spacing w:val="-6"/>
          <w:sz w:val="24"/>
        </w:rPr>
        <w:t> </w:t>
      </w:r>
      <w:r>
        <w:rPr>
          <w:spacing w:val="-2"/>
          <w:sz w:val="24"/>
        </w:rPr>
        <w:t>to</w:t>
      </w:r>
      <w:r>
        <w:rPr>
          <w:spacing w:val="-10"/>
          <w:sz w:val="24"/>
        </w:rPr>
        <w:t> </w:t>
      </w:r>
      <w:r>
        <w:rPr>
          <w:spacing w:val="-2"/>
          <w:sz w:val="24"/>
        </w:rPr>
        <w:t>hold</w:t>
      </w:r>
      <w:r>
        <w:rPr>
          <w:spacing w:val="-10"/>
          <w:sz w:val="24"/>
        </w:rPr>
        <w:t> </w:t>
      </w:r>
      <w:r>
        <w:rPr>
          <w:spacing w:val="-2"/>
          <w:sz w:val="24"/>
        </w:rPr>
        <w:t>an</w:t>
      </w:r>
      <w:r>
        <w:rPr>
          <w:spacing w:val="-10"/>
          <w:sz w:val="24"/>
        </w:rPr>
        <w:t> </w:t>
      </w:r>
      <w:r>
        <w:rPr>
          <w:spacing w:val="-2"/>
          <w:sz w:val="24"/>
        </w:rPr>
        <w:t>agenda</w:t>
      </w:r>
      <w:r>
        <w:rPr>
          <w:spacing w:val="-10"/>
          <w:sz w:val="24"/>
        </w:rPr>
        <w:t> </w:t>
      </w:r>
      <w:r>
        <w:rPr>
          <w:spacing w:val="-2"/>
          <w:sz w:val="24"/>
        </w:rPr>
        <w:t>setting</w:t>
      </w:r>
      <w:r>
        <w:rPr>
          <w:spacing w:val="-10"/>
          <w:sz w:val="24"/>
        </w:rPr>
        <w:t> </w:t>
      </w:r>
      <w:r>
        <w:rPr>
          <w:spacing w:val="-2"/>
          <w:sz w:val="24"/>
        </w:rPr>
        <w:t>meeting</w:t>
      </w:r>
      <w:r>
        <w:rPr>
          <w:spacing w:val="-10"/>
          <w:sz w:val="24"/>
        </w:rPr>
        <w:t> </w:t>
      </w:r>
      <w:r>
        <w:rPr>
          <w:spacing w:val="-2"/>
          <w:sz w:val="24"/>
        </w:rPr>
        <w:t>with</w:t>
      </w:r>
      <w:r>
        <w:rPr>
          <w:spacing w:val="-10"/>
          <w:sz w:val="24"/>
        </w:rPr>
        <w:t> </w:t>
      </w:r>
      <w:r>
        <w:rPr>
          <w:spacing w:val="-2"/>
          <w:sz w:val="24"/>
        </w:rPr>
        <w:t>the</w:t>
      </w:r>
      <w:r>
        <w:rPr>
          <w:spacing w:val="-10"/>
          <w:sz w:val="24"/>
        </w:rPr>
        <w:t> </w:t>
      </w:r>
      <w:r>
        <w:rPr>
          <w:spacing w:val="-2"/>
          <w:sz w:val="24"/>
        </w:rPr>
        <w:t>Chair</w:t>
      </w:r>
      <w:r>
        <w:rPr>
          <w:spacing w:val="-11"/>
          <w:sz w:val="24"/>
        </w:rPr>
        <w:t> </w:t>
      </w:r>
      <w:r>
        <w:rPr>
          <w:spacing w:val="-2"/>
          <w:sz w:val="24"/>
        </w:rPr>
        <w:t>at</w:t>
      </w:r>
      <w:r>
        <w:rPr>
          <w:spacing w:val="-15"/>
          <w:sz w:val="24"/>
        </w:rPr>
        <w:t> </w:t>
      </w:r>
      <w:r>
        <w:rPr>
          <w:spacing w:val="-2"/>
          <w:sz w:val="24"/>
        </w:rPr>
        <w:t>least</w:t>
      </w:r>
      <w:r>
        <w:rPr>
          <w:spacing w:val="-13"/>
          <w:sz w:val="24"/>
        </w:rPr>
        <w:t> </w:t>
      </w:r>
      <w:r>
        <w:rPr>
          <w:spacing w:val="-2"/>
          <w:sz w:val="24"/>
        </w:rPr>
        <w:t>six </w:t>
      </w:r>
      <w:r>
        <w:rPr>
          <w:sz w:val="24"/>
        </w:rPr>
        <w:t>weeks before the meeting date.</w:t>
      </w:r>
    </w:p>
    <w:p>
      <w:pPr>
        <w:pStyle w:val="BodyText"/>
        <w:spacing w:before="2"/>
      </w:pPr>
    </w:p>
    <w:p>
      <w:pPr>
        <w:pStyle w:val="ListParagraph"/>
        <w:numPr>
          <w:ilvl w:val="1"/>
          <w:numId w:val="43"/>
        </w:numPr>
        <w:tabs>
          <w:tab w:pos="850" w:val="left" w:leader="none"/>
          <w:tab w:pos="852" w:val="left" w:leader="none"/>
        </w:tabs>
        <w:spacing w:line="240" w:lineRule="auto" w:before="0" w:after="0"/>
        <w:ind w:left="852" w:right="413" w:hanging="710"/>
        <w:jc w:val="both"/>
        <w:rPr>
          <w:sz w:val="24"/>
        </w:rPr>
      </w:pPr>
      <w:r>
        <w:rPr>
          <w:sz w:val="24"/>
        </w:rPr>
        <w:t>The</w:t>
      </w:r>
      <w:r>
        <w:rPr>
          <w:spacing w:val="-15"/>
          <w:sz w:val="24"/>
        </w:rPr>
        <w:t> </w:t>
      </w:r>
      <w:r>
        <w:rPr>
          <w:sz w:val="24"/>
        </w:rPr>
        <w:t>agenda</w:t>
      </w:r>
      <w:r>
        <w:rPr>
          <w:spacing w:val="-15"/>
          <w:sz w:val="24"/>
        </w:rPr>
        <w:t> </w:t>
      </w:r>
      <w:r>
        <w:rPr>
          <w:sz w:val="24"/>
        </w:rPr>
        <w:t>will</w:t>
      </w:r>
      <w:r>
        <w:rPr>
          <w:spacing w:val="-11"/>
          <w:sz w:val="24"/>
        </w:rPr>
        <w:t> </w:t>
      </w:r>
      <w:r>
        <w:rPr>
          <w:sz w:val="24"/>
        </w:rPr>
        <w:t>be</w:t>
      </w:r>
      <w:r>
        <w:rPr>
          <w:spacing w:val="-15"/>
          <w:sz w:val="24"/>
        </w:rPr>
        <w:t> </w:t>
      </w:r>
      <w:r>
        <w:rPr>
          <w:sz w:val="24"/>
        </w:rPr>
        <w:t>based</w:t>
      </w:r>
      <w:r>
        <w:rPr>
          <w:spacing w:val="-15"/>
          <w:sz w:val="24"/>
        </w:rPr>
        <w:t> </w:t>
      </w:r>
      <w:r>
        <w:rPr>
          <w:sz w:val="24"/>
        </w:rPr>
        <w:t>around</w:t>
      </w:r>
      <w:r>
        <w:rPr>
          <w:spacing w:val="-11"/>
          <w:sz w:val="24"/>
        </w:rPr>
        <w:t> </w:t>
      </w:r>
      <w:r>
        <w:rPr>
          <w:sz w:val="24"/>
        </w:rPr>
        <w:t>the</w:t>
      </w:r>
      <w:r>
        <w:rPr>
          <w:spacing w:val="-12"/>
          <w:sz w:val="24"/>
        </w:rPr>
        <w:t> </w:t>
      </w:r>
      <w:r>
        <w:rPr>
          <w:sz w:val="24"/>
        </w:rPr>
        <w:t>RJC’s</w:t>
      </w:r>
      <w:r>
        <w:rPr>
          <w:spacing w:val="-16"/>
          <w:sz w:val="24"/>
        </w:rPr>
        <w:t> </w:t>
      </w:r>
      <w:r>
        <w:rPr>
          <w:sz w:val="24"/>
        </w:rPr>
        <w:t>work</w:t>
      </w:r>
      <w:r>
        <w:rPr>
          <w:spacing w:val="-16"/>
          <w:sz w:val="24"/>
        </w:rPr>
        <w:t> </w:t>
      </w:r>
      <w:r>
        <w:rPr>
          <w:sz w:val="24"/>
        </w:rPr>
        <w:t>plan,</w:t>
      </w:r>
      <w:r>
        <w:rPr>
          <w:spacing w:val="-17"/>
          <w:sz w:val="24"/>
        </w:rPr>
        <w:t> </w:t>
      </w:r>
      <w:r>
        <w:rPr>
          <w:sz w:val="24"/>
        </w:rPr>
        <w:t>identified</w:t>
      </w:r>
      <w:r>
        <w:rPr>
          <w:spacing w:val="-11"/>
          <w:sz w:val="24"/>
        </w:rPr>
        <w:t> </w:t>
      </w:r>
      <w:r>
        <w:rPr>
          <w:sz w:val="24"/>
        </w:rPr>
        <w:t>risks,</w:t>
      </w:r>
      <w:r>
        <w:rPr>
          <w:spacing w:val="-12"/>
          <w:sz w:val="24"/>
        </w:rPr>
        <w:t> </w:t>
      </w:r>
      <w:r>
        <w:rPr>
          <w:sz w:val="24"/>
        </w:rPr>
        <w:t>matters</w:t>
      </w:r>
      <w:r>
        <w:rPr>
          <w:spacing w:val="-12"/>
          <w:sz w:val="24"/>
        </w:rPr>
        <w:t> </w:t>
      </w:r>
      <w:r>
        <w:rPr>
          <w:sz w:val="24"/>
        </w:rPr>
        <w:t>arising</w:t>
      </w:r>
      <w:r>
        <w:rPr>
          <w:spacing w:val="-10"/>
          <w:sz w:val="24"/>
        </w:rPr>
        <w:t> </w:t>
      </w:r>
      <w:r>
        <w:rPr>
          <w:sz w:val="24"/>
        </w:rPr>
        <w:t>from previous</w:t>
      </w:r>
      <w:r>
        <w:rPr>
          <w:spacing w:val="-13"/>
          <w:sz w:val="24"/>
        </w:rPr>
        <w:t> </w:t>
      </w:r>
      <w:r>
        <w:rPr>
          <w:sz w:val="24"/>
        </w:rPr>
        <w:t>meetings,</w:t>
      </w:r>
      <w:r>
        <w:rPr>
          <w:spacing w:val="-13"/>
          <w:sz w:val="24"/>
        </w:rPr>
        <w:t> </w:t>
      </w:r>
      <w:r>
        <w:rPr>
          <w:sz w:val="24"/>
        </w:rPr>
        <w:t>issues</w:t>
      </w:r>
      <w:r>
        <w:rPr>
          <w:spacing w:val="-12"/>
          <w:sz w:val="24"/>
        </w:rPr>
        <w:t> </w:t>
      </w:r>
      <w:r>
        <w:rPr>
          <w:sz w:val="24"/>
        </w:rPr>
        <w:t>emerging</w:t>
      </w:r>
      <w:r>
        <w:rPr>
          <w:spacing w:val="-7"/>
          <w:sz w:val="24"/>
        </w:rPr>
        <w:t> </w:t>
      </w:r>
      <w:r>
        <w:rPr>
          <w:sz w:val="24"/>
        </w:rPr>
        <w:t>throughout</w:t>
      </w:r>
      <w:r>
        <w:rPr>
          <w:spacing w:val="-14"/>
          <w:sz w:val="24"/>
        </w:rPr>
        <w:t> </w:t>
      </w:r>
      <w:r>
        <w:rPr>
          <w:sz w:val="24"/>
        </w:rPr>
        <w:t>the</w:t>
      </w:r>
      <w:r>
        <w:rPr>
          <w:spacing w:val="-16"/>
          <w:sz w:val="24"/>
        </w:rPr>
        <w:t> </w:t>
      </w:r>
      <w:r>
        <w:rPr>
          <w:sz w:val="24"/>
        </w:rPr>
        <w:t>year,</w:t>
      </w:r>
      <w:r>
        <w:rPr>
          <w:spacing w:val="-17"/>
          <w:sz w:val="24"/>
        </w:rPr>
        <w:t> </w:t>
      </w:r>
      <w:r>
        <w:rPr>
          <w:sz w:val="24"/>
        </w:rPr>
        <w:t>and</w:t>
      </w:r>
      <w:r>
        <w:rPr>
          <w:spacing w:val="-11"/>
          <w:sz w:val="24"/>
        </w:rPr>
        <w:t> </w:t>
      </w:r>
      <w:r>
        <w:rPr>
          <w:sz w:val="24"/>
        </w:rPr>
        <w:t>requests</w:t>
      </w:r>
      <w:r>
        <w:rPr>
          <w:spacing w:val="-12"/>
          <w:sz w:val="24"/>
        </w:rPr>
        <w:t> </w:t>
      </w:r>
      <w:r>
        <w:rPr>
          <w:sz w:val="24"/>
        </w:rPr>
        <w:t>from</w:t>
      </w:r>
      <w:r>
        <w:rPr>
          <w:spacing w:val="30"/>
          <w:sz w:val="24"/>
        </w:rPr>
        <w:t> </w:t>
      </w:r>
      <w:r>
        <w:rPr>
          <w:sz w:val="24"/>
        </w:rPr>
        <w:t>members.</w:t>
      </w:r>
    </w:p>
    <w:p>
      <w:pPr>
        <w:pStyle w:val="ListParagraph"/>
        <w:numPr>
          <w:ilvl w:val="1"/>
          <w:numId w:val="43"/>
        </w:numPr>
        <w:tabs>
          <w:tab w:pos="852" w:val="left" w:leader="none"/>
        </w:tabs>
        <w:spacing w:line="240" w:lineRule="auto" w:before="273" w:after="0"/>
        <w:ind w:left="852" w:right="0" w:hanging="710"/>
        <w:jc w:val="left"/>
        <w:rPr>
          <w:sz w:val="24"/>
        </w:rPr>
      </w:pPr>
      <w:r>
        <w:rPr>
          <w:spacing w:val="-2"/>
          <w:sz w:val="24"/>
        </w:rPr>
        <w:t>All</w:t>
      </w:r>
      <w:r>
        <w:rPr>
          <w:spacing w:val="-17"/>
          <w:sz w:val="24"/>
        </w:rPr>
        <w:t> </w:t>
      </w:r>
      <w:r>
        <w:rPr>
          <w:spacing w:val="-2"/>
          <w:sz w:val="24"/>
        </w:rPr>
        <w:t>papers</w:t>
      </w:r>
      <w:r>
        <w:rPr>
          <w:spacing w:val="-7"/>
          <w:sz w:val="24"/>
        </w:rPr>
        <w:t> </w:t>
      </w:r>
      <w:r>
        <w:rPr>
          <w:spacing w:val="-2"/>
          <w:sz w:val="24"/>
        </w:rPr>
        <w:t>must</w:t>
      </w:r>
      <w:r>
        <w:rPr>
          <w:spacing w:val="-13"/>
          <w:sz w:val="24"/>
        </w:rPr>
        <w:t> </w:t>
      </w:r>
      <w:r>
        <w:rPr>
          <w:spacing w:val="-2"/>
          <w:sz w:val="24"/>
        </w:rPr>
        <w:t>be</w:t>
      </w:r>
      <w:r>
        <w:rPr>
          <w:spacing w:val="-11"/>
          <w:sz w:val="24"/>
        </w:rPr>
        <w:t> </w:t>
      </w:r>
      <w:r>
        <w:rPr>
          <w:spacing w:val="-2"/>
          <w:sz w:val="24"/>
        </w:rPr>
        <w:t>approved</w:t>
      </w:r>
      <w:r>
        <w:rPr>
          <w:spacing w:val="-10"/>
          <w:sz w:val="24"/>
        </w:rPr>
        <w:t> </w:t>
      </w:r>
      <w:r>
        <w:rPr>
          <w:spacing w:val="-2"/>
          <w:sz w:val="24"/>
        </w:rPr>
        <w:t>by</w:t>
      </w:r>
      <w:r>
        <w:rPr>
          <w:spacing w:val="-7"/>
          <w:sz w:val="24"/>
        </w:rPr>
        <w:t> </w:t>
      </w:r>
      <w:r>
        <w:rPr>
          <w:spacing w:val="-2"/>
          <w:sz w:val="24"/>
        </w:rPr>
        <w:t>the</w:t>
      </w:r>
      <w:r>
        <w:rPr>
          <w:spacing w:val="-10"/>
          <w:sz w:val="24"/>
        </w:rPr>
        <w:t> </w:t>
      </w:r>
      <w:r>
        <w:rPr>
          <w:spacing w:val="-2"/>
          <w:sz w:val="24"/>
        </w:rPr>
        <w:t>Lead/</w:t>
      </w:r>
      <w:r>
        <w:rPr>
          <w:spacing w:val="-13"/>
          <w:sz w:val="24"/>
        </w:rPr>
        <w:t> </w:t>
      </w:r>
      <w:r>
        <w:rPr>
          <w:spacing w:val="-2"/>
          <w:sz w:val="24"/>
        </w:rPr>
        <w:t>relevant</w:t>
      </w:r>
      <w:r>
        <w:rPr>
          <w:spacing w:val="-13"/>
          <w:sz w:val="24"/>
        </w:rPr>
        <w:t> </w:t>
      </w:r>
      <w:r>
        <w:rPr>
          <w:spacing w:val="-2"/>
          <w:sz w:val="24"/>
        </w:rPr>
        <w:t>Director.</w:t>
      </w:r>
    </w:p>
    <w:p>
      <w:pPr>
        <w:pStyle w:val="BodyText"/>
        <w:spacing w:before="3"/>
      </w:pPr>
    </w:p>
    <w:p>
      <w:pPr>
        <w:pStyle w:val="ListParagraph"/>
        <w:numPr>
          <w:ilvl w:val="1"/>
          <w:numId w:val="43"/>
        </w:numPr>
        <w:tabs>
          <w:tab w:pos="860" w:val="left" w:leader="none"/>
          <w:tab w:pos="862" w:val="left" w:leader="none"/>
        </w:tabs>
        <w:spacing w:line="240" w:lineRule="auto" w:before="0" w:after="0"/>
        <w:ind w:left="862" w:right="417" w:hanging="720"/>
        <w:jc w:val="both"/>
        <w:rPr>
          <w:sz w:val="24"/>
        </w:rPr>
      </w:pPr>
      <w:r>
        <w:rPr>
          <w:sz w:val="24"/>
        </w:rPr>
        <w:t>The agenda and papers for meetings will be distributed </w:t>
      </w:r>
      <w:r>
        <w:rPr>
          <w:b/>
          <w:sz w:val="24"/>
        </w:rPr>
        <w:t>seven </w:t>
      </w:r>
      <w:r>
        <w:rPr>
          <w:sz w:val="24"/>
        </w:rPr>
        <w:t>days in advance of the </w:t>
      </w:r>
      <w:r>
        <w:rPr>
          <w:spacing w:val="-2"/>
          <w:sz w:val="24"/>
        </w:rPr>
        <w:t>meeting.</w:t>
      </w:r>
    </w:p>
    <w:p>
      <w:pPr>
        <w:pStyle w:val="ListParagraph"/>
        <w:numPr>
          <w:ilvl w:val="1"/>
          <w:numId w:val="43"/>
        </w:numPr>
        <w:tabs>
          <w:tab w:pos="860" w:val="left" w:leader="none"/>
          <w:tab w:pos="862" w:val="left" w:leader="none"/>
        </w:tabs>
        <w:spacing w:line="242" w:lineRule="auto" w:before="274" w:after="0"/>
        <w:ind w:left="862" w:right="415" w:hanging="720"/>
        <w:jc w:val="both"/>
        <w:rPr>
          <w:sz w:val="24"/>
        </w:rPr>
      </w:pPr>
      <w:r>
        <w:rPr>
          <w:sz w:val="24"/>
        </w:rPr>
        <w:t>The minutes and action log will be circulated to members within seven days to check the accuracy,</w:t>
      </w:r>
      <w:r>
        <w:rPr>
          <w:spacing w:val="-4"/>
          <w:sz w:val="24"/>
        </w:rPr>
        <w:t> </w:t>
      </w:r>
      <w:r>
        <w:rPr>
          <w:sz w:val="24"/>
        </w:rPr>
        <w:t>prior to</w:t>
      </w:r>
      <w:r>
        <w:rPr>
          <w:spacing w:val="-2"/>
          <w:sz w:val="24"/>
        </w:rPr>
        <w:t> </w:t>
      </w:r>
      <w:r>
        <w:rPr>
          <w:sz w:val="24"/>
        </w:rPr>
        <w:t>sending</w:t>
      </w:r>
      <w:r>
        <w:rPr>
          <w:spacing w:val="-2"/>
          <w:sz w:val="24"/>
        </w:rPr>
        <w:t> </w:t>
      </w:r>
      <w:r>
        <w:rPr>
          <w:sz w:val="24"/>
        </w:rPr>
        <w:t>to Members (including</w:t>
      </w:r>
      <w:r>
        <w:rPr>
          <w:spacing w:val="-2"/>
          <w:sz w:val="24"/>
        </w:rPr>
        <w:t> </w:t>
      </w:r>
      <w:r>
        <w:rPr>
          <w:sz w:val="24"/>
        </w:rPr>
        <w:t>the RJC</w:t>
      </w:r>
      <w:r>
        <w:rPr>
          <w:spacing w:val="-1"/>
          <w:sz w:val="24"/>
        </w:rPr>
        <w:t> </w:t>
      </w:r>
      <w:r>
        <w:rPr>
          <w:sz w:val="24"/>
        </w:rPr>
        <w:t>Chair)</w:t>
      </w:r>
      <w:r>
        <w:rPr>
          <w:spacing w:val="-3"/>
          <w:sz w:val="24"/>
        </w:rPr>
        <w:t> </w:t>
      </w:r>
      <w:r>
        <w:rPr>
          <w:sz w:val="24"/>
        </w:rPr>
        <w:t>to review</w:t>
      </w:r>
      <w:r>
        <w:rPr>
          <w:spacing w:val="-2"/>
          <w:sz w:val="24"/>
        </w:rPr>
        <w:t> </w:t>
      </w:r>
      <w:r>
        <w:rPr>
          <w:sz w:val="24"/>
        </w:rPr>
        <w:t>within the</w:t>
      </w:r>
      <w:r>
        <w:rPr>
          <w:spacing w:val="-2"/>
          <w:sz w:val="24"/>
        </w:rPr>
        <w:t> </w:t>
      </w:r>
      <w:r>
        <w:rPr>
          <w:sz w:val="24"/>
        </w:rPr>
        <w:t>next seven days.</w:t>
      </w:r>
    </w:p>
    <w:p>
      <w:pPr>
        <w:pStyle w:val="BodyText"/>
        <w:spacing w:before="206"/>
        <w:rPr>
          <w:sz w:val="20"/>
        </w:rPr>
      </w:pPr>
    </w:p>
    <w:p>
      <w:pPr>
        <w:spacing w:before="0"/>
        <w:ind w:left="4" w:right="284" w:firstLine="0"/>
        <w:jc w:val="center"/>
        <w:rPr>
          <w:sz w:val="20"/>
        </w:rPr>
      </w:pPr>
      <w:r>
        <w:rPr>
          <w:spacing w:val="-10"/>
          <w:sz w:val="20"/>
        </w:rPr>
        <w:t>8</w:t>
      </w:r>
    </w:p>
    <w:p>
      <w:pPr>
        <w:spacing w:after="0"/>
        <w:jc w:val="center"/>
        <w:rPr>
          <w:sz w:val="20"/>
        </w:rPr>
        <w:sectPr>
          <w:pgSz w:w="11910" w:h="16840"/>
          <w:pgMar w:header="0" w:footer="149" w:top="1200" w:bottom="340" w:left="708" w:right="425"/>
        </w:sectPr>
      </w:pPr>
    </w:p>
    <w:p>
      <w:pPr>
        <w:pStyle w:val="ListParagraph"/>
        <w:numPr>
          <w:ilvl w:val="1"/>
          <w:numId w:val="43"/>
        </w:numPr>
        <w:tabs>
          <w:tab w:pos="862" w:val="left" w:leader="none"/>
        </w:tabs>
        <w:spacing w:line="240" w:lineRule="auto" w:before="65" w:after="0"/>
        <w:ind w:left="862" w:right="423" w:hanging="720"/>
        <w:jc w:val="left"/>
        <w:rPr>
          <w:sz w:val="24"/>
        </w:rPr>
      </w:pPr>
      <w:r>
        <w:rPr>
          <w:spacing w:val="-4"/>
          <w:sz w:val="24"/>
        </w:rPr>
        <w:t>Members</w:t>
      </w:r>
      <w:r>
        <w:rPr>
          <w:spacing w:val="-12"/>
          <w:sz w:val="24"/>
        </w:rPr>
        <w:t> </w:t>
      </w:r>
      <w:r>
        <w:rPr>
          <w:spacing w:val="-4"/>
          <w:sz w:val="24"/>
        </w:rPr>
        <w:t>must</w:t>
      </w:r>
      <w:r>
        <w:rPr>
          <w:spacing w:val="-14"/>
          <w:sz w:val="24"/>
        </w:rPr>
        <w:t> </w:t>
      </w:r>
      <w:r>
        <w:rPr>
          <w:spacing w:val="-4"/>
          <w:sz w:val="24"/>
        </w:rPr>
        <w:t>forward</w:t>
      </w:r>
      <w:r>
        <w:rPr>
          <w:spacing w:val="-5"/>
          <w:sz w:val="24"/>
        </w:rPr>
        <w:t> </w:t>
      </w:r>
      <w:r>
        <w:rPr>
          <w:spacing w:val="-4"/>
          <w:sz w:val="24"/>
        </w:rPr>
        <w:t>amendments</w:t>
      </w:r>
      <w:r>
        <w:rPr>
          <w:spacing w:val="-6"/>
          <w:sz w:val="24"/>
        </w:rPr>
        <w:t> </w:t>
      </w:r>
      <w:r>
        <w:rPr>
          <w:spacing w:val="-4"/>
          <w:sz w:val="24"/>
        </w:rPr>
        <w:t>to</w:t>
      </w:r>
      <w:r>
        <w:rPr>
          <w:spacing w:val="-5"/>
          <w:sz w:val="24"/>
        </w:rPr>
        <w:t> </w:t>
      </w:r>
      <w:r>
        <w:rPr>
          <w:spacing w:val="-4"/>
          <w:sz w:val="24"/>
        </w:rPr>
        <w:t>the</w:t>
      </w:r>
      <w:r>
        <w:rPr>
          <w:spacing w:val="-10"/>
          <w:sz w:val="24"/>
        </w:rPr>
        <w:t> </w:t>
      </w:r>
      <w:r>
        <w:rPr>
          <w:spacing w:val="-4"/>
          <w:sz w:val="24"/>
        </w:rPr>
        <w:t>Committee</w:t>
      </w:r>
      <w:r>
        <w:rPr>
          <w:spacing w:val="-5"/>
          <w:sz w:val="24"/>
        </w:rPr>
        <w:t> </w:t>
      </w:r>
      <w:r>
        <w:rPr>
          <w:spacing w:val="-4"/>
          <w:sz w:val="24"/>
        </w:rPr>
        <w:t>Secretary</w:t>
      </w:r>
      <w:r>
        <w:rPr>
          <w:spacing w:val="-12"/>
          <w:sz w:val="24"/>
        </w:rPr>
        <w:t> </w:t>
      </w:r>
      <w:r>
        <w:rPr>
          <w:spacing w:val="-4"/>
          <w:sz w:val="24"/>
        </w:rPr>
        <w:t>within</w:t>
      </w:r>
      <w:r>
        <w:rPr>
          <w:spacing w:val="-5"/>
          <w:sz w:val="24"/>
        </w:rPr>
        <w:t> </w:t>
      </w:r>
      <w:r>
        <w:rPr>
          <w:spacing w:val="-4"/>
          <w:sz w:val="24"/>
        </w:rPr>
        <w:t>the</w:t>
      </w:r>
      <w:r>
        <w:rPr>
          <w:spacing w:val="-5"/>
          <w:sz w:val="24"/>
        </w:rPr>
        <w:t> </w:t>
      </w:r>
      <w:r>
        <w:rPr>
          <w:spacing w:val="-4"/>
          <w:sz w:val="24"/>
        </w:rPr>
        <w:t>next</w:t>
      </w:r>
      <w:r>
        <w:rPr>
          <w:spacing w:val="-14"/>
          <w:sz w:val="24"/>
        </w:rPr>
        <w:t> </w:t>
      </w:r>
      <w:r>
        <w:rPr>
          <w:spacing w:val="-4"/>
          <w:sz w:val="24"/>
        </w:rPr>
        <w:t>seven</w:t>
      </w:r>
      <w:r>
        <w:rPr>
          <w:spacing w:val="-10"/>
          <w:sz w:val="24"/>
        </w:rPr>
        <w:t> </w:t>
      </w:r>
      <w:r>
        <w:rPr>
          <w:spacing w:val="-4"/>
          <w:sz w:val="24"/>
        </w:rPr>
        <w:t>days. </w:t>
      </w:r>
      <w:r>
        <w:rPr>
          <w:sz w:val="24"/>
        </w:rPr>
        <w:t>The</w:t>
      </w:r>
      <w:r>
        <w:rPr>
          <w:spacing w:val="-12"/>
          <w:sz w:val="24"/>
        </w:rPr>
        <w:t> </w:t>
      </w:r>
      <w:r>
        <w:rPr>
          <w:sz w:val="24"/>
        </w:rPr>
        <w:t>Committee</w:t>
      </w:r>
      <w:r>
        <w:rPr>
          <w:spacing w:val="-12"/>
          <w:sz w:val="24"/>
        </w:rPr>
        <w:t> </w:t>
      </w:r>
      <w:r>
        <w:rPr>
          <w:sz w:val="24"/>
        </w:rPr>
        <w:t>Secretary</w:t>
      </w:r>
      <w:r>
        <w:rPr>
          <w:spacing w:val="-13"/>
          <w:sz w:val="24"/>
        </w:rPr>
        <w:t> </w:t>
      </w:r>
      <w:r>
        <w:rPr>
          <w:sz w:val="24"/>
        </w:rPr>
        <w:t>will</w:t>
      </w:r>
      <w:r>
        <w:rPr>
          <w:spacing w:val="-8"/>
          <w:sz w:val="24"/>
        </w:rPr>
        <w:t> </w:t>
      </w:r>
      <w:r>
        <w:rPr>
          <w:sz w:val="24"/>
        </w:rPr>
        <w:t>then</w:t>
      </w:r>
      <w:r>
        <w:rPr>
          <w:spacing w:val="-12"/>
          <w:sz w:val="24"/>
        </w:rPr>
        <w:t> </w:t>
      </w:r>
      <w:r>
        <w:rPr>
          <w:sz w:val="24"/>
        </w:rPr>
        <w:t>forward</w:t>
      </w:r>
      <w:r>
        <w:rPr>
          <w:spacing w:val="-8"/>
          <w:sz w:val="24"/>
        </w:rPr>
        <w:t> </w:t>
      </w:r>
      <w:r>
        <w:rPr>
          <w:sz w:val="24"/>
        </w:rPr>
        <w:t>the</w:t>
      </w:r>
      <w:r>
        <w:rPr>
          <w:spacing w:val="-8"/>
          <w:sz w:val="24"/>
        </w:rPr>
        <w:t> </w:t>
      </w:r>
      <w:r>
        <w:rPr>
          <w:sz w:val="24"/>
        </w:rPr>
        <w:t>final</w:t>
      </w:r>
      <w:r>
        <w:rPr>
          <w:spacing w:val="-17"/>
          <w:sz w:val="24"/>
        </w:rPr>
        <w:t> </w:t>
      </w:r>
      <w:r>
        <w:rPr>
          <w:sz w:val="24"/>
        </w:rPr>
        <w:t>version</w:t>
      </w:r>
      <w:r>
        <w:rPr>
          <w:spacing w:val="-7"/>
          <w:sz w:val="24"/>
        </w:rPr>
        <w:t> </w:t>
      </w:r>
      <w:r>
        <w:rPr>
          <w:sz w:val="24"/>
        </w:rPr>
        <w:t>to</w:t>
      </w:r>
      <w:r>
        <w:rPr>
          <w:spacing w:val="-12"/>
          <w:sz w:val="24"/>
        </w:rPr>
        <w:t> </w:t>
      </w:r>
      <w:r>
        <w:rPr>
          <w:sz w:val="24"/>
        </w:rPr>
        <w:t>the</w:t>
      </w:r>
      <w:r>
        <w:rPr>
          <w:spacing w:val="-11"/>
          <w:sz w:val="24"/>
        </w:rPr>
        <w:t> </w:t>
      </w:r>
      <w:r>
        <w:rPr>
          <w:sz w:val="24"/>
        </w:rPr>
        <w:t>RJC</w:t>
      </w:r>
      <w:r>
        <w:rPr>
          <w:spacing w:val="-11"/>
          <w:sz w:val="24"/>
        </w:rPr>
        <w:t> </w:t>
      </w:r>
      <w:r>
        <w:rPr>
          <w:sz w:val="24"/>
        </w:rPr>
        <w:t>Chair</w:t>
      </w:r>
      <w:r>
        <w:rPr>
          <w:spacing w:val="-9"/>
          <w:sz w:val="24"/>
        </w:rPr>
        <w:t> </w:t>
      </w:r>
      <w:r>
        <w:rPr>
          <w:sz w:val="24"/>
        </w:rPr>
        <w:t>for</w:t>
      </w:r>
      <w:r>
        <w:rPr>
          <w:spacing w:val="-13"/>
          <w:sz w:val="24"/>
        </w:rPr>
        <w:t> </w:t>
      </w:r>
      <w:r>
        <w:rPr>
          <w:sz w:val="24"/>
        </w:rPr>
        <w:t>approval.</w:t>
      </w:r>
    </w:p>
    <w:p>
      <w:pPr>
        <w:pStyle w:val="BodyText"/>
        <w:spacing w:before="79"/>
        <w:rPr>
          <w:sz w:val="20"/>
        </w:rPr>
      </w:pPr>
      <w:r>
        <w:rPr>
          <w:sz w:val="20"/>
        </w:rPr>
        <mc:AlternateContent>
          <mc:Choice Requires="wps">
            <w:drawing>
              <wp:anchor distT="0" distB="0" distL="0" distR="0" allowOverlap="1" layoutInCell="1" locked="0" behindDoc="1" simplePos="0" relativeHeight="487656448">
                <wp:simplePos x="0" y="0"/>
                <wp:positionH relativeFrom="page">
                  <wp:posOffset>574992</wp:posOffset>
                </wp:positionH>
                <wp:positionV relativeFrom="paragraph">
                  <wp:posOffset>218215</wp:posOffset>
                </wp:positionV>
                <wp:extent cx="6575425" cy="193675"/>
                <wp:effectExtent l="0" t="0" r="0" b="0"/>
                <wp:wrapTopAndBottom/>
                <wp:docPr id="443" name="Textbox 443"/>
                <wp:cNvGraphicFramePr>
                  <a:graphicFrameLocks/>
                </wp:cNvGraphicFramePr>
                <a:graphic>
                  <a:graphicData uri="http://schemas.microsoft.com/office/word/2010/wordprocessingShape">
                    <wps:wsp>
                      <wps:cNvPr id="443" name="Textbox 443"/>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9.</w:t>
                            </w:r>
                            <w:r>
                              <w:rPr>
                                <w:b/>
                                <w:color w:val="000000"/>
                                <w:spacing w:val="50"/>
                                <w:sz w:val="24"/>
                              </w:rPr>
                              <w:t> </w:t>
                            </w:r>
                            <w:r>
                              <w:rPr>
                                <w:b/>
                                <w:color w:val="000000"/>
                                <w:sz w:val="24"/>
                              </w:rPr>
                              <w:t>In</w:t>
                            </w:r>
                            <w:r>
                              <w:rPr>
                                <w:b/>
                                <w:color w:val="000000"/>
                                <w:spacing w:val="-10"/>
                                <w:sz w:val="24"/>
                              </w:rPr>
                              <w:t> </w:t>
                            </w:r>
                            <w:r>
                              <w:rPr>
                                <w:b/>
                                <w:color w:val="000000"/>
                                <w:spacing w:val="-2"/>
                                <w:sz w:val="24"/>
                              </w:rPr>
                              <w:t>Committee</w:t>
                            </w:r>
                          </w:p>
                        </w:txbxContent>
                      </wps:txbx>
                      <wps:bodyPr wrap="square" lIns="0" tIns="0" rIns="0" bIns="0" rtlCol="0">
                        <a:noAutofit/>
                      </wps:bodyPr>
                    </wps:wsp>
                  </a:graphicData>
                </a:graphic>
              </wp:anchor>
            </w:drawing>
          </mc:Choice>
          <mc:Fallback>
            <w:pict>
              <v:shape style="position:absolute;margin-left:45.275002pt;margin-top:17.182344pt;width:517.75pt;height:15.25pt;mso-position-horizontal-relative:page;mso-position-vertical-relative:paragraph;z-index:-15660032;mso-wrap-distance-left:0;mso-wrap-distance-right:0" type="#_x0000_t202" id="docshape226" filled="true" fillcolor="#c1a875" stroked="true" strokeweight="1pt" strokecolor="#394871">
                <v:textbox inset="0,0,0,0">
                  <w:txbxContent>
                    <w:p>
                      <w:pPr>
                        <w:spacing w:before="0"/>
                        <w:ind w:left="95" w:right="0" w:firstLine="0"/>
                        <w:jc w:val="left"/>
                        <w:rPr>
                          <w:b/>
                          <w:color w:val="000000"/>
                          <w:sz w:val="24"/>
                        </w:rPr>
                      </w:pPr>
                      <w:r>
                        <w:rPr>
                          <w:b/>
                          <w:color w:val="000000"/>
                          <w:sz w:val="24"/>
                        </w:rPr>
                        <w:t>9.</w:t>
                      </w:r>
                      <w:r>
                        <w:rPr>
                          <w:b/>
                          <w:color w:val="000000"/>
                          <w:spacing w:val="50"/>
                          <w:sz w:val="24"/>
                        </w:rPr>
                        <w:t> </w:t>
                      </w:r>
                      <w:r>
                        <w:rPr>
                          <w:b/>
                          <w:color w:val="000000"/>
                          <w:sz w:val="24"/>
                        </w:rPr>
                        <w:t>In</w:t>
                      </w:r>
                      <w:r>
                        <w:rPr>
                          <w:b/>
                          <w:color w:val="000000"/>
                          <w:spacing w:val="-10"/>
                          <w:sz w:val="24"/>
                        </w:rPr>
                        <w:t> </w:t>
                      </w:r>
                      <w:r>
                        <w:rPr>
                          <w:b/>
                          <w:color w:val="000000"/>
                          <w:spacing w:val="-2"/>
                          <w:sz w:val="24"/>
                        </w:rPr>
                        <w:t>Committee</w:t>
                      </w:r>
                    </w:p>
                  </w:txbxContent>
                </v:textbox>
                <v:fill type="solid"/>
                <v:stroke dashstyle="solid"/>
                <w10:wrap type="topAndBottom"/>
              </v:shape>
            </w:pict>
          </mc:Fallback>
        </mc:AlternateContent>
      </w:r>
    </w:p>
    <w:p>
      <w:pPr>
        <w:pStyle w:val="BodyText"/>
        <w:spacing w:before="9"/>
      </w:pPr>
    </w:p>
    <w:p>
      <w:pPr>
        <w:pStyle w:val="BodyText"/>
        <w:tabs>
          <w:tab w:pos="852" w:val="left" w:leader="none"/>
        </w:tabs>
        <w:ind w:left="852" w:right="436" w:hanging="710"/>
      </w:pPr>
      <w:r>
        <w:rPr>
          <w:spacing w:val="-4"/>
        </w:rPr>
        <w:t>9.1</w:t>
      </w:r>
      <w:r>
        <w:rPr/>
        <w:tab/>
      </w:r>
      <w:r>
        <w:rPr>
          <w:spacing w:val="-2"/>
        </w:rPr>
        <w:t>The</w:t>
      </w:r>
      <w:r>
        <w:rPr>
          <w:spacing w:val="-12"/>
        </w:rPr>
        <w:t> </w:t>
      </w:r>
      <w:r>
        <w:rPr>
          <w:spacing w:val="-2"/>
        </w:rPr>
        <w:t>RJC</w:t>
      </w:r>
      <w:r>
        <w:rPr>
          <w:spacing w:val="-10"/>
        </w:rPr>
        <w:t> </w:t>
      </w:r>
      <w:r>
        <w:rPr>
          <w:spacing w:val="-2"/>
        </w:rPr>
        <w:t>can</w:t>
      </w:r>
      <w:r>
        <w:rPr>
          <w:spacing w:val="-15"/>
        </w:rPr>
        <w:t> </w:t>
      </w:r>
      <w:r>
        <w:rPr>
          <w:spacing w:val="-2"/>
        </w:rPr>
        <w:t>operate</w:t>
      </w:r>
      <w:r>
        <w:rPr>
          <w:spacing w:val="-11"/>
        </w:rPr>
        <w:t> </w:t>
      </w:r>
      <w:r>
        <w:rPr>
          <w:spacing w:val="-2"/>
        </w:rPr>
        <w:t>with</w:t>
      </w:r>
      <w:r>
        <w:rPr>
          <w:spacing w:val="-15"/>
        </w:rPr>
        <w:t> </w:t>
      </w:r>
      <w:r>
        <w:rPr>
          <w:spacing w:val="-2"/>
        </w:rPr>
        <w:t>an</w:t>
      </w:r>
      <w:r>
        <w:rPr>
          <w:spacing w:val="-6"/>
        </w:rPr>
        <w:t> </w:t>
      </w:r>
      <w:r>
        <w:rPr>
          <w:spacing w:val="-2"/>
        </w:rPr>
        <w:t>In</w:t>
      </w:r>
      <w:r>
        <w:rPr>
          <w:spacing w:val="-11"/>
        </w:rPr>
        <w:t> </w:t>
      </w:r>
      <w:r>
        <w:rPr>
          <w:spacing w:val="-2"/>
        </w:rPr>
        <w:t>Committee</w:t>
      </w:r>
      <w:r>
        <w:rPr>
          <w:spacing w:val="-7"/>
        </w:rPr>
        <w:t> </w:t>
      </w:r>
      <w:r>
        <w:rPr>
          <w:spacing w:val="-2"/>
        </w:rPr>
        <w:t>function</w:t>
      </w:r>
      <w:r>
        <w:rPr>
          <w:spacing w:val="-11"/>
        </w:rPr>
        <w:t> </w:t>
      </w:r>
      <w:r>
        <w:rPr>
          <w:spacing w:val="-2"/>
        </w:rPr>
        <w:t>to</w:t>
      </w:r>
      <w:r>
        <w:rPr>
          <w:spacing w:val="-11"/>
        </w:rPr>
        <w:t> </w:t>
      </w:r>
      <w:r>
        <w:rPr>
          <w:spacing w:val="-2"/>
        </w:rPr>
        <w:t>receive</w:t>
      </w:r>
      <w:r>
        <w:rPr>
          <w:spacing w:val="-11"/>
        </w:rPr>
        <w:t> </w:t>
      </w:r>
      <w:r>
        <w:rPr>
          <w:spacing w:val="-2"/>
        </w:rPr>
        <w:t>updates</w:t>
      </w:r>
      <w:r>
        <w:rPr>
          <w:spacing w:val="-12"/>
        </w:rPr>
        <w:t> </w:t>
      </w:r>
      <w:r>
        <w:rPr>
          <w:spacing w:val="-2"/>
        </w:rPr>
        <w:t>on</w:t>
      </w:r>
      <w:r>
        <w:rPr>
          <w:spacing w:val="-7"/>
        </w:rPr>
        <w:t> </w:t>
      </w:r>
      <w:r>
        <w:rPr>
          <w:spacing w:val="-2"/>
        </w:rPr>
        <w:t>the</w:t>
      </w:r>
      <w:r>
        <w:rPr>
          <w:spacing w:val="-11"/>
        </w:rPr>
        <w:t> </w:t>
      </w:r>
      <w:r>
        <w:rPr>
          <w:spacing w:val="-2"/>
        </w:rPr>
        <w:t>management </w:t>
      </w:r>
      <w:r>
        <w:rPr/>
        <w:t>of</w:t>
      </w:r>
      <w:r>
        <w:rPr>
          <w:spacing w:val="-1"/>
        </w:rPr>
        <w:t> </w:t>
      </w:r>
      <w:r>
        <w:rPr/>
        <w:t>sensitive and/or confidential</w:t>
      </w:r>
      <w:r>
        <w:rPr>
          <w:spacing w:val="-3"/>
        </w:rPr>
        <w:t> </w:t>
      </w:r>
      <w:r>
        <w:rPr/>
        <w:t>information.</w:t>
      </w:r>
    </w:p>
    <w:p>
      <w:pPr>
        <w:pStyle w:val="BodyText"/>
        <w:spacing w:before="79"/>
        <w:rPr>
          <w:sz w:val="20"/>
        </w:rPr>
      </w:pPr>
      <w:r>
        <w:rPr>
          <w:sz w:val="20"/>
        </w:rPr>
        <mc:AlternateContent>
          <mc:Choice Requires="wps">
            <w:drawing>
              <wp:anchor distT="0" distB="0" distL="0" distR="0" allowOverlap="1" layoutInCell="1" locked="0" behindDoc="1" simplePos="0" relativeHeight="487656960">
                <wp:simplePos x="0" y="0"/>
                <wp:positionH relativeFrom="page">
                  <wp:posOffset>574992</wp:posOffset>
                </wp:positionH>
                <wp:positionV relativeFrom="paragraph">
                  <wp:posOffset>218103</wp:posOffset>
                </wp:positionV>
                <wp:extent cx="6575425" cy="193675"/>
                <wp:effectExtent l="0" t="0" r="0" b="0"/>
                <wp:wrapTopAndBottom/>
                <wp:docPr id="444" name="Textbox 444"/>
                <wp:cNvGraphicFramePr>
                  <a:graphicFrameLocks/>
                </wp:cNvGraphicFramePr>
                <a:graphic>
                  <a:graphicData uri="http://schemas.microsoft.com/office/word/2010/wordprocessingShape">
                    <wps:wsp>
                      <wps:cNvPr id="444" name="Textbox 444"/>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10.</w:t>
                            </w:r>
                            <w:r>
                              <w:rPr>
                                <w:b/>
                                <w:color w:val="000000"/>
                                <w:spacing w:val="59"/>
                                <w:sz w:val="24"/>
                              </w:rPr>
                              <w:t> </w:t>
                            </w:r>
                            <w:r>
                              <w:rPr>
                                <w:b/>
                                <w:color w:val="000000"/>
                                <w:sz w:val="24"/>
                              </w:rPr>
                              <w:t>Frequency</w:t>
                            </w:r>
                            <w:r>
                              <w:rPr>
                                <w:b/>
                                <w:color w:val="000000"/>
                                <w:spacing w:val="-2"/>
                                <w:sz w:val="24"/>
                              </w:rPr>
                              <w:t> </w:t>
                            </w:r>
                            <w:r>
                              <w:rPr>
                                <w:b/>
                                <w:color w:val="000000"/>
                                <w:sz w:val="24"/>
                              </w:rPr>
                              <w:t>of</w:t>
                            </w:r>
                            <w:r>
                              <w:rPr>
                                <w:b/>
                                <w:color w:val="000000"/>
                                <w:spacing w:val="-3"/>
                                <w:sz w:val="24"/>
                              </w:rPr>
                              <w:t> </w:t>
                            </w:r>
                            <w:r>
                              <w:rPr>
                                <w:b/>
                                <w:color w:val="000000"/>
                                <w:spacing w:val="-2"/>
                                <w:sz w:val="24"/>
                              </w:rPr>
                              <w:t>Meetings</w:t>
                            </w:r>
                          </w:p>
                        </w:txbxContent>
                      </wps:txbx>
                      <wps:bodyPr wrap="square" lIns="0" tIns="0" rIns="0" bIns="0" rtlCol="0">
                        <a:noAutofit/>
                      </wps:bodyPr>
                    </wps:wsp>
                  </a:graphicData>
                </a:graphic>
              </wp:anchor>
            </w:drawing>
          </mc:Choice>
          <mc:Fallback>
            <w:pict>
              <v:shape style="position:absolute;margin-left:45.275002pt;margin-top:17.173515pt;width:517.75pt;height:15.25pt;mso-position-horizontal-relative:page;mso-position-vertical-relative:paragraph;z-index:-15659520;mso-wrap-distance-left:0;mso-wrap-distance-right:0" type="#_x0000_t202" id="docshape227" filled="true" fillcolor="#c1a875" stroked="true" strokeweight="1pt" strokecolor="#394871">
                <v:textbox inset="0,0,0,0">
                  <w:txbxContent>
                    <w:p>
                      <w:pPr>
                        <w:spacing w:before="0"/>
                        <w:ind w:left="95" w:right="0" w:firstLine="0"/>
                        <w:jc w:val="left"/>
                        <w:rPr>
                          <w:b/>
                          <w:color w:val="000000"/>
                          <w:sz w:val="24"/>
                        </w:rPr>
                      </w:pPr>
                      <w:r>
                        <w:rPr>
                          <w:b/>
                          <w:color w:val="000000"/>
                          <w:sz w:val="24"/>
                        </w:rPr>
                        <w:t>10.</w:t>
                      </w:r>
                      <w:r>
                        <w:rPr>
                          <w:b/>
                          <w:color w:val="000000"/>
                          <w:spacing w:val="59"/>
                          <w:sz w:val="24"/>
                        </w:rPr>
                        <w:t> </w:t>
                      </w:r>
                      <w:r>
                        <w:rPr>
                          <w:b/>
                          <w:color w:val="000000"/>
                          <w:sz w:val="24"/>
                        </w:rPr>
                        <w:t>Frequency</w:t>
                      </w:r>
                      <w:r>
                        <w:rPr>
                          <w:b/>
                          <w:color w:val="000000"/>
                          <w:spacing w:val="-2"/>
                          <w:sz w:val="24"/>
                        </w:rPr>
                        <w:t> </w:t>
                      </w:r>
                      <w:r>
                        <w:rPr>
                          <w:b/>
                          <w:color w:val="000000"/>
                          <w:sz w:val="24"/>
                        </w:rPr>
                        <w:t>of</w:t>
                      </w:r>
                      <w:r>
                        <w:rPr>
                          <w:b/>
                          <w:color w:val="000000"/>
                          <w:spacing w:val="-3"/>
                          <w:sz w:val="24"/>
                        </w:rPr>
                        <w:t> </w:t>
                      </w:r>
                      <w:r>
                        <w:rPr>
                          <w:b/>
                          <w:color w:val="000000"/>
                          <w:spacing w:val="-2"/>
                          <w:sz w:val="24"/>
                        </w:rPr>
                        <w:t>Meetings</w:t>
                      </w:r>
                    </w:p>
                  </w:txbxContent>
                </v:textbox>
                <v:fill type="solid"/>
                <v:stroke dashstyle="solid"/>
                <w10:wrap type="topAndBottom"/>
              </v:shape>
            </w:pict>
          </mc:Fallback>
        </mc:AlternateContent>
      </w:r>
    </w:p>
    <w:p>
      <w:pPr>
        <w:pStyle w:val="BodyText"/>
        <w:spacing w:before="9"/>
      </w:pPr>
    </w:p>
    <w:p>
      <w:pPr>
        <w:pStyle w:val="ListParagraph"/>
        <w:numPr>
          <w:ilvl w:val="1"/>
          <w:numId w:val="44"/>
        </w:numPr>
        <w:tabs>
          <w:tab w:pos="862" w:val="left" w:leader="none"/>
        </w:tabs>
        <w:spacing w:line="240" w:lineRule="auto" w:before="0" w:after="0"/>
        <w:ind w:left="862" w:right="559" w:hanging="720"/>
        <w:jc w:val="left"/>
        <w:rPr>
          <w:sz w:val="24"/>
        </w:rPr>
      </w:pPr>
      <w:r>
        <w:rPr>
          <w:spacing w:val="-2"/>
          <w:sz w:val="24"/>
        </w:rPr>
        <w:t>The</w:t>
      </w:r>
      <w:r>
        <w:rPr>
          <w:spacing w:val="-20"/>
          <w:sz w:val="24"/>
        </w:rPr>
        <w:t> </w:t>
      </w:r>
      <w:r>
        <w:rPr>
          <w:spacing w:val="-2"/>
          <w:sz w:val="24"/>
        </w:rPr>
        <w:t>RJC</w:t>
      </w:r>
      <w:r>
        <w:rPr>
          <w:spacing w:val="-15"/>
          <w:sz w:val="24"/>
        </w:rPr>
        <w:t> </w:t>
      </w:r>
      <w:r>
        <w:rPr>
          <w:spacing w:val="-2"/>
          <w:sz w:val="24"/>
        </w:rPr>
        <w:t>will</w:t>
      </w:r>
      <w:r>
        <w:rPr>
          <w:spacing w:val="-21"/>
          <w:sz w:val="24"/>
        </w:rPr>
        <w:t> </w:t>
      </w:r>
      <w:r>
        <w:rPr>
          <w:spacing w:val="-2"/>
          <w:sz w:val="24"/>
        </w:rPr>
        <w:t>meet</w:t>
      </w:r>
      <w:r>
        <w:rPr>
          <w:spacing w:val="-22"/>
          <w:sz w:val="24"/>
        </w:rPr>
        <w:t> </w:t>
      </w:r>
      <w:r>
        <w:rPr>
          <w:spacing w:val="-2"/>
          <w:sz w:val="24"/>
        </w:rPr>
        <w:t>quarterly</w:t>
      </w:r>
      <w:r>
        <w:rPr>
          <w:spacing w:val="-21"/>
          <w:sz w:val="24"/>
        </w:rPr>
        <w:t> </w:t>
      </w:r>
      <w:r>
        <w:rPr>
          <w:spacing w:val="-2"/>
          <w:sz w:val="24"/>
        </w:rPr>
        <w:t>and</w:t>
      </w:r>
      <w:r>
        <w:rPr>
          <w:spacing w:val="-21"/>
          <w:sz w:val="24"/>
        </w:rPr>
        <w:t> </w:t>
      </w:r>
      <w:r>
        <w:rPr>
          <w:spacing w:val="-2"/>
          <w:sz w:val="24"/>
        </w:rPr>
        <w:t>shall</w:t>
      </w:r>
      <w:r>
        <w:rPr>
          <w:spacing w:val="-21"/>
          <w:sz w:val="24"/>
        </w:rPr>
        <w:t> </w:t>
      </w:r>
      <w:r>
        <w:rPr>
          <w:spacing w:val="-2"/>
          <w:sz w:val="24"/>
        </w:rPr>
        <w:t>agree</w:t>
      </w:r>
      <w:r>
        <w:rPr>
          <w:spacing w:val="-16"/>
          <w:sz w:val="24"/>
        </w:rPr>
        <w:t> </w:t>
      </w:r>
      <w:r>
        <w:rPr>
          <w:spacing w:val="-2"/>
          <w:sz w:val="24"/>
        </w:rPr>
        <w:t>an</w:t>
      </w:r>
      <w:r>
        <w:rPr>
          <w:spacing w:val="-21"/>
          <w:sz w:val="24"/>
        </w:rPr>
        <w:t> </w:t>
      </w:r>
      <w:r>
        <w:rPr>
          <w:spacing w:val="-2"/>
          <w:sz w:val="24"/>
        </w:rPr>
        <w:t>annual</w:t>
      </w:r>
      <w:r>
        <w:rPr>
          <w:spacing w:val="-20"/>
          <w:sz w:val="24"/>
        </w:rPr>
        <w:t> </w:t>
      </w:r>
      <w:r>
        <w:rPr>
          <w:spacing w:val="-2"/>
          <w:sz w:val="24"/>
        </w:rPr>
        <w:t>schedule</w:t>
      </w:r>
      <w:r>
        <w:rPr>
          <w:spacing w:val="-21"/>
          <w:sz w:val="24"/>
        </w:rPr>
        <w:t> </w:t>
      </w:r>
      <w:r>
        <w:rPr>
          <w:spacing w:val="-2"/>
          <w:sz w:val="24"/>
        </w:rPr>
        <w:t>of</w:t>
      </w:r>
      <w:r>
        <w:rPr>
          <w:spacing w:val="-24"/>
          <w:sz w:val="24"/>
        </w:rPr>
        <w:t> </w:t>
      </w:r>
      <w:r>
        <w:rPr>
          <w:spacing w:val="-2"/>
          <w:sz w:val="24"/>
        </w:rPr>
        <w:t>meetings.</w:t>
      </w:r>
      <w:r>
        <w:rPr>
          <w:spacing w:val="-3"/>
          <w:sz w:val="24"/>
        </w:rPr>
        <w:t> </w:t>
      </w:r>
      <w:r>
        <w:rPr>
          <w:spacing w:val="-2"/>
          <w:sz w:val="24"/>
        </w:rPr>
        <w:t>Any</w:t>
      </w:r>
      <w:r>
        <w:rPr>
          <w:spacing w:val="-22"/>
          <w:sz w:val="24"/>
        </w:rPr>
        <w:t> </w:t>
      </w:r>
      <w:r>
        <w:rPr>
          <w:spacing w:val="-2"/>
          <w:sz w:val="24"/>
        </w:rPr>
        <w:t>additional </w:t>
      </w:r>
      <w:r>
        <w:rPr>
          <w:sz w:val="24"/>
        </w:rPr>
        <w:t>meetings</w:t>
      </w:r>
      <w:r>
        <w:rPr>
          <w:spacing w:val="-8"/>
          <w:sz w:val="24"/>
        </w:rPr>
        <w:t> </w:t>
      </w:r>
      <w:r>
        <w:rPr>
          <w:sz w:val="24"/>
        </w:rPr>
        <w:t>will</w:t>
      </w:r>
      <w:r>
        <w:rPr>
          <w:spacing w:val="-7"/>
          <w:sz w:val="24"/>
        </w:rPr>
        <w:t> </w:t>
      </w:r>
      <w:r>
        <w:rPr>
          <w:sz w:val="24"/>
        </w:rPr>
        <w:t>be</w:t>
      </w:r>
      <w:r>
        <w:rPr>
          <w:spacing w:val="-7"/>
          <w:sz w:val="24"/>
        </w:rPr>
        <w:t> </w:t>
      </w:r>
      <w:r>
        <w:rPr>
          <w:sz w:val="24"/>
        </w:rPr>
        <w:t>arranged</w:t>
      </w:r>
      <w:r>
        <w:rPr>
          <w:spacing w:val="-7"/>
          <w:sz w:val="24"/>
        </w:rPr>
        <w:t> </w:t>
      </w:r>
      <w:r>
        <w:rPr>
          <w:sz w:val="24"/>
        </w:rPr>
        <w:t>as</w:t>
      </w:r>
      <w:r>
        <w:rPr>
          <w:spacing w:val="-8"/>
          <w:sz w:val="24"/>
        </w:rPr>
        <w:t> </w:t>
      </w:r>
      <w:r>
        <w:rPr>
          <w:sz w:val="24"/>
        </w:rPr>
        <w:t>determined</w:t>
      </w:r>
      <w:r>
        <w:rPr>
          <w:spacing w:val="-7"/>
          <w:sz w:val="24"/>
        </w:rPr>
        <w:t> </w:t>
      </w:r>
      <w:r>
        <w:rPr>
          <w:sz w:val="24"/>
        </w:rPr>
        <w:t>by</w:t>
      </w:r>
      <w:r>
        <w:rPr>
          <w:spacing w:val="-3"/>
          <w:sz w:val="24"/>
        </w:rPr>
        <w:t> </w:t>
      </w:r>
      <w:r>
        <w:rPr>
          <w:sz w:val="24"/>
        </w:rPr>
        <w:t>the Chair</w:t>
      </w:r>
      <w:r>
        <w:rPr>
          <w:spacing w:val="-8"/>
          <w:sz w:val="24"/>
        </w:rPr>
        <w:t> </w:t>
      </w:r>
      <w:r>
        <w:rPr>
          <w:sz w:val="24"/>
        </w:rPr>
        <w:t>of</w:t>
      </w:r>
      <w:r>
        <w:rPr>
          <w:spacing w:val="-5"/>
          <w:sz w:val="24"/>
        </w:rPr>
        <w:t> </w:t>
      </w:r>
      <w:r>
        <w:rPr>
          <w:sz w:val="24"/>
        </w:rPr>
        <w:t>the</w:t>
      </w:r>
      <w:r>
        <w:rPr>
          <w:spacing w:val="-6"/>
          <w:sz w:val="24"/>
        </w:rPr>
        <w:t> </w:t>
      </w:r>
      <w:r>
        <w:rPr>
          <w:sz w:val="24"/>
        </w:rPr>
        <w:t>RJC.</w:t>
      </w:r>
    </w:p>
    <w:p>
      <w:pPr>
        <w:pStyle w:val="ListParagraph"/>
        <w:numPr>
          <w:ilvl w:val="1"/>
          <w:numId w:val="44"/>
        </w:numPr>
        <w:tabs>
          <w:tab w:pos="862" w:val="left" w:leader="none"/>
        </w:tabs>
        <w:spacing w:line="242" w:lineRule="auto" w:before="273" w:after="0"/>
        <w:ind w:left="862" w:right="569" w:hanging="720"/>
        <w:jc w:val="left"/>
        <w:rPr>
          <w:sz w:val="24"/>
        </w:rPr>
      </w:pPr>
      <w:r>
        <w:rPr>
          <w:spacing w:val="-2"/>
          <w:sz w:val="24"/>
        </w:rPr>
        <w:t>The</w:t>
      </w:r>
      <w:r>
        <w:rPr>
          <w:spacing w:val="-15"/>
          <w:sz w:val="24"/>
        </w:rPr>
        <w:t> </w:t>
      </w:r>
      <w:r>
        <w:rPr>
          <w:spacing w:val="-2"/>
          <w:sz w:val="24"/>
        </w:rPr>
        <w:t>Chair</w:t>
      </w:r>
      <w:r>
        <w:rPr>
          <w:spacing w:val="-15"/>
          <w:sz w:val="24"/>
        </w:rPr>
        <w:t> </w:t>
      </w:r>
      <w:r>
        <w:rPr>
          <w:spacing w:val="-2"/>
          <w:sz w:val="24"/>
        </w:rPr>
        <w:t>of</w:t>
      </w:r>
      <w:r>
        <w:rPr>
          <w:spacing w:val="-14"/>
          <w:sz w:val="24"/>
        </w:rPr>
        <w:t> </w:t>
      </w:r>
      <w:r>
        <w:rPr>
          <w:spacing w:val="-2"/>
          <w:sz w:val="24"/>
        </w:rPr>
        <w:t>the</w:t>
      </w:r>
      <w:r>
        <w:rPr>
          <w:spacing w:val="-15"/>
          <w:sz w:val="24"/>
        </w:rPr>
        <w:t> </w:t>
      </w:r>
      <w:r>
        <w:rPr>
          <w:spacing w:val="-2"/>
          <w:sz w:val="24"/>
        </w:rPr>
        <w:t>RJC,</w:t>
      </w:r>
      <w:r>
        <w:rPr>
          <w:spacing w:val="-15"/>
          <w:sz w:val="24"/>
        </w:rPr>
        <w:t> </w:t>
      </w:r>
      <w:r>
        <w:rPr>
          <w:spacing w:val="-2"/>
          <w:sz w:val="24"/>
        </w:rPr>
        <w:t>in</w:t>
      </w:r>
      <w:r>
        <w:rPr>
          <w:spacing w:val="-15"/>
          <w:sz w:val="24"/>
        </w:rPr>
        <w:t> </w:t>
      </w:r>
      <w:r>
        <w:rPr>
          <w:spacing w:val="-2"/>
          <w:sz w:val="24"/>
        </w:rPr>
        <w:t>discussion</w:t>
      </w:r>
      <w:r>
        <w:rPr>
          <w:spacing w:val="-14"/>
          <w:sz w:val="24"/>
        </w:rPr>
        <w:t> </w:t>
      </w:r>
      <w:r>
        <w:rPr>
          <w:spacing w:val="-2"/>
          <w:sz w:val="24"/>
        </w:rPr>
        <w:t>with</w:t>
      </w:r>
      <w:r>
        <w:rPr>
          <w:spacing w:val="-15"/>
          <w:sz w:val="24"/>
        </w:rPr>
        <w:t> </w:t>
      </w:r>
      <w:r>
        <w:rPr>
          <w:spacing w:val="-2"/>
          <w:sz w:val="24"/>
        </w:rPr>
        <w:t>the</w:t>
      </w:r>
      <w:r>
        <w:rPr>
          <w:spacing w:val="-15"/>
          <w:sz w:val="24"/>
        </w:rPr>
        <w:t> </w:t>
      </w:r>
      <w:r>
        <w:rPr>
          <w:spacing w:val="-2"/>
          <w:sz w:val="24"/>
        </w:rPr>
        <w:t>Committee</w:t>
      </w:r>
      <w:r>
        <w:rPr>
          <w:spacing w:val="-14"/>
          <w:sz w:val="24"/>
        </w:rPr>
        <w:t> </w:t>
      </w:r>
      <w:r>
        <w:rPr>
          <w:spacing w:val="-2"/>
          <w:sz w:val="24"/>
        </w:rPr>
        <w:t>Secretary,</w:t>
      </w:r>
      <w:r>
        <w:rPr>
          <w:spacing w:val="-15"/>
          <w:sz w:val="24"/>
        </w:rPr>
        <w:t> </w:t>
      </w:r>
      <w:r>
        <w:rPr>
          <w:spacing w:val="-2"/>
          <w:sz w:val="24"/>
        </w:rPr>
        <w:t>shall</w:t>
      </w:r>
      <w:r>
        <w:rPr>
          <w:spacing w:val="-15"/>
          <w:sz w:val="24"/>
        </w:rPr>
        <w:t> </w:t>
      </w:r>
      <w:r>
        <w:rPr>
          <w:spacing w:val="-2"/>
          <w:sz w:val="24"/>
        </w:rPr>
        <w:t>determine</w:t>
      </w:r>
      <w:r>
        <w:rPr>
          <w:spacing w:val="-12"/>
          <w:sz w:val="24"/>
        </w:rPr>
        <w:t> </w:t>
      </w:r>
      <w:r>
        <w:rPr>
          <w:spacing w:val="-2"/>
          <w:sz w:val="24"/>
        </w:rPr>
        <w:t>the</w:t>
      </w:r>
      <w:r>
        <w:rPr>
          <w:spacing w:val="-11"/>
          <w:sz w:val="24"/>
        </w:rPr>
        <w:t> </w:t>
      </w:r>
      <w:r>
        <w:rPr>
          <w:spacing w:val="-2"/>
          <w:sz w:val="24"/>
        </w:rPr>
        <w:t>time </w:t>
      </w:r>
      <w:r>
        <w:rPr>
          <w:sz w:val="24"/>
        </w:rPr>
        <w:t>and</w:t>
      </w:r>
      <w:r>
        <w:rPr>
          <w:spacing w:val="-7"/>
          <w:sz w:val="24"/>
        </w:rPr>
        <w:t> </w:t>
      </w:r>
      <w:r>
        <w:rPr>
          <w:sz w:val="24"/>
        </w:rPr>
        <w:t>the</w:t>
      </w:r>
      <w:r>
        <w:rPr>
          <w:spacing w:val="-7"/>
          <w:sz w:val="24"/>
        </w:rPr>
        <w:t> </w:t>
      </w:r>
      <w:r>
        <w:rPr>
          <w:sz w:val="24"/>
        </w:rPr>
        <w:t>place</w:t>
      </w:r>
      <w:r>
        <w:rPr>
          <w:spacing w:val="-7"/>
          <w:sz w:val="24"/>
        </w:rPr>
        <w:t> </w:t>
      </w:r>
      <w:r>
        <w:rPr>
          <w:sz w:val="24"/>
        </w:rPr>
        <w:t>of</w:t>
      </w:r>
      <w:r>
        <w:rPr>
          <w:spacing w:val="-10"/>
          <w:sz w:val="24"/>
        </w:rPr>
        <w:t> </w:t>
      </w:r>
      <w:r>
        <w:rPr>
          <w:sz w:val="24"/>
        </w:rPr>
        <w:t>meetings</w:t>
      </w:r>
      <w:r>
        <w:rPr>
          <w:spacing w:val="-8"/>
          <w:sz w:val="24"/>
        </w:rPr>
        <w:t> </w:t>
      </w:r>
      <w:r>
        <w:rPr>
          <w:sz w:val="24"/>
        </w:rPr>
        <w:t>of</w:t>
      </w:r>
      <w:r>
        <w:rPr>
          <w:spacing w:val="-5"/>
          <w:sz w:val="24"/>
        </w:rPr>
        <w:t> </w:t>
      </w:r>
      <w:r>
        <w:rPr>
          <w:sz w:val="24"/>
        </w:rPr>
        <w:t>the</w:t>
      </w:r>
      <w:r>
        <w:rPr>
          <w:spacing w:val="-5"/>
          <w:sz w:val="24"/>
        </w:rPr>
        <w:t> </w:t>
      </w:r>
      <w:r>
        <w:rPr>
          <w:sz w:val="24"/>
        </w:rPr>
        <w:t>RJC</w:t>
      </w:r>
      <w:r>
        <w:rPr>
          <w:spacing w:val="-6"/>
          <w:sz w:val="24"/>
        </w:rPr>
        <w:t> </w:t>
      </w:r>
      <w:r>
        <w:rPr>
          <w:sz w:val="24"/>
        </w:rPr>
        <w:t>and</w:t>
      </w:r>
      <w:r>
        <w:rPr>
          <w:spacing w:val="-7"/>
          <w:sz w:val="24"/>
        </w:rPr>
        <w:t> </w:t>
      </w:r>
      <w:r>
        <w:rPr>
          <w:sz w:val="24"/>
        </w:rPr>
        <w:t>procedures</w:t>
      </w:r>
      <w:r>
        <w:rPr>
          <w:spacing w:val="-8"/>
          <w:sz w:val="24"/>
        </w:rPr>
        <w:t> </w:t>
      </w:r>
      <w:r>
        <w:rPr>
          <w:sz w:val="24"/>
        </w:rPr>
        <w:t>of</w:t>
      </w:r>
      <w:r>
        <w:rPr>
          <w:spacing w:val="-10"/>
          <w:sz w:val="24"/>
        </w:rPr>
        <w:t> </w:t>
      </w:r>
      <w:r>
        <w:rPr>
          <w:sz w:val="24"/>
        </w:rPr>
        <w:t>such</w:t>
      </w:r>
      <w:r>
        <w:rPr>
          <w:spacing w:val="-7"/>
          <w:sz w:val="24"/>
        </w:rPr>
        <w:t> </w:t>
      </w:r>
      <w:r>
        <w:rPr>
          <w:sz w:val="24"/>
        </w:rPr>
        <w:t>meetings.</w:t>
      </w:r>
    </w:p>
    <w:p>
      <w:pPr>
        <w:pStyle w:val="BodyText"/>
        <w:spacing w:before="74"/>
        <w:rPr>
          <w:sz w:val="20"/>
        </w:rPr>
      </w:pPr>
      <w:r>
        <w:rPr>
          <w:sz w:val="20"/>
        </w:rPr>
        <mc:AlternateContent>
          <mc:Choice Requires="wps">
            <w:drawing>
              <wp:anchor distT="0" distB="0" distL="0" distR="0" allowOverlap="1" layoutInCell="1" locked="0" behindDoc="1" simplePos="0" relativeHeight="487657472">
                <wp:simplePos x="0" y="0"/>
                <wp:positionH relativeFrom="page">
                  <wp:posOffset>574992</wp:posOffset>
                </wp:positionH>
                <wp:positionV relativeFrom="paragraph">
                  <wp:posOffset>214755</wp:posOffset>
                </wp:positionV>
                <wp:extent cx="6575425" cy="194310"/>
                <wp:effectExtent l="0" t="0" r="0" b="0"/>
                <wp:wrapTopAndBottom/>
                <wp:docPr id="445" name="Textbox 445"/>
                <wp:cNvGraphicFramePr>
                  <a:graphicFrameLocks/>
                </wp:cNvGraphicFramePr>
                <a:graphic>
                  <a:graphicData uri="http://schemas.microsoft.com/office/word/2010/wordprocessingShape">
                    <wps:wsp>
                      <wps:cNvPr id="445" name="Textbox 445"/>
                      <wps:cNvSpPr txBox="1"/>
                      <wps:spPr>
                        <a:xfrm>
                          <a:off x="0" y="0"/>
                          <a:ext cx="6575425" cy="19431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pacing w:val="-2"/>
                                <w:sz w:val="24"/>
                              </w:rPr>
                              <w:t>11.</w:t>
                            </w:r>
                            <w:r>
                              <w:rPr>
                                <w:b/>
                                <w:color w:val="000000"/>
                                <w:spacing w:val="37"/>
                                <w:sz w:val="24"/>
                              </w:rPr>
                              <w:t> </w:t>
                            </w:r>
                            <w:r>
                              <w:rPr>
                                <w:b/>
                                <w:color w:val="000000"/>
                                <w:spacing w:val="-2"/>
                                <w:sz w:val="24"/>
                              </w:rPr>
                              <w:t>Accountability,</w:t>
                            </w:r>
                            <w:r>
                              <w:rPr>
                                <w:b/>
                                <w:color w:val="000000"/>
                                <w:spacing w:val="-14"/>
                                <w:sz w:val="24"/>
                              </w:rPr>
                              <w:t> </w:t>
                            </w:r>
                            <w:r>
                              <w:rPr>
                                <w:b/>
                                <w:color w:val="000000"/>
                                <w:spacing w:val="-2"/>
                                <w:sz w:val="24"/>
                              </w:rPr>
                              <w:t>Responsibility</w:t>
                            </w:r>
                            <w:r>
                              <w:rPr>
                                <w:b/>
                                <w:color w:val="000000"/>
                                <w:spacing w:val="-15"/>
                                <w:sz w:val="24"/>
                              </w:rPr>
                              <w:t> </w:t>
                            </w:r>
                            <w:r>
                              <w:rPr>
                                <w:b/>
                                <w:color w:val="000000"/>
                                <w:spacing w:val="-2"/>
                                <w:sz w:val="24"/>
                              </w:rPr>
                              <w:t>and</w:t>
                            </w:r>
                            <w:r>
                              <w:rPr>
                                <w:b/>
                                <w:color w:val="000000"/>
                                <w:spacing w:val="-14"/>
                                <w:sz w:val="24"/>
                              </w:rPr>
                              <w:t> </w:t>
                            </w:r>
                            <w:r>
                              <w:rPr>
                                <w:b/>
                                <w:color w:val="000000"/>
                                <w:spacing w:val="-2"/>
                                <w:sz w:val="24"/>
                              </w:rPr>
                              <w:t>Authority</w:t>
                            </w:r>
                          </w:p>
                        </w:txbxContent>
                      </wps:txbx>
                      <wps:bodyPr wrap="square" lIns="0" tIns="0" rIns="0" bIns="0" rtlCol="0">
                        <a:noAutofit/>
                      </wps:bodyPr>
                    </wps:wsp>
                  </a:graphicData>
                </a:graphic>
              </wp:anchor>
            </w:drawing>
          </mc:Choice>
          <mc:Fallback>
            <w:pict>
              <v:shape style="position:absolute;margin-left:45.275002pt;margin-top:16.909883pt;width:517.75pt;height:15.3pt;mso-position-horizontal-relative:page;mso-position-vertical-relative:paragraph;z-index:-15659008;mso-wrap-distance-left:0;mso-wrap-distance-right:0" type="#_x0000_t202" id="docshape228" filled="true" fillcolor="#c1a875" stroked="true" strokeweight="1pt" strokecolor="#394871">
                <v:textbox inset="0,0,0,0">
                  <w:txbxContent>
                    <w:p>
                      <w:pPr>
                        <w:spacing w:before="0"/>
                        <w:ind w:left="95" w:right="0" w:firstLine="0"/>
                        <w:jc w:val="left"/>
                        <w:rPr>
                          <w:b/>
                          <w:color w:val="000000"/>
                          <w:sz w:val="24"/>
                        </w:rPr>
                      </w:pPr>
                      <w:r>
                        <w:rPr>
                          <w:b/>
                          <w:color w:val="000000"/>
                          <w:spacing w:val="-2"/>
                          <w:sz w:val="24"/>
                        </w:rPr>
                        <w:t>11.</w:t>
                      </w:r>
                      <w:r>
                        <w:rPr>
                          <w:b/>
                          <w:color w:val="000000"/>
                          <w:spacing w:val="37"/>
                          <w:sz w:val="24"/>
                        </w:rPr>
                        <w:t> </w:t>
                      </w:r>
                      <w:r>
                        <w:rPr>
                          <w:b/>
                          <w:color w:val="000000"/>
                          <w:spacing w:val="-2"/>
                          <w:sz w:val="24"/>
                        </w:rPr>
                        <w:t>Accountability,</w:t>
                      </w:r>
                      <w:r>
                        <w:rPr>
                          <w:b/>
                          <w:color w:val="000000"/>
                          <w:spacing w:val="-14"/>
                          <w:sz w:val="24"/>
                        </w:rPr>
                        <w:t> </w:t>
                      </w:r>
                      <w:r>
                        <w:rPr>
                          <w:b/>
                          <w:color w:val="000000"/>
                          <w:spacing w:val="-2"/>
                          <w:sz w:val="24"/>
                        </w:rPr>
                        <w:t>Responsibility</w:t>
                      </w:r>
                      <w:r>
                        <w:rPr>
                          <w:b/>
                          <w:color w:val="000000"/>
                          <w:spacing w:val="-15"/>
                          <w:sz w:val="24"/>
                        </w:rPr>
                        <w:t> </w:t>
                      </w:r>
                      <w:r>
                        <w:rPr>
                          <w:b/>
                          <w:color w:val="000000"/>
                          <w:spacing w:val="-2"/>
                          <w:sz w:val="24"/>
                        </w:rPr>
                        <w:t>and</w:t>
                      </w:r>
                      <w:r>
                        <w:rPr>
                          <w:b/>
                          <w:color w:val="000000"/>
                          <w:spacing w:val="-14"/>
                          <w:sz w:val="24"/>
                        </w:rPr>
                        <w:t> </w:t>
                      </w:r>
                      <w:r>
                        <w:rPr>
                          <w:b/>
                          <w:color w:val="000000"/>
                          <w:spacing w:val="-2"/>
                          <w:sz w:val="24"/>
                        </w:rPr>
                        <w:t>Authority</w:t>
                      </w:r>
                    </w:p>
                  </w:txbxContent>
                </v:textbox>
                <v:fill type="solid"/>
                <v:stroke dashstyle="solid"/>
                <w10:wrap type="topAndBottom"/>
              </v:shape>
            </w:pict>
          </mc:Fallback>
        </mc:AlternateContent>
      </w:r>
    </w:p>
    <w:p>
      <w:pPr>
        <w:pStyle w:val="BodyText"/>
        <w:spacing w:before="8"/>
      </w:pPr>
    </w:p>
    <w:p>
      <w:pPr>
        <w:pStyle w:val="ListParagraph"/>
        <w:numPr>
          <w:ilvl w:val="1"/>
          <w:numId w:val="45"/>
        </w:numPr>
        <w:tabs>
          <w:tab w:pos="862" w:val="left" w:leader="none"/>
        </w:tabs>
        <w:spacing w:line="240" w:lineRule="auto" w:before="1" w:after="0"/>
        <w:ind w:left="862" w:right="999" w:hanging="720"/>
        <w:jc w:val="left"/>
        <w:rPr>
          <w:sz w:val="24"/>
        </w:rPr>
      </w:pPr>
      <w:r>
        <w:rPr>
          <w:spacing w:val="-2"/>
          <w:sz w:val="24"/>
        </w:rPr>
        <w:t>Although,</w:t>
      </w:r>
      <w:r>
        <w:rPr>
          <w:spacing w:val="-15"/>
          <w:sz w:val="24"/>
        </w:rPr>
        <w:t> </w:t>
      </w:r>
      <w:r>
        <w:rPr>
          <w:spacing w:val="-2"/>
          <w:sz w:val="24"/>
        </w:rPr>
        <w:t>as</w:t>
      </w:r>
      <w:r>
        <w:rPr>
          <w:spacing w:val="-12"/>
          <w:sz w:val="24"/>
        </w:rPr>
        <w:t> </w:t>
      </w:r>
      <w:r>
        <w:rPr>
          <w:spacing w:val="-2"/>
          <w:sz w:val="24"/>
        </w:rPr>
        <w:t>set</w:t>
      </w:r>
      <w:r>
        <w:rPr>
          <w:spacing w:val="-15"/>
          <w:sz w:val="24"/>
        </w:rPr>
        <w:t> </w:t>
      </w:r>
      <w:r>
        <w:rPr>
          <w:spacing w:val="-2"/>
          <w:sz w:val="24"/>
        </w:rPr>
        <w:t>out</w:t>
      </w:r>
      <w:r>
        <w:rPr>
          <w:spacing w:val="-13"/>
          <w:sz w:val="24"/>
        </w:rPr>
        <w:t> </w:t>
      </w:r>
      <w:r>
        <w:rPr>
          <w:spacing w:val="-2"/>
          <w:sz w:val="24"/>
        </w:rPr>
        <w:t>within</w:t>
      </w:r>
      <w:r>
        <w:rPr>
          <w:spacing w:val="-6"/>
          <w:sz w:val="24"/>
        </w:rPr>
        <w:t> </w:t>
      </w:r>
      <w:r>
        <w:rPr>
          <w:spacing w:val="-2"/>
          <w:sz w:val="24"/>
        </w:rPr>
        <w:t>these</w:t>
      </w:r>
      <w:r>
        <w:rPr>
          <w:spacing w:val="-6"/>
          <w:sz w:val="24"/>
        </w:rPr>
        <w:t> </w:t>
      </w:r>
      <w:r>
        <w:rPr>
          <w:spacing w:val="-2"/>
          <w:sz w:val="24"/>
        </w:rPr>
        <w:t>terms</w:t>
      </w:r>
      <w:r>
        <w:rPr>
          <w:spacing w:val="-11"/>
          <w:sz w:val="24"/>
        </w:rPr>
        <w:t> </w:t>
      </w:r>
      <w:r>
        <w:rPr>
          <w:spacing w:val="-2"/>
          <w:sz w:val="24"/>
        </w:rPr>
        <w:t>of</w:t>
      </w:r>
      <w:r>
        <w:rPr>
          <w:spacing w:val="-13"/>
          <w:sz w:val="24"/>
        </w:rPr>
        <w:t> </w:t>
      </w:r>
      <w:r>
        <w:rPr>
          <w:spacing w:val="-2"/>
          <w:sz w:val="24"/>
        </w:rPr>
        <w:t>reference,</w:t>
      </w:r>
      <w:r>
        <w:rPr>
          <w:spacing w:val="-11"/>
          <w:sz w:val="24"/>
        </w:rPr>
        <w:t> </w:t>
      </w:r>
      <w:r>
        <w:rPr>
          <w:spacing w:val="-2"/>
          <w:sz w:val="24"/>
        </w:rPr>
        <w:t>each</w:t>
      </w:r>
      <w:r>
        <w:rPr>
          <w:spacing w:val="-15"/>
          <w:sz w:val="24"/>
        </w:rPr>
        <w:t> </w:t>
      </w:r>
      <w:r>
        <w:rPr>
          <w:spacing w:val="-2"/>
          <w:sz w:val="24"/>
        </w:rPr>
        <w:t>University</w:t>
      </w:r>
      <w:r>
        <w:rPr>
          <w:spacing w:val="-11"/>
          <w:sz w:val="24"/>
        </w:rPr>
        <w:t> </w:t>
      </w:r>
      <w:r>
        <w:rPr>
          <w:spacing w:val="-2"/>
          <w:sz w:val="24"/>
        </w:rPr>
        <w:t>Health</w:t>
      </w:r>
      <w:r>
        <w:rPr>
          <w:spacing w:val="-9"/>
          <w:sz w:val="24"/>
        </w:rPr>
        <w:t> </w:t>
      </w:r>
      <w:r>
        <w:rPr>
          <w:spacing w:val="-2"/>
          <w:sz w:val="24"/>
        </w:rPr>
        <w:t>Board</w:t>
      </w:r>
      <w:r>
        <w:rPr>
          <w:spacing w:val="-11"/>
          <w:sz w:val="24"/>
        </w:rPr>
        <w:t> </w:t>
      </w:r>
      <w:r>
        <w:rPr>
          <w:spacing w:val="-2"/>
          <w:sz w:val="24"/>
        </w:rPr>
        <w:t>has </w:t>
      </w:r>
      <w:r>
        <w:rPr>
          <w:sz w:val="24"/>
        </w:rPr>
        <w:t>delegated</w:t>
      </w:r>
      <w:r>
        <w:rPr>
          <w:spacing w:val="-12"/>
          <w:sz w:val="24"/>
        </w:rPr>
        <w:t> </w:t>
      </w:r>
      <w:r>
        <w:rPr>
          <w:sz w:val="24"/>
        </w:rPr>
        <w:t>authority</w:t>
      </w:r>
      <w:r>
        <w:rPr>
          <w:spacing w:val="-13"/>
          <w:sz w:val="24"/>
        </w:rPr>
        <w:t> </w:t>
      </w:r>
      <w:r>
        <w:rPr>
          <w:sz w:val="24"/>
        </w:rPr>
        <w:t>to</w:t>
      </w:r>
      <w:r>
        <w:rPr>
          <w:spacing w:val="-8"/>
          <w:sz w:val="24"/>
        </w:rPr>
        <w:t> </w:t>
      </w:r>
      <w:r>
        <w:rPr>
          <w:sz w:val="24"/>
        </w:rPr>
        <w:t>the</w:t>
      </w:r>
      <w:r>
        <w:rPr>
          <w:spacing w:val="-11"/>
          <w:sz w:val="24"/>
        </w:rPr>
        <w:t> </w:t>
      </w:r>
      <w:r>
        <w:rPr>
          <w:sz w:val="24"/>
        </w:rPr>
        <w:t>RJC</w:t>
      </w:r>
      <w:r>
        <w:rPr>
          <w:spacing w:val="-7"/>
          <w:sz w:val="24"/>
        </w:rPr>
        <w:t> </w:t>
      </w:r>
      <w:r>
        <w:rPr>
          <w:sz w:val="24"/>
        </w:rPr>
        <w:t>for</w:t>
      </w:r>
      <w:r>
        <w:rPr>
          <w:spacing w:val="-9"/>
          <w:sz w:val="24"/>
        </w:rPr>
        <w:t> </w:t>
      </w:r>
      <w:r>
        <w:rPr>
          <w:sz w:val="24"/>
        </w:rPr>
        <w:t>the</w:t>
      </w:r>
      <w:r>
        <w:rPr>
          <w:spacing w:val="-12"/>
          <w:sz w:val="24"/>
        </w:rPr>
        <w:t> </w:t>
      </w:r>
      <w:r>
        <w:rPr>
          <w:sz w:val="24"/>
        </w:rPr>
        <w:t>exercise</w:t>
      </w:r>
      <w:r>
        <w:rPr>
          <w:spacing w:val="-12"/>
          <w:sz w:val="24"/>
        </w:rPr>
        <w:t> </w:t>
      </w:r>
      <w:r>
        <w:rPr>
          <w:sz w:val="24"/>
        </w:rPr>
        <w:t>of</w:t>
      </w:r>
      <w:r>
        <w:rPr>
          <w:spacing w:val="-15"/>
          <w:sz w:val="24"/>
        </w:rPr>
        <w:t> </w:t>
      </w:r>
      <w:r>
        <w:rPr>
          <w:sz w:val="24"/>
        </w:rPr>
        <w:t>certain</w:t>
      </w:r>
      <w:r>
        <w:rPr>
          <w:spacing w:val="-12"/>
          <w:sz w:val="24"/>
        </w:rPr>
        <w:t> </w:t>
      </w:r>
      <w:r>
        <w:rPr>
          <w:sz w:val="24"/>
        </w:rPr>
        <w:t>functions,</w:t>
      </w:r>
      <w:r>
        <w:rPr>
          <w:spacing w:val="-15"/>
          <w:sz w:val="24"/>
        </w:rPr>
        <w:t> </w:t>
      </w:r>
      <w:r>
        <w:rPr>
          <w:sz w:val="24"/>
        </w:rPr>
        <w:t>it</w:t>
      </w:r>
      <w:r>
        <w:rPr>
          <w:spacing w:val="-15"/>
          <w:sz w:val="24"/>
        </w:rPr>
        <w:t> </w:t>
      </w:r>
      <w:r>
        <w:rPr>
          <w:sz w:val="24"/>
        </w:rPr>
        <w:t>retains</w:t>
      </w:r>
      <w:r>
        <w:rPr>
          <w:spacing w:val="-13"/>
          <w:sz w:val="24"/>
        </w:rPr>
        <w:t> </w:t>
      </w:r>
      <w:r>
        <w:rPr>
          <w:sz w:val="24"/>
        </w:rPr>
        <w:t>overall </w:t>
      </w:r>
      <w:r>
        <w:rPr>
          <w:spacing w:val="-2"/>
          <w:sz w:val="24"/>
        </w:rPr>
        <w:t>responsibility</w:t>
      </w:r>
      <w:r>
        <w:rPr>
          <w:spacing w:val="-13"/>
          <w:sz w:val="24"/>
        </w:rPr>
        <w:t> </w:t>
      </w:r>
      <w:r>
        <w:rPr>
          <w:spacing w:val="-2"/>
          <w:sz w:val="24"/>
        </w:rPr>
        <w:t>and</w:t>
      </w:r>
      <w:r>
        <w:rPr>
          <w:spacing w:val="-11"/>
          <w:sz w:val="24"/>
        </w:rPr>
        <w:t> </w:t>
      </w:r>
      <w:r>
        <w:rPr>
          <w:spacing w:val="-2"/>
          <w:sz w:val="24"/>
        </w:rPr>
        <w:t>accountability</w:t>
      </w:r>
      <w:r>
        <w:rPr>
          <w:spacing w:val="-7"/>
          <w:sz w:val="24"/>
        </w:rPr>
        <w:t> </w:t>
      </w:r>
      <w:r>
        <w:rPr>
          <w:spacing w:val="-2"/>
          <w:sz w:val="24"/>
        </w:rPr>
        <w:t>for</w:t>
      </w:r>
      <w:r>
        <w:rPr>
          <w:spacing w:val="-12"/>
          <w:sz w:val="24"/>
        </w:rPr>
        <w:t> </w:t>
      </w:r>
      <w:r>
        <w:rPr>
          <w:spacing w:val="-2"/>
          <w:sz w:val="24"/>
        </w:rPr>
        <w:t>ensuring</w:t>
      </w:r>
      <w:r>
        <w:rPr>
          <w:spacing w:val="-6"/>
          <w:sz w:val="24"/>
        </w:rPr>
        <w:t> </w:t>
      </w:r>
      <w:r>
        <w:rPr>
          <w:spacing w:val="-2"/>
          <w:sz w:val="24"/>
        </w:rPr>
        <w:t>the</w:t>
      </w:r>
      <w:r>
        <w:rPr>
          <w:spacing w:val="-6"/>
          <w:sz w:val="24"/>
        </w:rPr>
        <w:t> </w:t>
      </w:r>
      <w:r>
        <w:rPr>
          <w:spacing w:val="-2"/>
          <w:sz w:val="24"/>
        </w:rPr>
        <w:t>quality</w:t>
      </w:r>
      <w:r>
        <w:rPr>
          <w:spacing w:val="-15"/>
          <w:sz w:val="24"/>
        </w:rPr>
        <w:t> </w:t>
      </w:r>
      <w:r>
        <w:rPr>
          <w:spacing w:val="-2"/>
          <w:sz w:val="24"/>
        </w:rPr>
        <w:t>and</w:t>
      </w:r>
      <w:r>
        <w:rPr>
          <w:spacing w:val="-10"/>
          <w:sz w:val="24"/>
        </w:rPr>
        <w:t> </w:t>
      </w:r>
      <w:r>
        <w:rPr>
          <w:spacing w:val="-2"/>
          <w:sz w:val="24"/>
        </w:rPr>
        <w:t>safety</w:t>
      </w:r>
      <w:r>
        <w:rPr>
          <w:spacing w:val="-12"/>
          <w:sz w:val="24"/>
        </w:rPr>
        <w:t> </w:t>
      </w:r>
      <w:r>
        <w:rPr>
          <w:spacing w:val="-2"/>
          <w:sz w:val="24"/>
        </w:rPr>
        <w:t>of</w:t>
      </w:r>
      <w:r>
        <w:rPr>
          <w:spacing w:val="-14"/>
          <w:sz w:val="24"/>
        </w:rPr>
        <w:t> </w:t>
      </w:r>
      <w:r>
        <w:rPr>
          <w:spacing w:val="-2"/>
          <w:sz w:val="24"/>
        </w:rPr>
        <w:t>healthcare</w:t>
      </w:r>
      <w:r>
        <w:rPr>
          <w:spacing w:val="-6"/>
          <w:sz w:val="24"/>
        </w:rPr>
        <w:t> </w:t>
      </w:r>
      <w:r>
        <w:rPr>
          <w:spacing w:val="-2"/>
          <w:sz w:val="24"/>
        </w:rPr>
        <w:t>for</w:t>
      </w:r>
      <w:r>
        <w:rPr>
          <w:spacing w:val="-12"/>
          <w:sz w:val="24"/>
        </w:rPr>
        <w:t> </w:t>
      </w:r>
      <w:r>
        <w:rPr>
          <w:spacing w:val="-2"/>
          <w:sz w:val="24"/>
        </w:rPr>
        <w:t>its </w:t>
      </w:r>
      <w:r>
        <w:rPr>
          <w:sz w:val="24"/>
        </w:rPr>
        <w:t>citizens,</w:t>
      </w:r>
      <w:r>
        <w:rPr>
          <w:spacing w:val="-13"/>
          <w:sz w:val="24"/>
        </w:rPr>
        <w:t> </w:t>
      </w:r>
      <w:r>
        <w:rPr>
          <w:sz w:val="24"/>
        </w:rPr>
        <w:t>through</w:t>
      </w:r>
      <w:r>
        <w:rPr>
          <w:spacing w:val="-5"/>
          <w:sz w:val="24"/>
        </w:rPr>
        <w:t> </w:t>
      </w:r>
      <w:r>
        <w:rPr>
          <w:sz w:val="24"/>
        </w:rPr>
        <w:t>the</w:t>
      </w:r>
      <w:r>
        <w:rPr>
          <w:spacing w:val="-10"/>
          <w:sz w:val="24"/>
        </w:rPr>
        <w:t> </w:t>
      </w:r>
      <w:r>
        <w:rPr>
          <w:sz w:val="24"/>
        </w:rPr>
        <w:t>effective</w:t>
      </w:r>
      <w:r>
        <w:rPr>
          <w:spacing w:val="-10"/>
          <w:sz w:val="24"/>
        </w:rPr>
        <w:t> </w:t>
      </w:r>
      <w:r>
        <w:rPr>
          <w:sz w:val="24"/>
        </w:rPr>
        <w:t>governance</w:t>
      </w:r>
      <w:r>
        <w:rPr>
          <w:spacing w:val="-10"/>
          <w:sz w:val="24"/>
        </w:rPr>
        <w:t> </w:t>
      </w:r>
      <w:r>
        <w:rPr>
          <w:sz w:val="24"/>
        </w:rPr>
        <w:t>of</w:t>
      </w:r>
      <w:r>
        <w:rPr>
          <w:spacing w:val="-8"/>
          <w:sz w:val="24"/>
        </w:rPr>
        <w:t> </w:t>
      </w:r>
      <w:r>
        <w:rPr>
          <w:sz w:val="24"/>
        </w:rPr>
        <w:t>the</w:t>
      </w:r>
      <w:r>
        <w:rPr>
          <w:spacing w:val="-5"/>
          <w:sz w:val="24"/>
        </w:rPr>
        <w:t> </w:t>
      </w:r>
      <w:r>
        <w:rPr>
          <w:sz w:val="24"/>
        </w:rPr>
        <w:t>organisation.</w:t>
      </w:r>
    </w:p>
    <w:p>
      <w:pPr>
        <w:pStyle w:val="BodyText"/>
      </w:pPr>
    </w:p>
    <w:p>
      <w:pPr>
        <w:pStyle w:val="ListParagraph"/>
        <w:numPr>
          <w:ilvl w:val="1"/>
          <w:numId w:val="45"/>
        </w:numPr>
        <w:tabs>
          <w:tab w:pos="862" w:val="left" w:leader="none"/>
        </w:tabs>
        <w:spacing w:line="240" w:lineRule="auto" w:before="0" w:after="0"/>
        <w:ind w:left="862" w:right="1534" w:hanging="720"/>
        <w:jc w:val="left"/>
        <w:rPr>
          <w:sz w:val="24"/>
        </w:rPr>
      </w:pPr>
      <w:r>
        <w:rPr>
          <w:spacing w:val="-2"/>
          <w:sz w:val="24"/>
        </w:rPr>
        <w:t>The</w:t>
      </w:r>
      <w:r>
        <w:rPr>
          <w:spacing w:val="-13"/>
          <w:sz w:val="24"/>
        </w:rPr>
        <w:t> </w:t>
      </w:r>
      <w:r>
        <w:rPr>
          <w:spacing w:val="-2"/>
          <w:sz w:val="24"/>
        </w:rPr>
        <w:t>RJC</w:t>
      </w:r>
      <w:r>
        <w:rPr>
          <w:spacing w:val="-11"/>
          <w:sz w:val="24"/>
        </w:rPr>
        <w:t> </w:t>
      </w:r>
      <w:r>
        <w:rPr>
          <w:spacing w:val="-2"/>
          <w:sz w:val="24"/>
        </w:rPr>
        <w:t>is</w:t>
      </w:r>
      <w:r>
        <w:rPr>
          <w:spacing w:val="-13"/>
          <w:sz w:val="24"/>
        </w:rPr>
        <w:t> </w:t>
      </w:r>
      <w:r>
        <w:rPr>
          <w:spacing w:val="-2"/>
          <w:sz w:val="24"/>
        </w:rPr>
        <w:t>directly</w:t>
      </w:r>
      <w:r>
        <w:rPr>
          <w:spacing w:val="-13"/>
          <w:sz w:val="24"/>
        </w:rPr>
        <w:t> </w:t>
      </w:r>
      <w:r>
        <w:rPr>
          <w:spacing w:val="-2"/>
          <w:sz w:val="24"/>
        </w:rPr>
        <w:t>accountable</w:t>
      </w:r>
      <w:r>
        <w:rPr>
          <w:spacing w:val="-7"/>
          <w:sz w:val="24"/>
        </w:rPr>
        <w:t> </w:t>
      </w:r>
      <w:r>
        <w:rPr>
          <w:spacing w:val="-2"/>
          <w:sz w:val="24"/>
        </w:rPr>
        <w:t>to</w:t>
      </w:r>
      <w:r>
        <w:rPr>
          <w:spacing w:val="-12"/>
          <w:sz w:val="24"/>
        </w:rPr>
        <w:t> </w:t>
      </w:r>
      <w:r>
        <w:rPr>
          <w:spacing w:val="-2"/>
          <w:sz w:val="24"/>
        </w:rPr>
        <w:t>the</w:t>
      </w:r>
      <w:r>
        <w:rPr>
          <w:spacing w:val="-10"/>
          <w:sz w:val="24"/>
        </w:rPr>
        <w:t> </w:t>
      </w:r>
      <w:r>
        <w:rPr>
          <w:spacing w:val="-2"/>
          <w:sz w:val="24"/>
        </w:rPr>
        <w:t>respective</w:t>
      </w:r>
      <w:r>
        <w:rPr>
          <w:spacing w:val="-11"/>
          <w:sz w:val="24"/>
        </w:rPr>
        <w:t> </w:t>
      </w:r>
      <w:r>
        <w:rPr>
          <w:spacing w:val="-2"/>
          <w:sz w:val="24"/>
        </w:rPr>
        <w:t>University</w:t>
      </w:r>
      <w:r>
        <w:rPr>
          <w:spacing w:val="-13"/>
          <w:sz w:val="24"/>
        </w:rPr>
        <w:t> </w:t>
      </w:r>
      <w:r>
        <w:rPr>
          <w:spacing w:val="-2"/>
          <w:sz w:val="24"/>
        </w:rPr>
        <w:t>Health</w:t>
      </w:r>
      <w:r>
        <w:rPr>
          <w:spacing w:val="-10"/>
          <w:sz w:val="24"/>
        </w:rPr>
        <w:t> </w:t>
      </w:r>
      <w:r>
        <w:rPr>
          <w:spacing w:val="-2"/>
          <w:sz w:val="24"/>
        </w:rPr>
        <w:t>Board’s</w:t>
      </w:r>
      <w:r>
        <w:rPr>
          <w:spacing w:val="-13"/>
          <w:sz w:val="24"/>
        </w:rPr>
        <w:t> </w:t>
      </w:r>
      <w:r>
        <w:rPr>
          <w:spacing w:val="-2"/>
          <w:sz w:val="24"/>
        </w:rPr>
        <w:t>for</w:t>
      </w:r>
      <w:r>
        <w:rPr>
          <w:spacing w:val="-15"/>
          <w:sz w:val="24"/>
        </w:rPr>
        <w:t> </w:t>
      </w:r>
      <w:r>
        <w:rPr>
          <w:spacing w:val="-2"/>
          <w:sz w:val="24"/>
        </w:rPr>
        <w:t>its </w:t>
      </w:r>
      <w:r>
        <w:rPr>
          <w:sz w:val="24"/>
        </w:rPr>
        <w:t>performance</w:t>
      </w:r>
      <w:r>
        <w:rPr>
          <w:spacing w:val="-11"/>
          <w:sz w:val="24"/>
        </w:rPr>
        <w:t> </w:t>
      </w:r>
      <w:r>
        <w:rPr>
          <w:sz w:val="24"/>
        </w:rPr>
        <w:t>in</w:t>
      </w:r>
      <w:r>
        <w:rPr>
          <w:spacing w:val="-11"/>
          <w:sz w:val="24"/>
        </w:rPr>
        <w:t> </w:t>
      </w:r>
      <w:r>
        <w:rPr>
          <w:sz w:val="24"/>
        </w:rPr>
        <w:t>exercising</w:t>
      </w:r>
      <w:r>
        <w:rPr>
          <w:spacing w:val="-11"/>
          <w:sz w:val="24"/>
        </w:rPr>
        <w:t> </w:t>
      </w:r>
      <w:r>
        <w:rPr>
          <w:sz w:val="24"/>
        </w:rPr>
        <w:t>the</w:t>
      </w:r>
      <w:r>
        <w:rPr>
          <w:spacing w:val="-6"/>
          <w:sz w:val="24"/>
        </w:rPr>
        <w:t> </w:t>
      </w:r>
      <w:r>
        <w:rPr>
          <w:sz w:val="24"/>
        </w:rPr>
        <w:t>functions</w:t>
      </w:r>
      <w:r>
        <w:rPr>
          <w:spacing w:val="-12"/>
          <w:sz w:val="24"/>
        </w:rPr>
        <w:t> </w:t>
      </w:r>
      <w:r>
        <w:rPr>
          <w:sz w:val="24"/>
        </w:rPr>
        <w:t>set</w:t>
      </w:r>
      <w:r>
        <w:rPr>
          <w:spacing w:val="-14"/>
          <w:sz w:val="24"/>
        </w:rPr>
        <w:t> </w:t>
      </w:r>
      <w:r>
        <w:rPr>
          <w:sz w:val="24"/>
        </w:rPr>
        <w:t>out</w:t>
      </w:r>
      <w:r>
        <w:rPr>
          <w:spacing w:val="-14"/>
          <w:sz w:val="24"/>
        </w:rPr>
        <w:t> </w:t>
      </w:r>
      <w:r>
        <w:rPr>
          <w:sz w:val="24"/>
        </w:rPr>
        <w:t>in</w:t>
      </w:r>
      <w:r>
        <w:rPr>
          <w:spacing w:val="-11"/>
          <w:sz w:val="24"/>
        </w:rPr>
        <w:t> </w:t>
      </w:r>
      <w:r>
        <w:rPr>
          <w:sz w:val="24"/>
        </w:rPr>
        <w:t>these</w:t>
      </w:r>
      <w:r>
        <w:rPr>
          <w:spacing w:val="-6"/>
          <w:sz w:val="24"/>
        </w:rPr>
        <w:t> </w:t>
      </w:r>
      <w:r>
        <w:rPr>
          <w:sz w:val="24"/>
        </w:rPr>
        <w:t>terms</w:t>
      </w:r>
      <w:r>
        <w:rPr>
          <w:spacing w:val="-12"/>
          <w:sz w:val="24"/>
        </w:rPr>
        <w:t> </w:t>
      </w:r>
      <w:r>
        <w:rPr>
          <w:sz w:val="24"/>
        </w:rPr>
        <w:t>of</w:t>
      </w:r>
      <w:r>
        <w:rPr>
          <w:spacing w:val="-9"/>
          <w:sz w:val="24"/>
        </w:rPr>
        <w:t> </w:t>
      </w:r>
      <w:r>
        <w:rPr>
          <w:sz w:val="24"/>
        </w:rPr>
        <w:t>reference.</w:t>
      </w:r>
    </w:p>
    <w:p>
      <w:pPr>
        <w:pStyle w:val="BodyText"/>
        <w:spacing w:before="2"/>
      </w:pPr>
    </w:p>
    <w:p>
      <w:pPr>
        <w:pStyle w:val="ListParagraph"/>
        <w:numPr>
          <w:ilvl w:val="1"/>
          <w:numId w:val="45"/>
        </w:numPr>
        <w:tabs>
          <w:tab w:pos="862" w:val="left" w:leader="none"/>
        </w:tabs>
        <w:spacing w:line="240" w:lineRule="auto" w:before="0" w:after="0"/>
        <w:ind w:left="862" w:right="643" w:hanging="720"/>
        <w:jc w:val="left"/>
        <w:rPr>
          <w:sz w:val="24"/>
        </w:rPr>
      </w:pPr>
      <w:r>
        <w:rPr>
          <w:spacing w:val="-2"/>
          <w:sz w:val="24"/>
        </w:rPr>
        <w:t>The</w:t>
      </w:r>
      <w:r>
        <w:rPr>
          <w:spacing w:val="-10"/>
          <w:sz w:val="24"/>
        </w:rPr>
        <w:t> </w:t>
      </w:r>
      <w:r>
        <w:rPr>
          <w:spacing w:val="-2"/>
          <w:sz w:val="24"/>
        </w:rPr>
        <w:t>requirements</w:t>
      </w:r>
      <w:r>
        <w:rPr>
          <w:spacing w:val="-11"/>
          <w:sz w:val="24"/>
        </w:rPr>
        <w:t> </w:t>
      </w:r>
      <w:r>
        <w:rPr>
          <w:spacing w:val="-2"/>
          <w:sz w:val="24"/>
        </w:rPr>
        <w:t>for</w:t>
      </w:r>
      <w:r>
        <w:rPr>
          <w:spacing w:val="-11"/>
          <w:sz w:val="24"/>
        </w:rPr>
        <w:t> </w:t>
      </w:r>
      <w:r>
        <w:rPr>
          <w:spacing w:val="-2"/>
          <w:sz w:val="24"/>
        </w:rPr>
        <w:t>the</w:t>
      </w:r>
      <w:r>
        <w:rPr>
          <w:spacing w:val="-10"/>
          <w:sz w:val="24"/>
        </w:rPr>
        <w:t> </w:t>
      </w:r>
      <w:r>
        <w:rPr>
          <w:spacing w:val="-2"/>
          <w:sz w:val="24"/>
        </w:rPr>
        <w:t>conduct</w:t>
      </w:r>
      <w:r>
        <w:rPr>
          <w:spacing w:val="-13"/>
          <w:sz w:val="24"/>
        </w:rPr>
        <w:t> </w:t>
      </w:r>
      <w:r>
        <w:rPr>
          <w:spacing w:val="-2"/>
          <w:sz w:val="24"/>
        </w:rPr>
        <w:t>of</w:t>
      </w:r>
      <w:r>
        <w:rPr>
          <w:spacing w:val="-13"/>
          <w:sz w:val="24"/>
        </w:rPr>
        <w:t> </w:t>
      </w:r>
      <w:r>
        <w:rPr>
          <w:spacing w:val="-2"/>
          <w:sz w:val="24"/>
        </w:rPr>
        <w:t>business</w:t>
      </w:r>
      <w:r>
        <w:rPr>
          <w:spacing w:val="-11"/>
          <w:sz w:val="24"/>
        </w:rPr>
        <w:t> </w:t>
      </w:r>
      <w:r>
        <w:rPr>
          <w:spacing w:val="-2"/>
          <w:sz w:val="24"/>
        </w:rPr>
        <w:t>as</w:t>
      </w:r>
      <w:r>
        <w:rPr>
          <w:spacing w:val="-6"/>
          <w:sz w:val="24"/>
        </w:rPr>
        <w:t> </w:t>
      </w:r>
      <w:r>
        <w:rPr>
          <w:spacing w:val="-2"/>
          <w:sz w:val="24"/>
        </w:rPr>
        <w:t>set</w:t>
      </w:r>
      <w:r>
        <w:rPr>
          <w:spacing w:val="-13"/>
          <w:sz w:val="24"/>
        </w:rPr>
        <w:t> </w:t>
      </w:r>
      <w:r>
        <w:rPr>
          <w:spacing w:val="-2"/>
          <w:sz w:val="24"/>
        </w:rPr>
        <w:t>out</w:t>
      </w:r>
      <w:r>
        <w:rPr>
          <w:spacing w:val="-13"/>
          <w:sz w:val="24"/>
        </w:rPr>
        <w:t> </w:t>
      </w:r>
      <w:r>
        <w:rPr>
          <w:spacing w:val="-2"/>
          <w:sz w:val="24"/>
        </w:rPr>
        <w:t>in</w:t>
      </w:r>
      <w:r>
        <w:rPr>
          <w:spacing w:val="-6"/>
          <w:sz w:val="24"/>
        </w:rPr>
        <w:t> </w:t>
      </w:r>
      <w:r>
        <w:rPr>
          <w:spacing w:val="-2"/>
          <w:sz w:val="24"/>
        </w:rPr>
        <w:t>each</w:t>
      </w:r>
      <w:r>
        <w:rPr>
          <w:spacing w:val="-10"/>
          <w:sz w:val="24"/>
        </w:rPr>
        <w:t> </w:t>
      </w:r>
      <w:r>
        <w:rPr>
          <w:spacing w:val="-2"/>
          <w:sz w:val="24"/>
        </w:rPr>
        <w:t>University</w:t>
      </w:r>
      <w:r>
        <w:rPr>
          <w:spacing w:val="-15"/>
          <w:sz w:val="24"/>
        </w:rPr>
        <w:t> </w:t>
      </w:r>
      <w:r>
        <w:rPr>
          <w:spacing w:val="-2"/>
          <w:sz w:val="24"/>
        </w:rPr>
        <w:t>Health</w:t>
      </w:r>
      <w:r>
        <w:rPr>
          <w:spacing w:val="-10"/>
          <w:sz w:val="24"/>
        </w:rPr>
        <w:t> </w:t>
      </w:r>
      <w:r>
        <w:rPr>
          <w:spacing w:val="-2"/>
          <w:sz w:val="24"/>
        </w:rPr>
        <w:t>Board’s </w:t>
      </w:r>
      <w:r>
        <w:rPr>
          <w:sz w:val="24"/>
        </w:rPr>
        <w:t>Standing</w:t>
      </w:r>
      <w:r>
        <w:rPr>
          <w:spacing w:val="-7"/>
          <w:sz w:val="24"/>
        </w:rPr>
        <w:t> </w:t>
      </w:r>
      <w:r>
        <w:rPr>
          <w:sz w:val="24"/>
        </w:rPr>
        <w:t>Orders</w:t>
      </w:r>
      <w:r>
        <w:rPr>
          <w:spacing w:val="-13"/>
          <w:sz w:val="24"/>
        </w:rPr>
        <w:t> </w:t>
      </w:r>
      <w:r>
        <w:rPr>
          <w:sz w:val="24"/>
        </w:rPr>
        <w:t>are</w:t>
      </w:r>
      <w:r>
        <w:rPr>
          <w:spacing w:val="-7"/>
          <w:sz w:val="24"/>
        </w:rPr>
        <w:t> </w:t>
      </w:r>
      <w:r>
        <w:rPr>
          <w:sz w:val="24"/>
        </w:rPr>
        <w:t>equally</w:t>
      </w:r>
      <w:r>
        <w:rPr>
          <w:spacing w:val="-8"/>
          <w:sz w:val="24"/>
        </w:rPr>
        <w:t> </w:t>
      </w:r>
      <w:r>
        <w:rPr>
          <w:sz w:val="24"/>
        </w:rPr>
        <w:t>applicable</w:t>
      </w:r>
      <w:r>
        <w:rPr>
          <w:spacing w:val="-2"/>
          <w:sz w:val="24"/>
        </w:rPr>
        <w:t> </w:t>
      </w:r>
      <w:r>
        <w:rPr>
          <w:sz w:val="24"/>
        </w:rPr>
        <w:t>to</w:t>
      </w:r>
      <w:r>
        <w:rPr>
          <w:spacing w:val="-7"/>
          <w:sz w:val="24"/>
        </w:rPr>
        <w:t> </w:t>
      </w:r>
      <w:r>
        <w:rPr>
          <w:sz w:val="24"/>
        </w:rPr>
        <w:t>the</w:t>
      </w:r>
      <w:r>
        <w:rPr>
          <w:spacing w:val="-12"/>
          <w:sz w:val="24"/>
        </w:rPr>
        <w:t> </w:t>
      </w:r>
      <w:r>
        <w:rPr>
          <w:sz w:val="24"/>
        </w:rPr>
        <w:t>operation</w:t>
      </w:r>
      <w:r>
        <w:rPr>
          <w:spacing w:val="-12"/>
          <w:sz w:val="24"/>
        </w:rPr>
        <w:t> </w:t>
      </w:r>
      <w:r>
        <w:rPr>
          <w:sz w:val="24"/>
        </w:rPr>
        <w:t>of</w:t>
      </w:r>
      <w:r>
        <w:rPr>
          <w:spacing w:val="-5"/>
          <w:sz w:val="24"/>
        </w:rPr>
        <w:t> </w:t>
      </w:r>
      <w:r>
        <w:rPr>
          <w:sz w:val="24"/>
        </w:rPr>
        <w:t>the</w:t>
      </w:r>
      <w:r>
        <w:rPr>
          <w:spacing w:val="-3"/>
          <w:sz w:val="24"/>
        </w:rPr>
        <w:t> </w:t>
      </w:r>
      <w:r>
        <w:rPr>
          <w:sz w:val="24"/>
        </w:rPr>
        <w:t>RJC.</w:t>
      </w:r>
    </w:p>
    <w:p>
      <w:pPr>
        <w:pStyle w:val="ListParagraph"/>
        <w:numPr>
          <w:ilvl w:val="1"/>
          <w:numId w:val="45"/>
        </w:numPr>
        <w:tabs>
          <w:tab w:pos="862" w:val="left" w:leader="none"/>
        </w:tabs>
        <w:spacing w:line="240" w:lineRule="auto" w:before="274" w:after="0"/>
        <w:ind w:left="862" w:right="1360" w:hanging="720"/>
        <w:jc w:val="left"/>
        <w:rPr>
          <w:sz w:val="24"/>
        </w:rPr>
      </w:pPr>
      <w:r>
        <w:rPr>
          <w:spacing w:val="-2"/>
          <w:sz w:val="24"/>
        </w:rPr>
        <w:t>The</w:t>
      </w:r>
      <w:r>
        <w:rPr>
          <w:spacing w:val="-12"/>
          <w:sz w:val="24"/>
        </w:rPr>
        <w:t> </w:t>
      </w:r>
      <w:r>
        <w:rPr>
          <w:spacing w:val="-2"/>
          <w:sz w:val="24"/>
        </w:rPr>
        <w:t>RJC</w:t>
      </w:r>
      <w:r>
        <w:rPr>
          <w:spacing w:val="-10"/>
          <w:sz w:val="24"/>
        </w:rPr>
        <w:t> </w:t>
      </w:r>
      <w:r>
        <w:rPr>
          <w:spacing w:val="-2"/>
          <w:sz w:val="24"/>
        </w:rPr>
        <w:t>will</w:t>
      </w:r>
      <w:r>
        <w:rPr>
          <w:spacing w:val="-11"/>
          <w:sz w:val="24"/>
        </w:rPr>
        <w:t> </w:t>
      </w:r>
      <w:r>
        <w:rPr>
          <w:spacing w:val="-2"/>
          <w:sz w:val="24"/>
        </w:rPr>
        <w:t>operate</w:t>
      </w:r>
      <w:r>
        <w:rPr>
          <w:spacing w:val="-15"/>
          <w:sz w:val="24"/>
        </w:rPr>
        <w:t> </w:t>
      </w:r>
      <w:r>
        <w:rPr>
          <w:spacing w:val="-2"/>
          <w:sz w:val="24"/>
        </w:rPr>
        <w:t>in</w:t>
      </w:r>
      <w:r>
        <w:rPr>
          <w:spacing w:val="-11"/>
          <w:sz w:val="24"/>
        </w:rPr>
        <w:t> </w:t>
      </w:r>
      <w:r>
        <w:rPr>
          <w:spacing w:val="-2"/>
          <w:sz w:val="24"/>
        </w:rPr>
        <w:t>accordance</w:t>
      </w:r>
      <w:r>
        <w:rPr>
          <w:spacing w:val="-11"/>
          <w:sz w:val="24"/>
        </w:rPr>
        <w:t> </w:t>
      </w:r>
      <w:r>
        <w:rPr>
          <w:spacing w:val="-2"/>
          <w:sz w:val="24"/>
        </w:rPr>
        <w:t>with</w:t>
      </w:r>
      <w:r>
        <w:rPr>
          <w:spacing w:val="-11"/>
          <w:sz w:val="24"/>
        </w:rPr>
        <w:t> </w:t>
      </w:r>
      <w:r>
        <w:rPr>
          <w:spacing w:val="-2"/>
          <w:sz w:val="24"/>
        </w:rPr>
        <w:t>the</w:t>
      </w:r>
      <w:r>
        <w:rPr>
          <w:spacing w:val="-15"/>
          <w:sz w:val="24"/>
        </w:rPr>
        <w:t> </w:t>
      </w:r>
      <w:r>
        <w:rPr>
          <w:spacing w:val="-2"/>
          <w:sz w:val="24"/>
        </w:rPr>
        <w:t>principles</w:t>
      </w:r>
      <w:r>
        <w:rPr>
          <w:spacing w:val="-12"/>
          <w:sz w:val="24"/>
        </w:rPr>
        <w:t> </w:t>
      </w:r>
      <w:r>
        <w:rPr>
          <w:spacing w:val="-2"/>
          <w:sz w:val="24"/>
        </w:rPr>
        <w:t>approved</w:t>
      </w:r>
      <w:r>
        <w:rPr>
          <w:spacing w:val="-11"/>
          <w:sz w:val="24"/>
        </w:rPr>
        <w:t> </w:t>
      </w:r>
      <w:r>
        <w:rPr>
          <w:spacing w:val="-2"/>
          <w:sz w:val="24"/>
        </w:rPr>
        <w:t>by</w:t>
      </w:r>
      <w:r>
        <w:rPr>
          <w:spacing w:val="-12"/>
          <w:sz w:val="24"/>
        </w:rPr>
        <w:t> </w:t>
      </w:r>
      <w:r>
        <w:rPr>
          <w:spacing w:val="-2"/>
          <w:sz w:val="24"/>
        </w:rPr>
        <w:t>both</w:t>
      </w:r>
      <w:r>
        <w:rPr>
          <w:spacing w:val="-11"/>
          <w:sz w:val="24"/>
        </w:rPr>
        <w:t> </w:t>
      </w:r>
      <w:r>
        <w:rPr>
          <w:spacing w:val="-2"/>
          <w:sz w:val="24"/>
        </w:rPr>
        <w:t>sovereign bodies.</w:t>
      </w:r>
    </w:p>
    <w:p>
      <w:pPr>
        <w:pStyle w:val="BodyText"/>
        <w:spacing w:before="79"/>
        <w:rPr>
          <w:sz w:val="20"/>
        </w:rPr>
      </w:pPr>
      <w:r>
        <w:rPr>
          <w:sz w:val="20"/>
        </w:rPr>
        <mc:AlternateContent>
          <mc:Choice Requires="wps">
            <w:drawing>
              <wp:anchor distT="0" distB="0" distL="0" distR="0" allowOverlap="1" layoutInCell="1" locked="0" behindDoc="1" simplePos="0" relativeHeight="487657984">
                <wp:simplePos x="0" y="0"/>
                <wp:positionH relativeFrom="page">
                  <wp:posOffset>574992</wp:posOffset>
                </wp:positionH>
                <wp:positionV relativeFrom="paragraph">
                  <wp:posOffset>217998</wp:posOffset>
                </wp:positionV>
                <wp:extent cx="6575425" cy="193675"/>
                <wp:effectExtent l="0" t="0" r="0" b="0"/>
                <wp:wrapTopAndBottom/>
                <wp:docPr id="446" name="Textbox 446"/>
                <wp:cNvGraphicFramePr>
                  <a:graphicFrameLocks/>
                </wp:cNvGraphicFramePr>
                <a:graphic>
                  <a:graphicData uri="http://schemas.microsoft.com/office/word/2010/wordprocessingShape">
                    <wps:wsp>
                      <wps:cNvPr id="446" name="Textbox 446"/>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12.</w:t>
                            </w:r>
                            <w:r>
                              <w:rPr>
                                <w:b/>
                                <w:color w:val="000000"/>
                                <w:spacing w:val="43"/>
                                <w:sz w:val="24"/>
                              </w:rPr>
                              <w:t> </w:t>
                            </w:r>
                            <w:r>
                              <w:rPr>
                                <w:b/>
                                <w:color w:val="000000"/>
                                <w:spacing w:val="-2"/>
                                <w:sz w:val="24"/>
                              </w:rPr>
                              <w:t>Reporting</w:t>
                            </w:r>
                          </w:p>
                        </w:txbxContent>
                      </wps:txbx>
                      <wps:bodyPr wrap="square" lIns="0" tIns="0" rIns="0" bIns="0" rtlCol="0">
                        <a:noAutofit/>
                      </wps:bodyPr>
                    </wps:wsp>
                  </a:graphicData>
                </a:graphic>
              </wp:anchor>
            </w:drawing>
          </mc:Choice>
          <mc:Fallback>
            <w:pict>
              <v:shape style="position:absolute;margin-left:45.275002pt;margin-top:17.165234pt;width:517.75pt;height:15.25pt;mso-position-horizontal-relative:page;mso-position-vertical-relative:paragraph;z-index:-15658496;mso-wrap-distance-left:0;mso-wrap-distance-right:0" type="#_x0000_t202" id="docshape229" filled="true" fillcolor="#c1a875" stroked="true" strokeweight="1pt" strokecolor="#394871">
                <v:textbox inset="0,0,0,0">
                  <w:txbxContent>
                    <w:p>
                      <w:pPr>
                        <w:spacing w:before="0"/>
                        <w:ind w:left="95" w:right="0" w:firstLine="0"/>
                        <w:jc w:val="left"/>
                        <w:rPr>
                          <w:b/>
                          <w:color w:val="000000"/>
                          <w:sz w:val="24"/>
                        </w:rPr>
                      </w:pPr>
                      <w:r>
                        <w:rPr>
                          <w:b/>
                          <w:color w:val="000000"/>
                          <w:sz w:val="24"/>
                        </w:rPr>
                        <w:t>12.</w:t>
                      </w:r>
                      <w:r>
                        <w:rPr>
                          <w:b/>
                          <w:color w:val="000000"/>
                          <w:spacing w:val="43"/>
                          <w:sz w:val="24"/>
                        </w:rPr>
                        <w:t> </w:t>
                      </w:r>
                      <w:r>
                        <w:rPr>
                          <w:b/>
                          <w:color w:val="000000"/>
                          <w:spacing w:val="-2"/>
                          <w:sz w:val="24"/>
                        </w:rPr>
                        <w:t>Reporting</w:t>
                      </w:r>
                    </w:p>
                  </w:txbxContent>
                </v:textbox>
                <v:fill type="solid"/>
                <v:stroke dashstyle="solid"/>
                <w10:wrap type="topAndBottom"/>
              </v:shape>
            </w:pict>
          </mc:Fallback>
        </mc:AlternateContent>
      </w:r>
    </w:p>
    <w:p>
      <w:pPr>
        <w:pStyle w:val="BodyText"/>
        <w:spacing w:before="9"/>
      </w:pPr>
    </w:p>
    <w:p>
      <w:pPr>
        <w:pStyle w:val="ListParagraph"/>
        <w:numPr>
          <w:ilvl w:val="1"/>
          <w:numId w:val="46"/>
        </w:numPr>
        <w:tabs>
          <w:tab w:pos="852" w:val="left" w:leader="none"/>
        </w:tabs>
        <w:spacing w:line="240" w:lineRule="auto" w:before="0" w:after="0"/>
        <w:ind w:left="852" w:right="524" w:hanging="710"/>
        <w:jc w:val="left"/>
        <w:rPr>
          <w:sz w:val="24"/>
        </w:rPr>
      </w:pPr>
      <w:r>
        <w:rPr>
          <w:sz w:val="24"/>
        </w:rPr>
        <w:t>The</w:t>
      </w:r>
      <w:r>
        <w:rPr>
          <w:spacing w:val="-1"/>
          <w:sz w:val="24"/>
        </w:rPr>
        <w:t> </w:t>
      </w:r>
      <w:r>
        <w:rPr>
          <w:sz w:val="24"/>
        </w:rPr>
        <w:t>RJC</w:t>
      </w:r>
      <w:r>
        <w:rPr>
          <w:spacing w:val="-1"/>
          <w:sz w:val="24"/>
        </w:rPr>
        <w:t> </w:t>
      </w:r>
      <w:r>
        <w:rPr>
          <w:sz w:val="24"/>
        </w:rPr>
        <w:t>may</w:t>
      </w:r>
      <w:r>
        <w:rPr>
          <w:spacing w:val="-3"/>
          <w:sz w:val="24"/>
        </w:rPr>
        <w:t> </w:t>
      </w:r>
      <w:r>
        <w:rPr>
          <w:sz w:val="24"/>
        </w:rPr>
        <w:t>establish sub-committees,</w:t>
      </w:r>
      <w:r>
        <w:rPr>
          <w:spacing w:val="-4"/>
          <w:sz w:val="24"/>
        </w:rPr>
        <w:t> </w:t>
      </w:r>
      <w:r>
        <w:rPr>
          <w:sz w:val="24"/>
        </w:rPr>
        <w:t>groups</w:t>
      </w:r>
      <w:r>
        <w:rPr>
          <w:spacing w:val="-8"/>
          <w:sz w:val="24"/>
        </w:rPr>
        <w:t> </w:t>
      </w:r>
      <w:r>
        <w:rPr>
          <w:sz w:val="24"/>
        </w:rPr>
        <w:t>or</w:t>
      </w:r>
      <w:r>
        <w:rPr>
          <w:spacing w:val="-3"/>
          <w:sz w:val="24"/>
        </w:rPr>
        <w:t> </w:t>
      </w:r>
      <w:r>
        <w:rPr>
          <w:sz w:val="24"/>
        </w:rPr>
        <w:t>task</w:t>
      </w:r>
      <w:r>
        <w:rPr>
          <w:spacing w:val="-3"/>
          <w:sz w:val="24"/>
        </w:rPr>
        <w:t> </w:t>
      </w:r>
      <w:r>
        <w:rPr>
          <w:sz w:val="24"/>
        </w:rPr>
        <w:t>and</w:t>
      </w:r>
      <w:r>
        <w:rPr>
          <w:spacing w:val="-2"/>
          <w:sz w:val="24"/>
        </w:rPr>
        <w:t> </w:t>
      </w:r>
      <w:r>
        <w:rPr>
          <w:sz w:val="24"/>
        </w:rPr>
        <w:t>finish</w:t>
      </w:r>
      <w:r>
        <w:rPr>
          <w:spacing w:val="-2"/>
          <w:sz w:val="24"/>
        </w:rPr>
        <w:t> </w:t>
      </w:r>
      <w:r>
        <w:rPr>
          <w:sz w:val="24"/>
        </w:rPr>
        <w:t>groups</w:t>
      </w:r>
      <w:r>
        <w:rPr>
          <w:spacing w:val="-3"/>
          <w:sz w:val="24"/>
        </w:rPr>
        <w:t> </w:t>
      </w:r>
      <w:r>
        <w:rPr>
          <w:sz w:val="24"/>
        </w:rPr>
        <w:t>to</w:t>
      </w:r>
      <w:r>
        <w:rPr>
          <w:spacing w:val="-2"/>
          <w:sz w:val="24"/>
        </w:rPr>
        <w:t> </w:t>
      </w:r>
      <w:r>
        <w:rPr>
          <w:sz w:val="24"/>
        </w:rPr>
        <w:t>carry</w:t>
      </w:r>
      <w:r>
        <w:rPr>
          <w:spacing w:val="-3"/>
          <w:sz w:val="24"/>
        </w:rPr>
        <w:t> </w:t>
      </w:r>
      <w:r>
        <w:rPr>
          <w:sz w:val="24"/>
        </w:rPr>
        <w:t>out</w:t>
      </w:r>
      <w:r>
        <w:rPr>
          <w:spacing w:val="-5"/>
          <w:sz w:val="24"/>
        </w:rPr>
        <w:t> </w:t>
      </w:r>
      <w:r>
        <w:rPr>
          <w:sz w:val="24"/>
        </w:rPr>
        <w:t>on its behalf specific aspects of RJC business. The RJC will receive an update following each group’s meetings detailing the business undertaken on its behalf.</w:t>
      </w:r>
    </w:p>
    <w:p>
      <w:pPr>
        <w:pStyle w:val="BodyText"/>
        <w:spacing w:before="1"/>
      </w:pPr>
    </w:p>
    <w:p>
      <w:pPr>
        <w:pStyle w:val="ListParagraph"/>
        <w:numPr>
          <w:ilvl w:val="1"/>
          <w:numId w:val="46"/>
        </w:numPr>
        <w:tabs>
          <w:tab w:pos="852" w:val="left" w:leader="none"/>
        </w:tabs>
        <w:spacing w:line="240" w:lineRule="auto" w:before="0" w:after="0"/>
        <w:ind w:left="852" w:right="944" w:hanging="710"/>
        <w:jc w:val="left"/>
        <w:rPr>
          <w:sz w:val="24"/>
        </w:rPr>
      </w:pPr>
      <w:r>
        <w:rPr>
          <w:sz w:val="24"/>
        </w:rPr>
        <w:t>The</w:t>
      </w:r>
      <w:r>
        <w:rPr>
          <w:spacing w:val="-1"/>
          <w:sz w:val="24"/>
        </w:rPr>
        <w:t> </w:t>
      </w:r>
      <w:r>
        <w:rPr>
          <w:sz w:val="24"/>
        </w:rPr>
        <w:t>RJC</w:t>
      </w:r>
      <w:r>
        <w:rPr>
          <w:spacing w:val="-1"/>
          <w:sz w:val="24"/>
        </w:rPr>
        <w:t> </w:t>
      </w:r>
      <w:r>
        <w:rPr>
          <w:sz w:val="24"/>
        </w:rPr>
        <w:t>will</w:t>
      </w:r>
      <w:r>
        <w:rPr>
          <w:spacing w:val="-2"/>
          <w:sz w:val="24"/>
        </w:rPr>
        <w:t> </w:t>
      </w:r>
      <w:r>
        <w:rPr>
          <w:sz w:val="24"/>
        </w:rPr>
        <w:t>report</w:t>
      </w:r>
      <w:r>
        <w:rPr>
          <w:spacing w:val="-5"/>
          <w:sz w:val="24"/>
        </w:rPr>
        <w:t> </w:t>
      </w:r>
      <w:r>
        <w:rPr>
          <w:sz w:val="24"/>
        </w:rPr>
        <w:t>through</w:t>
      </w:r>
      <w:r>
        <w:rPr>
          <w:spacing w:val="-1"/>
          <w:sz w:val="24"/>
        </w:rPr>
        <w:t> </w:t>
      </w:r>
      <w:r>
        <w:rPr>
          <w:sz w:val="24"/>
        </w:rPr>
        <w:t>the</w:t>
      </w:r>
      <w:r>
        <w:rPr>
          <w:spacing w:val="-2"/>
          <w:sz w:val="24"/>
        </w:rPr>
        <w:t> </w:t>
      </w:r>
      <w:r>
        <w:rPr>
          <w:sz w:val="24"/>
        </w:rPr>
        <w:t>RJC</w:t>
      </w:r>
      <w:r>
        <w:rPr>
          <w:spacing w:val="-2"/>
          <w:sz w:val="24"/>
        </w:rPr>
        <w:t> </w:t>
      </w:r>
      <w:r>
        <w:rPr>
          <w:sz w:val="24"/>
        </w:rPr>
        <w:t>updates</w:t>
      </w:r>
      <w:r>
        <w:rPr>
          <w:spacing w:val="-1"/>
          <w:sz w:val="24"/>
        </w:rPr>
        <w:t> </w:t>
      </w:r>
      <w:r>
        <w:rPr>
          <w:sz w:val="24"/>
        </w:rPr>
        <w:t>to</w:t>
      </w:r>
      <w:r>
        <w:rPr>
          <w:spacing w:val="-2"/>
          <w:sz w:val="24"/>
        </w:rPr>
        <w:t> </w:t>
      </w:r>
      <w:r>
        <w:rPr>
          <w:sz w:val="24"/>
        </w:rPr>
        <w:t>respective</w:t>
      </w:r>
      <w:r>
        <w:rPr>
          <w:spacing w:val="-2"/>
          <w:sz w:val="24"/>
        </w:rPr>
        <w:t> </w:t>
      </w:r>
      <w:r>
        <w:rPr>
          <w:sz w:val="24"/>
        </w:rPr>
        <w:t>Boards,</w:t>
      </w:r>
      <w:r>
        <w:rPr>
          <w:spacing w:val="-5"/>
          <w:sz w:val="24"/>
        </w:rPr>
        <w:t> </w:t>
      </w:r>
      <w:r>
        <w:rPr>
          <w:sz w:val="24"/>
        </w:rPr>
        <w:t>and</w:t>
      </w:r>
      <w:r>
        <w:rPr>
          <w:spacing w:val="-1"/>
          <w:sz w:val="24"/>
        </w:rPr>
        <w:t> </w:t>
      </w:r>
      <w:r>
        <w:rPr>
          <w:sz w:val="24"/>
        </w:rPr>
        <w:t>for</w:t>
      </w:r>
      <w:r>
        <w:rPr>
          <w:spacing w:val="-3"/>
          <w:sz w:val="24"/>
        </w:rPr>
        <w:t> </w:t>
      </w:r>
      <w:r>
        <w:rPr>
          <w:sz w:val="24"/>
        </w:rPr>
        <w:t>HDdUHB align to the work programme of Committee responsible for planning.</w:t>
      </w:r>
    </w:p>
    <w:p>
      <w:pPr>
        <w:pStyle w:val="ListParagraph"/>
        <w:numPr>
          <w:ilvl w:val="1"/>
          <w:numId w:val="46"/>
        </w:numPr>
        <w:tabs>
          <w:tab w:pos="852" w:val="left" w:leader="none"/>
        </w:tabs>
        <w:spacing w:line="240" w:lineRule="auto" w:before="274" w:after="0"/>
        <w:ind w:left="852" w:right="0" w:hanging="710"/>
        <w:jc w:val="left"/>
        <w:rPr>
          <w:sz w:val="24"/>
        </w:rPr>
      </w:pPr>
      <w:r>
        <w:rPr>
          <w:sz w:val="24"/>
        </w:rPr>
        <w:t>Regular</w:t>
      </w:r>
      <w:r>
        <w:rPr>
          <w:spacing w:val="-4"/>
          <w:sz w:val="24"/>
        </w:rPr>
        <w:t> </w:t>
      </w:r>
      <w:r>
        <w:rPr>
          <w:sz w:val="24"/>
        </w:rPr>
        <w:t>joint</w:t>
      </w:r>
      <w:r>
        <w:rPr>
          <w:spacing w:val="-5"/>
          <w:sz w:val="24"/>
        </w:rPr>
        <w:t> </w:t>
      </w:r>
      <w:r>
        <w:rPr>
          <w:sz w:val="24"/>
        </w:rPr>
        <w:t>updates</w:t>
      </w:r>
      <w:r>
        <w:rPr>
          <w:spacing w:val="-4"/>
          <w:sz w:val="24"/>
        </w:rPr>
        <w:t> </w:t>
      </w:r>
      <w:r>
        <w:rPr>
          <w:sz w:val="24"/>
        </w:rPr>
        <w:t>will</w:t>
      </w:r>
      <w:r>
        <w:rPr>
          <w:spacing w:val="-2"/>
          <w:sz w:val="24"/>
        </w:rPr>
        <w:t> </w:t>
      </w:r>
      <w:r>
        <w:rPr>
          <w:sz w:val="24"/>
        </w:rPr>
        <w:t>be</w:t>
      </w:r>
      <w:r>
        <w:rPr>
          <w:spacing w:val="-2"/>
          <w:sz w:val="24"/>
        </w:rPr>
        <w:t> </w:t>
      </w:r>
      <w:r>
        <w:rPr>
          <w:sz w:val="24"/>
        </w:rPr>
        <w:t>provided</w:t>
      </w:r>
      <w:r>
        <w:rPr>
          <w:spacing w:val="-3"/>
          <w:sz w:val="24"/>
        </w:rPr>
        <w:t> </w:t>
      </w:r>
      <w:r>
        <w:rPr>
          <w:sz w:val="24"/>
        </w:rPr>
        <w:t>to</w:t>
      </w:r>
      <w:r>
        <w:rPr>
          <w:spacing w:val="-2"/>
          <w:sz w:val="24"/>
        </w:rPr>
        <w:t> </w:t>
      </w:r>
      <w:r>
        <w:rPr>
          <w:sz w:val="24"/>
        </w:rPr>
        <w:t>respective</w:t>
      </w:r>
      <w:r>
        <w:rPr>
          <w:spacing w:val="-2"/>
          <w:sz w:val="24"/>
        </w:rPr>
        <w:t> </w:t>
      </w:r>
      <w:r>
        <w:rPr>
          <w:sz w:val="24"/>
        </w:rPr>
        <w:t>Llais</w:t>
      </w:r>
      <w:r>
        <w:rPr>
          <w:spacing w:val="-2"/>
          <w:sz w:val="24"/>
        </w:rPr>
        <w:t> </w:t>
      </w:r>
      <w:r>
        <w:rPr>
          <w:sz w:val="24"/>
        </w:rPr>
        <w:t>organisations</w:t>
      </w:r>
      <w:r>
        <w:rPr>
          <w:spacing w:val="-2"/>
          <w:sz w:val="24"/>
        </w:rPr>
        <w:t> </w:t>
      </w:r>
      <w:r>
        <w:rPr>
          <w:sz w:val="24"/>
        </w:rPr>
        <w:t>which</w:t>
      </w:r>
      <w:r>
        <w:rPr>
          <w:spacing w:val="-2"/>
          <w:sz w:val="24"/>
        </w:rPr>
        <w:t> </w:t>
      </w:r>
      <w:r>
        <w:rPr>
          <w:sz w:val="24"/>
        </w:rPr>
        <w:t>will</w:t>
      </w:r>
      <w:r>
        <w:rPr>
          <w:spacing w:val="-2"/>
          <w:sz w:val="24"/>
        </w:rPr>
        <w:t> </w:t>
      </w:r>
      <w:r>
        <w:rPr>
          <w:spacing w:val="-5"/>
          <w:sz w:val="24"/>
        </w:rPr>
        <w:t>be</w:t>
      </w:r>
    </w:p>
    <w:p>
      <w:pPr>
        <w:pStyle w:val="BodyText"/>
        <w:spacing w:before="4"/>
        <w:ind w:left="852"/>
      </w:pPr>
      <w:r>
        <w:rPr/>
        <w:t>based</w:t>
      </w:r>
      <w:r>
        <w:rPr>
          <w:spacing w:val="-5"/>
        </w:rPr>
        <w:t> </w:t>
      </w:r>
      <w:r>
        <w:rPr/>
        <w:t>upon</w:t>
      </w:r>
      <w:r>
        <w:rPr>
          <w:spacing w:val="-4"/>
        </w:rPr>
        <w:t> </w:t>
      </w:r>
      <w:r>
        <w:rPr/>
        <w:t>the</w:t>
      </w:r>
      <w:r>
        <w:rPr>
          <w:spacing w:val="-3"/>
        </w:rPr>
        <w:t> </w:t>
      </w:r>
      <w:r>
        <w:rPr/>
        <w:t>committee’s</w:t>
      </w:r>
      <w:r>
        <w:rPr>
          <w:spacing w:val="-3"/>
        </w:rPr>
        <w:t> </w:t>
      </w:r>
      <w:r>
        <w:rPr/>
        <w:t>work</w:t>
      </w:r>
      <w:r>
        <w:rPr>
          <w:spacing w:val="-4"/>
        </w:rPr>
        <w:t> </w:t>
      </w:r>
      <w:r>
        <w:rPr/>
        <w:t>programme</w:t>
      </w:r>
      <w:r>
        <w:rPr>
          <w:spacing w:val="-3"/>
        </w:rPr>
        <w:t> </w:t>
      </w:r>
      <w:r>
        <w:rPr/>
        <w:t>and</w:t>
      </w:r>
      <w:r>
        <w:rPr>
          <w:spacing w:val="-3"/>
        </w:rPr>
        <w:t> </w:t>
      </w:r>
      <w:r>
        <w:rPr>
          <w:spacing w:val="-2"/>
        </w:rPr>
        <w:t>meetings.</w:t>
      </w:r>
    </w:p>
    <w:p>
      <w:pPr>
        <w:pStyle w:val="ListParagraph"/>
        <w:numPr>
          <w:ilvl w:val="1"/>
          <w:numId w:val="46"/>
        </w:numPr>
        <w:tabs>
          <w:tab w:pos="852" w:val="left" w:leader="none"/>
        </w:tabs>
        <w:spacing w:line="240" w:lineRule="auto" w:before="274" w:after="0"/>
        <w:ind w:left="852" w:right="449" w:hanging="710"/>
        <w:jc w:val="left"/>
        <w:rPr>
          <w:sz w:val="24"/>
        </w:rPr>
      </w:pPr>
      <w:r>
        <w:rPr>
          <w:sz w:val="24"/>
        </w:rPr>
        <w:t>The Directors</w:t>
      </w:r>
      <w:r>
        <w:rPr>
          <w:spacing w:val="-2"/>
          <w:sz w:val="24"/>
        </w:rPr>
        <w:t> </w:t>
      </w:r>
      <w:r>
        <w:rPr>
          <w:sz w:val="24"/>
        </w:rPr>
        <w:t>of</w:t>
      </w:r>
      <w:r>
        <w:rPr>
          <w:spacing w:val="-4"/>
          <w:sz w:val="24"/>
        </w:rPr>
        <w:t> </w:t>
      </w:r>
      <w:r>
        <w:rPr>
          <w:sz w:val="24"/>
        </w:rPr>
        <w:t>Corporate</w:t>
      </w:r>
      <w:r>
        <w:rPr>
          <w:spacing w:val="-1"/>
          <w:sz w:val="24"/>
        </w:rPr>
        <w:t> </w:t>
      </w:r>
      <w:r>
        <w:rPr>
          <w:sz w:val="24"/>
        </w:rPr>
        <w:t>Governance,</w:t>
      </w:r>
      <w:r>
        <w:rPr>
          <w:spacing w:val="-4"/>
          <w:sz w:val="24"/>
        </w:rPr>
        <w:t> </w:t>
      </w:r>
      <w:r>
        <w:rPr>
          <w:sz w:val="24"/>
        </w:rPr>
        <w:t>on</w:t>
      </w:r>
      <w:r>
        <w:rPr>
          <w:spacing w:val="-1"/>
          <w:sz w:val="24"/>
        </w:rPr>
        <w:t> </w:t>
      </w:r>
      <w:r>
        <w:rPr>
          <w:sz w:val="24"/>
        </w:rPr>
        <w:t>behalf</w:t>
      </w:r>
      <w:r>
        <w:rPr>
          <w:spacing w:val="-4"/>
          <w:sz w:val="24"/>
        </w:rPr>
        <w:t> </w:t>
      </w:r>
      <w:r>
        <w:rPr>
          <w:sz w:val="24"/>
        </w:rPr>
        <w:t>of</w:t>
      </w:r>
      <w:r>
        <w:rPr>
          <w:spacing w:val="-4"/>
          <w:sz w:val="24"/>
        </w:rPr>
        <w:t> </w:t>
      </w:r>
      <w:r>
        <w:rPr>
          <w:sz w:val="24"/>
        </w:rPr>
        <w:t>the RJC,</w:t>
      </w:r>
      <w:r>
        <w:rPr>
          <w:spacing w:val="-4"/>
          <w:sz w:val="24"/>
        </w:rPr>
        <w:t> </w:t>
      </w:r>
      <w:r>
        <w:rPr>
          <w:sz w:val="24"/>
        </w:rPr>
        <w:t>shall</w:t>
      </w:r>
      <w:r>
        <w:rPr>
          <w:spacing w:val="-1"/>
          <w:sz w:val="24"/>
        </w:rPr>
        <w:t> </w:t>
      </w:r>
      <w:r>
        <w:rPr>
          <w:sz w:val="24"/>
        </w:rPr>
        <w:t>oversee</w:t>
      </w:r>
      <w:r>
        <w:rPr>
          <w:spacing w:val="-1"/>
          <w:sz w:val="24"/>
        </w:rPr>
        <w:t> </w:t>
      </w:r>
      <w:r>
        <w:rPr>
          <w:sz w:val="24"/>
        </w:rPr>
        <w:t>a</w:t>
      </w:r>
      <w:r>
        <w:rPr>
          <w:spacing w:val="-1"/>
          <w:sz w:val="24"/>
        </w:rPr>
        <w:t> </w:t>
      </w:r>
      <w:r>
        <w:rPr>
          <w:sz w:val="24"/>
        </w:rPr>
        <w:t>process</w:t>
      </w:r>
      <w:r>
        <w:rPr>
          <w:spacing w:val="-2"/>
          <w:sz w:val="24"/>
        </w:rPr>
        <w:t> </w:t>
      </w:r>
      <w:r>
        <w:rPr>
          <w:sz w:val="24"/>
        </w:rPr>
        <w:t>of regular and rigorous self-assessment and evaluation of the RJC’s performance and operation, including that of any sub-committees established.</w:t>
      </w:r>
    </w:p>
    <w:p>
      <w:pPr>
        <w:pStyle w:val="BodyText"/>
        <w:spacing w:before="78"/>
        <w:rPr>
          <w:sz w:val="20"/>
        </w:rPr>
      </w:pPr>
      <w:r>
        <w:rPr>
          <w:sz w:val="20"/>
        </w:rPr>
        <mc:AlternateContent>
          <mc:Choice Requires="wps">
            <w:drawing>
              <wp:anchor distT="0" distB="0" distL="0" distR="0" allowOverlap="1" layoutInCell="1" locked="0" behindDoc="1" simplePos="0" relativeHeight="487658496">
                <wp:simplePos x="0" y="0"/>
                <wp:positionH relativeFrom="page">
                  <wp:posOffset>574992</wp:posOffset>
                </wp:positionH>
                <wp:positionV relativeFrom="paragraph">
                  <wp:posOffset>217666</wp:posOffset>
                </wp:positionV>
                <wp:extent cx="6553200" cy="193675"/>
                <wp:effectExtent l="0" t="0" r="0" b="0"/>
                <wp:wrapTopAndBottom/>
                <wp:docPr id="447" name="Textbox 447"/>
                <wp:cNvGraphicFramePr>
                  <a:graphicFrameLocks/>
                </wp:cNvGraphicFramePr>
                <a:graphic>
                  <a:graphicData uri="http://schemas.microsoft.com/office/word/2010/wordprocessingShape">
                    <wps:wsp>
                      <wps:cNvPr id="447" name="Textbox 447"/>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13.</w:t>
                            </w:r>
                            <w:r>
                              <w:rPr>
                                <w:b/>
                                <w:color w:val="000000"/>
                                <w:spacing w:val="18"/>
                                <w:sz w:val="24"/>
                              </w:rPr>
                              <w:t> </w:t>
                            </w:r>
                            <w:r>
                              <w:rPr>
                                <w:b/>
                                <w:color w:val="000000"/>
                                <w:sz w:val="24"/>
                              </w:rPr>
                              <w:t>Secretarial</w:t>
                            </w:r>
                            <w:r>
                              <w:rPr>
                                <w:b/>
                                <w:color w:val="000000"/>
                                <w:spacing w:val="-16"/>
                                <w:sz w:val="24"/>
                              </w:rPr>
                              <w:t> </w:t>
                            </w:r>
                            <w:r>
                              <w:rPr>
                                <w:b/>
                                <w:color w:val="000000"/>
                                <w:spacing w:val="-2"/>
                                <w:sz w:val="24"/>
                              </w:rPr>
                              <w:t>Support</w:t>
                            </w:r>
                          </w:p>
                        </w:txbxContent>
                      </wps:txbx>
                      <wps:bodyPr wrap="square" lIns="0" tIns="0" rIns="0" bIns="0" rtlCol="0">
                        <a:noAutofit/>
                      </wps:bodyPr>
                    </wps:wsp>
                  </a:graphicData>
                </a:graphic>
              </wp:anchor>
            </w:drawing>
          </mc:Choice>
          <mc:Fallback>
            <w:pict>
              <v:shape style="position:absolute;margin-left:45.275002pt;margin-top:17.139063pt;width:516pt;height:15.25pt;mso-position-horizontal-relative:page;mso-position-vertical-relative:paragraph;z-index:-15657984;mso-wrap-distance-left:0;mso-wrap-distance-right:0" type="#_x0000_t202" id="docshape230" filled="true" fillcolor="#c1a875" stroked="true" strokeweight="1pt" strokecolor="#394871">
                <v:textbox inset="0,0,0,0">
                  <w:txbxContent>
                    <w:p>
                      <w:pPr>
                        <w:spacing w:before="0"/>
                        <w:ind w:left="95" w:right="0" w:firstLine="0"/>
                        <w:jc w:val="left"/>
                        <w:rPr>
                          <w:b/>
                          <w:color w:val="000000"/>
                          <w:sz w:val="24"/>
                        </w:rPr>
                      </w:pPr>
                      <w:r>
                        <w:rPr>
                          <w:b/>
                          <w:color w:val="000000"/>
                          <w:sz w:val="24"/>
                        </w:rPr>
                        <w:t>13.</w:t>
                      </w:r>
                      <w:r>
                        <w:rPr>
                          <w:b/>
                          <w:color w:val="000000"/>
                          <w:spacing w:val="18"/>
                          <w:sz w:val="24"/>
                        </w:rPr>
                        <w:t> </w:t>
                      </w:r>
                      <w:r>
                        <w:rPr>
                          <w:b/>
                          <w:color w:val="000000"/>
                          <w:sz w:val="24"/>
                        </w:rPr>
                        <w:t>Secretarial</w:t>
                      </w:r>
                      <w:r>
                        <w:rPr>
                          <w:b/>
                          <w:color w:val="000000"/>
                          <w:spacing w:val="-16"/>
                          <w:sz w:val="24"/>
                        </w:rPr>
                        <w:t> </w:t>
                      </w:r>
                      <w:r>
                        <w:rPr>
                          <w:b/>
                          <w:color w:val="000000"/>
                          <w:spacing w:val="-2"/>
                          <w:sz w:val="24"/>
                        </w:rPr>
                        <w:t>Support</w:t>
                      </w:r>
                    </w:p>
                  </w:txbxContent>
                </v:textbox>
                <v:fill type="solid"/>
                <v:stroke dashstyle="solid"/>
                <w10:wrap type="topAndBottom"/>
              </v:shape>
            </w:pict>
          </mc:Fallback>
        </mc:AlternateContent>
      </w:r>
    </w:p>
    <w:p>
      <w:pPr>
        <w:pStyle w:val="BodyText"/>
        <w:spacing w:before="8"/>
      </w:pPr>
    </w:p>
    <w:p>
      <w:pPr>
        <w:pStyle w:val="BodyText"/>
        <w:tabs>
          <w:tab w:pos="852" w:val="left" w:leader="none"/>
        </w:tabs>
        <w:spacing w:before="1"/>
        <w:ind w:left="142"/>
      </w:pPr>
      <w:r>
        <w:rPr>
          <w:spacing w:val="-4"/>
        </w:rPr>
        <w:t>13.1</w:t>
      </w:r>
      <w:r>
        <w:rPr/>
        <w:tab/>
      </w:r>
      <w:r>
        <w:rPr>
          <w:spacing w:val="-2"/>
        </w:rPr>
        <w:t>The</w:t>
      </w:r>
      <w:r>
        <w:rPr>
          <w:spacing w:val="-13"/>
        </w:rPr>
        <w:t> </w:t>
      </w:r>
      <w:r>
        <w:rPr>
          <w:spacing w:val="-2"/>
        </w:rPr>
        <w:t>Committee</w:t>
      </w:r>
      <w:r>
        <w:rPr>
          <w:spacing w:val="-10"/>
        </w:rPr>
        <w:t> </w:t>
      </w:r>
      <w:r>
        <w:rPr>
          <w:spacing w:val="-2"/>
        </w:rPr>
        <w:t>Secretariat</w:t>
      </w:r>
      <w:r>
        <w:rPr>
          <w:spacing w:val="-14"/>
        </w:rPr>
        <w:t> </w:t>
      </w:r>
      <w:r>
        <w:rPr>
          <w:spacing w:val="-2"/>
        </w:rPr>
        <w:t>shall</w:t>
      </w:r>
      <w:r>
        <w:rPr>
          <w:spacing w:val="-11"/>
        </w:rPr>
        <w:t> </w:t>
      </w:r>
      <w:r>
        <w:rPr>
          <w:spacing w:val="-2"/>
        </w:rPr>
        <w:t>be</w:t>
      </w:r>
      <w:r>
        <w:rPr>
          <w:spacing w:val="-10"/>
        </w:rPr>
        <w:t> </w:t>
      </w:r>
      <w:r>
        <w:rPr>
          <w:spacing w:val="-2"/>
        </w:rPr>
        <w:t>provided</w:t>
      </w:r>
      <w:r>
        <w:rPr>
          <w:spacing w:val="-12"/>
        </w:rPr>
        <w:t> </w:t>
      </w:r>
      <w:r>
        <w:rPr>
          <w:spacing w:val="-2"/>
        </w:rPr>
        <w:t>by</w:t>
      </w:r>
      <w:r>
        <w:rPr>
          <w:spacing w:val="-7"/>
        </w:rPr>
        <w:t> </w:t>
      </w:r>
      <w:r>
        <w:rPr>
          <w:spacing w:val="-2"/>
        </w:rPr>
        <w:t>the</w:t>
      </w:r>
      <w:r>
        <w:rPr>
          <w:spacing w:val="-15"/>
        </w:rPr>
        <w:t> </w:t>
      </w:r>
      <w:r>
        <w:rPr>
          <w:spacing w:val="-2"/>
        </w:rPr>
        <w:t>RJC</w:t>
      </w:r>
      <w:r>
        <w:rPr>
          <w:spacing w:val="-6"/>
        </w:rPr>
        <w:t> </w:t>
      </w:r>
      <w:r>
        <w:rPr>
          <w:spacing w:val="-4"/>
        </w:rPr>
        <w:t>PMO.</w:t>
      </w:r>
    </w:p>
    <w:p>
      <w:pPr>
        <w:spacing w:before="211"/>
        <w:ind w:left="4" w:right="284" w:firstLine="0"/>
        <w:jc w:val="center"/>
        <w:rPr>
          <w:sz w:val="20"/>
        </w:rPr>
      </w:pPr>
      <w:r>
        <w:rPr>
          <w:spacing w:val="-10"/>
          <w:sz w:val="20"/>
        </w:rPr>
        <w:t>9</w:t>
      </w:r>
    </w:p>
    <w:p>
      <w:pPr>
        <w:spacing w:after="0"/>
        <w:jc w:val="center"/>
        <w:rPr>
          <w:sz w:val="20"/>
        </w:rPr>
        <w:sectPr>
          <w:pgSz w:w="11910" w:h="16840"/>
          <w:pgMar w:header="0" w:footer="149" w:top="1160" w:bottom="340" w:left="708" w:right="425"/>
        </w:sectPr>
      </w:pPr>
    </w:p>
    <w:p>
      <w:pPr>
        <w:spacing w:line="240" w:lineRule="auto"/>
        <w:ind w:left="187" w:right="0" w:firstLine="0"/>
        <w:rPr>
          <w:sz w:val="20"/>
        </w:rPr>
      </w:pPr>
      <w:r>
        <w:rPr>
          <w:sz w:val="20"/>
        </w:rPr>
        <mc:AlternateContent>
          <mc:Choice Requires="wps">
            <w:drawing>
              <wp:inline distT="0" distB="0" distL="0" distR="0">
                <wp:extent cx="6553200" cy="190500"/>
                <wp:effectExtent l="9525" t="0" r="0" b="9525"/>
                <wp:docPr id="448" name="Textbox 448"/>
                <wp:cNvGraphicFramePr>
                  <a:graphicFrameLocks/>
                </wp:cNvGraphicFramePr>
                <a:graphic>
                  <a:graphicData uri="http://schemas.microsoft.com/office/word/2010/wordprocessingShape">
                    <wps:wsp>
                      <wps:cNvPr id="448" name="Textbox 448"/>
                      <wps:cNvSpPr txBox="1"/>
                      <wps:spPr>
                        <a:xfrm>
                          <a:off x="0" y="0"/>
                          <a:ext cx="6553200" cy="19050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14.</w:t>
                            </w:r>
                            <w:r>
                              <w:rPr>
                                <w:b/>
                                <w:color w:val="000000"/>
                                <w:spacing w:val="32"/>
                                <w:sz w:val="24"/>
                              </w:rPr>
                              <w:t> </w:t>
                            </w:r>
                            <w:r>
                              <w:rPr>
                                <w:b/>
                                <w:color w:val="000000"/>
                                <w:sz w:val="24"/>
                              </w:rPr>
                              <w:t>Review</w:t>
                            </w:r>
                            <w:r>
                              <w:rPr>
                                <w:b/>
                                <w:color w:val="000000"/>
                                <w:spacing w:val="-13"/>
                                <w:sz w:val="24"/>
                              </w:rPr>
                              <w:t> </w:t>
                            </w:r>
                            <w:r>
                              <w:rPr>
                                <w:b/>
                                <w:color w:val="000000"/>
                                <w:spacing w:val="-4"/>
                                <w:sz w:val="24"/>
                              </w:rPr>
                              <w:t>Date</w:t>
                            </w:r>
                          </w:p>
                        </w:txbxContent>
                      </wps:txbx>
                      <wps:bodyPr wrap="square" lIns="0" tIns="0" rIns="0" bIns="0" rtlCol="0">
                        <a:noAutofit/>
                      </wps:bodyPr>
                    </wps:wsp>
                  </a:graphicData>
                </a:graphic>
              </wp:inline>
            </w:drawing>
          </mc:Choice>
          <mc:Fallback>
            <w:pict>
              <v:shape style="width:516pt;height:15pt;mso-position-horizontal-relative:char;mso-position-vertical-relative:line" type="#_x0000_t202" id="docshape231" filled="true" fillcolor="#c1a875" stroked="true" strokeweight="1pt" strokecolor="#394871">
                <w10:anchorlock/>
                <v:textbox inset="0,0,0,0">
                  <w:txbxContent>
                    <w:p>
                      <w:pPr>
                        <w:spacing w:before="0"/>
                        <w:ind w:left="95" w:right="0" w:firstLine="0"/>
                        <w:jc w:val="left"/>
                        <w:rPr>
                          <w:b/>
                          <w:color w:val="000000"/>
                          <w:sz w:val="24"/>
                        </w:rPr>
                      </w:pPr>
                      <w:r>
                        <w:rPr>
                          <w:b/>
                          <w:color w:val="000000"/>
                          <w:sz w:val="24"/>
                        </w:rPr>
                        <w:t>14.</w:t>
                      </w:r>
                      <w:r>
                        <w:rPr>
                          <w:b/>
                          <w:color w:val="000000"/>
                          <w:spacing w:val="32"/>
                          <w:sz w:val="24"/>
                        </w:rPr>
                        <w:t> </w:t>
                      </w:r>
                      <w:r>
                        <w:rPr>
                          <w:b/>
                          <w:color w:val="000000"/>
                          <w:sz w:val="24"/>
                        </w:rPr>
                        <w:t>Review</w:t>
                      </w:r>
                      <w:r>
                        <w:rPr>
                          <w:b/>
                          <w:color w:val="000000"/>
                          <w:spacing w:val="-13"/>
                          <w:sz w:val="24"/>
                        </w:rPr>
                        <w:t> </w:t>
                      </w:r>
                      <w:r>
                        <w:rPr>
                          <w:b/>
                          <w:color w:val="000000"/>
                          <w:spacing w:val="-4"/>
                          <w:sz w:val="24"/>
                        </w:rPr>
                        <w:t>Date</w:t>
                      </w:r>
                    </w:p>
                  </w:txbxContent>
                </v:textbox>
                <v:fill type="solid"/>
                <v:stroke dashstyle="solid"/>
              </v:shape>
            </w:pict>
          </mc:Fallback>
        </mc:AlternateContent>
      </w:r>
      <w:r>
        <w:rPr>
          <w:sz w:val="20"/>
        </w:rPr>
      </w:r>
    </w:p>
    <w:p>
      <w:pPr>
        <w:pStyle w:val="BodyText"/>
        <w:tabs>
          <w:tab w:pos="862" w:val="left" w:leader="none"/>
        </w:tabs>
        <w:spacing w:before="235"/>
        <w:ind w:left="862" w:right="970" w:hanging="720"/>
      </w:pPr>
      <w:r>
        <w:rPr>
          <w:spacing w:val="-4"/>
        </w:rPr>
        <w:t>14.1</w:t>
      </w:r>
      <w:r>
        <w:rPr/>
        <w:tab/>
      </w:r>
      <w:r>
        <w:rPr>
          <w:spacing w:val="-2"/>
        </w:rPr>
        <w:t>These</w:t>
      </w:r>
      <w:r>
        <w:rPr>
          <w:spacing w:val="-9"/>
        </w:rPr>
        <w:t> </w:t>
      </w:r>
      <w:r>
        <w:rPr>
          <w:spacing w:val="-2"/>
        </w:rPr>
        <w:t>terms</w:t>
      </w:r>
      <w:r>
        <w:rPr>
          <w:spacing w:val="-12"/>
        </w:rPr>
        <w:t> </w:t>
      </w:r>
      <w:r>
        <w:rPr>
          <w:spacing w:val="-2"/>
        </w:rPr>
        <w:t>of</w:t>
      </w:r>
      <w:r>
        <w:rPr>
          <w:spacing w:val="-14"/>
        </w:rPr>
        <w:t> </w:t>
      </w:r>
      <w:r>
        <w:rPr>
          <w:spacing w:val="-2"/>
        </w:rPr>
        <w:t>reference</w:t>
      </w:r>
      <w:r>
        <w:rPr>
          <w:spacing w:val="-11"/>
        </w:rPr>
        <w:t> </w:t>
      </w:r>
      <w:r>
        <w:rPr>
          <w:spacing w:val="-2"/>
        </w:rPr>
        <w:t>and</w:t>
      </w:r>
      <w:r>
        <w:rPr>
          <w:spacing w:val="-11"/>
        </w:rPr>
        <w:t> </w:t>
      </w:r>
      <w:r>
        <w:rPr>
          <w:spacing w:val="-2"/>
        </w:rPr>
        <w:t>operating</w:t>
      </w:r>
      <w:r>
        <w:rPr>
          <w:spacing w:val="-11"/>
        </w:rPr>
        <w:t> </w:t>
      </w:r>
      <w:r>
        <w:rPr>
          <w:spacing w:val="-2"/>
        </w:rPr>
        <w:t>arrangements</w:t>
      </w:r>
      <w:r>
        <w:rPr>
          <w:spacing w:val="-12"/>
        </w:rPr>
        <w:t> </w:t>
      </w:r>
      <w:r>
        <w:rPr>
          <w:spacing w:val="-2"/>
        </w:rPr>
        <w:t>shall</w:t>
      </w:r>
      <w:r>
        <w:rPr>
          <w:spacing w:val="-11"/>
        </w:rPr>
        <w:t> </w:t>
      </w:r>
      <w:r>
        <w:rPr>
          <w:spacing w:val="-2"/>
        </w:rPr>
        <w:t>be</w:t>
      </w:r>
      <w:r>
        <w:rPr>
          <w:spacing w:val="-11"/>
        </w:rPr>
        <w:t> </w:t>
      </w:r>
      <w:r>
        <w:rPr>
          <w:spacing w:val="-2"/>
        </w:rPr>
        <w:t>reviewed</w:t>
      </w:r>
      <w:r>
        <w:rPr>
          <w:spacing w:val="-11"/>
        </w:rPr>
        <w:t> </w:t>
      </w:r>
      <w:r>
        <w:rPr>
          <w:spacing w:val="-2"/>
        </w:rPr>
        <w:t>on</w:t>
      </w:r>
      <w:r>
        <w:rPr>
          <w:spacing w:val="-11"/>
        </w:rPr>
        <w:t> </w:t>
      </w:r>
      <w:r>
        <w:rPr>
          <w:spacing w:val="-2"/>
        </w:rPr>
        <w:t>at</w:t>
      </w:r>
      <w:r>
        <w:rPr>
          <w:spacing w:val="-15"/>
        </w:rPr>
        <w:t> </w:t>
      </w:r>
      <w:r>
        <w:rPr>
          <w:spacing w:val="-2"/>
        </w:rPr>
        <w:t>least</w:t>
      </w:r>
      <w:r>
        <w:rPr>
          <w:spacing w:val="-13"/>
        </w:rPr>
        <w:t> </w:t>
      </w:r>
      <w:r>
        <w:rPr>
          <w:spacing w:val="-2"/>
        </w:rPr>
        <w:t>an </w:t>
      </w:r>
      <w:r>
        <w:rPr/>
        <w:t>annual</w:t>
      </w:r>
      <w:r>
        <w:rPr>
          <w:spacing w:val="-15"/>
        </w:rPr>
        <w:t> </w:t>
      </w:r>
      <w:r>
        <w:rPr/>
        <w:t>basis</w:t>
      </w:r>
      <w:r>
        <w:rPr>
          <w:spacing w:val="-11"/>
        </w:rPr>
        <w:t> </w:t>
      </w:r>
      <w:r>
        <w:rPr/>
        <w:t>by</w:t>
      </w:r>
      <w:r>
        <w:rPr>
          <w:spacing w:val="-11"/>
        </w:rPr>
        <w:t> </w:t>
      </w:r>
      <w:r>
        <w:rPr/>
        <w:t>the</w:t>
      </w:r>
      <w:r>
        <w:rPr>
          <w:spacing w:val="-10"/>
        </w:rPr>
        <w:t> </w:t>
      </w:r>
      <w:r>
        <w:rPr/>
        <w:t>RJC</w:t>
      </w:r>
      <w:r>
        <w:rPr>
          <w:spacing w:val="-5"/>
        </w:rPr>
        <w:t> </w:t>
      </w:r>
      <w:r>
        <w:rPr/>
        <w:t>for</w:t>
      </w:r>
      <w:r>
        <w:rPr>
          <w:spacing w:val="-11"/>
        </w:rPr>
        <w:t> </w:t>
      </w:r>
      <w:r>
        <w:rPr/>
        <w:t>approval</w:t>
      </w:r>
      <w:r>
        <w:rPr>
          <w:spacing w:val="-15"/>
        </w:rPr>
        <w:t> </w:t>
      </w:r>
      <w:r>
        <w:rPr/>
        <w:t>by</w:t>
      </w:r>
      <w:r>
        <w:rPr>
          <w:spacing w:val="-11"/>
        </w:rPr>
        <w:t> </w:t>
      </w:r>
      <w:r>
        <w:rPr/>
        <w:t>the</w:t>
      </w:r>
      <w:r>
        <w:rPr>
          <w:spacing w:val="-5"/>
        </w:rPr>
        <w:t> </w:t>
      </w:r>
      <w:r>
        <w:rPr/>
        <w:t>respective</w:t>
      </w:r>
      <w:r>
        <w:rPr>
          <w:spacing w:val="-10"/>
        </w:rPr>
        <w:t> </w:t>
      </w:r>
      <w:r>
        <w:rPr/>
        <w:t>University</w:t>
      </w:r>
      <w:r>
        <w:rPr>
          <w:spacing w:val="-11"/>
        </w:rPr>
        <w:t> </w:t>
      </w:r>
      <w:r>
        <w:rPr/>
        <w:t>Health</w:t>
      </w:r>
      <w:r>
        <w:rPr>
          <w:spacing w:val="-7"/>
        </w:rPr>
        <w:t> </w:t>
      </w:r>
      <w:r>
        <w:rPr/>
        <w:t>Boards.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6"/>
        <w:rPr>
          <w:sz w:val="20"/>
        </w:rPr>
      </w:pPr>
    </w:p>
    <w:p>
      <w:pPr>
        <w:spacing w:before="0"/>
        <w:ind w:left="3" w:right="284" w:firstLine="0"/>
        <w:jc w:val="center"/>
        <w:rPr>
          <w:sz w:val="20"/>
        </w:rPr>
      </w:pPr>
      <w:r>
        <w:rPr>
          <w:spacing w:val="-5"/>
          <w:sz w:val="20"/>
        </w:rPr>
        <w:t>10</w:t>
      </w:r>
    </w:p>
    <w:p>
      <w:pPr>
        <w:spacing w:after="0"/>
        <w:jc w:val="center"/>
        <w:rPr>
          <w:sz w:val="20"/>
        </w:rPr>
        <w:sectPr>
          <w:pgSz w:w="11910" w:h="16840"/>
          <w:pgMar w:header="0" w:footer="149" w:top="1580" w:bottom="340" w:left="708" w:right="425"/>
        </w:sectPr>
      </w:pPr>
    </w:p>
    <w:p>
      <w:pPr>
        <w:spacing w:line="240" w:lineRule="auto"/>
        <w:ind w:left="143" w:right="0" w:firstLine="0"/>
        <w:rPr>
          <w:sz w:val="20"/>
        </w:rPr>
      </w:pPr>
      <w:r>
        <w:rPr>
          <w:sz w:val="20"/>
        </w:rPr>
        <w:drawing>
          <wp:anchor distT="0" distB="0" distL="0" distR="0" allowOverlap="1" layoutInCell="1" locked="0" behindDoc="1" simplePos="0" relativeHeight="477155328">
            <wp:simplePos x="0" y="0"/>
            <wp:positionH relativeFrom="page">
              <wp:posOffset>5162550</wp:posOffset>
            </wp:positionH>
            <wp:positionV relativeFrom="page">
              <wp:posOffset>628611</wp:posOffset>
            </wp:positionV>
            <wp:extent cx="1887952" cy="511587"/>
            <wp:effectExtent l="0" t="0" r="0" b="0"/>
            <wp:wrapNone/>
            <wp:docPr id="449" name="Image 449" descr="hywel dda"/>
            <wp:cNvGraphicFramePr>
              <a:graphicFrameLocks/>
            </wp:cNvGraphicFramePr>
            <a:graphic>
              <a:graphicData uri="http://schemas.openxmlformats.org/drawingml/2006/picture">
                <pic:pic>
                  <pic:nvPicPr>
                    <pic:cNvPr id="449" name="Image 449" descr="hywel dda"/>
                    <pic:cNvPicPr/>
                  </pic:nvPicPr>
                  <pic:blipFill>
                    <a:blip r:embed="rId73" cstate="print"/>
                    <a:stretch>
                      <a:fillRect/>
                    </a:stretch>
                  </pic:blipFill>
                  <pic:spPr>
                    <a:xfrm>
                      <a:off x="0" y="0"/>
                      <a:ext cx="1887952" cy="511587"/>
                    </a:xfrm>
                    <a:prstGeom prst="rect">
                      <a:avLst/>
                    </a:prstGeom>
                  </pic:spPr>
                </pic:pic>
              </a:graphicData>
            </a:graphic>
          </wp:anchor>
        </w:drawing>
      </w:r>
      <w:r>
        <w:rPr>
          <w:sz w:val="20"/>
        </w:rPr>
        <mc:AlternateContent>
          <mc:Choice Requires="wps">
            <w:drawing>
              <wp:inline distT="0" distB="0" distL="0" distR="0">
                <wp:extent cx="6145530" cy="4390390"/>
                <wp:effectExtent l="0" t="0" r="0" b="635"/>
                <wp:docPr id="450" name="Group 450"/>
                <wp:cNvGraphicFramePr>
                  <a:graphicFrameLocks/>
                </wp:cNvGraphicFramePr>
                <a:graphic>
                  <a:graphicData uri="http://schemas.microsoft.com/office/word/2010/wordprocessingGroup">
                    <wpg:wgp>
                      <wpg:cNvPr id="450" name="Group 450"/>
                      <wpg:cNvGrpSpPr/>
                      <wpg:grpSpPr>
                        <a:xfrm>
                          <a:off x="0" y="0"/>
                          <a:ext cx="6145530" cy="4390390"/>
                          <a:chExt cx="6145530" cy="4390390"/>
                        </a:xfrm>
                      </wpg:grpSpPr>
                      <pic:pic>
                        <pic:nvPicPr>
                          <pic:cNvPr id="451" name="Image 451"/>
                          <pic:cNvPicPr/>
                        </pic:nvPicPr>
                        <pic:blipFill>
                          <a:blip r:embed="rId72" cstate="print"/>
                          <a:stretch>
                            <a:fillRect/>
                          </a:stretch>
                        </pic:blipFill>
                        <pic:spPr>
                          <a:xfrm>
                            <a:off x="0" y="0"/>
                            <a:ext cx="2032635" cy="515531"/>
                          </a:xfrm>
                          <a:prstGeom prst="rect">
                            <a:avLst/>
                          </a:prstGeom>
                        </pic:spPr>
                      </pic:pic>
                      <wps:wsp>
                        <wps:cNvPr id="452" name="Graphic 452"/>
                        <wps:cNvSpPr/>
                        <wps:spPr>
                          <a:xfrm>
                            <a:off x="1842770" y="1787728"/>
                            <a:ext cx="3057525" cy="1044575"/>
                          </a:xfrm>
                          <a:custGeom>
                            <a:avLst/>
                            <a:gdLst/>
                            <a:ahLst/>
                            <a:cxnLst/>
                            <a:rect l="l" t="t" r="r" b="b"/>
                            <a:pathLst>
                              <a:path w="3057525" h="1044575">
                                <a:moveTo>
                                  <a:pt x="0" y="1044409"/>
                                </a:moveTo>
                                <a:lnTo>
                                  <a:pt x="3057524" y="1044409"/>
                                </a:lnTo>
                                <a:lnTo>
                                  <a:pt x="3057524" y="0"/>
                                </a:lnTo>
                                <a:lnTo>
                                  <a:pt x="0" y="0"/>
                                </a:lnTo>
                                <a:lnTo>
                                  <a:pt x="0" y="1044409"/>
                                </a:lnTo>
                                <a:close/>
                              </a:path>
                            </a:pathLst>
                          </a:custGeom>
                          <a:ln w="9525">
                            <a:solidFill>
                              <a:srgbClr val="394871"/>
                            </a:solidFill>
                            <a:prstDash val="solid"/>
                          </a:ln>
                        </wps:spPr>
                        <wps:bodyPr wrap="square" lIns="0" tIns="0" rIns="0" bIns="0" rtlCol="0">
                          <a:prstTxWarp prst="textNoShape">
                            <a:avLst/>
                          </a:prstTxWarp>
                          <a:noAutofit/>
                        </wps:bodyPr>
                      </wps:wsp>
                      <wps:wsp>
                        <wps:cNvPr id="453" name="Graphic 453"/>
                        <wps:cNvSpPr/>
                        <wps:spPr>
                          <a:xfrm>
                            <a:off x="2389505" y="1417865"/>
                            <a:ext cx="2047239" cy="1933575"/>
                          </a:xfrm>
                          <a:custGeom>
                            <a:avLst/>
                            <a:gdLst/>
                            <a:ahLst/>
                            <a:cxnLst/>
                            <a:rect l="l" t="t" r="r" b="b"/>
                            <a:pathLst>
                              <a:path w="2047239" h="1933575">
                                <a:moveTo>
                                  <a:pt x="76200" y="293624"/>
                                </a:moveTo>
                                <a:lnTo>
                                  <a:pt x="42799" y="293624"/>
                                </a:lnTo>
                                <a:lnTo>
                                  <a:pt x="42799" y="0"/>
                                </a:lnTo>
                                <a:lnTo>
                                  <a:pt x="33274" y="0"/>
                                </a:lnTo>
                                <a:lnTo>
                                  <a:pt x="33274" y="293624"/>
                                </a:lnTo>
                                <a:lnTo>
                                  <a:pt x="0" y="293624"/>
                                </a:lnTo>
                                <a:lnTo>
                                  <a:pt x="38100" y="369824"/>
                                </a:lnTo>
                                <a:lnTo>
                                  <a:pt x="69850" y="306324"/>
                                </a:lnTo>
                                <a:lnTo>
                                  <a:pt x="76200" y="293624"/>
                                </a:lnTo>
                                <a:close/>
                              </a:path>
                              <a:path w="2047239" h="1933575">
                                <a:moveTo>
                                  <a:pt x="1060577" y="1856486"/>
                                </a:moveTo>
                                <a:lnTo>
                                  <a:pt x="1027226" y="1856994"/>
                                </a:lnTo>
                                <a:lnTo>
                                  <a:pt x="1020191" y="1388491"/>
                                </a:lnTo>
                                <a:lnTo>
                                  <a:pt x="1010666" y="1388491"/>
                                </a:lnTo>
                                <a:lnTo>
                                  <a:pt x="1017701" y="1856486"/>
                                </a:lnTo>
                                <a:lnTo>
                                  <a:pt x="1017701" y="1857133"/>
                                </a:lnTo>
                                <a:lnTo>
                                  <a:pt x="984377" y="1857629"/>
                                </a:lnTo>
                                <a:lnTo>
                                  <a:pt x="1023620" y="1933321"/>
                                </a:lnTo>
                                <a:lnTo>
                                  <a:pt x="1054150" y="1869821"/>
                                </a:lnTo>
                                <a:lnTo>
                                  <a:pt x="1060577" y="1856486"/>
                                </a:lnTo>
                                <a:close/>
                              </a:path>
                              <a:path w="2047239" h="1933575">
                                <a:moveTo>
                                  <a:pt x="2047240" y="293624"/>
                                </a:moveTo>
                                <a:lnTo>
                                  <a:pt x="2013839" y="293624"/>
                                </a:lnTo>
                                <a:lnTo>
                                  <a:pt x="2013839" y="0"/>
                                </a:lnTo>
                                <a:lnTo>
                                  <a:pt x="2004314" y="0"/>
                                </a:lnTo>
                                <a:lnTo>
                                  <a:pt x="2004314" y="293624"/>
                                </a:lnTo>
                                <a:lnTo>
                                  <a:pt x="1971040" y="293624"/>
                                </a:lnTo>
                                <a:lnTo>
                                  <a:pt x="2009140" y="369824"/>
                                </a:lnTo>
                                <a:lnTo>
                                  <a:pt x="2040890" y="306324"/>
                                </a:lnTo>
                                <a:lnTo>
                                  <a:pt x="2047240" y="293624"/>
                                </a:lnTo>
                                <a:close/>
                              </a:path>
                            </a:pathLst>
                          </a:custGeom>
                          <a:solidFill>
                            <a:srgbClr val="1F487C"/>
                          </a:solidFill>
                        </wps:spPr>
                        <wps:bodyPr wrap="square" lIns="0" tIns="0" rIns="0" bIns="0" rtlCol="0">
                          <a:prstTxWarp prst="textNoShape">
                            <a:avLst/>
                          </a:prstTxWarp>
                          <a:noAutofit/>
                        </wps:bodyPr>
                      </wps:wsp>
                      <wps:wsp>
                        <wps:cNvPr id="454" name="Graphic 454"/>
                        <wps:cNvSpPr/>
                        <wps:spPr>
                          <a:xfrm>
                            <a:off x="1878964" y="3341154"/>
                            <a:ext cx="3057525" cy="1043940"/>
                          </a:xfrm>
                          <a:custGeom>
                            <a:avLst/>
                            <a:gdLst/>
                            <a:ahLst/>
                            <a:cxnLst/>
                            <a:rect l="l" t="t" r="r" b="b"/>
                            <a:pathLst>
                              <a:path w="3057525" h="1043940">
                                <a:moveTo>
                                  <a:pt x="0" y="1043939"/>
                                </a:moveTo>
                                <a:lnTo>
                                  <a:pt x="3057525" y="1043939"/>
                                </a:lnTo>
                                <a:lnTo>
                                  <a:pt x="3057525" y="0"/>
                                </a:lnTo>
                                <a:lnTo>
                                  <a:pt x="0" y="0"/>
                                </a:lnTo>
                                <a:lnTo>
                                  <a:pt x="0" y="1043939"/>
                                </a:lnTo>
                                <a:close/>
                              </a:path>
                            </a:pathLst>
                          </a:custGeom>
                          <a:ln w="9525">
                            <a:solidFill>
                              <a:srgbClr val="394871"/>
                            </a:solidFill>
                            <a:prstDash val="solid"/>
                          </a:ln>
                        </wps:spPr>
                        <wps:bodyPr wrap="square" lIns="0" tIns="0" rIns="0" bIns="0" rtlCol="0">
                          <a:prstTxWarp prst="textNoShape">
                            <a:avLst/>
                          </a:prstTxWarp>
                          <a:noAutofit/>
                        </wps:bodyPr>
                      </wps:wsp>
                      <wps:wsp>
                        <wps:cNvPr id="455" name="Textbox 455"/>
                        <wps:cNvSpPr txBox="1"/>
                        <wps:spPr>
                          <a:xfrm>
                            <a:off x="1874202" y="3336391"/>
                            <a:ext cx="3067050" cy="1053465"/>
                          </a:xfrm>
                          <a:prstGeom prst="rect">
                            <a:avLst/>
                          </a:prstGeom>
                          <a:solidFill>
                            <a:srgbClr val="394871"/>
                          </a:solidFill>
                        </wps:spPr>
                        <wps:txbx>
                          <w:txbxContent>
                            <w:p>
                              <w:pPr>
                                <w:spacing w:line="240" w:lineRule="auto" w:before="0"/>
                                <w:rPr>
                                  <w:color w:val="000000"/>
                                  <w:sz w:val="24"/>
                                </w:rPr>
                              </w:pPr>
                            </w:p>
                            <w:p>
                              <w:pPr>
                                <w:spacing w:line="240" w:lineRule="auto" w:before="4"/>
                                <w:rPr>
                                  <w:color w:val="000000"/>
                                  <w:sz w:val="24"/>
                                </w:rPr>
                              </w:pPr>
                            </w:p>
                            <w:p>
                              <w:pPr>
                                <w:spacing w:before="1"/>
                                <w:ind w:left="1860" w:right="419" w:hanging="1426"/>
                                <w:jc w:val="left"/>
                                <w:rPr>
                                  <w:b/>
                                  <w:color w:val="000000"/>
                                  <w:sz w:val="24"/>
                                </w:rPr>
                              </w:pPr>
                              <w:bookmarkStart w:name="RJC 41b Regional Clinical Services Plann" w:id="61"/>
                              <w:bookmarkEnd w:id="61"/>
                              <w:r>
                                <w:rPr>
                                  <w:color w:val="000000"/>
                                </w:rPr>
                              </w:r>
                              <w:r>
                                <w:rPr>
                                  <w:b/>
                                  <w:color w:val="FFFFFF"/>
                                  <w:spacing w:val="-2"/>
                                  <w:sz w:val="24"/>
                                </w:rPr>
                                <w:t>Regional</w:t>
                              </w:r>
                              <w:r>
                                <w:rPr>
                                  <w:b/>
                                  <w:color w:val="FFFFFF"/>
                                  <w:spacing w:val="-17"/>
                                  <w:sz w:val="24"/>
                                </w:rPr>
                                <w:t> </w:t>
                              </w:r>
                              <w:r>
                                <w:rPr>
                                  <w:b/>
                                  <w:color w:val="FFFFFF"/>
                                  <w:spacing w:val="-2"/>
                                  <w:sz w:val="24"/>
                                </w:rPr>
                                <w:t>Clinical</w:t>
                              </w:r>
                              <w:r>
                                <w:rPr>
                                  <w:b/>
                                  <w:color w:val="FFFFFF"/>
                                  <w:spacing w:val="-15"/>
                                  <w:sz w:val="24"/>
                                </w:rPr>
                                <w:t> </w:t>
                              </w:r>
                              <w:r>
                                <w:rPr>
                                  <w:b/>
                                  <w:color w:val="FFFFFF"/>
                                  <w:spacing w:val="-2"/>
                                  <w:sz w:val="24"/>
                                </w:rPr>
                                <w:t>Services</w:t>
                              </w:r>
                              <w:r>
                                <w:rPr>
                                  <w:b/>
                                  <w:color w:val="FFFFFF"/>
                                  <w:spacing w:val="-15"/>
                                  <w:sz w:val="24"/>
                                </w:rPr>
                                <w:t> </w:t>
                              </w:r>
                              <w:r>
                                <w:rPr>
                                  <w:b/>
                                  <w:color w:val="FFFFFF"/>
                                  <w:spacing w:val="-2"/>
                                  <w:sz w:val="24"/>
                                </w:rPr>
                                <w:t>Planning Subgroup</w:t>
                              </w:r>
                            </w:p>
                          </w:txbxContent>
                        </wps:txbx>
                        <wps:bodyPr wrap="square" lIns="0" tIns="0" rIns="0" bIns="0" rtlCol="0">
                          <a:noAutofit/>
                        </wps:bodyPr>
                      </wps:wsp>
                      <wps:wsp>
                        <wps:cNvPr id="456" name="Textbox 456"/>
                        <wps:cNvSpPr txBox="1"/>
                        <wps:spPr>
                          <a:xfrm>
                            <a:off x="1838007" y="1782965"/>
                            <a:ext cx="3067050" cy="1054100"/>
                          </a:xfrm>
                          <a:prstGeom prst="rect">
                            <a:avLst/>
                          </a:prstGeom>
                          <a:solidFill>
                            <a:srgbClr val="394871"/>
                          </a:solidFill>
                        </wps:spPr>
                        <wps:txbx>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wps:txbx>
                        <wps:bodyPr wrap="square" lIns="0" tIns="0" rIns="0" bIns="0" rtlCol="0">
                          <a:noAutofit/>
                        </wps:bodyPr>
                      </wps:wsp>
                      <wps:wsp>
                        <wps:cNvPr id="457" name="Textbox 457"/>
                        <wps:cNvSpPr txBox="1"/>
                        <wps:spPr>
                          <a:xfrm>
                            <a:off x="3677284" y="536651"/>
                            <a:ext cx="24587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s:wsp>
                        <wps:cNvPr id="458" name="Textbox 458"/>
                        <wps:cNvSpPr txBox="1"/>
                        <wps:spPr>
                          <a:xfrm>
                            <a:off x="639444" y="542747"/>
                            <a:ext cx="24079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g:wgp>
                  </a:graphicData>
                </a:graphic>
              </wp:inline>
            </w:drawing>
          </mc:Choice>
          <mc:Fallback>
            <w:pict>
              <v:group style="width:483.9pt;height:345.7pt;mso-position-horizontal-relative:char;mso-position-vertical-relative:line" id="docshapegroup232" coordorigin="0,0" coordsize="9678,6914">
                <v:shape style="position:absolute;left:0;top:0;width:3201;height:812" type="#_x0000_t75" id="docshape233" stroked="false">
                  <v:imagedata r:id="rId72" o:title=""/>
                </v:shape>
                <v:rect style="position:absolute;left:2902;top:2815;width:4815;height:1645" id="docshape234" filled="false" stroked="true" strokeweight=".75pt" strokecolor="#394871">
                  <v:stroke dashstyle="solid"/>
                </v:rect>
                <v:shape style="position:absolute;left:3763;top:2232;width:3224;height:3045" id="docshape235" coordorigin="3763,2233" coordsize="3224,3045" path="m3883,2695l3830,2695,3830,2233,3815,2233,3815,2695,3763,2695,3823,2815,3873,2715,3883,2695xm5433,5156l5381,5157,5370,4419,5355,4419,5366,5156,5366,5157,5313,5158,5375,5277,5423,5177,5433,5156xm6987,2695l6934,2695,6934,2233,6919,2233,6919,2695,6867,2695,6927,2815,6977,2715,6987,2695xe" filled="true" fillcolor="#1f487c" stroked="false">
                  <v:path arrowok="t"/>
                  <v:fill type="solid"/>
                </v:shape>
                <v:rect style="position:absolute;left:2959;top:5261;width:4815;height:1644" id="docshape236" filled="false" stroked="true" strokeweight=".75pt" strokecolor="#394871">
                  <v:stroke dashstyle="solid"/>
                </v:rect>
                <v:shape style="position:absolute;left:2951;top:5254;width:4830;height:1659" type="#_x0000_t202" id="docshape237" filled="true" fillcolor="#394871" stroked="false">
                  <v:textbox inset="0,0,0,0">
                    <w:txbxContent>
                      <w:p>
                        <w:pPr>
                          <w:spacing w:line="240" w:lineRule="auto" w:before="0"/>
                          <w:rPr>
                            <w:color w:val="000000"/>
                            <w:sz w:val="24"/>
                          </w:rPr>
                        </w:pPr>
                      </w:p>
                      <w:p>
                        <w:pPr>
                          <w:spacing w:line="240" w:lineRule="auto" w:before="4"/>
                          <w:rPr>
                            <w:color w:val="000000"/>
                            <w:sz w:val="24"/>
                          </w:rPr>
                        </w:pPr>
                      </w:p>
                      <w:p>
                        <w:pPr>
                          <w:spacing w:before="1"/>
                          <w:ind w:left="1860" w:right="419" w:hanging="1426"/>
                          <w:jc w:val="left"/>
                          <w:rPr>
                            <w:b/>
                            <w:color w:val="000000"/>
                            <w:sz w:val="24"/>
                          </w:rPr>
                        </w:pPr>
                        <w:bookmarkStart w:name="RJC 41b Regional Clinical Services Plann" w:id="62"/>
                        <w:bookmarkEnd w:id="62"/>
                        <w:r>
                          <w:rPr>
                            <w:color w:val="000000"/>
                          </w:rPr>
                        </w:r>
                        <w:r>
                          <w:rPr>
                            <w:b/>
                            <w:color w:val="FFFFFF"/>
                            <w:spacing w:val="-2"/>
                            <w:sz w:val="24"/>
                          </w:rPr>
                          <w:t>Regional</w:t>
                        </w:r>
                        <w:r>
                          <w:rPr>
                            <w:b/>
                            <w:color w:val="FFFFFF"/>
                            <w:spacing w:val="-17"/>
                            <w:sz w:val="24"/>
                          </w:rPr>
                          <w:t> </w:t>
                        </w:r>
                        <w:r>
                          <w:rPr>
                            <w:b/>
                            <w:color w:val="FFFFFF"/>
                            <w:spacing w:val="-2"/>
                            <w:sz w:val="24"/>
                          </w:rPr>
                          <w:t>Clinical</w:t>
                        </w:r>
                        <w:r>
                          <w:rPr>
                            <w:b/>
                            <w:color w:val="FFFFFF"/>
                            <w:spacing w:val="-15"/>
                            <w:sz w:val="24"/>
                          </w:rPr>
                          <w:t> </w:t>
                        </w:r>
                        <w:r>
                          <w:rPr>
                            <w:b/>
                            <w:color w:val="FFFFFF"/>
                            <w:spacing w:val="-2"/>
                            <w:sz w:val="24"/>
                          </w:rPr>
                          <w:t>Services</w:t>
                        </w:r>
                        <w:r>
                          <w:rPr>
                            <w:b/>
                            <w:color w:val="FFFFFF"/>
                            <w:spacing w:val="-15"/>
                            <w:sz w:val="24"/>
                          </w:rPr>
                          <w:t> </w:t>
                        </w:r>
                        <w:r>
                          <w:rPr>
                            <w:b/>
                            <w:color w:val="FFFFFF"/>
                            <w:spacing w:val="-2"/>
                            <w:sz w:val="24"/>
                          </w:rPr>
                          <w:t>Planning Subgroup</w:t>
                        </w:r>
                      </w:p>
                    </w:txbxContent>
                  </v:textbox>
                  <v:fill type="solid"/>
                  <w10:wrap type="none"/>
                </v:shape>
                <v:shape style="position:absolute;left:2894;top:2807;width:4830;height:1660" type="#_x0000_t202" id="docshape238" filled="true" fillcolor="#394871" stroked="false">
                  <v:textbox inset="0,0,0,0">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v:textbox>
                  <v:fill type="solid"/>
                  <w10:wrap type="none"/>
                </v:shape>
                <v:shape style="position:absolute;left:5791;top:845;width:3872;height:1388" type="#_x0000_t202" id="docshape239" filled="true" fillcolor="#c1a875" stroked="true" strokeweight="1.5pt" strokecolor="#394871">
                  <v:textbox inset="0,0,0,0">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shape style="position:absolute;left:1007;top:854;width:3792;height:1388" type="#_x0000_t202" id="docshape240" filled="true" fillcolor="#c1a875" stroked="true" strokeweight="1.5pt" strokecolor="#394871">
                  <v:textbox inset="0,0,0,0">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group>
            </w:pict>
          </mc:Fallback>
        </mc:AlternateContent>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9"/>
        <w:rPr>
          <w:sz w:val="20"/>
        </w:rPr>
      </w:pPr>
      <w:r>
        <w:rPr>
          <w:sz w:val="20"/>
        </w:rPr>
        <mc:AlternateContent>
          <mc:Choice Requires="wps">
            <w:drawing>
              <wp:anchor distT="0" distB="0" distL="0" distR="0" allowOverlap="1" layoutInCell="1" locked="0" behindDoc="1" simplePos="0" relativeHeight="487660032">
                <wp:simplePos x="0" y="0"/>
                <wp:positionH relativeFrom="page">
                  <wp:posOffset>559117</wp:posOffset>
                </wp:positionH>
                <wp:positionV relativeFrom="paragraph">
                  <wp:posOffset>230616</wp:posOffset>
                </wp:positionV>
                <wp:extent cx="6445250" cy="358775"/>
                <wp:effectExtent l="0" t="0" r="0" b="0"/>
                <wp:wrapTopAndBottom/>
                <wp:docPr id="459" name="Textbox 459"/>
                <wp:cNvGraphicFramePr>
                  <a:graphicFrameLocks/>
                </wp:cNvGraphicFramePr>
                <a:graphic>
                  <a:graphicData uri="http://schemas.microsoft.com/office/word/2010/wordprocessingShape">
                    <wps:wsp>
                      <wps:cNvPr id="459" name="Textbox 459"/>
                      <wps:cNvSpPr txBox="1"/>
                      <wps:spPr>
                        <a:xfrm>
                          <a:off x="0" y="0"/>
                          <a:ext cx="6445250" cy="358775"/>
                        </a:xfrm>
                        <a:prstGeom prst="rect">
                          <a:avLst/>
                        </a:prstGeom>
                        <a:solidFill>
                          <a:srgbClr val="C1A875"/>
                        </a:solidFill>
                        <a:ln w="38100">
                          <a:solidFill>
                            <a:srgbClr val="394871"/>
                          </a:solidFill>
                          <a:prstDash val="solid"/>
                        </a:ln>
                      </wps:spPr>
                      <wps:txbx>
                        <w:txbxContent>
                          <w:p>
                            <w:pPr>
                              <w:spacing w:before="110"/>
                              <w:ind w:left="4" w:right="4" w:firstLine="0"/>
                              <w:jc w:val="center"/>
                              <w:rPr>
                                <w:b/>
                                <w:color w:val="000000"/>
                                <w:sz w:val="24"/>
                              </w:rPr>
                            </w:pPr>
                            <w:r>
                              <w:rPr>
                                <w:b/>
                                <w:color w:val="000000"/>
                                <w:sz w:val="24"/>
                              </w:rPr>
                              <w:t>REGIONAL</w:t>
                            </w:r>
                            <w:r>
                              <w:rPr>
                                <w:b/>
                                <w:color w:val="000000"/>
                                <w:spacing w:val="-7"/>
                                <w:sz w:val="24"/>
                              </w:rPr>
                              <w:t> </w:t>
                            </w:r>
                            <w:r>
                              <w:rPr>
                                <w:b/>
                                <w:color w:val="000000"/>
                                <w:sz w:val="24"/>
                              </w:rPr>
                              <w:t>CLINICAL</w:t>
                            </w:r>
                            <w:r>
                              <w:rPr>
                                <w:b/>
                                <w:color w:val="000000"/>
                                <w:spacing w:val="-6"/>
                                <w:sz w:val="24"/>
                              </w:rPr>
                              <w:t> </w:t>
                            </w:r>
                            <w:r>
                              <w:rPr>
                                <w:b/>
                                <w:color w:val="000000"/>
                                <w:sz w:val="24"/>
                              </w:rPr>
                              <w:t>SERVICES</w:t>
                            </w:r>
                            <w:r>
                              <w:rPr>
                                <w:b/>
                                <w:color w:val="000000"/>
                                <w:spacing w:val="-4"/>
                                <w:sz w:val="24"/>
                              </w:rPr>
                              <w:t> </w:t>
                            </w:r>
                            <w:r>
                              <w:rPr>
                                <w:b/>
                                <w:color w:val="000000"/>
                                <w:sz w:val="24"/>
                              </w:rPr>
                              <w:t>PLANNING </w:t>
                            </w:r>
                            <w:r>
                              <w:rPr>
                                <w:b/>
                                <w:color w:val="000000"/>
                                <w:spacing w:val="-2"/>
                                <w:sz w:val="24"/>
                              </w:rPr>
                              <w:t>SUBGROUP</w:t>
                            </w:r>
                          </w:p>
                        </w:txbxContent>
                      </wps:txbx>
                      <wps:bodyPr wrap="square" lIns="0" tIns="0" rIns="0" bIns="0" rtlCol="0">
                        <a:noAutofit/>
                      </wps:bodyPr>
                    </wps:wsp>
                  </a:graphicData>
                </a:graphic>
              </wp:anchor>
            </w:drawing>
          </mc:Choice>
          <mc:Fallback>
            <w:pict>
              <v:shape style="position:absolute;margin-left:44.025002pt;margin-top:18.158789pt;width:507.5pt;height:28.25pt;mso-position-horizontal-relative:page;mso-position-vertical-relative:paragraph;z-index:-15656448;mso-wrap-distance-left:0;mso-wrap-distance-right:0" type="#_x0000_t202" id="docshape241" filled="true" fillcolor="#c1a875" stroked="true" strokeweight="3pt" strokecolor="#394871">
                <v:textbox inset="0,0,0,0">
                  <w:txbxContent>
                    <w:p>
                      <w:pPr>
                        <w:spacing w:before="110"/>
                        <w:ind w:left="4" w:right="4" w:firstLine="0"/>
                        <w:jc w:val="center"/>
                        <w:rPr>
                          <w:b/>
                          <w:color w:val="000000"/>
                          <w:sz w:val="24"/>
                        </w:rPr>
                      </w:pPr>
                      <w:r>
                        <w:rPr>
                          <w:b/>
                          <w:color w:val="000000"/>
                          <w:sz w:val="24"/>
                        </w:rPr>
                        <w:t>REGIONAL</w:t>
                      </w:r>
                      <w:r>
                        <w:rPr>
                          <w:b/>
                          <w:color w:val="000000"/>
                          <w:spacing w:val="-7"/>
                          <w:sz w:val="24"/>
                        </w:rPr>
                        <w:t> </w:t>
                      </w:r>
                      <w:r>
                        <w:rPr>
                          <w:b/>
                          <w:color w:val="000000"/>
                          <w:sz w:val="24"/>
                        </w:rPr>
                        <w:t>CLINICAL</w:t>
                      </w:r>
                      <w:r>
                        <w:rPr>
                          <w:b/>
                          <w:color w:val="000000"/>
                          <w:spacing w:val="-6"/>
                          <w:sz w:val="24"/>
                        </w:rPr>
                        <w:t> </w:t>
                      </w:r>
                      <w:r>
                        <w:rPr>
                          <w:b/>
                          <w:color w:val="000000"/>
                          <w:sz w:val="24"/>
                        </w:rPr>
                        <w:t>SERVICES</w:t>
                      </w:r>
                      <w:r>
                        <w:rPr>
                          <w:b/>
                          <w:color w:val="000000"/>
                          <w:spacing w:val="-4"/>
                          <w:sz w:val="24"/>
                        </w:rPr>
                        <w:t> </w:t>
                      </w:r>
                      <w:r>
                        <w:rPr>
                          <w:b/>
                          <w:color w:val="000000"/>
                          <w:sz w:val="24"/>
                        </w:rPr>
                        <w:t>PLANNING </w:t>
                      </w:r>
                      <w:r>
                        <w:rPr>
                          <w:b/>
                          <w:color w:val="000000"/>
                          <w:spacing w:val="-2"/>
                          <w:sz w:val="24"/>
                        </w:rPr>
                        <w:t>SUBGROUP</w:t>
                      </w:r>
                    </w:p>
                  </w:txbxContent>
                </v:textbox>
                <v:fill type="solid"/>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60544">
                <wp:simplePos x="0" y="0"/>
                <wp:positionH relativeFrom="page">
                  <wp:posOffset>554355</wp:posOffset>
                </wp:positionH>
                <wp:positionV relativeFrom="paragraph">
                  <wp:posOffset>784908</wp:posOffset>
                </wp:positionV>
                <wp:extent cx="6454775" cy="349250"/>
                <wp:effectExtent l="0" t="0" r="0" b="0"/>
                <wp:wrapTopAndBottom/>
                <wp:docPr id="460" name="Textbox 460"/>
                <wp:cNvGraphicFramePr>
                  <a:graphicFrameLocks/>
                </wp:cNvGraphicFramePr>
                <a:graphic>
                  <a:graphicData uri="http://schemas.microsoft.com/office/word/2010/wordprocessingShape">
                    <wps:wsp>
                      <wps:cNvPr id="460" name="Textbox 460"/>
                      <wps:cNvSpPr txBox="1"/>
                      <wps:spPr>
                        <a:xfrm>
                          <a:off x="0" y="0"/>
                          <a:ext cx="6454775" cy="349250"/>
                        </a:xfrm>
                        <a:prstGeom prst="rect">
                          <a:avLst/>
                        </a:prstGeom>
                        <a:solidFill>
                          <a:srgbClr val="394871"/>
                        </a:solidFill>
                        <a:ln w="28575">
                          <a:solidFill>
                            <a:srgbClr val="C1A875"/>
                          </a:solidFill>
                          <a:prstDash val="solid"/>
                        </a:ln>
                      </wps:spPr>
                      <wps:txbx>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wps:txbx>
                      <wps:bodyPr wrap="square" lIns="0" tIns="0" rIns="0" bIns="0" rtlCol="0">
                        <a:noAutofit/>
                      </wps:bodyPr>
                    </wps:wsp>
                  </a:graphicData>
                </a:graphic>
              </wp:anchor>
            </w:drawing>
          </mc:Choice>
          <mc:Fallback>
            <w:pict>
              <v:shape style="position:absolute;margin-left:43.650002pt;margin-top:61.803787pt;width:508.25pt;height:27.5pt;mso-position-horizontal-relative:page;mso-position-vertical-relative:paragraph;z-index:-15655936;mso-wrap-distance-left:0;mso-wrap-distance-right:0" type="#_x0000_t202" id="docshape242" filled="true" fillcolor="#394871" stroked="true" strokeweight="2.25pt" strokecolor="#c1a875">
                <v:textbox inset="0,0,0,0">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v:textbox>
                <v:fill type="solid"/>
                <v:stroke dashstyle="solid"/>
                <w10:wrap type="topAndBottom"/>
              </v:shape>
            </w:pict>
          </mc:Fallback>
        </mc:AlternateContent>
      </w:r>
    </w:p>
    <w:p>
      <w:pPr>
        <w:pStyle w:val="BodyText"/>
        <w:spacing w:before="30"/>
        <w:rPr>
          <w:sz w:val="20"/>
        </w:rPr>
      </w:pPr>
    </w:p>
    <w:p>
      <w:pPr>
        <w:pStyle w:val="BodyText"/>
        <w:spacing w:before="22"/>
        <w:rPr>
          <w:sz w:val="20"/>
        </w:rPr>
      </w:pPr>
    </w:p>
    <w:tbl>
      <w:tblPr>
        <w:tblW w:w="0" w:type="auto"/>
        <w:jc w:val="left"/>
        <w:tblInd w:w="147" w:type="dxa"/>
        <w:tblBorders>
          <w:top w:val="single" w:sz="2" w:space="0" w:color="394871"/>
          <w:left w:val="single" w:sz="2" w:space="0" w:color="394871"/>
          <w:bottom w:val="single" w:sz="2" w:space="0" w:color="394871"/>
          <w:right w:val="single" w:sz="2" w:space="0" w:color="394871"/>
          <w:insideH w:val="single" w:sz="2" w:space="0" w:color="394871"/>
          <w:insideV w:val="single" w:sz="2" w:space="0" w:color="394871"/>
        </w:tblBorders>
        <w:tblLayout w:type="fixed"/>
        <w:tblCellMar>
          <w:top w:w="0" w:type="dxa"/>
          <w:left w:w="0" w:type="dxa"/>
          <w:bottom w:w="0" w:type="dxa"/>
          <w:right w:w="0" w:type="dxa"/>
        </w:tblCellMar>
        <w:tblLook w:val="01E0"/>
      </w:tblPr>
      <w:tblGrid>
        <w:gridCol w:w="1401"/>
        <w:gridCol w:w="3352"/>
        <w:gridCol w:w="1416"/>
        <w:gridCol w:w="4037"/>
      </w:tblGrid>
      <w:tr>
        <w:trPr>
          <w:trHeight w:val="300" w:hRule="atLeast"/>
        </w:trPr>
        <w:tc>
          <w:tcPr>
            <w:tcW w:w="1401" w:type="dxa"/>
            <w:shd w:val="clear" w:color="auto" w:fill="C1A875"/>
          </w:tcPr>
          <w:p>
            <w:pPr>
              <w:pStyle w:val="TableParagraph"/>
              <w:spacing w:line="265" w:lineRule="exact" w:before="15"/>
              <w:jc w:val="center"/>
              <w:rPr>
                <w:b/>
                <w:sz w:val="24"/>
              </w:rPr>
            </w:pPr>
            <w:r>
              <w:rPr>
                <w:b/>
                <w:spacing w:val="-2"/>
                <w:sz w:val="24"/>
              </w:rPr>
              <w:t>Version</w:t>
            </w:r>
          </w:p>
        </w:tc>
        <w:tc>
          <w:tcPr>
            <w:tcW w:w="3352" w:type="dxa"/>
            <w:shd w:val="clear" w:color="auto" w:fill="C1A875"/>
          </w:tcPr>
          <w:p>
            <w:pPr>
              <w:pStyle w:val="TableParagraph"/>
              <w:spacing w:line="265" w:lineRule="exact" w:before="15"/>
              <w:ind w:left="1117"/>
              <w:rPr>
                <w:b/>
                <w:sz w:val="24"/>
              </w:rPr>
            </w:pPr>
            <w:r>
              <w:rPr>
                <w:b/>
                <w:sz w:val="24"/>
              </w:rPr>
              <w:t>Issued</w:t>
            </w:r>
            <w:r>
              <w:rPr>
                <w:b/>
                <w:spacing w:val="-5"/>
                <w:sz w:val="24"/>
              </w:rPr>
              <w:t> To</w:t>
            </w:r>
          </w:p>
        </w:tc>
        <w:tc>
          <w:tcPr>
            <w:tcW w:w="1416" w:type="dxa"/>
            <w:shd w:val="clear" w:color="auto" w:fill="C1A875"/>
          </w:tcPr>
          <w:p>
            <w:pPr>
              <w:pStyle w:val="TableParagraph"/>
              <w:spacing w:line="265" w:lineRule="exact" w:before="15"/>
              <w:ind w:left="5"/>
              <w:jc w:val="center"/>
              <w:rPr>
                <w:b/>
                <w:sz w:val="24"/>
              </w:rPr>
            </w:pPr>
            <w:r>
              <w:rPr>
                <w:b/>
                <w:spacing w:val="-4"/>
                <w:sz w:val="24"/>
              </w:rPr>
              <w:t>Date</w:t>
            </w:r>
          </w:p>
        </w:tc>
        <w:tc>
          <w:tcPr>
            <w:tcW w:w="4037" w:type="dxa"/>
            <w:shd w:val="clear" w:color="auto" w:fill="C1A875"/>
          </w:tcPr>
          <w:p>
            <w:pPr>
              <w:pStyle w:val="TableParagraph"/>
              <w:spacing w:line="265" w:lineRule="exact" w:before="15"/>
              <w:ind w:left="15" w:right="2"/>
              <w:jc w:val="center"/>
              <w:rPr>
                <w:b/>
                <w:sz w:val="24"/>
              </w:rPr>
            </w:pPr>
            <w:r>
              <w:rPr>
                <w:b/>
                <w:spacing w:val="-2"/>
                <w:sz w:val="24"/>
              </w:rPr>
              <w:t>Comments</w:t>
            </w:r>
          </w:p>
        </w:tc>
      </w:tr>
      <w:tr>
        <w:trPr>
          <w:trHeight w:val="550" w:hRule="atLeast"/>
        </w:trPr>
        <w:tc>
          <w:tcPr>
            <w:tcW w:w="1401" w:type="dxa"/>
            <w:shd w:val="clear" w:color="auto" w:fill="C1A875"/>
          </w:tcPr>
          <w:p>
            <w:pPr>
              <w:pStyle w:val="TableParagraph"/>
              <w:spacing w:before="140"/>
              <w:jc w:val="center"/>
              <w:rPr>
                <w:sz w:val="24"/>
              </w:rPr>
            </w:pPr>
            <w:r>
              <w:rPr>
                <w:spacing w:val="-4"/>
                <w:sz w:val="24"/>
              </w:rPr>
              <w:t>V1.0</w:t>
            </w:r>
          </w:p>
        </w:tc>
        <w:tc>
          <w:tcPr>
            <w:tcW w:w="3352" w:type="dxa"/>
          </w:tcPr>
          <w:p>
            <w:pPr>
              <w:pStyle w:val="TableParagraph"/>
              <w:spacing w:line="276" w:lineRule="exact"/>
              <w:ind w:left="112"/>
              <w:rPr>
                <w:sz w:val="24"/>
              </w:rPr>
            </w:pPr>
            <w:r>
              <w:rPr>
                <w:sz w:val="24"/>
              </w:rPr>
              <w:t>Regional</w:t>
            </w:r>
            <w:r>
              <w:rPr>
                <w:spacing w:val="-17"/>
                <w:sz w:val="24"/>
              </w:rPr>
              <w:t> </w:t>
            </w:r>
            <w:r>
              <w:rPr>
                <w:sz w:val="24"/>
              </w:rPr>
              <w:t>Clinical</w:t>
            </w:r>
            <w:r>
              <w:rPr>
                <w:spacing w:val="-17"/>
                <w:sz w:val="24"/>
              </w:rPr>
              <w:t> </w:t>
            </w:r>
            <w:r>
              <w:rPr>
                <w:sz w:val="24"/>
              </w:rPr>
              <w:t>Services Planning Subgroup</w:t>
            </w:r>
          </w:p>
        </w:tc>
        <w:tc>
          <w:tcPr>
            <w:tcW w:w="1416" w:type="dxa"/>
          </w:tcPr>
          <w:p>
            <w:pPr>
              <w:pStyle w:val="TableParagraph"/>
              <w:spacing w:before="5"/>
              <w:ind w:left="5"/>
              <w:jc w:val="center"/>
              <w:rPr>
                <w:sz w:val="24"/>
              </w:rPr>
            </w:pPr>
            <w:r>
              <w:rPr>
                <w:spacing w:val="-2"/>
                <w:sz w:val="24"/>
              </w:rPr>
              <w:t>20/05/2025</w:t>
            </w:r>
          </w:p>
        </w:tc>
        <w:tc>
          <w:tcPr>
            <w:tcW w:w="4037" w:type="dxa"/>
          </w:tcPr>
          <w:p>
            <w:pPr>
              <w:pStyle w:val="TableParagraph"/>
              <w:spacing w:line="276" w:lineRule="exact"/>
              <w:ind w:left="546" w:right="529" w:firstLine="40"/>
              <w:rPr>
                <w:sz w:val="24"/>
              </w:rPr>
            </w:pPr>
            <w:r>
              <w:rPr>
                <w:sz w:val="24"/>
              </w:rPr>
              <w:t>Agreed</w:t>
            </w:r>
            <w:r>
              <w:rPr>
                <w:spacing w:val="-19"/>
                <w:sz w:val="24"/>
              </w:rPr>
              <w:t> </w:t>
            </w:r>
            <w:r>
              <w:rPr>
                <w:sz w:val="24"/>
              </w:rPr>
              <w:t>by</w:t>
            </w:r>
            <w:r>
              <w:rPr>
                <w:spacing w:val="-17"/>
                <w:sz w:val="24"/>
              </w:rPr>
              <w:t> </w:t>
            </w:r>
            <w:r>
              <w:rPr>
                <w:sz w:val="24"/>
              </w:rPr>
              <w:t>Regional</w:t>
            </w:r>
            <w:r>
              <w:rPr>
                <w:spacing w:val="-16"/>
                <w:sz w:val="24"/>
              </w:rPr>
              <w:t> </w:t>
            </w:r>
            <w:r>
              <w:rPr>
                <w:sz w:val="24"/>
              </w:rPr>
              <w:t>Clinical </w:t>
            </w:r>
            <w:r>
              <w:rPr>
                <w:spacing w:val="-4"/>
                <w:sz w:val="24"/>
              </w:rPr>
              <w:t>Services</w:t>
            </w:r>
            <w:r>
              <w:rPr>
                <w:spacing w:val="-12"/>
                <w:sz w:val="24"/>
              </w:rPr>
              <w:t> </w:t>
            </w:r>
            <w:r>
              <w:rPr>
                <w:spacing w:val="-4"/>
                <w:sz w:val="24"/>
              </w:rPr>
              <w:t>Planning</w:t>
            </w:r>
            <w:r>
              <w:rPr>
                <w:spacing w:val="-11"/>
                <w:sz w:val="24"/>
              </w:rPr>
              <w:t> </w:t>
            </w:r>
            <w:r>
              <w:rPr>
                <w:spacing w:val="-4"/>
                <w:sz w:val="24"/>
              </w:rPr>
              <w:t>Subgroup</w:t>
            </w:r>
          </w:p>
        </w:tc>
      </w:tr>
      <w:tr>
        <w:trPr>
          <w:trHeight w:val="894" w:hRule="atLeast"/>
        </w:trPr>
        <w:tc>
          <w:tcPr>
            <w:tcW w:w="1401" w:type="dxa"/>
            <w:shd w:val="clear" w:color="auto" w:fill="C1A875"/>
          </w:tcPr>
          <w:p>
            <w:pPr>
              <w:pStyle w:val="TableParagraph"/>
              <w:spacing w:before="32"/>
              <w:rPr>
                <w:sz w:val="24"/>
              </w:rPr>
            </w:pPr>
          </w:p>
          <w:p>
            <w:pPr>
              <w:pStyle w:val="TableParagraph"/>
              <w:jc w:val="center"/>
              <w:rPr>
                <w:sz w:val="24"/>
              </w:rPr>
            </w:pPr>
            <w:r>
              <w:rPr>
                <w:spacing w:val="-5"/>
                <w:sz w:val="24"/>
              </w:rPr>
              <w:t>V.2</w:t>
            </w:r>
          </w:p>
        </w:tc>
        <w:tc>
          <w:tcPr>
            <w:tcW w:w="3352" w:type="dxa"/>
          </w:tcPr>
          <w:p>
            <w:pPr>
              <w:pStyle w:val="TableParagraph"/>
              <w:spacing w:line="261" w:lineRule="auto" w:before="3"/>
              <w:ind w:left="112"/>
              <w:rPr>
                <w:sz w:val="24"/>
              </w:rPr>
            </w:pPr>
            <w:r>
              <w:rPr>
                <w:sz w:val="24"/>
              </w:rPr>
              <w:t>Regional</w:t>
            </w:r>
            <w:r>
              <w:rPr>
                <w:spacing w:val="-17"/>
                <w:sz w:val="24"/>
              </w:rPr>
              <w:t> </w:t>
            </w:r>
            <w:r>
              <w:rPr>
                <w:sz w:val="24"/>
              </w:rPr>
              <w:t>Clinical</w:t>
            </w:r>
            <w:r>
              <w:rPr>
                <w:spacing w:val="-17"/>
                <w:sz w:val="24"/>
              </w:rPr>
              <w:t> </w:t>
            </w:r>
            <w:r>
              <w:rPr>
                <w:sz w:val="24"/>
              </w:rPr>
              <w:t>Services Planning Subgroup</w:t>
            </w:r>
          </w:p>
        </w:tc>
        <w:tc>
          <w:tcPr>
            <w:tcW w:w="1416" w:type="dxa"/>
          </w:tcPr>
          <w:p>
            <w:pPr>
              <w:pStyle w:val="TableParagraph"/>
              <w:spacing w:before="3"/>
              <w:ind w:left="5"/>
              <w:jc w:val="center"/>
              <w:rPr>
                <w:sz w:val="24"/>
              </w:rPr>
            </w:pPr>
            <w:r>
              <w:rPr>
                <w:spacing w:val="-2"/>
                <w:sz w:val="24"/>
              </w:rPr>
              <w:t>04/08/2026</w:t>
            </w:r>
          </w:p>
        </w:tc>
        <w:tc>
          <w:tcPr>
            <w:tcW w:w="4037" w:type="dxa"/>
          </w:tcPr>
          <w:p>
            <w:pPr>
              <w:pStyle w:val="TableParagraph"/>
              <w:spacing w:line="261" w:lineRule="auto" w:before="3"/>
              <w:ind w:left="15" w:right="7"/>
              <w:jc w:val="center"/>
              <w:rPr>
                <w:sz w:val="24"/>
              </w:rPr>
            </w:pPr>
            <w:r>
              <w:rPr>
                <w:sz w:val="24"/>
              </w:rPr>
              <w:t>Updated</w:t>
            </w:r>
            <w:r>
              <w:rPr>
                <w:spacing w:val="-8"/>
                <w:sz w:val="24"/>
              </w:rPr>
              <w:t> </w:t>
            </w:r>
            <w:r>
              <w:rPr>
                <w:sz w:val="24"/>
              </w:rPr>
              <w:t>to</w:t>
            </w:r>
            <w:r>
              <w:rPr>
                <w:spacing w:val="-8"/>
                <w:sz w:val="24"/>
              </w:rPr>
              <w:t> </w:t>
            </w:r>
            <w:r>
              <w:rPr>
                <w:sz w:val="24"/>
              </w:rPr>
              <w:t>align</w:t>
            </w:r>
            <w:r>
              <w:rPr>
                <w:spacing w:val="-8"/>
                <w:sz w:val="24"/>
              </w:rPr>
              <w:t> </w:t>
            </w:r>
            <w:r>
              <w:rPr>
                <w:sz w:val="24"/>
              </w:rPr>
              <w:t>with</w:t>
            </w:r>
            <w:r>
              <w:rPr>
                <w:spacing w:val="-8"/>
                <w:sz w:val="24"/>
              </w:rPr>
              <w:t> </w:t>
            </w:r>
            <w:r>
              <w:rPr>
                <w:sz w:val="24"/>
              </w:rPr>
              <w:t>revised</w:t>
            </w:r>
            <w:r>
              <w:rPr>
                <w:spacing w:val="-8"/>
                <w:sz w:val="24"/>
              </w:rPr>
              <w:t> </w:t>
            </w:r>
            <w:r>
              <w:rPr>
                <w:sz w:val="24"/>
              </w:rPr>
              <w:t>RJC Terms of Reference and Clinical</w:t>
            </w:r>
          </w:p>
          <w:p>
            <w:pPr>
              <w:pStyle w:val="TableParagraph"/>
              <w:spacing w:line="268" w:lineRule="exact"/>
              <w:ind w:left="15"/>
              <w:jc w:val="center"/>
              <w:rPr>
                <w:sz w:val="24"/>
              </w:rPr>
            </w:pPr>
            <w:r>
              <w:rPr>
                <w:sz w:val="24"/>
              </w:rPr>
              <w:t>Services</w:t>
            </w:r>
            <w:r>
              <w:rPr>
                <w:spacing w:val="-4"/>
                <w:sz w:val="24"/>
              </w:rPr>
              <w:t> </w:t>
            </w:r>
            <w:r>
              <w:rPr>
                <w:sz w:val="24"/>
              </w:rPr>
              <w:t>Planning</w:t>
            </w:r>
            <w:r>
              <w:rPr>
                <w:spacing w:val="-1"/>
                <w:sz w:val="24"/>
              </w:rPr>
              <w:t> </w:t>
            </w:r>
            <w:r>
              <w:rPr>
                <w:spacing w:val="-2"/>
                <w:sz w:val="24"/>
              </w:rPr>
              <w:t>Objectives</w:t>
            </w:r>
          </w:p>
        </w:tc>
      </w:tr>
      <w:tr>
        <w:trPr>
          <w:trHeight w:val="300" w:hRule="atLeast"/>
        </w:trPr>
        <w:tc>
          <w:tcPr>
            <w:tcW w:w="1401" w:type="dxa"/>
            <w:shd w:val="clear" w:color="auto" w:fill="C1A875"/>
          </w:tcPr>
          <w:p>
            <w:pPr>
              <w:pStyle w:val="TableParagraph"/>
              <w:spacing w:line="265" w:lineRule="exact" w:before="15"/>
              <w:jc w:val="center"/>
              <w:rPr>
                <w:sz w:val="24"/>
              </w:rPr>
            </w:pPr>
            <w:r>
              <w:rPr>
                <w:spacing w:val="-5"/>
                <w:sz w:val="24"/>
              </w:rPr>
              <w:t>V.2</w:t>
            </w:r>
          </w:p>
        </w:tc>
        <w:tc>
          <w:tcPr>
            <w:tcW w:w="3352" w:type="dxa"/>
          </w:tcPr>
          <w:p>
            <w:pPr>
              <w:pStyle w:val="TableParagraph"/>
              <w:spacing w:line="275" w:lineRule="exact" w:before="5"/>
              <w:ind w:left="112"/>
              <w:rPr>
                <w:sz w:val="24"/>
              </w:rPr>
            </w:pPr>
            <w:r>
              <w:rPr>
                <w:sz w:val="24"/>
              </w:rPr>
              <w:t>Regional</w:t>
            </w:r>
            <w:r>
              <w:rPr>
                <w:spacing w:val="-2"/>
                <w:sz w:val="24"/>
              </w:rPr>
              <w:t> </w:t>
            </w:r>
            <w:r>
              <w:rPr>
                <w:sz w:val="24"/>
              </w:rPr>
              <w:t>Joint</w:t>
            </w:r>
            <w:r>
              <w:rPr>
                <w:spacing w:val="-4"/>
                <w:sz w:val="24"/>
              </w:rPr>
              <w:t> </w:t>
            </w:r>
            <w:r>
              <w:rPr>
                <w:spacing w:val="-2"/>
                <w:sz w:val="24"/>
              </w:rPr>
              <w:t>Committee</w:t>
            </w:r>
          </w:p>
        </w:tc>
        <w:tc>
          <w:tcPr>
            <w:tcW w:w="1416" w:type="dxa"/>
          </w:tcPr>
          <w:p>
            <w:pPr>
              <w:pStyle w:val="TableParagraph"/>
              <w:spacing w:line="275" w:lineRule="exact" w:before="5"/>
              <w:ind w:left="5"/>
              <w:jc w:val="center"/>
              <w:rPr>
                <w:sz w:val="24"/>
              </w:rPr>
            </w:pPr>
            <w:r>
              <w:rPr>
                <w:spacing w:val="-2"/>
                <w:sz w:val="24"/>
              </w:rPr>
              <w:t>13/10/2026</w:t>
            </w:r>
          </w:p>
        </w:tc>
        <w:tc>
          <w:tcPr>
            <w:tcW w:w="4037" w:type="dxa"/>
          </w:tcPr>
          <w:p>
            <w:pPr>
              <w:pStyle w:val="TableParagraph"/>
              <w:spacing w:line="275" w:lineRule="exact" w:before="5"/>
              <w:ind w:left="15" w:right="7"/>
              <w:jc w:val="center"/>
              <w:rPr>
                <w:sz w:val="24"/>
              </w:rPr>
            </w:pPr>
            <w:r>
              <w:rPr>
                <w:sz w:val="24"/>
              </w:rPr>
              <w:t>For</w:t>
            </w:r>
            <w:r>
              <w:rPr>
                <w:spacing w:val="-3"/>
                <w:sz w:val="24"/>
              </w:rPr>
              <w:t> </w:t>
            </w:r>
            <w:r>
              <w:rPr>
                <w:spacing w:val="-2"/>
                <w:sz w:val="24"/>
              </w:rPr>
              <w:t>Approval</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8"/>
        <w:rPr>
          <w:sz w:val="20"/>
        </w:rPr>
      </w:pPr>
    </w:p>
    <w:p>
      <w:pPr>
        <w:spacing w:before="0"/>
        <w:ind w:left="4" w:right="284" w:firstLine="0"/>
        <w:jc w:val="center"/>
        <w:rPr>
          <w:sz w:val="20"/>
        </w:rPr>
      </w:pPr>
      <w:r>
        <w:rPr>
          <w:spacing w:val="-10"/>
          <w:sz w:val="20"/>
        </w:rPr>
        <w:t>1</w:t>
      </w:r>
    </w:p>
    <w:p>
      <w:pPr>
        <w:spacing w:after="0"/>
        <w:jc w:val="center"/>
        <w:rPr>
          <w:sz w:val="20"/>
        </w:rPr>
        <w:sectPr>
          <w:pgSz w:w="11910" w:h="16840"/>
          <w:pgMar w:header="0" w:footer="149" w:top="980" w:bottom="340" w:left="708" w:right="425"/>
        </w:sectPr>
      </w:pPr>
    </w:p>
    <w:p>
      <w:pPr>
        <w:pStyle w:val="BodyText"/>
        <w:rPr>
          <w:sz w:val="20"/>
        </w:rPr>
      </w:pPr>
    </w:p>
    <w:p>
      <w:pPr>
        <w:pStyle w:val="BodyText"/>
        <w:rPr>
          <w:sz w:val="20"/>
        </w:rPr>
      </w:pPr>
    </w:p>
    <w:p>
      <w:pPr>
        <w:pStyle w:val="BodyText"/>
        <w:spacing w:before="71"/>
        <w:rPr>
          <w:sz w:val="20"/>
        </w:rPr>
      </w:pPr>
    </w:p>
    <w:p>
      <w:pPr>
        <w:spacing w:line="240" w:lineRule="auto"/>
        <w:ind w:left="187" w:right="0" w:firstLine="0"/>
        <w:rPr>
          <w:sz w:val="20"/>
        </w:rPr>
      </w:pPr>
      <w:r>
        <w:rPr>
          <w:sz w:val="20"/>
        </w:rPr>
        <mc:AlternateContent>
          <mc:Choice Requires="wps">
            <w:drawing>
              <wp:inline distT="0" distB="0" distL="0" distR="0">
                <wp:extent cx="6642100" cy="193675"/>
                <wp:effectExtent l="9525" t="0" r="6350" b="6350"/>
                <wp:docPr id="461" name="Textbox 461"/>
                <wp:cNvGraphicFramePr>
                  <a:graphicFrameLocks/>
                </wp:cNvGraphicFramePr>
                <a:graphic>
                  <a:graphicData uri="http://schemas.microsoft.com/office/word/2010/wordprocessingShape">
                    <wps:wsp>
                      <wps:cNvPr id="461" name="Textbox 461"/>
                      <wps:cNvSpPr txBox="1"/>
                      <wps:spPr>
                        <a:xfrm>
                          <a:off x="0" y="0"/>
                          <a:ext cx="66421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1</w:t>
                            </w:r>
                            <w:r>
                              <w:rPr>
                                <w:b/>
                                <w:color w:val="000000"/>
                                <w:sz w:val="24"/>
                              </w:rPr>
                              <w:tab/>
                            </w:r>
                            <w:r>
                              <w:rPr>
                                <w:b/>
                                <w:color w:val="000000"/>
                                <w:spacing w:val="-2"/>
                                <w:sz w:val="24"/>
                              </w:rPr>
                              <w:t>Constitution</w:t>
                            </w:r>
                          </w:p>
                        </w:txbxContent>
                      </wps:txbx>
                      <wps:bodyPr wrap="square" lIns="0" tIns="0" rIns="0" bIns="0" rtlCol="0">
                        <a:noAutofit/>
                      </wps:bodyPr>
                    </wps:wsp>
                  </a:graphicData>
                </a:graphic>
              </wp:inline>
            </w:drawing>
          </mc:Choice>
          <mc:Fallback>
            <w:pict>
              <v:shape style="width:523pt;height:15.25pt;mso-position-horizontal-relative:char;mso-position-vertical-relative:line" type="#_x0000_t202" id="docshape243" filled="true" fillcolor="#c1a875" stroked="true" strokeweight="1pt" strokecolor="#394871">
                <w10:anchorlock/>
                <v:textbox inset="0,0,0,0">
                  <w:txbxContent>
                    <w:p>
                      <w:pPr>
                        <w:tabs>
                          <w:tab w:pos="815" w:val="left" w:leader="none"/>
                        </w:tabs>
                        <w:spacing w:before="0"/>
                        <w:ind w:left="95" w:right="0" w:firstLine="0"/>
                        <w:jc w:val="left"/>
                        <w:rPr>
                          <w:b/>
                          <w:color w:val="000000"/>
                          <w:sz w:val="24"/>
                        </w:rPr>
                      </w:pPr>
                      <w:r>
                        <w:rPr>
                          <w:b/>
                          <w:color w:val="000000"/>
                          <w:spacing w:val="-10"/>
                          <w:sz w:val="24"/>
                        </w:rPr>
                        <w:t>1</w:t>
                      </w:r>
                      <w:r>
                        <w:rPr>
                          <w:b/>
                          <w:color w:val="000000"/>
                          <w:sz w:val="24"/>
                        </w:rPr>
                        <w:tab/>
                      </w:r>
                      <w:r>
                        <w:rPr>
                          <w:b/>
                          <w:color w:val="000000"/>
                          <w:spacing w:val="-2"/>
                          <w:sz w:val="24"/>
                        </w:rPr>
                        <w:t>Constitution</w:t>
                      </w:r>
                    </w:p>
                  </w:txbxContent>
                </v:textbox>
                <v:fill type="solid"/>
                <v:stroke dashstyle="solid"/>
              </v:shape>
            </w:pict>
          </mc:Fallback>
        </mc:AlternateContent>
      </w:r>
      <w:r>
        <w:rPr>
          <w:sz w:val="20"/>
        </w:rPr>
      </w:r>
    </w:p>
    <w:p>
      <w:pPr>
        <w:pStyle w:val="ListParagraph"/>
        <w:numPr>
          <w:ilvl w:val="1"/>
          <w:numId w:val="47"/>
        </w:numPr>
        <w:tabs>
          <w:tab w:pos="860" w:val="left" w:leader="none"/>
          <w:tab w:pos="862" w:val="left" w:leader="none"/>
        </w:tabs>
        <w:spacing w:line="240" w:lineRule="auto" w:before="100" w:after="0"/>
        <w:ind w:left="862" w:right="536" w:hanging="720"/>
        <w:jc w:val="both"/>
        <w:rPr>
          <w:sz w:val="24"/>
        </w:rPr>
      </w:pPr>
      <w:r>
        <w:rPr>
          <w:sz w:val="24"/>
        </w:rPr>
        <mc:AlternateContent>
          <mc:Choice Requires="wps">
            <w:drawing>
              <wp:anchor distT="0" distB="0" distL="0" distR="0" allowOverlap="1" layoutInCell="1" locked="0" behindDoc="0" simplePos="0" relativeHeight="15803904">
                <wp:simplePos x="0" y="0"/>
                <wp:positionH relativeFrom="page">
                  <wp:posOffset>540067</wp:posOffset>
                </wp:positionH>
                <wp:positionV relativeFrom="paragraph">
                  <wp:posOffset>-701929</wp:posOffset>
                </wp:positionV>
                <wp:extent cx="6486525" cy="254000"/>
                <wp:effectExtent l="0" t="0" r="0" b="0"/>
                <wp:wrapNone/>
                <wp:docPr id="462" name="Textbox 462"/>
                <wp:cNvGraphicFramePr>
                  <a:graphicFrameLocks/>
                </wp:cNvGraphicFramePr>
                <a:graphic>
                  <a:graphicData uri="http://schemas.microsoft.com/office/word/2010/wordprocessingShape">
                    <wps:wsp>
                      <wps:cNvPr id="462" name="Textbox 462"/>
                      <wps:cNvSpPr txBox="1"/>
                      <wps:spPr>
                        <a:xfrm>
                          <a:off x="0" y="0"/>
                          <a:ext cx="6486525" cy="254000"/>
                        </a:xfrm>
                        <a:prstGeom prst="rect">
                          <a:avLst/>
                        </a:prstGeom>
                        <a:solidFill>
                          <a:srgbClr val="394871"/>
                        </a:solidFill>
                        <a:ln w="38100">
                          <a:solidFill>
                            <a:srgbClr val="C1A875"/>
                          </a:solidFill>
                          <a:prstDash val="solid"/>
                        </a:ln>
                      </wps:spPr>
                      <wps:txbx>
                        <w:txbxContent>
                          <w:p>
                            <w:pPr>
                              <w:spacing w:before="30"/>
                              <w:ind w:left="2" w:right="13" w:firstLine="0"/>
                              <w:jc w:val="center"/>
                              <w:rPr>
                                <w:b/>
                                <w:color w:val="000000"/>
                                <w:sz w:val="24"/>
                              </w:rPr>
                            </w:pPr>
                            <w:r>
                              <w:rPr>
                                <w:b/>
                                <w:color w:val="FFFFFF"/>
                                <w:spacing w:val="-4"/>
                                <w:sz w:val="24"/>
                              </w:rPr>
                              <w:t>CLINICAL</w:t>
                            </w:r>
                            <w:r>
                              <w:rPr>
                                <w:b/>
                                <w:color w:val="FFFFFF"/>
                                <w:spacing w:val="-2"/>
                                <w:sz w:val="24"/>
                              </w:rPr>
                              <w:t> </w:t>
                            </w:r>
                            <w:r>
                              <w:rPr>
                                <w:b/>
                                <w:color w:val="FFFFFF"/>
                                <w:spacing w:val="-4"/>
                                <w:sz w:val="24"/>
                              </w:rPr>
                              <w:t>SERVICES</w:t>
                            </w:r>
                            <w:r>
                              <w:rPr>
                                <w:b/>
                                <w:color w:val="FFFFFF"/>
                                <w:spacing w:val="1"/>
                                <w:sz w:val="24"/>
                              </w:rPr>
                              <w:t> </w:t>
                            </w:r>
                            <w:r>
                              <w:rPr>
                                <w:b/>
                                <w:color w:val="FFFFFF"/>
                                <w:spacing w:val="-4"/>
                                <w:sz w:val="24"/>
                              </w:rPr>
                              <w:t>PLANNING</w:t>
                            </w:r>
                            <w:r>
                              <w:rPr>
                                <w:b/>
                                <w:color w:val="FFFFFF"/>
                                <w:spacing w:val="4"/>
                                <w:sz w:val="24"/>
                              </w:rPr>
                              <w:t> </w:t>
                            </w:r>
                            <w:r>
                              <w:rPr>
                                <w:b/>
                                <w:color w:val="FFFFFF"/>
                                <w:spacing w:val="-4"/>
                                <w:sz w:val="24"/>
                              </w:rPr>
                              <w:t>SUBGROUP</w:t>
                            </w:r>
                          </w:p>
                        </w:txbxContent>
                      </wps:txbx>
                      <wps:bodyPr wrap="square" lIns="0" tIns="0" rIns="0" bIns="0" rtlCol="0">
                        <a:noAutofit/>
                      </wps:bodyPr>
                    </wps:wsp>
                  </a:graphicData>
                </a:graphic>
              </wp:anchor>
            </w:drawing>
          </mc:Choice>
          <mc:Fallback>
            <w:pict>
              <v:shape style="position:absolute;margin-left:42.525002pt;margin-top:-55.27pt;width:510.75pt;height:20pt;mso-position-horizontal-relative:page;mso-position-vertical-relative:paragraph;z-index:15803904" type="#_x0000_t202" id="docshape244" filled="true" fillcolor="#394871" stroked="true" strokeweight="3pt" strokecolor="#c1a875">
                <v:textbox inset="0,0,0,0">
                  <w:txbxContent>
                    <w:p>
                      <w:pPr>
                        <w:spacing w:before="30"/>
                        <w:ind w:left="2" w:right="13" w:firstLine="0"/>
                        <w:jc w:val="center"/>
                        <w:rPr>
                          <w:b/>
                          <w:color w:val="000000"/>
                          <w:sz w:val="24"/>
                        </w:rPr>
                      </w:pPr>
                      <w:r>
                        <w:rPr>
                          <w:b/>
                          <w:color w:val="FFFFFF"/>
                          <w:spacing w:val="-4"/>
                          <w:sz w:val="24"/>
                        </w:rPr>
                        <w:t>CLINICAL</w:t>
                      </w:r>
                      <w:r>
                        <w:rPr>
                          <w:b/>
                          <w:color w:val="FFFFFF"/>
                          <w:spacing w:val="-2"/>
                          <w:sz w:val="24"/>
                        </w:rPr>
                        <w:t> </w:t>
                      </w:r>
                      <w:r>
                        <w:rPr>
                          <w:b/>
                          <w:color w:val="FFFFFF"/>
                          <w:spacing w:val="-4"/>
                          <w:sz w:val="24"/>
                        </w:rPr>
                        <w:t>SERVICES</w:t>
                      </w:r>
                      <w:r>
                        <w:rPr>
                          <w:b/>
                          <w:color w:val="FFFFFF"/>
                          <w:spacing w:val="1"/>
                          <w:sz w:val="24"/>
                        </w:rPr>
                        <w:t> </w:t>
                      </w:r>
                      <w:r>
                        <w:rPr>
                          <w:b/>
                          <w:color w:val="FFFFFF"/>
                          <w:spacing w:val="-4"/>
                          <w:sz w:val="24"/>
                        </w:rPr>
                        <w:t>PLANNING</w:t>
                      </w:r>
                      <w:r>
                        <w:rPr>
                          <w:b/>
                          <w:color w:val="FFFFFF"/>
                          <w:spacing w:val="4"/>
                          <w:sz w:val="24"/>
                        </w:rPr>
                        <w:t> </w:t>
                      </w:r>
                      <w:r>
                        <w:rPr>
                          <w:b/>
                          <w:color w:val="FFFFFF"/>
                          <w:spacing w:val="-4"/>
                          <w:sz w:val="24"/>
                        </w:rPr>
                        <w:t>SUBGROUP</w:t>
                      </w:r>
                    </w:p>
                  </w:txbxContent>
                </v:textbox>
                <v:fill type="solid"/>
                <v:stroke dashstyle="solid"/>
                <w10:wrap type="none"/>
              </v:shape>
            </w:pict>
          </mc:Fallback>
        </mc:AlternateContent>
      </w:r>
      <w:r>
        <w:rPr>
          <w:spacing w:val="-2"/>
          <w:sz w:val="24"/>
        </w:rPr>
        <w:t>The</w:t>
      </w:r>
      <w:r>
        <w:rPr>
          <w:spacing w:val="-10"/>
          <w:sz w:val="24"/>
        </w:rPr>
        <w:t> </w:t>
      </w:r>
      <w:r>
        <w:rPr>
          <w:spacing w:val="-2"/>
          <w:sz w:val="24"/>
        </w:rPr>
        <w:t>Regional</w:t>
      </w:r>
      <w:r>
        <w:rPr>
          <w:spacing w:val="-10"/>
          <w:sz w:val="24"/>
        </w:rPr>
        <w:t> </w:t>
      </w:r>
      <w:r>
        <w:rPr>
          <w:spacing w:val="-2"/>
          <w:sz w:val="24"/>
        </w:rPr>
        <w:t>Joint</w:t>
      </w:r>
      <w:r>
        <w:rPr>
          <w:spacing w:val="-13"/>
          <w:sz w:val="24"/>
        </w:rPr>
        <w:t> </w:t>
      </w:r>
      <w:r>
        <w:rPr>
          <w:spacing w:val="-2"/>
          <w:sz w:val="24"/>
        </w:rPr>
        <w:t>Committee</w:t>
      </w:r>
      <w:r>
        <w:rPr>
          <w:spacing w:val="-10"/>
          <w:sz w:val="24"/>
        </w:rPr>
        <w:t> </w:t>
      </w:r>
      <w:r>
        <w:rPr>
          <w:spacing w:val="-2"/>
          <w:sz w:val="24"/>
        </w:rPr>
        <w:t>(RJC)</w:t>
      </w:r>
      <w:r>
        <w:rPr>
          <w:spacing w:val="-11"/>
          <w:sz w:val="24"/>
        </w:rPr>
        <w:t> </w:t>
      </w:r>
      <w:r>
        <w:rPr>
          <w:spacing w:val="-2"/>
          <w:sz w:val="24"/>
        </w:rPr>
        <w:t>has</w:t>
      </w:r>
      <w:r>
        <w:rPr>
          <w:spacing w:val="-11"/>
          <w:sz w:val="24"/>
        </w:rPr>
        <w:t> </w:t>
      </w:r>
      <w:r>
        <w:rPr>
          <w:spacing w:val="-2"/>
          <w:sz w:val="24"/>
        </w:rPr>
        <w:t>been</w:t>
      </w:r>
      <w:r>
        <w:rPr>
          <w:spacing w:val="-10"/>
          <w:sz w:val="24"/>
        </w:rPr>
        <w:t> </w:t>
      </w:r>
      <w:r>
        <w:rPr>
          <w:spacing w:val="-2"/>
          <w:sz w:val="24"/>
        </w:rPr>
        <w:t>established</w:t>
      </w:r>
      <w:r>
        <w:rPr>
          <w:spacing w:val="-10"/>
          <w:sz w:val="24"/>
        </w:rPr>
        <w:t> </w:t>
      </w:r>
      <w:r>
        <w:rPr>
          <w:spacing w:val="-2"/>
          <w:sz w:val="24"/>
        </w:rPr>
        <w:t>under</w:t>
      </w:r>
      <w:r>
        <w:rPr>
          <w:spacing w:val="-11"/>
          <w:sz w:val="24"/>
        </w:rPr>
        <w:t> </w:t>
      </w:r>
      <w:r>
        <w:rPr>
          <w:spacing w:val="-2"/>
          <w:sz w:val="24"/>
        </w:rPr>
        <w:t>Ministerial</w:t>
      </w:r>
      <w:r>
        <w:rPr>
          <w:spacing w:val="-10"/>
          <w:sz w:val="24"/>
        </w:rPr>
        <w:t> </w:t>
      </w:r>
      <w:r>
        <w:rPr>
          <w:spacing w:val="-2"/>
          <w:sz w:val="24"/>
        </w:rPr>
        <w:t>Direction</w:t>
      </w:r>
      <w:r>
        <w:rPr>
          <w:spacing w:val="-15"/>
          <w:sz w:val="24"/>
        </w:rPr>
        <w:t> </w:t>
      </w:r>
      <w:r>
        <w:rPr>
          <w:spacing w:val="-2"/>
          <w:sz w:val="24"/>
        </w:rPr>
        <w:t>as</w:t>
      </w:r>
      <w:r>
        <w:rPr>
          <w:spacing w:val="-11"/>
          <w:sz w:val="24"/>
        </w:rPr>
        <w:t> </w:t>
      </w:r>
      <w:r>
        <w:rPr>
          <w:spacing w:val="-2"/>
          <w:sz w:val="24"/>
        </w:rPr>
        <w:t>a Joint</w:t>
      </w:r>
      <w:r>
        <w:rPr>
          <w:spacing w:val="-15"/>
          <w:sz w:val="24"/>
        </w:rPr>
        <w:t> </w:t>
      </w:r>
      <w:r>
        <w:rPr>
          <w:spacing w:val="-2"/>
          <w:sz w:val="24"/>
        </w:rPr>
        <w:t>Committee</w:t>
      </w:r>
      <w:r>
        <w:rPr>
          <w:spacing w:val="-15"/>
          <w:sz w:val="24"/>
        </w:rPr>
        <w:t> </w:t>
      </w:r>
      <w:r>
        <w:rPr>
          <w:spacing w:val="-2"/>
          <w:sz w:val="24"/>
        </w:rPr>
        <w:t>of</w:t>
      </w:r>
      <w:r>
        <w:rPr>
          <w:spacing w:val="-10"/>
          <w:sz w:val="24"/>
        </w:rPr>
        <w:t> </w:t>
      </w:r>
      <w:r>
        <w:rPr>
          <w:spacing w:val="-2"/>
          <w:sz w:val="24"/>
        </w:rPr>
        <w:t>Swansea</w:t>
      </w:r>
      <w:r>
        <w:rPr>
          <w:spacing w:val="-8"/>
          <w:sz w:val="24"/>
        </w:rPr>
        <w:t> </w:t>
      </w:r>
      <w:r>
        <w:rPr>
          <w:spacing w:val="-2"/>
          <w:sz w:val="24"/>
        </w:rPr>
        <w:t>Bay</w:t>
      </w:r>
      <w:r>
        <w:rPr>
          <w:spacing w:val="-13"/>
          <w:sz w:val="24"/>
        </w:rPr>
        <w:t> </w:t>
      </w:r>
      <w:r>
        <w:rPr>
          <w:spacing w:val="-2"/>
          <w:sz w:val="24"/>
        </w:rPr>
        <w:t>and</w:t>
      </w:r>
      <w:r>
        <w:rPr>
          <w:spacing w:val="-12"/>
          <w:sz w:val="24"/>
        </w:rPr>
        <w:t> </w:t>
      </w:r>
      <w:r>
        <w:rPr>
          <w:spacing w:val="-2"/>
          <w:sz w:val="24"/>
        </w:rPr>
        <w:t>Hywel</w:t>
      </w:r>
      <w:r>
        <w:rPr>
          <w:spacing w:val="-12"/>
          <w:sz w:val="24"/>
        </w:rPr>
        <w:t> </w:t>
      </w:r>
      <w:r>
        <w:rPr>
          <w:spacing w:val="-2"/>
          <w:sz w:val="24"/>
        </w:rPr>
        <w:t>Dda</w:t>
      </w:r>
      <w:r>
        <w:rPr>
          <w:spacing w:val="-12"/>
          <w:sz w:val="24"/>
        </w:rPr>
        <w:t> </w:t>
      </w:r>
      <w:r>
        <w:rPr>
          <w:spacing w:val="-2"/>
          <w:sz w:val="24"/>
        </w:rPr>
        <w:t>University</w:t>
      </w:r>
      <w:r>
        <w:rPr>
          <w:spacing w:val="-13"/>
          <w:sz w:val="24"/>
        </w:rPr>
        <w:t> </w:t>
      </w:r>
      <w:r>
        <w:rPr>
          <w:spacing w:val="-2"/>
          <w:sz w:val="24"/>
        </w:rPr>
        <w:t>Health</w:t>
      </w:r>
      <w:r>
        <w:rPr>
          <w:spacing w:val="-12"/>
          <w:sz w:val="24"/>
        </w:rPr>
        <w:t> </w:t>
      </w:r>
      <w:r>
        <w:rPr>
          <w:spacing w:val="-2"/>
          <w:sz w:val="24"/>
        </w:rPr>
        <w:t>Boards</w:t>
      </w:r>
      <w:r>
        <w:rPr>
          <w:spacing w:val="-15"/>
          <w:sz w:val="24"/>
        </w:rPr>
        <w:t> </w:t>
      </w:r>
      <w:r>
        <w:rPr>
          <w:spacing w:val="-2"/>
          <w:sz w:val="24"/>
        </w:rPr>
        <w:t>and</w:t>
      </w:r>
      <w:r>
        <w:rPr>
          <w:spacing w:val="-12"/>
          <w:sz w:val="24"/>
        </w:rPr>
        <w:t> </w:t>
      </w:r>
      <w:r>
        <w:rPr>
          <w:spacing w:val="-2"/>
          <w:sz w:val="24"/>
        </w:rPr>
        <w:t>constituted </w:t>
      </w:r>
      <w:r>
        <w:rPr>
          <w:sz w:val="24"/>
        </w:rPr>
        <w:t>from 15 January 2025.</w:t>
      </w:r>
    </w:p>
    <w:p>
      <w:pPr>
        <w:pStyle w:val="ListParagraph"/>
        <w:numPr>
          <w:ilvl w:val="1"/>
          <w:numId w:val="47"/>
        </w:numPr>
        <w:tabs>
          <w:tab w:pos="860" w:val="left" w:leader="none"/>
          <w:tab w:pos="862" w:val="left" w:leader="none"/>
        </w:tabs>
        <w:spacing w:line="240" w:lineRule="auto" w:before="122" w:after="0"/>
        <w:ind w:left="862" w:right="881" w:hanging="720"/>
        <w:jc w:val="both"/>
        <w:rPr>
          <w:sz w:val="24"/>
        </w:rPr>
      </w:pPr>
      <w:r>
        <w:rPr>
          <w:spacing w:val="-2"/>
          <w:sz w:val="24"/>
        </w:rPr>
        <w:t>The</w:t>
      </w:r>
      <w:r>
        <w:rPr>
          <w:spacing w:val="-13"/>
          <w:sz w:val="24"/>
        </w:rPr>
        <w:t> </w:t>
      </w:r>
      <w:r>
        <w:rPr>
          <w:spacing w:val="-2"/>
          <w:sz w:val="24"/>
        </w:rPr>
        <w:t>Regional</w:t>
      </w:r>
      <w:r>
        <w:rPr>
          <w:spacing w:val="-11"/>
          <w:sz w:val="24"/>
        </w:rPr>
        <w:t> </w:t>
      </w:r>
      <w:r>
        <w:rPr>
          <w:spacing w:val="-2"/>
          <w:sz w:val="24"/>
        </w:rPr>
        <w:t>Clinical</w:t>
      </w:r>
      <w:r>
        <w:rPr>
          <w:spacing w:val="-12"/>
          <w:sz w:val="24"/>
        </w:rPr>
        <w:t> </w:t>
      </w:r>
      <w:r>
        <w:rPr>
          <w:spacing w:val="-2"/>
          <w:sz w:val="24"/>
        </w:rPr>
        <w:t>Services</w:t>
      </w:r>
      <w:r>
        <w:rPr>
          <w:spacing w:val="-13"/>
          <w:sz w:val="24"/>
        </w:rPr>
        <w:t> </w:t>
      </w:r>
      <w:r>
        <w:rPr>
          <w:spacing w:val="-2"/>
          <w:sz w:val="24"/>
        </w:rPr>
        <w:t>Planning</w:t>
      </w:r>
      <w:r>
        <w:rPr>
          <w:spacing w:val="-12"/>
          <w:sz w:val="24"/>
        </w:rPr>
        <w:t> </w:t>
      </w:r>
      <w:r>
        <w:rPr>
          <w:spacing w:val="-2"/>
          <w:sz w:val="24"/>
        </w:rPr>
        <w:t>Subgroup</w:t>
      </w:r>
      <w:r>
        <w:rPr>
          <w:spacing w:val="-14"/>
          <w:sz w:val="24"/>
        </w:rPr>
        <w:t> </w:t>
      </w:r>
      <w:r>
        <w:rPr>
          <w:spacing w:val="-2"/>
          <w:sz w:val="24"/>
        </w:rPr>
        <w:t>(RCSPS)</w:t>
      </w:r>
      <w:r>
        <w:rPr>
          <w:spacing w:val="-13"/>
          <w:sz w:val="24"/>
        </w:rPr>
        <w:t> </w:t>
      </w:r>
      <w:r>
        <w:rPr>
          <w:spacing w:val="-2"/>
          <w:sz w:val="24"/>
        </w:rPr>
        <w:t>has</w:t>
      </w:r>
      <w:r>
        <w:rPr>
          <w:spacing w:val="-13"/>
          <w:sz w:val="24"/>
        </w:rPr>
        <w:t> </w:t>
      </w:r>
      <w:r>
        <w:rPr>
          <w:spacing w:val="-2"/>
          <w:sz w:val="24"/>
        </w:rPr>
        <w:t>been</w:t>
      </w:r>
      <w:r>
        <w:rPr>
          <w:spacing w:val="-12"/>
          <w:sz w:val="24"/>
        </w:rPr>
        <w:t> </w:t>
      </w:r>
      <w:r>
        <w:rPr>
          <w:spacing w:val="-2"/>
          <w:sz w:val="24"/>
        </w:rPr>
        <w:t>established</w:t>
      </w:r>
      <w:r>
        <w:rPr>
          <w:spacing w:val="-12"/>
          <w:sz w:val="24"/>
        </w:rPr>
        <w:t> </w:t>
      </w:r>
      <w:r>
        <w:rPr>
          <w:spacing w:val="-2"/>
          <w:sz w:val="24"/>
        </w:rPr>
        <w:t>as</w:t>
      </w:r>
      <w:r>
        <w:rPr>
          <w:spacing w:val="-15"/>
          <w:sz w:val="24"/>
        </w:rPr>
        <w:t> </w:t>
      </w:r>
      <w:r>
        <w:rPr>
          <w:spacing w:val="-2"/>
          <w:sz w:val="24"/>
        </w:rPr>
        <w:t>a </w:t>
      </w:r>
      <w:r>
        <w:rPr>
          <w:sz w:val="24"/>
        </w:rPr>
        <w:t>Subgroup</w:t>
      </w:r>
      <w:r>
        <w:rPr>
          <w:spacing w:val="-4"/>
          <w:sz w:val="24"/>
        </w:rPr>
        <w:t> </w:t>
      </w:r>
      <w:r>
        <w:rPr>
          <w:sz w:val="24"/>
        </w:rPr>
        <w:t>of</w:t>
      </w:r>
      <w:r>
        <w:rPr>
          <w:spacing w:val="-7"/>
          <w:sz w:val="24"/>
        </w:rPr>
        <w:t> </w:t>
      </w:r>
      <w:r>
        <w:rPr>
          <w:sz w:val="24"/>
        </w:rPr>
        <w:t>the</w:t>
      </w:r>
      <w:r>
        <w:rPr>
          <w:spacing w:val="-8"/>
          <w:sz w:val="24"/>
        </w:rPr>
        <w:t> </w:t>
      </w:r>
      <w:r>
        <w:rPr>
          <w:sz w:val="24"/>
        </w:rPr>
        <w:t>RJC,</w:t>
      </w:r>
      <w:r>
        <w:rPr>
          <w:spacing w:val="-12"/>
          <w:sz w:val="24"/>
        </w:rPr>
        <w:t> </w:t>
      </w:r>
      <w:r>
        <w:rPr>
          <w:sz w:val="24"/>
        </w:rPr>
        <w:t>and</w:t>
      </w:r>
      <w:r>
        <w:rPr>
          <w:spacing w:val="-9"/>
          <w:sz w:val="24"/>
        </w:rPr>
        <w:t> </w:t>
      </w:r>
      <w:r>
        <w:rPr>
          <w:sz w:val="24"/>
        </w:rPr>
        <w:t>held</w:t>
      </w:r>
      <w:r>
        <w:rPr>
          <w:spacing w:val="-4"/>
          <w:sz w:val="24"/>
        </w:rPr>
        <w:t> </w:t>
      </w:r>
      <w:r>
        <w:rPr>
          <w:sz w:val="24"/>
        </w:rPr>
        <w:t>its</w:t>
      </w:r>
      <w:r>
        <w:rPr>
          <w:spacing w:val="-10"/>
          <w:sz w:val="24"/>
        </w:rPr>
        <w:t> </w:t>
      </w:r>
      <w:r>
        <w:rPr>
          <w:sz w:val="24"/>
        </w:rPr>
        <w:t>inaugural meeting</w:t>
      </w:r>
      <w:r>
        <w:rPr>
          <w:spacing w:val="-6"/>
          <w:sz w:val="24"/>
        </w:rPr>
        <w:t> </w:t>
      </w:r>
      <w:r>
        <w:rPr>
          <w:sz w:val="24"/>
        </w:rPr>
        <w:t>on</w:t>
      </w:r>
      <w:r>
        <w:rPr>
          <w:spacing w:val="-4"/>
          <w:sz w:val="24"/>
        </w:rPr>
        <w:t> </w:t>
      </w:r>
      <w:r>
        <w:rPr>
          <w:sz w:val="24"/>
        </w:rPr>
        <w:t>20</w:t>
      </w:r>
      <w:r>
        <w:rPr>
          <w:spacing w:val="-4"/>
          <w:sz w:val="24"/>
        </w:rPr>
        <w:t> </w:t>
      </w:r>
      <w:r>
        <w:rPr>
          <w:sz w:val="24"/>
        </w:rPr>
        <w:t>May</w:t>
      </w:r>
      <w:r>
        <w:rPr>
          <w:spacing w:val="-5"/>
          <w:sz w:val="24"/>
        </w:rPr>
        <w:t> </w:t>
      </w:r>
      <w:r>
        <w:rPr>
          <w:sz w:val="24"/>
        </w:rPr>
        <w:t>2025.</w:t>
      </w:r>
    </w:p>
    <w:p>
      <w:pPr>
        <w:pStyle w:val="BodyText"/>
        <w:rPr>
          <w:sz w:val="13"/>
        </w:rPr>
      </w:pPr>
      <w:r>
        <w:rPr>
          <w:sz w:val="13"/>
        </w:rPr>
        <mc:AlternateContent>
          <mc:Choice Requires="wps">
            <w:drawing>
              <wp:anchor distT="0" distB="0" distL="0" distR="0" allowOverlap="1" layoutInCell="1" locked="0" behindDoc="1" simplePos="0" relativeHeight="487662080">
                <wp:simplePos x="0" y="0"/>
                <wp:positionH relativeFrom="page">
                  <wp:posOffset>574992</wp:posOffset>
                </wp:positionH>
                <wp:positionV relativeFrom="paragraph">
                  <wp:posOffset>116660</wp:posOffset>
                </wp:positionV>
                <wp:extent cx="6642100" cy="193675"/>
                <wp:effectExtent l="0" t="0" r="0" b="0"/>
                <wp:wrapTopAndBottom/>
                <wp:docPr id="463" name="Textbox 463"/>
                <wp:cNvGraphicFramePr>
                  <a:graphicFrameLocks/>
                </wp:cNvGraphicFramePr>
                <a:graphic>
                  <a:graphicData uri="http://schemas.microsoft.com/office/word/2010/wordprocessingShape">
                    <wps:wsp>
                      <wps:cNvPr id="463" name="Textbox 463"/>
                      <wps:cNvSpPr txBox="1"/>
                      <wps:spPr>
                        <a:xfrm>
                          <a:off x="0" y="0"/>
                          <a:ext cx="66421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2</w:t>
                            </w:r>
                            <w:r>
                              <w:rPr>
                                <w:b/>
                                <w:color w:val="000000"/>
                                <w:sz w:val="24"/>
                              </w:rPr>
                              <w:tab/>
                            </w:r>
                            <w:r>
                              <w:rPr>
                                <w:b/>
                                <w:color w:val="000000"/>
                                <w:spacing w:val="-2"/>
                                <w:sz w:val="24"/>
                              </w:rPr>
                              <w:t>Purpose</w:t>
                            </w:r>
                          </w:p>
                        </w:txbxContent>
                      </wps:txbx>
                      <wps:bodyPr wrap="square" lIns="0" tIns="0" rIns="0" bIns="0" rtlCol="0">
                        <a:noAutofit/>
                      </wps:bodyPr>
                    </wps:wsp>
                  </a:graphicData>
                </a:graphic>
              </wp:anchor>
            </w:drawing>
          </mc:Choice>
          <mc:Fallback>
            <w:pict>
              <v:shape style="position:absolute;margin-left:45.275002pt;margin-top:9.18586pt;width:523pt;height:15.25pt;mso-position-horizontal-relative:page;mso-position-vertical-relative:paragraph;z-index:-15654400;mso-wrap-distance-left:0;mso-wrap-distance-right:0" type="#_x0000_t202" id="docshape245"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2</w:t>
                      </w:r>
                      <w:r>
                        <w:rPr>
                          <w:b/>
                          <w:color w:val="000000"/>
                          <w:sz w:val="24"/>
                        </w:rPr>
                        <w:tab/>
                      </w:r>
                      <w:r>
                        <w:rPr>
                          <w:b/>
                          <w:color w:val="000000"/>
                          <w:spacing w:val="-2"/>
                          <w:sz w:val="24"/>
                        </w:rPr>
                        <w:t>Purpose</w:t>
                      </w:r>
                    </w:p>
                  </w:txbxContent>
                </v:textbox>
                <v:fill type="solid"/>
                <v:stroke dashstyle="solid"/>
                <w10:wrap type="topAndBottom"/>
              </v:shape>
            </w:pict>
          </mc:Fallback>
        </mc:AlternateContent>
      </w:r>
    </w:p>
    <w:p>
      <w:pPr>
        <w:pStyle w:val="BodyText"/>
        <w:spacing w:before="170"/>
        <w:ind w:left="142"/>
      </w:pPr>
      <w:r>
        <w:rPr>
          <w:spacing w:val="-2"/>
        </w:rPr>
        <w:t>The</w:t>
      </w:r>
      <w:r>
        <w:rPr>
          <w:spacing w:val="-14"/>
        </w:rPr>
        <w:t> </w:t>
      </w:r>
      <w:r>
        <w:rPr>
          <w:spacing w:val="-2"/>
        </w:rPr>
        <w:t>RCSPS</w:t>
      </w:r>
      <w:r>
        <w:rPr>
          <w:spacing w:val="-13"/>
        </w:rPr>
        <w:t> </w:t>
      </w:r>
      <w:r>
        <w:rPr>
          <w:spacing w:val="-2"/>
        </w:rPr>
        <w:t>has</w:t>
      </w:r>
      <w:r>
        <w:rPr>
          <w:spacing w:val="-13"/>
        </w:rPr>
        <w:t> </w:t>
      </w:r>
      <w:r>
        <w:rPr>
          <w:spacing w:val="-2"/>
        </w:rPr>
        <w:t>been</w:t>
      </w:r>
      <w:r>
        <w:rPr>
          <w:spacing w:val="-12"/>
        </w:rPr>
        <w:t> </w:t>
      </w:r>
      <w:r>
        <w:rPr>
          <w:spacing w:val="-2"/>
        </w:rPr>
        <w:t>established</w:t>
      </w:r>
      <w:r>
        <w:rPr>
          <w:spacing w:val="-7"/>
        </w:rPr>
        <w:t> </w:t>
      </w:r>
      <w:r>
        <w:rPr>
          <w:spacing w:val="-5"/>
        </w:rPr>
        <w:t>to:</w:t>
      </w:r>
    </w:p>
    <w:p>
      <w:pPr>
        <w:pStyle w:val="ListParagraph"/>
        <w:numPr>
          <w:ilvl w:val="1"/>
          <w:numId w:val="48"/>
        </w:numPr>
        <w:tabs>
          <w:tab w:pos="860" w:val="left" w:leader="none"/>
          <w:tab w:pos="862" w:val="left" w:leader="none"/>
        </w:tabs>
        <w:spacing w:line="240" w:lineRule="auto" w:before="158" w:after="0"/>
        <w:ind w:left="862" w:right="419" w:hanging="720"/>
        <w:jc w:val="both"/>
        <w:rPr>
          <w:sz w:val="24"/>
        </w:rPr>
      </w:pPr>
      <w:r>
        <w:rPr>
          <w:b/>
          <w:spacing w:val="-2"/>
          <w:sz w:val="24"/>
        </w:rPr>
        <w:t>Provide</w:t>
      </w:r>
      <w:r>
        <w:rPr>
          <w:b/>
          <w:spacing w:val="-7"/>
          <w:sz w:val="24"/>
        </w:rPr>
        <w:t> </w:t>
      </w:r>
      <w:r>
        <w:rPr>
          <w:b/>
          <w:spacing w:val="-2"/>
          <w:sz w:val="24"/>
        </w:rPr>
        <w:t>joint</w:t>
      </w:r>
      <w:r>
        <w:rPr>
          <w:b/>
          <w:spacing w:val="-8"/>
          <w:sz w:val="24"/>
        </w:rPr>
        <w:t> </w:t>
      </w:r>
      <w:r>
        <w:rPr>
          <w:b/>
          <w:spacing w:val="-2"/>
          <w:sz w:val="24"/>
        </w:rPr>
        <w:t>leadership</w:t>
      </w:r>
      <w:r>
        <w:rPr>
          <w:b/>
          <w:spacing w:val="-10"/>
          <w:sz w:val="24"/>
        </w:rPr>
        <w:t> </w:t>
      </w:r>
      <w:r>
        <w:rPr>
          <w:b/>
          <w:spacing w:val="-2"/>
          <w:sz w:val="24"/>
        </w:rPr>
        <w:t>for</w:t>
      </w:r>
      <w:r>
        <w:rPr>
          <w:b/>
          <w:spacing w:val="-12"/>
          <w:sz w:val="24"/>
        </w:rPr>
        <w:t> </w:t>
      </w:r>
      <w:r>
        <w:rPr>
          <w:b/>
          <w:spacing w:val="-2"/>
          <w:sz w:val="24"/>
        </w:rPr>
        <w:t>the</w:t>
      </w:r>
      <w:r>
        <w:rPr>
          <w:b/>
          <w:spacing w:val="-12"/>
          <w:sz w:val="24"/>
        </w:rPr>
        <w:t> </w:t>
      </w:r>
      <w:r>
        <w:rPr>
          <w:b/>
          <w:spacing w:val="-2"/>
          <w:sz w:val="24"/>
        </w:rPr>
        <w:t>regional</w:t>
      </w:r>
      <w:r>
        <w:rPr>
          <w:b/>
          <w:spacing w:val="-10"/>
          <w:sz w:val="24"/>
        </w:rPr>
        <w:t> </w:t>
      </w:r>
      <w:r>
        <w:rPr>
          <w:b/>
          <w:spacing w:val="-2"/>
          <w:sz w:val="24"/>
        </w:rPr>
        <w:t>planning</w:t>
      </w:r>
      <w:r>
        <w:rPr>
          <w:spacing w:val="-2"/>
          <w:sz w:val="24"/>
        </w:rPr>
        <w:t>,</w:t>
      </w:r>
      <w:r>
        <w:rPr>
          <w:spacing w:val="-15"/>
          <w:sz w:val="24"/>
        </w:rPr>
        <w:t> </w:t>
      </w:r>
      <w:r>
        <w:rPr>
          <w:spacing w:val="-2"/>
          <w:sz w:val="24"/>
        </w:rPr>
        <w:t>commissioning</w:t>
      </w:r>
      <w:r>
        <w:rPr>
          <w:spacing w:val="-12"/>
          <w:sz w:val="24"/>
        </w:rPr>
        <w:t> </w:t>
      </w:r>
      <w:r>
        <w:rPr>
          <w:spacing w:val="-2"/>
          <w:sz w:val="24"/>
        </w:rPr>
        <w:t>and</w:t>
      </w:r>
      <w:r>
        <w:rPr>
          <w:spacing w:val="-12"/>
          <w:sz w:val="24"/>
        </w:rPr>
        <w:t> </w:t>
      </w:r>
      <w:r>
        <w:rPr>
          <w:spacing w:val="-2"/>
          <w:sz w:val="24"/>
        </w:rPr>
        <w:t>delivery</w:t>
      </w:r>
      <w:r>
        <w:rPr>
          <w:spacing w:val="-13"/>
          <w:sz w:val="24"/>
        </w:rPr>
        <w:t> </w:t>
      </w:r>
      <w:r>
        <w:rPr>
          <w:spacing w:val="-2"/>
          <w:sz w:val="24"/>
        </w:rPr>
        <w:t>of</w:t>
      </w:r>
      <w:r>
        <w:rPr>
          <w:spacing w:val="-15"/>
          <w:sz w:val="24"/>
        </w:rPr>
        <w:t> </w:t>
      </w:r>
      <w:r>
        <w:rPr>
          <w:spacing w:val="-2"/>
          <w:sz w:val="24"/>
        </w:rPr>
        <w:t>clinical services</w:t>
      </w:r>
      <w:r>
        <w:rPr>
          <w:spacing w:val="-4"/>
          <w:sz w:val="24"/>
        </w:rPr>
        <w:t> </w:t>
      </w:r>
      <w:r>
        <w:rPr>
          <w:spacing w:val="-2"/>
          <w:sz w:val="24"/>
        </w:rPr>
        <w:t>for</w:t>
      </w:r>
      <w:r>
        <w:rPr>
          <w:spacing w:val="-8"/>
          <w:sz w:val="24"/>
        </w:rPr>
        <w:t> </w:t>
      </w:r>
      <w:r>
        <w:rPr>
          <w:spacing w:val="-2"/>
          <w:sz w:val="24"/>
        </w:rPr>
        <w:t>Swansea</w:t>
      </w:r>
      <w:r>
        <w:rPr>
          <w:spacing w:val="-7"/>
          <w:sz w:val="24"/>
        </w:rPr>
        <w:t> </w:t>
      </w:r>
      <w:r>
        <w:rPr>
          <w:spacing w:val="-2"/>
          <w:sz w:val="24"/>
        </w:rPr>
        <w:t>Bay</w:t>
      </w:r>
      <w:r>
        <w:rPr>
          <w:spacing w:val="-8"/>
          <w:sz w:val="24"/>
        </w:rPr>
        <w:t> </w:t>
      </w:r>
      <w:r>
        <w:rPr>
          <w:spacing w:val="-2"/>
          <w:sz w:val="24"/>
        </w:rPr>
        <w:t>University</w:t>
      </w:r>
      <w:r>
        <w:rPr>
          <w:spacing w:val="-13"/>
          <w:sz w:val="24"/>
        </w:rPr>
        <w:t> </w:t>
      </w:r>
      <w:r>
        <w:rPr>
          <w:spacing w:val="-2"/>
          <w:sz w:val="24"/>
        </w:rPr>
        <w:t>Health</w:t>
      </w:r>
      <w:r>
        <w:rPr>
          <w:spacing w:val="-7"/>
          <w:sz w:val="24"/>
        </w:rPr>
        <w:t> </w:t>
      </w:r>
      <w:r>
        <w:rPr>
          <w:spacing w:val="-2"/>
          <w:sz w:val="24"/>
        </w:rPr>
        <w:t>Board</w:t>
      </w:r>
      <w:r>
        <w:rPr>
          <w:spacing w:val="-12"/>
          <w:sz w:val="24"/>
        </w:rPr>
        <w:t> </w:t>
      </w:r>
      <w:r>
        <w:rPr>
          <w:spacing w:val="-2"/>
          <w:sz w:val="24"/>
        </w:rPr>
        <w:t>and</w:t>
      </w:r>
      <w:r>
        <w:rPr>
          <w:spacing w:val="-7"/>
          <w:sz w:val="24"/>
        </w:rPr>
        <w:t> </w:t>
      </w:r>
      <w:r>
        <w:rPr>
          <w:spacing w:val="-2"/>
          <w:sz w:val="24"/>
        </w:rPr>
        <w:t>Hywel</w:t>
      </w:r>
      <w:r>
        <w:rPr>
          <w:spacing w:val="-7"/>
          <w:sz w:val="24"/>
        </w:rPr>
        <w:t> </w:t>
      </w:r>
      <w:r>
        <w:rPr>
          <w:spacing w:val="-2"/>
          <w:sz w:val="24"/>
        </w:rPr>
        <w:t>Dda</w:t>
      </w:r>
      <w:r>
        <w:rPr>
          <w:spacing w:val="-7"/>
          <w:sz w:val="24"/>
        </w:rPr>
        <w:t> </w:t>
      </w:r>
      <w:r>
        <w:rPr>
          <w:spacing w:val="-2"/>
          <w:sz w:val="24"/>
        </w:rPr>
        <w:t>University</w:t>
      </w:r>
      <w:r>
        <w:rPr>
          <w:spacing w:val="-8"/>
          <w:sz w:val="24"/>
        </w:rPr>
        <w:t> </w:t>
      </w:r>
      <w:r>
        <w:rPr>
          <w:spacing w:val="-2"/>
          <w:sz w:val="24"/>
        </w:rPr>
        <w:t>Health</w:t>
      </w:r>
      <w:r>
        <w:rPr>
          <w:spacing w:val="-7"/>
          <w:sz w:val="24"/>
        </w:rPr>
        <w:t> </w:t>
      </w:r>
      <w:r>
        <w:rPr>
          <w:spacing w:val="-2"/>
          <w:sz w:val="24"/>
        </w:rPr>
        <w:t>Board, </w:t>
      </w:r>
      <w:r>
        <w:rPr>
          <w:sz w:val="24"/>
        </w:rPr>
        <w:t>taking into account service challenges, financial challenges and population health needs across both organisations.</w:t>
      </w:r>
    </w:p>
    <w:p>
      <w:pPr>
        <w:pStyle w:val="ListParagraph"/>
        <w:numPr>
          <w:ilvl w:val="1"/>
          <w:numId w:val="48"/>
        </w:numPr>
        <w:tabs>
          <w:tab w:pos="860" w:val="left" w:leader="none"/>
          <w:tab w:pos="862" w:val="left" w:leader="none"/>
        </w:tabs>
        <w:spacing w:line="240" w:lineRule="auto" w:before="122" w:after="0"/>
        <w:ind w:left="862" w:right="420" w:hanging="720"/>
        <w:jc w:val="both"/>
        <w:rPr>
          <w:sz w:val="24"/>
        </w:rPr>
      </w:pPr>
      <w:r>
        <w:rPr>
          <w:b/>
          <w:spacing w:val="-4"/>
          <w:sz w:val="24"/>
        </w:rPr>
        <w:t>Establish</w:t>
      </w:r>
      <w:r>
        <w:rPr>
          <w:b/>
          <w:spacing w:val="-13"/>
          <w:sz w:val="24"/>
        </w:rPr>
        <w:t> </w:t>
      </w:r>
      <w:r>
        <w:rPr>
          <w:b/>
          <w:spacing w:val="-4"/>
          <w:sz w:val="24"/>
        </w:rPr>
        <w:t>a</w:t>
      </w:r>
      <w:r>
        <w:rPr>
          <w:b/>
          <w:spacing w:val="-11"/>
          <w:sz w:val="24"/>
        </w:rPr>
        <w:t> </w:t>
      </w:r>
      <w:r>
        <w:rPr>
          <w:b/>
          <w:spacing w:val="-4"/>
          <w:sz w:val="24"/>
        </w:rPr>
        <w:t>regional</w:t>
      </w:r>
      <w:r>
        <w:rPr>
          <w:b/>
          <w:spacing w:val="-12"/>
          <w:sz w:val="24"/>
        </w:rPr>
        <w:t> </w:t>
      </w:r>
      <w:r>
        <w:rPr>
          <w:b/>
          <w:spacing w:val="-4"/>
          <w:sz w:val="24"/>
        </w:rPr>
        <w:t>approach</w:t>
      </w:r>
      <w:r>
        <w:rPr>
          <w:b/>
          <w:spacing w:val="-6"/>
          <w:sz w:val="24"/>
        </w:rPr>
        <w:t> </w:t>
      </w:r>
      <w:r>
        <w:rPr>
          <w:b/>
          <w:spacing w:val="-4"/>
          <w:sz w:val="24"/>
        </w:rPr>
        <w:t>to</w:t>
      </w:r>
      <w:r>
        <w:rPr>
          <w:b/>
          <w:spacing w:val="-12"/>
          <w:sz w:val="24"/>
        </w:rPr>
        <w:t> </w:t>
      </w:r>
      <w:r>
        <w:rPr>
          <w:b/>
          <w:spacing w:val="-4"/>
          <w:sz w:val="24"/>
        </w:rPr>
        <w:t>the development of</w:t>
      </w:r>
      <w:r>
        <w:rPr>
          <w:b/>
          <w:spacing w:val="-9"/>
          <w:sz w:val="24"/>
        </w:rPr>
        <w:t> </w:t>
      </w:r>
      <w:r>
        <w:rPr>
          <w:b/>
          <w:spacing w:val="-4"/>
          <w:sz w:val="24"/>
        </w:rPr>
        <w:t>clinical</w:t>
      </w:r>
      <w:r>
        <w:rPr>
          <w:b/>
          <w:spacing w:val="-12"/>
          <w:sz w:val="24"/>
        </w:rPr>
        <w:t> </w:t>
      </w:r>
      <w:r>
        <w:rPr>
          <w:b/>
          <w:spacing w:val="-4"/>
          <w:sz w:val="24"/>
        </w:rPr>
        <w:t>services</w:t>
      </w:r>
      <w:r>
        <w:rPr>
          <w:b/>
          <w:spacing w:val="-8"/>
          <w:sz w:val="24"/>
        </w:rPr>
        <w:t> </w:t>
      </w:r>
      <w:r>
        <w:rPr>
          <w:b/>
          <w:spacing w:val="-4"/>
          <w:sz w:val="24"/>
        </w:rPr>
        <w:t>planning</w:t>
      </w:r>
      <w:r>
        <w:rPr>
          <w:spacing w:val="-4"/>
          <w:sz w:val="24"/>
        </w:rPr>
        <w:t>,</w:t>
      </w:r>
      <w:r>
        <w:rPr>
          <w:spacing w:val="-13"/>
          <w:sz w:val="24"/>
        </w:rPr>
        <w:t> </w:t>
      </w:r>
      <w:r>
        <w:rPr>
          <w:spacing w:val="-4"/>
          <w:sz w:val="24"/>
        </w:rPr>
        <w:t>aligned </w:t>
      </w:r>
      <w:r>
        <w:rPr>
          <w:sz w:val="24"/>
        </w:rPr>
        <w:t>to the national approach, regional population health needs assessments, to support sustainable services that</w:t>
      </w:r>
      <w:r>
        <w:rPr>
          <w:spacing w:val="-5"/>
          <w:sz w:val="24"/>
        </w:rPr>
        <w:t> </w:t>
      </w:r>
      <w:r>
        <w:rPr>
          <w:sz w:val="24"/>
        </w:rPr>
        <w:t>achieve</w:t>
      </w:r>
      <w:r>
        <w:rPr>
          <w:spacing w:val="-2"/>
          <w:sz w:val="24"/>
        </w:rPr>
        <w:t> </w:t>
      </w:r>
      <w:r>
        <w:rPr>
          <w:sz w:val="24"/>
        </w:rPr>
        <w:t>quality</w:t>
      </w:r>
      <w:r>
        <w:rPr>
          <w:spacing w:val="-3"/>
          <w:sz w:val="24"/>
        </w:rPr>
        <w:t> </w:t>
      </w:r>
      <w:r>
        <w:rPr>
          <w:sz w:val="24"/>
        </w:rPr>
        <w:t>and</w:t>
      </w:r>
      <w:r>
        <w:rPr>
          <w:spacing w:val="-2"/>
          <w:sz w:val="24"/>
        </w:rPr>
        <w:t> </w:t>
      </w:r>
      <w:r>
        <w:rPr>
          <w:sz w:val="24"/>
        </w:rPr>
        <w:t>outcome</w:t>
      </w:r>
      <w:r>
        <w:rPr>
          <w:spacing w:val="-3"/>
          <w:sz w:val="24"/>
        </w:rPr>
        <w:t> </w:t>
      </w:r>
      <w:r>
        <w:rPr>
          <w:sz w:val="24"/>
        </w:rPr>
        <w:t>measures,</w:t>
      </w:r>
      <w:r>
        <w:rPr>
          <w:spacing w:val="-5"/>
          <w:sz w:val="24"/>
        </w:rPr>
        <w:t> </w:t>
      </w:r>
      <w:r>
        <w:rPr>
          <w:sz w:val="24"/>
        </w:rPr>
        <w:t>workforce</w:t>
      </w:r>
      <w:r>
        <w:rPr>
          <w:spacing w:val="-2"/>
          <w:sz w:val="24"/>
        </w:rPr>
        <w:t> </w:t>
      </w:r>
      <w:r>
        <w:rPr>
          <w:sz w:val="24"/>
        </w:rPr>
        <w:t>sustainability and financial sustainability.</w:t>
      </w:r>
    </w:p>
    <w:p>
      <w:pPr>
        <w:pStyle w:val="ListParagraph"/>
        <w:numPr>
          <w:ilvl w:val="1"/>
          <w:numId w:val="48"/>
        </w:numPr>
        <w:tabs>
          <w:tab w:pos="860" w:val="left" w:leader="none"/>
          <w:tab w:pos="862" w:val="left" w:leader="none"/>
        </w:tabs>
        <w:spacing w:line="240" w:lineRule="auto" w:before="122" w:after="0"/>
        <w:ind w:left="862" w:right="420" w:hanging="720"/>
        <w:jc w:val="both"/>
        <w:rPr>
          <w:sz w:val="24"/>
        </w:rPr>
      </w:pPr>
      <w:r>
        <w:rPr>
          <w:b/>
          <w:spacing w:val="-2"/>
          <w:sz w:val="24"/>
        </w:rPr>
        <w:t>Prioritise</w:t>
      </w:r>
      <w:r>
        <w:rPr>
          <w:b/>
          <w:spacing w:val="-6"/>
          <w:sz w:val="24"/>
        </w:rPr>
        <w:t> </w:t>
      </w:r>
      <w:r>
        <w:rPr>
          <w:b/>
          <w:spacing w:val="-2"/>
          <w:sz w:val="24"/>
        </w:rPr>
        <w:t>efficiencies</w:t>
      </w:r>
      <w:r>
        <w:rPr>
          <w:b/>
          <w:spacing w:val="-6"/>
          <w:sz w:val="24"/>
        </w:rPr>
        <w:t> </w:t>
      </w:r>
      <w:r>
        <w:rPr>
          <w:b/>
          <w:spacing w:val="-2"/>
          <w:sz w:val="24"/>
        </w:rPr>
        <w:t>and</w:t>
      </w:r>
      <w:r>
        <w:rPr>
          <w:b/>
          <w:spacing w:val="-8"/>
          <w:sz w:val="24"/>
        </w:rPr>
        <w:t> </w:t>
      </w:r>
      <w:r>
        <w:rPr>
          <w:b/>
          <w:spacing w:val="-2"/>
          <w:sz w:val="24"/>
        </w:rPr>
        <w:t>identify</w:t>
      </w:r>
      <w:r>
        <w:rPr>
          <w:b/>
          <w:spacing w:val="-6"/>
          <w:sz w:val="24"/>
        </w:rPr>
        <w:t> </w:t>
      </w:r>
      <w:r>
        <w:rPr>
          <w:b/>
          <w:spacing w:val="-2"/>
          <w:sz w:val="24"/>
        </w:rPr>
        <w:t>longer-term</w:t>
      </w:r>
      <w:r>
        <w:rPr>
          <w:b/>
          <w:spacing w:val="-6"/>
          <w:sz w:val="24"/>
        </w:rPr>
        <w:t> </w:t>
      </w:r>
      <w:r>
        <w:rPr>
          <w:b/>
          <w:spacing w:val="-2"/>
          <w:sz w:val="24"/>
        </w:rPr>
        <w:t>priorities for both</w:t>
      </w:r>
      <w:r>
        <w:rPr>
          <w:b/>
          <w:spacing w:val="-8"/>
          <w:sz w:val="24"/>
        </w:rPr>
        <w:t> </w:t>
      </w:r>
      <w:r>
        <w:rPr>
          <w:b/>
          <w:spacing w:val="-2"/>
          <w:sz w:val="24"/>
        </w:rPr>
        <w:t>organisations </w:t>
      </w:r>
      <w:r>
        <w:rPr>
          <w:spacing w:val="-2"/>
          <w:sz w:val="24"/>
        </w:rPr>
        <w:t>where </w:t>
      </w:r>
      <w:r>
        <w:rPr>
          <w:spacing w:val="-4"/>
          <w:sz w:val="24"/>
        </w:rPr>
        <w:t>a</w:t>
      </w:r>
      <w:r>
        <w:rPr>
          <w:spacing w:val="-13"/>
          <w:sz w:val="24"/>
        </w:rPr>
        <w:t> </w:t>
      </w:r>
      <w:r>
        <w:rPr>
          <w:spacing w:val="-4"/>
          <w:sz w:val="24"/>
        </w:rPr>
        <w:t>regional</w:t>
      </w:r>
      <w:r>
        <w:rPr>
          <w:spacing w:val="-10"/>
          <w:sz w:val="24"/>
        </w:rPr>
        <w:t> </w:t>
      </w:r>
      <w:r>
        <w:rPr>
          <w:spacing w:val="-4"/>
          <w:sz w:val="24"/>
        </w:rPr>
        <w:t>approach</w:t>
      </w:r>
      <w:r>
        <w:rPr>
          <w:spacing w:val="-7"/>
          <w:sz w:val="24"/>
        </w:rPr>
        <w:t> </w:t>
      </w:r>
      <w:r>
        <w:rPr>
          <w:spacing w:val="-4"/>
          <w:sz w:val="24"/>
        </w:rPr>
        <w:t>will</w:t>
      </w:r>
      <w:r>
        <w:rPr>
          <w:spacing w:val="-13"/>
          <w:sz w:val="24"/>
        </w:rPr>
        <w:t> </w:t>
      </w:r>
      <w:r>
        <w:rPr>
          <w:spacing w:val="-4"/>
          <w:sz w:val="24"/>
        </w:rPr>
        <w:t>deliver</w:t>
      </w:r>
      <w:r>
        <w:rPr>
          <w:spacing w:val="-9"/>
          <w:sz w:val="24"/>
        </w:rPr>
        <w:t> </w:t>
      </w:r>
      <w:r>
        <w:rPr>
          <w:spacing w:val="-4"/>
          <w:sz w:val="24"/>
        </w:rPr>
        <w:t>benefit,</w:t>
      </w:r>
      <w:r>
        <w:rPr>
          <w:spacing w:val="-11"/>
          <w:sz w:val="24"/>
        </w:rPr>
        <w:t> </w:t>
      </w:r>
      <w:r>
        <w:rPr>
          <w:spacing w:val="-4"/>
          <w:sz w:val="24"/>
        </w:rPr>
        <w:t>including</w:t>
      </w:r>
      <w:r>
        <w:rPr>
          <w:spacing w:val="-8"/>
          <w:sz w:val="24"/>
        </w:rPr>
        <w:t> </w:t>
      </w:r>
      <w:r>
        <w:rPr>
          <w:spacing w:val="-4"/>
          <w:sz w:val="24"/>
        </w:rPr>
        <w:t>those</w:t>
      </w:r>
      <w:r>
        <w:rPr>
          <w:spacing w:val="-13"/>
          <w:sz w:val="24"/>
        </w:rPr>
        <w:t> </w:t>
      </w:r>
      <w:r>
        <w:rPr>
          <w:spacing w:val="-4"/>
          <w:sz w:val="24"/>
        </w:rPr>
        <w:t>reflected</w:t>
      </w:r>
      <w:r>
        <w:rPr>
          <w:spacing w:val="-7"/>
          <w:sz w:val="24"/>
        </w:rPr>
        <w:t> </w:t>
      </w:r>
      <w:r>
        <w:rPr>
          <w:spacing w:val="-4"/>
          <w:sz w:val="24"/>
        </w:rPr>
        <w:t>through</w:t>
      </w:r>
      <w:r>
        <w:rPr>
          <w:spacing w:val="-13"/>
          <w:sz w:val="24"/>
        </w:rPr>
        <w:t> </w:t>
      </w:r>
      <w:r>
        <w:rPr>
          <w:spacing w:val="-4"/>
          <w:sz w:val="24"/>
        </w:rPr>
        <w:t>annual</w:t>
      </w:r>
      <w:r>
        <w:rPr>
          <w:spacing w:val="-13"/>
          <w:sz w:val="24"/>
        </w:rPr>
        <w:t> </w:t>
      </w:r>
      <w:r>
        <w:rPr>
          <w:spacing w:val="-4"/>
          <w:sz w:val="24"/>
        </w:rPr>
        <w:t>planning</w:t>
      </w:r>
      <w:r>
        <w:rPr>
          <w:spacing w:val="-12"/>
          <w:sz w:val="24"/>
        </w:rPr>
        <w:t> </w:t>
      </w:r>
      <w:r>
        <w:rPr>
          <w:spacing w:val="-4"/>
          <w:sz w:val="24"/>
        </w:rPr>
        <w:t>and </w:t>
      </w:r>
      <w:r>
        <w:rPr>
          <w:sz w:val="24"/>
        </w:rPr>
        <w:t>the 2027-28 planning horizon.</w:t>
      </w:r>
    </w:p>
    <w:p>
      <w:pPr>
        <w:pStyle w:val="BodyText"/>
        <w:spacing w:before="3"/>
        <w:rPr>
          <w:sz w:val="13"/>
        </w:rPr>
      </w:pPr>
      <w:r>
        <w:rPr>
          <w:sz w:val="13"/>
        </w:rPr>
        <mc:AlternateContent>
          <mc:Choice Requires="wps">
            <w:drawing>
              <wp:anchor distT="0" distB="0" distL="0" distR="0" allowOverlap="1" layoutInCell="1" locked="0" behindDoc="1" simplePos="0" relativeHeight="487662592">
                <wp:simplePos x="0" y="0"/>
                <wp:positionH relativeFrom="page">
                  <wp:posOffset>574992</wp:posOffset>
                </wp:positionH>
                <wp:positionV relativeFrom="paragraph">
                  <wp:posOffset>118796</wp:posOffset>
                </wp:positionV>
                <wp:extent cx="6642100" cy="190500"/>
                <wp:effectExtent l="0" t="0" r="0" b="0"/>
                <wp:wrapTopAndBottom/>
                <wp:docPr id="464" name="Textbox 464"/>
                <wp:cNvGraphicFramePr>
                  <a:graphicFrameLocks/>
                </wp:cNvGraphicFramePr>
                <a:graphic>
                  <a:graphicData uri="http://schemas.microsoft.com/office/word/2010/wordprocessingShape">
                    <wps:wsp>
                      <wps:cNvPr id="464" name="Textbox 464"/>
                      <wps:cNvSpPr txBox="1"/>
                      <wps:spPr>
                        <a:xfrm>
                          <a:off x="0" y="0"/>
                          <a:ext cx="6642100" cy="19050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3</w:t>
                            </w:r>
                            <w:r>
                              <w:rPr>
                                <w:b/>
                                <w:color w:val="000000"/>
                                <w:sz w:val="24"/>
                              </w:rPr>
                              <w:tab/>
                            </w:r>
                            <w:r>
                              <w:rPr>
                                <w:b/>
                                <w:color w:val="000000"/>
                                <w:spacing w:val="-2"/>
                                <w:sz w:val="24"/>
                              </w:rPr>
                              <w:t>Objectives</w:t>
                            </w:r>
                          </w:p>
                        </w:txbxContent>
                      </wps:txbx>
                      <wps:bodyPr wrap="square" lIns="0" tIns="0" rIns="0" bIns="0" rtlCol="0">
                        <a:noAutofit/>
                      </wps:bodyPr>
                    </wps:wsp>
                  </a:graphicData>
                </a:graphic>
              </wp:anchor>
            </w:drawing>
          </mc:Choice>
          <mc:Fallback>
            <w:pict>
              <v:shape style="position:absolute;margin-left:45.275002pt;margin-top:9.354062pt;width:523pt;height:15pt;mso-position-horizontal-relative:page;mso-position-vertical-relative:paragraph;z-index:-15653888;mso-wrap-distance-left:0;mso-wrap-distance-right:0" type="#_x0000_t202" id="docshape246"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3</w:t>
                      </w:r>
                      <w:r>
                        <w:rPr>
                          <w:b/>
                          <w:color w:val="000000"/>
                          <w:sz w:val="24"/>
                        </w:rPr>
                        <w:tab/>
                      </w:r>
                      <w:r>
                        <w:rPr>
                          <w:b/>
                          <w:color w:val="000000"/>
                          <w:spacing w:val="-2"/>
                          <w:sz w:val="24"/>
                        </w:rPr>
                        <w:t>Objectives</w:t>
                      </w:r>
                    </w:p>
                  </w:txbxContent>
                </v:textbox>
                <v:fill type="solid"/>
                <v:stroke dashstyle="solid"/>
                <w10:wrap type="topAndBottom"/>
              </v:shape>
            </w:pict>
          </mc:Fallback>
        </mc:AlternateContent>
      </w:r>
    </w:p>
    <w:p>
      <w:pPr>
        <w:pStyle w:val="BodyText"/>
        <w:spacing w:before="170"/>
        <w:ind w:left="142"/>
      </w:pPr>
      <w:r>
        <w:rPr>
          <w:spacing w:val="-2"/>
        </w:rPr>
        <w:t>The</w:t>
      </w:r>
      <w:r>
        <w:rPr>
          <w:spacing w:val="-12"/>
        </w:rPr>
        <w:t> </w:t>
      </w:r>
      <w:r>
        <w:rPr>
          <w:spacing w:val="-2"/>
        </w:rPr>
        <w:t>following</w:t>
      </w:r>
      <w:r>
        <w:rPr>
          <w:spacing w:val="-11"/>
        </w:rPr>
        <w:t> </w:t>
      </w:r>
      <w:r>
        <w:rPr>
          <w:spacing w:val="-2"/>
        </w:rPr>
        <w:t>objectives</w:t>
      </w:r>
      <w:r>
        <w:rPr>
          <w:spacing w:val="-12"/>
        </w:rPr>
        <w:t> </w:t>
      </w:r>
      <w:r>
        <w:rPr>
          <w:spacing w:val="-2"/>
        </w:rPr>
        <w:t>are</w:t>
      </w:r>
      <w:r>
        <w:rPr>
          <w:spacing w:val="-15"/>
        </w:rPr>
        <w:t> </w:t>
      </w:r>
      <w:r>
        <w:rPr>
          <w:spacing w:val="-2"/>
        </w:rPr>
        <w:t>within</w:t>
      </w:r>
      <w:r>
        <w:rPr>
          <w:spacing w:val="-6"/>
        </w:rPr>
        <w:t> </w:t>
      </w:r>
      <w:r>
        <w:rPr>
          <w:spacing w:val="-2"/>
        </w:rPr>
        <w:t>the</w:t>
      </w:r>
      <w:r>
        <w:rPr>
          <w:spacing w:val="-11"/>
        </w:rPr>
        <w:t> </w:t>
      </w:r>
      <w:r>
        <w:rPr>
          <w:spacing w:val="-2"/>
        </w:rPr>
        <w:t>scope</w:t>
      </w:r>
      <w:r>
        <w:rPr>
          <w:spacing w:val="-11"/>
        </w:rPr>
        <w:t> </w:t>
      </w:r>
      <w:r>
        <w:rPr>
          <w:spacing w:val="-2"/>
        </w:rPr>
        <w:t>of</w:t>
      </w:r>
      <w:r>
        <w:rPr>
          <w:spacing w:val="-9"/>
        </w:rPr>
        <w:t> </w:t>
      </w:r>
      <w:r>
        <w:rPr>
          <w:spacing w:val="-2"/>
        </w:rPr>
        <w:t>the</w:t>
      </w:r>
      <w:r>
        <w:rPr>
          <w:spacing w:val="-12"/>
        </w:rPr>
        <w:t> </w:t>
      </w:r>
      <w:r>
        <w:rPr>
          <w:spacing w:val="-2"/>
        </w:rPr>
        <w:t>RCSPS:</w:t>
      </w:r>
    </w:p>
    <w:p>
      <w:pPr>
        <w:pStyle w:val="ListParagraph"/>
        <w:numPr>
          <w:ilvl w:val="1"/>
          <w:numId w:val="49"/>
        </w:numPr>
        <w:tabs>
          <w:tab w:pos="860" w:val="left" w:leader="none"/>
          <w:tab w:pos="862" w:val="left" w:leader="none"/>
        </w:tabs>
        <w:spacing w:line="242" w:lineRule="auto" w:before="159" w:after="0"/>
        <w:ind w:left="862" w:right="424" w:hanging="720"/>
        <w:jc w:val="both"/>
        <w:rPr>
          <w:sz w:val="24"/>
        </w:rPr>
      </w:pPr>
      <w:r>
        <w:rPr>
          <w:spacing w:val="-2"/>
          <w:sz w:val="24"/>
        </w:rPr>
        <w:t>Develop</w:t>
      </w:r>
      <w:r>
        <w:rPr>
          <w:spacing w:val="-7"/>
          <w:sz w:val="24"/>
        </w:rPr>
        <w:t> </w:t>
      </w:r>
      <w:r>
        <w:rPr>
          <w:spacing w:val="-2"/>
          <w:sz w:val="24"/>
        </w:rPr>
        <w:t>and</w:t>
      </w:r>
      <w:r>
        <w:rPr>
          <w:spacing w:val="-7"/>
          <w:sz w:val="24"/>
        </w:rPr>
        <w:t> </w:t>
      </w:r>
      <w:r>
        <w:rPr>
          <w:spacing w:val="-2"/>
          <w:sz w:val="24"/>
        </w:rPr>
        <w:t>maintain</w:t>
      </w:r>
      <w:r>
        <w:rPr>
          <w:spacing w:val="-7"/>
          <w:sz w:val="24"/>
        </w:rPr>
        <w:t> </w:t>
      </w:r>
      <w:r>
        <w:rPr>
          <w:spacing w:val="-2"/>
          <w:sz w:val="24"/>
        </w:rPr>
        <w:t>regional</w:t>
      </w:r>
      <w:r>
        <w:rPr>
          <w:spacing w:val="-7"/>
          <w:sz w:val="24"/>
        </w:rPr>
        <w:t> </w:t>
      </w:r>
      <w:r>
        <w:rPr>
          <w:spacing w:val="-2"/>
          <w:sz w:val="24"/>
        </w:rPr>
        <w:t>clinical</w:t>
      </w:r>
      <w:r>
        <w:rPr>
          <w:spacing w:val="-7"/>
          <w:sz w:val="24"/>
        </w:rPr>
        <w:t> </w:t>
      </w:r>
      <w:r>
        <w:rPr>
          <w:spacing w:val="-2"/>
          <w:sz w:val="24"/>
        </w:rPr>
        <w:t>services</w:t>
      </w:r>
      <w:r>
        <w:rPr>
          <w:spacing w:val="-12"/>
          <w:sz w:val="24"/>
        </w:rPr>
        <w:t> </w:t>
      </w:r>
      <w:r>
        <w:rPr>
          <w:spacing w:val="-2"/>
          <w:sz w:val="24"/>
        </w:rPr>
        <w:t>plans</w:t>
      </w:r>
      <w:r>
        <w:rPr>
          <w:spacing w:val="-8"/>
          <w:sz w:val="24"/>
        </w:rPr>
        <w:t> </w:t>
      </w:r>
      <w:r>
        <w:rPr>
          <w:spacing w:val="-2"/>
          <w:sz w:val="24"/>
        </w:rPr>
        <w:t>that</w:t>
      </w:r>
      <w:r>
        <w:rPr>
          <w:spacing w:val="-14"/>
          <w:sz w:val="24"/>
        </w:rPr>
        <w:t> </w:t>
      </w:r>
      <w:r>
        <w:rPr>
          <w:spacing w:val="-2"/>
          <w:sz w:val="24"/>
        </w:rPr>
        <w:t>are</w:t>
      </w:r>
      <w:r>
        <w:rPr>
          <w:spacing w:val="-11"/>
          <w:sz w:val="24"/>
        </w:rPr>
        <w:t> </w:t>
      </w:r>
      <w:r>
        <w:rPr>
          <w:spacing w:val="-2"/>
          <w:sz w:val="24"/>
        </w:rPr>
        <w:t>aligned</w:t>
      </w:r>
      <w:r>
        <w:rPr>
          <w:spacing w:val="-7"/>
          <w:sz w:val="24"/>
        </w:rPr>
        <w:t> </w:t>
      </w:r>
      <w:r>
        <w:rPr>
          <w:spacing w:val="-2"/>
          <w:sz w:val="24"/>
        </w:rPr>
        <w:t>to</w:t>
      </w:r>
      <w:r>
        <w:rPr>
          <w:spacing w:val="-7"/>
          <w:sz w:val="24"/>
        </w:rPr>
        <w:t> </w:t>
      </w:r>
      <w:r>
        <w:rPr>
          <w:spacing w:val="-2"/>
          <w:sz w:val="24"/>
        </w:rPr>
        <w:t>Health</w:t>
      </w:r>
      <w:r>
        <w:rPr>
          <w:spacing w:val="-7"/>
          <w:sz w:val="24"/>
        </w:rPr>
        <w:t> </w:t>
      </w:r>
      <w:r>
        <w:rPr>
          <w:spacing w:val="-2"/>
          <w:sz w:val="24"/>
        </w:rPr>
        <w:t>Board</w:t>
      </w:r>
      <w:r>
        <w:rPr>
          <w:spacing w:val="-7"/>
          <w:sz w:val="24"/>
        </w:rPr>
        <w:t> </w:t>
      </w:r>
      <w:r>
        <w:rPr>
          <w:spacing w:val="-2"/>
          <w:sz w:val="24"/>
        </w:rPr>
        <w:t>plans </w:t>
      </w:r>
      <w:r>
        <w:rPr>
          <w:sz w:val="24"/>
        </w:rPr>
        <w:t>and support</w:t>
      </w:r>
      <w:r>
        <w:rPr>
          <w:spacing w:val="-2"/>
          <w:sz w:val="24"/>
        </w:rPr>
        <w:t> </w:t>
      </w:r>
      <w:r>
        <w:rPr>
          <w:sz w:val="24"/>
        </w:rPr>
        <w:t>delivery of the benefits of</w:t>
      </w:r>
      <w:r>
        <w:rPr>
          <w:spacing w:val="-2"/>
          <w:sz w:val="24"/>
        </w:rPr>
        <w:t> </w:t>
      </w:r>
      <w:r>
        <w:rPr>
          <w:sz w:val="24"/>
        </w:rPr>
        <w:t>a regional</w:t>
      </w:r>
      <w:r>
        <w:rPr>
          <w:spacing w:val="-3"/>
          <w:sz w:val="24"/>
        </w:rPr>
        <w:t> </w:t>
      </w:r>
      <w:r>
        <w:rPr>
          <w:sz w:val="24"/>
        </w:rPr>
        <w:t>health economy for a population of</w:t>
      </w:r>
      <w:r>
        <w:rPr>
          <w:spacing w:val="-2"/>
          <w:sz w:val="24"/>
        </w:rPr>
        <w:t> </w:t>
      </w:r>
      <w:r>
        <w:rPr>
          <w:sz w:val="24"/>
        </w:rPr>
        <w:t>circa </w:t>
      </w:r>
      <w:r>
        <w:rPr>
          <w:spacing w:val="-2"/>
          <w:sz w:val="24"/>
        </w:rPr>
        <w:t>800,000.</w:t>
      </w:r>
    </w:p>
    <w:p>
      <w:pPr>
        <w:pStyle w:val="ListParagraph"/>
        <w:numPr>
          <w:ilvl w:val="1"/>
          <w:numId w:val="49"/>
        </w:numPr>
        <w:tabs>
          <w:tab w:pos="860" w:val="left" w:leader="none"/>
          <w:tab w:pos="862" w:val="left" w:leader="none"/>
        </w:tabs>
        <w:spacing w:line="240" w:lineRule="auto" w:before="114" w:after="0"/>
        <w:ind w:left="862" w:right="423" w:hanging="720"/>
        <w:jc w:val="both"/>
        <w:rPr>
          <w:sz w:val="24"/>
        </w:rPr>
      </w:pPr>
      <w:r>
        <w:rPr>
          <w:spacing w:val="-4"/>
          <w:sz w:val="24"/>
        </w:rPr>
        <w:t>Bring together,</w:t>
      </w:r>
      <w:r>
        <w:rPr>
          <w:spacing w:val="-7"/>
          <w:sz w:val="24"/>
        </w:rPr>
        <w:t> </w:t>
      </w:r>
      <w:r>
        <w:rPr>
          <w:spacing w:val="-4"/>
          <w:sz w:val="24"/>
        </w:rPr>
        <w:t>through the</w:t>
      </w:r>
      <w:r>
        <w:rPr>
          <w:spacing w:val="-7"/>
          <w:sz w:val="24"/>
        </w:rPr>
        <w:t> </w:t>
      </w:r>
      <w:r>
        <w:rPr>
          <w:spacing w:val="-4"/>
          <w:sz w:val="24"/>
        </w:rPr>
        <w:t>RCSPS</w:t>
      </w:r>
      <w:r>
        <w:rPr>
          <w:spacing w:val="-10"/>
          <w:sz w:val="24"/>
        </w:rPr>
        <w:t> </w:t>
      </w:r>
      <w:r>
        <w:rPr>
          <w:spacing w:val="-4"/>
          <w:sz w:val="24"/>
        </w:rPr>
        <w:t>work programme,</w:t>
      </w:r>
      <w:r>
        <w:rPr>
          <w:spacing w:val="-7"/>
          <w:sz w:val="24"/>
        </w:rPr>
        <w:t> </w:t>
      </w:r>
      <w:r>
        <w:rPr>
          <w:spacing w:val="-4"/>
          <w:sz w:val="24"/>
        </w:rPr>
        <w:t>clinical service projects that</w:t>
      </w:r>
      <w:r>
        <w:rPr>
          <w:spacing w:val="-12"/>
          <w:sz w:val="24"/>
        </w:rPr>
        <w:t> </w:t>
      </w:r>
      <w:r>
        <w:rPr>
          <w:spacing w:val="-4"/>
          <w:sz w:val="24"/>
        </w:rPr>
        <w:t>will</w:t>
      </w:r>
      <w:r>
        <w:rPr>
          <w:spacing w:val="-9"/>
          <w:sz w:val="24"/>
        </w:rPr>
        <w:t> </w:t>
      </w:r>
      <w:r>
        <w:rPr>
          <w:spacing w:val="-4"/>
          <w:sz w:val="24"/>
        </w:rPr>
        <w:t>deliver </w:t>
      </w:r>
      <w:r>
        <w:rPr>
          <w:sz w:val="24"/>
        </w:rPr>
        <w:t>significant</w:t>
      </w:r>
      <w:r>
        <w:rPr>
          <w:spacing w:val="-15"/>
          <w:sz w:val="24"/>
        </w:rPr>
        <w:t> </w:t>
      </w:r>
      <w:r>
        <w:rPr>
          <w:sz w:val="24"/>
        </w:rPr>
        <w:t>in-year</w:t>
      </w:r>
      <w:r>
        <w:rPr>
          <w:spacing w:val="-13"/>
          <w:sz w:val="24"/>
        </w:rPr>
        <w:t> </w:t>
      </w:r>
      <w:r>
        <w:rPr>
          <w:sz w:val="24"/>
        </w:rPr>
        <w:t>progress</w:t>
      </w:r>
      <w:r>
        <w:rPr>
          <w:spacing w:val="-13"/>
          <w:sz w:val="24"/>
        </w:rPr>
        <w:t> </w:t>
      </w:r>
      <w:r>
        <w:rPr>
          <w:sz w:val="24"/>
        </w:rPr>
        <w:t>and</w:t>
      </w:r>
      <w:r>
        <w:rPr>
          <w:spacing w:val="-12"/>
          <w:sz w:val="24"/>
        </w:rPr>
        <w:t> </w:t>
      </w:r>
      <w:r>
        <w:rPr>
          <w:sz w:val="24"/>
        </w:rPr>
        <w:t>pace</w:t>
      </w:r>
      <w:r>
        <w:rPr>
          <w:spacing w:val="-12"/>
          <w:sz w:val="24"/>
        </w:rPr>
        <w:t> </w:t>
      </w:r>
      <w:r>
        <w:rPr>
          <w:sz w:val="24"/>
        </w:rPr>
        <w:t>in</w:t>
      </w:r>
      <w:r>
        <w:rPr>
          <w:spacing w:val="-12"/>
          <w:sz w:val="24"/>
        </w:rPr>
        <w:t> </w:t>
      </w:r>
      <w:r>
        <w:rPr>
          <w:sz w:val="24"/>
        </w:rPr>
        <w:t>delivery</w:t>
      </w:r>
      <w:r>
        <w:rPr>
          <w:spacing w:val="-9"/>
          <w:sz w:val="24"/>
        </w:rPr>
        <w:t> </w:t>
      </w:r>
      <w:r>
        <w:rPr>
          <w:sz w:val="24"/>
        </w:rPr>
        <w:t>for</w:t>
      </w:r>
      <w:r>
        <w:rPr>
          <w:spacing w:val="-13"/>
          <w:sz w:val="24"/>
        </w:rPr>
        <w:t> </w:t>
      </w:r>
      <w:r>
        <w:rPr>
          <w:sz w:val="24"/>
        </w:rPr>
        <w:t>the</w:t>
      </w:r>
      <w:r>
        <w:rPr>
          <w:spacing w:val="-12"/>
          <w:sz w:val="24"/>
        </w:rPr>
        <w:t> </w:t>
      </w:r>
      <w:r>
        <w:rPr>
          <w:sz w:val="24"/>
        </w:rPr>
        <w:t>regional</w:t>
      </w:r>
      <w:r>
        <w:rPr>
          <w:spacing w:val="-12"/>
          <w:sz w:val="24"/>
        </w:rPr>
        <w:t> </w:t>
      </w:r>
      <w:r>
        <w:rPr>
          <w:sz w:val="24"/>
        </w:rPr>
        <w:t>health</w:t>
      </w:r>
      <w:r>
        <w:rPr>
          <w:spacing w:val="-12"/>
          <w:sz w:val="24"/>
        </w:rPr>
        <w:t> </w:t>
      </w:r>
      <w:r>
        <w:rPr>
          <w:sz w:val="24"/>
        </w:rPr>
        <w:t>and</w:t>
      </w:r>
      <w:r>
        <w:rPr>
          <w:spacing w:val="-12"/>
          <w:sz w:val="24"/>
        </w:rPr>
        <w:t> </w:t>
      </w:r>
      <w:r>
        <w:rPr>
          <w:sz w:val="24"/>
        </w:rPr>
        <w:t>care</w:t>
      </w:r>
      <w:r>
        <w:rPr>
          <w:spacing w:val="-12"/>
          <w:sz w:val="24"/>
        </w:rPr>
        <w:t> </w:t>
      </w:r>
      <w:r>
        <w:rPr>
          <w:sz w:val="24"/>
        </w:rPr>
        <w:t>system.</w:t>
      </w:r>
    </w:p>
    <w:p>
      <w:pPr>
        <w:pStyle w:val="ListParagraph"/>
        <w:numPr>
          <w:ilvl w:val="1"/>
          <w:numId w:val="49"/>
        </w:numPr>
        <w:tabs>
          <w:tab w:pos="860" w:val="left" w:leader="none"/>
          <w:tab w:pos="862" w:val="left" w:leader="none"/>
        </w:tabs>
        <w:spacing w:line="242" w:lineRule="auto" w:before="118" w:after="0"/>
        <w:ind w:left="862" w:right="424" w:hanging="720"/>
        <w:jc w:val="both"/>
        <w:rPr>
          <w:sz w:val="24"/>
        </w:rPr>
      </w:pPr>
      <w:r>
        <w:rPr>
          <w:spacing w:val="-2"/>
          <w:sz w:val="24"/>
        </w:rPr>
        <w:t>Drive</w:t>
      </w:r>
      <w:r>
        <w:rPr>
          <w:spacing w:val="-3"/>
          <w:sz w:val="24"/>
        </w:rPr>
        <w:t> </w:t>
      </w:r>
      <w:r>
        <w:rPr>
          <w:spacing w:val="-2"/>
          <w:sz w:val="24"/>
        </w:rPr>
        <w:t>forward</w:t>
      </w:r>
      <w:r>
        <w:rPr>
          <w:spacing w:val="-8"/>
          <w:sz w:val="24"/>
        </w:rPr>
        <w:t> </w:t>
      </w:r>
      <w:r>
        <w:rPr>
          <w:spacing w:val="-2"/>
          <w:sz w:val="24"/>
        </w:rPr>
        <w:t>clinical</w:t>
      </w:r>
      <w:r>
        <w:rPr>
          <w:spacing w:val="-3"/>
          <w:sz w:val="24"/>
        </w:rPr>
        <w:t> </w:t>
      </w:r>
      <w:r>
        <w:rPr>
          <w:spacing w:val="-2"/>
          <w:sz w:val="24"/>
        </w:rPr>
        <w:t>service</w:t>
      </w:r>
      <w:r>
        <w:rPr>
          <w:spacing w:val="-8"/>
          <w:sz w:val="24"/>
        </w:rPr>
        <w:t> </w:t>
      </w:r>
      <w:r>
        <w:rPr>
          <w:spacing w:val="-2"/>
          <w:sz w:val="24"/>
        </w:rPr>
        <w:t>priorities</w:t>
      </w:r>
      <w:r>
        <w:rPr>
          <w:spacing w:val="-9"/>
          <w:sz w:val="24"/>
        </w:rPr>
        <w:t> </w:t>
      </w:r>
      <w:r>
        <w:rPr>
          <w:spacing w:val="-2"/>
          <w:sz w:val="24"/>
        </w:rPr>
        <w:t>identified</w:t>
      </w:r>
      <w:r>
        <w:rPr>
          <w:spacing w:val="-3"/>
          <w:sz w:val="24"/>
        </w:rPr>
        <w:t> </w:t>
      </w:r>
      <w:r>
        <w:rPr>
          <w:spacing w:val="-2"/>
          <w:sz w:val="24"/>
        </w:rPr>
        <w:t>by</w:t>
      </w:r>
      <w:r>
        <w:rPr>
          <w:spacing w:val="-9"/>
          <w:sz w:val="24"/>
        </w:rPr>
        <w:t> </w:t>
      </w:r>
      <w:r>
        <w:rPr>
          <w:spacing w:val="-2"/>
          <w:sz w:val="24"/>
        </w:rPr>
        <w:t>partner</w:t>
      </w:r>
      <w:r>
        <w:rPr>
          <w:spacing w:val="-4"/>
          <w:sz w:val="24"/>
        </w:rPr>
        <w:t> </w:t>
      </w:r>
      <w:r>
        <w:rPr>
          <w:spacing w:val="-2"/>
          <w:sz w:val="24"/>
        </w:rPr>
        <w:t>organisations</w:t>
      </w:r>
      <w:r>
        <w:rPr>
          <w:spacing w:val="-4"/>
          <w:sz w:val="24"/>
        </w:rPr>
        <w:t> </w:t>
      </w:r>
      <w:r>
        <w:rPr>
          <w:spacing w:val="-2"/>
          <w:sz w:val="24"/>
        </w:rPr>
        <w:t>for</w:t>
      </w:r>
      <w:r>
        <w:rPr>
          <w:spacing w:val="-9"/>
          <w:sz w:val="24"/>
        </w:rPr>
        <w:t> </w:t>
      </w:r>
      <w:r>
        <w:rPr>
          <w:spacing w:val="-2"/>
          <w:sz w:val="24"/>
        </w:rPr>
        <w:t>joint</w:t>
      </w:r>
      <w:r>
        <w:rPr>
          <w:spacing w:val="-11"/>
          <w:sz w:val="24"/>
        </w:rPr>
        <w:t> </w:t>
      </w:r>
      <w:r>
        <w:rPr>
          <w:spacing w:val="-2"/>
          <w:sz w:val="24"/>
        </w:rPr>
        <w:t>working</w:t>
      </w:r>
      <w:r>
        <w:rPr>
          <w:spacing w:val="-8"/>
          <w:sz w:val="24"/>
        </w:rPr>
        <w:t> </w:t>
      </w:r>
      <w:r>
        <w:rPr>
          <w:spacing w:val="-2"/>
          <w:sz w:val="24"/>
        </w:rPr>
        <w:t>at </w:t>
      </w:r>
      <w:r>
        <w:rPr>
          <w:sz w:val="24"/>
        </w:rPr>
        <w:t>pace,</w:t>
      </w:r>
      <w:r>
        <w:rPr>
          <w:spacing w:val="-3"/>
          <w:sz w:val="24"/>
        </w:rPr>
        <w:t> </w:t>
      </w:r>
      <w:r>
        <w:rPr>
          <w:sz w:val="24"/>
        </w:rPr>
        <w:t>ensuring</w:t>
      </w:r>
      <w:r>
        <w:rPr>
          <w:spacing w:val="-1"/>
          <w:sz w:val="24"/>
        </w:rPr>
        <w:t> </w:t>
      </w:r>
      <w:r>
        <w:rPr>
          <w:sz w:val="24"/>
        </w:rPr>
        <w:t>alignment</w:t>
      </w:r>
      <w:r>
        <w:rPr>
          <w:spacing w:val="-7"/>
          <w:sz w:val="24"/>
        </w:rPr>
        <w:t> </w:t>
      </w:r>
      <w:r>
        <w:rPr>
          <w:sz w:val="24"/>
        </w:rPr>
        <w:t>with</w:t>
      </w:r>
      <w:r>
        <w:rPr>
          <w:spacing w:val="-1"/>
          <w:sz w:val="24"/>
        </w:rPr>
        <w:t> </w:t>
      </w:r>
      <w:r>
        <w:rPr>
          <w:sz w:val="24"/>
        </w:rPr>
        <w:t>Ministerial</w:t>
      </w:r>
      <w:r>
        <w:rPr>
          <w:spacing w:val="-1"/>
          <w:sz w:val="24"/>
        </w:rPr>
        <w:t> </w:t>
      </w:r>
      <w:r>
        <w:rPr>
          <w:sz w:val="24"/>
        </w:rPr>
        <w:t>Priorities, the</w:t>
      </w:r>
      <w:r>
        <w:rPr>
          <w:spacing w:val="-1"/>
          <w:sz w:val="24"/>
        </w:rPr>
        <w:t> </w:t>
      </w:r>
      <w:r>
        <w:rPr>
          <w:sz w:val="24"/>
        </w:rPr>
        <w:t>strategic</w:t>
      </w:r>
      <w:r>
        <w:rPr>
          <w:spacing w:val="-2"/>
          <w:sz w:val="24"/>
        </w:rPr>
        <w:t> </w:t>
      </w:r>
      <w:r>
        <w:rPr>
          <w:sz w:val="24"/>
        </w:rPr>
        <w:t>aims</w:t>
      </w:r>
      <w:r>
        <w:rPr>
          <w:spacing w:val="-5"/>
          <w:sz w:val="24"/>
        </w:rPr>
        <w:t> </w:t>
      </w:r>
      <w:r>
        <w:rPr>
          <w:sz w:val="24"/>
        </w:rPr>
        <w:t>agreed</w:t>
      </w:r>
      <w:r>
        <w:rPr>
          <w:spacing w:val="-1"/>
          <w:sz w:val="24"/>
        </w:rPr>
        <w:t> </w:t>
      </w:r>
      <w:r>
        <w:rPr>
          <w:sz w:val="24"/>
        </w:rPr>
        <w:t>by</w:t>
      </w:r>
      <w:r>
        <w:rPr>
          <w:spacing w:val="-2"/>
          <w:sz w:val="24"/>
        </w:rPr>
        <w:t> </w:t>
      </w:r>
      <w:r>
        <w:rPr>
          <w:sz w:val="24"/>
        </w:rPr>
        <w:t>the</w:t>
      </w:r>
      <w:r>
        <w:rPr>
          <w:spacing w:val="-5"/>
          <w:sz w:val="24"/>
        </w:rPr>
        <w:t> </w:t>
      </w:r>
      <w:r>
        <w:rPr>
          <w:sz w:val="24"/>
        </w:rPr>
        <w:t>RJC, and</w:t>
      </w:r>
      <w:r>
        <w:rPr>
          <w:spacing w:val="-10"/>
          <w:sz w:val="24"/>
        </w:rPr>
        <w:t> </w:t>
      </w:r>
      <w:r>
        <w:rPr>
          <w:sz w:val="24"/>
        </w:rPr>
        <w:t>ratification</w:t>
      </w:r>
      <w:r>
        <w:rPr>
          <w:spacing w:val="-5"/>
          <w:sz w:val="24"/>
        </w:rPr>
        <w:t> </w:t>
      </w:r>
      <w:r>
        <w:rPr>
          <w:sz w:val="24"/>
        </w:rPr>
        <w:t>requirements</w:t>
      </w:r>
      <w:r>
        <w:rPr>
          <w:spacing w:val="-6"/>
          <w:sz w:val="24"/>
        </w:rPr>
        <w:t> </w:t>
      </w:r>
      <w:r>
        <w:rPr>
          <w:sz w:val="24"/>
        </w:rPr>
        <w:t>of</w:t>
      </w:r>
      <w:r>
        <w:rPr>
          <w:spacing w:val="-8"/>
          <w:sz w:val="24"/>
        </w:rPr>
        <w:t> </w:t>
      </w:r>
      <w:r>
        <w:rPr>
          <w:sz w:val="24"/>
        </w:rPr>
        <w:t>both</w:t>
      </w:r>
      <w:r>
        <w:rPr>
          <w:spacing w:val="-5"/>
          <w:sz w:val="24"/>
        </w:rPr>
        <w:t> </w:t>
      </w:r>
      <w:r>
        <w:rPr>
          <w:sz w:val="24"/>
        </w:rPr>
        <w:t>sovereign</w:t>
      </w:r>
      <w:r>
        <w:rPr>
          <w:spacing w:val="-5"/>
          <w:sz w:val="24"/>
        </w:rPr>
        <w:t> </w:t>
      </w:r>
      <w:r>
        <w:rPr>
          <w:sz w:val="24"/>
        </w:rPr>
        <w:t>Boards.</w:t>
      </w:r>
    </w:p>
    <w:p>
      <w:pPr>
        <w:pStyle w:val="ListParagraph"/>
        <w:numPr>
          <w:ilvl w:val="1"/>
          <w:numId w:val="49"/>
        </w:numPr>
        <w:tabs>
          <w:tab w:pos="860" w:val="left" w:leader="none"/>
          <w:tab w:pos="862" w:val="left" w:leader="none"/>
        </w:tabs>
        <w:spacing w:line="240" w:lineRule="auto" w:before="114" w:after="0"/>
        <w:ind w:left="862" w:right="417" w:hanging="720"/>
        <w:jc w:val="both"/>
        <w:rPr>
          <w:sz w:val="24"/>
        </w:rPr>
      </w:pPr>
      <w:r>
        <w:rPr>
          <w:sz w:val="24"/>
        </w:rPr>
        <w:t>Manage high-level interdependencies and risks associated with the RCSPS portfolio, </w:t>
      </w:r>
      <w:r>
        <w:rPr>
          <w:spacing w:val="-2"/>
          <w:sz w:val="24"/>
        </w:rPr>
        <w:t>ensuring</w:t>
      </w:r>
      <w:r>
        <w:rPr>
          <w:spacing w:val="-11"/>
          <w:sz w:val="24"/>
        </w:rPr>
        <w:t> </w:t>
      </w:r>
      <w:r>
        <w:rPr>
          <w:spacing w:val="-2"/>
          <w:sz w:val="24"/>
        </w:rPr>
        <w:t>consistency,</w:t>
      </w:r>
      <w:r>
        <w:rPr>
          <w:spacing w:val="-13"/>
          <w:sz w:val="24"/>
        </w:rPr>
        <w:t> </w:t>
      </w:r>
      <w:r>
        <w:rPr>
          <w:spacing w:val="-2"/>
          <w:sz w:val="24"/>
        </w:rPr>
        <w:t>compatibility</w:t>
      </w:r>
      <w:r>
        <w:rPr>
          <w:spacing w:val="-15"/>
          <w:sz w:val="24"/>
        </w:rPr>
        <w:t> </w:t>
      </w:r>
      <w:r>
        <w:rPr>
          <w:spacing w:val="-2"/>
          <w:sz w:val="24"/>
        </w:rPr>
        <w:t>and</w:t>
      </w:r>
      <w:r>
        <w:rPr>
          <w:spacing w:val="-14"/>
          <w:sz w:val="24"/>
        </w:rPr>
        <w:t> </w:t>
      </w:r>
      <w:r>
        <w:rPr>
          <w:spacing w:val="-2"/>
          <w:sz w:val="24"/>
        </w:rPr>
        <w:t>co-ordination</w:t>
      </w:r>
      <w:r>
        <w:rPr>
          <w:spacing w:val="-15"/>
          <w:sz w:val="24"/>
        </w:rPr>
        <w:t> </w:t>
      </w:r>
      <w:r>
        <w:rPr>
          <w:spacing w:val="-2"/>
          <w:sz w:val="24"/>
        </w:rPr>
        <w:t>with</w:t>
      </w:r>
      <w:r>
        <w:rPr>
          <w:spacing w:val="-14"/>
          <w:sz w:val="24"/>
        </w:rPr>
        <w:t> </w:t>
      </w:r>
      <w:r>
        <w:rPr>
          <w:spacing w:val="-2"/>
          <w:sz w:val="24"/>
        </w:rPr>
        <w:t>other</w:t>
      </w:r>
      <w:r>
        <w:rPr>
          <w:spacing w:val="-15"/>
          <w:sz w:val="24"/>
        </w:rPr>
        <w:t> </w:t>
      </w:r>
      <w:r>
        <w:rPr>
          <w:spacing w:val="-2"/>
          <w:sz w:val="24"/>
        </w:rPr>
        <w:t>RJC</w:t>
      </w:r>
      <w:r>
        <w:rPr>
          <w:spacing w:val="-14"/>
          <w:sz w:val="24"/>
        </w:rPr>
        <w:t> </w:t>
      </w:r>
      <w:r>
        <w:rPr>
          <w:spacing w:val="-2"/>
          <w:sz w:val="24"/>
        </w:rPr>
        <w:t>subgroup</w:t>
      </w:r>
      <w:r>
        <w:rPr>
          <w:spacing w:val="-15"/>
          <w:sz w:val="24"/>
        </w:rPr>
        <w:t> </w:t>
      </w:r>
      <w:r>
        <w:rPr>
          <w:spacing w:val="-2"/>
          <w:sz w:val="24"/>
        </w:rPr>
        <w:t>programmes </w:t>
      </w:r>
      <w:r>
        <w:rPr>
          <w:sz w:val="24"/>
        </w:rPr>
        <w:t>and regional plans.</w:t>
      </w:r>
    </w:p>
    <w:p>
      <w:pPr>
        <w:pStyle w:val="ListParagraph"/>
        <w:numPr>
          <w:ilvl w:val="1"/>
          <w:numId w:val="49"/>
        </w:numPr>
        <w:tabs>
          <w:tab w:pos="860" w:val="left" w:leader="none"/>
          <w:tab w:pos="862" w:val="left" w:leader="none"/>
        </w:tabs>
        <w:spacing w:line="240" w:lineRule="auto" w:before="123" w:after="0"/>
        <w:ind w:left="862" w:right="425" w:hanging="720"/>
        <w:jc w:val="both"/>
        <w:rPr>
          <w:sz w:val="24"/>
        </w:rPr>
      </w:pPr>
      <w:r>
        <w:rPr>
          <w:sz w:val="24"/>
        </w:rPr>
        <w:t>Provide</w:t>
      </w:r>
      <w:r>
        <w:rPr>
          <w:spacing w:val="-17"/>
          <w:sz w:val="24"/>
        </w:rPr>
        <w:t> </w:t>
      </w:r>
      <w:r>
        <w:rPr>
          <w:sz w:val="24"/>
        </w:rPr>
        <w:t>assurance</w:t>
      </w:r>
      <w:r>
        <w:rPr>
          <w:spacing w:val="-17"/>
          <w:sz w:val="24"/>
        </w:rPr>
        <w:t> </w:t>
      </w:r>
      <w:r>
        <w:rPr>
          <w:sz w:val="24"/>
        </w:rPr>
        <w:t>that</w:t>
      </w:r>
      <w:r>
        <w:rPr>
          <w:spacing w:val="-16"/>
          <w:sz w:val="24"/>
        </w:rPr>
        <w:t> </w:t>
      </w:r>
      <w:r>
        <w:rPr>
          <w:sz w:val="24"/>
        </w:rPr>
        <w:t>integrated</w:t>
      </w:r>
      <w:r>
        <w:rPr>
          <w:spacing w:val="-15"/>
          <w:sz w:val="24"/>
        </w:rPr>
        <w:t> </w:t>
      </w:r>
      <w:r>
        <w:rPr>
          <w:sz w:val="24"/>
        </w:rPr>
        <w:t>impact</w:t>
      </w:r>
      <w:r>
        <w:rPr>
          <w:spacing w:val="-17"/>
          <w:sz w:val="24"/>
        </w:rPr>
        <w:t> </w:t>
      </w:r>
      <w:r>
        <w:rPr>
          <w:sz w:val="24"/>
        </w:rPr>
        <w:t>assessments</w:t>
      </w:r>
      <w:r>
        <w:rPr>
          <w:spacing w:val="-17"/>
          <w:sz w:val="24"/>
        </w:rPr>
        <w:t> </w:t>
      </w:r>
      <w:r>
        <w:rPr>
          <w:sz w:val="24"/>
        </w:rPr>
        <w:t>are</w:t>
      </w:r>
      <w:r>
        <w:rPr>
          <w:spacing w:val="-14"/>
          <w:sz w:val="24"/>
        </w:rPr>
        <w:t> </w:t>
      </w:r>
      <w:r>
        <w:rPr>
          <w:sz w:val="24"/>
        </w:rPr>
        <w:t>undertaken</w:t>
      </w:r>
      <w:r>
        <w:rPr>
          <w:spacing w:val="-14"/>
          <w:sz w:val="24"/>
        </w:rPr>
        <w:t> </w:t>
      </w:r>
      <w:r>
        <w:rPr>
          <w:sz w:val="24"/>
        </w:rPr>
        <w:t>for</w:t>
      </w:r>
      <w:r>
        <w:rPr>
          <w:spacing w:val="-15"/>
          <w:sz w:val="24"/>
        </w:rPr>
        <w:t> </w:t>
      </w:r>
      <w:r>
        <w:rPr>
          <w:sz w:val="24"/>
        </w:rPr>
        <w:t>planned</w:t>
      </w:r>
      <w:r>
        <w:rPr>
          <w:spacing w:val="-14"/>
          <w:sz w:val="24"/>
        </w:rPr>
        <w:t> </w:t>
      </w:r>
      <w:r>
        <w:rPr>
          <w:sz w:val="24"/>
        </w:rPr>
        <w:t>service change and embedded</w:t>
      </w:r>
      <w:r>
        <w:rPr>
          <w:spacing w:val="-3"/>
          <w:sz w:val="24"/>
        </w:rPr>
        <w:t> </w:t>
      </w:r>
      <w:r>
        <w:rPr>
          <w:sz w:val="24"/>
        </w:rPr>
        <w:t>in the ways of</w:t>
      </w:r>
      <w:r>
        <w:rPr>
          <w:spacing w:val="-6"/>
          <w:sz w:val="24"/>
        </w:rPr>
        <w:t> </w:t>
      </w:r>
      <w:r>
        <w:rPr>
          <w:sz w:val="24"/>
        </w:rPr>
        <w:t>working.</w:t>
      </w:r>
    </w:p>
    <w:p>
      <w:pPr>
        <w:pStyle w:val="ListParagraph"/>
        <w:numPr>
          <w:ilvl w:val="1"/>
          <w:numId w:val="49"/>
        </w:numPr>
        <w:tabs>
          <w:tab w:pos="860" w:val="left" w:leader="none"/>
          <w:tab w:pos="862" w:val="left" w:leader="none"/>
        </w:tabs>
        <w:spacing w:line="240" w:lineRule="auto" w:before="118" w:after="0"/>
        <w:ind w:left="862" w:right="420" w:hanging="720"/>
        <w:jc w:val="both"/>
        <w:rPr>
          <w:sz w:val="24"/>
        </w:rPr>
      </w:pPr>
      <w:r>
        <w:rPr>
          <w:spacing w:val="-2"/>
          <w:sz w:val="24"/>
        </w:rPr>
        <w:t>Provide</w:t>
      </w:r>
      <w:r>
        <w:rPr>
          <w:spacing w:val="-15"/>
          <w:sz w:val="24"/>
        </w:rPr>
        <w:t> </w:t>
      </w:r>
      <w:r>
        <w:rPr>
          <w:spacing w:val="-2"/>
          <w:sz w:val="24"/>
        </w:rPr>
        <w:t>assurance</w:t>
      </w:r>
      <w:r>
        <w:rPr>
          <w:spacing w:val="-15"/>
          <w:sz w:val="24"/>
        </w:rPr>
        <w:t> </w:t>
      </w:r>
      <w:r>
        <w:rPr>
          <w:spacing w:val="-2"/>
          <w:sz w:val="24"/>
        </w:rPr>
        <w:t>that</w:t>
      </w:r>
      <w:r>
        <w:rPr>
          <w:spacing w:val="-14"/>
          <w:sz w:val="24"/>
        </w:rPr>
        <w:t> </w:t>
      </w:r>
      <w:r>
        <w:rPr>
          <w:spacing w:val="-2"/>
          <w:sz w:val="24"/>
        </w:rPr>
        <w:t>regional</w:t>
      </w:r>
      <w:r>
        <w:rPr>
          <w:spacing w:val="-15"/>
          <w:sz w:val="24"/>
        </w:rPr>
        <w:t> </w:t>
      </w:r>
      <w:r>
        <w:rPr>
          <w:spacing w:val="-2"/>
          <w:sz w:val="24"/>
        </w:rPr>
        <w:t>clinical</w:t>
      </w:r>
      <w:r>
        <w:rPr>
          <w:spacing w:val="-15"/>
          <w:sz w:val="24"/>
        </w:rPr>
        <w:t> </w:t>
      </w:r>
      <w:r>
        <w:rPr>
          <w:spacing w:val="-2"/>
          <w:sz w:val="24"/>
        </w:rPr>
        <w:t>service</w:t>
      </w:r>
      <w:r>
        <w:rPr>
          <w:spacing w:val="-15"/>
          <w:sz w:val="24"/>
        </w:rPr>
        <w:t> </w:t>
      </w:r>
      <w:r>
        <w:rPr>
          <w:spacing w:val="-2"/>
          <w:sz w:val="24"/>
        </w:rPr>
        <w:t>programmes</w:t>
      </w:r>
      <w:r>
        <w:rPr>
          <w:spacing w:val="-14"/>
          <w:sz w:val="24"/>
        </w:rPr>
        <w:t> </w:t>
      </w:r>
      <w:r>
        <w:rPr>
          <w:spacing w:val="-2"/>
          <w:sz w:val="24"/>
        </w:rPr>
        <w:t>and</w:t>
      </w:r>
      <w:r>
        <w:rPr>
          <w:spacing w:val="-13"/>
          <w:sz w:val="24"/>
        </w:rPr>
        <w:t> </w:t>
      </w:r>
      <w:r>
        <w:rPr>
          <w:spacing w:val="-2"/>
          <w:sz w:val="24"/>
        </w:rPr>
        <w:t>models</w:t>
      </w:r>
      <w:r>
        <w:rPr>
          <w:spacing w:val="-13"/>
          <w:sz w:val="24"/>
        </w:rPr>
        <w:t> </w:t>
      </w:r>
      <w:r>
        <w:rPr>
          <w:spacing w:val="-2"/>
          <w:sz w:val="24"/>
        </w:rPr>
        <w:t>are</w:t>
      </w:r>
      <w:r>
        <w:rPr>
          <w:spacing w:val="-12"/>
          <w:sz w:val="24"/>
        </w:rPr>
        <w:t> </w:t>
      </w:r>
      <w:r>
        <w:rPr>
          <w:spacing w:val="-2"/>
          <w:sz w:val="24"/>
        </w:rPr>
        <w:t>developed</w:t>
      </w:r>
      <w:r>
        <w:rPr>
          <w:spacing w:val="-15"/>
          <w:sz w:val="24"/>
        </w:rPr>
        <w:t> </w:t>
      </w:r>
      <w:r>
        <w:rPr>
          <w:spacing w:val="-2"/>
          <w:sz w:val="24"/>
        </w:rPr>
        <w:t>and </w:t>
      </w:r>
      <w:r>
        <w:rPr>
          <w:sz w:val="24"/>
        </w:rPr>
        <w:t>delivered</w:t>
      </w:r>
      <w:r>
        <w:rPr>
          <w:spacing w:val="-7"/>
          <w:sz w:val="24"/>
        </w:rPr>
        <w:t> </w:t>
      </w:r>
      <w:r>
        <w:rPr>
          <w:sz w:val="24"/>
        </w:rPr>
        <w:t>to</w:t>
      </w:r>
      <w:r>
        <w:rPr>
          <w:spacing w:val="-11"/>
          <w:sz w:val="24"/>
        </w:rPr>
        <w:t> </w:t>
      </w:r>
      <w:r>
        <w:rPr>
          <w:sz w:val="24"/>
        </w:rPr>
        <w:t>improve</w:t>
      </w:r>
      <w:r>
        <w:rPr>
          <w:spacing w:val="-11"/>
          <w:sz w:val="24"/>
        </w:rPr>
        <w:t> </w:t>
      </w:r>
      <w:r>
        <w:rPr>
          <w:sz w:val="24"/>
        </w:rPr>
        <w:t>resilience,</w:t>
      </w:r>
      <w:r>
        <w:rPr>
          <w:spacing w:val="-14"/>
          <w:sz w:val="24"/>
        </w:rPr>
        <w:t> </w:t>
      </w:r>
      <w:r>
        <w:rPr>
          <w:sz w:val="24"/>
        </w:rPr>
        <w:t>equity</w:t>
      </w:r>
      <w:r>
        <w:rPr>
          <w:spacing w:val="-12"/>
          <w:sz w:val="24"/>
        </w:rPr>
        <w:t> </w:t>
      </w:r>
      <w:r>
        <w:rPr>
          <w:sz w:val="24"/>
        </w:rPr>
        <w:t>of</w:t>
      </w:r>
      <w:r>
        <w:rPr>
          <w:spacing w:val="-14"/>
          <w:sz w:val="24"/>
        </w:rPr>
        <w:t> </w:t>
      </w:r>
      <w:r>
        <w:rPr>
          <w:sz w:val="24"/>
        </w:rPr>
        <w:t>access</w:t>
      </w:r>
      <w:r>
        <w:rPr>
          <w:spacing w:val="-8"/>
          <w:sz w:val="24"/>
        </w:rPr>
        <w:t> </w:t>
      </w:r>
      <w:r>
        <w:rPr>
          <w:sz w:val="24"/>
        </w:rPr>
        <w:t>and</w:t>
      </w:r>
      <w:r>
        <w:rPr>
          <w:spacing w:val="-16"/>
          <w:sz w:val="24"/>
        </w:rPr>
        <w:t> </w:t>
      </w:r>
      <w:r>
        <w:rPr>
          <w:sz w:val="24"/>
        </w:rPr>
        <w:t>outcomes</w:t>
      </w:r>
      <w:r>
        <w:rPr>
          <w:spacing w:val="-12"/>
          <w:sz w:val="24"/>
        </w:rPr>
        <w:t> </w:t>
      </w:r>
      <w:r>
        <w:rPr>
          <w:sz w:val="24"/>
        </w:rPr>
        <w:t>across</w:t>
      </w:r>
      <w:r>
        <w:rPr>
          <w:spacing w:val="-12"/>
          <w:sz w:val="24"/>
        </w:rPr>
        <w:t> </w:t>
      </w:r>
      <w:r>
        <w:rPr>
          <w:sz w:val="24"/>
        </w:rPr>
        <w:t>South</w:t>
      </w:r>
      <w:r>
        <w:rPr>
          <w:spacing w:val="-11"/>
          <w:sz w:val="24"/>
        </w:rPr>
        <w:t> </w:t>
      </w:r>
      <w:r>
        <w:rPr>
          <w:sz w:val="24"/>
        </w:rPr>
        <w:t>West</w:t>
      </w:r>
      <w:r>
        <w:rPr>
          <w:spacing w:val="-14"/>
          <w:sz w:val="24"/>
        </w:rPr>
        <w:t> </w:t>
      </w:r>
      <w:r>
        <w:rPr>
          <w:sz w:val="24"/>
        </w:rPr>
        <w:t>Wales.</w:t>
      </w:r>
    </w:p>
    <w:p>
      <w:pPr>
        <w:pStyle w:val="ListParagraph"/>
        <w:numPr>
          <w:ilvl w:val="1"/>
          <w:numId w:val="49"/>
        </w:numPr>
        <w:tabs>
          <w:tab w:pos="860" w:val="left" w:leader="none"/>
          <w:tab w:pos="862" w:val="left" w:leader="none"/>
        </w:tabs>
        <w:spacing w:line="242" w:lineRule="auto" w:before="118" w:after="0"/>
        <w:ind w:left="862" w:right="420" w:hanging="720"/>
        <w:jc w:val="both"/>
        <w:rPr>
          <w:sz w:val="24"/>
        </w:rPr>
      </w:pPr>
      <w:r>
        <w:rPr>
          <w:spacing w:val="-2"/>
          <w:sz w:val="24"/>
        </w:rPr>
        <w:t>Provide</w:t>
      </w:r>
      <w:r>
        <w:rPr>
          <w:spacing w:val="-11"/>
          <w:sz w:val="24"/>
        </w:rPr>
        <w:t> </w:t>
      </w:r>
      <w:r>
        <w:rPr>
          <w:spacing w:val="-2"/>
          <w:sz w:val="24"/>
        </w:rPr>
        <w:t>assurance</w:t>
      </w:r>
      <w:r>
        <w:rPr>
          <w:spacing w:val="-7"/>
          <w:sz w:val="24"/>
        </w:rPr>
        <w:t> </w:t>
      </w:r>
      <w:r>
        <w:rPr>
          <w:spacing w:val="-2"/>
          <w:sz w:val="24"/>
        </w:rPr>
        <w:t>that</w:t>
      </w:r>
      <w:r>
        <w:rPr>
          <w:spacing w:val="-14"/>
          <w:sz w:val="24"/>
        </w:rPr>
        <w:t> </w:t>
      </w:r>
      <w:r>
        <w:rPr>
          <w:spacing w:val="-2"/>
          <w:sz w:val="24"/>
        </w:rPr>
        <w:t>processes</w:t>
      </w:r>
      <w:r>
        <w:rPr>
          <w:spacing w:val="-12"/>
          <w:sz w:val="24"/>
        </w:rPr>
        <w:t> </w:t>
      </w:r>
      <w:r>
        <w:rPr>
          <w:spacing w:val="-2"/>
          <w:sz w:val="24"/>
        </w:rPr>
        <w:t>and</w:t>
      </w:r>
      <w:r>
        <w:rPr>
          <w:spacing w:val="-7"/>
          <w:sz w:val="24"/>
        </w:rPr>
        <w:t> </w:t>
      </w:r>
      <w:r>
        <w:rPr>
          <w:spacing w:val="-2"/>
          <w:sz w:val="24"/>
        </w:rPr>
        <w:t>governance</w:t>
      </w:r>
      <w:r>
        <w:rPr>
          <w:spacing w:val="-12"/>
          <w:sz w:val="24"/>
        </w:rPr>
        <w:t> </w:t>
      </w:r>
      <w:r>
        <w:rPr>
          <w:spacing w:val="-2"/>
          <w:sz w:val="24"/>
        </w:rPr>
        <w:t>are</w:t>
      </w:r>
      <w:r>
        <w:rPr>
          <w:spacing w:val="-7"/>
          <w:sz w:val="24"/>
        </w:rPr>
        <w:t> </w:t>
      </w:r>
      <w:r>
        <w:rPr>
          <w:spacing w:val="-2"/>
          <w:sz w:val="24"/>
        </w:rPr>
        <w:t>in</w:t>
      </w:r>
      <w:r>
        <w:rPr>
          <w:spacing w:val="-12"/>
          <w:sz w:val="24"/>
        </w:rPr>
        <w:t> </w:t>
      </w:r>
      <w:r>
        <w:rPr>
          <w:spacing w:val="-2"/>
          <w:sz w:val="24"/>
        </w:rPr>
        <w:t>place</w:t>
      </w:r>
      <w:r>
        <w:rPr>
          <w:spacing w:val="-7"/>
          <w:sz w:val="24"/>
        </w:rPr>
        <w:t> </w:t>
      </w:r>
      <w:r>
        <w:rPr>
          <w:spacing w:val="-2"/>
          <w:sz w:val="24"/>
        </w:rPr>
        <w:t>for</w:t>
      </w:r>
      <w:r>
        <w:rPr>
          <w:spacing w:val="-8"/>
          <w:sz w:val="24"/>
        </w:rPr>
        <w:t> </w:t>
      </w:r>
      <w:r>
        <w:rPr>
          <w:spacing w:val="-2"/>
          <w:sz w:val="24"/>
        </w:rPr>
        <w:t>Swansea</w:t>
      </w:r>
      <w:r>
        <w:rPr>
          <w:spacing w:val="-7"/>
          <w:sz w:val="24"/>
        </w:rPr>
        <w:t> </w:t>
      </w:r>
      <w:r>
        <w:rPr>
          <w:spacing w:val="-2"/>
          <w:sz w:val="24"/>
        </w:rPr>
        <w:t>Bay</w:t>
      </w:r>
      <w:r>
        <w:rPr>
          <w:spacing w:val="-8"/>
          <w:sz w:val="24"/>
        </w:rPr>
        <w:t> </w:t>
      </w:r>
      <w:r>
        <w:rPr>
          <w:spacing w:val="-2"/>
          <w:sz w:val="24"/>
        </w:rPr>
        <w:t>University </w:t>
      </w:r>
      <w:r>
        <w:rPr>
          <w:sz w:val="24"/>
        </w:rPr>
        <w:t>Health</w:t>
      </w:r>
      <w:r>
        <w:rPr>
          <w:spacing w:val="-17"/>
          <w:sz w:val="24"/>
        </w:rPr>
        <w:t> </w:t>
      </w:r>
      <w:r>
        <w:rPr>
          <w:sz w:val="24"/>
        </w:rPr>
        <w:t>Board</w:t>
      </w:r>
      <w:r>
        <w:rPr>
          <w:spacing w:val="-17"/>
          <w:sz w:val="24"/>
        </w:rPr>
        <w:t> </w:t>
      </w:r>
      <w:r>
        <w:rPr>
          <w:sz w:val="24"/>
        </w:rPr>
        <w:t>and</w:t>
      </w:r>
      <w:r>
        <w:rPr>
          <w:spacing w:val="-14"/>
          <w:sz w:val="24"/>
        </w:rPr>
        <w:t> </w:t>
      </w:r>
      <w:r>
        <w:rPr>
          <w:sz w:val="24"/>
        </w:rPr>
        <w:t>Hywel</w:t>
      </w:r>
      <w:r>
        <w:rPr>
          <w:spacing w:val="-14"/>
          <w:sz w:val="24"/>
        </w:rPr>
        <w:t> </w:t>
      </w:r>
      <w:r>
        <w:rPr>
          <w:sz w:val="24"/>
        </w:rPr>
        <w:t>Dda</w:t>
      </w:r>
      <w:r>
        <w:rPr>
          <w:spacing w:val="-17"/>
          <w:sz w:val="24"/>
        </w:rPr>
        <w:t> </w:t>
      </w:r>
      <w:r>
        <w:rPr>
          <w:sz w:val="24"/>
        </w:rPr>
        <w:t>University</w:t>
      </w:r>
      <w:r>
        <w:rPr>
          <w:spacing w:val="-17"/>
          <w:sz w:val="24"/>
        </w:rPr>
        <w:t> </w:t>
      </w:r>
      <w:r>
        <w:rPr>
          <w:sz w:val="24"/>
        </w:rPr>
        <w:t>Health</w:t>
      </w:r>
      <w:r>
        <w:rPr>
          <w:spacing w:val="-10"/>
          <w:sz w:val="24"/>
        </w:rPr>
        <w:t> </w:t>
      </w:r>
      <w:r>
        <w:rPr>
          <w:sz w:val="24"/>
        </w:rPr>
        <w:t>Board</w:t>
      </w:r>
      <w:r>
        <w:rPr>
          <w:spacing w:val="-14"/>
          <w:sz w:val="24"/>
        </w:rPr>
        <w:t> </w:t>
      </w:r>
      <w:r>
        <w:rPr>
          <w:sz w:val="24"/>
        </w:rPr>
        <w:t>to</w:t>
      </w:r>
      <w:r>
        <w:rPr>
          <w:spacing w:val="-14"/>
          <w:sz w:val="24"/>
        </w:rPr>
        <w:t> </w:t>
      </w:r>
      <w:r>
        <w:rPr>
          <w:sz w:val="24"/>
        </w:rPr>
        <w:t>work</w:t>
      </w:r>
      <w:r>
        <w:rPr>
          <w:spacing w:val="-15"/>
          <w:sz w:val="24"/>
        </w:rPr>
        <w:t> </w:t>
      </w:r>
      <w:r>
        <w:rPr>
          <w:sz w:val="24"/>
        </w:rPr>
        <w:t>in</w:t>
      </w:r>
      <w:r>
        <w:rPr>
          <w:spacing w:val="-17"/>
          <w:sz w:val="24"/>
        </w:rPr>
        <w:t> </w:t>
      </w:r>
      <w:r>
        <w:rPr>
          <w:sz w:val="24"/>
        </w:rPr>
        <w:t>partnership</w:t>
      </w:r>
      <w:r>
        <w:rPr>
          <w:spacing w:val="-14"/>
          <w:sz w:val="24"/>
        </w:rPr>
        <w:t> </w:t>
      </w:r>
      <w:r>
        <w:rPr>
          <w:sz w:val="24"/>
        </w:rPr>
        <w:t>to</w:t>
      </w:r>
      <w:r>
        <w:rPr>
          <w:spacing w:val="-14"/>
          <w:sz w:val="24"/>
        </w:rPr>
        <w:t> </w:t>
      </w:r>
      <w:r>
        <w:rPr>
          <w:sz w:val="24"/>
        </w:rPr>
        <w:t>commission </w:t>
      </w:r>
      <w:r>
        <w:rPr>
          <w:spacing w:val="-2"/>
          <w:sz w:val="24"/>
        </w:rPr>
        <w:t>and</w:t>
      </w:r>
      <w:r>
        <w:rPr>
          <w:spacing w:val="-11"/>
          <w:sz w:val="24"/>
        </w:rPr>
        <w:t> </w:t>
      </w:r>
      <w:r>
        <w:rPr>
          <w:spacing w:val="-2"/>
          <w:sz w:val="24"/>
        </w:rPr>
        <w:t>deliver</w:t>
      </w:r>
      <w:r>
        <w:rPr>
          <w:spacing w:val="-3"/>
          <w:sz w:val="24"/>
        </w:rPr>
        <w:t> </w:t>
      </w:r>
      <w:r>
        <w:rPr>
          <w:spacing w:val="-2"/>
          <w:sz w:val="24"/>
        </w:rPr>
        <w:t>services</w:t>
      </w:r>
      <w:r>
        <w:rPr>
          <w:spacing w:val="-7"/>
          <w:sz w:val="24"/>
        </w:rPr>
        <w:t> </w:t>
      </w:r>
      <w:r>
        <w:rPr>
          <w:spacing w:val="-2"/>
          <w:sz w:val="24"/>
        </w:rPr>
        <w:t>on</w:t>
      </w:r>
      <w:r>
        <w:rPr>
          <w:spacing w:val="-11"/>
          <w:sz w:val="24"/>
        </w:rPr>
        <w:t> </w:t>
      </w:r>
      <w:r>
        <w:rPr>
          <w:spacing w:val="-2"/>
          <w:sz w:val="24"/>
        </w:rPr>
        <w:t>a regional</w:t>
      </w:r>
      <w:r>
        <w:rPr>
          <w:spacing w:val="-7"/>
          <w:sz w:val="24"/>
        </w:rPr>
        <w:t> </w:t>
      </w:r>
      <w:r>
        <w:rPr>
          <w:spacing w:val="-2"/>
          <w:sz w:val="24"/>
        </w:rPr>
        <w:t>basis,</w:t>
      </w:r>
      <w:r>
        <w:rPr>
          <w:spacing w:val="-9"/>
          <w:sz w:val="24"/>
        </w:rPr>
        <w:t> </w:t>
      </w:r>
      <w:r>
        <w:rPr>
          <w:spacing w:val="-2"/>
          <w:sz w:val="24"/>
        </w:rPr>
        <w:t>including</w:t>
      </w:r>
      <w:r>
        <w:rPr>
          <w:spacing w:val="-7"/>
          <w:sz w:val="24"/>
        </w:rPr>
        <w:t> </w:t>
      </w:r>
      <w:r>
        <w:rPr>
          <w:spacing w:val="-2"/>
          <w:sz w:val="24"/>
        </w:rPr>
        <w:t>through</w:t>
      </w:r>
      <w:r>
        <w:rPr>
          <w:spacing w:val="-7"/>
          <w:sz w:val="24"/>
        </w:rPr>
        <w:t> </w:t>
      </w:r>
      <w:r>
        <w:rPr>
          <w:spacing w:val="-2"/>
          <w:sz w:val="24"/>
        </w:rPr>
        <w:t>Long</w:t>
      </w:r>
      <w:r>
        <w:rPr>
          <w:spacing w:val="-7"/>
          <w:sz w:val="24"/>
        </w:rPr>
        <w:t> </w:t>
      </w:r>
      <w:r>
        <w:rPr>
          <w:spacing w:val="-2"/>
          <w:sz w:val="24"/>
        </w:rPr>
        <w:t>Term</w:t>
      </w:r>
      <w:r>
        <w:rPr>
          <w:spacing w:val="-3"/>
          <w:sz w:val="24"/>
        </w:rPr>
        <w:t> </w:t>
      </w:r>
      <w:r>
        <w:rPr>
          <w:spacing w:val="-2"/>
          <w:sz w:val="24"/>
        </w:rPr>
        <w:t>Agreements,</w:t>
      </w:r>
      <w:r>
        <w:rPr>
          <w:spacing w:val="-9"/>
          <w:sz w:val="24"/>
        </w:rPr>
        <w:t> </w:t>
      </w:r>
      <w:r>
        <w:rPr>
          <w:spacing w:val="-2"/>
          <w:sz w:val="24"/>
        </w:rPr>
        <w:t>Service</w:t>
      </w:r>
    </w:p>
    <w:p>
      <w:pPr>
        <w:pStyle w:val="BodyText"/>
        <w:spacing w:before="177"/>
        <w:rPr>
          <w:sz w:val="20"/>
        </w:rPr>
      </w:pPr>
    </w:p>
    <w:p>
      <w:pPr>
        <w:spacing w:before="0"/>
        <w:ind w:left="4" w:right="284" w:firstLine="0"/>
        <w:jc w:val="center"/>
        <w:rPr>
          <w:sz w:val="20"/>
        </w:rPr>
      </w:pPr>
      <w:r>
        <w:rPr>
          <w:spacing w:val="-10"/>
          <w:sz w:val="20"/>
        </w:rPr>
        <w:t>2</w:t>
      </w:r>
    </w:p>
    <w:p>
      <w:pPr>
        <w:spacing w:after="0"/>
        <w:jc w:val="center"/>
        <w:rPr>
          <w:sz w:val="20"/>
        </w:rPr>
        <w:sectPr>
          <w:pgSz w:w="11910" w:h="16840"/>
          <w:pgMar w:header="0" w:footer="149" w:top="1760" w:bottom="340" w:left="708" w:right="425"/>
        </w:sectPr>
      </w:pPr>
    </w:p>
    <w:p>
      <w:pPr>
        <w:pStyle w:val="BodyText"/>
        <w:spacing w:before="75"/>
        <w:ind w:left="862" w:right="427"/>
        <w:jc w:val="both"/>
      </w:pPr>
      <w:r>
        <w:rPr/>
        <w:t>Level Agreements, work commissioned by the Joint Commissioning Committee, and exploration</w:t>
      </w:r>
      <w:r>
        <w:rPr>
          <w:spacing w:val="-10"/>
        </w:rPr>
        <w:t> </w:t>
      </w:r>
      <w:r>
        <w:rPr/>
        <w:t>of</w:t>
      </w:r>
      <w:r>
        <w:rPr>
          <w:spacing w:val="-13"/>
        </w:rPr>
        <w:t> </w:t>
      </w:r>
      <w:r>
        <w:rPr/>
        <w:t>opportunities</w:t>
      </w:r>
      <w:r>
        <w:rPr>
          <w:spacing w:val="-11"/>
        </w:rPr>
        <w:t> </w:t>
      </w:r>
      <w:r>
        <w:rPr/>
        <w:t>for</w:t>
      </w:r>
      <w:r>
        <w:rPr>
          <w:spacing w:val="-16"/>
        </w:rPr>
        <w:t> </w:t>
      </w:r>
      <w:r>
        <w:rPr/>
        <w:t>joint</w:t>
      </w:r>
      <w:r>
        <w:rPr>
          <w:spacing w:val="-13"/>
        </w:rPr>
        <w:t> </w:t>
      </w:r>
      <w:r>
        <w:rPr/>
        <w:t>commissioning</w:t>
      </w:r>
      <w:r>
        <w:rPr>
          <w:spacing w:val="-10"/>
        </w:rPr>
        <w:t> </w:t>
      </w:r>
      <w:r>
        <w:rPr/>
        <w:t>from</w:t>
      </w:r>
      <w:r>
        <w:rPr>
          <w:spacing w:val="-11"/>
        </w:rPr>
        <w:t> </w:t>
      </w:r>
      <w:r>
        <w:rPr/>
        <w:t>other</w:t>
      </w:r>
      <w:r>
        <w:rPr>
          <w:spacing w:val="-16"/>
        </w:rPr>
        <w:t> </w:t>
      </w:r>
      <w:r>
        <w:rPr/>
        <w:t>providers.</w:t>
      </w:r>
    </w:p>
    <w:p>
      <w:pPr>
        <w:pStyle w:val="ListParagraph"/>
        <w:numPr>
          <w:ilvl w:val="1"/>
          <w:numId w:val="49"/>
        </w:numPr>
        <w:tabs>
          <w:tab w:pos="860" w:val="left" w:leader="none"/>
          <w:tab w:pos="862" w:val="left" w:leader="none"/>
        </w:tabs>
        <w:spacing w:line="240" w:lineRule="auto" w:before="123" w:after="0"/>
        <w:ind w:left="862" w:right="423" w:hanging="720"/>
        <w:jc w:val="both"/>
        <w:rPr>
          <w:sz w:val="24"/>
        </w:rPr>
      </w:pPr>
      <w:r>
        <w:rPr>
          <w:sz w:val="24"/>
        </w:rPr>
        <w:t>Provide assurance that a consistent, intelligence-led approach to regional clinical service planning and investment</w:t>
      </w:r>
      <w:r>
        <w:rPr>
          <w:spacing w:val="-8"/>
          <w:sz w:val="24"/>
        </w:rPr>
        <w:t> </w:t>
      </w:r>
      <w:r>
        <w:rPr>
          <w:sz w:val="24"/>
        </w:rPr>
        <w:t>decisions</w:t>
      </w:r>
      <w:r>
        <w:rPr>
          <w:spacing w:val="-2"/>
          <w:sz w:val="24"/>
        </w:rPr>
        <w:t> </w:t>
      </w:r>
      <w:r>
        <w:rPr>
          <w:sz w:val="24"/>
        </w:rPr>
        <w:t>is in place.</w:t>
      </w:r>
    </w:p>
    <w:p>
      <w:pPr>
        <w:pStyle w:val="ListParagraph"/>
        <w:numPr>
          <w:ilvl w:val="1"/>
          <w:numId w:val="49"/>
        </w:numPr>
        <w:tabs>
          <w:tab w:pos="860" w:val="left" w:leader="none"/>
        </w:tabs>
        <w:spacing w:line="275" w:lineRule="exact" w:before="119" w:after="0"/>
        <w:ind w:left="860" w:right="0" w:hanging="718"/>
        <w:jc w:val="both"/>
        <w:rPr>
          <w:sz w:val="24"/>
        </w:rPr>
      </w:pPr>
      <w:r>
        <w:rPr>
          <w:spacing w:val="-2"/>
          <w:sz w:val="24"/>
        </w:rPr>
        <w:t>Provide</w:t>
      </w:r>
      <w:r>
        <w:rPr>
          <w:spacing w:val="-17"/>
          <w:sz w:val="24"/>
        </w:rPr>
        <w:t> </w:t>
      </w:r>
      <w:r>
        <w:rPr>
          <w:spacing w:val="-2"/>
          <w:sz w:val="24"/>
        </w:rPr>
        <w:t>assurance</w:t>
      </w:r>
      <w:r>
        <w:rPr>
          <w:spacing w:val="-15"/>
          <w:sz w:val="24"/>
        </w:rPr>
        <w:t> </w:t>
      </w:r>
      <w:r>
        <w:rPr>
          <w:spacing w:val="-2"/>
          <w:sz w:val="24"/>
        </w:rPr>
        <w:t>that</w:t>
      </w:r>
      <w:r>
        <w:rPr>
          <w:spacing w:val="-12"/>
          <w:sz w:val="24"/>
        </w:rPr>
        <w:t> </w:t>
      </w:r>
      <w:r>
        <w:rPr>
          <w:spacing w:val="-2"/>
          <w:sz w:val="24"/>
        </w:rPr>
        <w:t>the</w:t>
      </w:r>
      <w:r>
        <w:rPr>
          <w:spacing w:val="-14"/>
          <w:sz w:val="24"/>
        </w:rPr>
        <w:t> </w:t>
      </w:r>
      <w:r>
        <w:rPr>
          <w:spacing w:val="-2"/>
          <w:sz w:val="24"/>
        </w:rPr>
        <w:t>Health</w:t>
      </w:r>
      <w:r>
        <w:rPr>
          <w:spacing w:val="-13"/>
          <w:sz w:val="24"/>
        </w:rPr>
        <w:t> </w:t>
      </w:r>
      <w:r>
        <w:rPr>
          <w:spacing w:val="-2"/>
          <w:sz w:val="24"/>
        </w:rPr>
        <w:t>Boards’</w:t>
      </w:r>
      <w:r>
        <w:rPr>
          <w:spacing w:val="-14"/>
          <w:sz w:val="24"/>
        </w:rPr>
        <w:t> </w:t>
      </w:r>
      <w:r>
        <w:rPr>
          <w:spacing w:val="-2"/>
          <w:sz w:val="24"/>
        </w:rPr>
        <w:t>Clinical</w:t>
      </w:r>
      <w:r>
        <w:rPr>
          <w:spacing w:val="-15"/>
          <w:sz w:val="24"/>
        </w:rPr>
        <w:t> </w:t>
      </w:r>
      <w:r>
        <w:rPr>
          <w:spacing w:val="-2"/>
          <w:sz w:val="24"/>
        </w:rPr>
        <w:t>Services</w:t>
      </w:r>
      <w:r>
        <w:rPr>
          <w:spacing w:val="-10"/>
          <w:sz w:val="24"/>
        </w:rPr>
        <w:t> </w:t>
      </w:r>
      <w:r>
        <w:rPr>
          <w:spacing w:val="-2"/>
          <w:sz w:val="24"/>
        </w:rPr>
        <w:t>Strategic</w:t>
      </w:r>
      <w:r>
        <w:rPr>
          <w:spacing w:val="-10"/>
          <w:sz w:val="24"/>
        </w:rPr>
        <w:t> </w:t>
      </w:r>
      <w:r>
        <w:rPr>
          <w:spacing w:val="-2"/>
          <w:sz w:val="24"/>
        </w:rPr>
        <w:t>Plans</w:t>
      </w:r>
      <w:r>
        <w:rPr>
          <w:spacing w:val="-14"/>
          <w:sz w:val="24"/>
        </w:rPr>
        <w:t> </w:t>
      </w:r>
      <w:r>
        <w:rPr>
          <w:spacing w:val="-2"/>
          <w:sz w:val="24"/>
        </w:rPr>
        <w:t>are</w:t>
      </w:r>
      <w:r>
        <w:rPr>
          <w:spacing w:val="-14"/>
          <w:sz w:val="24"/>
        </w:rPr>
        <w:t> </w:t>
      </w:r>
      <w:r>
        <w:rPr>
          <w:spacing w:val="-2"/>
          <w:sz w:val="24"/>
        </w:rPr>
        <w:t>aligned</w:t>
      </w:r>
      <w:r>
        <w:rPr>
          <w:spacing w:val="-13"/>
          <w:sz w:val="24"/>
        </w:rPr>
        <w:t> </w:t>
      </w:r>
      <w:r>
        <w:rPr>
          <w:spacing w:val="-4"/>
          <w:sz w:val="24"/>
        </w:rPr>
        <w:t>with</w:t>
      </w:r>
    </w:p>
    <w:p>
      <w:pPr>
        <w:pStyle w:val="BodyText"/>
        <w:spacing w:line="275" w:lineRule="exact"/>
        <w:ind w:left="862"/>
        <w:jc w:val="both"/>
      </w:pPr>
      <w:r>
        <w:rPr>
          <w:spacing w:val="-2"/>
        </w:rPr>
        <w:t>Ministerial</w:t>
      </w:r>
      <w:r>
        <w:rPr>
          <w:spacing w:val="-11"/>
        </w:rPr>
        <w:t> </w:t>
      </w:r>
      <w:r>
        <w:rPr>
          <w:spacing w:val="-2"/>
        </w:rPr>
        <w:t>Priorities</w:t>
      </w:r>
      <w:r>
        <w:rPr>
          <w:spacing w:val="-13"/>
        </w:rPr>
        <w:t> </w:t>
      </w:r>
      <w:r>
        <w:rPr>
          <w:spacing w:val="-2"/>
        </w:rPr>
        <w:t>and</w:t>
      </w:r>
      <w:r>
        <w:rPr>
          <w:spacing w:val="-11"/>
        </w:rPr>
        <w:t> </w:t>
      </w:r>
      <w:r>
        <w:rPr>
          <w:spacing w:val="-2"/>
        </w:rPr>
        <w:t>the</w:t>
      </w:r>
      <w:r>
        <w:rPr>
          <w:spacing w:val="-15"/>
        </w:rPr>
        <w:t> </w:t>
      </w:r>
      <w:r>
        <w:rPr>
          <w:spacing w:val="-2"/>
        </w:rPr>
        <w:t>delivery</w:t>
      </w:r>
      <w:r>
        <w:rPr>
          <w:spacing w:val="-13"/>
        </w:rPr>
        <w:t> </w:t>
      </w:r>
      <w:r>
        <w:rPr>
          <w:spacing w:val="-2"/>
        </w:rPr>
        <w:t>of</w:t>
      </w:r>
      <w:r>
        <w:rPr>
          <w:spacing w:val="-9"/>
        </w:rPr>
        <w:t> </w:t>
      </w:r>
      <w:r>
        <w:rPr>
          <w:spacing w:val="-2"/>
        </w:rPr>
        <w:t>A</w:t>
      </w:r>
      <w:r>
        <w:rPr>
          <w:spacing w:val="-15"/>
        </w:rPr>
        <w:t> </w:t>
      </w:r>
      <w:r>
        <w:rPr>
          <w:spacing w:val="-2"/>
        </w:rPr>
        <w:t>Healthier</w:t>
      </w:r>
      <w:r>
        <w:rPr>
          <w:spacing w:val="-12"/>
        </w:rPr>
        <w:t> </w:t>
      </w:r>
      <w:r>
        <w:rPr>
          <w:spacing w:val="-2"/>
        </w:rPr>
        <w:t>Wales.</w:t>
      </w:r>
    </w:p>
    <w:p>
      <w:pPr>
        <w:pStyle w:val="ListParagraph"/>
        <w:numPr>
          <w:ilvl w:val="1"/>
          <w:numId w:val="49"/>
        </w:numPr>
        <w:tabs>
          <w:tab w:pos="859" w:val="left" w:leader="none"/>
          <w:tab w:pos="862" w:val="left" w:leader="none"/>
        </w:tabs>
        <w:spacing w:line="242" w:lineRule="auto" w:before="119" w:after="0"/>
        <w:ind w:left="862" w:right="421" w:hanging="720"/>
        <w:jc w:val="both"/>
        <w:rPr>
          <w:sz w:val="24"/>
        </w:rPr>
      </w:pPr>
      <w:r>
        <w:rPr>
          <w:sz w:val="24"/>
        </w:rPr>
        <w:t>Provide</w:t>
      </w:r>
      <w:r>
        <w:rPr>
          <w:spacing w:val="-5"/>
          <w:sz w:val="24"/>
        </w:rPr>
        <w:t> </w:t>
      </w:r>
      <w:r>
        <w:rPr>
          <w:sz w:val="24"/>
        </w:rPr>
        <w:t>assurance</w:t>
      </w:r>
      <w:r>
        <w:rPr>
          <w:spacing w:val="-2"/>
          <w:sz w:val="24"/>
        </w:rPr>
        <w:t> </w:t>
      </w:r>
      <w:r>
        <w:rPr>
          <w:sz w:val="24"/>
        </w:rPr>
        <w:t>that</w:t>
      </w:r>
      <w:r>
        <w:rPr>
          <w:spacing w:val="-8"/>
          <w:sz w:val="24"/>
        </w:rPr>
        <w:t> </w:t>
      </w:r>
      <w:r>
        <w:rPr>
          <w:sz w:val="24"/>
        </w:rPr>
        <w:t>regional</w:t>
      </w:r>
      <w:r>
        <w:rPr>
          <w:spacing w:val="-6"/>
          <w:sz w:val="24"/>
        </w:rPr>
        <w:t> </w:t>
      </w:r>
      <w:r>
        <w:rPr>
          <w:sz w:val="24"/>
        </w:rPr>
        <w:t>Cellular</w:t>
      </w:r>
      <w:r>
        <w:rPr>
          <w:spacing w:val="-3"/>
          <w:sz w:val="24"/>
        </w:rPr>
        <w:t> </w:t>
      </w:r>
      <w:r>
        <w:rPr>
          <w:sz w:val="24"/>
        </w:rPr>
        <w:t>Pathology</w:t>
      </w:r>
      <w:r>
        <w:rPr>
          <w:spacing w:val="-7"/>
          <w:sz w:val="24"/>
        </w:rPr>
        <w:t> </w:t>
      </w:r>
      <w:r>
        <w:rPr>
          <w:sz w:val="24"/>
        </w:rPr>
        <w:t>and</w:t>
      </w:r>
      <w:r>
        <w:rPr>
          <w:spacing w:val="-2"/>
          <w:sz w:val="24"/>
        </w:rPr>
        <w:t> </w:t>
      </w:r>
      <w:r>
        <w:rPr>
          <w:sz w:val="24"/>
        </w:rPr>
        <w:t>South</w:t>
      </w:r>
      <w:r>
        <w:rPr>
          <w:spacing w:val="-2"/>
          <w:sz w:val="24"/>
        </w:rPr>
        <w:t> </w:t>
      </w:r>
      <w:r>
        <w:rPr>
          <w:sz w:val="24"/>
        </w:rPr>
        <w:t>West Wales</w:t>
      </w:r>
      <w:r>
        <w:rPr>
          <w:spacing w:val="-3"/>
          <w:sz w:val="24"/>
        </w:rPr>
        <w:t> </w:t>
      </w:r>
      <w:r>
        <w:rPr>
          <w:sz w:val="24"/>
        </w:rPr>
        <w:t>Cancer</w:t>
      </w:r>
      <w:r>
        <w:rPr>
          <w:spacing w:val="-7"/>
          <w:sz w:val="24"/>
        </w:rPr>
        <w:t> </w:t>
      </w:r>
      <w:r>
        <w:rPr>
          <w:sz w:val="24"/>
        </w:rPr>
        <w:t>capital planning</w:t>
      </w:r>
      <w:r>
        <w:rPr>
          <w:spacing w:val="-17"/>
          <w:sz w:val="24"/>
        </w:rPr>
        <w:t> </w:t>
      </w:r>
      <w:r>
        <w:rPr>
          <w:sz w:val="24"/>
        </w:rPr>
        <w:t>programmes</w:t>
      </w:r>
      <w:r>
        <w:rPr>
          <w:spacing w:val="-17"/>
          <w:sz w:val="24"/>
        </w:rPr>
        <w:t> </w:t>
      </w:r>
      <w:r>
        <w:rPr>
          <w:sz w:val="24"/>
        </w:rPr>
        <w:t>are</w:t>
      </w:r>
      <w:r>
        <w:rPr>
          <w:spacing w:val="-16"/>
          <w:sz w:val="24"/>
        </w:rPr>
        <w:t> </w:t>
      </w:r>
      <w:r>
        <w:rPr>
          <w:sz w:val="24"/>
        </w:rPr>
        <w:t>delivered</w:t>
      </w:r>
      <w:r>
        <w:rPr>
          <w:spacing w:val="-17"/>
          <w:sz w:val="24"/>
        </w:rPr>
        <w:t> </w:t>
      </w:r>
      <w:r>
        <w:rPr>
          <w:sz w:val="24"/>
        </w:rPr>
        <w:t>to</w:t>
      </w:r>
      <w:r>
        <w:rPr>
          <w:spacing w:val="-17"/>
          <w:sz w:val="24"/>
        </w:rPr>
        <w:t> </w:t>
      </w:r>
      <w:r>
        <w:rPr>
          <w:sz w:val="24"/>
        </w:rPr>
        <w:t>plan</w:t>
      </w:r>
      <w:r>
        <w:rPr>
          <w:spacing w:val="-17"/>
          <w:sz w:val="24"/>
        </w:rPr>
        <w:t> </w:t>
      </w:r>
      <w:r>
        <w:rPr>
          <w:sz w:val="24"/>
        </w:rPr>
        <w:t>and</w:t>
      </w:r>
      <w:r>
        <w:rPr>
          <w:spacing w:val="-16"/>
          <w:sz w:val="24"/>
        </w:rPr>
        <w:t> </w:t>
      </w:r>
      <w:r>
        <w:rPr>
          <w:sz w:val="24"/>
        </w:rPr>
        <w:t>cost,</w:t>
      </w:r>
      <w:r>
        <w:rPr>
          <w:spacing w:val="-17"/>
          <w:sz w:val="24"/>
        </w:rPr>
        <w:t> </w:t>
      </w:r>
      <w:r>
        <w:rPr>
          <w:sz w:val="24"/>
        </w:rPr>
        <w:t>aligned</w:t>
      </w:r>
      <w:r>
        <w:rPr>
          <w:spacing w:val="-17"/>
          <w:sz w:val="24"/>
        </w:rPr>
        <w:t> </w:t>
      </w:r>
      <w:r>
        <w:rPr>
          <w:sz w:val="24"/>
        </w:rPr>
        <w:t>with</w:t>
      </w:r>
      <w:r>
        <w:rPr>
          <w:spacing w:val="-16"/>
          <w:sz w:val="24"/>
        </w:rPr>
        <w:t> </w:t>
      </w:r>
      <w:r>
        <w:rPr>
          <w:sz w:val="24"/>
        </w:rPr>
        <w:t>regional</w:t>
      </w:r>
      <w:r>
        <w:rPr>
          <w:spacing w:val="-17"/>
          <w:sz w:val="24"/>
        </w:rPr>
        <w:t> </w:t>
      </w:r>
      <w:r>
        <w:rPr>
          <w:sz w:val="24"/>
        </w:rPr>
        <w:t>priorities,</w:t>
      </w:r>
      <w:r>
        <w:rPr>
          <w:spacing w:val="-17"/>
          <w:sz w:val="24"/>
        </w:rPr>
        <w:t> </w:t>
      </w:r>
      <w:r>
        <w:rPr>
          <w:sz w:val="24"/>
        </w:rPr>
        <w:t>deliver efficiency</w:t>
      </w:r>
      <w:r>
        <w:rPr>
          <w:spacing w:val="-11"/>
          <w:sz w:val="24"/>
        </w:rPr>
        <w:t> </w:t>
      </w:r>
      <w:r>
        <w:rPr>
          <w:sz w:val="24"/>
        </w:rPr>
        <w:t>gains,</w:t>
      </w:r>
      <w:r>
        <w:rPr>
          <w:spacing w:val="-13"/>
          <w:sz w:val="24"/>
        </w:rPr>
        <w:t> </w:t>
      </w:r>
      <w:r>
        <w:rPr>
          <w:sz w:val="24"/>
        </w:rPr>
        <w:t>and</w:t>
      </w:r>
      <w:r>
        <w:rPr>
          <w:spacing w:val="-10"/>
          <w:sz w:val="24"/>
        </w:rPr>
        <w:t> </w:t>
      </w:r>
      <w:r>
        <w:rPr>
          <w:sz w:val="24"/>
        </w:rPr>
        <w:t>positively</w:t>
      </w:r>
      <w:r>
        <w:rPr>
          <w:spacing w:val="-11"/>
          <w:sz w:val="24"/>
        </w:rPr>
        <w:t> </w:t>
      </w:r>
      <w:r>
        <w:rPr>
          <w:sz w:val="24"/>
        </w:rPr>
        <w:t>impact</w:t>
      </w:r>
      <w:r>
        <w:rPr>
          <w:spacing w:val="-13"/>
          <w:sz w:val="24"/>
        </w:rPr>
        <w:t> </w:t>
      </w:r>
      <w:r>
        <w:rPr>
          <w:sz w:val="24"/>
        </w:rPr>
        <w:t>patient</w:t>
      </w:r>
      <w:r>
        <w:rPr>
          <w:spacing w:val="-13"/>
          <w:sz w:val="24"/>
        </w:rPr>
        <w:t> </w:t>
      </w:r>
      <w:r>
        <w:rPr>
          <w:sz w:val="24"/>
        </w:rPr>
        <w:t>services</w:t>
      </w:r>
      <w:r>
        <w:rPr>
          <w:spacing w:val="-11"/>
          <w:sz w:val="24"/>
        </w:rPr>
        <w:t> </w:t>
      </w:r>
      <w:r>
        <w:rPr>
          <w:sz w:val="24"/>
        </w:rPr>
        <w:t>and</w:t>
      </w:r>
      <w:r>
        <w:rPr>
          <w:spacing w:val="-10"/>
          <w:sz w:val="24"/>
        </w:rPr>
        <w:t> </w:t>
      </w:r>
      <w:r>
        <w:rPr>
          <w:sz w:val="24"/>
        </w:rPr>
        <w:t>outcomes.</w:t>
      </w:r>
    </w:p>
    <w:p>
      <w:pPr>
        <w:pStyle w:val="BodyText"/>
        <w:spacing w:before="6"/>
        <w:rPr>
          <w:sz w:val="12"/>
        </w:rPr>
      </w:pPr>
      <w:r>
        <w:rPr>
          <w:sz w:val="12"/>
        </w:rPr>
        <mc:AlternateContent>
          <mc:Choice Requires="wps">
            <w:drawing>
              <wp:anchor distT="0" distB="0" distL="0" distR="0" allowOverlap="1" layoutInCell="1" locked="0" behindDoc="1" simplePos="0" relativeHeight="487663616">
                <wp:simplePos x="0" y="0"/>
                <wp:positionH relativeFrom="page">
                  <wp:posOffset>574992</wp:posOffset>
                </wp:positionH>
                <wp:positionV relativeFrom="paragraph">
                  <wp:posOffset>113606</wp:posOffset>
                </wp:positionV>
                <wp:extent cx="6553200" cy="194310"/>
                <wp:effectExtent l="0" t="0" r="0" b="0"/>
                <wp:wrapTopAndBottom/>
                <wp:docPr id="465" name="Textbox 465"/>
                <wp:cNvGraphicFramePr>
                  <a:graphicFrameLocks/>
                </wp:cNvGraphicFramePr>
                <a:graphic>
                  <a:graphicData uri="http://schemas.microsoft.com/office/word/2010/wordprocessingShape">
                    <wps:wsp>
                      <wps:cNvPr id="465" name="Textbox 465"/>
                      <wps:cNvSpPr txBox="1"/>
                      <wps:spPr>
                        <a:xfrm>
                          <a:off x="0" y="0"/>
                          <a:ext cx="6553200" cy="19431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4</w:t>
                            </w:r>
                            <w:r>
                              <w:rPr>
                                <w:b/>
                                <w:color w:val="000000"/>
                                <w:sz w:val="24"/>
                              </w:rPr>
                              <w:tab/>
                            </w:r>
                            <w:r>
                              <w:rPr>
                                <w:b/>
                                <w:color w:val="000000"/>
                                <w:spacing w:val="-2"/>
                                <w:sz w:val="24"/>
                              </w:rPr>
                              <w:t>Engagement</w:t>
                            </w:r>
                          </w:p>
                        </w:txbxContent>
                      </wps:txbx>
                      <wps:bodyPr wrap="square" lIns="0" tIns="0" rIns="0" bIns="0" rtlCol="0">
                        <a:noAutofit/>
                      </wps:bodyPr>
                    </wps:wsp>
                  </a:graphicData>
                </a:graphic>
              </wp:anchor>
            </w:drawing>
          </mc:Choice>
          <mc:Fallback>
            <w:pict>
              <v:shape style="position:absolute;margin-left:45.275002pt;margin-top:8.945410pt;width:516pt;height:15.3pt;mso-position-horizontal-relative:page;mso-position-vertical-relative:paragraph;z-index:-15652864;mso-wrap-distance-left:0;mso-wrap-distance-right:0" type="#_x0000_t202" id="docshape247"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4</w:t>
                      </w:r>
                      <w:r>
                        <w:rPr>
                          <w:b/>
                          <w:color w:val="000000"/>
                          <w:sz w:val="24"/>
                        </w:rPr>
                        <w:tab/>
                      </w:r>
                      <w:r>
                        <w:rPr>
                          <w:b/>
                          <w:color w:val="000000"/>
                          <w:spacing w:val="-2"/>
                          <w:sz w:val="24"/>
                        </w:rPr>
                        <w:t>Engagement</w:t>
                      </w:r>
                    </w:p>
                  </w:txbxContent>
                </v:textbox>
                <v:fill type="solid"/>
                <v:stroke dashstyle="solid"/>
                <w10:wrap type="topAndBottom"/>
              </v:shape>
            </w:pict>
          </mc:Fallback>
        </mc:AlternateContent>
      </w:r>
    </w:p>
    <w:p>
      <w:pPr>
        <w:pStyle w:val="ListParagraph"/>
        <w:numPr>
          <w:ilvl w:val="1"/>
          <w:numId w:val="50"/>
        </w:numPr>
        <w:tabs>
          <w:tab w:pos="860" w:val="left" w:leader="none"/>
        </w:tabs>
        <w:spacing w:line="275" w:lineRule="exact" w:before="170" w:after="0"/>
        <w:ind w:left="860" w:right="0" w:hanging="718"/>
        <w:jc w:val="both"/>
        <w:rPr>
          <w:sz w:val="24"/>
        </w:rPr>
      </w:pPr>
      <w:r>
        <w:rPr>
          <w:spacing w:val="-2"/>
          <w:sz w:val="24"/>
        </w:rPr>
        <w:t>The</w:t>
      </w:r>
      <w:r>
        <w:rPr>
          <w:spacing w:val="-14"/>
          <w:sz w:val="24"/>
        </w:rPr>
        <w:t> </w:t>
      </w:r>
      <w:r>
        <w:rPr>
          <w:spacing w:val="-2"/>
          <w:sz w:val="24"/>
        </w:rPr>
        <w:t>RCSPS</w:t>
      </w:r>
      <w:r>
        <w:rPr>
          <w:spacing w:val="-11"/>
          <w:sz w:val="24"/>
        </w:rPr>
        <w:t> </w:t>
      </w:r>
      <w:r>
        <w:rPr>
          <w:spacing w:val="-2"/>
          <w:sz w:val="24"/>
        </w:rPr>
        <w:t>will</w:t>
      </w:r>
      <w:r>
        <w:rPr>
          <w:spacing w:val="-11"/>
          <w:sz w:val="24"/>
        </w:rPr>
        <w:t> </w:t>
      </w:r>
      <w:r>
        <w:rPr>
          <w:spacing w:val="-2"/>
          <w:sz w:val="24"/>
        </w:rPr>
        <w:t>take</w:t>
      </w:r>
      <w:r>
        <w:rPr>
          <w:spacing w:val="-10"/>
          <w:sz w:val="24"/>
        </w:rPr>
        <w:t> </w:t>
      </w:r>
      <w:r>
        <w:rPr>
          <w:spacing w:val="-2"/>
          <w:sz w:val="24"/>
        </w:rPr>
        <w:t>a</w:t>
      </w:r>
      <w:r>
        <w:rPr>
          <w:spacing w:val="-11"/>
          <w:sz w:val="24"/>
        </w:rPr>
        <w:t> </w:t>
      </w:r>
      <w:r>
        <w:rPr>
          <w:spacing w:val="-2"/>
          <w:sz w:val="24"/>
        </w:rPr>
        <w:t>‘people</w:t>
      </w:r>
      <w:r>
        <w:rPr>
          <w:spacing w:val="-6"/>
          <w:sz w:val="24"/>
        </w:rPr>
        <w:t> </w:t>
      </w:r>
      <w:r>
        <w:rPr>
          <w:spacing w:val="-2"/>
          <w:sz w:val="24"/>
        </w:rPr>
        <w:t>first'</w:t>
      </w:r>
      <w:r>
        <w:rPr>
          <w:spacing w:val="-12"/>
          <w:sz w:val="24"/>
        </w:rPr>
        <w:t> </w:t>
      </w:r>
      <w:r>
        <w:rPr>
          <w:spacing w:val="-2"/>
          <w:sz w:val="24"/>
        </w:rPr>
        <w:t>approach</w:t>
      </w:r>
      <w:r>
        <w:rPr>
          <w:spacing w:val="-9"/>
          <w:sz w:val="24"/>
        </w:rPr>
        <w:t> </w:t>
      </w:r>
      <w:r>
        <w:rPr>
          <w:spacing w:val="-2"/>
          <w:sz w:val="24"/>
        </w:rPr>
        <w:t>–</w:t>
      </w:r>
      <w:r>
        <w:rPr>
          <w:spacing w:val="-10"/>
          <w:sz w:val="24"/>
        </w:rPr>
        <w:t> </w:t>
      </w:r>
      <w:r>
        <w:rPr>
          <w:spacing w:val="-2"/>
          <w:sz w:val="24"/>
        </w:rPr>
        <w:t>putting</w:t>
      </w:r>
      <w:r>
        <w:rPr>
          <w:spacing w:val="-10"/>
          <w:sz w:val="24"/>
        </w:rPr>
        <w:t> </w:t>
      </w:r>
      <w:r>
        <w:rPr>
          <w:spacing w:val="-2"/>
          <w:sz w:val="24"/>
        </w:rPr>
        <w:t>patients,</w:t>
      </w:r>
      <w:r>
        <w:rPr>
          <w:spacing w:val="-15"/>
          <w:sz w:val="24"/>
        </w:rPr>
        <w:t> </w:t>
      </w:r>
      <w:r>
        <w:rPr>
          <w:spacing w:val="-2"/>
          <w:sz w:val="24"/>
        </w:rPr>
        <w:t>our</w:t>
      </w:r>
      <w:r>
        <w:rPr>
          <w:spacing w:val="-11"/>
          <w:sz w:val="24"/>
        </w:rPr>
        <w:t> </w:t>
      </w:r>
      <w:r>
        <w:rPr>
          <w:spacing w:val="-2"/>
          <w:sz w:val="24"/>
        </w:rPr>
        <w:t>communities</w:t>
      </w:r>
      <w:r>
        <w:rPr>
          <w:spacing w:val="-12"/>
          <w:sz w:val="24"/>
        </w:rPr>
        <w:t> </w:t>
      </w:r>
      <w:r>
        <w:rPr>
          <w:spacing w:val="-2"/>
          <w:sz w:val="24"/>
        </w:rPr>
        <w:t>and</w:t>
      </w:r>
      <w:r>
        <w:rPr>
          <w:spacing w:val="-14"/>
          <w:sz w:val="24"/>
        </w:rPr>
        <w:t> </w:t>
      </w:r>
      <w:r>
        <w:rPr>
          <w:spacing w:val="-5"/>
          <w:sz w:val="24"/>
        </w:rPr>
        <w:t>our</w:t>
      </w:r>
    </w:p>
    <w:p>
      <w:pPr>
        <w:pStyle w:val="BodyText"/>
        <w:spacing w:line="275" w:lineRule="exact"/>
        <w:ind w:left="862"/>
        <w:jc w:val="both"/>
      </w:pPr>
      <w:r>
        <w:rPr>
          <w:spacing w:val="-2"/>
        </w:rPr>
        <w:t>Health</w:t>
      </w:r>
      <w:r>
        <w:rPr>
          <w:spacing w:val="-12"/>
        </w:rPr>
        <w:t> </w:t>
      </w:r>
      <w:r>
        <w:rPr>
          <w:spacing w:val="-2"/>
        </w:rPr>
        <w:t>Boards’</w:t>
      </w:r>
      <w:r>
        <w:rPr>
          <w:spacing w:val="-8"/>
        </w:rPr>
        <w:t> </w:t>
      </w:r>
      <w:r>
        <w:rPr>
          <w:spacing w:val="-2"/>
        </w:rPr>
        <w:t>colleagues</w:t>
      </w:r>
      <w:r>
        <w:rPr>
          <w:spacing w:val="-12"/>
        </w:rPr>
        <w:t> </w:t>
      </w:r>
      <w:r>
        <w:rPr>
          <w:spacing w:val="-2"/>
        </w:rPr>
        <w:t>at</w:t>
      </w:r>
      <w:r>
        <w:rPr>
          <w:spacing w:val="-10"/>
        </w:rPr>
        <w:t> </w:t>
      </w:r>
      <w:r>
        <w:rPr>
          <w:spacing w:val="-2"/>
        </w:rPr>
        <w:t>the</w:t>
      </w:r>
      <w:r>
        <w:rPr>
          <w:spacing w:val="-12"/>
        </w:rPr>
        <w:t> </w:t>
      </w:r>
      <w:r>
        <w:rPr>
          <w:spacing w:val="-2"/>
        </w:rPr>
        <w:t>centre</w:t>
      </w:r>
      <w:r>
        <w:rPr>
          <w:spacing w:val="-12"/>
        </w:rPr>
        <w:t> </w:t>
      </w:r>
      <w:r>
        <w:rPr>
          <w:spacing w:val="-2"/>
        </w:rPr>
        <w:t>of</w:t>
      </w:r>
      <w:r>
        <w:rPr>
          <w:spacing w:val="-15"/>
        </w:rPr>
        <w:t> </w:t>
      </w:r>
      <w:r>
        <w:rPr>
          <w:spacing w:val="-2"/>
        </w:rPr>
        <w:t>our</w:t>
      </w:r>
      <w:r>
        <w:rPr>
          <w:spacing w:val="-12"/>
        </w:rPr>
        <w:t> </w:t>
      </w:r>
      <w:r>
        <w:rPr>
          <w:spacing w:val="-4"/>
        </w:rPr>
        <w:t>work.</w:t>
      </w:r>
    </w:p>
    <w:p>
      <w:pPr>
        <w:pStyle w:val="ListParagraph"/>
        <w:numPr>
          <w:ilvl w:val="1"/>
          <w:numId w:val="50"/>
        </w:numPr>
        <w:tabs>
          <w:tab w:pos="862" w:val="left" w:leader="none"/>
        </w:tabs>
        <w:spacing w:line="242" w:lineRule="auto" w:before="159" w:after="0"/>
        <w:ind w:left="862" w:right="819" w:hanging="720"/>
        <w:jc w:val="left"/>
        <w:rPr>
          <w:sz w:val="24"/>
        </w:rPr>
      </w:pPr>
      <w:r>
        <w:rPr>
          <w:spacing w:val="-2"/>
          <w:sz w:val="24"/>
        </w:rPr>
        <w:t>The</w:t>
      </w:r>
      <w:r>
        <w:rPr>
          <w:spacing w:val="-15"/>
          <w:sz w:val="24"/>
        </w:rPr>
        <w:t> </w:t>
      </w:r>
      <w:r>
        <w:rPr>
          <w:spacing w:val="-2"/>
          <w:sz w:val="24"/>
        </w:rPr>
        <w:t>RCSPS</w:t>
      </w:r>
      <w:r>
        <w:rPr>
          <w:spacing w:val="-12"/>
          <w:sz w:val="24"/>
        </w:rPr>
        <w:t> </w:t>
      </w:r>
      <w:r>
        <w:rPr>
          <w:spacing w:val="-2"/>
          <w:sz w:val="24"/>
        </w:rPr>
        <w:t>will,</w:t>
      </w:r>
      <w:r>
        <w:rPr>
          <w:spacing w:val="-14"/>
          <w:sz w:val="24"/>
        </w:rPr>
        <w:t> </w:t>
      </w:r>
      <w:r>
        <w:rPr>
          <w:spacing w:val="-2"/>
          <w:sz w:val="24"/>
        </w:rPr>
        <w:t>in</w:t>
      </w:r>
      <w:r>
        <w:rPr>
          <w:spacing w:val="-11"/>
          <w:sz w:val="24"/>
        </w:rPr>
        <w:t> </w:t>
      </w:r>
      <w:r>
        <w:rPr>
          <w:spacing w:val="-2"/>
          <w:sz w:val="24"/>
        </w:rPr>
        <w:t>respect</w:t>
      </w:r>
      <w:r>
        <w:rPr>
          <w:spacing w:val="-15"/>
          <w:sz w:val="24"/>
        </w:rPr>
        <w:t> </w:t>
      </w:r>
      <w:r>
        <w:rPr>
          <w:spacing w:val="-2"/>
          <w:sz w:val="24"/>
        </w:rPr>
        <w:t>of</w:t>
      </w:r>
      <w:r>
        <w:rPr>
          <w:spacing w:val="-9"/>
          <w:sz w:val="24"/>
        </w:rPr>
        <w:t> </w:t>
      </w:r>
      <w:r>
        <w:rPr>
          <w:spacing w:val="-2"/>
          <w:sz w:val="24"/>
        </w:rPr>
        <w:t>the</w:t>
      </w:r>
      <w:r>
        <w:rPr>
          <w:spacing w:val="-11"/>
          <w:sz w:val="24"/>
        </w:rPr>
        <w:t> </w:t>
      </w:r>
      <w:r>
        <w:rPr>
          <w:spacing w:val="-2"/>
          <w:sz w:val="24"/>
        </w:rPr>
        <w:t>joint</w:t>
      </w:r>
      <w:r>
        <w:rPr>
          <w:spacing w:val="-15"/>
          <w:sz w:val="24"/>
        </w:rPr>
        <w:t> </w:t>
      </w:r>
      <w:r>
        <w:rPr>
          <w:spacing w:val="-2"/>
          <w:sz w:val="24"/>
        </w:rPr>
        <w:t>projects,</w:t>
      </w:r>
      <w:r>
        <w:rPr>
          <w:spacing w:val="-13"/>
          <w:sz w:val="24"/>
        </w:rPr>
        <w:t> </w:t>
      </w:r>
      <w:r>
        <w:rPr>
          <w:spacing w:val="-2"/>
          <w:sz w:val="24"/>
        </w:rPr>
        <w:t>initiatives</w:t>
      </w:r>
      <w:r>
        <w:rPr>
          <w:spacing w:val="-12"/>
          <w:sz w:val="24"/>
        </w:rPr>
        <w:t> </w:t>
      </w:r>
      <w:r>
        <w:rPr>
          <w:spacing w:val="-2"/>
          <w:sz w:val="24"/>
        </w:rPr>
        <w:t>or</w:t>
      </w:r>
      <w:r>
        <w:rPr>
          <w:spacing w:val="-12"/>
          <w:sz w:val="24"/>
        </w:rPr>
        <w:t> </w:t>
      </w:r>
      <w:r>
        <w:rPr>
          <w:spacing w:val="-2"/>
          <w:sz w:val="24"/>
        </w:rPr>
        <w:t>developments,</w:t>
      </w:r>
      <w:r>
        <w:rPr>
          <w:spacing w:val="-14"/>
          <w:sz w:val="24"/>
        </w:rPr>
        <w:t> </w:t>
      </w:r>
      <w:r>
        <w:rPr>
          <w:spacing w:val="-2"/>
          <w:sz w:val="24"/>
        </w:rPr>
        <w:t>consider</w:t>
      </w:r>
      <w:r>
        <w:rPr>
          <w:spacing w:val="-7"/>
          <w:sz w:val="24"/>
        </w:rPr>
        <w:t> </w:t>
      </w:r>
      <w:r>
        <w:rPr>
          <w:spacing w:val="-2"/>
          <w:sz w:val="24"/>
        </w:rPr>
        <w:t>the </w:t>
      </w:r>
      <w:r>
        <w:rPr>
          <w:sz w:val="24"/>
        </w:rPr>
        <w:t>patient,</w:t>
      </w:r>
      <w:r>
        <w:rPr>
          <w:spacing w:val="-17"/>
          <w:sz w:val="24"/>
        </w:rPr>
        <w:t> </w:t>
      </w:r>
      <w:r>
        <w:rPr>
          <w:sz w:val="24"/>
        </w:rPr>
        <w:t>public</w:t>
      </w:r>
      <w:r>
        <w:rPr>
          <w:spacing w:val="-16"/>
          <w:sz w:val="24"/>
        </w:rPr>
        <w:t> </w:t>
      </w:r>
      <w:r>
        <w:rPr>
          <w:sz w:val="24"/>
        </w:rPr>
        <w:t>and</w:t>
      </w:r>
      <w:r>
        <w:rPr>
          <w:spacing w:val="-12"/>
          <w:sz w:val="24"/>
        </w:rPr>
        <w:t> </w:t>
      </w:r>
      <w:r>
        <w:rPr>
          <w:sz w:val="24"/>
        </w:rPr>
        <w:t>stakeholder</w:t>
      </w:r>
      <w:r>
        <w:rPr>
          <w:spacing w:val="-17"/>
          <w:sz w:val="24"/>
        </w:rPr>
        <w:t> </w:t>
      </w:r>
      <w:r>
        <w:rPr>
          <w:sz w:val="24"/>
        </w:rPr>
        <w:t>engagement</w:t>
      </w:r>
      <w:r>
        <w:rPr>
          <w:spacing w:val="-15"/>
          <w:sz w:val="24"/>
        </w:rPr>
        <w:t> </w:t>
      </w:r>
      <w:r>
        <w:rPr>
          <w:sz w:val="24"/>
        </w:rPr>
        <w:t>requirements,</w:t>
      </w:r>
      <w:r>
        <w:rPr>
          <w:spacing w:val="-15"/>
          <w:sz w:val="24"/>
        </w:rPr>
        <w:t> </w:t>
      </w:r>
      <w:r>
        <w:rPr>
          <w:sz w:val="24"/>
        </w:rPr>
        <w:t>and</w:t>
      </w:r>
      <w:r>
        <w:rPr>
          <w:spacing w:val="-13"/>
          <w:sz w:val="24"/>
        </w:rPr>
        <w:t> </w:t>
      </w:r>
      <w:r>
        <w:rPr>
          <w:sz w:val="24"/>
        </w:rPr>
        <w:t>provide</w:t>
      </w:r>
      <w:r>
        <w:rPr>
          <w:spacing w:val="-13"/>
          <w:sz w:val="24"/>
        </w:rPr>
        <w:t> </w:t>
      </w:r>
      <w:r>
        <w:rPr>
          <w:sz w:val="24"/>
        </w:rPr>
        <w:t>assurance</w:t>
      </w:r>
      <w:r>
        <w:rPr>
          <w:spacing w:val="-13"/>
          <w:sz w:val="24"/>
        </w:rPr>
        <w:t> </w:t>
      </w:r>
      <w:r>
        <w:rPr>
          <w:sz w:val="24"/>
        </w:rPr>
        <w:t>and advice</w:t>
      </w:r>
      <w:r>
        <w:rPr>
          <w:spacing w:val="-10"/>
          <w:sz w:val="24"/>
        </w:rPr>
        <w:t> </w:t>
      </w:r>
      <w:r>
        <w:rPr>
          <w:sz w:val="24"/>
        </w:rPr>
        <w:t>to</w:t>
      </w:r>
      <w:r>
        <w:rPr>
          <w:spacing w:val="-14"/>
          <w:sz w:val="24"/>
        </w:rPr>
        <w:t> </w:t>
      </w:r>
      <w:r>
        <w:rPr>
          <w:sz w:val="24"/>
        </w:rPr>
        <w:t>the</w:t>
      </w:r>
      <w:r>
        <w:rPr>
          <w:spacing w:val="-10"/>
          <w:sz w:val="24"/>
        </w:rPr>
        <w:t> </w:t>
      </w:r>
      <w:r>
        <w:rPr>
          <w:sz w:val="24"/>
        </w:rPr>
        <w:t>respective</w:t>
      </w:r>
      <w:r>
        <w:rPr>
          <w:spacing w:val="-14"/>
          <w:sz w:val="24"/>
        </w:rPr>
        <w:t> </w:t>
      </w:r>
      <w:r>
        <w:rPr>
          <w:sz w:val="24"/>
        </w:rPr>
        <w:t>Health</w:t>
      </w:r>
      <w:r>
        <w:rPr>
          <w:spacing w:val="-14"/>
          <w:sz w:val="24"/>
        </w:rPr>
        <w:t> </w:t>
      </w:r>
      <w:r>
        <w:rPr>
          <w:sz w:val="24"/>
        </w:rPr>
        <w:t>Boards</w:t>
      </w:r>
      <w:r>
        <w:rPr>
          <w:spacing w:val="-15"/>
          <w:sz w:val="24"/>
        </w:rPr>
        <w:t> </w:t>
      </w:r>
      <w:r>
        <w:rPr>
          <w:sz w:val="24"/>
        </w:rPr>
        <w:t>on</w:t>
      </w:r>
      <w:r>
        <w:rPr>
          <w:spacing w:val="-14"/>
          <w:sz w:val="24"/>
        </w:rPr>
        <w:t> </w:t>
      </w:r>
      <w:r>
        <w:rPr>
          <w:sz w:val="24"/>
        </w:rPr>
        <w:t>engagement</w:t>
      </w:r>
      <w:r>
        <w:rPr>
          <w:spacing w:val="-17"/>
          <w:sz w:val="24"/>
        </w:rPr>
        <w:t> </w:t>
      </w:r>
      <w:r>
        <w:rPr>
          <w:sz w:val="24"/>
        </w:rPr>
        <w:t>and</w:t>
      </w:r>
      <w:r>
        <w:rPr>
          <w:spacing w:val="-10"/>
          <w:sz w:val="24"/>
        </w:rPr>
        <w:t> </w:t>
      </w:r>
      <w:r>
        <w:rPr>
          <w:sz w:val="24"/>
        </w:rPr>
        <w:t>communication</w:t>
      </w:r>
      <w:r>
        <w:rPr>
          <w:spacing w:val="-14"/>
          <w:sz w:val="24"/>
        </w:rPr>
        <w:t> </w:t>
      </w:r>
      <w:r>
        <w:rPr>
          <w:sz w:val="24"/>
        </w:rPr>
        <w:t>activities.</w:t>
      </w:r>
    </w:p>
    <w:p>
      <w:pPr>
        <w:pStyle w:val="ListParagraph"/>
        <w:numPr>
          <w:ilvl w:val="1"/>
          <w:numId w:val="50"/>
        </w:numPr>
        <w:tabs>
          <w:tab w:pos="862" w:val="left" w:leader="none"/>
        </w:tabs>
        <w:spacing w:line="240" w:lineRule="auto" w:before="154" w:after="0"/>
        <w:ind w:left="862" w:right="710" w:hanging="720"/>
        <w:jc w:val="left"/>
        <w:rPr>
          <w:sz w:val="24"/>
        </w:rPr>
      </w:pPr>
      <w:r>
        <w:rPr>
          <w:sz w:val="24"/>
        </w:rPr>
        <w:t>Promote</w:t>
      </w:r>
      <w:r>
        <w:rPr>
          <w:spacing w:val="-9"/>
          <w:sz w:val="24"/>
        </w:rPr>
        <w:t> </w:t>
      </w:r>
      <w:r>
        <w:rPr>
          <w:sz w:val="24"/>
        </w:rPr>
        <w:t>patient</w:t>
      </w:r>
      <w:r>
        <w:rPr>
          <w:spacing w:val="-12"/>
          <w:sz w:val="24"/>
        </w:rPr>
        <w:t> </w:t>
      </w:r>
      <w:r>
        <w:rPr>
          <w:sz w:val="24"/>
        </w:rPr>
        <w:t>and</w:t>
      </w:r>
      <w:r>
        <w:rPr>
          <w:spacing w:val="-9"/>
          <w:sz w:val="24"/>
        </w:rPr>
        <w:t> </w:t>
      </w:r>
      <w:r>
        <w:rPr>
          <w:sz w:val="24"/>
        </w:rPr>
        <w:t>public</w:t>
      </w:r>
      <w:r>
        <w:rPr>
          <w:spacing w:val="-10"/>
          <w:sz w:val="24"/>
        </w:rPr>
        <w:t> </w:t>
      </w:r>
      <w:r>
        <w:rPr>
          <w:sz w:val="24"/>
        </w:rPr>
        <w:t>engagement</w:t>
      </w:r>
      <w:r>
        <w:rPr>
          <w:spacing w:val="-12"/>
          <w:sz w:val="24"/>
        </w:rPr>
        <w:t> </w:t>
      </w:r>
      <w:r>
        <w:rPr>
          <w:sz w:val="24"/>
        </w:rPr>
        <w:t>in</w:t>
      </w:r>
      <w:r>
        <w:rPr>
          <w:spacing w:val="-9"/>
          <w:sz w:val="24"/>
        </w:rPr>
        <w:t> </w:t>
      </w:r>
      <w:r>
        <w:rPr>
          <w:sz w:val="24"/>
        </w:rPr>
        <w:t>the</w:t>
      </w:r>
      <w:r>
        <w:rPr>
          <w:spacing w:val="-9"/>
          <w:sz w:val="24"/>
        </w:rPr>
        <w:t> </w:t>
      </w:r>
      <w:r>
        <w:rPr>
          <w:sz w:val="24"/>
        </w:rPr>
        <w:t>review</w:t>
      </w:r>
      <w:r>
        <w:rPr>
          <w:spacing w:val="-14"/>
          <w:sz w:val="24"/>
        </w:rPr>
        <w:t> </w:t>
      </w:r>
      <w:r>
        <w:rPr>
          <w:sz w:val="24"/>
        </w:rPr>
        <w:t>and</w:t>
      </w:r>
      <w:r>
        <w:rPr>
          <w:spacing w:val="-9"/>
          <w:sz w:val="24"/>
        </w:rPr>
        <w:t> </w:t>
      </w:r>
      <w:r>
        <w:rPr>
          <w:sz w:val="24"/>
        </w:rPr>
        <w:t>redesign</w:t>
      </w:r>
      <w:r>
        <w:rPr>
          <w:spacing w:val="-9"/>
          <w:sz w:val="24"/>
        </w:rPr>
        <w:t> </w:t>
      </w:r>
      <w:r>
        <w:rPr>
          <w:sz w:val="24"/>
        </w:rPr>
        <w:t>of</w:t>
      </w:r>
      <w:r>
        <w:rPr>
          <w:spacing w:val="-12"/>
          <w:sz w:val="24"/>
        </w:rPr>
        <w:t> </w:t>
      </w:r>
      <w:r>
        <w:rPr>
          <w:sz w:val="24"/>
        </w:rPr>
        <w:t>NHS</w:t>
      </w:r>
      <w:r>
        <w:rPr>
          <w:spacing w:val="-10"/>
          <w:sz w:val="24"/>
        </w:rPr>
        <w:t> </w:t>
      </w:r>
      <w:r>
        <w:rPr>
          <w:sz w:val="24"/>
        </w:rPr>
        <w:t>services </w:t>
      </w:r>
      <w:r>
        <w:rPr>
          <w:spacing w:val="-2"/>
          <w:sz w:val="24"/>
        </w:rPr>
        <w:t>ensuring</w:t>
      </w:r>
      <w:r>
        <w:rPr>
          <w:spacing w:val="-10"/>
          <w:sz w:val="24"/>
        </w:rPr>
        <w:t> </w:t>
      </w:r>
      <w:r>
        <w:rPr>
          <w:spacing w:val="-2"/>
          <w:sz w:val="24"/>
        </w:rPr>
        <w:t>that</w:t>
      </w:r>
      <w:r>
        <w:rPr>
          <w:spacing w:val="-15"/>
          <w:sz w:val="24"/>
        </w:rPr>
        <w:t> </w:t>
      </w:r>
      <w:r>
        <w:rPr>
          <w:spacing w:val="-2"/>
          <w:sz w:val="24"/>
        </w:rPr>
        <w:t>the</w:t>
      </w:r>
      <w:r>
        <w:rPr>
          <w:spacing w:val="-11"/>
          <w:sz w:val="24"/>
        </w:rPr>
        <w:t> </w:t>
      </w:r>
      <w:r>
        <w:rPr>
          <w:spacing w:val="-2"/>
          <w:sz w:val="24"/>
        </w:rPr>
        <w:t>RCSPS</w:t>
      </w:r>
      <w:r>
        <w:rPr>
          <w:spacing w:val="-13"/>
          <w:sz w:val="24"/>
        </w:rPr>
        <w:t> </w:t>
      </w:r>
      <w:r>
        <w:rPr>
          <w:spacing w:val="-2"/>
          <w:sz w:val="24"/>
        </w:rPr>
        <w:t>can</w:t>
      </w:r>
      <w:r>
        <w:rPr>
          <w:spacing w:val="-12"/>
          <w:sz w:val="24"/>
        </w:rPr>
        <w:t> </w:t>
      </w:r>
      <w:r>
        <w:rPr>
          <w:spacing w:val="-2"/>
          <w:sz w:val="24"/>
        </w:rPr>
        <w:t>evidence</w:t>
      </w:r>
      <w:r>
        <w:rPr>
          <w:spacing w:val="-12"/>
          <w:sz w:val="24"/>
        </w:rPr>
        <w:t> </w:t>
      </w:r>
      <w:r>
        <w:rPr>
          <w:spacing w:val="-2"/>
          <w:sz w:val="24"/>
        </w:rPr>
        <w:t>where</w:t>
      </w:r>
      <w:r>
        <w:rPr>
          <w:spacing w:val="-12"/>
          <w:sz w:val="24"/>
        </w:rPr>
        <w:t> </w:t>
      </w:r>
      <w:r>
        <w:rPr>
          <w:spacing w:val="-2"/>
          <w:sz w:val="24"/>
        </w:rPr>
        <w:t>patient</w:t>
      </w:r>
      <w:r>
        <w:rPr>
          <w:spacing w:val="-15"/>
          <w:sz w:val="24"/>
        </w:rPr>
        <w:t> </w:t>
      </w:r>
      <w:r>
        <w:rPr>
          <w:spacing w:val="-2"/>
          <w:sz w:val="24"/>
        </w:rPr>
        <w:t>experience</w:t>
      </w:r>
      <w:r>
        <w:rPr>
          <w:spacing w:val="-12"/>
          <w:sz w:val="24"/>
        </w:rPr>
        <w:t> </w:t>
      </w:r>
      <w:r>
        <w:rPr>
          <w:spacing w:val="-2"/>
          <w:sz w:val="24"/>
        </w:rPr>
        <w:t>has</w:t>
      </w:r>
      <w:r>
        <w:rPr>
          <w:spacing w:val="-15"/>
          <w:sz w:val="24"/>
        </w:rPr>
        <w:t> </w:t>
      </w:r>
      <w:r>
        <w:rPr>
          <w:spacing w:val="-2"/>
          <w:sz w:val="24"/>
        </w:rPr>
        <w:t>influenced</w:t>
      </w:r>
      <w:r>
        <w:rPr>
          <w:spacing w:val="-12"/>
          <w:sz w:val="24"/>
        </w:rPr>
        <w:t> </w:t>
      </w:r>
      <w:r>
        <w:rPr>
          <w:spacing w:val="-2"/>
          <w:sz w:val="24"/>
        </w:rPr>
        <w:t>change.</w:t>
      </w:r>
    </w:p>
    <w:p>
      <w:pPr>
        <w:pStyle w:val="ListParagraph"/>
        <w:numPr>
          <w:ilvl w:val="1"/>
          <w:numId w:val="50"/>
        </w:numPr>
        <w:tabs>
          <w:tab w:pos="862" w:val="left" w:leader="none"/>
        </w:tabs>
        <w:spacing w:line="242" w:lineRule="auto" w:before="158" w:after="0"/>
        <w:ind w:left="862" w:right="785" w:hanging="720"/>
        <w:jc w:val="left"/>
        <w:rPr>
          <w:sz w:val="24"/>
        </w:rPr>
      </w:pPr>
      <w:r>
        <w:rPr>
          <w:sz w:val="24"/>
        </w:rPr>
        <w:t>The</w:t>
      </w:r>
      <w:r>
        <w:rPr>
          <w:spacing w:val="-10"/>
          <w:sz w:val="24"/>
        </w:rPr>
        <w:t> </w:t>
      </w:r>
      <w:r>
        <w:rPr>
          <w:sz w:val="24"/>
        </w:rPr>
        <w:t>RCSPS</w:t>
      </w:r>
      <w:r>
        <w:rPr>
          <w:spacing w:val="-12"/>
          <w:sz w:val="24"/>
        </w:rPr>
        <w:t> </w:t>
      </w:r>
      <w:r>
        <w:rPr>
          <w:sz w:val="24"/>
        </w:rPr>
        <w:t>will</w:t>
      </w:r>
      <w:r>
        <w:rPr>
          <w:spacing w:val="-11"/>
          <w:sz w:val="24"/>
        </w:rPr>
        <w:t> </w:t>
      </w:r>
      <w:r>
        <w:rPr>
          <w:sz w:val="24"/>
        </w:rPr>
        <w:t>ensure</w:t>
      </w:r>
      <w:r>
        <w:rPr>
          <w:spacing w:val="-11"/>
          <w:sz w:val="24"/>
        </w:rPr>
        <w:t> </w:t>
      </w:r>
      <w:r>
        <w:rPr>
          <w:sz w:val="24"/>
        </w:rPr>
        <w:t>team</w:t>
      </w:r>
      <w:r>
        <w:rPr>
          <w:spacing w:val="-12"/>
          <w:sz w:val="24"/>
        </w:rPr>
        <w:t> </w:t>
      </w:r>
      <w:r>
        <w:rPr>
          <w:sz w:val="24"/>
        </w:rPr>
        <w:t>colleagues</w:t>
      </w:r>
      <w:r>
        <w:rPr>
          <w:spacing w:val="-12"/>
          <w:sz w:val="24"/>
        </w:rPr>
        <w:t> </w:t>
      </w:r>
      <w:r>
        <w:rPr>
          <w:sz w:val="24"/>
        </w:rPr>
        <w:t>are</w:t>
      </w:r>
      <w:r>
        <w:rPr>
          <w:spacing w:val="-11"/>
          <w:sz w:val="24"/>
        </w:rPr>
        <w:t> </w:t>
      </w:r>
      <w:r>
        <w:rPr>
          <w:sz w:val="24"/>
        </w:rPr>
        <w:t>fully</w:t>
      </w:r>
      <w:r>
        <w:rPr>
          <w:spacing w:val="-12"/>
          <w:sz w:val="24"/>
        </w:rPr>
        <w:t> </w:t>
      </w:r>
      <w:r>
        <w:rPr>
          <w:sz w:val="24"/>
        </w:rPr>
        <w:t>engaged,</w:t>
      </w:r>
      <w:r>
        <w:rPr>
          <w:spacing w:val="-14"/>
          <w:sz w:val="24"/>
        </w:rPr>
        <w:t> </w:t>
      </w:r>
      <w:r>
        <w:rPr>
          <w:sz w:val="24"/>
        </w:rPr>
        <w:t>and</w:t>
      </w:r>
      <w:r>
        <w:rPr>
          <w:spacing w:val="-11"/>
          <w:sz w:val="24"/>
        </w:rPr>
        <w:t> </w:t>
      </w:r>
      <w:r>
        <w:rPr>
          <w:sz w:val="24"/>
        </w:rPr>
        <w:t>our</w:t>
      </w:r>
      <w:r>
        <w:rPr>
          <w:spacing w:val="-7"/>
          <w:sz w:val="24"/>
        </w:rPr>
        <w:t> </w:t>
      </w:r>
      <w:r>
        <w:rPr>
          <w:sz w:val="24"/>
        </w:rPr>
        <w:t>clinical</w:t>
      </w:r>
      <w:r>
        <w:rPr>
          <w:spacing w:val="-6"/>
          <w:sz w:val="24"/>
        </w:rPr>
        <w:t> </w:t>
      </w:r>
      <w:r>
        <w:rPr>
          <w:sz w:val="24"/>
        </w:rPr>
        <w:t>service </w:t>
      </w:r>
      <w:r>
        <w:rPr>
          <w:spacing w:val="-2"/>
          <w:sz w:val="24"/>
        </w:rPr>
        <w:t>redesign</w:t>
      </w:r>
      <w:r>
        <w:rPr>
          <w:spacing w:val="-14"/>
          <w:sz w:val="24"/>
        </w:rPr>
        <w:t> </w:t>
      </w:r>
      <w:r>
        <w:rPr>
          <w:spacing w:val="-2"/>
          <w:sz w:val="24"/>
        </w:rPr>
        <w:t>work</w:t>
      </w:r>
      <w:r>
        <w:rPr>
          <w:spacing w:val="-13"/>
          <w:sz w:val="24"/>
        </w:rPr>
        <w:t> </w:t>
      </w:r>
      <w:r>
        <w:rPr>
          <w:spacing w:val="-2"/>
          <w:sz w:val="24"/>
        </w:rPr>
        <w:t>is</w:t>
      </w:r>
      <w:r>
        <w:rPr>
          <w:spacing w:val="-13"/>
          <w:sz w:val="24"/>
        </w:rPr>
        <w:t> </w:t>
      </w:r>
      <w:r>
        <w:rPr>
          <w:spacing w:val="-2"/>
          <w:sz w:val="24"/>
        </w:rPr>
        <w:t>clinically</w:t>
      </w:r>
      <w:r>
        <w:rPr>
          <w:spacing w:val="-15"/>
          <w:sz w:val="24"/>
        </w:rPr>
        <w:t> </w:t>
      </w:r>
      <w:r>
        <w:rPr>
          <w:spacing w:val="-2"/>
          <w:sz w:val="24"/>
        </w:rPr>
        <w:t>led,</w:t>
      </w:r>
      <w:r>
        <w:rPr>
          <w:spacing w:val="-14"/>
          <w:sz w:val="24"/>
        </w:rPr>
        <w:t> </w:t>
      </w:r>
      <w:r>
        <w:rPr>
          <w:spacing w:val="-2"/>
          <w:sz w:val="24"/>
        </w:rPr>
        <w:t>with</w:t>
      </w:r>
      <w:r>
        <w:rPr>
          <w:spacing w:val="-12"/>
          <w:sz w:val="24"/>
        </w:rPr>
        <w:t> </w:t>
      </w:r>
      <w:r>
        <w:rPr>
          <w:spacing w:val="-2"/>
          <w:sz w:val="24"/>
        </w:rPr>
        <w:t>a</w:t>
      </w:r>
      <w:r>
        <w:rPr>
          <w:spacing w:val="-12"/>
          <w:sz w:val="24"/>
        </w:rPr>
        <w:t> </w:t>
      </w:r>
      <w:r>
        <w:rPr>
          <w:spacing w:val="-2"/>
          <w:sz w:val="24"/>
        </w:rPr>
        <w:t>multi-disciplinary</w:t>
      </w:r>
      <w:r>
        <w:rPr>
          <w:spacing w:val="-13"/>
          <w:sz w:val="24"/>
        </w:rPr>
        <w:t> </w:t>
      </w:r>
      <w:r>
        <w:rPr>
          <w:spacing w:val="-2"/>
          <w:sz w:val="24"/>
        </w:rPr>
        <w:t>approach,</w:t>
      </w:r>
      <w:r>
        <w:rPr>
          <w:spacing w:val="-15"/>
          <w:sz w:val="24"/>
        </w:rPr>
        <w:t> </w:t>
      </w:r>
      <w:r>
        <w:rPr>
          <w:spacing w:val="-2"/>
          <w:sz w:val="24"/>
        </w:rPr>
        <w:t>based</w:t>
      </w:r>
      <w:r>
        <w:rPr>
          <w:spacing w:val="-12"/>
          <w:sz w:val="24"/>
        </w:rPr>
        <w:t> </w:t>
      </w:r>
      <w:r>
        <w:rPr>
          <w:spacing w:val="-2"/>
          <w:sz w:val="24"/>
        </w:rPr>
        <w:t>on</w:t>
      </w:r>
      <w:r>
        <w:rPr>
          <w:spacing w:val="-12"/>
          <w:sz w:val="24"/>
        </w:rPr>
        <w:t> </w:t>
      </w:r>
      <w:r>
        <w:rPr>
          <w:spacing w:val="-2"/>
          <w:sz w:val="24"/>
        </w:rPr>
        <w:t>co-production </w:t>
      </w:r>
      <w:r>
        <w:rPr>
          <w:sz w:val="24"/>
        </w:rPr>
        <w:t>and organisational development principles.</w:t>
      </w:r>
    </w:p>
    <w:p>
      <w:pPr>
        <w:pStyle w:val="BodyText"/>
        <w:spacing w:before="1"/>
        <w:rPr>
          <w:sz w:val="16"/>
        </w:rPr>
      </w:pPr>
      <w:r>
        <w:rPr>
          <w:sz w:val="16"/>
        </w:rPr>
        <mc:AlternateContent>
          <mc:Choice Requires="wps">
            <w:drawing>
              <wp:anchor distT="0" distB="0" distL="0" distR="0" allowOverlap="1" layoutInCell="1" locked="0" behindDoc="1" simplePos="0" relativeHeight="487664128">
                <wp:simplePos x="0" y="0"/>
                <wp:positionH relativeFrom="page">
                  <wp:posOffset>574992</wp:posOffset>
                </wp:positionH>
                <wp:positionV relativeFrom="paragraph">
                  <wp:posOffset>139352</wp:posOffset>
                </wp:positionV>
                <wp:extent cx="6553200" cy="193675"/>
                <wp:effectExtent l="0" t="0" r="0" b="0"/>
                <wp:wrapTopAndBottom/>
                <wp:docPr id="466" name="Textbox 466"/>
                <wp:cNvGraphicFramePr>
                  <a:graphicFrameLocks/>
                </wp:cNvGraphicFramePr>
                <a:graphic>
                  <a:graphicData uri="http://schemas.microsoft.com/office/word/2010/wordprocessingShape">
                    <wps:wsp>
                      <wps:cNvPr id="466" name="Textbox 466"/>
                      <wps:cNvSpPr txBox="1"/>
                      <wps:spPr>
                        <a:xfrm>
                          <a:off x="0" y="0"/>
                          <a:ext cx="65532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5</w:t>
                            </w:r>
                            <w:r>
                              <w:rPr>
                                <w:b/>
                                <w:color w:val="000000"/>
                                <w:sz w:val="24"/>
                              </w:rPr>
                              <w:tab/>
                            </w:r>
                            <w:r>
                              <w:rPr>
                                <w:b/>
                                <w:color w:val="000000"/>
                                <w:spacing w:val="-2"/>
                                <w:sz w:val="24"/>
                              </w:rPr>
                              <w:t>Governance</w:t>
                            </w:r>
                          </w:p>
                        </w:txbxContent>
                      </wps:txbx>
                      <wps:bodyPr wrap="square" lIns="0" tIns="0" rIns="0" bIns="0" rtlCol="0">
                        <a:noAutofit/>
                      </wps:bodyPr>
                    </wps:wsp>
                  </a:graphicData>
                </a:graphic>
              </wp:anchor>
            </w:drawing>
          </mc:Choice>
          <mc:Fallback>
            <w:pict>
              <v:shape style="position:absolute;margin-left:45.275002pt;margin-top:10.972617pt;width:516pt;height:15.25pt;mso-position-horizontal-relative:page;mso-position-vertical-relative:paragraph;z-index:-15652352;mso-wrap-distance-left:0;mso-wrap-distance-right:0" type="#_x0000_t202" id="docshape248"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5</w:t>
                      </w:r>
                      <w:r>
                        <w:rPr>
                          <w:b/>
                          <w:color w:val="000000"/>
                          <w:sz w:val="24"/>
                        </w:rPr>
                        <w:tab/>
                      </w:r>
                      <w:r>
                        <w:rPr>
                          <w:b/>
                          <w:color w:val="000000"/>
                          <w:spacing w:val="-2"/>
                          <w:sz w:val="24"/>
                        </w:rPr>
                        <w:t>Governance</w:t>
                      </w:r>
                    </w:p>
                  </w:txbxContent>
                </v:textbox>
                <v:fill type="solid"/>
                <v:stroke dashstyle="solid"/>
                <w10:wrap type="topAndBottom"/>
              </v:shape>
            </w:pict>
          </mc:Fallback>
        </mc:AlternateContent>
      </w:r>
    </w:p>
    <w:p>
      <w:pPr>
        <w:pStyle w:val="ListParagraph"/>
        <w:numPr>
          <w:ilvl w:val="1"/>
          <w:numId w:val="51"/>
        </w:numPr>
        <w:tabs>
          <w:tab w:pos="862" w:val="left" w:leader="none"/>
        </w:tabs>
        <w:spacing w:line="240" w:lineRule="auto" w:before="170" w:after="0"/>
        <w:ind w:left="862" w:right="463" w:hanging="720"/>
        <w:jc w:val="left"/>
        <w:rPr>
          <w:sz w:val="24"/>
        </w:rPr>
      </w:pPr>
      <w:r>
        <w:rPr>
          <w:spacing w:val="-2"/>
          <w:sz w:val="24"/>
        </w:rPr>
        <w:t>The</w:t>
      </w:r>
      <w:r>
        <w:rPr>
          <w:spacing w:val="-12"/>
          <w:sz w:val="24"/>
        </w:rPr>
        <w:t> </w:t>
      </w:r>
      <w:r>
        <w:rPr>
          <w:spacing w:val="-2"/>
          <w:sz w:val="24"/>
        </w:rPr>
        <w:t>RCSPS</w:t>
      </w:r>
      <w:r>
        <w:rPr>
          <w:spacing w:val="-13"/>
          <w:sz w:val="24"/>
        </w:rPr>
        <w:t> </w:t>
      </w:r>
      <w:r>
        <w:rPr>
          <w:spacing w:val="-2"/>
          <w:sz w:val="24"/>
        </w:rPr>
        <w:t>will</w:t>
      </w:r>
      <w:r>
        <w:rPr>
          <w:spacing w:val="-13"/>
          <w:sz w:val="24"/>
        </w:rPr>
        <w:t> </w:t>
      </w:r>
      <w:r>
        <w:rPr>
          <w:spacing w:val="-2"/>
          <w:sz w:val="24"/>
        </w:rPr>
        <w:t>operate</w:t>
      </w:r>
      <w:r>
        <w:rPr>
          <w:spacing w:val="-13"/>
          <w:sz w:val="24"/>
        </w:rPr>
        <w:t> </w:t>
      </w:r>
      <w:r>
        <w:rPr>
          <w:spacing w:val="-2"/>
          <w:sz w:val="24"/>
        </w:rPr>
        <w:t>in</w:t>
      </w:r>
      <w:r>
        <w:rPr>
          <w:spacing w:val="-13"/>
          <w:sz w:val="24"/>
        </w:rPr>
        <w:t> </w:t>
      </w:r>
      <w:r>
        <w:rPr>
          <w:spacing w:val="-2"/>
          <w:sz w:val="24"/>
        </w:rPr>
        <w:t>accordance</w:t>
      </w:r>
      <w:r>
        <w:rPr>
          <w:spacing w:val="-13"/>
          <w:sz w:val="24"/>
        </w:rPr>
        <w:t> </w:t>
      </w:r>
      <w:r>
        <w:rPr>
          <w:spacing w:val="-2"/>
          <w:sz w:val="24"/>
        </w:rPr>
        <w:t>with</w:t>
      </w:r>
      <w:r>
        <w:rPr>
          <w:spacing w:val="-13"/>
          <w:sz w:val="24"/>
        </w:rPr>
        <w:t> </w:t>
      </w:r>
      <w:r>
        <w:rPr>
          <w:spacing w:val="-2"/>
          <w:sz w:val="24"/>
        </w:rPr>
        <w:t>the</w:t>
      </w:r>
      <w:r>
        <w:rPr>
          <w:spacing w:val="-13"/>
          <w:sz w:val="24"/>
        </w:rPr>
        <w:t> </w:t>
      </w:r>
      <w:r>
        <w:rPr>
          <w:spacing w:val="-2"/>
          <w:sz w:val="24"/>
        </w:rPr>
        <w:t>Regional</w:t>
      </w:r>
      <w:r>
        <w:rPr>
          <w:spacing w:val="-13"/>
          <w:sz w:val="24"/>
        </w:rPr>
        <w:t> </w:t>
      </w:r>
      <w:r>
        <w:rPr>
          <w:spacing w:val="-2"/>
          <w:sz w:val="24"/>
        </w:rPr>
        <w:t>Joint</w:t>
      </w:r>
      <w:r>
        <w:rPr>
          <w:spacing w:val="-15"/>
          <w:sz w:val="24"/>
        </w:rPr>
        <w:t> </w:t>
      </w:r>
      <w:r>
        <w:rPr>
          <w:spacing w:val="-2"/>
          <w:sz w:val="24"/>
        </w:rPr>
        <w:t>Committee</w:t>
      </w:r>
      <w:r>
        <w:rPr>
          <w:spacing w:val="-12"/>
          <w:sz w:val="24"/>
        </w:rPr>
        <w:t> </w:t>
      </w:r>
      <w:r>
        <w:rPr>
          <w:spacing w:val="-2"/>
          <w:sz w:val="24"/>
        </w:rPr>
        <w:t>design</w:t>
      </w:r>
      <w:r>
        <w:rPr>
          <w:spacing w:val="-13"/>
          <w:sz w:val="24"/>
        </w:rPr>
        <w:t> </w:t>
      </w:r>
      <w:r>
        <w:rPr>
          <w:spacing w:val="-2"/>
          <w:sz w:val="24"/>
        </w:rPr>
        <w:t>principles </w:t>
      </w:r>
      <w:r>
        <w:rPr>
          <w:sz w:val="24"/>
        </w:rPr>
        <w:t>(agreed</w:t>
      </w:r>
      <w:r>
        <w:rPr>
          <w:spacing w:val="-10"/>
          <w:sz w:val="24"/>
        </w:rPr>
        <w:t> </w:t>
      </w:r>
      <w:r>
        <w:rPr>
          <w:sz w:val="24"/>
        </w:rPr>
        <w:t>set</w:t>
      </w:r>
      <w:r>
        <w:rPr>
          <w:spacing w:val="-13"/>
          <w:sz w:val="24"/>
        </w:rPr>
        <w:t> </w:t>
      </w:r>
      <w:r>
        <w:rPr>
          <w:sz w:val="24"/>
        </w:rPr>
        <w:t>of</w:t>
      </w:r>
      <w:r>
        <w:rPr>
          <w:spacing w:val="-13"/>
          <w:sz w:val="24"/>
        </w:rPr>
        <w:t> </w:t>
      </w:r>
      <w:r>
        <w:rPr>
          <w:sz w:val="24"/>
        </w:rPr>
        <w:t>rules</w:t>
      </w:r>
      <w:r>
        <w:rPr>
          <w:spacing w:val="-16"/>
          <w:sz w:val="24"/>
        </w:rPr>
        <w:t> </w:t>
      </w:r>
      <w:r>
        <w:rPr>
          <w:sz w:val="24"/>
        </w:rPr>
        <w:t>defining</w:t>
      </w:r>
      <w:r>
        <w:rPr>
          <w:spacing w:val="-15"/>
          <w:sz w:val="24"/>
        </w:rPr>
        <w:t> </w:t>
      </w:r>
      <w:r>
        <w:rPr>
          <w:sz w:val="24"/>
        </w:rPr>
        <w:t>purpose</w:t>
      </w:r>
      <w:r>
        <w:rPr>
          <w:spacing w:val="-10"/>
          <w:sz w:val="24"/>
        </w:rPr>
        <w:t> </w:t>
      </w:r>
      <w:r>
        <w:rPr>
          <w:sz w:val="24"/>
        </w:rPr>
        <w:t>through</w:t>
      </w:r>
      <w:r>
        <w:rPr>
          <w:spacing w:val="-10"/>
          <w:sz w:val="24"/>
        </w:rPr>
        <w:t> </w:t>
      </w:r>
      <w:r>
        <w:rPr>
          <w:sz w:val="24"/>
        </w:rPr>
        <w:t>intention</w:t>
      </w:r>
      <w:r>
        <w:rPr>
          <w:spacing w:val="-10"/>
          <w:sz w:val="24"/>
        </w:rPr>
        <w:t> </w:t>
      </w:r>
      <w:r>
        <w:rPr>
          <w:sz w:val="24"/>
        </w:rPr>
        <w:t>and</w:t>
      </w:r>
      <w:r>
        <w:rPr>
          <w:spacing w:val="-10"/>
          <w:sz w:val="24"/>
        </w:rPr>
        <w:t> </w:t>
      </w:r>
      <w:r>
        <w:rPr>
          <w:sz w:val="24"/>
        </w:rPr>
        <w:t>behaviour)</w:t>
      </w:r>
      <w:r>
        <w:rPr>
          <w:spacing w:val="-16"/>
          <w:sz w:val="24"/>
        </w:rPr>
        <w:t> </w:t>
      </w:r>
      <w:r>
        <w:rPr>
          <w:sz w:val="24"/>
        </w:rPr>
        <w:t>which</w:t>
      </w:r>
      <w:r>
        <w:rPr>
          <w:spacing w:val="-10"/>
          <w:sz w:val="24"/>
        </w:rPr>
        <w:t> </w:t>
      </w:r>
      <w:r>
        <w:rPr>
          <w:sz w:val="24"/>
        </w:rPr>
        <w:t>have</w:t>
      </w:r>
      <w:r>
        <w:rPr>
          <w:spacing w:val="-15"/>
          <w:sz w:val="24"/>
        </w:rPr>
        <w:t> </w:t>
      </w:r>
      <w:r>
        <w:rPr>
          <w:sz w:val="24"/>
        </w:rPr>
        <w:t>been agreed</w:t>
      </w:r>
      <w:r>
        <w:rPr>
          <w:spacing w:val="-10"/>
          <w:sz w:val="24"/>
        </w:rPr>
        <w:t> </w:t>
      </w:r>
      <w:r>
        <w:rPr>
          <w:sz w:val="24"/>
        </w:rPr>
        <w:t>by</w:t>
      </w:r>
      <w:r>
        <w:rPr>
          <w:spacing w:val="-11"/>
          <w:sz w:val="24"/>
        </w:rPr>
        <w:t> </w:t>
      </w:r>
      <w:r>
        <w:rPr>
          <w:sz w:val="24"/>
        </w:rPr>
        <w:t>both</w:t>
      </w:r>
      <w:r>
        <w:rPr>
          <w:spacing w:val="-10"/>
          <w:sz w:val="24"/>
        </w:rPr>
        <w:t> </w:t>
      </w:r>
      <w:r>
        <w:rPr>
          <w:sz w:val="24"/>
        </w:rPr>
        <w:t>Boards</w:t>
      </w:r>
      <w:r>
        <w:rPr>
          <w:spacing w:val="-11"/>
          <w:sz w:val="24"/>
        </w:rPr>
        <w:t> </w:t>
      </w:r>
      <w:r>
        <w:rPr>
          <w:sz w:val="24"/>
        </w:rPr>
        <w:t>in</w:t>
      </w:r>
      <w:r>
        <w:rPr>
          <w:spacing w:val="-10"/>
          <w:sz w:val="24"/>
        </w:rPr>
        <w:t> </w:t>
      </w:r>
      <w:r>
        <w:rPr>
          <w:sz w:val="24"/>
        </w:rPr>
        <w:t>November</w:t>
      </w:r>
      <w:r>
        <w:rPr>
          <w:spacing w:val="-11"/>
          <w:sz w:val="24"/>
        </w:rPr>
        <w:t> </w:t>
      </w:r>
      <w:r>
        <w:rPr>
          <w:sz w:val="24"/>
        </w:rPr>
        <w:t>2024.</w:t>
      </w:r>
      <w:r>
        <w:rPr>
          <w:spacing w:val="-8"/>
          <w:sz w:val="24"/>
        </w:rPr>
        <w:t> </w:t>
      </w:r>
      <w:r>
        <w:rPr>
          <w:sz w:val="24"/>
        </w:rPr>
        <w:t>The</w:t>
      </w:r>
      <w:r>
        <w:rPr>
          <w:spacing w:val="-10"/>
          <w:sz w:val="24"/>
        </w:rPr>
        <w:t> </w:t>
      </w:r>
      <w:r>
        <w:rPr>
          <w:sz w:val="24"/>
        </w:rPr>
        <w:t>benefits</w:t>
      </w:r>
      <w:r>
        <w:rPr>
          <w:spacing w:val="-11"/>
          <w:sz w:val="24"/>
        </w:rPr>
        <w:t> </w:t>
      </w:r>
      <w:r>
        <w:rPr>
          <w:sz w:val="24"/>
        </w:rPr>
        <w:t>of</w:t>
      </w:r>
      <w:r>
        <w:rPr>
          <w:spacing w:val="-13"/>
          <w:sz w:val="24"/>
        </w:rPr>
        <w:t> </w:t>
      </w:r>
      <w:r>
        <w:rPr>
          <w:sz w:val="24"/>
        </w:rPr>
        <w:t>using</w:t>
      </w:r>
      <w:r>
        <w:rPr>
          <w:spacing w:val="-10"/>
          <w:sz w:val="24"/>
        </w:rPr>
        <w:t> </w:t>
      </w:r>
      <w:r>
        <w:rPr>
          <w:sz w:val="24"/>
        </w:rPr>
        <w:t>design</w:t>
      </w:r>
      <w:r>
        <w:rPr>
          <w:spacing w:val="-10"/>
          <w:sz w:val="24"/>
        </w:rPr>
        <w:t> </w:t>
      </w:r>
      <w:r>
        <w:rPr>
          <w:sz w:val="24"/>
        </w:rPr>
        <w:t>principles</w:t>
      </w:r>
      <w:r>
        <w:rPr>
          <w:spacing w:val="-11"/>
          <w:sz w:val="24"/>
        </w:rPr>
        <w:t> </w:t>
      </w:r>
      <w:r>
        <w:rPr>
          <w:sz w:val="24"/>
        </w:rPr>
        <w:t>are</w:t>
      </w:r>
      <w:r>
        <w:rPr>
          <w:spacing w:val="-10"/>
          <w:sz w:val="24"/>
        </w:rPr>
        <w:t> </w:t>
      </w:r>
      <w:r>
        <w:rPr>
          <w:sz w:val="24"/>
        </w:rPr>
        <w:t>as </w:t>
      </w:r>
      <w:r>
        <w:rPr>
          <w:spacing w:val="-2"/>
          <w:sz w:val="24"/>
        </w:rPr>
        <w:t>follows:</w:t>
      </w:r>
    </w:p>
    <w:p>
      <w:pPr>
        <w:pStyle w:val="ListParagraph"/>
        <w:numPr>
          <w:ilvl w:val="2"/>
          <w:numId w:val="51"/>
        </w:numPr>
        <w:tabs>
          <w:tab w:pos="862" w:val="left" w:leader="none"/>
        </w:tabs>
        <w:spacing w:line="240" w:lineRule="auto" w:before="161" w:after="0"/>
        <w:ind w:left="862" w:right="0" w:hanging="360"/>
        <w:jc w:val="left"/>
        <w:rPr>
          <w:sz w:val="24"/>
        </w:rPr>
      </w:pPr>
      <w:r>
        <w:rPr>
          <w:spacing w:val="-2"/>
          <w:sz w:val="24"/>
        </w:rPr>
        <w:t>They</w:t>
      </w:r>
      <w:r>
        <w:rPr>
          <w:spacing w:val="-13"/>
          <w:sz w:val="24"/>
        </w:rPr>
        <w:t> </w:t>
      </w:r>
      <w:r>
        <w:rPr>
          <w:spacing w:val="-2"/>
          <w:sz w:val="24"/>
        </w:rPr>
        <w:t>will</w:t>
      </w:r>
      <w:r>
        <w:rPr>
          <w:spacing w:val="-9"/>
          <w:sz w:val="24"/>
        </w:rPr>
        <w:t> </w:t>
      </w:r>
      <w:r>
        <w:rPr>
          <w:spacing w:val="-2"/>
          <w:sz w:val="24"/>
        </w:rPr>
        <w:t>embed</w:t>
      </w:r>
      <w:r>
        <w:rPr>
          <w:spacing w:val="-9"/>
          <w:sz w:val="24"/>
        </w:rPr>
        <w:t> </w:t>
      </w:r>
      <w:r>
        <w:rPr>
          <w:spacing w:val="-2"/>
          <w:sz w:val="24"/>
        </w:rPr>
        <w:t>our</w:t>
      </w:r>
      <w:r>
        <w:rPr>
          <w:spacing w:val="-11"/>
          <w:sz w:val="24"/>
        </w:rPr>
        <w:t> </w:t>
      </w:r>
      <w:r>
        <w:rPr>
          <w:spacing w:val="-2"/>
          <w:sz w:val="24"/>
        </w:rPr>
        <w:t>values</w:t>
      </w:r>
      <w:r>
        <w:rPr>
          <w:spacing w:val="-10"/>
          <w:sz w:val="24"/>
        </w:rPr>
        <w:t> </w:t>
      </w:r>
      <w:r>
        <w:rPr>
          <w:spacing w:val="-2"/>
          <w:sz w:val="24"/>
        </w:rPr>
        <w:t>in</w:t>
      </w:r>
      <w:r>
        <w:rPr>
          <w:spacing w:val="-9"/>
          <w:sz w:val="24"/>
        </w:rPr>
        <w:t> </w:t>
      </w:r>
      <w:r>
        <w:rPr>
          <w:spacing w:val="-2"/>
          <w:sz w:val="24"/>
        </w:rPr>
        <w:t>our</w:t>
      </w:r>
      <w:r>
        <w:rPr>
          <w:spacing w:val="-10"/>
          <w:sz w:val="24"/>
        </w:rPr>
        <w:t> </w:t>
      </w:r>
      <w:r>
        <w:rPr>
          <w:spacing w:val="-2"/>
          <w:sz w:val="24"/>
        </w:rPr>
        <w:t>behaviours</w:t>
      </w:r>
      <w:r>
        <w:rPr>
          <w:spacing w:val="-10"/>
          <w:sz w:val="24"/>
        </w:rPr>
        <w:t> </w:t>
      </w:r>
      <w:r>
        <w:rPr>
          <w:spacing w:val="-2"/>
          <w:sz w:val="24"/>
        </w:rPr>
        <w:t>and</w:t>
      </w:r>
      <w:r>
        <w:rPr>
          <w:spacing w:val="-14"/>
          <w:sz w:val="24"/>
        </w:rPr>
        <w:t> </w:t>
      </w:r>
      <w:r>
        <w:rPr>
          <w:spacing w:val="-2"/>
          <w:sz w:val="24"/>
        </w:rPr>
        <w:t>actions;</w:t>
      </w:r>
    </w:p>
    <w:p>
      <w:pPr>
        <w:pStyle w:val="ListParagraph"/>
        <w:numPr>
          <w:ilvl w:val="2"/>
          <w:numId w:val="51"/>
        </w:numPr>
        <w:tabs>
          <w:tab w:pos="862" w:val="left" w:leader="none"/>
        </w:tabs>
        <w:spacing w:line="240" w:lineRule="auto" w:before="119" w:after="0"/>
        <w:ind w:left="862" w:right="0" w:hanging="360"/>
        <w:jc w:val="left"/>
        <w:rPr>
          <w:sz w:val="24"/>
        </w:rPr>
      </w:pPr>
      <w:r>
        <w:rPr>
          <w:spacing w:val="-2"/>
          <w:sz w:val="24"/>
        </w:rPr>
        <w:t>They</w:t>
      </w:r>
      <w:r>
        <w:rPr>
          <w:spacing w:val="-15"/>
          <w:sz w:val="24"/>
        </w:rPr>
        <w:t> </w:t>
      </w:r>
      <w:r>
        <w:rPr>
          <w:spacing w:val="-2"/>
          <w:sz w:val="24"/>
        </w:rPr>
        <w:t>will</w:t>
      </w:r>
      <w:r>
        <w:rPr>
          <w:spacing w:val="-10"/>
          <w:sz w:val="24"/>
        </w:rPr>
        <w:t> </w:t>
      </w:r>
      <w:r>
        <w:rPr>
          <w:spacing w:val="-2"/>
          <w:sz w:val="24"/>
        </w:rPr>
        <w:t>provide</w:t>
      </w:r>
      <w:r>
        <w:rPr>
          <w:spacing w:val="-9"/>
          <w:sz w:val="24"/>
        </w:rPr>
        <w:t> </w:t>
      </w:r>
      <w:r>
        <w:rPr>
          <w:spacing w:val="-2"/>
          <w:sz w:val="24"/>
        </w:rPr>
        <w:t>a</w:t>
      </w:r>
      <w:r>
        <w:rPr>
          <w:spacing w:val="-10"/>
          <w:sz w:val="24"/>
        </w:rPr>
        <w:t> </w:t>
      </w:r>
      <w:r>
        <w:rPr>
          <w:spacing w:val="-2"/>
          <w:sz w:val="24"/>
        </w:rPr>
        <w:t>compass</w:t>
      </w:r>
      <w:r>
        <w:rPr>
          <w:spacing w:val="-11"/>
          <w:sz w:val="24"/>
        </w:rPr>
        <w:t> </w:t>
      </w:r>
      <w:r>
        <w:rPr>
          <w:spacing w:val="-2"/>
          <w:sz w:val="24"/>
        </w:rPr>
        <w:t>point</w:t>
      </w:r>
      <w:r>
        <w:rPr>
          <w:spacing w:val="-15"/>
          <w:sz w:val="24"/>
        </w:rPr>
        <w:t> </w:t>
      </w:r>
      <w:r>
        <w:rPr>
          <w:spacing w:val="-2"/>
          <w:sz w:val="24"/>
        </w:rPr>
        <w:t>when</w:t>
      </w:r>
      <w:r>
        <w:rPr>
          <w:spacing w:val="-10"/>
          <w:sz w:val="24"/>
        </w:rPr>
        <w:t> </w:t>
      </w:r>
      <w:r>
        <w:rPr>
          <w:spacing w:val="-2"/>
          <w:sz w:val="24"/>
        </w:rPr>
        <w:t>conflict</w:t>
      </w:r>
      <w:r>
        <w:rPr>
          <w:spacing w:val="-12"/>
          <w:sz w:val="24"/>
        </w:rPr>
        <w:t> </w:t>
      </w:r>
      <w:r>
        <w:rPr>
          <w:spacing w:val="-2"/>
          <w:sz w:val="24"/>
        </w:rPr>
        <w:t>or</w:t>
      </w:r>
      <w:r>
        <w:rPr>
          <w:spacing w:val="-15"/>
          <w:sz w:val="24"/>
        </w:rPr>
        <w:t> </w:t>
      </w:r>
      <w:r>
        <w:rPr>
          <w:spacing w:val="-2"/>
          <w:sz w:val="24"/>
        </w:rPr>
        <w:t>disagreement</w:t>
      </w:r>
      <w:r>
        <w:rPr>
          <w:spacing w:val="-12"/>
          <w:sz w:val="24"/>
        </w:rPr>
        <w:t> </w:t>
      </w:r>
      <w:r>
        <w:rPr>
          <w:spacing w:val="-2"/>
          <w:sz w:val="24"/>
        </w:rPr>
        <w:t>occurs;</w:t>
      </w:r>
    </w:p>
    <w:p>
      <w:pPr>
        <w:pStyle w:val="ListParagraph"/>
        <w:numPr>
          <w:ilvl w:val="2"/>
          <w:numId w:val="51"/>
        </w:numPr>
        <w:tabs>
          <w:tab w:pos="862" w:val="left" w:leader="none"/>
        </w:tabs>
        <w:spacing w:line="240" w:lineRule="auto" w:before="119" w:after="0"/>
        <w:ind w:left="862" w:right="0" w:hanging="360"/>
        <w:jc w:val="left"/>
        <w:rPr>
          <w:sz w:val="24"/>
        </w:rPr>
      </w:pPr>
      <w:r>
        <w:rPr>
          <w:spacing w:val="-2"/>
          <w:sz w:val="24"/>
        </w:rPr>
        <w:t>They</w:t>
      </w:r>
      <w:r>
        <w:rPr>
          <w:spacing w:val="-10"/>
          <w:sz w:val="24"/>
        </w:rPr>
        <w:t> </w:t>
      </w:r>
      <w:r>
        <w:rPr>
          <w:spacing w:val="-2"/>
          <w:sz w:val="24"/>
        </w:rPr>
        <w:t>will</w:t>
      </w:r>
      <w:r>
        <w:rPr>
          <w:spacing w:val="-9"/>
          <w:sz w:val="24"/>
        </w:rPr>
        <w:t> </w:t>
      </w:r>
      <w:r>
        <w:rPr>
          <w:spacing w:val="-2"/>
          <w:sz w:val="24"/>
        </w:rPr>
        <w:t>ensure</w:t>
      </w:r>
      <w:r>
        <w:rPr>
          <w:spacing w:val="-9"/>
          <w:sz w:val="24"/>
        </w:rPr>
        <w:t> </w:t>
      </w:r>
      <w:r>
        <w:rPr>
          <w:spacing w:val="-2"/>
          <w:sz w:val="24"/>
        </w:rPr>
        <w:t>we</w:t>
      </w:r>
      <w:r>
        <w:rPr>
          <w:spacing w:val="-9"/>
          <w:sz w:val="24"/>
        </w:rPr>
        <w:t> </w:t>
      </w:r>
      <w:r>
        <w:rPr>
          <w:spacing w:val="-2"/>
          <w:sz w:val="24"/>
        </w:rPr>
        <w:t>are</w:t>
      </w:r>
      <w:r>
        <w:rPr>
          <w:spacing w:val="-4"/>
          <w:sz w:val="24"/>
        </w:rPr>
        <w:t> </w:t>
      </w:r>
      <w:r>
        <w:rPr>
          <w:spacing w:val="-2"/>
          <w:sz w:val="24"/>
        </w:rPr>
        <w:t>consistent</w:t>
      </w:r>
      <w:r>
        <w:rPr>
          <w:spacing w:val="-12"/>
          <w:sz w:val="24"/>
        </w:rPr>
        <w:t> </w:t>
      </w:r>
      <w:r>
        <w:rPr>
          <w:spacing w:val="-2"/>
          <w:sz w:val="24"/>
        </w:rPr>
        <w:t>in</w:t>
      </w:r>
      <w:r>
        <w:rPr>
          <w:spacing w:val="-9"/>
          <w:sz w:val="24"/>
        </w:rPr>
        <w:t> </w:t>
      </w:r>
      <w:r>
        <w:rPr>
          <w:spacing w:val="-2"/>
          <w:sz w:val="24"/>
        </w:rPr>
        <w:t>what</w:t>
      </w:r>
      <w:r>
        <w:rPr>
          <w:spacing w:val="-11"/>
          <w:sz w:val="24"/>
        </w:rPr>
        <w:t> </w:t>
      </w:r>
      <w:r>
        <w:rPr>
          <w:spacing w:val="-2"/>
          <w:sz w:val="24"/>
        </w:rPr>
        <w:t>we</w:t>
      </w:r>
      <w:r>
        <w:rPr>
          <w:spacing w:val="-9"/>
          <w:sz w:val="24"/>
        </w:rPr>
        <w:t> </w:t>
      </w:r>
      <w:r>
        <w:rPr>
          <w:spacing w:val="-2"/>
          <w:sz w:val="24"/>
        </w:rPr>
        <w:t>say</w:t>
      </w:r>
      <w:r>
        <w:rPr>
          <w:spacing w:val="-15"/>
          <w:sz w:val="24"/>
        </w:rPr>
        <w:t> </w:t>
      </w:r>
      <w:r>
        <w:rPr>
          <w:spacing w:val="-2"/>
          <w:sz w:val="24"/>
        </w:rPr>
        <w:t>and</w:t>
      </w:r>
      <w:r>
        <w:rPr>
          <w:spacing w:val="-9"/>
          <w:sz w:val="24"/>
        </w:rPr>
        <w:t> </w:t>
      </w:r>
      <w:r>
        <w:rPr>
          <w:spacing w:val="-2"/>
          <w:sz w:val="24"/>
        </w:rPr>
        <w:t>do;</w:t>
      </w:r>
      <w:r>
        <w:rPr>
          <w:spacing w:val="-11"/>
          <w:sz w:val="24"/>
        </w:rPr>
        <w:t> </w:t>
      </w:r>
      <w:r>
        <w:rPr>
          <w:spacing w:val="-5"/>
          <w:sz w:val="24"/>
        </w:rPr>
        <w:t>and</w:t>
      </w:r>
    </w:p>
    <w:p>
      <w:pPr>
        <w:pStyle w:val="ListParagraph"/>
        <w:numPr>
          <w:ilvl w:val="2"/>
          <w:numId w:val="51"/>
        </w:numPr>
        <w:tabs>
          <w:tab w:pos="862" w:val="left" w:leader="none"/>
        </w:tabs>
        <w:spacing w:line="240" w:lineRule="auto" w:before="120" w:after="0"/>
        <w:ind w:left="862" w:right="0" w:hanging="360"/>
        <w:jc w:val="left"/>
        <w:rPr>
          <w:sz w:val="24"/>
        </w:rPr>
      </w:pPr>
      <w:r>
        <w:rPr>
          <w:spacing w:val="-2"/>
          <w:sz w:val="24"/>
        </w:rPr>
        <w:t>They</w:t>
      </w:r>
      <w:r>
        <w:rPr>
          <w:spacing w:val="-15"/>
          <w:sz w:val="24"/>
        </w:rPr>
        <w:t> </w:t>
      </w:r>
      <w:r>
        <w:rPr>
          <w:spacing w:val="-2"/>
          <w:sz w:val="24"/>
        </w:rPr>
        <w:t>are</w:t>
      </w:r>
      <w:r>
        <w:rPr>
          <w:spacing w:val="-15"/>
          <w:sz w:val="24"/>
        </w:rPr>
        <w:t> </w:t>
      </w:r>
      <w:r>
        <w:rPr>
          <w:spacing w:val="-2"/>
          <w:sz w:val="24"/>
        </w:rPr>
        <w:t>universally</w:t>
      </w:r>
      <w:r>
        <w:rPr>
          <w:spacing w:val="-14"/>
          <w:sz w:val="24"/>
        </w:rPr>
        <w:t> </w:t>
      </w:r>
      <w:r>
        <w:rPr>
          <w:spacing w:val="-2"/>
          <w:sz w:val="24"/>
        </w:rPr>
        <w:t>understood</w:t>
      </w:r>
      <w:r>
        <w:rPr>
          <w:spacing w:val="-15"/>
          <w:sz w:val="24"/>
        </w:rPr>
        <w:t> </w:t>
      </w:r>
      <w:r>
        <w:rPr>
          <w:spacing w:val="-2"/>
          <w:sz w:val="24"/>
        </w:rPr>
        <w:t>and</w:t>
      </w:r>
      <w:r>
        <w:rPr>
          <w:spacing w:val="-11"/>
          <w:sz w:val="24"/>
        </w:rPr>
        <w:t> </w:t>
      </w:r>
      <w:r>
        <w:rPr>
          <w:spacing w:val="-2"/>
          <w:sz w:val="24"/>
        </w:rPr>
        <w:t>accepted.</w:t>
      </w:r>
    </w:p>
    <w:p>
      <w:pPr>
        <w:pStyle w:val="BodyText"/>
        <w:spacing w:before="243"/>
      </w:pPr>
    </w:p>
    <w:p>
      <w:pPr>
        <w:pStyle w:val="ListParagraph"/>
        <w:numPr>
          <w:ilvl w:val="1"/>
          <w:numId w:val="51"/>
        </w:numPr>
        <w:tabs>
          <w:tab w:pos="860" w:val="left" w:leader="none"/>
        </w:tabs>
        <w:spacing w:line="240" w:lineRule="auto" w:before="0" w:after="0"/>
        <w:ind w:left="860" w:right="0" w:hanging="718"/>
        <w:jc w:val="both"/>
        <w:rPr>
          <w:sz w:val="24"/>
        </w:rPr>
      </w:pPr>
      <w:r>
        <w:rPr>
          <w:spacing w:val="-2"/>
          <w:sz w:val="24"/>
        </w:rPr>
        <w:t>The</w:t>
      </w:r>
      <w:r>
        <w:rPr>
          <w:spacing w:val="-12"/>
          <w:sz w:val="24"/>
        </w:rPr>
        <w:t> </w:t>
      </w:r>
      <w:r>
        <w:rPr>
          <w:spacing w:val="-2"/>
          <w:sz w:val="24"/>
        </w:rPr>
        <w:t>design</w:t>
      </w:r>
      <w:r>
        <w:rPr>
          <w:spacing w:val="-11"/>
          <w:sz w:val="24"/>
        </w:rPr>
        <w:t> </w:t>
      </w:r>
      <w:r>
        <w:rPr>
          <w:spacing w:val="-2"/>
          <w:sz w:val="24"/>
        </w:rPr>
        <w:t>principles</w:t>
      </w:r>
      <w:r>
        <w:rPr>
          <w:spacing w:val="-12"/>
          <w:sz w:val="24"/>
        </w:rPr>
        <w:t> </w:t>
      </w:r>
      <w:r>
        <w:rPr>
          <w:spacing w:val="-2"/>
          <w:sz w:val="24"/>
        </w:rPr>
        <w:t>agreed</w:t>
      </w:r>
      <w:r>
        <w:rPr>
          <w:spacing w:val="-15"/>
          <w:sz w:val="24"/>
        </w:rPr>
        <w:t> </w:t>
      </w:r>
      <w:r>
        <w:rPr>
          <w:spacing w:val="-2"/>
          <w:sz w:val="24"/>
        </w:rPr>
        <w:t>by</w:t>
      </w:r>
      <w:r>
        <w:rPr>
          <w:spacing w:val="-12"/>
          <w:sz w:val="24"/>
        </w:rPr>
        <w:t> </w:t>
      </w:r>
      <w:r>
        <w:rPr>
          <w:spacing w:val="-2"/>
          <w:sz w:val="24"/>
        </w:rPr>
        <w:t>both</w:t>
      </w:r>
      <w:r>
        <w:rPr>
          <w:spacing w:val="-11"/>
          <w:sz w:val="24"/>
        </w:rPr>
        <w:t> </w:t>
      </w:r>
      <w:r>
        <w:rPr>
          <w:spacing w:val="-2"/>
          <w:sz w:val="24"/>
        </w:rPr>
        <w:t>Boards</w:t>
      </w:r>
      <w:r>
        <w:rPr>
          <w:spacing w:val="-11"/>
          <w:sz w:val="24"/>
        </w:rPr>
        <w:t> </w:t>
      </w:r>
      <w:r>
        <w:rPr>
          <w:spacing w:val="-4"/>
          <w:sz w:val="24"/>
        </w:rPr>
        <w:t>are:</w:t>
      </w:r>
    </w:p>
    <w:p>
      <w:pPr>
        <w:pStyle w:val="BodyText"/>
        <w:spacing w:before="4"/>
        <w:rPr>
          <w:sz w:val="10"/>
        </w:rPr>
      </w:pPr>
    </w:p>
    <w:tbl>
      <w:tblPr>
        <w:tblW w:w="0" w:type="auto"/>
        <w:jc w:val="left"/>
        <w:tblInd w:w="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86"/>
        <w:gridCol w:w="7658"/>
      </w:tblGrid>
      <w:tr>
        <w:trPr>
          <w:trHeight w:val="550" w:hRule="atLeast"/>
        </w:trPr>
        <w:tc>
          <w:tcPr>
            <w:tcW w:w="1486" w:type="dxa"/>
          </w:tcPr>
          <w:p>
            <w:pPr>
              <w:pStyle w:val="TableParagraph"/>
              <w:ind w:left="110"/>
              <w:rPr>
                <w:sz w:val="24"/>
              </w:rPr>
            </w:pPr>
            <w:r>
              <w:rPr>
                <w:spacing w:val="-2"/>
                <w:sz w:val="24"/>
              </w:rPr>
              <w:t>Mindset</w:t>
            </w:r>
          </w:p>
        </w:tc>
        <w:tc>
          <w:tcPr>
            <w:tcW w:w="7658" w:type="dxa"/>
          </w:tcPr>
          <w:p>
            <w:pPr>
              <w:pStyle w:val="TableParagraph"/>
              <w:spacing w:line="276" w:lineRule="exact"/>
              <w:ind w:left="105"/>
              <w:rPr>
                <w:sz w:val="24"/>
              </w:rPr>
            </w:pPr>
            <w:r>
              <w:rPr>
                <w:spacing w:val="-2"/>
                <w:sz w:val="24"/>
              </w:rPr>
              <w:t>Trusting</w:t>
            </w:r>
            <w:r>
              <w:rPr>
                <w:spacing w:val="-15"/>
                <w:sz w:val="24"/>
              </w:rPr>
              <w:t> </w:t>
            </w:r>
            <w:r>
              <w:rPr>
                <w:spacing w:val="-2"/>
                <w:sz w:val="24"/>
              </w:rPr>
              <w:t>each</w:t>
            </w:r>
            <w:r>
              <w:rPr>
                <w:spacing w:val="-12"/>
                <w:sz w:val="24"/>
              </w:rPr>
              <w:t> </w:t>
            </w:r>
            <w:r>
              <w:rPr>
                <w:spacing w:val="-2"/>
                <w:sz w:val="24"/>
              </w:rPr>
              <w:t>other</w:t>
            </w:r>
            <w:r>
              <w:rPr>
                <w:spacing w:val="-8"/>
                <w:sz w:val="24"/>
              </w:rPr>
              <w:t> </w:t>
            </w:r>
            <w:r>
              <w:rPr>
                <w:spacing w:val="-2"/>
                <w:sz w:val="24"/>
              </w:rPr>
              <w:t>to</w:t>
            </w:r>
            <w:r>
              <w:rPr>
                <w:spacing w:val="-12"/>
                <w:sz w:val="24"/>
              </w:rPr>
              <w:t> </w:t>
            </w:r>
            <w:r>
              <w:rPr>
                <w:spacing w:val="-2"/>
                <w:sz w:val="24"/>
              </w:rPr>
              <w:t>do</w:t>
            </w:r>
            <w:r>
              <w:rPr>
                <w:spacing w:val="-12"/>
                <w:sz w:val="24"/>
              </w:rPr>
              <w:t> </w:t>
            </w:r>
            <w:r>
              <w:rPr>
                <w:spacing w:val="-2"/>
                <w:sz w:val="24"/>
              </w:rPr>
              <w:t>the</w:t>
            </w:r>
            <w:r>
              <w:rPr>
                <w:spacing w:val="-12"/>
                <w:sz w:val="24"/>
              </w:rPr>
              <w:t> </w:t>
            </w:r>
            <w:r>
              <w:rPr>
                <w:spacing w:val="-2"/>
                <w:sz w:val="24"/>
              </w:rPr>
              <w:t>right</w:t>
            </w:r>
            <w:r>
              <w:rPr>
                <w:spacing w:val="-10"/>
                <w:sz w:val="24"/>
              </w:rPr>
              <w:t> </w:t>
            </w:r>
            <w:r>
              <w:rPr>
                <w:spacing w:val="-2"/>
                <w:sz w:val="24"/>
              </w:rPr>
              <w:t>thing</w:t>
            </w:r>
            <w:r>
              <w:rPr>
                <w:spacing w:val="-12"/>
                <w:sz w:val="24"/>
              </w:rPr>
              <w:t> </w:t>
            </w:r>
            <w:r>
              <w:rPr>
                <w:spacing w:val="-2"/>
                <w:sz w:val="24"/>
              </w:rPr>
              <w:t>and</w:t>
            </w:r>
            <w:r>
              <w:rPr>
                <w:spacing w:val="-7"/>
                <w:sz w:val="24"/>
              </w:rPr>
              <w:t> </w:t>
            </w:r>
            <w:r>
              <w:rPr>
                <w:spacing w:val="-2"/>
                <w:sz w:val="24"/>
              </w:rPr>
              <w:t>to</w:t>
            </w:r>
            <w:r>
              <w:rPr>
                <w:spacing w:val="-12"/>
                <w:sz w:val="24"/>
              </w:rPr>
              <w:t> </w:t>
            </w:r>
            <w:r>
              <w:rPr>
                <w:spacing w:val="-2"/>
                <w:sz w:val="24"/>
              </w:rPr>
              <w:t>act</w:t>
            </w:r>
            <w:r>
              <w:rPr>
                <w:spacing w:val="-14"/>
                <w:sz w:val="24"/>
              </w:rPr>
              <w:t> </w:t>
            </w:r>
            <w:r>
              <w:rPr>
                <w:spacing w:val="-2"/>
                <w:sz w:val="24"/>
              </w:rPr>
              <w:t>with</w:t>
            </w:r>
            <w:r>
              <w:rPr>
                <w:spacing w:val="-7"/>
                <w:sz w:val="24"/>
              </w:rPr>
              <w:t> </w:t>
            </w:r>
            <w:r>
              <w:rPr>
                <w:spacing w:val="-2"/>
                <w:sz w:val="24"/>
              </w:rPr>
              <w:t>courage</w:t>
            </w:r>
            <w:r>
              <w:rPr>
                <w:spacing w:val="-12"/>
                <w:sz w:val="24"/>
              </w:rPr>
              <w:t> </w:t>
            </w:r>
            <w:r>
              <w:rPr>
                <w:spacing w:val="-2"/>
                <w:sz w:val="24"/>
              </w:rPr>
              <w:t>and conviction.</w:t>
            </w:r>
          </w:p>
        </w:tc>
      </w:tr>
      <w:tr>
        <w:trPr>
          <w:trHeight w:val="553" w:hRule="atLeast"/>
        </w:trPr>
        <w:tc>
          <w:tcPr>
            <w:tcW w:w="1486" w:type="dxa"/>
          </w:tcPr>
          <w:p>
            <w:pPr>
              <w:pStyle w:val="TableParagraph"/>
              <w:spacing w:line="274" w:lineRule="exact"/>
              <w:ind w:left="110"/>
              <w:rPr>
                <w:sz w:val="24"/>
              </w:rPr>
            </w:pPr>
            <w:r>
              <w:rPr>
                <w:spacing w:val="-2"/>
                <w:sz w:val="24"/>
              </w:rPr>
              <w:t>Process</w:t>
            </w:r>
          </w:p>
        </w:tc>
        <w:tc>
          <w:tcPr>
            <w:tcW w:w="7658" w:type="dxa"/>
          </w:tcPr>
          <w:p>
            <w:pPr>
              <w:pStyle w:val="TableParagraph"/>
              <w:spacing w:line="276" w:lineRule="exact"/>
              <w:ind w:left="105" w:right="95"/>
              <w:rPr>
                <w:sz w:val="24"/>
              </w:rPr>
            </w:pPr>
            <w:r>
              <w:rPr>
                <w:spacing w:val="-2"/>
                <w:sz w:val="24"/>
              </w:rPr>
              <w:t>Driven</w:t>
            </w:r>
            <w:r>
              <w:rPr>
                <w:spacing w:val="-10"/>
                <w:sz w:val="24"/>
              </w:rPr>
              <w:t> </w:t>
            </w:r>
            <w:r>
              <w:rPr>
                <w:spacing w:val="-2"/>
                <w:sz w:val="24"/>
              </w:rPr>
              <w:t>by</w:t>
            </w:r>
            <w:r>
              <w:rPr>
                <w:spacing w:val="-11"/>
                <w:sz w:val="24"/>
              </w:rPr>
              <w:t> </w:t>
            </w:r>
            <w:r>
              <w:rPr>
                <w:spacing w:val="-2"/>
                <w:sz w:val="24"/>
              </w:rPr>
              <w:t>data</w:t>
            </w:r>
            <w:r>
              <w:rPr>
                <w:spacing w:val="-10"/>
                <w:sz w:val="24"/>
              </w:rPr>
              <w:t> </w:t>
            </w:r>
            <w:r>
              <w:rPr>
                <w:spacing w:val="-2"/>
                <w:sz w:val="24"/>
              </w:rPr>
              <w:t>and</w:t>
            </w:r>
            <w:r>
              <w:rPr>
                <w:spacing w:val="-10"/>
                <w:sz w:val="24"/>
              </w:rPr>
              <w:t> </w:t>
            </w:r>
            <w:r>
              <w:rPr>
                <w:spacing w:val="-2"/>
                <w:sz w:val="24"/>
              </w:rPr>
              <w:t>evidence</w:t>
            </w:r>
            <w:r>
              <w:rPr>
                <w:spacing w:val="-10"/>
                <w:sz w:val="24"/>
              </w:rPr>
              <w:t> </w:t>
            </w:r>
            <w:r>
              <w:rPr>
                <w:spacing w:val="-2"/>
                <w:sz w:val="24"/>
              </w:rPr>
              <w:t>and</w:t>
            </w:r>
            <w:r>
              <w:rPr>
                <w:spacing w:val="-10"/>
                <w:sz w:val="24"/>
              </w:rPr>
              <w:t> </w:t>
            </w:r>
            <w:r>
              <w:rPr>
                <w:spacing w:val="-2"/>
                <w:sz w:val="24"/>
              </w:rPr>
              <w:t>embracing</w:t>
            </w:r>
            <w:r>
              <w:rPr>
                <w:spacing w:val="-10"/>
                <w:sz w:val="24"/>
              </w:rPr>
              <w:t> </w:t>
            </w:r>
            <w:r>
              <w:rPr>
                <w:spacing w:val="-2"/>
                <w:sz w:val="24"/>
              </w:rPr>
              <w:t>opportunities</w:t>
            </w:r>
            <w:r>
              <w:rPr>
                <w:spacing w:val="-11"/>
                <w:sz w:val="24"/>
              </w:rPr>
              <w:t> </w:t>
            </w:r>
            <w:r>
              <w:rPr>
                <w:spacing w:val="-2"/>
                <w:sz w:val="24"/>
              </w:rPr>
              <w:t>to</w:t>
            </w:r>
            <w:r>
              <w:rPr>
                <w:spacing w:val="-10"/>
                <w:sz w:val="24"/>
              </w:rPr>
              <w:t> </w:t>
            </w:r>
            <w:r>
              <w:rPr>
                <w:spacing w:val="-2"/>
                <w:sz w:val="24"/>
              </w:rPr>
              <w:t>re-imagine,</w:t>
            </w:r>
            <w:r>
              <w:rPr>
                <w:spacing w:val="-17"/>
                <w:sz w:val="24"/>
              </w:rPr>
              <w:t> </w:t>
            </w:r>
            <w:r>
              <w:rPr>
                <w:spacing w:val="-2"/>
                <w:sz w:val="24"/>
              </w:rPr>
              <w:t>redesign</w:t>
            </w:r>
            <w:r>
              <w:rPr>
                <w:spacing w:val="-15"/>
                <w:sz w:val="24"/>
              </w:rPr>
              <w:t> </w:t>
            </w:r>
            <w:r>
              <w:rPr>
                <w:spacing w:val="-2"/>
                <w:sz w:val="24"/>
              </w:rPr>
              <w:t>and</w:t>
            </w:r>
            <w:r>
              <w:rPr>
                <w:spacing w:val="-14"/>
                <w:sz w:val="24"/>
              </w:rPr>
              <w:t> </w:t>
            </w:r>
            <w:r>
              <w:rPr>
                <w:spacing w:val="-2"/>
                <w:sz w:val="24"/>
              </w:rPr>
              <w:t>innovate</w:t>
            </w:r>
            <w:r>
              <w:rPr>
                <w:spacing w:val="-13"/>
                <w:sz w:val="24"/>
              </w:rPr>
              <w:t> </w:t>
            </w:r>
            <w:r>
              <w:rPr>
                <w:spacing w:val="-2"/>
                <w:sz w:val="24"/>
              </w:rPr>
              <w:t>Sustainability</w:t>
            </w:r>
            <w:r>
              <w:rPr>
                <w:spacing w:val="-14"/>
                <w:sz w:val="24"/>
              </w:rPr>
              <w:t> </w:t>
            </w:r>
            <w:r>
              <w:rPr>
                <w:spacing w:val="-2"/>
                <w:sz w:val="24"/>
              </w:rPr>
              <w:t>of</w:t>
            </w:r>
            <w:r>
              <w:rPr>
                <w:spacing w:val="-15"/>
                <w:sz w:val="24"/>
              </w:rPr>
              <w:t> </w:t>
            </w:r>
            <w:r>
              <w:rPr>
                <w:spacing w:val="-2"/>
                <w:sz w:val="24"/>
              </w:rPr>
              <w:t>the</w:t>
            </w:r>
            <w:r>
              <w:rPr>
                <w:spacing w:val="-14"/>
                <w:sz w:val="24"/>
              </w:rPr>
              <w:t> </w:t>
            </w:r>
            <w:r>
              <w:rPr>
                <w:spacing w:val="-2"/>
                <w:sz w:val="24"/>
              </w:rPr>
              <w:t>architecture</w:t>
            </w:r>
          </w:p>
        </w:tc>
      </w:tr>
      <w:tr>
        <w:trPr>
          <w:trHeight w:val="550" w:hRule="atLeast"/>
        </w:trPr>
        <w:tc>
          <w:tcPr>
            <w:tcW w:w="1486" w:type="dxa"/>
          </w:tcPr>
          <w:p>
            <w:pPr>
              <w:pStyle w:val="TableParagraph"/>
              <w:ind w:left="110"/>
              <w:rPr>
                <w:sz w:val="24"/>
              </w:rPr>
            </w:pPr>
            <w:r>
              <w:rPr>
                <w:spacing w:val="-2"/>
                <w:sz w:val="24"/>
              </w:rPr>
              <w:t>Outcome</w:t>
            </w:r>
          </w:p>
        </w:tc>
        <w:tc>
          <w:tcPr>
            <w:tcW w:w="7658" w:type="dxa"/>
          </w:tcPr>
          <w:p>
            <w:pPr>
              <w:pStyle w:val="TableParagraph"/>
              <w:spacing w:line="276" w:lineRule="exact"/>
              <w:ind w:left="105"/>
              <w:rPr>
                <w:sz w:val="24"/>
              </w:rPr>
            </w:pPr>
            <w:r>
              <w:rPr>
                <w:spacing w:val="-2"/>
                <w:sz w:val="24"/>
              </w:rPr>
              <w:t>Building</w:t>
            </w:r>
            <w:r>
              <w:rPr>
                <w:spacing w:val="-15"/>
                <w:sz w:val="24"/>
              </w:rPr>
              <w:t> </w:t>
            </w:r>
            <w:r>
              <w:rPr>
                <w:spacing w:val="-2"/>
                <w:sz w:val="24"/>
              </w:rPr>
              <w:t>sustainable</w:t>
            </w:r>
            <w:r>
              <w:rPr>
                <w:spacing w:val="-15"/>
                <w:sz w:val="24"/>
              </w:rPr>
              <w:t> </w:t>
            </w:r>
            <w:r>
              <w:rPr>
                <w:spacing w:val="-2"/>
                <w:sz w:val="24"/>
              </w:rPr>
              <w:t>and</w:t>
            </w:r>
            <w:r>
              <w:rPr>
                <w:spacing w:val="-14"/>
                <w:sz w:val="24"/>
              </w:rPr>
              <w:t> </w:t>
            </w:r>
            <w:r>
              <w:rPr>
                <w:spacing w:val="-2"/>
                <w:sz w:val="24"/>
              </w:rPr>
              <w:t>future</w:t>
            </w:r>
            <w:r>
              <w:rPr>
                <w:spacing w:val="-15"/>
                <w:sz w:val="24"/>
              </w:rPr>
              <w:t> </w:t>
            </w:r>
            <w:r>
              <w:rPr>
                <w:spacing w:val="-2"/>
                <w:sz w:val="24"/>
              </w:rPr>
              <w:t>proofed</w:t>
            </w:r>
            <w:r>
              <w:rPr>
                <w:spacing w:val="-15"/>
                <w:sz w:val="24"/>
              </w:rPr>
              <w:t> </w:t>
            </w:r>
            <w:r>
              <w:rPr>
                <w:spacing w:val="-2"/>
                <w:sz w:val="24"/>
              </w:rPr>
              <w:t>services</w:t>
            </w:r>
            <w:r>
              <w:rPr>
                <w:spacing w:val="-13"/>
                <w:sz w:val="24"/>
              </w:rPr>
              <w:t> </w:t>
            </w:r>
            <w:r>
              <w:rPr>
                <w:spacing w:val="-2"/>
                <w:sz w:val="24"/>
              </w:rPr>
              <w:t>that</w:t>
            </w:r>
            <w:r>
              <w:rPr>
                <w:spacing w:val="-15"/>
                <w:sz w:val="24"/>
              </w:rPr>
              <w:t> </w:t>
            </w:r>
            <w:r>
              <w:rPr>
                <w:spacing w:val="-2"/>
                <w:sz w:val="24"/>
              </w:rPr>
              <w:t>have</w:t>
            </w:r>
            <w:r>
              <w:rPr>
                <w:spacing w:val="-10"/>
                <w:sz w:val="24"/>
              </w:rPr>
              <w:t> </w:t>
            </w:r>
            <w:r>
              <w:rPr>
                <w:spacing w:val="-2"/>
                <w:sz w:val="24"/>
              </w:rPr>
              <w:t>the</w:t>
            </w:r>
            <w:r>
              <w:rPr>
                <w:spacing w:val="-15"/>
                <w:sz w:val="24"/>
              </w:rPr>
              <w:t> </w:t>
            </w:r>
            <w:r>
              <w:rPr>
                <w:spacing w:val="-2"/>
                <w:sz w:val="24"/>
              </w:rPr>
              <w:t>greatest </w:t>
            </w:r>
            <w:r>
              <w:rPr>
                <w:sz w:val="24"/>
              </w:rPr>
              <w:t>impact</w:t>
            </w:r>
            <w:r>
              <w:rPr>
                <w:spacing w:val="-9"/>
                <w:sz w:val="24"/>
              </w:rPr>
              <w:t> </w:t>
            </w:r>
            <w:r>
              <w:rPr>
                <w:sz w:val="24"/>
              </w:rPr>
              <w:t>and</w:t>
            </w:r>
            <w:r>
              <w:rPr>
                <w:spacing w:val="-6"/>
                <w:sz w:val="24"/>
              </w:rPr>
              <w:t> </w:t>
            </w:r>
            <w:r>
              <w:rPr>
                <w:sz w:val="24"/>
              </w:rPr>
              <w:t>are</w:t>
            </w:r>
            <w:r>
              <w:rPr>
                <w:spacing w:val="-6"/>
                <w:sz w:val="24"/>
              </w:rPr>
              <w:t> </w:t>
            </w:r>
            <w:r>
              <w:rPr>
                <w:sz w:val="24"/>
              </w:rPr>
              <w:t>in</w:t>
            </w:r>
            <w:r>
              <w:rPr>
                <w:spacing w:val="-6"/>
                <w:sz w:val="24"/>
              </w:rPr>
              <w:t> </w:t>
            </w:r>
            <w:r>
              <w:rPr>
                <w:sz w:val="24"/>
              </w:rPr>
              <w:t>the</w:t>
            </w:r>
            <w:r>
              <w:rPr>
                <w:spacing w:val="-6"/>
                <w:sz w:val="24"/>
              </w:rPr>
              <w:t> </w:t>
            </w:r>
            <w:r>
              <w:rPr>
                <w:sz w:val="24"/>
              </w:rPr>
              <w:t>best</w:t>
            </w:r>
            <w:r>
              <w:rPr>
                <w:spacing w:val="-9"/>
                <w:sz w:val="24"/>
              </w:rPr>
              <w:t> </w:t>
            </w:r>
            <w:r>
              <w:rPr>
                <w:sz w:val="24"/>
              </w:rPr>
              <w:t>interests</w:t>
            </w:r>
            <w:r>
              <w:rPr>
                <w:spacing w:val="-7"/>
                <w:sz w:val="24"/>
              </w:rPr>
              <w:t> </w:t>
            </w:r>
            <w:r>
              <w:rPr>
                <w:sz w:val="24"/>
              </w:rPr>
              <w:t>of</w:t>
            </w:r>
            <w:r>
              <w:rPr>
                <w:spacing w:val="-9"/>
                <w:sz w:val="24"/>
              </w:rPr>
              <w:t> </w:t>
            </w:r>
            <w:r>
              <w:rPr>
                <w:sz w:val="24"/>
              </w:rPr>
              <w:t>all</w:t>
            </w:r>
            <w:r>
              <w:rPr>
                <w:spacing w:val="-6"/>
                <w:sz w:val="24"/>
              </w:rPr>
              <w:t> </w:t>
            </w:r>
            <w:r>
              <w:rPr>
                <w:sz w:val="24"/>
              </w:rPr>
              <w:t>communities</w:t>
            </w:r>
            <w:r>
              <w:rPr>
                <w:spacing w:val="-7"/>
                <w:sz w:val="24"/>
              </w:rPr>
              <w:t> </w:t>
            </w:r>
            <w:r>
              <w:rPr>
                <w:sz w:val="24"/>
              </w:rPr>
              <w:t>and</w:t>
            </w:r>
            <w:r>
              <w:rPr>
                <w:spacing w:val="-6"/>
                <w:sz w:val="24"/>
              </w:rPr>
              <w:t> </w:t>
            </w:r>
            <w:r>
              <w:rPr>
                <w:sz w:val="24"/>
              </w:rPr>
              <w:t>patients</w:t>
            </w:r>
          </w:p>
        </w:tc>
      </w:tr>
    </w:tbl>
    <w:p>
      <w:pPr>
        <w:pStyle w:val="BodyText"/>
        <w:spacing w:before="159"/>
      </w:pPr>
    </w:p>
    <w:p>
      <w:pPr>
        <w:pStyle w:val="ListParagraph"/>
        <w:numPr>
          <w:ilvl w:val="1"/>
          <w:numId w:val="51"/>
        </w:numPr>
        <w:tabs>
          <w:tab w:pos="862" w:val="left" w:leader="none"/>
        </w:tabs>
        <w:spacing w:line="240" w:lineRule="auto" w:before="0" w:after="0"/>
        <w:ind w:left="862" w:right="619" w:hanging="720"/>
        <w:jc w:val="left"/>
        <w:rPr>
          <w:sz w:val="24"/>
        </w:rPr>
      </w:pPr>
      <w:r>
        <w:rPr>
          <w:sz w:val="24"/>
        </w:rPr>
        <w:t>Ensure</w:t>
      </w:r>
      <w:r>
        <w:rPr>
          <w:spacing w:val="-10"/>
          <w:sz w:val="24"/>
        </w:rPr>
        <w:t> </w:t>
      </w:r>
      <w:r>
        <w:rPr>
          <w:sz w:val="24"/>
        </w:rPr>
        <w:t>an</w:t>
      </w:r>
      <w:r>
        <w:rPr>
          <w:spacing w:val="-10"/>
          <w:sz w:val="24"/>
        </w:rPr>
        <w:t> </w:t>
      </w:r>
      <w:r>
        <w:rPr>
          <w:sz w:val="24"/>
        </w:rPr>
        <w:t>effective</w:t>
      </w:r>
      <w:r>
        <w:rPr>
          <w:spacing w:val="-15"/>
          <w:sz w:val="24"/>
        </w:rPr>
        <w:t> </w:t>
      </w:r>
      <w:r>
        <w:rPr>
          <w:sz w:val="24"/>
        </w:rPr>
        <w:t>governance</w:t>
      </w:r>
      <w:r>
        <w:rPr>
          <w:spacing w:val="-5"/>
          <w:sz w:val="24"/>
        </w:rPr>
        <w:t> </w:t>
      </w:r>
      <w:r>
        <w:rPr>
          <w:sz w:val="24"/>
        </w:rPr>
        <w:t>framework</w:t>
      </w:r>
      <w:r>
        <w:rPr>
          <w:spacing w:val="-11"/>
          <w:sz w:val="24"/>
        </w:rPr>
        <w:t> </w:t>
      </w:r>
      <w:r>
        <w:rPr>
          <w:sz w:val="24"/>
        </w:rPr>
        <w:t>is</w:t>
      </w:r>
      <w:r>
        <w:rPr>
          <w:spacing w:val="-16"/>
          <w:sz w:val="24"/>
        </w:rPr>
        <w:t> </w:t>
      </w:r>
      <w:r>
        <w:rPr>
          <w:sz w:val="24"/>
        </w:rPr>
        <w:t>in</w:t>
      </w:r>
      <w:r>
        <w:rPr>
          <w:spacing w:val="-15"/>
          <w:sz w:val="24"/>
        </w:rPr>
        <w:t> </w:t>
      </w:r>
      <w:r>
        <w:rPr>
          <w:sz w:val="24"/>
        </w:rPr>
        <w:t>place</w:t>
      </w:r>
      <w:r>
        <w:rPr>
          <w:spacing w:val="-10"/>
          <w:sz w:val="24"/>
        </w:rPr>
        <w:t> </w:t>
      </w:r>
      <w:r>
        <w:rPr>
          <w:sz w:val="24"/>
        </w:rPr>
        <w:t>to</w:t>
      </w:r>
      <w:r>
        <w:rPr>
          <w:spacing w:val="-10"/>
          <w:sz w:val="24"/>
        </w:rPr>
        <w:t> </w:t>
      </w:r>
      <w:r>
        <w:rPr>
          <w:sz w:val="24"/>
        </w:rPr>
        <w:t>govern</w:t>
      </w:r>
      <w:r>
        <w:rPr>
          <w:spacing w:val="-5"/>
          <w:sz w:val="24"/>
        </w:rPr>
        <w:t> </w:t>
      </w:r>
      <w:r>
        <w:rPr>
          <w:sz w:val="24"/>
        </w:rPr>
        <w:t>the</w:t>
      </w:r>
      <w:r>
        <w:rPr>
          <w:spacing w:val="-10"/>
          <w:sz w:val="24"/>
        </w:rPr>
        <w:t> </w:t>
      </w:r>
      <w:r>
        <w:rPr>
          <w:sz w:val="24"/>
        </w:rPr>
        <w:t>work</w:t>
      </w:r>
      <w:r>
        <w:rPr>
          <w:spacing w:val="-11"/>
          <w:sz w:val="24"/>
        </w:rPr>
        <w:t> </w:t>
      </w:r>
      <w:r>
        <w:rPr>
          <w:sz w:val="24"/>
        </w:rPr>
        <w:t>of</w:t>
      </w:r>
      <w:r>
        <w:rPr>
          <w:spacing w:val="-8"/>
          <w:sz w:val="24"/>
        </w:rPr>
        <w:t> </w:t>
      </w:r>
      <w:r>
        <w:rPr>
          <w:sz w:val="24"/>
        </w:rPr>
        <w:t>the</w:t>
      </w:r>
      <w:r>
        <w:rPr>
          <w:spacing w:val="-5"/>
          <w:sz w:val="24"/>
        </w:rPr>
        <w:t> </w:t>
      </w:r>
      <w:r>
        <w:rPr>
          <w:sz w:val="24"/>
        </w:rPr>
        <w:t>RCSPS, </w:t>
      </w:r>
      <w:r>
        <w:rPr>
          <w:spacing w:val="-2"/>
          <w:sz w:val="24"/>
        </w:rPr>
        <w:t>which</w:t>
      </w:r>
      <w:r>
        <w:rPr>
          <w:spacing w:val="-11"/>
          <w:sz w:val="24"/>
        </w:rPr>
        <w:t> </w:t>
      </w:r>
      <w:r>
        <w:rPr>
          <w:spacing w:val="-2"/>
          <w:sz w:val="24"/>
        </w:rPr>
        <w:t>facilitates</w:t>
      </w:r>
      <w:r>
        <w:rPr>
          <w:spacing w:val="-12"/>
          <w:sz w:val="24"/>
        </w:rPr>
        <w:t> </w:t>
      </w:r>
      <w:r>
        <w:rPr>
          <w:spacing w:val="-2"/>
          <w:sz w:val="24"/>
        </w:rPr>
        <w:t>the</w:t>
      </w:r>
      <w:r>
        <w:rPr>
          <w:spacing w:val="-15"/>
          <w:sz w:val="24"/>
        </w:rPr>
        <w:t> </w:t>
      </w:r>
      <w:r>
        <w:rPr>
          <w:spacing w:val="-2"/>
          <w:sz w:val="24"/>
        </w:rPr>
        <w:t>ambitions</w:t>
      </w:r>
      <w:r>
        <w:rPr>
          <w:spacing w:val="-11"/>
          <w:sz w:val="24"/>
        </w:rPr>
        <w:t> </w:t>
      </w:r>
      <w:r>
        <w:rPr>
          <w:spacing w:val="-2"/>
          <w:sz w:val="24"/>
        </w:rPr>
        <w:t>and</w:t>
      </w:r>
      <w:r>
        <w:rPr>
          <w:spacing w:val="-11"/>
          <w:sz w:val="24"/>
        </w:rPr>
        <w:t> </w:t>
      </w:r>
      <w:r>
        <w:rPr>
          <w:spacing w:val="-2"/>
          <w:sz w:val="24"/>
        </w:rPr>
        <w:t>design</w:t>
      </w:r>
      <w:r>
        <w:rPr>
          <w:spacing w:val="-11"/>
          <w:sz w:val="24"/>
        </w:rPr>
        <w:t> </w:t>
      </w:r>
      <w:r>
        <w:rPr>
          <w:spacing w:val="-2"/>
          <w:sz w:val="24"/>
        </w:rPr>
        <w:t>principles</w:t>
      </w:r>
      <w:r>
        <w:rPr>
          <w:spacing w:val="-12"/>
          <w:sz w:val="24"/>
        </w:rPr>
        <w:t> </w:t>
      </w:r>
      <w:r>
        <w:rPr>
          <w:spacing w:val="-2"/>
          <w:sz w:val="24"/>
        </w:rPr>
        <w:t>set</w:t>
      </w:r>
      <w:r>
        <w:rPr>
          <w:spacing w:val="-14"/>
          <w:sz w:val="24"/>
        </w:rPr>
        <w:t> </w:t>
      </w:r>
      <w:r>
        <w:rPr>
          <w:spacing w:val="-2"/>
          <w:sz w:val="24"/>
        </w:rPr>
        <w:t>out</w:t>
      </w:r>
      <w:r>
        <w:rPr>
          <w:spacing w:val="-14"/>
          <w:sz w:val="24"/>
        </w:rPr>
        <w:t> </w:t>
      </w:r>
      <w:r>
        <w:rPr>
          <w:spacing w:val="-2"/>
          <w:sz w:val="24"/>
        </w:rPr>
        <w:t>by</w:t>
      </w:r>
      <w:r>
        <w:rPr>
          <w:spacing w:val="-7"/>
          <w:sz w:val="24"/>
        </w:rPr>
        <w:t> </w:t>
      </w:r>
      <w:r>
        <w:rPr>
          <w:spacing w:val="-2"/>
          <w:sz w:val="24"/>
        </w:rPr>
        <w:t>the</w:t>
      </w:r>
      <w:r>
        <w:rPr>
          <w:spacing w:val="-11"/>
          <w:sz w:val="24"/>
        </w:rPr>
        <w:t> </w:t>
      </w:r>
      <w:r>
        <w:rPr>
          <w:spacing w:val="-2"/>
          <w:sz w:val="24"/>
        </w:rPr>
        <w:t>RJC</w:t>
      </w:r>
      <w:r>
        <w:rPr>
          <w:spacing w:val="-11"/>
          <w:sz w:val="24"/>
        </w:rPr>
        <w:t> </w:t>
      </w:r>
      <w:r>
        <w:rPr>
          <w:spacing w:val="-2"/>
          <w:sz w:val="24"/>
        </w:rPr>
        <w:t>and</w:t>
      </w:r>
      <w:r>
        <w:rPr>
          <w:spacing w:val="-11"/>
          <w:sz w:val="24"/>
        </w:rPr>
        <w:t> </w:t>
      </w:r>
      <w:r>
        <w:rPr>
          <w:spacing w:val="-2"/>
          <w:sz w:val="24"/>
        </w:rPr>
        <w:t>provides</w:t>
      </w:r>
      <w:r>
        <w:rPr>
          <w:spacing w:val="-12"/>
          <w:sz w:val="24"/>
        </w:rPr>
        <w:t> </w:t>
      </w:r>
      <w:r>
        <w:rPr>
          <w:spacing w:val="-2"/>
          <w:sz w:val="24"/>
        </w:rPr>
        <w:t>clear </w:t>
      </w:r>
      <w:r>
        <w:rPr>
          <w:sz w:val="24"/>
        </w:rPr>
        <w:t>routes</w:t>
      </w:r>
      <w:r>
        <w:rPr>
          <w:spacing w:val="-14"/>
          <w:sz w:val="24"/>
        </w:rPr>
        <w:t> </w:t>
      </w:r>
      <w:r>
        <w:rPr>
          <w:sz w:val="24"/>
        </w:rPr>
        <w:t>for</w:t>
      </w:r>
      <w:r>
        <w:rPr>
          <w:spacing w:val="-14"/>
          <w:sz w:val="24"/>
        </w:rPr>
        <w:t> </w:t>
      </w:r>
      <w:r>
        <w:rPr>
          <w:sz w:val="24"/>
        </w:rPr>
        <w:t>assurance,</w:t>
      </w:r>
      <w:r>
        <w:rPr>
          <w:spacing w:val="-16"/>
          <w:sz w:val="24"/>
        </w:rPr>
        <w:t> </w:t>
      </w:r>
      <w:r>
        <w:rPr>
          <w:sz w:val="24"/>
        </w:rPr>
        <w:t>escalation</w:t>
      </w:r>
      <w:r>
        <w:rPr>
          <w:spacing w:val="-13"/>
          <w:sz w:val="24"/>
        </w:rPr>
        <w:t> </w:t>
      </w:r>
      <w:r>
        <w:rPr>
          <w:sz w:val="24"/>
        </w:rPr>
        <w:t>and</w:t>
      </w:r>
      <w:r>
        <w:rPr>
          <w:spacing w:val="-13"/>
          <w:sz w:val="24"/>
        </w:rPr>
        <w:t> </w:t>
      </w:r>
      <w:r>
        <w:rPr>
          <w:sz w:val="24"/>
        </w:rPr>
        <w:t>decision-making</w:t>
      </w:r>
      <w:r>
        <w:rPr>
          <w:spacing w:val="-12"/>
          <w:sz w:val="24"/>
        </w:rPr>
        <w:t> </w:t>
      </w:r>
      <w:r>
        <w:rPr>
          <w:sz w:val="24"/>
        </w:rPr>
        <w:t>(see</w:t>
      </w:r>
      <w:r>
        <w:rPr>
          <w:spacing w:val="-8"/>
          <w:sz w:val="24"/>
        </w:rPr>
        <w:t> </w:t>
      </w:r>
      <w:r>
        <w:rPr>
          <w:sz w:val="24"/>
        </w:rPr>
        <w:t>Appendix</w:t>
      </w:r>
      <w:r>
        <w:rPr>
          <w:spacing w:val="-14"/>
          <w:sz w:val="24"/>
        </w:rPr>
        <w:t> </w:t>
      </w:r>
      <w:r>
        <w:rPr>
          <w:sz w:val="24"/>
        </w:rPr>
        <w:t>1</w:t>
      </w:r>
      <w:r>
        <w:rPr>
          <w:spacing w:val="-13"/>
          <w:sz w:val="24"/>
        </w:rPr>
        <w:t> </w:t>
      </w:r>
      <w:r>
        <w:rPr>
          <w:sz w:val="24"/>
        </w:rPr>
        <w:t>Regional </w:t>
      </w:r>
      <w:r>
        <w:rPr>
          <w:spacing w:val="-2"/>
          <w:sz w:val="24"/>
        </w:rPr>
        <w:t>Governance)</w:t>
      </w:r>
    </w:p>
    <w:p>
      <w:pPr>
        <w:pStyle w:val="BodyText"/>
        <w:rPr>
          <w:sz w:val="20"/>
        </w:rPr>
      </w:pPr>
    </w:p>
    <w:p>
      <w:pPr>
        <w:pStyle w:val="BodyText"/>
        <w:spacing w:before="219"/>
        <w:rPr>
          <w:sz w:val="20"/>
        </w:rPr>
      </w:pPr>
    </w:p>
    <w:p>
      <w:pPr>
        <w:spacing w:before="0"/>
        <w:ind w:left="4" w:right="284" w:firstLine="0"/>
        <w:jc w:val="center"/>
        <w:rPr>
          <w:sz w:val="20"/>
        </w:rPr>
      </w:pPr>
      <w:r>
        <w:rPr>
          <w:spacing w:val="-10"/>
          <w:sz w:val="20"/>
        </w:rPr>
        <w:t>3</w:t>
      </w:r>
    </w:p>
    <w:p>
      <w:pPr>
        <w:spacing w:after="0"/>
        <w:jc w:val="center"/>
        <w:rPr>
          <w:sz w:val="20"/>
        </w:rPr>
        <w:sectPr>
          <w:pgSz w:w="11910" w:h="16840"/>
          <w:pgMar w:header="0" w:footer="149" w:top="920" w:bottom="340" w:left="708" w:right="425"/>
        </w:sectPr>
      </w:pPr>
    </w:p>
    <w:p>
      <w:pPr>
        <w:pStyle w:val="ListParagraph"/>
        <w:numPr>
          <w:ilvl w:val="1"/>
          <w:numId w:val="51"/>
        </w:numPr>
        <w:tabs>
          <w:tab w:pos="862" w:val="left" w:leader="none"/>
        </w:tabs>
        <w:spacing w:line="242" w:lineRule="auto" w:before="75" w:after="0"/>
        <w:ind w:left="862" w:right="461" w:hanging="720"/>
        <w:jc w:val="left"/>
        <w:rPr>
          <w:sz w:val="24"/>
        </w:rPr>
      </w:pPr>
      <w:r>
        <w:rPr>
          <w:spacing w:val="-2"/>
          <w:sz w:val="24"/>
        </w:rPr>
        <w:t>Pro-actively</w:t>
      </w:r>
      <w:r>
        <w:rPr>
          <w:spacing w:val="-15"/>
          <w:sz w:val="24"/>
        </w:rPr>
        <w:t> </w:t>
      </w:r>
      <w:r>
        <w:rPr>
          <w:spacing w:val="-2"/>
          <w:sz w:val="24"/>
        </w:rPr>
        <w:t>manage</w:t>
      </w:r>
      <w:r>
        <w:rPr>
          <w:spacing w:val="-15"/>
          <w:sz w:val="24"/>
        </w:rPr>
        <w:t> </w:t>
      </w:r>
      <w:r>
        <w:rPr>
          <w:spacing w:val="-2"/>
          <w:sz w:val="24"/>
        </w:rPr>
        <w:t>the</w:t>
      </w:r>
      <w:r>
        <w:rPr>
          <w:spacing w:val="-14"/>
          <w:sz w:val="24"/>
        </w:rPr>
        <w:t> </w:t>
      </w:r>
      <w:r>
        <w:rPr>
          <w:spacing w:val="-2"/>
          <w:sz w:val="24"/>
        </w:rPr>
        <w:t>appropriate</w:t>
      </w:r>
      <w:r>
        <w:rPr>
          <w:spacing w:val="-15"/>
          <w:sz w:val="24"/>
        </w:rPr>
        <w:t> </w:t>
      </w:r>
      <w:r>
        <w:rPr>
          <w:spacing w:val="-2"/>
          <w:sz w:val="24"/>
        </w:rPr>
        <w:t>risks</w:t>
      </w:r>
      <w:r>
        <w:rPr>
          <w:spacing w:val="-15"/>
          <w:sz w:val="24"/>
        </w:rPr>
        <w:t> </w:t>
      </w:r>
      <w:r>
        <w:rPr>
          <w:spacing w:val="-2"/>
          <w:sz w:val="24"/>
        </w:rPr>
        <w:t>identified</w:t>
      </w:r>
      <w:r>
        <w:rPr>
          <w:spacing w:val="-15"/>
          <w:sz w:val="24"/>
        </w:rPr>
        <w:t> </w:t>
      </w:r>
      <w:r>
        <w:rPr>
          <w:spacing w:val="-2"/>
          <w:sz w:val="24"/>
        </w:rPr>
        <w:t>within</w:t>
      </w:r>
      <w:r>
        <w:rPr>
          <w:spacing w:val="-14"/>
          <w:sz w:val="24"/>
        </w:rPr>
        <w:t> </w:t>
      </w:r>
      <w:r>
        <w:rPr>
          <w:spacing w:val="-2"/>
          <w:sz w:val="24"/>
        </w:rPr>
        <w:t>the</w:t>
      </w:r>
      <w:r>
        <w:rPr>
          <w:spacing w:val="-15"/>
          <w:sz w:val="24"/>
        </w:rPr>
        <w:t> </w:t>
      </w:r>
      <w:r>
        <w:rPr>
          <w:spacing w:val="-2"/>
          <w:sz w:val="24"/>
        </w:rPr>
        <w:t>RCSPS</w:t>
      </w:r>
      <w:r>
        <w:rPr>
          <w:spacing w:val="-15"/>
          <w:sz w:val="24"/>
        </w:rPr>
        <w:t> </w:t>
      </w:r>
      <w:r>
        <w:rPr>
          <w:spacing w:val="-2"/>
          <w:sz w:val="24"/>
        </w:rPr>
        <w:t>portfolio/programme, </w:t>
      </w:r>
      <w:r>
        <w:rPr>
          <w:sz w:val="24"/>
        </w:rPr>
        <w:t>escalating</w:t>
      </w:r>
      <w:r>
        <w:rPr>
          <w:spacing w:val="-13"/>
          <w:sz w:val="24"/>
        </w:rPr>
        <w:t> </w:t>
      </w:r>
      <w:r>
        <w:rPr>
          <w:sz w:val="24"/>
        </w:rPr>
        <w:t>strategic</w:t>
      </w:r>
      <w:r>
        <w:rPr>
          <w:spacing w:val="-14"/>
          <w:sz w:val="24"/>
        </w:rPr>
        <w:t> </w:t>
      </w:r>
      <w:r>
        <w:rPr>
          <w:sz w:val="24"/>
        </w:rPr>
        <w:t>risks</w:t>
      </w:r>
      <w:r>
        <w:rPr>
          <w:spacing w:val="-14"/>
          <w:sz w:val="24"/>
        </w:rPr>
        <w:t> </w:t>
      </w:r>
      <w:r>
        <w:rPr>
          <w:sz w:val="24"/>
        </w:rPr>
        <w:t>and</w:t>
      </w:r>
      <w:r>
        <w:rPr>
          <w:spacing w:val="-13"/>
          <w:sz w:val="24"/>
        </w:rPr>
        <w:t> </w:t>
      </w:r>
      <w:r>
        <w:rPr>
          <w:sz w:val="24"/>
        </w:rPr>
        <w:t>interdependencies</w:t>
      </w:r>
      <w:r>
        <w:rPr>
          <w:spacing w:val="-10"/>
          <w:sz w:val="24"/>
        </w:rPr>
        <w:t> </w:t>
      </w:r>
      <w:r>
        <w:rPr>
          <w:sz w:val="24"/>
        </w:rPr>
        <w:t>to</w:t>
      </w:r>
      <w:r>
        <w:rPr>
          <w:spacing w:val="-13"/>
          <w:sz w:val="24"/>
        </w:rPr>
        <w:t> </w:t>
      </w:r>
      <w:r>
        <w:rPr>
          <w:sz w:val="24"/>
        </w:rPr>
        <w:t>the</w:t>
      </w:r>
      <w:r>
        <w:rPr>
          <w:spacing w:val="-14"/>
          <w:sz w:val="24"/>
        </w:rPr>
        <w:t> </w:t>
      </w:r>
      <w:r>
        <w:rPr>
          <w:sz w:val="24"/>
        </w:rPr>
        <w:t>RJC</w:t>
      </w:r>
      <w:r>
        <w:rPr>
          <w:spacing w:val="-13"/>
          <w:sz w:val="24"/>
        </w:rPr>
        <w:t> </w:t>
      </w:r>
      <w:r>
        <w:rPr>
          <w:sz w:val="24"/>
        </w:rPr>
        <w:t>as</w:t>
      </w:r>
      <w:r>
        <w:rPr>
          <w:spacing w:val="-14"/>
          <w:sz w:val="24"/>
        </w:rPr>
        <w:t> </w:t>
      </w:r>
      <w:r>
        <w:rPr>
          <w:sz w:val="24"/>
        </w:rPr>
        <w:t>required</w:t>
      </w:r>
      <w:r>
        <w:rPr>
          <w:spacing w:val="-13"/>
          <w:sz w:val="24"/>
        </w:rPr>
        <w:t> </w:t>
      </w:r>
      <w:r>
        <w:rPr>
          <w:sz w:val="24"/>
        </w:rPr>
        <w:t>and</w:t>
      </w:r>
      <w:r>
        <w:rPr>
          <w:spacing w:val="-14"/>
          <w:sz w:val="24"/>
        </w:rPr>
        <w:t> </w:t>
      </w:r>
      <w:r>
        <w:rPr>
          <w:sz w:val="24"/>
        </w:rPr>
        <w:t>remaining accountable</w:t>
      </w:r>
      <w:r>
        <w:rPr>
          <w:spacing w:val="-2"/>
          <w:sz w:val="24"/>
        </w:rPr>
        <w:t> </w:t>
      </w:r>
      <w:r>
        <w:rPr>
          <w:sz w:val="24"/>
        </w:rPr>
        <w:t>to</w:t>
      </w:r>
      <w:r>
        <w:rPr>
          <w:spacing w:val="-7"/>
          <w:sz w:val="24"/>
        </w:rPr>
        <w:t> </w:t>
      </w:r>
      <w:r>
        <w:rPr>
          <w:sz w:val="24"/>
        </w:rPr>
        <w:t>the</w:t>
      </w:r>
      <w:r>
        <w:rPr>
          <w:spacing w:val="-7"/>
          <w:sz w:val="24"/>
        </w:rPr>
        <w:t> </w:t>
      </w:r>
      <w:r>
        <w:rPr>
          <w:sz w:val="24"/>
        </w:rPr>
        <w:t>respective</w:t>
      </w:r>
      <w:r>
        <w:rPr>
          <w:spacing w:val="-7"/>
          <w:sz w:val="24"/>
        </w:rPr>
        <w:t> </w:t>
      </w:r>
      <w:r>
        <w:rPr>
          <w:sz w:val="24"/>
        </w:rPr>
        <w:t>University</w:t>
      </w:r>
      <w:r>
        <w:rPr>
          <w:spacing w:val="-8"/>
          <w:sz w:val="24"/>
        </w:rPr>
        <w:t> </w:t>
      </w:r>
      <w:r>
        <w:rPr>
          <w:sz w:val="24"/>
        </w:rPr>
        <w:t>Health</w:t>
      </w:r>
      <w:r>
        <w:rPr>
          <w:spacing w:val="-7"/>
          <w:sz w:val="24"/>
        </w:rPr>
        <w:t> </w:t>
      </w:r>
      <w:r>
        <w:rPr>
          <w:sz w:val="24"/>
        </w:rPr>
        <w:t>Boards.</w:t>
      </w:r>
    </w:p>
    <w:p>
      <w:pPr>
        <w:pStyle w:val="ListParagraph"/>
        <w:numPr>
          <w:ilvl w:val="1"/>
          <w:numId w:val="51"/>
        </w:numPr>
        <w:tabs>
          <w:tab w:pos="862" w:val="left" w:leader="none"/>
        </w:tabs>
        <w:spacing w:line="240" w:lineRule="auto" w:before="154" w:after="0"/>
        <w:ind w:left="862" w:right="484" w:hanging="720"/>
        <w:jc w:val="left"/>
        <w:rPr>
          <w:sz w:val="24"/>
        </w:rPr>
      </w:pPr>
      <w:r>
        <w:rPr>
          <w:spacing w:val="-2"/>
          <w:sz w:val="24"/>
        </w:rPr>
        <w:t>Develop</w:t>
      </w:r>
      <w:r>
        <w:rPr>
          <w:spacing w:val="-11"/>
          <w:sz w:val="24"/>
        </w:rPr>
        <w:t> </w:t>
      </w:r>
      <w:r>
        <w:rPr>
          <w:spacing w:val="-2"/>
          <w:sz w:val="24"/>
        </w:rPr>
        <w:t>and</w:t>
      </w:r>
      <w:r>
        <w:rPr>
          <w:spacing w:val="-10"/>
          <w:sz w:val="24"/>
        </w:rPr>
        <w:t> </w:t>
      </w:r>
      <w:r>
        <w:rPr>
          <w:spacing w:val="-2"/>
          <w:sz w:val="24"/>
        </w:rPr>
        <w:t>maintain</w:t>
      </w:r>
      <w:r>
        <w:rPr>
          <w:spacing w:val="-10"/>
          <w:sz w:val="24"/>
        </w:rPr>
        <w:t> </w:t>
      </w:r>
      <w:r>
        <w:rPr>
          <w:spacing w:val="-2"/>
          <w:sz w:val="24"/>
        </w:rPr>
        <w:t>a</w:t>
      </w:r>
      <w:r>
        <w:rPr>
          <w:spacing w:val="-10"/>
          <w:sz w:val="24"/>
        </w:rPr>
        <w:t> </w:t>
      </w:r>
      <w:r>
        <w:rPr>
          <w:spacing w:val="-2"/>
          <w:sz w:val="24"/>
        </w:rPr>
        <w:t>work</w:t>
      </w:r>
      <w:r>
        <w:rPr>
          <w:spacing w:val="-11"/>
          <w:sz w:val="24"/>
        </w:rPr>
        <w:t> </w:t>
      </w:r>
      <w:r>
        <w:rPr>
          <w:spacing w:val="-2"/>
          <w:sz w:val="24"/>
        </w:rPr>
        <w:t>programme</w:t>
      </w:r>
      <w:r>
        <w:rPr>
          <w:spacing w:val="-10"/>
          <w:sz w:val="24"/>
        </w:rPr>
        <w:t> </w:t>
      </w:r>
      <w:r>
        <w:rPr>
          <w:spacing w:val="-2"/>
          <w:sz w:val="24"/>
        </w:rPr>
        <w:t>that</w:t>
      </w:r>
      <w:r>
        <w:rPr>
          <w:spacing w:val="-13"/>
          <w:sz w:val="24"/>
        </w:rPr>
        <w:t> </w:t>
      </w:r>
      <w:r>
        <w:rPr>
          <w:spacing w:val="-2"/>
          <w:sz w:val="24"/>
        </w:rPr>
        <w:t>underpins</w:t>
      </w:r>
      <w:r>
        <w:rPr>
          <w:spacing w:val="-7"/>
          <w:sz w:val="24"/>
        </w:rPr>
        <w:t> </w:t>
      </w:r>
      <w:r>
        <w:rPr>
          <w:spacing w:val="-2"/>
          <w:sz w:val="24"/>
        </w:rPr>
        <w:t>the</w:t>
      </w:r>
      <w:r>
        <w:rPr>
          <w:spacing w:val="-10"/>
          <w:sz w:val="24"/>
        </w:rPr>
        <w:t> </w:t>
      </w:r>
      <w:r>
        <w:rPr>
          <w:spacing w:val="-2"/>
          <w:sz w:val="24"/>
        </w:rPr>
        <w:t>work</w:t>
      </w:r>
      <w:r>
        <w:rPr>
          <w:spacing w:val="-15"/>
          <w:sz w:val="24"/>
        </w:rPr>
        <w:t> </w:t>
      </w:r>
      <w:r>
        <w:rPr>
          <w:spacing w:val="-2"/>
          <w:sz w:val="24"/>
        </w:rPr>
        <w:t>of</w:t>
      </w:r>
      <w:r>
        <w:rPr>
          <w:spacing w:val="-8"/>
          <w:sz w:val="24"/>
        </w:rPr>
        <w:t> </w:t>
      </w:r>
      <w:r>
        <w:rPr>
          <w:spacing w:val="-2"/>
          <w:sz w:val="24"/>
        </w:rPr>
        <w:t>the</w:t>
      </w:r>
      <w:r>
        <w:rPr>
          <w:spacing w:val="-6"/>
          <w:sz w:val="24"/>
        </w:rPr>
        <w:t> </w:t>
      </w:r>
      <w:r>
        <w:rPr>
          <w:spacing w:val="-2"/>
          <w:sz w:val="24"/>
        </w:rPr>
        <w:t>RCSPS</w:t>
      </w:r>
      <w:r>
        <w:rPr>
          <w:spacing w:val="-11"/>
          <w:sz w:val="24"/>
        </w:rPr>
        <w:t> </w:t>
      </w:r>
      <w:r>
        <w:rPr>
          <w:spacing w:val="-2"/>
          <w:sz w:val="24"/>
        </w:rPr>
        <w:t>and</w:t>
      </w:r>
      <w:r>
        <w:rPr>
          <w:spacing w:val="-10"/>
          <w:sz w:val="24"/>
        </w:rPr>
        <w:t> </w:t>
      </w:r>
      <w:r>
        <w:rPr>
          <w:spacing w:val="-2"/>
          <w:sz w:val="24"/>
        </w:rPr>
        <w:t>aligns </w:t>
      </w:r>
      <w:r>
        <w:rPr>
          <w:sz w:val="24"/>
        </w:rPr>
        <w:t>with</w:t>
      </w:r>
      <w:r>
        <w:rPr>
          <w:spacing w:val="-17"/>
          <w:sz w:val="24"/>
        </w:rPr>
        <w:t> </w:t>
      </w:r>
      <w:r>
        <w:rPr>
          <w:sz w:val="24"/>
        </w:rPr>
        <w:t>the</w:t>
      </w:r>
      <w:r>
        <w:rPr>
          <w:spacing w:val="-17"/>
          <w:sz w:val="24"/>
        </w:rPr>
        <w:t> </w:t>
      </w:r>
      <w:r>
        <w:rPr>
          <w:sz w:val="24"/>
        </w:rPr>
        <w:t>RJC</w:t>
      </w:r>
      <w:r>
        <w:rPr>
          <w:spacing w:val="-16"/>
          <w:sz w:val="24"/>
        </w:rPr>
        <w:t> </w:t>
      </w:r>
      <w:r>
        <w:rPr>
          <w:sz w:val="24"/>
        </w:rPr>
        <w:t>programme</w:t>
      </w:r>
      <w:r>
        <w:rPr>
          <w:spacing w:val="-17"/>
          <w:sz w:val="24"/>
        </w:rPr>
        <w:t> </w:t>
      </w:r>
      <w:r>
        <w:rPr>
          <w:sz w:val="24"/>
        </w:rPr>
        <w:t>of</w:t>
      </w:r>
      <w:r>
        <w:rPr>
          <w:spacing w:val="-17"/>
          <w:sz w:val="24"/>
        </w:rPr>
        <w:t> </w:t>
      </w:r>
      <w:r>
        <w:rPr>
          <w:sz w:val="24"/>
        </w:rPr>
        <w:t>work,</w:t>
      </w:r>
      <w:r>
        <w:rPr>
          <w:spacing w:val="-17"/>
          <w:sz w:val="24"/>
        </w:rPr>
        <w:t> </w:t>
      </w:r>
      <w:r>
        <w:rPr>
          <w:sz w:val="24"/>
        </w:rPr>
        <w:t>the</w:t>
      </w:r>
      <w:r>
        <w:rPr>
          <w:spacing w:val="-16"/>
          <w:sz w:val="24"/>
        </w:rPr>
        <w:t> </w:t>
      </w:r>
      <w:r>
        <w:rPr>
          <w:sz w:val="24"/>
        </w:rPr>
        <w:t>Health</w:t>
      </w:r>
      <w:r>
        <w:rPr>
          <w:spacing w:val="-17"/>
          <w:sz w:val="24"/>
        </w:rPr>
        <w:t> </w:t>
      </w:r>
      <w:r>
        <w:rPr>
          <w:sz w:val="24"/>
        </w:rPr>
        <w:t>Boards’</w:t>
      </w:r>
      <w:r>
        <w:rPr>
          <w:spacing w:val="-17"/>
          <w:sz w:val="24"/>
        </w:rPr>
        <w:t> </w:t>
      </w:r>
      <w:r>
        <w:rPr>
          <w:sz w:val="24"/>
        </w:rPr>
        <w:t>Annual</w:t>
      </w:r>
      <w:r>
        <w:rPr>
          <w:spacing w:val="-16"/>
          <w:sz w:val="24"/>
        </w:rPr>
        <w:t> </w:t>
      </w:r>
      <w:r>
        <w:rPr>
          <w:sz w:val="24"/>
        </w:rPr>
        <w:t>Plans</w:t>
      </w:r>
      <w:r>
        <w:rPr>
          <w:spacing w:val="-17"/>
          <w:sz w:val="24"/>
        </w:rPr>
        <w:t> </w:t>
      </w:r>
      <w:r>
        <w:rPr>
          <w:sz w:val="24"/>
        </w:rPr>
        <w:t>and</w:t>
      </w:r>
      <w:r>
        <w:rPr>
          <w:spacing w:val="-17"/>
          <w:sz w:val="24"/>
        </w:rPr>
        <w:t> </w:t>
      </w:r>
      <w:r>
        <w:rPr>
          <w:sz w:val="24"/>
        </w:rPr>
        <w:t>relevant</w:t>
      </w:r>
      <w:r>
        <w:rPr>
          <w:spacing w:val="-16"/>
          <w:sz w:val="24"/>
        </w:rPr>
        <w:t> </w:t>
      </w:r>
      <w:r>
        <w:rPr>
          <w:sz w:val="24"/>
        </w:rPr>
        <w:t>Ministerial </w:t>
      </w:r>
      <w:r>
        <w:rPr>
          <w:spacing w:val="-2"/>
          <w:sz w:val="24"/>
        </w:rPr>
        <w:t>Priorities.</w:t>
      </w:r>
    </w:p>
    <w:p>
      <w:pPr>
        <w:pStyle w:val="BodyText"/>
        <w:spacing w:before="9"/>
        <w:rPr>
          <w:sz w:val="16"/>
        </w:rPr>
      </w:pPr>
      <w:r>
        <w:rPr>
          <w:sz w:val="16"/>
        </w:rPr>
        <mc:AlternateContent>
          <mc:Choice Requires="wps">
            <w:drawing>
              <wp:anchor distT="0" distB="0" distL="0" distR="0" allowOverlap="1" layoutInCell="1" locked="0" behindDoc="1" simplePos="0" relativeHeight="487664640">
                <wp:simplePos x="0" y="0"/>
                <wp:positionH relativeFrom="page">
                  <wp:posOffset>574992</wp:posOffset>
                </wp:positionH>
                <wp:positionV relativeFrom="paragraph">
                  <wp:posOffset>144691</wp:posOffset>
                </wp:positionV>
                <wp:extent cx="6642100" cy="190500"/>
                <wp:effectExtent l="0" t="0" r="0" b="0"/>
                <wp:wrapTopAndBottom/>
                <wp:docPr id="467" name="Textbox 467"/>
                <wp:cNvGraphicFramePr>
                  <a:graphicFrameLocks/>
                </wp:cNvGraphicFramePr>
                <a:graphic>
                  <a:graphicData uri="http://schemas.microsoft.com/office/word/2010/wordprocessingShape">
                    <wps:wsp>
                      <wps:cNvPr id="467" name="Textbox 467"/>
                      <wps:cNvSpPr txBox="1"/>
                      <wps:spPr>
                        <a:xfrm>
                          <a:off x="0" y="0"/>
                          <a:ext cx="6642100" cy="19050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6</w:t>
                            </w:r>
                            <w:r>
                              <w:rPr>
                                <w:b/>
                                <w:color w:val="000000"/>
                                <w:sz w:val="24"/>
                              </w:rPr>
                              <w:tab/>
                            </w:r>
                            <w:r>
                              <w:rPr>
                                <w:b/>
                                <w:color w:val="000000"/>
                                <w:spacing w:val="-2"/>
                                <w:sz w:val="24"/>
                              </w:rPr>
                              <w:t>Membership</w:t>
                            </w:r>
                          </w:p>
                        </w:txbxContent>
                      </wps:txbx>
                      <wps:bodyPr wrap="square" lIns="0" tIns="0" rIns="0" bIns="0" rtlCol="0">
                        <a:noAutofit/>
                      </wps:bodyPr>
                    </wps:wsp>
                  </a:graphicData>
                </a:graphic>
              </wp:anchor>
            </w:drawing>
          </mc:Choice>
          <mc:Fallback>
            <w:pict>
              <v:shape style="position:absolute;margin-left:45.275002pt;margin-top:11.393066pt;width:523pt;height:15pt;mso-position-horizontal-relative:page;mso-position-vertical-relative:paragraph;z-index:-15651840;mso-wrap-distance-left:0;mso-wrap-distance-right:0" type="#_x0000_t202" id="docshape249"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6</w:t>
                      </w:r>
                      <w:r>
                        <w:rPr>
                          <w:b/>
                          <w:color w:val="000000"/>
                          <w:sz w:val="24"/>
                        </w:rPr>
                        <w:tab/>
                      </w:r>
                      <w:r>
                        <w:rPr>
                          <w:b/>
                          <w:color w:val="000000"/>
                          <w:spacing w:val="-2"/>
                          <w:sz w:val="24"/>
                        </w:rPr>
                        <w:t>Membership</w:t>
                      </w:r>
                    </w:p>
                  </w:txbxContent>
                </v:textbox>
                <v:fill type="solid"/>
                <v:stroke dashstyle="solid"/>
                <w10:wrap type="topAndBottom"/>
              </v:shape>
            </w:pict>
          </mc:Fallback>
        </mc:AlternateContent>
      </w:r>
    </w:p>
    <w:p>
      <w:pPr>
        <w:pStyle w:val="ListParagraph"/>
        <w:numPr>
          <w:ilvl w:val="1"/>
          <w:numId w:val="52"/>
        </w:numPr>
        <w:tabs>
          <w:tab w:pos="862" w:val="left" w:leader="none"/>
        </w:tabs>
        <w:spacing w:line="240" w:lineRule="auto" w:before="170" w:after="0"/>
        <w:ind w:left="862" w:right="0" w:hanging="720"/>
        <w:jc w:val="left"/>
        <w:rPr>
          <w:sz w:val="24"/>
        </w:rPr>
      </w:pPr>
      <w:r>
        <w:rPr>
          <w:spacing w:val="-2"/>
          <w:sz w:val="24"/>
        </w:rPr>
        <w:t>To</w:t>
      </w:r>
      <w:r>
        <w:rPr>
          <w:spacing w:val="-12"/>
          <w:sz w:val="24"/>
        </w:rPr>
        <w:t> </w:t>
      </w:r>
      <w:r>
        <w:rPr>
          <w:spacing w:val="-2"/>
          <w:sz w:val="24"/>
        </w:rPr>
        <w:t>ensure</w:t>
      </w:r>
      <w:r>
        <w:rPr>
          <w:spacing w:val="-11"/>
          <w:sz w:val="24"/>
        </w:rPr>
        <w:t> </w:t>
      </w:r>
      <w:r>
        <w:rPr>
          <w:spacing w:val="-2"/>
          <w:sz w:val="24"/>
        </w:rPr>
        <w:t>the</w:t>
      </w:r>
      <w:r>
        <w:rPr>
          <w:spacing w:val="-9"/>
          <w:sz w:val="24"/>
        </w:rPr>
        <w:t> </w:t>
      </w:r>
      <w:r>
        <w:rPr>
          <w:spacing w:val="-2"/>
          <w:sz w:val="24"/>
        </w:rPr>
        <w:t>RCSPS</w:t>
      </w:r>
      <w:r>
        <w:rPr>
          <w:spacing w:val="-12"/>
          <w:sz w:val="24"/>
        </w:rPr>
        <w:t> </w:t>
      </w:r>
      <w:r>
        <w:rPr>
          <w:spacing w:val="-2"/>
          <w:sz w:val="24"/>
        </w:rPr>
        <w:t>undertakes</w:t>
      </w:r>
      <w:r>
        <w:rPr>
          <w:spacing w:val="-12"/>
          <w:sz w:val="24"/>
        </w:rPr>
        <w:t> </w:t>
      </w:r>
      <w:r>
        <w:rPr>
          <w:spacing w:val="-2"/>
          <w:sz w:val="24"/>
        </w:rPr>
        <w:t>its</w:t>
      </w:r>
      <w:r>
        <w:rPr>
          <w:spacing w:val="-12"/>
          <w:sz w:val="24"/>
        </w:rPr>
        <w:t> </w:t>
      </w:r>
      <w:r>
        <w:rPr>
          <w:spacing w:val="-2"/>
          <w:sz w:val="24"/>
        </w:rPr>
        <w:t>role</w:t>
      </w:r>
      <w:r>
        <w:rPr>
          <w:spacing w:val="-11"/>
          <w:sz w:val="24"/>
        </w:rPr>
        <w:t> </w:t>
      </w:r>
      <w:r>
        <w:rPr>
          <w:spacing w:val="-2"/>
          <w:sz w:val="24"/>
        </w:rPr>
        <w:t>effectively,</w:t>
      </w:r>
      <w:r>
        <w:rPr>
          <w:spacing w:val="-14"/>
          <w:sz w:val="24"/>
        </w:rPr>
        <w:t> </w:t>
      </w:r>
      <w:r>
        <w:rPr>
          <w:spacing w:val="-2"/>
          <w:sz w:val="24"/>
        </w:rPr>
        <w:t>its</w:t>
      </w:r>
      <w:r>
        <w:rPr>
          <w:spacing w:val="-12"/>
          <w:sz w:val="24"/>
        </w:rPr>
        <w:t> </w:t>
      </w:r>
      <w:r>
        <w:rPr>
          <w:spacing w:val="-2"/>
          <w:sz w:val="24"/>
        </w:rPr>
        <w:t>members</w:t>
      </w:r>
      <w:r>
        <w:rPr>
          <w:spacing w:val="-12"/>
          <w:sz w:val="24"/>
        </w:rPr>
        <w:t> </w:t>
      </w:r>
      <w:r>
        <w:rPr>
          <w:spacing w:val="-2"/>
          <w:sz w:val="24"/>
        </w:rPr>
        <w:t>will:</w:t>
      </w:r>
    </w:p>
    <w:p>
      <w:pPr>
        <w:pStyle w:val="ListParagraph"/>
        <w:numPr>
          <w:ilvl w:val="2"/>
          <w:numId w:val="52"/>
        </w:numPr>
        <w:tabs>
          <w:tab w:pos="862" w:val="left" w:leader="none"/>
        </w:tabs>
        <w:spacing w:line="240" w:lineRule="auto" w:before="164" w:after="0"/>
        <w:ind w:left="862" w:right="0" w:hanging="360"/>
        <w:jc w:val="left"/>
        <w:rPr>
          <w:sz w:val="24"/>
        </w:rPr>
      </w:pPr>
      <w:r>
        <w:rPr>
          <w:spacing w:val="-4"/>
          <w:sz w:val="24"/>
        </w:rPr>
        <w:t>Attend</w:t>
      </w:r>
      <w:r>
        <w:rPr>
          <w:spacing w:val="-5"/>
          <w:sz w:val="24"/>
        </w:rPr>
        <w:t> </w:t>
      </w:r>
      <w:r>
        <w:rPr>
          <w:spacing w:val="-2"/>
          <w:sz w:val="24"/>
        </w:rPr>
        <w:t>meetings.</w:t>
      </w:r>
    </w:p>
    <w:p>
      <w:pPr>
        <w:pStyle w:val="ListParagraph"/>
        <w:numPr>
          <w:ilvl w:val="2"/>
          <w:numId w:val="52"/>
        </w:numPr>
        <w:tabs>
          <w:tab w:pos="862" w:val="left" w:leader="none"/>
        </w:tabs>
        <w:spacing w:line="240" w:lineRule="auto" w:before="119" w:after="0"/>
        <w:ind w:left="862" w:right="0" w:hanging="360"/>
        <w:jc w:val="left"/>
        <w:rPr>
          <w:sz w:val="24"/>
        </w:rPr>
      </w:pPr>
      <w:r>
        <w:rPr>
          <w:spacing w:val="-2"/>
          <w:sz w:val="24"/>
        </w:rPr>
        <w:t>Adopt</w:t>
      </w:r>
      <w:r>
        <w:rPr>
          <w:spacing w:val="-17"/>
          <w:sz w:val="24"/>
        </w:rPr>
        <w:t> </w:t>
      </w:r>
      <w:r>
        <w:rPr>
          <w:spacing w:val="-2"/>
          <w:sz w:val="24"/>
        </w:rPr>
        <w:t>an</w:t>
      </w:r>
      <w:r>
        <w:rPr>
          <w:spacing w:val="-15"/>
          <w:sz w:val="24"/>
        </w:rPr>
        <w:t> </w:t>
      </w:r>
      <w:r>
        <w:rPr>
          <w:spacing w:val="-2"/>
          <w:sz w:val="24"/>
        </w:rPr>
        <w:t>open</w:t>
      </w:r>
      <w:r>
        <w:rPr>
          <w:spacing w:val="-14"/>
          <w:sz w:val="24"/>
        </w:rPr>
        <w:t> </w:t>
      </w:r>
      <w:r>
        <w:rPr>
          <w:spacing w:val="-2"/>
          <w:sz w:val="24"/>
        </w:rPr>
        <w:t>and</w:t>
      </w:r>
      <w:r>
        <w:rPr>
          <w:spacing w:val="-13"/>
          <w:sz w:val="24"/>
        </w:rPr>
        <w:t> </w:t>
      </w:r>
      <w:r>
        <w:rPr>
          <w:spacing w:val="-2"/>
          <w:sz w:val="24"/>
        </w:rPr>
        <w:t>constructively</w:t>
      </w:r>
      <w:r>
        <w:rPr>
          <w:spacing w:val="-14"/>
          <w:sz w:val="24"/>
        </w:rPr>
        <w:t> </w:t>
      </w:r>
      <w:r>
        <w:rPr>
          <w:spacing w:val="-2"/>
          <w:sz w:val="24"/>
        </w:rPr>
        <w:t>challenging</w:t>
      </w:r>
      <w:r>
        <w:rPr>
          <w:spacing w:val="-15"/>
          <w:sz w:val="24"/>
        </w:rPr>
        <w:t> </w:t>
      </w:r>
      <w:r>
        <w:rPr>
          <w:spacing w:val="-2"/>
          <w:sz w:val="24"/>
        </w:rPr>
        <w:t>approach</w:t>
      </w:r>
      <w:r>
        <w:rPr>
          <w:spacing w:val="-13"/>
          <w:sz w:val="24"/>
        </w:rPr>
        <w:t> </w:t>
      </w:r>
      <w:r>
        <w:rPr>
          <w:spacing w:val="-2"/>
          <w:sz w:val="24"/>
        </w:rPr>
        <w:t>within</w:t>
      </w:r>
      <w:r>
        <w:rPr>
          <w:spacing w:val="-12"/>
          <w:sz w:val="24"/>
        </w:rPr>
        <w:t> </w:t>
      </w:r>
      <w:r>
        <w:rPr>
          <w:spacing w:val="-2"/>
          <w:sz w:val="24"/>
        </w:rPr>
        <w:t>meetings.</w:t>
      </w:r>
    </w:p>
    <w:p>
      <w:pPr>
        <w:pStyle w:val="ListParagraph"/>
        <w:numPr>
          <w:ilvl w:val="2"/>
          <w:numId w:val="52"/>
        </w:numPr>
        <w:tabs>
          <w:tab w:pos="862" w:val="left" w:leader="none"/>
        </w:tabs>
        <w:spacing w:line="240" w:lineRule="auto" w:before="119" w:after="0"/>
        <w:ind w:left="862" w:right="0" w:hanging="360"/>
        <w:jc w:val="left"/>
        <w:rPr>
          <w:sz w:val="24"/>
        </w:rPr>
      </w:pPr>
      <w:r>
        <w:rPr>
          <w:spacing w:val="-2"/>
          <w:sz w:val="24"/>
        </w:rPr>
        <w:t>Promptly</w:t>
      </w:r>
      <w:r>
        <w:rPr>
          <w:spacing w:val="-14"/>
          <w:sz w:val="24"/>
        </w:rPr>
        <w:t> </w:t>
      </w:r>
      <w:r>
        <w:rPr>
          <w:spacing w:val="-2"/>
          <w:sz w:val="24"/>
        </w:rPr>
        <w:t>follow</w:t>
      </w:r>
      <w:r>
        <w:rPr>
          <w:spacing w:val="-12"/>
          <w:sz w:val="24"/>
        </w:rPr>
        <w:t> </w:t>
      </w:r>
      <w:r>
        <w:rPr>
          <w:spacing w:val="-2"/>
          <w:sz w:val="24"/>
        </w:rPr>
        <w:t>up</w:t>
      </w:r>
      <w:r>
        <w:rPr>
          <w:spacing w:val="-12"/>
          <w:sz w:val="24"/>
        </w:rPr>
        <w:t> </w:t>
      </w:r>
      <w:r>
        <w:rPr>
          <w:spacing w:val="-2"/>
          <w:sz w:val="24"/>
        </w:rPr>
        <w:t>on</w:t>
      </w:r>
      <w:r>
        <w:rPr>
          <w:spacing w:val="-13"/>
          <w:sz w:val="24"/>
        </w:rPr>
        <w:t> </w:t>
      </w:r>
      <w:r>
        <w:rPr>
          <w:spacing w:val="-2"/>
          <w:sz w:val="24"/>
        </w:rPr>
        <w:t>actions</w:t>
      </w:r>
      <w:r>
        <w:rPr>
          <w:spacing w:val="-13"/>
          <w:sz w:val="24"/>
        </w:rPr>
        <w:t> </w:t>
      </w:r>
      <w:r>
        <w:rPr>
          <w:spacing w:val="-2"/>
          <w:sz w:val="24"/>
        </w:rPr>
        <w:t>and</w:t>
      </w:r>
      <w:r>
        <w:rPr>
          <w:spacing w:val="-12"/>
          <w:sz w:val="24"/>
        </w:rPr>
        <w:t> </w:t>
      </w:r>
      <w:r>
        <w:rPr>
          <w:spacing w:val="-2"/>
          <w:sz w:val="24"/>
        </w:rPr>
        <w:t>commitments;</w:t>
      </w:r>
      <w:r>
        <w:rPr>
          <w:spacing w:val="-10"/>
          <w:sz w:val="24"/>
        </w:rPr>
        <w:t> </w:t>
      </w:r>
      <w:r>
        <w:rPr>
          <w:spacing w:val="-5"/>
          <w:sz w:val="24"/>
        </w:rPr>
        <w:t>and</w:t>
      </w:r>
    </w:p>
    <w:p>
      <w:pPr>
        <w:pStyle w:val="ListParagraph"/>
        <w:numPr>
          <w:ilvl w:val="2"/>
          <w:numId w:val="52"/>
        </w:numPr>
        <w:tabs>
          <w:tab w:pos="862" w:val="left" w:leader="none"/>
        </w:tabs>
        <w:spacing w:line="240" w:lineRule="auto" w:before="119" w:after="0"/>
        <w:ind w:left="862" w:right="419" w:hanging="360"/>
        <w:jc w:val="left"/>
        <w:rPr>
          <w:sz w:val="24"/>
        </w:rPr>
      </w:pPr>
      <w:r>
        <w:rPr>
          <w:sz w:val="24"/>
        </w:rPr>
        <w:t>Participate</w:t>
      </w:r>
      <w:r>
        <w:rPr>
          <w:spacing w:val="34"/>
          <w:sz w:val="24"/>
        </w:rPr>
        <w:t> </w:t>
      </w:r>
      <w:r>
        <w:rPr>
          <w:sz w:val="24"/>
        </w:rPr>
        <w:t>in</w:t>
      </w:r>
      <w:r>
        <w:rPr>
          <w:spacing w:val="34"/>
          <w:sz w:val="24"/>
        </w:rPr>
        <w:t> </w:t>
      </w:r>
      <w:r>
        <w:rPr>
          <w:sz w:val="24"/>
        </w:rPr>
        <w:t>electronic</w:t>
      </w:r>
      <w:r>
        <w:rPr>
          <w:spacing w:val="34"/>
          <w:sz w:val="24"/>
        </w:rPr>
        <w:t> </w:t>
      </w:r>
      <w:r>
        <w:rPr>
          <w:sz w:val="24"/>
        </w:rPr>
        <w:t>and</w:t>
      </w:r>
      <w:r>
        <w:rPr>
          <w:spacing w:val="34"/>
          <w:sz w:val="24"/>
        </w:rPr>
        <w:t> </w:t>
      </w:r>
      <w:r>
        <w:rPr>
          <w:sz w:val="24"/>
        </w:rPr>
        <w:t>virtual</w:t>
      </w:r>
      <w:r>
        <w:rPr>
          <w:spacing w:val="35"/>
          <w:sz w:val="24"/>
        </w:rPr>
        <w:t> </w:t>
      </w:r>
      <w:r>
        <w:rPr>
          <w:sz w:val="24"/>
        </w:rPr>
        <w:t>channels</w:t>
      </w:r>
      <w:r>
        <w:rPr>
          <w:spacing w:val="34"/>
          <w:sz w:val="24"/>
        </w:rPr>
        <w:t> </w:t>
      </w:r>
      <w:r>
        <w:rPr>
          <w:sz w:val="24"/>
        </w:rPr>
        <w:t>established</w:t>
      </w:r>
      <w:r>
        <w:rPr>
          <w:spacing w:val="39"/>
          <w:sz w:val="24"/>
        </w:rPr>
        <w:t> </w:t>
      </w:r>
      <w:r>
        <w:rPr>
          <w:sz w:val="24"/>
        </w:rPr>
        <w:t>to</w:t>
      </w:r>
      <w:r>
        <w:rPr>
          <w:spacing w:val="31"/>
          <w:sz w:val="24"/>
        </w:rPr>
        <w:t> </w:t>
      </w:r>
      <w:r>
        <w:rPr>
          <w:sz w:val="24"/>
        </w:rPr>
        <w:t>allow</w:t>
      </w:r>
      <w:r>
        <w:rPr>
          <w:spacing w:val="35"/>
          <w:sz w:val="24"/>
        </w:rPr>
        <w:t> </w:t>
      </w:r>
      <w:r>
        <w:rPr>
          <w:sz w:val="24"/>
        </w:rPr>
        <w:t>a</w:t>
      </w:r>
      <w:r>
        <w:rPr>
          <w:spacing w:val="35"/>
          <w:sz w:val="24"/>
        </w:rPr>
        <w:t> </w:t>
      </w:r>
      <w:r>
        <w:rPr>
          <w:sz w:val="24"/>
        </w:rPr>
        <w:t>continuous</w:t>
      </w:r>
      <w:r>
        <w:rPr>
          <w:spacing w:val="38"/>
          <w:sz w:val="24"/>
        </w:rPr>
        <w:t> </w:t>
      </w:r>
      <w:r>
        <w:rPr>
          <w:sz w:val="24"/>
        </w:rPr>
        <w:t>flow</w:t>
      </w:r>
      <w:r>
        <w:rPr>
          <w:spacing w:val="34"/>
          <w:sz w:val="24"/>
        </w:rPr>
        <w:t> </w:t>
      </w:r>
      <w:r>
        <w:rPr>
          <w:sz w:val="24"/>
        </w:rPr>
        <w:t>of information between committee members.</w:t>
      </w:r>
    </w:p>
    <w:p>
      <w:pPr>
        <w:pStyle w:val="ListParagraph"/>
        <w:numPr>
          <w:ilvl w:val="1"/>
          <w:numId w:val="52"/>
        </w:numPr>
        <w:tabs>
          <w:tab w:pos="862" w:val="left" w:leader="none"/>
        </w:tabs>
        <w:spacing w:line="240" w:lineRule="auto" w:before="164" w:after="0"/>
        <w:ind w:left="862" w:right="0" w:hanging="720"/>
        <w:jc w:val="left"/>
        <w:rPr>
          <w:sz w:val="24"/>
        </w:rPr>
      </w:pPr>
      <w:r>
        <w:rPr>
          <w:spacing w:val="-2"/>
          <w:sz w:val="24"/>
        </w:rPr>
        <w:t>Membership</w:t>
      </w:r>
      <w:r>
        <w:rPr>
          <w:spacing w:val="-12"/>
          <w:sz w:val="24"/>
        </w:rPr>
        <w:t> </w:t>
      </w:r>
      <w:r>
        <w:rPr>
          <w:spacing w:val="-2"/>
          <w:sz w:val="24"/>
        </w:rPr>
        <w:t>of</w:t>
      </w:r>
      <w:r>
        <w:rPr>
          <w:spacing w:val="-15"/>
          <w:sz w:val="24"/>
        </w:rPr>
        <w:t> </w:t>
      </w:r>
      <w:r>
        <w:rPr>
          <w:spacing w:val="-2"/>
          <w:sz w:val="24"/>
        </w:rPr>
        <w:t>the</w:t>
      </w:r>
      <w:r>
        <w:rPr>
          <w:spacing w:val="-10"/>
          <w:sz w:val="24"/>
        </w:rPr>
        <w:t> </w:t>
      </w:r>
      <w:r>
        <w:rPr>
          <w:spacing w:val="-2"/>
          <w:sz w:val="24"/>
        </w:rPr>
        <w:t>RCSPS</w:t>
      </w:r>
      <w:r>
        <w:rPr>
          <w:spacing w:val="-9"/>
          <w:sz w:val="24"/>
        </w:rPr>
        <w:t> </w:t>
      </w:r>
      <w:r>
        <w:rPr>
          <w:spacing w:val="-2"/>
          <w:sz w:val="24"/>
        </w:rPr>
        <w:t>shall</w:t>
      </w:r>
      <w:r>
        <w:rPr>
          <w:spacing w:val="-11"/>
          <w:sz w:val="24"/>
        </w:rPr>
        <w:t> </w:t>
      </w:r>
      <w:r>
        <w:rPr>
          <w:spacing w:val="-2"/>
          <w:sz w:val="24"/>
        </w:rPr>
        <w:t>comprise:</w:t>
      </w:r>
    </w:p>
    <w:p>
      <w:pPr>
        <w:pStyle w:val="BodyText"/>
        <w:spacing w:before="44"/>
        <w:rPr>
          <w:sz w:val="20"/>
        </w:r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242"/>
        <w:gridCol w:w="4862"/>
      </w:tblGrid>
      <w:tr>
        <w:trPr>
          <w:trHeight w:val="285" w:hRule="atLeast"/>
        </w:trPr>
        <w:tc>
          <w:tcPr>
            <w:tcW w:w="5242" w:type="dxa"/>
            <w:shd w:val="clear" w:color="auto" w:fill="C1A875"/>
          </w:tcPr>
          <w:p>
            <w:pPr>
              <w:pStyle w:val="TableParagraph"/>
              <w:spacing w:line="265" w:lineRule="exact"/>
              <w:ind w:left="105"/>
              <w:rPr>
                <w:b/>
                <w:sz w:val="24"/>
              </w:rPr>
            </w:pPr>
            <w:r>
              <w:rPr>
                <w:b/>
                <w:spacing w:val="-2"/>
                <w:sz w:val="24"/>
              </w:rPr>
              <w:t>Member</w:t>
            </w:r>
          </w:p>
        </w:tc>
        <w:tc>
          <w:tcPr>
            <w:tcW w:w="4862" w:type="dxa"/>
            <w:shd w:val="clear" w:color="auto" w:fill="C1A875"/>
          </w:tcPr>
          <w:p>
            <w:pPr>
              <w:pStyle w:val="TableParagraph"/>
              <w:spacing w:line="265" w:lineRule="exact"/>
              <w:ind w:left="105"/>
              <w:rPr>
                <w:b/>
                <w:sz w:val="24"/>
              </w:rPr>
            </w:pPr>
            <w:r>
              <w:rPr>
                <w:b/>
                <w:spacing w:val="-2"/>
                <w:sz w:val="24"/>
              </w:rPr>
              <w:t>Organisation</w:t>
            </w:r>
          </w:p>
        </w:tc>
      </w:tr>
      <w:tr>
        <w:trPr>
          <w:trHeight w:val="550" w:hRule="atLeast"/>
        </w:trPr>
        <w:tc>
          <w:tcPr>
            <w:tcW w:w="5242" w:type="dxa"/>
          </w:tcPr>
          <w:p>
            <w:pPr>
              <w:pStyle w:val="TableParagraph"/>
              <w:spacing w:line="276" w:lineRule="exact"/>
              <w:ind w:left="105" w:right="168"/>
              <w:rPr>
                <w:sz w:val="24"/>
              </w:rPr>
            </w:pPr>
            <w:r>
              <w:rPr>
                <w:spacing w:val="-2"/>
                <w:sz w:val="24"/>
              </w:rPr>
              <w:t>Executive</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Planning</w:t>
            </w:r>
            <w:r>
              <w:rPr>
                <w:spacing w:val="-15"/>
                <w:sz w:val="24"/>
              </w:rPr>
              <w:t> </w:t>
            </w:r>
            <w:r>
              <w:rPr>
                <w:spacing w:val="-2"/>
                <w:sz w:val="24"/>
              </w:rPr>
              <w:t>and</w:t>
            </w:r>
            <w:r>
              <w:rPr>
                <w:spacing w:val="-15"/>
                <w:sz w:val="24"/>
              </w:rPr>
              <w:t> </w:t>
            </w:r>
            <w:r>
              <w:rPr>
                <w:spacing w:val="-2"/>
                <w:sz w:val="24"/>
              </w:rPr>
              <w:t>Partnerships </w:t>
            </w:r>
            <w:r>
              <w:rPr>
                <w:sz w:val="24"/>
              </w:rPr>
              <w:t>(RCSPS Co-Chair)</w:t>
            </w:r>
          </w:p>
        </w:tc>
        <w:tc>
          <w:tcPr>
            <w:tcW w:w="4862" w:type="dxa"/>
          </w:tcPr>
          <w:p>
            <w:pPr>
              <w:pStyle w:val="TableParagraph"/>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3" w:hRule="atLeast"/>
        </w:trPr>
        <w:tc>
          <w:tcPr>
            <w:tcW w:w="5242" w:type="dxa"/>
          </w:tcPr>
          <w:p>
            <w:pPr>
              <w:pStyle w:val="TableParagraph"/>
              <w:spacing w:line="263" w:lineRule="exact"/>
              <w:ind w:left="105"/>
              <w:rPr>
                <w:sz w:val="24"/>
              </w:rPr>
            </w:pPr>
            <w:r>
              <w:rPr>
                <w:spacing w:val="-2"/>
                <w:sz w:val="24"/>
              </w:rPr>
              <w:t>Executive</w:t>
            </w:r>
            <w:r>
              <w:rPr>
                <w:spacing w:val="-12"/>
                <w:sz w:val="24"/>
              </w:rPr>
              <w:t> </w:t>
            </w:r>
            <w:r>
              <w:rPr>
                <w:spacing w:val="-2"/>
                <w:sz w:val="24"/>
              </w:rPr>
              <w:t>Director</w:t>
            </w:r>
            <w:r>
              <w:rPr>
                <w:spacing w:val="-13"/>
                <w:sz w:val="24"/>
              </w:rPr>
              <w:t> </w:t>
            </w:r>
            <w:r>
              <w:rPr>
                <w:spacing w:val="-2"/>
                <w:sz w:val="24"/>
              </w:rPr>
              <w:t>of</w:t>
            </w:r>
            <w:r>
              <w:rPr>
                <w:spacing w:val="-15"/>
                <w:sz w:val="24"/>
              </w:rPr>
              <w:t> </w:t>
            </w:r>
            <w:r>
              <w:rPr>
                <w:spacing w:val="-2"/>
                <w:sz w:val="24"/>
              </w:rPr>
              <w:t>Strategy</w:t>
            </w:r>
            <w:r>
              <w:rPr>
                <w:spacing w:val="-13"/>
                <w:sz w:val="24"/>
              </w:rPr>
              <w:t> </w:t>
            </w:r>
            <w:r>
              <w:rPr>
                <w:spacing w:val="-2"/>
                <w:sz w:val="24"/>
              </w:rPr>
              <w:t>and</w:t>
            </w:r>
            <w:r>
              <w:rPr>
                <w:spacing w:val="-12"/>
                <w:sz w:val="24"/>
              </w:rPr>
              <w:t> </w:t>
            </w:r>
            <w:r>
              <w:rPr>
                <w:spacing w:val="-2"/>
                <w:sz w:val="24"/>
              </w:rPr>
              <w:t>Planning</w:t>
            </w:r>
          </w:p>
        </w:tc>
        <w:tc>
          <w:tcPr>
            <w:tcW w:w="4862" w:type="dxa"/>
          </w:tcPr>
          <w:p>
            <w:pPr>
              <w:pStyle w:val="TableParagraph"/>
              <w:spacing w:line="263"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4"/>
                <w:sz w:val="24"/>
              </w:rPr>
              <w:t>Chief</w:t>
            </w:r>
            <w:r>
              <w:rPr>
                <w:spacing w:val="1"/>
                <w:sz w:val="24"/>
              </w:rPr>
              <w:t> </w:t>
            </w:r>
            <w:r>
              <w:rPr>
                <w:spacing w:val="-4"/>
                <w:sz w:val="24"/>
              </w:rPr>
              <w:t>Operating</w:t>
            </w:r>
            <w:r>
              <w:rPr>
                <w:spacing w:val="6"/>
                <w:sz w:val="24"/>
              </w:rPr>
              <w:t> </w:t>
            </w:r>
            <w:r>
              <w:rPr>
                <w:spacing w:val="-4"/>
                <w:sz w:val="24"/>
              </w:rPr>
              <w:t>Officer</w:t>
            </w:r>
            <w:r>
              <w:rPr>
                <w:spacing w:val="-2"/>
                <w:sz w:val="24"/>
              </w:rPr>
              <w:t> </w:t>
            </w:r>
            <w:r>
              <w:rPr>
                <w:spacing w:val="-4"/>
                <w:sz w:val="24"/>
              </w:rPr>
              <w:t>(RCSPS</w:t>
            </w:r>
            <w:r>
              <w:rPr>
                <w:spacing w:val="-6"/>
                <w:sz w:val="24"/>
              </w:rPr>
              <w:t> </w:t>
            </w:r>
            <w:r>
              <w:rPr>
                <w:spacing w:val="-4"/>
                <w:sz w:val="24"/>
              </w:rPr>
              <w:t>Co-Chair)</w:t>
            </w:r>
          </w:p>
        </w:tc>
        <w:tc>
          <w:tcPr>
            <w:tcW w:w="4862"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2"/>
                <w:sz w:val="24"/>
              </w:rPr>
              <w:t>Chief</w:t>
            </w:r>
            <w:r>
              <w:rPr>
                <w:spacing w:val="-15"/>
                <w:sz w:val="24"/>
              </w:rPr>
              <w:t> </w:t>
            </w:r>
            <w:r>
              <w:rPr>
                <w:spacing w:val="-2"/>
                <w:sz w:val="24"/>
              </w:rPr>
              <w:t>Operating</w:t>
            </w:r>
            <w:r>
              <w:rPr>
                <w:spacing w:val="-13"/>
                <w:sz w:val="24"/>
              </w:rPr>
              <w:t> </w:t>
            </w:r>
            <w:r>
              <w:rPr>
                <w:spacing w:val="-2"/>
                <w:sz w:val="24"/>
              </w:rPr>
              <w:t>Officer</w:t>
            </w:r>
          </w:p>
        </w:tc>
        <w:tc>
          <w:tcPr>
            <w:tcW w:w="4862"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0" w:hRule="atLeast"/>
        </w:trPr>
        <w:tc>
          <w:tcPr>
            <w:tcW w:w="5242" w:type="dxa"/>
            <w:shd w:val="clear" w:color="auto" w:fill="C1A875"/>
          </w:tcPr>
          <w:p>
            <w:pPr>
              <w:pStyle w:val="TableParagraph"/>
              <w:spacing w:line="260" w:lineRule="exact"/>
              <w:ind w:left="105"/>
              <w:rPr>
                <w:b/>
                <w:sz w:val="24"/>
              </w:rPr>
            </w:pPr>
            <w:r>
              <w:rPr>
                <w:b/>
                <w:sz w:val="24"/>
              </w:rPr>
              <w:t>In</w:t>
            </w:r>
            <w:r>
              <w:rPr>
                <w:b/>
                <w:spacing w:val="-6"/>
                <w:sz w:val="24"/>
              </w:rPr>
              <w:t> </w:t>
            </w:r>
            <w:r>
              <w:rPr>
                <w:b/>
                <w:spacing w:val="-2"/>
                <w:sz w:val="24"/>
              </w:rPr>
              <w:t>Attendance</w:t>
            </w:r>
          </w:p>
        </w:tc>
        <w:tc>
          <w:tcPr>
            <w:tcW w:w="4862" w:type="dxa"/>
            <w:shd w:val="clear" w:color="auto" w:fill="C1A875"/>
          </w:tcPr>
          <w:p>
            <w:pPr>
              <w:pStyle w:val="TableParagraph"/>
              <w:rPr>
                <w:rFonts w:ascii="Times New Roman"/>
                <w:sz w:val="20"/>
              </w:rPr>
            </w:pPr>
          </w:p>
        </w:tc>
      </w:tr>
      <w:tr>
        <w:trPr>
          <w:trHeight w:val="285" w:hRule="atLeast"/>
        </w:trPr>
        <w:tc>
          <w:tcPr>
            <w:tcW w:w="5242" w:type="dxa"/>
          </w:tcPr>
          <w:p>
            <w:pPr>
              <w:pStyle w:val="TableParagraph"/>
              <w:spacing w:line="265" w:lineRule="exact"/>
              <w:ind w:left="105"/>
              <w:rPr>
                <w:sz w:val="24"/>
              </w:rPr>
            </w:pPr>
            <w:r>
              <w:rPr>
                <w:spacing w:val="-4"/>
                <w:sz w:val="24"/>
              </w:rPr>
              <w:t>Regional</w:t>
            </w:r>
            <w:r>
              <w:rPr>
                <w:spacing w:val="-5"/>
                <w:sz w:val="24"/>
              </w:rPr>
              <w:t> </w:t>
            </w:r>
            <w:r>
              <w:rPr>
                <w:spacing w:val="-4"/>
                <w:sz w:val="24"/>
              </w:rPr>
              <w:t>Clinical</w:t>
            </w:r>
            <w:r>
              <w:rPr>
                <w:spacing w:val="1"/>
                <w:sz w:val="24"/>
              </w:rPr>
              <w:t> </w:t>
            </w:r>
            <w:r>
              <w:rPr>
                <w:spacing w:val="-4"/>
                <w:sz w:val="24"/>
              </w:rPr>
              <w:t>Services</w:t>
            </w:r>
            <w:r>
              <w:rPr>
                <w:spacing w:val="-1"/>
                <w:sz w:val="24"/>
              </w:rPr>
              <w:t> </w:t>
            </w:r>
            <w:r>
              <w:rPr>
                <w:spacing w:val="-4"/>
                <w:sz w:val="24"/>
              </w:rPr>
              <w:t>Programme</w:t>
            </w:r>
            <w:r>
              <w:rPr>
                <w:spacing w:val="1"/>
                <w:sz w:val="24"/>
              </w:rPr>
              <w:t> </w:t>
            </w:r>
            <w:r>
              <w:rPr>
                <w:spacing w:val="-4"/>
                <w:sz w:val="24"/>
              </w:rPr>
              <w:t>Chairs</w:t>
            </w:r>
          </w:p>
        </w:tc>
        <w:tc>
          <w:tcPr>
            <w:tcW w:w="4862" w:type="dxa"/>
          </w:tcPr>
          <w:p>
            <w:pPr>
              <w:pStyle w:val="TableParagraph"/>
              <w:spacing w:line="265" w:lineRule="exact"/>
              <w:ind w:left="105"/>
              <w:rPr>
                <w:sz w:val="24"/>
              </w:rPr>
            </w:pPr>
            <w:r>
              <w:rPr>
                <w:spacing w:val="-2"/>
                <w:sz w:val="24"/>
              </w:rPr>
              <w:t>NHS</w:t>
            </w:r>
            <w:r>
              <w:rPr>
                <w:spacing w:val="-15"/>
                <w:sz w:val="24"/>
              </w:rPr>
              <w:t> </w:t>
            </w:r>
            <w:r>
              <w:rPr>
                <w:spacing w:val="-2"/>
                <w:sz w:val="24"/>
              </w:rPr>
              <w:t>Regional</w:t>
            </w:r>
            <w:r>
              <w:rPr>
                <w:spacing w:val="-15"/>
                <w:sz w:val="24"/>
              </w:rPr>
              <w:t> </w:t>
            </w:r>
            <w:r>
              <w:rPr>
                <w:spacing w:val="-2"/>
                <w:sz w:val="24"/>
              </w:rPr>
              <w:t>Clinical</w:t>
            </w:r>
            <w:r>
              <w:rPr>
                <w:spacing w:val="-12"/>
                <w:sz w:val="24"/>
              </w:rPr>
              <w:t> </w:t>
            </w:r>
            <w:r>
              <w:rPr>
                <w:spacing w:val="-2"/>
                <w:sz w:val="24"/>
              </w:rPr>
              <w:t>Services</w:t>
            </w:r>
          </w:p>
        </w:tc>
      </w:tr>
      <w:tr>
        <w:trPr>
          <w:trHeight w:val="285" w:hRule="atLeast"/>
        </w:trPr>
        <w:tc>
          <w:tcPr>
            <w:tcW w:w="5242" w:type="dxa"/>
          </w:tcPr>
          <w:p>
            <w:pPr>
              <w:pStyle w:val="TableParagraph"/>
              <w:spacing w:line="265" w:lineRule="exact"/>
              <w:ind w:left="105"/>
              <w:rPr>
                <w:sz w:val="24"/>
              </w:rPr>
            </w:pPr>
            <w:r>
              <w:rPr>
                <w:spacing w:val="-2"/>
                <w:sz w:val="24"/>
              </w:rPr>
              <w:t>Deputy</w:t>
            </w:r>
            <w:r>
              <w:rPr>
                <w:spacing w:val="-15"/>
                <w:sz w:val="24"/>
              </w:rPr>
              <w:t> </w:t>
            </w:r>
            <w:r>
              <w:rPr>
                <w:spacing w:val="-2"/>
                <w:sz w:val="24"/>
              </w:rPr>
              <w:t>Director</w:t>
            </w:r>
            <w:r>
              <w:rPr>
                <w:spacing w:val="-12"/>
                <w:sz w:val="24"/>
              </w:rPr>
              <w:t> </w:t>
            </w:r>
            <w:r>
              <w:rPr>
                <w:spacing w:val="-2"/>
                <w:sz w:val="24"/>
              </w:rPr>
              <w:t>Planning</w:t>
            </w:r>
            <w:r>
              <w:rPr>
                <w:spacing w:val="-15"/>
                <w:sz w:val="24"/>
              </w:rPr>
              <w:t> </w:t>
            </w:r>
            <w:r>
              <w:rPr>
                <w:spacing w:val="-2"/>
                <w:sz w:val="24"/>
              </w:rPr>
              <w:t>and</w:t>
            </w:r>
            <w:r>
              <w:rPr>
                <w:spacing w:val="-14"/>
                <w:sz w:val="24"/>
              </w:rPr>
              <w:t> </w:t>
            </w:r>
            <w:r>
              <w:rPr>
                <w:spacing w:val="-2"/>
                <w:sz w:val="24"/>
              </w:rPr>
              <w:t>Partnerships</w:t>
            </w:r>
          </w:p>
        </w:tc>
        <w:tc>
          <w:tcPr>
            <w:tcW w:w="4862"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550" w:hRule="atLeast"/>
        </w:trPr>
        <w:tc>
          <w:tcPr>
            <w:tcW w:w="5242" w:type="dxa"/>
          </w:tcPr>
          <w:p>
            <w:pPr>
              <w:pStyle w:val="TableParagraph"/>
              <w:spacing w:line="276" w:lineRule="exact"/>
              <w:ind w:left="105" w:right="182"/>
              <w:rPr>
                <w:sz w:val="24"/>
              </w:rPr>
            </w:pPr>
            <w:r>
              <w:rPr>
                <w:spacing w:val="-2"/>
                <w:sz w:val="24"/>
              </w:rPr>
              <w:t>Director</w:t>
            </w:r>
            <w:r>
              <w:rPr>
                <w:spacing w:val="-15"/>
                <w:sz w:val="24"/>
              </w:rPr>
              <w:t> </w:t>
            </w:r>
            <w:r>
              <w:rPr>
                <w:spacing w:val="-2"/>
                <w:sz w:val="24"/>
              </w:rPr>
              <w:t>of</w:t>
            </w:r>
            <w:r>
              <w:rPr>
                <w:spacing w:val="-15"/>
                <w:sz w:val="24"/>
              </w:rPr>
              <w:t> </w:t>
            </w:r>
            <w:r>
              <w:rPr>
                <w:spacing w:val="-2"/>
                <w:sz w:val="24"/>
              </w:rPr>
              <w:t>Delivery,</w:t>
            </w:r>
            <w:r>
              <w:rPr>
                <w:spacing w:val="-14"/>
                <w:sz w:val="24"/>
              </w:rPr>
              <w:t> </w:t>
            </w:r>
            <w:r>
              <w:rPr>
                <w:spacing w:val="-2"/>
                <w:sz w:val="24"/>
              </w:rPr>
              <w:t>Planning,</w:t>
            </w:r>
            <w:r>
              <w:rPr>
                <w:spacing w:val="-15"/>
                <w:sz w:val="24"/>
              </w:rPr>
              <w:t> </w:t>
            </w:r>
            <w:r>
              <w:rPr>
                <w:spacing w:val="-2"/>
                <w:sz w:val="24"/>
              </w:rPr>
              <w:t>Performance</w:t>
            </w:r>
            <w:r>
              <w:rPr>
                <w:spacing w:val="-15"/>
                <w:sz w:val="24"/>
              </w:rPr>
              <w:t> </w:t>
            </w:r>
            <w:r>
              <w:rPr>
                <w:spacing w:val="-2"/>
                <w:sz w:val="24"/>
              </w:rPr>
              <w:t>and Commissioning</w:t>
            </w:r>
          </w:p>
        </w:tc>
        <w:tc>
          <w:tcPr>
            <w:tcW w:w="4862" w:type="dxa"/>
          </w:tcPr>
          <w:p>
            <w:pPr>
              <w:pStyle w:val="TableParagraph"/>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554" w:hRule="atLeast"/>
        </w:trPr>
        <w:tc>
          <w:tcPr>
            <w:tcW w:w="5242" w:type="dxa"/>
          </w:tcPr>
          <w:p>
            <w:pPr>
              <w:pStyle w:val="TableParagraph"/>
              <w:spacing w:line="274" w:lineRule="exact"/>
              <w:ind w:left="105"/>
              <w:rPr>
                <w:sz w:val="24"/>
              </w:rPr>
            </w:pPr>
            <w:r>
              <w:rPr>
                <w:spacing w:val="-2"/>
                <w:sz w:val="24"/>
              </w:rPr>
              <w:t>Executive</w:t>
            </w:r>
            <w:r>
              <w:rPr>
                <w:spacing w:val="-14"/>
                <w:sz w:val="24"/>
              </w:rPr>
              <w:t> </w:t>
            </w:r>
            <w:r>
              <w:rPr>
                <w:spacing w:val="-2"/>
                <w:sz w:val="24"/>
              </w:rPr>
              <w:t>Director</w:t>
            </w:r>
            <w:r>
              <w:rPr>
                <w:spacing w:val="-14"/>
                <w:sz w:val="24"/>
              </w:rPr>
              <w:t> </w:t>
            </w:r>
            <w:r>
              <w:rPr>
                <w:spacing w:val="-2"/>
                <w:sz w:val="24"/>
              </w:rPr>
              <w:t>of</w:t>
            </w:r>
            <w:r>
              <w:rPr>
                <w:spacing w:val="-15"/>
                <w:sz w:val="24"/>
              </w:rPr>
              <w:t> </w:t>
            </w:r>
            <w:r>
              <w:rPr>
                <w:spacing w:val="-2"/>
                <w:sz w:val="24"/>
              </w:rPr>
              <w:t>Allied</w:t>
            </w:r>
            <w:r>
              <w:rPr>
                <w:spacing w:val="-13"/>
                <w:sz w:val="24"/>
              </w:rPr>
              <w:t> </w:t>
            </w:r>
            <w:r>
              <w:rPr>
                <w:spacing w:val="-2"/>
                <w:sz w:val="24"/>
              </w:rPr>
              <w:t>Health</w:t>
            </w:r>
            <w:r>
              <w:rPr>
                <w:spacing w:val="-12"/>
                <w:sz w:val="24"/>
              </w:rPr>
              <w:t> </w:t>
            </w:r>
            <w:r>
              <w:rPr>
                <w:spacing w:val="-2"/>
                <w:sz w:val="24"/>
              </w:rPr>
              <w:t>Professions</w:t>
            </w:r>
          </w:p>
          <w:p>
            <w:pPr>
              <w:pStyle w:val="TableParagraph"/>
              <w:spacing w:line="255" w:lineRule="exact" w:before="4"/>
              <w:ind w:left="105"/>
              <w:rPr>
                <w:sz w:val="24"/>
              </w:rPr>
            </w:pPr>
            <w:r>
              <w:rPr>
                <w:spacing w:val="-2"/>
                <w:sz w:val="24"/>
              </w:rPr>
              <w:t>and</w:t>
            </w:r>
            <w:r>
              <w:rPr>
                <w:spacing w:val="-15"/>
                <w:sz w:val="24"/>
              </w:rPr>
              <w:t> </w:t>
            </w:r>
            <w:r>
              <w:rPr>
                <w:spacing w:val="-2"/>
                <w:sz w:val="24"/>
              </w:rPr>
              <w:t>Health</w:t>
            </w:r>
            <w:r>
              <w:rPr>
                <w:spacing w:val="-10"/>
                <w:sz w:val="24"/>
              </w:rPr>
              <w:t> </w:t>
            </w:r>
            <w:r>
              <w:rPr>
                <w:spacing w:val="-2"/>
                <w:sz w:val="24"/>
              </w:rPr>
              <w:t>Science</w:t>
            </w:r>
          </w:p>
        </w:tc>
        <w:tc>
          <w:tcPr>
            <w:tcW w:w="4862" w:type="dxa"/>
          </w:tcPr>
          <w:p>
            <w:pPr>
              <w:pStyle w:val="TableParagraph"/>
              <w:spacing w:line="274"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2"/>
                <w:sz w:val="24"/>
              </w:rPr>
              <w:t>Assistant</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Operations</w:t>
            </w:r>
            <w:r>
              <w:rPr>
                <w:spacing w:val="-10"/>
                <w:sz w:val="24"/>
              </w:rPr>
              <w:t> </w:t>
            </w:r>
            <w:r>
              <w:rPr>
                <w:spacing w:val="-2"/>
                <w:sz w:val="24"/>
              </w:rPr>
              <w:t>-</w:t>
            </w:r>
            <w:r>
              <w:rPr>
                <w:spacing w:val="-13"/>
                <w:sz w:val="24"/>
              </w:rPr>
              <w:t> </w:t>
            </w:r>
            <w:r>
              <w:rPr>
                <w:spacing w:val="-2"/>
                <w:sz w:val="24"/>
              </w:rPr>
              <w:t>Planned</w:t>
            </w:r>
            <w:r>
              <w:rPr>
                <w:spacing w:val="-13"/>
                <w:sz w:val="24"/>
              </w:rPr>
              <w:t> </w:t>
            </w:r>
            <w:r>
              <w:rPr>
                <w:spacing w:val="-4"/>
                <w:sz w:val="24"/>
              </w:rPr>
              <w:t>Care</w:t>
            </w:r>
          </w:p>
        </w:tc>
        <w:tc>
          <w:tcPr>
            <w:tcW w:w="4862"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0" w:hRule="atLeast"/>
        </w:trPr>
        <w:tc>
          <w:tcPr>
            <w:tcW w:w="5242" w:type="dxa"/>
          </w:tcPr>
          <w:p>
            <w:pPr>
              <w:pStyle w:val="TableParagraph"/>
              <w:spacing w:line="260" w:lineRule="exact"/>
              <w:ind w:left="105"/>
              <w:rPr>
                <w:sz w:val="24"/>
              </w:rPr>
            </w:pPr>
            <w:r>
              <w:rPr>
                <w:spacing w:val="-2"/>
                <w:sz w:val="24"/>
              </w:rPr>
              <w:t>Director</w:t>
            </w:r>
            <w:r>
              <w:rPr>
                <w:spacing w:val="-14"/>
                <w:sz w:val="24"/>
              </w:rPr>
              <w:t> </w:t>
            </w:r>
            <w:r>
              <w:rPr>
                <w:spacing w:val="-2"/>
                <w:sz w:val="24"/>
              </w:rPr>
              <w:t>of</w:t>
            </w:r>
            <w:r>
              <w:rPr>
                <w:spacing w:val="-15"/>
                <w:sz w:val="24"/>
              </w:rPr>
              <w:t> </w:t>
            </w:r>
            <w:r>
              <w:rPr>
                <w:spacing w:val="-2"/>
                <w:sz w:val="24"/>
              </w:rPr>
              <w:t>Operational</w:t>
            </w:r>
            <w:r>
              <w:rPr>
                <w:spacing w:val="-12"/>
                <w:sz w:val="24"/>
              </w:rPr>
              <w:t> </w:t>
            </w:r>
            <w:r>
              <w:rPr>
                <w:spacing w:val="-2"/>
                <w:sz w:val="24"/>
              </w:rPr>
              <w:t>Planning</w:t>
            </w:r>
            <w:r>
              <w:rPr>
                <w:spacing w:val="-12"/>
                <w:sz w:val="24"/>
              </w:rPr>
              <w:t> </w:t>
            </w:r>
            <w:r>
              <w:rPr>
                <w:spacing w:val="-2"/>
                <w:sz w:val="24"/>
              </w:rPr>
              <w:t>&amp;</w:t>
            </w:r>
            <w:r>
              <w:rPr>
                <w:spacing w:val="-13"/>
                <w:sz w:val="24"/>
              </w:rPr>
              <w:t> </w:t>
            </w:r>
            <w:r>
              <w:rPr>
                <w:spacing w:val="-2"/>
                <w:sz w:val="24"/>
              </w:rPr>
              <w:t>Performance</w:t>
            </w:r>
          </w:p>
        </w:tc>
        <w:tc>
          <w:tcPr>
            <w:tcW w:w="4862" w:type="dxa"/>
          </w:tcPr>
          <w:p>
            <w:pPr>
              <w:pStyle w:val="TableParagraph"/>
              <w:spacing w:line="260"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2"/>
                <w:sz w:val="24"/>
              </w:rPr>
              <w:t>Service</w:t>
            </w:r>
            <w:r>
              <w:rPr>
                <w:spacing w:val="-15"/>
                <w:sz w:val="24"/>
              </w:rPr>
              <w:t> </w:t>
            </w:r>
            <w:r>
              <w:rPr>
                <w:spacing w:val="-2"/>
                <w:sz w:val="24"/>
              </w:rPr>
              <w:t>Director</w:t>
            </w:r>
            <w:r>
              <w:rPr>
                <w:spacing w:val="-15"/>
                <w:sz w:val="24"/>
              </w:rPr>
              <w:t> </w:t>
            </w:r>
            <w:r>
              <w:rPr>
                <w:spacing w:val="-2"/>
                <w:sz w:val="24"/>
              </w:rPr>
              <w:t>for</w:t>
            </w:r>
            <w:r>
              <w:rPr>
                <w:spacing w:val="-14"/>
                <w:sz w:val="24"/>
              </w:rPr>
              <w:t> </w:t>
            </w:r>
            <w:r>
              <w:rPr>
                <w:spacing w:val="-2"/>
                <w:sz w:val="24"/>
              </w:rPr>
              <w:t>Planned</w:t>
            </w:r>
            <w:r>
              <w:rPr>
                <w:spacing w:val="-15"/>
                <w:sz w:val="24"/>
              </w:rPr>
              <w:t> </w:t>
            </w:r>
            <w:r>
              <w:rPr>
                <w:spacing w:val="-2"/>
                <w:sz w:val="24"/>
              </w:rPr>
              <w:t>and</w:t>
            </w:r>
            <w:r>
              <w:rPr>
                <w:spacing w:val="-15"/>
                <w:sz w:val="24"/>
              </w:rPr>
              <w:t> </w:t>
            </w:r>
            <w:r>
              <w:rPr>
                <w:spacing w:val="-2"/>
                <w:sz w:val="24"/>
              </w:rPr>
              <w:t>Specialist</w:t>
            </w:r>
            <w:r>
              <w:rPr>
                <w:spacing w:val="-14"/>
                <w:sz w:val="24"/>
              </w:rPr>
              <w:t> </w:t>
            </w:r>
            <w:r>
              <w:rPr>
                <w:spacing w:val="-4"/>
                <w:sz w:val="24"/>
              </w:rPr>
              <w:t>Care</w:t>
            </w:r>
          </w:p>
        </w:tc>
        <w:tc>
          <w:tcPr>
            <w:tcW w:w="4862"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2"/>
                <w:sz w:val="24"/>
              </w:rPr>
              <w:t>Head</w:t>
            </w:r>
            <w:r>
              <w:rPr>
                <w:spacing w:val="-14"/>
                <w:sz w:val="24"/>
              </w:rPr>
              <w:t> </w:t>
            </w:r>
            <w:r>
              <w:rPr>
                <w:spacing w:val="-2"/>
                <w:sz w:val="24"/>
              </w:rPr>
              <w:t>of</w:t>
            </w:r>
            <w:r>
              <w:rPr>
                <w:spacing w:val="-12"/>
                <w:sz w:val="24"/>
              </w:rPr>
              <w:t> </w:t>
            </w:r>
            <w:r>
              <w:rPr>
                <w:spacing w:val="-2"/>
                <w:sz w:val="24"/>
              </w:rPr>
              <w:t>Strategy</w:t>
            </w:r>
            <w:r>
              <w:rPr>
                <w:spacing w:val="-10"/>
                <w:sz w:val="24"/>
              </w:rPr>
              <w:t> </w:t>
            </w:r>
            <w:r>
              <w:rPr>
                <w:spacing w:val="-2"/>
                <w:sz w:val="24"/>
              </w:rPr>
              <w:t>&amp;</w:t>
            </w:r>
            <w:r>
              <w:rPr>
                <w:spacing w:val="-10"/>
                <w:sz w:val="24"/>
              </w:rPr>
              <w:t> </w:t>
            </w:r>
            <w:r>
              <w:rPr>
                <w:spacing w:val="-2"/>
                <w:sz w:val="24"/>
              </w:rPr>
              <w:t>Service</w:t>
            </w:r>
            <w:r>
              <w:rPr>
                <w:spacing w:val="-4"/>
                <w:sz w:val="24"/>
              </w:rPr>
              <w:t> </w:t>
            </w:r>
            <w:r>
              <w:rPr>
                <w:spacing w:val="-2"/>
                <w:sz w:val="24"/>
              </w:rPr>
              <w:t>Planning</w:t>
            </w:r>
          </w:p>
        </w:tc>
        <w:tc>
          <w:tcPr>
            <w:tcW w:w="4862" w:type="dxa"/>
          </w:tcPr>
          <w:p>
            <w:pPr>
              <w:pStyle w:val="TableParagraph"/>
              <w:spacing w:line="265" w:lineRule="exact"/>
              <w:ind w:left="105"/>
              <w:rPr>
                <w:sz w:val="24"/>
              </w:rPr>
            </w:pPr>
            <w:r>
              <w:rPr>
                <w:spacing w:val="-4"/>
                <w:sz w:val="24"/>
              </w:rPr>
              <w:t>Regional</w:t>
            </w:r>
            <w:r>
              <w:rPr>
                <w:spacing w:val="-1"/>
                <w:sz w:val="24"/>
              </w:rPr>
              <w:t> </w:t>
            </w:r>
            <w:r>
              <w:rPr>
                <w:spacing w:val="-4"/>
                <w:sz w:val="24"/>
              </w:rPr>
              <w:t>Programme</w:t>
            </w:r>
            <w:r>
              <w:rPr>
                <w:spacing w:val="-1"/>
                <w:sz w:val="24"/>
              </w:rPr>
              <w:t> </w:t>
            </w:r>
            <w:r>
              <w:rPr>
                <w:spacing w:val="-4"/>
                <w:sz w:val="24"/>
              </w:rPr>
              <w:t>Team</w:t>
            </w:r>
          </w:p>
        </w:tc>
      </w:tr>
      <w:tr>
        <w:trPr>
          <w:trHeight w:val="285" w:hRule="atLeast"/>
        </w:trPr>
        <w:tc>
          <w:tcPr>
            <w:tcW w:w="5242" w:type="dxa"/>
          </w:tcPr>
          <w:p>
            <w:pPr>
              <w:pStyle w:val="TableParagraph"/>
              <w:spacing w:line="265" w:lineRule="exact"/>
              <w:ind w:left="105"/>
              <w:rPr>
                <w:sz w:val="24"/>
              </w:rPr>
            </w:pPr>
            <w:r>
              <w:rPr>
                <w:spacing w:val="-4"/>
                <w:sz w:val="24"/>
              </w:rPr>
              <w:t>Senior</w:t>
            </w:r>
            <w:r>
              <w:rPr>
                <w:spacing w:val="1"/>
                <w:sz w:val="24"/>
              </w:rPr>
              <w:t> </w:t>
            </w:r>
            <w:r>
              <w:rPr>
                <w:spacing w:val="-4"/>
                <w:sz w:val="24"/>
              </w:rPr>
              <w:t>Project</w:t>
            </w:r>
            <w:r>
              <w:rPr>
                <w:spacing w:val="-1"/>
                <w:sz w:val="24"/>
              </w:rPr>
              <w:t> </w:t>
            </w:r>
            <w:r>
              <w:rPr>
                <w:spacing w:val="-4"/>
                <w:sz w:val="24"/>
              </w:rPr>
              <w:t>Manager/Business</w:t>
            </w:r>
            <w:r>
              <w:rPr>
                <w:spacing w:val="2"/>
                <w:sz w:val="24"/>
              </w:rPr>
              <w:t> </w:t>
            </w:r>
            <w:r>
              <w:rPr>
                <w:spacing w:val="-4"/>
                <w:sz w:val="24"/>
              </w:rPr>
              <w:t>Manager</w:t>
            </w:r>
          </w:p>
        </w:tc>
        <w:tc>
          <w:tcPr>
            <w:tcW w:w="4862" w:type="dxa"/>
          </w:tcPr>
          <w:p>
            <w:pPr>
              <w:pStyle w:val="TableParagraph"/>
              <w:spacing w:line="265" w:lineRule="exact"/>
              <w:ind w:left="105"/>
              <w:rPr>
                <w:sz w:val="24"/>
              </w:rPr>
            </w:pPr>
            <w:r>
              <w:rPr>
                <w:spacing w:val="-4"/>
                <w:sz w:val="24"/>
              </w:rPr>
              <w:t>Regional</w:t>
            </w:r>
            <w:r>
              <w:rPr>
                <w:spacing w:val="-1"/>
                <w:sz w:val="24"/>
              </w:rPr>
              <w:t> </w:t>
            </w:r>
            <w:r>
              <w:rPr>
                <w:spacing w:val="-4"/>
                <w:sz w:val="24"/>
              </w:rPr>
              <w:t>Programme</w:t>
            </w:r>
            <w:r>
              <w:rPr>
                <w:spacing w:val="-1"/>
                <w:sz w:val="24"/>
              </w:rPr>
              <w:t> </w:t>
            </w:r>
            <w:r>
              <w:rPr>
                <w:spacing w:val="-4"/>
                <w:sz w:val="24"/>
              </w:rPr>
              <w:t>Team</w:t>
            </w:r>
          </w:p>
        </w:tc>
      </w:tr>
      <w:tr>
        <w:trPr>
          <w:trHeight w:val="284" w:hRule="atLeast"/>
        </w:trPr>
        <w:tc>
          <w:tcPr>
            <w:tcW w:w="5242" w:type="dxa"/>
          </w:tcPr>
          <w:p>
            <w:pPr>
              <w:pStyle w:val="TableParagraph"/>
              <w:spacing w:line="265" w:lineRule="exact"/>
              <w:ind w:left="105"/>
              <w:rPr>
                <w:sz w:val="24"/>
              </w:rPr>
            </w:pPr>
            <w:r>
              <w:rPr>
                <w:spacing w:val="-2"/>
                <w:sz w:val="24"/>
              </w:rPr>
              <w:t>Senior</w:t>
            </w:r>
            <w:r>
              <w:rPr>
                <w:spacing w:val="-13"/>
                <w:sz w:val="24"/>
              </w:rPr>
              <w:t> </w:t>
            </w:r>
            <w:r>
              <w:rPr>
                <w:spacing w:val="-2"/>
                <w:sz w:val="24"/>
              </w:rPr>
              <w:t>Project</w:t>
            </w:r>
            <w:r>
              <w:rPr>
                <w:spacing w:val="-15"/>
                <w:sz w:val="24"/>
              </w:rPr>
              <w:t> </w:t>
            </w:r>
            <w:r>
              <w:rPr>
                <w:spacing w:val="-2"/>
                <w:sz w:val="24"/>
              </w:rPr>
              <w:t>Support</w:t>
            </w:r>
            <w:r>
              <w:rPr>
                <w:spacing w:val="-14"/>
                <w:sz w:val="24"/>
              </w:rPr>
              <w:t> </w:t>
            </w:r>
            <w:r>
              <w:rPr>
                <w:spacing w:val="-2"/>
                <w:sz w:val="24"/>
              </w:rPr>
              <w:t>Officer</w:t>
            </w:r>
          </w:p>
        </w:tc>
        <w:tc>
          <w:tcPr>
            <w:tcW w:w="4862" w:type="dxa"/>
          </w:tcPr>
          <w:p>
            <w:pPr>
              <w:pStyle w:val="TableParagraph"/>
              <w:spacing w:line="265" w:lineRule="exact"/>
              <w:ind w:left="105"/>
              <w:rPr>
                <w:sz w:val="24"/>
              </w:rPr>
            </w:pPr>
            <w:r>
              <w:rPr>
                <w:spacing w:val="-4"/>
                <w:sz w:val="24"/>
              </w:rPr>
              <w:t>Regional</w:t>
            </w:r>
            <w:r>
              <w:rPr>
                <w:spacing w:val="-1"/>
                <w:sz w:val="24"/>
              </w:rPr>
              <w:t> </w:t>
            </w:r>
            <w:r>
              <w:rPr>
                <w:spacing w:val="-4"/>
                <w:sz w:val="24"/>
              </w:rPr>
              <w:t>Programme</w:t>
            </w:r>
            <w:r>
              <w:rPr>
                <w:spacing w:val="-1"/>
                <w:sz w:val="24"/>
              </w:rPr>
              <w:t> </w:t>
            </w:r>
            <w:r>
              <w:rPr>
                <w:spacing w:val="-4"/>
                <w:sz w:val="24"/>
              </w:rPr>
              <w:t>Team</w:t>
            </w:r>
          </w:p>
        </w:tc>
      </w:tr>
      <w:tr>
        <w:trPr>
          <w:trHeight w:val="550" w:hRule="atLeast"/>
        </w:trPr>
        <w:tc>
          <w:tcPr>
            <w:tcW w:w="10104" w:type="dxa"/>
            <w:gridSpan w:val="2"/>
            <w:shd w:val="clear" w:color="auto" w:fill="C1A875"/>
          </w:tcPr>
          <w:p>
            <w:pPr>
              <w:pStyle w:val="TableParagraph"/>
              <w:spacing w:line="276" w:lineRule="exact"/>
              <w:ind w:left="105" w:right="233"/>
              <w:rPr>
                <w:b/>
                <w:sz w:val="24"/>
              </w:rPr>
            </w:pPr>
            <w:r>
              <w:rPr>
                <w:b/>
                <w:sz w:val="24"/>
              </w:rPr>
              <w:t>Invitation</w:t>
            </w:r>
            <w:r>
              <w:rPr>
                <w:b/>
                <w:spacing w:val="-4"/>
                <w:sz w:val="24"/>
              </w:rPr>
              <w:t> </w:t>
            </w:r>
            <w:r>
              <w:rPr>
                <w:b/>
                <w:sz w:val="24"/>
              </w:rPr>
              <w:t>to</w:t>
            </w:r>
            <w:r>
              <w:rPr>
                <w:b/>
                <w:spacing w:val="-8"/>
                <w:sz w:val="24"/>
              </w:rPr>
              <w:t> </w:t>
            </w:r>
            <w:r>
              <w:rPr>
                <w:b/>
                <w:sz w:val="24"/>
              </w:rPr>
              <w:t>attend</w:t>
            </w:r>
            <w:r>
              <w:rPr>
                <w:b/>
                <w:spacing w:val="-4"/>
                <w:sz w:val="24"/>
              </w:rPr>
              <w:t> </w:t>
            </w:r>
            <w:r>
              <w:rPr>
                <w:b/>
                <w:sz w:val="24"/>
              </w:rPr>
              <w:t>to</w:t>
            </w:r>
            <w:r>
              <w:rPr>
                <w:b/>
                <w:spacing w:val="-4"/>
                <w:sz w:val="24"/>
              </w:rPr>
              <w:t> </w:t>
            </w:r>
            <w:r>
              <w:rPr>
                <w:b/>
                <w:sz w:val="24"/>
              </w:rPr>
              <w:t>discuss</w:t>
            </w:r>
            <w:r>
              <w:rPr>
                <w:b/>
                <w:spacing w:val="-5"/>
                <w:sz w:val="24"/>
              </w:rPr>
              <w:t> </w:t>
            </w:r>
            <w:r>
              <w:rPr>
                <w:b/>
                <w:sz w:val="24"/>
              </w:rPr>
              <w:t>work</w:t>
            </w:r>
            <w:r>
              <w:rPr>
                <w:b/>
                <w:spacing w:val="-5"/>
                <w:sz w:val="24"/>
              </w:rPr>
              <w:t> </w:t>
            </w:r>
            <w:r>
              <w:rPr>
                <w:b/>
                <w:sz w:val="24"/>
              </w:rPr>
              <w:t>programme</w:t>
            </w:r>
            <w:r>
              <w:rPr>
                <w:b/>
                <w:spacing w:val="-5"/>
                <w:sz w:val="24"/>
              </w:rPr>
              <w:t> </w:t>
            </w:r>
            <w:r>
              <w:rPr>
                <w:b/>
                <w:sz w:val="24"/>
              </w:rPr>
              <w:t>areas</w:t>
            </w:r>
            <w:r>
              <w:rPr>
                <w:b/>
                <w:spacing w:val="-5"/>
                <w:sz w:val="24"/>
              </w:rPr>
              <w:t> </w:t>
            </w:r>
            <w:r>
              <w:rPr>
                <w:b/>
                <w:sz w:val="24"/>
              </w:rPr>
              <w:t>requiring</w:t>
            </w:r>
            <w:r>
              <w:rPr>
                <w:b/>
                <w:spacing w:val="-8"/>
                <w:sz w:val="24"/>
              </w:rPr>
              <w:t> </w:t>
            </w:r>
            <w:r>
              <w:rPr>
                <w:b/>
                <w:sz w:val="24"/>
              </w:rPr>
              <w:t>wider</w:t>
            </w:r>
            <w:r>
              <w:rPr>
                <w:b/>
                <w:spacing w:val="-5"/>
                <w:sz w:val="24"/>
              </w:rPr>
              <w:t> </w:t>
            </w:r>
            <w:r>
              <w:rPr>
                <w:b/>
                <w:sz w:val="24"/>
              </w:rPr>
              <w:t>collaboration (as and when required)</w:t>
            </w:r>
          </w:p>
        </w:tc>
      </w:tr>
      <w:tr>
        <w:trPr>
          <w:trHeight w:val="283" w:hRule="atLeast"/>
        </w:trPr>
        <w:tc>
          <w:tcPr>
            <w:tcW w:w="5242" w:type="dxa"/>
          </w:tcPr>
          <w:p>
            <w:pPr>
              <w:pStyle w:val="TableParagraph"/>
              <w:spacing w:line="263" w:lineRule="exact"/>
              <w:ind w:left="105"/>
              <w:rPr>
                <w:sz w:val="24"/>
              </w:rPr>
            </w:pPr>
            <w:r>
              <w:rPr>
                <w:sz w:val="24"/>
              </w:rPr>
              <w:t>As</w:t>
            </w:r>
            <w:r>
              <w:rPr>
                <w:spacing w:val="-16"/>
                <w:sz w:val="24"/>
              </w:rPr>
              <w:t> </w:t>
            </w:r>
            <w:r>
              <w:rPr>
                <w:sz w:val="24"/>
              </w:rPr>
              <w:t>and</w:t>
            </w:r>
            <w:r>
              <w:rPr>
                <w:spacing w:val="-15"/>
                <w:sz w:val="24"/>
              </w:rPr>
              <w:t> </w:t>
            </w:r>
            <w:r>
              <w:rPr>
                <w:sz w:val="24"/>
              </w:rPr>
              <w:t>when</w:t>
            </w:r>
            <w:r>
              <w:rPr>
                <w:spacing w:val="-14"/>
                <w:sz w:val="24"/>
              </w:rPr>
              <w:t> </w:t>
            </w:r>
            <w:r>
              <w:rPr>
                <w:spacing w:val="-2"/>
                <w:sz w:val="24"/>
              </w:rPr>
              <w:t>required</w:t>
            </w:r>
          </w:p>
        </w:tc>
        <w:tc>
          <w:tcPr>
            <w:tcW w:w="4862" w:type="dxa"/>
          </w:tcPr>
          <w:p>
            <w:pPr>
              <w:pStyle w:val="TableParagraph"/>
              <w:rPr>
                <w:rFonts w:ascii="Times New Roman"/>
                <w:sz w:val="20"/>
              </w:rPr>
            </w:pPr>
          </w:p>
        </w:tc>
      </w:tr>
      <w:tr>
        <w:trPr>
          <w:trHeight w:val="280" w:hRule="atLeast"/>
        </w:trPr>
        <w:tc>
          <w:tcPr>
            <w:tcW w:w="5242" w:type="dxa"/>
          </w:tcPr>
          <w:p>
            <w:pPr>
              <w:pStyle w:val="TableParagraph"/>
              <w:spacing w:line="260" w:lineRule="exact"/>
              <w:ind w:left="105"/>
              <w:rPr>
                <w:sz w:val="24"/>
              </w:rPr>
            </w:pPr>
            <w:r>
              <w:rPr>
                <w:spacing w:val="-2"/>
                <w:sz w:val="24"/>
              </w:rPr>
              <w:t>Director</w:t>
            </w:r>
            <w:r>
              <w:rPr>
                <w:spacing w:val="-13"/>
                <w:sz w:val="24"/>
              </w:rPr>
              <w:t> </w:t>
            </w:r>
            <w:r>
              <w:rPr>
                <w:spacing w:val="-2"/>
                <w:sz w:val="24"/>
              </w:rPr>
              <w:t>of</w:t>
            </w:r>
            <w:r>
              <w:rPr>
                <w:spacing w:val="-15"/>
                <w:sz w:val="24"/>
              </w:rPr>
              <w:t> </w:t>
            </w:r>
            <w:r>
              <w:rPr>
                <w:spacing w:val="-2"/>
                <w:sz w:val="24"/>
              </w:rPr>
              <w:t>Performance</w:t>
            </w:r>
            <w:r>
              <w:rPr>
                <w:spacing w:val="-11"/>
                <w:sz w:val="24"/>
              </w:rPr>
              <w:t> </w:t>
            </w:r>
            <w:r>
              <w:rPr>
                <w:spacing w:val="-2"/>
                <w:sz w:val="24"/>
              </w:rPr>
              <w:t>&amp;</w:t>
            </w:r>
            <w:r>
              <w:rPr>
                <w:spacing w:val="-13"/>
                <w:sz w:val="24"/>
              </w:rPr>
              <w:t> </w:t>
            </w:r>
            <w:r>
              <w:rPr>
                <w:spacing w:val="-2"/>
                <w:sz w:val="24"/>
              </w:rPr>
              <w:t>Business</w:t>
            </w:r>
            <w:r>
              <w:rPr>
                <w:spacing w:val="-12"/>
                <w:sz w:val="24"/>
              </w:rPr>
              <w:t> </w:t>
            </w:r>
            <w:r>
              <w:rPr>
                <w:spacing w:val="-2"/>
                <w:sz w:val="24"/>
              </w:rPr>
              <w:t>Intelligence</w:t>
            </w:r>
          </w:p>
        </w:tc>
        <w:tc>
          <w:tcPr>
            <w:tcW w:w="4862" w:type="dxa"/>
          </w:tcPr>
          <w:p>
            <w:pPr>
              <w:pStyle w:val="TableParagraph"/>
              <w:spacing w:line="260"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4"/>
                <w:sz w:val="24"/>
              </w:rPr>
              <w:t>Project Clinical</w:t>
            </w:r>
            <w:r>
              <w:rPr>
                <w:sz w:val="24"/>
              </w:rPr>
              <w:t> </w:t>
            </w:r>
            <w:r>
              <w:rPr>
                <w:spacing w:val="-4"/>
                <w:sz w:val="24"/>
              </w:rPr>
              <w:t>Leads</w:t>
            </w:r>
          </w:p>
        </w:tc>
        <w:tc>
          <w:tcPr>
            <w:tcW w:w="4862" w:type="dxa"/>
          </w:tcPr>
          <w:p>
            <w:pPr>
              <w:pStyle w:val="TableParagraph"/>
              <w:spacing w:line="265" w:lineRule="exact"/>
              <w:ind w:left="105"/>
              <w:rPr>
                <w:sz w:val="24"/>
              </w:rPr>
            </w:pPr>
            <w:r>
              <w:rPr>
                <w:spacing w:val="-2"/>
                <w:sz w:val="24"/>
              </w:rPr>
              <w:t>NHS</w:t>
            </w:r>
            <w:r>
              <w:rPr>
                <w:spacing w:val="-15"/>
                <w:sz w:val="24"/>
              </w:rPr>
              <w:t> </w:t>
            </w:r>
            <w:r>
              <w:rPr>
                <w:spacing w:val="-2"/>
                <w:sz w:val="24"/>
              </w:rPr>
              <w:t>Regional</w:t>
            </w:r>
            <w:r>
              <w:rPr>
                <w:spacing w:val="-15"/>
                <w:sz w:val="24"/>
              </w:rPr>
              <w:t> </w:t>
            </w:r>
            <w:r>
              <w:rPr>
                <w:spacing w:val="-2"/>
                <w:sz w:val="24"/>
              </w:rPr>
              <w:t>Clinical</w:t>
            </w:r>
            <w:r>
              <w:rPr>
                <w:spacing w:val="-12"/>
                <w:sz w:val="24"/>
              </w:rPr>
              <w:t> </w:t>
            </w:r>
            <w:r>
              <w:rPr>
                <w:spacing w:val="-2"/>
                <w:sz w:val="24"/>
              </w:rPr>
              <w:t>Services</w:t>
            </w:r>
          </w:p>
        </w:tc>
      </w:tr>
      <w:tr>
        <w:trPr>
          <w:trHeight w:val="285" w:hRule="atLeast"/>
        </w:trPr>
        <w:tc>
          <w:tcPr>
            <w:tcW w:w="5242" w:type="dxa"/>
          </w:tcPr>
          <w:p>
            <w:pPr>
              <w:pStyle w:val="TableParagraph"/>
              <w:spacing w:line="265" w:lineRule="exact"/>
              <w:ind w:left="105"/>
              <w:rPr>
                <w:sz w:val="24"/>
              </w:rPr>
            </w:pPr>
            <w:r>
              <w:rPr>
                <w:spacing w:val="-4"/>
                <w:sz w:val="24"/>
              </w:rPr>
              <w:t>Project</w:t>
            </w:r>
            <w:r>
              <w:rPr>
                <w:spacing w:val="-3"/>
                <w:sz w:val="24"/>
              </w:rPr>
              <w:t> </w:t>
            </w:r>
            <w:r>
              <w:rPr>
                <w:spacing w:val="-4"/>
                <w:sz w:val="24"/>
              </w:rPr>
              <w:t>Service</w:t>
            </w:r>
            <w:r>
              <w:rPr>
                <w:sz w:val="24"/>
              </w:rPr>
              <w:t> </w:t>
            </w:r>
            <w:r>
              <w:rPr>
                <w:spacing w:val="-4"/>
                <w:sz w:val="24"/>
              </w:rPr>
              <w:t>Group/Specialty</w:t>
            </w:r>
            <w:r>
              <w:rPr>
                <w:sz w:val="24"/>
              </w:rPr>
              <w:t> </w:t>
            </w:r>
            <w:r>
              <w:rPr>
                <w:spacing w:val="-4"/>
                <w:sz w:val="24"/>
              </w:rPr>
              <w:t>Managers</w:t>
            </w:r>
          </w:p>
        </w:tc>
        <w:tc>
          <w:tcPr>
            <w:tcW w:w="4862" w:type="dxa"/>
          </w:tcPr>
          <w:p>
            <w:pPr>
              <w:pStyle w:val="TableParagraph"/>
              <w:spacing w:line="265" w:lineRule="exact"/>
              <w:ind w:left="105"/>
              <w:rPr>
                <w:sz w:val="24"/>
              </w:rPr>
            </w:pPr>
            <w:r>
              <w:rPr>
                <w:spacing w:val="-2"/>
                <w:sz w:val="24"/>
              </w:rPr>
              <w:t>NHS</w:t>
            </w:r>
            <w:r>
              <w:rPr>
                <w:spacing w:val="-15"/>
                <w:sz w:val="24"/>
              </w:rPr>
              <w:t> </w:t>
            </w:r>
            <w:r>
              <w:rPr>
                <w:spacing w:val="-2"/>
                <w:sz w:val="24"/>
              </w:rPr>
              <w:t>Regional</w:t>
            </w:r>
            <w:r>
              <w:rPr>
                <w:spacing w:val="-15"/>
                <w:sz w:val="24"/>
              </w:rPr>
              <w:t> </w:t>
            </w:r>
            <w:r>
              <w:rPr>
                <w:spacing w:val="-2"/>
                <w:sz w:val="24"/>
              </w:rPr>
              <w:t>Clinical</w:t>
            </w:r>
            <w:r>
              <w:rPr>
                <w:spacing w:val="-12"/>
                <w:sz w:val="24"/>
              </w:rPr>
              <w:t> </w:t>
            </w:r>
            <w:r>
              <w:rPr>
                <w:spacing w:val="-2"/>
                <w:sz w:val="24"/>
              </w:rPr>
              <w:t>Services</w:t>
            </w:r>
          </w:p>
        </w:tc>
      </w:tr>
      <w:tr>
        <w:trPr>
          <w:trHeight w:val="285" w:hRule="atLeast"/>
        </w:trPr>
        <w:tc>
          <w:tcPr>
            <w:tcW w:w="5242" w:type="dxa"/>
          </w:tcPr>
          <w:p>
            <w:pPr>
              <w:pStyle w:val="TableParagraph"/>
              <w:spacing w:line="265" w:lineRule="exact"/>
              <w:ind w:left="105"/>
              <w:rPr>
                <w:sz w:val="24"/>
              </w:rPr>
            </w:pPr>
            <w:r>
              <w:rPr>
                <w:spacing w:val="-4"/>
                <w:sz w:val="24"/>
              </w:rPr>
              <w:t>Assistant</w:t>
            </w:r>
            <w:r>
              <w:rPr>
                <w:spacing w:val="-2"/>
                <w:sz w:val="24"/>
              </w:rPr>
              <w:t> </w:t>
            </w:r>
            <w:r>
              <w:rPr>
                <w:spacing w:val="-4"/>
                <w:sz w:val="24"/>
              </w:rPr>
              <w:t>Director</w:t>
            </w:r>
            <w:r>
              <w:rPr>
                <w:spacing w:val="1"/>
                <w:sz w:val="24"/>
              </w:rPr>
              <w:t> </w:t>
            </w:r>
            <w:r>
              <w:rPr>
                <w:spacing w:val="-4"/>
                <w:sz w:val="24"/>
              </w:rPr>
              <w:t>Strategy,</w:t>
            </w:r>
            <w:r>
              <w:rPr>
                <w:spacing w:val="-1"/>
                <w:sz w:val="24"/>
              </w:rPr>
              <w:t> </w:t>
            </w:r>
            <w:r>
              <w:rPr>
                <w:spacing w:val="-4"/>
                <w:sz w:val="24"/>
              </w:rPr>
              <w:t>Capital</w:t>
            </w:r>
            <w:r>
              <w:rPr>
                <w:spacing w:val="2"/>
                <w:sz w:val="24"/>
              </w:rPr>
              <w:t> </w:t>
            </w:r>
            <w:r>
              <w:rPr>
                <w:spacing w:val="-4"/>
                <w:sz w:val="24"/>
              </w:rPr>
              <w:t>Planning</w:t>
            </w:r>
          </w:p>
        </w:tc>
        <w:tc>
          <w:tcPr>
            <w:tcW w:w="4862"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2"/>
                <w:sz w:val="24"/>
              </w:rPr>
              <w:t>Head</w:t>
            </w:r>
            <w:r>
              <w:rPr>
                <w:spacing w:val="-14"/>
                <w:sz w:val="24"/>
              </w:rPr>
              <w:t> </w:t>
            </w:r>
            <w:r>
              <w:rPr>
                <w:spacing w:val="-2"/>
                <w:sz w:val="24"/>
              </w:rPr>
              <w:t>of</w:t>
            </w:r>
            <w:r>
              <w:rPr>
                <w:spacing w:val="-11"/>
                <w:sz w:val="24"/>
              </w:rPr>
              <w:t> </w:t>
            </w:r>
            <w:r>
              <w:rPr>
                <w:spacing w:val="-2"/>
                <w:sz w:val="24"/>
              </w:rPr>
              <w:t>Capital</w:t>
            </w:r>
            <w:r>
              <w:rPr>
                <w:spacing w:val="-8"/>
                <w:sz w:val="24"/>
              </w:rPr>
              <w:t> </w:t>
            </w:r>
            <w:r>
              <w:rPr>
                <w:spacing w:val="-2"/>
                <w:sz w:val="24"/>
              </w:rPr>
              <w:t>Planning</w:t>
            </w:r>
          </w:p>
        </w:tc>
        <w:tc>
          <w:tcPr>
            <w:tcW w:w="4862"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bl>
    <w:p>
      <w:pPr>
        <w:pStyle w:val="BodyText"/>
        <w:spacing w:before="162"/>
      </w:pPr>
    </w:p>
    <w:p>
      <w:pPr>
        <w:pStyle w:val="ListParagraph"/>
        <w:numPr>
          <w:ilvl w:val="1"/>
          <w:numId w:val="52"/>
        </w:numPr>
        <w:tabs>
          <w:tab w:pos="862" w:val="left" w:leader="none"/>
        </w:tabs>
        <w:spacing w:line="240" w:lineRule="auto" w:before="0" w:after="0"/>
        <w:ind w:left="862" w:right="616" w:hanging="720"/>
        <w:jc w:val="left"/>
        <w:rPr>
          <w:sz w:val="24"/>
        </w:rPr>
      </w:pPr>
      <w:r>
        <w:rPr>
          <w:sz w:val="24"/>
        </w:rPr>
        <w:t>The</w:t>
      </w:r>
      <w:r>
        <w:rPr>
          <w:spacing w:val="-17"/>
          <w:sz w:val="24"/>
        </w:rPr>
        <w:t> </w:t>
      </w:r>
      <w:r>
        <w:rPr>
          <w:sz w:val="24"/>
        </w:rPr>
        <w:t>RCSPS</w:t>
      </w:r>
      <w:r>
        <w:rPr>
          <w:spacing w:val="-17"/>
          <w:sz w:val="24"/>
        </w:rPr>
        <w:t> </w:t>
      </w:r>
      <w:r>
        <w:rPr>
          <w:sz w:val="24"/>
        </w:rPr>
        <w:t>will</w:t>
      </w:r>
      <w:r>
        <w:rPr>
          <w:spacing w:val="-16"/>
          <w:sz w:val="24"/>
        </w:rPr>
        <w:t> </w:t>
      </w:r>
      <w:r>
        <w:rPr>
          <w:sz w:val="24"/>
        </w:rPr>
        <w:t>be</w:t>
      </w:r>
      <w:r>
        <w:rPr>
          <w:spacing w:val="-17"/>
          <w:sz w:val="24"/>
        </w:rPr>
        <w:t> </w:t>
      </w:r>
      <w:r>
        <w:rPr>
          <w:sz w:val="24"/>
        </w:rPr>
        <w:t>chaired</w:t>
      </w:r>
      <w:r>
        <w:rPr>
          <w:spacing w:val="-17"/>
          <w:sz w:val="24"/>
        </w:rPr>
        <w:t> </w:t>
      </w:r>
      <w:r>
        <w:rPr>
          <w:sz w:val="24"/>
        </w:rPr>
        <w:t>by</w:t>
      </w:r>
      <w:r>
        <w:rPr>
          <w:spacing w:val="-17"/>
          <w:sz w:val="24"/>
        </w:rPr>
        <w:t> </w:t>
      </w:r>
      <w:r>
        <w:rPr>
          <w:sz w:val="24"/>
        </w:rPr>
        <w:t>one</w:t>
      </w:r>
      <w:r>
        <w:rPr>
          <w:spacing w:val="-16"/>
          <w:sz w:val="24"/>
        </w:rPr>
        <w:t> </w:t>
      </w:r>
      <w:r>
        <w:rPr>
          <w:sz w:val="24"/>
        </w:rPr>
        <w:t>of</w:t>
      </w:r>
      <w:r>
        <w:rPr>
          <w:spacing w:val="-17"/>
          <w:sz w:val="24"/>
        </w:rPr>
        <w:t> </w:t>
      </w:r>
      <w:r>
        <w:rPr>
          <w:sz w:val="24"/>
        </w:rPr>
        <w:t>the</w:t>
      </w:r>
      <w:r>
        <w:rPr>
          <w:spacing w:val="-17"/>
          <w:sz w:val="24"/>
        </w:rPr>
        <w:t> </w:t>
      </w:r>
      <w:r>
        <w:rPr>
          <w:sz w:val="24"/>
        </w:rPr>
        <w:t>members.</w:t>
      </w:r>
      <w:r>
        <w:rPr>
          <w:spacing w:val="10"/>
          <w:sz w:val="24"/>
        </w:rPr>
        <w:t> </w:t>
      </w:r>
      <w:r>
        <w:rPr>
          <w:sz w:val="24"/>
        </w:rPr>
        <w:t>Chairing</w:t>
      </w:r>
      <w:r>
        <w:rPr>
          <w:spacing w:val="-17"/>
          <w:sz w:val="24"/>
        </w:rPr>
        <w:t> </w:t>
      </w:r>
      <w:r>
        <w:rPr>
          <w:sz w:val="24"/>
        </w:rPr>
        <w:t>shall</w:t>
      </w:r>
      <w:r>
        <w:rPr>
          <w:spacing w:val="-17"/>
          <w:sz w:val="24"/>
        </w:rPr>
        <w:t> </w:t>
      </w:r>
      <w:r>
        <w:rPr>
          <w:sz w:val="24"/>
        </w:rPr>
        <w:t>rotate</w:t>
      </w:r>
      <w:r>
        <w:rPr>
          <w:spacing w:val="-16"/>
          <w:sz w:val="24"/>
        </w:rPr>
        <w:t> </w:t>
      </w:r>
      <w:r>
        <w:rPr>
          <w:sz w:val="24"/>
        </w:rPr>
        <w:t>between</w:t>
      </w:r>
      <w:r>
        <w:rPr>
          <w:spacing w:val="-17"/>
          <w:sz w:val="24"/>
        </w:rPr>
        <w:t> </w:t>
      </w:r>
      <w:r>
        <w:rPr>
          <w:sz w:val="24"/>
        </w:rPr>
        <w:t>partner organisations</w:t>
      </w:r>
      <w:r>
        <w:rPr>
          <w:spacing w:val="-3"/>
          <w:sz w:val="24"/>
        </w:rPr>
        <w:t> </w:t>
      </w:r>
      <w:r>
        <w:rPr>
          <w:sz w:val="24"/>
        </w:rPr>
        <w:t>on</w:t>
      </w:r>
      <w:r>
        <w:rPr>
          <w:spacing w:val="-8"/>
          <w:sz w:val="24"/>
        </w:rPr>
        <w:t> </w:t>
      </w:r>
      <w:r>
        <w:rPr>
          <w:sz w:val="24"/>
        </w:rPr>
        <w:t>an</w:t>
      </w:r>
      <w:r>
        <w:rPr>
          <w:spacing w:val="-8"/>
          <w:sz w:val="24"/>
        </w:rPr>
        <w:t> </w:t>
      </w:r>
      <w:r>
        <w:rPr>
          <w:sz w:val="24"/>
        </w:rPr>
        <w:t>annual</w:t>
      </w:r>
      <w:r>
        <w:rPr>
          <w:spacing w:val="-2"/>
          <w:sz w:val="24"/>
        </w:rPr>
        <w:t> </w:t>
      </w:r>
      <w:r>
        <w:rPr>
          <w:sz w:val="24"/>
        </w:rPr>
        <w:t>basis</w:t>
      </w:r>
      <w:r>
        <w:rPr>
          <w:spacing w:val="-9"/>
          <w:sz w:val="24"/>
        </w:rPr>
        <w:t> </w:t>
      </w:r>
      <w:r>
        <w:rPr>
          <w:sz w:val="24"/>
        </w:rPr>
        <w:t>unless</w:t>
      </w:r>
      <w:r>
        <w:rPr>
          <w:spacing w:val="-9"/>
          <w:sz w:val="24"/>
        </w:rPr>
        <w:t> </w:t>
      </w:r>
      <w:r>
        <w:rPr>
          <w:sz w:val="24"/>
        </w:rPr>
        <w:t>otherwise</w:t>
      </w:r>
      <w:r>
        <w:rPr>
          <w:spacing w:val="-8"/>
          <w:sz w:val="24"/>
        </w:rPr>
        <w:t> </w:t>
      </w:r>
      <w:r>
        <w:rPr>
          <w:sz w:val="24"/>
        </w:rPr>
        <w:t>agreed.</w:t>
      </w:r>
    </w:p>
    <w:p>
      <w:pPr>
        <w:pStyle w:val="ListParagraph"/>
        <w:numPr>
          <w:ilvl w:val="1"/>
          <w:numId w:val="52"/>
        </w:numPr>
        <w:tabs>
          <w:tab w:pos="862" w:val="left" w:leader="none"/>
        </w:tabs>
        <w:spacing w:line="240" w:lineRule="auto" w:before="158" w:after="0"/>
        <w:ind w:left="862" w:right="0" w:hanging="720"/>
        <w:jc w:val="left"/>
        <w:rPr>
          <w:sz w:val="24"/>
        </w:rPr>
      </w:pPr>
      <w:r>
        <w:rPr>
          <w:spacing w:val="-2"/>
          <w:sz w:val="24"/>
        </w:rPr>
        <w:t>Membership</w:t>
      </w:r>
      <w:r>
        <w:rPr>
          <w:spacing w:val="-13"/>
          <w:sz w:val="24"/>
        </w:rPr>
        <w:t> </w:t>
      </w:r>
      <w:r>
        <w:rPr>
          <w:spacing w:val="-2"/>
          <w:sz w:val="24"/>
        </w:rPr>
        <w:t>of</w:t>
      </w:r>
      <w:r>
        <w:rPr>
          <w:spacing w:val="-12"/>
          <w:sz w:val="24"/>
        </w:rPr>
        <w:t> </w:t>
      </w:r>
      <w:r>
        <w:rPr>
          <w:spacing w:val="-2"/>
          <w:sz w:val="24"/>
        </w:rPr>
        <w:t>the</w:t>
      </w:r>
      <w:r>
        <w:rPr>
          <w:spacing w:val="-9"/>
          <w:sz w:val="24"/>
        </w:rPr>
        <w:t> </w:t>
      </w:r>
      <w:r>
        <w:rPr>
          <w:spacing w:val="-2"/>
          <w:sz w:val="24"/>
        </w:rPr>
        <w:t>RCSPS</w:t>
      </w:r>
      <w:r>
        <w:rPr>
          <w:spacing w:val="-11"/>
          <w:sz w:val="24"/>
        </w:rPr>
        <w:t> </w:t>
      </w:r>
      <w:r>
        <w:rPr>
          <w:spacing w:val="-2"/>
          <w:sz w:val="24"/>
        </w:rPr>
        <w:t>will</w:t>
      </w:r>
      <w:r>
        <w:rPr>
          <w:spacing w:val="-10"/>
          <w:sz w:val="24"/>
        </w:rPr>
        <w:t> </w:t>
      </w:r>
      <w:r>
        <w:rPr>
          <w:spacing w:val="-2"/>
          <w:sz w:val="24"/>
        </w:rPr>
        <w:t>be</w:t>
      </w:r>
      <w:r>
        <w:rPr>
          <w:spacing w:val="-10"/>
          <w:sz w:val="24"/>
        </w:rPr>
        <w:t> </w:t>
      </w:r>
      <w:r>
        <w:rPr>
          <w:spacing w:val="-2"/>
          <w:sz w:val="24"/>
        </w:rPr>
        <w:t>reviewed</w:t>
      </w:r>
      <w:r>
        <w:rPr>
          <w:spacing w:val="-10"/>
          <w:sz w:val="24"/>
        </w:rPr>
        <w:t> </w:t>
      </w:r>
      <w:r>
        <w:rPr>
          <w:spacing w:val="-2"/>
          <w:sz w:val="24"/>
        </w:rPr>
        <w:t>on</w:t>
      </w:r>
      <w:r>
        <w:rPr>
          <w:spacing w:val="-10"/>
          <w:sz w:val="24"/>
        </w:rPr>
        <w:t> </w:t>
      </w:r>
      <w:r>
        <w:rPr>
          <w:spacing w:val="-2"/>
          <w:sz w:val="24"/>
        </w:rPr>
        <w:t>an</w:t>
      </w:r>
      <w:r>
        <w:rPr>
          <w:spacing w:val="-14"/>
          <w:sz w:val="24"/>
        </w:rPr>
        <w:t> </w:t>
      </w:r>
      <w:r>
        <w:rPr>
          <w:spacing w:val="-2"/>
          <w:sz w:val="24"/>
        </w:rPr>
        <w:t>annual</w:t>
      </w:r>
      <w:r>
        <w:rPr>
          <w:spacing w:val="-10"/>
          <w:sz w:val="24"/>
        </w:rPr>
        <w:t> </w:t>
      </w:r>
      <w:r>
        <w:rPr>
          <w:spacing w:val="-2"/>
          <w:sz w:val="24"/>
        </w:rPr>
        <w:t>basis.</w:t>
      </w:r>
    </w:p>
    <w:p>
      <w:pPr>
        <w:pStyle w:val="BodyText"/>
        <w:spacing w:before="137"/>
        <w:rPr>
          <w:sz w:val="20"/>
        </w:rPr>
      </w:pPr>
    </w:p>
    <w:p>
      <w:pPr>
        <w:spacing w:before="0"/>
        <w:ind w:left="4" w:right="284" w:firstLine="0"/>
        <w:jc w:val="center"/>
        <w:rPr>
          <w:sz w:val="20"/>
        </w:rPr>
      </w:pPr>
      <w:r>
        <w:rPr>
          <w:spacing w:val="-10"/>
          <w:sz w:val="20"/>
        </w:rPr>
        <w:t>4</w:t>
      </w:r>
    </w:p>
    <w:p>
      <w:pPr>
        <w:spacing w:after="0"/>
        <w:jc w:val="center"/>
        <w:rPr>
          <w:sz w:val="20"/>
        </w:rPr>
        <w:sectPr>
          <w:pgSz w:w="11910" w:h="16840"/>
          <w:pgMar w:header="0" w:footer="149" w:top="920" w:bottom="340" w:left="708" w:right="425"/>
        </w:sectPr>
      </w:pPr>
    </w:p>
    <w:p>
      <w:pPr>
        <w:pStyle w:val="ListParagraph"/>
        <w:numPr>
          <w:ilvl w:val="1"/>
          <w:numId w:val="52"/>
        </w:numPr>
        <w:tabs>
          <w:tab w:pos="862" w:val="left" w:leader="none"/>
        </w:tabs>
        <w:spacing w:line="240" w:lineRule="auto" w:before="75" w:after="0"/>
        <w:ind w:left="862" w:right="0" w:hanging="720"/>
        <w:jc w:val="left"/>
        <w:rPr>
          <w:sz w:val="24"/>
        </w:rPr>
      </w:pPr>
      <w:r>
        <w:rPr>
          <w:spacing w:val="-2"/>
          <w:sz w:val="24"/>
        </w:rPr>
        <w:t>The</w:t>
      </w:r>
      <w:r>
        <w:rPr>
          <w:spacing w:val="-12"/>
          <w:sz w:val="24"/>
        </w:rPr>
        <w:t> </w:t>
      </w:r>
      <w:r>
        <w:rPr>
          <w:spacing w:val="-2"/>
          <w:sz w:val="24"/>
        </w:rPr>
        <w:t>RCSPS</w:t>
      </w:r>
      <w:r>
        <w:rPr>
          <w:spacing w:val="-10"/>
          <w:sz w:val="24"/>
        </w:rPr>
        <w:t> </w:t>
      </w:r>
      <w:r>
        <w:rPr>
          <w:spacing w:val="-2"/>
          <w:sz w:val="24"/>
        </w:rPr>
        <w:t>will</w:t>
      </w:r>
      <w:r>
        <w:rPr>
          <w:spacing w:val="-10"/>
          <w:sz w:val="24"/>
        </w:rPr>
        <w:t> </w:t>
      </w:r>
      <w:r>
        <w:rPr>
          <w:spacing w:val="-2"/>
          <w:sz w:val="24"/>
        </w:rPr>
        <w:t>be</w:t>
      </w:r>
      <w:r>
        <w:rPr>
          <w:spacing w:val="-10"/>
          <w:sz w:val="24"/>
        </w:rPr>
        <w:t> </w:t>
      </w:r>
      <w:r>
        <w:rPr>
          <w:spacing w:val="-2"/>
          <w:sz w:val="24"/>
        </w:rPr>
        <w:t>supported</w:t>
      </w:r>
      <w:r>
        <w:rPr>
          <w:spacing w:val="-10"/>
          <w:sz w:val="24"/>
        </w:rPr>
        <w:t> </w:t>
      </w:r>
      <w:r>
        <w:rPr>
          <w:spacing w:val="-2"/>
          <w:sz w:val="24"/>
        </w:rPr>
        <w:t>by</w:t>
      </w:r>
      <w:r>
        <w:rPr>
          <w:spacing w:val="-10"/>
          <w:sz w:val="24"/>
        </w:rPr>
        <w:t> </w:t>
      </w:r>
      <w:r>
        <w:rPr>
          <w:spacing w:val="-2"/>
          <w:sz w:val="24"/>
        </w:rPr>
        <w:t>a</w:t>
      </w:r>
      <w:r>
        <w:rPr>
          <w:spacing w:val="-10"/>
          <w:sz w:val="24"/>
        </w:rPr>
        <w:t> </w:t>
      </w:r>
      <w:r>
        <w:rPr>
          <w:spacing w:val="-2"/>
          <w:sz w:val="24"/>
        </w:rPr>
        <w:t>Committee</w:t>
      </w:r>
      <w:r>
        <w:rPr>
          <w:spacing w:val="-10"/>
          <w:sz w:val="24"/>
        </w:rPr>
        <w:t> </w:t>
      </w:r>
      <w:r>
        <w:rPr>
          <w:spacing w:val="-2"/>
          <w:sz w:val="24"/>
        </w:rPr>
        <w:t>Secretary.</w:t>
      </w:r>
    </w:p>
    <w:p>
      <w:pPr>
        <w:pStyle w:val="BodyText"/>
        <w:rPr>
          <w:sz w:val="17"/>
        </w:rPr>
      </w:pPr>
      <w:r>
        <w:rPr>
          <w:sz w:val="17"/>
        </w:rPr>
        <mc:AlternateContent>
          <mc:Choice Requires="wps">
            <w:drawing>
              <wp:anchor distT="0" distB="0" distL="0" distR="0" allowOverlap="1" layoutInCell="1" locked="0" behindDoc="1" simplePos="0" relativeHeight="487665152">
                <wp:simplePos x="0" y="0"/>
                <wp:positionH relativeFrom="page">
                  <wp:posOffset>574992</wp:posOffset>
                </wp:positionH>
                <wp:positionV relativeFrom="paragraph">
                  <wp:posOffset>145810</wp:posOffset>
                </wp:positionV>
                <wp:extent cx="6642100" cy="190500"/>
                <wp:effectExtent l="0" t="0" r="0" b="0"/>
                <wp:wrapTopAndBottom/>
                <wp:docPr id="468" name="Textbox 468"/>
                <wp:cNvGraphicFramePr>
                  <a:graphicFrameLocks/>
                </wp:cNvGraphicFramePr>
                <a:graphic>
                  <a:graphicData uri="http://schemas.microsoft.com/office/word/2010/wordprocessingShape">
                    <wps:wsp>
                      <wps:cNvPr id="468" name="Textbox 468"/>
                      <wps:cNvSpPr txBox="1"/>
                      <wps:spPr>
                        <a:xfrm>
                          <a:off x="0" y="0"/>
                          <a:ext cx="6642100" cy="19050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7</w:t>
                            </w:r>
                            <w:r>
                              <w:rPr>
                                <w:b/>
                                <w:color w:val="000000"/>
                                <w:sz w:val="24"/>
                              </w:rPr>
                              <w:tab/>
                              <w:t>Quorum</w:t>
                            </w:r>
                            <w:r>
                              <w:rPr>
                                <w:b/>
                                <w:color w:val="000000"/>
                                <w:spacing w:val="-4"/>
                                <w:sz w:val="24"/>
                              </w:rPr>
                              <w:t> </w:t>
                            </w:r>
                            <w:r>
                              <w:rPr>
                                <w:b/>
                                <w:color w:val="000000"/>
                                <w:sz w:val="24"/>
                              </w:rPr>
                              <w:t>and</w:t>
                            </w:r>
                            <w:r>
                              <w:rPr>
                                <w:b/>
                                <w:color w:val="000000"/>
                                <w:spacing w:val="-3"/>
                                <w:sz w:val="24"/>
                              </w:rPr>
                              <w:t> </w:t>
                            </w:r>
                            <w:r>
                              <w:rPr>
                                <w:b/>
                                <w:color w:val="000000"/>
                                <w:spacing w:val="-2"/>
                                <w:sz w:val="24"/>
                              </w:rPr>
                              <w:t>Attendance</w:t>
                            </w:r>
                          </w:p>
                        </w:txbxContent>
                      </wps:txbx>
                      <wps:bodyPr wrap="square" lIns="0" tIns="0" rIns="0" bIns="0" rtlCol="0">
                        <a:noAutofit/>
                      </wps:bodyPr>
                    </wps:wsp>
                  </a:graphicData>
                </a:graphic>
              </wp:anchor>
            </w:drawing>
          </mc:Choice>
          <mc:Fallback>
            <w:pict>
              <v:shape style="position:absolute;margin-left:45.275002pt;margin-top:11.481172pt;width:523pt;height:15pt;mso-position-horizontal-relative:page;mso-position-vertical-relative:paragraph;z-index:-15651328;mso-wrap-distance-left:0;mso-wrap-distance-right:0" type="#_x0000_t202" id="docshape250"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7</w:t>
                      </w:r>
                      <w:r>
                        <w:rPr>
                          <w:b/>
                          <w:color w:val="000000"/>
                          <w:sz w:val="24"/>
                        </w:rPr>
                        <w:tab/>
                        <w:t>Quorum</w:t>
                      </w:r>
                      <w:r>
                        <w:rPr>
                          <w:b/>
                          <w:color w:val="000000"/>
                          <w:spacing w:val="-4"/>
                          <w:sz w:val="24"/>
                        </w:rPr>
                        <w:t> </w:t>
                      </w:r>
                      <w:r>
                        <w:rPr>
                          <w:b/>
                          <w:color w:val="000000"/>
                          <w:sz w:val="24"/>
                        </w:rPr>
                        <w:t>and</w:t>
                      </w:r>
                      <w:r>
                        <w:rPr>
                          <w:b/>
                          <w:color w:val="000000"/>
                          <w:spacing w:val="-3"/>
                          <w:sz w:val="24"/>
                        </w:rPr>
                        <w:t> </w:t>
                      </w:r>
                      <w:r>
                        <w:rPr>
                          <w:b/>
                          <w:color w:val="000000"/>
                          <w:spacing w:val="-2"/>
                          <w:sz w:val="24"/>
                        </w:rPr>
                        <w:t>Attendance</w:t>
                      </w:r>
                    </w:p>
                  </w:txbxContent>
                </v:textbox>
                <v:fill type="solid"/>
                <v:stroke dashstyle="solid"/>
                <w10:wrap type="topAndBottom"/>
              </v:shape>
            </w:pict>
          </mc:Fallback>
        </mc:AlternateContent>
      </w:r>
    </w:p>
    <w:p>
      <w:pPr>
        <w:pStyle w:val="BodyText"/>
        <w:spacing w:before="148"/>
      </w:pPr>
    </w:p>
    <w:p>
      <w:pPr>
        <w:pStyle w:val="ListParagraph"/>
        <w:numPr>
          <w:ilvl w:val="1"/>
          <w:numId w:val="53"/>
        </w:numPr>
        <w:tabs>
          <w:tab w:pos="862" w:val="left" w:leader="none"/>
        </w:tabs>
        <w:spacing w:line="379" w:lineRule="auto" w:before="1" w:after="0"/>
        <w:ind w:left="862" w:right="3630" w:hanging="720"/>
        <w:jc w:val="left"/>
        <w:rPr>
          <w:sz w:val="24"/>
        </w:rPr>
      </w:pPr>
      <w:r>
        <w:rPr>
          <w:spacing w:val="-2"/>
          <w:sz w:val="24"/>
        </w:rPr>
        <w:t>At</w:t>
      </w:r>
      <w:r>
        <w:rPr>
          <w:spacing w:val="-14"/>
          <w:sz w:val="24"/>
        </w:rPr>
        <w:t> </w:t>
      </w:r>
      <w:r>
        <w:rPr>
          <w:spacing w:val="-2"/>
          <w:sz w:val="24"/>
        </w:rPr>
        <w:t>least</w:t>
      </w:r>
      <w:r>
        <w:rPr>
          <w:spacing w:val="-13"/>
          <w:sz w:val="24"/>
        </w:rPr>
        <w:t> </w:t>
      </w:r>
      <w:r>
        <w:rPr>
          <w:spacing w:val="-2"/>
          <w:sz w:val="24"/>
        </w:rPr>
        <w:t>50%</w:t>
      </w:r>
      <w:r>
        <w:rPr>
          <w:spacing w:val="-11"/>
          <w:sz w:val="24"/>
        </w:rPr>
        <w:t> </w:t>
      </w:r>
      <w:r>
        <w:rPr>
          <w:spacing w:val="-2"/>
          <w:sz w:val="24"/>
        </w:rPr>
        <w:t>of</w:t>
      </w:r>
      <w:r>
        <w:rPr>
          <w:spacing w:val="-13"/>
          <w:sz w:val="24"/>
        </w:rPr>
        <w:t> </w:t>
      </w:r>
      <w:r>
        <w:rPr>
          <w:spacing w:val="-2"/>
          <w:sz w:val="24"/>
        </w:rPr>
        <w:t>members</w:t>
      </w:r>
      <w:r>
        <w:rPr>
          <w:spacing w:val="-7"/>
          <w:sz w:val="24"/>
        </w:rPr>
        <w:t> </w:t>
      </w:r>
      <w:r>
        <w:rPr>
          <w:spacing w:val="-2"/>
          <w:sz w:val="24"/>
        </w:rPr>
        <w:t>from</w:t>
      </w:r>
      <w:r>
        <w:rPr>
          <w:spacing w:val="-12"/>
          <w:sz w:val="24"/>
        </w:rPr>
        <w:t> </w:t>
      </w:r>
      <w:r>
        <w:rPr>
          <w:spacing w:val="-2"/>
          <w:sz w:val="24"/>
        </w:rPr>
        <w:t>Hywel</w:t>
      </w:r>
      <w:r>
        <w:rPr>
          <w:spacing w:val="-11"/>
          <w:sz w:val="24"/>
        </w:rPr>
        <w:t> </w:t>
      </w:r>
      <w:r>
        <w:rPr>
          <w:spacing w:val="-2"/>
          <w:sz w:val="24"/>
        </w:rPr>
        <w:t>Dda</w:t>
      </w:r>
      <w:r>
        <w:rPr>
          <w:spacing w:val="-11"/>
          <w:sz w:val="24"/>
        </w:rPr>
        <w:t> </w:t>
      </w:r>
      <w:r>
        <w:rPr>
          <w:spacing w:val="-2"/>
          <w:sz w:val="24"/>
        </w:rPr>
        <w:t>UHB</w:t>
      </w:r>
      <w:r>
        <w:rPr>
          <w:spacing w:val="-4"/>
          <w:sz w:val="24"/>
        </w:rPr>
        <w:t> </w:t>
      </w:r>
      <w:r>
        <w:rPr>
          <w:spacing w:val="-2"/>
          <w:sz w:val="24"/>
        </w:rPr>
        <w:t>(or</w:t>
      </w:r>
      <w:r>
        <w:rPr>
          <w:spacing w:val="-15"/>
          <w:sz w:val="24"/>
        </w:rPr>
        <w:t> </w:t>
      </w:r>
      <w:r>
        <w:rPr>
          <w:spacing w:val="-2"/>
          <w:sz w:val="24"/>
        </w:rPr>
        <w:t>deputies) </w:t>
      </w:r>
      <w:r>
        <w:rPr>
          <w:sz w:val="24"/>
        </w:rPr>
        <w:t>At</w:t>
      </w:r>
      <w:r>
        <w:rPr>
          <w:spacing w:val="-6"/>
          <w:sz w:val="24"/>
        </w:rPr>
        <w:t> </w:t>
      </w:r>
      <w:r>
        <w:rPr>
          <w:sz w:val="24"/>
        </w:rPr>
        <w:t>least</w:t>
      </w:r>
      <w:r>
        <w:rPr>
          <w:spacing w:val="-6"/>
          <w:sz w:val="24"/>
        </w:rPr>
        <w:t> </w:t>
      </w:r>
      <w:r>
        <w:rPr>
          <w:sz w:val="24"/>
        </w:rPr>
        <w:t>50%</w:t>
      </w:r>
      <w:r>
        <w:rPr>
          <w:spacing w:val="-3"/>
          <w:sz w:val="24"/>
        </w:rPr>
        <w:t> </w:t>
      </w:r>
      <w:r>
        <w:rPr>
          <w:sz w:val="24"/>
        </w:rPr>
        <w:t>of</w:t>
      </w:r>
      <w:r>
        <w:rPr>
          <w:spacing w:val="-6"/>
          <w:sz w:val="24"/>
        </w:rPr>
        <w:t> </w:t>
      </w:r>
      <w:r>
        <w:rPr>
          <w:sz w:val="24"/>
        </w:rPr>
        <w:t>members from</w:t>
      </w:r>
      <w:r>
        <w:rPr>
          <w:spacing w:val="-2"/>
          <w:sz w:val="24"/>
        </w:rPr>
        <w:t> </w:t>
      </w:r>
      <w:r>
        <w:rPr>
          <w:sz w:val="24"/>
        </w:rPr>
        <w:t>Swansea</w:t>
      </w:r>
      <w:r>
        <w:rPr>
          <w:spacing w:val="-3"/>
          <w:sz w:val="24"/>
        </w:rPr>
        <w:t> </w:t>
      </w:r>
      <w:r>
        <w:rPr>
          <w:sz w:val="24"/>
        </w:rPr>
        <w:t>UHB</w:t>
      </w:r>
      <w:r>
        <w:rPr>
          <w:spacing w:val="-3"/>
          <w:sz w:val="24"/>
        </w:rPr>
        <w:t> </w:t>
      </w:r>
      <w:r>
        <w:rPr>
          <w:sz w:val="24"/>
        </w:rPr>
        <w:t>(or</w:t>
      </w:r>
      <w:r>
        <w:rPr>
          <w:spacing w:val="-4"/>
          <w:sz w:val="24"/>
        </w:rPr>
        <w:t> </w:t>
      </w:r>
      <w:r>
        <w:rPr>
          <w:sz w:val="24"/>
        </w:rPr>
        <w:t>deputies)</w:t>
      </w:r>
    </w:p>
    <w:p>
      <w:pPr>
        <w:pStyle w:val="ListParagraph"/>
        <w:numPr>
          <w:ilvl w:val="1"/>
          <w:numId w:val="53"/>
        </w:numPr>
        <w:tabs>
          <w:tab w:pos="862" w:val="left" w:leader="none"/>
        </w:tabs>
        <w:spacing w:line="242" w:lineRule="auto" w:before="0" w:after="0"/>
        <w:ind w:left="862" w:right="701" w:hanging="720"/>
        <w:jc w:val="left"/>
        <w:rPr>
          <w:sz w:val="24"/>
        </w:rPr>
      </w:pPr>
      <w:r>
        <w:rPr>
          <w:spacing w:val="-2"/>
          <w:sz w:val="24"/>
        </w:rPr>
        <w:t>All</w:t>
      </w:r>
      <w:r>
        <w:rPr>
          <w:spacing w:val="-10"/>
          <w:sz w:val="24"/>
        </w:rPr>
        <w:t> </w:t>
      </w:r>
      <w:r>
        <w:rPr>
          <w:spacing w:val="-2"/>
          <w:sz w:val="24"/>
        </w:rPr>
        <w:t>members</w:t>
      </w:r>
      <w:r>
        <w:rPr>
          <w:spacing w:val="-11"/>
          <w:sz w:val="24"/>
        </w:rPr>
        <w:t> </w:t>
      </w:r>
      <w:r>
        <w:rPr>
          <w:spacing w:val="-2"/>
          <w:sz w:val="24"/>
        </w:rPr>
        <w:t>should</w:t>
      </w:r>
      <w:r>
        <w:rPr>
          <w:spacing w:val="-10"/>
          <w:sz w:val="24"/>
        </w:rPr>
        <w:t> </w:t>
      </w:r>
      <w:r>
        <w:rPr>
          <w:spacing w:val="-2"/>
          <w:sz w:val="24"/>
        </w:rPr>
        <w:t>inform</w:t>
      </w:r>
      <w:r>
        <w:rPr>
          <w:spacing w:val="-6"/>
          <w:sz w:val="24"/>
        </w:rPr>
        <w:t> </w:t>
      </w:r>
      <w:r>
        <w:rPr>
          <w:spacing w:val="-2"/>
          <w:sz w:val="24"/>
        </w:rPr>
        <w:t>the</w:t>
      </w:r>
      <w:r>
        <w:rPr>
          <w:spacing w:val="-8"/>
          <w:sz w:val="24"/>
        </w:rPr>
        <w:t> </w:t>
      </w:r>
      <w:r>
        <w:rPr>
          <w:spacing w:val="-2"/>
          <w:sz w:val="24"/>
        </w:rPr>
        <w:t>RJC</w:t>
      </w:r>
      <w:r>
        <w:rPr>
          <w:spacing w:val="-10"/>
          <w:sz w:val="24"/>
        </w:rPr>
        <w:t> </w:t>
      </w:r>
      <w:r>
        <w:rPr>
          <w:spacing w:val="-2"/>
          <w:sz w:val="24"/>
        </w:rPr>
        <w:t>PMO</w:t>
      </w:r>
      <w:r>
        <w:rPr>
          <w:spacing w:val="-12"/>
          <w:sz w:val="24"/>
        </w:rPr>
        <w:t> </w:t>
      </w:r>
      <w:r>
        <w:rPr>
          <w:spacing w:val="-2"/>
          <w:sz w:val="24"/>
        </w:rPr>
        <w:t>one</w:t>
      </w:r>
      <w:r>
        <w:rPr>
          <w:spacing w:val="-10"/>
          <w:sz w:val="24"/>
        </w:rPr>
        <w:t> </w:t>
      </w:r>
      <w:r>
        <w:rPr>
          <w:spacing w:val="-2"/>
          <w:sz w:val="24"/>
        </w:rPr>
        <w:t>week</w:t>
      </w:r>
      <w:r>
        <w:rPr>
          <w:spacing w:val="-15"/>
          <w:sz w:val="24"/>
        </w:rPr>
        <w:t> </w:t>
      </w:r>
      <w:r>
        <w:rPr>
          <w:spacing w:val="-2"/>
          <w:sz w:val="24"/>
        </w:rPr>
        <w:t>in</w:t>
      </w:r>
      <w:r>
        <w:rPr>
          <w:spacing w:val="-9"/>
          <w:sz w:val="24"/>
        </w:rPr>
        <w:t> </w:t>
      </w:r>
      <w:r>
        <w:rPr>
          <w:spacing w:val="-2"/>
          <w:sz w:val="24"/>
        </w:rPr>
        <w:t>advance</w:t>
      </w:r>
      <w:r>
        <w:rPr>
          <w:spacing w:val="-10"/>
          <w:sz w:val="24"/>
        </w:rPr>
        <w:t> </w:t>
      </w:r>
      <w:r>
        <w:rPr>
          <w:spacing w:val="-2"/>
          <w:sz w:val="24"/>
        </w:rPr>
        <w:t>of</w:t>
      </w:r>
      <w:r>
        <w:rPr>
          <w:spacing w:val="-13"/>
          <w:sz w:val="24"/>
        </w:rPr>
        <w:t> </w:t>
      </w:r>
      <w:r>
        <w:rPr>
          <w:spacing w:val="-2"/>
          <w:sz w:val="24"/>
        </w:rPr>
        <w:t>the</w:t>
      </w:r>
      <w:r>
        <w:rPr>
          <w:spacing w:val="-10"/>
          <w:sz w:val="24"/>
        </w:rPr>
        <w:t> </w:t>
      </w:r>
      <w:r>
        <w:rPr>
          <w:spacing w:val="-2"/>
          <w:sz w:val="24"/>
        </w:rPr>
        <w:t>meeting</w:t>
      </w:r>
      <w:r>
        <w:rPr>
          <w:spacing w:val="-10"/>
          <w:sz w:val="24"/>
        </w:rPr>
        <w:t> </w:t>
      </w:r>
      <w:r>
        <w:rPr>
          <w:spacing w:val="-2"/>
          <w:sz w:val="24"/>
        </w:rPr>
        <w:t>if</w:t>
      </w:r>
      <w:r>
        <w:rPr>
          <w:spacing w:val="-13"/>
          <w:sz w:val="24"/>
        </w:rPr>
        <w:t> </w:t>
      </w:r>
      <w:r>
        <w:rPr>
          <w:spacing w:val="-2"/>
          <w:sz w:val="24"/>
        </w:rPr>
        <w:t>deputies </w:t>
      </w:r>
      <w:r>
        <w:rPr>
          <w:sz w:val="24"/>
        </w:rPr>
        <w:t>will</w:t>
      </w:r>
      <w:r>
        <w:rPr>
          <w:spacing w:val="-15"/>
          <w:sz w:val="24"/>
        </w:rPr>
        <w:t> </w:t>
      </w:r>
      <w:r>
        <w:rPr>
          <w:sz w:val="24"/>
        </w:rPr>
        <w:t>be</w:t>
      </w:r>
      <w:r>
        <w:rPr>
          <w:spacing w:val="-10"/>
          <w:sz w:val="24"/>
        </w:rPr>
        <w:t> </w:t>
      </w:r>
      <w:r>
        <w:rPr>
          <w:sz w:val="24"/>
        </w:rPr>
        <w:t>attending,</w:t>
      </w:r>
      <w:r>
        <w:rPr>
          <w:spacing w:val="-13"/>
          <w:sz w:val="24"/>
        </w:rPr>
        <w:t> </w:t>
      </w:r>
      <w:r>
        <w:rPr>
          <w:sz w:val="24"/>
        </w:rPr>
        <w:t>unless</w:t>
      </w:r>
      <w:r>
        <w:rPr>
          <w:spacing w:val="-15"/>
          <w:sz w:val="24"/>
        </w:rPr>
        <w:t> </w:t>
      </w:r>
      <w:r>
        <w:rPr>
          <w:sz w:val="24"/>
        </w:rPr>
        <w:t>exceptional</w:t>
      </w:r>
      <w:r>
        <w:rPr>
          <w:spacing w:val="-10"/>
          <w:sz w:val="24"/>
        </w:rPr>
        <w:t> </w:t>
      </w:r>
      <w:r>
        <w:rPr>
          <w:sz w:val="24"/>
        </w:rPr>
        <w:t>short-term</w:t>
      </w:r>
      <w:r>
        <w:rPr>
          <w:spacing w:val="-11"/>
          <w:sz w:val="24"/>
        </w:rPr>
        <w:t> </w:t>
      </w:r>
      <w:r>
        <w:rPr>
          <w:sz w:val="24"/>
        </w:rPr>
        <w:t>circumstances</w:t>
      </w:r>
      <w:r>
        <w:rPr>
          <w:spacing w:val="-11"/>
          <w:sz w:val="24"/>
        </w:rPr>
        <w:t> </w:t>
      </w:r>
      <w:r>
        <w:rPr>
          <w:sz w:val="24"/>
        </w:rPr>
        <w:t>arise.</w:t>
      </w:r>
    </w:p>
    <w:p>
      <w:pPr>
        <w:pStyle w:val="ListParagraph"/>
        <w:numPr>
          <w:ilvl w:val="1"/>
          <w:numId w:val="53"/>
        </w:numPr>
        <w:tabs>
          <w:tab w:pos="862" w:val="left" w:leader="none"/>
        </w:tabs>
        <w:spacing w:line="240" w:lineRule="auto" w:before="155" w:after="0"/>
        <w:ind w:left="862" w:right="473" w:hanging="720"/>
        <w:jc w:val="left"/>
        <w:rPr>
          <w:sz w:val="24"/>
        </w:rPr>
      </w:pPr>
      <w:r>
        <w:rPr>
          <w:spacing w:val="-2"/>
          <w:sz w:val="24"/>
        </w:rPr>
        <w:t>Should</w:t>
      </w:r>
      <w:r>
        <w:rPr>
          <w:spacing w:val="-10"/>
          <w:sz w:val="24"/>
        </w:rPr>
        <w:t> </w:t>
      </w:r>
      <w:r>
        <w:rPr>
          <w:spacing w:val="-2"/>
          <w:sz w:val="24"/>
        </w:rPr>
        <w:t>any</w:t>
      </w:r>
      <w:r>
        <w:rPr>
          <w:spacing w:val="-11"/>
          <w:sz w:val="24"/>
        </w:rPr>
        <w:t> </w:t>
      </w:r>
      <w:r>
        <w:rPr>
          <w:spacing w:val="-2"/>
          <w:sz w:val="24"/>
        </w:rPr>
        <w:t>member</w:t>
      </w:r>
      <w:r>
        <w:rPr>
          <w:spacing w:val="-11"/>
          <w:sz w:val="24"/>
        </w:rPr>
        <w:t> </w:t>
      </w:r>
      <w:r>
        <w:rPr>
          <w:spacing w:val="-2"/>
          <w:sz w:val="24"/>
        </w:rPr>
        <w:t>be</w:t>
      </w:r>
      <w:r>
        <w:rPr>
          <w:spacing w:val="-10"/>
          <w:sz w:val="24"/>
        </w:rPr>
        <w:t> </w:t>
      </w:r>
      <w:r>
        <w:rPr>
          <w:spacing w:val="-2"/>
          <w:sz w:val="24"/>
        </w:rPr>
        <w:t>unavailable</w:t>
      </w:r>
      <w:r>
        <w:rPr>
          <w:spacing w:val="-6"/>
          <w:sz w:val="24"/>
        </w:rPr>
        <w:t> </w:t>
      </w:r>
      <w:r>
        <w:rPr>
          <w:spacing w:val="-2"/>
          <w:sz w:val="24"/>
        </w:rPr>
        <w:t>to</w:t>
      </w:r>
      <w:r>
        <w:rPr>
          <w:spacing w:val="-10"/>
          <w:sz w:val="24"/>
        </w:rPr>
        <w:t> </w:t>
      </w:r>
      <w:r>
        <w:rPr>
          <w:spacing w:val="-2"/>
          <w:sz w:val="24"/>
        </w:rPr>
        <w:t>attend,</w:t>
      </w:r>
      <w:r>
        <w:rPr>
          <w:spacing w:val="-8"/>
          <w:sz w:val="24"/>
        </w:rPr>
        <w:t> </w:t>
      </w:r>
      <w:r>
        <w:rPr>
          <w:spacing w:val="-2"/>
          <w:sz w:val="24"/>
        </w:rPr>
        <w:t>they</w:t>
      </w:r>
      <w:r>
        <w:rPr>
          <w:spacing w:val="-11"/>
          <w:sz w:val="24"/>
        </w:rPr>
        <w:t> </w:t>
      </w:r>
      <w:r>
        <w:rPr>
          <w:spacing w:val="-2"/>
          <w:sz w:val="24"/>
        </w:rPr>
        <w:t>may</w:t>
      </w:r>
      <w:r>
        <w:rPr>
          <w:spacing w:val="-11"/>
          <w:sz w:val="24"/>
        </w:rPr>
        <w:t> </w:t>
      </w:r>
      <w:r>
        <w:rPr>
          <w:spacing w:val="-2"/>
          <w:sz w:val="24"/>
        </w:rPr>
        <w:t>nominate</w:t>
      </w:r>
      <w:r>
        <w:rPr>
          <w:spacing w:val="-10"/>
          <w:sz w:val="24"/>
        </w:rPr>
        <w:t> </w:t>
      </w:r>
      <w:r>
        <w:rPr>
          <w:spacing w:val="-2"/>
          <w:sz w:val="24"/>
        </w:rPr>
        <w:t>a</w:t>
      </w:r>
      <w:r>
        <w:rPr>
          <w:spacing w:val="-10"/>
          <w:sz w:val="24"/>
        </w:rPr>
        <w:t> </w:t>
      </w:r>
      <w:r>
        <w:rPr>
          <w:spacing w:val="-2"/>
          <w:sz w:val="24"/>
        </w:rPr>
        <w:t>deputy</w:t>
      </w:r>
      <w:r>
        <w:rPr>
          <w:spacing w:val="-11"/>
          <w:sz w:val="24"/>
        </w:rPr>
        <w:t> </w:t>
      </w:r>
      <w:r>
        <w:rPr>
          <w:spacing w:val="-2"/>
          <w:sz w:val="24"/>
        </w:rPr>
        <w:t>to</w:t>
      </w:r>
      <w:r>
        <w:rPr>
          <w:spacing w:val="-10"/>
          <w:sz w:val="24"/>
        </w:rPr>
        <w:t> </w:t>
      </w:r>
      <w:r>
        <w:rPr>
          <w:spacing w:val="-2"/>
          <w:sz w:val="24"/>
        </w:rPr>
        <w:t>attend</w:t>
      </w:r>
      <w:r>
        <w:rPr>
          <w:spacing w:val="-15"/>
          <w:sz w:val="24"/>
        </w:rPr>
        <w:t> </w:t>
      </w:r>
      <w:r>
        <w:rPr>
          <w:spacing w:val="-2"/>
          <w:sz w:val="24"/>
        </w:rPr>
        <w:t>in</w:t>
      </w:r>
      <w:r>
        <w:rPr>
          <w:spacing w:val="-10"/>
          <w:sz w:val="24"/>
        </w:rPr>
        <w:t> </w:t>
      </w:r>
      <w:r>
        <w:rPr>
          <w:spacing w:val="-2"/>
          <w:sz w:val="24"/>
        </w:rPr>
        <w:t>their </w:t>
      </w:r>
      <w:r>
        <w:rPr>
          <w:sz w:val="24"/>
        </w:rPr>
        <w:t>place, subject to</w:t>
      </w:r>
      <w:r>
        <w:rPr>
          <w:spacing w:val="-2"/>
          <w:sz w:val="24"/>
        </w:rPr>
        <w:t> </w:t>
      </w:r>
      <w:r>
        <w:rPr>
          <w:sz w:val="24"/>
        </w:rPr>
        <w:t>the</w:t>
      </w:r>
      <w:r>
        <w:rPr>
          <w:spacing w:val="-2"/>
          <w:sz w:val="24"/>
        </w:rPr>
        <w:t> </w:t>
      </w:r>
      <w:r>
        <w:rPr>
          <w:sz w:val="24"/>
        </w:rPr>
        <w:t>agreement</w:t>
      </w:r>
      <w:r>
        <w:rPr>
          <w:spacing w:val="-5"/>
          <w:sz w:val="24"/>
        </w:rPr>
        <w:t> </w:t>
      </w:r>
      <w:r>
        <w:rPr>
          <w:sz w:val="24"/>
        </w:rPr>
        <w:t>of</w:t>
      </w:r>
      <w:r>
        <w:rPr>
          <w:spacing w:val="-5"/>
          <w:sz w:val="24"/>
        </w:rPr>
        <w:t> </w:t>
      </w:r>
      <w:r>
        <w:rPr>
          <w:sz w:val="24"/>
        </w:rPr>
        <w:t>both</w:t>
      </w:r>
      <w:r>
        <w:rPr>
          <w:spacing w:val="-2"/>
          <w:sz w:val="24"/>
        </w:rPr>
        <w:t> </w:t>
      </w:r>
      <w:r>
        <w:rPr>
          <w:sz w:val="24"/>
        </w:rPr>
        <w:t>Co-Chairs.</w:t>
      </w:r>
    </w:p>
    <w:p>
      <w:pPr>
        <w:pStyle w:val="ListParagraph"/>
        <w:numPr>
          <w:ilvl w:val="1"/>
          <w:numId w:val="53"/>
        </w:numPr>
        <w:tabs>
          <w:tab w:pos="862" w:val="left" w:leader="none"/>
        </w:tabs>
        <w:spacing w:line="242" w:lineRule="auto" w:before="159" w:after="0"/>
        <w:ind w:left="862" w:right="455" w:hanging="720"/>
        <w:jc w:val="left"/>
        <w:rPr>
          <w:sz w:val="24"/>
        </w:rPr>
      </w:pPr>
      <w:r>
        <w:rPr>
          <w:spacing w:val="-2"/>
          <w:sz w:val="24"/>
        </w:rPr>
        <w:t>Delegation</w:t>
      </w:r>
      <w:r>
        <w:rPr>
          <w:spacing w:val="-10"/>
          <w:sz w:val="24"/>
        </w:rPr>
        <w:t> </w:t>
      </w:r>
      <w:r>
        <w:rPr>
          <w:spacing w:val="-2"/>
          <w:sz w:val="24"/>
        </w:rPr>
        <w:t>to</w:t>
      </w:r>
      <w:r>
        <w:rPr>
          <w:spacing w:val="-10"/>
          <w:sz w:val="24"/>
        </w:rPr>
        <w:t> </w:t>
      </w:r>
      <w:r>
        <w:rPr>
          <w:spacing w:val="-2"/>
          <w:sz w:val="24"/>
        </w:rPr>
        <w:t>deputies</w:t>
      </w:r>
      <w:r>
        <w:rPr>
          <w:spacing w:val="-11"/>
          <w:sz w:val="24"/>
        </w:rPr>
        <w:t> </w:t>
      </w:r>
      <w:r>
        <w:rPr>
          <w:spacing w:val="-2"/>
          <w:sz w:val="24"/>
        </w:rPr>
        <w:t>is</w:t>
      </w:r>
      <w:r>
        <w:rPr>
          <w:spacing w:val="-11"/>
          <w:sz w:val="24"/>
        </w:rPr>
        <w:t> </w:t>
      </w:r>
      <w:r>
        <w:rPr>
          <w:spacing w:val="-2"/>
          <w:sz w:val="24"/>
        </w:rPr>
        <w:t>expected</w:t>
      </w:r>
      <w:r>
        <w:rPr>
          <w:spacing w:val="-6"/>
          <w:sz w:val="24"/>
        </w:rPr>
        <w:t> </w:t>
      </w:r>
      <w:r>
        <w:rPr>
          <w:spacing w:val="-2"/>
          <w:sz w:val="24"/>
        </w:rPr>
        <w:t>to</w:t>
      </w:r>
      <w:r>
        <w:rPr>
          <w:spacing w:val="-10"/>
          <w:sz w:val="24"/>
        </w:rPr>
        <w:t> </w:t>
      </w:r>
      <w:r>
        <w:rPr>
          <w:spacing w:val="-2"/>
          <w:sz w:val="24"/>
        </w:rPr>
        <w:t>be</w:t>
      </w:r>
      <w:r>
        <w:rPr>
          <w:spacing w:val="-10"/>
          <w:sz w:val="24"/>
        </w:rPr>
        <w:t> </w:t>
      </w:r>
      <w:r>
        <w:rPr>
          <w:spacing w:val="-2"/>
          <w:sz w:val="24"/>
        </w:rPr>
        <w:t>kept</w:t>
      </w:r>
      <w:r>
        <w:rPr>
          <w:spacing w:val="-13"/>
          <w:sz w:val="24"/>
        </w:rPr>
        <w:t> </w:t>
      </w:r>
      <w:r>
        <w:rPr>
          <w:spacing w:val="-2"/>
          <w:sz w:val="24"/>
        </w:rPr>
        <w:t>to</w:t>
      </w:r>
      <w:r>
        <w:rPr>
          <w:spacing w:val="-15"/>
          <w:sz w:val="24"/>
        </w:rPr>
        <w:t> </w:t>
      </w:r>
      <w:r>
        <w:rPr>
          <w:spacing w:val="-2"/>
          <w:sz w:val="24"/>
        </w:rPr>
        <w:t>a</w:t>
      </w:r>
      <w:r>
        <w:rPr>
          <w:spacing w:val="-10"/>
          <w:sz w:val="24"/>
        </w:rPr>
        <w:t> </w:t>
      </w:r>
      <w:r>
        <w:rPr>
          <w:spacing w:val="-2"/>
          <w:sz w:val="24"/>
        </w:rPr>
        <w:t>minimum</w:t>
      </w:r>
      <w:r>
        <w:rPr>
          <w:spacing w:val="-11"/>
          <w:sz w:val="24"/>
        </w:rPr>
        <w:t> </w:t>
      </w:r>
      <w:r>
        <w:rPr>
          <w:spacing w:val="-2"/>
          <w:sz w:val="24"/>
        </w:rPr>
        <w:t>and</w:t>
      </w:r>
      <w:r>
        <w:rPr>
          <w:spacing w:val="-10"/>
          <w:sz w:val="24"/>
        </w:rPr>
        <w:t> </w:t>
      </w:r>
      <w:r>
        <w:rPr>
          <w:spacing w:val="-2"/>
          <w:sz w:val="24"/>
        </w:rPr>
        <w:t>specific</w:t>
      </w:r>
      <w:r>
        <w:rPr>
          <w:spacing w:val="-11"/>
          <w:sz w:val="24"/>
        </w:rPr>
        <w:t> </w:t>
      </w:r>
      <w:r>
        <w:rPr>
          <w:spacing w:val="-2"/>
          <w:sz w:val="24"/>
        </w:rPr>
        <w:t>approval</w:t>
      </w:r>
      <w:r>
        <w:rPr>
          <w:spacing w:val="-10"/>
          <w:sz w:val="24"/>
        </w:rPr>
        <w:t> </w:t>
      </w:r>
      <w:r>
        <w:rPr>
          <w:spacing w:val="-2"/>
          <w:sz w:val="24"/>
        </w:rPr>
        <w:t>should</w:t>
      </w:r>
      <w:r>
        <w:rPr>
          <w:spacing w:val="-10"/>
          <w:sz w:val="24"/>
        </w:rPr>
        <w:t> </w:t>
      </w:r>
      <w:r>
        <w:rPr>
          <w:spacing w:val="-2"/>
          <w:sz w:val="24"/>
        </w:rPr>
        <w:t>be </w:t>
      </w:r>
      <w:r>
        <w:rPr>
          <w:sz w:val="24"/>
        </w:rPr>
        <w:t>sought</w:t>
      </w:r>
      <w:r>
        <w:rPr>
          <w:spacing w:val="-14"/>
          <w:sz w:val="24"/>
        </w:rPr>
        <w:t> </w:t>
      </w:r>
      <w:r>
        <w:rPr>
          <w:sz w:val="24"/>
        </w:rPr>
        <w:t>from</w:t>
      </w:r>
      <w:r>
        <w:rPr>
          <w:spacing w:val="-12"/>
          <w:sz w:val="24"/>
        </w:rPr>
        <w:t> </w:t>
      </w:r>
      <w:r>
        <w:rPr>
          <w:sz w:val="24"/>
        </w:rPr>
        <w:t>the</w:t>
      </w:r>
      <w:r>
        <w:rPr>
          <w:spacing w:val="-14"/>
          <w:sz w:val="24"/>
        </w:rPr>
        <w:t> </w:t>
      </w:r>
      <w:r>
        <w:rPr>
          <w:sz w:val="24"/>
        </w:rPr>
        <w:t>Co-Chairs</w:t>
      </w:r>
      <w:r>
        <w:rPr>
          <w:spacing w:val="-12"/>
          <w:sz w:val="24"/>
        </w:rPr>
        <w:t> </w:t>
      </w:r>
      <w:r>
        <w:rPr>
          <w:sz w:val="24"/>
        </w:rPr>
        <w:t>for</w:t>
      </w:r>
      <w:r>
        <w:rPr>
          <w:spacing w:val="-12"/>
          <w:sz w:val="24"/>
        </w:rPr>
        <w:t> </w:t>
      </w:r>
      <w:r>
        <w:rPr>
          <w:sz w:val="24"/>
        </w:rPr>
        <w:t>instances</w:t>
      </w:r>
      <w:r>
        <w:rPr>
          <w:spacing w:val="-12"/>
          <w:sz w:val="24"/>
        </w:rPr>
        <w:t> </w:t>
      </w:r>
      <w:r>
        <w:rPr>
          <w:sz w:val="24"/>
        </w:rPr>
        <w:t>where</w:t>
      </w:r>
      <w:r>
        <w:rPr>
          <w:spacing w:val="-7"/>
          <w:sz w:val="24"/>
        </w:rPr>
        <w:t> </w:t>
      </w:r>
      <w:r>
        <w:rPr>
          <w:sz w:val="24"/>
        </w:rPr>
        <w:t>more</w:t>
      </w:r>
      <w:r>
        <w:rPr>
          <w:spacing w:val="-11"/>
          <w:sz w:val="24"/>
        </w:rPr>
        <w:t> </w:t>
      </w:r>
      <w:r>
        <w:rPr>
          <w:sz w:val="24"/>
        </w:rPr>
        <w:t>than</w:t>
      </w:r>
      <w:r>
        <w:rPr>
          <w:spacing w:val="-7"/>
          <w:sz w:val="24"/>
        </w:rPr>
        <w:t> </w:t>
      </w:r>
      <w:r>
        <w:rPr>
          <w:sz w:val="24"/>
        </w:rPr>
        <w:t>two</w:t>
      </w:r>
      <w:r>
        <w:rPr>
          <w:spacing w:val="-11"/>
          <w:sz w:val="24"/>
        </w:rPr>
        <w:t> </w:t>
      </w:r>
      <w:r>
        <w:rPr>
          <w:sz w:val="24"/>
        </w:rPr>
        <w:t>consecutive</w:t>
      </w:r>
      <w:r>
        <w:rPr>
          <w:spacing w:val="-11"/>
          <w:sz w:val="24"/>
        </w:rPr>
        <w:t> </w:t>
      </w:r>
      <w:r>
        <w:rPr>
          <w:sz w:val="24"/>
        </w:rPr>
        <w:t>meetings</w:t>
      </w:r>
      <w:r>
        <w:rPr>
          <w:spacing w:val="-12"/>
          <w:sz w:val="24"/>
        </w:rPr>
        <w:t> </w:t>
      </w:r>
      <w:r>
        <w:rPr>
          <w:sz w:val="24"/>
        </w:rPr>
        <w:t>are expected to</w:t>
      </w:r>
      <w:r>
        <w:rPr>
          <w:spacing w:val="-1"/>
          <w:sz w:val="24"/>
        </w:rPr>
        <w:t> </w:t>
      </w:r>
      <w:r>
        <w:rPr>
          <w:sz w:val="24"/>
        </w:rPr>
        <w:t>involve the nominated deputy.</w:t>
      </w:r>
    </w:p>
    <w:p>
      <w:pPr>
        <w:pStyle w:val="ListParagraph"/>
        <w:numPr>
          <w:ilvl w:val="1"/>
          <w:numId w:val="53"/>
        </w:numPr>
        <w:tabs>
          <w:tab w:pos="862" w:val="left" w:leader="none"/>
        </w:tabs>
        <w:spacing w:line="240" w:lineRule="auto" w:before="154" w:after="0"/>
        <w:ind w:left="862" w:right="664" w:hanging="720"/>
        <w:jc w:val="left"/>
        <w:rPr>
          <w:sz w:val="24"/>
        </w:rPr>
      </w:pPr>
      <w:r>
        <w:rPr>
          <w:sz w:val="24"/>
        </w:rPr>
        <w:t>The</w:t>
      </w:r>
      <w:r>
        <w:rPr>
          <w:spacing w:val="-17"/>
          <w:sz w:val="24"/>
        </w:rPr>
        <w:t> </w:t>
      </w:r>
      <w:r>
        <w:rPr>
          <w:sz w:val="24"/>
        </w:rPr>
        <w:t>RCSPS</w:t>
      </w:r>
      <w:r>
        <w:rPr>
          <w:spacing w:val="-17"/>
          <w:sz w:val="24"/>
        </w:rPr>
        <w:t> </w:t>
      </w:r>
      <w:r>
        <w:rPr>
          <w:sz w:val="24"/>
        </w:rPr>
        <w:t>may</w:t>
      </w:r>
      <w:r>
        <w:rPr>
          <w:spacing w:val="-16"/>
          <w:sz w:val="24"/>
        </w:rPr>
        <w:t> </w:t>
      </w:r>
      <w:r>
        <w:rPr>
          <w:sz w:val="24"/>
        </w:rPr>
        <w:t>ask</w:t>
      </w:r>
      <w:r>
        <w:rPr>
          <w:spacing w:val="-17"/>
          <w:sz w:val="24"/>
        </w:rPr>
        <w:t> </w:t>
      </w:r>
      <w:r>
        <w:rPr>
          <w:sz w:val="24"/>
        </w:rPr>
        <w:t>any</w:t>
      </w:r>
      <w:r>
        <w:rPr>
          <w:spacing w:val="-17"/>
          <w:sz w:val="24"/>
        </w:rPr>
        <w:t> </w:t>
      </w:r>
      <w:r>
        <w:rPr>
          <w:sz w:val="24"/>
        </w:rPr>
        <w:t>or</w:t>
      </w:r>
      <w:r>
        <w:rPr>
          <w:spacing w:val="-17"/>
          <w:sz w:val="24"/>
        </w:rPr>
        <w:t> </w:t>
      </w:r>
      <w:r>
        <w:rPr>
          <w:sz w:val="24"/>
        </w:rPr>
        <w:t>all</w:t>
      </w:r>
      <w:r>
        <w:rPr>
          <w:spacing w:val="-16"/>
          <w:sz w:val="24"/>
        </w:rPr>
        <w:t> </w:t>
      </w:r>
      <w:r>
        <w:rPr>
          <w:sz w:val="24"/>
        </w:rPr>
        <w:t>of</w:t>
      </w:r>
      <w:r>
        <w:rPr>
          <w:spacing w:val="-17"/>
          <w:sz w:val="24"/>
        </w:rPr>
        <w:t> </w:t>
      </w:r>
      <w:r>
        <w:rPr>
          <w:sz w:val="24"/>
        </w:rPr>
        <w:t>those</w:t>
      </w:r>
      <w:r>
        <w:rPr>
          <w:spacing w:val="-17"/>
          <w:sz w:val="24"/>
        </w:rPr>
        <w:t> </w:t>
      </w:r>
      <w:r>
        <w:rPr>
          <w:sz w:val="24"/>
        </w:rPr>
        <w:t>who</w:t>
      </w:r>
      <w:r>
        <w:rPr>
          <w:spacing w:val="-16"/>
          <w:sz w:val="24"/>
        </w:rPr>
        <w:t> </w:t>
      </w:r>
      <w:r>
        <w:rPr>
          <w:sz w:val="24"/>
        </w:rPr>
        <w:t>normally</w:t>
      </w:r>
      <w:r>
        <w:rPr>
          <w:spacing w:val="-17"/>
          <w:sz w:val="24"/>
        </w:rPr>
        <w:t> </w:t>
      </w:r>
      <w:r>
        <w:rPr>
          <w:sz w:val="24"/>
        </w:rPr>
        <w:t>attend</w:t>
      </w:r>
      <w:r>
        <w:rPr>
          <w:spacing w:val="-17"/>
          <w:sz w:val="24"/>
        </w:rPr>
        <w:t> </w:t>
      </w:r>
      <w:r>
        <w:rPr>
          <w:sz w:val="24"/>
        </w:rPr>
        <w:t>but</w:t>
      </w:r>
      <w:r>
        <w:rPr>
          <w:spacing w:val="-16"/>
          <w:sz w:val="24"/>
        </w:rPr>
        <w:t> </w:t>
      </w:r>
      <w:r>
        <w:rPr>
          <w:sz w:val="24"/>
        </w:rPr>
        <w:t>who</w:t>
      </w:r>
      <w:r>
        <w:rPr>
          <w:spacing w:val="-17"/>
          <w:sz w:val="24"/>
        </w:rPr>
        <w:t> </w:t>
      </w:r>
      <w:r>
        <w:rPr>
          <w:sz w:val="24"/>
        </w:rPr>
        <w:t>are</w:t>
      </w:r>
      <w:r>
        <w:rPr>
          <w:spacing w:val="-17"/>
          <w:sz w:val="24"/>
        </w:rPr>
        <w:t> </w:t>
      </w:r>
      <w:r>
        <w:rPr>
          <w:sz w:val="24"/>
        </w:rPr>
        <w:t>not</w:t>
      </w:r>
      <w:r>
        <w:rPr>
          <w:spacing w:val="-16"/>
          <w:sz w:val="24"/>
        </w:rPr>
        <w:t> </w:t>
      </w:r>
      <w:r>
        <w:rPr>
          <w:sz w:val="24"/>
        </w:rPr>
        <w:t>members</w:t>
      </w:r>
      <w:r>
        <w:rPr>
          <w:spacing w:val="-17"/>
          <w:sz w:val="24"/>
        </w:rPr>
        <w:t> </w:t>
      </w:r>
      <w:r>
        <w:rPr>
          <w:sz w:val="24"/>
        </w:rPr>
        <w:t>to withdraw</w:t>
      </w:r>
      <w:r>
        <w:rPr>
          <w:spacing w:val="-11"/>
          <w:sz w:val="24"/>
        </w:rPr>
        <w:t> </w:t>
      </w:r>
      <w:r>
        <w:rPr>
          <w:sz w:val="24"/>
        </w:rPr>
        <w:t>to</w:t>
      </w:r>
      <w:r>
        <w:rPr>
          <w:spacing w:val="-6"/>
          <w:sz w:val="24"/>
        </w:rPr>
        <w:t> </w:t>
      </w:r>
      <w:r>
        <w:rPr>
          <w:sz w:val="24"/>
        </w:rPr>
        <w:t>facilitate</w:t>
      </w:r>
      <w:r>
        <w:rPr>
          <w:spacing w:val="-11"/>
          <w:sz w:val="24"/>
        </w:rPr>
        <w:t> </w:t>
      </w:r>
      <w:r>
        <w:rPr>
          <w:sz w:val="24"/>
        </w:rPr>
        <w:t>open</w:t>
      </w:r>
      <w:r>
        <w:rPr>
          <w:spacing w:val="-11"/>
          <w:sz w:val="24"/>
        </w:rPr>
        <w:t> </w:t>
      </w:r>
      <w:r>
        <w:rPr>
          <w:sz w:val="24"/>
        </w:rPr>
        <w:t>and</w:t>
      </w:r>
      <w:r>
        <w:rPr>
          <w:spacing w:val="-6"/>
          <w:sz w:val="24"/>
        </w:rPr>
        <w:t> </w:t>
      </w:r>
      <w:r>
        <w:rPr>
          <w:sz w:val="24"/>
        </w:rPr>
        <w:t>frank</w:t>
      </w:r>
      <w:r>
        <w:rPr>
          <w:spacing w:val="-16"/>
          <w:sz w:val="24"/>
        </w:rPr>
        <w:t> </w:t>
      </w:r>
      <w:r>
        <w:rPr>
          <w:sz w:val="24"/>
        </w:rPr>
        <w:t>discussion</w:t>
      </w:r>
      <w:r>
        <w:rPr>
          <w:spacing w:val="-11"/>
          <w:sz w:val="24"/>
        </w:rPr>
        <w:t> </w:t>
      </w:r>
      <w:r>
        <w:rPr>
          <w:sz w:val="24"/>
        </w:rPr>
        <w:t>of</w:t>
      </w:r>
      <w:r>
        <w:rPr>
          <w:spacing w:val="-13"/>
          <w:sz w:val="24"/>
        </w:rPr>
        <w:t> </w:t>
      </w:r>
      <w:r>
        <w:rPr>
          <w:sz w:val="24"/>
        </w:rPr>
        <w:t>particular</w:t>
      </w:r>
      <w:r>
        <w:rPr>
          <w:spacing w:val="-12"/>
          <w:sz w:val="24"/>
        </w:rPr>
        <w:t> </w:t>
      </w:r>
      <w:r>
        <w:rPr>
          <w:sz w:val="24"/>
        </w:rPr>
        <w:t>matters.</w:t>
      </w:r>
    </w:p>
    <w:p>
      <w:pPr>
        <w:pStyle w:val="BodyText"/>
        <w:spacing w:before="5"/>
        <w:rPr>
          <w:sz w:val="16"/>
        </w:rPr>
      </w:pPr>
      <w:r>
        <w:rPr>
          <w:sz w:val="16"/>
        </w:rPr>
        <mc:AlternateContent>
          <mc:Choice Requires="wps">
            <w:drawing>
              <wp:anchor distT="0" distB="0" distL="0" distR="0" allowOverlap="1" layoutInCell="1" locked="0" behindDoc="1" simplePos="0" relativeHeight="487665664">
                <wp:simplePos x="0" y="0"/>
                <wp:positionH relativeFrom="page">
                  <wp:posOffset>574992</wp:posOffset>
                </wp:positionH>
                <wp:positionV relativeFrom="paragraph">
                  <wp:posOffset>142081</wp:posOffset>
                </wp:positionV>
                <wp:extent cx="6553200" cy="193675"/>
                <wp:effectExtent l="0" t="0" r="0" b="0"/>
                <wp:wrapTopAndBottom/>
                <wp:docPr id="469" name="Textbox 469"/>
                <wp:cNvGraphicFramePr>
                  <a:graphicFrameLocks/>
                </wp:cNvGraphicFramePr>
                <a:graphic>
                  <a:graphicData uri="http://schemas.microsoft.com/office/word/2010/wordprocessingShape">
                    <wps:wsp>
                      <wps:cNvPr id="469" name="Textbox 469"/>
                      <wps:cNvSpPr txBox="1"/>
                      <wps:spPr>
                        <a:xfrm>
                          <a:off x="0" y="0"/>
                          <a:ext cx="65532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8</w:t>
                            </w:r>
                            <w:r>
                              <w:rPr>
                                <w:b/>
                                <w:color w:val="000000"/>
                                <w:sz w:val="24"/>
                              </w:rPr>
                              <w:tab/>
                              <w:t>Agenda</w:t>
                            </w:r>
                            <w:r>
                              <w:rPr>
                                <w:b/>
                                <w:color w:val="000000"/>
                                <w:spacing w:val="-3"/>
                                <w:sz w:val="24"/>
                              </w:rPr>
                              <w:t> </w:t>
                            </w:r>
                            <w:r>
                              <w:rPr>
                                <w:b/>
                                <w:color w:val="000000"/>
                                <w:sz w:val="24"/>
                              </w:rPr>
                              <w:t>and</w:t>
                            </w:r>
                            <w:r>
                              <w:rPr>
                                <w:b/>
                                <w:color w:val="000000"/>
                                <w:spacing w:val="-6"/>
                                <w:sz w:val="24"/>
                              </w:rPr>
                              <w:t> </w:t>
                            </w:r>
                            <w:r>
                              <w:rPr>
                                <w:b/>
                                <w:color w:val="000000"/>
                                <w:spacing w:val="-2"/>
                                <w:sz w:val="24"/>
                              </w:rPr>
                              <w:t>Papers</w:t>
                            </w:r>
                          </w:p>
                        </w:txbxContent>
                      </wps:txbx>
                      <wps:bodyPr wrap="square" lIns="0" tIns="0" rIns="0" bIns="0" rtlCol="0">
                        <a:noAutofit/>
                      </wps:bodyPr>
                    </wps:wsp>
                  </a:graphicData>
                </a:graphic>
              </wp:anchor>
            </w:drawing>
          </mc:Choice>
          <mc:Fallback>
            <w:pict>
              <v:shape style="position:absolute;margin-left:45.275002pt;margin-top:11.187481pt;width:516pt;height:15.25pt;mso-position-horizontal-relative:page;mso-position-vertical-relative:paragraph;z-index:-15650816;mso-wrap-distance-left:0;mso-wrap-distance-right:0" type="#_x0000_t202" id="docshape251"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8</w:t>
                      </w:r>
                      <w:r>
                        <w:rPr>
                          <w:b/>
                          <w:color w:val="000000"/>
                          <w:sz w:val="24"/>
                        </w:rPr>
                        <w:tab/>
                        <w:t>Agenda</w:t>
                      </w:r>
                      <w:r>
                        <w:rPr>
                          <w:b/>
                          <w:color w:val="000000"/>
                          <w:spacing w:val="-3"/>
                          <w:sz w:val="24"/>
                        </w:rPr>
                        <w:t> </w:t>
                      </w:r>
                      <w:r>
                        <w:rPr>
                          <w:b/>
                          <w:color w:val="000000"/>
                          <w:sz w:val="24"/>
                        </w:rPr>
                        <w:t>and</w:t>
                      </w:r>
                      <w:r>
                        <w:rPr>
                          <w:b/>
                          <w:color w:val="000000"/>
                          <w:spacing w:val="-6"/>
                          <w:sz w:val="24"/>
                        </w:rPr>
                        <w:t> </w:t>
                      </w:r>
                      <w:r>
                        <w:rPr>
                          <w:b/>
                          <w:color w:val="000000"/>
                          <w:spacing w:val="-2"/>
                          <w:sz w:val="24"/>
                        </w:rPr>
                        <w:t>Papers</w:t>
                      </w:r>
                    </w:p>
                  </w:txbxContent>
                </v:textbox>
                <v:fill type="solid"/>
                <v:stroke dashstyle="solid"/>
                <w10:wrap type="topAndBottom"/>
              </v:shape>
            </w:pict>
          </mc:Fallback>
        </mc:AlternateContent>
      </w:r>
    </w:p>
    <w:p>
      <w:pPr>
        <w:pStyle w:val="ListParagraph"/>
        <w:numPr>
          <w:ilvl w:val="1"/>
          <w:numId w:val="54"/>
        </w:numPr>
        <w:tabs>
          <w:tab w:pos="862" w:val="left" w:leader="none"/>
        </w:tabs>
        <w:spacing w:line="240" w:lineRule="auto" w:before="170" w:after="0"/>
        <w:ind w:left="862" w:right="608" w:hanging="720"/>
        <w:jc w:val="left"/>
        <w:rPr>
          <w:sz w:val="24"/>
        </w:rPr>
      </w:pPr>
      <w:r>
        <w:rPr>
          <w:sz w:val="24"/>
        </w:rPr>
        <w:t>The</w:t>
      </w:r>
      <w:r>
        <w:rPr>
          <w:spacing w:val="-17"/>
          <w:sz w:val="24"/>
        </w:rPr>
        <w:t> </w:t>
      </w:r>
      <w:r>
        <w:rPr>
          <w:sz w:val="24"/>
        </w:rPr>
        <w:t>RJC</w:t>
      </w:r>
      <w:r>
        <w:rPr>
          <w:spacing w:val="-17"/>
          <w:sz w:val="24"/>
        </w:rPr>
        <w:t> </w:t>
      </w:r>
      <w:r>
        <w:rPr>
          <w:sz w:val="24"/>
        </w:rPr>
        <w:t>PMO</w:t>
      </w:r>
      <w:r>
        <w:rPr>
          <w:spacing w:val="-16"/>
          <w:sz w:val="24"/>
        </w:rPr>
        <w:t> </w:t>
      </w:r>
      <w:r>
        <w:rPr>
          <w:sz w:val="24"/>
        </w:rPr>
        <w:t>is</w:t>
      </w:r>
      <w:r>
        <w:rPr>
          <w:spacing w:val="-17"/>
          <w:sz w:val="24"/>
        </w:rPr>
        <w:t> </w:t>
      </w:r>
      <w:r>
        <w:rPr>
          <w:sz w:val="24"/>
        </w:rPr>
        <w:t>to</w:t>
      </w:r>
      <w:r>
        <w:rPr>
          <w:spacing w:val="-17"/>
          <w:sz w:val="24"/>
        </w:rPr>
        <w:t> </w:t>
      </w:r>
      <w:r>
        <w:rPr>
          <w:sz w:val="24"/>
        </w:rPr>
        <w:t>hold</w:t>
      </w:r>
      <w:r>
        <w:rPr>
          <w:spacing w:val="-17"/>
          <w:sz w:val="24"/>
        </w:rPr>
        <w:t> </w:t>
      </w:r>
      <w:r>
        <w:rPr>
          <w:sz w:val="24"/>
        </w:rPr>
        <w:t>an</w:t>
      </w:r>
      <w:r>
        <w:rPr>
          <w:spacing w:val="-16"/>
          <w:sz w:val="24"/>
        </w:rPr>
        <w:t> </w:t>
      </w:r>
      <w:r>
        <w:rPr>
          <w:sz w:val="24"/>
        </w:rPr>
        <w:t>agenda</w:t>
      </w:r>
      <w:r>
        <w:rPr>
          <w:spacing w:val="-17"/>
          <w:sz w:val="24"/>
        </w:rPr>
        <w:t> </w:t>
      </w:r>
      <w:r>
        <w:rPr>
          <w:sz w:val="24"/>
        </w:rPr>
        <w:t>setting</w:t>
      </w:r>
      <w:r>
        <w:rPr>
          <w:spacing w:val="-17"/>
          <w:sz w:val="24"/>
        </w:rPr>
        <w:t> </w:t>
      </w:r>
      <w:r>
        <w:rPr>
          <w:sz w:val="24"/>
        </w:rPr>
        <w:t>meeting</w:t>
      </w:r>
      <w:r>
        <w:rPr>
          <w:spacing w:val="-16"/>
          <w:sz w:val="24"/>
        </w:rPr>
        <w:t> </w:t>
      </w:r>
      <w:r>
        <w:rPr>
          <w:sz w:val="24"/>
        </w:rPr>
        <w:t>with</w:t>
      </w:r>
      <w:r>
        <w:rPr>
          <w:spacing w:val="-17"/>
          <w:sz w:val="24"/>
        </w:rPr>
        <w:t> </w:t>
      </w:r>
      <w:r>
        <w:rPr>
          <w:sz w:val="24"/>
        </w:rPr>
        <w:t>the</w:t>
      </w:r>
      <w:r>
        <w:rPr>
          <w:spacing w:val="-17"/>
          <w:sz w:val="24"/>
        </w:rPr>
        <w:t> </w:t>
      </w:r>
      <w:r>
        <w:rPr>
          <w:sz w:val="24"/>
        </w:rPr>
        <w:t>Co-Chairs</w:t>
      </w:r>
      <w:r>
        <w:rPr>
          <w:spacing w:val="-16"/>
          <w:sz w:val="24"/>
        </w:rPr>
        <w:t> </w:t>
      </w:r>
      <w:r>
        <w:rPr>
          <w:sz w:val="24"/>
        </w:rPr>
        <w:t>at</w:t>
      </w:r>
      <w:r>
        <w:rPr>
          <w:spacing w:val="-17"/>
          <w:sz w:val="24"/>
        </w:rPr>
        <w:t> </w:t>
      </w:r>
      <w:r>
        <w:rPr>
          <w:sz w:val="24"/>
        </w:rPr>
        <w:t>least</w:t>
      </w:r>
      <w:r>
        <w:rPr>
          <w:spacing w:val="-17"/>
          <w:sz w:val="24"/>
        </w:rPr>
        <w:t> </w:t>
      </w:r>
      <w:r>
        <w:rPr>
          <w:sz w:val="24"/>
        </w:rPr>
        <w:t>two</w:t>
      </w:r>
      <w:r>
        <w:rPr>
          <w:spacing w:val="-16"/>
          <w:sz w:val="24"/>
        </w:rPr>
        <w:t> </w:t>
      </w:r>
      <w:r>
        <w:rPr>
          <w:sz w:val="24"/>
        </w:rPr>
        <w:t>weeks before the meeting date.</w:t>
      </w:r>
    </w:p>
    <w:p>
      <w:pPr>
        <w:pStyle w:val="ListParagraph"/>
        <w:numPr>
          <w:ilvl w:val="1"/>
          <w:numId w:val="54"/>
        </w:numPr>
        <w:tabs>
          <w:tab w:pos="862" w:val="left" w:leader="none"/>
        </w:tabs>
        <w:spacing w:line="275" w:lineRule="exact" w:before="163" w:after="0"/>
        <w:ind w:left="862" w:right="0" w:hanging="720"/>
        <w:jc w:val="left"/>
        <w:rPr>
          <w:sz w:val="24"/>
        </w:rPr>
      </w:pPr>
      <w:r>
        <w:rPr>
          <w:spacing w:val="-2"/>
          <w:sz w:val="24"/>
        </w:rPr>
        <w:t>The</w:t>
      </w:r>
      <w:r>
        <w:rPr>
          <w:spacing w:val="-15"/>
          <w:sz w:val="24"/>
        </w:rPr>
        <w:t> </w:t>
      </w:r>
      <w:r>
        <w:rPr>
          <w:spacing w:val="-2"/>
          <w:sz w:val="24"/>
        </w:rPr>
        <w:t>agenda</w:t>
      </w:r>
      <w:r>
        <w:rPr>
          <w:spacing w:val="-11"/>
          <w:sz w:val="24"/>
        </w:rPr>
        <w:t> </w:t>
      </w:r>
      <w:r>
        <w:rPr>
          <w:spacing w:val="-2"/>
          <w:sz w:val="24"/>
        </w:rPr>
        <w:t>will</w:t>
      </w:r>
      <w:r>
        <w:rPr>
          <w:spacing w:val="-11"/>
          <w:sz w:val="24"/>
        </w:rPr>
        <w:t> </w:t>
      </w:r>
      <w:r>
        <w:rPr>
          <w:spacing w:val="-2"/>
          <w:sz w:val="24"/>
        </w:rPr>
        <w:t>be</w:t>
      </w:r>
      <w:r>
        <w:rPr>
          <w:spacing w:val="-11"/>
          <w:sz w:val="24"/>
        </w:rPr>
        <w:t> </w:t>
      </w:r>
      <w:r>
        <w:rPr>
          <w:spacing w:val="-2"/>
          <w:sz w:val="24"/>
        </w:rPr>
        <w:t>based</w:t>
      </w:r>
      <w:r>
        <w:rPr>
          <w:spacing w:val="-15"/>
          <w:sz w:val="24"/>
        </w:rPr>
        <w:t> </w:t>
      </w:r>
      <w:r>
        <w:rPr>
          <w:spacing w:val="-2"/>
          <w:sz w:val="24"/>
        </w:rPr>
        <w:t>around</w:t>
      </w:r>
      <w:r>
        <w:rPr>
          <w:spacing w:val="-7"/>
          <w:sz w:val="24"/>
        </w:rPr>
        <w:t> </w:t>
      </w:r>
      <w:r>
        <w:rPr>
          <w:spacing w:val="-2"/>
          <w:sz w:val="24"/>
        </w:rPr>
        <w:t>the</w:t>
      </w:r>
      <w:r>
        <w:rPr>
          <w:spacing w:val="-8"/>
          <w:sz w:val="24"/>
        </w:rPr>
        <w:t> </w:t>
      </w:r>
      <w:r>
        <w:rPr>
          <w:spacing w:val="-2"/>
          <w:sz w:val="24"/>
        </w:rPr>
        <w:t>RCSPS’s</w:t>
      </w:r>
      <w:r>
        <w:rPr>
          <w:spacing w:val="-12"/>
          <w:sz w:val="24"/>
        </w:rPr>
        <w:t> </w:t>
      </w:r>
      <w:r>
        <w:rPr>
          <w:spacing w:val="-2"/>
          <w:sz w:val="24"/>
        </w:rPr>
        <w:t>work</w:t>
      </w:r>
      <w:r>
        <w:rPr>
          <w:spacing w:val="-12"/>
          <w:sz w:val="24"/>
        </w:rPr>
        <w:t> </w:t>
      </w:r>
      <w:r>
        <w:rPr>
          <w:spacing w:val="-2"/>
          <w:sz w:val="24"/>
        </w:rPr>
        <w:t>plan,</w:t>
      </w:r>
      <w:r>
        <w:rPr>
          <w:spacing w:val="-14"/>
          <w:sz w:val="24"/>
        </w:rPr>
        <w:t> </w:t>
      </w:r>
      <w:r>
        <w:rPr>
          <w:spacing w:val="-2"/>
          <w:sz w:val="24"/>
        </w:rPr>
        <w:t>identified</w:t>
      </w:r>
      <w:r>
        <w:rPr>
          <w:spacing w:val="-11"/>
          <w:sz w:val="24"/>
        </w:rPr>
        <w:t> </w:t>
      </w:r>
      <w:r>
        <w:rPr>
          <w:spacing w:val="-2"/>
          <w:sz w:val="24"/>
        </w:rPr>
        <w:t>risks,</w:t>
      </w:r>
      <w:r>
        <w:rPr>
          <w:spacing w:val="-14"/>
          <w:sz w:val="24"/>
        </w:rPr>
        <w:t> </w:t>
      </w:r>
      <w:r>
        <w:rPr>
          <w:spacing w:val="-2"/>
          <w:sz w:val="24"/>
        </w:rPr>
        <w:t>matters</w:t>
      </w:r>
      <w:r>
        <w:rPr>
          <w:spacing w:val="-12"/>
          <w:sz w:val="24"/>
        </w:rPr>
        <w:t> </w:t>
      </w:r>
      <w:r>
        <w:rPr>
          <w:spacing w:val="-2"/>
          <w:sz w:val="24"/>
        </w:rPr>
        <w:t>arising</w:t>
      </w:r>
    </w:p>
    <w:p>
      <w:pPr>
        <w:pStyle w:val="BodyText"/>
        <w:spacing w:line="275" w:lineRule="exact"/>
        <w:ind w:left="862"/>
      </w:pPr>
      <w:r>
        <w:rPr>
          <w:spacing w:val="-2"/>
        </w:rPr>
        <w:t>from</w:t>
      </w:r>
      <w:r>
        <w:rPr>
          <w:spacing w:val="-17"/>
        </w:rPr>
        <w:t> </w:t>
      </w:r>
      <w:r>
        <w:rPr>
          <w:spacing w:val="-2"/>
        </w:rPr>
        <w:t>previous</w:t>
      </w:r>
      <w:r>
        <w:rPr>
          <w:spacing w:val="-15"/>
        </w:rPr>
        <w:t> </w:t>
      </w:r>
      <w:r>
        <w:rPr>
          <w:spacing w:val="-2"/>
        </w:rPr>
        <w:t>meetings,</w:t>
      </w:r>
      <w:r>
        <w:rPr>
          <w:spacing w:val="-14"/>
        </w:rPr>
        <w:t> </w:t>
      </w:r>
      <w:r>
        <w:rPr>
          <w:spacing w:val="-2"/>
        </w:rPr>
        <w:t>issues</w:t>
      </w:r>
      <w:r>
        <w:rPr>
          <w:spacing w:val="-15"/>
        </w:rPr>
        <w:t> </w:t>
      </w:r>
      <w:r>
        <w:rPr>
          <w:spacing w:val="-2"/>
        </w:rPr>
        <w:t>emerging</w:t>
      </w:r>
      <w:r>
        <w:rPr>
          <w:spacing w:val="-15"/>
        </w:rPr>
        <w:t> </w:t>
      </w:r>
      <w:r>
        <w:rPr>
          <w:spacing w:val="-2"/>
        </w:rPr>
        <w:t>throughout</w:t>
      </w:r>
      <w:r>
        <w:rPr>
          <w:spacing w:val="-15"/>
        </w:rPr>
        <w:t> </w:t>
      </w:r>
      <w:r>
        <w:rPr>
          <w:spacing w:val="-2"/>
        </w:rPr>
        <w:t>the</w:t>
      </w:r>
      <w:r>
        <w:rPr>
          <w:spacing w:val="-12"/>
        </w:rPr>
        <w:t> </w:t>
      </w:r>
      <w:r>
        <w:rPr>
          <w:spacing w:val="-2"/>
        </w:rPr>
        <w:t>year,</w:t>
      </w:r>
      <w:r>
        <w:rPr>
          <w:spacing w:val="-14"/>
        </w:rPr>
        <w:t> </w:t>
      </w:r>
      <w:r>
        <w:rPr>
          <w:spacing w:val="-2"/>
        </w:rPr>
        <w:t>and</w:t>
      </w:r>
      <w:r>
        <w:rPr>
          <w:spacing w:val="-12"/>
        </w:rPr>
        <w:t> </w:t>
      </w:r>
      <w:r>
        <w:rPr>
          <w:spacing w:val="-2"/>
        </w:rPr>
        <w:t>requests</w:t>
      </w:r>
      <w:r>
        <w:rPr>
          <w:spacing w:val="-8"/>
        </w:rPr>
        <w:t> </w:t>
      </w:r>
      <w:r>
        <w:rPr>
          <w:spacing w:val="-2"/>
        </w:rPr>
        <w:t>from</w:t>
      </w:r>
      <w:r>
        <w:rPr>
          <w:spacing w:val="-8"/>
        </w:rPr>
        <w:t> </w:t>
      </w:r>
      <w:r>
        <w:rPr>
          <w:spacing w:val="-2"/>
        </w:rPr>
        <w:t>members.</w:t>
      </w:r>
    </w:p>
    <w:p>
      <w:pPr>
        <w:pStyle w:val="ListParagraph"/>
        <w:numPr>
          <w:ilvl w:val="1"/>
          <w:numId w:val="54"/>
        </w:numPr>
        <w:tabs>
          <w:tab w:pos="862" w:val="left" w:leader="none"/>
        </w:tabs>
        <w:spacing w:line="240" w:lineRule="auto" w:before="159" w:after="0"/>
        <w:ind w:left="862" w:right="0" w:hanging="720"/>
        <w:jc w:val="left"/>
        <w:rPr>
          <w:sz w:val="24"/>
        </w:rPr>
      </w:pPr>
      <w:r>
        <w:rPr>
          <w:spacing w:val="-2"/>
          <w:sz w:val="24"/>
        </w:rPr>
        <w:t>All</w:t>
      </w:r>
      <w:r>
        <w:rPr>
          <w:spacing w:val="-17"/>
          <w:sz w:val="24"/>
        </w:rPr>
        <w:t> </w:t>
      </w:r>
      <w:r>
        <w:rPr>
          <w:spacing w:val="-2"/>
          <w:sz w:val="24"/>
        </w:rPr>
        <w:t>papers</w:t>
      </w:r>
      <w:r>
        <w:rPr>
          <w:spacing w:val="-7"/>
          <w:sz w:val="24"/>
        </w:rPr>
        <w:t> </w:t>
      </w:r>
      <w:r>
        <w:rPr>
          <w:spacing w:val="-2"/>
          <w:sz w:val="24"/>
        </w:rPr>
        <w:t>must</w:t>
      </w:r>
      <w:r>
        <w:rPr>
          <w:spacing w:val="-13"/>
          <w:sz w:val="24"/>
        </w:rPr>
        <w:t> </w:t>
      </w:r>
      <w:r>
        <w:rPr>
          <w:spacing w:val="-2"/>
          <w:sz w:val="24"/>
        </w:rPr>
        <w:t>be</w:t>
      </w:r>
      <w:r>
        <w:rPr>
          <w:spacing w:val="-11"/>
          <w:sz w:val="24"/>
        </w:rPr>
        <w:t> </w:t>
      </w:r>
      <w:r>
        <w:rPr>
          <w:spacing w:val="-2"/>
          <w:sz w:val="24"/>
        </w:rPr>
        <w:t>approved</w:t>
      </w:r>
      <w:r>
        <w:rPr>
          <w:spacing w:val="-10"/>
          <w:sz w:val="24"/>
        </w:rPr>
        <w:t> </w:t>
      </w:r>
      <w:r>
        <w:rPr>
          <w:spacing w:val="-2"/>
          <w:sz w:val="24"/>
        </w:rPr>
        <w:t>by</w:t>
      </w:r>
      <w:r>
        <w:rPr>
          <w:spacing w:val="-7"/>
          <w:sz w:val="24"/>
        </w:rPr>
        <w:t> </w:t>
      </w:r>
      <w:r>
        <w:rPr>
          <w:spacing w:val="-2"/>
          <w:sz w:val="24"/>
        </w:rPr>
        <w:t>the</w:t>
      </w:r>
      <w:r>
        <w:rPr>
          <w:spacing w:val="-10"/>
          <w:sz w:val="24"/>
        </w:rPr>
        <w:t> </w:t>
      </w:r>
      <w:r>
        <w:rPr>
          <w:spacing w:val="-2"/>
          <w:sz w:val="24"/>
        </w:rPr>
        <w:t>Lead/</w:t>
      </w:r>
      <w:r>
        <w:rPr>
          <w:spacing w:val="-13"/>
          <w:sz w:val="24"/>
        </w:rPr>
        <w:t> </w:t>
      </w:r>
      <w:r>
        <w:rPr>
          <w:spacing w:val="-2"/>
          <w:sz w:val="24"/>
        </w:rPr>
        <w:t>relevant</w:t>
      </w:r>
      <w:r>
        <w:rPr>
          <w:spacing w:val="-13"/>
          <w:sz w:val="24"/>
        </w:rPr>
        <w:t> </w:t>
      </w:r>
      <w:r>
        <w:rPr>
          <w:spacing w:val="-2"/>
          <w:sz w:val="24"/>
        </w:rPr>
        <w:t>Director.</w:t>
      </w:r>
    </w:p>
    <w:p>
      <w:pPr>
        <w:pStyle w:val="ListParagraph"/>
        <w:numPr>
          <w:ilvl w:val="1"/>
          <w:numId w:val="54"/>
        </w:numPr>
        <w:tabs>
          <w:tab w:pos="862" w:val="left" w:leader="none"/>
        </w:tabs>
        <w:spacing w:line="240" w:lineRule="auto" w:before="159" w:after="0"/>
        <w:ind w:left="862" w:right="1135" w:hanging="720"/>
        <w:jc w:val="left"/>
        <w:rPr>
          <w:sz w:val="24"/>
        </w:rPr>
      </w:pPr>
      <w:r>
        <w:rPr>
          <w:spacing w:val="-2"/>
          <w:sz w:val="24"/>
        </w:rPr>
        <w:t>The</w:t>
      </w:r>
      <w:r>
        <w:rPr>
          <w:spacing w:val="-11"/>
          <w:sz w:val="24"/>
        </w:rPr>
        <w:t> </w:t>
      </w:r>
      <w:r>
        <w:rPr>
          <w:spacing w:val="-2"/>
          <w:sz w:val="24"/>
        </w:rPr>
        <w:t>agenda</w:t>
      </w:r>
      <w:r>
        <w:rPr>
          <w:spacing w:val="-10"/>
          <w:sz w:val="24"/>
        </w:rPr>
        <w:t> </w:t>
      </w:r>
      <w:r>
        <w:rPr>
          <w:spacing w:val="-2"/>
          <w:sz w:val="24"/>
        </w:rPr>
        <w:t>and</w:t>
      </w:r>
      <w:r>
        <w:rPr>
          <w:spacing w:val="-10"/>
          <w:sz w:val="24"/>
        </w:rPr>
        <w:t> </w:t>
      </w:r>
      <w:r>
        <w:rPr>
          <w:spacing w:val="-2"/>
          <w:sz w:val="24"/>
        </w:rPr>
        <w:t>papers</w:t>
      </w:r>
      <w:r>
        <w:rPr>
          <w:spacing w:val="-5"/>
          <w:sz w:val="24"/>
        </w:rPr>
        <w:t> </w:t>
      </w:r>
      <w:r>
        <w:rPr>
          <w:spacing w:val="-2"/>
          <w:sz w:val="24"/>
        </w:rPr>
        <w:t>for</w:t>
      </w:r>
      <w:r>
        <w:rPr>
          <w:spacing w:val="-11"/>
          <w:sz w:val="24"/>
        </w:rPr>
        <w:t> </w:t>
      </w:r>
      <w:r>
        <w:rPr>
          <w:spacing w:val="-2"/>
          <w:sz w:val="24"/>
        </w:rPr>
        <w:t>meetings</w:t>
      </w:r>
      <w:r>
        <w:rPr>
          <w:spacing w:val="-10"/>
          <w:sz w:val="24"/>
        </w:rPr>
        <w:t> </w:t>
      </w:r>
      <w:r>
        <w:rPr>
          <w:spacing w:val="-2"/>
          <w:sz w:val="24"/>
        </w:rPr>
        <w:t>will</w:t>
      </w:r>
      <w:r>
        <w:rPr>
          <w:spacing w:val="-10"/>
          <w:sz w:val="24"/>
        </w:rPr>
        <w:t> </w:t>
      </w:r>
      <w:r>
        <w:rPr>
          <w:spacing w:val="-2"/>
          <w:sz w:val="24"/>
        </w:rPr>
        <w:t>be</w:t>
      </w:r>
      <w:r>
        <w:rPr>
          <w:spacing w:val="-10"/>
          <w:sz w:val="24"/>
        </w:rPr>
        <w:t> </w:t>
      </w:r>
      <w:r>
        <w:rPr>
          <w:spacing w:val="-2"/>
          <w:sz w:val="24"/>
        </w:rPr>
        <w:t>distributed</w:t>
      </w:r>
      <w:r>
        <w:rPr>
          <w:spacing w:val="-9"/>
          <w:sz w:val="24"/>
        </w:rPr>
        <w:t> </w:t>
      </w:r>
      <w:r>
        <w:rPr>
          <w:spacing w:val="-2"/>
          <w:sz w:val="24"/>
        </w:rPr>
        <w:t>seven</w:t>
      </w:r>
      <w:r>
        <w:rPr>
          <w:spacing w:val="-9"/>
          <w:sz w:val="24"/>
        </w:rPr>
        <w:t> </w:t>
      </w:r>
      <w:r>
        <w:rPr>
          <w:spacing w:val="-2"/>
          <w:sz w:val="24"/>
        </w:rPr>
        <w:t>days</w:t>
      </w:r>
      <w:r>
        <w:rPr>
          <w:spacing w:val="-15"/>
          <w:sz w:val="24"/>
        </w:rPr>
        <w:t> </w:t>
      </w:r>
      <w:r>
        <w:rPr>
          <w:spacing w:val="-2"/>
          <w:sz w:val="24"/>
        </w:rPr>
        <w:t>in</w:t>
      </w:r>
      <w:r>
        <w:rPr>
          <w:spacing w:val="-14"/>
          <w:sz w:val="24"/>
        </w:rPr>
        <w:t> </w:t>
      </w:r>
      <w:r>
        <w:rPr>
          <w:spacing w:val="-2"/>
          <w:sz w:val="24"/>
        </w:rPr>
        <w:t>advance</w:t>
      </w:r>
      <w:r>
        <w:rPr>
          <w:spacing w:val="-15"/>
          <w:sz w:val="24"/>
        </w:rPr>
        <w:t> </w:t>
      </w:r>
      <w:r>
        <w:rPr>
          <w:spacing w:val="-2"/>
          <w:sz w:val="24"/>
        </w:rPr>
        <w:t>of</w:t>
      </w:r>
      <w:r>
        <w:rPr>
          <w:spacing w:val="-8"/>
          <w:sz w:val="24"/>
        </w:rPr>
        <w:t> </w:t>
      </w:r>
      <w:r>
        <w:rPr>
          <w:spacing w:val="-2"/>
          <w:sz w:val="24"/>
        </w:rPr>
        <w:t>the meeting.</w:t>
      </w:r>
    </w:p>
    <w:p>
      <w:pPr>
        <w:pStyle w:val="ListParagraph"/>
        <w:numPr>
          <w:ilvl w:val="1"/>
          <w:numId w:val="54"/>
        </w:numPr>
        <w:tabs>
          <w:tab w:pos="862" w:val="left" w:leader="none"/>
        </w:tabs>
        <w:spacing w:line="240" w:lineRule="auto" w:before="164" w:after="0"/>
        <w:ind w:left="862" w:right="716" w:hanging="720"/>
        <w:jc w:val="left"/>
        <w:rPr>
          <w:sz w:val="24"/>
        </w:rPr>
      </w:pPr>
      <w:r>
        <w:rPr>
          <w:spacing w:val="-2"/>
          <w:sz w:val="24"/>
        </w:rPr>
        <w:t>A</w:t>
      </w:r>
      <w:r>
        <w:rPr>
          <w:spacing w:val="-15"/>
          <w:sz w:val="24"/>
        </w:rPr>
        <w:t> </w:t>
      </w:r>
      <w:r>
        <w:rPr>
          <w:spacing w:val="-2"/>
          <w:sz w:val="24"/>
        </w:rPr>
        <w:t>draft</w:t>
      </w:r>
      <w:r>
        <w:rPr>
          <w:spacing w:val="-7"/>
          <w:sz w:val="24"/>
        </w:rPr>
        <w:t> </w:t>
      </w:r>
      <w:r>
        <w:rPr>
          <w:spacing w:val="-2"/>
          <w:sz w:val="24"/>
        </w:rPr>
        <w:t>Table</w:t>
      </w:r>
      <w:r>
        <w:rPr>
          <w:spacing w:val="-9"/>
          <w:sz w:val="24"/>
        </w:rPr>
        <w:t> </w:t>
      </w:r>
      <w:r>
        <w:rPr>
          <w:spacing w:val="-2"/>
          <w:sz w:val="24"/>
        </w:rPr>
        <w:t>of</w:t>
      </w:r>
      <w:r>
        <w:rPr>
          <w:spacing w:val="-12"/>
          <w:sz w:val="24"/>
        </w:rPr>
        <w:t> </w:t>
      </w:r>
      <w:r>
        <w:rPr>
          <w:spacing w:val="-2"/>
          <w:sz w:val="24"/>
        </w:rPr>
        <w:t>Actions</w:t>
      </w:r>
      <w:r>
        <w:rPr>
          <w:spacing w:val="-15"/>
          <w:sz w:val="24"/>
        </w:rPr>
        <w:t> </w:t>
      </w:r>
      <w:r>
        <w:rPr>
          <w:spacing w:val="-2"/>
          <w:sz w:val="24"/>
        </w:rPr>
        <w:t>will</w:t>
      </w:r>
      <w:r>
        <w:rPr>
          <w:spacing w:val="-14"/>
          <w:sz w:val="24"/>
        </w:rPr>
        <w:t> </w:t>
      </w:r>
      <w:r>
        <w:rPr>
          <w:spacing w:val="-2"/>
          <w:sz w:val="24"/>
        </w:rPr>
        <w:t>be</w:t>
      </w:r>
      <w:r>
        <w:rPr>
          <w:spacing w:val="-9"/>
          <w:sz w:val="24"/>
        </w:rPr>
        <w:t> </w:t>
      </w:r>
      <w:r>
        <w:rPr>
          <w:spacing w:val="-2"/>
          <w:sz w:val="24"/>
        </w:rPr>
        <w:t>issued</w:t>
      </w:r>
      <w:r>
        <w:rPr>
          <w:spacing w:val="-9"/>
          <w:sz w:val="24"/>
        </w:rPr>
        <w:t> </w:t>
      </w:r>
      <w:r>
        <w:rPr>
          <w:spacing w:val="-2"/>
          <w:sz w:val="24"/>
        </w:rPr>
        <w:t>within</w:t>
      </w:r>
      <w:r>
        <w:rPr>
          <w:spacing w:val="-5"/>
          <w:sz w:val="24"/>
        </w:rPr>
        <w:t> </w:t>
      </w:r>
      <w:r>
        <w:rPr>
          <w:spacing w:val="-2"/>
          <w:sz w:val="24"/>
        </w:rPr>
        <w:t>seven</w:t>
      </w:r>
      <w:r>
        <w:rPr>
          <w:spacing w:val="-13"/>
          <w:sz w:val="24"/>
        </w:rPr>
        <w:t> </w:t>
      </w:r>
      <w:r>
        <w:rPr>
          <w:spacing w:val="-2"/>
          <w:sz w:val="24"/>
        </w:rPr>
        <w:t>days</w:t>
      </w:r>
      <w:r>
        <w:rPr>
          <w:spacing w:val="-10"/>
          <w:sz w:val="24"/>
        </w:rPr>
        <w:t> </w:t>
      </w:r>
      <w:r>
        <w:rPr>
          <w:spacing w:val="-2"/>
          <w:sz w:val="24"/>
        </w:rPr>
        <w:t>of</w:t>
      </w:r>
      <w:r>
        <w:rPr>
          <w:spacing w:val="-7"/>
          <w:sz w:val="24"/>
        </w:rPr>
        <w:t> </w:t>
      </w:r>
      <w:r>
        <w:rPr>
          <w:spacing w:val="-2"/>
          <w:sz w:val="24"/>
        </w:rPr>
        <w:t>the</w:t>
      </w:r>
      <w:r>
        <w:rPr>
          <w:spacing w:val="-9"/>
          <w:sz w:val="24"/>
        </w:rPr>
        <w:t> </w:t>
      </w:r>
      <w:r>
        <w:rPr>
          <w:spacing w:val="-2"/>
          <w:sz w:val="24"/>
        </w:rPr>
        <w:t>meeting.</w:t>
      </w:r>
      <w:r>
        <w:rPr>
          <w:spacing w:val="-7"/>
          <w:sz w:val="24"/>
        </w:rPr>
        <w:t> </w:t>
      </w:r>
      <w:r>
        <w:rPr>
          <w:spacing w:val="-2"/>
          <w:sz w:val="24"/>
        </w:rPr>
        <w:t>The</w:t>
      </w:r>
      <w:r>
        <w:rPr>
          <w:spacing w:val="-9"/>
          <w:sz w:val="24"/>
        </w:rPr>
        <w:t> </w:t>
      </w:r>
      <w:r>
        <w:rPr>
          <w:spacing w:val="-2"/>
          <w:sz w:val="24"/>
        </w:rPr>
        <w:t>minutes</w:t>
      </w:r>
      <w:r>
        <w:rPr>
          <w:spacing w:val="-10"/>
          <w:sz w:val="24"/>
        </w:rPr>
        <w:t> </w:t>
      </w:r>
      <w:r>
        <w:rPr>
          <w:spacing w:val="-2"/>
          <w:sz w:val="24"/>
        </w:rPr>
        <w:t>and </w:t>
      </w:r>
      <w:r>
        <w:rPr>
          <w:sz w:val="24"/>
        </w:rPr>
        <w:t>action</w:t>
      </w:r>
      <w:r>
        <w:rPr>
          <w:spacing w:val="-17"/>
          <w:sz w:val="24"/>
        </w:rPr>
        <w:t> </w:t>
      </w:r>
      <w:r>
        <w:rPr>
          <w:sz w:val="24"/>
        </w:rPr>
        <w:t>log</w:t>
      </w:r>
      <w:r>
        <w:rPr>
          <w:spacing w:val="-17"/>
          <w:sz w:val="24"/>
        </w:rPr>
        <w:t> </w:t>
      </w:r>
      <w:r>
        <w:rPr>
          <w:sz w:val="24"/>
        </w:rPr>
        <w:t>will</w:t>
      </w:r>
      <w:r>
        <w:rPr>
          <w:spacing w:val="-16"/>
          <w:sz w:val="24"/>
        </w:rPr>
        <w:t> </w:t>
      </w:r>
      <w:r>
        <w:rPr>
          <w:sz w:val="24"/>
        </w:rPr>
        <w:t>be</w:t>
      </w:r>
      <w:r>
        <w:rPr>
          <w:spacing w:val="-17"/>
          <w:sz w:val="24"/>
        </w:rPr>
        <w:t> </w:t>
      </w:r>
      <w:r>
        <w:rPr>
          <w:sz w:val="24"/>
        </w:rPr>
        <w:t>circulated</w:t>
      </w:r>
      <w:r>
        <w:rPr>
          <w:spacing w:val="-17"/>
          <w:sz w:val="24"/>
        </w:rPr>
        <w:t> </w:t>
      </w:r>
      <w:r>
        <w:rPr>
          <w:sz w:val="24"/>
        </w:rPr>
        <w:t>to</w:t>
      </w:r>
      <w:r>
        <w:rPr>
          <w:spacing w:val="-17"/>
          <w:sz w:val="24"/>
        </w:rPr>
        <w:t> </w:t>
      </w:r>
      <w:r>
        <w:rPr>
          <w:sz w:val="24"/>
        </w:rPr>
        <w:t>members</w:t>
      </w:r>
      <w:r>
        <w:rPr>
          <w:spacing w:val="-16"/>
          <w:sz w:val="24"/>
        </w:rPr>
        <w:t> </w:t>
      </w:r>
      <w:r>
        <w:rPr>
          <w:sz w:val="24"/>
        </w:rPr>
        <w:t>within</w:t>
      </w:r>
      <w:r>
        <w:rPr>
          <w:spacing w:val="-17"/>
          <w:sz w:val="24"/>
        </w:rPr>
        <w:t> </w:t>
      </w:r>
      <w:r>
        <w:rPr>
          <w:sz w:val="24"/>
        </w:rPr>
        <w:t>seven</w:t>
      </w:r>
      <w:r>
        <w:rPr>
          <w:spacing w:val="-17"/>
          <w:sz w:val="24"/>
        </w:rPr>
        <w:t> </w:t>
      </w:r>
      <w:r>
        <w:rPr>
          <w:sz w:val="24"/>
        </w:rPr>
        <w:t>days</w:t>
      </w:r>
      <w:r>
        <w:rPr>
          <w:spacing w:val="-16"/>
          <w:sz w:val="24"/>
        </w:rPr>
        <w:t> </w:t>
      </w:r>
      <w:r>
        <w:rPr>
          <w:sz w:val="24"/>
        </w:rPr>
        <w:t>to</w:t>
      </w:r>
      <w:r>
        <w:rPr>
          <w:spacing w:val="-17"/>
          <w:sz w:val="24"/>
        </w:rPr>
        <w:t> </w:t>
      </w:r>
      <w:r>
        <w:rPr>
          <w:sz w:val="24"/>
        </w:rPr>
        <w:t>check</w:t>
      </w:r>
      <w:r>
        <w:rPr>
          <w:spacing w:val="-17"/>
          <w:sz w:val="24"/>
        </w:rPr>
        <w:t> </w:t>
      </w:r>
      <w:r>
        <w:rPr>
          <w:sz w:val="24"/>
        </w:rPr>
        <w:t>the</w:t>
      </w:r>
      <w:r>
        <w:rPr>
          <w:spacing w:val="-16"/>
          <w:sz w:val="24"/>
        </w:rPr>
        <w:t> </w:t>
      </w:r>
      <w:r>
        <w:rPr>
          <w:sz w:val="24"/>
        </w:rPr>
        <w:t>accuracy,</w:t>
      </w:r>
      <w:r>
        <w:rPr>
          <w:spacing w:val="-17"/>
          <w:sz w:val="24"/>
        </w:rPr>
        <w:t> </w:t>
      </w:r>
      <w:r>
        <w:rPr>
          <w:sz w:val="24"/>
        </w:rPr>
        <w:t>prior</w:t>
      </w:r>
      <w:r>
        <w:rPr>
          <w:spacing w:val="-17"/>
          <w:sz w:val="24"/>
        </w:rPr>
        <w:t> </w:t>
      </w:r>
      <w:r>
        <w:rPr>
          <w:sz w:val="24"/>
        </w:rPr>
        <w:t>to sending</w:t>
      </w:r>
      <w:r>
        <w:rPr>
          <w:spacing w:val="-12"/>
          <w:sz w:val="24"/>
        </w:rPr>
        <w:t> </w:t>
      </w:r>
      <w:r>
        <w:rPr>
          <w:sz w:val="24"/>
        </w:rPr>
        <w:t>to</w:t>
      </w:r>
      <w:r>
        <w:rPr>
          <w:spacing w:val="-12"/>
          <w:sz w:val="24"/>
        </w:rPr>
        <w:t> </w:t>
      </w:r>
      <w:r>
        <w:rPr>
          <w:sz w:val="24"/>
        </w:rPr>
        <w:t>Members</w:t>
      </w:r>
      <w:r>
        <w:rPr>
          <w:spacing w:val="-13"/>
          <w:sz w:val="24"/>
        </w:rPr>
        <w:t> </w:t>
      </w:r>
      <w:r>
        <w:rPr>
          <w:sz w:val="24"/>
        </w:rPr>
        <w:t>(including</w:t>
      </w:r>
      <w:r>
        <w:rPr>
          <w:spacing w:val="-8"/>
          <w:sz w:val="24"/>
        </w:rPr>
        <w:t> </w:t>
      </w:r>
      <w:r>
        <w:rPr>
          <w:sz w:val="24"/>
        </w:rPr>
        <w:t>the</w:t>
      </w:r>
      <w:r>
        <w:rPr>
          <w:spacing w:val="-10"/>
          <w:sz w:val="24"/>
        </w:rPr>
        <w:t> </w:t>
      </w:r>
      <w:r>
        <w:rPr>
          <w:sz w:val="24"/>
        </w:rPr>
        <w:t>RCSPS</w:t>
      </w:r>
      <w:r>
        <w:rPr>
          <w:spacing w:val="-13"/>
          <w:sz w:val="24"/>
        </w:rPr>
        <w:t> </w:t>
      </w:r>
      <w:r>
        <w:rPr>
          <w:sz w:val="24"/>
        </w:rPr>
        <w:t>Co-Chairs)</w:t>
      </w:r>
      <w:r>
        <w:rPr>
          <w:spacing w:val="-9"/>
          <w:sz w:val="24"/>
        </w:rPr>
        <w:t> </w:t>
      </w:r>
      <w:r>
        <w:rPr>
          <w:sz w:val="24"/>
        </w:rPr>
        <w:t>to</w:t>
      </w:r>
      <w:r>
        <w:rPr>
          <w:spacing w:val="-12"/>
          <w:sz w:val="24"/>
        </w:rPr>
        <w:t> </w:t>
      </w:r>
      <w:r>
        <w:rPr>
          <w:sz w:val="24"/>
        </w:rPr>
        <w:t>review</w:t>
      </w:r>
      <w:r>
        <w:rPr>
          <w:spacing w:val="-12"/>
          <w:sz w:val="24"/>
        </w:rPr>
        <w:t> </w:t>
      </w:r>
      <w:r>
        <w:rPr>
          <w:sz w:val="24"/>
        </w:rPr>
        <w:t>within</w:t>
      </w:r>
      <w:r>
        <w:rPr>
          <w:spacing w:val="-12"/>
          <w:sz w:val="24"/>
        </w:rPr>
        <w:t> </w:t>
      </w:r>
      <w:r>
        <w:rPr>
          <w:sz w:val="24"/>
        </w:rPr>
        <w:t>the</w:t>
      </w:r>
      <w:r>
        <w:rPr>
          <w:spacing w:val="-12"/>
          <w:sz w:val="24"/>
        </w:rPr>
        <w:t> </w:t>
      </w:r>
      <w:r>
        <w:rPr>
          <w:sz w:val="24"/>
        </w:rPr>
        <w:t>next</w:t>
      </w:r>
      <w:r>
        <w:rPr>
          <w:spacing w:val="-10"/>
          <w:sz w:val="24"/>
        </w:rPr>
        <w:t> </w:t>
      </w:r>
      <w:r>
        <w:rPr>
          <w:sz w:val="24"/>
        </w:rPr>
        <w:t>seven </w:t>
      </w:r>
      <w:r>
        <w:rPr>
          <w:spacing w:val="-4"/>
          <w:sz w:val="24"/>
        </w:rPr>
        <w:t>days.</w:t>
      </w:r>
    </w:p>
    <w:p>
      <w:pPr>
        <w:pStyle w:val="ListParagraph"/>
        <w:numPr>
          <w:ilvl w:val="1"/>
          <w:numId w:val="54"/>
        </w:numPr>
        <w:tabs>
          <w:tab w:pos="862" w:val="left" w:leader="none"/>
        </w:tabs>
        <w:spacing w:line="240" w:lineRule="auto" w:before="156" w:after="0"/>
        <w:ind w:left="862" w:right="470" w:hanging="720"/>
        <w:jc w:val="left"/>
        <w:rPr>
          <w:sz w:val="24"/>
        </w:rPr>
      </w:pPr>
      <w:r>
        <w:rPr>
          <w:spacing w:val="-2"/>
          <w:sz w:val="24"/>
        </w:rPr>
        <w:t>Members</w:t>
      </w:r>
      <w:r>
        <w:rPr>
          <w:spacing w:val="-14"/>
          <w:sz w:val="24"/>
        </w:rPr>
        <w:t> </w:t>
      </w:r>
      <w:r>
        <w:rPr>
          <w:spacing w:val="-2"/>
          <w:sz w:val="24"/>
        </w:rPr>
        <w:t>must</w:t>
      </w:r>
      <w:r>
        <w:rPr>
          <w:spacing w:val="-9"/>
          <w:sz w:val="24"/>
        </w:rPr>
        <w:t> </w:t>
      </w:r>
      <w:r>
        <w:rPr>
          <w:spacing w:val="-2"/>
          <w:sz w:val="24"/>
        </w:rPr>
        <w:t>forward</w:t>
      </w:r>
      <w:r>
        <w:rPr>
          <w:spacing w:val="-11"/>
          <w:sz w:val="24"/>
        </w:rPr>
        <w:t> </w:t>
      </w:r>
      <w:r>
        <w:rPr>
          <w:spacing w:val="-2"/>
          <w:sz w:val="24"/>
        </w:rPr>
        <w:t>amendments</w:t>
      </w:r>
      <w:r>
        <w:rPr>
          <w:spacing w:val="-12"/>
          <w:sz w:val="24"/>
        </w:rPr>
        <w:t> </w:t>
      </w:r>
      <w:r>
        <w:rPr>
          <w:spacing w:val="-2"/>
          <w:sz w:val="24"/>
        </w:rPr>
        <w:t>to</w:t>
      </w:r>
      <w:r>
        <w:rPr>
          <w:spacing w:val="-11"/>
          <w:sz w:val="24"/>
        </w:rPr>
        <w:t> </w:t>
      </w:r>
      <w:r>
        <w:rPr>
          <w:spacing w:val="-2"/>
          <w:sz w:val="24"/>
        </w:rPr>
        <w:t>the</w:t>
      </w:r>
      <w:r>
        <w:rPr>
          <w:spacing w:val="-8"/>
          <w:sz w:val="24"/>
        </w:rPr>
        <w:t> </w:t>
      </w:r>
      <w:r>
        <w:rPr>
          <w:spacing w:val="-2"/>
          <w:sz w:val="24"/>
        </w:rPr>
        <w:t>RJC</w:t>
      </w:r>
      <w:r>
        <w:rPr>
          <w:spacing w:val="-11"/>
          <w:sz w:val="24"/>
        </w:rPr>
        <w:t> </w:t>
      </w:r>
      <w:r>
        <w:rPr>
          <w:spacing w:val="-2"/>
          <w:sz w:val="24"/>
        </w:rPr>
        <w:t>PMO</w:t>
      </w:r>
      <w:r>
        <w:rPr>
          <w:spacing w:val="-15"/>
          <w:sz w:val="24"/>
        </w:rPr>
        <w:t> </w:t>
      </w:r>
      <w:r>
        <w:rPr>
          <w:spacing w:val="-2"/>
          <w:sz w:val="24"/>
        </w:rPr>
        <w:t>within</w:t>
      </w:r>
      <w:r>
        <w:rPr>
          <w:spacing w:val="-6"/>
          <w:sz w:val="24"/>
        </w:rPr>
        <w:t> </w:t>
      </w:r>
      <w:r>
        <w:rPr>
          <w:spacing w:val="-2"/>
          <w:sz w:val="24"/>
        </w:rPr>
        <w:t>the</w:t>
      </w:r>
      <w:r>
        <w:rPr>
          <w:spacing w:val="-11"/>
          <w:sz w:val="24"/>
        </w:rPr>
        <w:t> </w:t>
      </w:r>
      <w:r>
        <w:rPr>
          <w:spacing w:val="-2"/>
          <w:sz w:val="24"/>
        </w:rPr>
        <w:t>next</w:t>
      </w:r>
      <w:r>
        <w:rPr>
          <w:spacing w:val="-14"/>
          <w:sz w:val="24"/>
        </w:rPr>
        <w:t> </w:t>
      </w:r>
      <w:r>
        <w:rPr>
          <w:spacing w:val="-2"/>
          <w:sz w:val="24"/>
        </w:rPr>
        <w:t>seven</w:t>
      </w:r>
      <w:r>
        <w:rPr>
          <w:spacing w:val="-11"/>
          <w:sz w:val="24"/>
        </w:rPr>
        <w:t> </w:t>
      </w:r>
      <w:r>
        <w:rPr>
          <w:spacing w:val="-2"/>
          <w:sz w:val="24"/>
        </w:rPr>
        <w:t>days.</w:t>
      </w:r>
      <w:r>
        <w:rPr>
          <w:spacing w:val="-9"/>
          <w:sz w:val="24"/>
        </w:rPr>
        <w:t> </w:t>
      </w:r>
      <w:r>
        <w:rPr>
          <w:spacing w:val="-2"/>
          <w:sz w:val="24"/>
        </w:rPr>
        <w:t>The</w:t>
      </w:r>
      <w:r>
        <w:rPr>
          <w:spacing w:val="-9"/>
          <w:sz w:val="24"/>
        </w:rPr>
        <w:t> </w:t>
      </w:r>
      <w:r>
        <w:rPr>
          <w:spacing w:val="-2"/>
          <w:sz w:val="24"/>
        </w:rPr>
        <w:t>RJC </w:t>
      </w:r>
      <w:r>
        <w:rPr>
          <w:sz w:val="24"/>
        </w:rPr>
        <w:t>PMO</w:t>
      </w:r>
      <w:r>
        <w:rPr>
          <w:spacing w:val="-16"/>
          <w:sz w:val="24"/>
        </w:rPr>
        <w:t> </w:t>
      </w:r>
      <w:r>
        <w:rPr>
          <w:sz w:val="24"/>
        </w:rPr>
        <w:t>will</w:t>
      </w:r>
      <w:r>
        <w:rPr>
          <w:spacing w:val="-9"/>
          <w:sz w:val="24"/>
        </w:rPr>
        <w:t> </w:t>
      </w:r>
      <w:r>
        <w:rPr>
          <w:sz w:val="24"/>
        </w:rPr>
        <w:t>then</w:t>
      </w:r>
      <w:r>
        <w:rPr>
          <w:spacing w:val="-4"/>
          <w:sz w:val="24"/>
        </w:rPr>
        <w:t> </w:t>
      </w:r>
      <w:r>
        <w:rPr>
          <w:sz w:val="24"/>
        </w:rPr>
        <w:t>forward</w:t>
      </w:r>
      <w:r>
        <w:rPr>
          <w:spacing w:val="-9"/>
          <w:sz w:val="24"/>
        </w:rPr>
        <w:t> </w:t>
      </w:r>
      <w:r>
        <w:rPr>
          <w:sz w:val="24"/>
        </w:rPr>
        <w:t>the</w:t>
      </w:r>
      <w:r>
        <w:rPr>
          <w:spacing w:val="-9"/>
          <w:sz w:val="24"/>
        </w:rPr>
        <w:t> </w:t>
      </w:r>
      <w:r>
        <w:rPr>
          <w:sz w:val="24"/>
        </w:rPr>
        <w:t>final</w:t>
      </w:r>
      <w:r>
        <w:rPr>
          <w:spacing w:val="-9"/>
          <w:sz w:val="24"/>
        </w:rPr>
        <w:t> </w:t>
      </w:r>
      <w:r>
        <w:rPr>
          <w:sz w:val="24"/>
        </w:rPr>
        <w:t>version</w:t>
      </w:r>
      <w:r>
        <w:rPr>
          <w:spacing w:val="-9"/>
          <w:sz w:val="24"/>
        </w:rPr>
        <w:t> </w:t>
      </w:r>
      <w:r>
        <w:rPr>
          <w:sz w:val="24"/>
        </w:rPr>
        <w:t>to</w:t>
      </w:r>
      <w:r>
        <w:rPr>
          <w:spacing w:val="-4"/>
          <w:sz w:val="24"/>
        </w:rPr>
        <w:t> </w:t>
      </w:r>
      <w:r>
        <w:rPr>
          <w:sz w:val="24"/>
        </w:rPr>
        <w:t>the</w:t>
      </w:r>
      <w:r>
        <w:rPr>
          <w:spacing w:val="-6"/>
          <w:sz w:val="24"/>
        </w:rPr>
        <w:t> </w:t>
      </w:r>
      <w:r>
        <w:rPr>
          <w:sz w:val="24"/>
        </w:rPr>
        <w:t>RCSPS</w:t>
      </w:r>
      <w:r>
        <w:rPr>
          <w:spacing w:val="-10"/>
          <w:sz w:val="24"/>
        </w:rPr>
        <w:t> </w:t>
      </w:r>
      <w:r>
        <w:rPr>
          <w:sz w:val="24"/>
        </w:rPr>
        <w:t>Co-Chairs</w:t>
      </w:r>
      <w:r>
        <w:rPr>
          <w:spacing w:val="-10"/>
          <w:sz w:val="24"/>
        </w:rPr>
        <w:t> </w:t>
      </w:r>
      <w:r>
        <w:rPr>
          <w:sz w:val="24"/>
        </w:rPr>
        <w:t>for</w:t>
      </w:r>
      <w:r>
        <w:rPr>
          <w:spacing w:val="-15"/>
          <w:sz w:val="24"/>
        </w:rPr>
        <w:t> </w:t>
      </w:r>
      <w:r>
        <w:rPr>
          <w:sz w:val="24"/>
        </w:rPr>
        <w:t>approval.</w:t>
      </w:r>
    </w:p>
    <w:p>
      <w:pPr>
        <w:pStyle w:val="BodyText"/>
        <w:spacing w:before="10"/>
        <w:rPr>
          <w:sz w:val="16"/>
        </w:rPr>
      </w:pPr>
      <w:r>
        <w:rPr>
          <w:sz w:val="16"/>
        </w:rPr>
        <mc:AlternateContent>
          <mc:Choice Requires="wps">
            <w:drawing>
              <wp:anchor distT="0" distB="0" distL="0" distR="0" allowOverlap="1" layoutInCell="1" locked="0" behindDoc="1" simplePos="0" relativeHeight="487666176">
                <wp:simplePos x="0" y="0"/>
                <wp:positionH relativeFrom="page">
                  <wp:posOffset>574992</wp:posOffset>
                </wp:positionH>
                <wp:positionV relativeFrom="paragraph">
                  <wp:posOffset>145212</wp:posOffset>
                </wp:positionV>
                <wp:extent cx="6575425" cy="193675"/>
                <wp:effectExtent l="0" t="0" r="0" b="0"/>
                <wp:wrapTopAndBottom/>
                <wp:docPr id="470" name="Textbox 470"/>
                <wp:cNvGraphicFramePr>
                  <a:graphicFrameLocks/>
                </wp:cNvGraphicFramePr>
                <a:graphic>
                  <a:graphicData uri="http://schemas.microsoft.com/office/word/2010/wordprocessingShape">
                    <wps:wsp>
                      <wps:cNvPr id="470" name="Textbox 470"/>
                      <wps:cNvSpPr txBox="1"/>
                      <wps:spPr>
                        <a:xfrm>
                          <a:off x="0" y="0"/>
                          <a:ext cx="6575425"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9</w:t>
                            </w:r>
                            <w:r>
                              <w:rPr>
                                <w:b/>
                                <w:color w:val="000000"/>
                                <w:sz w:val="24"/>
                              </w:rPr>
                              <w:tab/>
                              <w:t>Frequency</w:t>
                            </w:r>
                            <w:r>
                              <w:rPr>
                                <w:b/>
                                <w:color w:val="000000"/>
                                <w:spacing w:val="-7"/>
                                <w:sz w:val="24"/>
                              </w:rPr>
                              <w:t> </w:t>
                            </w:r>
                            <w:r>
                              <w:rPr>
                                <w:b/>
                                <w:color w:val="000000"/>
                                <w:sz w:val="24"/>
                              </w:rPr>
                              <w:t>of </w:t>
                            </w:r>
                            <w:r>
                              <w:rPr>
                                <w:b/>
                                <w:color w:val="000000"/>
                                <w:spacing w:val="-2"/>
                                <w:sz w:val="24"/>
                              </w:rPr>
                              <w:t>Meetings</w:t>
                            </w:r>
                          </w:p>
                        </w:txbxContent>
                      </wps:txbx>
                      <wps:bodyPr wrap="square" lIns="0" tIns="0" rIns="0" bIns="0" rtlCol="0">
                        <a:noAutofit/>
                      </wps:bodyPr>
                    </wps:wsp>
                  </a:graphicData>
                </a:graphic>
              </wp:anchor>
            </w:drawing>
          </mc:Choice>
          <mc:Fallback>
            <w:pict>
              <v:shape style="position:absolute;margin-left:45.275002pt;margin-top:11.434063pt;width:517.75pt;height:15.25pt;mso-position-horizontal-relative:page;mso-position-vertical-relative:paragraph;z-index:-15650304;mso-wrap-distance-left:0;mso-wrap-distance-right:0" type="#_x0000_t202" id="docshape252"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9</w:t>
                      </w:r>
                      <w:r>
                        <w:rPr>
                          <w:b/>
                          <w:color w:val="000000"/>
                          <w:sz w:val="24"/>
                        </w:rPr>
                        <w:tab/>
                        <w:t>Frequency</w:t>
                      </w:r>
                      <w:r>
                        <w:rPr>
                          <w:b/>
                          <w:color w:val="000000"/>
                          <w:spacing w:val="-7"/>
                          <w:sz w:val="24"/>
                        </w:rPr>
                        <w:t> </w:t>
                      </w:r>
                      <w:r>
                        <w:rPr>
                          <w:b/>
                          <w:color w:val="000000"/>
                          <w:sz w:val="24"/>
                        </w:rPr>
                        <w:t>of </w:t>
                      </w:r>
                      <w:r>
                        <w:rPr>
                          <w:b/>
                          <w:color w:val="000000"/>
                          <w:spacing w:val="-2"/>
                          <w:sz w:val="24"/>
                        </w:rPr>
                        <w:t>Meetings</w:t>
                      </w:r>
                    </w:p>
                  </w:txbxContent>
                </v:textbox>
                <v:fill type="solid"/>
                <v:stroke dashstyle="solid"/>
                <w10:wrap type="topAndBottom"/>
              </v:shape>
            </w:pict>
          </mc:Fallback>
        </mc:AlternateContent>
      </w:r>
    </w:p>
    <w:p>
      <w:pPr>
        <w:pStyle w:val="ListParagraph"/>
        <w:numPr>
          <w:ilvl w:val="1"/>
          <w:numId w:val="55"/>
        </w:numPr>
        <w:tabs>
          <w:tab w:pos="862" w:val="left" w:leader="none"/>
        </w:tabs>
        <w:spacing w:line="240" w:lineRule="auto" w:before="170" w:after="0"/>
        <w:ind w:left="862" w:right="1154" w:hanging="720"/>
        <w:jc w:val="left"/>
        <w:rPr>
          <w:sz w:val="24"/>
        </w:rPr>
      </w:pPr>
      <w:r>
        <w:rPr>
          <w:sz w:val="24"/>
        </w:rPr>
        <w:t>The</w:t>
      </w:r>
      <w:r>
        <w:rPr>
          <w:spacing w:val="-17"/>
          <w:sz w:val="24"/>
        </w:rPr>
        <w:t> </w:t>
      </w:r>
      <w:r>
        <w:rPr>
          <w:sz w:val="24"/>
        </w:rPr>
        <w:t>RCSPS</w:t>
      </w:r>
      <w:r>
        <w:rPr>
          <w:spacing w:val="-17"/>
          <w:sz w:val="24"/>
        </w:rPr>
        <w:t> </w:t>
      </w:r>
      <w:r>
        <w:rPr>
          <w:sz w:val="24"/>
        </w:rPr>
        <w:t>will</w:t>
      </w:r>
      <w:r>
        <w:rPr>
          <w:spacing w:val="-16"/>
          <w:sz w:val="24"/>
        </w:rPr>
        <w:t> </w:t>
      </w:r>
      <w:r>
        <w:rPr>
          <w:sz w:val="24"/>
        </w:rPr>
        <w:t>meet</w:t>
      </w:r>
      <w:r>
        <w:rPr>
          <w:spacing w:val="-17"/>
          <w:sz w:val="24"/>
        </w:rPr>
        <w:t> </w:t>
      </w:r>
      <w:r>
        <w:rPr>
          <w:sz w:val="24"/>
        </w:rPr>
        <w:t>monthly</w:t>
      </w:r>
      <w:r>
        <w:rPr>
          <w:spacing w:val="-17"/>
          <w:sz w:val="24"/>
        </w:rPr>
        <w:t> </w:t>
      </w:r>
      <w:r>
        <w:rPr>
          <w:sz w:val="24"/>
        </w:rPr>
        <w:t>and</w:t>
      </w:r>
      <w:r>
        <w:rPr>
          <w:spacing w:val="-17"/>
          <w:sz w:val="24"/>
        </w:rPr>
        <w:t> </w:t>
      </w:r>
      <w:r>
        <w:rPr>
          <w:sz w:val="24"/>
        </w:rPr>
        <w:t>shall</w:t>
      </w:r>
      <w:r>
        <w:rPr>
          <w:spacing w:val="-16"/>
          <w:sz w:val="24"/>
        </w:rPr>
        <w:t> </w:t>
      </w:r>
      <w:r>
        <w:rPr>
          <w:sz w:val="24"/>
        </w:rPr>
        <w:t>agree</w:t>
      </w:r>
      <w:r>
        <w:rPr>
          <w:spacing w:val="-17"/>
          <w:sz w:val="24"/>
        </w:rPr>
        <w:t> </w:t>
      </w:r>
      <w:r>
        <w:rPr>
          <w:sz w:val="24"/>
        </w:rPr>
        <w:t>an</w:t>
      </w:r>
      <w:r>
        <w:rPr>
          <w:spacing w:val="-17"/>
          <w:sz w:val="24"/>
        </w:rPr>
        <w:t> </w:t>
      </w:r>
      <w:r>
        <w:rPr>
          <w:sz w:val="24"/>
        </w:rPr>
        <w:t>annual</w:t>
      </w:r>
      <w:r>
        <w:rPr>
          <w:spacing w:val="-16"/>
          <w:sz w:val="24"/>
        </w:rPr>
        <w:t> </w:t>
      </w:r>
      <w:r>
        <w:rPr>
          <w:sz w:val="24"/>
        </w:rPr>
        <w:t>schedule</w:t>
      </w:r>
      <w:r>
        <w:rPr>
          <w:spacing w:val="-17"/>
          <w:sz w:val="24"/>
        </w:rPr>
        <w:t> </w:t>
      </w:r>
      <w:r>
        <w:rPr>
          <w:sz w:val="24"/>
        </w:rPr>
        <w:t>of</w:t>
      </w:r>
      <w:r>
        <w:rPr>
          <w:spacing w:val="-17"/>
          <w:sz w:val="24"/>
        </w:rPr>
        <w:t> </w:t>
      </w:r>
      <w:r>
        <w:rPr>
          <w:sz w:val="24"/>
        </w:rPr>
        <w:t>meetings.</w:t>
      </w:r>
      <w:r>
        <w:rPr>
          <w:spacing w:val="14"/>
          <w:sz w:val="24"/>
        </w:rPr>
        <w:t> </w:t>
      </w:r>
      <w:r>
        <w:rPr>
          <w:sz w:val="24"/>
        </w:rPr>
        <w:t>Any additional</w:t>
      </w:r>
      <w:r>
        <w:rPr>
          <w:spacing w:val="-17"/>
          <w:sz w:val="24"/>
        </w:rPr>
        <w:t> </w:t>
      </w:r>
      <w:r>
        <w:rPr>
          <w:sz w:val="24"/>
        </w:rPr>
        <w:t>meetings</w:t>
      </w:r>
      <w:r>
        <w:rPr>
          <w:spacing w:val="-17"/>
          <w:sz w:val="24"/>
        </w:rPr>
        <w:t> </w:t>
      </w:r>
      <w:r>
        <w:rPr>
          <w:sz w:val="24"/>
        </w:rPr>
        <w:t>will</w:t>
      </w:r>
      <w:r>
        <w:rPr>
          <w:spacing w:val="-16"/>
          <w:sz w:val="24"/>
        </w:rPr>
        <w:t> </w:t>
      </w:r>
      <w:r>
        <w:rPr>
          <w:sz w:val="24"/>
        </w:rPr>
        <w:t>be</w:t>
      </w:r>
      <w:r>
        <w:rPr>
          <w:spacing w:val="-17"/>
          <w:sz w:val="24"/>
        </w:rPr>
        <w:t> </w:t>
      </w:r>
      <w:r>
        <w:rPr>
          <w:sz w:val="24"/>
        </w:rPr>
        <w:t>arranged</w:t>
      </w:r>
      <w:r>
        <w:rPr>
          <w:spacing w:val="-17"/>
          <w:sz w:val="24"/>
        </w:rPr>
        <w:t> </w:t>
      </w:r>
      <w:r>
        <w:rPr>
          <w:sz w:val="24"/>
        </w:rPr>
        <w:t>as</w:t>
      </w:r>
      <w:r>
        <w:rPr>
          <w:spacing w:val="-17"/>
          <w:sz w:val="24"/>
        </w:rPr>
        <w:t> </w:t>
      </w:r>
      <w:r>
        <w:rPr>
          <w:sz w:val="24"/>
        </w:rPr>
        <w:t>determined</w:t>
      </w:r>
      <w:r>
        <w:rPr>
          <w:spacing w:val="-16"/>
          <w:sz w:val="24"/>
        </w:rPr>
        <w:t> </w:t>
      </w:r>
      <w:r>
        <w:rPr>
          <w:sz w:val="24"/>
        </w:rPr>
        <w:t>by</w:t>
      </w:r>
      <w:r>
        <w:rPr>
          <w:spacing w:val="-14"/>
          <w:sz w:val="24"/>
        </w:rPr>
        <w:t> </w:t>
      </w:r>
      <w:r>
        <w:rPr>
          <w:sz w:val="24"/>
        </w:rPr>
        <w:t>the</w:t>
      </w:r>
      <w:r>
        <w:rPr>
          <w:spacing w:val="-14"/>
          <w:sz w:val="24"/>
        </w:rPr>
        <w:t> </w:t>
      </w:r>
      <w:r>
        <w:rPr>
          <w:sz w:val="24"/>
        </w:rPr>
        <w:t>Co-Chairs</w:t>
      </w:r>
      <w:r>
        <w:rPr>
          <w:spacing w:val="-17"/>
          <w:sz w:val="24"/>
        </w:rPr>
        <w:t> </w:t>
      </w:r>
      <w:r>
        <w:rPr>
          <w:sz w:val="24"/>
        </w:rPr>
        <w:t>of</w:t>
      </w:r>
      <w:r>
        <w:rPr>
          <w:spacing w:val="-15"/>
          <w:sz w:val="24"/>
        </w:rPr>
        <w:t> </w:t>
      </w:r>
      <w:r>
        <w:rPr>
          <w:sz w:val="24"/>
        </w:rPr>
        <w:t>the</w:t>
      </w:r>
      <w:r>
        <w:rPr>
          <w:spacing w:val="-16"/>
          <w:sz w:val="24"/>
        </w:rPr>
        <w:t> </w:t>
      </w:r>
      <w:r>
        <w:rPr>
          <w:sz w:val="24"/>
        </w:rPr>
        <w:t>RCSPS.</w:t>
      </w:r>
    </w:p>
    <w:p>
      <w:pPr>
        <w:pStyle w:val="ListParagraph"/>
        <w:numPr>
          <w:ilvl w:val="1"/>
          <w:numId w:val="55"/>
        </w:numPr>
        <w:tabs>
          <w:tab w:pos="862" w:val="left" w:leader="none"/>
        </w:tabs>
        <w:spacing w:line="240" w:lineRule="auto" w:before="158" w:after="0"/>
        <w:ind w:left="862" w:right="811" w:hanging="720"/>
        <w:jc w:val="left"/>
        <w:rPr>
          <w:sz w:val="24"/>
        </w:rPr>
      </w:pPr>
      <w:r>
        <w:rPr>
          <w:spacing w:val="-2"/>
          <w:sz w:val="24"/>
        </w:rPr>
        <w:t>The</w:t>
      </w:r>
      <w:r>
        <w:rPr>
          <w:spacing w:val="-10"/>
          <w:sz w:val="24"/>
        </w:rPr>
        <w:t> </w:t>
      </w:r>
      <w:r>
        <w:rPr>
          <w:spacing w:val="-2"/>
          <w:sz w:val="24"/>
        </w:rPr>
        <w:t>Co-Chairs</w:t>
      </w:r>
      <w:r>
        <w:rPr>
          <w:spacing w:val="-12"/>
          <w:sz w:val="24"/>
        </w:rPr>
        <w:t> </w:t>
      </w:r>
      <w:r>
        <w:rPr>
          <w:spacing w:val="-2"/>
          <w:sz w:val="24"/>
        </w:rPr>
        <w:t>of</w:t>
      </w:r>
      <w:r>
        <w:rPr>
          <w:spacing w:val="-14"/>
          <w:sz w:val="24"/>
        </w:rPr>
        <w:t> </w:t>
      </w:r>
      <w:r>
        <w:rPr>
          <w:spacing w:val="-2"/>
          <w:sz w:val="24"/>
        </w:rPr>
        <w:t>the</w:t>
      </w:r>
      <w:r>
        <w:rPr>
          <w:spacing w:val="-15"/>
          <w:sz w:val="24"/>
        </w:rPr>
        <w:t> </w:t>
      </w:r>
      <w:r>
        <w:rPr>
          <w:spacing w:val="-2"/>
          <w:sz w:val="24"/>
        </w:rPr>
        <w:t>RCSPS,</w:t>
      </w:r>
      <w:r>
        <w:rPr>
          <w:spacing w:val="-13"/>
          <w:sz w:val="24"/>
        </w:rPr>
        <w:t> </w:t>
      </w:r>
      <w:r>
        <w:rPr>
          <w:spacing w:val="-2"/>
          <w:sz w:val="24"/>
        </w:rPr>
        <w:t>in</w:t>
      </w:r>
      <w:r>
        <w:rPr>
          <w:spacing w:val="-11"/>
          <w:sz w:val="24"/>
        </w:rPr>
        <w:t> </w:t>
      </w:r>
      <w:r>
        <w:rPr>
          <w:spacing w:val="-2"/>
          <w:sz w:val="24"/>
        </w:rPr>
        <w:t>discussion</w:t>
      </w:r>
      <w:r>
        <w:rPr>
          <w:spacing w:val="-11"/>
          <w:sz w:val="24"/>
        </w:rPr>
        <w:t> </w:t>
      </w:r>
      <w:r>
        <w:rPr>
          <w:spacing w:val="-2"/>
          <w:sz w:val="24"/>
        </w:rPr>
        <w:t>with</w:t>
      </w:r>
      <w:r>
        <w:rPr>
          <w:spacing w:val="-11"/>
          <w:sz w:val="24"/>
        </w:rPr>
        <w:t> </w:t>
      </w:r>
      <w:r>
        <w:rPr>
          <w:spacing w:val="-2"/>
          <w:sz w:val="24"/>
        </w:rPr>
        <w:t>the</w:t>
      </w:r>
      <w:r>
        <w:rPr>
          <w:spacing w:val="-14"/>
          <w:sz w:val="24"/>
        </w:rPr>
        <w:t> </w:t>
      </w:r>
      <w:r>
        <w:rPr>
          <w:spacing w:val="-2"/>
          <w:sz w:val="24"/>
        </w:rPr>
        <w:t>RJC</w:t>
      </w:r>
      <w:r>
        <w:rPr>
          <w:spacing w:val="-6"/>
          <w:sz w:val="24"/>
        </w:rPr>
        <w:t> </w:t>
      </w:r>
      <w:r>
        <w:rPr>
          <w:spacing w:val="-2"/>
          <w:sz w:val="24"/>
        </w:rPr>
        <w:t>PMO,</w:t>
      </w:r>
      <w:r>
        <w:rPr>
          <w:spacing w:val="-9"/>
          <w:sz w:val="24"/>
        </w:rPr>
        <w:t> </w:t>
      </w:r>
      <w:r>
        <w:rPr>
          <w:spacing w:val="-2"/>
          <w:sz w:val="24"/>
        </w:rPr>
        <w:t>shall</w:t>
      </w:r>
      <w:r>
        <w:rPr>
          <w:spacing w:val="-11"/>
          <w:sz w:val="24"/>
        </w:rPr>
        <w:t> </w:t>
      </w:r>
      <w:r>
        <w:rPr>
          <w:spacing w:val="-2"/>
          <w:sz w:val="24"/>
        </w:rPr>
        <w:t>determine</w:t>
      </w:r>
      <w:r>
        <w:rPr>
          <w:spacing w:val="-11"/>
          <w:sz w:val="24"/>
        </w:rPr>
        <w:t> </w:t>
      </w:r>
      <w:r>
        <w:rPr>
          <w:spacing w:val="-2"/>
          <w:sz w:val="24"/>
        </w:rPr>
        <w:t>the</w:t>
      </w:r>
      <w:r>
        <w:rPr>
          <w:spacing w:val="-6"/>
          <w:sz w:val="24"/>
        </w:rPr>
        <w:t> </w:t>
      </w:r>
      <w:r>
        <w:rPr>
          <w:spacing w:val="-2"/>
          <w:sz w:val="24"/>
        </w:rPr>
        <w:t>time </w:t>
      </w:r>
      <w:r>
        <w:rPr>
          <w:sz w:val="24"/>
        </w:rPr>
        <w:t>and</w:t>
      </w:r>
      <w:r>
        <w:rPr>
          <w:spacing w:val="-7"/>
          <w:sz w:val="24"/>
        </w:rPr>
        <w:t> </w:t>
      </w:r>
      <w:r>
        <w:rPr>
          <w:sz w:val="24"/>
        </w:rPr>
        <w:t>the</w:t>
      </w:r>
      <w:r>
        <w:rPr>
          <w:spacing w:val="-7"/>
          <w:sz w:val="24"/>
        </w:rPr>
        <w:t> </w:t>
      </w:r>
      <w:r>
        <w:rPr>
          <w:sz w:val="24"/>
        </w:rPr>
        <w:t>place</w:t>
      </w:r>
      <w:r>
        <w:rPr>
          <w:spacing w:val="-7"/>
          <w:sz w:val="24"/>
        </w:rPr>
        <w:t> </w:t>
      </w:r>
      <w:r>
        <w:rPr>
          <w:sz w:val="24"/>
        </w:rPr>
        <w:t>of</w:t>
      </w:r>
      <w:r>
        <w:rPr>
          <w:spacing w:val="-10"/>
          <w:sz w:val="24"/>
        </w:rPr>
        <w:t> </w:t>
      </w:r>
      <w:r>
        <w:rPr>
          <w:sz w:val="24"/>
        </w:rPr>
        <w:t>meetings</w:t>
      </w:r>
      <w:r>
        <w:rPr>
          <w:spacing w:val="-8"/>
          <w:sz w:val="24"/>
        </w:rPr>
        <w:t> </w:t>
      </w:r>
      <w:r>
        <w:rPr>
          <w:sz w:val="24"/>
        </w:rPr>
        <w:t>of</w:t>
      </w:r>
      <w:r>
        <w:rPr>
          <w:spacing w:val="-5"/>
          <w:sz w:val="24"/>
        </w:rPr>
        <w:t> </w:t>
      </w:r>
      <w:r>
        <w:rPr>
          <w:sz w:val="24"/>
        </w:rPr>
        <w:t>the</w:t>
      </w:r>
      <w:r>
        <w:rPr>
          <w:spacing w:val="-5"/>
          <w:sz w:val="24"/>
        </w:rPr>
        <w:t> </w:t>
      </w:r>
      <w:r>
        <w:rPr>
          <w:sz w:val="24"/>
        </w:rPr>
        <w:t>RCSPS</w:t>
      </w:r>
      <w:r>
        <w:rPr>
          <w:spacing w:val="-8"/>
          <w:sz w:val="24"/>
        </w:rPr>
        <w:t> </w:t>
      </w:r>
      <w:r>
        <w:rPr>
          <w:sz w:val="24"/>
        </w:rPr>
        <w:t>and</w:t>
      </w:r>
      <w:r>
        <w:rPr>
          <w:spacing w:val="-7"/>
          <w:sz w:val="24"/>
        </w:rPr>
        <w:t> </w:t>
      </w:r>
      <w:r>
        <w:rPr>
          <w:sz w:val="24"/>
        </w:rPr>
        <w:t>procedures</w:t>
      </w:r>
      <w:r>
        <w:rPr>
          <w:spacing w:val="-13"/>
          <w:sz w:val="24"/>
        </w:rPr>
        <w:t> </w:t>
      </w:r>
      <w:r>
        <w:rPr>
          <w:sz w:val="24"/>
        </w:rPr>
        <w:t>of</w:t>
      </w:r>
      <w:r>
        <w:rPr>
          <w:spacing w:val="-10"/>
          <w:sz w:val="24"/>
        </w:rPr>
        <w:t> </w:t>
      </w:r>
      <w:r>
        <w:rPr>
          <w:sz w:val="24"/>
        </w:rPr>
        <w:t>such</w:t>
      </w:r>
      <w:r>
        <w:rPr>
          <w:spacing w:val="-7"/>
          <w:sz w:val="24"/>
        </w:rPr>
        <w:t> </w:t>
      </w:r>
      <w:r>
        <w:rPr>
          <w:sz w:val="24"/>
        </w:rPr>
        <w:t>meetings.</w:t>
      </w:r>
    </w:p>
    <w:p>
      <w:pPr>
        <w:pStyle w:val="BodyText"/>
        <w:spacing w:before="10"/>
        <w:rPr>
          <w:sz w:val="16"/>
        </w:rPr>
      </w:pPr>
      <w:r>
        <w:rPr>
          <w:sz w:val="16"/>
        </w:rPr>
        <mc:AlternateContent>
          <mc:Choice Requires="wps">
            <w:drawing>
              <wp:anchor distT="0" distB="0" distL="0" distR="0" allowOverlap="1" layoutInCell="1" locked="0" behindDoc="1" simplePos="0" relativeHeight="487666688">
                <wp:simplePos x="0" y="0"/>
                <wp:positionH relativeFrom="page">
                  <wp:posOffset>574992</wp:posOffset>
                </wp:positionH>
                <wp:positionV relativeFrom="paragraph">
                  <wp:posOffset>145220</wp:posOffset>
                </wp:positionV>
                <wp:extent cx="6575425" cy="190500"/>
                <wp:effectExtent l="0" t="0" r="0" b="0"/>
                <wp:wrapTopAndBottom/>
                <wp:docPr id="471" name="Textbox 471"/>
                <wp:cNvGraphicFramePr>
                  <a:graphicFrameLocks/>
                </wp:cNvGraphicFramePr>
                <a:graphic>
                  <a:graphicData uri="http://schemas.microsoft.com/office/word/2010/wordprocessingShape">
                    <wps:wsp>
                      <wps:cNvPr id="471" name="Textbox 471"/>
                      <wps:cNvSpPr txBox="1"/>
                      <wps:spPr>
                        <a:xfrm>
                          <a:off x="0" y="0"/>
                          <a:ext cx="6575425" cy="19050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5"/>
                                <w:sz w:val="24"/>
                              </w:rPr>
                              <w:t>10</w:t>
                            </w:r>
                            <w:r>
                              <w:rPr>
                                <w:b/>
                                <w:color w:val="000000"/>
                                <w:sz w:val="24"/>
                              </w:rPr>
                              <w:tab/>
                              <w:t>Accountability,</w:t>
                            </w:r>
                            <w:r>
                              <w:rPr>
                                <w:b/>
                                <w:color w:val="000000"/>
                                <w:spacing w:val="-9"/>
                                <w:sz w:val="24"/>
                              </w:rPr>
                              <w:t> </w:t>
                            </w:r>
                            <w:r>
                              <w:rPr>
                                <w:b/>
                                <w:color w:val="000000"/>
                                <w:sz w:val="24"/>
                              </w:rPr>
                              <w:t>Responsibility</w:t>
                            </w:r>
                            <w:r>
                              <w:rPr>
                                <w:b/>
                                <w:color w:val="000000"/>
                                <w:spacing w:val="-7"/>
                                <w:sz w:val="24"/>
                              </w:rPr>
                              <w:t> </w:t>
                            </w:r>
                            <w:r>
                              <w:rPr>
                                <w:b/>
                                <w:color w:val="000000"/>
                                <w:sz w:val="24"/>
                              </w:rPr>
                              <w:t>and</w:t>
                            </w:r>
                            <w:r>
                              <w:rPr>
                                <w:b/>
                                <w:color w:val="000000"/>
                                <w:spacing w:val="-8"/>
                                <w:sz w:val="24"/>
                              </w:rPr>
                              <w:t> </w:t>
                            </w:r>
                            <w:r>
                              <w:rPr>
                                <w:b/>
                                <w:color w:val="000000"/>
                                <w:spacing w:val="-2"/>
                                <w:sz w:val="24"/>
                              </w:rPr>
                              <w:t>Authority</w:t>
                            </w:r>
                          </w:p>
                        </w:txbxContent>
                      </wps:txbx>
                      <wps:bodyPr wrap="square" lIns="0" tIns="0" rIns="0" bIns="0" rtlCol="0">
                        <a:noAutofit/>
                      </wps:bodyPr>
                    </wps:wsp>
                  </a:graphicData>
                </a:graphic>
              </wp:anchor>
            </w:drawing>
          </mc:Choice>
          <mc:Fallback>
            <w:pict>
              <v:shape style="position:absolute;margin-left:45.275002pt;margin-top:11.434688pt;width:517.75pt;height:15pt;mso-position-horizontal-relative:page;mso-position-vertical-relative:paragraph;z-index:-15649792;mso-wrap-distance-left:0;mso-wrap-distance-right:0" type="#_x0000_t202" id="docshape253"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5"/>
                          <w:sz w:val="24"/>
                        </w:rPr>
                        <w:t>10</w:t>
                      </w:r>
                      <w:r>
                        <w:rPr>
                          <w:b/>
                          <w:color w:val="000000"/>
                          <w:sz w:val="24"/>
                        </w:rPr>
                        <w:tab/>
                        <w:t>Accountability,</w:t>
                      </w:r>
                      <w:r>
                        <w:rPr>
                          <w:b/>
                          <w:color w:val="000000"/>
                          <w:spacing w:val="-9"/>
                          <w:sz w:val="24"/>
                        </w:rPr>
                        <w:t> </w:t>
                      </w:r>
                      <w:r>
                        <w:rPr>
                          <w:b/>
                          <w:color w:val="000000"/>
                          <w:sz w:val="24"/>
                        </w:rPr>
                        <w:t>Responsibility</w:t>
                      </w:r>
                      <w:r>
                        <w:rPr>
                          <w:b/>
                          <w:color w:val="000000"/>
                          <w:spacing w:val="-7"/>
                          <w:sz w:val="24"/>
                        </w:rPr>
                        <w:t> </w:t>
                      </w:r>
                      <w:r>
                        <w:rPr>
                          <w:b/>
                          <w:color w:val="000000"/>
                          <w:sz w:val="24"/>
                        </w:rPr>
                        <w:t>and</w:t>
                      </w:r>
                      <w:r>
                        <w:rPr>
                          <w:b/>
                          <w:color w:val="000000"/>
                          <w:spacing w:val="-8"/>
                          <w:sz w:val="24"/>
                        </w:rPr>
                        <w:t> </w:t>
                      </w:r>
                      <w:r>
                        <w:rPr>
                          <w:b/>
                          <w:color w:val="000000"/>
                          <w:spacing w:val="-2"/>
                          <w:sz w:val="24"/>
                        </w:rPr>
                        <w:t>Authority</w:t>
                      </w:r>
                    </w:p>
                  </w:txbxContent>
                </v:textbox>
                <v:fill type="solid"/>
                <v:stroke dashstyle="solid"/>
                <w10:wrap type="topAndBottom"/>
              </v:shape>
            </w:pict>
          </mc:Fallback>
        </mc:AlternateContent>
      </w:r>
    </w:p>
    <w:p>
      <w:pPr>
        <w:pStyle w:val="ListParagraph"/>
        <w:numPr>
          <w:ilvl w:val="1"/>
          <w:numId w:val="56"/>
        </w:numPr>
        <w:tabs>
          <w:tab w:pos="862" w:val="left" w:leader="none"/>
        </w:tabs>
        <w:spacing w:line="242" w:lineRule="auto" w:before="170" w:after="0"/>
        <w:ind w:left="862" w:right="676" w:hanging="720"/>
        <w:jc w:val="left"/>
        <w:rPr>
          <w:sz w:val="24"/>
        </w:rPr>
      </w:pPr>
      <w:r>
        <w:rPr>
          <w:spacing w:val="-2"/>
          <w:sz w:val="24"/>
        </w:rPr>
        <w:t>The</w:t>
      </w:r>
      <w:r>
        <w:rPr>
          <w:spacing w:val="-12"/>
          <w:sz w:val="24"/>
        </w:rPr>
        <w:t> </w:t>
      </w:r>
      <w:r>
        <w:rPr>
          <w:spacing w:val="-2"/>
          <w:sz w:val="24"/>
        </w:rPr>
        <w:t>RCSPS</w:t>
      </w:r>
      <w:r>
        <w:rPr>
          <w:spacing w:val="-13"/>
          <w:sz w:val="24"/>
        </w:rPr>
        <w:t> </w:t>
      </w:r>
      <w:r>
        <w:rPr>
          <w:spacing w:val="-2"/>
          <w:sz w:val="24"/>
        </w:rPr>
        <w:t>will</w:t>
      </w:r>
      <w:r>
        <w:rPr>
          <w:spacing w:val="-12"/>
          <w:sz w:val="24"/>
        </w:rPr>
        <w:t> </w:t>
      </w:r>
      <w:r>
        <w:rPr>
          <w:spacing w:val="-2"/>
          <w:sz w:val="24"/>
        </w:rPr>
        <w:t>be</w:t>
      </w:r>
      <w:r>
        <w:rPr>
          <w:spacing w:val="-12"/>
          <w:sz w:val="24"/>
        </w:rPr>
        <w:t> </w:t>
      </w:r>
      <w:r>
        <w:rPr>
          <w:spacing w:val="-2"/>
          <w:sz w:val="24"/>
        </w:rPr>
        <w:t>accountable</w:t>
      </w:r>
      <w:r>
        <w:rPr>
          <w:spacing w:val="-12"/>
          <w:sz w:val="24"/>
        </w:rPr>
        <w:t> </w:t>
      </w:r>
      <w:r>
        <w:rPr>
          <w:spacing w:val="-2"/>
          <w:sz w:val="24"/>
        </w:rPr>
        <w:t>to</w:t>
      </w:r>
      <w:r>
        <w:rPr>
          <w:spacing w:val="-12"/>
          <w:sz w:val="24"/>
        </w:rPr>
        <w:t> </w:t>
      </w:r>
      <w:r>
        <w:rPr>
          <w:spacing w:val="-2"/>
          <w:sz w:val="24"/>
        </w:rPr>
        <w:t>the</w:t>
      </w:r>
      <w:r>
        <w:rPr>
          <w:spacing w:val="-10"/>
          <w:sz w:val="24"/>
        </w:rPr>
        <w:t> </w:t>
      </w:r>
      <w:r>
        <w:rPr>
          <w:spacing w:val="-2"/>
          <w:sz w:val="24"/>
        </w:rPr>
        <w:t>RJC</w:t>
      </w:r>
      <w:r>
        <w:rPr>
          <w:spacing w:val="-6"/>
          <w:sz w:val="24"/>
        </w:rPr>
        <w:t> </w:t>
      </w:r>
      <w:r>
        <w:rPr>
          <w:spacing w:val="-2"/>
          <w:sz w:val="24"/>
        </w:rPr>
        <w:t>for</w:t>
      </w:r>
      <w:r>
        <w:rPr>
          <w:spacing w:val="-13"/>
          <w:sz w:val="24"/>
        </w:rPr>
        <w:t> </w:t>
      </w:r>
      <w:r>
        <w:rPr>
          <w:spacing w:val="-2"/>
          <w:sz w:val="24"/>
        </w:rPr>
        <w:t>its</w:t>
      </w:r>
      <w:r>
        <w:rPr>
          <w:spacing w:val="-13"/>
          <w:sz w:val="24"/>
        </w:rPr>
        <w:t> </w:t>
      </w:r>
      <w:r>
        <w:rPr>
          <w:spacing w:val="-2"/>
          <w:sz w:val="24"/>
        </w:rPr>
        <w:t>performance</w:t>
      </w:r>
      <w:r>
        <w:rPr>
          <w:spacing w:val="-15"/>
          <w:sz w:val="24"/>
        </w:rPr>
        <w:t> </w:t>
      </w:r>
      <w:r>
        <w:rPr>
          <w:spacing w:val="-2"/>
          <w:sz w:val="24"/>
        </w:rPr>
        <w:t>in</w:t>
      </w:r>
      <w:r>
        <w:rPr>
          <w:spacing w:val="-11"/>
          <w:sz w:val="24"/>
        </w:rPr>
        <w:t> </w:t>
      </w:r>
      <w:r>
        <w:rPr>
          <w:spacing w:val="-2"/>
          <w:sz w:val="24"/>
        </w:rPr>
        <w:t>exercising</w:t>
      </w:r>
      <w:r>
        <w:rPr>
          <w:spacing w:val="-7"/>
          <w:sz w:val="24"/>
        </w:rPr>
        <w:t> </w:t>
      </w:r>
      <w:r>
        <w:rPr>
          <w:spacing w:val="-2"/>
          <w:sz w:val="24"/>
        </w:rPr>
        <w:t>the</w:t>
      </w:r>
      <w:r>
        <w:rPr>
          <w:spacing w:val="-12"/>
          <w:sz w:val="24"/>
        </w:rPr>
        <w:t> </w:t>
      </w:r>
      <w:r>
        <w:rPr>
          <w:spacing w:val="-2"/>
          <w:sz w:val="24"/>
        </w:rPr>
        <w:t>functions </w:t>
      </w:r>
      <w:r>
        <w:rPr>
          <w:sz w:val="24"/>
        </w:rPr>
        <w:t>set out in these terms of reference.</w:t>
      </w:r>
    </w:p>
    <w:p>
      <w:pPr>
        <w:pStyle w:val="ListParagraph"/>
        <w:numPr>
          <w:ilvl w:val="1"/>
          <w:numId w:val="56"/>
        </w:numPr>
        <w:tabs>
          <w:tab w:pos="862" w:val="left" w:leader="none"/>
        </w:tabs>
        <w:spacing w:line="276" w:lineRule="exact" w:before="158" w:after="0"/>
        <w:ind w:left="862" w:right="0" w:hanging="720"/>
        <w:jc w:val="left"/>
        <w:rPr>
          <w:sz w:val="24"/>
        </w:rPr>
      </w:pPr>
      <w:r>
        <w:rPr>
          <w:spacing w:val="-2"/>
          <w:sz w:val="24"/>
        </w:rPr>
        <w:t>The</w:t>
      </w:r>
      <w:r>
        <w:rPr>
          <w:spacing w:val="-13"/>
          <w:sz w:val="24"/>
        </w:rPr>
        <w:t> </w:t>
      </w:r>
      <w:r>
        <w:rPr>
          <w:spacing w:val="-2"/>
          <w:sz w:val="24"/>
        </w:rPr>
        <w:t>requirements</w:t>
      </w:r>
      <w:r>
        <w:rPr>
          <w:spacing w:val="-10"/>
          <w:sz w:val="24"/>
        </w:rPr>
        <w:t> </w:t>
      </w:r>
      <w:r>
        <w:rPr>
          <w:spacing w:val="-2"/>
          <w:sz w:val="24"/>
        </w:rPr>
        <w:t>for</w:t>
      </w:r>
      <w:r>
        <w:rPr>
          <w:spacing w:val="-11"/>
          <w:sz w:val="24"/>
        </w:rPr>
        <w:t> </w:t>
      </w:r>
      <w:r>
        <w:rPr>
          <w:spacing w:val="-2"/>
          <w:sz w:val="24"/>
        </w:rPr>
        <w:t>the</w:t>
      </w:r>
      <w:r>
        <w:rPr>
          <w:spacing w:val="-10"/>
          <w:sz w:val="24"/>
        </w:rPr>
        <w:t> </w:t>
      </w:r>
      <w:r>
        <w:rPr>
          <w:spacing w:val="-2"/>
          <w:sz w:val="24"/>
        </w:rPr>
        <w:t>conduct</w:t>
      </w:r>
      <w:r>
        <w:rPr>
          <w:spacing w:val="-13"/>
          <w:sz w:val="24"/>
        </w:rPr>
        <w:t> </w:t>
      </w:r>
      <w:r>
        <w:rPr>
          <w:spacing w:val="-2"/>
          <w:sz w:val="24"/>
        </w:rPr>
        <w:t>of</w:t>
      </w:r>
      <w:r>
        <w:rPr>
          <w:spacing w:val="-13"/>
          <w:sz w:val="24"/>
        </w:rPr>
        <w:t> </w:t>
      </w:r>
      <w:r>
        <w:rPr>
          <w:spacing w:val="-2"/>
          <w:sz w:val="24"/>
        </w:rPr>
        <w:t>business</w:t>
      </w:r>
      <w:r>
        <w:rPr>
          <w:spacing w:val="-11"/>
          <w:sz w:val="24"/>
        </w:rPr>
        <w:t> </w:t>
      </w:r>
      <w:r>
        <w:rPr>
          <w:spacing w:val="-2"/>
          <w:sz w:val="24"/>
        </w:rPr>
        <w:t>as</w:t>
      </w:r>
      <w:r>
        <w:rPr>
          <w:spacing w:val="-6"/>
          <w:sz w:val="24"/>
        </w:rPr>
        <w:t> </w:t>
      </w:r>
      <w:r>
        <w:rPr>
          <w:spacing w:val="-2"/>
          <w:sz w:val="24"/>
        </w:rPr>
        <w:t>set</w:t>
      </w:r>
      <w:r>
        <w:rPr>
          <w:spacing w:val="-13"/>
          <w:sz w:val="24"/>
        </w:rPr>
        <w:t> </w:t>
      </w:r>
      <w:r>
        <w:rPr>
          <w:spacing w:val="-2"/>
          <w:sz w:val="24"/>
        </w:rPr>
        <w:t>out</w:t>
      </w:r>
      <w:r>
        <w:rPr>
          <w:spacing w:val="-13"/>
          <w:sz w:val="24"/>
        </w:rPr>
        <w:t> </w:t>
      </w:r>
      <w:r>
        <w:rPr>
          <w:spacing w:val="-2"/>
          <w:sz w:val="24"/>
        </w:rPr>
        <w:t>in</w:t>
      </w:r>
      <w:r>
        <w:rPr>
          <w:spacing w:val="-10"/>
          <w:sz w:val="24"/>
        </w:rPr>
        <w:t> </w:t>
      </w:r>
      <w:r>
        <w:rPr>
          <w:spacing w:val="-2"/>
          <w:sz w:val="24"/>
        </w:rPr>
        <w:t>each</w:t>
      </w:r>
      <w:r>
        <w:rPr>
          <w:spacing w:val="-10"/>
          <w:sz w:val="24"/>
        </w:rPr>
        <w:t> </w:t>
      </w:r>
      <w:r>
        <w:rPr>
          <w:spacing w:val="-2"/>
          <w:sz w:val="24"/>
        </w:rPr>
        <w:t>university</w:t>
      </w:r>
      <w:r>
        <w:rPr>
          <w:spacing w:val="-11"/>
          <w:sz w:val="24"/>
        </w:rPr>
        <w:t> </w:t>
      </w:r>
      <w:r>
        <w:rPr>
          <w:spacing w:val="-2"/>
          <w:sz w:val="24"/>
        </w:rPr>
        <w:t>health</w:t>
      </w:r>
      <w:r>
        <w:rPr>
          <w:spacing w:val="-14"/>
          <w:sz w:val="24"/>
        </w:rPr>
        <w:t> </w:t>
      </w:r>
      <w:r>
        <w:rPr>
          <w:spacing w:val="-2"/>
          <w:sz w:val="24"/>
        </w:rPr>
        <w:t>board’s</w:t>
      </w:r>
    </w:p>
    <w:p>
      <w:pPr>
        <w:pStyle w:val="BodyText"/>
        <w:spacing w:line="276" w:lineRule="exact"/>
        <w:ind w:left="862"/>
      </w:pPr>
      <w:r>
        <w:rPr>
          <w:spacing w:val="-2"/>
        </w:rPr>
        <w:t>standing</w:t>
      </w:r>
      <w:r>
        <w:rPr>
          <w:spacing w:val="-15"/>
        </w:rPr>
        <w:t> </w:t>
      </w:r>
      <w:r>
        <w:rPr>
          <w:spacing w:val="-2"/>
        </w:rPr>
        <w:t>orders</w:t>
      </w:r>
      <w:r>
        <w:rPr>
          <w:spacing w:val="-13"/>
        </w:rPr>
        <w:t> </w:t>
      </w:r>
      <w:r>
        <w:rPr>
          <w:spacing w:val="-2"/>
        </w:rPr>
        <w:t>are</w:t>
      </w:r>
      <w:r>
        <w:rPr>
          <w:spacing w:val="-12"/>
        </w:rPr>
        <w:t> </w:t>
      </w:r>
      <w:r>
        <w:rPr>
          <w:spacing w:val="-2"/>
        </w:rPr>
        <w:t>equally</w:t>
      </w:r>
      <w:r>
        <w:rPr>
          <w:spacing w:val="-13"/>
        </w:rPr>
        <w:t> </w:t>
      </w:r>
      <w:r>
        <w:rPr>
          <w:spacing w:val="-2"/>
        </w:rPr>
        <w:t>applicable</w:t>
      </w:r>
      <w:r>
        <w:rPr>
          <w:spacing w:val="-13"/>
        </w:rPr>
        <w:t> </w:t>
      </w:r>
      <w:r>
        <w:rPr>
          <w:spacing w:val="-2"/>
        </w:rPr>
        <w:t>to</w:t>
      </w:r>
      <w:r>
        <w:rPr>
          <w:spacing w:val="-7"/>
        </w:rPr>
        <w:t> </w:t>
      </w:r>
      <w:r>
        <w:rPr>
          <w:spacing w:val="-2"/>
        </w:rPr>
        <w:t>the</w:t>
      </w:r>
      <w:r>
        <w:rPr>
          <w:spacing w:val="-12"/>
        </w:rPr>
        <w:t> </w:t>
      </w:r>
      <w:r>
        <w:rPr>
          <w:spacing w:val="-2"/>
        </w:rPr>
        <w:t>operation</w:t>
      </w:r>
      <w:r>
        <w:rPr>
          <w:spacing w:val="-13"/>
        </w:rPr>
        <w:t> </w:t>
      </w:r>
      <w:r>
        <w:rPr>
          <w:spacing w:val="-2"/>
        </w:rPr>
        <w:t>of</w:t>
      </w:r>
      <w:r>
        <w:rPr>
          <w:spacing w:val="-14"/>
        </w:rPr>
        <w:t> </w:t>
      </w:r>
      <w:r>
        <w:rPr>
          <w:spacing w:val="-2"/>
        </w:rPr>
        <w:t>the</w:t>
      </w:r>
      <w:r>
        <w:rPr>
          <w:spacing w:val="-12"/>
        </w:rPr>
        <w:t> </w:t>
      </w:r>
      <w:r>
        <w:rPr>
          <w:spacing w:val="-2"/>
        </w:rPr>
        <w:t>Subgroup.</w:t>
      </w:r>
    </w:p>
    <w:p>
      <w:pPr>
        <w:pStyle w:val="BodyText"/>
        <w:rPr>
          <w:sz w:val="20"/>
        </w:rPr>
      </w:pPr>
    </w:p>
    <w:p>
      <w:pPr>
        <w:pStyle w:val="BodyText"/>
        <w:rPr>
          <w:sz w:val="20"/>
        </w:rPr>
      </w:pPr>
    </w:p>
    <w:p>
      <w:pPr>
        <w:pStyle w:val="BodyText"/>
        <w:rPr>
          <w:sz w:val="20"/>
        </w:rPr>
      </w:pPr>
    </w:p>
    <w:p>
      <w:pPr>
        <w:pStyle w:val="BodyText"/>
        <w:spacing w:before="36"/>
        <w:rPr>
          <w:sz w:val="20"/>
        </w:rPr>
      </w:pPr>
    </w:p>
    <w:p>
      <w:pPr>
        <w:spacing w:before="0"/>
        <w:ind w:left="4" w:right="284" w:firstLine="0"/>
        <w:jc w:val="center"/>
        <w:rPr>
          <w:sz w:val="20"/>
        </w:rPr>
      </w:pPr>
      <w:r>
        <w:rPr>
          <w:spacing w:val="-10"/>
          <w:sz w:val="20"/>
        </w:rPr>
        <w:t>5</w:t>
      </w:r>
    </w:p>
    <w:p>
      <w:pPr>
        <w:spacing w:after="0"/>
        <w:jc w:val="center"/>
        <w:rPr>
          <w:sz w:val="20"/>
        </w:rPr>
        <w:sectPr>
          <w:pgSz w:w="11910" w:h="16840"/>
          <w:pgMar w:header="0" w:footer="149" w:top="920" w:bottom="340" w:left="708" w:right="425"/>
        </w:sectPr>
      </w:pPr>
    </w:p>
    <w:p>
      <w:pPr>
        <w:spacing w:line="240" w:lineRule="auto"/>
        <w:ind w:left="187" w:right="0" w:firstLine="0"/>
        <w:rPr>
          <w:sz w:val="20"/>
        </w:rPr>
      </w:pPr>
      <w:r>
        <w:rPr>
          <w:sz w:val="20"/>
        </w:rPr>
        <mc:AlternateContent>
          <mc:Choice Requires="wps">
            <w:drawing>
              <wp:inline distT="0" distB="0" distL="0" distR="0">
                <wp:extent cx="6575425" cy="193675"/>
                <wp:effectExtent l="9525" t="0" r="6350" b="6350"/>
                <wp:docPr id="472" name="Textbox 472"/>
                <wp:cNvGraphicFramePr>
                  <a:graphicFrameLocks/>
                </wp:cNvGraphicFramePr>
                <a:graphic>
                  <a:graphicData uri="http://schemas.microsoft.com/office/word/2010/wordprocessingShape">
                    <wps:wsp>
                      <wps:cNvPr id="472" name="Textbox 472"/>
                      <wps:cNvSpPr txBox="1"/>
                      <wps:spPr>
                        <a:xfrm>
                          <a:off x="0" y="0"/>
                          <a:ext cx="6575425"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5"/>
                                <w:sz w:val="24"/>
                              </w:rPr>
                              <w:t>11</w:t>
                            </w:r>
                            <w:r>
                              <w:rPr>
                                <w:b/>
                                <w:color w:val="000000"/>
                                <w:sz w:val="24"/>
                              </w:rPr>
                              <w:tab/>
                            </w:r>
                            <w:r>
                              <w:rPr>
                                <w:b/>
                                <w:color w:val="000000"/>
                                <w:spacing w:val="-2"/>
                                <w:sz w:val="24"/>
                              </w:rPr>
                              <w:t>Reporting</w:t>
                            </w:r>
                          </w:p>
                        </w:txbxContent>
                      </wps:txbx>
                      <wps:bodyPr wrap="square" lIns="0" tIns="0" rIns="0" bIns="0" rtlCol="0">
                        <a:noAutofit/>
                      </wps:bodyPr>
                    </wps:wsp>
                  </a:graphicData>
                </a:graphic>
              </wp:inline>
            </w:drawing>
          </mc:Choice>
          <mc:Fallback>
            <w:pict>
              <v:shape style="width:517.75pt;height:15.25pt;mso-position-horizontal-relative:char;mso-position-vertical-relative:line" type="#_x0000_t202" id="docshape254" filled="true" fillcolor="#c1a875" stroked="true" strokeweight="1pt" strokecolor="#394871">
                <w10:anchorlock/>
                <v:textbox inset="0,0,0,0">
                  <w:txbxContent>
                    <w:p>
                      <w:pPr>
                        <w:tabs>
                          <w:tab w:pos="815" w:val="left" w:leader="none"/>
                        </w:tabs>
                        <w:spacing w:before="0"/>
                        <w:ind w:left="95" w:right="0" w:firstLine="0"/>
                        <w:jc w:val="left"/>
                        <w:rPr>
                          <w:b/>
                          <w:color w:val="000000"/>
                          <w:sz w:val="24"/>
                        </w:rPr>
                      </w:pPr>
                      <w:r>
                        <w:rPr>
                          <w:b/>
                          <w:color w:val="000000"/>
                          <w:spacing w:val="-5"/>
                          <w:sz w:val="24"/>
                        </w:rPr>
                        <w:t>11</w:t>
                      </w:r>
                      <w:r>
                        <w:rPr>
                          <w:b/>
                          <w:color w:val="000000"/>
                          <w:sz w:val="24"/>
                        </w:rPr>
                        <w:tab/>
                      </w:r>
                      <w:r>
                        <w:rPr>
                          <w:b/>
                          <w:color w:val="000000"/>
                          <w:spacing w:val="-2"/>
                          <w:sz w:val="24"/>
                        </w:rPr>
                        <w:t>Reporting</w:t>
                      </w:r>
                    </w:p>
                  </w:txbxContent>
                </v:textbox>
                <v:fill type="solid"/>
                <v:stroke dashstyle="solid"/>
              </v:shape>
            </w:pict>
          </mc:Fallback>
        </mc:AlternateContent>
      </w:r>
      <w:r>
        <w:rPr>
          <w:sz w:val="20"/>
        </w:rPr>
      </w:r>
    </w:p>
    <w:p>
      <w:pPr>
        <w:pStyle w:val="ListParagraph"/>
        <w:numPr>
          <w:ilvl w:val="1"/>
          <w:numId w:val="57"/>
        </w:numPr>
        <w:tabs>
          <w:tab w:pos="862" w:val="left" w:leader="none"/>
        </w:tabs>
        <w:spacing w:line="240" w:lineRule="auto" w:before="130" w:after="0"/>
        <w:ind w:left="862" w:right="0" w:hanging="720"/>
        <w:jc w:val="left"/>
        <w:rPr>
          <w:sz w:val="24"/>
        </w:rPr>
      </w:pPr>
      <w:r>
        <w:rPr>
          <w:spacing w:val="-2"/>
          <w:sz w:val="24"/>
        </w:rPr>
        <w:t>The</w:t>
      </w:r>
      <w:r>
        <w:rPr>
          <w:spacing w:val="-17"/>
          <w:sz w:val="24"/>
        </w:rPr>
        <w:t> </w:t>
      </w:r>
      <w:r>
        <w:rPr>
          <w:spacing w:val="-2"/>
          <w:sz w:val="24"/>
        </w:rPr>
        <w:t>Regional</w:t>
      </w:r>
      <w:r>
        <w:rPr>
          <w:spacing w:val="-11"/>
          <w:sz w:val="24"/>
        </w:rPr>
        <w:t> </w:t>
      </w:r>
      <w:r>
        <w:rPr>
          <w:spacing w:val="-2"/>
          <w:sz w:val="24"/>
        </w:rPr>
        <w:t>Clinical</w:t>
      </w:r>
      <w:r>
        <w:rPr>
          <w:spacing w:val="-11"/>
          <w:sz w:val="24"/>
        </w:rPr>
        <w:t> </w:t>
      </w:r>
      <w:r>
        <w:rPr>
          <w:spacing w:val="-2"/>
          <w:sz w:val="24"/>
        </w:rPr>
        <w:t>Services</w:t>
      </w:r>
      <w:r>
        <w:rPr>
          <w:spacing w:val="-13"/>
          <w:sz w:val="24"/>
        </w:rPr>
        <w:t> </w:t>
      </w:r>
      <w:r>
        <w:rPr>
          <w:spacing w:val="-2"/>
          <w:sz w:val="24"/>
        </w:rPr>
        <w:t>Planning</w:t>
      </w:r>
      <w:r>
        <w:rPr>
          <w:spacing w:val="-11"/>
          <w:sz w:val="24"/>
        </w:rPr>
        <w:t> </w:t>
      </w:r>
      <w:r>
        <w:rPr>
          <w:spacing w:val="-2"/>
          <w:sz w:val="24"/>
        </w:rPr>
        <w:t>Subgroup,</w:t>
      </w:r>
      <w:r>
        <w:rPr>
          <w:spacing w:val="-14"/>
          <w:sz w:val="24"/>
        </w:rPr>
        <w:t> </w:t>
      </w:r>
      <w:r>
        <w:rPr>
          <w:spacing w:val="-2"/>
          <w:sz w:val="24"/>
        </w:rPr>
        <w:t>supported</w:t>
      </w:r>
      <w:r>
        <w:rPr>
          <w:spacing w:val="-15"/>
          <w:sz w:val="24"/>
        </w:rPr>
        <w:t> </w:t>
      </w:r>
      <w:r>
        <w:rPr>
          <w:spacing w:val="-2"/>
          <w:sz w:val="24"/>
        </w:rPr>
        <w:t>by</w:t>
      </w:r>
      <w:r>
        <w:rPr>
          <w:spacing w:val="-12"/>
          <w:sz w:val="24"/>
        </w:rPr>
        <w:t> </w:t>
      </w:r>
      <w:r>
        <w:rPr>
          <w:spacing w:val="-2"/>
          <w:sz w:val="24"/>
        </w:rPr>
        <w:t>the</w:t>
      </w:r>
      <w:r>
        <w:rPr>
          <w:spacing w:val="-15"/>
          <w:sz w:val="24"/>
        </w:rPr>
        <w:t> </w:t>
      </w:r>
      <w:r>
        <w:rPr>
          <w:spacing w:val="-2"/>
          <w:sz w:val="24"/>
        </w:rPr>
        <w:t>RJC</w:t>
      </w:r>
      <w:r>
        <w:rPr>
          <w:spacing w:val="-11"/>
          <w:sz w:val="24"/>
        </w:rPr>
        <w:t> </w:t>
      </w:r>
      <w:r>
        <w:rPr>
          <w:spacing w:val="-2"/>
          <w:sz w:val="24"/>
        </w:rPr>
        <w:t>PMO,</w:t>
      </w:r>
      <w:r>
        <w:rPr>
          <w:spacing w:val="-14"/>
          <w:sz w:val="24"/>
        </w:rPr>
        <w:t> </w:t>
      </w:r>
      <w:r>
        <w:rPr>
          <w:spacing w:val="-2"/>
          <w:sz w:val="24"/>
        </w:rPr>
        <w:t>shall:</w:t>
      </w:r>
    </w:p>
    <w:p>
      <w:pPr>
        <w:pStyle w:val="ListParagraph"/>
        <w:numPr>
          <w:ilvl w:val="2"/>
          <w:numId w:val="57"/>
        </w:numPr>
        <w:tabs>
          <w:tab w:pos="862" w:val="left" w:leader="none"/>
        </w:tabs>
        <w:spacing w:line="240" w:lineRule="auto" w:before="159" w:after="0"/>
        <w:ind w:left="862" w:right="0" w:hanging="360"/>
        <w:jc w:val="left"/>
        <w:rPr>
          <w:sz w:val="24"/>
        </w:rPr>
      </w:pPr>
      <w:r>
        <w:rPr>
          <w:sz w:val="24"/>
        </w:rPr>
        <w:t>Report</w:t>
      </w:r>
      <w:r>
        <w:rPr>
          <w:spacing w:val="-17"/>
          <w:sz w:val="24"/>
        </w:rPr>
        <w:t> </w:t>
      </w:r>
      <w:r>
        <w:rPr>
          <w:sz w:val="24"/>
        </w:rPr>
        <w:t>formally,</w:t>
      </w:r>
      <w:r>
        <w:rPr>
          <w:spacing w:val="-17"/>
          <w:sz w:val="24"/>
        </w:rPr>
        <w:t> </w:t>
      </w:r>
      <w:r>
        <w:rPr>
          <w:sz w:val="24"/>
        </w:rPr>
        <w:t>regularly</w:t>
      </w:r>
      <w:r>
        <w:rPr>
          <w:spacing w:val="-16"/>
          <w:sz w:val="24"/>
        </w:rPr>
        <w:t> </w:t>
      </w:r>
      <w:r>
        <w:rPr>
          <w:sz w:val="24"/>
        </w:rPr>
        <w:t>and</w:t>
      </w:r>
      <w:r>
        <w:rPr>
          <w:spacing w:val="-17"/>
          <w:sz w:val="24"/>
        </w:rPr>
        <w:t> </w:t>
      </w:r>
      <w:r>
        <w:rPr>
          <w:sz w:val="24"/>
        </w:rPr>
        <w:t>on</w:t>
      </w:r>
      <w:r>
        <w:rPr>
          <w:spacing w:val="-17"/>
          <w:sz w:val="24"/>
        </w:rPr>
        <w:t> </w:t>
      </w:r>
      <w:r>
        <w:rPr>
          <w:sz w:val="24"/>
        </w:rPr>
        <w:t>a</w:t>
      </w:r>
      <w:r>
        <w:rPr>
          <w:spacing w:val="-17"/>
          <w:sz w:val="24"/>
        </w:rPr>
        <w:t> </w:t>
      </w:r>
      <w:r>
        <w:rPr>
          <w:sz w:val="24"/>
        </w:rPr>
        <w:t>timely</w:t>
      </w:r>
      <w:r>
        <w:rPr>
          <w:spacing w:val="-16"/>
          <w:sz w:val="24"/>
        </w:rPr>
        <w:t> </w:t>
      </w:r>
      <w:r>
        <w:rPr>
          <w:sz w:val="24"/>
        </w:rPr>
        <w:t>basis</w:t>
      </w:r>
      <w:r>
        <w:rPr>
          <w:spacing w:val="-17"/>
          <w:sz w:val="24"/>
        </w:rPr>
        <w:t> </w:t>
      </w:r>
      <w:r>
        <w:rPr>
          <w:sz w:val="24"/>
        </w:rPr>
        <w:t>to</w:t>
      </w:r>
      <w:r>
        <w:rPr>
          <w:spacing w:val="-17"/>
          <w:sz w:val="24"/>
        </w:rPr>
        <w:t> </w:t>
      </w:r>
      <w:r>
        <w:rPr>
          <w:sz w:val="24"/>
        </w:rPr>
        <w:t>the</w:t>
      </w:r>
      <w:r>
        <w:rPr>
          <w:spacing w:val="-16"/>
          <w:sz w:val="24"/>
        </w:rPr>
        <w:t> </w:t>
      </w:r>
      <w:r>
        <w:rPr>
          <w:sz w:val="24"/>
        </w:rPr>
        <w:t>RJC</w:t>
      </w:r>
      <w:r>
        <w:rPr>
          <w:spacing w:val="-17"/>
          <w:sz w:val="24"/>
        </w:rPr>
        <w:t> </w:t>
      </w:r>
      <w:r>
        <w:rPr>
          <w:sz w:val="24"/>
        </w:rPr>
        <w:t>on</w:t>
      </w:r>
      <w:r>
        <w:rPr>
          <w:spacing w:val="-15"/>
          <w:sz w:val="24"/>
        </w:rPr>
        <w:t> </w:t>
      </w:r>
      <w:r>
        <w:rPr>
          <w:sz w:val="24"/>
        </w:rPr>
        <w:t>the</w:t>
      </w:r>
      <w:r>
        <w:rPr>
          <w:spacing w:val="-11"/>
          <w:sz w:val="24"/>
        </w:rPr>
        <w:t> </w:t>
      </w:r>
      <w:r>
        <w:rPr>
          <w:sz w:val="24"/>
        </w:rPr>
        <w:t>RCSPS’s</w:t>
      </w:r>
      <w:r>
        <w:rPr>
          <w:spacing w:val="-17"/>
          <w:sz w:val="24"/>
        </w:rPr>
        <w:t> </w:t>
      </w:r>
      <w:r>
        <w:rPr>
          <w:sz w:val="24"/>
        </w:rPr>
        <w:t>activities,</w:t>
      </w:r>
      <w:r>
        <w:rPr>
          <w:spacing w:val="-17"/>
          <w:sz w:val="24"/>
        </w:rPr>
        <w:t> </w:t>
      </w:r>
      <w:r>
        <w:rPr>
          <w:sz w:val="24"/>
        </w:rPr>
        <w:t>in</w:t>
      </w:r>
      <w:r>
        <w:rPr>
          <w:spacing w:val="-14"/>
          <w:sz w:val="24"/>
        </w:rPr>
        <w:t> </w:t>
      </w:r>
      <w:r>
        <w:rPr>
          <w:spacing w:val="-5"/>
          <w:sz w:val="24"/>
        </w:rPr>
        <w:t>the</w:t>
      </w:r>
    </w:p>
    <w:p>
      <w:pPr>
        <w:pStyle w:val="BodyText"/>
        <w:spacing w:before="4"/>
        <w:ind w:left="862"/>
      </w:pPr>
      <w:r>
        <w:rPr>
          <w:spacing w:val="-2"/>
        </w:rPr>
        <w:t>format</w:t>
      </w:r>
      <w:r>
        <w:rPr>
          <w:spacing w:val="-14"/>
        </w:rPr>
        <w:t> </w:t>
      </w:r>
      <w:r>
        <w:rPr>
          <w:spacing w:val="-2"/>
        </w:rPr>
        <w:t>prescribed</w:t>
      </w:r>
      <w:r>
        <w:rPr>
          <w:spacing w:val="-11"/>
        </w:rPr>
        <w:t> </w:t>
      </w:r>
      <w:r>
        <w:rPr>
          <w:spacing w:val="-2"/>
        </w:rPr>
        <w:t>by</w:t>
      </w:r>
      <w:r>
        <w:rPr>
          <w:spacing w:val="-12"/>
        </w:rPr>
        <w:t> </w:t>
      </w:r>
      <w:r>
        <w:rPr>
          <w:spacing w:val="-2"/>
        </w:rPr>
        <w:t>the</w:t>
      </w:r>
      <w:r>
        <w:rPr>
          <w:spacing w:val="-11"/>
        </w:rPr>
        <w:t> </w:t>
      </w:r>
      <w:r>
        <w:rPr>
          <w:spacing w:val="-2"/>
        </w:rPr>
        <w:t>RJC</w:t>
      </w:r>
      <w:r>
        <w:rPr>
          <w:spacing w:val="-6"/>
        </w:rPr>
        <w:t> </w:t>
      </w:r>
      <w:r>
        <w:rPr>
          <w:spacing w:val="-4"/>
        </w:rPr>
        <w:t>PMO.</w:t>
      </w:r>
    </w:p>
    <w:p>
      <w:pPr>
        <w:pStyle w:val="ListParagraph"/>
        <w:numPr>
          <w:ilvl w:val="2"/>
          <w:numId w:val="57"/>
        </w:numPr>
        <w:tabs>
          <w:tab w:pos="862" w:val="left" w:leader="none"/>
        </w:tabs>
        <w:spacing w:line="275" w:lineRule="exact" w:before="120" w:after="0"/>
        <w:ind w:left="862" w:right="0" w:hanging="360"/>
        <w:jc w:val="left"/>
        <w:rPr>
          <w:sz w:val="24"/>
        </w:rPr>
      </w:pPr>
      <w:r>
        <w:rPr>
          <w:sz w:val="24"/>
        </w:rPr>
        <w:t>Bring</w:t>
      </w:r>
      <w:r>
        <w:rPr>
          <w:spacing w:val="28"/>
          <w:sz w:val="24"/>
        </w:rPr>
        <w:t> </w:t>
      </w:r>
      <w:r>
        <w:rPr>
          <w:sz w:val="24"/>
        </w:rPr>
        <w:t>to</w:t>
      </w:r>
      <w:r>
        <w:rPr>
          <w:spacing w:val="24"/>
          <w:sz w:val="24"/>
        </w:rPr>
        <w:t> </w:t>
      </w:r>
      <w:r>
        <w:rPr>
          <w:sz w:val="24"/>
        </w:rPr>
        <w:t>the</w:t>
      </w:r>
      <w:r>
        <w:rPr>
          <w:spacing w:val="27"/>
          <w:sz w:val="24"/>
        </w:rPr>
        <w:t> </w:t>
      </w:r>
      <w:r>
        <w:rPr>
          <w:sz w:val="24"/>
        </w:rPr>
        <w:t>RJC’s</w:t>
      </w:r>
      <w:r>
        <w:rPr>
          <w:spacing w:val="23"/>
          <w:sz w:val="24"/>
        </w:rPr>
        <w:t> </w:t>
      </w:r>
      <w:r>
        <w:rPr>
          <w:sz w:val="24"/>
        </w:rPr>
        <w:t>specific</w:t>
      </w:r>
      <w:r>
        <w:rPr>
          <w:spacing w:val="23"/>
          <w:sz w:val="24"/>
        </w:rPr>
        <w:t> </w:t>
      </w:r>
      <w:r>
        <w:rPr>
          <w:sz w:val="24"/>
        </w:rPr>
        <w:t>attention</w:t>
      </w:r>
      <w:r>
        <w:rPr>
          <w:spacing w:val="29"/>
          <w:sz w:val="24"/>
        </w:rPr>
        <w:t> </w:t>
      </w:r>
      <w:r>
        <w:rPr>
          <w:sz w:val="24"/>
        </w:rPr>
        <w:t>any</w:t>
      </w:r>
      <w:r>
        <w:rPr>
          <w:spacing w:val="23"/>
          <w:sz w:val="24"/>
        </w:rPr>
        <w:t> </w:t>
      </w:r>
      <w:r>
        <w:rPr>
          <w:sz w:val="24"/>
        </w:rPr>
        <w:t>significant</w:t>
      </w:r>
      <w:r>
        <w:rPr>
          <w:spacing w:val="26"/>
          <w:sz w:val="24"/>
        </w:rPr>
        <w:t> </w:t>
      </w:r>
      <w:r>
        <w:rPr>
          <w:sz w:val="24"/>
        </w:rPr>
        <w:t>matters</w:t>
      </w:r>
      <w:r>
        <w:rPr>
          <w:spacing w:val="23"/>
          <w:sz w:val="24"/>
        </w:rPr>
        <w:t> </w:t>
      </w:r>
      <w:r>
        <w:rPr>
          <w:sz w:val="24"/>
        </w:rPr>
        <w:t>under</w:t>
      </w:r>
      <w:r>
        <w:rPr>
          <w:spacing w:val="24"/>
          <w:sz w:val="24"/>
        </w:rPr>
        <w:t> </w:t>
      </w:r>
      <w:r>
        <w:rPr>
          <w:sz w:val="24"/>
        </w:rPr>
        <w:t>consideration</w:t>
      </w:r>
      <w:r>
        <w:rPr>
          <w:spacing w:val="24"/>
          <w:sz w:val="24"/>
        </w:rPr>
        <w:t> </w:t>
      </w:r>
      <w:r>
        <w:rPr>
          <w:sz w:val="24"/>
        </w:rPr>
        <w:t>by</w:t>
      </w:r>
      <w:r>
        <w:rPr>
          <w:spacing w:val="28"/>
          <w:sz w:val="24"/>
        </w:rPr>
        <w:t> </w:t>
      </w:r>
      <w:r>
        <w:rPr>
          <w:spacing w:val="-5"/>
          <w:sz w:val="24"/>
        </w:rPr>
        <w:t>the</w:t>
      </w:r>
    </w:p>
    <w:p>
      <w:pPr>
        <w:pStyle w:val="BodyText"/>
        <w:spacing w:line="275" w:lineRule="exact"/>
        <w:ind w:left="862"/>
      </w:pPr>
      <w:r>
        <w:rPr>
          <w:spacing w:val="-2"/>
        </w:rPr>
        <w:t>RCSPS.</w:t>
      </w:r>
    </w:p>
    <w:p>
      <w:pPr>
        <w:pStyle w:val="ListParagraph"/>
        <w:numPr>
          <w:ilvl w:val="2"/>
          <w:numId w:val="57"/>
        </w:numPr>
        <w:tabs>
          <w:tab w:pos="862" w:val="left" w:leader="none"/>
        </w:tabs>
        <w:spacing w:line="240" w:lineRule="auto" w:before="119" w:after="0"/>
        <w:ind w:left="862" w:right="420" w:hanging="360"/>
        <w:jc w:val="both"/>
        <w:rPr>
          <w:sz w:val="24"/>
        </w:rPr>
      </w:pPr>
      <w:r>
        <w:rPr>
          <w:sz w:val="24"/>
        </w:rPr>
        <w:t>The</w:t>
      </w:r>
      <w:r>
        <w:rPr>
          <w:spacing w:val="-12"/>
          <w:sz w:val="24"/>
        </w:rPr>
        <w:t> </w:t>
      </w:r>
      <w:r>
        <w:rPr>
          <w:sz w:val="24"/>
        </w:rPr>
        <w:t>Regional</w:t>
      </w:r>
      <w:r>
        <w:rPr>
          <w:spacing w:val="-12"/>
          <w:sz w:val="24"/>
        </w:rPr>
        <w:t> </w:t>
      </w:r>
      <w:r>
        <w:rPr>
          <w:sz w:val="24"/>
        </w:rPr>
        <w:t>Clinical</w:t>
      </w:r>
      <w:r>
        <w:rPr>
          <w:spacing w:val="-9"/>
          <w:sz w:val="24"/>
        </w:rPr>
        <w:t> </w:t>
      </w:r>
      <w:r>
        <w:rPr>
          <w:sz w:val="24"/>
        </w:rPr>
        <w:t>Services</w:t>
      </w:r>
      <w:r>
        <w:rPr>
          <w:spacing w:val="-14"/>
          <w:sz w:val="24"/>
        </w:rPr>
        <w:t> </w:t>
      </w:r>
      <w:r>
        <w:rPr>
          <w:sz w:val="24"/>
        </w:rPr>
        <w:t>Planning</w:t>
      </w:r>
      <w:r>
        <w:rPr>
          <w:spacing w:val="-9"/>
          <w:sz w:val="24"/>
        </w:rPr>
        <w:t> </w:t>
      </w:r>
      <w:r>
        <w:rPr>
          <w:sz w:val="24"/>
        </w:rPr>
        <w:t>Subgroup</w:t>
      </w:r>
      <w:r>
        <w:rPr>
          <w:spacing w:val="-12"/>
          <w:sz w:val="24"/>
        </w:rPr>
        <w:t> </w:t>
      </w:r>
      <w:r>
        <w:rPr>
          <w:sz w:val="24"/>
        </w:rPr>
        <w:t>may</w:t>
      </w:r>
      <w:r>
        <w:rPr>
          <w:spacing w:val="-9"/>
          <w:sz w:val="24"/>
        </w:rPr>
        <w:t> </w:t>
      </w:r>
      <w:r>
        <w:rPr>
          <w:sz w:val="24"/>
        </w:rPr>
        <w:t>establish</w:t>
      </w:r>
      <w:r>
        <w:rPr>
          <w:spacing w:val="-12"/>
          <w:sz w:val="24"/>
        </w:rPr>
        <w:t> </w:t>
      </w:r>
      <w:r>
        <w:rPr>
          <w:sz w:val="24"/>
        </w:rPr>
        <w:t>programmes,</w:t>
      </w:r>
      <w:r>
        <w:rPr>
          <w:spacing w:val="-11"/>
          <w:sz w:val="24"/>
        </w:rPr>
        <w:t> </w:t>
      </w:r>
      <w:r>
        <w:rPr>
          <w:sz w:val="24"/>
        </w:rPr>
        <w:t>projects</w:t>
      </w:r>
      <w:r>
        <w:rPr>
          <w:spacing w:val="-14"/>
          <w:sz w:val="24"/>
        </w:rPr>
        <w:t> </w:t>
      </w:r>
      <w:r>
        <w:rPr>
          <w:sz w:val="24"/>
        </w:rPr>
        <w:t>or task and finish groups to deliver agreed clinical service change. The RCSPS will receive updates</w:t>
      </w:r>
      <w:r>
        <w:rPr>
          <w:spacing w:val="-11"/>
          <w:sz w:val="24"/>
        </w:rPr>
        <w:t> </w:t>
      </w:r>
      <w:r>
        <w:rPr>
          <w:sz w:val="24"/>
        </w:rPr>
        <w:t>from</w:t>
      </w:r>
      <w:r>
        <w:rPr>
          <w:spacing w:val="-14"/>
          <w:sz w:val="24"/>
        </w:rPr>
        <w:t> </w:t>
      </w:r>
      <w:r>
        <w:rPr>
          <w:sz w:val="24"/>
        </w:rPr>
        <w:t>programmes,</w:t>
      </w:r>
      <w:r>
        <w:rPr>
          <w:spacing w:val="-12"/>
          <w:sz w:val="24"/>
        </w:rPr>
        <w:t> </w:t>
      </w:r>
      <w:r>
        <w:rPr>
          <w:sz w:val="24"/>
        </w:rPr>
        <w:t>projects</w:t>
      </w:r>
      <w:r>
        <w:rPr>
          <w:spacing w:val="-14"/>
          <w:sz w:val="24"/>
        </w:rPr>
        <w:t> </w:t>
      </w:r>
      <w:r>
        <w:rPr>
          <w:sz w:val="24"/>
        </w:rPr>
        <w:t>or</w:t>
      </w:r>
      <w:r>
        <w:rPr>
          <w:spacing w:val="-11"/>
          <w:sz w:val="24"/>
        </w:rPr>
        <w:t> </w:t>
      </w:r>
      <w:r>
        <w:rPr>
          <w:sz w:val="24"/>
        </w:rPr>
        <w:t>task</w:t>
      </w:r>
      <w:r>
        <w:rPr>
          <w:spacing w:val="-14"/>
          <w:sz w:val="24"/>
        </w:rPr>
        <w:t> </w:t>
      </w:r>
      <w:r>
        <w:rPr>
          <w:sz w:val="24"/>
        </w:rPr>
        <w:t>and</w:t>
      </w:r>
      <w:r>
        <w:rPr>
          <w:spacing w:val="-10"/>
          <w:sz w:val="24"/>
        </w:rPr>
        <w:t> </w:t>
      </w:r>
      <w:r>
        <w:rPr>
          <w:sz w:val="24"/>
        </w:rPr>
        <w:t>finish</w:t>
      </w:r>
      <w:r>
        <w:rPr>
          <w:spacing w:val="-10"/>
          <w:sz w:val="24"/>
        </w:rPr>
        <w:t> </w:t>
      </w:r>
      <w:r>
        <w:rPr>
          <w:sz w:val="24"/>
        </w:rPr>
        <w:t>groups</w:t>
      </w:r>
      <w:r>
        <w:rPr>
          <w:spacing w:val="-11"/>
          <w:sz w:val="24"/>
        </w:rPr>
        <w:t> </w:t>
      </w:r>
      <w:r>
        <w:rPr>
          <w:sz w:val="24"/>
        </w:rPr>
        <w:t>through</w:t>
      </w:r>
      <w:r>
        <w:rPr>
          <w:spacing w:val="-10"/>
          <w:sz w:val="24"/>
        </w:rPr>
        <w:t> </w:t>
      </w:r>
      <w:r>
        <w:rPr>
          <w:sz w:val="24"/>
        </w:rPr>
        <w:t>highlight</w:t>
      </w:r>
      <w:r>
        <w:rPr>
          <w:spacing w:val="-12"/>
          <w:sz w:val="24"/>
        </w:rPr>
        <w:t> </w:t>
      </w:r>
      <w:r>
        <w:rPr>
          <w:sz w:val="24"/>
        </w:rPr>
        <w:t>reports</w:t>
      </w:r>
      <w:r>
        <w:rPr>
          <w:spacing w:val="-14"/>
          <w:sz w:val="24"/>
        </w:rPr>
        <w:t> </w:t>
      </w:r>
      <w:r>
        <w:rPr>
          <w:sz w:val="24"/>
        </w:rPr>
        <w:t>and exception reporting.</w:t>
      </w:r>
    </w:p>
    <w:p>
      <w:pPr>
        <w:pStyle w:val="BodyText"/>
        <w:spacing w:before="3"/>
        <w:rPr>
          <w:sz w:val="13"/>
        </w:rPr>
      </w:pPr>
      <w:r>
        <w:rPr>
          <w:sz w:val="13"/>
        </w:rPr>
        <mc:AlternateContent>
          <mc:Choice Requires="wps">
            <w:drawing>
              <wp:anchor distT="0" distB="0" distL="0" distR="0" allowOverlap="1" layoutInCell="1" locked="0" behindDoc="1" simplePos="0" relativeHeight="487667712">
                <wp:simplePos x="0" y="0"/>
                <wp:positionH relativeFrom="page">
                  <wp:posOffset>574992</wp:posOffset>
                </wp:positionH>
                <wp:positionV relativeFrom="paragraph">
                  <wp:posOffset>118610</wp:posOffset>
                </wp:positionV>
                <wp:extent cx="6553200" cy="193675"/>
                <wp:effectExtent l="0" t="0" r="0" b="0"/>
                <wp:wrapTopAndBottom/>
                <wp:docPr id="473" name="Textbox 473"/>
                <wp:cNvGraphicFramePr>
                  <a:graphicFrameLocks/>
                </wp:cNvGraphicFramePr>
                <a:graphic>
                  <a:graphicData uri="http://schemas.microsoft.com/office/word/2010/wordprocessingShape">
                    <wps:wsp>
                      <wps:cNvPr id="473" name="Textbox 473"/>
                      <wps:cNvSpPr txBox="1"/>
                      <wps:spPr>
                        <a:xfrm>
                          <a:off x="0" y="0"/>
                          <a:ext cx="65532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5"/>
                                <w:sz w:val="24"/>
                              </w:rPr>
                              <w:t>12</w:t>
                            </w:r>
                            <w:r>
                              <w:rPr>
                                <w:b/>
                                <w:color w:val="000000"/>
                                <w:sz w:val="24"/>
                              </w:rPr>
                              <w:tab/>
                              <w:t>Secretarial</w:t>
                            </w:r>
                            <w:r>
                              <w:rPr>
                                <w:b/>
                                <w:color w:val="000000"/>
                                <w:spacing w:val="-4"/>
                                <w:sz w:val="24"/>
                              </w:rPr>
                              <w:t> </w:t>
                            </w:r>
                            <w:r>
                              <w:rPr>
                                <w:b/>
                                <w:color w:val="000000"/>
                                <w:spacing w:val="-2"/>
                                <w:sz w:val="24"/>
                              </w:rPr>
                              <w:t>Support</w:t>
                            </w:r>
                          </w:p>
                        </w:txbxContent>
                      </wps:txbx>
                      <wps:bodyPr wrap="square" lIns="0" tIns="0" rIns="0" bIns="0" rtlCol="0">
                        <a:noAutofit/>
                      </wps:bodyPr>
                    </wps:wsp>
                  </a:graphicData>
                </a:graphic>
              </wp:anchor>
            </w:drawing>
          </mc:Choice>
          <mc:Fallback>
            <w:pict>
              <v:shape style="position:absolute;margin-left:45.275002pt;margin-top:9.339375pt;width:516pt;height:15.25pt;mso-position-horizontal-relative:page;mso-position-vertical-relative:paragraph;z-index:-15648768;mso-wrap-distance-left:0;mso-wrap-distance-right:0" type="#_x0000_t202" id="docshape255"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5"/>
                          <w:sz w:val="24"/>
                        </w:rPr>
                        <w:t>12</w:t>
                      </w:r>
                      <w:r>
                        <w:rPr>
                          <w:b/>
                          <w:color w:val="000000"/>
                          <w:sz w:val="24"/>
                        </w:rPr>
                        <w:tab/>
                        <w:t>Secretarial</w:t>
                      </w:r>
                      <w:r>
                        <w:rPr>
                          <w:b/>
                          <w:color w:val="000000"/>
                          <w:spacing w:val="-4"/>
                          <w:sz w:val="24"/>
                        </w:rPr>
                        <w:t> </w:t>
                      </w:r>
                      <w:r>
                        <w:rPr>
                          <w:b/>
                          <w:color w:val="000000"/>
                          <w:spacing w:val="-2"/>
                          <w:sz w:val="24"/>
                        </w:rPr>
                        <w:t>Support</w:t>
                      </w:r>
                    </w:p>
                  </w:txbxContent>
                </v:textbox>
                <v:fill type="solid"/>
                <v:stroke dashstyle="solid"/>
                <w10:wrap type="topAndBottom"/>
              </v:shape>
            </w:pict>
          </mc:Fallback>
        </mc:AlternateContent>
      </w:r>
    </w:p>
    <w:p>
      <w:pPr>
        <w:pStyle w:val="BodyText"/>
        <w:tabs>
          <w:tab w:pos="862" w:val="left" w:leader="none"/>
        </w:tabs>
        <w:spacing w:before="170"/>
        <w:ind w:left="142"/>
      </w:pPr>
      <w:r>
        <w:rPr>
          <w:spacing w:val="-4"/>
        </w:rPr>
        <w:t>12.1</w:t>
      </w:r>
      <w:r>
        <w:rPr/>
        <w:tab/>
      </w:r>
      <w:r>
        <w:rPr>
          <w:spacing w:val="-2"/>
        </w:rPr>
        <w:t>The</w:t>
      </w:r>
      <w:r>
        <w:rPr>
          <w:spacing w:val="-10"/>
        </w:rPr>
        <w:t> </w:t>
      </w:r>
      <w:r>
        <w:rPr>
          <w:spacing w:val="-2"/>
        </w:rPr>
        <w:t>RCSPS</w:t>
      </w:r>
      <w:r>
        <w:rPr>
          <w:spacing w:val="-10"/>
        </w:rPr>
        <w:t> </w:t>
      </w:r>
      <w:r>
        <w:rPr>
          <w:spacing w:val="-2"/>
        </w:rPr>
        <w:t>Secretariat</w:t>
      </w:r>
      <w:r>
        <w:rPr>
          <w:spacing w:val="-13"/>
        </w:rPr>
        <w:t> </w:t>
      </w:r>
      <w:r>
        <w:rPr>
          <w:spacing w:val="-2"/>
        </w:rPr>
        <w:t>shall</w:t>
      </w:r>
      <w:r>
        <w:rPr>
          <w:spacing w:val="-10"/>
        </w:rPr>
        <w:t> </w:t>
      </w:r>
      <w:r>
        <w:rPr>
          <w:spacing w:val="-2"/>
        </w:rPr>
        <w:t>be</w:t>
      </w:r>
      <w:r>
        <w:rPr>
          <w:spacing w:val="-15"/>
        </w:rPr>
        <w:t> </w:t>
      </w:r>
      <w:r>
        <w:rPr>
          <w:spacing w:val="-2"/>
        </w:rPr>
        <w:t>provided</w:t>
      </w:r>
      <w:r>
        <w:rPr>
          <w:spacing w:val="-10"/>
        </w:rPr>
        <w:t> </w:t>
      </w:r>
      <w:r>
        <w:rPr>
          <w:spacing w:val="-2"/>
        </w:rPr>
        <w:t>by</w:t>
      </w:r>
      <w:r>
        <w:rPr>
          <w:spacing w:val="-11"/>
        </w:rPr>
        <w:t> </w:t>
      </w:r>
      <w:r>
        <w:rPr>
          <w:spacing w:val="-2"/>
        </w:rPr>
        <w:t>the</w:t>
      </w:r>
      <w:r>
        <w:rPr>
          <w:spacing w:val="-10"/>
        </w:rPr>
        <w:t> </w:t>
      </w:r>
      <w:r>
        <w:rPr>
          <w:spacing w:val="-2"/>
        </w:rPr>
        <w:t>RJC</w:t>
      </w:r>
      <w:r>
        <w:rPr>
          <w:spacing w:val="-9"/>
        </w:rPr>
        <w:t> </w:t>
      </w:r>
      <w:r>
        <w:rPr>
          <w:spacing w:val="-4"/>
        </w:rPr>
        <w:t>PMO.</w:t>
      </w:r>
    </w:p>
    <w:p>
      <w:pPr>
        <w:pStyle w:val="BodyText"/>
        <w:spacing w:before="6"/>
        <w:rPr>
          <w:sz w:val="16"/>
        </w:rPr>
      </w:pPr>
      <w:r>
        <w:rPr>
          <w:sz w:val="16"/>
        </w:rPr>
        <mc:AlternateContent>
          <mc:Choice Requires="wps">
            <w:drawing>
              <wp:anchor distT="0" distB="0" distL="0" distR="0" allowOverlap="1" layoutInCell="1" locked="0" behindDoc="1" simplePos="0" relativeHeight="487668224">
                <wp:simplePos x="0" y="0"/>
                <wp:positionH relativeFrom="page">
                  <wp:posOffset>574992</wp:posOffset>
                </wp:positionH>
                <wp:positionV relativeFrom="paragraph">
                  <wp:posOffset>142254</wp:posOffset>
                </wp:positionV>
                <wp:extent cx="6553200" cy="193675"/>
                <wp:effectExtent l="0" t="0" r="0" b="0"/>
                <wp:wrapTopAndBottom/>
                <wp:docPr id="474" name="Textbox 474"/>
                <wp:cNvGraphicFramePr>
                  <a:graphicFrameLocks/>
                </wp:cNvGraphicFramePr>
                <a:graphic>
                  <a:graphicData uri="http://schemas.microsoft.com/office/word/2010/wordprocessingShape">
                    <wps:wsp>
                      <wps:cNvPr id="474" name="Textbox 474"/>
                      <wps:cNvSpPr txBox="1"/>
                      <wps:spPr>
                        <a:xfrm>
                          <a:off x="0" y="0"/>
                          <a:ext cx="65532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5"/>
                                <w:sz w:val="24"/>
                              </w:rPr>
                              <w:t>13</w:t>
                            </w:r>
                            <w:r>
                              <w:rPr>
                                <w:b/>
                                <w:color w:val="000000"/>
                                <w:sz w:val="24"/>
                              </w:rPr>
                              <w:tab/>
                              <w:t>Review</w:t>
                            </w:r>
                            <w:r>
                              <w:rPr>
                                <w:b/>
                                <w:color w:val="000000"/>
                                <w:spacing w:val="-3"/>
                                <w:sz w:val="24"/>
                              </w:rPr>
                              <w:t> </w:t>
                            </w:r>
                            <w:r>
                              <w:rPr>
                                <w:b/>
                                <w:color w:val="000000"/>
                                <w:spacing w:val="-4"/>
                                <w:sz w:val="24"/>
                              </w:rPr>
                              <w:t>Date</w:t>
                            </w:r>
                          </w:p>
                        </w:txbxContent>
                      </wps:txbx>
                      <wps:bodyPr wrap="square" lIns="0" tIns="0" rIns="0" bIns="0" rtlCol="0">
                        <a:noAutofit/>
                      </wps:bodyPr>
                    </wps:wsp>
                  </a:graphicData>
                </a:graphic>
              </wp:anchor>
            </w:drawing>
          </mc:Choice>
          <mc:Fallback>
            <w:pict>
              <v:shape style="position:absolute;margin-left:45.275002pt;margin-top:11.201172pt;width:516pt;height:15.25pt;mso-position-horizontal-relative:page;mso-position-vertical-relative:paragraph;z-index:-15648256;mso-wrap-distance-left:0;mso-wrap-distance-right:0" type="#_x0000_t202" id="docshape256"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5"/>
                          <w:sz w:val="24"/>
                        </w:rPr>
                        <w:t>13</w:t>
                      </w:r>
                      <w:r>
                        <w:rPr>
                          <w:b/>
                          <w:color w:val="000000"/>
                          <w:sz w:val="24"/>
                        </w:rPr>
                        <w:tab/>
                        <w:t>Review</w:t>
                      </w:r>
                      <w:r>
                        <w:rPr>
                          <w:b/>
                          <w:color w:val="000000"/>
                          <w:spacing w:val="-3"/>
                          <w:sz w:val="24"/>
                        </w:rPr>
                        <w:t> </w:t>
                      </w:r>
                      <w:r>
                        <w:rPr>
                          <w:b/>
                          <w:color w:val="000000"/>
                          <w:spacing w:val="-4"/>
                          <w:sz w:val="24"/>
                        </w:rPr>
                        <w:t>Date</w:t>
                      </w:r>
                    </w:p>
                  </w:txbxContent>
                </v:textbox>
                <v:fill type="solid"/>
                <v:stroke dashstyle="solid"/>
                <w10:wrap type="topAndBottom"/>
              </v:shape>
            </w:pict>
          </mc:Fallback>
        </mc:AlternateContent>
      </w:r>
    </w:p>
    <w:p>
      <w:pPr>
        <w:pStyle w:val="BodyText"/>
        <w:tabs>
          <w:tab w:pos="862" w:val="left" w:leader="none"/>
        </w:tabs>
        <w:spacing w:before="170"/>
        <w:ind w:left="862" w:right="970" w:hanging="720"/>
      </w:pPr>
      <w:r>
        <w:rPr>
          <w:spacing w:val="-4"/>
        </w:rPr>
        <w:t>13.1</w:t>
      </w:r>
      <w:r>
        <w:rPr/>
        <w:tab/>
      </w:r>
      <w:r>
        <w:rPr>
          <w:spacing w:val="-2"/>
        </w:rPr>
        <w:t>These</w:t>
      </w:r>
      <w:r>
        <w:rPr>
          <w:spacing w:val="-9"/>
        </w:rPr>
        <w:t> </w:t>
      </w:r>
      <w:r>
        <w:rPr>
          <w:spacing w:val="-2"/>
        </w:rPr>
        <w:t>terms</w:t>
      </w:r>
      <w:r>
        <w:rPr>
          <w:spacing w:val="-12"/>
        </w:rPr>
        <w:t> </w:t>
      </w:r>
      <w:r>
        <w:rPr>
          <w:spacing w:val="-2"/>
        </w:rPr>
        <w:t>of</w:t>
      </w:r>
      <w:r>
        <w:rPr>
          <w:spacing w:val="-14"/>
        </w:rPr>
        <w:t> </w:t>
      </w:r>
      <w:r>
        <w:rPr>
          <w:spacing w:val="-2"/>
        </w:rPr>
        <w:t>reference</w:t>
      </w:r>
      <w:r>
        <w:rPr>
          <w:spacing w:val="-11"/>
        </w:rPr>
        <w:t> </w:t>
      </w:r>
      <w:r>
        <w:rPr>
          <w:spacing w:val="-2"/>
        </w:rPr>
        <w:t>and</w:t>
      </w:r>
      <w:r>
        <w:rPr>
          <w:spacing w:val="-11"/>
        </w:rPr>
        <w:t> </w:t>
      </w:r>
      <w:r>
        <w:rPr>
          <w:spacing w:val="-2"/>
        </w:rPr>
        <w:t>operating</w:t>
      </w:r>
      <w:r>
        <w:rPr>
          <w:spacing w:val="-11"/>
        </w:rPr>
        <w:t> </w:t>
      </w:r>
      <w:r>
        <w:rPr>
          <w:spacing w:val="-2"/>
        </w:rPr>
        <w:t>arrangements</w:t>
      </w:r>
      <w:r>
        <w:rPr>
          <w:spacing w:val="-12"/>
        </w:rPr>
        <w:t> </w:t>
      </w:r>
      <w:r>
        <w:rPr>
          <w:spacing w:val="-2"/>
        </w:rPr>
        <w:t>shall</w:t>
      </w:r>
      <w:r>
        <w:rPr>
          <w:spacing w:val="-11"/>
        </w:rPr>
        <w:t> </w:t>
      </w:r>
      <w:r>
        <w:rPr>
          <w:spacing w:val="-2"/>
        </w:rPr>
        <w:t>be</w:t>
      </w:r>
      <w:r>
        <w:rPr>
          <w:spacing w:val="-11"/>
        </w:rPr>
        <w:t> </w:t>
      </w:r>
      <w:r>
        <w:rPr>
          <w:spacing w:val="-2"/>
        </w:rPr>
        <w:t>reviewed</w:t>
      </w:r>
      <w:r>
        <w:rPr>
          <w:spacing w:val="-11"/>
        </w:rPr>
        <w:t> </w:t>
      </w:r>
      <w:r>
        <w:rPr>
          <w:spacing w:val="-2"/>
        </w:rPr>
        <w:t>on</w:t>
      </w:r>
      <w:r>
        <w:rPr>
          <w:spacing w:val="-11"/>
        </w:rPr>
        <w:t> </w:t>
      </w:r>
      <w:r>
        <w:rPr>
          <w:spacing w:val="-2"/>
        </w:rPr>
        <w:t>at</w:t>
      </w:r>
      <w:r>
        <w:rPr>
          <w:spacing w:val="-15"/>
        </w:rPr>
        <w:t> </w:t>
      </w:r>
      <w:r>
        <w:rPr>
          <w:spacing w:val="-2"/>
        </w:rPr>
        <w:t>least</w:t>
      </w:r>
      <w:r>
        <w:rPr>
          <w:spacing w:val="-13"/>
        </w:rPr>
        <w:t> </w:t>
      </w:r>
      <w:r>
        <w:rPr>
          <w:spacing w:val="-2"/>
        </w:rPr>
        <w:t>an </w:t>
      </w:r>
      <w:r>
        <w:rPr/>
        <w:t>annual</w:t>
      </w:r>
      <w:r>
        <w:rPr>
          <w:spacing w:val="-7"/>
        </w:rPr>
        <w:t> </w:t>
      </w:r>
      <w:r>
        <w:rPr/>
        <w:t>basis</w:t>
      </w:r>
      <w:r>
        <w:rPr>
          <w:spacing w:val="-2"/>
        </w:rPr>
        <w:t> </w:t>
      </w:r>
      <w:r>
        <w:rPr/>
        <w:t>by</w:t>
      </w:r>
      <w:r>
        <w:rPr>
          <w:spacing w:val="-2"/>
        </w:rPr>
        <w:t> </w:t>
      </w:r>
      <w:r>
        <w:rPr/>
        <w:t>the RCSPS for</w:t>
      </w:r>
      <w:r>
        <w:rPr>
          <w:spacing w:val="-2"/>
        </w:rPr>
        <w:t> </w:t>
      </w:r>
      <w:r>
        <w:rPr/>
        <w:t>approval</w:t>
      </w:r>
      <w:r>
        <w:rPr>
          <w:spacing w:val="-1"/>
        </w:rPr>
        <w:t> </w:t>
      </w:r>
      <w:r>
        <w:rPr/>
        <w:t>by</w:t>
      </w:r>
      <w:r>
        <w:rPr>
          <w:spacing w:val="-2"/>
        </w:rPr>
        <w:t> </w:t>
      </w:r>
      <w:r>
        <w:rPr/>
        <w:t>the RJC.</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9"/>
        <w:rPr>
          <w:sz w:val="20"/>
        </w:rPr>
      </w:pPr>
    </w:p>
    <w:p>
      <w:pPr>
        <w:spacing w:before="0"/>
        <w:ind w:left="4" w:right="284" w:firstLine="0"/>
        <w:jc w:val="center"/>
        <w:rPr>
          <w:sz w:val="20"/>
        </w:rPr>
      </w:pPr>
      <w:r>
        <w:rPr>
          <w:spacing w:val="-10"/>
          <w:sz w:val="20"/>
        </w:rPr>
        <w:t>6</w:t>
      </w:r>
    </w:p>
    <w:p>
      <w:pPr>
        <w:spacing w:after="0"/>
        <w:jc w:val="center"/>
        <w:rPr>
          <w:sz w:val="20"/>
        </w:rPr>
        <w:sectPr>
          <w:pgSz w:w="11910" w:h="16840"/>
          <w:pgMar w:header="0" w:footer="149" w:top="1060" w:bottom="340" w:left="708" w:right="425"/>
        </w:sectPr>
      </w:pPr>
    </w:p>
    <w:p>
      <w:pPr>
        <w:spacing w:line="240" w:lineRule="auto"/>
        <w:ind w:left="187" w:right="0" w:firstLine="0"/>
        <w:rPr>
          <w:sz w:val="20"/>
        </w:rPr>
      </w:pPr>
      <w:r>
        <w:rPr>
          <w:sz w:val="20"/>
        </w:rPr>
        <mc:AlternateContent>
          <mc:Choice Requires="wps">
            <w:drawing>
              <wp:inline distT="0" distB="0" distL="0" distR="0">
                <wp:extent cx="6553200" cy="193675"/>
                <wp:effectExtent l="9525" t="0" r="0" b="6350"/>
                <wp:docPr id="475" name="Textbox 475"/>
                <wp:cNvGraphicFramePr>
                  <a:graphicFrameLocks/>
                </wp:cNvGraphicFramePr>
                <a:graphic>
                  <a:graphicData uri="http://schemas.microsoft.com/office/word/2010/wordprocessingShape">
                    <wps:wsp>
                      <wps:cNvPr id="475" name="Textbox 475"/>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Appendix</w:t>
                            </w:r>
                            <w:r>
                              <w:rPr>
                                <w:b/>
                                <w:color w:val="000000"/>
                                <w:spacing w:val="-3"/>
                                <w:sz w:val="24"/>
                              </w:rPr>
                              <w:t> </w:t>
                            </w:r>
                            <w:r>
                              <w:rPr>
                                <w:b/>
                                <w:color w:val="000000"/>
                                <w:sz w:val="24"/>
                              </w:rPr>
                              <w:t>1</w:t>
                            </w:r>
                            <w:r>
                              <w:rPr>
                                <w:b/>
                                <w:color w:val="000000"/>
                                <w:spacing w:val="-1"/>
                                <w:sz w:val="24"/>
                              </w:rPr>
                              <w:t> </w:t>
                            </w:r>
                            <w:r>
                              <w:rPr>
                                <w:b/>
                                <w:color w:val="000000"/>
                                <w:sz w:val="24"/>
                              </w:rPr>
                              <w:t>–</w:t>
                            </w:r>
                            <w:r>
                              <w:rPr>
                                <w:b/>
                                <w:color w:val="000000"/>
                                <w:spacing w:val="-2"/>
                                <w:sz w:val="24"/>
                              </w:rPr>
                              <w:t> </w:t>
                            </w:r>
                            <w:r>
                              <w:rPr>
                                <w:b/>
                                <w:color w:val="000000"/>
                                <w:sz w:val="24"/>
                              </w:rPr>
                              <w:t>Regional</w:t>
                            </w:r>
                            <w:r>
                              <w:rPr>
                                <w:b/>
                                <w:color w:val="000000"/>
                                <w:spacing w:val="-5"/>
                                <w:sz w:val="24"/>
                              </w:rPr>
                              <w:t> </w:t>
                            </w:r>
                            <w:r>
                              <w:rPr>
                                <w:b/>
                                <w:color w:val="000000"/>
                                <w:sz w:val="24"/>
                              </w:rPr>
                              <w:t>Governance</w:t>
                            </w:r>
                            <w:r>
                              <w:rPr>
                                <w:b/>
                                <w:color w:val="000000"/>
                                <w:spacing w:val="1"/>
                                <w:sz w:val="24"/>
                              </w:rPr>
                              <w:t> </w:t>
                            </w:r>
                            <w:r>
                              <w:rPr>
                                <w:b/>
                                <w:color w:val="000000"/>
                                <w:sz w:val="24"/>
                              </w:rPr>
                              <w:t>–</w:t>
                            </w:r>
                            <w:r>
                              <w:rPr>
                                <w:b/>
                                <w:color w:val="000000"/>
                                <w:spacing w:val="-1"/>
                                <w:sz w:val="24"/>
                              </w:rPr>
                              <w:t> </w:t>
                            </w:r>
                            <w:r>
                              <w:rPr>
                                <w:b/>
                                <w:color w:val="000000"/>
                                <w:sz w:val="24"/>
                              </w:rPr>
                              <w:t>South West</w:t>
                            </w:r>
                            <w:r>
                              <w:rPr>
                                <w:b/>
                                <w:color w:val="000000"/>
                                <w:spacing w:val="-8"/>
                                <w:sz w:val="24"/>
                              </w:rPr>
                              <w:t> </w:t>
                            </w:r>
                            <w:r>
                              <w:rPr>
                                <w:b/>
                                <w:color w:val="000000"/>
                                <w:sz w:val="24"/>
                              </w:rPr>
                              <w:t>Wales</w:t>
                            </w:r>
                            <w:r>
                              <w:rPr>
                                <w:b/>
                                <w:color w:val="000000"/>
                                <w:spacing w:val="-2"/>
                                <w:sz w:val="24"/>
                              </w:rPr>
                              <w:t> </w:t>
                            </w:r>
                            <w:r>
                              <w:rPr>
                                <w:b/>
                                <w:color w:val="000000"/>
                                <w:sz w:val="24"/>
                              </w:rPr>
                              <w:t>Regional</w:t>
                            </w:r>
                            <w:r>
                              <w:rPr>
                                <w:b/>
                                <w:color w:val="000000"/>
                                <w:spacing w:val="-5"/>
                                <w:sz w:val="24"/>
                              </w:rPr>
                              <w:t> </w:t>
                            </w:r>
                            <w:r>
                              <w:rPr>
                                <w:b/>
                                <w:color w:val="000000"/>
                                <w:sz w:val="24"/>
                              </w:rPr>
                              <w:t>Joint</w:t>
                            </w:r>
                            <w:r>
                              <w:rPr>
                                <w:b/>
                                <w:color w:val="000000"/>
                                <w:spacing w:val="-3"/>
                                <w:sz w:val="24"/>
                              </w:rPr>
                              <w:t> </w:t>
                            </w:r>
                            <w:r>
                              <w:rPr>
                                <w:b/>
                                <w:color w:val="000000"/>
                                <w:spacing w:val="-2"/>
                                <w:sz w:val="24"/>
                              </w:rPr>
                              <w:t>Committee</w:t>
                            </w:r>
                          </w:p>
                        </w:txbxContent>
                      </wps:txbx>
                      <wps:bodyPr wrap="square" lIns="0" tIns="0" rIns="0" bIns="0" rtlCol="0">
                        <a:noAutofit/>
                      </wps:bodyPr>
                    </wps:wsp>
                  </a:graphicData>
                </a:graphic>
              </wp:inline>
            </w:drawing>
          </mc:Choice>
          <mc:Fallback>
            <w:pict>
              <v:shape style="width:516pt;height:15.25pt;mso-position-horizontal-relative:char;mso-position-vertical-relative:line" type="#_x0000_t202" id="docshape257" filled="true" fillcolor="#c1a875" stroked="true" strokeweight="1pt" strokecolor="#394871">
                <w10:anchorlock/>
                <v:textbox inset="0,0,0,0">
                  <w:txbxContent>
                    <w:p>
                      <w:pPr>
                        <w:spacing w:before="0"/>
                        <w:ind w:left="95" w:right="0" w:firstLine="0"/>
                        <w:jc w:val="left"/>
                        <w:rPr>
                          <w:b/>
                          <w:color w:val="000000"/>
                          <w:sz w:val="24"/>
                        </w:rPr>
                      </w:pPr>
                      <w:r>
                        <w:rPr>
                          <w:b/>
                          <w:color w:val="000000"/>
                          <w:sz w:val="24"/>
                        </w:rPr>
                        <w:t>Appendix</w:t>
                      </w:r>
                      <w:r>
                        <w:rPr>
                          <w:b/>
                          <w:color w:val="000000"/>
                          <w:spacing w:val="-3"/>
                          <w:sz w:val="24"/>
                        </w:rPr>
                        <w:t> </w:t>
                      </w:r>
                      <w:r>
                        <w:rPr>
                          <w:b/>
                          <w:color w:val="000000"/>
                          <w:sz w:val="24"/>
                        </w:rPr>
                        <w:t>1</w:t>
                      </w:r>
                      <w:r>
                        <w:rPr>
                          <w:b/>
                          <w:color w:val="000000"/>
                          <w:spacing w:val="-1"/>
                          <w:sz w:val="24"/>
                        </w:rPr>
                        <w:t> </w:t>
                      </w:r>
                      <w:r>
                        <w:rPr>
                          <w:b/>
                          <w:color w:val="000000"/>
                          <w:sz w:val="24"/>
                        </w:rPr>
                        <w:t>–</w:t>
                      </w:r>
                      <w:r>
                        <w:rPr>
                          <w:b/>
                          <w:color w:val="000000"/>
                          <w:spacing w:val="-2"/>
                          <w:sz w:val="24"/>
                        </w:rPr>
                        <w:t> </w:t>
                      </w:r>
                      <w:r>
                        <w:rPr>
                          <w:b/>
                          <w:color w:val="000000"/>
                          <w:sz w:val="24"/>
                        </w:rPr>
                        <w:t>Regional</w:t>
                      </w:r>
                      <w:r>
                        <w:rPr>
                          <w:b/>
                          <w:color w:val="000000"/>
                          <w:spacing w:val="-5"/>
                          <w:sz w:val="24"/>
                        </w:rPr>
                        <w:t> </w:t>
                      </w:r>
                      <w:r>
                        <w:rPr>
                          <w:b/>
                          <w:color w:val="000000"/>
                          <w:sz w:val="24"/>
                        </w:rPr>
                        <w:t>Governance</w:t>
                      </w:r>
                      <w:r>
                        <w:rPr>
                          <w:b/>
                          <w:color w:val="000000"/>
                          <w:spacing w:val="1"/>
                          <w:sz w:val="24"/>
                        </w:rPr>
                        <w:t> </w:t>
                      </w:r>
                      <w:r>
                        <w:rPr>
                          <w:b/>
                          <w:color w:val="000000"/>
                          <w:sz w:val="24"/>
                        </w:rPr>
                        <w:t>–</w:t>
                      </w:r>
                      <w:r>
                        <w:rPr>
                          <w:b/>
                          <w:color w:val="000000"/>
                          <w:spacing w:val="-1"/>
                          <w:sz w:val="24"/>
                        </w:rPr>
                        <w:t> </w:t>
                      </w:r>
                      <w:r>
                        <w:rPr>
                          <w:b/>
                          <w:color w:val="000000"/>
                          <w:sz w:val="24"/>
                        </w:rPr>
                        <w:t>South West</w:t>
                      </w:r>
                      <w:r>
                        <w:rPr>
                          <w:b/>
                          <w:color w:val="000000"/>
                          <w:spacing w:val="-8"/>
                          <w:sz w:val="24"/>
                        </w:rPr>
                        <w:t> </w:t>
                      </w:r>
                      <w:r>
                        <w:rPr>
                          <w:b/>
                          <w:color w:val="000000"/>
                          <w:sz w:val="24"/>
                        </w:rPr>
                        <w:t>Wales</w:t>
                      </w:r>
                      <w:r>
                        <w:rPr>
                          <w:b/>
                          <w:color w:val="000000"/>
                          <w:spacing w:val="-2"/>
                          <w:sz w:val="24"/>
                        </w:rPr>
                        <w:t> </w:t>
                      </w:r>
                      <w:r>
                        <w:rPr>
                          <w:b/>
                          <w:color w:val="000000"/>
                          <w:sz w:val="24"/>
                        </w:rPr>
                        <w:t>Regional</w:t>
                      </w:r>
                      <w:r>
                        <w:rPr>
                          <w:b/>
                          <w:color w:val="000000"/>
                          <w:spacing w:val="-5"/>
                          <w:sz w:val="24"/>
                        </w:rPr>
                        <w:t> </w:t>
                      </w:r>
                      <w:r>
                        <w:rPr>
                          <w:b/>
                          <w:color w:val="000000"/>
                          <w:sz w:val="24"/>
                        </w:rPr>
                        <w:t>Joint</w:t>
                      </w:r>
                      <w:r>
                        <w:rPr>
                          <w:b/>
                          <w:color w:val="000000"/>
                          <w:spacing w:val="-3"/>
                          <w:sz w:val="24"/>
                        </w:rPr>
                        <w:t> </w:t>
                      </w:r>
                      <w:r>
                        <w:rPr>
                          <w:b/>
                          <w:color w:val="000000"/>
                          <w:spacing w:val="-2"/>
                          <w:sz w:val="24"/>
                        </w:rPr>
                        <w:t>Committee</w:t>
                      </w:r>
                    </w:p>
                  </w:txbxContent>
                </v:textbox>
                <v:fill type="solid"/>
                <v:stroke dashstyle="solid"/>
              </v:shape>
            </w:pict>
          </mc:Fallback>
        </mc:AlternateContent>
      </w:r>
      <w:r>
        <w:rPr>
          <w:sz w:val="20"/>
        </w:rPr>
      </w:r>
    </w:p>
    <w:p>
      <w:pPr>
        <w:pStyle w:val="BodyText"/>
        <w:spacing w:before="116"/>
        <w:rPr>
          <w:sz w:val="20"/>
        </w:rPr>
      </w:pPr>
      <w:r>
        <w:rPr>
          <w:sz w:val="20"/>
        </w:rPr>
        <w:drawing>
          <wp:anchor distT="0" distB="0" distL="0" distR="0" allowOverlap="1" layoutInCell="1" locked="0" behindDoc="1" simplePos="0" relativeHeight="487669248">
            <wp:simplePos x="0" y="0"/>
            <wp:positionH relativeFrom="page">
              <wp:posOffset>585794</wp:posOffset>
            </wp:positionH>
            <wp:positionV relativeFrom="paragraph">
              <wp:posOffset>235201</wp:posOffset>
            </wp:positionV>
            <wp:extent cx="6445158" cy="3417570"/>
            <wp:effectExtent l="0" t="0" r="0" b="0"/>
            <wp:wrapTopAndBottom/>
            <wp:docPr id="476" name="Image 476"/>
            <wp:cNvGraphicFramePr>
              <a:graphicFrameLocks/>
            </wp:cNvGraphicFramePr>
            <a:graphic>
              <a:graphicData uri="http://schemas.openxmlformats.org/drawingml/2006/picture">
                <pic:pic>
                  <pic:nvPicPr>
                    <pic:cNvPr id="476" name="Image 476"/>
                    <pic:cNvPicPr/>
                  </pic:nvPicPr>
                  <pic:blipFill>
                    <a:blip r:embed="rId74" cstate="print"/>
                    <a:stretch>
                      <a:fillRect/>
                    </a:stretch>
                  </pic:blipFill>
                  <pic:spPr>
                    <a:xfrm>
                      <a:off x="0" y="0"/>
                      <a:ext cx="6445158" cy="3417570"/>
                    </a:xfrm>
                    <a:prstGeom prst="rect">
                      <a:avLst/>
                    </a:prstGeom>
                  </pic:spPr>
                </pic:pic>
              </a:graphicData>
            </a:graphic>
          </wp:anchor>
        </w:drawing>
      </w:r>
      <w:r>
        <w:rPr>
          <w:sz w:val="20"/>
        </w:rPr>
        <w:drawing>
          <wp:anchor distT="0" distB="0" distL="0" distR="0" allowOverlap="1" layoutInCell="1" locked="0" behindDoc="1" simplePos="0" relativeHeight="487669760">
            <wp:simplePos x="0" y="0"/>
            <wp:positionH relativeFrom="page">
              <wp:posOffset>3191510</wp:posOffset>
            </wp:positionH>
            <wp:positionV relativeFrom="paragraph">
              <wp:posOffset>3884295</wp:posOffset>
            </wp:positionV>
            <wp:extent cx="2215179" cy="2370772"/>
            <wp:effectExtent l="0" t="0" r="0" b="0"/>
            <wp:wrapTopAndBottom/>
            <wp:docPr id="477" name="Image 477"/>
            <wp:cNvGraphicFramePr>
              <a:graphicFrameLocks/>
            </wp:cNvGraphicFramePr>
            <a:graphic>
              <a:graphicData uri="http://schemas.openxmlformats.org/drawingml/2006/picture">
                <pic:pic>
                  <pic:nvPicPr>
                    <pic:cNvPr id="477" name="Image 477"/>
                    <pic:cNvPicPr/>
                  </pic:nvPicPr>
                  <pic:blipFill>
                    <a:blip r:embed="rId75" cstate="print"/>
                    <a:stretch>
                      <a:fillRect/>
                    </a:stretch>
                  </pic:blipFill>
                  <pic:spPr>
                    <a:xfrm>
                      <a:off x="0" y="0"/>
                      <a:ext cx="2215179" cy="2370772"/>
                    </a:xfrm>
                    <a:prstGeom prst="rect">
                      <a:avLst/>
                    </a:prstGeom>
                  </pic:spPr>
                </pic:pic>
              </a:graphicData>
            </a:graphic>
          </wp:anchor>
        </w:drawing>
      </w:r>
    </w:p>
    <w:p>
      <w:pPr>
        <w:pStyle w:val="BodyText"/>
        <w:spacing w:before="110"/>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1"/>
        <w:rPr>
          <w:sz w:val="20"/>
        </w:rPr>
      </w:pPr>
    </w:p>
    <w:p>
      <w:pPr>
        <w:spacing w:before="0"/>
        <w:ind w:left="4" w:right="284" w:firstLine="0"/>
        <w:jc w:val="center"/>
        <w:rPr>
          <w:sz w:val="20"/>
        </w:rPr>
      </w:pPr>
      <w:r>
        <w:rPr>
          <w:spacing w:val="-10"/>
          <w:sz w:val="20"/>
        </w:rPr>
        <w:t>7</w:t>
      </w:r>
    </w:p>
    <w:p>
      <w:pPr>
        <w:spacing w:after="0"/>
        <w:jc w:val="center"/>
        <w:rPr>
          <w:sz w:val="20"/>
        </w:rPr>
        <w:sectPr>
          <w:pgSz w:w="11910" w:h="16840"/>
          <w:pgMar w:header="0" w:footer="149" w:top="1060" w:bottom="340" w:left="708" w:right="425"/>
        </w:sectPr>
      </w:pPr>
    </w:p>
    <w:p>
      <w:pPr>
        <w:spacing w:line="240" w:lineRule="auto"/>
        <w:ind w:left="143" w:right="0" w:firstLine="0"/>
        <w:rPr>
          <w:sz w:val="20"/>
        </w:rPr>
      </w:pPr>
      <w:r>
        <w:rPr>
          <w:sz w:val="20"/>
        </w:rPr>
        <w:drawing>
          <wp:anchor distT="0" distB="0" distL="0" distR="0" allowOverlap="1" layoutInCell="1" locked="0" behindDoc="1" simplePos="0" relativeHeight="477166080">
            <wp:simplePos x="0" y="0"/>
            <wp:positionH relativeFrom="page">
              <wp:posOffset>5162550</wp:posOffset>
            </wp:positionH>
            <wp:positionV relativeFrom="page">
              <wp:posOffset>628611</wp:posOffset>
            </wp:positionV>
            <wp:extent cx="1887952" cy="511587"/>
            <wp:effectExtent l="0" t="0" r="0" b="0"/>
            <wp:wrapNone/>
            <wp:docPr id="478" name="Image 478" descr="hywel dda"/>
            <wp:cNvGraphicFramePr>
              <a:graphicFrameLocks/>
            </wp:cNvGraphicFramePr>
            <a:graphic>
              <a:graphicData uri="http://schemas.openxmlformats.org/drawingml/2006/picture">
                <pic:pic>
                  <pic:nvPicPr>
                    <pic:cNvPr id="478" name="Image 478" descr="hywel dda"/>
                    <pic:cNvPicPr/>
                  </pic:nvPicPr>
                  <pic:blipFill>
                    <a:blip r:embed="rId73" cstate="print"/>
                    <a:stretch>
                      <a:fillRect/>
                    </a:stretch>
                  </pic:blipFill>
                  <pic:spPr>
                    <a:xfrm>
                      <a:off x="0" y="0"/>
                      <a:ext cx="1887952" cy="511587"/>
                    </a:xfrm>
                    <a:prstGeom prst="rect">
                      <a:avLst/>
                    </a:prstGeom>
                  </pic:spPr>
                </pic:pic>
              </a:graphicData>
            </a:graphic>
          </wp:anchor>
        </w:drawing>
      </w:r>
      <w:r>
        <w:rPr>
          <w:sz w:val="20"/>
        </w:rPr>
        <mc:AlternateContent>
          <mc:Choice Requires="wps">
            <w:drawing>
              <wp:inline distT="0" distB="0" distL="0" distR="0">
                <wp:extent cx="6145530" cy="4390390"/>
                <wp:effectExtent l="0" t="0" r="0" b="635"/>
                <wp:docPr id="479" name="Group 479"/>
                <wp:cNvGraphicFramePr>
                  <a:graphicFrameLocks/>
                </wp:cNvGraphicFramePr>
                <a:graphic>
                  <a:graphicData uri="http://schemas.microsoft.com/office/word/2010/wordprocessingGroup">
                    <wpg:wgp>
                      <wpg:cNvPr id="479" name="Group 479"/>
                      <wpg:cNvGrpSpPr/>
                      <wpg:grpSpPr>
                        <a:xfrm>
                          <a:off x="0" y="0"/>
                          <a:ext cx="6145530" cy="4390390"/>
                          <a:chExt cx="6145530" cy="4390390"/>
                        </a:xfrm>
                      </wpg:grpSpPr>
                      <pic:pic>
                        <pic:nvPicPr>
                          <pic:cNvPr id="480" name="Image 480"/>
                          <pic:cNvPicPr/>
                        </pic:nvPicPr>
                        <pic:blipFill>
                          <a:blip r:embed="rId72" cstate="print"/>
                          <a:stretch>
                            <a:fillRect/>
                          </a:stretch>
                        </pic:blipFill>
                        <pic:spPr>
                          <a:xfrm>
                            <a:off x="0" y="0"/>
                            <a:ext cx="2032635" cy="515531"/>
                          </a:xfrm>
                          <a:prstGeom prst="rect">
                            <a:avLst/>
                          </a:prstGeom>
                        </pic:spPr>
                      </pic:pic>
                      <wps:wsp>
                        <wps:cNvPr id="481" name="Graphic 481"/>
                        <wps:cNvSpPr/>
                        <wps:spPr>
                          <a:xfrm>
                            <a:off x="1842770" y="1787728"/>
                            <a:ext cx="3057525" cy="1044575"/>
                          </a:xfrm>
                          <a:custGeom>
                            <a:avLst/>
                            <a:gdLst/>
                            <a:ahLst/>
                            <a:cxnLst/>
                            <a:rect l="l" t="t" r="r" b="b"/>
                            <a:pathLst>
                              <a:path w="3057525" h="1044575">
                                <a:moveTo>
                                  <a:pt x="0" y="1044409"/>
                                </a:moveTo>
                                <a:lnTo>
                                  <a:pt x="3057524" y="1044409"/>
                                </a:lnTo>
                                <a:lnTo>
                                  <a:pt x="3057524" y="0"/>
                                </a:lnTo>
                                <a:lnTo>
                                  <a:pt x="0" y="0"/>
                                </a:lnTo>
                                <a:lnTo>
                                  <a:pt x="0" y="1044409"/>
                                </a:lnTo>
                                <a:close/>
                              </a:path>
                            </a:pathLst>
                          </a:custGeom>
                          <a:ln w="9525">
                            <a:solidFill>
                              <a:srgbClr val="394871"/>
                            </a:solidFill>
                            <a:prstDash val="solid"/>
                          </a:ln>
                        </wps:spPr>
                        <wps:bodyPr wrap="square" lIns="0" tIns="0" rIns="0" bIns="0" rtlCol="0">
                          <a:prstTxWarp prst="textNoShape">
                            <a:avLst/>
                          </a:prstTxWarp>
                          <a:noAutofit/>
                        </wps:bodyPr>
                      </wps:wsp>
                      <wps:wsp>
                        <wps:cNvPr id="482" name="Graphic 482"/>
                        <wps:cNvSpPr/>
                        <wps:spPr>
                          <a:xfrm>
                            <a:off x="2389505" y="1417865"/>
                            <a:ext cx="2047239" cy="1933575"/>
                          </a:xfrm>
                          <a:custGeom>
                            <a:avLst/>
                            <a:gdLst/>
                            <a:ahLst/>
                            <a:cxnLst/>
                            <a:rect l="l" t="t" r="r" b="b"/>
                            <a:pathLst>
                              <a:path w="2047239" h="1933575">
                                <a:moveTo>
                                  <a:pt x="76200" y="293624"/>
                                </a:moveTo>
                                <a:lnTo>
                                  <a:pt x="42799" y="293624"/>
                                </a:lnTo>
                                <a:lnTo>
                                  <a:pt x="42799" y="0"/>
                                </a:lnTo>
                                <a:lnTo>
                                  <a:pt x="33274" y="0"/>
                                </a:lnTo>
                                <a:lnTo>
                                  <a:pt x="33274" y="293624"/>
                                </a:lnTo>
                                <a:lnTo>
                                  <a:pt x="0" y="293624"/>
                                </a:lnTo>
                                <a:lnTo>
                                  <a:pt x="38100" y="369824"/>
                                </a:lnTo>
                                <a:lnTo>
                                  <a:pt x="69850" y="306324"/>
                                </a:lnTo>
                                <a:lnTo>
                                  <a:pt x="76200" y="293624"/>
                                </a:lnTo>
                                <a:close/>
                              </a:path>
                              <a:path w="2047239" h="1933575">
                                <a:moveTo>
                                  <a:pt x="1060577" y="1856486"/>
                                </a:moveTo>
                                <a:lnTo>
                                  <a:pt x="1027226" y="1856994"/>
                                </a:lnTo>
                                <a:lnTo>
                                  <a:pt x="1020191" y="1388491"/>
                                </a:lnTo>
                                <a:lnTo>
                                  <a:pt x="1010666" y="1388491"/>
                                </a:lnTo>
                                <a:lnTo>
                                  <a:pt x="1017701" y="1856486"/>
                                </a:lnTo>
                                <a:lnTo>
                                  <a:pt x="1017701" y="1857133"/>
                                </a:lnTo>
                                <a:lnTo>
                                  <a:pt x="984377" y="1857629"/>
                                </a:lnTo>
                                <a:lnTo>
                                  <a:pt x="1023620" y="1933321"/>
                                </a:lnTo>
                                <a:lnTo>
                                  <a:pt x="1054150" y="1869821"/>
                                </a:lnTo>
                                <a:lnTo>
                                  <a:pt x="1060577" y="1856486"/>
                                </a:lnTo>
                                <a:close/>
                              </a:path>
                              <a:path w="2047239" h="1933575">
                                <a:moveTo>
                                  <a:pt x="2047240" y="293624"/>
                                </a:moveTo>
                                <a:lnTo>
                                  <a:pt x="2013839" y="293624"/>
                                </a:lnTo>
                                <a:lnTo>
                                  <a:pt x="2013839" y="0"/>
                                </a:lnTo>
                                <a:lnTo>
                                  <a:pt x="2004314" y="0"/>
                                </a:lnTo>
                                <a:lnTo>
                                  <a:pt x="2004314" y="293624"/>
                                </a:lnTo>
                                <a:lnTo>
                                  <a:pt x="1971040" y="293624"/>
                                </a:lnTo>
                                <a:lnTo>
                                  <a:pt x="2009140" y="369824"/>
                                </a:lnTo>
                                <a:lnTo>
                                  <a:pt x="2040890" y="306324"/>
                                </a:lnTo>
                                <a:lnTo>
                                  <a:pt x="2047240" y="293624"/>
                                </a:lnTo>
                                <a:close/>
                              </a:path>
                            </a:pathLst>
                          </a:custGeom>
                          <a:solidFill>
                            <a:srgbClr val="1F487C"/>
                          </a:solidFill>
                        </wps:spPr>
                        <wps:bodyPr wrap="square" lIns="0" tIns="0" rIns="0" bIns="0" rtlCol="0">
                          <a:prstTxWarp prst="textNoShape">
                            <a:avLst/>
                          </a:prstTxWarp>
                          <a:noAutofit/>
                        </wps:bodyPr>
                      </wps:wsp>
                      <wps:wsp>
                        <wps:cNvPr id="483" name="Graphic 483"/>
                        <wps:cNvSpPr/>
                        <wps:spPr>
                          <a:xfrm>
                            <a:off x="1878964" y="3341154"/>
                            <a:ext cx="3057525" cy="1043940"/>
                          </a:xfrm>
                          <a:custGeom>
                            <a:avLst/>
                            <a:gdLst/>
                            <a:ahLst/>
                            <a:cxnLst/>
                            <a:rect l="l" t="t" r="r" b="b"/>
                            <a:pathLst>
                              <a:path w="3057525" h="1043940">
                                <a:moveTo>
                                  <a:pt x="0" y="1043939"/>
                                </a:moveTo>
                                <a:lnTo>
                                  <a:pt x="3057525" y="1043939"/>
                                </a:lnTo>
                                <a:lnTo>
                                  <a:pt x="3057525" y="0"/>
                                </a:lnTo>
                                <a:lnTo>
                                  <a:pt x="0" y="0"/>
                                </a:lnTo>
                                <a:lnTo>
                                  <a:pt x="0" y="1043939"/>
                                </a:lnTo>
                                <a:close/>
                              </a:path>
                            </a:pathLst>
                          </a:custGeom>
                          <a:ln w="9525">
                            <a:solidFill>
                              <a:srgbClr val="394871"/>
                            </a:solidFill>
                            <a:prstDash val="solid"/>
                          </a:ln>
                        </wps:spPr>
                        <wps:bodyPr wrap="square" lIns="0" tIns="0" rIns="0" bIns="0" rtlCol="0">
                          <a:prstTxWarp prst="textNoShape">
                            <a:avLst/>
                          </a:prstTxWarp>
                          <a:noAutofit/>
                        </wps:bodyPr>
                      </wps:wsp>
                      <wps:wsp>
                        <wps:cNvPr id="484" name="Textbox 484"/>
                        <wps:cNvSpPr txBox="1"/>
                        <wps:spPr>
                          <a:xfrm>
                            <a:off x="1874202" y="3336391"/>
                            <a:ext cx="3067050" cy="1053465"/>
                          </a:xfrm>
                          <a:prstGeom prst="rect">
                            <a:avLst/>
                          </a:prstGeom>
                          <a:solidFill>
                            <a:srgbClr val="394871"/>
                          </a:solidFill>
                        </wps:spPr>
                        <wps:txbx>
                          <w:txbxContent>
                            <w:p>
                              <w:pPr>
                                <w:spacing w:line="240" w:lineRule="auto" w:before="0"/>
                                <w:rPr>
                                  <w:color w:val="000000"/>
                                  <w:sz w:val="24"/>
                                </w:rPr>
                              </w:pPr>
                            </w:p>
                            <w:p>
                              <w:pPr>
                                <w:spacing w:line="240" w:lineRule="auto" w:before="4"/>
                                <w:rPr>
                                  <w:color w:val="000000"/>
                                  <w:sz w:val="24"/>
                                </w:rPr>
                              </w:pPr>
                            </w:p>
                            <w:p>
                              <w:pPr>
                                <w:spacing w:before="1"/>
                                <w:ind w:left="1224" w:right="419" w:hanging="760"/>
                                <w:jc w:val="left"/>
                                <w:rPr>
                                  <w:b/>
                                  <w:color w:val="000000"/>
                                  <w:sz w:val="24"/>
                                </w:rPr>
                              </w:pPr>
                              <w:bookmarkStart w:name="RJC 41c Draft Research, Innovation and E" w:id="63"/>
                              <w:bookmarkEnd w:id="63"/>
                              <w:r>
                                <w:rPr>
                                  <w:color w:val="000000"/>
                                </w:rPr>
                              </w:r>
                              <w:r>
                                <w:rPr>
                                  <w:b/>
                                  <w:color w:val="FFFFFF"/>
                                  <w:spacing w:val="-4"/>
                                  <w:sz w:val="24"/>
                                </w:rPr>
                                <w:t>Regional</w:t>
                              </w:r>
                              <w:r>
                                <w:rPr>
                                  <w:b/>
                                  <w:color w:val="FFFFFF"/>
                                  <w:spacing w:val="-5"/>
                                  <w:sz w:val="24"/>
                                </w:rPr>
                                <w:t> </w:t>
                              </w:r>
                              <w:r>
                                <w:rPr>
                                  <w:b/>
                                  <w:color w:val="FFFFFF"/>
                                  <w:spacing w:val="-4"/>
                                  <w:sz w:val="24"/>
                                </w:rPr>
                                <w:t>Research,</w:t>
                              </w:r>
                              <w:r>
                                <w:rPr>
                                  <w:b/>
                                  <w:color w:val="FFFFFF"/>
                                  <w:spacing w:val="-6"/>
                                  <w:sz w:val="24"/>
                                </w:rPr>
                                <w:t> </w:t>
                              </w:r>
                              <w:r>
                                <w:rPr>
                                  <w:b/>
                                  <w:color w:val="FFFFFF"/>
                                  <w:spacing w:val="-4"/>
                                  <w:sz w:val="24"/>
                                </w:rPr>
                                <w:t>Innovation</w:t>
                              </w:r>
                              <w:r>
                                <w:rPr>
                                  <w:b/>
                                  <w:color w:val="FFFFFF"/>
                                  <w:spacing w:val="-5"/>
                                  <w:sz w:val="24"/>
                                </w:rPr>
                                <w:t> </w:t>
                              </w:r>
                              <w:r>
                                <w:rPr>
                                  <w:b/>
                                  <w:color w:val="FFFFFF"/>
                                  <w:spacing w:val="-4"/>
                                  <w:sz w:val="24"/>
                                </w:rPr>
                                <w:t>and </w:t>
                              </w:r>
                              <w:r>
                                <w:rPr>
                                  <w:b/>
                                  <w:color w:val="FFFFFF"/>
                                  <w:sz w:val="24"/>
                                </w:rPr>
                                <w:t>Excellence Subgroup</w:t>
                              </w:r>
                            </w:p>
                          </w:txbxContent>
                        </wps:txbx>
                        <wps:bodyPr wrap="square" lIns="0" tIns="0" rIns="0" bIns="0" rtlCol="0">
                          <a:noAutofit/>
                        </wps:bodyPr>
                      </wps:wsp>
                      <wps:wsp>
                        <wps:cNvPr id="485" name="Textbox 485"/>
                        <wps:cNvSpPr txBox="1"/>
                        <wps:spPr>
                          <a:xfrm>
                            <a:off x="1838007" y="1782965"/>
                            <a:ext cx="3067050" cy="1054100"/>
                          </a:xfrm>
                          <a:prstGeom prst="rect">
                            <a:avLst/>
                          </a:prstGeom>
                          <a:solidFill>
                            <a:srgbClr val="394871"/>
                          </a:solidFill>
                        </wps:spPr>
                        <wps:txbx>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wps:txbx>
                        <wps:bodyPr wrap="square" lIns="0" tIns="0" rIns="0" bIns="0" rtlCol="0">
                          <a:noAutofit/>
                        </wps:bodyPr>
                      </wps:wsp>
                      <wps:wsp>
                        <wps:cNvPr id="486" name="Textbox 486"/>
                        <wps:cNvSpPr txBox="1"/>
                        <wps:spPr>
                          <a:xfrm>
                            <a:off x="3677284" y="536651"/>
                            <a:ext cx="24587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s:wsp>
                        <wps:cNvPr id="487" name="Textbox 487"/>
                        <wps:cNvSpPr txBox="1"/>
                        <wps:spPr>
                          <a:xfrm>
                            <a:off x="639444" y="542747"/>
                            <a:ext cx="24079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g:wgp>
                  </a:graphicData>
                </a:graphic>
              </wp:inline>
            </w:drawing>
          </mc:Choice>
          <mc:Fallback>
            <w:pict>
              <v:group style="width:483.9pt;height:345.7pt;mso-position-horizontal-relative:char;mso-position-vertical-relative:line" id="docshapegroup258" coordorigin="0,0" coordsize="9678,6914">
                <v:shape style="position:absolute;left:0;top:0;width:3201;height:812" type="#_x0000_t75" id="docshape259" stroked="false">
                  <v:imagedata r:id="rId72" o:title=""/>
                </v:shape>
                <v:rect style="position:absolute;left:2902;top:2815;width:4815;height:1645" id="docshape260" filled="false" stroked="true" strokeweight=".75pt" strokecolor="#394871">
                  <v:stroke dashstyle="solid"/>
                </v:rect>
                <v:shape style="position:absolute;left:3763;top:2232;width:3224;height:3045" id="docshape261" coordorigin="3763,2233" coordsize="3224,3045" path="m3883,2695l3830,2695,3830,2233,3815,2233,3815,2695,3763,2695,3823,2815,3873,2715,3883,2695xm5433,5156l5381,5157,5370,4419,5355,4419,5366,5156,5366,5157,5313,5158,5375,5277,5423,5177,5433,5156xm6987,2695l6934,2695,6934,2233,6919,2233,6919,2695,6867,2695,6927,2815,6977,2715,6987,2695xe" filled="true" fillcolor="#1f487c" stroked="false">
                  <v:path arrowok="t"/>
                  <v:fill type="solid"/>
                </v:shape>
                <v:rect style="position:absolute;left:2959;top:5261;width:4815;height:1644" id="docshape262" filled="false" stroked="true" strokeweight=".75pt" strokecolor="#394871">
                  <v:stroke dashstyle="solid"/>
                </v:rect>
                <v:shape style="position:absolute;left:2951;top:5254;width:4830;height:1659" type="#_x0000_t202" id="docshape263" filled="true" fillcolor="#394871" stroked="false">
                  <v:textbox inset="0,0,0,0">
                    <w:txbxContent>
                      <w:p>
                        <w:pPr>
                          <w:spacing w:line="240" w:lineRule="auto" w:before="0"/>
                          <w:rPr>
                            <w:color w:val="000000"/>
                            <w:sz w:val="24"/>
                          </w:rPr>
                        </w:pPr>
                      </w:p>
                      <w:p>
                        <w:pPr>
                          <w:spacing w:line="240" w:lineRule="auto" w:before="4"/>
                          <w:rPr>
                            <w:color w:val="000000"/>
                            <w:sz w:val="24"/>
                          </w:rPr>
                        </w:pPr>
                      </w:p>
                      <w:p>
                        <w:pPr>
                          <w:spacing w:before="1"/>
                          <w:ind w:left="1224" w:right="419" w:hanging="760"/>
                          <w:jc w:val="left"/>
                          <w:rPr>
                            <w:b/>
                            <w:color w:val="000000"/>
                            <w:sz w:val="24"/>
                          </w:rPr>
                        </w:pPr>
                        <w:bookmarkStart w:name="RJC 41c Draft Research, Innovation and E" w:id="64"/>
                        <w:bookmarkEnd w:id="64"/>
                        <w:r>
                          <w:rPr>
                            <w:color w:val="000000"/>
                          </w:rPr>
                        </w:r>
                        <w:r>
                          <w:rPr>
                            <w:b/>
                            <w:color w:val="FFFFFF"/>
                            <w:spacing w:val="-4"/>
                            <w:sz w:val="24"/>
                          </w:rPr>
                          <w:t>Regional</w:t>
                        </w:r>
                        <w:r>
                          <w:rPr>
                            <w:b/>
                            <w:color w:val="FFFFFF"/>
                            <w:spacing w:val="-5"/>
                            <w:sz w:val="24"/>
                          </w:rPr>
                          <w:t> </w:t>
                        </w:r>
                        <w:r>
                          <w:rPr>
                            <w:b/>
                            <w:color w:val="FFFFFF"/>
                            <w:spacing w:val="-4"/>
                            <w:sz w:val="24"/>
                          </w:rPr>
                          <w:t>Research,</w:t>
                        </w:r>
                        <w:r>
                          <w:rPr>
                            <w:b/>
                            <w:color w:val="FFFFFF"/>
                            <w:spacing w:val="-6"/>
                            <w:sz w:val="24"/>
                          </w:rPr>
                          <w:t> </w:t>
                        </w:r>
                        <w:r>
                          <w:rPr>
                            <w:b/>
                            <w:color w:val="FFFFFF"/>
                            <w:spacing w:val="-4"/>
                            <w:sz w:val="24"/>
                          </w:rPr>
                          <w:t>Innovation</w:t>
                        </w:r>
                        <w:r>
                          <w:rPr>
                            <w:b/>
                            <w:color w:val="FFFFFF"/>
                            <w:spacing w:val="-5"/>
                            <w:sz w:val="24"/>
                          </w:rPr>
                          <w:t> </w:t>
                        </w:r>
                        <w:r>
                          <w:rPr>
                            <w:b/>
                            <w:color w:val="FFFFFF"/>
                            <w:spacing w:val="-4"/>
                            <w:sz w:val="24"/>
                          </w:rPr>
                          <w:t>and </w:t>
                        </w:r>
                        <w:r>
                          <w:rPr>
                            <w:b/>
                            <w:color w:val="FFFFFF"/>
                            <w:sz w:val="24"/>
                          </w:rPr>
                          <w:t>Excellence Subgroup</w:t>
                        </w:r>
                      </w:p>
                    </w:txbxContent>
                  </v:textbox>
                  <v:fill type="solid"/>
                  <w10:wrap type="none"/>
                </v:shape>
                <v:shape style="position:absolute;left:2894;top:2807;width:4830;height:1660" type="#_x0000_t202" id="docshape264" filled="true" fillcolor="#394871" stroked="false">
                  <v:textbox inset="0,0,0,0">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v:textbox>
                  <v:fill type="solid"/>
                  <w10:wrap type="none"/>
                </v:shape>
                <v:shape style="position:absolute;left:5791;top:845;width:3872;height:1388" type="#_x0000_t202" id="docshape265" filled="true" fillcolor="#c1a875" stroked="true" strokeweight="1.5pt" strokecolor="#394871">
                  <v:textbox inset="0,0,0,0">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shape style="position:absolute;left:1007;top:854;width:3792;height:1388" type="#_x0000_t202" id="docshape266" filled="true" fillcolor="#c1a875" stroked="true" strokeweight="1.5pt" strokecolor="#394871">
                  <v:textbox inset="0,0,0,0">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group>
            </w:pict>
          </mc:Fallback>
        </mc:AlternateContent>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9"/>
        <w:rPr>
          <w:sz w:val="20"/>
        </w:rPr>
      </w:pPr>
      <w:r>
        <w:rPr>
          <w:sz w:val="20"/>
        </w:rPr>
        <mc:AlternateContent>
          <mc:Choice Requires="wps">
            <w:drawing>
              <wp:anchor distT="0" distB="0" distL="0" distR="0" allowOverlap="1" layoutInCell="1" locked="0" behindDoc="1" simplePos="0" relativeHeight="487670784">
                <wp:simplePos x="0" y="0"/>
                <wp:positionH relativeFrom="page">
                  <wp:posOffset>559117</wp:posOffset>
                </wp:positionH>
                <wp:positionV relativeFrom="paragraph">
                  <wp:posOffset>230616</wp:posOffset>
                </wp:positionV>
                <wp:extent cx="6445250" cy="358775"/>
                <wp:effectExtent l="0" t="0" r="0" b="0"/>
                <wp:wrapTopAndBottom/>
                <wp:docPr id="488" name="Textbox 488"/>
                <wp:cNvGraphicFramePr>
                  <a:graphicFrameLocks/>
                </wp:cNvGraphicFramePr>
                <a:graphic>
                  <a:graphicData uri="http://schemas.microsoft.com/office/word/2010/wordprocessingShape">
                    <wps:wsp>
                      <wps:cNvPr id="488" name="Textbox 488"/>
                      <wps:cNvSpPr txBox="1"/>
                      <wps:spPr>
                        <a:xfrm>
                          <a:off x="0" y="0"/>
                          <a:ext cx="6445250" cy="358775"/>
                        </a:xfrm>
                        <a:prstGeom prst="rect">
                          <a:avLst/>
                        </a:prstGeom>
                        <a:solidFill>
                          <a:srgbClr val="C1A875"/>
                        </a:solidFill>
                        <a:ln w="38100">
                          <a:solidFill>
                            <a:srgbClr val="394871"/>
                          </a:solidFill>
                          <a:prstDash val="solid"/>
                        </a:ln>
                      </wps:spPr>
                      <wps:txbx>
                        <w:txbxContent>
                          <w:p>
                            <w:pPr>
                              <w:spacing w:before="110"/>
                              <w:ind w:left="1020" w:right="0" w:firstLine="0"/>
                              <w:jc w:val="left"/>
                              <w:rPr>
                                <w:b/>
                                <w:color w:val="000000"/>
                                <w:sz w:val="24"/>
                              </w:rPr>
                            </w:pPr>
                            <w:r>
                              <w:rPr>
                                <w:b/>
                                <w:color w:val="000000"/>
                                <w:sz w:val="24"/>
                              </w:rPr>
                              <w:t>REGIONAL</w:t>
                            </w:r>
                            <w:r>
                              <w:rPr>
                                <w:b/>
                                <w:color w:val="000000"/>
                                <w:spacing w:val="-8"/>
                                <w:sz w:val="24"/>
                              </w:rPr>
                              <w:t> </w:t>
                            </w:r>
                            <w:r>
                              <w:rPr>
                                <w:b/>
                                <w:color w:val="000000"/>
                                <w:sz w:val="24"/>
                              </w:rPr>
                              <w:t>RESEARCH,</w:t>
                            </w:r>
                            <w:r>
                              <w:rPr>
                                <w:b/>
                                <w:color w:val="000000"/>
                                <w:spacing w:val="-6"/>
                                <w:sz w:val="24"/>
                              </w:rPr>
                              <w:t> </w:t>
                            </w:r>
                            <w:r>
                              <w:rPr>
                                <w:b/>
                                <w:color w:val="000000"/>
                                <w:sz w:val="24"/>
                              </w:rPr>
                              <w:t>INNOVATION</w:t>
                            </w:r>
                            <w:r>
                              <w:rPr>
                                <w:b/>
                                <w:color w:val="000000"/>
                                <w:spacing w:val="-3"/>
                                <w:sz w:val="24"/>
                              </w:rPr>
                              <w:t> </w:t>
                            </w:r>
                            <w:r>
                              <w:rPr>
                                <w:b/>
                                <w:color w:val="000000"/>
                                <w:sz w:val="24"/>
                              </w:rPr>
                              <w:t>AND</w:t>
                            </w:r>
                            <w:r>
                              <w:rPr>
                                <w:b/>
                                <w:color w:val="000000"/>
                                <w:spacing w:val="-3"/>
                                <w:sz w:val="24"/>
                              </w:rPr>
                              <w:t> </w:t>
                            </w:r>
                            <w:r>
                              <w:rPr>
                                <w:b/>
                                <w:color w:val="000000"/>
                                <w:sz w:val="24"/>
                              </w:rPr>
                              <w:t>EXCELLENCE</w:t>
                            </w:r>
                            <w:r>
                              <w:rPr>
                                <w:b/>
                                <w:color w:val="000000"/>
                                <w:spacing w:val="2"/>
                                <w:sz w:val="24"/>
                              </w:rPr>
                              <w:t> </w:t>
                            </w:r>
                            <w:r>
                              <w:rPr>
                                <w:b/>
                                <w:color w:val="000000"/>
                                <w:spacing w:val="-2"/>
                                <w:sz w:val="24"/>
                              </w:rPr>
                              <w:t>SUBGROUP</w:t>
                            </w:r>
                          </w:p>
                        </w:txbxContent>
                      </wps:txbx>
                      <wps:bodyPr wrap="square" lIns="0" tIns="0" rIns="0" bIns="0" rtlCol="0">
                        <a:noAutofit/>
                      </wps:bodyPr>
                    </wps:wsp>
                  </a:graphicData>
                </a:graphic>
              </wp:anchor>
            </w:drawing>
          </mc:Choice>
          <mc:Fallback>
            <w:pict>
              <v:shape style="position:absolute;margin-left:44.025002pt;margin-top:18.158789pt;width:507.5pt;height:28.25pt;mso-position-horizontal-relative:page;mso-position-vertical-relative:paragraph;z-index:-15645696;mso-wrap-distance-left:0;mso-wrap-distance-right:0" type="#_x0000_t202" id="docshape267" filled="true" fillcolor="#c1a875" stroked="true" strokeweight="3pt" strokecolor="#394871">
                <v:textbox inset="0,0,0,0">
                  <w:txbxContent>
                    <w:p>
                      <w:pPr>
                        <w:spacing w:before="110"/>
                        <w:ind w:left="1020" w:right="0" w:firstLine="0"/>
                        <w:jc w:val="left"/>
                        <w:rPr>
                          <w:b/>
                          <w:color w:val="000000"/>
                          <w:sz w:val="24"/>
                        </w:rPr>
                      </w:pPr>
                      <w:r>
                        <w:rPr>
                          <w:b/>
                          <w:color w:val="000000"/>
                          <w:sz w:val="24"/>
                        </w:rPr>
                        <w:t>REGIONAL</w:t>
                      </w:r>
                      <w:r>
                        <w:rPr>
                          <w:b/>
                          <w:color w:val="000000"/>
                          <w:spacing w:val="-8"/>
                          <w:sz w:val="24"/>
                        </w:rPr>
                        <w:t> </w:t>
                      </w:r>
                      <w:r>
                        <w:rPr>
                          <w:b/>
                          <w:color w:val="000000"/>
                          <w:sz w:val="24"/>
                        </w:rPr>
                        <w:t>RESEARCH,</w:t>
                      </w:r>
                      <w:r>
                        <w:rPr>
                          <w:b/>
                          <w:color w:val="000000"/>
                          <w:spacing w:val="-6"/>
                          <w:sz w:val="24"/>
                        </w:rPr>
                        <w:t> </w:t>
                      </w:r>
                      <w:r>
                        <w:rPr>
                          <w:b/>
                          <w:color w:val="000000"/>
                          <w:sz w:val="24"/>
                        </w:rPr>
                        <w:t>INNOVATION</w:t>
                      </w:r>
                      <w:r>
                        <w:rPr>
                          <w:b/>
                          <w:color w:val="000000"/>
                          <w:spacing w:val="-3"/>
                          <w:sz w:val="24"/>
                        </w:rPr>
                        <w:t> </w:t>
                      </w:r>
                      <w:r>
                        <w:rPr>
                          <w:b/>
                          <w:color w:val="000000"/>
                          <w:sz w:val="24"/>
                        </w:rPr>
                        <w:t>AND</w:t>
                      </w:r>
                      <w:r>
                        <w:rPr>
                          <w:b/>
                          <w:color w:val="000000"/>
                          <w:spacing w:val="-3"/>
                          <w:sz w:val="24"/>
                        </w:rPr>
                        <w:t> </w:t>
                      </w:r>
                      <w:r>
                        <w:rPr>
                          <w:b/>
                          <w:color w:val="000000"/>
                          <w:sz w:val="24"/>
                        </w:rPr>
                        <w:t>EXCELLENCE</w:t>
                      </w:r>
                      <w:r>
                        <w:rPr>
                          <w:b/>
                          <w:color w:val="000000"/>
                          <w:spacing w:val="2"/>
                          <w:sz w:val="24"/>
                        </w:rPr>
                        <w:t> </w:t>
                      </w:r>
                      <w:r>
                        <w:rPr>
                          <w:b/>
                          <w:color w:val="000000"/>
                          <w:spacing w:val="-2"/>
                          <w:sz w:val="24"/>
                        </w:rPr>
                        <w:t>SUBGROUP</w:t>
                      </w:r>
                    </w:p>
                  </w:txbxContent>
                </v:textbox>
                <v:fill type="solid"/>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71296">
                <wp:simplePos x="0" y="0"/>
                <wp:positionH relativeFrom="page">
                  <wp:posOffset>554355</wp:posOffset>
                </wp:positionH>
                <wp:positionV relativeFrom="paragraph">
                  <wp:posOffset>784908</wp:posOffset>
                </wp:positionV>
                <wp:extent cx="6454775" cy="349250"/>
                <wp:effectExtent l="0" t="0" r="0" b="0"/>
                <wp:wrapTopAndBottom/>
                <wp:docPr id="489" name="Textbox 489"/>
                <wp:cNvGraphicFramePr>
                  <a:graphicFrameLocks/>
                </wp:cNvGraphicFramePr>
                <a:graphic>
                  <a:graphicData uri="http://schemas.microsoft.com/office/word/2010/wordprocessingShape">
                    <wps:wsp>
                      <wps:cNvPr id="489" name="Textbox 489"/>
                      <wps:cNvSpPr txBox="1"/>
                      <wps:spPr>
                        <a:xfrm>
                          <a:off x="0" y="0"/>
                          <a:ext cx="6454775" cy="349250"/>
                        </a:xfrm>
                        <a:prstGeom prst="rect">
                          <a:avLst/>
                        </a:prstGeom>
                        <a:solidFill>
                          <a:srgbClr val="394871"/>
                        </a:solidFill>
                        <a:ln w="28575">
                          <a:solidFill>
                            <a:srgbClr val="C1A875"/>
                          </a:solidFill>
                          <a:prstDash val="solid"/>
                        </a:ln>
                      </wps:spPr>
                      <wps:txbx>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wps:txbx>
                      <wps:bodyPr wrap="square" lIns="0" tIns="0" rIns="0" bIns="0" rtlCol="0">
                        <a:noAutofit/>
                      </wps:bodyPr>
                    </wps:wsp>
                  </a:graphicData>
                </a:graphic>
              </wp:anchor>
            </w:drawing>
          </mc:Choice>
          <mc:Fallback>
            <w:pict>
              <v:shape style="position:absolute;margin-left:43.650002pt;margin-top:61.803787pt;width:508.25pt;height:27.5pt;mso-position-horizontal-relative:page;mso-position-vertical-relative:paragraph;z-index:-15645184;mso-wrap-distance-left:0;mso-wrap-distance-right:0" type="#_x0000_t202" id="docshape268" filled="true" fillcolor="#394871" stroked="true" strokeweight="2.25pt" strokecolor="#c1a875">
                <v:textbox inset="0,0,0,0">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v:textbox>
                <v:fill type="solid"/>
                <v:stroke dashstyle="solid"/>
                <w10:wrap type="topAndBottom"/>
              </v:shape>
            </w:pict>
          </mc:Fallback>
        </mc:AlternateContent>
      </w:r>
    </w:p>
    <w:p>
      <w:pPr>
        <w:pStyle w:val="BodyText"/>
        <w:spacing w:before="30"/>
        <w:rPr>
          <w:sz w:val="20"/>
        </w:rPr>
      </w:pPr>
    </w:p>
    <w:p>
      <w:pPr>
        <w:pStyle w:val="BodyText"/>
        <w:spacing w:before="22"/>
        <w:rPr>
          <w:sz w:val="20"/>
        </w:rPr>
      </w:pPr>
    </w:p>
    <w:tbl>
      <w:tblPr>
        <w:tblW w:w="0" w:type="auto"/>
        <w:jc w:val="left"/>
        <w:tblInd w:w="147" w:type="dxa"/>
        <w:tblBorders>
          <w:top w:val="single" w:sz="2" w:space="0" w:color="394871"/>
          <w:left w:val="single" w:sz="2" w:space="0" w:color="394871"/>
          <w:bottom w:val="single" w:sz="2" w:space="0" w:color="394871"/>
          <w:right w:val="single" w:sz="2" w:space="0" w:color="394871"/>
          <w:insideH w:val="single" w:sz="2" w:space="0" w:color="394871"/>
          <w:insideV w:val="single" w:sz="2" w:space="0" w:color="394871"/>
        </w:tblBorders>
        <w:tblLayout w:type="fixed"/>
        <w:tblCellMar>
          <w:top w:w="0" w:type="dxa"/>
          <w:left w:w="0" w:type="dxa"/>
          <w:bottom w:w="0" w:type="dxa"/>
          <w:right w:w="0" w:type="dxa"/>
        </w:tblCellMar>
        <w:tblLook w:val="01E0"/>
      </w:tblPr>
      <w:tblGrid>
        <w:gridCol w:w="1411"/>
        <w:gridCol w:w="2697"/>
        <w:gridCol w:w="1422"/>
        <w:gridCol w:w="4678"/>
      </w:tblGrid>
      <w:tr>
        <w:trPr>
          <w:trHeight w:val="300" w:hRule="atLeast"/>
        </w:trPr>
        <w:tc>
          <w:tcPr>
            <w:tcW w:w="1411" w:type="dxa"/>
            <w:shd w:val="clear" w:color="auto" w:fill="C1A875"/>
          </w:tcPr>
          <w:p>
            <w:pPr>
              <w:pStyle w:val="TableParagraph"/>
              <w:spacing w:line="265" w:lineRule="exact" w:before="15"/>
              <w:jc w:val="center"/>
              <w:rPr>
                <w:b/>
                <w:sz w:val="24"/>
              </w:rPr>
            </w:pPr>
            <w:r>
              <w:rPr>
                <w:b/>
                <w:spacing w:val="-2"/>
                <w:sz w:val="24"/>
              </w:rPr>
              <w:t>Version</w:t>
            </w:r>
          </w:p>
        </w:tc>
        <w:tc>
          <w:tcPr>
            <w:tcW w:w="2697" w:type="dxa"/>
            <w:shd w:val="clear" w:color="auto" w:fill="C1A875"/>
          </w:tcPr>
          <w:p>
            <w:pPr>
              <w:pStyle w:val="TableParagraph"/>
              <w:spacing w:line="265" w:lineRule="exact" w:before="15"/>
              <w:ind w:left="787"/>
              <w:rPr>
                <w:b/>
                <w:sz w:val="24"/>
              </w:rPr>
            </w:pPr>
            <w:r>
              <w:rPr>
                <w:b/>
                <w:sz w:val="24"/>
              </w:rPr>
              <w:t>Issued</w:t>
            </w:r>
            <w:r>
              <w:rPr>
                <w:b/>
                <w:spacing w:val="-5"/>
                <w:sz w:val="24"/>
              </w:rPr>
              <w:t> To</w:t>
            </w:r>
          </w:p>
        </w:tc>
        <w:tc>
          <w:tcPr>
            <w:tcW w:w="1422" w:type="dxa"/>
            <w:shd w:val="clear" w:color="auto" w:fill="C1A875"/>
          </w:tcPr>
          <w:p>
            <w:pPr>
              <w:pStyle w:val="TableParagraph"/>
              <w:spacing w:line="265" w:lineRule="exact" w:before="15"/>
              <w:ind w:left="9"/>
              <w:jc w:val="center"/>
              <w:rPr>
                <w:b/>
                <w:sz w:val="24"/>
              </w:rPr>
            </w:pPr>
            <w:r>
              <w:rPr>
                <w:b/>
                <w:spacing w:val="-4"/>
                <w:sz w:val="24"/>
              </w:rPr>
              <w:t>Date</w:t>
            </w:r>
          </w:p>
        </w:tc>
        <w:tc>
          <w:tcPr>
            <w:tcW w:w="4678" w:type="dxa"/>
            <w:shd w:val="clear" w:color="auto" w:fill="C1A875"/>
          </w:tcPr>
          <w:p>
            <w:pPr>
              <w:pStyle w:val="TableParagraph"/>
              <w:spacing w:line="265" w:lineRule="exact" w:before="15"/>
              <w:ind w:left="11" w:right="1"/>
              <w:jc w:val="center"/>
              <w:rPr>
                <w:b/>
                <w:sz w:val="24"/>
              </w:rPr>
            </w:pPr>
            <w:r>
              <w:rPr>
                <w:b/>
                <w:spacing w:val="-2"/>
                <w:sz w:val="24"/>
              </w:rPr>
              <w:t>Comments</w:t>
            </w:r>
          </w:p>
        </w:tc>
      </w:tr>
      <w:tr>
        <w:trPr>
          <w:trHeight w:val="550" w:hRule="atLeast"/>
        </w:trPr>
        <w:tc>
          <w:tcPr>
            <w:tcW w:w="1411" w:type="dxa"/>
            <w:shd w:val="clear" w:color="auto" w:fill="C1A875"/>
          </w:tcPr>
          <w:p>
            <w:pPr>
              <w:pStyle w:val="TableParagraph"/>
              <w:spacing w:before="140"/>
              <w:jc w:val="center"/>
              <w:rPr>
                <w:sz w:val="24"/>
              </w:rPr>
            </w:pPr>
            <w:r>
              <w:rPr>
                <w:spacing w:val="-4"/>
                <w:sz w:val="24"/>
              </w:rPr>
              <w:t>V1.0</w:t>
            </w:r>
          </w:p>
        </w:tc>
        <w:tc>
          <w:tcPr>
            <w:tcW w:w="2697" w:type="dxa"/>
          </w:tcPr>
          <w:p>
            <w:pPr>
              <w:pStyle w:val="TableParagraph"/>
              <w:spacing w:line="276" w:lineRule="exact"/>
              <w:ind w:left="107"/>
              <w:rPr>
                <w:sz w:val="24"/>
              </w:rPr>
            </w:pPr>
            <w:r>
              <w:rPr>
                <w:sz w:val="24"/>
              </w:rPr>
              <w:t>Regional</w:t>
            </w:r>
            <w:r>
              <w:rPr>
                <w:spacing w:val="-17"/>
                <w:sz w:val="24"/>
              </w:rPr>
              <w:t> </w:t>
            </w:r>
            <w:r>
              <w:rPr>
                <w:sz w:val="24"/>
              </w:rPr>
              <w:t>Joint </w:t>
            </w:r>
            <w:r>
              <w:rPr>
                <w:spacing w:val="-2"/>
                <w:sz w:val="24"/>
              </w:rPr>
              <w:t>Committee</w:t>
            </w:r>
          </w:p>
        </w:tc>
        <w:tc>
          <w:tcPr>
            <w:tcW w:w="1422" w:type="dxa"/>
          </w:tcPr>
          <w:p>
            <w:pPr>
              <w:pStyle w:val="TableParagraph"/>
              <w:spacing w:before="5"/>
              <w:ind w:left="9" w:right="2"/>
              <w:jc w:val="center"/>
              <w:rPr>
                <w:sz w:val="24"/>
              </w:rPr>
            </w:pPr>
            <w:r>
              <w:rPr>
                <w:spacing w:val="-2"/>
                <w:sz w:val="24"/>
              </w:rPr>
              <w:t>16/04/2026</w:t>
            </w:r>
          </w:p>
        </w:tc>
        <w:tc>
          <w:tcPr>
            <w:tcW w:w="4678" w:type="dxa"/>
          </w:tcPr>
          <w:p>
            <w:pPr>
              <w:pStyle w:val="TableParagraph"/>
              <w:ind w:left="10" w:right="9"/>
              <w:jc w:val="center"/>
              <w:rPr>
                <w:sz w:val="24"/>
              </w:rPr>
            </w:pPr>
            <w:r>
              <w:rPr>
                <w:spacing w:val="-2"/>
                <w:sz w:val="24"/>
              </w:rPr>
              <w:t>For</w:t>
            </w:r>
            <w:r>
              <w:rPr>
                <w:spacing w:val="-12"/>
                <w:sz w:val="24"/>
              </w:rPr>
              <w:t> </w:t>
            </w:r>
            <w:r>
              <w:rPr>
                <w:spacing w:val="-2"/>
                <w:sz w:val="24"/>
              </w:rPr>
              <w:t>Discussion</w:t>
            </w:r>
          </w:p>
        </w:tc>
      </w:tr>
      <w:tr>
        <w:trPr>
          <w:trHeight w:val="599" w:hRule="atLeast"/>
        </w:trPr>
        <w:tc>
          <w:tcPr>
            <w:tcW w:w="1411" w:type="dxa"/>
            <w:shd w:val="clear" w:color="auto" w:fill="C1A875"/>
          </w:tcPr>
          <w:p>
            <w:pPr>
              <w:pStyle w:val="TableParagraph"/>
              <w:spacing w:before="158"/>
              <w:jc w:val="center"/>
              <w:rPr>
                <w:sz w:val="24"/>
              </w:rPr>
            </w:pPr>
            <w:r>
              <w:rPr>
                <w:spacing w:val="-5"/>
                <w:sz w:val="24"/>
              </w:rPr>
              <w:t>V.2</w:t>
            </w:r>
          </w:p>
        </w:tc>
        <w:tc>
          <w:tcPr>
            <w:tcW w:w="2697" w:type="dxa"/>
          </w:tcPr>
          <w:p>
            <w:pPr>
              <w:pStyle w:val="TableParagraph"/>
              <w:spacing w:before="3"/>
              <w:ind w:left="107"/>
              <w:rPr>
                <w:sz w:val="24"/>
              </w:rPr>
            </w:pPr>
            <w:r>
              <w:rPr>
                <w:sz w:val="24"/>
              </w:rPr>
              <w:t>Executive</w:t>
            </w:r>
            <w:r>
              <w:rPr>
                <w:spacing w:val="-4"/>
                <w:sz w:val="24"/>
              </w:rPr>
              <w:t> </w:t>
            </w:r>
            <w:r>
              <w:rPr>
                <w:spacing w:val="-2"/>
                <w:sz w:val="24"/>
              </w:rPr>
              <w:t>Medical</w:t>
            </w:r>
          </w:p>
          <w:p>
            <w:pPr>
              <w:pStyle w:val="TableParagraph"/>
              <w:spacing w:line="275" w:lineRule="exact" w:before="24"/>
              <w:ind w:left="107"/>
              <w:rPr>
                <w:sz w:val="24"/>
              </w:rPr>
            </w:pPr>
            <w:r>
              <w:rPr>
                <w:spacing w:val="-2"/>
                <w:sz w:val="24"/>
              </w:rPr>
              <w:t>Director(s)</w:t>
            </w:r>
          </w:p>
        </w:tc>
        <w:tc>
          <w:tcPr>
            <w:tcW w:w="1422" w:type="dxa"/>
          </w:tcPr>
          <w:p>
            <w:pPr>
              <w:pStyle w:val="TableParagraph"/>
              <w:spacing w:before="3"/>
              <w:ind w:left="9" w:right="1"/>
              <w:jc w:val="center"/>
              <w:rPr>
                <w:sz w:val="24"/>
              </w:rPr>
            </w:pPr>
            <w:r>
              <w:rPr>
                <w:spacing w:val="-2"/>
                <w:sz w:val="24"/>
              </w:rPr>
              <w:t>15/09/2026</w:t>
            </w:r>
          </w:p>
        </w:tc>
        <w:tc>
          <w:tcPr>
            <w:tcW w:w="4678" w:type="dxa"/>
          </w:tcPr>
          <w:p>
            <w:pPr>
              <w:pStyle w:val="TableParagraph"/>
              <w:spacing w:before="3"/>
              <w:ind w:left="10" w:right="11"/>
              <w:jc w:val="center"/>
              <w:rPr>
                <w:sz w:val="24"/>
              </w:rPr>
            </w:pPr>
            <w:r>
              <w:rPr>
                <w:sz w:val="24"/>
              </w:rPr>
              <w:t>Updated</w:t>
            </w:r>
            <w:r>
              <w:rPr>
                <w:spacing w:val="-3"/>
                <w:sz w:val="24"/>
              </w:rPr>
              <w:t> </w:t>
            </w:r>
            <w:r>
              <w:rPr>
                <w:sz w:val="24"/>
              </w:rPr>
              <w:t>to</w:t>
            </w:r>
            <w:r>
              <w:rPr>
                <w:spacing w:val="-3"/>
                <w:sz w:val="24"/>
              </w:rPr>
              <w:t> </w:t>
            </w:r>
            <w:r>
              <w:rPr>
                <w:sz w:val="24"/>
              </w:rPr>
              <w:t>align</w:t>
            </w:r>
            <w:r>
              <w:rPr>
                <w:spacing w:val="-2"/>
                <w:sz w:val="24"/>
              </w:rPr>
              <w:t> </w:t>
            </w:r>
            <w:r>
              <w:rPr>
                <w:sz w:val="24"/>
              </w:rPr>
              <w:t>with</w:t>
            </w:r>
            <w:r>
              <w:rPr>
                <w:spacing w:val="-3"/>
                <w:sz w:val="24"/>
              </w:rPr>
              <w:t> </w:t>
            </w:r>
            <w:r>
              <w:rPr>
                <w:sz w:val="24"/>
              </w:rPr>
              <w:t>revised</w:t>
            </w:r>
            <w:r>
              <w:rPr>
                <w:spacing w:val="-3"/>
                <w:sz w:val="24"/>
              </w:rPr>
              <w:t> </w:t>
            </w:r>
            <w:r>
              <w:rPr>
                <w:sz w:val="24"/>
              </w:rPr>
              <w:t>RJC</w:t>
            </w:r>
            <w:r>
              <w:rPr>
                <w:spacing w:val="-2"/>
                <w:sz w:val="24"/>
              </w:rPr>
              <w:t> Terms</w:t>
            </w:r>
          </w:p>
          <w:p>
            <w:pPr>
              <w:pStyle w:val="TableParagraph"/>
              <w:spacing w:line="275" w:lineRule="exact" w:before="24"/>
              <w:ind w:left="10" w:right="5"/>
              <w:jc w:val="center"/>
              <w:rPr>
                <w:sz w:val="24"/>
              </w:rPr>
            </w:pPr>
            <w:r>
              <w:rPr>
                <w:sz w:val="24"/>
              </w:rPr>
              <w:t>of</w:t>
            </w:r>
            <w:r>
              <w:rPr>
                <w:spacing w:val="-3"/>
                <w:sz w:val="24"/>
              </w:rPr>
              <w:t> </w:t>
            </w:r>
            <w:r>
              <w:rPr>
                <w:spacing w:val="-2"/>
                <w:sz w:val="24"/>
              </w:rPr>
              <w:t>Reference</w:t>
            </w:r>
          </w:p>
        </w:tc>
      </w:tr>
      <w:tr>
        <w:trPr>
          <w:trHeight w:val="595" w:hRule="atLeast"/>
        </w:trPr>
        <w:tc>
          <w:tcPr>
            <w:tcW w:w="1411" w:type="dxa"/>
            <w:shd w:val="clear" w:color="auto" w:fill="C1A875"/>
          </w:tcPr>
          <w:p>
            <w:pPr>
              <w:pStyle w:val="TableParagraph"/>
              <w:spacing w:before="160"/>
              <w:jc w:val="center"/>
              <w:rPr>
                <w:sz w:val="24"/>
              </w:rPr>
            </w:pPr>
            <w:r>
              <w:rPr>
                <w:spacing w:val="-5"/>
                <w:sz w:val="24"/>
              </w:rPr>
              <w:t>V.2</w:t>
            </w:r>
          </w:p>
        </w:tc>
        <w:tc>
          <w:tcPr>
            <w:tcW w:w="2697" w:type="dxa"/>
          </w:tcPr>
          <w:p>
            <w:pPr>
              <w:pStyle w:val="TableParagraph"/>
              <w:spacing w:before="5"/>
              <w:ind w:left="107"/>
              <w:rPr>
                <w:sz w:val="24"/>
              </w:rPr>
            </w:pPr>
            <w:r>
              <w:rPr>
                <w:sz w:val="24"/>
              </w:rPr>
              <w:t>Regional</w:t>
            </w:r>
            <w:r>
              <w:rPr>
                <w:spacing w:val="-4"/>
                <w:sz w:val="24"/>
              </w:rPr>
              <w:t> </w:t>
            </w:r>
            <w:r>
              <w:rPr>
                <w:spacing w:val="-2"/>
                <w:sz w:val="24"/>
              </w:rPr>
              <w:t>Joint</w:t>
            </w:r>
          </w:p>
          <w:p>
            <w:pPr>
              <w:pStyle w:val="TableParagraph"/>
              <w:spacing w:line="275" w:lineRule="exact" w:before="19"/>
              <w:ind w:left="107"/>
              <w:rPr>
                <w:sz w:val="24"/>
              </w:rPr>
            </w:pPr>
            <w:r>
              <w:rPr>
                <w:spacing w:val="-2"/>
                <w:sz w:val="24"/>
              </w:rPr>
              <w:t>Committee</w:t>
            </w:r>
          </w:p>
        </w:tc>
        <w:tc>
          <w:tcPr>
            <w:tcW w:w="1422" w:type="dxa"/>
          </w:tcPr>
          <w:p>
            <w:pPr>
              <w:pStyle w:val="TableParagraph"/>
              <w:spacing w:before="5"/>
              <w:ind w:left="9" w:right="2"/>
              <w:jc w:val="center"/>
              <w:rPr>
                <w:sz w:val="24"/>
              </w:rPr>
            </w:pPr>
            <w:r>
              <w:rPr>
                <w:spacing w:val="-2"/>
                <w:sz w:val="24"/>
              </w:rPr>
              <w:t>13/10/2026</w:t>
            </w:r>
          </w:p>
        </w:tc>
        <w:tc>
          <w:tcPr>
            <w:tcW w:w="4678" w:type="dxa"/>
          </w:tcPr>
          <w:p>
            <w:pPr>
              <w:pStyle w:val="TableParagraph"/>
              <w:spacing w:before="5"/>
              <w:ind w:left="10" w:right="5"/>
              <w:jc w:val="center"/>
              <w:rPr>
                <w:sz w:val="24"/>
              </w:rPr>
            </w:pPr>
            <w:r>
              <w:rPr>
                <w:sz w:val="24"/>
              </w:rPr>
              <w:t>For</w:t>
            </w:r>
            <w:r>
              <w:rPr>
                <w:spacing w:val="-3"/>
                <w:sz w:val="24"/>
              </w:rPr>
              <w:t> </w:t>
            </w:r>
            <w:r>
              <w:rPr>
                <w:spacing w:val="-2"/>
                <w:sz w:val="24"/>
              </w:rPr>
              <w:t>Approval</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8"/>
        <w:rPr>
          <w:sz w:val="20"/>
        </w:rPr>
      </w:pPr>
    </w:p>
    <w:p>
      <w:pPr>
        <w:spacing w:before="0"/>
        <w:ind w:left="4" w:right="284" w:firstLine="0"/>
        <w:jc w:val="center"/>
        <w:rPr>
          <w:sz w:val="20"/>
        </w:rPr>
      </w:pPr>
      <w:r>
        <w:rPr>
          <w:spacing w:val="-10"/>
          <w:sz w:val="20"/>
        </w:rPr>
        <w:t>1</w:t>
      </w:r>
    </w:p>
    <w:p>
      <w:pPr>
        <w:spacing w:after="0"/>
        <w:jc w:val="center"/>
        <w:rPr>
          <w:sz w:val="20"/>
        </w:rPr>
        <w:sectPr>
          <w:pgSz w:w="11910" w:h="16840"/>
          <w:pgMar w:header="0" w:footer="149" w:top="980" w:bottom="340" w:left="708" w:right="425"/>
        </w:sectPr>
      </w:pPr>
    </w:p>
    <w:p>
      <w:pPr>
        <w:pStyle w:val="BodyText"/>
        <w:rPr>
          <w:sz w:val="20"/>
        </w:rPr>
      </w:pPr>
    </w:p>
    <w:p>
      <w:pPr>
        <w:pStyle w:val="BodyText"/>
        <w:rPr>
          <w:sz w:val="20"/>
        </w:rPr>
      </w:pPr>
    </w:p>
    <w:p>
      <w:pPr>
        <w:pStyle w:val="BodyText"/>
        <w:rPr>
          <w:sz w:val="20"/>
        </w:rPr>
      </w:pPr>
    </w:p>
    <w:p>
      <w:pPr>
        <w:pStyle w:val="BodyText"/>
        <w:spacing w:before="56"/>
        <w:rPr>
          <w:sz w:val="20"/>
        </w:rPr>
      </w:pPr>
    </w:p>
    <w:p>
      <w:pPr>
        <w:spacing w:line="240" w:lineRule="auto"/>
        <w:ind w:left="187" w:right="0" w:firstLine="0"/>
        <w:rPr>
          <w:sz w:val="20"/>
        </w:rPr>
      </w:pPr>
      <w:r>
        <w:rPr>
          <w:sz w:val="20"/>
        </w:rPr>
        <mc:AlternateContent>
          <mc:Choice Requires="wps">
            <w:drawing>
              <wp:inline distT="0" distB="0" distL="0" distR="0">
                <wp:extent cx="6642100" cy="190500"/>
                <wp:effectExtent l="9525" t="0" r="6350" b="9525"/>
                <wp:docPr id="490" name="Textbox 490"/>
                <wp:cNvGraphicFramePr>
                  <a:graphicFrameLocks/>
                </wp:cNvGraphicFramePr>
                <a:graphic>
                  <a:graphicData uri="http://schemas.microsoft.com/office/word/2010/wordprocessingShape">
                    <wps:wsp>
                      <wps:cNvPr id="490" name="Textbox 490"/>
                      <wps:cNvSpPr txBox="1"/>
                      <wps:spPr>
                        <a:xfrm>
                          <a:off x="0" y="0"/>
                          <a:ext cx="6642100" cy="19050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1</w:t>
                            </w:r>
                            <w:r>
                              <w:rPr>
                                <w:b/>
                                <w:color w:val="000000"/>
                                <w:sz w:val="24"/>
                              </w:rPr>
                              <w:tab/>
                            </w:r>
                            <w:r>
                              <w:rPr>
                                <w:b/>
                                <w:color w:val="000000"/>
                                <w:spacing w:val="-2"/>
                                <w:sz w:val="24"/>
                              </w:rPr>
                              <w:t>Constitution</w:t>
                            </w:r>
                          </w:p>
                        </w:txbxContent>
                      </wps:txbx>
                      <wps:bodyPr wrap="square" lIns="0" tIns="0" rIns="0" bIns="0" rtlCol="0">
                        <a:noAutofit/>
                      </wps:bodyPr>
                    </wps:wsp>
                  </a:graphicData>
                </a:graphic>
              </wp:inline>
            </w:drawing>
          </mc:Choice>
          <mc:Fallback>
            <w:pict>
              <v:shape style="width:523pt;height:15pt;mso-position-horizontal-relative:char;mso-position-vertical-relative:line" type="#_x0000_t202" id="docshape269" filled="true" fillcolor="#c1a875" stroked="true" strokeweight="1pt" strokecolor="#394871">
                <w10:anchorlock/>
                <v:textbox inset="0,0,0,0">
                  <w:txbxContent>
                    <w:p>
                      <w:pPr>
                        <w:tabs>
                          <w:tab w:pos="815" w:val="left" w:leader="none"/>
                        </w:tabs>
                        <w:spacing w:before="0"/>
                        <w:ind w:left="95" w:right="0" w:firstLine="0"/>
                        <w:jc w:val="left"/>
                        <w:rPr>
                          <w:b/>
                          <w:color w:val="000000"/>
                          <w:sz w:val="24"/>
                        </w:rPr>
                      </w:pPr>
                      <w:r>
                        <w:rPr>
                          <w:b/>
                          <w:color w:val="000000"/>
                          <w:spacing w:val="-10"/>
                          <w:sz w:val="24"/>
                        </w:rPr>
                        <w:t>1</w:t>
                      </w:r>
                      <w:r>
                        <w:rPr>
                          <w:b/>
                          <w:color w:val="000000"/>
                          <w:sz w:val="24"/>
                        </w:rPr>
                        <w:tab/>
                      </w:r>
                      <w:r>
                        <w:rPr>
                          <w:b/>
                          <w:color w:val="000000"/>
                          <w:spacing w:val="-2"/>
                          <w:sz w:val="24"/>
                        </w:rPr>
                        <w:t>Constitution</w:t>
                      </w:r>
                    </w:p>
                  </w:txbxContent>
                </v:textbox>
                <v:fill type="solid"/>
                <v:stroke dashstyle="solid"/>
              </v:shape>
            </w:pict>
          </mc:Fallback>
        </mc:AlternateContent>
      </w:r>
      <w:r>
        <w:rPr>
          <w:sz w:val="20"/>
        </w:rPr>
      </w:r>
    </w:p>
    <w:p>
      <w:pPr>
        <w:pStyle w:val="ListParagraph"/>
        <w:numPr>
          <w:ilvl w:val="1"/>
          <w:numId w:val="58"/>
        </w:numPr>
        <w:tabs>
          <w:tab w:pos="860" w:val="left" w:leader="none"/>
          <w:tab w:pos="862" w:val="left" w:leader="none"/>
        </w:tabs>
        <w:spacing w:line="242" w:lineRule="auto" w:before="135" w:after="0"/>
        <w:ind w:left="862" w:right="536" w:hanging="720"/>
        <w:jc w:val="both"/>
        <w:rPr>
          <w:sz w:val="24"/>
        </w:rPr>
      </w:pPr>
      <w:r>
        <w:rPr>
          <w:sz w:val="24"/>
        </w:rPr>
        <mc:AlternateContent>
          <mc:Choice Requires="wps">
            <w:drawing>
              <wp:anchor distT="0" distB="0" distL="0" distR="0" allowOverlap="1" layoutInCell="1" locked="0" behindDoc="0" simplePos="0" relativeHeight="15815680">
                <wp:simplePos x="0" y="0"/>
                <wp:positionH relativeFrom="page">
                  <wp:posOffset>540067</wp:posOffset>
                </wp:positionH>
                <wp:positionV relativeFrom="paragraph">
                  <wp:posOffset>-838453</wp:posOffset>
                </wp:positionV>
                <wp:extent cx="6486525" cy="387350"/>
                <wp:effectExtent l="0" t="0" r="0" b="0"/>
                <wp:wrapNone/>
                <wp:docPr id="491" name="Textbox 491"/>
                <wp:cNvGraphicFramePr>
                  <a:graphicFrameLocks/>
                </wp:cNvGraphicFramePr>
                <a:graphic>
                  <a:graphicData uri="http://schemas.microsoft.com/office/word/2010/wordprocessingShape">
                    <wps:wsp>
                      <wps:cNvPr id="491" name="Textbox 491"/>
                      <wps:cNvSpPr txBox="1"/>
                      <wps:spPr>
                        <a:xfrm>
                          <a:off x="0" y="0"/>
                          <a:ext cx="6486525" cy="387350"/>
                        </a:xfrm>
                        <a:prstGeom prst="rect">
                          <a:avLst/>
                        </a:prstGeom>
                        <a:solidFill>
                          <a:srgbClr val="394871"/>
                        </a:solidFill>
                        <a:ln w="38100">
                          <a:solidFill>
                            <a:srgbClr val="C1A875"/>
                          </a:solidFill>
                          <a:prstDash val="solid"/>
                        </a:ln>
                      </wps:spPr>
                      <wps:txbx>
                        <w:txbxContent>
                          <w:p>
                            <w:pPr>
                              <w:spacing w:before="0"/>
                              <w:ind w:left="1130" w:right="0" w:firstLine="0"/>
                              <w:jc w:val="left"/>
                              <w:rPr>
                                <w:b/>
                                <w:color w:val="000000"/>
                                <w:sz w:val="24"/>
                              </w:rPr>
                            </w:pPr>
                            <w:r>
                              <w:rPr>
                                <w:b/>
                                <w:color w:val="FFFFFF"/>
                                <w:spacing w:val="-4"/>
                                <w:sz w:val="24"/>
                              </w:rPr>
                              <w:t>REGIONAL</w:t>
                            </w:r>
                            <w:r>
                              <w:rPr>
                                <w:b/>
                                <w:color w:val="FFFFFF"/>
                                <w:spacing w:val="-5"/>
                                <w:sz w:val="24"/>
                              </w:rPr>
                              <w:t> </w:t>
                            </w:r>
                            <w:r>
                              <w:rPr>
                                <w:b/>
                                <w:color w:val="FFFFFF"/>
                                <w:spacing w:val="-4"/>
                                <w:sz w:val="24"/>
                              </w:rPr>
                              <w:t>RESEARCH,</w:t>
                            </w:r>
                            <w:r>
                              <w:rPr>
                                <w:b/>
                                <w:color w:val="FFFFFF"/>
                                <w:sz w:val="24"/>
                              </w:rPr>
                              <w:t> </w:t>
                            </w:r>
                            <w:r>
                              <w:rPr>
                                <w:b/>
                                <w:color w:val="FFFFFF"/>
                                <w:spacing w:val="-4"/>
                                <w:sz w:val="24"/>
                              </w:rPr>
                              <w:t>INNOVATION</w:t>
                            </w:r>
                            <w:r>
                              <w:rPr>
                                <w:b/>
                                <w:color w:val="FFFFFF"/>
                                <w:sz w:val="24"/>
                              </w:rPr>
                              <w:t> </w:t>
                            </w:r>
                            <w:r>
                              <w:rPr>
                                <w:b/>
                                <w:color w:val="FFFFFF"/>
                                <w:spacing w:val="-4"/>
                                <w:sz w:val="24"/>
                              </w:rPr>
                              <w:t>AND</w:t>
                            </w:r>
                            <w:r>
                              <w:rPr>
                                <w:b/>
                                <w:color w:val="FFFFFF"/>
                                <w:spacing w:val="5"/>
                                <w:sz w:val="24"/>
                              </w:rPr>
                              <w:t> </w:t>
                            </w:r>
                            <w:r>
                              <w:rPr>
                                <w:b/>
                                <w:color w:val="FFFFFF"/>
                                <w:spacing w:val="-4"/>
                                <w:sz w:val="24"/>
                              </w:rPr>
                              <w:t>EXCELLENCE</w:t>
                            </w:r>
                            <w:r>
                              <w:rPr>
                                <w:b/>
                                <w:color w:val="FFFFFF"/>
                                <w:spacing w:val="3"/>
                                <w:sz w:val="24"/>
                              </w:rPr>
                              <w:t> </w:t>
                            </w:r>
                            <w:r>
                              <w:rPr>
                                <w:b/>
                                <w:color w:val="FFFFFF"/>
                                <w:spacing w:val="-4"/>
                                <w:sz w:val="24"/>
                              </w:rPr>
                              <w:t>SUBGROUP</w:t>
                            </w:r>
                          </w:p>
                        </w:txbxContent>
                      </wps:txbx>
                      <wps:bodyPr wrap="square" lIns="0" tIns="0" rIns="0" bIns="0" rtlCol="0">
                        <a:noAutofit/>
                      </wps:bodyPr>
                    </wps:wsp>
                  </a:graphicData>
                </a:graphic>
              </wp:anchor>
            </w:drawing>
          </mc:Choice>
          <mc:Fallback>
            <w:pict>
              <v:shape style="position:absolute;margin-left:42.525002pt;margin-top:-66.019997pt;width:510.75pt;height:30.5pt;mso-position-horizontal-relative:page;mso-position-vertical-relative:paragraph;z-index:15815680" type="#_x0000_t202" id="docshape270" filled="true" fillcolor="#394871" stroked="true" strokeweight="3pt" strokecolor="#c1a875">
                <v:textbox inset="0,0,0,0">
                  <w:txbxContent>
                    <w:p>
                      <w:pPr>
                        <w:spacing w:before="0"/>
                        <w:ind w:left="1130" w:right="0" w:firstLine="0"/>
                        <w:jc w:val="left"/>
                        <w:rPr>
                          <w:b/>
                          <w:color w:val="000000"/>
                          <w:sz w:val="24"/>
                        </w:rPr>
                      </w:pPr>
                      <w:r>
                        <w:rPr>
                          <w:b/>
                          <w:color w:val="FFFFFF"/>
                          <w:spacing w:val="-4"/>
                          <w:sz w:val="24"/>
                        </w:rPr>
                        <w:t>REGIONAL</w:t>
                      </w:r>
                      <w:r>
                        <w:rPr>
                          <w:b/>
                          <w:color w:val="FFFFFF"/>
                          <w:spacing w:val="-5"/>
                          <w:sz w:val="24"/>
                        </w:rPr>
                        <w:t> </w:t>
                      </w:r>
                      <w:r>
                        <w:rPr>
                          <w:b/>
                          <w:color w:val="FFFFFF"/>
                          <w:spacing w:val="-4"/>
                          <w:sz w:val="24"/>
                        </w:rPr>
                        <w:t>RESEARCH,</w:t>
                      </w:r>
                      <w:r>
                        <w:rPr>
                          <w:b/>
                          <w:color w:val="FFFFFF"/>
                          <w:sz w:val="24"/>
                        </w:rPr>
                        <w:t> </w:t>
                      </w:r>
                      <w:r>
                        <w:rPr>
                          <w:b/>
                          <w:color w:val="FFFFFF"/>
                          <w:spacing w:val="-4"/>
                          <w:sz w:val="24"/>
                        </w:rPr>
                        <w:t>INNOVATION</w:t>
                      </w:r>
                      <w:r>
                        <w:rPr>
                          <w:b/>
                          <w:color w:val="FFFFFF"/>
                          <w:sz w:val="24"/>
                        </w:rPr>
                        <w:t> </w:t>
                      </w:r>
                      <w:r>
                        <w:rPr>
                          <w:b/>
                          <w:color w:val="FFFFFF"/>
                          <w:spacing w:val="-4"/>
                          <w:sz w:val="24"/>
                        </w:rPr>
                        <w:t>AND</w:t>
                      </w:r>
                      <w:r>
                        <w:rPr>
                          <w:b/>
                          <w:color w:val="FFFFFF"/>
                          <w:spacing w:val="5"/>
                          <w:sz w:val="24"/>
                        </w:rPr>
                        <w:t> </w:t>
                      </w:r>
                      <w:r>
                        <w:rPr>
                          <w:b/>
                          <w:color w:val="FFFFFF"/>
                          <w:spacing w:val="-4"/>
                          <w:sz w:val="24"/>
                        </w:rPr>
                        <w:t>EXCELLENCE</w:t>
                      </w:r>
                      <w:r>
                        <w:rPr>
                          <w:b/>
                          <w:color w:val="FFFFFF"/>
                          <w:spacing w:val="3"/>
                          <w:sz w:val="24"/>
                        </w:rPr>
                        <w:t> </w:t>
                      </w:r>
                      <w:r>
                        <w:rPr>
                          <w:b/>
                          <w:color w:val="FFFFFF"/>
                          <w:spacing w:val="-4"/>
                          <w:sz w:val="24"/>
                        </w:rPr>
                        <w:t>SUBGROUP</w:t>
                      </w:r>
                    </w:p>
                  </w:txbxContent>
                </v:textbox>
                <v:fill type="solid"/>
                <v:stroke dashstyle="solid"/>
                <w10:wrap type="none"/>
              </v:shape>
            </w:pict>
          </mc:Fallback>
        </mc:AlternateContent>
      </w:r>
      <w:r>
        <w:rPr>
          <w:spacing w:val="-2"/>
          <w:sz w:val="24"/>
        </w:rPr>
        <w:t>The</w:t>
      </w:r>
      <w:r>
        <w:rPr>
          <w:spacing w:val="-10"/>
          <w:sz w:val="24"/>
        </w:rPr>
        <w:t> </w:t>
      </w:r>
      <w:r>
        <w:rPr>
          <w:spacing w:val="-2"/>
          <w:sz w:val="24"/>
        </w:rPr>
        <w:t>Regional</w:t>
      </w:r>
      <w:r>
        <w:rPr>
          <w:spacing w:val="-10"/>
          <w:sz w:val="24"/>
        </w:rPr>
        <w:t> </w:t>
      </w:r>
      <w:r>
        <w:rPr>
          <w:spacing w:val="-2"/>
          <w:sz w:val="24"/>
        </w:rPr>
        <w:t>Joint</w:t>
      </w:r>
      <w:r>
        <w:rPr>
          <w:spacing w:val="-13"/>
          <w:sz w:val="24"/>
        </w:rPr>
        <w:t> </w:t>
      </w:r>
      <w:r>
        <w:rPr>
          <w:spacing w:val="-2"/>
          <w:sz w:val="24"/>
        </w:rPr>
        <w:t>Committee</w:t>
      </w:r>
      <w:r>
        <w:rPr>
          <w:spacing w:val="-10"/>
          <w:sz w:val="24"/>
        </w:rPr>
        <w:t> </w:t>
      </w:r>
      <w:r>
        <w:rPr>
          <w:spacing w:val="-2"/>
          <w:sz w:val="24"/>
        </w:rPr>
        <w:t>(RJC)</w:t>
      </w:r>
      <w:r>
        <w:rPr>
          <w:spacing w:val="-11"/>
          <w:sz w:val="24"/>
        </w:rPr>
        <w:t> </w:t>
      </w:r>
      <w:r>
        <w:rPr>
          <w:spacing w:val="-2"/>
          <w:sz w:val="24"/>
        </w:rPr>
        <w:t>has</w:t>
      </w:r>
      <w:r>
        <w:rPr>
          <w:spacing w:val="-11"/>
          <w:sz w:val="24"/>
        </w:rPr>
        <w:t> </w:t>
      </w:r>
      <w:r>
        <w:rPr>
          <w:spacing w:val="-2"/>
          <w:sz w:val="24"/>
        </w:rPr>
        <w:t>been</w:t>
      </w:r>
      <w:r>
        <w:rPr>
          <w:spacing w:val="-10"/>
          <w:sz w:val="24"/>
        </w:rPr>
        <w:t> </w:t>
      </w:r>
      <w:r>
        <w:rPr>
          <w:spacing w:val="-2"/>
          <w:sz w:val="24"/>
        </w:rPr>
        <w:t>established</w:t>
      </w:r>
      <w:r>
        <w:rPr>
          <w:spacing w:val="-10"/>
          <w:sz w:val="24"/>
        </w:rPr>
        <w:t> </w:t>
      </w:r>
      <w:r>
        <w:rPr>
          <w:spacing w:val="-2"/>
          <w:sz w:val="24"/>
        </w:rPr>
        <w:t>under</w:t>
      </w:r>
      <w:r>
        <w:rPr>
          <w:spacing w:val="-11"/>
          <w:sz w:val="24"/>
        </w:rPr>
        <w:t> </w:t>
      </w:r>
      <w:r>
        <w:rPr>
          <w:spacing w:val="-2"/>
          <w:sz w:val="24"/>
        </w:rPr>
        <w:t>Ministerial</w:t>
      </w:r>
      <w:r>
        <w:rPr>
          <w:spacing w:val="-10"/>
          <w:sz w:val="24"/>
        </w:rPr>
        <w:t> </w:t>
      </w:r>
      <w:r>
        <w:rPr>
          <w:spacing w:val="-2"/>
          <w:sz w:val="24"/>
        </w:rPr>
        <w:t>Direction</w:t>
      </w:r>
      <w:r>
        <w:rPr>
          <w:spacing w:val="-15"/>
          <w:sz w:val="24"/>
        </w:rPr>
        <w:t> </w:t>
      </w:r>
      <w:r>
        <w:rPr>
          <w:spacing w:val="-2"/>
          <w:sz w:val="24"/>
        </w:rPr>
        <w:t>as</w:t>
      </w:r>
      <w:r>
        <w:rPr>
          <w:spacing w:val="-11"/>
          <w:sz w:val="24"/>
        </w:rPr>
        <w:t> </w:t>
      </w:r>
      <w:r>
        <w:rPr>
          <w:spacing w:val="-2"/>
          <w:sz w:val="24"/>
        </w:rPr>
        <w:t>a Joint</w:t>
      </w:r>
      <w:r>
        <w:rPr>
          <w:spacing w:val="-15"/>
          <w:sz w:val="24"/>
        </w:rPr>
        <w:t> </w:t>
      </w:r>
      <w:r>
        <w:rPr>
          <w:spacing w:val="-2"/>
          <w:sz w:val="24"/>
        </w:rPr>
        <w:t>Committee</w:t>
      </w:r>
      <w:r>
        <w:rPr>
          <w:spacing w:val="-15"/>
          <w:sz w:val="24"/>
        </w:rPr>
        <w:t> </w:t>
      </w:r>
      <w:r>
        <w:rPr>
          <w:spacing w:val="-2"/>
          <w:sz w:val="24"/>
        </w:rPr>
        <w:t>of</w:t>
      </w:r>
      <w:r>
        <w:rPr>
          <w:spacing w:val="-10"/>
          <w:sz w:val="24"/>
        </w:rPr>
        <w:t> </w:t>
      </w:r>
      <w:r>
        <w:rPr>
          <w:spacing w:val="-2"/>
          <w:sz w:val="24"/>
        </w:rPr>
        <w:t>Swansea</w:t>
      </w:r>
      <w:r>
        <w:rPr>
          <w:spacing w:val="-8"/>
          <w:sz w:val="24"/>
        </w:rPr>
        <w:t> </w:t>
      </w:r>
      <w:r>
        <w:rPr>
          <w:spacing w:val="-2"/>
          <w:sz w:val="24"/>
        </w:rPr>
        <w:t>Bay</w:t>
      </w:r>
      <w:r>
        <w:rPr>
          <w:spacing w:val="-13"/>
          <w:sz w:val="24"/>
        </w:rPr>
        <w:t> </w:t>
      </w:r>
      <w:r>
        <w:rPr>
          <w:spacing w:val="-2"/>
          <w:sz w:val="24"/>
        </w:rPr>
        <w:t>and</w:t>
      </w:r>
      <w:r>
        <w:rPr>
          <w:spacing w:val="-12"/>
          <w:sz w:val="24"/>
        </w:rPr>
        <w:t> </w:t>
      </w:r>
      <w:r>
        <w:rPr>
          <w:spacing w:val="-2"/>
          <w:sz w:val="24"/>
        </w:rPr>
        <w:t>Hywel</w:t>
      </w:r>
      <w:r>
        <w:rPr>
          <w:spacing w:val="-12"/>
          <w:sz w:val="24"/>
        </w:rPr>
        <w:t> </w:t>
      </w:r>
      <w:r>
        <w:rPr>
          <w:spacing w:val="-2"/>
          <w:sz w:val="24"/>
        </w:rPr>
        <w:t>Dda</w:t>
      </w:r>
      <w:r>
        <w:rPr>
          <w:spacing w:val="-12"/>
          <w:sz w:val="24"/>
        </w:rPr>
        <w:t> </w:t>
      </w:r>
      <w:r>
        <w:rPr>
          <w:spacing w:val="-2"/>
          <w:sz w:val="24"/>
        </w:rPr>
        <w:t>University</w:t>
      </w:r>
      <w:r>
        <w:rPr>
          <w:spacing w:val="-13"/>
          <w:sz w:val="24"/>
        </w:rPr>
        <w:t> </w:t>
      </w:r>
      <w:r>
        <w:rPr>
          <w:spacing w:val="-2"/>
          <w:sz w:val="24"/>
        </w:rPr>
        <w:t>Health</w:t>
      </w:r>
      <w:r>
        <w:rPr>
          <w:spacing w:val="-12"/>
          <w:sz w:val="24"/>
        </w:rPr>
        <w:t> </w:t>
      </w:r>
      <w:r>
        <w:rPr>
          <w:spacing w:val="-2"/>
          <w:sz w:val="24"/>
        </w:rPr>
        <w:t>Boards</w:t>
      </w:r>
      <w:r>
        <w:rPr>
          <w:spacing w:val="-15"/>
          <w:sz w:val="24"/>
        </w:rPr>
        <w:t> </w:t>
      </w:r>
      <w:r>
        <w:rPr>
          <w:spacing w:val="-2"/>
          <w:sz w:val="24"/>
        </w:rPr>
        <w:t>and</w:t>
      </w:r>
      <w:r>
        <w:rPr>
          <w:spacing w:val="-12"/>
          <w:sz w:val="24"/>
        </w:rPr>
        <w:t> </w:t>
      </w:r>
      <w:r>
        <w:rPr>
          <w:spacing w:val="-2"/>
          <w:sz w:val="24"/>
        </w:rPr>
        <w:t>constituted </w:t>
      </w:r>
      <w:r>
        <w:rPr>
          <w:sz w:val="24"/>
        </w:rPr>
        <w:t>from 15 January 2025.</w:t>
      </w:r>
    </w:p>
    <w:p>
      <w:pPr>
        <w:pStyle w:val="ListParagraph"/>
        <w:numPr>
          <w:ilvl w:val="1"/>
          <w:numId w:val="58"/>
        </w:numPr>
        <w:tabs>
          <w:tab w:pos="862" w:val="left" w:leader="none"/>
        </w:tabs>
        <w:spacing w:line="240" w:lineRule="auto" w:before="154" w:after="0"/>
        <w:ind w:left="862" w:right="735" w:hanging="720"/>
        <w:jc w:val="left"/>
        <w:rPr>
          <w:sz w:val="24"/>
        </w:rPr>
      </w:pPr>
      <w:r>
        <w:rPr>
          <w:spacing w:val="-2"/>
          <w:sz w:val="24"/>
        </w:rPr>
        <w:t>The</w:t>
      </w:r>
      <w:r>
        <w:rPr>
          <w:spacing w:val="-12"/>
          <w:sz w:val="24"/>
        </w:rPr>
        <w:t> </w:t>
      </w:r>
      <w:r>
        <w:rPr>
          <w:spacing w:val="-2"/>
          <w:sz w:val="24"/>
        </w:rPr>
        <w:t>Regional</w:t>
      </w:r>
      <w:r>
        <w:rPr>
          <w:spacing w:val="-13"/>
          <w:sz w:val="24"/>
        </w:rPr>
        <w:t> </w:t>
      </w:r>
      <w:r>
        <w:rPr>
          <w:spacing w:val="-2"/>
          <w:sz w:val="24"/>
        </w:rPr>
        <w:t>Research,</w:t>
      </w:r>
      <w:r>
        <w:rPr>
          <w:spacing w:val="-12"/>
          <w:sz w:val="24"/>
        </w:rPr>
        <w:t> </w:t>
      </w:r>
      <w:r>
        <w:rPr>
          <w:spacing w:val="-2"/>
          <w:sz w:val="24"/>
        </w:rPr>
        <w:t>Innovation</w:t>
      </w:r>
      <w:r>
        <w:rPr>
          <w:spacing w:val="-13"/>
          <w:sz w:val="24"/>
        </w:rPr>
        <w:t> </w:t>
      </w:r>
      <w:r>
        <w:rPr>
          <w:spacing w:val="-2"/>
          <w:sz w:val="24"/>
        </w:rPr>
        <w:t>and</w:t>
      </w:r>
      <w:r>
        <w:rPr>
          <w:spacing w:val="-13"/>
          <w:sz w:val="24"/>
        </w:rPr>
        <w:t> </w:t>
      </w:r>
      <w:r>
        <w:rPr>
          <w:spacing w:val="-2"/>
          <w:sz w:val="24"/>
        </w:rPr>
        <w:t>Excellence</w:t>
      </w:r>
      <w:r>
        <w:rPr>
          <w:spacing w:val="-13"/>
          <w:sz w:val="24"/>
        </w:rPr>
        <w:t> </w:t>
      </w:r>
      <w:r>
        <w:rPr>
          <w:spacing w:val="-2"/>
          <w:sz w:val="24"/>
        </w:rPr>
        <w:t>Subgroup</w:t>
      </w:r>
      <w:r>
        <w:rPr>
          <w:spacing w:val="-13"/>
          <w:sz w:val="24"/>
        </w:rPr>
        <w:t> </w:t>
      </w:r>
      <w:r>
        <w:rPr>
          <w:spacing w:val="-2"/>
          <w:sz w:val="24"/>
        </w:rPr>
        <w:t>has</w:t>
      </w:r>
      <w:r>
        <w:rPr>
          <w:spacing w:val="-14"/>
          <w:sz w:val="24"/>
        </w:rPr>
        <w:t> </w:t>
      </w:r>
      <w:r>
        <w:rPr>
          <w:spacing w:val="-2"/>
          <w:sz w:val="24"/>
        </w:rPr>
        <w:t>been</w:t>
      </w:r>
      <w:r>
        <w:rPr>
          <w:spacing w:val="-13"/>
          <w:sz w:val="24"/>
        </w:rPr>
        <w:t> </w:t>
      </w:r>
      <w:r>
        <w:rPr>
          <w:spacing w:val="-2"/>
          <w:sz w:val="24"/>
        </w:rPr>
        <w:t>established</w:t>
      </w:r>
      <w:r>
        <w:rPr>
          <w:spacing w:val="-13"/>
          <w:sz w:val="24"/>
        </w:rPr>
        <w:t> </w:t>
      </w:r>
      <w:r>
        <w:rPr>
          <w:spacing w:val="-2"/>
          <w:sz w:val="24"/>
        </w:rPr>
        <w:t>as</w:t>
      </w:r>
      <w:r>
        <w:rPr>
          <w:spacing w:val="-14"/>
          <w:sz w:val="24"/>
        </w:rPr>
        <w:t> </w:t>
      </w:r>
      <w:r>
        <w:rPr>
          <w:spacing w:val="-2"/>
          <w:sz w:val="24"/>
        </w:rPr>
        <w:t>a </w:t>
      </w:r>
      <w:r>
        <w:rPr>
          <w:sz w:val="24"/>
        </w:rPr>
        <w:t>Subgroup of the RJC.</w:t>
      </w:r>
    </w:p>
    <w:p>
      <w:pPr>
        <w:pStyle w:val="BodyText"/>
        <w:spacing w:before="54"/>
        <w:rPr>
          <w:sz w:val="20"/>
        </w:rPr>
      </w:pPr>
      <w:r>
        <w:rPr>
          <w:sz w:val="20"/>
        </w:rPr>
        <mc:AlternateContent>
          <mc:Choice Requires="wps">
            <w:drawing>
              <wp:anchor distT="0" distB="0" distL="0" distR="0" allowOverlap="1" layoutInCell="1" locked="0" behindDoc="1" simplePos="0" relativeHeight="487672832">
                <wp:simplePos x="0" y="0"/>
                <wp:positionH relativeFrom="page">
                  <wp:posOffset>574992</wp:posOffset>
                </wp:positionH>
                <wp:positionV relativeFrom="paragraph">
                  <wp:posOffset>202208</wp:posOffset>
                </wp:positionV>
                <wp:extent cx="6642100" cy="193675"/>
                <wp:effectExtent l="0" t="0" r="0" b="0"/>
                <wp:wrapTopAndBottom/>
                <wp:docPr id="492" name="Textbox 492"/>
                <wp:cNvGraphicFramePr>
                  <a:graphicFrameLocks/>
                </wp:cNvGraphicFramePr>
                <a:graphic>
                  <a:graphicData uri="http://schemas.microsoft.com/office/word/2010/wordprocessingShape">
                    <wps:wsp>
                      <wps:cNvPr id="492" name="Textbox 492"/>
                      <wps:cNvSpPr txBox="1"/>
                      <wps:spPr>
                        <a:xfrm>
                          <a:off x="0" y="0"/>
                          <a:ext cx="66421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2</w:t>
                            </w:r>
                            <w:r>
                              <w:rPr>
                                <w:b/>
                                <w:color w:val="000000"/>
                                <w:sz w:val="24"/>
                              </w:rPr>
                              <w:tab/>
                            </w:r>
                            <w:r>
                              <w:rPr>
                                <w:b/>
                                <w:color w:val="000000"/>
                                <w:spacing w:val="-2"/>
                                <w:sz w:val="24"/>
                              </w:rPr>
                              <w:t>Purpose</w:t>
                            </w:r>
                          </w:p>
                        </w:txbxContent>
                      </wps:txbx>
                      <wps:bodyPr wrap="square" lIns="0" tIns="0" rIns="0" bIns="0" rtlCol="0">
                        <a:noAutofit/>
                      </wps:bodyPr>
                    </wps:wsp>
                  </a:graphicData>
                </a:graphic>
              </wp:anchor>
            </w:drawing>
          </mc:Choice>
          <mc:Fallback>
            <w:pict>
              <v:shape style="position:absolute;margin-left:45.275002pt;margin-top:15.921894pt;width:523pt;height:15.25pt;mso-position-horizontal-relative:page;mso-position-vertical-relative:paragraph;z-index:-15643648;mso-wrap-distance-left:0;mso-wrap-distance-right:0" type="#_x0000_t202" id="docshape271"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2</w:t>
                      </w:r>
                      <w:r>
                        <w:rPr>
                          <w:b/>
                          <w:color w:val="000000"/>
                          <w:sz w:val="24"/>
                        </w:rPr>
                        <w:tab/>
                      </w:r>
                      <w:r>
                        <w:rPr>
                          <w:b/>
                          <w:color w:val="000000"/>
                          <w:spacing w:val="-2"/>
                          <w:sz w:val="24"/>
                        </w:rPr>
                        <w:t>Purpose</w:t>
                      </w:r>
                    </w:p>
                  </w:txbxContent>
                </v:textbox>
                <v:fill type="solid"/>
                <v:stroke dashstyle="solid"/>
                <w10:wrap type="topAndBottom"/>
              </v:shape>
            </w:pict>
          </mc:Fallback>
        </mc:AlternateContent>
      </w:r>
    </w:p>
    <w:p>
      <w:pPr>
        <w:pStyle w:val="BodyText"/>
        <w:spacing w:before="8"/>
      </w:pPr>
    </w:p>
    <w:p>
      <w:pPr>
        <w:pStyle w:val="BodyText"/>
        <w:tabs>
          <w:tab w:pos="862" w:val="left" w:leader="none"/>
        </w:tabs>
        <w:spacing w:line="242" w:lineRule="auto" w:before="1"/>
        <w:ind w:left="862" w:right="900" w:hanging="720"/>
      </w:pPr>
      <w:r>
        <w:rPr>
          <w:spacing w:val="-4"/>
        </w:rPr>
        <w:t>2.1</w:t>
      </w:r>
      <w:r>
        <w:rPr/>
        <w:tab/>
      </w:r>
      <w:r>
        <w:rPr>
          <w:spacing w:val="-2"/>
        </w:rPr>
        <w:t>The</w:t>
      </w:r>
      <w:r>
        <w:rPr>
          <w:spacing w:val="-14"/>
        </w:rPr>
        <w:t> </w:t>
      </w:r>
      <w:r>
        <w:rPr>
          <w:spacing w:val="-2"/>
        </w:rPr>
        <w:t>purpose</w:t>
      </w:r>
      <w:r>
        <w:rPr>
          <w:spacing w:val="-12"/>
        </w:rPr>
        <w:t> </w:t>
      </w:r>
      <w:r>
        <w:rPr>
          <w:spacing w:val="-2"/>
        </w:rPr>
        <w:t>of</w:t>
      </w:r>
      <w:r>
        <w:rPr>
          <w:spacing w:val="-10"/>
        </w:rPr>
        <w:t> </w:t>
      </w:r>
      <w:r>
        <w:rPr>
          <w:spacing w:val="-2"/>
        </w:rPr>
        <w:t>the</w:t>
      </w:r>
      <w:r>
        <w:rPr>
          <w:spacing w:val="-12"/>
        </w:rPr>
        <w:t> </w:t>
      </w:r>
      <w:r>
        <w:rPr>
          <w:spacing w:val="-2"/>
        </w:rPr>
        <w:t>Regional</w:t>
      </w:r>
      <w:r>
        <w:rPr>
          <w:spacing w:val="-15"/>
        </w:rPr>
        <w:t> </w:t>
      </w:r>
      <w:r>
        <w:rPr>
          <w:spacing w:val="-2"/>
        </w:rPr>
        <w:t>Research,</w:t>
      </w:r>
      <w:r>
        <w:rPr>
          <w:spacing w:val="-14"/>
        </w:rPr>
        <w:t> </w:t>
      </w:r>
      <w:r>
        <w:rPr>
          <w:spacing w:val="-2"/>
        </w:rPr>
        <w:t>Innovation</w:t>
      </w:r>
      <w:r>
        <w:rPr>
          <w:spacing w:val="-15"/>
        </w:rPr>
        <w:t> </w:t>
      </w:r>
      <w:r>
        <w:rPr>
          <w:spacing w:val="-2"/>
        </w:rPr>
        <w:t>and</w:t>
      </w:r>
      <w:r>
        <w:rPr>
          <w:spacing w:val="-11"/>
        </w:rPr>
        <w:t> </w:t>
      </w:r>
      <w:r>
        <w:rPr>
          <w:spacing w:val="-2"/>
        </w:rPr>
        <w:t>Excellence</w:t>
      </w:r>
      <w:r>
        <w:rPr>
          <w:spacing w:val="-12"/>
        </w:rPr>
        <w:t> </w:t>
      </w:r>
      <w:r>
        <w:rPr>
          <w:spacing w:val="-2"/>
        </w:rPr>
        <w:t>Subgroup</w:t>
      </w:r>
      <w:r>
        <w:rPr>
          <w:spacing w:val="-12"/>
        </w:rPr>
        <w:t> </w:t>
      </w:r>
      <w:r>
        <w:rPr>
          <w:spacing w:val="-2"/>
        </w:rPr>
        <w:t>is</w:t>
      </w:r>
      <w:r>
        <w:rPr>
          <w:spacing w:val="-8"/>
        </w:rPr>
        <w:t> </w:t>
      </w:r>
      <w:r>
        <w:rPr>
          <w:spacing w:val="-2"/>
        </w:rPr>
        <w:t>to</w:t>
      </w:r>
      <w:r>
        <w:rPr>
          <w:spacing w:val="-12"/>
        </w:rPr>
        <w:t> </w:t>
      </w:r>
      <w:r>
        <w:rPr>
          <w:spacing w:val="-2"/>
        </w:rPr>
        <w:t>drive </w:t>
      </w:r>
      <w:r>
        <w:rPr/>
        <w:t>forward</w:t>
      </w:r>
      <w:r>
        <w:rPr>
          <w:spacing w:val="-12"/>
        </w:rPr>
        <w:t> </w:t>
      </w:r>
      <w:r>
        <w:rPr/>
        <w:t>the</w:t>
      </w:r>
      <w:r>
        <w:rPr>
          <w:spacing w:val="-16"/>
        </w:rPr>
        <w:t> </w:t>
      </w:r>
      <w:r>
        <w:rPr/>
        <w:t>work</w:t>
      </w:r>
      <w:r>
        <w:rPr>
          <w:spacing w:val="-13"/>
        </w:rPr>
        <w:t> </w:t>
      </w:r>
      <w:r>
        <w:rPr/>
        <w:t>needed</w:t>
      </w:r>
      <w:r>
        <w:rPr>
          <w:spacing w:val="-12"/>
        </w:rPr>
        <w:t> </w:t>
      </w:r>
      <w:r>
        <w:rPr/>
        <w:t>to</w:t>
      </w:r>
      <w:r>
        <w:rPr>
          <w:spacing w:val="-12"/>
        </w:rPr>
        <w:t> </w:t>
      </w:r>
      <w:r>
        <w:rPr/>
        <w:t>establish</w:t>
      </w:r>
      <w:r>
        <w:rPr>
          <w:spacing w:val="-12"/>
        </w:rPr>
        <w:t> </w:t>
      </w:r>
      <w:r>
        <w:rPr/>
        <w:t>a</w:t>
      </w:r>
      <w:r>
        <w:rPr>
          <w:spacing w:val="-12"/>
        </w:rPr>
        <w:t> </w:t>
      </w:r>
      <w:r>
        <w:rPr/>
        <w:t>regional</w:t>
      </w:r>
      <w:r>
        <w:rPr>
          <w:spacing w:val="-12"/>
        </w:rPr>
        <w:t> </w:t>
      </w:r>
      <w:r>
        <w:rPr/>
        <w:t>approach</w:t>
      </w:r>
      <w:r>
        <w:rPr>
          <w:spacing w:val="-7"/>
        </w:rPr>
        <w:t> </w:t>
      </w:r>
      <w:r>
        <w:rPr/>
        <w:t>to</w:t>
      </w:r>
      <w:r>
        <w:rPr>
          <w:spacing w:val="-12"/>
        </w:rPr>
        <w:t> </w:t>
      </w:r>
      <w:r>
        <w:rPr/>
        <w:t>research,</w:t>
      </w:r>
      <w:r>
        <w:rPr>
          <w:spacing w:val="-15"/>
        </w:rPr>
        <w:t> </w:t>
      </w:r>
      <w:r>
        <w:rPr/>
        <w:t>innovation</w:t>
      </w:r>
      <w:r>
        <w:rPr>
          <w:spacing w:val="-12"/>
        </w:rPr>
        <w:t> </w:t>
      </w:r>
      <w:r>
        <w:rPr/>
        <w:t>and excellence</w:t>
      </w:r>
      <w:r>
        <w:rPr>
          <w:spacing w:val="-5"/>
        </w:rPr>
        <w:t> </w:t>
      </w:r>
      <w:r>
        <w:rPr/>
        <w:t>as</w:t>
      </w:r>
      <w:r>
        <w:rPr>
          <w:spacing w:val="-6"/>
        </w:rPr>
        <w:t> </w:t>
      </w:r>
      <w:r>
        <w:rPr/>
        <w:t>part</w:t>
      </w:r>
      <w:r>
        <w:rPr>
          <w:spacing w:val="-8"/>
        </w:rPr>
        <w:t> </w:t>
      </w:r>
      <w:r>
        <w:rPr/>
        <w:t>of</w:t>
      </w:r>
      <w:r>
        <w:rPr>
          <w:spacing w:val="-8"/>
        </w:rPr>
        <w:t> </w:t>
      </w:r>
      <w:r>
        <w:rPr/>
        <w:t>the</w:t>
      </w:r>
      <w:r>
        <w:rPr>
          <w:spacing w:val="-5"/>
        </w:rPr>
        <w:t> </w:t>
      </w:r>
      <w:r>
        <w:rPr/>
        <w:t>Regional</w:t>
      </w:r>
      <w:r>
        <w:rPr>
          <w:spacing w:val="-5"/>
        </w:rPr>
        <w:t> </w:t>
      </w:r>
      <w:r>
        <w:rPr/>
        <w:t>Joint</w:t>
      </w:r>
      <w:r>
        <w:rPr>
          <w:spacing w:val="-8"/>
        </w:rPr>
        <w:t> </w:t>
      </w:r>
      <w:r>
        <w:rPr/>
        <w:t>Committee</w:t>
      </w:r>
      <w:r>
        <w:rPr>
          <w:spacing w:val="-10"/>
        </w:rPr>
        <w:t> </w:t>
      </w:r>
      <w:r>
        <w:rPr/>
        <w:t>workstream.</w:t>
      </w:r>
    </w:p>
    <w:p>
      <w:pPr>
        <w:pStyle w:val="BodyText"/>
        <w:spacing w:before="110"/>
        <w:rPr>
          <w:sz w:val="20"/>
        </w:rPr>
      </w:pPr>
      <w:r>
        <w:rPr>
          <w:sz w:val="20"/>
        </w:rPr>
        <mc:AlternateContent>
          <mc:Choice Requires="wps">
            <w:drawing>
              <wp:anchor distT="0" distB="0" distL="0" distR="0" allowOverlap="1" layoutInCell="1" locked="0" behindDoc="1" simplePos="0" relativeHeight="487673344">
                <wp:simplePos x="0" y="0"/>
                <wp:positionH relativeFrom="page">
                  <wp:posOffset>574992</wp:posOffset>
                </wp:positionH>
                <wp:positionV relativeFrom="paragraph">
                  <wp:posOffset>237626</wp:posOffset>
                </wp:positionV>
                <wp:extent cx="6642100" cy="193675"/>
                <wp:effectExtent l="0" t="0" r="0" b="0"/>
                <wp:wrapTopAndBottom/>
                <wp:docPr id="493" name="Textbox 493"/>
                <wp:cNvGraphicFramePr>
                  <a:graphicFrameLocks/>
                </wp:cNvGraphicFramePr>
                <a:graphic>
                  <a:graphicData uri="http://schemas.microsoft.com/office/word/2010/wordprocessingShape">
                    <wps:wsp>
                      <wps:cNvPr id="493" name="Textbox 493"/>
                      <wps:cNvSpPr txBox="1"/>
                      <wps:spPr>
                        <a:xfrm>
                          <a:off x="0" y="0"/>
                          <a:ext cx="66421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3</w:t>
                            </w:r>
                            <w:r>
                              <w:rPr>
                                <w:b/>
                                <w:color w:val="000000"/>
                                <w:sz w:val="24"/>
                              </w:rPr>
                              <w:tab/>
                            </w:r>
                            <w:r>
                              <w:rPr>
                                <w:b/>
                                <w:color w:val="000000"/>
                                <w:spacing w:val="-2"/>
                                <w:sz w:val="24"/>
                              </w:rPr>
                              <w:t>Objectives</w:t>
                            </w:r>
                          </w:p>
                        </w:txbxContent>
                      </wps:txbx>
                      <wps:bodyPr wrap="square" lIns="0" tIns="0" rIns="0" bIns="0" rtlCol="0">
                        <a:noAutofit/>
                      </wps:bodyPr>
                    </wps:wsp>
                  </a:graphicData>
                </a:graphic>
              </wp:anchor>
            </w:drawing>
          </mc:Choice>
          <mc:Fallback>
            <w:pict>
              <v:shape style="position:absolute;margin-left:45.275002pt;margin-top:18.710722pt;width:523pt;height:15.25pt;mso-position-horizontal-relative:page;mso-position-vertical-relative:paragraph;z-index:-15643136;mso-wrap-distance-left:0;mso-wrap-distance-right:0" type="#_x0000_t202" id="docshape272"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3</w:t>
                      </w:r>
                      <w:r>
                        <w:rPr>
                          <w:b/>
                          <w:color w:val="000000"/>
                          <w:sz w:val="24"/>
                        </w:rPr>
                        <w:tab/>
                      </w:r>
                      <w:r>
                        <w:rPr>
                          <w:b/>
                          <w:color w:val="000000"/>
                          <w:spacing w:val="-2"/>
                          <w:sz w:val="24"/>
                        </w:rPr>
                        <w:t>Objectives</w:t>
                      </w:r>
                    </w:p>
                  </w:txbxContent>
                </v:textbox>
                <v:fill type="solid"/>
                <v:stroke dashstyle="solid"/>
                <w10:wrap type="topAndBottom"/>
              </v:shape>
            </w:pict>
          </mc:Fallback>
        </mc:AlternateContent>
      </w:r>
    </w:p>
    <w:p>
      <w:pPr>
        <w:pStyle w:val="BodyText"/>
        <w:spacing w:before="9"/>
      </w:pPr>
    </w:p>
    <w:p>
      <w:pPr>
        <w:pStyle w:val="BodyText"/>
        <w:ind w:left="142"/>
      </w:pPr>
      <w:r>
        <w:rPr>
          <w:spacing w:val="-4"/>
        </w:rPr>
        <w:t>The</w:t>
      </w:r>
      <w:r>
        <w:rPr>
          <w:spacing w:val="-1"/>
        </w:rPr>
        <w:t> </w:t>
      </w:r>
      <w:r>
        <w:rPr>
          <w:spacing w:val="-4"/>
        </w:rPr>
        <w:t>Regional</w:t>
      </w:r>
      <w:r>
        <w:rPr>
          <w:spacing w:val="-1"/>
        </w:rPr>
        <w:t> </w:t>
      </w:r>
      <w:r>
        <w:rPr>
          <w:spacing w:val="-4"/>
        </w:rPr>
        <w:t>Research,</w:t>
      </w:r>
      <w:r>
        <w:rPr>
          <w:spacing w:val="1"/>
        </w:rPr>
        <w:t> </w:t>
      </w:r>
      <w:r>
        <w:rPr>
          <w:spacing w:val="-4"/>
        </w:rPr>
        <w:t>Innovation</w:t>
      </w:r>
      <w:r>
        <w:rPr>
          <w:spacing w:val="-1"/>
        </w:rPr>
        <w:t> </w:t>
      </w:r>
      <w:r>
        <w:rPr>
          <w:spacing w:val="-4"/>
        </w:rPr>
        <w:t>and</w:t>
      </w:r>
      <w:r>
        <w:rPr/>
        <w:t> </w:t>
      </w:r>
      <w:r>
        <w:rPr>
          <w:spacing w:val="-4"/>
        </w:rPr>
        <w:t>Excellence</w:t>
      </w:r>
      <w:r>
        <w:rPr>
          <w:spacing w:val="-1"/>
        </w:rPr>
        <w:t> </w:t>
      </w:r>
      <w:r>
        <w:rPr>
          <w:spacing w:val="-4"/>
        </w:rPr>
        <w:t>Subgroup</w:t>
      </w:r>
      <w:r>
        <w:rPr/>
        <w:t> </w:t>
      </w:r>
      <w:r>
        <w:rPr>
          <w:spacing w:val="-4"/>
        </w:rPr>
        <w:t>will:</w:t>
      </w:r>
    </w:p>
    <w:p>
      <w:pPr>
        <w:pStyle w:val="BodyText"/>
        <w:spacing w:before="3"/>
      </w:pPr>
    </w:p>
    <w:p>
      <w:pPr>
        <w:pStyle w:val="ListParagraph"/>
        <w:numPr>
          <w:ilvl w:val="1"/>
          <w:numId w:val="59"/>
        </w:numPr>
        <w:tabs>
          <w:tab w:pos="862" w:val="left" w:leader="none"/>
        </w:tabs>
        <w:spacing w:line="240" w:lineRule="auto" w:before="0" w:after="0"/>
        <w:ind w:left="862" w:right="611" w:hanging="720"/>
        <w:jc w:val="left"/>
        <w:rPr>
          <w:sz w:val="24"/>
        </w:rPr>
      </w:pPr>
      <w:r>
        <w:rPr>
          <w:sz w:val="24"/>
        </w:rPr>
        <w:t>Develop</w:t>
      </w:r>
      <w:r>
        <w:rPr>
          <w:spacing w:val="-11"/>
          <w:sz w:val="24"/>
        </w:rPr>
        <w:t> </w:t>
      </w:r>
      <w:r>
        <w:rPr>
          <w:sz w:val="24"/>
        </w:rPr>
        <w:t>and</w:t>
      </w:r>
      <w:r>
        <w:rPr>
          <w:spacing w:val="-11"/>
          <w:sz w:val="24"/>
        </w:rPr>
        <w:t> </w:t>
      </w:r>
      <w:r>
        <w:rPr>
          <w:sz w:val="24"/>
        </w:rPr>
        <w:t>oversee</w:t>
      </w:r>
      <w:r>
        <w:rPr>
          <w:spacing w:val="-6"/>
          <w:sz w:val="24"/>
        </w:rPr>
        <w:t> </w:t>
      </w:r>
      <w:r>
        <w:rPr>
          <w:sz w:val="24"/>
        </w:rPr>
        <w:t>the</w:t>
      </w:r>
      <w:r>
        <w:rPr>
          <w:spacing w:val="-11"/>
          <w:sz w:val="24"/>
        </w:rPr>
        <w:t> </w:t>
      </w:r>
      <w:r>
        <w:rPr>
          <w:sz w:val="24"/>
        </w:rPr>
        <w:t>implementation</w:t>
      </w:r>
      <w:r>
        <w:rPr>
          <w:spacing w:val="-11"/>
          <w:sz w:val="24"/>
        </w:rPr>
        <w:t> </w:t>
      </w:r>
      <w:r>
        <w:rPr>
          <w:sz w:val="24"/>
        </w:rPr>
        <w:t>of</w:t>
      </w:r>
      <w:r>
        <w:rPr>
          <w:spacing w:val="-14"/>
          <w:sz w:val="24"/>
        </w:rPr>
        <w:t> </w:t>
      </w:r>
      <w:r>
        <w:rPr>
          <w:sz w:val="24"/>
        </w:rPr>
        <w:t>a</w:t>
      </w:r>
      <w:r>
        <w:rPr>
          <w:spacing w:val="-11"/>
          <w:sz w:val="24"/>
        </w:rPr>
        <w:t> </w:t>
      </w:r>
      <w:r>
        <w:rPr>
          <w:sz w:val="24"/>
        </w:rPr>
        <w:t>regional</w:t>
      </w:r>
      <w:r>
        <w:rPr>
          <w:spacing w:val="-12"/>
          <w:sz w:val="24"/>
        </w:rPr>
        <w:t> </w:t>
      </w:r>
      <w:r>
        <w:rPr>
          <w:sz w:val="24"/>
        </w:rPr>
        <w:t>approach</w:t>
      </w:r>
      <w:r>
        <w:rPr>
          <w:spacing w:val="-11"/>
          <w:sz w:val="24"/>
        </w:rPr>
        <w:t> </w:t>
      </w:r>
      <w:r>
        <w:rPr>
          <w:sz w:val="24"/>
        </w:rPr>
        <w:t>to</w:t>
      </w:r>
      <w:r>
        <w:rPr>
          <w:spacing w:val="-10"/>
          <w:sz w:val="24"/>
        </w:rPr>
        <w:t> </w:t>
      </w:r>
      <w:r>
        <w:rPr>
          <w:sz w:val="24"/>
        </w:rPr>
        <w:t>research</w:t>
      </w:r>
      <w:r>
        <w:rPr>
          <w:spacing w:val="-11"/>
          <w:sz w:val="24"/>
        </w:rPr>
        <w:t> </w:t>
      </w:r>
      <w:r>
        <w:rPr>
          <w:sz w:val="24"/>
        </w:rPr>
        <w:t>and </w:t>
      </w:r>
      <w:r>
        <w:rPr>
          <w:spacing w:val="-2"/>
          <w:sz w:val="24"/>
        </w:rPr>
        <w:t>innovation,</w:t>
      </w:r>
      <w:r>
        <w:rPr>
          <w:spacing w:val="-15"/>
          <w:sz w:val="24"/>
        </w:rPr>
        <w:t> </w:t>
      </w:r>
      <w:r>
        <w:rPr>
          <w:spacing w:val="-2"/>
          <w:sz w:val="24"/>
        </w:rPr>
        <w:t>including</w:t>
      </w:r>
      <w:r>
        <w:rPr>
          <w:spacing w:val="-15"/>
          <w:sz w:val="24"/>
        </w:rPr>
        <w:t> </w:t>
      </w:r>
      <w:r>
        <w:rPr>
          <w:spacing w:val="-2"/>
          <w:sz w:val="24"/>
        </w:rPr>
        <w:t>providing</w:t>
      </w:r>
      <w:r>
        <w:rPr>
          <w:spacing w:val="-14"/>
          <w:sz w:val="24"/>
        </w:rPr>
        <w:t> </w:t>
      </w:r>
      <w:r>
        <w:rPr>
          <w:spacing w:val="-2"/>
          <w:sz w:val="24"/>
        </w:rPr>
        <w:t>strategic</w:t>
      </w:r>
      <w:r>
        <w:rPr>
          <w:spacing w:val="-15"/>
          <w:sz w:val="24"/>
        </w:rPr>
        <w:t> </w:t>
      </w:r>
      <w:r>
        <w:rPr>
          <w:spacing w:val="-2"/>
          <w:sz w:val="24"/>
        </w:rPr>
        <w:t>leadership</w:t>
      </w:r>
      <w:r>
        <w:rPr>
          <w:spacing w:val="-15"/>
          <w:sz w:val="24"/>
        </w:rPr>
        <w:t> </w:t>
      </w:r>
      <w:r>
        <w:rPr>
          <w:spacing w:val="-2"/>
          <w:sz w:val="24"/>
        </w:rPr>
        <w:t>and</w:t>
      </w:r>
      <w:r>
        <w:rPr>
          <w:spacing w:val="-15"/>
          <w:sz w:val="24"/>
        </w:rPr>
        <w:t> </w:t>
      </w:r>
      <w:r>
        <w:rPr>
          <w:spacing w:val="-2"/>
          <w:sz w:val="24"/>
        </w:rPr>
        <w:t>developing</w:t>
      </w:r>
      <w:r>
        <w:rPr>
          <w:spacing w:val="-14"/>
          <w:sz w:val="24"/>
        </w:rPr>
        <w:t> </w:t>
      </w:r>
      <w:r>
        <w:rPr>
          <w:spacing w:val="-2"/>
          <w:sz w:val="24"/>
        </w:rPr>
        <w:t>strategies</w:t>
      </w:r>
      <w:r>
        <w:rPr>
          <w:spacing w:val="-15"/>
          <w:sz w:val="24"/>
        </w:rPr>
        <w:t> </w:t>
      </w:r>
      <w:r>
        <w:rPr>
          <w:spacing w:val="-2"/>
          <w:sz w:val="24"/>
        </w:rPr>
        <w:t>for</w:t>
      </w:r>
      <w:r>
        <w:rPr>
          <w:spacing w:val="-15"/>
          <w:sz w:val="24"/>
        </w:rPr>
        <w:t> </w:t>
      </w:r>
      <w:r>
        <w:rPr>
          <w:spacing w:val="-2"/>
          <w:sz w:val="24"/>
        </w:rPr>
        <w:t>approval.</w:t>
      </w:r>
    </w:p>
    <w:p>
      <w:pPr>
        <w:pStyle w:val="ListParagraph"/>
        <w:numPr>
          <w:ilvl w:val="1"/>
          <w:numId w:val="59"/>
        </w:numPr>
        <w:tabs>
          <w:tab w:pos="862" w:val="left" w:leader="none"/>
        </w:tabs>
        <w:spacing w:line="242" w:lineRule="auto" w:before="273" w:after="0"/>
        <w:ind w:left="862" w:right="486" w:hanging="720"/>
        <w:jc w:val="left"/>
        <w:rPr>
          <w:sz w:val="24"/>
        </w:rPr>
      </w:pPr>
      <w:r>
        <w:rPr>
          <w:spacing w:val="-2"/>
          <w:sz w:val="24"/>
        </w:rPr>
        <w:t>Identify</w:t>
      </w:r>
      <w:r>
        <w:rPr>
          <w:spacing w:val="-15"/>
          <w:sz w:val="24"/>
        </w:rPr>
        <w:t> </w:t>
      </w:r>
      <w:r>
        <w:rPr>
          <w:spacing w:val="-2"/>
          <w:sz w:val="24"/>
        </w:rPr>
        <w:t>specialities</w:t>
      </w:r>
      <w:r>
        <w:rPr>
          <w:spacing w:val="-15"/>
          <w:sz w:val="24"/>
        </w:rPr>
        <w:t> </w:t>
      </w:r>
      <w:r>
        <w:rPr>
          <w:spacing w:val="-2"/>
          <w:sz w:val="24"/>
        </w:rPr>
        <w:t>to</w:t>
      </w:r>
      <w:r>
        <w:rPr>
          <w:spacing w:val="-14"/>
          <w:sz w:val="24"/>
        </w:rPr>
        <w:t> </w:t>
      </w:r>
      <w:r>
        <w:rPr>
          <w:spacing w:val="-2"/>
          <w:sz w:val="24"/>
        </w:rPr>
        <w:t>prioritise</w:t>
      </w:r>
      <w:r>
        <w:rPr>
          <w:spacing w:val="-14"/>
          <w:sz w:val="24"/>
        </w:rPr>
        <w:t> </w:t>
      </w:r>
      <w:r>
        <w:rPr>
          <w:spacing w:val="-2"/>
          <w:sz w:val="24"/>
        </w:rPr>
        <w:t>for</w:t>
      </w:r>
      <w:r>
        <w:rPr>
          <w:spacing w:val="-14"/>
          <w:sz w:val="24"/>
        </w:rPr>
        <w:t> </w:t>
      </w:r>
      <w:r>
        <w:rPr>
          <w:spacing w:val="-2"/>
          <w:sz w:val="24"/>
        </w:rPr>
        <w:t>regional</w:t>
      </w:r>
      <w:r>
        <w:rPr>
          <w:spacing w:val="-15"/>
          <w:sz w:val="24"/>
        </w:rPr>
        <w:t> </w:t>
      </w:r>
      <w:r>
        <w:rPr>
          <w:spacing w:val="-2"/>
          <w:sz w:val="24"/>
        </w:rPr>
        <w:t>working</w:t>
      </w:r>
      <w:r>
        <w:rPr>
          <w:spacing w:val="-15"/>
          <w:sz w:val="24"/>
        </w:rPr>
        <w:t> </w:t>
      </w:r>
      <w:r>
        <w:rPr>
          <w:spacing w:val="-2"/>
          <w:sz w:val="24"/>
        </w:rPr>
        <w:t>and</w:t>
      </w:r>
      <w:r>
        <w:rPr>
          <w:spacing w:val="-13"/>
          <w:sz w:val="24"/>
        </w:rPr>
        <w:t> </w:t>
      </w:r>
      <w:r>
        <w:rPr>
          <w:spacing w:val="-2"/>
          <w:sz w:val="24"/>
        </w:rPr>
        <w:t>develop</w:t>
      </w:r>
      <w:r>
        <w:rPr>
          <w:spacing w:val="-14"/>
          <w:sz w:val="24"/>
        </w:rPr>
        <w:t> </w:t>
      </w:r>
      <w:r>
        <w:rPr>
          <w:spacing w:val="-2"/>
          <w:sz w:val="24"/>
        </w:rPr>
        <w:t>focussed</w:t>
      </w:r>
      <w:r>
        <w:rPr>
          <w:spacing w:val="-14"/>
          <w:sz w:val="24"/>
        </w:rPr>
        <w:t> </w:t>
      </w:r>
      <w:r>
        <w:rPr>
          <w:spacing w:val="-2"/>
          <w:sz w:val="24"/>
        </w:rPr>
        <w:t>plans,</w:t>
      </w:r>
      <w:r>
        <w:rPr>
          <w:spacing w:val="-15"/>
          <w:sz w:val="24"/>
        </w:rPr>
        <w:t> </w:t>
      </w:r>
      <w:r>
        <w:rPr>
          <w:spacing w:val="-2"/>
          <w:sz w:val="24"/>
        </w:rPr>
        <w:t>monitoring </w:t>
      </w:r>
      <w:r>
        <w:rPr>
          <w:sz w:val="24"/>
        </w:rPr>
        <w:t>the delivery.</w:t>
      </w:r>
    </w:p>
    <w:p>
      <w:pPr>
        <w:pStyle w:val="ListParagraph"/>
        <w:numPr>
          <w:ilvl w:val="1"/>
          <w:numId w:val="59"/>
        </w:numPr>
        <w:tabs>
          <w:tab w:pos="862" w:val="left" w:leader="none"/>
        </w:tabs>
        <w:spacing w:line="240" w:lineRule="auto" w:before="273" w:after="0"/>
        <w:ind w:left="862" w:right="0" w:hanging="720"/>
        <w:jc w:val="left"/>
        <w:rPr>
          <w:sz w:val="24"/>
        </w:rPr>
      </w:pPr>
      <w:r>
        <w:rPr>
          <w:spacing w:val="-2"/>
          <w:sz w:val="24"/>
        </w:rPr>
        <w:t>Receive</w:t>
      </w:r>
      <w:r>
        <w:rPr>
          <w:spacing w:val="-12"/>
          <w:sz w:val="24"/>
        </w:rPr>
        <w:t> </w:t>
      </w:r>
      <w:r>
        <w:rPr>
          <w:spacing w:val="-2"/>
          <w:sz w:val="24"/>
        </w:rPr>
        <w:t>progress</w:t>
      </w:r>
      <w:r>
        <w:rPr>
          <w:spacing w:val="-11"/>
          <w:sz w:val="24"/>
        </w:rPr>
        <w:t> </w:t>
      </w:r>
      <w:r>
        <w:rPr>
          <w:spacing w:val="-2"/>
          <w:sz w:val="24"/>
        </w:rPr>
        <w:t>reports</w:t>
      </w:r>
      <w:r>
        <w:rPr>
          <w:spacing w:val="-11"/>
          <w:sz w:val="24"/>
        </w:rPr>
        <w:t> </w:t>
      </w:r>
      <w:r>
        <w:rPr>
          <w:spacing w:val="-2"/>
          <w:sz w:val="24"/>
        </w:rPr>
        <w:t>and</w:t>
      </w:r>
      <w:r>
        <w:rPr>
          <w:spacing w:val="-10"/>
          <w:sz w:val="24"/>
        </w:rPr>
        <w:t> </w:t>
      </w:r>
      <w:r>
        <w:rPr>
          <w:spacing w:val="-2"/>
          <w:sz w:val="24"/>
        </w:rPr>
        <w:t>act</w:t>
      </w:r>
      <w:r>
        <w:rPr>
          <w:spacing w:val="-12"/>
          <w:sz w:val="24"/>
        </w:rPr>
        <w:t> </w:t>
      </w:r>
      <w:r>
        <w:rPr>
          <w:spacing w:val="-2"/>
          <w:sz w:val="24"/>
        </w:rPr>
        <w:t>as</w:t>
      </w:r>
      <w:r>
        <w:rPr>
          <w:spacing w:val="-11"/>
          <w:sz w:val="24"/>
        </w:rPr>
        <w:t> </w:t>
      </w:r>
      <w:r>
        <w:rPr>
          <w:spacing w:val="-2"/>
          <w:sz w:val="24"/>
        </w:rPr>
        <w:t>an</w:t>
      </w:r>
      <w:r>
        <w:rPr>
          <w:spacing w:val="-10"/>
          <w:sz w:val="24"/>
        </w:rPr>
        <w:t> </w:t>
      </w:r>
      <w:r>
        <w:rPr>
          <w:spacing w:val="-2"/>
          <w:sz w:val="24"/>
        </w:rPr>
        <w:t>escalation</w:t>
      </w:r>
      <w:r>
        <w:rPr>
          <w:spacing w:val="-14"/>
          <w:sz w:val="24"/>
        </w:rPr>
        <w:t> </w:t>
      </w:r>
      <w:r>
        <w:rPr>
          <w:spacing w:val="-2"/>
          <w:sz w:val="24"/>
        </w:rPr>
        <w:t>point</w:t>
      </w:r>
      <w:r>
        <w:rPr>
          <w:spacing w:val="-13"/>
          <w:sz w:val="24"/>
        </w:rPr>
        <w:t> </w:t>
      </w:r>
      <w:r>
        <w:rPr>
          <w:spacing w:val="-2"/>
          <w:sz w:val="24"/>
        </w:rPr>
        <w:t>for</w:t>
      </w:r>
      <w:r>
        <w:rPr>
          <w:spacing w:val="-10"/>
          <w:sz w:val="24"/>
        </w:rPr>
        <w:t> </w:t>
      </w:r>
      <w:r>
        <w:rPr>
          <w:spacing w:val="-2"/>
          <w:sz w:val="24"/>
        </w:rPr>
        <w:t>issues.</w:t>
      </w:r>
    </w:p>
    <w:p>
      <w:pPr>
        <w:pStyle w:val="ListParagraph"/>
        <w:numPr>
          <w:ilvl w:val="1"/>
          <w:numId w:val="59"/>
        </w:numPr>
        <w:tabs>
          <w:tab w:pos="860" w:val="left" w:leader="none"/>
          <w:tab w:pos="862" w:val="left" w:leader="none"/>
        </w:tabs>
        <w:spacing w:line="242" w:lineRule="auto" w:before="274" w:after="0"/>
        <w:ind w:left="862" w:right="697" w:hanging="720"/>
        <w:jc w:val="both"/>
        <w:rPr>
          <w:sz w:val="24"/>
        </w:rPr>
      </w:pPr>
      <w:r>
        <w:rPr>
          <w:spacing w:val="-2"/>
          <w:sz w:val="24"/>
        </w:rPr>
        <w:t>Consider</w:t>
      </w:r>
      <w:r>
        <w:rPr>
          <w:spacing w:val="-3"/>
          <w:sz w:val="24"/>
        </w:rPr>
        <w:t> </w:t>
      </w:r>
      <w:r>
        <w:rPr>
          <w:spacing w:val="-2"/>
          <w:sz w:val="24"/>
        </w:rPr>
        <w:t>the</w:t>
      </w:r>
      <w:r>
        <w:rPr>
          <w:spacing w:val="-7"/>
          <w:sz w:val="24"/>
        </w:rPr>
        <w:t> </w:t>
      </w:r>
      <w:r>
        <w:rPr>
          <w:spacing w:val="-2"/>
          <w:sz w:val="24"/>
        </w:rPr>
        <w:t>risks</w:t>
      </w:r>
      <w:r>
        <w:rPr>
          <w:spacing w:val="-8"/>
          <w:sz w:val="24"/>
        </w:rPr>
        <w:t> </w:t>
      </w:r>
      <w:r>
        <w:rPr>
          <w:spacing w:val="-2"/>
          <w:sz w:val="24"/>
        </w:rPr>
        <w:t>associated</w:t>
      </w:r>
      <w:r>
        <w:rPr>
          <w:spacing w:val="-12"/>
          <w:sz w:val="24"/>
        </w:rPr>
        <w:t> </w:t>
      </w:r>
      <w:r>
        <w:rPr>
          <w:spacing w:val="-2"/>
          <w:sz w:val="24"/>
        </w:rPr>
        <w:t>with taking</w:t>
      </w:r>
      <w:r>
        <w:rPr>
          <w:spacing w:val="-7"/>
          <w:sz w:val="24"/>
        </w:rPr>
        <w:t> </w:t>
      </w:r>
      <w:r>
        <w:rPr>
          <w:spacing w:val="-2"/>
          <w:sz w:val="24"/>
        </w:rPr>
        <w:t>a</w:t>
      </w:r>
      <w:r>
        <w:rPr>
          <w:spacing w:val="-7"/>
          <w:sz w:val="24"/>
        </w:rPr>
        <w:t> </w:t>
      </w:r>
      <w:r>
        <w:rPr>
          <w:spacing w:val="-2"/>
          <w:sz w:val="24"/>
        </w:rPr>
        <w:t>regional</w:t>
      </w:r>
      <w:r>
        <w:rPr>
          <w:spacing w:val="-12"/>
          <w:sz w:val="24"/>
        </w:rPr>
        <w:t> </w:t>
      </w:r>
      <w:r>
        <w:rPr>
          <w:spacing w:val="-2"/>
          <w:sz w:val="24"/>
        </w:rPr>
        <w:t>approach to</w:t>
      </w:r>
      <w:r>
        <w:rPr>
          <w:spacing w:val="-7"/>
          <w:sz w:val="24"/>
        </w:rPr>
        <w:t> </w:t>
      </w:r>
      <w:r>
        <w:rPr>
          <w:spacing w:val="-2"/>
          <w:sz w:val="24"/>
        </w:rPr>
        <w:t>research</w:t>
      </w:r>
      <w:r>
        <w:rPr>
          <w:spacing w:val="-12"/>
          <w:sz w:val="24"/>
        </w:rPr>
        <w:t> </w:t>
      </w:r>
      <w:r>
        <w:rPr>
          <w:spacing w:val="-2"/>
          <w:sz w:val="24"/>
        </w:rPr>
        <w:t>and</w:t>
      </w:r>
      <w:r>
        <w:rPr>
          <w:spacing w:val="-12"/>
          <w:sz w:val="24"/>
        </w:rPr>
        <w:t> </w:t>
      </w:r>
      <w:r>
        <w:rPr>
          <w:spacing w:val="-2"/>
          <w:sz w:val="24"/>
        </w:rPr>
        <w:t>innovation and</w:t>
      </w:r>
      <w:r>
        <w:rPr>
          <w:spacing w:val="-9"/>
          <w:sz w:val="24"/>
        </w:rPr>
        <w:t> </w:t>
      </w:r>
      <w:r>
        <w:rPr>
          <w:spacing w:val="-2"/>
          <w:sz w:val="24"/>
        </w:rPr>
        <w:t>the</w:t>
      </w:r>
      <w:r>
        <w:rPr>
          <w:spacing w:val="-9"/>
          <w:sz w:val="24"/>
        </w:rPr>
        <w:t> </w:t>
      </w:r>
      <w:r>
        <w:rPr>
          <w:spacing w:val="-2"/>
          <w:sz w:val="24"/>
        </w:rPr>
        <w:t>mitigating</w:t>
      </w:r>
      <w:r>
        <w:rPr>
          <w:spacing w:val="-9"/>
          <w:sz w:val="24"/>
        </w:rPr>
        <w:t> </w:t>
      </w:r>
      <w:r>
        <w:rPr>
          <w:spacing w:val="-2"/>
          <w:sz w:val="24"/>
        </w:rPr>
        <w:t>actions,</w:t>
      </w:r>
      <w:r>
        <w:rPr>
          <w:spacing w:val="-12"/>
          <w:sz w:val="24"/>
        </w:rPr>
        <w:t> </w:t>
      </w:r>
      <w:r>
        <w:rPr>
          <w:spacing w:val="-2"/>
          <w:sz w:val="24"/>
        </w:rPr>
        <w:t>as</w:t>
      </w:r>
      <w:r>
        <w:rPr>
          <w:spacing w:val="-10"/>
          <w:sz w:val="24"/>
        </w:rPr>
        <w:t> </w:t>
      </w:r>
      <w:r>
        <w:rPr>
          <w:spacing w:val="-2"/>
          <w:sz w:val="24"/>
        </w:rPr>
        <w:t>well</w:t>
      </w:r>
      <w:r>
        <w:rPr>
          <w:spacing w:val="-9"/>
          <w:sz w:val="24"/>
        </w:rPr>
        <w:t> </w:t>
      </w:r>
      <w:r>
        <w:rPr>
          <w:spacing w:val="-2"/>
          <w:sz w:val="24"/>
        </w:rPr>
        <w:t>as</w:t>
      </w:r>
      <w:r>
        <w:rPr>
          <w:spacing w:val="-10"/>
          <w:sz w:val="24"/>
        </w:rPr>
        <w:t> </w:t>
      </w:r>
      <w:r>
        <w:rPr>
          <w:spacing w:val="-2"/>
          <w:sz w:val="24"/>
        </w:rPr>
        <w:t>the</w:t>
      </w:r>
      <w:r>
        <w:rPr>
          <w:spacing w:val="-9"/>
          <w:sz w:val="24"/>
        </w:rPr>
        <w:t> </w:t>
      </w:r>
      <w:r>
        <w:rPr>
          <w:spacing w:val="-2"/>
          <w:sz w:val="24"/>
        </w:rPr>
        <w:t>risk</w:t>
      </w:r>
      <w:r>
        <w:rPr>
          <w:spacing w:val="-10"/>
          <w:sz w:val="24"/>
        </w:rPr>
        <w:t> </w:t>
      </w:r>
      <w:r>
        <w:rPr>
          <w:spacing w:val="-2"/>
          <w:sz w:val="24"/>
        </w:rPr>
        <w:t>to</w:t>
      </w:r>
      <w:r>
        <w:rPr>
          <w:spacing w:val="-9"/>
          <w:sz w:val="24"/>
        </w:rPr>
        <w:t> </w:t>
      </w:r>
      <w:r>
        <w:rPr>
          <w:spacing w:val="-2"/>
          <w:sz w:val="24"/>
        </w:rPr>
        <w:t>not</w:t>
      </w:r>
      <w:r>
        <w:rPr>
          <w:spacing w:val="-12"/>
          <w:sz w:val="24"/>
        </w:rPr>
        <w:t> </w:t>
      </w:r>
      <w:r>
        <w:rPr>
          <w:spacing w:val="-2"/>
          <w:sz w:val="24"/>
        </w:rPr>
        <w:t>developing</w:t>
      </w:r>
      <w:r>
        <w:rPr>
          <w:spacing w:val="-9"/>
          <w:sz w:val="24"/>
        </w:rPr>
        <w:t> </w:t>
      </w:r>
      <w:r>
        <w:rPr>
          <w:spacing w:val="-2"/>
          <w:sz w:val="24"/>
        </w:rPr>
        <w:t>a</w:t>
      </w:r>
      <w:r>
        <w:rPr>
          <w:spacing w:val="-9"/>
          <w:sz w:val="24"/>
        </w:rPr>
        <w:t> </w:t>
      </w:r>
      <w:r>
        <w:rPr>
          <w:spacing w:val="-2"/>
          <w:sz w:val="24"/>
        </w:rPr>
        <w:t>regional</w:t>
      </w:r>
      <w:r>
        <w:rPr>
          <w:spacing w:val="-9"/>
          <w:sz w:val="24"/>
        </w:rPr>
        <w:t> </w:t>
      </w:r>
      <w:r>
        <w:rPr>
          <w:spacing w:val="-2"/>
          <w:sz w:val="24"/>
        </w:rPr>
        <w:t>way</w:t>
      </w:r>
      <w:r>
        <w:rPr>
          <w:spacing w:val="-15"/>
          <w:sz w:val="24"/>
        </w:rPr>
        <w:t> </w:t>
      </w:r>
      <w:r>
        <w:rPr>
          <w:spacing w:val="-2"/>
          <w:sz w:val="24"/>
        </w:rPr>
        <w:t>of</w:t>
      </w:r>
      <w:r>
        <w:rPr>
          <w:spacing w:val="-12"/>
          <w:sz w:val="24"/>
        </w:rPr>
        <w:t> </w:t>
      </w:r>
      <w:r>
        <w:rPr>
          <w:spacing w:val="-2"/>
          <w:sz w:val="24"/>
        </w:rPr>
        <w:t>working, </w:t>
      </w:r>
      <w:r>
        <w:rPr>
          <w:sz w:val="24"/>
        </w:rPr>
        <w:t>aiming to balance the positions.</w:t>
      </w:r>
    </w:p>
    <w:p>
      <w:pPr>
        <w:pStyle w:val="ListParagraph"/>
        <w:numPr>
          <w:ilvl w:val="1"/>
          <w:numId w:val="59"/>
        </w:numPr>
        <w:tabs>
          <w:tab w:pos="862" w:val="left" w:leader="none"/>
        </w:tabs>
        <w:spacing w:line="240" w:lineRule="auto" w:before="269" w:after="0"/>
        <w:ind w:left="862" w:right="952" w:hanging="720"/>
        <w:jc w:val="left"/>
        <w:rPr>
          <w:sz w:val="24"/>
        </w:rPr>
      </w:pPr>
      <w:r>
        <w:rPr>
          <w:spacing w:val="-2"/>
          <w:sz w:val="24"/>
        </w:rPr>
        <w:t>Maximise</w:t>
      </w:r>
      <w:r>
        <w:rPr>
          <w:spacing w:val="-12"/>
          <w:sz w:val="24"/>
        </w:rPr>
        <w:t> </w:t>
      </w:r>
      <w:r>
        <w:rPr>
          <w:spacing w:val="-2"/>
          <w:sz w:val="24"/>
        </w:rPr>
        <w:t>the</w:t>
      </w:r>
      <w:r>
        <w:rPr>
          <w:spacing w:val="-12"/>
          <w:sz w:val="24"/>
        </w:rPr>
        <w:t> </w:t>
      </w:r>
      <w:r>
        <w:rPr>
          <w:spacing w:val="-2"/>
          <w:sz w:val="24"/>
        </w:rPr>
        <w:t>role</w:t>
      </w:r>
      <w:r>
        <w:rPr>
          <w:spacing w:val="-11"/>
          <w:sz w:val="24"/>
        </w:rPr>
        <w:t> </w:t>
      </w:r>
      <w:r>
        <w:rPr>
          <w:spacing w:val="-2"/>
          <w:sz w:val="24"/>
        </w:rPr>
        <w:t>partners</w:t>
      </w:r>
      <w:r>
        <w:rPr>
          <w:spacing w:val="-13"/>
          <w:sz w:val="24"/>
        </w:rPr>
        <w:t> </w:t>
      </w:r>
      <w:r>
        <w:rPr>
          <w:spacing w:val="-2"/>
          <w:sz w:val="24"/>
        </w:rPr>
        <w:t>can</w:t>
      </w:r>
      <w:r>
        <w:rPr>
          <w:spacing w:val="-12"/>
          <w:sz w:val="24"/>
        </w:rPr>
        <w:t> </w:t>
      </w:r>
      <w:r>
        <w:rPr>
          <w:spacing w:val="-2"/>
          <w:sz w:val="24"/>
        </w:rPr>
        <w:t>have</w:t>
      </w:r>
      <w:r>
        <w:rPr>
          <w:spacing w:val="-12"/>
          <w:sz w:val="24"/>
        </w:rPr>
        <w:t> </w:t>
      </w:r>
      <w:r>
        <w:rPr>
          <w:spacing w:val="-2"/>
          <w:sz w:val="24"/>
        </w:rPr>
        <w:t>in</w:t>
      </w:r>
      <w:r>
        <w:rPr>
          <w:spacing w:val="-12"/>
          <w:sz w:val="24"/>
        </w:rPr>
        <w:t> </w:t>
      </w:r>
      <w:r>
        <w:rPr>
          <w:spacing w:val="-2"/>
          <w:sz w:val="24"/>
        </w:rPr>
        <w:t>this</w:t>
      </w:r>
      <w:r>
        <w:rPr>
          <w:spacing w:val="-15"/>
          <w:sz w:val="24"/>
        </w:rPr>
        <w:t> </w:t>
      </w:r>
      <w:r>
        <w:rPr>
          <w:spacing w:val="-2"/>
          <w:sz w:val="24"/>
        </w:rPr>
        <w:t>agenda,</w:t>
      </w:r>
      <w:r>
        <w:rPr>
          <w:spacing w:val="-14"/>
          <w:sz w:val="24"/>
        </w:rPr>
        <w:t> </w:t>
      </w:r>
      <w:r>
        <w:rPr>
          <w:spacing w:val="-2"/>
          <w:sz w:val="24"/>
        </w:rPr>
        <w:t>including</w:t>
      </w:r>
      <w:r>
        <w:rPr>
          <w:spacing w:val="-12"/>
          <w:sz w:val="24"/>
        </w:rPr>
        <w:t> </w:t>
      </w:r>
      <w:r>
        <w:rPr>
          <w:spacing w:val="-2"/>
          <w:sz w:val="24"/>
        </w:rPr>
        <w:t>universities,</w:t>
      </w:r>
      <w:r>
        <w:rPr>
          <w:spacing w:val="-14"/>
          <w:sz w:val="24"/>
        </w:rPr>
        <w:t> </w:t>
      </w:r>
      <w:r>
        <w:rPr>
          <w:spacing w:val="-2"/>
          <w:sz w:val="24"/>
        </w:rPr>
        <w:t>industry</w:t>
      </w:r>
      <w:r>
        <w:rPr>
          <w:spacing w:val="-13"/>
          <w:sz w:val="24"/>
        </w:rPr>
        <w:t> </w:t>
      </w:r>
      <w:r>
        <w:rPr>
          <w:spacing w:val="-2"/>
          <w:sz w:val="24"/>
        </w:rPr>
        <w:t>and </w:t>
      </w:r>
      <w:r>
        <w:rPr>
          <w:sz w:val="24"/>
        </w:rPr>
        <w:t>government</w:t>
      </w:r>
      <w:r>
        <w:rPr>
          <w:spacing w:val="-9"/>
          <w:sz w:val="24"/>
        </w:rPr>
        <w:t> </w:t>
      </w:r>
      <w:r>
        <w:rPr>
          <w:sz w:val="24"/>
        </w:rPr>
        <w:t>through,</w:t>
      </w:r>
      <w:r>
        <w:rPr>
          <w:spacing w:val="-14"/>
          <w:sz w:val="24"/>
        </w:rPr>
        <w:t> </w:t>
      </w:r>
      <w:r>
        <w:rPr>
          <w:sz w:val="24"/>
        </w:rPr>
        <w:t>for</w:t>
      </w:r>
      <w:r>
        <w:rPr>
          <w:spacing w:val="-17"/>
          <w:sz w:val="24"/>
        </w:rPr>
        <w:t> </w:t>
      </w:r>
      <w:r>
        <w:rPr>
          <w:sz w:val="24"/>
        </w:rPr>
        <w:t>example,</w:t>
      </w:r>
      <w:r>
        <w:rPr>
          <w:spacing w:val="-12"/>
          <w:sz w:val="24"/>
        </w:rPr>
        <w:t> </w:t>
      </w:r>
      <w:r>
        <w:rPr>
          <w:sz w:val="24"/>
        </w:rPr>
        <w:t>national</w:t>
      </w:r>
      <w:r>
        <w:rPr>
          <w:spacing w:val="-11"/>
          <w:sz w:val="24"/>
        </w:rPr>
        <w:t> </w:t>
      </w:r>
      <w:r>
        <w:rPr>
          <w:sz w:val="24"/>
        </w:rPr>
        <w:t>policy</w:t>
      </w:r>
      <w:r>
        <w:rPr>
          <w:spacing w:val="-7"/>
          <w:sz w:val="24"/>
        </w:rPr>
        <w:t> </w:t>
      </w:r>
      <w:r>
        <w:rPr>
          <w:sz w:val="24"/>
        </w:rPr>
        <w:t>initiatives</w:t>
      </w:r>
      <w:r>
        <w:rPr>
          <w:spacing w:val="-12"/>
          <w:sz w:val="24"/>
        </w:rPr>
        <w:t> </w:t>
      </w:r>
      <w:r>
        <w:rPr>
          <w:sz w:val="24"/>
        </w:rPr>
        <w:t>and</w:t>
      </w:r>
      <w:r>
        <w:rPr>
          <w:spacing w:val="-11"/>
          <w:sz w:val="24"/>
        </w:rPr>
        <w:t> </w:t>
      </w:r>
      <w:r>
        <w:rPr>
          <w:sz w:val="24"/>
        </w:rPr>
        <w:t>events.</w:t>
      </w:r>
    </w:p>
    <w:p>
      <w:pPr>
        <w:pStyle w:val="BodyText"/>
        <w:spacing w:before="119"/>
        <w:rPr>
          <w:sz w:val="20"/>
        </w:rPr>
      </w:pPr>
      <w:r>
        <w:rPr>
          <w:sz w:val="20"/>
        </w:rPr>
        <mc:AlternateContent>
          <mc:Choice Requires="wps">
            <w:drawing>
              <wp:anchor distT="0" distB="0" distL="0" distR="0" allowOverlap="1" layoutInCell="1" locked="0" behindDoc="1" simplePos="0" relativeHeight="487673856">
                <wp:simplePos x="0" y="0"/>
                <wp:positionH relativeFrom="page">
                  <wp:posOffset>574992</wp:posOffset>
                </wp:positionH>
                <wp:positionV relativeFrom="paragraph">
                  <wp:posOffset>243780</wp:posOffset>
                </wp:positionV>
                <wp:extent cx="6553200" cy="193675"/>
                <wp:effectExtent l="0" t="0" r="0" b="0"/>
                <wp:wrapTopAndBottom/>
                <wp:docPr id="494" name="Textbox 494"/>
                <wp:cNvGraphicFramePr>
                  <a:graphicFrameLocks/>
                </wp:cNvGraphicFramePr>
                <a:graphic>
                  <a:graphicData uri="http://schemas.microsoft.com/office/word/2010/wordprocessingShape">
                    <wps:wsp>
                      <wps:cNvPr id="494" name="Textbox 494"/>
                      <wps:cNvSpPr txBox="1"/>
                      <wps:spPr>
                        <a:xfrm>
                          <a:off x="0" y="0"/>
                          <a:ext cx="65532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4</w:t>
                            </w:r>
                            <w:r>
                              <w:rPr>
                                <w:b/>
                                <w:color w:val="000000"/>
                                <w:sz w:val="24"/>
                              </w:rPr>
                              <w:tab/>
                            </w:r>
                            <w:r>
                              <w:rPr>
                                <w:b/>
                                <w:color w:val="000000"/>
                                <w:spacing w:val="-2"/>
                                <w:sz w:val="24"/>
                              </w:rPr>
                              <w:t>Engagement</w:t>
                            </w:r>
                          </w:p>
                        </w:txbxContent>
                      </wps:txbx>
                      <wps:bodyPr wrap="square" lIns="0" tIns="0" rIns="0" bIns="0" rtlCol="0">
                        <a:noAutofit/>
                      </wps:bodyPr>
                    </wps:wsp>
                  </a:graphicData>
                </a:graphic>
              </wp:anchor>
            </w:drawing>
          </mc:Choice>
          <mc:Fallback>
            <w:pict>
              <v:shape style="position:absolute;margin-left:45.275002pt;margin-top:19.195293pt;width:516pt;height:15.25pt;mso-position-horizontal-relative:page;mso-position-vertical-relative:paragraph;z-index:-15642624;mso-wrap-distance-left:0;mso-wrap-distance-right:0" type="#_x0000_t202" id="docshape273"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4</w:t>
                      </w:r>
                      <w:r>
                        <w:rPr>
                          <w:b/>
                          <w:color w:val="000000"/>
                          <w:sz w:val="24"/>
                        </w:rPr>
                        <w:tab/>
                      </w:r>
                      <w:r>
                        <w:rPr>
                          <w:b/>
                          <w:color w:val="000000"/>
                          <w:spacing w:val="-2"/>
                          <w:sz w:val="24"/>
                        </w:rPr>
                        <w:t>Engagement</w:t>
                      </w:r>
                    </w:p>
                  </w:txbxContent>
                </v:textbox>
                <v:fill type="solid"/>
                <v:stroke dashstyle="solid"/>
                <w10:wrap type="topAndBottom"/>
              </v:shape>
            </w:pict>
          </mc:Fallback>
        </mc:AlternateContent>
      </w:r>
    </w:p>
    <w:p>
      <w:pPr>
        <w:pStyle w:val="BodyText"/>
        <w:tabs>
          <w:tab w:pos="862" w:val="left" w:leader="none"/>
        </w:tabs>
        <w:spacing w:before="170"/>
        <w:ind w:left="862" w:right="970" w:hanging="720"/>
      </w:pPr>
      <w:r>
        <w:rPr>
          <w:spacing w:val="-4"/>
        </w:rPr>
        <w:t>4.1</w:t>
      </w:r>
      <w:r>
        <w:rPr/>
        <w:tab/>
        <w:t>The</w:t>
      </w:r>
      <w:r>
        <w:rPr>
          <w:spacing w:val="-11"/>
        </w:rPr>
        <w:t> </w:t>
      </w:r>
      <w:r>
        <w:rPr/>
        <w:t>Regional</w:t>
      </w:r>
      <w:r>
        <w:rPr>
          <w:spacing w:val="-12"/>
        </w:rPr>
        <w:t> </w:t>
      </w:r>
      <w:r>
        <w:rPr/>
        <w:t>Research,</w:t>
      </w:r>
      <w:r>
        <w:rPr>
          <w:spacing w:val="-11"/>
        </w:rPr>
        <w:t> </w:t>
      </w:r>
      <w:r>
        <w:rPr/>
        <w:t>Innovation</w:t>
      </w:r>
      <w:r>
        <w:rPr>
          <w:spacing w:val="-12"/>
        </w:rPr>
        <w:t> </w:t>
      </w:r>
      <w:r>
        <w:rPr/>
        <w:t>and</w:t>
      </w:r>
      <w:r>
        <w:rPr>
          <w:spacing w:val="-12"/>
        </w:rPr>
        <w:t> </w:t>
      </w:r>
      <w:r>
        <w:rPr/>
        <w:t>Excellence</w:t>
      </w:r>
      <w:r>
        <w:rPr>
          <w:spacing w:val="-12"/>
        </w:rPr>
        <w:t> </w:t>
      </w:r>
      <w:r>
        <w:rPr/>
        <w:t>Subgroup</w:t>
      </w:r>
      <w:r>
        <w:rPr>
          <w:spacing w:val="-12"/>
        </w:rPr>
        <w:t> </w:t>
      </w:r>
      <w:r>
        <w:rPr/>
        <w:t>will</w:t>
      </w:r>
      <w:r>
        <w:rPr>
          <w:spacing w:val="-12"/>
        </w:rPr>
        <w:t> </w:t>
      </w:r>
      <w:r>
        <w:rPr/>
        <w:t>take</w:t>
      </w:r>
      <w:r>
        <w:rPr>
          <w:spacing w:val="-17"/>
        </w:rPr>
        <w:t> </w:t>
      </w:r>
      <w:r>
        <w:rPr/>
        <w:t>a</w:t>
      </w:r>
      <w:r>
        <w:rPr>
          <w:spacing w:val="-12"/>
        </w:rPr>
        <w:t> </w:t>
      </w:r>
      <w:r>
        <w:rPr/>
        <w:t>‘people</w:t>
      </w:r>
      <w:r>
        <w:rPr>
          <w:spacing w:val="-12"/>
        </w:rPr>
        <w:t> </w:t>
      </w:r>
      <w:r>
        <w:rPr/>
        <w:t>first' </w:t>
      </w:r>
      <w:r>
        <w:rPr>
          <w:spacing w:val="-2"/>
        </w:rPr>
        <w:t>approach</w:t>
      </w:r>
      <w:r>
        <w:rPr>
          <w:spacing w:val="-15"/>
        </w:rPr>
        <w:t> </w:t>
      </w:r>
      <w:r>
        <w:rPr>
          <w:spacing w:val="-2"/>
        </w:rPr>
        <w:t>–</w:t>
      </w:r>
      <w:r>
        <w:rPr>
          <w:spacing w:val="-12"/>
        </w:rPr>
        <w:t> </w:t>
      </w:r>
      <w:r>
        <w:rPr>
          <w:spacing w:val="-2"/>
        </w:rPr>
        <w:t>putting</w:t>
      </w:r>
      <w:r>
        <w:rPr>
          <w:spacing w:val="-12"/>
        </w:rPr>
        <w:t> </w:t>
      </w:r>
      <w:r>
        <w:rPr>
          <w:spacing w:val="-2"/>
        </w:rPr>
        <w:t>patients,</w:t>
      </w:r>
      <w:r>
        <w:rPr>
          <w:spacing w:val="-15"/>
        </w:rPr>
        <w:t> </w:t>
      </w:r>
      <w:r>
        <w:rPr>
          <w:spacing w:val="-2"/>
        </w:rPr>
        <w:t>our</w:t>
      </w:r>
      <w:r>
        <w:rPr>
          <w:spacing w:val="-12"/>
        </w:rPr>
        <w:t> </w:t>
      </w:r>
      <w:r>
        <w:rPr>
          <w:spacing w:val="-2"/>
        </w:rPr>
        <w:t>communities</w:t>
      </w:r>
      <w:r>
        <w:rPr>
          <w:spacing w:val="-15"/>
        </w:rPr>
        <w:t> </w:t>
      </w:r>
      <w:r>
        <w:rPr>
          <w:spacing w:val="-2"/>
        </w:rPr>
        <w:t>and</w:t>
      </w:r>
      <w:r>
        <w:rPr>
          <w:spacing w:val="-11"/>
        </w:rPr>
        <w:t> </w:t>
      </w:r>
      <w:r>
        <w:rPr>
          <w:spacing w:val="-2"/>
        </w:rPr>
        <w:t>our</w:t>
      </w:r>
      <w:r>
        <w:rPr>
          <w:spacing w:val="-13"/>
        </w:rPr>
        <w:t> </w:t>
      </w:r>
      <w:r>
        <w:rPr>
          <w:spacing w:val="-2"/>
        </w:rPr>
        <w:t>Health</w:t>
      </w:r>
      <w:r>
        <w:rPr>
          <w:spacing w:val="-12"/>
        </w:rPr>
        <w:t> </w:t>
      </w:r>
      <w:r>
        <w:rPr>
          <w:spacing w:val="-2"/>
        </w:rPr>
        <w:t>Boards’</w:t>
      </w:r>
      <w:r>
        <w:rPr>
          <w:spacing w:val="-7"/>
        </w:rPr>
        <w:t> </w:t>
      </w:r>
      <w:r>
        <w:rPr>
          <w:spacing w:val="-2"/>
        </w:rPr>
        <w:t>colleagues</w:t>
      </w:r>
      <w:r>
        <w:rPr>
          <w:spacing w:val="-13"/>
        </w:rPr>
        <w:t> </w:t>
      </w:r>
      <w:r>
        <w:rPr>
          <w:spacing w:val="-2"/>
        </w:rPr>
        <w:t>at</w:t>
      </w:r>
      <w:r>
        <w:rPr>
          <w:spacing w:val="-10"/>
        </w:rPr>
        <w:t> </w:t>
      </w:r>
      <w:r>
        <w:rPr>
          <w:spacing w:val="-2"/>
        </w:rPr>
        <w:t>the </w:t>
      </w:r>
      <w:r>
        <w:rPr/>
        <w:t>centre of our work.</w:t>
      </w:r>
    </w:p>
    <w:p>
      <w:pPr>
        <w:pStyle w:val="BodyText"/>
        <w:spacing w:before="9"/>
        <w:rPr>
          <w:sz w:val="16"/>
        </w:rPr>
      </w:pPr>
      <w:r>
        <w:rPr>
          <w:sz w:val="16"/>
        </w:rPr>
        <mc:AlternateContent>
          <mc:Choice Requires="wps">
            <w:drawing>
              <wp:anchor distT="0" distB="0" distL="0" distR="0" allowOverlap="1" layoutInCell="1" locked="0" behindDoc="1" simplePos="0" relativeHeight="487674368">
                <wp:simplePos x="0" y="0"/>
                <wp:positionH relativeFrom="page">
                  <wp:posOffset>574992</wp:posOffset>
                </wp:positionH>
                <wp:positionV relativeFrom="paragraph">
                  <wp:posOffset>144570</wp:posOffset>
                </wp:positionV>
                <wp:extent cx="6553200" cy="190500"/>
                <wp:effectExtent l="0" t="0" r="0" b="0"/>
                <wp:wrapTopAndBottom/>
                <wp:docPr id="495" name="Textbox 495"/>
                <wp:cNvGraphicFramePr>
                  <a:graphicFrameLocks/>
                </wp:cNvGraphicFramePr>
                <a:graphic>
                  <a:graphicData uri="http://schemas.microsoft.com/office/word/2010/wordprocessingShape">
                    <wps:wsp>
                      <wps:cNvPr id="495" name="Textbox 495"/>
                      <wps:cNvSpPr txBox="1"/>
                      <wps:spPr>
                        <a:xfrm>
                          <a:off x="0" y="0"/>
                          <a:ext cx="6553200" cy="19050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5</w:t>
                            </w:r>
                            <w:r>
                              <w:rPr>
                                <w:b/>
                                <w:color w:val="000000"/>
                                <w:sz w:val="24"/>
                              </w:rPr>
                              <w:tab/>
                            </w:r>
                            <w:r>
                              <w:rPr>
                                <w:b/>
                                <w:color w:val="000000"/>
                                <w:spacing w:val="-2"/>
                                <w:sz w:val="24"/>
                              </w:rPr>
                              <w:t>Governance</w:t>
                            </w:r>
                          </w:p>
                        </w:txbxContent>
                      </wps:txbx>
                      <wps:bodyPr wrap="square" lIns="0" tIns="0" rIns="0" bIns="0" rtlCol="0">
                        <a:noAutofit/>
                      </wps:bodyPr>
                    </wps:wsp>
                  </a:graphicData>
                </a:graphic>
              </wp:anchor>
            </w:drawing>
          </mc:Choice>
          <mc:Fallback>
            <w:pict>
              <v:shape style="position:absolute;margin-left:45.275002pt;margin-top:11.383515pt;width:516pt;height:15pt;mso-position-horizontal-relative:page;mso-position-vertical-relative:paragraph;z-index:-15642112;mso-wrap-distance-left:0;mso-wrap-distance-right:0" type="#_x0000_t202" id="docshape274"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5</w:t>
                      </w:r>
                      <w:r>
                        <w:rPr>
                          <w:b/>
                          <w:color w:val="000000"/>
                          <w:sz w:val="24"/>
                        </w:rPr>
                        <w:tab/>
                      </w:r>
                      <w:r>
                        <w:rPr>
                          <w:b/>
                          <w:color w:val="000000"/>
                          <w:spacing w:val="-2"/>
                          <w:sz w:val="24"/>
                        </w:rPr>
                        <w:t>Governance</w:t>
                      </w:r>
                    </w:p>
                  </w:txbxContent>
                </v:textbox>
                <v:fill type="solid"/>
                <v:stroke dashstyle="solid"/>
                <w10:wrap type="topAndBottom"/>
              </v:shape>
            </w:pict>
          </mc:Fallback>
        </mc:AlternateContent>
      </w:r>
    </w:p>
    <w:p>
      <w:pPr>
        <w:pStyle w:val="ListParagraph"/>
        <w:numPr>
          <w:ilvl w:val="1"/>
          <w:numId w:val="60"/>
        </w:numPr>
        <w:tabs>
          <w:tab w:pos="862" w:val="left" w:leader="none"/>
        </w:tabs>
        <w:spacing w:line="240" w:lineRule="auto" w:before="170" w:after="0"/>
        <w:ind w:left="862" w:right="705" w:hanging="720"/>
        <w:jc w:val="left"/>
        <w:rPr>
          <w:sz w:val="24"/>
        </w:rPr>
      </w:pPr>
      <w:r>
        <w:rPr>
          <w:spacing w:val="-2"/>
          <w:sz w:val="24"/>
        </w:rPr>
        <w:t>The</w:t>
      </w:r>
      <w:r>
        <w:rPr>
          <w:spacing w:val="-8"/>
          <w:sz w:val="24"/>
        </w:rPr>
        <w:t> </w:t>
      </w:r>
      <w:r>
        <w:rPr>
          <w:spacing w:val="-2"/>
          <w:sz w:val="24"/>
        </w:rPr>
        <w:t>Regional</w:t>
      </w:r>
      <w:r>
        <w:rPr>
          <w:spacing w:val="-9"/>
          <w:sz w:val="24"/>
        </w:rPr>
        <w:t> </w:t>
      </w:r>
      <w:r>
        <w:rPr>
          <w:spacing w:val="-2"/>
          <w:sz w:val="24"/>
        </w:rPr>
        <w:t>Research,</w:t>
      </w:r>
      <w:r>
        <w:rPr>
          <w:spacing w:val="-8"/>
          <w:sz w:val="24"/>
        </w:rPr>
        <w:t> </w:t>
      </w:r>
      <w:r>
        <w:rPr>
          <w:spacing w:val="-2"/>
          <w:sz w:val="24"/>
        </w:rPr>
        <w:t>Innovation</w:t>
      </w:r>
      <w:r>
        <w:rPr>
          <w:spacing w:val="-9"/>
          <w:sz w:val="24"/>
        </w:rPr>
        <w:t> </w:t>
      </w:r>
      <w:r>
        <w:rPr>
          <w:spacing w:val="-2"/>
          <w:sz w:val="24"/>
        </w:rPr>
        <w:t>and</w:t>
      </w:r>
      <w:r>
        <w:rPr>
          <w:spacing w:val="-9"/>
          <w:sz w:val="24"/>
        </w:rPr>
        <w:t> </w:t>
      </w:r>
      <w:r>
        <w:rPr>
          <w:spacing w:val="-2"/>
          <w:sz w:val="24"/>
        </w:rPr>
        <w:t>Excellence</w:t>
      </w:r>
      <w:r>
        <w:rPr>
          <w:spacing w:val="-9"/>
          <w:sz w:val="24"/>
        </w:rPr>
        <w:t> </w:t>
      </w:r>
      <w:r>
        <w:rPr>
          <w:spacing w:val="-2"/>
          <w:sz w:val="24"/>
        </w:rPr>
        <w:t>Subgroup</w:t>
      </w:r>
      <w:r>
        <w:rPr>
          <w:spacing w:val="-9"/>
          <w:sz w:val="24"/>
        </w:rPr>
        <w:t> </w:t>
      </w:r>
      <w:r>
        <w:rPr>
          <w:spacing w:val="-2"/>
          <w:sz w:val="24"/>
        </w:rPr>
        <w:t>will</w:t>
      </w:r>
      <w:r>
        <w:rPr>
          <w:spacing w:val="-14"/>
          <w:sz w:val="24"/>
        </w:rPr>
        <w:t> </w:t>
      </w:r>
      <w:r>
        <w:rPr>
          <w:spacing w:val="-2"/>
          <w:sz w:val="24"/>
        </w:rPr>
        <w:t>operate</w:t>
      </w:r>
      <w:r>
        <w:rPr>
          <w:spacing w:val="-9"/>
          <w:sz w:val="24"/>
        </w:rPr>
        <w:t> </w:t>
      </w:r>
      <w:r>
        <w:rPr>
          <w:spacing w:val="-2"/>
          <w:sz w:val="24"/>
        </w:rPr>
        <w:t>in</w:t>
      </w:r>
      <w:r>
        <w:rPr>
          <w:spacing w:val="-9"/>
          <w:sz w:val="24"/>
        </w:rPr>
        <w:t> </w:t>
      </w:r>
      <w:r>
        <w:rPr>
          <w:spacing w:val="-2"/>
          <w:sz w:val="24"/>
        </w:rPr>
        <w:t>accordance with</w:t>
      </w:r>
      <w:r>
        <w:rPr>
          <w:spacing w:val="-14"/>
          <w:sz w:val="24"/>
        </w:rPr>
        <w:t> </w:t>
      </w:r>
      <w:r>
        <w:rPr>
          <w:spacing w:val="-2"/>
          <w:sz w:val="24"/>
        </w:rPr>
        <w:t>the</w:t>
      </w:r>
      <w:r>
        <w:rPr>
          <w:spacing w:val="-15"/>
          <w:sz w:val="24"/>
        </w:rPr>
        <w:t> </w:t>
      </w:r>
      <w:r>
        <w:rPr>
          <w:spacing w:val="-2"/>
          <w:sz w:val="24"/>
        </w:rPr>
        <w:t>Regional</w:t>
      </w:r>
      <w:r>
        <w:rPr>
          <w:spacing w:val="-11"/>
          <w:sz w:val="24"/>
        </w:rPr>
        <w:t> </w:t>
      </w:r>
      <w:r>
        <w:rPr>
          <w:spacing w:val="-2"/>
          <w:sz w:val="24"/>
        </w:rPr>
        <w:t>Joint</w:t>
      </w:r>
      <w:r>
        <w:rPr>
          <w:spacing w:val="-14"/>
          <w:sz w:val="24"/>
        </w:rPr>
        <w:t> </w:t>
      </w:r>
      <w:r>
        <w:rPr>
          <w:spacing w:val="-2"/>
          <w:sz w:val="24"/>
        </w:rPr>
        <w:t>Committee</w:t>
      </w:r>
      <w:r>
        <w:rPr>
          <w:spacing w:val="-15"/>
          <w:sz w:val="24"/>
        </w:rPr>
        <w:t> </w:t>
      </w:r>
      <w:r>
        <w:rPr>
          <w:spacing w:val="-2"/>
          <w:sz w:val="24"/>
        </w:rPr>
        <w:t>design</w:t>
      </w:r>
      <w:r>
        <w:rPr>
          <w:spacing w:val="-11"/>
          <w:sz w:val="24"/>
        </w:rPr>
        <w:t> </w:t>
      </w:r>
      <w:r>
        <w:rPr>
          <w:spacing w:val="-2"/>
          <w:sz w:val="24"/>
        </w:rPr>
        <w:t>principles</w:t>
      </w:r>
      <w:r>
        <w:rPr>
          <w:spacing w:val="-13"/>
          <w:sz w:val="24"/>
        </w:rPr>
        <w:t> </w:t>
      </w:r>
      <w:r>
        <w:rPr>
          <w:spacing w:val="-2"/>
          <w:sz w:val="24"/>
        </w:rPr>
        <w:t>(agreed</w:t>
      </w:r>
      <w:r>
        <w:rPr>
          <w:spacing w:val="-7"/>
          <w:sz w:val="24"/>
        </w:rPr>
        <w:t> </w:t>
      </w:r>
      <w:r>
        <w:rPr>
          <w:spacing w:val="-2"/>
          <w:sz w:val="24"/>
        </w:rPr>
        <w:t>set</w:t>
      </w:r>
      <w:r>
        <w:rPr>
          <w:spacing w:val="-14"/>
          <w:sz w:val="24"/>
        </w:rPr>
        <w:t> </w:t>
      </w:r>
      <w:r>
        <w:rPr>
          <w:spacing w:val="-2"/>
          <w:sz w:val="24"/>
        </w:rPr>
        <w:t>of</w:t>
      </w:r>
      <w:r>
        <w:rPr>
          <w:spacing w:val="-14"/>
          <w:sz w:val="24"/>
        </w:rPr>
        <w:t> </w:t>
      </w:r>
      <w:r>
        <w:rPr>
          <w:spacing w:val="-2"/>
          <w:sz w:val="24"/>
        </w:rPr>
        <w:t>rules</w:t>
      </w:r>
      <w:r>
        <w:rPr>
          <w:spacing w:val="-13"/>
          <w:sz w:val="24"/>
        </w:rPr>
        <w:t> </w:t>
      </w:r>
      <w:r>
        <w:rPr>
          <w:spacing w:val="-2"/>
          <w:sz w:val="24"/>
        </w:rPr>
        <w:t>defining</w:t>
      </w:r>
      <w:r>
        <w:rPr>
          <w:spacing w:val="-12"/>
          <w:sz w:val="24"/>
        </w:rPr>
        <w:t> </w:t>
      </w:r>
      <w:r>
        <w:rPr>
          <w:spacing w:val="-2"/>
          <w:sz w:val="24"/>
        </w:rPr>
        <w:t>purpose </w:t>
      </w:r>
      <w:r>
        <w:rPr>
          <w:sz w:val="24"/>
        </w:rPr>
        <w:t>through</w:t>
      </w:r>
      <w:r>
        <w:rPr>
          <w:spacing w:val="-15"/>
          <w:sz w:val="24"/>
        </w:rPr>
        <w:t> </w:t>
      </w:r>
      <w:r>
        <w:rPr>
          <w:sz w:val="24"/>
        </w:rPr>
        <w:t>intention</w:t>
      </w:r>
      <w:r>
        <w:rPr>
          <w:spacing w:val="-10"/>
          <w:sz w:val="24"/>
        </w:rPr>
        <w:t> </w:t>
      </w:r>
      <w:r>
        <w:rPr>
          <w:sz w:val="24"/>
        </w:rPr>
        <w:t>and</w:t>
      </w:r>
      <w:r>
        <w:rPr>
          <w:spacing w:val="-10"/>
          <w:sz w:val="24"/>
        </w:rPr>
        <w:t> </w:t>
      </w:r>
      <w:r>
        <w:rPr>
          <w:sz w:val="24"/>
        </w:rPr>
        <w:t>behaviour)</w:t>
      </w:r>
      <w:r>
        <w:rPr>
          <w:spacing w:val="-11"/>
          <w:sz w:val="24"/>
        </w:rPr>
        <w:t> </w:t>
      </w:r>
      <w:r>
        <w:rPr>
          <w:sz w:val="24"/>
        </w:rPr>
        <w:t>which</w:t>
      </w:r>
      <w:r>
        <w:rPr>
          <w:spacing w:val="-10"/>
          <w:sz w:val="24"/>
        </w:rPr>
        <w:t> </w:t>
      </w:r>
      <w:r>
        <w:rPr>
          <w:sz w:val="24"/>
        </w:rPr>
        <w:t>have</w:t>
      </w:r>
      <w:r>
        <w:rPr>
          <w:spacing w:val="-10"/>
          <w:sz w:val="24"/>
        </w:rPr>
        <w:t> </w:t>
      </w:r>
      <w:r>
        <w:rPr>
          <w:sz w:val="24"/>
        </w:rPr>
        <w:t>been</w:t>
      </w:r>
      <w:r>
        <w:rPr>
          <w:spacing w:val="-15"/>
          <w:sz w:val="24"/>
        </w:rPr>
        <w:t> </w:t>
      </w:r>
      <w:r>
        <w:rPr>
          <w:sz w:val="24"/>
        </w:rPr>
        <w:t>agreed</w:t>
      </w:r>
      <w:r>
        <w:rPr>
          <w:spacing w:val="-10"/>
          <w:sz w:val="24"/>
        </w:rPr>
        <w:t> </w:t>
      </w:r>
      <w:r>
        <w:rPr>
          <w:sz w:val="24"/>
        </w:rPr>
        <w:t>by</w:t>
      </w:r>
      <w:r>
        <w:rPr>
          <w:spacing w:val="-11"/>
          <w:sz w:val="24"/>
        </w:rPr>
        <w:t> </w:t>
      </w:r>
      <w:r>
        <w:rPr>
          <w:sz w:val="24"/>
        </w:rPr>
        <w:t>both</w:t>
      </w:r>
      <w:r>
        <w:rPr>
          <w:spacing w:val="-10"/>
          <w:sz w:val="24"/>
        </w:rPr>
        <w:t> </w:t>
      </w:r>
      <w:r>
        <w:rPr>
          <w:sz w:val="24"/>
        </w:rPr>
        <w:t>Boards</w:t>
      </w:r>
      <w:r>
        <w:rPr>
          <w:spacing w:val="-11"/>
          <w:sz w:val="24"/>
        </w:rPr>
        <w:t> </w:t>
      </w:r>
      <w:r>
        <w:rPr>
          <w:sz w:val="24"/>
        </w:rPr>
        <w:t>in</w:t>
      </w:r>
      <w:r>
        <w:rPr>
          <w:spacing w:val="-10"/>
          <w:sz w:val="24"/>
        </w:rPr>
        <w:t> </w:t>
      </w:r>
      <w:r>
        <w:rPr>
          <w:sz w:val="24"/>
        </w:rPr>
        <w:t>November 2024.</w:t>
      </w:r>
      <w:r>
        <w:rPr>
          <w:spacing w:val="-4"/>
          <w:sz w:val="24"/>
        </w:rPr>
        <w:t> </w:t>
      </w:r>
      <w:r>
        <w:rPr>
          <w:sz w:val="24"/>
        </w:rPr>
        <w:t>The</w:t>
      </w:r>
      <w:r>
        <w:rPr>
          <w:spacing w:val="-6"/>
          <w:sz w:val="24"/>
        </w:rPr>
        <w:t> </w:t>
      </w:r>
      <w:r>
        <w:rPr>
          <w:sz w:val="24"/>
        </w:rPr>
        <w:t>benefits</w:t>
      </w:r>
      <w:r>
        <w:rPr>
          <w:spacing w:val="-7"/>
          <w:sz w:val="24"/>
        </w:rPr>
        <w:t> </w:t>
      </w:r>
      <w:r>
        <w:rPr>
          <w:sz w:val="24"/>
        </w:rPr>
        <w:t>of</w:t>
      </w:r>
      <w:r>
        <w:rPr>
          <w:spacing w:val="-9"/>
          <w:sz w:val="24"/>
        </w:rPr>
        <w:t> </w:t>
      </w:r>
      <w:r>
        <w:rPr>
          <w:sz w:val="24"/>
        </w:rPr>
        <w:t>using</w:t>
      </w:r>
      <w:r>
        <w:rPr>
          <w:spacing w:val="-6"/>
          <w:sz w:val="24"/>
        </w:rPr>
        <w:t> </w:t>
      </w:r>
      <w:r>
        <w:rPr>
          <w:sz w:val="24"/>
        </w:rPr>
        <w:t>design</w:t>
      </w:r>
      <w:r>
        <w:rPr>
          <w:spacing w:val="-6"/>
          <w:sz w:val="24"/>
        </w:rPr>
        <w:t> </w:t>
      </w:r>
      <w:r>
        <w:rPr>
          <w:sz w:val="24"/>
        </w:rPr>
        <w:t>principles</w:t>
      </w:r>
      <w:r>
        <w:rPr>
          <w:spacing w:val="-7"/>
          <w:sz w:val="24"/>
        </w:rPr>
        <w:t> </w:t>
      </w:r>
      <w:r>
        <w:rPr>
          <w:sz w:val="24"/>
        </w:rPr>
        <w:t>are</w:t>
      </w:r>
      <w:r>
        <w:rPr>
          <w:spacing w:val="-1"/>
          <w:sz w:val="24"/>
        </w:rPr>
        <w:t> </w:t>
      </w:r>
      <w:r>
        <w:rPr>
          <w:sz w:val="24"/>
        </w:rPr>
        <w:t>as</w:t>
      </w:r>
      <w:r>
        <w:rPr>
          <w:spacing w:val="-7"/>
          <w:sz w:val="24"/>
        </w:rPr>
        <w:t> </w:t>
      </w:r>
      <w:r>
        <w:rPr>
          <w:sz w:val="24"/>
        </w:rPr>
        <w:t>follows:</w:t>
      </w:r>
    </w:p>
    <w:p>
      <w:pPr>
        <w:pStyle w:val="BodyText"/>
        <w:tabs>
          <w:tab w:pos="1277" w:val="left" w:leader="none"/>
        </w:tabs>
        <w:spacing w:before="161"/>
        <w:ind w:left="917"/>
      </w:pPr>
      <w:r>
        <w:rPr>
          <w:rFonts w:ascii="Times New Roman"/>
          <w:spacing w:val="-10"/>
        </w:rPr>
        <w:t>-</w:t>
      </w:r>
      <w:r>
        <w:rPr>
          <w:rFonts w:ascii="Times New Roman"/>
        </w:rPr>
        <w:tab/>
      </w:r>
      <w:r>
        <w:rPr>
          <w:spacing w:val="-2"/>
        </w:rPr>
        <w:t>They</w:t>
      </w:r>
      <w:r>
        <w:rPr>
          <w:spacing w:val="-13"/>
        </w:rPr>
        <w:t> </w:t>
      </w:r>
      <w:r>
        <w:rPr>
          <w:spacing w:val="-2"/>
        </w:rPr>
        <w:t>will</w:t>
      </w:r>
      <w:r>
        <w:rPr>
          <w:spacing w:val="-9"/>
        </w:rPr>
        <w:t> </w:t>
      </w:r>
      <w:r>
        <w:rPr>
          <w:spacing w:val="-2"/>
        </w:rPr>
        <w:t>embed</w:t>
      </w:r>
      <w:r>
        <w:rPr>
          <w:spacing w:val="-9"/>
        </w:rPr>
        <w:t> </w:t>
      </w:r>
      <w:r>
        <w:rPr>
          <w:spacing w:val="-2"/>
        </w:rPr>
        <w:t>our</w:t>
      </w:r>
      <w:r>
        <w:rPr>
          <w:spacing w:val="-11"/>
        </w:rPr>
        <w:t> </w:t>
      </w:r>
      <w:r>
        <w:rPr>
          <w:spacing w:val="-2"/>
        </w:rPr>
        <w:t>values</w:t>
      </w:r>
      <w:r>
        <w:rPr>
          <w:spacing w:val="-10"/>
        </w:rPr>
        <w:t> </w:t>
      </w:r>
      <w:r>
        <w:rPr>
          <w:spacing w:val="-2"/>
        </w:rPr>
        <w:t>in</w:t>
      </w:r>
      <w:r>
        <w:rPr>
          <w:spacing w:val="-9"/>
        </w:rPr>
        <w:t> </w:t>
      </w:r>
      <w:r>
        <w:rPr>
          <w:spacing w:val="-2"/>
        </w:rPr>
        <w:t>our</w:t>
      </w:r>
      <w:r>
        <w:rPr>
          <w:spacing w:val="-10"/>
        </w:rPr>
        <w:t> </w:t>
      </w:r>
      <w:r>
        <w:rPr>
          <w:spacing w:val="-2"/>
        </w:rPr>
        <w:t>behaviours</w:t>
      </w:r>
      <w:r>
        <w:rPr>
          <w:spacing w:val="-10"/>
        </w:rPr>
        <w:t> </w:t>
      </w:r>
      <w:r>
        <w:rPr>
          <w:spacing w:val="-2"/>
        </w:rPr>
        <w:t>and</w:t>
      </w:r>
      <w:r>
        <w:rPr>
          <w:spacing w:val="-14"/>
        </w:rPr>
        <w:t> </w:t>
      </w:r>
      <w:r>
        <w:rPr>
          <w:spacing w:val="-2"/>
        </w:rPr>
        <w:t>actions;</w:t>
      </w:r>
    </w:p>
    <w:p>
      <w:pPr>
        <w:spacing w:before="226"/>
        <w:ind w:left="4" w:right="284" w:firstLine="0"/>
        <w:jc w:val="center"/>
        <w:rPr>
          <w:sz w:val="20"/>
        </w:rPr>
      </w:pPr>
      <w:r>
        <w:rPr>
          <w:spacing w:val="-10"/>
          <w:sz w:val="20"/>
        </w:rPr>
        <w:t>2</w:t>
      </w:r>
    </w:p>
    <w:p>
      <w:pPr>
        <w:spacing w:after="0"/>
        <w:jc w:val="center"/>
        <w:rPr>
          <w:sz w:val="20"/>
        </w:rPr>
        <w:sectPr>
          <w:pgSz w:w="11910" w:h="16840"/>
          <w:pgMar w:header="0" w:footer="149" w:top="1760" w:bottom="340" w:left="708" w:right="425"/>
        </w:sectPr>
      </w:pPr>
    </w:p>
    <w:p>
      <w:pPr>
        <w:pStyle w:val="ListParagraph"/>
        <w:numPr>
          <w:ilvl w:val="0"/>
          <w:numId w:val="61"/>
        </w:numPr>
        <w:tabs>
          <w:tab w:pos="1277" w:val="left" w:leader="none"/>
        </w:tabs>
        <w:spacing w:line="240" w:lineRule="auto" w:before="75" w:after="0"/>
        <w:ind w:left="1277" w:right="0" w:hanging="360"/>
        <w:jc w:val="left"/>
        <w:rPr>
          <w:sz w:val="24"/>
        </w:rPr>
      </w:pPr>
      <w:r>
        <w:rPr>
          <w:spacing w:val="-2"/>
          <w:sz w:val="24"/>
        </w:rPr>
        <w:t>They</w:t>
      </w:r>
      <w:r>
        <w:rPr>
          <w:spacing w:val="-15"/>
          <w:sz w:val="24"/>
        </w:rPr>
        <w:t> </w:t>
      </w:r>
      <w:r>
        <w:rPr>
          <w:spacing w:val="-2"/>
          <w:sz w:val="24"/>
        </w:rPr>
        <w:t>will</w:t>
      </w:r>
      <w:r>
        <w:rPr>
          <w:spacing w:val="-10"/>
          <w:sz w:val="24"/>
        </w:rPr>
        <w:t> </w:t>
      </w:r>
      <w:r>
        <w:rPr>
          <w:spacing w:val="-2"/>
          <w:sz w:val="24"/>
        </w:rPr>
        <w:t>provide</w:t>
      </w:r>
      <w:r>
        <w:rPr>
          <w:spacing w:val="-9"/>
          <w:sz w:val="24"/>
        </w:rPr>
        <w:t> </w:t>
      </w:r>
      <w:r>
        <w:rPr>
          <w:spacing w:val="-2"/>
          <w:sz w:val="24"/>
        </w:rPr>
        <w:t>a</w:t>
      </w:r>
      <w:r>
        <w:rPr>
          <w:spacing w:val="-10"/>
          <w:sz w:val="24"/>
        </w:rPr>
        <w:t> </w:t>
      </w:r>
      <w:r>
        <w:rPr>
          <w:spacing w:val="-2"/>
          <w:sz w:val="24"/>
        </w:rPr>
        <w:t>compass</w:t>
      </w:r>
      <w:r>
        <w:rPr>
          <w:spacing w:val="-11"/>
          <w:sz w:val="24"/>
        </w:rPr>
        <w:t> </w:t>
      </w:r>
      <w:r>
        <w:rPr>
          <w:spacing w:val="-2"/>
          <w:sz w:val="24"/>
        </w:rPr>
        <w:t>point</w:t>
      </w:r>
      <w:r>
        <w:rPr>
          <w:spacing w:val="-15"/>
          <w:sz w:val="24"/>
        </w:rPr>
        <w:t> </w:t>
      </w:r>
      <w:r>
        <w:rPr>
          <w:spacing w:val="-2"/>
          <w:sz w:val="24"/>
        </w:rPr>
        <w:t>when</w:t>
      </w:r>
      <w:r>
        <w:rPr>
          <w:spacing w:val="-10"/>
          <w:sz w:val="24"/>
        </w:rPr>
        <w:t> </w:t>
      </w:r>
      <w:r>
        <w:rPr>
          <w:spacing w:val="-2"/>
          <w:sz w:val="24"/>
        </w:rPr>
        <w:t>conflict</w:t>
      </w:r>
      <w:r>
        <w:rPr>
          <w:spacing w:val="-12"/>
          <w:sz w:val="24"/>
        </w:rPr>
        <w:t> </w:t>
      </w:r>
      <w:r>
        <w:rPr>
          <w:spacing w:val="-2"/>
          <w:sz w:val="24"/>
        </w:rPr>
        <w:t>or</w:t>
      </w:r>
      <w:r>
        <w:rPr>
          <w:spacing w:val="-15"/>
          <w:sz w:val="24"/>
        </w:rPr>
        <w:t> </w:t>
      </w:r>
      <w:r>
        <w:rPr>
          <w:spacing w:val="-2"/>
          <w:sz w:val="24"/>
        </w:rPr>
        <w:t>disagreement</w:t>
      </w:r>
      <w:r>
        <w:rPr>
          <w:spacing w:val="-12"/>
          <w:sz w:val="24"/>
        </w:rPr>
        <w:t> </w:t>
      </w:r>
      <w:r>
        <w:rPr>
          <w:spacing w:val="-2"/>
          <w:sz w:val="24"/>
        </w:rPr>
        <w:t>occurs;</w:t>
      </w:r>
    </w:p>
    <w:p>
      <w:pPr>
        <w:pStyle w:val="ListParagraph"/>
        <w:numPr>
          <w:ilvl w:val="0"/>
          <w:numId w:val="61"/>
        </w:numPr>
        <w:tabs>
          <w:tab w:pos="1277" w:val="left" w:leader="none"/>
        </w:tabs>
        <w:spacing w:line="240" w:lineRule="auto" w:before="118" w:after="0"/>
        <w:ind w:left="1277" w:right="0" w:hanging="360"/>
        <w:jc w:val="left"/>
        <w:rPr>
          <w:sz w:val="24"/>
        </w:rPr>
      </w:pPr>
      <w:r>
        <w:rPr>
          <w:spacing w:val="-2"/>
          <w:sz w:val="24"/>
        </w:rPr>
        <w:t>They</w:t>
      </w:r>
      <w:r>
        <w:rPr>
          <w:spacing w:val="-10"/>
          <w:sz w:val="24"/>
        </w:rPr>
        <w:t> </w:t>
      </w:r>
      <w:r>
        <w:rPr>
          <w:spacing w:val="-2"/>
          <w:sz w:val="24"/>
        </w:rPr>
        <w:t>will</w:t>
      </w:r>
      <w:r>
        <w:rPr>
          <w:spacing w:val="-9"/>
          <w:sz w:val="24"/>
        </w:rPr>
        <w:t> </w:t>
      </w:r>
      <w:r>
        <w:rPr>
          <w:spacing w:val="-2"/>
          <w:sz w:val="24"/>
        </w:rPr>
        <w:t>ensure</w:t>
      </w:r>
      <w:r>
        <w:rPr>
          <w:spacing w:val="-9"/>
          <w:sz w:val="24"/>
        </w:rPr>
        <w:t> </w:t>
      </w:r>
      <w:r>
        <w:rPr>
          <w:spacing w:val="-2"/>
          <w:sz w:val="24"/>
        </w:rPr>
        <w:t>we</w:t>
      </w:r>
      <w:r>
        <w:rPr>
          <w:spacing w:val="-9"/>
          <w:sz w:val="24"/>
        </w:rPr>
        <w:t> </w:t>
      </w:r>
      <w:r>
        <w:rPr>
          <w:spacing w:val="-2"/>
          <w:sz w:val="24"/>
        </w:rPr>
        <w:t>are</w:t>
      </w:r>
      <w:r>
        <w:rPr>
          <w:spacing w:val="-4"/>
          <w:sz w:val="24"/>
        </w:rPr>
        <w:t> </w:t>
      </w:r>
      <w:r>
        <w:rPr>
          <w:spacing w:val="-2"/>
          <w:sz w:val="24"/>
        </w:rPr>
        <w:t>consistent</w:t>
      </w:r>
      <w:r>
        <w:rPr>
          <w:spacing w:val="-12"/>
          <w:sz w:val="24"/>
        </w:rPr>
        <w:t> </w:t>
      </w:r>
      <w:r>
        <w:rPr>
          <w:spacing w:val="-2"/>
          <w:sz w:val="24"/>
        </w:rPr>
        <w:t>in</w:t>
      </w:r>
      <w:r>
        <w:rPr>
          <w:spacing w:val="-9"/>
          <w:sz w:val="24"/>
        </w:rPr>
        <w:t> </w:t>
      </w:r>
      <w:r>
        <w:rPr>
          <w:spacing w:val="-2"/>
          <w:sz w:val="24"/>
        </w:rPr>
        <w:t>what</w:t>
      </w:r>
      <w:r>
        <w:rPr>
          <w:spacing w:val="-11"/>
          <w:sz w:val="24"/>
        </w:rPr>
        <w:t> </w:t>
      </w:r>
      <w:r>
        <w:rPr>
          <w:spacing w:val="-2"/>
          <w:sz w:val="24"/>
        </w:rPr>
        <w:t>we</w:t>
      </w:r>
      <w:r>
        <w:rPr>
          <w:spacing w:val="-9"/>
          <w:sz w:val="24"/>
        </w:rPr>
        <w:t> </w:t>
      </w:r>
      <w:r>
        <w:rPr>
          <w:spacing w:val="-2"/>
          <w:sz w:val="24"/>
        </w:rPr>
        <w:t>say</w:t>
      </w:r>
      <w:r>
        <w:rPr>
          <w:spacing w:val="-15"/>
          <w:sz w:val="24"/>
        </w:rPr>
        <w:t> </w:t>
      </w:r>
      <w:r>
        <w:rPr>
          <w:spacing w:val="-2"/>
          <w:sz w:val="24"/>
        </w:rPr>
        <w:t>and</w:t>
      </w:r>
      <w:r>
        <w:rPr>
          <w:spacing w:val="-9"/>
          <w:sz w:val="24"/>
        </w:rPr>
        <w:t> </w:t>
      </w:r>
      <w:r>
        <w:rPr>
          <w:spacing w:val="-2"/>
          <w:sz w:val="24"/>
        </w:rPr>
        <w:t>do;</w:t>
      </w:r>
      <w:r>
        <w:rPr>
          <w:spacing w:val="-11"/>
          <w:sz w:val="24"/>
        </w:rPr>
        <w:t> </w:t>
      </w:r>
      <w:r>
        <w:rPr>
          <w:spacing w:val="-5"/>
          <w:sz w:val="24"/>
        </w:rPr>
        <w:t>and</w:t>
      </w:r>
    </w:p>
    <w:p>
      <w:pPr>
        <w:pStyle w:val="ListParagraph"/>
        <w:numPr>
          <w:ilvl w:val="0"/>
          <w:numId w:val="61"/>
        </w:numPr>
        <w:tabs>
          <w:tab w:pos="1277" w:val="left" w:leader="none"/>
        </w:tabs>
        <w:spacing w:line="240" w:lineRule="auto" w:before="123" w:after="0"/>
        <w:ind w:left="1277" w:right="0" w:hanging="360"/>
        <w:jc w:val="left"/>
        <w:rPr>
          <w:sz w:val="24"/>
        </w:rPr>
      </w:pPr>
      <w:r>
        <w:rPr>
          <w:spacing w:val="-2"/>
          <w:sz w:val="24"/>
        </w:rPr>
        <w:t>They</w:t>
      </w:r>
      <w:r>
        <w:rPr>
          <w:spacing w:val="-15"/>
          <w:sz w:val="24"/>
        </w:rPr>
        <w:t> </w:t>
      </w:r>
      <w:r>
        <w:rPr>
          <w:spacing w:val="-2"/>
          <w:sz w:val="24"/>
        </w:rPr>
        <w:t>are</w:t>
      </w:r>
      <w:r>
        <w:rPr>
          <w:spacing w:val="-15"/>
          <w:sz w:val="24"/>
        </w:rPr>
        <w:t> </w:t>
      </w:r>
      <w:r>
        <w:rPr>
          <w:spacing w:val="-2"/>
          <w:sz w:val="24"/>
        </w:rPr>
        <w:t>universally</w:t>
      </w:r>
      <w:r>
        <w:rPr>
          <w:spacing w:val="-14"/>
          <w:sz w:val="24"/>
        </w:rPr>
        <w:t> </w:t>
      </w:r>
      <w:r>
        <w:rPr>
          <w:spacing w:val="-2"/>
          <w:sz w:val="24"/>
        </w:rPr>
        <w:t>understood</w:t>
      </w:r>
      <w:r>
        <w:rPr>
          <w:spacing w:val="-15"/>
          <w:sz w:val="24"/>
        </w:rPr>
        <w:t> </w:t>
      </w:r>
      <w:r>
        <w:rPr>
          <w:spacing w:val="-2"/>
          <w:sz w:val="24"/>
        </w:rPr>
        <w:t>and</w:t>
      </w:r>
      <w:r>
        <w:rPr>
          <w:spacing w:val="-11"/>
          <w:sz w:val="24"/>
        </w:rPr>
        <w:t> </w:t>
      </w:r>
      <w:r>
        <w:rPr>
          <w:spacing w:val="-2"/>
          <w:sz w:val="24"/>
        </w:rPr>
        <w:t>accepted.</w:t>
      </w:r>
    </w:p>
    <w:p>
      <w:pPr>
        <w:pStyle w:val="BodyText"/>
        <w:spacing w:before="237"/>
      </w:pPr>
    </w:p>
    <w:p>
      <w:pPr>
        <w:pStyle w:val="ListParagraph"/>
        <w:numPr>
          <w:ilvl w:val="1"/>
          <w:numId w:val="60"/>
        </w:numPr>
        <w:tabs>
          <w:tab w:pos="782" w:val="left" w:leader="none"/>
        </w:tabs>
        <w:spacing w:line="240" w:lineRule="auto" w:before="1" w:after="0"/>
        <w:ind w:left="782" w:right="0" w:hanging="640"/>
        <w:jc w:val="left"/>
        <w:rPr>
          <w:sz w:val="24"/>
        </w:rPr>
      </w:pPr>
      <w:r>
        <w:rPr>
          <w:spacing w:val="-2"/>
          <w:sz w:val="24"/>
        </w:rPr>
        <w:t>The</w:t>
      </w:r>
      <w:r>
        <w:rPr>
          <w:spacing w:val="-15"/>
          <w:sz w:val="24"/>
        </w:rPr>
        <w:t> </w:t>
      </w:r>
      <w:r>
        <w:rPr>
          <w:spacing w:val="-2"/>
          <w:sz w:val="24"/>
        </w:rPr>
        <w:t>design</w:t>
      </w:r>
      <w:r>
        <w:rPr>
          <w:spacing w:val="-10"/>
          <w:sz w:val="24"/>
        </w:rPr>
        <w:t> </w:t>
      </w:r>
      <w:r>
        <w:rPr>
          <w:spacing w:val="-2"/>
          <w:sz w:val="24"/>
        </w:rPr>
        <w:t>principles</w:t>
      </w:r>
      <w:r>
        <w:rPr>
          <w:spacing w:val="-15"/>
          <w:sz w:val="24"/>
        </w:rPr>
        <w:t> </w:t>
      </w:r>
      <w:r>
        <w:rPr>
          <w:spacing w:val="-2"/>
          <w:sz w:val="24"/>
        </w:rPr>
        <w:t>agreed</w:t>
      </w:r>
      <w:r>
        <w:rPr>
          <w:spacing w:val="-10"/>
          <w:sz w:val="24"/>
        </w:rPr>
        <w:t> </w:t>
      </w:r>
      <w:r>
        <w:rPr>
          <w:spacing w:val="-2"/>
          <w:sz w:val="24"/>
        </w:rPr>
        <w:t>by</w:t>
      </w:r>
      <w:r>
        <w:rPr>
          <w:spacing w:val="-10"/>
          <w:sz w:val="24"/>
        </w:rPr>
        <w:t> </w:t>
      </w:r>
      <w:r>
        <w:rPr>
          <w:spacing w:val="-2"/>
          <w:sz w:val="24"/>
        </w:rPr>
        <w:t>both</w:t>
      </w:r>
      <w:r>
        <w:rPr>
          <w:spacing w:val="-10"/>
          <w:sz w:val="24"/>
        </w:rPr>
        <w:t> </w:t>
      </w:r>
      <w:r>
        <w:rPr>
          <w:spacing w:val="-2"/>
          <w:sz w:val="24"/>
        </w:rPr>
        <w:t>Boards</w:t>
      </w:r>
      <w:r>
        <w:rPr>
          <w:spacing w:val="-14"/>
          <w:sz w:val="24"/>
        </w:rPr>
        <w:t> </w:t>
      </w:r>
      <w:r>
        <w:rPr>
          <w:spacing w:val="-4"/>
          <w:sz w:val="24"/>
        </w:rPr>
        <w:t>are:</w:t>
      </w:r>
    </w:p>
    <w:p>
      <w:pPr>
        <w:pStyle w:val="BodyText"/>
        <w:spacing w:before="3" w:after="1"/>
        <w:rPr>
          <w:sz w:val="10"/>
        </w:rPr>
      </w:pPr>
    </w:p>
    <w:tbl>
      <w:tblPr>
        <w:tblW w:w="0" w:type="auto"/>
        <w:jc w:val="left"/>
        <w:tblInd w:w="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86"/>
        <w:gridCol w:w="7658"/>
      </w:tblGrid>
      <w:tr>
        <w:trPr>
          <w:trHeight w:val="555" w:hRule="atLeast"/>
        </w:trPr>
        <w:tc>
          <w:tcPr>
            <w:tcW w:w="1486" w:type="dxa"/>
          </w:tcPr>
          <w:p>
            <w:pPr>
              <w:pStyle w:val="TableParagraph"/>
              <w:ind w:left="110"/>
              <w:rPr>
                <w:sz w:val="24"/>
              </w:rPr>
            </w:pPr>
            <w:r>
              <w:rPr>
                <w:spacing w:val="-2"/>
                <w:sz w:val="24"/>
              </w:rPr>
              <w:t>Mindset</w:t>
            </w:r>
          </w:p>
        </w:tc>
        <w:tc>
          <w:tcPr>
            <w:tcW w:w="7658" w:type="dxa"/>
          </w:tcPr>
          <w:p>
            <w:pPr>
              <w:pStyle w:val="TableParagraph"/>
              <w:spacing w:line="276" w:lineRule="exact"/>
              <w:ind w:left="105"/>
              <w:rPr>
                <w:sz w:val="24"/>
              </w:rPr>
            </w:pPr>
            <w:r>
              <w:rPr>
                <w:spacing w:val="-2"/>
                <w:sz w:val="24"/>
              </w:rPr>
              <w:t>Trusting</w:t>
            </w:r>
            <w:r>
              <w:rPr>
                <w:spacing w:val="-15"/>
                <w:sz w:val="24"/>
              </w:rPr>
              <w:t> </w:t>
            </w:r>
            <w:r>
              <w:rPr>
                <w:spacing w:val="-2"/>
                <w:sz w:val="24"/>
              </w:rPr>
              <w:t>each</w:t>
            </w:r>
            <w:r>
              <w:rPr>
                <w:spacing w:val="-12"/>
                <w:sz w:val="24"/>
              </w:rPr>
              <w:t> </w:t>
            </w:r>
            <w:r>
              <w:rPr>
                <w:spacing w:val="-2"/>
                <w:sz w:val="24"/>
              </w:rPr>
              <w:t>other</w:t>
            </w:r>
            <w:r>
              <w:rPr>
                <w:spacing w:val="-8"/>
                <w:sz w:val="24"/>
              </w:rPr>
              <w:t> </w:t>
            </w:r>
            <w:r>
              <w:rPr>
                <w:spacing w:val="-2"/>
                <w:sz w:val="24"/>
              </w:rPr>
              <w:t>to</w:t>
            </w:r>
            <w:r>
              <w:rPr>
                <w:spacing w:val="-12"/>
                <w:sz w:val="24"/>
              </w:rPr>
              <w:t> </w:t>
            </w:r>
            <w:r>
              <w:rPr>
                <w:spacing w:val="-2"/>
                <w:sz w:val="24"/>
              </w:rPr>
              <w:t>do</w:t>
            </w:r>
            <w:r>
              <w:rPr>
                <w:spacing w:val="-12"/>
                <w:sz w:val="24"/>
              </w:rPr>
              <w:t> </w:t>
            </w:r>
            <w:r>
              <w:rPr>
                <w:spacing w:val="-2"/>
                <w:sz w:val="24"/>
              </w:rPr>
              <w:t>the</w:t>
            </w:r>
            <w:r>
              <w:rPr>
                <w:spacing w:val="-12"/>
                <w:sz w:val="24"/>
              </w:rPr>
              <w:t> </w:t>
            </w:r>
            <w:r>
              <w:rPr>
                <w:spacing w:val="-2"/>
                <w:sz w:val="24"/>
              </w:rPr>
              <w:t>right</w:t>
            </w:r>
            <w:r>
              <w:rPr>
                <w:spacing w:val="-10"/>
                <w:sz w:val="24"/>
              </w:rPr>
              <w:t> </w:t>
            </w:r>
            <w:r>
              <w:rPr>
                <w:spacing w:val="-2"/>
                <w:sz w:val="24"/>
              </w:rPr>
              <w:t>thing</w:t>
            </w:r>
            <w:r>
              <w:rPr>
                <w:spacing w:val="-12"/>
                <w:sz w:val="24"/>
              </w:rPr>
              <w:t> </w:t>
            </w:r>
            <w:r>
              <w:rPr>
                <w:spacing w:val="-2"/>
                <w:sz w:val="24"/>
              </w:rPr>
              <w:t>and</w:t>
            </w:r>
            <w:r>
              <w:rPr>
                <w:spacing w:val="-7"/>
                <w:sz w:val="24"/>
              </w:rPr>
              <w:t> </w:t>
            </w:r>
            <w:r>
              <w:rPr>
                <w:spacing w:val="-2"/>
                <w:sz w:val="24"/>
              </w:rPr>
              <w:t>to</w:t>
            </w:r>
            <w:r>
              <w:rPr>
                <w:spacing w:val="-12"/>
                <w:sz w:val="24"/>
              </w:rPr>
              <w:t> </w:t>
            </w:r>
            <w:r>
              <w:rPr>
                <w:spacing w:val="-2"/>
                <w:sz w:val="24"/>
              </w:rPr>
              <w:t>act</w:t>
            </w:r>
            <w:r>
              <w:rPr>
                <w:spacing w:val="-14"/>
                <w:sz w:val="24"/>
              </w:rPr>
              <w:t> </w:t>
            </w:r>
            <w:r>
              <w:rPr>
                <w:spacing w:val="-2"/>
                <w:sz w:val="24"/>
              </w:rPr>
              <w:t>with</w:t>
            </w:r>
            <w:r>
              <w:rPr>
                <w:spacing w:val="-7"/>
                <w:sz w:val="24"/>
              </w:rPr>
              <w:t> </w:t>
            </w:r>
            <w:r>
              <w:rPr>
                <w:spacing w:val="-2"/>
                <w:sz w:val="24"/>
              </w:rPr>
              <w:t>courage</w:t>
            </w:r>
            <w:r>
              <w:rPr>
                <w:spacing w:val="-12"/>
                <w:sz w:val="24"/>
              </w:rPr>
              <w:t> </w:t>
            </w:r>
            <w:r>
              <w:rPr>
                <w:spacing w:val="-2"/>
                <w:sz w:val="24"/>
              </w:rPr>
              <w:t>and conviction.</w:t>
            </w:r>
          </w:p>
        </w:tc>
      </w:tr>
      <w:tr>
        <w:trPr>
          <w:trHeight w:val="550" w:hRule="atLeast"/>
        </w:trPr>
        <w:tc>
          <w:tcPr>
            <w:tcW w:w="1486" w:type="dxa"/>
          </w:tcPr>
          <w:p>
            <w:pPr>
              <w:pStyle w:val="TableParagraph"/>
              <w:ind w:left="110"/>
              <w:rPr>
                <w:sz w:val="24"/>
              </w:rPr>
            </w:pPr>
            <w:r>
              <w:rPr>
                <w:spacing w:val="-2"/>
                <w:sz w:val="24"/>
              </w:rPr>
              <w:t>Process</w:t>
            </w:r>
          </w:p>
        </w:tc>
        <w:tc>
          <w:tcPr>
            <w:tcW w:w="7658" w:type="dxa"/>
          </w:tcPr>
          <w:p>
            <w:pPr>
              <w:pStyle w:val="TableParagraph"/>
              <w:spacing w:line="276" w:lineRule="exact"/>
              <w:ind w:left="105" w:right="95"/>
              <w:rPr>
                <w:sz w:val="24"/>
              </w:rPr>
            </w:pPr>
            <w:r>
              <w:rPr>
                <w:spacing w:val="-2"/>
                <w:sz w:val="24"/>
              </w:rPr>
              <w:t>Driven</w:t>
            </w:r>
            <w:r>
              <w:rPr>
                <w:spacing w:val="-10"/>
                <w:sz w:val="24"/>
              </w:rPr>
              <w:t> </w:t>
            </w:r>
            <w:r>
              <w:rPr>
                <w:spacing w:val="-2"/>
                <w:sz w:val="24"/>
              </w:rPr>
              <w:t>by</w:t>
            </w:r>
            <w:r>
              <w:rPr>
                <w:spacing w:val="-11"/>
                <w:sz w:val="24"/>
              </w:rPr>
              <w:t> </w:t>
            </w:r>
            <w:r>
              <w:rPr>
                <w:spacing w:val="-2"/>
                <w:sz w:val="24"/>
              </w:rPr>
              <w:t>data</w:t>
            </w:r>
            <w:r>
              <w:rPr>
                <w:spacing w:val="-10"/>
                <w:sz w:val="24"/>
              </w:rPr>
              <w:t> </w:t>
            </w:r>
            <w:r>
              <w:rPr>
                <w:spacing w:val="-2"/>
                <w:sz w:val="24"/>
              </w:rPr>
              <w:t>and</w:t>
            </w:r>
            <w:r>
              <w:rPr>
                <w:spacing w:val="-10"/>
                <w:sz w:val="24"/>
              </w:rPr>
              <w:t> </w:t>
            </w:r>
            <w:r>
              <w:rPr>
                <w:spacing w:val="-2"/>
                <w:sz w:val="24"/>
              </w:rPr>
              <w:t>evidence</w:t>
            </w:r>
            <w:r>
              <w:rPr>
                <w:spacing w:val="-10"/>
                <w:sz w:val="24"/>
              </w:rPr>
              <w:t> </w:t>
            </w:r>
            <w:r>
              <w:rPr>
                <w:spacing w:val="-2"/>
                <w:sz w:val="24"/>
              </w:rPr>
              <w:t>and</w:t>
            </w:r>
            <w:r>
              <w:rPr>
                <w:spacing w:val="-10"/>
                <w:sz w:val="24"/>
              </w:rPr>
              <w:t> </w:t>
            </w:r>
            <w:r>
              <w:rPr>
                <w:spacing w:val="-2"/>
                <w:sz w:val="24"/>
              </w:rPr>
              <w:t>embracing</w:t>
            </w:r>
            <w:r>
              <w:rPr>
                <w:spacing w:val="-10"/>
                <w:sz w:val="24"/>
              </w:rPr>
              <w:t> </w:t>
            </w:r>
            <w:r>
              <w:rPr>
                <w:spacing w:val="-2"/>
                <w:sz w:val="24"/>
              </w:rPr>
              <w:t>opportunities</w:t>
            </w:r>
            <w:r>
              <w:rPr>
                <w:spacing w:val="-11"/>
                <w:sz w:val="24"/>
              </w:rPr>
              <w:t> </w:t>
            </w:r>
            <w:r>
              <w:rPr>
                <w:spacing w:val="-2"/>
                <w:sz w:val="24"/>
              </w:rPr>
              <w:t>to</w:t>
            </w:r>
            <w:r>
              <w:rPr>
                <w:spacing w:val="-10"/>
                <w:sz w:val="24"/>
              </w:rPr>
              <w:t> </w:t>
            </w:r>
            <w:r>
              <w:rPr>
                <w:spacing w:val="-2"/>
                <w:sz w:val="24"/>
              </w:rPr>
              <w:t>re-imagine,</w:t>
            </w:r>
            <w:r>
              <w:rPr>
                <w:spacing w:val="-17"/>
                <w:sz w:val="24"/>
              </w:rPr>
              <w:t> </w:t>
            </w:r>
            <w:r>
              <w:rPr>
                <w:spacing w:val="-2"/>
                <w:sz w:val="24"/>
              </w:rPr>
              <w:t>redesign</w:t>
            </w:r>
            <w:r>
              <w:rPr>
                <w:spacing w:val="-15"/>
                <w:sz w:val="24"/>
              </w:rPr>
              <w:t> </w:t>
            </w:r>
            <w:r>
              <w:rPr>
                <w:spacing w:val="-2"/>
                <w:sz w:val="24"/>
              </w:rPr>
              <w:t>and</w:t>
            </w:r>
            <w:r>
              <w:rPr>
                <w:spacing w:val="-14"/>
                <w:sz w:val="24"/>
              </w:rPr>
              <w:t> </w:t>
            </w:r>
            <w:r>
              <w:rPr>
                <w:spacing w:val="-2"/>
                <w:sz w:val="24"/>
              </w:rPr>
              <w:t>innovate</w:t>
            </w:r>
            <w:r>
              <w:rPr>
                <w:spacing w:val="-13"/>
                <w:sz w:val="24"/>
              </w:rPr>
              <w:t> </w:t>
            </w:r>
            <w:r>
              <w:rPr>
                <w:spacing w:val="-2"/>
                <w:sz w:val="24"/>
              </w:rPr>
              <w:t>Sustainability</w:t>
            </w:r>
            <w:r>
              <w:rPr>
                <w:spacing w:val="-14"/>
                <w:sz w:val="24"/>
              </w:rPr>
              <w:t> </w:t>
            </w:r>
            <w:r>
              <w:rPr>
                <w:spacing w:val="-2"/>
                <w:sz w:val="24"/>
              </w:rPr>
              <w:t>of</w:t>
            </w:r>
            <w:r>
              <w:rPr>
                <w:spacing w:val="-15"/>
                <w:sz w:val="24"/>
              </w:rPr>
              <w:t> </w:t>
            </w:r>
            <w:r>
              <w:rPr>
                <w:spacing w:val="-2"/>
                <w:sz w:val="24"/>
              </w:rPr>
              <w:t>the</w:t>
            </w:r>
            <w:r>
              <w:rPr>
                <w:spacing w:val="-14"/>
                <w:sz w:val="24"/>
              </w:rPr>
              <w:t> </w:t>
            </w:r>
            <w:r>
              <w:rPr>
                <w:spacing w:val="-2"/>
                <w:sz w:val="24"/>
              </w:rPr>
              <w:t>architecture</w:t>
            </w:r>
          </w:p>
        </w:tc>
      </w:tr>
      <w:tr>
        <w:trPr>
          <w:trHeight w:val="548" w:hRule="atLeast"/>
        </w:trPr>
        <w:tc>
          <w:tcPr>
            <w:tcW w:w="1486" w:type="dxa"/>
          </w:tcPr>
          <w:p>
            <w:pPr>
              <w:pStyle w:val="TableParagraph"/>
              <w:spacing w:line="274" w:lineRule="exact"/>
              <w:ind w:left="110"/>
              <w:rPr>
                <w:sz w:val="24"/>
              </w:rPr>
            </w:pPr>
            <w:r>
              <w:rPr>
                <w:spacing w:val="-2"/>
                <w:sz w:val="24"/>
              </w:rPr>
              <w:t>Outcome</w:t>
            </w:r>
          </w:p>
        </w:tc>
        <w:tc>
          <w:tcPr>
            <w:tcW w:w="7658" w:type="dxa"/>
          </w:tcPr>
          <w:p>
            <w:pPr>
              <w:pStyle w:val="TableParagraph"/>
              <w:spacing w:line="276" w:lineRule="exact"/>
              <w:ind w:left="105"/>
              <w:rPr>
                <w:sz w:val="24"/>
              </w:rPr>
            </w:pPr>
            <w:r>
              <w:rPr>
                <w:spacing w:val="-2"/>
                <w:sz w:val="24"/>
              </w:rPr>
              <w:t>Building</w:t>
            </w:r>
            <w:r>
              <w:rPr>
                <w:spacing w:val="-15"/>
                <w:sz w:val="24"/>
              </w:rPr>
              <w:t> </w:t>
            </w:r>
            <w:r>
              <w:rPr>
                <w:spacing w:val="-2"/>
                <w:sz w:val="24"/>
              </w:rPr>
              <w:t>sustainable</w:t>
            </w:r>
            <w:r>
              <w:rPr>
                <w:spacing w:val="-15"/>
                <w:sz w:val="24"/>
              </w:rPr>
              <w:t> </w:t>
            </w:r>
            <w:r>
              <w:rPr>
                <w:spacing w:val="-2"/>
                <w:sz w:val="24"/>
              </w:rPr>
              <w:t>and</w:t>
            </w:r>
            <w:r>
              <w:rPr>
                <w:spacing w:val="-14"/>
                <w:sz w:val="24"/>
              </w:rPr>
              <w:t> </w:t>
            </w:r>
            <w:r>
              <w:rPr>
                <w:spacing w:val="-2"/>
                <w:sz w:val="24"/>
              </w:rPr>
              <w:t>future</w:t>
            </w:r>
            <w:r>
              <w:rPr>
                <w:spacing w:val="-15"/>
                <w:sz w:val="24"/>
              </w:rPr>
              <w:t> </w:t>
            </w:r>
            <w:r>
              <w:rPr>
                <w:spacing w:val="-2"/>
                <w:sz w:val="24"/>
              </w:rPr>
              <w:t>proofed</w:t>
            </w:r>
            <w:r>
              <w:rPr>
                <w:spacing w:val="-15"/>
                <w:sz w:val="24"/>
              </w:rPr>
              <w:t> </w:t>
            </w:r>
            <w:r>
              <w:rPr>
                <w:spacing w:val="-2"/>
                <w:sz w:val="24"/>
              </w:rPr>
              <w:t>services</w:t>
            </w:r>
            <w:r>
              <w:rPr>
                <w:spacing w:val="-13"/>
                <w:sz w:val="24"/>
              </w:rPr>
              <w:t> </w:t>
            </w:r>
            <w:r>
              <w:rPr>
                <w:spacing w:val="-2"/>
                <w:sz w:val="24"/>
              </w:rPr>
              <w:t>that</w:t>
            </w:r>
            <w:r>
              <w:rPr>
                <w:spacing w:val="-15"/>
                <w:sz w:val="24"/>
              </w:rPr>
              <w:t> </w:t>
            </w:r>
            <w:r>
              <w:rPr>
                <w:spacing w:val="-2"/>
                <w:sz w:val="24"/>
              </w:rPr>
              <w:t>have</w:t>
            </w:r>
            <w:r>
              <w:rPr>
                <w:spacing w:val="-10"/>
                <w:sz w:val="24"/>
              </w:rPr>
              <w:t> </w:t>
            </w:r>
            <w:r>
              <w:rPr>
                <w:spacing w:val="-2"/>
                <w:sz w:val="24"/>
              </w:rPr>
              <w:t>the</w:t>
            </w:r>
            <w:r>
              <w:rPr>
                <w:spacing w:val="-15"/>
                <w:sz w:val="24"/>
              </w:rPr>
              <w:t> </w:t>
            </w:r>
            <w:r>
              <w:rPr>
                <w:spacing w:val="-2"/>
                <w:sz w:val="24"/>
              </w:rPr>
              <w:t>greatest </w:t>
            </w:r>
            <w:r>
              <w:rPr>
                <w:sz w:val="24"/>
              </w:rPr>
              <w:t>impact</w:t>
            </w:r>
            <w:r>
              <w:rPr>
                <w:spacing w:val="-9"/>
                <w:sz w:val="24"/>
              </w:rPr>
              <w:t> </w:t>
            </w:r>
            <w:r>
              <w:rPr>
                <w:sz w:val="24"/>
              </w:rPr>
              <w:t>and</w:t>
            </w:r>
            <w:r>
              <w:rPr>
                <w:spacing w:val="-6"/>
                <w:sz w:val="24"/>
              </w:rPr>
              <w:t> </w:t>
            </w:r>
            <w:r>
              <w:rPr>
                <w:sz w:val="24"/>
              </w:rPr>
              <w:t>are</w:t>
            </w:r>
            <w:r>
              <w:rPr>
                <w:spacing w:val="-6"/>
                <w:sz w:val="24"/>
              </w:rPr>
              <w:t> </w:t>
            </w:r>
            <w:r>
              <w:rPr>
                <w:sz w:val="24"/>
              </w:rPr>
              <w:t>in</w:t>
            </w:r>
            <w:r>
              <w:rPr>
                <w:spacing w:val="-6"/>
                <w:sz w:val="24"/>
              </w:rPr>
              <w:t> </w:t>
            </w:r>
            <w:r>
              <w:rPr>
                <w:sz w:val="24"/>
              </w:rPr>
              <w:t>the</w:t>
            </w:r>
            <w:r>
              <w:rPr>
                <w:spacing w:val="-6"/>
                <w:sz w:val="24"/>
              </w:rPr>
              <w:t> </w:t>
            </w:r>
            <w:r>
              <w:rPr>
                <w:sz w:val="24"/>
              </w:rPr>
              <w:t>best</w:t>
            </w:r>
            <w:r>
              <w:rPr>
                <w:spacing w:val="-9"/>
                <w:sz w:val="24"/>
              </w:rPr>
              <w:t> </w:t>
            </w:r>
            <w:r>
              <w:rPr>
                <w:sz w:val="24"/>
              </w:rPr>
              <w:t>interests</w:t>
            </w:r>
            <w:r>
              <w:rPr>
                <w:spacing w:val="-7"/>
                <w:sz w:val="24"/>
              </w:rPr>
              <w:t> </w:t>
            </w:r>
            <w:r>
              <w:rPr>
                <w:sz w:val="24"/>
              </w:rPr>
              <w:t>of</w:t>
            </w:r>
            <w:r>
              <w:rPr>
                <w:spacing w:val="-9"/>
                <w:sz w:val="24"/>
              </w:rPr>
              <w:t> </w:t>
            </w:r>
            <w:r>
              <w:rPr>
                <w:sz w:val="24"/>
              </w:rPr>
              <w:t>all</w:t>
            </w:r>
            <w:r>
              <w:rPr>
                <w:spacing w:val="-6"/>
                <w:sz w:val="24"/>
              </w:rPr>
              <w:t> </w:t>
            </w:r>
            <w:r>
              <w:rPr>
                <w:sz w:val="24"/>
              </w:rPr>
              <w:t>communities</w:t>
            </w:r>
            <w:r>
              <w:rPr>
                <w:spacing w:val="-7"/>
                <w:sz w:val="24"/>
              </w:rPr>
              <w:t> </w:t>
            </w:r>
            <w:r>
              <w:rPr>
                <w:sz w:val="24"/>
              </w:rPr>
              <w:t>and</w:t>
            </w:r>
            <w:r>
              <w:rPr>
                <w:spacing w:val="-6"/>
                <w:sz w:val="24"/>
              </w:rPr>
              <w:t> </w:t>
            </w:r>
            <w:r>
              <w:rPr>
                <w:sz w:val="24"/>
              </w:rPr>
              <w:t>patients</w:t>
            </w:r>
          </w:p>
        </w:tc>
      </w:tr>
    </w:tbl>
    <w:p>
      <w:pPr>
        <w:pStyle w:val="BodyText"/>
        <w:spacing w:before="164"/>
      </w:pPr>
    </w:p>
    <w:p>
      <w:pPr>
        <w:pStyle w:val="ListParagraph"/>
        <w:numPr>
          <w:ilvl w:val="1"/>
          <w:numId w:val="60"/>
        </w:numPr>
        <w:tabs>
          <w:tab w:pos="852" w:val="left" w:leader="none"/>
        </w:tabs>
        <w:spacing w:line="240" w:lineRule="auto" w:before="0" w:after="0"/>
        <w:ind w:left="852" w:right="562" w:hanging="710"/>
        <w:jc w:val="left"/>
        <w:rPr>
          <w:sz w:val="24"/>
        </w:rPr>
      </w:pPr>
      <w:r>
        <w:rPr>
          <w:sz w:val="24"/>
        </w:rPr>
        <w:t>Ensure</w:t>
      </w:r>
      <w:r>
        <w:rPr>
          <w:spacing w:val="-11"/>
          <w:sz w:val="24"/>
        </w:rPr>
        <w:t> </w:t>
      </w:r>
      <w:r>
        <w:rPr>
          <w:sz w:val="24"/>
        </w:rPr>
        <w:t>an</w:t>
      </w:r>
      <w:r>
        <w:rPr>
          <w:spacing w:val="-11"/>
          <w:sz w:val="24"/>
        </w:rPr>
        <w:t> </w:t>
      </w:r>
      <w:r>
        <w:rPr>
          <w:sz w:val="24"/>
        </w:rPr>
        <w:t>effective</w:t>
      </w:r>
      <w:r>
        <w:rPr>
          <w:spacing w:val="-16"/>
          <w:sz w:val="24"/>
        </w:rPr>
        <w:t> </w:t>
      </w:r>
      <w:r>
        <w:rPr>
          <w:sz w:val="24"/>
        </w:rPr>
        <w:t>governance</w:t>
      </w:r>
      <w:r>
        <w:rPr>
          <w:spacing w:val="-6"/>
          <w:sz w:val="24"/>
        </w:rPr>
        <w:t> </w:t>
      </w:r>
      <w:r>
        <w:rPr>
          <w:sz w:val="24"/>
        </w:rPr>
        <w:t>framework</w:t>
      </w:r>
      <w:r>
        <w:rPr>
          <w:spacing w:val="-12"/>
          <w:sz w:val="24"/>
        </w:rPr>
        <w:t> </w:t>
      </w:r>
      <w:r>
        <w:rPr>
          <w:sz w:val="24"/>
        </w:rPr>
        <w:t>is</w:t>
      </w:r>
      <w:r>
        <w:rPr>
          <w:spacing w:val="-17"/>
          <w:sz w:val="24"/>
        </w:rPr>
        <w:t> </w:t>
      </w:r>
      <w:r>
        <w:rPr>
          <w:sz w:val="24"/>
        </w:rPr>
        <w:t>in</w:t>
      </w:r>
      <w:r>
        <w:rPr>
          <w:spacing w:val="-15"/>
          <w:sz w:val="24"/>
        </w:rPr>
        <w:t> </w:t>
      </w:r>
      <w:r>
        <w:rPr>
          <w:sz w:val="24"/>
        </w:rPr>
        <w:t>place</w:t>
      </w:r>
      <w:r>
        <w:rPr>
          <w:spacing w:val="-11"/>
          <w:sz w:val="24"/>
        </w:rPr>
        <w:t> </w:t>
      </w:r>
      <w:r>
        <w:rPr>
          <w:sz w:val="24"/>
        </w:rPr>
        <w:t>to</w:t>
      </w:r>
      <w:r>
        <w:rPr>
          <w:spacing w:val="-11"/>
          <w:sz w:val="24"/>
        </w:rPr>
        <w:t> </w:t>
      </w:r>
      <w:r>
        <w:rPr>
          <w:sz w:val="24"/>
        </w:rPr>
        <w:t>govern</w:t>
      </w:r>
      <w:r>
        <w:rPr>
          <w:spacing w:val="-6"/>
          <w:sz w:val="24"/>
        </w:rPr>
        <w:t> </w:t>
      </w:r>
      <w:r>
        <w:rPr>
          <w:sz w:val="24"/>
        </w:rPr>
        <w:t>the</w:t>
      </w:r>
      <w:r>
        <w:rPr>
          <w:spacing w:val="-11"/>
          <w:sz w:val="24"/>
        </w:rPr>
        <w:t> </w:t>
      </w:r>
      <w:r>
        <w:rPr>
          <w:sz w:val="24"/>
        </w:rPr>
        <w:t>work</w:t>
      </w:r>
      <w:r>
        <w:rPr>
          <w:spacing w:val="-12"/>
          <w:sz w:val="24"/>
        </w:rPr>
        <w:t> </w:t>
      </w:r>
      <w:r>
        <w:rPr>
          <w:sz w:val="24"/>
        </w:rPr>
        <w:t>of</w:t>
      </w:r>
      <w:r>
        <w:rPr>
          <w:spacing w:val="-9"/>
          <w:sz w:val="24"/>
        </w:rPr>
        <w:t> </w:t>
      </w:r>
      <w:r>
        <w:rPr>
          <w:sz w:val="24"/>
        </w:rPr>
        <w:t>the</w:t>
      </w:r>
      <w:r>
        <w:rPr>
          <w:spacing w:val="-6"/>
          <w:sz w:val="24"/>
        </w:rPr>
        <w:t> </w:t>
      </w:r>
      <w:r>
        <w:rPr>
          <w:sz w:val="24"/>
        </w:rPr>
        <w:t>Regional </w:t>
      </w:r>
      <w:r>
        <w:rPr>
          <w:spacing w:val="-2"/>
          <w:sz w:val="24"/>
        </w:rPr>
        <w:t>Research,</w:t>
      </w:r>
      <w:r>
        <w:rPr>
          <w:spacing w:val="-15"/>
          <w:sz w:val="24"/>
        </w:rPr>
        <w:t> </w:t>
      </w:r>
      <w:r>
        <w:rPr>
          <w:spacing w:val="-2"/>
          <w:sz w:val="24"/>
        </w:rPr>
        <w:t>Innovation</w:t>
      </w:r>
      <w:r>
        <w:rPr>
          <w:spacing w:val="-15"/>
          <w:sz w:val="24"/>
        </w:rPr>
        <w:t> </w:t>
      </w:r>
      <w:r>
        <w:rPr>
          <w:spacing w:val="-2"/>
          <w:sz w:val="24"/>
        </w:rPr>
        <w:t>and</w:t>
      </w:r>
      <w:r>
        <w:rPr>
          <w:spacing w:val="-14"/>
          <w:sz w:val="24"/>
        </w:rPr>
        <w:t> </w:t>
      </w:r>
      <w:r>
        <w:rPr>
          <w:spacing w:val="-2"/>
          <w:sz w:val="24"/>
        </w:rPr>
        <w:t>Excellence</w:t>
      </w:r>
      <w:r>
        <w:rPr>
          <w:spacing w:val="-15"/>
          <w:sz w:val="24"/>
        </w:rPr>
        <w:t> </w:t>
      </w:r>
      <w:r>
        <w:rPr>
          <w:spacing w:val="-2"/>
          <w:sz w:val="24"/>
        </w:rPr>
        <w:t>Subgroup,</w:t>
      </w:r>
      <w:r>
        <w:rPr>
          <w:spacing w:val="-12"/>
          <w:sz w:val="24"/>
        </w:rPr>
        <w:t> </w:t>
      </w:r>
      <w:r>
        <w:rPr>
          <w:spacing w:val="-2"/>
          <w:sz w:val="24"/>
        </w:rPr>
        <w:t>which</w:t>
      </w:r>
      <w:r>
        <w:rPr>
          <w:spacing w:val="-14"/>
          <w:sz w:val="24"/>
        </w:rPr>
        <w:t> </w:t>
      </w:r>
      <w:r>
        <w:rPr>
          <w:spacing w:val="-2"/>
          <w:sz w:val="24"/>
        </w:rPr>
        <w:t>facilitates</w:t>
      </w:r>
      <w:r>
        <w:rPr>
          <w:spacing w:val="-15"/>
          <w:sz w:val="24"/>
        </w:rPr>
        <w:t> </w:t>
      </w:r>
      <w:r>
        <w:rPr>
          <w:spacing w:val="-2"/>
          <w:sz w:val="24"/>
        </w:rPr>
        <w:t>the</w:t>
      </w:r>
      <w:r>
        <w:rPr>
          <w:spacing w:val="-15"/>
          <w:sz w:val="24"/>
        </w:rPr>
        <w:t> </w:t>
      </w:r>
      <w:r>
        <w:rPr>
          <w:spacing w:val="-2"/>
          <w:sz w:val="24"/>
        </w:rPr>
        <w:t>ambitions</w:t>
      </w:r>
      <w:r>
        <w:rPr>
          <w:spacing w:val="-14"/>
          <w:sz w:val="24"/>
        </w:rPr>
        <w:t> </w:t>
      </w:r>
      <w:r>
        <w:rPr>
          <w:spacing w:val="-2"/>
          <w:sz w:val="24"/>
        </w:rPr>
        <w:t>and</w:t>
      </w:r>
      <w:r>
        <w:rPr>
          <w:spacing w:val="-14"/>
          <w:sz w:val="24"/>
        </w:rPr>
        <w:t> </w:t>
      </w:r>
      <w:r>
        <w:rPr>
          <w:spacing w:val="-2"/>
          <w:sz w:val="24"/>
        </w:rPr>
        <w:t>design </w:t>
      </w:r>
      <w:r>
        <w:rPr>
          <w:sz w:val="24"/>
        </w:rPr>
        <w:t>principles</w:t>
      </w:r>
      <w:r>
        <w:rPr>
          <w:spacing w:val="-12"/>
          <w:sz w:val="24"/>
        </w:rPr>
        <w:t> </w:t>
      </w:r>
      <w:r>
        <w:rPr>
          <w:sz w:val="24"/>
        </w:rPr>
        <w:t>set</w:t>
      </w:r>
      <w:r>
        <w:rPr>
          <w:spacing w:val="-14"/>
          <w:sz w:val="24"/>
        </w:rPr>
        <w:t> </w:t>
      </w:r>
      <w:r>
        <w:rPr>
          <w:sz w:val="24"/>
        </w:rPr>
        <w:t>out</w:t>
      </w:r>
      <w:r>
        <w:rPr>
          <w:spacing w:val="-14"/>
          <w:sz w:val="24"/>
        </w:rPr>
        <w:t> </w:t>
      </w:r>
      <w:r>
        <w:rPr>
          <w:sz w:val="24"/>
        </w:rPr>
        <w:t>by</w:t>
      </w:r>
      <w:r>
        <w:rPr>
          <w:spacing w:val="-12"/>
          <w:sz w:val="24"/>
        </w:rPr>
        <w:t> </w:t>
      </w:r>
      <w:r>
        <w:rPr>
          <w:sz w:val="24"/>
        </w:rPr>
        <w:t>the</w:t>
      </w:r>
      <w:r>
        <w:rPr>
          <w:spacing w:val="-11"/>
          <w:sz w:val="24"/>
        </w:rPr>
        <w:t> </w:t>
      </w:r>
      <w:r>
        <w:rPr>
          <w:sz w:val="24"/>
        </w:rPr>
        <w:t>RJC,</w:t>
      </w:r>
      <w:r>
        <w:rPr>
          <w:spacing w:val="-14"/>
          <w:sz w:val="24"/>
        </w:rPr>
        <w:t> </w:t>
      </w:r>
      <w:r>
        <w:rPr>
          <w:sz w:val="24"/>
        </w:rPr>
        <w:t>and</w:t>
      </w:r>
      <w:r>
        <w:rPr>
          <w:spacing w:val="-11"/>
          <w:sz w:val="24"/>
        </w:rPr>
        <w:t> </w:t>
      </w:r>
      <w:r>
        <w:rPr>
          <w:sz w:val="24"/>
        </w:rPr>
        <w:t>provides</w:t>
      </w:r>
      <w:r>
        <w:rPr>
          <w:spacing w:val="-12"/>
          <w:sz w:val="24"/>
        </w:rPr>
        <w:t> </w:t>
      </w:r>
      <w:r>
        <w:rPr>
          <w:sz w:val="24"/>
        </w:rPr>
        <w:t>clear</w:t>
      </w:r>
      <w:r>
        <w:rPr>
          <w:spacing w:val="-7"/>
          <w:sz w:val="24"/>
        </w:rPr>
        <w:t> </w:t>
      </w:r>
      <w:r>
        <w:rPr>
          <w:sz w:val="24"/>
        </w:rPr>
        <w:t>routes</w:t>
      </w:r>
      <w:r>
        <w:rPr>
          <w:spacing w:val="-12"/>
          <w:sz w:val="24"/>
        </w:rPr>
        <w:t> </w:t>
      </w:r>
      <w:r>
        <w:rPr>
          <w:sz w:val="24"/>
        </w:rPr>
        <w:t>for</w:t>
      </w:r>
      <w:r>
        <w:rPr>
          <w:spacing w:val="-12"/>
          <w:sz w:val="24"/>
        </w:rPr>
        <w:t> </w:t>
      </w:r>
      <w:r>
        <w:rPr>
          <w:sz w:val="24"/>
        </w:rPr>
        <w:t>assurance,</w:t>
      </w:r>
      <w:r>
        <w:rPr>
          <w:spacing w:val="-14"/>
          <w:sz w:val="24"/>
        </w:rPr>
        <w:t> </w:t>
      </w:r>
      <w:r>
        <w:rPr>
          <w:sz w:val="24"/>
        </w:rPr>
        <w:t>escalation</w:t>
      </w:r>
      <w:r>
        <w:rPr>
          <w:spacing w:val="-11"/>
          <w:sz w:val="24"/>
        </w:rPr>
        <w:t> </w:t>
      </w:r>
      <w:r>
        <w:rPr>
          <w:sz w:val="24"/>
        </w:rPr>
        <w:t>and </w:t>
      </w:r>
      <w:r>
        <w:rPr>
          <w:spacing w:val="-2"/>
          <w:sz w:val="24"/>
        </w:rPr>
        <w:t>decision-making.</w:t>
      </w:r>
    </w:p>
    <w:p>
      <w:pPr>
        <w:pStyle w:val="ListParagraph"/>
        <w:numPr>
          <w:ilvl w:val="1"/>
          <w:numId w:val="60"/>
        </w:numPr>
        <w:tabs>
          <w:tab w:pos="852" w:val="left" w:leader="none"/>
        </w:tabs>
        <w:spacing w:line="240" w:lineRule="auto" w:before="157" w:after="0"/>
        <w:ind w:left="852" w:right="837" w:hanging="710"/>
        <w:jc w:val="left"/>
        <w:rPr>
          <w:sz w:val="24"/>
        </w:rPr>
      </w:pPr>
      <w:r>
        <w:rPr>
          <w:sz w:val="24"/>
        </w:rPr>
        <w:t>Pro-actively</w:t>
      </w:r>
      <w:r>
        <w:rPr>
          <w:spacing w:val="-17"/>
          <w:sz w:val="24"/>
        </w:rPr>
        <w:t> </w:t>
      </w:r>
      <w:r>
        <w:rPr>
          <w:sz w:val="24"/>
        </w:rPr>
        <w:t>manage</w:t>
      </w:r>
      <w:r>
        <w:rPr>
          <w:spacing w:val="-11"/>
          <w:sz w:val="24"/>
        </w:rPr>
        <w:t> </w:t>
      </w:r>
      <w:r>
        <w:rPr>
          <w:sz w:val="24"/>
        </w:rPr>
        <w:t>the</w:t>
      </w:r>
      <w:r>
        <w:rPr>
          <w:spacing w:val="-15"/>
          <w:sz w:val="24"/>
        </w:rPr>
        <w:t> </w:t>
      </w:r>
      <w:r>
        <w:rPr>
          <w:sz w:val="24"/>
        </w:rPr>
        <w:t>appropriate</w:t>
      </w:r>
      <w:r>
        <w:rPr>
          <w:spacing w:val="-15"/>
          <w:sz w:val="24"/>
        </w:rPr>
        <w:t> </w:t>
      </w:r>
      <w:r>
        <w:rPr>
          <w:sz w:val="24"/>
        </w:rPr>
        <w:t>risks</w:t>
      </w:r>
      <w:r>
        <w:rPr>
          <w:spacing w:val="-16"/>
          <w:sz w:val="24"/>
        </w:rPr>
        <w:t> </w:t>
      </w:r>
      <w:r>
        <w:rPr>
          <w:sz w:val="24"/>
        </w:rPr>
        <w:t>identified</w:t>
      </w:r>
      <w:r>
        <w:rPr>
          <w:spacing w:val="-17"/>
          <w:sz w:val="24"/>
        </w:rPr>
        <w:t> </w:t>
      </w:r>
      <w:r>
        <w:rPr>
          <w:sz w:val="24"/>
        </w:rPr>
        <w:t>within</w:t>
      </w:r>
      <w:r>
        <w:rPr>
          <w:spacing w:val="-10"/>
          <w:sz w:val="24"/>
        </w:rPr>
        <w:t> </w:t>
      </w:r>
      <w:r>
        <w:rPr>
          <w:sz w:val="24"/>
        </w:rPr>
        <w:t>the</w:t>
      </w:r>
      <w:r>
        <w:rPr>
          <w:spacing w:val="-12"/>
          <w:sz w:val="24"/>
        </w:rPr>
        <w:t> </w:t>
      </w:r>
      <w:r>
        <w:rPr>
          <w:sz w:val="24"/>
        </w:rPr>
        <w:t>Regional</w:t>
      </w:r>
      <w:r>
        <w:rPr>
          <w:spacing w:val="-15"/>
          <w:sz w:val="24"/>
        </w:rPr>
        <w:t> </w:t>
      </w:r>
      <w:r>
        <w:rPr>
          <w:sz w:val="24"/>
        </w:rPr>
        <w:t>Research, </w:t>
      </w:r>
      <w:r>
        <w:rPr>
          <w:spacing w:val="-2"/>
          <w:sz w:val="24"/>
        </w:rPr>
        <w:t>Innovation</w:t>
      </w:r>
      <w:r>
        <w:rPr>
          <w:spacing w:val="-15"/>
          <w:sz w:val="24"/>
        </w:rPr>
        <w:t> </w:t>
      </w:r>
      <w:r>
        <w:rPr>
          <w:spacing w:val="-2"/>
          <w:sz w:val="24"/>
        </w:rPr>
        <w:t>and</w:t>
      </w:r>
      <w:r>
        <w:rPr>
          <w:spacing w:val="-15"/>
          <w:sz w:val="24"/>
        </w:rPr>
        <w:t> </w:t>
      </w:r>
      <w:r>
        <w:rPr>
          <w:spacing w:val="-2"/>
          <w:sz w:val="24"/>
        </w:rPr>
        <w:t>Excellence</w:t>
      </w:r>
      <w:r>
        <w:rPr>
          <w:spacing w:val="-14"/>
          <w:sz w:val="24"/>
        </w:rPr>
        <w:t> </w:t>
      </w:r>
      <w:r>
        <w:rPr>
          <w:spacing w:val="-2"/>
          <w:sz w:val="24"/>
        </w:rPr>
        <w:t>Subgroup</w:t>
      </w:r>
      <w:r>
        <w:rPr>
          <w:spacing w:val="-15"/>
          <w:sz w:val="24"/>
        </w:rPr>
        <w:t> </w:t>
      </w:r>
      <w:r>
        <w:rPr>
          <w:spacing w:val="-2"/>
          <w:sz w:val="24"/>
        </w:rPr>
        <w:t>portfolio/programme,</w:t>
      </w:r>
      <w:r>
        <w:rPr>
          <w:spacing w:val="-15"/>
          <w:sz w:val="24"/>
        </w:rPr>
        <w:t> </w:t>
      </w:r>
      <w:r>
        <w:rPr>
          <w:spacing w:val="-2"/>
          <w:sz w:val="24"/>
        </w:rPr>
        <w:t>escalating</w:t>
      </w:r>
      <w:r>
        <w:rPr>
          <w:spacing w:val="-15"/>
          <w:sz w:val="24"/>
        </w:rPr>
        <w:t> </w:t>
      </w:r>
      <w:r>
        <w:rPr>
          <w:spacing w:val="-2"/>
          <w:sz w:val="24"/>
        </w:rPr>
        <w:t>strategic</w:t>
      </w:r>
      <w:r>
        <w:rPr>
          <w:spacing w:val="-14"/>
          <w:sz w:val="24"/>
        </w:rPr>
        <w:t> </w:t>
      </w:r>
      <w:r>
        <w:rPr>
          <w:spacing w:val="-2"/>
          <w:sz w:val="24"/>
        </w:rPr>
        <w:t>risks</w:t>
      </w:r>
      <w:r>
        <w:rPr>
          <w:spacing w:val="-15"/>
          <w:sz w:val="24"/>
        </w:rPr>
        <w:t> </w:t>
      </w:r>
      <w:r>
        <w:rPr>
          <w:spacing w:val="-2"/>
          <w:sz w:val="24"/>
        </w:rPr>
        <w:t>and </w:t>
      </w:r>
      <w:r>
        <w:rPr>
          <w:sz w:val="24"/>
        </w:rPr>
        <w:t>interdependencies</w:t>
      </w:r>
      <w:r>
        <w:rPr>
          <w:spacing w:val="-14"/>
          <w:sz w:val="24"/>
        </w:rPr>
        <w:t> </w:t>
      </w:r>
      <w:r>
        <w:rPr>
          <w:sz w:val="24"/>
        </w:rPr>
        <w:t>to</w:t>
      </w:r>
      <w:r>
        <w:rPr>
          <w:spacing w:val="-15"/>
          <w:sz w:val="24"/>
        </w:rPr>
        <w:t> </w:t>
      </w:r>
      <w:r>
        <w:rPr>
          <w:sz w:val="24"/>
        </w:rPr>
        <w:t>the</w:t>
      </w:r>
      <w:r>
        <w:rPr>
          <w:spacing w:val="-15"/>
          <w:sz w:val="24"/>
        </w:rPr>
        <w:t> </w:t>
      </w:r>
      <w:r>
        <w:rPr>
          <w:sz w:val="24"/>
        </w:rPr>
        <w:t>RJC</w:t>
      </w:r>
      <w:r>
        <w:rPr>
          <w:spacing w:val="-17"/>
          <w:sz w:val="24"/>
        </w:rPr>
        <w:t> </w:t>
      </w:r>
      <w:r>
        <w:rPr>
          <w:sz w:val="24"/>
        </w:rPr>
        <w:t>as</w:t>
      </w:r>
      <w:r>
        <w:rPr>
          <w:spacing w:val="-16"/>
          <w:sz w:val="24"/>
        </w:rPr>
        <w:t> </w:t>
      </w:r>
      <w:r>
        <w:rPr>
          <w:sz w:val="24"/>
        </w:rPr>
        <w:t>required</w:t>
      </w:r>
      <w:r>
        <w:rPr>
          <w:spacing w:val="-15"/>
          <w:sz w:val="24"/>
        </w:rPr>
        <w:t> </w:t>
      </w:r>
      <w:r>
        <w:rPr>
          <w:sz w:val="24"/>
        </w:rPr>
        <w:t>and</w:t>
      </w:r>
      <w:r>
        <w:rPr>
          <w:spacing w:val="-15"/>
          <w:sz w:val="24"/>
        </w:rPr>
        <w:t> </w:t>
      </w:r>
      <w:r>
        <w:rPr>
          <w:sz w:val="24"/>
        </w:rPr>
        <w:t>remaining</w:t>
      </w:r>
      <w:r>
        <w:rPr>
          <w:spacing w:val="-15"/>
          <w:sz w:val="24"/>
        </w:rPr>
        <w:t> </w:t>
      </w:r>
      <w:r>
        <w:rPr>
          <w:sz w:val="24"/>
        </w:rPr>
        <w:t>accountable</w:t>
      </w:r>
      <w:r>
        <w:rPr>
          <w:spacing w:val="-15"/>
          <w:sz w:val="24"/>
        </w:rPr>
        <w:t> </w:t>
      </w:r>
      <w:r>
        <w:rPr>
          <w:sz w:val="24"/>
        </w:rPr>
        <w:t>to</w:t>
      </w:r>
      <w:r>
        <w:rPr>
          <w:spacing w:val="-11"/>
          <w:sz w:val="24"/>
        </w:rPr>
        <w:t> </w:t>
      </w:r>
      <w:r>
        <w:rPr>
          <w:sz w:val="24"/>
        </w:rPr>
        <w:t>the</w:t>
      </w:r>
      <w:r>
        <w:rPr>
          <w:spacing w:val="-15"/>
          <w:sz w:val="24"/>
        </w:rPr>
        <w:t> </w:t>
      </w:r>
      <w:r>
        <w:rPr>
          <w:sz w:val="24"/>
        </w:rPr>
        <w:t>respective University Health Boards.</w:t>
      </w:r>
    </w:p>
    <w:p>
      <w:pPr>
        <w:pStyle w:val="ListParagraph"/>
        <w:numPr>
          <w:ilvl w:val="1"/>
          <w:numId w:val="60"/>
        </w:numPr>
        <w:tabs>
          <w:tab w:pos="852" w:val="left" w:leader="none"/>
        </w:tabs>
        <w:spacing w:line="240" w:lineRule="auto" w:before="161" w:after="0"/>
        <w:ind w:left="852" w:right="939" w:hanging="710"/>
        <w:jc w:val="left"/>
        <w:rPr>
          <w:sz w:val="22"/>
        </w:rPr>
      </w:pPr>
      <w:r>
        <w:rPr>
          <w:sz w:val="24"/>
        </w:rPr>
        <w:t>Develop</w:t>
      </w:r>
      <w:r>
        <w:rPr>
          <w:spacing w:val="-10"/>
          <w:sz w:val="24"/>
        </w:rPr>
        <w:t> </w:t>
      </w:r>
      <w:r>
        <w:rPr>
          <w:sz w:val="24"/>
        </w:rPr>
        <w:t>and</w:t>
      </w:r>
      <w:r>
        <w:rPr>
          <w:spacing w:val="-10"/>
          <w:sz w:val="24"/>
        </w:rPr>
        <w:t> </w:t>
      </w:r>
      <w:r>
        <w:rPr>
          <w:sz w:val="24"/>
        </w:rPr>
        <w:t>maintain</w:t>
      </w:r>
      <w:r>
        <w:rPr>
          <w:spacing w:val="-10"/>
          <w:sz w:val="24"/>
        </w:rPr>
        <w:t> </w:t>
      </w:r>
      <w:r>
        <w:rPr>
          <w:sz w:val="24"/>
        </w:rPr>
        <w:t>a</w:t>
      </w:r>
      <w:r>
        <w:rPr>
          <w:spacing w:val="-10"/>
          <w:sz w:val="24"/>
        </w:rPr>
        <w:t> </w:t>
      </w:r>
      <w:r>
        <w:rPr>
          <w:sz w:val="24"/>
        </w:rPr>
        <w:t>work</w:t>
      </w:r>
      <w:r>
        <w:rPr>
          <w:spacing w:val="-11"/>
          <w:sz w:val="24"/>
        </w:rPr>
        <w:t> </w:t>
      </w:r>
      <w:r>
        <w:rPr>
          <w:sz w:val="24"/>
        </w:rPr>
        <w:t>programme</w:t>
      </w:r>
      <w:r>
        <w:rPr>
          <w:spacing w:val="-10"/>
          <w:sz w:val="24"/>
        </w:rPr>
        <w:t> </w:t>
      </w:r>
      <w:r>
        <w:rPr>
          <w:sz w:val="24"/>
        </w:rPr>
        <w:t>that</w:t>
      </w:r>
      <w:r>
        <w:rPr>
          <w:spacing w:val="-12"/>
          <w:sz w:val="24"/>
        </w:rPr>
        <w:t> </w:t>
      </w:r>
      <w:r>
        <w:rPr>
          <w:sz w:val="24"/>
        </w:rPr>
        <w:t>underpins</w:t>
      </w:r>
      <w:r>
        <w:rPr>
          <w:spacing w:val="-6"/>
          <w:sz w:val="24"/>
        </w:rPr>
        <w:t> </w:t>
      </w:r>
      <w:r>
        <w:rPr>
          <w:sz w:val="24"/>
        </w:rPr>
        <w:t>the</w:t>
      </w:r>
      <w:r>
        <w:rPr>
          <w:spacing w:val="-10"/>
          <w:sz w:val="24"/>
        </w:rPr>
        <w:t> </w:t>
      </w:r>
      <w:r>
        <w:rPr>
          <w:sz w:val="24"/>
        </w:rPr>
        <w:t>work</w:t>
      </w:r>
      <w:r>
        <w:rPr>
          <w:spacing w:val="-15"/>
          <w:sz w:val="24"/>
        </w:rPr>
        <w:t> </w:t>
      </w:r>
      <w:r>
        <w:rPr>
          <w:sz w:val="24"/>
        </w:rPr>
        <w:t>of</w:t>
      </w:r>
      <w:r>
        <w:rPr>
          <w:spacing w:val="-8"/>
          <w:sz w:val="24"/>
        </w:rPr>
        <w:t> </w:t>
      </w:r>
      <w:r>
        <w:rPr>
          <w:sz w:val="24"/>
        </w:rPr>
        <w:t>the</w:t>
      </w:r>
      <w:r>
        <w:rPr>
          <w:spacing w:val="-5"/>
          <w:sz w:val="24"/>
        </w:rPr>
        <w:t> </w:t>
      </w:r>
      <w:r>
        <w:rPr>
          <w:sz w:val="24"/>
        </w:rPr>
        <w:t>Regional </w:t>
      </w:r>
      <w:r>
        <w:rPr>
          <w:spacing w:val="-2"/>
          <w:sz w:val="24"/>
        </w:rPr>
        <w:t>Research,</w:t>
      </w:r>
      <w:r>
        <w:rPr>
          <w:spacing w:val="-13"/>
          <w:sz w:val="24"/>
        </w:rPr>
        <w:t> </w:t>
      </w:r>
      <w:r>
        <w:rPr>
          <w:spacing w:val="-2"/>
          <w:sz w:val="24"/>
        </w:rPr>
        <w:t>Innovation</w:t>
      </w:r>
      <w:r>
        <w:rPr>
          <w:spacing w:val="-15"/>
          <w:sz w:val="24"/>
        </w:rPr>
        <w:t> </w:t>
      </w:r>
      <w:r>
        <w:rPr>
          <w:spacing w:val="-2"/>
          <w:sz w:val="24"/>
        </w:rPr>
        <w:t>and</w:t>
      </w:r>
      <w:r>
        <w:rPr>
          <w:spacing w:val="-11"/>
          <w:sz w:val="24"/>
        </w:rPr>
        <w:t> </w:t>
      </w:r>
      <w:r>
        <w:rPr>
          <w:spacing w:val="-2"/>
          <w:sz w:val="24"/>
        </w:rPr>
        <w:t>Excellence</w:t>
      </w:r>
      <w:r>
        <w:rPr>
          <w:spacing w:val="-12"/>
          <w:sz w:val="24"/>
        </w:rPr>
        <w:t> </w:t>
      </w:r>
      <w:r>
        <w:rPr>
          <w:spacing w:val="-2"/>
          <w:sz w:val="24"/>
        </w:rPr>
        <w:t>Subgroup</w:t>
      </w:r>
      <w:r>
        <w:rPr>
          <w:spacing w:val="-10"/>
          <w:sz w:val="24"/>
        </w:rPr>
        <w:t> </w:t>
      </w:r>
      <w:r>
        <w:rPr>
          <w:spacing w:val="-2"/>
          <w:sz w:val="24"/>
        </w:rPr>
        <w:t>and</w:t>
      </w:r>
      <w:r>
        <w:rPr>
          <w:spacing w:val="-15"/>
          <w:sz w:val="24"/>
        </w:rPr>
        <w:t> </w:t>
      </w:r>
      <w:r>
        <w:rPr>
          <w:spacing w:val="-2"/>
          <w:sz w:val="24"/>
        </w:rPr>
        <w:t>aligns</w:t>
      </w:r>
      <w:r>
        <w:rPr>
          <w:spacing w:val="-13"/>
          <w:sz w:val="24"/>
        </w:rPr>
        <w:t> </w:t>
      </w:r>
      <w:r>
        <w:rPr>
          <w:spacing w:val="-2"/>
          <w:sz w:val="24"/>
        </w:rPr>
        <w:t>with</w:t>
      </w:r>
      <w:r>
        <w:rPr>
          <w:spacing w:val="-12"/>
          <w:sz w:val="24"/>
        </w:rPr>
        <w:t> </w:t>
      </w:r>
      <w:r>
        <w:rPr>
          <w:spacing w:val="-2"/>
          <w:sz w:val="24"/>
        </w:rPr>
        <w:t>the</w:t>
      </w:r>
      <w:r>
        <w:rPr>
          <w:spacing w:val="-12"/>
          <w:sz w:val="24"/>
        </w:rPr>
        <w:t> </w:t>
      </w:r>
      <w:r>
        <w:rPr>
          <w:spacing w:val="-2"/>
          <w:sz w:val="24"/>
        </w:rPr>
        <w:t>RJC</w:t>
      </w:r>
      <w:r>
        <w:rPr>
          <w:spacing w:val="-12"/>
          <w:sz w:val="24"/>
        </w:rPr>
        <w:t> </w:t>
      </w:r>
      <w:r>
        <w:rPr>
          <w:spacing w:val="-2"/>
          <w:sz w:val="24"/>
        </w:rPr>
        <w:t>programme</w:t>
      </w:r>
      <w:r>
        <w:rPr>
          <w:spacing w:val="-12"/>
          <w:sz w:val="24"/>
        </w:rPr>
        <w:t> </w:t>
      </w:r>
      <w:r>
        <w:rPr>
          <w:spacing w:val="-2"/>
          <w:sz w:val="24"/>
        </w:rPr>
        <w:t>of </w:t>
      </w:r>
      <w:r>
        <w:rPr>
          <w:sz w:val="24"/>
        </w:rPr>
        <w:t>work,</w:t>
      </w:r>
      <w:r>
        <w:rPr>
          <w:spacing w:val="-14"/>
          <w:sz w:val="24"/>
        </w:rPr>
        <w:t> </w:t>
      </w:r>
      <w:r>
        <w:rPr>
          <w:sz w:val="24"/>
        </w:rPr>
        <w:t>the</w:t>
      </w:r>
      <w:r>
        <w:rPr>
          <w:spacing w:val="-11"/>
          <w:sz w:val="24"/>
        </w:rPr>
        <w:t> </w:t>
      </w:r>
      <w:r>
        <w:rPr>
          <w:sz w:val="24"/>
        </w:rPr>
        <w:t>Health</w:t>
      </w:r>
      <w:r>
        <w:rPr>
          <w:spacing w:val="-11"/>
          <w:sz w:val="24"/>
        </w:rPr>
        <w:t> </w:t>
      </w:r>
      <w:r>
        <w:rPr>
          <w:sz w:val="24"/>
        </w:rPr>
        <w:t>Boards’</w:t>
      </w:r>
      <w:r>
        <w:rPr>
          <w:spacing w:val="-11"/>
          <w:sz w:val="24"/>
        </w:rPr>
        <w:t> </w:t>
      </w:r>
      <w:r>
        <w:rPr>
          <w:sz w:val="24"/>
        </w:rPr>
        <w:t>Annual</w:t>
      </w:r>
      <w:r>
        <w:rPr>
          <w:spacing w:val="-11"/>
          <w:sz w:val="24"/>
        </w:rPr>
        <w:t> </w:t>
      </w:r>
      <w:r>
        <w:rPr>
          <w:sz w:val="24"/>
        </w:rPr>
        <w:t>Plans</w:t>
      </w:r>
      <w:r>
        <w:rPr>
          <w:spacing w:val="-12"/>
          <w:sz w:val="24"/>
        </w:rPr>
        <w:t> </w:t>
      </w:r>
      <w:r>
        <w:rPr>
          <w:sz w:val="24"/>
        </w:rPr>
        <w:t>and</w:t>
      </w:r>
      <w:r>
        <w:rPr>
          <w:spacing w:val="-11"/>
          <w:sz w:val="24"/>
        </w:rPr>
        <w:t> </w:t>
      </w:r>
      <w:r>
        <w:rPr>
          <w:sz w:val="24"/>
        </w:rPr>
        <w:t>relevant</w:t>
      </w:r>
      <w:r>
        <w:rPr>
          <w:spacing w:val="-14"/>
          <w:sz w:val="24"/>
        </w:rPr>
        <w:t> </w:t>
      </w:r>
      <w:r>
        <w:rPr>
          <w:sz w:val="24"/>
        </w:rPr>
        <w:t>Ministerial</w:t>
      </w:r>
      <w:r>
        <w:rPr>
          <w:spacing w:val="-11"/>
          <w:sz w:val="24"/>
        </w:rPr>
        <w:t> </w:t>
      </w:r>
      <w:r>
        <w:rPr>
          <w:sz w:val="24"/>
        </w:rPr>
        <w:t>Priorities.</w:t>
      </w:r>
    </w:p>
    <w:p>
      <w:pPr>
        <w:pStyle w:val="BodyText"/>
        <w:spacing w:before="9"/>
        <w:rPr>
          <w:sz w:val="16"/>
        </w:rPr>
      </w:pPr>
      <w:r>
        <w:rPr>
          <w:sz w:val="16"/>
        </w:rPr>
        <mc:AlternateContent>
          <mc:Choice Requires="wps">
            <w:drawing>
              <wp:anchor distT="0" distB="0" distL="0" distR="0" allowOverlap="1" layoutInCell="1" locked="0" behindDoc="1" simplePos="0" relativeHeight="487675392">
                <wp:simplePos x="0" y="0"/>
                <wp:positionH relativeFrom="page">
                  <wp:posOffset>574992</wp:posOffset>
                </wp:positionH>
                <wp:positionV relativeFrom="paragraph">
                  <wp:posOffset>144577</wp:posOffset>
                </wp:positionV>
                <wp:extent cx="6642100" cy="193675"/>
                <wp:effectExtent l="0" t="0" r="0" b="0"/>
                <wp:wrapTopAndBottom/>
                <wp:docPr id="496" name="Textbox 496"/>
                <wp:cNvGraphicFramePr>
                  <a:graphicFrameLocks/>
                </wp:cNvGraphicFramePr>
                <a:graphic>
                  <a:graphicData uri="http://schemas.microsoft.com/office/word/2010/wordprocessingShape">
                    <wps:wsp>
                      <wps:cNvPr id="496" name="Textbox 496"/>
                      <wps:cNvSpPr txBox="1"/>
                      <wps:spPr>
                        <a:xfrm>
                          <a:off x="0" y="0"/>
                          <a:ext cx="6642100" cy="193675"/>
                        </a:xfrm>
                        <a:prstGeom prst="rect">
                          <a:avLst/>
                        </a:prstGeom>
                        <a:solidFill>
                          <a:srgbClr val="C1A875"/>
                        </a:solidFill>
                        <a:ln w="12700">
                          <a:solidFill>
                            <a:srgbClr val="394871"/>
                          </a:solidFill>
                          <a:prstDash val="solid"/>
                        </a:ln>
                      </wps:spPr>
                      <wps:txbx>
                        <w:txbxContent>
                          <w:p>
                            <w:pPr>
                              <w:tabs>
                                <w:tab w:pos="454" w:val="left" w:leader="none"/>
                              </w:tabs>
                              <w:spacing w:before="0"/>
                              <w:ind w:left="95" w:right="0" w:firstLine="0"/>
                              <w:jc w:val="left"/>
                              <w:rPr>
                                <w:b/>
                                <w:color w:val="000000"/>
                                <w:sz w:val="24"/>
                              </w:rPr>
                            </w:pPr>
                            <w:r>
                              <w:rPr>
                                <w:b/>
                                <w:color w:val="000000"/>
                                <w:spacing w:val="-10"/>
                                <w:sz w:val="24"/>
                              </w:rPr>
                              <w:t>6</w:t>
                            </w:r>
                            <w:r>
                              <w:rPr>
                                <w:b/>
                                <w:color w:val="000000"/>
                                <w:sz w:val="24"/>
                              </w:rPr>
                              <w:tab/>
                            </w:r>
                            <w:r>
                              <w:rPr>
                                <w:b/>
                                <w:color w:val="000000"/>
                                <w:spacing w:val="-2"/>
                                <w:sz w:val="24"/>
                              </w:rPr>
                              <w:t>Membership</w:t>
                            </w:r>
                          </w:p>
                        </w:txbxContent>
                      </wps:txbx>
                      <wps:bodyPr wrap="square" lIns="0" tIns="0" rIns="0" bIns="0" rtlCol="0">
                        <a:noAutofit/>
                      </wps:bodyPr>
                    </wps:wsp>
                  </a:graphicData>
                </a:graphic>
              </wp:anchor>
            </w:drawing>
          </mc:Choice>
          <mc:Fallback>
            <w:pict>
              <v:shape style="position:absolute;margin-left:45.275002pt;margin-top:11.384063pt;width:523pt;height:15.25pt;mso-position-horizontal-relative:page;mso-position-vertical-relative:paragraph;z-index:-15641088;mso-wrap-distance-left:0;mso-wrap-distance-right:0" type="#_x0000_t202" id="docshape275" filled="true" fillcolor="#c1a875" stroked="true" strokeweight="1pt" strokecolor="#394871">
                <v:textbox inset="0,0,0,0">
                  <w:txbxContent>
                    <w:p>
                      <w:pPr>
                        <w:tabs>
                          <w:tab w:pos="454" w:val="left" w:leader="none"/>
                        </w:tabs>
                        <w:spacing w:before="0"/>
                        <w:ind w:left="95" w:right="0" w:firstLine="0"/>
                        <w:jc w:val="left"/>
                        <w:rPr>
                          <w:b/>
                          <w:color w:val="000000"/>
                          <w:sz w:val="24"/>
                        </w:rPr>
                      </w:pPr>
                      <w:r>
                        <w:rPr>
                          <w:b/>
                          <w:color w:val="000000"/>
                          <w:spacing w:val="-10"/>
                          <w:sz w:val="24"/>
                        </w:rPr>
                        <w:t>6</w:t>
                      </w:r>
                      <w:r>
                        <w:rPr>
                          <w:b/>
                          <w:color w:val="000000"/>
                          <w:sz w:val="24"/>
                        </w:rPr>
                        <w:tab/>
                      </w:r>
                      <w:r>
                        <w:rPr>
                          <w:b/>
                          <w:color w:val="000000"/>
                          <w:spacing w:val="-2"/>
                          <w:sz w:val="24"/>
                        </w:rPr>
                        <w:t>Membership</w:t>
                      </w:r>
                    </w:p>
                  </w:txbxContent>
                </v:textbox>
                <v:fill type="solid"/>
                <v:stroke dashstyle="solid"/>
                <w10:wrap type="topAndBottom"/>
              </v:shape>
            </w:pict>
          </mc:Fallback>
        </mc:AlternateContent>
      </w:r>
    </w:p>
    <w:p>
      <w:pPr>
        <w:pStyle w:val="ListParagraph"/>
        <w:numPr>
          <w:ilvl w:val="1"/>
          <w:numId w:val="62"/>
        </w:numPr>
        <w:tabs>
          <w:tab w:pos="852" w:val="left" w:leader="none"/>
        </w:tabs>
        <w:spacing w:line="240" w:lineRule="auto" w:before="170" w:after="0"/>
        <w:ind w:left="852" w:right="520" w:hanging="710"/>
        <w:jc w:val="left"/>
        <w:rPr>
          <w:sz w:val="24"/>
        </w:rPr>
      </w:pPr>
      <w:r>
        <w:rPr>
          <w:spacing w:val="-2"/>
          <w:sz w:val="24"/>
        </w:rPr>
        <w:t>To</w:t>
      </w:r>
      <w:r>
        <w:rPr>
          <w:spacing w:val="-15"/>
          <w:sz w:val="24"/>
        </w:rPr>
        <w:t> </w:t>
      </w:r>
      <w:r>
        <w:rPr>
          <w:spacing w:val="-2"/>
          <w:sz w:val="24"/>
        </w:rPr>
        <w:t>ensure</w:t>
      </w:r>
      <w:r>
        <w:rPr>
          <w:spacing w:val="-12"/>
          <w:sz w:val="24"/>
        </w:rPr>
        <w:t> </w:t>
      </w:r>
      <w:r>
        <w:rPr>
          <w:spacing w:val="-2"/>
          <w:sz w:val="24"/>
        </w:rPr>
        <w:t>the</w:t>
      </w:r>
      <w:r>
        <w:rPr>
          <w:spacing w:val="-13"/>
          <w:sz w:val="24"/>
        </w:rPr>
        <w:t> </w:t>
      </w:r>
      <w:r>
        <w:rPr>
          <w:spacing w:val="-2"/>
          <w:sz w:val="24"/>
        </w:rPr>
        <w:t>Regional</w:t>
      </w:r>
      <w:r>
        <w:rPr>
          <w:spacing w:val="-13"/>
          <w:sz w:val="24"/>
        </w:rPr>
        <w:t> </w:t>
      </w:r>
      <w:r>
        <w:rPr>
          <w:spacing w:val="-2"/>
          <w:sz w:val="24"/>
        </w:rPr>
        <w:t>Research,</w:t>
      </w:r>
      <w:r>
        <w:rPr>
          <w:spacing w:val="-15"/>
          <w:sz w:val="24"/>
        </w:rPr>
        <w:t> </w:t>
      </w:r>
      <w:r>
        <w:rPr>
          <w:spacing w:val="-2"/>
          <w:sz w:val="24"/>
        </w:rPr>
        <w:t>Innovation</w:t>
      </w:r>
      <w:r>
        <w:rPr>
          <w:spacing w:val="-12"/>
          <w:sz w:val="24"/>
        </w:rPr>
        <w:t> </w:t>
      </w:r>
      <w:r>
        <w:rPr>
          <w:spacing w:val="-2"/>
          <w:sz w:val="24"/>
        </w:rPr>
        <w:t>and</w:t>
      </w:r>
      <w:r>
        <w:rPr>
          <w:spacing w:val="-15"/>
          <w:sz w:val="24"/>
        </w:rPr>
        <w:t> </w:t>
      </w:r>
      <w:r>
        <w:rPr>
          <w:spacing w:val="-2"/>
          <w:sz w:val="24"/>
        </w:rPr>
        <w:t>Excellence</w:t>
      </w:r>
      <w:r>
        <w:rPr>
          <w:spacing w:val="-12"/>
          <w:sz w:val="24"/>
        </w:rPr>
        <w:t> </w:t>
      </w:r>
      <w:r>
        <w:rPr>
          <w:spacing w:val="-2"/>
          <w:sz w:val="24"/>
        </w:rPr>
        <w:t>Subgroup</w:t>
      </w:r>
      <w:r>
        <w:rPr>
          <w:spacing w:val="-13"/>
          <w:sz w:val="24"/>
        </w:rPr>
        <w:t> </w:t>
      </w:r>
      <w:r>
        <w:rPr>
          <w:spacing w:val="-2"/>
          <w:sz w:val="24"/>
        </w:rPr>
        <w:t>undertakes</w:t>
      </w:r>
      <w:r>
        <w:rPr>
          <w:spacing w:val="-14"/>
          <w:sz w:val="24"/>
        </w:rPr>
        <w:t> </w:t>
      </w:r>
      <w:r>
        <w:rPr>
          <w:spacing w:val="-2"/>
          <w:sz w:val="24"/>
        </w:rPr>
        <w:t>its</w:t>
      </w:r>
      <w:r>
        <w:rPr>
          <w:spacing w:val="-14"/>
          <w:sz w:val="24"/>
        </w:rPr>
        <w:t> </w:t>
      </w:r>
      <w:r>
        <w:rPr>
          <w:spacing w:val="-2"/>
          <w:sz w:val="24"/>
        </w:rPr>
        <w:t>role </w:t>
      </w:r>
      <w:r>
        <w:rPr>
          <w:sz w:val="24"/>
        </w:rPr>
        <w:t>effectively, its members will:</w:t>
      </w:r>
    </w:p>
    <w:p>
      <w:pPr>
        <w:pStyle w:val="ListParagraph"/>
        <w:numPr>
          <w:ilvl w:val="2"/>
          <w:numId w:val="62"/>
        </w:numPr>
        <w:tabs>
          <w:tab w:pos="1277" w:val="left" w:leader="none"/>
        </w:tabs>
        <w:spacing w:line="240" w:lineRule="auto" w:before="158" w:after="0"/>
        <w:ind w:left="1277" w:right="0" w:hanging="360"/>
        <w:jc w:val="left"/>
        <w:rPr>
          <w:sz w:val="24"/>
        </w:rPr>
      </w:pPr>
      <w:r>
        <w:rPr>
          <w:spacing w:val="-4"/>
          <w:sz w:val="24"/>
        </w:rPr>
        <w:t>Attend</w:t>
      </w:r>
      <w:r>
        <w:rPr>
          <w:spacing w:val="-5"/>
          <w:sz w:val="24"/>
        </w:rPr>
        <w:t> </w:t>
      </w:r>
      <w:r>
        <w:rPr>
          <w:spacing w:val="-2"/>
          <w:sz w:val="24"/>
        </w:rPr>
        <w:t>meetings.</w:t>
      </w:r>
    </w:p>
    <w:p>
      <w:pPr>
        <w:pStyle w:val="ListParagraph"/>
        <w:numPr>
          <w:ilvl w:val="2"/>
          <w:numId w:val="62"/>
        </w:numPr>
        <w:tabs>
          <w:tab w:pos="1277" w:val="left" w:leader="none"/>
        </w:tabs>
        <w:spacing w:line="240" w:lineRule="auto" w:before="118" w:after="0"/>
        <w:ind w:left="1277" w:right="0" w:hanging="360"/>
        <w:jc w:val="left"/>
        <w:rPr>
          <w:sz w:val="24"/>
        </w:rPr>
      </w:pPr>
      <w:r>
        <w:rPr>
          <w:spacing w:val="-2"/>
          <w:sz w:val="24"/>
        </w:rPr>
        <w:t>Adopt</w:t>
      </w:r>
      <w:r>
        <w:rPr>
          <w:spacing w:val="-17"/>
          <w:sz w:val="24"/>
        </w:rPr>
        <w:t> </w:t>
      </w:r>
      <w:r>
        <w:rPr>
          <w:spacing w:val="-2"/>
          <w:sz w:val="24"/>
        </w:rPr>
        <w:t>an</w:t>
      </w:r>
      <w:r>
        <w:rPr>
          <w:spacing w:val="-15"/>
          <w:sz w:val="24"/>
        </w:rPr>
        <w:t> </w:t>
      </w:r>
      <w:r>
        <w:rPr>
          <w:spacing w:val="-2"/>
          <w:sz w:val="24"/>
        </w:rPr>
        <w:t>open</w:t>
      </w:r>
      <w:r>
        <w:rPr>
          <w:spacing w:val="-14"/>
          <w:sz w:val="24"/>
        </w:rPr>
        <w:t> </w:t>
      </w:r>
      <w:r>
        <w:rPr>
          <w:spacing w:val="-2"/>
          <w:sz w:val="24"/>
        </w:rPr>
        <w:t>and</w:t>
      </w:r>
      <w:r>
        <w:rPr>
          <w:spacing w:val="-13"/>
          <w:sz w:val="24"/>
        </w:rPr>
        <w:t> </w:t>
      </w:r>
      <w:r>
        <w:rPr>
          <w:spacing w:val="-2"/>
          <w:sz w:val="24"/>
        </w:rPr>
        <w:t>constructively</w:t>
      </w:r>
      <w:r>
        <w:rPr>
          <w:spacing w:val="-14"/>
          <w:sz w:val="24"/>
        </w:rPr>
        <w:t> </w:t>
      </w:r>
      <w:r>
        <w:rPr>
          <w:spacing w:val="-2"/>
          <w:sz w:val="24"/>
        </w:rPr>
        <w:t>challenging</w:t>
      </w:r>
      <w:r>
        <w:rPr>
          <w:spacing w:val="-15"/>
          <w:sz w:val="24"/>
        </w:rPr>
        <w:t> </w:t>
      </w:r>
      <w:r>
        <w:rPr>
          <w:spacing w:val="-2"/>
          <w:sz w:val="24"/>
        </w:rPr>
        <w:t>approach</w:t>
      </w:r>
      <w:r>
        <w:rPr>
          <w:spacing w:val="-13"/>
          <w:sz w:val="24"/>
        </w:rPr>
        <w:t> </w:t>
      </w:r>
      <w:r>
        <w:rPr>
          <w:spacing w:val="-2"/>
          <w:sz w:val="24"/>
        </w:rPr>
        <w:t>within</w:t>
      </w:r>
      <w:r>
        <w:rPr>
          <w:spacing w:val="-12"/>
          <w:sz w:val="24"/>
        </w:rPr>
        <w:t> </w:t>
      </w:r>
      <w:r>
        <w:rPr>
          <w:spacing w:val="-2"/>
          <w:sz w:val="24"/>
        </w:rPr>
        <w:t>meetings.</w:t>
      </w:r>
    </w:p>
    <w:p>
      <w:pPr>
        <w:pStyle w:val="ListParagraph"/>
        <w:numPr>
          <w:ilvl w:val="2"/>
          <w:numId w:val="62"/>
        </w:numPr>
        <w:tabs>
          <w:tab w:pos="1277" w:val="left" w:leader="none"/>
        </w:tabs>
        <w:spacing w:line="240" w:lineRule="auto" w:before="118" w:after="0"/>
        <w:ind w:left="1277" w:right="0" w:hanging="360"/>
        <w:jc w:val="left"/>
        <w:rPr>
          <w:sz w:val="24"/>
        </w:rPr>
      </w:pPr>
      <w:r>
        <w:rPr>
          <w:spacing w:val="-2"/>
          <w:sz w:val="24"/>
        </w:rPr>
        <w:t>Promptly</w:t>
      </w:r>
      <w:r>
        <w:rPr>
          <w:spacing w:val="-14"/>
          <w:sz w:val="24"/>
        </w:rPr>
        <w:t> </w:t>
      </w:r>
      <w:r>
        <w:rPr>
          <w:spacing w:val="-2"/>
          <w:sz w:val="24"/>
        </w:rPr>
        <w:t>follow</w:t>
      </w:r>
      <w:r>
        <w:rPr>
          <w:spacing w:val="-12"/>
          <w:sz w:val="24"/>
        </w:rPr>
        <w:t> </w:t>
      </w:r>
      <w:r>
        <w:rPr>
          <w:spacing w:val="-2"/>
          <w:sz w:val="24"/>
        </w:rPr>
        <w:t>up</w:t>
      </w:r>
      <w:r>
        <w:rPr>
          <w:spacing w:val="-12"/>
          <w:sz w:val="24"/>
        </w:rPr>
        <w:t> </w:t>
      </w:r>
      <w:r>
        <w:rPr>
          <w:spacing w:val="-2"/>
          <w:sz w:val="24"/>
        </w:rPr>
        <w:t>on</w:t>
      </w:r>
      <w:r>
        <w:rPr>
          <w:spacing w:val="-13"/>
          <w:sz w:val="24"/>
        </w:rPr>
        <w:t> </w:t>
      </w:r>
      <w:r>
        <w:rPr>
          <w:spacing w:val="-2"/>
          <w:sz w:val="24"/>
        </w:rPr>
        <w:t>actions</w:t>
      </w:r>
      <w:r>
        <w:rPr>
          <w:spacing w:val="-13"/>
          <w:sz w:val="24"/>
        </w:rPr>
        <w:t> </w:t>
      </w:r>
      <w:r>
        <w:rPr>
          <w:spacing w:val="-2"/>
          <w:sz w:val="24"/>
        </w:rPr>
        <w:t>and</w:t>
      </w:r>
      <w:r>
        <w:rPr>
          <w:spacing w:val="-12"/>
          <w:sz w:val="24"/>
        </w:rPr>
        <w:t> </w:t>
      </w:r>
      <w:r>
        <w:rPr>
          <w:spacing w:val="-2"/>
          <w:sz w:val="24"/>
        </w:rPr>
        <w:t>commitments;</w:t>
      </w:r>
      <w:r>
        <w:rPr>
          <w:spacing w:val="-10"/>
          <w:sz w:val="24"/>
        </w:rPr>
        <w:t> </w:t>
      </w:r>
      <w:r>
        <w:rPr>
          <w:spacing w:val="-5"/>
          <w:sz w:val="24"/>
        </w:rPr>
        <w:t>and</w:t>
      </w:r>
    </w:p>
    <w:p>
      <w:pPr>
        <w:pStyle w:val="ListParagraph"/>
        <w:numPr>
          <w:ilvl w:val="2"/>
          <w:numId w:val="62"/>
        </w:numPr>
        <w:tabs>
          <w:tab w:pos="1278" w:val="left" w:leader="none"/>
        </w:tabs>
        <w:spacing w:line="240" w:lineRule="auto" w:before="124" w:after="0"/>
        <w:ind w:left="1278" w:right="721" w:hanging="361"/>
        <w:jc w:val="left"/>
        <w:rPr>
          <w:sz w:val="24"/>
        </w:rPr>
      </w:pPr>
      <w:r>
        <w:rPr>
          <w:spacing w:val="-2"/>
          <w:sz w:val="24"/>
        </w:rPr>
        <w:t>Participate</w:t>
      </w:r>
      <w:r>
        <w:rPr>
          <w:spacing w:val="-14"/>
          <w:sz w:val="24"/>
        </w:rPr>
        <w:t> </w:t>
      </w:r>
      <w:r>
        <w:rPr>
          <w:spacing w:val="-2"/>
          <w:sz w:val="24"/>
        </w:rPr>
        <w:t>in</w:t>
      </w:r>
      <w:r>
        <w:rPr>
          <w:spacing w:val="-12"/>
          <w:sz w:val="24"/>
        </w:rPr>
        <w:t> </w:t>
      </w:r>
      <w:r>
        <w:rPr>
          <w:spacing w:val="-2"/>
          <w:sz w:val="24"/>
        </w:rPr>
        <w:t>electronic</w:t>
      </w:r>
      <w:r>
        <w:rPr>
          <w:spacing w:val="-13"/>
          <w:sz w:val="24"/>
        </w:rPr>
        <w:t> </w:t>
      </w:r>
      <w:r>
        <w:rPr>
          <w:spacing w:val="-2"/>
          <w:sz w:val="24"/>
        </w:rPr>
        <w:t>and</w:t>
      </w:r>
      <w:r>
        <w:rPr>
          <w:spacing w:val="-12"/>
          <w:sz w:val="24"/>
        </w:rPr>
        <w:t> </w:t>
      </w:r>
      <w:r>
        <w:rPr>
          <w:spacing w:val="-2"/>
          <w:sz w:val="24"/>
        </w:rPr>
        <w:t>virtual</w:t>
      </w:r>
      <w:r>
        <w:rPr>
          <w:spacing w:val="-12"/>
          <w:sz w:val="24"/>
        </w:rPr>
        <w:t> </w:t>
      </w:r>
      <w:r>
        <w:rPr>
          <w:spacing w:val="-2"/>
          <w:sz w:val="24"/>
        </w:rPr>
        <w:t>channels</w:t>
      </w:r>
      <w:r>
        <w:rPr>
          <w:spacing w:val="-13"/>
          <w:sz w:val="24"/>
        </w:rPr>
        <w:t> </w:t>
      </w:r>
      <w:r>
        <w:rPr>
          <w:spacing w:val="-2"/>
          <w:sz w:val="24"/>
        </w:rPr>
        <w:t>established</w:t>
      </w:r>
      <w:r>
        <w:rPr>
          <w:spacing w:val="-12"/>
          <w:sz w:val="24"/>
        </w:rPr>
        <w:t> </w:t>
      </w:r>
      <w:r>
        <w:rPr>
          <w:spacing w:val="-2"/>
          <w:sz w:val="24"/>
        </w:rPr>
        <w:t>to</w:t>
      </w:r>
      <w:r>
        <w:rPr>
          <w:spacing w:val="-12"/>
          <w:sz w:val="24"/>
        </w:rPr>
        <w:t> </w:t>
      </w:r>
      <w:r>
        <w:rPr>
          <w:spacing w:val="-2"/>
          <w:sz w:val="24"/>
        </w:rPr>
        <w:t>allow</w:t>
      </w:r>
      <w:r>
        <w:rPr>
          <w:spacing w:val="-15"/>
          <w:sz w:val="24"/>
        </w:rPr>
        <w:t> </w:t>
      </w:r>
      <w:r>
        <w:rPr>
          <w:spacing w:val="-2"/>
          <w:sz w:val="24"/>
        </w:rPr>
        <w:t>a</w:t>
      </w:r>
      <w:r>
        <w:rPr>
          <w:spacing w:val="-8"/>
          <w:sz w:val="24"/>
        </w:rPr>
        <w:t> </w:t>
      </w:r>
      <w:r>
        <w:rPr>
          <w:spacing w:val="-2"/>
          <w:sz w:val="24"/>
        </w:rPr>
        <w:t>continuous</w:t>
      </w:r>
      <w:r>
        <w:rPr>
          <w:spacing w:val="-9"/>
          <w:sz w:val="24"/>
        </w:rPr>
        <w:t> </w:t>
      </w:r>
      <w:r>
        <w:rPr>
          <w:spacing w:val="-2"/>
          <w:sz w:val="24"/>
        </w:rPr>
        <w:t>flow</w:t>
      </w:r>
      <w:r>
        <w:rPr>
          <w:spacing w:val="-12"/>
          <w:sz w:val="24"/>
        </w:rPr>
        <w:t> </w:t>
      </w:r>
      <w:r>
        <w:rPr>
          <w:spacing w:val="-2"/>
          <w:sz w:val="24"/>
        </w:rPr>
        <w:t>of </w:t>
      </w:r>
      <w:r>
        <w:rPr>
          <w:sz w:val="24"/>
        </w:rPr>
        <w:t>information between committee members.</w:t>
      </w:r>
    </w:p>
    <w:p>
      <w:pPr>
        <w:pStyle w:val="ListParagraph"/>
        <w:numPr>
          <w:ilvl w:val="1"/>
          <w:numId w:val="62"/>
        </w:numPr>
        <w:tabs>
          <w:tab w:pos="852" w:val="left" w:leader="none"/>
        </w:tabs>
        <w:spacing w:line="240" w:lineRule="auto" w:before="157" w:after="0"/>
        <w:ind w:left="852" w:right="1445" w:hanging="710"/>
        <w:jc w:val="left"/>
        <w:rPr>
          <w:sz w:val="24"/>
        </w:rPr>
      </w:pPr>
      <w:r>
        <w:rPr>
          <w:spacing w:val="-2"/>
          <w:sz w:val="24"/>
        </w:rPr>
        <w:t>Membership</w:t>
      </w:r>
      <w:r>
        <w:rPr>
          <w:spacing w:val="-15"/>
          <w:sz w:val="24"/>
        </w:rPr>
        <w:t> </w:t>
      </w:r>
      <w:r>
        <w:rPr>
          <w:spacing w:val="-2"/>
          <w:sz w:val="24"/>
        </w:rPr>
        <w:t>of</w:t>
      </w:r>
      <w:r>
        <w:rPr>
          <w:spacing w:val="-15"/>
          <w:sz w:val="24"/>
        </w:rPr>
        <w:t> </w:t>
      </w:r>
      <w:r>
        <w:rPr>
          <w:spacing w:val="-2"/>
          <w:sz w:val="24"/>
        </w:rPr>
        <w:t>the</w:t>
      </w:r>
      <w:r>
        <w:rPr>
          <w:spacing w:val="-14"/>
          <w:sz w:val="24"/>
        </w:rPr>
        <w:t> </w:t>
      </w:r>
      <w:r>
        <w:rPr>
          <w:spacing w:val="-2"/>
          <w:sz w:val="24"/>
        </w:rPr>
        <w:t>Regional</w:t>
      </w:r>
      <w:r>
        <w:rPr>
          <w:spacing w:val="-14"/>
          <w:sz w:val="24"/>
        </w:rPr>
        <w:t> </w:t>
      </w:r>
      <w:r>
        <w:rPr>
          <w:spacing w:val="-2"/>
          <w:sz w:val="24"/>
        </w:rPr>
        <w:t>Research,</w:t>
      </w:r>
      <w:r>
        <w:rPr>
          <w:spacing w:val="-15"/>
          <w:sz w:val="24"/>
        </w:rPr>
        <w:t> </w:t>
      </w:r>
      <w:r>
        <w:rPr>
          <w:spacing w:val="-2"/>
          <w:sz w:val="24"/>
        </w:rPr>
        <w:t>Innovation</w:t>
      </w:r>
      <w:r>
        <w:rPr>
          <w:spacing w:val="-15"/>
          <w:sz w:val="24"/>
        </w:rPr>
        <w:t> </w:t>
      </w:r>
      <w:r>
        <w:rPr>
          <w:spacing w:val="-2"/>
          <w:sz w:val="24"/>
        </w:rPr>
        <w:t>and</w:t>
      </w:r>
      <w:r>
        <w:rPr>
          <w:spacing w:val="-11"/>
          <w:sz w:val="24"/>
        </w:rPr>
        <w:t> </w:t>
      </w:r>
      <w:r>
        <w:rPr>
          <w:spacing w:val="-2"/>
          <w:sz w:val="24"/>
        </w:rPr>
        <w:t>Excellence</w:t>
      </w:r>
      <w:r>
        <w:rPr>
          <w:spacing w:val="-14"/>
          <w:sz w:val="24"/>
        </w:rPr>
        <w:t> </w:t>
      </w:r>
      <w:r>
        <w:rPr>
          <w:spacing w:val="-2"/>
          <w:sz w:val="24"/>
        </w:rPr>
        <w:t>Subgroup</w:t>
      </w:r>
      <w:r>
        <w:rPr>
          <w:spacing w:val="-12"/>
          <w:sz w:val="24"/>
        </w:rPr>
        <w:t> </w:t>
      </w:r>
      <w:r>
        <w:rPr>
          <w:spacing w:val="-2"/>
          <w:sz w:val="24"/>
        </w:rPr>
        <w:t>shall comprise:</w:t>
      </w:r>
    </w:p>
    <w:p>
      <w:pPr>
        <w:pStyle w:val="BodyText"/>
        <w:spacing w:before="48"/>
        <w:rPr>
          <w:sz w:val="20"/>
        </w:r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242"/>
        <w:gridCol w:w="4862"/>
      </w:tblGrid>
      <w:tr>
        <w:trPr>
          <w:trHeight w:val="280" w:hRule="atLeast"/>
        </w:trPr>
        <w:tc>
          <w:tcPr>
            <w:tcW w:w="5242" w:type="dxa"/>
            <w:shd w:val="clear" w:color="auto" w:fill="C1A875"/>
          </w:tcPr>
          <w:p>
            <w:pPr>
              <w:pStyle w:val="TableParagraph"/>
              <w:spacing w:line="260" w:lineRule="exact"/>
              <w:ind w:left="105"/>
              <w:rPr>
                <w:b/>
                <w:sz w:val="24"/>
              </w:rPr>
            </w:pPr>
            <w:r>
              <w:rPr>
                <w:b/>
                <w:spacing w:val="-2"/>
                <w:sz w:val="24"/>
              </w:rPr>
              <w:t>Member</w:t>
            </w:r>
          </w:p>
        </w:tc>
        <w:tc>
          <w:tcPr>
            <w:tcW w:w="4862" w:type="dxa"/>
            <w:shd w:val="clear" w:color="auto" w:fill="C1A875"/>
          </w:tcPr>
          <w:p>
            <w:pPr>
              <w:pStyle w:val="TableParagraph"/>
              <w:spacing w:line="260" w:lineRule="exact"/>
              <w:ind w:left="105"/>
              <w:rPr>
                <w:b/>
                <w:sz w:val="24"/>
              </w:rPr>
            </w:pPr>
            <w:r>
              <w:rPr>
                <w:b/>
                <w:spacing w:val="-2"/>
                <w:sz w:val="24"/>
              </w:rPr>
              <w:t>Organisation</w:t>
            </w:r>
          </w:p>
        </w:tc>
      </w:tr>
      <w:tr>
        <w:trPr>
          <w:trHeight w:val="285" w:hRule="atLeast"/>
        </w:trPr>
        <w:tc>
          <w:tcPr>
            <w:tcW w:w="5242" w:type="dxa"/>
          </w:tcPr>
          <w:p>
            <w:pPr>
              <w:pStyle w:val="TableParagraph"/>
              <w:spacing w:line="265" w:lineRule="exact"/>
              <w:ind w:left="105"/>
              <w:rPr>
                <w:sz w:val="24"/>
              </w:rPr>
            </w:pPr>
            <w:r>
              <w:rPr>
                <w:spacing w:val="-4"/>
                <w:sz w:val="24"/>
              </w:rPr>
              <w:t>Executive</w:t>
            </w:r>
            <w:r>
              <w:rPr>
                <w:spacing w:val="1"/>
                <w:sz w:val="24"/>
              </w:rPr>
              <w:t> </w:t>
            </w:r>
            <w:r>
              <w:rPr>
                <w:spacing w:val="-4"/>
                <w:sz w:val="24"/>
              </w:rPr>
              <w:t>Medical Director</w:t>
            </w:r>
            <w:r>
              <w:rPr>
                <w:spacing w:val="1"/>
                <w:sz w:val="24"/>
              </w:rPr>
              <w:t> </w:t>
            </w:r>
            <w:r>
              <w:rPr>
                <w:spacing w:val="-4"/>
                <w:sz w:val="24"/>
              </w:rPr>
              <w:t>(Co-Chair)</w:t>
            </w:r>
          </w:p>
        </w:tc>
        <w:tc>
          <w:tcPr>
            <w:tcW w:w="4862"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4"/>
                <w:sz w:val="24"/>
              </w:rPr>
              <w:t>Executive</w:t>
            </w:r>
            <w:r>
              <w:rPr>
                <w:spacing w:val="1"/>
                <w:sz w:val="24"/>
              </w:rPr>
              <w:t> </w:t>
            </w:r>
            <w:r>
              <w:rPr>
                <w:spacing w:val="-4"/>
                <w:sz w:val="24"/>
              </w:rPr>
              <w:t>Medical</w:t>
            </w:r>
            <w:r>
              <w:rPr>
                <w:spacing w:val="-5"/>
                <w:sz w:val="24"/>
              </w:rPr>
              <w:t> </w:t>
            </w:r>
            <w:r>
              <w:rPr>
                <w:spacing w:val="-4"/>
                <w:sz w:val="24"/>
              </w:rPr>
              <w:t>Director</w:t>
            </w:r>
            <w:r>
              <w:rPr>
                <w:spacing w:val="1"/>
                <w:sz w:val="24"/>
              </w:rPr>
              <w:t> </w:t>
            </w:r>
            <w:r>
              <w:rPr>
                <w:spacing w:val="-4"/>
                <w:sz w:val="24"/>
              </w:rPr>
              <w:t>(Co-Chair)</w:t>
            </w:r>
          </w:p>
        </w:tc>
        <w:tc>
          <w:tcPr>
            <w:tcW w:w="4862"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550" w:hRule="atLeast"/>
        </w:trPr>
        <w:tc>
          <w:tcPr>
            <w:tcW w:w="5242" w:type="dxa"/>
          </w:tcPr>
          <w:p>
            <w:pPr>
              <w:pStyle w:val="TableParagraph"/>
              <w:ind w:left="105"/>
              <w:rPr>
                <w:sz w:val="24"/>
              </w:rPr>
            </w:pPr>
            <w:r>
              <w:rPr>
                <w:spacing w:val="-2"/>
                <w:sz w:val="24"/>
              </w:rPr>
              <w:t>Regional</w:t>
            </w:r>
            <w:r>
              <w:rPr>
                <w:spacing w:val="-17"/>
                <w:sz w:val="24"/>
              </w:rPr>
              <w:t> </w:t>
            </w:r>
            <w:r>
              <w:rPr>
                <w:spacing w:val="-2"/>
                <w:sz w:val="24"/>
              </w:rPr>
              <w:t>Director</w:t>
            </w:r>
            <w:r>
              <w:rPr>
                <w:spacing w:val="-14"/>
                <w:sz w:val="24"/>
              </w:rPr>
              <w:t> </w:t>
            </w:r>
            <w:r>
              <w:rPr>
                <w:spacing w:val="-2"/>
                <w:sz w:val="24"/>
              </w:rPr>
              <w:t>for</w:t>
            </w:r>
            <w:r>
              <w:rPr>
                <w:spacing w:val="-15"/>
                <w:sz w:val="24"/>
              </w:rPr>
              <w:t> </w:t>
            </w:r>
            <w:r>
              <w:rPr>
                <w:spacing w:val="-2"/>
                <w:sz w:val="24"/>
              </w:rPr>
              <w:t>Research</w:t>
            </w:r>
            <w:r>
              <w:rPr>
                <w:spacing w:val="-11"/>
                <w:sz w:val="24"/>
              </w:rPr>
              <w:t> </w:t>
            </w:r>
            <w:r>
              <w:rPr>
                <w:spacing w:val="-2"/>
                <w:sz w:val="24"/>
              </w:rPr>
              <w:t>and</w:t>
            </w:r>
            <w:r>
              <w:rPr>
                <w:spacing w:val="-10"/>
                <w:sz w:val="24"/>
              </w:rPr>
              <w:t> </w:t>
            </w:r>
            <w:r>
              <w:rPr>
                <w:spacing w:val="-2"/>
                <w:sz w:val="24"/>
              </w:rPr>
              <w:t>Innovation</w:t>
            </w:r>
          </w:p>
        </w:tc>
        <w:tc>
          <w:tcPr>
            <w:tcW w:w="4862" w:type="dxa"/>
          </w:tcPr>
          <w:p>
            <w:pPr>
              <w:pStyle w:val="TableParagraph"/>
              <w:spacing w:line="276" w:lineRule="exact"/>
              <w:ind w:left="105" w:right="114"/>
              <w:rPr>
                <w:sz w:val="24"/>
              </w:rPr>
            </w:pPr>
            <w:r>
              <w:rPr>
                <w:spacing w:val="-2"/>
                <w:sz w:val="24"/>
              </w:rPr>
              <w:t>Swansea</w:t>
            </w:r>
            <w:r>
              <w:rPr>
                <w:spacing w:val="-15"/>
                <w:sz w:val="24"/>
              </w:rPr>
              <w:t> </w:t>
            </w:r>
            <w:r>
              <w:rPr>
                <w:spacing w:val="-2"/>
                <w:sz w:val="24"/>
              </w:rPr>
              <w:t>Bay</w:t>
            </w:r>
            <w:r>
              <w:rPr>
                <w:spacing w:val="-15"/>
                <w:sz w:val="24"/>
              </w:rPr>
              <w:t> </w:t>
            </w:r>
            <w:r>
              <w:rPr>
                <w:spacing w:val="-2"/>
                <w:sz w:val="24"/>
              </w:rPr>
              <w:t>University</w:t>
            </w:r>
            <w:r>
              <w:rPr>
                <w:spacing w:val="-14"/>
                <w:sz w:val="24"/>
              </w:rPr>
              <w:t> </w:t>
            </w:r>
            <w:r>
              <w:rPr>
                <w:spacing w:val="-2"/>
                <w:sz w:val="24"/>
              </w:rPr>
              <w:t>Health</w:t>
            </w:r>
            <w:r>
              <w:rPr>
                <w:spacing w:val="-15"/>
                <w:sz w:val="24"/>
              </w:rPr>
              <w:t> </w:t>
            </w:r>
            <w:r>
              <w:rPr>
                <w:spacing w:val="-2"/>
                <w:sz w:val="24"/>
              </w:rPr>
              <w:t>Board/ </w:t>
            </w:r>
            <w:r>
              <w:rPr>
                <w:sz w:val="24"/>
              </w:rPr>
              <w:t>Hywel Dda University Health Board</w:t>
            </w:r>
          </w:p>
        </w:tc>
      </w:tr>
      <w:tr>
        <w:trPr>
          <w:trHeight w:val="553" w:hRule="atLeast"/>
        </w:trPr>
        <w:tc>
          <w:tcPr>
            <w:tcW w:w="5242" w:type="dxa"/>
          </w:tcPr>
          <w:p>
            <w:pPr>
              <w:pStyle w:val="TableParagraph"/>
              <w:spacing w:line="274" w:lineRule="exact"/>
              <w:ind w:left="105"/>
              <w:rPr>
                <w:sz w:val="24"/>
              </w:rPr>
            </w:pPr>
            <w:r>
              <w:rPr>
                <w:spacing w:val="-4"/>
                <w:sz w:val="24"/>
              </w:rPr>
              <w:t>Associate</w:t>
            </w:r>
            <w:r>
              <w:rPr>
                <w:spacing w:val="1"/>
                <w:sz w:val="24"/>
              </w:rPr>
              <w:t> </w:t>
            </w:r>
            <w:r>
              <w:rPr>
                <w:spacing w:val="-4"/>
                <w:sz w:val="24"/>
              </w:rPr>
              <w:t>Medical Director</w:t>
            </w:r>
            <w:r>
              <w:rPr>
                <w:sz w:val="24"/>
              </w:rPr>
              <w:t> </w:t>
            </w:r>
            <w:r>
              <w:rPr>
                <w:spacing w:val="-4"/>
                <w:sz w:val="24"/>
              </w:rPr>
              <w:t>for</w:t>
            </w:r>
            <w:r>
              <w:rPr>
                <w:spacing w:val="-5"/>
                <w:sz w:val="24"/>
              </w:rPr>
              <w:t> </w:t>
            </w:r>
            <w:r>
              <w:rPr>
                <w:spacing w:val="-4"/>
                <w:sz w:val="24"/>
              </w:rPr>
              <w:t>Research</w:t>
            </w:r>
            <w:r>
              <w:rPr>
                <w:spacing w:val="2"/>
                <w:sz w:val="24"/>
              </w:rPr>
              <w:t> </w:t>
            </w:r>
            <w:r>
              <w:rPr>
                <w:spacing w:val="-5"/>
                <w:sz w:val="24"/>
              </w:rPr>
              <w:t>and</w:t>
            </w:r>
          </w:p>
          <w:p>
            <w:pPr>
              <w:pStyle w:val="TableParagraph"/>
              <w:spacing w:line="255" w:lineRule="exact" w:before="4"/>
              <w:ind w:left="105"/>
              <w:rPr>
                <w:sz w:val="24"/>
              </w:rPr>
            </w:pPr>
            <w:r>
              <w:rPr>
                <w:spacing w:val="-2"/>
                <w:sz w:val="24"/>
              </w:rPr>
              <w:t>Development</w:t>
            </w:r>
          </w:p>
        </w:tc>
        <w:tc>
          <w:tcPr>
            <w:tcW w:w="4862" w:type="dxa"/>
          </w:tcPr>
          <w:p>
            <w:pPr>
              <w:pStyle w:val="TableParagraph"/>
              <w:spacing w:line="274"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4" w:hRule="atLeast"/>
        </w:trPr>
        <w:tc>
          <w:tcPr>
            <w:tcW w:w="5242" w:type="dxa"/>
          </w:tcPr>
          <w:p>
            <w:pPr>
              <w:pStyle w:val="TableParagraph"/>
              <w:spacing w:line="265" w:lineRule="exact"/>
              <w:ind w:left="105"/>
              <w:rPr>
                <w:sz w:val="24"/>
              </w:rPr>
            </w:pPr>
            <w:r>
              <w:rPr>
                <w:spacing w:val="-2"/>
                <w:sz w:val="24"/>
              </w:rPr>
              <w:t>Clinical</w:t>
            </w:r>
            <w:r>
              <w:rPr>
                <w:spacing w:val="-14"/>
                <w:sz w:val="24"/>
              </w:rPr>
              <w:t> </w:t>
            </w:r>
            <w:r>
              <w:rPr>
                <w:spacing w:val="-2"/>
                <w:sz w:val="24"/>
              </w:rPr>
              <w:t>Director</w:t>
            </w:r>
            <w:r>
              <w:rPr>
                <w:spacing w:val="-14"/>
                <w:sz w:val="24"/>
              </w:rPr>
              <w:t> </w:t>
            </w:r>
            <w:r>
              <w:rPr>
                <w:spacing w:val="-2"/>
                <w:sz w:val="24"/>
              </w:rPr>
              <w:t>for</w:t>
            </w:r>
            <w:r>
              <w:rPr>
                <w:spacing w:val="-15"/>
                <w:sz w:val="24"/>
              </w:rPr>
              <w:t> </w:t>
            </w:r>
            <w:r>
              <w:rPr>
                <w:spacing w:val="-2"/>
                <w:sz w:val="24"/>
              </w:rPr>
              <w:t>Research</w:t>
            </w:r>
            <w:r>
              <w:rPr>
                <w:spacing w:val="-13"/>
                <w:sz w:val="24"/>
              </w:rPr>
              <w:t> </w:t>
            </w:r>
            <w:r>
              <w:rPr>
                <w:spacing w:val="-2"/>
                <w:sz w:val="24"/>
              </w:rPr>
              <w:t>and</w:t>
            </w:r>
            <w:r>
              <w:rPr>
                <w:spacing w:val="-9"/>
                <w:sz w:val="24"/>
              </w:rPr>
              <w:t> </w:t>
            </w:r>
            <w:r>
              <w:rPr>
                <w:spacing w:val="-2"/>
                <w:sz w:val="24"/>
              </w:rPr>
              <w:t>Innovation</w:t>
            </w:r>
          </w:p>
        </w:tc>
        <w:tc>
          <w:tcPr>
            <w:tcW w:w="4862"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550" w:hRule="atLeast"/>
        </w:trPr>
        <w:tc>
          <w:tcPr>
            <w:tcW w:w="5242" w:type="dxa"/>
          </w:tcPr>
          <w:p>
            <w:pPr>
              <w:pStyle w:val="TableParagraph"/>
              <w:spacing w:line="276" w:lineRule="exact"/>
              <w:ind w:left="105" w:right="133"/>
              <w:rPr>
                <w:sz w:val="24"/>
              </w:rPr>
            </w:pPr>
            <w:r>
              <w:rPr>
                <w:spacing w:val="-2"/>
                <w:sz w:val="24"/>
              </w:rPr>
              <w:t>Executive</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Allied</w:t>
            </w:r>
            <w:r>
              <w:rPr>
                <w:spacing w:val="-15"/>
                <w:sz w:val="24"/>
              </w:rPr>
              <w:t> </w:t>
            </w:r>
            <w:r>
              <w:rPr>
                <w:spacing w:val="-2"/>
                <w:sz w:val="24"/>
              </w:rPr>
              <w:t>Health</w:t>
            </w:r>
            <w:r>
              <w:rPr>
                <w:spacing w:val="-15"/>
                <w:sz w:val="24"/>
              </w:rPr>
              <w:t> </w:t>
            </w:r>
            <w:r>
              <w:rPr>
                <w:spacing w:val="-2"/>
                <w:sz w:val="24"/>
              </w:rPr>
              <w:t>Professionals </w:t>
            </w:r>
            <w:r>
              <w:rPr>
                <w:sz w:val="24"/>
              </w:rPr>
              <w:t>and Health Science*</w:t>
            </w:r>
          </w:p>
        </w:tc>
        <w:tc>
          <w:tcPr>
            <w:tcW w:w="4862" w:type="dxa"/>
          </w:tcPr>
          <w:p>
            <w:pPr>
              <w:pStyle w:val="TableParagraph"/>
              <w:rPr>
                <w:rFonts w:ascii="Times New Roman"/>
                <w:sz w:val="22"/>
              </w:rPr>
            </w:pPr>
          </w:p>
        </w:tc>
      </w:tr>
      <w:tr>
        <w:trPr>
          <w:trHeight w:val="283" w:hRule="atLeast"/>
        </w:trPr>
        <w:tc>
          <w:tcPr>
            <w:tcW w:w="5242" w:type="dxa"/>
          </w:tcPr>
          <w:p>
            <w:pPr>
              <w:pStyle w:val="TableParagraph"/>
              <w:spacing w:line="263" w:lineRule="exact"/>
              <w:ind w:left="105"/>
              <w:rPr>
                <w:b/>
                <w:sz w:val="24"/>
              </w:rPr>
            </w:pPr>
            <w:r>
              <w:rPr>
                <w:spacing w:val="-4"/>
                <w:sz w:val="24"/>
              </w:rPr>
              <w:t>Executive</w:t>
            </w:r>
            <w:r>
              <w:rPr>
                <w:spacing w:val="-1"/>
                <w:sz w:val="24"/>
              </w:rPr>
              <w:t> </w:t>
            </w:r>
            <w:r>
              <w:rPr>
                <w:spacing w:val="-4"/>
                <w:sz w:val="24"/>
              </w:rPr>
              <w:t>Director</w:t>
            </w:r>
            <w:r>
              <w:rPr>
                <w:spacing w:val="-2"/>
                <w:sz w:val="24"/>
              </w:rPr>
              <w:t> </w:t>
            </w:r>
            <w:r>
              <w:rPr>
                <w:spacing w:val="-4"/>
                <w:sz w:val="24"/>
              </w:rPr>
              <w:t>of Nursing</w:t>
            </w:r>
            <w:r>
              <w:rPr>
                <w:b/>
                <w:spacing w:val="-4"/>
                <w:sz w:val="24"/>
              </w:rPr>
              <w:t>*</w:t>
            </w:r>
          </w:p>
        </w:tc>
        <w:tc>
          <w:tcPr>
            <w:tcW w:w="4862" w:type="dxa"/>
          </w:tcPr>
          <w:p>
            <w:pPr>
              <w:pStyle w:val="TableParagraph"/>
              <w:rPr>
                <w:rFonts w:ascii="Times New Roman"/>
                <w:sz w:val="20"/>
              </w:rPr>
            </w:pPr>
          </w:p>
        </w:tc>
      </w:tr>
    </w:tbl>
    <w:p>
      <w:pPr>
        <w:spacing w:before="224"/>
        <w:ind w:left="4" w:right="284" w:firstLine="0"/>
        <w:jc w:val="center"/>
        <w:rPr>
          <w:sz w:val="20"/>
        </w:rPr>
      </w:pPr>
      <w:r>
        <w:rPr>
          <w:spacing w:val="-10"/>
          <w:sz w:val="20"/>
        </w:rPr>
        <w:t>3</w:t>
      </w:r>
    </w:p>
    <w:p>
      <w:pPr>
        <w:spacing w:after="0"/>
        <w:jc w:val="center"/>
        <w:rPr>
          <w:sz w:val="20"/>
        </w:rPr>
        <w:sectPr>
          <w:pgSz w:w="11910" w:h="16840"/>
          <w:pgMar w:header="0" w:footer="149" w:top="920" w:bottom="340" w:left="708" w:right="425"/>
        </w:sect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242"/>
        <w:gridCol w:w="4862"/>
      </w:tblGrid>
      <w:tr>
        <w:trPr>
          <w:trHeight w:val="285" w:hRule="atLeast"/>
        </w:trPr>
        <w:tc>
          <w:tcPr>
            <w:tcW w:w="5242" w:type="dxa"/>
          </w:tcPr>
          <w:p>
            <w:pPr>
              <w:pStyle w:val="TableParagraph"/>
              <w:spacing w:line="265" w:lineRule="exact"/>
              <w:ind w:left="105"/>
              <w:rPr>
                <w:sz w:val="24"/>
              </w:rPr>
            </w:pPr>
            <w:r>
              <w:rPr>
                <w:spacing w:val="-4"/>
                <w:sz w:val="24"/>
              </w:rPr>
              <w:t>Finance</w:t>
            </w:r>
            <w:r>
              <w:rPr>
                <w:spacing w:val="-2"/>
                <w:sz w:val="24"/>
              </w:rPr>
              <w:t> representative*</w:t>
            </w:r>
          </w:p>
        </w:tc>
        <w:tc>
          <w:tcPr>
            <w:tcW w:w="4862" w:type="dxa"/>
          </w:tcPr>
          <w:p>
            <w:pPr>
              <w:pStyle w:val="TableParagraph"/>
              <w:rPr>
                <w:rFonts w:ascii="Times New Roman"/>
                <w:sz w:val="20"/>
              </w:rPr>
            </w:pPr>
          </w:p>
        </w:tc>
      </w:tr>
      <w:tr>
        <w:trPr>
          <w:trHeight w:val="285" w:hRule="atLeast"/>
        </w:trPr>
        <w:tc>
          <w:tcPr>
            <w:tcW w:w="5242" w:type="dxa"/>
          </w:tcPr>
          <w:p>
            <w:pPr>
              <w:pStyle w:val="TableParagraph"/>
              <w:spacing w:line="265" w:lineRule="exact"/>
              <w:ind w:left="105"/>
              <w:rPr>
                <w:sz w:val="24"/>
              </w:rPr>
            </w:pPr>
            <w:r>
              <w:rPr>
                <w:spacing w:val="-4"/>
                <w:sz w:val="24"/>
              </w:rPr>
              <w:t>Workforce</w:t>
            </w:r>
            <w:r>
              <w:rPr>
                <w:spacing w:val="-5"/>
                <w:sz w:val="24"/>
              </w:rPr>
              <w:t> </w:t>
            </w:r>
            <w:r>
              <w:rPr>
                <w:spacing w:val="-2"/>
                <w:sz w:val="24"/>
              </w:rPr>
              <w:t>representative*</w:t>
            </w:r>
          </w:p>
        </w:tc>
        <w:tc>
          <w:tcPr>
            <w:tcW w:w="4862" w:type="dxa"/>
          </w:tcPr>
          <w:p>
            <w:pPr>
              <w:pStyle w:val="TableParagraph"/>
              <w:rPr>
                <w:rFonts w:ascii="Times New Roman"/>
                <w:sz w:val="20"/>
              </w:rPr>
            </w:pPr>
          </w:p>
        </w:tc>
      </w:tr>
      <w:tr>
        <w:trPr>
          <w:trHeight w:val="285" w:hRule="atLeast"/>
        </w:trPr>
        <w:tc>
          <w:tcPr>
            <w:tcW w:w="5242" w:type="dxa"/>
          </w:tcPr>
          <w:p>
            <w:pPr>
              <w:pStyle w:val="TableParagraph"/>
              <w:spacing w:line="265" w:lineRule="exact"/>
              <w:ind w:left="105"/>
              <w:rPr>
                <w:sz w:val="24"/>
              </w:rPr>
            </w:pPr>
            <w:r>
              <w:rPr>
                <w:spacing w:val="-4"/>
                <w:sz w:val="24"/>
              </w:rPr>
              <w:t>Digital</w:t>
            </w:r>
            <w:r>
              <w:rPr>
                <w:spacing w:val="-5"/>
                <w:sz w:val="24"/>
              </w:rPr>
              <w:t> </w:t>
            </w:r>
            <w:r>
              <w:rPr>
                <w:spacing w:val="-2"/>
                <w:sz w:val="24"/>
              </w:rPr>
              <w:t>representative*</w:t>
            </w:r>
          </w:p>
        </w:tc>
        <w:tc>
          <w:tcPr>
            <w:tcW w:w="4862" w:type="dxa"/>
          </w:tcPr>
          <w:p>
            <w:pPr>
              <w:pStyle w:val="TableParagraph"/>
              <w:rPr>
                <w:rFonts w:ascii="Times New Roman"/>
                <w:sz w:val="20"/>
              </w:rPr>
            </w:pPr>
          </w:p>
        </w:tc>
      </w:tr>
      <w:tr>
        <w:trPr>
          <w:trHeight w:val="280" w:hRule="atLeast"/>
        </w:trPr>
        <w:tc>
          <w:tcPr>
            <w:tcW w:w="5242" w:type="dxa"/>
          </w:tcPr>
          <w:p>
            <w:pPr>
              <w:pStyle w:val="TableParagraph"/>
              <w:spacing w:line="260" w:lineRule="exact"/>
              <w:ind w:left="105"/>
              <w:rPr>
                <w:sz w:val="24"/>
              </w:rPr>
            </w:pPr>
            <w:r>
              <w:rPr>
                <w:spacing w:val="-2"/>
                <w:sz w:val="24"/>
              </w:rPr>
              <w:t>Public</w:t>
            </w:r>
            <w:r>
              <w:rPr>
                <w:spacing w:val="-14"/>
                <w:sz w:val="24"/>
              </w:rPr>
              <w:t> </w:t>
            </w:r>
            <w:r>
              <w:rPr>
                <w:spacing w:val="-2"/>
                <w:sz w:val="24"/>
              </w:rPr>
              <w:t>Health</w:t>
            </w:r>
            <w:r>
              <w:rPr>
                <w:spacing w:val="-13"/>
                <w:sz w:val="24"/>
              </w:rPr>
              <w:t> </w:t>
            </w:r>
            <w:r>
              <w:rPr>
                <w:spacing w:val="-2"/>
                <w:sz w:val="24"/>
              </w:rPr>
              <w:t>Wales</w:t>
            </w:r>
            <w:r>
              <w:rPr>
                <w:spacing w:val="-13"/>
                <w:sz w:val="24"/>
              </w:rPr>
              <w:t> </w:t>
            </w:r>
            <w:r>
              <w:rPr>
                <w:spacing w:val="-2"/>
                <w:sz w:val="24"/>
              </w:rPr>
              <w:t>representative*</w:t>
            </w:r>
          </w:p>
        </w:tc>
        <w:tc>
          <w:tcPr>
            <w:tcW w:w="4862" w:type="dxa"/>
          </w:tcPr>
          <w:p>
            <w:pPr>
              <w:pStyle w:val="TableParagraph"/>
              <w:rPr>
                <w:rFonts w:ascii="Times New Roman"/>
                <w:sz w:val="20"/>
              </w:rPr>
            </w:pPr>
          </w:p>
        </w:tc>
      </w:tr>
    </w:tbl>
    <w:p>
      <w:pPr>
        <w:pStyle w:val="BodyText"/>
        <w:spacing w:before="18"/>
        <w:rPr>
          <w:sz w:val="20"/>
        </w:rPr>
      </w:pPr>
    </w:p>
    <w:p>
      <w:pPr>
        <w:spacing w:before="0"/>
        <w:ind w:left="142" w:right="0" w:firstLine="0"/>
        <w:jc w:val="left"/>
        <w:rPr>
          <w:sz w:val="20"/>
        </w:rPr>
      </w:pPr>
      <w:r>
        <w:rPr>
          <w:spacing w:val="-2"/>
          <w:sz w:val="20"/>
        </w:rPr>
        <w:t>Members</w:t>
      </w:r>
      <w:r>
        <w:rPr>
          <w:spacing w:val="-12"/>
          <w:sz w:val="20"/>
        </w:rPr>
        <w:t> </w:t>
      </w:r>
      <w:r>
        <w:rPr>
          <w:spacing w:val="-2"/>
          <w:sz w:val="20"/>
        </w:rPr>
        <w:t>marked</w:t>
      </w:r>
      <w:r>
        <w:rPr>
          <w:spacing w:val="-12"/>
          <w:sz w:val="20"/>
        </w:rPr>
        <w:t> </w:t>
      </w:r>
      <w:r>
        <w:rPr>
          <w:spacing w:val="-2"/>
          <w:sz w:val="20"/>
        </w:rPr>
        <w:t>with</w:t>
      </w:r>
      <w:r>
        <w:rPr>
          <w:spacing w:val="-12"/>
          <w:sz w:val="20"/>
        </w:rPr>
        <w:t> </w:t>
      </w:r>
      <w:r>
        <w:rPr>
          <w:spacing w:val="-2"/>
          <w:sz w:val="20"/>
        </w:rPr>
        <w:t>a</w:t>
      </w:r>
      <w:r>
        <w:rPr>
          <w:spacing w:val="-9"/>
          <w:sz w:val="20"/>
        </w:rPr>
        <w:t> </w:t>
      </w:r>
      <w:r>
        <w:rPr>
          <w:b/>
          <w:spacing w:val="-2"/>
          <w:sz w:val="20"/>
        </w:rPr>
        <w:t>*</w:t>
      </w:r>
      <w:r>
        <w:rPr>
          <w:b/>
          <w:spacing w:val="-8"/>
          <w:sz w:val="20"/>
        </w:rPr>
        <w:t> </w:t>
      </w:r>
      <w:r>
        <w:rPr>
          <w:spacing w:val="-2"/>
          <w:sz w:val="20"/>
        </w:rPr>
        <w:t>can</w:t>
      </w:r>
      <w:r>
        <w:rPr>
          <w:spacing w:val="-11"/>
          <w:sz w:val="20"/>
        </w:rPr>
        <w:t> </w:t>
      </w:r>
      <w:r>
        <w:rPr>
          <w:spacing w:val="-2"/>
          <w:sz w:val="20"/>
        </w:rPr>
        <w:t>be</w:t>
      </w:r>
      <w:r>
        <w:rPr>
          <w:spacing w:val="-11"/>
          <w:sz w:val="20"/>
        </w:rPr>
        <w:t> </w:t>
      </w:r>
      <w:r>
        <w:rPr>
          <w:spacing w:val="-2"/>
          <w:sz w:val="20"/>
        </w:rPr>
        <w:t>represented</w:t>
      </w:r>
      <w:r>
        <w:rPr>
          <w:spacing w:val="-11"/>
          <w:sz w:val="20"/>
        </w:rPr>
        <w:t> </w:t>
      </w:r>
      <w:r>
        <w:rPr>
          <w:spacing w:val="-2"/>
          <w:sz w:val="20"/>
        </w:rPr>
        <w:t>by</w:t>
      </w:r>
      <w:r>
        <w:rPr>
          <w:spacing w:val="-9"/>
          <w:sz w:val="20"/>
        </w:rPr>
        <w:t> </w:t>
      </w:r>
      <w:r>
        <w:rPr>
          <w:spacing w:val="-2"/>
          <w:sz w:val="20"/>
        </w:rPr>
        <w:t>either</w:t>
      </w:r>
      <w:r>
        <w:rPr>
          <w:spacing w:val="-13"/>
          <w:sz w:val="20"/>
        </w:rPr>
        <w:t> </w:t>
      </w:r>
      <w:r>
        <w:rPr>
          <w:spacing w:val="-2"/>
          <w:sz w:val="20"/>
        </w:rPr>
        <w:t>Swansea</w:t>
      </w:r>
      <w:r>
        <w:rPr>
          <w:spacing w:val="-11"/>
          <w:sz w:val="20"/>
        </w:rPr>
        <w:t> </w:t>
      </w:r>
      <w:r>
        <w:rPr>
          <w:spacing w:val="-2"/>
          <w:sz w:val="20"/>
        </w:rPr>
        <w:t>Bay</w:t>
      </w:r>
      <w:r>
        <w:rPr>
          <w:spacing w:val="-9"/>
          <w:sz w:val="20"/>
        </w:rPr>
        <w:t> </w:t>
      </w:r>
      <w:r>
        <w:rPr>
          <w:spacing w:val="-2"/>
          <w:sz w:val="20"/>
        </w:rPr>
        <w:t>or</w:t>
      </w:r>
      <w:r>
        <w:rPr>
          <w:spacing w:val="-13"/>
          <w:sz w:val="20"/>
        </w:rPr>
        <w:t> </w:t>
      </w:r>
      <w:r>
        <w:rPr>
          <w:spacing w:val="-2"/>
          <w:sz w:val="20"/>
        </w:rPr>
        <w:t>Hywel</w:t>
      </w:r>
      <w:r>
        <w:rPr>
          <w:spacing w:val="-9"/>
          <w:sz w:val="20"/>
        </w:rPr>
        <w:t> </w:t>
      </w:r>
      <w:r>
        <w:rPr>
          <w:spacing w:val="-2"/>
          <w:sz w:val="20"/>
        </w:rPr>
        <w:t>Dda</w:t>
      </w:r>
      <w:r>
        <w:rPr>
          <w:spacing w:val="-11"/>
          <w:sz w:val="20"/>
        </w:rPr>
        <w:t> </w:t>
      </w:r>
      <w:r>
        <w:rPr>
          <w:spacing w:val="-2"/>
          <w:sz w:val="20"/>
        </w:rPr>
        <w:t>university</w:t>
      </w:r>
      <w:r>
        <w:rPr>
          <w:spacing w:val="-5"/>
          <w:sz w:val="20"/>
        </w:rPr>
        <w:t> </w:t>
      </w:r>
      <w:r>
        <w:rPr>
          <w:spacing w:val="-2"/>
          <w:sz w:val="20"/>
        </w:rPr>
        <w:t>health</w:t>
      </w:r>
      <w:r>
        <w:rPr>
          <w:spacing w:val="-6"/>
          <w:sz w:val="20"/>
        </w:rPr>
        <w:t> </w:t>
      </w:r>
      <w:r>
        <w:rPr>
          <w:spacing w:val="-2"/>
          <w:sz w:val="20"/>
        </w:rPr>
        <w:t>board</w:t>
      </w:r>
      <w:r>
        <w:rPr>
          <w:spacing w:val="-11"/>
          <w:sz w:val="20"/>
        </w:rPr>
        <w:t> </w:t>
      </w:r>
      <w:r>
        <w:rPr>
          <w:spacing w:val="-2"/>
          <w:sz w:val="20"/>
        </w:rPr>
        <w:t>colleagues, </w:t>
      </w:r>
      <w:r>
        <w:rPr>
          <w:sz w:val="20"/>
        </w:rPr>
        <w:t>rather than both.</w:t>
      </w:r>
    </w:p>
    <w:p>
      <w:pPr>
        <w:pStyle w:val="ListParagraph"/>
        <w:numPr>
          <w:ilvl w:val="1"/>
          <w:numId w:val="62"/>
        </w:numPr>
        <w:tabs>
          <w:tab w:pos="852" w:val="left" w:leader="none"/>
        </w:tabs>
        <w:spacing w:line="242" w:lineRule="auto" w:before="158" w:after="0"/>
        <w:ind w:left="852" w:right="959" w:hanging="710"/>
        <w:jc w:val="left"/>
        <w:rPr>
          <w:sz w:val="24"/>
        </w:rPr>
      </w:pPr>
      <w:r>
        <w:rPr>
          <w:spacing w:val="-2"/>
          <w:sz w:val="24"/>
        </w:rPr>
        <w:t>The</w:t>
      </w:r>
      <w:r>
        <w:rPr>
          <w:spacing w:val="-14"/>
          <w:sz w:val="24"/>
        </w:rPr>
        <w:t> </w:t>
      </w:r>
      <w:r>
        <w:rPr>
          <w:spacing w:val="-2"/>
          <w:sz w:val="24"/>
        </w:rPr>
        <w:t>Regional</w:t>
      </w:r>
      <w:r>
        <w:rPr>
          <w:spacing w:val="-12"/>
          <w:sz w:val="24"/>
        </w:rPr>
        <w:t> </w:t>
      </w:r>
      <w:r>
        <w:rPr>
          <w:spacing w:val="-2"/>
          <w:sz w:val="24"/>
        </w:rPr>
        <w:t>Research,</w:t>
      </w:r>
      <w:r>
        <w:rPr>
          <w:spacing w:val="-12"/>
          <w:sz w:val="24"/>
        </w:rPr>
        <w:t> </w:t>
      </w:r>
      <w:r>
        <w:rPr>
          <w:spacing w:val="-2"/>
          <w:sz w:val="24"/>
        </w:rPr>
        <w:t>Innovation</w:t>
      </w:r>
      <w:r>
        <w:rPr>
          <w:spacing w:val="-13"/>
          <w:sz w:val="24"/>
        </w:rPr>
        <w:t> </w:t>
      </w:r>
      <w:r>
        <w:rPr>
          <w:spacing w:val="-2"/>
          <w:sz w:val="24"/>
        </w:rPr>
        <w:t>and</w:t>
      </w:r>
      <w:r>
        <w:rPr>
          <w:spacing w:val="-13"/>
          <w:sz w:val="24"/>
        </w:rPr>
        <w:t> </w:t>
      </w:r>
      <w:r>
        <w:rPr>
          <w:spacing w:val="-2"/>
          <w:sz w:val="24"/>
        </w:rPr>
        <w:t>Excellence</w:t>
      </w:r>
      <w:r>
        <w:rPr>
          <w:spacing w:val="-13"/>
          <w:sz w:val="24"/>
        </w:rPr>
        <w:t> </w:t>
      </w:r>
      <w:r>
        <w:rPr>
          <w:spacing w:val="-2"/>
          <w:sz w:val="24"/>
        </w:rPr>
        <w:t>Subgroup</w:t>
      </w:r>
      <w:r>
        <w:rPr>
          <w:spacing w:val="-13"/>
          <w:sz w:val="24"/>
        </w:rPr>
        <w:t> </w:t>
      </w:r>
      <w:r>
        <w:rPr>
          <w:spacing w:val="-2"/>
          <w:sz w:val="24"/>
        </w:rPr>
        <w:t>will</w:t>
      </w:r>
      <w:r>
        <w:rPr>
          <w:spacing w:val="-15"/>
          <w:sz w:val="24"/>
        </w:rPr>
        <w:t> </w:t>
      </w:r>
      <w:r>
        <w:rPr>
          <w:spacing w:val="-2"/>
          <w:sz w:val="24"/>
        </w:rPr>
        <w:t>be</w:t>
      </w:r>
      <w:r>
        <w:rPr>
          <w:spacing w:val="-11"/>
          <w:sz w:val="24"/>
        </w:rPr>
        <w:t> </w:t>
      </w:r>
      <w:r>
        <w:rPr>
          <w:spacing w:val="-2"/>
          <w:sz w:val="24"/>
        </w:rPr>
        <w:t>co-chaired</w:t>
      </w:r>
      <w:r>
        <w:rPr>
          <w:spacing w:val="-13"/>
          <w:sz w:val="24"/>
        </w:rPr>
        <w:t> </w:t>
      </w:r>
      <w:r>
        <w:rPr>
          <w:spacing w:val="-2"/>
          <w:sz w:val="24"/>
        </w:rPr>
        <w:t>by</w:t>
      </w:r>
      <w:r>
        <w:rPr>
          <w:spacing w:val="-13"/>
          <w:sz w:val="24"/>
        </w:rPr>
        <w:t> </w:t>
      </w:r>
      <w:r>
        <w:rPr>
          <w:spacing w:val="-2"/>
          <w:sz w:val="24"/>
        </w:rPr>
        <w:t>the </w:t>
      </w:r>
      <w:r>
        <w:rPr>
          <w:sz w:val="24"/>
        </w:rPr>
        <w:t>Executive</w:t>
      </w:r>
      <w:r>
        <w:rPr>
          <w:spacing w:val="-17"/>
          <w:sz w:val="24"/>
        </w:rPr>
        <w:t> </w:t>
      </w:r>
      <w:r>
        <w:rPr>
          <w:sz w:val="24"/>
        </w:rPr>
        <w:t>Medical</w:t>
      </w:r>
      <w:r>
        <w:rPr>
          <w:spacing w:val="-17"/>
          <w:sz w:val="24"/>
        </w:rPr>
        <w:t> </w:t>
      </w:r>
      <w:r>
        <w:rPr>
          <w:sz w:val="24"/>
        </w:rPr>
        <w:t>Directors/chairing</w:t>
      </w:r>
      <w:r>
        <w:rPr>
          <w:spacing w:val="-16"/>
          <w:sz w:val="24"/>
        </w:rPr>
        <w:t> </w:t>
      </w:r>
      <w:r>
        <w:rPr>
          <w:sz w:val="24"/>
        </w:rPr>
        <w:t>shall</w:t>
      </w:r>
      <w:r>
        <w:rPr>
          <w:spacing w:val="-17"/>
          <w:sz w:val="24"/>
        </w:rPr>
        <w:t> </w:t>
      </w:r>
      <w:r>
        <w:rPr>
          <w:sz w:val="24"/>
        </w:rPr>
        <w:t>rotate</w:t>
      </w:r>
      <w:r>
        <w:rPr>
          <w:spacing w:val="-13"/>
          <w:sz w:val="24"/>
        </w:rPr>
        <w:t> </w:t>
      </w:r>
      <w:r>
        <w:rPr>
          <w:sz w:val="24"/>
        </w:rPr>
        <w:t>between</w:t>
      </w:r>
      <w:r>
        <w:rPr>
          <w:spacing w:val="-16"/>
          <w:sz w:val="24"/>
        </w:rPr>
        <w:t> </w:t>
      </w:r>
      <w:r>
        <w:rPr>
          <w:sz w:val="24"/>
        </w:rPr>
        <w:t>partner</w:t>
      </w:r>
      <w:r>
        <w:rPr>
          <w:spacing w:val="-17"/>
          <w:sz w:val="24"/>
        </w:rPr>
        <w:t> </w:t>
      </w:r>
      <w:r>
        <w:rPr>
          <w:sz w:val="24"/>
        </w:rPr>
        <w:t>organisations</w:t>
      </w:r>
      <w:r>
        <w:rPr>
          <w:spacing w:val="-17"/>
          <w:sz w:val="24"/>
        </w:rPr>
        <w:t> </w:t>
      </w:r>
      <w:r>
        <w:rPr>
          <w:sz w:val="24"/>
        </w:rPr>
        <w:t>on</w:t>
      </w:r>
      <w:r>
        <w:rPr>
          <w:spacing w:val="-16"/>
          <w:sz w:val="24"/>
        </w:rPr>
        <w:t> </w:t>
      </w:r>
      <w:r>
        <w:rPr>
          <w:sz w:val="24"/>
        </w:rPr>
        <w:t>an annual basis unless otherwise agreed.</w:t>
      </w:r>
    </w:p>
    <w:p>
      <w:pPr>
        <w:pStyle w:val="ListParagraph"/>
        <w:numPr>
          <w:ilvl w:val="1"/>
          <w:numId w:val="62"/>
        </w:numPr>
        <w:tabs>
          <w:tab w:pos="852" w:val="left" w:leader="none"/>
        </w:tabs>
        <w:spacing w:line="240" w:lineRule="auto" w:before="154" w:after="0"/>
        <w:ind w:left="852" w:right="1280" w:hanging="710"/>
        <w:jc w:val="left"/>
        <w:rPr>
          <w:sz w:val="24"/>
        </w:rPr>
      </w:pPr>
      <w:r>
        <w:rPr>
          <w:spacing w:val="-2"/>
          <w:sz w:val="24"/>
        </w:rPr>
        <w:t>Membership</w:t>
      </w:r>
      <w:r>
        <w:rPr>
          <w:spacing w:val="-15"/>
          <w:sz w:val="24"/>
        </w:rPr>
        <w:t> </w:t>
      </w:r>
      <w:r>
        <w:rPr>
          <w:spacing w:val="-2"/>
          <w:sz w:val="24"/>
        </w:rPr>
        <w:t>of</w:t>
      </w:r>
      <w:r>
        <w:rPr>
          <w:spacing w:val="-15"/>
          <w:sz w:val="24"/>
        </w:rPr>
        <w:t> </w:t>
      </w:r>
      <w:r>
        <w:rPr>
          <w:spacing w:val="-2"/>
          <w:sz w:val="24"/>
        </w:rPr>
        <w:t>the</w:t>
      </w:r>
      <w:r>
        <w:rPr>
          <w:spacing w:val="-11"/>
          <w:sz w:val="24"/>
        </w:rPr>
        <w:t> </w:t>
      </w:r>
      <w:r>
        <w:rPr>
          <w:spacing w:val="-2"/>
          <w:sz w:val="24"/>
        </w:rPr>
        <w:t>Regional</w:t>
      </w:r>
      <w:r>
        <w:rPr>
          <w:spacing w:val="-13"/>
          <w:sz w:val="24"/>
        </w:rPr>
        <w:t> </w:t>
      </w:r>
      <w:r>
        <w:rPr>
          <w:spacing w:val="-2"/>
          <w:sz w:val="24"/>
        </w:rPr>
        <w:t>Research,</w:t>
      </w:r>
      <w:r>
        <w:rPr>
          <w:spacing w:val="-15"/>
          <w:sz w:val="24"/>
        </w:rPr>
        <w:t> </w:t>
      </w:r>
      <w:r>
        <w:rPr>
          <w:spacing w:val="-2"/>
          <w:sz w:val="24"/>
        </w:rPr>
        <w:t>Innovation</w:t>
      </w:r>
      <w:r>
        <w:rPr>
          <w:spacing w:val="-15"/>
          <w:sz w:val="24"/>
        </w:rPr>
        <w:t> </w:t>
      </w:r>
      <w:r>
        <w:rPr>
          <w:spacing w:val="-2"/>
          <w:sz w:val="24"/>
        </w:rPr>
        <w:t>and</w:t>
      </w:r>
      <w:r>
        <w:rPr>
          <w:spacing w:val="-12"/>
          <w:sz w:val="24"/>
        </w:rPr>
        <w:t> </w:t>
      </w:r>
      <w:r>
        <w:rPr>
          <w:spacing w:val="-2"/>
          <w:sz w:val="24"/>
        </w:rPr>
        <w:t>Excellence</w:t>
      </w:r>
      <w:r>
        <w:rPr>
          <w:spacing w:val="-13"/>
          <w:sz w:val="24"/>
        </w:rPr>
        <w:t> </w:t>
      </w:r>
      <w:r>
        <w:rPr>
          <w:spacing w:val="-2"/>
          <w:sz w:val="24"/>
        </w:rPr>
        <w:t>Subgroup</w:t>
      </w:r>
      <w:r>
        <w:rPr>
          <w:spacing w:val="-10"/>
          <w:sz w:val="24"/>
        </w:rPr>
        <w:t> </w:t>
      </w:r>
      <w:r>
        <w:rPr>
          <w:spacing w:val="-2"/>
          <w:sz w:val="24"/>
        </w:rPr>
        <w:t>will</w:t>
      </w:r>
      <w:r>
        <w:rPr>
          <w:spacing w:val="-13"/>
          <w:sz w:val="24"/>
        </w:rPr>
        <w:t> </w:t>
      </w:r>
      <w:r>
        <w:rPr>
          <w:spacing w:val="-2"/>
          <w:sz w:val="24"/>
        </w:rPr>
        <w:t>be </w:t>
      </w:r>
      <w:r>
        <w:rPr>
          <w:sz w:val="24"/>
        </w:rPr>
        <w:t>reviewed on an annual basis.</w:t>
      </w:r>
    </w:p>
    <w:p>
      <w:pPr>
        <w:pStyle w:val="ListParagraph"/>
        <w:numPr>
          <w:ilvl w:val="1"/>
          <w:numId w:val="62"/>
        </w:numPr>
        <w:tabs>
          <w:tab w:pos="852" w:val="left" w:leader="none"/>
        </w:tabs>
        <w:spacing w:line="242" w:lineRule="auto" w:before="158" w:after="0"/>
        <w:ind w:left="852" w:right="1204" w:hanging="710"/>
        <w:jc w:val="left"/>
        <w:rPr>
          <w:sz w:val="24"/>
        </w:rPr>
      </w:pPr>
      <w:r>
        <w:rPr>
          <w:spacing w:val="-2"/>
          <w:sz w:val="24"/>
        </w:rPr>
        <w:t>The</w:t>
      </w:r>
      <w:r>
        <w:rPr>
          <w:spacing w:val="-14"/>
          <w:sz w:val="24"/>
        </w:rPr>
        <w:t> </w:t>
      </w:r>
      <w:r>
        <w:rPr>
          <w:spacing w:val="-2"/>
          <w:sz w:val="24"/>
        </w:rPr>
        <w:t>Regional</w:t>
      </w:r>
      <w:r>
        <w:rPr>
          <w:spacing w:val="-11"/>
          <w:sz w:val="24"/>
        </w:rPr>
        <w:t> </w:t>
      </w:r>
      <w:r>
        <w:rPr>
          <w:spacing w:val="-2"/>
          <w:sz w:val="24"/>
        </w:rPr>
        <w:t>Research,</w:t>
      </w:r>
      <w:r>
        <w:rPr>
          <w:spacing w:val="-11"/>
          <w:sz w:val="24"/>
        </w:rPr>
        <w:t> </w:t>
      </w:r>
      <w:r>
        <w:rPr>
          <w:spacing w:val="-2"/>
          <w:sz w:val="24"/>
        </w:rPr>
        <w:t>Innovation</w:t>
      </w:r>
      <w:r>
        <w:rPr>
          <w:spacing w:val="-12"/>
          <w:sz w:val="24"/>
        </w:rPr>
        <w:t> </w:t>
      </w:r>
      <w:r>
        <w:rPr>
          <w:spacing w:val="-2"/>
          <w:sz w:val="24"/>
        </w:rPr>
        <w:t>and</w:t>
      </w:r>
      <w:r>
        <w:rPr>
          <w:spacing w:val="-12"/>
          <w:sz w:val="24"/>
        </w:rPr>
        <w:t> </w:t>
      </w:r>
      <w:r>
        <w:rPr>
          <w:spacing w:val="-2"/>
          <w:sz w:val="24"/>
        </w:rPr>
        <w:t>Excellence</w:t>
      </w:r>
      <w:r>
        <w:rPr>
          <w:spacing w:val="-12"/>
          <w:sz w:val="24"/>
        </w:rPr>
        <w:t> </w:t>
      </w:r>
      <w:r>
        <w:rPr>
          <w:spacing w:val="-2"/>
          <w:sz w:val="24"/>
        </w:rPr>
        <w:t>Subgroup</w:t>
      </w:r>
      <w:r>
        <w:rPr>
          <w:spacing w:val="-12"/>
          <w:sz w:val="24"/>
        </w:rPr>
        <w:t> </w:t>
      </w:r>
      <w:r>
        <w:rPr>
          <w:spacing w:val="-2"/>
          <w:sz w:val="24"/>
        </w:rPr>
        <w:t>will</w:t>
      </w:r>
      <w:r>
        <w:rPr>
          <w:spacing w:val="-15"/>
          <w:sz w:val="24"/>
        </w:rPr>
        <w:t> </w:t>
      </w:r>
      <w:r>
        <w:rPr>
          <w:spacing w:val="-2"/>
          <w:sz w:val="24"/>
        </w:rPr>
        <w:t>be</w:t>
      </w:r>
      <w:r>
        <w:rPr>
          <w:spacing w:val="-12"/>
          <w:sz w:val="24"/>
        </w:rPr>
        <w:t> </w:t>
      </w:r>
      <w:r>
        <w:rPr>
          <w:spacing w:val="-2"/>
          <w:sz w:val="24"/>
        </w:rPr>
        <w:t>supported</w:t>
      </w:r>
      <w:r>
        <w:rPr>
          <w:spacing w:val="-12"/>
          <w:sz w:val="24"/>
        </w:rPr>
        <w:t> </w:t>
      </w:r>
      <w:r>
        <w:rPr>
          <w:spacing w:val="-2"/>
          <w:sz w:val="24"/>
        </w:rPr>
        <w:t>by</w:t>
      </w:r>
      <w:r>
        <w:rPr>
          <w:spacing w:val="-15"/>
          <w:sz w:val="24"/>
        </w:rPr>
        <w:t> </w:t>
      </w:r>
      <w:r>
        <w:rPr>
          <w:spacing w:val="-2"/>
          <w:sz w:val="24"/>
        </w:rPr>
        <w:t>a </w:t>
      </w:r>
      <w:r>
        <w:rPr>
          <w:sz w:val="24"/>
        </w:rPr>
        <w:t>Secretary nominated through the</w:t>
      </w:r>
      <w:r>
        <w:rPr>
          <w:spacing w:val="-1"/>
          <w:sz w:val="24"/>
        </w:rPr>
        <w:t> </w:t>
      </w:r>
      <w:r>
        <w:rPr>
          <w:sz w:val="24"/>
        </w:rPr>
        <w:t>Co-Chairs.</w:t>
      </w:r>
    </w:p>
    <w:p>
      <w:pPr>
        <w:pStyle w:val="BodyText"/>
        <w:spacing w:before="5"/>
        <w:rPr>
          <w:sz w:val="16"/>
        </w:rPr>
      </w:pPr>
      <w:r>
        <w:rPr>
          <w:sz w:val="16"/>
        </w:rPr>
        <mc:AlternateContent>
          <mc:Choice Requires="wps">
            <w:drawing>
              <wp:anchor distT="0" distB="0" distL="0" distR="0" allowOverlap="1" layoutInCell="1" locked="0" behindDoc="1" simplePos="0" relativeHeight="487675904">
                <wp:simplePos x="0" y="0"/>
                <wp:positionH relativeFrom="page">
                  <wp:posOffset>574992</wp:posOffset>
                </wp:positionH>
                <wp:positionV relativeFrom="paragraph">
                  <wp:posOffset>141620</wp:posOffset>
                </wp:positionV>
                <wp:extent cx="6642100" cy="193675"/>
                <wp:effectExtent l="0" t="0" r="0" b="0"/>
                <wp:wrapTopAndBottom/>
                <wp:docPr id="497" name="Textbox 497"/>
                <wp:cNvGraphicFramePr>
                  <a:graphicFrameLocks/>
                </wp:cNvGraphicFramePr>
                <a:graphic>
                  <a:graphicData uri="http://schemas.microsoft.com/office/word/2010/wordprocessingShape">
                    <wps:wsp>
                      <wps:cNvPr id="497" name="Textbox 497"/>
                      <wps:cNvSpPr txBox="1"/>
                      <wps:spPr>
                        <a:xfrm>
                          <a:off x="0" y="0"/>
                          <a:ext cx="6642100" cy="193675"/>
                        </a:xfrm>
                        <a:prstGeom prst="rect">
                          <a:avLst/>
                        </a:prstGeom>
                        <a:solidFill>
                          <a:srgbClr val="C1A875"/>
                        </a:solidFill>
                        <a:ln w="12700">
                          <a:solidFill>
                            <a:srgbClr val="394871"/>
                          </a:solidFill>
                          <a:prstDash val="solid"/>
                        </a:ln>
                      </wps:spPr>
                      <wps:txbx>
                        <w:txbxContent>
                          <w:p>
                            <w:pPr>
                              <w:tabs>
                                <w:tab w:pos="454" w:val="left" w:leader="none"/>
                              </w:tabs>
                              <w:spacing w:line="276" w:lineRule="exact" w:before="0"/>
                              <w:ind w:left="95" w:right="0" w:firstLine="0"/>
                              <w:jc w:val="left"/>
                              <w:rPr>
                                <w:b/>
                                <w:color w:val="000000"/>
                                <w:sz w:val="24"/>
                              </w:rPr>
                            </w:pPr>
                            <w:r>
                              <w:rPr>
                                <w:b/>
                                <w:color w:val="000000"/>
                                <w:spacing w:val="-10"/>
                                <w:sz w:val="24"/>
                              </w:rPr>
                              <w:t>7</w:t>
                            </w:r>
                            <w:r>
                              <w:rPr>
                                <w:b/>
                                <w:color w:val="000000"/>
                                <w:sz w:val="24"/>
                              </w:rPr>
                              <w:tab/>
                              <w:t>Quorum</w:t>
                            </w:r>
                            <w:r>
                              <w:rPr>
                                <w:b/>
                                <w:color w:val="000000"/>
                                <w:spacing w:val="-4"/>
                                <w:sz w:val="24"/>
                              </w:rPr>
                              <w:t> </w:t>
                            </w:r>
                            <w:r>
                              <w:rPr>
                                <w:b/>
                                <w:color w:val="000000"/>
                                <w:sz w:val="24"/>
                              </w:rPr>
                              <w:t>and</w:t>
                            </w:r>
                            <w:r>
                              <w:rPr>
                                <w:b/>
                                <w:color w:val="000000"/>
                                <w:spacing w:val="-3"/>
                                <w:sz w:val="24"/>
                              </w:rPr>
                              <w:t> </w:t>
                            </w:r>
                            <w:r>
                              <w:rPr>
                                <w:b/>
                                <w:color w:val="000000"/>
                                <w:spacing w:val="-2"/>
                                <w:sz w:val="24"/>
                              </w:rPr>
                              <w:t>Attendance</w:t>
                            </w:r>
                          </w:p>
                        </w:txbxContent>
                      </wps:txbx>
                      <wps:bodyPr wrap="square" lIns="0" tIns="0" rIns="0" bIns="0" rtlCol="0">
                        <a:noAutofit/>
                      </wps:bodyPr>
                    </wps:wsp>
                  </a:graphicData>
                </a:graphic>
              </wp:anchor>
            </w:drawing>
          </mc:Choice>
          <mc:Fallback>
            <w:pict>
              <v:shape style="position:absolute;margin-left:45.275002pt;margin-top:11.151192pt;width:523pt;height:15.25pt;mso-position-horizontal-relative:page;mso-position-vertical-relative:paragraph;z-index:-15640576;mso-wrap-distance-left:0;mso-wrap-distance-right:0" type="#_x0000_t202" id="docshape276" filled="true" fillcolor="#c1a875" stroked="true" strokeweight="1pt" strokecolor="#394871">
                <v:textbox inset="0,0,0,0">
                  <w:txbxContent>
                    <w:p>
                      <w:pPr>
                        <w:tabs>
                          <w:tab w:pos="454" w:val="left" w:leader="none"/>
                        </w:tabs>
                        <w:spacing w:line="276" w:lineRule="exact" w:before="0"/>
                        <w:ind w:left="95" w:right="0" w:firstLine="0"/>
                        <w:jc w:val="left"/>
                        <w:rPr>
                          <w:b/>
                          <w:color w:val="000000"/>
                          <w:sz w:val="24"/>
                        </w:rPr>
                      </w:pPr>
                      <w:r>
                        <w:rPr>
                          <w:b/>
                          <w:color w:val="000000"/>
                          <w:spacing w:val="-10"/>
                          <w:sz w:val="24"/>
                        </w:rPr>
                        <w:t>7</w:t>
                      </w:r>
                      <w:r>
                        <w:rPr>
                          <w:b/>
                          <w:color w:val="000000"/>
                          <w:sz w:val="24"/>
                        </w:rPr>
                        <w:tab/>
                        <w:t>Quorum</w:t>
                      </w:r>
                      <w:r>
                        <w:rPr>
                          <w:b/>
                          <w:color w:val="000000"/>
                          <w:spacing w:val="-4"/>
                          <w:sz w:val="24"/>
                        </w:rPr>
                        <w:t> </w:t>
                      </w:r>
                      <w:r>
                        <w:rPr>
                          <w:b/>
                          <w:color w:val="000000"/>
                          <w:sz w:val="24"/>
                        </w:rPr>
                        <w:t>and</w:t>
                      </w:r>
                      <w:r>
                        <w:rPr>
                          <w:b/>
                          <w:color w:val="000000"/>
                          <w:spacing w:val="-3"/>
                          <w:sz w:val="24"/>
                        </w:rPr>
                        <w:t> </w:t>
                      </w:r>
                      <w:r>
                        <w:rPr>
                          <w:b/>
                          <w:color w:val="000000"/>
                          <w:spacing w:val="-2"/>
                          <w:sz w:val="24"/>
                        </w:rPr>
                        <w:t>Attendance</w:t>
                      </w:r>
                    </w:p>
                  </w:txbxContent>
                </v:textbox>
                <v:fill type="solid"/>
                <v:stroke dashstyle="solid"/>
                <w10:wrap type="topAndBottom"/>
              </v:shape>
            </w:pict>
          </mc:Fallback>
        </mc:AlternateContent>
      </w:r>
    </w:p>
    <w:p>
      <w:pPr>
        <w:pStyle w:val="BodyText"/>
        <w:spacing w:before="144"/>
      </w:pPr>
    </w:p>
    <w:p>
      <w:pPr>
        <w:pStyle w:val="ListParagraph"/>
        <w:numPr>
          <w:ilvl w:val="1"/>
          <w:numId w:val="63"/>
        </w:numPr>
        <w:tabs>
          <w:tab w:pos="852" w:val="left" w:leader="none"/>
        </w:tabs>
        <w:spacing w:line="242" w:lineRule="auto" w:before="0" w:after="0"/>
        <w:ind w:left="852" w:right="717" w:hanging="710"/>
        <w:jc w:val="left"/>
        <w:rPr>
          <w:sz w:val="24"/>
        </w:rPr>
      </w:pPr>
      <w:r>
        <w:rPr>
          <w:sz w:val="24"/>
        </w:rPr>
        <w:t>A</w:t>
      </w:r>
      <w:r>
        <w:rPr>
          <w:spacing w:val="-14"/>
          <w:sz w:val="24"/>
        </w:rPr>
        <w:t> </w:t>
      </w:r>
      <w:r>
        <w:rPr>
          <w:sz w:val="24"/>
        </w:rPr>
        <w:t>quorum</w:t>
      </w:r>
      <w:r>
        <w:rPr>
          <w:spacing w:val="-10"/>
          <w:sz w:val="24"/>
        </w:rPr>
        <w:t> </w:t>
      </w:r>
      <w:r>
        <w:rPr>
          <w:sz w:val="24"/>
        </w:rPr>
        <w:t>will</w:t>
      </w:r>
      <w:r>
        <w:rPr>
          <w:spacing w:val="-9"/>
          <w:sz w:val="24"/>
        </w:rPr>
        <w:t> </w:t>
      </w:r>
      <w:r>
        <w:rPr>
          <w:sz w:val="24"/>
        </w:rPr>
        <w:t>be</w:t>
      </w:r>
      <w:r>
        <w:rPr>
          <w:spacing w:val="-9"/>
          <w:sz w:val="24"/>
        </w:rPr>
        <w:t> </w:t>
      </w:r>
      <w:r>
        <w:rPr>
          <w:sz w:val="24"/>
        </w:rPr>
        <w:t>achieved</w:t>
      </w:r>
      <w:r>
        <w:rPr>
          <w:spacing w:val="-9"/>
          <w:sz w:val="24"/>
        </w:rPr>
        <w:t> </w:t>
      </w:r>
      <w:r>
        <w:rPr>
          <w:sz w:val="24"/>
        </w:rPr>
        <w:t>by</w:t>
      </w:r>
      <w:r>
        <w:rPr>
          <w:spacing w:val="-10"/>
          <w:sz w:val="24"/>
        </w:rPr>
        <w:t> </w:t>
      </w:r>
      <w:r>
        <w:rPr>
          <w:sz w:val="24"/>
        </w:rPr>
        <w:t>four</w:t>
      </w:r>
      <w:r>
        <w:rPr>
          <w:spacing w:val="-10"/>
          <w:sz w:val="24"/>
        </w:rPr>
        <w:t> </w:t>
      </w:r>
      <w:r>
        <w:rPr>
          <w:sz w:val="24"/>
        </w:rPr>
        <w:t>members,</w:t>
      </w:r>
      <w:r>
        <w:rPr>
          <w:spacing w:val="-12"/>
          <w:sz w:val="24"/>
        </w:rPr>
        <w:t> </w:t>
      </w:r>
      <w:r>
        <w:rPr>
          <w:sz w:val="24"/>
        </w:rPr>
        <w:t>which</w:t>
      </w:r>
      <w:r>
        <w:rPr>
          <w:spacing w:val="-9"/>
          <w:sz w:val="24"/>
        </w:rPr>
        <w:t> </w:t>
      </w:r>
      <w:r>
        <w:rPr>
          <w:sz w:val="24"/>
        </w:rPr>
        <w:t>must</w:t>
      </w:r>
      <w:r>
        <w:rPr>
          <w:spacing w:val="-12"/>
          <w:sz w:val="24"/>
        </w:rPr>
        <w:t> </w:t>
      </w:r>
      <w:r>
        <w:rPr>
          <w:sz w:val="24"/>
        </w:rPr>
        <w:t>include</w:t>
      </w:r>
      <w:r>
        <w:rPr>
          <w:spacing w:val="-9"/>
          <w:sz w:val="24"/>
        </w:rPr>
        <w:t> </w:t>
      </w:r>
      <w:r>
        <w:rPr>
          <w:sz w:val="24"/>
        </w:rPr>
        <w:t>one</w:t>
      </w:r>
      <w:r>
        <w:rPr>
          <w:spacing w:val="-13"/>
          <w:sz w:val="24"/>
        </w:rPr>
        <w:t> </w:t>
      </w:r>
      <w:r>
        <w:rPr>
          <w:sz w:val="24"/>
        </w:rPr>
        <w:t>of</w:t>
      </w:r>
      <w:r>
        <w:rPr>
          <w:spacing w:val="-7"/>
          <w:sz w:val="24"/>
        </w:rPr>
        <w:t> </w:t>
      </w:r>
      <w:r>
        <w:rPr>
          <w:sz w:val="24"/>
        </w:rPr>
        <w:t>the</w:t>
      </w:r>
      <w:r>
        <w:rPr>
          <w:spacing w:val="-9"/>
          <w:sz w:val="24"/>
        </w:rPr>
        <w:t> </w:t>
      </w:r>
      <w:r>
        <w:rPr>
          <w:sz w:val="24"/>
        </w:rPr>
        <w:t>Executive </w:t>
      </w:r>
      <w:r>
        <w:rPr>
          <w:spacing w:val="-2"/>
          <w:sz w:val="24"/>
        </w:rPr>
        <w:t>Medical</w:t>
      </w:r>
      <w:r>
        <w:rPr>
          <w:spacing w:val="-13"/>
          <w:sz w:val="24"/>
        </w:rPr>
        <w:t> </w:t>
      </w:r>
      <w:r>
        <w:rPr>
          <w:spacing w:val="-2"/>
          <w:sz w:val="24"/>
        </w:rPr>
        <w:t>Directors,</w:t>
      </w:r>
      <w:r>
        <w:rPr>
          <w:spacing w:val="-15"/>
          <w:sz w:val="24"/>
        </w:rPr>
        <w:t> </w:t>
      </w:r>
      <w:r>
        <w:rPr>
          <w:spacing w:val="-2"/>
          <w:sz w:val="24"/>
        </w:rPr>
        <w:t>and</w:t>
      </w:r>
      <w:r>
        <w:rPr>
          <w:spacing w:val="-12"/>
          <w:sz w:val="24"/>
        </w:rPr>
        <w:t> </w:t>
      </w:r>
      <w:r>
        <w:rPr>
          <w:spacing w:val="-2"/>
          <w:sz w:val="24"/>
        </w:rPr>
        <w:t>a</w:t>
      </w:r>
      <w:r>
        <w:rPr>
          <w:spacing w:val="-13"/>
          <w:sz w:val="24"/>
        </w:rPr>
        <w:t> </w:t>
      </w:r>
      <w:r>
        <w:rPr>
          <w:spacing w:val="-2"/>
          <w:sz w:val="24"/>
        </w:rPr>
        <w:t>representative</w:t>
      </w:r>
      <w:r>
        <w:rPr>
          <w:spacing w:val="-13"/>
          <w:sz w:val="24"/>
        </w:rPr>
        <w:t> </w:t>
      </w:r>
      <w:r>
        <w:rPr>
          <w:spacing w:val="-2"/>
          <w:sz w:val="24"/>
        </w:rPr>
        <w:t>of</w:t>
      </w:r>
      <w:r>
        <w:rPr>
          <w:spacing w:val="-15"/>
          <w:sz w:val="24"/>
        </w:rPr>
        <w:t> </w:t>
      </w:r>
      <w:r>
        <w:rPr>
          <w:spacing w:val="-2"/>
          <w:sz w:val="24"/>
        </w:rPr>
        <w:t>both</w:t>
      </w:r>
      <w:r>
        <w:rPr>
          <w:spacing w:val="-12"/>
          <w:sz w:val="24"/>
        </w:rPr>
        <w:t> </w:t>
      </w:r>
      <w:r>
        <w:rPr>
          <w:spacing w:val="-2"/>
          <w:sz w:val="24"/>
        </w:rPr>
        <w:t>health</w:t>
      </w:r>
      <w:r>
        <w:rPr>
          <w:spacing w:val="-13"/>
          <w:sz w:val="24"/>
        </w:rPr>
        <w:t> </w:t>
      </w:r>
      <w:r>
        <w:rPr>
          <w:spacing w:val="-2"/>
          <w:sz w:val="24"/>
        </w:rPr>
        <w:t>boards’</w:t>
      </w:r>
      <w:r>
        <w:rPr>
          <w:spacing w:val="-13"/>
          <w:sz w:val="24"/>
        </w:rPr>
        <w:t> </w:t>
      </w:r>
      <w:r>
        <w:rPr>
          <w:spacing w:val="-2"/>
          <w:sz w:val="24"/>
        </w:rPr>
        <w:t>research</w:t>
      </w:r>
      <w:r>
        <w:rPr>
          <w:spacing w:val="-13"/>
          <w:sz w:val="24"/>
        </w:rPr>
        <w:t> </w:t>
      </w:r>
      <w:r>
        <w:rPr>
          <w:spacing w:val="-2"/>
          <w:sz w:val="24"/>
        </w:rPr>
        <w:t>and</w:t>
      </w:r>
      <w:r>
        <w:rPr>
          <w:spacing w:val="-13"/>
          <w:sz w:val="24"/>
        </w:rPr>
        <w:t> </w:t>
      </w:r>
      <w:r>
        <w:rPr>
          <w:spacing w:val="-2"/>
          <w:sz w:val="24"/>
        </w:rPr>
        <w:t>development teams.</w:t>
      </w:r>
    </w:p>
    <w:p>
      <w:pPr>
        <w:pStyle w:val="ListParagraph"/>
        <w:numPr>
          <w:ilvl w:val="1"/>
          <w:numId w:val="63"/>
        </w:numPr>
        <w:tabs>
          <w:tab w:pos="852" w:val="left" w:leader="none"/>
        </w:tabs>
        <w:spacing w:line="240" w:lineRule="auto" w:before="154" w:after="0"/>
        <w:ind w:left="852" w:right="716" w:hanging="710"/>
        <w:jc w:val="left"/>
        <w:rPr>
          <w:sz w:val="24"/>
        </w:rPr>
      </w:pPr>
      <w:r>
        <w:rPr>
          <w:spacing w:val="-2"/>
          <w:sz w:val="24"/>
        </w:rPr>
        <w:t>All</w:t>
      </w:r>
      <w:r>
        <w:rPr>
          <w:spacing w:val="-11"/>
          <w:sz w:val="24"/>
        </w:rPr>
        <w:t> </w:t>
      </w:r>
      <w:r>
        <w:rPr>
          <w:spacing w:val="-2"/>
          <w:sz w:val="24"/>
        </w:rPr>
        <w:t>members</w:t>
      </w:r>
      <w:r>
        <w:rPr>
          <w:spacing w:val="-11"/>
          <w:sz w:val="24"/>
        </w:rPr>
        <w:t> </w:t>
      </w:r>
      <w:r>
        <w:rPr>
          <w:spacing w:val="-2"/>
          <w:sz w:val="24"/>
        </w:rPr>
        <w:t>should</w:t>
      </w:r>
      <w:r>
        <w:rPr>
          <w:spacing w:val="-10"/>
          <w:sz w:val="24"/>
        </w:rPr>
        <w:t> </w:t>
      </w:r>
      <w:r>
        <w:rPr>
          <w:spacing w:val="-2"/>
          <w:sz w:val="24"/>
        </w:rPr>
        <w:t>inform</w:t>
      </w:r>
      <w:r>
        <w:rPr>
          <w:spacing w:val="-7"/>
          <w:sz w:val="24"/>
        </w:rPr>
        <w:t> </w:t>
      </w:r>
      <w:r>
        <w:rPr>
          <w:spacing w:val="-2"/>
          <w:sz w:val="24"/>
        </w:rPr>
        <w:t>the</w:t>
      </w:r>
      <w:r>
        <w:rPr>
          <w:spacing w:val="-8"/>
          <w:sz w:val="24"/>
        </w:rPr>
        <w:t> </w:t>
      </w:r>
      <w:r>
        <w:rPr>
          <w:spacing w:val="-2"/>
          <w:sz w:val="24"/>
        </w:rPr>
        <w:t>Co-Chairs</w:t>
      </w:r>
      <w:r>
        <w:rPr>
          <w:spacing w:val="-11"/>
          <w:sz w:val="24"/>
        </w:rPr>
        <w:t> </w:t>
      </w:r>
      <w:r>
        <w:rPr>
          <w:spacing w:val="-2"/>
          <w:sz w:val="24"/>
        </w:rPr>
        <w:t>one</w:t>
      </w:r>
      <w:r>
        <w:rPr>
          <w:spacing w:val="-10"/>
          <w:sz w:val="24"/>
        </w:rPr>
        <w:t> </w:t>
      </w:r>
      <w:r>
        <w:rPr>
          <w:spacing w:val="-2"/>
          <w:sz w:val="24"/>
        </w:rPr>
        <w:t>week</w:t>
      </w:r>
      <w:r>
        <w:rPr>
          <w:spacing w:val="-15"/>
          <w:sz w:val="24"/>
        </w:rPr>
        <w:t> </w:t>
      </w:r>
      <w:r>
        <w:rPr>
          <w:spacing w:val="-2"/>
          <w:sz w:val="24"/>
        </w:rPr>
        <w:t>in</w:t>
      </w:r>
      <w:r>
        <w:rPr>
          <w:spacing w:val="-10"/>
          <w:sz w:val="24"/>
        </w:rPr>
        <w:t> </w:t>
      </w:r>
      <w:r>
        <w:rPr>
          <w:spacing w:val="-2"/>
          <w:sz w:val="24"/>
        </w:rPr>
        <w:t>advance</w:t>
      </w:r>
      <w:r>
        <w:rPr>
          <w:spacing w:val="-10"/>
          <w:sz w:val="24"/>
        </w:rPr>
        <w:t> </w:t>
      </w:r>
      <w:r>
        <w:rPr>
          <w:spacing w:val="-2"/>
          <w:sz w:val="24"/>
        </w:rPr>
        <w:t>of</w:t>
      </w:r>
      <w:r>
        <w:rPr>
          <w:spacing w:val="-13"/>
          <w:sz w:val="24"/>
        </w:rPr>
        <w:t> </w:t>
      </w:r>
      <w:r>
        <w:rPr>
          <w:spacing w:val="-2"/>
          <w:sz w:val="24"/>
        </w:rPr>
        <w:t>the</w:t>
      </w:r>
      <w:r>
        <w:rPr>
          <w:spacing w:val="-10"/>
          <w:sz w:val="24"/>
        </w:rPr>
        <w:t> </w:t>
      </w:r>
      <w:r>
        <w:rPr>
          <w:spacing w:val="-2"/>
          <w:sz w:val="24"/>
        </w:rPr>
        <w:t>meeting</w:t>
      </w:r>
      <w:r>
        <w:rPr>
          <w:spacing w:val="-10"/>
          <w:sz w:val="24"/>
        </w:rPr>
        <w:t> </w:t>
      </w:r>
      <w:r>
        <w:rPr>
          <w:spacing w:val="-2"/>
          <w:sz w:val="24"/>
        </w:rPr>
        <w:t>if</w:t>
      </w:r>
      <w:r>
        <w:rPr>
          <w:spacing w:val="-13"/>
          <w:sz w:val="24"/>
        </w:rPr>
        <w:t> </w:t>
      </w:r>
      <w:r>
        <w:rPr>
          <w:spacing w:val="-2"/>
          <w:sz w:val="24"/>
        </w:rPr>
        <w:t>deputies </w:t>
      </w:r>
      <w:r>
        <w:rPr>
          <w:sz w:val="24"/>
        </w:rPr>
        <w:t>will</w:t>
      </w:r>
      <w:r>
        <w:rPr>
          <w:spacing w:val="-15"/>
          <w:sz w:val="24"/>
        </w:rPr>
        <w:t> </w:t>
      </w:r>
      <w:r>
        <w:rPr>
          <w:sz w:val="24"/>
        </w:rPr>
        <w:t>be</w:t>
      </w:r>
      <w:r>
        <w:rPr>
          <w:spacing w:val="-10"/>
          <w:sz w:val="24"/>
        </w:rPr>
        <w:t> </w:t>
      </w:r>
      <w:r>
        <w:rPr>
          <w:sz w:val="24"/>
        </w:rPr>
        <w:t>attending,</w:t>
      </w:r>
      <w:r>
        <w:rPr>
          <w:spacing w:val="-13"/>
          <w:sz w:val="24"/>
        </w:rPr>
        <w:t> </w:t>
      </w:r>
      <w:r>
        <w:rPr>
          <w:sz w:val="24"/>
        </w:rPr>
        <w:t>unless</w:t>
      </w:r>
      <w:r>
        <w:rPr>
          <w:spacing w:val="-15"/>
          <w:sz w:val="24"/>
        </w:rPr>
        <w:t> </w:t>
      </w:r>
      <w:r>
        <w:rPr>
          <w:sz w:val="24"/>
        </w:rPr>
        <w:t>exceptional</w:t>
      </w:r>
      <w:r>
        <w:rPr>
          <w:spacing w:val="-10"/>
          <w:sz w:val="24"/>
        </w:rPr>
        <w:t> </w:t>
      </w:r>
      <w:r>
        <w:rPr>
          <w:sz w:val="24"/>
        </w:rPr>
        <w:t>short-term</w:t>
      </w:r>
      <w:r>
        <w:rPr>
          <w:spacing w:val="-11"/>
          <w:sz w:val="24"/>
        </w:rPr>
        <w:t> </w:t>
      </w:r>
      <w:r>
        <w:rPr>
          <w:sz w:val="24"/>
        </w:rPr>
        <w:t>circumstances</w:t>
      </w:r>
      <w:r>
        <w:rPr>
          <w:spacing w:val="-11"/>
          <w:sz w:val="24"/>
        </w:rPr>
        <w:t> </w:t>
      </w:r>
      <w:r>
        <w:rPr>
          <w:sz w:val="24"/>
        </w:rPr>
        <w:t>arise.</w:t>
      </w:r>
    </w:p>
    <w:p>
      <w:pPr>
        <w:pStyle w:val="ListParagraph"/>
        <w:numPr>
          <w:ilvl w:val="1"/>
          <w:numId w:val="63"/>
        </w:numPr>
        <w:tabs>
          <w:tab w:pos="852" w:val="left" w:leader="none"/>
        </w:tabs>
        <w:spacing w:line="242" w:lineRule="auto" w:before="158" w:after="0"/>
        <w:ind w:left="852" w:right="483" w:hanging="710"/>
        <w:jc w:val="left"/>
        <w:rPr>
          <w:sz w:val="24"/>
        </w:rPr>
      </w:pPr>
      <w:r>
        <w:rPr>
          <w:spacing w:val="-2"/>
          <w:sz w:val="24"/>
        </w:rPr>
        <w:t>Should</w:t>
      </w:r>
      <w:r>
        <w:rPr>
          <w:spacing w:val="-10"/>
          <w:sz w:val="24"/>
        </w:rPr>
        <w:t> </w:t>
      </w:r>
      <w:r>
        <w:rPr>
          <w:spacing w:val="-2"/>
          <w:sz w:val="24"/>
        </w:rPr>
        <w:t>any</w:t>
      </w:r>
      <w:r>
        <w:rPr>
          <w:spacing w:val="-11"/>
          <w:sz w:val="24"/>
        </w:rPr>
        <w:t> </w:t>
      </w:r>
      <w:r>
        <w:rPr>
          <w:spacing w:val="-2"/>
          <w:sz w:val="24"/>
        </w:rPr>
        <w:t>member</w:t>
      </w:r>
      <w:r>
        <w:rPr>
          <w:spacing w:val="-11"/>
          <w:sz w:val="24"/>
        </w:rPr>
        <w:t> </w:t>
      </w:r>
      <w:r>
        <w:rPr>
          <w:spacing w:val="-2"/>
          <w:sz w:val="24"/>
        </w:rPr>
        <w:t>be</w:t>
      </w:r>
      <w:r>
        <w:rPr>
          <w:spacing w:val="-10"/>
          <w:sz w:val="24"/>
        </w:rPr>
        <w:t> </w:t>
      </w:r>
      <w:r>
        <w:rPr>
          <w:spacing w:val="-2"/>
          <w:sz w:val="24"/>
        </w:rPr>
        <w:t>unavailable</w:t>
      </w:r>
      <w:r>
        <w:rPr>
          <w:spacing w:val="-6"/>
          <w:sz w:val="24"/>
        </w:rPr>
        <w:t> </w:t>
      </w:r>
      <w:r>
        <w:rPr>
          <w:spacing w:val="-2"/>
          <w:sz w:val="24"/>
        </w:rPr>
        <w:t>to</w:t>
      </w:r>
      <w:r>
        <w:rPr>
          <w:spacing w:val="-10"/>
          <w:sz w:val="24"/>
        </w:rPr>
        <w:t> </w:t>
      </w:r>
      <w:r>
        <w:rPr>
          <w:spacing w:val="-2"/>
          <w:sz w:val="24"/>
        </w:rPr>
        <w:t>attend,</w:t>
      </w:r>
      <w:r>
        <w:rPr>
          <w:spacing w:val="-8"/>
          <w:sz w:val="24"/>
        </w:rPr>
        <w:t> </w:t>
      </w:r>
      <w:r>
        <w:rPr>
          <w:spacing w:val="-2"/>
          <w:sz w:val="24"/>
        </w:rPr>
        <w:t>they</w:t>
      </w:r>
      <w:r>
        <w:rPr>
          <w:spacing w:val="-11"/>
          <w:sz w:val="24"/>
        </w:rPr>
        <w:t> </w:t>
      </w:r>
      <w:r>
        <w:rPr>
          <w:spacing w:val="-2"/>
          <w:sz w:val="24"/>
        </w:rPr>
        <w:t>may</w:t>
      </w:r>
      <w:r>
        <w:rPr>
          <w:spacing w:val="-11"/>
          <w:sz w:val="24"/>
        </w:rPr>
        <w:t> </w:t>
      </w:r>
      <w:r>
        <w:rPr>
          <w:spacing w:val="-2"/>
          <w:sz w:val="24"/>
        </w:rPr>
        <w:t>nominate</w:t>
      </w:r>
      <w:r>
        <w:rPr>
          <w:spacing w:val="-10"/>
          <w:sz w:val="24"/>
        </w:rPr>
        <w:t> </w:t>
      </w:r>
      <w:r>
        <w:rPr>
          <w:spacing w:val="-2"/>
          <w:sz w:val="24"/>
        </w:rPr>
        <w:t>a</w:t>
      </w:r>
      <w:r>
        <w:rPr>
          <w:spacing w:val="-10"/>
          <w:sz w:val="24"/>
        </w:rPr>
        <w:t> </w:t>
      </w:r>
      <w:r>
        <w:rPr>
          <w:spacing w:val="-2"/>
          <w:sz w:val="24"/>
        </w:rPr>
        <w:t>deputy</w:t>
      </w:r>
      <w:r>
        <w:rPr>
          <w:spacing w:val="-11"/>
          <w:sz w:val="24"/>
        </w:rPr>
        <w:t> </w:t>
      </w:r>
      <w:r>
        <w:rPr>
          <w:spacing w:val="-2"/>
          <w:sz w:val="24"/>
        </w:rPr>
        <w:t>to</w:t>
      </w:r>
      <w:r>
        <w:rPr>
          <w:spacing w:val="-10"/>
          <w:sz w:val="24"/>
        </w:rPr>
        <w:t> </w:t>
      </w:r>
      <w:r>
        <w:rPr>
          <w:spacing w:val="-2"/>
          <w:sz w:val="24"/>
        </w:rPr>
        <w:t>attend</w:t>
      </w:r>
      <w:r>
        <w:rPr>
          <w:spacing w:val="-15"/>
          <w:sz w:val="24"/>
        </w:rPr>
        <w:t> </w:t>
      </w:r>
      <w:r>
        <w:rPr>
          <w:spacing w:val="-2"/>
          <w:sz w:val="24"/>
        </w:rPr>
        <w:t>in</w:t>
      </w:r>
      <w:r>
        <w:rPr>
          <w:spacing w:val="-10"/>
          <w:sz w:val="24"/>
        </w:rPr>
        <w:t> </w:t>
      </w:r>
      <w:r>
        <w:rPr>
          <w:spacing w:val="-2"/>
          <w:sz w:val="24"/>
        </w:rPr>
        <w:t>their </w:t>
      </w:r>
      <w:r>
        <w:rPr>
          <w:sz w:val="24"/>
        </w:rPr>
        <w:t>place, subject to</w:t>
      </w:r>
      <w:r>
        <w:rPr>
          <w:spacing w:val="-2"/>
          <w:sz w:val="24"/>
        </w:rPr>
        <w:t> </w:t>
      </w:r>
      <w:r>
        <w:rPr>
          <w:sz w:val="24"/>
        </w:rPr>
        <w:t>the</w:t>
      </w:r>
      <w:r>
        <w:rPr>
          <w:spacing w:val="-2"/>
          <w:sz w:val="24"/>
        </w:rPr>
        <w:t> </w:t>
      </w:r>
      <w:r>
        <w:rPr>
          <w:sz w:val="24"/>
        </w:rPr>
        <w:t>agreement</w:t>
      </w:r>
      <w:r>
        <w:rPr>
          <w:spacing w:val="-5"/>
          <w:sz w:val="24"/>
        </w:rPr>
        <w:t> </w:t>
      </w:r>
      <w:r>
        <w:rPr>
          <w:sz w:val="24"/>
        </w:rPr>
        <w:t>of</w:t>
      </w:r>
      <w:r>
        <w:rPr>
          <w:spacing w:val="-5"/>
          <w:sz w:val="24"/>
        </w:rPr>
        <w:t> </w:t>
      </w:r>
      <w:r>
        <w:rPr>
          <w:sz w:val="24"/>
        </w:rPr>
        <w:t>both</w:t>
      </w:r>
      <w:r>
        <w:rPr>
          <w:spacing w:val="-2"/>
          <w:sz w:val="24"/>
        </w:rPr>
        <w:t> </w:t>
      </w:r>
      <w:r>
        <w:rPr>
          <w:sz w:val="24"/>
        </w:rPr>
        <w:t>Co-Chairs.</w:t>
      </w:r>
    </w:p>
    <w:p>
      <w:pPr>
        <w:pStyle w:val="ListParagraph"/>
        <w:numPr>
          <w:ilvl w:val="1"/>
          <w:numId w:val="63"/>
        </w:numPr>
        <w:tabs>
          <w:tab w:pos="852" w:val="left" w:leader="none"/>
        </w:tabs>
        <w:spacing w:line="240" w:lineRule="auto" w:before="158" w:after="0"/>
        <w:ind w:left="852" w:right="465" w:hanging="710"/>
        <w:jc w:val="left"/>
        <w:rPr>
          <w:sz w:val="24"/>
        </w:rPr>
      </w:pPr>
      <w:r>
        <w:rPr>
          <w:spacing w:val="-2"/>
          <w:sz w:val="24"/>
        </w:rPr>
        <w:t>Delegation</w:t>
      </w:r>
      <w:r>
        <w:rPr>
          <w:spacing w:val="-10"/>
          <w:sz w:val="24"/>
        </w:rPr>
        <w:t> </w:t>
      </w:r>
      <w:r>
        <w:rPr>
          <w:spacing w:val="-2"/>
          <w:sz w:val="24"/>
        </w:rPr>
        <w:t>to</w:t>
      </w:r>
      <w:r>
        <w:rPr>
          <w:spacing w:val="-10"/>
          <w:sz w:val="24"/>
        </w:rPr>
        <w:t> </w:t>
      </w:r>
      <w:r>
        <w:rPr>
          <w:spacing w:val="-2"/>
          <w:sz w:val="24"/>
        </w:rPr>
        <w:t>deputies</w:t>
      </w:r>
      <w:r>
        <w:rPr>
          <w:spacing w:val="-11"/>
          <w:sz w:val="24"/>
        </w:rPr>
        <w:t> </w:t>
      </w:r>
      <w:r>
        <w:rPr>
          <w:spacing w:val="-2"/>
          <w:sz w:val="24"/>
        </w:rPr>
        <w:t>is</w:t>
      </w:r>
      <w:r>
        <w:rPr>
          <w:spacing w:val="-11"/>
          <w:sz w:val="24"/>
        </w:rPr>
        <w:t> </w:t>
      </w:r>
      <w:r>
        <w:rPr>
          <w:spacing w:val="-2"/>
          <w:sz w:val="24"/>
        </w:rPr>
        <w:t>expected</w:t>
      </w:r>
      <w:r>
        <w:rPr>
          <w:spacing w:val="-6"/>
          <w:sz w:val="24"/>
        </w:rPr>
        <w:t> </w:t>
      </w:r>
      <w:r>
        <w:rPr>
          <w:spacing w:val="-2"/>
          <w:sz w:val="24"/>
        </w:rPr>
        <w:t>to</w:t>
      </w:r>
      <w:r>
        <w:rPr>
          <w:spacing w:val="-10"/>
          <w:sz w:val="24"/>
        </w:rPr>
        <w:t> </w:t>
      </w:r>
      <w:r>
        <w:rPr>
          <w:spacing w:val="-2"/>
          <w:sz w:val="24"/>
        </w:rPr>
        <w:t>be</w:t>
      </w:r>
      <w:r>
        <w:rPr>
          <w:spacing w:val="-10"/>
          <w:sz w:val="24"/>
        </w:rPr>
        <w:t> </w:t>
      </w:r>
      <w:r>
        <w:rPr>
          <w:spacing w:val="-2"/>
          <w:sz w:val="24"/>
        </w:rPr>
        <w:t>kept</w:t>
      </w:r>
      <w:r>
        <w:rPr>
          <w:spacing w:val="-13"/>
          <w:sz w:val="24"/>
        </w:rPr>
        <w:t> </w:t>
      </w:r>
      <w:r>
        <w:rPr>
          <w:spacing w:val="-2"/>
          <w:sz w:val="24"/>
        </w:rPr>
        <w:t>to</w:t>
      </w:r>
      <w:r>
        <w:rPr>
          <w:spacing w:val="-15"/>
          <w:sz w:val="24"/>
        </w:rPr>
        <w:t> </w:t>
      </w:r>
      <w:r>
        <w:rPr>
          <w:spacing w:val="-2"/>
          <w:sz w:val="24"/>
        </w:rPr>
        <w:t>a</w:t>
      </w:r>
      <w:r>
        <w:rPr>
          <w:spacing w:val="-10"/>
          <w:sz w:val="24"/>
        </w:rPr>
        <w:t> </w:t>
      </w:r>
      <w:r>
        <w:rPr>
          <w:spacing w:val="-2"/>
          <w:sz w:val="24"/>
        </w:rPr>
        <w:t>minimum</w:t>
      </w:r>
      <w:r>
        <w:rPr>
          <w:spacing w:val="-11"/>
          <w:sz w:val="24"/>
        </w:rPr>
        <w:t> </w:t>
      </w:r>
      <w:r>
        <w:rPr>
          <w:spacing w:val="-2"/>
          <w:sz w:val="24"/>
        </w:rPr>
        <w:t>and</w:t>
      </w:r>
      <w:r>
        <w:rPr>
          <w:spacing w:val="-10"/>
          <w:sz w:val="24"/>
        </w:rPr>
        <w:t> </w:t>
      </w:r>
      <w:r>
        <w:rPr>
          <w:spacing w:val="-2"/>
          <w:sz w:val="24"/>
        </w:rPr>
        <w:t>specific</w:t>
      </w:r>
      <w:r>
        <w:rPr>
          <w:spacing w:val="-11"/>
          <w:sz w:val="24"/>
        </w:rPr>
        <w:t> </w:t>
      </w:r>
      <w:r>
        <w:rPr>
          <w:spacing w:val="-2"/>
          <w:sz w:val="24"/>
        </w:rPr>
        <w:t>approval</w:t>
      </w:r>
      <w:r>
        <w:rPr>
          <w:spacing w:val="-10"/>
          <w:sz w:val="24"/>
        </w:rPr>
        <w:t> </w:t>
      </w:r>
      <w:r>
        <w:rPr>
          <w:spacing w:val="-2"/>
          <w:sz w:val="24"/>
        </w:rPr>
        <w:t>should</w:t>
      </w:r>
      <w:r>
        <w:rPr>
          <w:spacing w:val="-10"/>
          <w:sz w:val="24"/>
        </w:rPr>
        <w:t> </w:t>
      </w:r>
      <w:r>
        <w:rPr>
          <w:spacing w:val="-2"/>
          <w:sz w:val="24"/>
        </w:rPr>
        <w:t>be </w:t>
      </w:r>
      <w:r>
        <w:rPr>
          <w:sz w:val="24"/>
        </w:rPr>
        <w:t>sought</w:t>
      </w:r>
      <w:r>
        <w:rPr>
          <w:spacing w:val="-14"/>
          <w:sz w:val="24"/>
        </w:rPr>
        <w:t> </w:t>
      </w:r>
      <w:r>
        <w:rPr>
          <w:sz w:val="24"/>
        </w:rPr>
        <w:t>from</w:t>
      </w:r>
      <w:r>
        <w:rPr>
          <w:spacing w:val="-12"/>
          <w:sz w:val="24"/>
        </w:rPr>
        <w:t> </w:t>
      </w:r>
      <w:r>
        <w:rPr>
          <w:sz w:val="24"/>
        </w:rPr>
        <w:t>the</w:t>
      </w:r>
      <w:r>
        <w:rPr>
          <w:spacing w:val="-14"/>
          <w:sz w:val="24"/>
        </w:rPr>
        <w:t> </w:t>
      </w:r>
      <w:r>
        <w:rPr>
          <w:sz w:val="24"/>
        </w:rPr>
        <w:t>Co-Chairs</w:t>
      </w:r>
      <w:r>
        <w:rPr>
          <w:spacing w:val="-12"/>
          <w:sz w:val="24"/>
        </w:rPr>
        <w:t> </w:t>
      </w:r>
      <w:r>
        <w:rPr>
          <w:sz w:val="24"/>
        </w:rPr>
        <w:t>for</w:t>
      </w:r>
      <w:r>
        <w:rPr>
          <w:spacing w:val="-12"/>
          <w:sz w:val="24"/>
        </w:rPr>
        <w:t> </w:t>
      </w:r>
      <w:r>
        <w:rPr>
          <w:sz w:val="24"/>
        </w:rPr>
        <w:t>instances</w:t>
      </w:r>
      <w:r>
        <w:rPr>
          <w:spacing w:val="-12"/>
          <w:sz w:val="24"/>
        </w:rPr>
        <w:t> </w:t>
      </w:r>
      <w:r>
        <w:rPr>
          <w:sz w:val="24"/>
        </w:rPr>
        <w:t>where</w:t>
      </w:r>
      <w:r>
        <w:rPr>
          <w:spacing w:val="-7"/>
          <w:sz w:val="24"/>
        </w:rPr>
        <w:t> </w:t>
      </w:r>
      <w:r>
        <w:rPr>
          <w:sz w:val="24"/>
        </w:rPr>
        <w:t>more</w:t>
      </w:r>
      <w:r>
        <w:rPr>
          <w:spacing w:val="-11"/>
          <w:sz w:val="24"/>
        </w:rPr>
        <w:t> </w:t>
      </w:r>
      <w:r>
        <w:rPr>
          <w:sz w:val="24"/>
        </w:rPr>
        <w:t>than</w:t>
      </w:r>
      <w:r>
        <w:rPr>
          <w:spacing w:val="-7"/>
          <w:sz w:val="24"/>
        </w:rPr>
        <w:t> </w:t>
      </w:r>
      <w:r>
        <w:rPr>
          <w:sz w:val="24"/>
        </w:rPr>
        <w:t>two</w:t>
      </w:r>
      <w:r>
        <w:rPr>
          <w:spacing w:val="-11"/>
          <w:sz w:val="24"/>
        </w:rPr>
        <w:t> </w:t>
      </w:r>
      <w:r>
        <w:rPr>
          <w:sz w:val="24"/>
        </w:rPr>
        <w:t>consecutive</w:t>
      </w:r>
      <w:r>
        <w:rPr>
          <w:spacing w:val="-11"/>
          <w:sz w:val="24"/>
        </w:rPr>
        <w:t> </w:t>
      </w:r>
      <w:r>
        <w:rPr>
          <w:sz w:val="24"/>
        </w:rPr>
        <w:t>meetings</w:t>
      </w:r>
      <w:r>
        <w:rPr>
          <w:spacing w:val="-12"/>
          <w:sz w:val="24"/>
        </w:rPr>
        <w:t> </w:t>
      </w:r>
      <w:r>
        <w:rPr>
          <w:sz w:val="24"/>
        </w:rPr>
        <w:t>are expected to</w:t>
      </w:r>
      <w:r>
        <w:rPr>
          <w:spacing w:val="-1"/>
          <w:sz w:val="24"/>
        </w:rPr>
        <w:t> </w:t>
      </w:r>
      <w:r>
        <w:rPr>
          <w:sz w:val="24"/>
        </w:rPr>
        <w:t>involve the nominated deputy.</w:t>
      </w:r>
    </w:p>
    <w:p>
      <w:pPr>
        <w:pStyle w:val="ListParagraph"/>
        <w:numPr>
          <w:ilvl w:val="1"/>
          <w:numId w:val="63"/>
        </w:numPr>
        <w:tabs>
          <w:tab w:pos="852" w:val="left" w:leader="none"/>
        </w:tabs>
        <w:spacing w:line="242" w:lineRule="auto" w:before="157" w:after="0"/>
        <w:ind w:left="852" w:right="686" w:hanging="710"/>
        <w:jc w:val="left"/>
        <w:rPr>
          <w:sz w:val="24"/>
        </w:rPr>
      </w:pPr>
      <w:r>
        <w:rPr>
          <w:spacing w:val="-2"/>
          <w:sz w:val="24"/>
        </w:rPr>
        <w:t>The</w:t>
      </w:r>
      <w:r>
        <w:rPr>
          <w:spacing w:val="-11"/>
          <w:sz w:val="24"/>
        </w:rPr>
        <w:t> </w:t>
      </w:r>
      <w:r>
        <w:rPr>
          <w:spacing w:val="-2"/>
          <w:sz w:val="24"/>
        </w:rPr>
        <w:t>Regional</w:t>
      </w:r>
      <w:r>
        <w:rPr>
          <w:spacing w:val="-11"/>
          <w:sz w:val="24"/>
        </w:rPr>
        <w:t> </w:t>
      </w:r>
      <w:r>
        <w:rPr>
          <w:spacing w:val="-2"/>
          <w:sz w:val="24"/>
        </w:rPr>
        <w:t>Research,</w:t>
      </w:r>
      <w:r>
        <w:rPr>
          <w:spacing w:val="-11"/>
          <w:sz w:val="24"/>
        </w:rPr>
        <w:t> </w:t>
      </w:r>
      <w:r>
        <w:rPr>
          <w:spacing w:val="-2"/>
          <w:sz w:val="24"/>
        </w:rPr>
        <w:t>Innovation</w:t>
      </w:r>
      <w:r>
        <w:rPr>
          <w:spacing w:val="-11"/>
          <w:sz w:val="24"/>
        </w:rPr>
        <w:t> </w:t>
      </w:r>
      <w:r>
        <w:rPr>
          <w:spacing w:val="-2"/>
          <w:sz w:val="24"/>
        </w:rPr>
        <w:t>and</w:t>
      </w:r>
      <w:r>
        <w:rPr>
          <w:spacing w:val="-11"/>
          <w:sz w:val="24"/>
        </w:rPr>
        <w:t> </w:t>
      </w:r>
      <w:r>
        <w:rPr>
          <w:spacing w:val="-2"/>
          <w:sz w:val="24"/>
        </w:rPr>
        <w:t>Excellence</w:t>
      </w:r>
      <w:r>
        <w:rPr>
          <w:spacing w:val="-11"/>
          <w:sz w:val="24"/>
        </w:rPr>
        <w:t> </w:t>
      </w:r>
      <w:r>
        <w:rPr>
          <w:spacing w:val="-2"/>
          <w:sz w:val="24"/>
        </w:rPr>
        <w:t>Subgroup</w:t>
      </w:r>
      <w:r>
        <w:rPr>
          <w:spacing w:val="-7"/>
          <w:sz w:val="24"/>
        </w:rPr>
        <w:t> </w:t>
      </w:r>
      <w:r>
        <w:rPr>
          <w:spacing w:val="-2"/>
          <w:sz w:val="24"/>
        </w:rPr>
        <w:t>may</w:t>
      </w:r>
      <w:r>
        <w:rPr>
          <w:spacing w:val="-12"/>
          <w:sz w:val="24"/>
        </w:rPr>
        <w:t> </w:t>
      </w:r>
      <w:r>
        <w:rPr>
          <w:spacing w:val="-2"/>
          <w:sz w:val="24"/>
        </w:rPr>
        <w:t>ask</w:t>
      </w:r>
      <w:r>
        <w:rPr>
          <w:spacing w:val="-12"/>
          <w:sz w:val="24"/>
        </w:rPr>
        <w:t> </w:t>
      </w:r>
      <w:r>
        <w:rPr>
          <w:spacing w:val="-2"/>
          <w:sz w:val="24"/>
        </w:rPr>
        <w:t>any</w:t>
      </w:r>
      <w:r>
        <w:rPr>
          <w:spacing w:val="-12"/>
          <w:sz w:val="24"/>
        </w:rPr>
        <w:t> </w:t>
      </w:r>
      <w:r>
        <w:rPr>
          <w:spacing w:val="-2"/>
          <w:sz w:val="24"/>
        </w:rPr>
        <w:t>or</w:t>
      </w:r>
      <w:r>
        <w:rPr>
          <w:spacing w:val="-12"/>
          <w:sz w:val="24"/>
        </w:rPr>
        <w:t> </w:t>
      </w:r>
      <w:r>
        <w:rPr>
          <w:spacing w:val="-2"/>
          <w:sz w:val="24"/>
        </w:rPr>
        <w:t>all</w:t>
      </w:r>
      <w:r>
        <w:rPr>
          <w:spacing w:val="-11"/>
          <w:sz w:val="24"/>
        </w:rPr>
        <w:t> </w:t>
      </w:r>
      <w:r>
        <w:rPr>
          <w:spacing w:val="-2"/>
          <w:sz w:val="24"/>
        </w:rPr>
        <w:t>of</w:t>
      </w:r>
      <w:r>
        <w:rPr>
          <w:spacing w:val="-14"/>
          <w:sz w:val="24"/>
        </w:rPr>
        <w:t> </w:t>
      </w:r>
      <w:r>
        <w:rPr>
          <w:spacing w:val="-2"/>
          <w:sz w:val="24"/>
        </w:rPr>
        <w:t>those </w:t>
      </w:r>
      <w:r>
        <w:rPr>
          <w:sz w:val="24"/>
        </w:rPr>
        <w:t>who</w:t>
      </w:r>
      <w:r>
        <w:rPr>
          <w:spacing w:val="-14"/>
          <w:sz w:val="24"/>
        </w:rPr>
        <w:t> </w:t>
      </w:r>
      <w:r>
        <w:rPr>
          <w:sz w:val="24"/>
        </w:rPr>
        <w:t>normally</w:t>
      </w:r>
      <w:r>
        <w:rPr>
          <w:spacing w:val="-15"/>
          <w:sz w:val="24"/>
        </w:rPr>
        <w:t> </w:t>
      </w:r>
      <w:r>
        <w:rPr>
          <w:sz w:val="24"/>
        </w:rPr>
        <w:t>attend</w:t>
      </w:r>
      <w:r>
        <w:rPr>
          <w:spacing w:val="-10"/>
          <w:sz w:val="24"/>
        </w:rPr>
        <w:t> </w:t>
      </w:r>
      <w:r>
        <w:rPr>
          <w:sz w:val="24"/>
        </w:rPr>
        <w:t>but</w:t>
      </w:r>
      <w:r>
        <w:rPr>
          <w:spacing w:val="-13"/>
          <w:sz w:val="24"/>
        </w:rPr>
        <w:t> </w:t>
      </w:r>
      <w:r>
        <w:rPr>
          <w:sz w:val="24"/>
        </w:rPr>
        <w:t>who</w:t>
      </w:r>
      <w:r>
        <w:rPr>
          <w:spacing w:val="-10"/>
          <w:sz w:val="24"/>
        </w:rPr>
        <w:t> </w:t>
      </w:r>
      <w:r>
        <w:rPr>
          <w:sz w:val="24"/>
        </w:rPr>
        <w:t>are</w:t>
      </w:r>
      <w:r>
        <w:rPr>
          <w:spacing w:val="-10"/>
          <w:sz w:val="24"/>
        </w:rPr>
        <w:t> </w:t>
      </w:r>
      <w:r>
        <w:rPr>
          <w:sz w:val="24"/>
        </w:rPr>
        <w:t>not</w:t>
      </w:r>
      <w:r>
        <w:rPr>
          <w:spacing w:val="-13"/>
          <w:sz w:val="24"/>
        </w:rPr>
        <w:t> </w:t>
      </w:r>
      <w:r>
        <w:rPr>
          <w:sz w:val="24"/>
        </w:rPr>
        <w:t>members</w:t>
      </w:r>
      <w:r>
        <w:rPr>
          <w:spacing w:val="-6"/>
          <w:sz w:val="24"/>
        </w:rPr>
        <w:t> </w:t>
      </w:r>
      <w:r>
        <w:rPr>
          <w:sz w:val="24"/>
        </w:rPr>
        <w:t>to</w:t>
      </w:r>
      <w:r>
        <w:rPr>
          <w:spacing w:val="-10"/>
          <w:sz w:val="24"/>
        </w:rPr>
        <w:t> </w:t>
      </w:r>
      <w:r>
        <w:rPr>
          <w:sz w:val="24"/>
        </w:rPr>
        <w:t>withdraw</w:t>
      </w:r>
      <w:r>
        <w:rPr>
          <w:spacing w:val="-5"/>
          <w:sz w:val="24"/>
        </w:rPr>
        <w:t> </w:t>
      </w:r>
      <w:r>
        <w:rPr>
          <w:sz w:val="24"/>
        </w:rPr>
        <w:t>to</w:t>
      </w:r>
      <w:r>
        <w:rPr>
          <w:spacing w:val="-10"/>
          <w:sz w:val="24"/>
        </w:rPr>
        <w:t> </w:t>
      </w:r>
      <w:r>
        <w:rPr>
          <w:sz w:val="24"/>
        </w:rPr>
        <w:t>facilitate</w:t>
      </w:r>
      <w:r>
        <w:rPr>
          <w:spacing w:val="-10"/>
          <w:sz w:val="24"/>
        </w:rPr>
        <w:t> </w:t>
      </w:r>
      <w:r>
        <w:rPr>
          <w:sz w:val="24"/>
        </w:rPr>
        <w:t>open</w:t>
      </w:r>
      <w:r>
        <w:rPr>
          <w:spacing w:val="-10"/>
          <w:sz w:val="24"/>
        </w:rPr>
        <w:t> </w:t>
      </w:r>
      <w:r>
        <w:rPr>
          <w:sz w:val="24"/>
        </w:rPr>
        <w:t>and</w:t>
      </w:r>
      <w:r>
        <w:rPr>
          <w:spacing w:val="-10"/>
          <w:sz w:val="24"/>
        </w:rPr>
        <w:t> </w:t>
      </w:r>
      <w:r>
        <w:rPr>
          <w:sz w:val="24"/>
        </w:rPr>
        <w:t>frank discussion of particular matters.</w:t>
      </w:r>
    </w:p>
    <w:p>
      <w:pPr>
        <w:pStyle w:val="BodyText"/>
        <w:spacing w:before="1"/>
        <w:rPr>
          <w:sz w:val="16"/>
        </w:rPr>
      </w:pPr>
      <w:r>
        <w:rPr>
          <w:sz w:val="16"/>
        </w:rPr>
        <mc:AlternateContent>
          <mc:Choice Requires="wps">
            <w:drawing>
              <wp:anchor distT="0" distB="0" distL="0" distR="0" allowOverlap="1" layoutInCell="1" locked="0" behindDoc="1" simplePos="0" relativeHeight="487676416">
                <wp:simplePos x="0" y="0"/>
                <wp:positionH relativeFrom="page">
                  <wp:posOffset>574992</wp:posOffset>
                </wp:positionH>
                <wp:positionV relativeFrom="paragraph">
                  <wp:posOffset>139477</wp:posOffset>
                </wp:positionV>
                <wp:extent cx="6553200" cy="193675"/>
                <wp:effectExtent l="0" t="0" r="0" b="0"/>
                <wp:wrapTopAndBottom/>
                <wp:docPr id="498" name="Textbox 498"/>
                <wp:cNvGraphicFramePr>
                  <a:graphicFrameLocks/>
                </wp:cNvGraphicFramePr>
                <a:graphic>
                  <a:graphicData uri="http://schemas.microsoft.com/office/word/2010/wordprocessingShape">
                    <wps:wsp>
                      <wps:cNvPr id="498" name="Textbox 498"/>
                      <wps:cNvSpPr txBox="1"/>
                      <wps:spPr>
                        <a:xfrm>
                          <a:off x="0" y="0"/>
                          <a:ext cx="6553200" cy="193675"/>
                        </a:xfrm>
                        <a:prstGeom prst="rect">
                          <a:avLst/>
                        </a:prstGeom>
                        <a:solidFill>
                          <a:srgbClr val="C1A875"/>
                        </a:solidFill>
                        <a:ln w="12700">
                          <a:solidFill>
                            <a:srgbClr val="394871"/>
                          </a:solidFill>
                          <a:prstDash val="solid"/>
                        </a:ln>
                      </wps:spPr>
                      <wps:txbx>
                        <w:txbxContent>
                          <w:p>
                            <w:pPr>
                              <w:tabs>
                                <w:tab w:pos="454" w:val="left" w:leader="none"/>
                              </w:tabs>
                              <w:spacing w:before="0"/>
                              <w:ind w:left="95" w:right="0" w:firstLine="0"/>
                              <w:jc w:val="left"/>
                              <w:rPr>
                                <w:b/>
                                <w:color w:val="000000"/>
                                <w:sz w:val="24"/>
                              </w:rPr>
                            </w:pPr>
                            <w:r>
                              <w:rPr>
                                <w:b/>
                                <w:color w:val="000000"/>
                                <w:spacing w:val="-10"/>
                                <w:sz w:val="24"/>
                              </w:rPr>
                              <w:t>8</w:t>
                            </w:r>
                            <w:r>
                              <w:rPr>
                                <w:b/>
                                <w:color w:val="000000"/>
                                <w:sz w:val="24"/>
                              </w:rPr>
                              <w:tab/>
                              <w:t>Agenda</w:t>
                            </w:r>
                            <w:r>
                              <w:rPr>
                                <w:b/>
                                <w:color w:val="000000"/>
                                <w:spacing w:val="-3"/>
                                <w:sz w:val="24"/>
                              </w:rPr>
                              <w:t> </w:t>
                            </w:r>
                            <w:r>
                              <w:rPr>
                                <w:b/>
                                <w:color w:val="000000"/>
                                <w:sz w:val="24"/>
                              </w:rPr>
                              <w:t>and</w:t>
                            </w:r>
                            <w:r>
                              <w:rPr>
                                <w:b/>
                                <w:color w:val="000000"/>
                                <w:spacing w:val="-6"/>
                                <w:sz w:val="24"/>
                              </w:rPr>
                              <w:t> </w:t>
                            </w:r>
                            <w:r>
                              <w:rPr>
                                <w:b/>
                                <w:color w:val="000000"/>
                                <w:spacing w:val="-2"/>
                                <w:sz w:val="24"/>
                              </w:rPr>
                              <w:t>Papers</w:t>
                            </w:r>
                          </w:p>
                        </w:txbxContent>
                      </wps:txbx>
                      <wps:bodyPr wrap="square" lIns="0" tIns="0" rIns="0" bIns="0" rtlCol="0">
                        <a:noAutofit/>
                      </wps:bodyPr>
                    </wps:wsp>
                  </a:graphicData>
                </a:graphic>
              </wp:anchor>
            </w:drawing>
          </mc:Choice>
          <mc:Fallback>
            <w:pict>
              <v:shape style="position:absolute;margin-left:45.275002pt;margin-top:10.9825pt;width:516pt;height:15.25pt;mso-position-horizontal-relative:page;mso-position-vertical-relative:paragraph;z-index:-15640064;mso-wrap-distance-left:0;mso-wrap-distance-right:0" type="#_x0000_t202" id="docshape277" filled="true" fillcolor="#c1a875" stroked="true" strokeweight="1pt" strokecolor="#394871">
                <v:textbox inset="0,0,0,0">
                  <w:txbxContent>
                    <w:p>
                      <w:pPr>
                        <w:tabs>
                          <w:tab w:pos="454" w:val="left" w:leader="none"/>
                        </w:tabs>
                        <w:spacing w:before="0"/>
                        <w:ind w:left="95" w:right="0" w:firstLine="0"/>
                        <w:jc w:val="left"/>
                        <w:rPr>
                          <w:b/>
                          <w:color w:val="000000"/>
                          <w:sz w:val="24"/>
                        </w:rPr>
                      </w:pPr>
                      <w:r>
                        <w:rPr>
                          <w:b/>
                          <w:color w:val="000000"/>
                          <w:spacing w:val="-10"/>
                          <w:sz w:val="24"/>
                        </w:rPr>
                        <w:t>8</w:t>
                      </w:r>
                      <w:r>
                        <w:rPr>
                          <w:b/>
                          <w:color w:val="000000"/>
                          <w:sz w:val="24"/>
                        </w:rPr>
                        <w:tab/>
                        <w:t>Agenda</w:t>
                      </w:r>
                      <w:r>
                        <w:rPr>
                          <w:b/>
                          <w:color w:val="000000"/>
                          <w:spacing w:val="-3"/>
                          <w:sz w:val="24"/>
                        </w:rPr>
                        <w:t> </w:t>
                      </w:r>
                      <w:r>
                        <w:rPr>
                          <w:b/>
                          <w:color w:val="000000"/>
                          <w:sz w:val="24"/>
                        </w:rPr>
                        <w:t>and</w:t>
                      </w:r>
                      <w:r>
                        <w:rPr>
                          <w:b/>
                          <w:color w:val="000000"/>
                          <w:spacing w:val="-6"/>
                          <w:sz w:val="24"/>
                        </w:rPr>
                        <w:t> </w:t>
                      </w:r>
                      <w:r>
                        <w:rPr>
                          <w:b/>
                          <w:color w:val="000000"/>
                          <w:spacing w:val="-2"/>
                          <w:sz w:val="24"/>
                        </w:rPr>
                        <w:t>Papers</w:t>
                      </w:r>
                    </w:p>
                  </w:txbxContent>
                </v:textbox>
                <v:fill type="solid"/>
                <v:stroke dashstyle="solid"/>
                <w10:wrap type="topAndBottom"/>
              </v:shape>
            </w:pict>
          </mc:Fallback>
        </mc:AlternateContent>
      </w:r>
    </w:p>
    <w:p>
      <w:pPr>
        <w:pStyle w:val="ListParagraph"/>
        <w:numPr>
          <w:ilvl w:val="1"/>
          <w:numId w:val="64"/>
        </w:numPr>
        <w:tabs>
          <w:tab w:pos="852" w:val="left" w:leader="none"/>
        </w:tabs>
        <w:spacing w:line="240" w:lineRule="auto" w:before="170" w:after="0"/>
        <w:ind w:left="852" w:right="745" w:hanging="710"/>
        <w:jc w:val="left"/>
        <w:rPr>
          <w:sz w:val="24"/>
        </w:rPr>
      </w:pPr>
      <w:r>
        <w:rPr>
          <w:sz w:val="24"/>
        </w:rPr>
        <w:t>An</w:t>
      </w:r>
      <w:r>
        <w:rPr>
          <w:spacing w:val="-17"/>
          <w:sz w:val="24"/>
        </w:rPr>
        <w:t> </w:t>
      </w:r>
      <w:r>
        <w:rPr>
          <w:sz w:val="24"/>
        </w:rPr>
        <w:t>agenda</w:t>
      </w:r>
      <w:r>
        <w:rPr>
          <w:spacing w:val="-17"/>
          <w:sz w:val="24"/>
        </w:rPr>
        <w:t> </w:t>
      </w:r>
      <w:r>
        <w:rPr>
          <w:sz w:val="24"/>
        </w:rPr>
        <w:t>setting</w:t>
      </w:r>
      <w:r>
        <w:rPr>
          <w:spacing w:val="-16"/>
          <w:sz w:val="24"/>
        </w:rPr>
        <w:t> </w:t>
      </w:r>
      <w:r>
        <w:rPr>
          <w:sz w:val="24"/>
        </w:rPr>
        <w:t>meeting</w:t>
      </w:r>
      <w:r>
        <w:rPr>
          <w:spacing w:val="-17"/>
          <w:sz w:val="24"/>
        </w:rPr>
        <w:t> </w:t>
      </w:r>
      <w:r>
        <w:rPr>
          <w:sz w:val="24"/>
        </w:rPr>
        <w:t>is</w:t>
      </w:r>
      <w:r>
        <w:rPr>
          <w:spacing w:val="-17"/>
          <w:sz w:val="24"/>
        </w:rPr>
        <w:t> </w:t>
      </w:r>
      <w:r>
        <w:rPr>
          <w:sz w:val="24"/>
        </w:rPr>
        <w:t>to</w:t>
      </w:r>
      <w:r>
        <w:rPr>
          <w:spacing w:val="-17"/>
          <w:sz w:val="24"/>
        </w:rPr>
        <w:t> </w:t>
      </w:r>
      <w:r>
        <w:rPr>
          <w:sz w:val="24"/>
        </w:rPr>
        <w:t>be</w:t>
      </w:r>
      <w:r>
        <w:rPr>
          <w:spacing w:val="-16"/>
          <w:sz w:val="24"/>
        </w:rPr>
        <w:t> </w:t>
      </w:r>
      <w:r>
        <w:rPr>
          <w:sz w:val="24"/>
        </w:rPr>
        <w:t>held</w:t>
      </w:r>
      <w:r>
        <w:rPr>
          <w:spacing w:val="-17"/>
          <w:sz w:val="24"/>
        </w:rPr>
        <w:t> </w:t>
      </w:r>
      <w:r>
        <w:rPr>
          <w:sz w:val="24"/>
        </w:rPr>
        <w:t>with</w:t>
      </w:r>
      <w:r>
        <w:rPr>
          <w:spacing w:val="-17"/>
          <w:sz w:val="24"/>
        </w:rPr>
        <w:t> </w:t>
      </w:r>
      <w:r>
        <w:rPr>
          <w:sz w:val="24"/>
        </w:rPr>
        <w:t>the</w:t>
      </w:r>
      <w:r>
        <w:rPr>
          <w:spacing w:val="-16"/>
          <w:sz w:val="24"/>
        </w:rPr>
        <w:t> </w:t>
      </w:r>
      <w:r>
        <w:rPr>
          <w:sz w:val="24"/>
        </w:rPr>
        <w:t>Co-Chairs</w:t>
      </w:r>
      <w:r>
        <w:rPr>
          <w:spacing w:val="-17"/>
          <w:sz w:val="24"/>
        </w:rPr>
        <w:t> </w:t>
      </w:r>
      <w:r>
        <w:rPr>
          <w:sz w:val="24"/>
        </w:rPr>
        <w:t>at</w:t>
      </w:r>
      <w:r>
        <w:rPr>
          <w:spacing w:val="-17"/>
          <w:sz w:val="24"/>
        </w:rPr>
        <w:t> </w:t>
      </w:r>
      <w:r>
        <w:rPr>
          <w:sz w:val="24"/>
        </w:rPr>
        <w:t>least</w:t>
      </w:r>
      <w:r>
        <w:rPr>
          <w:spacing w:val="-16"/>
          <w:sz w:val="24"/>
        </w:rPr>
        <w:t> </w:t>
      </w:r>
      <w:r>
        <w:rPr>
          <w:sz w:val="24"/>
        </w:rPr>
        <w:t>two</w:t>
      </w:r>
      <w:r>
        <w:rPr>
          <w:spacing w:val="-17"/>
          <w:sz w:val="24"/>
        </w:rPr>
        <w:t> </w:t>
      </w:r>
      <w:r>
        <w:rPr>
          <w:sz w:val="24"/>
        </w:rPr>
        <w:t>weeks</w:t>
      </w:r>
      <w:r>
        <w:rPr>
          <w:spacing w:val="-17"/>
          <w:sz w:val="24"/>
        </w:rPr>
        <w:t> </w:t>
      </w:r>
      <w:r>
        <w:rPr>
          <w:sz w:val="24"/>
        </w:rPr>
        <w:t>before</w:t>
      </w:r>
      <w:r>
        <w:rPr>
          <w:spacing w:val="-16"/>
          <w:sz w:val="24"/>
        </w:rPr>
        <w:t> </w:t>
      </w:r>
      <w:r>
        <w:rPr>
          <w:sz w:val="24"/>
        </w:rPr>
        <w:t>the meeting date.</w:t>
      </w:r>
    </w:p>
    <w:p>
      <w:pPr>
        <w:pStyle w:val="ListParagraph"/>
        <w:numPr>
          <w:ilvl w:val="1"/>
          <w:numId w:val="64"/>
        </w:numPr>
        <w:tabs>
          <w:tab w:pos="850" w:val="left" w:leader="none"/>
          <w:tab w:pos="852" w:val="left" w:leader="none"/>
        </w:tabs>
        <w:spacing w:line="242" w:lineRule="auto" w:before="158" w:after="0"/>
        <w:ind w:left="852" w:right="1133" w:hanging="710"/>
        <w:jc w:val="both"/>
        <w:rPr>
          <w:sz w:val="24"/>
        </w:rPr>
      </w:pPr>
      <w:r>
        <w:rPr>
          <w:spacing w:val="-2"/>
          <w:sz w:val="24"/>
        </w:rPr>
        <w:t>The</w:t>
      </w:r>
      <w:r>
        <w:rPr>
          <w:spacing w:val="-10"/>
          <w:sz w:val="24"/>
        </w:rPr>
        <w:t> </w:t>
      </w:r>
      <w:r>
        <w:rPr>
          <w:spacing w:val="-2"/>
          <w:sz w:val="24"/>
        </w:rPr>
        <w:t>agenda</w:t>
      </w:r>
      <w:r>
        <w:rPr>
          <w:spacing w:val="-10"/>
          <w:sz w:val="24"/>
        </w:rPr>
        <w:t> </w:t>
      </w:r>
      <w:r>
        <w:rPr>
          <w:spacing w:val="-2"/>
          <w:sz w:val="24"/>
        </w:rPr>
        <w:t>will</w:t>
      </w:r>
      <w:r>
        <w:rPr>
          <w:spacing w:val="-10"/>
          <w:sz w:val="24"/>
        </w:rPr>
        <w:t> </w:t>
      </w:r>
      <w:r>
        <w:rPr>
          <w:spacing w:val="-2"/>
          <w:sz w:val="24"/>
        </w:rPr>
        <w:t>be</w:t>
      </w:r>
      <w:r>
        <w:rPr>
          <w:spacing w:val="-10"/>
          <w:sz w:val="24"/>
        </w:rPr>
        <w:t> </w:t>
      </w:r>
      <w:r>
        <w:rPr>
          <w:spacing w:val="-2"/>
          <w:sz w:val="24"/>
        </w:rPr>
        <w:t>based</w:t>
      </w:r>
      <w:r>
        <w:rPr>
          <w:spacing w:val="-14"/>
          <w:sz w:val="24"/>
        </w:rPr>
        <w:t> </w:t>
      </w:r>
      <w:r>
        <w:rPr>
          <w:spacing w:val="-2"/>
          <w:sz w:val="24"/>
        </w:rPr>
        <w:t>around</w:t>
      </w:r>
      <w:r>
        <w:rPr>
          <w:spacing w:val="-5"/>
          <w:sz w:val="24"/>
        </w:rPr>
        <w:t> </w:t>
      </w:r>
      <w:r>
        <w:rPr>
          <w:spacing w:val="-2"/>
          <w:sz w:val="24"/>
        </w:rPr>
        <w:t>the</w:t>
      </w:r>
      <w:r>
        <w:rPr>
          <w:spacing w:val="-7"/>
          <w:sz w:val="24"/>
        </w:rPr>
        <w:t> </w:t>
      </w:r>
      <w:r>
        <w:rPr>
          <w:spacing w:val="-2"/>
          <w:sz w:val="24"/>
        </w:rPr>
        <w:t>Regional</w:t>
      </w:r>
      <w:r>
        <w:rPr>
          <w:spacing w:val="-10"/>
          <w:sz w:val="24"/>
        </w:rPr>
        <w:t> </w:t>
      </w:r>
      <w:r>
        <w:rPr>
          <w:spacing w:val="-2"/>
          <w:sz w:val="24"/>
        </w:rPr>
        <w:t>Research,</w:t>
      </w:r>
      <w:r>
        <w:rPr>
          <w:spacing w:val="-9"/>
          <w:sz w:val="24"/>
        </w:rPr>
        <w:t> </w:t>
      </w:r>
      <w:r>
        <w:rPr>
          <w:spacing w:val="-2"/>
          <w:sz w:val="24"/>
        </w:rPr>
        <w:t>Innovation</w:t>
      </w:r>
      <w:r>
        <w:rPr>
          <w:spacing w:val="-14"/>
          <w:sz w:val="24"/>
        </w:rPr>
        <w:t> </w:t>
      </w:r>
      <w:r>
        <w:rPr>
          <w:spacing w:val="-2"/>
          <w:sz w:val="24"/>
        </w:rPr>
        <w:t>and</w:t>
      </w:r>
      <w:r>
        <w:rPr>
          <w:spacing w:val="-10"/>
          <w:sz w:val="24"/>
        </w:rPr>
        <w:t> </w:t>
      </w:r>
      <w:r>
        <w:rPr>
          <w:spacing w:val="-2"/>
          <w:sz w:val="24"/>
        </w:rPr>
        <w:t>Excellence Subgroup’s</w:t>
      </w:r>
      <w:r>
        <w:rPr>
          <w:spacing w:val="-15"/>
          <w:sz w:val="24"/>
        </w:rPr>
        <w:t> </w:t>
      </w:r>
      <w:r>
        <w:rPr>
          <w:spacing w:val="-2"/>
          <w:sz w:val="24"/>
        </w:rPr>
        <w:t>work</w:t>
      </w:r>
      <w:r>
        <w:rPr>
          <w:spacing w:val="-15"/>
          <w:sz w:val="24"/>
        </w:rPr>
        <w:t> </w:t>
      </w:r>
      <w:r>
        <w:rPr>
          <w:spacing w:val="-2"/>
          <w:sz w:val="24"/>
        </w:rPr>
        <w:t>plan,</w:t>
      </w:r>
      <w:r>
        <w:rPr>
          <w:spacing w:val="-14"/>
          <w:sz w:val="24"/>
        </w:rPr>
        <w:t> </w:t>
      </w:r>
      <w:r>
        <w:rPr>
          <w:spacing w:val="-2"/>
          <w:sz w:val="24"/>
        </w:rPr>
        <w:t>identified</w:t>
      </w:r>
      <w:r>
        <w:rPr>
          <w:spacing w:val="-15"/>
          <w:sz w:val="24"/>
        </w:rPr>
        <w:t> </w:t>
      </w:r>
      <w:r>
        <w:rPr>
          <w:spacing w:val="-2"/>
          <w:sz w:val="24"/>
        </w:rPr>
        <w:t>risks,</w:t>
      </w:r>
      <w:r>
        <w:rPr>
          <w:spacing w:val="-15"/>
          <w:sz w:val="24"/>
        </w:rPr>
        <w:t> </w:t>
      </w:r>
      <w:r>
        <w:rPr>
          <w:spacing w:val="-2"/>
          <w:sz w:val="24"/>
        </w:rPr>
        <w:t>matters</w:t>
      </w:r>
      <w:r>
        <w:rPr>
          <w:spacing w:val="-13"/>
          <w:sz w:val="24"/>
        </w:rPr>
        <w:t> </w:t>
      </w:r>
      <w:r>
        <w:rPr>
          <w:spacing w:val="-2"/>
          <w:sz w:val="24"/>
        </w:rPr>
        <w:t>arising</w:t>
      </w:r>
      <w:r>
        <w:rPr>
          <w:spacing w:val="-13"/>
          <w:sz w:val="24"/>
        </w:rPr>
        <w:t> </w:t>
      </w:r>
      <w:r>
        <w:rPr>
          <w:spacing w:val="-2"/>
          <w:sz w:val="24"/>
        </w:rPr>
        <w:t>from</w:t>
      </w:r>
      <w:r>
        <w:rPr>
          <w:spacing w:val="-14"/>
          <w:sz w:val="24"/>
        </w:rPr>
        <w:t> </w:t>
      </w:r>
      <w:r>
        <w:rPr>
          <w:spacing w:val="-2"/>
          <w:sz w:val="24"/>
        </w:rPr>
        <w:t>previous</w:t>
      </w:r>
      <w:r>
        <w:rPr>
          <w:spacing w:val="-14"/>
          <w:sz w:val="24"/>
        </w:rPr>
        <w:t> </w:t>
      </w:r>
      <w:r>
        <w:rPr>
          <w:spacing w:val="-2"/>
          <w:sz w:val="24"/>
        </w:rPr>
        <w:t>meetings,</w:t>
      </w:r>
      <w:r>
        <w:rPr>
          <w:spacing w:val="-15"/>
          <w:sz w:val="24"/>
        </w:rPr>
        <w:t> </w:t>
      </w:r>
      <w:r>
        <w:rPr>
          <w:spacing w:val="-2"/>
          <w:sz w:val="24"/>
        </w:rPr>
        <w:t>issues </w:t>
      </w:r>
      <w:r>
        <w:rPr>
          <w:sz w:val="24"/>
        </w:rPr>
        <w:t>emerging throughout</w:t>
      </w:r>
      <w:r>
        <w:rPr>
          <w:spacing w:val="-9"/>
          <w:sz w:val="24"/>
        </w:rPr>
        <w:t> </w:t>
      </w:r>
      <w:r>
        <w:rPr>
          <w:sz w:val="24"/>
        </w:rPr>
        <w:t>the</w:t>
      </w:r>
      <w:r>
        <w:rPr>
          <w:spacing w:val="-6"/>
          <w:sz w:val="24"/>
        </w:rPr>
        <w:t> </w:t>
      </w:r>
      <w:r>
        <w:rPr>
          <w:sz w:val="24"/>
        </w:rPr>
        <w:t>year,</w:t>
      </w:r>
      <w:r>
        <w:rPr>
          <w:spacing w:val="-9"/>
          <w:sz w:val="24"/>
        </w:rPr>
        <w:t> </w:t>
      </w:r>
      <w:r>
        <w:rPr>
          <w:sz w:val="24"/>
        </w:rPr>
        <w:t>and</w:t>
      </w:r>
      <w:r>
        <w:rPr>
          <w:spacing w:val="-6"/>
          <w:sz w:val="24"/>
        </w:rPr>
        <w:t> </w:t>
      </w:r>
      <w:r>
        <w:rPr>
          <w:sz w:val="24"/>
        </w:rPr>
        <w:t>requests</w:t>
      </w:r>
      <w:r>
        <w:rPr>
          <w:spacing w:val="-7"/>
          <w:sz w:val="24"/>
        </w:rPr>
        <w:t> </w:t>
      </w:r>
      <w:r>
        <w:rPr>
          <w:sz w:val="24"/>
        </w:rPr>
        <w:t>from</w:t>
      </w:r>
      <w:r>
        <w:rPr>
          <w:spacing w:val="-7"/>
          <w:sz w:val="24"/>
        </w:rPr>
        <w:t> </w:t>
      </w:r>
      <w:r>
        <w:rPr>
          <w:sz w:val="24"/>
        </w:rPr>
        <w:t>members.</w:t>
      </w:r>
    </w:p>
    <w:p>
      <w:pPr>
        <w:pStyle w:val="ListParagraph"/>
        <w:numPr>
          <w:ilvl w:val="1"/>
          <w:numId w:val="64"/>
        </w:numPr>
        <w:tabs>
          <w:tab w:pos="852" w:val="left" w:leader="none"/>
        </w:tabs>
        <w:spacing w:line="240" w:lineRule="auto" w:before="154" w:after="0"/>
        <w:ind w:left="852" w:right="0" w:hanging="710"/>
        <w:jc w:val="left"/>
        <w:rPr>
          <w:sz w:val="24"/>
        </w:rPr>
      </w:pPr>
      <w:r>
        <w:rPr>
          <w:spacing w:val="-2"/>
          <w:sz w:val="24"/>
        </w:rPr>
        <w:t>All</w:t>
      </w:r>
      <w:r>
        <w:rPr>
          <w:spacing w:val="-17"/>
          <w:sz w:val="24"/>
        </w:rPr>
        <w:t> </w:t>
      </w:r>
      <w:r>
        <w:rPr>
          <w:spacing w:val="-2"/>
          <w:sz w:val="24"/>
        </w:rPr>
        <w:t>papers</w:t>
      </w:r>
      <w:r>
        <w:rPr>
          <w:spacing w:val="-9"/>
          <w:sz w:val="24"/>
        </w:rPr>
        <w:t> </w:t>
      </w:r>
      <w:r>
        <w:rPr>
          <w:spacing w:val="-2"/>
          <w:sz w:val="24"/>
        </w:rPr>
        <w:t>must</w:t>
      </w:r>
      <w:r>
        <w:rPr>
          <w:spacing w:val="-14"/>
          <w:sz w:val="24"/>
        </w:rPr>
        <w:t> </w:t>
      </w:r>
      <w:r>
        <w:rPr>
          <w:spacing w:val="-2"/>
          <w:sz w:val="24"/>
        </w:rPr>
        <w:t>be</w:t>
      </w:r>
      <w:r>
        <w:rPr>
          <w:spacing w:val="-11"/>
          <w:sz w:val="24"/>
        </w:rPr>
        <w:t> </w:t>
      </w:r>
      <w:r>
        <w:rPr>
          <w:spacing w:val="-2"/>
          <w:sz w:val="24"/>
        </w:rPr>
        <w:t>approved</w:t>
      </w:r>
      <w:r>
        <w:rPr>
          <w:spacing w:val="-11"/>
          <w:sz w:val="24"/>
        </w:rPr>
        <w:t> </w:t>
      </w:r>
      <w:r>
        <w:rPr>
          <w:spacing w:val="-2"/>
          <w:sz w:val="24"/>
        </w:rPr>
        <w:t>by</w:t>
      </w:r>
      <w:r>
        <w:rPr>
          <w:spacing w:val="-7"/>
          <w:sz w:val="24"/>
        </w:rPr>
        <w:t> </w:t>
      </w:r>
      <w:r>
        <w:rPr>
          <w:spacing w:val="-2"/>
          <w:sz w:val="24"/>
        </w:rPr>
        <w:t>the</w:t>
      </w:r>
      <w:r>
        <w:rPr>
          <w:spacing w:val="-12"/>
          <w:sz w:val="24"/>
        </w:rPr>
        <w:t> </w:t>
      </w:r>
      <w:r>
        <w:rPr>
          <w:spacing w:val="-2"/>
          <w:sz w:val="24"/>
        </w:rPr>
        <w:t>Lead/relevant</w:t>
      </w:r>
      <w:r>
        <w:rPr>
          <w:spacing w:val="-13"/>
          <w:sz w:val="24"/>
        </w:rPr>
        <w:t> </w:t>
      </w:r>
      <w:r>
        <w:rPr>
          <w:spacing w:val="-2"/>
          <w:sz w:val="24"/>
        </w:rPr>
        <w:t>Director/Chair.</w:t>
      </w:r>
    </w:p>
    <w:p>
      <w:pPr>
        <w:pStyle w:val="ListParagraph"/>
        <w:numPr>
          <w:ilvl w:val="1"/>
          <w:numId w:val="64"/>
        </w:numPr>
        <w:tabs>
          <w:tab w:pos="852" w:val="left" w:leader="none"/>
        </w:tabs>
        <w:spacing w:line="240" w:lineRule="auto" w:before="159" w:after="0"/>
        <w:ind w:left="852" w:right="1146" w:hanging="710"/>
        <w:jc w:val="left"/>
        <w:rPr>
          <w:sz w:val="24"/>
        </w:rPr>
      </w:pPr>
      <w:r>
        <w:rPr>
          <w:spacing w:val="-2"/>
          <w:sz w:val="24"/>
        </w:rPr>
        <w:t>The</w:t>
      </w:r>
      <w:r>
        <w:rPr>
          <w:spacing w:val="-11"/>
          <w:sz w:val="24"/>
        </w:rPr>
        <w:t> </w:t>
      </w:r>
      <w:r>
        <w:rPr>
          <w:spacing w:val="-2"/>
          <w:sz w:val="24"/>
        </w:rPr>
        <w:t>agenda</w:t>
      </w:r>
      <w:r>
        <w:rPr>
          <w:spacing w:val="-10"/>
          <w:sz w:val="24"/>
        </w:rPr>
        <w:t> </w:t>
      </w:r>
      <w:r>
        <w:rPr>
          <w:spacing w:val="-2"/>
          <w:sz w:val="24"/>
        </w:rPr>
        <w:t>and</w:t>
      </w:r>
      <w:r>
        <w:rPr>
          <w:spacing w:val="-10"/>
          <w:sz w:val="24"/>
        </w:rPr>
        <w:t> </w:t>
      </w:r>
      <w:r>
        <w:rPr>
          <w:spacing w:val="-2"/>
          <w:sz w:val="24"/>
        </w:rPr>
        <w:t>papers</w:t>
      </w:r>
      <w:r>
        <w:rPr>
          <w:spacing w:val="-5"/>
          <w:sz w:val="24"/>
        </w:rPr>
        <w:t> </w:t>
      </w:r>
      <w:r>
        <w:rPr>
          <w:spacing w:val="-2"/>
          <w:sz w:val="24"/>
        </w:rPr>
        <w:t>for</w:t>
      </w:r>
      <w:r>
        <w:rPr>
          <w:spacing w:val="-11"/>
          <w:sz w:val="24"/>
        </w:rPr>
        <w:t> </w:t>
      </w:r>
      <w:r>
        <w:rPr>
          <w:spacing w:val="-2"/>
          <w:sz w:val="24"/>
        </w:rPr>
        <w:t>meetings</w:t>
      </w:r>
      <w:r>
        <w:rPr>
          <w:spacing w:val="-10"/>
          <w:sz w:val="24"/>
        </w:rPr>
        <w:t> </w:t>
      </w:r>
      <w:r>
        <w:rPr>
          <w:spacing w:val="-2"/>
          <w:sz w:val="24"/>
        </w:rPr>
        <w:t>will</w:t>
      </w:r>
      <w:r>
        <w:rPr>
          <w:spacing w:val="-10"/>
          <w:sz w:val="24"/>
        </w:rPr>
        <w:t> </w:t>
      </w:r>
      <w:r>
        <w:rPr>
          <w:spacing w:val="-2"/>
          <w:sz w:val="24"/>
        </w:rPr>
        <w:t>be</w:t>
      </w:r>
      <w:r>
        <w:rPr>
          <w:spacing w:val="-10"/>
          <w:sz w:val="24"/>
        </w:rPr>
        <w:t> </w:t>
      </w:r>
      <w:r>
        <w:rPr>
          <w:spacing w:val="-2"/>
          <w:sz w:val="24"/>
        </w:rPr>
        <w:t>distributed</w:t>
      </w:r>
      <w:r>
        <w:rPr>
          <w:spacing w:val="-9"/>
          <w:sz w:val="24"/>
        </w:rPr>
        <w:t> </w:t>
      </w:r>
      <w:r>
        <w:rPr>
          <w:spacing w:val="-2"/>
          <w:sz w:val="24"/>
        </w:rPr>
        <w:t>seven</w:t>
      </w:r>
      <w:r>
        <w:rPr>
          <w:spacing w:val="-9"/>
          <w:sz w:val="24"/>
        </w:rPr>
        <w:t> </w:t>
      </w:r>
      <w:r>
        <w:rPr>
          <w:spacing w:val="-2"/>
          <w:sz w:val="24"/>
        </w:rPr>
        <w:t>days</w:t>
      </w:r>
      <w:r>
        <w:rPr>
          <w:spacing w:val="-15"/>
          <w:sz w:val="24"/>
        </w:rPr>
        <w:t> </w:t>
      </w:r>
      <w:r>
        <w:rPr>
          <w:spacing w:val="-2"/>
          <w:sz w:val="24"/>
        </w:rPr>
        <w:t>in</w:t>
      </w:r>
      <w:r>
        <w:rPr>
          <w:spacing w:val="-14"/>
          <w:sz w:val="24"/>
        </w:rPr>
        <w:t> </w:t>
      </w:r>
      <w:r>
        <w:rPr>
          <w:spacing w:val="-2"/>
          <w:sz w:val="24"/>
        </w:rPr>
        <w:t>advance</w:t>
      </w:r>
      <w:r>
        <w:rPr>
          <w:spacing w:val="-15"/>
          <w:sz w:val="24"/>
        </w:rPr>
        <w:t> </w:t>
      </w:r>
      <w:r>
        <w:rPr>
          <w:spacing w:val="-2"/>
          <w:sz w:val="24"/>
        </w:rPr>
        <w:t>of</w:t>
      </w:r>
      <w:r>
        <w:rPr>
          <w:spacing w:val="-8"/>
          <w:sz w:val="24"/>
        </w:rPr>
        <w:t> </w:t>
      </w:r>
      <w:r>
        <w:rPr>
          <w:spacing w:val="-2"/>
          <w:sz w:val="24"/>
        </w:rPr>
        <w:t>the meeting.</w:t>
      </w:r>
    </w:p>
    <w:p>
      <w:pPr>
        <w:pStyle w:val="ListParagraph"/>
        <w:numPr>
          <w:ilvl w:val="1"/>
          <w:numId w:val="64"/>
        </w:numPr>
        <w:tabs>
          <w:tab w:pos="852" w:val="left" w:leader="none"/>
        </w:tabs>
        <w:spacing w:line="240" w:lineRule="auto" w:before="158" w:after="0"/>
        <w:ind w:left="852" w:right="726" w:hanging="710"/>
        <w:jc w:val="left"/>
        <w:rPr>
          <w:sz w:val="24"/>
        </w:rPr>
      </w:pPr>
      <w:r>
        <w:rPr>
          <w:spacing w:val="-2"/>
          <w:sz w:val="24"/>
        </w:rPr>
        <w:t>A</w:t>
      </w:r>
      <w:r>
        <w:rPr>
          <w:spacing w:val="-15"/>
          <w:sz w:val="24"/>
        </w:rPr>
        <w:t> </w:t>
      </w:r>
      <w:r>
        <w:rPr>
          <w:spacing w:val="-2"/>
          <w:sz w:val="24"/>
        </w:rPr>
        <w:t>draft</w:t>
      </w:r>
      <w:r>
        <w:rPr>
          <w:spacing w:val="-7"/>
          <w:sz w:val="24"/>
        </w:rPr>
        <w:t> </w:t>
      </w:r>
      <w:r>
        <w:rPr>
          <w:spacing w:val="-2"/>
          <w:sz w:val="24"/>
        </w:rPr>
        <w:t>Table</w:t>
      </w:r>
      <w:r>
        <w:rPr>
          <w:spacing w:val="-9"/>
          <w:sz w:val="24"/>
        </w:rPr>
        <w:t> </w:t>
      </w:r>
      <w:r>
        <w:rPr>
          <w:spacing w:val="-2"/>
          <w:sz w:val="24"/>
        </w:rPr>
        <w:t>of</w:t>
      </w:r>
      <w:r>
        <w:rPr>
          <w:spacing w:val="-12"/>
          <w:sz w:val="24"/>
        </w:rPr>
        <w:t> </w:t>
      </w:r>
      <w:r>
        <w:rPr>
          <w:spacing w:val="-2"/>
          <w:sz w:val="24"/>
        </w:rPr>
        <w:t>Actions</w:t>
      </w:r>
      <w:r>
        <w:rPr>
          <w:spacing w:val="-15"/>
          <w:sz w:val="24"/>
        </w:rPr>
        <w:t> </w:t>
      </w:r>
      <w:r>
        <w:rPr>
          <w:spacing w:val="-2"/>
          <w:sz w:val="24"/>
        </w:rPr>
        <w:t>will</w:t>
      </w:r>
      <w:r>
        <w:rPr>
          <w:spacing w:val="-14"/>
          <w:sz w:val="24"/>
        </w:rPr>
        <w:t> </w:t>
      </w:r>
      <w:r>
        <w:rPr>
          <w:spacing w:val="-2"/>
          <w:sz w:val="24"/>
        </w:rPr>
        <w:t>be</w:t>
      </w:r>
      <w:r>
        <w:rPr>
          <w:spacing w:val="-9"/>
          <w:sz w:val="24"/>
        </w:rPr>
        <w:t> </w:t>
      </w:r>
      <w:r>
        <w:rPr>
          <w:spacing w:val="-2"/>
          <w:sz w:val="24"/>
        </w:rPr>
        <w:t>issued</w:t>
      </w:r>
      <w:r>
        <w:rPr>
          <w:spacing w:val="-9"/>
          <w:sz w:val="24"/>
        </w:rPr>
        <w:t> </w:t>
      </w:r>
      <w:r>
        <w:rPr>
          <w:spacing w:val="-2"/>
          <w:sz w:val="24"/>
        </w:rPr>
        <w:t>within</w:t>
      </w:r>
      <w:r>
        <w:rPr>
          <w:spacing w:val="-5"/>
          <w:sz w:val="24"/>
        </w:rPr>
        <w:t> </w:t>
      </w:r>
      <w:r>
        <w:rPr>
          <w:spacing w:val="-2"/>
          <w:sz w:val="24"/>
        </w:rPr>
        <w:t>seven</w:t>
      </w:r>
      <w:r>
        <w:rPr>
          <w:spacing w:val="-13"/>
          <w:sz w:val="24"/>
        </w:rPr>
        <w:t> </w:t>
      </w:r>
      <w:r>
        <w:rPr>
          <w:spacing w:val="-2"/>
          <w:sz w:val="24"/>
        </w:rPr>
        <w:t>days</w:t>
      </w:r>
      <w:r>
        <w:rPr>
          <w:spacing w:val="-10"/>
          <w:sz w:val="24"/>
        </w:rPr>
        <w:t> </w:t>
      </w:r>
      <w:r>
        <w:rPr>
          <w:spacing w:val="-2"/>
          <w:sz w:val="24"/>
        </w:rPr>
        <w:t>of</w:t>
      </w:r>
      <w:r>
        <w:rPr>
          <w:spacing w:val="-7"/>
          <w:sz w:val="24"/>
        </w:rPr>
        <w:t> </w:t>
      </w:r>
      <w:r>
        <w:rPr>
          <w:spacing w:val="-2"/>
          <w:sz w:val="24"/>
        </w:rPr>
        <w:t>the</w:t>
      </w:r>
      <w:r>
        <w:rPr>
          <w:spacing w:val="-9"/>
          <w:sz w:val="24"/>
        </w:rPr>
        <w:t> </w:t>
      </w:r>
      <w:r>
        <w:rPr>
          <w:spacing w:val="-2"/>
          <w:sz w:val="24"/>
        </w:rPr>
        <w:t>meeting.</w:t>
      </w:r>
      <w:r>
        <w:rPr>
          <w:spacing w:val="-7"/>
          <w:sz w:val="24"/>
        </w:rPr>
        <w:t> </w:t>
      </w:r>
      <w:r>
        <w:rPr>
          <w:spacing w:val="-2"/>
          <w:sz w:val="24"/>
        </w:rPr>
        <w:t>The</w:t>
      </w:r>
      <w:r>
        <w:rPr>
          <w:spacing w:val="-9"/>
          <w:sz w:val="24"/>
        </w:rPr>
        <w:t> </w:t>
      </w:r>
      <w:r>
        <w:rPr>
          <w:spacing w:val="-2"/>
          <w:sz w:val="24"/>
        </w:rPr>
        <w:t>minutes</w:t>
      </w:r>
      <w:r>
        <w:rPr>
          <w:spacing w:val="-10"/>
          <w:sz w:val="24"/>
        </w:rPr>
        <w:t> </w:t>
      </w:r>
      <w:r>
        <w:rPr>
          <w:spacing w:val="-2"/>
          <w:sz w:val="24"/>
        </w:rPr>
        <w:t>and </w:t>
      </w:r>
      <w:r>
        <w:rPr>
          <w:sz w:val="24"/>
        </w:rPr>
        <w:t>action</w:t>
      </w:r>
      <w:r>
        <w:rPr>
          <w:spacing w:val="-17"/>
          <w:sz w:val="24"/>
        </w:rPr>
        <w:t> </w:t>
      </w:r>
      <w:r>
        <w:rPr>
          <w:sz w:val="24"/>
        </w:rPr>
        <w:t>log</w:t>
      </w:r>
      <w:r>
        <w:rPr>
          <w:spacing w:val="-17"/>
          <w:sz w:val="24"/>
        </w:rPr>
        <w:t> </w:t>
      </w:r>
      <w:r>
        <w:rPr>
          <w:sz w:val="24"/>
        </w:rPr>
        <w:t>will</w:t>
      </w:r>
      <w:r>
        <w:rPr>
          <w:spacing w:val="-16"/>
          <w:sz w:val="24"/>
        </w:rPr>
        <w:t> </w:t>
      </w:r>
      <w:r>
        <w:rPr>
          <w:sz w:val="24"/>
        </w:rPr>
        <w:t>be</w:t>
      </w:r>
      <w:r>
        <w:rPr>
          <w:spacing w:val="-17"/>
          <w:sz w:val="24"/>
        </w:rPr>
        <w:t> </w:t>
      </w:r>
      <w:r>
        <w:rPr>
          <w:sz w:val="24"/>
        </w:rPr>
        <w:t>circulated</w:t>
      </w:r>
      <w:r>
        <w:rPr>
          <w:spacing w:val="-17"/>
          <w:sz w:val="24"/>
        </w:rPr>
        <w:t> </w:t>
      </w:r>
      <w:r>
        <w:rPr>
          <w:sz w:val="24"/>
        </w:rPr>
        <w:t>to</w:t>
      </w:r>
      <w:r>
        <w:rPr>
          <w:spacing w:val="-17"/>
          <w:sz w:val="24"/>
        </w:rPr>
        <w:t> </w:t>
      </w:r>
      <w:r>
        <w:rPr>
          <w:sz w:val="24"/>
        </w:rPr>
        <w:t>members</w:t>
      </w:r>
      <w:r>
        <w:rPr>
          <w:spacing w:val="-16"/>
          <w:sz w:val="24"/>
        </w:rPr>
        <w:t> </w:t>
      </w:r>
      <w:r>
        <w:rPr>
          <w:sz w:val="24"/>
        </w:rPr>
        <w:t>within</w:t>
      </w:r>
      <w:r>
        <w:rPr>
          <w:spacing w:val="-17"/>
          <w:sz w:val="24"/>
        </w:rPr>
        <w:t> </w:t>
      </w:r>
      <w:r>
        <w:rPr>
          <w:sz w:val="24"/>
        </w:rPr>
        <w:t>seven</w:t>
      </w:r>
      <w:r>
        <w:rPr>
          <w:spacing w:val="-17"/>
          <w:sz w:val="24"/>
        </w:rPr>
        <w:t> </w:t>
      </w:r>
      <w:r>
        <w:rPr>
          <w:sz w:val="24"/>
        </w:rPr>
        <w:t>days</w:t>
      </w:r>
      <w:r>
        <w:rPr>
          <w:spacing w:val="-16"/>
          <w:sz w:val="24"/>
        </w:rPr>
        <w:t> </w:t>
      </w:r>
      <w:r>
        <w:rPr>
          <w:sz w:val="24"/>
        </w:rPr>
        <w:t>to</w:t>
      </w:r>
      <w:r>
        <w:rPr>
          <w:spacing w:val="-17"/>
          <w:sz w:val="24"/>
        </w:rPr>
        <w:t> </w:t>
      </w:r>
      <w:r>
        <w:rPr>
          <w:sz w:val="24"/>
        </w:rPr>
        <w:t>check</w:t>
      </w:r>
      <w:r>
        <w:rPr>
          <w:spacing w:val="-17"/>
          <w:sz w:val="24"/>
        </w:rPr>
        <w:t> </w:t>
      </w:r>
      <w:r>
        <w:rPr>
          <w:sz w:val="24"/>
        </w:rPr>
        <w:t>the</w:t>
      </w:r>
      <w:r>
        <w:rPr>
          <w:spacing w:val="-16"/>
          <w:sz w:val="24"/>
        </w:rPr>
        <w:t> </w:t>
      </w:r>
      <w:r>
        <w:rPr>
          <w:sz w:val="24"/>
        </w:rPr>
        <w:t>accuracy,</w:t>
      </w:r>
      <w:r>
        <w:rPr>
          <w:spacing w:val="-17"/>
          <w:sz w:val="24"/>
        </w:rPr>
        <w:t> </w:t>
      </w:r>
      <w:r>
        <w:rPr>
          <w:sz w:val="24"/>
        </w:rPr>
        <w:t>prior</w:t>
      </w:r>
      <w:r>
        <w:rPr>
          <w:spacing w:val="-17"/>
          <w:sz w:val="24"/>
        </w:rPr>
        <w:t> </w:t>
      </w:r>
      <w:r>
        <w:rPr>
          <w:sz w:val="24"/>
        </w:rPr>
        <w:t>to sending</w:t>
      </w:r>
      <w:r>
        <w:rPr>
          <w:spacing w:val="-13"/>
          <w:sz w:val="24"/>
        </w:rPr>
        <w:t> </w:t>
      </w:r>
      <w:r>
        <w:rPr>
          <w:sz w:val="24"/>
        </w:rPr>
        <w:t>to</w:t>
      </w:r>
      <w:r>
        <w:rPr>
          <w:spacing w:val="-13"/>
          <w:sz w:val="24"/>
        </w:rPr>
        <w:t> </w:t>
      </w:r>
      <w:r>
        <w:rPr>
          <w:sz w:val="24"/>
        </w:rPr>
        <w:t>Members</w:t>
      </w:r>
      <w:r>
        <w:rPr>
          <w:spacing w:val="-14"/>
          <w:sz w:val="24"/>
        </w:rPr>
        <w:t> </w:t>
      </w:r>
      <w:r>
        <w:rPr>
          <w:sz w:val="24"/>
        </w:rPr>
        <w:t>(including</w:t>
      </w:r>
      <w:r>
        <w:rPr>
          <w:spacing w:val="-9"/>
          <w:sz w:val="24"/>
        </w:rPr>
        <w:t> </w:t>
      </w:r>
      <w:r>
        <w:rPr>
          <w:sz w:val="24"/>
        </w:rPr>
        <w:t>the</w:t>
      </w:r>
      <w:r>
        <w:rPr>
          <w:spacing w:val="-12"/>
          <w:sz w:val="24"/>
        </w:rPr>
        <w:t> </w:t>
      </w:r>
      <w:r>
        <w:rPr>
          <w:sz w:val="24"/>
        </w:rPr>
        <w:t>Regional</w:t>
      </w:r>
      <w:r>
        <w:rPr>
          <w:spacing w:val="-13"/>
          <w:sz w:val="24"/>
        </w:rPr>
        <w:t> </w:t>
      </w:r>
      <w:r>
        <w:rPr>
          <w:sz w:val="24"/>
        </w:rPr>
        <w:t>Research,</w:t>
      </w:r>
      <w:r>
        <w:rPr>
          <w:spacing w:val="-16"/>
          <w:sz w:val="24"/>
        </w:rPr>
        <w:t> </w:t>
      </w:r>
      <w:r>
        <w:rPr>
          <w:sz w:val="24"/>
        </w:rPr>
        <w:t>Innovation</w:t>
      </w:r>
      <w:r>
        <w:rPr>
          <w:spacing w:val="-13"/>
          <w:sz w:val="24"/>
        </w:rPr>
        <w:t> </w:t>
      </w:r>
      <w:r>
        <w:rPr>
          <w:sz w:val="24"/>
        </w:rPr>
        <w:t>and</w:t>
      </w:r>
      <w:r>
        <w:rPr>
          <w:spacing w:val="-13"/>
          <w:sz w:val="24"/>
        </w:rPr>
        <w:t> </w:t>
      </w:r>
      <w:r>
        <w:rPr>
          <w:sz w:val="24"/>
        </w:rPr>
        <w:t>Excellence Subgroup</w:t>
      </w:r>
      <w:r>
        <w:rPr>
          <w:spacing w:val="-4"/>
          <w:sz w:val="24"/>
        </w:rPr>
        <w:t> </w:t>
      </w:r>
      <w:r>
        <w:rPr>
          <w:sz w:val="24"/>
        </w:rPr>
        <w:t>Co-Chairs)</w:t>
      </w:r>
      <w:r>
        <w:rPr>
          <w:spacing w:val="-1"/>
          <w:sz w:val="24"/>
        </w:rPr>
        <w:t> </w:t>
      </w:r>
      <w:r>
        <w:rPr>
          <w:sz w:val="24"/>
        </w:rPr>
        <w:t>to</w:t>
      </w:r>
      <w:r>
        <w:rPr>
          <w:spacing w:val="-5"/>
          <w:sz w:val="24"/>
        </w:rPr>
        <w:t> </w:t>
      </w:r>
      <w:r>
        <w:rPr>
          <w:sz w:val="24"/>
        </w:rPr>
        <w:t>review</w:t>
      </w:r>
      <w:r>
        <w:rPr>
          <w:spacing w:val="-10"/>
          <w:sz w:val="24"/>
        </w:rPr>
        <w:t> </w:t>
      </w:r>
      <w:r>
        <w:rPr>
          <w:sz w:val="24"/>
        </w:rPr>
        <w:t>within the</w:t>
      </w:r>
      <w:r>
        <w:rPr>
          <w:spacing w:val="-5"/>
          <w:sz w:val="24"/>
        </w:rPr>
        <w:t> </w:t>
      </w:r>
      <w:r>
        <w:rPr>
          <w:sz w:val="24"/>
        </w:rPr>
        <w:t>next</w:t>
      </w:r>
      <w:r>
        <w:rPr>
          <w:spacing w:val="-8"/>
          <w:sz w:val="24"/>
        </w:rPr>
        <w:t> </w:t>
      </w:r>
      <w:r>
        <w:rPr>
          <w:sz w:val="24"/>
        </w:rPr>
        <w:t>seven</w:t>
      </w:r>
      <w:r>
        <w:rPr>
          <w:spacing w:val="-10"/>
          <w:sz w:val="24"/>
        </w:rPr>
        <w:t> </w:t>
      </w:r>
      <w:r>
        <w:rPr>
          <w:sz w:val="24"/>
        </w:rPr>
        <w:t>days.</w:t>
      </w:r>
    </w:p>
    <w:p>
      <w:pPr>
        <w:pStyle w:val="BodyText"/>
        <w:rPr>
          <w:sz w:val="20"/>
        </w:rPr>
      </w:pPr>
    </w:p>
    <w:p>
      <w:pPr>
        <w:pStyle w:val="BodyText"/>
        <w:rPr>
          <w:sz w:val="20"/>
        </w:rPr>
      </w:pPr>
    </w:p>
    <w:p>
      <w:pPr>
        <w:pStyle w:val="BodyText"/>
        <w:spacing w:before="229"/>
        <w:rPr>
          <w:sz w:val="20"/>
        </w:rPr>
      </w:pPr>
    </w:p>
    <w:p>
      <w:pPr>
        <w:spacing w:before="1"/>
        <w:ind w:left="4" w:right="284" w:firstLine="0"/>
        <w:jc w:val="center"/>
        <w:rPr>
          <w:sz w:val="20"/>
        </w:rPr>
      </w:pPr>
      <w:r>
        <w:rPr>
          <w:spacing w:val="-10"/>
          <w:sz w:val="20"/>
        </w:rPr>
        <w:t>4</w:t>
      </w:r>
    </w:p>
    <w:p>
      <w:pPr>
        <w:spacing w:after="0"/>
        <w:jc w:val="center"/>
        <w:rPr>
          <w:sz w:val="20"/>
        </w:rPr>
        <w:sectPr>
          <w:pgSz w:w="11910" w:h="16840"/>
          <w:pgMar w:header="0" w:footer="149" w:top="980" w:bottom="340" w:left="708" w:right="425"/>
        </w:sectPr>
      </w:pPr>
    </w:p>
    <w:p>
      <w:pPr>
        <w:pStyle w:val="ListParagraph"/>
        <w:numPr>
          <w:ilvl w:val="1"/>
          <w:numId w:val="64"/>
        </w:numPr>
        <w:tabs>
          <w:tab w:pos="852" w:val="left" w:leader="none"/>
        </w:tabs>
        <w:spacing w:line="242" w:lineRule="auto" w:before="75" w:after="0"/>
        <w:ind w:left="852" w:right="415" w:hanging="710"/>
        <w:jc w:val="left"/>
        <w:rPr>
          <w:sz w:val="24"/>
        </w:rPr>
      </w:pPr>
      <w:r>
        <w:rPr>
          <w:spacing w:val="-2"/>
          <w:sz w:val="24"/>
        </w:rPr>
        <w:t>Members</w:t>
      </w:r>
      <w:r>
        <w:rPr>
          <w:spacing w:val="-12"/>
          <w:sz w:val="24"/>
        </w:rPr>
        <w:t> </w:t>
      </w:r>
      <w:r>
        <w:rPr>
          <w:spacing w:val="-2"/>
          <w:sz w:val="24"/>
        </w:rPr>
        <w:t>must</w:t>
      </w:r>
      <w:r>
        <w:rPr>
          <w:spacing w:val="-9"/>
          <w:sz w:val="24"/>
        </w:rPr>
        <w:t> </w:t>
      </w:r>
      <w:r>
        <w:rPr>
          <w:spacing w:val="-2"/>
          <w:sz w:val="24"/>
        </w:rPr>
        <w:t>forward</w:t>
      </w:r>
      <w:r>
        <w:rPr>
          <w:spacing w:val="-11"/>
          <w:sz w:val="24"/>
        </w:rPr>
        <w:t> </w:t>
      </w:r>
      <w:r>
        <w:rPr>
          <w:spacing w:val="-2"/>
          <w:sz w:val="24"/>
        </w:rPr>
        <w:t>amendments</w:t>
      </w:r>
      <w:r>
        <w:rPr>
          <w:spacing w:val="-12"/>
          <w:sz w:val="24"/>
        </w:rPr>
        <w:t> </w:t>
      </w:r>
      <w:r>
        <w:rPr>
          <w:spacing w:val="-2"/>
          <w:sz w:val="24"/>
        </w:rPr>
        <w:t>to</w:t>
      </w:r>
      <w:r>
        <w:rPr>
          <w:spacing w:val="-11"/>
          <w:sz w:val="24"/>
        </w:rPr>
        <w:t> </w:t>
      </w:r>
      <w:r>
        <w:rPr>
          <w:spacing w:val="-2"/>
          <w:sz w:val="24"/>
        </w:rPr>
        <w:t>the</w:t>
      </w:r>
      <w:r>
        <w:rPr>
          <w:spacing w:val="-8"/>
          <w:sz w:val="24"/>
        </w:rPr>
        <w:t> </w:t>
      </w:r>
      <w:r>
        <w:rPr>
          <w:spacing w:val="-2"/>
          <w:sz w:val="24"/>
        </w:rPr>
        <w:t>Chair</w:t>
      </w:r>
      <w:r>
        <w:rPr>
          <w:spacing w:val="-11"/>
          <w:sz w:val="24"/>
        </w:rPr>
        <w:t> </w:t>
      </w:r>
      <w:r>
        <w:rPr>
          <w:spacing w:val="-2"/>
          <w:sz w:val="24"/>
        </w:rPr>
        <w:t>within</w:t>
      </w:r>
      <w:r>
        <w:rPr>
          <w:spacing w:val="-11"/>
          <w:sz w:val="24"/>
        </w:rPr>
        <w:t> </w:t>
      </w:r>
      <w:r>
        <w:rPr>
          <w:spacing w:val="-2"/>
          <w:sz w:val="24"/>
        </w:rPr>
        <w:t>the</w:t>
      </w:r>
      <w:r>
        <w:rPr>
          <w:spacing w:val="-15"/>
          <w:sz w:val="24"/>
        </w:rPr>
        <w:t> </w:t>
      </w:r>
      <w:r>
        <w:rPr>
          <w:spacing w:val="-2"/>
          <w:sz w:val="24"/>
        </w:rPr>
        <w:t>next</w:t>
      </w:r>
      <w:r>
        <w:rPr>
          <w:spacing w:val="-13"/>
          <w:sz w:val="24"/>
        </w:rPr>
        <w:t> </w:t>
      </w:r>
      <w:r>
        <w:rPr>
          <w:spacing w:val="-2"/>
          <w:sz w:val="24"/>
        </w:rPr>
        <w:t>seven</w:t>
      </w:r>
      <w:r>
        <w:rPr>
          <w:spacing w:val="-11"/>
          <w:sz w:val="24"/>
        </w:rPr>
        <w:t> </w:t>
      </w:r>
      <w:r>
        <w:rPr>
          <w:spacing w:val="-2"/>
          <w:sz w:val="24"/>
        </w:rPr>
        <w:t>days.</w:t>
      </w:r>
      <w:r>
        <w:rPr>
          <w:spacing w:val="-13"/>
          <w:sz w:val="24"/>
        </w:rPr>
        <w:t> </w:t>
      </w:r>
      <w:r>
        <w:rPr>
          <w:spacing w:val="-2"/>
          <w:sz w:val="24"/>
        </w:rPr>
        <w:t>The</w:t>
      </w:r>
      <w:r>
        <w:rPr>
          <w:spacing w:val="-9"/>
          <w:sz w:val="24"/>
        </w:rPr>
        <w:t> </w:t>
      </w:r>
      <w:r>
        <w:rPr>
          <w:spacing w:val="-2"/>
          <w:sz w:val="24"/>
        </w:rPr>
        <w:t>Subgroup </w:t>
      </w:r>
      <w:r>
        <w:rPr>
          <w:sz w:val="24"/>
        </w:rPr>
        <w:t>Secretary</w:t>
      </w:r>
      <w:r>
        <w:rPr>
          <w:spacing w:val="-13"/>
          <w:sz w:val="24"/>
        </w:rPr>
        <w:t> </w:t>
      </w:r>
      <w:r>
        <w:rPr>
          <w:sz w:val="24"/>
        </w:rPr>
        <w:t>will</w:t>
      </w:r>
      <w:r>
        <w:rPr>
          <w:spacing w:val="-13"/>
          <w:sz w:val="24"/>
        </w:rPr>
        <w:t> </w:t>
      </w:r>
      <w:r>
        <w:rPr>
          <w:sz w:val="24"/>
        </w:rPr>
        <w:t>then</w:t>
      </w:r>
      <w:r>
        <w:rPr>
          <w:spacing w:val="-13"/>
          <w:sz w:val="24"/>
        </w:rPr>
        <w:t> </w:t>
      </w:r>
      <w:r>
        <w:rPr>
          <w:sz w:val="24"/>
        </w:rPr>
        <w:t>forward</w:t>
      </w:r>
      <w:r>
        <w:rPr>
          <w:spacing w:val="-9"/>
          <w:sz w:val="24"/>
        </w:rPr>
        <w:t> </w:t>
      </w:r>
      <w:r>
        <w:rPr>
          <w:sz w:val="24"/>
        </w:rPr>
        <w:t>the</w:t>
      </w:r>
      <w:r>
        <w:rPr>
          <w:spacing w:val="-13"/>
          <w:sz w:val="24"/>
        </w:rPr>
        <w:t> </w:t>
      </w:r>
      <w:r>
        <w:rPr>
          <w:sz w:val="24"/>
        </w:rPr>
        <w:t>final</w:t>
      </w:r>
      <w:r>
        <w:rPr>
          <w:spacing w:val="-13"/>
          <w:sz w:val="24"/>
        </w:rPr>
        <w:t> </w:t>
      </w:r>
      <w:r>
        <w:rPr>
          <w:sz w:val="24"/>
        </w:rPr>
        <w:t>version</w:t>
      </w:r>
      <w:r>
        <w:rPr>
          <w:spacing w:val="-9"/>
          <w:sz w:val="24"/>
        </w:rPr>
        <w:t> </w:t>
      </w:r>
      <w:r>
        <w:rPr>
          <w:sz w:val="24"/>
        </w:rPr>
        <w:t>to</w:t>
      </w:r>
      <w:r>
        <w:rPr>
          <w:spacing w:val="-13"/>
          <w:sz w:val="24"/>
        </w:rPr>
        <w:t> </w:t>
      </w:r>
      <w:r>
        <w:rPr>
          <w:sz w:val="24"/>
        </w:rPr>
        <w:t>the</w:t>
      </w:r>
      <w:r>
        <w:rPr>
          <w:spacing w:val="-11"/>
          <w:sz w:val="24"/>
        </w:rPr>
        <w:t> </w:t>
      </w:r>
      <w:r>
        <w:rPr>
          <w:sz w:val="24"/>
        </w:rPr>
        <w:t>Regional</w:t>
      </w:r>
      <w:r>
        <w:rPr>
          <w:spacing w:val="-13"/>
          <w:sz w:val="24"/>
        </w:rPr>
        <w:t> </w:t>
      </w:r>
      <w:r>
        <w:rPr>
          <w:sz w:val="24"/>
        </w:rPr>
        <w:t>Research,</w:t>
      </w:r>
      <w:r>
        <w:rPr>
          <w:spacing w:val="-16"/>
          <w:sz w:val="24"/>
        </w:rPr>
        <w:t> </w:t>
      </w:r>
      <w:r>
        <w:rPr>
          <w:sz w:val="24"/>
        </w:rPr>
        <w:t>Innovation</w:t>
      </w:r>
      <w:r>
        <w:rPr>
          <w:spacing w:val="-13"/>
          <w:sz w:val="24"/>
        </w:rPr>
        <w:t> </w:t>
      </w:r>
      <w:r>
        <w:rPr>
          <w:sz w:val="24"/>
        </w:rPr>
        <w:t>and Excellence Subgroup Co-Chairs for</w:t>
      </w:r>
      <w:r>
        <w:rPr>
          <w:spacing w:val="-3"/>
          <w:sz w:val="24"/>
        </w:rPr>
        <w:t> </w:t>
      </w:r>
      <w:r>
        <w:rPr>
          <w:sz w:val="24"/>
        </w:rPr>
        <w:t>approval</w:t>
      </w:r>
    </w:p>
    <w:p>
      <w:pPr>
        <w:pStyle w:val="BodyText"/>
        <w:spacing w:before="1"/>
        <w:rPr>
          <w:sz w:val="16"/>
        </w:rPr>
      </w:pPr>
      <w:r>
        <w:rPr>
          <w:sz w:val="16"/>
        </w:rPr>
        <mc:AlternateContent>
          <mc:Choice Requires="wps">
            <w:drawing>
              <wp:anchor distT="0" distB="0" distL="0" distR="0" allowOverlap="1" layoutInCell="1" locked="0" behindDoc="1" simplePos="0" relativeHeight="487676928">
                <wp:simplePos x="0" y="0"/>
                <wp:positionH relativeFrom="page">
                  <wp:posOffset>574992</wp:posOffset>
                </wp:positionH>
                <wp:positionV relativeFrom="paragraph">
                  <wp:posOffset>139313</wp:posOffset>
                </wp:positionV>
                <wp:extent cx="6575425" cy="193675"/>
                <wp:effectExtent l="0" t="0" r="0" b="0"/>
                <wp:wrapTopAndBottom/>
                <wp:docPr id="499" name="Textbox 499"/>
                <wp:cNvGraphicFramePr>
                  <a:graphicFrameLocks/>
                </wp:cNvGraphicFramePr>
                <a:graphic>
                  <a:graphicData uri="http://schemas.microsoft.com/office/word/2010/wordprocessingShape">
                    <wps:wsp>
                      <wps:cNvPr id="499" name="Textbox 499"/>
                      <wps:cNvSpPr txBox="1"/>
                      <wps:spPr>
                        <a:xfrm>
                          <a:off x="0" y="0"/>
                          <a:ext cx="6575425" cy="193675"/>
                        </a:xfrm>
                        <a:prstGeom prst="rect">
                          <a:avLst/>
                        </a:prstGeom>
                        <a:solidFill>
                          <a:srgbClr val="C1A875"/>
                        </a:solidFill>
                        <a:ln w="12700">
                          <a:solidFill>
                            <a:srgbClr val="394871"/>
                          </a:solidFill>
                          <a:prstDash val="solid"/>
                        </a:ln>
                      </wps:spPr>
                      <wps:txbx>
                        <w:txbxContent>
                          <w:p>
                            <w:pPr>
                              <w:tabs>
                                <w:tab w:pos="454" w:val="left" w:leader="none"/>
                              </w:tabs>
                              <w:spacing w:before="0"/>
                              <w:ind w:left="95" w:right="0" w:firstLine="0"/>
                              <w:jc w:val="left"/>
                              <w:rPr>
                                <w:b/>
                                <w:color w:val="000000"/>
                                <w:sz w:val="24"/>
                              </w:rPr>
                            </w:pPr>
                            <w:r>
                              <w:rPr>
                                <w:b/>
                                <w:color w:val="000000"/>
                                <w:spacing w:val="-10"/>
                                <w:sz w:val="24"/>
                              </w:rPr>
                              <w:t>9</w:t>
                            </w:r>
                            <w:r>
                              <w:rPr>
                                <w:b/>
                                <w:color w:val="000000"/>
                                <w:sz w:val="24"/>
                              </w:rPr>
                              <w:tab/>
                              <w:t>Frequency</w:t>
                            </w:r>
                            <w:r>
                              <w:rPr>
                                <w:b/>
                                <w:color w:val="000000"/>
                                <w:spacing w:val="-7"/>
                                <w:sz w:val="24"/>
                              </w:rPr>
                              <w:t> </w:t>
                            </w:r>
                            <w:r>
                              <w:rPr>
                                <w:b/>
                                <w:color w:val="000000"/>
                                <w:sz w:val="24"/>
                              </w:rPr>
                              <w:t>of </w:t>
                            </w:r>
                            <w:r>
                              <w:rPr>
                                <w:b/>
                                <w:color w:val="000000"/>
                                <w:spacing w:val="-2"/>
                                <w:sz w:val="24"/>
                              </w:rPr>
                              <w:t>Meetings</w:t>
                            </w:r>
                          </w:p>
                        </w:txbxContent>
                      </wps:txbx>
                      <wps:bodyPr wrap="square" lIns="0" tIns="0" rIns="0" bIns="0" rtlCol="0">
                        <a:noAutofit/>
                      </wps:bodyPr>
                    </wps:wsp>
                  </a:graphicData>
                </a:graphic>
              </wp:anchor>
            </w:drawing>
          </mc:Choice>
          <mc:Fallback>
            <w:pict>
              <v:shape style="position:absolute;margin-left:45.275002pt;margin-top:10.969551pt;width:517.75pt;height:15.25pt;mso-position-horizontal-relative:page;mso-position-vertical-relative:paragraph;z-index:-15639552;mso-wrap-distance-left:0;mso-wrap-distance-right:0" type="#_x0000_t202" id="docshape278" filled="true" fillcolor="#c1a875" stroked="true" strokeweight="1pt" strokecolor="#394871">
                <v:textbox inset="0,0,0,0">
                  <w:txbxContent>
                    <w:p>
                      <w:pPr>
                        <w:tabs>
                          <w:tab w:pos="454" w:val="left" w:leader="none"/>
                        </w:tabs>
                        <w:spacing w:before="0"/>
                        <w:ind w:left="95" w:right="0" w:firstLine="0"/>
                        <w:jc w:val="left"/>
                        <w:rPr>
                          <w:b/>
                          <w:color w:val="000000"/>
                          <w:sz w:val="24"/>
                        </w:rPr>
                      </w:pPr>
                      <w:r>
                        <w:rPr>
                          <w:b/>
                          <w:color w:val="000000"/>
                          <w:spacing w:val="-10"/>
                          <w:sz w:val="24"/>
                        </w:rPr>
                        <w:t>9</w:t>
                      </w:r>
                      <w:r>
                        <w:rPr>
                          <w:b/>
                          <w:color w:val="000000"/>
                          <w:sz w:val="24"/>
                        </w:rPr>
                        <w:tab/>
                        <w:t>Frequency</w:t>
                      </w:r>
                      <w:r>
                        <w:rPr>
                          <w:b/>
                          <w:color w:val="000000"/>
                          <w:spacing w:val="-7"/>
                          <w:sz w:val="24"/>
                        </w:rPr>
                        <w:t> </w:t>
                      </w:r>
                      <w:r>
                        <w:rPr>
                          <w:b/>
                          <w:color w:val="000000"/>
                          <w:sz w:val="24"/>
                        </w:rPr>
                        <w:t>of </w:t>
                      </w:r>
                      <w:r>
                        <w:rPr>
                          <w:b/>
                          <w:color w:val="000000"/>
                          <w:spacing w:val="-2"/>
                          <w:sz w:val="24"/>
                        </w:rPr>
                        <w:t>Meetings</w:t>
                      </w:r>
                    </w:p>
                  </w:txbxContent>
                </v:textbox>
                <v:fill type="solid"/>
                <v:stroke dashstyle="solid"/>
                <w10:wrap type="topAndBottom"/>
              </v:shape>
            </w:pict>
          </mc:Fallback>
        </mc:AlternateContent>
      </w:r>
    </w:p>
    <w:p>
      <w:pPr>
        <w:pStyle w:val="ListParagraph"/>
        <w:numPr>
          <w:ilvl w:val="1"/>
          <w:numId w:val="65"/>
        </w:numPr>
        <w:tabs>
          <w:tab w:pos="852" w:val="left" w:leader="none"/>
        </w:tabs>
        <w:spacing w:line="240" w:lineRule="auto" w:before="170" w:after="0"/>
        <w:ind w:left="852" w:right="720" w:hanging="710"/>
        <w:jc w:val="left"/>
        <w:rPr>
          <w:sz w:val="24"/>
        </w:rPr>
      </w:pPr>
      <w:r>
        <w:rPr>
          <w:sz w:val="24"/>
        </w:rPr>
        <w:t>The</w:t>
      </w:r>
      <w:r>
        <w:rPr>
          <w:spacing w:val="-13"/>
          <w:sz w:val="24"/>
        </w:rPr>
        <w:t> </w:t>
      </w:r>
      <w:r>
        <w:rPr>
          <w:sz w:val="24"/>
        </w:rPr>
        <w:t>Regional</w:t>
      </w:r>
      <w:r>
        <w:rPr>
          <w:spacing w:val="-12"/>
          <w:sz w:val="24"/>
        </w:rPr>
        <w:t> </w:t>
      </w:r>
      <w:r>
        <w:rPr>
          <w:sz w:val="24"/>
        </w:rPr>
        <w:t>Research,</w:t>
      </w:r>
      <w:r>
        <w:rPr>
          <w:spacing w:val="-11"/>
          <w:sz w:val="24"/>
        </w:rPr>
        <w:t> </w:t>
      </w:r>
      <w:r>
        <w:rPr>
          <w:sz w:val="24"/>
        </w:rPr>
        <w:t>Innovation</w:t>
      </w:r>
      <w:r>
        <w:rPr>
          <w:spacing w:val="-12"/>
          <w:sz w:val="24"/>
        </w:rPr>
        <w:t> </w:t>
      </w:r>
      <w:r>
        <w:rPr>
          <w:sz w:val="24"/>
        </w:rPr>
        <w:t>and</w:t>
      </w:r>
      <w:r>
        <w:rPr>
          <w:spacing w:val="-12"/>
          <w:sz w:val="24"/>
        </w:rPr>
        <w:t> </w:t>
      </w:r>
      <w:r>
        <w:rPr>
          <w:sz w:val="24"/>
        </w:rPr>
        <w:t>Excellence</w:t>
      </w:r>
      <w:r>
        <w:rPr>
          <w:spacing w:val="-12"/>
          <w:sz w:val="24"/>
        </w:rPr>
        <w:t> </w:t>
      </w:r>
      <w:r>
        <w:rPr>
          <w:sz w:val="24"/>
        </w:rPr>
        <w:t>Subgroup</w:t>
      </w:r>
      <w:r>
        <w:rPr>
          <w:spacing w:val="-12"/>
          <w:sz w:val="24"/>
        </w:rPr>
        <w:t> </w:t>
      </w:r>
      <w:r>
        <w:rPr>
          <w:sz w:val="24"/>
        </w:rPr>
        <w:t>will</w:t>
      </w:r>
      <w:r>
        <w:rPr>
          <w:spacing w:val="-12"/>
          <w:sz w:val="24"/>
        </w:rPr>
        <w:t> </w:t>
      </w:r>
      <w:r>
        <w:rPr>
          <w:sz w:val="24"/>
        </w:rPr>
        <w:t>meet</w:t>
      </w:r>
      <w:r>
        <w:rPr>
          <w:spacing w:val="-17"/>
          <w:sz w:val="24"/>
        </w:rPr>
        <w:t> </w:t>
      </w:r>
      <w:r>
        <w:rPr>
          <w:sz w:val="24"/>
        </w:rPr>
        <w:t>bi-monthly</w:t>
      </w:r>
      <w:r>
        <w:rPr>
          <w:spacing w:val="-12"/>
          <w:sz w:val="24"/>
        </w:rPr>
        <w:t> </w:t>
      </w:r>
      <w:r>
        <w:rPr>
          <w:sz w:val="24"/>
        </w:rPr>
        <w:t>and </w:t>
      </w:r>
      <w:r>
        <w:rPr>
          <w:spacing w:val="-2"/>
          <w:sz w:val="24"/>
        </w:rPr>
        <w:t>shall</w:t>
      </w:r>
      <w:r>
        <w:rPr>
          <w:spacing w:val="-11"/>
          <w:sz w:val="24"/>
        </w:rPr>
        <w:t> </w:t>
      </w:r>
      <w:r>
        <w:rPr>
          <w:spacing w:val="-2"/>
          <w:sz w:val="24"/>
        </w:rPr>
        <w:t>agree</w:t>
      </w:r>
      <w:r>
        <w:rPr>
          <w:spacing w:val="-11"/>
          <w:sz w:val="24"/>
        </w:rPr>
        <w:t> </w:t>
      </w:r>
      <w:r>
        <w:rPr>
          <w:spacing w:val="-2"/>
          <w:sz w:val="24"/>
        </w:rPr>
        <w:t>an</w:t>
      </w:r>
      <w:r>
        <w:rPr>
          <w:spacing w:val="-11"/>
          <w:sz w:val="24"/>
        </w:rPr>
        <w:t> </w:t>
      </w:r>
      <w:r>
        <w:rPr>
          <w:spacing w:val="-2"/>
          <w:sz w:val="24"/>
        </w:rPr>
        <w:t>annual</w:t>
      </w:r>
      <w:r>
        <w:rPr>
          <w:spacing w:val="-5"/>
          <w:sz w:val="24"/>
        </w:rPr>
        <w:t> </w:t>
      </w:r>
      <w:r>
        <w:rPr>
          <w:spacing w:val="-2"/>
          <w:sz w:val="24"/>
        </w:rPr>
        <w:t>schedule</w:t>
      </w:r>
      <w:r>
        <w:rPr>
          <w:spacing w:val="-15"/>
          <w:sz w:val="24"/>
        </w:rPr>
        <w:t> </w:t>
      </w:r>
      <w:r>
        <w:rPr>
          <w:spacing w:val="-2"/>
          <w:sz w:val="24"/>
        </w:rPr>
        <w:t>of</w:t>
      </w:r>
      <w:r>
        <w:rPr>
          <w:spacing w:val="-13"/>
          <w:sz w:val="24"/>
        </w:rPr>
        <w:t> </w:t>
      </w:r>
      <w:r>
        <w:rPr>
          <w:spacing w:val="-2"/>
          <w:sz w:val="24"/>
        </w:rPr>
        <w:t>meetings.</w:t>
      </w:r>
      <w:r>
        <w:rPr>
          <w:spacing w:val="40"/>
          <w:sz w:val="24"/>
        </w:rPr>
        <w:t> </w:t>
      </w:r>
      <w:r>
        <w:rPr>
          <w:spacing w:val="-2"/>
          <w:sz w:val="24"/>
        </w:rPr>
        <w:t>Any</w:t>
      </w:r>
      <w:r>
        <w:rPr>
          <w:spacing w:val="-11"/>
          <w:sz w:val="24"/>
        </w:rPr>
        <w:t> </w:t>
      </w:r>
      <w:r>
        <w:rPr>
          <w:spacing w:val="-2"/>
          <w:sz w:val="24"/>
        </w:rPr>
        <w:t>additional</w:t>
      </w:r>
      <w:r>
        <w:rPr>
          <w:spacing w:val="-11"/>
          <w:sz w:val="24"/>
        </w:rPr>
        <w:t> </w:t>
      </w:r>
      <w:r>
        <w:rPr>
          <w:spacing w:val="-2"/>
          <w:sz w:val="24"/>
        </w:rPr>
        <w:t>meetings</w:t>
      </w:r>
      <w:r>
        <w:rPr>
          <w:spacing w:val="-11"/>
          <w:sz w:val="24"/>
        </w:rPr>
        <w:t> </w:t>
      </w:r>
      <w:r>
        <w:rPr>
          <w:spacing w:val="-2"/>
          <w:sz w:val="24"/>
        </w:rPr>
        <w:t>will</w:t>
      </w:r>
      <w:r>
        <w:rPr>
          <w:spacing w:val="-11"/>
          <w:sz w:val="24"/>
        </w:rPr>
        <w:t> </w:t>
      </w:r>
      <w:r>
        <w:rPr>
          <w:spacing w:val="-2"/>
          <w:sz w:val="24"/>
        </w:rPr>
        <w:t>be</w:t>
      </w:r>
      <w:r>
        <w:rPr>
          <w:spacing w:val="-11"/>
          <w:sz w:val="24"/>
        </w:rPr>
        <w:t> </w:t>
      </w:r>
      <w:r>
        <w:rPr>
          <w:spacing w:val="-2"/>
          <w:sz w:val="24"/>
        </w:rPr>
        <w:t>arranged</w:t>
      </w:r>
      <w:r>
        <w:rPr>
          <w:spacing w:val="-11"/>
          <w:sz w:val="24"/>
        </w:rPr>
        <w:t> </w:t>
      </w:r>
      <w:r>
        <w:rPr>
          <w:spacing w:val="-2"/>
          <w:sz w:val="24"/>
        </w:rPr>
        <w:t>as </w:t>
      </w:r>
      <w:r>
        <w:rPr>
          <w:sz w:val="24"/>
        </w:rPr>
        <w:t>determined</w:t>
      </w:r>
      <w:r>
        <w:rPr>
          <w:spacing w:val="-12"/>
          <w:sz w:val="24"/>
        </w:rPr>
        <w:t> </w:t>
      </w:r>
      <w:r>
        <w:rPr>
          <w:sz w:val="24"/>
        </w:rPr>
        <w:t>by</w:t>
      </w:r>
      <w:r>
        <w:rPr>
          <w:spacing w:val="-8"/>
          <w:sz w:val="24"/>
        </w:rPr>
        <w:t> </w:t>
      </w:r>
      <w:r>
        <w:rPr>
          <w:sz w:val="24"/>
        </w:rPr>
        <w:t>the</w:t>
      </w:r>
      <w:r>
        <w:rPr>
          <w:spacing w:val="-11"/>
          <w:sz w:val="24"/>
        </w:rPr>
        <w:t> </w:t>
      </w:r>
      <w:r>
        <w:rPr>
          <w:sz w:val="24"/>
        </w:rPr>
        <w:t>Co-Chairs</w:t>
      </w:r>
      <w:r>
        <w:rPr>
          <w:spacing w:val="-13"/>
          <w:sz w:val="24"/>
        </w:rPr>
        <w:t> </w:t>
      </w:r>
      <w:r>
        <w:rPr>
          <w:sz w:val="24"/>
        </w:rPr>
        <w:t>of</w:t>
      </w:r>
      <w:r>
        <w:rPr>
          <w:spacing w:val="-14"/>
          <w:sz w:val="24"/>
        </w:rPr>
        <w:t> </w:t>
      </w:r>
      <w:r>
        <w:rPr>
          <w:sz w:val="24"/>
        </w:rPr>
        <w:t>the</w:t>
      </w:r>
      <w:r>
        <w:rPr>
          <w:spacing w:val="-16"/>
          <w:sz w:val="24"/>
        </w:rPr>
        <w:t> </w:t>
      </w:r>
      <w:r>
        <w:rPr>
          <w:sz w:val="24"/>
        </w:rPr>
        <w:t>Regional</w:t>
      </w:r>
      <w:r>
        <w:rPr>
          <w:spacing w:val="-12"/>
          <w:sz w:val="24"/>
        </w:rPr>
        <w:t> </w:t>
      </w:r>
      <w:r>
        <w:rPr>
          <w:sz w:val="24"/>
        </w:rPr>
        <w:t>Research,</w:t>
      </w:r>
      <w:r>
        <w:rPr>
          <w:spacing w:val="-14"/>
          <w:sz w:val="24"/>
        </w:rPr>
        <w:t> </w:t>
      </w:r>
      <w:r>
        <w:rPr>
          <w:sz w:val="24"/>
        </w:rPr>
        <w:t>Innovation</w:t>
      </w:r>
      <w:r>
        <w:rPr>
          <w:spacing w:val="-12"/>
          <w:sz w:val="24"/>
        </w:rPr>
        <w:t> </w:t>
      </w:r>
      <w:r>
        <w:rPr>
          <w:sz w:val="24"/>
        </w:rPr>
        <w:t>and</w:t>
      </w:r>
      <w:r>
        <w:rPr>
          <w:spacing w:val="-12"/>
          <w:sz w:val="24"/>
        </w:rPr>
        <w:t> </w:t>
      </w:r>
      <w:r>
        <w:rPr>
          <w:sz w:val="24"/>
        </w:rPr>
        <w:t>Excellence </w:t>
      </w:r>
      <w:r>
        <w:rPr>
          <w:spacing w:val="-2"/>
          <w:sz w:val="24"/>
        </w:rPr>
        <w:t>Subgroup.</w:t>
      </w:r>
    </w:p>
    <w:p>
      <w:pPr>
        <w:pStyle w:val="ListParagraph"/>
        <w:numPr>
          <w:ilvl w:val="1"/>
          <w:numId w:val="65"/>
        </w:numPr>
        <w:tabs>
          <w:tab w:pos="852" w:val="left" w:leader="none"/>
        </w:tabs>
        <w:spacing w:line="240" w:lineRule="auto" w:before="161" w:after="0"/>
        <w:ind w:left="852" w:right="886" w:hanging="710"/>
        <w:jc w:val="left"/>
        <w:rPr>
          <w:sz w:val="24"/>
        </w:rPr>
      </w:pPr>
      <w:r>
        <w:rPr>
          <w:sz w:val="24"/>
        </w:rPr>
        <w:t>The</w:t>
      </w:r>
      <w:r>
        <w:rPr>
          <w:spacing w:val="-11"/>
          <w:sz w:val="24"/>
        </w:rPr>
        <w:t> </w:t>
      </w:r>
      <w:r>
        <w:rPr>
          <w:sz w:val="24"/>
        </w:rPr>
        <w:t>Co-Chairs</w:t>
      </w:r>
      <w:r>
        <w:rPr>
          <w:spacing w:val="-13"/>
          <w:sz w:val="24"/>
        </w:rPr>
        <w:t> </w:t>
      </w:r>
      <w:r>
        <w:rPr>
          <w:sz w:val="24"/>
        </w:rPr>
        <w:t>of</w:t>
      </w:r>
      <w:r>
        <w:rPr>
          <w:spacing w:val="-14"/>
          <w:sz w:val="24"/>
        </w:rPr>
        <w:t> </w:t>
      </w:r>
      <w:r>
        <w:rPr>
          <w:sz w:val="24"/>
        </w:rPr>
        <w:t>the</w:t>
      </w:r>
      <w:r>
        <w:rPr>
          <w:spacing w:val="-15"/>
          <w:sz w:val="24"/>
        </w:rPr>
        <w:t> </w:t>
      </w:r>
      <w:r>
        <w:rPr>
          <w:sz w:val="24"/>
        </w:rPr>
        <w:t>Regional</w:t>
      </w:r>
      <w:r>
        <w:rPr>
          <w:spacing w:val="-12"/>
          <w:sz w:val="24"/>
        </w:rPr>
        <w:t> </w:t>
      </w:r>
      <w:r>
        <w:rPr>
          <w:sz w:val="24"/>
        </w:rPr>
        <w:t>Research,</w:t>
      </w:r>
      <w:r>
        <w:rPr>
          <w:spacing w:val="-10"/>
          <w:sz w:val="24"/>
        </w:rPr>
        <w:t> </w:t>
      </w:r>
      <w:r>
        <w:rPr>
          <w:sz w:val="24"/>
        </w:rPr>
        <w:t>Innovation</w:t>
      </w:r>
      <w:r>
        <w:rPr>
          <w:spacing w:val="-16"/>
          <w:sz w:val="24"/>
        </w:rPr>
        <w:t> </w:t>
      </w:r>
      <w:r>
        <w:rPr>
          <w:sz w:val="24"/>
        </w:rPr>
        <w:t>and</w:t>
      </w:r>
      <w:r>
        <w:rPr>
          <w:spacing w:val="-12"/>
          <w:sz w:val="24"/>
        </w:rPr>
        <w:t> </w:t>
      </w:r>
      <w:r>
        <w:rPr>
          <w:sz w:val="24"/>
        </w:rPr>
        <w:t>Excellence</w:t>
      </w:r>
      <w:r>
        <w:rPr>
          <w:spacing w:val="-12"/>
          <w:sz w:val="24"/>
        </w:rPr>
        <w:t> </w:t>
      </w:r>
      <w:r>
        <w:rPr>
          <w:sz w:val="24"/>
        </w:rPr>
        <w:t>Subgroup</w:t>
      </w:r>
      <w:r>
        <w:rPr>
          <w:spacing w:val="-9"/>
          <w:sz w:val="24"/>
        </w:rPr>
        <w:t> </w:t>
      </w:r>
      <w:r>
        <w:rPr>
          <w:sz w:val="24"/>
        </w:rPr>
        <w:t>shall </w:t>
      </w:r>
      <w:r>
        <w:rPr>
          <w:spacing w:val="-2"/>
          <w:sz w:val="24"/>
        </w:rPr>
        <w:t>determine</w:t>
      </w:r>
      <w:r>
        <w:rPr>
          <w:spacing w:val="-7"/>
          <w:sz w:val="24"/>
        </w:rPr>
        <w:t> </w:t>
      </w:r>
      <w:r>
        <w:rPr>
          <w:spacing w:val="-2"/>
          <w:sz w:val="24"/>
        </w:rPr>
        <w:t>the</w:t>
      </w:r>
      <w:r>
        <w:rPr>
          <w:spacing w:val="-11"/>
          <w:sz w:val="24"/>
        </w:rPr>
        <w:t> </w:t>
      </w:r>
      <w:r>
        <w:rPr>
          <w:spacing w:val="-2"/>
          <w:sz w:val="24"/>
        </w:rPr>
        <w:t>time</w:t>
      </w:r>
      <w:r>
        <w:rPr>
          <w:spacing w:val="-11"/>
          <w:sz w:val="24"/>
        </w:rPr>
        <w:t> </w:t>
      </w:r>
      <w:r>
        <w:rPr>
          <w:spacing w:val="-2"/>
          <w:sz w:val="24"/>
        </w:rPr>
        <w:t>and</w:t>
      </w:r>
      <w:r>
        <w:rPr>
          <w:spacing w:val="-11"/>
          <w:sz w:val="24"/>
        </w:rPr>
        <w:t> </w:t>
      </w:r>
      <w:r>
        <w:rPr>
          <w:spacing w:val="-2"/>
          <w:sz w:val="24"/>
        </w:rPr>
        <w:t>the</w:t>
      </w:r>
      <w:r>
        <w:rPr>
          <w:spacing w:val="-11"/>
          <w:sz w:val="24"/>
        </w:rPr>
        <w:t> </w:t>
      </w:r>
      <w:r>
        <w:rPr>
          <w:spacing w:val="-2"/>
          <w:sz w:val="24"/>
        </w:rPr>
        <w:t>place</w:t>
      </w:r>
      <w:r>
        <w:rPr>
          <w:spacing w:val="-11"/>
          <w:sz w:val="24"/>
        </w:rPr>
        <w:t> </w:t>
      </w:r>
      <w:r>
        <w:rPr>
          <w:spacing w:val="-2"/>
          <w:sz w:val="24"/>
        </w:rPr>
        <w:t>of</w:t>
      </w:r>
      <w:r>
        <w:rPr>
          <w:spacing w:val="-9"/>
          <w:sz w:val="24"/>
        </w:rPr>
        <w:t> </w:t>
      </w:r>
      <w:r>
        <w:rPr>
          <w:spacing w:val="-2"/>
          <w:sz w:val="24"/>
        </w:rPr>
        <w:t>meetings</w:t>
      </w:r>
      <w:r>
        <w:rPr>
          <w:spacing w:val="-12"/>
          <w:sz w:val="24"/>
        </w:rPr>
        <w:t> </w:t>
      </w:r>
      <w:r>
        <w:rPr>
          <w:spacing w:val="-2"/>
          <w:sz w:val="24"/>
        </w:rPr>
        <w:t>of</w:t>
      </w:r>
      <w:r>
        <w:rPr>
          <w:spacing w:val="-14"/>
          <w:sz w:val="24"/>
        </w:rPr>
        <w:t> </w:t>
      </w:r>
      <w:r>
        <w:rPr>
          <w:spacing w:val="-2"/>
          <w:sz w:val="24"/>
        </w:rPr>
        <w:t>the</w:t>
      </w:r>
      <w:r>
        <w:rPr>
          <w:spacing w:val="-13"/>
          <w:sz w:val="24"/>
        </w:rPr>
        <w:t> </w:t>
      </w:r>
      <w:r>
        <w:rPr>
          <w:spacing w:val="-2"/>
          <w:sz w:val="24"/>
        </w:rPr>
        <w:t>Regional</w:t>
      </w:r>
      <w:r>
        <w:rPr>
          <w:spacing w:val="-15"/>
          <w:sz w:val="24"/>
        </w:rPr>
        <w:t> </w:t>
      </w:r>
      <w:r>
        <w:rPr>
          <w:spacing w:val="-2"/>
          <w:sz w:val="24"/>
        </w:rPr>
        <w:t>Research,</w:t>
      </w:r>
      <w:r>
        <w:rPr>
          <w:spacing w:val="-13"/>
          <w:sz w:val="24"/>
        </w:rPr>
        <w:t> </w:t>
      </w:r>
      <w:r>
        <w:rPr>
          <w:spacing w:val="-2"/>
          <w:sz w:val="24"/>
        </w:rPr>
        <w:t>Innovation</w:t>
      </w:r>
      <w:r>
        <w:rPr>
          <w:spacing w:val="-11"/>
          <w:sz w:val="24"/>
        </w:rPr>
        <w:t> </w:t>
      </w:r>
      <w:r>
        <w:rPr>
          <w:spacing w:val="-2"/>
          <w:sz w:val="24"/>
        </w:rPr>
        <w:t>and </w:t>
      </w:r>
      <w:r>
        <w:rPr>
          <w:sz w:val="24"/>
        </w:rPr>
        <w:t>Excellence</w:t>
      </w:r>
      <w:r>
        <w:rPr>
          <w:spacing w:val="-5"/>
          <w:sz w:val="24"/>
        </w:rPr>
        <w:t> </w:t>
      </w:r>
      <w:r>
        <w:rPr>
          <w:sz w:val="24"/>
        </w:rPr>
        <w:t>Subgroup</w:t>
      </w:r>
      <w:r>
        <w:rPr>
          <w:spacing w:val="-3"/>
          <w:sz w:val="24"/>
        </w:rPr>
        <w:t> </w:t>
      </w:r>
      <w:r>
        <w:rPr>
          <w:sz w:val="24"/>
        </w:rPr>
        <w:t>and</w:t>
      </w:r>
      <w:r>
        <w:rPr>
          <w:spacing w:val="-5"/>
          <w:sz w:val="24"/>
        </w:rPr>
        <w:t> </w:t>
      </w:r>
      <w:r>
        <w:rPr>
          <w:sz w:val="24"/>
        </w:rPr>
        <w:t>procedures</w:t>
      </w:r>
      <w:r>
        <w:rPr>
          <w:spacing w:val="-6"/>
          <w:sz w:val="24"/>
        </w:rPr>
        <w:t> </w:t>
      </w:r>
      <w:r>
        <w:rPr>
          <w:sz w:val="24"/>
        </w:rPr>
        <w:t>of</w:t>
      </w:r>
      <w:r>
        <w:rPr>
          <w:spacing w:val="-8"/>
          <w:sz w:val="24"/>
        </w:rPr>
        <w:t> </w:t>
      </w:r>
      <w:r>
        <w:rPr>
          <w:sz w:val="24"/>
        </w:rPr>
        <w:t>such meetings.</w:t>
      </w:r>
    </w:p>
    <w:p>
      <w:pPr>
        <w:pStyle w:val="BodyText"/>
        <w:spacing w:before="5"/>
        <w:rPr>
          <w:sz w:val="16"/>
        </w:rPr>
      </w:pPr>
      <w:r>
        <w:rPr>
          <w:sz w:val="16"/>
        </w:rPr>
        <mc:AlternateContent>
          <mc:Choice Requires="wps">
            <w:drawing>
              <wp:anchor distT="0" distB="0" distL="0" distR="0" allowOverlap="1" layoutInCell="1" locked="0" behindDoc="1" simplePos="0" relativeHeight="487677440">
                <wp:simplePos x="0" y="0"/>
                <wp:positionH relativeFrom="page">
                  <wp:posOffset>574992</wp:posOffset>
                </wp:positionH>
                <wp:positionV relativeFrom="paragraph">
                  <wp:posOffset>141709</wp:posOffset>
                </wp:positionV>
                <wp:extent cx="6575425" cy="193675"/>
                <wp:effectExtent l="0" t="0" r="0" b="0"/>
                <wp:wrapTopAndBottom/>
                <wp:docPr id="500" name="Textbox 500"/>
                <wp:cNvGraphicFramePr>
                  <a:graphicFrameLocks/>
                </wp:cNvGraphicFramePr>
                <a:graphic>
                  <a:graphicData uri="http://schemas.microsoft.com/office/word/2010/wordprocessingShape">
                    <wps:wsp>
                      <wps:cNvPr id="500" name="Textbox 500"/>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10</w:t>
                            </w:r>
                            <w:r>
                              <w:rPr>
                                <w:b/>
                                <w:color w:val="000000"/>
                                <w:spacing w:val="19"/>
                                <w:sz w:val="24"/>
                              </w:rPr>
                              <w:t> </w:t>
                            </w:r>
                            <w:r>
                              <w:rPr>
                                <w:b/>
                                <w:color w:val="000000"/>
                                <w:sz w:val="24"/>
                              </w:rPr>
                              <w:t>Accountability,</w:t>
                            </w:r>
                            <w:r>
                              <w:rPr>
                                <w:b/>
                                <w:color w:val="000000"/>
                                <w:spacing w:val="-7"/>
                                <w:sz w:val="24"/>
                              </w:rPr>
                              <w:t> </w:t>
                            </w:r>
                            <w:r>
                              <w:rPr>
                                <w:b/>
                                <w:color w:val="000000"/>
                                <w:sz w:val="24"/>
                              </w:rPr>
                              <w:t>Responsibility</w:t>
                            </w:r>
                            <w:r>
                              <w:rPr>
                                <w:b/>
                                <w:color w:val="000000"/>
                                <w:spacing w:val="-4"/>
                                <w:sz w:val="24"/>
                              </w:rPr>
                              <w:t> </w:t>
                            </w:r>
                            <w:r>
                              <w:rPr>
                                <w:b/>
                                <w:color w:val="000000"/>
                                <w:sz w:val="24"/>
                              </w:rPr>
                              <w:t>and</w:t>
                            </w:r>
                            <w:r>
                              <w:rPr>
                                <w:b/>
                                <w:color w:val="000000"/>
                                <w:spacing w:val="-7"/>
                                <w:sz w:val="24"/>
                              </w:rPr>
                              <w:t> </w:t>
                            </w:r>
                            <w:r>
                              <w:rPr>
                                <w:b/>
                                <w:color w:val="000000"/>
                                <w:spacing w:val="-2"/>
                                <w:sz w:val="24"/>
                              </w:rPr>
                              <w:t>Authority</w:t>
                            </w:r>
                          </w:p>
                        </w:txbxContent>
                      </wps:txbx>
                      <wps:bodyPr wrap="square" lIns="0" tIns="0" rIns="0" bIns="0" rtlCol="0">
                        <a:noAutofit/>
                      </wps:bodyPr>
                    </wps:wsp>
                  </a:graphicData>
                </a:graphic>
              </wp:anchor>
            </w:drawing>
          </mc:Choice>
          <mc:Fallback>
            <w:pict>
              <v:shape style="position:absolute;margin-left:45.275002pt;margin-top:11.158203pt;width:517.75pt;height:15.25pt;mso-position-horizontal-relative:page;mso-position-vertical-relative:paragraph;z-index:-15639040;mso-wrap-distance-left:0;mso-wrap-distance-right:0" type="#_x0000_t202" id="docshape279" filled="true" fillcolor="#c1a875" stroked="true" strokeweight="1pt" strokecolor="#394871">
                <v:textbox inset="0,0,0,0">
                  <w:txbxContent>
                    <w:p>
                      <w:pPr>
                        <w:spacing w:before="0"/>
                        <w:ind w:left="95" w:right="0" w:firstLine="0"/>
                        <w:jc w:val="left"/>
                        <w:rPr>
                          <w:b/>
                          <w:color w:val="000000"/>
                          <w:sz w:val="24"/>
                        </w:rPr>
                      </w:pPr>
                      <w:r>
                        <w:rPr>
                          <w:b/>
                          <w:color w:val="000000"/>
                          <w:sz w:val="24"/>
                        </w:rPr>
                        <w:t>10</w:t>
                      </w:r>
                      <w:r>
                        <w:rPr>
                          <w:b/>
                          <w:color w:val="000000"/>
                          <w:spacing w:val="19"/>
                          <w:sz w:val="24"/>
                        </w:rPr>
                        <w:t> </w:t>
                      </w:r>
                      <w:r>
                        <w:rPr>
                          <w:b/>
                          <w:color w:val="000000"/>
                          <w:sz w:val="24"/>
                        </w:rPr>
                        <w:t>Accountability,</w:t>
                      </w:r>
                      <w:r>
                        <w:rPr>
                          <w:b/>
                          <w:color w:val="000000"/>
                          <w:spacing w:val="-7"/>
                          <w:sz w:val="24"/>
                        </w:rPr>
                        <w:t> </w:t>
                      </w:r>
                      <w:r>
                        <w:rPr>
                          <w:b/>
                          <w:color w:val="000000"/>
                          <w:sz w:val="24"/>
                        </w:rPr>
                        <w:t>Responsibility</w:t>
                      </w:r>
                      <w:r>
                        <w:rPr>
                          <w:b/>
                          <w:color w:val="000000"/>
                          <w:spacing w:val="-4"/>
                          <w:sz w:val="24"/>
                        </w:rPr>
                        <w:t> </w:t>
                      </w:r>
                      <w:r>
                        <w:rPr>
                          <w:b/>
                          <w:color w:val="000000"/>
                          <w:sz w:val="24"/>
                        </w:rPr>
                        <w:t>and</w:t>
                      </w:r>
                      <w:r>
                        <w:rPr>
                          <w:b/>
                          <w:color w:val="000000"/>
                          <w:spacing w:val="-7"/>
                          <w:sz w:val="24"/>
                        </w:rPr>
                        <w:t> </w:t>
                      </w:r>
                      <w:r>
                        <w:rPr>
                          <w:b/>
                          <w:color w:val="000000"/>
                          <w:spacing w:val="-2"/>
                          <w:sz w:val="24"/>
                        </w:rPr>
                        <w:t>Authority</w:t>
                      </w:r>
                    </w:p>
                  </w:txbxContent>
                </v:textbox>
                <v:fill type="solid"/>
                <v:stroke dashstyle="solid"/>
                <w10:wrap type="topAndBottom"/>
              </v:shape>
            </w:pict>
          </mc:Fallback>
        </mc:AlternateContent>
      </w:r>
    </w:p>
    <w:p>
      <w:pPr>
        <w:pStyle w:val="ListParagraph"/>
        <w:numPr>
          <w:ilvl w:val="1"/>
          <w:numId w:val="66"/>
        </w:numPr>
        <w:tabs>
          <w:tab w:pos="852" w:val="left" w:leader="none"/>
        </w:tabs>
        <w:spacing w:line="242" w:lineRule="auto" w:before="170" w:after="0"/>
        <w:ind w:left="852" w:right="656" w:hanging="710"/>
        <w:jc w:val="left"/>
        <w:rPr>
          <w:sz w:val="24"/>
        </w:rPr>
      </w:pPr>
      <w:r>
        <w:rPr>
          <w:sz w:val="24"/>
        </w:rPr>
        <w:t>The</w:t>
      </w:r>
      <w:r>
        <w:rPr>
          <w:spacing w:val="-11"/>
          <w:sz w:val="24"/>
        </w:rPr>
        <w:t> </w:t>
      </w:r>
      <w:r>
        <w:rPr>
          <w:sz w:val="24"/>
        </w:rPr>
        <w:t>Regional</w:t>
      </w:r>
      <w:r>
        <w:rPr>
          <w:spacing w:val="-12"/>
          <w:sz w:val="24"/>
        </w:rPr>
        <w:t> </w:t>
      </w:r>
      <w:r>
        <w:rPr>
          <w:sz w:val="24"/>
        </w:rPr>
        <w:t>Research,</w:t>
      </w:r>
      <w:r>
        <w:rPr>
          <w:spacing w:val="-11"/>
          <w:sz w:val="24"/>
        </w:rPr>
        <w:t> </w:t>
      </w:r>
      <w:r>
        <w:rPr>
          <w:sz w:val="24"/>
        </w:rPr>
        <w:t>Innovation</w:t>
      </w:r>
      <w:r>
        <w:rPr>
          <w:spacing w:val="-12"/>
          <w:sz w:val="24"/>
        </w:rPr>
        <w:t> </w:t>
      </w:r>
      <w:r>
        <w:rPr>
          <w:sz w:val="24"/>
        </w:rPr>
        <w:t>and</w:t>
      </w:r>
      <w:r>
        <w:rPr>
          <w:spacing w:val="-12"/>
          <w:sz w:val="24"/>
        </w:rPr>
        <w:t> </w:t>
      </w:r>
      <w:r>
        <w:rPr>
          <w:sz w:val="24"/>
        </w:rPr>
        <w:t>Excellence</w:t>
      </w:r>
      <w:r>
        <w:rPr>
          <w:spacing w:val="-9"/>
          <w:sz w:val="24"/>
        </w:rPr>
        <w:t> </w:t>
      </w:r>
      <w:r>
        <w:rPr>
          <w:sz w:val="24"/>
        </w:rPr>
        <w:t>Subgroup</w:t>
      </w:r>
      <w:r>
        <w:rPr>
          <w:spacing w:val="-16"/>
          <w:sz w:val="24"/>
        </w:rPr>
        <w:t> </w:t>
      </w:r>
      <w:r>
        <w:rPr>
          <w:sz w:val="24"/>
        </w:rPr>
        <w:t>will</w:t>
      </w:r>
      <w:r>
        <w:rPr>
          <w:spacing w:val="-17"/>
          <w:sz w:val="24"/>
        </w:rPr>
        <w:t> </w:t>
      </w:r>
      <w:r>
        <w:rPr>
          <w:sz w:val="24"/>
        </w:rPr>
        <w:t>be</w:t>
      </w:r>
      <w:r>
        <w:rPr>
          <w:spacing w:val="-16"/>
          <w:sz w:val="24"/>
        </w:rPr>
        <w:t> </w:t>
      </w:r>
      <w:r>
        <w:rPr>
          <w:sz w:val="24"/>
        </w:rPr>
        <w:t>accountable</w:t>
      </w:r>
      <w:r>
        <w:rPr>
          <w:spacing w:val="-12"/>
          <w:sz w:val="24"/>
        </w:rPr>
        <w:t> </w:t>
      </w:r>
      <w:r>
        <w:rPr>
          <w:sz w:val="24"/>
        </w:rPr>
        <w:t>to</w:t>
      </w:r>
      <w:r>
        <w:rPr>
          <w:spacing w:val="-8"/>
          <w:sz w:val="24"/>
        </w:rPr>
        <w:t> </w:t>
      </w:r>
      <w:r>
        <w:rPr>
          <w:sz w:val="24"/>
        </w:rPr>
        <w:t>the </w:t>
      </w:r>
      <w:r>
        <w:rPr>
          <w:spacing w:val="-2"/>
          <w:sz w:val="24"/>
        </w:rPr>
        <w:t>RJC</w:t>
      </w:r>
      <w:r>
        <w:rPr>
          <w:spacing w:val="-10"/>
          <w:sz w:val="24"/>
        </w:rPr>
        <w:t> </w:t>
      </w:r>
      <w:r>
        <w:rPr>
          <w:spacing w:val="-2"/>
          <w:sz w:val="24"/>
        </w:rPr>
        <w:t>for</w:t>
      </w:r>
      <w:r>
        <w:rPr>
          <w:spacing w:val="-12"/>
          <w:sz w:val="24"/>
        </w:rPr>
        <w:t> </w:t>
      </w:r>
      <w:r>
        <w:rPr>
          <w:spacing w:val="-2"/>
          <w:sz w:val="24"/>
        </w:rPr>
        <w:t>its</w:t>
      </w:r>
      <w:r>
        <w:rPr>
          <w:spacing w:val="-12"/>
          <w:sz w:val="24"/>
        </w:rPr>
        <w:t> </w:t>
      </w:r>
      <w:r>
        <w:rPr>
          <w:spacing w:val="-2"/>
          <w:sz w:val="24"/>
        </w:rPr>
        <w:t>performance</w:t>
      </w:r>
      <w:r>
        <w:rPr>
          <w:spacing w:val="-11"/>
          <w:sz w:val="24"/>
        </w:rPr>
        <w:t> </w:t>
      </w:r>
      <w:r>
        <w:rPr>
          <w:spacing w:val="-2"/>
          <w:sz w:val="24"/>
        </w:rPr>
        <w:t>in</w:t>
      </w:r>
      <w:r>
        <w:rPr>
          <w:spacing w:val="-11"/>
          <w:sz w:val="24"/>
        </w:rPr>
        <w:t> </w:t>
      </w:r>
      <w:r>
        <w:rPr>
          <w:spacing w:val="-2"/>
          <w:sz w:val="24"/>
        </w:rPr>
        <w:t>exercising</w:t>
      </w:r>
      <w:r>
        <w:rPr>
          <w:spacing w:val="-11"/>
          <w:sz w:val="24"/>
        </w:rPr>
        <w:t> </w:t>
      </w:r>
      <w:r>
        <w:rPr>
          <w:spacing w:val="-2"/>
          <w:sz w:val="24"/>
        </w:rPr>
        <w:t>the</w:t>
      </w:r>
      <w:r>
        <w:rPr>
          <w:spacing w:val="-6"/>
          <w:sz w:val="24"/>
        </w:rPr>
        <w:t> </w:t>
      </w:r>
      <w:r>
        <w:rPr>
          <w:spacing w:val="-2"/>
          <w:sz w:val="24"/>
        </w:rPr>
        <w:t>functions</w:t>
      </w:r>
      <w:r>
        <w:rPr>
          <w:spacing w:val="-12"/>
          <w:sz w:val="24"/>
        </w:rPr>
        <w:t> </w:t>
      </w:r>
      <w:r>
        <w:rPr>
          <w:spacing w:val="-2"/>
          <w:sz w:val="24"/>
        </w:rPr>
        <w:t>set</w:t>
      </w:r>
      <w:r>
        <w:rPr>
          <w:spacing w:val="-14"/>
          <w:sz w:val="24"/>
        </w:rPr>
        <w:t> </w:t>
      </w:r>
      <w:r>
        <w:rPr>
          <w:spacing w:val="-2"/>
          <w:sz w:val="24"/>
        </w:rPr>
        <w:t>out</w:t>
      </w:r>
      <w:r>
        <w:rPr>
          <w:spacing w:val="-14"/>
          <w:sz w:val="24"/>
        </w:rPr>
        <w:t> </w:t>
      </w:r>
      <w:r>
        <w:rPr>
          <w:spacing w:val="-2"/>
          <w:sz w:val="24"/>
        </w:rPr>
        <w:t>in</w:t>
      </w:r>
      <w:r>
        <w:rPr>
          <w:spacing w:val="-11"/>
          <w:sz w:val="24"/>
        </w:rPr>
        <w:t> </w:t>
      </w:r>
      <w:r>
        <w:rPr>
          <w:spacing w:val="-2"/>
          <w:sz w:val="24"/>
        </w:rPr>
        <w:t>these</w:t>
      </w:r>
      <w:r>
        <w:rPr>
          <w:spacing w:val="-6"/>
          <w:sz w:val="24"/>
        </w:rPr>
        <w:t> </w:t>
      </w:r>
      <w:r>
        <w:rPr>
          <w:spacing w:val="-2"/>
          <w:sz w:val="24"/>
        </w:rPr>
        <w:t>terms</w:t>
      </w:r>
      <w:r>
        <w:rPr>
          <w:spacing w:val="-12"/>
          <w:sz w:val="24"/>
        </w:rPr>
        <w:t> </w:t>
      </w:r>
      <w:r>
        <w:rPr>
          <w:spacing w:val="-2"/>
          <w:sz w:val="24"/>
        </w:rPr>
        <w:t>of</w:t>
      </w:r>
      <w:r>
        <w:rPr>
          <w:spacing w:val="-9"/>
          <w:sz w:val="24"/>
        </w:rPr>
        <w:t> </w:t>
      </w:r>
      <w:r>
        <w:rPr>
          <w:spacing w:val="-2"/>
          <w:sz w:val="24"/>
        </w:rPr>
        <w:t>reference</w:t>
      </w:r>
      <w:r>
        <w:rPr>
          <w:spacing w:val="-15"/>
          <w:sz w:val="24"/>
        </w:rPr>
        <w:t> </w:t>
      </w:r>
      <w:r>
        <w:rPr>
          <w:spacing w:val="-2"/>
          <w:sz w:val="24"/>
        </w:rPr>
        <w:t>and </w:t>
      </w:r>
      <w:r>
        <w:rPr>
          <w:sz w:val="24"/>
        </w:rPr>
        <w:t>will</w:t>
      </w:r>
      <w:r>
        <w:rPr>
          <w:spacing w:val="-15"/>
          <w:sz w:val="24"/>
        </w:rPr>
        <w:t> </w:t>
      </w:r>
      <w:r>
        <w:rPr>
          <w:sz w:val="24"/>
        </w:rPr>
        <w:t>provide</w:t>
      </w:r>
      <w:r>
        <w:rPr>
          <w:spacing w:val="-11"/>
          <w:sz w:val="24"/>
        </w:rPr>
        <w:t> </w:t>
      </w:r>
      <w:r>
        <w:rPr>
          <w:sz w:val="24"/>
        </w:rPr>
        <w:t>assurance</w:t>
      </w:r>
      <w:r>
        <w:rPr>
          <w:spacing w:val="-11"/>
          <w:sz w:val="24"/>
        </w:rPr>
        <w:t> </w:t>
      </w:r>
      <w:r>
        <w:rPr>
          <w:sz w:val="24"/>
        </w:rPr>
        <w:t>on</w:t>
      </w:r>
      <w:r>
        <w:rPr>
          <w:spacing w:val="-11"/>
          <w:sz w:val="24"/>
        </w:rPr>
        <w:t> </w:t>
      </w:r>
      <w:r>
        <w:rPr>
          <w:sz w:val="24"/>
        </w:rPr>
        <w:t>delivery</w:t>
      </w:r>
      <w:r>
        <w:rPr>
          <w:spacing w:val="-12"/>
          <w:sz w:val="24"/>
        </w:rPr>
        <w:t> </w:t>
      </w:r>
      <w:r>
        <w:rPr>
          <w:sz w:val="24"/>
        </w:rPr>
        <w:t>of</w:t>
      </w:r>
      <w:r>
        <w:rPr>
          <w:spacing w:val="-14"/>
          <w:sz w:val="24"/>
        </w:rPr>
        <w:t> </w:t>
      </w:r>
      <w:r>
        <w:rPr>
          <w:sz w:val="24"/>
        </w:rPr>
        <w:t>the</w:t>
      </w:r>
      <w:r>
        <w:rPr>
          <w:spacing w:val="-15"/>
          <w:sz w:val="24"/>
        </w:rPr>
        <w:t> </w:t>
      </w:r>
      <w:r>
        <w:rPr>
          <w:sz w:val="24"/>
        </w:rPr>
        <w:t>objectives</w:t>
      </w:r>
      <w:r>
        <w:rPr>
          <w:spacing w:val="-16"/>
          <w:sz w:val="24"/>
        </w:rPr>
        <w:t> </w:t>
      </w:r>
      <w:r>
        <w:rPr>
          <w:sz w:val="24"/>
        </w:rPr>
        <w:t>within</w:t>
      </w:r>
      <w:r>
        <w:rPr>
          <w:spacing w:val="-6"/>
          <w:sz w:val="24"/>
        </w:rPr>
        <w:t> </w:t>
      </w:r>
      <w:r>
        <w:rPr>
          <w:sz w:val="24"/>
        </w:rPr>
        <w:t>the</w:t>
      </w:r>
      <w:r>
        <w:rPr>
          <w:spacing w:val="-11"/>
          <w:sz w:val="24"/>
        </w:rPr>
        <w:t> </w:t>
      </w:r>
      <w:r>
        <w:rPr>
          <w:sz w:val="24"/>
        </w:rPr>
        <w:t>RJC</w:t>
      </w:r>
      <w:r>
        <w:rPr>
          <w:spacing w:val="-6"/>
          <w:sz w:val="24"/>
        </w:rPr>
        <w:t> </w:t>
      </w:r>
      <w:r>
        <w:rPr>
          <w:sz w:val="24"/>
        </w:rPr>
        <w:t>Terms</w:t>
      </w:r>
      <w:r>
        <w:rPr>
          <w:spacing w:val="-12"/>
          <w:sz w:val="24"/>
        </w:rPr>
        <w:t> </w:t>
      </w:r>
      <w:r>
        <w:rPr>
          <w:sz w:val="24"/>
        </w:rPr>
        <w:t>of</w:t>
      </w:r>
      <w:r>
        <w:rPr>
          <w:spacing w:val="-14"/>
          <w:sz w:val="24"/>
        </w:rPr>
        <w:t> </w:t>
      </w:r>
      <w:r>
        <w:rPr>
          <w:sz w:val="24"/>
        </w:rPr>
        <w:t>Reference.</w:t>
      </w:r>
    </w:p>
    <w:p>
      <w:pPr>
        <w:pStyle w:val="ListParagraph"/>
        <w:numPr>
          <w:ilvl w:val="1"/>
          <w:numId w:val="66"/>
        </w:numPr>
        <w:tabs>
          <w:tab w:pos="852" w:val="left" w:leader="none"/>
        </w:tabs>
        <w:spacing w:line="275" w:lineRule="exact" w:before="154" w:after="0"/>
        <w:ind w:left="852" w:right="0" w:hanging="710"/>
        <w:jc w:val="left"/>
        <w:rPr>
          <w:sz w:val="24"/>
        </w:rPr>
      </w:pPr>
      <w:r>
        <w:rPr>
          <w:spacing w:val="-2"/>
          <w:sz w:val="24"/>
        </w:rPr>
        <w:t>The</w:t>
      </w:r>
      <w:r>
        <w:rPr>
          <w:spacing w:val="-13"/>
          <w:sz w:val="24"/>
        </w:rPr>
        <w:t> </w:t>
      </w:r>
      <w:r>
        <w:rPr>
          <w:spacing w:val="-2"/>
          <w:sz w:val="24"/>
        </w:rPr>
        <w:t>requirements</w:t>
      </w:r>
      <w:r>
        <w:rPr>
          <w:spacing w:val="-10"/>
          <w:sz w:val="24"/>
        </w:rPr>
        <w:t> </w:t>
      </w:r>
      <w:r>
        <w:rPr>
          <w:spacing w:val="-2"/>
          <w:sz w:val="24"/>
        </w:rPr>
        <w:t>for</w:t>
      </w:r>
      <w:r>
        <w:rPr>
          <w:spacing w:val="-11"/>
          <w:sz w:val="24"/>
        </w:rPr>
        <w:t> </w:t>
      </w:r>
      <w:r>
        <w:rPr>
          <w:spacing w:val="-2"/>
          <w:sz w:val="24"/>
        </w:rPr>
        <w:t>the</w:t>
      </w:r>
      <w:r>
        <w:rPr>
          <w:spacing w:val="-10"/>
          <w:sz w:val="24"/>
        </w:rPr>
        <w:t> </w:t>
      </w:r>
      <w:r>
        <w:rPr>
          <w:spacing w:val="-2"/>
          <w:sz w:val="24"/>
        </w:rPr>
        <w:t>conduct</w:t>
      </w:r>
      <w:r>
        <w:rPr>
          <w:spacing w:val="-13"/>
          <w:sz w:val="24"/>
        </w:rPr>
        <w:t> </w:t>
      </w:r>
      <w:r>
        <w:rPr>
          <w:spacing w:val="-2"/>
          <w:sz w:val="24"/>
        </w:rPr>
        <w:t>of</w:t>
      </w:r>
      <w:r>
        <w:rPr>
          <w:spacing w:val="-13"/>
          <w:sz w:val="24"/>
        </w:rPr>
        <w:t> </w:t>
      </w:r>
      <w:r>
        <w:rPr>
          <w:spacing w:val="-2"/>
          <w:sz w:val="24"/>
        </w:rPr>
        <w:t>business</w:t>
      </w:r>
      <w:r>
        <w:rPr>
          <w:spacing w:val="-11"/>
          <w:sz w:val="24"/>
        </w:rPr>
        <w:t> </w:t>
      </w:r>
      <w:r>
        <w:rPr>
          <w:spacing w:val="-2"/>
          <w:sz w:val="24"/>
        </w:rPr>
        <w:t>as</w:t>
      </w:r>
      <w:r>
        <w:rPr>
          <w:spacing w:val="-6"/>
          <w:sz w:val="24"/>
        </w:rPr>
        <w:t> </w:t>
      </w:r>
      <w:r>
        <w:rPr>
          <w:spacing w:val="-2"/>
          <w:sz w:val="24"/>
        </w:rPr>
        <w:t>set</w:t>
      </w:r>
      <w:r>
        <w:rPr>
          <w:spacing w:val="-13"/>
          <w:sz w:val="24"/>
        </w:rPr>
        <w:t> </w:t>
      </w:r>
      <w:r>
        <w:rPr>
          <w:spacing w:val="-2"/>
          <w:sz w:val="24"/>
        </w:rPr>
        <w:t>out</w:t>
      </w:r>
      <w:r>
        <w:rPr>
          <w:spacing w:val="-13"/>
          <w:sz w:val="24"/>
        </w:rPr>
        <w:t> </w:t>
      </w:r>
      <w:r>
        <w:rPr>
          <w:spacing w:val="-2"/>
          <w:sz w:val="24"/>
        </w:rPr>
        <w:t>in</w:t>
      </w:r>
      <w:r>
        <w:rPr>
          <w:spacing w:val="-10"/>
          <w:sz w:val="24"/>
        </w:rPr>
        <w:t> </w:t>
      </w:r>
      <w:r>
        <w:rPr>
          <w:spacing w:val="-2"/>
          <w:sz w:val="24"/>
        </w:rPr>
        <w:t>each</w:t>
      </w:r>
      <w:r>
        <w:rPr>
          <w:spacing w:val="-10"/>
          <w:sz w:val="24"/>
        </w:rPr>
        <w:t> </w:t>
      </w:r>
      <w:r>
        <w:rPr>
          <w:spacing w:val="-2"/>
          <w:sz w:val="24"/>
        </w:rPr>
        <w:t>university</w:t>
      </w:r>
      <w:r>
        <w:rPr>
          <w:spacing w:val="-11"/>
          <w:sz w:val="24"/>
        </w:rPr>
        <w:t> </w:t>
      </w:r>
      <w:r>
        <w:rPr>
          <w:spacing w:val="-2"/>
          <w:sz w:val="24"/>
        </w:rPr>
        <w:t>health</w:t>
      </w:r>
      <w:r>
        <w:rPr>
          <w:spacing w:val="-14"/>
          <w:sz w:val="24"/>
        </w:rPr>
        <w:t> </w:t>
      </w:r>
      <w:r>
        <w:rPr>
          <w:spacing w:val="-2"/>
          <w:sz w:val="24"/>
        </w:rPr>
        <w:t>board’s</w:t>
      </w:r>
    </w:p>
    <w:p>
      <w:pPr>
        <w:pStyle w:val="BodyText"/>
        <w:spacing w:line="275" w:lineRule="exact"/>
        <w:ind w:left="852"/>
      </w:pPr>
      <w:r>
        <w:rPr>
          <w:spacing w:val="-2"/>
        </w:rPr>
        <w:t>standing</w:t>
      </w:r>
      <w:r>
        <w:rPr>
          <w:spacing w:val="-15"/>
        </w:rPr>
        <w:t> </w:t>
      </w:r>
      <w:r>
        <w:rPr>
          <w:spacing w:val="-2"/>
        </w:rPr>
        <w:t>orders</w:t>
      </w:r>
      <w:r>
        <w:rPr>
          <w:spacing w:val="-13"/>
        </w:rPr>
        <w:t> </w:t>
      </w:r>
      <w:r>
        <w:rPr>
          <w:spacing w:val="-2"/>
        </w:rPr>
        <w:t>are</w:t>
      </w:r>
      <w:r>
        <w:rPr>
          <w:spacing w:val="-12"/>
        </w:rPr>
        <w:t> </w:t>
      </w:r>
      <w:r>
        <w:rPr>
          <w:spacing w:val="-2"/>
        </w:rPr>
        <w:t>equally</w:t>
      </w:r>
      <w:r>
        <w:rPr>
          <w:spacing w:val="-13"/>
        </w:rPr>
        <w:t> </w:t>
      </w:r>
      <w:r>
        <w:rPr>
          <w:spacing w:val="-2"/>
        </w:rPr>
        <w:t>applicable</w:t>
      </w:r>
      <w:r>
        <w:rPr>
          <w:spacing w:val="-13"/>
        </w:rPr>
        <w:t> </w:t>
      </w:r>
      <w:r>
        <w:rPr>
          <w:spacing w:val="-2"/>
        </w:rPr>
        <w:t>to</w:t>
      </w:r>
      <w:r>
        <w:rPr>
          <w:spacing w:val="-7"/>
        </w:rPr>
        <w:t> </w:t>
      </w:r>
      <w:r>
        <w:rPr>
          <w:spacing w:val="-2"/>
        </w:rPr>
        <w:t>the</w:t>
      </w:r>
      <w:r>
        <w:rPr>
          <w:spacing w:val="-12"/>
        </w:rPr>
        <w:t> </w:t>
      </w:r>
      <w:r>
        <w:rPr>
          <w:spacing w:val="-2"/>
        </w:rPr>
        <w:t>operation</w:t>
      </w:r>
      <w:r>
        <w:rPr>
          <w:spacing w:val="-13"/>
        </w:rPr>
        <w:t> </w:t>
      </w:r>
      <w:r>
        <w:rPr>
          <w:spacing w:val="-2"/>
        </w:rPr>
        <w:t>of</w:t>
      </w:r>
      <w:r>
        <w:rPr>
          <w:spacing w:val="-14"/>
        </w:rPr>
        <w:t> </w:t>
      </w:r>
      <w:r>
        <w:rPr>
          <w:spacing w:val="-2"/>
        </w:rPr>
        <w:t>the</w:t>
      </w:r>
      <w:r>
        <w:rPr>
          <w:spacing w:val="-12"/>
        </w:rPr>
        <w:t> </w:t>
      </w:r>
      <w:r>
        <w:rPr>
          <w:spacing w:val="-2"/>
        </w:rPr>
        <w:t>Subgroup.</w:t>
      </w:r>
    </w:p>
    <w:p>
      <w:pPr>
        <w:pStyle w:val="BodyText"/>
        <w:spacing w:before="6"/>
        <w:rPr>
          <w:sz w:val="16"/>
        </w:rPr>
      </w:pPr>
      <w:r>
        <w:rPr>
          <w:sz w:val="16"/>
        </w:rPr>
        <mc:AlternateContent>
          <mc:Choice Requires="wps">
            <w:drawing>
              <wp:anchor distT="0" distB="0" distL="0" distR="0" allowOverlap="1" layoutInCell="1" locked="0" behindDoc="1" simplePos="0" relativeHeight="487677952">
                <wp:simplePos x="0" y="0"/>
                <wp:positionH relativeFrom="page">
                  <wp:posOffset>574992</wp:posOffset>
                </wp:positionH>
                <wp:positionV relativeFrom="paragraph">
                  <wp:posOffset>142375</wp:posOffset>
                </wp:positionV>
                <wp:extent cx="6575425" cy="193675"/>
                <wp:effectExtent l="0" t="0" r="0" b="0"/>
                <wp:wrapTopAndBottom/>
                <wp:docPr id="501" name="Textbox 501"/>
                <wp:cNvGraphicFramePr>
                  <a:graphicFrameLocks/>
                </wp:cNvGraphicFramePr>
                <a:graphic>
                  <a:graphicData uri="http://schemas.microsoft.com/office/word/2010/wordprocessingShape">
                    <wps:wsp>
                      <wps:cNvPr id="501" name="Textbox 501"/>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11</w:t>
                            </w:r>
                            <w:r>
                              <w:rPr>
                                <w:b/>
                                <w:color w:val="000000"/>
                                <w:spacing w:val="25"/>
                                <w:sz w:val="24"/>
                              </w:rPr>
                              <w:t> </w:t>
                            </w:r>
                            <w:r>
                              <w:rPr>
                                <w:b/>
                                <w:color w:val="000000"/>
                                <w:spacing w:val="-2"/>
                                <w:sz w:val="24"/>
                              </w:rPr>
                              <w:t>Reporting</w:t>
                            </w:r>
                          </w:p>
                        </w:txbxContent>
                      </wps:txbx>
                      <wps:bodyPr wrap="square" lIns="0" tIns="0" rIns="0" bIns="0" rtlCol="0">
                        <a:noAutofit/>
                      </wps:bodyPr>
                    </wps:wsp>
                  </a:graphicData>
                </a:graphic>
              </wp:anchor>
            </w:drawing>
          </mc:Choice>
          <mc:Fallback>
            <w:pict>
              <v:shape style="position:absolute;margin-left:45.275002pt;margin-top:11.210692pt;width:517.75pt;height:15.25pt;mso-position-horizontal-relative:page;mso-position-vertical-relative:paragraph;z-index:-15638528;mso-wrap-distance-left:0;mso-wrap-distance-right:0" type="#_x0000_t202" id="docshape280" filled="true" fillcolor="#c1a875" stroked="true" strokeweight="1pt" strokecolor="#394871">
                <v:textbox inset="0,0,0,0">
                  <w:txbxContent>
                    <w:p>
                      <w:pPr>
                        <w:spacing w:before="0"/>
                        <w:ind w:left="95" w:right="0" w:firstLine="0"/>
                        <w:jc w:val="left"/>
                        <w:rPr>
                          <w:b/>
                          <w:color w:val="000000"/>
                          <w:sz w:val="24"/>
                        </w:rPr>
                      </w:pPr>
                      <w:r>
                        <w:rPr>
                          <w:b/>
                          <w:color w:val="000000"/>
                          <w:sz w:val="24"/>
                        </w:rPr>
                        <w:t>11</w:t>
                      </w:r>
                      <w:r>
                        <w:rPr>
                          <w:b/>
                          <w:color w:val="000000"/>
                          <w:spacing w:val="25"/>
                          <w:sz w:val="24"/>
                        </w:rPr>
                        <w:t> </w:t>
                      </w:r>
                      <w:r>
                        <w:rPr>
                          <w:b/>
                          <w:color w:val="000000"/>
                          <w:spacing w:val="-2"/>
                          <w:sz w:val="24"/>
                        </w:rPr>
                        <w:t>Reporting</w:t>
                      </w:r>
                    </w:p>
                  </w:txbxContent>
                </v:textbox>
                <v:fill type="solid"/>
                <v:stroke dashstyle="solid"/>
                <w10:wrap type="topAndBottom"/>
              </v:shape>
            </w:pict>
          </mc:Fallback>
        </mc:AlternateContent>
      </w:r>
    </w:p>
    <w:p>
      <w:pPr>
        <w:pStyle w:val="ListParagraph"/>
        <w:numPr>
          <w:ilvl w:val="1"/>
          <w:numId w:val="67"/>
        </w:numPr>
        <w:tabs>
          <w:tab w:pos="862" w:val="left" w:leader="none"/>
        </w:tabs>
        <w:spacing w:line="240" w:lineRule="auto" w:before="170" w:after="0"/>
        <w:ind w:left="862" w:right="0" w:hanging="720"/>
        <w:jc w:val="left"/>
        <w:rPr>
          <w:sz w:val="24"/>
        </w:rPr>
      </w:pPr>
      <w:r>
        <w:rPr>
          <w:spacing w:val="-2"/>
          <w:sz w:val="24"/>
        </w:rPr>
        <w:t>The</w:t>
      </w:r>
      <w:r>
        <w:rPr>
          <w:spacing w:val="-17"/>
          <w:sz w:val="24"/>
        </w:rPr>
        <w:t> </w:t>
      </w:r>
      <w:r>
        <w:rPr>
          <w:spacing w:val="-2"/>
          <w:sz w:val="24"/>
        </w:rPr>
        <w:t>Regional</w:t>
      </w:r>
      <w:r>
        <w:rPr>
          <w:spacing w:val="-15"/>
          <w:sz w:val="24"/>
        </w:rPr>
        <w:t> </w:t>
      </w:r>
      <w:r>
        <w:rPr>
          <w:spacing w:val="-2"/>
          <w:sz w:val="24"/>
        </w:rPr>
        <w:t>Research,</w:t>
      </w:r>
      <w:r>
        <w:rPr>
          <w:spacing w:val="-14"/>
          <w:sz w:val="24"/>
        </w:rPr>
        <w:t> </w:t>
      </w:r>
      <w:r>
        <w:rPr>
          <w:spacing w:val="-2"/>
          <w:sz w:val="24"/>
        </w:rPr>
        <w:t>Innovation</w:t>
      </w:r>
      <w:r>
        <w:rPr>
          <w:spacing w:val="-15"/>
          <w:sz w:val="24"/>
        </w:rPr>
        <w:t> </w:t>
      </w:r>
      <w:r>
        <w:rPr>
          <w:spacing w:val="-2"/>
          <w:sz w:val="24"/>
        </w:rPr>
        <w:t>and</w:t>
      </w:r>
      <w:r>
        <w:rPr>
          <w:spacing w:val="-15"/>
          <w:sz w:val="24"/>
        </w:rPr>
        <w:t> </w:t>
      </w:r>
      <w:r>
        <w:rPr>
          <w:spacing w:val="-2"/>
          <w:sz w:val="24"/>
        </w:rPr>
        <w:t>Excellence</w:t>
      </w:r>
      <w:r>
        <w:rPr>
          <w:spacing w:val="-15"/>
          <w:sz w:val="24"/>
        </w:rPr>
        <w:t> </w:t>
      </w:r>
      <w:r>
        <w:rPr>
          <w:spacing w:val="-2"/>
          <w:sz w:val="24"/>
        </w:rPr>
        <w:t>Subgroup</w:t>
      </w:r>
      <w:r>
        <w:rPr>
          <w:spacing w:val="-10"/>
          <w:sz w:val="24"/>
        </w:rPr>
        <w:t> </w:t>
      </w:r>
      <w:r>
        <w:rPr>
          <w:spacing w:val="-2"/>
          <w:sz w:val="24"/>
        </w:rPr>
        <w:t>shall:</w:t>
      </w:r>
    </w:p>
    <w:p>
      <w:pPr>
        <w:pStyle w:val="ListParagraph"/>
        <w:numPr>
          <w:ilvl w:val="2"/>
          <w:numId w:val="67"/>
        </w:numPr>
        <w:tabs>
          <w:tab w:pos="1276" w:val="left" w:leader="none"/>
          <w:tab w:pos="1278" w:val="left" w:leader="none"/>
        </w:tabs>
        <w:spacing w:line="240" w:lineRule="auto" w:before="159" w:after="0"/>
        <w:ind w:left="1278" w:right="413" w:hanging="361"/>
        <w:jc w:val="both"/>
        <w:rPr>
          <w:sz w:val="24"/>
        </w:rPr>
      </w:pPr>
      <w:r>
        <w:rPr>
          <w:sz w:val="24"/>
        </w:rPr>
        <w:t>Report</w:t>
      </w:r>
      <w:r>
        <w:rPr>
          <w:spacing w:val="-4"/>
          <w:sz w:val="24"/>
        </w:rPr>
        <w:t> </w:t>
      </w:r>
      <w:r>
        <w:rPr>
          <w:sz w:val="24"/>
        </w:rPr>
        <w:t>formally,</w:t>
      </w:r>
      <w:r>
        <w:rPr>
          <w:spacing w:val="-8"/>
          <w:sz w:val="24"/>
        </w:rPr>
        <w:t> </w:t>
      </w:r>
      <w:r>
        <w:rPr>
          <w:sz w:val="24"/>
        </w:rPr>
        <w:t>regularly</w:t>
      </w:r>
      <w:r>
        <w:rPr>
          <w:spacing w:val="-7"/>
          <w:sz w:val="24"/>
        </w:rPr>
        <w:t> </w:t>
      </w:r>
      <w:r>
        <w:rPr>
          <w:sz w:val="24"/>
        </w:rPr>
        <w:t>and</w:t>
      </w:r>
      <w:r>
        <w:rPr>
          <w:spacing w:val="-6"/>
          <w:sz w:val="24"/>
        </w:rPr>
        <w:t> </w:t>
      </w:r>
      <w:r>
        <w:rPr>
          <w:sz w:val="24"/>
        </w:rPr>
        <w:t>on</w:t>
      </w:r>
      <w:r>
        <w:rPr>
          <w:spacing w:val="-6"/>
          <w:sz w:val="24"/>
        </w:rPr>
        <w:t> </w:t>
      </w:r>
      <w:r>
        <w:rPr>
          <w:sz w:val="24"/>
        </w:rPr>
        <w:t>a</w:t>
      </w:r>
      <w:r>
        <w:rPr>
          <w:spacing w:val="-6"/>
          <w:sz w:val="24"/>
        </w:rPr>
        <w:t> </w:t>
      </w:r>
      <w:r>
        <w:rPr>
          <w:sz w:val="24"/>
        </w:rPr>
        <w:t>timely</w:t>
      </w:r>
      <w:r>
        <w:rPr>
          <w:spacing w:val="-7"/>
          <w:sz w:val="24"/>
        </w:rPr>
        <w:t> </w:t>
      </w:r>
      <w:r>
        <w:rPr>
          <w:sz w:val="24"/>
        </w:rPr>
        <w:t>basis</w:t>
      </w:r>
      <w:r>
        <w:rPr>
          <w:spacing w:val="-3"/>
          <w:sz w:val="24"/>
        </w:rPr>
        <w:t> </w:t>
      </w:r>
      <w:r>
        <w:rPr>
          <w:sz w:val="24"/>
        </w:rPr>
        <w:t>to</w:t>
      </w:r>
      <w:r>
        <w:rPr>
          <w:spacing w:val="-6"/>
          <w:sz w:val="24"/>
        </w:rPr>
        <w:t> </w:t>
      </w:r>
      <w:r>
        <w:rPr>
          <w:sz w:val="24"/>
        </w:rPr>
        <w:t>the</w:t>
      </w:r>
      <w:r>
        <w:rPr>
          <w:spacing w:val="-6"/>
          <w:sz w:val="24"/>
        </w:rPr>
        <w:t> </w:t>
      </w:r>
      <w:r>
        <w:rPr>
          <w:sz w:val="24"/>
        </w:rPr>
        <w:t>RJC</w:t>
      </w:r>
      <w:r>
        <w:rPr>
          <w:spacing w:val="-6"/>
          <w:sz w:val="24"/>
        </w:rPr>
        <w:t> </w:t>
      </w:r>
      <w:r>
        <w:rPr>
          <w:sz w:val="24"/>
        </w:rPr>
        <w:t>on</w:t>
      </w:r>
      <w:r>
        <w:rPr>
          <w:spacing w:val="-2"/>
          <w:sz w:val="24"/>
        </w:rPr>
        <w:t> </w:t>
      </w:r>
      <w:r>
        <w:rPr>
          <w:sz w:val="24"/>
        </w:rPr>
        <w:t>the Regional</w:t>
      </w:r>
      <w:r>
        <w:rPr>
          <w:spacing w:val="-6"/>
          <w:sz w:val="24"/>
        </w:rPr>
        <w:t> </w:t>
      </w:r>
      <w:r>
        <w:rPr>
          <w:sz w:val="24"/>
        </w:rPr>
        <w:t>Research, Innovation and Excellence Subgroup’s activities, in the format prescribed by the RJC </w:t>
      </w:r>
      <w:r>
        <w:rPr>
          <w:spacing w:val="-4"/>
          <w:sz w:val="24"/>
        </w:rPr>
        <w:t>PMO.</w:t>
      </w:r>
    </w:p>
    <w:p>
      <w:pPr>
        <w:pStyle w:val="ListParagraph"/>
        <w:numPr>
          <w:ilvl w:val="2"/>
          <w:numId w:val="67"/>
        </w:numPr>
        <w:tabs>
          <w:tab w:pos="1276" w:val="left" w:leader="none"/>
          <w:tab w:pos="1278" w:val="left" w:leader="none"/>
        </w:tabs>
        <w:spacing w:line="240" w:lineRule="auto" w:before="121" w:after="0"/>
        <w:ind w:left="1278" w:right="422" w:hanging="361"/>
        <w:jc w:val="both"/>
        <w:rPr>
          <w:sz w:val="24"/>
        </w:rPr>
      </w:pPr>
      <w:r>
        <w:rPr>
          <w:sz w:val="24"/>
        </w:rPr>
        <w:t>Bring</w:t>
      </w:r>
      <w:r>
        <w:rPr>
          <w:spacing w:val="-5"/>
          <w:sz w:val="24"/>
        </w:rPr>
        <w:t> </w:t>
      </w:r>
      <w:r>
        <w:rPr>
          <w:sz w:val="24"/>
        </w:rPr>
        <w:t>to</w:t>
      </w:r>
      <w:r>
        <w:rPr>
          <w:spacing w:val="-5"/>
          <w:sz w:val="24"/>
        </w:rPr>
        <w:t> </w:t>
      </w:r>
      <w:r>
        <w:rPr>
          <w:sz w:val="24"/>
        </w:rPr>
        <w:t>the</w:t>
      </w:r>
      <w:r>
        <w:rPr>
          <w:spacing w:val="-8"/>
          <w:sz w:val="24"/>
        </w:rPr>
        <w:t> </w:t>
      </w:r>
      <w:r>
        <w:rPr>
          <w:sz w:val="24"/>
        </w:rPr>
        <w:t>RJC’s</w:t>
      </w:r>
      <w:r>
        <w:rPr>
          <w:spacing w:val="-10"/>
          <w:sz w:val="24"/>
        </w:rPr>
        <w:t> </w:t>
      </w:r>
      <w:r>
        <w:rPr>
          <w:sz w:val="24"/>
        </w:rPr>
        <w:t>specific</w:t>
      </w:r>
      <w:r>
        <w:rPr>
          <w:spacing w:val="-10"/>
          <w:sz w:val="24"/>
        </w:rPr>
        <w:t> </w:t>
      </w:r>
      <w:r>
        <w:rPr>
          <w:sz w:val="24"/>
        </w:rPr>
        <w:t>attention</w:t>
      </w:r>
      <w:r>
        <w:rPr>
          <w:spacing w:val="-9"/>
          <w:sz w:val="24"/>
        </w:rPr>
        <w:t> </w:t>
      </w:r>
      <w:r>
        <w:rPr>
          <w:sz w:val="24"/>
        </w:rPr>
        <w:t>any</w:t>
      </w:r>
      <w:r>
        <w:rPr>
          <w:spacing w:val="-10"/>
          <w:sz w:val="24"/>
        </w:rPr>
        <w:t> </w:t>
      </w:r>
      <w:r>
        <w:rPr>
          <w:sz w:val="24"/>
        </w:rPr>
        <w:t>significant</w:t>
      </w:r>
      <w:r>
        <w:rPr>
          <w:spacing w:val="-12"/>
          <w:sz w:val="24"/>
        </w:rPr>
        <w:t> </w:t>
      </w:r>
      <w:r>
        <w:rPr>
          <w:sz w:val="24"/>
        </w:rPr>
        <w:t>matters</w:t>
      </w:r>
      <w:r>
        <w:rPr>
          <w:spacing w:val="-10"/>
          <w:sz w:val="24"/>
        </w:rPr>
        <w:t> </w:t>
      </w:r>
      <w:r>
        <w:rPr>
          <w:sz w:val="24"/>
        </w:rPr>
        <w:t>under</w:t>
      </w:r>
      <w:r>
        <w:rPr>
          <w:spacing w:val="-10"/>
          <w:sz w:val="24"/>
        </w:rPr>
        <w:t> </w:t>
      </w:r>
      <w:r>
        <w:rPr>
          <w:sz w:val="24"/>
        </w:rPr>
        <w:t>consideration</w:t>
      </w:r>
      <w:r>
        <w:rPr>
          <w:spacing w:val="-9"/>
          <w:sz w:val="24"/>
        </w:rPr>
        <w:t> </w:t>
      </w:r>
      <w:r>
        <w:rPr>
          <w:sz w:val="24"/>
        </w:rPr>
        <w:t>by</w:t>
      </w:r>
      <w:r>
        <w:rPr>
          <w:spacing w:val="-6"/>
          <w:sz w:val="24"/>
        </w:rPr>
        <w:t> </w:t>
      </w:r>
      <w:r>
        <w:rPr>
          <w:sz w:val="24"/>
        </w:rPr>
        <w:t>the Regional Research, Innovation</w:t>
      </w:r>
      <w:r>
        <w:rPr>
          <w:spacing w:val="-1"/>
          <w:sz w:val="24"/>
        </w:rPr>
        <w:t> </w:t>
      </w:r>
      <w:r>
        <w:rPr>
          <w:sz w:val="24"/>
        </w:rPr>
        <w:t>and Excellence Subgroup,</w:t>
      </w:r>
      <w:r>
        <w:rPr>
          <w:spacing w:val="-2"/>
          <w:sz w:val="24"/>
        </w:rPr>
        <w:t> </w:t>
      </w:r>
      <w:r>
        <w:rPr>
          <w:sz w:val="24"/>
        </w:rPr>
        <w:t>including matters</w:t>
      </w:r>
      <w:r>
        <w:rPr>
          <w:spacing w:val="-1"/>
          <w:sz w:val="24"/>
        </w:rPr>
        <w:t> </w:t>
      </w:r>
      <w:r>
        <w:rPr>
          <w:sz w:val="24"/>
        </w:rPr>
        <w:t>requiring strategic</w:t>
      </w:r>
      <w:r>
        <w:rPr>
          <w:spacing w:val="-5"/>
          <w:sz w:val="24"/>
        </w:rPr>
        <w:t> </w:t>
      </w:r>
      <w:r>
        <w:rPr>
          <w:sz w:val="24"/>
        </w:rPr>
        <w:t>direction,</w:t>
      </w:r>
      <w:r>
        <w:rPr>
          <w:spacing w:val="-12"/>
          <w:sz w:val="24"/>
        </w:rPr>
        <w:t> </w:t>
      </w:r>
      <w:r>
        <w:rPr>
          <w:sz w:val="24"/>
        </w:rPr>
        <w:t>escalation,</w:t>
      </w:r>
      <w:r>
        <w:rPr>
          <w:spacing w:val="-7"/>
          <w:sz w:val="24"/>
        </w:rPr>
        <w:t> </w:t>
      </w:r>
      <w:r>
        <w:rPr>
          <w:sz w:val="24"/>
        </w:rPr>
        <w:t>endorsement</w:t>
      </w:r>
      <w:r>
        <w:rPr>
          <w:spacing w:val="-7"/>
          <w:sz w:val="24"/>
        </w:rPr>
        <w:t> </w:t>
      </w:r>
      <w:r>
        <w:rPr>
          <w:sz w:val="24"/>
        </w:rPr>
        <w:t>or</w:t>
      </w:r>
      <w:r>
        <w:rPr>
          <w:spacing w:val="-10"/>
          <w:sz w:val="24"/>
        </w:rPr>
        <w:t> </w:t>
      </w:r>
      <w:r>
        <w:rPr>
          <w:sz w:val="24"/>
        </w:rPr>
        <w:t>approval.</w:t>
      </w:r>
    </w:p>
    <w:p>
      <w:pPr>
        <w:pStyle w:val="ListParagraph"/>
        <w:numPr>
          <w:ilvl w:val="2"/>
          <w:numId w:val="67"/>
        </w:numPr>
        <w:tabs>
          <w:tab w:pos="1276" w:val="left" w:leader="none"/>
          <w:tab w:pos="1278" w:val="left" w:leader="none"/>
        </w:tabs>
        <w:spacing w:line="240" w:lineRule="auto" w:before="117" w:after="0"/>
        <w:ind w:left="1278" w:right="422" w:hanging="361"/>
        <w:jc w:val="both"/>
        <w:rPr>
          <w:sz w:val="24"/>
        </w:rPr>
      </w:pPr>
      <w:r>
        <w:rPr>
          <w:sz w:val="24"/>
        </w:rPr>
        <w:t>The Regional Research, Innovation and Excellence Subgroup may establish </w:t>
      </w:r>
      <w:r>
        <w:rPr>
          <w:spacing w:val="-4"/>
          <w:sz w:val="24"/>
        </w:rPr>
        <w:t>programmes,</w:t>
      </w:r>
      <w:r>
        <w:rPr>
          <w:spacing w:val="-13"/>
          <w:sz w:val="24"/>
        </w:rPr>
        <w:t> </w:t>
      </w:r>
      <w:r>
        <w:rPr>
          <w:spacing w:val="-4"/>
          <w:sz w:val="24"/>
        </w:rPr>
        <w:t>projects</w:t>
      </w:r>
      <w:r>
        <w:rPr>
          <w:spacing w:val="-13"/>
          <w:sz w:val="24"/>
        </w:rPr>
        <w:t> </w:t>
      </w:r>
      <w:r>
        <w:rPr>
          <w:spacing w:val="-4"/>
          <w:sz w:val="24"/>
        </w:rPr>
        <w:t>or</w:t>
      </w:r>
      <w:r>
        <w:rPr>
          <w:spacing w:val="-12"/>
          <w:sz w:val="24"/>
        </w:rPr>
        <w:t> </w:t>
      </w:r>
      <w:r>
        <w:rPr>
          <w:spacing w:val="-4"/>
          <w:sz w:val="24"/>
        </w:rPr>
        <w:t>task</w:t>
      </w:r>
      <w:r>
        <w:rPr>
          <w:spacing w:val="-12"/>
          <w:sz w:val="24"/>
        </w:rPr>
        <w:t> </w:t>
      </w:r>
      <w:r>
        <w:rPr>
          <w:spacing w:val="-4"/>
          <w:sz w:val="24"/>
        </w:rPr>
        <w:t>and</w:t>
      </w:r>
      <w:r>
        <w:rPr>
          <w:spacing w:val="-6"/>
          <w:sz w:val="24"/>
        </w:rPr>
        <w:t> </w:t>
      </w:r>
      <w:r>
        <w:rPr>
          <w:spacing w:val="-4"/>
          <w:sz w:val="24"/>
        </w:rPr>
        <w:t>finish</w:t>
      </w:r>
      <w:r>
        <w:rPr>
          <w:spacing w:val="-11"/>
          <w:sz w:val="24"/>
        </w:rPr>
        <w:t> </w:t>
      </w:r>
      <w:r>
        <w:rPr>
          <w:spacing w:val="-4"/>
          <w:sz w:val="24"/>
        </w:rPr>
        <w:t>groups</w:t>
      </w:r>
      <w:r>
        <w:rPr>
          <w:spacing w:val="-12"/>
          <w:sz w:val="24"/>
        </w:rPr>
        <w:t> </w:t>
      </w:r>
      <w:r>
        <w:rPr>
          <w:spacing w:val="-4"/>
          <w:sz w:val="24"/>
        </w:rPr>
        <w:t>to scope</w:t>
      </w:r>
      <w:r>
        <w:rPr>
          <w:spacing w:val="-11"/>
          <w:sz w:val="24"/>
        </w:rPr>
        <w:t> </w:t>
      </w:r>
      <w:r>
        <w:rPr>
          <w:spacing w:val="-4"/>
          <w:sz w:val="24"/>
        </w:rPr>
        <w:t>and</w:t>
      </w:r>
      <w:r>
        <w:rPr>
          <w:spacing w:val="-6"/>
          <w:sz w:val="24"/>
        </w:rPr>
        <w:t> </w:t>
      </w:r>
      <w:r>
        <w:rPr>
          <w:spacing w:val="-4"/>
          <w:sz w:val="24"/>
        </w:rPr>
        <w:t>take</w:t>
      </w:r>
      <w:r>
        <w:rPr>
          <w:spacing w:val="-6"/>
          <w:sz w:val="24"/>
        </w:rPr>
        <w:t> </w:t>
      </w:r>
      <w:r>
        <w:rPr>
          <w:spacing w:val="-4"/>
          <w:sz w:val="24"/>
        </w:rPr>
        <w:t>forward</w:t>
      </w:r>
      <w:r>
        <w:rPr>
          <w:spacing w:val="-11"/>
          <w:sz w:val="24"/>
        </w:rPr>
        <w:t> </w:t>
      </w:r>
      <w:r>
        <w:rPr>
          <w:spacing w:val="-4"/>
          <w:sz w:val="24"/>
        </w:rPr>
        <w:t>specific</w:t>
      </w:r>
      <w:r>
        <w:rPr>
          <w:spacing w:val="-12"/>
          <w:sz w:val="24"/>
        </w:rPr>
        <w:t> </w:t>
      </w:r>
      <w:r>
        <w:rPr>
          <w:spacing w:val="-4"/>
          <w:sz w:val="24"/>
        </w:rPr>
        <w:t>pieces </w:t>
      </w:r>
      <w:r>
        <w:rPr>
          <w:sz w:val="24"/>
        </w:rPr>
        <w:t>of work to deliver on agreed objectives. The Regional Research, Innovation and Excellence</w:t>
      </w:r>
      <w:r>
        <w:rPr>
          <w:spacing w:val="-17"/>
          <w:sz w:val="24"/>
        </w:rPr>
        <w:t> </w:t>
      </w:r>
      <w:r>
        <w:rPr>
          <w:sz w:val="24"/>
        </w:rPr>
        <w:t>Subgroup</w:t>
      </w:r>
      <w:r>
        <w:rPr>
          <w:spacing w:val="-17"/>
          <w:sz w:val="24"/>
        </w:rPr>
        <w:t> </w:t>
      </w:r>
      <w:r>
        <w:rPr>
          <w:sz w:val="24"/>
        </w:rPr>
        <w:t>will</w:t>
      </w:r>
      <w:r>
        <w:rPr>
          <w:spacing w:val="-16"/>
          <w:sz w:val="24"/>
        </w:rPr>
        <w:t> </w:t>
      </w:r>
      <w:r>
        <w:rPr>
          <w:sz w:val="24"/>
        </w:rPr>
        <w:t>receive</w:t>
      </w:r>
      <w:r>
        <w:rPr>
          <w:spacing w:val="-17"/>
          <w:sz w:val="24"/>
        </w:rPr>
        <w:t> </w:t>
      </w:r>
      <w:r>
        <w:rPr>
          <w:sz w:val="24"/>
        </w:rPr>
        <w:t>updates</w:t>
      </w:r>
      <w:r>
        <w:rPr>
          <w:spacing w:val="-17"/>
          <w:sz w:val="24"/>
        </w:rPr>
        <w:t> </w:t>
      </w:r>
      <w:r>
        <w:rPr>
          <w:sz w:val="24"/>
        </w:rPr>
        <w:t>from</w:t>
      </w:r>
      <w:r>
        <w:rPr>
          <w:spacing w:val="-17"/>
          <w:sz w:val="24"/>
        </w:rPr>
        <w:t> </w:t>
      </w:r>
      <w:r>
        <w:rPr>
          <w:sz w:val="24"/>
        </w:rPr>
        <w:t>programmes,</w:t>
      </w:r>
      <w:r>
        <w:rPr>
          <w:spacing w:val="-16"/>
          <w:sz w:val="24"/>
        </w:rPr>
        <w:t> </w:t>
      </w:r>
      <w:r>
        <w:rPr>
          <w:sz w:val="24"/>
        </w:rPr>
        <w:t>projects</w:t>
      </w:r>
      <w:r>
        <w:rPr>
          <w:spacing w:val="-17"/>
          <w:sz w:val="24"/>
        </w:rPr>
        <w:t> </w:t>
      </w:r>
      <w:r>
        <w:rPr>
          <w:sz w:val="24"/>
        </w:rPr>
        <w:t>or</w:t>
      </w:r>
      <w:r>
        <w:rPr>
          <w:spacing w:val="-17"/>
          <w:sz w:val="24"/>
        </w:rPr>
        <w:t> </w:t>
      </w:r>
      <w:r>
        <w:rPr>
          <w:sz w:val="24"/>
        </w:rPr>
        <w:t>task</w:t>
      </w:r>
      <w:r>
        <w:rPr>
          <w:spacing w:val="-16"/>
          <w:sz w:val="24"/>
        </w:rPr>
        <w:t> </w:t>
      </w:r>
      <w:r>
        <w:rPr>
          <w:sz w:val="24"/>
        </w:rPr>
        <w:t>and</w:t>
      </w:r>
      <w:r>
        <w:rPr>
          <w:spacing w:val="-17"/>
          <w:sz w:val="24"/>
        </w:rPr>
        <w:t> </w:t>
      </w:r>
      <w:r>
        <w:rPr>
          <w:sz w:val="24"/>
        </w:rPr>
        <w:t>finish groups</w:t>
      </w:r>
      <w:r>
        <w:rPr>
          <w:spacing w:val="-1"/>
          <w:sz w:val="24"/>
        </w:rPr>
        <w:t> </w:t>
      </w:r>
      <w:r>
        <w:rPr>
          <w:sz w:val="24"/>
        </w:rPr>
        <w:t>through</w:t>
      </w:r>
      <w:r>
        <w:rPr>
          <w:spacing w:val="-10"/>
          <w:sz w:val="24"/>
        </w:rPr>
        <w:t> </w:t>
      </w:r>
      <w:r>
        <w:rPr>
          <w:sz w:val="24"/>
        </w:rPr>
        <w:t>highlight</w:t>
      </w:r>
      <w:r>
        <w:rPr>
          <w:spacing w:val="-8"/>
          <w:sz w:val="24"/>
        </w:rPr>
        <w:t> </w:t>
      </w:r>
      <w:r>
        <w:rPr>
          <w:sz w:val="24"/>
        </w:rPr>
        <w:t>reports</w:t>
      </w:r>
      <w:r>
        <w:rPr>
          <w:spacing w:val="-11"/>
          <w:sz w:val="24"/>
        </w:rPr>
        <w:t> </w:t>
      </w:r>
      <w:r>
        <w:rPr>
          <w:sz w:val="24"/>
        </w:rPr>
        <w:t>and</w:t>
      </w:r>
      <w:r>
        <w:rPr>
          <w:spacing w:val="-10"/>
          <w:sz w:val="24"/>
        </w:rPr>
        <w:t> </w:t>
      </w:r>
      <w:r>
        <w:rPr>
          <w:sz w:val="24"/>
        </w:rPr>
        <w:t>exception reporting.</w:t>
      </w:r>
    </w:p>
    <w:p>
      <w:pPr>
        <w:pStyle w:val="BodyText"/>
        <w:spacing w:before="6"/>
        <w:rPr>
          <w:sz w:val="13"/>
        </w:rPr>
      </w:pPr>
      <w:r>
        <w:rPr>
          <w:sz w:val="13"/>
        </w:rPr>
        <mc:AlternateContent>
          <mc:Choice Requires="wps">
            <w:drawing>
              <wp:anchor distT="0" distB="0" distL="0" distR="0" allowOverlap="1" layoutInCell="1" locked="0" behindDoc="1" simplePos="0" relativeHeight="487678464">
                <wp:simplePos x="0" y="0"/>
                <wp:positionH relativeFrom="page">
                  <wp:posOffset>574992</wp:posOffset>
                </wp:positionH>
                <wp:positionV relativeFrom="paragraph">
                  <wp:posOffset>120343</wp:posOffset>
                </wp:positionV>
                <wp:extent cx="6553200" cy="190500"/>
                <wp:effectExtent l="0" t="0" r="0" b="0"/>
                <wp:wrapTopAndBottom/>
                <wp:docPr id="502" name="Textbox 502"/>
                <wp:cNvGraphicFramePr>
                  <a:graphicFrameLocks/>
                </wp:cNvGraphicFramePr>
                <a:graphic>
                  <a:graphicData uri="http://schemas.microsoft.com/office/word/2010/wordprocessingShape">
                    <wps:wsp>
                      <wps:cNvPr id="502" name="Textbox 502"/>
                      <wps:cNvSpPr txBox="1"/>
                      <wps:spPr>
                        <a:xfrm>
                          <a:off x="0" y="0"/>
                          <a:ext cx="6553200" cy="19050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12</w:t>
                            </w:r>
                            <w:r>
                              <w:rPr>
                                <w:b/>
                                <w:color w:val="000000"/>
                                <w:spacing w:val="23"/>
                                <w:sz w:val="24"/>
                              </w:rPr>
                              <w:t> </w:t>
                            </w:r>
                            <w:r>
                              <w:rPr>
                                <w:b/>
                                <w:color w:val="000000"/>
                                <w:sz w:val="24"/>
                              </w:rPr>
                              <w:t>Secretarial</w:t>
                            </w:r>
                            <w:r>
                              <w:rPr>
                                <w:b/>
                                <w:color w:val="000000"/>
                                <w:spacing w:val="-2"/>
                                <w:sz w:val="24"/>
                              </w:rPr>
                              <w:t> Support</w:t>
                            </w:r>
                          </w:p>
                        </w:txbxContent>
                      </wps:txbx>
                      <wps:bodyPr wrap="square" lIns="0" tIns="0" rIns="0" bIns="0" rtlCol="0">
                        <a:noAutofit/>
                      </wps:bodyPr>
                    </wps:wsp>
                  </a:graphicData>
                </a:graphic>
              </wp:anchor>
            </w:drawing>
          </mc:Choice>
          <mc:Fallback>
            <w:pict>
              <v:shape style="position:absolute;margin-left:45.275002pt;margin-top:9.475860pt;width:516pt;height:15pt;mso-position-horizontal-relative:page;mso-position-vertical-relative:paragraph;z-index:-15638016;mso-wrap-distance-left:0;mso-wrap-distance-right:0" type="#_x0000_t202" id="docshape281" filled="true" fillcolor="#c1a875" stroked="true" strokeweight="1pt" strokecolor="#394871">
                <v:textbox inset="0,0,0,0">
                  <w:txbxContent>
                    <w:p>
                      <w:pPr>
                        <w:spacing w:before="0"/>
                        <w:ind w:left="95" w:right="0" w:firstLine="0"/>
                        <w:jc w:val="left"/>
                        <w:rPr>
                          <w:b/>
                          <w:color w:val="000000"/>
                          <w:sz w:val="24"/>
                        </w:rPr>
                      </w:pPr>
                      <w:r>
                        <w:rPr>
                          <w:b/>
                          <w:color w:val="000000"/>
                          <w:sz w:val="24"/>
                        </w:rPr>
                        <w:t>12</w:t>
                      </w:r>
                      <w:r>
                        <w:rPr>
                          <w:b/>
                          <w:color w:val="000000"/>
                          <w:spacing w:val="23"/>
                          <w:sz w:val="24"/>
                        </w:rPr>
                        <w:t> </w:t>
                      </w:r>
                      <w:r>
                        <w:rPr>
                          <w:b/>
                          <w:color w:val="000000"/>
                          <w:sz w:val="24"/>
                        </w:rPr>
                        <w:t>Secretarial</w:t>
                      </w:r>
                      <w:r>
                        <w:rPr>
                          <w:b/>
                          <w:color w:val="000000"/>
                          <w:spacing w:val="-2"/>
                          <w:sz w:val="24"/>
                        </w:rPr>
                        <w:t> Support</w:t>
                      </w:r>
                    </w:p>
                  </w:txbxContent>
                </v:textbox>
                <v:fill type="solid"/>
                <v:stroke dashstyle="solid"/>
                <w10:wrap type="topAndBottom"/>
              </v:shape>
            </w:pict>
          </mc:Fallback>
        </mc:AlternateContent>
      </w:r>
    </w:p>
    <w:p>
      <w:pPr>
        <w:pStyle w:val="BodyText"/>
        <w:tabs>
          <w:tab w:pos="852" w:val="left" w:leader="none"/>
        </w:tabs>
        <w:spacing w:line="242" w:lineRule="auto" w:before="170"/>
        <w:ind w:left="852" w:right="546" w:hanging="710"/>
      </w:pPr>
      <w:r>
        <w:rPr>
          <w:spacing w:val="-4"/>
        </w:rPr>
        <w:t>12.1</w:t>
      </w:r>
      <w:r>
        <w:rPr/>
        <w:tab/>
      </w:r>
      <w:r>
        <w:rPr>
          <w:spacing w:val="-2"/>
        </w:rPr>
        <w:t>The</w:t>
      </w:r>
      <w:r>
        <w:rPr>
          <w:spacing w:val="-15"/>
        </w:rPr>
        <w:t> </w:t>
      </w:r>
      <w:r>
        <w:rPr>
          <w:spacing w:val="-2"/>
        </w:rPr>
        <w:t>Regional</w:t>
      </w:r>
      <w:r>
        <w:rPr>
          <w:spacing w:val="-15"/>
        </w:rPr>
        <w:t> </w:t>
      </w:r>
      <w:r>
        <w:rPr>
          <w:spacing w:val="-2"/>
        </w:rPr>
        <w:t>Research,</w:t>
      </w:r>
      <w:r>
        <w:rPr>
          <w:spacing w:val="-14"/>
        </w:rPr>
        <w:t> </w:t>
      </w:r>
      <w:r>
        <w:rPr>
          <w:spacing w:val="-2"/>
        </w:rPr>
        <w:t>Innovation</w:t>
      </w:r>
      <w:r>
        <w:rPr>
          <w:spacing w:val="-14"/>
        </w:rPr>
        <w:t> </w:t>
      </w:r>
      <w:r>
        <w:rPr>
          <w:spacing w:val="-2"/>
        </w:rPr>
        <w:t>and</w:t>
      </w:r>
      <w:r>
        <w:rPr>
          <w:spacing w:val="-15"/>
        </w:rPr>
        <w:t> </w:t>
      </w:r>
      <w:r>
        <w:rPr>
          <w:spacing w:val="-2"/>
        </w:rPr>
        <w:t>Excellence</w:t>
      </w:r>
      <w:r>
        <w:rPr>
          <w:spacing w:val="-14"/>
        </w:rPr>
        <w:t> </w:t>
      </w:r>
      <w:r>
        <w:rPr>
          <w:spacing w:val="-2"/>
        </w:rPr>
        <w:t>Subgroup</w:t>
      </w:r>
      <w:r>
        <w:rPr>
          <w:spacing w:val="-10"/>
        </w:rPr>
        <w:t> </w:t>
      </w:r>
      <w:r>
        <w:rPr>
          <w:spacing w:val="-2"/>
        </w:rPr>
        <w:t>secretariat</w:t>
      </w:r>
      <w:r>
        <w:rPr>
          <w:spacing w:val="-15"/>
        </w:rPr>
        <w:t> </w:t>
      </w:r>
      <w:r>
        <w:rPr>
          <w:spacing w:val="-2"/>
        </w:rPr>
        <w:t>shall</w:t>
      </w:r>
      <w:r>
        <w:rPr>
          <w:spacing w:val="-14"/>
        </w:rPr>
        <w:t> </w:t>
      </w:r>
      <w:r>
        <w:rPr>
          <w:spacing w:val="-2"/>
        </w:rPr>
        <w:t>be</w:t>
      </w:r>
      <w:r>
        <w:rPr>
          <w:spacing w:val="-15"/>
        </w:rPr>
        <w:t> </w:t>
      </w:r>
      <w:r>
        <w:rPr>
          <w:spacing w:val="-2"/>
        </w:rPr>
        <w:t>provided </w:t>
      </w:r>
      <w:r>
        <w:rPr/>
        <w:t>through the Co-Chairs.</w:t>
      </w:r>
    </w:p>
    <w:p>
      <w:pPr>
        <w:pStyle w:val="BodyText"/>
        <w:spacing w:before="4"/>
        <w:rPr>
          <w:sz w:val="16"/>
        </w:rPr>
      </w:pPr>
      <w:r>
        <w:rPr>
          <w:sz w:val="16"/>
        </w:rPr>
        <mc:AlternateContent>
          <mc:Choice Requires="wps">
            <w:drawing>
              <wp:anchor distT="0" distB="0" distL="0" distR="0" allowOverlap="1" layoutInCell="1" locked="0" behindDoc="1" simplePos="0" relativeHeight="487678976">
                <wp:simplePos x="0" y="0"/>
                <wp:positionH relativeFrom="page">
                  <wp:posOffset>574992</wp:posOffset>
                </wp:positionH>
                <wp:positionV relativeFrom="paragraph">
                  <wp:posOffset>141304</wp:posOffset>
                </wp:positionV>
                <wp:extent cx="6553200" cy="194310"/>
                <wp:effectExtent l="0" t="0" r="0" b="0"/>
                <wp:wrapTopAndBottom/>
                <wp:docPr id="503" name="Textbox 503"/>
                <wp:cNvGraphicFramePr>
                  <a:graphicFrameLocks/>
                </wp:cNvGraphicFramePr>
                <a:graphic>
                  <a:graphicData uri="http://schemas.microsoft.com/office/word/2010/wordprocessingShape">
                    <wps:wsp>
                      <wps:cNvPr id="503" name="Textbox 503"/>
                      <wps:cNvSpPr txBox="1"/>
                      <wps:spPr>
                        <a:xfrm>
                          <a:off x="0" y="0"/>
                          <a:ext cx="6553200" cy="19431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13</w:t>
                            </w:r>
                            <w:r>
                              <w:rPr>
                                <w:b/>
                                <w:color w:val="000000"/>
                                <w:spacing w:val="20"/>
                                <w:sz w:val="24"/>
                              </w:rPr>
                              <w:t> </w:t>
                            </w:r>
                            <w:r>
                              <w:rPr>
                                <w:b/>
                                <w:color w:val="000000"/>
                                <w:sz w:val="24"/>
                              </w:rPr>
                              <w:t>Review</w:t>
                            </w:r>
                            <w:r>
                              <w:rPr>
                                <w:b/>
                                <w:color w:val="000000"/>
                                <w:spacing w:val="2"/>
                                <w:sz w:val="24"/>
                              </w:rPr>
                              <w:t> </w:t>
                            </w:r>
                            <w:r>
                              <w:rPr>
                                <w:b/>
                                <w:color w:val="000000"/>
                                <w:spacing w:val="-4"/>
                                <w:sz w:val="24"/>
                              </w:rPr>
                              <w:t>Date</w:t>
                            </w:r>
                          </w:p>
                        </w:txbxContent>
                      </wps:txbx>
                      <wps:bodyPr wrap="square" lIns="0" tIns="0" rIns="0" bIns="0" rtlCol="0">
                        <a:noAutofit/>
                      </wps:bodyPr>
                    </wps:wsp>
                  </a:graphicData>
                </a:graphic>
              </wp:anchor>
            </w:drawing>
          </mc:Choice>
          <mc:Fallback>
            <w:pict>
              <v:shape style="position:absolute;margin-left:45.275002pt;margin-top:11.126368pt;width:516pt;height:15.3pt;mso-position-horizontal-relative:page;mso-position-vertical-relative:paragraph;z-index:-15637504;mso-wrap-distance-left:0;mso-wrap-distance-right:0" type="#_x0000_t202" id="docshape282" filled="true" fillcolor="#c1a875" stroked="true" strokeweight="1pt" strokecolor="#394871">
                <v:textbox inset="0,0,0,0">
                  <w:txbxContent>
                    <w:p>
                      <w:pPr>
                        <w:spacing w:before="0"/>
                        <w:ind w:left="95" w:right="0" w:firstLine="0"/>
                        <w:jc w:val="left"/>
                        <w:rPr>
                          <w:b/>
                          <w:color w:val="000000"/>
                          <w:sz w:val="24"/>
                        </w:rPr>
                      </w:pPr>
                      <w:r>
                        <w:rPr>
                          <w:b/>
                          <w:color w:val="000000"/>
                          <w:sz w:val="24"/>
                        </w:rPr>
                        <w:t>13</w:t>
                      </w:r>
                      <w:r>
                        <w:rPr>
                          <w:b/>
                          <w:color w:val="000000"/>
                          <w:spacing w:val="20"/>
                          <w:sz w:val="24"/>
                        </w:rPr>
                        <w:t> </w:t>
                      </w:r>
                      <w:r>
                        <w:rPr>
                          <w:b/>
                          <w:color w:val="000000"/>
                          <w:sz w:val="24"/>
                        </w:rPr>
                        <w:t>Review</w:t>
                      </w:r>
                      <w:r>
                        <w:rPr>
                          <w:b/>
                          <w:color w:val="000000"/>
                          <w:spacing w:val="2"/>
                          <w:sz w:val="24"/>
                        </w:rPr>
                        <w:t> </w:t>
                      </w:r>
                      <w:r>
                        <w:rPr>
                          <w:b/>
                          <w:color w:val="000000"/>
                          <w:spacing w:val="-4"/>
                          <w:sz w:val="24"/>
                        </w:rPr>
                        <w:t>Date</w:t>
                      </w:r>
                    </w:p>
                  </w:txbxContent>
                </v:textbox>
                <v:fill type="solid"/>
                <v:stroke dashstyle="solid"/>
                <w10:wrap type="topAndBottom"/>
              </v:shape>
            </w:pict>
          </mc:Fallback>
        </mc:AlternateContent>
      </w:r>
    </w:p>
    <w:p>
      <w:pPr>
        <w:pStyle w:val="BodyText"/>
        <w:tabs>
          <w:tab w:pos="852" w:val="left" w:leader="none"/>
        </w:tabs>
        <w:spacing w:before="170"/>
        <w:ind w:left="852" w:right="620" w:hanging="710"/>
      </w:pPr>
      <w:r>
        <w:rPr>
          <w:spacing w:val="-4"/>
        </w:rPr>
        <w:t>13.1</w:t>
      </w:r>
      <w:r>
        <w:rPr/>
        <w:tab/>
        <w:t>These</w:t>
      </w:r>
      <w:r>
        <w:rPr>
          <w:spacing w:val="-6"/>
        </w:rPr>
        <w:t> </w:t>
      </w:r>
      <w:r>
        <w:rPr/>
        <w:t>terms</w:t>
      </w:r>
      <w:r>
        <w:rPr>
          <w:spacing w:val="-11"/>
        </w:rPr>
        <w:t> </w:t>
      </w:r>
      <w:r>
        <w:rPr/>
        <w:t>of</w:t>
      </w:r>
      <w:r>
        <w:rPr>
          <w:spacing w:val="-13"/>
        </w:rPr>
        <w:t> </w:t>
      </w:r>
      <w:r>
        <w:rPr/>
        <w:t>reference</w:t>
      </w:r>
      <w:r>
        <w:rPr>
          <w:spacing w:val="-10"/>
        </w:rPr>
        <w:t> </w:t>
      </w:r>
      <w:r>
        <w:rPr/>
        <w:t>and</w:t>
      </w:r>
      <w:r>
        <w:rPr>
          <w:spacing w:val="-10"/>
        </w:rPr>
        <w:t> </w:t>
      </w:r>
      <w:r>
        <w:rPr/>
        <w:t>operating</w:t>
      </w:r>
      <w:r>
        <w:rPr>
          <w:spacing w:val="-10"/>
        </w:rPr>
        <w:t> </w:t>
      </w:r>
      <w:r>
        <w:rPr/>
        <w:t>arrangements</w:t>
      </w:r>
      <w:r>
        <w:rPr>
          <w:spacing w:val="-11"/>
        </w:rPr>
        <w:t> </w:t>
      </w:r>
      <w:r>
        <w:rPr/>
        <w:t>shall</w:t>
      </w:r>
      <w:r>
        <w:rPr>
          <w:spacing w:val="-10"/>
        </w:rPr>
        <w:t> </w:t>
      </w:r>
      <w:r>
        <w:rPr/>
        <w:t>be</w:t>
      </w:r>
      <w:r>
        <w:rPr>
          <w:spacing w:val="-10"/>
        </w:rPr>
        <w:t> </w:t>
      </w:r>
      <w:r>
        <w:rPr/>
        <w:t>reviewed</w:t>
      </w:r>
      <w:r>
        <w:rPr>
          <w:spacing w:val="-10"/>
        </w:rPr>
        <w:t> </w:t>
      </w:r>
      <w:r>
        <w:rPr/>
        <w:t>on</w:t>
      </w:r>
      <w:r>
        <w:rPr>
          <w:spacing w:val="-10"/>
        </w:rPr>
        <w:t> </w:t>
      </w:r>
      <w:r>
        <w:rPr/>
        <w:t>at</w:t>
      </w:r>
      <w:r>
        <w:rPr>
          <w:spacing w:val="-17"/>
        </w:rPr>
        <w:t> </w:t>
      </w:r>
      <w:r>
        <w:rPr/>
        <w:t>least</w:t>
      </w:r>
      <w:r>
        <w:rPr>
          <w:spacing w:val="-13"/>
        </w:rPr>
        <w:t> </w:t>
      </w:r>
      <w:r>
        <w:rPr/>
        <w:t>an </w:t>
      </w:r>
      <w:r>
        <w:rPr>
          <w:spacing w:val="-2"/>
        </w:rPr>
        <w:t>annual</w:t>
      </w:r>
      <w:r>
        <w:rPr>
          <w:spacing w:val="-15"/>
        </w:rPr>
        <w:t> </w:t>
      </w:r>
      <w:r>
        <w:rPr>
          <w:spacing w:val="-2"/>
        </w:rPr>
        <w:t>basis</w:t>
      </w:r>
      <w:r>
        <w:rPr>
          <w:spacing w:val="-15"/>
        </w:rPr>
        <w:t> </w:t>
      </w:r>
      <w:r>
        <w:rPr>
          <w:spacing w:val="-2"/>
        </w:rPr>
        <w:t>by</w:t>
      </w:r>
      <w:r>
        <w:rPr>
          <w:spacing w:val="-14"/>
        </w:rPr>
        <w:t> </w:t>
      </w:r>
      <w:r>
        <w:rPr>
          <w:spacing w:val="-2"/>
        </w:rPr>
        <w:t>the</w:t>
      </w:r>
      <w:r>
        <w:rPr>
          <w:spacing w:val="-12"/>
        </w:rPr>
        <w:t> </w:t>
      </w:r>
      <w:r>
        <w:rPr>
          <w:spacing w:val="-2"/>
        </w:rPr>
        <w:t>Regional</w:t>
      </w:r>
      <w:r>
        <w:rPr>
          <w:spacing w:val="-15"/>
        </w:rPr>
        <w:t> </w:t>
      </w:r>
      <w:r>
        <w:rPr>
          <w:spacing w:val="-2"/>
        </w:rPr>
        <w:t>Research,</w:t>
      </w:r>
      <w:r>
        <w:rPr>
          <w:spacing w:val="-15"/>
        </w:rPr>
        <w:t> </w:t>
      </w:r>
      <w:r>
        <w:rPr>
          <w:spacing w:val="-2"/>
        </w:rPr>
        <w:t>Innovation</w:t>
      </w:r>
      <w:r>
        <w:rPr>
          <w:spacing w:val="-14"/>
        </w:rPr>
        <w:t> </w:t>
      </w:r>
      <w:r>
        <w:rPr>
          <w:spacing w:val="-2"/>
        </w:rPr>
        <w:t>and</w:t>
      </w:r>
      <w:r>
        <w:rPr>
          <w:spacing w:val="-12"/>
        </w:rPr>
        <w:t> </w:t>
      </w:r>
      <w:r>
        <w:rPr>
          <w:spacing w:val="-2"/>
        </w:rPr>
        <w:t>Excellence</w:t>
      </w:r>
      <w:r>
        <w:rPr>
          <w:spacing w:val="-12"/>
        </w:rPr>
        <w:t> </w:t>
      </w:r>
      <w:r>
        <w:rPr>
          <w:spacing w:val="-2"/>
        </w:rPr>
        <w:t>Subgroup</w:t>
      </w:r>
      <w:r>
        <w:rPr>
          <w:spacing w:val="-4"/>
        </w:rPr>
        <w:t> </w:t>
      </w:r>
      <w:r>
        <w:rPr>
          <w:spacing w:val="-2"/>
        </w:rPr>
        <w:t>for</w:t>
      </w:r>
      <w:r>
        <w:rPr>
          <w:spacing w:val="-13"/>
        </w:rPr>
        <w:t> </w:t>
      </w:r>
      <w:r>
        <w:rPr>
          <w:spacing w:val="-2"/>
        </w:rPr>
        <w:t>approval </w:t>
      </w:r>
      <w:r>
        <w:rPr/>
        <w:t>by the RJC.</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5"/>
        <w:rPr>
          <w:sz w:val="20"/>
        </w:rPr>
      </w:pPr>
    </w:p>
    <w:p>
      <w:pPr>
        <w:spacing w:before="0"/>
        <w:ind w:left="4" w:right="284" w:firstLine="0"/>
        <w:jc w:val="center"/>
        <w:rPr>
          <w:sz w:val="20"/>
        </w:rPr>
      </w:pPr>
      <w:r>
        <w:rPr>
          <w:spacing w:val="-10"/>
          <w:sz w:val="20"/>
        </w:rPr>
        <w:t>5</w:t>
      </w:r>
    </w:p>
    <w:p>
      <w:pPr>
        <w:spacing w:after="0"/>
        <w:jc w:val="center"/>
        <w:rPr>
          <w:sz w:val="20"/>
        </w:rPr>
        <w:sectPr>
          <w:pgSz w:w="11910" w:h="16840"/>
          <w:pgMar w:header="0" w:footer="149" w:top="920" w:bottom="340" w:left="708" w:right="425"/>
        </w:sectPr>
      </w:pPr>
    </w:p>
    <w:p>
      <w:pPr>
        <w:spacing w:line="240" w:lineRule="auto"/>
        <w:ind w:left="143" w:right="0" w:firstLine="0"/>
        <w:rPr>
          <w:sz w:val="20"/>
        </w:rPr>
      </w:pPr>
      <w:r>
        <w:rPr>
          <w:sz w:val="20"/>
        </w:rPr>
        <w:drawing>
          <wp:anchor distT="0" distB="0" distL="0" distR="0" allowOverlap="1" layoutInCell="1" locked="0" behindDoc="1" simplePos="0" relativeHeight="477175296">
            <wp:simplePos x="0" y="0"/>
            <wp:positionH relativeFrom="page">
              <wp:posOffset>5162550</wp:posOffset>
            </wp:positionH>
            <wp:positionV relativeFrom="page">
              <wp:posOffset>628611</wp:posOffset>
            </wp:positionV>
            <wp:extent cx="1887952" cy="511587"/>
            <wp:effectExtent l="0" t="0" r="0" b="0"/>
            <wp:wrapNone/>
            <wp:docPr id="504" name="Image 504" descr="hywel dda"/>
            <wp:cNvGraphicFramePr>
              <a:graphicFrameLocks/>
            </wp:cNvGraphicFramePr>
            <a:graphic>
              <a:graphicData uri="http://schemas.openxmlformats.org/drawingml/2006/picture">
                <pic:pic>
                  <pic:nvPicPr>
                    <pic:cNvPr id="504" name="Image 504" descr="hywel dda"/>
                    <pic:cNvPicPr/>
                  </pic:nvPicPr>
                  <pic:blipFill>
                    <a:blip r:embed="rId73" cstate="print"/>
                    <a:stretch>
                      <a:fillRect/>
                    </a:stretch>
                  </pic:blipFill>
                  <pic:spPr>
                    <a:xfrm>
                      <a:off x="0" y="0"/>
                      <a:ext cx="1887952" cy="511587"/>
                    </a:xfrm>
                    <a:prstGeom prst="rect">
                      <a:avLst/>
                    </a:prstGeom>
                  </pic:spPr>
                </pic:pic>
              </a:graphicData>
            </a:graphic>
          </wp:anchor>
        </w:drawing>
      </w:r>
      <w:r>
        <w:rPr>
          <w:sz w:val="20"/>
        </w:rPr>
        <mc:AlternateContent>
          <mc:Choice Requires="wps">
            <w:drawing>
              <wp:inline distT="0" distB="0" distL="0" distR="0">
                <wp:extent cx="6145530" cy="4390390"/>
                <wp:effectExtent l="0" t="0" r="0" b="635"/>
                <wp:docPr id="505" name="Group 505"/>
                <wp:cNvGraphicFramePr>
                  <a:graphicFrameLocks/>
                </wp:cNvGraphicFramePr>
                <a:graphic>
                  <a:graphicData uri="http://schemas.microsoft.com/office/word/2010/wordprocessingGroup">
                    <wpg:wgp>
                      <wpg:cNvPr id="505" name="Group 505"/>
                      <wpg:cNvGrpSpPr/>
                      <wpg:grpSpPr>
                        <a:xfrm>
                          <a:off x="0" y="0"/>
                          <a:ext cx="6145530" cy="4390390"/>
                          <a:chExt cx="6145530" cy="4390390"/>
                        </a:xfrm>
                      </wpg:grpSpPr>
                      <pic:pic>
                        <pic:nvPicPr>
                          <pic:cNvPr id="506" name="Image 506"/>
                          <pic:cNvPicPr/>
                        </pic:nvPicPr>
                        <pic:blipFill>
                          <a:blip r:embed="rId72" cstate="print"/>
                          <a:stretch>
                            <a:fillRect/>
                          </a:stretch>
                        </pic:blipFill>
                        <pic:spPr>
                          <a:xfrm>
                            <a:off x="0" y="0"/>
                            <a:ext cx="2032635" cy="515531"/>
                          </a:xfrm>
                          <a:prstGeom prst="rect">
                            <a:avLst/>
                          </a:prstGeom>
                        </pic:spPr>
                      </pic:pic>
                      <wps:wsp>
                        <wps:cNvPr id="507" name="Graphic 507"/>
                        <wps:cNvSpPr/>
                        <wps:spPr>
                          <a:xfrm>
                            <a:off x="1842770" y="1787728"/>
                            <a:ext cx="3057525" cy="1044575"/>
                          </a:xfrm>
                          <a:custGeom>
                            <a:avLst/>
                            <a:gdLst/>
                            <a:ahLst/>
                            <a:cxnLst/>
                            <a:rect l="l" t="t" r="r" b="b"/>
                            <a:pathLst>
                              <a:path w="3057525" h="1044575">
                                <a:moveTo>
                                  <a:pt x="0" y="1044409"/>
                                </a:moveTo>
                                <a:lnTo>
                                  <a:pt x="3057524" y="1044409"/>
                                </a:lnTo>
                                <a:lnTo>
                                  <a:pt x="3057524" y="0"/>
                                </a:lnTo>
                                <a:lnTo>
                                  <a:pt x="0" y="0"/>
                                </a:lnTo>
                                <a:lnTo>
                                  <a:pt x="0" y="1044409"/>
                                </a:lnTo>
                                <a:close/>
                              </a:path>
                            </a:pathLst>
                          </a:custGeom>
                          <a:ln w="9525">
                            <a:solidFill>
                              <a:srgbClr val="394871"/>
                            </a:solidFill>
                            <a:prstDash val="solid"/>
                          </a:ln>
                        </wps:spPr>
                        <wps:bodyPr wrap="square" lIns="0" tIns="0" rIns="0" bIns="0" rtlCol="0">
                          <a:prstTxWarp prst="textNoShape">
                            <a:avLst/>
                          </a:prstTxWarp>
                          <a:noAutofit/>
                        </wps:bodyPr>
                      </wps:wsp>
                      <wps:wsp>
                        <wps:cNvPr id="508" name="Graphic 508"/>
                        <wps:cNvSpPr/>
                        <wps:spPr>
                          <a:xfrm>
                            <a:off x="2389505" y="1417865"/>
                            <a:ext cx="2047239" cy="1933575"/>
                          </a:xfrm>
                          <a:custGeom>
                            <a:avLst/>
                            <a:gdLst/>
                            <a:ahLst/>
                            <a:cxnLst/>
                            <a:rect l="l" t="t" r="r" b="b"/>
                            <a:pathLst>
                              <a:path w="2047239" h="1933575">
                                <a:moveTo>
                                  <a:pt x="76200" y="293624"/>
                                </a:moveTo>
                                <a:lnTo>
                                  <a:pt x="42799" y="293624"/>
                                </a:lnTo>
                                <a:lnTo>
                                  <a:pt x="42799" y="0"/>
                                </a:lnTo>
                                <a:lnTo>
                                  <a:pt x="33274" y="0"/>
                                </a:lnTo>
                                <a:lnTo>
                                  <a:pt x="33274" y="293624"/>
                                </a:lnTo>
                                <a:lnTo>
                                  <a:pt x="0" y="293624"/>
                                </a:lnTo>
                                <a:lnTo>
                                  <a:pt x="38100" y="369824"/>
                                </a:lnTo>
                                <a:lnTo>
                                  <a:pt x="69850" y="306324"/>
                                </a:lnTo>
                                <a:lnTo>
                                  <a:pt x="76200" y="293624"/>
                                </a:lnTo>
                                <a:close/>
                              </a:path>
                              <a:path w="2047239" h="1933575">
                                <a:moveTo>
                                  <a:pt x="1060577" y="1856486"/>
                                </a:moveTo>
                                <a:lnTo>
                                  <a:pt x="1027226" y="1856994"/>
                                </a:lnTo>
                                <a:lnTo>
                                  <a:pt x="1020191" y="1388491"/>
                                </a:lnTo>
                                <a:lnTo>
                                  <a:pt x="1010666" y="1388491"/>
                                </a:lnTo>
                                <a:lnTo>
                                  <a:pt x="1017701" y="1856486"/>
                                </a:lnTo>
                                <a:lnTo>
                                  <a:pt x="1017701" y="1857133"/>
                                </a:lnTo>
                                <a:lnTo>
                                  <a:pt x="984377" y="1857629"/>
                                </a:lnTo>
                                <a:lnTo>
                                  <a:pt x="1023620" y="1933321"/>
                                </a:lnTo>
                                <a:lnTo>
                                  <a:pt x="1054150" y="1869821"/>
                                </a:lnTo>
                                <a:lnTo>
                                  <a:pt x="1060577" y="1856486"/>
                                </a:lnTo>
                                <a:close/>
                              </a:path>
                              <a:path w="2047239" h="1933575">
                                <a:moveTo>
                                  <a:pt x="2047240" y="293624"/>
                                </a:moveTo>
                                <a:lnTo>
                                  <a:pt x="2013839" y="293624"/>
                                </a:lnTo>
                                <a:lnTo>
                                  <a:pt x="2013839" y="0"/>
                                </a:lnTo>
                                <a:lnTo>
                                  <a:pt x="2004314" y="0"/>
                                </a:lnTo>
                                <a:lnTo>
                                  <a:pt x="2004314" y="293624"/>
                                </a:lnTo>
                                <a:lnTo>
                                  <a:pt x="1971040" y="293624"/>
                                </a:lnTo>
                                <a:lnTo>
                                  <a:pt x="2009140" y="369824"/>
                                </a:lnTo>
                                <a:lnTo>
                                  <a:pt x="2040890" y="306324"/>
                                </a:lnTo>
                                <a:lnTo>
                                  <a:pt x="2047240" y="293624"/>
                                </a:lnTo>
                                <a:close/>
                              </a:path>
                            </a:pathLst>
                          </a:custGeom>
                          <a:solidFill>
                            <a:srgbClr val="1F487C"/>
                          </a:solidFill>
                        </wps:spPr>
                        <wps:bodyPr wrap="square" lIns="0" tIns="0" rIns="0" bIns="0" rtlCol="0">
                          <a:prstTxWarp prst="textNoShape">
                            <a:avLst/>
                          </a:prstTxWarp>
                          <a:noAutofit/>
                        </wps:bodyPr>
                      </wps:wsp>
                      <wps:wsp>
                        <wps:cNvPr id="509" name="Graphic 509"/>
                        <wps:cNvSpPr/>
                        <wps:spPr>
                          <a:xfrm>
                            <a:off x="1878964" y="3341154"/>
                            <a:ext cx="3057525" cy="1043940"/>
                          </a:xfrm>
                          <a:custGeom>
                            <a:avLst/>
                            <a:gdLst/>
                            <a:ahLst/>
                            <a:cxnLst/>
                            <a:rect l="l" t="t" r="r" b="b"/>
                            <a:pathLst>
                              <a:path w="3057525" h="1043940">
                                <a:moveTo>
                                  <a:pt x="0" y="1043939"/>
                                </a:moveTo>
                                <a:lnTo>
                                  <a:pt x="3057525" y="1043939"/>
                                </a:lnTo>
                                <a:lnTo>
                                  <a:pt x="3057525" y="0"/>
                                </a:lnTo>
                                <a:lnTo>
                                  <a:pt x="0" y="0"/>
                                </a:lnTo>
                                <a:lnTo>
                                  <a:pt x="0" y="1043939"/>
                                </a:lnTo>
                                <a:close/>
                              </a:path>
                            </a:pathLst>
                          </a:custGeom>
                          <a:ln w="9525">
                            <a:solidFill>
                              <a:srgbClr val="394871"/>
                            </a:solidFill>
                            <a:prstDash val="solid"/>
                          </a:ln>
                        </wps:spPr>
                        <wps:bodyPr wrap="square" lIns="0" tIns="0" rIns="0" bIns="0" rtlCol="0">
                          <a:prstTxWarp prst="textNoShape">
                            <a:avLst/>
                          </a:prstTxWarp>
                          <a:noAutofit/>
                        </wps:bodyPr>
                      </wps:wsp>
                      <wps:wsp>
                        <wps:cNvPr id="510" name="Textbox 510"/>
                        <wps:cNvSpPr txBox="1"/>
                        <wps:spPr>
                          <a:xfrm>
                            <a:off x="1874202" y="3336391"/>
                            <a:ext cx="3067050" cy="1053465"/>
                          </a:xfrm>
                          <a:prstGeom prst="rect">
                            <a:avLst/>
                          </a:prstGeom>
                          <a:solidFill>
                            <a:srgbClr val="394871"/>
                          </a:solidFill>
                        </wps:spPr>
                        <wps:txbx>
                          <w:txbxContent>
                            <w:p>
                              <w:pPr>
                                <w:spacing w:before="141"/>
                                <w:ind w:left="104" w:right="106" w:firstLine="0"/>
                                <w:jc w:val="center"/>
                                <w:rPr>
                                  <w:b/>
                                  <w:color w:val="000000"/>
                                  <w:sz w:val="24"/>
                                </w:rPr>
                              </w:pPr>
                              <w:bookmarkStart w:name="RJC 41d Draft RFCDDG Group ToR v0.4" w:id="65"/>
                              <w:bookmarkEnd w:id="65"/>
                              <w:r>
                                <w:rPr>
                                  <w:color w:val="000000"/>
                                </w:rPr>
                              </w:r>
                              <w:r>
                                <w:rPr>
                                  <w:b/>
                                  <w:color w:val="FFFFFF"/>
                                  <w:spacing w:val="-2"/>
                                  <w:sz w:val="24"/>
                                </w:rPr>
                                <w:t>Regional</w:t>
                              </w:r>
                              <w:r>
                                <w:rPr>
                                  <w:b/>
                                  <w:color w:val="FFFFFF"/>
                                  <w:spacing w:val="-15"/>
                                  <w:sz w:val="24"/>
                                </w:rPr>
                                <w:t> </w:t>
                              </w:r>
                              <w:r>
                                <w:rPr>
                                  <w:b/>
                                  <w:color w:val="FFFFFF"/>
                                  <w:spacing w:val="-2"/>
                                  <w:sz w:val="24"/>
                                </w:rPr>
                                <w:t>Finance,</w:t>
                              </w:r>
                              <w:r>
                                <w:rPr>
                                  <w:b/>
                                  <w:color w:val="FFFFFF"/>
                                  <w:spacing w:val="-15"/>
                                  <w:sz w:val="24"/>
                                </w:rPr>
                                <w:t> </w:t>
                              </w:r>
                              <w:r>
                                <w:rPr>
                                  <w:b/>
                                  <w:color w:val="FFFFFF"/>
                                  <w:spacing w:val="-2"/>
                                  <w:sz w:val="24"/>
                                </w:rPr>
                                <w:t>Contracting,</w:t>
                              </w:r>
                              <w:r>
                                <w:rPr>
                                  <w:b/>
                                  <w:color w:val="FFFFFF"/>
                                  <w:spacing w:val="-15"/>
                                  <w:sz w:val="24"/>
                                </w:rPr>
                                <w:t> </w:t>
                              </w:r>
                              <w:r>
                                <w:rPr>
                                  <w:b/>
                                  <w:color w:val="FFFFFF"/>
                                  <w:spacing w:val="-2"/>
                                  <w:sz w:val="24"/>
                                </w:rPr>
                                <w:t>Data</w:t>
                              </w:r>
                              <w:r>
                                <w:rPr>
                                  <w:b/>
                                  <w:color w:val="FFFFFF"/>
                                  <w:spacing w:val="-15"/>
                                  <w:sz w:val="24"/>
                                </w:rPr>
                                <w:t> </w:t>
                              </w:r>
                              <w:r>
                                <w:rPr>
                                  <w:b/>
                                  <w:color w:val="FFFFFF"/>
                                  <w:spacing w:val="-2"/>
                                  <w:sz w:val="24"/>
                                </w:rPr>
                                <w:t>&amp; </w:t>
                              </w:r>
                              <w:r>
                                <w:rPr>
                                  <w:b/>
                                  <w:color w:val="FFFFFF"/>
                                  <w:sz w:val="24"/>
                                </w:rPr>
                                <w:t>Digital Group</w:t>
                              </w:r>
                            </w:p>
                            <w:p>
                              <w:pPr>
                                <w:spacing w:line="242" w:lineRule="auto" w:before="0"/>
                                <w:ind w:left="106"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Resources,</w:t>
                              </w:r>
                              <w:r>
                                <w:rPr>
                                  <w:b/>
                                  <w:color w:val="FFFFFF"/>
                                  <w:spacing w:val="-15"/>
                                  <w:sz w:val="24"/>
                                </w:rPr>
                                <w:t> </w:t>
                              </w:r>
                              <w:r>
                                <w:rPr>
                                  <w:b/>
                                  <w:color w:val="FFFFFF"/>
                                  <w:spacing w:val="-2"/>
                                  <w:sz w:val="24"/>
                                </w:rPr>
                                <w:t>Value</w:t>
                              </w:r>
                              <w:r>
                                <w:rPr>
                                  <w:b/>
                                  <w:color w:val="FFFFFF"/>
                                  <w:spacing w:val="-15"/>
                                  <w:sz w:val="24"/>
                                </w:rPr>
                                <w:t> </w:t>
                              </w:r>
                              <w:r>
                                <w:rPr>
                                  <w:b/>
                                  <w:color w:val="FFFFFF"/>
                                  <w:spacing w:val="-2"/>
                                  <w:sz w:val="24"/>
                                </w:rPr>
                                <w:t>and</w:t>
                              </w:r>
                              <w:r>
                                <w:rPr>
                                  <w:b/>
                                  <w:color w:val="FFFFFF"/>
                                  <w:spacing w:val="-15"/>
                                  <w:sz w:val="24"/>
                                </w:rPr>
                                <w:t> </w:t>
                              </w:r>
                              <w:r>
                                <w:rPr>
                                  <w:b/>
                                  <w:color w:val="FFFFFF"/>
                                  <w:spacing w:val="-2"/>
                                  <w:sz w:val="24"/>
                                </w:rPr>
                                <w:t>Digital </w:t>
                              </w:r>
                              <w:r>
                                <w:rPr>
                                  <w:b/>
                                  <w:color w:val="FFFFFF"/>
                                  <w:sz w:val="24"/>
                                </w:rPr>
                                <w:t>Group ?</w:t>
                              </w:r>
                            </w:p>
                          </w:txbxContent>
                        </wps:txbx>
                        <wps:bodyPr wrap="square" lIns="0" tIns="0" rIns="0" bIns="0" rtlCol="0">
                          <a:noAutofit/>
                        </wps:bodyPr>
                      </wps:wsp>
                      <wps:wsp>
                        <wps:cNvPr id="511" name="Textbox 511"/>
                        <wps:cNvSpPr txBox="1"/>
                        <wps:spPr>
                          <a:xfrm>
                            <a:off x="1838007" y="1782965"/>
                            <a:ext cx="3067050" cy="1054100"/>
                          </a:xfrm>
                          <a:prstGeom prst="rect">
                            <a:avLst/>
                          </a:prstGeom>
                          <a:solidFill>
                            <a:srgbClr val="394871"/>
                          </a:solidFill>
                        </wps:spPr>
                        <wps:txbx>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wps:txbx>
                        <wps:bodyPr wrap="square" lIns="0" tIns="0" rIns="0" bIns="0" rtlCol="0">
                          <a:noAutofit/>
                        </wps:bodyPr>
                      </wps:wsp>
                      <wps:wsp>
                        <wps:cNvPr id="512" name="Textbox 512"/>
                        <wps:cNvSpPr txBox="1"/>
                        <wps:spPr>
                          <a:xfrm>
                            <a:off x="3677284" y="536651"/>
                            <a:ext cx="24587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s:wsp>
                        <wps:cNvPr id="513" name="Textbox 513"/>
                        <wps:cNvSpPr txBox="1"/>
                        <wps:spPr>
                          <a:xfrm>
                            <a:off x="639444" y="542747"/>
                            <a:ext cx="24079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g:wgp>
                  </a:graphicData>
                </a:graphic>
              </wp:inline>
            </w:drawing>
          </mc:Choice>
          <mc:Fallback>
            <w:pict>
              <v:group style="width:483.9pt;height:345.7pt;mso-position-horizontal-relative:char;mso-position-vertical-relative:line" id="docshapegroup283" coordorigin="0,0" coordsize="9678,6914">
                <v:shape style="position:absolute;left:0;top:0;width:3201;height:812" type="#_x0000_t75" id="docshape284" stroked="false">
                  <v:imagedata r:id="rId72" o:title=""/>
                </v:shape>
                <v:rect style="position:absolute;left:2902;top:2815;width:4815;height:1645" id="docshape285" filled="false" stroked="true" strokeweight=".75pt" strokecolor="#394871">
                  <v:stroke dashstyle="solid"/>
                </v:rect>
                <v:shape style="position:absolute;left:3763;top:2232;width:3224;height:3045" id="docshape286" coordorigin="3763,2233" coordsize="3224,3045" path="m3883,2695l3830,2695,3830,2233,3815,2233,3815,2695,3763,2695,3823,2815,3873,2715,3883,2695xm5433,5156l5381,5157,5370,4419,5355,4419,5366,5156,5366,5157,5313,5158,5375,5277,5423,5177,5433,5156xm6987,2695l6934,2695,6934,2233,6919,2233,6919,2695,6867,2695,6927,2815,6977,2715,6987,2695xe" filled="true" fillcolor="#1f487c" stroked="false">
                  <v:path arrowok="t"/>
                  <v:fill type="solid"/>
                </v:shape>
                <v:rect style="position:absolute;left:2959;top:5261;width:4815;height:1644" id="docshape287" filled="false" stroked="true" strokeweight=".75pt" strokecolor="#394871">
                  <v:stroke dashstyle="solid"/>
                </v:rect>
                <v:shape style="position:absolute;left:2951;top:5254;width:4830;height:1659" type="#_x0000_t202" id="docshape288" filled="true" fillcolor="#394871" stroked="false">
                  <v:textbox inset="0,0,0,0">
                    <w:txbxContent>
                      <w:p>
                        <w:pPr>
                          <w:spacing w:before="141"/>
                          <w:ind w:left="104" w:right="106" w:firstLine="0"/>
                          <w:jc w:val="center"/>
                          <w:rPr>
                            <w:b/>
                            <w:color w:val="000000"/>
                            <w:sz w:val="24"/>
                          </w:rPr>
                        </w:pPr>
                        <w:bookmarkStart w:name="RJC 41d Draft RFCDDG Group ToR v0.4" w:id="66"/>
                        <w:bookmarkEnd w:id="66"/>
                        <w:r>
                          <w:rPr>
                            <w:color w:val="000000"/>
                          </w:rPr>
                        </w:r>
                        <w:r>
                          <w:rPr>
                            <w:b/>
                            <w:color w:val="FFFFFF"/>
                            <w:spacing w:val="-2"/>
                            <w:sz w:val="24"/>
                          </w:rPr>
                          <w:t>Regional</w:t>
                        </w:r>
                        <w:r>
                          <w:rPr>
                            <w:b/>
                            <w:color w:val="FFFFFF"/>
                            <w:spacing w:val="-15"/>
                            <w:sz w:val="24"/>
                          </w:rPr>
                          <w:t> </w:t>
                        </w:r>
                        <w:r>
                          <w:rPr>
                            <w:b/>
                            <w:color w:val="FFFFFF"/>
                            <w:spacing w:val="-2"/>
                            <w:sz w:val="24"/>
                          </w:rPr>
                          <w:t>Finance,</w:t>
                        </w:r>
                        <w:r>
                          <w:rPr>
                            <w:b/>
                            <w:color w:val="FFFFFF"/>
                            <w:spacing w:val="-15"/>
                            <w:sz w:val="24"/>
                          </w:rPr>
                          <w:t> </w:t>
                        </w:r>
                        <w:r>
                          <w:rPr>
                            <w:b/>
                            <w:color w:val="FFFFFF"/>
                            <w:spacing w:val="-2"/>
                            <w:sz w:val="24"/>
                          </w:rPr>
                          <w:t>Contracting,</w:t>
                        </w:r>
                        <w:r>
                          <w:rPr>
                            <w:b/>
                            <w:color w:val="FFFFFF"/>
                            <w:spacing w:val="-15"/>
                            <w:sz w:val="24"/>
                          </w:rPr>
                          <w:t> </w:t>
                        </w:r>
                        <w:r>
                          <w:rPr>
                            <w:b/>
                            <w:color w:val="FFFFFF"/>
                            <w:spacing w:val="-2"/>
                            <w:sz w:val="24"/>
                          </w:rPr>
                          <w:t>Data</w:t>
                        </w:r>
                        <w:r>
                          <w:rPr>
                            <w:b/>
                            <w:color w:val="FFFFFF"/>
                            <w:spacing w:val="-15"/>
                            <w:sz w:val="24"/>
                          </w:rPr>
                          <w:t> </w:t>
                        </w:r>
                        <w:r>
                          <w:rPr>
                            <w:b/>
                            <w:color w:val="FFFFFF"/>
                            <w:spacing w:val="-2"/>
                            <w:sz w:val="24"/>
                          </w:rPr>
                          <w:t>&amp; </w:t>
                        </w:r>
                        <w:r>
                          <w:rPr>
                            <w:b/>
                            <w:color w:val="FFFFFF"/>
                            <w:sz w:val="24"/>
                          </w:rPr>
                          <w:t>Digital Group</w:t>
                        </w:r>
                      </w:p>
                      <w:p>
                        <w:pPr>
                          <w:spacing w:line="242" w:lineRule="auto" w:before="0"/>
                          <w:ind w:left="106"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Resources,</w:t>
                        </w:r>
                        <w:r>
                          <w:rPr>
                            <w:b/>
                            <w:color w:val="FFFFFF"/>
                            <w:spacing w:val="-15"/>
                            <w:sz w:val="24"/>
                          </w:rPr>
                          <w:t> </w:t>
                        </w:r>
                        <w:r>
                          <w:rPr>
                            <w:b/>
                            <w:color w:val="FFFFFF"/>
                            <w:spacing w:val="-2"/>
                            <w:sz w:val="24"/>
                          </w:rPr>
                          <w:t>Value</w:t>
                        </w:r>
                        <w:r>
                          <w:rPr>
                            <w:b/>
                            <w:color w:val="FFFFFF"/>
                            <w:spacing w:val="-15"/>
                            <w:sz w:val="24"/>
                          </w:rPr>
                          <w:t> </w:t>
                        </w:r>
                        <w:r>
                          <w:rPr>
                            <w:b/>
                            <w:color w:val="FFFFFF"/>
                            <w:spacing w:val="-2"/>
                            <w:sz w:val="24"/>
                          </w:rPr>
                          <w:t>and</w:t>
                        </w:r>
                        <w:r>
                          <w:rPr>
                            <w:b/>
                            <w:color w:val="FFFFFF"/>
                            <w:spacing w:val="-15"/>
                            <w:sz w:val="24"/>
                          </w:rPr>
                          <w:t> </w:t>
                        </w:r>
                        <w:r>
                          <w:rPr>
                            <w:b/>
                            <w:color w:val="FFFFFF"/>
                            <w:spacing w:val="-2"/>
                            <w:sz w:val="24"/>
                          </w:rPr>
                          <w:t>Digital </w:t>
                        </w:r>
                        <w:r>
                          <w:rPr>
                            <w:b/>
                            <w:color w:val="FFFFFF"/>
                            <w:sz w:val="24"/>
                          </w:rPr>
                          <w:t>Group ?</w:t>
                        </w:r>
                      </w:p>
                    </w:txbxContent>
                  </v:textbox>
                  <v:fill type="solid"/>
                  <w10:wrap type="none"/>
                </v:shape>
                <v:shape style="position:absolute;left:2894;top:2807;width:4830;height:1660" type="#_x0000_t202" id="docshape289" filled="true" fillcolor="#394871" stroked="false">
                  <v:textbox inset="0,0,0,0">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v:textbox>
                  <v:fill type="solid"/>
                  <w10:wrap type="none"/>
                </v:shape>
                <v:shape style="position:absolute;left:5791;top:845;width:3872;height:1388" type="#_x0000_t202" id="docshape290" filled="true" fillcolor="#c1a875" stroked="true" strokeweight="1.5pt" strokecolor="#394871">
                  <v:textbox inset="0,0,0,0">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shape style="position:absolute;left:1007;top:854;width:3792;height:1388" type="#_x0000_t202" id="docshape291" filled="true" fillcolor="#c1a875" stroked="true" strokeweight="1.5pt" strokecolor="#394871">
                  <v:textbox inset="0,0,0,0">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group>
            </w:pict>
          </mc:Fallback>
        </mc:AlternateContent>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3"/>
        <w:rPr>
          <w:sz w:val="20"/>
        </w:rPr>
      </w:pPr>
      <w:r>
        <w:rPr>
          <w:sz w:val="20"/>
        </w:rPr>
        <mc:AlternateContent>
          <mc:Choice Requires="wps">
            <w:drawing>
              <wp:anchor distT="0" distB="0" distL="0" distR="0" allowOverlap="1" layoutInCell="1" locked="0" behindDoc="1" simplePos="0" relativeHeight="487680000">
                <wp:simplePos x="0" y="0"/>
                <wp:positionH relativeFrom="page">
                  <wp:posOffset>559117</wp:posOffset>
                </wp:positionH>
                <wp:positionV relativeFrom="paragraph">
                  <wp:posOffset>258748</wp:posOffset>
                </wp:positionV>
                <wp:extent cx="6445250" cy="359410"/>
                <wp:effectExtent l="0" t="0" r="0" b="0"/>
                <wp:wrapTopAndBottom/>
                <wp:docPr id="514" name="Textbox 514"/>
                <wp:cNvGraphicFramePr>
                  <a:graphicFrameLocks/>
                </wp:cNvGraphicFramePr>
                <a:graphic>
                  <a:graphicData uri="http://schemas.microsoft.com/office/word/2010/wordprocessingShape">
                    <wps:wsp>
                      <wps:cNvPr id="514" name="Textbox 514"/>
                      <wps:cNvSpPr txBox="1"/>
                      <wps:spPr>
                        <a:xfrm>
                          <a:off x="0" y="0"/>
                          <a:ext cx="6445250" cy="359410"/>
                        </a:xfrm>
                        <a:prstGeom prst="rect">
                          <a:avLst/>
                        </a:prstGeom>
                        <a:solidFill>
                          <a:srgbClr val="C1A875"/>
                        </a:solidFill>
                        <a:ln w="38100">
                          <a:solidFill>
                            <a:srgbClr val="394871"/>
                          </a:solidFill>
                          <a:prstDash val="solid"/>
                        </a:ln>
                      </wps:spPr>
                      <wps:txbx>
                        <w:txbxContent>
                          <w:p>
                            <w:pPr>
                              <w:spacing w:before="115"/>
                              <w:ind w:left="4" w:right="6" w:firstLine="0"/>
                              <w:jc w:val="center"/>
                              <w:rPr>
                                <w:b/>
                                <w:color w:val="000000"/>
                                <w:sz w:val="24"/>
                              </w:rPr>
                            </w:pPr>
                            <w:r>
                              <w:rPr>
                                <w:b/>
                                <w:color w:val="000000"/>
                                <w:sz w:val="24"/>
                              </w:rPr>
                              <w:t>REGIONAL</w:t>
                            </w:r>
                            <w:r>
                              <w:rPr>
                                <w:b/>
                                <w:color w:val="000000"/>
                                <w:spacing w:val="-6"/>
                                <w:sz w:val="24"/>
                              </w:rPr>
                              <w:t> </w:t>
                            </w:r>
                            <w:r>
                              <w:rPr>
                                <w:b/>
                                <w:color w:val="000000"/>
                                <w:sz w:val="24"/>
                              </w:rPr>
                              <w:t>FINANCE,</w:t>
                            </w:r>
                            <w:r>
                              <w:rPr>
                                <w:b/>
                                <w:color w:val="000000"/>
                                <w:spacing w:val="-4"/>
                                <w:sz w:val="24"/>
                              </w:rPr>
                              <w:t> </w:t>
                            </w:r>
                            <w:r>
                              <w:rPr>
                                <w:b/>
                                <w:color w:val="000000"/>
                                <w:sz w:val="24"/>
                              </w:rPr>
                              <w:t>CONTRACTING,</w:t>
                            </w:r>
                            <w:r>
                              <w:rPr>
                                <w:b/>
                                <w:color w:val="000000"/>
                                <w:spacing w:val="-5"/>
                                <w:sz w:val="24"/>
                              </w:rPr>
                              <w:t> </w:t>
                            </w:r>
                            <w:r>
                              <w:rPr>
                                <w:b/>
                                <w:color w:val="000000"/>
                                <w:sz w:val="24"/>
                              </w:rPr>
                              <w:t>DATA</w:t>
                            </w:r>
                            <w:r>
                              <w:rPr>
                                <w:b/>
                                <w:color w:val="000000"/>
                                <w:spacing w:val="-6"/>
                                <w:sz w:val="24"/>
                              </w:rPr>
                              <w:t> </w:t>
                            </w:r>
                            <w:r>
                              <w:rPr>
                                <w:b/>
                                <w:color w:val="000000"/>
                                <w:sz w:val="24"/>
                              </w:rPr>
                              <w:t>&amp;</w:t>
                            </w:r>
                            <w:r>
                              <w:rPr>
                                <w:b/>
                                <w:color w:val="000000"/>
                                <w:spacing w:val="-2"/>
                                <w:sz w:val="24"/>
                              </w:rPr>
                              <w:t> </w:t>
                            </w:r>
                            <w:r>
                              <w:rPr>
                                <w:b/>
                                <w:color w:val="000000"/>
                                <w:sz w:val="24"/>
                              </w:rPr>
                              <w:t>DIGITAL</w:t>
                            </w:r>
                            <w:r>
                              <w:rPr>
                                <w:b/>
                                <w:color w:val="000000"/>
                                <w:spacing w:val="2"/>
                                <w:sz w:val="24"/>
                              </w:rPr>
                              <w:t> </w:t>
                            </w:r>
                            <w:r>
                              <w:rPr>
                                <w:b/>
                                <w:color w:val="000000"/>
                                <w:spacing w:val="-2"/>
                                <w:sz w:val="24"/>
                              </w:rPr>
                              <w:t>GROUP</w:t>
                            </w:r>
                          </w:p>
                        </w:txbxContent>
                      </wps:txbx>
                      <wps:bodyPr wrap="square" lIns="0" tIns="0" rIns="0" bIns="0" rtlCol="0">
                        <a:noAutofit/>
                      </wps:bodyPr>
                    </wps:wsp>
                  </a:graphicData>
                </a:graphic>
              </wp:anchor>
            </w:drawing>
          </mc:Choice>
          <mc:Fallback>
            <w:pict>
              <v:shape style="position:absolute;margin-left:44.025002pt;margin-top:20.373907pt;width:507.5pt;height:28.3pt;mso-position-horizontal-relative:page;mso-position-vertical-relative:paragraph;z-index:-15636480;mso-wrap-distance-left:0;mso-wrap-distance-right:0" type="#_x0000_t202" id="docshape292" filled="true" fillcolor="#c1a875" stroked="true" strokeweight="3pt" strokecolor="#394871">
                <v:textbox inset="0,0,0,0">
                  <w:txbxContent>
                    <w:p>
                      <w:pPr>
                        <w:spacing w:before="115"/>
                        <w:ind w:left="4" w:right="6" w:firstLine="0"/>
                        <w:jc w:val="center"/>
                        <w:rPr>
                          <w:b/>
                          <w:color w:val="000000"/>
                          <w:sz w:val="24"/>
                        </w:rPr>
                      </w:pPr>
                      <w:r>
                        <w:rPr>
                          <w:b/>
                          <w:color w:val="000000"/>
                          <w:sz w:val="24"/>
                        </w:rPr>
                        <w:t>REGIONAL</w:t>
                      </w:r>
                      <w:r>
                        <w:rPr>
                          <w:b/>
                          <w:color w:val="000000"/>
                          <w:spacing w:val="-6"/>
                          <w:sz w:val="24"/>
                        </w:rPr>
                        <w:t> </w:t>
                      </w:r>
                      <w:r>
                        <w:rPr>
                          <w:b/>
                          <w:color w:val="000000"/>
                          <w:sz w:val="24"/>
                        </w:rPr>
                        <w:t>FINANCE,</w:t>
                      </w:r>
                      <w:r>
                        <w:rPr>
                          <w:b/>
                          <w:color w:val="000000"/>
                          <w:spacing w:val="-4"/>
                          <w:sz w:val="24"/>
                        </w:rPr>
                        <w:t> </w:t>
                      </w:r>
                      <w:r>
                        <w:rPr>
                          <w:b/>
                          <w:color w:val="000000"/>
                          <w:sz w:val="24"/>
                        </w:rPr>
                        <w:t>CONTRACTING,</w:t>
                      </w:r>
                      <w:r>
                        <w:rPr>
                          <w:b/>
                          <w:color w:val="000000"/>
                          <w:spacing w:val="-5"/>
                          <w:sz w:val="24"/>
                        </w:rPr>
                        <w:t> </w:t>
                      </w:r>
                      <w:r>
                        <w:rPr>
                          <w:b/>
                          <w:color w:val="000000"/>
                          <w:sz w:val="24"/>
                        </w:rPr>
                        <w:t>DATA</w:t>
                      </w:r>
                      <w:r>
                        <w:rPr>
                          <w:b/>
                          <w:color w:val="000000"/>
                          <w:spacing w:val="-6"/>
                          <w:sz w:val="24"/>
                        </w:rPr>
                        <w:t> </w:t>
                      </w:r>
                      <w:r>
                        <w:rPr>
                          <w:b/>
                          <w:color w:val="000000"/>
                          <w:sz w:val="24"/>
                        </w:rPr>
                        <w:t>&amp;</w:t>
                      </w:r>
                      <w:r>
                        <w:rPr>
                          <w:b/>
                          <w:color w:val="000000"/>
                          <w:spacing w:val="-2"/>
                          <w:sz w:val="24"/>
                        </w:rPr>
                        <w:t> </w:t>
                      </w:r>
                      <w:r>
                        <w:rPr>
                          <w:b/>
                          <w:color w:val="000000"/>
                          <w:sz w:val="24"/>
                        </w:rPr>
                        <w:t>DIGITAL</w:t>
                      </w:r>
                      <w:r>
                        <w:rPr>
                          <w:b/>
                          <w:color w:val="000000"/>
                          <w:spacing w:val="2"/>
                          <w:sz w:val="24"/>
                        </w:rPr>
                        <w:t> </w:t>
                      </w:r>
                      <w:r>
                        <w:rPr>
                          <w:b/>
                          <w:color w:val="000000"/>
                          <w:spacing w:val="-2"/>
                          <w:sz w:val="24"/>
                        </w:rPr>
                        <w:t>GROUP</w:t>
                      </w:r>
                    </w:p>
                  </w:txbxContent>
                </v:textbox>
                <v:fill type="solid"/>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80512">
                <wp:simplePos x="0" y="0"/>
                <wp:positionH relativeFrom="page">
                  <wp:posOffset>554355</wp:posOffset>
                </wp:positionH>
                <wp:positionV relativeFrom="paragraph">
                  <wp:posOffset>813167</wp:posOffset>
                </wp:positionV>
                <wp:extent cx="6454775" cy="349250"/>
                <wp:effectExtent l="0" t="0" r="0" b="0"/>
                <wp:wrapTopAndBottom/>
                <wp:docPr id="515" name="Textbox 515"/>
                <wp:cNvGraphicFramePr>
                  <a:graphicFrameLocks/>
                </wp:cNvGraphicFramePr>
                <a:graphic>
                  <a:graphicData uri="http://schemas.microsoft.com/office/word/2010/wordprocessingShape">
                    <wps:wsp>
                      <wps:cNvPr id="515" name="Textbox 515"/>
                      <wps:cNvSpPr txBox="1"/>
                      <wps:spPr>
                        <a:xfrm>
                          <a:off x="0" y="0"/>
                          <a:ext cx="6454775" cy="349250"/>
                        </a:xfrm>
                        <a:prstGeom prst="rect">
                          <a:avLst/>
                        </a:prstGeom>
                        <a:solidFill>
                          <a:srgbClr val="394871"/>
                        </a:solidFill>
                        <a:ln w="28575">
                          <a:solidFill>
                            <a:srgbClr val="C1A875"/>
                          </a:solidFill>
                          <a:prstDash val="solid"/>
                        </a:ln>
                      </wps:spPr>
                      <wps:txbx>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wps:txbx>
                      <wps:bodyPr wrap="square" lIns="0" tIns="0" rIns="0" bIns="0" rtlCol="0">
                        <a:noAutofit/>
                      </wps:bodyPr>
                    </wps:wsp>
                  </a:graphicData>
                </a:graphic>
              </wp:anchor>
            </w:drawing>
          </mc:Choice>
          <mc:Fallback>
            <w:pict>
              <v:shape style="position:absolute;margin-left:43.650002pt;margin-top:64.028908pt;width:508.25pt;height:27.5pt;mso-position-horizontal-relative:page;mso-position-vertical-relative:paragraph;z-index:-15635968;mso-wrap-distance-left:0;mso-wrap-distance-right:0" type="#_x0000_t202" id="docshape293" filled="true" fillcolor="#394871" stroked="true" strokeweight="2.25pt" strokecolor="#c1a875">
                <v:textbox inset="0,0,0,0">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v:textbox>
                <v:fill type="solid"/>
                <v:stroke dashstyle="solid"/>
                <w10:wrap type="topAndBottom"/>
              </v:shape>
            </w:pict>
          </mc:Fallback>
        </mc:AlternateContent>
      </w:r>
    </w:p>
    <w:p>
      <w:pPr>
        <w:pStyle w:val="BodyText"/>
        <w:spacing w:before="30"/>
        <w:rPr>
          <w:sz w:val="20"/>
        </w:rPr>
      </w:pPr>
    </w:p>
    <w:p>
      <w:pPr>
        <w:pStyle w:val="BodyText"/>
        <w:spacing w:before="22"/>
        <w:rPr>
          <w:sz w:val="20"/>
        </w:rPr>
      </w:pPr>
    </w:p>
    <w:tbl>
      <w:tblPr>
        <w:tblW w:w="0" w:type="auto"/>
        <w:jc w:val="left"/>
        <w:tblInd w:w="147" w:type="dxa"/>
        <w:tblBorders>
          <w:top w:val="single" w:sz="2" w:space="0" w:color="394871"/>
          <w:left w:val="single" w:sz="2" w:space="0" w:color="394871"/>
          <w:bottom w:val="single" w:sz="2" w:space="0" w:color="394871"/>
          <w:right w:val="single" w:sz="2" w:space="0" w:color="394871"/>
          <w:insideH w:val="single" w:sz="2" w:space="0" w:color="394871"/>
          <w:insideV w:val="single" w:sz="2" w:space="0" w:color="394871"/>
        </w:tblBorders>
        <w:tblLayout w:type="fixed"/>
        <w:tblCellMar>
          <w:top w:w="0" w:type="dxa"/>
          <w:left w:w="0" w:type="dxa"/>
          <w:bottom w:w="0" w:type="dxa"/>
          <w:right w:w="0" w:type="dxa"/>
        </w:tblCellMar>
        <w:tblLook w:val="01E0"/>
      </w:tblPr>
      <w:tblGrid>
        <w:gridCol w:w="1411"/>
        <w:gridCol w:w="5788"/>
        <w:gridCol w:w="1456"/>
        <w:gridCol w:w="1551"/>
      </w:tblGrid>
      <w:tr>
        <w:trPr>
          <w:trHeight w:val="300" w:hRule="atLeast"/>
        </w:trPr>
        <w:tc>
          <w:tcPr>
            <w:tcW w:w="1411" w:type="dxa"/>
            <w:shd w:val="clear" w:color="auto" w:fill="C1A875"/>
          </w:tcPr>
          <w:p>
            <w:pPr>
              <w:pStyle w:val="TableParagraph"/>
              <w:spacing w:line="265" w:lineRule="exact" w:before="15"/>
              <w:jc w:val="center"/>
              <w:rPr>
                <w:b/>
                <w:sz w:val="24"/>
              </w:rPr>
            </w:pPr>
            <w:r>
              <w:rPr>
                <w:b/>
                <w:spacing w:val="-2"/>
                <w:sz w:val="24"/>
              </w:rPr>
              <w:t>Version</w:t>
            </w:r>
          </w:p>
        </w:tc>
        <w:tc>
          <w:tcPr>
            <w:tcW w:w="5788" w:type="dxa"/>
            <w:shd w:val="clear" w:color="auto" w:fill="C1A875"/>
          </w:tcPr>
          <w:p>
            <w:pPr>
              <w:pStyle w:val="TableParagraph"/>
              <w:spacing w:line="265" w:lineRule="exact" w:before="15"/>
              <w:ind w:left="4"/>
              <w:jc w:val="center"/>
              <w:rPr>
                <w:b/>
                <w:sz w:val="24"/>
              </w:rPr>
            </w:pPr>
            <w:r>
              <w:rPr>
                <w:b/>
                <w:sz w:val="24"/>
              </w:rPr>
              <w:t>Issued</w:t>
            </w:r>
            <w:r>
              <w:rPr>
                <w:b/>
                <w:spacing w:val="-5"/>
                <w:sz w:val="24"/>
              </w:rPr>
              <w:t> To</w:t>
            </w:r>
          </w:p>
        </w:tc>
        <w:tc>
          <w:tcPr>
            <w:tcW w:w="1456" w:type="dxa"/>
            <w:shd w:val="clear" w:color="auto" w:fill="C1A875"/>
          </w:tcPr>
          <w:p>
            <w:pPr>
              <w:pStyle w:val="TableParagraph"/>
              <w:spacing w:line="265" w:lineRule="exact" w:before="15"/>
              <w:ind w:left="16" w:right="1"/>
              <w:jc w:val="center"/>
              <w:rPr>
                <w:b/>
                <w:sz w:val="24"/>
              </w:rPr>
            </w:pPr>
            <w:r>
              <w:rPr>
                <w:b/>
                <w:spacing w:val="-4"/>
                <w:sz w:val="24"/>
              </w:rPr>
              <w:t>Date</w:t>
            </w:r>
          </w:p>
        </w:tc>
        <w:tc>
          <w:tcPr>
            <w:tcW w:w="1551" w:type="dxa"/>
            <w:shd w:val="clear" w:color="auto" w:fill="C1A875"/>
          </w:tcPr>
          <w:p>
            <w:pPr>
              <w:pStyle w:val="TableParagraph"/>
              <w:spacing w:line="265" w:lineRule="exact" w:before="15"/>
              <w:ind w:left="156"/>
              <w:rPr>
                <w:b/>
                <w:sz w:val="24"/>
              </w:rPr>
            </w:pPr>
            <w:r>
              <w:rPr>
                <w:b/>
                <w:spacing w:val="-2"/>
                <w:sz w:val="24"/>
              </w:rPr>
              <w:t>Comments</w:t>
            </w:r>
          </w:p>
        </w:tc>
      </w:tr>
      <w:tr>
        <w:trPr>
          <w:trHeight w:val="300" w:hRule="atLeast"/>
        </w:trPr>
        <w:tc>
          <w:tcPr>
            <w:tcW w:w="1411" w:type="dxa"/>
            <w:shd w:val="clear" w:color="auto" w:fill="C1A875"/>
          </w:tcPr>
          <w:p>
            <w:pPr>
              <w:pStyle w:val="TableParagraph"/>
              <w:spacing w:line="265" w:lineRule="exact" w:before="15"/>
              <w:jc w:val="center"/>
              <w:rPr>
                <w:sz w:val="24"/>
              </w:rPr>
            </w:pPr>
            <w:r>
              <w:rPr>
                <w:spacing w:val="-4"/>
                <w:sz w:val="24"/>
              </w:rPr>
              <w:t>V1.0</w:t>
            </w:r>
          </w:p>
        </w:tc>
        <w:tc>
          <w:tcPr>
            <w:tcW w:w="5788" w:type="dxa"/>
          </w:tcPr>
          <w:p>
            <w:pPr>
              <w:pStyle w:val="TableParagraph"/>
              <w:rPr>
                <w:rFonts w:ascii="Times New Roman"/>
                <w:sz w:val="22"/>
              </w:rPr>
            </w:pPr>
          </w:p>
        </w:tc>
        <w:tc>
          <w:tcPr>
            <w:tcW w:w="1456" w:type="dxa"/>
          </w:tcPr>
          <w:p>
            <w:pPr>
              <w:pStyle w:val="TableParagraph"/>
              <w:spacing w:line="275" w:lineRule="exact" w:before="5"/>
              <w:ind w:left="16"/>
              <w:jc w:val="center"/>
              <w:rPr>
                <w:sz w:val="24"/>
              </w:rPr>
            </w:pPr>
            <w:r>
              <w:rPr>
                <w:spacing w:val="-2"/>
                <w:sz w:val="24"/>
              </w:rPr>
              <w:t>01.08.2026</w:t>
            </w:r>
          </w:p>
        </w:tc>
        <w:tc>
          <w:tcPr>
            <w:tcW w:w="1551" w:type="dxa"/>
          </w:tcPr>
          <w:p>
            <w:pPr>
              <w:pStyle w:val="TableParagraph"/>
              <w:rPr>
                <w:rFonts w:ascii="Times New Roman"/>
                <w:sz w:val="22"/>
              </w:rPr>
            </w:pPr>
          </w:p>
        </w:tc>
      </w:tr>
      <w:tr>
        <w:trPr>
          <w:trHeight w:val="554" w:hRule="atLeast"/>
        </w:trPr>
        <w:tc>
          <w:tcPr>
            <w:tcW w:w="1411" w:type="dxa"/>
            <w:shd w:val="clear" w:color="auto" w:fill="C1A875"/>
          </w:tcPr>
          <w:p>
            <w:pPr>
              <w:pStyle w:val="TableParagraph"/>
              <w:jc w:val="center"/>
              <w:rPr>
                <w:sz w:val="24"/>
              </w:rPr>
            </w:pPr>
            <w:r>
              <w:rPr>
                <w:spacing w:val="-5"/>
                <w:sz w:val="24"/>
              </w:rPr>
              <w:t>V.1</w:t>
            </w:r>
          </w:p>
        </w:tc>
        <w:tc>
          <w:tcPr>
            <w:tcW w:w="5788" w:type="dxa"/>
          </w:tcPr>
          <w:p>
            <w:pPr>
              <w:pStyle w:val="TableParagraph"/>
              <w:ind w:left="107"/>
              <w:rPr>
                <w:sz w:val="24"/>
              </w:rPr>
            </w:pPr>
            <w:r>
              <w:rPr>
                <w:sz w:val="24"/>
              </w:rPr>
              <w:t>Regional</w:t>
            </w:r>
            <w:r>
              <w:rPr>
                <w:spacing w:val="-2"/>
                <w:sz w:val="24"/>
              </w:rPr>
              <w:t> </w:t>
            </w:r>
            <w:r>
              <w:rPr>
                <w:sz w:val="24"/>
              </w:rPr>
              <w:t>Joint</w:t>
            </w:r>
            <w:r>
              <w:rPr>
                <w:spacing w:val="-4"/>
                <w:sz w:val="24"/>
              </w:rPr>
              <w:t> </w:t>
            </w:r>
            <w:r>
              <w:rPr>
                <w:spacing w:val="-2"/>
                <w:sz w:val="24"/>
              </w:rPr>
              <w:t>Committee</w:t>
            </w:r>
          </w:p>
        </w:tc>
        <w:tc>
          <w:tcPr>
            <w:tcW w:w="1456" w:type="dxa"/>
          </w:tcPr>
          <w:p>
            <w:pPr>
              <w:pStyle w:val="TableParagraph"/>
              <w:ind w:left="16" w:right="1"/>
              <w:jc w:val="center"/>
              <w:rPr>
                <w:sz w:val="24"/>
              </w:rPr>
            </w:pPr>
            <w:r>
              <w:rPr>
                <w:spacing w:val="-2"/>
                <w:sz w:val="24"/>
              </w:rPr>
              <w:t>13.10.2026</w:t>
            </w:r>
          </w:p>
        </w:tc>
        <w:tc>
          <w:tcPr>
            <w:tcW w:w="1551" w:type="dxa"/>
          </w:tcPr>
          <w:p>
            <w:pPr>
              <w:pStyle w:val="TableParagraph"/>
              <w:spacing w:line="280" w:lineRule="exact"/>
              <w:ind w:left="316" w:right="294" w:firstLine="285"/>
              <w:rPr>
                <w:sz w:val="24"/>
              </w:rPr>
            </w:pPr>
            <w:r>
              <w:rPr>
                <w:spacing w:val="-4"/>
                <w:sz w:val="24"/>
              </w:rPr>
              <w:t>For Approval</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0"/>
        <w:rPr>
          <w:sz w:val="20"/>
        </w:rPr>
      </w:pPr>
    </w:p>
    <w:p>
      <w:pPr>
        <w:spacing w:before="0"/>
        <w:ind w:left="4" w:right="284" w:firstLine="0"/>
        <w:jc w:val="center"/>
        <w:rPr>
          <w:sz w:val="20"/>
        </w:rPr>
      </w:pPr>
      <w:r>
        <w:rPr>
          <w:spacing w:val="-10"/>
          <w:sz w:val="20"/>
        </w:rPr>
        <w:t>1</w:t>
      </w:r>
    </w:p>
    <w:p>
      <w:pPr>
        <w:spacing w:after="0"/>
        <w:jc w:val="center"/>
        <w:rPr>
          <w:sz w:val="20"/>
        </w:rPr>
        <w:sectPr>
          <w:pgSz w:w="11910" w:h="16840"/>
          <w:pgMar w:header="0" w:footer="149" w:top="980" w:bottom="340" w:left="708" w:right="425"/>
        </w:sectPr>
      </w:pPr>
    </w:p>
    <w:p>
      <w:pPr>
        <w:pStyle w:val="BodyText"/>
        <w:rPr>
          <w:sz w:val="20"/>
        </w:rPr>
      </w:pPr>
    </w:p>
    <w:p>
      <w:pPr>
        <w:pStyle w:val="BodyText"/>
        <w:rPr>
          <w:sz w:val="20"/>
        </w:rPr>
      </w:pPr>
    </w:p>
    <w:p>
      <w:pPr>
        <w:pStyle w:val="BodyText"/>
        <w:spacing w:before="75"/>
        <w:rPr>
          <w:sz w:val="20"/>
        </w:rPr>
      </w:pPr>
    </w:p>
    <w:p>
      <w:pPr>
        <w:spacing w:line="240" w:lineRule="auto"/>
        <w:ind w:left="187" w:right="0" w:firstLine="0"/>
        <w:rPr>
          <w:sz w:val="20"/>
        </w:rPr>
      </w:pPr>
      <w:r>
        <w:rPr>
          <w:sz w:val="20"/>
        </w:rPr>
        <mc:AlternateContent>
          <mc:Choice Requires="wps">
            <w:drawing>
              <wp:inline distT="0" distB="0" distL="0" distR="0">
                <wp:extent cx="6642100" cy="194310"/>
                <wp:effectExtent l="9525" t="0" r="6350" b="15239"/>
                <wp:docPr id="516" name="Textbox 516"/>
                <wp:cNvGraphicFramePr>
                  <a:graphicFrameLocks/>
                </wp:cNvGraphicFramePr>
                <a:graphic>
                  <a:graphicData uri="http://schemas.microsoft.com/office/word/2010/wordprocessingShape">
                    <wps:wsp>
                      <wps:cNvPr id="516" name="Textbox 516"/>
                      <wps:cNvSpPr txBox="1"/>
                      <wps:spPr>
                        <a:xfrm>
                          <a:off x="0" y="0"/>
                          <a:ext cx="6642100" cy="19431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w:t>
                            </w:r>
                            <w:r>
                              <w:rPr>
                                <w:b/>
                                <w:color w:val="000000"/>
                                <w:spacing w:val="62"/>
                                <w:sz w:val="24"/>
                              </w:rPr>
                              <w:t> </w:t>
                            </w:r>
                            <w:r>
                              <w:rPr>
                                <w:b/>
                                <w:color w:val="000000"/>
                                <w:spacing w:val="-2"/>
                                <w:sz w:val="24"/>
                              </w:rPr>
                              <w:t>Constitution</w:t>
                            </w:r>
                          </w:p>
                        </w:txbxContent>
                      </wps:txbx>
                      <wps:bodyPr wrap="square" lIns="0" tIns="0" rIns="0" bIns="0" rtlCol="0">
                        <a:noAutofit/>
                      </wps:bodyPr>
                    </wps:wsp>
                  </a:graphicData>
                </a:graphic>
              </wp:inline>
            </w:drawing>
          </mc:Choice>
          <mc:Fallback>
            <w:pict>
              <v:shape style="width:523pt;height:15.3pt;mso-position-horizontal-relative:char;mso-position-vertical-relative:line" type="#_x0000_t202" id="docshape294" filled="true" fillcolor="#c1a875" stroked="true" strokeweight="1pt" strokecolor="#394871">
                <w10:anchorlock/>
                <v:textbox inset="0,0,0,0">
                  <w:txbxContent>
                    <w:p>
                      <w:pPr>
                        <w:spacing w:before="0"/>
                        <w:ind w:left="95" w:right="0" w:firstLine="0"/>
                        <w:jc w:val="left"/>
                        <w:rPr>
                          <w:b/>
                          <w:color w:val="000000"/>
                          <w:sz w:val="24"/>
                        </w:rPr>
                      </w:pPr>
                      <w:r>
                        <w:rPr>
                          <w:b/>
                          <w:color w:val="000000"/>
                          <w:sz w:val="24"/>
                        </w:rPr>
                        <w:t>1.</w:t>
                      </w:r>
                      <w:r>
                        <w:rPr>
                          <w:b/>
                          <w:color w:val="000000"/>
                          <w:spacing w:val="62"/>
                          <w:sz w:val="24"/>
                        </w:rPr>
                        <w:t> </w:t>
                      </w:r>
                      <w:r>
                        <w:rPr>
                          <w:b/>
                          <w:color w:val="000000"/>
                          <w:spacing w:val="-2"/>
                          <w:sz w:val="24"/>
                        </w:rPr>
                        <w:t>Constitution</w:t>
                      </w:r>
                    </w:p>
                  </w:txbxContent>
                </v:textbox>
                <v:fill type="solid"/>
                <v:stroke dashstyle="solid"/>
              </v:shape>
            </w:pict>
          </mc:Fallback>
        </mc:AlternateContent>
      </w:r>
      <w:r>
        <w:rPr>
          <w:sz w:val="20"/>
        </w:rPr>
      </w:r>
    </w:p>
    <w:p>
      <w:pPr>
        <w:pStyle w:val="ListParagraph"/>
        <w:numPr>
          <w:ilvl w:val="1"/>
          <w:numId w:val="68"/>
        </w:numPr>
        <w:tabs>
          <w:tab w:pos="862" w:val="left" w:leader="none"/>
        </w:tabs>
        <w:spacing w:line="240" w:lineRule="auto" w:before="255" w:after="0"/>
        <w:ind w:left="862" w:right="530" w:hanging="720"/>
        <w:jc w:val="left"/>
        <w:rPr>
          <w:sz w:val="24"/>
        </w:rPr>
      </w:pPr>
      <w:r>
        <w:rPr>
          <w:sz w:val="24"/>
        </w:rPr>
        <mc:AlternateContent>
          <mc:Choice Requires="wps">
            <w:drawing>
              <wp:anchor distT="0" distB="0" distL="0" distR="0" allowOverlap="1" layoutInCell="1" locked="0" behindDoc="0" simplePos="0" relativeHeight="15823872">
                <wp:simplePos x="0" y="0"/>
                <wp:positionH relativeFrom="page">
                  <wp:posOffset>540067</wp:posOffset>
                </wp:positionH>
                <wp:positionV relativeFrom="paragraph">
                  <wp:posOffset>-701675</wp:posOffset>
                </wp:positionV>
                <wp:extent cx="6486525" cy="254000"/>
                <wp:effectExtent l="0" t="0" r="0" b="0"/>
                <wp:wrapNone/>
                <wp:docPr id="517" name="Textbox 517"/>
                <wp:cNvGraphicFramePr>
                  <a:graphicFrameLocks/>
                </wp:cNvGraphicFramePr>
                <a:graphic>
                  <a:graphicData uri="http://schemas.microsoft.com/office/word/2010/wordprocessingShape">
                    <wps:wsp>
                      <wps:cNvPr id="517" name="Textbox 517"/>
                      <wps:cNvSpPr txBox="1"/>
                      <wps:spPr>
                        <a:xfrm>
                          <a:off x="0" y="0"/>
                          <a:ext cx="6486525" cy="254000"/>
                        </a:xfrm>
                        <a:prstGeom prst="rect">
                          <a:avLst/>
                        </a:prstGeom>
                        <a:solidFill>
                          <a:srgbClr val="394871"/>
                        </a:solidFill>
                        <a:ln w="38100">
                          <a:solidFill>
                            <a:srgbClr val="C1A875"/>
                          </a:solidFill>
                          <a:prstDash val="solid"/>
                        </a:ln>
                      </wps:spPr>
                      <wps:txbx>
                        <w:txbxContent>
                          <w:p>
                            <w:pPr>
                              <w:spacing w:before="30"/>
                              <w:ind w:left="9" w:right="13" w:firstLine="0"/>
                              <w:jc w:val="center"/>
                              <w:rPr>
                                <w:b/>
                                <w:color w:val="000000"/>
                                <w:sz w:val="24"/>
                              </w:rPr>
                            </w:pPr>
                            <w:r>
                              <w:rPr>
                                <w:b/>
                                <w:color w:val="FFFFFF"/>
                                <w:spacing w:val="-2"/>
                                <w:sz w:val="24"/>
                              </w:rPr>
                              <w:t>REGIONAL</w:t>
                            </w:r>
                            <w:r>
                              <w:rPr>
                                <w:b/>
                                <w:color w:val="FFFFFF"/>
                                <w:spacing w:val="-17"/>
                                <w:sz w:val="24"/>
                              </w:rPr>
                              <w:t> </w:t>
                            </w:r>
                            <w:r>
                              <w:rPr>
                                <w:b/>
                                <w:color w:val="FFFFFF"/>
                                <w:spacing w:val="-2"/>
                                <w:sz w:val="24"/>
                              </w:rPr>
                              <w:t>FINANCE,</w:t>
                            </w:r>
                            <w:r>
                              <w:rPr>
                                <w:b/>
                                <w:color w:val="FFFFFF"/>
                                <w:spacing w:val="-14"/>
                                <w:sz w:val="24"/>
                              </w:rPr>
                              <w:t> </w:t>
                            </w:r>
                            <w:r>
                              <w:rPr>
                                <w:b/>
                                <w:color w:val="FFFFFF"/>
                                <w:spacing w:val="-2"/>
                                <w:sz w:val="24"/>
                              </w:rPr>
                              <w:t>CONTRACTING,</w:t>
                            </w:r>
                            <w:r>
                              <w:rPr>
                                <w:b/>
                                <w:color w:val="FFFFFF"/>
                                <w:spacing w:val="-14"/>
                                <w:sz w:val="24"/>
                              </w:rPr>
                              <w:t> </w:t>
                            </w:r>
                            <w:r>
                              <w:rPr>
                                <w:b/>
                                <w:color w:val="FFFFFF"/>
                                <w:spacing w:val="-2"/>
                                <w:sz w:val="24"/>
                              </w:rPr>
                              <w:t>DATA</w:t>
                            </w:r>
                            <w:r>
                              <w:rPr>
                                <w:b/>
                                <w:color w:val="FFFFFF"/>
                                <w:spacing w:val="-11"/>
                                <w:sz w:val="24"/>
                              </w:rPr>
                              <w:t> </w:t>
                            </w:r>
                            <w:r>
                              <w:rPr>
                                <w:b/>
                                <w:color w:val="FFFFFF"/>
                                <w:spacing w:val="-2"/>
                                <w:sz w:val="24"/>
                              </w:rPr>
                              <w:t>&amp;</w:t>
                            </w:r>
                            <w:r>
                              <w:rPr>
                                <w:b/>
                                <w:color w:val="FFFFFF"/>
                                <w:spacing w:val="-14"/>
                                <w:sz w:val="24"/>
                              </w:rPr>
                              <w:t> </w:t>
                            </w:r>
                            <w:r>
                              <w:rPr>
                                <w:b/>
                                <w:color w:val="FFFFFF"/>
                                <w:spacing w:val="-2"/>
                                <w:sz w:val="24"/>
                              </w:rPr>
                              <w:t>DIGITAL</w:t>
                            </w:r>
                            <w:r>
                              <w:rPr>
                                <w:b/>
                                <w:color w:val="FFFFFF"/>
                                <w:spacing w:val="-9"/>
                                <w:sz w:val="24"/>
                              </w:rPr>
                              <w:t> </w:t>
                            </w:r>
                            <w:r>
                              <w:rPr>
                                <w:b/>
                                <w:color w:val="FFFFFF"/>
                                <w:spacing w:val="-2"/>
                                <w:sz w:val="24"/>
                              </w:rPr>
                              <w:t>GROUP</w:t>
                            </w:r>
                          </w:p>
                        </w:txbxContent>
                      </wps:txbx>
                      <wps:bodyPr wrap="square" lIns="0" tIns="0" rIns="0" bIns="0" rtlCol="0">
                        <a:noAutofit/>
                      </wps:bodyPr>
                    </wps:wsp>
                  </a:graphicData>
                </a:graphic>
              </wp:anchor>
            </w:drawing>
          </mc:Choice>
          <mc:Fallback>
            <w:pict>
              <v:shape style="position:absolute;margin-left:42.525002pt;margin-top:-55.25pt;width:510.75pt;height:20pt;mso-position-horizontal-relative:page;mso-position-vertical-relative:paragraph;z-index:15823872" type="#_x0000_t202" id="docshape295" filled="true" fillcolor="#394871" stroked="true" strokeweight="3pt" strokecolor="#c1a875">
                <v:textbox inset="0,0,0,0">
                  <w:txbxContent>
                    <w:p>
                      <w:pPr>
                        <w:spacing w:before="30"/>
                        <w:ind w:left="9" w:right="13" w:firstLine="0"/>
                        <w:jc w:val="center"/>
                        <w:rPr>
                          <w:b/>
                          <w:color w:val="000000"/>
                          <w:sz w:val="24"/>
                        </w:rPr>
                      </w:pPr>
                      <w:r>
                        <w:rPr>
                          <w:b/>
                          <w:color w:val="FFFFFF"/>
                          <w:spacing w:val="-2"/>
                          <w:sz w:val="24"/>
                        </w:rPr>
                        <w:t>REGIONAL</w:t>
                      </w:r>
                      <w:r>
                        <w:rPr>
                          <w:b/>
                          <w:color w:val="FFFFFF"/>
                          <w:spacing w:val="-17"/>
                          <w:sz w:val="24"/>
                        </w:rPr>
                        <w:t> </w:t>
                      </w:r>
                      <w:r>
                        <w:rPr>
                          <w:b/>
                          <w:color w:val="FFFFFF"/>
                          <w:spacing w:val="-2"/>
                          <w:sz w:val="24"/>
                        </w:rPr>
                        <w:t>FINANCE,</w:t>
                      </w:r>
                      <w:r>
                        <w:rPr>
                          <w:b/>
                          <w:color w:val="FFFFFF"/>
                          <w:spacing w:val="-14"/>
                          <w:sz w:val="24"/>
                        </w:rPr>
                        <w:t> </w:t>
                      </w:r>
                      <w:r>
                        <w:rPr>
                          <w:b/>
                          <w:color w:val="FFFFFF"/>
                          <w:spacing w:val="-2"/>
                          <w:sz w:val="24"/>
                        </w:rPr>
                        <w:t>CONTRACTING,</w:t>
                      </w:r>
                      <w:r>
                        <w:rPr>
                          <w:b/>
                          <w:color w:val="FFFFFF"/>
                          <w:spacing w:val="-14"/>
                          <w:sz w:val="24"/>
                        </w:rPr>
                        <w:t> </w:t>
                      </w:r>
                      <w:r>
                        <w:rPr>
                          <w:b/>
                          <w:color w:val="FFFFFF"/>
                          <w:spacing w:val="-2"/>
                          <w:sz w:val="24"/>
                        </w:rPr>
                        <w:t>DATA</w:t>
                      </w:r>
                      <w:r>
                        <w:rPr>
                          <w:b/>
                          <w:color w:val="FFFFFF"/>
                          <w:spacing w:val="-11"/>
                          <w:sz w:val="24"/>
                        </w:rPr>
                        <w:t> </w:t>
                      </w:r>
                      <w:r>
                        <w:rPr>
                          <w:b/>
                          <w:color w:val="FFFFFF"/>
                          <w:spacing w:val="-2"/>
                          <w:sz w:val="24"/>
                        </w:rPr>
                        <w:t>&amp;</w:t>
                      </w:r>
                      <w:r>
                        <w:rPr>
                          <w:b/>
                          <w:color w:val="FFFFFF"/>
                          <w:spacing w:val="-14"/>
                          <w:sz w:val="24"/>
                        </w:rPr>
                        <w:t> </w:t>
                      </w:r>
                      <w:r>
                        <w:rPr>
                          <w:b/>
                          <w:color w:val="FFFFFF"/>
                          <w:spacing w:val="-2"/>
                          <w:sz w:val="24"/>
                        </w:rPr>
                        <w:t>DIGITAL</w:t>
                      </w:r>
                      <w:r>
                        <w:rPr>
                          <w:b/>
                          <w:color w:val="FFFFFF"/>
                          <w:spacing w:val="-9"/>
                          <w:sz w:val="24"/>
                        </w:rPr>
                        <w:t> </w:t>
                      </w:r>
                      <w:r>
                        <w:rPr>
                          <w:b/>
                          <w:color w:val="FFFFFF"/>
                          <w:spacing w:val="-2"/>
                          <w:sz w:val="24"/>
                        </w:rPr>
                        <w:t>GROUP</w:t>
                      </w:r>
                    </w:p>
                  </w:txbxContent>
                </v:textbox>
                <v:fill type="solid"/>
                <v:stroke dashstyle="solid"/>
                <w10:wrap type="none"/>
              </v:shape>
            </w:pict>
          </mc:Fallback>
        </mc:AlternateContent>
      </w:r>
      <w:r>
        <w:rPr>
          <w:spacing w:val="-2"/>
          <w:sz w:val="24"/>
        </w:rPr>
        <w:t>The</w:t>
      </w:r>
      <w:r>
        <w:rPr>
          <w:spacing w:val="-15"/>
          <w:sz w:val="24"/>
        </w:rPr>
        <w:t> </w:t>
      </w:r>
      <w:r>
        <w:rPr>
          <w:spacing w:val="-2"/>
          <w:sz w:val="24"/>
        </w:rPr>
        <w:t>Regional</w:t>
      </w:r>
      <w:r>
        <w:rPr>
          <w:spacing w:val="-10"/>
          <w:sz w:val="24"/>
        </w:rPr>
        <w:t> </w:t>
      </w:r>
      <w:r>
        <w:rPr>
          <w:spacing w:val="-2"/>
          <w:sz w:val="24"/>
        </w:rPr>
        <w:t>Finance,</w:t>
      </w:r>
      <w:r>
        <w:rPr>
          <w:spacing w:val="-15"/>
          <w:sz w:val="24"/>
        </w:rPr>
        <w:t> </w:t>
      </w:r>
      <w:r>
        <w:rPr>
          <w:spacing w:val="-2"/>
          <w:sz w:val="24"/>
        </w:rPr>
        <w:t>Contracting,</w:t>
      </w:r>
      <w:r>
        <w:rPr>
          <w:spacing w:val="-14"/>
          <w:sz w:val="24"/>
        </w:rPr>
        <w:t> </w:t>
      </w:r>
      <w:r>
        <w:rPr>
          <w:spacing w:val="-2"/>
          <w:sz w:val="24"/>
        </w:rPr>
        <w:t>Data</w:t>
      </w:r>
      <w:r>
        <w:rPr>
          <w:spacing w:val="-9"/>
          <w:sz w:val="24"/>
        </w:rPr>
        <w:t> </w:t>
      </w:r>
      <w:r>
        <w:rPr>
          <w:spacing w:val="-2"/>
          <w:sz w:val="24"/>
        </w:rPr>
        <w:t>&amp;</w:t>
      </w:r>
      <w:r>
        <w:rPr>
          <w:spacing w:val="-15"/>
          <w:sz w:val="24"/>
        </w:rPr>
        <w:t> </w:t>
      </w:r>
      <w:r>
        <w:rPr>
          <w:spacing w:val="-2"/>
          <w:sz w:val="24"/>
        </w:rPr>
        <w:t>Digital</w:t>
      </w:r>
      <w:r>
        <w:rPr>
          <w:spacing w:val="-10"/>
          <w:sz w:val="24"/>
        </w:rPr>
        <w:t> </w:t>
      </w:r>
      <w:r>
        <w:rPr>
          <w:spacing w:val="-2"/>
          <w:sz w:val="24"/>
        </w:rPr>
        <w:t>Group</w:t>
      </w:r>
      <w:r>
        <w:rPr>
          <w:spacing w:val="-13"/>
          <w:sz w:val="24"/>
        </w:rPr>
        <w:t> </w:t>
      </w:r>
      <w:r>
        <w:rPr>
          <w:spacing w:val="-2"/>
          <w:sz w:val="24"/>
        </w:rPr>
        <w:t>(RFCDDG)</w:t>
      </w:r>
      <w:r>
        <w:rPr>
          <w:spacing w:val="-14"/>
          <w:sz w:val="24"/>
        </w:rPr>
        <w:t> </w:t>
      </w:r>
      <w:r>
        <w:rPr>
          <w:spacing w:val="-2"/>
          <w:sz w:val="24"/>
        </w:rPr>
        <w:t>has</w:t>
      </w:r>
      <w:r>
        <w:rPr>
          <w:spacing w:val="-14"/>
          <w:sz w:val="24"/>
        </w:rPr>
        <w:t> </w:t>
      </w:r>
      <w:r>
        <w:rPr>
          <w:spacing w:val="-2"/>
          <w:sz w:val="24"/>
        </w:rPr>
        <w:t>been</w:t>
      </w:r>
      <w:r>
        <w:rPr>
          <w:spacing w:val="-12"/>
          <w:sz w:val="24"/>
        </w:rPr>
        <w:t> </w:t>
      </w:r>
      <w:r>
        <w:rPr>
          <w:spacing w:val="-2"/>
          <w:sz w:val="24"/>
        </w:rPr>
        <w:t>established </w:t>
      </w:r>
      <w:r>
        <w:rPr>
          <w:sz w:val="24"/>
        </w:rPr>
        <w:t>as</w:t>
      </w:r>
      <w:r>
        <w:rPr>
          <w:spacing w:val="-15"/>
          <w:sz w:val="24"/>
        </w:rPr>
        <w:t> </w:t>
      </w:r>
      <w:r>
        <w:rPr>
          <w:sz w:val="24"/>
        </w:rPr>
        <w:t>a</w:t>
      </w:r>
      <w:r>
        <w:rPr>
          <w:spacing w:val="-8"/>
          <w:sz w:val="24"/>
        </w:rPr>
        <w:t> </w:t>
      </w:r>
      <w:r>
        <w:rPr>
          <w:sz w:val="24"/>
        </w:rPr>
        <w:t>Sub-Group</w:t>
      </w:r>
      <w:r>
        <w:rPr>
          <w:spacing w:val="-9"/>
          <w:sz w:val="24"/>
        </w:rPr>
        <w:t> </w:t>
      </w:r>
      <w:r>
        <w:rPr>
          <w:sz w:val="24"/>
        </w:rPr>
        <w:t>of</w:t>
      </w:r>
      <w:r>
        <w:rPr>
          <w:spacing w:val="-7"/>
          <w:sz w:val="24"/>
        </w:rPr>
        <w:t> </w:t>
      </w:r>
      <w:r>
        <w:rPr>
          <w:sz w:val="24"/>
        </w:rPr>
        <w:t>the</w:t>
      </w:r>
      <w:r>
        <w:rPr>
          <w:spacing w:val="-13"/>
          <w:sz w:val="24"/>
        </w:rPr>
        <w:t> </w:t>
      </w:r>
      <w:r>
        <w:rPr>
          <w:sz w:val="24"/>
        </w:rPr>
        <w:t>Regional</w:t>
      </w:r>
      <w:r>
        <w:rPr>
          <w:spacing w:val="-9"/>
          <w:sz w:val="24"/>
        </w:rPr>
        <w:t> </w:t>
      </w:r>
      <w:r>
        <w:rPr>
          <w:sz w:val="24"/>
        </w:rPr>
        <w:t>Joint</w:t>
      </w:r>
      <w:r>
        <w:rPr>
          <w:spacing w:val="-12"/>
          <w:sz w:val="24"/>
        </w:rPr>
        <w:t> </w:t>
      </w:r>
      <w:r>
        <w:rPr>
          <w:sz w:val="24"/>
        </w:rPr>
        <w:t>Committee</w:t>
      </w:r>
      <w:r>
        <w:rPr>
          <w:spacing w:val="-9"/>
          <w:sz w:val="24"/>
        </w:rPr>
        <w:t> </w:t>
      </w:r>
      <w:r>
        <w:rPr>
          <w:sz w:val="24"/>
        </w:rPr>
        <w:t>between</w:t>
      </w:r>
      <w:r>
        <w:rPr>
          <w:spacing w:val="-6"/>
          <w:sz w:val="24"/>
        </w:rPr>
        <w:t> </w:t>
      </w:r>
      <w:r>
        <w:rPr>
          <w:sz w:val="24"/>
        </w:rPr>
        <w:t>Swansea</w:t>
      </w:r>
      <w:r>
        <w:rPr>
          <w:spacing w:val="-9"/>
          <w:sz w:val="24"/>
        </w:rPr>
        <w:t> </w:t>
      </w:r>
      <w:r>
        <w:rPr>
          <w:sz w:val="24"/>
        </w:rPr>
        <w:t>Bay</w:t>
      </w:r>
      <w:r>
        <w:rPr>
          <w:spacing w:val="-9"/>
          <w:sz w:val="24"/>
        </w:rPr>
        <w:t> </w:t>
      </w:r>
      <w:r>
        <w:rPr>
          <w:sz w:val="24"/>
        </w:rPr>
        <w:t>and</w:t>
      </w:r>
      <w:r>
        <w:rPr>
          <w:spacing w:val="-9"/>
          <w:sz w:val="24"/>
        </w:rPr>
        <w:t> </w:t>
      </w:r>
      <w:r>
        <w:rPr>
          <w:sz w:val="24"/>
        </w:rPr>
        <w:t>Hywel</w:t>
      </w:r>
      <w:r>
        <w:rPr>
          <w:spacing w:val="-9"/>
          <w:sz w:val="24"/>
        </w:rPr>
        <w:t> </w:t>
      </w:r>
      <w:r>
        <w:rPr>
          <w:sz w:val="24"/>
        </w:rPr>
        <w:t>Dda University</w:t>
      </w:r>
      <w:r>
        <w:rPr>
          <w:spacing w:val="-8"/>
          <w:sz w:val="24"/>
        </w:rPr>
        <w:t> </w:t>
      </w:r>
      <w:r>
        <w:rPr>
          <w:sz w:val="24"/>
        </w:rPr>
        <w:t>Health</w:t>
      </w:r>
      <w:r>
        <w:rPr>
          <w:spacing w:val="-7"/>
          <w:sz w:val="24"/>
        </w:rPr>
        <w:t> </w:t>
      </w:r>
      <w:r>
        <w:rPr>
          <w:sz w:val="24"/>
        </w:rPr>
        <w:t>Boards</w:t>
      </w:r>
      <w:r>
        <w:rPr>
          <w:spacing w:val="-6"/>
          <w:sz w:val="24"/>
        </w:rPr>
        <w:t> </w:t>
      </w:r>
      <w:r>
        <w:rPr>
          <w:sz w:val="24"/>
        </w:rPr>
        <w:t>and</w:t>
      </w:r>
      <w:r>
        <w:rPr>
          <w:spacing w:val="-7"/>
          <w:sz w:val="24"/>
        </w:rPr>
        <w:t> </w:t>
      </w:r>
      <w:r>
        <w:rPr>
          <w:sz w:val="24"/>
        </w:rPr>
        <w:t>constituted</w:t>
      </w:r>
      <w:r>
        <w:rPr>
          <w:spacing w:val="-1"/>
          <w:sz w:val="24"/>
        </w:rPr>
        <w:t> </w:t>
      </w:r>
      <w:r>
        <w:rPr>
          <w:sz w:val="24"/>
        </w:rPr>
        <w:t>from</w:t>
      </w:r>
      <w:r>
        <w:rPr>
          <w:spacing w:val="-8"/>
          <w:sz w:val="24"/>
        </w:rPr>
        <w:t> </w:t>
      </w:r>
      <w:r>
        <w:rPr>
          <w:sz w:val="24"/>
        </w:rPr>
        <w:t>1</w:t>
      </w:r>
      <w:r>
        <w:rPr>
          <w:spacing w:val="-2"/>
          <w:sz w:val="24"/>
        </w:rPr>
        <w:t> </w:t>
      </w:r>
      <w:r>
        <w:rPr>
          <w:sz w:val="24"/>
        </w:rPr>
        <w:t>August</w:t>
      </w:r>
      <w:r>
        <w:rPr>
          <w:spacing w:val="-10"/>
          <w:sz w:val="24"/>
        </w:rPr>
        <w:t> </w:t>
      </w:r>
      <w:r>
        <w:rPr>
          <w:sz w:val="24"/>
        </w:rPr>
        <w:t>2026.</w:t>
      </w:r>
    </w:p>
    <w:p>
      <w:pPr>
        <w:pStyle w:val="BodyText"/>
        <w:spacing w:before="1"/>
      </w:pPr>
    </w:p>
    <w:p>
      <w:pPr>
        <w:pStyle w:val="ListParagraph"/>
        <w:numPr>
          <w:ilvl w:val="1"/>
          <w:numId w:val="68"/>
        </w:numPr>
        <w:tabs>
          <w:tab w:pos="862" w:val="left" w:leader="none"/>
        </w:tabs>
        <w:spacing w:line="240" w:lineRule="auto" w:before="0" w:after="0"/>
        <w:ind w:left="862" w:right="485" w:hanging="720"/>
        <w:jc w:val="left"/>
        <w:rPr>
          <w:sz w:val="24"/>
        </w:rPr>
      </w:pPr>
      <w:r>
        <w:rPr>
          <w:sz w:val="24"/>
        </w:rPr>
        <w:t>The</w:t>
      </w:r>
      <w:r>
        <w:rPr>
          <w:spacing w:val="-13"/>
          <w:sz w:val="24"/>
        </w:rPr>
        <w:t> </w:t>
      </w:r>
      <w:r>
        <w:rPr>
          <w:sz w:val="24"/>
        </w:rPr>
        <w:t>RFCDDG</w:t>
      </w:r>
      <w:r>
        <w:rPr>
          <w:spacing w:val="-15"/>
          <w:sz w:val="24"/>
        </w:rPr>
        <w:t> </w:t>
      </w:r>
      <w:r>
        <w:rPr>
          <w:sz w:val="24"/>
        </w:rPr>
        <w:t>has</w:t>
      </w:r>
      <w:r>
        <w:rPr>
          <w:spacing w:val="-14"/>
          <w:sz w:val="24"/>
        </w:rPr>
        <w:t> </w:t>
      </w:r>
      <w:r>
        <w:rPr>
          <w:sz w:val="24"/>
        </w:rPr>
        <w:t>been</w:t>
      </w:r>
      <w:r>
        <w:rPr>
          <w:spacing w:val="-13"/>
          <w:sz w:val="24"/>
        </w:rPr>
        <w:t> </w:t>
      </w:r>
      <w:r>
        <w:rPr>
          <w:sz w:val="24"/>
        </w:rPr>
        <w:t>established</w:t>
      </w:r>
      <w:r>
        <w:rPr>
          <w:spacing w:val="-13"/>
          <w:sz w:val="24"/>
        </w:rPr>
        <w:t> </w:t>
      </w:r>
      <w:r>
        <w:rPr>
          <w:sz w:val="24"/>
        </w:rPr>
        <w:t>from</w:t>
      </w:r>
      <w:r>
        <w:rPr>
          <w:spacing w:val="-9"/>
          <w:sz w:val="24"/>
        </w:rPr>
        <w:t> </w:t>
      </w:r>
      <w:r>
        <w:rPr>
          <w:sz w:val="24"/>
        </w:rPr>
        <w:t>the</w:t>
      </w:r>
      <w:r>
        <w:rPr>
          <w:spacing w:val="-13"/>
          <w:sz w:val="24"/>
        </w:rPr>
        <w:t> </w:t>
      </w:r>
      <w:r>
        <w:rPr>
          <w:sz w:val="24"/>
        </w:rPr>
        <w:t>previously</w:t>
      </w:r>
      <w:r>
        <w:rPr>
          <w:spacing w:val="-14"/>
          <w:sz w:val="24"/>
        </w:rPr>
        <w:t> </w:t>
      </w:r>
      <w:r>
        <w:rPr>
          <w:sz w:val="24"/>
        </w:rPr>
        <w:t>separate</w:t>
      </w:r>
      <w:r>
        <w:rPr>
          <w:spacing w:val="-8"/>
          <w:sz w:val="24"/>
        </w:rPr>
        <w:t> </w:t>
      </w:r>
      <w:r>
        <w:rPr>
          <w:sz w:val="24"/>
        </w:rPr>
        <w:t>Finance</w:t>
      </w:r>
      <w:r>
        <w:rPr>
          <w:spacing w:val="-13"/>
          <w:sz w:val="24"/>
        </w:rPr>
        <w:t> </w:t>
      </w:r>
      <w:r>
        <w:rPr>
          <w:sz w:val="24"/>
        </w:rPr>
        <w:t>&amp;</w:t>
      </w:r>
      <w:r>
        <w:rPr>
          <w:spacing w:val="-14"/>
          <w:sz w:val="24"/>
        </w:rPr>
        <w:t> </w:t>
      </w:r>
      <w:r>
        <w:rPr>
          <w:sz w:val="24"/>
        </w:rPr>
        <w:t>Contracting </w:t>
      </w:r>
      <w:r>
        <w:rPr>
          <w:spacing w:val="-2"/>
          <w:sz w:val="24"/>
        </w:rPr>
        <w:t>and</w:t>
      </w:r>
      <w:r>
        <w:rPr>
          <w:spacing w:val="-15"/>
          <w:sz w:val="24"/>
        </w:rPr>
        <w:t> </w:t>
      </w:r>
      <w:r>
        <w:rPr>
          <w:spacing w:val="-2"/>
          <w:sz w:val="24"/>
        </w:rPr>
        <w:t>Data</w:t>
      </w:r>
      <w:r>
        <w:rPr>
          <w:spacing w:val="-10"/>
          <w:sz w:val="24"/>
        </w:rPr>
        <w:t> </w:t>
      </w:r>
      <w:r>
        <w:rPr>
          <w:spacing w:val="-2"/>
          <w:sz w:val="24"/>
        </w:rPr>
        <w:t>&amp;</w:t>
      </w:r>
      <w:r>
        <w:rPr>
          <w:spacing w:val="-11"/>
          <w:sz w:val="24"/>
        </w:rPr>
        <w:t> </w:t>
      </w:r>
      <w:r>
        <w:rPr>
          <w:spacing w:val="-2"/>
          <w:sz w:val="24"/>
        </w:rPr>
        <w:t>Digital</w:t>
      </w:r>
      <w:r>
        <w:rPr>
          <w:spacing w:val="-5"/>
          <w:sz w:val="24"/>
        </w:rPr>
        <w:t> </w:t>
      </w:r>
      <w:r>
        <w:rPr>
          <w:spacing w:val="-2"/>
          <w:sz w:val="24"/>
        </w:rPr>
        <w:t>Groups,</w:t>
      </w:r>
      <w:r>
        <w:rPr>
          <w:spacing w:val="-13"/>
          <w:sz w:val="24"/>
        </w:rPr>
        <w:t> </w:t>
      </w:r>
      <w:r>
        <w:rPr>
          <w:spacing w:val="-2"/>
          <w:sz w:val="24"/>
        </w:rPr>
        <w:t>merging</w:t>
      </w:r>
      <w:r>
        <w:rPr>
          <w:spacing w:val="-5"/>
          <w:sz w:val="24"/>
        </w:rPr>
        <w:t> </w:t>
      </w:r>
      <w:r>
        <w:rPr>
          <w:spacing w:val="-2"/>
          <w:sz w:val="24"/>
        </w:rPr>
        <w:t>the</w:t>
      </w:r>
      <w:r>
        <w:rPr>
          <w:spacing w:val="-10"/>
          <w:sz w:val="24"/>
        </w:rPr>
        <w:t> </w:t>
      </w:r>
      <w:r>
        <w:rPr>
          <w:spacing w:val="-2"/>
          <w:sz w:val="24"/>
        </w:rPr>
        <w:t>responsibilities</w:t>
      </w:r>
      <w:r>
        <w:rPr>
          <w:spacing w:val="-15"/>
          <w:sz w:val="24"/>
        </w:rPr>
        <w:t> </w:t>
      </w:r>
      <w:r>
        <w:rPr>
          <w:spacing w:val="-2"/>
          <w:sz w:val="24"/>
        </w:rPr>
        <w:t>of</w:t>
      </w:r>
      <w:r>
        <w:rPr>
          <w:spacing w:val="-8"/>
          <w:sz w:val="24"/>
        </w:rPr>
        <w:t> </w:t>
      </w:r>
      <w:r>
        <w:rPr>
          <w:spacing w:val="-2"/>
          <w:sz w:val="24"/>
        </w:rPr>
        <w:t>the</w:t>
      </w:r>
      <w:r>
        <w:rPr>
          <w:spacing w:val="-10"/>
          <w:sz w:val="24"/>
        </w:rPr>
        <w:t> </w:t>
      </w:r>
      <w:r>
        <w:rPr>
          <w:spacing w:val="-2"/>
          <w:sz w:val="24"/>
        </w:rPr>
        <w:t>former</w:t>
      </w:r>
      <w:r>
        <w:rPr>
          <w:spacing w:val="-15"/>
          <w:sz w:val="24"/>
        </w:rPr>
        <w:t> </w:t>
      </w:r>
      <w:r>
        <w:rPr>
          <w:spacing w:val="-2"/>
          <w:sz w:val="24"/>
        </w:rPr>
        <w:t>in</w:t>
      </w:r>
      <w:r>
        <w:rPr>
          <w:spacing w:val="-10"/>
          <w:sz w:val="24"/>
        </w:rPr>
        <w:t> </w:t>
      </w:r>
      <w:r>
        <w:rPr>
          <w:spacing w:val="-2"/>
          <w:sz w:val="24"/>
        </w:rPr>
        <w:t>terms</w:t>
      </w:r>
      <w:r>
        <w:rPr>
          <w:spacing w:val="-11"/>
          <w:sz w:val="24"/>
        </w:rPr>
        <w:t> </w:t>
      </w:r>
      <w:r>
        <w:rPr>
          <w:spacing w:val="-2"/>
          <w:sz w:val="24"/>
        </w:rPr>
        <w:t>of</w:t>
      </w:r>
      <w:r>
        <w:rPr>
          <w:spacing w:val="-7"/>
          <w:sz w:val="24"/>
        </w:rPr>
        <w:t> </w:t>
      </w:r>
      <w:r>
        <w:rPr>
          <w:spacing w:val="-2"/>
          <w:sz w:val="24"/>
        </w:rPr>
        <w:t>the</w:t>
      </w:r>
      <w:r>
        <w:rPr>
          <w:spacing w:val="-15"/>
          <w:sz w:val="24"/>
        </w:rPr>
        <w:t> </w:t>
      </w:r>
      <w:r>
        <w:rPr>
          <w:spacing w:val="-2"/>
          <w:sz w:val="24"/>
        </w:rPr>
        <w:t>phased </w:t>
      </w:r>
      <w:r>
        <w:rPr>
          <w:sz w:val="24"/>
        </w:rPr>
        <w:t>regional</w:t>
      </w:r>
      <w:r>
        <w:rPr>
          <w:spacing w:val="-14"/>
          <w:sz w:val="24"/>
        </w:rPr>
        <w:t> </w:t>
      </w:r>
      <w:r>
        <w:rPr>
          <w:sz w:val="24"/>
        </w:rPr>
        <w:t>finance</w:t>
      </w:r>
      <w:r>
        <w:rPr>
          <w:spacing w:val="-13"/>
          <w:sz w:val="24"/>
        </w:rPr>
        <w:t> </w:t>
      </w:r>
      <w:r>
        <w:rPr>
          <w:sz w:val="24"/>
        </w:rPr>
        <w:t>collaboration</w:t>
      </w:r>
      <w:r>
        <w:rPr>
          <w:spacing w:val="-13"/>
          <w:sz w:val="24"/>
        </w:rPr>
        <w:t> </w:t>
      </w:r>
      <w:r>
        <w:rPr>
          <w:sz w:val="24"/>
        </w:rPr>
        <w:t>between</w:t>
      </w:r>
      <w:r>
        <w:rPr>
          <w:spacing w:val="-13"/>
          <w:sz w:val="24"/>
        </w:rPr>
        <w:t> </w:t>
      </w:r>
      <w:r>
        <w:rPr>
          <w:sz w:val="24"/>
        </w:rPr>
        <w:t>Hywel</w:t>
      </w:r>
      <w:r>
        <w:rPr>
          <w:spacing w:val="-13"/>
          <w:sz w:val="24"/>
        </w:rPr>
        <w:t> </w:t>
      </w:r>
      <w:r>
        <w:rPr>
          <w:sz w:val="24"/>
        </w:rPr>
        <w:t>Dda</w:t>
      </w:r>
      <w:r>
        <w:rPr>
          <w:spacing w:val="-17"/>
          <w:sz w:val="24"/>
        </w:rPr>
        <w:t> </w:t>
      </w:r>
      <w:r>
        <w:rPr>
          <w:sz w:val="24"/>
        </w:rPr>
        <w:t>and</w:t>
      </w:r>
      <w:r>
        <w:rPr>
          <w:spacing w:val="-13"/>
          <w:sz w:val="24"/>
        </w:rPr>
        <w:t> </w:t>
      </w:r>
      <w:r>
        <w:rPr>
          <w:sz w:val="24"/>
        </w:rPr>
        <w:t>Swansea</w:t>
      </w:r>
      <w:r>
        <w:rPr>
          <w:spacing w:val="-13"/>
          <w:sz w:val="24"/>
        </w:rPr>
        <w:t> </w:t>
      </w:r>
      <w:r>
        <w:rPr>
          <w:sz w:val="24"/>
        </w:rPr>
        <w:t>Bay</w:t>
      </w:r>
      <w:r>
        <w:rPr>
          <w:spacing w:val="-14"/>
          <w:sz w:val="24"/>
        </w:rPr>
        <w:t> </w:t>
      </w:r>
      <w:r>
        <w:rPr>
          <w:sz w:val="24"/>
        </w:rPr>
        <w:t>University</w:t>
      </w:r>
      <w:r>
        <w:rPr>
          <w:spacing w:val="-14"/>
          <w:sz w:val="24"/>
        </w:rPr>
        <w:t> </w:t>
      </w:r>
      <w:r>
        <w:rPr>
          <w:sz w:val="24"/>
        </w:rPr>
        <w:t>Health Boards</w:t>
      </w:r>
      <w:r>
        <w:rPr>
          <w:spacing w:val="-13"/>
          <w:sz w:val="24"/>
        </w:rPr>
        <w:t> </w:t>
      </w:r>
      <w:r>
        <w:rPr>
          <w:sz w:val="24"/>
        </w:rPr>
        <w:t>in</w:t>
      </w:r>
      <w:r>
        <w:rPr>
          <w:spacing w:val="-8"/>
          <w:sz w:val="24"/>
        </w:rPr>
        <w:t> </w:t>
      </w:r>
      <w:r>
        <w:rPr>
          <w:sz w:val="24"/>
        </w:rPr>
        <w:t>response</w:t>
      </w:r>
      <w:r>
        <w:rPr>
          <w:spacing w:val="-13"/>
          <w:sz w:val="24"/>
        </w:rPr>
        <w:t> </w:t>
      </w:r>
      <w:r>
        <w:rPr>
          <w:sz w:val="24"/>
        </w:rPr>
        <w:t>to</w:t>
      </w:r>
      <w:r>
        <w:rPr>
          <w:spacing w:val="-8"/>
          <w:sz w:val="24"/>
        </w:rPr>
        <w:t> </w:t>
      </w:r>
      <w:r>
        <w:rPr>
          <w:sz w:val="24"/>
        </w:rPr>
        <w:t>Welsh</w:t>
      </w:r>
      <w:r>
        <w:rPr>
          <w:spacing w:val="-8"/>
          <w:sz w:val="24"/>
        </w:rPr>
        <w:t> </w:t>
      </w:r>
      <w:r>
        <w:rPr>
          <w:sz w:val="24"/>
        </w:rPr>
        <w:t>Government’s</w:t>
      </w:r>
      <w:r>
        <w:rPr>
          <w:spacing w:val="-13"/>
          <w:sz w:val="24"/>
        </w:rPr>
        <w:t> </w:t>
      </w:r>
      <w:r>
        <w:rPr>
          <w:sz w:val="24"/>
        </w:rPr>
        <w:t>Finance</w:t>
      </w:r>
      <w:r>
        <w:rPr>
          <w:spacing w:val="-13"/>
          <w:sz w:val="24"/>
        </w:rPr>
        <w:t> </w:t>
      </w:r>
      <w:r>
        <w:rPr>
          <w:sz w:val="24"/>
        </w:rPr>
        <w:t>Operating</w:t>
      </w:r>
      <w:r>
        <w:rPr>
          <w:spacing w:val="-13"/>
          <w:sz w:val="24"/>
        </w:rPr>
        <w:t> </w:t>
      </w:r>
      <w:r>
        <w:rPr>
          <w:sz w:val="24"/>
        </w:rPr>
        <w:t>Model</w:t>
      </w:r>
      <w:r>
        <w:rPr>
          <w:spacing w:val="-13"/>
          <w:sz w:val="24"/>
        </w:rPr>
        <w:t> </w:t>
      </w:r>
      <w:r>
        <w:rPr>
          <w:sz w:val="24"/>
        </w:rPr>
        <w:t>and</w:t>
      </w:r>
      <w:r>
        <w:rPr>
          <w:spacing w:val="-8"/>
          <w:sz w:val="24"/>
        </w:rPr>
        <w:t> </w:t>
      </w:r>
      <w:r>
        <w:rPr>
          <w:sz w:val="24"/>
        </w:rPr>
        <w:t>the</w:t>
      </w:r>
      <w:r>
        <w:rPr>
          <w:spacing w:val="-13"/>
          <w:sz w:val="24"/>
        </w:rPr>
        <w:t> </w:t>
      </w:r>
      <w:r>
        <w:rPr>
          <w:sz w:val="24"/>
        </w:rPr>
        <w:t>move towards</w:t>
      </w:r>
      <w:r>
        <w:rPr>
          <w:spacing w:val="-13"/>
          <w:sz w:val="24"/>
        </w:rPr>
        <w:t> </w:t>
      </w:r>
      <w:r>
        <w:rPr>
          <w:sz w:val="24"/>
        </w:rPr>
        <w:t>a</w:t>
      </w:r>
      <w:r>
        <w:rPr>
          <w:spacing w:val="-12"/>
          <w:sz w:val="24"/>
        </w:rPr>
        <w:t> </w:t>
      </w:r>
      <w:r>
        <w:rPr>
          <w:sz w:val="24"/>
        </w:rPr>
        <w:t>more</w:t>
      </w:r>
      <w:r>
        <w:rPr>
          <w:spacing w:val="-7"/>
          <w:sz w:val="24"/>
        </w:rPr>
        <w:t> </w:t>
      </w:r>
      <w:r>
        <w:rPr>
          <w:sz w:val="24"/>
        </w:rPr>
        <w:t>value-based</w:t>
      </w:r>
      <w:r>
        <w:rPr>
          <w:spacing w:val="-12"/>
          <w:sz w:val="24"/>
        </w:rPr>
        <w:t> </w:t>
      </w:r>
      <w:r>
        <w:rPr>
          <w:sz w:val="24"/>
        </w:rPr>
        <w:t>contracting</w:t>
      </w:r>
      <w:r>
        <w:rPr>
          <w:spacing w:val="-12"/>
          <w:sz w:val="24"/>
        </w:rPr>
        <w:t> </w:t>
      </w:r>
      <w:r>
        <w:rPr>
          <w:sz w:val="24"/>
        </w:rPr>
        <w:t>approach</w:t>
      </w:r>
      <w:r>
        <w:rPr>
          <w:spacing w:val="-12"/>
          <w:sz w:val="24"/>
        </w:rPr>
        <w:t> </w:t>
      </w:r>
      <w:r>
        <w:rPr>
          <w:sz w:val="24"/>
        </w:rPr>
        <w:t>to</w:t>
      </w:r>
      <w:r>
        <w:rPr>
          <w:spacing w:val="-16"/>
          <w:sz w:val="24"/>
        </w:rPr>
        <w:t> </w:t>
      </w:r>
      <w:r>
        <w:rPr>
          <w:sz w:val="24"/>
        </w:rPr>
        <w:t>long</w:t>
      </w:r>
      <w:r>
        <w:rPr>
          <w:spacing w:val="-12"/>
          <w:sz w:val="24"/>
        </w:rPr>
        <w:t> </w:t>
      </w:r>
      <w:r>
        <w:rPr>
          <w:sz w:val="24"/>
        </w:rPr>
        <w:t>term</w:t>
      </w:r>
      <w:r>
        <w:rPr>
          <w:spacing w:val="-13"/>
          <w:sz w:val="24"/>
        </w:rPr>
        <w:t> </w:t>
      </w:r>
      <w:r>
        <w:rPr>
          <w:sz w:val="24"/>
        </w:rPr>
        <w:t>agreements,</w:t>
      </w:r>
      <w:r>
        <w:rPr>
          <w:spacing w:val="-14"/>
          <w:sz w:val="24"/>
        </w:rPr>
        <w:t> </w:t>
      </w:r>
      <w:r>
        <w:rPr>
          <w:sz w:val="24"/>
        </w:rPr>
        <w:t>with</w:t>
      </w:r>
      <w:r>
        <w:rPr>
          <w:spacing w:val="-12"/>
          <w:sz w:val="24"/>
        </w:rPr>
        <w:t> </w:t>
      </w:r>
      <w:r>
        <w:rPr>
          <w:sz w:val="24"/>
        </w:rPr>
        <w:t>the responsibilities</w:t>
      </w:r>
      <w:r>
        <w:rPr>
          <w:spacing w:val="-12"/>
          <w:sz w:val="24"/>
        </w:rPr>
        <w:t> </w:t>
      </w:r>
      <w:r>
        <w:rPr>
          <w:sz w:val="24"/>
        </w:rPr>
        <w:t>of</w:t>
      </w:r>
      <w:r>
        <w:rPr>
          <w:spacing w:val="-14"/>
          <w:sz w:val="24"/>
        </w:rPr>
        <w:t> </w:t>
      </w:r>
      <w:r>
        <w:rPr>
          <w:sz w:val="24"/>
        </w:rPr>
        <w:t>the</w:t>
      </w:r>
      <w:r>
        <w:rPr>
          <w:spacing w:val="-11"/>
          <w:sz w:val="24"/>
        </w:rPr>
        <w:t> </w:t>
      </w:r>
      <w:r>
        <w:rPr>
          <w:sz w:val="24"/>
        </w:rPr>
        <w:t>latter</w:t>
      </w:r>
      <w:r>
        <w:rPr>
          <w:spacing w:val="-12"/>
          <w:sz w:val="24"/>
        </w:rPr>
        <w:t> </w:t>
      </w:r>
      <w:r>
        <w:rPr>
          <w:sz w:val="24"/>
        </w:rPr>
        <w:t>in</w:t>
      </w:r>
      <w:r>
        <w:rPr>
          <w:spacing w:val="-7"/>
          <w:sz w:val="24"/>
        </w:rPr>
        <w:t> </w:t>
      </w:r>
      <w:r>
        <w:rPr>
          <w:sz w:val="24"/>
        </w:rPr>
        <w:t>terms</w:t>
      </w:r>
      <w:r>
        <w:rPr>
          <w:spacing w:val="-12"/>
          <w:sz w:val="24"/>
        </w:rPr>
        <w:t> </w:t>
      </w:r>
      <w:r>
        <w:rPr>
          <w:sz w:val="24"/>
        </w:rPr>
        <w:t>of</w:t>
      </w:r>
      <w:r>
        <w:rPr>
          <w:spacing w:val="-14"/>
          <w:sz w:val="24"/>
        </w:rPr>
        <w:t> </w:t>
      </w:r>
      <w:r>
        <w:rPr>
          <w:sz w:val="24"/>
        </w:rPr>
        <w:t>the</w:t>
      </w:r>
      <w:r>
        <w:rPr>
          <w:spacing w:val="-11"/>
          <w:sz w:val="24"/>
        </w:rPr>
        <w:t> </w:t>
      </w:r>
      <w:r>
        <w:rPr>
          <w:sz w:val="24"/>
        </w:rPr>
        <w:t>operational</w:t>
      </w:r>
      <w:r>
        <w:rPr>
          <w:spacing w:val="-16"/>
          <w:sz w:val="24"/>
        </w:rPr>
        <w:t> </w:t>
      </w:r>
      <w:r>
        <w:rPr>
          <w:sz w:val="24"/>
        </w:rPr>
        <w:t>collaboration</w:t>
      </w:r>
      <w:r>
        <w:rPr>
          <w:spacing w:val="-11"/>
          <w:sz w:val="24"/>
        </w:rPr>
        <w:t> </w:t>
      </w:r>
      <w:r>
        <w:rPr>
          <w:sz w:val="24"/>
        </w:rPr>
        <w:t>in</w:t>
      </w:r>
      <w:r>
        <w:rPr>
          <w:spacing w:val="-11"/>
          <w:sz w:val="24"/>
        </w:rPr>
        <w:t> </w:t>
      </w:r>
      <w:r>
        <w:rPr>
          <w:sz w:val="24"/>
        </w:rPr>
        <w:t>place</w:t>
      </w:r>
      <w:r>
        <w:rPr>
          <w:spacing w:val="-11"/>
          <w:sz w:val="24"/>
        </w:rPr>
        <w:t> </w:t>
      </w:r>
      <w:r>
        <w:rPr>
          <w:sz w:val="24"/>
        </w:rPr>
        <w:t>in</w:t>
      </w:r>
      <w:r>
        <w:rPr>
          <w:spacing w:val="-11"/>
          <w:sz w:val="24"/>
        </w:rPr>
        <w:t> </w:t>
      </w:r>
      <w:r>
        <w:rPr>
          <w:sz w:val="24"/>
        </w:rPr>
        <w:t>areas </w:t>
      </w:r>
      <w:r>
        <w:rPr>
          <w:spacing w:val="-2"/>
          <w:sz w:val="24"/>
        </w:rPr>
        <w:t>including</w:t>
      </w:r>
      <w:r>
        <w:rPr>
          <w:spacing w:val="-15"/>
          <w:sz w:val="24"/>
        </w:rPr>
        <w:t> </w:t>
      </w:r>
      <w:r>
        <w:rPr>
          <w:spacing w:val="-2"/>
          <w:sz w:val="24"/>
        </w:rPr>
        <w:t>digital</w:t>
      </w:r>
      <w:r>
        <w:rPr>
          <w:spacing w:val="-13"/>
          <w:sz w:val="24"/>
        </w:rPr>
        <w:t> </w:t>
      </w:r>
      <w:r>
        <w:rPr>
          <w:spacing w:val="-2"/>
          <w:sz w:val="24"/>
        </w:rPr>
        <w:t>eyecare,</w:t>
      </w:r>
      <w:r>
        <w:rPr>
          <w:spacing w:val="-12"/>
          <w:sz w:val="24"/>
        </w:rPr>
        <w:t> </w:t>
      </w:r>
      <w:r>
        <w:rPr>
          <w:spacing w:val="-2"/>
          <w:sz w:val="24"/>
        </w:rPr>
        <w:t>theatres</w:t>
      </w:r>
      <w:r>
        <w:rPr>
          <w:spacing w:val="-10"/>
          <w:sz w:val="24"/>
        </w:rPr>
        <w:t> </w:t>
      </w:r>
      <w:r>
        <w:rPr>
          <w:spacing w:val="-2"/>
          <w:sz w:val="24"/>
        </w:rPr>
        <w:t>systems,</w:t>
      </w:r>
      <w:r>
        <w:rPr>
          <w:spacing w:val="-15"/>
          <w:sz w:val="24"/>
        </w:rPr>
        <w:t> </w:t>
      </w:r>
      <w:r>
        <w:rPr>
          <w:spacing w:val="-2"/>
          <w:sz w:val="24"/>
        </w:rPr>
        <w:t>preoperative</w:t>
      </w:r>
      <w:r>
        <w:rPr>
          <w:spacing w:val="-13"/>
          <w:sz w:val="24"/>
        </w:rPr>
        <w:t> </w:t>
      </w:r>
      <w:r>
        <w:rPr>
          <w:spacing w:val="-2"/>
          <w:sz w:val="24"/>
        </w:rPr>
        <w:t>assessment,</w:t>
      </w:r>
      <w:r>
        <w:rPr>
          <w:spacing w:val="-12"/>
          <w:sz w:val="24"/>
        </w:rPr>
        <w:t> </w:t>
      </w:r>
      <w:r>
        <w:rPr>
          <w:spacing w:val="-2"/>
          <w:sz w:val="24"/>
        </w:rPr>
        <w:t>shared</w:t>
      </w:r>
      <w:r>
        <w:rPr>
          <w:spacing w:val="-14"/>
          <w:sz w:val="24"/>
        </w:rPr>
        <w:t> </w:t>
      </w:r>
      <w:r>
        <w:rPr>
          <w:spacing w:val="-2"/>
          <w:sz w:val="24"/>
        </w:rPr>
        <w:t>infrastructure </w:t>
      </w:r>
      <w:r>
        <w:rPr>
          <w:sz w:val="24"/>
        </w:rPr>
        <w:t>and</w:t>
      </w:r>
      <w:r>
        <w:rPr>
          <w:spacing w:val="-17"/>
          <w:sz w:val="24"/>
        </w:rPr>
        <w:t> </w:t>
      </w:r>
      <w:r>
        <w:rPr>
          <w:sz w:val="24"/>
        </w:rPr>
        <w:t>regional</w:t>
      </w:r>
      <w:r>
        <w:rPr>
          <w:spacing w:val="-13"/>
          <w:sz w:val="24"/>
        </w:rPr>
        <w:t> </w:t>
      </w:r>
      <w:r>
        <w:rPr>
          <w:sz w:val="24"/>
        </w:rPr>
        <w:t>cellular</w:t>
      </w:r>
      <w:r>
        <w:rPr>
          <w:spacing w:val="-14"/>
          <w:sz w:val="24"/>
        </w:rPr>
        <w:t> </w:t>
      </w:r>
      <w:r>
        <w:rPr>
          <w:sz w:val="24"/>
        </w:rPr>
        <w:t>pathology,</w:t>
      </w:r>
      <w:r>
        <w:rPr>
          <w:spacing w:val="-16"/>
          <w:sz w:val="24"/>
        </w:rPr>
        <w:t> </w:t>
      </w:r>
      <w:r>
        <w:rPr>
          <w:sz w:val="24"/>
        </w:rPr>
        <w:t>alongside</w:t>
      </w:r>
      <w:r>
        <w:rPr>
          <w:spacing w:val="-13"/>
          <w:sz w:val="24"/>
        </w:rPr>
        <w:t> </w:t>
      </w:r>
      <w:r>
        <w:rPr>
          <w:sz w:val="24"/>
        </w:rPr>
        <w:t>a</w:t>
      </w:r>
      <w:r>
        <w:rPr>
          <w:spacing w:val="-13"/>
          <w:sz w:val="24"/>
        </w:rPr>
        <w:t> </w:t>
      </w:r>
      <w:r>
        <w:rPr>
          <w:sz w:val="24"/>
        </w:rPr>
        <w:t>regional</w:t>
      </w:r>
      <w:r>
        <w:rPr>
          <w:spacing w:val="-17"/>
          <w:sz w:val="24"/>
        </w:rPr>
        <w:t> </w:t>
      </w:r>
      <w:r>
        <w:rPr>
          <w:sz w:val="24"/>
        </w:rPr>
        <w:t>view</w:t>
      </w:r>
      <w:r>
        <w:rPr>
          <w:spacing w:val="-17"/>
          <w:sz w:val="24"/>
        </w:rPr>
        <w:t> </w:t>
      </w:r>
      <w:r>
        <w:rPr>
          <w:sz w:val="24"/>
        </w:rPr>
        <w:t>of</w:t>
      </w:r>
      <w:r>
        <w:rPr>
          <w:spacing w:val="-15"/>
          <w:sz w:val="24"/>
        </w:rPr>
        <w:t> </w:t>
      </w:r>
      <w:r>
        <w:rPr>
          <w:sz w:val="24"/>
        </w:rPr>
        <w:t>artificial</w:t>
      </w:r>
      <w:r>
        <w:rPr>
          <w:spacing w:val="-17"/>
          <w:sz w:val="24"/>
        </w:rPr>
        <w:t> </w:t>
      </w:r>
      <w:r>
        <w:rPr>
          <w:sz w:val="24"/>
        </w:rPr>
        <w:t>intelligence</w:t>
      </w:r>
      <w:r>
        <w:rPr>
          <w:spacing w:val="-13"/>
          <w:sz w:val="24"/>
        </w:rPr>
        <w:t> </w:t>
      </w:r>
      <w:r>
        <w:rPr>
          <w:sz w:val="24"/>
        </w:rPr>
        <w:t>(AI) readiness,</w:t>
      </w:r>
      <w:r>
        <w:rPr>
          <w:spacing w:val="-17"/>
          <w:sz w:val="24"/>
        </w:rPr>
        <w:t> </w:t>
      </w:r>
      <w:r>
        <w:rPr>
          <w:sz w:val="24"/>
        </w:rPr>
        <w:t>and</w:t>
      </w:r>
      <w:r>
        <w:rPr>
          <w:spacing w:val="-14"/>
          <w:sz w:val="24"/>
        </w:rPr>
        <w:t> </w:t>
      </w:r>
      <w:r>
        <w:rPr>
          <w:sz w:val="24"/>
        </w:rPr>
        <w:t>a</w:t>
      </w:r>
      <w:r>
        <w:rPr>
          <w:spacing w:val="-14"/>
          <w:sz w:val="24"/>
        </w:rPr>
        <w:t> </w:t>
      </w:r>
      <w:r>
        <w:rPr>
          <w:sz w:val="24"/>
        </w:rPr>
        <w:t>strategic</w:t>
      </w:r>
      <w:r>
        <w:rPr>
          <w:spacing w:val="-15"/>
          <w:sz w:val="24"/>
        </w:rPr>
        <w:t> </w:t>
      </w:r>
      <w:r>
        <w:rPr>
          <w:sz w:val="24"/>
        </w:rPr>
        <w:t>partnership</w:t>
      </w:r>
      <w:r>
        <w:rPr>
          <w:spacing w:val="-14"/>
          <w:sz w:val="24"/>
        </w:rPr>
        <w:t> </w:t>
      </w:r>
      <w:r>
        <w:rPr>
          <w:sz w:val="24"/>
        </w:rPr>
        <w:t>approach</w:t>
      </w:r>
      <w:r>
        <w:rPr>
          <w:spacing w:val="-9"/>
          <w:sz w:val="24"/>
        </w:rPr>
        <w:t> </w:t>
      </w:r>
      <w:r>
        <w:rPr>
          <w:sz w:val="24"/>
        </w:rPr>
        <w:t>with</w:t>
      </w:r>
      <w:r>
        <w:rPr>
          <w:spacing w:val="-14"/>
          <w:sz w:val="24"/>
        </w:rPr>
        <w:t> </w:t>
      </w:r>
      <w:r>
        <w:rPr>
          <w:sz w:val="24"/>
        </w:rPr>
        <w:t>an</w:t>
      </w:r>
      <w:r>
        <w:rPr>
          <w:spacing w:val="-14"/>
          <w:sz w:val="24"/>
        </w:rPr>
        <w:t> </w:t>
      </w:r>
      <w:r>
        <w:rPr>
          <w:sz w:val="24"/>
        </w:rPr>
        <w:t>external</w:t>
      </w:r>
      <w:r>
        <w:rPr>
          <w:spacing w:val="-17"/>
          <w:sz w:val="24"/>
        </w:rPr>
        <w:t> </w:t>
      </w:r>
      <w:r>
        <w:rPr>
          <w:sz w:val="24"/>
        </w:rPr>
        <w:t>digital</w:t>
      </w:r>
      <w:r>
        <w:rPr>
          <w:spacing w:val="-17"/>
          <w:sz w:val="24"/>
        </w:rPr>
        <w:t> </w:t>
      </w:r>
      <w:r>
        <w:rPr>
          <w:sz w:val="24"/>
        </w:rPr>
        <w:t>partner</w:t>
      </w:r>
      <w:r>
        <w:rPr>
          <w:spacing w:val="-9"/>
          <w:sz w:val="24"/>
        </w:rPr>
        <w:t> </w:t>
      </w:r>
      <w:r>
        <w:rPr>
          <w:sz w:val="24"/>
        </w:rPr>
        <w:t>to</w:t>
      </w:r>
      <w:r>
        <w:rPr>
          <w:spacing w:val="-14"/>
          <w:sz w:val="24"/>
        </w:rPr>
        <w:t> </w:t>
      </w:r>
      <w:r>
        <w:rPr>
          <w:sz w:val="24"/>
        </w:rPr>
        <w:t>include the</w:t>
      </w:r>
      <w:r>
        <w:rPr>
          <w:spacing w:val="-3"/>
          <w:sz w:val="24"/>
        </w:rPr>
        <w:t> </w:t>
      </w:r>
      <w:r>
        <w:rPr>
          <w:sz w:val="24"/>
        </w:rPr>
        <w:t>future</w:t>
      </w:r>
      <w:r>
        <w:rPr>
          <w:spacing w:val="-3"/>
          <w:sz w:val="24"/>
        </w:rPr>
        <w:t> </w:t>
      </w:r>
      <w:r>
        <w:rPr>
          <w:sz w:val="24"/>
        </w:rPr>
        <w:t>consideration</w:t>
      </w:r>
      <w:r>
        <w:rPr>
          <w:spacing w:val="-3"/>
          <w:sz w:val="24"/>
        </w:rPr>
        <w:t> </w:t>
      </w:r>
      <w:r>
        <w:rPr>
          <w:sz w:val="24"/>
        </w:rPr>
        <w:t>of</w:t>
      </w:r>
      <w:r>
        <w:rPr>
          <w:spacing w:val="-6"/>
          <w:sz w:val="24"/>
        </w:rPr>
        <w:t> </w:t>
      </w:r>
      <w:r>
        <w:rPr>
          <w:sz w:val="24"/>
        </w:rPr>
        <w:t>a</w:t>
      </w:r>
      <w:r>
        <w:rPr>
          <w:spacing w:val="-3"/>
          <w:sz w:val="24"/>
        </w:rPr>
        <w:t> </w:t>
      </w:r>
      <w:r>
        <w:rPr>
          <w:sz w:val="24"/>
        </w:rPr>
        <w:t>Patient</w:t>
      </w:r>
      <w:r>
        <w:rPr>
          <w:spacing w:val="-6"/>
          <w:sz w:val="24"/>
        </w:rPr>
        <w:t> </w:t>
      </w:r>
      <w:r>
        <w:rPr>
          <w:sz w:val="24"/>
        </w:rPr>
        <w:t>Services</w:t>
      </w:r>
      <w:r>
        <w:rPr>
          <w:spacing w:val="-9"/>
          <w:sz w:val="24"/>
        </w:rPr>
        <w:t> </w:t>
      </w:r>
      <w:r>
        <w:rPr>
          <w:sz w:val="24"/>
        </w:rPr>
        <w:t>Centre.</w:t>
      </w:r>
    </w:p>
    <w:p>
      <w:pPr>
        <w:pStyle w:val="BodyText"/>
        <w:spacing w:before="57"/>
        <w:rPr>
          <w:sz w:val="20"/>
        </w:rPr>
      </w:pPr>
      <w:r>
        <w:rPr>
          <w:sz w:val="20"/>
        </w:rPr>
        <mc:AlternateContent>
          <mc:Choice Requires="wps">
            <w:drawing>
              <wp:anchor distT="0" distB="0" distL="0" distR="0" allowOverlap="1" layoutInCell="1" locked="0" behindDoc="1" simplePos="0" relativeHeight="487682048">
                <wp:simplePos x="0" y="0"/>
                <wp:positionH relativeFrom="page">
                  <wp:posOffset>574992</wp:posOffset>
                </wp:positionH>
                <wp:positionV relativeFrom="paragraph">
                  <wp:posOffset>204297</wp:posOffset>
                </wp:positionV>
                <wp:extent cx="6642100" cy="190500"/>
                <wp:effectExtent l="0" t="0" r="0" b="0"/>
                <wp:wrapTopAndBottom/>
                <wp:docPr id="518" name="Textbox 518"/>
                <wp:cNvGraphicFramePr>
                  <a:graphicFrameLocks/>
                </wp:cNvGraphicFramePr>
                <a:graphic>
                  <a:graphicData uri="http://schemas.microsoft.com/office/word/2010/wordprocessingShape">
                    <wps:wsp>
                      <wps:cNvPr id="518" name="Textbox 518"/>
                      <wps:cNvSpPr txBox="1"/>
                      <wps:spPr>
                        <a:xfrm>
                          <a:off x="0" y="0"/>
                          <a:ext cx="6642100" cy="19050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2.</w:t>
                            </w:r>
                            <w:r>
                              <w:rPr>
                                <w:b/>
                                <w:color w:val="000000"/>
                                <w:spacing w:val="61"/>
                                <w:sz w:val="24"/>
                              </w:rPr>
                              <w:t> </w:t>
                            </w:r>
                            <w:r>
                              <w:rPr>
                                <w:b/>
                                <w:color w:val="000000"/>
                                <w:spacing w:val="-2"/>
                                <w:sz w:val="24"/>
                              </w:rPr>
                              <w:t>Purpose</w:t>
                            </w:r>
                          </w:p>
                        </w:txbxContent>
                      </wps:txbx>
                      <wps:bodyPr wrap="square" lIns="0" tIns="0" rIns="0" bIns="0" rtlCol="0">
                        <a:noAutofit/>
                      </wps:bodyPr>
                    </wps:wsp>
                  </a:graphicData>
                </a:graphic>
              </wp:anchor>
            </w:drawing>
          </mc:Choice>
          <mc:Fallback>
            <w:pict>
              <v:shape style="position:absolute;margin-left:45.275002pt;margin-top:16.086407pt;width:523pt;height:15pt;mso-position-horizontal-relative:page;mso-position-vertical-relative:paragraph;z-index:-15634432;mso-wrap-distance-left:0;mso-wrap-distance-right:0" type="#_x0000_t202" id="docshape296" filled="true" fillcolor="#c1a875" stroked="true" strokeweight="1pt" strokecolor="#394871">
                <v:textbox inset="0,0,0,0">
                  <w:txbxContent>
                    <w:p>
                      <w:pPr>
                        <w:spacing w:before="0"/>
                        <w:ind w:left="95" w:right="0" w:firstLine="0"/>
                        <w:jc w:val="left"/>
                        <w:rPr>
                          <w:b/>
                          <w:color w:val="000000"/>
                          <w:sz w:val="24"/>
                        </w:rPr>
                      </w:pPr>
                      <w:r>
                        <w:rPr>
                          <w:b/>
                          <w:color w:val="000000"/>
                          <w:sz w:val="24"/>
                        </w:rPr>
                        <w:t>2.</w:t>
                      </w:r>
                      <w:r>
                        <w:rPr>
                          <w:b/>
                          <w:color w:val="000000"/>
                          <w:spacing w:val="61"/>
                          <w:sz w:val="24"/>
                        </w:rPr>
                        <w:t> </w:t>
                      </w:r>
                      <w:r>
                        <w:rPr>
                          <w:b/>
                          <w:color w:val="000000"/>
                          <w:spacing w:val="-2"/>
                          <w:sz w:val="24"/>
                        </w:rPr>
                        <w:t>Purpose</w:t>
                      </w:r>
                    </w:p>
                  </w:txbxContent>
                </v:textbox>
                <v:fill type="solid"/>
                <v:stroke dashstyle="solid"/>
                <w10:wrap type="topAndBottom"/>
              </v:shape>
            </w:pict>
          </mc:Fallback>
        </mc:AlternateContent>
      </w:r>
    </w:p>
    <w:p>
      <w:pPr>
        <w:pStyle w:val="BodyText"/>
        <w:spacing w:before="14"/>
      </w:pPr>
    </w:p>
    <w:p>
      <w:pPr>
        <w:pStyle w:val="ListParagraph"/>
        <w:numPr>
          <w:ilvl w:val="1"/>
          <w:numId w:val="69"/>
        </w:numPr>
        <w:tabs>
          <w:tab w:pos="852" w:val="left" w:leader="none"/>
        </w:tabs>
        <w:spacing w:line="240" w:lineRule="auto" w:before="0" w:after="0"/>
        <w:ind w:left="852" w:right="0" w:hanging="710"/>
        <w:jc w:val="left"/>
        <w:rPr>
          <w:sz w:val="24"/>
        </w:rPr>
      </w:pPr>
      <w:r>
        <w:rPr>
          <w:spacing w:val="-2"/>
          <w:sz w:val="24"/>
        </w:rPr>
        <w:t>The</w:t>
      </w:r>
      <w:r>
        <w:rPr>
          <w:spacing w:val="-11"/>
          <w:sz w:val="24"/>
        </w:rPr>
        <w:t> </w:t>
      </w:r>
      <w:r>
        <w:rPr>
          <w:spacing w:val="-2"/>
          <w:sz w:val="24"/>
        </w:rPr>
        <w:t>purpose</w:t>
      </w:r>
      <w:r>
        <w:rPr>
          <w:spacing w:val="-8"/>
          <w:sz w:val="24"/>
        </w:rPr>
        <w:t> </w:t>
      </w:r>
      <w:r>
        <w:rPr>
          <w:spacing w:val="-2"/>
          <w:sz w:val="24"/>
        </w:rPr>
        <w:t>of</w:t>
      </w:r>
      <w:r>
        <w:rPr>
          <w:spacing w:val="-7"/>
          <w:sz w:val="24"/>
        </w:rPr>
        <w:t> </w:t>
      </w:r>
      <w:r>
        <w:rPr>
          <w:spacing w:val="-2"/>
          <w:sz w:val="24"/>
        </w:rPr>
        <w:t>the</w:t>
      </w:r>
      <w:r>
        <w:rPr>
          <w:spacing w:val="-8"/>
          <w:sz w:val="24"/>
        </w:rPr>
        <w:t> </w:t>
      </w:r>
      <w:r>
        <w:rPr>
          <w:spacing w:val="-2"/>
          <w:sz w:val="24"/>
        </w:rPr>
        <w:t>RFCDDG</w:t>
      </w:r>
      <w:r>
        <w:rPr>
          <w:spacing w:val="-15"/>
          <w:sz w:val="24"/>
        </w:rPr>
        <w:t> </w:t>
      </w:r>
      <w:r>
        <w:rPr>
          <w:spacing w:val="-2"/>
          <w:sz w:val="24"/>
        </w:rPr>
        <w:t>is</w:t>
      </w:r>
      <w:r>
        <w:rPr>
          <w:spacing w:val="-9"/>
          <w:sz w:val="24"/>
        </w:rPr>
        <w:t> </w:t>
      </w:r>
      <w:r>
        <w:rPr>
          <w:spacing w:val="-5"/>
          <w:sz w:val="24"/>
        </w:rPr>
        <w:t>to:</w:t>
      </w:r>
    </w:p>
    <w:p>
      <w:pPr>
        <w:pStyle w:val="ListParagraph"/>
        <w:numPr>
          <w:ilvl w:val="2"/>
          <w:numId w:val="69"/>
        </w:numPr>
        <w:tabs>
          <w:tab w:pos="1554" w:val="left" w:leader="none"/>
          <w:tab w:pos="1563" w:val="left" w:leader="none"/>
        </w:tabs>
        <w:spacing w:line="240" w:lineRule="auto" w:before="274" w:after="0"/>
        <w:ind w:left="1563" w:right="658" w:hanging="711"/>
        <w:jc w:val="left"/>
        <w:rPr>
          <w:sz w:val="24"/>
        </w:rPr>
      </w:pPr>
      <w:r>
        <w:rPr>
          <w:spacing w:val="-2"/>
          <w:sz w:val="24"/>
        </w:rPr>
        <w:t>Provide</w:t>
      </w:r>
      <w:r>
        <w:rPr>
          <w:spacing w:val="-15"/>
          <w:sz w:val="24"/>
        </w:rPr>
        <w:t> </w:t>
      </w:r>
      <w:r>
        <w:rPr>
          <w:spacing w:val="-2"/>
          <w:sz w:val="24"/>
        </w:rPr>
        <w:t>assurance</w:t>
      </w:r>
      <w:r>
        <w:rPr>
          <w:spacing w:val="-13"/>
          <w:sz w:val="24"/>
        </w:rPr>
        <w:t> </w:t>
      </w:r>
      <w:r>
        <w:rPr>
          <w:spacing w:val="-2"/>
          <w:sz w:val="24"/>
        </w:rPr>
        <w:t>on</w:t>
      </w:r>
      <w:r>
        <w:rPr>
          <w:spacing w:val="-7"/>
          <w:sz w:val="24"/>
        </w:rPr>
        <w:t> </w:t>
      </w:r>
      <w:r>
        <w:rPr>
          <w:spacing w:val="-2"/>
          <w:sz w:val="24"/>
        </w:rPr>
        <w:t>the</w:t>
      </w:r>
      <w:r>
        <w:rPr>
          <w:spacing w:val="-12"/>
          <w:sz w:val="24"/>
        </w:rPr>
        <w:t> </w:t>
      </w:r>
      <w:r>
        <w:rPr>
          <w:spacing w:val="-2"/>
          <w:sz w:val="24"/>
        </w:rPr>
        <w:t>regional</w:t>
      </w:r>
      <w:r>
        <w:rPr>
          <w:spacing w:val="-12"/>
          <w:sz w:val="24"/>
        </w:rPr>
        <w:t> </w:t>
      </w:r>
      <w:r>
        <w:rPr>
          <w:spacing w:val="-2"/>
          <w:sz w:val="24"/>
        </w:rPr>
        <w:t>financial</w:t>
      </w:r>
      <w:r>
        <w:rPr>
          <w:spacing w:val="-12"/>
          <w:sz w:val="24"/>
        </w:rPr>
        <w:t> </w:t>
      </w:r>
      <w:r>
        <w:rPr>
          <w:spacing w:val="-2"/>
          <w:sz w:val="24"/>
        </w:rPr>
        <w:t>framework</w:t>
      </w:r>
      <w:r>
        <w:rPr>
          <w:spacing w:val="-15"/>
          <w:sz w:val="24"/>
        </w:rPr>
        <w:t> </w:t>
      </w:r>
      <w:r>
        <w:rPr>
          <w:spacing w:val="-2"/>
          <w:sz w:val="24"/>
        </w:rPr>
        <w:t>in</w:t>
      </w:r>
      <w:r>
        <w:rPr>
          <w:spacing w:val="-11"/>
          <w:sz w:val="24"/>
        </w:rPr>
        <w:t> </w:t>
      </w:r>
      <w:r>
        <w:rPr>
          <w:spacing w:val="-2"/>
          <w:sz w:val="24"/>
        </w:rPr>
        <w:t>place</w:t>
      </w:r>
      <w:r>
        <w:rPr>
          <w:spacing w:val="-12"/>
          <w:sz w:val="24"/>
        </w:rPr>
        <w:t> </w:t>
      </w:r>
      <w:r>
        <w:rPr>
          <w:spacing w:val="-2"/>
          <w:sz w:val="24"/>
        </w:rPr>
        <w:t>within</w:t>
      </w:r>
      <w:r>
        <w:rPr>
          <w:spacing w:val="-12"/>
          <w:sz w:val="24"/>
        </w:rPr>
        <w:t> </w:t>
      </w:r>
      <w:r>
        <w:rPr>
          <w:spacing w:val="-2"/>
          <w:sz w:val="24"/>
        </w:rPr>
        <w:t>and</w:t>
      </w:r>
      <w:r>
        <w:rPr>
          <w:spacing w:val="-12"/>
          <w:sz w:val="24"/>
        </w:rPr>
        <w:t> </w:t>
      </w:r>
      <w:r>
        <w:rPr>
          <w:spacing w:val="-2"/>
          <w:sz w:val="24"/>
        </w:rPr>
        <w:t>between </w:t>
      </w:r>
      <w:r>
        <w:rPr>
          <w:sz w:val="24"/>
        </w:rPr>
        <w:t>Hywel</w:t>
      </w:r>
      <w:r>
        <w:rPr>
          <w:spacing w:val="-8"/>
          <w:sz w:val="24"/>
        </w:rPr>
        <w:t> </w:t>
      </w:r>
      <w:r>
        <w:rPr>
          <w:sz w:val="24"/>
        </w:rPr>
        <w:t>Dda</w:t>
      </w:r>
      <w:r>
        <w:rPr>
          <w:spacing w:val="-3"/>
          <w:sz w:val="24"/>
        </w:rPr>
        <w:t> </w:t>
      </w:r>
      <w:r>
        <w:rPr>
          <w:sz w:val="24"/>
        </w:rPr>
        <w:t>and</w:t>
      </w:r>
      <w:r>
        <w:rPr>
          <w:spacing w:val="-3"/>
          <w:sz w:val="24"/>
        </w:rPr>
        <w:t> </w:t>
      </w:r>
      <w:r>
        <w:rPr>
          <w:sz w:val="24"/>
        </w:rPr>
        <w:t>Swansea</w:t>
      </w:r>
      <w:r>
        <w:rPr>
          <w:spacing w:val="-3"/>
          <w:sz w:val="24"/>
        </w:rPr>
        <w:t> </w:t>
      </w:r>
      <w:r>
        <w:rPr>
          <w:sz w:val="24"/>
        </w:rPr>
        <w:t>Bay</w:t>
      </w:r>
      <w:r>
        <w:rPr>
          <w:spacing w:val="-4"/>
          <w:sz w:val="24"/>
        </w:rPr>
        <w:t> </w:t>
      </w:r>
      <w:r>
        <w:rPr>
          <w:sz w:val="24"/>
        </w:rPr>
        <w:t>University</w:t>
      </w:r>
      <w:r>
        <w:rPr>
          <w:spacing w:val="-4"/>
          <w:sz w:val="24"/>
        </w:rPr>
        <w:t> </w:t>
      </w:r>
      <w:r>
        <w:rPr>
          <w:sz w:val="24"/>
        </w:rPr>
        <w:t>Health Boards.</w:t>
      </w:r>
    </w:p>
    <w:p>
      <w:pPr>
        <w:pStyle w:val="ListParagraph"/>
        <w:numPr>
          <w:ilvl w:val="2"/>
          <w:numId w:val="69"/>
        </w:numPr>
        <w:tabs>
          <w:tab w:pos="1559" w:val="left" w:leader="none"/>
          <w:tab w:pos="1563" w:val="left" w:leader="none"/>
        </w:tabs>
        <w:spacing w:line="244" w:lineRule="auto" w:before="273" w:after="0"/>
        <w:ind w:left="1563" w:right="939" w:hanging="711"/>
        <w:jc w:val="left"/>
        <w:rPr>
          <w:sz w:val="24"/>
        </w:rPr>
      </w:pPr>
      <w:r>
        <w:rPr>
          <w:spacing w:val="-2"/>
          <w:sz w:val="24"/>
        </w:rPr>
        <w:t>Provide</w:t>
      </w:r>
      <w:r>
        <w:rPr>
          <w:spacing w:val="-15"/>
          <w:sz w:val="24"/>
        </w:rPr>
        <w:t> </w:t>
      </w:r>
      <w:r>
        <w:rPr>
          <w:spacing w:val="-2"/>
          <w:sz w:val="24"/>
        </w:rPr>
        <w:t>assurance</w:t>
      </w:r>
      <w:r>
        <w:rPr>
          <w:spacing w:val="-13"/>
          <w:sz w:val="24"/>
        </w:rPr>
        <w:t> </w:t>
      </w:r>
      <w:r>
        <w:rPr>
          <w:spacing w:val="-2"/>
          <w:sz w:val="24"/>
        </w:rPr>
        <w:t>that</w:t>
      </w:r>
      <w:r>
        <w:rPr>
          <w:spacing w:val="-14"/>
          <w:sz w:val="24"/>
        </w:rPr>
        <w:t> </w:t>
      </w:r>
      <w:r>
        <w:rPr>
          <w:spacing w:val="-2"/>
          <w:sz w:val="24"/>
        </w:rPr>
        <w:t>opportunities</w:t>
      </w:r>
      <w:r>
        <w:rPr>
          <w:spacing w:val="-14"/>
          <w:sz w:val="24"/>
        </w:rPr>
        <w:t> </w:t>
      </w:r>
      <w:r>
        <w:rPr>
          <w:spacing w:val="-2"/>
          <w:sz w:val="24"/>
        </w:rPr>
        <w:t>for</w:t>
      </w:r>
      <w:r>
        <w:rPr>
          <w:spacing w:val="-14"/>
          <w:sz w:val="24"/>
        </w:rPr>
        <w:t> </w:t>
      </w:r>
      <w:r>
        <w:rPr>
          <w:spacing w:val="-2"/>
          <w:sz w:val="24"/>
        </w:rPr>
        <w:t>value</w:t>
      </w:r>
      <w:r>
        <w:rPr>
          <w:spacing w:val="-13"/>
          <w:sz w:val="24"/>
        </w:rPr>
        <w:t> </w:t>
      </w:r>
      <w:r>
        <w:rPr>
          <w:spacing w:val="-2"/>
          <w:sz w:val="24"/>
        </w:rPr>
        <w:t>and</w:t>
      </w:r>
      <w:r>
        <w:rPr>
          <w:spacing w:val="-15"/>
          <w:sz w:val="24"/>
        </w:rPr>
        <w:t> </w:t>
      </w:r>
      <w:r>
        <w:rPr>
          <w:spacing w:val="-2"/>
          <w:sz w:val="24"/>
        </w:rPr>
        <w:t>efficiency</w:t>
      </w:r>
      <w:r>
        <w:rPr>
          <w:spacing w:val="-14"/>
          <w:sz w:val="24"/>
        </w:rPr>
        <w:t> </w:t>
      </w:r>
      <w:r>
        <w:rPr>
          <w:spacing w:val="-2"/>
          <w:sz w:val="24"/>
        </w:rPr>
        <w:t>across</w:t>
      </w:r>
      <w:r>
        <w:rPr>
          <w:spacing w:val="-9"/>
          <w:sz w:val="24"/>
        </w:rPr>
        <w:t> </w:t>
      </w:r>
      <w:r>
        <w:rPr>
          <w:spacing w:val="-2"/>
          <w:sz w:val="24"/>
        </w:rPr>
        <w:t>the</w:t>
      </w:r>
      <w:r>
        <w:rPr>
          <w:spacing w:val="-13"/>
          <w:sz w:val="24"/>
        </w:rPr>
        <w:t> </w:t>
      </w:r>
      <w:r>
        <w:rPr>
          <w:spacing w:val="-2"/>
          <w:sz w:val="24"/>
        </w:rPr>
        <w:t>regional </w:t>
      </w:r>
      <w:r>
        <w:rPr>
          <w:sz w:val="24"/>
        </w:rPr>
        <w:t>health economy are identified and tracked.</w:t>
      </w:r>
    </w:p>
    <w:p>
      <w:pPr>
        <w:pStyle w:val="ListParagraph"/>
        <w:numPr>
          <w:ilvl w:val="2"/>
          <w:numId w:val="69"/>
        </w:numPr>
        <w:tabs>
          <w:tab w:pos="1559" w:val="left" w:leader="none"/>
          <w:tab w:pos="1563" w:val="left" w:leader="none"/>
        </w:tabs>
        <w:spacing w:line="240" w:lineRule="auto" w:before="268" w:after="0"/>
        <w:ind w:left="1563" w:right="745" w:hanging="711"/>
        <w:jc w:val="left"/>
        <w:rPr>
          <w:sz w:val="24"/>
        </w:rPr>
      </w:pPr>
      <w:r>
        <w:rPr>
          <w:spacing w:val="-2"/>
          <w:sz w:val="24"/>
        </w:rPr>
        <w:t>Provide</w:t>
      </w:r>
      <w:r>
        <w:rPr>
          <w:spacing w:val="-15"/>
          <w:sz w:val="24"/>
        </w:rPr>
        <w:t> </w:t>
      </w:r>
      <w:r>
        <w:rPr>
          <w:spacing w:val="-2"/>
          <w:sz w:val="24"/>
        </w:rPr>
        <w:t>assurance</w:t>
      </w:r>
      <w:r>
        <w:rPr>
          <w:spacing w:val="-13"/>
          <w:sz w:val="24"/>
        </w:rPr>
        <w:t> </w:t>
      </w:r>
      <w:r>
        <w:rPr>
          <w:spacing w:val="-2"/>
          <w:sz w:val="24"/>
        </w:rPr>
        <w:t>that</w:t>
      </w:r>
      <w:r>
        <w:rPr>
          <w:spacing w:val="-15"/>
          <w:sz w:val="24"/>
        </w:rPr>
        <w:t> </w:t>
      </w:r>
      <w:r>
        <w:rPr>
          <w:spacing w:val="-2"/>
          <w:sz w:val="24"/>
        </w:rPr>
        <w:t>digital</w:t>
      </w:r>
      <w:r>
        <w:rPr>
          <w:spacing w:val="-13"/>
          <w:sz w:val="24"/>
        </w:rPr>
        <w:t> </w:t>
      </w:r>
      <w:r>
        <w:rPr>
          <w:spacing w:val="-2"/>
          <w:sz w:val="24"/>
        </w:rPr>
        <w:t>solutions</w:t>
      </w:r>
      <w:r>
        <w:rPr>
          <w:spacing w:val="-15"/>
          <w:sz w:val="24"/>
        </w:rPr>
        <w:t> </w:t>
      </w:r>
      <w:r>
        <w:rPr>
          <w:spacing w:val="-2"/>
          <w:sz w:val="24"/>
        </w:rPr>
        <w:t>enable</w:t>
      </w:r>
      <w:r>
        <w:rPr>
          <w:spacing w:val="-13"/>
          <w:sz w:val="24"/>
        </w:rPr>
        <w:t> </w:t>
      </w:r>
      <w:r>
        <w:rPr>
          <w:spacing w:val="-2"/>
          <w:sz w:val="24"/>
        </w:rPr>
        <w:t>service</w:t>
      </w:r>
      <w:r>
        <w:rPr>
          <w:spacing w:val="-9"/>
          <w:sz w:val="24"/>
        </w:rPr>
        <w:t> </w:t>
      </w:r>
      <w:r>
        <w:rPr>
          <w:spacing w:val="-2"/>
          <w:sz w:val="24"/>
        </w:rPr>
        <w:t>transformation</w:t>
      </w:r>
      <w:r>
        <w:rPr>
          <w:spacing w:val="-10"/>
          <w:sz w:val="24"/>
        </w:rPr>
        <w:t> </w:t>
      </w:r>
      <w:r>
        <w:rPr>
          <w:spacing w:val="-2"/>
          <w:sz w:val="24"/>
        </w:rPr>
        <w:t>for</w:t>
      </w:r>
      <w:r>
        <w:rPr>
          <w:spacing w:val="-15"/>
          <w:sz w:val="24"/>
        </w:rPr>
        <w:t> </w:t>
      </w:r>
      <w:r>
        <w:rPr>
          <w:spacing w:val="-2"/>
          <w:sz w:val="24"/>
        </w:rPr>
        <w:t>staff</w:t>
      </w:r>
      <w:r>
        <w:rPr>
          <w:spacing w:val="-15"/>
          <w:sz w:val="24"/>
        </w:rPr>
        <w:t> </w:t>
      </w:r>
      <w:r>
        <w:rPr>
          <w:spacing w:val="-2"/>
          <w:sz w:val="24"/>
        </w:rPr>
        <w:t>and </w:t>
      </w:r>
      <w:r>
        <w:rPr>
          <w:sz w:val="24"/>
        </w:rPr>
        <w:t>patients interaction with services.</w:t>
      </w:r>
    </w:p>
    <w:p>
      <w:pPr>
        <w:pStyle w:val="BodyText"/>
        <w:spacing w:before="2"/>
      </w:pPr>
    </w:p>
    <w:p>
      <w:pPr>
        <w:pStyle w:val="ListParagraph"/>
        <w:numPr>
          <w:ilvl w:val="2"/>
          <w:numId w:val="69"/>
        </w:numPr>
        <w:tabs>
          <w:tab w:pos="1559" w:val="left" w:leader="none"/>
          <w:tab w:pos="1563" w:val="left" w:leader="none"/>
        </w:tabs>
        <w:spacing w:line="240" w:lineRule="auto" w:before="0" w:after="0"/>
        <w:ind w:left="1563" w:right="1162" w:hanging="711"/>
        <w:jc w:val="left"/>
        <w:rPr>
          <w:sz w:val="24"/>
        </w:rPr>
      </w:pPr>
      <w:r>
        <w:rPr>
          <w:sz w:val="24"/>
        </w:rPr>
        <w:t>Provide</w:t>
      </w:r>
      <w:r>
        <w:rPr>
          <w:spacing w:val="-14"/>
          <w:sz w:val="24"/>
        </w:rPr>
        <w:t> </w:t>
      </w:r>
      <w:r>
        <w:rPr>
          <w:sz w:val="24"/>
        </w:rPr>
        <w:t>assurance</w:t>
      </w:r>
      <w:r>
        <w:rPr>
          <w:spacing w:val="-5"/>
          <w:sz w:val="24"/>
        </w:rPr>
        <w:t> </w:t>
      </w:r>
      <w:r>
        <w:rPr>
          <w:sz w:val="24"/>
        </w:rPr>
        <w:t>that</w:t>
      </w:r>
      <w:r>
        <w:rPr>
          <w:spacing w:val="-13"/>
          <w:sz w:val="24"/>
        </w:rPr>
        <w:t> </w:t>
      </w:r>
      <w:r>
        <w:rPr>
          <w:sz w:val="24"/>
        </w:rPr>
        <w:t>AI,</w:t>
      </w:r>
      <w:r>
        <w:rPr>
          <w:spacing w:val="-13"/>
          <w:sz w:val="24"/>
        </w:rPr>
        <w:t> </w:t>
      </w:r>
      <w:r>
        <w:rPr>
          <w:sz w:val="24"/>
        </w:rPr>
        <w:t>automation,</w:t>
      </w:r>
      <w:r>
        <w:rPr>
          <w:spacing w:val="-13"/>
          <w:sz w:val="24"/>
        </w:rPr>
        <w:t> </w:t>
      </w:r>
      <w:r>
        <w:rPr>
          <w:sz w:val="24"/>
        </w:rPr>
        <w:t>and</w:t>
      </w:r>
      <w:r>
        <w:rPr>
          <w:spacing w:val="-10"/>
          <w:sz w:val="24"/>
        </w:rPr>
        <w:t> </w:t>
      </w:r>
      <w:r>
        <w:rPr>
          <w:sz w:val="24"/>
        </w:rPr>
        <w:t>advanced</w:t>
      </w:r>
      <w:r>
        <w:rPr>
          <w:spacing w:val="-10"/>
          <w:sz w:val="24"/>
        </w:rPr>
        <w:t> </w:t>
      </w:r>
      <w:r>
        <w:rPr>
          <w:sz w:val="24"/>
        </w:rPr>
        <w:t>analytics</w:t>
      </w:r>
      <w:r>
        <w:rPr>
          <w:spacing w:val="-11"/>
          <w:sz w:val="24"/>
        </w:rPr>
        <w:t> </w:t>
      </w:r>
      <w:r>
        <w:rPr>
          <w:sz w:val="24"/>
        </w:rPr>
        <w:t>capability</w:t>
      </w:r>
      <w:r>
        <w:rPr>
          <w:spacing w:val="-16"/>
          <w:sz w:val="24"/>
        </w:rPr>
        <w:t> </w:t>
      </w:r>
      <w:r>
        <w:rPr>
          <w:sz w:val="24"/>
        </w:rPr>
        <w:t>is </w:t>
      </w:r>
      <w:r>
        <w:rPr>
          <w:spacing w:val="-2"/>
          <w:sz w:val="24"/>
        </w:rPr>
        <w:t>developed</w:t>
      </w:r>
      <w:r>
        <w:rPr>
          <w:spacing w:val="-15"/>
          <w:sz w:val="24"/>
        </w:rPr>
        <w:t> </w:t>
      </w:r>
      <w:r>
        <w:rPr>
          <w:spacing w:val="-2"/>
          <w:sz w:val="24"/>
        </w:rPr>
        <w:t>across</w:t>
      </w:r>
      <w:r>
        <w:rPr>
          <w:spacing w:val="-15"/>
          <w:sz w:val="24"/>
        </w:rPr>
        <w:t> </w:t>
      </w:r>
      <w:r>
        <w:rPr>
          <w:spacing w:val="-2"/>
          <w:sz w:val="24"/>
        </w:rPr>
        <w:t>the</w:t>
      </w:r>
      <w:r>
        <w:rPr>
          <w:spacing w:val="-14"/>
          <w:sz w:val="24"/>
        </w:rPr>
        <w:t> </w:t>
      </w:r>
      <w:r>
        <w:rPr>
          <w:spacing w:val="-2"/>
          <w:sz w:val="24"/>
        </w:rPr>
        <w:t>region</w:t>
      </w:r>
      <w:r>
        <w:rPr>
          <w:spacing w:val="-15"/>
          <w:sz w:val="24"/>
        </w:rPr>
        <w:t> </w:t>
      </w:r>
      <w:r>
        <w:rPr>
          <w:spacing w:val="-2"/>
          <w:sz w:val="24"/>
        </w:rPr>
        <w:t>with</w:t>
      </w:r>
      <w:r>
        <w:rPr>
          <w:spacing w:val="-15"/>
          <w:sz w:val="24"/>
        </w:rPr>
        <w:t> </w:t>
      </w:r>
      <w:r>
        <w:rPr>
          <w:spacing w:val="-2"/>
          <w:sz w:val="24"/>
        </w:rPr>
        <w:t>the</w:t>
      </w:r>
      <w:r>
        <w:rPr>
          <w:spacing w:val="-14"/>
          <w:sz w:val="24"/>
        </w:rPr>
        <w:t> </w:t>
      </w:r>
      <w:r>
        <w:rPr>
          <w:spacing w:val="-2"/>
          <w:sz w:val="24"/>
        </w:rPr>
        <w:t>appropriate</w:t>
      </w:r>
      <w:r>
        <w:rPr>
          <w:spacing w:val="-10"/>
          <w:sz w:val="24"/>
        </w:rPr>
        <w:t> </w:t>
      </w:r>
      <w:r>
        <w:rPr>
          <w:spacing w:val="-2"/>
          <w:sz w:val="24"/>
        </w:rPr>
        <w:t>governance,</w:t>
      </w:r>
      <w:r>
        <w:rPr>
          <w:spacing w:val="-15"/>
          <w:sz w:val="24"/>
        </w:rPr>
        <w:t> </w:t>
      </w:r>
      <w:r>
        <w:rPr>
          <w:spacing w:val="-2"/>
          <w:sz w:val="24"/>
        </w:rPr>
        <w:t>evaluation,</w:t>
      </w:r>
      <w:r>
        <w:rPr>
          <w:spacing w:val="-15"/>
          <w:sz w:val="24"/>
        </w:rPr>
        <w:t> </w:t>
      </w:r>
      <w:r>
        <w:rPr>
          <w:spacing w:val="-2"/>
          <w:sz w:val="24"/>
        </w:rPr>
        <w:t>and </w:t>
      </w:r>
      <w:r>
        <w:rPr>
          <w:sz w:val="24"/>
        </w:rPr>
        <w:t>benefits realisation in place.</w:t>
      </w:r>
    </w:p>
    <w:p>
      <w:pPr>
        <w:pStyle w:val="ListParagraph"/>
        <w:numPr>
          <w:ilvl w:val="2"/>
          <w:numId w:val="69"/>
        </w:numPr>
        <w:tabs>
          <w:tab w:pos="1560" w:val="left" w:leader="none"/>
          <w:tab w:pos="1563" w:val="left" w:leader="none"/>
        </w:tabs>
        <w:spacing w:line="240" w:lineRule="auto" w:before="0" w:after="0"/>
        <w:ind w:left="1563" w:right="1476" w:hanging="711"/>
        <w:jc w:val="left"/>
        <w:rPr>
          <w:sz w:val="24"/>
        </w:rPr>
      </w:pPr>
      <w:r>
        <w:rPr>
          <w:spacing w:val="-2"/>
          <w:sz w:val="24"/>
        </w:rPr>
        <w:t>Provide</w:t>
      </w:r>
      <w:r>
        <w:rPr>
          <w:spacing w:val="-15"/>
          <w:sz w:val="24"/>
        </w:rPr>
        <w:t> </w:t>
      </w:r>
      <w:r>
        <w:rPr>
          <w:spacing w:val="-2"/>
          <w:sz w:val="24"/>
        </w:rPr>
        <w:t>assurance</w:t>
      </w:r>
      <w:r>
        <w:rPr>
          <w:spacing w:val="-14"/>
          <w:sz w:val="24"/>
        </w:rPr>
        <w:t> </w:t>
      </w:r>
      <w:r>
        <w:rPr>
          <w:spacing w:val="-2"/>
          <w:sz w:val="24"/>
        </w:rPr>
        <w:t>on</w:t>
      </w:r>
      <w:r>
        <w:rPr>
          <w:spacing w:val="-8"/>
          <w:sz w:val="24"/>
        </w:rPr>
        <w:t> </w:t>
      </w:r>
      <w:r>
        <w:rPr>
          <w:spacing w:val="-2"/>
          <w:sz w:val="24"/>
        </w:rPr>
        <w:t>the</w:t>
      </w:r>
      <w:r>
        <w:rPr>
          <w:spacing w:val="-12"/>
          <w:sz w:val="24"/>
        </w:rPr>
        <w:t> </w:t>
      </w:r>
      <w:r>
        <w:rPr>
          <w:spacing w:val="-2"/>
          <w:sz w:val="24"/>
        </w:rPr>
        <w:t>work</w:t>
      </w:r>
      <w:r>
        <w:rPr>
          <w:spacing w:val="-13"/>
          <w:sz w:val="24"/>
        </w:rPr>
        <w:t> </w:t>
      </w:r>
      <w:r>
        <w:rPr>
          <w:spacing w:val="-2"/>
          <w:sz w:val="24"/>
        </w:rPr>
        <w:t>to</w:t>
      </w:r>
      <w:r>
        <w:rPr>
          <w:spacing w:val="-12"/>
          <w:sz w:val="24"/>
        </w:rPr>
        <w:t> </w:t>
      </w:r>
      <w:r>
        <w:rPr>
          <w:spacing w:val="-2"/>
          <w:sz w:val="24"/>
        </w:rPr>
        <w:t>exploit</w:t>
      </w:r>
      <w:r>
        <w:rPr>
          <w:spacing w:val="-10"/>
          <w:sz w:val="24"/>
        </w:rPr>
        <w:t> </w:t>
      </w:r>
      <w:r>
        <w:rPr>
          <w:spacing w:val="-2"/>
          <w:sz w:val="24"/>
        </w:rPr>
        <w:t>regional</w:t>
      </w:r>
      <w:r>
        <w:rPr>
          <w:spacing w:val="-12"/>
          <w:sz w:val="24"/>
        </w:rPr>
        <w:t> </w:t>
      </w:r>
      <w:r>
        <w:rPr>
          <w:spacing w:val="-2"/>
          <w:sz w:val="24"/>
        </w:rPr>
        <w:t>value</w:t>
      </w:r>
      <w:r>
        <w:rPr>
          <w:spacing w:val="-12"/>
          <w:sz w:val="24"/>
        </w:rPr>
        <w:t> </w:t>
      </w:r>
      <w:r>
        <w:rPr>
          <w:spacing w:val="-2"/>
          <w:sz w:val="24"/>
        </w:rPr>
        <w:t>in</w:t>
      </w:r>
      <w:r>
        <w:rPr>
          <w:spacing w:val="-8"/>
          <w:sz w:val="24"/>
        </w:rPr>
        <w:t> </w:t>
      </w:r>
      <w:r>
        <w:rPr>
          <w:spacing w:val="-2"/>
          <w:sz w:val="24"/>
        </w:rPr>
        <w:t>the</w:t>
      </w:r>
      <w:r>
        <w:rPr>
          <w:spacing w:val="-12"/>
          <w:sz w:val="24"/>
        </w:rPr>
        <w:t> </w:t>
      </w:r>
      <w:r>
        <w:rPr>
          <w:spacing w:val="-2"/>
          <w:sz w:val="24"/>
        </w:rPr>
        <w:t>procurement strategies.</w:t>
      </w:r>
    </w:p>
    <w:p>
      <w:pPr>
        <w:pStyle w:val="BodyText"/>
        <w:spacing w:before="76"/>
        <w:rPr>
          <w:sz w:val="20"/>
        </w:rPr>
      </w:pPr>
      <w:r>
        <w:rPr>
          <w:sz w:val="20"/>
        </w:rPr>
        <mc:AlternateContent>
          <mc:Choice Requires="wps">
            <w:drawing>
              <wp:anchor distT="0" distB="0" distL="0" distR="0" allowOverlap="1" layoutInCell="1" locked="0" behindDoc="1" simplePos="0" relativeHeight="487682560">
                <wp:simplePos x="0" y="0"/>
                <wp:positionH relativeFrom="page">
                  <wp:posOffset>574992</wp:posOffset>
                </wp:positionH>
                <wp:positionV relativeFrom="paragraph">
                  <wp:posOffset>216337</wp:posOffset>
                </wp:positionV>
                <wp:extent cx="6642100" cy="193675"/>
                <wp:effectExtent l="0" t="0" r="0" b="0"/>
                <wp:wrapTopAndBottom/>
                <wp:docPr id="519" name="Textbox 519"/>
                <wp:cNvGraphicFramePr>
                  <a:graphicFrameLocks/>
                </wp:cNvGraphicFramePr>
                <a:graphic>
                  <a:graphicData uri="http://schemas.microsoft.com/office/word/2010/wordprocessingShape">
                    <wps:wsp>
                      <wps:cNvPr id="519" name="Textbox 519"/>
                      <wps:cNvSpPr txBox="1"/>
                      <wps:spPr>
                        <a:xfrm>
                          <a:off x="0" y="0"/>
                          <a:ext cx="66421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3.</w:t>
                            </w:r>
                            <w:r>
                              <w:rPr>
                                <w:b/>
                                <w:color w:val="000000"/>
                                <w:spacing w:val="61"/>
                                <w:sz w:val="24"/>
                              </w:rPr>
                              <w:t> </w:t>
                            </w:r>
                            <w:r>
                              <w:rPr>
                                <w:b/>
                                <w:color w:val="000000"/>
                                <w:spacing w:val="-2"/>
                                <w:sz w:val="24"/>
                              </w:rPr>
                              <w:t>Objectives</w:t>
                            </w:r>
                          </w:p>
                        </w:txbxContent>
                      </wps:txbx>
                      <wps:bodyPr wrap="square" lIns="0" tIns="0" rIns="0" bIns="0" rtlCol="0">
                        <a:noAutofit/>
                      </wps:bodyPr>
                    </wps:wsp>
                  </a:graphicData>
                </a:graphic>
              </wp:anchor>
            </w:drawing>
          </mc:Choice>
          <mc:Fallback>
            <w:pict>
              <v:shape style="position:absolute;margin-left:45.275002pt;margin-top:17.034452pt;width:523pt;height:15.25pt;mso-position-horizontal-relative:page;mso-position-vertical-relative:paragraph;z-index:-15633920;mso-wrap-distance-left:0;mso-wrap-distance-right:0" type="#_x0000_t202" id="docshape297" filled="true" fillcolor="#c1a875" stroked="true" strokeweight="1pt" strokecolor="#394871">
                <v:textbox inset="0,0,0,0">
                  <w:txbxContent>
                    <w:p>
                      <w:pPr>
                        <w:spacing w:before="0"/>
                        <w:ind w:left="95" w:right="0" w:firstLine="0"/>
                        <w:jc w:val="left"/>
                        <w:rPr>
                          <w:b/>
                          <w:color w:val="000000"/>
                          <w:sz w:val="24"/>
                        </w:rPr>
                      </w:pPr>
                      <w:r>
                        <w:rPr>
                          <w:b/>
                          <w:color w:val="000000"/>
                          <w:sz w:val="24"/>
                        </w:rPr>
                        <w:t>3.</w:t>
                      </w:r>
                      <w:r>
                        <w:rPr>
                          <w:b/>
                          <w:color w:val="000000"/>
                          <w:spacing w:val="61"/>
                          <w:sz w:val="24"/>
                        </w:rPr>
                        <w:t> </w:t>
                      </w:r>
                      <w:r>
                        <w:rPr>
                          <w:b/>
                          <w:color w:val="000000"/>
                          <w:spacing w:val="-2"/>
                          <w:sz w:val="24"/>
                        </w:rPr>
                        <w:t>Objectives</w:t>
                      </w:r>
                    </w:p>
                  </w:txbxContent>
                </v:textbox>
                <v:fill type="solid"/>
                <v:stroke dashstyle="solid"/>
                <w10:wrap type="topAndBottom"/>
              </v:shape>
            </w:pict>
          </mc:Fallback>
        </mc:AlternateContent>
      </w:r>
    </w:p>
    <w:p>
      <w:pPr>
        <w:pStyle w:val="BodyText"/>
        <w:spacing w:before="9"/>
      </w:pPr>
    </w:p>
    <w:p>
      <w:pPr>
        <w:pStyle w:val="BodyText"/>
        <w:ind w:left="142"/>
      </w:pPr>
      <w:r>
        <w:rPr>
          <w:spacing w:val="-2"/>
        </w:rPr>
        <w:t>The</w:t>
      </w:r>
      <w:r>
        <w:rPr>
          <w:spacing w:val="-14"/>
        </w:rPr>
        <w:t> </w:t>
      </w:r>
      <w:r>
        <w:rPr>
          <w:spacing w:val="-2"/>
        </w:rPr>
        <w:t>following</w:t>
      </w:r>
      <w:r>
        <w:rPr>
          <w:spacing w:val="-10"/>
        </w:rPr>
        <w:t> </w:t>
      </w:r>
      <w:r>
        <w:rPr>
          <w:spacing w:val="-2"/>
        </w:rPr>
        <w:t>objectives</w:t>
      </w:r>
      <w:r>
        <w:rPr>
          <w:spacing w:val="-11"/>
        </w:rPr>
        <w:t> </w:t>
      </w:r>
      <w:r>
        <w:rPr>
          <w:spacing w:val="-2"/>
        </w:rPr>
        <w:t>are</w:t>
      </w:r>
      <w:r>
        <w:rPr>
          <w:spacing w:val="-15"/>
        </w:rPr>
        <w:t> </w:t>
      </w:r>
      <w:r>
        <w:rPr>
          <w:spacing w:val="-2"/>
        </w:rPr>
        <w:t>within</w:t>
      </w:r>
      <w:r>
        <w:rPr>
          <w:spacing w:val="-6"/>
        </w:rPr>
        <w:t> </w:t>
      </w:r>
      <w:r>
        <w:rPr>
          <w:spacing w:val="-2"/>
        </w:rPr>
        <w:t>the</w:t>
      </w:r>
      <w:r>
        <w:rPr>
          <w:spacing w:val="-11"/>
        </w:rPr>
        <w:t> </w:t>
      </w:r>
      <w:r>
        <w:rPr>
          <w:spacing w:val="-2"/>
        </w:rPr>
        <w:t>scope</w:t>
      </w:r>
      <w:r>
        <w:rPr>
          <w:spacing w:val="-11"/>
        </w:rPr>
        <w:t> </w:t>
      </w:r>
      <w:r>
        <w:rPr>
          <w:spacing w:val="-2"/>
        </w:rPr>
        <w:t>of</w:t>
      </w:r>
      <w:r>
        <w:rPr>
          <w:spacing w:val="-9"/>
        </w:rPr>
        <w:t> </w:t>
      </w:r>
      <w:r>
        <w:rPr>
          <w:spacing w:val="-2"/>
        </w:rPr>
        <w:t>the</w:t>
      </w:r>
      <w:r>
        <w:rPr>
          <w:spacing w:val="-13"/>
        </w:rPr>
        <w:t> </w:t>
      </w:r>
      <w:r>
        <w:rPr>
          <w:spacing w:val="-2"/>
        </w:rPr>
        <w:t>RFCDDG:</w:t>
      </w:r>
    </w:p>
    <w:p>
      <w:pPr>
        <w:numPr>
          <w:ilvl w:val="1"/>
          <w:numId w:val="70"/>
        </w:numPr>
        <w:tabs>
          <w:tab w:pos="852" w:val="left" w:leader="none"/>
        </w:tabs>
        <w:spacing w:before="274"/>
        <w:ind w:left="852" w:right="0" w:hanging="710"/>
        <w:jc w:val="left"/>
        <w:rPr>
          <w:b/>
          <w:sz w:val="24"/>
        </w:rPr>
      </w:pPr>
      <w:r>
        <w:rPr>
          <w:b/>
          <w:spacing w:val="-2"/>
          <w:sz w:val="24"/>
        </w:rPr>
        <w:t>Finance</w:t>
      </w:r>
      <w:r>
        <w:rPr>
          <w:b/>
          <w:spacing w:val="-11"/>
          <w:sz w:val="24"/>
        </w:rPr>
        <w:t> </w:t>
      </w:r>
      <w:r>
        <w:rPr>
          <w:b/>
          <w:spacing w:val="-2"/>
          <w:sz w:val="24"/>
        </w:rPr>
        <w:t>&amp;</w:t>
      </w:r>
      <w:r>
        <w:rPr>
          <w:b/>
          <w:spacing w:val="-10"/>
          <w:sz w:val="24"/>
        </w:rPr>
        <w:t> </w:t>
      </w:r>
      <w:r>
        <w:rPr>
          <w:b/>
          <w:spacing w:val="-2"/>
          <w:sz w:val="24"/>
        </w:rPr>
        <w:t>Contracting</w:t>
      </w:r>
    </w:p>
    <w:p>
      <w:pPr>
        <w:pStyle w:val="BodyText"/>
        <w:spacing w:before="3"/>
        <w:rPr>
          <w:b/>
        </w:rPr>
      </w:pPr>
    </w:p>
    <w:p>
      <w:pPr>
        <w:pStyle w:val="ListParagraph"/>
        <w:numPr>
          <w:ilvl w:val="2"/>
          <w:numId w:val="70"/>
        </w:numPr>
        <w:tabs>
          <w:tab w:pos="1555" w:val="left" w:leader="none"/>
          <w:tab w:pos="1563" w:val="left" w:leader="none"/>
        </w:tabs>
        <w:spacing w:line="240" w:lineRule="auto" w:before="0" w:after="0"/>
        <w:ind w:left="1563" w:right="463" w:hanging="711"/>
        <w:jc w:val="left"/>
        <w:rPr>
          <w:sz w:val="24"/>
        </w:rPr>
      </w:pPr>
      <w:r>
        <w:rPr>
          <w:spacing w:val="-2"/>
          <w:sz w:val="24"/>
        </w:rPr>
        <w:t>Ensure</w:t>
      </w:r>
      <w:r>
        <w:rPr>
          <w:spacing w:val="-14"/>
          <w:sz w:val="24"/>
        </w:rPr>
        <w:t> </w:t>
      </w:r>
      <w:r>
        <w:rPr>
          <w:spacing w:val="-2"/>
          <w:sz w:val="24"/>
        </w:rPr>
        <w:t>work</w:t>
      </w:r>
      <w:r>
        <w:rPr>
          <w:spacing w:val="-15"/>
          <w:sz w:val="24"/>
        </w:rPr>
        <w:t> </w:t>
      </w:r>
      <w:r>
        <w:rPr>
          <w:spacing w:val="-2"/>
          <w:sz w:val="24"/>
        </w:rPr>
        <w:t>is</w:t>
      </w:r>
      <w:r>
        <w:rPr>
          <w:spacing w:val="-14"/>
          <w:sz w:val="24"/>
        </w:rPr>
        <w:t> </w:t>
      </w:r>
      <w:r>
        <w:rPr>
          <w:spacing w:val="-2"/>
          <w:sz w:val="24"/>
        </w:rPr>
        <w:t>progressed</w:t>
      </w:r>
      <w:r>
        <w:rPr>
          <w:spacing w:val="-14"/>
          <w:sz w:val="24"/>
        </w:rPr>
        <w:t> </w:t>
      </w:r>
      <w:r>
        <w:rPr>
          <w:spacing w:val="-2"/>
          <w:sz w:val="24"/>
        </w:rPr>
        <w:t>on</w:t>
      </w:r>
      <w:r>
        <w:rPr>
          <w:spacing w:val="-7"/>
          <w:sz w:val="24"/>
        </w:rPr>
        <w:t> </w:t>
      </w:r>
      <w:r>
        <w:rPr>
          <w:spacing w:val="-2"/>
          <w:sz w:val="24"/>
        </w:rPr>
        <w:t>the</w:t>
      </w:r>
      <w:r>
        <w:rPr>
          <w:spacing w:val="-14"/>
          <w:sz w:val="24"/>
        </w:rPr>
        <w:t> </w:t>
      </w:r>
      <w:r>
        <w:rPr>
          <w:spacing w:val="-2"/>
          <w:sz w:val="24"/>
        </w:rPr>
        <w:t>phased</w:t>
      </w:r>
      <w:r>
        <w:rPr>
          <w:spacing w:val="-9"/>
          <w:sz w:val="24"/>
        </w:rPr>
        <w:t> </w:t>
      </w:r>
      <w:r>
        <w:rPr>
          <w:spacing w:val="-2"/>
          <w:sz w:val="24"/>
        </w:rPr>
        <w:t>regional</w:t>
      </w:r>
      <w:r>
        <w:rPr>
          <w:spacing w:val="-14"/>
          <w:sz w:val="24"/>
        </w:rPr>
        <w:t> </w:t>
      </w:r>
      <w:r>
        <w:rPr>
          <w:spacing w:val="-2"/>
          <w:sz w:val="24"/>
        </w:rPr>
        <w:t>finance</w:t>
      </w:r>
      <w:r>
        <w:rPr>
          <w:spacing w:val="-14"/>
          <w:sz w:val="24"/>
        </w:rPr>
        <w:t> </w:t>
      </w:r>
      <w:r>
        <w:rPr>
          <w:spacing w:val="-2"/>
          <w:sz w:val="24"/>
        </w:rPr>
        <w:t>collaboration</w:t>
      </w:r>
      <w:r>
        <w:rPr>
          <w:spacing w:val="-14"/>
          <w:sz w:val="24"/>
        </w:rPr>
        <w:t> </w:t>
      </w:r>
      <w:r>
        <w:rPr>
          <w:spacing w:val="-2"/>
          <w:sz w:val="24"/>
        </w:rPr>
        <w:t>between</w:t>
      </w:r>
      <w:r>
        <w:rPr>
          <w:spacing w:val="-9"/>
          <w:sz w:val="24"/>
        </w:rPr>
        <w:t> </w:t>
      </w:r>
      <w:r>
        <w:rPr>
          <w:spacing w:val="-2"/>
          <w:sz w:val="24"/>
        </w:rPr>
        <w:t>the </w:t>
      </w:r>
      <w:r>
        <w:rPr>
          <w:sz w:val="24"/>
        </w:rPr>
        <w:t>two</w:t>
      </w:r>
      <w:r>
        <w:rPr>
          <w:spacing w:val="-12"/>
          <w:sz w:val="24"/>
        </w:rPr>
        <w:t> </w:t>
      </w:r>
      <w:r>
        <w:rPr>
          <w:sz w:val="24"/>
        </w:rPr>
        <w:t>Health</w:t>
      </w:r>
      <w:r>
        <w:rPr>
          <w:spacing w:val="-12"/>
          <w:sz w:val="24"/>
        </w:rPr>
        <w:t> </w:t>
      </w:r>
      <w:r>
        <w:rPr>
          <w:sz w:val="24"/>
        </w:rPr>
        <w:t>Boards,</w:t>
      </w:r>
      <w:r>
        <w:rPr>
          <w:spacing w:val="-14"/>
          <w:sz w:val="24"/>
        </w:rPr>
        <w:t> </w:t>
      </w:r>
      <w:r>
        <w:rPr>
          <w:sz w:val="24"/>
        </w:rPr>
        <w:t>with</w:t>
      </w:r>
      <w:r>
        <w:rPr>
          <w:spacing w:val="-7"/>
          <w:sz w:val="24"/>
        </w:rPr>
        <w:t> </w:t>
      </w:r>
      <w:r>
        <w:rPr>
          <w:sz w:val="24"/>
        </w:rPr>
        <w:t>transparent</w:t>
      </w:r>
      <w:r>
        <w:rPr>
          <w:spacing w:val="-8"/>
          <w:sz w:val="24"/>
        </w:rPr>
        <w:t> </w:t>
      </w:r>
      <w:r>
        <w:rPr>
          <w:sz w:val="24"/>
        </w:rPr>
        <w:t>reporting</w:t>
      </w:r>
      <w:r>
        <w:rPr>
          <w:spacing w:val="-12"/>
          <w:sz w:val="24"/>
        </w:rPr>
        <w:t> </w:t>
      </w:r>
      <w:r>
        <w:rPr>
          <w:sz w:val="24"/>
        </w:rPr>
        <w:t>of</w:t>
      </w:r>
      <w:r>
        <w:rPr>
          <w:spacing w:val="-14"/>
          <w:sz w:val="24"/>
        </w:rPr>
        <w:t> </w:t>
      </w:r>
      <w:r>
        <w:rPr>
          <w:sz w:val="24"/>
        </w:rPr>
        <w:t>the</w:t>
      </w:r>
      <w:r>
        <w:rPr>
          <w:spacing w:val="-16"/>
          <w:sz w:val="24"/>
        </w:rPr>
        <w:t> </w:t>
      </w:r>
      <w:r>
        <w:rPr>
          <w:sz w:val="24"/>
        </w:rPr>
        <w:t>utilisation</w:t>
      </w:r>
      <w:r>
        <w:rPr>
          <w:spacing w:val="-12"/>
          <w:sz w:val="24"/>
        </w:rPr>
        <w:t> </w:t>
      </w:r>
      <w:r>
        <w:rPr>
          <w:sz w:val="24"/>
        </w:rPr>
        <w:t>and</w:t>
      </w:r>
      <w:r>
        <w:rPr>
          <w:spacing w:val="-12"/>
          <w:sz w:val="24"/>
        </w:rPr>
        <w:t> </w:t>
      </w:r>
      <w:r>
        <w:rPr>
          <w:sz w:val="24"/>
        </w:rPr>
        <w:t>allocation</w:t>
      </w:r>
      <w:r>
        <w:rPr>
          <w:spacing w:val="-12"/>
          <w:sz w:val="24"/>
        </w:rPr>
        <w:t> </w:t>
      </w:r>
      <w:r>
        <w:rPr>
          <w:sz w:val="24"/>
        </w:rPr>
        <w:t>of resources,</w:t>
      </w:r>
      <w:r>
        <w:rPr>
          <w:spacing w:val="-16"/>
          <w:sz w:val="24"/>
        </w:rPr>
        <w:t> </w:t>
      </w:r>
      <w:r>
        <w:rPr>
          <w:sz w:val="24"/>
        </w:rPr>
        <w:t>cross-boundary</w:t>
      </w:r>
      <w:r>
        <w:rPr>
          <w:spacing w:val="-13"/>
          <w:sz w:val="24"/>
        </w:rPr>
        <w:t> </w:t>
      </w:r>
      <w:r>
        <w:rPr>
          <w:sz w:val="24"/>
        </w:rPr>
        <w:t>activity,</w:t>
      </w:r>
      <w:r>
        <w:rPr>
          <w:spacing w:val="-14"/>
          <w:sz w:val="24"/>
        </w:rPr>
        <w:t> </w:t>
      </w:r>
      <w:r>
        <w:rPr>
          <w:sz w:val="24"/>
        </w:rPr>
        <w:t>capital,</w:t>
      </w:r>
      <w:r>
        <w:rPr>
          <w:spacing w:val="-17"/>
          <w:sz w:val="24"/>
        </w:rPr>
        <w:t> </w:t>
      </w:r>
      <w:r>
        <w:rPr>
          <w:sz w:val="24"/>
        </w:rPr>
        <w:t>and</w:t>
      </w:r>
      <w:r>
        <w:rPr>
          <w:spacing w:val="-11"/>
          <w:sz w:val="24"/>
        </w:rPr>
        <w:t> </w:t>
      </w:r>
      <w:r>
        <w:rPr>
          <w:sz w:val="24"/>
        </w:rPr>
        <w:t>potential</w:t>
      </w:r>
      <w:r>
        <w:rPr>
          <w:spacing w:val="-12"/>
          <w:sz w:val="24"/>
        </w:rPr>
        <w:t> </w:t>
      </w:r>
      <w:r>
        <w:rPr>
          <w:sz w:val="24"/>
        </w:rPr>
        <w:t>sharing</w:t>
      </w:r>
      <w:r>
        <w:rPr>
          <w:spacing w:val="-12"/>
          <w:sz w:val="24"/>
        </w:rPr>
        <w:t> </w:t>
      </w:r>
      <w:r>
        <w:rPr>
          <w:sz w:val="24"/>
        </w:rPr>
        <w:t>of</w:t>
      </w:r>
      <w:r>
        <w:rPr>
          <w:spacing w:val="-14"/>
          <w:sz w:val="24"/>
        </w:rPr>
        <w:t> </w:t>
      </w:r>
      <w:r>
        <w:rPr>
          <w:sz w:val="24"/>
        </w:rPr>
        <w:t>services</w:t>
      </w:r>
      <w:r>
        <w:rPr>
          <w:spacing w:val="-14"/>
          <w:sz w:val="24"/>
        </w:rPr>
        <w:t> </w:t>
      </w:r>
      <w:r>
        <w:rPr>
          <w:sz w:val="24"/>
        </w:rPr>
        <w:t>and </w:t>
      </w:r>
      <w:r>
        <w:rPr>
          <w:spacing w:val="-2"/>
          <w:sz w:val="24"/>
        </w:rPr>
        <w:t>risks.</w:t>
      </w:r>
    </w:p>
    <w:p>
      <w:pPr>
        <w:pStyle w:val="BodyText"/>
        <w:rPr>
          <w:sz w:val="20"/>
        </w:rPr>
      </w:pPr>
    </w:p>
    <w:p>
      <w:pPr>
        <w:pStyle w:val="BodyText"/>
        <w:rPr>
          <w:sz w:val="20"/>
        </w:rPr>
      </w:pPr>
    </w:p>
    <w:p>
      <w:pPr>
        <w:pStyle w:val="BodyText"/>
        <w:spacing w:before="169"/>
        <w:rPr>
          <w:sz w:val="20"/>
        </w:rPr>
      </w:pPr>
    </w:p>
    <w:p>
      <w:pPr>
        <w:spacing w:before="0"/>
        <w:ind w:left="4" w:right="284" w:firstLine="0"/>
        <w:jc w:val="center"/>
        <w:rPr>
          <w:sz w:val="20"/>
        </w:rPr>
      </w:pPr>
      <w:r>
        <w:rPr>
          <w:spacing w:val="-10"/>
          <w:sz w:val="20"/>
        </w:rPr>
        <w:t>2</w:t>
      </w:r>
    </w:p>
    <w:p>
      <w:pPr>
        <w:spacing w:after="0"/>
        <w:jc w:val="center"/>
        <w:rPr>
          <w:sz w:val="20"/>
        </w:rPr>
        <w:sectPr>
          <w:pgSz w:w="11910" w:h="16840"/>
          <w:pgMar w:header="0" w:footer="149" w:top="1480" w:bottom="340" w:left="708" w:right="425"/>
        </w:sectPr>
      </w:pPr>
    </w:p>
    <w:p>
      <w:pPr>
        <w:pStyle w:val="ListParagraph"/>
        <w:numPr>
          <w:ilvl w:val="2"/>
          <w:numId w:val="70"/>
        </w:numPr>
        <w:tabs>
          <w:tab w:pos="1560" w:val="left" w:leader="none"/>
          <w:tab w:pos="1563" w:val="left" w:leader="none"/>
        </w:tabs>
        <w:spacing w:line="240" w:lineRule="auto" w:before="75" w:after="0"/>
        <w:ind w:left="1563" w:right="516" w:hanging="711"/>
        <w:jc w:val="left"/>
        <w:rPr>
          <w:sz w:val="24"/>
        </w:rPr>
      </w:pPr>
      <w:r>
        <w:rPr>
          <w:sz w:val="24"/>
        </w:rPr>
        <w:t>Ensure</w:t>
      </w:r>
      <w:r>
        <w:rPr>
          <w:spacing w:val="-4"/>
          <w:sz w:val="24"/>
        </w:rPr>
        <w:t> </w:t>
      </w:r>
      <w:r>
        <w:rPr>
          <w:sz w:val="24"/>
        </w:rPr>
        <w:t>support</w:t>
      </w:r>
      <w:r>
        <w:rPr>
          <w:spacing w:val="-12"/>
          <w:sz w:val="24"/>
        </w:rPr>
        <w:t> </w:t>
      </w:r>
      <w:r>
        <w:rPr>
          <w:sz w:val="24"/>
        </w:rPr>
        <w:t>is</w:t>
      </w:r>
      <w:r>
        <w:rPr>
          <w:spacing w:val="-10"/>
          <w:sz w:val="24"/>
        </w:rPr>
        <w:t> </w:t>
      </w:r>
      <w:r>
        <w:rPr>
          <w:sz w:val="24"/>
        </w:rPr>
        <w:t>in</w:t>
      </w:r>
      <w:r>
        <w:rPr>
          <w:spacing w:val="-9"/>
          <w:sz w:val="24"/>
        </w:rPr>
        <w:t> </w:t>
      </w:r>
      <w:r>
        <w:rPr>
          <w:sz w:val="24"/>
        </w:rPr>
        <w:t>place</w:t>
      </w:r>
      <w:r>
        <w:rPr>
          <w:spacing w:val="-9"/>
          <w:sz w:val="24"/>
        </w:rPr>
        <w:t> </w:t>
      </w:r>
      <w:r>
        <w:rPr>
          <w:sz w:val="24"/>
        </w:rPr>
        <w:t>for</w:t>
      </w:r>
      <w:r>
        <w:rPr>
          <w:spacing w:val="-10"/>
          <w:sz w:val="24"/>
        </w:rPr>
        <w:t> </w:t>
      </w:r>
      <w:r>
        <w:rPr>
          <w:sz w:val="24"/>
        </w:rPr>
        <w:t>Phase</w:t>
      </w:r>
      <w:r>
        <w:rPr>
          <w:spacing w:val="-14"/>
          <w:sz w:val="24"/>
        </w:rPr>
        <w:t> </w:t>
      </w:r>
      <w:r>
        <w:rPr>
          <w:sz w:val="24"/>
        </w:rPr>
        <w:t>1</w:t>
      </w:r>
      <w:r>
        <w:rPr>
          <w:spacing w:val="-9"/>
          <w:sz w:val="24"/>
        </w:rPr>
        <w:t> </w:t>
      </w:r>
      <w:r>
        <w:rPr>
          <w:sz w:val="24"/>
        </w:rPr>
        <w:t>of</w:t>
      </w:r>
      <w:r>
        <w:rPr>
          <w:spacing w:val="-12"/>
          <w:sz w:val="24"/>
        </w:rPr>
        <w:t> </w:t>
      </w:r>
      <w:r>
        <w:rPr>
          <w:sz w:val="24"/>
        </w:rPr>
        <w:t>the</w:t>
      </w:r>
      <w:r>
        <w:rPr>
          <w:spacing w:val="-9"/>
          <w:sz w:val="24"/>
        </w:rPr>
        <w:t> </w:t>
      </w:r>
      <w:r>
        <w:rPr>
          <w:sz w:val="24"/>
        </w:rPr>
        <w:t>shared</w:t>
      </w:r>
      <w:r>
        <w:rPr>
          <w:spacing w:val="-14"/>
          <w:sz w:val="24"/>
        </w:rPr>
        <w:t> </w:t>
      </w:r>
      <w:r>
        <w:rPr>
          <w:sz w:val="24"/>
        </w:rPr>
        <w:t>regional</w:t>
      </w:r>
      <w:r>
        <w:rPr>
          <w:spacing w:val="-9"/>
          <w:sz w:val="24"/>
        </w:rPr>
        <w:t> </w:t>
      </w:r>
      <w:r>
        <w:rPr>
          <w:sz w:val="24"/>
        </w:rPr>
        <w:t>operating</w:t>
      </w:r>
      <w:r>
        <w:rPr>
          <w:spacing w:val="-4"/>
          <w:sz w:val="24"/>
        </w:rPr>
        <w:t> </w:t>
      </w:r>
      <w:r>
        <w:rPr>
          <w:sz w:val="24"/>
        </w:rPr>
        <w:t>model, Discovery</w:t>
      </w:r>
      <w:r>
        <w:rPr>
          <w:spacing w:val="-14"/>
          <w:sz w:val="24"/>
        </w:rPr>
        <w:t> </w:t>
      </w:r>
      <w:r>
        <w:rPr>
          <w:sz w:val="24"/>
        </w:rPr>
        <w:t>and</w:t>
      </w:r>
      <w:r>
        <w:rPr>
          <w:spacing w:val="-11"/>
          <w:sz w:val="24"/>
        </w:rPr>
        <w:t> </w:t>
      </w:r>
      <w:r>
        <w:rPr>
          <w:sz w:val="24"/>
        </w:rPr>
        <w:t>Design,</w:t>
      </w:r>
      <w:r>
        <w:rPr>
          <w:spacing w:val="-17"/>
          <w:sz w:val="24"/>
        </w:rPr>
        <w:t> </w:t>
      </w:r>
      <w:r>
        <w:rPr>
          <w:sz w:val="24"/>
        </w:rPr>
        <w:t>baselines</w:t>
      </w:r>
      <w:r>
        <w:rPr>
          <w:spacing w:val="-12"/>
          <w:sz w:val="24"/>
        </w:rPr>
        <w:t> </w:t>
      </w:r>
      <w:r>
        <w:rPr>
          <w:sz w:val="24"/>
        </w:rPr>
        <w:t>current</w:t>
      </w:r>
      <w:r>
        <w:rPr>
          <w:spacing w:val="-14"/>
          <w:sz w:val="24"/>
        </w:rPr>
        <w:t> </w:t>
      </w:r>
      <w:r>
        <w:rPr>
          <w:sz w:val="24"/>
        </w:rPr>
        <w:t>processes</w:t>
      </w:r>
      <w:r>
        <w:rPr>
          <w:spacing w:val="-17"/>
          <w:sz w:val="24"/>
        </w:rPr>
        <w:t> </w:t>
      </w:r>
      <w:r>
        <w:rPr>
          <w:sz w:val="24"/>
        </w:rPr>
        <w:t>across</w:t>
      </w:r>
      <w:r>
        <w:rPr>
          <w:spacing w:val="-12"/>
          <w:sz w:val="24"/>
        </w:rPr>
        <w:t> </w:t>
      </w:r>
      <w:r>
        <w:rPr>
          <w:sz w:val="24"/>
        </w:rPr>
        <w:t>both</w:t>
      </w:r>
      <w:r>
        <w:rPr>
          <w:spacing w:val="-11"/>
          <w:sz w:val="24"/>
        </w:rPr>
        <w:t> </w:t>
      </w:r>
      <w:r>
        <w:rPr>
          <w:sz w:val="24"/>
        </w:rPr>
        <w:t>organisations, </w:t>
      </w:r>
      <w:r>
        <w:rPr>
          <w:spacing w:val="-2"/>
          <w:sz w:val="24"/>
        </w:rPr>
        <w:t>defining</w:t>
      </w:r>
      <w:r>
        <w:rPr>
          <w:spacing w:val="-10"/>
          <w:sz w:val="24"/>
        </w:rPr>
        <w:t> </w:t>
      </w:r>
      <w:r>
        <w:rPr>
          <w:spacing w:val="-2"/>
          <w:sz w:val="24"/>
        </w:rPr>
        <w:t>where</w:t>
      </w:r>
      <w:r>
        <w:rPr>
          <w:spacing w:val="-11"/>
          <w:sz w:val="24"/>
        </w:rPr>
        <w:t> </w:t>
      </w:r>
      <w:r>
        <w:rPr>
          <w:spacing w:val="-2"/>
          <w:sz w:val="24"/>
        </w:rPr>
        <w:t>a</w:t>
      </w:r>
      <w:r>
        <w:rPr>
          <w:spacing w:val="-15"/>
          <w:sz w:val="24"/>
        </w:rPr>
        <w:t> </w:t>
      </w:r>
      <w:r>
        <w:rPr>
          <w:spacing w:val="-2"/>
          <w:sz w:val="24"/>
        </w:rPr>
        <w:t>once</w:t>
      </w:r>
      <w:r>
        <w:rPr>
          <w:spacing w:val="-6"/>
          <w:sz w:val="24"/>
        </w:rPr>
        <w:t> </w:t>
      </w:r>
      <w:r>
        <w:rPr>
          <w:spacing w:val="-2"/>
          <w:sz w:val="24"/>
        </w:rPr>
        <w:t>for</w:t>
      </w:r>
      <w:r>
        <w:rPr>
          <w:spacing w:val="-12"/>
          <w:sz w:val="24"/>
        </w:rPr>
        <w:t> </w:t>
      </w:r>
      <w:r>
        <w:rPr>
          <w:spacing w:val="-2"/>
          <w:sz w:val="24"/>
        </w:rPr>
        <w:t>region</w:t>
      </w:r>
      <w:r>
        <w:rPr>
          <w:spacing w:val="-15"/>
          <w:sz w:val="24"/>
        </w:rPr>
        <w:t> </w:t>
      </w:r>
      <w:r>
        <w:rPr>
          <w:spacing w:val="-2"/>
          <w:sz w:val="24"/>
        </w:rPr>
        <w:t>approach</w:t>
      </w:r>
      <w:r>
        <w:rPr>
          <w:spacing w:val="-10"/>
          <w:sz w:val="24"/>
        </w:rPr>
        <w:t> </w:t>
      </w:r>
      <w:r>
        <w:rPr>
          <w:spacing w:val="-2"/>
          <w:sz w:val="24"/>
        </w:rPr>
        <w:t>adds</w:t>
      </w:r>
      <w:r>
        <w:rPr>
          <w:spacing w:val="-7"/>
          <w:sz w:val="24"/>
        </w:rPr>
        <w:t> </w:t>
      </w:r>
      <w:r>
        <w:rPr>
          <w:spacing w:val="-2"/>
          <w:sz w:val="24"/>
        </w:rPr>
        <w:t>value</w:t>
      </w:r>
      <w:r>
        <w:rPr>
          <w:spacing w:val="-9"/>
          <w:sz w:val="24"/>
        </w:rPr>
        <w:t> </w:t>
      </w:r>
      <w:r>
        <w:rPr>
          <w:spacing w:val="-2"/>
          <w:sz w:val="24"/>
        </w:rPr>
        <w:t>before</w:t>
      </w:r>
      <w:r>
        <w:rPr>
          <w:spacing w:val="-11"/>
          <w:sz w:val="24"/>
        </w:rPr>
        <w:t> </w:t>
      </w:r>
      <w:r>
        <w:rPr>
          <w:spacing w:val="-2"/>
          <w:sz w:val="24"/>
        </w:rPr>
        <w:t>moving</w:t>
      </w:r>
      <w:r>
        <w:rPr>
          <w:spacing w:val="-11"/>
          <w:sz w:val="24"/>
        </w:rPr>
        <w:t> </w:t>
      </w:r>
      <w:r>
        <w:rPr>
          <w:spacing w:val="-2"/>
          <w:sz w:val="24"/>
        </w:rPr>
        <w:t>on</w:t>
      </w:r>
      <w:r>
        <w:rPr>
          <w:spacing w:val="-11"/>
          <w:sz w:val="24"/>
        </w:rPr>
        <w:t> </w:t>
      </w:r>
      <w:r>
        <w:rPr>
          <w:spacing w:val="-2"/>
          <w:sz w:val="24"/>
        </w:rPr>
        <w:t>to</w:t>
      </w:r>
      <w:r>
        <w:rPr>
          <w:spacing w:val="-4"/>
          <w:sz w:val="24"/>
        </w:rPr>
        <w:t> </w:t>
      </w:r>
      <w:r>
        <w:rPr>
          <w:spacing w:val="-2"/>
          <w:sz w:val="24"/>
        </w:rPr>
        <w:t>Phase</w:t>
      </w:r>
      <w:r>
        <w:rPr>
          <w:spacing w:val="-11"/>
          <w:sz w:val="24"/>
        </w:rPr>
        <w:t> </w:t>
      </w:r>
      <w:r>
        <w:rPr>
          <w:spacing w:val="-2"/>
          <w:sz w:val="24"/>
        </w:rPr>
        <w:t>2, </w:t>
      </w:r>
      <w:r>
        <w:rPr>
          <w:sz w:val="24"/>
        </w:rPr>
        <w:t>Develop and Deploy.</w:t>
      </w:r>
    </w:p>
    <w:p>
      <w:pPr>
        <w:pStyle w:val="BodyText"/>
        <w:spacing w:before="1"/>
      </w:pPr>
    </w:p>
    <w:p>
      <w:pPr>
        <w:pStyle w:val="ListParagraph"/>
        <w:numPr>
          <w:ilvl w:val="2"/>
          <w:numId w:val="70"/>
        </w:numPr>
        <w:tabs>
          <w:tab w:pos="1559" w:val="left" w:leader="none"/>
          <w:tab w:pos="1563" w:val="left" w:leader="none"/>
        </w:tabs>
        <w:spacing w:line="240" w:lineRule="auto" w:before="0" w:after="0"/>
        <w:ind w:left="1563" w:right="613" w:hanging="711"/>
        <w:jc w:val="left"/>
        <w:rPr>
          <w:sz w:val="24"/>
        </w:rPr>
      </w:pPr>
      <w:r>
        <w:rPr>
          <w:sz w:val="24"/>
        </w:rPr>
        <w:t>Oversee</w:t>
      </w:r>
      <w:r>
        <w:rPr>
          <w:spacing w:val="-8"/>
          <w:sz w:val="24"/>
        </w:rPr>
        <w:t> </w:t>
      </w:r>
      <w:r>
        <w:rPr>
          <w:sz w:val="24"/>
        </w:rPr>
        <w:t>the</w:t>
      </w:r>
      <w:r>
        <w:rPr>
          <w:spacing w:val="-13"/>
          <w:sz w:val="24"/>
        </w:rPr>
        <w:t> </w:t>
      </w:r>
      <w:r>
        <w:rPr>
          <w:sz w:val="24"/>
        </w:rPr>
        <w:t>development</w:t>
      </w:r>
      <w:r>
        <w:rPr>
          <w:spacing w:val="-16"/>
          <w:sz w:val="24"/>
        </w:rPr>
        <w:t> </w:t>
      </w:r>
      <w:r>
        <w:rPr>
          <w:sz w:val="24"/>
        </w:rPr>
        <w:t>and</w:t>
      </w:r>
      <w:r>
        <w:rPr>
          <w:spacing w:val="-13"/>
          <w:sz w:val="24"/>
        </w:rPr>
        <w:t> </w:t>
      </w:r>
      <w:r>
        <w:rPr>
          <w:sz w:val="24"/>
        </w:rPr>
        <w:t>operation</w:t>
      </w:r>
      <w:r>
        <w:rPr>
          <w:spacing w:val="-13"/>
          <w:sz w:val="24"/>
        </w:rPr>
        <w:t> </w:t>
      </w:r>
      <w:r>
        <w:rPr>
          <w:sz w:val="24"/>
        </w:rPr>
        <w:t>of</w:t>
      </w:r>
      <w:r>
        <w:rPr>
          <w:spacing w:val="-16"/>
          <w:sz w:val="24"/>
        </w:rPr>
        <w:t> </w:t>
      </w:r>
      <w:r>
        <w:rPr>
          <w:sz w:val="24"/>
        </w:rPr>
        <w:t>joint</w:t>
      </w:r>
      <w:r>
        <w:rPr>
          <w:spacing w:val="-16"/>
          <w:sz w:val="24"/>
        </w:rPr>
        <w:t> </w:t>
      </w:r>
      <w:r>
        <w:rPr>
          <w:sz w:val="24"/>
        </w:rPr>
        <w:t>commissioning</w:t>
      </w:r>
      <w:r>
        <w:rPr>
          <w:spacing w:val="-13"/>
          <w:sz w:val="24"/>
        </w:rPr>
        <w:t> </w:t>
      </w:r>
      <w:r>
        <w:rPr>
          <w:sz w:val="24"/>
        </w:rPr>
        <w:t>arrangements, including</w:t>
      </w:r>
      <w:r>
        <w:rPr>
          <w:spacing w:val="-7"/>
          <w:sz w:val="24"/>
        </w:rPr>
        <w:t> </w:t>
      </w:r>
      <w:r>
        <w:rPr>
          <w:sz w:val="24"/>
        </w:rPr>
        <w:t>the</w:t>
      </w:r>
      <w:r>
        <w:rPr>
          <w:spacing w:val="-12"/>
          <w:sz w:val="24"/>
        </w:rPr>
        <w:t> </w:t>
      </w:r>
      <w:r>
        <w:rPr>
          <w:sz w:val="24"/>
        </w:rPr>
        <w:t>Long</w:t>
      </w:r>
      <w:r>
        <w:rPr>
          <w:spacing w:val="-12"/>
          <w:sz w:val="24"/>
        </w:rPr>
        <w:t> </w:t>
      </w:r>
      <w:r>
        <w:rPr>
          <w:sz w:val="24"/>
        </w:rPr>
        <w:t>Term</w:t>
      </w:r>
      <w:r>
        <w:rPr>
          <w:spacing w:val="-12"/>
          <w:sz w:val="24"/>
        </w:rPr>
        <w:t> </w:t>
      </w:r>
      <w:r>
        <w:rPr>
          <w:sz w:val="24"/>
        </w:rPr>
        <w:t>Agreements</w:t>
      </w:r>
      <w:r>
        <w:rPr>
          <w:spacing w:val="-13"/>
          <w:sz w:val="24"/>
        </w:rPr>
        <w:t> </w:t>
      </w:r>
      <w:r>
        <w:rPr>
          <w:sz w:val="24"/>
        </w:rPr>
        <w:t>and</w:t>
      </w:r>
      <w:r>
        <w:rPr>
          <w:spacing w:val="-12"/>
          <w:sz w:val="24"/>
        </w:rPr>
        <w:t> </w:t>
      </w:r>
      <w:r>
        <w:rPr>
          <w:sz w:val="24"/>
        </w:rPr>
        <w:t>Service</w:t>
      </w:r>
      <w:r>
        <w:rPr>
          <w:spacing w:val="-16"/>
          <w:sz w:val="24"/>
        </w:rPr>
        <w:t> </w:t>
      </w:r>
      <w:r>
        <w:rPr>
          <w:sz w:val="24"/>
        </w:rPr>
        <w:t>Level</w:t>
      </w:r>
      <w:r>
        <w:rPr>
          <w:spacing w:val="-12"/>
          <w:sz w:val="24"/>
        </w:rPr>
        <w:t> </w:t>
      </w:r>
      <w:r>
        <w:rPr>
          <w:sz w:val="24"/>
        </w:rPr>
        <w:t>Agreements</w:t>
      </w:r>
      <w:r>
        <w:rPr>
          <w:spacing w:val="-13"/>
          <w:sz w:val="24"/>
        </w:rPr>
        <w:t> </w:t>
      </w:r>
      <w:r>
        <w:rPr>
          <w:sz w:val="24"/>
        </w:rPr>
        <w:t>governing </w:t>
      </w:r>
      <w:r>
        <w:rPr>
          <w:spacing w:val="-2"/>
          <w:sz w:val="24"/>
        </w:rPr>
        <w:t>cross-boundary</w:t>
      </w:r>
      <w:r>
        <w:rPr>
          <w:spacing w:val="-15"/>
          <w:sz w:val="24"/>
        </w:rPr>
        <w:t> </w:t>
      </w:r>
      <w:r>
        <w:rPr>
          <w:spacing w:val="-2"/>
          <w:sz w:val="24"/>
        </w:rPr>
        <w:t>services,</w:t>
      </w:r>
      <w:r>
        <w:rPr>
          <w:spacing w:val="-15"/>
          <w:sz w:val="24"/>
        </w:rPr>
        <w:t> </w:t>
      </w:r>
      <w:r>
        <w:rPr>
          <w:spacing w:val="-2"/>
          <w:sz w:val="24"/>
        </w:rPr>
        <w:t>in</w:t>
      </w:r>
      <w:r>
        <w:rPr>
          <w:spacing w:val="-14"/>
          <w:sz w:val="24"/>
        </w:rPr>
        <w:t> </w:t>
      </w:r>
      <w:r>
        <w:rPr>
          <w:spacing w:val="-2"/>
          <w:sz w:val="24"/>
        </w:rPr>
        <w:t>order</w:t>
      </w:r>
      <w:r>
        <w:rPr>
          <w:spacing w:val="-15"/>
          <w:sz w:val="24"/>
        </w:rPr>
        <w:t> </w:t>
      </w:r>
      <w:r>
        <w:rPr>
          <w:spacing w:val="-2"/>
          <w:sz w:val="24"/>
        </w:rPr>
        <w:t>that</w:t>
      </w:r>
      <w:r>
        <w:rPr>
          <w:spacing w:val="-14"/>
          <w:sz w:val="24"/>
        </w:rPr>
        <w:t> </w:t>
      </w:r>
      <w:r>
        <w:rPr>
          <w:spacing w:val="-2"/>
          <w:sz w:val="24"/>
        </w:rPr>
        <w:t>contracting</w:t>
      </w:r>
      <w:r>
        <w:rPr>
          <w:spacing w:val="-14"/>
          <w:sz w:val="24"/>
        </w:rPr>
        <w:t> </w:t>
      </w:r>
      <w:r>
        <w:rPr>
          <w:spacing w:val="-2"/>
          <w:sz w:val="24"/>
        </w:rPr>
        <w:t>reflects</w:t>
      </w:r>
      <w:r>
        <w:rPr>
          <w:spacing w:val="-15"/>
          <w:sz w:val="24"/>
        </w:rPr>
        <w:t> </w:t>
      </w:r>
      <w:r>
        <w:rPr>
          <w:spacing w:val="-2"/>
          <w:sz w:val="24"/>
        </w:rPr>
        <w:t>regional</w:t>
      </w:r>
      <w:r>
        <w:rPr>
          <w:spacing w:val="-14"/>
          <w:sz w:val="24"/>
        </w:rPr>
        <w:t> </w:t>
      </w:r>
      <w:r>
        <w:rPr>
          <w:spacing w:val="-2"/>
          <w:sz w:val="24"/>
        </w:rPr>
        <w:t>priorities</w:t>
      </w:r>
      <w:r>
        <w:rPr>
          <w:spacing w:val="-15"/>
          <w:sz w:val="24"/>
        </w:rPr>
        <w:t> </w:t>
      </w:r>
      <w:r>
        <w:rPr>
          <w:spacing w:val="-2"/>
          <w:sz w:val="24"/>
        </w:rPr>
        <w:t>and</w:t>
      </w:r>
      <w:r>
        <w:rPr>
          <w:spacing w:val="-13"/>
          <w:sz w:val="24"/>
        </w:rPr>
        <w:t> </w:t>
      </w:r>
      <w:r>
        <w:rPr>
          <w:spacing w:val="-2"/>
          <w:sz w:val="24"/>
        </w:rPr>
        <w:t>the </w:t>
      </w:r>
      <w:r>
        <w:rPr>
          <w:sz w:val="24"/>
        </w:rPr>
        <w:t>work of the Joint Commissioning Committee.</w:t>
      </w:r>
    </w:p>
    <w:p>
      <w:pPr>
        <w:pStyle w:val="BodyText"/>
      </w:pPr>
    </w:p>
    <w:p>
      <w:pPr>
        <w:pStyle w:val="ListParagraph"/>
        <w:numPr>
          <w:ilvl w:val="2"/>
          <w:numId w:val="70"/>
        </w:numPr>
        <w:tabs>
          <w:tab w:pos="1560" w:val="left" w:leader="none"/>
          <w:tab w:pos="1563" w:val="left" w:leader="none"/>
        </w:tabs>
        <w:spacing w:line="242" w:lineRule="auto" w:before="0" w:after="0"/>
        <w:ind w:left="1563" w:right="826" w:hanging="711"/>
        <w:jc w:val="left"/>
        <w:rPr>
          <w:sz w:val="24"/>
        </w:rPr>
      </w:pPr>
      <w:r>
        <w:rPr>
          <w:sz w:val="24"/>
        </w:rPr>
        <w:t>Ensure</w:t>
      </w:r>
      <w:r>
        <w:rPr>
          <w:spacing w:val="-10"/>
          <w:sz w:val="24"/>
        </w:rPr>
        <w:t> </w:t>
      </w:r>
      <w:r>
        <w:rPr>
          <w:sz w:val="24"/>
        </w:rPr>
        <w:t>long</w:t>
      </w:r>
      <w:r>
        <w:rPr>
          <w:spacing w:val="-11"/>
          <w:sz w:val="24"/>
        </w:rPr>
        <w:t> </w:t>
      </w:r>
      <w:r>
        <w:rPr>
          <w:sz w:val="24"/>
        </w:rPr>
        <w:t>term</w:t>
      </w:r>
      <w:r>
        <w:rPr>
          <w:spacing w:val="-12"/>
          <w:sz w:val="24"/>
        </w:rPr>
        <w:t> </w:t>
      </w:r>
      <w:r>
        <w:rPr>
          <w:sz w:val="24"/>
        </w:rPr>
        <w:t>agreements</w:t>
      </w:r>
      <w:r>
        <w:rPr>
          <w:spacing w:val="-11"/>
          <w:sz w:val="24"/>
        </w:rPr>
        <w:t> </w:t>
      </w:r>
      <w:r>
        <w:rPr>
          <w:sz w:val="24"/>
        </w:rPr>
        <w:t>are</w:t>
      </w:r>
      <w:r>
        <w:rPr>
          <w:spacing w:val="-6"/>
          <w:sz w:val="24"/>
        </w:rPr>
        <w:t> </w:t>
      </w:r>
      <w:r>
        <w:rPr>
          <w:sz w:val="24"/>
        </w:rPr>
        <w:t>moved</w:t>
      </w:r>
      <w:r>
        <w:rPr>
          <w:spacing w:val="-5"/>
          <w:sz w:val="24"/>
        </w:rPr>
        <w:t> </w:t>
      </w:r>
      <w:r>
        <w:rPr>
          <w:sz w:val="24"/>
        </w:rPr>
        <w:t>towards</w:t>
      </w:r>
      <w:r>
        <w:rPr>
          <w:spacing w:val="-16"/>
          <w:sz w:val="24"/>
        </w:rPr>
        <w:t> </w:t>
      </w:r>
      <w:r>
        <w:rPr>
          <w:sz w:val="24"/>
        </w:rPr>
        <w:t>a</w:t>
      </w:r>
      <w:r>
        <w:rPr>
          <w:spacing w:val="-11"/>
          <w:sz w:val="24"/>
        </w:rPr>
        <w:t> </w:t>
      </w:r>
      <w:r>
        <w:rPr>
          <w:sz w:val="24"/>
        </w:rPr>
        <w:t>value-based</w:t>
      </w:r>
      <w:r>
        <w:rPr>
          <w:spacing w:val="-11"/>
          <w:sz w:val="24"/>
        </w:rPr>
        <w:t> </w:t>
      </w:r>
      <w:r>
        <w:rPr>
          <w:sz w:val="24"/>
        </w:rPr>
        <w:t>healthcare </w:t>
      </w:r>
      <w:r>
        <w:rPr>
          <w:spacing w:val="-2"/>
          <w:sz w:val="24"/>
        </w:rPr>
        <w:t>approach</w:t>
      </w:r>
      <w:r>
        <w:rPr>
          <w:spacing w:val="-12"/>
          <w:sz w:val="24"/>
        </w:rPr>
        <w:t> </w:t>
      </w:r>
      <w:r>
        <w:rPr>
          <w:spacing w:val="-2"/>
          <w:sz w:val="24"/>
        </w:rPr>
        <w:t>with</w:t>
      </w:r>
      <w:r>
        <w:rPr>
          <w:spacing w:val="-13"/>
          <w:sz w:val="24"/>
        </w:rPr>
        <w:t> </w:t>
      </w:r>
      <w:r>
        <w:rPr>
          <w:spacing w:val="-2"/>
          <w:sz w:val="24"/>
        </w:rPr>
        <w:t>proposals</w:t>
      </w:r>
      <w:r>
        <w:rPr>
          <w:spacing w:val="-14"/>
          <w:sz w:val="24"/>
        </w:rPr>
        <w:t> </w:t>
      </w:r>
      <w:r>
        <w:rPr>
          <w:spacing w:val="-2"/>
          <w:sz w:val="24"/>
        </w:rPr>
        <w:t>to</w:t>
      </w:r>
      <w:r>
        <w:rPr>
          <w:spacing w:val="-13"/>
          <w:sz w:val="24"/>
        </w:rPr>
        <w:t> </w:t>
      </w:r>
      <w:r>
        <w:rPr>
          <w:spacing w:val="-2"/>
          <w:sz w:val="24"/>
        </w:rPr>
        <w:t>be</w:t>
      </w:r>
      <w:r>
        <w:rPr>
          <w:spacing w:val="-13"/>
          <w:sz w:val="24"/>
        </w:rPr>
        <w:t> </w:t>
      </w:r>
      <w:r>
        <w:rPr>
          <w:spacing w:val="-2"/>
          <w:sz w:val="24"/>
        </w:rPr>
        <w:t>progressed</w:t>
      </w:r>
      <w:r>
        <w:rPr>
          <w:spacing w:val="-13"/>
          <w:sz w:val="24"/>
        </w:rPr>
        <w:t> </w:t>
      </w:r>
      <w:r>
        <w:rPr>
          <w:spacing w:val="-2"/>
          <w:sz w:val="24"/>
        </w:rPr>
        <w:t>for</w:t>
      </w:r>
      <w:r>
        <w:rPr>
          <w:spacing w:val="-14"/>
          <w:sz w:val="24"/>
        </w:rPr>
        <w:t> </w:t>
      </w:r>
      <w:r>
        <w:rPr>
          <w:spacing w:val="-2"/>
          <w:sz w:val="24"/>
        </w:rPr>
        <w:t>consideration</w:t>
      </w:r>
      <w:r>
        <w:rPr>
          <w:spacing w:val="-13"/>
          <w:sz w:val="24"/>
        </w:rPr>
        <w:t> </w:t>
      </w:r>
      <w:r>
        <w:rPr>
          <w:spacing w:val="-2"/>
          <w:sz w:val="24"/>
        </w:rPr>
        <w:t>by</w:t>
      </w:r>
      <w:r>
        <w:rPr>
          <w:spacing w:val="-9"/>
          <w:sz w:val="24"/>
        </w:rPr>
        <w:t> </w:t>
      </w:r>
      <w:r>
        <w:rPr>
          <w:spacing w:val="-2"/>
          <w:sz w:val="24"/>
        </w:rPr>
        <w:t>the</w:t>
      </w:r>
      <w:r>
        <w:rPr>
          <w:spacing w:val="-13"/>
          <w:sz w:val="24"/>
        </w:rPr>
        <w:t> </w:t>
      </w:r>
      <w:r>
        <w:rPr>
          <w:spacing w:val="-2"/>
          <w:sz w:val="24"/>
        </w:rPr>
        <w:t>Regional</w:t>
      </w:r>
      <w:r>
        <w:rPr>
          <w:spacing w:val="-13"/>
          <w:sz w:val="24"/>
        </w:rPr>
        <w:t> </w:t>
      </w:r>
      <w:r>
        <w:rPr>
          <w:spacing w:val="-2"/>
          <w:sz w:val="24"/>
        </w:rPr>
        <w:t>Joint Committee.</w:t>
      </w:r>
    </w:p>
    <w:p>
      <w:pPr>
        <w:pStyle w:val="ListParagraph"/>
        <w:numPr>
          <w:ilvl w:val="2"/>
          <w:numId w:val="70"/>
        </w:numPr>
        <w:tabs>
          <w:tab w:pos="1554" w:val="left" w:leader="none"/>
          <w:tab w:pos="1563" w:val="left" w:leader="none"/>
        </w:tabs>
        <w:spacing w:line="240" w:lineRule="auto" w:before="269" w:after="0"/>
        <w:ind w:left="1563" w:right="902" w:hanging="711"/>
        <w:jc w:val="left"/>
        <w:rPr>
          <w:sz w:val="24"/>
        </w:rPr>
      </w:pPr>
      <w:r>
        <w:rPr>
          <w:spacing w:val="-2"/>
          <w:sz w:val="24"/>
        </w:rPr>
        <w:t>Systematically</w:t>
      </w:r>
      <w:r>
        <w:rPr>
          <w:spacing w:val="-15"/>
          <w:sz w:val="24"/>
        </w:rPr>
        <w:t> </w:t>
      </w:r>
      <w:r>
        <w:rPr>
          <w:spacing w:val="-2"/>
          <w:sz w:val="24"/>
        </w:rPr>
        <w:t>identify</w:t>
      </w:r>
      <w:r>
        <w:rPr>
          <w:spacing w:val="-15"/>
          <w:sz w:val="24"/>
        </w:rPr>
        <w:t> </w:t>
      </w:r>
      <w:r>
        <w:rPr>
          <w:spacing w:val="-2"/>
          <w:sz w:val="24"/>
        </w:rPr>
        <w:t>and</w:t>
      </w:r>
      <w:r>
        <w:rPr>
          <w:spacing w:val="-10"/>
          <w:sz w:val="24"/>
        </w:rPr>
        <w:t> </w:t>
      </w:r>
      <w:r>
        <w:rPr>
          <w:spacing w:val="-2"/>
          <w:sz w:val="24"/>
        </w:rPr>
        <w:t>track</w:t>
      </w:r>
      <w:r>
        <w:rPr>
          <w:spacing w:val="-12"/>
          <w:sz w:val="24"/>
        </w:rPr>
        <w:t> </w:t>
      </w:r>
      <w:r>
        <w:rPr>
          <w:spacing w:val="-2"/>
          <w:sz w:val="24"/>
        </w:rPr>
        <w:t>opportunities</w:t>
      </w:r>
      <w:r>
        <w:rPr>
          <w:spacing w:val="-10"/>
          <w:sz w:val="24"/>
        </w:rPr>
        <w:t> </w:t>
      </w:r>
      <w:r>
        <w:rPr>
          <w:spacing w:val="-2"/>
          <w:sz w:val="24"/>
        </w:rPr>
        <w:t>for</w:t>
      </w:r>
      <w:r>
        <w:rPr>
          <w:spacing w:val="-14"/>
          <w:sz w:val="24"/>
        </w:rPr>
        <w:t> </w:t>
      </w:r>
      <w:r>
        <w:rPr>
          <w:spacing w:val="-2"/>
          <w:sz w:val="24"/>
        </w:rPr>
        <w:t>value</w:t>
      </w:r>
      <w:r>
        <w:rPr>
          <w:spacing w:val="-13"/>
          <w:sz w:val="24"/>
        </w:rPr>
        <w:t> </w:t>
      </w:r>
      <w:r>
        <w:rPr>
          <w:spacing w:val="-2"/>
          <w:sz w:val="24"/>
        </w:rPr>
        <w:t>and</w:t>
      </w:r>
      <w:r>
        <w:rPr>
          <w:spacing w:val="-13"/>
          <w:sz w:val="24"/>
        </w:rPr>
        <w:t> </w:t>
      </w:r>
      <w:r>
        <w:rPr>
          <w:spacing w:val="-2"/>
          <w:sz w:val="24"/>
        </w:rPr>
        <w:t>efficiency</w:t>
      </w:r>
      <w:r>
        <w:rPr>
          <w:spacing w:val="-15"/>
          <w:sz w:val="24"/>
        </w:rPr>
        <w:t> </w:t>
      </w:r>
      <w:r>
        <w:rPr>
          <w:spacing w:val="-2"/>
          <w:sz w:val="24"/>
        </w:rPr>
        <w:t>across</w:t>
      </w:r>
      <w:r>
        <w:rPr>
          <w:spacing w:val="-9"/>
          <w:sz w:val="24"/>
        </w:rPr>
        <w:t> </w:t>
      </w:r>
      <w:r>
        <w:rPr>
          <w:spacing w:val="-2"/>
          <w:sz w:val="24"/>
        </w:rPr>
        <w:t>the </w:t>
      </w:r>
      <w:r>
        <w:rPr>
          <w:sz w:val="24"/>
        </w:rPr>
        <w:t>regional</w:t>
      </w:r>
      <w:r>
        <w:rPr>
          <w:spacing w:val="-9"/>
          <w:sz w:val="24"/>
        </w:rPr>
        <w:t> </w:t>
      </w:r>
      <w:r>
        <w:rPr>
          <w:sz w:val="24"/>
        </w:rPr>
        <w:t>health</w:t>
      </w:r>
      <w:r>
        <w:rPr>
          <w:spacing w:val="-9"/>
          <w:sz w:val="24"/>
        </w:rPr>
        <w:t> </w:t>
      </w:r>
      <w:r>
        <w:rPr>
          <w:sz w:val="24"/>
        </w:rPr>
        <w:t>economy,</w:t>
      </w:r>
      <w:r>
        <w:rPr>
          <w:spacing w:val="-12"/>
          <w:sz w:val="24"/>
        </w:rPr>
        <w:t> </w:t>
      </w:r>
      <w:r>
        <w:rPr>
          <w:sz w:val="24"/>
        </w:rPr>
        <w:t>with</w:t>
      </w:r>
      <w:r>
        <w:rPr>
          <w:spacing w:val="-14"/>
          <w:sz w:val="24"/>
        </w:rPr>
        <w:t> </w:t>
      </w:r>
      <w:r>
        <w:rPr>
          <w:sz w:val="24"/>
        </w:rPr>
        <w:t>delivery</w:t>
      </w:r>
      <w:r>
        <w:rPr>
          <w:spacing w:val="-10"/>
          <w:sz w:val="24"/>
        </w:rPr>
        <w:t> </w:t>
      </w:r>
      <w:r>
        <w:rPr>
          <w:sz w:val="24"/>
        </w:rPr>
        <w:t>aligned</w:t>
      </w:r>
      <w:r>
        <w:rPr>
          <w:spacing w:val="-4"/>
          <w:sz w:val="24"/>
        </w:rPr>
        <w:t> </w:t>
      </w:r>
      <w:r>
        <w:rPr>
          <w:sz w:val="24"/>
        </w:rPr>
        <w:t>to</w:t>
      </w:r>
      <w:r>
        <w:rPr>
          <w:spacing w:val="-4"/>
          <w:sz w:val="24"/>
        </w:rPr>
        <w:t> </w:t>
      </w:r>
      <w:r>
        <w:rPr>
          <w:sz w:val="24"/>
        </w:rPr>
        <w:t>the</w:t>
      </w:r>
      <w:r>
        <w:rPr>
          <w:spacing w:val="-9"/>
          <w:sz w:val="24"/>
        </w:rPr>
        <w:t> </w:t>
      </w:r>
      <w:r>
        <w:rPr>
          <w:sz w:val="24"/>
        </w:rPr>
        <w:t>IMTPs</w:t>
      </w:r>
      <w:r>
        <w:rPr>
          <w:spacing w:val="-10"/>
          <w:sz w:val="24"/>
        </w:rPr>
        <w:t> </w:t>
      </w:r>
      <w:r>
        <w:rPr>
          <w:sz w:val="24"/>
        </w:rPr>
        <w:t>of</w:t>
      </w:r>
      <w:r>
        <w:rPr>
          <w:spacing w:val="-12"/>
          <w:sz w:val="24"/>
        </w:rPr>
        <w:t> </w:t>
      </w:r>
      <w:r>
        <w:rPr>
          <w:sz w:val="24"/>
        </w:rPr>
        <w:t>both</w:t>
      </w:r>
      <w:r>
        <w:rPr>
          <w:spacing w:val="-9"/>
          <w:sz w:val="24"/>
        </w:rPr>
        <w:t> </w:t>
      </w:r>
      <w:r>
        <w:rPr>
          <w:sz w:val="24"/>
        </w:rPr>
        <w:t>Boards.</w:t>
      </w:r>
    </w:p>
    <w:p>
      <w:pPr>
        <w:pStyle w:val="BodyText"/>
        <w:spacing w:before="2"/>
      </w:pPr>
    </w:p>
    <w:p>
      <w:pPr>
        <w:pStyle w:val="ListParagraph"/>
        <w:numPr>
          <w:ilvl w:val="2"/>
          <w:numId w:val="70"/>
        </w:numPr>
        <w:tabs>
          <w:tab w:pos="1554" w:val="left" w:leader="none"/>
          <w:tab w:pos="1563" w:val="left" w:leader="none"/>
        </w:tabs>
        <w:spacing w:line="240" w:lineRule="auto" w:before="0" w:after="0"/>
        <w:ind w:left="1563" w:right="486" w:hanging="711"/>
        <w:jc w:val="left"/>
        <w:rPr>
          <w:sz w:val="24"/>
        </w:rPr>
      </w:pPr>
      <w:r>
        <w:rPr>
          <w:spacing w:val="-2"/>
          <w:sz w:val="24"/>
        </w:rPr>
        <w:t>Develop</w:t>
      </w:r>
      <w:r>
        <w:rPr>
          <w:spacing w:val="-15"/>
          <w:sz w:val="24"/>
        </w:rPr>
        <w:t> </w:t>
      </w:r>
      <w:r>
        <w:rPr>
          <w:spacing w:val="-2"/>
          <w:sz w:val="24"/>
        </w:rPr>
        <w:t>coordinated</w:t>
      </w:r>
      <w:r>
        <w:rPr>
          <w:spacing w:val="-12"/>
          <w:sz w:val="24"/>
        </w:rPr>
        <w:t> </w:t>
      </w:r>
      <w:r>
        <w:rPr>
          <w:spacing w:val="-2"/>
          <w:sz w:val="24"/>
        </w:rPr>
        <w:t>financial</w:t>
      </w:r>
      <w:r>
        <w:rPr>
          <w:spacing w:val="-13"/>
          <w:sz w:val="24"/>
        </w:rPr>
        <w:t> </w:t>
      </w:r>
      <w:r>
        <w:rPr>
          <w:spacing w:val="-2"/>
          <w:sz w:val="24"/>
        </w:rPr>
        <w:t>planning</w:t>
      </w:r>
      <w:r>
        <w:rPr>
          <w:spacing w:val="-13"/>
          <w:sz w:val="24"/>
        </w:rPr>
        <w:t> </w:t>
      </w:r>
      <w:r>
        <w:rPr>
          <w:spacing w:val="-2"/>
          <w:sz w:val="24"/>
        </w:rPr>
        <w:t>and</w:t>
      </w:r>
      <w:r>
        <w:rPr>
          <w:spacing w:val="-15"/>
          <w:sz w:val="24"/>
        </w:rPr>
        <w:t> </w:t>
      </w:r>
      <w:r>
        <w:rPr>
          <w:spacing w:val="-2"/>
          <w:sz w:val="24"/>
        </w:rPr>
        <w:t>reporting</w:t>
      </w:r>
      <w:r>
        <w:rPr>
          <w:spacing w:val="-12"/>
          <w:sz w:val="24"/>
        </w:rPr>
        <w:t> </w:t>
      </w:r>
      <w:r>
        <w:rPr>
          <w:spacing w:val="-2"/>
          <w:sz w:val="24"/>
        </w:rPr>
        <w:t>across</w:t>
      </w:r>
      <w:r>
        <w:rPr>
          <w:spacing w:val="-9"/>
          <w:sz w:val="24"/>
        </w:rPr>
        <w:t> </w:t>
      </w:r>
      <w:r>
        <w:rPr>
          <w:spacing w:val="-2"/>
          <w:sz w:val="24"/>
        </w:rPr>
        <w:t>the</w:t>
      </w:r>
      <w:r>
        <w:rPr>
          <w:spacing w:val="-13"/>
          <w:sz w:val="24"/>
        </w:rPr>
        <w:t> </w:t>
      </w:r>
      <w:r>
        <w:rPr>
          <w:spacing w:val="-2"/>
          <w:sz w:val="24"/>
        </w:rPr>
        <w:t>RJC</w:t>
      </w:r>
      <w:r>
        <w:rPr>
          <w:spacing w:val="-13"/>
          <w:sz w:val="24"/>
        </w:rPr>
        <w:t> </w:t>
      </w:r>
      <w:r>
        <w:rPr>
          <w:spacing w:val="-2"/>
          <w:sz w:val="24"/>
        </w:rPr>
        <w:t>subgroups</w:t>
      </w:r>
      <w:r>
        <w:rPr>
          <w:spacing w:val="-14"/>
          <w:sz w:val="24"/>
        </w:rPr>
        <w:t> </w:t>
      </w:r>
      <w:r>
        <w:rPr>
          <w:spacing w:val="-2"/>
          <w:sz w:val="24"/>
        </w:rPr>
        <w:t>that </w:t>
      </w:r>
      <w:r>
        <w:rPr>
          <w:sz w:val="24"/>
        </w:rPr>
        <w:t>supports</w:t>
      </w:r>
      <w:r>
        <w:rPr>
          <w:spacing w:val="-14"/>
          <w:sz w:val="24"/>
        </w:rPr>
        <w:t> </w:t>
      </w:r>
      <w:r>
        <w:rPr>
          <w:sz w:val="24"/>
        </w:rPr>
        <w:t>both</w:t>
      </w:r>
      <w:r>
        <w:rPr>
          <w:spacing w:val="-13"/>
          <w:sz w:val="24"/>
        </w:rPr>
        <w:t> </w:t>
      </w:r>
      <w:r>
        <w:rPr>
          <w:sz w:val="24"/>
        </w:rPr>
        <w:t>organisations’</w:t>
      </w:r>
      <w:r>
        <w:rPr>
          <w:spacing w:val="-13"/>
          <w:sz w:val="24"/>
        </w:rPr>
        <w:t> </w:t>
      </w:r>
      <w:r>
        <w:rPr>
          <w:sz w:val="24"/>
        </w:rPr>
        <w:t>statutory</w:t>
      </w:r>
      <w:r>
        <w:rPr>
          <w:spacing w:val="-14"/>
          <w:sz w:val="24"/>
        </w:rPr>
        <w:t> </w:t>
      </w:r>
      <w:r>
        <w:rPr>
          <w:sz w:val="24"/>
        </w:rPr>
        <w:t>financial</w:t>
      </w:r>
      <w:r>
        <w:rPr>
          <w:spacing w:val="-13"/>
          <w:sz w:val="24"/>
        </w:rPr>
        <w:t> </w:t>
      </w:r>
      <w:r>
        <w:rPr>
          <w:sz w:val="24"/>
        </w:rPr>
        <w:t>duties</w:t>
      </w:r>
      <w:r>
        <w:rPr>
          <w:spacing w:val="-14"/>
          <w:sz w:val="24"/>
        </w:rPr>
        <w:t> </w:t>
      </w:r>
      <w:r>
        <w:rPr>
          <w:sz w:val="24"/>
        </w:rPr>
        <w:t>and</w:t>
      </w:r>
      <w:r>
        <w:rPr>
          <w:spacing w:val="-13"/>
          <w:sz w:val="24"/>
        </w:rPr>
        <w:t> </w:t>
      </w:r>
      <w:r>
        <w:rPr>
          <w:sz w:val="24"/>
        </w:rPr>
        <w:t>informs</w:t>
      </w:r>
      <w:r>
        <w:rPr>
          <w:spacing w:val="-10"/>
          <w:sz w:val="24"/>
        </w:rPr>
        <w:t> </w:t>
      </w:r>
      <w:r>
        <w:rPr>
          <w:sz w:val="24"/>
        </w:rPr>
        <w:t>Welsh Government</w:t>
      </w:r>
      <w:r>
        <w:rPr>
          <w:spacing w:val="-2"/>
          <w:sz w:val="24"/>
        </w:rPr>
        <w:t> </w:t>
      </w:r>
      <w:r>
        <w:rPr>
          <w:sz w:val="24"/>
        </w:rPr>
        <w:t>engagement</w:t>
      </w:r>
      <w:r>
        <w:rPr>
          <w:spacing w:val="-2"/>
          <w:sz w:val="24"/>
        </w:rPr>
        <w:t> </w:t>
      </w:r>
      <w:r>
        <w:rPr>
          <w:sz w:val="24"/>
        </w:rPr>
        <w:t>on regional investment.</w:t>
      </w:r>
    </w:p>
    <w:p>
      <w:pPr>
        <w:numPr>
          <w:ilvl w:val="1"/>
          <w:numId w:val="70"/>
        </w:numPr>
        <w:tabs>
          <w:tab w:pos="862" w:val="left" w:leader="none"/>
        </w:tabs>
        <w:spacing w:before="273"/>
        <w:ind w:left="862" w:right="0" w:hanging="720"/>
        <w:jc w:val="left"/>
        <w:rPr>
          <w:b/>
          <w:sz w:val="24"/>
        </w:rPr>
      </w:pPr>
      <w:r>
        <w:rPr>
          <w:b/>
          <w:sz w:val="24"/>
        </w:rPr>
        <w:t>Data</w:t>
      </w:r>
      <w:r>
        <w:rPr>
          <w:b/>
          <w:spacing w:val="-17"/>
          <w:sz w:val="24"/>
        </w:rPr>
        <w:t> </w:t>
      </w:r>
      <w:r>
        <w:rPr>
          <w:b/>
          <w:sz w:val="24"/>
        </w:rPr>
        <w:t>&amp;</w:t>
      </w:r>
      <w:r>
        <w:rPr>
          <w:b/>
          <w:spacing w:val="-13"/>
          <w:sz w:val="24"/>
        </w:rPr>
        <w:t> </w:t>
      </w:r>
      <w:r>
        <w:rPr>
          <w:b/>
          <w:spacing w:val="-2"/>
          <w:sz w:val="24"/>
        </w:rPr>
        <w:t>Digital</w:t>
      </w:r>
    </w:p>
    <w:p>
      <w:pPr>
        <w:pStyle w:val="BodyText"/>
        <w:spacing w:before="3"/>
        <w:rPr>
          <w:b/>
        </w:rPr>
      </w:pPr>
    </w:p>
    <w:p>
      <w:pPr>
        <w:pStyle w:val="ListParagraph"/>
        <w:numPr>
          <w:ilvl w:val="2"/>
          <w:numId w:val="70"/>
        </w:numPr>
        <w:tabs>
          <w:tab w:pos="1554" w:val="left" w:leader="none"/>
          <w:tab w:pos="1563" w:val="left" w:leader="none"/>
        </w:tabs>
        <w:spacing w:line="240" w:lineRule="auto" w:before="0" w:after="0"/>
        <w:ind w:left="1563" w:right="1144" w:hanging="711"/>
        <w:jc w:val="left"/>
        <w:rPr>
          <w:sz w:val="24"/>
        </w:rPr>
      </w:pPr>
      <w:r>
        <w:rPr>
          <w:sz w:val="24"/>
        </w:rPr>
        <w:t>Ensure</w:t>
      </w:r>
      <w:r>
        <w:rPr>
          <w:spacing w:val="-14"/>
          <w:sz w:val="24"/>
        </w:rPr>
        <w:t> </w:t>
      </w:r>
      <w:r>
        <w:rPr>
          <w:sz w:val="24"/>
        </w:rPr>
        <w:t>digital</w:t>
      </w:r>
      <w:r>
        <w:rPr>
          <w:spacing w:val="-10"/>
          <w:sz w:val="24"/>
        </w:rPr>
        <w:t> </w:t>
      </w:r>
      <w:r>
        <w:rPr>
          <w:sz w:val="24"/>
        </w:rPr>
        <w:t>solutions</w:t>
      </w:r>
      <w:r>
        <w:rPr>
          <w:spacing w:val="-14"/>
          <w:sz w:val="24"/>
        </w:rPr>
        <w:t> </w:t>
      </w:r>
      <w:r>
        <w:rPr>
          <w:sz w:val="24"/>
        </w:rPr>
        <w:t>are</w:t>
      </w:r>
      <w:r>
        <w:rPr>
          <w:spacing w:val="-17"/>
          <w:sz w:val="24"/>
        </w:rPr>
        <w:t> </w:t>
      </w:r>
      <w:r>
        <w:rPr>
          <w:sz w:val="24"/>
        </w:rPr>
        <w:t>progressed</w:t>
      </w:r>
      <w:r>
        <w:rPr>
          <w:spacing w:val="-9"/>
          <w:sz w:val="24"/>
        </w:rPr>
        <w:t> </w:t>
      </w:r>
      <w:r>
        <w:rPr>
          <w:sz w:val="24"/>
        </w:rPr>
        <w:t>to</w:t>
      </w:r>
      <w:r>
        <w:rPr>
          <w:spacing w:val="-8"/>
          <w:sz w:val="24"/>
        </w:rPr>
        <w:t> </w:t>
      </w:r>
      <w:r>
        <w:rPr>
          <w:sz w:val="24"/>
        </w:rPr>
        <w:t>enable</w:t>
      </w:r>
      <w:r>
        <w:rPr>
          <w:spacing w:val="-14"/>
          <w:sz w:val="24"/>
        </w:rPr>
        <w:t> </w:t>
      </w:r>
      <w:r>
        <w:rPr>
          <w:sz w:val="24"/>
        </w:rPr>
        <w:t>service</w:t>
      </w:r>
      <w:r>
        <w:rPr>
          <w:spacing w:val="-10"/>
          <w:sz w:val="24"/>
        </w:rPr>
        <w:t> </w:t>
      </w:r>
      <w:r>
        <w:rPr>
          <w:sz w:val="24"/>
        </w:rPr>
        <w:t>transformation</w:t>
      </w:r>
      <w:r>
        <w:rPr>
          <w:spacing w:val="-14"/>
          <w:sz w:val="24"/>
        </w:rPr>
        <w:t> </w:t>
      </w:r>
      <w:r>
        <w:rPr>
          <w:sz w:val="24"/>
        </w:rPr>
        <w:t>and </w:t>
      </w:r>
      <w:r>
        <w:rPr>
          <w:spacing w:val="-2"/>
          <w:sz w:val="24"/>
        </w:rPr>
        <w:t>systematically</w:t>
      </w:r>
      <w:r>
        <w:rPr>
          <w:spacing w:val="-13"/>
          <w:sz w:val="24"/>
        </w:rPr>
        <w:t> </w:t>
      </w:r>
      <w:r>
        <w:rPr>
          <w:spacing w:val="-2"/>
          <w:sz w:val="24"/>
        </w:rPr>
        <w:t>remove</w:t>
      </w:r>
      <w:r>
        <w:rPr>
          <w:spacing w:val="-12"/>
          <w:sz w:val="24"/>
        </w:rPr>
        <w:t> </w:t>
      </w:r>
      <w:r>
        <w:rPr>
          <w:spacing w:val="-2"/>
          <w:sz w:val="24"/>
        </w:rPr>
        <w:t>sources</w:t>
      </w:r>
      <w:r>
        <w:rPr>
          <w:spacing w:val="-13"/>
          <w:sz w:val="24"/>
        </w:rPr>
        <w:t> </w:t>
      </w:r>
      <w:r>
        <w:rPr>
          <w:spacing w:val="-2"/>
          <w:sz w:val="24"/>
        </w:rPr>
        <w:t>of</w:t>
      </w:r>
      <w:r>
        <w:rPr>
          <w:spacing w:val="-15"/>
          <w:sz w:val="24"/>
        </w:rPr>
        <w:t> </w:t>
      </w:r>
      <w:r>
        <w:rPr>
          <w:spacing w:val="-2"/>
          <w:sz w:val="24"/>
        </w:rPr>
        <w:t>friction</w:t>
      </w:r>
      <w:r>
        <w:rPr>
          <w:spacing w:val="-12"/>
          <w:sz w:val="24"/>
        </w:rPr>
        <w:t> </w:t>
      </w:r>
      <w:r>
        <w:rPr>
          <w:spacing w:val="-2"/>
          <w:sz w:val="24"/>
        </w:rPr>
        <w:t>in</w:t>
      </w:r>
      <w:r>
        <w:rPr>
          <w:spacing w:val="-12"/>
          <w:sz w:val="24"/>
        </w:rPr>
        <w:t> </w:t>
      </w:r>
      <w:r>
        <w:rPr>
          <w:spacing w:val="-2"/>
          <w:sz w:val="24"/>
        </w:rPr>
        <w:t>how</w:t>
      </w:r>
      <w:r>
        <w:rPr>
          <w:spacing w:val="-12"/>
          <w:sz w:val="24"/>
        </w:rPr>
        <w:t> </w:t>
      </w:r>
      <w:r>
        <w:rPr>
          <w:spacing w:val="-2"/>
          <w:sz w:val="24"/>
        </w:rPr>
        <w:t>staff</w:t>
      </w:r>
      <w:r>
        <w:rPr>
          <w:spacing w:val="-15"/>
          <w:sz w:val="24"/>
        </w:rPr>
        <w:t> </w:t>
      </w:r>
      <w:r>
        <w:rPr>
          <w:spacing w:val="-2"/>
          <w:sz w:val="24"/>
        </w:rPr>
        <w:t>and</w:t>
      </w:r>
      <w:r>
        <w:rPr>
          <w:spacing w:val="-12"/>
          <w:sz w:val="24"/>
        </w:rPr>
        <w:t> </w:t>
      </w:r>
      <w:r>
        <w:rPr>
          <w:spacing w:val="-2"/>
          <w:sz w:val="24"/>
        </w:rPr>
        <w:t>patients</w:t>
      </w:r>
      <w:r>
        <w:rPr>
          <w:spacing w:val="-13"/>
          <w:sz w:val="24"/>
        </w:rPr>
        <w:t> </w:t>
      </w:r>
      <w:r>
        <w:rPr>
          <w:spacing w:val="-2"/>
          <w:sz w:val="24"/>
        </w:rPr>
        <w:t>interact</w:t>
      </w:r>
      <w:r>
        <w:rPr>
          <w:spacing w:val="-15"/>
          <w:sz w:val="24"/>
        </w:rPr>
        <w:t> </w:t>
      </w:r>
      <w:r>
        <w:rPr>
          <w:spacing w:val="-2"/>
          <w:sz w:val="24"/>
        </w:rPr>
        <w:t>with </w:t>
      </w:r>
      <w:r>
        <w:rPr>
          <w:sz w:val="24"/>
        </w:rPr>
        <w:t>services,</w:t>
      </w:r>
      <w:r>
        <w:rPr>
          <w:spacing w:val="-13"/>
          <w:sz w:val="24"/>
        </w:rPr>
        <w:t> </w:t>
      </w:r>
      <w:r>
        <w:rPr>
          <w:sz w:val="24"/>
        </w:rPr>
        <w:t>including</w:t>
      </w:r>
      <w:r>
        <w:rPr>
          <w:spacing w:val="-10"/>
          <w:sz w:val="24"/>
        </w:rPr>
        <w:t> </w:t>
      </w:r>
      <w:r>
        <w:rPr>
          <w:sz w:val="24"/>
        </w:rPr>
        <w:t>reliance</w:t>
      </w:r>
      <w:r>
        <w:rPr>
          <w:spacing w:val="-10"/>
          <w:sz w:val="24"/>
        </w:rPr>
        <w:t> </w:t>
      </w:r>
      <w:r>
        <w:rPr>
          <w:sz w:val="24"/>
        </w:rPr>
        <w:t>on</w:t>
      </w:r>
      <w:r>
        <w:rPr>
          <w:spacing w:val="-10"/>
          <w:sz w:val="24"/>
        </w:rPr>
        <w:t> </w:t>
      </w:r>
      <w:r>
        <w:rPr>
          <w:sz w:val="24"/>
        </w:rPr>
        <w:t>manual</w:t>
      </w:r>
      <w:r>
        <w:rPr>
          <w:spacing w:val="-10"/>
          <w:sz w:val="24"/>
        </w:rPr>
        <w:t> </w:t>
      </w:r>
      <w:r>
        <w:rPr>
          <w:sz w:val="24"/>
        </w:rPr>
        <w:t>and</w:t>
      </w:r>
      <w:r>
        <w:rPr>
          <w:spacing w:val="-10"/>
          <w:sz w:val="24"/>
        </w:rPr>
        <w:t> </w:t>
      </w:r>
      <w:r>
        <w:rPr>
          <w:sz w:val="24"/>
        </w:rPr>
        <w:t>paper-based</w:t>
      </w:r>
      <w:r>
        <w:rPr>
          <w:spacing w:val="-10"/>
          <w:sz w:val="24"/>
        </w:rPr>
        <w:t> </w:t>
      </w:r>
      <w:r>
        <w:rPr>
          <w:sz w:val="24"/>
        </w:rPr>
        <w:t>processes.</w:t>
      </w:r>
    </w:p>
    <w:p>
      <w:pPr>
        <w:pStyle w:val="ListParagraph"/>
        <w:numPr>
          <w:ilvl w:val="2"/>
          <w:numId w:val="70"/>
        </w:numPr>
        <w:tabs>
          <w:tab w:pos="1554" w:val="left" w:leader="none"/>
          <w:tab w:pos="1563" w:val="left" w:leader="none"/>
        </w:tabs>
        <w:spacing w:line="242" w:lineRule="auto" w:before="272" w:after="0"/>
        <w:ind w:left="1563" w:right="1266" w:hanging="711"/>
        <w:jc w:val="left"/>
        <w:rPr>
          <w:sz w:val="24"/>
        </w:rPr>
      </w:pPr>
      <w:r>
        <w:rPr>
          <w:sz w:val="24"/>
        </w:rPr>
        <w:t>Develop</w:t>
      </w:r>
      <w:r>
        <w:rPr>
          <w:spacing w:val="-11"/>
          <w:sz w:val="24"/>
        </w:rPr>
        <w:t> </w:t>
      </w:r>
      <w:r>
        <w:rPr>
          <w:sz w:val="24"/>
        </w:rPr>
        <w:t>a</w:t>
      </w:r>
      <w:r>
        <w:rPr>
          <w:spacing w:val="-11"/>
          <w:sz w:val="24"/>
        </w:rPr>
        <w:t> </w:t>
      </w:r>
      <w:r>
        <w:rPr>
          <w:sz w:val="24"/>
        </w:rPr>
        <w:t>regional</w:t>
      </w:r>
      <w:r>
        <w:rPr>
          <w:spacing w:val="-11"/>
          <w:sz w:val="24"/>
        </w:rPr>
        <w:t> </w:t>
      </w:r>
      <w:r>
        <w:rPr>
          <w:sz w:val="24"/>
        </w:rPr>
        <w:t>approach</w:t>
      </w:r>
      <w:r>
        <w:rPr>
          <w:spacing w:val="-11"/>
          <w:sz w:val="24"/>
        </w:rPr>
        <w:t> </w:t>
      </w:r>
      <w:r>
        <w:rPr>
          <w:sz w:val="24"/>
        </w:rPr>
        <w:t>to</w:t>
      </w:r>
      <w:r>
        <w:rPr>
          <w:spacing w:val="-11"/>
          <w:sz w:val="24"/>
        </w:rPr>
        <w:t> </w:t>
      </w:r>
      <w:r>
        <w:rPr>
          <w:sz w:val="24"/>
        </w:rPr>
        <w:t>data</w:t>
      </w:r>
      <w:r>
        <w:rPr>
          <w:spacing w:val="-11"/>
          <w:sz w:val="24"/>
        </w:rPr>
        <w:t> </w:t>
      </w:r>
      <w:r>
        <w:rPr>
          <w:sz w:val="24"/>
        </w:rPr>
        <w:t>sharing</w:t>
      </w:r>
      <w:r>
        <w:rPr>
          <w:spacing w:val="-16"/>
          <w:sz w:val="24"/>
        </w:rPr>
        <w:t> </w:t>
      </w:r>
      <w:r>
        <w:rPr>
          <w:sz w:val="24"/>
        </w:rPr>
        <w:t>and</w:t>
      </w:r>
      <w:r>
        <w:rPr>
          <w:spacing w:val="-11"/>
          <w:sz w:val="24"/>
        </w:rPr>
        <w:t> </w:t>
      </w:r>
      <w:r>
        <w:rPr>
          <w:sz w:val="24"/>
        </w:rPr>
        <w:t>interoperability,</w:t>
      </w:r>
      <w:r>
        <w:rPr>
          <w:spacing w:val="-14"/>
          <w:sz w:val="24"/>
        </w:rPr>
        <w:t> </w:t>
      </w:r>
      <w:r>
        <w:rPr>
          <w:sz w:val="24"/>
        </w:rPr>
        <w:t>ensuring </w:t>
      </w:r>
      <w:r>
        <w:rPr>
          <w:spacing w:val="-2"/>
          <w:sz w:val="24"/>
        </w:rPr>
        <w:t>information</w:t>
      </w:r>
      <w:r>
        <w:rPr>
          <w:spacing w:val="-12"/>
          <w:sz w:val="24"/>
        </w:rPr>
        <w:t> </w:t>
      </w:r>
      <w:r>
        <w:rPr>
          <w:spacing w:val="-2"/>
          <w:sz w:val="24"/>
        </w:rPr>
        <w:t>flows</w:t>
      </w:r>
      <w:r>
        <w:rPr>
          <w:spacing w:val="-13"/>
          <w:sz w:val="24"/>
        </w:rPr>
        <w:t> </w:t>
      </w:r>
      <w:r>
        <w:rPr>
          <w:spacing w:val="-2"/>
          <w:sz w:val="24"/>
        </w:rPr>
        <w:t>between</w:t>
      </w:r>
      <w:r>
        <w:rPr>
          <w:spacing w:val="-12"/>
          <w:sz w:val="24"/>
        </w:rPr>
        <w:t> </w:t>
      </w:r>
      <w:r>
        <w:rPr>
          <w:spacing w:val="-2"/>
          <w:sz w:val="24"/>
        </w:rPr>
        <w:t>the</w:t>
      </w:r>
      <w:r>
        <w:rPr>
          <w:spacing w:val="-12"/>
          <w:sz w:val="24"/>
        </w:rPr>
        <w:t> </w:t>
      </w:r>
      <w:r>
        <w:rPr>
          <w:spacing w:val="-2"/>
          <w:sz w:val="24"/>
        </w:rPr>
        <w:t>two</w:t>
      </w:r>
      <w:r>
        <w:rPr>
          <w:spacing w:val="-10"/>
          <w:sz w:val="24"/>
        </w:rPr>
        <w:t> </w:t>
      </w:r>
      <w:r>
        <w:rPr>
          <w:spacing w:val="-2"/>
          <w:sz w:val="24"/>
        </w:rPr>
        <w:t>Health</w:t>
      </w:r>
      <w:r>
        <w:rPr>
          <w:spacing w:val="-11"/>
          <w:sz w:val="24"/>
        </w:rPr>
        <w:t> </w:t>
      </w:r>
      <w:r>
        <w:rPr>
          <w:spacing w:val="-2"/>
          <w:sz w:val="24"/>
        </w:rPr>
        <w:t>Boards</w:t>
      </w:r>
      <w:r>
        <w:rPr>
          <w:spacing w:val="-13"/>
          <w:sz w:val="24"/>
        </w:rPr>
        <w:t> </w:t>
      </w:r>
      <w:r>
        <w:rPr>
          <w:spacing w:val="-2"/>
          <w:sz w:val="24"/>
        </w:rPr>
        <w:t>and</w:t>
      </w:r>
      <w:r>
        <w:rPr>
          <w:spacing w:val="-12"/>
          <w:sz w:val="24"/>
        </w:rPr>
        <w:t> </w:t>
      </w:r>
      <w:r>
        <w:rPr>
          <w:spacing w:val="-2"/>
          <w:sz w:val="24"/>
        </w:rPr>
        <w:t>with</w:t>
      </w:r>
      <w:r>
        <w:rPr>
          <w:spacing w:val="-12"/>
          <w:sz w:val="24"/>
        </w:rPr>
        <w:t> </w:t>
      </w:r>
      <w:r>
        <w:rPr>
          <w:spacing w:val="-2"/>
          <w:sz w:val="24"/>
        </w:rPr>
        <w:t>wider</w:t>
      </w:r>
      <w:r>
        <w:rPr>
          <w:spacing w:val="-13"/>
          <w:sz w:val="24"/>
        </w:rPr>
        <w:t> </w:t>
      </w:r>
      <w:r>
        <w:rPr>
          <w:spacing w:val="-2"/>
          <w:sz w:val="24"/>
        </w:rPr>
        <w:t>partners</w:t>
      </w:r>
      <w:r>
        <w:rPr>
          <w:spacing w:val="-13"/>
          <w:sz w:val="24"/>
        </w:rPr>
        <w:t> </w:t>
      </w:r>
      <w:r>
        <w:rPr>
          <w:spacing w:val="-2"/>
          <w:sz w:val="24"/>
        </w:rPr>
        <w:t>are </w:t>
      </w:r>
      <w:r>
        <w:rPr>
          <w:sz w:val="24"/>
        </w:rPr>
        <w:t>appropriately</w:t>
      </w:r>
      <w:r>
        <w:rPr>
          <w:spacing w:val="-17"/>
          <w:sz w:val="24"/>
        </w:rPr>
        <w:t> </w:t>
      </w:r>
      <w:r>
        <w:rPr>
          <w:sz w:val="24"/>
        </w:rPr>
        <w:t>governed</w:t>
      </w:r>
      <w:r>
        <w:rPr>
          <w:spacing w:val="-17"/>
          <w:sz w:val="24"/>
        </w:rPr>
        <w:t> </w:t>
      </w:r>
      <w:r>
        <w:rPr>
          <w:sz w:val="24"/>
        </w:rPr>
        <w:t>and</w:t>
      </w:r>
      <w:r>
        <w:rPr>
          <w:spacing w:val="-16"/>
          <w:sz w:val="24"/>
        </w:rPr>
        <w:t> </w:t>
      </w:r>
      <w:r>
        <w:rPr>
          <w:sz w:val="24"/>
        </w:rPr>
        <w:t>aligned</w:t>
      </w:r>
      <w:r>
        <w:rPr>
          <w:spacing w:val="-17"/>
          <w:sz w:val="24"/>
        </w:rPr>
        <w:t> </w:t>
      </w:r>
      <w:r>
        <w:rPr>
          <w:sz w:val="24"/>
        </w:rPr>
        <w:t>to</w:t>
      </w:r>
      <w:r>
        <w:rPr>
          <w:spacing w:val="-17"/>
          <w:sz w:val="24"/>
        </w:rPr>
        <w:t> </w:t>
      </w:r>
      <w:r>
        <w:rPr>
          <w:sz w:val="24"/>
        </w:rPr>
        <w:t>all-Wales</w:t>
      </w:r>
      <w:r>
        <w:rPr>
          <w:spacing w:val="-17"/>
          <w:sz w:val="24"/>
        </w:rPr>
        <w:t> </w:t>
      </w:r>
      <w:r>
        <w:rPr>
          <w:sz w:val="24"/>
        </w:rPr>
        <w:t>architecture</w:t>
      </w:r>
      <w:r>
        <w:rPr>
          <w:spacing w:val="-16"/>
          <w:sz w:val="24"/>
        </w:rPr>
        <w:t> </w:t>
      </w:r>
      <w:r>
        <w:rPr>
          <w:sz w:val="24"/>
        </w:rPr>
        <w:t>and</w:t>
      </w:r>
      <w:r>
        <w:rPr>
          <w:spacing w:val="-17"/>
          <w:sz w:val="24"/>
        </w:rPr>
        <w:t> </w:t>
      </w:r>
      <w:r>
        <w:rPr>
          <w:sz w:val="24"/>
        </w:rPr>
        <w:t>standards.</w:t>
      </w:r>
    </w:p>
    <w:p>
      <w:pPr>
        <w:pStyle w:val="ListParagraph"/>
        <w:numPr>
          <w:ilvl w:val="2"/>
          <w:numId w:val="70"/>
        </w:numPr>
        <w:tabs>
          <w:tab w:pos="1559" w:val="left" w:leader="none"/>
          <w:tab w:pos="1563" w:val="left" w:leader="none"/>
        </w:tabs>
        <w:spacing w:line="242" w:lineRule="auto" w:before="270" w:after="0"/>
        <w:ind w:left="1563" w:right="670" w:hanging="711"/>
        <w:jc w:val="left"/>
        <w:rPr>
          <w:sz w:val="24"/>
        </w:rPr>
      </w:pPr>
      <w:r>
        <w:rPr>
          <w:spacing w:val="-2"/>
          <w:sz w:val="24"/>
        </w:rPr>
        <w:t>Oversee</w:t>
      </w:r>
      <w:r>
        <w:rPr>
          <w:spacing w:val="-15"/>
          <w:sz w:val="24"/>
        </w:rPr>
        <w:t> </w:t>
      </w:r>
      <w:r>
        <w:rPr>
          <w:spacing w:val="-2"/>
          <w:sz w:val="24"/>
        </w:rPr>
        <w:t>joint</w:t>
      </w:r>
      <w:r>
        <w:rPr>
          <w:spacing w:val="-15"/>
          <w:sz w:val="24"/>
        </w:rPr>
        <w:t> </w:t>
      </w:r>
      <w:r>
        <w:rPr>
          <w:spacing w:val="-2"/>
          <w:sz w:val="24"/>
        </w:rPr>
        <w:t>digital</w:t>
      </w:r>
      <w:r>
        <w:rPr>
          <w:spacing w:val="-14"/>
          <w:sz w:val="24"/>
        </w:rPr>
        <w:t> </w:t>
      </w:r>
      <w:r>
        <w:rPr>
          <w:spacing w:val="-2"/>
          <w:sz w:val="24"/>
        </w:rPr>
        <w:t>infrastructure</w:t>
      </w:r>
      <w:r>
        <w:rPr>
          <w:spacing w:val="-15"/>
          <w:sz w:val="24"/>
        </w:rPr>
        <w:t> </w:t>
      </w:r>
      <w:r>
        <w:rPr>
          <w:spacing w:val="-2"/>
          <w:sz w:val="24"/>
        </w:rPr>
        <w:t>and</w:t>
      </w:r>
      <w:r>
        <w:rPr>
          <w:spacing w:val="-15"/>
          <w:sz w:val="24"/>
        </w:rPr>
        <w:t> </w:t>
      </w:r>
      <w:r>
        <w:rPr>
          <w:spacing w:val="-2"/>
          <w:sz w:val="24"/>
        </w:rPr>
        <w:t>procurement</w:t>
      </w:r>
      <w:r>
        <w:rPr>
          <w:spacing w:val="-15"/>
          <w:sz w:val="24"/>
        </w:rPr>
        <w:t> </w:t>
      </w:r>
      <w:r>
        <w:rPr>
          <w:spacing w:val="-2"/>
          <w:sz w:val="24"/>
        </w:rPr>
        <w:t>decisions,</w:t>
      </w:r>
      <w:r>
        <w:rPr>
          <w:spacing w:val="-14"/>
          <w:sz w:val="24"/>
        </w:rPr>
        <w:t> </w:t>
      </w:r>
      <w:r>
        <w:rPr>
          <w:spacing w:val="-2"/>
          <w:sz w:val="24"/>
        </w:rPr>
        <w:t>reducing</w:t>
      </w:r>
      <w:r>
        <w:rPr>
          <w:spacing w:val="-15"/>
          <w:sz w:val="24"/>
        </w:rPr>
        <w:t> </w:t>
      </w:r>
      <w:r>
        <w:rPr>
          <w:spacing w:val="-2"/>
          <w:sz w:val="24"/>
        </w:rPr>
        <w:t>duplication </w:t>
      </w:r>
      <w:r>
        <w:rPr>
          <w:sz w:val="24"/>
        </w:rPr>
        <w:t>and</w:t>
      </w:r>
      <w:r>
        <w:rPr>
          <w:spacing w:val="-17"/>
          <w:sz w:val="24"/>
        </w:rPr>
        <w:t> </w:t>
      </w:r>
      <w:r>
        <w:rPr>
          <w:sz w:val="24"/>
        </w:rPr>
        <w:t>supporting</w:t>
      </w:r>
      <w:r>
        <w:rPr>
          <w:spacing w:val="-12"/>
          <w:sz w:val="24"/>
        </w:rPr>
        <w:t> </w:t>
      </w:r>
      <w:r>
        <w:rPr>
          <w:sz w:val="24"/>
        </w:rPr>
        <w:t>consolidation</w:t>
      </w:r>
      <w:r>
        <w:rPr>
          <w:spacing w:val="-12"/>
          <w:sz w:val="24"/>
        </w:rPr>
        <w:t> </w:t>
      </w:r>
      <w:r>
        <w:rPr>
          <w:sz w:val="24"/>
        </w:rPr>
        <w:t>onto</w:t>
      </w:r>
      <w:r>
        <w:rPr>
          <w:spacing w:val="-12"/>
          <w:sz w:val="24"/>
        </w:rPr>
        <w:t> </w:t>
      </w:r>
      <w:r>
        <w:rPr>
          <w:sz w:val="24"/>
        </w:rPr>
        <w:t>common</w:t>
      </w:r>
      <w:r>
        <w:rPr>
          <w:spacing w:val="-12"/>
          <w:sz w:val="24"/>
        </w:rPr>
        <w:t> </w:t>
      </w:r>
      <w:r>
        <w:rPr>
          <w:sz w:val="24"/>
        </w:rPr>
        <w:t>platforms</w:t>
      </w:r>
      <w:r>
        <w:rPr>
          <w:spacing w:val="-13"/>
          <w:sz w:val="24"/>
        </w:rPr>
        <w:t> </w:t>
      </w:r>
      <w:r>
        <w:rPr>
          <w:sz w:val="24"/>
        </w:rPr>
        <w:t>where</w:t>
      </w:r>
      <w:r>
        <w:rPr>
          <w:spacing w:val="-12"/>
          <w:sz w:val="24"/>
        </w:rPr>
        <w:t> </w:t>
      </w:r>
      <w:r>
        <w:rPr>
          <w:sz w:val="24"/>
        </w:rPr>
        <w:t>this</w:t>
      </w:r>
      <w:r>
        <w:rPr>
          <w:spacing w:val="-13"/>
          <w:sz w:val="24"/>
        </w:rPr>
        <w:t> </w:t>
      </w:r>
      <w:r>
        <w:rPr>
          <w:sz w:val="24"/>
        </w:rPr>
        <w:t>serves</w:t>
      </w:r>
      <w:r>
        <w:rPr>
          <w:spacing w:val="-13"/>
          <w:sz w:val="24"/>
        </w:rPr>
        <w:t> </w:t>
      </w:r>
      <w:r>
        <w:rPr>
          <w:sz w:val="24"/>
        </w:rPr>
        <w:t>regional </w:t>
      </w:r>
      <w:r>
        <w:rPr>
          <w:spacing w:val="-2"/>
          <w:sz w:val="24"/>
        </w:rPr>
        <w:t>priorities.</w:t>
      </w:r>
    </w:p>
    <w:p>
      <w:pPr>
        <w:pStyle w:val="ListParagraph"/>
        <w:numPr>
          <w:ilvl w:val="2"/>
          <w:numId w:val="70"/>
        </w:numPr>
        <w:tabs>
          <w:tab w:pos="1554" w:val="left" w:leader="none"/>
          <w:tab w:pos="1563" w:val="left" w:leader="none"/>
        </w:tabs>
        <w:spacing w:line="240" w:lineRule="auto" w:before="268" w:after="0"/>
        <w:ind w:left="1563" w:right="430" w:hanging="711"/>
        <w:jc w:val="both"/>
        <w:rPr>
          <w:sz w:val="24"/>
        </w:rPr>
      </w:pPr>
      <w:r>
        <w:rPr>
          <w:spacing w:val="-2"/>
          <w:sz w:val="24"/>
        </w:rPr>
        <w:t>Ensure the</w:t>
      </w:r>
      <w:r>
        <w:rPr>
          <w:spacing w:val="-7"/>
          <w:sz w:val="24"/>
        </w:rPr>
        <w:t> </w:t>
      </w:r>
      <w:r>
        <w:rPr>
          <w:spacing w:val="-2"/>
          <w:sz w:val="24"/>
        </w:rPr>
        <w:t>development</w:t>
      </w:r>
      <w:r>
        <w:rPr>
          <w:spacing w:val="-10"/>
          <w:sz w:val="24"/>
        </w:rPr>
        <w:t> </w:t>
      </w:r>
      <w:r>
        <w:rPr>
          <w:spacing w:val="-2"/>
          <w:sz w:val="24"/>
        </w:rPr>
        <w:t>of</w:t>
      </w:r>
      <w:r>
        <w:rPr>
          <w:spacing w:val="-9"/>
          <w:sz w:val="24"/>
        </w:rPr>
        <w:t> </w:t>
      </w:r>
      <w:r>
        <w:rPr>
          <w:spacing w:val="-2"/>
          <w:sz w:val="24"/>
        </w:rPr>
        <w:t>AI,</w:t>
      </w:r>
      <w:r>
        <w:rPr>
          <w:spacing w:val="-10"/>
          <w:sz w:val="24"/>
        </w:rPr>
        <w:t> </w:t>
      </w:r>
      <w:r>
        <w:rPr>
          <w:spacing w:val="-2"/>
          <w:sz w:val="24"/>
        </w:rPr>
        <w:t>automation,</w:t>
      </w:r>
      <w:r>
        <w:rPr>
          <w:spacing w:val="-10"/>
          <w:sz w:val="24"/>
        </w:rPr>
        <w:t> </w:t>
      </w:r>
      <w:r>
        <w:rPr>
          <w:spacing w:val="-2"/>
          <w:sz w:val="24"/>
        </w:rPr>
        <w:t>and</w:t>
      </w:r>
      <w:r>
        <w:rPr>
          <w:spacing w:val="-7"/>
          <w:sz w:val="24"/>
        </w:rPr>
        <w:t> </w:t>
      </w:r>
      <w:r>
        <w:rPr>
          <w:spacing w:val="-2"/>
          <w:sz w:val="24"/>
        </w:rPr>
        <w:t>advanced</w:t>
      </w:r>
      <w:r>
        <w:rPr>
          <w:spacing w:val="-7"/>
          <w:sz w:val="24"/>
        </w:rPr>
        <w:t> </w:t>
      </w:r>
      <w:r>
        <w:rPr>
          <w:spacing w:val="-2"/>
          <w:sz w:val="24"/>
        </w:rPr>
        <w:t>analytics</w:t>
      </w:r>
      <w:r>
        <w:rPr>
          <w:spacing w:val="-8"/>
          <w:sz w:val="24"/>
        </w:rPr>
        <w:t> </w:t>
      </w:r>
      <w:r>
        <w:rPr>
          <w:spacing w:val="-2"/>
          <w:sz w:val="24"/>
        </w:rPr>
        <w:t>capability</w:t>
      </w:r>
      <w:r>
        <w:rPr>
          <w:spacing w:val="-8"/>
          <w:sz w:val="24"/>
        </w:rPr>
        <w:t> </w:t>
      </w:r>
      <w:r>
        <w:rPr>
          <w:spacing w:val="-2"/>
          <w:sz w:val="24"/>
        </w:rPr>
        <w:t>across the</w:t>
      </w:r>
      <w:r>
        <w:rPr>
          <w:spacing w:val="-12"/>
          <w:sz w:val="24"/>
        </w:rPr>
        <w:t> </w:t>
      </w:r>
      <w:r>
        <w:rPr>
          <w:spacing w:val="-2"/>
          <w:sz w:val="24"/>
        </w:rPr>
        <w:t>region</w:t>
      </w:r>
      <w:r>
        <w:rPr>
          <w:spacing w:val="-11"/>
          <w:sz w:val="24"/>
        </w:rPr>
        <w:t> </w:t>
      </w:r>
      <w:r>
        <w:rPr>
          <w:spacing w:val="-2"/>
          <w:sz w:val="24"/>
        </w:rPr>
        <w:t>with</w:t>
      </w:r>
      <w:r>
        <w:rPr>
          <w:spacing w:val="-11"/>
          <w:sz w:val="24"/>
        </w:rPr>
        <w:t> </w:t>
      </w:r>
      <w:r>
        <w:rPr>
          <w:spacing w:val="-2"/>
          <w:sz w:val="24"/>
        </w:rPr>
        <w:t>appropriate</w:t>
      </w:r>
      <w:r>
        <w:rPr>
          <w:spacing w:val="-11"/>
          <w:sz w:val="24"/>
        </w:rPr>
        <w:t> </w:t>
      </w:r>
      <w:r>
        <w:rPr>
          <w:spacing w:val="-2"/>
          <w:sz w:val="24"/>
        </w:rPr>
        <w:t>governance,</w:t>
      </w:r>
      <w:r>
        <w:rPr>
          <w:spacing w:val="-14"/>
          <w:sz w:val="24"/>
        </w:rPr>
        <w:t> </w:t>
      </w:r>
      <w:r>
        <w:rPr>
          <w:spacing w:val="-2"/>
          <w:sz w:val="24"/>
        </w:rPr>
        <w:t>evaluation,</w:t>
      </w:r>
      <w:r>
        <w:rPr>
          <w:spacing w:val="-14"/>
          <w:sz w:val="24"/>
        </w:rPr>
        <w:t> </w:t>
      </w:r>
      <w:r>
        <w:rPr>
          <w:spacing w:val="-2"/>
          <w:sz w:val="24"/>
        </w:rPr>
        <w:t>and</w:t>
      </w:r>
      <w:r>
        <w:rPr>
          <w:spacing w:val="-11"/>
          <w:sz w:val="24"/>
        </w:rPr>
        <w:t> </w:t>
      </w:r>
      <w:r>
        <w:rPr>
          <w:spacing w:val="-2"/>
          <w:sz w:val="24"/>
        </w:rPr>
        <w:t>a</w:t>
      </w:r>
      <w:r>
        <w:rPr>
          <w:spacing w:val="-11"/>
          <w:sz w:val="24"/>
        </w:rPr>
        <w:t> </w:t>
      </w:r>
      <w:r>
        <w:rPr>
          <w:spacing w:val="-2"/>
          <w:sz w:val="24"/>
        </w:rPr>
        <w:t>clear</w:t>
      </w:r>
      <w:r>
        <w:rPr>
          <w:spacing w:val="-12"/>
          <w:sz w:val="24"/>
        </w:rPr>
        <w:t> </w:t>
      </w:r>
      <w:r>
        <w:rPr>
          <w:spacing w:val="-2"/>
          <w:sz w:val="24"/>
        </w:rPr>
        <w:t>line</w:t>
      </w:r>
      <w:r>
        <w:rPr>
          <w:spacing w:val="-15"/>
          <w:sz w:val="24"/>
        </w:rPr>
        <w:t> </w:t>
      </w:r>
      <w:r>
        <w:rPr>
          <w:spacing w:val="-2"/>
          <w:sz w:val="24"/>
        </w:rPr>
        <w:t>of</w:t>
      </w:r>
      <w:r>
        <w:rPr>
          <w:spacing w:val="-14"/>
          <w:sz w:val="24"/>
        </w:rPr>
        <w:t> </w:t>
      </w:r>
      <w:r>
        <w:rPr>
          <w:spacing w:val="-2"/>
          <w:sz w:val="24"/>
        </w:rPr>
        <w:t>sight</w:t>
      </w:r>
      <w:r>
        <w:rPr>
          <w:spacing w:val="-9"/>
          <w:sz w:val="24"/>
        </w:rPr>
        <w:t> </w:t>
      </w:r>
      <w:r>
        <w:rPr>
          <w:spacing w:val="-2"/>
          <w:sz w:val="24"/>
        </w:rPr>
        <w:t>to</w:t>
      </w:r>
      <w:r>
        <w:rPr>
          <w:spacing w:val="-11"/>
          <w:sz w:val="24"/>
        </w:rPr>
        <w:t> </w:t>
      </w:r>
      <w:r>
        <w:rPr>
          <w:spacing w:val="-2"/>
          <w:sz w:val="24"/>
        </w:rPr>
        <w:t>clinical </w:t>
      </w:r>
      <w:r>
        <w:rPr>
          <w:sz w:val="24"/>
        </w:rPr>
        <w:t>and operational benefit.</w:t>
      </w:r>
    </w:p>
    <w:p>
      <w:pPr>
        <w:pStyle w:val="BodyText"/>
        <w:spacing w:before="2"/>
      </w:pPr>
    </w:p>
    <w:p>
      <w:pPr>
        <w:pStyle w:val="ListParagraph"/>
        <w:numPr>
          <w:ilvl w:val="2"/>
          <w:numId w:val="70"/>
        </w:numPr>
        <w:tabs>
          <w:tab w:pos="1560" w:val="left" w:leader="none"/>
          <w:tab w:pos="1563" w:val="left" w:leader="none"/>
        </w:tabs>
        <w:spacing w:line="240" w:lineRule="auto" w:before="0" w:after="0"/>
        <w:ind w:left="1563" w:right="1310" w:hanging="711"/>
        <w:jc w:val="left"/>
        <w:rPr>
          <w:sz w:val="24"/>
        </w:rPr>
      </w:pPr>
      <w:r>
        <w:rPr>
          <w:spacing w:val="-2"/>
          <w:sz w:val="24"/>
        </w:rPr>
        <w:t>Ensure</w:t>
      </w:r>
      <w:r>
        <w:rPr>
          <w:spacing w:val="-11"/>
          <w:sz w:val="24"/>
        </w:rPr>
        <w:t> </w:t>
      </w:r>
      <w:r>
        <w:rPr>
          <w:spacing w:val="-2"/>
          <w:sz w:val="24"/>
        </w:rPr>
        <w:t>risks</w:t>
      </w:r>
      <w:r>
        <w:rPr>
          <w:spacing w:val="-14"/>
          <w:sz w:val="24"/>
        </w:rPr>
        <w:t> </w:t>
      </w:r>
      <w:r>
        <w:rPr>
          <w:spacing w:val="-2"/>
          <w:sz w:val="24"/>
        </w:rPr>
        <w:t>around</w:t>
      </w:r>
      <w:r>
        <w:rPr>
          <w:spacing w:val="-12"/>
          <w:sz w:val="24"/>
        </w:rPr>
        <w:t> </w:t>
      </w:r>
      <w:r>
        <w:rPr>
          <w:spacing w:val="-2"/>
          <w:sz w:val="24"/>
        </w:rPr>
        <w:t>data</w:t>
      </w:r>
      <w:r>
        <w:rPr>
          <w:spacing w:val="-13"/>
          <w:sz w:val="24"/>
        </w:rPr>
        <w:t> </w:t>
      </w:r>
      <w:r>
        <w:rPr>
          <w:spacing w:val="-2"/>
          <w:sz w:val="24"/>
        </w:rPr>
        <w:t>security,</w:t>
      </w:r>
      <w:r>
        <w:rPr>
          <w:spacing w:val="-15"/>
          <w:sz w:val="24"/>
        </w:rPr>
        <w:t> </w:t>
      </w:r>
      <w:r>
        <w:rPr>
          <w:spacing w:val="-2"/>
          <w:sz w:val="24"/>
        </w:rPr>
        <w:t>clinical</w:t>
      </w:r>
      <w:r>
        <w:rPr>
          <w:spacing w:val="-13"/>
          <w:sz w:val="24"/>
        </w:rPr>
        <w:t> </w:t>
      </w:r>
      <w:r>
        <w:rPr>
          <w:spacing w:val="-2"/>
          <w:sz w:val="24"/>
        </w:rPr>
        <w:t>safety</w:t>
      </w:r>
      <w:r>
        <w:rPr>
          <w:spacing w:val="-9"/>
          <w:sz w:val="24"/>
        </w:rPr>
        <w:t> </w:t>
      </w:r>
      <w:r>
        <w:rPr>
          <w:spacing w:val="-2"/>
          <w:sz w:val="24"/>
        </w:rPr>
        <w:t>and</w:t>
      </w:r>
      <w:r>
        <w:rPr>
          <w:spacing w:val="-15"/>
          <w:sz w:val="24"/>
        </w:rPr>
        <w:t> </w:t>
      </w:r>
      <w:r>
        <w:rPr>
          <w:spacing w:val="-2"/>
          <w:sz w:val="24"/>
        </w:rPr>
        <w:t>variation</w:t>
      </w:r>
      <w:r>
        <w:rPr>
          <w:spacing w:val="-13"/>
          <w:sz w:val="24"/>
        </w:rPr>
        <w:t> </w:t>
      </w:r>
      <w:r>
        <w:rPr>
          <w:spacing w:val="-2"/>
          <w:sz w:val="24"/>
        </w:rPr>
        <w:t>in</w:t>
      </w:r>
      <w:r>
        <w:rPr>
          <w:spacing w:val="-13"/>
          <w:sz w:val="24"/>
        </w:rPr>
        <w:t> </w:t>
      </w:r>
      <w:r>
        <w:rPr>
          <w:spacing w:val="-2"/>
          <w:sz w:val="24"/>
        </w:rPr>
        <w:t>practice</w:t>
      </w:r>
      <w:r>
        <w:rPr>
          <w:spacing w:val="-9"/>
          <w:sz w:val="24"/>
        </w:rPr>
        <w:t> </w:t>
      </w:r>
      <w:r>
        <w:rPr>
          <w:spacing w:val="-2"/>
          <w:sz w:val="24"/>
        </w:rPr>
        <w:t>are </w:t>
      </w:r>
      <w:r>
        <w:rPr>
          <w:sz w:val="24"/>
        </w:rPr>
        <w:t>managed</w:t>
      </w:r>
      <w:r>
        <w:rPr>
          <w:spacing w:val="-2"/>
          <w:sz w:val="24"/>
        </w:rPr>
        <w:t> </w:t>
      </w:r>
      <w:r>
        <w:rPr>
          <w:sz w:val="24"/>
        </w:rPr>
        <w:t>to</w:t>
      </w:r>
      <w:r>
        <w:rPr>
          <w:spacing w:val="-8"/>
          <w:sz w:val="24"/>
        </w:rPr>
        <w:t> </w:t>
      </w:r>
      <w:r>
        <w:rPr>
          <w:sz w:val="24"/>
        </w:rPr>
        <w:t>enable</w:t>
      </w:r>
      <w:r>
        <w:rPr>
          <w:spacing w:val="-1"/>
          <w:sz w:val="24"/>
        </w:rPr>
        <w:t> </w:t>
      </w:r>
      <w:r>
        <w:rPr>
          <w:sz w:val="24"/>
        </w:rPr>
        <w:t>AI</w:t>
      </w:r>
      <w:r>
        <w:rPr>
          <w:spacing w:val="-6"/>
          <w:sz w:val="24"/>
        </w:rPr>
        <w:t> </w:t>
      </w:r>
      <w:r>
        <w:rPr>
          <w:sz w:val="24"/>
        </w:rPr>
        <w:t>to</w:t>
      </w:r>
      <w:r>
        <w:rPr>
          <w:spacing w:val="-2"/>
          <w:sz w:val="24"/>
        </w:rPr>
        <w:t> </w:t>
      </w:r>
      <w:r>
        <w:rPr>
          <w:sz w:val="24"/>
        </w:rPr>
        <w:t>be</w:t>
      </w:r>
      <w:r>
        <w:rPr>
          <w:spacing w:val="-2"/>
          <w:sz w:val="24"/>
        </w:rPr>
        <w:t> </w:t>
      </w:r>
      <w:r>
        <w:rPr>
          <w:sz w:val="24"/>
        </w:rPr>
        <w:t>progressed to</w:t>
      </w:r>
      <w:r>
        <w:rPr>
          <w:spacing w:val="-8"/>
          <w:sz w:val="24"/>
        </w:rPr>
        <w:t> </w:t>
      </w:r>
      <w:r>
        <w:rPr>
          <w:sz w:val="24"/>
        </w:rPr>
        <w:t>a safe</w:t>
      </w:r>
      <w:r>
        <w:rPr>
          <w:spacing w:val="-2"/>
          <w:sz w:val="24"/>
        </w:rPr>
        <w:t> </w:t>
      </w:r>
      <w:r>
        <w:rPr>
          <w:sz w:val="24"/>
        </w:rPr>
        <w:t>scale.</w:t>
      </w:r>
    </w:p>
    <w:p>
      <w:pPr>
        <w:pStyle w:val="BodyText"/>
        <w:spacing w:before="79"/>
        <w:rPr>
          <w:sz w:val="20"/>
        </w:rPr>
      </w:pPr>
      <w:r>
        <w:rPr>
          <w:sz w:val="20"/>
        </w:rPr>
        <mc:AlternateContent>
          <mc:Choice Requires="wps">
            <w:drawing>
              <wp:anchor distT="0" distB="0" distL="0" distR="0" allowOverlap="1" layoutInCell="1" locked="0" behindDoc="1" simplePos="0" relativeHeight="487683584">
                <wp:simplePos x="0" y="0"/>
                <wp:positionH relativeFrom="page">
                  <wp:posOffset>574992</wp:posOffset>
                </wp:positionH>
                <wp:positionV relativeFrom="paragraph">
                  <wp:posOffset>218062</wp:posOffset>
                </wp:positionV>
                <wp:extent cx="6553200" cy="191135"/>
                <wp:effectExtent l="0" t="0" r="0" b="0"/>
                <wp:wrapTopAndBottom/>
                <wp:docPr id="520" name="Textbox 520"/>
                <wp:cNvGraphicFramePr>
                  <a:graphicFrameLocks/>
                </wp:cNvGraphicFramePr>
                <a:graphic>
                  <a:graphicData uri="http://schemas.microsoft.com/office/word/2010/wordprocessingShape">
                    <wps:wsp>
                      <wps:cNvPr id="520" name="Textbox 520"/>
                      <wps:cNvSpPr txBox="1"/>
                      <wps:spPr>
                        <a:xfrm>
                          <a:off x="0" y="0"/>
                          <a:ext cx="6553200" cy="19113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4.</w:t>
                            </w:r>
                            <w:r>
                              <w:rPr>
                                <w:b/>
                                <w:color w:val="000000"/>
                                <w:spacing w:val="30"/>
                                <w:sz w:val="24"/>
                              </w:rPr>
                              <w:t>  </w:t>
                            </w:r>
                            <w:r>
                              <w:rPr>
                                <w:b/>
                                <w:color w:val="000000"/>
                                <w:spacing w:val="-2"/>
                                <w:sz w:val="24"/>
                              </w:rPr>
                              <w:t>Engagement</w:t>
                            </w:r>
                          </w:p>
                        </w:txbxContent>
                      </wps:txbx>
                      <wps:bodyPr wrap="square" lIns="0" tIns="0" rIns="0" bIns="0" rtlCol="0">
                        <a:noAutofit/>
                      </wps:bodyPr>
                    </wps:wsp>
                  </a:graphicData>
                </a:graphic>
              </wp:anchor>
            </w:drawing>
          </mc:Choice>
          <mc:Fallback>
            <w:pict>
              <v:shape style="position:absolute;margin-left:45.275002pt;margin-top:17.170294pt;width:516pt;height:15.05pt;mso-position-horizontal-relative:page;mso-position-vertical-relative:paragraph;z-index:-15632896;mso-wrap-distance-left:0;mso-wrap-distance-right:0" type="#_x0000_t202" id="docshape298" filled="true" fillcolor="#c1a875" stroked="true" strokeweight="1pt" strokecolor="#394871">
                <v:textbox inset="0,0,0,0">
                  <w:txbxContent>
                    <w:p>
                      <w:pPr>
                        <w:spacing w:before="0"/>
                        <w:ind w:left="95" w:right="0" w:firstLine="0"/>
                        <w:jc w:val="left"/>
                        <w:rPr>
                          <w:b/>
                          <w:color w:val="000000"/>
                          <w:sz w:val="24"/>
                        </w:rPr>
                      </w:pPr>
                      <w:r>
                        <w:rPr>
                          <w:b/>
                          <w:color w:val="000000"/>
                          <w:sz w:val="24"/>
                        </w:rPr>
                        <w:t>4.</w:t>
                      </w:r>
                      <w:r>
                        <w:rPr>
                          <w:b/>
                          <w:color w:val="000000"/>
                          <w:spacing w:val="30"/>
                          <w:sz w:val="24"/>
                        </w:rPr>
                        <w:t>  </w:t>
                      </w:r>
                      <w:r>
                        <w:rPr>
                          <w:b/>
                          <w:color w:val="000000"/>
                          <w:spacing w:val="-2"/>
                          <w:sz w:val="24"/>
                        </w:rPr>
                        <w:t>Engagement</w:t>
                      </w:r>
                    </w:p>
                  </w:txbxContent>
                </v:textbox>
                <v:fill type="solid"/>
                <v:stroke dashstyle="solid"/>
                <w10:wrap type="topAndBottom"/>
              </v:shape>
            </w:pict>
          </mc:Fallback>
        </mc:AlternateContent>
      </w:r>
    </w:p>
    <w:p>
      <w:pPr>
        <w:pStyle w:val="BodyText"/>
        <w:spacing w:before="13"/>
      </w:pPr>
    </w:p>
    <w:p>
      <w:pPr>
        <w:pStyle w:val="BodyText"/>
        <w:tabs>
          <w:tab w:pos="852" w:val="left" w:leader="none"/>
        </w:tabs>
        <w:spacing w:before="1"/>
        <w:ind w:left="852" w:right="480" w:hanging="710"/>
      </w:pPr>
      <w:r>
        <w:rPr>
          <w:spacing w:val="-4"/>
        </w:rPr>
        <w:t>4.1</w:t>
      </w:r>
      <w:r>
        <w:rPr/>
        <w:tab/>
      </w:r>
      <w:r>
        <w:rPr>
          <w:spacing w:val="-2"/>
        </w:rPr>
        <w:t>The</w:t>
      </w:r>
      <w:r>
        <w:rPr>
          <w:spacing w:val="-10"/>
        </w:rPr>
        <w:t> </w:t>
      </w:r>
      <w:r>
        <w:rPr>
          <w:spacing w:val="-2"/>
        </w:rPr>
        <w:t>RFCDDG</w:t>
      </w:r>
      <w:r>
        <w:rPr>
          <w:spacing w:val="-13"/>
        </w:rPr>
        <w:t> </w:t>
      </w:r>
      <w:r>
        <w:rPr>
          <w:spacing w:val="-2"/>
        </w:rPr>
        <w:t>will</w:t>
      </w:r>
      <w:r>
        <w:rPr>
          <w:spacing w:val="-6"/>
        </w:rPr>
        <w:t> </w:t>
      </w:r>
      <w:r>
        <w:rPr>
          <w:spacing w:val="-2"/>
        </w:rPr>
        <w:t>take</w:t>
      </w:r>
      <w:r>
        <w:rPr>
          <w:spacing w:val="-11"/>
        </w:rPr>
        <w:t> </w:t>
      </w:r>
      <w:r>
        <w:rPr>
          <w:spacing w:val="-2"/>
        </w:rPr>
        <w:t>a</w:t>
      </w:r>
      <w:r>
        <w:rPr>
          <w:spacing w:val="-11"/>
        </w:rPr>
        <w:t> </w:t>
      </w:r>
      <w:r>
        <w:rPr>
          <w:spacing w:val="-2"/>
        </w:rPr>
        <w:t>‘people</w:t>
      </w:r>
      <w:r>
        <w:rPr>
          <w:spacing w:val="-11"/>
        </w:rPr>
        <w:t> </w:t>
      </w:r>
      <w:r>
        <w:rPr>
          <w:spacing w:val="-2"/>
        </w:rPr>
        <w:t>first'</w:t>
      </w:r>
      <w:r>
        <w:rPr>
          <w:spacing w:val="-13"/>
        </w:rPr>
        <w:t> </w:t>
      </w:r>
      <w:r>
        <w:rPr>
          <w:spacing w:val="-2"/>
        </w:rPr>
        <w:t>approach</w:t>
      </w:r>
      <w:r>
        <w:rPr>
          <w:spacing w:val="-8"/>
        </w:rPr>
        <w:t> </w:t>
      </w:r>
      <w:r>
        <w:rPr>
          <w:spacing w:val="-2"/>
        </w:rPr>
        <w:t>–</w:t>
      </w:r>
      <w:r>
        <w:rPr>
          <w:spacing w:val="-11"/>
        </w:rPr>
        <w:t> </w:t>
      </w:r>
      <w:r>
        <w:rPr>
          <w:spacing w:val="-2"/>
        </w:rPr>
        <w:t>putting</w:t>
      </w:r>
      <w:r>
        <w:rPr>
          <w:spacing w:val="-15"/>
        </w:rPr>
        <w:t> </w:t>
      </w:r>
      <w:r>
        <w:rPr>
          <w:spacing w:val="-2"/>
        </w:rPr>
        <w:t>patients,</w:t>
      </w:r>
      <w:r>
        <w:rPr>
          <w:spacing w:val="-13"/>
        </w:rPr>
        <w:t> </w:t>
      </w:r>
      <w:r>
        <w:rPr>
          <w:spacing w:val="-2"/>
        </w:rPr>
        <w:t>our</w:t>
      </w:r>
      <w:r>
        <w:rPr>
          <w:spacing w:val="-12"/>
        </w:rPr>
        <w:t> </w:t>
      </w:r>
      <w:r>
        <w:rPr>
          <w:spacing w:val="-2"/>
        </w:rPr>
        <w:t>communities</w:t>
      </w:r>
      <w:r>
        <w:rPr>
          <w:spacing w:val="-12"/>
        </w:rPr>
        <w:t> </w:t>
      </w:r>
      <w:r>
        <w:rPr>
          <w:spacing w:val="-2"/>
        </w:rPr>
        <w:t>and</w:t>
      </w:r>
      <w:r>
        <w:rPr>
          <w:spacing w:val="-11"/>
        </w:rPr>
        <w:t> </w:t>
      </w:r>
      <w:r>
        <w:rPr>
          <w:spacing w:val="-2"/>
        </w:rPr>
        <w:t>our </w:t>
      </w:r>
      <w:r>
        <w:rPr/>
        <w:t>Health</w:t>
      </w:r>
      <w:r>
        <w:rPr>
          <w:spacing w:val="-3"/>
        </w:rPr>
        <w:t> </w:t>
      </w:r>
      <w:r>
        <w:rPr/>
        <w:t>Boards’ colleagues</w:t>
      </w:r>
      <w:r>
        <w:rPr>
          <w:spacing w:val="-4"/>
        </w:rPr>
        <w:t> </w:t>
      </w:r>
      <w:r>
        <w:rPr/>
        <w:t>at</w:t>
      </w:r>
      <w:r>
        <w:rPr>
          <w:spacing w:val="-1"/>
        </w:rPr>
        <w:t> </w:t>
      </w:r>
      <w:r>
        <w:rPr/>
        <w:t>the</w:t>
      </w:r>
      <w:r>
        <w:rPr>
          <w:spacing w:val="-3"/>
        </w:rPr>
        <w:t> </w:t>
      </w:r>
      <w:r>
        <w:rPr/>
        <w:t>centre</w:t>
      </w:r>
      <w:r>
        <w:rPr>
          <w:spacing w:val="-3"/>
        </w:rPr>
        <w:t> </w:t>
      </w:r>
      <w:r>
        <w:rPr/>
        <w:t>of</w:t>
      </w:r>
      <w:r>
        <w:rPr>
          <w:spacing w:val="-6"/>
        </w:rPr>
        <w:t> </w:t>
      </w:r>
      <w:r>
        <w:rPr/>
        <w:t>our</w:t>
      </w:r>
      <w:r>
        <w:rPr>
          <w:spacing w:val="-4"/>
        </w:rPr>
        <w:t> </w:t>
      </w:r>
      <w:r>
        <w:rPr/>
        <w:t>work.</w:t>
      </w:r>
    </w:p>
    <w:p>
      <w:pPr>
        <w:pStyle w:val="BodyText"/>
        <w:spacing w:before="74"/>
        <w:rPr>
          <w:sz w:val="20"/>
        </w:rPr>
      </w:pPr>
      <w:r>
        <w:rPr>
          <w:sz w:val="20"/>
        </w:rPr>
        <mc:AlternateContent>
          <mc:Choice Requires="wps">
            <w:drawing>
              <wp:anchor distT="0" distB="0" distL="0" distR="0" allowOverlap="1" layoutInCell="1" locked="0" behindDoc="1" simplePos="0" relativeHeight="487684096">
                <wp:simplePos x="0" y="0"/>
                <wp:positionH relativeFrom="page">
                  <wp:posOffset>574992</wp:posOffset>
                </wp:positionH>
                <wp:positionV relativeFrom="paragraph">
                  <wp:posOffset>214674</wp:posOffset>
                </wp:positionV>
                <wp:extent cx="6553200" cy="193675"/>
                <wp:effectExtent l="0" t="0" r="0" b="0"/>
                <wp:wrapTopAndBottom/>
                <wp:docPr id="521" name="Textbox 521"/>
                <wp:cNvGraphicFramePr>
                  <a:graphicFrameLocks/>
                </wp:cNvGraphicFramePr>
                <a:graphic>
                  <a:graphicData uri="http://schemas.microsoft.com/office/word/2010/wordprocessingShape">
                    <wps:wsp>
                      <wps:cNvPr id="521" name="Textbox 521"/>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5.</w:t>
                            </w:r>
                            <w:r>
                              <w:rPr>
                                <w:b/>
                                <w:color w:val="000000"/>
                                <w:spacing w:val="61"/>
                                <w:sz w:val="24"/>
                              </w:rPr>
                              <w:t> </w:t>
                            </w:r>
                            <w:r>
                              <w:rPr>
                                <w:b/>
                                <w:color w:val="000000"/>
                                <w:spacing w:val="-2"/>
                                <w:sz w:val="24"/>
                              </w:rPr>
                              <w:t>Governance</w:t>
                            </w:r>
                          </w:p>
                        </w:txbxContent>
                      </wps:txbx>
                      <wps:bodyPr wrap="square" lIns="0" tIns="0" rIns="0" bIns="0" rtlCol="0">
                        <a:noAutofit/>
                      </wps:bodyPr>
                    </wps:wsp>
                  </a:graphicData>
                </a:graphic>
              </wp:anchor>
            </w:drawing>
          </mc:Choice>
          <mc:Fallback>
            <w:pict>
              <v:shape style="position:absolute;margin-left:45.275002pt;margin-top:16.903515pt;width:516pt;height:15.25pt;mso-position-horizontal-relative:page;mso-position-vertical-relative:paragraph;z-index:-15632384;mso-wrap-distance-left:0;mso-wrap-distance-right:0" type="#_x0000_t202" id="docshape299" filled="true" fillcolor="#c1a875" stroked="true" strokeweight="1pt" strokecolor="#394871">
                <v:textbox inset="0,0,0,0">
                  <w:txbxContent>
                    <w:p>
                      <w:pPr>
                        <w:spacing w:before="0"/>
                        <w:ind w:left="95" w:right="0" w:firstLine="0"/>
                        <w:jc w:val="left"/>
                        <w:rPr>
                          <w:b/>
                          <w:color w:val="000000"/>
                          <w:sz w:val="24"/>
                        </w:rPr>
                      </w:pPr>
                      <w:r>
                        <w:rPr>
                          <w:b/>
                          <w:color w:val="000000"/>
                          <w:sz w:val="24"/>
                        </w:rPr>
                        <w:t>5.</w:t>
                      </w:r>
                      <w:r>
                        <w:rPr>
                          <w:b/>
                          <w:color w:val="000000"/>
                          <w:spacing w:val="61"/>
                          <w:sz w:val="24"/>
                        </w:rPr>
                        <w:t> </w:t>
                      </w:r>
                      <w:r>
                        <w:rPr>
                          <w:b/>
                          <w:color w:val="000000"/>
                          <w:spacing w:val="-2"/>
                          <w:sz w:val="24"/>
                        </w:rPr>
                        <w:t>Governance</w:t>
                      </w:r>
                    </w:p>
                  </w:txbxContent>
                </v:textbox>
                <v:fill type="solid"/>
                <v:stroke dashstyle="solid"/>
                <w10:wrap type="topAndBottom"/>
              </v:shape>
            </w:pict>
          </mc:Fallback>
        </mc:AlternateContent>
      </w:r>
    </w:p>
    <w:p>
      <w:pPr>
        <w:pStyle w:val="BodyText"/>
        <w:spacing w:before="9"/>
      </w:pPr>
    </w:p>
    <w:p>
      <w:pPr>
        <w:pStyle w:val="ListParagraph"/>
        <w:numPr>
          <w:ilvl w:val="1"/>
          <w:numId w:val="71"/>
        </w:numPr>
        <w:tabs>
          <w:tab w:pos="852" w:val="left" w:leader="none"/>
        </w:tabs>
        <w:spacing w:line="240" w:lineRule="auto" w:before="0" w:after="0"/>
        <w:ind w:left="852" w:right="980" w:hanging="710"/>
        <w:jc w:val="left"/>
        <w:rPr>
          <w:sz w:val="24"/>
        </w:rPr>
      </w:pPr>
      <w:r>
        <w:rPr>
          <w:sz w:val="24"/>
        </w:rPr>
        <w:t>The</w:t>
      </w:r>
      <w:r>
        <w:rPr>
          <w:spacing w:val="-9"/>
          <w:sz w:val="24"/>
        </w:rPr>
        <w:t> </w:t>
      </w:r>
      <w:r>
        <w:rPr>
          <w:sz w:val="24"/>
        </w:rPr>
        <w:t>RFCDDG</w:t>
      </w:r>
      <w:r>
        <w:rPr>
          <w:spacing w:val="-12"/>
          <w:sz w:val="24"/>
        </w:rPr>
        <w:t> </w:t>
      </w:r>
      <w:r>
        <w:rPr>
          <w:sz w:val="24"/>
        </w:rPr>
        <w:t>will</w:t>
      </w:r>
      <w:r>
        <w:rPr>
          <w:spacing w:val="-10"/>
          <w:sz w:val="24"/>
        </w:rPr>
        <w:t> </w:t>
      </w:r>
      <w:r>
        <w:rPr>
          <w:sz w:val="24"/>
        </w:rPr>
        <w:t>operate</w:t>
      </w:r>
      <w:r>
        <w:rPr>
          <w:spacing w:val="-15"/>
          <w:sz w:val="24"/>
        </w:rPr>
        <w:t> </w:t>
      </w:r>
      <w:r>
        <w:rPr>
          <w:sz w:val="24"/>
        </w:rPr>
        <w:t>in</w:t>
      </w:r>
      <w:r>
        <w:rPr>
          <w:spacing w:val="-15"/>
          <w:sz w:val="24"/>
        </w:rPr>
        <w:t> </w:t>
      </w:r>
      <w:r>
        <w:rPr>
          <w:sz w:val="24"/>
        </w:rPr>
        <w:t>accordance</w:t>
      </w:r>
      <w:r>
        <w:rPr>
          <w:spacing w:val="-10"/>
          <w:sz w:val="24"/>
        </w:rPr>
        <w:t> </w:t>
      </w:r>
      <w:r>
        <w:rPr>
          <w:sz w:val="24"/>
        </w:rPr>
        <w:t>with</w:t>
      </w:r>
      <w:r>
        <w:rPr>
          <w:spacing w:val="-5"/>
          <w:sz w:val="24"/>
        </w:rPr>
        <w:t> </w:t>
      </w:r>
      <w:r>
        <w:rPr>
          <w:sz w:val="24"/>
        </w:rPr>
        <w:t>the</w:t>
      </w:r>
      <w:r>
        <w:rPr>
          <w:spacing w:val="-7"/>
          <w:sz w:val="24"/>
        </w:rPr>
        <w:t> </w:t>
      </w:r>
      <w:r>
        <w:rPr>
          <w:sz w:val="24"/>
        </w:rPr>
        <w:t>Regional</w:t>
      </w:r>
      <w:r>
        <w:rPr>
          <w:spacing w:val="-5"/>
          <w:sz w:val="24"/>
        </w:rPr>
        <w:t> </w:t>
      </w:r>
      <w:r>
        <w:rPr>
          <w:sz w:val="24"/>
        </w:rPr>
        <w:t>Joint</w:t>
      </w:r>
      <w:r>
        <w:rPr>
          <w:spacing w:val="-17"/>
          <w:sz w:val="24"/>
        </w:rPr>
        <w:t> </w:t>
      </w:r>
      <w:r>
        <w:rPr>
          <w:sz w:val="24"/>
        </w:rPr>
        <w:t>Committee</w:t>
      </w:r>
      <w:r>
        <w:rPr>
          <w:spacing w:val="-7"/>
          <w:sz w:val="24"/>
        </w:rPr>
        <w:t> </w:t>
      </w:r>
      <w:r>
        <w:rPr>
          <w:sz w:val="24"/>
        </w:rPr>
        <w:t>design </w:t>
      </w:r>
      <w:r>
        <w:rPr>
          <w:spacing w:val="-2"/>
          <w:sz w:val="24"/>
        </w:rPr>
        <w:t>principles</w:t>
      </w:r>
      <w:r>
        <w:rPr>
          <w:spacing w:val="-15"/>
          <w:sz w:val="24"/>
        </w:rPr>
        <w:t> </w:t>
      </w:r>
      <w:r>
        <w:rPr>
          <w:spacing w:val="-2"/>
          <w:sz w:val="24"/>
        </w:rPr>
        <w:t>(agreed</w:t>
      </w:r>
      <w:r>
        <w:rPr>
          <w:spacing w:val="-11"/>
          <w:sz w:val="24"/>
        </w:rPr>
        <w:t> </w:t>
      </w:r>
      <w:r>
        <w:rPr>
          <w:spacing w:val="-2"/>
          <w:sz w:val="24"/>
        </w:rPr>
        <w:t>set</w:t>
      </w:r>
      <w:r>
        <w:rPr>
          <w:spacing w:val="-15"/>
          <w:sz w:val="24"/>
        </w:rPr>
        <w:t> </w:t>
      </w:r>
      <w:r>
        <w:rPr>
          <w:spacing w:val="-2"/>
          <w:sz w:val="24"/>
        </w:rPr>
        <w:t>of</w:t>
      </w:r>
      <w:r>
        <w:rPr>
          <w:spacing w:val="-14"/>
          <w:sz w:val="24"/>
        </w:rPr>
        <w:t> </w:t>
      </w:r>
      <w:r>
        <w:rPr>
          <w:spacing w:val="-2"/>
          <w:sz w:val="24"/>
        </w:rPr>
        <w:t>rules</w:t>
      </w:r>
      <w:r>
        <w:rPr>
          <w:spacing w:val="-13"/>
          <w:sz w:val="24"/>
        </w:rPr>
        <w:t> </w:t>
      </w:r>
      <w:r>
        <w:rPr>
          <w:spacing w:val="-2"/>
          <w:sz w:val="24"/>
        </w:rPr>
        <w:t>defining</w:t>
      </w:r>
      <w:r>
        <w:rPr>
          <w:spacing w:val="-12"/>
          <w:sz w:val="24"/>
        </w:rPr>
        <w:t> </w:t>
      </w:r>
      <w:r>
        <w:rPr>
          <w:spacing w:val="-2"/>
          <w:sz w:val="24"/>
        </w:rPr>
        <w:t>purpose</w:t>
      </w:r>
      <w:r>
        <w:rPr>
          <w:spacing w:val="-8"/>
          <w:sz w:val="24"/>
        </w:rPr>
        <w:t> </w:t>
      </w:r>
      <w:r>
        <w:rPr>
          <w:spacing w:val="-2"/>
          <w:sz w:val="24"/>
        </w:rPr>
        <w:t>through</w:t>
      </w:r>
      <w:r>
        <w:rPr>
          <w:spacing w:val="-12"/>
          <w:sz w:val="24"/>
        </w:rPr>
        <w:t> </w:t>
      </w:r>
      <w:r>
        <w:rPr>
          <w:spacing w:val="-2"/>
          <w:sz w:val="24"/>
        </w:rPr>
        <w:t>intention</w:t>
      </w:r>
      <w:r>
        <w:rPr>
          <w:spacing w:val="-15"/>
          <w:sz w:val="24"/>
        </w:rPr>
        <w:t> </w:t>
      </w:r>
      <w:r>
        <w:rPr>
          <w:spacing w:val="-2"/>
          <w:sz w:val="24"/>
        </w:rPr>
        <w:t>and</w:t>
      </w:r>
      <w:r>
        <w:rPr>
          <w:spacing w:val="-15"/>
          <w:sz w:val="24"/>
        </w:rPr>
        <w:t> </w:t>
      </w:r>
      <w:r>
        <w:rPr>
          <w:spacing w:val="-2"/>
          <w:sz w:val="24"/>
        </w:rPr>
        <w:t>behaviour)</w:t>
      </w:r>
      <w:r>
        <w:rPr>
          <w:spacing w:val="-10"/>
          <w:sz w:val="24"/>
        </w:rPr>
        <w:t> </w:t>
      </w:r>
      <w:r>
        <w:rPr>
          <w:spacing w:val="-2"/>
          <w:sz w:val="24"/>
        </w:rPr>
        <w:t>which </w:t>
      </w:r>
      <w:r>
        <w:rPr>
          <w:sz w:val="24"/>
        </w:rPr>
        <w:t>have</w:t>
      </w:r>
      <w:r>
        <w:rPr>
          <w:spacing w:val="-8"/>
          <w:sz w:val="24"/>
        </w:rPr>
        <w:t> </w:t>
      </w:r>
      <w:r>
        <w:rPr>
          <w:sz w:val="24"/>
        </w:rPr>
        <w:t>been</w:t>
      </w:r>
      <w:r>
        <w:rPr>
          <w:spacing w:val="-8"/>
          <w:sz w:val="24"/>
        </w:rPr>
        <w:t> </w:t>
      </w:r>
      <w:r>
        <w:rPr>
          <w:sz w:val="24"/>
        </w:rPr>
        <w:t>agreed</w:t>
      </w:r>
      <w:r>
        <w:rPr>
          <w:spacing w:val="-8"/>
          <w:sz w:val="24"/>
        </w:rPr>
        <w:t> </w:t>
      </w:r>
      <w:r>
        <w:rPr>
          <w:sz w:val="24"/>
        </w:rPr>
        <w:t>by</w:t>
      </w:r>
      <w:r>
        <w:rPr>
          <w:spacing w:val="-13"/>
          <w:sz w:val="24"/>
        </w:rPr>
        <w:t> </w:t>
      </w:r>
      <w:r>
        <w:rPr>
          <w:sz w:val="24"/>
        </w:rPr>
        <w:t>both</w:t>
      </w:r>
      <w:r>
        <w:rPr>
          <w:spacing w:val="-3"/>
          <w:sz w:val="24"/>
        </w:rPr>
        <w:t> </w:t>
      </w:r>
      <w:r>
        <w:rPr>
          <w:sz w:val="24"/>
        </w:rPr>
        <w:t>Boards</w:t>
      </w:r>
      <w:r>
        <w:rPr>
          <w:spacing w:val="-13"/>
          <w:sz w:val="24"/>
        </w:rPr>
        <w:t> </w:t>
      </w:r>
      <w:r>
        <w:rPr>
          <w:sz w:val="24"/>
        </w:rPr>
        <w:t>in</w:t>
      </w:r>
      <w:r>
        <w:rPr>
          <w:spacing w:val="-13"/>
          <w:sz w:val="24"/>
        </w:rPr>
        <w:t> </w:t>
      </w:r>
      <w:r>
        <w:rPr>
          <w:sz w:val="24"/>
        </w:rPr>
        <w:t>November</w:t>
      </w:r>
      <w:r>
        <w:rPr>
          <w:spacing w:val="-9"/>
          <w:sz w:val="24"/>
        </w:rPr>
        <w:t> </w:t>
      </w:r>
      <w:r>
        <w:rPr>
          <w:sz w:val="24"/>
        </w:rPr>
        <w:t>2024.</w:t>
      </w:r>
      <w:r>
        <w:rPr>
          <w:spacing w:val="-11"/>
          <w:sz w:val="24"/>
        </w:rPr>
        <w:t> </w:t>
      </w:r>
      <w:r>
        <w:rPr>
          <w:sz w:val="24"/>
        </w:rPr>
        <w:t>The</w:t>
      </w:r>
      <w:r>
        <w:rPr>
          <w:spacing w:val="-8"/>
          <w:sz w:val="24"/>
        </w:rPr>
        <w:t> </w:t>
      </w:r>
      <w:r>
        <w:rPr>
          <w:sz w:val="24"/>
        </w:rPr>
        <w:t>benefits</w:t>
      </w:r>
      <w:r>
        <w:rPr>
          <w:spacing w:val="-9"/>
          <w:sz w:val="24"/>
        </w:rPr>
        <w:t> </w:t>
      </w:r>
      <w:r>
        <w:rPr>
          <w:sz w:val="24"/>
        </w:rPr>
        <w:t>of</w:t>
      </w:r>
      <w:r>
        <w:rPr>
          <w:spacing w:val="-11"/>
          <w:sz w:val="24"/>
        </w:rPr>
        <w:t> </w:t>
      </w:r>
      <w:r>
        <w:rPr>
          <w:sz w:val="24"/>
        </w:rPr>
        <w:t>using</w:t>
      </w:r>
      <w:r>
        <w:rPr>
          <w:spacing w:val="-8"/>
          <w:sz w:val="24"/>
        </w:rPr>
        <w:t> </w:t>
      </w:r>
      <w:r>
        <w:rPr>
          <w:sz w:val="24"/>
        </w:rPr>
        <w:t>design principles are as follows:</w:t>
      </w:r>
    </w:p>
    <w:p>
      <w:pPr>
        <w:spacing w:before="204"/>
        <w:ind w:left="4" w:right="284" w:firstLine="0"/>
        <w:jc w:val="center"/>
        <w:rPr>
          <w:sz w:val="20"/>
        </w:rPr>
      </w:pPr>
      <w:r>
        <w:rPr>
          <w:spacing w:val="-10"/>
          <w:sz w:val="20"/>
        </w:rPr>
        <w:t>3</w:t>
      </w:r>
    </w:p>
    <w:p>
      <w:pPr>
        <w:spacing w:after="0"/>
        <w:jc w:val="center"/>
        <w:rPr>
          <w:sz w:val="20"/>
        </w:rPr>
        <w:sectPr>
          <w:pgSz w:w="11910" w:h="16840"/>
          <w:pgMar w:header="0" w:footer="149" w:top="920" w:bottom="340" w:left="708" w:right="425"/>
        </w:sectPr>
      </w:pPr>
    </w:p>
    <w:p>
      <w:pPr>
        <w:pStyle w:val="ListParagraph"/>
        <w:numPr>
          <w:ilvl w:val="2"/>
          <w:numId w:val="71"/>
        </w:numPr>
        <w:tabs>
          <w:tab w:pos="1277" w:val="left" w:leader="none"/>
        </w:tabs>
        <w:spacing w:line="240" w:lineRule="auto" w:before="70" w:after="0"/>
        <w:ind w:left="1277" w:right="0" w:hanging="360"/>
        <w:jc w:val="left"/>
        <w:rPr>
          <w:sz w:val="24"/>
        </w:rPr>
      </w:pPr>
      <w:r>
        <w:rPr>
          <w:spacing w:val="-2"/>
          <w:sz w:val="24"/>
        </w:rPr>
        <w:t>They</w:t>
      </w:r>
      <w:r>
        <w:rPr>
          <w:spacing w:val="-13"/>
          <w:sz w:val="24"/>
        </w:rPr>
        <w:t> </w:t>
      </w:r>
      <w:r>
        <w:rPr>
          <w:spacing w:val="-2"/>
          <w:sz w:val="24"/>
        </w:rPr>
        <w:t>will</w:t>
      </w:r>
      <w:r>
        <w:rPr>
          <w:spacing w:val="-9"/>
          <w:sz w:val="24"/>
        </w:rPr>
        <w:t> </w:t>
      </w:r>
      <w:r>
        <w:rPr>
          <w:spacing w:val="-2"/>
          <w:sz w:val="24"/>
        </w:rPr>
        <w:t>embed</w:t>
      </w:r>
      <w:r>
        <w:rPr>
          <w:spacing w:val="-9"/>
          <w:sz w:val="24"/>
        </w:rPr>
        <w:t> </w:t>
      </w:r>
      <w:r>
        <w:rPr>
          <w:spacing w:val="-2"/>
          <w:sz w:val="24"/>
        </w:rPr>
        <w:t>our</w:t>
      </w:r>
      <w:r>
        <w:rPr>
          <w:spacing w:val="-11"/>
          <w:sz w:val="24"/>
        </w:rPr>
        <w:t> </w:t>
      </w:r>
      <w:r>
        <w:rPr>
          <w:spacing w:val="-2"/>
          <w:sz w:val="24"/>
        </w:rPr>
        <w:t>values</w:t>
      </w:r>
      <w:r>
        <w:rPr>
          <w:spacing w:val="-10"/>
          <w:sz w:val="24"/>
        </w:rPr>
        <w:t> </w:t>
      </w:r>
      <w:r>
        <w:rPr>
          <w:spacing w:val="-2"/>
          <w:sz w:val="24"/>
        </w:rPr>
        <w:t>in</w:t>
      </w:r>
      <w:r>
        <w:rPr>
          <w:spacing w:val="-9"/>
          <w:sz w:val="24"/>
        </w:rPr>
        <w:t> </w:t>
      </w:r>
      <w:r>
        <w:rPr>
          <w:spacing w:val="-2"/>
          <w:sz w:val="24"/>
        </w:rPr>
        <w:t>our</w:t>
      </w:r>
      <w:r>
        <w:rPr>
          <w:spacing w:val="-10"/>
          <w:sz w:val="24"/>
        </w:rPr>
        <w:t> </w:t>
      </w:r>
      <w:r>
        <w:rPr>
          <w:spacing w:val="-2"/>
          <w:sz w:val="24"/>
        </w:rPr>
        <w:t>behaviours</w:t>
      </w:r>
      <w:r>
        <w:rPr>
          <w:spacing w:val="-10"/>
          <w:sz w:val="24"/>
        </w:rPr>
        <w:t> </w:t>
      </w:r>
      <w:r>
        <w:rPr>
          <w:spacing w:val="-2"/>
          <w:sz w:val="24"/>
        </w:rPr>
        <w:t>and</w:t>
      </w:r>
      <w:r>
        <w:rPr>
          <w:spacing w:val="-14"/>
          <w:sz w:val="24"/>
        </w:rPr>
        <w:t> </w:t>
      </w:r>
      <w:r>
        <w:rPr>
          <w:spacing w:val="-2"/>
          <w:sz w:val="24"/>
        </w:rPr>
        <w:t>actions;</w:t>
      </w:r>
    </w:p>
    <w:p>
      <w:pPr>
        <w:pStyle w:val="ListParagraph"/>
        <w:numPr>
          <w:ilvl w:val="2"/>
          <w:numId w:val="71"/>
        </w:numPr>
        <w:tabs>
          <w:tab w:pos="1277" w:val="left" w:leader="none"/>
        </w:tabs>
        <w:spacing w:line="240" w:lineRule="auto" w:before="243" w:after="0"/>
        <w:ind w:left="1277" w:right="0" w:hanging="360"/>
        <w:jc w:val="left"/>
        <w:rPr>
          <w:sz w:val="24"/>
        </w:rPr>
      </w:pPr>
      <w:r>
        <w:rPr>
          <w:spacing w:val="-2"/>
          <w:sz w:val="24"/>
        </w:rPr>
        <w:t>They</w:t>
      </w:r>
      <w:r>
        <w:rPr>
          <w:spacing w:val="-15"/>
          <w:sz w:val="24"/>
        </w:rPr>
        <w:t> </w:t>
      </w:r>
      <w:r>
        <w:rPr>
          <w:spacing w:val="-2"/>
          <w:sz w:val="24"/>
        </w:rPr>
        <w:t>will</w:t>
      </w:r>
      <w:r>
        <w:rPr>
          <w:spacing w:val="-10"/>
          <w:sz w:val="24"/>
        </w:rPr>
        <w:t> </w:t>
      </w:r>
      <w:r>
        <w:rPr>
          <w:spacing w:val="-2"/>
          <w:sz w:val="24"/>
        </w:rPr>
        <w:t>provide</w:t>
      </w:r>
      <w:r>
        <w:rPr>
          <w:spacing w:val="-9"/>
          <w:sz w:val="24"/>
        </w:rPr>
        <w:t> </w:t>
      </w:r>
      <w:r>
        <w:rPr>
          <w:spacing w:val="-2"/>
          <w:sz w:val="24"/>
        </w:rPr>
        <w:t>a</w:t>
      </w:r>
      <w:r>
        <w:rPr>
          <w:spacing w:val="-10"/>
          <w:sz w:val="24"/>
        </w:rPr>
        <w:t> </w:t>
      </w:r>
      <w:r>
        <w:rPr>
          <w:spacing w:val="-2"/>
          <w:sz w:val="24"/>
        </w:rPr>
        <w:t>compass</w:t>
      </w:r>
      <w:r>
        <w:rPr>
          <w:spacing w:val="-11"/>
          <w:sz w:val="24"/>
        </w:rPr>
        <w:t> </w:t>
      </w:r>
      <w:r>
        <w:rPr>
          <w:spacing w:val="-2"/>
          <w:sz w:val="24"/>
        </w:rPr>
        <w:t>point</w:t>
      </w:r>
      <w:r>
        <w:rPr>
          <w:spacing w:val="-15"/>
          <w:sz w:val="24"/>
        </w:rPr>
        <w:t> </w:t>
      </w:r>
      <w:r>
        <w:rPr>
          <w:spacing w:val="-2"/>
          <w:sz w:val="24"/>
        </w:rPr>
        <w:t>when</w:t>
      </w:r>
      <w:r>
        <w:rPr>
          <w:spacing w:val="-10"/>
          <w:sz w:val="24"/>
        </w:rPr>
        <w:t> </w:t>
      </w:r>
      <w:r>
        <w:rPr>
          <w:spacing w:val="-2"/>
          <w:sz w:val="24"/>
        </w:rPr>
        <w:t>conflict</w:t>
      </w:r>
      <w:r>
        <w:rPr>
          <w:spacing w:val="-12"/>
          <w:sz w:val="24"/>
        </w:rPr>
        <w:t> </w:t>
      </w:r>
      <w:r>
        <w:rPr>
          <w:spacing w:val="-2"/>
          <w:sz w:val="24"/>
        </w:rPr>
        <w:t>or</w:t>
      </w:r>
      <w:r>
        <w:rPr>
          <w:spacing w:val="-15"/>
          <w:sz w:val="24"/>
        </w:rPr>
        <w:t> </w:t>
      </w:r>
      <w:r>
        <w:rPr>
          <w:spacing w:val="-2"/>
          <w:sz w:val="24"/>
        </w:rPr>
        <w:t>disagreement</w:t>
      </w:r>
      <w:r>
        <w:rPr>
          <w:spacing w:val="-12"/>
          <w:sz w:val="24"/>
        </w:rPr>
        <w:t> </w:t>
      </w:r>
      <w:r>
        <w:rPr>
          <w:spacing w:val="-2"/>
          <w:sz w:val="24"/>
        </w:rPr>
        <w:t>occurs;</w:t>
      </w:r>
    </w:p>
    <w:p>
      <w:pPr>
        <w:pStyle w:val="ListParagraph"/>
        <w:numPr>
          <w:ilvl w:val="2"/>
          <w:numId w:val="71"/>
        </w:numPr>
        <w:tabs>
          <w:tab w:pos="1277" w:val="left" w:leader="none"/>
        </w:tabs>
        <w:spacing w:line="240" w:lineRule="auto" w:before="239" w:after="0"/>
        <w:ind w:left="1277" w:right="0" w:hanging="360"/>
        <w:jc w:val="left"/>
        <w:rPr>
          <w:sz w:val="24"/>
        </w:rPr>
      </w:pPr>
      <w:r>
        <w:rPr>
          <w:spacing w:val="-2"/>
          <w:sz w:val="24"/>
        </w:rPr>
        <w:t>They</w:t>
      </w:r>
      <w:r>
        <w:rPr>
          <w:spacing w:val="-10"/>
          <w:sz w:val="24"/>
        </w:rPr>
        <w:t> </w:t>
      </w:r>
      <w:r>
        <w:rPr>
          <w:spacing w:val="-2"/>
          <w:sz w:val="24"/>
        </w:rPr>
        <w:t>will</w:t>
      </w:r>
      <w:r>
        <w:rPr>
          <w:spacing w:val="-9"/>
          <w:sz w:val="24"/>
        </w:rPr>
        <w:t> </w:t>
      </w:r>
      <w:r>
        <w:rPr>
          <w:spacing w:val="-2"/>
          <w:sz w:val="24"/>
        </w:rPr>
        <w:t>ensure</w:t>
      </w:r>
      <w:r>
        <w:rPr>
          <w:spacing w:val="-9"/>
          <w:sz w:val="24"/>
        </w:rPr>
        <w:t> </w:t>
      </w:r>
      <w:r>
        <w:rPr>
          <w:spacing w:val="-2"/>
          <w:sz w:val="24"/>
        </w:rPr>
        <w:t>we</w:t>
      </w:r>
      <w:r>
        <w:rPr>
          <w:spacing w:val="-9"/>
          <w:sz w:val="24"/>
        </w:rPr>
        <w:t> </w:t>
      </w:r>
      <w:r>
        <w:rPr>
          <w:spacing w:val="-2"/>
          <w:sz w:val="24"/>
        </w:rPr>
        <w:t>are</w:t>
      </w:r>
      <w:r>
        <w:rPr>
          <w:spacing w:val="-4"/>
          <w:sz w:val="24"/>
        </w:rPr>
        <w:t> </w:t>
      </w:r>
      <w:r>
        <w:rPr>
          <w:spacing w:val="-2"/>
          <w:sz w:val="24"/>
        </w:rPr>
        <w:t>consistent</w:t>
      </w:r>
      <w:r>
        <w:rPr>
          <w:spacing w:val="-12"/>
          <w:sz w:val="24"/>
        </w:rPr>
        <w:t> </w:t>
      </w:r>
      <w:r>
        <w:rPr>
          <w:spacing w:val="-2"/>
          <w:sz w:val="24"/>
        </w:rPr>
        <w:t>in</w:t>
      </w:r>
      <w:r>
        <w:rPr>
          <w:spacing w:val="-9"/>
          <w:sz w:val="24"/>
        </w:rPr>
        <w:t> </w:t>
      </w:r>
      <w:r>
        <w:rPr>
          <w:spacing w:val="-2"/>
          <w:sz w:val="24"/>
        </w:rPr>
        <w:t>what</w:t>
      </w:r>
      <w:r>
        <w:rPr>
          <w:spacing w:val="-11"/>
          <w:sz w:val="24"/>
        </w:rPr>
        <w:t> </w:t>
      </w:r>
      <w:r>
        <w:rPr>
          <w:spacing w:val="-2"/>
          <w:sz w:val="24"/>
        </w:rPr>
        <w:t>we</w:t>
      </w:r>
      <w:r>
        <w:rPr>
          <w:spacing w:val="-9"/>
          <w:sz w:val="24"/>
        </w:rPr>
        <w:t> </w:t>
      </w:r>
      <w:r>
        <w:rPr>
          <w:spacing w:val="-2"/>
          <w:sz w:val="24"/>
        </w:rPr>
        <w:t>say</w:t>
      </w:r>
      <w:r>
        <w:rPr>
          <w:spacing w:val="-15"/>
          <w:sz w:val="24"/>
        </w:rPr>
        <w:t> </w:t>
      </w:r>
      <w:r>
        <w:rPr>
          <w:spacing w:val="-2"/>
          <w:sz w:val="24"/>
        </w:rPr>
        <w:t>and</w:t>
      </w:r>
      <w:r>
        <w:rPr>
          <w:spacing w:val="-9"/>
          <w:sz w:val="24"/>
        </w:rPr>
        <w:t> </w:t>
      </w:r>
      <w:r>
        <w:rPr>
          <w:spacing w:val="-2"/>
          <w:sz w:val="24"/>
        </w:rPr>
        <w:t>do;</w:t>
      </w:r>
      <w:r>
        <w:rPr>
          <w:spacing w:val="-11"/>
          <w:sz w:val="24"/>
        </w:rPr>
        <w:t> </w:t>
      </w:r>
      <w:r>
        <w:rPr>
          <w:spacing w:val="-5"/>
          <w:sz w:val="24"/>
        </w:rPr>
        <w:t>and</w:t>
      </w:r>
    </w:p>
    <w:p>
      <w:pPr>
        <w:pStyle w:val="ListParagraph"/>
        <w:numPr>
          <w:ilvl w:val="2"/>
          <w:numId w:val="71"/>
        </w:numPr>
        <w:tabs>
          <w:tab w:pos="1277" w:val="left" w:leader="none"/>
        </w:tabs>
        <w:spacing w:line="240" w:lineRule="auto" w:before="242" w:after="0"/>
        <w:ind w:left="1277" w:right="0" w:hanging="360"/>
        <w:jc w:val="left"/>
        <w:rPr>
          <w:sz w:val="24"/>
        </w:rPr>
      </w:pPr>
      <w:r>
        <w:rPr>
          <w:spacing w:val="-2"/>
          <w:sz w:val="24"/>
        </w:rPr>
        <w:t>They</w:t>
      </w:r>
      <w:r>
        <w:rPr>
          <w:spacing w:val="-15"/>
          <w:sz w:val="24"/>
        </w:rPr>
        <w:t> </w:t>
      </w:r>
      <w:r>
        <w:rPr>
          <w:spacing w:val="-2"/>
          <w:sz w:val="24"/>
        </w:rPr>
        <w:t>are</w:t>
      </w:r>
      <w:r>
        <w:rPr>
          <w:spacing w:val="-15"/>
          <w:sz w:val="24"/>
        </w:rPr>
        <w:t> </w:t>
      </w:r>
      <w:r>
        <w:rPr>
          <w:spacing w:val="-2"/>
          <w:sz w:val="24"/>
        </w:rPr>
        <w:t>universally</w:t>
      </w:r>
      <w:r>
        <w:rPr>
          <w:spacing w:val="-14"/>
          <w:sz w:val="24"/>
        </w:rPr>
        <w:t> </w:t>
      </w:r>
      <w:r>
        <w:rPr>
          <w:spacing w:val="-2"/>
          <w:sz w:val="24"/>
        </w:rPr>
        <w:t>understood</w:t>
      </w:r>
      <w:r>
        <w:rPr>
          <w:spacing w:val="-15"/>
          <w:sz w:val="24"/>
        </w:rPr>
        <w:t> </w:t>
      </w:r>
      <w:r>
        <w:rPr>
          <w:spacing w:val="-2"/>
          <w:sz w:val="24"/>
        </w:rPr>
        <w:t>and</w:t>
      </w:r>
      <w:r>
        <w:rPr>
          <w:spacing w:val="-11"/>
          <w:sz w:val="24"/>
        </w:rPr>
        <w:t> </w:t>
      </w:r>
      <w:r>
        <w:rPr>
          <w:spacing w:val="-2"/>
          <w:sz w:val="24"/>
        </w:rPr>
        <w:t>accepted.</w:t>
      </w:r>
    </w:p>
    <w:p>
      <w:pPr>
        <w:pStyle w:val="BodyText"/>
        <w:spacing w:before="237"/>
      </w:pPr>
    </w:p>
    <w:p>
      <w:pPr>
        <w:pStyle w:val="BodyText"/>
        <w:ind w:left="852"/>
      </w:pPr>
      <w:r>
        <w:rPr>
          <w:spacing w:val="-2"/>
        </w:rPr>
        <w:t>The</w:t>
      </w:r>
      <w:r>
        <w:rPr>
          <w:spacing w:val="-12"/>
        </w:rPr>
        <w:t> </w:t>
      </w:r>
      <w:r>
        <w:rPr>
          <w:spacing w:val="-2"/>
        </w:rPr>
        <w:t>design</w:t>
      </w:r>
      <w:r>
        <w:rPr>
          <w:spacing w:val="-11"/>
        </w:rPr>
        <w:t> </w:t>
      </w:r>
      <w:r>
        <w:rPr>
          <w:spacing w:val="-2"/>
        </w:rPr>
        <w:t>principles</w:t>
      </w:r>
      <w:r>
        <w:rPr>
          <w:spacing w:val="-12"/>
        </w:rPr>
        <w:t> </w:t>
      </w:r>
      <w:r>
        <w:rPr>
          <w:spacing w:val="-2"/>
        </w:rPr>
        <w:t>agreed</w:t>
      </w:r>
      <w:r>
        <w:rPr>
          <w:spacing w:val="-15"/>
        </w:rPr>
        <w:t> </w:t>
      </w:r>
      <w:r>
        <w:rPr>
          <w:spacing w:val="-2"/>
        </w:rPr>
        <w:t>by</w:t>
      </w:r>
      <w:r>
        <w:rPr>
          <w:spacing w:val="-12"/>
        </w:rPr>
        <w:t> </w:t>
      </w:r>
      <w:r>
        <w:rPr>
          <w:spacing w:val="-2"/>
        </w:rPr>
        <w:t>both</w:t>
      </w:r>
      <w:r>
        <w:rPr>
          <w:spacing w:val="-11"/>
        </w:rPr>
        <w:t> </w:t>
      </w:r>
      <w:r>
        <w:rPr>
          <w:spacing w:val="-2"/>
        </w:rPr>
        <w:t>Boards</w:t>
      </w:r>
      <w:r>
        <w:rPr>
          <w:spacing w:val="-11"/>
        </w:rPr>
        <w:t> </w:t>
      </w:r>
      <w:r>
        <w:rPr>
          <w:spacing w:val="-4"/>
        </w:rPr>
        <w:t>are:</w:t>
      </w:r>
    </w:p>
    <w:p>
      <w:pPr>
        <w:pStyle w:val="BodyText"/>
        <w:spacing w:before="49" w:after="1"/>
        <w:rPr>
          <w:sz w:val="20"/>
        </w:rPr>
      </w:pPr>
    </w:p>
    <w:tbl>
      <w:tblPr>
        <w:tblW w:w="0" w:type="auto"/>
        <w:jc w:val="left"/>
        <w:tblInd w:w="8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486"/>
        <w:gridCol w:w="7658"/>
      </w:tblGrid>
      <w:tr>
        <w:trPr>
          <w:trHeight w:val="545" w:hRule="atLeast"/>
        </w:trPr>
        <w:tc>
          <w:tcPr>
            <w:tcW w:w="1486" w:type="dxa"/>
            <w:tcBorders>
              <w:left w:val="single" w:sz="8" w:space="0" w:color="000000"/>
              <w:bottom w:val="single" w:sz="8" w:space="0" w:color="000000"/>
              <w:right w:val="single" w:sz="8" w:space="0" w:color="000000"/>
            </w:tcBorders>
          </w:tcPr>
          <w:p>
            <w:pPr>
              <w:pStyle w:val="TableParagraph"/>
              <w:spacing w:line="271" w:lineRule="exact"/>
              <w:ind w:left="110"/>
              <w:rPr>
                <w:sz w:val="24"/>
              </w:rPr>
            </w:pPr>
            <w:r>
              <w:rPr>
                <w:spacing w:val="-2"/>
                <w:sz w:val="24"/>
              </w:rPr>
              <w:t>Mindset</w:t>
            </w:r>
          </w:p>
        </w:tc>
        <w:tc>
          <w:tcPr>
            <w:tcW w:w="7658" w:type="dxa"/>
            <w:tcBorders>
              <w:left w:val="single" w:sz="8" w:space="0" w:color="000000"/>
              <w:bottom w:val="single" w:sz="8" w:space="0" w:color="000000"/>
              <w:right w:val="single" w:sz="8" w:space="0" w:color="000000"/>
            </w:tcBorders>
          </w:tcPr>
          <w:p>
            <w:pPr>
              <w:pStyle w:val="TableParagraph"/>
              <w:spacing w:line="276" w:lineRule="exact"/>
              <w:ind w:left="105"/>
              <w:rPr>
                <w:sz w:val="24"/>
              </w:rPr>
            </w:pPr>
            <w:r>
              <w:rPr>
                <w:spacing w:val="-2"/>
                <w:sz w:val="24"/>
              </w:rPr>
              <w:t>Trusting</w:t>
            </w:r>
            <w:r>
              <w:rPr>
                <w:spacing w:val="-15"/>
                <w:sz w:val="24"/>
              </w:rPr>
              <w:t> </w:t>
            </w:r>
            <w:r>
              <w:rPr>
                <w:spacing w:val="-2"/>
                <w:sz w:val="24"/>
              </w:rPr>
              <w:t>each</w:t>
            </w:r>
            <w:r>
              <w:rPr>
                <w:spacing w:val="-12"/>
                <w:sz w:val="24"/>
              </w:rPr>
              <w:t> </w:t>
            </w:r>
            <w:r>
              <w:rPr>
                <w:spacing w:val="-2"/>
                <w:sz w:val="24"/>
              </w:rPr>
              <w:t>other</w:t>
            </w:r>
            <w:r>
              <w:rPr>
                <w:spacing w:val="-8"/>
                <w:sz w:val="24"/>
              </w:rPr>
              <w:t> </w:t>
            </w:r>
            <w:r>
              <w:rPr>
                <w:spacing w:val="-2"/>
                <w:sz w:val="24"/>
              </w:rPr>
              <w:t>to</w:t>
            </w:r>
            <w:r>
              <w:rPr>
                <w:spacing w:val="-12"/>
                <w:sz w:val="24"/>
              </w:rPr>
              <w:t> </w:t>
            </w:r>
            <w:r>
              <w:rPr>
                <w:spacing w:val="-2"/>
                <w:sz w:val="24"/>
              </w:rPr>
              <w:t>do</w:t>
            </w:r>
            <w:r>
              <w:rPr>
                <w:spacing w:val="-12"/>
                <w:sz w:val="24"/>
              </w:rPr>
              <w:t> </w:t>
            </w:r>
            <w:r>
              <w:rPr>
                <w:spacing w:val="-2"/>
                <w:sz w:val="24"/>
              </w:rPr>
              <w:t>the</w:t>
            </w:r>
            <w:r>
              <w:rPr>
                <w:spacing w:val="-12"/>
                <w:sz w:val="24"/>
              </w:rPr>
              <w:t> </w:t>
            </w:r>
            <w:r>
              <w:rPr>
                <w:spacing w:val="-2"/>
                <w:sz w:val="24"/>
              </w:rPr>
              <w:t>right</w:t>
            </w:r>
            <w:r>
              <w:rPr>
                <w:spacing w:val="-10"/>
                <w:sz w:val="24"/>
              </w:rPr>
              <w:t> </w:t>
            </w:r>
            <w:r>
              <w:rPr>
                <w:spacing w:val="-2"/>
                <w:sz w:val="24"/>
              </w:rPr>
              <w:t>thing</w:t>
            </w:r>
            <w:r>
              <w:rPr>
                <w:spacing w:val="-12"/>
                <w:sz w:val="24"/>
              </w:rPr>
              <w:t> </w:t>
            </w:r>
            <w:r>
              <w:rPr>
                <w:spacing w:val="-2"/>
                <w:sz w:val="24"/>
              </w:rPr>
              <w:t>and</w:t>
            </w:r>
            <w:r>
              <w:rPr>
                <w:spacing w:val="-7"/>
                <w:sz w:val="24"/>
              </w:rPr>
              <w:t> </w:t>
            </w:r>
            <w:r>
              <w:rPr>
                <w:spacing w:val="-2"/>
                <w:sz w:val="24"/>
              </w:rPr>
              <w:t>to</w:t>
            </w:r>
            <w:r>
              <w:rPr>
                <w:spacing w:val="-12"/>
                <w:sz w:val="24"/>
              </w:rPr>
              <w:t> </w:t>
            </w:r>
            <w:r>
              <w:rPr>
                <w:spacing w:val="-2"/>
                <w:sz w:val="24"/>
              </w:rPr>
              <w:t>act</w:t>
            </w:r>
            <w:r>
              <w:rPr>
                <w:spacing w:val="-14"/>
                <w:sz w:val="24"/>
              </w:rPr>
              <w:t> </w:t>
            </w:r>
            <w:r>
              <w:rPr>
                <w:spacing w:val="-2"/>
                <w:sz w:val="24"/>
              </w:rPr>
              <w:t>with</w:t>
            </w:r>
            <w:r>
              <w:rPr>
                <w:spacing w:val="-7"/>
                <w:sz w:val="24"/>
              </w:rPr>
              <w:t> </w:t>
            </w:r>
            <w:r>
              <w:rPr>
                <w:spacing w:val="-2"/>
                <w:sz w:val="24"/>
              </w:rPr>
              <w:t>courage</w:t>
            </w:r>
            <w:r>
              <w:rPr>
                <w:spacing w:val="-12"/>
                <w:sz w:val="24"/>
              </w:rPr>
              <w:t> </w:t>
            </w:r>
            <w:r>
              <w:rPr>
                <w:spacing w:val="-2"/>
                <w:sz w:val="24"/>
              </w:rPr>
              <w:t>and conviction.</w:t>
            </w:r>
          </w:p>
        </w:tc>
      </w:tr>
      <w:tr>
        <w:trPr>
          <w:trHeight w:val="548" w:hRule="atLeast"/>
        </w:trPr>
        <w:tc>
          <w:tcPr>
            <w:tcW w:w="1486" w:type="dxa"/>
            <w:tcBorders>
              <w:top w:val="single" w:sz="8" w:space="0" w:color="000000"/>
              <w:left w:val="single" w:sz="8" w:space="0" w:color="000000"/>
              <w:bottom w:val="single" w:sz="8" w:space="0" w:color="000000"/>
              <w:right w:val="single" w:sz="8" w:space="0" w:color="000000"/>
            </w:tcBorders>
          </w:tcPr>
          <w:p>
            <w:pPr>
              <w:pStyle w:val="TableParagraph"/>
              <w:spacing w:line="269" w:lineRule="exact"/>
              <w:ind w:left="110"/>
              <w:rPr>
                <w:sz w:val="24"/>
              </w:rPr>
            </w:pPr>
            <w:r>
              <w:rPr>
                <w:spacing w:val="-2"/>
                <w:sz w:val="24"/>
              </w:rPr>
              <w:t>Process</w:t>
            </w:r>
          </w:p>
        </w:tc>
        <w:tc>
          <w:tcPr>
            <w:tcW w:w="7658" w:type="dxa"/>
            <w:tcBorders>
              <w:top w:val="single" w:sz="8" w:space="0" w:color="000000"/>
              <w:left w:val="single" w:sz="8" w:space="0" w:color="000000"/>
              <w:bottom w:val="single" w:sz="8" w:space="0" w:color="000000"/>
              <w:right w:val="single" w:sz="8" w:space="0" w:color="000000"/>
            </w:tcBorders>
          </w:tcPr>
          <w:p>
            <w:pPr>
              <w:pStyle w:val="TableParagraph"/>
              <w:spacing w:line="269" w:lineRule="exact"/>
              <w:ind w:left="105"/>
              <w:rPr>
                <w:sz w:val="24"/>
              </w:rPr>
            </w:pPr>
            <w:r>
              <w:rPr>
                <w:spacing w:val="-2"/>
                <w:sz w:val="24"/>
              </w:rPr>
              <w:t>Driven</w:t>
            </w:r>
            <w:r>
              <w:rPr>
                <w:spacing w:val="-15"/>
                <w:sz w:val="24"/>
              </w:rPr>
              <w:t> </w:t>
            </w:r>
            <w:r>
              <w:rPr>
                <w:spacing w:val="-2"/>
                <w:sz w:val="24"/>
              </w:rPr>
              <w:t>by</w:t>
            </w:r>
            <w:r>
              <w:rPr>
                <w:spacing w:val="-13"/>
                <w:sz w:val="24"/>
              </w:rPr>
              <w:t> </w:t>
            </w:r>
            <w:r>
              <w:rPr>
                <w:spacing w:val="-2"/>
                <w:sz w:val="24"/>
              </w:rPr>
              <w:t>data</w:t>
            </w:r>
            <w:r>
              <w:rPr>
                <w:spacing w:val="-12"/>
                <w:sz w:val="24"/>
              </w:rPr>
              <w:t> </w:t>
            </w:r>
            <w:r>
              <w:rPr>
                <w:spacing w:val="-2"/>
                <w:sz w:val="24"/>
              </w:rPr>
              <w:t>and</w:t>
            </w:r>
            <w:r>
              <w:rPr>
                <w:spacing w:val="-13"/>
                <w:sz w:val="24"/>
              </w:rPr>
              <w:t> </w:t>
            </w:r>
            <w:r>
              <w:rPr>
                <w:spacing w:val="-2"/>
                <w:sz w:val="24"/>
              </w:rPr>
              <w:t>evidence</w:t>
            </w:r>
            <w:r>
              <w:rPr>
                <w:spacing w:val="-12"/>
                <w:sz w:val="24"/>
              </w:rPr>
              <w:t> </w:t>
            </w:r>
            <w:r>
              <w:rPr>
                <w:spacing w:val="-2"/>
                <w:sz w:val="24"/>
              </w:rPr>
              <w:t>and</w:t>
            </w:r>
            <w:r>
              <w:rPr>
                <w:spacing w:val="-13"/>
                <w:sz w:val="24"/>
              </w:rPr>
              <w:t> </w:t>
            </w:r>
            <w:r>
              <w:rPr>
                <w:spacing w:val="-2"/>
                <w:sz w:val="24"/>
              </w:rPr>
              <w:t>embracing</w:t>
            </w:r>
            <w:r>
              <w:rPr>
                <w:spacing w:val="-12"/>
                <w:sz w:val="24"/>
              </w:rPr>
              <w:t> </w:t>
            </w:r>
            <w:r>
              <w:rPr>
                <w:spacing w:val="-2"/>
                <w:sz w:val="24"/>
              </w:rPr>
              <w:t>opportunities</w:t>
            </w:r>
            <w:r>
              <w:rPr>
                <w:spacing w:val="-13"/>
                <w:sz w:val="24"/>
              </w:rPr>
              <w:t> </w:t>
            </w:r>
            <w:r>
              <w:rPr>
                <w:spacing w:val="-2"/>
                <w:sz w:val="24"/>
              </w:rPr>
              <w:t>to</w:t>
            </w:r>
            <w:r>
              <w:rPr>
                <w:spacing w:val="-12"/>
                <w:sz w:val="24"/>
              </w:rPr>
              <w:t> </w:t>
            </w:r>
            <w:r>
              <w:rPr>
                <w:spacing w:val="-5"/>
                <w:sz w:val="24"/>
              </w:rPr>
              <w:t>re-</w:t>
            </w:r>
          </w:p>
          <w:p>
            <w:pPr>
              <w:pStyle w:val="TableParagraph"/>
              <w:spacing w:line="260" w:lineRule="exact"/>
              <w:ind w:left="105"/>
              <w:rPr>
                <w:sz w:val="24"/>
              </w:rPr>
            </w:pPr>
            <w:r>
              <w:rPr>
                <w:spacing w:val="-2"/>
                <w:sz w:val="24"/>
              </w:rPr>
              <w:t>imagine,</w:t>
            </w:r>
            <w:r>
              <w:rPr>
                <w:spacing w:val="-17"/>
                <w:sz w:val="24"/>
              </w:rPr>
              <w:t> </w:t>
            </w:r>
            <w:r>
              <w:rPr>
                <w:spacing w:val="-2"/>
                <w:sz w:val="24"/>
              </w:rPr>
              <w:t>redesign</w:t>
            </w:r>
            <w:r>
              <w:rPr>
                <w:spacing w:val="-15"/>
                <w:sz w:val="24"/>
              </w:rPr>
              <w:t> </w:t>
            </w:r>
            <w:r>
              <w:rPr>
                <w:spacing w:val="-2"/>
                <w:sz w:val="24"/>
              </w:rPr>
              <w:t>and</w:t>
            </w:r>
            <w:r>
              <w:rPr>
                <w:spacing w:val="-14"/>
                <w:sz w:val="24"/>
              </w:rPr>
              <w:t> </w:t>
            </w:r>
            <w:r>
              <w:rPr>
                <w:spacing w:val="-2"/>
                <w:sz w:val="24"/>
              </w:rPr>
              <w:t>innovate</w:t>
            </w:r>
            <w:r>
              <w:rPr>
                <w:spacing w:val="-13"/>
                <w:sz w:val="24"/>
              </w:rPr>
              <w:t> </w:t>
            </w:r>
            <w:r>
              <w:rPr>
                <w:spacing w:val="-2"/>
                <w:sz w:val="24"/>
              </w:rPr>
              <w:t>Sustainability</w:t>
            </w:r>
            <w:r>
              <w:rPr>
                <w:spacing w:val="-14"/>
                <w:sz w:val="24"/>
              </w:rPr>
              <w:t> </w:t>
            </w:r>
            <w:r>
              <w:rPr>
                <w:spacing w:val="-2"/>
                <w:sz w:val="24"/>
              </w:rPr>
              <w:t>of</w:t>
            </w:r>
            <w:r>
              <w:rPr>
                <w:spacing w:val="-15"/>
                <w:sz w:val="24"/>
              </w:rPr>
              <w:t> </w:t>
            </w:r>
            <w:r>
              <w:rPr>
                <w:spacing w:val="-2"/>
                <w:sz w:val="24"/>
              </w:rPr>
              <w:t>the</w:t>
            </w:r>
            <w:r>
              <w:rPr>
                <w:spacing w:val="-14"/>
                <w:sz w:val="24"/>
              </w:rPr>
              <w:t> </w:t>
            </w:r>
            <w:r>
              <w:rPr>
                <w:spacing w:val="-2"/>
                <w:sz w:val="24"/>
              </w:rPr>
              <w:t>architecture</w:t>
            </w:r>
          </w:p>
        </w:tc>
      </w:tr>
      <w:tr>
        <w:trPr>
          <w:trHeight w:val="545" w:hRule="atLeast"/>
        </w:trPr>
        <w:tc>
          <w:tcPr>
            <w:tcW w:w="1486" w:type="dxa"/>
            <w:tcBorders>
              <w:top w:val="single" w:sz="8" w:space="0" w:color="000000"/>
              <w:left w:val="single" w:sz="8" w:space="0" w:color="000000"/>
              <w:right w:val="single" w:sz="8" w:space="0" w:color="000000"/>
            </w:tcBorders>
          </w:tcPr>
          <w:p>
            <w:pPr>
              <w:pStyle w:val="TableParagraph"/>
              <w:ind w:left="110"/>
              <w:rPr>
                <w:sz w:val="24"/>
              </w:rPr>
            </w:pPr>
            <w:r>
              <w:rPr>
                <w:spacing w:val="-2"/>
                <w:sz w:val="24"/>
              </w:rPr>
              <w:t>Outcome</w:t>
            </w:r>
          </w:p>
        </w:tc>
        <w:tc>
          <w:tcPr>
            <w:tcW w:w="7658" w:type="dxa"/>
            <w:tcBorders>
              <w:top w:val="single" w:sz="8" w:space="0" w:color="000000"/>
              <w:left w:val="single" w:sz="8" w:space="0" w:color="000000"/>
              <w:right w:val="single" w:sz="8" w:space="0" w:color="000000"/>
            </w:tcBorders>
          </w:tcPr>
          <w:p>
            <w:pPr>
              <w:pStyle w:val="TableParagraph"/>
              <w:spacing w:line="276" w:lineRule="exact"/>
              <w:ind w:left="105"/>
              <w:rPr>
                <w:sz w:val="24"/>
              </w:rPr>
            </w:pPr>
            <w:r>
              <w:rPr>
                <w:spacing w:val="-2"/>
                <w:sz w:val="24"/>
              </w:rPr>
              <w:t>Building</w:t>
            </w:r>
            <w:r>
              <w:rPr>
                <w:spacing w:val="-15"/>
                <w:sz w:val="24"/>
              </w:rPr>
              <w:t> </w:t>
            </w:r>
            <w:r>
              <w:rPr>
                <w:spacing w:val="-2"/>
                <w:sz w:val="24"/>
              </w:rPr>
              <w:t>sustainable</w:t>
            </w:r>
            <w:r>
              <w:rPr>
                <w:spacing w:val="-15"/>
                <w:sz w:val="24"/>
              </w:rPr>
              <w:t> </w:t>
            </w:r>
            <w:r>
              <w:rPr>
                <w:spacing w:val="-2"/>
                <w:sz w:val="24"/>
              </w:rPr>
              <w:t>and</w:t>
            </w:r>
            <w:r>
              <w:rPr>
                <w:spacing w:val="-14"/>
                <w:sz w:val="24"/>
              </w:rPr>
              <w:t> </w:t>
            </w:r>
            <w:r>
              <w:rPr>
                <w:spacing w:val="-2"/>
                <w:sz w:val="24"/>
              </w:rPr>
              <w:t>future</w:t>
            </w:r>
            <w:r>
              <w:rPr>
                <w:spacing w:val="-15"/>
                <w:sz w:val="24"/>
              </w:rPr>
              <w:t> </w:t>
            </w:r>
            <w:r>
              <w:rPr>
                <w:spacing w:val="-2"/>
                <w:sz w:val="24"/>
              </w:rPr>
              <w:t>proofed</w:t>
            </w:r>
            <w:r>
              <w:rPr>
                <w:spacing w:val="-15"/>
                <w:sz w:val="24"/>
              </w:rPr>
              <w:t> </w:t>
            </w:r>
            <w:r>
              <w:rPr>
                <w:spacing w:val="-2"/>
                <w:sz w:val="24"/>
              </w:rPr>
              <w:t>services</w:t>
            </w:r>
            <w:r>
              <w:rPr>
                <w:spacing w:val="-13"/>
                <w:sz w:val="24"/>
              </w:rPr>
              <w:t> </w:t>
            </w:r>
            <w:r>
              <w:rPr>
                <w:spacing w:val="-2"/>
                <w:sz w:val="24"/>
              </w:rPr>
              <w:t>that</w:t>
            </w:r>
            <w:r>
              <w:rPr>
                <w:spacing w:val="-15"/>
                <w:sz w:val="24"/>
              </w:rPr>
              <w:t> </w:t>
            </w:r>
            <w:r>
              <w:rPr>
                <w:spacing w:val="-2"/>
                <w:sz w:val="24"/>
              </w:rPr>
              <w:t>have</w:t>
            </w:r>
            <w:r>
              <w:rPr>
                <w:spacing w:val="-10"/>
                <w:sz w:val="24"/>
              </w:rPr>
              <w:t> </w:t>
            </w:r>
            <w:r>
              <w:rPr>
                <w:spacing w:val="-2"/>
                <w:sz w:val="24"/>
              </w:rPr>
              <w:t>the</w:t>
            </w:r>
            <w:r>
              <w:rPr>
                <w:spacing w:val="-15"/>
                <w:sz w:val="24"/>
              </w:rPr>
              <w:t> </w:t>
            </w:r>
            <w:r>
              <w:rPr>
                <w:spacing w:val="-2"/>
                <w:sz w:val="24"/>
              </w:rPr>
              <w:t>greatest </w:t>
            </w:r>
            <w:r>
              <w:rPr>
                <w:sz w:val="24"/>
              </w:rPr>
              <w:t>impact</w:t>
            </w:r>
            <w:r>
              <w:rPr>
                <w:spacing w:val="-9"/>
                <w:sz w:val="24"/>
              </w:rPr>
              <w:t> </w:t>
            </w:r>
            <w:r>
              <w:rPr>
                <w:sz w:val="24"/>
              </w:rPr>
              <w:t>and</w:t>
            </w:r>
            <w:r>
              <w:rPr>
                <w:spacing w:val="-6"/>
                <w:sz w:val="24"/>
              </w:rPr>
              <w:t> </w:t>
            </w:r>
            <w:r>
              <w:rPr>
                <w:sz w:val="24"/>
              </w:rPr>
              <w:t>are</w:t>
            </w:r>
            <w:r>
              <w:rPr>
                <w:spacing w:val="-6"/>
                <w:sz w:val="24"/>
              </w:rPr>
              <w:t> </w:t>
            </w:r>
            <w:r>
              <w:rPr>
                <w:sz w:val="24"/>
              </w:rPr>
              <w:t>in</w:t>
            </w:r>
            <w:r>
              <w:rPr>
                <w:spacing w:val="-6"/>
                <w:sz w:val="24"/>
              </w:rPr>
              <w:t> </w:t>
            </w:r>
            <w:r>
              <w:rPr>
                <w:sz w:val="24"/>
              </w:rPr>
              <w:t>the</w:t>
            </w:r>
            <w:r>
              <w:rPr>
                <w:spacing w:val="-6"/>
                <w:sz w:val="24"/>
              </w:rPr>
              <w:t> </w:t>
            </w:r>
            <w:r>
              <w:rPr>
                <w:sz w:val="24"/>
              </w:rPr>
              <w:t>best</w:t>
            </w:r>
            <w:r>
              <w:rPr>
                <w:spacing w:val="-9"/>
                <w:sz w:val="24"/>
              </w:rPr>
              <w:t> </w:t>
            </w:r>
            <w:r>
              <w:rPr>
                <w:sz w:val="24"/>
              </w:rPr>
              <w:t>interests</w:t>
            </w:r>
            <w:r>
              <w:rPr>
                <w:spacing w:val="-7"/>
                <w:sz w:val="24"/>
              </w:rPr>
              <w:t> </w:t>
            </w:r>
            <w:r>
              <w:rPr>
                <w:sz w:val="24"/>
              </w:rPr>
              <w:t>of</w:t>
            </w:r>
            <w:r>
              <w:rPr>
                <w:spacing w:val="-9"/>
                <w:sz w:val="24"/>
              </w:rPr>
              <w:t> </w:t>
            </w:r>
            <w:r>
              <w:rPr>
                <w:sz w:val="24"/>
              </w:rPr>
              <w:t>all</w:t>
            </w:r>
            <w:r>
              <w:rPr>
                <w:spacing w:val="-6"/>
                <w:sz w:val="24"/>
              </w:rPr>
              <w:t> </w:t>
            </w:r>
            <w:r>
              <w:rPr>
                <w:sz w:val="24"/>
              </w:rPr>
              <w:t>communities</w:t>
            </w:r>
            <w:r>
              <w:rPr>
                <w:spacing w:val="-7"/>
                <w:sz w:val="24"/>
              </w:rPr>
              <w:t> </w:t>
            </w:r>
            <w:r>
              <w:rPr>
                <w:sz w:val="24"/>
              </w:rPr>
              <w:t>and</w:t>
            </w:r>
            <w:r>
              <w:rPr>
                <w:spacing w:val="-6"/>
                <w:sz w:val="24"/>
              </w:rPr>
              <w:t> </w:t>
            </w:r>
            <w:r>
              <w:rPr>
                <w:sz w:val="24"/>
              </w:rPr>
              <w:t>patients</w:t>
            </w:r>
          </w:p>
        </w:tc>
      </w:tr>
    </w:tbl>
    <w:p>
      <w:pPr>
        <w:pStyle w:val="ListParagraph"/>
        <w:numPr>
          <w:ilvl w:val="1"/>
          <w:numId w:val="71"/>
        </w:numPr>
        <w:tabs>
          <w:tab w:pos="852" w:val="left" w:leader="none"/>
          <w:tab w:pos="862" w:val="left" w:leader="none"/>
        </w:tabs>
        <w:spacing w:line="240" w:lineRule="auto" w:before="266" w:after="0"/>
        <w:ind w:left="862" w:right="672" w:hanging="720"/>
        <w:jc w:val="left"/>
        <w:rPr>
          <w:sz w:val="24"/>
        </w:rPr>
      </w:pPr>
      <w:r>
        <w:rPr>
          <w:spacing w:val="-2"/>
          <w:sz w:val="24"/>
        </w:rPr>
        <w:t>Ensure</w:t>
      </w:r>
      <w:r>
        <w:rPr>
          <w:spacing w:val="-12"/>
          <w:sz w:val="24"/>
        </w:rPr>
        <w:t> </w:t>
      </w:r>
      <w:r>
        <w:rPr>
          <w:spacing w:val="-2"/>
          <w:sz w:val="24"/>
        </w:rPr>
        <w:t>an</w:t>
      </w:r>
      <w:r>
        <w:rPr>
          <w:spacing w:val="-11"/>
          <w:sz w:val="24"/>
        </w:rPr>
        <w:t> </w:t>
      </w:r>
      <w:r>
        <w:rPr>
          <w:spacing w:val="-2"/>
          <w:sz w:val="24"/>
        </w:rPr>
        <w:t>effective</w:t>
      </w:r>
      <w:r>
        <w:rPr>
          <w:spacing w:val="-15"/>
          <w:sz w:val="24"/>
        </w:rPr>
        <w:t> </w:t>
      </w:r>
      <w:r>
        <w:rPr>
          <w:spacing w:val="-2"/>
          <w:sz w:val="24"/>
        </w:rPr>
        <w:t>governance</w:t>
      </w:r>
      <w:r>
        <w:rPr>
          <w:spacing w:val="-6"/>
          <w:sz w:val="24"/>
        </w:rPr>
        <w:t> </w:t>
      </w:r>
      <w:r>
        <w:rPr>
          <w:spacing w:val="-2"/>
          <w:sz w:val="24"/>
        </w:rPr>
        <w:t>framework</w:t>
      </w:r>
      <w:r>
        <w:rPr>
          <w:spacing w:val="-10"/>
          <w:sz w:val="24"/>
        </w:rPr>
        <w:t> </w:t>
      </w:r>
      <w:r>
        <w:rPr>
          <w:spacing w:val="-2"/>
          <w:sz w:val="24"/>
        </w:rPr>
        <w:t>is</w:t>
      </w:r>
      <w:r>
        <w:rPr>
          <w:spacing w:val="-15"/>
          <w:sz w:val="24"/>
        </w:rPr>
        <w:t> </w:t>
      </w:r>
      <w:r>
        <w:rPr>
          <w:spacing w:val="-2"/>
          <w:sz w:val="24"/>
        </w:rPr>
        <w:t>in</w:t>
      </w:r>
      <w:r>
        <w:rPr>
          <w:spacing w:val="-15"/>
          <w:sz w:val="24"/>
        </w:rPr>
        <w:t> </w:t>
      </w:r>
      <w:r>
        <w:rPr>
          <w:spacing w:val="-2"/>
          <w:sz w:val="24"/>
        </w:rPr>
        <w:t>place</w:t>
      </w:r>
      <w:r>
        <w:rPr>
          <w:spacing w:val="-10"/>
          <w:sz w:val="24"/>
        </w:rPr>
        <w:t> </w:t>
      </w:r>
      <w:r>
        <w:rPr>
          <w:spacing w:val="-2"/>
          <w:sz w:val="24"/>
        </w:rPr>
        <w:t>to</w:t>
      </w:r>
      <w:r>
        <w:rPr>
          <w:spacing w:val="-11"/>
          <w:sz w:val="24"/>
        </w:rPr>
        <w:t> </w:t>
      </w:r>
      <w:r>
        <w:rPr>
          <w:spacing w:val="-2"/>
          <w:sz w:val="24"/>
        </w:rPr>
        <w:t>govern</w:t>
      </w:r>
      <w:r>
        <w:rPr>
          <w:spacing w:val="-6"/>
          <w:sz w:val="24"/>
        </w:rPr>
        <w:t> </w:t>
      </w:r>
      <w:r>
        <w:rPr>
          <w:spacing w:val="-2"/>
          <w:sz w:val="24"/>
        </w:rPr>
        <w:t>the</w:t>
      </w:r>
      <w:r>
        <w:rPr>
          <w:spacing w:val="-11"/>
          <w:sz w:val="24"/>
        </w:rPr>
        <w:t> </w:t>
      </w:r>
      <w:r>
        <w:rPr>
          <w:spacing w:val="-2"/>
          <w:sz w:val="24"/>
        </w:rPr>
        <w:t>work</w:t>
      </w:r>
      <w:r>
        <w:rPr>
          <w:spacing w:val="-12"/>
          <w:sz w:val="24"/>
        </w:rPr>
        <w:t> </w:t>
      </w:r>
      <w:r>
        <w:rPr>
          <w:spacing w:val="-2"/>
          <w:sz w:val="24"/>
        </w:rPr>
        <w:t>of</w:t>
      </w:r>
      <w:r>
        <w:rPr>
          <w:spacing w:val="-9"/>
          <w:sz w:val="24"/>
        </w:rPr>
        <w:t> </w:t>
      </w:r>
      <w:r>
        <w:rPr>
          <w:spacing w:val="-2"/>
          <w:sz w:val="24"/>
        </w:rPr>
        <w:t>the</w:t>
      </w:r>
      <w:r>
        <w:rPr>
          <w:spacing w:val="-8"/>
          <w:sz w:val="24"/>
        </w:rPr>
        <w:t> </w:t>
      </w:r>
      <w:r>
        <w:rPr>
          <w:spacing w:val="-2"/>
          <w:sz w:val="24"/>
        </w:rPr>
        <w:t>RFCDDG </w:t>
      </w:r>
      <w:r>
        <w:rPr>
          <w:sz w:val="24"/>
        </w:rPr>
        <w:t>which</w:t>
      </w:r>
      <w:r>
        <w:rPr>
          <w:spacing w:val="-9"/>
          <w:sz w:val="24"/>
        </w:rPr>
        <w:t> </w:t>
      </w:r>
      <w:r>
        <w:rPr>
          <w:sz w:val="24"/>
        </w:rPr>
        <w:t>facilitates</w:t>
      </w:r>
      <w:r>
        <w:rPr>
          <w:spacing w:val="-11"/>
          <w:sz w:val="24"/>
        </w:rPr>
        <w:t> </w:t>
      </w:r>
      <w:r>
        <w:rPr>
          <w:sz w:val="24"/>
        </w:rPr>
        <w:t>and</w:t>
      </w:r>
      <w:r>
        <w:rPr>
          <w:spacing w:val="-10"/>
          <w:sz w:val="24"/>
        </w:rPr>
        <w:t> </w:t>
      </w:r>
      <w:r>
        <w:rPr>
          <w:sz w:val="24"/>
        </w:rPr>
        <w:t>enables</w:t>
      </w:r>
      <w:r>
        <w:rPr>
          <w:spacing w:val="-10"/>
          <w:sz w:val="24"/>
        </w:rPr>
        <w:t> </w:t>
      </w:r>
      <w:r>
        <w:rPr>
          <w:sz w:val="24"/>
        </w:rPr>
        <w:t>the</w:t>
      </w:r>
      <w:r>
        <w:rPr>
          <w:spacing w:val="-10"/>
          <w:sz w:val="24"/>
        </w:rPr>
        <w:t> </w:t>
      </w:r>
      <w:r>
        <w:rPr>
          <w:sz w:val="24"/>
        </w:rPr>
        <w:t>ambitions</w:t>
      </w:r>
      <w:r>
        <w:rPr>
          <w:spacing w:val="-10"/>
          <w:sz w:val="24"/>
        </w:rPr>
        <w:t> </w:t>
      </w:r>
      <w:r>
        <w:rPr>
          <w:sz w:val="24"/>
        </w:rPr>
        <w:t>and</w:t>
      </w:r>
      <w:r>
        <w:rPr>
          <w:spacing w:val="-10"/>
          <w:sz w:val="24"/>
        </w:rPr>
        <w:t> </w:t>
      </w:r>
      <w:r>
        <w:rPr>
          <w:sz w:val="24"/>
        </w:rPr>
        <w:t>design</w:t>
      </w:r>
      <w:r>
        <w:rPr>
          <w:spacing w:val="-10"/>
          <w:sz w:val="24"/>
        </w:rPr>
        <w:t> </w:t>
      </w:r>
      <w:r>
        <w:rPr>
          <w:sz w:val="24"/>
        </w:rPr>
        <w:t>principles</w:t>
      </w:r>
      <w:r>
        <w:rPr>
          <w:spacing w:val="-10"/>
          <w:sz w:val="24"/>
        </w:rPr>
        <w:t> </w:t>
      </w:r>
      <w:r>
        <w:rPr>
          <w:sz w:val="24"/>
        </w:rPr>
        <w:t>set</w:t>
      </w:r>
      <w:r>
        <w:rPr>
          <w:spacing w:val="-13"/>
          <w:sz w:val="24"/>
        </w:rPr>
        <w:t> </w:t>
      </w:r>
      <w:r>
        <w:rPr>
          <w:sz w:val="24"/>
        </w:rPr>
        <w:t>out</w:t>
      </w:r>
      <w:r>
        <w:rPr>
          <w:spacing w:val="-13"/>
          <w:sz w:val="24"/>
        </w:rPr>
        <w:t> </w:t>
      </w:r>
      <w:r>
        <w:rPr>
          <w:sz w:val="24"/>
        </w:rPr>
        <w:t>by</w:t>
      </w:r>
      <w:r>
        <w:rPr>
          <w:spacing w:val="-7"/>
          <w:sz w:val="24"/>
        </w:rPr>
        <w:t> </w:t>
      </w:r>
      <w:r>
        <w:rPr>
          <w:sz w:val="24"/>
        </w:rPr>
        <w:t>the</w:t>
      </w:r>
      <w:r>
        <w:rPr>
          <w:spacing w:val="-9"/>
          <w:sz w:val="24"/>
        </w:rPr>
        <w:t> </w:t>
      </w:r>
      <w:r>
        <w:rPr>
          <w:sz w:val="24"/>
        </w:rPr>
        <w:t>RJC.</w:t>
      </w:r>
    </w:p>
    <w:p>
      <w:pPr>
        <w:pStyle w:val="BodyText"/>
        <w:spacing w:before="2"/>
      </w:pPr>
    </w:p>
    <w:p>
      <w:pPr>
        <w:pStyle w:val="ListParagraph"/>
        <w:numPr>
          <w:ilvl w:val="1"/>
          <w:numId w:val="71"/>
        </w:numPr>
        <w:tabs>
          <w:tab w:pos="852" w:val="left" w:leader="none"/>
        </w:tabs>
        <w:spacing w:line="240" w:lineRule="auto" w:before="0" w:after="0"/>
        <w:ind w:left="852" w:right="530" w:hanging="710"/>
        <w:jc w:val="left"/>
        <w:rPr>
          <w:sz w:val="24"/>
        </w:rPr>
      </w:pPr>
      <w:r>
        <w:rPr>
          <w:spacing w:val="-2"/>
          <w:sz w:val="24"/>
        </w:rPr>
        <w:t>Pro-actively</w:t>
      </w:r>
      <w:r>
        <w:rPr>
          <w:spacing w:val="-15"/>
          <w:sz w:val="24"/>
        </w:rPr>
        <w:t> </w:t>
      </w:r>
      <w:r>
        <w:rPr>
          <w:spacing w:val="-2"/>
          <w:sz w:val="24"/>
        </w:rPr>
        <w:t>manage</w:t>
      </w:r>
      <w:r>
        <w:rPr>
          <w:spacing w:val="-15"/>
          <w:sz w:val="24"/>
        </w:rPr>
        <w:t> </w:t>
      </w:r>
      <w:r>
        <w:rPr>
          <w:spacing w:val="-2"/>
          <w:sz w:val="24"/>
        </w:rPr>
        <w:t>the</w:t>
      </w:r>
      <w:r>
        <w:rPr>
          <w:spacing w:val="-14"/>
          <w:sz w:val="24"/>
        </w:rPr>
        <w:t> </w:t>
      </w:r>
      <w:r>
        <w:rPr>
          <w:spacing w:val="-2"/>
          <w:sz w:val="24"/>
        </w:rPr>
        <w:t>appropriate</w:t>
      </w:r>
      <w:r>
        <w:rPr>
          <w:spacing w:val="-15"/>
          <w:sz w:val="24"/>
        </w:rPr>
        <w:t> </w:t>
      </w:r>
      <w:r>
        <w:rPr>
          <w:spacing w:val="-2"/>
          <w:sz w:val="24"/>
        </w:rPr>
        <w:t>risks</w:t>
      </w:r>
      <w:r>
        <w:rPr>
          <w:spacing w:val="-14"/>
          <w:sz w:val="24"/>
        </w:rPr>
        <w:t> </w:t>
      </w:r>
      <w:r>
        <w:rPr>
          <w:spacing w:val="-2"/>
          <w:sz w:val="24"/>
        </w:rPr>
        <w:t>identified</w:t>
      </w:r>
      <w:r>
        <w:rPr>
          <w:spacing w:val="-15"/>
          <w:sz w:val="24"/>
        </w:rPr>
        <w:t> </w:t>
      </w:r>
      <w:r>
        <w:rPr>
          <w:spacing w:val="-2"/>
          <w:sz w:val="24"/>
        </w:rPr>
        <w:t>within</w:t>
      </w:r>
      <w:r>
        <w:rPr>
          <w:spacing w:val="-9"/>
          <w:sz w:val="24"/>
        </w:rPr>
        <w:t> </w:t>
      </w:r>
      <w:r>
        <w:rPr>
          <w:spacing w:val="-2"/>
          <w:sz w:val="24"/>
        </w:rPr>
        <w:t>the</w:t>
      </w:r>
      <w:r>
        <w:rPr>
          <w:spacing w:val="-10"/>
          <w:sz w:val="24"/>
        </w:rPr>
        <w:t> </w:t>
      </w:r>
      <w:r>
        <w:rPr>
          <w:spacing w:val="-2"/>
          <w:sz w:val="24"/>
        </w:rPr>
        <w:t>RFCDDG</w:t>
      </w:r>
      <w:r>
        <w:rPr>
          <w:spacing w:val="-15"/>
          <w:sz w:val="24"/>
        </w:rPr>
        <w:t> </w:t>
      </w:r>
      <w:r>
        <w:rPr>
          <w:spacing w:val="-2"/>
          <w:sz w:val="24"/>
        </w:rPr>
        <w:t>programme,</w:t>
      </w:r>
      <w:r>
        <w:rPr>
          <w:spacing w:val="-15"/>
          <w:sz w:val="24"/>
        </w:rPr>
        <w:t> </w:t>
      </w:r>
      <w:r>
        <w:rPr>
          <w:spacing w:val="-2"/>
          <w:sz w:val="24"/>
        </w:rPr>
        <w:t>being </w:t>
      </w:r>
      <w:r>
        <w:rPr>
          <w:sz w:val="24"/>
        </w:rPr>
        <w:t>accountable</w:t>
      </w:r>
      <w:r>
        <w:rPr>
          <w:spacing w:val="-2"/>
          <w:sz w:val="24"/>
        </w:rPr>
        <w:t> </w:t>
      </w:r>
      <w:r>
        <w:rPr>
          <w:sz w:val="24"/>
        </w:rPr>
        <w:t>to</w:t>
      </w:r>
      <w:r>
        <w:rPr>
          <w:spacing w:val="-7"/>
          <w:sz w:val="24"/>
        </w:rPr>
        <w:t> </w:t>
      </w:r>
      <w:r>
        <w:rPr>
          <w:sz w:val="24"/>
        </w:rPr>
        <w:t>the</w:t>
      </w:r>
      <w:r>
        <w:rPr>
          <w:spacing w:val="-7"/>
          <w:sz w:val="24"/>
        </w:rPr>
        <w:t> </w:t>
      </w:r>
      <w:r>
        <w:rPr>
          <w:sz w:val="24"/>
        </w:rPr>
        <w:t>respective</w:t>
      </w:r>
      <w:r>
        <w:rPr>
          <w:spacing w:val="-7"/>
          <w:sz w:val="24"/>
        </w:rPr>
        <w:t> </w:t>
      </w:r>
      <w:r>
        <w:rPr>
          <w:sz w:val="24"/>
        </w:rPr>
        <w:t>University</w:t>
      </w:r>
      <w:r>
        <w:rPr>
          <w:spacing w:val="-8"/>
          <w:sz w:val="24"/>
        </w:rPr>
        <w:t> </w:t>
      </w:r>
      <w:r>
        <w:rPr>
          <w:sz w:val="24"/>
        </w:rPr>
        <w:t>Health</w:t>
      </w:r>
      <w:r>
        <w:rPr>
          <w:spacing w:val="-7"/>
          <w:sz w:val="24"/>
        </w:rPr>
        <w:t> </w:t>
      </w:r>
      <w:r>
        <w:rPr>
          <w:sz w:val="24"/>
        </w:rPr>
        <w:t>Boards.</w:t>
      </w:r>
    </w:p>
    <w:p>
      <w:pPr>
        <w:pStyle w:val="ListParagraph"/>
        <w:numPr>
          <w:ilvl w:val="1"/>
          <w:numId w:val="71"/>
        </w:numPr>
        <w:tabs>
          <w:tab w:pos="852" w:val="left" w:leader="none"/>
        </w:tabs>
        <w:spacing w:line="240" w:lineRule="auto" w:before="273" w:after="0"/>
        <w:ind w:left="852" w:right="0" w:hanging="710"/>
        <w:jc w:val="left"/>
        <w:rPr>
          <w:sz w:val="24"/>
        </w:rPr>
      </w:pPr>
      <w:r>
        <w:rPr>
          <w:spacing w:val="-2"/>
          <w:sz w:val="24"/>
        </w:rPr>
        <w:t>Develop</w:t>
      </w:r>
      <w:r>
        <w:rPr>
          <w:spacing w:val="-17"/>
          <w:sz w:val="24"/>
        </w:rPr>
        <w:t> </w:t>
      </w:r>
      <w:r>
        <w:rPr>
          <w:spacing w:val="-2"/>
          <w:sz w:val="24"/>
        </w:rPr>
        <w:t>a</w:t>
      </w:r>
      <w:r>
        <w:rPr>
          <w:spacing w:val="-10"/>
          <w:sz w:val="24"/>
        </w:rPr>
        <w:t> </w:t>
      </w:r>
      <w:r>
        <w:rPr>
          <w:spacing w:val="-2"/>
          <w:sz w:val="24"/>
        </w:rPr>
        <w:t>work</w:t>
      </w:r>
      <w:r>
        <w:rPr>
          <w:spacing w:val="-12"/>
          <w:sz w:val="24"/>
        </w:rPr>
        <w:t> </w:t>
      </w:r>
      <w:r>
        <w:rPr>
          <w:spacing w:val="-2"/>
          <w:sz w:val="24"/>
        </w:rPr>
        <w:t>programme</w:t>
      </w:r>
      <w:r>
        <w:rPr>
          <w:spacing w:val="-6"/>
          <w:sz w:val="24"/>
        </w:rPr>
        <w:t> </w:t>
      </w:r>
      <w:r>
        <w:rPr>
          <w:spacing w:val="-2"/>
          <w:sz w:val="24"/>
        </w:rPr>
        <w:t>that</w:t>
      </w:r>
      <w:r>
        <w:rPr>
          <w:spacing w:val="-15"/>
          <w:sz w:val="24"/>
        </w:rPr>
        <w:t> </w:t>
      </w:r>
      <w:r>
        <w:rPr>
          <w:spacing w:val="-2"/>
          <w:sz w:val="24"/>
        </w:rPr>
        <w:t>underpins</w:t>
      </w:r>
      <w:r>
        <w:rPr>
          <w:spacing w:val="-11"/>
          <w:sz w:val="24"/>
        </w:rPr>
        <w:t> </w:t>
      </w:r>
      <w:r>
        <w:rPr>
          <w:spacing w:val="-2"/>
          <w:sz w:val="24"/>
        </w:rPr>
        <w:t>the</w:t>
      </w:r>
      <w:r>
        <w:rPr>
          <w:spacing w:val="-11"/>
          <w:sz w:val="24"/>
        </w:rPr>
        <w:t> </w:t>
      </w:r>
      <w:r>
        <w:rPr>
          <w:spacing w:val="-2"/>
          <w:sz w:val="24"/>
        </w:rPr>
        <w:t>work</w:t>
      </w:r>
      <w:r>
        <w:rPr>
          <w:spacing w:val="-12"/>
          <w:sz w:val="24"/>
        </w:rPr>
        <w:t> </w:t>
      </w:r>
      <w:r>
        <w:rPr>
          <w:spacing w:val="-2"/>
          <w:sz w:val="24"/>
        </w:rPr>
        <w:t>of</w:t>
      </w:r>
      <w:r>
        <w:rPr>
          <w:spacing w:val="-8"/>
          <w:sz w:val="24"/>
        </w:rPr>
        <w:t> </w:t>
      </w:r>
      <w:r>
        <w:rPr>
          <w:spacing w:val="-2"/>
          <w:sz w:val="24"/>
        </w:rPr>
        <w:t>the</w:t>
      </w:r>
      <w:r>
        <w:rPr>
          <w:spacing w:val="-7"/>
          <w:sz w:val="24"/>
        </w:rPr>
        <w:t> </w:t>
      </w:r>
      <w:r>
        <w:rPr>
          <w:spacing w:val="-2"/>
          <w:sz w:val="24"/>
        </w:rPr>
        <w:t>RFCDDG.</w:t>
      </w:r>
    </w:p>
    <w:p>
      <w:pPr>
        <w:pStyle w:val="BodyText"/>
        <w:spacing w:before="55"/>
        <w:rPr>
          <w:sz w:val="20"/>
        </w:rPr>
      </w:pPr>
      <w:r>
        <w:rPr>
          <w:sz w:val="20"/>
        </w:rPr>
        <mc:AlternateContent>
          <mc:Choice Requires="wps">
            <w:drawing>
              <wp:anchor distT="0" distB="0" distL="0" distR="0" allowOverlap="1" layoutInCell="1" locked="0" behindDoc="1" simplePos="0" relativeHeight="487684608">
                <wp:simplePos x="0" y="0"/>
                <wp:positionH relativeFrom="page">
                  <wp:posOffset>574992</wp:posOffset>
                </wp:positionH>
                <wp:positionV relativeFrom="paragraph">
                  <wp:posOffset>202971</wp:posOffset>
                </wp:positionV>
                <wp:extent cx="6642100" cy="193675"/>
                <wp:effectExtent l="0" t="0" r="0" b="0"/>
                <wp:wrapTopAndBottom/>
                <wp:docPr id="522" name="Textbox 522"/>
                <wp:cNvGraphicFramePr>
                  <a:graphicFrameLocks/>
                </wp:cNvGraphicFramePr>
                <a:graphic>
                  <a:graphicData uri="http://schemas.microsoft.com/office/word/2010/wordprocessingShape">
                    <wps:wsp>
                      <wps:cNvPr id="522" name="Textbox 522"/>
                      <wps:cNvSpPr txBox="1"/>
                      <wps:spPr>
                        <a:xfrm>
                          <a:off x="0" y="0"/>
                          <a:ext cx="66421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6.</w:t>
                            </w:r>
                            <w:r>
                              <w:rPr>
                                <w:b/>
                                <w:color w:val="000000"/>
                                <w:spacing w:val="30"/>
                                <w:sz w:val="24"/>
                              </w:rPr>
                              <w:t>  </w:t>
                            </w:r>
                            <w:r>
                              <w:rPr>
                                <w:b/>
                                <w:color w:val="000000"/>
                                <w:spacing w:val="-2"/>
                                <w:sz w:val="24"/>
                              </w:rPr>
                              <w:t>Membership</w:t>
                            </w:r>
                          </w:p>
                        </w:txbxContent>
                      </wps:txbx>
                      <wps:bodyPr wrap="square" lIns="0" tIns="0" rIns="0" bIns="0" rtlCol="0">
                        <a:noAutofit/>
                      </wps:bodyPr>
                    </wps:wsp>
                  </a:graphicData>
                </a:graphic>
              </wp:anchor>
            </w:drawing>
          </mc:Choice>
          <mc:Fallback>
            <w:pict>
              <v:shape style="position:absolute;margin-left:45.275002pt;margin-top:15.982031pt;width:523pt;height:15.25pt;mso-position-horizontal-relative:page;mso-position-vertical-relative:paragraph;z-index:-15631872;mso-wrap-distance-left:0;mso-wrap-distance-right:0" type="#_x0000_t202" id="docshape300" filled="true" fillcolor="#c1a875" stroked="true" strokeweight="1pt" strokecolor="#394871">
                <v:textbox inset="0,0,0,0">
                  <w:txbxContent>
                    <w:p>
                      <w:pPr>
                        <w:spacing w:before="0"/>
                        <w:ind w:left="95" w:right="0" w:firstLine="0"/>
                        <w:jc w:val="left"/>
                        <w:rPr>
                          <w:b/>
                          <w:color w:val="000000"/>
                          <w:sz w:val="24"/>
                        </w:rPr>
                      </w:pPr>
                      <w:r>
                        <w:rPr>
                          <w:b/>
                          <w:color w:val="000000"/>
                          <w:sz w:val="24"/>
                        </w:rPr>
                        <w:t>6.</w:t>
                      </w:r>
                      <w:r>
                        <w:rPr>
                          <w:b/>
                          <w:color w:val="000000"/>
                          <w:spacing w:val="30"/>
                          <w:sz w:val="24"/>
                        </w:rPr>
                        <w:t>  </w:t>
                      </w:r>
                      <w:r>
                        <w:rPr>
                          <w:b/>
                          <w:color w:val="000000"/>
                          <w:spacing w:val="-2"/>
                          <w:sz w:val="24"/>
                        </w:rPr>
                        <w:t>Membership</w:t>
                      </w:r>
                    </w:p>
                  </w:txbxContent>
                </v:textbox>
                <v:fill type="solid"/>
                <v:stroke dashstyle="solid"/>
                <w10:wrap type="topAndBottom"/>
              </v:shape>
            </w:pict>
          </mc:Fallback>
        </mc:AlternateContent>
      </w:r>
    </w:p>
    <w:p>
      <w:pPr>
        <w:pStyle w:val="ListParagraph"/>
        <w:numPr>
          <w:ilvl w:val="1"/>
          <w:numId w:val="72"/>
        </w:numPr>
        <w:tabs>
          <w:tab w:pos="852" w:val="left" w:leader="none"/>
        </w:tabs>
        <w:spacing w:line="240" w:lineRule="auto" w:before="265" w:after="0"/>
        <w:ind w:left="852" w:right="0" w:hanging="710"/>
        <w:jc w:val="left"/>
        <w:rPr>
          <w:sz w:val="24"/>
        </w:rPr>
      </w:pPr>
      <w:r>
        <w:rPr>
          <w:sz w:val="24"/>
        </w:rPr>
        <w:t>To</w:t>
      </w:r>
      <w:r>
        <w:rPr>
          <w:spacing w:val="-2"/>
          <w:sz w:val="24"/>
        </w:rPr>
        <w:t> </w:t>
      </w:r>
      <w:r>
        <w:rPr>
          <w:sz w:val="24"/>
        </w:rPr>
        <w:t>ensure</w:t>
      </w:r>
      <w:r>
        <w:rPr>
          <w:spacing w:val="-2"/>
          <w:sz w:val="24"/>
        </w:rPr>
        <w:t> </w:t>
      </w:r>
      <w:r>
        <w:rPr>
          <w:sz w:val="24"/>
        </w:rPr>
        <w:t>the RFCDDG</w:t>
      </w:r>
      <w:r>
        <w:rPr>
          <w:spacing w:val="-4"/>
          <w:sz w:val="24"/>
        </w:rPr>
        <w:t> </w:t>
      </w:r>
      <w:r>
        <w:rPr>
          <w:sz w:val="24"/>
        </w:rPr>
        <w:t>undertakes</w:t>
      </w:r>
      <w:r>
        <w:rPr>
          <w:spacing w:val="-2"/>
          <w:sz w:val="24"/>
        </w:rPr>
        <w:t> </w:t>
      </w:r>
      <w:r>
        <w:rPr>
          <w:sz w:val="24"/>
        </w:rPr>
        <w:t>its</w:t>
      </w:r>
      <w:r>
        <w:rPr>
          <w:spacing w:val="-3"/>
          <w:sz w:val="24"/>
        </w:rPr>
        <w:t> </w:t>
      </w:r>
      <w:r>
        <w:rPr>
          <w:sz w:val="24"/>
        </w:rPr>
        <w:t>role</w:t>
      </w:r>
      <w:r>
        <w:rPr>
          <w:spacing w:val="-2"/>
          <w:sz w:val="24"/>
        </w:rPr>
        <w:t> </w:t>
      </w:r>
      <w:r>
        <w:rPr>
          <w:sz w:val="24"/>
        </w:rPr>
        <w:t>effectively,</w:t>
      </w:r>
      <w:r>
        <w:rPr>
          <w:spacing w:val="-5"/>
          <w:sz w:val="24"/>
        </w:rPr>
        <w:t> </w:t>
      </w:r>
      <w:r>
        <w:rPr>
          <w:sz w:val="24"/>
        </w:rPr>
        <w:t>its</w:t>
      </w:r>
      <w:r>
        <w:rPr>
          <w:spacing w:val="-3"/>
          <w:sz w:val="24"/>
        </w:rPr>
        <w:t> </w:t>
      </w:r>
      <w:r>
        <w:rPr>
          <w:sz w:val="24"/>
        </w:rPr>
        <w:t>members</w:t>
      </w:r>
      <w:r>
        <w:rPr>
          <w:spacing w:val="3"/>
          <w:sz w:val="24"/>
        </w:rPr>
        <w:t> </w:t>
      </w:r>
      <w:r>
        <w:rPr>
          <w:spacing w:val="-2"/>
          <w:sz w:val="24"/>
        </w:rPr>
        <w:t>will:</w:t>
      </w:r>
    </w:p>
    <w:p>
      <w:pPr>
        <w:pStyle w:val="BodyText"/>
        <w:spacing w:before="58"/>
      </w:pPr>
    </w:p>
    <w:p>
      <w:pPr>
        <w:pStyle w:val="ListParagraph"/>
        <w:numPr>
          <w:ilvl w:val="2"/>
          <w:numId w:val="72"/>
        </w:numPr>
        <w:tabs>
          <w:tab w:pos="1277" w:val="left" w:leader="none"/>
        </w:tabs>
        <w:spacing w:line="240" w:lineRule="auto" w:before="0" w:after="0"/>
        <w:ind w:left="1277" w:right="0" w:hanging="360"/>
        <w:jc w:val="left"/>
        <w:rPr>
          <w:sz w:val="24"/>
        </w:rPr>
      </w:pPr>
      <w:r>
        <w:rPr>
          <w:spacing w:val="-4"/>
          <w:sz w:val="24"/>
        </w:rPr>
        <w:t>Attend</w:t>
      </w:r>
      <w:r>
        <w:rPr>
          <w:spacing w:val="-5"/>
          <w:sz w:val="24"/>
        </w:rPr>
        <w:t> </w:t>
      </w:r>
      <w:r>
        <w:rPr>
          <w:spacing w:val="-2"/>
          <w:sz w:val="24"/>
        </w:rPr>
        <w:t>meetings.</w:t>
      </w:r>
    </w:p>
    <w:p>
      <w:pPr>
        <w:pStyle w:val="ListParagraph"/>
        <w:numPr>
          <w:ilvl w:val="2"/>
          <w:numId w:val="72"/>
        </w:numPr>
        <w:tabs>
          <w:tab w:pos="1277" w:val="left" w:leader="none"/>
        </w:tabs>
        <w:spacing w:line="240" w:lineRule="auto" w:before="243" w:after="0"/>
        <w:ind w:left="1277" w:right="0" w:hanging="360"/>
        <w:jc w:val="left"/>
        <w:rPr>
          <w:sz w:val="24"/>
        </w:rPr>
      </w:pPr>
      <w:r>
        <w:rPr>
          <w:spacing w:val="-2"/>
          <w:sz w:val="24"/>
        </w:rPr>
        <w:t>Adopt</w:t>
      </w:r>
      <w:r>
        <w:rPr>
          <w:spacing w:val="-17"/>
          <w:sz w:val="24"/>
        </w:rPr>
        <w:t> </w:t>
      </w:r>
      <w:r>
        <w:rPr>
          <w:spacing w:val="-2"/>
          <w:sz w:val="24"/>
        </w:rPr>
        <w:t>an</w:t>
      </w:r>
      <w:r>
        <w:rPr>
          <w:spacing w:val="-15"/>
          <w:sz w:val="24"/>
        </w:rPr>
        <w:t> </w:t>
      </w:r>
      <w:r>
        <w:rPr>
          <w:spacing w:val="-2"/>
          <w:sz w:val="24"/>
        </w:rPr>
        <w:t>open</w:t>
      </w:r>
      <w:r>
        <w:rPr>
          <w:spacing w:val="-14"/>
          <w:sz w:val="24"/>
        </w:rPr>
        <w:t> </w:t>
      </w:r>
      <w:r>
        <w:rPr>
          <w:spacing w:val="-2"/>
          <w:sz w:val="24"/>
        </w:rPr>
        <w:t>and</w:t>
      </w:r>
      <w:r>
        <w:rPr>
          <w:spacing w:val="-13"/>
          <w:sz w:val="24"/>
        </w:rPr>
        <w:t> </w:t>
      </w:r>
      <w:r>
        <w:rPr>
          <w:spacing w:val="-2"/>
          <w:sz w:val="24"/>
        </w:rPr>
        <w:t>constructively</w:t>
      </w:r>
      <w:r>
        <w:rPr>
          <w:spacing w:val="-13"/>
          <w:sz w:val="24"/>
        </w:rPr>
        <w:t> </w:t>
      </w:r>
      <w:r>
        <w:rPr>
          <w:spacing w:val="-2"/>
          <w:sz w:val="24"/>
        </w:rPr>
        <w:t>challenging</w:t>
      </w:r>
      <w:r>
        <w:rPr>
          <w:spacing w:val="-15"/>
          <w:sz w:val="24"/>
        </w:rPr>
        <w:t> </w:t>
      </w:r>
      <w:r>
        <w:rPr>
          <w:spacing w:val="-2"/>
          <w:sz w:val="24"/>
        </w:rPr>
        <w:t>approach</w:t>
      </w:r>
      <w:r>
        <w:rPr>
          <w:spacing w:val="-13"/>
          <w:sz w:val="24"/>
        </w:rPr>
        <w:t> </w:t>
      </w:r>
      <w:r>
        <w:rPr>
          <w:spacing w:val="-2"/>
          <w:sz w:val="24"/>
        </w:rPr>
        <w:t>within</w:t>
      </w:r>
      <w:r>
        <w:rPr>
          <w:spacing w:val="-12"/>
          <w:sz w:val="24"/>
        </w:rPr>
        <w:t> </w:t>
      </w:r>
      <w:r>
        <w:rPr>
          <w:spacing w:val="-2"/>
          <w:sz w:val="24"/>
        </w:rPr>
        <w:t>meetings.</w:t>
      </w:r>
    </w:p>
    <w:p>
      <w:pPr>
        <w:pStyle w:val="ListParagraph"/>
        <w:numPr>
          <w:ilvl w:val="2"/>
          <w:numId w:val="72"/>
        </w:numPr>
        <w:tabs>
          <w:tab w:pos="1277" w:val="left" w:leader="none"/>
        </w:tabs>
        <w:spacing w:line="240" w:lineRule="auto" w:before="238" w:after="0"/>
        <w:ind w:left="1277" w:right="0" w:hanging="360"/>
        <w:jc w:val="left"/>
        <w:rPr>
          <w:sz w:val="24"/>
        </w:rPr>
      </w:pPr>
      <w:r>
        <w:rPr>
          <w:spacing w:val="-2"/>
          <w:sz w:val="24"/>
        </w:rPr>
        <w:t>Promptly</w:t>
      </w:r>
      <w:r>
        <w:rPr>
          <w:spacing w:val="-14"/>
          <w:sz w:val="24"/>
        </w:rPr>
        <w:t> </w:t>
      </w:r>
      <w:r>
        <w:rPr>
          <w:spacing w:val="-2"/>
          <w:sz w:val="24"/>
        </w:rPr>
        <w:t>follow</w:t>
      </w:r>
      <w:r>
        <w:rPr>
          <w:spacing w:val="-12"/>
          <w:sz w:val="24"/>
        </w:rPr>
        <w:t> </w:t>
      </w:r>
      <w:r>
        <w:rPr>
          <w:spacing w:val="-2"/>
          <w:sz w:val="24"/>
        </w:rPr>
        <w:t>up</w:t>
      </w:r>
      <w:r>
        <w:rPr>
          <w:spacing w:val="-12"/>
          <w:sz w:val="24"/>
        </w:rPr>
        <w:t> </w:t>
      </w:r>
      <w:r>
        <w:rPr>
          <w:spacing w:val="-2"/>
          <w:sz w:val="24"/>
        </w:rPr>
        <w:t>on</w:t>
      </w:r>
      <w:r>
        <w:rPr>
          <w:spacing w:val="-13"/>
          <w:sz w:val="24"/>
        </w:rPr>
        <w:t> </w:t>
      </w:r>
      <w:r>
        <w:rPr>
          <w:spacing w:val="-2"/>
          <w:sz w:val="24"/>
        </w:rPr>
        <w:t>actions</w:t>
      </w:r>
      <w:r>
        <w:rPr>
          <w:spacing w:val="-13"/>
          <w:sz w:val="24"/>
        </w:rPr>
        <w:t> </w:t>
      </w:r>
      <w:r>
        <w:rPr>
          <w:spacing w:val="-2"/>
          <w:sz w:val="24"/>
        </w:rPr>
        <w:t>and</w:t>
      </w:r>
      <w:r>
        <w:rPr>
          <w:spacing w:val="-12"/>
          <w:sz w:val="24"/>
        </w:rPr>
        <w:t> </w:t>
      </w:r>
      <w:r>
        <w:rPr>
          <w:spacing w:val="-2"/>
          <w:sz w:val="24"/>
        </w:rPr>
        <w:t>commitments;</w:t>
      </w:r>
      <w:r>
        <w:rPr>
          <w:spacing w:val="-10"/>
          <w:sz w:val="24"/>
        </w:rPr>
        <w:t> </w:t>
      </w:r>
      <w:r>
        <w:rPr>
          <w:spacing w:val="-5"/>
          <w:sz w:val="24"/>
        </w:rPr>
        <w:t>and</w:t>
      </w:r>
    </w:p>
    <w:p>
      <w:pPr>
        <w:pStyle w:val="ListParagraph"/>
        <w:numPr>
          <w:ilvl w:val="2"/>
          <w:numId w:val="72"/>
        </w:numPr>
        <w:tabs>
          <w:tab w:pos="1278" w:val="left" w:leader="none"/>
        </w:tabs>
        <w:spacing w:line="273" w:lineRule="auto" w:before="244" w:after="0"/>
        <w:ind w:left="1278" w:right="721" w:hanging="361"/>
        <w:jc w:val="left"/>
        <w:rPr>
          <w:sz w:val="24"/>
        </w:rPr>
      </w:pPr>
      <w:r>
        <w:rPr>
          <w:spacing w:val="-2"/>
          <w:sz w:val="24"/>
        </w:rPr>
        <w:t>Participate</w:t>
      </w:r>
      <w:r>
        <w:rPr>
          <w:spacing w:val="-14"/>
          <w:sz w:val="24"/>
        </w:rPr>
        <w:t> </w:t>
      </w:r>
      <w:r>
        <w:rPr>
          <w:spacing w:val="-2"/>
          <w:sz w:val="24"/>
        </w:rPr>
        <w:t>in</w:t>
      </w:r>
      <w:r>
        <w:rPr>
          <w:spacing w:val="-12"/>
          <w:sz w:val="24"/>
        </w:rPr>
        <w:t> </w:t>
      </w:r>
      <w:r>
        <w:rPr>
          <w:spacing w:val="-2"/>
          <w:sz w:val="24"/>
        </w:rPr>
        <w:t>electronic</w:t>
      </w:r>
      <w:r>
        <w:rPr>
          <w:spacing w:val="-13"/>
          <w:sz w:val="24"/>
        </w:rPr>
        <w:t> </w:t>
      </w:r>
      <w:r>
        <w:rPr>
          <w:spacing w:val="-2"/>
          <w:sz w:val="24"/>
        </w:rPr>
        <w:t>and</w:t>
      </w:r>
      <w:r>
        <w:rPr>
          <w:spacing w:val="-12"/>
          <w:sz w:val="24"/>
        </w:rPr>
        <w:t> </w:t>
      </w:r>
      <w:r>
        <w:rPr>
          <w:spacing w:val="-2"/>
          <w:sz w:val="24"/>
        </w:rPr>
        <w:t>virtual</w:t>
      </w:r>
      <w:r>
        <w:rPr>
          <w:spacing w:val="-12"/>
          <w:sz w:val="24"/>
        </w:rPr>
        <w:t> </w:t>
      </w:r>
      <w:r>
        <w:rPr>
          <w:spacing w:val="-2"/>
          <w:sz w:val="24"/>
        </w:rPr>
        <w:t>channels</w:t>
      </w:r>
      <w:r>
        <w:rPr>
          <w:spacing w:val="-13"/>
          <w:sz w:val="24"/>
        </w:rPr>
        <w:t> </w:t>
      </w:r>
      <w:r>
        <w:rPr>
          <w:spacing w:val="-2"/>
          <w:sz w:val="24"/>
        </w:rPr>
        <w:t>established</w:t>
      </w:r>
      <w:r>
        <w:rPr>
          <w:spacing w:val="-12"/>
          <w:sz w:val="24"/>
        </w:rPr>
        <w:t> </w:t>
      </w:r>
      <w:r>
        <w:rPr>
          <w:spacing w:val="-2"/>
          <w:sz w:val="24"/>
        </w:rPr>
        <w:t>to</w:t>
      </w:r>
      <w:r>
        <w:rPr>
          <w:spacing w:val="-12"/>
          <w:sz w:val="24"/>
        </w:rPr>
        <w:t> </w:t>
      </w:r>
      <w:r>
        <w:rPr>
          <w:spacing w:val="-2"/>
          <w:sz w:val="24"/>
        </w:rPr>
        <w:t>allow</w:t>
      </w:r>
      <w:r>
        <w:rPr>
          <w:spacing w:val="-15"/>
          <w:sz w:val="24"/>
        </w:rPr>
        <w:t> </w:t>
      </w:r>
      <w:r>
        <w:rPr>
          <w:spacing w:val="-2"/>
          <w:sz w:val="24"/>
        </w:rPr>
        <w:t>a</w:t>
      </w:r>
      <w:r>
        <w:rPr>
          <w:spacing w:val="-8"/>
          <w:sz w:val="24"/>
        </w:rPr>
        <w:t> </w:t>
      </w:r>
      <w:r>
        <w:rPr>
          <w:spacing w:val="-2"/>
          <w:sz w:val="24"/>
        </w:rPr>
        <w:t>continuous</w:t>
      </w:r>
      <w:r>
        <w:rPr>
          <w:spacing w:val="-9"/>
          <w:sz w:val="24"/>
        </w:rPr>
        <w:t> </w:t>
      </w:r>
      <w:r>
        <w:rPr>
          <w:spacing w:val="-2"/>
          <w:sz w:val="24"/>
        </w:rPr>
        <w:t>flow</w:t>
      </w:r>
      <w:r>
        <w:rPr>
          <w:spacing w:val="-12"/>
          <w:sz w:val="24"/>
        </w:rPr>
        <w:t> </w:t>
      </w:r>
      <w:r>
        <w:rPr>
          <w:spacing w:val="-2"/>
          <w:sz w:val="24"/>
        </w:rPr>
        <w:t>of </w:t>
      </w:r>
      <w:r>
        <w:rPr>
          <w:sz w:val="24"/>
        </w:rPr>
        <w:t>information between committee members.</w:t>
      </w:r>
    </w:p>
    <w:p>
      <w:pPr>
        <w:pStyle w:val="BodyText"/>
        <w:spacing w:before="203"/>
      </w:pPr>
    </w:p>
    <w:p>
      <w:pPr>
        <w:pStyle w:val="ListParagraph"/>
        <w:numPr>
          <w:ilvl w:val="1"/>
          <w:numId w:val="72"/>
        </w:numPr>
        <w:tabs>
          <w:tab w:pos="852" w:val="left" w:leader="none"/>
        </w:tabs>
        <w:spacing w:line="240" w:lineRule="auto" w:before="0" w:after="0"/>
        <w:ind w:left="852" w:right="0" w:hanging="710"/>
        <w:jc w:val="left"/>
        <w:rPr>
          <w:sz w:val="24"/>
        </w:rPr>
      </w:pPr>
      <w:r>
        <w:rPr>
          <w:sz w:val="24"/>
        </w:rPr>
        <w:t>Membership</w:t>
      </w:r>
      <w:r>
        <w:rPr>
          <w:spacing w:val="-2"/>
          <w:sz w:val="24"/>
        </w:rPr>
        <w:t> </w:t>
      </w:r>
      <w:r>
        <w:rPr>
          <w:sz w:val="24"/>
        </w:rPr>
        <w:t>of</w:t>
      </w:r>
      <w:r>
        <w:rPr>
          <w:spacing w:val="-5"/>
          <w:sz w:val="24"/>
        </w:rPr>
        <w:t> </w:t>
      </w:r>
      <w:r>
        <w:rPr>
          <w:sz w:val="24"/>
        </w:rPr>
        <w:t>the RFCDDG</w:t>
      </w:r>
      <w:r>
        <w:rPr>
          <w:spacing w:val="-3"/>
          <w:sz w:val="24"/>
        </w:rPr>
        <w:t> </w:t>
      </w:r>
      <w:r>
        <w:rPr>
          <w:sz w:val="24"/>
        </w:rPr>
        <w:t>shall</w:t>
      </w:r>
      <w:r>
        <w:rPr>
          <w:spacing w:val="-2"/>
          <w:sz w:val="24"/>
        </w:rPr>
        <w:t> comprise:</w:t>
      </w:r>
    </w:p>
    <w:p>
      <w:pPr>
        <w:pStyle w:val="BodyText"/>
        <w:spacing w:before="160"/>
        <w:rPr>
          <w:sz w:val="20"/>
        </w:r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242"/>
        <w:gridCol w:w="4862"/>
      </w:tblGrid>
      <w:tr>
        <w:trPr>
          <w:trHeight w:val="285" w:hRule="atLeast"/>
        </w:trPr>
        <w:tc>
          <w:tcPr>
            <w:tcW w:w="5242" w:type="dxa"/>
            <w:shd w:val="clear" w:color="auto" w:fill="C1A875"/>
          </w:tcPr>
          <w:p>
            <w:pPr>
              <w:pStyle w:val="TableParagraph"/>
              <w:spacing w:line="265" w:lineRule="exact"/>
              <w:ind w:left="105"/>
              <w:rPr>
                <w:b/>
                <w:sz w:val="24"/>
              </w:rPr>
            </w:pPr>
            <w:r>
              <w:rPr>
                <w:b/>
                <w:spacing w:val="-2"/>
                <w:sz w:val="24"/>
              </w:rPr>
              <w:t>Member</w:t>
            </w:r>
          </w:p>
        </w:tc>
        <w:tc>
          <w:tcPr>
            <w:tcW w:w="4862" w:type="dxa"/>
            <w:shd w:val="clear" w:color="auto" w:fill="C1A875"/>
          </w:tcPr>
          <w:p>
            <w:pPr>
              <w:pStyle w:val="TableParagraph"/>
              <w:spacing w:line="265" w:lineRule="exact"/>
              <w:ind w:left="105"/>
              <w:rPr>
                <w:b/>
                <w:sz w:val="24"/>
              </w:rPr>
            </w:pPr>
            <w:r>
              <w:rPr>
                <w:b/>
                <w:spacing w:val="-2"/>
                <w:sz w:val="24"/>
              </w:rPr>
              <w:t>Organisation</w:t>
            </w:r>
          </w:p>
        </w:tc>
      </w:tr>
      <w:tr>
        <w:trPr>
          <w:trHeight w:val="555" w:hRule="atLeast"/>
        </w:trPr>
        <w:tc>
          <w:tcPr>
            <w:tcW w:w="5242" w:type="dxa"/>
          </w:tcPr>
          <w:p>
            <w:pPr>
              <w:pStyle w:val="TableParagraph"/>
              <w:spacing w:line="276" w:lineRule="exact"/>
              <w:ind w:left="105"/>
              <w:rPr>
                <w:sz w:val="24"/>
              </w:rPr>
            </w:pPr>
            <w:r>
              <w:rPr>
                <w:spacing w:val="-2"/>
                <w:sz w:val="24"/>
              </w:rPr>
              <w:t>Executive</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Finance</w:t>
            </w:r>
            <w:r>
              <w:rPr>
                <w:spacing w:val="-15"/>
                <w:sz w:val="24"/>
              </w:rPr>
              <w:t> </w:t>
            </w:r>
            <w:r>
              <w:rPr>
                <w:spacing w:val="-2"/>
                <w:sz w:val="24"/>
              </w:rPr>
              <w:t>(RFCDDG</w:t>
            </w:r>
            <w:r>
              <w:rPr>
                <w:spacing w:val="-15"/>
                <w:sz w:val="24"/>
              </w:rPr>
              <w:t> </w:t>
            </w:r>
            <w:r>
              <w:rPr>
                <w:spacing w:val="-2"/>
                <w:sz w:val="24"/>
              </w:rPr>
              <w:t>Joint Chair)</w:t>
            </w:r>
          </w:p>
        </w:tc>
        <w:tc>
          <w:tcPr>
            <w:tcW w:w="4862" w:type="dxa"/>
          </w:tcPr>
          <w:p>
            <w:pPr>
              <w:pStyle w:val="TableParagraph"/>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550" w:hRule="atLeast"/>
        </w:trPr>
        <w:tc>
          <w:tcPr>
            <w:tcW w:w="5242" w:type="dxa"/>
          </w:tcPr>
          <w:p>
            <w:pPr>
              <w:pStyle w:val="TableParagraph"/>
              <w:spacing w:line="276" w:lineRule="exact"/>
              <w:ind w:left="105"/>
              <w:rPr>
                <w:sz w:val="24"/>
              </w:rPr>
            </w:pPr>
            <w:r>
              <w:rPr>
                <w:spacing w:val="-2"/>
                <w:sz w:val="24"/>
              </w:rPr>
              <w:t>Executive</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Finance</w:t>
            </w:r>
            <w:r>
              <w:rPr>
                <w:spacing w:val="-15"/>
                <w:sz w:val="24"/>
              </w:rPr>
              <w:t> </w:t>
            </w:r>
            <w:r>
              <w:rPr>
                <w:spacing w:val="-2"/>
                <w:sz w:val="24"/>
              </w:rPr>
              <w:t>(RFCDDG</w:t>
            </w:r>
            <w:r>
              <w:rPr>
                <w:spacing w:val="-15"/>
                <w:sz w:val="24"/>
              </w:rPr>
              <w:t> </w:t>
            </w:r>
            <w:r>
              <w:rPr>
                <w:spacing w:val="-2"/>
                <w:sz w:val="24"/>
              </w:rPr>
              <w:t>Joint Chair)</w:t>
            </w:r>
          </w:p>
        </w:tc>
        <w:tc>
          <w:tcPr>
            <w:tcW w:w="4862" w:type="dxa"/>
          </w:tcPr>
          <w:p>
            <w:pPr>
              <w:pStyle w:val="TableParagraph"/>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3" w:hRule="atLeast"/>
        </w:trPr>
        <w:tc>
          <w:tcPr>
            <w:tcW w:w="5242" w:type="dxa"/>
          </w:tcPr>
          <w:p>
            <w:pPr>
              <w:pStyle w:val="TableParagraph"/>
              <w:spacing w:line="264" w:lineRule="exact"/>
              <w:ind w:left="105"/>
              <w:rPr>
                <w:sz w:val="24"/>
              </w:rPr>
            </w:pPr>
            <w:r>
              <w:rPr>
                <w:spacing w:val="-4"/>
                <w:sz w:val="24"/>
              </w:rPr>
              <w:t>Digital</w:t>
            </w:r>
            <w:r>
              <w:rPr>
                <w:spacing w:val="-5"/>
                <w:sz w:val="24"/>
              </w:rPr>
              <w:t> </w:t>
            </w:r>
            <w:r>
              <w:rPr>
                <w:spacing w:val="-2"/>
                <w:sz w:val="24"/>
              </w:rPr>
              <w:t>Director</w:t>
            </w:r>
          </w:p>
        </w:tc>
        <w:tc>
          <w:tcPr>
            <w:tcW w:w="4862" w:type="dxa"/>
          </w:tcPr>
          <w:p>
            <w:pPr>
              <w:pStyle w:val="TableParagraph"/>
              <w:spacing w:line="264"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4" w:hRule="atLeast"/>
        </w:trPr>
        <w:tc>
          <w:tcPr>
            <w:tcW w:w="5242" w:type="dxa"/>
          </w:tcPr>
          <w:p>
            <w:pPr>
              <w:pStyle w:val="TableParagraph"/>
              <w:spacing w:line="265" w:lineRule="exact"/>
              <w:ind w:left="105"/>
              <w:rPr>
                <w:sz w:val="24"/>
              </w:rPr>
            </w:pPr>
            <w:r>
              <w:rPr>
                <w:spacing w:val="-2"/>
                <w:sz w:val="24"/>
              </w:rPr>
              <w:t>Director</w:t>
            </w:r>
            <w:r>
              <w:rPr>
                <w:spacing w:val="-12"/>
                <w:sz w:val="24"/>
              </w:rPr>
              <w:t> </w:t>
            </w:r>
            <w:r>
              <w:rPr>
                <w:spacing w:val="-2"/>
                <w:sz w:val="24"/>
              </w:rPr>
              <w:t>of</w:t>
            </w:r>
            <w:r>
              <w:rPr>
                <w:spacing w:val="-12"/>
                <w:sz w:val="24"/>
              </w:rPr>
              <w:t> </w:t>
            </w:r>
            <w:r>
              <w:rPr>
                <w:spacing w:val="-2"/>
                <w:sz w:val="24"/>
              </w:rPr>
              <w:t>Digital</w:t>
            </w:r>
          </w:p>
        </w:tc>
        <w:tc>
          <w:tcPr>
            <w:tcW w:w="4862" w:type="dxa"/>
          </w:tcPr>
          <w:p>
            <w:pPr>
              <w:pStyle w:val="TableParagraph"/>
              <w:rPr>
                <w:rFonts w:ascii="Times New Roman"/>
                <w:sz w:val="20"/>
              </w:rPr>
            </w:pPr>
          </w:p>
        </w:tc>
      </w:tr>
      <w:tr>
        <w:trPr>
          <w:trHeight w:val="550" w:hRule="atLeast"/>
        </w:trPr>
        <w:tc>
          <w:tcPr>
            <w:tcW w:w="5242" w:type="dxa"/>
          </w:tcPr>
          <w:p>
            <w:pPr>
              <w:pStyle w:val="TableParagraph"/>
              <w:spacing w:line="276" w:lineRule="exact"/>
              <w:ind w:left="105" w:right="1174"/>
              <w:rPr>
                <w:sz w:val="24"/>
              </w:rPr>
            </w:pPr>
            <w:r>
              <w:rPr>
                <w:spacing w:val="-2"/>
                <w:sz w:val="24"/>
              </w:rPr>
              <w:t>Director</w:t>
            </w:r>
            <w:r>
              <w:rPr>
                <w:spacing w:val="-15"/>
                <w:sz w:val="24"/>
              </w:rPr>
              <w:t> </w:t>
            </w:r>
            <w:r>
              <w:rPr>
                <w:spacing w:val="-2"/>
                <w:sz w:val="24"/>
              </w:rPr>
              <w:t>of</w:t>
            </w:r>
            <w:r>
              <w:rPr>
                <w:spacing w:val="-15"/>
                <w:sz w:val="24"/>
              </w:rPr>
              <w:t> </w:t>
            </w:r>
            <w:r>
              <w:rPr>
                <w:spacing w:val="-2"/>
                <w:sz w:val="24"/>
              </w:rPr>
              <w:t>Performance</w:t>
            </w:r>
            <w:r>
              <w:rPr>
                <w:spacing w:val="-14"/>
                <w:sz w:val="24"/>
              </w:rPr>
              <w:t> </w:t>
            </w:r>
            <w:r>
              <w:rPr>
                <w:spacing w:val="-2"/>
                <w:sz w:val="24"/>
              </w:rPr>
              <w:t>and</w:t>
            </w:r>
            <w:r>
              <w:rPr>
                <w:spacing w:val="-15"/>
                <w:sz w:val="24"/>
              </w:rPr>
              <w:t> </w:t>
            </w:r>
            <w:r>
              <w:rPr>
                <w:spacing w:val="-2"/>
                <w:sz w:val="24"/>
              </w:rPr>
              <w:t>Business Intelligence</w:t>
            </w:r>
          </w:p>
        </w:tc>
        <w:tc>
          <w:tcPr>
            <w:tcW w:w="4862" w:type="dxa"/>
          </w:tcPr>
          <w:p>
            <w:pPr>
              <w:pStyle w:val="TableParagraph"/>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3" w:hRule="atLeast"/>
        </w:trPr>
        <w:tc>
          <w:tcPr>
            <w:tcW w:w="5242" w:type="dxa"/>
            <w:shd w:val="clear" w:color="auto" w:fill="C1A875"/>
          </w:tcPr>
          <w:p>
            <w:pPr>
              <w:pStyle w:val="TableParagraph"/>
              <w:spacing w:line="263" w:lineRule="exact"/>
              <w:ind w:left="105"/>
              <w:rPr>
                <w:b/>
                <w:sz w:val="24"/>
              </w:rPr>
            </w:pPr>
            <w:r>
              <w:rPr>
                <w:b/>
                <w:sz w:val="24"/>
              </w:rPr>
              <w:t>In</w:t>
            </w:r>
            <w:r>
              <w:rPr>
                <w:b/>
                <w:spacing w:val="-6"/>
                <w:sz w:val="24"/>
              </w:rPr>
              <w:t> </w:t>
            </w:r>
            <w:r>
              <w:rPr>
                <w:b/>
                <w:spacing w:val="-2"/>
                <w:sz w:val="24"/>
              </w:rPr>
              <w:t>Attendance</w:t>
            </w:r>
          </w:p>
        </w:tc>
        <w:tc>
          <w:tcPr>
            <w:tcW w:w="4862" w:type="dxa"/>
            <w:shd w:val="clear" w:color="auto" w:fill="C1A875"/>
          </w:tcPr>
          <w:p>
            <w:pPr>
              <w:pStyle w:val="TableParagraph"/>
              <w:rPr>
                <w:rFonts w:ascii="Times New Roman"/>
                <w:sz w:val="20"/>
              </w:rPr>
            </w:pPr>
          </w:p>
        </w:tc>
      </w:tr>
    </w:tbl>
    <w:p>
      <w:pPr>
        <w:spacing w:before="159"/>
        <w:ind w:left="4" w:right="284" w:firstLine="0"/>
        <w:jc w:val="center"/>
        <w:rPr>
          <w:sz w:val="20"/>
        </w:rPr>
      </w:pPr>
      <w:r>
        <w:rPr>
          <w:spacing w:val="-10"/>
          <w:sz w:val="20"/>
        </w:rPr>
        <w:t>4</w:t>
      </w:r>
    </w:p>
    <w:p>
      <w:pPr>
        <w:spacing w:after="0"/>
        <w:jc w:val="center"/>
        <w:rPr>
          <w:sz w:val="20"/>
        </w:rPr>
        <w:sectPr>
          <w:pgSz w:w="11910" w:h="16840"/>
          <w:pgMar w:header="0" w:footer="149" w:top="1260" w:bottom="340" w:left="708" w:right="425"/>
        </w:sect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242"/>
        <w:gridCol w:w="4862"/>
      </w:tblGrid>
      <w:tr>
        <w:trPr>
          <w:trHeight w:val="285" w:hRule="atLeast"/>
        </w:trPr>
        <w:tc>
          <w:tcPr>
            <w:tcW w:w="5242" w:type="dxa"/>
            <w:shd w:val="clear" w:color="auto" w:fill="C1A875"/>
          </w:tcPr>
          <w:p>
            <w:pPr>
              <w:pStyle w:val="TableParagraph"/>
              <w:spacing w:line="265" w:lineRule="exact"/>
              <w:ind w:left="105"/>
              <w:rPr>
                <w:b/>
                <w:sz w:val="24"/>
              </w:rPr>
            </w:pPr>
            <w:r>
              <w:rPr>
                <w:b/>
                <w:sz w:val="24"/>
              </w:rPr>
              <w:t>Deputy</w:t>
            </w:r>
            <w:r>
              <w:rPr>
                <w:b/>
                <w:spacing w:val="-8"/>
                <w:sz w:val="24"/>
              </w:rPr>
              <w:t> </w:t>
            </w:r>
            <w:r>
              <w:rPr>
                <w:b/>
                <w:sz w:val="24"/>
              </w:rPr>
              <w:t>Head</w:t>
            </w:r>
            <w:r>
              <w:rPr>
                <w:b/>
                <w:spacing w:val="-6"/>
                <w:sz w:val="24"/>
              </w:rPr>
              <w:t> </w:t>
            </w:r>
            <w:r>
              <w:rPr>
                <w:b/>
                <w:sz w:val="24"/>
              </w:rPr>
              <w:t>of Operational</w:t>
            </w:r>
            <w:r>
              <w:rPr>
                <w:b/>
                <w:spacing w:val="-5"/>
                <w:sz w:val="24"/>
              </w:rPr>
              <w:t> </w:t>
            </w:r>
            <w:r>
              <w:rPr>
                <w:b/>
                <w:spacing w:val="-2"/>
                <w:sz w:val="24"/>
              </w:rPr>
              <w:t>Procurement</w:t>
            </w:r>
          </w:p>
        </w:tc>
        <w:tc>
          <w:tcPr>
            <w:tcW w:w="4862" w:type="dxa"/>
            <w:shd w:val="clear" w:color="auto" w:fill="C1A875"/>
          </w:tcPr>
          <w:p>
            <w:pPr>
              <w:pStyle w:val="TableParagraph"/>
              <w:spacing w:line="265" w:lineRule="exact"/>
              <w:ind w:left="105"/>
              <w:rPr>
                <w:b/>
                <w:sz w:val="24"/>
              </w:rPr>
            </w:pPr>
            <w:r>
              <w:rPr>
                <w:b/>
                <w:spacing w:val="-2"/>
                <w:sz w:val="24"/>
              </w:rPr>
              <w:t>NWSSP</w:t>
            </w:r>
          </w:p>
        </w:tc>
      </w:tr>
      <w:tr>
        <w:trPr>
          <w:trHeight w:val="285" w:hRule="atLeast"/>
        </w:trPr>
        <w:tc>
          <w:tcPr>
            <w:tcW w:w="5242" w:type="dxa"/>
            <w:shd w:val="clear" w:color="auto" w:fill="C1A875"/>
          </w:tcPr>
          <w:p>
            <w:pPr>
              <w:pStyle w:val="TableParagraph"/>
              <w:spacing w:line="265" w:lineRule="exact"/>
              <w:ind w:left="105"/>
              <w:rPr>
                <w:b/>
                <w:sz w:val="24"/>
              </w:rPr>
            </w:pPr>
            <w:r>
              <w:rPr>
                <w:b/>
                <w:sz w:val="24"/>
              </w:rPr>
              <w:t>Deputy</w:t>
            </w:r>
            <w:r>
              <w:rPr>
                <w:b/>
                <w:spacing w:val="-8"/>
                <w:sz w:val="24"/>
              </w:rPr>
              <w:t> </w:t>
            </w:r>
            <w:r>
              <w:rPr>
                <w:b/>
                <w:sz w:val="24"/>
              </w:rPr>
              <w:t>Director</w:t>
            </w:r>
            <w:r>
              <w:rPr>
                <w:b/>
                <w:spacing w:val="-3"/>
                <w:sz w:val="24"/>
              </w:rPr>
              <w:t> </w:t>
            </w:r>
            <w:r>
              <w:rPr>
                <w:b/>
                <w:sz w:val="24"/>
              </w:rPr>
              <w:t>of</w:t>
            </w:r>
            <w:r>
              <w:rPr>
                <w:b/>
                <w:spacing w:val="-3"/>
                <w:sz w:val="24"/>
              </w:rPr>
              <w:t> </w:t>
            </w:r>
            <w:r>
              <w:rPr>
                <w:b/>
                <w:spacing w:val="-2"/>
                <w:sz w:val="24"/>
              </w:rPr>
              <w:t>Finance</w:t>
            </w:r>
          </w:p>
        </w:tc>
        <w:tc>
          <w:tcPr>
            <w:tcW w:w="4862" w:type="dxa"/>
            <w:shd w:val="clear" w:color="auto" w:fill="C1A875"/>
          </w:tcPr>
          <w:p>
            <w:pPr>
              <w:pStyle w:val="TableParagraph"/>
              <w:spacing w:line="265" w:lineRule="exact"/>
              <w:ind w:left="105"/>
              <w:rPr>
                <w:sz w:val="24"/>
              </w:rPr>
            </w:pPr>
            <w:r>
              <w:rPr>
                <w:sz w:val="24"/>
              </w:rPr>
              <w:t>Swansea</w:t>
            </w:r>
            <w:r>
              <w:rPr>
                <w:spacing w:val="-3"/>
                <w:sz w:val="24"/>
              </w:rPr>
              <w:t> </w:t>
            </w:r>
            <w:r>
              <w:rPr>
                <w:sz w:val="24"/>
              </w:rPr>
              <w:t>Bay</w:t>
            </w:r>
            <w:r>
              <w:rPr>
                <w:spacing w:val="-3"/>
                <w:sz w:val="24"/>
              </w:rPr>
              <w:t> </w:t>
            </w:r>
            <w:r>
              <w:rPr>
                <w:sz w:val="24"/>
              </w:rPr>
              <w:t>University</w:t>
            </w:r>
            <w:r>
              <w:rPr>
                <w:spacing w:val="-3"/>
                <w:sz w:val="24"/>
              </w:rPr>
              <w:t> </w:t>
            </w:r>
            <w:r>
              <w:rPr>
                <w:sz w:val="24"/>
              </w:rPr>
              <w:t>Health</w:t>
            </w:r>
            <w:r>
              <w:rPr>
                <w:spacing w:val="-2"/>
                <w:sz w:val="24"/>
              </w:rPr>
              <w:t> </w:t>
            </w:r>
            <w:r>
              <w:rPr>
                <w:spacing w:val="-4"/>
                <w:sz w:val="24"/>
              </w:rPr>
              <w:t>Board</w:t>
            </w:r>
          </w:p>
        </w:tc>
      </w:tr>
      <w:tr>
        <w:trPr>
          <w:trHeight w:val="320" w:hRule="atLeast"/>
        </w:trPr>
        <w:tc>
          <w:tcPr>
            <w:tcW w:w="5242" w:type="dxa"/>
          </w:tcPr>
          <w:p>
            <w:pPr>
              <w:pStyle w:val="TableParagraph"/>
              <w:spacing w:line="300" w:lineRule="exact"/>
              <w:ind w:left="105"/>
              <w:rPr>
                <w:b/>
                <w:sz w:val="28"/>
              </w:rPr>
            </w:pPr>
            <w:r>
              <w:rPr>
                <w:b/>
                <w:spacing w:val="-2"/>
                <w:w w:val="80"/>
                <w:sz w:val="28"/>
              </w:rPr>
              <w:t>Deputy</w:t>
            </w:r>
            <w:r>
              <w:rPr>
                <w:b/>
                <w:spacing w:val="-12"/>
                <w:sz w:val="28"/>
              </w:rPr>
              <w:t> </w:t>
            </w:r>
            <w:r>
              <w:rPr>
                <w:b/>
                <w:spacing w:val="-2"/>
                <w:w w:val="80"/>
                <w:sz w:val="28"/>
              </w:rPr>
              <w:t>Director</w:t>
            </w:r>
            <w:r>
              <w:rPr>
                <w:b/>
                <w:spacing w:val="-13"/>
                <w:sz w:val="28"/>
              </w:rPr>
              <w:t> </w:t>
            </w:r>
            <w:r>
              <w:rPr>
                <w:b/>
                <w:spacing w:val="-2"/>
                <w:w w:val="80"/>
                <w:sz w:val="28"/>
              </w:rPr>
              <w:t>of</w:t>
            </w:r>
            <w:r>
              <w:rPr>
                <w:b/>
                <w:spacing w:val="-6"/>
                <w:w w:val="80"/>
                <w:sz w:val="28"/>
              </w:rPr>
              <w:t> </w:t>
            </w:r>
            <w:r>
              <w:rPr>
                <w:b/>
                <w:spacing w:val="-2"/>
                <w:w w:val="80"/>
                <w:sz w:val="28"/>
              </w:rPr>
              <w:t>Finance</w:t>
            </w:r>
          </w:p>
        </w:tc>
        <w:tc>
          <w:tcPr>
            <w:tcW w:w="4862" w:type="dxa"/>
          </w:tcPr>
          <w:p>
            <w:pPr>
              <w:pStyle w:val="TableParagraph"/>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4"/>
                <w:sz w:val="24"/>
              </w:rPr>
              <w:t>Assistant Director</w:t>
            </w:r>
            <w:r>
              <w:rPr>
                <w:spacing w:val="-1"/>
                <w:sz w:val="24"/>
              </w:rPr>
              <w:t> </w:t>
            </w:r>
            <w:r>
              <w:rPr>
                <w:spacing w:val="-4"/>
                <w:sz w:val="24"/>
              </w:rPr>
              <w:t>of</w:t>
            </w:r>
            <w:r>
              <w:rPr>
                <w:spacing w:val="-3"/>
                <w:sz w:val="24"/>
              </w:rPr>
              <w:t> </w:t>
            </w:r>
            <w:r>
              <w:rPr>
                <w:spacing w:val="-4"/>
                <w:sz w:val="24"/>
              </w:rPr>
              <w:t>Finance</w:t>
            </w:r>
            <w:r>
              <w:rPr>
                <w:spacing w:val="1"/>
                <w:sz w:val="24"/>
              </w:rPr>
              <w:t> </w:t>
            </w:r>
            <w:r>
              <w:rPr>
                <w:spacing w:val="-4"/>
                <w:sz w:val="24"/>
              </w:rPr>
              <w:t>Strategy</w:t>
            </w:r>
          </w:p>
        </w:tc>
        <w:tc>
          <w:tcPr>
            <w:tcW w:w="4862" w:type="dxa"/>
          </w:tcPr>
          <w:p>
            <w:pPr>
              <w:pStyle w:val="TableParagraph"/>
              <w:spacing w:line="265"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0"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5"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5"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5"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5"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0"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5"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5"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5"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5"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280" w:hRule="atLeast"/>
        </w:trPr>
        <w:tc>
          <w:tcPr>
            <w:tcW w:w="5242" w:type="dxa"/>
          </w:tcPr>
          <w:p>
            <w:pPr>
              <w:pStyle w:val="TableParagraph"/>
              <w:rPr>
                <w:rFonts w:ascii="Times New Roman"/>
                <w:sz w:val="20"/>
              </w:rPr>
            </w:pPr>
          </w:p>
        </w:tc>
        <w:tc>
          <w:tcPr>
            <w:tcW w:w="4862" w:type="dxa"/>
          </w:tcPr>
          <w:p>
            <w:pPr>
              <w:pStyle w:val="TableParagraph"/>
              <w:rPr>
                <w:rFonts w:ascii="Times New Roman"/>
                <w:sz w:val="20"/>
              </w:rPr>
            </w:pPr>
          </w:p>
        </w:tc>
      </w:tr>
      <w:tr>
        <w:trPr>
          <w:trHeight w:val="555" w:hRule="atLeast"/>
        </w:trPr>
        <w:tc>
          <w:tcPr>
            <w:tcW w:w="10104" w:type="dxa"/>
            <w:gridSpan w:val="2"/>
            <w:shd w:val="clear" w:color="auto" w:fill="C1A875"/>
          </w:tcPr>
          <w:p>
            <w:pPr>
              <w:pStyle w:val="TableParagraph"/>
              <w:spacing w:line="280" w:lineRule="exact"/>
              <w:ind w:left="105" w:right="233"/>
              <w:rPr>
                <w:b/>
                <w:sz w:val="24"/>
              </w:rPr>
            </w:pPr>
            <w:r>
              <w:rPr>
                <w:b/>
                <w:sz w:val="24"/>
              </w:rPr>
              <w:t>Invitation</w:t>
            </w:r>
            <w:r>
              <w:rPr>
                <w:b/>
                <w:spacing w:val="-4"/>
                <w:sz w:val="24"/>
              </w:rPr>
              <w:t> </w:t>
            </w:r>
            <w:r>
              <w:rPr>
                <w:b/>
                <w:sz w:val="24"/>
              </w:rPr>
              <w:t>to</w:t>
            </w:r>
            <w:r>
              <w:rPr>
                <w:b/>
                <w:spacing w:val="-8"/>
                <w:sz w:val="24"/>
              </w:rPr>
              <w:t> </w:t>
            </w:r>
            <w:r>
              <w:rPr>
                <w:b/>
                <w:sz w:val="24"/>
              </w:rPr>
              <w:t>attend</w:t>
            </w:r>
            <w:r>
              <w:rPr>
                <w:b/>
                <w:spacing w:val="-4"/>
                <w:sz w:val="24"/>
              </w:rPr>
              <w:t> </w:t>
            </w:r>
            <w:r>
              <w:rPr>
                <w:b/>
                <w:sz w:val="24"/>
              </w:rPr>
              <w:t>to</w:t>
            </w:r>
            <w:r>
              <w:rPr>
                <w:b/>
                <w:spacing w:val="-4"/>
                <w:sz w:val="24"/>
              </w:rPr>
              <w:t> </w:t>
            </w:r>
            <w:r>
              <w:rPr>
                <w:b/>
                <w:sz w:val="24"/>
              </w:rPr>
              <w:t>discuss</w:t>
            </w:r>
            <w:r>
              <w:rPr>
                <w:b/>
                <w:spacing w:val="-5"/>
                <w:sz w:val="24"/>
              </w:rPr>
              <w:t> </w:t>
            </w:r>
            <w:r>
              <w:rPr>
                <w:b/>
                <w:sz w:val="24"/>
              </w:rPr>
              <w:t>work</w:t>
            </w:r>
            <w:r>
              <w:rPr>
                <w:b/>
                <w:spacing w:val="-5"/>
                <w:sz w:val="24"/>
              </w:rPr>
              <w:t> </w:t>
            </w:r>
            <w:r>
              <w:rPr>
                <w:b/>
                <w:sz w:val="24"/>
              </w:rPr>
              <w:t>programme</w:t>
            </w:r>
            <w:r>
              <w:rPr>
                <w:b/>
                <w:spacing w:val="-5"/>
                <w:sz w:val="24"/>
              </w:rPr>
              <w:t> </w:t>
            </w:r>
            <w:r>
              <w:rPr>
                <w:b/>
                <w:sz w:val="24"/>
              </w:rPr>
              <w:t>areas</w:t>
            </w:r>
            <w:r>
              <w:rPr>
                <w:b/>
                <w:spacing w:val="-5"/>
                <w:sz w:val="24"/>
              </w:rPr>
              <w:t> </w:t>
            </w:r>
            <w:r>
              <w:rPr>
                <w:b/>
                <w:sz w:val="24"/>
              </w:rPr>
              <w:t>requiring</w:t>
            </w:r>
            <w:r>
              <w:rPr>
                <w:b/>
                <w:spacing w:val="-8"/>
                <w:sz w:val="24"/>
              </w:rPr>
              <w:t> </w:t>
            </w:r>
            <w:r>
              <w:rPr>
                <w:b/>
                <w:sz w:val="24"/>
              </w:rPr>
              <w:t>wider</w:t>
            </w:r>
            <w:r>
              <w:rPr>
                <w:b/>
                <w:spacing w:val="-5"/>
                <w:sz w:val="24"/>
              </w:rPr>
              <w:t> </w:t>
            </w:r>
            <w:r>
              <w:rPr>
                <w:b/>
                <w:sz w:val="24"/>
              </w:rPr>
              <w:t>collaboration (as and when required)</w:t>
            </w:r>
          </w:p>
        </w:tc>
      </w:tr>
      <w:tr>
        <w:trPr>
          <w:trHeight w:val="280" w:hRule="atLeast"/>
        </w:trPr>
        <w:tc>
          <w:tcPr>
            <w:tcW w:w="5242" w:type="dxa"/>
          </w:tcPr>
          <w:p>
            <w:pPr>
              <w:pStyle w:val="TableParagraph"/>
              <w:spacing w:line="260" w:lineRule="exact"/>
              <w:ind w:left="105"/>
              <w:rPr>
                <w:sz w:val="24"/>
              </w:rPr>
            </w:pPr>
            <w:r>
              <w:rPr>
                <w:sz w:val="24"/>
              </w:rPr>
              <w:t>As</w:t>
            </w:r>
            <w:r>
              <w:rPr>
                <w:spacing w:val="-16"/>
                <w:sz w:val="24"/>
              </w:rPr>
              <w:t> </w:t>
            </w:r>
            <w:r>
              <w:rPr>
                <w:sz w:val="24"/>
              </w:rPr>
              <w:t>and</w:t>
            </w:r>
            <w:r>
              <w:rPr>
                <w:spacing w:val="-15"/>
                <w:sz w:val="24"/>
              </w:rPr>
              <w:t> </w:t>
            </w:r>
            <w:r>
              <w:rPr>
                <w:sz w:val="24"/>
              </w:rPr>
              <w:t>when</w:t>
            </w:r>
            <w:r>
              <w:rPr>
                <w:spacing w:val="-14"/>
                <w:sz w:val="24"/>
              </w:rPr>
              <w:t> </w:t>
            </w:r>
            <w:r>
              <w:rPr>
                <w:spacing w:val="-2"/>
                <w:sz w:val="24"/>
              </w:rPr>
              <w:t>required</w:t>
            </w:r>
          </w:p>
        </w:tc>
        <w:tc>
          <w:tcPr>
            <w:tcW w:w="4862" w:type="dxa"/>
          </w:tcPr>
          <w:p>
            <w:pPr>
              <w:pStyle w:val="TableParagraph"/>
              <w:rPr>
                <w:rFonts w:ascii="Times New Roman"/>
                <w:sz w:val="20"/>
              </w:rPr>
            </w:pPr>
          </w:p>
        </w:tc>
      </w:tr>
    </w:tbl>
    <w:p>
      <w:pPr>
        <w:pStyle w:val="BodyText"/>
        <w:spacing w:before="15"/>
      </w:pPr>
    </w:p>
    <w:p>
      <w:pPr>
        <w:pStyle w:val="ListParagraph"/>
        <w:numPr>
          <w:ilvl w:val="1"/>
          <w:numId w:val="72"/>
        </w:numPr>
        <w:tabs>
          <w:tab w:pos="852" w:val="left" w:leader="none"/>
        </w:tabs>
        <w:spacing w:line="240" w:lineRule="auto" w:before="1" w:after="0"/>
        <w:ind w:left="852" w:right="825" w:hanging="710"/>
        <w:jc w:val="left"/>
        <w:rPr>
          <w:sz w:val="24"/>
        </w:rPr>
      </w:pPr>
      <w:r>
        <w:rPr>
          <w:sz w:val="24"/>
        </w:rPr>
        <w:t>The</w:t>
      </w:r>
      <w:r>
        <w:rPr>
          <w:spacing w:val="-1"/>
          <w:sz w:val="24"/>
        </w:rPr>
        <w:t> </w:t>
      </w:r>
      <w:r>
        <w:rPr>
          <w:sz w:val="24"/>
        </w:rPr>
        <w:t>RFCDDG</w:t>
      </w:r>
      <w:r>
        <w:rPr>
          <w:spacing w:val="-4"/>
          <w:sz w:val="24"/>
        </w:rPr>
        <w:t> </w:t>
      </w:r>
      <w:r>
        <w:rPr>
          <w:sz w:val="24"/>
        </w:rPr>
        <w:t>will</w:t>
      </w:r>
      <w:r>
        <w:rPr>
          <w:spacing w:val="-2"/>
          <w:sz w:val="24"/>
        </w:rPr>
        <w:t> </w:t>
      </w:r>
      <w:r>
        <w:rPr>
          <w:sz w:val="24"/>
        </w:rPr>
        <w:t>be</w:t>
      </w:r>
      <w:r>
        <w:rPr>
          <w:spacing w:val="-1"/>
          <w:sz w:val="24"/>
        </w:rPr>
        <w:t> </w:t>
      </w:r>
      <w:r>
        <w:rPr>
          <w:sz w:val="24"/>
        </w:rPr>
        <w:t>jointly</w:t>
      </w:r>
      <w:r>
        <w:rPr>
          <w:spacing w:val="-2"/>
          <w:sz w:val="24"/>
        </w:rPr>
        <w:t> </w:t>
      </w:r>
      <w:r>
        <w:rPr>
          <w:sz w:val="24"/>
        </w:rPr>
        <w:t>chaired</w:t>
      </w:r>
      <w:r>
        <w:rPr>
          <w:spacing w:val="-2"/>
          <w:sz w:val="24"/>
        </w:rPr>
        <w:t> </w:t>
      </w:r>
      <w:r>
        <w:rPr>
          <w:sz w:val="24"/>
        </w:rPr>
        <w:t>by</w:t>
      </w:r>
      <w:r>
        <w:rPr>
          <w:spacing w:val="-3"/>
          <w:sz w:val="24"/>
        </w:rPr>
        <w:t> </w:t>
      </w:r>
      <w:r>
        <w:rPr>
          <w:sz w:val="24"/>
        </w:rPr>
        <w:t>the Executive Directors</w:t>
      </w:r>
      <w:r>
        <w:rPr>
          <w:spacing w:val="-3"/>
          <w:sz w:val="24"/>
        </w:rPr>
        <w:t> </w:t>
      </w:r>
      <w:r>
        <w:rPr>
          <w:sz w:val="24"/>
        </w:rPr>
        <w:t>of</w:t>
      </w:r>
      <w:r>
        <w:rPr>
          <w:spacing w:val="-5"/>
          <w:sz w:val="24"/>
        </w:rPr>
        <w:t> </w:t>
      </w:r>
      <w:r>
        <w:rPr>
          <w:sz w:val="24"/>
        </w:rPr>
        <w:t>Finance from</w:t>
      </w:r>
      <w:r>
        <w:rPr>
          <w:spacing w:val="-2"/>
          <w:sz w:val="24"/>
        </w:rPr>
        <w:t> </w:t>
      </w:r>
      <w:r>
        <w:rPr>
          <w:sz w:val="24"/>
        </w:rPr>
        <w:t>Hywel Dda and Swansea Bay University Health Boards.</w:t>
      </w:r>
    </w:p>
    <w:p>
      <w:pPr>
        <w:pStyle w:val="ListParagraph"/>
        <w:numPr>
          <w:ilvl w:val="1"/>
          <w:numId w:val="72"/>
        </w:numPr>
        <w:tabs>
          <w:tab w:pos="852" w:val="left" w:leader="none"/>
        </w:tabs>
        <w:spacing w:line="240" w:lineRule="auto" w:before="273" w:after="0"/>
        <w:ind w:left="852" w:right="0" w:hanging="710"/>
        <w:jc w:val="left"/>
        <w:rPr>
          <w:sz w:val="24"/>
        </w:rPr>
      </w:pPr>
      <w:r>
        <w:rPr>
          <w:sz w:val="24"/>
        </w:rPr>
        <w:t>Membership</w:t>
      </w:r>
      <w:r>
        <w:rPr>
          <w:spacing w:val="-2"/>
          <w:sz w:val="24"/>
        </w:rPr>
        <w:t> </w:t>
      </w:r>
      <w:r>
        <w:rPr>
          <w:sz w:val="24"/>
        </w:rPr>
        <w:t>of</w:t>
      </w:r>
      <w:r>
        <w:rPr>
          <w:spacing w:val="-5"/>
          <w:sz w:val="24"/>
        </w:rPr>
        <w:t> </w:t>
      </w:r>
      <w:r>
        <w:rPr>
          <w:sz w:val="24"/>
        </w:rPr>
        <w:t>the RFCDDG</w:t>
      </w:r>
      <w:r>
        <w:rPr>
          <w:spacing w:val="-5"/>
          <w:sz w:val="24"/>
        </w:rPr>
        <w:t> </w:t>
      </w:r>
      <w:r>
        <w:rPr>
          <w:sz w:val="24"/>
        </w:rPr>
        <w:t>will</w:t>
      </w:r>
      <w:r>
        <w:rPr>
          <w:spacing w:val="-1"/>
          <w:sz w:val="24"/>
        </w:rPr>
        <w:t> </w:t>
      </w:r>
      <w:r>
        <w:rPr>
          <w:sz w:val="24"/>
        </w:rPr>
        <w:t>be</w:t>
      </w:r>
      <w:r>
        <w:rPr>
          <w:spacing w:val="-2"/>
          <w:sz w:val="24"/>
        </w:rPr>
        <w:t> </w:t>
      </w:r>
      <w:r>
        <w:rPr>
          <w:sz w:val="24"/>
        </w:rPr>
        <w:t>reviewed</w:t>
      </w:r>
      <w:r>
        <w:rPr>
          <w:spacing w:val="-2"/>
          <w:sz w:val="24"/>
        </w:rPr>
        <w:t> </w:t>
      </w:r>
      <w:r>
        <w:rPr>
          <w:sz w:val="24"/>
        </w:rPr>
        <w:t>on</w:t>
      </w:r>
      <w:r>
        <w:rPr>
          <w:spacing w:val="-1"/>
          <w:sz w:val="24"/>
        </w:rPr>
        <w:t> </w:t>
      </w:r>
      <w:r>
        <w:rPr>
          <w:sz w:val="24"/>
        </w:rPr>
        <w:t>an</w:t>
      </w:r>
      <w:r>
        <w:rPr>
          <w:spacing w:val="-2"/>
          <w:sz w:val="24"/>
        </w:rPr>
        <w:t> </w:t>
      </w:r>
      <w:r>
        <w:rPr>
          <w:sz w:val="24"/>
        </w:rPr>
        <w:t>annual</w:t>
      </w:r>
      <w:r>
        <w:rPr>
          <w:spacing w:val="-1"/>
          <w:sz w:val="24"/>
        </w:rPr>
        <w:t> </w:t>
      </w:r>
      <w:r>
        <w:rPr>
          <w:spacing w:val="-2"/>
          <w:sz w:val="24"/>
        </w:rPr>
        <w:t>basis.</w:t>
      </w:r>
    </w:p>
    <w:p>
      <w:pPr>
        <w:pStyle w:val="BodyText"/>
        <w:spacing w:before="3"/>
      </w:pPr>
    </w:p>
    <w:p>
      <w:pPr>
        <w:pStyle w:val="ListParagraph"/>
        <w:numPr>
          <w:ilvl w:val="1"/>
          <w:numId w:val="72"/>
        </w:numPr>
        <w:tabs>
          <w:tab w:pos="852" w:val="left" w:leader="none"/>
        </w:tabs>
        <w:spacing w:line="240" w:lineRule="auto" w:before="0" w:after="0"/>
        <w:ind w:left="852" w:right="0" w:hanging="710"/>
        <w:jc w:val="left"/>
        <w:rPr>
          <w:sz w:val="24"/>
        </w:rPr>
      </w:pPr>
      <w:r>
        <w:rPr>
          <w:sz w:val="24"/>
        </w:rPr>
        <w:t>The</w:t>
      </w:r>
      <w:r>
        <w:rPr>
          <w:spacing w:val="-3"/>
          <w:sz w:val="24"/>
        </w:rPr>
        <w:t> </w:t>
      </w:r>
      <w:r>
        <w:rPr>
          <w:sz w:val="24"/>
        </w:rPr>
        <w:t>RFCDDG</w:t>
      </w:r>
      <w:r>
        <w:rPr>
          <w:spacing w:val="-4"/>
          <w:sz w:val="24"/>
        </w:rPr>
        <w:t> </w:t>
      </w:r>
      <w:r>
        <w:rPr>
          <w:sz w:val="24"/>
        </w:rPr>
        <w:t>will</w:t>
      </w:r>
      <w:r>
        <w:rPr>
          <w:spacing w:val="-2"/>
          <w:sz w:val="24"/>
        </w:rPr>
        <w:t> </w:t>
      </w:r>
      <w:r>
        <w:rPr>
          <w:sz w:val="24"/>
        </w:rPr>
        <w:t>be</w:t>
      </w:r>
      <w:r>
        <w:rPr>
          <w:spacing w:val="-2"/>
          <w:sz w:val="24"/>
        </w:rPr>
        <w:t> </w:t>
      </w:r>
      <w:r>
        <w:rPr>
          <w:sz w:val="24"/>
        </w:rPr>
        <w:t>supported</w:t>
      </w:r>
      <w:r>
        <w:rPr>
          <w:spacing w:val="-2"/>
          <w:sz w:val="24"/>
        </w:rPr>
        <w:t> </w:t>
      </w:r>
      <w:r>
        <w:rPr>
          <w:sz w:val="24"/>
        </w:rPr>
        <w:t>by the</w:t>
      </w:r>
      <w:r>
        <w:rPr>
          <w:spacing w:val="-2"/>
          <w:sz w:val="24"/>
        </w:rPr>
        <w:t> </w:t>
      </w:r>
      <w:r>
        <w:rPr>
          <w:sz w:val="24"/>
        </w:rPr>
        <w:t>Committee </w:t>
      </w:r>
      <w:r>
        <w:rPr>
          <w:spacing w:val="-2"/>
          <w:sz w:val="24"/>
        </w:rPr>
        <w:t>Secretary.</w:t>
      </w:r>
    </w:p>
    <w:p>
      <w:pPr>
        <w:pStyle w:val="BodyText"/>
        <w:spacing w:before="195"/>
        <w:rPr>
          <w:sz w:val="20"/>
        </w:rPr>
      </w:pPr>
      <w:r>
        <w:rPr>
          <w:sz w:val="20"/>
        </w:rPr>
        <mc:AlternateContent>
          <mc:Choice Requires="wps">
            <w:drawing>
              <wp:anchor distT="0" distB="0" distL="0" distR="0" allowOverlap="1" layoutInCell="1" locked="0" behindDoc="1" simplePos="0" relativeHeight="487685120">
                <wp:simplePos x="0" y="0"/>
                <wp:positionH relativeFrom="page">
                  <wp:posOffset>574992</wp:posOffset>
                </wp:positionH>
                <wp:positionV relativeFrom="paragraph">
                  <wp:posOffset>291808</wp:posOffset>
                </wp:positionV>
                <wp:extent cx="6642100" cy="193675"/>
                <wp:effectExtent l="0" t="0" r="0" b="0"/>
                <wp:wrapTopAndBottom/>
                <wp:docPr id="523" name="Textbox 523"/>
                <wp:cNvGraphicFramePr>
                  <a:graphicFrameLocks/>
                </wp:cNvGraphicFramePr>
                <a:graphic>
                  <a:graphicData uri="http://schemas.microsoft.com/office/word/2010/wordprocessingShape">
                    <wps:wsp>
                      <wps:cNvPr id="523" name="Textbox 523"/>
                      <wps:cNvSpPr txBox="1"/>
                      <wps:spPr>
                        <a:xfrm>
                          <a:off x="0" y="0"/>
                          <a:ext cx="66421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7.</w:t>
                            </w:r>
                            <w:r>
                              <w:rPr>
                                <w:b/>
                                <w:color w:val="000000"/>
                                <w:spacing w:val="68"/>
                                <w:w w:val="150"/>
                                <w:sz w:val="24"/>
                              </w:rPr>
                              <w:t> </w:t>
                            </w:r>
                            <w:r>
                              <w:rPr>
                                <w:b/>
                                <w:color w:val="000000"/>
                                <w:sz w:val="24"/>
                              </w:rPr>
                              <w:t>Quorum</w:t>
                            </w:r>
                            <w:r>
                              <w:rPr>
                                <w:b/>
                                <w:color w:val="000000"/>
                                <w:spacing w:val="-13"/>
                                <w:sz w:val="24"/>
                              </w:rPr>
                              <w:t> </w:t>
                            </w:r>
                            <w:r>
                              <w:rPr>
                                <w:b/>
                                <w:color w:val="000000"/>
                                <w:sz w:val="24"/>
                              </w:rPr>
                              <w:t>and</w:t>
                            </w:r>
                            <w:r>
                              <w:rPr>
                                <w:b/>
                                <w:color w:val="000000"/>
                                <w:spacing w:val="-15"/>
                                <w:sz w:val="24"/>
                              </w:rPr>
                              <w:t> </w:t>
                            </w:r>
                            <w:r>
                              <w:rPr>
                                <w:b/>
                                <w:color w:val="000000"/>
                                <w:spacing w:val="-2"/>
                                <w:sz w:val="24"/>
                              </w:rPr>
                              <w:t>Attendance</w:t>
                            </w:r>
                          </w:p>
                        </w:txbxContent>
                      </wps:txbx>
                      <wps:bodyPr wrap="square" lIns="0" tIns="0" rIns="0" bIns="0" rtlCol="0">
                        <a:noAutofit/>
                      </wps:bodyPr>
                    </wps:wsp>
                  </a:graphicData>
                </a:graphic>
              </wp:anchor>
            </w:drawing>
          </mc:Choice>
          <mc:Fallback>
            <w:pict>
              <v:shape style="position:absolute;margin-left:45.275002pt;margin-top:22.977032pt;width:523pt;height:15.25pt;mso-position-horizontal-relative:page;mso-position-vertical-relative:paragraph;z-index:-15631360;mso-wrap-distance-left:0;mso-wrap-distance-right:0" type="#_x0000_t202" id="docshape301" filled="true" fillcolor="#c1a875" stroked="true" strokeweight="1pt" strokecolor="#394871">
                <v:textbox inset="0,0,0,0">
                  <w:txbxContent>
                    <w:p>
                      <w:pPr>
                        <w:spacing w:before="0"/>
                        <w:ind w:left="95" w:right="0" w:firstLine="0"/>
                        <w:jc w:val="left"/>
                        <w:rPr>
                          <w:b/>
                          <w:color w:val="000000"/>
                          <w:sz w:val="24"/>
                        </w:rPr>
                      </w:pPr>
                      <w:r>
                        <w:rPr>
                          <w:b/>
                          <w:color w:val="000000"/>
                          <w:sz w:val="24"/>
                        </w:rPr>
                        <w:t>7.</w:t>
                      </w:r>
                      <w:r>
                        <w:rPr>
                          <w:b/>
                          <w:color w:val="000000"/>
                          <w:spacing w:val="68"/>
                          <w:w w:val="150"/>
                          <w:sz w:val="24"/>
                        </w:rPr>
                        <w:t> </w:t>
                      </w:r>
                      <w:r>
                        <w:rPr>
                          <w:b/>
                          <w:color w:val="000000"/>
                          <w:sz w:val="24"/>
                        </w:rPr>
                        <w:t>Quorum</w:t>
                      </w:r>
                      <w:r>
                        <w:rPr>
                          <w:b/>
                          <w:color w:val="000000"/>
                          <w:spacing w:val="-13"/>
                          <w:sz w:val="24"/>
                        </w:rPr>
                        <w:t> </w:t>
                      </w:r>
                      <w:r>
                        <w:rPr>
                          <w:b/>
                          <w:color w:val="000000"/>
                          <w:sz w:val="24"/>
                        </w:rPr>
                        <w:t>and</w:t>
                      </w:r>
                      <w:r>
                        <w:rPr>
                          <w:b/>
                          <w:color w:val="000000"/>
                          <w:spacing w:val="-15"/>
                          <w:sz w:val="24"/>
                        </w:rPr>
                        <w:t> </w:t>
                      </w:r>
                      <w:r>
                        <w:rPr>
                          <w:b/>
                          <w:color w:val="000000"/>
                          <w:spacing w:val="-2"/>
                          <w:sz w:val="24"/>
                        </w:rPr>
                        <w:t>Attendance</w:t>
                      </w:r>
                    </w:p>
                  </w:txbxContent>
                </v:textbox>
                <v:fill type="solid"/>
                <v:stroke dashstyle="solid"/>
                <w10:wrap type="topAndBottom"/>
              </v:shape>
            </w:pict>
          </mc:Fallback>
        </mc:AlternateContent>
      </w:r>
    </w:p>
    <w:p>
      <w:pPr>
        <w:pStyle w:val="BodyText"/>
        <w:spacing w:before="49"/>
      </w:pPr>
    </w:p>
    <w:p>
      <w:pPr>
        <w:pStyle w:val="ListParagraph"/>
        <w:numPr>
          <w:ilvl w:val="1"/>
          <w:numId w:val="73"/>
        </w:numPr>
        <w:tabs>
          <w:tab w:pos="852" w:val="left" w:leader="none"/>
          <w:tab w:pos="862" w:val="left" w:leader="none"/>
        </w:tabs>
        <w:spacing w:line="290" w:lineRule="auto" w:before="0" w:after="0"/>
        <w:ind w:left="852" w:right="5008" w:hanging="710"/>
        <w:jc w:val="left"/>
        <w:rPr>
          <w:sz w:val="24"/>
        </w:rPr>
      </w:pPr>
      <w:r>
        <w:rPr>
          <w:sz w:val="24"/>
        </w:rPr>
        <w:t>At</w:t>
      </w:r>
      <w:r>
        <w:rPr>
          <w:spacing w:val="-17"/>
          <w:sz w:val="24"/>
        </w:rPr>
        <w:t> </w:t>
      </w:r>
      <w:r>
        <w:rPr>
          <w:sz w:val="24"/>
        </w:rPr>
        <w:t>least</w:t>
      </w:r>
      <w:r>
        <w:rPr>
          <w:spacing w:val="-17"/>
          <w:sz w:val="24"/>
        </w:rPr>
        <w:t> </w:t>
      </w:r>
      <w:r>
        <w:rPr>
          <w:sz w:val="24"/>
        </w:rPr>
        <w:t>50%</w:t>
      </w:r>
      <w:r>
        <w:rPr>
          <w:spacing w:val="-16"/>
          <w:sz w:val="24"/>
        </w:rPr>
        <w:t> </w:t>
      </w:r>
      <w:r>
        <w:rPr>
          <w:sz w:val="24"/>
        </w:rPr>
        <w:t>of</w:t>
      </w:r>
      <w:r>
        <w:rPr>
          <w:spacing w:val="-17"/>
          <w:sz w:val="24"/>
        </w:rPr>
        <w:t> </w:t>
      </w:r>
      <w:r>
        <w:rPr>
          <w:sz w:val="24"/>
        </w:rPr>
        <w:t>members</w:t>
      </w:r>
      <w:r>
        <w:rPr>
          <w:spacing w:val="-17"/>
          <w:sz w:val="24"/>
        </w:rPr>
        <w:t> </w:t>
      </w:r>
      <w:r>
        <w:rPr>
          <w:sz w:val="24"/>
        </w:rPr>
        <w:t>from</w:t>
      </w:r>
      <w:r>
        <w:rPr>
          <w:spacing w:val="-17"/>
          <w:sz w:val="24"/>
        </w:rPr>
        <w:t> </w:t>
      </w:r>
      <w:r>
        <w:rPr>
          <w:sz w:val="24"/>
        </w:rPr>
        <w:t>Hywel</w:t>
      </w:r>
      <w:r>
        <w:rPr>
          <w:spacing w:val="-16"/>
          <w:sz w:val="24"/>
        </w:rPr>
        <w:t> </w:t>
      </w:r>
      <w:r>
        <w:rPr>
          <w:sz w:val="24"/>
        </w:rPr>
        <w:t>Dda</w:t>
      </w:r>
      <w:r>
        <w:rPr>
          <w:spacing w:val="-17"/>
          <w:sz w:val="24"/>
        </w:rPr>
        <w:t> </w:t>
      </w:r>
      <w:r>
        <w:rPr>
          <w:sz w:val="24"/>
        </w:rPr>
        <w:t>UHB At least 50% of members from Swansea UHB</w:t>
      </w:r>
    </w:p>
    <w:p>
      <w:pPr>
        <w:pStyle w:val="ListParagraph"/>
        <w:numPr>
          <w:ilvl w:val="1"/>
          <w:numId w:val="73"/>
        </w:numPr>
        <w:tabs>
          <w:tab w:pos="852" w:val="left" w:leader="none"/>
        </w:tabs>
        <w:spacing w:line="242" w:lineRule="auto" w:before="217" w:after="0"/>
        <w:ind w:left="852" w:right="419" w:hanging="710"/>
        <w:jc w:val="left"/>
        <w:rPr>
          <w:sz w:val="24"/>
        </w:rPr>
      </w:pPr>
      <w:r>
        <w:rPr>
          <w:sz w:val="24"/>
        </w:rPr>
        <w:t>All members should</w:t>
      </w:r>
      <w:r>
        <w:rPr>
          <w:spacing w:val="-2"/>
          <w:sz w:val="24"/>
        </w:rPr>
        <w:t> </w:t>
      </w:r>
      <w:r>
        <w:rPr>
          <w:sz w:val="24"/>
        </w:rPr>
        <w:t>inform the RJC</w:t>
      </w:r>
      <w:r>
        <w:rPr>
          <w:spacing w:val="-2"/>
          <w:sz w:val="24"/>
        </w:rPr>
        <w:t> </w:t>
      </w:r>
      <w:r>
        <w:rPr>
          <w:sz w:val="24"/>
        </w:rPr>
        <w:t>PMO one</w:t>
      </w:r>
      <w:r>
        <w:rPr>
          <w:spacing w:val="-2"/>
          <w:sz w:val="24"/>
        </w:rPr>
        <w:t> </w:t>
      </w:r>
      <w:r>
        <w:rPr>
          <w:sz w:val="24"/>
        </w:rPr>
        <w:t>week in</w:t>
      </w:r>
      <w:r>
        <w:rPr>
          <w:spacing w:val="-2"/>
          <w:sz w:val="24"/>
        </w:rPr>
        <w:t> </w:t>
      </w:r>
      <w:r>
        <w:rPr>
          <w:sz w:val="24"/>
        </w:rPr>
        <w:t>advance</w:t>
      </w:r>
      <w:r>
        <w:rPr>
          <w:spacing w:val="-2"/>
          <w:sz w:val="24"/>
        </w:rPr>
        <w:t> </w:t>
      </w:r>
      <w:r>
        <w:rPr>
          <w:sz w:val="24"/>
        </w:rPr>
        <w:t>of the meeting if</w:t>
      </w:r>
      <w:r>
        <w:rPr>
          <w:spacing w:val="-5"/>
          <w:sz w:val="24"/>
        </w:rPr>
        <w:t> </w:t>
      </w:r>
      <w:r>
        <w:rPr>
          <w:sz w:val="24"/>
        </w:rPr>
        <w:t>deputies will be attending, unless exceptional short-term circumstances arise.</w:t>
      </w:r>
    </w:p>
    <w:p>
      <w:pPr>
        <w:pStyle w:val="BodyText"/>
        <w:spacing w:before="57"/>
      </w:pPr>
    </w:p>
    <w:p>
      <w:pPr>
        <w:pStyle w:val="ListParagraph"/>
        <w:numPr>
          <w:ilvl w:val="1"/>
          <w:numId w:val="73"/>
        </w:numPr>
        <w:tabs>
          <w:tab w:pos="852" w:val="left" w:leader="none"/>
        </w:tabs>
        <w:spacing w:line="240" w:lineRule="auto" w:before="0" w:after="0"/>
        <w:ind w:left="852" w:right="428" w:hanging="710"/>
        <w:jc w:val="left"/>
        <w:rPr>
          <w:sz w:val="24"/>
        </w:rPr>
      </w:pPr>
      <w:r>
        <w:rPr>
          <w:sz w:val="24"/>
        </w:rPr>
        <w:t>Should any member be unavailable to attend, they may nominate a deputy to attend in</w:t>
      </w:r>
      <w:r>
        <w:rPr>
          <w:spacing w:val="80"/>
          <w:sz w:val="24"/>
        </w:rPr>
        <w:t> </w:t>
      </w:r>
      <w:r>
        <w:rPr>
          <w:sz w:val="24"/>
        </w:rPr>
        <w:t>their place, subject to the agreement of both Co-Chairs.</w:t>
      </w:r>
    </w:p>
    <w:p>
      <w:pPr>
        <w:pStyle w:val="BodyText"/>
        <w:spacing w:before="2"/>
      </w:pPr>
    </w:p>
    <w:p>
      <w:pPr>
        <w:pStyle w:val="ListParagraph"/>
        <w:numPr>
          <w:ilvl w:val="1"/>
          <w:numId w:val="73"/>
        </w:numPr>
        <w:tabs>
          <w:tab w:pos="850" w:val="left" w:leader="none"/>
          <w:tab w:pos="852" w:val="left" w:leader="none"/>
        </w:tabs>
        <w:spacing w:line="240" w:lineRule="auto" w:before="0" w:after="0"/>
        <w:ind w:left="852" w:right="421" w:hanging="710"/>
        <w:jc w:val="both"/>
        <w:rPr>
          <w:sz w:val="24"/>
        </w:rPr>
      </w:pPr>
      <w:r>
        <w:rPr>
          <w:sz w:val="24"/>
        </w:rPr>
        <w:t>Delegation to deputies is expected to be kept to a minimum and specific approval should be sought from the Co-Chairs for instances where more than two consecutive meetings are expected to involve the nominated.</w:t>
      </w:r>
    </w:p>
    <w:p>
      <w:pPr>
        <w:pStyle w:val="BodyText"/>
        <w:spacing w:before="42"/>
      </w:pPr>
    </w:p>
    <w:p>
      <w:pPr>
        <w:pStyle w:val="ListParagraph"/>
        <w:numPr>
          <w:ilvl w:val="1"/>
          <w:numId w:val="73"/>
        </w:numPr>
        <w:tabs>
          <w:tab w:pos="852" w:val="left" w:leader="none"/>
        </w:tabs>
        <w:spacing w:line="242" w:lineRule="auto" w:before="0" w:after="0"/>
        <w:ind w:left="852" w:right="423" w:hanging="710"/>
        <w:jc w:val="left"/>
        <w:rPr>
          <w:sz w:val="24"/>
        </w:rPr>
      </w:pPr>
      <w:r>
        <w:rPr>
          <w:sz w:val="24"/>
        </w:rPr>
        <w:t>The RFCDDG may ask any or all of</w:t>
      </w:r>
      <w:r>
        <w:rPr>
          <w:spacing w:val="-1"/>
          <w:sz w:val="24"/>
        </w:rPr>
        <w:t> </w:t>
      </w:r>
      <w:r>
        <w:rPr>
          <w:sz w:val="24"/>
        </w:rPr>
        <w:t>those who normally attend but</w:t>
      </w:r>
      <w:r>
        <w:rPr>
          <w:spacing w:val="-1"/>
          <w:sz w:val="24"/>
        </w:rPr>
        <w:t> </w:t>
      </w:r>
      <w:r>
        <w:rPr>
          <w:sz w:val="24"/>
        </w:rPr>
        <w:t>who are not</w:t>
      </w:r>
      <w:r>
        <w:rPr>
          <w:spacing w:val="-1"/>
          <w:sz w:val="24"/>
        </w:rPr>
        <w:t> </w:t>
      </w:r>
      <w:r>
        <w:rPr>
          <w:sz w:val="24"/>
        </w:rPr>
        <w:t>members to withdraw to facilitate open and frank discussion of particular matters.</w:t>
      </w:r>
    </w:p>
    <w:p>
      <w:pPr>
        <w:pStyle w:val="BodyText"/>
        <w:spacing w:before="74"/>
        <w:rPr>
          <w:sz w:val="20"/>
        </w:rPr>
      </w:pPr>
      <w:r>
        <w:rPr>
          <w:sz w:val="20"/>
        </w:rPr>
        <mc:AlternateContent>
          <mc:Choice Requires="wps">
            <w:drawing>
              <wp:anchor distT="0" distB="0" distL="0" distR="0" allowOverlap="1" layoutInCell="1" locked="0" behindDoc="1" simplePos="0" relativeHeight="487685632">
                <wp:simplePos x="0" y="0"/>
                <wp:positionH relativeFrom="page">
                  <wp:posOffset>574992</wp:posOffset>
                </wp:positionH>
                <wp:positionV relativeFrom="paragraph">
                  <wp:posOffset>214631</wp:posOffset>
                </wp:positionV>
                <wp:extent cx="6553200" cy="193675"/>
                <wp:effectExtent l="0" t="0" r="0" b="0"/>
                <wp:wrapTopAndBottom/>
                <wp:docPr id="524" name="Textbox 524"/>
                <wp:cNvGraphicFramePr>
                  <a:graphicFrameLocks/>
                </wp:cNvGraphicFramePr>
                <a:graphic>
                  <a:graphicData uri="http://schemas.microsoft.com/office/word/2010/wordprocessingShape">
                    <wps:wsp>
                      <wps:cNvPr id="524" name="Textbox 524"/>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8.</w:t>
                            </w:r>
                            <w:r>
                              <w:rPr>
                                <w:b/>
                                <w:color w:val="000000"/>
                                <w:spacing w:val="29"/>
                                <w:sz w:val="24"/>
                              </w:rPr>
                              <w:t>  </w:t>
                            </w:r>
                            <w:r>
                              <w:rPr>
                                <w:b/>
                                <w:color w:val="000000"/>
                                <w:sz w:val="24"/>
                              </w:rPr>
                              <w:t>Agenda</w:t>
                            </w:r>
                            <w:r>
                              <w:rPr>
                                <w:b/>
                                <w:color w:val="000000"/>
                                <w:spacing w:val="1"/>
                                <w:sz w:val="24"/>
                              </w:rPr>
                              <w:t> </w:t>
                            </w:r>
                            <w:r>
                              <w:rPr>
                                <w:b/>
                                <w:color w:val="000000"/>
                                <w:sz w:val="24"/>
                              </w:rPr>
                              <w:t>and</w:t>
                            </w:r>
                            <w:r>
                              <w:rPr>
                                <w:b/>
                                <w:color w:val="000000"/>
                                <w:spacing w:val="-4"/>
                                <w:sz w:val="24"/>
                              </w:rPr>
                              <w:t> </w:t>
                            </w:r>
                            <w:r>
                              <w:rPr>
                                <w:b/>
                                <w:color w:val="000000"/>
                                <w:spacing w:val="-2"/>
                                <w:sz w:val="24"/>
                              </w:rPr>
                              <w:t>Papers</w:t>
                            </w:r>
                          </w:p>
                        </w:txbxContent>
                      </wps:txbx>
                      <wps:bodyPr wrap="square" lIns="0" tIns="0" rIns="0" bIns="0" rtlCol="0">
                        <a:noAutofit/>
                      </wps:bodyPr>
                    </wps:wsp>
                  </a:graphicData>
                </a:graphic>
              </wp:anchor>
            </w:drawing>
          </mc:Choice>
          <mc:Fallback>
            <w:pict>
              <v:shape style="position:absolute;margin-left:45.275002pt;margin-top:16.900118pt;width:516pt;height:15.25pt;mso-position-horizontal-relative:page;mso-position-vertical-relative:paragraph;z-index:-15630848;mso-wrap-distance-left:0;mso-wrap-distance-right:0" type="#_x0000_t202" id="docshape302" filled="true" fillcolor="#c1a875" stroked="true" strokeweight="1pt" strokecolor="#394871">
                <v:textbox inset="0,0,0,0">
                  <w:txbxContent>
                    <w:p>
                      <w:pPr>
                        <w:spacing w:before="0"/>
                        <w:ind w:left="95" w:right="0" w:firstLine="0"/>
                        <w:jc w:val="left"/>
                        <w:rPr>
                          <w:b/>
                          <w:color w:val="000000"/>
                          <w:sz w:val="24"/>
                        </w:rPr>
                      </w:pPr>
                      <w:r>
                        <w:rPr>
                          <w:b/>
                          <w:color w:val="000000"/>
                          <w:sz w:val="24"/>
                        </w:rPr>
                        <w:t>8.</w:t>
                      </w:r>
                      <w:r>
                        <w:rPr>
                          <w:b/>
                          <w:color w:val="000000"/>
                          <w:spacing w:val="29"/>
                          <w:sz w:val="24"/>
                        </w:rPr>
                        <w:t>  </w:t>
                      </w:r>
                      <w:r>
                        <w:rPr>
                          <w:b/>
                          <w:color w:val="000000"/>
                          <w:sz w:val="24"/>
                        </w:rPr>
                        <w:t>Agenda</w:t>
                      </w:r>
                      <w:r>
                        <w:rPr>
                          <w:b/>
                          <w:color w:val="000000"/>
                          <w:spacing w:val="1"/>
                          <w:sz w:val="24"/>
                        </w:rPr>
                        <w:t> </w:t>
                      </w:r>
                      <w:r>
                        <w:rPr>
                          <w:b/>
                          <w:color w:val="000000"/>
                          <w:sz w:val="24"/>
                        </w:rPr>
                        <w:t>and</w:t>
                      </w:r>
                      <w:r>
                        <w:rPr>
                          <w:b/>
                          <w:color w:val="000000"/>
                          <w:spacing w:val="-4"/>
                          <w:sz w:val="24"/>
                        </w:rPr>
                        <w:t> </w:t>
                      </w:r>
                      <w:r>
                        <w:rPr>
                          <w:b/>
                          <w:color w:val="000000"/>
                          <w:spacing w:val="-2"/>
                          <w:sz w:val="24"/>
                        </w:rPr>
                        <w:t>Papers</w:t>
                      </w:r>
                    </w:p>
                  </w:txbxContent>
                </v:textbox>
                <v:fill type="solid"/>
                <v:stroke dashstyle="solid"/>
                <w10:wrap type="topAndBottom"/>
              </v:shape>
            </w:pict>
          </mc:Fallback>
        </mc:AlternateContent>
      </w:r>
    </w:p>
    <w:p>
      <w:pPr>
        <w:pStyle w:val="BodyText"/>
        <w:spacing w:before="9"/>
      </w:pPr>
    </w:p>
    <w:p>
      <w:pPr>
        <w:pStyle w:val="ListParagraph"/>
        <w:numPr>
          <w:ilvl w:val="1"/>
          <w:numId w:val="74"/>
        </w:numPr>
        <w:tabs>
          <w:tab w:pos="852" w:val="left" w:leader="none"/>
        </w:tabs>
        <w:spacing w:line="240" w:lineRule="auto" w:before="0" w:after="0"/>
        <w:ind w:left="852" w:right="636" w:hanging="710"/>
        <w:jc w:val="left"/>
        <w:rPr>
          <w:sz w:val="24"/>
        </w:rPr>
      </w:pPr>
      <w:r>
        <w:rPr>
          <w:spacing w:val="-2"/>
          <w:sz w:val="24"/>
        </w:rPr>
        <w:t>The</w:t>
      </w:r>
      <w:r>
        <w:rPr>
          <w:spacing w:val="-10"/>
          <w:sz w:val="24"/>
        </w:rPr>
        <w:t> </w:t>
      </w:r>
      <w:r>
        <w:rPr>
          <w:spacing w:val="-2"/>
          <w:sz w:val="24"/>
        </w:rPr>
        <w:t>Committee</w:t>
      </w:r>
      <w:r>
        <w:rPr>
          <w:spacing w:val="-10"/>
          <w:sz w:val="24"/>
        </w:rPr>
        <w:t> </w:t>
      </w:r>
      <w:r>
        <w:rPr>
          <w:spacing w:val="-2"/>
          <w:sz w:val="24"/>
        </w:rPr>
        <w:t>Secretary</w:t>
      </w:r>
      <w:r>
        <w:rPr>
          <w:spacing w:val="-11"/>
          <w:sz w:val="24"/>
        </w:rPr>
        <w:t> </w:t>
      </w:r>
      <w:r>
        <w:rPr>
          <w:spacing w:val="-2"/>
          <w:sz w:val="24"/>
        </w:rPr>
        <w:t>is</w:t>
      </w:r>
      <w:r>
        <w:rPr>
          <w:spacing w:val="-7"/>
          <w:sz w:val="24"/>
        </w:rPr>
        <w:t> </w:t>
      </w:r>
      <w:r>
        <w:rPr>
          <w:spacing w:val="-2"/>
          <w:sz w:val="24"/>
        </w:rPr>
        <w:t>to</w:t>
      </w:r>
      <w:r>
        <w:rPr>
          <w:spacing w:val="-11"/>
          <w:sz w:val="24"/>
        </w:rPr>
        <w:t> </w:t>
      </w:r>
      <w:r>
        <w:rPr>
          <w:spacing w:val="-2"/>
          <w:sz w:val="24"/>
        </w:rPr>
        <w:t>hold</w:t>
      </w:r>
      <w:r>
        <w:rPr>
          <w:spacing w:val="-11"/>
          <w:sz w:val="24"/>
        </w:rPr>
        <w:t> </w:t>
      </w:r>
      <w:r>
        <w:rPr>
          <w:spacing w:val="-2"/>
          <w:sz w:val="24"/>
        </w:rPr>
        <w:t>an</w:t>
      </w:r>
      <w:r>
        <w:rPr>
          <w:spacing w:val="-11"/>
          <w:sz w:val="24"/>
        </w:rPr>
        <w:t> </w:t>
      </w:r>
      <w:r>
        <w:rPr>
          <w:spacing w:val="-2"/>
          <w:sz w:val="24"/>
        </w:rPr>
        <w:t>agenda</w:t>
      </w:r>
      <w:r>
        <w:rPr>
          <w:spacing w:val="-11"/>
          <w:sz w:val="24"/>
        </w:rPr>
        <w:t> </w:t>
      </w:r>
      <w:r>
        <w:rPr>
          <w:spacing w:val="-2"/>
          <w:sz w:val="24"/>
        </w:rPr>
        <w:t>setting</w:t>
      </w:r>
      <w:r>
        <w:rPr>
          <w:spacing w:val="-11"/>
          <w:sz w:val="24"/>
        </w:rPr>
        <w:t> </w:t>
      </w:r>
      <w:r>
        <w:rPr>
          <w:spacing w:val="-2"/>
          <w:sz w:val="24"/>
        </w:rPr>
        <w:t>meeting</w:t>
      </w:r>
      <w:r>
        <w:rPr>
          <w:spacing w:val="-11"/>
          <w:sz w:val="24"/>
        </w:rPr>
        <w:t> </w:t>
      </w:r>
      <w:r>
        <w:rPr>
          <w:spacing w:val="-2"/>
          <w:sz w:val="24"/>
        </w:rPr>
        <w:t>with</w:t>
      </w:r>
      <w:r>
        <w:rPr>
          <w:spacing w:val="-11"/>
          <w:sz w:val="24"/>
        </w:rPr>
        <w:t> </w:t>
      </w:r>
      <w:r>
        <w:rPr>
          <w:spacing w:val="-2"/>
          <w:sz w:val="24"/>
        </w:rPr>
        <w:t>the</w:t>
      </w:r>
      <w:r>
        <w:rPr>
          <w:spacing w:val="-8"/>
          <w:sz w:val="24"/>
        </w:rPr>
        <w:t> </w:t>
      </w:r>
      <w:r>
        <w:rPr>
          <w:spacing w:val="-2"/>
          <w:sz w:val="24"/>
        </w:rPr>
        <w:t>Co-Chairs</w:t>
      </w:r>
      <w:r>
        <w:rPr>
          <w:spacing w:val="-12"/>
          <w:sz w:val="24"/>
        </w:rPr>
        <w:t> </w:t>
      </w:r>
      <w:r>
        <w:rPr>
          <w:spacing w:val="-2"/>
          <w:sz w:val="24"/>
        </w:rPr>
        <w:t>at</w:t>
      </w:r>
      <w:r>
        <w:rPr>
          <w:spacing w:val="-14"/>
          <w:sz w:val="24"/>
        </w:rPr>
        <w:t> </w:t>
      </w:r>
      <w:r>
        <w:rPr>
          <w:spacing w:val="-2"/>
          <w:sz w:val="24"/>
        </w:rPr>
        <w:t>least </w:t>
      </w:r>
      <w:r>
        <w:rPr>
          <w:sz w:val="24"/>
        </w:rPr>
        <w:t>two weeks before the meeting date.</w:t>
      </w:r>
    </w:p>
    <w:p>
      <w:pPr>
        <w:pStyle w:val="BodyText"/>
        <w:rPr>
          <w:sz w:val="20"/>
        </w:rPr>
      </w:pPr>
    </w:p>
    <w:p>
      <w:pPr>
        <w:pStyle w:val="BodyText"/>
        <w:rPr>
          <w:sz w:val="20"/>
        </w:rPr>
      </w:pPr>
    </w:p>
    <w:p>
      <w:pPr>
        <w:pStyle w:val="BodyText"/>
        <w:spacing w:before="226"/>
        <w:rPr>
          <w:sz w:val="20"/>
        </w:rPr>
      </w:pPr>
    </w:p>
    <w:p>
      <w:pPr>
        <w:spacing w:before="0"/>
        <w:ind w:left="4" w:right="284" w:firstLine="0"/>
        <w:jc w:val="center"/>
        <w:rPr>
          <w:sz w:val="20"/>
        </w:rPr>
      </w:pPr>
      <w:r>
        <w:rPr>
          <w:spacing w:val="-10"/>
          <w:sz w:val="20"/>
        </w:rPr>
        <w:t>5</w:t>
      </w:r>
    </w:p>
    <w:p>
      <w:pPr>
        <w:spacing w:after="0"/>
        <w:jc w:val="center"/>
        <w:rPr>
          <w:sz w:val="20"/>
        </w:rPr>
        <w:sectPr>
          <w:pgSz w:w="11910" w:h="16840"/>
          <w:pgMar w:header="0" w:footer="149" w:top="980" w:bottom="340" w:left="708" w:right="425"/>
        </w:sectPr>
      </w:pPr>
    </w:p>
    <w:p>
      <w:pPr>
        <w:pStyle w:val="ListParagraph"/>
        <w:numPr>
          <w:ilvl w:val="1"/>
          <w:numId w:val="74"/>
        </w:numPr>
        <w:tabs>
          <w:tab w:pos="850" w:val="left" w:leader="none"/>
          <w:tab w:pos="852" w:val="left" w:leader="none"/>
        </w:tabs>
        <w:spacing w:line="242" w:lineRule="auto" w:before="75" w:after="0"/>
        <w:ind w:left="852" w:right="419" w:hanging="710"/>
        <w:jc w:val="both"/>
        <w:rPr>
          <w:sz w:val="24"/>
        </w:rPr>
      </w:pPr>
      <w:r>
        <w:rPr>
          <w:sz w:val="24"/>
        </w:rPr>
        <w:t>The</w:t>
      </w:r>
      <w:r>
        <w:rPr>
          <w:spacing w:val="-17"/>
          <w:sz w:val="24"/>
        </w:rPr>
        <w:t> </w:t>
      </w:r>
      <w:r>
        <w:rPr>
          <w:sz w:val="24"/>
        </w:rPr>
        <w:t>agenda</w:t>
      </w:r>
      <w:r>
        <w:rPr>
          <w:spacing w:val="-17"/>
          <w:sz w:val="24"/>
        </w:rPr>
        <w:t> </w:t>
      </w:r>
      <w:r>
        <w:rPr>
          <w:sz w:val="24"/>
        </w:rPr>
        <w:t>will</w:t>
      </w:r>
      <w:r>
        <w:rPr>
          <w:spacing w:val="-16"/>
          <w:sz w:val="24"/>
        </w:rPr>
        <w:t> </w:t>
      </w:r>
      <w:r>
        <w:rPr>
          <w:sz w:val="24"/>
        </w:rPr>
        <w:t>be</w:t>
      </w:r>
      <w:r>
        <w:rPr>
          <w:spacing w:val="-17"/>
          <w:sz w:val="24"/>
        </w:rPr>
        <w:t> </w:t>
      </w:r>
      <w:r>
        <w:rPr>
          <w:sz w:val="24"/>
        </w:rPr>
        <w:t>based</w:t>
      </w:r>
      <w:r>
        <w:rPr>
          <w:spacing w:val="-16"/>
          <w:sz w:val="24"/>
        </w:rPr>
        <w:t> </w:t>
      </w:r>
      <w:r>
        <w:rPr>
          <w:sz w:val="24"/>
        </w:rPr>
        <w:t>around</w:t>
      </w:r>
      <w:r>
        <w:rPr>
          <w:spacing w:val="-13"/>
          <w:sz w:val="24"/>
        </w:rPr>
        <w:t> </w:t>
      </w:r>
      <w:r>
        <w:rPr>
          <w:sz w:val="24"/>
        </w:rPr>
        <w:t>the</w:t>
      </w:r>
      <w:r>
        <w:rPr>
          <w:spacing w:val="-11"/>
          <w:sz w:val="24"/>
        </w:rPr>
        <w:t> </w:t>
      </w:r>
      <w:r>
        <w:rPr>
          <w:sz w:val="24"/>
        </w:rPr>
        <w:t>RFCDDG’s</w:t>
      </w:r>
      <w:r>
        <w:rPr>
          <w:spacing w:val="-17"/>
          <w:sz w:val="24"/>
        </w:rPr>
        <w:t> </w:t>
      </w:r>
      <w:r>
        <w:rPr>
          <w:sz w:val="24"/>
        </w:rPr>
        <w:t>work</w:t>
      </w:r>
      <w:r>
        <w:rPr>
          <w:spacing w:val="-17"/>
          <w:sz w:val="24"/>
        </w:rPr>
        <w:t> </w:t>
      </w:r>
      <w:r>
        <w:rPr>
          <w:sz w:val="24"/>
        </w:rPr>
        <w:t>plan,</w:t>
      </w:r>
      <w:r>
        <w:rPr>
          <w:spacing w:val="-16"/>
          <w:sz w:val="24"/>
        </w:rPr>
        <w:t> </w:t>
      </w:r>
      <w:r>
        <w:rPr>
          <w:sz w:val="24"/>
        </w:rPr>
        <w:t>identified</w:t>
      </w:r>
      <w:r>
        <w:rPr>
          <w:spacing w:val="-14"/>
          <w:sz w:val="24"/>
        </w:rPr>
        <w:t> </w:t>
      </w:r>
      <w:r>
        <w:rPr>
          <w:sz w:val="24"/>
        </w:rPr>
        <w:t>risks,</w:t>
      </w:r>
      <w:r>
        <w:rPr>
          <w:spacing w:val="-17"/>
          <w:sz w:val="24"/>
        </w:rPr>
        <w:t> </w:t>
      </w:r>
      <w:r>
        <w:rPr>
          <w:sz w:val="24"/>
        </w:rPr>
        <w:t>matters</w:t>
      </w:r>
      <w:r>
        <w:rPr>
          <w:spacing w:val="-17"/>
          <w:sz w:val="24"/>
        </w:rPr>
        <w:t> </w:t>
      </w:r>
      <w:r>
        <w:rPr>
          <w:sz w:val="24"/>
        </w:rPr>
        <w:t>arising from previous meetings, issues emerging throughout the year, and requests from </w:t>
      </w:r>
      <w:r>
        <w:rPr>
          <w:spacing w:val="-2"/>
          <w:sz w:val="24"/>
        </w:rPr>
        <w:t>members.</w:t>
      </w:r>
    </w:p>
    <w:p>
      <w:pPr>
        <w:pStyle w:val="ListParagraph"/>
        <w:numPr>
          <w:ilvl w:val="1"/>
          <w:numId w:val="74"/>
        </w:numPr>
        <w:tabs>
          <w:tab w:pos="852" w:val="left" w:leader="none"/>
        </w:tabs>
        <w:spacing w:line="240" w:lineRule="auto" w:before="269" w:after="0"/>
        <w:ind w:left="852" w:right="0" w:hanging="710"/>
        <w:jc w:val="left"/>
        <w:rPr>
          <w:sz w:val="24"/>
        </w:rPr>
      </w:pPr>
      <w:r>
        <w:rPr>
          <w:spacing w:val="-2"/>
          <w:sz w:val="24"/>
        </w:rPr>
        <w:t>All</w:t>
      </w:r>
      <w:r>
        <w:rPr>
          <w:spacing w:val="-17"/>
          <w:sz w:val="24"/>
        </w:rPr>
        <w:t> </w:t>
      </w:r>
      <w:r>
        <w:rPr>
          <w:spacing w:val="-2"/>
          <w:sz w:val="24"/>
        </w:rPr>
        <w:t>papers</w:t>
      </w:r>
      <w:r>
        <w:rPr>
          <w:spacing w:val="-7"/>
          <w:sz w:val="24"/>
        </w:rPr>
        <w:t> </w:t>
      </w:r>
      <w:r>
        <w:rPr>
          <w:spacing w:val="-2"/>
          <w:sz w:val="24"/>
        </w:rPr>
        <w:t>must</w:t>
      </w:r>
      <w:r>
        <w:rPr>
          <w:spacing w:val="-13"/>
          <w:sz w:val="24"/>
        </w:rPr>
        <w:t> </w:t>
      </w:r>
      <w:r>
        <w:rPr>
          <w:spacing w:val="-2"/>
          <w:sz w:val="24"/>
        </w:rPr>
        <w:t>be</w:t>
      </w:r>
      <w:r>
        <w:rPr>
          <w:spacing w:val="-11"/>
          <w:sz w:val="24"/>
        </w:rPr>
        <w:t> </w:t>
      </w:r>
      <w:r>
        <w:rPr>
          <w:spacing w:val="-2"/>
          <w:sz w:val="24"/>
        </w:rPr>
        <w:t>approved</w:t>
      </w:r>
      <w:r>
        <w:rPr>
          <w:spacing w:val="-10"/>
          <w:sz w:val="24"/>
        </w:rPr>
        <w:t> </w:t>
      </w:r>
      <w:r>
        <w:rPr>
          <w:spacing w:val="-2"/>
          <w:sz w:val="24"/>
        </w:rPr>
        <w:t>by</w:t>
      </w:r>
      <w:r>
        <w:rPr>
          <w:spacing w:val="-7"/>
          <w:sz w:val="24"/>
        </w:rPr>
        <w:t> </w:t>
      </w:r>
      <w:r>
        <w:rPr>
          <w:spacing w:val="-2"/>
          <w:sz w:val="24"/>
        </w:rPr>
        <w:t>the</w:t>
      </w:r>
      <w:r>
        <w:rPr>
          <w:spacing w:val="-10"/>
          <w:sz w:val="24"/>
        </w:rPr>
        <w:t> </w:t>
      </w:r>
      <w:r>
        <w:rPr>
          <w:spacing w:val="-2"/>
          <w:sz w:val="24"/>
        </w:rPr>
        <w:t>Lead/</w:t>
      </w:r>
      <w:r>
        <w:rPr>
          <w:spacing w:val="-13"/>
          <w:sz w:val="24"/>
        </w:rPr>
        <w:t> </w:t>
      </w:r>
      <w:r>
        <w:rPr>
          <w:spacing w:val="-2"/>
          <w:sz w:val="24"/>
        </w:rPr>
        <w:t>relevant</w:t>
      </w:r>
      <w:r>
        <w:rPr>
          <w:spacing w:val="-13"/>
          <w:sz w:val="24"/>
        </w:rPr>
        <w:t> </w:t>
      </w:r>
      <w:r>
        <w:rPr>
          <w:spacing w:val="-2"/>
          <w:sz w:val="24"/>
        </w:rPr>
        <w:t>Directors.</w:t>
      </w:r>
    </w:p>
    <w:p>
      <w:pPr>
        <w:pStyle w:val="ListParagraph"/>
        <w:numPr>
          <w:ilvl w:val="1"/>
          <w:numId w:val="74"/>
        </w:numPr>
        <w:tabs>
          <w:tab w:pos="860" w:val="left" w:leader="none"/>
          <w:tab w:pos="862" w:val="left" w:leader="none"/>
        </w:tabs>
        <w:spacing w:line="242" w:lineRule="auto" w:before="274" w:after="0"/>
        <w:ind w:left="862" w:right="417" w:hanging="720"/>
        <w:jc w:val="both"/>
        <w:rPr>
          <w:sz w:val="24"/>
        </w:rPr>
      </w:pPr>
      <w:r>
        <w:rPr>
          <w:sz w:val="24"/>
        </w:rPr>
        <w:t>The agenda and papers for meetings will be distributed </w:t>
      </w:r>
      <w:r>
        <w:rPr>
          <w:b/>
          <w:sz w:val="24"/>
        </w:rPr>
        <w:t>seven </w:t>
      </w:r>
      <w:r>
        <w:rPr>
          <w:sz w:val="24"/>
        </w:rPr>
        <w:t>days in advance of the </w:t>
      </w:r>
      <w:r>
        <w:rPr>
          <w:spacing w:val="-2"/>
          <w:sz w:val="24"/>
        </w:rPr>
        <w:t>meeting.</w:t>
      </w:r>
    </w:p>
    <w:p>
      <w:pPr>
        <w:pStyle w:val="ListParagraph"/>
        <w:numPr>
          <w:ilvl w:val="1"/>
          <w:numId w:val="74"/>
        </w:numPr>
        <w:tabs>
          <w:tab w:pos="860" w:val="left" w:leader="none"/>
          <w:tab w:pos="862" w:val="left" w:leader="none"/>
        </w:tabs>
        <w:spacing w:line="240" w:lineRule="auto" w:before="273" w:after="0"/>
        <w:ind w:left="862" w:right="418" w:hanging="720"/>
        <w:jc w:val="both"/>
        <w:rPr>
          <w:sz w:val="24"/>
        </w:rPr>
      </w:pPr>
      <w:r>
        <w:rPr>
          <w:sz w:val="24"/>
        </w:rPr>
        <w:t>A</w:t>
      </w:r>
      <w:r>
        <w:rPr>
          <w:spacing w:val="-3"/>
          <w:sz w:val="24"/>
        </w:rPr>
        <w:t> </w:t>
      </w:r>
      <w:r>
        <w:rPr>
          <w:sz w:val="24"/>
        </w:rPr>
        <w:t>draft Table of</w:t>
      </w:r>
      <w:r>
        <w:rPr>
          <w:spacing w:val="-4"/>
          <w:sz w:val="24"/>
        </w:rPr>
        <w:t> </w:t>
      </w:r>
      <w:r>
        <w:rPr>
          <w:sz w:val="24"/>
        </w:rPr>
        <w:t>Actions will</w:t>
      </w:r>
      <w:r>
        <w:rPr>
          <w:spacing w:val="-2"/>
          <w:sz w:val="24"/>
        </w:rPr>
        <w:t> </w:t>
      </w:r>
      <w:r>
        <w:rPr>
          <w:sz w:val="24"/>
        </w:rPr>
        <w:t>be</w:t>
      </w:r>
      <w:r>
        <w:rPr>
          <w:spacing w:val="-2"/>
          <w:sz w:val="24"/>
        </w:rPr>
        <w:t> </w:t>
      </w:r>
      <w:r>
        <w:rPr>
          <w:sz w:val="24"/>
        </w:rPr>
        <w:t>issued within seven</w:t>
      </w:r>
      <w:r>
        <w:rPr>
          <w:spacing w:val="-1"/>
          <w:sz w:val="24"/>
        </w:rPr>
        <w:t> </w:t>
      </w:r>
      <w:r>
        <w:rPr>
          <w:sz w:val="24"/>
        </w:rPr>
        <w:t>days of the</w:t>
      </w:r>
      <w:r>
        <w:rPr>
          <w:spacing w:val="-2"/>
          <w:sz w:val="24"/>
        </w:rPr>
        <w:t> </w:t>
      </w:r>
      <w:r>
        <w:rPr>
          <w:sz w:val="24"/>
        </w:rPr>
        <w:t>meeting. The</w:t>
      </w:r>
      <w:r>
        <w:rPr>
          <w:spacing w:val="-2"/>
          <w:sz w:val="24"/>
        </w:rPr>
        <w:t> </w:t>
      </w:r>
      <w:r>
        <w:rPr>
          <w:sz w:val="24"/>
        </w:rPr>
        <w:t>minutes</w:t>
      </w:r>
      <w:r>
        <w:rPr>
          <w:spacing w:val="-3"/>
          <w:sz w:val="24"/>
        </w:rPr>
        <w:t> </w:t>
      </w:r>
      <w:r>
        <w:rPr>
          <w:sz w:val="24"/>
        </w:rPr>
        <w:t>and action log will be circulated to members</w:t>
      </w:r>
      <w:r>
        <w:rPr>
          <w:spacing w:val="-1"/>
          <w:sz w:val="24"/>
        </w:rPr>
        <w:t> </w:t>
      </w:r>
      <w:r>
        <w:rPr>
          <w:sz w:val="24"/>
        </w:rPr>
        <w:t>within seven days to check the accuracy,</w:t>
      </w:r>
      <w:r>
        <w:rPr>
          <w:spacing w:val="-2"/>
          <w:sz w:val="24"/>
        </w:rPr>
        <w:t> </w:t>
      </w:r>
      <w:r>
        <w:rPr>
          <w:sz w:val="24"/>
        </w:rPr>
        <w:t>prior to sending to Members (including the RFCDDG Co-Chairs) to review within the next seven </w:t>
      </w:r>
      <w:r>
        <w:rPr>
          <w:spacing w:val="-2"/>
          <w:sz w:val="24"/>
        </w:rPr>
        <w:t>days.</w:t>
      </w:r>
    </w:p>
    <w:p>
      <w:pPr>
        <w:pStyle w:val="BodyText"/>
      </w:pPr>
    </w:p>
    <w:p>
      <w:pPr>
        <w:pStyle w:val="ListParagraph"/>
        <w:numPr>
          <w:ilvl w:val="1"/>
          <w:numId w:val="74"/>
        </w:numPr>
        <w:tabs>
          <w:tab w:pos="862" w:val="left" w:leader="none"/>
        </w:tabs>
        <w:spacing w:line="240" w:lineRule="auto" w:before="1" w:after="0"/>
        <w:ind w:left="862" w:right="418" w:hanging="720"/>
        <w:jc w:val="left"/>
        <w:rPr>
          <w:sz w:val="24"/>
        </w:rPr>
      </w:pPr>
      <w:r>
        <w:rPr>
          <w:spacing w:val="-4"/>
          <w:sz w:val="24"/>
        </w:rPr>
        <w:t>Members</w:t>
      </w:r>
      <w:r>
        <w:rPr>
          <w:spacing w:val="-12"/>
          <w:sz w:val="24"/>
        </w:rPr>
        <w:t> </w:t>
      </w:r>
      <w:r>
        <w:rPr>
          <w:spacing w:val="-4"/>
          <w:sz w:val="24"/>
        </w:rPr>
        <w:t>must</w:t>
      </w:r>
      <w:r>
        <w:rPr>
          <w:spacing w:val="-14"/>
          <w:sz w:val="24"/>
        </w:rPr>
        <w:t> </w:t>
      </w:r>
      <w:r>
        <w:rPr>
          <w:spacing w:val="-4"/>
          <w:sz w:val="24"/>
        </w:rPr>
        <w:t>forward</w:t>
      </w:r>
      <w:r>
        <w:rPr>
          <w:spacing w:val="-5"/>
          <w:sz w:val="24"/>
        </w:rPr>
        <w:t> </w:t>
      </w:r>
      <w:r>
        <w:rPr>
          <w:spacing w:val="-4"/>
          <w:sz w:val="24"/>
        </w:rPr>
        <w:t>amendments</w:t>
      </w:r>
      <w:r>
        <w:rPr>
          <w:spacing w:val="-6"/>
          <w:sz w:val="24"/>
        </w:rPr>
        <w:t> </w:t>
      </w:r>
      <w:r>
        <w:rPr>
          <w:spacing w:val="-4"/>
          <w:sz w:val="24"/>
        </w:rPr>
        <w:t>to</w:t>
      </w:r>
      <w:r>
        <w:rPr>
          <w:spacing w:val="-5"/>
          <w:sz w:val="24"/>
        </w:rPr>
        <w:t> </w:t>
      </w:r>
      <w:r>
        <w:rPr>
          <w:spacing w:val="-4"/>
          <w:sz w:val="24"/>
        </w:rPr>
        <w:t>the</w:t>
      </w:r>
      <w:r>
        <w:rPr>
          <w:spacing w:val="-7"/>
          <w:sz w:val="24"/>
        </w:rPr>
        <w:t> </w:t>
      </w:r>
      <w:r>
        <w:rPr>
          <w:spacing w:val="-4"/>
          <w:sz w:val="24"/>
        </w:rPr>
        <w:t>Committee Secretary</w:t>
      </w:r>
      <w:r>
        <w:rPr>
          <w:spacing w:val="-12"/>
          <w:sz w:val="24"/>
        </w:rPr>
        <w:t> </w:t>
      </w:r>
      <w:r>
        <w:rPr>
          <w:spacing w:val="-4"/>
          <w:sz w:val="24"/>
        </w:rPr>
        <w:t>within</w:t>
      </w:r>
      <w:r>
        <w:rPr>
          <w:spacing w:val="-5"/>
          <w:sz w:val="24"/>
        </w:rPr>
        <w:t> </w:t>
      </w:r>
      <w:r>
        <w:rPr>
          <w:spacing w:val="-4"/>
          <w:sz w:val="24"/>
        </w:rPr>
        <w:t>the</w:t>
      </w:r>
      <w:r>
        <w:rPr>
          <w:spacing w:val="-5"/>
          <w:sz w:val="24"/>
        </w:rPr>
        <w:t> </w:t>
      </w:r>
      <w:r>
        <w:rPr>
          <w:spacing w:val="-4"/>
          <w:sz w:val="24"/>
        </w:rPr>
        <w:t>next</w:t>
      </w:r>
      <w:r>
        <w:rPr>
          <w:spacing w:val="-14"/>
          <w:sz w:val="24"/>
        </w:rPr>
        <w:t> </w:t>
      </w:r>
      <w:r>
        <w:rPr>
          <w:spacing w:val="-4"/>
          <w:sz w:val="24"/>
        </w:rPr>
        <w:t>seven</w:t>
      </w:r>
      <w:r>
        <w:rPr>
          <w:spacing w:val="-10"/>
          <w:sz w:val="24"/>
        </w:rPr>
        <w:t> </w:t>
      </w:r>
      <w:r>
        <w:rPr>
          <w:spacing w:val="-4"/>
          <w:sz w:val="24"/>
        </w:rPr>
        <w:t>days. </w:t>
      </w:r>
      <w:r>
        <w:rPr>
          <w:sz w:val="24"/>
        </w:rPr>
        <w:t>The</w:t>
      </w:r>
      <w:r>
        <w:rPr>
          <w:spacing w:val="-10"/>
          <w:sz w:val="24"/>
        </w:rPr>
        <w:t> </w:t>
      </w:r>
      <w:r>
        <w:rPr>
          <w:sz w:val="24"/>
        </w:rPr>
        <w:t>RJC</w:t>
      </w:r>
      <w:r>
        <w:rPr>
          <w:spacing w:val="-10"/>
          <w:sz w:val="24"/>
        </w:rPr>
        <w:t> </w:t>
      </w:r>
      <w:r>
        <w:rPr>
          <w:sz w:val="24"/>
        </w:rPr>
        <w:t>PMO</w:t>
      </w:r>
      <w:r>
        <w:rPr>
          <w:spacing w:val="-12"/>
          <w:sz w:val="24"/>
        </w:rPr>
        <w:t> </w:t>
      </w:r>
      <w:r>
        <w:rPr>
          <w:sz w:val="24"/>
        </w:rPr>
        <w:t>will</w:t>
      </w:r>
      <w:r>
        <w:rPr>
          <w:spacing w:val="-6"/>
          <w:sz w:val="24"/>
        </w:rPr>
        <w:t> </w:t>
      </w:r>
      <w:r>
        <w:rPr>
          <w:sz w:val="24"/>
        </w:rPr>
        <w:t>then</w:t>
      </w:r>
      <w:r>
        <w:rPr>
          <w:spacing w:val="-6"/>
          <w:sz w:val="24"/>
        </w:rPr>
        <w:t> </w:t>
      </w:r>
      <w:r>
        <w:rPr>
          <w:sz w:val="24"/>
        </w:rPr>
        <w:t>forward</w:t>
      </w:r>
      <w:r>
        <w:rPr>
          <w:spacing w:val="-10"/>
          <w:sz w:val="24"/>
        </w:rPr>
        <w:t> </w:t>
      </w:r>
      <w:r>
        <w:rPr>
          <w:sz w:val="24"/>
        </w:rPr>
        <w:t>the</w:t>
      </w:r>
      <w:r>
        <w:rPr>
          <w:spacing w:val="-6"/>
          <w:sz w:val="24"/>
        </w:rPr>
        <w:t> </w:t>
      </w:r>
      <w:r>
        <w:rPr>
          <w:sz w:val="24"/>
        </w:rPr>
        <w:t>final</w:t>
      </w:r>
      <w:r>
        <w:rPr>
          <w:spacing w:val="-10"/>
          <w:sz w:val="24"/>
        </w:rPr>
        <w:t> </w:t>
      </w:r>
      <w:r>
        <w:rPr>
          <w:sz w:val="24"/>
        </w:rPr>
        <w:t>version</w:t>
      </w:r>
      <w:r>
        <w:rPr>
          <w:spacing w:val="-10"/>
          <w:sz w:val="24"/>
        </w:rPr>
        <w:t> </w:t>
      </w:r>
      <w:r>
        <w:rPr>
          <w:sz w:val="24"/>
        </w:rPr>
        <w:t>to</w:t>
      </w:r>
      <w:r>
        <w:rPr>
          <w:spacing w:val="-10"/>
          <w:sz w:val="24"/>
        </w:rPr>
        <w:t> </w:t>
      </w:r>
      <w:r>
        <w:rPr>
          <w:sz w:val="24"/>
        </w:rPr>
        <w:t>the</w:t>
      </w:r>
      <w:r>
        <w:rPr>
          <w:spacing w:val="-8"/>
          <w:sz w:val="24"/>
        </w:rPr>
        <w:t> </w:t>
      </w:r>
      <w:r>
        <w:rPr>
          <w:sz w:val="24"/>
        </w:rPr>
        <w:t>RFCDDG</w:t>
      </w:r>
      <w:r>
        <w:rPr>
          <w:spacing w:val="-13"/>
          <w:sz w:val="24"/>
        </w:rPr>
        <w:t> </w:t>
      </w:r>
      <w:r>
        <w:rPr>
          <w:sz w:val="24"/>
        </w:rPr>
        <w:t>Co-Chairs</w:t>
      </w:r>
      <w:r>
        <w:rPr>
          <w:spacing w:val="-11"/>
          <w:sz w:val="24"/>
        </w:rPr>
        <w:t> </w:t>
      </w:r>
      <w:r>
        <w:rPr>
          <w:sz w:val="24"/>
        </w:rPr>
        <w:t>for</w:t>
      </w:r>
      <w:r>
        <w:rPr>
          <w:spacing w:val="-16"/>
          <w:sz w:val="24"/>
        </w:rPr>
        <w:t> </w:t>
      </w:r>
      <w:r>
        <w:rPr>
          <w:sz w:val="24"/>
        </w:rPr>
        <w:t>approval.</w:t>
      </w:r>
    </w:p>
    <w:p>
      <w:pPr>
        <w:pStyle w:val="BodyText"/>
        <w:spacing w:before="79"/>
        <w:rPr>
          <w:sz w:val="20"/>
        </w:rPr>
      </w:pPr>
      <w:r>
        <w:rPr>
          <w:sz w:val="20"/>
        </w:rPr>
        <mc:AlternateContent>
          <mc:Choice Requires="wps">
            <w:drawing>
              <wp:anchor distT="0" distB="0" distL="0" distR="0" allowOverlap="1" layoutInCell="1" locked="0" behindDoc="1" simplePos="0" relativeHeight="487686144">
                <wp:simplePos x="0" y="0"/>
                <wp:positionH relativeFrom="page">
                  <wp:posOffset>574992</wp:posOffset>
                </wp:positionH>
                <wp:positionV relativeFrom="paragraph">
                  <wp:posOffset>217872</wp:posOffset>
                </wp:positionV>
                <wp:extent cx="6575425" cy="194310"/>
                <wp:effectExtent l="0" t="0" r="0" b="0"/>
                <wp:wrapTopAndBottom/>
                <wp:docPr id="525" name="Textbox 525"/>
                <wp:cNvGraphicFramePr>
                  <a:graphicFrameLocks/>
                </wp:cNvGraphicFramePr>
                <a:graphic>
                  <a:graphicData uri="http://schemas.microsoft.com/office/word/2010/wordprocessingShape">
                    <wps:wsp>
                      <wps:cNvPr id="525" name="Textbox 525"/>
                      <wps:cNvSpPr txBox="1"/>
                      <wps:spPr>
                        <a:xfrm>
                          <a:off x="0" y="0"/>
                          <a:ext cx="6575425" cy="19431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9.</w:t>
                            </w:r>
                            <w:r>
                              <w:rPr>
                                <w:b/>
                                <w:color w:val="000000"/>
                                <w:spacing w:val="58"/>
                                <w:sz w:val="24"/>
                              </w:rPr>
                              <w:t> </w:t>
                            </w:r>
                            <w:r>
                              <w:rPr>
                                <w:b/>
                                <w:color w:val="000000"/>
                                <w:sz w:val="24"/>
                              </w:rPr>
                              <w:t>Frequency</w:t>
                            </w:r>
                            <w:r>
                              <w:rPr>
                                <w:b/>
                                <w:color w:val="000000"/>
                                <w:spacing w:val="-2"/>
                                <w:sz w:val="24"/>
                              </w:rPr>
                              <w:t> </w:t>
                            </w:r>
                            <w:r>
                              <w:rPr>
                                <w:b/>
                                <w:color w:val="000000"/>
                                <w:sz w:val="24"/>
                              </w:rPr>
                              <w:t>of</w:t>
                            </w:r>
                            <w:r>
                              <w:rPr>
                                <w:b/>
                                <w:color w:val="000000"/>
                                <w:spacing w:val="-3"/>
                                <w:sz w:val="24"/>
                              </w:rPr>
                              <w:t> </w:t>
                            </w:r>
                            <w:r>
                              <w:rPr>
                                <w:b/>
                                <w:color w:val="000000"/>
                                <w:spacing w:val="-2"/>
                                <w:sz w:val="24"/>
                              </w:rPr>
                              <w:t>Meetings</w:t>
                            </w:r>
                          </w:p>
                        </w:txbxContent>
                      </wps:txbx>
                      <wps:bodyPr wrap="square" lIns="0" tIns="0" rIns="0" bIns="0" rtlCol="0">
                        <a:noAutofit/>
                      </wps:bodyPr>
                    </wps:wsp>
                  </a:graphicData>
                </a:graphic>
              </wp:anchor>
            </w:drawing>
          </mc:Choice>
          <mc:Fallback>
            <w:pict>
              <v:shape style="position:absolute;margin-left:45.275002pt;margin-top:17.155293pt;width:517.75pt;height:15.3pt;mso-position-horizontal-relative:page;mso-position-vertical-relative:paragraph;z-index:-15630336;mso-wrap-distance-left:0;mso-wrap-distance-right:0" type="#_x0000_t202" id="docshape303" filled="true" fillcolor="#c1a875" stroked="true" strokeweight="1pt" strokecolor="#394871">
                <v:textbox inset="0,0,0,0">
                  <w:txbxContent>
                    <w:p>
                      <w:pPr>
                        <w:spacing w:before="0"/>
                        <w:ind w:left="95" w:right="0" w:firstLine="0"/>
                        <w:jc w:val="left"/>
                        <w:rPr>
                          <w:b/>
                          <w:color w:val="000000"/>
                          <w:sz w:val="24"/>
                        </w:rPr>
                      </w:pPr>
                      <w:r>
                        <w:rPr>
                          <w:b/>
                          <w:color w:val="000000"/>
                          <w:sz w:val="24"/>
                        </w:rPr>
                        <w:t>9.</w:t>
                      </w:r>
                      <w:r>
                        <w:rPr>
                          <w:b/>
                          <w:color w:val="000000"/>
                          <w:spacing w:val="58"/>
                          <w:sz w:val="24"/>
                        </w:rPr>
                        <w:t> </w:t>
                      </w:r>
                      <w:r>
                        <w:rPr>
                          <w:b/>
                          <w:color w:val="000000"/>
                          <w:sz w:val="24"/>
                        </w:rPr>
                        <w:t>Frequency</w:t>
                      </w:r>
                      <w:r>
                        <w:rPr>
                          <w:b/>
                          <w:color w:val="000000"/>
                          <w:spacing w:val="-2"/>
                          <w:sz w:val="24"/>
                        </w:rPr>
                        <w:t> </w:t>
                      </w:r>
                      <w:r>
                        <w:rPr>
                          <w:b/>
                          <w:color w:val="000000"/>
                          <w:sz w:val="24"/>
                        </w:rPr>
                        <w:t>of</w:t>
                      </w:r>
                      <w:r>
                        <w:rPr>
                          <w:b/>
                          <w:color w:val="000000"/>
                          <w:spacing w:val="-3"/>
                          <w:sz w:val="24"/>
                        </w:rPr>
                        <w:t> </w:t>
                      </w:r>
                      <w:r>
                        <w:rPr>
                          <w:b/>
                          <w:color w:val="000000"/>
                          <w:spacing w:val="-2"/>
                          <w:sz w:val="24"/>
                        </w:rPr>
                        <w:t>Meetings</w:t>
                      </w:r>
                    </w:p>
                  </w:txbxContent>
                </v:textbox>
                <v:fill type="solid"/>
                <v:stroke dashstyle="solid"/>
                <w10:wrap type="topAndBottom"/>
              </v:shape>
            </w:pict>
          </mc:Fallback>
        </mc:AlternateContent>
      </w:r>
    </w:p>
    <w:p>
      <w:pPr>
        <w:pStyle w:val="BodyText"/>
        <w:spacing w:before="8"/>
      </w:pPr>
    </w:p>
    <w:p>
      <w:pPr>
        <w:pStyle w:val="ListParagraph"/>
        <w:numPr>
          <w:ilvl w:val="1"/>
          <w:numId w:val="75"/>
        </w:numPr>
        <w:tabs>
          <w:tab w:pos="862" w:val="left" w:leader="none"/>
        </w:tabs>
        <w:spacing w:line="240" w:lineRule="auto" w:before="1" w:after="0"/>
        <w:ind w:left="862" w:right="563" w:hanging="720"/>
        <w:jc w:val="left"/>
        <w:rPr>
          <w:sz w:val="24"/>
        </w:rPr>
      </w:pPr>
      <w:r>
        <w:rPr>
          <w:sz w:val="24"/>
        </w:rPr>
        <w:t>The RFCDDG will meet monthly and shall agree an annual schedule of meetings.</w:t>
      </w:r>
      <w:r>
        <w:rPr>
          <w:spacing w:val="80"/>
          <w:sz w:val="24"/>
        </w:rPr>
        <w:t> </w:t>
      </w:r>
      <w:r>
        <w:rPr>
          <w:sz w:val="24"/>
        </w:rPr>
        <w:t>Any additional</w:t>
      </w:r>
      <w:r>
        <w:rPr>
          <w:spacing w:val="-10"/>
          <w:sz w:val="24"/>
        </w:rPr>
        <w:t> </w:t>
      </w:r>
      <w:r>
        <w:rPr>
          <w:sz w:val="24"/>
        </w:rPr>
        <w:t>meetings</w:t>
      </w:r>
      <w:r>
        <w:rPr>
          <w:spacing w:val="-11"/>
          <w:sz w:val="24"/>
        </w:rPr>
        <w:t> </w:t>
      </w:r>
      <w:r>
        <w:rPr>
          <w:sz w:val="24"/>
        </w:rPr>
        <w:t>will</w:t>
      </w:r>
      <w:r>
        <w:rPr>
          <w:spacing w:val="-10"/>
          <w:sz w:val="24"/>
        </w:rPr>
        <w:t> </w:t>
      </w:r>
      <w:r>
        <w:rPr>
          <w:sz w:val="24"/>
        </w:rPr>
        <w:t>be</w:t>
      </w:r>
      <w:r>
        <w:rPr>
          <w:spacing w:val="-11"/>
          <w:sz w:val="24"/>
        </w:rPr>
        <w:t> </w:t>
      </w:r>
      <w:r>
        <w:rPr>
          <w:sz w:val="24"/>
        </w:rPr>
        <w:t>arranged</w:t>
      </w:r>
      <w:r>
        <w:rPr>
          <w:spacing w:val="-10"/>
          <w:sz w:val="24"/>
        </w:rPr>
        <w:t> </w:t>
      </w:r>
      <w:r>
        <w:rPr>
          <w:sz w:val="24"/>
        </w:rPr>
        <w:t>as</w:t>
      </w:r>
      <w:r>
        <w:rPr>
          <w:spacing w:val="-11"/>
          <w:sz w:val="24"/>
        </w:rPr>
        <w:t> </w:t>
      </w:r>
      <w:r>
        <w:rPr>
          <w:sz w:val="24"/>
        </w:rPr>
        <w:t>determined</w:t>
      </w:r>
      <w:r>
        <w:rPr>
          <w:spacing w:val="-15"/>
          <w:sz w:val="24"/>
        </w:rPr>
        <w:t> </w:t>
      </w:r>
      <w:r>
        <w:rPr>
          <w:sz w:val="24"/>
        </w:rPr>
        <w:t>by</w:t>
      </w:r>
      <w:r>
        <w:rPr>
          <w:spacing w:val="-7"/>
          <w:sz w:val="24"/>
        </w:rPr>
        <w:t> </w:t>
      </w:r>
      <w:r>
        <w:rPr>
          <w:sz w:val="24"/>
        </w:rPr>
        <w:t>the</w:t>
      </w:r>
      <w:r>
        <w:rPr>
          <w:spacing w:val="-8"/>
          <w:sz w:val="24"/>
        </w:rPr>
        <w:t> </w:t>
      </w:r>
      <w:r>
        <w:rPr>
          <w:sz w:val="24"/>
        </w:rPr>
        <w:t>Co-Chairs</w:t>
      </w:r>
      <w:r>
        <w:rPr>
          <w:spacing w:val="-11"/>
          <w:sz w:val="24"/>
        </w:rPr>
        <w:t> </w:t>
      </w:r>
      <w:r>
        <w:rPr>
          <w:sz w:val="24"/>
        </w:rPr>
        <w:t>of</w:t>
      </w:r>
      <w:r>
        <w:rPr>
          <w:spacing w:val="-9"/>
          <w:sz w:val="24"/>
        </w:rPr>
        <w:t> </w:t>
      </w:r>
      <w:r>
        <w:rPr>
          <w:sz w:val="24"/>
        </w:rPr>
        <w:t>the</w:t>
      </w:r>
      <w:r>
        <w:rPr>
          <w:spacing w:val="-10"/>
          <w:sz w:val="24"/>
        </w:rPr>
        <w:t> </w:t>
      </w:r>
      <w:r>
        <w:rPr>
          <w:sz w:val="24"/>
        </w:rPr>
        <w:t>RFCDDG.</w:t>
      </w:r>
    </w:p>
    <w:p>
      <w:pPr>
        <w:pStyle w:val="ListParagraph"/>
        <w:numPr>
          <w:ilvl w:val="1"/>
          <w:numId w:val="75"/>
        </w:numPr>
        <w:tabs>
          <w:tab w:pos="860" w:val="left" w:leader="none"/>
          <w:tab w:pos="862" w:val="left" w:leader="none"/>
        </w:tabs>
        <w:spacing w:line="242" w:lineRule="auto" w:before="273" w:after="0"/>
        <w:ind w:left="862" w:right="562" w:hanging="720"/>
        <w:jc w:val="both"/>
        <w:rPr>
          <w:sz w:val="24"/>
        </w:rPr>
      </w:pPr>
      <w:r>
        <w:rPr>
          <w:sz w:val="24"/>
        </w:rPr>
        <w:t>The Co-Chairs of the RFCDDG, in discussion with the Committee Secretary, shall determine the time and the place of meetings of the RFCDDG and procedures of such </w:t>
      </w:r>
      <w:r>
        <w:rPr>
          <w:spacing w:val="-2"/>
          <w:sz w:val="24"/>
        </w:rPr>
        <w:t>meetings.</w:t>
      </w:r>
    </w:p>
    <w:p>
      <w:pPr>
        <w:pStyle w:val="BodyText"/>
        <w:spacing w:before="70"/>
        <w:rPr>
          <w:sz w:val="20"/>
        </w:rPr>
      </w:pPr>
      <w:r>
        <w:rPr>
          <w:sz w:val="20"/>
        </w:rPr>
        <mc:AlternateContent>
          <mc:Choice Requires="wps">
            <w:drawing>
              <wp:anchor distT="0" distB="0" distL="0" distR="0" allowOverlap="1" layoutInCell="1" locked="0" behindDoc="1" simplePos="0" relativeHeight="487686656">
                <wp:simplePos x="0" y="0"/>
                <wp:positionH relativeFrom="page">
                  <wp:posOffset>574992</wp:posOffset>
                </wp:positionH>
                <wp:positionV relativeFrom="paragraph">
                  <wp:posOffset>212255</wp:posOffset>
                </wp:positionV>
                <wp:extent cx="6575425" cy="193675"/>
                <wp:effectExtent l="0" t="0" r="0" b="0"/>
                <wp:wrapTopAndBottom/>
                <wp:docPr id="526" name="Textbox 526"/>
                <wp:cNvGraphicFramePr>
                  <a:graphicFrameLocks/>
                </wp:cNvGraphicFramePr>
                <a:graphic>
                  <a:graphicData uri="http://schemas.microsoft.com/office/word/2010/wordprocessingShape">
                    <wps:wsp>
                      <wps:cNvPr id="526" name="Textbox 526"/>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pacing w:val="-2"/>
                                <w:sz w:val="24"/>
                              </w:rPr>
                              <w:t>10.</w:t>
                            </w:r>
                            <w:r>
                              <w:rPr>
                                <w:b/>
                                <w:color w:val="000000"/>
                                <w:spacing w:val="37"/>
                                <w:sz w:val="24"/>
                              </w:rPr>
                              <w:t> </w:t>
                            </w:r>
                            <w:r>
                              <w:rPr>
                                <w:b/>
                                <w:color w:val="000000"/>
                                <w:spacing w:val="-2"/>
                                <w:sz w:val="24"/>
                              </w:rPr>
                              <w:t>Accountability,</w:t>
                            </w:r>
                            <w:r>
                              <w:rPr>
                                <w:b/>
                                <w:color w:val="000000"/>
                                <w:spacing w:val="-14"/>
                                <w:sz w:val="24"/>
                              </w:rPr>
                              <w:t> </w:t>
                            </w:r>
                            <w:r>
                              <w:rPr>
                                <w:b/>
                                <w:color w:val="000000"/>
                                <w:spacing w:val="-2"/>
                                <w:sz w:val="24"/>
                              </w:rPr>
                              <w:t>Responsibility</w:t>
                            </w:r>
                            <w:r>
                              <w:rPr>
                                <w:b/>
                                <w:color w:val="000000"/>
                                <w:spacing w:val="-15"/>
                                <w:sz w:val="24"/>
                              </w:rPr>
                              <w:t> </w:t>
                            </w:r>
                            <w:r>
                              <w:rPr>
                                <w:b/>
                                <w:color w:val="000000"/>
                                <w:spacing w:val="-2"/>
                                <w:sz w:val="24"/>
                              </w:rPr>
                              <w:t>and</w:t>
                            </w:r>
                            <w:r>
                              <w:rPr>
                                <w:b/>
                                <w:color w:val="000000"/>
                                <w:spacing w:val="-14"/>
                                <w:sz w:val="24"/>
                              </w:rPr>
                              <w:t> </w:t>
                            </w:r>
                            <w:r>
                              <w:rPr>
                                <w:b/>
                                <w:color w:val="000000"/>
                                <w:spacing w:val="-2"/>
                                <w:sz w:val="24"/>
                              </w:rPr>
                              <w:t>Authority</w:t>
                            </w:r>
                          </w:p>
                        </w:txbxContent>
                      </wps:txbx>
                      <wps:bodyPr wrap="square" lIns="0" tIns="0" rIns="0" bIns="0" rtlCol="0">
                        <a:noAutofit/>
                      </wps:bodyPr>
                    </wps:wsp>
                  </a:graphicData>
                </a:graphic>
              </wp:anchor>
            </w:drawing>
          </mc:Choice>
          <mc:Fallback>
            <w:pict>
              <v:shape style="position:absolute;margin-left:45.275002pt;margin-top:16.713066pt;width:517.75pt;height:15.25pt;mso-position-horizontal-relative:page;mso-position-vertical-relative:paragraph;z-index:-15629824;mso-wrap-distance-left:0;mso-wrap-distance-right:0" type="#_x0000_t202" id="docshape304" filled="true" fillcolor="#c1a875" stroked="true" strokeweight="1pt" strokecolor="#394871">
                <v:textbox inset="0,0,0,0">
                  <w:txbxContent>
                    <w:p>
                      <w:pPr>
                        <w:spacing w:before="0"/>
                        <w:ind w:left="95" w:right="0" w:firstLine="0"/>
                        <w:jc w:val="left"/>
                        <w:rPr>
                          <w:b/>
                          <w:color w:val="000000"/>
                          <w:sz w:val="24"/>
                        </w:rPr>
                      </w:pPr>
                      <w:r>
                        <w:rPr>
                          <w:b/>
                          <w:color w:val="000000"/>
                          <w:spacing w:val="-2"/>
                          <w:sz w:val="24"/>
                        </w:rPr>
                        <w:t>10.</w:t>
                      </w:r>
                      <w:r>
                        <w:rPr>
                          <w:b/>
                          <w:color w:val="000000"/>
                          <w:spacing w:val="37"/>
                          <w:sz w:val="24"/>
                        </w:rPr>
                        <w:t> </w:t>
                      </w:r>
                      <w:r>
                        <w:rPr>
                          <w:b/>
                          <w:color w:val="000000"/>
                          <w:spacing w:val="-2"/>
                          <w:sz w:val="24"/>
                        </w:rPr>
                        <w:t>Accountability,</w:t>
                      </w:r>
                      <w:r>
                        <w:rPr>
                          <w:b/>
                          <w:color w:val="000000"/>
                          <w:spacing w:val="-14"/>
                          <w:sz w:val="24"/>
                        </w:rPr>
                        <w:t> </w:t>
                      </w:r>
                      <w:r>
                        <w:rPr>
                          <w:b/>
                          <w:color w:val="000000"/>
                          <w:spacing w:val="-2"/>
                          <w:sz w:val="24"/>
                        </w:rPr>
                        <w:t>Responsibility</w:t>
                      </w:r>
                      <w:r>
                        <w:rPr>
                          <w:b/>
                          <w:color w:val="000000"/>
                          <w:spacing w:val="-15"/>
                          <w:sz w:val="24"/>
                        </w:rPr>
                        <w:t> </w:t>
                      </w:r>
                      <w:r>
                        <w:rPr>
                          <w:b/>
                          <w:color w:val="000000"/>
                          <w:spacing w:val="-2"/>
                          <w:sz w:val="24"/>
                        </w:rPr>
                        <w:t>and</w:t>
                      </w:r>
                      <w:r>
                        <w:rPr>
                          <w:b/>
                          <w:color w:val="000000"/>
                          <w:spacing w:val="-14"/>
                          <w:sz w:val="24"/>
                        </w:rPr>
                        <w:t> </w:t>
                      </w:r>
                      <w:r>
                        <w:rPr>
                          <w:b/>
                          <w:color w:val="000000"/>
                          <w:spacing w:val="-2"/>
                          <w:sz w:val="24"/>
                        </w:rPr>
                        <w:t>Authority</w:t>
                      </w:r>
                    </w:p>
                  </w:txbxContent>
                </v:textbox>
                <v:fill type="solid"/>
                <v:stroke dashstyle="solid"/>
                <w10:wrap type="topAndBottom"/>
              </v:shape>
            </w:pict>
          </mc:Fallback>
        </mc:AlternateContent>
      </w:r>
    </w:p>
    <w:p>
      <w:pPr>
        <w:pStyle w:val="BodyText"/>
        <w:spacing w:before="68"/>
      </w:pPr>
    </w:p>
    <w:p>
      <w:pPr>
        <w:pStyle w:val="BodyText"/>
        <w:tabs>
          <w:tab w:pos="862" w:val="left" w:leader="none"/>
        </w:tabs>
        <w:spacing w:before="1"/>
        <w:ind w:left="862" w:right="760" w:hanging="720"/>
      </w:pPr>
      <w:r>
        <w:rPr>
          <w:spacing w:val="-4"/>
        </w:rPr>
        <w:t>10.1</w:t>
      </w:r>
      <w:r>
        <w:rPr/>
        <w:tab/>
      </w:r>
      <w:r>
        <w:rPr>
          <w:spacing w:val="-2"/>
        </w:rPr>
        <w:t>The</w:t>
      </w:r>
      <w:r>
        <w:rPr>
          <w:spacing w:val="-11"/>
        </w:rPr>
        <w:t> </w:t>
      </w:r>
      <w:r>
        <w:rPr>
          <w:spacing w:val="-2"/>
        </w:rPr>
        <w:t>RFCDDG</w:t>
      </w:r>
      <w:r>
        <w:rPr>
          <w:spacing w:val="-12"/>
        </w:rPr>
        <w:t> </w:t>
      </w:r>
      <w:r>
        <w:rPr>
          <w:spacing w:val="-2"/>
        </w:rPr>
        <w:t>will</w:t>
      </w:r>
      <w:r>
        <w:rPr>
          <w:spacing w:val="-10"/>
        </w:rPr>
        <w:t> </w:t>
      </w:r>
      <w:r>
        <w:rPr>
          <w:spacing w:val="-2"/>
        </w:rPr>
        <w:t>be</w:t>
      </w:r>
      <w:r>
        <w:rPr>
          <w:spacing w:val="-10"/>
        </w:rPr>
        <w:t> </w:t>
      </w:r>
      <w:r>
        <w:rPr>
          <w:spacing w:val="-2"/>
        </w:rPr>
        <w:t>accountable</w:t>
      </w:r>
      <w:r>
        <w:rPr>
          <w:spacing w:val="-6"/>
        </w:rPr>
        <w:t> </w:t>
      </w:r>
      <w:r>
        <w:rPr>
          <w:spacing w:val="-2"/>
        </w:rPr>
        <w:t>to</w:t>
      </w:r>
      <w:r>
        <w:rPr>
          <w:spacing w:val="-10"/>
        </w:rPr>
        <w:t> </w:t>
      </w:r>
      <w:r>
        <w:rPr>
          <w:spacing w:val="-2"/>
        </w:rPr>
        <w:t>the</w:t>
      </w:r>
      <w:r>
        <w:rPr>
          <w:spacing w:val="-15"/>
        </w:rPr>
        <w:t> </w:t>
      </w:r>
      <w:r>
        <w:rPr>
          <w:spacing w:val="-2"/>
        </w:rPr>
        <w:t>Regional</w:t>
      </w:r>
      <w:r>
        <w:rPr>
          <w:spacing w:val="-15"/>
        </w:rPr>
        <w:t> </w:t>
      </w:r>
      <w:r>
        <w:rPr>
          <w:spacing w:val="-2"/>
        </w:rPr>
        <w:t>Joint</w:t>
      </w:r>
      <w:r>
        <w:rPr>
          <w:spacing w:val="-13"/>
        </w:rPr>
        <w:t> </w:t>
      </w:r>
      <w:r>
        <w:rPr>
          <w:spacing w:val="-2"/>
        </w:rPr>
        <w:t>Committee</w:t>
      </w:r>
      <w:r>
        <w:rPr>
          <w:spacing w:val="-10"/>
        </w:rPr>
        <w:t> </w:t>
      </w:r>
      <w:r>
        <w:rPr>
          <w:spacing w:val="-2"/>
        </w:rPr>
        <w:t>for</w:t>
      </w:r>
      <w:r>
        <w:rPr>
          <w:spacing w:val="-15"/>
        </w:rPr>
        <w:t> </w:t>
      </w:r>
      <w:r>
        <w:rPr>
          <w:spacing w:val="-2"/>
        </w:rPr>
        <w:t>its</w:t>
      </w:r>
      <w:r>
        <w:rPr>
          <w:spacing w:val="-11"/>
        </w:rPr>
        <w:t> </w:t>
      </w:r>
      <w:r>
        <w:rPr>
          <w:spacing w:val="-2"/>
        </w:rPr>
        <w:t>performance</w:t>
      </w:r>
      <w:r>
        <w:rPr>
          <w:spacing w:val="-10"/>
        </w:rPr>
        <w:t> </w:t>
      </w:r>
      <w:r>
        <w:rPr>
          <w:spacing w:val="-2"/>
        </w:rPr>
        <w:t>in </w:t>
      </w:r>
      <w:r>
        <w:rPr/>
        <w:t>exercising</w:t>
      </w:r>
      <w:r>
        <w:rPr>
          <w:spacing w:val="-1"/>
        </w:rPr>
        <w:t> </w:t>
      </w:r>
      <w:r>
        <w:rPr/>
        <w:t>the</w:t>
      </w:r>
      <w:r>
        <w:rPr>
          <w:spacing w:val="-6"/>
        </w:rPr>
        <w:t> </w:t>
      </w:r>
      <w:r>
        <w:rPr/>
        <w:t>functions</w:t>
      </w:r>
      <w:r>
        <w:rPr>
          <w:spacing w:val="-7"/>
        </w:rPr>
        <w:t> </w:t>
      </w:r>
      <w:r>
        <w:rPr/>
        <w:t>set</w:t>
      </w:r>
      <w:r>
        <w:rPr>
          <w:spacing w:val="-9"/>
        </w:rPr>
        <w:t> </w:t>
      </w:r>
      <w:r>
        <w:rPr/>
        <w:t>out</w:t>
      </w:r>
      <w:r>
        <w:rPr>
          <w:spacing w:val="-9"/>
        </w:rPr>
        <w:t> </w:t>
      </w:r>
      <w:r>
        <w:rPr/>
        <w:t>in</w:t>
      </w:r>
      <w:r>
        <w:rPr>
          <w:spacing w:val="-6"/>
        </w:rPr>
        <w:t> </w:t>
      </w:r>
      <w:r>
        <w:rPr/>
        <w:t>these</w:t>
      </w:r>
      <w:r>
        <w:rPr>
          <w:spacing w:val="-6"/>
        </w:rPr>
        <w:t> </w:t>
      </w:r>
      <w:r>
        <w:rPr/>
        <w:t>terms</w:t>
      </w:r>
      <w:r>
        <w:rPr>
          <w:spacing w:val="-12"/>
        </w:rPr>
        <w:t> </w:t>
      </w:r>
      <w:r>
        <w:rPr/>
        <w:t>of</w:t>
      </w:r>
      <w:r>
        <w:rPr>
          <w:spacing w:val="-4"/>
        </w:rPr>
        <w:t> </w:t>
      </w:r>
      <w:r>
        <w:rPr/>
        <w:t>reference.</w:t>
      </w:r>
    </w:p>
    <w:p>
      <w:pPr>
        <w:pStyle w:val="BodyText"/>
        <w:spacing w:before="79"/>
        <w:rPr>
          <w:sz w:val="20"/>
        </w:rPr>
      </w:pPr>
      <w:r>
        <w:rPr>
          <w:sz w:val="20"/>
        </w:rPr>
        <mc:AlternateContent>
          <mc:Choice Requires="wps">
            <w:drawing>
              <wp:anchor distT="0" distB="0" distL="0" distR="0" allowOverlap="1" layoutInCell="1" locked="0" behindDoc="1" simplePos="0" relativeHeight="487687168">
                <wp:simplePos x="0" y="0"/>
                <wp:positionH relativeFrom="page">
                  <wp:posOffset>574992</wp:posOffset>
                </wp:positionH>
                <wp:positionV relativeFrom="paragraph">
                  <wp:posOffset>218230</wp:posOffset>
                </wp:positionV>
                <wp:extent cx="6575425" cy="193675"/>
                <wp:effectExtent l="0" t="0" r="0" b="0"/>
                <wp:wrapTopAndBottom/>
                <wp:docPr id="527" name="Textbox 527"/>
                <wp:cNvGraphicFramePr>
                  <a:graphicFrameLocks/>
                </wp:cNvGraphicFramePr>
                <a:graphic>
                  <a:graphicData uri="http://schemas.microsoft.com/office/word/2010/wordprocessingShape">
                    <wps:wsp>
                      <wps:cNvPr id="527" name="Textbox 527"/>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11.</w:t>
                            </w:r>
                            <w:r>
                              <w:rPr>
                                <w:b/>
                                <w:color w:val="000000"/>
                                <w:spacing w:val="43"/>
                                <w:sz w:val="24"/>
                              </w:rPr>
                              <w:t> </w:t>
                            </w:r>
                            <w:r>
                              <w:rPr>
                                <w:b/>
                                <w:color w:val="000000"/>
                                <w:spacing w:val="-2"/>
                                <w:sz w:val="24"/>
                              </w:rPr>
                              <w:t>Reporting</w:t>
                            </w:r>
                          </w:p>
                        </w:txbxContent>
                      </wps:txbx>
                      <wps:bodyPr wrap="square" lIns="0" tIns="0" rIns="0" bIns="0" rtlCol="0">
                        <a:noAutofit/>
                      </wps:bodyPr>
                    </wps:wsp>
                  </a:graphicData>
                </a:graphic>
              </wp:anchor>
            </w:drawing>
          </mc:Choice>
          <mc:Fallback>
            <w:pict>
              <v:shape style="position:absolute;margin-left:45.275002pt;margin-top:17.183516pt;width:517.75pt;height:15.25pt;mso-position-horizontal-relative:page;mso-position-vertical-relative:paragraph;z-index:-15629312;mso-wrap-distance-left:0;mso-wrap-distance-right:0" type="#_x0000_t202" id="docshape305" filled="true" fillcolor="#c1a875" stroked="true" strokeweight="1pt" strokecolor="#394871">
                <v:textbox inset="0,0,0,0">
                  <w:txbxContent>
                    <w:p>
                      <w:pPr>
                        <w:spacing w:before="0"/>
                        <w:ind w:left="95" w:right="0" w:firstLine="0"/>
                        <w:jc w:val="left"/>
                        <w:rPr>
                          <w:b/>
                          <w:color w:val="000000"/>
                          <w:sz w:val="24"/>
                        </w:rPr>
                      </w:pPr>
                      <w:r>
                        <w:rPr>
                          <w:b/>
                          <w:color w:val="000000"/>
                          <w:sz w:val="24"/>
                        </w:rPr>
                        <w:t>11.</w:t>
                      </w:r>
                      <w:r>
                        <w:rPr>
                          <w:b/>
                          <w:color w:val="000000"/>
                          <w:spacing w:val="43"/>
                          <w:sz w:val="24"/>
                        </w:rPr>
                        <w:t> </w:t>
                      </w:r>
                      <w:r>
                        <w:rPr>
                          <w:b/>
                          <w:color w:val="000000"/>
                          <w:spacing w:val="-2"/>
                          <w:sz w:val="24"/>
                        </w:rPr>
                        <w:t>Reporting</w:t>
                      </w:r>
                    </w:p>
                  </w:txbxContent>
                </v:textbox>
                <v:fill type="solid"/>
                <v:stroke dashstyle="solid"/>
                <w10:wrap type="topAndBottom"/>
              </v:shape>
            </w:pict>
          </mc:Fallback>
        </mc:AlternateContent>
      </w:r>
    </w:p>
    <w:p>
      <w:pPr>
        <w:pStyle w:val="BodyText"/>
        <w:spacing w:before="68"/>
      </w:pPr>
    </w:p>
    <w:p>
      <w:pPr>
        <w:pStyle w:val="ListParagraph"/>
        <w:numPr>
          <w:ilvl w:val="1"/>
          <w:numId w:val="76"/>
        </w:numPr>
        <w:tabs>
          <w:tab w:pos="852" w:val="left" w:leader="none"/>
          <w:tab w:pos="862" w:val="left" w:leader="none"/>
        </w:tabs>
        <w:spacing w:line="240" w:lineRule="auto" w:before="1" w:after="0"/>
        <w:ind w:left="862" w:right="614" w:hanging="720"/>
        <w:jc w:val="left"/>
        <w:rPr>
          <w:sz w:val="24"/>
        </w:rPr>
      </w:pPr>
      <w:r>
        <w:rPr>
          <w:sz w:val="24"/>
        </w:rPr>
        <w:t>The</w:t>
      </w:r>
      <w:r>
        <w:rPr>
          <w:spacing w:val="-10"/>
          <w:sz w:val="24"/>
        </w:rPr>
        <w:t> </w:t>
      </w:r>
      <w:r>
        <w:rPr>
          <w:sz w:val="24"/>
        </w:rPr>
        <w:t>RFCDDG</w:t>
      </w:r>
      <w:r>
        <w:rPr>
          <w:spacing w:val="-12"/>
          <w:sz w:val="24"/>
        </w:rPr>
        <w:t> </w:t>
      </w:r>
      <w:r>
        <w:rPr>
          <w:sz w:val="24"/>
        </w:rPr>
        <w:t>may</w:t>
      </w:r>
      <w:r>
        <w:rPr>
          <w:spacing w:val="-11"/>
          <w:sz w:val="24"/>
        </w:rPr>
        <w:t> </w:t>
      </w:r>
      <w:r>
        <w:rPr>
          <w:sz w:val="24"/>
        </w:rPr>
        <w:t>establish</w:t>
      </w:r>
      <w:r>
        <w:rPr>
          <w:spacing w:val="-10"/>
          <w:sz w:val="24"/>
        </w:rPr>
        <w:t> </w:t>
      </w:r>
      <w:r>
        <w:rPr>
          <w:sz w:val="24"/>
        </w:rPr>
        <w:t>programmes,</w:t>
      </w:r>
      <w:r>
        <w:rPr>
          <w:spacing w:val="-13"/>
          <w:sz w:val="24"/>
        </w:rPr>
        <w:t> </w:t>
      </w:r>
      <w:r>
        <w:rPr>
          <w:sz w:val="24"/>
        </w:rPr>
        <w:t>projects</w:t>
      </w:r>
      <w:r>
        <w:rPr>
          <w:spacing w:val="-11"/>
          <w:sz w:val="24"/>
        </w:rPr>
        <w:t> </w:t>
      </w:r>
      <w:r>
        <w:rPr>
          <w:sz w:val="24"/>
        </w:rPr>
        <w:t>or</w:t>
      </w:r>
      <w:r>
        <w:rPr>
          <w:spacing w:val="-11"/>
          <w:sz w:val="24"/>
        </w:rPr>
        <w:t> </w:t>
      </w:r>
      <w:r>
        <w:rPr>
          <w:sz w:val="24"/>
        </w:rPr>
        <w:t>task</w:t>
      </w:r>
      <w:r>
        <w:rPr>
          <w:spacing w:val="-11"/>
          <w:sz w:val="24"/>
        </w:rPr>
        <w:t> </w:t>
      </w:r>
      <w:r>
        <w:rPr>
          <w:sz w:val="24"/>
        </w:rPr>
        <w:t>and</w:t>
      </w:r>
      <w:r>
        <w:rPr>
          <w:spacing w:val="-6"/>
          <w:sz w:val="24"/>
        </w:rPr>
        <w:t> </w:t>
      </w:r>
      <w:r>
        <w:rPr>
          <w:sz w:val="24"/>
        </w:rPr>
        <w:t>finish</w:t>
      </w:r>
      <w:r>
        <w:rPr>
          <w:spacing w:val="-15"/>
          <w:sz w:val="24"/>
        </w:rPr>
        <w:t> </w:t>
      </w:r>
      <w:r>
        <w:rPr>
          <w:sz w:val="24"/>
        </w:rPr>
        <w:t>groups</w:t>
      </w:r>
      <w:r>
        <w:rPr>
          <w:spacing w:val="-7"/>
          <w:sz w:val="24"/>
        </w:rPr>
        <w:t> </w:t>
      </w:r>
      <w:r>
        <w:rPr>
          <w:sz w:val="24"/>
        </w:rPr>
        <w:t>to</w:t>
      </w:r>
      <w:r>
        <w:rPr>
          <w:spacing w:val="-10"/>
          <w:sz w:val="24"/>
        </w:rPr>
        <w:t> </w:t>
      </w:r>
      <w:r>
        <w:rPr>
          <w:sz w:val="24"/>
        </w:rPr>
        <w:t>deliver </w:t>
      </w:r>
      <w:r>
        <w:rPr>
          <w:spacing w:val="-2"/>
          <w:sz w:val="24"/>
        </w:rPr>
        <w:t>service</w:t>
      </w:r>
      <w:r>
        <w:rPr>
          <w:spacing w:val="-11"/>
          <w:sz w:val="24"/>
        </w:rPr>
        <w:t> </w:t>
      </w:r>
      <w:r>
        <w:rPr>
          <w:spacing w:val="-2"/>
          <w:sz w:val="24"/>
        </w:rPr>
        <w:t>change.</w:t>
      </w:r>
      <w:r>
        <w:rPr>
          <w:spacing w:val="40"/>
          <w:sz w:val="24"/>
        </w:rPr>
        <w:t> </w:t>
      </w:r>
      <w:r>
        <w:rPr>
          <w:spacing w:val="-2"/>
          <w:sz w:val="24"/>
        </w:rPr>
        <w:t>The</w:t>
      </w:r>
      <w:r>
        <w:rPr>
          <w:spacing w:val="-15"/>
          <w:sz w:val="24"/>
        </w:rPr>
        <w:t> </w:t>
      </w:r>
      <w:r>
        <w:rPr>
          <w:spacing w:val="-2"/>
          <w:sz w:val="24"/>
        </w:rPr>
        <w:t>RFCDDG</w:t>
      </w:r>
      <w:r>
        <w:rPr>
          <w:spacing w:val="-12"/>
          <w:sz w:val="24"/>
        </w:rPr>
        <w:t> </w:t>
      </w:r>
      <w:r>
        <w:rPr>
          <w:spacing w:val="-2"/>
          <w:sz w:val="24"/>
        </w:rPr>
        <w:t>will</w:t>
      </w:r>
      <w:r>
        <w:rPr>
          <w:spacing w:val="-11"/>
          <w:sz w:val="24"/>
        </w:rPr>
        <w:t> </w:t>
      </w:r>
      <w:r>
        <w:rPr>
          <w:spacing w:val="-2"/>
          <w:sz w:val="24"/>
        </w:rPr>
        <w:t>receive</w:t>
      </w:r>
      <w:r>
        <w:rPr>
          <w:spacing w:val="-11"/>
          <w:sz w:val="24"/>
        </w:rPr>
        <w:t> </w:t>
      </w:r>
      <w:r>
        <w:rPr>
          <w:spacing w:val="-2"/>
          <w:sz w:val="24"/>
        </w:rPr>
        <w:t>updates</w:t>
      </w:r>
      <w:r>
        <w:rPr>
          <w:spacing w:val="-11"/>
          <w:sz w:val="24"/>
        </w:rPr>
        <w:t> </w:t>
      </w:r>
      <w:r>
        <w:rPr>
          <w:spacing w:val="-2"/>
          <w:sz w:val="24"/>
        </w:rPr>
        <w:t>from</w:t>
      </w:r>
      <w:r>
        <w:rPr>
          <w:spacing w:val="-11"/>
          <w:sz w:val="24"/>
        </w:rPr>
        <w:t> </w:t>
      </w:r>
      <w:r>
        <w:rPr>
          <w:spacing w:val="-2"/>
          <w:sz w:val="24"/>
        </w:rPr>
        <w:t>programmes,</w:t>
      </w:r>
      <w:r>
        <w:rPr>
          <w:spacing w:val="-13"/>
          <w:sz w:val="24"/>
        </w:rPr>
        <w:t> </w:t>
      </w:r>
      <w:r>
        <w:rPr>
          <w:spacing w:val="-2"/>
          <w:sz w:val="24"/>
        </w:rPr>
        <w:t>project</w:t>
      </w:r>
      <w:r>
        <w:rPr>
          <w:spacing w:val="-13"/>
          <w:sz w:val="24"/>
        </w:rPr>
        <w:t> </w:t>
      </w:r>
      <w:r>
        <w:rPr>
          <w:spacing w:val="-2"/>
          <w:sz w:val="24"/>
        </w:rPr>
        <w:t>or</w:t>
      </w:r>
      <w:r>
        <w:rPr>
          <w:spacing w:val="-11"/>
          <w:sz w:val="24"/>
        </w:rPr>
        <w:t> </w:t>
      </w:r>
      <w:r>
        <w:rPr>
          <w:spacing w:val="-2"/>
          <w:sz w:val="24"/>
        </w:rPr>
        <w:t>task</w:t>
      </w:r>
      <w:r>
        <w:rPr>
          <w:spacing w:val="-11"/>
          <w:sz w:val="24"/>
        </w:rPr>
        <w:t> </w:t>
      </w:r>
      <w:r>
        <w:rPr>
          <w:spacing w:val="-2"/>
          <w:sz w:val="24"/>
        </w:rPr>
        <w:t>and </w:t>
      </w:r>
      <w:r>
        <w:rPr>
          <w:sz w:val="24"/>
        </w:rPr>
        <w:t>finish groups via</w:t>
      </w:r>
      <w:r>
        <w:rPr>
          <w:spacing w:val="-4"/>
          <w:sz w:val="24"/>
        </w:rPr>
        <w:t> </w:t>
      </w:r>
      <w:r>
        <w:rPr>
          <w:sz w:val="24"/>
        </w:rPr>
        <w:t>a monthly highlight</w:t>
      </w:r>
      <w:r>
        <w:rPr>
          <w:spacing w:val="-2"/>
          <w:sz w:val="24"/>
        </w:rPr>
        <w:t> </w:t>
      </w:r>
      <w:r>
        <w:rPr>
          <w:sz w:val="24"/>
        </w:rPr>
        <w:t>report.</w:t>
      </w:r>
    </w:p>
    <w:p>
      <w:pPr>
        <w:pStyle w:val="BodyText"/>
        <w:spacing w:before="111"/>
      </w:pPr>
    </w:p>
    <w:p>
      <w:pPr>
        <w:pStyle w:val="ListParagraph"/>
        <w:numPr>
          <w:ilvl w:val="1"/>
          <w:numId w:val="76"/>
        </w:numPr>
        <w:tabs>
          <w:tab w:pos="805" w:val="left" w:leader="none"/>
        </w:tabs>
        <w:spacing w:line="240" w:lineRule="auto" w:before="0" w:after="0"/>
        <w:ind w:left="805" w:right="0" w:hanging="663"/>
        <w:jc w:val="left"/>
        <w:rPr>
          <w:sz w:val="24"/>
        </w:rPr>
      </w:pPr>
      <w:r>
        <w:rPr>
          <w:sz w:val="24"/>
        </w:rPr>
        <w:t>The</w:t>
      </w:r>
      <w:r>
        <w:rPr>
          <w:spacing w:val="-1"/>
          <w:sz w:val="24"/>
        </w:rPr>
        <w:t> </w:t>
      </w:r>
      <w:r>
        <w:rPr>
          <w:sz w:val="24"/>
        </w:rPr>
        <w:t>RFCDDG,</w:t>
      </w:r>
      <w:r>
        <w:rPr>
          <w:spacing w:val="-5"/>
          <w:sz w:val="24"/>
        </w:rPr>
        <w:t> </w:t>
      </w:r>
      <w:r>
        <w:rPr>
          <w:sz w:val="24"/>
        </w:rPr>
        <w:t>supported</w:t>
      </w:r>
      <w:r>
        <w:rPr>
          <w:spacing w:val="-2"/>
          <w:sz w:val="24"/>
        </w:rPr>
        <w:t> </w:t>
      </w:r>
      <w:r>
        <w:rPr>
          <w:sz w:val="24"/>
        </w:rPr>
        <w:t>by</w:t>
      </w:r>
      <w:r>
        <w:rPr>
          <w:spacing w:val="-2"/>
          <w:sz w:val="24"/>
        </w:rPr>
        <w:t> </w:t>
      </w:r>
      <w:r>
        <w:rPr>
          <w:sz w:val="24"/>
        </w:rPr>
        <w:t>the</w:t>
      </w:r>
      <w:r>
        <w:rPr>
          <w:spacing w:val="-2"/>
          <w:sz w:val="24"/>
        </w:rPr>
        <w:t> </w:t>
      </w:r>
      <w:r>
        <w:rPr>
          <w:sz w:val="24"/>
        </w:rPr>
        <w:t>regional</w:t>
      </w:r>
      <w:r>
        <w:rPr>
          <w:spacing w:val="-2"/>
          <w:sz w:val="24"/>
        </w:rPr>
        <w:t> </w:t>
      </w:r>
      <w:r>
        <w:rPr>
          <w:sz w:val="24"/>
        </w:rPr>
        <w:t>PMO,</w:t>
      </w:r>
      <w:r>
        <w:rPr>
          <w:spacing w:val="-4"/>
          <w:sz w:val="24"/>
        </w:rPr>
        <w:t> </w:t>
      </w:r>
      <w:r>
        <w:rPr>
          <w:spacing w:val="-2"/>
          <w:sz w:val="24"/>
        </w:rPr>
        <w:t>shall:</w:t>
      </w:r>
    </w:p>
    <w:p>
      <w:pPr>
        <w:pStyle w:val="BodyText"/>
        <w:spacing w:before="108"/>
      </w:pPr>
    </w:p>
    <w:p>
      <w:pPr>
        <w:pStyle w:val="ListParagraph"/>
        <w:numPr>
          <w:ilvl w:val="2"/>
          <w:numId w:val="76"/>
        </w:numPr>
        <w:tabs>
          <w:tab w:pos="1563" w:val="left" w:leader="none"/>
          <w:tab w:pos="1715" w:val="left" w:leader="none"/>
        </w:tabs>
        <w:spacing w:line="261" w:lineRule="auto" w:before="0" w:after="0"/>
        <w:ind w:left="1563" w:right="563" w:hanging="711"/>
        <w:jc w:val="left"/>
        <w:rPr>
          <w:sz w:val="24"/>
        </w:rPr>
      </w:pPr>
      <w:r>
        <w:rPr>
          <w:sz w:val="24"/>
        </w:rPr>
        <w:tab/>
        <w:t>Report</w:t>
      </w:r>
      <w:r>
        <w:rPr>
          <w:spacing w:val="-5"/>
          <w:sz w:val="24"/>
        </w:rPr>
        <w:t> </w:t>
      </w:r>
      <w:r>
        <w:rPr>
          <w:sz w:val="24"/>
        </w:rPr>
        <w:t>formally,</w:t>
      </w:r>
      <w:r>
        <w:rPr>
          <w:spacing w:val="-5"/>
          <w:sz w:val="24"/>
        </w:rPr>
        <w:t> </w:t>
      </w:r>
      <w:r>
        <w:rPr>
          <w:sz w:val="24"/>
        </w:rPr>
        <w:t>regularly</w:t>
      </w:r>
      <w:r>
        <w:rPr>
          <w:spacing w:val="-3"/>
          <w:sz w:val="24"/>
        </w:rPr>
        <w:t> </w:t>
      </w:r>
      <w:r>
        <w:rPr>
          <w:sz w:val="24"/>
        </w:rPr>
        <w:t>and</w:t>
      </w:r>
      <w:r>
        <w:rPr>
          <w:spacing w:val="-2"/>
          <w:sz w:val="24"/>
        </w:rPr>
        <w:t> </w:t>
      </w:r>
      <w:r>
        <w:rPr>
          <w:sz w:val="24"/>
        </w:rPr>
        <w:t>on</w:t>
      </w:r>
      <w:r>
        <w:rPr>
          <w:spacing w:val="-2"/>
          <w:sz w:val="24"/>
        </w:rPr>
        <w:t> </w:t>
      </w:r>
      <w:r>
        <w:rPr>
          <w:sz w:val="24"/>
        </w:rPr>
        <w:t>a</w:t>
      </w:r>
      <w:r>
        <w:rPr>
          <w:spacing w:val="-2"/>
          <w:sz w:val="24"/>
        </w:rPr>
        <w:t> </w:t>
      </w:r>
      <w:r>
        <w:rPr>
          <w:sz w:val="24"/>
        </w:rPr>
        <w:t>timely</w:t>
      </w:r>
      <w:r>
        <w:rPr>
          <w:spacing w:val="-3"/>
          <w:sz w:val="24"/>
        </w:rPr>
        <w:t> </w:t>
      </w:r>
      <w:r>
        <w:rPr>
          <w:sz w:val="24"/>
        </w:rPr>
        <w:t>basis</w:t>
      </w:r>
      <w:r>
        <w:rPr>
          <w:spacing w:val="-3"/>
          <w:sz w:val="24"/>
        </w:rPr>
        <w:t> </w:t>
      </w:r>
      <w:r>
        <w:rPr>
          <w:sz w:val="24"/>
        </w:rPr>
        <w:t>to</w:t>
      </w:r>
      <w:r>
        <w:rPr>
          <w:spacing w:val="-2"/>
          <w:sz w:val="24"/>
        </w:rPr>
        <w:t> </w:t>
      </w:r>
      <w:r>
        <w:rPr>
          <w:sz w:val="24"/>
        </w:rPr>
        <w:t>the Regional</w:t>
      </w:r>
      <w:r>
        <w:rPr>
          <w:spacing w:val="-2"/>
          <w:sz w:val="24"/>
        </w:rPr>
        <w:t> </w:t>
      </w:r>
      <w:r>
        <w:rPr>
          <w:sz w:val="24"/>
        </w:rPr>
        <w:t>Joint</w:t>
      </w:r>
      <w:r>
        <w:rPr>
          <w:spacing w:val="-5"/>
          <w:sz w:val="24"/>
        </w:rPr>
        <w:t> </w:t>
      </w:r>
      <w:r>
        <w:rPr>
          <w:sz w:val="24"/>
        </w:rPr>
        <w:t>Committee on the RFCDDG’s activities.</w:t>
      </w:r>
    </w:p>
    <w:p>
      <w:pPr>
        <w:pStyle w:val="ListParagraph"/>
        <w:numPr>
          <w:ilvl w:val="2"/>
          <w:numId w:val="76"/>
        </w:numPr>
        <w:tabs>
          <w:tab w:pos="1715" w:val="left" w:leader="none"/>
        </w:tabs>
        <w:spacing w:line="275" w:lineRule="exact" w:before="94" w:after="0"/>
        <w:ind w:left="1715" w:right="0" w:hanging="863"/>
        <w:jc w:val="left"/>
        <w:rPr>
          <w:sz w:val="24"/>
        </w:rPr>
      </w:pPr>
      <w:r>
        <w:rPr>
          <w:sz w:val="24"/>
        </w:rPr>
        <w:t>Bring</w:t>
      </w:r>
      <w:r>
        <w:rPr>
          <w:spacing w:val="-2"/>
          <w:sz w:val="24"/>
        </w:rPr>
        <w:t> </w:t>
      </w:r>
      <w:r>
        <w:rPr>
          <w:sz w:val="24"/>
        </w:rPr>
        <w:t>to</w:t>
      </w:r>
      <w:r>
        <w:rPr>
          <w:spacing w:val="-2"/>
          <w:sz w:val="24"/>
        </w:rPr>
        <w:t> </w:t>
      </w:r>
      <w:r>
        <w:rPr>
          <w:sz w:val="24"/>
        </w:rPr>
        <w:t>the</w:t>
      </w:r>
      <w:r>
        <w:rPr>
          <w:spacing w:val="1"/>
          <w:sz w:val="24"/>
        </w:rPr>
        <w:t> </w:t>
      </w:r>
      <w:r>
        <w:rPr>
          <w:sz w:val="24"/>
        </w:rPr>
        <w:t>Regional</w:t>
      </w:r>
      <w:r>
        <w:rPr>
          <w:spacing w:val="-2"/>
          <w:sz w:val="24"/>
        </w:rPr>
        <w:t> </w:t>
      </w:r>
      <w:r>
        <w:rPr>
          <w:sz w:val="24"/>
        </w:rPr>
        <w:t>Joint</w:t>
      </w:r>
      <w:r>
        <w:rPr>
          <w:spacing w:val="-5"/>
          <w:sz w:val="24"/>
        </w:rPr>
        <w:t> </w:t>
      </w:r>
      <w:r>
        <w:rPr>
          <w:sz w:val="24"/>
        </w:rPr>
        <w:t>Committee’s</w:t>
      </w:r>
      <w:r>
        <w:rPr>
          <w:spacing w:val="-7"/>
          <w:sz w:val="24"/>
        </w:rPr>
        <w:t> </w:t>
      </w:r>
      <w:r>
        <w:rPr>
          <w:sz w:val="24"/>
        </w:rPr>
        <w:t>specific</w:t>
      </w:r>
      <w:r>
        <w:rPr>
          <w:spacing w:val="-3"/>
          <w:sz w:val="24"/>
        </w:rPr>
        <w:t> </w:t>
      </w:r>
      <w:r>
        <w:rPr>
          <w:sz w:val="24"/>
        </w:rPr>
        <w:t>attention</w:t>
      </w:r>
      <w:r>
        <w:rPr>
          <w:spacing w:val="-1"/>
          <w:sz w:val="24"/>
        </w:rPr>
        <w:t> </w:t>
      </w:r>
      <w:r>
        <w:rPr>
          <w:sz w:val="24"/>
        </w:rPr>
        <w:t>any</w:t>
      </w:r>
      <w:r>
        <w:rPr>
          <w:spacing w:val="-3"/>
          <w:sz w:val="24"/>
        </w:rPr>
        <w:t> </w:t>
      </w:r>
      <w:r>
        <w:rPr>
          <w:sz w:val="24"/>
        </w:rPr>
        <w:t>significant</w:t>
      </w:r>
      <w:r>
        <w:rPr>
          <w:spacing w:val="-4"/>
          <w:sz w:val="24"/>
        </w:rPr>
        <w:t> </w:t>
      </w:r>
      <w:r>
        <w:rPr>
          <w:spacing w:val="-2"/>
          <w:sz w:val="24"/>
        </w:rPr>
        <w:t>matters</w:t>
      </w:r>
    </w:p>
    <w:p>
      <w:pPr>
        <w:pStyle w:val="BodyText"/>
        <w:spacing w:line="275" w:lineRule="exact"/>
        <w:ind w:left="1563"/>
      </w:pPr>
      <w:r>
        <w:rPr/>
        <w:t>under</w:t>
      </w:r>
      <w:r>
        <w:rPr>
          <w:spacing w:val="-3"/>
        </w:rPr>
        <w:t> </w:t>
      </w:r>
      <w:r>
        <w:rPr/>
        <w:t>consideration</w:t>
      </w:r>
      <w:r>
        <w:rPr>
          <w:spacing w:val="-2"/>
        </w:rPr>
        <w:t> </w:t>
      </w:r>
      <w:r>
        <w:rPr/>
        <w:t>by</w:t>
      </w:r>
      <w:r>
        <w:rPr>
          <w:spacing w:val="-3"/>
        </w:rPr>
        <w:t> </w:t>
      </w:r>
      <w:r>
        <w:rPr/>
        <w:t>the</w:t>
      </w:r>
      <w:r>
        <w:rPr>
          <w:spacing w:val="2"/>
        </w:rPr>
        <w:t> </w:t>
      </w:r>
      <w:r>
        <w:rPr>
          <w:spacing w:val="-2"/>
        </w:rPr>
        <w:t>RFCDDG.</w:t>
      </w:r>
    </w:p>
    <w:p>
      <w:pPr>
        <w:pStyle w:val="BodyText"/>
        <w:spacing w:before="75"/>
        <w:rPr>
          <w:sz w:val="20"/>
        </w:rPr>
      </w:pPr>
      <w:r>
        <w:rPr>
          <w:sz w:val="20"/>
        </w:rPr>
        <mc:AlternateContent>
          <mc:Choice Requires="wps">
            <w:drawing>
              <wp:anchor distT="0" distB="0" distL="0" distR="0" allowOverlap="1" layoutInCell="1" locked="0" behindDoc="1" simplePos="0" relativeHeight="487687680">
                <wp:simplePos x="0" y="0"/>
                <wp:positionH relativeFrom="page">
                  <wp:posOffset>574992</wp:posOffset>
                </wp:positionH>
                <wp:positionV relativeFrom="paragraph">
                  <wp:posOffset>215619</wp:posOffset>
                </wp:positionV>
                <wp:extent cx="6553200" cy="193675"/>
                <wp:effectExtent l="0" t="0" r="0" b="0"/>
                <wp:wrapTopAndBottom/>
                <wp:docPr id="528" name="Textbox 528"/>
                <wp:cNvGraphicFramePr>
                  <a:graphicFrameLocks/>
                </wp:cNvGraphicFramePr>
                <a:graphic>
                  <a:graphicData uri="http://schemas.microsoft.com/office/word/2010/wordprocessingShape">
                    <wps:wsp>
                      <wps:cNvPr id="528" name="Textbox 528"/>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12.</w:t>
                            </w:r>
                            <w:r>
                              <w:rPr>
                                <w:b/>
                                <w:color w:val="000000"/>
                                <w:spacing w:val="18"/>
                                <w:sz w:val="24"/>
                              </w:rPr>
                              <w:t> </w:t>
                            </w:r>
                            <w:r>
                              <w:rPr>
                                <w:b/>
                                <w:color w:val="000000"/>
                                <w:sz w:val="24"/>
                              </w:rPr>
                              <w:t>Secretarial</w:t>
                            </w:r>
                            <w:r>
                              <w:rPr>
                                <w:b/>
                                <w:color w:val="000000"/>
                                <w:spacing w:val="-16"/>
                                <w:sz w:val="24"/>
                              </w:rPr>
                              <w:t> </w:t>
                            </w:r>
                            <w:r>
                              <w:rPr>
                                <w:b/>
                                <w:color w:val="000000"/>
                                <w:spacing w:val="-2"/>
                                <w:sz w:val="24"/>
                              </w:rPr>
                              <w:t>Support</w:t>
                            </w:r>
                          </w:p>
                        </w:txbxContent>
                      </wps:txbx>
                      <wps:bodyPr wrap="square" lIns="0" tIns="0" rIns="0" bIns="0" rtlCol="0">
                        <a:noAutofit/>
                      </wps:bodyPr>
                    </wps:wsp>
                  </a:graphicData>
                </a:graphic>
              </wp:anchor>
            </w:drawing>
          </mc:Choice>
          <mc:Fallback>
            <w:pict>
              <v:shape style="position:absolute;margin-left:45.275002pt;margin-top:16.97793pt;width:516pt;height:15.25pt;mso-position-horizontal-relative:page;mso-position-vertical-relative:paragraph;z-index:-15628800;mso-wrap-distance-left:0;mso-wrap-distance-right:0" type="#_x0000_t202" id="docshape306" filled="true" fillcolor="#c1a875" stroked="true" strokeweight="1pt" strokecolor="#394871">
                <v:textbox inset="0,0,0,0">
                  <w:txbxContent>
                    <w:p>
                      <w:pPr>
                        <w:spacing w:before="0"/>
                        <w:ind w:left="95" w:right="0" w:firstLine="0"/>
                        <w:jc w:val="left"/>
                        <w:rPr>
                          <w:b/>
                          <w:color w:val="000000"/>
                          <w:sz w:val="24"/>
                        </w:rPr>
                      </w:pPr>
                      <w:r>
                        <w:rPr>
                          <w:b/>
                          <w:color w:val="000000"/>
                          <w:sz w:val="24"/>
                        </w:rPr>
                        <w:t>12.</w:t>
                      </w:r>
                      <w:r>
                        <w:rPr>
                          <w:b/>
                          <w:color w:val="000000"/>
                          <w:spacing w:val="18"/>
                          <w:sz w:val="24"/>
                        </w:rPr>
                        <w:t> </w:t>
                      </w:r>
                      <w:r>
                        <w:rPr>
                          <w:b/>
                          <w:color w:val="000000"/>
                          <w:sz w:val="24"/>
                        </w:rPr>
                        <w:t>Secretarial</w:t>
                      </w:r>
                      <w:r>
                        <w:rPr>
                          <w:b/>
                          <w:color w:val="000000"/>
                          <w:spacing w:val="-16"/>
                          <w:sz w:val="24"/>
                        </w:rPr>
                        <w:t> </w:t>
                      </w:r>
                      <w:r>
                        <w:rPr>
                          <w:b/>
                          <w:color w:val="000000"/>
                          <w:spacing w:val="-2"/>
                          <w:sz w:val="24"/>
                        </w:rPr>
                        <w:t>Support</w:t>
                      </w:r>
                    </w:p>
                  </w:txbxContent>
                </v:textbox>
                <v:fill type="solid"/>
                <v:stroke dashstyle="solid"/>
                <w10:wrap type="topAndBottom"/>
              </v:shape>
            </w:pict>
          </mc:Fallback>
        </mc:AlternateContent>
      </w:r>
    </w:p>
    <w:p>
      <w:pPr>
        <w:pStyle w:val="BodyText"/>
        <w:spacing w:before="9"/>
      </w:pPr>
    </w:p>
    <w:p>
      <w:pPr>
        <w:pStyle w:val="BodyText"/>
        <w:tabs>
          <w:tab w:pos="852" w:val="left" w:leader="none"/>
        </w:tabs>
        <w:spacing w:line="242" w:lineRule="auto"/>
        <w:ind w:left="852" w:right="1031" w:hanging="710"/>
      </w:pPr>
      <w:r>
        <w:rPr>
          <w:spacing w:val="-4"/>
        </w:rPr>
        <w:t>12.1</w:t>
      </w:r>
      <w:r>
        <w:rPr/>
        <w:tab/>
      </w:r>
      <w:r>
        <w:rPr>
          <w:spacing w:val="-2"/>
        </w:rPr>
        <w:t>The</w:t>
      </w:r>
      <w:r>
        <w:rPr>
          <w:spacing w:val="-11"/>
        </w:rPr>
        <w:t> </w:t>
      </w:r>
      <w:r>
        <w:rPr>
          <w:spacing w:val="-2"/>
        </w:rPr>
        <w:t>Committee</w:t>
      </w:r>
      <w:r>
        <w:rPr>
          <w:spacing w:val="-10"/>
        </w:rPr>
        <w:t> </w:t>
      </w:r>
      <w:r>
        <w:rPr>
          <w:spacing w:val="-2"/>
        </w:rPr>
        <w:t>Secretary</w:t>
      </w:r>
      <w:r>
        <w:rPr>
          <w:spacing w:val="-12"/>
        </w:rPr>
        <w:t> </w:t>
      </w:r>
      <w:r>
        <w:rPr>
          <w:spacing w:val="-2"/>
        </w:rPr>
        <w:t>shall</w:t>
      </w:r>
      <w:r>
        <w:rPr>
          <w:spacing w:val="-15"/>
        </w:rPr>
        <w:t> </w:t>
      </w:r>
      <w:r>
        <w:rPr>
          <w:spacing w:val="-2"/>
        </w:rPr>
        <w:t>be</w:t>
      </w:r>
      <w:r>
        <w:rPr>
          <w:spacing w:val="-9"/>
        </w:rPr>
        <w:t> </w:t>
      </w:r>
      <w:r>
        <w:rPr>
          <w:spacing w:val="-2"/>
        </w:rPr>
        <w:t>jointly</w:t>
      </w:r>
      <w:r>
        <w:rPr>
          <w:spacing w:val="-11"/>
        </w:rPr>
        <w:t> </w:t>
      </w:r>
      <w:r>
        <w:rPr>
          <w:spacing w:val="-2"/>
        </w:rPr>
        <w:t>determined</w:t>
      </w:r>
      <w:r>
        <w:rPr>
          <w:spacing w:val="-15"/>
        </w:rPr>
        <w:t> </w:t>
      </w:r>
      <w:r>
        <w:rPr>
          <w:spacing w:val="-2"/>
        </w:rPr>
        <w:t>by</w:t>
      </w:r>
      <w:r>
        <w:rPr>
          <w:spacing w:val="-10"/>
        </w:rPr>
        <w:t> </w:t>
      </w:r>
      <w:r>
        <w:rPr>
          <w:spacing w:val="-2"/>
        </w:rPr>
        <w:t>Swansea</w:t>
      </w:r>
      <w:r>
        <w:rPr>
          <w:spacing w:val="-11"/>
        </w:rPr>
        <w:t> </w:t>
      </w:r>
      <w:r>
        <w:rPr>
          <w:spacing w:val="-2"/>
        </w:rPr>
        <w:t>Bay</w:t>
      </w:r>
      <w:r>
        <w:rPr>
          <w:spacing w:val="-11"/>
        </w:rPr>
        <w:t> </w:t>
      </w:r>
      <w:r>
        <w:rPr>
          <w:spacing w:val="-2"/>
        </w:rPr>
        <w:t>and</w:t>
      </w:r>
      <w:r>
        <w:rPr>
          <w:spacing w:val="-11"/>
        </w:rPr>
        <w:t> </w:t>
      </w:r>
      <w:r>
        <w:rPr>
          <w:spacing w:val="-2"/>
        </w:rPr>
        <w:t>Hywel</w:t>
      </w:r>
      <w:r>
        <w:rPr>
          <w:spacing w:val="-15"/>
        </w:rPr>
        <w:t> </w:t>
      </w:r>
      <w:r>
        <w:rPr>
          <w:spacing w:val="-2"/>
        </w:rPr>
        <w:t>Dda </w:t>
      </w:r>
      <w:r>
        <w:rPr/>
        <w:t>University Health Boards.</w:t>
      </w:r>
    </w:p>
    <w:p>
      <w:pPr>
        <w:pStyle w:val="BodyText"/>
        <w:spacing w:before="74"/>
        <w:rPr>
          <w:sz w:val="20"/>
        </w:rPr>
      </w:pPr>
      <w:r>
        <w:rPr>
          <w:sz w:val="20"/>
        </w:rPr>
        <mc:AlternateContent>
          <mc:Choice Requires="wps">
            <w:drawing>
              <wp:anchor distT="0" distB="0" distL="0" distR="0" allowOverlap="1" layoutInCell="1" locked="0" behindDoc="1" simplePos="0" relativeHeight="487688192">
                <wp:simplePos x="0" y="0"/>
                <wp:positionH relativeFrom="page">
                  <wp:posOffset>574992</wp:posOffset>
                </wp:positionH>
                <wp:positionV relativeFrom="paragraph">
                  <wp:posOffset>214662</wp:posOffset>
                </wp:positionV>
                <wp:extent cx="6553200" cy="193675"/>
                <wp:effectExtent l="0" t="0" r="0" b="0"/>
                <wp:wrapTopAndBottom/>
                <wp:docPr id="529" name="Textbox 529"/>
                <wp:cNvGraphicFramePr>
                  <a:graphicFrameLocks/>
                </wp:cNvGraphicFramePr>
                <a:graphic>
                  <a:graphicData uri="http://schemas.microsoft.com/office/word/2010/wordprocessingShape">
                    <wps:wsp>
                      <wps:cNvPr id="529" name="Textbox 529"/>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13.</w:t>
                            </w:r>
                            <w:r>
                              <w:rPr>
                                <w:b/>
                                <w:color w:val="000000"/>
                                <w:spacing w:val="32"/>
                                <w:sz w:val="24"/>
                              </w:rPr>
                              <w:t> </w:t>
                            </w:r>
                            <w:r>
                              <w:rPr>
                                <w:b/>
                                <w:color w:val="000000"/>
                                <w:sz w:val="24"/>
                              </w:rPr>
                              <w:t>Review</w:t>
                            </w:r>
                            <w:r>
                              <w:rPr>
                                <w:b/>
                                <w:color w:val="000000"/>
                                <w:spacing w:val="-13"/>
                                <w:sz w:val="24"/>
                              </w:rPr>
                              <w:t> </w:t>
                            </w:r>
                            <w:r>
                              <w:rPr>
                                <w:b/>
                                <w:color w:val="000000"/>
                                <w:spacing w:val="-4"/>
                                <w:sz w:val="24"/>
                              </w:rPr>
                              <w:t>Date</w:t>
                            </w:r>
                          </w:p>
                        </w:txbxContent>
                      </wps:txbx>
                      <wps:bodyPr wrap="square" lIns="0" tIns="0" rIns="0" bIns="0" rtlCol="0">
                        <a:noAutofit/>
                      </wps:bodyPr>
                    </wps:wsp>
                  </a:graphicData>
                </a:graphic>
              </wp:anchor>
            </w:drawing>
          </mc:Choice>
          <mc:Fallback>
            <w:pict>
              <v:shape style="position:absolute;margin-left:45.275002pt;margin-top:16.902538pt;width:516pt;height:15.25pt;mso-position-horizontal-relative:page;mso-position-vertical-relative:paragraph;z-index:-15628288;mso-wrap-distance-left:0;mso-wrap-distance-right:0" type="#_x0000_t202" id="docshape307" filled="true" fillcolor="#c1a875" stroked="true" strokeweight="1pt" strokecolor="#394871">
                <v:textbox inset="0,0,0,0">
                  <w:txbxContent>
                    <w:p>
                      <w:pPr>
                        <w:spacing w:before="0"/>
                        <w:ind w:left="95" w:right="0" w:firstLine="0"/>
                        <w:jc w:val="left"/>
                        <w:rPr>
                          <w:b/>
                          <w:color w:val="000000"/>
                          <w:sz w:val="24"/>
                        </w:rPr>
                      </w:pPr>
                      <w:r>
                        <w:rPr>
                          <w:b/>
                          <w:color w:val="000000"/>
                          <w:sz w:val="24"/>
                        </w:rPr>
                        <w:t>13.</w:t>
                      </w:r>
                      <w:r>
                        <w:rPr>
                          <w:b/>
                          <w:color w:val="000000"/>
                          <w:spacing w:val="32"/>
                          <w:sz w:val="24"/>
                        </w:rPr>
                        <w:t> </w:t>
                      </w:r>
                      <w:r>
                        <w:rPr>
                          <w:b/>
                          <w:color w:val="000000"/>
                          <w:sz w:val="24"/>
                        </w:rPr>
                        <w:t>Review</w:t>
                      </w:r>
                      <w:r>
                        <w:rPr>
                          <w:b/>
                          <w:color w:val="000000"/>
                          <w:spacing w:val="-13"/>
                          <w:sz w:val="24"/>
                        </w:rPr>
                        <w:t> </w:t>
                      </w:r>
                      <w:r>
                        <w:rPr>
                          <w:b/>
                          <w:color w:val="000000"/>
                          <w:spacing w:val="-4"/>
                          <w:sz w:val="24"/>
                        </w:rPr>
                        <w:t>Date</w:t>
                      </w:r>
                    </w:p>
                  </w:txbxContent>
                </v:textbox>
                <v:fill type="solid"/>
                <v:stroke dashstyle="solid"/>
                <w10:wrap type="topAndBottom"/>
              </v:shape>
            </w:pict>
          </mc:Fallback>
        </mc:AlternateContent>
      </w:r>
    </w:p>
    <w:p>
      <w:pPr>
        <w:pStyle w:val="BodyText"/>
        <w:spacing w:before="17"/>
        <w:rPr>
          <w:sz w:val="20"/>
        </w:rPr>
      </w:pPr>
    </w:p>
    <w:p>
      <w:pPr>
        <w:spacing w:before="0"/>
        <w:ind w:left="4" w:right="284" w:firstLine="0"/>
        <w:jc w:val="center"/>
        <w:rPr>
          <w:sz w:val="20"/>
        </w:rPr>
      </w:pPr>
      <w:r>
        <w:rPr>
          <w:spacing w:val="-10"/>
          <w:sz w:val="20"/>
        </w:rPr>
        <w:t>6</w:t>
      </w:r>
    </w:p>
    <w:p>
      <w:pPr>
        <w:spacing w:after="0"/>
        <w:jc w:val="center"/>
        <w:rPr>
          <w:sz w:val="20"/>
        </w:rPr>
        <w:sectPr>
          <w:pgSz w:w="11910" w:h="16840"/>
          <w:pgMar w:header="0" w:footer="149" w:top="920" w:bottom="340" w:left="708" w:right="425"/>
        </w:sectPr>
      </w:pPr>
    </w:p>
    <w:p>
      <w:pPr>
        <w:pStyle w:val="BodyText"/>
        <w:tabs>
          <w:tab w:pos="862" w:val="left" w:leader="none"/>
        </w:tabs>
        <w:spacing w:line="242" w:lineRule="auto" w:before="70"/>
        <w:ind w:left="862" w:right="970" w:hanging="720"/>
      </w:pPr>
      <w:r>
        <w:rPr>
          <w:spacing w:val="-4"/>
        </w:rPr>
        <w:t>13.1</w:t>
      </w:r>
      <w:r>
        <w:rPr/>
        <w:tab/>
      </w:r>
      <w:r>
        <w:rPr>
          <w:spacing w:val="-2"/>
        </w:rPr>
        <w:t>These</w:t>
      </w:r>
      <w:r>
        <w:rPr>
          <w:spacing w:val="-9"/>
        </w:rPr>
        <w:t> </w:t>
      </w:r>
      <w:r>
        <w:rPr>
          <w:spacing w:val="-2"/>
        </w:rPr>
        <w:t>terms</w:t>
      </w:r>
      <w:r>
        <w:rPr>
          <w:spacing w:val="-12"/>
        </w:rPr>
        <w:t> </w:t>
      </w:r>
      <w:r>
        <w:rPr>
          <w:spacing w:val="-2"/>
        </w:rPr>
        <w:t>of</w:t>
      </w:r>
      <w:r>
        <w:rPr>
          <w:spacing w:val="-14"/>
        </w:rPr>
        <w:t> </w:t>
      </w:r>
      <w:r>
        <w:rPr>
          <w:spacing w:val="-2"/>
        </w:rPr>
        <w:t>reference</w:t>
      </w:r>
      <w:r>
        <w:rPr>
          <w:spacing w:val="-11"/>
        </w:rPr>
        <w:t> </w:t>
      </w:r>
      <w:r>
        <w:rPr>
          <w:spacing w:val="-2"/>
        </w:rPr>
        <w:t>and</w:t>
      </w:r>
      <w:r>
        <w:rPr>
          <w:spacing w:val="-11"/>
        </w:rPr>
        <w:t> </w:t>
      </w:r>
      <w:r>
        <w:rPr>
          <w:spacing w:val="-2"/>
        </w:rPr>
        <w:t>operating</w:t>
      </w:r>
      <w:r>
        <w:rPr>
          <w:spacing w:val="-11"/>
        </w:rPr>
        <w:t> </w:t>
      </w:r>
      <w:r>
        <w:rPr>
          <w:spacing w:val="-2"/>
        </w:rPr>
        <w:t>arrangements</w:t>
      </w:r>
      <w:r>
        <w:rPr>
          <w:spacing w:val="-12"/>
        </w:rPr>
        <w:t> </w:t>
      </w:r>
      <w:r>
        <w:rPr>
          <w:spacing w:val="-2"/>
        </w:rPr>
        <w:t>shall</w:t>
      </w:r>
      <w:r>
        <w:rPr>
          <w:spacing w:val="-11"/>
        </w:rPr>
        <w:t> </w:t>
      </w:r>
      <w:r>
        <w:rPr>
          <w:spacing w:val="-2"/>
        </w:rPr>
        <w:t>be</w:t>
      </w:r>
      <w:r>
        <w:rPr>
          <w:spacing w:val="-11"/>
        </w:rPr>
        <w:t> </w:t>
      </w:r>
      <w:r>
        <w:rPr>
          <w:spacing w:val="-2"/>
        </w:rPr>
        <w:t>reviewed</w:t>
      </w:r>
      <w:r>
        <w:rPr>
          <w:spacing w:val="-11"/>
        </w:rPr>
        <w:t> </w:t>
      </w:r>
      <w:r>
        <w:rPr>
          <w:spacing w:val="-2"/>
        </w:rPr>
        <w:t>on</w:t>
      </w:r>
      <w:r>
        <w:rPr>
          <w:spacing w:val="-11"/>
        </w:rPr>
        <w:t> </w:t>
      </w:r>
      <w:r>
        <w:rPr>
          <w:spacing w:val="-2"/>
        </w:rPr>
        <w:t>at</w:t>
      </w:r>
      <w:r>
        <w:rPr>
          <w:spacing w:val="-15"/>
        </w:rPr>
        <w:t> </w:t>
      </w:r>
      <w:r>
        <w:rPr>
          <w:spacing w:val="-2"/>
        </w:rPr>
        <w:t>least</w:t>
      </w:r>
      <w:r>
        <w:rPr>
          <w:spacing w:val="-13"/>
        </w:rPr>
        <w:t> </w:t>
      </w:r>
      <w:r>
        <w:rPr>
          <w:spacing w:val="-2"/>
        </w:rPr>
        <w:t>an </w:t>
      </w:r>
      <w:r>
        <w:rPr/>
        <w:t>annual</w:t>
      </w:r>
      <w:r>
        <w:rPr>
          <w:spacing w:val="-11"/>
        </w:rPr>
        <w:t> </w:t>
      </w:r>
      <w:r>
        <w:rPr/>
        <w:t>basis</w:t>
      </w:r>
      <w:r>
        <w:rPr>
          <w:spacing w:val="-7"/>
        </w:rPr>
        <w:t> </w:t>
      </w:r>
      <w:r>
        <w:rPr/>
        <w:t>by</w:t>
      </w:r>
      <w:r>
        <w:rPr>
          <w:spacing w:val="-7"/>
        </w:rPr>
        <w:t> </w:t>
      </w:r>
      <w:r>
        <w:rPr/>
        <w:t>the</w:t>
      </w:r>
      <w:r>
        <w:rPr>
          <w:spacing w:val="-6"/>
        </w:rPr>
        <w:t> </w:t>
      </w:r>
      <w:r>
        <w:rPr/>
        <w:t>RFCDDG</w:t>
      </w:r>
      <w:r>
        <w:rPr>
          <w:spacing w:val="-8"/>
        </w:rPr>
        <w:t> </w:t>
      </w:r>
      <w:r>
        <w:rPr/>
        <w:t>for</w:t>
      </w:r>
      <w:r>
        <w:rPr>
          <w:spacing w:val="-12"/>
        </w:rPr>
        <w:t> </w:t>
      </w:r>
      <w:r>
        <w:rPr/>
        <w:t>approval</w:t>
      </w:r>
      <w:r>
        <w:rPr>
          <w:spacing w:val="-6"/>
        </w:rPr>
        <w:t> </w:t>
      </w:r>
      <w:r>
        <w:rPr/>
        <w:t>by</w:t>
      </w:r>
      <w:r>
        <w:rPr>
          <w:spacing w:val="-7"/>
        </w:rPr>
        <w:t> </w:t>
      </w:r>
      <w:r>
        <w:rPr/>
        <w:t>the</w:t>
      </w:r>
      <w:r>
        <w:rPr>
          <w:spacing w:val="-4"/>
        </w:rPr>
        <w:t> </w:t>
      </w:r>
      <w:r>
        <w:rPr/>
        <w:t>Regional</w:t>
      </w:r>
      <w:r>
        <w:rPr>
          <w:spacing w:val="-1"/>
        </w:rPr>
        <w:t> </w:t>
      </w:r>
      <w:r>
        <w:rPr/>
        <w:t>Joint</w:t>
      </w:r>
      <w:r>
        <w:rPr>
          <w:spacing w:val="-14"/>
        </w:rPr>
        <w:t> </w:t>
      </w:r>
      <w:r>
        <w:rPr/>
        <w:t>Committee.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0"/>
        <w:rPr>
          <w:sz w:val="20"/>
        </w:rPr>
      </w:pPr>
    </w:p>
    <w:p>
      <w:pPr>
        <w:spacing w:before="0"/>
        <w:ind w:left="4" w:right="284" w:firstLine="0"/>
        <w:jc w:val="center"/>
        <w:rPr>
          <w:sz w:val="20"/>
        </w:rPr>
      </w:pPr>
      <w:r>
        <w:rPr>
          <w:spacing w:val="-10"/>
          <w:sz w:val="20"/>
        </w:rPr>
        <w:t>7</w:t>
      </w:r>
    </w:p>
    <w:p>
      <w:pPr>
        <w:spacing w:after="0"/>
        <w:jc w:val="center"/>
        <w:rPr>
          <w:sz w:val="20"/>
        </w:rPr>
        <w:sectPr>
          <w:pgSz w:w="11910" w:h="16840"/>
          <w:pgMar w:header="0" w:footer="149" w:top="1200" w:bottom="340" w:left="708" w:right="425"/>
        </w:sectPr>
      </w:pPr>
    </w:p>
    <w:p>
      <w:pPr>
        <w:spacing w:line="240" w:lineRule="auto"/>
        <w:ind w:left="143" w:right="0" w:firstLine="0"/>
        <w:rPr>
          <w:sz w:val="20"/>
        </w:rPr>
      </w:pPr>
      <w:r>
        <w:rPr>
          <w:sz w:val="20"/>
        </w:rPr>
        <w:drawing>
          <wp:anchor distT="0" distB="0" distL="0" distR="0" allowOverlap="1" layoutInCell="1" locked="0" behindDoc="1" simplePos="0" relativeHeight="477184512">
            <wp:simplePos x="0" y="0"/>
            <wp:positionH relativeFrom="page">
              <wp:posOffset>5162550</wp:posOffset>
            </wp:positionH>
            <wp:positionV relativeFrom="page">
              <wp:posOffset>628611</wp:posOffset>
            </wp:positionV>
            <wp:extent cx="1887952" cy="511587"/>
            <wp:effectExtent l="0" t="0" r="0" b="0"/>
            <wp:wrapNone/>
            <wp:docPr id="530" name="Image 530" descr="hywel dda"/>
            <wp:cNvGraphicFramePr>
              <a:graphicFrameLocks/>
            </wp:cNvGraphicFramePr>
            <a:graphic>
              <a:graphicData uri="http://schemas.openxmlformats.org/drawingml/2006/picture">
                <pic:pic>
                  <pic:nvPicPr>
                    <pic:cNvPr id="530" name="Image 530" descr="hywel dda"/>
                    <pic:cNvPicPr/>
                  </pic:nvPicPr>
                  <pic:blipFill>
                    <a:blip r:embed="rId73" cstate="print"/>
                    <a:stretch>
                      <a:fillRect/>
                    </a:stretch>
                  </pic:blipFill>
                  <pic:spPr>
                    <a:xfrm>
                      <a:off x="0" y="0"/>
                      <a:ext cx="1887952" cy="511587"/>
                    </a:xfrm>
                    <a:prstGeom prst="rect">
                      <a:avLst/>
                    </a:prstGeom>
                  </pic:spPr>
                </pic:pic>
              </a:graphicData>
            </a:graphic>
          </wp:anchor>
        </w:drawing>
      </w:r>
      <w:r>
        <w:rPr>
          <w:sz w:val="20"/>
        </w:rPr>
        <mc:AlternateContent>
          <mc:Choice Requires="wps">
            <w:drawing>
              <wp:inline distT="0" distB="0" distL="0" distR="0">
                <wp:extent cx="6145530" cy="4390390"/>
                <wp:effectExtent l="0" t="0" r="0" b="635"/>
                <wp:docPr id="531" name="Group 531"/>
                <wp:cNvGraphicFramePr>
                  <a:graphicFrameLocks/>
                </wp:cNvGraphicFramePr>
                <a:graphic>
                  <a:graphicData uri="http://schemas.microsoft.com/office/word/2010/wordprocessingGroup">
                    <wpg:wgp>
                      <wpg:cNvPr id="531" name="Group 531"/>
                      <wpg:cNvGrpSpPr/>
                      <wpg:grpSpPr>
                        <a:xfrm>
                          <a:off x="0" y="0"/>
                          <a:ext cx="6145530" cy="4390390"/>
                          <a:chExt cx="6145530" cy="4390390"/>
                        </a:xfrm>
                      </wpg:grpSpPr>
                      <pic:pic>
                        <pic:nvPicPr>
                          <pic:cNvPr id="532" name="Image 532"/>
                          <pic:cNvPicPr/>
                        </pic:nvPicPr>
                        <pic:blipFill>
                          <a:blip r:embed="rId72" cstate="print"/>
                          <a:stretch>
                            <a:fillRect/>
                          </a:stretch>
                        </pic:blipFill>
                        <pic:spPr>
                          <a:xfrm>
                            <a:off x="0" y="0"/>
                            <a:ext cx="2032635" cy="515531"/>
                          </a:xfrm>
                          <a:prstGeom prst="rect">
                            <a:avLst/>
                          </a:prstGeom>
                        </pic:spPr>
                      </pic:pic>
                      <wps:wsp>
                        <wps:cNvPr id="533" name="Graphic 533"/>
                        <wps:cNvSpPr/>
                        <wps:spPr>
                          <a:xfrm>
                            <a:off x="1842770" y="1787728"/>
                            <a:ext cx="3057525" cy="1044575"/>
                          </a:xfrm>
                          <a:custGeom>
                            <a:avLst/>
                            <a:gdLst/>
                            <a:ahLst/>
                            <a:cxnLst/>
                            <a:rect l="l" t="t" r="r" b="b"/>
                            <a:pathLst>
                              <a:path w="3057525" h="1044575">
                                <a:moveTo>
                                  <a:pt x="0" y="1044409"/>
                                </a:moveTo>
                                <a:lnTo>
                                  <a:pt x="3057524" y="1044409"/>
                                </a:lnTo>
                                <a:lnTo>
                                  <a:pt x="3057524" y="0"/>
                                </a:lnTo>
                                <a:lnTo>
                                  <a:pt x="0" y="0"/>
                                </a:lnTo>
                                <a:lnTo>
                                  <a:pt x="0" y="1044409"/>
                                </a:lnTo>
                                <a:close/>
                              </a:path>
                            </a:pathLst>
                          </a:custGeom>
                          <a:ln w="9525">
                            <a:solidFill>
                              <a:srgbClr val="394871"/>
                            </a:solidFill>
                            <a:prstDash val="solid"/>
                          </a:ln>
                        </wps:spPr>
                        <wps:bodyPr wrap="square" lIns="0" tIns="0" rIns="0" bIns="0" rtlCol="0">
                          <a:prstTxWarp prst="textNoShape">
                            <a:avLst/>
                          </a:prstTxWarp>
                          <a:noAutofit/>
                        </wps:bodyPr>
                      </wps:wsp>
                      <wps:wsp>
                        <wps:cNvPr id="534" name="Graphic 534"/>
                        <wps:cNvSpPr/>
                        <wps:spPr>
                          <a:xfrm>
                            <a:off x="2389505" y="1417865"/>
                            <a:ext cx="2047239" cy="1933575"/>
                          </a:xfrm>
                          <a:custGeom>
                            <a:avLst/>
                            <a:gdLst/>
                            <a:ahLst/>
                            <a:cxnLst/>
                            <a:rect l="l" t="t" r="r" b="b"/>
                            <a:pathLst>
                              <a:path w="2047239" h="1933575">
                                <a:moveTo>
                                  <a:pt x="76200" y="293624"/>
                                </a:moveTo>
                                <a:lnTo>
                                  <a:pt x="42799" y="293624"/>
                                </a:lnTo>
                                <a:lnTo>
                                  <a:pt x="42799" y="0"/>
                                </a:lnTo>
                                <a:lnTo>
                                  <a:pt x="33274" y="0"/>
                                </a:lnTo>
                                <a:lnTo>
                                  <a:pt x="33274" y="293624"/>
                                </a:lnTo>
                                <a:lnTo>
                                  <a:pt x="0" y="293624"/>
                                </a:lnTo>
                                <a:lnTo>
                                  <a:pt x="38100" y="369824"/>
                                </a:lnTo>
                                <a:lnTo>
                                  <a:pt x="69850" y="306324"/>
                                </a:lnTo>
                                <a:lnTo>
                                  <a:pt x="76200" y="293624"/>
                                </a:lnTo>
                                <a:close/>
                              </a:path>
                              <a:path w="2047239" h="1933575">
                                <a:moveTo>
                                  <a:pt x="1060577" y="1856486"/>
                                </a:moveTo>
                                <a:lnTo>
                                  <a:pt x="1027226" y="1856994"/>
                                </a:lnTo>
                                <a:lnTo>
                                  <a:pt x="1020191" y="1388491"/>
                                </a:lnTo>
                                <a:lnTo>
                                  <a:pt x="1010666" y="1388491"/>
                                </a:lnTo>
                                <a:lnTo>
                                  <a:pt x="1017701" y="1856486"/>
                                </a:lnTo>
                                <a:lnTo>
                                  <a:pt x="1017701" y="1857133"/>
                                </a:lnTo>
                                <a:lnTo>
                                  <a:pt x="984377" y="1857629"/>
                                </a:lnTo>
                                <a:lnTo>
                                  <a:pt x="1023620" y="1933321"/>
                                </a:lnTo>
                                <a:lnTo>
                                  <a:pt x="1054150" y="1869821"/>
                                </a:lnTo>
                                <a:lnTo>
                                  <a:pt x="1060577" y="1856486"/>
                                </a:lnTo>
                                <a:close/>
                              </a:path>
                              <a:path w="2047239" h="1933575">
                                <a:moveTo>
                                  <a:pt x="2047240" y="293624"/>
                                </a:moveTo>
                                <a:lnTo>
                                  <a:pt x="2013839" y="293624"/>
                                </a:lnTo>
                                <a:lnTo>
                                  <a:pt x="2013839" y="0"/>
                                </a:lnTo>
                                <a:lnTo>
                                  <a:pt x="2004314" y="0"/>
                                </a:lnTo>
                                <a:lnTo>
                                  <a:pt x="2004314" y="293624"/>
                                </a:lnTo>
                                <a:lnTo>
                                  <a:pt x="1971040" y="293624"/>
                                </a:lnTo>
                                <a:lnTo>
                                  <a:pt x="2009140" y="369824"/>
                                </a:lnTo>
                                <a:lnTo>
                                  <a:pt x="2040890" y="306324"/>
                                </a:lnTo>
                                <a:lnTo>
                                  <a:pt x="2047240" y="293624"/>
                                </a:lnTo>
                                <a:close/>
                              </a:path>
                            </a:pathLst>
                          </a:custGeom>
                          <a:solidFill>
                            <a:srgbClr val="1F487C"/>
                          </a:solidFill>
                        </wps:spPr>
                        <wps:bodyPr wrap="square" lIns="0" tIns="0" rIns="0" bIns="0" rtlCol="0">
                          <a:prstTxWarp prst="textNoShape">
                            <a:avLst/>
                          </a:prstTxWarp>
                          <a:noAutofit/>
                        </wps:bodyPr>
                      </wps:wsp>
                      <wps:wsp>
                        <wps:cNvPr id="535" name="Graphic 535"/>
                        <wps:cNvSpPr/>
                        <wps:spPr>
                          <a:xfrm>
                            <a:off x="1878964" y="3341154"/>
                            <a:ext cx="3057525" cy="1043940"/>
                          </a:xfrm>
                          <a:custGeom>
                            <a:avLst/>
                            <a:gdLst/>
                            <a:ahLst/>
                            <a:cxnLst/>
                            <a:rect l="l" t="t" r="r" b="b"/>
                            <a:pathLst>
                              <a:path w="3057525" h="1043940">
                                <a:moveTo>
                                  <a:pt x="0" y="1043939"/>
                                </a:moveTo>
                                <a:lnTo>
                                  <a:pt x="3057525" y="1043939"/>
                                </a:lnTo>
                                <a:lnTo>
                                  <a:pt x="3057525" y="0"/>
                                </a:lnTo>
                                <a:lnTo>
                                  <a:pt x="0" y="0"/>
                                </a:lnTo>
                                <a:lnTo>
                                  <a:pt x="0" y="1043939"/>
                                </a:lnTo>
                                <a:close/>
                              </a:path>
                            </a:pathLst>
                          </a:custGeom>
                          <a:ln w="9525">
                            <a:solidFill>
                              <a:srgbClr val="394871"/>
                            </a:solidFill>
                            <a:prstDash val="solid"/>
                          </a:ln>
                        </wps:spPr>
                        <wps:bodyPr wrap="square" lIns="0" tIns="0" rIns="0" bIns="0" rtlCol="0">
                          <a:prstTxWarp prst="textNoShape">
                            <a:avLst/>
                          </a:prstTxWarp>
                          <a:noAutofit/>
                        </wps:bodyPr>
                      </wps:wsp>
                      <wps:wsp>
                        <wps:cNvPr id="536" name="Textbox 536"/>
                        <wps:cNvSpPr txBox="1"/>
                        <wps:spPr>
                          <a:xfrm>
                            <a:off x="1874202" y="3336391"/>
                            <a:ext cx="3067050" cy="1053465"/>
                          </a:xfrm>
                          <a:prstGeom prst="rect">
                            <a:avLst/>
                          </a:prstGeom>
                          <a:solidFill>
                            <a:srgbClr val="394871"/>
                          </a:solidFill>
                        </wps:spPr>
                        <wps:txbx>
                          <w:txbxContent>
                            <w:p>
                              <w:pPr>
                                <w:spacing w:line="240" w:lineRule="auto" w:before="0"/>
                                <w:rPr>
                                  <w:color w:val="000000"/>
                                  <w:sz w:val="24"/>
                                </w:rPr>
                              </w:pPr>
                            </w:p>
                            <w:p>
                              <w:pPr>
                                <w:spacing w:line="240" w:lineRule="auto" w:before="139"/>
                                <w:rPr>
                                  <w:color w:val="000000"/>
                                  <w:sz w:val="24"/>
                                </w:rPr>
                              </w:pPr>
                            </w:p>
                            <w:p>
                              <w:pPr>
                                <w:spacing w:before="1"/>
                                <w:ind w:left="394" w:right="0" w:firstLine="0"/>
                                <w:jc w:val="left"/>
                                <w:rPr>
                                  <w:b/>
                                  <w:color w:val="000000"/>
                                  <w:sz w:val="24"/>
                                </w:rPr>
                              </w:pPr>
                              <w:bookmarkStart w:name="RJC 41e Draft Regional Worforce and OD S" w:id="67"/>
                              <w:bookmarkEnd w:id="67"/>
                              <w:r>
                                <w:rPr>
                                  <w:color w:val="000000"/>
                                </w:rPr>
                              </w:r>
                              <w:r>
                                <w:rPr>
                                  <w:b/>
                                  <w:color w:val="FFFFFF"/>
                                  <w:spacing w:val="-2"/>
                                  <w:sz w:val="24"/>
                                </w:rPr>
                                <w:t>Regional</w:t>
                              </w:r>
                              <w:r>
                                <w:rPr>
                                  <w:b/>
                                  <w:color w:val="FFFFFF"/>
                                  <w:spacing w:val="-15"/>
                                  <w:sz w:val="24"/>
                                </w:rPr>
                                <w:t> </w:t>
                              </w:r>
                              <w:r>
                                <w:rPr>
                                  <w:b/>
                                  <w:color w:val="FFFFFF"/>
                                  <w:spacing w:val="-2"/>
                                  <w:sz w:val="24"/>
                                </w:rPr>
                                <w:t>Workforce</w:t>
                              </w:r>
                              <w:r>
                                <w:rPr>
                                  <w:b/>
                                  <w:color w:val="FFFFFF"/>
                                  <w:spacing w:val="-15"/>
                                  <w:sz w:val="24"/>
                                </w:rPr>
                                <w:t> </w:t>
                              </w:r>
                              <w:r>
                                <w:rPr>
                                  <w:b/>
                                  <w:color w:val="FFFFFF"/>
                                  <w:spacing w:val="-2"/>
                                  <w:sz w:val="24"/>
                                </w:rPr>
                                <w:t>&amp;</w:t>
                              </w:r>
                              <w:r>
                                <w:rPr>
                                  <w:b/>
                                  <w:color w:val="FFFFFF"/>
                                  <w:spacing w:val="-6"/>
                                  <w:sz w:val="24"/>
                                </w:rPr>
                                <w:t> </w:t>
                              </w:r>
                              <w:r>
                                <w:rPr>
                                  <w:b/>
                                  <w:color w:val="FFFFFF"/>
                                  <w:spacing w:val="-2"/>
                                  <w:sz w:val="24"/>
                                </w:rPr>
                                <w:t>OD</w:t>
                              </w:r>
                              <w:r>
                                <w:rPr>
                                  <w:b/>
                                  <w:color w:val="FFFFFF"/>
                                  <w:spacing w:val="-9"/>
                                  <w:sz w:val="24"/>
                                </w:rPr>
                                <w:t> </w:t>
                              </w:r>
                              <w:r>
                                <w:rPr>
                                  <w:b/>
                                  <w:color w:val="FFFFFF"/>
                                  <w:spacing w:val="-2"/>
                                  <w:sz w:val="24"/>
                                </w:rPr>
                                <w:t>Subgroup</w:t>
                              </w:r>
                            </w:p>
                          </w:txbxContent>
                        </wps:txbx>
                        <wps:bodyPr wrap="square" lIns="0" tIns="0" rIns="0" bIns="0" rtlCol="0">
                          <a:noAutofit/>
                        </wps:bodyPr>
                      </wps:wsp>
                      <wps:wsp>
                        <wps:cNvPr id="537" name="Textbox 537"/>
                        <wps:cNvSpPr txBox="1"/>
                        <wps:spPr>
                          <a:xfrm>
                            <a:off x="1838007" y="1782965"/>
                            <a:ext cx="3067050" cy="1054100"/>
                          </a:xfrm>
                          <a:prstGeom prst="rect">
                            <a:avLst/>
                          </a:prstGeom>
                          <a:solidFill>
                            <a:srgbClr val="394871"/>
                          </a:solidFill>
                        </wps:spPr>
                        <wps:txbx>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wps:txbx>
                        <wps:bodyPr wrap="square" lIns="0" tIns="0" rIns="0" bIns="0" rtlCol="0">
                          <a:noAutofit/>
                        </wps:bodyPr>
                      </wps:wsp>
                      <wps:wsp>
                        <wps:cNvPr id="538" name="Textbox 538"/>
                        <wps:cNvSpPr txBox="1"/>
                        <wps:spPr>
                          <a:xfrm>
                            <a:off x="3677284" y="536651"/>
                            <a:ext cx="24587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s:wsp>
                        <wps:cNvPr id="539" name="Textbox 539"/>
                        <wps:cNvSpPr txBox="1"/>
                        <wps:spPr>
                          <a:xfrm>
                            <a:off x="639444" y="542747"/>
                            <a:ext cx="24079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g:wgp>
                  </a:graphicData>
                </a:graphic>
              </wp:inline>
            </w:drawing>
          </mc:Choice>
          <mc:Fallback>
            <w:pict>
              <v:group style="width:483.9pt;height:345.7pt;mso-position-horizontal-relative:char;mso-position-vertical-relative:line" id="docshapegroup308" coordorigin="0,0" coordsize="9678,6914">
                <v:shape style="position:absolute;left:0;top:0;width:3201;height:812" type="#_x0000_t75" id="docshape309" stroked="false">
                  <v:imagedata r:id="rId72" o:title=""/>
                </v:shape>
                <v:rect style="position:absolute;left:2902;top:2815;width:4815;height:1645" id="docshape310" filled="false" stroked="true" strokeweight=".75pt" strokecolor="#394871">
                  <v:stroke dashstyle="solid"/>
                </v:rect>
                <v:shape style="position:absolute;left:3763;top:2232;width:3224;height:3045" id="docshape311" coordorigin="3763,2233" coordsize="3224,3045" path="m3883,2695l3830,2695,3830,2233,3815,2233,3815,2695,3763,2695,3823,2815,3873,2715,3883,2695xm5433,5156l5381,5157,5370,4419,5355,4419,5366,5156,5366,5157,5313,5158,5375,5277,5423,5177,5433,5156xm6987,2695l6934,2695,6934,2233,6919,2233,6919,2695,6867,2695,6927,2815,6977,2715,6987,2695xe" filled="true" fillcolor="#1f487c" stroked="false">
                  <v:path arrowok="t"/>
                  <v:fill type="solid"/>
                </v:shape>
                <v:rect style="position:absolute;left:2959;top:5261;width:4815;height:1644" id="docshape312" filled="false" stroked="true" strokeweight=".75pt" strokecolor="#394871">
                  <v:stroke dashstyle="solid"/>
                </v:rect>
                <v:shape style="position:absolute;left:2951;top:5254;width:4830;height:1659" type="#_x0000_t202" id="docshape313" filled="true" fillcolor="#394871" stroked="false">
                  <v:textbox inset="0,0,0,0">
                    <w:txbxContent>
                      <w:p>
                        <w:pPr>
                          <w:spacing w:line="240" w:lineRule="auto" w:before="0"/>
                          <w:rPr>
                            <w:color w:val="000000"/>
                            <w:sz w:val="24"/>
                          </w:rPr>
                        </w:pPr>
                      </w:p>
                      <w:p>
                        <w:pPr>
                          <w:spacing w:line="240" w:lineRule="auto" w:before="139"/>
                          <w:rPr>
                            <w:color w:val="000000"/>
                            <w:sz w:val="24"/>
                          </w:rPr>
                        </w:pPr>
                      </w:p>
                      <w:p>
                        <w:pPr>
                          <w:spacing w:before="1"/>
                          <w:ind w:left="394" w:right="0" w:firstLine="0"/>
                          <w:jc w:val="left"/>
                          <w:rPr>
                            <w:b/>
                            <w:color w:val="000000"/>
                            <w:sz w:val="24"/>
                          </w:rPr>
                        </w:pPr>
                        <w:bookmarkStart w:name="RJC 41e Draft Regional Worforce and OD S" w:id="68"/>
                        <w:bookmarkEnd w:id="68"/>
                        <w:r>
                          <w:rPr>
                            <w:color w:val="000000"/>
                          </w:rPr>
                        </w:r>
                        <w:r>
                          <w:rPr>
                            <w:b/>
                            <w:color w:val="FFFFFF"/>
                            <w:spacing w:val="-2"/>
                            <w:sz w:val="24"/>
                          </w:rPr>
                          <w:t>Regional</w:t>
                        </w:r>
                        <w:r>
                          <w:rPr>
                            <w:b/>
                            <w:color w:val="FFFFFF"/>
                            <w:spacing w:val="-15"/>
                            <w:sz w:val="24"/>
                          </w:rPr>
                          <w:t> </w:t>
                        </w:r>
                        <w:r>
                          <w:rPr>
                            <w:b/>
                            <w:color w:val="FFFFFF"/>
                            <w:spacing w:val="-2"/>
                            <w:sz w:val="24"/>
                          </w:rPr>
                          <w:t>Workforce</w:t>
                        </w:r>
                        <w:r>
                          <w:rPr>
                            <w:b/>
                            <w:color w:val="FFFFFF"/>
                            <w:spacing w:val="-15"/>
                            <w:sz w:val="24"/>
                          </w:rPr>
                          <w:t> </w:t>
                        </w:r>
                        <w:r>
                          <w:rPr>
                            <w:b/>
                            <w:color w:val="FFFFFF"/>
                            <w:spacing w:val="-2"/>
                            <w:sz w:val="24"/>
                          </w:rPr>
                          <w:t>&amp;</w:t>
                        </w:r>
                        <w:r>
                          <w:rPr>
                            <w:b/>
                            <w:color w:val="FFFFFF"/>
                            <w:spacing w:val="-6"/>
                            <w:sz w:val="24"/>
                          </w:rPr>
                          <w:t> </w:t>
                        </w:r>
                        <w:r>
                          <w:rPr>
                            <w:b/>
                            <w:color w:val="FFFFFF"/>
                            <w:spacing w:val="-2"/>
                            <w:sz w:val="24"/>
                          </w:rPr>
                          <w:t>OD</w:t>
                        </w:r>
                        <w:r>
                          <w:rPr>
                            <w:b/>
                            <w:color w:val="FFFFFF"/>
                            <w:spacing w:val="-9"/>
                            <w:sz w:val="24"/>
                          </w:rPr>
                          <w:t> </w:t>
                        </w:r>
                        <w:r>
                          <w:rPr>
                            <w:b/>
                            <w:color w:val="FFFFFF"/>
                            <w:spacing w:val="-2"/>
                            <w:sz w:val="24"/>
                          </w:rPr>
                          <w:t>Subgroup</w:t>
                        </w:r>
                      </w:p>
                    </w:txbxContent>
                  </v:textbox>
                  <v:fill type="solid"/>
                  <w10:wrap type="none"/>
                </v:shape>
                <v:shape style="position:absolute;left:2894;top:2807;width:4830;height:1660" type="#_x0000_t202" id="docshape314" filled="true" fillcolor="#394871" stroked="false">
                  <v:textbox inset="0,0,0,0">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v:textbox>
                  <v:fill type="solid"/>
                  <w10:wrap type="none"/>
                </v:shape>
                <v:shape style="position:absolute;left:5791;top:845;width:3872;height:1388" type="#_x0000_t202" id="docshape315" filled="true" fillcolor="#c1a875" stroked="true" strokeweight="1.5pt" strokecolor="#394871">
                  <v:textbox inset="0,0,0,0">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shape style="position:absolute;left:1007;top:854;width:3792;height:1388" type="#_x0000_t202" id="docshape316" filled="true" fillcolor="#c1a875" stroked="true" strokeweight="1.5pt" strokecolor="#394871">
                  <v:textbox inset="0,0,0,0">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group>
            </w:pict>
          </mc:Fallback>
        </mc:AlternateContent>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9"/>
        <w:rPr>
          <w:sz w:val="20"/>
        </w:rPr>
      </w:pPr>
      <w:r>
        <w:rPr>
          <w:sz w:val="20"/>
        </w:rPr>
        <mc:AlternateContent>
          <mc:Choice Requires="wps">
            <w:drawing>
              <wp:anchor distT="0" distB="0" distL="0" distR="0" allowOverlap="1" layoutInCell="1" locked="0" behindDoc="1" simplePos="0" relativeHeight="487689216">
                <wp:simplePos x="0" y="0"/>
                <wp:positionH relativeFrom="page">
                  <wp:posOffset>559117</wp:posOffset>
                </wp:positionH>
                <wp:positionV relativeFrom="paragraph">
                  <wp:posOffset>230616</wp:posOffset>
                </wp:positionV>
                <wp:extent cx="6445250" cy="358775"/>
                <wp:effectExtent l="0" t="0" r="0" b="0"/>
                <wp:wrapTopAndBottom/>
                <wp:docPr id="540" name="Textbox 540"/>
                <wp:cNvGraphicFramePr>
                  <a:graphicFrameLocks/>
                </wp:cNvGraphicFramePr>
                <a:graphic>
                  <a:graphicData uri="http://schemas.microsoft.com/office/word/2010/wordprocessingShape">
                    <wps:wsp>
                      <wps:cNvPr id="540" name="Textbox 540"/>
                      <wps:cNvSpPr txBox="1"/>
                      <wps:spPr>
                        <a:xfrm>
                          <a:off x="0" y="0"/>
                          <a:ext cx="6445250" cy="358775"/>
                        </a:xfrm>
                        <a:prstGeom prst="rect">
                          <a:avLst/>
                        </a:prstGeom>
                        <a:solidFill>
                          <a:srgbClr val="C1A875"/>
                        </a:solidFill>
                        <a:ln w="38100">
                          <a:solidFill>
                            <a:srgbClr val="394871"/>
                          </a:solidFill>
                          <a:prstDash val="solid"/>
                        </a:ln>
                      </wps:spPr>
                      <wps:txbx>
                        <w:txbxContent>
                          <w:p>
                            <w:pPr>
                              <w:spacing w:before="110"/>
                              <w:ind w:left="4" w:right="5" w:firstLine="0"/>
                              <w:jc w:val="center"/>
                              <w:rPr>
                                <w:b/>
                                <w:color w:val="000000"/>
                                <w:sz w:val="24"/>
                              </w:rPr>
                            </w:pPr>
                            <w:r>
                              <w:rPr>
                                <w:b/>
                                <w:color w:val="000000"/>
                                <w:sz w:val="24"/>
                              </w:rPr>
                              <w:t>REGIONAL</w:t>
                            </w:r>
                            <w:r>
                              <w:rPr>
                                <w:b/>
                                <w:color w:val="000000"/>
                                <w:spacing w:val="-4"/>
                                <w:sz w:val="24"/>
                              </w:rPr>
                              <w:t> </w:t>
                            </w:r>
                            <w:r>
                              <w:rPr>
                                <w:b/>
                                <w:color w:val="000000"/>
                                <w:sz w:val="24"/>
                              </w:rPr>
                              <w:t>WORKFORCE</w:t>
                            </w:r>
                            <w:r>
                              <w:rPr>
                                <w:b/>
                                <w:color w:val="000000"/>
                                <w:spacing w:val="-3"/>
                                <w:sz w:val="24"/>
                              </w:rPr>
                              <w:t> </w:t>
                            </w:r>
                            <w:r>
                              <w:rPr>
                                <w:b/>
                                <w:color w:val="000000"/>
                                <w:sz w:val="24"/>
                              </w:rPr>
                              <w:t>&amp;</w:t>
                            </w:r>
                            <w:r>
                              <w:rPr>
                                <w:b/>
                                <w:color w:val="000000"/>
                                <w:spacing w:val="-2"/>
                                <w:sz w:val="24"/>
                              </w:rPr>
                              <w:t> </w:t>
                            </w:r>
                            <w:r>
                              <w:rPr>
                                <w:b/>
                                <w:color w:val="000000"/>
                                <w:sz w:val="24"/>
                              </w:rPr>
                              <w:t>OD</w:t>
                            </w:r>
                            <w:r>
                              <w:rPr>
                                <w:b/>
                                <w:color w:val="000000"/>
                                <w:spacing w:val="1"/>
                                <w:sz w:val="24"/>
                              </w:rPr>
                              <w:t> </w:t>
                            </w:r>
                            <w:r>
                              <w:rPr>
                                <w:b/>
                                <w:color w:val="000000"/>
                                <w:spacing w:val="-2"/>
                                <w:sz w:val="24"/>
                              </w:rPr>
                              <w:t>SUBGROUP</w:t>
                            </w:r>
                          </w:p>
                        </w:txbxContent>
                      </wps:txbx>
                      <wps:bodyPr wrap="square" lIns="0" tIns="0" rIns="0" bIns="0" rtlCol="0">
                        <a:noAutofit/>
                      </wps:bodyPr>
                    </wps:wsp>
                  </a:graphicData>
                </a:graphic>
              </wp:anchor>
            </w:drawing>
          </mc:Choice>
          <mc:Fallback>
            <w:pict>
              <v:shape style="position:absolute;margin-left:44.025002pt;margin-top:18.158789pt;width:507.5pt;height:28.25pt;mso-position-horizontal-relative:page;mso-position-vertical-relative:paragraph;z-index:-15627264;mso-wrap-distance-left:0;mso-wrap-distance-right:0" type="#_x0000_t202" id="docshape317" filled="true" fillcolor="#c1a875" stroked="true" strokeweight="3pt" strokecolor="#394871">
                <v:textbox inset="0,0,0,0">
                  <w:txbxContent>
                    <w:p>
                      <w:pPr>
                        <w:spacing w:before="110"/>
                        <w:ind w:left="4" w:right="5" w:firstLine="0"/>
                        <w:jc w:val="center"/>
                        <w:rPr>
                          <w:b/>
                          <w:color w:val="000000"/>
                          <w:sz w:val="24"/>
                        </w:rPr>
                      </w:pPr>
                      <w:r>
                        <w:rPr>
                          <w:b/>
                          <w:color w:val="000000"/>
                          <w:sz w:val="24"/>
                        </w:rPr>
                        <w:t>REGIONAL</w:t>
                      </w:r>
                      <w:r>
                        <w:rPr>
                          <w:b/>
                          <w:color w:val="000000"/>
                          <w:spacing w:val="-4"/>
                          <w:sz w:val="24"/>
                        </w:rPr>
                        <w:t> </w:t>
                      </w:r>
                      <w:r>
                        <w:rPr>
                          <w:b/>
                          <w:color w:val="000000"/>
                          <w:sz w:val="24"/>
                        </w:rPr>
                        <w:t>WORKFORCE</w:t>
                      </w:r>
                      <w:r>
                        <w:rPr>
                          <w:b/>
                          <w:color w:val="000000"/>
                          <w:spacing w:val="-3"/>
                          <w:sz w:val="24"/>
                        </w:rPr>
                        <w:t> </w:t>
                      </w:r>
                      <w:r>
                        <w:rPr>
                          <w:b/>
                          <w:color w:val="000000"/>
                          <w:sz w:val="24"/>
                        </w:rPr>
                        <w:t>&amp;</w:t>
                      </w:r>
                      <w:r>
                        <w:rPr>
                          <w:b/>
                          <w:color w:val="000000"/>
                          <w:spacing w:val="-2"/>
                          <w:sz w:val="24"/>
                        </w:rPr>
                        <w:t> </w:t>
                      </w:r>
                      <w:r>
                        <w:rPr>
                          <w:b/>
                          <w:color w:val="000000"/>
                          <w:sz w:val="24"/>
                        </w:rPr>
                        <w:t>OD</w:t>
                      </w:r>
                      <w:r>
                        <w:rPr>
                          <w:b/>
                          <w:color w:val="000000"/>
                          <w:spacing w:val="1"/>
                          <w:sz w:val="24"/>
                        </w:rPr>
                        <w:t> </w:t>
                      </w:r>
                      <w:r>
                        <w:rPr>
                          <w:b/>
                          <w:color w:val="000000"/>
                          <w:spacing w:val="-2"/>
                          <w:sz w:val="24"/>
                        </w:rPr>
                        <w:t>SUBGROUP</w:t>
                      </w:r>
                    </w:p>
                  </w:txbxContent>
                </v:textbox>
                <v:fill type="solid"/>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89728">
                <wp:simplePos x="0" y="0"/>
                <wp:positionH relativeFrom="page">
                  <wp:posOffset>554355</wp:posOffset>
                </wp:positionH>
                <wp:positionV relativeFrom="paragraph">
                  <wp:posOffset>784908</wp:posOffset>
                </wp:positionV>
                <wp:extent cx="6454775" cy="349250"/>
                <wp:effectExtent l="0" t="0" r="0" b="0"/>
                <wp:wrapTopAndBottom/>
                <wp:docPr id="541" name="Textbox 541"/>
                <wp:cNvGraphicFramePr>
                  <a:graphicFrameLocks/>
                </wp:cNvGraphicFramePr>
                <a:graphic>
                  <a:graphicData uri="http://schemas.microsoft.com/office/word/2010/wordprocessingShape">
                    <wps:wsp>
                      <wps:cNvPr id="541" name="Textbox 541"/>
                      <wps:cNvSpPr txBox="1"/>
                      <wps:spPr>
                        <a:xfrm>
                          <a:off x="0" y="0"/>
                          <a:ext cx="6454775" cy="349250"/>
                        </a:xfrm>
                        <a:prstGeom prst="rect">
                          <a:avLst/>
                        </a:prstGeom>
                        <a:solidFill>
                          <a:srgbClr val="394871"/>
                        </a:solidFill>
                        <a:ln w="28575">
                          <a:solidFill>
                            <a:srgbClr val="C1A875"/>
                          </a:solidFill>
                          <a:prstDash val="solid"/>
                        </a:ln>
                      </wps:spPr>
                      <wps:txbx>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wps:txbx>
                      <wps:bodyPr wrap="square" lIns="0" tIns="0" rIns="0" bIns="0" rtlCol="0">
                        <a:noAutofit/>
                      </wps:bodyPr>
                    </wps:wsp>
                  </a:graphicData>
                </a:graphic>
              </wp:anchor>
            </w:drawing>
          </mc:Choice>
          <mc:Fallback>
            <w:pict>
              <v:shape style="position:absolute;margin-left:43.650002pt;margin-top:61.803787pt;width:508.25pt;height:27.5pt;mso-position-horizontal-relative:page;mso-position-vertical-relative:paragraph;z-index:-15626752;mso-wrap-distance-left:0;mso-wrap-distance-right:0" type="#_x0000_t202" id="docshape318" filled="true" fillcolor="#394871" stroked="true" strokeweight="2.25pt" strokecolor="#c1a875">
                <v:textbox inset="0,0,0,0">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v:textbox>
                <v:fill type="solid"/>
                <v:stroke dashstyle="solid"/>
                <w10:wrap type="topAndBottom"/>
              </v:shape>
            </w:pict>
          </mc:Fallback>
        </mc:AlternateContent>
      </w:r>
    </w:p>
    <w:p>
      <w:pPr>
        <w:pStyle w:val="BodyText"/>
        <w:spacing w:before="30"/>
        <w:rPr>
          <w:sz w:val="20"/>
        </w:rPr>
      </w:pPr>
    </w:p>
    <w:p>
      <w:pPr>
        <w:pStyle w:val="BodyText"/>
        <w:spacing w:before="22"/>
        <w:rPr>
          <w:sz w:val="20"/>
        </w:rPr>
      </w:pPr>
    </w:p>
    <w:tbl>
      <w:tblPr>
        <w:tblW w:w="0" w:type="auto"/>
        <w:jc w:val="left"/>
        <w:tblInd w:w="147" w:type="dxa"/>
        <w:tblBorders>
          <w:top w:val="single" w:sz="2" w:space="0" w:color="394871"/>
          <w:left w:val="single" w:sz="2" w:space="0" w:color="394871"/>
          <w:bottom w:val="single" w:sz="2" w:space="0" w:color="394871"/>
          <w:right w:val="single" w:sz="2" w:space="0" w:color="394871"/>
          <w:insideH w:val="single" w:sz="2" w:space="0" w:color="394871"/>
          <w:insideV w:val="single" w:sz="2" w:space="0" w:color="394871"/>
        </w:tblBorders>
        <w:tblLayout w:type="fixed"/>
        <w:tblCellMar>
          <w:top w:w="0" w:type="dxa"/>
          <w:left w:w="0" w:type="dxa"/>
          <w:bottom w:w="0" w:type="dxa"/>
          <w:right w:w="0" w:type="dxa"/>
        </w:tblCellMar>
        <w:tblLook w:val="01E0"/>
      </w:tblPr>
      <w:tblGrid>
        <w:gridCol w:w="1401"/>
        <w:gridCol w:w="2652"/>
        <w:gridCol w:w="1557"/>
        <w:gridCol w:w="4598"/>
      </w:tblGrid>
      <w:tr>
        <w:trPr>
          <w:trHeight w:val="300" w:hRule="atLeast"/>
        </w:trPr>
        <w:tc>
          <w:tcPr>
            <w:tcW w:w="1401" w:type="dxa"/>
            <w:shd w:val="clear" w:color="auto" w:fill="C1A875"/>
          </w:tcPr>
          <w:p>
            <w:pPr>
              <w:pStyle w:val="TableParagraph"/>
              <w:spacing w:line="265" w:lineRule="exact" w:before="15"/>
              <w:jc w:val="center"/>
              <w:rPr>
                <w:b/>
                <w:sz w:val="24"/>
              </w:rPr>
            </w:pPr>
            <w:r>
              <w:rPr>
                <w:b/>
                <w:spacing w:val="-2"/>
                <w:sz w:val="24"/>
              </w:rPr>
              <w:t>Version</w:t>
            </w:r>
          </w:p>
        </w:tc>
        <w:tc>
          <w:tcPr>
            <w:tcW w:w="2652" w:type="dxa"/>
            <w:shd w:val="clear" w:color="auto" w:fill="C1A875"/>
          </w:tcPr>
          <w:p>
            <w:pPr>
              <w:pStyle w:val="TableParagraph"/>
              <w:spacing w:line="265" w:lineRule="exact" w:before="15"/>
              <w:ind w:left="767"/>
              <w:rPr>
                <w:b/>
                <w:sz w:val="24"/>
              </w:rPr>
            </w:pPr>
            <w:r>
              <w:rPr>
                <w:b/>
                <w:sz w:val="24"/>
              </w:rPr>
              <w:t>Issued</w:t>
            </w:r>
            <w:r>
              <w:rPr>
                <w:b/>
                <w:spacing w:val="-5"/>
                <w:sz w:val="24"/>
              </w:rPr>
              <w:t> To</w:t>
            </w:r>
          </w:p>
        </w:tc>
        <w:tc>
          <w:tcPr>
            <w:tcW w:w="1557" w:type="dxa"/>
            <w:shd w:val="clear" w:color="auto" w:fill="C1A875"/>
          </w:tcPr>
          <w:p>
            <w:pPr>
              <w:pStyle w:val="TableParagraph"/>
              <w:spacing w:line="265" w:lineRule="exact" w:before="15"/>
              <w:ind w:left="4"/>
              <w:jc w:val="center"/>
              <w:rPr>
                <w:b/>
                <w:sz w:val="24"/>
              </w:rPr>
            </w:pPr>
            <w:r>
              <w:rPr>
                <w:b/>
                <w:spacing w:val="-4"/>
                <w:sz w:val="24"/>
              </w:rPr>
              <w:t>Date</w:t>
            </w:r>
          </w:p>
        </w:tc>
        <w:tc>
          <w:tcPr>
            <w:tcW w:w="4598" w:type="dxa"/>
            <w:shd w:val="clear" w:color="auto" w:fill="C1A875"/>
          </w:tcPr>
          <w:p>
            <w:pPr>
              <w:pStyle w:val="TableParagraph"/>
              <w:spacing w:line="265" w:lineRule="exact" w:before="15"/>
              <w:ind w:left="3" w:right="3"/>
              <w:jc w:val="center"/>
              <w:rPr>
                <w:b/>
                <w:sz w:val="24"/>
              </w:rPr>
            </w:pPr>
            <w:r>
              <w:rPr>
                <w:b/>
                <w:spacing w:val="-2"/>
                <w:sz w:val="24"/>
              </w:rPr>
              <w:t>Comments</w:t>
            </w:r>
          </w:p>
        </w:tc>
      </w:tr>
      <w:tr>
        <w:trPr>
          <w:trHeight w:val="595" w:hRule="atLeast"/>
        </w:trPr>
        <w:tc>
          <w:tcPr>
            <w:tcW w:w="1401" w:type="dxa"/>
            <w:shd w:val="clear" w:color="auto" w:fill="C1A875"/>
          </w:tcPr>
          <w:p>
            <w:pPr>
              <w:pStyle w:val="TableParagraph"/>
              <w:spacing w:before="160"/>
              <w:jc w:val="center"/>
              <w:rPr>
                <w:sz w:val="24"/>
              </w:rPr>
            </w:pPr>
            <w:r>
              <w:rPr>
                <w:spacing w:val="-5"/>
                <w:sz w:val="24"/>
              </w:rPr>
              <w:t>V.1</w:t>
            </w:r>
          </w:p>
        </w:tc>
        <w:tc>
          <w:tcPr>
            <w:tcW w:w="2652" w:type="dxa"/>
          </w:tcPr>
          <w:p>
            <w:pPr>
              <w:pStyle w:val="TableParagraph"/>
              <w:spacing w:before="5"/>
              <w:ind w:left="107"/>
              <w:rPr>
                <w:sz w:val="24"/>
              </w:rPr>
            </w:pPr>
            <w:r>
              <w:rPr>
                <w:sz w:val="24"/>
              </w:rPr>
              <w:t>Executive</w:t>
            </w:r>
            <w:r>
              <w:rPr>
                <w:spacing w:val="-4"/>
                <w:sz w:val="24"/>
              </w:rPr>
              <w:t> </w:t>
            </w:r>
            <w:r>
              <w:rPr>
                <w:spacing w:val="-2"/>
                <w:sz w:val="24"/>
              </w:rPr>
              <w:t>Director(s)</w:t>
            </w:r>
          </w:p>
          <w:p>
            <w:pPr>
              <w:pStyle w:val="TableParagraph"/>
              <w:spacing w:line="270" w:lineRule="exact" w:before="24"/>
              <w:ind w:left="107"/>
              <w:rPr>
                <w:sz w:val="24"/>
              </w:rPr>
            </w:pPr>
            <w:r>
              <w:rPr>
                <w:sz w:val="24"/>
              </w:rPr>
              <w:t>of</w:t>
            </w:r>
            <w:r>
              <w:rPr>
                <w:spacing w:val="-5"/>
                <w:sz w:val="24"/>
              </w:rPr>
              <w:t> </w:t>
            </w:r>
            <w:r>
              <w:rPr>
                <w:sz w:val="24"/>
              </w:rPr>
              <w:t>Workforce</w:t>
            </w:r>
            <w:r>
              <w:rPr>
                <w:spacing w:val="-2"/>
                <w:sz w:val="24"/>
              </w:rPr>
              <w:t> </w:t>
            </w:r>
            <w:r>
              <w:rPr>
                <w:sz w:val="24"/>
              </w:rPr>
              <w:t>&amp;</w:t>
            </w:r>
            <w:r>
              <w:rPr>
                <w:spacing w:val="-3"/>
                <w:sz w:val="24"/>
              </w:rPr>
              <w:t> </w:t>
            </w:r>
            <w:r>
              <w:rPr>
                <w:spacing w:val="-5"/>
                <w:sz w:val="24"/>
              </w:rPr>
              <w:t>OD</w:t>
            </w:r>
          </w:p>
        </w:tc>
        <w:tc>
          <w:tcPr>
            <w:tcW w:w="1557" w:type="dxa"/>
          </w:tcPr>
          <w:p>
            <w:pPr>
              <w:pStyle w:val="TableParagraph"/>
              <w:spacing w:before="5"/>
              <w:ind w:left="4" w:right="1"/>
              <w:jc w:val="center"/>
              <w:rPr>
                <w:sz w:val="24"/>
              </w:rPr>
            </w:pPr>
            <w:r>
              <w:rPr>
                <w:spacing w:val="-2"/>
                <w:sz w:val="24"/>
              </w:rPr>
              <w:t>17/09/2026</w:t>
            </w:r>
          </w:p>
        </w:tc>
        <w:tc>
          <w:tcPr>
            <w:tcW w:w="4598" w:type="dxa"/>
          </w:tcPr>
          <w:p>
            <w:pPr>
              <w:pStyle w:val="TableParagraph"/>
              <w:spacing w:before="5"/>
              <w:ind w:left="5" w:right="2"/>
              <w:jc w:val="center"/>
              <w:rPr>
                <w:sz w:val="24"/>
              </w:rPr>
            </w:pPr>
            <w:r>
              <w:rPr>
                <w:sz w:val="24"/>
              </w:rPr>
              <w:t>For</w:t>
            </w:r>
            <w:r>
              <w:rPr>
                <w:spacing w:val="-3"/>
                <w:sz w:val="24"/>
              </w:rPr>
              <w:t> </w:t>
            </w:r>
            <w:r>
              <w:rPr>
                <w:spacing w:val="-2"/>
                <w:sz w:val="24"/>
              </w:rPr>
              <w:t>Agreement</w:t>
            </w:r>
          </w:p>
        </w:tc>
      </w:tr>
      <w:tr>
        <w:trPr>
          <w:trHeight w:val="595" w:hRule="atLeast"/>
        </w:trPr>
        <w:tc>
          <w:tcPr>
            <w:tcW w:w="1401" w:type="dxa"/>
            <w:shd w:val="clear" w:color="auto" w:fill="C1A875"/>
          </w:tcPr>
          <w:p>
            <w:pPr>
              <w:pStyle w:val="TableParagraph"/>
              <w:spacing w:before="160"/>
              <w:jc w:val="center"/>
              <w:rPr>
                <w:sz w:val="24"/>
              </w:rPr>
            </w:pPr>
            <w:r>
              <w:rPr>
                <w:spacing w:val="-5"/>
                <w:sz w:val="24"/>
              </w:rPr>
              <w:t>V.2</w:t>
            </w:r>
          </w:p>
        </w:tc>
        <w:tc>
          <w:tcPr>
            <w:tcW w:w="2652" w:type="dxa"/>
          </w:tcPr>
          <w:p>
            <w:pPr>
              <w:pStyle w:val="TableParagraph"/>
              <w:spacing w:before="5"/>
              <w:ind w:left="107"/>
              <w:rPr>
                <w:sz w:val="24"/>
              </w:rPr>
            </w:pPr>
            <w:r>
              <w:rPr>
                <w:sz w:val="24"/>
              </w:rPr>
              <w:t>Regional</w:t>
            </w:r>
            <w:r>
              <w:rPr>
                <w:spacing w:val="-4"/>
                <w:sz w:val="24"/>
              </w:rPr>
              <w:t> </w:t>
            </w:r>
            <w:r>
              <w:rPr>
                <w:spacing w:val="-2"/>
                <w:sz w:val="24"/>
              </w:rPr>
              <w:t>Joint</w:t>
            </w:r>
          </w:p>
          <w:p>
            <w:pPr>
              <w:pStyle w:val="TableParagraph"/>
              <w:spacing w:line="270" w:lineRule="exact" w:before="24"/>
              <w:ind w:left="107"/>
              <w:rPr>
                <w:sz w:val="24"/>
              </w:rPr>
            </w:pPr>
            <w:r>
              <w:rPr>
                <w:spacing w:val="-2"/>
                <w:sz w:val="24"/>
              </w:rPr>
              <w:t>Committee</w:t>
            </w:r>
          </w:p>
        </w:tc>
        <w:tc>
          <w:tcPr>
            <w:tcW w:w="1557" w:type="dxa"/>
          </w:tcPr>
          <w:p>
            <w:pPr>
              <w:pStyle w:val="TableParagraph"/>
              <w:spacing w:before="5"/>
              <w:ind w:left="4" w:right="2"/>
              <w:jc w:val="center"/>
              <w:rPr>
                <w:sz w:val="24"/>
              </w:rPr>
            </w:pPr>
            <w:r>
              <w:rPr>
                <w:spacing w:val="-2"/>
                <w:sz w:val="24"/>
              </w:rPr>
              <w:t>13/10/2026</w:t>
            </w:r>
          </w:p>
        </w:tc>
        <w:tc>
          <w:tcPr>
            <w:tcW w:w="4598" w:type="dxa"/>
          </w:tcPr>
          <w:p>
            <w:pPr>
              <w:pStyle w:val="TableParagraph"/>
              <w:spacing w:before="5"/>
              <w:ind w:left="3" w:right="5"/>
              <w:jc w:val="center"/>
              <w:rPr>
                <w:sz w:val="24"/>
              </w:rPr>
            </w:pPr>
            <w:r>
              <w:rPr>
                <w:sz w:val="24"/>
              </w:rPr>
              <w:t>For</w:t>
            </w:r>
            <w:r>
              <w:rPr>
                <w:spacing w:val="-3"/>
                <w:sz w:val="24"/>
              </w:rPr>
              <w:t> </w:t>
            </w:r>
            <w:r>
              <w:rPr>
                <w:spacing w:val="-2"/>
                <w:sz w:val="24"/>
              </w:rPr>
              <w:t>Approval</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8"/>
        <w:rPr>
          <w:sz w:val="20"/>
        </w:rPr>
      </w:pPr>
    </w:p>
    <w:p>
      <w:pPr>
        <w:spacing w:before="0"/>
        <w:ind w:left="4" w:right="284" w:firstLine="0"/>
        <w:jc w:val="center"/>
        <w:rPr>
          <w:sz w:val="20"/>
        </w:rPr>
      </w:pPr>
      <w:r>
        <w:rPr>
          <w:spacing w:val="-10"/>
          <w:sz w:val="20"/>
        </w:rPr>
        <w:t>1</w:t>
      </w:r>
    </w:p>
    <w:p>
      <w:pPr>
        <w:spacing w:after="0"/>
        <w:jc w:val="center"/>
        <w:rPr>
          <w:sz w:val="20"/>
        </w:rPr>
        <w:sectPr>
          <w:pgSz w:w="11910" w:h="16840"/>
          <w:pgMar w:header="0" w:footer="149" w:top="980" w:bottom="340" w:left="708" w:right="425"/>
        </w:sectPr>
      </w:pPr>
    </w:p>
    <w:p>
      <w:pPr>
        <w:pStyle w:val="BodyText"/>
        <w:rPr>
          <w:sz w:val="20"/>
        </w:rPr>
      </w:pPr>
    </w:p>
    <w:p>
      <w:pPr>
        <w:pStyle w:val="BodyText"/>
        <w:rPr>
          <w:sz w:val="20"/>
        </w:rPr>
      </w:pPr>
    </w:p>
    <w:p>
      <w:pPr>
        <w:pStyle w:val="BodyText"/>
        <w:rPr>
          <w:sz w:val="20"/>
        </w:rPr>
      </w:pPr>
    </w:p>
    <w:p>
      <w:pPr>
        <w:pStyle w:val="BodyText"/>
        <w:spacing w:before="60"/>
        <w:rPr>
          <w:sz w:val="20"/>
        </w:rPr>
      </w:pPr>
    </w:p>
    <w:p>
      <w:pPr>
        <w:spacing w:line="240" w:lineRule="auto"/>
        <w:ind w:left="187" w:right="0" w:firstLine="0"/>
        <w:rPr>
          <w:sz w:val="20"/>
        </w:rPr>
      </w:pPr>
      <w:r>
        <w:rPr>
          <w:sz w:val="20"/>
        </w:rPr>
        <mc:AlternateContent>
          <mc:Choice Requires="wps">
            <w:drawing>
              <wp:inline distT="0" distB="0" distL="0" distR="0">
                <wp:extent cx="6642100" cy="193675"/>
                <wp:effectExtent l="9525" t="0" r="6350" b="6350"/>
                <wp:docPr id="542" name="Textbox 542"/>
                <wp:cNvGraphicFramePr>
                  <a:graphicFrameLocks/>
                </wp:cNvGraphicFramePr>
                <a:graphic>
                  <a:graphicData uri="http://schemas.microsoft.com/office/word/2010/wordprocessingShape">
                    <wps:wsp>
                      <wps:cNvPr id="542" name="Textbox 542"/>
                      <wps:cNvSpPr txBox="1"/>
                      <wps:spPr>
                        <a:xfrm>
                          <a:off x="0" y="0"/>
                          <a:ext cx="66421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1</w:t>
                            </w:r>
                            <w:r>
                              <w:rPr>
                                <w:b/>
                                <w:color w:val="000000"/>
                                <w:sz w:val="24"/>
                              </w:rPr>
                              <w:tab/>
                            </w:r>
                            <w:r>
                              <w:rPr>
                                <w:b/>
                                <w:color w:val="000000"/>
                                <w:spacing w:val="-2"/>
                                <w:sz w:val="24"/>
                              </w:rPr>
                              <w:t>Constitution</w:t>
                            </w:r>
                          </w:p>
                        </w:txbxContent>
                      </wps:txbx>
                      <wps:bodyPr wrap="square" lIns="0" tIns="0" rIns="0" bIns="0" rtlCol="0">
                        <a:noAutofit/>
                      </wps:bodyPr>
                    </wps:wsp>
                  </a:graphicData>
                </a:graphic>
              </wp:inline>
            </w:drawing>
          </mc:Choice>
          <mc:Fallback>
            <w:pict>
              <v:shape style="width:523pt;height:15.25pt;mso-position-horizontal-relative:char;mso-position-vertical-relative:line" type="#_x0000_t202" id="docshape319" filled="true" fillcolor="#c1a875" stroked="true" strokeweight="1pt" strokecolor="#394871">
                <w10:anchorlock/>
                <v:textbox inset="0,0,0,0">
                  <w:txbxContent>
                    <w:p>
                      <w:pPr>
                        <w:tabs>
                          <w:tab w:pos="815" w:val="left" w:leader="none"/>
                        </w:tabs>
                        <w:spacing w:before="0"/>
                        <w:ind w:left="95" w:right="0" w:firstLine="0"/>
                        <w:jc w:val="left"/>
                        <w:rPr>
                          <w:b/>
                          <w:color w:val="000000"/>
                          <w:sz w:val="24"/>
                        </w:rPr>
                      </w:pPr>
                      <w:r>
                        <w:rPr>
                          <w:b/>
                          <w:color w:val="000000"/>
                          <w:spacing w:val="-10"/>
                          <w:sz w:val="24"/>
                        </w:rPr>
                        <w:t>1</w:t>
                      </w:r>
                      <w:r>
                        <w:rPr>
                          <w:b/>
                          <w:color w:val="000000"/>
                          <w:sz w:val="24"/>
                        </w:rPr>
                        <w:tab/>
                      </w:r>
                      <w:r>
                        <w:rPr>
                          <w:b/>
                          <w:color w:val="000000"/>
                          <w:spacing w:val="-2"/>
                          <w:sz w:val="24"/>
                        </w:rPr>
                        <w:t>Constitution</w:t>
                      </w:r>
                    </w:p>
                  </w:txbxContent>
                </v:textbox>
                <v:fill type="solid"/>
                <v:stroke dashstyle="solid"/>
              </v:shape>
            </w:pict>
          </mc:Fallback>
        </mc:AlternateContent>
      </w:r>
      <w:r>
        <w:rPr>
          <w:sz w:val="20"/>
        </w:rPr>
      </w:r>
    </w:p>
    <w:p>
      <w:pPr>
        <w:pStyle w:val="ListParagraph"/>
        <w:numPr>
          <w:ilvl w:val="1"/>
          <w:numId w:val="77"/>
        </w:numPr>
        <w:tabs>
          <w:tab w:pos="860" w:val="left" w:leader="none"/>
          <w:tab w:pos="862" w:val="left" w:leader="none"/>
        </w:tabs>
        <w:spacing w:line="240" w:lineRule="auto" w:before="140" w:after="0"/>
        <w:ind w:left="862" w:right="536" w:hanging="720"/>
        <w:jc w:val="both"/>
        <w:rPr>
          <w:sz w:val="24"/>
        </w:rPr>
      </w:pPr>
      <w:r>
        <w:rPr>
          <w:sz w:val="24"/>
        </w:rPr>
        <mc:AlternateContent>
          <mc:Choice Requires="wps">
            <w:drawing>
              <wp:anchor distT="0" distB="0" distL="0" distR="0" allowOverlap="1" layoutInCell="1" locked="0" behindDoc="0" simplePos="0" relativeHeight="15834112">
                <wp:simplePos x="0" y="0"/>
                <wp:positionH relativeFrom="page">
                  <wp:posOffset>540067</wp:posOffset>
                </wp:positionH>
                <wp:positionV relativeFrom="paragraph">
                  <wp:posOffset>-838200</wp:posOffset>
                </wp:positionV>
                <wp:extent cx="6486525" cy="390525"/>
                <wp:effectExtent l="0" t="0" r="0" b="0"/>
                <wp:wrapNone/>
                <wp:docPr id="543" name="Textbox 543"/>
                <wp:cNvGraphicFramePr>
                  <a:graphicFrameLocks/>
                </wp:cNvGraphicFramePr>
                <a:graphic>
                  <a:graphicData uri="http://schemas.microsoft.com/office/word/2010/wordprocessingShape">
                    <wps:wsp>
                      <wps:cNvPr id="543" name="Textbox 543"/>
                      <wps:cNvSpPr txBox="1"/>
                      <wps:spPr>
                        <a:xfrm>
                          <a:off x="0" y="0"/>
                          <a:ext cx="6486525" cy="390525"/>
                        </a:xfrm>
                        <a:prstGeom prst="rect">
                          <a:avLst/>
                        </a:prstGeom>
                        <a:solidFill>
                          <a:srgbClr val="394871"/>
                        </a:solidFill>
                        <a:ln w="38100">
                          <a:solidFill>
                            <a:srgbClr val="C1A875"/>
                          </a:solidFill>
                          <a:prstDash val="solid"/>
                        </a:ln>
                      </wps:spPr>
                      <wps:txbx>
                        <w:txbxContent>
                          <w:p>
                            <w:pPr>
                              <w:spacing w:before="0"/>
                              <w:ind w:left="7" w:right="13"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WORKFORCE</w:t>
                            </w:r>
                            <w:r>
                              <w:rPr>
                                <w:b/>
                                <w:color w:val="FFFFFF"/>
                                <w:spacing w:val="-13"/>
                                <w:sz w:val="24"/>
                              </w:rPr>
                              <w:t> </w:t>
                            </w:r>
                            <w:r>
                              <w:rPr>
                                <w:b/>
                                <w:color w:val="FFFFFF"/>
                                <w:spacing w:val="-2"/>
                                <w:sz w:val="24"/>
                              </w:rPr>
                              <w:t>&amp;</w:t>
                            </w:r>
                            <w:r>
                              <w:rPr>
                                <w:b/>
                                <w:color w:val="FFFFFF"/>
                                <w:spacing w:val="-10"/>
                                <w:sz w:val="24"/>
                              </w:rPr>
                              <w:t> </w:t>
                            </w:r>
                            <w:r>
                              <w:rPr>
                                <w:b/>
                                <w:color w:val="FFFFFF"/>
                                <w:spacing w:val="-2"/>
                                <w:sz w:val="24"/>
                              </w:rPr>
                              <w:t>OD</w:t>
                            </w:r>
                            <w:r>
                              <w:rPr>
                                <w:b/>
                                <w:color w:val="FFFFFF"/>
                                <w:spacing w:val="-9"/>
                                <w:sz w:val="24"/>
                              </w:rPr>
                              <w:t> </w:t>
                            </w:r>
                            <w:r>
                              <w:rPr>
                                <w:b/>
                                <w:color w:val="FFFFFF"/>
                                <w:spacing w:val="-2"/>
                                <w:sz w:val="24"/>
                              </w:rPr>
                              <w:t>SUBGROUP</w:t>
                            </w:r>
                          </w:p>
                        </w:txbxContent>
                      </wps:txbx>
                      <wps:bodyPr wrap="square" lIns="0" tIns="0" rIns="0" bIns="0" rtlCol="0">
                        <a:noAutofit/>
                      </wps:bodyPr>
                    </wps:wsp>
                  </a:graphicData>
                </a:graphic>
              </wp:anchor>
            </w:drawing>
          </mc:Choice>
          <mc:Fallback>
            <w:pict>
              <v:shape style="position:absolute;margin-left:42.525002pt;margin-top:-66pt;width:510.75pt;height:30.75pt;mso-position-horizontal-relative:page;mso-position-vertical-relative:paragraph;z-index:15834112" type="#_x0000_t202" id="docshape320" filled="true" fillcolor="#394871" stroked="true" strokeweight="3pt" strokecolor="#c1a875">
                <v:textbox inset="0,0,0,0">
                  <w:txbxContent>
                    <w:p>
                      <w:pPr>
                        <w:spacing w:before="0"/>
                        <w:ind w:left="7" w:right="13"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WORKFORCE</w:t>
                      </w:r>
                      <w:r>
                        <w:rPr>
                          <w:b/>
                          <w:color w:val="FFFFFF"/>
                          <w:spacing w:val="-13"/>
                          <w:sz w:val="24"/>
                        </w:rPr>
                        <w:t> </w:t>
                      </w:r>
                      <w:r>
                        <w:rPr>
                          <w:b/>
                          <w:color w:val="FFFFFF"/>
                          <w:spacing w:val="-2"/>
                          <w:sz w:val="24"/>
                        </w:rPr>
                        <w:t>&amp;</w:t>
                      </w:r>
                      <w:r>
                        <w:rPr>
                          <w:b/>
                          <w:color w:val="FFFFFF"/>
                          <w:spacing w:val="-10"/>
                          <w:sz w:val="24"/>
                        </w:rPr>
                        <w:t> </w:t>
                      </w:r>
                      <w:r>
                        <w:rPr>
                          <w:b/>
                          <w:color w:val="FFFFFF"/>
                          <w:spacing w:val="-2"/>
                          <w:sz w:val="24"/>
                        </w:rPr>
                        <w:t>OD</w:t>
                      </w:r>
                      <w:r>
                        <w:rPr>
                          <w:b/>
                          <w:color w:val="FFFFFF"/>
                          <w:spacing w:val="-9"/>
                          <w:sz w:val="24"/>
                        </w:rPr>
                        <w:t> </w:t>
                      </w:r>
                      <w:r>
                        <w:rPr>
                          <w:b/>
                          <w:color w:val="FFFFFF"/>
                          <w:spacing w:val="-2"/>
                          <w:sz w:val="24"/>
                        </w:rPr>
                        <w:t>SUBGROUP</w:t>
                      </w:r>
                    </w:p>
                  </w:txbxContent>
                </v:textbox>
                <v:fill type="solid"/>
                <v:stroke dashstyle="solid"/>
                <w10:wrap type="none"/>
              </v:shape>
            </w:pict>
          </mc:Fallback>
        </mc:AlternateContent>
      </w:r>
      <w:r>
        <w:rPr>
          <w:spacing w:val="-2"/>
          <w:sz w:val="24"/>
        </w:rPr>
        <w:t>The</w:t>
      </w:r>
      <w:r>
        <w:rPr>
          <w:spacing w:val="-10"/>
          <w:sz w:val="24"/>
        </w:rPr>
        <w:t> </w:t>
      </w:r>
      <w:r>
        <w:rPr>
          <w:spacing w:val="-2"/>
          <w:sz w:val="24"/>
        </w:rPr>
        <w:t>Regional</w:t>
      </w:r>
      <w:r>
        <w:rPr>
          <w:spacing w:val="-10"/>
          <w:sz w:val="24"/>
        </w:rPr>
        <w:t> </w:t>
      </w:r>
      <w:r>
        <w:rPr>
          <w:spacing w:val="-2"/>
          <w:sz w:val="24"/>
        </w:rPr>
        <w:t>Joint</w:t>
      </w:r>
      <w:r>
        <w:rPr>
          <w:spacing w:val="-13"/>
          <w:sz w:val="24"/>
        </w:rPr>
        <w:t> </w:t>
      </w:r>
      <w:r>
        <w:rPr>
          <w:spacing w:val="-2"/>
          <w:sz w:val="24"/>
        </w:rPr>
        <w:t>Committee</w:t>
      </w:r>
      <w:r>
        <w:rPr>
          <w:spacing w:val="-10"/>
          <w:sz w:val="24"/>
        </w:rPr>
        <w:t> </w:t>
      </w:r>
      <w:r>
        <w:rPr>
          <w:spacing w:val="-2"/>
          <w:sz w:val="24"/>
        </w:rPr>
        <w:t>(RJC)</w:t>
      </w:r>
      <w:r>
        <w:rPr>
          <w:spacing w:val="-11"/>
          <w:sz w:val="24"/>
        </w:rPr>
        <w:t> </w:t>
      </w:r>
      <w:r>
        <w:rPr>
          <w:spacing w:val="-2"/>
          <w:sz w:val="24"/>
        </w:rPr>
        <w:t>has</w:t>
      </w:r>
      <w:r>
        <w:rPr>
          <w:spacing w:val="-11"/>
          <w:sz w:val="24"/>
        </w:rPr>
        <w:t> </w:t>
      </w:r>
      <w:r>
        <w:rPr>
          <w:spacing w:val="-2"/>
          <w:sz w:val="24"/>
        </w:rPr>
        <w:t>been</w:t>
      </w:r>
      <w:r>
        <w:rPr>
          <w:spacing w:val="-10"/>
          <w:sz w:val="24"/>
        </w:rPr>
        <w:t> </w:t>
      </w:r>
      <w:r>
        <w:rPr>
          <w:spacing w:val="-2"/>
          <w:sz w:val="24"/>
        </w:rPr>
        <w:t>established</w:t>
      </w:r>
      <w:r>
        <w:rPr>
          <w:spacing w:val="-10"/>
          <w:sz w:val="24"/>
        </w:rPr>
        <w:t> </w:t>
      </w:r>
      <w:r>
        <w:rPr>
          <w:spacing w:val="-2"/>
          <w:sz w:val="24"/>
        </w:rPr>
        <w:t>under</w:t>
      </w:r>
      <w:r>
        <w:rPr>
          <w:spacing w:val="-11"/>
          <w:sz w:val="24"/>
        </w:rPr>
        <w:t> </w:t>
      </w:r>
      <w:r>
        <w:rPr>
          <w:spacing w:val="-2"/>
          <w:sz w:val="24"/>
        </w:rPr>
        <w:t>Ministerial</w:t>
      </w:r>
      <w:r>
        <w:rPr>
          <w:spacing w:val="-10"/>
          <w:sz w:val="24"/>
        </w:rPr>
        <w:t> </w:t>
      </w:r>
      <w:r>
        <w:rPr>
          <w:spacing w:val="-2"/>
          <w:sz w:val="24"/>
        </w:rPr>
        <w:t>Direction</w:t>
      </w:r>
      <w:r>
        <w:rPr>
          <w:spacing w:val="-15"/>
          <w:sz w:val="24"/>
        </w:rPr>
        <w:t> </w:t>
      </w:r>
      <w:r>
        <w:rPr>
          <w:spacing w:val="-2"/>
          <w:sz w:val="24"/>
        </w:rPr>
        <w:t>as</w:t>
      </w:r>
      <w:r>
        <w:rPr>
          <w:spacing w:val="-11"/>
          <w:sz w:val="24"/>
        </w:rPr>
        <w:t> </w:t>
      </w:r>
      <w:r>
        <w:rPr>
          <w:spacing w:val="-2"/>
          <w:sz w:val="24"/>
        </w:rPr>
        <w:t>a Joint</w:t>
      </w:r>
      <w:r>
        <w:rPr>
          <w:spacing w:val="-15"/>
          <w:sz w:val="24"/>
        </w:rPr>
        <w:t> </w:t>
      </w:r>
      <w:r>
        <w:rPr>
          <w:spacing w:val="-2"/>
          <w:sz w:val="24"/>
        </w:rPr>
        <w:t>Committee</w:t>
      </w:r>
      <w:r>
        <w:rPr>
          <w:spacing w:val="-15"/>
          <w:sz w:val="24"/>
        </w:rPr>
        <w:t> </w:t>
      </w:r>
      <w:r>
        <w:rPr>
          <w:spacing w:val="-2"/>
          <w:sz w:val="24"/>
        </w:rPr>
        <w:t>of</w:t>
      </w:r>
      <w:r>
        <w:rPr>
          <w:spacing w:val="-10"/>
          <w:sz w:val="24"/>
        </w:rPr>
        <w:t> </w:t>
      </w:r>
      <w:r>
        <w:rPr>
          <w:spacing w:val="-2"/>
          <w:sz w:val="24"/>
        </w:rPr>
        <w:t>Swansea</w:t>
      </w:r>
      <w:r>
        <w:rPr>
          <w:spacing w:val="-8"/>
          <w:sz w:val="24"/>
        </w:rPr>
        <w:t> </w:t>
      </w:r>
      <w:r>
        <w:rPr>
          <w:spacing w:val="-2"/>
          <w:sz w:val="24"/>
        </w:rPr>
        <w:t>Bay</w:t>
      </w:r>
      <w:r>
        <w:rPr>
          <w:spacing w:val="-13"/>
          <w:sz w:val="24"/>
        </w:rPr>
        <w:t> </w:t>
      </w:r>
      <w:r>
        <w:rPr>
          <w:spacing w:val="-2"/>
          <w:sz w:val="24"/>
        </w:rPr>
        <w:t>and</w:t>
      </w:r>
      <w:r>
        <w:rPr>
          <w:spacing w:val="-12"/>
          <w:sz w:val="24"/>
        </w:rPr>
        <w:t> </w:t>
      </w:r>
      <w:r>
        <w:rPr>
          <w:spacing w:val="-2"/>
          <w:sz w:val="24"/>
        </w:rPr>
        <w:t>Hywel</w:t>
      </w:r>
      <w:r>
        <w:rPr>
          <w:spacing w:val="-12"/>
          <w:sz w:val="24"/>
        </w:rPr>
        <w:t> </w:t>
      </w:r>
      <w:r>
        <w:rPr>
          <w:spacing w:val="-2"/>
          <w:sz w:val="24"/>
        </w:rPr>
        <w:t>Dda</w:t>
      </w:r>
      <w:r>
        <w:rPr>
          <w:spacing w:val="-12"/>
          <w:sz w:val="24"/>
        </w:rPr>
        <w:t> </w:t>
      </w:r>
      <w:r>
        <w:rPr>
          <w:spacing w:val="-2"/>
          <w:sz w:val="24"/>
        </w:rPr>
        <w:t>University</w:t>
      </w:r>
      <w:r>
        <w:rPr>
          <w:spacing w:val="-13"/>
          <w:sz w:val="24"/>
        </w:rPr>
        <w:t> </w:t>
      </w:r>
      <w:r>
        <w:rPr>
          <w:spacing w:val="-2"/>
          <w:sz w:val="24"/>
        </w:rPr>
        <w:t>Health</w:t>
      </w:r>
      <w:r>
        <w:rPr>
          <w:spacing w:val="-12"/>
          <w:sz w:val="24"/>
        </w:rPr>
        <w:t> </w:t>
      </w:r>
      <w:r>
        <w:rPr>
          <w:spacing w:val="-2"/>
          <w:sz w:val="24"/>
        </w:rPr>
        <w:t>Boards</w:t>
      </w:r>
      <w:r>
        <w:rPr>
          <w:spacing w:val="-15"/>
          <w:sz w:val="24"/>
        </w:rPr>
        <w:t> </w:t>
      </w:r>
      <w:r>
        <w:rPr>
          <w:spacing w:val="-2"/>
          <w:sz w:val="24"/>
        </w:rPr>
        <w:t>and</w:t>
      </w:r>
      <w:r>
        <w:rPr>
          <w:spacing w:val="-12"/>
          <w:sz w:val="24"/>
        </w:rPr>
        <w:t> </w:t>
      </w:r>
      <w:r>
        <w:rPr>
          <w:spacing w:val="-2"/>
          <w:sz w:val="24"/>
        </w:rPr>
        <w:t>constituted </w:t>
      </w:r>
      <w:r>
        <w:rPr>
          <w:sz w:val="24"/>
        </w:rPr>
        <w:t>from 15 January 2025.</w:t>
      </w:r>
    </w:p>
    <w:p>
      <w:pPr>
        <w:pStyle w:val="ListParagraph"/>
        <w:numPr>
          <w:ilvl w:val="1"/>
          <w:numId w:val="77"/>
        </w:numPr>
        <w:tabs>
          <w:tab w:pos="862" w:val="left" w:leader="none"/>
        </w:tabs>
        <w:spacing w:line="275" w:lineRule="exact" w:before="162" w:after="0"/>
        <w:ind w:left="862" w:right="0" w:hanging="720"/>
        <w:jc w:val="left"/>
        <w:rPr>
          <w:sz w:val="24"/>
        </w:rPr>
      </w:pPr>
      <w:r>
        <w:rPr>
          <w:color w:val="000000"/>
          <w:spacing w:val="-2"/>
          <w:sz w:val="24"/>
          <w:highlight w:val="yellow"/>
        </w:rPr>
        <w:t>The</w:t>
      </w:r>
      <w:r>
        <w:rPr>
          <w:color w:val="000000"/>
          <w:spacing w:val="-12"/>
          <w:sz w:val="24"/>
          <w:highlight w:val="yellow"/>
        </w:rPr>
        <w:t> </w:t>
      </w:r>
      <w:r>
        <w:rPr>
          <w:color w:val="000000"/>
          <w:spacing w:val="-2"/>
          <w:sz w:val="24"/>
          <w:highlight w:val="yellow"/>
        </w:rPr>
        <w:t>Regional</w:t>
      </w:r>
      <w:r>
        <w:rPr>
          <w:color w:val="000000"/>
          <w:spacing w:val="-5"/>
          <w:sz w:val="24"/>
          <w:highlight w:val="yellow"/>
        </w:rPr>
        <w:t> </w:t>
      </w:r>
      <w:r>
        <w:rPr>
          <w:color w:val="000000"/>
          <w:spacing w:val="-2"/>
          <w:sz w:val="24"/>
          <w:highlight w:val="yellow"/>
        </w:rPr>
        <w:t>Workforce</w:t>
      </w:r>
      <w:r>
        <w:rPr>
          <w:color w:val="000000"/>
          <w:spacing w:val="-6"/>
          <w:sz w:val="24"/>
          <w:highlight w:val="yellow"/>
        </w:rPr>
        <w:t> </w:t>
      </w:r>
      <w:r>
        <w:rPr>
          <w:color w:val="000000"/>
          <w:spacing w:val="-2"/>
          <w:sz w:val="24"/>
          <w:highlight w:val="yellow"/>
        </w:rPr>
        <w:t>&amp;</w:t>
      </w:r>
      <w:r>
        <w:rPr>
          <w:color w:val="000000"/>
          <w:spacing w:val="-12"/>
          <w:sz w:val="24"/>
          <w:highlight w:val="yellow"/>
        </w:rPr>
        <w:t> </w:t>
      </w:r>
      <w:r>
        <w:rPr>
          <w:color w:val="000000"/>
          <w:spacing w:val="-2"/>
          <w:sz w:val="24"/>
          <w:highlight w:val="yellow"/>
        </w:rPr>
        <w:t>OD</w:t>
      </w:r>
      <w:r>
        <w:rPr>
          <w:color w:val="000000"/>
          <w:spacing w:val="-9"/>
          <w:sz w:val="24"/>
          <w:highlight w:val="yellow"/>
        </w:rPr>
        <w:t> </w:t>
      </w:r>
      <w:r>
        <w:rPr>
          <w:color w:val="000000"/>
          <w:spacing w:val="-2"/>
          <w:sz w:val="24"/>
          <w:highlight w:val="yellow"/>
        </w:rPr>
        <w:t>Subgroup</w:t>
      </w:r>
      <w:r>
        <w:rPr>
          <w:color w:val="000000"/>
          <w:spacing w:val="-10"/>
          <w:sz w:val="24"/>
          <w:highlight w:val="yellow"/>
        </w:rPr>
        <w:t> </w:t>
      </w:r>
      <w:r>
        <w:rPr>
          <w:color w:val="000000"/>
          <w:spacing w:val="-2"/>
          <w:sz w:val="24"/>
          <w:highlight w:val="yellow"/>
        </w:rPr>
        <w:t>has</w:t>
      </w:r>
      <w:r>
        <w:rPr>
          <w:color w:val="000000"/>
          <w:spacing w:val="-12"/>
          <w:sz w:val="24"/>
          <w:highlight w:val="yellow"/>
        </w:rPr>
        <w:t> </w:t>
      </w:r>
      <w:r>
        <w:rPr>
          <w:color w:val="000000"/>
          <w:spacing w:val="-2"/>
          <w:sz w:val="24"/>
          <w:highlight w:val="yellow"/>
        </w:rPr>
        <w:t>been</w:t>
      </w:r>
      <w:r>
        <w:rPr>
          <w:color w:val="000000"/>
          <w:spacing w:val="-15"/>
          <w:sz w:val="24"/>
          <w:highlight w:val="yellow"/>
        </w:rPr>
        <w:t> </w:t>
      </w:r>
      <w:r>
        <w:rPr>
          <w:color w:val="000000"/>
          <w:spacing w:val="-2"/>
          <w:sz w:val="24"/>
          <w:highlight w:val="yellow"/>
        </w:rPr>
        <w:t>established</w:t>
      </w:r>
      <w:r>
        <w:rPr>
          <w:color w:val="000000"/>
          <w:spacing w:val="-10"/>
          <w:sz w:val="24"/>
          <w:highlight w:val="yellow"/>
        </w:rPr>
        <w:t> </w:t>
      </w:r>
      <w:r>
        <w:rPr>
          <w:color w:val="000000"/>
          <w:spacing w:val="-2"/>
          <w:sz w:val="24"/>
          <w:highlight w:val="yellow"/>
        </w:rPr>
        <w:t>as</w:t>
      </w:r>
      <w:r>
        <w:rPr>
          <w:color w:val="000000"/>
          <w:spacing w:val="-12"/>
          <w:sz w:val="24"/>
          <w:highlight w:val="yellow"/>
        </w:rPr>
        <w:t> </w:t>
      </w:r>
      <w:r>
        <w:rPr>
          <w:color w:val="000000"/>
          <w:spacing w:val="-2"/>
          <w:sz w:val="24"/>
          <w:highlight w:val="yellow"/>
        </w:rPr>
        <w:t>a</w:t>
      </w:r>
      <w:r>
        <w:rPr>
          <w:color w:val="000000"/>
          <w:spacing w:val="-11"/>
          <w:sz w:val="24"/>
          <w:highlight w:val="yellow"/>
        </w:rPr>
        <w:t> </w:t>
      </w:r>
      <w:r>
        <w:rPr>
          <w:color w:val="000000"/>
          <w:spacing w:val="-2"/>
          <w:sz w:val="24"/>
          <w:highlight w:val="yellow"/>
        </w:rPr>
        <w:t>Subgroup</w:t>
      </w:r>
      <w:r>
        <w:rPr>
          <w:color w:val="000000"/>
          <w:spacing w:val="-10"/>
          <w:sz w:val="24"/>
          <w:highlight w:val="yellow"/>
        </w:rPr>
        <w:t> </w:t>
      </w:r>
      <w:r>
        <w:rPr>
          <w:color w:val="000000"/>
          <w:spacing w:val="-2"/>
          <w:sz w:val="24"/>
          <w:highlight w:val="yellow"/>
        </w:rPr>
        <w:t>of</w:t>
      </w:r>
      <w:r>
        <w:rPr>
          <w:color w:val="000000"/>
          <w:spacing w:val="-14"/>
          <w:sz w:val="24"/>
          <w:highlight w:val="yellow"/>
        </w:rPr>
        <w:t> </w:t>
      </w:r>
      <w:r>
        <w:rPr>
          <w:color w:val="000000"/>
          <w:spacing w:val="-2"/>
          <w:sz w:val="24"/>
          <w:highlight w:val="yellow"/>
        </w:rPr>
        <w:t>the</w:t>
      </w:r>
      <w:r>
        <w:rPr>
          <w:color w:val="000000"/>
          <w:spacing w:val="-14"/>
          <w:sz w:val="24"/>
          <w:highlight w:val="yellow"/>
        </w:rPr>
        <w:t> </w:t>
      </w:r>
      <w:r>
        <w:rPr>
          <w:color w:val="000000"/>
          <w:spacing w:val="-5"/>
          <w:sz w:val="24"/>
          <w:highlight w:val="yellow"/>
        </w:rPr>
        <w:t>RJC</w:t>
      </w:r>
    </w:p>
    <w:p>
      <w:pPr>
        <w:spacing w:line="275" w:lineRule="exact" w:before="0"/>
        <w:ind w:left="862" w:right="0" w:firstLine="0"/>
        <w:jc w:val="left"/>
        <w:rPr>
          <w:sz w:val="24"/>
        </w:rPr>
      </w:pPr>
      <w:r>
        <w:rPr>
          <w:i/>
          <w:color w:val="000000"/>
          <w:spacing w:val="-2"/>
          <w:sz w:val="24"/>
          <w:highlight w:val="yellow"/>
        </w:rPr>
        <w:t>and</w:t>
      </w:r>
      <w:r>
        <w:rPr>
          <w:i/>
          <w:color w:val="000000"/>
          <w:spacing w:val="-15"/>
          <w:sz w:val="24"/>
          <w:highlight w:val="yellow"/>
        </w:rPr>
        <w:t> </w:t>
      </w:r>
      <w:r>
        <w:rPr>
          <w:i/>
          <w:color w:val="000000"/>
          <w:spacing w:val="-2"/>
          <w:sz w:val="24"/>
          <w:highlight w:val="yellow"/>
        </w:rPr>
        <w:t>held</w:t>
      </w:r>
      <w:r>
        <w:rPr>
          <w:i/>
          <w:color w:val="000000"/>
          <w:spacing w:val="-11"/>
          <w:sz w:val="24"/>
          <w:highlight w:val="yellow"/>
        </w:rPr>
        <w:t> </w:t>
      </w:r>
      <w:r>
        <w:rPr>
          <w:i/>
          <w:color w:val="000000"/>
          <w:spacing w:val="-2"/>
          <w:sz w:val="24"/>
          <w:highlight w:val="yellow"/>
        </w:rPr>
        <w:t>its</w:t>
      </w:r>
      <w:r>
        <w:rPr>
          <w:i/>
          <w:color w:val="000000"/>
          <w:spacing w:val="-11"/>
          <w:sz w:val="24"/>
          <w:highlight w:val="yellow"/>
        </w:rPr>
        <w:t> </w:t>
      </w:r>
      <w:r>
        <w:rPr>
          <w:i/>
          <w:color w:val="000000"/>
          <w:spacing w:val="-2"/>
          <w:sz w:val="24"/>
          <w:highlight w:val="yellow"/>
        </w:rPr>
        <w:t>inaugural</w:t>
      </w:r>
      <w:r>
        <w:rPr>
          <w:i/>
          <w:color w:val="000000"/>
          <w:spacing w:val="-11"/>
          <w:sz w:val="24"/>
          <w:highlight w:val="yellow"/>
        </w:rPr>
        <w:t> </w:t>
      </w:r>
      <w:r>
        <w:rPr>
          <w:i/>
          <w:color w:val="000000"/>
          <w:spacing w:val="-2"/>
          <w:sz w:val="24"/>
          <w:highlight w:val="yellow"/>
        </w:rPr>
        <w:t>meeting</w:t>
      </w:r>
      <w:r>
        <w:rPr>
          <w:i/>
          <w:color w:val="000000"/>
          <w:spacing w:val="-10"/>
          <w:sz w:val="24"/>
          <w:highlight w:val="yellow"/>
        </w:rPr>
        <w:t> </w:t>
      </w:r>
      <w:r>
        <w:rPr>
          <w:i/>
          <w:color w:val="000000"/>
          <w:spacing w:val="-2"/>
          <w:sz w:val="24"/>
          <w:highlight w:val="yellow"/>
        </w:rPr>
        <w:t>on</w:t>
      </w:r>
      <w:r>
        <w:rPr>
          <w:i/>
          <w:color w:val="000000"/>
          <w:spacing w:val="-4"/>
          <w:sz w:val="24"/>
          <w:highlight w:val="yellow"/>
        </w:rPr>
        <w:t> </w:t>
      </w:r>
      <w:r>
        <w:rPr>
          <w:i/>
          <w:color w:val="ED0000"/>
          <w:spacing w:val="-2"/>
          <w:sz w:val="24"/>
          <w:highlight w:val="yellow"/>
        </w:rPr>
        <w:t>XXXX</w:t>
      </w:r>
      <w:r>
        <w:rPr>
          <w:i/>
          <w:color w:val="ED0000"/>
          <w:spacing w:val="-11"/>
          <w:sz w:val="24"/>
          <w:highlight w:val="yellow"/>
        </w:rPr>
        <w:t> </w:t>
      </w:r>
      <w:r>
        <w:rPr>
          <w:i/>
          <w:color w:val="000000"/>
          <w:spacing w:val="-4"/>
          <w:sz w:val="24"/>
          <w:highlight w:val="yellow"/>
        </w:rPr>
        <w:t>2025</w:t>
      </w:r>
      <w:r>
        <w:rPr>
          <w:color w:val="000000"/>
          <w:spacing w:val="-4"/>
          <w:sz w:val="24"/>
          <w:highlight w:val="yellow"/>
        </w:rPr>
        <w:t>.</w:t>
      </w:r>
    </w:p>
    <w:p>
      <w:pPr>
        <w:pStyle w:val="BodyText"/>
        <w:spacing w:before="56"/>
        <w:rPr>
          <w:sz w:val="20"/>
        </w:rPr>
      </w:pPr>
      <w:r>
        <w:rPr>
          <w:sz w:val="20"/>
        </w:rPr>
        <mc:AlternateContent>
          <mc:Choice Requires="wps">
            <w:drawing>
              <wp:anchor distT="0" distB="0" distL="0" distR="0" allowOverlap="1" layoutInCell="1" locked="0" behindDoc="1" simplePos="0" relativeHeight="487691264">
                <wp:simplePos x="0" y="0"/>
                <wp:positionH relativeFrom="page">
                  <wp:posOffset>574992</wp:posOffset>
                </wp:positionH>
                <wp:positionV relativeFrom="paragraph">
                  <wp:posOffset>203259</wp:posOffset>
                </wp:positionV>
                <wp:extent cx="6642100" cy="193675"/>
                <wp:effectExtent l="0" t="0" r="0" b="0"/>
                <wp:wrapTopAndBottom/>
                <wp:docPr id="544" name="Textbox 544"/>
                <wp:cNvGraphicFramePr>
                  <a:graphicFrameLocks/>
                </wp:cNvGraphicFramePr>
                <a:graphic>
                  <a:graphicData uri="http://schemas.microsoft.com/office/word/2010/wordprocessingShape">
                    <wps:wsp>
                      <wps:cNvPr id="544" name="Textbox 544"/>
                      <wps:cNvSpPr txBox="1"/>
                      <wps:spPr>
                        <a:xfrm>
                          <a:off x="0" y="0"/>
                          <a:ext cx="66421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2</w:t>
                            </w:r>
                            <w:r>
                              <w:rPr>
                                <w:b/>
                                <w:color w:val="000000"/>
                                <w:sz w:val="24"/>
                              </w:rPr>
                              <w:tab/>
                            </w:r>
                            <w:r>
                              <w:rPr>
                                <w:b/>
                                <w:color w:val="000000"/>
                                <w:spacing w:val="-2"/>
                                <w:sz w:val="24"/>
                              </w:rPr>
                              <w:t>Purpose</w:t>
                            </w:r>
                          </w:p>
                        </w:txbxContent>
                      </wps:txbx>
                      <wps:bodyPr wrap="square" lIns="0" tIns="0" rIns="0" bIns="0" rtlCol="0">
                        <a:noAutofit/>
                      </wps:bodyPr>
                    </wps:wsp>
                  </a:graphicData>
                </a:graphic>
              </wp:anchor>
            </w:drawing>
          </mc:Choice>
          <mc:Fallback>
            <w:pict>
              <v:shape style="position:absolute;margin-left:45.275002pt;margin-top:16.004688pt;width:523pt;height:15.25pt;mso-position-horizontal-relative:page;mso-position-vertical-relative:paragraph;z-index:-15625216;mso-wrap-distance-left:0;mso-wrap-distance-right:0" type="#_x0000_t202" id="docshape321"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2</w:t>
                      </w:r>
                      <w:r>
                        <w:rPr>
                          <w:b/>
                          <w:color w:val="000000"/>
                          <w:sz w:val="24"/>
                        </w:rPr>
                        <w:tab/>
                      </w:r>
                      <w:r>
                        <w:rPr>
                          <w:b/>
                          <w:color w:val="000000"/>
                          <w:spacing w:val="-2"/>
                          <w:sz w:val="24"/>
                        </w:rPr>
                        <w:t>Purpose</w:t>
                      </w:r>
                    </w:p>
                  </w:txbxContent>
                </v:textbox>
                <v:fill type="solid"/>
                <v:stroke dashstyle="solid"/>
                <w10:wrap type="topAndBottom"/>
              </v:shape>
            </w:pict>
          </mc:Fallback>
        </mc:AlternateContent>
      </w:r>
    </w:p>
    <w:p>
      <w:pPr>
        <w:pStyle w:val="BodyText"/>
        <w:spacing w:before="8"/>
      </w:pPr>
    </w:p>
    <w:p>
      <w:pPr>
        <w:pStyle w:val="BodyText"/>
        <w:tabs>
          <w:tab w:pos="862" w:val="left" w:leader="none"/>
        </w:tabs>
        <w:ind w:left="862" w:right="572" w:hanging="720"/>
      </w:pPr>
      <w:r>
        <w:rPr>
          <w:spacing w:val="-4"/>
        </w:rPr>
        <w:t>2.1</w:t>
      </w:r>
      <w:r>
        <w:rPr/>
        <w:tab/>
        <w:t>The</w:t>
      </w:r>
      <w:r>
        <w:rPr>
          <w:spacing w:val="-9"/>
        </w:rPr>
        <w:t> </w:t>
      </w:r>
      <w:r>
        <w:rPr/>
        <w:t>purpose</w:t>
      </w:r>
      <w:r>
        <w:rPr>
          <w:spacing w:val="-9"/>
        </w:rPr>
        <w:t> </w:t>
      </w:r>
      <w:r>
        <w:rPr/>
        <w:t>of</w:t>
      </w:r>
      <w:r>
        <w:rPr>
          <w:spacing w:val="-7"/>
        </w:rPr>
        <w:t> </w:t>
      </w:r>
      <w:r>
        <w:rPr/>
        <w:t>the</w:t>
      </w:r>
      <w:r>
        <w:rPr>
          <w:spacing w:val="-9"/>
        </w:rPr>
        <w:t> </w:t>
      </w:r>
      <w:r>
        <w:rPr/>
        <w:t>Regional</w:t>
      </w:r>
      <w:r>
        <w:rPr>
          <w:spacing w:val="-7"/>
        </w:rPr>
        <w:t> </w:t>
      </w:r>
      <w:r>
        <w:rPr/>
        <w:t>Workforce</w:t>
      </w:r>
      <w:r>
        <w:rPr>
          <w:spacing w:val="-9"/>
        </w:rPr>
        <w:t> </w:t>
      </w:r>
      <w:r>
        <w:rPr/>
        <w:t>&amp;</w:t>
      </w:r>
      <w:r>
        <w:rPr>
          <w:spacing w:val="-10"/>
        </w:rPr>
        <w:t> </w:t>
      </w:r>
      <w:r>
        <w:rPr/>
        <w:t>OD</w:t>
      </w:r>
      <w:r>
        <w:rPr>
          <w:spacing w:val="-8"/>
        </w:rPr>
        <w:t> </w:t>
      </w:r>
      <w:r>
        <w:rPr/>
        <w:t>Subgroup</w:t>
      </w:r>
      <w:r>
        <w:rPr>
          <w:spacing w:val="-9"/>
        </w:rPr>
        <w:t> </w:t>
      </w:r>
      <w:r>
        <w:rPr/>
        <w:t>is</w:t>
      </w:r>
      <w:r>
        <w:rPr>
          <w:spacing w:val="-5"/>
        </w:rPr>
        <w:t> </w:t>
      </w:r>
      <w:r>
        <w:rPr/>
        <w:t>to</w:t>
      </w:r>
      <w:r>
        <w:rPr>
          <w:spacing w:val="-14"/>
        </w:rPr>
        <w:t> </w:t>
      </w:r>
      <w:r>
        <w:rPr/>
        <w:t>drive</w:t>
      </w:r>
      <w:r>
        <w:rPr>
          <w:spacing w:val="-4"/>
        </w:rPr>
        <w:t> </w:t>
      </w:r>
      <w:r>
        <w:rPr/>
        <w:t>forward</w:t>
      </w:r>
      <w:r>
        <w:rPr>
          <w:spacing w:val="-9"/>
        </w:rPr>
        <w:t> </w:t>
      </w:r>
      <w:r>
        <w:rPr/>
        <w:t>the</w:t>
      </w:r>
      <w:r>
        <w:rPr>
          <w:spacing w:val="-14"/>
        </w:rPr>
        <w:t> </w:t>
      </w:r>
      <w:r>
        <w:rPr/>
        <w:t>work </w:t>
      </w:r>
      <w:r>
        <w:rPr>
          <w:spacing w:val="-2"/>
        </w:rPr>
        <w:t>needed</w:t>
      </w:r>
      <w:r>
        <w:rPr>
          <w:spacing w:val="-10"/>
        </w:rPr>
        <w:t> </w:t>
      </w:r>
      <w:r>
        <w:rPr>
          <w:spacing w:val="-2"/>
        </w:rPr>
        <w:t>to</w:t>
      </w:r>
      <w:r>
        <w:rPr>
          <w:spacing w:val="-10"/>
        </w:rPr>
        <w:t> </w:t>
      </w:r>
      <w:r>
        <w:rPr>
          <w:spacing w:val="-2"/>
        </w:rPr>
        <w:t>establish</w:t>
      </w:r>
      <w:r>
        <w:rPr>
          <w:spacing w:val="-10"/>
        </w:rPr>
        <w:t> </w:t>
      </w:r>
      <w:r>
        <w:rPr>
          <w:spacing w:val="-2"/>
        </w:rPr>
        <w:t>a</w:t>
      </w:r>
      <w:r>
        <w:rPr>
          <w:spacing w:val="-10"/>
        </w:rPr>
        <w:t> </w:t>
      </w:r>
      <w:r>
        <w:rPr>
          <w:spacing w:val="-2"/>
        </w:rPr>
        <w:t>regional</w:t>
      </w:r>
      <w:r>
        <w:rPr>
          <w:spacing w:val="-10"/>
        </w:rPr>
        <w:t> </w:t>
      </w:r>
      <w:r>
        <w:rPr>
          <w:spacing w:val="-2"/>
        </w:rPr>
        <w:t>approach</w:t>
      </w:r>
      <w:r>
        <w:rPr>
          <w:spacing w:val="-10"/>
        </w:rPr>
        <w:t> </w:t>
      </w:r>
      <w:r>
        <w:rPr>
          <w:spacing w:val="-2"/>
        </w:rPr>
        <w:t>to</w:t>
      </w:r>
      <w:r>
        <w:rPr>
          <w:spacing w:val="-8"/>
        </w:rPr>
        <w:t> </w:t>
      </w:r>
      <w:r>
        <w:rPr>
          <w:spacing w:val="-2"/>
        </w:rPr>
        <w:t>workforce</w:t>
      </w:r>
      <w:r>
        <w:rPr>
          <w:spacing w:val="-10"/>
        </w:rPr>
        <w:t> </w:t>
      </w:r>
      <w:r>
        <w:rPr>
          <w:spacing w:val="-2"/>
        </w:rPr>
        <w:t>and</w:t>
      </w:r>
      <w:r>
        <w:rPr>
          <w:spacing w:val="-10"/>
        </w:rPr>
        <w:t> </w:t>
      </w:r>
      <w:r>
        <w:rPr>
          <w:spacing w:val="-2"/>
        </w:rPr>
        <w:t>OD</w:t>
      </w:r>
      <w:r>
        <w:rPr>
          <w:spacing w:val="-14"/>
        </w:rPr>
        <w:t> </w:t>
      </w:r>
      <w:r>
        <w:rPr>
          <w:spacing w:val="-2"/>
        </w:rPr>
        <w:t>as</w:t>
      </w:r>
      <w:r>
        <w:rPr>
          <w:spacing w:val="-11"/>
        </w:rPr>
        <w:t> </w:t>
      </w:r>
      <w:r>
        <w:rPr>
          <w:spacing w:val="-2"/>
        </w:rPr>
        <w:t>part</w:t>
      </w:r>
      <w:r>
        <w:rPr>
          <w:spacing w:val="-13"/>
        </w:rPr>
        <w:t> </w:t>
      </w:r>
      <w:r>
        <w:rPr>
          <w:spacing w:val="-2"/>
        </w:rPr>
        <w:t>of</w:t>
      </w:r>
      <w:r>
        <w:rPr>
          <w:spacing w:val="-8"/>
        </w:rPr>
        <w:t> </w:t>
      </w:r>
      <w:r>
        <w:rPr>
          <w:spacing w:val="-2"/>
        </w:rPr>
        <w:t>the</w:t>
      </w:r>
      <w:r>
        <w:rPr>
          <w:spacing w:val="-10"/>
        </w:rPr>
        <w:t> </w:t>
      </w:r>
      <w:r>
        <w:rPr>
          <w:spacing w:val="-2"/>
        </w:rPr>
        <w:t>Regional</w:t>
      </w:r>
      <w:r>
        <w:rPr>
          <w:spacing w:val="-5"/>
        </w:rPr>
        <w:t> </w:t>
      </w:r>
      <w:r>
        <w:rPr>
          <w:spacing w:val="-2"/>
        </w:rPr>
        <w:t>Joint </w:t>
      </w:r>
      <w:r>
        <w:rPr/>
        <w:t>Committee workstream.</w:t>
      </w:r>
    </w:p>
    <w:p>
      <w:pPr>
        <w:pStyle w:val="BodyText"/>
        <w:spacing w:before="119"/>
        <w:rPr>
          <w:sz w:val="20"/>
        </w:rPr>
      </w:pPr>
      <w:r>
        <w:rPr>
          <w:sz w:val="20"/>
        </w:rPr>
        <mc:AlternateContent>
          <mc:Choice Requires="wps">
            <w:drawing>
              <wp:anchor distT="0" distB="0" distL="0" distR="0" allowOverlap="1" layoutInCell="1" locked="0" behindDoc="1" simplePos="0" relativeHeight="487691776">
                <wp:simplePos x="0" y="0"/>
                <wp:positionH relativeFrom="page">
                  <wp:posOffset>574992</wp:posOffset>
                </wp:positionH>
                <wp:positionV relativeFrom="paragraph">
                  <wp:posOffset>243518</wp:posOffset>
                </wp:positionV>
                <wp:extent cx="6642100" cy="193675"/>
                <wp:effectExtent l="0" t="0" r="0" b="0"/>
                <wp:wrapTopAndBottom/>
                <wp:docPr id="545" name="Textbox 545"/>
                <wp:cNvGraphicFramePr>
                  <a:graphicFrameLocks/>
                </wp:cNvGraphicFramePr>
                <a:graphic>
                  <a:graphicData uri="http://schemas.microsoft.com/office/word/2010/wordprocessingShape">
                    <wps:wsp>
                      <wps:cNvPr id="545" name="Textbox 545"/>
                      <wps:cNvSpPr txBox="1"/>
                      <wps:spPr>
                        <a:xfrm>
                          <a:off x="0" y="0"/>
                          <a:ext cx="66421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3</w:t>
                            </w:r>
                            <w:r>
                              <w:rPr>
                                <w:b/>
                                <w:color w:val="000000"/>
                                <w:sz w:val="24"/>
                              </w:rPr>
                              <w:tab/>
                            </w:r>
                            <w:r>
                              <w:rPr>
                                <w:b/>
                                <w:color w:val="000000"/>
                                <w:spacing w:val="-2"/>
                                <w:sz w:val="24"/>
                              </w:rPr>
                              <w:t>Objectives</w:t>
                            </w:r>
                          </w:p>
                        </w:txbxContent>
                      </wps:txbx>
                      <wps:bodyPr wrap="square" lIns="0" tIns="0" rIns="0" bIns="0" rtlCol="0">
                        <a:noAutofit/>
                      </wps:bodyPr>
                    </wps:wsp>
                  </a:graphicData>
                </a:graphic>
              </wp:anchor>
            </w:drawing>
          </mc:Choice>
          <mc:Fallback>
            <w:pict>
              <v:shape style="position:absolute;margin-left:45.275002pt;margin-top:19.174688pt;width:523pt;height:15.25pt;mso-position-horizontal-relative:page;mso-position-vertical-relative:paragraph;z-index:-15624704;mso-wrap-distance-left:0;mso-wrap-distance-right:0" type="#_x0000_t202" id="docshape322"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3</w:t>
                      </w:r>
                      <w:r>
                        <w:rPr>
                          <w:b/>
                          <w:color w:val="000000"/>
                          <w:sz w:val="24"/>
                        </w:rPr>
                        <w:tab/>
                      </w:r>
                      <w:r>
                        <w:rPr>
                          <w:b/>
                          <w:color w:val="000000"/>
                          <w:spacing w:val="-2"/>
                          <w:sz w:val="24"/>
                        </w:rPr>
                        <w:t>Objectives</w:t>
                      </w:r>
                    </w:p>
                  </w:txbxContent>
                </v:textbox>
                <v:fill type="solid"/>
                <v:stroke dashstyle="solid"/>
                <w10:wrap type="topAndBottom"/>
              </v:shape>
            </w:pict>
          </mc:Fallback>
        </mc:AlternateContent>
      </w:r>
    </w:p>
    <w:p>
      <w:pPr>
        <w:pStyle w:val="BodyText"/>
        <w:spacing w:before="10"/>
        <w:ind w:left="142"/>
      </w:pPr>
      <w:r>
        <w:rPr>
          <w:spacing w:val="-2"/>
        </w:rPr>
        <w:t>The</w:t>
      </w:r>
      <w:r>
        <w:rPr>
          <w:spacing w:val="-16"/>
        </w:rPr>
        <w:t> </w:t>
      </w:r>
      <w:r>
        <w:rPr>
          <w:spacing w:val="-2"/>
        </w:rPr>
        <w:t>Regional</w:t>
      </w:r>
      <w:r>
        <w:rPr>
          <w:spacing w:val="-8"/>
        </w:rPr>
        <w:t> </w:t>
      </w:r>
      <w:r>
        <w:rPr>
          <w:spacing w:val="-2"/>
        </w:rPr>
        <w:t>Workforce</w:t>
      </w:r>
      <w:r>
        <w:rPr>
          <w:spacing w:val="-10"/>
        </w:rPr>
        <w:t> </w:t>
      </w:r>
      <w:r>
        <w:rPr>
          <w:spacing w:val="-2"/>
        </w:rPr>
        <w:t>&amp;</w:t>
      </w:r>
      <w:r>
        <w:rPr>
          <w:spacing w:val="-14"/>
        </w:rPr>
        <w:t> </w:t>
      </w:r>
      <w:r>
        <w:rPr>
          <w:spacing w:val="-2"/>
        </w:rPr>
        <w:t>OD</w:t>
      </w:r>
      <w:r>
        <w:rPr>
          <w:spacing w:val="-13"/>
        </w:rPr>
        <w:t> </w:t>
      </w:r>
      <w:r>
        <w:rPr>
          <w:spacing w:val="-2"/>
        </w:rPr>
        <w:t>Subgroup</w:t>
      </w:r>
      <w:r>
        <w:rPr>
          <w:spacing w:val="-12"/>
        </w:rPr>
        <w:t> </w:t>
      </w:r>
      <w:r>
        <w:rPr>
          <w:spacing w:val="-2"/>
        </w:rPr>
        <w:t>will:</w:t>
      </w:r>
    </w:p>
    <w:p>
      <w:pPr>
        <w:pStyle w:val="ListParagraph"/>
        <w:numPr>
          <w:ilvl w:val="1"/>
          <w:numId w:val="78"/>
        </w:numPr>
        <w:tabs>
          <w:tab w:pos="862" w:val="left" w:leader="none"/>
        </w:tabs>
        <w:spacing w:line="242" w:lineRule="auto" w:before="274" w:after="0"/>
        <w:ind w:left="862" w:right="795" w:hanging="720"/>
        <w:jc w:val="left"/>
        <w:rPr>
          <w:sz w:val="24"/>
        </w:rPr>
      </w:pPr>
      <w:r>
        <w:rPr>
          <w:sz w:val="24"/>
        </w:rPr>
        <w:t>Develop/create a coordinated, sustainable regional (strategic) workforce plan/model across</w:t>
      </w:r>
      <w:r>
        <w:rPr>
          <w:spacing w:val="-3"/>
          <w:sz w:val="24"/>
        </w:rPr>
        <w:t> </w:t>
      </w:r>
      <w:r>
        <w:rPr>
          <w:sz w:val="24"/>
        </w:rPr>
        <w:t>both</w:t>
      </w:r>
      <w:r>
        <w:rPr>
          <w:spacing w:val="-3"/>
          <w:sz w:val="24"/>
        </w:rPr>
        <w:t> </w:t>
      </w:r>
      <w:r>
        <w:rPr>
          <w:sz w:val="24"/>
        </w:rPr>
        <w:t>Health</w:t>
      </w:r>
      <w:r>
        <w:rPr>
          <w:spacing w:val="-3"/>
          <w:sz w:val="24"/>
        </w:rPr>
        <w:t> </w:t>
      </w:r>
      <w:r>
        <w:rPr>
          <w:sz w:val="24"/>
        </w:rPr>
        <w:t>Boards,</w:t>
      </w:r>
      <w:r>
        <w:rPr>
          <w:spacing w:val="-5"/>
          <w:sz w:val="24"/>
        </w:rPr>
        <w:t> </w:t>
      </w:r>
      <w:r>
        <w:rPr>
          <w:sz w:val="24"/>
        </w:rPr>
        <w:t>aligning</w:t>
      </w:r>
      <w:r>
        <w:rPr>
          <w:spacing w:val="-3"/>
          <w:sz w:val="24"/>
        </w:rPr>
        <w:t> </w:t>
      </w:r>
      <w:r>
        <w:rPr>
          <w:sz w:val="24"/>
        </w:rPr>
        <w:t>service</w:t>
      </w:r>
      <w:r>
        <w:rPr>
          <w:spacing w:val="-3"/>
          <w:sz w:val="24"/>
        </w:rPr>
        <w:t> </w:t>
      </w:r>
      <w:r>
        <w:rPr>
          <w:sz w:val="24"/>
        </w:rPr>
        <w:t>and</w:t>
      </w:r>
      <w:r>
        <w:rPr>
          <w:spacing w:val="-7"/>
          <w:sz w:val="24"/>
        </w:rPr>
        <w:t> </w:t>
      </w:r>
      <w:r>
        <w:rPr>
          <w:sz w:val="24"/>
        </w:rPr>
        <w:t>workforce</w:t>
      </w:r>
      <w:r>
        <w:rPr>
          <w:spacing w:val="-3"/>
          <w:sz w:val="24"/>
        </w:rPr>
        <w:t> </w:t>
      </w:r>
      <w:r>
        <w:rPr>
          <w:sz w:val="24"/>
        </w:rPr>
        <w:t>plans</w:t>
      </w:r>
      <w:r>
        <w:rPr>
          <w:spacing w:val="-3"/>
          <w:sz w:val="24"/>
        </w:rPr>
        <w:t> </w:t>
      </w:r>
      <w:r>
        <w:rPr>
          <w:sz w:val="24"/>
        </w:rPr>
        <w:t>to</w:t>
      </w:r>
      <w:r>
        <w:rPr>
          <w:spacing w:val="-3"/>
          <w:sz w:val="24"/>
        </w:rPr>
        <w:t> </w:t>
      </w:r>
      <w:r>
        <w:rPr>
          <w:sz w:val="24"/>
        </w:rPr>
        <w:t>reduce</w:t>
      </w:r>
      <w:r>
        <w:rPr>
          <w:spacing w:val="-3"/>
          <w:sz w:val="24"/>
        </w:rPr>
        <w:t> </w:t>
      </w:r>
      <w:r>
        <w:rPr>
          <w:sz w:val="24"/>
        </w:rPr>
        <w:t>duplication and strengthen priority specialties.</w:t>
      </w:r>
    </w:p>
    <w:p>
      <w:pPr>
        <w:pStyle w:val="ListParagraph"/>
        <w:numPr>
          <w:ilvl w:val="1"/>
          <w:numId w:val="78"/>
        </w:numPr>
        <w:tabs>
          <w:tab w:pos="862" w:val="left" w:leader="none"/>
        </w:tabs>
        <w:spacing w:line="240" w:lineRule="auto" w:before="269" w:after="0"/>
        <w:ind w:left="862" w:right="633" w:hanging="720"/>
        <w:jc w:val="left"/>
        <w:rPr>
          <w:sz w:val="24"/>
        </w:rPr>
      </w:pPr>
      <w:r>
        <w:rPr>
          <w:sz w:val="24"/>
        </w:rPr>
        <w:t>Develop a regional health &amp; well-being (Occupational Health) operating model, with services aligned or shared where appropriate, that improve staff health outcomes, reduces</w:t>
      </w:r>
      <w:r>
        <w:rPr>
          <w:spacing w:val="-4"/>
          <w:sz w:val="24"/>
        </w:rPr>
        <w:t> </w:t>
      </w:r>
      <w:r>
        <w:rPr>
          <w:sz w:val="24"/>
        </w:rPr>
        <w:t>absence</w:t>
      </w:r>
      <w:r>
        <w:rPr>
          <w:spacing w:val="-3"/>
          <w:sz w:val="24"/>
        </w:rPr>
        <w:t> </w:t>
      </w:r>
      <w:r>
        <w:rPr>
          <w:sz w:val="24"/>
        </w:rPr>
        <w:t>and</w:t>
      </w:r>
      <w:r>
        <w:rPr>
          <w:spacing w:val="-3"/>
          <w:sz w:val="24"/>
        </w:rPr>
        <w:t> </w:t>
      </w:r>
      <w:r>
        <w:rPr>
          <w:sz w:val="24"/>
        </w:rPr>
        <w:t>turnover</w:t>
      </w:r>
      <w:r>
        <w:rPr>
          <w:spacing w:val="-4"/>
          <w:sz w:val="24"/>
        </w:rPr>
        <w:t> </w:t>
      </w:r>
      <w:r>
        <w:rPr>
          <w:sz w:val="24"/>
        </w:rPr>
        <w:t>and delivers</w:t>
      </w:r>
      <w:r>
        <w:rPr>
          <w:spacing w:val="-3"/>
          <w:sz w:val="24"/>
        </w:rPr>
        <w:t> </w:t>
      </w:r>
      <w:r>
        <w:rPr>
          <w:sz w:val="24"/>
        </w:rPr>
        <w:t>consistent,</w:t>
      </w:r>
      <w:r>
        <w:rPr>
          <w:spacing w:val="-5"/>
          <w:sz w:val="24"/>
        </w:rPr>
        <w:t> </w:t>
      </w:r>
      <w:r>
        <w:rPr>
          <w:sz w:val="24"/>
        </w:rPr>
        <w:t>high</w:t>
      </w:r>
      <w:r>
        <w:rPr>
          <w:spacing w:val="-3"/>
          <w:sz w:val="24"/>
        </w:rPr>
        <w:t> </w:t>
      </w:r>
      <w:r>
        <w:rPr>
          <w:sz w:val="24"/>
        </w:rPr>
        <w:t>quality</w:t>
      </w:r>
      <w:r>
        <w:rPr>
          <w:spacing w:val="-4"/>
          <w:sz w:val="24"/>
        </w:rPr>
        <w:t> </w:t>
      </w:r>
      <w:r>
        <w:rPr>
          <w:sz w:val="24"/>
        </w:rPr>
        <w:t>support</w:t>
      </w:r>
      <w:r>
        <w:rPr>
          <w:spacing w:val="-6"/>
          <w:sz w:val="24"/>
        </w:rPr>
        <w:t> </w:t>
      </w:r>
      <w:r>
        <w:rPr>
          <w:sz w:val="24"/>
        </w:rPr>
        <w:t>across</w:t>
      </w:r>
      <w:r>
        <w:rPr>
          <w:spacing w:val="-4"/>
          <w:sz w:val="24"/>
        </w:rPr>
        <w:t> </w:t>
      </w:r>
      <w:r>
        <w:rPr>
          <w:sz w:val="24"/>
        </w:rPr>
        <w:t>both Health Boards while maximising efficiency and value for money.</w:t>
      </w:r>
    </w:p>
    <w:p>
      <w:pPr>
        <w:pStyle w:val="BodyText"/>
      </w:pPr>
    </w:p>
    <w:p>
      <w:pPr>
        <w:pStyle w:val="ListParagraph"/>
        <w:numPr>
          <w:ilvl w:val="1"/>
          <w:numId w:val="78"/>
        </w:numPr>
        <w:tabs>
          <w:tab w:pos="862" w:val="left" w:leader="none"/>
        </w:tabs>
        <w:spacing w:line="240" w:lineRule="auto" w:before="1" w:after="0"/>
        <w:ind w:left="862" w:right="797" w:hanging="720"/>
        <w:jc w:val="left"/>
        <w:rPr>
          <w:sz w:val="24"/>
        </w:rPr>
      </w:pPr>
      <w:r>
        <w:rPr>
          <w:sz w:val="24"/>
        </w:rPr>
        <w:t>Work on a co-ordinated Regional Leadership Development Offer that brings senior leaders together in a collaborative way to enhance opportunities for joint learning, consistent</w:t>
      </w:r>
      <w:r>
        <w:rPr>
          <w:spacing w:val="-5"/>
          <w:sz w:val="24"/>
        </w:rPr>
        <w:t> </w:t>
      </w:r>
      <w:r>
        <w:rPr>
          <w:sz w:val="24"/>
        </w:rPr>
        <w:t>skill</w:t>
      </w:r>
      <w:r>
        <w:rPr>
          <w:spacing w:val="-3"/>
          <w:sz w:val="24"/>
        </w:rPr>
        <w:t> </w:t>
      </w:r>
      <w:r>
        <w:rPr>
          <w:sz w:val="24"/>
        </w:rPr>
        <w:t>development</w:t>
      </w:r>
      <w:r>
        <w:rPr>
          <w:spacing w:val="-5"/>
          <w:sz w:val="24"/>
        </w:rPr>
        <w:t> </w:t>
      </w:r>
      <w:r>
        <w:rPr>
          <w:sz w:val="24"/>
        </w:rPr>
        <w:t>and</w:t>
      </w:r>
      <w:r>
        <w:rPr>
          <w:spacing w:val="-3"/>
          <w:sz w:val="24"/>
        </w:rPr>
        <w:t> </w:t>
      </w:r>
      <w:r>
        <w:rPr>
          <w:sz w:val="24"/>
        </w:rPr>
        <w:t>collective</w:t>
      </w:r>
      <w:r>
        <w:rPr>
          <w:spacing w:val="-3"/>
          <w:sz w:val="24"/>
        </w:rPr>
        <w:t> </w:t>
      </w:r>
      <w:r>
        <w:rPr>
          <w:sz w:val="24"/>
        </w:rPr>
        <w:t>ways</w:t>
      </w:r>
      <w:r>
        <w:rPr>
          <w:spacing w:val="-4"/>
          <w:sz w:val="24"/>
        </w:rPr>
        <w:t> </w:t>
      </w:r>
      <w:r>
        <w:rPr>
          <w:sz w:val="24"/>
        </w:rPr>
        <w:t>of</w:t>
      </w:r>
      <w:r>
        <w:rPr>
          <w:spacing w:val="-5"/>
          <w:sz w:val="24"/>
        </w:rPr>
        <w:t> </w:t>
      </w:r>
      <w:r>
        <w:rPr>
          <w:sz w:val="24"/>
        </w:rPr>
        <w:t>working</w:t>
      </w:r>
      <w:r>
        <w:rPr>
          <w:spacing w:val="-3"/>
          <w:sz w:val="24"/>
        </w:rPr>
        <w:t> </w:t>
      </w:r>
      <w:r>
        <w:rPr>
          <w:sz w:val="24"/>
        </w:rPr>
        <w:t>across</w:t>
      </w:r>
      <w:r>
        <w:rPr>
          <w:spacing w:val="-4"/>
          <w:sz w:val="24"/>
        </w:rPr>
        <w:t> </w:t>
      </w:r>
      <w:r>
        <w:rPr>
          <w:sz w:val="24"/>
        </w:rPr>
        <w:t>the</w:t>
      </w:r>
      <w:r>
        <w:rPr>
          <w:spacing w:val="-3"/>
          <w:sz w:val="24"/>
        </w:rPr>
        <w:t> </w:t>
      </w:r>
      <w:r>
        <w:rPr>
          <w:sz w:val="24"/>
        </w:rPr>
        <w:t>Health</w:t>
      </w:r>
      <w:r>
        <w:rPr>
          <w:spacing w:val="-3"/>
          <w:sz w:val="24"/>
        </w:rPr>
        <w:t> </w:t>
      </w:r>
      <w:r>
        <w:rPr>
          <w:sz w:val="24"/>
        </w:rPr>
        <w:t>Boards.</w:t>
      </w:r>
    </w:p>
    <w:p>
      <w:pPr>
        <w:pStyle w:val="BodyText"/>
        <w:spacing w:before="118"/>
        <w:rPr>
          <w:sz w:val="20"/>
        </w:rPr>
      </w:pPr>
      <w:r>
        <w:rPr>
          <w:sz w:val="20"/>
        </w:rPr>
        <mc:AlternateContent>
          <mc:Choice Requires="wps">
            <w:drawing>
              <wp:anchor distT="0" distB="0" distL="0" distR="0" allowOverlap="1" layoutInCell="1" locked="0" behindDoc="1" simplePos="0" relativeHeight="487692288">
                <wp:simplePos x="0" y="0"/>
                <wp:positionH relativeFrom="page">
                  <wp:posOffset>574992</wp:posOffset>
                </wp:positionH>
                <wp:positionV relativeFrom="paragraph">
                  <wp:posOffset>242571</wp:posOffset>
                </wp:positionV>
                <wp:extent cx="6553200" cy="194310"/>
                <wp:effectExtent l="0" t="0" r="0" b="0"/>
                <wp:wrapTopAndBottom/>
                <wp:docPr id="546" name="Textbox 546"/>
                <wp:cNvGraphicFramePr>
                  <a:graphicFrameLocks/>
                </wp:cNvGraphicFramePr>
                <a:graphic>
                  <a:graphicData uri="http://schemas.microsoft.com/office/word/2010/wordprocessingShape">
                    <wps:wsp>
                      <wps:cNvPr id="546" name="Textbox 546"/>
                      <wps:cNvSpPr txBox="1"/>
                      <wps:spPr>
                        <a:xfrm>
                          <a:off x="0" y="0"/>
                          <a:ext cx="6553200" cy="19431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4</w:t>
                            </w:r>
                            <w:r>
                              <w:rPr>
                                <w:b/>
                                <w:color w:val="000000"/>
                                <w:sz w:val="24"/>
                              </w:rPr>
                              <w:tab/>
                            </w:r>
                            <w:r>
                              <w:rPr>
                                <w:b/>
                                <w:color w:val="000000"/>
                                <w:spacing w:val="-2"/>
                                <w:sz w:val="24"/>
                              </w:rPr>
                              <w:t>Engagement</w:t>
                            </w:r>
                          </w:p>
                        </w:txbxContent>
                      </wps:txbx>
                      <wps:bodyPr wrap="square" lIns="0" tIns="0" rIns="0" bIns="0" rtlCol="0">
                        <a:noAutofit/>
                      </wps:bodyPr>
                    </wps:wsp>
                  </a:graphicData>
                </a:graphic>
              </wp:anchor>
            </w:drawing>
          </mc:Choice>
          <mc:Fallback>
            <w:pict>
              <v:shape style="position:absolute;margin-left:45.275002pt;margin-top:19.100098pt;width:516pt;height:15.3pt;mso-position-horizontal-relative:page;mso-position-vertical-relative:paragraph;z-index:-15624192;mso-wrap-distance-left:0;mso-wrap-distance-right:0" type="#_x0000_t202" id="docshape323"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4</w:t>
                      </w:r>
                      <w:r>
                        <w:rPr>
                          <w:b/>
                          <w:color w:val="000000"/>
                          <w:sz w:val="24"/>
                        </w:rPr>
                        <w:tab/>
                      </w:r>
                      <w:r>
                        <w:rPr>
                          <w:b/>
                          <w:color w:val="000000"/>
                          <w:spacing w:val="-2"/>
                          <w:sz w:val="24"/>
                        </w:rPr>
                        <w:t>Engagement</w:t>
                      </w:r>
                    </w:p>
                  </w:txbxContent>
                </v:textbox>
                <v:fill type="solid"/>
                <v:stroke dashstyle="solid"/>
                <w10:wrap type="topAndBottom"/>
              </v:shape>
            </w:pict>
          </mc:Fallback>
        </mc:AlternateContent>
      </w:r>
    </w:p>
    <w:p>
      <w:pPr>
        <w:pStyle w:val="BodyText"/>
        <w:tabs>
          <w:tab w:pos="862" w:val="left" w:leader="none"/>
        </w:tabs>
        <w:spacing w:line="275" w:lineRule="exact" w:before="170"/>
        <w:ind w:left="142"/>
      </w:pPr>
      <w:r>
        <w:rPr>
          <w:spacing w:val="-5"/>
        </w:rPr>
        <w:t>4.1</w:t>
      </w:r>
      <w:r>
        <w:rPr/>
        <w:tab/>
      </w:r>
      <w:r>
        <w:rPr>
          <w:spacing w:val="-2"/>
        </w:rPr>
        <w:t>The</w:t>
      </w:r>
      <w:r>
        <w:rPr>
          <w:spacing w:val="-15"/>
        </w:rPr>
        <w:t> </w:t>
      </w:r>
      <w:r>
        <w:rPr>
          <w:spacing w:val="-2"/>
        </w:rPr>
        <w:t>Regional</w:t>
      </w:r>
      <w:r>
        <w:rPr>
          <w:spacing w:val="-7"/>
        </w:rPr>
        <w:t> </w:t>
      </w:r>
      <w:r>
        <w:rPr>
          <w:spacing w:val="-2"/>
        </w:rPr>
        <w:t>Workforce</w:t>
      </w:r>
      <w:r>
        <w:rPr>
          <w:spacing w:val="-7"/>
        </w:rPr>
        <w:t> </w:t>
      </w:r>
      <w:r>
        <w:rPr>
          <w:spacing w:val="-2"/>
        </w:rPr>
        <w:t>&amp;</w:t>
      </w:r>
      <w:r>
        <w:rPr>
          <w:spacing w:val="-13"/>
        </w:rPr>
        <w:t> </w:t>
      </w:r>
      <w:r>
        <w:rPr>
          <w:spacing w:val="-2"/>
        </w:rPr>
        <w:t>OD</w:t>
      </w:r>
      <w:r>
        <w:rPr>
          <w:spacing w:val="-11"/>
        </w:rPr>
        <w:t> </w:t>
      </w:r>
      <w:r>
        <w:rPr>
          <w:spacing w:val="-2"/>
        </w:rPr>
        <w:t>Subgroup</w:t>
      </w:r>
      <w:r>
        <w:rPr>
          <w:spacing w:val="-11"/>
        </w:rPr>
        <w:t> </w:t>
      </w:r>
      <w:r>
        <w:rPr>
          <w:spacing w:val="-2"/>
        </w:rPr>
        <w:t>will</w:t>
      </w:r>
      <w:r>
        <w:rPr>
          <w:spacing w:val="-8"/>
        </w:rPr>
        <w:t> </w:t>
      </w:r>
      <w:r>
        <w:rPr>
          <w:spacing w:val="-2"/>
        </w:rPr>
        <w:t>take</w:t>
      </w:r>
      <w:r>
        <w:rPr>
          <w:spacing w:val="-14"/>
        </w:rPr>
        <w:t> </w:t>
      </w:r>
      <w:r>
        <w:rPr>
          <w:spacing w:val="-2"/>
        </w:rPr>
        <w:t>a</w:t>
      </w:r>
      <w:r>
        <w:rPr>
          <w:spacing w:val="-12"/>
        </w:rPr>
        <w:t> </w:t>
      </w:r>
      <w:r>
        <w:rPr>
          <w:spacing w:val="-2"/>
        </w:rPr>
        <w:t>‘people</w:t>
      </w:r>
      <w:r>
        <w:rPr>
          <w:spacing w:val="-8"/>
        </w:rPr>
        <w:t> </w:t>
      </w:r>
      <w:r>
        <w:rPr>
          <w:spacing w:val="-2"/>
        </w:rPr>
        <w:t>first'</w:t>
      </w:r>
      <w:r>
        <w:rPr>
          <w:spacing w:val="-13"/>
        </w:rPr>
        <w:t> </w:t>
      </w:r>
      <w:r>
        <w:rPr>
          <w:spacing w:val="-2"/>
        </w:rPr>
        <w:t>approach</w:t>
      </w:r>
      <w:r>
        <w:rPr>
          <w:spacing w:val="-11"/>
        </w:rPr>
        <w:t> </w:t>
      </w:r>
      <w:r>
        <w:rPr>
          <w:spacing w:val="-2"/>
        </w:rPr>
        <w:t>–</w:t>
      </w:r>
      <w:r>
        <w:rPr>
          <w:spacing w:val="-11"/>
        </w:rPr>
        <w:t> </w:t>
      </w:r>
      <w:r>
        <w:rPr>
          <w:spacing w:val="-2"/>
        </w:rPr>
        <w:t>putting</w:t>
      </w:r>
    </w:p>
    <w:p>
      <w:pPr>
        <w:pStyle w:val="BodyText"/>
        <w:spacing w:line="275" w:lineRule="exact"/>
        <w:ind w:left="862"/>
      </w:pPr>
      <w:r>
        <w:rPr>
          <w:spacing w:val="-2"/>
        </w:rPr>
        <w:t>patients,</w:t>
      </w:r>
      <w:r>
        <w:rPr>
          <w:spacing w:val="-17"/>
        </w:rPr>
        <w:t> </w:t>
      </w:r>
      <w:r>
        <w:rPr>
          <w:spacing w:val="-2"/>
        </w:rPr>
        <w:t>our</w:t>
      </w:r>
      <w:r>
        <w:rPr>
          <w:spacing w:val="-11"/>
        </w:rPr>
        <w:t> </w:t>
      </w:r>
      <w:r>
        <w:rPr>
          <w:spacing w:val="-2"/>
        </w:rPr>
        <w:t>communities</w:t>
      </w:r>
      <w:r>
        <w:rPr>
          <w:spacing w:val="-12"/>
        </w:rPr>
        <w:t> </w:t>
      </w:r>
      <w:r>
        <w:rPr>
          <w:spacing w:val="-2"/>
        </w:rPr>
        <w:t>and</w:t>
      </w:r>
      <w:r>
        <w:rPr>
          <w:spacing w:val="-11"/>
        </w:rPr>
        <w:t> </w:t>
      </w:r>
      <w:r>
        <w:rPr>
          <w:spacing w:val="-2"/>
        </w:rPr>
        <w:t>our</w:t>
      </w:r>
      <w:r>
        <w:rPr>
          <w:spacing w:val="-12"/>
        </w:rPr>
        <w:t> </w:t>
      </w:r>
      <w:r>
        <w:rPr>
          <w:spacing w:val="-2"/>
        </w:rPr>
        <w:t>Health</w:t>
      </w:r>
      <w:r>
        <w:rPr>
          <w:spacing w:val="-11"/>
        </w:rPr>
        <w:t> </w:t>
      </w:r>
      <w:r>
        <w:rPr>
          <w:spacing w:val="-2"/>
        </w:rPr>
        <w:t>Boards’</w:t>
      </w:r>
      <w:r>
        <w:rPr>
          <w:spacing w:val="-11"/>
        </w:rPr>
        <w:t> </w:t>
      </w:r>
      <w:r>
        <w:rPr>
          <w:spacing w:val="-2"/>
        </w:rPr>
        <w:t>colleagues</w:t>
      </w:r>
      <w:r>
        <w:rPr>
          <w:spacing w:val="-12"/>
        </w:rPr>
        <w:t> </w:t>
      </w:r>
      <w:r>
        <w:rPr>
          <w:spacing w:val="-2"/>
        </w:rPr>
        <w:t>at</w:t>
      </w:r>
      <w:r>
        <w:rPr>
          <w:spacing w:val="-14"/>
        </w:rPr>
        <w:t> </w:t>
      </w:r>
      <w:r>
        <w:rPr>
          <w:spacing w:val="-2"/>
        </w:rPr>
        <w:t>the</w:t>
      </w:r>
      <w:r>
        <w:rPr>
          <w:spacing w:val="-7"/>
        </w:rPr>
        <w:t> </w:t>
      </w:r>
      <w:r>
        <w:rPr>
          <w:spacing w:val="-2"/>
        </w:rPr>
        <w:t>centre</w:t>
      </w:r>
      <w:r>
        <w:rPr>
          <w:spacing w:val="-11"/>
        </w:rPr>
        <w:t> </w:t>
      </w:r>
      <w:r>
        <w:rPr>
          <w:spacing w:val="-2"/>
        </w:rPr>
        <w:t>of</w:t>
      </w:r>
      <w:r>
        <w:rPr>
          <w:spacing w:val="-14"/>
        </w:rPr>
        <w:t> </w:t>
      </w:r>
      <w:r>
        <w:rPr>
          <w:spacing w:val="-2"/>
        </w:rPr>
        <w:t>our</w:t>
      </w:r>
      <w:r>
        <w:rPr>
          <w:spacing w:val="-12"/>
        </w:rPr>
        <w:t> </w:t>
      </w:r>
      <w:r>
        <w:rPr>
          <w:spacing w:val="-2"/>
        </w:rPr>
        <w:t>work.</w:t>
      </w:r>
    </w:p>
    <w:p>
      <w:pPr>
        <w:pStyle w:val="BodyText"/>
        <w:spacing w:before="6"/>
        <w:rPr>
          <w:sz w:val="16"/>
        </w:rPr>
      </w:pPr>
      <w:r>
        <w:rPr>
          <w:sz w:val="16"/>
        </w:rPr>
        <mc:AlternateContent>
          <mc:Choice Requires="wps">
            <w:drawing>
              <wp:anchor distT="0" distB="0" distL="0" distR="0" allowOverlap="1" layoutInCell="1" locked="0" behindDoc="1" simplePos="0" relativeHeight="487692800">
                <wp:simplePos x="0" y="0"/>
                <wp:positionH relativeFrom="page">
                  <wp:posOffset>574992</wp:posOffset>
                </wp:positionH>
                <wp:positionV relativeFrom="paragraph">
                  <wp:posOffset>142255</wp:posOffset>
                </wp:positionV>
                <wp:extent cx="6553200" cy="193675"/>
                <wp:effectExtent l="0" t="0" r="0" b="0"/>
                <wp:wrapTopAndBottom/>
                <wp:docPr id="547" name="Textbox 547"/>
                <wp:cNvGraphicFramePr>
                  <a:graphicFrameLocks/>
                </wp:cNvGraphicFramePr>
                <a:graphic>
                  <a:graphicData uri="http://schemas.microsoft.com/office/word/2010/wordprocessingShape">
                    <wps:wsp>
                      <wps:cNvPr id="547" name="Textbox 547"/>
                      <wps:cNvSpPr txBox="1"/>
                      <wps:spPr>
                        <a:xfrm>
                          <a:off x="0" y="0"/>
                          <a:ext cx="6553200" cy="193675"/>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10"/>
                                <w:sz w:val="24"/>
                              </w:rPr>
                              <w:t>5</w:t>
                            </w:r>
                            <w:r>
                              <w:rPr>
                                <w:b/>
                                <w:color w:val="000000"/>
                                <w:sz w:val="24"/>
                              </w:rPr>
                              <w:tab/>
                            </w:r>
                            <w:r>
                              <w:rPr>
                                <w:b/>
                                <w:color w:val="000000"/>
                                <w:spacing w:val="-2"/>
                                <w:sz w:val="24"/>
                              </w:rPr>
                              <w:t>Governance</w:t>
                            </w:r>
                          </w:p>
                        </w:txbxContent>
                      </wps:txbx>
                      <wps:bodyPr wrap="square" lIns="0" tIns="0" rIns="0" bIns="0" rtlCol="0">
                        <a:noAutofit/>
                      </wps:bodyPr>
                    </wps:wsp>
                  </a:graphicData>
                </a:graphic>
              </wp:anchor>
            </w:drawing>
          </mc:Choice>
          <mc:Fallback>
            <w:pict>
              <v:shape style="position:absolute;margin-left:45.275002pt;margin-top:11.201187pt;width:516pt;height:15.25pt;mso-position-horizontal-relative:page;mso-position-vertical-relative:paragraph;z-index:-15623680;mso-wrap-distance-left:0;mso-wrap-distance-right:0" type="#_x0000_t202" id="docshape324" filled="true" fillcolor="#c1a875" stroked="true" strokeweight="1pt" strokecolor="#394871">
                <v:textbox inset="0,0,0,0">
                  <w:txbxContent>
                    <w:p>
                      <w:pPr>
                        <w:tabs>
                          <w:tab w:pos="815" w:val="left" w:leader="none"/>
                        </w:tabs>
                        <w:spacing w:before="0"/>
                        <w:ind w:left="95" w:right="0" w:firstLine="0"/>
                        <w:jc w:val="left"/>
                        <w:rPr>
                          <w:b/>
                          <w:color w:val="000000"/>
                          <w:sz w:val="24"/>
                        </w:rPr>
                      </w:pPr>
                      <w:r>
                        <w:rPr>
                          <w:b/>
                          <w:color w:val="000000"/>
                          <w:spacing w:val="-10"/>
                          <w:sz w:val="24"/>
                        </w:rPr>
                        <w:t>5</w:t>
                      </w:r>
                      <w:r>
                        <w:rPr>
                          <w:b/>
                          <w:color w:val="000000"/>
                          <w:sz w:val="24"/>
                        </w:rPr>
                        <w:tab/>
                      </w:r>
                      <w:r>
                        <w:rPr>
                          <w:b/>
                          <w:color w:val="000000"/>
                          <w:spacing w:val="-2"/>
                          <w:sz w:val="24"/>
                        </w:rPr>
                        <w:t>Governance</w:t>
                      </w:r>
                    </w:p>
                  </w:txbxContent>
                </v:textbox>
                <v:fill type="solid"/>
                <v:stroke dashstyle="solid"/>
                <w10:wrap type="topAndBottom"/>
              </v:shape>
            </w:pict>
          </mc:Fallback>
        </mc:AlternateContent>
      </w:r>
    </w:p>
    <w:p>
      <w:pPr>
        <w:pStyle w:val="ListParagraph"/>
        <w:numPr>
          <w:ilvl w:val="1"/>
          <w:numId w:val="79"/>
        </w:numPr>
        <w:tabs>
          <w:tab w:pos="862" w:val="left" w:leader="none"/>
        </w:tabs>
        <w:spacing w:line="240" w:lineRule="auto" w:before="170" w:after="0"/>
        <w:ind w:left="862" w:right="495" w:hanging="720"/>
        <w:jc w:val="left"/>
        <w:rPr>
          <w:sz w:val="24"/>
        </w:rPr>
      </w:pPr>
      <w:r>
        <w:rPr>
          <w:spacing w:val="-2"/>
          <w:sz w:val="24"/>
        </w:rPr>
        <w:t>The</w:t>
      </w:r>
      <w:r>
        <w:rPr>
          <w:spacing w:val="-12"/>
          <w:sz w:val="24"/>
        </w:rPr>
        <w:t> </w:t>
      </w:r>
      <w:r>
        <w:rPr>
          <w:spacing w:val="-2"/>
          <w:sz w:val="24"/>
        </w:rPr>
        <w:t>Regional</w:t>
      </w:r>
      <w:r>
        <w:rPr>
          <w:spacing w:val="-7"/>
          <w:sz w:val="24"/>
        </w:rPr>
        <w:t> </w:t>
      </w:r>
      <w:r>
        <w:rPr>
          <w:spacing w:val="-2"/>
          <w:sz w:val="24"/>
        </w:rPr>
        <w:t>Workforce</w:t>
      </w:r>
      <w:r>
        <w:rPr>
          <w:spacing w:val="-8"/>
          <w:sz w:val="24"/>
        </w:rPr>
        <w:t> </w:t>
      </w:r>
      <w:r>
        <w:rPr>
          <w:spacing w:val="-2"/>
          <w:sz w:val="24"/>
        </w:rPr>
        <w:t>&amp;</w:t>
      </w:r>
      <w:r>
        <w:rPr>
          <w:spacing w:val="-13"/>
          <w:sz w:val="24"/>
        </w:rPr>
        <w:t> </w:t>
      </w:r>
      <w:r>
        <w:rPr>
          <w:spacing w:val="-2"/>
          <w:sz w:val="24"/>
        </w:rPr>
        <w:t>OD</w:t>
      </w:r>
      <w:r>
        <w:rPr>
          <w:spacing w:val="-12"/>
          <w:sz w:val="24"/>
        </w:rPr>
        <w:t> </w:t>
      </w:r>
      <w:r>
        <w:rPr>
          <w:spacing w:val="-2"/>
          <w:sz w:val="24"/>
        </w:rPr>
        <w:t>Subgroup</w:t>
      </w:r>
      <w:r>
        <w:rPr>
          <w:spacing w:val="-12"/>
          <w:sz w:val="24"/>
        </w:rPr>
        <w:t> </w:t>
      </w:r>
      <w:r>
        <w:rPr>
          <w:spacing w:val="-2"/>
          <w:sz w:val="24"/>
        </w:rPr>
        <w:t>will</w:t>
      </w:r>
      <w:r>
        <w:rPr>
          <w:spacing w:val="-12"/>
          <w:sz w:val="24"/>
        </w:rPr>
        <w:t> </w:t>
      </w:r>
      <w:r>
        <w:rPr>
          <w:spacing w:val="-2"/>
          <w:sz w:val="24"/>
        </w:rPr>
        <w:t>operate</w:t>
      </w:r>
      <w:r>
        <w:rPr>
          <w:spacing w:val="-12"/>
          <w:sz w:val="24"/>
        </w:rPr>
        <w:t> </w:t>
      </w:r>
      <w:r>
        <w:rPr>
          <w:spacing w:val="-2"/>
          <w:sz w:val="24"/>
        </w:rPr>
        <w:t>in</w:t>
      </w:r>
      <w:r>
        <w:rPr>
          <w:spacing w:val="-12"/>
          <w:sz w:val="24"/>
        </w:rPr>
        <w:t> </w:t>
      </w:r>
      <w:r>
        <w:rPr>
          <w:spacing w:val="-2"/>
          <w:sz w:val="24"/>
        </w:rPr>
        <w:t>accordance</w:t>
      </w:r>
      <w:r>
        <w:rPr>
          <w:spacing w:val="-12"/>
          <w:sz w:val="24"/>
        </w:rPr>
        <w:t> </w:t>
      </w:r>
      <w:r>
        <w:rPr>
          <w:spacing w:val="-2"/>
          <w:sz w:val="24"/>
        </w:rPr>
        <w:t>with</w:t>
      </w:r>
      <w:r>
        <w:rPr>
          <w:spacing w:val="-12"/>
          <w:sz w:val="24"/>
        </w:rPr>
        <w:t> </w:t>
      </w:r>
      <w:r>
        <w:rPr>
          <w:spacing w:val="-2"/>
          <w:sz w:val="24"/>
        </w:rPr>
        <w:t>the</w:t>
      </w:r>
      <w:r>
        <w:rPr>
          <w:spacing w:val="-12"/>
          <w:sz w:val="24"/>
        </w:rPr>
        <w:t> </w:t>
      </w:r>
      <w:r>
        <w:rPr>
          <w:spacing w:val="-2"/>
          <w:sz w:val="24"/>
        </w:rPr>
        <w:t>Regional</w:t>
      </w:r>
      <w:r>
        <w:rPr>
          <w:spacing w:val="-12"/>
          <w:sz w:val="24"/>
        </w:rPr>
        <w:t> </w:t>
      </w:r>
      <w:r>
        <w:rPr>
          <w:spacing w:val="-2"/>
          <w:sz w:val="24"/>
        </w:rPr>
        <w:t>Joint </w:t>
      </w:r>
      <w:r>
        <w:rPr>
          <w:sz w:val="24"/>
        </w:rPr>
        <w:t>Committee</w:t>
      </w:r>
      <w:r>
        <w:rPr>
          <w:spacing w:val="-17"/>
          <w:sz w:val="24"/>
        </w:rPr>
        <w:t> </w:t>
      </w:r>
      <w:r>
        <w:rPr>
          <w:sz w:val="24"/>
        </w:rPr>
        <w:t>design</w:t>
      </w:r>
      <w:r>
        <w:rPr>
          <w:spacing w:val="-14"/>
          <w:sz w:val="24"/>
        </w:rPr>
        <w:t> </w:t>
      </w:r>
      <w:r>
        <w:rPr>
          <w:sz w:val="24"/>
        </w:rPr>
        <w:t>principles</w:t>
      </w:r>
      <w:r>
        <w:rPr>
          <w:spacing w:val="-14"/>
          <w:sz w:val="24"/>
        </w:rPr>
        <w:t> </w:t>
      </w:r>
      <w:r>
        <w:rPr>
          <w:sz w:val="24"/>
        </w:rPr>
        <w:t>(agreed</w:t>
      </w:r>
      <w:r>
        <w:rPr>
          <w:spacing w:val="-13"/>
          <w:sz w:val="24"/>
        </w:rPr>
        <w:t> </w:t>
      </w:r>
      <w:r>
        <w:rPr>
          <w:sz w:val="24"/>
        </w:rPr>
        <w:t>set</w:t>
      </w:r>
      <w:r>
        <w:rPr>
          <w:spacing w:val="-16"/>
          <w:sz w:val="24"/>
        </w:rPr>
        <w:t> </w:t>
      </w:r>
      <w:r>
        <w:rPr>
          <w:sz w:val="24"/>
        </w:rPr>
        <w:t>of</w:t>
      </w:r>
      <w:r>
        <w:rPr>
          <w:spacing w:val="-16"/>
          <w:sz w:val="24"/>
        </w:rPr>
        <w:t> </w:t>
      </w:r>
      <w:r>
        <w:rPr>
          <w:sz w:val="24"/>
        </w:rPr>
        <w:t>rules</w:t>
      </w:r>
      <w:r>
        <w:rPr>
          <w:spacing w:val="-10"/>
          <w:sz w:val="24"/>
        </w:rPr>
        <w:t> </w:t>
      </w:r>
      <w:r>
        <w:rPr>
          <w:sz w:val="24"/>
        </w:rPr>
        <w:t>defining</w:t>
      </w:r>
      <w:r>
        <w:rPr>
          <w:spacing w:val="-13"/>
          <w:sz w:val="24"/>
        </w:rPr>
        <w:t> </w:t>
      </w:r>
      <w:r>
        <w:rPr>
          <w:sz w:val="24"/>
        </w:rPr>
        <w:t>purpose</w:t>
      </w:r>
      <w:r>
        <w:rPr>
          <w:spacing w:val="-9"/>
          <w:sz w:val="24"/>
        </w:rPr>
        <w:t> </w:t>
      </w:r>
      <w:r>
        <w:rPr>
          <w:sz w:val="24"/>
        </w:rPr>
        <w:t>through</w:t>
      </w:r>
      <w:r>
        <w:rPr>
          <w:spacing w:val="-17"/>
          <w:sz w:val="24"/>
        </w:rPr>
        <w:t> </w:t>
      </w:r>
      <w:r>
        <w:rPr>
          <w:sz w:val="24"/>
        </w:rPr>
        <w:t>intention</w:t>
      </w:r>
      <w:r>
        <w:rPr>
          <w:spacing w:val="-13"/>
          <w:sz w:val="24"/>
        </w:rPr>
        <w:t> </w:t>
      </w:r>
      <w:r>
        <w:rPr>
          <w:sz w:val="24"/>
        </w:rPr>
        <w:t>and behaviour)</w:t>
      </w:r>
      <w:r>
        <w:rPr>
          <w:spacing w:val="-10"/>
          <w:sz w:val="24"/>
        </w:rPr>
        <w:t> </w:t>
      </w:r>
      <w:r>
        <w:rPr>
          <w:sz w:val="24"/>
        </w:rPr>
        <w:t>which</w:t>
      </w:r>
      <w:r>
        <w:rPr>
          <w:spacing w:val="-9"/>
          <w:sz w:val="24"/>
        </w:rPr>
        <w:t> </w:t>
      </w:r>
      <w:r>
        <w:rPr>
          <w:sz w:val="24"/>
        </w:rPr>
        <w:t>have</w:t>
      </w:r>
      <w:r>
        <w:rPr>
          <w:spacing w:val="-9"/>
          <w:sz w:val="24"/>
        </w:rPr>
        <w:t> </w:t>
      </w:r>
      <w:r>
        <w:rPr>
          <w:sz w:val="24"/>
        </w:rPr>
        <w:t>been</w:t>
      </w:r>
      <w:r>
        <w:rPr>
          <w:spacing w:val="-9"/>
          <w:sz w:val="24"/>
        </w:rPr>
        <w:t> </w:t>
      </w:r>
      <w:r>
        <w:rPr>
          <w:sz w:val="24"/>
        </w:rPr>
        <w:t>agreed</w:t>
      </w:r>
      <w:r>
        <w:rPr>
          <w:spacing w:val="-9"/>
          <w:sz w:val="24"/>
        </w:rPr>
        <w:t> </w:t>
      </w:r>
      <w:r>
        <w:rPr>
          <w:sz w:val="24"/>
        </w:rPr>
        <w:t>by</w:t>
      </w:r>
      <w:r>
        <w:rPr>
          <w:spacing w:val="-15"/>
          <w:sz w:val="24"/>
        </w:rPr>
        <w:t> </w:t>
      </w:r>
      <w:r>
        <w:rPr>
          <w:sz w:val="24"/>
        </w:rPr>
        <w:t>both</w:t>
      </w:r>
      <w:r>
        <w:rPr>
          <w:spacing w:val="-4"/>
          <w:sz w:val="24"/>
        </w:rPr>
        <w:t> </w:t>
      </w:r>
      <w:r>
        <w:rPr>
          <w:sz w:val="24"/>
        </w:rPr>
        <w:t>Boards</w:t>
      </w:r>
      <w:r>
        <w:rPr>
          <w:spacing w:val="-15"/>
          <w:sz w:val="24"/>
        </w:rPr>
        <w:t> </w:t>
      </w:r>
      <w:r>
        <w:rPr>
          <w:sz w:val="24"/>
        </w:rPr>
        <w:t>in</w:t>
      </w:r>
      <w:r>
        <w:rPr>
          <w:spacing w:val="-9"/>
          <w:sz w:val="24"/>
        </w:rPr>
        <w:t> </w:t>
      </w:r>
      <w:r>
        <w:rPr>
          <w:sz w:val="24"/>
        </w:rPr>
        <w:t>November</w:t>
      </w:r>
      <w:r>
        <w:rPr>
          <w:spacing w:val="-10"/>
          <w:sz w:val="24"/>
        </w:rPr>
        <w:t> </w:t>
      </w:r>
      <w:r>
        <w:rPr>
          <w:sz w:val="24"/>
        </w:rPr>
        <w:t>2024.</w:t>
      </w:r>
      <w:r>
        <w:rPr>
          <w:spacing w:val="-12"/>
          <w:sz w:val="24"/>
        </w:rPr>
        <w:t> </w:t>
      </w:r>
      <w:r>
        <w:rPr>
          <w:sz w:val="24"/>
        </w:rPr>
        <w:t>The</w:t>
      </w:r>
      <w:r>
        <w:rPr>
          <w:spacing w:val="-9"/>
          <w:sz w:val="24"/>
        </w:rPr>
        <w:t> </w:t>
      </w:r>
      <w:r>
        <w:rPr>
          <w:sz w:val="24"/>
        </w:rPr>
        <w:t>benefits</w:t>
      </w:r>
      <w:r>
        <w:rPr>
          <w:spacing w:val="-10"/>
          <w:sz w:val="24"/>
        </w:rPr>
        <w:t> </w:t>
      </w:r>
      <w:r>
        <w:rPr>
          <w:sz w:val="24"/>
        </w:rPr>
        <w:t>of using design principles are as follows:</w:t>
      </w:r>
    </w:p>
    <w:p>
      <w:pPr>
        <w:pStyle w:val="ListParagraph"/>
        <w:numPr>
          <w:ilvl w:val="2"/>
          <w:numId w:val="79"/>
        </w:numPr>
        <w:tabs>
          <w:tab w:pos="1277" w:val="left" w:leader="none"/>
        </w:tabs>
        <w:spacing w:line="240" w:lineRule="auto" w:before="161" w:after="0"/>
        <w:ind w:left="1277" w:right="0" w:hanging="360"/>
        <w:jc w:val="left"/>
        <w:rPr>
          <w:sz w:val="24"/>
        </w:rPr>
      </w:pPr>
      <w:r>
        <w:rPr>
          <w:spacing w:val="-2"/>
          <w:sz w:val="24"/>
        </w:rPr>
        <w:t>They</w:t>
      </w:r>
      <w:r>
        <w:rPr>
          <w:spacing w:val="-13"/>
          <w:sz w:val="24"/>
        </w:rPr>
        <w:t> </w:t>
      </w:r>
      <w:r>
        <w:rPr>
          <w:spacing w:val="-2"/>
          <w:sz w:val="24"/>
        </w:rPr>
        <w:t>will</w:t>
      </w:r>
      <w:r>
        <w:rPr>
          <w:spacing w:val="-9"/>
          <w:sz w:val="24"/>
        </w:rPr>
        <w:t> </w:t>
      </w:r>
      <w:r>
        <w:rPr>
          <w:spacing w:val="-2"/>
          <w:sz w:val="24"/>
        </w:rPr>
        <w:t>embed</w:t>
      </w:r>
      <w:r>
        <w:rPr>
          <w:spacing w:val="-9"/>
          <w:sz w:val="24"/>
        </w:rPr>
        <w:t> </w:t>
      </w:r>
      <w:r>
        <w:rPr>
          <w:spacing w:val="-2"/>
          <w:sz w:val="24"/>
        </w:rPr>
        <w:t>our</w:t>
      </w:r>
      <w:r>
        <w:rPr>
          <w:spacing w:val="-11"/>
          <w:sz w:val="24"/>
        </w:rPr>
        <w:t> </w:t>
      </w:r>
      <w:r>
        <w:rPr>
          <w:spacing w:val="-2"/>
          <w:sz w:val="24"/>
        </w:rPr>
        <w:t>values</w:t>
      </w:r>
      <w:r>
        <w:rPr>
          <w:spacing w:val="-10"/>
          <w:sz w:val="24"/>
        </w:rPr>
        <w:t> </w:t>
      </w:r>
      <w:r>
        <w:rPr>
          <w:spacing w:val="-2"/>
          <w:sz w:val="24"/>
        </w:rPr>
        <w:t>in</w:t>
      </w:r>
      <w:r>
        <w:rPr>
          <w:spacing w:val="-9"/>
          <w:sz w:val="24"/>
        </w:rPr>
        <w:t> </w:t>
      </w:r>
      <w:r>
        <w:rPr>
          <w:spacing w:val="-2"/>
          <w:sz w:val="24"/>
        </w:rPr>
        <w:t>our</w:t>
      </w:r>
      <w:r>
        <w:rPr>
          <w:spacing w:val="-10"/>
          <w:sz w:val="24"/>
        </w:rPr>
        <w:t> </w:t>
      </w:r>
      <w:r>
        <w:rPr>
          <w:spacing w:val="-2"/>
          <w:sz w:val="24"/>
        </w:rPr>
        <w:t>behaviours</w:t>
      </w:r>
      <w:r>
        <w:rPr>
          <w:spacing w:val="-10"/>
          <w:sz w:val="24"/>
        </w:rPr>
        <w:t> </w:t>
      </w:r>
      <w:r>
        <w:rPr>
          <w:spacing w:val="-2"/>
          <w:sz w:val="24"/>
        </w:rPr>
        <w:t>and</w:t>
      </w:r>
      <w:r>
        <w:rPr>
          <w:spacing w:val="-14"/>
          <w:sz w:val="24"/>
        </w:rPr>
        <w:t> </w:t>
      </w:r>
      <w:r>
        <w:rPr>
          <w:spacing w:val="-2"/>
          <w:sz w:val="24"/>
        </w:rPr>
        <w:t>actions;</w:t>
      </w:r>
    </w:p>
    <w:p>
      <w:pPr>
        <w:pStyle w:val="ListParagraph"/>
        <w:numPr>
          <w:ilvl w:val="2"/>
          <w:numId w:val="79"/>
        </w:numPr>
        <w:tabs>
          <w:tab w:pos="1277" w:val="left" w:leader="none"/>
        </w:tabs>
        <w:spacing w:line="240" w:lineRule="auto" w:before="118" w:after="0"/>
        <w:ind w:left="1277" w:right="0" w:hanging="360"/>
        <w:jc w:val="left"/>
        <w:rPr>
          <w:sz w:val="24"/>
        </w:rPr>
      </w:pPr>
      <w:r>
        <w:rPr>
          <w:spacing w:val="-2"/>
          <w:sz w:val="24"/>
        </w:rPr>
        <w:t>They</w:t>
      </w:r>
      <w:r>
        <w:rPr>
          <w:spacing w:val="-15"/>
          <w:sz w:val="24"/>
        </w:rPr>
        <w:t> </w:t>
      </w:r>
      <w:r>
        <w:rPr>
          <w:spacing w:val="-2"/>
          <w:sz w:val="24"/>
        </w:rPr>
        <w:t>will</w:t>
      </w:r>
      <w:r>
        <w:rPr>
          <w:spacing w:val="-10"/>
          <w:sz w:val="24"/>
        </w:rPr>
        <w:t> </w:t>
      </w:r>
      <w:r>
        <w:rPr>
          <w:spacing w:val="-2"/>
          <w:sz w:val="24"/>
        </w:rPr>
        <w:t>provide</w:t>
      </w:r>
      <w:r>
        <w:rPr>
          <w:spacing w:val="-9"/>
          <w:sz w:val="24"/>
        </w:rPr>
        <w:t> </w:t>
      </w:r>
      <w:r>
        <w:rPr>
          <w:spacing w:val="-2"/>
          <w:sz w:val="24"/>
        </w:rPr>
        <w:t>a</w:t>
      </w:r>
      <w:r>
        <w:rPr>
          <w:spacing w:val="-10"/>
          <w:sz w:val="24"/>
        </w:rPr>
        <w:t> </w:t>
      </w:r>
      <w:r>
        <w:rPr>
          <w:spacing w:val="-2"/>
          <w:sz w:val="24"/>
        </w:rPr>
        <w:t>compass</w:t>
      </w:r>
      <w:r>
        <w:rPr>
          <w:spacing w:val="-11"/>
          <w:sz w:val="24"/>
        </w:rPr>
        <w:t> </w:t>
      </w:r>
      <w:r>
        <w:rPr>
          <w:spacing w:val="-2"/>
          <w:sz w:val="24"/>
        </w:rPr>
        <w:t>point</w:t>
      </w:r>
      <w:r>
        <w:rPr>
          <w:spacing w:val="-15"/>
          <w:sz w:val="24"/>
        </w:rPr>
        <w:t> </w:t>
      </w:r>
      <w:r>
        <w:rPr>
          <w:spacing w:val="-2"/>
          <w:sz w:val="24"/>
        </w:rPr>
        <w:t>when</w:t>
      </w:r>
      <w:r>
        <w:rPr>
          <w:spacing w:val="-10"/>
          <w:sz w:val="24"/>
        </w:rPr>
        <w:t> </w:t>
      </w:r>
      <w:r>
        <w:rPr>
          <w:spacing w:val="-2"/>
          <w:sz w:val="24"/>
        </w:rPr>
        <w:t>conflict</w:t>
      </w:r>
      <w:r>
        <w:rPr>
          <w:spacing w:val="-12"/>
          <w:sz w:val="24"/>
        </w:rPr>
        <w:t> </w:t>
      </w:r>
      <w:r>
        <w:rPr>
          <w:spacing w:val="-2"/>
          <w:sz w:val="24"/>
        </w:rPr>
        <w:t>or</w:t>
      </w:r>
      <w:r>
        <w:rPr>
          <w:spacing w:val="-15"/>
          <w:sz w:val="24"/>
        </w:rPr>
        <w:t> </w:t>
      </w:r>
      <w:r>
        <w:rPr>
          <w:spacing w:val="-2"/>
          <w:sz w:val="24"/>
        </w:rPr>
        <w:t>disagreement</w:t>
      </w:r>
      <w:r>
        <w:rPr>
          <w:spacing w:val="-12"/>
          <w:sz w:val="24"/>
        </w:rPr>
        <w:t> </w:t>
      </w:r>
      <w:r>
        <w:rPr>
          <w:spacing w:val="-2"/>
          <w:sz w:val="24"/>
        </w:rPr>
        <w:t>occurs;</w:t>
      </w:r>
    </w:p>
    <w:p>
      <w:pPr>
        <w:pStyle w:val="ListParagraph"/>
        <w:numPr>
          <w:ilvl w:val="2"/>
          <w:numId w:val="79"/>
        </w:numPr>
        <w:tabs>
          <w:tab w:pos="1277" w:val="left" w:leader="none"/>
        </w:tabs>
        <w:spacing w:line="240" w:lineRule="auto" w:before="119" w:after="0"/>
        <w:ind w:left="1277" w:right="0" w:hanging="360"/>
        <w:jc w:val="left"/>
        <w:rPr>
          <w:sz w:val="24"/>
        </w:rPr>
      </w:pPr>
      <w:r>
        <w:rPr>
          <w:spacing w:val="-2"/>
          <w:sz w:val="24"/>
        </w:rPr>
        <w:t>They</w:t>
      </w:r>
      <w:r>
        <w:rPr>
          <w:spacing w:val="-10"/>
          <w:sz w:val="24"/>
        </w:rPr>
        <w:t> </w:t>
      </w:r>
      <w:r>
        <w:rPr>
          <w:spacing w:val="-2"/>
          <w:sz w:val="24"/>
        </w:rPr>
        <w:t>will</w:t>
      </w:r>
      <w:r>
        <w:rPr>
          <w:spacing w:val="-9"/>
          <w:sz w:val="24"/>
        </w:rPr>
        <w:t> </w:t>
      </w:r>
      <w:r>
        <w:rPr>
          <w:spacing w:val="-2"/>
          <w:sz w:val="24"/>
        </w:rPr>
        <w:t>ensure</w:t>
      </w:r>
      <w:r>
        <w:rPr>
          <w:spacing w:val="-9"/>
          <w:sz w:val="24"/>
        </w:rPr>
        <w:t> </w:t>
      </w:r>
      <w:r>
        <w:rPr>
          <w:spacing w:val="-2"/>
          <w:sz w:val="24"/>
        </w:rPr>
        <w:t>we</w:t>
      </w:r>
      <w:r>
        <w:rPr>
          <w:spacing w:val="-9"/>
          <w:sz w:val="24"/>
        </w:rPr>
        <w:t> </w:t>
      </w:r>
      <w:r>
        <w:rPr>
          <w:spacing w:val="-2"/>
          <w:sz w:val="24"/>
        </w:rPr>
        <w:t>are</w:t>
      </w:r>
      <w:r>
        <w:rPr>
          <w:spacing w:val="-4"/>
          <w:sz w:val="24"/>
        </w:rPr>
        <w:t> </w:t>
      </w:r>
      <w:r>
        <w:rPr>
          <w:spacing w:val="-2"/>
          <w:sz w:val="24"/>
        </w:rPr>
        <w:t>consistent</w:t>
      </w:r>
      <w:r>
        <w:rPr>
          <w:spacing w:val="-12"/>
          <w:sz w:val="24"/>
        </w:rPr>
        <w:t> </w:t>
      </w:r>
      <w:r>
        <w:rPr>
          <w:spacing w:val="-2"/>
          <w:sz w:val="24"/>
        </w:rPr>
        <w:t>in</w:t>
      </w:r>
      <w:r>
        <w:rPr>
          <w:spacing w:val="-9"/>
          <w:sz w:val="24"/>
        </w:rPr>
        <w:t> </w:t>
      </w:r>
      <w:r>
        <w:rPr>
          <w:spacing w:val="-2"/>
          <w:sz w:val="24"/>
        </w:rPr>
        <w:t>what</w:t>
      </w:r>
      <w:r>
        <w:rPr>
          <w:spacing w:val="-11"/>
          <w:sz w:val="24"/>
        </w:rPr>
        <w:t> </w:t>
      </w:r>
      <w:r>
        <w:rPr>
          <w:spacing w:val="-2"/>
          <w:sz w:val="24"/>
        </w:rPr>
        <w:t>we</w:t>
      </w:r>
      <w:r>
        <w:rPr>
          <w:spacing w:val="-9"/>
          <w:sz w:val="24"/>
        </w:rPr>
        <w:t> </w:t>
      </w:r>
      <w:r>
        <w:rPr>
          <w:spacing w:val="-2"/>
          <w:sz w:val="24"/>
        </w:rPr>
        <w:t>say</w:t>
      </w:r>
      <w:r>
        <w:rPr>
          <w:spacing w:val="-15"/>
          <w:sz w:val="24"/>
        </w:rPr>
        <w:t> </w:t>
      </w:r>
      <w:r>
        <w:rPr>
          <w:spacing w:val="-2"/>
          <w:sz w:val="24"/>
        </w:rPr>
        <w:t>and</w:t>
      </w:r>
      <w:r>
        <w:rPr>
          <w:spacing w:val="-9"/>
          <w:sz w:val="24"/>
        </w:rPr>
        <w:t> </w:t>
      </w:r>
      <w:r>
        <w:rPr>
          <w:spacing w:val="-2"/>
          <w:sz w:val="24"/>
        </w:rPr>
        <w:t>do;</w:t>
      </w:r>
      <w:r>
        <w:rPr>
          <w:spacing w:val="-11"/>
          <w:sz w:val="24"/>
        </w:rPr>
        <w:t> </w:t>
      </w:r>
      <w:r>
        <w:rPr>
          <w:spacing w:val="-5"/>
          <w:sz w:val="24"/>
        </w:rPr>
        <w:t>and</w:t>
      </w:r>
    </w:p>
    <w:p>
      <w:pPr>
        <w:pStyle w:val="ListParagraph"/>
        <w:numPr>
          <w:ilvl w:val="2"/>
          <w:numId w:val="79"/>
        </w:numPr>
        <w:tabs>
          <w:tab w:pos="1277" w:val="left" w:leader="none"/>
        </w:tabs>
        <w:spacing w:line="240" w:lineRule="auto" w:before="123" w:after="0"/>
        <w:ind w:left="1277" w:right="0" w:hanging="360"/>
        <w:jc w:val="left"/>
        <w:rPr>
          <w:sz w:val="24"/>
        </w:rPr>
      </w:pPr>
      <w:r>
        <w:rPr>
          <w:spacing w:val="-2"/>
          <w:sz w:val="24"/>
        </w:rPr>
        <w:t>They</w:t>
      </w:r>
      <w:r>
        <w:rPr>
          <w:spacing w:val="-15"/>
          <w:sz w:val="24"/>
        </w:rPr>
        <w:t> </w:t>
      </w:r>
      <w:r>
        <w:rPr>
          <w:spacing w:val="-2"/>
          <w:sz w:val="24"/>
        </w:rPr>
        <w:t>are</w:t>
      </w:r>
      <w:r>
        <w:rPr>
          <w:spacing w:val="-15"/>
          <w:sz w:val="24"/>
        </w:rPr>
        <w:t> </w:t>
      </w:r>
      <w:r>
        <w:rPr>
          <w:spacing w:val="-2"/>
          <w:sz w:val="24"/>
        </w:rPr>
        <w:t>universally</w:t>
      </w:r>
      <w:r>
        <w:rPr>
          <w:spacing w:val="-14"/>
          <w:sz w:val="24"/>
        </w:rPr>
        <w:t> </w:t>
      </w:r>
      <w:r>
        <w:rPr>
          <w:spacing w:val="-2"/>
          <w:sz w:val="24"/>
        </w:rPr>
        <w:t>understood</w:t>
      </w:r>
      <w:r>
        <w:rPr>
          <w:spacing w:val="-15"/>
          <w:sz w:val="24"/>
        </w:rPr>
        <w:t> </w:t>
      </w:r>
      <w:r>
        <w:rPr>
          <w:spacing w:val="-2"/>
          <w:sz w:val="24"/>
        </w:rPr>
        <w:t>and</w:t>
      </w:r>
      <w:r>
        <w:rPr>
          <w:spacing w:val="-11"/>
          <w:sz w:val="24"/>
        </w:rPr>
        <w:t> </w:t>
      </w:r>
      <w:r>
        <w:rPr>
          <w:spacing w:val="-2"/>
          <w:sz w:val="24"/>
        </w:rPr>
        <w:t>accepted.</w:t>
      </w:r>
    </w:p>
    <w:p>
      <w:pPr>
        <w:pStyle w:val="BodyText"/>
        <w:rPr>
          <w:sz w:val="20"/>
        </w:rPr>
      </w:pPr>
    </w:p>
    <w:p>
      <w:pPr>
        <w:pStyle w:val="BodyText"/>
        <w:rPr>
          <w:sz w:val="20"/>
        </w:rPr>
      </w:pPr>
    </w:p>
    <w:p>
      <w:pPr>
        <w:pStyle w:val="BodyText"/>
        <w:rPr>
          <w:sz w:val="20"/>
        </w:rPr>
      </w:pPr>
    </w:p>
    <w:p>
      <w:pPr>
        <w:spacing w:before="0"/>
        <w:ind w:left="4" w:right="284" w:firstLine="0"/>
        <w:jc w:val="center"/>
        <w:rPr>
          <w:sz w:val="20"/>
        </w:rPr>
      </w:pPr>
      <w:r>
        <w:rPr>
          <w:spacing w:val="-10"/>
          <w:sz w:val="20"/>
        </w:rPr>
        <w:t>2</w:t>
      </w:r>
    </w:p>
    <w:p>
      <w:pPr>
        <w:spacing w:after="0"/>
        <w:jc w:val="center"/>
        <w:rPr>
          <w:sz w:val="20"/>
        </w:rPr>
        <w:sectPr>
          <w:pgSz w:w="11910" w:h="16840"/>
          <w:pgMar w:header="0" w:footer="149" w:top="1200" w:bottom="340" w:left="708" w:right="425"/>
        </w:sectPr>
      </w:pPr>
    </w:p>
    <w:p>
      <w:pPr>
        <w:pStyle w:val="ListParagraph"/>
        <w:numPr>
          <w:ilvl w:val="1"/>
          <w:numId w:val="79"/>
        </w:numPr>
        <w:tabs>
          <w:tab w:pos="782" w:val="left" w:leader="none"/>
        </w:tabs>
        <w:spacing w:line="240" w:lineRule="auto" w:before="75" w:after="0"/>
        <w:ind w:left="782" w:right="0" w:hanging="640"/>
        <w:jc w:val="left"/>
        <w:rPr>
          <w:sz w:val="24"/>
        </w:rPr>
      </w:pPr>
      <w:r>
        <w:rPr>
          <w:spacing w:val="-2"/>
          <w:sz w:val="24"/>
        </w:rPr>
        <w:t>The</w:t>
      </w:r>
      <w:r>
        <w:rPr>
          <w:spacing w:val="-15"/>
          <w:sz w:val="24"/>
        </w:rPr>
        <w:t> </w:t>
      </w:r>
      <w:r>
        <w:rPr>
          <w:spacing w:val="-2"/>
          <w:sz w:val="24"/>
        </w:rPr>
        <w:t>design</w:t>
      </w:r>
      <w:r>
        <w:rPr>
          <w:spacing w:val="-10"/>
          <w:sz w:val="24"/>
        </w:rPr>
        <w:t> </w:t>
      </w:r>
      <w:r>
        <w:rPr>
          <w:spacing w:val="-2"/>
          <w:sz w:val="24"/>
        </w:rPr>
        <w:t>principles</w:t>
      </w:r>
      <w:r>
        <w:rPr>
          <w:spacing w:val="-15"/>
          <w:sz w:val="24"/>
        </w:rPr>
        <w:t> </w:t>
      </w:r>
      <w:r>
        <w:rPr>
          <w:spacing w:val="-2"/>
          <w:sz w:val="24"/>
        </w:rPr>
        <w:t>agreed</w:t>
      </w:r>
      <w:r>
        <w:rPr>
          <w:spacing w:val="-10"/>
          <w:sz w:val="24"/>
        </w:rPr>
        <w:t> </w:t>
      </w:r>
      <w:r>
        <w:rPr>
          <w:spacing w:val="-2"/>
          <w:sz w:val="24"/>
        </w:rPr>
        <w:t>by</w:t>
      </w:r>
      <w:r>
        <w:rPr>
          <w:spacing w:val="-10"/>
          <w:sz w:val="24"/>
        </w:rPr>
        <w:t> </w:t>
      </w:r>
      <w:r>
        <w:rPr>
          <w:spacing w:val="-2"/>
          <w:sz w:val="24"/>
        </w:rPr>
        <w:t>both</w:t>
      </w:r>
      <w:r>
        <w:rPr>
          <w:spacing w:val="-10"/>
          <w:sz w:val="24"/>
        </w:rPr>
        <w:t> </w:t>
      </w:r>
      <w:r>
        <w:rPr>
          <w:spacing w:val="-2"/>
          <w:sz w:val="24"/>
        </w:rPr>
        <w:t>Boards</w:t>
      </w:r>
      <w:r>
        <w:rPr>
          <w:spacing w:val="-14"/>
          <w:sz w:val="24"/>
        </w:rPr>
        <w:t> </w:t>
      </w:r>
      <w:r>
        <w:rPr>
          <w:spacing w:val="-4"/>
          <w:sz w:val="24"/>
        </w:rPr>
        <w:t>are:</w:t>
      </w:r>
    </w:p>
    <w:p>
      <w:pPr>
        <w:pStyle w:val="BodyText"/>
        <w:spacing w:before="4"/>
        <w:rPr>
          <w:sz w:val="10"/>
        </w:rPr>
      </w:pPr>
    </w:p>
    <w:tbl>
      <w:tblPr>
        <w:tblW w:w="0" w:type="auto"/>
        <w:jc w:val="left"/>
        <w:tblInd w:w="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86"/>
        <w:gridCol w:w="7658"/>
      </w:tblGrid>
      <w:tr>
        <w:trPr>
          <w:trHeight w:val="555" w:hRule="atLeast"/>
        </w:trPr>
        <w:tc>
          <w:tcPr>
            <w:tcW w:w="1486" w:type="dxa"/>
          </w:tcPr>
          <w:p>
            <w:pPr>
              <w:pStyle w:val="TableParagraph"/>
              <w:ind w:left="110"/>
              <w:rPr>
                <w:sz w:val="24"/>
              </w:rPr>
            </w:pPr>
            <w:r>
              <w:rPr>
                <w:spacing w:val="-2"/>
                <w:sz w:val="24"/>
              </w:rPr>
              <w:t>Mindset</w:t>
            </w:r>
          </w:p>
        </w:tc>
        <w:tc>
          <w:tcPr>
            <w:tcW w:w="7658" w:type="dxa"/>
          </w:tcPr>
          <w:p>
            <w:pPr>
              <w:pStyle w:val="TableParagraph"/>
              <w:spacing w:line="280" w:lineRule="exact"/>
              <w:ind w:left="105"/>
              <w:rPr>
                <w:sz w:val="24"/>
              </w:rPr>
            </w:pPr>
            <w:r>
              <w:rPr>
                <w:spacing w:val="-2"/>
                <w:sz w:val="24"/>
              </w:rPr>
              <w:t>Trusting</w:t>
            </w:r>
            <w:r>
              <w:rPr>
                <w:spacing w:val="-15"/>
                <w:sz w:val="24"/>
              </w:rPr>
              <w:t> </w:t>
            </w:r>
            <w:r>
              <w:rPr>
                <w:spacing w:val="-2"/>
                <w:sz w:val="24"/>
              </w:rPr>
              <w:t>each</w:t>
            </w:r>
            <w:r>
              <w:rPr>
                <w:spacing w:val="-12"/>
                <w:sz w:val="24"/>
              </w:rPr>
              <w:t> </w:t>
            </w:r>
            <w:r>
              <w:rPr>
                <w:spacing w:val="-2"/>
                <w:sz w:val="24"/>
              </w:rPr>
              <w:t>other</w:t>
            </w:r>
            <w:r>
              <w:rPr>
                <w:spacing w:val="-8"/>
                <w:sz w:val="24"/>
              </w:rPr>
              <w:t> </w:t>
            </w:r>
            <w:r>
              <w:rPr>
                <w:spacing w:val="-2"/>
                <w:sz w:val="24"/>
              </w:rPr>
              <w:t>to</w:t>
            </w:r>
            <w:r>
              <w:rPr>
                <w:spacing w:val="-12"/>
                <w:sz w:val="24"/>
              </w:rPr>
              <w:t> </w:t>
            </w:r>
            <w:r>
              <w:rPr>
                <w:spacing w:val="-2"/>
                <w:sz w:val="24"/>
              </w:rPr>
              <w:t>do</w:t>
            </w:r>
            <w:r>
              <w:rPr>
                <w:spacing w:val="-12"/>
                <w:sz w:val="24"/>
              </w:rPr>
              <w:t> </w:t>
            </w:r>
            <w:r>
              <w:rPr>
                <w:spacing w:val="-2"/>
                <w:sz w:val="24"/>
              </w:rPr>
              <w:t>the</w:t>
            </w:r>
            <w:r>
              <w:rPr>
                <w:spacing w:val="-12"/>
                <w:sz w:val="24"/>
              </w:rPr>
              <w:t> </w:t>
            </w:r>
            <w:r>
              <w:rPr>
                <w:spacing w:val="-2"/>
                <w:sz w:val="24"/>
              </w:rPr>
              <w:t>right</w:t>
            </w:r>
            <w:r>
              <w:rPr>
                <w:spacing w:val="-10"/>
                <w:sz w:val="24"/>
              </w:rPr>
              <w:t> </w:t>
            </w:r>
            <w:r>
              <w:rPr>
                <w:spacing w:val="-2"/>
                <w:sz w:val="24"/>
              </w:rPr>
              <w:t>thing</w:t>
            </w:r>
            <w:r>
              <w:rPr>
                <w:spacing w:val="-12"/>
                <w:sz w:val="24"/>
              </w:rPr>
              <w:t> </w:t>
            </w:r>
            <w:r>
              <w:rPr>
                <w:spacing w:val="-2"/>
                <w:sz w:val="24"/>
              </w:rPr>
              <w:t>and</w:t>
            </w:r>
            <w:r>
              <w:rPr>
                <w:spacing w:val="-7"/>
                <w:sz w:val="24"/>
              </w:rPr>
              <w:t> </w:t>
            </w:r>
            <w:r>
              <w:rPr>
                <w:spacing w:val="-2"/>
                <w:sz w:val="24"/>
              </w:rPr>
              <w:t>to</w:t>
            </w:r>
            <w:r>
              <w:rPr>
                <w:spacing w:val="-12"/>
                <w:sz w:val="24"/>
              </w:rPr>
              <w:t> </w:t>
            </w:r>
            <w:r>
              <w:rPr>
                <w:spacing w:val="-2"/>
                <w:sz w:val="24"/>
              </w:rPr>
              <w:t>act</w:t>
            </w:r>
            <w:r>
              <w:rPr>
                <w:spacing w:val="-14"/>
                <w:sz w:val="24"/>
              </w:rPr>
              <w:t> </w:t>
            </w:r>
            <w:r>
              <w:rPr>
                <w:spacing w:val="-2"/>
                <w:sz w:val="24"/>
              </w:rPr>
              <w:t>with</w:t>
            </w:r>
            <w:r>
              <w:rPr>
                <w:spacing w:val="-7"/>
                <w:sz w:val="24"/>
              </w:rPr>
              <w:t> </w:t>
            </w:r>
            <w:r>
              <w:rPr>
                <w:spacing w:val="-2"/>
                <w:sz w:val="24"/>
              </w:rPr>
              <w:t>courage</w:t>
            </w:r>
            <w:r>
              <w:rPr>
                <w:spacing w:val="-12"/>
                <w:sz w:val="24"/>
              </w:rPr>
              <w:t> </w:t>
            </w:r>
            <w:r>
              <w:rPr>
                <w:spacing w:val="-2"/>
                <w:sz w:val="24"/>
              </w:rPr>
              <w:t>and conviction.</w:t>
            </w:r>
          </w:p>
        </w:tc>
      </w:tr>
      <w:tr>
        <w:trPr>
          <w:trHeight w:val="545" w:hRule="atLeast"/>
        </w:trPr>
        <w:tc>
          <w:tcPr>
            <w:tcW w:w="1486" w:type="dxa"/>
          </w:tcPr>
          <w:p>
            <w:pPr>
              <w:pStyle w:val="TableParagraph"/>
              <w:spacing w:line="271" w:lineRule="exact"/>
              <w:ind w:left="110"/>
              <w:rPr>
                <w:sz w:val="24"/>
              </w:rPr>
            </w:pPr>
            <w:r>
              <w:rPr>
                <w:spacing w:val="-2"/>
                <w:sz w:val="24"/>
              </w:rPr>
              <w:t>Process</w:t>
            </w:r>
          </w:p>
        </w:tc>
        <w:tc>
          <w:tcPr>
            <w:tcW w:w="7658" w:type="dxa"/>
          </w:tcPr>
          <w:p>
            <w:pPr>
              <w:pStyle w:val="TableParagraph"/>
              <w:spacing w:line="276" w:lineRule="exact"/>
              <w:ind w:left="105" w:right="95"/>
              <w:rPr>
                <w:sz w:val="24"/>
              </w:rPr>
            </w:pPr>
            <w:r>
              <w:rPr>
                <w:spacing w:val="-2"/>
                <w:sz w:val="24"/>
              </w:rPr>
              <w:t>Driven</w:t>
            </w:r>
            <w:r>
              <w:rPr>
                <w:spacing w:val="-10"/>
                <w:sz w:val="24"/>
              </w:rPr>
              <w:t> </w:t>
            </w:r>
            <w:r>
              <w:rPr>
                <w:spacing w:val="-2"/>
                <w:sz w:val="24"/>
              </w:rPr>
              <w:t>by</w:t>
            </w:r>
            <w:r>
              <w:rPr>
                <w:spacing w:val="-11"/>
                <w:sz w:val="24"/>
              </w:rPr>
              <w:t> </w:t>
            </w:r>
            <w:r>
              <w:rPr>
                <w:spacing w:val="-2"/>
                <w:sz w:val="24"/>
              </w:rPr>
              <w:t>data</w:t>
            </w:r>
            <w:r>
              <w:rPr>
                <w:spacing w:val="-10"/>
                <w:sz w:val="24"/>
              </w:rPr>
              <w:t> </w:t>
            </w:r>
            <w:r>
              <w:rPr>
                <w:spacing w:val="-2"/>
                <w:sz w:val="24"/>
              </w:rPr>
              <w:t>and</w:t>
            </w:r>
            <w:r>
              <w:rPr>
                <w:spacing w:val="-10"/>
                <w:sz w:val="24"/>
              </w:rPr>
              <w:t> </w:t>
            </w:r>
            <w:r>
              <w:rPr>
                <w:spacing w:val="-2"/>
                <w:sz w:val="24"/>
              </w:rPr>
              <w:t>evidence</w:t>
            </w:r>
            <w:r>
              <w:rPr>
                <w:spacing w:val="-10"/>
                <w:sz w:val="24"/>
              </w:rPr>
              <w:t> </w:t>
            </w:r>
            <w:r>
              <w:rPr>
                <w:spacing w:val="-2"/>
                <w:sz w:val="24"/>
              </w:rPr>
              <w:t>and</w:t>
            </w:r>
            <w:r>
              <w:rPr>
                <w:spacing w:val="-10"/>
                <w:sz w:val="24"/>
              </w:rPr>
              <w:t> </w:t>
            </w:r>
            <w:r>
              <w:rPr>
                <w:spacing w:val="-2"/>
                <w:sz w:val="24"/>
              </w:rPr>
              <w:t>embracing</w:t>
            </w:r>
            <w:r>
              <w:rPr>
                <w:spacing w:val="-10"/>
                <w:sz w:val="24"/>
              </w:rPr>
              <w:t> </w:t>
            </w:r>
            <w:r>
              <w:rPr>
                <w:spacing w:val="-2"/>
                <w:sz w:val="24"/>
              </w:rPr>
              <w:t>opportunities</w:t>
            </w:r>
            <w:r>
              <w:rPr>
                <w:spacing w:val="-11"/>
                <w:sz w:val="24"/>
              </w:rPr>
              <w:t> </w:t>
            </w:r>
            <w:r>
              <w:rPr>
                <w:spacing w:val="-2"/>
                <w:sz w:val="24"/>
              </w:rPr>
              <w:t>to</w:t>
            </w:r>
            <w:r>
              <w:rPr>
                <w:spacing w:val="-10"/>
                <w:sz w:val="24"/>
              </w:rPr>
              <w:t> </w:t>
            </w:r>
            <w:r>
              <w:rPr>
                <w:spacing w:val="-2"/>
                <w:sz w:val="24"/>
              </w:rPr>
              <w:t>re-imagine,</w:t>
            </w:r>
            <w:r>
              <w:rPr>
                <w:spacing w:val="-17"/>
                <w:sz w:val="24"/>
              </w:rPr>
              <w:t> </w:t>
            </w:r>
            <w:r>
              <w:rPr>
                <w:spacing w:val="-2"/>
                <w:sz w:val="24"/>
              </w:rPr>
              <w:t>redesign</w:t>
            </w:r>
            <w:r>
              <w:rPr>
                <w:spacing w:val="-15"/>
                <w:sz w:val="24"/>
              </w:rPr>
              <w:t> </w:t>
            </w:r>
            <w:r>
              <w:rPr>
                <w:spacing w:val="-2"/>
                <w:sz w:val="24"/>
              </w:rPr>
              <w:t>and</w:t>
            </w:r>
            <w:r>
              <w:rPr>
                <w:spacing w:val="-14"/>
                <w:sz w:val="24"/>
              </w:rPr>
              <w:t> </w:t>
            </w:r>
            <w:r>
              <w:rPr>
                <w:spacing w:val="-2"/>
                <w:sz w:val="24"/>
              </w:rPr>
              <w:t>innovate</w:t>
            </w:r>
            <w:r>
              <w:rPr>
                <w:spacing w:val="-13"/>
                <w:sz w:val="24"/>
              </w:rPr>
              <w:t> </w:t>
            </w:r>
            <w:r>
              <w:rPr>
                <w:spacing w:val="-2"/>
                <w:sz w:val="24"/>
              </w:rPr>
              <w:t>Sustainability</w:t>
            </w:r>
            <w:r>
              <w:rPr>
                <w:spacing w:val="-14"/>
                <w:sz w:val="24"/>
              </w:rPr>
              <w:t> </w:t>
            </w:r>
            <w:r>
              <w:rPr>
                <w:spacing w:val="-2"/>
                <w:sz w:val="24"/>
              </w:rPr>
              <w:t>of</w:t>
            </w:r>
            <w:r>
              <w:rPr>
                <w:spacing w:val="-15"/>
                <w:sz w:val="24"/>
              </w:rPr>
              <w:t> </w:t>
            </w:r>
            <w:r>
              <w:rPr>
                <w:spacing w:val="-2"/>
                <w:sz w:val="24"/>
              </w:rPr>
              <w:t>the</w:t>
            </w:r>
            <w:r>
              <w:rPr>
                <w:spacing w:val="-14"/>
                <w:sz w:val="24"/>
              </w:rPr>
              <w:t> </w:t>
            </w:r>
            <w:r>
              <w:rPr>
                <w:spacing w:val="-2"/>
                <w:sz w:val="24"/>
              </w:rPr>
              <w:t>architecture</w:t>
            </w:r>
          </w:p>
        </w:tc>
      </w:tr>
      <w:tr>
        <w:trPr>
          <w:trHeight w:val="548" w:hRule="atLeast"/>
        </w:trPr>
        <w:tc>
          <w:tcPr>
            <w:tcW w:w="1486" w:type="dxa"/>
          </w:tcPr>
          <w:p>
            <w:pPr>
              <w:pStyle w:val="TableParagraph"/>
              <w:spacing w:line="269" w:lineRule="exact"/>
              <w:ind w:left="110"/>
              <w:rPr>
                <w:sz w:val="24"/>
              </w:rPr>
            </w:pPr>
            <w:r>
              <w:rPr>
                <w:spacing w:val="-2"/>
                <w:sz w:val="24"/>
              </w:rPr>
              <w:t>Outcome</w:t>
            </w:r>
          </w:p>
        </w:tc>
        <w:tc>
          <w:tcPr>
            <w:tcW w:w="7658" w:type="dxa"/>
          </w:tcPr>
          <w:p>
            <w:pPr>
              <w:pStyle w:val="TableParagraph"/>
              <w:spacing w:line="269" w:lineRule="exact"/>
              <w:ind w:left="105"/>
              <w:rPr>
                <w:sz w:val="24"/>
              </w:rPr>
            </w:pPr>
            <w:r>
              <w:rPr>
                <w:spacing w:val="-2"/>
                <w:sz w:val="24"/>
              </w:rPr>
              <w:t>Building</w:t>
            </w:r>
            <w:r>
              <w:rPr>
                <w:spacing w:val="-17"/>
                <w:sz w:val="24"/>
              </w:rPr>
              <w:t> </w:t>
            </w:r>
            <w:r>
              <w:rPr>
                <w:spacing w:val="-2"/>
                <w:sz w:val="24"/>
              </w:rPr>
              <w:t>sustainable</w:t>
            </w:r>
            <w:r>
              <w:rPr>
                <w:spacing w:val="-15"/>
                <w:sz w:val="24"/>
              </w:rPr>
              <w:t> </w:t>
            </w:r>
            <w:r>
              <w:rPr>
                <w:spacing w:val="-2"/>
                <w:sz w:val="24"/>
              </w:rPr>
              <w:t>and</w:t>
            </w:r>
            <w:r>
              <w:rPr>
                <w:spacing w:val="-13"/>
                <w:sz w:val="24"/>
              </w:rPr>
              <w:t> </w:t>
            </w:r>
            <w:r>
              <w:rPr>
                <w:spacing w:val="-2"/>
                <w:sz w:val="24"/>
              </w:rPr>
              <w:t>future</w:t>
            </w:r>
            <w:r>
              <w:rPr>
                <w:spacing w:val="-14"/>
                <w:sz w:val="24"/>
              </w:rPr>
              <w:t> </w:t>
            </w:r>
            <w:r>
              <w:rPr>
                <w:spacing w:val="-2"/>
                <w:sz w:val="24"/>
              </w:rPr>
              <w:t>proofed</w:t>
            </w:r>
            <w:r>
              <w:rPr>
                <w:spacing w:val="-14"/>
                <w:sz w:val="24"/>
              </w:rPr>
              <w:t> </w:t>
            </w:r>
            <w:r>
              <w:rPr>
                <w:spacing w:val="-2"/>
                <w:sz w:val="24"/>
              </w:rPr>
              <w:t>services</w:t>
            </w:r>
            <w:r>
              <w:rPr>
                <w:spacing w:val="-10"/>
                <w:sz w:val="24"/>
              </w:rPr>
              <w:t> </w:t>
            </w:r>
            <w:r>
              <w:rPr>
                <w:spacing w:val="-2"/>
                <w:sz w:val="24"/>
              </w:rPr>
              <w:t>that</w:t>
            </w:r>
            <w:r>
              <w:rPr>
                <w:spacing w:val="-14"/>
                <w:sz w:val="24"/>
              </w:rPr>
              <w:t> </w:t>
            </w:r>
            <w:r>
              <w:rPr>
                <w:spacing w:val="-2"/>
                <w:sz w:val="24"/>
              </w:rPr>
              <w:t>have</w:t>
            </w:r>
            <w:r>
              <w:rPr>
                <w:spacing w:val="-10"/>
                <w:sz w:val="24"/>
              </w:rPr>
              <w:t> </w:t>
            </w:r>
            <w:r>
              <w:rPr>
                <w:spacing w:val="-2"/>
                <w:sz w:val="24"/>
              </w:rPr>
              <w:t>the</w:t>
            </w:r>
            <w:r>
              <w:rPr>
                <w:spacing w:val="-13"/>
                <w:sz w:val="24"/>
              </w:rPr>
              <w:t> </w:t>
            </w:r>
            <w:r>
              <w:rPr>
                <w:spacing w:val="-2"/>
                <w:sz w:val="24"/>
              </w:rPr>
              <w:t>greatest</w:t>
            </w:r>
          </w:p>
          <w:p>
            <w:pPr>
              <w:pStyle w:val="TableParagraph"/>
              <w:spacing w:line="260" w:lineRule="exact"/>
              <w:ind w:left="105"/>
              <w:rPr>
                <w:sz w:val="24"/>
              </w:rPr>
            </w:pPr>
            <w:r>
              <w:rPr>
                <w:spacing w:val="-2"/>
                <w:sz w:val="24"/>
              </w:rPr>
              <w:t>impact</w:t>
            </w:r>
            <w:r>
              <w:rPr>
                <w:spacing w:val="-15"/>
                <w:sz w:val="24"/>
              </w:rPr>
              <w:t> </w:t>
            </w:r>
            <w:r>
              <w:rPr>
                <w:spacing w:val="-2"/>
                <w:sz w:val="24"/>
              </w:rPr>
              <w:t>and</w:t>
            </w:r>
            <w:r>
              <w:rPr>
                <w:spacing w:val="-10"/>
                <w:sz w:val="24"/>
              </w:rPr>
              <w:t> </w:t>
            </w:r>
            <w:r>
              <w:rPr>
                <w:spacing w:val="-2"/>
                <w:sz w:val="24"/>
              </w:rPr>
              <w:t>are</w:t>
            </w:r>
            <w:r>
              <w:rPr>
                <w:spacing w:val="-10"/>
                <w:sz w:val="24"/>
              </w:rPr>
              <w:t> </w:t>
            </w:r>
            <w:r>
              <w:rPr>
                <w:spacing w:val="-2"/>
                <w:sz w:val="24"/>
              </w:rPr>
              <w:t>in</w:t>
            </w:r>
            <w:r>
              <w:rPr>
                <w:spacing w:val="-9"/>
                <w:sz w:val="24"/>
              </w:rPr>
              <w:t> </w:t>
            </w:r>
            <w:r>
              <w:rPr>
                <w:spacing w:val="-2"/>
                <w:sz w:val="24"/>
              </w:rPr>
              <w:t>the</w:t>
            </w:r>
            <w:r>
              <w:rPr>
                <w:spacing w:val="-10"/>
                <w:sz w:val="24"/>
              </w:rPr>
              <w:t> </w:t>
            </w:r>
            <w:r>
              <w:rPr>
                <w:spacing w:val="-2"/>
                <w:sz w:val="24"/>
              </w:rPr>
              <w:t>best</w:t>
            </w:r>
            <w:r>
              <w:rPr>
                <w:spacing w:val="-13"/>
                <w:sz w:val="24"/>
              </w:rPr>
              <w:t> </w:t>
            </w:r>
            <w:r>
              <w:rPr>
                <w:spacing w:val="-2"/>
                <w:sz w:val="24"/>
              </w:rPr>
              <w:t>interests</w:t>
            </w:r>
            <w:r>
              <w:rPr>
                <w:spacing w:val="-11"/>
                <w:sz w:val="24"/>
              </w:rPr>
              <w:t> </w:t>
            </w:r>
            <w:r>
              <w:rPr>
                <w:spacing w:val="-2"/>
                <w:sz w:val="24"/>
              </w:rPr>
              <w:t>of</w:t>
            </w:r>
            <w:r>
              <w:rPr>
                <w:spacing w:val="-12"/>
                <w:sz w:val="24"/>
              </w:rPr>
              <w:t> </w:t>
            </w:r>
            <w:r>
              <w:rPr>
                <w:spacing w:val="-2"/>
                <w:sz w:val="24"/>
              </w:rPr>
              <w:t>all</w:t>
            </w:r>
            <w:r>
              <w:rPr>
                <w:spacing w:val="-10"/>
                <w:sz w:val="24"/>
              </w:rPr>
              <w:t> </w:t>
            </w:r>
            <w:r>
              <w:rPr>
                <w:spacing w:val="-2"/>
                <w:sz w:val="24"/>
              </w:rPr>
              <w:t>communities</w:t>
            </w:r>
            <w:r>
              <w:rPr>
                <w:spacing w:val="-11"/>
                <w:sz w:val="24"/>
              </w:rPr>
              <w:t> </w:t>
            </w:r>
            <w:r>
              <w:rPr>
                <w:spacing w:val="-2"/>
                <w:sz w:val="24"/>
              </w:rPr>
              <w:t>and</w:t>
            </w:r>
            <w:r>
              <w:rPr>
                <w:spacing w:val="-9"/>
                <w:sz w:val="24"/>
              </w:rPr>
              <w:t> </w:t>
            </w:r>
            <w:r>
              <w:rPr>
                <w:spacing w:val="-2"/>
                <w:sz w:val="24"/>
              </w:rPr>
              <w:t>patients</w:t>
            </w:r>
          </w:p>
        </w:tc>
      </w:tr>
    </w:tbl>
    <w:p>
      <w:pPr>
        <w:pStyle w:val="BodyText"/>
        <w:spacing w:before="159"/>
      </w:pPr>
    </w:p>
    <w:p>
      <w:pPr>
        <w:pStyle w:val="ListParagraph"/>
        <w:numPr>
          <w:ilvl w:val="1"/>
          <w:numId w:val="79"/>
        </w:numPr>
        <w:tabs>
          <w:tab w:pos="852" w:val="left" w:leader="none"/>
        </w:tabs>
        <w:spacing w:line="240" w:lineRule="auto" w:before="0" w:after="0"/>
        <w:ind w:left="852" w:right="592" w:hanging="710"/>
        <w:jc w:val="left"/>
        <w:rPr>
          <w:sz w:val="24"/>
        </w:rPr>
      </w:pPr>
      <w:r>
        <w:rPr>
          <w:sz w:val="24"/>
        </w:rPr>
        <w:t>Ensure</w:t>
      </w:r>
      <w:r>
        <w:rPr>
          <w:spacing w:val="-11"/>
          <w:sz w:val="24"/>
        </w:rPr>
        <w:t> </w:t>
      </w:r>
      <w:r>
        <w:rPr>
          <w:sz w:val="24"/>
        </w:rPr>
        <w:t>an</w:t>
      </w:r>
      <w:r>
        <w:rPr>
          <w:spacing w:val="-11"/>
          <w:sz w:val="24"/>
        </w:rPr>
        <w:t> </w:t>
      </w:r>
      <w:r>
        <w:rPr>
          <w:sz w:val="24"/>
        </w:rPr>
        <w:t>effective</w:t>
      </w:r>
      <w:r>
        <w:rPr>
          <w:spacing w:val="-16"/>
          <w:sz w:val="24"/>
        </w:rPr>
        <w:t> </w:t>
      </w:r>
      <w:r>
        <w:rPr>
          <w:sz w:val="24"/>
        </w:rPr>
        <w:t>governance</w:t>
      </w:r>
      <w:r>
        <w:rPr>
          <w:spacing w:val="-6"/>
          <w:sz w:val="24"/>
        </w:rPr>
        <w:t> </w:t>
      </w:r>
      <w:r>
        <w:rPr>
          <w:sz w:val="24"/>
        </w:rPr>
        <w:t>framework</w:t>
      </w:r>
      <w:r>
        <w:rPr>
          <w:spacing w:val="-12"/>
          <w:sz w:val="24"/>
        </w:rPr>
        <w:t> </w:t>
      </w:r>
      <w:r>
        <w:rPr>
          <w:sz w:val="24"/>
        </w:rPr>
        <w:t>is</w:t>
      </w:r>
      <w:r>
        <w:rPr>
          <w:spacing w:val="-17"/>
          <w:sz w:val="24"/>
        </w:rPr>
        <w:t> </w:t>
      </w:r>
      <w:r>
        <w:rPr>
          <w:sz w:val="24"/>
        </w:rPr>
        <w:t>in</w:t>
      </w:r>
      <w:r>
        <w:rPr>
          <w:spacing w:val="-15"/>
          <w:sz w:val="24"/>
        </w:rPr>
        <w:t> </w:t>
      </w:r>
      <w:r>
        <w:rPr>
          <w:sz w:val="24"/>
        </w:rPr>
        <w:t>place</w:t>
      </w:r>
      <w:r>
        <w:rPr>
          <w:spacing w:val="-11"/>
          <w:sz w:val="24"/>
        </w:rPr>
        <w:t> </w:t>
      </w:r>
      <w:r>
        <w:rPr>
          <w:sz w:val="24"/>
        </w:rPr>
        <w:t>to</w:t>
      </w:r>
      <w:r>
        <w:rPr>
          <w:spacing w:val="-11"/>
          <w:sz w:val="24"/>
        </w:rPr>
        <w:t> </w:t>
      </w:r>
      <w:r>
        <w:rPr>
          <w:sz w:val="24"/>
        </w:rPr>
        <w:t>govern</w:t>
      </w:r>
      <w:r>
        <w:rPr>
          <w:spacing w:val="-6"/>
          <w:sz w:val="24"/>
        </w:rPr>
        <w:t> </w:t>
      </w:r>
      <w:r>
        <w:rPr>
          <w:sz w:val="24"/>
        </w:rPr>
        <w:t>the</w:t>
      </w:r>
      <w:r>
        <w:rPr>
          <w:spacing w:val="-11"/>
          <w:sz w:val="24"/>
        </w:rPr>
        <w:t> </w:t>
      </w:r>
      <w:r>
        <w:rPr>
          <w:sz w:val="24"/>
        </w:rPr>
        <w:t>work</w:t>
      </w:r>
      <w:r>
        <w:rPr>
          <w:spacing w:val="-12"/>
          <w:sz w:val="24"/>
        </w:rPr>
        <w:t> </w:t>
      </w:r>
      <w:r>
        <w:rPr>
          <w:sz w:val="24"/>
        </w:rPr>
        <w:t>of</w:t>
      </w:r>
      <w:r>
        <w:rPr>
          <w:spacing w:val="-9"/>
          <w:sz w:val="24"/>
        </w:rPr>
        <w:t> </w:t>
      </w:r>
      <w:r>
        <w:rPr>
          <w:sz w:val="24"/>
        </w:rPr>
        <w:t>the</w:t>
      </w:r>
      <w:r>
        <w:rPr>
          <w:spacing w:val="-6"/>
          <w:sz w:val="24"/>
        </w:rPr>
        <w:t> </w:t>
      </w:r>
      <w:r>
        <w:rPr>
          <w:sz w:val="24"/>
        </w:rPr>
        <w:t>Regional </w:t>
      </w:r>
      <w:r>
        <w:rPr>
          <w:spacing w:val="-2"/>
          <w:sz w:val="24"/>
        </w:rPr>
        <w:t>Workforce</w:t>
      </w:r>
      <w:r>
        <w:rPr>
          <w:spacing w:val="-13"/>
          <w:sz w:val="24"/>
        </w:rPr>
        <w:t> </w:t>
      </w:r>
      <w:r>
        <w:rPr>
          <w:spacing w:val="-2"/>
          <w:sz w:val="24"/>
        </w:rPr>
        <w:t>&amp;</w:t>
      </w:r>
      <w:r>
        <w:rPr>
          <w:spacing w:val="-8"/>
          <w:sz w:val="24"/>
        </w:rPr>
        <w:t> </w:t>
      </w:r>
      <w:r>
        <w:rPr>
          <w:spacing w:val="-2"/>
          <w:sz w:val="24"/>
        </w:rPr>
        <w:t>OD</w:t>
      </w:r>
      <w:r>
        <w:rPr>
          <w:spacing w:val="-10"/>
          <w:sz w:val="24"/>
        </w:rPr>
        <w:t> </w:t>
      </w:r>
      <w:r>
        <w:rPr>
          <w:spacing w:val="-2"/>
          <w:sz w:val="24"/>
        </w:rPr>
        <w:t>Subgroup,</w:t>
      </w:r>
      <w:r>
        <w:rPr>
          <w:spacing w:val="-14"/>
          <w:sz w:val="24"/>
        </w:rPr>
        <w:t> </w:t>
      </w:r>
      <w:r>
        <w:rPr>
          <w:spacing w:val="-2"/>
          <w:sz w:val="24"/>
        </w:rPr>
        <w:t>which</w:t>
      </w:r>
      <w:r>
        <w:rPr>
          <w:spacing w:val="-7"/>
          <w:sz w:val="24"/>
        </w:rPr>
        <w:t> </w:t>
      </w:r>
      <w:r>
        <w:rPr>
          <w:spacing w:val="-2"/>
          <w:sz w:val="24"/>
        </w:rPr>
        <w:t>facilitates</w:t>
      </w:r>
      <w:r>
        <w:rPr>
          <w:spacing w:val="-13"/>
          <w:sz w:val="24"/>
        </w:rPr>
        <w:t> </w:t>
      </w:r>
      <w:r>
        <w:rPr>
          <w:spacing w:val="-2"/>
          <w:sz w:val="24"/>
        </w:rPr>
        <w:t>the</w:t>
      </w:r>
      <w:r>
        <w:rPr>
          <w:spacing w:val="-7"/>
          <w:sz w:val="24"/>
        </w:rPr>
        <w:t> </w:t>
      </w:r>
      <w:r>
        <w:rPr>
          <w:spacing w:val="-2"/>
          <w:sz w:val="24"/>
        </w:rPr>
        <w:t>ambitions</w:t>
      </w:r>
      <w:r>
        <w:rPr>
          <w:spacing w:val="-13"/>
          <w:sz w:val="24"/>
        </w:rPr>
        <w:t> </w:t>
      </w:r>
      <w:r>
        <w:rPr>
          <w:spacing w:val="-2"/>
          <w:sz w:val="24"/>
        </w:rPr>
        <w:t>and</w:t>
      </w:r>
      <w:r>
        <w:rPr>
          <w:spacing w:val="-12"/>
          <w:sz w:val="24"/>
        </w:rPr>
        <w:t> </w:t>
      </w:r>
      <w:r>
        <w:rPr>
          <w:spacing w:val="-2"/>
          <w:sz w:val="24"/>
        </w:rPr>
        <w:t>design</w:t>
      </w:r>
      <w:r>
        <w:rPr>
          <w:spacing w:val="-15"/>
          <w:sz w:val="24"/>
        </w:rPr>
        <w:t> </w:t>
      </w:r>
      <w:r>
        <w:rPr>
          <w:spacing w:val="-2"/>
          <w:sz w:val="24"/>
        </w:rPr>
        <w:t>principles</w:t>
      </w:r>
      <w:r>
        <w:rPr>
          <w:spacing w:val="-12"/>
          <w:sz w:val="24"/>
        </w:rPr>
        <w:t> </w:t>
      </w:r>
      <w:r>
        <w:rPr>
          <w:spacing w:val="-2"/>
          <w:sz w:val="24"/>
        </w:rPr>
        <w:t>set</w:t>
      </w:r>
      <w:r>
        <w:rPr>
          <w:spacing w:val="-14"/>
          <w:sz w:val="24"/>
        </w:rPr>
        <w:t> </w:t>
      </w:r>
      <w:r>
        <w:rPr>
          <w:spacing w:val="-2"/>
          <w:sz w:val="24"/>
        </w:rPr>
        <w:t>out</w:t>
      </w:r>
      <w:r>
        <w:rPr>
          <w:spacing w:val="-14"/>
          <w:sz w:val="24"/>
        </w:rPr>
        <w:t> </w:t>
      </w:r>
      <w:r>
        <w:rPr>
          <w:spacing w:val="-2"/>
          <w:sz w:val="24"/>
        </w:rPr>
        <w:t>by </w:t>
      </w:r>
      <w:r>
        <w:rPr>
          <w:sz w:val="24"/>
        </w:rPr>
        <w:t>the</w:t>
      </w:r>
      <w:r>
        <w:rPr>
          <w:spacing w:val="-10"/>
          <w:sz w:val="24"/>
        </w:rPr>
        <w:t> </w:t>
      </w:r>
      <w:r>
        <w:rPr>
          <w:sz w:val="24"/>
        </w:rPr>
        <w:t>RJC,</w:t>
      </w:r>
      <w:r>
        <w:rPr>
          <w:spacing w:val="-13"/>
          <w:sz w:val="24"/>
        </w:rPr>
        <w:t> </w:t>
      </w:r>
      <w:r>
        <w:rPr>
          <w:sz w:val="24"/>
        </w:rPr>
        <w:t>and</w:t>
      </w:r>
      <w:r>
        <w:rPr>
          <w:spacing w:val="-10"/>
          <w:sz w:val="24"/>
        </w:rPr>
        <w:t> </w:t>
      </w:r>
      <w:r>
        <w:rPr>
          <w:sz w:val="24"/>
        </w:rPr>
        <w:t>provides</w:t>
      </w:r>
      <w:r>
        <w:rPr>
          <w:spacing w:val="-11"/>
          <w:sz w:val="24"/>
        </w:rPr>
        <w:t> </w:t>
      </w:r>
      <w:r>
        <w:rPr>
          <w:sz w:val="24"/>
        </w:rPr>
        <w:t>clear</w:t>
      </w:r>
      <w:r>
        <w:rPr>
          <w:spacing w:val="-11"/>
          <w:sz w:val="24"/>
        </w:rPr>
        <w:t> </w:t>
      </w:r>
      <w:r>
        <w:rPr>
          <w:sz w:val="24"/>
        </w:rPr>
        <w:t>routes</w:t>
      </w:r>
      <w:r>
        <w:rPr>
          <w:spacing w:val="-11"/>
          <w:sz w:val="24"/>
        </w:rPr>
        <w:t> </w:t>
      </w:r>
      <w:r>
        <w:rPr>
          <w:sz w:val="24"/>
        </w:rPr>
        <w:t>for</w:t>
      </w:r>
      <w:r>
        <w:rPr>
          <w:spacing w:val="-16"/>
          <w:sz w:val="24"/>
        </w:rPr>
        <w:t> </w:t>
      </w:r>
      <w:r>
        <w:rPr>
          <w:sz w:val="24"/>
        </w:rPr>
        <w:t>assurance,</w:t>
      </w:r>
      <w:r>
        <w:rPr>
          <w:spacing w:val="-13"/>
          <w:sz w:val="24"/>
        </w:rPr>
        <w:t> </w:t>
      </w:r>
      <w:r>
        <w:rPr>
          <w:sz w:val="24"/>
        </w:rPr>
        <w:t>escalation</w:t>
      </w:r>
      <w:r>
        <w:rPr>
          <w:spacing w:val="-15"/>
          <w:sz w:val="24"/>
        </w:rPr>
        <w:t> </w:t>
      </w:r>
      <w:r>
        <w:rPr>
          <w:sz w:val="24"/>
        </w:rPr>
        <w:t>and</w:t>
      </w:r>
      <w:r>
        <w:rPr>
          <w:spacing w:val="-15"/>
          <w:sz w:val="24"/>
        </w:rPr>
        <w:t> </w:t>
      </w:r>
      <w:r>
        <w:rPr>
          <w:sz w:val="24"/>
        </w:rPr>
        <w:t>decision-making.</w:t>
      </w:r>
    </w:p>
    <w:p>
      <w:pPr>
        <w:pStyle w:val="ListParagraph"/>
        <w:numPr>
          <w:ilvl w:val="1"/>
          <w:numId w:val="79"/>
        </w:numPr>
        <w:tabs>
          <w:tab w:pos="852" w:val="left" w:leader="none"/>
        </w:tabs>
        <w:spacing w:line="242" w:lineRule="auto" w:before="158" w:after="0"/>
        <w:ind w:left="852" w:right="488" w:hanging="710"/>
        <w:jc w:val="left"/>
        <w:rPr>
          <w:sz w:val="24"/>
        </w:rPr>
      </w:pPr>
      <w:r>
        <w:rPr>
          <w:sz w:val="24"/>
        </w:rPr>
        <w:t>Pro-actively</w:t>
      </w:r>
      <w:r>
        <w:rPr>
          <w:spacing w:val="-17"/>
          <w:sz w:val="24"/>
        </w:rPr>
        <w:t> </w:t>
      </w:r>
      <w:r>
        <w:rPr>
          <w:sz w:val="24"/>
        </w:rPr>
        <w:t>manage</w:t>
      </w:r>
      <w:r>
        <w:rPr>
          <w:spacing w:val="-10"/>
          <w:sz w:val="24"/>
        </w:rPr>
        <w:t> </w:t>
      </w:r>
      <w:r>
        <w:rPr>
          <w:sz w:val="24"/>
        </w:rPr>
        <w:t>the</w:t>
      </w:r>
      <w:r>
        <w:rPr>
          <w:spacing w:val="-15"/>
          <w:sz w:val="24"/>
        </w:rPr>
        <w:t> </w:t>
      </w:r>
      <w:r>
        <w:rPr>
          <w:sz w:val="24"/>
        </w:rPr>
        <w:t>appropriate</w:t>
      </w:r>
      <w:r>
        <w:rPr>
          <w:spacing w:val="-15"/>
          <w:sz w:val="24"/>
        </w:rPr>
        <w:t> </w:t>
      </w:r>
      <w:r>
        <w:rPr>
          <w:sz w:val="24"/>
        </w:rPr>
        <w:t>risks</w:t>
      </w:r>
      <w:r>
        <w:rPr>
          <w:spacing w:val="-16"/>
          <w:sz w:val="24"/>
        </w:rPr>
        <w:t> </w:t>
      </w:r>
      <w:r>
        <w:rPr>
          <w:sz w:val="24"/>
        </w:rPr>
        <w:t>identified</w:t>
      </w:r>
      <w:r>
        <w:rPr>
          <w:spacing w:val="-17"/>
          <w:sz w:val="24"/>
        </w:rPr>
        <w:t> </w:t>
      </w:r>
      <w:r>
        <w:rPr>
          <w:sz w:val="24"/>
        </w:rPr>
        <w:t>within</w:t>
      </w:r>
      <w:r>
        <w:rPr>
          <w:spacing w:val="-10"/>
          <w:sz w:val="24"/>
        </w:rPr>
        <w:t> </w:t>
      </w:r>
      <w:r>
        <w:rPr>
          <w:sz w:val="24"/>
        </w:rPr>
        <w:t>the</w:t>
      </w:r>
      <w:r>
        <w:rPr>
          <w:spacing w:val="-11"/>
          <w:sz w:val="24"/>
        </w:rPr>
        <w:t> </w:t>
      </w:r>
      <w:r>
        <w:rPr>
          <w:sz w:val="24"/>
        </w:rPr>
        <w:t>Regional</w:t>
      </w:r>
      <w:r>
        <w:rPr>
          <w:spacing w:val="-9"/>
          <w:sz w:val="24"/>
        </w:rPr>
        <w:t> </w:t>
      </w:r>
      <w:r>
        <w:rPr>
          <w:sz w:val="24"/>
        </w:rPr>
        <w:t>Workforce</w:t>
      </w:r>
      <w:r>
        <w:rPr>
          <w:spacing w:val="-15"/>
          <w:sz w:val="24"/>
        </w:rPr>
        <w:t> </w:t>
      </w:r>
      <w:r>
        <w:rPr>
          <w:sz w:val="24"/>
        </w:rPr>
        <w:t>&amp;</w:t>
      </w:r>
      <w:r>
        <w:rPr>
          <w:spacing w:val="-11"/>
          <w:sz w:val="24"/>
        </w:rPr>
        <w:t> </w:t>
      </w:r>
      <w:r>
        <w:rPr>
          <w:sz w:val="24"/>
        </w:rPr>
        <w:t>OD </w:t>
      </w:r>
      <w:r>
        <w:rPr>
          <w:spacing w:val="-2"/>
          <w:sz w:val="24"/>
        </w:rPr>
        <w:t>Subgroup</w:t>
      </w:r>
      <w:r>
        <w:rPr>
          <w:spacing w:val="-15"/>
          <w:sz w:val="24"/>
        </w:rPr>
        <w:t> </w:t>
      </w:r>
      <w:r>
        <w:rPr>
          <w:spacing w:val="-2"/>
          <w:sz w:val="24"/>
        </w:rPr>
        <w:t>portfolio/programme,</w:t>
      </w:r>
      <w:r>
        <w:rPr>
          <w:spacing w:val="-15"/>
          <w:sz w:val="24"/>
        </w:rPr>
        <w:t> </w:t>
      </w:r>
      <w:r>
        <w:rPr>
          <w:spacing w:val="-2"/>
          <w:sz w:val="24"/>
        </w:rPr>
        <w:t>escalating</w:t>
      </w:r>
      <w:r>
        <w:rPr>
          <w:spacing w:val="-14"/>
          <w:sz w:val="24"/>
        </w:rPr>
        <w:t> </w:t>
      </w:r>
      <w:r>
        <w:rPr>
          <w:spacing w:val="-2"/>
          <w:sz w:val="24"/>
        </w:rPr>
        <w:t>strategic</w:t>
      </w:r>
      <w:r>
        <w:rPr>
          <w:spacing w:val="-15"/>
          <w:sz w:val="24"/>
        </w:rPr>
        <w:t> </w:t>
      </w:r>
      <w:r>
        <w:rPr>
          <w:spacing w:val="-2"/>
          <w:sz w:val="24"/>
        </w:rPr>
        <w:t>risks</w:t>
      </w:r>
      <w:r>
        <w:rPr>
          <w:spacing w:val="-15"/>
          <w:sz w:val="24"/>
        </w:rPr>
        <w:t> </w:t>
      </w:r>
      <w:r>
        <w:rPr>
          <w:spacing w:val="-2"/>
          <w:sz w:val="24"/>
        </w:rPr>
        <w:t>and</w:t>
      </w:r>
      <w:r>
        <w:rPr>
          <w:spacing w:val="-15"/>
          <w:sz w:val="24"/>
        </w:rPr>
        <w:t> </w:t>
      </w:r>
      <w:r>
        <w:rPr>
          <w:spacing w:val="-2"/>
          <w:sz w:val="24"/>
        </w:rPr>
        <w:t>interdependencies</w:t>
      </w:r>
      <w:r>
        <w:rPr>
          <w:spacing w:val="-14"/>
          <w:sz w:val="24"/>
        </w:rPr>
        <w:t> </w:t>
      </w:r>
      <w:r>
        <w:rPr>
          <w:spacing w:val="-2"/>
          <w:sz w:val="24"/>
        </w:rPr>
        <w:t>to</w:t>
      </w:r>
      <w:r>
        <w:rPr>
          <w:spacing w:val="-15"/>
          <w:sz w:val="24"/>
        </w:rPr>
        <w:t> </w:t>
      </w:r>
      <w:r>
        <w:rPr>
          <w:spacing w:val="-2"/>
          <w:sz w:val="24"/>
        </w:rPr>
        <w:t>the</w:t>
      </w:r>
      <w:r>
        <w:rPr>
          <w:spacing w:val="-15"/>
          <w:sz w:val="24"/>
        </w:rPr>
        <w:t> </w:t>
      </w:r>
      <w:r>
        <w:rPr>
          <w:spacing w:val="-2"/>
          <w:sz w:val="24"/>
        </w:rPr>
        <w:t>RJC </w:t>
      </w:r>
      <w:r>
        <w:rPr>
          <w:sz w:val="24"/>
        </w:rPr>
        <w:t>as</w:t>
      </w:r>
      <w:r>
        <w:rPr>
          <w:spacing w:val="-14"/>
          <w:sz w:val="24"/>
        </w:rPr>
        <w:t> </w:t>
      </w:r>
      <w:r>
        <w:rPr>
          <w:sz w:val="24"/>
        </w:rPr>
        <w:t>required</w:t>
      </w:r>
      <w:r>
        <w:rPr>
          <w:spacing w:val="-17"/>
          <w:sz w:val="24"/>
        </w:rPr>
        <w:t> </w:t>
      </w:r>
      <w:r>
        <w:rPr>
          <w:sz w:val="24"/>
        </w:rPr>
        <w:t>and</w:t>
      </w:r>
      <w:r>
        <w:rPr>
          <w:spacing w:val="-13"/>
          <w:sz w:val="24"/>
        </w:rPr>
        <w:t> </w:t>
      </w:r>
      <w:r>
        <w:rPr>
          <w:sz w:val="24"/>
        </w:rPr>
        <w:t>remaining</w:t>
      </w:r>
      <w:r>
        <w:rPr>
          <w:spacing w:val="-13"/>
          <w:sz w:val="24"/>
        </w:rPr>
        <w:t> </w:t>
      </w:r>
      <w:r>
        <w:rPr>
          <w:sz w:val="24"/>
        </w:rPr>
        <w:t>accountable</w:t>
      </w:r>
      <w:r>
        <w:rPr>
          <w:spacing w:val="-13"/>
          <w:sz w:val="24"/>
        </w:rPr>
        <w:t> </w:t>
      </w:r>
      <w:r>
        <w:rPr>
          <w:sz w:val="24"/>
        </w:rPr>
        <w:t>to</w:t>
      </w:r>
      <w:r>
        <w:rPr>
          <w:spacing w:val="-8"/>
          <w:sz w:val="24"/>
        </w:rPr>
        <w:t> </w:t>
      </w:r>
      <w:r>
        <w:rPr>
          <w:sz w:val="24"/>
        </w:rPr>
        <w:t>the</w:t>
      </w:r>
      <w:r>
        <w:rPr>
          <w:spacing w:val="-13"/>
          <w:sz w:val="24"/>
        </w:rPr>
        <w:t> </w:t>
      </w:r>
      <w:r>
        <w:rPr>
          <w:sz w:val="24"/>
        </w:rPr>
        <w:t>respective</w:t>
      </w:r>
      <w:r>
        <w:rPr>
          <w:spacing w:val="-13"/>
          <w:sz w:val="24"/>
        </w:rPr>
        <w:t> </w:t>
      </w:r>
      <w:r>
        <w:rPr>
          <w:sz w:val="24"/>
        </w:rPr>
        <w:t>University</w:t>
      </w:r>
      <w:r>
        <w:rPr>
          <w:spacing w:val="-14"/>
          <w:sz w:val="24"/>
        </w:rPr>
        <w:t> </w:t>
      </w:r>
      <w:r>
        <w:rPr>
          <w:sz w:val="24"/>
        </w:rPr>
        <w:t>Health</w:t>
      </w:r>
      <w:r>
        <w:rPr>
          <w:spacing w:val="-13"/>
          <w:sz w:val="24"/>
        </w:rPr>
        <w:t> </w:t>
      </w:r>
      <w:r>
        <w:rPr>
          <w:sz w:val="24"/>
        </w:rPr>
        <w:t>Boards.</w:t>
      </w:r>
    </w:p>
    <w:p>
      <w:pPr>
        <w:pStyle w:val="ListParagraph"/>
        <w:numPr>
          <w:ilvl w:val="1"/>
          <w:numId w:val="79"/>
        </w:numPr>
        <w:tabs>
          <w:tab w:pos="852" w:val="left" w:leader="none"/>
        </w:tabs>
        <w:spacing w:line="240" w:lineRule="auto" w:before="153" w:after="0"/>
        <w:ind w:left="852" w:right="489" w:hanging="710"/>
        <w:jc w:val="left"/>
        <w:rPr>
          <w:sz w:val="22"/>
        </w:rPr>
      </w:pPr>
      <w:r>
        <w:rPr>
          <w:sz w:val="24"/>
        </w:rPr>
        <w:t>Develop</w:t>
      </w:r>
      <w:r>
        <w:rPr>
          <w:spacing w:val="-10"/>
          <w:sz w:val="24"/>
        </w:rPr>
        <w:t> </w:t>
      </w:r>
      <w:r>
        <w:rPr>
          <w:sz w:val="24"/>
        </w:rPr>
        <w:t>and</w:t>
      </w:r>
      <w:r>
        <w:rPr>
          <w:spacing w:val="-10"/>
          <w:sz w:val="24"/>
        </w:rPr>
        <w:t> </w:t>
      </w:r>
      <w:r>
        <w:rPr>
          <w:sz w:val="24"/>
        </w:rPr>
        <w:t>maintain</w:t>
      </w:r>
      <w:r>
        <w:rPr>
          <w:spacing w:val="-10"/>
          <w:sz w:val="24"/>
        </w:rPr>
        <w:t> </w:t>
      </w:r>
      <w:r>
        <w:rPr>
          <w:sz w:val="24"/>
        </w:rPr>
        <w:t>a</w:t>
      </w:r>
      <w:r>
        <w:rPr>
          <w:spacing w:val="-10"/>
          <w:sz w:val="24"/>
        </w:rPr>
        <w:t> </w:t>
      </w:r>
      <w:r>
        <w:rPr>
          <w:sz w:val="24"/>
        </w:rPr>
        <w:t>work</w:t>
      </w:r>
      <w:r>
        <w:rPr>
          <w:spacing w:val="-11"/>
          <w:sz w:val="24"/>
        </w:rPr>
        <w:t> </w:t>
      </w:r>
      <w:r>
        <w:rPr>
          <w:sz w:val="24"/>
        </w:rPr>
        <w:t>programme</w:t>
      </w:r>
      <w:r>
        <w:rPr>
          <w:spacing w:val="-10"/>
          <w:sz w:val="24"/>
        </w:rPr>
        <w:t> </w:t>
      </w:r>
      <w:r>
        <w:rPr>
          <w:sz w:val="24"/>
        </w:rPr>
        <w:t>that</w:t>
      </w:r>
      <w:r>
        <w:rPr>
          <w:spacing w:val="-12"/>
          <w:sz w:val="24"/>
        </w:rPr>
        <w:t> </w:t>
      </w:r>
      <w:r>
        <w:rPr>
          <w:sz w:val="24"/>
        </w:rPr>
        <w:t>underpins</w:t>
      </w:r>
      <w:r>
        <w:rPr>
          <w:spacing w:val="-6"/>
          <w:sz w:val="24"/>
        </w:rPr>
        <w:t> </w:t>
      </w:r>
      <w:r>
        <w:rPr>
          <w:sz w:val="24"/>
        </w:rPr>
        <w:t>the</w:t>
      </w:r>
      <w:r>
        <w:rPr>
          <w:spacing w:val="-10"/>
          <w:sz w:val="24"/>
        </w:rPr>
        <w:t> </w:t>
      </w:r>
      <w:r>
        <w:rPr>
          <w:sz w:val="24"/>
        </w:rPr>
        <w:t>work</w:t>
      </w:r>
      <w:r>
        <w:rPr>
          <w:spacing w:val="-15"/>
          <w:sz w:val="24"/>
        </w:rPr>
        <w:t> </w:t>
      </w:r>
      <w:r>
        <w:rPr>
          <w:sz w:val="24"/>
        </w:rPr>
        <w:t>of</w:t>
      </w:r>
      <w:r>
        <w:rPr>
          <w:spacing w:val="-8"/>
          <w:sz w:val="24"/>
        </w:rPr>
        <w:t> </w:t>
      </w:r>
      <w:r>
        <w:rPr>
          <w:sz w:val="24"/>
        </w:rPr>
        <w:t>the</w:t>
      </w:r>
      <w:r>
        <w:rPr>
          <w:spacing w:val="-5"/>
          <w:sz w:val="24"/>
        </w:rPr>
        <w:t> </w:t>
      </w:r>
      <w:r>
        <w:rPr>
          <w:sz w:val="24"/>
        </w:rPr>
        <w:t>Regional </w:t>
      </w:r>
      <w:r>
        <w:rPr>
          <w:spacing w:val="-2"/>
          <w:sz w:val="24"/>
        </w:rPr>
        <w:t>Workforce</w:t>
      </w:r>
      <w:r>
        <w:rPr>
          <w:spacing w:val="-13"/>
          <w:sz w:val="24"/>
        </w:rPr>
        <w:t> </w:t>
      </w:r>
      <w:r>
        <w:rPr>
          <w:spacing w:val="-2"/>
          <w:sz w:val="24"/>
        </w:rPr>
        <w:t>&amp;</w:t>
      </w:r>
      <w:r>
        <w:rPr>
          <w:spacing w:val="-7"/>
          <w:sz w:val="24"/>
        </w:rPr>
        <w:t> </w:t>
      </w:r>
      <w:r>
        <w:rPr>
          <w:spacing w:val="-2"/>
          <w:sz w:val="24"/>
        </w:rPr>
        <w:t>OD</w:t>
      </w:r>
      <w:r>
        <w:rPr>
          <w:spacing w:val="-9"/>
          <w:sz w:val="24"/>
        </w:rPr>
        <w:t> </w:t>
      </w:r>
      <w:r>
        <w:rPr>
          <w:spacing w:val="-2"/>
          <w:sz w:val="24"/>
        </w:rPr>
        <w:t>Subgroup</w:t>
      </w:r>
      <w:r>
        <w:rPr>
          <w:spacing w:val="-10"/>
          <w:sz w:val="24"/>
        </w:rPr>
        <w:t> </w:t>
      </w:r>
      <w:r>
        <w:rPr>
          <w:spacing w:val="-2"/>
          <w:sz w:val="24"/>
        </w:rPr>
        <w:t>and</w:t>
      </w:r>
      <w:r>
        <w:rPr>
          <w:spacing w:val="-11"/>
          <w:sz w:val="24"/>
        </w:rPr>
        <w:t> </w:t>
      </w:r>
      <w:r>
        <w:rPr>
          <w:spacing w:val="-2"/>
          <w:sz w:val="24"/>
        </w:rPr>
        <w:t>aligns</w:t>
      </w:r>
      <w:r>
        <w:rPr>
          <w:spacing w:val="-15"/>
          <w:sz w:val="24"/>
        </w:rPr>
        <w:t> </w:t>
      </w:r>
      <w:r>
        <w:rPr>
          <w:spacing w:val="-2"/>
          <w:sz w:val="24"/>
        </w:rPr>
        <w:t>with</w:t>
      </w:r>
      <w:r>
        <w:rPr>
          <w:spacing w:val="-6"/>
          <w:sz w:val="24"/>
        </w:rPr>
        <w:t> </w:t>
      </w:r>
      <w:r>
        <w:rPr>
          <w:spacing w:val="-2"/>
          <w:sz w:val="24"/>
        </w:rPr>
        <w:t>the</w:t>
      </w:r>
      <w:r>
        <w:rPr>
          <w:spacing w:val="-11"/>
          <w:sz w:val="24"/>
        </w:rPr>
        <w:t> </w:t>
      </w:r>
      <w:r>
        <w:rPr>
          <w:spacing w:val="-2"/>
          <w:sz w:val="24"/>
        </w:rPr>
        <w:t>RJC</w:t>
      </w:r>
      <w:r>
        <w:rPr>
          <w:spacing w:val="-15"/>
          <w:sz w:val="24"/>
        </w:rPr>
        <w:t> </w:t>
      </w:r>
      <w:r>
        <w:rPr>
          <w:spacing w:val="-2"/>
          <w:sz w:val="24"/>
        </w:rPr>
        <w:t>programme</w:t>
      </w:r>
      <w:r>
        <w:rPr>
          <w:spacing w:val="-11"/>
          <w:sz w:val="24"/>
        </w:rPr>
        <w:t> </w:t>
      </w:r>
      <w:r>
        <w:rPr>
          <w:spacing w:val="-2"/>
          <w:sz w:val="24"/>
        </w:rPr>
        <w:t>of</w:t>
      </w:r>
      <w:r>
        <w:rPr>
          <w:spacing w:val="-14"/>
          <w:sz w:val="24"/>
        </w:rPr>
        <w:t> </w:t>
      </w:r>
      <w:r>
        <w:rPr>
          <w:spacing w:val="-2"/>
          <w:sz w:val="24"/>
        </w:rPr>
        <w:t>work,</w:t>
      </w:r>
      <w:r>
        <w:rPr>
          <w:spacing w:val="-9"/>
          <w:sz w:val="24"/>
        </w:rPr>
        <w:t> </w:t>
      </w:r>
      <w:r>
        <w:rPr>
          <w:spacing w:val="-2"/>
          <w:sz w:val="24"/>
        </w:rPr>
        <w:t>the</w:t>
      </w:r>
      <w:r>
        <w:rPr>
          <w:spacing w:val="-11"/>
          <w:sz w:val="24"/>
        </w:rPr>
        <w:t> </w:t>
      </w:r>
      <w:r>
        <w:rPr>
          <w:spacing w:val="-2"/>
          <w:sz w:val="24"/>
        </w:rPr>
        <w:t>Health</w:t>
      </w:r>
      <w:r>
        <w:rPr>
          <w:spacing w:val="-11"/>
          <w:sz w:val="24"/>
        </w:rPr>
        <w:t> </w:t>
      </w:r>
      <w:r>
        <w:rPr>
          <w:spacing w:val="-2"/>
          <w:sz w:val="24"/>
        </w:rPr>
        <w:t>Boards’ </w:t>
      </w:r>
      <w:r>
        <w:rPr>
          <w:sz w:val="24"/>
        </w:rPr>
        <w:t>Annual</w:t>
      </w:r>
      <w:r>
        <w:rPr>
          <w:spacing w:val="-3"/>
          <w:sz w:val="24"/>
        </w:rPr>
        <w:t> </w:t>
      </w:r>
      <w:r>
        <w:rPr>
          <w:sz w:val="24"/>
        </w:rPr>
        <w:t>Plans</w:t>
      </w:r>
      <w:r>
        <w:rPr>
          <w:spacing w:val="-4"/>
          <w:sz w:val="24"/>
        </w:rPr>
        <w:t> </w:t>
      </w:r>
      <w:r>
        <w:rPr>
          <w:sz w:val="24"/>
        </w:rPr>
        <w:t>and</w:t>
      </w:r>
      <w:r>
        <w:rPr>
          <w:spacing w:val="-3"/>
          <w:sz w:val="24"/>
        </w:rPr>
        <w:t> </w:t>
      </w:r>
      <w:r>
        <w:rPr>
          <w:sz w:val="24"/>
        </w:rPr>
        <w:t>relevant</w:t>
      </w:r>
      <w:r>
        <w:rPr>
          <w:spacing w:val="-1"/>
          <w:sz w:val="24"/>
        </w:rPr>
        <w:t> </w:t>
      </w:r>
      <w:r>
        <w:rPr>
          <w:sz w:val="24"/>
        </w:rPr>
        <w:t>Ministerial</w:t>
      </w:r>
      <w:r>
        <w:rPr>
          <w:spacing w:val="-3"/>
          <w:sz w:val="24"/>
        </w:rPr>
        <w:t> </w:t>
      </w:r>
      <w:r>
        <w:rPr>
          <w:sz w:val="24"/>
        </w:rPr>
        <w:t>Priorities.</w:t>
      </w:r>
    </w:p>
    <w:p>
      <w:pPr>
        <w:pStyle w:val="BodyText"/>
        <w:spacing w:before="10"/>
        <w:rPr>
          <w:sz w:val="16"/>
        </w:rPr>
      </w:pPr>
      <w:r>
        <w:rPr>
          <w:sz w:val="16"/>
        </w:rPr>
        <mc:AlternateContent>
          <mc:Choice Requires="wps">
            <w:drawing>
              <wp:anchor distT="0" distB="0" distL="0" distR="0" allowOverlap="1" layoutInCell="1" locked="0" behindDoc="1" simplePos="0" relativeHeight="487693824">
                <wp:simplePos x="0" y="0"/>
                <wp:positionH relativeFrom="page">
                  <wp:posOffset>574992</wp:posOffset>
                </wp:positionH>
                <wp:positionV relativeFrom="paragraph">
                  <wp:posOffset>145005</wp:posOffset>
                </wp:positionV>
                <wp:extent cx="6642100" cy="193675"/>
                <wp:effectExtent l="0" t="0" r="0" b="0"/>
                <wp:wrapTopAndBottom/>
                <wp:docPr id="548" name="Textbox 548"/>
                <wp:cNvGraphicFramePr>
                  <a:graphicFrameLocks/>
                </wp:cNvGraphicFramePr>
                <a:graphic>
                  <a:graphicData uri="http://schemas.microsoft.com/office/word/2010/wordprocessingShape">
                    <wps:wsp>
                      <wps:cNvPr id="548" name="Textbox 548"/>
                      <wps:cNvSpPr txBox="1"/>
                      <wps:spPr>
                        <a:xfrm>
                          <a:off x="0" y="0"/>
                          <a:ext cx="6642100" cy="193675"/>
                        </a:xfrm>
                        <a:prstGeom prst="rect">
                          <a:avLst/>
                        </a:prstGeom>
                        <a:solidFill>
                          <a:srgbClr val="C1A875"/>
                        </a:solidFill>
                        <a:ln w="12700">
                          <a:solidFill>
                            <a:srgbClr val="394871"/>
                          </a:solidFill>
                          <a:prstDash val="solid"/>
                        </a:ln>
                      </wps:spPr>
                      <wps:txbx>
                        <w:txbxContent>
                          <w:p>
                            <w:pPr>
                              <w:tabs>
                                <w:tab w:pos="454" w:val="left" w:leader="none"/>
                              </w:tabs>
                              <w:spacing w:before="0"/>
                              <w:ind w:left="95" w:right="0" w:firstLine="0"/>
                              <w:jc w:val="left"/>
                              <w:rPr>
                                <w:b/>
                                <w:color w:val="000000"/>
                                <w:sz w:val="24"/>
                              </w:rPr>
                            </w:pPr>
                            <w:r>
                              <w:rPr>
                                <w:b/>
                                <w:color w:val="000000"/>
                                <w:spacing w:val="-10"/>
                                <w:sz w:val="24"/>
                              </w:rPr>
                              <w:t>6</w:t>
                            </w:r>
                            <w:r>
                              <w:rPr>
                                <w:b/>
                                <w:color w:val="000000"/>
                                <w:sz w:val="24"/>
                              </w:rPr>
                              <w:tab/>
                            </w:r>
                            <w:r>
                              <w:rPr>
                                <w:b/>
                                <w:color w:val="000000"/>
                                <w:spacing w:val="-2"/>
                                <w:sz w:val="24"/>
                              </w:rPr>
                              <w:t>Membership</w:t>
                            </w:r>
                          </w:p>
                        </w:txbxContent>
                      </wps:txbx>
                      <wps:bodyPr wrap="square" lIns="0" tIns="0" rIns="0" bIns="0" rtlCol="0">
                        <a:noAutofit/>
                      </wps:bodyPr>
                    </wps:wsp>
                  </a:graphicData>
                </a:graphic>
              </wp:anchor>
            </w:drawing>
          </mc:Choice>
          <mc:Fallback>
            <w:pict>
              <v:shape style="position:absolute;margin-left:45.275002pt;margin-top:11.417754pt;width:523pt;height:15.25pt;mso-position-horizontal-relative:page;mso-position-vertical-relative:paragraph;z-index:-15622656;mso-wrap-distance-left:0;mso-wrap-distance-right:0" type="#_x0000_t202" id="docshape325" filled="true" fillcolor="#c1a875" stroked="true" strokeweight="1pt" strokecolor="#394871">
                <v:textbox inset="0,0,0,0">
                  <w:txbxContent>
                    <w:p>
                      <w:pPr>
                        <w:tabs>
                          <w:tab w:pos="454" w:val="left" w:leader="none"/>
                        </w:tabs>
                        <w:spacing w:before="0"/>
                        <w:ind w:left="95" w:right="0" w:firstLine="0"/>
                        <w:jc w:val="left"/>
                        <w:rPr>
                          <w:b/>
                          <w:color w:val="000000"/>
                          <w:sz w:val="24"/>
                        </w:rPr>
                      </w:pPr>
                      <w:r>
                        <w:rPr>
                          <w:b/>
                          <w:color w:val="000000"/>
                          <w:spacing w:val="-10"/>
                          <w:sz w:val="24"/>
                        </w:rPr>
                        <w:t>6</w:t>
                      </w:r>
                      <w:r>
                        <w:rPr>
                          <w:b/>
                          <w:color w:val="000000"/>
                          <w:sz w:val="24"/>
                        </w:rPr>
                        <w:tab/>
                      </w:r>
                      <w:r>
                        <w:rPr>
                          <w:b/>
                          <w:color w:val="000000"/>
                          <w:spacing w:val="-2"/>
                          <w:sz w:val="24"/>
                        </w:rPr>
                        <w:t>Membership</w:t>
                      </w:r>
                    </w:p>
                  </w:txbxContent>
                </v:textbox>
                <v:fill type="solid"/>
                <v:stroke dashstyle="solid"/>
                <w10:wrap type="topAndBottom"/>
              </v:shape>
            </w:pict>
          </mc:Fallback>
        </mc:AlternateContent>
      </w:r>
    </w:p>
    <w:p>
      <w:pPr>
        <w:pStyle w:val="ListParagraph"/>
        <w:numPr>
          <w:ilvl w:val="1"/>
          <w:numId w:val="80"/>
        </w:numPr>
        <w:tabs>
          <w:tab w:pos="852" w:val="left" w:leader="none"/>
        </w:tabs>
        <w:spacing w:line="240" w:lineRule="auto" w:before="170" w:after="0"/>
        <w:ind w:left="852" w:right="1215" w:hanging="710"/>
        <w:jc w:val="left"/>
        <w:rPr>
          <w:sz w:val="24"/>
        </w:rPr>
      </w:pPr>
      <w:r>
        <w:rPr>
          <w:spacing w:val="-2"/>
          <w:sz w:val="24"/>
        </w:rPr>
        <w:t>To</w:t>
      </w:r>
      <w:r>
        <w:rPr>
          <w:spacing w:val="-13"/>
          <w:sz w:val="24"/>
        </w:rPr>
        <w:t> </w:t>
      </w:r>
      <w:r>
        <w:rPr>
          <w:spacing w:val="-2"/>
          <w:sz w:val="24"/>
        </w:rPr>
        <w:t>ensure</w:t>
      </w:r>
      <w:r>
        <w:rPr>
          <w:spacing w:val="-12"/>
          <w:sz w:val="24"/>
        </w:rPr>
        <w:t> </w:t>
      </w:r>
      <w:r>
        <w:rPr>
          <w:spacing w:val="-2"/>
          <w:sz w:val="24"/>
        </w:rPr>
        <w:t>the</w:t>
      </w:r>
      <w:r>
        <w:rPr>
          <w:spacing w:val="-12"/>
          <w:sz w:val="24"/>
        </w:rPr>
        <w:t> </w:t>
      </w:r>
      <w:r>
        <w:rPr>
          <w:spacing w:val="-2"/>
          <w:sz w:val="24"/>
        </w:rPr>
        <w:t>Regional</w:t>
      </w:r>
      <w:r>
        <w:rPr>
          <w:spacing w:val="-10"/>
          <w:sz w:val="24"/>
        </w:rPr>
        <w:t> </w:t>
      </w:r>
      <w:r>
        <w:rPr>
          <w:spacing w:val="-2"/>
          <w:sz w:val="24"/>
        </w:rPr>
        <w:t>Workforce</w:t>
      </w:r>
      <w:r>
        <w:rPr>
          <w:spacing w:val="-12"/>
          <w:sz w:val="24"/>
        </w:rPr>
        <w:t> </w:t>
      </w:r>
      <w:r>
        <w:rPr>
          <w:spacing w:val="-2"/>
          <w:sz w:val="24"/>
        </w:rPr>
        <w:t>&amp;</w:t>
      </w:r>
      <w:r>
        <w:rPr>
          <w:spacing w:val="-12"/>
          <w:sz w:val="24"/>
        </w:rPr>
        <w:t> </w:t>
      </w:r>
      <w:r>
        <w:rPr>
          <w:spacing w:val="-2"/>
          <w:sz w:val="24"/>
        </w:rPr>
        <w:t>OD</w:t>
      </w:r>
      <w:r>
        <w:rPr>
          <w:spacing w:val="-10"/>
          <w:sz w:val="24"/>
        </w:rPr>
        <w:t> </w:t>
      </w:r>
      <w:r>
        <w:rPr>
          <w:spacing w:val="-2"/>
          <w:sz w:val="24"/>
        </w:rPr>
        <w:t>Subgroup</w:t>
      </w:r>
      <w:r>
        <w:rPr>
          <w:spacing w:val="-15"/>
          <w:sz w:val="24"/>
        </w:rPr>
        <w:t> </w:t>
      </w:r>
      <w:r>
        <w:rPr>
          <w:spacing w:val="-2"/>
          <w:sz w:val="24"/>
        </w:rPr>
        <w:t>undertakes</w:t>
      </w:r>
      <w:r>
        <w:rPr>
          <w:spacing w:val="-12"/>
          <w:sz w:val="24"/>
        </w:rPr>
        <w:t> </w:t>
      </w:r>
      <w:r>
        <w:rPr>
          <w:spacing w:val="-2"/>
          <w:sz w:val="24"/>
        </w:rPr>
        <w:t>its</w:t>
      </w:r>
      <w:r>
        <w:rPr>
          <w:spacing w:val="-12"/>
          <w:sz w:val="24"/>
        </w:rPr>
        <w:t> </w:t>
      </w:r>
      <w:r>
        <w:rPr>
          <w:spacing w:val="-2"/>
          <w:sz w:val="24"/>
        </w:rPr>
        <w:t>role</w:t>
      </w:r>
      <w:r>
        <w:rPr>
          <w:spacing w:val="-12"/>
          <w:sz w:val="24"/>
        </w:rPr>
        <w:t> </w:t>
      </w:r>
      <w:r>
        <w:rPr>
          <w:spacing w:val="-2"/>
          <w:sz w:val="24"/>
        </w:rPr>
        <w:t>effectively,</w:t>
      </w:r>
      <w:r>
        <w:rPr>
          <w:spacing w:val="-14"/>
          <w:sz w:val="24"/>
        </w:rPr>
        <w:t> </w:t>
      </w:r>
      <w:r>
        <w:rPr>
          <w:spacing w:val="-2"/>
          <w:sz w:val="24"/>
        </w:rPr>
        <w:t>its </w:t>
      </w:r>
      <w:r>
        <w:rPr>
          <w:sz w:val="24"/>
        </w:rPr>
        <w:t>members will:</w:t>
      </w:r>
    </w:p>
    <w:p>
      <w:pPr>
        <w:pStyle w:val="ListParagraph"/>
        <w:numPr>
          <w:ilvl w:val="2"/>
          <w:numId w:val="80"/>
        </w:numPr>
        <w:tabs>
          <w:tab w:pos="1277" w:val="left" w:leader="none"/>
        </w:tabs>
        <w:spacing w:line="240" w:lineRule="auto" w:before="158" w:after="0"/>
        <w:ind w:left="1277" w:right="0" w:hanging="360"/>
        <w:jc w:val="left"/>
        <w:rPr>
          <w:sz w:val="24"/>
        </w:rPr>
      </w:pPr>
      <w:r>
        <w:rPr>
          <w:spacing w:val="-4"/>
          <w:sz w:val="24"/>
        </w:rPr>
        <w:t>Attend</w:t>
      </w:r>
      <w:r>
        <w:rPr>
          <w:spacing w:val="-5"/>
          <w:sz w:val="24"/>
        </w:rPr>
        <w:t> </w:t>
      </w:r>
      <w:r>
        <w:rPr>
          <w:spacing w:val="-2"/>
          <w:sz w:val="24"/>
        </w:rPr>
        <w:t>meetings.</w:t>
      </w:r>
    </w:p>
    <w:p>
      <w:pPr>
        <w:pStyle w:val="ListParagraph"/>
        <w:numPr>
          <w:ilvl w:val="2"/>
          <w:numId w:val="80"/>
        </w:numPr>
        <w:tabs>
          <w:tab w:pos="1277" w:val="left" w:leader="none"/>
        </w:tabs>
        <w:spacing w:line="240" w:lineRule="auto" w:before="118" w:after="0"/>
        <w:ind w:left="1277" w:right="0" w:hanging="360"/>
        <w:jc w:val="left"/>
        <w:rPr>
          <w:sz w:val="24"/>
        </w:rPr>
      </w:pPr>
      <w:r>
        <w:rPr>
          <w:spacing w:val="-2"/>
          <w:sz w:val="24"/>
        </w:rPr>
        <w:t>Adopt</w:t>
      </w:r>
      <w:r>
        <w:rPr>
          <w:spacing w:val="-17"/>
          <w:sz w:val="24"/>
        </w:rPr>
        <w:t> </w:t>
      </w:r>
      <w:r>
        <w:rPr>
          <w:spacing w:val="-2"/>
          <w:sz w:val="24"/>
        </w:rPr>
        <w:t>an</w:t>
      </w:r>
      <w:r>
        <w:rPr>
          <w:spacing w:val="-15"/>
          <w:sz w:val="24"/>
        </w:rPr>
        <w:t> </w:t>
      </w:r>
      <w:r>
        <w:rPr>
          <w:spacing w:val="-2"/>
          <w:sz w:val="24"/>
        </w:rPr>
        <w:t>open</w:t>
      </w:r>
      <w:r>
        <w:rPr>
          <w:spacing w:val="-14"/>
          <w:sz w:val="24"/>
        </w:rPr>
        <w:t> </w:t>
      </w:r>
      <w:r>
        <w:rPr>
          <w:spacing w:val="-2"/>
          <w:sz w:val="24"/>
        </w:rPr>
        <w:t>and</w:t>
      </w:r>
      <w:r>
        <w:rPr>
          <w:spacing w:val="-13"/>
          <w:sz w:val="24"/>
        </w:rPr>
        <w:t> </w:t>
      </w:r>
      <w:r>
        <w:rPr>
          <w:spacing w:val="-2"/>
          <w:sz w:val="24"/>
        </w:rPr>
        <w:t>constructively</w:t>
      </w:r>
      <w:r>
        <w:rPr>
          <w:spacing w:val="-14"/>
          <w:sz w:val="24"/>
        </w:rPr>
        <w:t> </w:t>
      </w:r>
      <w:r>
        <w:rPr>
          <w:spacing w:val="-2"/>
          <w:sz w:val="24"/>
        </w:rPr>
        <w:t>challenging</w:t>
      </w:r>
      <w:r>
        <w:rPr>
          <w:spacing w:val="-15"/>
          <w:sz w:val="24"/>
        </w:rPr>
        <w:t> </w:t>
      </w:r>
      <w:r>
        <w:rPr>
          <w:spacing w:val="-2"/>
          <w:sz w:val="24"/>
        </w:rPr>
        <w:t>approach</w:t>
      </w:r>
      <w:r>
        <w:rPr>
          <w:spacing w:val="-13"/>
          <w:sz w:val="24"/>
        </w:rPr>
        <w:t> </w:t>
      </w:r>
      <w:r>
        <w:rPr>
          <w:spacing w:val="-2"/>
          <w:sz w:val="24"/>
        </w:rPr>
        <w:t>within</w:t>
      </w:r>
      <w:r>
        <w:rPr>
          <w:spacing w:val="-12"/>
          <w:sz w:val="24"/>
        </w:rPr>
        <w:t> </w:t>
      </w:r>
      <w:r>
        <w:rPr>
          <w:spacing w:val="-2"/>
          <w:sz w:val="24"/>
        </w:rPr>
        <w:t>meetings.</w:t>
      </w:r>
    </w:p>
    <w:p>
      <w:pPr>
        <w:pStyle w:val="ListParagraph"/>
        <w:numPr>
          <w:ilvl w:val="2"/>
          <w:numId w:val="80"/>
        </w:numPr>
        <w:tabs>
          <w:tab w:pos="1277" w:val="left" w:leader="none"/>
        </w:tabs>
        <w:spacing w:line="240" w:lineRule="auto" w:before="118" w:after="0"/>
        <w:ind w:left="1277" w:right="0" w:hanging="360"/>
        <w:jc w:val="left"/>
        <w:rPr>
          <w:sz w:val="24"/>
        </w:rPr>
      </w:pPr>
      <w:r>
        <w:rPr>
          <w:spacing w:val="-2"/>
          <w:sz w:val="24"/>
        </w:rPr>
        <w:t>Promptly</w:t>
      </w:r>
      <w:r>
        <w:rPr>
          <w:spacing w:val="-14"/>
          <w:sz w:val="24"/>
        </w:rPr>
        <w:t> </w:t>
      </w:r>
      <w:r>
        <w:rPr>
          <w:spacing w:val="-2"/>
          <w:sz w:val="24"/>
        </w:rPr>
        <w:t>follow</w:t>
      </w:r>
      <w:r>
        <w:rPr>
          <w:spacing w:val="-12"/>
          <w:sz w:val="24"/>
        </w:rPr>
        <w:t> </w:t>
      </w:r>
      <w:r>
        <w:rPr>
          <w:spacing w:val="-2"/>
          <w:sz w:val="24"/>
        </w:rPr>
        <w:t>up</w:t>
      </w:r>
      <w:r>
        <w:rPr>
          <w:spacing w:val="-12"/>
          <w:sz w:val="24"/>
        </w:rPr>
        <w:t> </w:t>
      </w:r>
      <w:r>
        <w:rPr>
          <w:spacing w:val="-2"/>
          <w:sz w:val="24"/>
        </w:rPr>
        <w:t>on</w:t>
      </w:r>
      <w:r>
        <w:rPr>
          <w:spacing w:val="-13"/>
          <w:sz w:val="24"/>
        </w:rPr>
        <w:t> </w:t>
      </w:r>
      <w:r>
        <w:rPr>
          <w:spacing w:val="-2"/>
          <w:sz w:val="24"/>
        </w:rPr>
        <w:t>actions</w:t>
      </w:r>
      <w:r>
        <w:rPr>
          <w:spacing w:val="-13"/>
          <w:sz w:val="24"/>
        </w:rPr>
        <w:t> </w:t>
      </w:r>
      <w:r>
        <w:rPr>
          <w:spacing w:val="-2"/>
          <w:sz w:val="24"/>
        </w:rPr>
        <w:t>and</w:t>
      </w:r>
      <w:r>
        <w:rPr>
          <w:spacing w:val="-12"/>
          <w:sz w:val="24"/>
        </w:rPr>
        <w:t> </w:t>
      </w:r>
      <w:r>
        <w:rPr>
          <w:spacing w:val="-2"/>
          <w:sz w:val="24"/>
        </w:rPr>
        <w:t>commitments;</w:t>
      </w:r>
      <w:r>
        <w:rPr>
          <w:spacing w:val="-10"/>
          <w:sz w:val="24"/>
        </w:rPr>
        <w:t> </w:t>
      </w:r>
      <w:r>
        <w:rPr>
          <w:spacing w:val="-5"/>
          <w:sz w:val="24"/>
        </w:rPr>
        <w:t>and</w:t>
      </w:r>
    </w:p>
    <w:p>
      <w:pPr>
        <w:pStyle w:val="ListParagraph"/>
        <w:numPr>
          <w:ilvl w:val="2"/>
          <w:numId w:val="80"/>
        </w:numPr>
        <w:tabs>
          <w:tab w:pos="1278" w:val="left" w:leader="none"/>
        </w:tabs>
        <w:spacing w:line="242" w:lineRule="auto" w:before="118" w:after="0"/>
        <w:ind w:left="1278" w:right="721" w:hanging="361"/>
        <w:jc w:val="left"/>
        <w:rPr>
          <w:sz w:val="24"/>
        </w:rPr>
      </w:pPr>
      <w:r>
        <w:rPr>
          <w:spacing w:val="-2"/>
          <w:sz w:val="24"/>
        </w:rPr>
        <w:t>Participate</w:t>
      </w:r>
      <w:r>
        <w:rPr>
          <w:spacing w:val="-14"/>
          <w:sz w:val="24"/>
        </w:rPr>
        <w:t> </w:t>
      </w:r>
      <w:r>
        <w:rPr>
          <w:spacing w:val="-2"/>
          <w:sz w:val="24"/>
        </w:rPr>
        <w:t>in</w:t>
      </w:r>
      <w:r>
        <w:rPr>
          <w:spacing w:val="-12"/>
          <w:sz w:val="24"/>
        </w:rPr>
        <w:t> </w:t>
      </w:r>
      <w:r>
        <w:rPr>
          <w:spacing w:val="-2"/>
          <w:sz w:val="24"/>
        </w:rPr>
        <w:t>electronic</w:t>
      </w:r>
      <w:r>
        <w:rPr>
          <w:spacing w:val="-13"/>
          <w:sz w:val="24"/>
        </w:rPr>
        <w:t> </w:t>
      </w:r>
      <w:r>
        <w:rPr>
          <w:spacing w:val="-2"/>
          <w:sz w:val="24"/>
        </w:rPr>
        <w:t>and</w:t>
      </w:r>
      <w:r>
        <w:rPr>
          <w:spacing w:val="-12"/>
          <w:sz w:val="24"/>
        </w:rPr>
        <w:t> </w:t>
      </w:r>
      <w:r>
        <w:rPr>
          <w:spacing w:val="-2"/>
          <w:sz w:val="24"/>
        </w:rPr>
        <w:t>virtual</w:t>
      </w:r>
      <w:r>
        <w:rPr>
          <w:spacing w:val="-12"/>
          <w:sz w:val="24"/>
        </w:rPr>
        <w:t> </w:t>
      </w:r>
      <w:r>
        <w:rPr>
          <w:spacing w:val="-2"/>
          <w:sz w:val="24"/>
        </w:rPr>
        <w:t>channels</w:t>
      </w:r>
      <w:r>
        <w:rPr>
          <w:spacing w:val="-13"/>
          <w:sz w:val="24"/>
        </w:rPr>
        <w:t> </w:t>
      </w:r>
      <w:r>
        <w:rPr>
          <w:spacing w:val="-2"/>
          <w:sz w:val="24"/>
        </w:rPr>
        <w:t>established</w:t>
      </w:r>
      <w:r>
        <w:rPr>
          <w:spacing w:val="-12"/>
          <w:sz w:val="24"/>
        </w:rPr>
        <w:t> </w:t>
      </w:r>
      <w:r>
        <w:rPr>
          <w:spacing w:val="-2"/>
          <w:sz w:val="24"/>
        </w:rPr>
        <w:t>to</w:t>
      </w:r>
      <w:r>
        <w:rPr>
          <w:spacing w:val="-12"/>
          <w:sz w:val="24"/>
        </w:rPr>
        <w:t> </w:t>
      </w:r>
      <w:r>
        <w:rPr>
          <w:spacing w:val="-2"/>
          <w:sz w:val="24"/>
        </w:rPr>
        <w:t>allow</w:t>
      </w:r>
      <w:r>
        <w:rPr>
          <w:spacing w:val="-15"/>
          <w:sz w:val="24"/>
        </w:rPr>
        <w:t> </w:t>
      </w:r>
      <w:r>
        <w:rPr>
          <w:spacing w:val="-2"/>
          <w:sz w:val="24"/>
        </w:rPr>
        <w:t>a</w:t>
      </w:r>
      <w:r>
        <w:rPr>
          <w:spacing w:val="-8"/>
          <w:sz w:val="24"/>
        </w:rPr>
        <w:t> </w:t>
      </w:r>
      <w:r>
        <w:rPr>
          <w:spacing w:val="-2"/>
          <w:sz w:val="24"/>
        </w:rPr>
        <w:t>continuous</w:t>
      </w:r>
      <w:r>
        <w:rPr>
          <w:spacing w:val="-9"/>
          <w:sz w:val="24"/>
        </w:rPr>
        <w:t> </w:t>
      </w:r>
      <w:r>
        <w:rPr>
          <w:spacing w:val="-2"/>
          <w:sz w:val="24"/>
        </w:rPr>
        <w:t>flow</w:t>
      </w:r>
      <w:r>
        <w:rPr>
          <w:spacing w:val="-12"/>
          <w:sz w:val="24"/>
        </w:rPr>
        <w:t> </w:t>
      </w:r>
      <w:r>
        <w:rPr>
          <w:spacing w:val="-2"/>
          <w:sz w:val="24"/>
        </w:rPr>
        <w:t>of </w:t>
      </w:r>
      <w:r>
        <w:rPr>
          <w:sz w:val="24"/>
        </w:rPr>
        <w:t>information between committee members.</w:t>
      </w:r>
    </w:p>
    <w:p>
      <w:pPr>
        <w:pStyle w:val="ListParagraph"/>
        <w:numPr>
          <w:ilvl w:val="1"/>
          <w:numId w:val="80"/>
        </w:numPr>
        <w:tabs>
          <w:tab w:pos="852" w:val="left" w:leader="none"/>
        </w:tabs>
        <w:spacing w:line="240" w:lineRule="auto" w:before="157" w:after="0"/>
        <w:ind w:left="852" w:right="0" w:hanging="710"/>
        <w:jc w:val="left"/>
        <w:rPr>
          <w:sz w:val="24"/>
        </w:rPr>
      </w:pPr>
      <w:r>
        <w:rPr>
          <w:spacing w:val="-2"/>
          <w:sz w:val="24"/>
        </w:rPr>
        <w:t>Membership</w:t>
      </w:r>
      <w:r>
        <w:rPr>
          <w:spacing w:val="-15"/>
          <w:sz w:val="24"/>
        </w:rPr>
        <w:t> </w:t>
      </w:r>
      <w:r>
        <w:rPr>
          <w:spacing w:val="-2"/>
          <w:sz w:val="24"/>
        </w:rPr>
        <w:t>of</w:t>
      </w:r>
      <w:r>
        <w:rPr>
          <w:spacing w:val="-14"/>
          <w:sz w:val="24"/>
        </w:rPr>
        <w:t> </w:t>
      </w:r>
      <w:r>
        <w:rPr>
          <w:spacing w:val="-2"/>
          <w:sz w:val="24"/>
        </w:rPr>
        <w:t>the</w:t>
      </w:r>
      <w:r>
        <w:rPr>
          <w:spacing w:val="-11"/>
          <w:sz w:val="24"/>
        </w:rPr>
        <w:t> </w:t>
      </w:r>
      <w:r>
        <w:rPr>
          <w:spacing w:val="-2"/>
          <w:sz w:val="24"/>
        </w:rPr>
        <w:t>Regional</w:t>
      </w:r>
      <w:r>
        <w:rPr>
          <w:spacing w:val="-11"/>
          <w:sz w:val="24"/>
        </w:rPr>
        <w:t> </w:t>
      </w:r>
      <w:r>
        <w:rPr>
          <w:spacing w:val="-2"/>
          <w:sz w:val="24"/>
        </w:rPr>
        <w:t>Workforce</w:t>
      </w:r>
      <w:r>
        <w:rPr>
          <w:spacing w:val="-12"/>
          <w:sz w:val="24"/>
        </w:rPr>
        <w:t> </w:t>
      </w:r>
      <w:r>
        <w:rPr>
          <w:spacing w:val="-2"/>
          <w:sz w:val="24"/>
        </w:rPr>
        <w:t>&amp;</w:t>
      </w:r>
      <w:r>
        <w:rPr>
          <w:spacing w:val="-13"/>
          <w:sz w:val="24"/>
        </w:rPr>
        <w:t> </w:t>
      </w:r>
      <w:r>
        <w:rPr>
          <w:spacing w:val="-2"/>
          <w:sz w:val="24"/>
        </w:rPr>
        <w:t>OD</w:t>
      </w:r>
      <w:r>
        <w:rPr>
          <w:spacing w:val="-7"/>
          <w:sz w:val="24"/>
        </w:rPr>
        <w:t> </w:t>
      </w:r>
      <w:r>
        <w:rPr>
          <w:spacing w:val="-2"/>
          <w:sz w:val="24"/>
        </w:rPr>
        <w:t>Subgroup</w:t>
      </w:r>
      <w:r>
        <w:rPr>
          <w:spacing w:val="-11"/>
          <w:sz w:val="24"/>
        </w:rPr>
        <w:t> </w:t>
      </w:r>
      <w:r>
        <w:rPr>
          <w:spacing w:val="-2"/>
          <w:sz w:val="24"/>
        </w:rPr>
        <w:t>shall</w:t>
      </w:r>
      <w:r>
        <w:rPr>
          <w:spacing w:val="-12"/>
          <w:sz w:val="24"/>
        </w:rPr>
        <w:t> </w:t>
      </w:r>
      <w:r>
        <w:rPr>
          <w:spacing w:val="-2"/>
          <w:sz w:val="24"/>
        </w:rPr>
        <w:t>comprise:</w:t>
      </w:r>
    </w:p>
    <w:p>
      <w:pPr>
        <w:pStyle w:val="BodyText"/>
        <w:spacing w:before="44"/>
        <w:rPr>
          <w:sz w:val="20"/>
        </w:r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383"/>
        <w:gridCol w:w="4723"/>
      </w:tblGrid>
      <w:tr>
        <w:trPr>
          <w:trHeight w:val="285" w:hRule="atLeast"/>
        </w:trPr>
        <w:tc>
          <w:tcPr>
            <w:tcW w:w="5383" w:type="dxa"/>
            <w:shd w:val="clear" w:color="auto" w:fill="C1A875"/>
          </w:tcPr>
          <w:p>
            <w:pPr>
              <w:pStyle w:val="TableParagraph"/>
              <w:spacing w:line="265" w:lineRule="exact"/>
              <w:ind w:left="105"/>
              <w:rPr>
                <w:b/>
                <w:sz w:val="24"/>
              </w:rPr>
            </w:pPr>
            <w:r>
              <w:rPr>
                <w:b/>
                <w:spacing w:val="-2"/>
                <w:sz w:val="24"/>
              </w:rPr>
              <w:t>Member</w:t>
            </w:r>
          </w:p>
        </w:tc>
        <w:tc>
          <w:tcPr>
            <w:tcW w:w="4723" w:type="dxa"/>
            <w:shd w:val="clear" w:color="auto" w:fill="C1A875"/>
          </w:tcPr>
          <w:p>
            <w:pPr>
              <w:pStyle w:val="TableParagraph"/>
              <w:spacing w:line="265" w:lineRule="exact"/>
              <w:ind w:left="109"/>
              <w:rPr>
                <w:b/>
                <w:sz w:val="24"/>
              </w:rPr>
            </w:pPr>
            <w:r>
              <w:rPr>
                <w:b/>
                <w:spacing w:val="-2"/>
                <w:sz w:val="24"/>
              </w:rPr>
              <w:t>Organisation</w:t>
            </w:r>
          </w:p>
        </w:tc>
      </w:tr>
      <w:tr>
        <w:trPr>
          <w:trHeight w:val="285" w:hRule="atLeast"/>
        </w:trPr>
        <w:tc>
          <w:tcPr>
            <w:tcW w:w="5383" w:type="dxa"/>
          </w:tcPr>
          <w:p>
            <w:pPr>
              <w:pStyle w:val="TableParagraph"/>
              <w:spacing w:line="265" w:lineRule="exact"/>
              <w:ind w:left="105"/>
              <w:rPr>
                <w:sz w:val="24"/>
              </w:rPr>
            </w:pPr>
            <w:r>
              <w:rPr>
                <w:spacing w:val="-2"/>
                <w:sz w:val="24"/>
              </w:rPr>
              <w:t>Executive</w:t>
            </w:r>
            <w:r>
              <w:rPr>
                <w:spacing w:val="-13"/>
                <w:sz w:val="24"/>
              </w:rPr>
              <w:t> </w:t>
            </w:r>
            <w:r>
              <w:rPr>
                <w:spacing w:val="-2"/>
                <w:sz w:val="24"/>
              </w:rPr>
              <w:t>Director</w:t>
            </w:r>
            <w:r>
              <w:rPr>
                <w:spacing w:val="-12"/>
                <w:sz w:val="24"/>
              </w:rPr>
              <w:t> </w:t>
            </w:r>
            <w:r>
              <w:rPr>
                <w:spacing w:val="-2"/>
                <w:sz w:val="24"/>
              </w:rPr>
              <w:t>of</w:t>
            </w:r>
            <w:r>
              <w:rPr>
                <w:spacing w:val="-11"/>
                <w:sz w:val="24"/>
              </w:rPr>
              <w:t> </w:t>
            </w:r>
            <w:r>
              <w:rPr>
                <w:spacing w:val="-2"/>
                <w:sz w:val="24"/>
              </w:rPr>
              <w:t>Workforce</w:t>
            </w:r>
            <w:r>
              <w:rPr>
                <w:spacing w:val="-13"/>
                <w:sz w:val="24"/>
              </w:rPr>
              <w:t> </w:t>
            </w:r>
            <w:r>
              <w:rPr>
                <w:spacing w:val="-2"/>
                <w:sz w:val="24"/>
              </w:rPr>
              <w:t>&amp;</w:t>
            </w:r>
            <w:r>
              <w:rPr>
                <w:spacing w:val="-9"/>
                <w:sz w:val="24"/>
              </w:rPr>
              <w:t> </w:t>
            </w:r>
            <w:r>
              <w:rPr>
                <w:spacing w:val="-2"/>
                <w:sz w:val="24"/>
              </w:rPr>
              <w:t>OD</w:t>
            </w:r>
            <w:r>
              <w:rPr>
                <w:spacing w:val="-11"/>
                <w:sz w:val="24"/>
              </w:rPr>
              <w:t> </w:t>
            </w:r>
            <w:r>
              <w:rPr>
                <w:spacing w:val="-2"/>
                <w:sz w:val="24"/>
              </w:rPr>
              <w:t>(-Chair)</w:t>
            </w:r>
          </w:p>
        </w:tc>
        <w:tc>
          <w:tcPr>
            <w:tcW w:w="4723" w:type="dxa"/>
          </w:tcPr>
          <w:p>
            <w:pPr>
              <w:pStyle w:val="TableParagraph"/>
              <w:spacing w:line="265" w:lineRule="exact"/>
              <w:ind w:left="109"/>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5383" w:type="dxa"/>
          </w:tcPr>
          <w:p>
            <w:pPr>
              <w:pStyle w:val="TableParagraph"/>
              <w:spacing w:line="265" w:lineRule="exact"/>
              <w:ind w:left="105"/>
              <w:rPr>
                <w:sz w:val="24"/>
              </w:rPr>
            </w:pPr>
            <w:r>
              <w:rPr>
                <w:spacing w:val="-2"/>
                <w:sz w:val="24"/>
              </w:rPr>
              <w:t>Executive</w:t>
            </w:r>
            <w:r>
              <w:rPr>
                <w:spacing w:val="-14"/>
                <w:sz w:val="24"/>
              </w:rPr>
              <w:t> </w:t>
            </w:r>
            <w:r>
              <w:rPr>
                <w:spacing w:val="-2"/>
                <w:sz w:val="24"/>
              </w:rPr>
              <w:t>Director</w:t>
            </w:r>
            <w:r>
              <w:rPr>
                <w:spacing w:val="-13"/>
                <w:sz w:val="24"/>
              </w:rPr>
              <w:t> </w:t>
            </w:r>
            <w:r>
              <w:rPr>
                <w:spacing w:val="-2"/>
                <w:sz w:val="24"/>
              </w:rPr>
              <w:t>of</w:t>
            </w:r>
            <w:r>
              <w:rPr>
                <w:spacing w:val="-12"/>
                <w:sz w:val="24"/>
              </w:rPr>
              <w:t> </w:t>
            </w:r>
            <w:r>
              <w:rPr>
                <w:spacing w:val="-2"/>
                <w:sz w:val="24"/>
              </w:rPr>
              <w:t>Workforce</w:t>
            </w:r>
            <w:r>
              <w:rPr>
                <w:spacing w:val="-13"/>
                <w:sz w:val="24"/>
              </w:rPr>
              <w:t> </w:t>
            </w:r>
            <w:r>
              <w:rPr>
                <w:spacing w:val="-2"/>
                <w:sz w:val="24"/>
              </w:rPr>
              <w:t>&amp;</w:t>
            </w:r>
            <w:r>
              <w:rPr>
                <w:spacing w:val="-11"/>
                <w:sz w:val="24"/>
              </w:rPr>
              <w:t> </w:t>
            </w:r>
            <w:r>
              <w:rPr>
                <w:spacing w:val="-2"/>
                <w:sz w:val="24"/>
              </w:rPr>
              <w:t>OD</w:t>
            </w:r>
            <w:r>
              <w:rPr>
                <w:spacing w:val="-11"/>
                <w:sz w:val="24"/>
              </w:rPr>
              <w:t> </w:t>
            </w:r>
            <w:r>
              <w:rPr>
                <w:spacing w:val="-2"/>
                <w:sz w:val="24"/>
              </w:rPr>
              <w:t>(Co-Chair)</w:t>
            </w:r>
          </w:p>
        </w:tc>
        <w:tc>
          <w:tcPr>
            <w:tcW w:w="4723" w:type="dxa"/>
          </w:tcPr>
          <w:p>
            <w:pPr>
              <w:pStyle w:val="TableParagraph"/>
              <w:spacing w:line="265" w:lineRule="exact"/>
              <w:ind w:left="109"/>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0" w:hRule="atLeast"/>
        </w:trPr>
        <w:tc>
          <w:tcPr>
            <w:tcW w:w="5383" w:type="dxa"/>
          </w:tcPr>
          <w:p>
            <w:pPr>
              <w:pStyle w:val="TableParagraph"/>
              <w:spacing w:line="260" w:lineRule="exact"/>
              <w:ind w:left="105"/>
              <w:rPr>
                <w:sz w:val="24"/>
              </w:rPr>
            </w:pPr>
            <w:r>
              <w:rPr>
                <w:spacing w:val="-2"/>
                <w:sz w:val="24"/>
              </w:rPr>
              <w:t>Assistant</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People</w:t>
            </w:r>
            <w:r>
              <w:rPr>
                <w:spacing w:val="-10"/>
                <w:sz w:val="24"/>
              </w:rPr>
              <w:t> </w:t>
            </w:r>
            <w:r>
              <w:rPr>
                <w:spacing w:val="-2"/>
                <w:sz w:val="24"/>
              </w:rPr>
              <w:t>Management</w:t>
            </w:r>
          </w:p>
        </w:tc>
        <w:tc>
          <w:tcPr>
            <w:tcW w:w="4723" w:type="dxa"/>
          </w:tcPr>
          <w:p>
            <w:pPr>
              <w:pStyle w:val="TableParagraph"/>
              <w:spacing w:line="260" w:lineRule="exact"/>
              <w:ind w:left="109"/>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5" w:hRule="atLeast"/>
        </w:trPr>
        <w:tc>
          <w:tcPr>
            <w:tcW w:w="5383" w:type="dxa"/>
          </w:tcPr>
          <w:p>
            <w:pPr>
              <w:pStyle w:val="TableParagraph"/>
              <w:spacing w:line="265" w:lineRule="exact"/>
              <w:ind w:left="105"/>
              <w:rPr>
                <w:sz w:val="24"/>
              </w:rPr>
            </w:pPr>
            <w:r>
              <w:rPr>
                <w:spacing w:val="-2"/>
                <w:sz w:val="24"/>
              </w:rPr>
              <w:t>Assistant</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People</w:t>
            </w:r>
            <w:r>
              <w:rPr>
                <w:spacing w:val="-10"/>
                <w:sz w:val="24"/>
              </w:rPr>
              <w:t> </w:t>
            </w:r>
            <w:r>
              <w:rPr>
                <w:spacing w:val="-2"/>
                <w:sz w:val="24"/>
              </w:rPr>
              <w:t>Planning</w:t>
            </w:r>
          </w:p>
        </w:tc>
        <w:tc>
          <w:tcPr>
            <w:tcW w:w="4723" w:type="dxa"/>
          </w:tcPr>
          <w:p>
            <w:pPr>
              <w:pStyle w:val="TableParagraph"/>
              <w:spacing w:line="265" w:lineRule="exact"/>
              <w:ind w:left="109"/>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4" w:hRule="atLeast"/>
        </w:trPr>
        <w:tc>
          <w:tcPr>
            <w:tcW w:w="5383" w:type="dxa"/>
          </w:tcPr>
          <w:p>
            <w:pPr>
              <w:pStyle w:val="TableParagraph"/>
              <w:spacing w:line="265" w:lineRule="exact"/>
              <w:ind w:left="105"/>
              <w:rPr>
                <w:sz w:val="24"/>
              </w:rPr>
            </w:pPr>
            <w:r>
              <w:rPr>
                <w:spacing w:val="-4"/>
                <w:sz w:val="24"/>
              </w:rPr>
              <w:t>Assistant</w:t>
            </w:r>
            <w:r>
              <w:rPr>
                <w:spacing w:val="-2"/>
                <w:sz w:val="24"/>
              </w:rPr>
              <w:t> </w:t>
            </w:r>
            <w:r>
              <w:rPr>
                <w:spacing w:val="-4"/>
                <w:sz w:val="24"/>
              </w:rPr>
              <w:t>Director</w:t>
            </w:r>
            <w:r>
              <w:rPr>
                <w:sz w:val="24"/>
              </w:rPr>
              <w:t> </w:t>
            </w:r>
            <w:r>
              <w:rPr>
                <w:spacing w:val="-4"/>
                <w:sz w:val="24"/>
              </w:rPr>
              <w:t>of</w:t>
            </w:r>
            <w:r>
              <w:rPr>
                <w:spacing w:val="-2"/>
                <w:sz w:val="24"/>
              </w:rPr>
              <w:t> </w:t>
            </w:r>
            <w:r>
              <w:rPr>
                <w:spacing w:val="-4"/>
                <w:sz w:val="24"/>
              </w:rPr>
              <w:t>Organisational</w:t>
            </w:r>
            <w:r>
              <w:rPr>
                <w:spacing w:val="2"/>
                <w:sz w:val="24"/>
              </w:rPr>
              <w:t> </w:t>
            </w:r>
            <w:r>
              <w:rPr>
                <w:spacing w:val="-4"/>
                <w:sz w:val="24"/>
              </w:rPr>
              <w:t>Development</w:t>
            </w:r>
          </w:p>
        </w:tc>
        <w:tc>
          <w:tcPr>
            <w:tcW w:w="4723" w:type="dxa"/>
          </w:tcPr>
          <w:p>
            <w:pPr>
              <w:pStyle w:val="TableParagraph"/>
              <w:spacing w:line="265" w:lineRule="exact"/>
              <w:ind w:left="109"/>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550" w:hRule="atLeast"/>
        </w:trPr>
        <w:tc>
          <w:tcPr>
            <w:tcW w:w="5383" w:type="dxa"/>
          </w:tcPr>
          <w:p>
            <w:pPr>
              <w:pStyle w:val="TableParagraph"/>
              <w:spacing w:line="276" w:lineRule="exact"/>
              <w:ind w:left="105"/>
              <w:rPr>
                <w:sz w:val="24"/>
              </w:rPr>
            </w:pPr>
            <w:r>
              <w:rPr>
                <w:spacing w:val="-2"/>
                <w:sz w:val="24"/>
              </w:rPr>
              <w:t>Assistant</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Workforce</w:t>
            </w:r>
            <w:r>
              <w:rPr>
                <w:spacing w:val="-15"/>
                <w:sz w:val="24"/>
              </w:rPr>
              <w:t> </w:t>
            </w:r>
            <w:r>
              <w:rPr>
                <w:spacing w:val="-2"/>
                <w:sz w:val="24"/>
              </w:rPr>
              <w:t>&amp;</w:t>
            </w:r>
            <w:r>
              <w:rPr>
                <w:spacing w:val="-15"/>
                <w:sz w:val="24"/>
              </w:rPr>
              <w:t> </w:t>
            </w:r>
            <w:r>
              <w:rPr>
                <w:spacing w:val="-2"/>
                <w:sz w:val="24"/>
              </w:rPr>
              <w:t>OD</w:t>
            </w:r>
            <w:r>
              <w:rPr>
                <w:spacing w:val="-15"/>
                <w:sz w:val="24"/>
              </w:rPr>
              <w:t> </w:t>
            </w:r>
            <w:r>
              <w:rPr>
                <w:spacing w:val="-2"/>
                <w:sz w:val="24"/>
              </w:rPr>
              <w:t>(specialist support)</w:t>
            </w:r>
          </w:p>
        </w:tc>
        <w:tc>
          <w:tcPr>
            <w:tcW w:w="4723" w:type="dxa"/>
          </w:tcPr>
          <w:p>
            <w:pPr>
              <w:pStyle w:val="TableParagraph"/>
              <w:ind w:left="109"/>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3" w:hRule="atLeast"/>
        </w:trPr>
        <w:tc>
          <w:tcPr>
            <w:tcW w:w="5383" w:type="dxa"/>
          </w:tcPr>
          <w:p>
            <w:pPr>
              <w:pStyle w:val="TableParagraph"/>
              <w:spacing w:line="264" w:lineRule="exact"/>
              <w:ind w:left="105"/>
              <w:rPr>
                <w:sz w:val="24"/>
              </w:rPr>
            </w:pPr>
            <w:r>
              <w:rPr>
                <w:spacing w:val="-2"/>
                <w:sz w:val="24"/>
              </w:rPr>
              <w:t>Assistant</w:t>
            </w:r>
            <w:r>
              <w:rPr>
                <w:spacing w:val="-13"/>
                <w:sz w:val="24"/>
              </w:rPr>
              <w:t> </w:t>
            </w:r>
            <w:r>
              <w:rPr>
                <w:spacing w:val="-2"/>
                <w:sz w:val="24"/>
              </w:rPr>
              <w:t>Director</w:t>
            </w:r>
            <w:r>
              <w:rPr>
                <w:spacing w:val="-11"/>
                <w:sz w:val="24"/>
              </w:rPr>
              <w:t> </w:t>
            </w:r>
            <w:r>
              <w:rPr>
                <w:spacing w:val="-2"/>
                <w:sz w:val="24"/>
              </w:rPr>
              <w:t>of</w:t>
            </w:r>
            <w:r>
              <w:rPr>
                <w:spacing w:val="-13"/>
                <w:sz w:val="24"/>
              </w:rPr>
              <w:t> </w:t>
            </w:r>
            <w:r>
              <w:rPr>
                <w:spacing w:val="-2"/>
                <w:sz w:val="24"/>
              </w:rPr>
              <w:t>Workforce</w:t>
            </w:r>
            <w:r>
              <w:rPr>
                <w:spacing w:val="-10"/>
                <w:sz w:val="24"/>
              </w:rPr>
              <w:t> </w:t>
            </w:r>
            <w:r>
              <w:rPr>
                <w:spacing w:val="-2"/>
                <w:sz w:val="24"/>
              </w:rPr>
              <w:t>&amp;</w:t>
            </w:r>
            <w:r>
              <w:rPr>
                <w:spacing w:val="-6"/>
                <w:sz w:val="24"/>
              </w:rPr>
              <w:t> </w:t>
            </w:r>
            <w:r>
              <w:rPr>
                <w:spacing w:val="-2"/>
                <w:sz w:val="24"/>
              </w:rPr>
              <w:t>OD</w:t>
            </w:r>
            <w:r>
              <w:rPr>
                <w:spacing w:val="-7"/>
                <w:sz w:val="24"/>
              </w:rPr>
              <w:t> </w:t>
            </w:r>
            <w:r>
              <w:rPr>
                <w:spacing w:val="-2"/>
                <w:sz w:val="24"/>
              </w:rPr>
              <w:t>-</w:t>
            </w:r>
            <w:r>
              <w:rPr>
                <w:spacing w:val="-10"/>
                <w:sz w:val="24"/>
              </w:rPr>
              <w:t> </w:t>
            </w:r>
            <w:r>
              <w:rPr>
                <w:spacing w:val="-2"/>
                <w:sz w:val="24"/>
              </w:rPr>
              <w:t>Workforce</w:t>
            </w:r>
          </w:p>
        </w:tc>
        <w:tc>
          <w:tcPr>
            <w:tcW w:w="4723" w:type="dxa"/>
          </w:tcPr>
          <w:p>
            <w:pPr>
              <w:pStyle w:val="TableParagraph"/>
              <w:spacing w:line="264" w:lineRule="exact"/>
              <w:ind w:left="109"/>
              <w:rPr>
                <w:sz w:val="24"/>
              </w:rPr>
            </w:pPr>
            <w:r>
              <w:rPr>
                <w:spacing w:val="-4"/>
                <w:sz w:val="24"/>
              </w:rPr>
              <w:t>Swansea</w:t>
            </w:r>
            <w:r>
              <w:rPr>
                <w:spacing w:val="-1"/>
                <w:sz w:val="24"/>
              </w:rPr>
              <w:t> </w:t>
            </w:r>
            <w:r>
              <w:rPr>
                <w:spacing w:val="-4"/>
                <w:sz w:val="24"/>
              </w:rPr>
              <w:t>University</w:t>
            </w:r>
            <w:r>
              <w:rPr>
                <w:spacing w:val="-1"/>
                <w:sz w:val="24"/>
              </w:rPr>
              <w:t> </w:t>
            </w:r>
            <w:r>
              <w:rPr>
                <w:spacing w:val="-4"/>
                <w:sz w:val="24"/>
              </w:rPr>
              <w:t>Health</w:t>
            </w:r>
            <w:r>
              <w:rPr>
                <w:sz w:val="24"/>
              </w:rPr>
              <w:t> </w:t>
            </w:r>
            <w:r>
              <w:rPr>
                <w:spacing w:val="-4"/>
                <w:sz w:val="24"/>
              </w:rPr>
              <w:t>Board</w:t>
            </w:r>
          </w:p>
        </w:tc>
      </w:tr>
      <w:tr>
        <w:trPr>
          <w:trHeight w:val="285" w:hRule="atLeast"/>
        </w:trPr>
        <w:tc>
          <w:tcPr>
            <w:tcW w:w="5383" w:type="dxa"/>
          </w:tcPr>
          <w:p>
            <w:pPr>
              <w:pStyle w:val="TableParagraph"/>
              <w:spacing w:line="265" w:lineRule="exact"/>
              <w:ind w:left="105"/>
              <w:rPr>
                <w:sz w:val="24"/>
              </w:rPr>
            </w:pPr>
            <w:r>
              <w:rPr>
                <w:sz w:val="24"/>
              </w:rPr>
              <w:t>Head</w:t>
            </w:r>
            <w:r>
              <w:rPr>
                <w:spacing w:val="-17"/>
                <w:sz w:val="24"/>
              </w:rPr>
              <w:t> </w:t>
            </w:r>
            <w:r>
              <w:rPr>
                <w:sz w:val="24"/>
              </w:rPr>
              <w:t>of</w:t>
            </w:r>
            <w:r>
              <w:rPr>
                <w:spacing w:val="-17"/>
                <w:sz w:val="24"/>
              </w:rPr>
              <w:t> </w:t>
            </w:r>
            <w:r>
              <w:rPr>
                <w:sz w:val="24"/>
              </w:rPr>
              <w:t>Staff</w:t>
            </w:r>
            <w:r>
              <w:rPr>
                <w:spacing w:val="-16"/>
                <w:sz w:val="24"/>
              </w:rPr>
              <w:t> </w:t>
            </w:r>
            <w:r>
              <w:rPr>
                <w:sz w:val="24"/>
              </w:rPr>
              <w:t>Health</w:t>
            </w:r>
            <w:r>
              <w:rPr>
                <w:spacing w:val="-17"/>
                <w:sz w:val="24"/>
              </w:rPr>
              <w:t> </w:t>
            </w:r>
            <w:r>
              <w:rPr>
                <w:sz w:val="24"/>
              </w:rPr>
              <w:t>&amp;</w:t>
            </w:r>
            <w:r>
              <w:rPr>
                <w:spacing w:val="-12"/>
                <w:sz w:val="24"/>
              </w:rPr>
              <w:t> </w:t>
            </w:r>
            <w:r>
              <w:rPr>
                <w:spacing w:val="-2"/>
                <w:sz w:val="24"/>
              </w:rPr>
              <w:t>Wellbeing</w:t>
            </w:r>
          </w:p>
        </w:tc>
        <w:tc>
          <w:tcPr>
            <w:tcW w:w="4723" w:type="dxa"/>
          </w:tcPr>
          <w:p>
            <w:pPr>
              <w:pStyle w:val="TableParagraph"/>
              <w:spacing w:line="265" w:lineRule="exact"/>
              <w:ind w:left="109"/>
              <w:rPr>
                <w:sz w:val="24"/>
              </w:rPr>
            </w:pPr>
            <w:r>
              <w:rPr>
                <w:spacing w:val="-4"/>
                <w:sz w:val="24"/>
              </w:rPr>
              <w:t>Swansea</w:t>
            </w:r>
            <w:r>
              <w:rPr>
                <w:spacing w:val="-1"/>
                <w:sz w:val="24"/>
              </w:rPr>
              <w:t> </w:t>
            </w:r>
            <w:r>
              <w:rPr>
                <w:spacing w:val="-4"/>
                <w:sz w:val="24"/>
              </w:rPr>
              <w:t>University</w:t>
            </w:r>
            <w:r>
              <w:rPr>
                <w:spacing w:val="-1"/>
                <w:sz w:val="24"/>
              </w:rPr>
              <w:t> </w:t>
            </w:r>
            <w:r>
              <w:rPr>
                <w:spacing w:val="-4"/>
                <w:sz w:val="24"/>
              </w:rPr>
              <w:t>Health</w:t>
            </w:r>
            <w:r>
              <w:rPr>
                <w:sz w:val="24"/>
              </w:rPr>
              <w:t> </w:t>
            </w:r>
            <w:r>
              <w:rPr>
                <w:spacing w:val="-4"/>
                <w:sz w:val="24"/>
              </w:rPr>
              <w:t>Board</w:t>
            </w:r>
          </w:p>
        </w:tc>
      </w:tr>
      <w:tr>
        <w:trPr>
          <w:trHeight w:val="550" w:hRule="atLeast"/>
        </w:trPr>
        <w:tc>
          <w:tcPr>
            <w:tcW w:w="5383" w:type="dxa"/>
          </w:tcPr>
          <w:p>
            <w:pPr>
              <w:pStyle w:val="TableParagraph"/>
              <w:spacing w:line="276" w:lineRule="exact"/>
              <w:ind w:left="105"/>
              <w:rPr>
                <w:sz w:val="24"/>
              </w:rPr>
            </w:pPr>
            <w:r>
              <w:rPr>
                <w:spacing w:val="-2"/>
                <w:sz w:val="24"/>
              </w:rPr>
              <w:t>Assistant</w:t>
            </w:r>
            <w:r>
              <w:rPr>
                <w:spacing w:val="-15"/>
                <w:sz w:val="24"/>
              </w:rPr>
              <w:t> </w:t>
            </w:r>
            <w:r>
              <w:rPr>
                <w:spacing w:val="-2"/>
                <w:sz w:val="24"/>
              </w:rPr>
              <w:t>Director</w:t>
            </w:r>
            <w:r>
              <w:rPr>
                <w:spacing w:val="-15"/>
                <w:sz w:val="24"/>
              </w:rPr>
              <w:t> </w:t>
            </w:r>
            <w:r>
              <w:rPr>
                <w:spacing w:val="-2"/>
                <w:sz w:val="24"/>
              </w:rPr>
              <w:t>of</w:t>
            </w:r>
            <w:r>
              <w:rPr>
                <w:spacing w:val="-14"/>
                <w:sz w:val="24"/>
              </w:rPr>
              <w:t> </w:t>
            </w:r>
            <w:r>
              <w:rPr>
                <w:spacing w:val="-2"/>
                <w:sz w:val="24"/>
              </w:rPr>
              <w:t>workforce</w:t>
            </w:r>
            <w:r>
              <w:rPr>
                <w:spacing w:val="-15"/>
                <w:sz w:val="24"/>
              </w:rPr>
              <w:t> </w:t>
            </w:r>
            <w:r>
              <w:rPr>
                <w:spacing w:val="-2"/>
                <w:sz w:val="24"/>
              </w:rPr>
              <w:t>&amp;</w:t>
            </w:r>
            <w:r>
              <w:rPr>
                <w:spacing w:val="-11"/>
                <w:sz w:val="24"/>
              </w:rPr>
              <w:t> </w:t>
            </w:r>
            <w:r>
              <w:rPr>
                <w:spacing w:val="-2"/>
                <w:sz w:val="24"/>
              </w:rPr>
              <w:t>OD</w:t>
            </w:r>
            <w:r>
              <w:rPr>
                <w:spacing w:val="-11"/>
                <w:sz w:val="24"/>
              </w:rPr>
              <w:t> </w:t>
            </w:r>
            <w:r>
              <w:rPr>
                <w:spacing w:val="-2"/>
                <w:sz w:val="24"/>
              </w:rPr>
              <w:t>–</w:t>
            </w:r>
            <w:r>
              <w:rPr>
                <w:spacing w:val="-13"/>
                <w:sz w:val="24"/>
              </w:rPr>
              <w:t> </w:t>
            </w:r>
            <w:r>
              <w:rPr>
                <w:spacing w:val="-2"/>
                <w:sz w:val="24"/>
              </w:rPr>
              <w:t>Workforce Development</w:t>
            </w:r>
          </w:p>
        </w:tc>
        <w:tc>
          <w:tcPr>
            <w:tcW w:w="4723" w:type="dxa"/>
          </w:tcPr>
          <w:p>
            <w:pPr>
              <w:pStyle w:val="TableParagraph"/>
              <w:ind w:left="109"/>
              <w:rPr>
                <w:sz w:val="24"/>
              </w:rPr>
            </w:pPr>
            <w:r>
              <w:rPr>
                <w:spacing w:val="-4"/>
                <w:sz w:val="24"/>
              </w:rPr>
              <w:t>Swansea</w:t>
            </w:r>
            <w:r>
              <w:rPr>
                <w:spacing w:val="-1"/>
                <w:sz w:val="24"/>
              </w:rPr>
              <w:t> </w:t>
            </w:r>
            <w:r>
              <w:rPr>
                <w:spacing w:val="-4"/>
                <w:sz w:val="24"/>
              </w:rPr>
              <w:t>University</w:t>
            </w:r>
            <w:r>
              <w:rPr>
                <w:spacing w:val="-1"/>
                <w:sz w:val="24"/>
              </w:rPr>
              <w:t> </w:t>
            </w:r>
            <w:r>
              <w:rPr>
                <w:spacing w:val="-4"/>
                <w:sz w:val="24"/>
              </w:rPr>
              <w:t>Health</w:t>
            </w:r>
            <w:r>
              <w:rPr>
                <w:sz w:val="24"/>
              </w:rPr>
              <w:t> </w:t>
            </w:r>
            <w:r>
              <w:rPr>
                <w:spacing w:val="-4"/>
                <w:sz w:val="24"/>
              </w:rPr>
              <w:t>Board</w:t>
            </w:r>
          </w:p>
        </w:tc>
      </w:tr>
      <w:tr>
        <w:trPr>
          <w:trHeight w:val="553" w:hRule="atLeast"/>
        </w:trPr>
        <w:tc>
          <w:tcPr>
            <w:tcW w:w="5383" w:type="dxa"/>
          </w:tcPr>
          <w:p>
            <w:pPr>
              <w:pStyle w:val="TableParagraph"/>
              <w:spacing w:line="274" w:lineRule="exact"/>
              <w:ind w:left="105"/>
              <w:rPr>
                <w:sz w:val="24"/>
              </w:rPr>
            </w:pPr>
            <w:r>
              <w:rPr>
                <w:spacing w:val="-2"/>
                <w:sz w:val="24"/>
              </w:rPr>
              <w:t>Assistant</w:t>
            </w:r>
            <w:r>
              <w:rPr>
                <w:spacing w:val="-14"/>
                <w:sz w:val="24"/>
              </w:rPr>
              <w:t> </w:t>
            </w:r>
            <w:r>
              <w:rPr>
                <w:spacing w:val="-2"/>
                <w:sz w:val="24"/>
              </w:rPr>
              <w:t>Director</w:t>
            </w:r>
            <w:r>
              <w:rPr>
                <w:spacing w:val="-11"/>
                <w:sz w:val="24"/>
              </w:rPr>
              <w:t> </w:t>
            </w:r>
            <w:r>
              <w:rPr>
                <w:spacing w:val="-2"/>
                <w:sz w:val="24"/>
              </w:rPr>
              <w:t>of</w:t>
            </w:r>
            <w:r>
              <w:rPr>
                <w:spacing w:val="-13"/>
                <w:sz w:val="24"/>
              </w:rPr>
              <w:t> </w:t>
            </w:r>
            <w:r>
              <w:rPr>
                <w:spacing w:val="-2"/>
                <w:sz w:val="24"/>
              </w:rPr>
              <w:t>workforce</w:t>
            </w:r>
            <w:r>
              <w:rPr>
                <w:spacing w:val="-11"/>
                <w:sz w:val="24"/>
              </w:rPr>
              <w:t> </w:t>
            </w:r>
            <w:r>
              <w:rPr>
                <w:spacing w:val="-2"/>
                <w:sz w:val="24"/>
              </w:rPr>
              <w:t>&amp;</w:t>
            </w:r>
            <w:r>
              <w:rPr>
                <w:spacing w:val="-6"/>
                <w:sz w:val="24"/>
              </w:rPr>
              <w:t> </w:t>
            </w:r>
            <w:r>
              <w:rPr>
                <w:spacing w:val="-2"/>
                <w:sz w:val="24"/>
              </w:rPr>
              <w:t>OD</w:t>
            </w:r>
            <w:r>
              <w:rPr>
                <w:spacing w:val="-8"/>
                <w:sz w:val="24"/>
              </w:rPr>
              <w:t> </w:t>
            </w:r>
            <w:r>
              <w:rPr>
                <w:spacing w:val="-2"/>
                <w:sz w:val="24"/>
              </w:rPr>
              <w:t>–</w:t>
            </w:r>
            <w:r>
              <w:rPr>
                <w:spacing w:val="-9"/>
                <w:sz w:val="24"/>
              </w:rPr>
              <w:t> </w:t>
            </w:r>
            <w:r>
              <w:rPr>
                <w:spacing w:val="-2"/>
                <w:sz w:val="24"/>
              </w:rPr>
              <w:t>Workforce</w:t>
            </w:r>
          </w:p>
          <w:p>
            <w:pPr>
              <w:pStyle w:val="TableParagraph"/>
              <w:spacing w:line="255" w:lineRule="exact" w:before="4"/>
              <w:ind w:left="105"/>
              <w:rPr>
                <w:sz w:val="24"/>
              </w:rPr>
            </w:pPr>
            <w:r>
              <w:rPr>
                <w:spacing w:val="-2"/>
                <w:sz w:val="24"/>
              </w:rPr>
              <w:t>Development</w:t>
            </w:r>
          </w:p>
        </w:tc>
        <w:tc>
          <w:tcPr>
            <w:tcW w:w="4723" w:type="dxa"/>
          </w:tcPr>
          <w:p>
            <w:pPr>
              <w:pStyle w:val="TableParagraph"/>
              <w:spacing w:line="274" w:lineRule="exact"/>
              <w:ind w:left="109"/>
              <w:rPr>
                <w:sz w:val="24"/>
              </w:rPr>
            </w:pPr>
            <w:r>
              <w:rPr>
                <w:spacing w:val="-4"/>
                <w:sz w:val="24"/>
              </w:rPr>
              <w:t>Swansea</w:t>
            </w:r>
            <w:r>
              <w:rPr>
                <w:spacing w:val="-1"/>
                <w:sz w:val="24"/>
              </w:rPr>
              <w:t> </w:t>
            </w:r>
            <w:r>
              <w:rPr>
                <w:spacing w:val="-4"/>
                <w:sz w:val="24"/>
              </w:rPr>
              <w:t>University</w:t>
            </w:r>
            <w:r>
              <w:rPr>
                <w:spacing w:val="-1"/>
                <w:sz w:val="24"/>
              </w:rPr>
              <w:t> </w:t>
            </w:r>
            <w:r>
              <w:rPr>
                <w:spacing w:val="-4"/>
                <w:sz w:val="24"/>
              </w:rPr>
              <w:t>Health</w:t>
            </w:r>
            <w:r>
              <w:rPr>
                <w:sz w:val="24"/>
              </w:rPr>
              <w:t> </w:t>
            </w:r>
            <w:r>
              <w:rPr>
                <w:spacing w:val="-4"/>
                <w:sz w:val="24"/>
              </w:rPr>
              <w:t>Board</w:t>
            </w:r>
          </w:p>
        </w:tc>
      </w:tr>
      <w:tr>
        <w:trPr>
          <w:trHeight w:val="285" w:hRule="atLeast"/>
        </w:trPr>
        <w:tc>
          <w:tcPr>
            <w:tcW w:w="5383" w:type="dxa"/>
          </w:tcPr>
          <w:p>
            <w:pPr>
              <w:pStyle w:val="TableParagraph"/>
              <w:rPr>
                <w:rFonts w:ascii="Times New Roman"/>
                <w:sz w:val="20"/>
              </w:rPr>
            </w:pPr>
          </w:p>
        </w:tc>
        <w:tc>
          <w:tcPr>
            <w:tcW w:w="4723" w:type="dxa"/>
          </w:tcPr>
          <w:p>
            <w:pPr>
              <w:pStyle w:val="TableParagraph"/>
              <w:rPr>
                <w:rFonts w:ascii="Times New Roman"/>
                <w:sz w:val="20"/>
              </w:rPr>
            </w:pPr>
          </w:p>
        </w:tc>
      </w:tr>
      <w:tr>
        <w:trPr>
          <w:trHeight w:val="279" w:hRule="atLeast"/>
        </w:trPr>
        <w:tc>
          <w:tcPr>
            <w:tcW w:w="5383" w:type="dxa"/>
          </w:tcPr>
          <w:p>
            <w:pPr>
              <w:pStyle w:val="TableParagraph"/>
              <w:rPr>
                <w:rFonts w:ascii="Times New Roman"/>
                <w:sz w:val="20"/>
              </w:rPr>
            </w:pPr>
          </w:p>
        </w:tc>
        <w:tc>
          <w:tcPr>
            <w:tcW w:w="4723" w:type="dxa"/>
          </w:tcPr>
          <w:p>
            <w:pPr>
              <w:pStyle w:val="TableParagraph"/>
              <w:rPr>
                <w:rFonts w:ascii="Times New Roman"/>
                <w:sz w:val="20"/>
              </w:rPr>
            </w:pPr>
          </w:p>
        </w:tc>
      </w:tr>
      <w:tr>
        <w:trPr>
          <w:trHeight w:val="285" w:hRule="atLeast"/>
        </w:trPr>
        <w:tc>
          <w:tcPr>
            <w:tcW w:w="5383" w:type="dxa"/>
            <w:shd w:val="clear" w:color="auto" w:fill="C1A875"/>
          </w:tcPr>
          <w:p>
            <w:pPr>
              <w:pStyle w:val="TableParagraph"/>
              <w:spacing w:line="265" w:lineRule="exact"/>
              <w:ind w:left="105"/>
              <w:rPr>
                <w:b/>
                <w:sz w:val="24"/>
              </w:rPr>
            </w:pPr>
            <w:r>
              <w:rPr>
                <w:b/>
                <w:sz w:val="24"/>
              </w:rPr>
              <w:t>In</w:t>
            </w:r>
            <w:r>
              <w:rPr>
                <w:b/>
                <w:spacing w:val="-6"/>
                <w:sz w:val="24"/>
              </w:rPr>
              <w:t> </w:t>
            </w:r>
            <w:r>
              <w:rPr>
                <w:b/>
                <w:spacing w:val="-2"/>
                <w:sz w:val="24"/>
              </w:rPr>
              <w:t>Attendance</w:t>
            </w:r>
          </w:p>
        </w:tc>
        <w:tc>
          <w:tcPr>
            <w:tcW w:w="4723" w:type="dxa"/>
            <w:shd w:val="clear" w:color="auto" w:fill="C1A875"/>
          </w:tcPr>
          <w:p>
            <w:pPr>
              <w:pStyle w:val="TableParagraph"/>
              <w:rPr>
                <w:rFonts w:ascii="Times New Roman"/>
                <w:sz w:val="20"/>
              </w:rPr>
            </w:pPr>
          </w:p>
        </w:tc>
      </w:tr>
      <w:tr>
        <w:trPr>
          <w:trHeight w:val="285" w:hRule="atLeast"/>
        </w:trPr>
        <w:tc>
          <w:tcPr>
            <w:tcW w:w="5383" w:type="dxa"/>
          </w:tcPr>
          <w:p>
            <w:pPr>
              <w:pStyle w:val="TableParagraph"/>
              <w:rPr>
                <w:rFonts w:ascii="Times New Roman"/>
                <w:sz w:val="20"/>
              </w:rPr>
            </w:pPr>
          </w:p>
        </w:tc>
        <w:tc>
          <w:tcPr>
            <w:tcW w:w="4723" w:type="dxa"/>
          </w:tcPr>
          <w:p>
            <w:pPr>
              <w:pStyle w:val="TableParagraph"/>
              <w:rPr>
                <w:rFonts w:ascii="Times New Roman"/>
                <w:sz w:val="20"/>
              </w:rPr>
            </w:pPr>
          </w:p>
        </w:tc>
      </w:tr>
      <w:tr>
        <w:trPr>
          <w:trHeight w:val="285" w:hRule="atLeast"/>
        </w:trPr>
        <w:tc>
          <w:tcPr>
            <w:tcW w:w="5383" w:type="dxa"/>
          </w:tcPr>
          <w:p>
            <w:pPr>
              <w:pStyle w:val="TableParagraph"/>
              <w:rPr>
                <w:rFonts w:ascii="Times New Roman"/>
                <w:sz w:val="20"/>
              </w:rPr>
            </w:pPr>
          </w:p>
        </w:tc>
        <w:tc>
          <w:tcPr>
            <w:tcW w:w="4723" w:type="dxa"/>
          </w:tcPr>
          <w:p>
            <w:pPr>
              <w:pStyle w:val="TableParagraph"/>
              <w:rPr>
                <w:rFonts w:ascii="Times New Roman"/>
                <w:sz w:val="20"/>
              </w:rPr>
            </w:pPr>
          </w:p>
        </w:tc>
      </w:tr>
    </w:tbl>
    <w:p>
      <w:pPr>
        <w:pStyle w:val="BodyText"/>
        <w:spacing w:before="9"/>
      </w:pPr>
    </w:p>
    <w:p>
      <w:pPr>
        <w:spacing w:before="1"/>
        <w:ind w:left="4" w:right="284" w:firstLine="0"/>
        <w:jc w:val="center"/>
        <w:rPr>
          <w:sz w:val="20"/>
        </w:rPr>
      </w:pPr>
      <w:r>
        <w:rPr>
          <w:spacing w:val="-10"/>
          <w:sz w:val="20"/>
        </w:rPr>
        <w:t>3</w:t>
      </w:r>
    </w:p>
    <w:p>
      <w:pPr>
        <w:spacing w:after="0"/>
        <w:jc w:val="center"/>
        <w:rPr>
          <w:sz w:val="20"/>
        </w:rPr>
        <w:sectPr>
          <w:pgSz w:w="11910" w:h="16840"/>
          <w:pgMar w:header="0" w:footer="149" w:top="920" w:bottom="340" w:left="708" w:right="425"/>
        </w:sect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383"/>
        <w:gridCol w:w="4723"/>
      </w:tblGrid>
      <w:tr>
        <w:trPr>
          <w:trHeight w:val="285" w:hRule="atLeast"/>
        </w:trPr>
        <w:tc>
          <w:tcPr>
            <w:tcW w:w="5383" w:type="dxa"/>
          </w:tcPr>
          <w:p>
            <w:pPr>
              <w:pStyle w:val="TableParagraph"/>
              <w:rPr>
                <w:rFonts w:ascii="Times New Roman"/>
                <w:sz w:val="20"/>
              </w:rPr>
            </w:pPr>
          </w:p>
        </w:tc>
        <w:tc>
          <w:tcPr>
            <w:tcW w:w="4723" w:type="dxa"/>
          </w:tcPr>
          <w:p>
            <w:pPr>
              <w:pStyle w:val="TableParagraph"/>
              <w:rPr>
                <w:rFonts w:ascii="Times New Roman"/>
                <w:sz w:val="20"/>
              </w:rPr>
            </w:pPr>
          </w:p>
        </w:tc>
      </w:tr>
      <w:tr>
        <w:trPr>
          <w:trHeight w:val="550" w:hRule="atLeast"/>
        </w:trPr>
        <w:tc>
          <w:tcPr>
            <w:tcW w:w="10106" w:type="dxa"/>
            <w:gridSpan w:val="2"/>
            <w:shd w:val="clear" w:color="auto" w:fill="C1A875"/>
          </w:tcPr>
          <w:p>
            <w:pPr>
              <w:pStyle w:val="TableParagraph"/>
              <w:spacing w:line="276" w:lineRule="exact"/>
              <w:ind w:left="105" w:right="518"/>
              <w:rPr>
                <w:b/>
                <w:sz w:val="24"/>
              </w:rPr>
            </w:pPr>
            <w:r>
              <w:rPr>
                <w:b/>
                <w:sz w:val="24"/>
              </w:rPr>
              <w:t>Invitation</w:t>
            </w:r>
            <w:r>
              <w:rPr>
                <w:b/>
                <w:spacing w:val="-4"/>
                <w:sz w:val="24"/>
              </w:rPr>
              <w:t> </w:t>
            </w:r>
            <w:r>
              <w:rPr>
                <w:b/>
                <w:sz w:val="24"/>
              </w:rPr>
              <w:t>to</w:t>
            </w:r>
            <w:r>
              <w:rPr>
                <w:b/>
                <w:spacing w:val="-8"/>
                <w:sz w:val="24"/>
              </w:rPr>
              <w:t> </w:t>
            </w:r>
            <w:r>
              <w:rPr>
                <w:b/>
                <w:sz w:val="24"/>
              </w:rPr>
              <w:t>attend</w:t>
            </w:r>
            <w:r>
              <w:rPr>
                <w:b/>
                <w:spacing w:val="-4"/>
                <w:sz w:val="24"/>
              </w:rPr>
              <w:t> </w:t>
            </w:r>
            <w:r>
              <w:rPr>
                <w:b/>
                <w:sz w:val="24"/>
              </w:rPr>
              <w:t>to</w:t>
            </w:r>
            <w:r>
              <w:rPr>
                <w:b/>
                <w:spacing w:val="-4"/>
                <w:sz w:val="24"/>
              </w:rPr>
              <w:t> </w:t>
            </w:r>
            <w:r>
              <w:rPr>
                <w:b/>
                <w:sz w:val="24"/>
              </w:rPr>
              <w:t>discuss</w:t>
            </w:r>
            <w:r>
              <w:rPr>
                <w:b/>
                <w:spacing w:val="-5"/>
                <w:sz w:val="24"/>
              </w:rPr>
              <w:t> </w:t>
            </w:r>
            <w:r>
              <w:rPr>
                <w:b/>
                <w:sz w:val="24"/>
              </w:rPr>
              <w:t>work</w:t>
            </w:r>
            <w:r>
              <w:rPr>
                <w:b/>
                <w:spacing w:val="-5"/>
                <w:sz w:val="24"/>
              </w:rPr>
              <w:t> </w:t>
            </w:r>
            <w:r>
              <w:rPr>
                <w:b/>
                <w:sz w:val="24"/>
              </w:rPr>
              <w:t>programme</w:t>
            </w:r>
            <w:r>
              <w:rPr>
                <w:b/>
                <w:spacing w:val="-5"/>
                <w:sz w:val="24"/>
              </w:rPr>
              <w:t> </w:t>
            </w:r>
            <w:r>
              <w:rPr>
                <w:b/>
                <w:sz w:val="24"/>
              </w:rPr>
              <w:t>areas</w:t>
            </w:r>
            <w:r>
              <w:rPr>
                <w:b/>
                <w:spacing w:val="-5"/>
                <w:sz w:val="24"/>
              </w:rPr>
              <w:t> </w:t>
            </w:r>
            <w:r>
              <w:rPr>
                <w:b/>
                <w:sz w:val="24"/>
              </w:rPr>
              <w:t>requiring</w:t>
            </w:r>
            <w:r>
              <w:rPr>
                <w:b/>
                <w:spacing w:val="-8"/>
                <w:sz w:val="24"/>
              </w:rPr>
              <w:t> </w:t>
            </w:r>
            <w:r>
              <w:rPr>
                <w:b/>
                <w:sz w:val="24"/>
              </w:rPr>
              <w:t>wider</w:t>
            </w:r>
            <w:r>
              <w:rPr>
                <w:b/>
                <w:spacing w:val="-5"/>
                <w:sz w:val="24"/>
              </w:rPr>
              <w:t> </w:t>
            </w:r>
            <w:r>
              <w:rPr>
                <w:b/>
                <w:sz w:val="24"/>
              </w:rPr>
              <w:t>collaboration (as and when required)</w:t>
            </w:r>
          </w:p>
        </w:tc>
      </w:tr>
      <w:tr>
        <w:trPr>
          <w:trHeight w:val="283" w:hRule="atLeast"/>
        </w:trPr>
        <w:tc>
          <w:tcPr>
            <w:tcW w:w="5383" w:type="dxa"/>
          </w:tcPr>
          <w:p>
            <w:pPr>
              <w:pStyle w:val="TableParagraph"/>
              <w:rPr>
                <w:rFonts w:ascii="Times New Roman"/>
                <w:sz w:val="20"/>
              </w:rPr>
            </w:pPr>
          </w:p>
        </w:tc>
        <w:tc>
          <w:tcPr>
            <w:tcW w:w="4723" w:type="dxa"/>
          </w:tcPr>
          <w:p>
            <w:pPr>
              <w:pStyle w:val="TableParagraph"/>
              <w:rPr>
                <w:rFonts w:ascii="Times New Roman"/>
                <w:sz w:val="20"/>
              </w:rPr>
            </w:pPr>
          </w:p>
        </w:tc>
      </w:tr>
      <w:tr>
        <w:trPr>
          <w:trHeight w:val="285" w:hRule="atLeast"/>
        </w:trPr>
        <w:tc>
          <w:tcPr>
            <w:tcW w:w="5383" w:type="dxa"/>
          </w:tcPr>
          <w:p>
            <w:pPr>
              <w:pStyle w:val="TableParagraph"/>
              <w:rPr>
                <w:rFonts w:ascii="Times New Roman"/>
                <w:sz w:val="20"/>
              </w:rPr>
            </w:pPr>
          </w:p>
        </w:tc>
        <w:tc>
          <w:tcPr>
            <w:tcW w:w="4723" w:type="dxa"/>
          </w:tcPr>
          <w:p>
            <w:pPr>
              <w:pStyle w:val="TableParagraph"/>
              <w:rPr>
                <w:rFonts w:ascii="Times New Roman"/>
                <w:sz w:val="20"/>
              </w:rPr>
            </w:pPr>
          </w:p>
        </w:tc>
      </w:tr>
      <w:tr>
        <w:trPr>
          <w:trHeight w:val="285" w:hRule="atLeast"/>
        </w:trPr>
        <w:tc>
          <w:tcPr>
            <w:tcW w:w="5383" w:type="dxa"/>
          </w:tcPr>
          <w:p>
            <w:pPr>
              <w:pStyle w:val="TableParagraph"/>
              <w:rPr>
                <w:rFonts w:ascii="Times New Roman"/>
                <w:sz w:val="20"/>
              </w:rPr>
            </w:pPr>
          </w:p>
        </w:tc>
        <w:tc>
          <w:tcPr>
            <w:tcW w:w="4723" w:type="dxa"/>
          </w:tcPr>
          <w:p>
            <w:pPr>
              <w:pStyle w:val="TableParagraph"/>
              <w:rPr>
                <w:rFonts w:ascii="Times New Roman"/>
                <w:sz w:val="20"/>
              </w:rPr>
            </w:pPr>
          </w:p>
        </w:tc>
      </w:tr>
    </w:tbl>
    <w:p>
      <w:pPr>
        <w:pStyle w:val="BodyText"/>
        <w:spacing w:before="174"/>
      </w:pPr>
    </w:p>
    <w:p>
      <w:pPr>
        <w:pStyle w:val="ListParagraph"/>
        <w:numPr>
          <w:ilvl w:val="1"/>
          <w:numId w:val="80"/>
        </w:numPr>
        <w:tabs>
          <w:tab w:pos="852" w:val="left" w:leader="none"/>
        </w:tabs>
        <w:spacing w:line="240" w:lineRule="auto" w:before="1" w:after="0"/>
        <w:ind w:left="852" w:right="776" w:hanging="710"/>
        <w:jc w:val="left"/>
        <w:rPr>
          <w:sz w:val="24"/>
        </w:rPr>
      </w:pPr>
      <w:r>
        <w:rPr>
          <w:spacing w:val="-2"/>
          <w:sz w:val="24"/>
        </w:rPr>
        <w:t>The</w:t>
      </w:r>
      <w:r>
        <w:rPr>
          <w:spacing w:val="-12"/>
          <w:sz w:val="24"/>
        </w:rPr>
        <w:t> </w:t>
      </w:r>
      <w:r>
        <w:rPr>
          <w:spacing w:val="-2"/>
          <w:sz w:val="24"/>
        </w:rPr>
        <w:t>Regional</w:t>
      </w:r>
      <w:r>
        <w:rPr>
          <w:spacing w:val="-7"/>
          <w:sz w:val="24"/>
        </w:rPr>
        <w:t> </w:t>
      </w:r>
      <w:r>
        <w:rPr>
          <w:spacing w:val="-2"/>
          <w:sz w:val="24"/>
        </w:rPr>
        <w:t>Workforce</w:t>
      </w:r>
      <w:r>
        <w:rPr>
          <w:spacing w:val="-8"/>
          <w:sz w:val="24"/>
        </w:rPr>
        <w:t> </w:t>
      </w:r>
      <w:r>
        <w:rPr>
          <w:spacing w:val="-2"/>
          <w:sz w:val="24"/>
        </w:rPr>
        <w:t>&amp;</w:t>
      </w:r>
      <w:r>
        <w:rPr>
          <w:spacing w:val="-14"/>
          <w:sz w:val="24"/>
        </w:rPr>
        <w:t> </w:t>
      </w:r>
      <w:r>
        <w:rPr>
          <w:spacing w:val="-2"/>
          <w:sz w:val="24"/>
        </w:rPr>
        <w:t>OD</w:t>
      </w:r>
      <w:r>
        <w:rPr>
          <w:spacing w:val="-12"/>
          <w:sz w:val="24"/>
        </w:rPr>
        <w:t> </w:t>
      </w:r>
      <w:r>
        <w:rPr>
          <w:spacing w:val="-2"/>
          <w:sz w:val="24"/>
        </w:rPr>
        <w:t>Subgroup</w:t>
      </w:r>
      <w:r>
        <w:rPr>
          <w:spacing w:val="-12"/>
          <w:sz w:val="24"/>
        </w:rPr>
        <w:t> </w:t>
      </w:r>
      <w:r>
        <w:rPr>
          <w:spacing w:val="-2"/>
          <w:sz w:val="24"/>
        </w:rPr>
        <w:t>will</w:t>
      </w:r>
      <w:r>
        <w:rPr>
          <w:spacing w:val="-13"/>
          <w:sz w:val="24"/>
        </w:rPr>
        <w:t> </w:t>
      </w:r>
      <w:r>
        <w:rPr>
          <w:spacing w:val="-2"/>
          <w:sz w:val="24"/>
        </w:rPr>
        <w:t>be</w:t>
      </w:r>
      <w:r>
        <w:rPr>
          <w:spacing w:val="-7"/>
          <w:sz w:val="24"/>
        </w:rPr>
        <w:t> </w:t>
      </w:r>
      <w:r>
        <w:rPr>
          <w:spacing w:val="-2"/>
          <w:sz w:val="24"/>
        </w:rPr>
        <w:t>co-chaired</w:t>
      </w:r>
      <w:r>
        <w:rPr>
          <w:spacing w:val="-13"/>
          <w:sz w:val="24"/>
        </w:rPr>
        <w:t> </w:t>
      </w:r>
      <w:r>
        <w:rPr>
          <w:spacing w:val="-2"/>
          <w:sz w:val="24"/>
        </w:rPr>
        <w:t>by</w:t>
      </w:r>
      <w:r>
        <w:rPr>
          <w:spacing w:val="-9"/>
          <w:sz w:val="24"/>
        </w:rPr>
        <w:t> </w:t>
      </w:r>
      <w:r>
        <w:rPr>
          <w:spacing w:val="-2"/>
          <w:sz w:val="24"/>
        </w:rPr>
        <w:t>the</w:t>
      </w:r>
      <w:r>
        <w:rPr>
          <w:spacing w:val="-13"/>
          <w:sz w:val="24"/>
        </w:rPr>
        <w:t> </w:t>
      </w:r>
      <w:r>
        <w:rPr>
          <w:spacing w:val="-2"/>
          <w:sz w:val="24"/>
        </w:rPr>
        <w:t>Executive</w:t>
      </w:r>
      <w:r>
        <w:rPr>
          <w:spacing w:val="-13"/>
          <w:sz w:val="24"/>
        </w:rPr>
        <w:t> </w:t>
      </w:r>
      <w:r>
        <w:rPr>
          <w:spacing w:val="-2"/>
          <w:sz w:val="24"/>
        </w:rPr>
        <w:t>Directors</w:t>
      </w:r>
      <w:r>
        <w:rPr>
          <w:spacing w:val="-12"/>
          <w:sz w:val="24"/>
        </w:rPr>
        <w:t> </w:t>
      </w:r>
      <w:r>
        <w:rPr>
          <w:spacing w:val="-2"/>
          <w:sz w:val="24"/>
        </w:rPr>
        <w:t>of </w:t>
      </w:r>
      <w:r>
        <w:rPr>
          <w:sz w:val="24"/>
        </w:rPr>
        <w:t>Workforce</w:t>
      </w:r>
      <w:r>
        <w:rPr>
          <w:spacing w:val="-16"/>
          <w:sz w:val="24"/>
        </w:rPr>
        <w:t> </w:t>
      </w:r>
      <w:r>
        <w:rPr>
          <w:sz w:val="24"/>
        </w:rPr>
        <w:t>&amp;</w:t>
      </w:r>
      <w:r>
        <w:rPr>
          <w:spacing w:val="-12"/>
          <w:sz w:val="24"/>
        </w:rPr>
        <w:t> </w:t>
      </w:r>
      <w:r>
        <w:rPr>
          <w:sz w:val="24"/>
        </w:rPr>
        <w:t>OD/chairing</w:t>
      </w:r>
      <w:r>
        <w:rPr>
          <w:spacing w:val="-16"/>
          <w:sz w:val="24"/>
        </w:rPr>
        <w:t> </w:t>
      </w:r>
      <w:r>
        <w:rPr>
          <w:sz w:val="24"/>
        </w:rPr>
        <w:t>shall</w:t>
      </w:r>
      <w:r>
        <w:rPr>
          <w:spacing w:val="-12"/>
          <w:sz w:val="24"/>
        </w:rPr>
        <w:t> </w:t>
      </w:r>
      <w:r>
        <w:rPr>
          <w:sz w:val="24"/>
        </w:rPr>
        <w:t>rotate</w:t>
      </w:r>
      <w:r>
        <w:rPr>
          <w:spacing w:val="-16"/>
          <w:sz w:val="24"/>
        </w:rPr>
        <w:t> </w:t>
      </w:r>
      <w:r>
        <w:rPr>
          <w:sz w:val="24"/>
        </w:rPr>
        <w:t>between</w:t>
      </w:r>
      <w:r>
        <w:rPr>
          <w:spacing w:val="-16"/>
          <w:sz w:val="24"/>
        </w:rPr>
        <w:t> </w:t>
      </w:r>
      <w:r>
        <w:rPr>
          <w:sz w:val="24"/>
        </w:rPr>
        <w:t>partner</w:t>
      </w:r>
      <w:r>
        <w:rPr>
          <w:spacing w:val="-17"/>
          <w:sz w:val="24"/>
        </w:rPr>
        <w:t> </w:t>
      </w:r>
      <w:r>
        <w:rPr>
          <w:sz w:val="24"/>
        </w:rPr>
        <w:t>organisations</w:t>
      </w:r>
      <w:r>
        <w:rPr>
          <w:spacing w:val="-16"/>
          <w:sz w:val="24"/>
        </w:rPr>
        <w:t> </w:t>
      </w:r>
      <w:r>
        <w:rPr>
          <w:sz w:val="24"/>
        </w:rPr>
        <w:t>on</w:t>
      </w:r>
      <w:r>
        <w:rPr>
          <w:spacing w:val="-16"/>
          <w:sz w:val="24"/>
        </w:rPr>
        <w:t> </w:t>
      </w:r>
      <w:r>
        <w:rPr>
          <w:sz w:val="24"/>
        </w:rPr>
        <w:t>an</w:t>
      </w:r>
      <w:r>
        <w:rPr>
          <w:spacing w:val="-16"/>
          <w:sz w:val="24"/>
        </w:rPr>
        <w:t> </w:t>
      </w:r>
      <w:r>
        <w:rPr>
          <w:sz w:val="24"/>
        </w:rPr>
        <w:t>annual</w:t>
      </w:r>
      <w:r>
        <w:rPr>
          <w:spacing w:val="-16"/>
          <w:sz w:val="24"/>
        </w:rPr>
        <w:t> </w:t>
      </w:r>
      <w:r>
        <w:rPr>
          <w:sz w:val="24"/>
        </w:rPr>
        <w:t>basis unless otherwise agreed.</w:t>
      </w:r>
    </w:p>
    <w:p>
      <w:pPr>
        <w:pStyle w:val="ListParagraph"/>
        <w:numPr>
          <w:ilvl w:val="1"/>
          <w:numId w:val="80"/>
        </w:numPr>
        <w:tabs>
          <w:tab w:pos="852" w:val="left" w:leader="none"/>
        </w:tabs>
        <w:spacing w:line="240" w:lineRule="auto" w:before="162" w:after="0"/>
        <w:ind w:left="852" w:right="1016" w:hanging="710"/>
        <w:jc w:val="left"/>
        <w:rPr>
          <w:sz w:val="24"/>
        </w:rPr>
      </w:pPr>
      <w:r>
        <w:rPr>
          <w:spacing w:val="-2"/>
          <w:sz w:val="24"/>
        </w:rPr>
        <w:t>Membership</w:t>
      </w:r>
      <w:r>
        <w:rPr>
          <w:spacing w:val="-11"/>
          <w:sz w:val="24"/>
        </w:rPr>
        <w:t> </w:t>
      </w:r>
      <w:r>
        <w:rPr>
          <w:spacing w:val="-2"/>
          <w:sz w:val="24"/>
        </w:rPr>
        <w:t>of</w:t>
      </w:r>
      <w:r>
        <w:rPr>
          <w:spacing w:val="-14"/>
          <w:sz w:val="24"/>
        </w:rPr>
        <w:t> </w:t>
      </w:r>
      <w:r>
        <w:rPr>
          <w:spacing w:val="-2"/>
          <w:sz w:val="24"/>
        </w:rPr>
        <w:t>the</w:t>
      </w:r>
      <w:r>
        <w:rPr>
          <w:spacing w:val="-9"/>
          <w:sz w:val="24"/>
        </w:rPr>
        <w:t> </w:t>
      </w:r>
      <w:r>
        <w:rPr>
          <w:spacing w:val="-2"/>
          <w:sz w:val="24"/>
        </w:rPr>
        <w:t>Regional</w:t>
      </w:r>
      <w:r>
        <w:rPr>
          <w:spacing w:val="-10"/>
          <w:sz w:val="24"/>
        </w:rPr>
        <w:t> </w:t>
      </w:r>
      <w:r>
        <w:rPr>
          <w:spacing w:val="-2"/>
          <w:sz w:val="24"/>
        </w:rPr>
        <w:t>Workforce</w:t>
      </w:r>
      <w:r>
        <w:rPr>
          <w:spacing w:val="-11"/>
          <w:sz w:val="24"/>
        </w:rPr>
        <w:t> </w:t>
      </w:r>
      <w:r>
        <w:rPr>
          <w:spacing w:val="-2"/>
          <w:sz w:val="24"/>
        </w:rPr>
        <w:t>&amp;</w:t>
      </w:r>
      <w:r>
        <w:rPr>
          <w:spacing w:val="-12"/>
          <w:sz w:val="24"/>
        </w:rPr>
        <w:t> </w:t>
      </w:r>
      <w:r>
        <w:rPr>
          <w:spacing w:val="-2"/>
          <w:sz w:val="24"/>
        </w:rPr>
        <w:t>OD</w:t>
      </w:r>
      <w:r>
        <w:rPr>
          <w:spacing w:val="-6"/>
          <w:sz w:val="24"/>
        </w:rPr>
        <w:t> </w:t>
      </w:r>
      <w:r>
        <w:rPr>
          <w:spacing w:val="-2"/>
          <w:sz w:val="24"/>
        </w:rPr>
        <w:t>Subgroup</w:t>
      </w:r>
      <w:r>
        <w:rPr>
          <w:spacing w:val="-10"/>
          <w:sz w:val="24"/>
        </w:rPr>
        <w:t> </w:t>
      </w:r>
      <w:r>
        <w:rPr>
          <w:spacing w:val="-2"/>
          <w:sz w:val="24"/>
        </w:rPr>
        <w:t>will</w:t>
      </w:r>
      <w:r>
        <w:rPr>
          <w:spacing w:val="-11"/>
          <w:sz w:val="24"/>
        </w:rPr>
        <w:t> </w:t>
      </w:r>
      <w:r>
        <w:rPr>
          <w:spacing w:val="-2"/>
          <w:sz w:val="24"/>
        </w:rPr>
        <w:t>be</w:t>
      </w:r>
      <w:r>
        <w:rPr>
          <w:spacing w:val="-11"/>
          <w:sz w:val="24"/>
        </w:rPr>
        <w:t> </w:t>
      </w:r>
      <w:r>
        <w:rPr>
          <w:spacing w:val="-2"/>
          <w:sz w:val="24"/>
        </w:rPr>
        <w:t>reviewed</w:t>
      </w:r>
      <w:r>
        <w:rPr>
          <w:spacing w:val="-11"/>
          <w:sz w:val="24"/>
        </w:rPr>
        <w:t> </w:t>
      </w:r>
      <w:r>
        <w:rPr>
          <w:spacing w:val="-2"/>
          <w:sz w:val="24"/>
        </w:rPr>
        <w:t>on</w:t>
      </w:r>
      <w:r>
        <w:rPr>
          <w:spacing w:val="-11"/>
          <w:sz w:val="24"/>
        </w:rPr>
        <w:t> </w:t>
      </w:r>
      <w:r>
        <w:rPr>
          <w:spacing w:val="-2"/>
          <w:sz w:val="24"/>
        </w:rPr>
        <w:t>an</w:t>
      </w:r>
      <w:r>
        <w:rPr>
          <w:spacing w:val="-11"/>
          <w:sz w:val="24"/>
        </w:rPr>
        <w:t> </w:t>
      </w:r>
      <w:r>
        <w:rPr>
          <w:spacing w:val="-2"/>
          <w:sz w:val="24"/>
        </w:rPr>
        <w:t>annual basis.</w:t>
      </w:r>
    </w:p>
    <w:p>
      <w:pPr>
        <w:pStyle w:val="ListParagraph"/>
        <w:numPr>
          <w:ilvl w:val="1"/>
          <w:numId w:val="80"/>
        </w:numPr>
        <w:tabs>
          <w:tab w:pos="852" w:val="left" w:leader="none"/>
        </w:tabs>
        <w:spacing w:line="240" w:lineRule="auto" w:before="158" w:after="0"/>
        <w:ind w:left="852" w:right="1135" w:hanging="710"/>
        <w:jc w:val="left"/>
        <w:rPr>
          <w:sz w:val="24"/>
        </w:rPr>
      </w:pPr>
      <w:r>
        <w:rPr>
          <w:spacing w:val="-2"/>
          <w:sz w:val="24"/>
        </w:rPr>
        <w:t>The</w:t>
      </w:r>
      <w:r>
        <w:rPr>
          <w:spacing w:val="-12"/>
          <w:sz w:val="24"/>
        </w:rPr>
        <w:t> </w:t>
      </w:r>
      <w:r>
        <w:rPr>
          <w:spacing w:val="-2"/>
          <w:sz w:val="24"/>
        </w:rPr>
        <w:t>Regional</w:t>
      </w:r>
      <w:r>
        <w:rPr>
          <w:spacing w:val="-8"/>
          <w:sz w:val="24"/>
        </w:rPr>
        <w:t> </w:t>
      </w:r>
      <w:r>
        <w:rPr>
          <w:spacing w:val="-2"/>
          <w:sz w:val="24"/>
        </w:rPr>
        <w:t>Workforce</w:t>
      </w:r>
      <w:r>
        <w:rPr>
          <w:spacing w:val="-9"/>
          <w:sz w:val="24"/>
        </w:rPr>
        <w:t> </w:t>
      </w:r>
      <w:r>
        <w:rPr>
          <w:spacing w:val="-2"/>
          <w:sz w:val="24"/>
        </w:rPr>
        <w:t>&amp;</w:t>
      </w:r>
      <w:r>
        <w:rPr>
          <w:spacing w:val="-14"/>
          <w:sz w:val="24"/>
        </w:rPr>
        <w:t> </w:t>
      </w:r>
      <w:r>
        <w:rPr>
          <w:spacing w:val="-2"/>
          <w:sz w:val="24"/>
        </w:rPr>
        <w:t>OD</w:t>
      </w:r>
      <w:r>
        <w:rPr>
          <w:spacing w:val="-12"/>
          <w:sz w:val="24"/>
        </w:rPr>
        <w:t> </w:t>
      </w:r>
      <w:r>
        <w:rPr>
          <w:spacing w:val="-2"/>
          <w:sz w:val="24"/>
        </w:rPr>
        <w:t>Subgroup</w:t>
      </w:r>
      <w:r>
        <w:rPr>
          <w:spacing w:val="-12"/>
          <w:sz w:val="24"/>
        </w:rPr>
        <w:t> </w:t>
      </w:r>
      <w:r>
        <w:rPr>
          <w:spacing w:val="-2"/>
          <w:sz w:val="24"/>
        </w:rPr>
        <w:t>will</w:t>
      </w:r>
      <w:r>
        <w:rPr>
          <w:spacing w:val="-13"/>
          <w:sz w:val="24"/>
        </w:rPr>
        <w:t> </w:t>
      </w:r>
      <w:r>
        <w:rPr>
          <w:spacing w:val="-2"/>
          <w:sz w:val="24"/>
        </w:rPr>
        <w:t>be</w:t>
      </w:r>
      <w:r>
        <w:rPr>
          <w:spacing w:val="-9"/>
          <w:sz w:val="24"/>
        </w:rPr>
        <w:t> </w:t>
      </w:r>
      <w:r>
        <w:rPr>
          <w:spacing w:val="-2"/>
          <w:sz w:val="24"/>
        </w:rPr>
        <w:t>supported</w:t>
      </w:r>
      <w:r>
        <w:rPr>
          <w:spacing w:val="-13"/>
          <w:sz w:val="24"/>
        </w:rPr>
        <w:t> </w:t>
      </w:r>
      <w:r>
        <w:rPr>
          <w:spacing w:val="-2"/>
          <w:sz w:val="24"/>
        </w:rPr>
        <w:t>by</w:t>
      </w:r>
      <w:r>
        <w:rPr>
          <w:spacing w:val="-13"/>
          <w:sz w:val="24"/>
        </w:rPr>
        <w:t> </w:t>
      </w:r>
      <w:r>
        <w:rPr>
          <w:spacing w:val="-2"/>
          <w:sz w:val="24"/>
        </w:rPr>
        <w:t>a</w:t>
      </w:r>
      <w:r>
        <w:rPr>
          <w:spacing w:val="-12"/>
          <w:sz w:val="24"/>
        </w:rPr>
        <w:t> </w:t>
      </w:r>
      <w:r>
        <w:rPr>
          <w:spacing w:val="-2"/>
          <w:sz w:val="24"/>
        </w:rPr>
        <w:t>Secretary</w:t>
      </w:r>
      <w:r>
        <w:rPr>
          <w:spacing w:val="-13"/>
          <w:sz w:val="24"/>
        </w:rPr>
        <w:t> </w:t>
      </w:r>
      <w:r>
        <w:rPr>
          <w:spacing w:val="-2"/>
          <w:sz w:val="24"/>
        </w:rPr>
        <w:t>nominated </w:t>
      </w:r>
      <w:r>
        <w:rPr>
          <w:sz w:val="24"/>
        </w:rPr>
        <w:t>through the Co-Chairs.</w:t>
      </w:r>
    </w:p>
    <w:p>
      <w:pPr>
        <w:pStyle w:val="BodyText"/>
        <w:spacing w:before="10"/>
        <w:rPr>
          <w:sz w:val="16"/>
        </w:rPr>
      </w:pPr>
      <w:r>
        <w:rPr>
          <w:sz w:val="16"/>
        </w:rPr>
        <mc:AlternateContent>
          <mc:Choice Requires="wps">
            <w:drawing>
              <wp:anchor distT="0" distB="0" distL="0" distR="0" allowOverlap="1" layoutInCell="1" locked="0" behindDoc="1" simplePos="0" relativeHeight="487694336">
                <wp:simplePos x="0" y="0"/>
                <wp:positionH relativeFrom="page">
                  <wp:posOffset>574992</wp:posOffset>
                </wp:positionH>
                <wp:positionV relativeFrom="paragraph">
                  <wp:posOffset>145280</wp:posOffset>
                </wp:positionV>
                <wp:extent cx="6642100" cy="191135"/>
                <wp:effectExtent l="0" t="0" r="0" b="0"/>
                <wp:wrapTopAndBottom/>
                <wp:docPr id="549" name="Textbox 549"/>
                <wp:cNvGraphicFramePr>
                  <a:graphicFrameLocks/>
                </wp:cNvGraphicFramePr>
                <a:graphic>
                  <a:graphicData uri="http://schemas.microsoft.com/office/word/2010/wordprocessingShape">
                    <wps:wsp>
                      <wps:cNvPr id="549" name="Textbox 549"/>
                      <wps:cNvSpPr txBox="1"/>
                      <wps:spPr>
                        <a:xfrm>
                          <a:off x="0" y="0"/>
                          <a:ext cx="6642100" cy="191135"/>
                        </a:xfrm>
                        <a:prstGeom prst="rect">
                          <a:avLst/>
                        </a:prstGeom>
                        <a:solidFill>
                          <a:srgbClr val="C1A875"/>
                        </a:solidFill>
                        <a:ln w="12700">
                          <a:solidFill>
                            <a:srgbClr val="394871"/>
                          </a:solidFill>
                          <a:prstDash val="solid"/>
                        </a:ln>
                      </wps:spPr>
                      <wps:txbx>
                        <w:txbxContent>
                          <w:p>
                            <w:pPr>
                              <w:tabs>
                                <w:tab w:pos="454" w:val="left" w:leader="none"/>
                              </w:tabs>
                              <w:spacing w:before="0"/>
                              <w:ind w:left="95" w:right="0" w:firstLine="0"/>
                              <w:jc w:val="left"/>
                              <w:rPr>
                                <w:b/>
                                <w:color w:val="000000"/>
                                <w:sz w:val="24"/>
                              </w:rPr>
                            </w:pPr>
                            <w:r>
                              <w:rPr>
                                <w:b/>
                                <w:color w:val="000000"/>
                                <w:spacing w:val="-10"/>
                                <w:sz w:val="24"/>
                              </w:rPr>
                              <w:t>7</w:t>
                            </w:r>
                            <w:r>
                              <w:rPr>
                                <w:b/>
                                <w:color w:val="000000"/>
                                <w:sz w:val="24"/>
                              </w:rPr>
                              <w:tab/>
                              <w:t>Quorum</w:t>
                            </w:r>
                            <w:r>
                              <w:rPr>
                                <w:b/>
                                <w:color w:val="000000"/>
                                <w:spacing w:val="-4"/>
                                <w:sz w:val="24"/>
                              </w:rPr>
                              <w:t> </w:t>
                            </w:r>
                            <w:r>
                              <w:rPr>
                                <w:b/>
                                <w:color w:val="000000"/>
                                <w:sz w:val="24"/>
                              </w:rPr>
                              <w:t>and</w:t>
                            </w:r>
                            <w:r>
                              <w:rPr>
                                <w:b/>
                                <w:color w:val="000000"/>
                                <w:spacing w:val="-3"/>
                                <w:sz w:val="24"/>
                              </w:rPr>
                              <w:t> </w:t>
                            </w:r>
                            <w:r>
                              <w:rPr>
                                <w:b/>
                                <w:color w:val="000000"/>
                                <w:spacing w:val="-2"/>
                                <w:sz w:val="24"/>
                              </w:rPr>
                              <w:t>Attendance</w:t>
                            </w:r>
                          </w:p>
                        </w:txbxContent>
                      </wps:txbx>
                      <wps:bodyPr wrap="square" lIns="0" tIns="0" rIns="0" bIns="0" rtlCol="0">
                        <a:noAutofit/>
                      </wps:bodyPr>
                    </wps:wsp>
                  </a:graphicData>
                </a:graphic>
              </wp:anchor>
            </w:drawing>
          </mc:Choice>
          <mc:Fallback>
            <w:pict>
              <v:shape style="position:absolute;margin-left:45.275002pt;margin-top:11.439375pt;width:523pt;height:15.05pt;mso-position-horizontal-relative:page;mso-position-vertical-relative:paragraph;z-index:-15622144;mso-wrap-distance-left:0;mso-wrap-distance-right:0" type="#_x0000_t202" id="docshape326" filled="true" fillcolor="#c1a875" stroked="true" strokeweight="1pt" strokecolor="#394871">
                <v:textbox inset="0,0,0,0">
                  <w:txbxContent>
                    <w:p>
                      <w:pPr>
                        <w:tabs>
                          <w:tab w:pos="454" w:val="left" w:leader="none"/>
                        </w:tabs>
                        <w:spacing w:before="0"/>
                        <w:ind w:left="95" w:right="0" w:firstLine="0"/>
                        <w:jc w:val="left"/>
                        <w:rPr>
                          <w:b/>
                          <w:color w:val="000000"/>
                          <w:sz w:val="24"/>
                        </w:rPr>
                      </w:pPr>
                      <w:r>
                        <w:rPr>
                          <w:b/>
                          <w:color w:val="000000"/>
                          <w:spacing w:val="-10"/>
                          <w:sz w:val="24"/>
                        </w:rPr>
                        <w:t>7</w:t>
                      </w:r>
                      <w:r>
                        <w:rPr>
                          <w:b/>
                          <w:color w:val="000000"/>
                          <w:sz w:val="24"/>
                        </w:rPr>
                        <w:tab/>
                        <w:t>Quorum</w:t>
                      </w:r>
                      <w:r>
                        <w:rPr>
                          <w:b/>
                          <w:color w:val="000000"/>
                          <w:spacing w:val="-4"/>
                          <w:sz w:val="24"/>
                        </w:rPr>
                        <w:t> </w:t>
                      </w:r>
                      <w:r>
                        <w:rPr>
                          <w:b/>
                          <w:color w:val="000000"/>
                          <w:sz w:val="24"/>
                        </w:rPr>
                        <w:t>and</w:t>
                      </w:r>
                      <w:r>
                        <w:rPr>
                          <w:b/>
                          <w:color w:val="000000"/>
                          <w:spacing w:val="-3"/>
                          <w:sz w:val="24"/>
                        </w:rPr>
                        <w:t> </w:t>
                      </w:r>
                      <w:r>
                        <w:rPr>
                          <w:b/>
                          <w:color w:val="000000"/>
                          <w:spacing w:val="-2"/>
                          <w:sz w:val="24"/>
                        </w:rPr>
                        <w:t>Attendance</w:t>
                      </w:r>
                    </w:p>
                  </w:txbxContent>
                </v:textbox>
                <v:fill type="solid"/>
                <v:stroke dashstyle="solid"/>
                <w10:wrap type="topAndBottom"/>
              </v:shape>
            </w:pict>
          </mc:Fallback>
        </mc:AlternateContent>
      </w:r>
    </w:p>
    <w:p>
      <w:pPr>
        <w:pStyle w:val="BodyText"/>
        <w:spacing w:before="148"/>
      </w:pPr>
    </w:p>
    <w:p>
      <w:pPr>
        <w:pStyle w:val="ListParagraph"/>
        <w:numPr>
          <w:ilvl w:val="1"/>
          <w:numId w:val="81"/>
        </w:numPr>
        <w:tabs>
          <w:tab w:pos="852" w:val="left" w:leader="none"/>
        </w:tabs>
        <w:spacing w:line="240" w:lineRule="auto" w:before="1" w:after="0"/>
        <w:ind w:left="852" w:right="625" w:hanging="710"/>
        <w:jc w:val="left"/>
        <w:rPr>
          <w:sz w:val="24"/>
        </w:rPr>
      </w:pPr>
      <w:r>
        <w:rPr>
          <w:sz w:val="24"/>
        </w:rPr>
        <w:t>A</w:t>
      </w:r>
      <w:r>
        <w:rPr>
          <w:spacing w:val="-14"/>
          <w:sz w:val="24"/>
        </w:rPr>
        <w:t> </w:t>
      </w:r>
      <w:r>
        <w:rPr>
          <w:sz w:val="24"/>
        </w:rPr>
        <w:t>quorum</w:t>
      </w:r>
      <w:r>
        <w:rPr>
          <w:spacing w:val="-10"/>
          <w:sz w:val="24"/>
        </w:rPr>
        <w:t> </w:t>
      </w:r>
      <w:r>
        <w:rPr>
          <w:sz w:val="24"/>
        </w:rPr>
        <w:t>will</w:t>
      </w:r>
      <w:r>
        <w:rPr>
          <w:spacing w:val="-9"/>
          <w:sz w:val="24"/>
        </w:rPr>
        <w:t> </w:t>
      </w:r>
      <w:r>
        <w:rPr>
          <w:sz w:val="24"/>
        </w:rPr>
        <w:t>be</w:t>
      </w:r>
      <w:r>
        <w:rPr>
          <w:spacing w:val="-9"/>
          <w:sz w:val="24"/>
        </w:rPr>
        <w:t> </w:t>
      </w:r>
      <w:r>
        <w:rPr>
          <w:sz w:val="24"/>
        </w:rPr>
        <w:t>achieved</w:t>
      </w:r>
      <w:r>
        <w:rPr>
          <w:spacing w:val="-9"/>
          <w:sz w:val="24"/>
        </w:rPr>
        <w:t> </w:t>
      </w:r>
      <w:r>
        <w:rPr>
          <w:sz w:val="24"/>
        </w:rPr>
        <w:t>by</w:t>
      </w:r>
      <w:r>
        <w:rPr>
          <w:spacing w:val="-10"/>
          <w:sz w:val="24"/>
        </w:rPr>
        <w:t> </w:t>
      </w:r>
      <w:r>
        <w:rPr>
          <w:sz w:val="24"/>
        </w:rPr>
        <w:t>four</w:t>
      </w:r>
      <w:r>
        <w:rPr>
          <w:spacing w:val="-10"/>
          <w:sz w:val="24"/>
        </w:rPr>
        <w:t> </w:t>
      </w:r>
      <w:r>
        <w:rPr>
          <w:sz w:val="24"/>
        </w:rPr>
        <w:t>members,</w:t>
      </w:r>
      <w:r>
        <w:rPr>
          <w:spacing w:val="-12"/>
          <w:sz w:val="24"/>
        </w:rPr>
        <w:t> </w:t>
      </w:r>
      <w:r>
        <w:rPr>
          <w:sz w:val="24"/>
        </w:rPr>
        <w:t>which</w:t>
      </w:r>
      <w:r>
        <w:rPr>
          <w:spacing w:val="-9"/>
          <w:sz w:val="24"/>
        </w:rPr>
        <w:t> </w:t>
      </w:r>
      <w:r>
        <w:rPr>
          <w:sz w:val="24"/>
        </w:rPr>
        <w:t>must</w:t>
      </w:r>
      <w:r>
        <w:rPr>
          <w:spacing w:val="-12"/>
          <w:sz w:val="24"/>
        </w:rPr>
        <w:t> </w:t>
      </w:r>
      <w:r>
        <w:rPr>
          <w:sz w:val="24"/>
        </w:rPr>
        <w:t>include</w:t>
      </w:r>
      <w:r>
        <w:rPr>
          <w:spacing w:val="-9"/>
          <w:sz w:val="24"/>
        </w:rPr>
        <w:t> </w:t>
      </w:r>
      <w:r>
        <w:rPr>
          <w:sz w:val="24"/>
        </w:rPr>
        <w:t>one</w:t>
      </w:r>
      <w:r>
        <w:rPr>
          <w:spacing w:val="-13"/>
          <w:sz w:val="24"/>
        </w:rPr>
        <w:t> </w:t>
      </w:r>
      <w:r>
        <w:rPr>
          <w:sz w:val="24"/>
        </w:rPr>
        <w:t>of</w:t>
      </w:r>
      <w:r>
        <w:rPr>
          <w:spacing w:val="-7"/>
          <w:sz w:val="24"/>
        </w:rPr>
        <w:t> </w:t>
      </w:r>
      <w:r>
        <w:rPr>
          <w:sz w:val="24"/>
        </w:rPr>
        <w:t>the</w:t>
      </w:r>
      <w:r>
        <w:rPr>
          <w:spacing w:val="-9"/>
          <w:sz w:val="24"/>
        </w:rPr>
        <w:t> </w:t>
      </w:r>
      <w:r>
        <w:rPr>
          <w:sz w:val="24"/>
        </w:rPr>
        <w:t>Executive </w:t>
      </w:r>
      <w:r>
        <w:rPr>
          <w:spacing w:val="-2"/>
          <w:sz w:val="24"/>
        </w:rPr>
        <w:t>Directors</w:t>
      </w:r>
      <w:r>
        <w:rPr>
          <w:spacing w:val="-15"/>
          <w:sz w:val="24"/>
        </w:rPr>
        <w:t> </w:t>
      </w:r>
      <w:r>
        <w:rPr>
          <w:spacing w:val="-2"/>
          <w:sz w:val="24"/>
        </w:rPr>
        <w:t>of</w:t>
      </w:r>
      <w:r>
        <w:rPr>
          <w:spacing w:val="-14"/>
          <w:sz w:val="24"/>
        </w:rPr>
        <w:t> </w:t>
      </w:r>
      <w:r>
        <w:rPr>
          <w:spacing w:val="-2"/>
          <w:sz w:val="24"/>
        </w:rPr>
        <w:t>Workforce</w:t>
      </w:r>
      <w:r>
        <w:rPr>
          <w:spacing w:val="-10"/>
          <w:sz w:val="24"/>
        </w:rPr>
        <w:t> </w:t>
      </w:r>
      <w:r>
        <w:rPr>
          <w:spacing w:val="-2"/>
          <w:sz w:val="24"/>
        </w:rPr>
        <w:t>&amp;</w:t>
      </w:r>
      <w:r>
        <w:rPr>
          <w:spacing w:val="-6"/>
          <w:sz w:val="24"/>
        </w:rPr>
        <w:t> </w:t>
      </w:r>
      <w:r>
        <w:rPr>
          <w:spacing w:val="-2"/>
          <w:sz w:val="24"/>
        </w:rPr>
        <w:t>OD,</w:t>
      </w:r>
      <w:r>
        <w:rPr>
          <w:spacing w:val="-15"/>
          <w:sz w:val="24"/>
        </w:rPr>
        <w:t> </w:t>
      </w:r>
      <w:r>
        <w:rPr>
          <w:spacing w:val="-2"/>
          <w:sz w:val="24"/>
        </w:rPr>
        <w:t>and</w:t>
      </w:r>
      <w:r>
        <w:rPr>
          <w:spacing w:val="-10"/>
          <w:sz w:val="24"/>
        </w:rPr>
        <w:t> </w:t>
      </w:r>
      <w:r>
        <w:rPr>
          <w:spacing w:val="-2"/>
          <w:sz w:val="24"/>
        </w:rPr>
        <w:t>a</w:t>
      </w:r>
      <w:r>
        <w:rPr>
          <w:spacing w:val="-10"/>
          <w:sz w:val="24"/>
        </w:rPr>
        <w:t> </w:t>
      </w:r>
      <w:r>
        <w:rPr>
          <w:spacing w:val="-2"/>
          <w:sz w:val="24"/>
        </w:rPr>
        <w:t>representative</w:t>
      </w:r>
      <w:r>
        <w:rPr>
          <w:spacing w:val="-15"/>
          <w:sz w:val="24"/>
        </w:rPr>
        <w:t> </w:t>
      </w:r>
      <w:r>
        <w:rPr>
          <w:spacing w:val="-2"/>
          <w:sz w:val="24"/>
        </w:rPr>
        <w:t>of</w:t>
      </w:r>
      <w:r>
        <w:rPr>
          <w:spacing w:val="-15"/>
          <w:sz w:val="24"/>
        </w:rPr>
        <w:t> </w:t>
      </w:r>
      <w:r>
        <w:rPr>
          <w:spacing w:val="-2"/>
          <w:sz w:val="24"/>
        </w:rPr>
        <w:t>both</w:t>
      </w:r>
      <w:r>
        <w:rPr>
          <w:spacing w:val="-10"/>
          <w:sz w:val="24"/>
        </w:rPr>
        <w:t> </w:t>
      </w:r>
      <w:r>
        <w:rPr>
          <w:spacing w:val="-2"/>
          <w:sz w:val="24"/>
        </w:rPr>
        <w:t>health</w:t>
      </w:r>
      <w:r>
        <w:rPr>
          <w:spacing w:val="-10"/>
          <w:sz w:val="24"/>
        </w:rPr>
        <w:t> </w:t>
      </w:r>
      <w:r>
        <w:rPr>
          <w:spacing w:val="-2"/>
          <w:sz w:val="24"/>
        </w:rPr>
        <w:t>boards’</w:t>
      </w:r>
      <w:r>
        <w:rPr>
          <w:spacing w:val="-3"/>
          <w:sz w:val="24"/>
        </w:rPr>
        <w:t> </w:t>
      </w:r>
      <w:r>
        <w:rPr>
          <w:spacing w:val="-2"/>
          <w:sz w:val="24"/>
        </w:rPr>
        <w:t>Workforce</w:t>
      </w:r>
      <w:r>
        <w:rPr>
          <w:spacing w:val="-6"/>
          <w:sz w:val="24"/>
        </w:rPr>
        <w:t> </w:t>
      </w:r>
      <w:r>
        <w:rPr>
          <w:spacing w:val="-2"/>
          <w:sz w:val="24"/>
        </w:rPr>
        <w:t>&amp;</w:t>
      </w:r>
      <w:r>
        <w:rPr>
          <w:spacing w:val="-11"/>
          <w:sz w:val="24"/>
        </w:rPr>
        <w:t> </w:t>
      </w:r>
      <w:r>
        <w:rPr>
          <w:spacing w:val="-2"/>
          <w:sz w:val="24"/>
        </w:rPr>
        <w:t>OD teams.</w:t>
      </w:r>
    </w:p>
    <w:p>
      <w:pPr>
        <w:pStyle w:val="ListParagraph"/>
        <w:numPr>
          <w:ilvl w:val="1"/>
          <w:numId w:val="81"/>
        </w:numPr>
        <w:tabs>
          <w:tab w:pos="852" w:val="left" w:leader="none"/>
        </w:tabs>
        <w:spacing w:line="240" w:lineRule="auto" w:before="162" w:after="0"/>
        <w:ind w:left="852" w:right="716" w:hanging="710"/>
        <w:jc w:val="left"/>
        <w:rPr>
          <w:sz w:val="24"/>
        </w:rPr>
      </w:pPr>
      <w:r>
        <w:rPr>
          <w:spacing w:val="-2"/>
          <w:sz w:val="24"/>
        </w:rPr>
        <w:t>All</w:t>
      </w:r>
      <w:r>
        <w:rPr>
          <w:spacing w:val="-11"/>
          <w:sz w:val="24"/>
        </w:rPr>
        <w:t> </w:t>
      </w:r>
      <w:r>
        <w:rPr>
          <w:spacing w:val="-2"/>
          <w:sz w:val="24"/>
        </w:rPr>
        <w:t>members</w:t>
      </w:r>
      <w:r>
        <w:rPr>
          <w:spacing w:val="-11"/>
          <w:sz w:val="24"/>
        </w:rPr>
        <w:t> </w:t>
      </w:r>
      <w:r>
        <w:rPr>
          <w:spacing w:val="-2"/>
          <w:sz w:val="24"/>
        </w:rPr>
        <w:t>should</w:t>
      </w:r>
      <w:r>
        <w:rPr>
          <w:spacing w:val="-10"/>
          <w:sz w:val="24"/>
        </w:rPr>
        <w:t> </w:t>
      </w:r>
      <w:r>
        <w:rPr>
          <w:spacing w:val="-2"/>
          <w:sz w:val="24"/>
        </w:rPr>
        <w:t>inform</w:t>
      </w:r>
      <w:r>
        <w:rPr>
          <w:spacing w:val="-7"/>
          <w:sz w:val="24"/>
        </w:rPr>
        <w:t> </w:t>
      </w:r>
      <w:r>
        <w:rPr>
          <w:spacing w:val="-2"/>
          <w:sz w:val="24"/>
        </w:rPr>
        <w:t>the</w:t>
      </w:r>
      <w:r>
        <w:rPr>
          <w:spacing w:val="-8"/>
          <w:sz w:val="24"/>
        </w:rPr>
        <w:t> </w:t>
      </w:r>
      <w:r>
        <w:rPr>
          <w:spacing w:val="-2"/>
          <w:sz w:val="24"/>
        </w:rPr>
        <w:t>Co-Chairs</w:t>
      </w:r>
      <w:r>
        <w:rPr>
          <w:spacing w:val="-11"/>
          <w:sz w:val="24"/>
        </w:rPr>
        <w:t> </w:t>
      </w:r>
      <w:r>
        <w:rPr>
          <w:spacing w:val="-2"/>
          <w:sz w:val="24"/>
        </w:rPr>
        <w:t>one</w:t>
      </w:r>
      <w:r>
        <w:rPr>
          <w:spacing w:val="-10"/>
          <w:sz w:val="24"/>
        </w:rPr>
        <w:t> </w:t>
      </w:r>
      <w:r>
        <w:rPr>
          <w:spacing w:val="-2"/>
          <w:sz w:val="24"/>
        </w:rPr>
        <w:t>week</w:t>
      </w:r>
      <w:r>
        <w:rPr>
          <w:spacing w:val="-15"/>
          <w:sz w:val="24"/>
        </w:rPr>
        <w:t> </w:t>
      </w:r>
      <w:r>
        <w:rPr>
          <w:spacing w:val="-2"/>
          <w:sz w:val="24"/>
        </w:rPr>
        <w:t>in</w:t>
      </w:r>
      <w:r>
        <w:rPr>
          <w:spacing w:val="-10"/>
          <w:sz w:val="24"/>
        </w:rPr>
        <w:t> </w:t>
      </w:r>
      <w:r>
        <w:rPr>
          <w:spacing w:val="-2"/>
          <w:sz w:val="24"/>
        </w:rPr>
        <w:t>advance</w:t>
      </w:r>
      <w:r>
        <w:rPr>
          <w:spacing w:val="-10"/>
          <w:sz w:val="24"/>
        </w:rPr>
        <w:t> </w:t>
      </w:r>
      <w:r>
        <w:rPr>
          <w:spacing w:val="-2"/>
          <w:sz w:val="24"/>
        </w:rPr>
        <w:t>of</w:t>
      </w:r>
      <w:r>
        <w:rPr>
          <w:spacing w:val="-13"/>
          <w:sz w:val="24"/>
        </w:rPr>
        <w:t> </w:t>
      </w:r>
      <w:r>
        <w:rPr>
          <w:spacing w:val="-2"/>
          <w:sz w:val="24"/>
        </w:rPr>
        <w:t>the</w:t>
      </w:r>
      <w:r>
        <w:rPr>
          <w:spacing w:val="-10"/>
          <w:sz w:val="24"/>
        </w:rPr>
        <w:t> </w:t>
      </w:r>
      <w:r>
        <w:rPr>
          <w:spacing w:val="-2"/>
          <w:sz w:val="24"/>
        </w:rPr>
        <w:t>meeting</w:t>
      </w:r>
      <w:r>
        <w:rPr>
          <w:spacing w:val="-10"/>
          <w:sz w:val="24"/>
        </w:rPr>
        <w:t> </w:t>
      </w:r>
      <w:r>
        <w:rPr>
          <w:spacing w:val="-2"/>
          <w:sz w:val="24"/>
        </w:rPr>
        <w:t>if</w:t>
      </w:r>
      <w:r>
        <w:rPr>
          <w:spacing w:val="-13"/>
          <w:sz w:val="24"/>
        </w:rPr>
        <w:t> </w:t>
      </w:r>
      <w:r>
        <w:rPr>
          <w:spacing w:val="-2"/>
          <w:sz w:val="24"/>
        </w:rPr>
        <w:t>deputies </w:t>
      </w:r>
      <w:r>
        <w:rPr>
          <w:sz w:val="24"/>
        </w:rPr>
        <w:t>will</w:t>
      </w:r>
      <w:r>
        <w:rPr>
          <w:spacing w:val="-15"/>
          <w:sz w:val="24"/>
        </w:rPr>
        <w:t> </w:t>
      </w:r>
      <w:r>
        <w:rPr>
          <w:sz w:val="24"/>
        </w:rPr>
        <w:t>be</w:t>
      </w:r>
      <w:r>
        <w:rPr>
          <w:spacing w:val="-10"/>
          <w:sz w:val="24"/>
        </w:rPr>
        <w:t> </w:t>
      </w:r>
      <w:r>
        <w:rPr>
          <w:sz w:val="24"/>
        </w:rPr>
        <w:t>attending,</w:t>
      </w:r>
      <w:r>
        <w:rPr>
          <w:spacing w:val="-13"/>
          <w:sz w:val="24"/>
        </w:rPr>
        <w:t> </w:t>
      </w:r>
      <w:r>
        <w:rPr>
          <w:sz w:val="24"/>
        </w:rPr>
        <w:t>unless</w:t>
      </w:r>
      <w:r>
        <w:rPr>
          <w:spacing w:val="-15"/>
          <w:sz w:val="24"/>
        </w:rPr>
        <w:t> </w:t>
      </w:r>
      <w:r>
        <w:rPr>
          <w:sz w:val="24"/>
        </w:rPr>
        <w:t>exceptional</w:t>
      </w:r>
      <w:r>
        <w:rPr>
          <w:spacing w:val="-10"/>
          <w:sz w:val="24"/>
        </w:rPr>
        <w:t> </w:t>
      </w:r>
      <w:r>
        <w:rPr>
          <w:sz w:val="24"/>
        </w:rPr>
        <w:t>short-term</w:t>
      </w:r>
      <w:r>
        <w:rPr>
          <w:spacing w:val="-11"/>
          <w:sz w:val="24"/>
        </w:rPr>
        <w:t> </w:t>
      </w:r>
      <w:r>
        <w:rPr>
          <w:sz w:val="24"/>
        </w:rPr>
        <w:t>circumstances</w:t>
      </w:r>
      <w:r>
        <w:rPr>
          <w:spacing w:val="-11"/>
          <w:sz w:val="24"/>
        </w:rPr>
        <w:t> </w:t>
      </w:r>
      <w:r>
        <w:rPr>
          <w:sz w:val="24"/>
        </w:rPr>
        <w:t>arise.</w:t>
      </w:r>
    </w:p>
    <w:p>
      <w:pPr>
        <w:pStyle w:val="ListParagraph"/>
        <w:numPr>
          <w:ilvl w:val="1"/>
          <w:numId w:val="81"/>
        </w:numPr>
        <w:tabs>
          <w:tab w:pos="852" w:val="left" w:leader="none"/>
        </w:tabs>
        <w:spacing w:line="240" w:lineRule="auto" w:before="158" w:after="0"/>
        <w:ind w:left="852" w:right="483" w:hanging="710"/>
        <w:jc w:val="left"/>
        <w:rPr>
          <w:sz w:val="24"/>
        </w:rPr>
      </w:pPr>
      <w:r>
        <w:rPr>
          <w:spacing w:val="-2"/>
          <w:sz w:val="24"/>
        </w:rPr>
        <w:t>Should</w:t>
      </w:r>
      <w:r>
        <w:rPr>
          <w:spacing w:val="-10"/>
          <w:sz w:val="24"/>
        </w:rPr>
        <w:t> </w:t>
      </w:r>
      <w:r>
        <w:rPr>
          <w:spacing w:val="-2"/>
          <w:sz w:val="24"/>
        </w:rPr>
        <w:t>any</w:t>
      </w:r>
      <w:r>
        <w:rPr>
          <w:spacing w:val="-11"/>
          <w:sz w:val="24"/>
        </w:rPr>
        <w:t> </w:t>
      </w:r>
      <w:r>
        <w:rPr>
          <w:spacing w:val="-2"/>
          <w:sz w:val="24"/>
        </w:rPr>
        <w:t>member</w:t>
      </w:r>
      <w:r>
        <w:rPr>
          <w:spacing w:val="-11"/>
          <w:sz w:val="24"/>
        </w:rPr>
        <w:t> </w:t>
      </w:r>
      <w:r>
        <w:rPr>
          <w:spacing w:val="-2"/>
          <w:sz w:val="24"/>
        </w:rPr>
        <w:t>be</w:t>
      </w:r>
      <w:r>
        <w:rPr>
          <w:spacing w:val="-10"/>
          <w:sz w:val="24"/>
        </w:rPr>
        <w:t> </w:t>
      </w:r>
      <w:r>
        <w:rPr>
          <w:spacing w:val="-2"/>
          <w:sz w:val="24"/>
        </w:rPr>
        <w:t>unavailable</w:t>
      </w:r>
      <w:r>
        <w:rPr>
          <w:spacing w:val="-6"/>
          <w:sz w:val="24"/>
        </w:rPr>
        <w:t> </w:t>
      </w:r>
      <w:r>
        <w:rPr>
          <w:spacing w:val="-2"/>
          <w:sz w:val="24"/>
        </w:rPr>
        <w:t>to</w:t>
      </w:r>
      <w:r>
        <w:rPr>
          <w:spacing w:val="-10"/>
          <w:sz w:val="24"/>
        </w:rPr>
        <w:t> </w:t>
      </w:r>
      <w:r>
        <w:rPr>
          <w:spacing w:val="-2"/>
          <w:sz w:val="24"/>
        </w:rPr>
        <w:t>attend,</w:t>
      </w:r>
      <w:r>
        <w:rPr>
          <w:spacing w:val="-8"/>
          <w:sz w:val="24"/>
        </w:rPr>
        <w:t> </w:t>
      </w:r>
      <w:r>
        <w:rPr>
          <w:spacing w:val="-2"/>
          <w:sz w:val="24"/>
        </w:rPr>
        <w:t>they</w:t>
      </w:r>
      <w:r>
        <w:rPr>
          <w:spacing w:val="-11"/>
          <w:sz w:val="24"/>
        </w:rPr>
        <w:t> </w:t>
      </w:r>
      <w:r>
        <w:rPr>
          <w:spacing w:val="-2"/>
          <w:sz w:val="24"/>
        </w:rPr>
        <w:t>may</w:t>
      </w:r>
      <w:r>
        <w:rPr>
          <w:spacing w:val="-11"/>
          <w:sz w:val="24"/>
        </w:rPr>
        <w:t> </w:t>
      </w:r>
      <w:r>
        <w:rPr>
          <w:spacing w:val="-2"/>
          <w:sz w:val="24"/>
        </w:rPr>
        <w:t>nominate</w:t>
      </w:r>
      <w:r>
        <w:rPr>
          <w:spacing w:val="-10"/>
          <w:sz w:val="24"/>
        </w:rPr>
        <w:t> </w:t>
      </w:r>
      <w:r>
        <w:rPr>
          <w:spacing w:val="-2"/>
          <w:sz w:val="24"/>
        </w:rPr>
        <w:t>a</w:t>
      </w:r>
      <w:r>
        <w:rPr>
          <w:spacing w:val="-10"/>
          <w:sz w:val="24"/>
        </w:rPr>
        <w:t> </w:t>
      </w:r>
      <w:r>
        <w:rPr>
          <w:spacing w:val="-2"/>
          <w:sz w:val="24"/>
        </w:rPr>
        <w:t>deputy</w:t>
      </w:r>
      <w:r>
        <w:rPr>
          <w:spacing w:val="-11"/>
          <w:sz w:val="24"/>
        </w:rPr>
        <w:t> </w:t>
      </w:r>
      <w:r>
        <w:rPr>
          <w:spacing w:val="-2"/>
          <w:sz w:val="24"/>
        </w:rPr>
        <w:t>to</w:t>
      </w:r>
      <w:r>
        <w:rPr>
          <w:spacing w:val="-10"/>
          <w:sz w:val="24"/>
        </w:rPr>
        <w:t> </w:t>
      </w:r>
      <w:r>
        <w:rPr>
          <w:spacing w:val="-2"/>
          <w:sz w:val="24"/>
        </w:rPr>
        <w:t>attend</w:t>
      </w:r>
      <w:r>
        <w:rPr>
          <w:spacing w:val="-15"/>
          <w:sz w:val="24"/>
        </w:rPr>
        <w:t> </w:t>
      </w:r>
      <w:r>
        <w:rPr>
          <w:spacing w:val="-2"/>
          <w:sz w:val="24"/>
        </w:rPr>
        <w:t>in</w:t>
      </w:r>
      <w:r>
        <w:rPr>
          <w:spacing w:val="-10"/>
          <w:sz w:val="24"/>
        </w:rPr>
        <w:t> </w:t>
      </w:r>
      <w:r>
        <w:rPr>
          <w:spacing w:val="-2"/>
          <w:sz w:val="24"/>
        </w:rPr>
        <w:t>their </w:t>
      </w:r>
      <w:r>
        <w:rPr>
          <w:sz w:val="24"/>
        </w:rPr>
        <w:t>place, subject to</w:t>
      </w:r>
      <w:r>
        <w:rPr>
          <w:spacing w:val="-2"/>
          <w:sz w:val="24"/>
        </w:rPr>
        <w:t> </w:t>
      </w:r>
      <w:r>
        <w:rPr>
          <w:sz w:val="24"/>
        </w:rPr>
        <w:t>the</w:t>
      </w:r>
      <w:r>
        <w:rPr>
          <w:spacing w:val="-2"/>
          <w:sz w:val="24"/>
        </w:rPr>
        <w:t> </w:t>
      </w:r>
      <w:r>
        <w:rPr>
          <w:sz w:val="24"/>
        </w:rPr>
        <w:t>agreement</w:t>
      </w:r>
      <w:r>
        <w:rPr>
          <w:spacing w:val="-5"/>
          <w:sz w:val="24"/>
        </w:rPr>
        <w:t> </w:t>
      </w:r>
      <w:r>
        <w:rPr>
          <w:sz w:val="24"/>
        </w:rPr>
        <w:t>of</w:t>
      </w:r>
      <w:r>
        <w:rPr>
          <w:spacing w:val="-5"/>
          <w:sz w:val="24"/>
        </w:rPr>
        <w:t> </w:t>
      </w:r>
      <w:r>
        <w:rPr>
          <w:sz w:val="24"/>
        </w:rPr>
        <w:t>both</w:t>
      </w:r>
      <w:r>
        <w:rPr>
          <w:spacing w:val="-2"/>
          <w:sz w:val="24"/>
        </w:rPr>
        <w:t> </w:t>
      </w:r>
      <w:r>
        <w:rPr>
          <w:sz w:val="24"/>
        </w:rPr>
        <w:t>Co-Chairs.</w:t>
      </w:r>
    </w:p>
    <w:p>
      <w:pPr>
        <w:pStyle w:val="ListParagraph"/>
        <w:numPr>
          <w:ilvl w:val="1"/>
          <w:numId w:val="81"/>
        </w:numPr>
        <w:tabs>
          <w:tab w:pos="852" w:val="left" w:leader="none"/>
        </w:tabs>
        <w:spacing w:line="242" w:lineRule="auto" w:before="158" w:after="0"/>
        <w:ind w:left="852" w:right="465" w:hanging="710"/>
        <w:jc w:val="left"/>
        <w:rPr>
          <w:sz w:val="24"/>
        </w:rPr>
      </w:pPr>
      <w:r>
        <w:rPr>
          <w:spacing w:val="-2"/>
          <w:sz w:val="24"/>
        </w:rPr>
        <w:t>Delegation</w:t>
      </w:r>
      <w:r>
        <w:rPr>
          <w:spacing w:val="-10"/>
          <w:sz w:val="24"/>
        </w:rPr>
        <w:t> </w:t>
      </w:r>
      <w:r>
        <w:rPr>
          <w:spacing w:val="-2"/>
          <w:sz w:val="24"/>
        </w:rPr>
        <w:t>to</w:t>
      </w:r>
      <w:r>
        <w:rPr>
          <w:spacing w:val="-10"/>
          <w:sz w:val="24"/>
        </w:rPr>
        <w:t> </w:t>
      </w:r>
      <w:r>
        <w:rPr>
          <w:spacing w:val="-2"/>
          <w:sz w:val="24"/>
        </w:rPr>
        <w:t>deputies</w:t>
      </w:r>
      <w:r>
        <w:rPr>
          <w:spacing w:val="-11"/>
          <w:sz w:val="24"/>
        </w:rPr>
        <w:t> </w:t>
      </w:r>
      <w:r>
        <w:rPr>
          <w:spacing w:val="-2"/>
          <w:sz w:val="24"/>
        </w:rPr>
        <w:t>is</w:t>
      </w:r>
      <w:r>
        <w:rPr>
          <w:spacing w:val="-11"/>
          <w:sz w:val="24"/>
        </w:rPr>
        <w:t> </w:t>
      </w:r>
      <w:r>
        <w:rPr>
          <w:spacing w:val="-2"/>
          <w:sz w:val="24"/>
        </w:rPr>
        <w:t>expected</w:t>
      </w:r>
      <w:r>
        <w:rPr>
          <w:spacing w:val="-6"/>
          <w:sz w:val="24"/>
        </w:rPr>
        <w:t> </w:t>
      </w:r>
      <w:r>
        <w:rPr>
          <w:spacing w:val="-2"/>
          <w:sz w:val="24"/>
        </w:rPr>
        <w:t>to</w:t>
      </w:r>
      <w:r>
        <w:rPr>
          <w:spacing w:val="-10"/>
          <w:sz w:val="24"/>
        </w:rPr>
        <w:t> </w:t>
      </w:r>
      <w:r>
        <w:rPr>
          <w:spacing w:val="-2"/>
          <w:sz w:val="24"/>
        </w:rPr>
        <w:t>be</w:t>
      </w:r>
      <w:r>
        <w:rPr>
          <w:spacing w:val="-10"/>
          <w:sz w:val="24"/>
        </w:rPr>
        <w:t> </w:t>
      </w:r>
      <w:r>
        <w:rPr>
          <w:spacing w:val="-2"/>
          <w:sz w:val="24"/>
        </w:rPr>
        <w:t>kept</w:t>
      </w:r>
      <w:r>
        <w:rPr>
          <w:spacing w:val="-13"/>
          <w:sz w:val="24"/>
        </w:rPr>
        <w:t> </w:t>
      </w:r>
      <w:r>
        <w:rPr>
          <w:spacing w:val="-2"/>
          <w:sz w:val="24"/>
        </w:rPr>
        <w:t>to</w:t>
      </w:r>
      <w:r>
        <w:rPr>
          <w:spacing w:val="-15"/>
          <w:sz w:val="24"/>
        </w:rPr>
        <w:t> </w:t>
      </w:r>
      <w:r>
        <w:rPr>
          <w:spacing w:val="-2"/>
          <w:sz w:val="24"/>
        </w:rPr>
        <w:t>a</w:t>
      </w:r>
      <w:r>
        <w:rPr>
          <w:spacing w:val="-10"/>
          <w:sz w:val="24"/>
        </w:rPr>
        <w:t> </w:t>
      </w:r>
      <w:r>
        <w:rPr>
          <w:spacing w:val="-2"/>
          <w:sz w:val="24"/>
        </w:rPr>
        <w:t>minimum</w:t>
      </w:r>
      <w:r>
        <w:rPr>
          <w:spacing w:val="-11"/>
          <w:sz w:val="24"/>
        </w:rPr>
        <w:t> </w:t>
      </w:r>
      <w:r>
        <w:rPr>
          <w:spacing w:val="-2"/>
          <w:sz w:val="24"/>
        </w:rPr>
        <w:t>and</w:t>
      </w:r>
      <w:r>
        <w:rPr>
          <w:spacing w:val="-10"/>
          <w:sz w:val="24"/>
        </w:rPr>
        <w:t> </w:t>
      </w:r>
      <w:r>
        <w:rPr>
          <w:spacing w:val="-2"/>
          <w:sz w:val="24"/>
        </w:rPr>
        <w:t>specific</w:t>
      </w:r>
      <w:r>
        <w:rPr>
          <w:spacing w:val="-11"/>
          <w:sz w:val="24"/>
        </w:rPr>
        <w:t> </w:t>
      </w:r>
      <w:r>
        <w:rPr>
          <w:spacing w:val="-2"/>
          <w:sz w:val="24"/>
        </w:rPr>
        <w:t>approval</w:t>
      </w:r>
      <w:r>
        <w:rPr>
          <w:spacing w:val="-10"/>
          <w:sz w:val="24"/>
        </w:rPr>
        <w:t> </w:t>
      </w:r>
      <w:r>
        <w:rPr>
          <w:spacing w:val="-2"/>
          <w:sz w:val="24"/>
        </w:rPr>
        <w:t>should</w:t>
      </w:r>
      <w:r>
        <w:rPr>
          <w:spacing w:val="-10"/>
          <w:sz w:val="24"/>
        </w:rPr>
        <w:t> </w:t>
      </w:r>
      <w:r>
        <w:rPr>
          <w:spacing w:val="-2"/>
          <w:sz w:val="24"/>
        </w:rPr>
        <w:t>be </w:t>
      </w:r>
      <w:r>
        <w:rPr>
          <w:sz w:val="24"/>
        </w:rPr>
        <w:t>sought</w:t>
      </w:r>
      <w:r>
        <w:rPr>
          <w:spacing w:val="-14"/>
          <w:sz w:val="24"/>
        </w:rPr>
        <w:t> </w:t>
      </w:r>
      <w:r>
        <w:rPr>
          <w:sz w:val="24"/>
        </w:rPr>
        <w:t>from</w:t>
      </w:r>
      <w:r>
        <w:rPr>
          <w:spacing w:val="-12"/>
          <w:sz w:val="24"/>
        </w:rPr>
        <w:t> </w:t>
      </w:r>
      <w:r>
        <w:rPr>
          <w:sz w:val="24"/>
        </w:rPr>
        <w:t>the</w:t>
      </w:r>
      <w:r>
        <w:rPr>
          <w:spacing w:val="-14"/>
          <w:sz w:val="24"/>
        </w:rPr>
        <w:t> </w:t>
      </w:r>
      <w:r>
        <w:rPr>
          <w:sz w:val="24"/>
        </w:rPr>
        <w:t>Co-Chairs</w:t>
      </w:r>
      <w:r>
        <w:rPr>
          <w:spacing w:val="-12"/>
          <w:sz w:val="24"/>
        </w:rPr>
        <w:t> </w:t>
      </w:r>
      <w:r>
        <w:rPr>
          <w:sz w:val="24"/>
        </w:rPr>
        <w:t>for</w:t>
      </w:r>
      <w:r>
        <w:rPr>
          <w:spacing w:val="-12"/>
          <w:sz w:val="24"/>
        </w:rPr>
        <w:t> </w:t>
      </w:r>
      <w:r>
        <w:rPr>
          <w:sz w:val="24"/>
        </w:rPr>
        <w:t>instances</w:t>
      </w:r>
      <w:r>
        <w:rPr>
          <w:spacing w:val="-12"/>
          <w:sz w:val="24"/>
        </w:rPr>
        <w:t> </w:t>
      </w:r>
      <w:r>
        <w:rPr>
          <w:sz w:val="24"/>
        </w:rPr>
        <w:t>where</w:t>
      </w:r>
      <w:r>
        <w:rPr>
          <w:spacing w:val="-7"/>
          <w:sz w:val="24"/>
        </w:rPr>
        <w:t> </w:t>
      </w:r>
      <w:r>
        <w:rPr>
          <w:sz w:val="24"/>
        </w:rPr>
        <w:t>more</w:t>
      </w:r>
      <w:r>
        <w:rPr>
          <w:spacing w:val="-11"/>
          <w:sz w:val="24"/>
        </w:rPr>
        <w:t> </w:t>
      </w:r>
      <w:r>
        <w:rPr>
          <w:sz w:val="24"/>
        </w:rPr>
        <w:t>than</w:t>
      </w:r>
      <w:r>
        <w:rPr>
          <w:spacing w:val="-7"/>
          <w:sz w:val="24"/>
        </w:rPr>
        <w:t> </w:t>
      </w:r>
      <w:r>
        <w:rPr>
          <w:sz w:val="24"/>
        </w:rPr>
        <w:t>two</w:t>
      </w:r>
      <w:r>
        <w:rPr>
          <w:spacing w:val="-11"/>
          <w:sz w:val="24"/>
        </w:rPr>
        <w:t> </w:t>
      </w:r>
      <w:r>
        <w:rPr>
          <w:sz w:val="24"/>
        </w:rPr>
        <w:t>consecutive</w:t>
      </w:r>
      <w:r>
        <w:rPr>
          <w:spacing w:val="-11"/>
          <w:sz w:val="24"/>
        </w:rPr>
        <w:t> </w:t>
      </w:r>
      <w:r>
        <w:rPr>
          <w:sz w:val="24"/>
        </w:rPr>
        <w:t>meetings</w:t>
      </w:r>
      <w:r>
        <w:rPr>
          <w:spacing w:val="-12"/>
          <w:sz w:val="24"/>
        </w:rPr>
        <w:t> </w:t>
      </w:r>
      <w:r>
        <w:rPr>
          <w:sz w:val="24"/>
        </w:rPr>
        <w:t>are expected to</w:t>
      </w:r>
      <w:r>
        <w:rPr>
          <w:spacing w:val="-1"/>
          <w:sz w:val="24"/>
        </w:rPr>
        <w:t> </w:t>
      </w:r>
      <w:r>
        <w:rPr>
          <w:sz w:val="24"/>
        </w:rPr>
        <w:t>involve the nominated deputy.</w:t>
      </w:r>
    </w:p>
    <w:p>
      <w:pPr>
        <w:pStyle w:val="ListParagraph"/>
        <w:numPr>
          <w:ilvl w:val="1"/>
          <w:numId w:val="81"/>
        </w:numPr>
        <w:tabs>
          <w:tab w:pos="852" w:val="left" w:leader="none"/>
        </w:tabs>
        <w:spacing w:line="240" w:lineRule="auto" w:before="155" w:after="0"/>
        <w:ind w:left="852" w:right="683" w:hanging="710"/>
        <w:jc w:val="left"/>
        <w:rPr>
          <w:sz w:val="24"/>
        </w:rPr>
      </w:pPr>
      <w:r>
        <w:rPr>
          <w:spacing w:val="-2"/>
          <w:sz w:val="24"/>
        </w:rPr>
        <w:t>The</w:t>
      </w:r>
      <w:r>
        <w:rPr>
          <w:spacing w:val="-9"/>
          <w:sz w:val="24"/>
        </w:rPr>
        <w:t> </w:t>
      </w:r>
      <w:r>
        <w:rPr>
          <w:spacing w:val="-2"/>
          <w:sz w:val="24"/>
        </w:rPr>
        <w:t>Regional</w:t>
      </w:r>
      <w:r>
        <w:rPr>
          <w:spacing w:val="-4"/>
          <w:sz w:val="24"/>
        </w:rPr>
        <w:t> </w:t>
      </w:r>
      <w:r>
        <w:rPr>
          <w:spacing w:val="-2"/>
          <w:sz w:val="24"/>
        </w:rPr>
        <w:t>Workforce</w:t>
      </w:r>
      <w:r>
        <w:rPr>
          <w:spacing w:val="-5"/>
          <w:sz w:val="24"/>
        </w:rPr>
        <w:t> </w:t>
      </w:r>
      <w:r>
        <w:rPr>
          <w:spacing w:val="-2"/>
          <w:sz w:val="24"/>
        </w:rPr>
        <w:t>&amp;</w:t>
      </w:r>
      <w:r>
        <w:rPr>
          <w:spacing w:val="-11"/>
          <w:sz w:val="24"/>
        </w:rPr>
        <w:t> </w:t>
      </w:r>
      <w:r>
        <w:rPr>
          <w:spacing w:val="-2"/>
          <w:sz w:val="24"/>
        </w:rPr>
        <w:t>OD</w:t>
      </w:r>
      <w:r>
        <w:rPr>
          <w:spacing w:val="-9"/>
          <w:sz w:val="24"/>
        </w:rPr>
        <w:t> </w:t>
      </w:r>
      <w:r>
        <w:rPr>
          <w:spacing w:val="-2"/>
          <w:sz w:val="24"/>
        </w:rPr>
        <w:t>Subgroup</w:t>
      </w:r>
      <w:r>
        <w:rPr>
          <w:spacing w:val="-9"/>
          <w:sz w:val="24"/>
        </w:rPr>
        <w:t> </w:t>
      </w:r>
      <w:r>
        <w:rPr>
          <w:spacing w:val="-2"/>
          <w:sz w:val="24"/>
        </w:rPr>
        <w:t>may</w:t>
      </w:r>
      <w:r>
        <w:rPr>
          <w:spacing w:val="-11"/>
          <w:sz w:val="24"/>
        </w:rPr>
        <w:t> </w:t>
      </w:r>
      <w:r>
        <w:rPr>
          <w:spacing w:val="-2"/>
          <w:sz w:val="24"/>
        </w:rPr>
        <w:t>ask</w:t>
      </w:r>
      <w:r>
        <w:rPr>
          <w:spacing w:val="-15"/>
          <w:sz w:val="24"/>
        </w:rPr>
        <w:t> </w:t>
      </w:r>
      <w:r>
        <w:rPr>
          <w:spacing w:val="-2"/>
          <w:sz w:val="24"/>
        </w:rPr>
        <w:t>any</w:t>
      </w:r>
      <w:r>
        <w:rPr>
          <w:spacing w:val="-10"/>
          <w:sz w:val="24"/>
        </w:rPr>
        <w:t> </w:t>
      </w:r>
      <w:r>
        <w:rPr>
          <w:spacing w:val="-2"/>
          <w:sz w:val="24"/>
        </w:rPr>
        <w:t>or</w:t>
      </w:r>
      <w:r>
        <w:rPr>
          <w:spacing w:val="-11"/>
          <w:sz w:val="24"/>
        </w:rPr>
        <w:t> </w:t>
      </w:r>
      <w:r>
        <w:rPr>
          <w:spacing w:val="-2"/>
          <w:sz w:val="24"/>
        </w:rPr>
        <w:t>all</w:t>
      </w:r>
      <w:r>
        <w:rPr>
          <w:spacing w:val="-10"/>
          <w:sz w:val="24"/>
        </w:rPr>
        <w:t> </w:t>
      </w:r>
      <w:r>
        <w:rPr>
          <w:spacing w:val="-2"/>
          <w:sz w:val="24"/>
        </w:rPr>
        <w:t>of</w:t>
      </w:r>
      <w:r>
        <w:rPr>
          <w:spacing w:val="-8"/>
          <w:sz w:val="24"/>
        </w:rPr>
        <w:t> </w:t>
      </w:r>
      <w:r>
        <w:rPr>
          <w:spacing w:val="-2"/>
          <w:sz w:val="24"/>
        </w:rPr>
        <w:t>those</w:t>
      </w:r>
      <w:r>
        <w:rPr>
          <w:spacing w:val="-15"/>
          <w:sz w:val="24"/>
        </w:rPr>
        <w:t> </w:t>
      </w:r>
      <w:r>
        <w:rPr>
          <w:spacing w:val="-2"/>
          <w:sz w:val="24"/>
        </w:rPr>
        <w:t>who</w:t>
      </w:r>
      <w:r>
        <w:rPr>
          <w:spacing w:val="-14"/>
          <w:sz w:val="24"/>
        </w:rPr>
        <w:t> </w:t>
      </w:r>
      <w:r>
        <w:rPr>
          <w:spacing w:val="-2"/>
          <w:sz w:val="24"/>
        </w:rPr>
        <w:t>normally</w:t>
      </w:r>
      <w:r>
        <w:rPr>
          <w:spacing w:val="-11"/>
          <w:sz w:val="24"/>
        </w:rPr>
        <w:t> </w:t>
      </w:r>
      <w:r>
        <w:rPr>
          <w:spacing w:val="-2"/>
          <w:sz w:val="24"/>
        </w:rPr>
        <w:t>attend </w:t>
      </w:r>
      <w:r>
        <w:rPr>
          <w:sz w:val="24"/>
        </w:rPr>
        <w:t>but</w:t>
      </w:r>
      <w:r>
        <w:rPr>
          <w:spacing w:val="-17"/>
          <w:sz w:val="24"/>
        </w:rPr>
        <w:t> </w:t>
      </w:r>
      <w:r>
        <w:rPr>
          <w:sz w:val="24"/>
        </w:rPr>
        <w:t>who</w:t>
      </w:r>
      <w:r>
        <w:rPr>
          <w:spacing w:val="-15"/>
          <w:sz w:val="24"/>
        </w:rPr>
        <w:t> </w:t>
      </w:r>
      <w:r>
        <w:rPr>
          <w:sz w:val="24"/>
        </w:rPr>
        <w:t>are</w:t>
      </w:r>
      <w:r>
        <w:rPr>
          <w:spacing w:val="-14"/>
          <w:sz w:val="24"/>
        </w:rPr>
        <w:t> </w:t>
      </w:r>
      <w:r>
        <w:rPr>
          <w:sz w:val="24"/>
        </w:rPr>
        <w:t>not</w:t>
      </w:r>
      <w:r>
        <w:rPr>
          <w:spacing w:val="-17"/>
          <w:sz w:val="24"/>
        </w:rPr>
        <w:t> </w:t>
      </w:r>
      <w:r>
        <w:rPr>
          <w:sz w:val="24"/>
        </w:rPr>
        <w:t>members</w:t>
      </w:r>
      <w:r>
        <w:rPr>
          <w:spacing w:val="-10"/>
          <w:sz w:val="24"/>
        </w:rPr>
        <w:t> </w:t>
      </w:r>
      <w:r>
        <w:rPr>
          <w:sz w:val="24"/>
        </w:rPr>
        <w:t>to</w:t>
      </w:r>
      <w:r>
        <w:rPr>
          <w:spacing w:val="-14"/>
          <w:sz w:val="24"/>
        </w:rPr>
        <w:t> </w:t>
      </w:r>
      <w:r>
        <w:rPr>
          <w:sz w:val="24"/>
        </w:rPr>
        <w:t>withdraw</w:t>
      </w:r>
      <w:r>
        <w:rPr>
          <w:spacing w:val="-10"/>
          <w:sz w:val="24"/>
        </w:rPr>
        <w:t> </w:t>
      </w:r>
      <w:r>
        <w:rPr>
          <w:sz w:val="24"/>
        </w:rPr>
        <w:t>to</w:t>
      </w:r>
      <w:r>
        <w:rPr>
          <w:spacing w:val="-14"/>
          <w:sz w:val="24"/>
        </w:rPr>
        <w:t> </w:t>
      </w:r>
      <w:r>
        <w:rPr>
          <w:sz w:val="24"/>
        </w:rPr>
        <w:t>facilitate</w:t>
      </w:r>
      <w:r>
        <w:rPr>
          <w:spacing w:val="-14"/>
          <w:sz w:val="24"/>
        </w:rPr>
        <w:t> </w:t>
      </w:r>
      <w:r>
        <w:rPr>
          <w:sz w:val="24"/>
        </w:rPr>
        <w:t>open</w:t>
      </w:r>
      <w:r>
        <w:rPr>
          <w:spacing w:val="-14"/>
          <w:sz w:val="24"/>
        </w:rPr>
        <w:t> </w:t>
      </w:r>
      <w:r>
        <w:rPr>
          <w:sz w:val="24"/>
        </w:rPr>
        <w:t>and</w:t>
      </w:r>
      <w:r>
        <w:rPr>
          <w:spacing w:val="-10"/>
          <w:sz w:val="24"/>
        </w:rPr>
        <w:t> </w:t>
      </w:r>
      <w:r>
        <w:rPr>
          <w:sz w:val="24"/>
        </w:rPr>
        <w:t>frank</w:t>
      </w:r>
      <w:r>
        <w:rPr>
          <w:spacing w:val="-17"/>
          <w:sz w:val="24"/>
        </w:rPr>
        <w:t> </w:t>
      </w:r>
      <w:r>
        <w:rPr>
          <w:sz w:val="24"/>
        </w:rPr>
        <w:t>discussion</w:t>
      </w:r>
      <w:r>
        <w:rPr>
          <w:spacing w:val="-14"/>
          <w:sz w:val="24"/>
        </w:rPr>
        <w:t> </w:t>
      </w:r>
      <w:r>
        <w:rPr>
          <w:sz w:val="24"/>
        </w:rPr>
        <w:t>of</w:t>
      </w:r>
      <w:r>
        <w:rPr>
          <w:spacing w:val="-17"/>
          <w:sz w:val="24"/>
        </w:rPr>
        <w:t> </w:t>
      </w:r>
      <w:r>
        <w:rPr>
          <w:sz w:val="24"/>
        </w:rPr>
        <w:t>particular </w:t>
      </w:r>
      <w:r>
        <w:rPr>
          <w:spacing w:val="-2"/>
          <w:sz w:val="24"/>
        </w:rPr>
        <w:t>matters.</w:t>
      </w:r>
    </w:p>
    <w:p>
      <w:pPr>
        <w:pStyle w:val="BodyText"/>
        <w:spacing w:before="9"/>
        <w:rPr>
          <w:sz w:val="16"/>
        </w:rPr>
      </w:pPr>
      <w:r>
        <w:rPr>
          <w:sz w:val="16"/>
        </w:rPr>
        <mc:AlternateContent>
          <mc:Choice Requires="wps">
            <w:drawing>
              <wp:anchor distT="0" distB="0" distL="0" distR="0" allowOverlap="1" layoutInCell="1" locked="0" behindDoc="1" simplePos="0" relativeHeight="487694848">
                <wp:simplePos x="0" y="0"/>
                <wp:positionH relativeFrom="page">
                  <wp:posOffset>574992</wp:posOffset>
                </wp:positionH>
                <wp:positionV relativeFrom="paragraph">
                  <wp:posOffset>144176</wp:posOffset>
                </wp:positionV>
                <wp:extent cx="6553200" cy="191135"/>
                <wp:effectExtent l="0" t="0" r="0" b="0"/>
                <wp:wrapTopAndBottom/>
                <wp:docPr id="550" name="Textbox 550"/>
                <wp:cNvGraphicFramePr>
                  <a:graphicFrameLocks/>
                </wp:cNvGraphicFramePr>
                <a:graphic>
                  <a:graphicData uri="http://schemas.microsoft.com/office/word/2010/wordprocessingShape">
                    <wps:wsp>
                      <wps:cNvPr id="550" name="Textbox 550"/>
                      <wps:cNvSpPr txBox="1"/>
                      <wps:spPr>
                        <a:xfrm>
                          <a:off x="0" y="0"/>
                          <a:ext cx="6553200" cy="191135"/>
                        </a:xfrm>
                        <a:prstGeom prst="rect">
                          <a:avLst/>
                        </a:prstGeom>
                        <a:solidFill>
                          <a:srgbClr val="C1A875"/>
                        </a:solidFill>
                        <a:ln w="12700">
                          <a:solidFill>
                            <a:srgbClr val="394871"/>
                          </a:solidFill>
                          <a:prstDash val="solid"/>
                        </a:ln>
                      </wps:spPr>
                      <wps:txbx>
                        <w:txbxContent>
                          <w:p>
                            <w:pPr>
                              <w:tabs>
                                <w:tab w:pos="454" w:val="left" w:leader="none"/>
                              </w:tabs>
                              <w:spacing w:before="0"/>
                              <w:ind w:left="95" w:right="0" w:firstLine="0"/>
                              <w:jc w:val="left"/>
                              <w:rPr>
                                <w:b/>
                                <w:color w:val="000000"/>
                                <w:sz w:val="24"/>
                              </w:rPr>
                            </w:pPr>
                            <w:r>
                              <w:rPr>
                                <w:b/>
                                <w:color w:val="000000"/>
                                <w:spacing w:val="-10"/>
                                <w:sz w:val="24"/>
                              </w:rPr>
                              <w:t>8</w:t>
                            </w:r>
                            <w:r>
                              <w:rPr>
                                <w:b/>
                                <w:color w:val="000000"/>
                                <w:sz w:val="24"/>
                              </w:rPr>
                              <w:tab/>
                              <w:t>Agenda</w:t>
                            </w:r>
                            <w:r>
                              <w:rPr>
                                <w:b/>
                                <w:color w:val="000000"/>
                                <w:spacing w:val="-3"/>
                                <w:sz w:val="24"/>
                              </w:rPr>
                              <w:t> </w:t>
                            </w:r>
                            <w:r>
                              <w:rPr>
                                <w:b/>
                                <w:color w:val="000000"/>
                                <w:sz w:val="24"/>
                              </w:rPr>
                              <w:t>and</w:t>
                            </w:r>
                            <w:r>
                              <w:rPr>
                                <w:b/>
                                <w:color w:val="000000"/>
                                <w:spacing w:val="-6"/>
                                <w:sz w:val="24"/>
                              </w:rPr>
                              <w:t> </w:t>
                            </w:r>
                            <w:r>
                              <w:rPr>
                                <w:b/>
                                <w:color w:val="000000"/>
                                <w:spacing w:val="-2"/>
                                <w:sz w:val="24"/>
                              </w:rPr>
                              <w:t>Papers</w:t>
                            </w:r>
                          </w:p>
                        </w:txbxContent>
                      </wps:txbx>
                      <wps:bodyPr wrap="square" lIns="0" tIns="0" rIns="0" bIns="0" rtlCol="0">
                        <a:noAutofit/>
                      </wps:bodyPr>
                    </wps:wsp>
                  </a:graphicData>
                </a:graphic>
              </wp:anchor>
            </w:drawing>
          </mc:Choice>
          <mc:Fallback>
            <w:pict>
              <v:shape style="position:absolute;margin-left:45.275002pt;margin-top:11.352442pt;width:516pt;height:15.05pt;mso-position-horizontal-relative:page;mso-position-vertical-relative:paragraph;z-index:-15621632;mso-wrap-distance-left:0;mso-wrap-distance-right:0" type="#_x0000_t202" id="docshape327" filled="true" fillcolor="#c1a875" stroked="true" strokeweight="1pt" strokecolor="#394871">
                <v:textbox inset="0,0,0,0">
                  <w:txbxContent>
                    <w:p>
                      <w:pPr>
                        <w:tabs>
                          <w:tab w:pos="454" w:val="left" w:leader="none"/>
                        </w:tabs>
                        <w:spacing w:before="0"/>
                        <w:ind w:left="95" w:right="0" w:firstLine="0"/>
                        <w:jc w:val="left"/>
                        <w:rPr>
                          <w:b/>
                          <w:color w:val="000000"/>
                          <w:sz w:val="24"/>
                        </w:rPr>
                      </w:pPr>
                      <w:r>
                        <w:rPr>
                          <w:b/>
                          <w:color w:val="000000"/>
                          <w:spacing w:val="-10"/>
                          <w:sz w:val="24"/>
                        </w:rPr>
                        <w:t>8</w:t>
                      </w:r>
                      <w:r>
                        <w:rPr>
                          <w:b/>
                          <w:color w:val="000000"/>
                          <w:sz w:val="24"/>
                        </w:rPr>
                        <w:tab/>
                        <w:t>Agenda</w:t>
                      </w:r>
                      <w:r>
                        <w:rPr>
                          <w:b/>
                          <w:color w:val="000000"/>
                          <w:spacing w:val="-3"/>
                          <w:sz w:val="24"/>
                        </w:rPr>
                        <w:t> </w:t>
                      </w:r>
                      <w:r>
                        <w:rPr>
                          <w:b/>
                          <w:color w:val="000000"/>
                          <w:sz w:val="24"/>
                        </w:rPr>
                        <w:t>and</w:t>
                      </w:r>
                      <w:r>
                        <w:rPr>
                          <w:b/>
                          <w:color w:val="000000"/>
                          <w:spacing w:val="-6"/>
                          <w:sz w:val="24"/>
                        </w:rPr>
                        <w:t> </w:t>
                      </w:r>
                      <w:r>
                        <w:rPr>
                          <w:b/>
                          <w:color w:val="000000"/>
                          <w:spacing w:val="-2"/>
                          <w:sz w:val="24"/>
                        </w:rPr>
                        <w:t>Papers</w:t>
                      </w:r>
                    </w:p>
                  </w:txbxContent>
                </v:textbox>
                <v:fill type="solid"/>
                <v:stroke dashstyle="solid"/>
                <w10:wrap type="topAndBottom"/>
              </v:shape>
            </w:pict>
          </mc:Fallback>
        </mc:AlternateContent>
      </w:r>
    </w:p>
    <w:p>
      <w:pPr>
        <w:pStyle w:val="ListParagraph"/>
        <w:numPr>
          <w:ilvl w:val="1"/>
          <w:numId w:val="82"/>
        </w:numPr>
        <w:tabs>
          <w:tab w:pos="852" w:val="left" w:leader="none"/>
        </w:tabs>
        <w:spacing w:line="242" w:lineRule="auto" w:before="170" w:after="0"/>
        <w:ind w:left="852" w:right="745" w:hanging="710"/>
        <w:jc w:val="left"/>
        <w:rPr>
          <w:sz w:val="24"/>
        </w:rPr>
      </w:pPr>
      <w:r>
        <w:rPr>
          <w:sz w:val="24"/>
        </w:rPr>
        <w:t>An</w:t>
      </w:r>
      <w:r>
        <w:rPr>
          <w:spacing w:val="-17"/>
          <w:sz w:val="24"/>
        </w:rPr>
        <w:t> </w:t>
      </w:r>
      <w:r>
        <w:rPr>
          <w:sz w:val="24"/>
        </w:rPr>
        <w:t>agenda</w:t>
      </w:r>
      <w:r>
        <w:rPr>
          <w:spacing w:val="-17"/>
          <w:sz w:val="24"/>
        </w:rPr>
        <w:t> </w:t>
      </w:r>
      <w:r>
        <w:rPr>
          <w:sz w:val="24"/>
        </w:rPr>
        <w:t>setting</w:t>
      </w:r>
      <w:r>
        <w:rPr>
          <w:spacing w:val="-16"/>
          <w:sz w:val="24"/>
        </w:rPr>
        <w:t> </w:t>
      </w:r>
      <w:r>
        <w:rPr>
          <w:sz w:val="24"/>
        </w:rPr>
        <w:t>meeting</w:t>
      </w:r>
      <w:r>
        <w:rPr>
          <w:spacing w:val="-17"/>
          <w:sz w:val="24"/>
        </w:rPr>
        <w:t> </w:t>
      </w:r>
      <w:r>
        <w:rPr>
          <w:sz w:val="24"/>
        </w:rPr>
        <w:t>is</w:t>
      </w:r>
      <w:r>
        <w:rPr>
          <w:spacing w:val="-17"/>
          <w:sz w:val="24"/>
        </w:rPr>
        <w:t> </w:t>
      </w:r>
      <w:r>
        <w:rPr>
          <w:sz w:val="24"/>
        </w:rPr>
        <w:t>to</w:t>
      </w:r>
      <w:r>
        <w:rPr>
          <w:spacing w:val="-17"/>
          <w:sz w:val="24"/>
        </w:rPr>
        <w:t> </w:t>
      </w:r>
      <w:r>
        <w:rPr>
          <w:sz w:val="24"/>
        </w:rPr>
        <w:t>be</w:t>
      </w:r>
      <w:r>
        <w:rPr>
          <w:spacing w:val="-16"/>
          <w:sz w:val="24"/>
        </w:rPr>
        <w:t> </w:t>
      </w:r>
      <w:r>
        <w:rPr>
          <w:sz w:val="24"/>
        </w:rPr>
        <w:t>held</w:t>
      </w:r>
      <w:r>
        <w:rPr>
          <w:spacing w:val="-17"/>
          <w:sz w:val="24"/>
        </w:rPr>
        <w:t> </w:t>
      </w:r>
      <w:r>
        <w:rPr>
          <w:sz w:val="24"/>
        </w:rPr>
        <w:t>with</w:t>
      </w:r>
      <w:r>
        <w:rPr>
          <w:spacing w:val="-17"/>
          <w:sz w:val="24"/>
        </w:rPr>
        <w:t> </w:t>
      </w:r>
      <w:r>
        <w:rPr>
          <w:sz w:val="24"/>
        </w:rPr>
        <w:t>the</w:t>
      </w:r>
      <w:r>
        <w:rPr>
          <w:spacing w:val="-16"/>
          <w:sz w:val="24"/>
        </w:rPr>
        <w:t> </w:t>
      </w:r>
      <w:r>
        <w:rPr>
          <w:sz w:val="24"/>
        </w:rPr>
        <w:t>Co-Chairs</w:t>
      </w:r>
      <w:r>
        <w:rPr>
          <w:spacing w:val="-17"/>
          <w:sz w:val="24"/>
        </w:rPr>
        <w:t> </w:t>
      </w:r>
      <w:r>
        <w:rPr>
          <w:sz w:val="24"/>
        </w:rPr>
        <w:t>at</w:t>
      </w:r>
      <w:r>
        <w:rPr>
          <w:spacing w:val="-17"/>
          <w:sz w:val="24"/>
        </w:rPr>
        <w:t> </w:t>
      </w:r>
      <w:r>
        <w:rPr>
          <w:sz w:val="24"/>
        </w:rPr>
        <w:t>least</w:t>
      </w:r>
      <w:r>
        <w:rPr>
          <w:spacing w:val="-16"/>
          <w:sz w:val="24"/>
        </w:rPr>
        <w:t> </w:t>
      </w:r>
      <w:r>
        <w:rPr>
          <w:sz w:val="24"/>
        </w:rPr>
        <w:t>two</w:t>
      </w:r>
      <w:r>
        <w:rPr>
          <w:spacing w:val="-17"/>
          <w:sz w:val="24"/>
        </w:rPr>
        <w:t> </w:t>
      </w:r>
      <w:r>
        <w:rPr>
          <w:sz w:val="24"/>
        </w:rPr>
        <w:t>weeks</w:t>
      </w:r>
      <w:r>
        <w:rPr>
          <w:spacing w:val="-17"/>
          <w:sz w:val="24"/>
        </w:rPr>
        <w:t> </w:t>
      </w:r>
      <w:r>
        <w:rPr>
          <w:sz w:val="24"/>
        </w:rPr>
        <w:t>before</w:t>
      </w:r>
      <w:r>
        <w:rPr>
          <w:spacing w:val="-16"/>
          <w:sz w:val="24"/>
        </w:rPr>
        <w:t> </w:t>
      </w:r>
      <w:r>
        <w:rPr>
          <w:sz w:val="24"/>
        </w:rPr>
        <w:t>the meeting date.</w:t>
      </w:r>
    </w:p>
    <w:p>
      <w:pPr>
        <w:pStyle w:val="ListParagraph"/>
        <w:numPr>
          <w:ilvl w:val="1"/>
          <w:numId w:val="82"/>
        </w:numPr>
        <w:tabs>
          <w:tab w:pos="850" w:val="left" w:leader="none"/>
          <w:tab w:pos="852" w:val="left" w:leader="none"/>
        </w:tabs>
        <w:spacing w:line="240" w:lineRule="auto" w:before="157" w:after="0"/>
        <w:ind w:left="852" w:right="900" w:hanging="710"/>
        <w:jc w:val="both"/>
        <w:rPr>
          <w:sz w:val="24"/>
        </w:rPr>
      </w:pPr>
      <w:r>
        <w:rPr>
          <w:sz w:val="24"/>
        </w:rPr>
        <w:t>The</w:t>
      </w:r>
      <w:r>
        <w:rPr>
          <w:spacing w:val="-17"/>
          <w:sz w:val="24"/>
        </w:rPr>
        <w:t> </w:t>
      </w:r>
      <w:r>
        <w:rPr>
          <w:sz w:val="24"/>
        </w:rPr>
        <w:t>agenda</w:t>
      </w:r>
      <w:r>
        <w:rPr>
          <w:spacing w:val="-17"/>
          <w:sz w:val="24"/>
        </w:rPr>
        <w:t> </w:t>
      </w:r>
      <w:r>
        <w:rPr>
          <w:sz w:val="24"/>
        </w:rPr>
        <w:t>will</w:t>
      </w:r>
      <w:r>
        <w:rPr>
          <w:spacing w:val="-16"/>
          <w:sz w:val="24"/>
        </w:rPr>
        <w:t> </w:t>
      </w:r>
      <w:r>
        <w:rPr>
          <w:sz w:val="24"/>
        </w:rPr>
        <w:t>be</w:t>
      </w:r>
      <w:r>
        <w:rPr>
          <w:spacing w:val="-17"/>
          <w:sz w:val="24"/>
        </w:rPr>
        <w:t> </w:t>
      </w:r>
      <w:r>
        <w:rPr>
          <w:sz w:val="24"/>
        </w:rPr>
        <w:t>based</w:t>
      </w:r>
      <w:r>
        <w:rPr>
          <w:spacing w:val="-17"/>
          <w:sz w:val="24"/>
        </w:rPr>
        <w:t> </w:t>
      </w:r>
      <w:r>
        <w:rPr>
          <w:sz w:val="24"/>
        </w:rPr>
        <w:t>around</w:t>
      </w:r>
      <w:r>
        <w:rPr>
          <w:spacing w:val="-17"/>
          <w:sz w:val="24"/>
        </w:rPr>
        <w:t> </w:t>
      </w:r>
      <w:r>
        <w:rPr>
          <w:sz w:val="24"/>
        </w:rPr>
        <w:t>the</w:t>
      </w:r>
      <w:r>
        <w:rPr>
          <w:spacing w:val="-16"/>
          <w:sz w:val="24"/>
        </w:rPr>
        <w:t> </w:t>
      </w:r>
      <w:r>
        <w:rPr>
          <w:sz w:val="24"/>
        </w:rPr>
        <w:t>Regional</w:t>
      </w:r>
      <w:r>
        <w:rPr>
          <w:spacing w:val="-17"/>
          <w:sz w:val="24"/>
        </w:rPr>
        <w:t> </w:t>
      </w:r>
      <w:r>
        <w:rPr>
          <w:sz w:val="24"/>
        </w:rPr>
        <w:t>Workforce</w:t>
      </w:r>
      <w:r>
        <w:rPr>
          <w:spacing w:val="-17"/>
          <w:sz w:val="24"/>
        </w:rPr>
        <w:t> </w:t>
      </w:r>
      <w:r>
        <w:rPr>
          <w:sz w:val="24"/>
        </w:rPr>
        <w:t>&amp;</w:t>
      </w:r>
      <w:r>
        <w:rPr>
          <w:spacing w:val="-16"/>
          <w:sz w:val="24"/>
        </w:rPr>
        <w:t> </w:t>
      </w:r>
      <w:r>
        <w:rPr>
          <w:sz w:val="24"/>
        </w:rPr>
        <w:t>OD</w:t>
      </w:r>
      <w:r>
        <w:rPr>
          <w:spacing w:val="-17"/>
          <w:sz w:val="24"/>
        </w:rPr>
        <w:t> </w:t>
      </w:r>
      <w:r>
        <w:rPr>
          <w:sz w:val="24"/>
        </w:rPr>
        <w:t>Subgroup’s</w:t>
      </w:r>
      <w:r>
        <w:rPr>
          <w:spacing w:val="-17"/>
          <w:sz w:val="24"/>
        </w:rPr>
        <w:t> </w:t>
      </w:r>
      <w:r>
        <w:rPr>
          <w:sz w:val="24"/>
        </w:rPr>
        <w:t>work</w:t>
      </w:r>
      <w:r>
        <w:rPr>
          <w:spacing w:val="-16"/>
          <w:sz w:val="24"/>
        </w:rPr>
        <w:t> </w:t>
      </w:r>
      <w:r>
        <w:rPr>
          <w:sz w:val="24"/>
        </w:rPr>
        <w:t>plan, </w:t>
      </w:r>
      <w:r>
        <w:rPr>
          <w:spacing w:val="-2"/>
          <w:sz w:val="24"/>
        </w:rPr>
        <w:t>identified</w:t>
      </w:r>
      <w:r>
        <w:rPr>
          <w:spacing w:val="-15"/>
          <w:sz w:val="24"/>
        </w:rPr>
        <w:t> </w:t>
      </w:r>
      <w:r>
        <w:rPr>
          <w:spacing w:val="-2"/>
          <w:sz w:val="24"/>
        </w:rPr>
        <w:t>risks,</w:t>
      </w:r>
      <w:r>
        <w:rPr>
          <w:spacing w:val="-15"/>
          <w:sz w:val="24"/>
        </w:rPr>
        <w:t> </w:t>
      </w:r>
      <w:r>
        <w:rPr>
          <w:spacing w:val="-2"/>
          <w:sz w:val="24"/>
        </w:rPr>
        <w:t>matters</w:t>
      </w:r>
      <w:r>
        <w:rPr>
          <w:spacing w:val="-14"/>
          <w:sz w:val="24"/>
        </w:rPr>
        <w:t> </w:t>
      </w:r>
      <w:r>
        <w:rPr>
          <w:spacing w:val="-2"/>
          <w:sz w:val="24"/>
        </w:rPr>
        <w:t>arising</w:t>
      </w:r>
      <w:r>
        <w:rPr>
          <w:spacing w:val="-15"/>
          <w:sz w:val="24"/>
        </w:rPr>
        <w:t> </w:t>
      </w:r>
      <w:r>
        <w:rPr>
          <w:spacing w:val="-2"/>
          <w:sz w:val="24"/>
        </w:rPr>
        <w:t>from</w:t>
      </w:r>
      <w:r>
        <w:rPr>
          <w:spacing w:val="-15"/>
          <w:sz w:val="24"/>
        </w:rPr>
        <w:t> </w:t>
      </w:r>
      <w:r>
        <w:rPr>
          <w:spacing w:val="-2"/>
          <w:sz w:val="24"/>
        </w:rPr>
        <w:t>previous</w:t>
      </w:r>
      <w:r>
        <w:rPr>
          <w:spacing w:val="-15"/>
          <w:sz w:val="24"/>
        </w:rPr>
        <w:t> </w:t>
      </w:r>
      <w:r>
        <w:rPr>
          <w:spacing w:val="-2"/>
          <w:sz w:val="24"/>
        </w:rPr>
        <w:t>meetings,</w:t>
      </w:r>
      <w:r>
        <w:rPr>
          <w:spacing w:val="-14"/>
          <w:sz w:val="24"/>
        </w:rPr>
        <w:t> </w:t>
      </w:r>
      <w:r>
        <w:rPr>
          <w:spacing w:val="-2"/>
          <w:sz w:val="24"/>
        </w:rPr>
        <w:t>issues</w:t>
      </w:r>
      <w:r>
        <w:rPr>
          <w:spacing w:val="-15"/>
          <w:sz w:val="24"/>
        </w:rPr>
        <w:t> </w:t>
      </w:r>
      <w:r>
        <w:rPr>
          <w:spacing w:val="-2"/>
          <w:sz w:val="24"/>
        </w:rPr>
        <w:t>emerging</w:t>
      </w:r>
      <w:r>
        <w:rPr>
          <w:spacing w:val="-11"/>
          <w:sz w:val="24"/>
        </w:rPr>
        <w:t> </w:t>
      </w:r>
      <w:r>
        <w:rPr>
          <w:spacing w:val="-2"/>
          <w:sz w:val="24"/>
        </w:rPr>
        <w:t>throughout</w:t>
      </w:r>
      <w:r>
        <w:rPr>
          <w:spacing w:val="-15"/>
          <w:sz w:val="24"/>
        </w:rPr>
        <w:t> </w:t>
      </w:r>
      <w:r>
        <w:rPr>
          <w:spacing w:val="-2"/>
          <w:sz w:val="24"/>
        </w:rPr>
        <w:t>the </w:t>
      </w:r>
      <w:r>
        <w:rPr>
          <w:sz w:val="24"/>
        </w:rPr>
        <w:t>year, and requests from members.</w:t>
      </w:r>
    </w:p>
    <w:p>
      <w:pPr>
        <w:pStyle w:val="ListParagraph"/>
        <w:numPr>
          <w:ilvl w:val="1"/>
          <w:numId w:val="82"/>
        </w:numPr>
        <w:tabs>
          <w:tab w:pos="852" w:val="left" w:leader="none"/>
        </w:tabs>
        <w:spacing w:line="240" w:lineRule="auto" w:before="158" w:after="0"/>
        <w:ind w:left="852" w:right="0" w:hanging="710"/>
        <w:jc w:val="left"/>
        <w:rPr>
          <w:sz w:val="24"/>
        </w:rPr>
      </w:pPr>
      <w:r>
        <w:rPr>
          <w:spacing w:val="-2"/>
          <w:sz w:val="24"/>
        </w:rPr>
        <w:t>All</w:t>
      </w:r>
      <w:r>
        <w:rPr>
          <w:spacing w:val="-17"/>
          <w:sz w:val="24"/>
        </w:rPr>
        <w:t> </w:t>
      </w:r>
      <w:r>
        <w:rPr>
          <w:spacing w:val="-2"/>
          <w:sz w:val="24"/>
        </w:rPr>
        <w:t>papers</w:t>
      </w:r>
      <w:r>
        <w:rPr>
          <w:spacing w:val="-9"/>
          <w:sz w:val="24"/>
        </w:rPr>
        <w:t> </w:t>
      </w:r>
      <w:r>
        <w:rPr>
          <w:spacing w:val="-2"/>
          <w:sz w:val="24"/>
        </w:rPr>
        <w:t>must</w:t>
      </w:r>
      <w:r>
        <w:rPr>
          <w:spacing w:val="-14"/>
          <w:sz w:val="24"/>
        </w:rPr>
        <w:t> </w:t>
      </w:r>
      <w:r>
        <w:rPr>
          <w:spacing w:val="-2"/>
          <w:sz w:val="24"/>
        </w:rPr>
        <w:t>be</w:t>
      </w:r>
      <w:r>
        <w:rPr>
          <w:spacing w:val="-11"/>
          <w:sz w:val="24"/>
        </w:rPr>
        <w:t> </w:t>
      </w:r>
      <w:r>
        <w:rPr>
          <w:spacing w:val="-2"/>
          <w:sz w:val="24"/>
        </w:rPr>
        <w:t>approved</w:t>
      </w:r>
      <w:r>
        <w:rPr>
          <w:spacing w:val="-11"/>
          <w:sz w:val="24"/>
        </w:rPr>
        <w:t> </w:t>
      </w:r>
      <w:r>
        <w:rPr>
          <w:spacing w:val="-2"/>
          <w:sz w:val="24"/>
        </w:rPr>
        <w:t>by</w:t>
      </w:r>
      <w:r>
        <w:rPr>
          <w:spacing w:val="-7"/>
          <w:sz w:val="24"/>
        </w:rPr>
        <w:t> </w:t>
      </w:r>
      <w:r>
        <w:rPr>
          <w:spacing w:val="-2"/>
          <w:sz w:val="24"/>
        </w:rPr>
        <w:t>the</w:t>
      </w:r>
      <w:r>
        <w:rPr>
          <w:spacing w:val="-12"/>
          <w:sz w:val="24"/>
        </w:rPr>
        <w:t> </w:t>
      </w:r>
      <w:r>
        <w:rPr>
          <w:spacing w:val="-2"/>
          <w:sz w:val="24"/>
        </w:rPr>
        <w:t>Lead/relevant</w:t>
      </w:r>
      <w:r>
        <w:rPr>
          <w:spacing w:val="-13"/>
          <w:sz w:val="24"/>
        </w:rPr>
        <w:t> </w:t>
      </w:r>
      <w:r>
        <w:rPr>
          <w:spacing w:val="-2"/>
          <w:sz w:val="24"/>
        </w:rPr>
        <w:t>Director/Chair.</w:t>
      </w:r>
    </w:p>
    <w:p>
      <w:pPr>
        <w:pStyle w:val="ListParagraph"/>
        <w:numPr>
          <w:ilvl w:val="1"/>
          <w:numId w:val="82"/>
        </w:numPr>
        <w:tabs>
          <w:tab w:pos="852" w:val="left" w:leader="none"/>
        </w:tabs>
        <w:spacing w:line="240" w:lineRule="auto" w:before="164" w:after="0"/>
        <w:ind w:left="852" w:right="1146" w:hanging="710"/>
        <w:jc w:val="left"/>
        <w:rPr>
          <w:sz w:val="24"/>
        </w:rPr>
      </w:pPr>
      <w:r>
        <w:rPr>
          <w:spacing w:val="-2"/>
          <w:sz w:val="24"/>
        </w:rPr>
        <w:t>The</w:t>
      </w:r>
      <w:r>
        <w:rPr>
          <w:spacing w:val="-11"/>
          <w:sz w:val="24"/>
        </w:rPr>
        <w:t> </w:t>
      </w:r>
      <w:r>
        <w:rPr>
          <w:spacing w:val="-2"/>
          <w:sz w:val="24"/>
        </w:rPr>
        <w:t>agenda</w:t>
      </w:r>
      <w:r>
        <w:rPr>
          <w:spacing w:val="-10"/>
          <w:sz w:val="24"/>
        </w:rPr>
        <w:t> </w:t>
      </w:r>
      <w:r>
        <w:rPr>
          <w:spacing w:val="-2"/>
          <w:sz w:val="24"/>
        </w:rPr>
        <w:t>and</w:t>
      </w:r>
      <w:r>
        <w:rPr>
          <w:spacing w:val="-10"/>
          <w:sz w:val="24"/>
        </w:rPr>
        <w:t> </w:t>
      </w:r>
      <w:r>
        <w:rPr>
          <w:spacing w:val="-2"/>
          <w:sz w:val="24"/>
        </w:rPr>
        <w:t>papers</w:t>
      </w:r>
      <w:r>
        <w:rPr>
          <w:spacing w:val="-5"/>
          <w:sz w:val="24"/>
        </w:rPr>
        <w:t> </w:t>
      </w:r>
      <w:r>
        <w:rPr>
          <w:spacing w:val="-2"/>
          <w:sz w:val="24"/>
        </w:rPr>
        <w:t>for</w:t>
      </w:r>
      <w:r>
        <w:rPr>
          <w:spacing w:val="-11"/>
          <w:sz w:val="24"/>
        </w:rPr>
        <w:t> </w:t>
      </w:r>
      <w:r>
        <w:rPr>
          <w:spacing w:val="-2"/>
          <w:sz w:val="24"/>
        </w:rPr>
        <w:t>meetings</w:t>
      </w:r>
      <w:r>
        <w:rPr>
          <w:spacing w:val="-10"/>
          <w:sz w:val="24"/>
        </w:rPr>
        <w:t> </w:t>
      </w:r>
      <w:r>
        <w:rPr>
          <w:spacing w:val="-2"/>
          <w:sz w:val="24"/>
        </w:rPr>
        <w:t>will</w:t>
      </w:r>
      <w:r>
        <w:rPr>
          <w:spacing w:val="-10"/>
          <w:sz w:val="24"/>
        </w:rPr>
        <w:t> </w:t>
      </w:r>
      <w:r>
        <w:rPr>
          <w:spacing w:val="-2"/>
          <w:sz w:val="24"/>
        </w:rPr>
        <w:t>be</w:t>
      </w:r>
      <w:r>
        <w:rPr>
          <w:spacing w:val="-10"/>
          <w:sz w:val="24"/>
        </w:rPr>
        <w:t> </w:t>
      </w:r>
      <w:r>
        <w:rPr>
          <w:spacing w:val="-2"/>
          <w:sz w:val="24"/>
        </w:rPr>
        <w:t>distributed</w:t>
      </w:r>
      <w:r>
        <w:rPr>
          <w:spacing w:val="-9"/>
          <w:sz w:val="24"/>
        </w:rPr>
        <w:t> </w:t>
      </w:r>
      <w:r>
        <w:rPr>
          <w:spacing w:val="-2"/>
          <w:sz w:val="24"/>
        </w:rPr>
        <w:t>seven</w:t>
      </w:r>
      <w:r>
        <w:rPr>
          <w:spacing w:val="-9"/>
          <w:sz w:val="24"/>
        </w:rPr>
        <w:t> </w:t>
      </w:r>
      <w:r>
        <w:rPr>
          <w:spacing w:val="-2"/>
          <w:sz w:val="24"/>
        </w:rPr>
        <w:t>days</w:t>
      </w:r>
      <w:r>
        <w:rPr>
          <w:spacing w:val="-15"/>
          <w:sz w:val="24"/>
        </w:rPr>
        <w:t> </w:t>
      </w:r>
      <w:r>
        <w:rPr>
          <w:spacing w:val="-2"/>
          <w:sz w:val="24"/>
        </w:rPr>
        <w:t>in</w:t>
      </w:r>
      <w:r>
        <w:rPr>
          <w:spacing w:val="-14"/>
          <w:sz w:val="24"/>
        </w:rPr>
        <w:t> </w:t>
      </w:r>
      <w:r>
        <w:rPr>
          <w:spacing w:val="-2"/>
          <w:sz w:val="24"/>
        </w:rPr>
        <w:t>advance</w:t>
      </w:r>
      <w:r>
        <w:rPr>
          <w:spacing w:val="-15"/>
          <w:sz w:val="24"/>
        </w:rPr>
        <w:t> </w:t>
      </w:r>
      <w:r>
        <w:rPr>
          <w:spacing w:val="-2"/>
          <w:sz w:val="24"/>
        </w:rPr>
        <w:t>of</w:t>
      </w:r>
      <w:r>
        <w:rPr>
          <w:spacing w:val="-8"/>
          <w:sz w:val="24"/>
        </w:rPr>
        <w:t> </w:t>
      </w:r>
      <w:r>
        <w:rPr>
          <w:spacing w:val="-2"/>
          <w:sz w:val="24"/>
        </w:rPr>
        <w:t>the meeting.</w:t>
      </w:r>
    </w:p>
    <w:p>
      <w:pPr>
        <w:pStyle w:val="ListParagraph"/>
        <w:numPr>
          <w:ilvl w:val="1"/>
          <w:numId w:val="82"/>
        </w:numPr>
        <w:tabs>
          <w:tab w:pos="852" w:val="left" w:leader="none"/>
        </w:tabs>
        <w:spacing w:line="240" w:lineRule="auto" w:before="158" w:after="0"/>
        <w:ind w:left="852" w:right="726" w:hanging="710"/>
        <w:jc w:val="left"/>
        <w:rPr>
          <w:sz w:val="24"/>
        </w:rPr>
      </w:pPr>
      <w:r>
        <w:rPr>
          <w:spacing w:val="-2"/>
          <w:sz w:val="24"/>
        </w:rPr>
        <w:t>A</w:t>
      </w:r>
      <w:r>
        <w:rPr>
          <w:spacing w:val="-15"/>
          <w:sz w:val="24"/>
        </w:rPr>
        <w:t> </w:t>
      </w:r>
      <w:r>
        <w:rPr>
          <w:spacing w:val="-2"/>
          <w:sz w:val="24"/>
        </w:rPr>
        <w:t>draft</w:t>
      </w:r>
      <w:r>
        <w:rPr>
          <w:spacing w:val="-7"/>
          <w:sz w:val="24"/>
        </w:rPr>
        <w:t> </w:t>
      </w:r>
      <w:r>
        <w:rPr>
          <w:spacing w:val="-2"/>
          <w:sz w:val="24"/>
        </w:rPr>
        <w:t>Table</w:t>
      </w:r>
      <w:r>
        <w:rPr>
          <w:spacing w:val="-9"/>
          <w:sz w:val="24"/>
        </w:rPr>
        <w:t> </w:t>
      </w:r>
      <w:r>
        <w:rPr>
          <w:spacing w:val="-2"/>
          <w:sz w:val="24"/>
        </w:rPr>
        <w:t>of</w:t>
      </w:r>
      <w:r>
        <w:rPr>
          <w:spacing w:val="-12"/>
          <w:sz w:val="24"/>
        </w:rPr>
        <w:t> </w:t>
      </w:r>
      <w:r>
        <w:rPr>
          <w:spacing w:val="-2"/>
          <w:sz w:val="24"/>
        </w:rPr>
        <w:t>Actions</w:t>
      </w:r>
      <w:r>
        <w:rPr>
          <w:spacing w:val="-15"/>
          <w:sz w:val="24"/>
        </w:rPr>
        <w:t> </w:t>
      </w:r>
      <w:r>
        <w:rPr>
          <w:spacing w:val="-2"/>
          <w:sz w:val="24"/>
        </w:rPr>
        <w:t>will</w:t>
      </w:r>
      <w:r>
        <w:rPr>
          <w:spacing w:val="-14"/>
          <w:sz w:val="24"/>
        </w:rPr>
        <w:t> </w:t>
      </w:r>
      <w:r>
        <w:rPr>
          <w:spacing w:val="-2"/>
          <w:sz w:val="24"/>
        </w:rPr>
        <w:t>be</w:t>
      </w:r>
      <w:r>
        <w:rPr>
          <w:spacing w:val="-9"/>
          <w:sz w:val="24"/>
        </w:rPr>
        <w:t> </w:t>
      </w:r>
      <w:r>
        <w:rPr>
          <w:spacing w:val="-2"/>
          <w:sz w:val="24"/>
        </w:rPr>
        <w:t>issued</w:t>
      </w:r>
      <w:r>
        <w:rPr>
          <w:spacing w:val="-9"/>
          <w:sz w:val="24"/>
        </w:rPr>
        <w:t> </w:t>
      </w:r>
      <w:r>
        <w:rPr>
          <w:spacing w:val="-2"/>
          <w:sz w:val="24"/>
        </w:rPr>
        <w:t>within</w:t>
      </w:r>
      <w:r>
        <w:rPr>
          <w:spacing w:val="-5"/>
          <w:sz w:val="24"/>
        </w:rPr>
        <w:t> </w:t>
      </w:r>
      <w:r>
        <w:rPr>
          <w:spacing w:val="-2"/>
          <w:sz w:val="24"/>
        </w:rPr>
        <w:t>seven</w:t>
      </w:r>
      <w:r>
        <w:rPr>
          <w:spacing w:val="-13"/>
          <w:sz w:val="24"/>
        </w:rPr>
        <w:t> </w:t>
      </w:r>
      <w:r>
        <w:rPr>
          <w:spacing w:val="-2"/>
          <w:sz w:val="24"/>
        </w:rPr>
        <w:t>days</w:t>
      </w:r>
      <w:r>
        <w:rPr>
          <w:spacing w:val="-10"/>
          <w:sz w:val="24"/>
        </w:rPr>
        <w:t> </w:t>
      </w:r>
      <w:r>
        <w:rPr>
          <w:spacing w:val="-2"/>
          <w:sz w:val="24"/>
        </w:rPr>
        <w:t>of</w:t>
      </w:r>
      <w:r>
        <w:rPr>
          <w:spacing w:val="-7"/>
          <w:sz w:val="24"/>
        </w:rPr>
        <w:t> </w:t>
      </w:r>
      <w:r>
        <w:rPr>
          <w:spacing w:val="-2"/>
          <w:sz w:val="24"/>
        </w:rPr>
        <w:t>the</w:t>
      </w:r>
      <w:r>
        <w:rPr>
          <w:spacing w:val="-9"/>
          <w:sz w:val="24"/>
        </w:rPr>
        <w:t> </w:t>
      </w:r>
      <w:r>
        <w:rPr>
          <w:spacing w:val="-2"/>
          <w:sz w:val="24"/>
        </w:rPr>
        <w:t>meeting.</w:t>
      </w:r>
      <w:r>
        <w:rPr>
          <w:spacing w:val="-7"/>
          <w:sz w:val="24"/>
        </w:rPr>
        <w:t> </w:t>
      </w:r>
      <w:r>
        <w:rPr>
          <w:spacing w:val="-2"/>
          <w:sz w:val="24"/>
        </w:rPr>
        <w:t>The</w:t>
      </w:r>
      <w:r>
        <w:rPr>
          <w:spacing w:val="-9"/>
          <w:sz w:val="24"/>
        </w:rPr>
        <w:t> </w:t>
      </w:r>
      <w:r>
        <w:rPr>
          <w:spacing w:val="-2"/>
          <w:sz w:val="24"/>
        </w:rPr>
        <w:t>minutes</w:t>
      </w:r>
      <w:r>
        <w:rPr>
          <w:spacing w:val="-10"/>
          <w:sz w:val="24"/>
        </w:rPr>
        <w:t> </w:t>
      </w:r>
      <w:r>
        <w:rPr>
          <w:spacing w:val="-2"/>
          <w:sz w:val="24"/>
        </w:rPr>
        <w:t>and </w:t>
      </w:r>
      <w:r>
        <w:rPr>
          <w:sz w:val="24"/>
        </w:rPr>
        <w:t>action</w:t>
      </w:r>
      <w:r>
        <w:rPr>
          <w:spacing w:val="-17"/>
          <w:sz w:val="24"/>
        </w:rPr>
        <w:t> </w:t>
      </w:r>
      <w:r>
        <w:rPr>
          <w:sz w:val="24"/>
        </w:rPr>
        <w:t>log</w:t>
      </w:r>
      <w:r>
        <w:rPr>
          <w:spacing w:val="-17"/>
          <w:sz w:val="24"/>
        </w:rPr>
        <w:t> </w:t>
      </w:r>
      <w:r>
        <w:rPr>
          <w:sz w:val="24"/>
        </w:rPr>
        <w:t>will</w:t>
      </w:r>
      <w:r>
        <w:rPr>
          <w:spacing w:val="-16"/>
          <w:sz w:val="24"/>
        </w:rPr>
        <w:t> </w:t>
      </w:r>
      <w:r>
        <w:rPr>
          <w:sz w:val="24"/>
        </w:rPr>
        <w:t>be</w:t>
      </w:r>
      <w:r>
        <w:rPr>
          <w:spacing w:val="-17"/>
          <w:sz w:val="24"/>
        </w:rPr>
        <w:t> </w:t>
      </w:r>
      <w:r>
        <w:rPr>
          <w:sz w:val="24"/>
        </w:rPr>
        <w:t>circulated</w:t>
      </w:r>
      <w:r>
        <w:rPr>
          <w:spacing w:val="-17"/>
          <w:sz w:val="24"/>
        </w:rPr>
        <w:t> </w:t>
      </w:r>
      <w:r>
        <w:rPr>
          <w:sz w:val="24"/>
        </w:rPr>
        <w:t>to</w:t>
      </w:r>
      <w:r>
        <w:rPr>
          <w:spacing w:val="-17"/>
          <w:sz w:val="24"/>
        </w:rPr>
        <w:t> </w:t>
      </w:r>
      <w:r>
        <w:rPr>
          <w:sz w:val="24"/>
        </w:rPr>
        <w:t>members</w:t>
      </w:r>
      <w:r>
        <w:rPr>
          <w:spacing w:val="-16"/>
          <w:sz w:val="24"/>
        </w:rPr>
        <w:t> </w:t>
      </w:r>
      <w:r>
        <w:rPr>
          <w:sz w:val="24"/>
        </w:rPr>
        <w:t>within</w:t>
      </w:r>
      <w:r>
        <w:rPr>
          <w:spacing w:val="-17"/>
          <w:sz w:val="24"/>
        </w:rPr>
        <w:t> </w:t>
      </w:r>
      <w:r>
        <w:rPr>
          <w:sz w:val="24"/>
        </w:rPr>
        <w:t>seven</w:t>
      </w:r>
      <w:r>
        <w:rPr>
          <w:spacing w:val="-17"/>
          <w:sz w:val="24"/>
        </w:rPr>
        <w:t> </w:t>
      </w:r>
      <w:r>
        <w:rPr>
          <w:sz w:val="24"/>
        </w:rPr>
        <w:t>days</w:t>
      </w:r>
      <w:r>
        <w:rPr>
          <w:spacing w:val="-16"/>
          <w:sz w:val="24"/>
        </w:rPr>
        <w:t> </w:t>
      </w:r>
      <w:r>
        <w:rPr>
          <w:sz w:val="24"/>
        </w:rPr>
        <w:t>to</w:t>
      </w:r>
      <w:r>
        <w:rPr>
          <w:spacing w:val="-17"/>
          <w:sz w:val="24"/>
        </w:rPr>
        <w:t> </w:t>
      </w:r>
      <w:r>
        <w:rPr>
          <w:sz w:val="24"/>
        </w:rPr>
        <w:t>check</w:t>
      </w:r>
      <w:r>
        <w:rPr>
          <w:spacing w:val="-17"/>
          <w:sz w:val="24"/>
        </w:rPr>
        <w:t> </w:t>
      </w:r>
      <w:r>
        <w:rPr>
          <w:sz w:val="24"/>
        </w:rPr>
        <w:t>the</w:t>
      </w:r>
      <w:r>
        <w:rPr>
          <w:spacing w:val="-16"/>
          <w:sz w:val="24"/>
        </w:rPr>
        <w:t> </w:t>
      </w:r>
      <w:r>
        <w:rPr>
          <w:sz w:val="24"/>
        </w:rPr>
        <w:t>accuracy,</w:t>
      </w:r>
      <w:r>
        <w:rPr>
          <w:spacing w:val="-17"/>
          <w:sz w:val="24"/>
        </w:rPr>
        <w:t> </w:t>
      </w:r>
      <w:r>
        <w:rPr>
          <w:sz w:val="24"/>
        </w:rPr>
        <w:t>prior</w:t>
      </w:r>
      <w:r>
        <w:rPr>
          <w:spacing w:val="-17"/>
          <w:sz w:val="24"/>
        </w:rPr>
        <w:t> </w:t>
      </w:r>
      <w:r>
        <w:rPr>
          <w:sz w:val="24"/>
        </w:rPr>
        <w:t>to sending</w:t>
      </w:r>
      <w:r>
        <w:rPr>
          <w:spacing w:val="-13"/>
          <w:sz w:val="24"/>
        </w:rPr>
        <w:t> </w:t>
      </w:r>
      <w:r>
        <w:rPr>
          <w:sz w:val="24"/>
        </w:rPr>
        <w:t>to</w:t>
      </w:r>
      <w:r>
        <w:rPr>
          <w:spacing w:val="-13"/>
          <w:sz w:val="24"/>
        </w:rPr>
        <w:t> </w:t>
      </w:r>
      <w:r>
        <w:rPr>
          <w:sz w:val="24"/>
        </w:rPr>
        <w:t>Members</w:t>
      </w:r>
      <w:r>
        <w:rPr>
          <w:spacing w:val="-14"/>
          <w:sz w:val="24"/>
        </w:rPr>
        <w:t> </w:t>
      </w:r>
      <w:r>
        <w:rPr>
          <w:sz w:val="24"/>
        </w:rPr>
        <w:t>(including</w:t>
      </w:r>
      <w:r>
        <w:rPr>
          <w:spacing w:val="-9"/>
          <w:sz w:val="24"/>
        </w:rPr>
        <w:t> </w:t>
      </w:r>
      <w:r>
        <w:rPr>
          <w:sz w:val="24"/>
        </w:rPr>
        <w:t>the</w:t>
      </w:r>
      <w:r>
        <w:rPr>
          <w:spacing w:val="-11"/>
          <w:sz w:val="24"/>
        </w:rPr>
        <w:t> </w:t>
      </w:r>
      <w:r>
        <w:rPr>
          <w:sz w:val="24"/>
        </w:rPr>
        <w:t>Regional</w:t>
      </w:r>
      <w:r>
        <w:rPr>
          <w:spacing w:val="-8"/>
          <w:sz w:val="24"/>
        </w:rPr>
        <w:t> </w:t>
      </w:r>
      <w:r>
        <w:rPr>
          <w:sz w:val="24"/>
        </w:rPr>
        <w:t>Workforce</w:t>
      </w:r>
      <w:r>
        <w:rPr>
          <w:spacing w:val="-13"/>
          <w:sz w:val="24"/>
        </w:rPr>
        <w:t> </w:t>
      </w:r>
      <w:r>
        <w:rPr>
          <w:sz w:val="24"/>
        </w:rPr>
        <w:t>&amp;</w:t>
      </w:r>
      <w:r>
        <w:rPr>
          <w:spacing w:val="-9"/>
          <w:sz w:val="24"/>
        </w:rPr>
        <w:t> </w:t>
      </w:r>
      <w:r>
        <w:rPr>
          <w:sz w:val="24"/>
        </w:rPr>
        <w:t>OD</w:t>
      </w:r>
      <w:r>
        <w:rPr>
          <w:spacing w:val="-11"/>
          <w:sz w:val="24"/>
        </w:rPr>
        <w:t> </w:t>
      </w:r>
      <w:r>
        <w:rPr>
          <w:sz w:val="24"/>
        </w:rPr>
        <w:t>Subgroup</w:t>
      </w:r>
      <w:r>
        <w:rPr>
          <w:spacing w:val="-12"/>
          <w:sz w:val="24"/>
        </w:rPr>
        <w:t> </w:t>
      </w:r>
      <w:r>
        <w:rPr>
          <w:sz w:val="24"/>
        </w:rPr>
        <w:t>Co-Chairs)</w:t>
      </w:r>
      <w:r>
        <w:rPr>
          <w:spacing w:val="-14"/>
          <w:sz w:val="24"/>
        </w:rPr>
        <w:t> </w:t>
      </w:r>
      <w:r>
        <w:rPr>
          <w:sz w:val="24"/>
        </w:rPr>
        <w:t>to review within the next seven days.</w:t>
      </w:r>
    </w:p>
    <w:p>
      <w:pPr>
        <w:pStyle w:val="BodyText"/>
        <w:rPr>
          <w:sz w:val="20"/>
        </w:rPr>
      </w:pPr>
    </w:p>
    <w:p>
      <w:pPr>
        <w:pStyle w:val="BodyText"/>
        <w:rPr>
          <w:sz w:val="20"/>
        </w:rPr>
      </w:pPr>
    </w:p>
    <w:p>
      <w:pPr>
        <w:pStyle w:val="BodyText"/>
        <w:spacing w:before="79"/>
        <w:rPr>
          <w:sz w:val="20"/>
        </w:rPr>
      </w:pPr>
    </w:p>
    <w:p>
      <w:pPr>
        <w:spacing w:before="0"/>
        <w:ind w:left="4" w:right="284" w:firstLine="0"/>
        <w:jc w:val="center"/>
        <w:rPr>
          <w:sz w:val="20"/>
        </w:rPr>
      </w:pPr>
      <w:r>
        <w:rPr>
          <w:spacing w:val="-10"/>
          <w:sz w:val="20"/>
        </w:rPr>
        <w:t>4</w:t>
      </w:r>
    </w:p>
    <w:p>
      <w:pPr>
        <w:spacing w:after="0"/>
        <w:jc w:val="center"/>
        <w:rPr>
          <w:sz w:val="20"/>
        </w:rPr>
        <w:sectPr>
          <w:pgSz w:w="11910" w:h="16840"/>
          <w:pgMar w:header="0" w:footer="149" w:top="980" w:bottom="340" w:left="708" w:right="425"/>
        </w:sectPr>
      </w:pPr>
    </w:p>
    <w:p>
      <w:pPr>
        <w:pStyle w:val="ListParagraph"/>
        <w:numPr>
          <w:ilvl w:val="1"/>
          <w:numId w:val="82"/>
        </w:numPr>
        <w:tabs>
          <w:tab w:pos="852" w:val="left" w:leader="none"/>
        </w:tabs>
        <w:spacing w:line="242" w:lineRule="auto" w:before="75" w:after="0"/>
        <w:ind w:left="852" w:right="415" w:hanging="710"/>
        <w:jc w:val="left"/>
        <w:rPr>
          <w:sz w:val="24"/>
        </w:rPr>
      </w:pPr>
      <w:r>
        <w:rPr>
          <w:spacing w:val="-2"/>
          <w:sz w:val="24"/>
        </w:rPr>
        <w:t>Members</w:t>
      </w:r>
      <w:r>
        <w:rPr>
          <w:spacing w:val="-12"/>
          <w:sz w:val="24"/>
        </w:rPr>
        <w:t> </w:t>
      </w:r>
      <w:r>
        <w:rPr>
          <w:spacing w:val="-2"/>
          <w:sz w:val="24"/>
        </w:rPr>
        <w:t>must</w:t>
      </w:r>
      <w:r>
        <w:rPr>
          <w:spacing w:val="-9"/>
          <w:sz w:val="24"/>
        </w:rPr>
        <w:t> </w:t>
      </w:r>
      <w:r>
        <w:rPr>
          <w:spacing w:val="-2"/>
          <w:sz w:val="24"/>
        </w:rPr>
        <w:t>forward</w:t>
      </w:r>
      <w:r>
        <w:rPr>
          <w:spacing w:val="-11"/>
          <w:sz w:val="24"/>
        </w:rPr>
        <w:t> </w:t>
      </w:r>
      <w:r>
        <w:rPr>
          <w:spacing w:val="-2"/>
          <w:sz w:val="24"/>
        </w:rPr>
        <w:t>amendments</w:t>
      </w:r>
      <w:r>
        <w:rPr>
          <w:spacing w:val="-12"/>
          <w:sz w:val="24"/>
        </w:rPr>
        <w:t> </w:t>
      </w:r>
      <w:r>
        <w:rPr>
          <w:spacing w:val="-2"/>
          <w:sz w:val="24"/>
        </w:rPr>
        <w:t>to</w:t>
      </w:r>
      <w:r>
        <w:rPr>
          <w:spacing w:val="-11"/>
          <w:sz w:val="24"/>
        </w:rPr>
        <w:t> </w:t>
      </w:r>
      <w:r>
        <w:rPr>
          <w:spacing w:val="-2"/>
          <w:sz w:val="24"/>
        </w:rPr>
        <w:t>the</w:t>
      </w:r>
      <w:r>
        <w:rPr>
          <w:spacing w:val="-8"/>
          <w:sz w:val="24"/>
        </w:rPr>
        <w:t> </w:t>
      </w:r>
      <w:r>
        <w:rPr>
          <w:spacing w:val="-2"/>
          <w:sz w:val="24"/>
        </w:rPr>
        <w:t>Chair</w:t>
      </w:r>
      <w:r>
        <w:rPr>
          <w:spacing w:val="-11"/>
          <w:sz w:val="24"/>
        </w:rPr>
        <w:t> </w:t>
      </w:r>
      <w:r>
        <w:rPr>
          <w:spacing w:val="-2"/>
          <w:sz w:val="24"/>
        </w:rPr>
        <w:t>within</w:t>
      </w:r>
      <w:r>
        <w:rPr>
          <w:spacing w:val="-11"/>
          <w:sz w:val="24"/>
        </w:rPr>
        <w:t> </w:t>
      </w:r>
      <w:r>
        <w:rPr>
          <w:spacing w:val="-2"/>
          <w:sz w:val="24"/>
        </w:rPr>
        <w:t>the</w:t>
      </w:r>
      <w:r>
        <w:rPr>
          <w:spacing w:val="-15"/>
          <w:sz w:val="24"/>
        </w:rPr>
        <w:t> </w:t>
      </w:r>
      <w:r>
        <w:rPr>
          <w:spacing w:val="-2"/>
          <w:sz w:val="24"/>
        </w:rPr>
        <w:t>next</w:t>
      </w:r>
      <w:r>
        <w:rPr>
          <w:spacing w:val="-13"/>
          <w:sz w:val="24"/>
        </w:rPr>
        <w:t> </w:t>
      </w:r>
      <w:r>
        <w:rPr>
          <w:spacing w:val="-2"/>
          <w:sz w:val="24"/>
        </w:rPr>
        <w:t>seven</w:t>
      </w:r>
      <w:r>
        <w:rPr>
          <w:spacing w:val="-11"/>
          <w:sz w:val="24"/>
        </w:rPr>
        <w:t> </w:t>
      </w:r>
      <w:r>
        <w:rPr>
          <w:spacing w:val="-2"/>
          <w:sz w:val="24"/>
        </w:rPr>
        <w:t>days.</w:t>
      </w:r>
      <w:r>
        <w:rPr>
          <w:spacing w:val="-13"/>
          <w:sz w:val="24"/>
        </w:rPr>
        <w:t> </w:t>
      </w:r>
      <w:r>
        <w:rPr>
          <w:spacing w:val="-2"/>
          <w:sz w:val="24"/>
        </w:rPr>
        <w:t>The</w:t>
      </w:r>
      <w:r>
        <w:rPr>
          <w:spacing w:val="-9"/>
          <w:sz w:val="24"/>
        </w:rPr>
        <w:t> </w:t>
      </w:r>
      <w:r>
        <w:rPr>
          <w:spacing w:val="-2"/>
          <w:sz w:val="24"/>
        </w:rPr>
        <w:t>Subgroup </w:t>
      </w:r>
      <w:r>
        <w:rPr>
          <w:sz w:val="24"/>
        </w:rPr>
        <w:t>Secretary</w:t>
      </w:r>
      <w:r>
        <w:rPr>
          <w:spacing w:val="-14"/>
          <w:sz w:val="24"/>
        </w:rPr>
        <w:t> </w:t>
      </w:r>
      <w:r>
        <w:rPr>
          <w:sz w:val="24"/>
        </w:rPr>
        <w:t>will</w:t>
      </w:r>
      <w:r>
        <w:rPr>
          <w:spacing w:val="-14"/>
          <w:sz w:val="24"/>
        </w:rPr>
        <w:t> </w:t>
      </w:r>
      <w:r>
        <w:rPr>
          <w:sz w:val="24"/>
        </w:rPr>
        <w:t>then</w:t>
      </w:r>
      <w:r>
        <w:rPr>
          <w:spacing w:val="-14"/>
          <w:sz w:val="24"/>
        </w:rPr>
        <w:t> </w:t>
      </w:r>
      <w:r>
        <w:rPr>
          <w:sz w:val="24"/>
        </w:rPr>
        <w:t>forward</w:t>
      </w:r>
      <w:r>
        <w:rPr>
          <w:spacing w:val="-9"/>
          <w:sz w:val="24"/>
        </w:rPr>
        <w:t> </w:t>
      </w:r>
      <w:r>
        <w:rPr>
          <w:sz w:val="24"/>
        </w:rPr>
        <w:t>the</w:t>
      </w:r>
      <w:r>
        <w:rPr>
          <w:spacing w:val="-14"/>
          <w:sz w:val="24"/>
        </w:rPr>
        <w:t> </w:t>
      </w:r>
      <w:r>
        <w:rPr>
          <w:sz w:val="24"/>
        </w:rPr>
        <w:t>final</w:t>
      </w:r>
      <w:r>
        <w:rPr>
          <w:spacing w:val="-14"/>
          <w:sz w:val="24"/>
        </w:rPr>
        <w:t> </w:t>
      </w:r>
      <w:r>
        <w:rPr>
          <w:sz w:val="24"/>
        </w:rPr>
        <w:t>version</w:t>
      </w:r>
      <w:r>
        <w:rPr>
          <w:spacing w:val="-9"/>
          <w:sz w:val="24"/>
        </w:rPr>
        <w:t> </w:t>
      </w:r>
      <w:r>
        <w:rPr>
          <w:sz w:val="24"/>
        </w:rPr>
        <w:t>to</w:t>
      </w:r>
      <w:r>
        <w:rPr>
          <w:spacing w:val="-14"/>
          <w:sz w:val="24"/>
        </w:rPr>
        <w:t> </w:t>
      </w:r>
      <w:r>
        <w:rPr>
          <w:sz w:val="24"/>
        </w:rPr>
        <w:t>the</w:t>
      </w:r>
      <w:r>
        <w:rPr>
          <w:spacing w:val="-11"/>
          <w:sz w:val="24"/>
        </w:rPr>
        <w:t> </w:t>
      </w:r>
      <w:r>
        <w:rPr>
          <w:sz w:val="24"/>
        </w:rPr>
        <w:t>Regional</w:t>
      </w:r>
      <w:r>
        <w:rPr>
          <w:spacing w:val="-9"/>
          <w:sz w:val="24"/>
        </w:rPr>
        <w:t> </w:t>
      </w:r>
      <w:r>
        <w:rPr>
          <w:sz w:val="24"/>
        </w:rPr>
        <w:t>Workforce</w:t>
      </w:r>
      <w:r>
        <w:rPr>
          <w:spacing w:val="-9"/>
          <w:sz w:val="24"/>
        </w:rPr>
        <w:t> </w:t>
      </w:r>
      <w:r>
        <w:rPr>
          <w:sz w:val="24"/>
        </w:rPr>
        <w:t>&amp;</w:t>
      </w:r>
      <w:r>
        <w:rPr>
          <w:spacing w:val="-15"/>
          <w:sz w:val="24"/>
        </w:rPr>
        <w:t> </w:t>
      </w:r>
      <w:r>
        <w:rPr>
          <w:sz w:val="24"/>
        </w:rPr>
        <w:t>OD</w:t>
      </w:r>
      <w:r>
        <w:rPr>
          <w:spacing w:val="-10"/>
          <w:sz w:val="24"/>
        </w:rPr>
        <w:t> </w:t>
      </w:r>
      <w:r>
        <w:rPr>
          <w:sz w:val="24"/>
        </w:rPr>
        <w:t>Subgroup</w:t>
      </w:r>
      <w:r>
        <w:rPr>
          <w:spacing w:val="-13"/>
          <w:sz w:val="24"/>
        </w:rPr>
        <w:t> </w:t>
      </w:r>
      <w:r>
        <w:rPr>
          <w:sz w:val="24"/>
        </w:rPr>
        <w:t>Co-Chairs for approval.</w:t>
      </w:r>
    </w:p>
    <w:p>
      <w:pPr>
        <w:pStyle w:val="BodyText"/>
        <w:rPr>
          <w:sz w:val="20"/>
        </w:rPr>
      </w:pPr>
    </w:p>
    <w:p>
      <w:pPr>
        <w:pStyle w:val="BodyText"/>
        <w:spacing w:before="160"/>
        <w:rPr>
          <w:sz w:val="20"/>
        </w:rPr>
      </w:pPr>
      <w:r>
        <w:rPr>
          <w:sz w:val="20"/>
        </w:rPr>
        <mc:AlternateContent>
          <mc:Choice Requires="wps">
            <w:drawing>
              <wp:anchor distT="0" distB="0" distL="0" distR="0" allowOverlap="1" layoutInCell="1" locked="0" behindDoc="1" simplePos="0" relativeHeight="487695360">
                <wp:simplePos x="0" y="0"/>
                <wp:positionH relativeFrom="page">
                  <wp:posOffset>574992</wp:posOffset>
                </wp:positionH>
                <wp:positionV relativeFrom="paragraph">
                  <wp:posOffset>269500</wp:posOffset>
                </wp:positionV>
                <wp:extent cx="6575425" cy="194310"/>
                <wp:effectExtent l="0" t="0" r="0" b="0"/>
                <wp:wrapTopAndBottom/>
                <wp:docPr id="551" name="Textbox 551"/>
                <wp:cNvGraphicFramePr>
                  <a:graphicFrameLocks/>
                </wp:cNvGraphicFramePr>
                <a:graphic>
                  <a:graphicData uri="http://schemas.microsoft.com/office/word/2010/wordprocessingShape">
                    <wps:wsp>
                      <wps:cNvPr id="551" name="Textbox 551"/>
                      <wps:cNvSpPr txBox="1"/>
                      <wps:spPr>
                        <a:xfrm>
                          <a:off x="0" y="0"/>
                          <a:ext cx="6575425" cy="194310"/>
                        </a:xfrm>
                        <a:prstGeom prst="rect">
                          <a:avLst/>
                        </a:prstGeom>
                        <a:solidFill>
                          <a:srgbClr val="C1A875"/>
                        </a:solidFill>
                        <a:ln w="12700">
                          <a:solidFill>
                            <a:srgbClr val="394871"/>
                          </a:solidFill>
                          <a:prstDash val="solid"/>
                        </a:ln>
                      </wps:spPr>
                      <wps:txbx>
                        <w:txbxContent>
                          <w:p>
                            <w:pPr>
                              <w:tabs>
                                <w:tab w:pos="454" w:val="left" w:leader="none"/>
                              </w:tabs>
                              <w:spacing w:before="0"/>
                              <w:ind w:left="95" w:right="0" w:firstLine="0"/>
                              <w:jc w:val="left"/>
                              <w:rPr>
                                <w:b/>
                                <w:color w:val="000000"/>
                                <w:sz w:val="24"/>
                              </w:rPr>
                            </w:pPr>
                            <w:r>
                              <w:rPr>
                                <w:b/>
                                <w:color w:val="000000"/>
                                <w:spacing w:val="-10"/>
                                <w:sz w:val="24"/>
                              </w:rPr>
                              <w:t>9</w:t>
                            </w:r>
                            <w:r>
                              <w:rPr>
                                <w:b/>
                                <w:color w:val="000000"/>
                                <w:sz w:val="24"/>
                              </w:rPr>
                              <w:tab/>
                              <w:t>Frequency</w:t>
                            </w:r>
                            <w:r>
                              <w:rPr>
                                <w:b/>
                                <w:color w:val="000000"/>
                                <w:spacing w:val="-7"/>
                                <w:sz w:val="24"/>
                              </w:rPr>
                              <w:t> </w:t>
                            </w:r>
                            <w:r>
                              <w:rPr>
                                <w:b/>
                                <w:color w:val="000000"/>
                                <w:sz w:val="24"/>
                              </w:rPr>
                              <w:t>of </w:t>
                            </w:r>
                            <w:r>
                              <w:rPr>
                                <w:b/>
                                <w:color w:val="000000"/>
                                <w:spacing w:val="-2"/>
                                <w:sz w:val="24"/>
                              </w:rPr>
                              <w:t>Meetings</w:t>
                            </w:r>
                          </w:p>
                        </w:txbxContent>
                      </wps:txbx>
                      <wps:bodyPr wrap="square" lIns="0" tIns="0" rIns="0" bIns="0" rtlCol="0">
                        <a:noAutofit/>
                      </wps:bodyPr>
                    </wps:wsp>
                  </a:graphicData>
                </a:graphic>
              </wp:anchor>
            </w:drawing>
          </mc:Choice>
          <mc:Fallback>
            <w:pict>
              <v:shape style="position:absolute;margin-left:45.275002pt;margin-top:21.220528pt;width:517.75pt;height:15.3pt;mso-position-horizontal-relative:page;mso-position-vertical-relative:paragraph;z-index:-15621120;mso-wrap-distance-left:0;mso-wrap-distance-right:0" type="#_x0000_t202" id="docshape328" filled="true" fillcolor="#c1a875" stroked="true" strokeweight="1pt" strokecolor="#394871">
                <v:textbox inset="0,0,0,0">
                  <w:txbxContent>
                    <w:p>
                      <w:pPr>
                        <w:tabs>
                          <w:tab w:pos="454" w:val="left" w:leader="none"/>
                        </w:tabs>
                        <w:spacing w:before="0"/>
                        <w:ind w:left="95" w:right="0" w:firstLine="0"/>
                        <w:jc w:val="left"/>
                        <w:rPr>
                          <w:b/>
                          <w:color w:val="000000"/>
                          <w:sz w:val="24"/>
                        </w:rPr>
                      </w:pPr>
                      <w:r>
                        <w:rPr>
                          <w:b/>
                          <w:color w:val="000000"/>
                          <w:spacing w:val="-10"/>
                          <w:sz w:val="24"/>
                        </w:rPr>
                        <w:t>9</w:t>
                      </w:r>
                      <w:r>
                        <w:rPr>
                          <w:b/>
                          <w:color w:val="000000"/>
                          <w:sz w:val="24"/>
                        </w:rPr>
                        <w:tab/>
                        <w:t>Frequency</w:t>
                      </w:r>
                      <w:r>
                        <w:rPr>
                          <w:b/>
                          <w:color w:val="000000"/>
                          <w:spacing w:val="-7"/>
                          <w:sz w:val="24"/>
                        </w:rPr>
                        <w:t> </w:t>
                      </w:r>
                      <w:r>
                        <w:rPr>
                          <w:b/>
                          <w:color w:val="000000"/>
                          <w:sz w:val="24"/>
                        </w:rPr>
                        <w:t>of </w:t>
                      </w:r>
                      <w:r>
                        <w:rPr>
                          <w:b/>
                          <w:color w:val="000000"/>
                          <w:spacing w:val="-2"/>
                          <w:sz w:val="24"/>
                        </w:rPr>
                        <w:t>Meetings</w:t>
                      </w:r>
                    </w:p>
                  </w:txbxContent>
                </v:textbox>
                <v:fill type="solid"/>
                <v:stroke dashstyle="solid"/>
                <w10:wrap type="topAndBottom"/>
              </v:shape>
            </w:pict>
          </mc:Fallback>
        </mc:AlternateContent>
      </w:r>
    </w:p>
    <w:p>
      <w:pPr>
        <w:pStyle w:val="ListParagraph"/>
        <w:numPr>
          <w:ilvl w:val="1"/>
          <w:numId w:val="83"/>
        </w:numPr>
        <w:tabs>
          <w:tab w:pos="852" w:val="left" w:leader="none"/>
        </w:tabs>
        <w:spacing w:line="240" w:lineRule="auto" w:before="170" w:after="0"/>
        <w:ind w:left="852" w:right="643" w:hanging="710"/>
        <w:jc w:val="left"/>
        <w:rPr>
          <w:sz w:val="24"/>
        </w:rPr>
      </w:pPr>
      <w:r>
        <w:rPr>
          <w:sz w:val="24"/>
        </w:rPr>
        <w:t>The</w:t>
      </w:r>
      <w:r>
        <w:rPr>
          <w:spacing w:val="-10"/>
          <w:sz w:val="24"/>
        </w:rPr>
        <w:t> </w:t>
      </w:r>
      <w:r>
        <w:rPr>
          <w:sz w:val="24"/>
        </w:rPr>
        <w:t>Regional</w:t>
      </w:r>
      <w:r>
        <w:rPr>
          <w:spacing w:val="-5"/>
          <w:sz w:val="24"/>
        </w:rPr>
        <w:t> </w:t>
      </w:r>
      <w:r>
        <w:rPr>
          <w:sz w:val="24"/>
        </w:rPr>
        <w:t>Workforce</w:t>
      </w:r>
      <w:r>
        <w:rPr>
          <w:spacing w:val="-6"/>
          <w:sz w:val="24"/>
        </w:rPr>
        <w:t> </w:t>
      </w:r>
      <w:r>
        <w:rPr>
          <w:sz w:val="24"/>
        </w:rPr>
        <w:t>&amp;</w:t>
      </w:r>
      <w:r>
        <w:rPr>
          <w:spacing w:val="-12"/>
          <w:sz w:val="24"/>
        </w:rPr>
        <w:t> </w:t>
      </w:r>
      <w:r>
        <w:rPr>
          <w:sz w:val="24"/>
        </w:rPr>
        <w:t>OD</w:t>
      </w:r>
      <w:r>
        <w:rPr>
          <w:spacing w:val="-10"/>
          <w:sz w:val="24"/>
        </w:rPr>
        <w:t> </w:t>
      </w:r>
      <w:r>
        <w:rPr>
          <w:sz w:val="24"/>
        </w:rPr>
        <w:t>Subgroup</w:t>
      </w:r>
      <w:r>
        <w:rPr>
          <w:spacing w:val="-10"/>
          <w:sz w:val="24"/>
        </w:rPr>
        <w:t> </w:t>
      </w:r>
      <w:r>
        <w:rPr>
          <w:sz w:val="24"/>
        </w:rPr>
        <w:t>will</w:t>
      </w:r>
      <w:r>
        <w:rPr>
          <w:spacing w:val="-11"/>
          <w:sz w:val="24"/>
        </w:rPr>
        <w:t> </w:t>
      </w:r>
      <w:r>
        <w:rPr>
          <w:sz w:val="24"/>
        </w:rPr>
        <w:t>meet</w:t>
      </w:r>
      <w:r>
        <w:rPr>
          <w:spacing w:val="-13"/>
          <w:sz w:val="24"/>
        </w:rPr>
        <w:t> </w:t>
      </w:r>
      <w:r>
        <w:rPr>
          <w:sz w:val="24"/>
        </w:rPr>
        <w:t>monthly</w:t>
      </w:r>
      <w:r>
        <w:rPr>
          <w:spacing w:val="-11"/>
          <w:sz w:val="24"/>
        </w:rPr>
        <w:t> </w:t>
      </w:r>
      <w:r>
        <w:rPr>
          <w:sz w:val="24"/>
        </w:rPr>
        <w:t>and</w:t>
      </w:r>
      <w:r>
        <w:rPr>
          <w:spacing w:val="-6"/>
          <w:sz w:val="24"/>
        </w:rPr>
        <w:t> </w:t>
      </w:r>
      <w:r>
        <w:rPr>
          <w:sz w:val="24"/>
        </w:rPr>
        <w:t>shall</w:t>
      </w:r>
      <w:r>
        <w:rPr>
          <w:spacing w:val="-11"/>
          <w:sz w:val="24"/>
        </w:rPr>
        <w:t> </w:t>
      </w:r>
      <w:r>
        <w:rPr>
          <w:sz w:val="24"/>
        </w:rPr>
        <w:t>agree</w:t>
      </w:r>
      <w:r>
        <w:rPr>
          <w:spacing w:val="-11"/>
          <w:sz w:val="24"/>
        </w:rPr>
        <w:t> </w:t>
      </w:r>
      <w:r>
        <w:rPr>
          <w:sz w:val="24"/>
        </w:rPr>
        <w:t>an</w:t>
      </w:r>
      <w:r>
        <w:rPr>
          <w:spacing w:val="-11"/>
          <w:sz w:val="24"/>
        </w:rPr>
        <w:t> </w:t>
      </w:r>
      <w:r>
        <w:rPr>
          <w:sz w:val="24"/>
        </w:rPr>
        <w:t>annual </w:t>
      </w:r>
      <w:r>
        <w:rPr>
          <w:spacing w:val="-2"/>
          <w:sz w:val="24"/>
        </w:rPr>
        <w:t>schedule</w:t>
      </w:r>
      <w:r>
        <w:rPr>
          <w:spacing w:val="-11"/>
          <w:sz w:val="24"/>
        </w:rPr>
        <w:t> </w:t>
      </w:r>
      <w:r>
        <w:rPr>
          <w:spacing w:val="-2"/>
          <w:sz w:val="24"/>
        </w:rPr>
        <w:t>of</w:t>
      </w:r>
      <w:r>
        <w:rPr>
          <w:spacing w:val="-13"/>
          <w:sz w:val="24"/>
        </w:rPr>
        <w:t> </w:t>
      </w:r>
      <w:r>
        <w:rPr>
          <w:spacing w:val="-2"/>
          <w:sz w:val="24"/>
        </w:rPr>
        <w:t>meetings.</w:t>
      </w:r>
      <w:r>
        <w:rPr>
          <w:spacing w:val="40"/>
          <w:sz w:val="24"/>
        </w:rPr>
        <w:t> </w:t>
      </w:r>
      <w:r>
        <w:rPr>
          <w:spacing w:val="-2"/>
          <w:sz w:val="24"/>
        </w:rPr>
        <w:t>Any</w:t>
      </w:r>
      <w:r>
        <w:rPr>
          <w:spacing w:val="-11"/>
          <w:sz w:val="24"/>
        </w:rPr>
        <w:t> </w:t>
      </w:r>
      <w:r>
        <w:rPr>
          <w:spacing w:val="-2"/>
          <w:sz w:val="24"/>
        </w:rPr>
        <w:t>additional</w:t>
      </w:r>
      <w:r>
        <w:rPr>
          <w:spacing w:val="-10"/>
          <w:sz w:val="24"/>
        </w:rPr>
        <w:t> </w:t>
      </w:r>
      <w:r>
        <w:rPr>
          <w:spacing w:val="-2"/>
          <w:sz w:val="24"/>
        </w:rPr>
        <w:t>meetings</w:t>
      </w:r>
      <w:r>
        <w:rPr>
          <w:spacing w:val="-15"/>
          <w:sz w:val="24"/>
        </w:rPr>
        <w:t> </w:t>
      </w:r>
      <w:r>
        <w:rPr>
          <w:spacing w:val="-2"/>
          <w:sz w:val="24"/>
        </w:rPr>
        <w:t>will</w:t>
      </w:r>
      <w:r>
        <w:rPr>
          <w:spacing w:val="-15"/>
          <w:sz w:val="24"/>
        </w:rPr>
        <w:t> </w:t>
      </w:r>
      <w:r>
        <w:rPr>
          <w:spacing w:val="-2"/>
          <w:sz w:val="24"/>
        </w:rPr>
        <w:t>be</w:t>
      </w:r>
      <w:r>
        <w:rPr>
          <w:spacing w:val="-10"/>
          <w:sz w:val="24"/>
        </w:rPr>
        <w:t> </w:t>
      </w:r>
      <w:r>
        <w:rPr>
          <w:spacing w:val="-2"/>
          <w:sz w:val="24"/>
        </w:rPr>
        <w:t>arranged</w:t>
      </w:r>
      <w:r>
        <w:rPr>
          <w:spacing w:val="-10"/>
          <w:sz w:val="24"/>
        </w:rPr>
        <w:t> </w:t>
      </w:r>
      <w:r>
        <w:rPr>
          <w:spacing w:val="-2"/>
          <w:sz w:val="24"/>
        </w:rPr>
        <w:t>as</w:t>
      </w:r>
      <w:r>
        <w:rPr>
          <w:spacing w:val="-11"/>
          <w:sz w:val="24"/>
        </w:rPr>
        <w:t> </w:t>
      </w:r>
      <w:r>
        <w:rPr>
          <w:spacing w:val="-2"/>
          <w:sz w:val="24"/>
        </w:rPr>
        <w:t>determined</w:t>
      </w:r>
      <w:r>
        <w:rPr>
          <w:spacing w:val="-10"/>
          <w:sz w:val="24"/>
        </w:rPr>
        <w:t> </w:t>
      </w:r>
      <w:r>
        <w:rPr>
          <w:spacing w:val="-2"/>
          <w:sz w:val="24"/>
        </w:rPr>
        <w:t>by</w:t>
      </w:r>
      <w:r>
        <w:rPr>
          <w:spacing w:val="-11"/>
          <w:sz w:val="24"/>
        </w:rPr>
        <w:t> </w:t>
      </w:r>
      <w:r>
        <w:rPr>
          <w:spacing w:val="-2"/>
          <w:sz w:val="24"/>
        </w:rPr>
        <w:t>the</w:t>
      </w:r>
      <w:r>
        <w:rPr>
          <w:spacing w:val="-7"/>
          <w:sz w:val="24"/>
        </w:rPr>
        <w:t> </w:t>
      </w:r>
      <w:r>
        <w:rPr>
          <w:spacing w:val="-2"/>
          <w:sz w:val="24"/>
        </w:rPr>
        <w:t>Co-</w:t>
      </w:r>
      <w:r>
        <w:rPr>
          <w:sz w:val="24"/>
        </w:rPr>
        <w:t>Chairs</w:t>
      </w:r>
      <w:r>
        <w:rPr>
          <w:spacing w:val="-2"/>
          <w:sz w:val="24"/>
        </w:rPr>
        <w:t> </w:t>
      </w:r>
      <w:r>
        <w:rPr>
          <w:sz w:val="24"/>
        </w:rPr>
        <w:t>of</w:t>
      </w:r>
      <w:r>
        <w:rPr>
          <w:spacing w:val="-4"/>
          <w:sz w:val="24"/>
        </w:rPr>
        <w:t> </w:t>
      </w:r>
      <w:r>
        <w:rPr>
          <w:sz w:val="24"/>
        </w:rPr>
        <w:t>the Regional</w:t>
      </w:r>
      <w:r>
        <w:rPr>
          <w:spacing w:val="-1"/>
          <w:sz w:val="24"/>
        </w:rPr>
        <w:t> </w:t>
      </w:r>
      <w:r>
        <w:rPr>
          <w:sz w:val="24"/>
        </w:rPr>
        <w:t>Workforce</w:t>
      </w:r>
      <w:r>
        <w:rPr>
          <w:spacing w:val="-1"/>
          <w:sz w:val="24"/>
        </w:rPr>
        <w:t> </w:t>
      </w:r>
      <w:r>
        <w:rPr>
          <w:sz w:val="24"/>
        </w:rPr>
        <w:t>&amp;</w:t>
      </w:r>
      <w:r>
        <w:rPr>
          <w:spacing w:val="-2"/>
          <w:sz w:val="24"/>
        </w:rPr>
        <w:t> </w:t>
      </w:r>
      <w:r>
        <w:rPr>
          <w:sz w:val="24"/>
        </w:rPr>
        <w:t>OD Subgroup.</w:t>
      </w:r>
    </w:p>
    <w:p>
      <w:pPr>
        <w:pStyle w:val="ListParagraph"/>
        <w:numPr>
          <w:ilvl w:val="1"/>
          <w:numId w:val="83"/>
        </w:numPr>
        <w:tabs>
          <w:tab w:pos="852" w:val="left" w:leader="none"/>
        </w:tabs>
        <w:spacing w:line="240" w:lineRule="auto" w:before="162" w:after="0"/>
        <w:ind w:left="852" w:right="531" w:hanging="710"/>
        <w:jc w:val="left"/>
        <w:rPr>
          <w:sz w:val="24"/>
        </w:rPr>
      </w:pPr>
      <w:r>
        <w:rPr>
          <w:spacing w:val="-2"/>
          <w:sz w:val="24"/>
        </w:rPr>
        <w:t>The</w:t>
      </w:r>
      <w:r>
        <w:rPr>
          <w:spacing w:val="-11"/>
          <w:sz w:val="24"/>
        </w:rPr>
        <w:t> </w:t>
      </w:r>
      <w:r>
        <w:rPr>
          <w:spacing w:val="-2"/>
          <w:sz w:val="24"/>
        </w:rPr>
        <w:t>Co-Chairs</w:t>
      </w:r>
      <w:r>
        <w:rPr>
          <w:spacing w:val="-13"/>
          <w:sz w:val="24"/>
        </w:rPr>
        <w:t> </w:t>
      </w:r>
      <w:r>
        <w:rPr>
          <w:spacing w:val="-2"/>
          <w:sz w:val="24"/>
        </w:rPr>
        <w:t>of</w:t>
      </w:r>
      <w:r>
        <w:rPr>
          <w:spacing w:val="-15"/>
          <w:sz w:val="24"/>
        </w:rPr>
        <w:t> </w:t>
      </w:r>
      <w:r>
        <w:rPr>
          <w:spacing w:val="-2"/>
          <w:sz w:val="24"/>
        </w:rPr>
        <w:t>the</w:t>
      </w:r>
      <w:r>
        <w:rPr>
          <w:spacing w:val="-15"/>
          <w:sz w:val="24"/>
        </w:rPr>
        <w:t> </w:t>
      </w:r>
      <w:r>
        <w:rPr>
          <w:spacing w:val="-2"/>
          <w:sz w:val="24"/>
        </w:rPr>
        <w:t>Regional</w:t>
      </w:r>
      <w:r>
        <w:rPr>
          <w:spacing w:val="-10"/>
          <w:sz w:val="24"/>
        </w:rPr>
        <w:t> </w:t>
      </w:r>
      <w:r>
        <w:rPr>
          <w:spacing w:val="-2"/>
          <w:sz w:val="24"/>
        </w:rPr>
        <w:t>Workforce</w:t>
      </w:r>
      <w:r>
        <w:rPr>
          <w:spacing w:val="-12"/>
          <w:sz w:val="24"/>
        </w:rPr>
        <w:t> </w:t>
      </w:r>
      <w:r>
        <w:rPr>
          <w:spacing w:val="-2"/>
          <w:sz w:val="24"/>
        </w:rPr>
        <w:t>&amp;</w:t>
      </w:r>
      <w:r>
        <w:rPr>
          <w:spacing w:val="-8"/>
          <w:sz w:val="24"/>
        </w:rPr>
        <w:t> </w:t>
      </w:r>
      <w:r>
        <w:rPr>
          <w:spacing w:val="-2"/>
          <w:sz w:val="24"/>
        </w:rPr>
        <w:t>OD</w:t>
      </w:r>
      <w:r>
        <w:rPr>
          <w:spacing w:val="-10"/>
          <w:sz w:val="24"/>
        </w:rPr>
        <w:t> </w:t>
      </w:r>
      <w:r>
        <w:rPr>
          <w:spacing w:val="-2"/>
          <w:sz w:val="24"/>
        </w:rPr>
        <w:t>Subgroup</w:t>
      </w:r>
      <w:r>
        <w:rPr>
          <w:spacing w:val="-7"/>
          <w:sz w:val="24"/>
        </w:rPr>
        <w:t> </w:t>
      </w:r>
      <w:r>
        <w:rPr>
          <w:spacing w:val="-2"/>
          <w:sz w:val="24"/>
        </w:rPr>
        <w:t>shall</w:t>
      </w:r>
      <w:r>
        <w:rPr>
          <w:spacing w:val="-12"/>
          <w:sz w:val="24"/>
        </w:rPr>
        <w:t> </w:t>
      </w:r>
      <w:r>
        <w:rPr>
          <w:spacing w:val="-2"/>
          <w:sz w:val="24"/>
        </w:rPr>
        <w:t>determine</w:t>
      </w:r>
      <w:r>
        <w:rPr>
          <w:spacing w:val="-12"/>
          <w:sz w:val="24"/>
        </w:rPr>
        <w:t> </w:t>
      </w:r>
      <w:r>
        <w:rPr>
          <w:spacing w:val="-2"/>
          <w:sz w:val="24"/>
        </w:rPr>
        <w:t>the</w:t>
      </w:r>
      <w:r>
        <w:rPr>
          <w:spacing w:val="-7"/>
          <w:sz w:val="24"/>
        </w:rPr>
        <w:t> </w:t>
      </w:r>
      <w:r>
        <w:rPr>
          <w:spacing w:val="-2"/>
          <w:sz w:val="24"/>
        </w:rPr>
        <w:t>time</w:t>
      </w:r>
      <w:r>
        <w:rPr>
          <w:spacing w:val="-12"/>
          <w:sz w:val="24"/>
        </w:rPr>
        <w:t> </w:t>
      </w:r>
      <w:r>
        <w:rPr>
          <w:spacing w:val="-2"/>
          <w:sz w:val="24"/>
        </w:rPr>
        <w:t>and</w:t>
      </w:r>
      <w:r>
        <w:rPr>
          <w:spacing w:val="-7"/>
          <w:sz w:val="24"/>
        </w:rPr>
        <w:t> </w:t>
      </w:r>
      <w:r>
        <w:rPr>
          <w:spacing w:val="-2"/>
          <w:sz w:val="24"/>
        </w:rPr>
        <w:t>the </w:t>
      </w:r>
      <w:r>
        <w:rPr>
          <w:sz w:val="24"/>
        </w:rPr>
        <w:t>place</w:t>
      </w:r>
      <w:r>
        <w:rPr>
          <w:spacing w:val="-9"/>
          <w:sz w:val="24"/>
        </w:rPr>
        <w:t> </w:t>
      </w:r>
      <w:r>
        <w:rPr>
          <w:sz w:val="24"/>
        </w:rPr>
        <w:t>of</w:t>
      </w:r>
      <w:r>
        <w:rPr>
          <w:spacing w:val="-12"/>
          <w:sz w:val="24"/>
        </w:rPr>
        <w:t> </w:t>
      </w:r>
      <w:r>
        <w:rPr>
          <w:sz w:val="24"/>
        </w:rPr>
        <w:t>meetings</w:t>
      </w:r>
      <w:r>
        <w:rPr>
          <w:spacing w:val="-10"/>
          <w:sz w:val="24"/>
        </w:rPr>
        <w:t> </w:t>
      </w:r>
      <w:r>
        <w:rPr>
          <w:sz w:val="24"/>
        </w:rPr>
        <w:t>of</w:t>
      </w:r>
      <w:r>
        <w:rPr>
          <w:spacing w:val="-12"/>
          <w:sz w:val="24"/>
        </w:rPr>
        <w:t> </w:t>
      </w:r>
      <w:r>
        <w:rPr>
          <w:sz w:val="24"/>
        </w:rPr>
        <w:t>the</w:t>
      </w:r>
      <w:r>
        <w:rPr>
          <w:spacing w:val="-7"/>
          <w:sz w:val="24"/>
        </w:rPr>
        <w:t> </w:t>
      </w:r>
      <w:r>
        <w:rPr>
          <w:sz w:val="24"/>
        </w:rPr>
        <w:t>Regional</w:t>
      </w:r>
      <w:r>
        <w:rPr>
          <w:spacing w:val="-9"/>
          <w:sz w:val="24"/>
        </w:rPr>
        <w:t> </w:t>
      </w:r>
      <w:r>
        <w:rPr>
          <w:sz w:val="24"/>
        </w:rPr>
        <w:t>Workforce</w:t>
      </w:r>
      <w:r>
        <w:rPr>
          <w:spacing w:val="-9"/>
          <w:sz w:val="24"/>
        </w:rPr>
        <w:t> </w:t>
      </w:r>
      <w:r>
        <w:rPr>
          <w:sz w:val="24"/>
        </w:rPr>
        <w:t>&amp;</w:t>
      </w:r>
      <w:r>
        <w:rPr>
          <w:spacing w:val="-10"/>
          <w:sz w:val="24"/>
        </w:rPr>
        <w:t> </w:t>
      </w:r>
      <w:r>
        <w:rPr>
          <w:sz w:val="24"/>
        </w:rPr>
        <w:t>OD</w:t>
      </w:r>
      <w:r>
        <w:rPr>
          <w:spacing w:val="-13"/>
          <w:sz w:val="24"/>
        </w:rPr>
        <w:t> </w:t>
      </w:r>
      <w:r>
        <w:rPr>
          <w:sz w:val="24"/>
        </w:rPr>
        <w:t>Subgroup</w:t>
      </w:r>
      <w:r>
        <w:rPr>
          <w:spacing w:val="-8"/>
          <w:sz w:val="24"/>
        </w:rPr>
        <w:t> </w:t>
      </w:r>
      <w:r>
        <w:rPr>
          <w:sz w:val="24"/>
        </w:rPr>
        <w:t>and</w:t>
      </w:r>
      <w:r>
        <w:rPr>
          <w:spacing w:val="-9"/>
          <w:sz w:val="24"/>
        </w:rPr>
        <w:t> </w:t>
      </w:r>
      <w:r>
        <w:rPr>
          <w:sz w:val="24"/>
        </w:rPr>
        <w:t>procedures</w:t>
      </w:r>
      <w:r>
        <w:rPr>
          <w:spacing w:val="-10"/>
          <w:sz w:val="24"/>
        </w:rPr>
        <w:t> </w:t>
      </w:r>
      <w:r>
        <w:rPr>
          <w:sz w:val="24"/>
        </w:rPr>
        <w:t>of</w:t>
      </w:r>
      <w:r>
        <w:rPr>
          <w:spacing w:val="-12"/>
          <w:sz w:val="24"/>
        </w:rPr>
        <w:t> </w:t>
      </w:r>
      <w:r>
        <w:rPr>
          <w:sz w:val="24"/>
        </w:rPr>
        <w:t>such </w:t>
      </w:r>
      <w:r>
        <w:rPr>
          <w:spacing w:val="-2"/>
          <w:sz w:val="24"/>
        </w:rPr>
        <w:t>meetings.</w:t>
      </w:r>
    </w:p>
    <w:p>
      <w:pPr>
        <w:pStyle w:val="BodyText"/>
        <w:spacing w:before="4"/>
        <w:rPr>
          <w:sz w:val="16"/>
        </w:rPr>
      </w:pPr>
      <w:r>
        <w:rPr>
          <w:sz w:val="16"/>
        </w:rPr>
        <mc:AlternateContent>
          <mc:Choice Requires="wps">
            <w:drawing>
              <wp:anchor distT="0" distB="0" distL="0" distR="0" allowOverlap="1" layoutInCell="1" locked="0" behindDoc="1" simplePos="0" relativeHeight="487695872">
                <wp:simplePos x="0" y="0"/>
                <wp:positionH relativeFrom="page">
                  <wp:posOffset>574992</wp:posOffset>
                </wp:positionH>
                <wp:positionV relativeFrom="paragraph">
                  <wp:posOffset>141440</wp:posOffset>
                </wp:positionV>
                <wp:extent cx="6575425" cy="193675"/>
                <wp:effectExtent l="0" t="0" r="0" b="0"/>
                <wp:wrapTopAndBottom/>
                <wp:docPr id="552" name="Textbox 552"/>
                <wp:cNvGraphicFramePr>
                  <a:graphicFrameLocks/>
                </wp:cNvGraphicFramePr>
                <a:graphic>
                  <a:graphicData uri="http://schemas.microsoft.com/office/word/2010/wordprocessingShape">
                    <wps:wsp>
                      <wps:cNvPr id="552" name="Textbox 552"/>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10</w:t>
                            </w:r>
                            <w:r>
                              <w:rPr>
                                <w:b/>
                                <w:color w:val="000000"/>
                                <w:spacing w:val="19"/>
                                <w:sz w:val="24"/>
                              </w:rPr>
                              <w:t> </w:t>
                            </w:r>
                            <w:r>
                              <w:rPr>
                                <w:b/>
                                <w:color w:val="000000"/>
                                <w:sz w:val="24"/>
                              </w:rPr>
                              <w:t>Accountability,</w:t>
                            </w:r>
                            <w:r>
                              <w:rPr>
                                <w:b/>
                                <w:color w:val="000000"/>
                                <w:spacing w:val="-7"/>
                                <w:sz w:val="24"/>
                              </w:rPr>
                              <w:t> </w:t>
                            </w:r>
                            <w:r>
                              <w:rPr>
                                <w:b/>
                                <w:color w:val="000000"/>
                                <w:sz w:val="24"/>
                              </w:rPr>
                              <w:t>Responsibility</w:t>
                            </w:r>
                            <w:r>
                              <w:rPr>
                                <w:b/>
                                <w:color w:val="000000"/>
                                <w:spacing w:val="-4"/>
                                <w:sz w:val="24"/>
                              </w:rPr>
                              <w:t> </w:t>
                            </w:r>
                            <w:r>
                              <w:rPr>
                                <w:b/>
                                <w:color w:val="000000"/>
                                <w:sz w:val="24"/>
                              </w:rPr>
                              <w:t>and</w:t>
                            </w:r>
                            <w:r>
                              <w:rPr>
                                <w:b/>
                                <w:color w:val="000000"/>
                                <w:spacing w:val="-7"/>
                                <w:sz w:val="24"/>
                              </w:rPr>
                              <w:t> </w:t>
                            </w:r>
                            <w:r>
                              <w:rPr>
                                <w:b/>
                                <w:color w:val="000000"/>
                                <w:spacing w:val="-2"/>
                                <w:sz w:val="24"/>
                              </w:rPr>
                              <w:t>Authority</w:t>
                            </w:r>
                          </w:p>
                        </w:txbxContent>
                      </wps:txbx>
                      <wps:bodyPr wrap="square" lIns="0" tIns="0" rIns="0" bIns="0" rtlCol="0">
                        <a:noAutofit/>
                      </wps:bodyPr>
                    </wps:wsp>
                  </a:graphicData>
                </a:graphic>
              </wp:anchor>
            </w:drawing>
          </mc:Choice>
          <mc:Fallback>
            <w:pict>
              <v:shape style="position:absolute;margin-left:45.275002pt;margin-top:11.137032pt;width:517.75pt;height:15.25pt;mso-position-horizontal-relative:page;mso-position-vertical-relative:paragraph;z-index:-15620608;mso-wrap-distance-left:0;mso-wrap-distance-right:0" type="#_x0000_t202" id="docshape329" filled="true" fillcolor="#c1a875" stroked="true" strokeweight="1pt" strokecolor="#394871">
                <v:textbox inset="0,0,0,0">
                  <w:txbxContent>
                    <w:p>
                      <w:pPr>
                        <w:spacing w:before="0"/>
                        <w:ind w:left="95" w:right="0" w:firstLine="0"/>
                        <w:jc w:val="left"/>
                        <w:rPr>
                          <w:b/>
                          <w:color w:val="000000"/>
                          <w:sz w:val="24"/>
                        </w:rPr>
                      </w:pPr>
                      <w:r>
                        <w:rPr>
                          <w:b/>
                          <w:color w:val="000000"/>
                          <w:sz w:val="24"/>
                        </w:rPr>
                        <w:t>10</w:t>
                      </w:r>
                      <w:r>
                        <w:rPr>
                          <w:b/>
                          <w:color w:val="000000"/>
                          <w:spacing w:val="19"/>
                          <w:sz w:val="24"/>
                        </w:rPr>
                        <w:t> </w:t>
                      </w:r>
                      <w:r>
                        <w:rPr>
                          <w:b/>
                          <w:color w:val="000000"/>
                          <w:sz w:val="24"/>
                        </w:rPr>
                        <w:t>Accountability,</w:t>
                      </w:r>
                      <w:r>
                        <w:rPr>
                          <w:b/>
                          <w:color w:val="000000"/>
                          <w:spacing w:val="-7"/>
                          <w:sz w:val="24"/>
                        </w:rPr>
                        <w:t> </w:t>
                      </w:r>
                      <w:r>
                        <w:rPr>
                          <w:b/>
                          <w:color w:val="000000"/>
                          <w:sz w:val="24"/>
                        </w:rPr>
                        <w:t>Responsibility</w:t>
                      </w:r>
                      <w:r>
                        <w:rPr>
                          <w:b/>
                          <w:color w:val="000000"/>
                          <w:spacing w:val="-4"/>
                          <w:sz w:val="24"/>
                        </w:rPr>
                        <w:t> </w:t>
                      </w:r>
                      <w:r>
                        <w:rPr>
                          <w:b/>
                          <w:color w:val="000000"/>
                          <w:sz w:val="24"/>
                        </w:rPr>
                        <w:t>and</w:t>
                      </w:r>
                      <w:r>
                        <w:rPr>
                          <w:b/>
                          <w:color w:val="000000"/>
                          <w:spacing w:val="-7"/>
                          <w:sz w:val="24"/>
                        </w:rPr>
                        <w:t> </w:t>
                      </w:r>
                      <w:r>
                        <w:rPr>
                          <w:b/>
                          <w:color w:val="000000"/>
                          <w:spacing w:val="-2"/>
                          <w:sz w:val="24"/>
                        </w:rPr>
                        <w:t>Authority</w:t>
                      </w:r>
                    </w:p>
                  </w:txbxContent>
                </v:textbox>
                <v:fill type="solid"/>
                <v:stroke dashstyle="solid"/>
                <w10:wrap type="topAndBottom"/>
              </v:shape>
            </w:pict>
          </mc:Fallback>
        </mc:AlternateContent>
      </w:r>
    </w:p>
    <w:p>
      <w:pPr>
        <w:pStyle w:val="ListParagraph"/>
        <w:numPr>
          <w:ilvl w:val="1"/>
          <w:numId w:val="84"/>
        </w:numPr>
        <w:tabs>
          <w:tab w:pos="852" w:val="left" w:leader="none"/>
        </w:tabs>
        <w:spacing w:line="242" w:lineRule="auto" w:before="169" w:after="0"/>
        <w:ind w:left="852" w:right="590" w:hanging="710"/>
        <w:jc w:val="left"/>
        <w:rPr>
          <w:sz w:val="24"/>
        </w:rPr>
      </w:pPr>
      <w:r>
        <w:rPr>
          <w:sz w:val="24"/>
        </w:rPr>
        <w:t>The</w:t>
      </w:r>
      <w:r>
        <w:rPr>
          <w:spacing w:val="-8"/>
          <w:sz w:val="24"/>
        </w:rPr>
        <w:t> </w:t>
      </w:r>
      <w:r>
        <w:rPr>
          <w:sz w:val="24"/>
        </w:rPr>
        <w:t>Regional</w:t>
      </w:r>
      <w:r>
        <w:rPr>
          <w:spacing w:val="-4"/>
          <w:sz w:val="24"/>
        </w:rPr>
        <w:t> </w:t>
      </w:r>
      <w:r>
        <w:rPr>
          <w:sz w:val="24"/>
        </w:rPr>
        <w:t>Workforce</w:t>
      </w:r>
      <w:r>
        <w:rPr>
          <w:spacing w:val="-5"/>
          <w:sz w:val="24"/>
        </w:rPr>
        <w:t> </w:t>
      </w:r>
      <w:r>
        <w:rPr>
          <w:sz w:val="24"/>
        </w:rPr>
        <w:t>&amp;</w:t>
      </w:r>
      <w:r>
        <w:rPr>
          <w:spacing w:val="-10"/>
          <w:sz w:val="24"/>
        </w:rPr>
        <w:t> </w:t>
      </w:r>
      <w:r>
        <w:rPr>
          <w:sz w:val="24"/>
        </w:rPr>
        <w:t>OD</w:t>
      </w:r>
      <w:r>
        <w:rPr>
          <w:spacing w:val="-8"/>
          <w:sz w:val="24"/>
        </w:rPr>
        <w:t> </w:t>
      </w:r>
      <w:r>
        <w:rPr>
          <w:sz w:val="24"/>
        </w:rPr>
        <w:t>Subgroup</w:t>
      </w:r>
      <w:r>
        <w:rPr>
          <w:spacing w:val="-8"/>
          <w:sz w:val="24"/>
        </w:rPr>
        <w:t> </w:t>
      </w:r>
      <w:r>
        <w:rPr>
          <w:sz w:val="24"/>
        </w:rPr>
        <w:t>will</w:t>
      </w:r>
      <w:r>
        <w:rPr>
          <w:spacing w:val="-9"/>
          <w:sz w:val="24"/>
        </w:rPr>
        <w:t> </w:t>
      </w:r>
      <w:r>
        <w:rPr>
          <w:sz w:val="24"/>
        </w:rPr>
        <w:t>be</w:t>
      </w:r>
      <w:r>
        <w:rPr>
          <w:spacing w:val="-5"/>
          <w:sz w:val="24"/>
        </w:rPr>
        <w:t> </w:t>
      </w:r>
      <w:r>
        <w:rPr>
          <w:sz w:val="24"/>
        </w:rPr>
        <w:t>accountable</w:t>
      </w:r>
      <w:r>
        <w:rPr>
          <w:spacing w:val="-5"/>
          <w:sz w:val="24"/>
        </w:rPr>
        <w:t> </w:t>
      </w:r>
      <w:r>
        <w:rPr>
          <w:sz w:val="24"/>
        </w:rPr>
        <w:t>to</w:t>
      </w:r>
      <w:r>
        <w:rPr>
          <w:spacing w:val="-9"/>
          <w:sz w:val="24"/>
        </w:rPr>
        <w:t> </w:t>
      </w:r>
      <w:r>
        <w:rPr>
          <w:sz w:val="24"/>
        </w:rPr>
        <w:t>the</w:t>
      </w:r>
      <w:r>
        <w:rPr>
          <w:spacing w:val="-12"/>
          <w:sz w:val="24"/>
        </w:rPr>
        <w:t> </w:t>
      </w:r>
      <w:r>
        <w:rPr>
          <w:sz w:val="24"/>
        </w:rPr>
        <w:t>RJC</w:t>
      </w:r>
      <w:r>
        <w:rPr>
          <w:spacing w:val="-8"/>
          <w:sz w:val="24"/>
        </w:rPr>
        <w:t> </w:t>
      </w:r>
      <w:r>
        <w:rPr>
          <w:sz w:val="24"/>
        </w:rPr>
        <w:t>for</w:t>
      </w:r>
      <w:r>
        <w:rPr>
          <w:spacing w:val="-10"/>
          <w:sz w:val="24"/>
        </w:rPr>
        <w:t> </w:t>
      </w:r>
      <w:r>
        <w:rPr>
          <w:sz w:val="24"/>
        </w:rPr>
        <w:t>its </w:t>
      </w:r>
      <w:r>
        <w:rPr>
          <w:spacing w:val="-2"/>
          <w:sz w:val="24"/>
        </w:rPr>
        <w:t>performance</w:t>
      </w:r>
      <w:r>
        <w:rPr>
          <w:spacing w:val="-12"/>
          <w:sz w:val="24"/>
        </w:rPr>
        <w:t> </w:t>
      </w:r>
      <w:r>
        <w:rPr>
          <w:spacing w:val="-2"/>
          <w:sz w:val="24"/>
        </w:rPr>
        <w:t>in</w:t>
      </w:r>
      <w:r>
        <w:rPr>
          <w:spacing w:val="-11"/>
          <w:sz w:val="24"/>
        </w:rPr>
        <w:t> </w:t>
      </w:r>
      <w:r>
        <w:rPr>
          <w:spacing w:val="-2"/>
          <w:sz w:val="24"/>
        </w:rPr>
        <w:t>exercising</w:t>
      </w:r>
      <w:r>
        <w:rPr>
          <w:spacing w:val="-11"/>
          <w:sz w:val="24"/>
        </w:rPr>
        <w:t> </w:t>
      </w:r>
      <w:r>
        <w:rPr>
          <w:spacing w:val="-2"/>
          <w:sz w:val="24"/>
        </w:rPr>
        <w:t>the</w:t>
      </w:r>
      <w:r>
        <w:rPr>
          <w:spacing w:val="-6"/>
          <w:sz w:val="24"/>
        </w:rPr>
        <w:t> </w:t>
      </w:r>
      <w:r>
        <w:rPr>
          <w:spacing w:val="-2"/>
          <w:sz w:val="24"/>
        </w:rPr>
        <w:t>functions</w:t>
      </w:r>
      <w:r>
        <w:rPr>
          <w:spacing w:val="-12"/>
          <w:sz w:val="24"/>
        </w:rPr>
        <w:t> </w:t>
      </w:r>
      <w:r>
        <w:rPr>
          <w:spacing w:val="-2"/>
          <w:sz w:val="24"/>
        </w:rPr>
        <w:t>set</w:t>
      </w:r>
      <w:r>
        <w:rPr>
          <w:spacing w:val="-14"/>
          <w:sz w:val="24"/>
        </w:rPr>
        <w:t> </w:t>
      </w:r>
      <w:r>
        <w:rPr>
          <w:spacing w:val="-2"/>
          <w:sz w:val="24"/>
        </w:rPr>
        <w:t>out</w:t>
      </w:r>
      <w:r>
        <w:rPr>
          <w:spacing w:val="-14"/>
          <w:sz w:val="24"/>
        </w:rPr>
        <w:t> </w:t>
      </w:r>
      <w:r>
        <w:rPr>
          <w:spacing w:val="-2"/>
          <w:sz w:val="24"/>
        </w:rPr>
        <w:t>in</w:t>
      </w:r>
      <w:r>
        <w:rPr>
          <w:spacing w:val="-11"/>
          <w:sz w:val="24"/>
        </w:rPr>
        <w:t> </w:t>
      </w:r>
      <w:r>
        <w:rPr>
          <w:spacing w:val="-2"/>
          <w:sz w:val="24"/>
        </w:rPr>
        <w:t>these</w:t>
      </w:r>
      <w:r>
        <w:rPr>
          <w:spacing w:val="-6"/>
          <w:sz w:val="24"/>
        </w:rPr>
        <w:t> </w:t>
      </w:r>
      <w:r>
        <w:rPr>
          <w:spacing w:val="-2"/>
          <w:sz w:val="24"/>
        </w:rPr>
        <w:t>terms</w:t>
      </w:r>
      <w:r>
        <w:rPr>
          <w:spacing w:val="-12"/>
          <w:sz w:val="24"/>
        </w:rPr>
        <w:t> </w:t>
      </w:r>
      <w:r>
        <w:rPr>
          <w:spacing w:val="-2"/>
          <w:sz w:val="24"/>
        </w:rPr>
        <w:t>of</w:t>
      </w:r>
      <w:r>
        <w:rPr>
          <w:spacing w:val="-9"/>
          <w:sz w:val="24"/>
        </w:rPr>
        <w:t> </w:t>
      </w:r>
      <w:r>
        <w:rPr>
          <w:spacing w:val="-2"/>
          <w:sz w:val="24"/>
        </w:rPr>
        <w:t>reference</w:t>
      </w:r>
      <w:r>
        <w:rPr>
          <w:spacing w:val="-15"/>
          <w:sz w:val="24"/>
        </w:rPr>
        <w:t> </w:t>
      </w:r>
      <w:r>
        <w:rPr>
          <w:spacing w:val="-2"/>
          <w:sz w:val="24"/>
        </w:rPr>
        <w:t>and</w:t>
      </w:r>
      <w:r>
        <w:rPr>
          <w:spacing w:val="-15"/>
          <w:sz w:val="24"/>
        </w:rPr>
        <w:t> </w:t>
      </w:r>
      <w:r>
        <w:rPr>
          <w:spacing w:val="-2"/>
          <w:sz w:val="24"/>
        </w:rPr>
        <w:t>will</w:t>
      </w:r>
      <w:r>
        <w:rPr>
          <w:spacing w:val="-14"/>
          <w:sz w:val="24"/>
        </w:rPr>
        <w:t> </w:t>
      </w:r>
      <w:r>
        <w:rPr>
          <w:spacing w:val="-2"/>
          <w:sz w:val="24"/>
        </w:rPr>
        <w:t>provide </w:t>
      </w:r>
      <w:r>
        <w:rPr>
          <w:sz w:val="24"/>
        </w:rPr>
        <w:t>assurance</w:t>
      </w:r>
      <w:r>
        <w:rPr>
          <w:spacing w:val="-8"/>
          <w:sz w:val="24"/>
        </w:rPr>
        <w:t> </w:t>
      </w:r>
      <w:r>
        <w:rPr>
          <w:sz w:val="24"/>
        </w:rPr>
        <w:t>on</w:t>
      </w:r>
      <w:r>
        <w:rPr>
          <w:spacing w:val="-8"/>
          <w:sz w:val="24"/>
        </w:rPr>
        <w:t> </w:t>
      </w:r>
      <w:r>
        <w:rPr>
          <w:sz w:val="24"/>
        </w:rPr>
        <w:t>delivery</w:t>
      </w:r>
      <w:r>
        <w:rPr>
          <w:spacing w:val="-9"/>
          <w:sz w:val="24"/>
        </w:rPr>
        <w:t> </w:t>
      </w:r>
      <w:r>
        <w:rPr>
          <w:sz w:val="24"/>
        </w:rPr>
        <w:t>of</w:t>
      </w:r>
      <w:r>
        <w:rPr>
          <w:spacing w:val="-11"/>
          <w:sz w:val="24"/>
        </w:rPr>
        <w:t> </w:t>
      </w:r>
      <w:r>
        <w:rPr>
          <w:sz w:val="24"/>
        </w:rPr>
        <w:t>the</w:t>
      </w:r>
      <w:r>
        <w:rPr>
          <w:spacing w:val="-13"/>
          <w:sz w:val="24"/>
        </w:rPr>
        <w:t> </w:t>
      </w:r>
      <w:r>
        <w:rPr>
          <w:sz w:val="24"/>
        </w:rPr>
        <w:t>objectives</w:t>
      </w:r>
      <w:r>
        <w:rPr>
          <w:spacing w:val="-9"/>
          <w:sz w:val="24"/>
        </w:rPr>
        <w:t> </w:t>
      </w:r>
      <w:r>
        <w:rPr>
          <w:sz w:val="24"/>
        </w:rPr>
        <w:t>within</w:t>
      </w:r>
      <w:r>
        <w:rPr>
          <w:spacing w:val="-8"/>
          <w:sz w:val="24"/>
        </w:rPr>
        <w:t> </w:t>
      </w:r>
      <w:r>
        <w:rPr>
          <w:sz w:val="24"/>
        </w:rPr>
        <w:t>the</w:t>
      </w:r>
      <w:r>
        <w:rPr>
          <w:spacing w:val="-8"/>
          <w:sz w:val="24"/>
        </w:rPr>
        <w:t> </w:t>
      </w:r>
      <w:r>
        <w:rPr>
          <w:sz w:val="24"/>
        </w:rPr>
        <w:t>RJC</w:t>
      </w:r>
      <w:r>
        <w:rPr>
          <w:spacing w:val="-4"/>
          <w:sz w:val="24"/>
        </w:rPr>
        <w:t> </w:t>
      </w:r>
      <w:r>
        <w:rPr>
          <w:sz w:val="24"/>
        </w:rPr>
        <w:t>Terms</w:t>
      </w:r>
      <w:r>
        <w:rPr>
          <w:spacing w:val="-9"/>
          <w:sz w:val="24"/>
        </w:rPr>
        <w:t> </w:t>
      </w:r>
      <w:r>
        <w:rPr>
          <w:sz w:val="24"/>
        </w:rPr>
        <w:t>of</w:t>
      </w:r>
      <w:r>
        <w:rPr>
          <w:spacing w:val="-16"/>
          <w:sz w:val="24"/>
        </w:rPr>
        <w:t> </w:t>
      </w:r>
      <w:r>
        <w:rPr>
          <w:sz w:val="24"/>
        </w:rPr>
        <w:t>Reference.</w:t>
      </w:r>
    </w:p>
    <w:p>
      <w:pPr>
        <w:pStyle w:val="ListParagraph"/>
        <w:numPr>
          <w:ilvl w:val="1"/>
          <w:numId w:val="84"/>
        </w:numPr>
        <w:tabs>
          <w:tab w:pos="852" w:val="left" w:leader="none"/>
        </w:tabs>
        <w:spacing w:line="275" w:lineRule="exact" w:before="155" w:after="0"/>
        <w:ind w:left="852" w:right="0" w:hanging="710"/>
        <w:jc w:val="left"/>
        <w:rPr>
          <w:sz w:val="24"/>
        </w:rPr>
      </w:pPr>
      <w:r>
        <w:rPr>
          <w:spacing w:val="-2"/>
          <w:sz w:val="24"/>
        </w:rPr>
        <w:t>The</w:t>
      </w:r>
      <w:r>
        <w:rPr>
          <w:spacing w:val="-13"/>
          <w:sz w:val="24"/>
        </w:rPr>
        <w:t> </w:t>
      </w:r>
      <w:r>
        <w:rPr>
          <w:spacing w:val="-2"/>
          <w:sz w:val="24"/>
        </w:rPr>
        <w:t>requirements</w:t>
      </w:r>
      <w:r>
        <w:rPr>
          <w:spacing w:val="-10"/>
          <w:sz w:val="24"/>
        </w:rPr>
        <w:t> </w:t>
      </w:r>
      <w:r>
        <w:rPr>
          <w:spacing w:val="-2"/>
          <w:sz w:val="24"/>
        </w:rPr>
        <w:t>for</w:t>
      </w:r>
      <w:r>
        <w:rPr>
          <w:spacing w:val="-11"/>
          <w:sz w:val="24"/>
        </w:rPr>
        <w:t> </w:t>
      </w:r>
      <w:r>
        <w:rPr>
          <w:spacing w:val="-2"/>
          <w:sz w:val="24"/>
        </w:rPr>
        <w:t>the</w:t>
      </w:r>
      <w:r>
        <w:rPr>
          <w:spacing w:val="-10"/>
          <w:sz w:val="24"/>
        </w:rPr>
        <w:t> </w:t>
      </w:r>
      <w:r>
        <w:rPr>
          <w:spacing w:val="-2"/>
          <w:sz w:val="24"/>
        </w:rPr>
        <w:t>conduct</w:t>
      </w:r>
      <w:r>
        <w:rPr>
          <w:spacing w:val="-13"/>
          <w:sz w:val="24"/>
        </w:rPr>
        <w:t> </w:t>
      </w:r>
      <w:r>
        <w:rPr>
          <w:spacing w:val="-2"/>
          <w:sz w:val="24"/>
        </w:rPr>
        <w:t>of</w:t>
      </w:r>
      <w:r>
        <w:rPr>
          <w:spacing w:val="-13"/>
          <w:sz w:val="24"/>
        </w:rPr>
        <w:t> </w:t>
      </w:r>
      <w:r>
        <w:rPr>
          <w:spacing w:val="-2"/>
          <w:sz w:val="24"/>
        </w:rPr>
        <w:t>business</w:t>
      </w:r>
      <w:r>
        <w:rPr>
          <w:spacing w:val="-11"/>
          <w:sz w:val="24"/>
        </w:rPr>
        <w:t> </w:t>
      </w:r>
      <w:r>
        <w:rPr>
          <w:spacing w:val="-2"/>
          <w:sz w:val="24"/>
        </w:rPr>
        <w:t>as</w:t>
      </w:r>
      <w:r>
        <w:rPr>
          <w:spacing w:val="-6"/>
          <w:sz w:val="24"/>
        </w:rPr>
        <w:t> </w:t>
      </w:r>
      <w:r>
        <w:rPr>
          <w:spacing w:val="-2"/>
          <w:sz w:val="24"/>
        </w:rPr>
        <w:t>set</w:t>
      </w:r>
      <w:r>
        <w:rPr>
          <w:spacing w:val="-13"/>
          <w:sz w:val="24"/>
        </w:rPr>
        <w:t> </w:t>
      </w:r>
      <w:r>
        <w:rPr>
          <w:spacing w:val="-2"/>
          <w:sz w:val="24"/>
        </w:rPr>
        <w:t>out</w:t>
      </w:r>
      <w:r>
        <w:rPr>
          <w:spacing w:val="-13"/>
          <w:sz w:val="24"/>
        </w:rPr>
        <w:t> </w:t>
      </w:r>
      <w:r>
        <w:rPr>
          <w:spacing w:val="-2"/>
          <w:sz w:val="24"/>
        </w:rPr>
        <w:t>in</w:t>
      </w:r>
      <w:r>
        <w:rPr>
          <w:spacing w:val="-10"/>
          <w:sz w:val="24"/>
        </w:rPr>
        <w:t> </w:t>
      </w:r>
      <w:r>
        <w:rPr>
          <w:spacing w:val="-2"/>
          <w:sz w:val="24"/>
        </w:rPr>
        <w:t>each</w:t>
      </w:r>
      <w:r>
        <w:rPr>
          <w:spacing w:val="-10"/>
          <w:sz w:val="24"/>
        </w:rPr>
        <w:t> </w:t>
      </w:r>
      <w:r>
        <w:rPr>
          <w:spacing w:val="-2"/>
          <w:sz w:val="24"/>
        </w:rPr>
        <w:t>university</w:t>
      </w:r>
      <w:r>
        <w:rPr>
          <w:spacing w:val="-11"/>
          <w:sz w:val="24"/>
        </w:rPr>
        <w:t> </w:t>
      </w:r>
      <w:r>
        <w:rPr>
          <w:spacing w:val="-2"/>
          <w:sz w:val="24"/>
        </w:rPr>
        <w:t>health</w:t>
      </w:r>
      <w:r>
        <w:rPr>
          <w:spacing w:val="-14"/>
          <w:sz w:val="24"/>
        </w:rPr>
        <w:t> </w:t>
      </w:r>
      <w:r>
        <w:rPr>
          <w:spacing w:val="-2"/>
          <w:sz w:val="24"/>
        </w:rPr>
        <w:t>board’s</w:t>
      </w:r>
    </w:p>
    <w:p>
      <w:pPr>
        <w:pStyle w:val="BodyText"/>
        <w:spacing w:line="275" w:lineRule="exact"/>
        <w:ind w:left="852"/>
      </w:pPr>
      <w:r>
        <w:rPr>
          <w:spacing w:val="-2"/>
        </w:rPr>
        <w:t>standing</w:t>
      </w:r>
      <w:r>
        <w:rPr>
          <w:spacing w:val="-15"/>
        </w:rPr>
        <w:t> </w:t>
      </w:r>
      <w:r>
        <w:rPr>
          <w:spacing w:val="-2"/>
        </w:rPr>
        <w:t>orders</w:t>
      </w:r>
      <w:r>
        <w:rPr>
          <w:spacing w:val="-13"/>
        </w:rPr>
        <w:t> </w:t>
      </w:r>
      <w:r>
        <w:rPr>
          <w:spacing w:val="-2"/>
        </w:rPr>
        <w:t>are</w:t>
      </w:r>
      <w:r>
        <w:rPr>
          <w:spacing w:val="-12"/>
        </w:rPr>
        <w:t> </w:t>
      </w:r>
      <w:r>
        <w:rPr>
          <w:spacing w:val="-2"/>
        </w:rPr>
        <w:t>equally</w:t>
      </w:r>
      <w:r>
        <w:rPr>
          <w:spacing w:val="-13"/>
        </w:rPr>
        <w:t> </w:t>
      </w:r>
      <w:r>
        <w:rPr>
          <w:spacing w:val="-2"/>
        </w:rPr>
        <w:t>applicable</w:t>
      </w:r>
      <w:r>
        <w:rPr>
          <w:spacing w:val="-13"/>
        </w:rPr>
        <w:t> </w:t>
      </w:r>
      <w:r>
        <w:rPr>
          <w:spacing w:val="-2"/>
        </w:rPr>
        <w:t>to</w:t>
      </w:r>
      <w:r>
        <w:rPr>
          <w:spacing w:val="-7"/>
        </w:rPr>
        <w:t> </w:t>
      </w:r>
      <w:r>
        <w:rPr>
          <w:spacing w:val="-2"/>
        </w:rPr>
        <w:t>the</w:t>
      </w:r>
      <w:r>
        <w:rPr>
          <w:spacing w:val="-12"/>
        </w:rPr>
        <w:t> </w:t>
      </w:r>
      <w:r>
        <w:rPr>
          <w:spacing w:val="-2"/>
        </w:rPr>
        <w:t>operation</w:t>
      </w:r>
      <w:r>
        <w:rPr>
          <w:spacing w:val="-13"/>
        </w:rPr>
        <w:t> </w:t>
      </w:r>
      <w:r>
        <w:rPr>
          <w:spacing w:val="-2"/>
        </w:rPr>
        <w:t>of</w:t>
      </w:r>
      <w:r>
        <w:rPr>
          <w:spacing w:val="-14"/>
        </w:rPr>
        <w:t> </w:t>
      </w:r>
      <w:r>
        <w:rPr>
          <w:spacing w:val="-2"/>
        </w:rPr>
        <w:t>the</w:t>
      </w:r>
      <w:r>
        <w:rPr>
          <w:spacing w:val="-12"/>
        </w:rPr>
        <w:t> </w:t>
      </w:r>
      <w:r>
        <w:rPr>
          <w:spacing w:val="-2"/>
        </w:rPr>
        <w:t>Subgroup.</w:t>
      </w:r>
    </w:p>
    <w:p>
      <w:pPr>
        <w:pStyle w:val="BodyText"/>
        <w:spacing w:before="6"/>
        <w:rPr>
          <w:sz w:val="16"/>
        </w:rPr>
      </w:pPr>
      <w:r>
        <w:rPr>
          <w:sz w:val="16"/>
        </w:rPr>
        <mc:AlternateContent>
          <mc:Choice Requires="wps">
            <w:drawing>
              <wp:anchor distT="0" distB="0" distL="0" distR="0" allowOverlap="1" layoutInCell="1" locked="0" behindDoc="1" simplePos="0" relativeHeight="487696384">
                <wp:simplePos x="0" y="0"/>
                <wp:positionH relativeFrom="page">
                  <wp:posOffset>574992</wp:posOffset>
                </wp:positionH>
                <wp:positionV relativeFrom="paragraph">
                  <wp:posOffset>142376</wp:posOffset>
                </wp:positionV>
                <wp:extent cx="6575425" cy="193675"/>
                <wp:effectExtent l="0" t="0" r="0" b="0"/>
                <wp:wrapTopAndBottom/>
                <wp:docPr id="553" name="Textbox 553"/>
                <wp:cNvGraphicFramePr>
                  <a:graphicFrameLocks/>
                </wp:cNvGraphicFramePr>
                <a:graphic>
                  <a:graphicData uri="http://schemas.microsoft.com/office/word/2010/wordprocessingShape">
                    <wps:wsp>
                      <wps:cNvPr id="553" name="Textbox 553"/>
                      <wps:cNvSpPr txBox="1"/>
                      <wps:spPr>
                        <a:xfrm>
                          <a:off x="0" y="0"/>
                          <a:ext cx="6575425"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11</w:t>
                            </w:r>
                            <w:r>
                              <w:rPr>
                                <w:b/>
                                <w:color w:val="000000"/>
                                <w:spacing w:val="25"/>
                                <w:sz w:val="24"/>
                              </w:rPr>
                              <w:t> </w:t>
                            </w:r>
                            <w:r>
                              <w:rPr>
                                <w:b/>
                                <w:color w:val="000000"/>
                                <w:spacing w:val="-2"/>
                                <w:sz w:val="24"/>
                              </w:rPr>
                              <w:t>Reporting</w:t>
                            </w:r>
                          </w:p>
                        </w:txbxContent>
                      </wps:txbx>
                      <wps:bodyPr wrap="square" lIns="0" tIns="0" rIns="0" bIns="0" rtlCol="0">
                        <a:noAutofit/>
                      </wps:bodyPr>
                    </wps:wsp>
                  </a:graphicData>
                </a:graphic>
              </wp:anchor>
            </w:drawing>
          </mc:Choice>
          <mc:Fallback>
            <w:pict>
              <v:shape style="position:absolute;margin-left:45.275002pt;margin-top:11.210723pt;width:517.75pt;height:15.25pt;mso-position-horizontal-relative:page;mso-position-vertical-relative:paragraph;z-index:-15620096;mso-wrap-distance-left:0;mso-wrap-distance-right:0" type="#_x0000_t202" id="docshape330" filled="true" fillcolor="#c1a875" stroked="true" strokeweight="1pt" strokecolor="#394871">
                <v:textbox inset="0,0,0,0">
                  <w:txbxContent>
                    <w:p>
                      <w:pPr>
                        <w:spacing w:before="0"/>
                        <w:ind w:left="95" w:right="0" w:firstLine="0"/>
                        <w:jc w:val="left"/>
                        <w:rPr>
                          <w:b/>
                          <w:color w:val="000000"/>
                          <w:sz w:val="24"/>
                        </w:rPr>
                      </w:pPr>
                      <w:r>
                        <w:rPr>
                          <w:b/>
                          <w:color w:val="000000"/>
                          <w:sz w:val="24"/>
                        </w:rPr>
                        <w:t>11</w:t>
                      </w:r>
                      <w:r>
                        <w:rPr>
                          <w:b/>
                          <w:color w:val="000000"/>
                          <w:spacing w:val="25"/>
                          <w:sz w:val="24"/>
                        </w:rPr>
                        <w:t> </w:t>
                      </w:r>
                      <w:r>
                        <w:rPr>
                          <w:b/>
                          <w:color w:val="000000"/>
                          <w:spacing w:val="-2"/>
                          <w:sz w:val="24"/>
                        </w:rPr>
                        <w:t>Reporting</w:t>
                      </w:r>
                    </w:p>
                  </w:txbxContent>
                </v:textbox>
                <v:fill type="solid"/>
                <v:stroke dashstyle="solid"/>
                <w10:wrap type="topAndBottom"/>
              </v:shape>
            </w:pict>
          </mc:Fallback>
        </mc:AlternateContent>
      </w:r>
    </w:p>
    <w:p>
      <w:pPr>
        <w:pStyle w:val="ListParagraph"/>
        <w:numPr>
          <w:ilvl w:val="1"/>
          <w:numId w:val="85"/>
        </w:numPr>
        <w:tabs>
          <w:tab w:pos="862" w:val="left" w:leader="none"/>
        </w:tabs>
        <w:spacing w:line="240" w:lineRule="auto" w:before="170" w:after="0"/>
        <w:ind w:left="862" w:right="0" w:hanging="720"/>
        <w:jc w:val="left"/>
        <w:rPr>
          <w:sz w:val="24"/>
        </w:rPr>
      </w:pPr>
      <w:r>
        <w:rPr>
          <w:spacing w:val="-2"/>
          <w:sz w:val="24"/>
        </w:rPr>
        <w:t>The</w:t>
      </w:r>
      <w:r>
        <w:rPr>
          <w:spacing w:val="-13"/>
          <w:sz w:val="24"/>
        </w:rPr>
        <w:t> </w:t>
      </w:r>
      <w:r>
        <w:rPr>
          <w:spacing w:val="-2"/>
          <w:sz w:val="24"/>
        </w:rPr>
        <w:t>Regional</w:t>
      </w:r>
      <w:r>
        <w:rPr>
          <w:spacing w:val="-8"/>
          <w:sz w:val="24"/>
        </w:rPr>
        <w:t> </w:t>
      </w:r>
      <w:r>
        <w:rPr>
          <w:spacing w:val="-2"/>
          <w:sz w:val="24"/>
        </w:rPr>
        <w:t>Workforce</w:t>
      </w:r>
      <w:r>
        <w:rPr>
          <w:spacing w:val="-10"/>
          <w:sz w:val="24"/>
        </w:rPr>
        <w:t> </w:t>
      </w:r>
      <w:r>
        <w:rPr>
          <w:spacing w:val="-2"/>
          <w:sz w:val="24"/>
        </w:rPr>
        <w:t>&amp;</w:t>
      </w:r>
      <w:r>
        <w:rPr>
          <w:spacing w:val="-14"/>
          <w:sz w:val="24"/>
        </w:rPr>
        <w:t> </w:t>
      </w:r>
      <w:r>
        <w:rPr>
          <w:spacing w:val="-2"/>
          <w:sz w:val="24"/>
        </w:rPr>
        <w:t>OD</w:t>
      </w:r>
      <w:r>
        <w:rPr>
          <w:spacing w:val="-13"/>
          <w:sz w:val="24"/>
        </w:rPr>
        <w:t> </w:t>
      </w:r>
      <w:r>
        <w:rPr>
          <w:spacing w:val="-2"/>
          <w:sz w:val="24"/>
        </w:rPr>
        <w:t>Subgroup</w:t>
      </w:r>
      <w:r>
        <w:rPr>
          <w:spacing w:val="-12"/>
          <w:sz w:val="24"/>
        </w:rPr>
        <w:t> </w:t>
      </w:r>
      <w:r>
        <w:rPr>
          <w:spacing w:val="-2"/>
          <w:sz w:val="24"/>
        </w:rPr>
        <w:t>shall:</w:t>
      </w:r>
    </w:p>
    <w:p>
      <w:pPr>
        <w:pStyle w:val="ListParagraph"/>
        <w:numPr>
          <w:ilvl w:val="2"/>
          <w:numId w:val="85"/>
        </w:numPr>
        <w:tabs>
          <w:tab w:pos="1276" w:val="left" w:leader="none"/>
          <w:tab w:pos="1278" w:val="left" w:leader="none"/>
        </w:tabs>
        <w:spacing w:line="242" w:lineRule="auto" w:before="159" w:after="0"/>
        <w:ind w:left="1278" w:right="413" w:hanging="361"/>
        <w:jc w:val="both"/>
        <w:rPr>
          <w:sz w:val="24"/>
        </w:rPr>
      </w:pPr>
      <w:r>
        <w:rPr>
          <w:spacing w:val="-2"/>
          <w:sz w:val="24"/>
        </w:rPr>
        <w:t>Report</w:t>
      </w:r>
      <w:r>
        <w:rPr>
          <w:spacing w:val="-8"/>
          <w:sz w:val="24"/>
        </w:rPr>
        <w:t> </w:t>
      </w:r>
      <w:r>
        <w:rPr>
          <w:spacing w:val="-2"/>
          <w:sz w:val="24"/>
        </w:rPr>
        <w:t>formally,</w:t>
      </w:r>
      <w:r>
        <w:rPr>
          <w:spacing w:val="-13"/>
          <w:sz w:val="24"/>
        </w:rPr>
        <w:t> </w:t>
      </w:r>
      <w:r>
        <w:rPr>
          <w:spacing w:val="-2"/>
          <w:sz w:val="24"/>
        </w:rPr>
        <w:t>regularly</w:t>
      </w:r>
      <w:r>
        <w:rPr>
          <w:spacing w:val="-11"/>
          <w:sz w:val="24"/>
        </w:rPr>
        <w:t> </w:t>
      </w:r>
      <w:r>
        <w:rPr>
          <w:spacing w:val="-2"/>
          <w:sz w:val="24"/>
        </w:rPr>
        <w:t>and</w:t>
      </w:r>
      <w:r>
        <w:rPr>
          <w:spacing w:val="-10"/>
          <w:sz w:val="24"/>
        </w:rPr>
        <w:t> </w:t>
      </w:r>
      <w:r>
        <w:rPr>
          <w:spacing w:val="-2"/>
          <w:sz w:val="24"/>
        </w:rPr>
        <w:t>on</w:t>
      </w:r>
      <w:r>
        <w:rPr>
          <w:spacing w:val="-10"/>
          <w:sz w:val="24"/>
        </w:rPr>
        <w:t> </w:t>
      </w:r>
      <w:r>
        <w:rPr>
          <w:spacing w:val="-2"/>
          <w:sz w:val="24"/>
        </w:rPr>
        <w:t>a</w:t>
      </w:r>
      <w:r>
        <w:rPr>
          <w:spacing w:val="-10"/>
          <w:sz w:val="24"/>
        </w:rPr>
        <w:t> </w:t>
      </w:r>
      <w:r>
        <w:rPr>
          <w:spacing w:val="-2"/>
          <w:sz w:val="24"/>
        </w:rPr>
        <w:t>timely</w:t>
      </w:r>
      <w:r>
        <w:rPr>
          <w:spacing w:val="-11"/>
          <w:sz w:val="24"/>
        </w:rPr>
        <w:t> </w:t>
      </w:r>
      <w:r>
        <w:rPr>
          <w:spacing w:val="-2"/>
          <w:sz w:val="24"/>
        </w:rPr>
        <w:t>basis</w:t>
      </w:r>
      <w:r>
        <w:rPr>
          <w:spacing w:val="-6"/>
          <w:sz w:val="24"/>
        </w:rPr>
        <w:t> </w:t>
      </w:r>
      <w:r>
        <w:rPr>
          <w:spacing w:val="-2"/>
          <w:sz w:val="24"/>
        </w:rPr>
        <w:t>to</w:t>
      </w:r>
      <w:r>
        <w:rPr>
          <w:spacing w:val="-10"/>
          <w:sz w:val="24"/>
        </w:rPr>
        <w:t> </w:t>
      </w:r>
      <w:r>
        <w:rPr>
          <w:spacing w:val="-2"/>
          <w:sz w:val="24"/>
        </w:rPr>
        <w:t>the</w:t>
      </w:r>
      <w:r>
        <w:rPr>
          <w:spacing w:val="-15"/>
          <w:sz w:val="24"/>
        </w:rPr>
        <w:t> </w:t>
      </w:r>
      <w:r>
        <w:rPr>
          <w:spacing w:val="-2"/>
          <w:sz w:val="24"/>
        </w:rPr>
        <w:t>RJC</w:t>
      </w:r>
      <w:r>
        <w:rPr>
          <w:spacing w:val="-10"/>
          <w:sz w:val="24"/>
        </w:rPr>
        <w:t> </w:t>
      </w:r>
      <w:r>
        <w:rPr>
          <w:spacing w:val="-2"/>
          <w:sz w:val="24"/>
        </w:rPr>
        <w:t>on</w:t>
      </w:r>
      <w:r>
        <w:rPr>
          <w:spacing w:val="-10"/>
          <w:sz w:val="24"/>
        </w:rPr>
        <w:t> </w:t>
      </w:r>
      <w:r>
        <w:rPr>
          <w:spacing w:val="-2"/>
          <w:sz w:val="24"/>
        </w:rPr>
        <w:t>the</w:t>
      </w:r>
      <w:r>
        <w:rPr>
          <w:spacing w:val="-6"/>
          <w:sz w:val="24"/>
        </w:rPr>
        <w:t> </w:t>
      </w:r>
      <w:r>
        <w:rPr>
          <w:spacing w:val="-2"/>
          <w:sz w:val="24"/>
        </w:rPr>
        <w:t>Regional</w:t>
      </w:r>
      <w:r>
        <w:rPr>
          <w:spacing w:val="-10"/>
          <w:sz w:val="24"/>
        </w:rPr>
        <w:t> </w:t>
      </w:r>
      <w:r>
        <w:rPr>
          <w:spacing w:val="-2"/>
          <w:sz w:val="24"/>
        </w:rPr>
        <w:t>Workforce</w:t>
      </w:r>
      <w:r>
        <w:rPr>
          <w:spacing w:val="-10"/>
          <w:sz w:val="24"/>
        </w:rPr>
        <w:t> </w:t>
      </w:r>
      <w:r>
        <w:rPr>
          <w:spacing w:val="-2"/>
          <w:sz w:val="24"/>
        </w:rPr>
        <w:t>&amp; </w:t>
      </w:r>
      <w:r>
        <w:rPr>
          <w:sz w:val="24"/>
        </w:rPr>
        <w:t>OD</w:t>
      </w:r>
      <w:r>
        <w:rPr>
          <w:spacing w:val="-6"/>
          <w:sz w:val="24"/>
        </w:rPr>
        <w:t> </w:t>
      </w:r>
      <w:r>
        <w:rPr>
          <w:sz w:val="24"/>
        </w:rPr>
        <w:t>Subgroup’s</w:t>
      </w:r>
      <w:r>
        <w:rPr>
          <w:spacing w:val="-8"/>
          <w:sz w:val="24"/>
        </w:rPr>
        <w:t> </w:t>
      </w:r>
      <w:r>
        <w:rPr>
          <w:sz w:val="24"/>
        </w:rPr>
        <w:t>activities,</w:t>
      </w:r>
      <w:r>
        <w:rPr>
          <w:spacing w:val="-10"/>
          <w:sz w:val="24"/>
        </w:rPr>
        <w:t> </w:t>
      </w:r>
      <w:r>
        <w:rPr>
          <w:sz w:val="24"/>
        </w:rPr>
        <w:t>in</w:t>
      </w:r>
      <w:r>
        <w:rPr>
          <w:spacing w:val="-7"/>
          <w:sz w:val="24"/>
        </w:rPr>
        <w:t> </w:t>
      </w:r>
      <w:r>
        <w:rPr>
          <w:sz w:val="24"/>
        </w:rPr>
        <w:t>the</w:t>
      </w:r>
      <w:r>
        <w:rPr>
          <w:spacing w:val="-2"/>
          <w:sz w:val="24"/>
        </w:rPr>
        <w:t> </w:t>
      </w:r>
      <w:r>
        <w:rPr>
          <w:sz w:val="24"/>
        </w:rPr>
        <w:t>format</w:t>
      </w:r>
      <w:r>
        <w:rPr>
          <w:spacing w:val="-15"/>
          <w:sz w:val="24"/>
        </w:rPr>
        <w:t> </w:t>
      </w:r>
      <w:r>
        <w:rPr>
          <w:sz w:val="24"/>
        </w:rPr>
        <w:t>prescribed</w:t>
      </w:r>
      <w:r>
        <w:rPr>
          <w:spacing w:val="-12"/>
          <w:sz w:val="24"/>
        </w:rPr>
        <w:t> </w:t>
      </w:r>
      <w:r>
        <w:rPr>
          <w:sz w:val="24"/>
        </w:rPr>
        <w:t>by</w:t>
      </w:r>
      <w:r>
        <w:rPr>
          <w:spacing w:val="-3"/>
          <w:sz w:val="24"/>
        </w:rPr>
        <w:t> </w:t>
      </w:r>
      <w:r>
        <w:rPr>
          <w:sz w:val="24"/>
        </w:rPr>
        <w:t>the</w:t>
      </w:r>
      <w:r>
        <w:rPr>
          <w:spacing w:val="-7"/>
          <w:sz w:val="24"/>
        </w:rPr>
        <w:t> </w:t>
      </w:r>
      <w:r>
        <w:rPr>
          <w:sz w:val="24"/>
        </w:rPr>
        <w:t>RJC</w:t>
      </w:r>
      <w:r>
        <w:rPr>
          <w:spacing w:val="-7"/>
          <w:sz w:val="24"/>
        </w:rPr>
        <w:t> </w:t>
      </w:r>
      <w:r>
        <w:rPr>
          <w:sz w:val="24"/>
        </w:rPr>
        <w:t>PMO.</w:t>
      </w:r>
    </w:p>
    <w:p>
      <w:pPr>
        <w:pStyle w:val="ListParagraph"/>
        <w:numPr>
          <w:ilvl w:val="2"/>
          <w:numId w:val="85"/>
        </w:numPr>
        <w:tabs>
          <w:tab w:pos="1276" w:val="left" w:leader="none"/>
          <w:tab w:pos="1278" w:val="left" w:leader="none"/>
        </w:tabs>
        <w:spacing w:line="240" w:lineRule="auto" w:before="116" w:after="0"/>
        <w:ind w:left="1278" w:right="422" w:hanging="361"/>
        <w:jc w:val="both"/>
        <w:rPr>
          <w:sz w:val="24"/>
        </w:rPr>
      </w:pPr>
      <w:r>
        <w:rPr>
          <w:sz w:val="24"/>
        </w:rPr>
        <w:t>Bring</w:t>
      </w:r>
      <w:r>
        <w:rPr>
          <w:spacing w:val="-5"/>
          <w:sz w:val="24"/>
        </w:rPr>
        <w:t> </w:t>
      </w:r>
      <w:r>
        <w:rPr>
          <w:sz w:val="24"/>
        </w:rPr>
        <w:t>to</w:t>
      </w:r>
      <w:r>
        <w:rPr>
          <w:spacing w:val="-5"/>
          <w:sz w:val="24"/>
        </w:rPr>
        <w:t> </w:t>
      </w:r>
      <w:r>
        <w:rPr>
          <w:sz w:val="24"/>
        </w:rPr>
        <w:t>the</w:t>
      </w:r>
      <w:r>
        <w:rPr>
          <w:spacing w:val="-8"/>
          <w:sz w:val="24"/>
        </w:rPr>
        <w:t> </w:t>
      </w:r>
      <w:r>
        <w:rPr>
          <w:sz w:val="24"/>
        </w:rPr>
        <w:t>RJC’s</w:t>
      </w:r>
      <w:r>
        <w:rPr>
          <w:spacing w:val="-10"/>
          <w:sz w:val="24"/>
        </w:rPr>
        <w:t> </w:t>
      </w:r>
      <w:r>
        <w:rPr>
          <w:sz w:val="24"/>
        </w:rPr>
        <w:t>specific</w:t>
      </w:r>
      <w:r>
        <w:rPr>
          <w:spacing w:val="-10"/>
          <w:sz w:val="24"/>
        </w:rPr>
        <w:t> </w:t>
      </w:r>
      <w:r>
        <w:rPr>
          <w:sz w:val="24"/>
        </w:rPr>
        <w:t>attention</w:t>
      </w:r>
      <w:r>
        <w:rPr>
          <w:spacing w:val="-9"/>
          <w:sz w:val="24"/>
        </w:rPr>
        <w:t> </w:t>
      </w:r>
      <w:r>
        <w:rPr>
          <w:sz w:val="24"/>
        </w:rPr>
        <w:t>any</w:t>
      </w:r>
      <w:r>
        <w:rPr>
          <w:spacing w:val="-10"/>
          <w:sz w:val="24"/>
        </w:rPr>
        <w:t> </w:t>
      </w:r>
      <w:r>
        <w:rPr>
          <w:sz w:val="24"/>
        </w:rPr>
        <w:t>significant</w:t>
      </w:r>
      <w:r>
        <w:rPr>
          <w:spacing w:val="-12"/>
          <w:sz w:val="24"/>
        </w:rPr>
        <w:t> </w:t>
      </w:r>
      <w:r>
        <w:rPr>
          <w:sz w:val="24"/>
        </w:rPr>
        <w:t>matters</w:t>
      </w:r>
      <w:r>
        <w:rPr>
          <w:spacing w:val="-10"/>
          <w:sz w:val="24"/>
        </w:rPr>
        <w:t> </w:t>
      </w:r>
      <w:r>
        <w:rPr>
          <w:sz w:val="24"/>
        </w:rPr>
        <w:t>under</w:t>
      </w:r>
      <w:r>
        <w:rPr>
          <w:spacing w:val="-10"/>
          <w:sz w:val="24"/>
        </w:rPr>
        <w:t> </w:t>
      </w:r>
      <w:r>
        <w:rPr>
          <w:sz w:val="24"/>
        </w:rPr>
        <w:t>consideration</w:t>
      </w:r>
      <w:r>
        <w:rPr>
          <w:spacing w:val="-9"/>
          <w:sz w:val="24"/>
        </w:rPr>
        <w:t> </w:t>
      </w:r>
      <w:r>
        <w:rPr>
          <w:sz w:val="24"/>
        </w:rPr>
        <w:t>by</w:t>
      </w:r>
      <w:r>
        <w:rPr>
          <w:spacing w:val="-6"/>
          <w:sz w:val="24"/>
        </w:rPr>
        <w:t> </w:t>
      </w:r>
      <w:r>
        <w:rPr>
          <w:sz w:val="24"/>
        </w:rPr>
        <w:t>the Regional Workforce &amp; OD Subgroup, including matters requiring strategic direction, escalation, endorsement or approval.</w:t>
      </w:r>
    </w:p>
    <w:p>
      <w:pPr>
        <w:pStyle w:val="ListParagraph"/>
        <w:numPr>
          <w:ilvl w:val="2"/>
          <w:numId w:val="85"/>
        </w:numPr>
        <w:tabs>
          <w:tab w:pos="1276" w:val="left" w:leader="none"/>
          <w:tab w:pos="1278" w:val="left" w:leader="none"/>
        </w:tabs>
        <w:spacing w:line="240" w:lineRule="auto" w:before="117" w:after="0"/>
        <w:ind w:left="1278" w:right="414" w:hanging="361"/>
        <w:jc w:val="both"/>
        <w:rPr>
          <w:sz w:val="24"/>
        </w:rPr>
      </w:pPr>
      <w:r>
        <w:rPr>
          <w:sz w:val="24"/>
        </w:rPr>
        <w:t>The</w:t>
      </w:r>
      <w:r>
        <w:rPr>
          <w:spacing w:val="-4"/>
          <w:sz w:val="24"/>
        </w:rPr>
        <w:t> </w:t>
      </w:r>
      <w:r>
        <w:rPr>
          <w:sz w:val="24"/>
        </w:rPr>
        <w:t>Regional Workforce</w:t>
      </w:r>
      <w:r>
        <w:rPr>
          <w:spacing w:val="-4"/>
          <w:sz w:val="24"/>
        </w:rPr>
        <w:t> </w:t>
      </w:r>
      <w:r>
        <w:rPr>
          <w:sz w:val="24"/>
        </w:rPr>
        <w:t>&amp; OD Subgroup may establish</w:t>
      </w:r>
      <w:r>
        <w:rPr>
          <w:spacing w:val="-4"/>
          <w:sz w:val="24"/>
        </w:rPr>
        <w:t> </w:t>
      </w:r>
      <w:r>
        <w:rPr>
          <w:sz w:val="24"/>
        </w:rPr>
        <w:t>programmes,</w:t>
      </w:r>
      <w:r>
        <w:rPr>
          <w:spacing w:val="-2"/>
          <w:sz w:val="24"/>
        </w:rPr>
        <w:t> </w:t>
      </w:r>
      <w:r>
        <w:rPr>
          <w:sz w:val="24"/>
        </w:rPr>
        <w:t>projects</w:t>
      </w:r>
      <w:r>
        <w:rPr>
          <w:spacing w:val="-4"/>
          <w:sz w:val="24"/>
        </w:rPr>
        <w:t> </w:t>
      </w:r>
      <w:r>
        <w:rPr>
          <w:sz w:val="24"/>
        </w:rPr>
        <w:t>or task and</w:t>
      </w:r>
      <w:r>
        <w:rPr>
          <w:spacing w:val="-17"/>
          <w:sz w:val="24"/>
        </w:rPr>
        <w:t> </w:t>
      </w:r>
      <w:r>
        <w:rPr>
          <w:sz w:val="24"/>
        </w:rPr>
        <w:t>finish</w:t>
      </w:r>
      <w:r>
        <w:rPr>
          <w:spacing w:val="-17"/>
          <w:sz w:val="24"/>
        </w:rPr>
        <w:t> </w:t>
      </w:r>
      <w:r>
        <w:rPr>
          <w:sz w:val="24"/>
        </w:rPr>
        <w:t>groups</w:t>
      </w:r>
      <w:r>
        <w:rPr>
          <w:spacing w:val="-16"/>
          <w:sz w:val="24"/>
        </w:rPr>
        <w:t> </w:t>
      </w:r>
      <w:r>
        <w:rPr>
          <w:sz w:val="24"/>
        </w:rPr>
        <w:t>to</w:t>
      </w:r>
      <w:r>
        <w:rPr>
          <w:spacing w:val="-17"/>
          <w:sz w:val="24"/>
        </w:rPr>
        <w:t> </w:t>
      </w:r>
      <w:r>
        <w:rPr>
          <w:sz w:val="24"/>
        </w:rPr>
        <w:t>scope</w:t>
      </w:r>
      <w:r>
        <w:rPr>
          <w:spacing w:val="-17"/>
          <w:sz w:val="24"/>
        </w:rPr>
        <w:t> </w:t>
      </w:r>
      <w:r>
        <w:rPr>
          <w:sz w:val="24"/>
        </w:rPr>
        <w:t>and</w:t>
      </w:r>
      <w:r>
        <w:rPr>
          <w:spacing w:val="-17"/>
          <w:sz w:val="24"/>
        </w:rPr>
        <w:t> </w:t>
      </w:r>
      <w:r>
        <w:rPr>
          <w:sz w:val="24"/>
        </w:rPr>
        <w:t>take</w:t>
      </w:r>
      <w:r>
        <w:rPr>
          <w:spacing w:val="-16"/>
          <w:sz w:val="24"/>
        </w:rPr>
        <w:t> </w:t>
      </w:r>
      <w:r>
        <w:rPr>
          <w:sz w:val="24"/>
        </w:rPr>
        <w:t>forward</w:t>
      </w:r>
      <w:r>
        <w:rPr>
          <w:spacing w:val="-17"/>
          <w:sz w:val="24"/>
        </w:rPr>
        <w:t> </w:t>
      </w:r>
      <w:r>
        <w:rPr>
          <w:sz w:val="24"/>
        </w:rPr>
        <w:t>specific</w:t>
      </w:r>
      <w:r>
        <w:rPr>
          <w:spacing w:val="-17"/>
          <w:sz w:val="24"/>
        </w:rPr>
        <w:t> </w:t>
      </w:r>
      <w:r>
        <w:rPr>
          <w:sz w:val="24"/>
        </w:rPr>
        <w:t>pieces</w:t>
      </w:r>
      <w:r>
        <w:rPr>
          <w:spacing w:val="-16"/>
          <w:sz w:val="24"/>
        </w:rPr>
        <w:t> </w:t>
      </w:r>
      <w:r>
        <w:rPr>
          <w:sz w:val="24"/>
        </w:rPr>
        <w:t>of</w:t>
      </w:r>
      <w:r>
        <w:rPr>
          <w:spacing w:val="-17"/>
          <w:sz w:val="24"/>
        </w:rPr>
        <w:t> </w:t>
      </w:r>
      <w:r>
        <w:rPr>
          <w:sz w:val="24"/>
        </w:rPr>
        <w:t>work</w:t>
      </w:r>
      <w:r>
        <w:rPr>
          <w:spacing w:val="-17"/>
          <w:sz w:val="24"/>
        </w:rPr>
        <w:t> </w:t>
      </w:r>
      <w:r>
        <w:rPr>
          <w:sz w:val="24"/>
        </w:rPr>
        <w:t>to</w:t>
      </w:r>
      <w:r>
        <w:rPr>
          <w:spacing w:val="-16"/>
          <w:sz w:val="24"/>
        </w:rPr>
        <w:t> </w:t>
      </w:r>
      <w:r>
        <w:rPr>
          <w:sz w:val="24"/>
        </w:rPr>
        <w:t>deliver</w:t>
      </w:r>
      <w:r>
        <w:rPr>
          <w:spacing w:val="-17"/>
          <w:sz w:val="24"/>
        </w:rPr>
        <w:t> </w:t>
      </w:r>
      <w:r>
        <w:rPr>
          <w:sz w:val="24"/>
        </w:rPr>
        <w:t>on</w:t>
      </w:r>
      <w:r>
        <w:rPr>
          <w:spacing w:val="-17"/>
          <w:sz w:val="24"/>
        </w:rPr>
        <w:t> </w:t>
      </w:r>
      <w:r>
        <w:rPr>
          <w:sz w:val="24"/>
        </w:rPr>
        <w:t>agreed objectives. The Regional Workforce &amp; OD Subgroup will receive updates from programmes,</w:t>
      </w:r>
      <w:r>
        <w:rPr>
          <w:spacing w:val="-17"/>
          <w:sz w:val="24"/>
        </w:rPr>
        <w:t> </w:t>
      </w:r>
      <w:r>
        <w:rPr>
          <w:sz w:val="24"/>
        </w:rPr>
        <w:t>projects</w:t>
      </w:r>
      <w:r>
        <w:rPr>
          <w:spacing w:val="-17"/>
          <w:sz w:val="24"/>
        </w:rPr>
        <w:t> </w:t>
      </w:r>
      <w:r>
        <w:rPr>
          <w:sz w:val="24"/>
        </w:rPr>
        <w:t>or</w:t>
      </w:r>
      <w:r>
        <w:rPr>
          <w:spacing w:val="-15"/>
          <w:sz w:val="24"/>
        </w:rPr>
        <w:t> </w:t>
      </w:r>
      <w:r>
        <w:rPr>
          <w:sz w:val="24"/>
        </w:rPr>
        <w:t>task</w:t>
      </w:r>
      <w:r>
        <w:rPr>
          <w:spacing w:val="-16"/>
          <w:sz w:val="24"/>
        </w:rPr>
        <w:t> </w:t>
      </w:r>
      <w:r>
        <w:rPr>
          <w:sz w:val="24"/>
        </w:rPr>
        <w:t>and</w:t>
      </w:r>
      <w:r>
        <w:rPr>
          <w:spacing w:val="-16"/>
          <w:sz w:val="24"/>
        </w:rPr>
        <w:t> </w:t>
      </w:r>
      <w:r>
        <w:rPr>
          <w:sz w:val="24"/>
        </w:rPr>
        <w:t>finish</w:t>
      </w:r>
      <w:r>
        <w:rPr>
          <w:spacing w:val="-16"/>
          <w:sz w:val="24"/>
        </w:rPr>
        <w:t> </w:t>
      </w:r>
      <w:r>
        <w:rPr>
          <w:sz w:val="24"/>
        </w:rPr>
        <w:t>groups</w:t>
      </w:r>
      <w:r>
        <w:rPr>
          <w:spacing w:val="-13"/>
          <w:sz w:val="24"/>
        </w:rPr>
        <w:t> </w:t>
      </w:r>
      <w:r>
        <w:rPr>
          <w:sz w:val="24"/>
        </w:rPr>
        <w:t>through</w:t>
      </w:r>
      <w:r>
        <w:rPr>
          <w:spacing w:val="-16"/>
          <w:sz w:val="24"/>
        </w:rPr>
        <w:t> </w:t>
      </w:r>
      <w:r>
        <w:rPr>
          <w:sz w:val="24"/>
        </w:rPr>
        <w:t>highlight</w:t>
      </w:r>
      <w:r>
        <w:rPr>
          <w:spacing w:val="-17"/>
          <w:sz w:val="24"/>
        </w:rPr>
        <w:t> </w:t>
      </w:r>
      <w:r>
        <w:rPr>
          <w:sz w:val="24"/>
        </w:rPr>
        <w:t>reports</w:t>
      </w:r>
      <w:r>
        <w:rPr>
          <w:spacing w:val="-17"/>
          <w:sz w:val="24"/>
        </w:rPr>
        <w:t> </w:t>
      </w:r>
      <w:r>
        <w:rPr>
          <w:sz w:val="24"/>
        </w:rPr>
        <w:t>and</w:t>
      </w:r>
      <w:r>
        <w:rPr>
          <w:spacing w:val="-16"/>
          <w:sz w:val="24"/>
        </w:rPr>
        <w:t> </w:t>
      </w:r>
      <w:r>
        <w:rPr>
          <w:sz w:val="24"/>
        </w:rPr>
        <w:t>exception </w:t>
      </w:r>
      <w:r>
        <w:rPr>
          <w:spacing w:val="-2"/>
          <w:sz w:val="24"/>
        </w:rPr>
        <w:t>reporting.</w:t>
      </w:r>
    </w:p>
    <w:p>
      <w:pPr>
        <w:pStyle w:val="BodyText"/>
        <w:spacing w:before="1"/>
        <w:rPr>
          <w:sz w:val="13"/>
        </w:rPr>
      </w:pPr>
      <w:r>
        <w:rPr>
          <w:sz w:val="13"/>
        </w:rPr>
        <mc:AlternateContent>
          <mc:Choice Requires="wps">
            <w:drawing>
              <wp:anchor distT="0" distB="0" distL="0" distR="0" allowOverlap="1" layoutInCell="1" locked="0" behindDoc="1" simplePos="0" relativeHeight="487696896">
                <wp:simplePos x="0" y="0"/>
                <wp:positionH relativeFrom="page">
                  <wp:posOffset>574992</wp:posOffset>
                </wp:positionH>
                <wp:positionV relativeFrom="paragraph">
                  <wp:posOffset>117458</wp:posOffset>
                </wp:positionV>
                <wp:extent cx="6553200" cy="193675"/>
                <wp:effectExtent l="0" t="0" r="0" b="0"/>
                <wp:wrapTopAndBottom/>
                <wp:docPr id="554" name="Textbox 554"/>
                <wp:cNvGraphicFramePr>
                  <a:graphicFrameLocks/>
                </wp:cNvGraphicFramePr>
                <a:graphic>
                  <a:graphicData uri="http://schemas.microsoft.com/office/word/2010/wordprocessingShape">
                    <wps:wsp>
                      <wps:cNvPr id="554" name="Textbox 554"/>
                      <wps:cNvSpPr txBox="1"/>
                      <wps:spPr>
                        <a:xfrm>
                          <a:off x="0" y="0"/>
                          <a:ext cx="6553200" cy="193675"/>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12</w:t>
                            </w:r>
                            <w:r>
                              <w:rPr>
                                <w:b/>
                                <w:color w:val="000000"/>
                                <w:spacing w:val="23"/>
                                <w:sz w:val="24"/>
                              </w:rPr>
                              <w:t> </w:t>
                            </w:r>
                            <w:r>
                              <w:rPr>
                                <w:b/>
                                <w:color w:val="000000"/>
                                <w:sz w:val="24"/>
                              </w:rPr>
                              <w:t>Secretarial</w:t>
                            </w:r>
                            <w:r>
                              <w:rPr>
                                <w:b/>
                                <w:color w:val="000000"/>
                                <w:spacing w:val="-2"/>
                                <w:sz w:val="24"/>
                              </w:rPr>
                              <w:t> Support</w:t>
                            </w:r>
                          </w:p>
                        </w:txbxContent>
                      </wps:txbx>
                      <wps:bodyPr wrap="square" lIns="0" tIns="0" rIns="0" bIns="0" rtlCol="0">
                        <a:noAutofit/>
                      </wps:bodyPr>
                    </wps:wsp>
                  </a:graphicData>
                </a:graphic>
              </wp:anchor>
            </w:drawing>
          </mc:Choice>
          <mc:Fallback>
            <w:pict>
              <v:shape style="position:absolute;margin-left:45.275002pt;margin-top:9.248711pt;width:516pt;height:15.25pt;mso-position-horizontal-relative:page;mso-position-vertical-relative:paragraph;z-index:-15619584;mso-wrap-distance-left:0;mso-wrap-distance-right:0" type="#_x0000_t202" id="docshape331" filled="true" fillcolor="#c1a875" stroked="true" strokeweight="1pt" strokecolor="#394871">
                <v:textbox inset="0,0,0,0">
                  <w:txbxContent>
                    <w:p>
                      <w:pPr>
                        <w:spacing w:before="0"/>
                        <w:ind w:left="95" w:right="0" w:firstLine="0"/>
                        <w:jc w:val="left"/>
                        <w:rPr>
                          <w:b/>
                          <w:color w:val="000000"/>
                          <w:sz w:val="24"/>
                        </w:rPr>
                      </w:pPr>
                      <w:r>
                        <w:rPr>
                          <w:b/>
                          <w:color w:val="000000"/>
                          <w:sz w:val="24"/>
                        </w:rPr>
                        <w:t>12</w:t>
                      </w:r>
                      <w:r>
                        <w:rPr>
                          <w:b/>
                          <w:color w:val="000000"/>
                          <w:spacing w:val="23"/>
                          <w:sz w:val="24"/>
                        </w:rPr>
                        <w:t> </w:t>
                      </w:r>
                      <w:r>
                        <w:rPr>
                          <w:b/>
                          <w:color w:val="000000"/>
                          <w:sz w:val="24"/>
                        </w:rPr>
                        <w:t>Secretarial</w:t>
                      </w:r>
                      <w:r>
                        <w:rPr>
                          <w:b/>
                          <w:color w:val="000000"/>
                          <w:spacing w:val="-2"/>
                          <w:sz w:val="24"/>
                        </w:rPr>
                        <w:t> Support</w:t>
                      </w:r>
                    </w:p>
                  </w:txbxContent>
                </v:textbox>
                <v:fill type="solid"/>
                <v:stroke dashstyle="solid"/>
                <w10:wrap type="topAndBottom"/>
              </v:shape>
            </w:pict>
          </mc:Fallback>
        </mc:AlternateContent>
      </w:r>
    </w:p>
    <w:p>
      <w:pPr>
        <w:pStyle w:val="BodyText"/>
        <w:tabs>
          <w:tab w:pos="852" w:val="left" w:leader="none"/>
        </w:tabs>
        <w:spacing w:before="170"/>
        <w:ind w:left="852" w:right="1008" w:hanging="710"/>
      </w:pPr>
      <w:r>
        <w:rPr>
          <w:spacing w:val="-4"/>
        </w:rPr>
        <w:t>12.1</w:t>
      </w:r>
      <w:r>
        <w:rPr/>
        <w:tab/>
      </w:r>
      <w:r>
        <w:rPr>
          <w:spacing w:val="-2"/>
        </w:rPr>
        <w:t>The</w:t>
      </w:r>
      <w:r>
        <w:rPr>
          <w:spacing w:val="-14"/>
        </w:rPr>
        <w:t> </w:t>
      </w:r>
      <w:r>
        <w:rPr>
          <w:spacing w:val="-2"/>
        </w:rPr>
        <w:t>Regional</w:t>
      </w:r>
      <w:r>
        <w:rPr>
          <w:spacing w:val="-7"/>
        </w:rPr>
        <w:t> </w:t>
      </w:r>
      <w:r>
        <w:rPr>
          <w:spacing w:val="-2"/>
        </w:rPr>
        <w:t>Workforce</w:t>
      </w:r>
      <w:r>
        <w:rPr>
          <w:spacing w:val="-8"/>
        </w:rPr>
        <w:t> </w:t>
      </w:r>
      <w:r>
        <w:rPr>
          <w:spacing w:val="-2"/>
        </w:rPr>
        <w:t>&amp;</w:t>
      </w:r>
      <w:r>
        <w:rPr>
          <w:spacing w:val="-14"/>
        </w:rPr>
        <w:t> </w:t>
      </w:r>
      <w:r>
        <w:rPr>
          <w:spacing w:val="-2"/>
        </w:rPr>
        <w:t>OD</w:t>
      </w:r>
      <w:r>
        <w:rPr>
          <w:spacing w:val="-12"/>
        </w:rPr>
        <w:t> </w:t>
      </w:r>
      <w:r>
        <w:rPr>
          <w:spacing w:val="-2"/>
        </w:rPr>
        <w:t>Subgroup</w:t>
      </w:r>
      <w:r>
        <w:rPr>
          <w:spacing w:val="-12"/>
        </w:rPr>
        <w:t> </w:t>
      </w:r>
      <w:r>
        <w:rPr>
          <w:spacing w:val="-2"/>
        </w:rPr>
        <w:t>secretariat</w:t>
      </w:r>
      <w:r>
        <w:rPr>
          <w:spacing w:val="-15"/>
        </w:rPr>
        <w:t> </w:t>
      </w:r>
      <w:r>
        <w:rPr>
          <w:spacing w:val="-2"/>
        </w:rPr>
        <w:t>shall</w:t>
      </w:r>
      <w:r>
        <w:rPr>
          <w:spacing w:val="-12"/>
        </w:rPr>
        <w:t> </w:t>
      </w:r>
      <w:r>
        <w:rPr>
          <w:spacing w:val="-2"/>
        </w:rPr>
        <w:t>be</w:t>
      </w:r>
      <w:r>
        <w:rPr>
          <w:spacing w:val="-15"/>
        </w:rPr>
        <w:t> </w:t>
      </w:r>
      <w:r>
        <w:rPr>
          <w:spacing w:val="-2"/>
        </w:rPr>
        <w:t>provided</w:t>
      </w:r>
      <w:r>
        <w:rPr>
          <w:spacing w:val="-10"/>
        </w:rPr>
        <w:t> </w:t>
      </w:r>
      <w:r>
        <w:rPr>
          <w:spacing w:val="-2"/>
        </w:rPr>
        <w:t>through</w:t>
      </w:r>
      <w:r>
        <w:rPr>
          <w:spacing w:val="-8"/>
        </w:rPr>
        <w:t> </w:t>
      </w:r>
      <w:r>
        <w:rPr>
          <w:spacing w:val="-2"/>
        </w:rPr>
        <w:t>the</w:t>
      </w:r>
      <w:r>
        <w:rPr>
          <w:spacing w:val="-13"/>
        </w:rPr>
        <w:t> </w:t>
      </w:r>
      <w:r>
        <w:rPr>
          <w:spacing w:val="-2"/>
        </w:rPr>
        <w:t>Co-Chairs.</w:t>
      </w:r>
    </w:p>
    <w:p>
      <w:pPr>
        <w:pStyle w:val="BodyText"/>
        <w:spacing w:before="10"/>
        <w:rPr>
          <w:sz w:val="16"/>
        </w:rPr>
      </w:pPr>
      <w:r>
        <w:rPr>
          <w:sz w:val="16"/>
        </w:rPr>
        <mc:AlternateContent>
          <mc:Choice Requires="wps">
            <w:drawing>
              <wp:anchor distT="0" distB="0" distL="0" distR="0" allowOverlap="1" layoutInCell="1" locked="0" behindDoc="1" simplePos="0" relativeHeight="487697408">
                <wp:simplePos x="0" y="0"/>
                <wp:positionH relativeFrom="page">
                  <wp:posOffset>574992</wp:posOffset>
                </wp:positionH>
                <wp:positionV relativeFrom="paragraph">
                  <wp:posOffset>144809</wp:posOffset>
                </wp:positionV>
                <wp:extent cx="6553200" cy="194310"/>
                <wp:effectExtent l="0" t="0" r="0" b="0"/>
                <wp:wrapTopAndBottom/>
                <wp:docPr id="555" name="Textbox 555"/>
                <wp:cNvGraphicFramePr>
                  <a:graphicFrameLocks/>
                </wp:cNvGraphicFramePr>
                <a:graphic>
                  <a:graphicData uri="http://schemas.microsoft.com/office/word/2010/wordprocessingShape">
                    <wps:wsp>
                      <wps:cNvPr id="555" name="Textbox 555"/>
                      <wps:cNvSpPr txBox="1"/>
                      <wps:spPr>
                        <a:xfrm>
                          <a:off x="0" y="0"/>
                          <a:ext cx="6553200" cy="194310"/>
                        </a:xfrm>
                        <a:prstGeom prst="rect">
                          <a:avLst/>
                        </a:prstGeom>
                        <a:solidFill>
                          <a:srgbClr val="C1A875"/>
                        </a:solidFill>
                        <a:ln w="12700">
                          <a:solidFill>
                            <a:srgbClr val="394871"/>
                          </a:solidFill>
                          <a:prstDash val="solid"/>
                        </a:ln>
                      </wps:spPr>
                      <wps:txbx>
                        <w:txbxContent>
                          <w:p>
                            <w:pPr>
                              <w:spacing w:before="0"/>
                              <w:ind w:left="95" w:right="0" w:firstLine="0"/>
                              <w:jc w:val="left"/>
                              <w:rPr>
                                <w:b/>
                                <w:color w:val="000000"/>
                                <w:sz w:val="24"/>
                              </w:rPr>
                            </w:pPr>
                            <w:r>
                              <w:rPr>
                                <w:b/>
                                <w:color w:val="000000"/>
                                <w:sz w:val="24"/>
                              </w:rPr>
                              <w:t>13</w:t>
                            </w:r>
                            <w:r>
                              <w:rPr>
                                <w:b/>
                                <w:color w:val="000000"/>
                                <w:spacing w:val="20"/>
                                <w:sz w:val="24"/>
                              </w:rPr>
                              <w:t> </w:t>
                            </w:r>
                            <w:r>
                              <w:rPr>
                                <w:b/>
                                <w:color w:val="000000"/>
                                <w:sz w:val="24"/>
                              </w:rPr>
                              <w:t>Review</w:t>
                            </w:r>
                            <w:r>
                              <w:rPr>
                                <w:b/>
                                <w:color w:val="000000"/>
                                <w:spacing w:val="2"/>
                                <w:sz w:val="24"/>
                              </w:rPr>
                              <w:t> </w:t>
                            </w:r>
                            <w:r>
                              <w:rPr>
                                <w:b/>
                                <w:color w:val="000000"/>
                                <w:spacing w:val="-4"/>
                                <w:sz w:val="24"/>
                              </w:rPr>
                              <w:t>Date</w:t>
                            </w:r>
                          </w:p>
                        </w:txbxContent>
                      </wps:txbx>
                      <wps:bodyPr wrap="square" lIns="0" tIns="0" rIns="0" bIns="0" rtlCol="0">
                        <a:noAutofit/>
                      </wps:bodyPr>
                    </wps:wsp>
                  </a:graphicData>
                </a:graphic>
              </wp:anchor>
            </w:drawing>
          </mc:Choice>
          <mc:Fallback>
            <w:pict>
              <v:shape style="position:absolute;margin-left:45.275002pt;margin-top:11.402344pt;width:516pt;height:15.3pt;mso-position-horizontal-relative:page;mso-position-vertical-relative:paragraph;z-index:-15619072;mso-wrap-distance-left:0;mso-wrap-distance-right:0" type="#_x0000_t202" id="docshape332" filled="true" fillcolor="#c1a875" stroked="true" strokeweight="1pt" strokecolor="#394871">
                <v:textbox inset="0,0,0,0">
                  <w:txbxContent>
                    <w:p>
                      <w:pPr>
                        <w:spacing w:before="0"/>
                        <w:ind w:left="95" w:right="0" w:firstLine="0"/>
                        <w:jc w:val="left"/>
                        <w:rPr>
                          <w:b/>
                          <w:color w:val="000000"/>
                          <w:sz w:val="24"/>
                        </w:rPr>
                      </w:pPr>
                      <w:r>
                        <w:rPr>
                          <w:b/>
                          <w:color w:val="000000"/>
                          <w:sz w:val="24"/>
                        </w:rPr>
                        <w:t>13</w:t>
                      </w:r>
                      <w:r>
                        <w:rPr>
                          <w:b/>
                          <w:color w:val="000000"/>
                          <w:spacing w:val="20"/>
                          <w:sz w:val="24"/>
                        </w:rPr>
                        <w:t> </w:t>
                      </w:r>
                      <w:r>
                        <w:rPr>
                          <w:b/>
                          <w:color w:val="000000"/>
                          <w:sz w:val="24"/>
                        </w:rPr>
                        <w:t>Review</w:t>
                      </w:r>
                      <w:r>
                        <w:rPr>
                          <w:b/>
                          <w:color w:val="000000"/>
                          <w:spacing w:val="2"/>
                          <w:sz w:val="24"/>
                        </w:rPr>
                        <w:t> </w:t>
                      </w:r>
                      <w:r>
                        <w:rPr>
                          <w:b/>
                          <w:color w:val="000000"/>
                          <w:spacing w:val="-4"/>
                          <w:sz w:val="24"/>
                        </w:rPr>
                        <w:t>Date</w:t>
                      </w:r>
                    </w:p>
                  </w:txbxContent>
                </v:textbox>
                <v:fill type="solid"/>
                <v:stroke dashstyle="solid"/>
                <w10:wrap type="topAndBottom"/>
              </v:shape>
            </w:pict>
          </mc:Fallback>
        </mc:AlternateContent>
      </w:r>
    </w:p>
    <w:p>
      <w:pPr>
        <w:pStyle w:val="BodyText"/>
        <w:tabs>
          <w:tab w:pos="852" w:val="left" w:leader="none"/>
        </w:tabs>
        <w:spacing w:before="170"/>
        <w:ind w:left="852" w:right="980" w:hanging="710"/>
      </w:pPr>
      <w:r>
        <w:rPr>
          <w:spacing w:val="-4"/>
        </w:rPr>
        <w:t>13.1</w:t>
      </w:r>
      <w:r>
        <w:rPr/>
        <w:tab/>
      </w:r>
      <w:r>
        <w:rPr>
          <w:spacing w:val="-2"/>
        </w:rPr>
        <w:t>These</w:t>
      </w:r>
      <w:r>
        <w:rPr>
          <w:spacing w:val="-9"/>
        </w:rPr>
        <w:t> </w:t>
      </w:r>
      <w:r>
        <w:rPr>
          <w:spacing w:val="-2"/>
        </w:rPr>
        <w:t>terms</w:t>
      </w:r>
      <w:r>
        <w:rPr>
          <w:spacing w:val="-12"/>
        </w:rPr>
        <w:t> </w:t>
      </w:r>
      <w:r>
        <w:rPr>
          <w:spacing w:val="-2"/>
        </w:rPr>
        <w:t>of</w:t>
      </w:r>
      <w:r>
        <w:rPr>
          <w:spacing w:val="-14"/>
        </w:rPr>
        <w:t> </w:t>
      </w:r>
      <w:r>
        <w:rPr>
          <w:spacing w:val="-2"/>
        </w:rPr>
        <w:t>reference</w:t>
      </w:r>
      <w:r>
        <w:rPr>
          <w:spacing w:val="-11"/>
        </w:rPr>
        <w:t> </w:t>
      </w:r>
      <w:r>
        <w:rPr>
          <w:spacing w:val="-2"/>
        </w:rPr>
        <w:t>and</w:t>
      </w:r>
      <w:r>
        <w:rPr>
          <w:spacing w:val="-11"/>
        </w:rPr>
        <w:t> </w:t>
      </w:r>
      <w:r>
        <w:rPr>
          <w:spacing w:val="-2"/>
        </w:rPr>
        <w:t>operating</w:t>
      </w:r>
      <w:r>
        <w:rPr>
          <w:spacing w:val="-11"/>
        </w:rPr>
        <w:t> </w:t>
      </w:r>
      <w:r>
        <w:rPr>
          <w:spacing w:val="-2"/>
        </w:rPr>
        <w:t>arrangements</w:t>
      </w:r>
      <w:r>
        <w:rPr>
          <w:spacing w:val="-12"/>
        </w:rPr>
        <w:t> </w:t>
      </w:r>
      <w:r>
        <w:rPr>
          <w:spacing w:val="-2"/>
        </w:rPr>
        <w:t>shall</w:t>
      </w:r>
      <w:r>
        <w:rPr>
          <w:spacing w:val="-11"/>
        </w:rPr>
        <w:t> </w:t>
      </w:r>
      <w:r>
        <w:rPr>
          <w:spacing w:val="-2"/>
        </w:rPr>
        <w:t>be</w:t>
      </w:r>
      <w:r>
        <w:rPr>
          <w:spacing w:val="-11"/>
        </w:rPr>
        <w:t> </w:t>
      </w:r>
      <w:r>
        <w:rPr>
          <w:spacing w:val="-2"/>
        </w:rPr>
        <w:t>reviewed</w:t>
      </w:r>
      <w:r>
        <w:rPr>
          <w:spacing w:val="-11"/>
        </w:rPr>
        <w:t> </w:t>
      </w:r>
      <w:r>
        <w:rPr>
          <w:spacing w:val="-2"/>
        </w:rPr>
        <w:t>on</w:t>
      </w:r>
      <w:r>
        <w:rPr>
          <w:spacing w:val="-11"/>
        </w:rPr>
        <w:t> </w:t>
      </w:r>
      <w:r>
        <w:rPr>
          <w:spacing w:val="-2"/>
        </w:rPr>
        <w:t>at</w:t>
      </w:r>
      <w:r>
        <w:rPr>
          <w:spacing w:val="-15"/>
        </w:rPr>
        <w:t> </w:t>
      </w:r>
      <w:r>
        <w:rPr>
          <w:spacing w:val="-2"/>
        </w:rPr>
        <w:t>least</w:t>
      </w:r>
      <w:r>
        <w:rPr>
          <w:spacing w:val="-13"/>
        </w:rPr>
        <w:t> </w:t>
      </w:r>
      <w:r>
        <w:rPr>
          <w:spacing w:val="-2"/>
        </w:rPr>
        <w:t>an </w:t>
      </w:r>
      <w:r>
        <w:rPr/>
        <w:t>annual</w:t>
      </w:r>
      <w:r>
        <w:rPr>
          <w:spacing w:val="-13"/>
        </w:rPr>
        <w:t> </w:t>
      </w:r>
      <w:r>
        <w:rPr/>
        <w:t>basis</w:t>
      </w:r>
      <w:r>
        <w:rPr>
          <w:spacing w:val="-9"/>
        </w:rPr>
        <w:t> </w:t>
      </w:r>
      <w:r>
        <w:rPr/>
        <w:t>by</w:t>
      </w:r>
      <w:r>
        <w:rPr>
          <w:spacing w:val="-9"/>
        </w:rPr>
        <w:t> </w:t>
      </w:r>
      <w:r>
        <w:rPr/>
        <w:t>the</w:t>
      </w:r>
      <w:r>
        <w:rPr>
          <w:spacing w:val="-8"/>
        </w:rPr>
        <w:t> </w:t>
      </w:r>
      <w:r>
        <w:rPr/>
        <w:t>Regional</w:t>
      </w:r>
      <w:r>
        <w:rPr>
          <w:spacing w:val="-8"/>
        </w:rPr>
        <w:t> </w:t>
      </w:r>
      <w:r>
        <w:rPr/>
        <w:t>Workforce</w:t>
      </w:r>
      <w:r>
        <w:rPr>
          <w:spacing w:val="-8"/>
        </w:rPr>
        <w:t> </w:t>
      </w:r>
      <w:r>
        <w:rPr/>
        <w:t>&amp;</w:t>
      </w:r>
      <w:r>
        <w:rPr>
          <w:spacing w:val="-9"/>
        </w:rPr>
        <w:t> </w:t>
      </w:r>
      <w:r>
        <w:rPr/>
        <w:t>OD</w:t>
      </w:r>
      <w:r>
        <w:rPr>
          <w:spacing w:val="-3"/>
        </w:rPr>
        <w:t> </w:t>
      </w:r>
      <w:r>
        <w:rPr/>
        <w:t>Subgroup</w:t>
      </w:r>
      <w:r>
        <w:rPr>
          <w:spacing w:val="-8"/>
        </w:rPr>
        <w:t> </w:t>
      </w:r>
      <w:r>
        <w:rPr/>
        <w:t>for</w:t>
      </w:r>
      <w:r>
        <w:rPr>
          <w:spacing w:val="-9"/>
        </w:rPr>
        <w:t> </w:t>
      </w:r>
      <w:r>
        <w:rPr/>
        <w:t>approval</w:t>
      </w:r>
      <w:r>
        <w:rPr>
          <w:spacing w:val="-8"/>
        </w:rPr>
        <w:t> </w:t>
      </w:r>
      <w:r>
        <w:rPr/>
        <w:t>by</w:t>
      </w:r>
      <w:r>
        <w:rPr>
          <w:spacing w:val="-5"/>
        </w:rPr>
        <w:t> </w:t>
      </w:r>
      <w:r>
        <w:rPr/>
        <w:t>the</w:t>
      </w:r>
      <w:r>
        <w:rPr>
          <w:spacing w:val="-8"/>
        </w:rPr>
        <w:t> </w:t>
      </w:r>
      <w:r>
        <w:rPr/>
        <w:t>RJC.</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6"/>
        <w:rPr>
          <w:sz w:val="20"/>
        </w:rPr>
      </w:pPr>
    </w:p>
    <w:p>
      <w:pPr>
        <w:spacing w:before="0"/>
        <w:ind w:left="4" w:right="284" w:firstLine="0"/>
        <w:jc w:val="center"/>
        <w:rPr>
          <w:sz w:val="20"/>
        </w:rPr>
      </w:pPr>
      <w:r>
        <w:rPr>
          <w:spacing w:val="-10"/>
          <w:sz w:val="20"/>
        </w:rPr>
        <w:t>5</w:t>
      </w:r>
    </w:p>
    <w:p>
      <w:pPr>
        <w:spacing w:after="0"/>
        <w:jc w:val="center"/>
        <w:rPr>
          <w:sz w:val="20"/>
        </w:rPr>
        <w:sectPr>
          <w:pgSz w:w="11910" w:h="16840"/>
          <w:pgMar w:header="0" w:footer="149" w:top="920" w:bottom="340" w:left="708" w:right="425"/>
        </w:sectPr>
      </w:pPr>
    </w:p>
    <w:p>
      <w:pPr>
        <w:spacing w:line="240" w:lineRule="auto"/>
        <w:ind w:left="143" w:right="0" w:firstLine="0"/>
        <w:rPr>
          <w:sz w:val="20"/>
        </w:rPr>
      </w:pPr>
      <w:r>
        <w:rPr>
          <w:sz w:val="20"/>
        </w:rPr>
        <w:drawing>
          <wp:anchor distT="0" distB="0" distL="0" distR="0" allowOverlap="1" layoutInCell="1" locked="0" behindDoc="1" simplePos="0" relativeHeight="477193728">
            <wp:simplePos x="0" y="0"/>
            <wp:positionH relativeFrom="page">
              <wp:posOffset>5162550</wp:posOffset>
            </wp:positionH>
            <wp:positionV relativeFrom="page">
              <wp:posOffset>628611</wp:posOffset>
            </wp:positionV>
            <wp:extent cx="1887952" cy="511587"/>
            <wp:effectExtent l="0" t="0" r="0" b="0"/>
            <wp:wrapNone/>
            <wp:docPr id="556" name="Image 556" descr="hywel dda"/>
            <wp:cNvGraphicFramePr>
              <a:graphicFrameLocks/>
            </wp:cNvGraphicFramePr>
            <a:graphic>
              <a:graphicData uri="http://schemas.openxmlformats.org/drawingml/2006/picture">
                <pic:pic>
                  <pic:nvPicPr>
                    <pic:cNvPr id="556" name="Image 556" descr="hywel dda"/>
                    <pic:cNvPicPr/>
                  </pic:nvPicPr>
                  <pic:blipFill>
                    <a:blip r:embed="rId73" cstate="print"/>
                    <a:stretch>
                      <a:fillRect/>
                    </a:stretch>
                  </pic:blipFill>
                  <pic:spPr>
                    <a:xfrm>
                      <a:off x="0" y="0"/>
                      <a:ext cx="1887952" cy="511587"/>
                    </a:xfrm>
                    <a:prstGeom prst="rect">
                      <a:avLst/>
                    </a:prstGeom>
                  </pic:spPr>
                </pic:pic>
              </a:graphicData>
            </a:graphic>
          </wp:anchor>
        </w:drawing>
      </w:r>
      <w:r>
        <w:rPr>
          <w:sz w:val="20"/>
        </w:rPr>
        <mc:AlternateContent>
          <mc:Choice Requires="wps">
            <w:drawing>
              <wp:inline distT="0" distB="0" distL="0" distR="0">
                <wp:extent cx="6145530" cy="4427855"/>
                <wp:effectExtent l="0" t="0" r="0" b="1270"/>
                <wp:docPr id="557" name="Group 557"/>
                <wp:cNvGraphicFramePr>
                  <a:graphicFrameLocks/>
                </wp:cNvGraphicFramePr>
                <a:graphic>
                  <a:graphicData uri="http://schemas.microsoft.com/office/word/2010/wordprocessingGroup">
                    <wpg:wgp>
                      <wpg:cNvPr id="557" name="Group 557"/>
                      <wpg:cNvGrpSpPr/>
                      <wpg:grpSpPr>
                        <a:xfrm>
                          <a:off x="0" y="0"/>
                          <a:ext cx="6145530" cy="4427855"/>
                          <a:chExt cx="6145530" cy="4427855"/>
                        </a:xfrm>
                      </wpg:grpSpPr>
                      <pic:pic>
                        <pic:nvPicPr>
                          <pic:cNvPr id="558" name="Image 558"/>
                          <pic:cNvPicPr/>
                        </pic:nvPicPr>
                        <pic:blipFill>
                          <a:blip r:embed="rId72" cstate="print"/>
                          <a:stretch>
                            <a:fillRect/>
                          </a:stretch>
                        </pic:blipFill>
                        <pic:spPr>
                          <a:xfrm>
                            <a:off x="0" y="0"/>
                            <a:ext cx="2032635" cy="515531"/>
                          </a:xfrm>
                          <a:prstGeom prst="rect">
                            <a:avLst/>
                          </a:prstGeom>
                        </pic:spPr>
                      </pic:pic>
                      <wps:wsp>
                        <wps:cNvPr id="559" name="Graphic 559"/>
                        <wps:cNvSpPr/>
                        <wps:spPr>
                          <a:xfrm>
                            <a:off x="1842770" y="1787728"/>
                            <a:ext cx="3057525" cy="1044575"/>
                          </a:xfrm>
                          <a:custGeom>
                            <a:avLst/>
                            <a:gdLst/>
                            <a:ahLst/>
                            <a:cxnLst/>
                            <a:rect l="l" t="t" r="r" b="b"/>
                            <a:pathLst>
                              <a:path w="3057525" h="1044575">
                                <a:moveTo>
                                  <a:pt x="0" y="1044409"/>
                                </a:moveTo>
                                <a:lnTo>
                                  <a:pt x="3057524" y="1044409"/>
                                </a:lnTo>
                                <a:lnTo>
                                  <a:pt x="3057524" y="0"/>
                                </a:lnTo>
                                <a:lnTo>
                                  <a:pt x="0" y="0"/>
                                </a:lnTo>
                                <a:lnTo>
                                  <a:pt x="0" y="1044409"/>
                                </a:lnTo>
                                <a:close/>
                              </a:path>
                            </a:pathLst>
                          </a:custGeom>
                          <a:ln w="9525">
                            <a:solidFill>
                              <a:srgbClr val="394871"/>
                            </a:solidFill>
                            <a:prstDash val="solid"/>
                          </a:ln>
                        </wps:spPr>
                        <wps:bodyPr wrap="square" lIns="0" tIns="0" rIns="0" bIns="0" rtlCol="0">
                          <a:prstTxWarp prst="textNoShape">
                            <a:avLst/>
                          </a:prstTxWarp>
                          <a:noAutofit/>
                        </wps:bodyPr>
                      </wps:wsp>
                      <wps:wsp>
                        <wps:cNvPr id="560" name="Graphic 560"/>
                        <wps:cNvSpPr/>
                        <wps:spPr>
                          <a:xfrm>
                            <a:off x="2389505" y="1417865"/>
                            <a:ext cx="2047239" cy="1962785"/>
                          </a:xfrm>
                          <a:custGeom>
                            <a:avLst/>
                            <a:gdLst/>
                            <a:ahLst/>
                            <a:cxnLst/>
                            <a:rect l="l" t="t" r="r" b="b"/>
                            <a:pathLst>
                              <a:path w="2047239" h="1962785">
                                <a:moveTo>
                                  <a:pt x="76200" y="293624"/>
                                </a:moveTo>
                                <a:lnTo>
                                  <a:pt x="42799" y="293624"/>
                                </a:lnTo>
                                <a:lnTo>
                                  <a:pt x="42799" y="0"/>
                                </a:lnTo>
                                <a:lnTo>
                                  <a:pt x="33274" y="0"/>
                                </a:lnTo>
                                <a:lnTo>
                                  <a:pt x="33274" y="293624"/>
                                </a:lnTo>
                                <a:lnTo>
                                  <a:pt x="0" y="293624"/>
                                </a:lnTo>
                                <a:lnTo>
                                  <a:pt x="38100" y="369824"/>
                                </a:lnTo>
                                <a:lnTo>
                                  <a:pt x="69850" y="306324"/>
                                </a:lnTo>
                                <a:lnTo>
                                  <a:pt x="76200" y="293624"/>
                                </a:lnTo>
                                <a:close/>
                              </a:path>
                              <a:path w="2047239" h="1962785">
                                <a:moveTo>
                                  <a:pt x="1060577" y="1885950"/>
                                </a:moveTo>
                                <a:lnTo>
                                  <a:pt x="1027226" y="1886458"/>
                                </a:lnTo>
                                <a:lnTo>
                                  <a:pt x="1020191" y="1417955"/>
                                </a:lnTo>
                                <a:lnTo>
                                  <a:pt x="1010666" y="1417955"/>
                                </a:lnTo>
                                <a:lnTo>
                                  <a:pt x="1017701" y="1885950"/>
                                </a:lnTo>
                                <a:lnTo>
                                  <a:pt x="1017701" y="1886597"/>
                                </a:lnTo>
                                <a:lnTo>
                                  <a:pt x="984377" y="1887093"/>
                                </a:lnTo>
                                <a:lnTo>
                                  <a:pt x="1023620" y="1962785"/>
                                </a:lnTo>
                                <a:lnTo>
                                  <a:pt x="1054150" y="1899285"/>
                                </a:lnTo>
                                <a:lnTo>
                                  <a:pt x="1060577" y="1885950"/>
                                </a:lnTo>
                                <a:close/>
                              </a:path>
                              <a:path w="2047239" h="1962785">
                                <a:moveTo>
                                  <a:pt x="2047240" y="293624"/>
                                </a:moveTo>
                                <a:lnTo>
                                  <a:pt x="2013839" y="293624"/>
                                </a:lnTo>
                                <a:lnTo>
                                  <a:pt x="2013839" y="0"/>
                                </a:lnTo>
                                <a:lnTo>
                                  <a:pt x="2004314" y="0"/>
                                </a:lnTo>
                                <a:lnTo>
                                  <a:pt x="2004314" y="293624"/>
                                </a:lnTo>
                                <a:lnTo>
                                  <a:pt x="1971040" y="293624"/>
                                </a:lnTo>
                                <a:lnTo>
                                  <a:pt x="2009140" y="369824"/>
                                </a:lnTo>
                                <a:lnTo>
                                  <a:pt x="2040890" y="306324"/>
                                </a:lnTo>
                                <a:lnTo>
                                  <a:pt x="2047240" y="293624"/>
                                </a:lnTo>
                                <a:close/>
                              </a:path>
                            </a:pathLst>
                          </a:custGeom>
                          <a:solidFill>
                            <a:srgbClr val="1F487C"/>
                          </a:solidFill>
                        </wps:spPr>
                        <wps:bodyPr wrap="square" lIns="0" tIns="0" rIns="0" bIns="0" rtlCol="0">
                          <a:prstTxWarp prst="textNoShape">
                            <a:avLst/>
                          </a:prstTxWarp>
                          <a:noAutofit/>
                        </wps:bodyPr>
                      </wps:wsp>
                      <wps:wsp>
                        <wps:cNvPr id="561" name="Textbox 561"/>
                        <wps:cNvSpPr txBox="1"/>
                        <wps:spPr>
                          <a:xfrm>
                            <a:off x="1874202" y="3373856"/>
                            <a:ext cx="3067050" cy="1053465"/>
                          </a:xfrm>
                          <a:prstGeom prst="rect">
                            <a:avLst/>
                          </a:prstGeom>
                          <a:solidFill>
                            <a:srgbClr val="394871"/>
                          </a:solidFill>
                          <a:ln w="0">
                            <a:solidFill>
                              <a:srgbClr val="394871"/>
                            </a:solidFill>
                            <a:prstDash val="solid"/>
                          </a:ln>
                        </wps:spPr>
                        <wps:txbx>
                          <w:txbxContent>
                            <w:p>
                              <w:pPr>
                                <w:spacing w:line="240" w:lineRule="auto" w:before="0"/>
                                <w:rPr>
                                  <w:color w:val="000000"/>
                                  <w:sz w:val="24"/>
                                </w:rPr>
                              </w:pPr>
                            </w:p>
                            <w:p>
                              <w:pPr>
                                <w:spacing w:line="240" w:lineRule="auto" w:before="140"/>
                                <w:rPr>
                                  <w:color w:val="000000"/>
                                  <w:sz w:val="24"/>
                                </w:rPr>
                              </w:pPr>
                            </w:p>
                            <w:p>
                              <w:pPr>
                                <w:spacing w:before="1"/>
                                <w:ind w:left="384" w:right="0" w:firstLine="0"/>
                                <w:jc w:val="left"/>
                                <w:rPr>
                                  <w:b/>
                                  <w:color w:val="000000"/>
                                  <w:sz w:val="24"/>
                                </w:rPr>
                              </w:pPr>
                              <w:bookmarkStart w:name="RJC 41f Regional Health Economy Subgroup" w:id="69"/>
                              <w:bookmarkEnd w:id="69"/>
                              <w:r>
                                <w:rPr>
                                  <w:color w:val="000000"/>
                                </w:rPr>
                              </w:r>
                              <w:r>
                                <w:rPr>
                                  <w:b/>
                                  <w:color w:val="FFFFFF"/>
                                  <w:spacing w:val="-2"/>
                                  <w:sz w:val="24"/>
                                </w:rPr>
                                <w:t>Regional</w:t>
                              </w:r>
                              <w:r>
                                <w:rPr>
                                  <w:b/>
                                  <w:color w:val="FFFFFF"/>
                                  <w:spacing w:val="-15"/>
                                  <w:sz w:val="24"/>
                                </w:rPr>
                                <w:t> </w:t>
                              </w:r>
                              <w:r>
                                <w:rPr>
                                  <w:b/>
                                  <w:color w:val="FFFFFF"/>
                                  <w:spacing w:val="-2"/>
                                  <w:sz w:val="24"/>
                                </w:rPr>
                                <w:t>Health</w:t>
                              </w:r>
                              <w:r>
                                <w:rPr>
                                  <w:b/>
                                  <w:color w:val="FFFFFF"/>
                                  <w:spacing w:val="-15"/>
                                  <w:sz w:val="24"/>
                                </w:rPr>
                                <w:t> </w:t>
                              </w:r>
                              <w:r>
                                <w:rPr>
                                  <w:b/>
                                  <w:color w:val="FFFFFF"/>
                                  <w:spacing w:val="-2"/>
                                  <w:sz w:val="24"/>
                                </w:rPr>
                                <w:t>Economy</w:t>
                              </w:r>
                              <w:r>
                                <w:rPr>
                                  <w:b/>
                                  <w:color w:val="FFFFFF"/>
                                  <w:spacing w:val="-14"/>
                                  <w:sz w:val="24"/>
                                </w:rPr>
                                <w:t> </w:t>
                              </w:r>
                              <w:r>
                                <w:rPr>
                                  <w:b/>
                                  <w:color w:val="FFFFFF"/>
                                  <w:spacing w:val="-2"/>
                                  <w:sz w:val="24"/>
                                </w:rPr>
                                <w:t>Subgroup</w:t>
                              </w:r>
                            </w:p>
                          </w:txbxContent>
                        </wps:txbx>
                        <wps:bodyPr wrap="square" lIns="0" tIns="0" rIns="0" bIns="0" rtlCol="0">
                          <a:noAutofit/>
                        </wps:bodyPr>
                      </wps:wsp>
                      <wps:wsp>
                        <wps:cNvPr id="562" name="Textbox 562"/>
                        <wps:cNvSpPr txBox="1"/>
                        <wps:spPr>
                          <a:xfrm>
                            <a:off x="1838007" y="1782965"/>
                            <a:ext cx="3067050" cy="1054100"/>
                          </a:xfrm>
                          <a:prstGeom prst="rect">
                            <a:avLst/>
                          </a:prstGeom>
                          <a:solidFill>
                            <a:srgbClr val="394871"/>
                          </a:solidFill>
                        </wps:spPr>
                        <wps:txbx>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wps:txbx>
                        <wps:bodyPr wrap="square" lIns="0" tIns="0" rIns="0" bIns="0" rtlCol="0">
                          <a:noAutofit/>
                        </wps:bodyPr>
                      </wps:wsp>
                      <wps:wsp>
                        <wps:cNvPr id="563" name="Textbox 563"/>
                        <wps:cNvSpPr txBox="1"/>
                        <wps:spPr>
                          <a:xfrm>
                            <a:off x="3677284" y="536651"/>
                            <a:ext cx="24587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s:wsp>
                        <wps:cNvPr id="564" name="Textbox 564"/>
                        <wps:cNvSpPr txBox="1"/>
                        <wps:spPr>
                          <a:xfrm>
                            <a:off x="639444" y="542747"/>
                            <a:ext cx="2407920" cy="881380"/>
                          </a:xfrm>
                          <a:prstGeom prst="rect">
                            <a:avLst/>
                          </a:prstGeom>
                          <a:solidFill>
                            <a:srgbClr val="C1A875"/>
                          </a:solidFill>
                          <a:ln w="19050">
                            <a:solidFill>
                              <a:srgbClr val="394871"/>
                            </a:solidFill>
                            <a:prstDash val="solid"/>
                          </a:ln>
                        </wps:spPr>
                        <wps:txbx>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wps:txbx>
                        <wps:bodyPr wrap="square" lIns="0" tIns="0" rIns="0" bIns="0" rtlCol="0">
                          <a:noAutofit/>
                        </wps:bodyPr>
                      </wps:wsp>
                    </wpg:wgp>
                  </a:graphicData>
                </a:graphic>
              </wp:inline>
            </w:drawing>
          </mc:Choice>
          <mc:Fallback>
            <w:pict>
              <v:group style="width:483.9pt;height:348.65pt;mso-position-horizontal-relative:char;mso-position-vertical-relative:line" id="docshapegroup333" coordorigin="0,0" coordsize="9678,6973">
                <v:shape style="position:absolute;left:0;top:0;width:3201;height:812" type="#_x0000_t75" id="docshape334" stroked="false">
                  <v:imagedata r:id="rId72" o:title=""/>
                </v:shape>
                <v:rect style="position:absolute;left:2902;top:2815;width:4815;height:1645" id="docshape335" filled="false" stroked="true" strokeweight=".75pt" strokecolor="#394871">
                  <v:stroke dashstyle="solid"/>
                </v:rect>
                <v:shape style="position:absolute;left:3763;top:2232;width:3224;height:3091" id="docshape336" coordorigin="3763,2233" coordsize="3224,3091" path="m3883,2695l3830,2695,3830,2233,3815,2233,3815,2695,3763,2695,3823,2815,3873,2715,3883,2695xm5433,5203l5381,5204,5370,4466,5355,4466,5366,5203,5366,5204,5313,5205,5375,5324,5423,5224,5433,5203xm6987,2695l6934,2695,6934,2233,6919,2233,6919,2695,6867,2695,6927,2815,6977,2715,6987,2695xe" filled="true" fillcolor="#1f487c" stroked="false">
                  <v:path arrowok="t"/>
                  <v:fill type="solid"/>
                </v:shape>
                <v:shape style="position:absolute;left:2951;top:5313;width:4830;height:1659" type="#_x0000_t202" id="docshape337" filled="true" fillcolor="#394871" stroked="true" strokeweight="0pt" strokecolor="#394871">
                  <v:textbox inset="0,0,0,0">
                    <w:txbxContent>
                      <w:p>
                        <w:pPr>
                          <w:spacing w:line="240" w:lineRule="auto" w:before="0"/>
                          <w:rPr>
                            <w:color w:val="000000"/>
                            <w:sz w:val="24"/>
                          </w:rPr>
                        </w:pPr>
                      </w:p>
                      <w:p>
                        <w:pPr>
                          <w:spacing w:line="240" w:lineRule="auto" w:before="140"/>
                          <w:rPr>
                            <w:color w:val="000000"/>
                            <w:sz w:val="24"/>
                          </w:rPr>
                        </w:pPr>
                      </w:p>
                      <w:p>
                        <w:pPr>
                          <w:spacing w:before="1"/>
                          <w:ind w:left="384" w:right="0" w:firstLine="0"/>
                          <w:jc w:val="left"/>
                          <w:rPr>
                            <w:b/>
                            <w:color w:val="000000"/>
                            <w:sz w:val="24"/>
                          </w:rPr>
                        </w:pPr>
                        <w:bookmarkStart w:name="RJC 41f Regional Health Economy Subgroup" w:id="70"/>
                        <w:bookmarkEnd w:id="70"/>
                        <w:r>
                          <w:rPr>
                            <w:color w:val="000000"/>
                          </w:rPr>
                        </w:r>
                        <w:r>
                          <w:rPr>
                            <w:b/>
                            <w:color w:val="FFFFFF"/>
                            <w:spacing w:val="-2"/>
                            <w:sz w:val="24"/>
                          </w:rPr>
                          <w:t>Regional</w:t>
                        </w:r>
                        <w:r>
                          <w:rPr>
                            <w:b/>
                            <w:color w:val="FFFFFF"/>
                            <w:spacing w:val="-15"/>
                            <w:sz w:val="24"/>
                          </w:rPr>
                          <w:t> </w:t>
                        </w:r>
                        <w:r>
                          <w:rPr>
                            <w:b/>
                            <w:color w:val="FFFFFF"/>
                            <w:spacing w:val="-2"/>
                            <w:sz w:val="24"/>
                          </w:rPr>
                          <w:t>Health</w:t>
                        </w:r>
                        <w:r>
                          <w:rPr>
                            <w:b/>
                            <w:color w:val="FFFFFF"/>
                            <w:spacing w:val="-15"/>
                            <w:sz w:val="24"/>
                          </w:rPr>
                          <w:t> </w:t>
                        </w:r>
                        <w:r>
                          <w:rPr>
                            <w:b/>
                            <w:color w:val="FFFFFF"/>
                            <w:spacing w:val="-2"/>
                            <w:sz w:val="24"/>
                          </w:rPr>
                          <w:t>Economy</w:t>
                        </w:r>
                        <w:r>
                          <w:rPr>
                            <w:b/>
                            <w:color w:val="FFFFFF"/>
                            <w:spacing w:val="-14"/>
                            <w:sz w:val="24"/>
                          </w:rPr>
                          <w:t> </w:t>
                        </w:r>
                        <w:r>
                          <w:rPr>
                            <w:b/>
                            <w:color w:val="FFFFFF"/>
                            <w:spacing w:val="-2"/>
                            <w:sz w:val="24"/>
                          </w:rPr>
                          <w:t>Subgroup</w:t>
                        </w:r>
                      </w:p>
                    </w:txbxContent>
                  </v:textbox>
                  <v:fill type="solid"/>
                  <v:stroke dashstyle="solid"/>
                  <w10:wrap type="none"/>
                </v:shape>
                <v:shape style="position:absolute;left:2894;top:2807;width:4830;height:1660" type="#_x0000_t202" id="docshape338" filled="true" fillcolor="#394871" stroked="false">
                  <v:textbox inset="0,0,0,0">
                    <w:txbxContent>
                      <w:p>
                        <w:pPr>
                          <w:spacing w:line="240" w:lineRule="auto" w:before="141"/>
                          <w:rPr>
                            <w:color w:val="000000"/>
                            <w:sz w:val="24"/>
                          </w:rPr>
                        </w:pPr>
                      </w:p>
                      <w:p>
                        <w:pPr>
                          <w:spacing w:before="0"/>
                          <w:ind w:left="105" w:right="10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Joint</w:t>
                        </w:r>
                        <w:r>
                          <w:rPr>
                            <w:b/>
                            <w:color w:val="FFFFFF"/>
                            <w:spacing w:val="-15"/>
                            <w:sz w:val="24"/>
                          </w:rPr>
                          <w:t> </w:t>
                        </w:r>
                        <w:r>
                          <w:rPr>
                            <w:b/>
                            <w:color w:val="FFFFFF"/>
                            <w:spacing w:val="-2"/>
                            <w:sz w:val="24"/>
                          </w:rPr>
                          <w:t>Committee</w:t>
                        </w:r>
                        <w:r>
                          <w:rPr>
                            <w:b/>
                            <w:color w:val="FFFFFF"/>
                            <w:spacing w:val="-15"/>
                            <w:sz w:val="24"/>
                          </w:rPr>
                          <w:t> </w:t>
                        </w:r>
                        <w:r>
                          <w:rPr>
                            <w:b/>
                            <w:color w:val="FFFFFF"/>
                            <w:spacing w:val="-2"/>
                            <w:sz w:val="24"/>
                          </w:rPr>
                          <w:t>of</w:t>
                        </w:r>
                        <w:r>
                          <w:rPr>
                            <w:b/>
                            <w:color w:val="FFFFFF"/>
                            <w:spacing w:val="-15"/>
                            <w:sz w:val="24"/>
                          </w:rPr>
                          <w:t> </w:t>
                        </w:r>
                        <w:r>
                          <w:rPr>
                            <w:b/>
                            <w:color w:val="FFFFFF"/>
                            <w:spacing w:val="-2"/>
                            <w:sz w:val="24"/>
                          </w:rPr>
                          <w:t>Swansea </w:t>
                        </w:r>
                        <w:r>
                          <w:rPr>
                            <w:b/>
                            <w:color w:val="FFFFFF"/>
                            <w:sz w:val="24"/>
                          </w:rPr>
                          <w:t>Bay</w:t>
                        </w:r>
                        <w:r>
                          <w:rPr>
                            <w:b/>
                            <w:color w:val="FFFFFF"/>
                            <w:spacing w:val="-8"/>
                            <w:sz w:val="24"/>
                          </w:rPr>
                          <w:t> </w:t>
                        </w:r>
                        <w:r>
                          <w:rPr>
                            <w:b/>
                            <w:color w:val="FFFFFF"/>
                            <w:sz w:val="24"/>
                          </w:rPr>
                          <w:t>and</w:t>
                        </w:r>
                        <w:r>
                          <w:rPr>
                            <w:b/>
                            <w:color w:val="FFFFFF"/>
                            <w:spacing w:val="-11"/>
                            <w:sz w:val="24"/>
                          </w:rPr>
                          <w:t> </w:t>
                        </w:r>
                        <w:r>
                          <w:rPr>
                            <w:b/>
                            <w:color w:val="FFFFFF"/>
                            <w:sz w:val="24"/>
                          </w:rPr>
                          <w:t>Hywel</w:t>
                        </w:r>
                        <w:r>
                          <w:rPr>
                            <w:b/>
                            <w:color w:val="FFFFFF"/>
                            <w:spacing w:val="-6"/>
                            <w:sz w:val="24"/>
                          </w:rPr>
                          <w:t> </w:t>
                        </w:r>
                        <w:r>
                          <w:rPr>
                            <w:b/>
                            <w:color w:val="FFFFFF"/>
                            <w:sz w:val="24"/>
                          </w:rPr>
                          <w:t>Dda</w:t>
                        </w:r>
                        <w:r>
                          <w:rPr>
                            <w:b/>
                            <w:color w:val="FFFFFF"/>
                            <w:spacing w:val="-8"/>
                            <w:sz w:val="24"/>
                          </w:rPr>
                          <w:t> </w:t>
                        </w:r>
                        <w:r>
                          <w:rPr>
                            <w:b/>
                            <w:color w:val="FFFFFF"/>
                            <w:sz w:val="24"/>
                          </w:rPr>
                          <w:t>University</w:t>
                        </w:r>
                        <w:r>
                          <w:rPr>
                            <w:b/>
                            <w:color w:val="FFFFFF"/>
                            <w:spacing w:val="-8"/>
                            <w:sz w:val="24"/>
                          </w:rPr>
                          <w:t> </w:t>
                        </w:r>
                        <w:r>
                          <w:rPr>
                            <w:b/>
                            <w:color w:val="FFFFFF"/>
                            <w:sz w:val="24"/>
                          </w:rPr>
                          <w:t>Health </w:t>
                        </w:r>
                        <w:r>
                          <w:rPr>
                            <w:b/>
                            <w:color w:val="FFFFFF"/>
                            <w:spacing w:val="-2"/>
                            <w:sz w:val="24"/>
                          </w:rPr>
                          <w:t>Boards</w:t>
                        </w:r>
                      </w:p>
                    </w:txbxContent>
                  </v:textbox>
                  <v:fill type="solid"/>
                  <w10:wrap type="none"/>
                </v:shape>
                <v:shape style="position:absolute;left:5791;top:845;width:3872;height:1388" type="#_x0000_t202" id="docshape339" filled="true" fillcolor="#c1a875" stroked="true" strokeweight="1.5pt" strokecolor="#394871">
                  <v:textbox inset="0,0,0,0">
                    <w:txbxContent>
                      <w:p>
                        <w:pPr>
                          <w:spacing w:line="240" w:lineRule="auto" w:before="128"/>
                          <w:rPr>
                            <w:color w:val="000000"/>
                            <w:sz w:val="24"/>
                          </w:rPr>
                        </w:pPr>
                      </w:p>
                      <w:p>
                        <w:pPr>
                          <w:spacing w:before="0"/>
                          <w:ind w:left="4" w:right="0" w:firstLine="0"/>
                          <w:jc w:val="center"/>
                          <w:rPr>
                            <w:b/>
                            <w:color w:val="000000"/>
                            <w:sz w:val="24"/>
                          </w:rPr>
                        </w:pPr>
                        <w:r>
                          <w:rPr>
                            <w:b/>
                            <w:color w:val="FFFFFF"/>
                            <w:spacing w:val="-4"/>
                            <w:sz w:val="24"/>
                          </w:rPr>
                          <w:t>Hywel</w:t>
                        </w:r>
                        <w:r>
                          <w:rPr>
                            <w:b/>
                            <w:color w:val="FFFFFF"/>
                            <w:spacing w:val="-5"/>
                            <w:sz w:val="24"/>
                          </w:rPr>
                          <w:t> Dda</w:t>
                        </w:r>
                      </w:p>
                      <w:p>
                        <w:pPr>
                          <w:spacing w:before="5"/>
                          <w:ind w:left="4" w:right="3"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shape style="position:absolute;left:1007;top:854;width:3792;height:1388" type="#_x0000_t202" id="docshape340" filled="true" fillcolor="#c1a875" stroked="true" strokeweight="1.5pt" strokecolor="#394871">
                  <v:textbox inset="0,0,0,0">
                    <w:txbxContent>
                      <w:p>
                        <w:pPr>
                          <w:spacing w:line="240" w:lineRule="auto" w:before="128"/>
                          <w:rPr>
                            <w:color w:val="000000"/>
                            <w:sz w:val="24"/>
                          </w:rPr>
                        </w:pPr>
                      </w:p>
                      <w:p>
                        <w:pPr>
                          <w:spacing w:line="276" w:lineRule="exact" w:before="1"/>
                          <w:ind w:left="1" w:right="2" w:firstLine="0"/>
                          <w:jc w:val="center"/>
                          <w:rPr>
                            <w:b/>
                            <w:color w:val="000000"/>
                            <w:sz w:val="24"/>
                          </w:rPr>
                        </w:pPr>
                        <w:r>
                          <w:rPr>
                            <w:b/>
                            <w:color w:val="FFFFFF"/>
                            <w:spacing w:val="-4"/>
                            <w:sz w:val="24"/>
                          </w:rPr>
                          <w:t>Swansea</w:t>
                        </w:r>
                        <w:r>
                          <w:rPr>
                            <w:b/>
                            <w:color w:val="FFFFFF"/>
                            <w:spacing w:val="-6"/>
                            <w:sz w:val="24"/>
                          </w:rPr>
                          <w:t> </w:t>
                        </w:r>
                        <w:r>
                          <w:rPr>
                            <w:b/>
                            <w:color w:val="FFFFFF"/>
                            <w:spacing w:val="-5"/>
                            <w:sz w:val="24"/>
                          </w:rPr>
                          <w:t>Bay</w:t>
                        </w:r>
                      </w:p>
                      <w:p>
                        <w:pPr>
                          <w:spacing w:line="276" w:lineRule="exact" w:before="0"/>
                          <w:ind w:left="0" w:right="2" w:firstLine="0"/>
                          <w:jc w:val="center"/>
                          <w:rPr>
                            <w:b/>
                            <w:color w:val="000000"/>
                            <w:sz w:val="24"/>
                          </w:rPr>
                        </w:pPr>
                        <w:r>
                          <w:rPr>
                            <w:b/>
                            <w:color w:val="FFFFFF"/>
                            <w:spacing w:val="-4"/>
                            <w:sz w:val="24"/>
                          </w:rPr>
                          <w:t>University</w:t>
                        </w:r>
                        <w:r>
                          <w:rPr>
                            <w:b/>
                            <w:color w:val="FFFFFF"/>
                            <w:spacing w:val="-3"/>
                            <w:sz w:val="24"/>
                          </w:rPr>
                          <w:t> </w:t>
                        </w:r>
                        <w:r>
                          <w:rPr>
                            <w:b/>
                            <w:color w:val="FFFFFF"/>
                            <w:spacing w:val="-4"/>
                            <w:sz w:val="24"/>
                          </w:rPr>
                          <w:t>Health</w:t>
                        </w:r>
                        <w:r>
                          <w:rPr>
                            <w:b/>
                            <w:color w:val="FFFFFF"/>
                            <w:spacing w:val="1"/>
                            <w:sz w:val="24"/>
                          </w:rPr>
                          <w:t> </w:t>
                        </w:r>
                        <w:r>
                          <w:rPr>
                            <w:b/>
                            <w:color w:val="FFFFFF"/>
                            <w:spacing w:val="-4"/>
                            <w:sz w:val="24"/>
                          </w:rPr>
                          <w:t>Board</w:t>
                        </w:r>
                      </w:p>
                    </w:txbxContent>
                  </v:textbox>
                  <v:fill type="solid"/>
                  <v:stroke dashstyle="solid"/>
                  <w10:wrap type="none"/>
                </v:shape>
              </v:group>
            </w:pict>
          </mc:Fallback>
        </mc:AlternateContent>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698432">
                <wp:simplePos x="0" y="0"/>
                <wp:positionH relativeFrom="page">
                  <wp:posOffset>559117</wp:posOffset>
                </wp:positionH>
                <wp:positionV relativeFrom="paragraph">
                  <wp:posOffset>236966</wp:posOffset>
                </wp:positionV>
                <wp:extent cx="6445250" cy="358775"/>
                <wp:effectExtent l="0" t="0" r="0" b="0"/>
                <wp:wrapTopAndBottom/>
                <wp:docPr id="565" name="Textbox 565"/>
                <wp:cNvGraphicFramePr>
                  <a:graphicFrameLocks/>
                </wp:cNvGraphicFramePr>
                <a:graphic>
                  <a:graphicData uri="http://schemas.microsoft.com/office/word/2010/wordprocessingShape">
                    <wps:wsp>
                      <wps:cNvPr id="565" name="Textbox 565"/>
                      <wps:cNvSpPr txBox="1"/>
                      <wps:spPr>
                        <a:xfrm>
                          <a:off x="0" y="0"/>
                          <a:ext cx="6445250" cy="358775"/>
                        </a:xfrm>
                        <a:prstGeom prst="rect">
                          <a:avLst/>
                        </a:prstGeom>
                        <a:solidFill>
                          <a:srgbClr val="C1A875"/>
                        </a:solidFill>
                        <a:ln w="38100">
                          <a:solidFill>
                            <a:srgbClr val="394871"/>
                          </a:solidFill>
                          <a:prstDash val="solid"/>
                        </a:ln>
                      </wps:spPr>
                      <wps:txbx>
                        <w:txbxContent>
                          <w:p>
                            <w:pPr>
                              <w:spacing w:before="115"/>
                              <w:ind w:left="6" w:right="2" w:firstLine="0"/>
                              <w:jc w:val="center"/>
                              <w:rPr>
                                <w:b/>
                                <w:color w:val="000000"/>
                                <w:sz w:val="24"/>
                              </w:rPr>
                            </w:pPr>
                            <w:r>
                              <w:rPr>
                                <w:b/>
                                <w:color w:val="000000"/>
                                <w:sz w:val="24"/>
                              </w:rPr>
                              <w:t>REGIONAL</w:t>
                            </w:r>
                            <w:r>
                              <w:rPr>
                                <w:b/>
                                <w:color w:val="000000"/>
                                <w:spacing w:val="-5"/>
                                <w:sz w:val="24"/>
                              </w:rPr>
                              <w:t> </w:t>
                            </w:r>
                            <w:r>
                              <w:rPr>
                                <w:b/>
                                <w:color w:val="000000"/>
                                <w:sz w:val="24"/>
                              </w:rPr>
                              <w:t>HEALTH</w:t>
                            </w:r>
                            <w:r>
                              <w:rPr>
                                <w:b/>
                                <w:color w:val="000000"/>
                                <w:spacing w:val="-2"/>
                                <w:sz w:val="24"/>
                              </w:rPr>
                              <w:t> </w:t>
                            </w:r>
                            <w:r>
                              <w:rPr>
                                <w:b/>
                                <w:color w:val="000000"/>
                                <w:sz w:val="24"/>
                              </w:rPr>
                              <w:t>ECONOMY</w:t>
                            </w:r>
                            <w:r>
                              <w:rPr>
                                <w:b/>
                                <w:color w:val="000000"/>
                                <w:spacing w:val="-1"/>
                                <w:sz w:val="24"/>
                              </w:rPr>
                              <w:t> </w:t>
                            </w:r>
                            <w:r>
                              <w:rPr>
                                <w:b/>
                                <w:color w:val="000000"/>
                                <w:spacing w:val="-2"/>
                                <w:sz w:val="24"/>
                              </w:rPr>
                              <w:t>SUBGROUP</w:t>
                            </w:r>
                          </w:p>
                        </w:txbxContent>
                      </wps:txbx>
                      <wps:bodyPr wrap="square" lIns="0" tIns="0" rIns="0" bIns="0" rtlCol="0">
                        <a:noAutofit/>
                      </wps:bodyPr>
                    </wps:wsp>
                  </a:graphicData>
                </a:graphic>
              </wp:anchor>
            </w:drawing>
          </mc:Choice>
          <mc:Fallback>
            <w:pict>
              <v:shape style="position:absolute;margin-left:44.025002pt;margin-top:18.658789pt;width:507.5pt;height:28.25pt;mso-position-horizontal-relative:page;mso-position-vertical-relative:paragraph;z-index:-15618048;mso-wrap-distance-left:0;mso-wrap-distance-right:0" type="#_x0000_t202" id="docshape341" filled="true" fillcolor="#c1a875" stroked="true" strokeweight="3pt" strokecolor="#394871">
                <v:textbox inset="0,0,0,0">
                  <w:txbxContent>
                    <w:p>
                      <w:pPr>
                        <w:spacing w:before="115"/>
                        <w:ind w:left="6" w:right="2" w:firstLine="0"/>
                        <w:jc w:val="center"/>
                        <w:rPr>
                          <w:b/>
                          <w:color w:val="000000"/>
                          <w:sz w:val="24"/>
                        </w:rPr>
                      </w:pPr>
                      <w:r>
                        <w:rPr>
                          <w:b/>
                          <w:color w:val="000000"/>
                          <w:sz w:val="24"/>
                        </w:rPr>
                        <w:t>REGIONAL</w:t>
                      </w:r>
                      <w:r>
                        <w:rPr>
                          <w:b/>
                          <w:color w:val="000000"/>
                          <w:spacing w:val="-5"/>
                          <w:sz w:val="24"/>
                        </w:rPr>
                        <w:t> </w:t>
                      </w:r>
                      <w:r>
                        <w:rPr>
                          <w:b/>
                          <w:color w:val="000000"/>
                          <w:sz w:val="24"/>
                        </w:rPr>
                        <w:t>HEALTH</w:t>
                      </w:r>
                      <w:r>
                        <w:rPr>
                          <w:b/>
                          <w:color w:val="000000"/>
                          <w:spacing w:val="-2"/>
                          <w:sz w:val="24"/>
                        </w:rPr>
                        <w:t> </w:t>
                      </w:r>
                      <w:r>
                        <w:rPr>
                          <w:b/>
                          <w:color w:val="000000"/>
                          <w:sz w:val="24"/>
                        </w:rPr>
                        <w:t>ECONOMY</w:t>
                      </w:r>
                      <w:r>
                        <w:rPr>
                          <w:b/>
                          <w:color w:val="000000"/>
                          <w:spacing w:val="-1"/>
                          <w:sz w:val="24"/>
                        </w:rPr>
                        <w:t> </w:t>
                      </w:r>
                      <w:r>
                        <w:rPr>
                          <w:b/>
                          <w:color w:val="000000"/>
                          <w:spacing w:val="-2"/>
                          <w:sz w:val="24"/>
                        </w:rPr>
                        <w:t>SUBGROUP</w:t>
                      </w:r>
                    </w:p>
                  </w:txbxContent>
                </v:textbox>
                <v:fill type="solid"/>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98944">
                <wp:simplePos x="0" y="0"/>
                <wp:positionH relativeFrom="page">
                  <wp:posOffset>554355</wp:posOffset>
                </wp:positionH>
                <wp:positionV relativeFrom="paragraph">
                  <wp:posOffset>791258</wp:posOffset>
                </wp:positionV>
                <wp:extent cx="6454775" cy="349250"/>
                <wp:effectExtent l="0" t="0" r="0" b="0"/>
                <wp:wrapTopAndBottom/>
                <wp:docPr id="566" name="Textbox 566"/>
                <wp:cNvGraphicFramePr>
                  <a:graphicFrameLocks/>
                </wp:cNvGraphicFramePr>
                <a:graphic>
                  <a:graphicData uri="http://schemas.microsoft.com/office/word/2010/wordprocessingShape">
                    <wps:wsp>
                      <wps:cNvPr id="566" name="Textbox 566"/>
                      <wps:cNvSpPr txBox="1"/>
                      <wps:spPr>
                        <a:xfrm>
                          <a:off x="0" y="0"/>
                          <a:ext cx="6454775" cy="349250"/>
                        </a:xfrm>
                        <a:prstGeom prst="rect">
                          <a:avLst/>
                        </a:prstGeom>
                        <a:solidFill>
                          <a:srgbClr val="394871"/>
                        </a:solidFill>
                        <a:ln w="28575">
                          <a:solidFill>
                            <a:srgbClr val="C1A875"/>
                          </a:solidFill>
                          <a:prstDash val="solid"/>
                        </a:ln>
                      </wps:spPr>
                      <wps:txbx>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wps:txbx>
                      <wps:bodyPr wrap="square" lIns="0" tIns="0" rIns="0" bIns="0" rtlCol="0">
                        <a:noAutofit/>
                      </wps:bodyPr>
                    </wps:wsp>
                  </a:graphicData>
                </a:graphic>
              </wp:anchor>
            </w:drawing>
          </mc:Choice>
          <mc:Fallback>
            <w:pict>
              <v:shape style="position:absolute;margin-left:43.650002pt;margin-top:62.303787pt;width:508.25pt;height:27.5pt;mso-position-horizontal-relative:page;mso-position-vertical-relative:paragraph;z-index:-15617536;mso-wrap-distance-left:0;mso-wrap-distance-right:0" type="#_x0000_t202" id="docshape342" filled="true" fillcolor="#394871" stroked="true" strokeweight="2.25pt" strokecolor="#c1a875">
                <v:textbox inset="0,0,0,0">
                  <w:txbxContent>
                    <w:p>
                      <w:pPr>
                        <w:spacing w:before="115"/>
                        <w:ind w:left="0" w:right="1" w:firstLine="0"/>
                        <w:jc w:val="center"/>
                        <w:rPr>
                          <w:b/>
                          <w:color w:val="000000"/>
                          <w:sz w:val="24"/>
                        </w:rPr>
                      </w:pPr>
                      <w:r>
                        <w:rPr>
                          <w:b/>
                          <w:color w:val="FFFFFF"/>
                          <w:spacing w:val="-2"/>
                          <w:sz w:val="24"/>
                        </w:rPr>
                        <w:t>TERMS</w:t>
                      </w:r>
                      <w:r>
                        <w:rPr>
                          <w:b/>
                          <w:color w:val="FFFFFF"/>
                          <w:spacing w:val="-11"/>
                          <w:sz w:val="24"/>
                        </w:rPr>
                        <w:t> </w:t>
                      </w:r>
                      <w:r>
                        <w:rPr>
                          <w:b/>
                          <w:color w:val="FFFFFF"/>
                          <w:spacing w:val="-2"/>
                          <w:sz w:val="24"/>
                        </w:rPr>
                        <w:t>OF</w:t>
                      </w:r>
                      <w:r>
                        <w:rPr>
                          <w:b/>
                          <w:color w:val="FFFFFF"/>
                          <w:spacing w:val="-11"/>
                          <w:sz w:val="24"/>
                        </w:rPr>
                        <w:t> </w:t>
                      </w:r>
                      <w:r>
                        <w:rPr>
                          <w:b/>
                          <w:color w:val="FFFFFF"/>
                          <w:spacing w:val="-2"/>
                          <w:sz w:val="24"/>
                        </w:rPr>
                        <w:t>REFERENCE</w:t>
                      </w:r>
                    </w:p>
                  </w:txbxContent>
                </v:textbox>
                <v:fill type="solid"/>
                <v:stroke dashstyle="solid"/>
                <w10:wrap type="topAndBottom"/>
              </v:shape>
            </w:pict>
          </mc:Fallback>
        </mc:AlternateContent>
      </w:r>
    </w:p>
    <w:p>
      <w:pPr>
        <w:pStyle w:val="BodyText"/>
        <w:spacing w:before="30"/>
        <w:rPr>
          <w:sz w:val="20"/>
        </w:rPr>
      </w:pPr>
    </w:p>
    <w:p>
      <w:pPr>
        <w:pStyle w:val="BodyText"/>
        <w:spacing w:before="22"/>
        <w:rPr>
          <w:sz w:val="20"/>
        </w:rPr>
      </w:pPr>
    </w:p>
    <w:tbl>
      <w:tblPr>
        <w:tblW w:w="0" w:type="auto"/>
        <w:jc w:val="left"/>
        <w:tblInd w:w="147" w:type="dxa"/>
        <w:tblBorders>
          <w:top w:val="single" w:sz="2" w:space="0" w:color="394871"/>
          <w:left w:val="single" w:sz="2" w:space="0" w:color="394871"/>
          <w:bottom w:val="single" w:sz="2" w:space="0" w:color="394871"/>
          <w:right w:val="single" w:sz="2" w:space="0" w:color="394871"/>
          <w:insideH w:val="single" w:sz="2" w:space="0" w:color="394871"/>
          <w:insideV w:val="single" w:sz="2" w:space="0" w:color="394871"/>
        </w:tblBorders>
        <w:tblLayout w:type="fixed"/>
        <w:tblCellMar>
          <w:top w:w="0" w:type="dxa"/>
          <w:left w:w="0" w:type="dxa"/>
          <w:bottom w:w="0" w:type="dxa"/>
          <w:right w:w="0" w:type="dxa"/>
        </w:tblCellMar>
        <w:tblLook w:val="01E0"/>
      </w:tblPr>
      <w:tblGrid>
        <w:gridCol w:w="1411"/>
        <w:gridCol w:w="3692"/>
        <w:gridCol w:w="2266"/>
        <w:gridCol w:w="2836"/>
      </w:tblGrid>
      <w:tr>
        <w:trPr>
          <w:trHeight w:val="300" w:hRule="atLeast"/>
        </w:trPr>
        <w:tc>
          <w:tcPr>
            <w:tcW w:w="1411" w:type="dxa"/>
            <w:shd w:val="clear" w:color="auto" w:fill="C1A875"/>
          </w:tcPr>
          <w:p>
            <w:pPr>
              <w:pStyle w:val="TableParagraph"/>
              <w:spacing w:line="265" w:lineRule="exact" w:before="15"/>
              <w:jc w:val="center"/>
              <w:rPr>
                <w:b/>
                <w:sz w:val="24"/>
              </w:rPr>
            </w:pPr>
            <w:r>
              <w:rPr>
                <w:b/>
                <w:spacing w:val="-2"/>
                <w:sz w:val="24"/>
              </w:rPr>
              <w:t>Version</w:t>
            </w:r>
          </w:p>
        </w:tc>
        <w:tc>
          <w:tcPr>
            <w:tcW w:w="3692" w:type="dxa"/>
            <w:shd w:val="clear" w:color="auto" w:fill="C1A875"/>
          </w:tcPr>
          <w:p>
            <w:pPr>
              <w:pStyle w:val="TableParagraph"/>
              <w:spacing w:line="265" w:lineRule="exact" w:before="15"/>
              <w:jc w:val="center"/>
              <w:rPr>
                <w:b/>
                <w:sz w:val="24"/>
              </w:rPr>
            </w:pPr>
            <w:r>
              <w:rPr>
                <w:b/>
                <w:sz w:val="24"/>
              </w:rPr>
              <w:t>Issued</w:t>
            </w:r>
            <w:r>
              <w:rPr>
                <w:b/>
                <w:spacing w:val="-5"/>
                <w:sz w:val="24"/>
              </w:rPr>
              <w:t> To</w:t>
            </w:r>
          </w:p>
        </w:tc>
        <w:tc>
          <w:tcPr>
            <w:tcW w:w="2266" w:type="dxa"/>
            <w:shd w:val="clear" w:color="auto" w:fill="C1A875"/>
          </w:tcPr>
          <w:p>
            <w:pPr>
              <w:pStyle w:val="TableParagraph"/>
              <w:spacing w:line="265" w:lineRule="exact" w:before="15"/>
              <w:ind w:left="6" w:right="1"/>
              <w:jc w:val="center"/>
              <w:rPr>
                <w:b/>
                <w:sz w:val="24"/>
              </w:rPr>
            </w:pPr>
            <w:r>
              <w:rPr>
                <w:b/>
                <w:spacing w:val="-4"/>
                <w:sz w:val="24"/>
              </w:rPr>
              <w:t>Date</w:t>
            </w:r>
          </w:p>
        </w:tc>
        <w:tc>
          <w:tcPr>
            <w:tcW w:w="2836" w:type="dxa"/>
            <w:shd w:val="clear" w:color="auto" w:fill="C1A875"/>
          </w:tcPr>
          <w:p>
            <w:pPr>
              <w:pStyle w:val="TableParagraph"/>
              <w:spacing w:line="265" w:lineRule="exact" w:before="15"/>
              <w:ind w:left="15"/>
              <w:jc w:val="center"/>
              <w:rPr>
                <w:b/>
                <w:sz w:val="24"/>
              </w:rPr>
            </w:pPr>
            <w:r>
              <w:rPr>
                <w:b/>
                <w:spacing w:val="-2"/>
                <w:sz w:val="24"/>
              </w:rPr>
              <w:t>Comments</w:t>
            </w:r>
          </w:p>
        </w:tc>
      </w:tr>
      <w:tr>
        <w:trPr>
          <w:trHeight w:val="300" w:hRule="atLeast"/>
        </w:trPr>
        <w:tc>
          <w:tcPr>
            <w:tcW w:w="1411" w:type="dxa"/>
            <w:shd w:val="clear" w:color="auto" w:fill="C1A875"/>
          </w:tcPr>
          <w:p>
            <w:pPr>
              <w:pStyle w:val="TableParagraph"/>
              <w:spacing w:line="265" w:lineRule="exact" w:before="15"/>
              <w:jc w:val="center"/>
              <w:rPr>
                <w:sz w:val="24"/>
              </w:rPr>
            </w:pPr>
            <w:r>
              <w:rPr>
                <w:spacing w:val="-4"/>
                <w:sz w:val="24"/>
              </w:rPr>
              <w:t>V1.0</w:t>
            </w:r>
          </w:p>
        </w:tc>
        <w:tc>
          <w:tcPr>
            <w:tcW w:w="3692" w:type="dxa"/>
          </w:tcPr>
          <w:p>
            <w:pPr>
              <w:pStyle w:val="TableParagraph"/>
              <w:rPr>
                <w:rFonts w:ascii="Times New Roman"/>
                <w:sz w:val="22"/>
              </w:rPr>
            </w:pPr>
          </w:p>
        </w:tc>
        <w:tc>
          <w:tcPr>
            <w:tcW w:w="2266" w:type="dxa"/>
          </w:tcPr>
          <w:p>
            <w:pPr>
              <w:pStyle w:val="TableParagraph"/>
              <w:spacing w:line="275" w:lineRule="exact" w:before="5"/>
              <w:ind w:left="6"/>
              <w:jc w:val="center"/>
              <w:rPr>
                <w:sz w:val="24"/>
              </w:rPr>
            </w:pPr>
            <w:r>
              <w:rPr>
                <w:spacing w:val="-2"/>
                <w:sz w:val="24"/>
              </w:rPr>
              <w:t>16/07/2025</w:t>
            </w:r>
          </w:p>
        </w:tc>
        <w:tc>
          <w:tcPr>
            <w:tcW w:w="2836" w:type="dxa"/>
          </w:tcPr>
          <w:p>
            <w:pPr>
              <w:pStyle w:val="TableParagraph"/>
              <w:ind w:left="15" w:right="9"/>
              <w:jc w:val="center"/>
              <w:rPr>
                <w:sz w:val="24"/>
              </w:rPr>
            </w:pPr>
            <w:r>
              <w:rPr>
                <w:spacing w:val="-2"/>
                <w:sz w:val="24"/>
              </w:rPr>
              <w:t>Drafted</w:t>
            </w:r>
          </w:p>
        </w:tc>
      </w:tr>
      <w:tr>
        <w:trPr>
          <w:trHeight w:val="555" w:hRule="atLeast"/>
        </w:trPr>
        <w:tc>
          <w:tcPr>
            <w:tcW w:w="1411" w:type="dxa"/>
            <w:shd w:val="clear" w:color="auto" w:fill="C1A875"/>
          </w:tcPr>
          <w:p>
            <w:pPr>
              <w:pStyle w:val="TableParagraph"/>
              <w:jc w:val="center"/>
              <w:rPr>
                <w:sz w:val="24"/>
              </w:rPr>
            </w:pPr>
            <w:r>
              <w:rPr>
                <w:spacing w:val="-5"/>
                <w:sz w:val="24"/>
              </w:rPr>
              <w:t>V.1</w:t>
            </w:r>
          </w:p>
        </w:tc>
        <w:tc>
          <w:tcPr>
            <w:tcW w:w="3692" w:type="dxa"/>
          </w:tcPr>
          <w:p>
            <w:pPr>
              <w:pStyle w:val="TableParagraph"/>
              <w:ind w:left="107"/>
              <w:rPr>
                <w:sz w:val="24"/>
              </w:rPr>
            </w:pPr>
            <w:r>
              <w:rPr>
                <w:sz w:val="24"/>
              </w:rPr>
              <w:t>RHE </w:t>
            </w:r>
            <w:r>
              <w:rPr>
                <w:spacing w:val="-2"/>
                <w:sz w:val="24"/>
              </w:rPr>
              <w:t>Subgroup</w:t>
            </w:r>
          </w:p>
        </w:tc>
        <w:tc>
          <w:tcPr>
            <w:tcW w:w="2266" w:type="dxa"/>
          </w:tcPr>
          <w:p>
            <w:pPr>
              <w:pStyle w:val="TableParagraph"/>
              <w:ind w:left="6" w:right="1"/>
              <w:jc w:val="center"/>
              <w:rPr>
                <w:sz w:val="24"/>
              </w:rPr>
            </w:pPr>
            <w:r>
              <w:rPr>
                <w:spacing w:val="-2"/>
                <w:sz w:val="24"/>
              </w:rPr>
              <w:t>14/10/2025</w:t>
            </w:r>
          </w:p>
        </w:tc>
        <w:tc>
          <w:tcPr>
            <w:tcW w:w="2836" w:type="dxa"/>
          </w:tcPr>
          <w:p>
            <w:pPr>
              <w:pStyle w:val="TableParagraph"/>
              <w:ind w:left="15" w:right="9"/>
              <w:jc w:val="center"/>
              <w:rPr>
                <w:sz w:val="24"/>
              </w:rPr>
            </w:pPr>
            <w:r>
              <w:rPr>
                <w:spacing w:val="-2"/>
                <w:sz w:val="24"/>
              </w:rPr>
              <w:t>Revised</w:t>
            </w:r>
          </w:p>
        </w:tc>
      </w:tr>
      <w:tr>
        <w:trPr>
          <w:trHeight w:val="300" w:hRule="atLeast"/>
        </w:trPr>
        <w:tc>
          <w:tcPr>
            <w:tcW w:w="1411" w:type="dxa"/>
            <w:shd w:val="clear" w:color="auto" w:fill="C1A875"/>
          </w:tcPr>
          <w:p>
            <w:pPr>
              <w:pStyle w:val="TableParagraph"/>
              <w:spacing w:line="270" w:lineRule="exact" w:before="10"/>
              <w:jc w:val="center"/>
              <w:rPr>
                <w:sz w:val="24"/>
              </w:rPr>
            </w:pPr>
            <w:r>
              <w:rPr>
                <w:spacing w:val="-5"/>
                <w:sz w:val="24"/>
              </w:rPr>
              <w:t>V.2</w:t>
            </w:r>
          </w:p>
        </w:tc>
        <w:tc>
          <w:tcPr>
            <w:tcW w:w="3692" w:type="dxa"/>
          </w:tcPr>
          <w:p>
            <w:pPr>
              <w:pStyle w:val="TableParagraph"/>
              <w:ind w:left="107"/>
              <w:rPr>
                <w:sz w:val="24"/>
              </w:rPr>
            </w:pPr>
            <w:r>
              <w:rPr>
                <w:sz w:val="24"/>
              </w:rPr>
              <w:t>RHE </w:t>
            </w:r>
            <w:r>
              <w:rPr>
                <w:spacing w:val="-2"/>
                <w:sz w:val="24"/>
              </w:rPr>
              <w:t>Subgroup</w:t>
            </w:r>
          </w:p>
        </w:tc>
        <w:tc>
          <w:tcPr>
            <w:tcW w:w="2266" w:type="dxa"/>
          </w:tcPr>
          <w:p>
            <w:pPr>
              <w:pStyle w:val="TableParagraph"/>
              <w:ind w:left="6" w:right="1"/>
              <w:jc w:val="center"/>
              <w:rPr>
                <w:sz w:val="24"/>
              </w:rPr>
            </w:pPr>
            <w:r>
              <w:rPr>
                <w:spacing w:val="-2"/>
                <w:sz w:val="24"/>
              </w:rPr>
              <w:t>17/11/2025</w:t>
            </w:r>
          </w:p>
        </w:tc>
        <w:tc>
          <w:tcPr>
            <w:tcW w:w="2836" w:type="dxa"/>
          </w:tcPr>
          <w:p>
            <w:pPr>
              <w:pStyle w:val="TableParagraph"/>
              <w:ind w:left="15" w:right="9"/>
              <w:jc w:val="center"/>
              <w:rPr>
                <w:sz w:val="24"/>
              </w:rPr>
            </w:pPr>
            <w:r>
              <w:rPr>
                <w:spacing w:val="-2"/>
                <w:sz w:val="24"/>
              </w:rPr>
              <w:t>Revised</w:t>
            </w:r>
          </w:p>
        </w:tc>
      </w:tr>
      <w:tr>
        <w:trPr>
          <w:trHeight w:val="550" w:hRule="atLeast"/>
        </w:trPr>
        <w:tc>
          <w:tcPr>
            <w:tcW w:w="1411" w:type="dxa"/>
            <w:shd w:val="clear" w:color="auto" w:fill="C1A875"/>
          </w:tcPr>
          <w:p>
            <w:pPr>
              <w:pStyle w:val="TableParagraph"/>
              <w:spacing w:before="135"/>
              <w:jc w:val="center"/>
              <w:rPr>
                <w:sz w:val="24"/>
              </w:rPr>
            </w:pPr>
            <w:r>
              <w:rPr>
                <w:spacing w:val="-5"/>
                <w:sz w:val="24"/>
              </w:rPr>
              <w:t>V.3</w:t>
            </w:r>
          </w:p>
        </w:tc>
        <w:tc>
          <w:tcPr>
            <w:tcW w:w="3692" w:type="dxa"/>
          </w:tcPr>
          <w:p>
            <w:pPr>
              <w:pStyle w:val="TableParagraph"/>
              <w:ind w:left="107"/>
              <w:rPr>
                <w:sz w:val="24"/>
              </w:rPr>
            </w:pPr>
            <w:r>
              <w:rPr>
                <w:sz w:val="24"/>
              </w:rPr>
              <w:t>RHE </w:t>
            </w:r>
            <w:r>
              <w:rPr>
                <w:spacing w:val="-2"/>
                <w:sz w:val="24"/>
              </w:rPr>
              <w:t>Subgroup</w:t>
            </w:r>
          </w:p>
        </w:tc>
        <w:tc>
          <w:tcPr>
            <w:tcW w:w="2266" w:type="dxa"/>
          </w:tcPr>
          <w:p>
            <w:pPr>
              <w:pStyle w:val="TableParagraph"/>
              <w:ind w:left="6" w:right="1"/>
              <w:jc w:val="center"/>
              <w:rPr>
                <w:sz w:val="24"/>
              </w:rPr>
            </w:pPr>
            <w:r>
              <w:rPr>
                <w:spacing w:val="-2"/>
                <w:sz w:val="24"/>
              </w:rPr>
              <w:t>12/01/2026</w:t>
            </w:r>
          </w:p>
        </w:tc>
        <w:tc>
          <w:tcPr>
            <w:tcW w:w="2836" w:type="dxa"/>
          </w:tcPr>
          <w:p>
            <w:pPr>
              <w:pStyle w:val="TableParagraph"/>
              <w:spacing w:line="276" w:lineRule="exact"/>
              <w:ind w:left="912" w:right="465" w:hanging="431"/>
              <w:rPr>
                <w:sz w:val="24"/>
              </w:rPr>
            </w:pPr>
            <w:r>
              <w:rPr>
                <w:spacing w:val="-2"/>
                <w:sz w:val="24"/>
              </w:rPr>
              <w:t>Approved</w:t>
            </w:r>
            <w:r>
              <w:rPr>
                <w:spacing w:val="-15"/>
                <w:sz w:val="24"/>
              </w:rPr>
              <w:t> </w:t>
            </w:r>
            <w:r>
              <w:rPr>
                <w:spacing w:val="-2"/>
                <w:sz w:val="24"/>
              </w:rPr>
              <w:t>by</w:t>
            </w:r>
            <w:r>
              <w:rPr>
                <w:spacing w:val="-15"/>
                <w:sz w:val="24"/>
              </w:rPr>
              <w:t> </w:t>
            </w:r>
            <w:r>
              <w:rPr>
                <w:spacing w:val="-2"/>
                <w:sz w:val="24"/>
              </w:rPr>
              <w:t>RHE Subgroup</w:t>
            </w:r>
          </w:p>
        </w:tc>
      </w:tr>
      <w:tr>
        <w:trPr>
          <w:trHeight w:val="298" w:hRule="atLeast"/>
        </w:trPr>
        <w:tc>
          <w:tcPr>
            <w:tcW w:w="1411" w:type="dxa"/>
            <w:shd w:val="clear" w:color="auto" w:fill="C1A875"/>
          </w:tcPr>
          <w:p>
            <w:pPr>
              <w:pStyle w:val="TableParagraph"/>
              <w:spacing w:line="265" w:lineRule="exact" w:before="13"/>
              <w:jc w:val="center"/>
              <w:rPr>
                <w:sz w:val="24"/>
              </w:rPr>
            </w:pPr>
            <w:r>
              <w:rPr>
                <w:spacing w:val="-5"/>
                <w:sz w:val="24"/>
              </w:rPr>
              <w:t>V.4</w:t>
            </w:r>
          </w:p>
        </w:tc>
        <w:tc>
          <w:tcPr>
            <w:tcW w:w="3692" w:type="dxa"/>
          </w:tcPr>
          <w:p>
            <w:pPr>
              <w:pStyle w:val="TableParagraph"/>
              <w:spacing w:line="274" w:lineRule="exact"/>
              <w:ind w:left="107"/>
              <w:rPr>
                <w:sz w:val="24"/>
              </w:rPr>
            </w:pPr>
            <w:r>
              <w:rPr>
                <w:sz w:val="24"/>
              </w:rPr>
              <w:t>RHE </w:t>
            </w:r>
            <w:r>
              <w:rPr>
                <w:spacing w:val="-2"/>
                <w:sz w:val="24"/>
              </w:rPr>
              <w:t>Subgroup</w:t>
            </w:r>
          </w:p>
        </w:tc>
        <w:tc>
          <w:tcPr>
            <w:tcW w:w="2266" w:type="dxa"/>
          </w:tcPr>
          <w:p>
            <w:pPr>
              <w:pStyle w:val="TableParagraph"/>
              <w:spacing w:line="274" w:lineRule="exact"/>
              <w:ind w:left="6" w:right="1"/>
              <w:jc w:val="center"/>
              <w:rPr>
                <w:sz w:val="24"/>
              </w:rPr>
            </w:pPr>
            <w:r>
              <w:rPr>
                <w:spacing w:val="-2"/>
                <w:sz w:val="24"/>
              </w:rPr>
              <w:t>14/09/2026</w:t>
            </w:r>
          </w:p>
        </w:tc>
        <w:tc>
          <w:tcPr>
            <w:tcW w:w="2836" w:type="dxa"/>
          </w:tcPr>
          <w:p>
            <w:pPr>
              <w:pStyle w:val="TableParagraph"/>
              <w:spacing w:line="274" w:lineRule="exact"/>
              <w:ind w:left="15" w:right="9"/>
              <w:jc w:val="center"/>
              <w:rPr>
                <w:sz w:val="24"/>
              </w:rPr>
            </w:pPr>
            <w:r>
              <w:rPr>
                <w:spacing w:val="-2"/>
                <w:sz w:val="24"/>
              </w:rPr>
              <w:t>Revised</w:t>
            </w:r>
          </w:p>
        </w:tc>
      </w:tr>
      <w:tr>
        <w:trPr>
          <w:trHeight w:val="300" w:hRule="atLeast"/>
        </w:trPr>
        <w:tc>
          <w:tcPr>
            <w:tcW w:w="1411" w:type="dxa"/>
            <w:shd w:val="clear" w:color="auto" w:fill="C1A875"/>
          </w:tcPr>
          <w:p>
            <w:pPr>
              <w:pStyle w:val="TableParagraph"/>
              <w:spacing w:line="265" w:lineRule="exact" w:before="15"/>
              <w:jc w:val="center"/>
              <w:rPr>
                <w:sz w:val="24"/>
              </w:rPr>
            </w:pPr>
            <w:r>
              <w:rPr>
                <w:spacing w:val="-5"/>
                <w:sz w:val="24"/>
              </w:rPr>
              <w:t>V.5</w:t>
            </w:r>
          </w:p>
        </w:tc>
        <w:tc>
          <w:tcPr>
            <w:tcW w:w="3692" w:type="dxa"/>
          </w:tcPr>
          <w:p>
            <w:pPr>
              <w:pStyle w:val="TableParagraph"/>
              <w:ind w:left="107"/>
              <w:rPr>
                <w:sz w:val="24"/>
              </w:rPr>
            </w:pPr>
            <w:r>
              <w:rPr>
                <w:sz w:val="24"/>
              </w:rPr>
              <w:t>Regional</w:t>
            </w:r>
            <w:r>
              <w:rPr>
                <w:spacing w:val="-2"/>
                <w:sz w:val="24"/>
              </w:rPr>
              <w:t> </w:t>
            </w:r>
            <w:r>
              <w:rPr>
                <w:sz w:val="24"/>
              </w:rPr>
              <w:t>Joint</w:t>
            </w:r>
            <w:r>
              <w:rPr>
                <w:spacing w:val="-4"/>
                <w:sz w:val="24"/>
              </w:rPr>
              <w:t> </w:t>
            </w:r>
            <w:r>
              <w:rPr>
                <w:spacing w:val="-2"/>
                <w:sz w:val="24"/>
              </w:rPr>
              <w:t>Committee</w:t>
            </w:r>
          </w:p>
        </w:tc>
        <w:tc>
          <w:tcPr>
            <w:tcW w:w="2266" w:type="dxa"/>
          </w:tcPr>
          <w:p>
            <w:pPr>
              <w:pStyle w:val="TableParagraph"/>
              <w:ind w:left="6" w:right="1"/>
              <w:jc w:val="center"/>
              <w:rPr>
                <w:sz w:val="24"/>
              </w:rPr>
            </w:pPr>
            <w:r>
              <w:rPr>
                <w:spacing w:val="-2"/>
                <w:sz w:val="24"/>
              </w:rPr>
              <w:t>13/10/2026</w:t>
            </w:r>
          </w:p>
        </w:tc>
        <w:tc>
          <w:tcPr>
            <w:tcW w:w="2836" w:type="dxa"/>
          </w:tcPr>
          <w:p>
            <w:pPr>
              <w:pStyle w:val="TableParagraph"/>
              <w:ind w:left="15" w:right="4"/>
              <w:jc w:val="center"/>
              <w:rPr>
                <w:sz w:val="24"/>
              </w:rPr>
            </w:pPr>
            <w:r>
              <w:rPr>
                <w:spacing w:val="-2"/>
                <w:sz w:val="24"/>
              </w:rPr>
              <w:t>For</w:t>
            </w:r>
            <w:r>
              <w:rPr>
                <w:spacing w:val="-12"/>
                <w:sz w:val="24"/>
              </w:rPr>
              <w:t> </w:t>
            </w:r>
            <w:r>
              <w:rPr>
                <w:spacing w:val="-2"/>
                <w:sz w:val="24"/>
              </w:rPr>
              <w:t>Approval</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3"/>
        <w:rPr>
          <w:sz w:val="20"/>
        </w:rPr>
      </w:pPr>
    </w:p>
    <w:p>
      <w:pPr>
        <w:spacing w:before="0"/>
        <w:ind w:left="4" w:right="284" w:firstLine="0"/>
        <w:jc w:val="center"/>
        <w:rPr>
          <w:sz w:val="20"/>
        </w:rPr>
      </w:pPr>
      <w:r>
        <w:rPr>
          <w:spacing w:val="-10"/>
          <w:sz w:val="20"/>
        </w:rPr>
        <w:t>1</w:t>
      </w:r>
    </w:p>
    <w:p>
      <w:pPr>
        <w:spacing w:after="0"/>
        <w:jc w:val="center"/>
        <w:rPr>
          <w:sz w:val="20"/>
        </w:rPr>
        <w:sectPr>
          <w:pgSz w:w="11910" w:h="16840"/>
          <w:pgMar w:header="0" w:footer="149" w:top="980" w:bottom="340" w:left="708" w:right="425"/>
        </w:sectPr>
      </w:pPr>
    </w:p>
    <w:p>
      <w:pPr>
        <w:pStyle w:val="BodyText"/>
        <w:rPr>
          <w:sz w:val="20"/>
        </w:rPr>
      </w:pPr>
    </w:p>
    <w:p>
      <w:pPr>
        <w:pStyle w:val="BodyText"/>
        <w:rPr>
          <w:sz w:val="20"/>
        </w:rPr>
      </w:pPr>
    </w:p>
    <w:p>
      <w:pPr>
        <w:pStyle w:val="BodyText"/>
        <w:rPr>
          <w:sz w:val="20"/>
        </w:rPr>
      </w:pPr>
    </w:p>
    <w:p>
      <w:pPr>
        <w:pStyle w:val="BodyText"/>
        <w:spacing w:before="50"/>
        <w:rPr>
          <w:sz w:val="20"/>
        </w:rPr>
      </w:pPr>
    </w:p>
    <w:p>
      <w:pPr>
        <w:spacing w:line="240" w:lineRule="auto"/>
        <w:ind w:left="187" w:right="0" w:firstLine="0"/>
        <w:rPr>
          <w:sz w:val="20"/>
        </w:rPr>
      </w:pPr>
      <w:r>
        <w:rPr>
          <w:sz w:val="20"/>
        </w:rPr>
        <mc:AlternateContent>
          <mc:Choice Requires="wps">
            <w:drawing>
              <wp:inline distT="0" distB="0" distL="0" distR="0">
                <wp:extent cx="6642100" cy="194310"/>
                <wp:effectExtent l="9525" t="0" r="6350" b="15239"/>
                <wp:docPr id="567" name="Textbox 567"/>
                <wp:cNvGraphicFramePr>
                  <a:graphicFrameLocks/>
                </wp:cNvGraphicFramePr>
                <a:graphic>
                  <a:graphicData uri="http://schemas.microsoft.com/office/word/2010/wordprocessingShape">
                    <wps:wsp>
                      <wps:cNvPr id="567" name="Textbox 567"/>
                      <wps:cNvSpPr txBox="1"/>
                      <wps:spPr>
                        <a:xfrm>
                          <a:off x="0" y="0"/>
                          <a:ext cx="6642100" cy="194310"/>
                        </a:xfrm>
                        <a:prstGeom prst="rect">
                          <a:avLst/>
                        </a:prstGeom>
                        <a:solidFill>
                          <a:srgbClr val="C1A875"/>
                        </a:solidFill>
                        <a:ln w="12700">
                          <a:solidFill>
                            <a:srgbClr val="394871"/>
                          </a:solidFill>
                          <a:prstDash val="solid"/>
                        </a:ln>
                      </wps:spPr>
                      <wps:txbx>
                        <w:txbxContent>
                          <w:p>
                            <w:pPr>
                              <w:tabs>
                                <w:tab w:pos="815" w:val="left" w:leader="none"/>
                              </w:tabs>
                              <w:spacing w:before="0"/>
                              <w:ind w:left="95" w:right="0" w:firstLine="0"/>
                              <w:jc w:val="left"/>
                              <w:rPr>
                                <w:b/>
                                <w:color w:val="000000"/>
                                <w:sz w:val="24"/>
                              </w:rPr>
                            </w:pPr>
                            <w:r>
                              <w:rPr>
                                <w:b/>
                                <w:color w:val="000000"/>
                                <w:spacing w:val="-5"/>
                                <w:sz w:val="24"/>
                              </w:rPr>
                              <w:t>1.</w:t>
                            </w:r>
                            <w:r>
                              <w:rPr>
                                <w:b/>
                                <w:color w:val="000000"/>
                                <w:sz w:val="24"/>
                              </w:rPr>
                              <w:tab/>
                            </w:r>
                            <w:r>
                              <w:rPr>
                                <w:b/>
                                <w:color w:val="000000"/>
                                <w:spacing w:val="-2"/>
                                <w:sz w:val="24"/>
                              </w:rPr>
                              <w:t>Constitution</w:t>
                            </w:r>
                          </w:p>
                        </w:txbxContent>
                      </wps:txbx>
                      <wps:bodyPr wrap="square" lIns="0" tIns="0" rIns="0" bIns="0" rtlCol="0">
                        <a:noAutofit/>
                      </wps:bodyPr>
                    </wps:wsp>
                  </a:graphicData>
                </a:graphic>
              </wp:inline>
            </w:drawing>
          </mc:Choice>
          <mc:Fallback>
            <w:pict>
              <v:shape style="width:523pt;height:15.3pt;mso-position-horizontal-relative:char;mso-position-vertical-relative:line" type="#_x0000_t202" id="docshape343" filled="true" fillcolor="#c1a875" stroked="true" strokeweight="1pt" strokecolor="#394871">
                <w10:anchorlock/>
                <v:textbox inset="0,0,0,0">
                  <w:txbxContent>
                    <w:p>
                      <w:pPr>
                        <w:tabs>
                          <w:tab w:pos="815" w:val="left" w:leader="none"/>
                        </w:tabs>
                        <w:spacing w:before="0"/>
                        <w:ind w:left="95" w:right="0" w:firstLine="0"/>
                        <w:jc w:val="left"/>
                        <w:rPr>
                          <w:b/>
                          <w:color w:val="000000"/>
                          <w:sz w:val="24"/>
                        </w:rPr>
                      </w:pPr>
                      <w:r>
                        <w:rPr>
                          <w:b/>
                          <w:color w:val="000000"/>
                          <w:spacing w:val="-5"/>
                          <w:sz w:val="24"/>
                        </w:rPr>
                        <w:t>1.</w:t>
                      </w:r>
                      <w:r>
                        <w:rPr>
                          <w:b/>
                          <w:color w:val="000000"/>
                          <w:sz w:val="24"/>
                        </w:rPr>
                        <w:tab/>
                      </w:r>
                      <w:r>
                        <w:rPr>
                          <w:b/>
                          <w:color w:val="000000"/>
                          <w:spacing w:val="-2"/>
                          <w:sz w:val="24"/>
                        </w:rPr>
                        <w:t>Constitution</w:t>
                      </w:r>
                    </w:p>
                  </w:txbxContent>
                </v:textbox>
                <v:fill type="solid"/>
                <v:stroke dashstyle="solid"/>
              </v:shape>
            </w:pict>
          </mc:Fallback>
        </mc:AlternateContent>
      </w:r>
      <w:r>
        <w:rPr>
          <w:sz w:val="20"/>
        </w:rPr>
      </w:r>
    </w:p>
    <w:p>
      <w:pPr>
        <w:pStyle w:val="ListParagraph"/>
        <w:numPr>
          <w:ilvl w:val="1"/>
          <w:numId w:val="86"/>
        </w:numPr>
        <w:tabs>
          <w:tab w:pos="935" w:val="left" w:leader="none"/>
          <w:tab w:pos="937" w:val="left" w:leader="none"/>
        </w:tabs>
        <w:spacing w:line="240" w:lineRule="auto" w:before="140" w:after="0"/>
        <w:ind w:left="937" w:right="461" w:hanging="795"/>
        <w:jc w:val="both"/>
        <w:rPr>
          <w:sz w:val="24"/>
        </w:rPr>
      </w:pPr>
      <w:r>
        <w:rPr>
          <w:sz w:val="24"/>
        </w:rPr>
        <mc:AlternateContent>
          <mc:Choice Requires="wps">
            <w:drawing>
              <wp:anchor distT="0" distB="0" distL="0" distR="0" allowOverlap="1" layoutInCell="1" locked="0" behindDoc="0" simplePos="0" relativeHeight="15843328">
                <wp:simplePos x="0" y="0"/>
                <wp:positionH relativeFrom="page">
                  <wp:posOffset>495617</wp:posOffset>
                </wp:positionH>
                <wp:positionV relativeFrom="paragraph">
                  <wp:posOffset>-831850</wp:posOffset>
                </wp:positionV>
                <wp:extent cx="6572250" cy="384175"/>
                <wp:effectExtent l="0" t="0" r="0" b="0"/>
                <wp:wrapNone/>
                <wp:docPr id="568" name="Textbox 568"/>
                <wp:cNvGraphicFramePr>
                  <a:graphicFrameLocks/>
                </wp:cNvGraphicFramePr>
                <a:graphic>
                  <a:graphicData uri="http://schemas.microsoft.com/office/word/2010/wordprocessingShape">
                    <wps:wsp>
                      <wps:cNvPr id="568" name="Textbox 568"/>
                      <wps:cNvSpPr txBox="1"/>
                      <wps:spPr>
                        <a:xfrm>
                          <a:off x="0" y="0"/>
                          <a:ext cx="6572250" cy="384175"/>
                        </a:xfrm>
                        <a:prstGeom prst="rect">
                          <a:avLst/>
                        </a:prstGeom>
                        <a:solidFill>
                          <a:srgbClr val="394871"/>
                        </a:solidFill>
                        <a:ln w="38417">
                          <a:solidFill>
                            <a:srgbClr val="C1A875"/>
                          </a:solidFill>
                          <a:prstDash val="solid"/>
                        </a:ln>
                      </wps:spPr>
                      <wps:txbx>
                        <w:txbxContent>
                          <w:p>
                            <w:pPr>
                              <w:spacing w:before="129"/>
                              <w:ind w:left="3" w:right="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HEALTH</w:t>
                            </w:r>
                            <w:r>
                              <w:rPr>
                                <w:b/>
                                <w:color w:val="FFFFFF"/>
                                <w:spacing w:val="-15"/>
                                <w:sz w:val="24"/>
                              </w:rPr>
                              <w:t> </w:t>
                            </w:r>
                            <w:r>
                              <w:rPr>
                                <w:b/>
                                <w:color w:val="FFFFFF"/>
                                <w:spacing w:val="-2"/>
                                <w:sz w:val="24"/>
                              </w:rPr>
                              <w:t>ECONOMY</w:t>
                            </w:r>
                            <w:r>
                              <w:rPr>
                                <w:b/>
                                <w:color w:val="FFFFFF"/>
                                <w:spacing w:val="-12"/>
                                <w:sz w:val="24"/>
                              </w:rPr>
                              <w:t> </w:t>
                            </w:r>
                            <w:r>
                              <w:rPr>
                                <w:b/>
                                <w:color w:val="FFFFFF"/>
                                <w:spacing w:val="-2"/>
                                <w:sz w:val="24"/>
                              </w:rPr>
                              <w:t>SUBGROUP</w:t>
                            </w:r>
                          </w:p>
                        </w:txbxContent>
                      </wps:txbx>
                      <wps:bodyPr wrap="square" lIns="0" tIns="0" rIns="0" bIns="0" rtlCol="0">
                        <a:noAutofit/>
                      </wps:bodyPr>
                    </wps:wsp>
                  </a:graphicData>
                </a:graphic>
              </wp:anchor>
            </w:drawing>
          </mc:Choice>
          <mc:Fallback>
            <w:pict>
              <v:shape style="position:absolute;margin-left:39.025002pt;margin-top:-65.5pt;width:517.5pt;height:30.25pt;mso-position-horizontal-relative:page;mso-position-vertical-relative:paragraph;z-index:15843328" type="#_x0000_t202" id="docshape344" filled="true" fillcolor="#394871" stroked="true" strokeweight="3.025pt" strokecolor="#c1a875">
                <v:textbox inset="0,0,0,0">
                  <w:txbxContent>
                    <w:p>
                      <w:pPr>
                        <w:spacing w:before="129"/>
                        <w:ind w:left="3" w:right="0" w:firstLine="0"/>
                        <w:jc w:val="center"/>
                        <w:rPr>
                          <w:b/>
                          <w:color w:val="000000"/>
                          <w:sz w:val="24"/>
                        </w:rPr>
                      </w:pPr>
                      <w:r>
                        <w:rPr>
                          <w:b/>
                          <w:color w:val="FFFFFF"/>
                          <w:spacing w:val="-2"/>
                          <w:sz w:val="24"/>
                        </w:rPr>
                        <w:t>REGIONAL</w:t>
                      </w:r>
                      <w:r>
                        <w:rPr>
                          <w:b/>
                          <w:color w:val="FFFFFF"/>
                          <w:spacing w:val="-15"/>
                          <w:sz w:val="24"/>
                        </w:rPr>
                        <w:t> </w:t>
                      </w:r>
                      <w:r>
                        <w:rPr>
                          <w:b/>
                          <w:color w:val="FFFFFF"/>
                          <w:spacing w:val="-2"/>
                          <w:sz w:val="24"/>
                        </w:rPr>
                        <w:t>HEALTH</w:t>
                      </w:r>
                      <w:r>
                        <w:rPr>
                          <w:b/>
                          <w:color w:val="FFFFFF"/>
                          <w:spacing w:val="-15"/>
                          <w:sz w:val="24"/>
                        </w:rPr>
                        <w:t> </w:t>
                      </w:r>
                      <w:r>
                        <w:rPr>
                          <w:b/>
                          <w:color w:val="FFFFFF"/>
                          <w:spacing w:val="-2"/>
                          <w:sz w:val="24"/>
                        </w:rPr>
                        <w:t>ECONOMY</w:t>
                      </w:r>
                      <w:r>
                        <w:rPr>
                          <w:b/>
                          <w:color w:val="FFFFFF"/>
                          <w:spacing w:val="-12"/>
                          <w:sz w:val="24"/>
                        </w:rPr>
                        <w:t> </w:t>
                      </w:r>
                      <w:r>
                        <w:rPr>
                          <w:b/>
                          <w:color w:val="FFFFFF"/>
                          <w:spacing w:val="-2"/>
                          <w:sz w:val="24"/>
                        </w:rPr>
                        <w:t>SUBGROUP</w:t>
                      </w:r>
                    </w:p>
                  </w:txbxContent>
                </v:textbox>
                <v:fill type="solid"/>
                <v:stroke dashstyle="solid"/>
                <w10:wrap type="none"/>
              </v:shape>
            </w:pict>
          </mc:Fallback>
        </mc:AlternateContent>
      </w:r>
      <w:r>
        <w:rPr>
          <w:spacing w:val="-2"/>
          <w:sz w:val="24"/>
        </w:rPr>
        <w:t>The</w:t>
      </w:r>
      <w:r>
        <w:rPr>
          <w:spacing w:val="-10"/>
          <w:sz w:val="24"/>
        </w:rPr>
        <w:t> </w:t>
      </w:r>
      <w:r>
        <w:rPr>
          <w:spacing w:val="-2"/>
          <w:sz w:val="24"/>
        </w:rPr>
        <w:t>Regional</w:t>
      </w:r>
      <w:r>
        <w:rPr>
          <w:spacing w:val="-10"/>
          <w:sz w:val="24"/>
        </w:rPr>
        <w:t> </w:t>
      </w:r>
      <w:r>
        <w:rPr>
          <w:spacing w:val="-2"/>
          <w:sz w:val="24"/>
        </w:rPr>
        <w:t>Joint</w:t>
      </w:r>
      <w:r>
        <w:rPr>
          <w:spacing w:val="-13"/>
          <w:sz w:val="24"/>
        </w:rPr>
        <w:t> </w:t>
      </w:r>
      <w:r>
        <w:rPr>
          <w:spacing w:val="-2"/>
          <w:sz w:val="24"/>
        </w:rPr>
        <w:t>Committee</w:t>
      </w:r>
      <w:r>
        <w:rPr>
          <w:spacing w:val="-10"/>
          <w:sz w:val="24"/>
        </w:rPr>
        <w:t> </w:t>
      </w:r>
      <w:r>
        <w:rPr>
          <w:spacing w:val="-2"/>
          <w:sz w:val="24"/>
        </w:rPr>
        <w:t>(RJC)</w:t>
      </w:r>
      <w:r>
        <w:rPr>
          <w:spacing w:val="-11"/>
          <w:sz w:val="24"/>
        </w:rPr>
        <w:t> </w:t>
      </w:r>
      <w:r>
        <w:rPr>
          <w:spacing w:val="-2"/>
          <w:sz w:val="24"/>
        </w:rPr>
        <w:t>has</w:t>
      </w:r>
      <w:r>
        <w:rPr>
          <w:spacing w:val="-11"/>
          <w:sz w:val="24"/>
        </w:rPr>
        <w:t> </w:t>
      </w:r>
      <w:r>
        <w:rPr>
          <w:spacing w:val="-2"/>
          <w:sz w:val="24"/>
        </w:rPr>
        <w:t>been</w:t>
      </w:r>
      <w:r>
        <w:rPr>
          <w:spacing w:val="-10"/>
          <w:sz w:val="24"/>
        </w:rPr>
        <w:t> </w:t>
      </w:r>
      <w:r>
        <w:rPr>
          <w:spacing w:val="-2"/>
          <w:sz w:val="24"/>
        </w:rPr>
        <w:t>established</w:t>
      </w:r>
      <w:r>
        <w:rPr>
          <w:spacing w:val="-10"/>
          <w:sz w:val="24"/>
        </w:rPr>
        <w:t> </w:t>
      </w:r>
      <w:r>
        <w:rPr>
          <w:spacing w:val="-2"/>
          <w:sz w:val="24"/>
        </w:rPr>
        <w:t>under</w:t>
      </w:r>
      <w:r>
        <w:rPr>
          <w:spacing w:val="-11"/>
          <w:sz w:val="24"/>
        </w:rPr>
        <w:t> </w:t>
      </w:r>
      <w:r>
        <w:rPr>
          <w:spacing w:val="-2"/>
          <w:sz w:val="24"/>
        </w:rPr>
        <w:t>Ministerial</w:t>
      </w:r>
      <w:r>
        <w:rPr>
          <w:spacing w:val="-10"/>
          <w:sz w:val="24"/>
        </w:rPr>
        <w:t> </w:t>
      </w:r>
      <w:r>
        <w:rPr>
          <w:spacing w:val="-2"/>
          <w:sz w:val="24"/>
        </w:rPr>
        <w:t>Direction</w:t>
      </w:r>
      <w:r>
        <w:rPr>
          <w:spacing w:val="-15"/>
          <w:sz w:val="24"/>
        </w:rPr>
        <w:t> </w:t>
      </w:r>
      <w:r>
        <w:rPr>
          <w:spacing w:val="-2"/>
          <w:sz w:val="24"/>
        </w:rPr>
        <w:t>as</w:t>
      </w:r>
      <w:r>
        <w:rPr>
          <w:spacing w:val="-11"/>
          <w:sz w:val="24"/>
        </w:rPr>
        <w:t> </w:t>
      </w:r>
      <w:r>
        <w:rPr>
          <w:spacing w:val="-2"/>
          <w:sz w:val="24"/>
        </w:rPr>
        <w:t>a Joint</w:t>
      </w:r>
      <w:r>
        <w:rPr>
          <w:spacing w:val="-15"/>
          <w:sz w:val="24"/>
        </w:rPr>
        <w:t> </w:t>
      </w:r>
      <w:r>
        <w:rPr>
          <w:spacing w:val="-2"/>
          <w:sz w:val="24"/>
        </w:rPr>
        <w:t>Committee</w:t>
      </w:r>
      <w:r>
        <w:rPr>
          <w:spacing w:val="-15"/>
          <w:sz w:val="24"/>
        </w:rPr>
        <w:t> </w:t>
      </w:r>
      <w:r>
        <w:rPr>
          <w:spacing w:val="-2"/>
          <w:sz w:val="24"/>
        </w:rPr>
        <w:t>of</w:t>
      </w:r>
      <w:r>
        <w:rPr>
          <w:spacing w:val="-10"/>
          <w:sz w:val="24"/>
        </w:rPr>
        <w:t> </w:t>
      </w:r>
      <w:r>
        <w:rPr>
          <w:spacing w:val="-2"/>
          <w:sz w:val="24"/>
        </w:rPr>
        <w:t>Swansea</w:t>
      </w:r>
      <w:r>
        <w:rPr>
          <w:spacing w:val="-8"/>
          <w:sz w:val="24"/>
        </w:rPr>
        <w:t> </w:t>
      </w:r>
      <w:r>
        <w:rPr>
          <w:spacing w:val="-2"/>
          <w:sz w:val="24"/>
        </w:rPr>
        <w:t>Bay</w:t>
      </w:r>
      <w:r>
        <w:rPr>
          <w:spacing w:val="-13"/>
          <w:sz w:val="24"/>
        </w:rPr>
        <w:t> </w:t>
      </w:r>
      <w:r>
        <w:rPr>
          <w:spacing w:val="-2"/>
          <w:sz w:val="24"/>
        </w:rPr>
        <w:t>and</w:t>
      </w:r>
      <w:r>
        <w:rPr>
          <w:spacing w:val="-12"/>
          <w:sz w:val="24"/>
        </w:rPr>
        <w:t> </w:t>
      </w:r>
      <w:r>
        <w:rPr>
          <w:spacing w:val="-2"/>
          <w:sz w:val="24"/>
        </w:rPr>
        <w:t>Hywel</w:t>
      </w:r>
      <w:r>
        <w:rPr>
          <w:spacing w:val="-12"/>
          <w:sz w:val="24"/>
        </w:rPr>
        <w:t> </w:t>
      </w:r>
      <w:r>
        <w:rPr>
          <w:spacing w:val="-2"/>
          <w:sz w:val="24"/>
        </w:rPr>
        <w:t>Dda</w:t>
      </w:r>
      <w:r>
        <w:rPr>
          <w:spacing w:val="-12"/>
          <w:sz w:val="24"/>
        </w:rPr>
        <w:t> </w:t>
      </w:r>
      <w:r>
        <w:rPr>
          <w:spacing w:val="-2"/>
          <w:sz w:val="24"/>
        </w:rPr>
        <w:t>University</w:t>
      </w:r>
      <w:r>
        <w:rPr>
          <w:spacing w:val="-13"/>
          <w:sz w:val="24"/>
        </w:rPr>
        <w:t> </w:t>
      </w:r>
      <w:r>
        <w:rPr>
          <w:spacing w:val="-2"/>
          <w:sz w:val="24"/>
        </w:rPr>
        <w:t>Health</w:t>
      </w:r>
      <w:r>
        <w:rPr>
          <w:spacing w:val="-12"/>
          <w:sz w:val="24"/>
        </w:rPr>
        <w:t> </w:t>
      </w:r>
      <w:r>
        <w:rPr>
          <w:spacing w:val="-2"/>
          <w:sz w:val="24"/>
        </w:rPr>
        <w:t>Boards</w:t>
      </w:r>
      <w:r>
        <w:rPr>
          <w:spacing w:val="-15"/>
          <w:sz w:val="24"/>
        </w:rPr>
        <w:t> </w:t>
      </w:r>
      <w:r>
        <w:rPr>
          <w:spacing w:val="-2"/>
          <w:sz w:val="24"/>
        </w:rPr>
        <w:t>and</w:t>
      </w:r>
      <w:r>
        <w:rPr>
          <w:spacing w:val="-12"/>
          <w:sz w:val="24"/>
        </w:rPr>
        <w:t> </w:t>
      </w:r>
      <w:r>
        <w:rPr>
          <w:spacing w:val="-2"/>
          <w:sz w:val="24"/>
        </w:rPr>
        <w:t>constituted </w:t>
      </w:r>
      <w:r>
        <w:rPr>
          <w:sz w:val="24"/>
        </w:rPr>
        <w:t>from 15 January 2025.</w:t>
      </w:r>
    </w:p>
    <w:p>
      <w:pPr>
        <w:pStyle w:val="ListParagraph"/>
        <w:numPr>
          <w:ilvl w:val="1"/>
          <w:numId w:val="86"/>
        </w:numPr>
        <w:tabs>
          <w:tab w:pos="937" w:val="left" w:leader="none"/>
        </w:tabs>
        <w:spacing w:line="244" w:lineRule="auto" w:before="157" w:after="0"/>
        <w:ind w:left="937" w:right="581" w:hanging="795"/>
        <w:jc w:val="left"/>
        <w:rPr>
          <w:sz w:val="24"/>
        </w:rPr>
      </w:pPr>
      <w:r>
        <w:rPr>
          <w:spacing w:val="-2"/>
          <w:sz w:val="24"/>
        </w:rPr>
        <w:t>The</w:t>
      </w:r>
      <w:r>
        <w:rPr>
          <w:spacing w:val="-12"/>
          <w:sz w:val="24"/>
        </w:rPr>
        <w:t> </w:t>
      </w:r>
      <w:r>
        <w:rPr>
          <w:spacing w:val="-2"/>
          <w:sz w:val="24"/>
        </w:rPr>
        <w:t>Regional</w:t>
      </w:r>
      <w:r>
        <w:rPr>
          <w:spacing w:val="-11"/>
          <w:sz w:val="24"/>
        </w:rPr>
        <w:t> </w:t>
      </w:r>
      <w:r>
        <w:rPr>
          <w:spacing w:val="-2"/>
          <w:sz w:val="24"/>
        </w:rPr>
        <w:t>Health</w:t>
      </w:r>
      <w:r>
        <w:rPr>
          <w:spacing w:val="-11"/>
          <w:sz w:val="24"/>
        </w:rPr>
        <w:t> </w:t>
      </w:r>
      <w:r>
        <w:rPr>
          <w:spacing w:val="-2"/>
          <w:sz w:val="24"/>
        </w:rPr>
        <w:t>Economy</w:t>
      </w:r>
      <w:r>
        <w:rPr>
          <w:spacing w:val="-10"/>
          <w:sz w:val="24"/>
        </w:rPr>
        <w:t> </w:t>
      </w:r>
      <w:r>
        <w:rPr>
          <w:spacing w:val="-2"/>
          <w:sz w:val="24"/>
        </w:rPr>
        <w:t>Subgroup</w:t>
      </w:r>
      <w:r>
        <w:rPr>
          <w:spacing w:val="-11"/>
          <w:sz w:val="24"/>
        </w:rPr>
        <w:t> </w:t>
      </w:r>
      <w:r>
        <w:rPr>
          <w:spacing w:val="-2"/>
          <w:sz w:val="24"/>
        </w:rPr>
        <w:t>(RHES)</w:t>
      </w:r>
      <w:r>
        <w:rPr>
          <w:spacing w:val="-15"/>
          <w:sz w:val="24"/>
        </w:rPr>
        <w:t> </w:t>
      </w:r>
      <w:r>
        <w:rPr>
          <w:spacing w:val="-2"/>
          <w:sz w:val="24"/>
        </w:rPr>
        <w:t>has</w:t>
      </w:r>
      <w:r>
        <w:rPr>
          <w:spacing w:val="-11"/>
          <w:sz w:val="24"/>
        </w:rPr>
        <w:t> </w:t>
      </w:r>
      <w:r>
        <w:rPr>
          <w:spacing w:val="-2"/>
          <w:sz w:val="24"/>
        </w:rPr>
        <w:t>been</w:t>
      </w:r>
      <w:r>
        <w:rPr>
          <w:spacing w:val="-11"/>
          <w:sz w:val="24"/>
        </w:rPr>
        <w:t> </w:t>
      </w:r>
      <w:r>
        <w:rPr>
          <w:spacing w:val="-2"/>
          <w:sz w:val="24"/>
        </w:rPr>
        <w:t>established</w:t>
      </w:r>
      <w:r>
        <w:rPr>
          <w:spacing w:val="-11"/>
          <w:sz w:val="24"/>
        </w:rPr>
        <w:t> </w:t>
      </w:r>
      <w:r>
        <w:rPr>
          <w:spacing w:val="-2"/>
          <w:sz w:val="24"/>
        </w:rPr>
        <w:t>as</w:t>
      </w:r>
      <w:r>
        <w:rPr>
          <w:spacing w:val="-12"/>
          <w:sz w:val="24"/>
        </w:rPr>
        <w:t> </w:t>
      </w:r>
      <w:r>
        <w:rPr>
          <w:spacing w:val="-2"/>
          <w:sz w:val="24"/>
        </w:rPr>
        <w:t>a</w:t>
      </w:r>
      <w:r>
        <w:rPr>
          <w:spacing w:val="-11"/>
          <w:sz w:val="24"/>
        </w:rPr>
        <w:t> </w:t>
      </w:r>
      <w:r>
        <w:rPr>
          <w:spacing w:val="-2"/>
          <w:sz w:val="24"/>
        </w:rPr>
        <w:t>Subgroup</w:t>
      </w:r>
      <w:r>
        <w:rPr>
          <w:spacing w:val="-11"/>
          <w:sz w:val="24"/>
        </w:rPr>
        <w:t> </w:t>
      </w:r>
      <w:r>
        <w:rPr>
          <w:spacing w:val="-2"/>
          <w:sz w:val="24"/>
        </w:rPr>
        <w:t>of </w:t>
      </w:r>
      <w:r>
        <w:rPr>
          <w:sz w:val="24"/>
        </w:rPr>
        <w:t>the</w:t>
      </w:r>
      <w:r>
        <w:rPr>
          <w:spacing w:val="-3"/>
          <w:sz w:val="24"/>
        </w:rPr>
        <w:t> </w:t>
      </w:r>
      <w:r>
        <w:rPr>
          <w:sz w:val="24"/>
        </w:rPr>
        <w:t>RJC,</w:t>
      </w:r>
      <w:r>
        <w:rPr>
          <w:spacing w:val="-8"/>
          <w:sz w:val="24"/>
        </w:rPr>
        <w:t> </w:t>
      </w:r>
      <w:r>
        <w:rPr>
          <w:sz w:val="24"/>
        </w:rPr>
        <w:t>and</w:t>
      </w:r>
      <w:r>
        <w:rPr>
          <w:spacing w:val="-4"/>
          <w:sz w:val="24"/>
        </w:rPr>
        <w:t> </w:t>
      </w:r>
      <w:r>
        <w:rPr>
          <w:sz w:val="24"/>
        </w:rPr>
        <w:t>held</w:t>
      </w:r>
      <w:r>
        <w:rPr>
          <w:spacing w:val="-5"/>
          <w:sz w:val="24"/>
        </w:rPr>
        <w:t> </w:t>
      </w:r>
      <w:r>
        <w:rPr>
          <w:sz w:val="24"/>
        </w:rPr>
        <w:t>its</w:t>
      </w:r>
      <w:r>
        <w:rPr>
          <w:spacing w:val="-6"/>
          <w:sz w:val="24"/>
        </w:rPr>
        <w:t> </w:t>
      </w:r>
      <w:r>
        <w:rPr>
          <w:sz w:val="24"/>
        </w:rPr>
        <w:t>inaugural</w:t>
      </w:r>
      <w:r>
        <w:rPr>
          <w:spacing w:val="-4"/>
          <w:sz w:val="24"/>
        </w:rPr>
        <w:t> </w:t>
      </w:r>
      <w:r>
        <w:rPr>
          <w:sz w:val="24"/>
        </w:rPr>
        <w:t>meeting</w:t>
      </w:r>
      <w:r>
        <w:rPr>
          <w:spacing w:val="-5"/>
          <w:sz w:val="24"/>
        </w:rPr>
        <w:t> </w:t>
      </w:r>
      <w:r>
        <w:rPr>
          <w:sz w:val="24"/>
        </w:rPr>
        <w:t>on</w:t>
      </w:r>
      <w:r>
        <w:rPr>
          <w:spacing w:val="-4"/>
          <w:sz w:val="24"/>
        </w:rPr>
        <w:t> </w:t>
      </w:r>
      <w:r>
        <w:rPr>
          <w:sz w:val="24"/>
        </w:rPr>
        <w:t>10</w:t>
      </w:r>
      <w:r>
        <w:rPr>
          <w:spacing w:val="-5"/>
          <w:sz w:val="24"/>
        </w:rPr>
        <w:t> </w:t>
      </w:r>
      <w:r>
        <w:rPr>
          <w:sz w:val="24"/>
        </w:rPr>
        <w:t>November</w:t>
      </w:r>
      <w:r>
        <w:rPr>
          <w:spacing w:val="-6"/>
          <w:sz w:val="24"/>
        </w:rPr>
        <w:t> </w:t>
      </w:r>
      <w:r>
        <w:rPr>
          <w:sz w:val="24"/>
        </w:rPr>
        <w:t>2025.</w:t>
      </w:r>
    </w:p>
    <w:p>
      <w:pPr>
        <w:pStyle w:val="ListParagraph"/>
        <w:numPr>
          <w:ilvl w:val="1"/>
          <w:numId w:val="86"/>
        </w:numPr>
        <w:tabs>
          <w:tab w:pos="937" w:val="left" w:leader="none"/>
        </w:tabs>
        <w:spacing w:line="240" w:lineRule="auto" w:before="153" w:after="0"/>
        <w:ind w:left="937" w:right="453" w:hanging="795"/>
        <w:jc w:val="left"/>
        <w:rPr>
          <w:sz w:val="24"/>
        </w:rPr>
      </w:pPr>
      <w:r>
        <w:rPr>
          <w:spacing w:val="-2"/>
          <w:sz w:val="24"/>
        </w:rPr>
        <w:t>For</w:t>
      </w:r>
      <w:r>
        <w:rPr>
          <w:spacing w:val="-7"/>
          <w:sz w:val="24"/>
        </w:rPr>
        <w:t> </w:t>
      </w:r>
      <w:r>
        <w:rPr>
          <w:spacing w:val="-2"/>
          <w:sz w:val="24"/>
        </w:rPr>
        <w:t>the</w:t>
      </w:r>
      <w:r>
        <w:rPr>
          <w:spacing w:val="-10"/>
          <w:sz w:val="24"/>
        </w:rPr>
        <w:t> </w:t>
      </w:r>
      <w:r>
        <w:rPr>
          <w:spacing w:val="-2"/>
          <w:sz w:val="24"/>
        </w:rPr>
        <w:t>purposes</w:t>
      </w:r>
      <w:r>
        <w:rPr>
          <w:spacing w:val="-11"/>
          <w:sz w:val="24"/>
        </w:rPr>
        <w:t> </w:t>
      </w:r>
      <w:r>
        <w:rPr>
          <w:spacing w:val="-2"/>
          <w:sz w:val="24"/>
        </w:rPr>
        <w:t>of</w:t>
      </w:r>
      <w:r>
        <w:rPr>
          <w:spacing w:val="-13"/>
          <w:sz w:val="24"/>
        </w:rPr>
        <w:t> </w:t>
      </w:r>
      <w:r>
        <w:rPr>
          <w:spacing w:val="-2"/>
          <w:sz w:val="24"/>
        </w:rPr>
        <w:t>these</w:t>
      </w:r>
      <w:r>
        <w:rPr>
          <w:spacing w:val="-10"/>
          <w:sz w:val="24"/>
        </w:rPr>
        <w:t> </w:t>
      </w:r>
      <w:r>
        <w:rPr>
          <w:spacing w:val="-2"/>
          <w:sz w:val="24"/>
        </w:rPr>
        <w:t>Terms</w:t>
      </w:r>
      <w:r>
        <w:rPr>
          <w:spacing w:val="-11"/>
          <w:sz w:val="24"/>
        </w:rPr>
        <w:t> </w:t>
      </w:r>
      <w:r>
        <w:rPr>
          <w:spacing w:val="-2"/>
          <w:sz w:val="24"/>
        </w:rPr>
        <w:t>of</w:t>
      </w:r>
      <w:r>
        <w:rPr>
          <w:spacing w:val="-13"/>
          <w:sz w:val="24"/>
        </w:rPr>
        <w:t> </w:t>
      </w:r>
      <w:r>
        <w:rPr>
          <w:spacing w:val="-2"/>
          <w:sz w:val="24"/>
        </w:rPr>
        <w:t>Reference,</w:t>
      </w:r>
      <w:r>
        <w:rPr>
          <w:spacing w:val="-13"/>
          <w:sz w:val="24"/>
        </w:rPr>
        <w:t> </w:t>
      </w:r>
      <w:r>
        <w:rPr>
          <w:spacing w:val="-2"/>
          <w:sz w:val="24"/>
        </w:rPr>
        <w:t>the</w:t>
      </w:r>
      <w:r>
        <w:rPr>
          <w:spacing w:val="-15"/>
          <w:sz w:val="24"/>
        </w:rPr>
        <w:t> </w:t>
      </w:r>
      <w:r>
        <w:rPr>
          <w:spacing w:val="-2"/>
          <w:sz w:val="24"/>
        </w:rPr>
        <w:t>Regional</w:t>
      </w:r>
      <w:r>
        <w:rPr>
          <w:spacing w:val="-15"/>
          <w:sz w:val="24"/>
        </w:rPr>
        <w:t> </w:t>
      </w:r>
      <w:r>
        <w:rPr>
          <w:spacing w:val="-2"/>
          <w:sz w:val="24"/>
        </w:rPr>
        <w:t>Health</w:t>
      </w:r>
      <w:r>
        <w:rPr>
          <w:spacing w:val="-5"/>
          <w:sz w:val="24"/>
        </w:rPr>
        <w:t> </w:t>
      </w:r>
      <w:r>
        <w:rPr>
          <w:spacing w:val="-2"/>
          <w:sz w:val="24"/>
        </w:rPr>
        <w:t>Economy</w:t>
      </w:r>
      <w:r>
        <w:rPr>
          <w:spacing w:val="-11"/>
          <w:sz w:val="24"/>
        </w:rPr>
        <w:t> </w:t>
      </w:r>
      <w:r>
        <w:rPr>
          <w:spacing w:val="-2"/>
          <w:sz w:val="24"/>
        </w:rPr>
        <w:t>is</w:t>
      </w:r>
      <w:r>
        <w:rPr>
          <w:spacing w:val="-11"/>
          <w:sz w:val="24"/>
        </w:rPr>
        <w:t> </w:t>
      </w:r>
      <w:r>
        <w:rPr>
          <w:spacing w:val="-2"/>
          <w:sz w:val="24"/>
        </w:rPr>
        <w:t>defined</w:t>
      </w:r>
      <w:r>
        <w:rPr>
          <w:spacing w:val="-10"/>
          <w:sz w:val="24"/>
        </w:rPr>
        <w:t> </w:t>
      </w:r>
      <w:r>
        <w:rPr>
          <w:spacing w:val="-2"/>
          <w:sz w:val="24"/>
        </w:rPr>
        <w:t>as </w:t>
      </w:r>
      <w:r>
        <w:rPr>
          <w:sz w:val="24"/>
        </w:rPr>
        <w:t>the</w:t>
      </w:r>
      <w:r>
        <w:rPr>
          <w:spacing w:val="-11"/>
          <w:sz w:val="24"/>
        </w:rPr>
        <w:t> </w:t>
      </w:r>
      <w:r>
        <w:rPr>
          <w:sz w:val="24"/>
        </w:rPr>
        <w:t>combined</w:t>
      </w:r>
      <w:r>
        <w:rPr>
          <w:spacing w:val="-11"/>
          <w:sz w:val="24"/>
        </w:rPr>
        <w:t> </w:t>
      </w:r>
      <w:r>
        <w:rPr>
          <w:sz w:val="24"/>
        </w:rPr>
        <w:t>health,</w:t>
      </w:r>
      <w:r>
        <w:rPr>
          <w:spacing w:val="-14"/>
          <w:sz w:val="24"/>
        </w:rPr>
        <w:t> </w:t>
      </w:r>
      <w:r>
        <w:rPr>
          <w:sz w:val="24"/>
        </w:rPr>
        <w:t>care,</w:t>
      </w:r>
      <w:r>
        <w:rPr>
          <w:spacing w:val="-14"/>
          <w:sz w:val="24"/>
        </w:rPr>
        <w:t> </w:t>
      </w:r>
      <w:r>
        <w:rPr>
          <w:sz w:val="24"/>
        </w:rPr>
        <w:t>public</w:t>
      </w:r>
      <w:r>
        <w:rPr>
          <w:spacing w:val="-12"/>
          <w:sz w:val="24"/>
        </w:rPr>
        <w:t> </w:t>
      </w:r>
      <w:r>
        <w:rPr>
          <w:sz w:val="24"/>
        </w:rPr>
        <w:t>service,</w:t>
      </w:r>
      <w:r>
        <w:rPr>
          <w:spacing w:val="-14"/>
          <w:sz w:val="24"/>
        </w:rPr>
        <w:t> </w:t>
      </w:r>
      <w:r>
        <w:rPr>
          <w:sz w:val="24"/>
        </w:rPr>
        <w:t>community</w:t>
      </w:r>
      <w:r>
        <w:rPr>
          <w:spacing w:val="-12"/>
          <w:sz w:val="24"/>
        </w:rPr>
        <w:t> </w:t>
      </w:r>
      <w:r>
        <w:rPr>
          <w:sz w:val="24"/>
        </w:rPr>
        <w:t>and</w:t>
      </w:r>
      <w:r>
        <w:rPr>
          <w:spacing w:val="-11"/>
          <w:sz w:val="24"/>
        </w:rPr>
        <w:t> </w:t>
      </w:r>
      <w:r>
        <w:rPr>
          <w:sz w:val="24"/>
        </w:rPr>
        <w:t>economic</w:t>
      </w:r>
      <w:r>
        <w:rPr>
          <w:spacing w:val="-12"/>
          <w:sz w:val="24"/>
        </w:rPr>
        <w:t> </w:t>
      </w:r>
      <w:r>
        <w:rPr>
          <w:sz w:val="24"/>
        </w:rPr>
        <w:t>system</w:t>
      </w:r>
      <w:r>
        <w:rPr>
          <w:spacing w:val="-12"/>
          <w:sz w:val="24"/>
        </w:rPr>
        <w:t> </w:t>
      </w:r>
      <w:r>
        <w:rPr>
          <w:sz w:val="24"/>
        </w:rPr>
        <w:t>whose collective</w:t>
      </w:r>
      <w:r>
        <w:rPr>
          <w:spacing w:val="-13"/>
          <w:sz w:val="24"/>
        </w:rPr>
        <w:t> </w:t>
      </w:r>
      <w:r>
        <w:rPr>
          <w:sz w:val="24"/>
        </w:rPr>
        <w:t>actions</w:t>
      </w:r>
      <w:r>
        <w:rPr>
          <w:spacing w:val="-14"/>
          <w:sz w:val="24"/>
        </w:rPr>
        <w:t> </w:t>
      </w:r>
      <w:r>
        <w:rPr>
          <w:sz w:val="24"/>
        </w:rPr>
        <w:t>determine</w:t>
      </w:r>
      <w:r>
        <w:rPr>
          <w:spacing w:val="-13"/>
          <w:sz w:val="24"/>
        </w:rPr>
        <w:t> </w:t>
      </w:r>
      <w:r>
        <w:rPr>
          <w:sz w:val="24"/>
        </w:rPr>
        <w:t>the</w:t>
      </w:r>
      <w:r>
        <w:rPr>
          <w:spacing w:val="-13"/>
          <w:sz w:val="24"/>
        </w:rPr>
        <w:t> </w:t>
      </w:r>
      <w:r>
        <w:rPr>
          <w:sz w:val="24"/>
        </w:rPr>
        <w:t>health</w:t>
      </w:r>
      <w:r>
        <w:rPr>
          <w:spacing w:val="-13"/>
          <w:sz w:val="24"/>
        </w:rPr>
        <w:t> </w:t>
      </w:r>
      <w:r>
        <w:rPr>
          <w:sz w:val="24"/>
        </w:rPr>
        <w:t>of</w:t>
      </w:r>
      <w:r>
        <w:rPr>
          <w:spacing w:val="-16"/>
          <w:sz w:val="24"/>
        </w:rPr>
        <w:t> </w:t>
      </w:r>
      <w:r>
        <w:rPr>
          <w:sz w:val="24"/>
        </w:rPr>
        <w:t>the</w:t>
      </w:r>
      <w:r>
        <w:rPr>
          <w:spacing w:val="-17"/>
          <w:sz w:val="24"/>
        </w:rPr>
        <w:t> </w:t>
      </w:r>
      <w:r>
        <w:rPr>
          <w:sz w:val="24"/>
        </w:rPr>
        <w:t>population</w:t>
      </w:r>
      <w:r>
        <w:rPr>
          <w:spacing w:val="-13"/>
          <w:sz w:val="24"/>
        </w:rPr>
        <w:t> </w:t>
      </w:r>
      <w:r>
        <w:rPr>
          <w:sz w:val="24"/>
        </w:rPr>
        <w:t>and</w:t>
      </w:r>
      <w:r>
        <w:rPr>
          <w:spacing w:val="-9"/>
          <w:sz w:val="24"/>
        </w:rPr>
        <w:t> </w:t>
      </w:r>
      <w:r>
        <w:rPr>
          <w:sz w:val="24"/>
        </w:rPr>
        <w:t>the</w:t>
      </w:r>
      <w:r>
        <w:rPr>
          <w:spacing w:val="-13"/>
          <w:sz w:val="24"/>
        </w:rPr>
        <w:t> </w:t>
      </w:r>
      <w:r>
        <w:rPr>
          <w:sz w:val="24"/>
        </w:rPr>
        <w:t>sustainability</w:t>
      </w:r>
      <w:r>
        <w:rPr>
          <w:spacing w:val="-14"/>
          <w:sz w:val="24"/>
        </w:rPr>
        <w:t> </w:t>
      </w:r>
      <w:r>
        <w:rPr>
          <w:sz w:val="24"/>
        </w:rPr>
        <w:t>of</w:t>
      </w:r>
      <w:r>
        <w:rPr>
          <w:spacing w:val="-16"/>
          <w:sz w:val="24"/>
        </w:rPr>
        <w:t> </w:t>
      </w:r>
      <w:r>
        <w:rPr>
          <w:sz w:val="24"/>
        </w:rPr>
        <w:t>services.</w:t>
      </w:r>
    </w:p>
    <w:p>
      <w:pPr>
        <w:pStyle w:val="BodyText"/>
        <w:spacing w:before="9"/>
        <w:rPr>
          <w:sz w:val="16"/>
        </w:rPr>
      </w:pPr>
      <w:r>
        <w:rPr>
          <w:sz w:val="16"/>
        </w:rPr>
        <mc:AlternateContent>
          <mc:Choice Requires="wps">
            <w:drawing>
              <wp:anchor distT="0" distB="0" distL="0" distR="0" allowOverlap="1" layoutInCell="1" locked="0" behindDoc="1" simplePos="0" relativeHeight="487700480">
                <wp:simplePos x="0" y="0"/>
                <wp:positionH relativeFrom="page">
                  <wp:posOffset>574992</wp:posOffset>
                </wp:positionH>
                <wp:positionV relativeFrom="paragraph">
                  <wp:posOffset>144239</wp:posOffset>
                </wp:positionV>
                <wp:extent cx="6642100" cy="191135"/>
                <wp:effectExtent l="0" t="0" r="0" b="0"/>
                <wp:wrapTopAndBottom/>
                <wp:docPr id="569" name="Textbox 569"/>
                <wp:cNvGraphicFramePr>
                  <a:graphicFrameLocks/>
                </wp:cNvGraphicFramePr>
                <a:graphic>
                  <a:graphicData uri="http://schemas.microsoft.com/office/word/2010/wordprocessingShape">
                    <wps:wsp>
                      <wps:cNvPr id="569" name="Textbox 569"/>
                      <wps:cNvSpPr txBox="1"/>
                      <wps:spPr>
                        <a:xfrm>
                          <a:off x="0" y="0"/>
                          <a:ext cx="6642100" cy="191135"/>
                        </a:xfrm>
                        <a:prstGeom prst="rect">
                          <a:avLst/>
                        </a:prstGeom>
                        <a:solidFill>
                          <a:srgbClr val="C1A875"/>
                        </a:solidFill>
                        <a:ln w="12700">
                          <a:solidFill>
                            <a:srgbClr val="394871"/>
                          </a:solidFill>
                          <a:prstDash val="solid"/>
                        </a:ln>
                      </wps:spPr>
                      <wps:txbx>
                        <w:txbxContent>
                          <w:p>
                            <w:pPr>
                              <w:tabs>
                                <w:tab w:pos="825" w:val="left" w:leader="none"/>
                              </w:tabs>
                              <w:spacing w:line="276" w:lineRule="exact" w:before="0"/>
                              <w:ind w:left="115" w:right="0" w:firstLine="0"/>
                              <w:jc w:val="left"/>
                              <w:rPr>
                                <w:b/>
                                <w:color w:val="000000"/>
                                <w:sz w:val="24"/>
                              </w:rPr>
                            </w:pPr>
                            <w:r>
                              <w:rPr>
                                <w:b/>
                                <w:color w:val="000000"/>
                                <w:spacing w:val="-5"/>
                                <w:sz w:val="24"/>
                              </w:rPr>
                              <w:t>2.</w:t>
                            </w:r>
                            <w:r>
                              <w:rPr>
                                <w:b/>
                                <w:color w:val="000000"/>
                                <w:sz w:val="24"/>
                              </w:rPr>
                              <w:tab/>
                            </w:r>
                            <w:r>
                              <w:rPr>
                                <w:b/>
                                <w:color w:val="000000"/>
                                <w:spacing w:val="-2"/>
                                <w:sz w:val="24"/>
                              </w:rPr>
                              <w:t>Purpose</w:t>
                            </w:r>
                          </w:p>
                        </w:txbxContent>
                      </wps:txbx>
                      <wps:bodyPr wrap="square" lIns="0" tIns="0" rIns="0" bIns="0" rtlCol="0">
                        <a:noAutofit/>
                      </wps:bodyPr>
                    </wps:wsp>
                  </a:graphicData>
                </a:graphic>
              </wp:anchor>
            </w:drawing>
          </mc:Choice>
          <mc:Fallback>
            <w:pict>
              <v:shape style="position:absolute;margin-left:45.275002pt;margin-top:11.357422pt;width:523pt;height:15.05pt;mso-position-horizontal-relative:page;mso-position-vertical-relative:paragraph;z-index:-15616000;mso-wrap-distance-left:0;mso-wrap-distance-right:0" type="#_x0000_t202" id="docshape345" filled="true" fillcolor="#c1a875" stroked="true" strokeweight="1pt" strokecolor="#394871">
                <v:textbox inset="0,0,0,0">
                  <w:txbxContent>
                    <w:p>
                      <w:pPr>
                        <w:tabs>
                          <w:tab w:pos="825" w:val="left" w:leader="none"/>
                        </w:tabs>
                        <w:spacing w:line="276" w:lineRule="exact" w:before="0"/>
                        <w:ind w:left="115" w:right="0" w:firstLine="0"/>
                        <w:jc w:val="left"/>
                        <w:rPr>
                          <w:b/>
                          <w:color w:val="000000"/>
                          <w:sz w:val="24"/>
                        </w:rPr>
                      </w:pPr>
                      <w:r>
                        <w:rPr>
                          <w:b/>
                          <w:color w:val="000000"/>
                          <w:spacing w:val="-5"/>
                          <w:sz w:val="24"/>
                        </w:rPr>
                        <w:t>2.</w:t>
                      </w:r>
                      <w:r>
                        <w:rPr>
                          <w:b/>
                          <w:color w:val="000000"/>
                          <w:sz w:val="24"/>
                        </w:rPr>
                        <w:tab/>
                      </w:r>
                      <w:r>
                        <w:rPr>
                          <w:b/>
                          <w:color w:val="000000"/>
                          <w:spacing w:val="-2"/>
                          <w:sz w:val="24"/>
                        </w:rPr>
                        <w:t>Purpose</w:t>
                      </w:r>
                    </w:p>
                  </w:txbxContent>
                </v:textbox>
                <v:fill type="solid"/>
                <v:stroke dashstyle="solid"/>
                <w10:wrap type="topAndBottom"/>
              </v:shape>
            </w:pict>
          </mc:Fallback>
        </mc:AlternateContent>
      </w:r>
    </w:p>
    <w:p>
      <w:pPr>
        <w:pStyle w:val="ListParagraph"/>
        <w:numPr>
          <w:ilvl w:val="1"/>
          <w:numId w:val="87"/>
        </w:numPr>
        <w:tabs>
          <w:tab w:pos="937" w:val="left" w:leader="none"/>
        </w:tabs>
        <w:spacing w:line="242" w:lineRule="auto" w:before="170" w:after="0"/>
        <w:ind w:left="937" w:right="1355" w:hanging="795"/>
        <w:jc w:val="left"/>
        <w:rPr>
          <w:sz w:val="24"/>
        </w:rPr>
      </w:pPr>
      <w:r>
        <w:rPr>
          <w:sz w:val="24"/>
        </w:rPr>
        <w:t>The</w:t>
      </w:r>
      <w:r>
        <w:rPr>
          <w:spacing w:val="-17"/>
          <w:sz w:val="24"/>
        </w:rPr>
        <w:t> </w:t>
      </w:r>
      <w:r>
        <w:rPr>
          <w:sz w:val="24"/>
        </w:rPr>
        <w:t>purpose</w:t>
      </w:r>
      <w:r>
        <w:rPr>
          <w:spacing w:val="-15"/>
          <w:sz w:val="24"/>
        </w:rPr>
        <w:t> </w:t>
      </w:r>
      <w:r>
        <w:rPr>
          <w:sz w:val="24"/>
        </w:rPr>
        <w:t>of</w:t>
      </w:r>
      <w:r>
        <w:rPr>
          <w:spacing w:val="-13"/>
          <w:sz w:val="24"/>
        </w:rPr>
        <w:t> </w:t>
      </w:r>
      <w:r>
        <w:rPr>
          <w:sz w:val="24"/>
        </w:rPr>
        <w:t>the</w:t>
      </w:r>
      <w:r>
        <w:rPr>
          <w:spacing w:val="-15"/>
          <w:sz w:val="24"/>
        </w:rPr>
        <w:t> </w:t>
      </w:r>
      <w:r>
        <w:rPr>
          <w:sz w:val="24"/>
        </w:rPr>
        <w:t>RHES</w:t>
      </w:r>
      <w:r>
        <w:rPr>
          <w:spacing w:val="-16"/>
          <w:sz w:val="24"/>
        </w:rPr>
        <w:t> </w:t>
      </w:r>
      <w:r>
        <w:rPr>
          <w:sz w:val="24"/>
        </w:rPr>
        <w:t>is</w:t>
      </w:r>
      <w:r>
        <w:rPr>
          <w:spacing w:val="-12"/>
          <w:sz w:val="24"/>
        </w:rPr>
        <w:t> </w:t>
      </w:r>
      <w:r>
        <w:rPr>
          <w:sz w:val="24"/>
        </w:rPr>
        <w:t>to</w:t>
      </w:r>
      <w:r>
        <w:rPr>
          <w:spacing w:val="-15"/>
          <w:sz w:val="24"/>
        </w:rPr>
        <w:t> </w:t>
      </w:r>
      <w:r>
        <w:rPr>
          <w:sz w:val="24"/>
        </w:rPr>
        <w:t>support</w:t>
      </w:r>
      <w:r>
        <w:rPr>
          <w:spacing w:val="-13"/>
          <w:sz w:val="24"/>
        </w:rPr>
        <w:t> </w:t>
      </w:r>
      <w:r>
        <w:rPr>
          <w:sz w:val="24"/>
        </w:rPr>
        <w:t>the</w:t>
      </w:r>
      <w:r>
        <w:rPr>
          <w:spacing w:val="-14"/>
          <w:sz w:val="24"/>
        </w:rPr>
        <w:t> </w:t>
      </w:r>
      <w:r>
        <w:rPr>
          <w:sz w:val="24"/>
        </w:rPr>
        <w:t>RJC</w:t>
      </w:r>
      <w:r>
        <w:rPr>
          <w:spacing w:val="-14"/>
          <w:sz w:val="24"/>
        </w:rPr>
        <w:t> </w:t>
      </w:r>
      <w:r>
        <w:rPr>
          <w:sz w:val="24"/>
        </w:rPr>
        <w:t>by</w:t>
      </w:r>
      <w:r>
        <w:rPr>
          <w:spacing w:val="-17"/>
          <w:sz w:val="24"/>
        </w:rPr>
        <w:t> </w:t>
      </w:r>
      <w:r>
        <w:rPr>
          <w:sz w:val="24"/>
        </w:rPr>
        <w:t>providing</w:t>
      </w:r>
      <w:r>
        <w:rPr>
          <w:spacing w:val="-15"/>
          <w:sz w:val="24"/>
        </w:rPr>
        <w:t> </w:t>
      </w:r>
      <w:r>
        <w:rPr>
          <w:sz w:val="24"/>
        </w:rPr>
        <w:t>strategic</w:t>
      </w:r>
      <w:r>
        <w:rPr>
          <w:spacing w:val="-16"/>
          <w:sz w:val="24"/>
        </w:rPr>
        <w:t> </w:t>
      </w:r>
      <w:r>
        <w:rPr>
          <w:sz w:val="24"/>
        </w:rPr>
        <w:t>leadership, </w:t>
      </w:r>
      <w:r>
        <w:rPr>
          <w:spacing w:val="-2"/>
          <w:sz w:val="24"/>
        </w:rPr>
        <w:t>coordination</w:t>
      </w:r>
      <w:r>
        <w:rPr>
          <w:spacing w:val="-15"/>
          <w:sz w:val="24"/>
        </w:rPr>
        <w:t> </w:t>
      </w:r>
      <w:r>
        <w:rPr>
          <w:spacing w:val="-2"/>
          <w:sz w:val="24"/>
        </w:rPr>
        <w:t>and</w:t>
      </w:r>
      <w:r>
        <w:rPr>
          <w:spacing w:val="-14"/>
          <w:sz w:val="24"/>
        </w:rPr>
        <w:t> </w:t>
      </w:r>
      <w:r>
        <w:rPr>
          <w:spacing w:val="-2"/>
          <w:sz w:val="24"/>
        </w:rPr>
        <w:t>assurance</w:t>
      </w:r>
      <w:r>
        <w:rPr>
          <w:spacing w:val="-10"/>
          <w:sz w:val="24"/>
        </w:rPr>
        <w:t> </w:t>
      </w:r>
      <w:r>
        <w:rPr>
          <w:spacing w:val="-2"/>
          <w:sz w:val="24"/>
        </w:rPr>
        <w:t>for</w:t>
      </w:r>
      <w:r>
        <w:rPr>
          <w:spacing w:val="-10"/>
          <w:sz w:val="24"/>
        </w:rPr>
        <w:t> </w:t>
      </w:r>
      <w:r>
        <w:rPr>
          <w:spacing w:val="-2"/>
          <w:sz w:val="24"/>
        </w:rPr>
        <w:t>the</w:t>
      </w:r>
      <w:r>
        <w:rPr>
          <w:spacing w:val="-14"/>
          <w:sz w:val="24"/>
        </w:rPr>
        <w:t> </w:t>
      </w:r>
      <w:r>
        <w:rPr>
          <w:spacing w:val="-2"/>
          <w:sz w:val="24"/>
        </w:rPr>
        <w:t>development</w:t>
      </w:r>
      <w:r>
        <w:rPr>
          <w:spacing w:val="-15"/>
          <w:sz w:val="24"/>
        </w:rPr>
        <w:t> </w:t>
      </w:r>
      <w:r>
        <w:rPr>
          <w:spacing w:val="-2"/>
          <w:sz w:val="24"/>
        </w:rPr>
        <w:t>of</w:t>
      </w:r>
      <w:r>
        <w:rPr>
          <w:spacing w:val="-15"/>
          <w:sz w:val="24"/>
        </w:rPr>
        <w:t> </w:t>
      </w:r>
      <w:r>
        <w:rPr>
          <w:spacing w:val="-2"/>
          <w:sz w:val="24"/>
        </w:rPr>
        <w:t>the</w:t>
      </w:r>
      <w:r>
        <w:rPr>
          <w:spacing w:val="-13"/>
          <w:sz w:val="24"/>
        </w:rPr>
        <w:t> </w:t>
      </w:r>
      <w:r>
        <w:rPr>
          <w:spacing w:val="-2"/>
          <w:sz w:val="24"/>
        </w:rPr>
        <w:t>Regional</w:t>
      </w:r>
      <w:r>
        <w:rPr>
          <w:spacing w:val="-14"/>
          <w:sz w:val="24"/>
        </w:rPr>
        <w:t> </w:t>
      </w:r>
      <w:r>
        <w:rPr>
          <w:spacing w:val="-2"/>
          <w:sz w:val="24"/>
        </w:rPr>
        <w:t>Health</w:t>
      </w:r>
      <w:r>
        <w:rPr>
          <w:spacing w:val="-14"/>
          <w:sz w:val="24"/>
        </w:rPr>
        <w:t> </w:t>
      </w:r>
      <w:r>
        <w:rPr>
          <w:spacing w:val="-2"/>
          <w:sz w:val="24"/>
        </w:rPr>
        <w:t>Economy.</w:t>
      </w:r>
    </w:p>
    <w:p>
      <w:pPr>
        <w:pStyle w:val="ListParagraph"/>
        <w:numPr>
          <w:ilvl w:val="1"/>
          <w:numId w:val="87"/>
        </w:numPr>
        <w:tabs>
          <w:tab w:pos="937" w:val="left" w:leader="none"/>
        </w:tabs>
        <w:spacing w:line="240" w:lineRule="auto" w:before="157" w:after="0"/>
        <w:ind w:left="937" w:right="0" w:hanging="795"/>
        <w:jc w:val="left"/>
        <w:rPr>
          <w:sz w:val="24"/>
        </w:rPr>
      </w:pPr>
      <w:r>
        <w:rPr>
          <w:spacing w:val="-2"/>
          <w:sz w:val="24"/>
        </w:rPr>
        <w:t>To</w:t>
      </w:r>
      <w:r>
        <w:rPr>
          <w:spacing w:val="-12"/>
          <w:sz w:val="24"/>
        </w:rPr>
        <w:t> </w:t>
      </w:r>
      <w:r>
        <w:rPr>
          <w:spacing w:val="-2"/>
          <w:sz w:val="24"/>
        </w:rPr>
        <w:t>fulfil</w:t>
      </w:r>
      <w:r>
        <w:rPr>
          <w:spacing w:val="-7"/>
          <w:sz w:val="24"/>
        </w:rPr>
        <w:t> </w:t>
      </w:r>
      <w:r>
        <w:rPr>
          <w:spacing w:val="-2"/>
          <w:sz w:val="24"/>
        </w:rPr>
        <w:t>this</w:t>
      </w:r>
      <w:r>
        <w:rPr>
          <w:spacing w:val="-12"/>
          <w:sz w:val="24"/>
        </w:rPr>
        <w:t> </w:t>
      </w:r>
      <w:r>
        <w:rPr>
          <w:spacing w:val="-2"/>
          <w:sz w:val="24"/>
        </w:rPr>
        <w:t>purpose,</w:t>
      </w:r>
      <w:r>
        <w:rPr>
          <w:spacing w:val="-10"/>
          <w:sz w:val="24"/>
        </w:rPr>
        <w:t> </w:t>
      </w:r>
      <w:r>
        <w:rPr>
          <w:spacing w:val="-2"/>
          <w:sz w:val="24"/>
        </w:rPr>
        <w:t>the</w:t>
      </w:r>
      <w:r>
        <w:rPr>
          <w:spacing w:val="-11"/>
          <w:sz w:val="24"/>
        </w:rPr>
        <w:t> </w:t>
      </w:r>
      <w:r>
        <w:rPr>
          <w:spacing w:val="-2"/>
          <w:sz w:val="24"/>
        </w:rPr>
        <w:t>RHES</w:t>
      </w:r>
      <w:r>
        <w:rPr>
          <w:spacing w:val="-12"/>
          <w:sz w:val="24"/>
        </w:rPr>
        <w:t> </w:t>
      </w:r>
      <w:r>
        <w:rPr>
          <w:spacing w:val="-2"/>
          <w:sz w:val="24"/>
        </w:rPr>
        <w:t>will:</w:t>
      </w:r>
    </w:p>
    <w:p>
      <w:pPr>
        <w:pStyle w:val="ListParagraph"/>
        <w:numPr>
          <w:ilvl w:val="2"/>
          <w:numId w:val="87"/>
        </w:numPr>
        <w:tabs>
          <w:tab w:pos="1278" w:val="left" w:leader="none"/>
        </w:tabs>
        <w:spacing w:line="240" w:lineRule="auto" w:before="159" w:after="0"/>
        <w:ind w:left="1278" w:right="832" w:hanging="361"/>
        <w:jc w:val="left"/>
        <w:rPr>
          <w:sz w:val="24"/>
        </w:rPr>
      </w:pPr>
      <w:r>
        <w:rPr>
          <w:b/>
          <w:spacing w:val="-2"/>
          <w:sz w:val="24"/>
        </w:rPr>
        <w:t>Set</w:t>
      </w:r>
      <w:r>
        <w:rPr>
          <w:b/>
          <w:spacing w:val="-15"/>
          <w:sz w:val="24"/>
        </w:rPr>
        <w:t> </w:t>
      </w:r>
      <w:r>
        <w:rPr>
          <w:b/>
          <w:spacing w:val="-2"/>
          <w:sz w:val="24"/>
        </w:rPr>
        <w:t>and</w:t>
      </w:r>
      <w:r>
        <w:rPr>
          <w:b/>
          <w:spacing w:val="-15"/>
          <w:sz w:val="24"/>
        </w:rPr>
        <w:t> </w:t>
      </w:r>
      <w:r>
        <w:rPr>
          <w:b/>
          <w:spacing w:val="-2"/>
          <w:sz w:val="24"/>
        </w:rPr>
        <w:t>align</w:t>
      </w:r>
      <w:r>
        <w:rPr>
          <w:b/>
          <w:spacing w:val="-14"/>
          <w:sz w:val="24"/>
        </w:rPr>
        <w:t> </w:t>
      </w:r>
      <w:r>
        <w:rPr>
          <w:b/>
          <w:spacing w:val="-2"/>
          <w:sz w:val="24"/>
        </w:rPr>
        <w:t>regional</w:t>
      </w:r>
      <w:r>
        <w:rPr>
          <w:b/>
          <w:spacing w:val="-15"/>
          <w:sz w:val="24"/>
        </w:rPr>
        <w:t> </w:t>
      </w:r>
      <w:r>
        <w:rPr>
          <w:b/>
          <w:spacing w:val="-2"/>
          <w:sz w:val="24"/>
        </w:rPr>
        <w:t>strategic</w:t>
      </w:r>
      <w:r>
        <w:rPr>
          <w:b/>
          <w:spacing w:val="-14"/>
          <w:sz w:val="24"/>
        </w:rPr>
        <w:t> </w:t>
      </w:r>
      <w:r>
        <w:rPr>
          <w:b/>
          <w:spacing w:val="-2"/>
          <w:sz w:val="24"/>
        </w:rPr>
        <w:t>plans</w:t>
      </w:r>
      <w:r>
        <w:rPr>
          <w:b/>
          <w:spacing w:val="-5"/>
          <w:sz w:val="24"/>
        </w:rPr>
        <w:t> </w:t>
      </w:r>
      <w:r>
        <w:rPr>
          <w:spacing w:val="-2"/>
          <w:sz w:val="24"/>
        </w:rPr>
        <w:t>for</w:t>
      </w:r>
      <w:r>
        <w:rPr>
          <w:spacing w:val="-8"/>
          <w:sz w:val="24"/>
        </w:rPr>
        <w:t> </w:t>
      </w:r>
      <w:r>
        <w:rPr>
          <w:spacing w:val="-2"/>
          <w:sz w:val="24"/>
        </w:rPr>
        <w:t>the</w:t>
      </w:r>
      <w:r>
        <w:rPr>
          <w:spacing w:val="-12"/>
          <w:sz w:val="24"/>
        </w:rPr>
        <w:t> </w:t>
      </w:r>
      <w:r>
        <w:rPr>
          <w:spacing w:val="-2"/>
          <w:sz w:val="24"/>
        </w:rPr>
        <w:t>Regional</w:t>
      </w:r>
      <w:r>
        <w:rPr>
          <w:spacing w:val="-15"/>
          <w:sz w:val="24"/>
        </w:rPr>
        <w:t> </w:t>
      </w:r>
      <w:r>
        <w:rPr>
          <w:spacing w:val="-2"/>
          <w:sz w:val="24"/>
        </w:rPr>
        <w:t>Health</w:t>
      </w:r>
      <w:r>
        <w:rPr>
          <w:spacing w:val="-7"/>
          <w:sz w:val="24"/>
        </w:rPr>
        <w:t> </w:t>
      </w:r>
      <w:r>
        <w:rPr>
          <w:spacing w:val="-2"/>
          <w:sz w:val="24"/>
        </w:rPr>
        <w:t>Economy,</w:t>
      </w:r>
      <w:r>
        <w:rPr>
          <w:spacing w:val="-15"/>
          <w:sz w:val="24"/>
        </w:rPr>
        <w:t> </w:t>
      </w:r>
      <w:r>
        <w:rPr>
          <w:spacing w:val="-2"/>
          <w:sz w:val="24"/>
        </w:rPr>
        <w:t>ensuring </w:t>
      </w:r>
      <w:r>
        <w:rPr>
          <w:sz w:val="24"/>
        </w:rPr>
        <w:t>consistency</w:t>
      </w:r>
      <w:r>
        <w:rPr>
          <w:spacing w:val="-12"/>
          <w:sz w:val="24"/>
        </w:rPr>
        <w:t> </w:t>
      </w:r>
      <w:r>
        <w:rPr>
          <w:sz w:val="24"/>
        </w:rPr>
        <w:t>with</w:t>
      </w:r>
      <w:r>
        <w:rPr>
          <w:spacing w:val="-10"/>
          <w:sz w:val="24"/>
        </w:rPr>
        <w:t> </w:t>
      </w:r>
      <w:r>
        <w:rPr>
          <w:sz w:val="24"/>
        </w:rPr>
        <w:t>the</w:t>
      </w:r>
      <w:r>
        <w:rPr>
          <w:spacing w:val="-10"/>
          <w:sz w:val="24"/>
        </w:rPr>
        <w:t> </w:t>
      </w:r>
      <w:r>
        <w:rPr>
          <w:sz w:val="24"/>
        </w:rPr>
        <w:t>strategic</w:t>
      </w:r>
      <w:r>
        <w:rPr>
          <w:spacing w:val="-11"/>
          <w:sz w:val="24"/>
        </w:rPr>
        <w:t> </w:t>
      </w:r>
      <w:r>
        <w:rPr>
          <w:sz w:val="24"/>
        </w:rPr>
        <w:t>priorities</w:t>
      </w:r>
      <w:r>
        <w:rPr>
          <w:spacing w:val="-11"/>
          <w:sz w:val="24"/>
        </w:rPr>
        <w:t> </w:t>
      </w:r>
      <w:r>
        <w:rPr>
          <w:sz w:val="24"/>
        </w:rPr>
        <w:t>of</w:t>
      </w:r>
      <w:r>
        <w:rPr>
          <w:spacing w:val="-13"/>
          <w:sz w:val="24"/>
        </w:rPr>
        <w:t> </w:t>
      </w:r>
      <w:r>
        <w:rPr>
          <w:sz w:val="24"/>
        </w:rPr>
        <w:t>the</w:t>
      </w:r>
      <w:r>
        <w:rPr>
          <w:spacing w:val="-15"/>
          <w:sz w:val="24"/>
        </w:rPr>
        <w:t> </w:t>
      </w:r>
      <w:r>
        <w:rPr>
          <w:sz w:val="24"/>
        </w:rPr>
        <w:t>Regional</w:t>
      </w:r>
      <w:r>
        <w:rPr>
          <w:spacing w:val="-10"/>
          <w:sz w:val="24"/>
        </w:rPr>
        <w:t> </w:t>
      </w:r>
      <w:r>
        <w:rPr>
          <w:sz w:val="24"/>
        </w:rPr>
        <w:t>Joint</w:t>
      </w:r>
      <w:r>
        <w:rPr>
          <w:spacing w:val="-17"/>
          <w:sz w:val="24"/>
        </w:rPr>
        <w:t> </w:t>
      </w:r>
      <w:r>
        <w:rPr>
          <w:sz w:val="24"/>
        </w:rPr>
        <w:t>Committee</w:t>
      </w:r>
      <w:r>
        <w:rPr>
          <w:spacing w:val="-10"/>
          <w:sz w:val="24"/>
        </w:rPr>
        <w:t> </w:t>
      </w:r>
      <w:r>
        <w:rPr>
          <w:sz w:val="24"/>
        </w:rPr>
        <w:t>and</w:t>
      </w:r>
      <w:r>
        <w:rPr>
          <w:spacing w:val="-10"/>
          <w:sz w:val="24"/>
        </w:rPr>
        <w:t> </w:t>
      </w:r>
      <w:r>
        <w:rPr>
          <w:sz w:val="24"/>
        </w:rPr>
        <w:t>both University Health Boards.</w:t>
      </w:r>
    </w:p>
    <w:p>
      <w:pPr>
        <w:pStyle w:val="ListParagraph"/>
        <w:numPr>
          <w:ilvl w:val="2"/>
          <w:numId w:val="87"/>
        </w:numPr>
        <w:tabs>
          <w:tab w:pos="1278" w:val="left" w:leader="none"/>
        </w:tabs>
        <w:spacing w:line="237" w:lineRule="auto" w:before="164" w:after="0"/>
        <w:ind w:left="1278" w:right="1316" w:hanging="361"/>
        <w:jc w:val="left"/>
        <w:rPr>
          <w:sz w:val="24"/>
        </w:rPr>
      </w:pPr>
      <w:r>
        <w:rPr>
          <w:b/>
          <w:spacing w:val="-2"/>
          <w:sz w:val="24"/>
        </w:rPr>
        <w:t>Align</w:t>
      </w:r>
      <w:r>
        <w:rPr>
          <w:b/>
          <w:spacing w:val="-15"/>
          <w:sz w:val="24"/>
        </w:rPr>
        <w:t> </w:t>
      </w:r>
      <w:r>
        <w:rPr>
          <w:b/>
          <w:spacing w:val="-2"/>
          <w:sz w:val="24"/>
        </w:rPr>
        <w:t>relevant</w:t>
      </w:r>
      <w:r>
        <w:rPr>
          <w:b/>
          <w:spacing w:val="-15"/>
          <w:sz w:val="24"/>
        </w:rPr>
        <w:t> </w:t>
      </w:r>
      <w:r>
        <w:rPr>
          <w:b/>
          <w:spacing w:val="-2"/>
          <w:sz w:val="24"/>
        </w:rPr>
        <w:t>programmes</w:t>
      </w:r>
      <w:r>
        <w:rPr>
          <w:b/>
          <w:spacing w:val="-14"/>
          <w:sz w:val="24"/>
        </w:rPr>
        <w:t> </w:t>
      </w:r>
      <w:r>
        <w:rPr>
          <w:b/>
          <w:spacing w:val="-2"/>
          <w:sz w:val="24"/>
        </w:rPr>
        <w:t>and</w:t>
      </w:r>
      <w:r>
        <w:rPr>
          <w:b/>
          <w:spacing w:val="-15"/>
          <w:sz w:val="24"/>
        </w:rPr>
        <w:t> </w:t>
      </w:r>
      <w:r>
        <w:rPr>
          <w:b/>
          <w:spacing w:val="-2"/>
          <w:sz w:val="24"/>
        </w:rPr>
        <w:t>workstreams</w:t>
      </w:r>
      <w:r>
        <w:rPr>
          <w:b/>
          <w:spacing w:val="-6"/>
          <w:sz w:val="24"/>
        </w:rPr>
        <w:t> </w:t>
      </w:r>
      <w:r>
        <w:rPr>
          <w:spacing w:val="-2"/>
          <w:sz w:val="24"/>
        </w:rPr>
        <w:t>across</w:t>
      </w:r>
      <w:r>
        <w:rPr>
          <w:spacing w:val="-13"/>
          <w:sz w:val="24"/>
        </w:rPr>
        <w:t> </w:t>
      </w:r>
      <w:r>
        <w:rPr>
          <w:spacing w:val="-2"/>
          <w:sz w:val="24"/>
        </w:rPr>
        <w:t>the</w:t>
      </w:r>
      <w:r>
        <w:rPr>
          <w:spacing w:val="-8"/>
          <w:sz w:val="24"/>
        </w:rPr>
        <w:t> </w:t>
      </w:r>
      <w:r>
        <w:rPr>
          <w:spacing w:val="-2"/>
          <w:sz w:val="24"/>
        </w:rPr>
        <w:t>region</w:t>
      </w:r>
      <w:r>
        <w:rPr>
          <w:spacing w:val="-13"/>
          <w:sz w:val="24"/>
        </w:rPr>
        <w:t> </w:t>
      </w:r>
      <w:r>
        <w:rPr>
          <w:spacing w:val="-2"/>
          <w:sz w:val="24"/>
        </w:rPr>
        <w:t>to</w:t>
      </w:r>
      <w:r>
        <w:rPr>
          <w:spacing w:val="-13"/>
          <w:sz w:val="24"/>
        </w:rPr>
        <w:t> </w:t>
      </w:r>
      <w:r>
        <w:rPr>
          <w:spacing w:val="-2"/>
          <w:sz w:val="24"/>
        </w:rPr>
        <w:t>support</w:t>
      </w:r>
      <w:r>
        <w:rPr>
          <w:spacing w:val="-15"/>
          <w:sz w:val="24"/>
        </w:rPr>
        <w:t> </w:t>
      </w:r>
      <w:r>
        <w:rPr>
          <w:spacing w:val="-2"/>
          <w:sz w:val="24"/>
        </w:rPr>
        <w:t>a </w:t>
      </w:r>
      <w:r>
        <w:rPr>
          <w:sz w:val="24"/>
        </w:rPr>
        <w:t>coherent</w:t>
      </w:r>
      <w:r>
        <w:rPr>
          <w:spacing w:val="-13"/>
          <w:sz w:val="24"/>
        </w:rPr>
        <w:t> </w:t>
      </w:r>
      <w:r>
        <w:rPr>
          <w:sz w:val="24"/>
        </w:rPr>
        <w:t>approach,</w:t>
      </w:r>
      <w:r>
        <w:rPr>
          <w:spacing w:val="-13"/>
          <w:sz w:val="24"/>
        </w:rPr>
        <w:t> </w:t>
      </w:r>
      <w:r>
        <w:rPr>
          <w:sz w:val="24"/>
        </w:rPr>
        <w:t>maximise</w:t>
      </w:r>
      <w:r>
        <w:rPr>
          <w:spacing w:val="-6"/>
          <w:sz w:val="24"/>
        </w:rPr>
        <w:t> </w:t>
      </w:r>
      <w:r>
        <w:rPr>
          <w:sz w:val="24"/>
        </w:rPr>
        <w:t>collective</w:t>
      </w:r>
      <w:r>
        <w:rPr>
          <w:spacing w:val="-15"/>
          <w:sz w:val="24"/>
        </w:rPr>
        <w:t> </w:t>
      </w:r>
      <w:r>
        <w:rPr>
          <w:sz w:val="24"/>
        </w:rPr>
        <w:t>impact</w:t>
      </w:r>
      <w:r>
        <w:rPr>
          <w:spacing w:val="-13"/>
          <w:sz w:val="24"/>
        </w:rPr>
        <w:t> </w:t>
      </w:r>
      <w:r>
        <w:rPr>
          <w:sz w:val="24"/>
        </w:rPr>
        <w:t>and</w:t>
      </w:r>
      <w:r>
        <w:rPr>
          <w:spacing w:val="-15"/>
          <w:sz w:val="24"/>
        </w:rPr>
        <w:t> </w:t>
      </w:r>
      <w:r>
        <w:rPr>
          <w:sz w:val="24"/>
        </w:rPr>
        <w:t>avoid</w:t>
      </w:r>
      <w:r>
        <w:rPr>
          <w:spacing w:val="-10"/>
          <w:sz w:val="24"/>
        </w:rPr>
        <w:t> </w:t>
      </w:r>
      <w:r>
        <w:rPr>
          <w:sz w:val="24"/>
        </w:rPr>
        <w:t>duplication.</w:t>
      </w:r>
    </w:p>
    <w:p>
      <w:pPr>
        <w:pStyle w:val="ListParagraph"/>
        <w:numPr>
          <w:ilvl w:val="2"/>
          <w:numId w:val="87"/>
        </w:numPr>
        <w:tabs>
          <w:tab w:pos="1278" w:val="left" w:leader="none"/>
        </w:tabs>
        <w:spacing w:line="240" w:lineRule="auto" w:before="160" w:after="0"/>
        <w:ind w:left="1278" w:right="472" w:hanging="361"/>
        <w:jc w:val="left"/>
        <w:rPr>
          <w:sz w:val="24"/>
        </w:rPr>
      </w:pPr>
      <w:r>
        <w:rPr>
          <w:b/>
          <w:spacing w:val="-2"/>
          <w:sz w:val="24"/>
        </w:rPr>
        <w:t>Lead</w:t>
      </w:r>
      <w:r>
        <w:rPr>
          <w:b/>
          <w:spacing w:val="-15"/>
          <w:sz w:val="24"/>
        </w:rPr>
        <w:t> </w:t>
      </w:r>
      <w:r>
        <w:rPr>
          <w:b/>
          <w:spacing w:val="-2"/>
          <w:sz w:val="24"/>
        </w:rPr>
        <w:t>and</w:t>
      </w:r>
      <w:r>
        <w:rPr>
          <w:b/>
          <w:spacing w:val="-15"/>
          <w:sz w:val="24"/>
        </w:rPr>
        <w:t> </w:t>
      </w:r>
      <w:r>
        <w:rPr>
          <w:b/>
          <w:spacing w:val="-2"/>
          <w:sz w:val="24"/>
        </w:rPr>
        <w:t>coordinate</w:t>
      </w:r>
      <w:r>
        <w:rPr>
          <w:b/>
          <w:spacing w:val="-13"/>
          <w:sz w:val="24"/>
        </w:rPr>
        <w:t> </w:t>
      </w:r>
      <w:r>
        <w:rPr>
          <w:b/>
          <w:spacing w:val="-2"/>
          <w:sz w:val="24"/>
        </w:rPr>
        <w:t>Regional</w:t>
      </w:r>
      <w:r>
        <w:rPr>
          <w:b/>
          <w:spacing w:val="-14"/>
          <w:sz w:val="24"/>
        </w:rPr>
        <w:t> </w:t>
      </w:r>
      <w:r>
        <w:rPr>
          <w:b/>
          <w:spacing w:val="-2"/>
          <w:sz w:val="24"/>
        </w:rPr>
        <w:t>Health</w:t>
      </w:r>
      <w:r>
        <w:rPr>
          <w:b/>
          <w:spacing w:val="-8"/>
          <w:sz w:val="24"/>
        </w:rPr>
        <w:t> </w:t>
      </w:r>
      <w:r>
        <w:rPr>
          <w:b/>
          <w:spacing w:val="-2"/>
          <w:sz w:val="24"/>
        </w:rPr>
        <w:t>Economy</w:t>
      </w:r>
      <w:r>
        <w:rPr>
          <w:b/>
          <w:spacing w:val="-11"/>
          <w:sz w:val="24"/>
        </w:rPr>
        <w:t> </w:t>
      </w:r>
      <w:r>
        <w:rPr>
          <w:spacing w:val="-2"/>
          <w:sz w:val="24"/>
        </w:rPr>
        <w:t>work</w:t>
      </w:r>
      <w:r>
        <w:rPr>
          <w:spacing w:val="-11"/>
          <w:sz w:val="24"/>
        </w:rPr>
        <w:t> </w:t>
      </w:r>
      <w:r>
        <w:rPr>
          <w:spacing w:val="-2"/>
          <w:sz w:val="24"/>
        </w:rPr>
        <w:t>on</w:t>
      </w:r>
      <w:r>
        <w:rPr>
          <w:spacing w:val="-10"/>
          <w:sz w:val="24"/>
        </w:rPr>
        <w:t> </w:t>
      </w:r>
      <w:r>
        <w:rPr>
          <w:spacing w:val="-2"/>
          <w:sz w:val="24"/>
        </w:rPr>
        <w:t>behalf</w:t>
      </w:r>
      <w:r>
        <w:rPr>
          <w:spacing w:val="-15"/>
          <w:sz w:val="24"/>
        </w:rPr>
        <w:t> </w:t>
      </w:r>
      <w:r>
        <w:rPr>
          <w:spacing w:val="-2"/>
          <w:sz w:val="24"/>
        </w:rPr>
        <w:t>of</w:t>
      </w:r>
      <w:r>
        <w:rPr>
          <w:spacing w:val="-7"/>
          <w:sz w:val="24"/>
        </w:rPr>
        <w:t> </w:t>
      </w:r>
      <w:r>
        <w:rPr>
          <w:spacing w:val="-2"/>
          <w:sz w:val="24"/>
        </w:rPr>
        <w:t>the</w:t>
      </w:r>
      <w:r>
        <w:rPr>
          <w:spacing w:val="-10"/>
          <w:sz w:val="24"/>
        </w:rPr>
        <w:t> </w:t>
      </w:r>
      <w:r>
        <w:rPr>
          <w:spacing w:val="-2"/>
          <w:sz w:val="24"/>
        </w:rPr>
        <w:t>Regional</w:t>
      </w:r>
      <w:r>
        <w:rPr>
          <w:spacing w:val="-10"/>
          <w:sz w:val="24"/>
        </w:rPr>
        <w:t> </w:t>
      </w:r>
      <w:r>
        <w:rPr>
          <w:spacing w:val="-2"/>
          <w:sz w:val="24"/>
        </w:rPr>
        <w:t>Joint </w:t>
      </w:r>
      <w:r>
        <w:rPr>
          <w:sz w:val="24"/>
        </w:rPr>
        <w:t>Committee,</w:t>
      </w:r>
      <w:r>
        <w:rPr>
          <w:spacing w:val="-15"/>
          <w:sz w:val="24"/>
        </w:rPr>
        <w:t> </w:t>
      </w:r>
      <w:r>
        <w:rPr>
          <w:sz w:val="24"/>
        </w:rPr>
        <w:t>including</w:t>
      </w:r>
      <w:r>
        <w:rPr>
          <w:spacing w:val="-8"/>
          <w:sz w:val="24"/>
        </w:rPr>
        <w:t> </w:t>
      </w:r>
      <w:r>
        <w:rPr>
          <w:sz w:val="24"/>
        </w:rPr>
        <w:t>the</w:t>
      </w:r>
      <w:r>
        <w:rPr>
          <w:spacing w:val="-13"/>
          <w:sz w:val="24"/>
        </w:rPr>
        <w:t> </w:t>
      </w:r>
      <w:r>
        <w:rPr>
          <w:sz w:val="24"/>
        </w:rPr>
        <w:t>development</w:t>
      </w:r>
      <w:r>
        <w:rPr>
          <w:spacing w:val="-15"/>
          <w:sz w:val="24"/>
        </w:rPr>
        <w:t> </w:t>
      </w:r>
      <w:r>
        <w:rPr>
          <w:sz w:val="24"/>
        </w:rPr>
        <w:t>and</w:t>
      </w:r>
      <w:r>
        <w:rPr>
          <w:spacing w:val="-13"/>
          <w:sz w:val="24"/>
        </w:rPr>
        <w:t> </w:t>
      </w:r>
      <w:r>
        <w:rPr>
          <w:sz w:val="24"/>
        </w:rPr>
        <w:t>oversight</w:t>
      </w:r>
      <w:r>
        <w:rPr>
          <w:spacing w:val="-15"/>
          <w:sz w:val="24"/>
        </w:rPr>
        <w:t> </w:t>
      </w:r>
      <w:r>
        <w:rPr>
          <w:sz w:val="24"/>
        </w:rPr>
        <w:t>of</w:t>
      </w:r>
      <w:r>
        <w:rPr>
          <w:spacing w:val="-11"/>
          <w:sz w:val="24"/>
        </w:rPr>
        <w:t> </w:t>
      </w:r>
      <w:r>
        <w:rPr>
          <w:sz w:val="24"/>
        </w:rPr>
        <w:t>the</w:t>
      </w:r>
      <w:r>
        <w:rPr>
          <w:spacing w:val="-13"/>
          <w:sz w:val="24"/>
        </w:rPr>
        <w:t> </w:t>
      </w:r>
      <w:r>
        <w:rPr>
          <w:sz w:val="24"/>
        </w:rPr>
        <w:t>agreed</w:t>
      </w:r>
      <w:r>
        <w:rPr>
          <w:spacing w:val="-13"/>
          <w:sz w:val="24"/>
        </w:rPr>
        <w:t> </w:t>
      </w:r>
      <w:r>
        <w:rPr>
          <w:sz w:val="24"/>
        </w:rPr>
        <w:t>work</w:t>
      </w:r>
      <w:r>
        <w:rPr>
          <w:spacing w:val="-14"/>
          <w:sz w:val="24"/>
        </w:rPr>
        <w:t> </w:t>
      </w:r>
      <w:r>
        <w:rPr>
          <w:sz w:val="24"/>
        </w:rPr>
        <w:t>programme.</w:t>
      </w:r>
    </w:p>
    <w:p>
      <w:pPr>
        <w:pStyle w:val="ListParagraph"/>
        <w:numPr>
          <w:ilvl w:val="2"/>
          <w:numId w:val="87"/>
        </w:numPr>
        <w:tabs>
          <w:tab w:pos="1278" w:val="left" w:leader="none"/>
        </w:tabs>
        <w:spacing w:line="237" w:lineRule="auto" w:before="160" w:after="0"/>
        <w:ind w:left="1278" w:right="561" w:hanging="361"/>
        <w:jc w:val="left"/>
        <w:rPr>
          <w:sz w:val="24"/>
        </w:rPr>
      </w:pPr>
      <w:r>
        <w:rPr>
          <w:b/>
          <w:sz w:val="24"/>
        </w:rPr>
        <w:t>Provide</w:t>
      </w:r>
      <w:r>
        <w:rPr>
          <w:b/>
          <w:spacing w:val="-9"/>
          <w:sz w:val="24"/>
        </w:rPr>
        <w:t> </w:t>
      </w:r>
      <w:r>
        <w:rPr>
          <w:b/>
          <w:sz w:val="24"/>
        </w:rPr>
        <w:t>assurance</w:t>
      </w:r>
      <w:r>
        <w:rPr>
          <w:b/>
          <w:spacing w:val="-8"/>
          <w:sz w:val="24"/>
        </w:rPr>
        <w:t> </w:t>
      </w:r>
      <w:r>
        <w:rPr>
          <w:b/>
          <w:sz w:val="24"/>
        </w:rPr>
        <w:t>to</w:t>
      </w:r>
      <w:r>
        <w:rPr>
          <w:b/>
          <w:spacing w:val="-12"/>
          <w:sz w:val="24"/>
        </w:rPr>
        <w:t> </w:t>
      </w:r>
      <w:r>
        <w:rPr>
          <w:b/>
          <w:sz w:val="24"/>
        </w:rPr>
        <w:t>the</w:t>
      </w:r>
      <w:r>
        <w:rPr>
          <w:b/>
          <w:spacing w:val="-9"/>
          <w:sz w:val="24"/>
        </w:rPr>
        <w:t> </w:t>
      </w:r>
      <w:r>
        <w:rPr>
          <w:b/>
          <w:sz w:val="24"/>
        </w:rPr>
        <w:t>Regional</w:t>
      </w:r>
      <w:r>
        <w:rPr>
          <w:b/>
          <w:spacing w:val="-12"/>
          <w:sz w:val="24"/>
        </w:rPr>
        <w:t> </w:t>
      </w:r>
      <w:r>
        <w:rPr>
          <w:b/>
          <w:sz w:val="24"/>
        </w:rPr>
        <w:t>Joint</w:t>
      </w:r>
      <w:r>
        <w:rPr>
          <w:b/>
          <w:spacing w:val="-10"/>
          <w:sz w:val="24"/>
        </w:rPr>
        <w:t> </w:t>
      </w:r>
      <w:r>
        <w:rPr>
          <w:b/>
          <w:sz w:val="24"/>
        </w:rPr>
        <w:t>Committee</w:t>
      </w:r>
      <w:r>
        <w:rPr>
          <w:b/>
          <w:spacing w:val="-7"/>
          <w:sz w:val="24"/>
        </w:rPr>
        <w:t> </w:t>
      </w:r>
      <w:r>
        <w:rPr>
          <w:sz w:val="24"/>
        </w:rPr>
        <w:t>on</w:t>
      </w:r>
      <w:r>
        <w:rPr>
          <w:spacing w:val="-9"/>
          <w:sz w:val="24"/>
        </w:rPr>
        <w:t> </w:t>
      </w:r>
      <w:r>
        <w:rPr>
          <w:sz w:val="24"/>
        </w:rPr>
        <w:t>progress,</w:t>
      </w:r>
      <w:r>
        <w:rPr>
          <w:spacing w:val="-12"/>
          <w:sz w:val="24"/>
        </w:rPr>
        <w:t> </w:t>
      </w:r>
      <w:r>
        <w:rPr>
          <w:sz w:val="24"/>
        </w:rPr>
        <w:t>delivery, </w:t>
      </w:r>
      <w:r>
        <w:rPr>
          <w:spacing w:val="-2"/>
          <w:sz w:val="24"/>
        </w:rPr>
        <w:t>outcomes,</w:t>
      </w:r>
      <w:r>
        <w:rPr>
          <w:spacing w:val="-15"/>
          <w:sz w:val="24"/>
        </w:rPr>
        <w:t> </w:t>
      </w:r>
      <w:r>
        <w:rPr>
          <w:spacing w:val="-2"/>
          <w:sz w:val="24"/>
        </w:rPr>
        <w:t>risks</w:t>
      </w:r>
      <w:r>
        <w:rPr>
          <w:spacing w:val="-14"/>
          <w:sz w:val="24"/>
        </w:rPr>
        <w:t> </w:t>
      </w:r>
      <w:r>
        <w:rPr>
          <w:spacing w:val="-2"/>
          <w:sz w:val="24"/>
        </w:rPr>
        <w:t>and</w:t>
      </w:r>
      <w:r>
        <w:rPr>
          <w:spacing w:val="-12"/>
          <w:sz w:val="24"/>
        </w:rPr>
        <w:t> </w:t>
      </w:r>
      <w:r>
        <w:rPr>
          <w:spacing w:val="-2"/>
          <w:sz w:val="24"/>
        </w:rPr>
        <w:t>issues</w:t>
      </w:r>
      <w:r>
        <w:rPr>
          <w:spacing w:val="-13"/>
          <w:sz w:val="24"/>
        </w:rPr>
        <w:t> </w:t>
      </w:r>
      <w:r>
        <w:rPr>
          <w:spacing w:val="-2"/>
          <w:sz w:val="24"/>
        </w:rPr>
        <w:t>relating</w:t>
      </w:r>
      <w:r>
        <w:rPr>
          <w:spacing w:val="-12"/>
          <w:sz w:val="24"/>
        </w:rPr>
        <w:t> </w:t>
      </w:r>
      <w:r>
        <w:rPr>
          <w:spacing w:val="-2"/>
          <w:sz w:val="24"/>
        </w:rPr>
        <w:t>to</w:t>
      </w:r>
      <w:r>
        <w:rPr>
          <w:spacing w:val="-12"/>
          <w:sz w:val="24"/>
        </w:rPr>
        <w:t> </w:t>
      </w:r>
      <w:r>
        <w:rPr>
          <w:spacing w:val="-2"/>
          <w:sz w:val="24"/>
        </w:rPr>
        <w:t>the</w:t>
      </w:r>
      <w:r>
        <w:rPr>
          <w:spacing w:val="-12"/>
          <w:sz w:val="24"/>
        </w:rPr>
        <w:t> </w:t>
      </w:r>
      <w:r>
        <w:rPr>
          <w:spacing w:val="-2"/>
          <w:sz w:val="24"/>
        </w:rPr>
        <w:t>Regional</w:t>
      </w:r>
      <w:r>
        <w:rPr>
          <w:spacing w:val="-15"/>
          <w:sz w:val="24"/>
        </w:rPr>
        <w:t> </w:t>
      </w:r>
      <w:r>
        <w:rPr>
          <w:spacing w:val="-2"/>
          <w:sz w:val="24"/>
        </w:rPr>
        <w:t>Health</w:t>
      </w:r>
      <w:r>
        <w:rPr>
          <w:spacing w:val="-11"/>
          <w:sz w:val="24"/>
        </w:rPr>
        <w:t> </w:t>
      </w:r>
      <w:r>
        <w:rPr>
          <w:spacing w:val="-2"/>
          <w:sz w:val="24"/>
        </w:rPr>
        <w:t>Economy</w:t>
      </w:r>
      <w:r>
        <w:rPr>
          <w:spacing w:val="-15"/>
          <w:sz w:val="24"/>
        </w:rPr>
        <w:t> </w:t>
      </w:r>
      <w:r>
        <w:rPr>
          <w:spacing w:val="-2"/>
          <w:sz w:val="24"/>
        </w:rPr>
        <w:t>work</w:t>
      </w:r>
      <w:r>
        <w:rPr>
          <w:spacing w:val="-12"/>
          <w:sz w:val="24"/>
        </w:rPr>
        <w:t> </w:t>
      </w:r>
      <w:r>
        <w:rPr>
          <w:spacing w:val="-2"/>
          <w:sz w:val="24"/>
        </w:rPr>
        <w:t>programme.</w:t>
      </w:r>
    </w:p>
    <w:p>
      <w:pPr>
        <w:pStyle w:val="BodyText"/>
        <w:spacing w:before="1"/>
        <w:rPr>
          <w:sz w:val="17"/>
        </w:rPr>
      </w:pPr>
      <w:r>
        <w:rPr>
          <w:sz w:val="17"/>
        </w:rPr>
        <mc:AlternateContent>
          <mc:Choice Requires="wps">
            <w:drawing>
              <wp:anchor distT="0" distB="0" distL="0" distR="0" allowOverlap="1" layoutInCell="1" locked="0" behindDoc="1" simplePos="0" relativeHeight="487700992">
                <wp:simplePos x="0" y="0"/>
                <wp:positionH relativeFrom="page">
                  <wp:posOffset>574992</wp:posOffset>
                </wp:positionH>
                <wp:positionV relativeFrom="paragraph">
                  <wp:posOffset>146419</wp:posOffset>
                </wp:positionV>
                <wp:extent cx="6642100" cy="193675"/>
                <wp:effectExtent l="0" t="0" r="0" b="0"/>
                <wp:wrapTopAndBottom/>
                <wp:docPr id="570" name="Textbox 570"/>
                <wp:cNvGraphicFramePr>
                  <a:graphicFrameLocks/>
                </wp:cNvGraphicFramePr>
                <a:graphic>
                  <a:graphicData uri="http://schemas.microsoft.com/office/word/2010/wordprocessingShape">
                    <wps:wsp>
                      <wps:cNvPr id="570" name="Textbox 570"/>
                      <wps:cNvSpPr txBox="1"/>
                      <wps:spPr>
                        <a:xfrm>
                          <a:off x="0" y="0"/>
                          <a:ext cx="6642100" cy="193675"/>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3.</w:t>
                            </w:r>
                            <w:r>
                              <w:rPr>
                                <w:b/>
                                <w:color w:val="000000"/>
                                <w:sz w:val="24"/>
                              </w:rPr>
                              <w:tab/>
                            </w:r>
                            <w:r>
                              <w:rPr>
                                <w:b/>
                                <w:color w:val="000000"/>
                                <w:spacing w:val="-2"/>
                                <w:sz w:val="24"/>
                              </w:rPr>
                              <w:t>Objectives</w:t>
                            </w:r>
                          </w:p>
                        </w:txbxContent>
                      </wps:txbx>
                      <wps:bodyPr wrap="square" lIns="0" tIns="0" rIns="0" bIns="0" rtlCol="0">
                        <a:noAutofit/>
                      </wps:bodyPr>
                    </wps:wsp>
                  </a:graphicData>
                </a:graphic>
              </wp:anchor>
            </w:drawing>
          </mc:Choice>
          <mc:Fallback>
            <w:pict>
              <v:shape style="position:absolute;margin-left:45.275002pt;margin-top:11.529101pt;width:523pt;height:15.25pt;mso-position-horizontal-relative:page;mso-position-vertical-relative:paragraph;z-index:-15615488;mso-wrap-distance-left:0;mso-wrap-distance-right:0" type="#_x0000_t202" id="docshape346"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3.</w:t>
                      </w:r>
                      <w:r>
                        <w:rPr>
                          <w:b/>
                          <w:color w:val="000000"/>
                          <w:sz w:val="24"/>
                        </w:rPr>
                        <w:tab/>
                      </w:r>
                      <w:r>
                        <w:rPr>
                          <w:b/>
                          <w:color w:val="000000"/>
                          <w:spacing w:val="-2"/>
                          <w:sz w:val="24"/>
                        </w:rPr>
                        <w:t>Objectives</w:t>
                      </w:r>
                    </w:p>
                  </w:txbxContent>
                </v:textbox>
                <v:fill type="solid"/>
                <v:stroke dashstyle="solid"/>
                <w10:wrap type="topAndBottom"/>
              </v:shape>
            </w:pict>
          </mc:Fallback>
        </mc:AlternateContent>
      </w:r>
    </w:p>
    <w:p>
      <w:pPr>
        <w:pStyle w:val="BodyText"/>
        <w:spacing w:before="170"/>
        <w:ind w:left="142"/>
      </w:pPr>
      <w:r>
        <w:rPr>
          <w:spacing w:val="-2"/>
        </w:rPr>
        <w:t>The</w:t>
      </w:r>
      <w:r>
        <w:rPr>
          <w:spacing w:val="-15"/>
        </w:rPr>
        <w:t> </w:t>
      </w:r>
      <w:r>
        <w:rPr>
          <w:spacing w:val="-2"/>
        </w:rPr>
        <w:t>following</w:t>
      </w:r>
      <w:r>
        <w:rPr>
          <w:spacing w:val="-11"/>
        </w:rPr>
        <w:t> </w:t>
      </w:r>
      <w:r>
        <w:rPr>
          <w:spacing w:val="-2"/>
        </w:rPr>
        <w:t>objectives</w:t>
      </w:r>
      <w:r>
        <w:rPr>
          <w:spacing w:val="-12"/>
        </w:rPr>
        <w:t> </w:t>
      </w:r>
      <w:r>
        <w:rPr>
          <w:spacing w:val="-2"/>
        </w:rPr>
        <w:t>are</w:t>
      </w:r>
      <w:r>
        <w:rPr>
          <w:spacing w:val="-15"/>
        </w:rPr>
        <w:t> </w:t>
      </w:r>
      <w:r>
        <w:rPr>
          <w:spacing w:val="-2"/>
        </w:rPr>
        <w:t>within</w:t>
      </w:r>
      <w:r>
        <w:rPr>
          <w:spacing w:val="-6"/>
        </w:rPr>
        <w:t> </w:t>
      </w:r>
      <w:r>
        <w:rPr>
          <w:spacing w:val="-2"/>
        </w:rPr>
        <w:t>the</w:t>
      </w:r>
      <w:r>
        <w:rPr>
          <w:spacing w:val="-11"/>
        </w:rPr>
        <w:t> </w:t>
      </w:r>
      <w:r>
        <w:rPr>
          <w:spacing w:val="-2"/>
        </w:rPr>
        <w:t>scope</w:t>
      </w:r>
      <w:r>
        <w:rPr>
          <w:spacing w:val="-11"/>
        </w:rPr>
        <w:t> </w:t>
      </w:r>
      <w:r>
        <w:rPr>
          <w:spacing w:val="-2"/>
        </w:rPr>
        <w:t>of</w:t>
      </w:r>
      <w:r>
        <w:rPr>
          <w:spacing w:val="-9"/>
        </w:rPr>
        <w:t> </w:t>
      </w:r>
      <w:r>
        <w:rPr>
          <w:spacing w:val="-2"/>
        </w:rPr>
        <w:t>the</w:t>
      </w:r>
      <w:r>
        <w:rPr>
          <w:spacing w:val="-14"/>
        </w:rPr>
        <w:t> </w:t>
      </w:r>
      <w:r>
        <w:rPr>
          <w:spacing w:val="-2"/>
        </w:rPr>
        <w:t>RHES:</w:t>
      </w:r>
    </w:p>
    <w:p>
      <w:pPr>
        <w:pStyle w:val="ListParagraph"/>
        <w:numPr>
          <w:ilvl w:val="1"/>
          <w:numId w:val="88"/>
        </w:numPr>
        <w:tabs>
          <w:tab w:pos="850" w:val="left" w:leader="none"/>
          <w:tab w:pos="852" w:val="left" w:leader="none"/>
        </w:tabs>
        <w:spacing w:line="240" w:lineRule="auto" w:before="159" w:after="0"/>
        <w:ind w:left="852" w:right="424" w:hanging="710"/>
        <w:jc w:val="both"/>
        <w:rPr>
          <w:sz w:val="24"/>
        </w:rPr>
      </w:pPr>
      <w:r>
        <w:rPr>
          <w:spacing w:val="-4"/>
          <w:sz w:val="24"/>
        </w:rPr>
        <w:t>Produce</w:t>
      </w:r>
      <w:r>
        <w:rPr>
          <w:spacing w:val="-13"/>
          <w:sz w:val="24"/>
        </w:rPr>
        <w:t> </w:t>
      </w:r>
      <w:r>
        <w:rPr>
          <w:spacing w:val="-4"/>
          <w:sz w:val="24"/>
        </w:rPr>
        <w:t>a</w:t>
      </w:r>
      <w:r>
        <w:rPr>
          <w:spacing w:val="-13"/>
          <w:sz w:val="24"/>
        </w:rPr>
        <w:t> </w:t>
      </w:r>
      <w:r>
        <w:rPr>
          <w:spacing w:val="-4"/>
          <w:sz w:val="24"/>
        </w:rPr>
        <w:t>long-term</w:t>
      </w:r>
      <w:r>
        <w:rPr>
          <w:spacing w:val="-12"/>
          <w:sz w:val="24"/>
        </w:rPr>
        <w:t> </w:t>
      </w:r>
      <w:r>
        <w:rPr>
          <w:spacing w:val="-4"/>
          <w:sz w:val="24"/>
        </w:rPr>
        <w:t>Regional</w:t>
      </w:r>
      <w:r>
        <w:rPr>
          <w:spacing w:val="-13"/>
          <w:sz w:val="24"/>
        </w:rPr>
        <w:t> </w:t>
      </w:r>
      <w:r>
        <w:rPr>
          <w:spacing w:val="-4"/>
          <w:sz w:val="24"/>
        </w:rPr>
        <w:t>Health</w:t>
      </w:r>
      <w:r>
        <w:rPr>
          <w:spacing w:val="-13"/>
          <w:sz w:val="24"/>
        </w:rPr>
        <w:t> </w:t>
      </w:r>
      <w:r>
        <w:rPr>
          <w:spacing w:val="-4"/>
          <w:sz w:val="24"/>
        </w:rPr>
        <w:t>Economy</w:t>
      </w:r>
      <w:r>
        <w:rPr>
          <w:spacing w:val="-13"/>
          <w:sz w:val="24"/>
        </w:rPr>
        <w:t> </w:t>
      </w:r>
      <w:r>
        <w:rPr>
          <w:spacing w:val="-4"/>
          <w:sz w:val="24"/>
        </w:rPr>
        <w:t>Strategic</w:t>
      </w:r>
      <w:r>
        <w:rPr>
          <w:spacing w:val="-12"/>
          <w:sz w:val="24"/>
        </w:rPr>
        <w:t> </w:t>
      </w:r>
      <w:r>
        <w:rPr>
          <w:spacing w:val="-4"/>
          <w:sz w:val="24"/>
        </w:rPr>
        <w:t>Plan</w:t>
      </w:r>
      <w:r>
        <w:rPr>
          <w:spacing w:val="-13"/>
          <w:sz w:val="24"/>
        </w:rPr>
        <w:t> </w:t>
      </w:r>
      <w:r>
        <w:rPr>
          <w:spacing w:val="-4"/>
          <w:sz w:val="24"/>
        </w:rPr>
        <w:t>that</w:t>
      </w:r>
      <w:r>
        <w:rPr>
          <w:spacing w:val="-13"/>
          <w:sz w:val="24"/>
        </w:rPr>
        <w:t> </w:t>
      </w:r>
      <w:r>
        <w:rPr>
          <w:spacing w:val="-4"/>
          <w:sz w:val="24"/>
        </w:rPr>
        <w:t>provides</w:t>
      </w:r>
      <w:r>
        <w:rPr>
          <w:spacing w:val="-12"/>
          <w:sz w:val="24"/>
        </w:rPr>
        <w:t> </w:t>
      </w:r>
      <w:r>
        <w:rPr>
          <w:spacing w:val="-4"/>
          <w:sz w:val="24"/>
        </w:rPr>
        <w:t>a</w:t>
      </w:r>
      <w:r>
        <w:rPr>
          <w:spacing w:val="-13"/>
          <w:sz w:val="24"/>
        </w:rPr>
        <w:t> </w:t>
      </w:r>
      <w:r>
        <w:rPr>
          <w:spacing w:val="-4"/>
          <w:sz w:val="24"/>
        </w:rPr>
        <w:t>shared</w:t>
      </w:r>
      <w:r>
        <w:rPr>
          <w:spacing w:val="-13"/>
          <w:sz w:val="24"/>
        </w:rPr>
        <w:t> </w:t>
      </w:r>
      <w:r>
        <w:rPr>
          <w:spacing w:val="-4"/>
          <w:sz w:val="24"/>
        </w:rPr>
        <w:t>regional </w:t>
      </w:r>
      <w:r>
        <w:rPr>
          <w:sz w:val="24"/>
        </w:rPr>
        <w:t>direction, enables coordinated and equitable system change, and sets out the intended population</w:t>
      </w:r>
      <w:r>
        <w:rPr>
          <w:spacing w:val="-15"/>
          <w:sz w:val="24"/>
        </w:rPr>
        <w:t> </w:t>
      </w:r>
      <w:r>
        <w:rPr>
          <w:sz w:val="24"/>
        </w:rPr>
        <w:t>outcomes</w:t>
      </w:r>
      <w:r>
        <w:rPr>
          <w:spacing w:val="-16"/>
          <w:sz w:val="24"/>
        </w:rPr>
        <w:t> </w:t>
      </w:r>
      <w:r>
        <w:rPr>
          <w:sz w:val="24"/>
        </w:rPr>
        <w:t>and</w:t>
      </w:r>
      <w:r>
        <w:rPr>
          <w:spacing w:val="-10"/>
          <w:sz w:val="24"/>
        </w:rPr>
        <w:t> </w:t>
      </w:r>
      <w:r>
        <w:rPr>
          <w:sz w:val="24"/>
        </w:rPr>
        <w:t>measures</w:t>
      </w:r>
      <w:r>
        <w:rPr>
          <w:spacing w:val="-6"/>
          <w:sz w:val="24"/>
        </w:rPr>
        <w:t> </w:t>
      </w:r>
      <w:r>
        <w:rPr>
          <w:sz w:val="24"/>
        </w:rPr>
        <w:t>through</w:t>
      </w:r>
      <w:r>
        <w:rPr>
          <w:spacing w:val="-15"/>
          <w:sz w:val="24"/>
        </w:rPr>
        <w:t> </w:t>
      </w:r>
      <w:r>
        <w:rPr>
          <w:sz w:val="24"/>
        </w:rPr>
        <w:t>which</w:t>
      </w:r>
      <w:r>
        <w:rPr>
          <w:spacing w:val="-15"/>
          <w:sz w:val="24"/>
        </w:rPr>
        <w:t> </w:t>
      </w:r>
      <w:r>
        <w:rPr>
          <w:sz w:val="24"/>
        </w:rPr>
        <w:t>regional</w:t>
      </w:r>
      <w:r>
        <w:rPr>
          <w:spacing w:val="-10"/>
          <w:sz w:val="24"/>
        </w:rPr>
        <w:t> </w:t>
      </w:r>
      <w:r>
        <w:rPr>
          <w:sz w:val="24"/>
        </w:rPr>
        <w:t>impact</w:t>
      </w:r>
      <w:r>
        <w:rPr>
          <w:spacing w:val="-13"/>
          <w:sz w:val="24"/>
        </w:rPr>
        <w:t> </w:t>
      </w:r>
      <w:r>
        <w:rPr>
          <w:sz w:val="24"/>
        </w:rPr>
        <w:t>will</w:t>
      </w:r>
      <w:r>
        <w:rPr>
          <w:spacing w:val="-10"/>
          <w:sz w:val="24"/>
        </w:rPr>
        <w:t> </w:t>
      </w:r>
      <w:r>
        <w:rPr>
          <w:sz w:val="24"/>
        </w:rPr>
        <w:t>be</w:t>
      </w:r>
      <w:r>
        <w:rPr>
          <w:spacing w:val="-10"/>
          <w:sz w:val="24"/>
        </w:rPr>
        <w:t> </w:t>
      </w:r>
      <w:r>
        <w:rPr>
          <w:sz w:val="24"/>
        </w:rPr>
        <w:t>assessed.</w:t>
      </w:r>
    </w:p>
    <w:p>
      <w:pPr>
        <w:pStyle w:val="ListParagraph"/>
        <w:numPr>
          <w:ilvl w:val="1"/>
          <w:numId w:val="88"/>
        </w:numPr>
        <w:tabs>
          <w:tab w:pos="850" w:val="left" w:leader="none"/>
          <w:tab w:pos="852" w:val="left" w:leader="none"/>
        </w:tabs>
        <w:spacing w:line="242" w:lineRule="auto" w:before="117" w:after="0"/>
        <w:ind w:left="852" w:right="419" w:hanging="710"/>
        <w:jc w:val="both"/>
        <w:rPr>
          <w:sz w:val="24"/>
        </w:rPr>
      </w:pPr>
      <w:r>
        <w:rPr>
          <w:spacing w:val="-2"/>
          <w:sz w:val="24"/>
        </w:rPr>
        <w:t>Establish</w:t>
      </w:r>
      <w:r>
        <w:rPr>
          <w:spacing w:val="-6"/>
          <w:sz w:val="24"/>
        </w:rPr>
        <w:t> </w:t>
      </w:r>
      <w:r>
        <w:rPr>
          <w:spacing w:val="-2"/>
          <w:sz w:val="24"/>
        </w:rPr>
        <w:t>a</w:t>
      </w:r>
      <w:r>
        <w:rPr>
          <w:spacing w:val="-6"/>
          <w:sz w:val="24"/>
        </w:rPr>
        <w:t> </w:t>
      </w:r>
      <w:r>
        <w:rPr>
          <w:spacing w:val="-2"/>
          <w:sz w:val="24"/>
        </w:rPr>
        <w:t>shared</w:t>
      </w:r>
      <w:r>
        <w:rPr>
          <w:spacing w:val="-6"/>
          <w:sz w:val="24"/>
        </w:rPr>
        <w:t> </w:t>
      </w:r>
      <w:r>
        <w:rPr>
          <w:spacing w:val="-2"/>
          <w:sz w:val="24"/>
        </w:rPr>
        <w:t>regional</w:t>
      </w:r>
      <w:r>
        <w:rPr>
          <w:spacing w:val="-11"/>
          <w:sz w:val="24"/>
        </w:rPr>
        <w:t> </w:t>
      </w:r>
      <w:r>
        <w:rPr>
          <w:spacing w:val="-2"/>
          <w:sz w:val="24"/>
        </w:rPr>
        <w:t>health</w:t>
      </w:r>
      <w:r>
        <w:rPr>
          <w:spacing w:val="-6"/>
          <w:sz w:val="24"/>
        </w:rPr>
        <w:t> </w:t>
      </w:r>
      <w:r>
        <w:rPr>
          <w:spacing w:val="-2"/>
          <w:sz w:val="24"/>
        </w:rPr>
        <w:t>profile</w:t>
      </w:r>
      <w:r>
        <w:rPr>
          <w:spacing w:val="-11"/>
          <w:sz w:val="24"/>
        </w:rPr>
        <w:t> </w:t>
      </w:r>
      <w:r>
        <w:rPr>
          <w:spacing w:val="-2"/>
          <w:sz w:val="24"/>
        </w:rPr>
        <w:t>which</w:t>
      </w:r>
      <w:r>
        <w:rPr>
          <w:spacing w:val="-6"/>
          <w:sz w:val="24"/>
        </w:rPr>
        <w:t> </w:t>
      </w:r>
      <w:r>
        <w:rPr>
          <w:spacing w:val="-2"/>
          <w:sz w:val="24"/>
        </w:rPr>
        <w:t>identifies</w:t>
      </w:r>
      <w:r>
        <w:rPr>
          <w:spacing w:val="-3"/>
          <w:sz w:val="24"/>
        </w:rPr>
        <w:t> </w:t>
      </w:r>
      <w:r>
        <w:rPr>
          <w:spacing w:val="-2"/>
          <w:sz w:val="24"/>
        </w:rPr>
        <w:t>the</w:t>
      </w:r>
      <w:r>
        <w:rPr>
          <w:spacing w:val="-6"/>
          <w:sz w:val="24"/>
        </w:rPr>
        <w:t> </w:t>
      </w:r>
      <w:r>
        <w:rPr>
          <w:spacing w:val="-2"/>
          <w:sz w:val="24"/>
        </w:rPr>
        <w:t>key</w:t>
      </w:r>
      <w:r>
        <w:rPr>
          <w:spacing w:val="-12"/>
          <w:sz w:val="24"/>
        </w:rPr>
        <w:t> </w:t>
      </w:r>
      <w:r>
        <w:rPr>
          <w:spacing w:val="-2"/>
          <w:sz w:val="24"/>
        </w:rPr>
        <w:t>drivers</w:t>
      </w:r>
      <w:r>
        <w:rPr>
          <w:spacing w:val="-7"/>
          <w:sz w:val="24"/>
        </w:rPr>
        <w:t> </w:t>
      </w:r>
      <w:r>
        <w:rPr>
          <w:spacing w:val="-2"/>
          <w:sz w:val="24"/>
        </w:rPr>
        <w:t>of</w:t>
      </w:r>
      <w:r>
        <w:rPr>
          <w:spacing w:val="-9"/>
          <w:sz w:val="24"/>
        </w:rPr>
        <w:t> </w:t>
      </w:r>
      <w:r>
        <w:rPr>
          <w:spacing w:val="-2"/>
          <w:sz w:val="24"/>
        </w:rPr>
        <w:t>health</w:t>
      </w:r>
      <w:r>
        <w:rPr>
          <w:spacing w:val="-6"/>
          <w:sz w:val="24"/>
        </w:rPr>
        <w:t> </w:t>
      </w:r>
      <w:r>
        <w:rPr>
          <w:spacing w:val="-2"/>
          <w:sz w:val="24"/>
        </w:rPr>
        <w:t>inequality </w:t>
      </w:r>
      <w:r>
        <w:rPr>
          <w:sz w:val="24"/>
        </w:rPr>
        <w:t>and future healthcare demand across the region and is routinely used to inform regional </w:t>
      </w:r>
      <w:r>
        <w:rPr>
          <w:spacing w:val="-2"/>
          <w:sz w:val="24"/>
        </w:rPr>
        <w:t>planning.</w:t>
      </w:r>
    </w:p>
    <w:p>
      <w:pPr>
        <w:pStyle w:val="ListParagraph"/>
        <w:numPr>
          <w:ilvl w:val="1"/>
          <w:numId w:val="88"/>
        </w:numPr>
        <w:tabs>
          <w:tab w:pos="850" w:val="left" w:leader="none"/>
          <w:tab w:pos="852" w:val="left" w:leader="none"/>
        </w:tabs>
        <w:spacing w:line="240" w:lineRule="auto" w:before="114" w:after="0"/>
        <w:ind w:left="852" w:right="424" w:hanging="710"/>
        <w:jc w:val="both"/>
        <w:rPr>
          <w:sz w:val="24"/>
        </w:rPr>
      </w:pPr>
      <w:r>
        <w:rPr>
          <w:spacing w:val="-2"/>
          <w:sz w:val="24"/>
        </w:rPr>
        <w:t>Undertake</w:t>
      </w:r>
      <w:r>
        <w:rPr>
          <w:spacing w:val="-15"/>
          <w:sz w:val="24"/>
        </w:rPr>
        <w:t> </w:t>
      </w:r>
      <w:r>
        <w:rPr>
          <w:spacing w:val="-2"/>
          <w:sz w:val="24"/>
        </w:rPr>
        <w:t>the</w:t>
      </w:r>
      <w:r>
        <w:rPr>
          <w:spacing w:val="-13"/>
          <w:sz w:val="24"/>
        </w:rPr>
        <w:t> </w:t>
      </w:r>
      <w:r>
        <w:rPr>
          <w:spacing w:val="-2"/>
          <w:sz w:val="24"/>
        </w:rPr>
        <w:t>required</w:t>
      </w:r>
      <w:r>
        <w:rPr>
          <w:spacing w:val="-15"/>
          <w:sz w:val="24"/>
        </w:rPr>
        <w:t> </w:t>
      </w:r>
      <w:r>
        <w:rPr>
          <w:spacing w:val="-2"/>
          <w:sz w:val="24"/>
        </w:rPr>
        <w:t>preparatory</w:t>
      </w:r>
      <w:r>
        <w:rPr>
          <w:spacing w:val="-12"/>
          <w:sz w:val="24"/>
        </w:rPr>
        <w:t> </w:t>
      </w:r>
      <w:r>
        <w:rPr>
          <w:spacing w:val="-2"/>
          <w:sz w:val="24"/>
        </w:rPr>
        <w:t>work</w:t>
      </w:r>
      <w:r>
        <w:rPr>
          <w:spacing w:val="-15"/>
          <w:sz w:val="24"/>
        </w:rPr>
        <w:t> </w:t>
      </w:r>
      <w:r>
        <w:rPr>
          <w:spacing w:val="-2"/>
          <w:sz w:val="24"/>
        </w:rPr>
        <w:t>enabling</w:t>
      </w:r>
      <w:r>
        <w:rPr>
          <w:spacing w:val="-15"/>
          <w:sz w:val="24"/>
        </w:rPr>
        <w:t> </w:t>
      </w:r>
      <w:r>
        <w:rPr>
          <w:spacing w:val="-2"/>
          <w:sz w:val="24"/>
        </w:rPr>
        <w:t>the</w:t>
      </w:r>
      <w:r>
        <w:rPr>
          <w:spacing w:val="-11"/>
          <w:sz w:val="24"/>
        </w:rPr>
        <w:t> </w:t>
      </w:r>
      <w:r>
        <w:rPr>
          <w:spacing w:val="-2"/>
          <w:sz w:val="24"/>
        </w:rPr>
        <w:t>regional</w:t>
      </w:r>
      <w:r>
        <w:rPr>
          <w:spacing w:val="-12"/>
          <w:sz w:val="24"/>
        </w:rPr>
        <w:t> </w:t>
      </w:r>
      <w:r>
        <w:rPr>
          <w:spacing w:val="-2"/>
          <w:sz w:val="24"/>
        </w:rPr>
        <w:t>health</w:t>
      </w:r>
      <w:r>
        <w:rPr>
          <w:spacing w:val="-12"/>
          <w:sz w:val="24"/>
        </w:rPr>
        <w:t> </w:t>
      </w:r>
      <w:r>
        <w:rPr>
          <w:spacing w:val="-2"/>
          <w:sz w:val="24"/>
        </w:rPr>
        <w:t>economy</w:t>
      </w:r>
      <w:r>
        <w:rPr>
          <w:spacing w:val="-8"/>
          <w:sz w:val="24"/>
        </w:rPr>
        <w:t> </w:t>
      </w:r>
      <w:r>
        <w:rPr>
          <w:spacing w:val="-2"/>
          <w:sz w:val="24"/>
        </w:rPr>
        <w:t>to</w:t>
      </w:r>
      <w:r>
        <w:rPr>
          <w:spacing w:val="-12"/>
          <w:sz w:val="24"/>
        </w:rPr>
        <w:t> </w:t>
      </w:r>
      <w:r>
        <w:rPr>
          <w:spacing w:val="-2"/>
          <w:sz w:val="24"/>
        </w:rPr>
        <w:t>become</w:t>
      </w:r>
      <w:r>
        <w:rPr>
          <w:spacing w:val="-15"/>
          <w:sz w:val="24"/>
        </w:rPr>
        <w:t> </w:t>
      </w:r>
      <w:r>
        <w:rPr>
          <w:spacing w:val="-2"/>
          <w:sz w:val="24"/>
        </w:rPr>
        <w:t>a </w:t>
      </w:r>
      <w:r>
        <w:rPr>
          <w:sz w:val="24"/>
        </w:rPr>
        <w:t>designated</w:t>
      </w:r>
      <w:r>
        <w:rPr>
          <w:spacing w:val="-6"/>
          <w:sz w:val="24"/>
        </w:rPr>
        <w:t> </w:t>
      </w:r>
      <w:r>
        <w:rPr>
          <w:sz w:val="24"/>
        </w:rPr>
        <w:t>WHO</w:t>
      </w:r>
      <w:r>
        <w:rPr>
          <w:spacing w:val="-9"/>
          <w:sz w:val="24"/>
        </w:rPr>
        <w:t> </w:t>
      </w:r>
      <w:r>
        <w:rPr>
          <w:sz w:val="24"/>
        </w:rPr>
        <w:t>sub</w:t>
      </w:r>
      <w:r>
        <w:rPr>
          <w:spacing w:val="-6"/>
          <w:sz w:val="24"/>
        </w:rPr>
        <w:t> </w:t>
      </w:r>
      <w:r>
        <w:rPr>
          <w:sz w:val="24"/>
        </w:rPr>
        <w:t>regional</w:t>
      </w:r>
      <w:r>
        <w:rPr>
          <w:spacing w:val="-6"/>
          <w:sz w:val="24"/>
        </w:rPr>
        <w:t> </w:t>
      </w:r>
      <w:r>
        <w:rPr>
          <w:sz w:val="24"/>
        </w:rPr>
        <w:t>health</w:t>
      </w:r>
      <w:r>
        <w:rPr>
          <w:spacing w:val="-6"/>
          <w:sz w:val="24"/>
        </w:rPr>
        <w:t> </w:t>
      </w:r>
      <w:r>
        <w:rPr>
          <w:sz w:val="24"/>
        </w:rPr>
        <w:t>network</w:t>
      </w:r>
      <w:r>
        <w:rPr>
          <w:spacing w:val="-7"/>
          <w:sz w:val="24"/>
        </w:rPr>
        <w:t> </w:t>
      </w:r>
      <w:r>
        <w:rPr>
          <w:sz w:val="24"/>
        </w:rPr>
        <w:t>so</w:t>
      </w:r>
      <w:r>
        <w:rPr>
          <w:spacing w:val="-2"/>
          <w:sz w:val="24"/>
        </w:rPr>
        <w:t> </w:t>
      </w:r>
      <w:r>
        <w:rPr>
          <w:sz w:val="24"/>
        </w:rPr>
        <w:t>that</w:t>
      </w:r>
      <w:r>
        <w:rPr>
          <w:spacing w:val="-5"/>
          <w:sz w:val="24"/>
        </w:rPr>
        <w:t> </w:t>
      </w:r>
      <w:r>
        <w:rPr>
          <w:sz w:val="24"/>
        </w:rPr>
        <w:t>the</w:t>
      </w:r>
      <w:r>
        <w:rPr>
          <w:spacing w:val="-6"/>
          <w:sz w:val="24"/>
        </w:rPr>
        <w:t> </w:t>
      </w:r>
      <w:r>
        <w:rPr>
          <w:sz w:val="24"/>
        </w:rPr>
        <w:t>RJC</w:t>
      </w:r>
      <w:r>
        <w:rPr>
          <w:spacing w:val="-6"/>
          <w:sz w:val="24"/>
        </w:rPr>
        <w:t> </w:t>
      </w:r>
      <w:r>
        <w:rPr>
          <w:sz w:val="24"/>
        </w:rPr>
        <w:t>can</w:t>
      </w:r>
      <w:r>
        <w:rPr>
          <w:spacing w:val="-6"/>
          <w:sz w:val="24"/>
        </w:rPr>
        <w:t> </w:t>
      </w:r>
      <w:r>
        <w:rPr>
          <w:sz w:val="24"/>
        </w:rPr>
        <w:t>benefit</w:t>
      </w:r>
      <w:r>
        <w:rPr>
          <w:spacing w:val="-9"/>
          <w:sz w:val="24"/>
        </w:rPr>
        <w:t> </w:t>
      </w:r>
      <w:r>
        <w:rPr>
          <w:sz w:val="24"/>
        </w:rPr>
        <w:t>from</w:t>
      </w:r>
      <w:r>
        <w:rPr>
          <w:spacing w:val="-3"/>
          <w:sz w:val="24"/>
        </w:rPr>
        <w:t> </w:t>
      </w:r>
      <w:r>
        <w:rPr>
          <w:sz w:val="24"/>
        </w:rPr>
        <w:t>the</w:t>
      </w:r>
      <w:r>
        <w:rPr>
          <w:spacing w:val="-6"/>
          <w:sz w:val="24"/>
        </w:rPr>
        <w:t> </w:t>
      </w:r>
      <w:r>
        <w:rPr>
          <w:sz w:val="24"/>
        </w:rPr>
        <w:t>shared learning</w:t>
      </w:r>
      <w:r>
        <w:rPr>
          <w:spacing w:val="-10"/>
          <w:sz w:val="24"/>
        </w:rPr>
        <w:t> </w:t>
      </w:r>
      <w:r>
        <w:rPr>
          <w:sz w:val="24"/>
        </w:rPr>
        <w:t>opportunities</w:t>
      </w:r>
      <w:r>
        <w:rPr>
          <w:spacing w:val="-10"/>
          <w:sz w:val="24"/>
        </w:rPr>
        <w:t> </w:t>
      </w:r>
      <w:r>
        <w:rPr>
          <w:sz w:val="24"/>
        </w:rPr>
        <w:t>afforded</w:t>
      </w:r>
      <w:r>
        <w:rPr>
          <w:spacing w:val="-10"/>
          <w:sz w:val="24"/>
        </w:rPr>
        <w:t> </w:t>
      </w:r>
      <w:r>
        <w:rPr>
          <w:sz w:val="24"/>
        </w:rPr>
        <w:t>by</w:t>
      </w:r>
      <w:r>
        <w:rPr>
          <w:spacing w:val="-10"/>
          <w:sz w:val="24"/>
        </w:rPr>
        <w:t> </w:t>
      </w:r>
      <w:r>
        <w:rPr>
          <w:sz w:val="24"/>
        </w:rPr>
        <w:t>participation</w:t>
      </w:r>
      <w:r>
        <w:rPr>
          <w:spacing w:val="-10"/>
          <w:sz w:val="24"/>
        </w:rPr>
        <w:t> </w:t>
      </w:r>
      <w:r>
        <w:rPr>
          <w:sz w:val="24"/>
        </w:rPr>
        <w:t>in</w:t>
      </w:r>
      <w:r>
        <w:rPr>
          <w:spacing w:val="-10"/>
          <w:sz w:val="24"/>
        </w:rPr>
        <w:t> </w:t>
      </w:r>
      <w:r>
        <w:rPr>
          <w:sz w:val="24"/>
        </w:rPr>
        <w:t>the</w:t>
      </w:r>
      <w:r>
        <w:rPr>
          <w:spacing w:val="-10"/>
          <w:sz w:val="24"/>
        </w:rPr>
        <w:t> </w:t>
      </w:r>
      <w:r>
        <w:rPr>
          <w:sz w:val="24"/>
        </w:rPr>
        <w:t>network.</w:t>
      </w:r>
    </w:p>
    <w:p>
      <w:pPr>
        <w:pStyle w:val="BodyText"/>
        <w:spacing w:before="4"/>
        <w:rPr>
          <w:sz w:val="13"/>
        </w:rPr>
      </w:pPr>
      <w:r>
        <w:rPr>
          <w:sz w:val="13"/>
        </w:rPr>
        <mc:AlternateContent>
          <mc:Choice Requires="wps">
            <w:drawing>
              <wp:anchor distT="0" distB="0" distL="0" distR="0" allowOverlap="1" layoutInCell="1" locked="0" behindDoc="1" simplePos="0" relativeHeight="487701504">
                <wp:simplePos x="0" y="0"/>
                <wp:positionH relativeFrom="page">
                  <wp:posOffset>574992</wp:posOffset>
                </wp:positionH>
                <wp:positionV relativeFrom="paragraph">
                  <wp:posOffset>119351</wp:posOffset>
                </wp:positionV>
                <wp:extent cx="6553200" cy="194310"/>
                <wp:effectExtent l="0" t="0" r="0" b="0"/>
                <wp:wrapTopAndBottom/>
                <wp:docPr id="571" name="Textbox 571"/>
                <wp:cNvGraphicFramePr>
                  <a:graphicFrameLocks/>
                </wp:cNvGraphicFramePr>
                <a:graphic>
                  <a:graphicData uri="http://schemas.microsoft.com/office/word/2010/wordprocessingShape">
                    <wps:wsp>
                      <wps:cNvPr id="571" name="Textbox 571"/>
                      <wps:cNvSpPr txBox="1"/>
                      <wps:spPr>
                        <a:xfrm>
                          <a:off x="0" y="0"/>
                          <a:ext cx="6553200" cy="194310"/>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4.</w:t>
                            </w:r>
                            <w:r>
                              <w:rPr>
                                <w:b/>
                                <w:color w:val="000000"/>
                                <w:sz w:val="24"/>
                              </w:rPr>
                              <w:tab/>
                            </w:r>
                            <w:r>
                              <w:rPr>
                                <w:b/>
                                <w:color w:val="000000"/>
                                <w:spacing w:val="-2"/>
                                <w:sz w:val="24"/>
                              </w:rPr>
                              <w:t>Engagement</w:t>
                            </w:r>
                          </w:p>
                        </w:txbxContent>
                      </wps:txbx>
                      <wps:bodyPr wrap="square" lIns="0" tIns="0" rIns="0" bIns="0" rtlCol="0">
                        <a:noAutofit/>
                      </wps:bodyPr>
                    </wps:wsp>
                  </a:graphicData>
                </a:graphic>
              </wp:anchor>
            </w:drawing>
          </mc:Choice>
          <mc:Fallback>
            <w:pict>
              <v:shape style="position:absolute;margin-left:45.275002pt;margin-top:9.397754pt;width:516pt;height:15.3pt;mso-position-horizontal-relative:page;mso-position-vertical-relative:paragraph;z-index:-15614976;mso-wrap-distance-left:0;mso-wrap-distance-right:0" type="#_x0000_t202" id="docshape347"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4.</w:t>
                      </w:r>
                      <w:r>
                        <w:rPr>
                          <w:b/>
                          <w:color w:val="000000"/>
                          <w:sz w:val="24"/>
                        </w:rPr>
                        <w:tab/>
                      </w:r>
                      <w:r>
                        <w:rPr>
                          <w:b/>
                          <w:color w:val="000000"/>
                          <w:spacing w:val="-2"/>
                          <w:sz w:val="24"/>
                        </w:rPr>
                        <w:t>Engagement</w:t>
                      </w:r>
                    </w:p>
                  </w:txbxContent>
                </v:textbox>
                <v:fill type="solid"/>
                <v:stroke dashstyle="solid"/>
                <w10:wrap type="topAndBottom"/>
              </v:shape>
            </w:pict>
          </mc:Fallback>
        </mc:AlternateContent>
      </w:r>
    </w:p>
    <w:p>
      <w:pPr>
        <w:pStyle w:val="BodyText"/>
        <w:tabs>
          <w:tab w:pos="937" w:val="left" w:leader="none"/>
        </w:tabs>
        <w:spacing w:before="169"/>
        <w:ind w:left="937" w:right="751" w:hanging="795"/>
      </w:pPr>
      <w:r>
        <w:rPr>
          <w:spacing w:val="-4"/>
        </w:rPr>
        <w:t>4.1.</w:t>
      </w:r>
      <w:r>
        <w:rPr/>
        <w:tab/>
      </w:r>
      <w:r>
        <w:rPr>
          <w:spacing w:val="-2"/>
        </w:rPr>
        <w:t>The</w:t>
      </w:r>
      <w:r>
        <w:rPr>
          <w:spacing w:val="-10"/>
        </w:rPr>
        <w:t> </w:t>
      </w:r>
      <w:r>
        <w:rPr>
          <w:spacing w:val="-2"/>
        </w:rPr>
        <w:t>RHES</w:t>
      </w:r>
      <w:r>
        <w:rPr>
          <w:spacing w:val="-15"/>
        </w:rPr>
        <w:t> </w:t>
      </w:r>
      <w:r>
        <w:rPr>
          <w:spacing w:val="-2"/>
        </w:rPr>
        <w:t>will</w:t>
      </w:r>
      <w:r>
        <w:rPr>
          <w:spacing w:val="-9"/>
        </w:rPr>
        <w:t> </w:t>
      </w:r>
      <w:r>
        <w:rPr>
          <w:spacing w:val="-2"/>
        </w:rPr>
        <w:t>take</w:t>
      </w:r>
      <w:r>
        <w:rPr>
          <w:spacing w:val="-9"/>
        </w:rPr>
        <w:t> </w:t>
      </w:r>
      <w:r>
        <w:rPr>
          <w:spacing w:val="-2"/>
        </w:rPr>
        <w:t>a</w:t>
      </w:r>
      <w:r>
        <w:rPr>
          <w:spacing w:val="-14"/>
        </w:rPr>
        <w:t> </w:t>
      </w:r>
      <w:r>
        <w:rPr>
          <w:spacing w:val="-2"/>
        </w:rPr>
        <w:t>‘people</w:t>
      </w:r>
      <w:r>
        <w:rPr>
          <w:spacing w:val="-9"/>
        </w:rPr>
        <w:t> </w:t>
      </w:r>
      <w:r>
        <w:rPr>
          <w:spacing w:val="-2"/>
        </w:rPr>
        <w:t>first'</w:t>
      </w:r>
      <w:r>
        <w:rPr>
          <w:spacing w:val="-11"/>
        </w:rPr>
        <w:t> </w:t>
      </w:r>
      <w:r>
        <w:rPr>
          <w:spacing w:val="-2"/>
        </w:rPr>
        <w:t>approach</w:t>
      </w:r>
      <w:r>
        <w:rPr>
          <w:spacing w:val="-11"/>
        </w:rPr>
        <w:t> </w:t>
      </w:r>
      <w:r>
        <w:rPr>
          <w:spacing w:val="-2"/>
        </w:rPr>
        <w:t>–</w:t>
      </w:r>
      <w:r>
        <w:rPr>
          <w:spacing w:val="-8"/>
        </w:rPr>
        <w:t> </w:t>
      </w:r>
      <w:r>
        <w:rPr>
          <w:spacing w:val="-2"/>
        </w:rPr>
        <w:t>putting</w:t>
      </w:r>
      <w:r>
        <w:rPr>
          <w:spacing w:val="-9"/>
        </w:rPr>
        <w:t> </w:t>
      </w:r>
      <w:r>
        <w:rPr>
          <w:spacing w:val="-2"/>
        </w:rPr>
        <w:t>patients,</w:t>
      </w:r>
      <w:r>
        <w:rPr>
          <w:spacing w:val="-15"/>
        </w:rPr>
        <w:t> </w:t>
      </w:r>
      <w:r>
        <w:rPr>
          <w:spacing w:val="-2"/>
        </w:rPr>
        <w:t>our</w:t>
      </w:r>
      <w:r>
        <w:rPr>
          <w:spacing w:val="-10"/>
        </w:rPr>
        <w:t> </w:t>
      </w:r>
      <w:r>
        <w:rPr>
          <w:spacing w:val="-2"/>
        </w:rPr>
        <w:t>communities</w:t>
      </w:r>
      <w:r>
        <w:rPr>
          <w:spacing w:val="-10"/>
        </w:rPr>
        <w:t> </w:t>
      </w:r>
      <w:r>
        <w:rPr>
          <w:spacing w:val="-2"/>
        </w:rPr>
        <w:t>and</w:t>
      </w:r>
      <w:r>
        <w:rPr>
          <w:spacing w:val="-9"/>
        </w:rPr>
        <w:t> </w:t>
      </w:r>
      <w:r>
        <w:rPr>
          <w:spacing w:val="-2"/>
        </w:rPr>
        <w:t>our </w:t>
      </w:r>
      <w:r>
        <w:rPr/>
        <w:t>Health</w:t>
      </w:r>
      <w:r>
        <w:rPr>
          <w:spacing w:val="-3"/>
        </w:rPr>
        <w:t> </w:t>
      </w:r>
      <w:r>
        <w:rPr/>
        <w:t>Boards’ colleagues</w:t>
      </w:r>
      <w:r>
        <w:rPr>
          <w:spacing w:val="-4"/>
        </w:rPr>
        <w:t> </w:t>
      </w:r>
      <w:r>
        <w:rPr/>
        <w:t>at</w:t>
      </w:r>
      <w:r>
        <w:rPr>
          <w:spacing w:val="-1"/>
        </w:rPr>
        <w:t> </w:t>
      </w:r>
      <w:r>
        <w:rPr/>
        <w:t>the</w:t>
      </w:r>
      <w:r>
        <w:rPr>
          <w:spacing w:val="-3"/>
        </w:rPr>
        <w:t> </w:t>
      </w:r>
      <w:r>
        <w:rPr/>
        <w:t>centre</w:t>
      </w:r>
      <w:r>
        <w:rPr>
          <w:spacing w:val="-3"/>
        </w:rPr>
        <w:t> </w:t>
      </w:r>
      <w:r>
        <w:rPr/>
        <w:t>of</w:t>
      </w:r>
      <w:r>
        <w:rPr>
          <w:spacing w:val="-6"/>
        </w:rPr>
        <w:t> </w:t>
      </w:r>
      <w:r>
        <w:rPr/>
        <w:t>our</w:t>
      </w:r>
      <w:r>
        <w:rPr>
          <w:spacing w:val="-4"/>
        </w:rPr>
        <w:t> </w:t>
      </w:r>
      <w:r>
        <w:rPr/>
        <w:t>work.</w:t>
      </w:r>
    </w:p>
    <w:p>
      <w:pPr>
        <w:pStyle w:val="BodyText"/>
        <w:spacing w:before="5"/>
        <w:rPr>
          <w:sz w:val="16"/>
        </w:rPr>
      </w:pPr>
      <w:r>
        <w:rPr>
          <w:sz w:val="16"/>
        </w:rPr>
        <mc:AlternateContent>
          <mc:Choice Requires="wps">
            <w:drawing>
              <wp:anchor distT="0" distB="0" distL="0" distR="0" allowOverlap="1" layoutInCell="1" locked="0" behindDoc="1" simplePos="0" relativeHeight="487702016">
                <wp:simplePos x="0" y="0"/>
                <wp:positionH relativeFrom="page">
                  <wp:posOffset>574992</wp:posOffset>
                </wp:positionH>
                <wp:positionV relativeFrom="paragraph">
                  <wp:posOffset>142206</wp:posOffset>
                </wp:positionV>
                <wp:extent cx="6553200" cy="193675"/>
                <wp:effectExtent l="0" t="0" r="0" b="0"/>
                <wp:wrapTopAndBottom/>
                <wp:docPr id="572" name="Textbox 572"/>
                <wp:cNvGraphicFramePr>
                  <a:graphicFrameLocks/>
                </wp:cNvGraphicFramePr>
                <a:graphic>
                  <a:graphicData uri="http://schemas.microsoft.com/office/word/2010/wordprocessingShape">
                    <wps:wsp>
                      <wps:cNvPr id="572" name="Textbox 572"/>
                      <wps:cNvSpPr txBox="1"/>
                      <wps:spPr>
                        <a:xfrm>
                          <a:off x="0" y="0"/>
                          <a:ext cx="6553200" cy="193675"/>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5.</w:t>
                            </w:r>
                            <w:r>
                              <w:rPr>
                                <w:b/>
                                <w:color w:val="000000"/>
                                <w:sz w:val="24"/>
                              </w:rPr>
                              <w:tab/>
                            </w:r>
                            <w:r>
                              <w:rPr>
                                <w:b/>
                                <w:color w:val="000000"/>
                                <w:spacing w:val="-2"/>
                                <w:sz w:val="24"/>
                              </w:rPr>
                              <w:t>Governance</w:t>
                            </w:r>
                          </w:p>
                        </w:txbxContent>
                      </wps:txbx>
                      <wps:bodyPr wrap="square" lIns="0" tIns="0" rIns="0" bIns="0" rtlCol="0">
                        <a:noAutofit/>
                      </wps:bodyPr>
                    </wps:wsp>
                  </a:graphicData>
                </a:graphic>
              </wp:anchor>
            </w:drawing>
          </mc:Choice>
          <mc:Fallback>
            <w:pict>
              <v:shape style="position:absolute;margin-left:45.275002pt;margin-top:11.197344pt;width:516pt;height:15.25pt;mso-position-horizontal-relative:page;mso-position-vertical-relative:paragraph;z-index:-15614464;mso-wrap-distance-left:0;mso-wrap-distance-right:0" type="#_x0000_t202" id="docshape348"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5.</w:t>
                      </w:r>
                      <w:r>
                        <w:rPr>
                          <w:b/>
                          <w:color w:val="000000"/>
                          <w:sz w:val="24"/>
                        </w:rPr>
                        <w:tab/>
                      </w:r>
                      <w:r>
                        <w:rPr>
                          <w:b/>
                          <w:color w:val="000000"/>
                          <w:spacing w:val="-2"/>
                          <w:sz w:val="24"/>
                        </w:rPr>
                        <w:t>Governance</w:t>
                      </w:r>
                    </w:p>
                  </w:txbxContent>
                </v:textbox>
                <v:fill type="solid"/>
                <v:stroke dashstyle="solid"/>
                <w10:wrap type="topAndBottom"/>
              </v:shape>
            </w:pict>
          </mc:Fallback>
        </mc:AlternateContent>
      </w:r>
    </w:p>
    <w:p>
      <w:pPr>
        <w:spacing w:before="157"/>
        <w:ind w:left="4" w:right="284" w:firstLine="0"/>
        <w:jc w:val="center"/>
        <w:rPr>
          <w:sz w:val="20"/>
        </w:rPr>
      </w:pPr>
      <w:r>
        <w:rPr>
          <w:spacing w:val="-10"/>
          <w:sz w:val="20"/>
        </w:rPr>
        <w:t>2</w:t>
      </w:r>
    </w:p>
    <w:p>
      <w:pPr>
        <w:spacing w:after="0"/>
        <w:jc w:val="center"/>
        <w:rPr>
          <w:sz w:val="20"/>
        </w:rPr>
        <w:sectPr>
          <w:pgSz w:w="11910" w:h="16840"/>
          <w:pgMar w:header="0" w:footer="149" w:top="1480" w:bottom="340" w:left="708" w:right="425"/>
        </w:sectPr>
      </w:pPr>
    </w:p>
    <w:p>
      <w:pPr>
        <w:pStyle w:val="ListParagraph"/>
        <w:numPr>
          <w:ilvl w:val="1"/>
          <w:numId w:val="89"/>
        </w:numPr>
        <w:tabs>
          <w:tab w:pos="937" w:val="left" w:leader="none"/>
        </w:tabs>
        <w:spacing w:line="240" w:lineRule="auto" w:before="75" w:after="0"/>
        <w:ind w:left="937" w:right="539" w:hanging="795"/>
        <w:jc w:val="left"/>
        <w:rPr>
          <w:sz w:val="24"/>
        </w:rPr>
      </w:pPr>
      <w:r>
        <w:rPr>
          <w:spacing w:val="-2"/>
          <w:sz w:val="24"/>
        </w:rPr>
        <w:t>The</w:t>
      </w:r>
      <w:r>
        <w:rPr>
          <w:spacing w:val="-15"/>
          <w:sz w:val="24"/>
        </w:rPr>
        <w:t> </w:t>
      </w:r>
      <w:r>
        <w:rPr>
          <w:spacing w:val="-2"/>
          <w:sz w:val="24"/>
        </w:rPr>
        <w:t>RHES</w:t>
      </w:r>
      <w:r>
        <w:rPr>
          <w:spacing w:val="-15"/>
          <w:sz w:val="24"/>
        </w:rPr>
        <w:t> </w:t>
      </w:r>
      <w:r>
        <w:rPr>
          <w:spacing w:val="-2"/>
          <w:sz w:val="24"/>
        </w:rPr>
        <w:t>will</w:t>
      </w:r>
      <w:r>
        <w:rPr>
          <w:spacing w:val="-14"/>
          <w:sz w:val="24"/>
        </w:rPr>
        <w:t> </w:t>
      </w:r>
      <w:r>
        <w:rPr>
          <w:spacing w:val="-2"/>
          <w:sz w:val="24"/>
        </w:rPr>
        <w:t>operate</w:t>
      </w:r>
      <w:r>
        <w:rPr>
          <w:spacing w:val="-13"/>
          <w:sz w:val="24"/>
        </w:rPr>
        <w:t> </w:t>
      </w:r>
      <w:r>
        <w:rPr>
          <w:spacing w:val="-2"/>
          <w:sz w:val="24"/>
        </w:rPr>
        <w:t>in</w:t>
      </w:r>
      <w:r>
        <w:rPr>
          <w:spacing w:val="-11"/>
          <w:sz w:val="24"/>
        </w:rPr>
        <w:t> </w:t>
      </w:r>
      <w:r>
        <w:rPr>
          <w:spacing w:val="-2"/>
          <w:sz w:val="24"/>
        </w:rPr>
        <w:t>accordance</w:t>
      </w:r>
      <w:r>
        <w:rPr>
          <w:spacing w:val="-11"/>
          <w:sz w:val="24"/>
        </w:rPr>
        <w:t> </w:t>
      </w:r>
      <w:r>
        <w:rPr>
          <w:spacing w:val="-2"/>
          <w:sz w:val="24"/>
        </w:rPr>
        <w:t>with</w:t>
      </w:r>
      <w:r>
        <w:rPr>
          <w:spacing w:val="-7"/>
          <w:sz w:val="24"/>
        </w:rPr>
        <w:t> </w:t>
      </w:r>
      <w:r>
        <w:rPr>
          <w:spacing w:val="-2"/>
          <w:sz w:val="24"/>
        </w:rPr>
        <w:t>the</w:t>
      </w:r>
      <w:r>
        <w:rPr>
          <w:spacing w:val="-8"/>
          <w:sz w:val="24"/>
        </w:rPr>
        <w:t> </w:t>
      </w:r>
      <w:r>
        <w:rPr>
          <w:spacing w:val="-2"/>
          <w:sz w:val="24"/>
        </w:rPr>
        <w:t>Regional</w:t>
      </w:r>
      <w:r>
        <w:rPr>
          <w:spacing w:val="-11"/>
          <w:sz w:val="24"/>
        </w:rPr>
        <w:t> </w:t>
      </w:r>
      <w:r>
        <w:rPr>
          <w:spacing w:val="-2"/>
          <w:sz w:val="24"/>
        </w:rPr>
        <w:t>Joint</w:t>
      </w:r>
      <w:r>
        <w:rPr>
          <w:spacing w:val="-15"/>
          <w:sz w:val="24"/>
        </w:rPr>
        <w:t> </w:t>
      </w:r>
      <w:r>
        <w:rPr>
          <w:spacing w:val="-2"/>
          <w:sz w:val="24"/>
        </w:rPr>
        <w:t>Committee</w:t>
      </w:r>
      <w:r>
        <w:rPr>
          <w:spacing w:val="-9"/>
          <w:sz w:val="24"/>
        </w:rPr>
        <w:t> </w:t>
      </w:r>
      <w:r>
        <w:rPr>
          <w:spacing w:val="-2"/>
          <w:sz w:val="24"/>
        </w:rPr>
        <w:t>design</w:t>
      </w:r>
      <w:r>
        <w:rPr>
          <w:spacing w:val="-15"/>
          <w:sz w:val="24"/>
        </w:rPr>
        <w:t> </w:t>
      </w:r>
      <w:r>
        <w:rPr>
          <w:spacing w:val="-2"/>
          <w:sz w:val="24"/>
        </w:rPr>
        <w:t>principles </w:t>
      </w:r>
      <w:r>
        <w:rPr>
          <w:sz w:val="24"/>
        </w:rPr>
        <w:t>(agreed</w:t>
      </w:r>
      <w:r>
        <w:rPr>
          <w:spacing w:val="-9"/>
          <w:sz w:val="24"/>
        </w:rPr>
        <w:t> </w:t>
      </w:r>
      <w:r>
        <w:rPr>
          <w:sz w:val="24"/>
        </w:rPr>
        <w:t>set</w:t>
      </w:r>
      <w:r>
        <w:rPr>
          <w:spacing w:val="-13"/>
          <w:sz w:val="24"/>
        </w:rPr>
        <w:t> </w:t>
      </w:r>
      <w:r>
        <w:rPr>
          <w:sz w:val="24"/>
        </w:rPr>
        <w:t>of</w:t>
      </w:r>
      <w:r>
        <w:rPr>
          <w:spacing w:val="-13"/>
          <w:sz w:val="24"/>
        </w:rPr>
        <w:t> </w:t>
      </w:r>
      <w:r>
        <w:rPr>
          <w:sz w:val="24"/>
        </w:rPr>
        <w:t>rules</w:t>
      </w:r>
      <w:r>
        <w:rPr>
          <w:spacing w:val="-16"/>
          <w:sz w:val="24"/>
        </w:rPr>
        <w:t> </w:t>
      </w:r>
      <w:r>
        <w:rPr>
          <w:sz w:val="24"/>
        </w:rPr>
        <w:t>defining</w:t>
      </w:r>
      <w:r>
        <w:rPr>
          <w:spacing w:val="-15"/>
          <w:sz w:val="24"/>
        </w:rPr>
        <w:t> </w:t>
      </w:r>
      <w:r>
        <w:rPr>
          <w:sz w:val="24"/>
        </w:rPr>
        <w:t>purpose</w:t>
      </w:r>
      <w:r>
        <w:rPr>
          <w:spacing w:val="-10"/>
          <w:sz w:val="24"/>
        </w:rPr>
        <w:t> </w:t>
      </w:r>
      <w:r>
        <w:rPr>
          <w:sz w:val="24"/>
        </w:rPr>
        <w:t>through</w:t>
      </w:r>
      <w:r>
        <w:rPr>
          <w:spacing w:val="-10"/>
          <w:sz w:val="24"/>
        </w:rPr>
        <w:t> </w:t>
      </w:r>
      <w:r>
        <w:rPr>
          <w:sz w:val="24"/>
        </w:rPr>
        <w:t>intention</w:t>
      </w:r>
      <w:r>
        <w:rPr>
          <w:spacing w:val="-10"/>
          <w:sz w:val="24"/>
        </w:rPr>
        <w:t> </w:t>
      </w:r>
      <w:r>
        <w:rPr>
          <w:sz w:val="24"/>
        </w:rPr>
        <w:t>and</w:t>
      </w:r>
      <w:r>
        <w:rPr>
          <w:spacing w:val="-10"/>
          <w:sz w:val="24"/>
        </w:rPr>
        <w:t> </w:t>
      </w:r>
      <w:r>
        <w:rPr>
          <w:sz w:val="24"/>
        </w:rPr>
        <w:t>behaviour)</w:t>
      </w:r>
      <w:r>
        <w:rPr>
          <w:spacing w:val="-12"/>
          <w:sz w:val="24"/>
        </w:rPr>
        <w:t> </w:t>
      </w:r>
      <w:r>
        <w:rPr>
          <w:sz w:val="24"/>
        </w:rPr>
        <w:t>which</w:t>
      </w:r>
      <w:r>
        <w:rPr>
          <w:spacing w:val="-10"/>
          <w:sz w:val="24"/>
        </w:rPr>
        <w:t> </w:t>
      </w:r>
      <w:r>
        <w:rPr>
          <w:sz w:val="24"/>
        </w:rPr>
        <w:t>have</w:t>
      </w:r>
      <w:r>
        <w:rPr>
          <w:spacing w:val="-15"/>
          <w:sz w:val="24"/>
        </w:rPr>
        <w:t> </w:t>
      </w:r>
      <w:r>
        <w:rPr>
          <w:sz w:val="24"/>
        </w:rPr>
        <w:t>been agreed</w:t>
      </w:r>
      <w:r>
        <w:rPr>
          <w:spacing w:val="-14"/>
          <w:sz w:val="24"/>
        </w:rPr>
        <w:t> </w:t>
      </w:r>
      <w:r>
        <w:rPr>
          <w:sz w:val="24"/>
        </w:rPr>
        <w:t>by</w:t>
      </w:r>
      <w:r>
        <w:rPr>
          <w:spacing w:val="-15"/>
          <w:sz w:val="24"/>
        </w:rPr>
        <w:t> </w:t>
      </w:r>
      <w:r>
        <w:rPr>
          <w:sz w:val="24"/>
        </w:rPr>
        <w:t>both</w:t>
      </w:r>
      <w:r>
        <w:rPr>
          <w:spacing w:val="-14"/>
          <w:sz w:val="24"/>
        </w:rPr>
        <w:t> </w:t>
      </w:r>
      <w:r>
        <w:rPr>
          <w:sz w:val="24"/>
        </w:rPr>
        <w:t>Boards</w:t>
      </w:r>
      <w:r>
        <w:rPr>
          <w:spacing w:val="-15"/>
          <w:sz w:val="24"/>
        </w:rPr>
        <w:t> </w:t>
      </w:r>
      <w:r>
        <w:rPr>
          <w:sz w:val="24"/>
        </w:rPr>
        <w:t>in</w:t>
      </w:r>
      <w:r>
        <w:rPr>
          <w:spacing w:val="-14"/>
          <w:sz w:val="24"/>
        </w:rPr>
        <w:t> </w:t>
      </w:r>
      <w:r>
        <w:rPr>
          <w:sz w:val="24"/>
        </w:rPr>
        <w:t>November</w:t>
      </w:r>
      <w:r>
        <w:rPr>
          <w:spacing w:val="-15"/>
          <w:sz w:val="24"/>
        </w:rPr>
        <w:t> </w:t>
      </w:r>
      <w:r>
        <w:rPr>
          <w:sz w:val="24"/>
        </w:rPr>
        <w:t>2024.</w:t>
      </w:r>
      <w:r>
        <w:rPr>
          <w:spacing w:val="39"/>
          <w:sz w:val="24"/>
        </w:rPr>
        <w:t> </w:t>
      </w:r>
      <w:r>
        <w:rPr>
          <w:sz w:val="24"/>
        </w:rPr>
        <w:t>The</w:t>
      </w:r>
      <w:r>
        <w:rPr>
          <w:spacing w:val="-14"/>
          <w:sz w:val="24"/>
        </w:rPr>
        <w:t> </w:t>
      </w:r>
      <w:r>
        <w:rPr>
          <w:sz w:val="24"/>
        </w:rPr>
        <w:t>benefits</w:t>
      </w:r>
      <w:r>
        <w:rPr>
          <w:spacing w:val="-15"/>
          <w:sz w:val="24"/>
        </w:rPr>
        <w:t> </w:t>
      </w:r>
      <w:r>
        <w:rPr>
          <w:sz w:val="24"/>
        </w:rPr>
        <w:t>of</w:t>
      </w:r>
      <w:r>
        <w:rPr>
          <w:spacing w:val="-17"/>
          <w:sz w:val="24"/>
        </w:rPr>
        <w:t> </w:t>
      </w:r>
      <w:r>
        <w:rPr>
          <w:sz w:val="24"/>
        </w:rPr>
        <w:t>using</w:t>
      </w:r>
      <w:r>
        <w:rPr>
          <w:spacing w:val="-14"/>
          <w:sz w:val="24"/>
        </w:rPr>
        <w:t> </w:t>
      </w:r>
      <w:r>
        <w:rPr>
          <w:sz w:val="24"/>
        </w:rPr>
        <w:t>design</w:t>
      </w:r>
      <w:r>
        <w:rPr>
          <w:spacing w:val="-14"/>
          <w:sz w:val="24"/>
        </w:rPr>
        <w:t> </w:t>
      </w:r>
      <w:r>
        <w:rPr>
          <w:sz w:val="24"/>
        </w:rPr>
        <w:t>principles</w:t>
      </w:r>
      <w:r>
        <w:rPr>
          <w:spacing w:val="-15"/>
          <w:sz w:val="24"/>
        </w:rPr>
        <w:t> </w:t>
      </w:r>
      <w:r>
        <w:rPr>
          <w:sz w:val="24"/>
        </w:rPr>
        <w:t>are</w:t>
      </w:r>
      <w:r>
        <w:rPr>
          <w:spacing w:val="-14"/>
          <w:sz w:val="24"/>
        </w:rPr>
        <w:t> </w:t>
      </w:r>
      <w:r>
        <w:rPr>
          <w:sz w:val="24"/>
        </w:rPr>
        <w:t>as </w:t>
      </w:r>
      <w:r>
        <w:rPr>
          <w:spacing w:val="-2"/>
          <w:sz w:val="24"/>
        </w:rPr>
        <w:t>follows:</w:t>
      </w:r>
    </w:p>
    <w:p>
      <w:pPr>
        <w:pStyle w:val="ListParagraph"/>
        <w:numPr>
          <w:ilvl w:val="2"/>
          <w:numId w:val="89"/>
        </w:numPr>
        <w:tabs>
          <w:tab w:pos="1277" w:val="left" w:leader="none"/>
        </w:tabs>
        <w:spacing w:line="240" w:lineRule="auto" w:before="161" w:after="0"/>
        <w:ind w:left="1277" w:right="0" w:hanging="360"/>
        <w:jc w:val="left"/>
        <w:rPr>
          <w:sz w:val="24"/>
        </w:rPr>
      </w:pPr>
      <w:r>
        <w:rPr>
          <w:spacing w:val="-2"/>
          <w:sz w:val="24"/>
        </w:rPr>
        <w:t>They</w:t>
      </w:r>
      <w:r>
        <w:rPr>
          <w:spacing w:val="-13"/>
          <w:sz w:val="24"/>
        </w:rPr>
        <w:t> </w:t>
      </w:r>
      <w:r>
        <w:rPr>
          <w:spacing w:val="-2"/>
          <w:sz w:val="24"/>
        </w:rPr>
        <w:t>will</w:t>
      </w:r>
      <w:r>
        <w:rPr>
          <w:spacing w:val="-9"/>
          <w:sz w:val="24"/>
        </w:rPr>
        <w:t> </w:t>
      </w:r>
      <w:r>
        <w:rPr>
          <w:spacing w:val="-2"/>
          <w:sz w:val="24"/>
        </w:rPr>
        <w:t>embed</w:t>
      </w:r>
      <w:r>
        <w:rPr>
          <w:spacing w:val="-9"/>
          <w:sz w:val="24"/>
        </w:rPr>
        <w:t> </w:t>
      </w:r>
      <w:r>
        <w:rPr>
          <w:spacing w:val="-2"/>
          <w:sz w:val="24"/>
        </w:rPr>
        <w:t>our</w:t>
      </w:r>
      <w:r>
        <w:rPr>
          <w:spacing w:val="-11"/>
          <w:sz w:val="24"/>
        </w:rPr>
        <w:t> </w:t>
      </w:r>
      <w:r>
        <w:rPr>
          <w:spacing w:val="-2"/>
          <w:sz w:val="24"/>
        </w:rPr>
        <w:t>values</w:t>
      </w:r>
      <w:r>
        <w:rPr>
          <w:spacing w:val="-10"/>
          <w:sz w:val="24"/>
        </w:rPr>
        <w:t> </w:t>
      </w:r>
      <w:r>
        <w:rPr>
          <w:spacing w:val="-2"/>
          <w:sz w:val="24"/>
        </w:rPr>
        <w:t>in</w:t>
      </w:r>
      <w:r>
        <w:rPr>
          <w:spacing w:val="-9"/>
          <w:sz w:val="24"/>
        </w:rPr>
        <w:t> </w:t>
      </w:r>
      <w:r>
        <w:rPr>
          <w:spacing w:val="-2"/>
          <w:sz w:val="24"/>
        </w:rPr>
        <w:t>our</w:t>
      </w:r>
      <w:r>
        <w:rPr>
          <w:spacing w:val="-10"/>
          <w:sz w:val="24"/>
        </w:rPr>
        <w:t> </w:t>
      </w:r>
      <w:r>
        <w:rPr>
          <w:spacing w:val="-2"/>
          <w:sz w:val="24"/>
        </w:rPr>
        <w:t>behaviours</w:t>
      </w:r>
      <w:r>
        <w:rPr>
          <w:spacing w:val="-10"/>
          <w:sz w:val="24"/>
        </w:rPr>
        <w:t> </w:t>
      </w:r>
      <w:r>
        <w:rPr>
          <w:spacing w:val="-2"/>
          <w:sz w:val="24"/>
        </w:rPr>
        <w:t>and</w:t>
      </w:r>
      <w:r>
        <w:rPr>
          <w:spacing w:val="-14"/>
          <w:sz w:val="24"/>
        </w:rPr>
        <w:t> </w:t>
      </w:r>
      <w:r>
        <w:rPr>
          <w:spacing w:val="-2"/>
          <w:sz w:val="24"/>
        </w:rPr>
        <w:t>actions;</w:t>
      </w:r>
    </w:p>
    <w:p>
      <w:pPr>
        <w:pStyle w:val="ListParagraph"/>
        <w:numPr>
          <w:ilvl w:val="2"/>
          <w:numId w:val="89"/>
        </w:numPr>
        <w:tabs>
          <w:tab w:pos="1277" w:val="left" w:leader="none"/>
        </w:tabs>
        <w:spacing w:line="240" w:lineRule="auto" w:before="119" w:after="0"/>
        <w:ind w:left="1277" w:right="0" w:hanging="360"/>
        <w:jc w:val="left"/>
        <w:rPr>
          <w:sz w:val="24"/>
        </w:rPr>
      </w:pPr>
      <w:r>
        <w:rPr>
          <w:spacing w:val="-2"/>
          <w:sz w:val="24"/>
        </w:rPr>
        <w:t>They</w:t>
      </w:r>
      <w:r>
        <w:rPr>
          <w:spacing w:val="-15"/>
          <w:sz w:val="24"/>
        </w:rPr>
        <w:t> </w:t>
      </w:r>
      <w:r>
        <w:rPr>
          <w:spacing w:val="-2"/>
          <w:sz w:val="24"/>
        </w:rPr>
        <w:t>will</w:t>
      </w:r>
      <w:r>
        <w:rPr>
          <w:spacing w:val="-10"/>
          <w:sz w:val="24"/>
        </w:rPr>
        <w:t> </w:t>
      </w:r>
      <w:r>
        <w:rPr>
          <w:spacing w:val="-2"/>
          <w:sz w:val="24"/>
        </w:rPr>
        <w:t>provide</w:t>
      </w:r>
      <w:r>
        <w:rPr>
          <w:spacing w:val="-9"/>
          <w:sz w:val="24"/>
        </w:rPr>
        <w:t> </w:t>
      </w:r>
      <w:r>
        <w:rPr>
          <w:spacing w:val="-2"/>
          <w:sz w:val="24"/>
        </w:rPr>
        <w:t>a</w:t>
      </w:r>
      <w:r>
        <w:rPr>
          <w:spacing w:val="-10"/>
          <w:sz w:val="24"/>
        </w:rPr>
        <w:t> </w:t>
      </w:r>
      <w:r>
        <w:rPr>
          <w:spacing w:val="-2"/>
          <w:sz w:val="24"/>
        </w:rPr>
        <w:t>compass</w:t>
      </w:r>
      <w:r>
        <w:rPr>
          <w:spacing w:val="-11"/>
          <w:sz w:val="24"/>
        </w:rPr>
        <w:t> </w:t>
      </w:r>
      <w:r>
        <w:rPr>
          <w:spacing w:val="-2"/>
          <w:sz w:val="24"/>
        </w:rPr>
        <w:t>point</w:t>
      </w:r>
      <w:r>
        <w:rPr>
          <w:spacing w:val="-15"/>
          <w:sz w:val="24"/>
        </w:rPr>
        <w:t> </w:t>
      </w:r>
      <w:r>
        <w:rPr>
          <w:spacing w:val="-2"/>
          <w:sz w:val="24"/>
        </w:rPr>
        <w:t>when</w:t>
      </w:r>
      <w:r>
        <w:rPr>
          <w:spacing w:val="-10"/>
          <w:sz w:val="24"/>
        </w:rPr>
        <w:t> </w:t>
      </w:r>
      <w:r>
        <w:rPr>
          <w:spacing w:val="-2"/>
          <w:sz w:val="24"/>
        </w:rPr>
        <w:t>conflict</w:t>
      </w:r>
      <w:r>
        <w:rPr>
          <w:spacing w:val="-12"/>
          <w:sz w:val="24"/>
        </w:rPr>
        <w:t> </w:t>
      </w:r>
      <w:r>
        <w:rPr>
          <w:spacing w:val="-2"/>
          <w:sz w:val="24"/>
        </w:rPr>
        <w:t>or</w:t>
      </w:r>
      <w:r>
        <w:rPr>
          <w:spacing w:val="-15"/>
          <w:sz w:val="24"/>
        </w:rPr>
        <w:t> </w:t>
      </w:r>
      <w:r>
        <w:rPr>
          <w:spacing w:val="-2"/>
          <w:sz w:val="24"/>
        </w:rPr>
        <w:t>disagreement</w:t>
      </w:r>
      <w:r>
        <w:rPr>
          <w:spacing w:val="-12"/>
          <w:sz w:val="24"/>
        </w:rPr>
        <w:t> </w:t>
      </w:r>
      <w:r>
        <w:rPr>
          <w:spacing w:val="-2"/>
          <w:sz w:val="24"/>
        </w:rPr>
        <w:t>occurs;</w:t>
      </w:r>
    </w:p>
    <w:p>
      <w:pPr>
        <w:pStyle w:val="ListParagraph"/>
        <w:numPr>
          <w:ilvl w:val="2"/>
          <w:numId w:val="89"/>
        </w:numPr>
        <w:tabs>
          <w:tab w:pos="1277" w:val="left" w:leader="none"/>
        </w:tabs>
        <w:spacing w:line="240" w:lineRule="auto" w:before="118" w:after="0"/>
        <w:ind w:left="1277" w:right="0" w:hanging="360"/>
        <w:jc w:val="left"/>
        <w:rPr>
          <w:sz w:val="24"/>
        </w:rPr>
      </w:pPr>
      <w:r>
        <w:rPr>
          <w:spacing w:val="-2"/>
          <w:sz w:val="24"/>
        </w:rPr>
        <w:t>They</w:t>
      </w:r>
      <w:r>
        <w:rPr>
          <w:spacing w:val="-10"/>
          <w:sz w:val="24"/>
        </w:rPr>
        <w:t> </w:t>
      </w:r>
      <w:r>
        <w:rPr>
          <w:spacing w:val="-2"/>
          <w:sz w:val="24"/>
        </w:rPr>
        <w:t>will</w:t>
      </w:r>
      <w:r>
        <w:rPr>
          <w:spacing w:val="-9"/>
          <w:sz w:val="24"/>
        </w:rPr>
        <w:t> </w:t>
      </w:r>
      <w:r>
        <w:rPr>
          <w:spacing w:val="-2"/>
          <w:sz w:val="24"/>
        </w:rPr>
        <w:t>ensure</w:t>
      </w:r>
      <w:r>
        <w:rPr>
          <w:spacing w:val="-9"/>
          <w:sz w:val="24"/>
        </w:rPr>
        <w:t> </w:t>
      </w:r>
      <w:r>
        <w:rPr>
          <w:spacing w:val="-2"/>
          <w:sz w:val="24"/>
        </w:rPr>
        <w:t>we</w:t>
      </w:r>
      <w:r>
        <w:rPr>
          <w:spacing w:val="-9"/>
          <w:sz w:val="24"/>
        </w:rPr>
        <w:t> </w:t>
      </w:r>
      <w:r>
        <w:rPr>
          <w:spacing w:val="-2"/>
          <w:sz w:val="24"/>
        </w:rPr>
        <w:t>are</w:t>
      </w:r>
      <w:r>
        <w:rPr>
          <w:spacing w:val="-4"/>
          <w:sz w:val="24"/>
        </w:rPr>
        <w:t> </w:t>
      </w:r>
      <w:r>
        <w:rPr>
          <w:spacing w:val="-2"/>
          <w:sz w:val="24"/>
        </w:rPr>
        <w:t>consistent</w:t>
      </w:r>
      <w:r>
        <w:rPr>
          <w:spacing w:val="-12"/>
          <w:sz w:val="24"/>
        </w:rPr>
        <w:t> </w:t>
      </w:r>
      <w:r>
        <w:rPr>
          <w:spacing w:val="-2"/>
          <w:sz w:val="24"/>
        </w:rPr>
        <w:t>in</w:t>
      </w:r>
      <w:r>
        <w:rPr>
          <w:spacing w:val="-9"/>
          <w:sz w:val="24"/>
        </w:rPr>
        <w:t> </w:t>
      </w:r>
      <w:r>
        <w:rPr>
          <w:spacing w:val="-2"/>
          <w:sz w:val="24"/>
        </w:rPr>
        <w:t>what</w:t>
      </w:r>
      <w:r>
        <w:rPr>
          <w:spacing w:val="-11"/>
          <w:sz w:val="24"/>
        </w:rPr>
        <w:t> </w:t>
      </w:r>
      <w:r>
        <w:rPr>
          <w:spacing w:val="-2"/>
          <w:sz w:val="24"/>
        </w:rPr>
        <w:t>we</w:t>
      </w:r>
      <w:r>
        <w:rPr>
          <w:spacing w:val="-9"/>
          <w:sz w:val="24"/>
        </w:rPr>
        <w:t> </w:t>
      </w:r>
      <w:r>
        <w:rPr>
          <w:spacing w:val="-2"/>
          <w:sz w:val="24"/>
        </w:rPr>
        <w:t>say</w:t>
      </w:r>
      <w:r>
        <w:rPr>
          <w:spacing w:val="-15"/>
          <w:sz w:val="24"/>
        </w:rPr>
        <w:t> </w:t>
      </w:r>
      <w:r>
        <w:rPr>
          <w:spacing w:val="-2"/>
          <w:sz w:val="24"/>
        </w:rPr>
        <w:t>and</w:t>
      </w:r>
      <w:r>
        <w:rPr>
          <w:spacing w:val="-9"/>
          <w:sz w:val="24"/>
        </w:rPr>
        <w:t> </w:t>
      </w:r>
      <w:r>
        <w:rPr>
          <w:spacing w:val="-2"/>
          <w:sz w:val="24"/>
        </w:rPr>
        <w:t>do;</w:t>
      </w:r>
      <w:r>
        <w:rPr>
          <w:spacing w:val="-11"/>
          <w:sz w:val="24"/>
        </w:rPr>
        <w:t> </w:t>
      </w:r>
      <w:r>
        <w:rPr>
          <w:spacing w:val="-5"/>
          <w:sz w:val="24"/>
        </w:rPr>
        <w:t>and</w:t>
      </w:r>
    </w:p>
    <w:p>
      <w:pPr>
        <w:pStyle w:val="ListParagraph"/>
        <w:numPr>
          <w:ilvl w:val="2"/>
          <w:numId w:val="89"/>
        </w:numPr>
        <w:tabs>
          <w:tab w:pos="1277" w:val="left" w:leader="none"/>
        </w:tabs>
        <w:spacing w:line="240" w:lineRule="auto" w:before="123" w:after="0"/>
        <w:ind w:left="1277" w:right="0" w:hanging="360"/>
        <w:jc w:val="left"/>
        <w:rPr>
          <w:sz w:val="24"/>
        </w:rPr>
      </w:pPr>
      <w:r>
        <w:rPr>
          <w:spacing w:val="-2"/>
          <w:sz w:val="24"/>
        </w:rPr>
        <w:t>They</w:t>
      </w:r>
      <w:r>
        <w:rPr>
          <w:spacing w:val="-15"/>
          <w:sz w:val="24"/>
        </w:rPr>
        <w:t> </w:t>
      </w:r>
      <w:r>
        <w:rPr>
          <w:spacing w:val="-2"/>
          <w:sz w:val="24"/>
        </w:rPr>
        <w:t>are</w:t>
      </w:r>
      <w:r>
        <w:rPr>
          <w:spacing w:val="-15"/>
          <w:sz w:val="24"/>
        </w:rPr>
        <w:t> </w:t>
      </w:r>
      <w:r>
        <w:rPr>
          <w:spacing w:val="-2"/>
          <w:sz w:val="24"/>
        </w:rPr>
        <w:t>universally</w:t>
      </w:r>
      <w:r>
        <w:rPr>
          <w:spacing w:val="-14"/>
          <w:sz w:val="24"/>
        </w:rPr>
        <w:t> </w:t>
      </w:r>
      <w:r>
        <w:rPr>
          <w:spacing w:val="-2"/>
          <w:sz w:val="24"/>
        </w:rPr>
        <w:t>understood</w:t>
      </w:r>
      <w:r>
        <w:rPr>
          <w:spacing w:val="-15"/>
          <w:sz w:val="24"/>
        </w:rPr>
        <w:t> </w:t>
      </w:r>
      <w:r>
        <w:rPr>
          <w:spacing w:val="-2"/>
          <w:sz w:val="24"/>
        </w:rPr>
        <w:t>and</w:t>
      </w:r>
      <w:r>
        <w:rPr>
          <w:spacing w:val="-11"/>
          <w:sz w:val="24"/>
        </w:rPr>
        <w:t> </w:t>
      </w:r>
      <w:r>
        <w:rPr>
          <w:spacing w:val="-2"/>
          <w:sz w:val="24"/>
        </w:rPr>
        <w:t>accepted.</w:t>
      </w:r>
    </w:p>
    <w:p>
      <w:pPr>
        <w:pStyle w:val="ListParagraph"/>
        <w:numPr>
          <w:ilvl w:val="1"/>
          <w:numId w:val="89"/>
        </w:numPr>
        <w:tabs>
          <w:tab w:pos="937" w:val="left" w:leader="none"/>
        </w:tabs>
        <w:spacing w:line="240" w:lineRule="auto" w:before="158" w:after="0"/>
        <w:ind w:left="937" w:right="0" w:hanging="795"/>
        <w:jc w:val="left"/>
        <w:rPr>
          <w:sz w:val="24"/>
        </w:rPr>
      </w:pPr>
      <w:r>
        <w:rPr>
          <w:spacing w:val="-2"/>
          <w:sz w:val="24"/>
        </w:rPr>
        <w:t>The</w:t>
      </w:r>
      <w:r>
        <w:rPr>
          <w:spacing w:val="-12"/>
          <w:sz w:val="24"/>
        </w:rPr>
        <w:t> </w:t>
      </w:r>
      <w:r>
        <w:rPr>
          <w:spacing w:val="-2"/>
          <w:sz w:val="24"/>
        </w:rPr>
        <w:t>design</w:t>
      </w:r>
      <w:r>
        <w:rPr>
          <w:spacing w:val="-11"/>
          <w:sz w:val="24"/>
        </w:rPr>
        <w:t> </w:t>
      </w:r>
      <w:r>
        <w:rPr>
          <w:spacing w:val="-2"/>
          <w:sz w:val="24"/>
        </w:rPr>
        <w:t>principles</w:t>
      </w:r>
      <w:r>
        <w:rPr>
          <w:spacing w:val="-12"/>
          <w:sz w:val="24"/>
        </w:rPr>
        <w:t> </w:t>
      </w:r>
      <w:r>
        <w:rPr>
          <w:spacing w:val="-2"/>
          <w:sz w:val="24"/>
        </w:rPr>
        <w:t>agreed</w:t>
      </w:r>
      <w:r>
        <w:rPr>
          <w:spacing w:val="-15"/>
          <w:sz w:val="24"/>
        </w:rPr>
        <w:t> </w:t>
      </w:r>
      <w:r>
        <w:rPr>
          <w:spacing w:val="-2"/>
          <w:sz w:val="24"/>
        </w:rPr>
        <w:t>by</w:t>
      </w:r>
      <w:r>
        <w:rPr>
          <w:spacing w:val="-12"/>
          <w:sz w:val="24"/>
        </w:rPr>
        <w:t> </w:t>
      </w:r>
      <w:r>
        <w:rPr>
          <w:spacing w:val="-2"/>
          <w:sz w:val="24"/>
        </w:rPr>
        <w:t>both</w:t>
      </w:r>
      <w:r>
        <w:rPr>
          <w:spacing w:val="-11"/>
          <w:sz w:val="24"/>
        </w:rPr>
        <w:t> </w:t>
      </w:r>
      <w:r>
        <w:rPr>
          <w:spacing w:val="-2"/>
          <w:sz w:val="24"/>
        </w:rPr>
        <w:t>Boards</w:t>
      </w:r>
      <w:r>
        <w:rPr>
          <w:spacing w:val="-11"/>
          <w:sz w:val="24"/>
        </w:rPr>
        <w:t> </w:t>
      </w:r>
      <w:r>
        <w:rPr>
          <w:spacing w:val="-4"/>
          <w:sz w:val="24"/>
        </w:rPr>
        <w:t>are:</w:t>
      </w:r>
    </w:p>
    <w:p>
      <w:pPr>
        <w:pStyle w:val="BodyText"/>
        <w:spacing w:before="10"/>
        <w:rPr>
          <w:sz w:val="13"/>
        </w:rPr>
      </w:pPr>
    </w:p>
    <w:tbl>
      <w:tblPr>
        <w:tblW w:w="0" w:type="auto"/>
        <w:jc w:val="left"/>
        <w:tblInd w:w="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86"/>
        <w:gridCol w:w="7658"/>
      </w:tblGrid>
      <w:tr>
        <w:trPr>
          <w:trHeight w:val="550" w:hRule="atLeast"/>
        </w:trPr>
        <w:tc>
          <w:tcPr>
            <w:tcW w:w="1486" w:type="dxa"/>
          </w:tcPr>
          <w:p>
            <w:pPr>
              <w:pStyle w:val="TableParagraph"/>
              <w:ind w:left="110"/>
              <w:rPr>
                <w:sz w:val="24"/>
              </w:rPr>
            </w:pPr>
            <w:r>
              <w:rPr>
                <w:spacing w:val="-2"/>
                <w:sz w:val="24"/>
              </w:rPr>
              <w:t>Mindset</w:t>
            </w:r>
          </w:p>
        </w:tc>
        <w:tc>
          <w:tcPr>
            <w:tcW w:w="7658" w:type="dxa"/>
          </w:tcPr>
          <w:p>
            <w:pPr>
              <w:pStyle w:val="TableParagraph"/>
              <w:spacing w:line="276" w:lineRule="exact"/>
              <w:ind w:left="105"/>
              <w:rPr>
                <w:sz w:val="24"/>
              </w:rPr>
            </w:pPr>
            <w:r>
              <w:rPr>
                <w:spacing w:val="-2"/>
                <w:sz w:val="24"/>
              </w:rPr>
              <w:t>Trusting</w:t>
            </w:r>
            <w:r>
              <w:rPr>
                <w:spacing w:val="-15"/>
                <w:sz w:val="24"/>
              </w:rPr>
              <w:t> </w:t>
            </w:r>
            <w:r>
              <w:rPr>
                <w:spacing w:val="-2"/>
                <w:sz w:val="24"/>
              </w:rPr>
              <w:t>each</w:t>
            </w:r>
            <w:r>
              <w:rPr>
                <w:spacing w:val="-12"/>
                <w:sz w:val="24"/>
              </w:rPr>
              <w:t> </w:t>
            </w:r>
            <w:r>
              <w:rPr>
                <w:spacing w:val="-2"/>
                <w:sz w:val="24"/>
              </w:rPr>
              <w:t>other</w:t>
            </w:r>
            <w:r>
              <w:rPr>
                <w:spacing w:val="-8"/>
                <w:sz w:val="24"/>
              </w:rPr>
              <w:t> </w:t>
            </w:r>
            <w:r>
              <w:rPr>
                <w:spacing w:val="-2"/>
                <w:sz w:val="24"/>
              </w:rPr>
              <w:t>to</w:t>
            </w:r>
            <w:r>
              <w:rPr>
                <w:spacing w:val="-12"/>
                <w:sz w:val="24"/>
              </w:rPr>
              <w:t> </w:t>
            </w:r>
            <w:r>
              <w:rPr>
                <w:spacing w:val="-2"/>
                <w:sz w:val="24"/>
              </w:rPr>
              <w:t>do</w:t>
            </w:r>
            <w:r>
              <w:rPr>
                <w:spacing w:val="-12"/>
                <w:sz w:val="24"/>
              </w:rPr>
              <w:t> </w:t>
            </w:r>
            <w:r>
              <w:rPr>
                <w:spacing w:val="-2"/>
                <w:sz w:val="24"/>
              </w:rPr>
              <w:t>the</w:t>
            </w:r>
            <w:r>
              <w:rPr>
                <w:spacing w:val="-12"/>
                <w:sz w:val="24"/>
              </w:rPr>
              <w:t> </w:t>
            </w:r>
            <w:r>
              <w:rPr>
                <w:spacing w:val="-2"/>
                <w:sz w:val="24"/>
              </w:rPr>
              <w:t>right</w:t>
            </w:r>
            <w:r>
              <w:rPr>
                <w:spacing w:val="-10"/>
                <w:sz w:val="24"/>
              </w:rPr>
              <w:t> </w:t>
            </w:r>
            <w:r>
              <w:rPr>
                <w:spacing w:val="-2"/>
                <w:sz w:val="24"/>
              </w:rPr>
              <w:t>thing</w:t>
            </w:r>
            <w:r>
              <w:rPr>
                <w:spacing w:val="-12"/>
                <w:sz w:val="24"/>
              </w:rPr>
              <w:t> </w:t>
            </w:r>
            <w:r>
              <w:rPr>
                <w:spacing w:val="-2"/>
                <w:sz w:val="24"/>
              </w:rPr>
              <w:t>and</w:t>
            </w:r>
            <w:r>
              <w:rPr>
                <w:spacing w:val="-7"/>
                <w:sz w:val="24"/>
              </w:rPr>
              <w:t> </w:t>
            </w:r>
            <w:r>
              <w:rPr>
                <w:spacing w:val="-2"/>
                <w:sz w:val="24"/>
              </w:rPr>
              <w:t>to</w:t>
            </w:r>
            <w:r>
              <w:rPr>
                <w:spacing w:val="-12"/>
                <w:sz w:val="24"/>
              </w:rPr>
              <w:t> </w:t>
            </w:r>
            <w:r>
              <w:rPr>
                <w:spacing w:val="-2"/>
                <w:sz w:val="24"/>
              </w:rPr>
              <w:t>act</w:t>
            </w:r>
            <w:r>
              <w:rPr>
                <w:spacing w:val="-14"/>
                <w:sz w:val="24"/>
              </w:rPr>
              <w:t> </w:t>
            </w:r>
            <w:r>
              <w:rPr>
                <w:spacing w:val="-2"/>
                <w:sz w:val="24"/>
              </w:rPr>
              <w:t>with</w:t>
            </w:r>
            <w:r>
              <w:rPr>
                <w:spacing w:val="-7"/>
                <w:sz w:val="24"/>
              </w:rPr>
              <w:t> </w:t>
            </w:r>
            <w:r>
              <w:rPr>
                <w:spacing w:val="-2"/>
                <w:sz w:val="24"/>
              </w:rPr>
              <w:t>courage</w:t>
            </w:r>
            <w:r>
              <w:rPr>
                <w:spacing w:val="-12"/>
                <w:sz w:val="24"/>
              </w:rPr>
              <w:t> </w:t>
            </w:r>
            <w:r>
              <w:rPr>
                <w:spacing w:val="-2"/>
                <w:sz w:val="24"/>
              </w:rPr>
              <w:t>and conviction.</w:t>
            </w:r>
          </w:p>
        </w:tc>
      </w:tr>
      <w:tr>
        <w:trPr>
          <w:trHeight w:val="553" w:hRule="atLeast"/>
        </w:trPr>
        <w:tc>
          <w:tcPr>
            <w:tcW w:w="1486" w:type="dxa"/>
          </w:tcPr>
          <w:p>
            <w:pPr>
              <w:pStyle w:val="TableParagraph"/>
              <w:spacing w:line="274" w:lineRule="exact"/>
              <w:ind w:left="110"/>
              <w:rPr>
                <w:sz w:val="24"/>
              </w:rPr>
            </w:pPr>
            <w:r>
              <w:rPr>
                <w:spacing w:val="-2"/>
                <w:sz w:val="24"/>
              </w:rPr>
              <w:t>Process</w:t>
            </w:r>
          </w:p>
        </w:tc>
        <w:tc>
          <w:tcPr>
            <w:tcW w:w="7658" w:type="dxa"/>
          </w:tcPr>
          <w:p>
            <w:pPr>
              <w:pStyle w:val="TableParagraph"/>
              <w:spacing w:line="274" w:lineRule="exact"/>
              <w:ind w:left="105"/>
              <w:rPr>
                <w:sz w:val="24"/>
              </w:rPr>
            </w:pPr>
            <w:r>
              <w:rPr>
                <w:spacing w:val="-2"/>
                <w:sz w:val="24"/>
              </w:rPr>
              <w:t>Driven</w:t>
            </w:r>
            <w:r>
              <w:rPr>
                <w:spacing w:val="-15"/>
                <w:sz w:val="24"/>
              </w:rPr>
              <w:t> </w:t>
            </w:r>
            <w:r>
              <w:rPr>
                <w:spacing w:val="-2"/>
                <w:sz w:val="24"/>
              </w:rPr>
              <w:t>by</w:t>
            </w:r>
            <w:r>
              <w:rPr>
                <w:spacing w:val="-13"/>
                <w:sz w:val="24"/>
              </w:rPr>
              <w:t> </w:t>
            </w:r>
            <w:r>
              <w:rPr>
                <w:spacing w:val="-2"/>
                <w:sz w:val="24"/>
              </w:rPr>
              <w:t>data</w:t>
            </w:r>
            <w:r>
              <w:rPr>
                <w:spacing w:val="-12"/>
                <w:sz w:val="24"/>
              </w:rPr>
              <w:t> </w:t>
            </w:r>
            <w:r>
              <w:rPr>
                <w:spacing w:val="-2"/>
                <w:sz w:val="24"/>
              </w:rPr>
              <w:t>and</w:t>
            </w:r>
            <w:r>
              <w:rPr>
                <w:spacing w:val="-13"/>
                <w:sz w:val="24"/>
              </w:rPr>
              <w:t> </w:t>
            </w:r>
            <w:r>
              <w:rPr>
                <w:spacing w:val="-2"/>
                <w:sz w:val="24"/>
              </w:rPr>
              <w:t>evidence</w:t>
            </w:r>
            <w:r>
              <w:rPr>
                <w:spacing w:val="-12"/>
                <w:sz w:val="24"/>
              </w:rPr>
              <w:t> </w:t>
            </w:r>
            <w:r>
              <w:rPr>
                <w:spacing w:val="-2"/>
                <w:sz w:val="24"/>
              </w:rPr>
              <w:t>and</w:t>
            </w:r>
            <w:r>
              <w:rPr>
                <w:spacing w:val="-13"/>
                <w:sz w:val="24"/>
              </w:rPr>
              <w:t> </w:t>
            </w:r>
            <w:r>
              <w:rPr>
                <w:spacing w:val="-2"/>
                <w:sz w:val="24"/>
              </w:rPr>
              <w:t>embracing</w:t>
            </w:r>
            <w:r>
              <w:rPr>
                <w:spacing w:val="-12"/>
                <w:sz w:val="24"/>
              </w:rPr>
              <w:t> </w:t>
            </w:r>
            <w:r>
              <w:rPr>
                <w:spacing w:val="-2"/>
                <w:sz w:val="24"/>
              </w:rPr>
              <w:t>opportunities</w:t>
            </w:r>
            <w:r>
              <w:rPr>
                <w:spacing w:val="-13"/>
                <w:sz w:val="24"/>
              </w:rPr>
              <w:t> </w:t>
            </w:r>
            <w:r>
              <w:rPr>
                <w:spacing w:val="-2"/>
                <w:sz w:val="24"/>
              </w:rPr>
              <w:t>to</w:t>
            </w:r>
            <w:r>
              <w:rPr>
                <w:spacing w:val="-12"/>
                <w:sz w:val="24"/>
              </w:rPr>
              <w:t> </w:t>
            </w:r>
            <w:r>
              <w:rPr>
                <w:spacing w:val="-5"/>
                <w:sz w:val="24"/>
              </w:rPr>
              <w:t>re-</w:t>
            </w:r>
          </w:p>
          <w:p>
            <w:pPr>
              <w:pStyle w:val="TableParagraph"/>
              <w:spacing w:line="255" w:lineRule="exact" w:before="4"/>
              <w:ind w:left="105"/>
              <w:rPr>
                <w:sz w:val="24"/>
              </w:rPr>
            </w:pPr>
            <w:r>
              <w:rPr>
                <w:spacing w:val="-2"/>
                <w:sz w:val="24"/>
              </w:rPr>
              <w:t>imagine,</w:t>
            </w:r>
            <w:r>
              <w:rPr>
                <w:spacing w:val="-15"/>
                <w:sz w:val="24"/>
              </w:rPr>
              <w:t> </w:t>
            </w:r>
            <w:r>
              <w:rPr>
                <w:spacing w:val="-2"/>
                <w:sz w:val="24"/>
              </w:rPr>
              <w:t>redesign</w:t>
            </w:r>
            <w:r>
              <w:rPr>
                <w:spacing w:val="-15"/>
                <w:sz w:val="24"/>
              </w:rPr>
              <w:t> </w:t>
            </w:r>
            <w:r>
              <w:rPr>
                <w:spacing w:val="-2"/>
                <w:sz w:val="24"/>
              </w:rPr>
              <w:t>and</w:t>
            </w:r>
            <w:r>
              <w:rPr>
                <w:spacing w:val="-13"/>
                <w:sz w:val="24"/>
              </w:rPr>
              <w:t> </w:t>
            </w:r>
            <w:r>
              <w:rPr>
                <w:spacing w:val="-2"/>
                <w:sz w:val="24"/>
              </w:rPr>
              <w:t>innovate.</w:t>
            </w:r>
          </w:p>
        </w:tc>
      </w:tr>
      <w:tr>
        <w:trPr>
          <w:trHeight w:val="550" w:hRule="atLeast"/>
        </w:trPr>
        <w:tc>
          <w:tcPr>
            <w:tcW w:w="1486" w:type="dxa"/>
          </w:tcPr>
          <w:p>
            <w:pPr>
              <w:pStyle w:val="TableParagraph"/>
              <w:ind w:left="110"/>
              <w:rPr>
                <w:sz w:val="24"/>
              </w:rPr>
            </w:pPr>
            <w:r>
              <w:rPr>
                <w:spacing w:val="-2"/>
                <w:sz w:val="24"/>
              </w:rPr>
              <w:t>Outcome</w:t>
            </w:r>
          </w:p>
        </w:tc>
        <w:tc>
          <w:tcPr>
            <w:tcW w:w="7658" w:type="dxa"/>
          </w:tcPr>
          <w:p>
            <w:pPr>
              <w:pStyle w:val="TableParagraph"/>
              <w:spacing w:line="276" w:lineRule="exact"/>
              <w:ind w:left="105"/>
              <w:rPr>
                <w:sz w:val="24"/>
              </w:rPr>
            </w:pPr>
            <w:r>
              <w:rPr>
                <w:spacing w:val="-2"/>
                <w:sz w:val="24"/>
              </w:rPr>
              <w:t>Building</w:t>
            </w:r>
            <w:r>
              <w:rPr>
                <w:spacing w:val="-15"/>
                <w:sz w:val="24"/>
              </w:rPr>
              <w:t> </w:t>
            </w:r>
            <w:r>
              <w:rPr>
                <w:spacing w:val="-2"/>
                <w:sz w:val="24"/>
              </w:rPr>
              <w:t>sustainable</w:t>
            </w:r>
            <w:r>
              <w:rPr>
                <w:spacing w:val="-15"/>
                <w:sz w:val="24"/>
              </w:rPr>
              <w:t> </w:t>
            </w:r>
            <w:r>
              <w:rPr>
                <w:spacing w:val="-2"/>
                <w:sz w:val="24"/>
              </w:rPr>
              <w:t>and</w:t>
            </w:r>
            <w:r>
              <w:rPr>
                <w:spacing w:val="-14"/>
                <w:sz w:val="24"/>
              </w:rPr>
              <w:t> </w:t>
            </w:r>
            <w:r>
              <w:rPr>
                <w:spacing w:val="-2"/>
                <w:sz w:val="24"/>
              </w:rPr>
              <w:t>future</w:t>
            </w:r>
            <w:r>
              <w:rPr>
                <w:spacing w:val="-15"/>
                <w:sz w:val="24"/>
              </w:rPr>
              <w:t> </w:t>
            </w:r>
            <w:r>
              <w:rPr>
                <w:spacing w:val="-2"/>
                <w:sz w:val="24"/>
              </w:rPr>
              <w:t>proofed</w:t>
            </w:r>
            <w:r>
              <w:rPr>
                <w:spacing w:val="-15"/>
                <w:sz w:val="24"/>
              </w:rPr>
              <w:t> </w:t>
            </w:r>
            <w:r>
              <w:rPr>
                <w:spacing w:val="-2"/>
                <w:sz w:val="24"/>
              </w:rPr>
              <w:t>services</w:t>
            </w:r>
            <w:r>
              <w:rPr>
                <w:spacing w:val="-13"/>
                <w:sz w:val="24"/>
              </w:rPr>
              <w:t> </w:t>
            </w:r>
            <w:r>
              <w:rPr>
                <w:spacing w:val="-2"/>
                <w:sz w:val="24"/>
              </w:rPr>
              <w:t>that</w:t>
            </w:r>
            <w:r>
              <w:rPr>
                <w:spacing w:val="-15"/>
                <w:sz w:val="24"/>
              </w:rPr>
              <w:t> </w:t>
            </w:r>
            <w:r>
              <w:rPr>
                <w:spacing w:val="-2"/>
                <w:sz w:val="24"/>
              </w:rPr>
              <w:t>have</w:t>
            </w:r>
            <w:r>
              <w:rPr>
                <w:spacing w:val="-10"/>
                <w:sz w:val="24"/>
              </w:rPr>
              <w:t> </w:t>
            </w:r>
            <w:r>
              <w:rPr>
                <w:spacing w:val="-2"/>
                <w:sz w:val="24"/>
              </w:rPr>
              <w:t>the</w:t>
            </w:r>
            <w:r>
              <w:rPr>
                <w:spacing w:val="-15"/>
                <w:sz w:val="24"/>
              </w:rPr>
              <w:t> </w:t>
            </w:r>
            <w:r>
              <w:rPr>
                <w:spacing w:val="-2"/>
                <w:sz w:val="24"/>
              </w:rPr>
              <w:t>greatest </w:t>
            </w:r>
            <w:r>
              <w:rPr>
                <w:sz w:val="24"/>
              </w:rPr>
              <w:t>impact</w:t>
            </w:r>
            <w:r>
              <w:rPr>
                <w:spacing w:val="-9"/>
                <w:sz w:val="24"/>
              </w:rPr>
              <w:t> </w:t>
            </w:r>
            <w:r>
              <w:rPr>
                <w:sz w:val="24"/>
              </w:rPr>
              <w:t>and</w:t>
            </w:r>
            <w:r>
              <w:rPr>
                <w:spacing w:val="-6"/>
                <w:sz w:val="24"/>
              </w:rPr>
              <w:t> </w:t>
            </w:r>
            <w:r>
              <w:rPr>
                <w:sz w:val="24"/>
              </w:rPr>
              <w:t>are</w:t>
            </w:r>
            <w:r>
              <w:rPr>
                <w:spacing w:val="-6"/>
                <w:sz w:val="24"/>
              </w:rPr>
              <w:t> </w:t>
            </w:r>
            <w:r>
              <w:rPr>
                <w:sz w:val="24"/>
              </w:rPr>
              <w:t>in</w:t>
            </w:r>
            <w:r>
              <w:rPr>
                <w:spacing w:val="-6"/>
                <w:sz w:val="24"/>
              </w:rPr>
              <w:t> </w:t>
            </w:r>
            <w:r>
              <w:rPr>
                <w:sz w:val="24"/>
              </w:rPr>
              <w:t>the</w:t>
            </w:r>
            <w:r>
              <w:rPr>
                <w:spacing w:val="-6"/>
                <w:sz w:val="24"/>
              </w:rPr>
              <w:t> </w:t>
            </w:r>
            <w:r>
              <w:rPr>
                <w:sz w:val="24"/>
              </w:rPr>
              <w:t>best</w:t>
            </w:r>
            <w:r>
              <w:rPr>
                <w:spacing w:val="-9"/>
                <w:sz w:val="24"/>
              </w:rPr>
              <w:t> </w:t>
            </w:r>
            <w:r>
              <w:rPr>
                <w:sz w:val="24"/>
              </w:rPr>
              <w:t>interests</w:t>
            </w:r>
            <w:r>
              <w:rPr>
                <w:spacing w:val="-7"/>
                <w:sz w:val="24"/>
              </w:rPr>
              <w:t> </w:t>
            </w:r>
            <w:r>
              <w:rPr>
                <w:sz w:val="24"/>
              </w:rPr>
              <w:t>of</w:t>
            </w:r>
            <w:r>
              <w:rPr>
                <w:spacing w:val="-9"/>
                <w:sz w:val="24"/>
              </w:rPr>
              <w:t> </w:t>
            </w:r>
            <w:r>
              <w:rPr>
                <w:sz w:val="24"/>
              </w:rPr>
              <w:t>all</w:t>
            </w:r>
            <w:r>
              <w:rPr>
                <w:spacing w:val="-6"/>
                <w:sz w:val="24"/>
              </w:rPr>
              <w:t> </w:t>
            </w:r>
            <w:r>
              <w:rPr>
                <w:sz w:val="24"/>
              </w:rPr>
              <w:t>communities</w:t>
            </w:r>
            <w:r>
              <w:rPr>
                <w:spacing w:val="-7"/>
                <w:sz w:val="24"/>
              </w:rPr>
              <w:t> </w:t>
            </w:r>
            <w:r>
              <w:rPr>
                <w:sz w:val="24"/>
              </w:rPr>
              <w:t>and</w:t>
            </w:r>
            <w:r>
              <w:rPr>
                <w:spacing w:val="-6"/>
                <w:sz w:val="24"/>
              </w:rPr>
              <w:t> </w:t>
            </w:r>
            <w:r>
              <w:rPr>
                <w:sz w:val="24"/>
              </w:rPr>
              <w:t>patients</w:t>
            </w:r>
          </w:p>
        </w:tc>
      </w:tr>
    </w:tbl>
    <w:p>
      <w:pPr>
        <w:pStyle w:val="ListParagraph"/>
        <w:numPr>
          <w:ilvl w:val="1"/>
          <w:numId w:val="89"/>
        </w:numPr>
        <w:tabs>
          <w:tab w:pos="937" w:val="left" w:leader="none"/>
        </w:tabs>
        <w:spacing w:line="240" w:lineRule="auto" w:before="160" w:after="0"/>
        <w:ind w:left="937" w:right="542" w:hanging="795"/>
        <w:jc w:val="left"/>
        <w:rPr>
          <w:sz w:val="24"/>
        </w:rPr>
      </w:pPr>
      <w:r>
        <w:rPr>
          <w:sz w:val="24"/>
        </w:rPr>
        <w:t>Ensure</w:t>
      </w:r>
      <w:r>
        <w:rPr>
          <w:spacing w:val="-10"/>
          <w:sz w:val="24"/>
        </w:rPr>
        <w:t> </w:t>
      </w:r>
      <w:r>
        <w:rPr>
          <w:sz w:val="24"/>
        </w:rPr>
        <w:t>an</w:t>
      </w:r>
      <w:r>
        <w:rPr>
          <w:spacing w:val="-10"/>
          <w:sz w:val="24"/>
        </w:rPr>
        <w:t> </w:t>
      </w:r>
      <w:r>
        <w:rPr>
          <w:sz w:val="24"/>
        </w:rPr>
        <w:t>effective</w:t>
      </w:r>
      <w:r>
        <w:rPr>
          <w:spacing w:val="-15"/>
          <w:sz w:val="24"/>
        </w:rPr>
        <w:t> </w:t>
      </w:r>
      <w:r>
        <w:rPr>
          <w:sz w:val="24"/>
        </w:rPr>
        <w:t>governance</w:t>
      </w:r>
      <w:r>
        <w:rPr>
          <w:spacing w:val="-5"/>
          <w:sz w:val="24"/>
        </w:rPr>
        <w:t> </w:t>
      </w:r>
      <w:r>
        <w:rPr>
          <w:sz w:val="24"/>
        </w:rPr>
        <w:t>framework</w:t>
      </w:r>
      <w:r>
        <w:rPr>
          <w:spacing w:val="-9"/>
          <w:sz w:val="24"/>
        </w:rPr>
        <w:t> </w:t>
      </w:r>
      <w:r>
        <w:rPr>
          <w:sz w:val="24"/>
        </w:rPr>
        <w:t>is</w:t>
      </w:r>
      <w:r>
        <w:rPr>
          <w:spacing w:val="-16"/>
          <w:sz w:val="24"/>
        </w:rPr>
        <w:t> </w:t>
      </w:r>
      <w:r>
        <w:rPr>
          <w:sz w:val="24"/>
        </w:rPr>
        <w:t>in</w:t>
      </w:r>
      <w:r>
        <w:rPr>
          <w:spacing w:val="-15"/>
          <w:sz w:val="24"/>
        </w:rPr>
        <w:t> </w:t>
      </w:r>
      <w:r>
        <w:rPr>
          <w:sz w:val="24"/>
        </w:rPr>
        <w:t>place</w:t>
      </w:r>
      <w:r>
        <w:rPr>
          <w:spacing w:val="-10"/>
          <w:sz w:val="24"/>
        </w:rPr>
        <w:t> </w:t>
      </w:r>
      <w:r>
        <w:rPr>
          <w:sz w:val="24"/>
        </w:rPr>
        <w:t>to</w:t>
      </w:r>
      <w:r>
        <w:rPr>
          <w:spacing w:val="-10"/>
          <w:sz w:val="24"/>
        </w:rPr>
        <w:t> </w:t>
      </w:r>
      <w:r>
        <w:rPr>
          <w:sz w:val="24"/>
        </w:rPr>
        <w:t>govern</w:t>
      </w:r>
      <w:r>
        <w:rPr>
          <w:spacing w:val="-5"/>
          <w:sz w:val="24"/>
        </w:rPr>
        <w:t> </w:t>
      </w:r>
      <w:r>
        <w:rPr>
          <w:sz w:val="24"/>
        </w:rPr>
        <w:t>the</w:t>
      </w:r>
      <w:r>
        <w:rPr>
          <w:spacing w:val="-10"/>
          <w:sz w:val="24"/>
        </w:rPr>
        <w:t> </w:t>
      </w:r>
      <w:r>
        <w:rPr>
          <w:sz w:val="24"/>
        </w:rPr>
        <w:t>work</w:t>
      </w:r>
      <w:r>
        <w:rPr>
          <w:spacing w:val="-11"/>
          <w:sz w:val="24"/>
        </w:rPr>
        <w:t> </w:t>
      </w:r>
      <w:r>
        <w:rPr>
          <w:sz w:val="24"/>
        </w:rPr>
        <w:t>of</w:t>
      </w:r>
      <w:r>
        <w:rPr>
          <w:spacing w:val="-8"/>
          <w:sz w:val="24"/>
        </w:rPr>
        <w:t> </w:t>
      </w:r>
      <w:r>
        <w:rPr>
          <w:sz w:val="24"/>
        </w:rPr>
        <w:t>the</w:t>
      </w:r>
      <w:r>
        <w:rPr>
          <w:spacing w:val="-7"/>
          <w:sz w:val="24"/>
        </w:rPr>
        <w:t> </w:t>
      </w:r>
      <w:r>
        <w:rPr>
          <w:sz w:val="24"/>
        </w:rPr>
        <w:t>RHES, </w:t>
      </w:r>
      <w:r>
        <w:rPr>
          <w:spacing w:val="-2"/>
          <w:sz w:val="24"/>
        </w:rPr>
        <w:t>which</w:t>
      </w:r>
      <w:r>
        <w:rPr>
          <w:spacing w:val="-10"/>
          <w:sz w:val="24"/>
        </w:rPr>
        <w:t> </w:t>
      </w:r>
      <w:r>
        <w:rPr>
          <w:spacing w:val="-2"/>
          <w:sz w:val="24"/>
        </w:rPr>
        <w:t>facilitates</w:t>
      </w:r>
      <w:r>
        <w:rPr>
          <w:spacing w:val="-11"/>
          <w:sz w:val="24"/>
        </w:rPr>
        <w:t> </w:t>
      </w:r>
      <w:r>
        <w:rPr>
          <w:spacing w:val="-2"/>
          <w:sz w:val="24"/>
        </w:rPr>
        <w:t>the</w:t>
      </w:r>
      <w:r>
        <w:rPr>
          <w:spacing w:val="-15"/>
          <w:sz w:val="24"/>
        </w:rPr>
        <w:t> </w:t>
      </w:r>
      <w:r>
        <w:rPr>
          <w:spacing w:val="-2"/>
          <w:sz w:val="24"/>
        </w:rPr>
        <w:t>ambitions</w:t>
      </w:r>
      <w:r>
        <w:rPr>
          <w:spacing w:val="-11"/>
          <w:sz w:val="24"/>
        </w:rPr>
        <w:t> </w:t>
      </w:r>
      <w:r>
        <w:rPr>
          <w:spacing w:val="-2"/>
          <w:sz w:val="24"/>
        </w:rPr>
        <w:t>and</w:t>
      </w:r>
      <w:r>
        <w:rPr>
          <w:spacing w:val="-11"/>
          <w:sz w:val="24"/>
        </w:rPr>
        <w:t> </w:t>
      </w:r>
      <w:r>
        <w:rPr>
          <w:spacing w:val="-2"/>
          <w:sz w:val="24"/>
        </w:rPr>
        <w:t>design</w:t>
      </w:r>
      <w:r>
        <w:rPr>
          <w:spacing w:val="-11"/>
          <w:sz w:val="24"/>
        </w:rPr>
        <w:t> </w:t>
      </w:r>
      <w:r>
        <w:rPr>
          <w:spacing w:val="-2"/>
          <w:sz w:val="24"/>
        </w:rPr>
        <w:t>principles</w:t>
      </w:r>
      <w:r>
        <w:rPr>
          <w:spacing w:val="-12"/>
          <w:sz w:val="24"/>
        </w:rPr>
        <w:t> </w:t>
      </w:r>
      <w:r>
        <w:rPr>
          <w:spacing w:val="-2"/>
          <w:sz w:val="24"/>
        </w:rPr>
        <w:t>set</w:t>
      </w:r>
      <w:r>
        <w:rPr>
          <w:spacing w:val="-14"/>
          <w:sz w:val="24"/>
        </w:rPr>
        <w:t> </w:t>
      </w:r>
      <w:r>
        <w:rPr>
          <w:spacing w:val="-2"/>
          <w:sz w:val="24"/>
        </w:rPr>
        <w:t>out</w:t>
      </w:r>
      <w:r>
        <w:rPr>
          <w:spacing w:val="-14"/>
          <w:sz w:val="24"/>
        </w:rPr>
        <w:t> </w:t>
      </w:r>
      <w:r>
        <w:rPr>
          <w:spacing w:val="-2"/>
          <w:sz w:val="24"/>
        </w:rPr>
        <w:t>by</w:t>
      </w:r>
      <w:r>
        <w:rPr>
          <w:spacing w:val="-7"/>
          <w:sz w:val="24"/>
        </w:rPr>
        <w:t> </w:t>
      </w:r>
      <w:r>
        <w:rPr>
          <w:spacing w:val="-2"/>
          <w:sz w:val="24"/>
        </w:rPr>
        <w:t>the</w:t>
      </w:r>
      <w:r>
        <w:rPr>
          <w:spacing w:val="-11"/>
          <w:sz w:val="24"/>
        </w:rPr>
        <w:t> </w:t>
      </w:r>
      <w:r>
        <w:rPr>
          <w:spacing w:val="-2"/>
          <w:sz w:val="24"/>
        </w:rPr>
        <w:t>RJC</w:t>
      </w:r>
      <w:r>
        <w:rPr>
          <w:spacing w:val="-11"/>
          <w:sz w:val="24"/>
        </w:rPr>
        <w:t> </w:t>
      </w:r>
      <w:r>
        <w:rPr>
          <w:spacing w:val="-2"/>
          <w:sz w:val="24"/>
        </w:rPr>
        <w:t>and</w:t>
      </w:r>
      <w:r>
        <w:rPr>
          <w:spacing w:val="-11"/>
          <w:sz w:val="24"/>
        </w:rPr>
        <w:t> </w:t>
      </w:r>
      <w:r>
        <w:rPr>
          <w:spacing w:val="-2"/>
          <w:sz w:val="24"/>
        </w:rPr>
        <w:t>provides</w:t>
      </w:r>
      <w:r>
        <w:rPr>
          <w:spacing w:val="-12"/>
          <w:sz w:val="24"/>
        </w:rPr>
        <w:t> </w:t>
      </w:r>
      <w:r>
        <w:rPr>
          <w:spacing w:val="-2"/>
          <w:sz w:val="24"/>
        </w:rPr>
        <w:t>clear </w:t>
      </w:r>
      <w:r>
        <w:rPr>
          <w:sz w:val="24"/>
        </w:rPr>
        <w:t>routes</w:t>
      </w:r>
      <w:r>
        <w:rPr>
          <w:spacing w:val="-14"/>
          <w:sz w:val="24"/>
        </w:rPr>
        <w:t> </w:t>
      </w:r>
      <w:r>
        <w:rPr>
          <w:sz w:val="24"/>
        </w:rPr>
        <w:t>for</w:t>
      </w:r>
      <w:r>
        <w:rPr>
          <w:spacing w:val="-14"/>
          <w:sz w:val="24"/>
        </w:rPr>
        <w:t> </w:t>
      </w:r>
      <w:r>
        <w:rPr>
          <w:sz w:val="24"/>
        </w:rPr>
        <w:t>assurance,</w:t>
      </w:r>
      <w:r>
        <w:rPr>
          <w:spacing w:val="-16"/>
          <w:sz w:val="24"/>
        </w:rPr>
        <w:t> </w:t>
      </w:r>
      <w:r>
        <w:rPr>
          <w:sz w:val="24"/>
        </w:rPr>
        <w:t>escalation</w:t>
      </w:r>
      <w:r>
        <w:rPr>
          <w:spacing w:val="-13"/>
          <w:sz w:val="24"/>
        </w:rPr>
        <w:t> </w:t>
      </w:r>
      <w:r>
        <w:rPr>
          <w:sz w:val="24"/>
        </w:rPr>
        <w:t>and</w:t>
      </w:r>
      <w:r>
        <w:rPr>
          <w:spacing w:val="-13"/>
          <w:sz w:val="24"/>
        </w:rPr>
        <w:t> </w:t>
      </w:r>
      <w:r>
        <w:rPr>
          <w:sz w:val="24"/>
        </w:rPr>
        <w:t>decision-making</w:t>
      </w:r>
      <w:r>
        <w:rPr>
          <w:spacing w:val="-13"/>
          <w:sz w:val="24"/>
        </w:rPr>
        <w:t> </w:t>
      </w:r>
      <w:r>
        <w:rPr>
          <w:sz w:val="24"/>
        </w:rPr>
        <w:t>(see</w:t>
      </w:r>
      <w:r>
        <w:rPr>
          <w:spacing w:val="-8"/>
          <w:sz w:val="24"/>
        </w:rPr>
        <w:t> </w:t>
      </w:r>
      <w:r>
        <w:rPr>
          <w:sz w:val="24"/>
        </w:rPr>
        <w:t>Appendix</w:t>
      </w:r>
      <w:r>
        <w:rPr>
          <w:spacing w:val="-14"/>
          <w:sz w:val="24"/>
        </w:rPr>
        <w:t> </w:t>
      </w:r>
      <w:r>
        <w:rPr>
          <w:sz w:val="24"/>
        </w:rPr>
        <w:t>1</w:t>
      </w:r>
      <w:r>
        <w:rPr>
          <w:spacing w:val="-13"/>
          <w:sz w:val="24"/>
        </w:rPr>
        <w:t> </w:t>
      </w:r>
      <w:r>
        <w:rPr>
          <w:sz w:val="24"/>
        </w:rPr>
        <w:t>Regional </w:t>
      </w:r>
      <w:r>
        <w:rPr>
          <w:spacing w:val="-2"/>
          <w:sz w:val="24"/>
        </w:rPr>
        <w:t>Governance).</w:t>
      </w:r>
    </w:p>
    <w:p>
      <w:pPr>
        <w:pStyle w:val="ListParagraph"/>
        <w:numPr>
          <w:ilvl w:val="1"/>
          <w:numId w:val="89"/>
        </w:numPr>
        <w:tabs>
          <w:tab w:pos="937" w:val="left" w:leader="none"/>
        </w:tabs>
        <w:spacing w:line="240" w:lineRule="auto" w:before="161" w:after="0"/>
        <w:ind w:left="937" w:right="543" w:hanging="795"/>
        <w:jc w:val="left"/>
        <w:rPr>
          <w:sz w:val="24"/>
        </w:rPr>
      </w:pPr>
      <w:r>
        <w:rPr>
          <w:spacing w:val="-2"/>
          <w:sz w:val="24"/>
        </w:rPr>
        <w:t>Pro-actively</w:t>
      </w:r>
      <w:r>
        <w:rPr>
          <w:spacing w:val="-15"/>
          <w:sz w:val="24"/>
        </w:rPr>
        <w:t> </w:t>
      </w:r>
      <w:r>
        <w:rPr>
          <w:spacing w:val="-2"/>
          <w:sz w:val="24"/>
        </w:rPr>
        <w:t>manage</w:t>
      </w:r>
      <w:r>
        <w:rPr>
          <w:spacing w:val="-15"/>
          <w:sz w:val="24"/>
        </w:rPr>
        <w:t> </w:t>
      </w:r>
      <w:r>
        <w:rPr>
          <w:spacing w:val="-2"/>
          <w:sz w:val="24"/>
        </w:rPr>
        <w:t>the</w:t>
      </w:r>
      <w:r>
        <w:rPr>
          <w:spacing w:val="-14"/>
          <w:sz w:val="24"/>
        </w:rPr>
        <w:t> </w:t>
      </w:r>
      <w:r>
        <w:rPr>
          <w:spacing w:val="-2"/>
          <w:sz w:val="24"/>
        </w:rPr>
        <w:t>appropriate</w:t>
      </w:r>
      <w:r>
        <w:rPr>
          <w:spacing w:val="-15"/>
          <w:sz w:val="24"/>
        </w:rPr>
        <w:t> </w:t>
      </w:r>
      <w:r>
        <w:rPr>
          <w:spacing w:val="-2"/>
          <w:sz w:val="24"/>
        </w:rPr>
        <w:t>risks</w:t>
      </w:r>
      <w:r>
        <w:rPr>
          <w:spacing w:val="-15"/>
          <w:sz w:val="24"/>
        </w:rPr>
        <w:t> </w:t>
      </w:r>
      <w:r>
        <w:rPr>
          <w:spacing w:val="-2"/>
          <w:sz w:val="24"/>
        </w:rPr>
        <w:t>identified</w:t>
      </w:r>
      <w:r>
        <w:rPr>
          <w:spacing w:val="-15"/>
          <w:sz w:val="24"/>
        </w:rPr>
        <w:t> </w:t>
      </w:r>
      <w:r>
        <w:rPr>
          <w:spacing w:val="-2"/>
          <w:sz w:val="24"/>
        </w:rPr>
        <w:t>within</w:t>
      </w:r>
      <w:r>
        <w:rPr>
          <w:spacing w:val="-14"/>
          <w:sz w:val="24"/>
        </w:rPr>
        <w:t> </w:t>
      </w:r>
      <w:r>
        <w:rPr>
          <w:spacing w:val="-2"/>
          <w:sz w:val="24"/>
        </w:rPr>
        <w:t>the</w:t>
      </w:r>
      <w:r>
        <w:rPr>
          <w:spacing w:val="-15"/>
          <w:sz w:val="24"/>
        </w:rPr>
        <w:t> </w:t>
      </w:r>
      <w:r>
        <w:rPr>
          <w:spacing w:val="-2"/>
          <w:sz w:val="24"/>
        </w:rPr>
        <w:t>RHES</w:t>
      </w:r>
      <w:r>
        <w:rPr>
          <w:spacing w:val="-15"/>
          <w:sz w:val="24"/>
        </w:rPr>
        <w:t> </w:t>
      </w:r>
      <w:r>
        <w:rPr>
          <w:spacing w:val="-2"/>
          <w:sz w:val="24"/>
        </w:rPr>
        <w:t>portfolio/programme, </w:t>
      </w:r>
      <w:r>
        <w:rPr>
          <w:sz w:val="24"/>
        </w:rPr>
        <w:t>escalating</w:t>
      </w:r>
      <w:r>
        <w:rPr>
          <w:spacing w:val="-13"/>
          <w:sz w:val="24"/>
        </w:rPr>
        <w:t> </w:t>
      </w:r>
      <w:r>
        <w:rPr>
          <w:sz w:val="24"/>
        </w:rPr>
        <w:t>strategic</w:t>
      </w:r>
      <w:r>
        <w:rPr>
          <w:spacing w:val="-14"/>
          <w:sz w:val="24"/>
        </w:rPr>
        <w:t> </w:t>
      </w:r>
      <w:r>
        <w:rPr>
          <w:sz w:val="24"/>
        </w:rPr>
        <w:t>risks</w:t>
      </w:r>
      <w:r>
        <w:rPr>
          <w:spacing w:val="-14"/>
          <w:sz w:val="24"/>
        </w:rPr>
        <w:t> </w:t>
      </w:r>
      <w:r>
        <w:rPr>
          <w:sz w:val="24"/>
        </w:rPr>
        <w:t>and</w:t>
      </w:r>
      <w:r>
        <w:rPr>
          <w:spacing w:val="-13"/>
          <w:sz w:val="24"/>
        </w:rPr>
        <w:t> </w:t>
      </w:r>
      <w:r>
        <w:rPr>
          <w:sz w:val="24"/>
        </w:rPr>
        <w:t>interdependencies</w:t>
      </w:r>
      <w:r>
        <w:rPr>
          <w:spacing w:val="-10"/>
          <w:sz w:val="24"/>
        </w:rPr>
        <w:t> </w:t>
      </w:r>
      <w:r>
        <w:rPr>
          <w:sz w:val="24"/>
        </w:rPr>
        <w:t>to</w:t>
      </w:r>
      <w:r>
        <w:rPr>
          <w:spacing w:val="-13"/>
          <w:sz w:val="24"/>
        </w:rPr>
        <w:t> </w:t>
      </w:r>
      <w:r>
        <w:rPr>
          <w:sz w:val="24"/>
        </w:rPr>
        <w:t>the</w:t>
      </w:r>
      <w:r>
        <w:rPr>
          <w:spacing w:val="-14"/>
          <w:sz w:val="24"/>
        </w:rPr>
        <w:t> </w:t>
      </w:r>
      <w:r>
        <w:rPr>
          <w:sz w:val="24"/>
        </w:rPr>
        <w:t>RJC</w:t>
      </w:r>
      <w:r>
        <w:rPr>
          <w:spacing w:val="-13"/>
          <w:sz w:val="24"/>
        </w:rPr>
        <w:t> </w:t>
      </w:r>
      <w:r>
        <w:rPr>
          <w:sz w:val="24"/>
        </w:rPr>
        <w:t>as</w:t>
      </w:r>
      <w:r>
        <w:rPr>
          <w:spacing w:val="-14"/>
          <w:sz w:val="24"/>
        </w:rPr>
        <w:t> </w:t>
      </w:r>
      <w:r>
        <w:rPr>
          <w:sz w:val="24"/>
        </w:rPr>
        <w:t>required</w:t>
      </w:r>
      <w:r>
        <w:rPr>
          <w:spacing w:val="-13"/>
          <w:sz w:val="24"/>
        </w:rPr>
        <w:t> </w:t>
      </w:r>
      <w:r>
        <w:rPr>
          <w:sz w:val="24"/>
        </w:rPr>
        <w:t>and</w:t>
      </w:r>
      <w:r>
        <w:rPr>
          <w:spacing w:val="-14"/>
          <w:sz w:val="24"/>
        </w:rPr>
        <w:t> </w:t>
      </w:r>
      <w:r>
        <w:rPr>
          <w:sz w:val="24"/>
        </w:rPr>
        <w:t>remaining accountable</w:t>
      </w:r>
      <w:r>
        <w:rPr>
          <w:spacing w:val="-2"/>
          <w:sz w:val="24"/>
        </w:rPr>
        <w:t> </w:t>
      </w:r>
      <w:r>
        <w:rPr>
          <w:sz w:val="24"/>
        </w:rPr>
        <w:t>to</w:t>
      </w:r>
      <w:r>
        <w:rPr>
          <w:spacing w:val="-7"/>
          <w:sz w:val="24"/>
        </w:rPr>
        <w:t> </w:t>
      </w:r>
      <w:r>
        <w:rPr>
          <w:sz w:val="24"/>
        </w:rPr>
        <w:t>the</w:t>
      </w:r>
      <w:r>
        <w:rPr>
          <w:spacing w:val="-7"/>
          <w:sz w:val="24"/>
        </w:rPr>
        <w:t> </w:t>
      </w:r>
      <w:r>
        <w:rPr>
          <w:sz w:val="24"/>
        </w:rPr>
        <w:t>respective</w:t>
      </w:r>
      <w:r>
        <w:rPr>
          <w:spacing w:val="-7"/>
          <w:sz w:val="24"/>
        </w:rPr>
        <w:t> </w:t>
      </w:r>
      <w:r>
        <w:rPr>
          <w:sz w:val="24"/>
        </w:rPr>
        <w:t>University</w:t>
      </w:r>
      <w:r>
        <w:rPr>
          <w:spacing w:val="-8"/>
          <w:sz w:val="24"/>
        </w:rPr>
        <w:t> </w:t>
      </w:r>
      <w:r>
        <w:rPr>
          <w:sz w:val="24"/>
        </w:rPr>
        <w:t>Health</w:t>
      </w:r>
      <w:r>
        <w:rPr>
          <w:spacing w:val="-7"/>
          <w:sz w:val="24"/>
        </w:rPr>
        <w:t> </w:t>
      </w:r>
      <w:r>
        <w:rPr>
          <w:sz w:val="24"/>
        </w:rPr>
        <w:t>Boards.</w:t>
      </w:r>
    </w:p>
    <w:p>
      <w:pPr>
        <w:pStyle w:val="ListParagraph"/>
        <w:numPr>
          <w:ilvl w:val="1"/>
          <w:numId w:val="89"/>
        </w:numPr>
        <w:tabs>
          <w:tab w:pos="937" w:val="left" w:leader="none"/>
        </w:tabs>
        <w:spacing w:line="242" w:lineRule="auto" w:before="158" w:after="0"/>
        <w:ind w:left="937" w:right="481" w:hanging="795"/>
        <w:jc w:val="left"/>
        <w:rPr>
          <w:sz w:val="24"/>
        </w:rPr>
      </w:pPr>
      <w:r>
        <w:rPr>
          <w:sz w:val="24"/>
        </w:rPr>
        <w:t>Develop</w:t>
      </w:r>
      <w:r>
        <w:rPr>
          <w:spacing w:val="-17"/>
          <w:sz w:val="24"/>
        </w:rPr>
        <w:t> </w:t>
      </w:r>
      <w:r>
        <w:rPr>
          <w:sz w:val="24"/>
        </w:rPr>
        <w:t>and</w:t>
      </w:r>
      <w:r>
        <w:rPr>
          <w:spacing w:val="-14"/>
          <w:sz w:val="24"/>
        </w:rPr>
        <w:t> </w:t>
      </w:r>
      <w:r>
        <w:rPr>
          <w:sz w:val="24"/>
        </w:rPr>
        <w:t>maintain</w:t>
      </w:r>
      <w:r>
        <w:rPr>
          <w:spacing w:val="-14"/>
          <w:sz w:val="24"/>
        </w:rPr>
        <w:t> </w:t>
      </w:r>
      <w:r>
        <w:rPr>
          <w:sz w:val="24"/>
        </w:rPr>
        <w:t>a</w:t>
      </w:r>
      <w:r>
        <w:rPr>
          <w:spacing w:val="-14"/>
          <w:sz w:val="24"/>
        </w:rPr>
        <w:t> </w:t>
      </w:r>
      <w:r>
        <w:rPr>
          <w:sz w:val="24"/>
        </w:rPr>
        <w:t>work</w:t>
      </w:r>
      <w:r>
        <w:rPr>
          <w:spacing w:val="-15"/>
          <w:sz w:val="24"/>
        </w:rPr>
        <w:t> </w:t>
      </w:r>
      <w:r>
        <w:rPr>
          <w:sz w:val="24"/>
        </w:rPr>
        <w:t>programme</w:t>
      </w:r>
      <w:r>
        <w:rPr>
          <w:spacing w:val="-14"/>
          <w:sz w:val="24"/>
        </w:rPr>
        <w:t> </w:t>
      </w:r>
      <w:r>
        <w:rPr>
          <w:sz w:val="24"/>
        </w:rPr>
        <w:t>that</w:t>
      </w:r>
      <w:r>
        <w:rPr>
          <w:spacing w:val="-16"/>
          <w:sz w:val="24"/>
        </w:rPr>
        <w:t> </w:t>
      </w:r>
      <w:r>
        <w:rPr>
          <w:sz w:val="24"/>
        </w:rPr>
        <w:t>underpins</w:t>
      </w:r>
      <w:r>
        <w:rPr>
          <w:spacing w:val="-10"/>
          <w:sz w:val="24"/>
        </w:rPr>
        <w:t> </w:t>
      </w:r>
      <w:r>
        <w:rPr>
          <w:sz w:val="24"/>
        </w:rPr>
        <w:t>the</w:t>
      </w:r>
      <w:r>
        <w:rPr>
          <w:spacing w:val="-14"/>
          <w:sz w:val="24"/>
        </w:rPr>
        <w:t> </w:t>
      </w:r>
      <w:r>
        <w:rPr>
          <w:sz w:val="24"/>
        </w:rPr>
        <w:t>work</w:t>
      </w:r>
      <w:r>
        <w:rPr>
          <w:spacing w:val="-17"/>
          <w:sz w:val="24"/>
        </w:rPr>
        <w:t> </w:t>
      </w:r>
      <w:r>
        <w:rPr>
          <w:sz w:val="24"/>
        </w:rPr>
        <w:t>of</w:t>
      </w:r>
      <w:r>
        <w:rPr>
          <w:spacing w:val="-12"/>
          <w:sz w:val="24"/>
        </w:rPr>
        <w:t> </w:t>
      </w:r>
      <w:r>
        <w:rPr>
          <w:sz w:val="24"/>
        </w:rPr>
        <w:t>the</w:t>
      </w:r>
      <w:r>
        <w:rPr>
          <w:spacing w:val="-9"/>
          <w:sz w:val="24"/>
        </w:rPr>
        <w:t> </w:t>
      </w:r>
      <w:r>
        <w:rPr>
          <w:sz w:val="24"/>
        </w:rPr>
        <w:t>RHES</w:t>
      </w:r>
      <w:r>
        <w:rPr>
          <w:spacing w:val="-17"/>
          <w:sz w:val="24"/>
        </w:rPr>
        <w:t> </w:t>
      </w:r>
      <w:r>
        <w:rPr>
          <w:sz w:val="24"/>
        </w:rPr>
        <w:t>and</w:t>
      </w:r>
      <w:r>
        <w:rPr>
          <w:spacing w:val="-17"/>
          <w:sz w:val="24"/>
        </w:rPr>
        <w:t> </w:t>
      </w:r>
      <w:r>
        <w:rPr>
          <w:sz w:val="24"/>
        </w:rPr>
        <w:t>aligns </w:t>
      </w:r>
      <w:r>
        <w:rPr>
          <w:spacing w:val="-2"/>
          <w:sz w:val="24"/>
        </w:rPr>
        <w:t>with</w:t>
      </w:r>
      <w:r>
        <w:rPr>
          <w:spacing w:val="-11"/>
          <w:sz w:val="24"/>
        </w:rPr>
        <w:t> </w:t>
      </w:r>
      <w:r>
        <w:rPr>
          <w:spacing w:val="-2"/>
          <w:sz w:val="24"/>
        </w:rPr>
        <w:t>the</w:t>
      </w:r>
      <w:r>
        <w:rPr>
          <w:spacing w:val="-15"/>
          <w:sz w:val="24"/>
        </w:rPr>
        <w:t> </w:t>
      </w:r>
      <w:r>
        <w:rPr>
          <w:spacing w:val="-2"/>
          <w:sz w:val="24"/>
        </w:rPr>
        <w:t>RJC</w:t>
      </w:r>
      <w:r>
        <w:rPr>
          <w:spacing w:val="-10"/>
          <w:sz w:val="24"/>
        </w:rPr>
        <w:t> </w:t>
      </w:r>
      <w:r>
        <w:rPr>
          <w:spacing w:val="-2"/>
          <w:sz w:val="24"/>
        </w:rPr>
        <w:t>programme</w:t>
      </w:r>
      <w:r>
        <w:rPr>
          <w:spacing w:val="-15"/>
          <w:sz w:val="24"/>
        </w:rPr>
        <w:t> </w:t>
      </w:r>
      <w:r>
        <w:rPr>
          <w:spacing w:val="-2"/>
          <w:sz w:val="24"/>
        </w:rPr>
        <w:t>of</w:t>
      </w:r>
      <w:r>
        <w:rPr>
          <w:spacing w:val="-13"/>
          <w:sz w:val="24"/>
        </w:rPr>
        <w:t> </w:t>
      </w:r>
      <w:r>
        <w:rPr>
          <w:spacing w:val="-2"/>
          <w:sz w:val="24"/>
        </w:rPr>
        <w:t>work,</w:t>
      </w:r>
      <w:r>
        <w:rPr>
          <w:spacing w:val="-13"/>
          <w:sz w:val="24"/>
        </w:rPr>
        <w:t> </w:t>
      </w:r>
      <w:r>
        <w:rPr>
          <w:spacing w:val="-2"/>
          <w:sz w:val="24"/>
        </w:rPr>
        <w:t>the</w:t>
      </w:r>
      <w:r>
        <w:rPr>
          <w:spacing w:val="-11"/>
          <w:sz w:val="24"/>
        </w:rPr>
        <w:t> </w:t>
      </w:r>
      <w:r>
        <w:rPr>
          <w:spacing w:val="-2"/>
          <w:sz w:val="24"/>
        </w:rPr>
        <w:t>Health</w:t>
      </w:r>
      <w:r>
        <w:rPr>
          <w:spacing w:val="-11"/>
          <w:sz w:val="24"/>
        </w:rPr>
        <w:t> </w:t>
      </w:r>
      <w:r>
        <w:rPr>
          <w:spacing w:val="-2"/>
          <w:sz w:val="24"/>
        </w:rPr>
        <w:t>Boards’</w:t>
      </w:r>
      <w:r>
        <w:rPr>
          <w:spacing w:val="-11"/>
          <w:sz w:val="24"/>
        </w:rPr>
        <w:t> </w:t>
      </w:r>
      <w:r>
        <w:rPr>
          <w:spacing w:val="-2"/>
          <w:sz w:val="24"/>
        </w:rPr>
        <w:t>Annual</w:t>
      </w:r>
      <w:r>
        <w:rPr>
          <w:spacing w:val="-11"/>
          <w:sz w:val="24"/>
        </w:rPr>
        <w:t> </w:t>
      </w:r>
      <w:r>
        <w:rPr>
          <w:spacing w:val="-2"/>
          <w:sz w:val="24"/>
        </w:rPr>
        <w:t>Plans</w:t>
      </w:r>
      <w:r>
        <w:rPr>
          <w:spacing w:val="-11"/>
          <w:sz w:val="24"/>
        </w:rPr>
        <w:t> </w:t>
      </w:r>
      <w:r>
        <w:rPr>
          <w:spacing w:val="-2"/>
          <w:sz w:val="24"/>
        </w:rPr>
        <w:t>and</w:t>
      </w:r>
      <w:r>
        <w:rPr>
          <w:spacing w:val="-11"/>
          <w:sz w:val="24"/>
        </w:rPr>
        <w:t> </w:t>
      </w:r>
      <w:r>
        <w:rPr>
          <w:spacing w:val="-2"/>
          <w:sz w:val="24"/>
        </w:rPr>
        <w:t>relevant</w:t>
      </w:r>
      <w:r>
        <w:rPr>
          <w:spacing w:val="-13"/>
          <w:sz w:val="24"/>
        </w:rPr>
        <w:t> </w:t>
      </w:r>
      <w:r>
        <w:rPr>
          <w:spacing w:val="-2"/>
          <w:sz w:val="24"/>
        </w:rPr>
        <w:t>Ministerial Priorities.</w:t>
      </w:r>
    </w:p>
    <w:p>
      <w:pPr>
        <w:pStyle w:val="ListParagraph"/>
        <w:numPr>
          <w:ilvl w:val="1"/>
          <w:numId w:val="89"/>
        </w:numPr>
        <w:tabs>
          <w:tab w:pos="937" w:val="left" w:leader="none"/>
        </w:tabs>
        <w:spacing w:line="240" w:lineRule="auto" w:before="154" w:after="0"/>
        <w:ind w:left="937" w:right="609" w:hanging="795"/>
        <w:jc w:val="left"/>
        <w:rPr>
          <w:sz w:val="24"/>
        </w:rPr>
      </w:pPr>
      <w:r>
        <w:rPr>
          <w:spacing w:val="-2"/>
          <w:sz w:val="24"/>
        </w:rPr>
        <w:t>Ensure</w:t>
      </w:r>
      <w:r>
        <w:rPr>
          <w:spacing w:val="-11"/>
          <w:sz w:val="24"/>
        </w:rPr>
        <w:t> </w:t>
      </w:r>
      <w:r>
        <w:rPr>
          <w:spacing w:val="-2"/>
          <w:sz w:val="24"/>
        </w:rPr>
        <w:t>that</w:t>
      </w:r>
      <w:r>
        <w:rPr>
          <w:spacing w:val="-15"/>
          <w:sz w:val="24"/>
        </w:rPr>
        <w:t> </w:t>
      </w:r>
      <w:r>
        <w:rPr>
          <w:spacing w:val="-2"/>
          <w:sz w:val="24"/>
        </w:rPr>
        <w:t>the</w:t>
      </w:r>
      <w:r>
        <w:rPr>
          <w:spacing w:val="-15"/>
          <w:sz w:val="24"/>
        </w:rPr>
        <w:t> </w:t>
      </w:r>
      <w:r>
        <w:rPr>
          <w:spacing w:val="-2"/>
          <w:sz w:val="24"/>
        </w:rPr>
        <w:t>RHES</w:t>
      </w:r>
      <w:r>
        <w:rPr>
          <w:spacing w:val="-13"/>
          <w:sz w:val="24"/>
        </w:rPr>
        <w:t> </w:t>
      </w:r>
      <w:r>
        <w:rPr>
          <w:spacing w:val="-2"/>
          <w:sz w:val="24"/>
        </w:rPr>
        <w:t>work</w:t>
      </w:r>
      <w:r>
        <w:rPr>
          <w:spacing w:val="-13"/>
          <w:sz w:val="24"/>
        </w:rPr>
        <w:t> </w:t>
      </w:r>
      <w:r>
        <w:rPr>
          <w:spacing w:val="-2"/>
          <w:sz w:val="24"/>
        </w:rPr>
        <w:t>programme</w:t>
      </w:r>
      <w:r>
        <w:rPr>
          <w:spacing w:val="-15"/>
          <w:sz w:val="24"/>
        </w:rPr>
        <w:t> </w:t>
      </w:r>
      <w:r>
        <w:rPr>
          <w:spacing w:val="-2"/>
          <w:sz w:val="24"/>
        </w:rPr>
        <w:t>is</w:t>
      </w:r>
      <w:r>
        <w:rPr>
          <w:spacing w:val="-13"/>
          <w:sz w:val="24"/>
        </w:rPr>
        <w:t> </w:t>
      </w:r>
      <w:r>
        <w:rPr>
          <w:spacing w:val="-2"/>
          <w:sz w:val="24"/>
        </w:rPr>
        <w:t>ambitious,</w:t>
      </w:r>
      <w:r>
        <w:rPr>
          <w:spacing w:val="-15"/>
          <w:sz w:val="24"/>
        </w:rPr>
        <w:t> </w:t>
      </w:r>
      <w:r>
        <w:rPr>
          <w:spacing w:val="-2"/>
          <w:sz w:val="24"/>
        </w:rPr>
        <w:t>proportionate</w:t>
      </w:r>
      <w:r>
        <w:rPr>
          <w:spacing w:val="-12"/>
          <w:sz w:val="24"/>
        </w:rPr>
        <w:t> </w:t>
      </w:r>
      <w:r>
        <w:rPr>
          <w:spacing w:val="-2"/>
          <w:sz w:val="24"/>
        </w:rPr>
        <w:t>and</w:t>
      </w:r>
      <w:r>
        <w:rPr>
          <w:spacing w:val="-12"/>
          <w:sz w:val="24"/>
        </w:rPr>
        <w:t> </w:t>
      </w:r>
      <w:r>
        <w:rPr>
          <w:spacing w:val="-2"/>
          <w:sz w:val="24"/>
        </w:rPr>
        <w:t>deliverable</w:t>
      </w:r>
      <w:r>
        <w:rPr>
          <w:spacing w:val="-12"/>
          <w:sz w:val="24"/>
        </w:rPr>
        <w:t> </w:t>
      </w:r>
      <w:r>
        <w:rPr>
          <w:spacing w:val="-2"/>
          <w:sz w:val="24"/>
        </w:rPr>
        <w:t>within </w:t>
      </w:r>
      <w:r>
        <w:rPr>
          <w:sz w:val="24"/>
        </w:rPr>
        <w:t>the</w:t>
      </w:r>
      <w:r>
        <w:rPr>
          <w:spacing w:val="-14"/>
          <w:sz w:val="24"/>
        </w:rPr>
        <w:t> </w:t>
      </w:r>
      <w:r>
        <w:rPr>
          <w:sz w:val="24"/>
        </w:rPr>
        <w:t>collective</w:t>
      </w:r>
      <w:r>
        <w:rPr>
          <w:spacing w:val="-14"/>
          <w:sz w:val="24"/>
        </w:rPr>
        <w:t> </w:t>
      </w:r>
      <w:r>
        <w:rPr>
          <w:sz w:val="24"/>
        </w:rPr>
        <w:t>capacity</w:t>
      </w:r>
      <w:r>
        <w:rPr>
          <w:spacing w:val="-15"/>
          <w:sz w:val="24"/>
        </w:rPr>
        <w:t> </w:t>
      </w:r>
      <w:r>
        <w:rPr>
          <w:sz w:val="24"/>
        </w:rPr>
        <w:t>and</w:t>
      </w:r>
      <w:r>
        <w:rPr>
          <w:spacing w:val="-14"/>
          <w:sz w:val="24"/>
        </w:rPr>
        <w:t> </w:t>
      </w:r>
      <w:r>
        <w:rPr>
          <w:sz w:val="24"/>
        </w:rPr>
        <w:t>resources</w:t>
      </w:r>
      <w:r>
        <w:rPr>
          <w:spacing w:val="-15"/>
          <w:sz w:val="24"/>
        </w:rPr>
        <w:t> </w:t>
      </w:r>
      <w:r>
        <w:rPr>
          <w:sz w:val="24"/>
        </w:rPr>
        <w:t>available</w:t>
      </w:r>
      <w:r>
        <w:rPr>
          <w:spacing w:val="-14"/>
          <w:sz w:val="24"/>
        </w:rPr>
        <w:t> </w:t>
      </w:r>
      <w:r>
        <w:rPr>
          <w:sz w:val="24"/>
        </w:rPr>
        <w:t>across</w:t>
      </w:r>
      <w:r>
        <w:rPr>
          <w:spacing w:val="-15"/>
          <w:sz w:val="24"/>
        </w:rPr>
        <w:t> </w:t>
      </w:r>
      <w:r>
        <w:rPr>
          <w:sz w:val="24"/>
        </w:rPr>
        <w:t>partner</w:t>
      </w:r>
      <w:r>
        <w:rPr>
          <w:spacing w:val="-15"/>
          <w:sz w:val="24"/>
        </w:rPr>
        <w:t> </w:t>
      </w:r>
      <w:r>
        <w:rPr>
          <w:sz w:val="24"/>
        </w:rPr>
        <w:t>organisations.</w:t>
      </w:r>
    </w:p>
    <w:p>
      <w:pPr>
        <w:pStyle w:val="BodyText"/>
        <w:spacing w:before="10"/>
        <w:rPr>
          <w:sz w:val="16"/>
        </w:rPr>
      </w:pPr>
      <w:r>
        <w:rPr>
          <w:sz w:val="16"/>
        </w:rPr>
        <mc:AlternateContent>
          <mc:Choice Requires="wps">
            <w:drawing>
              <wp:anchor distT="0" distB="0" distL="0" distR="0" allowOverlap="1" layoutInCell="1" locked="0" behindDoc="1" simplePos="0" relativeHeight="487703040">
                <wp:simplePos x="0" y="0"/>
                <wp:positionH relativeFrom="page">
                  <wp:posOffset>574992</wp:posOffset>
                </wp:positionH>
                <wp:positionV relativeFrom="paragraph">
                  <wp:posOffset>145035</wp:posOffset>
                </wp:positionV>
                <wp:extent cx="6642100" cy="190500"/>
                <wp:effectExtent l="0" t="0" r="0" b="0"/>
                <wp:wrapTopAndBottom/>
                <wp:docPr id="573" name="Textbox 573"/>
                <wp:cNvGraphicFramePr>
                  <a:graphicFrameLocks/>
                </wp:cNvGraphicFramePr>
                <a:graphic>
                  <a:graphicData uri="http://schemas.microsoft.com/office/word/2010/wordprocessingShape">
                    <wps:wsp>
                      <wps:cNvPr id="573" name="Textbox 573"/>
                      <wps:cNvSpPr txBox="1"/>
                      <wps:spPr>
                        <a:xfrm>
                          <a:off x="0" y="0"/>
                          <a:ext cx="6642100" cy="190500"/>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6.</w:t>
                            </w:r>
                            <w:r>
                              <w:rPr>
                                <w:b/>
                                <w:color w:val="000000"/>
                                <w:sz w:val="24"/>
                              </w:rPr>
                              <w:tab/>
                            </w:r>
                            <w:r>
                              <w:rPr>
                                <w:b/>
                                <w:color w:val="000000"/>
                                <w:spacing w:val="-2"/>
                                <w:sz w:val="24"/>
                              </w:rPr>
                              <w:t>Membership</w:t>
                            </w:r>
                          </w:p>
                        </w:txbxContent>
                      </wps:txbx>
                      <wps:bodyPr wrap="square" lIns="0" tIns="0" rIns="0" bIns="0" rtlCol="0">
                        <a:noAutofit/>
                      </wps:bodyPr>
                    </wps:wsp>
                  </a:graphicData>
                </a:graphic>
              </wp:anchor>
            </w:drawing>
          </mc:Choice>
          <mc:Fallback>
            <w:pict>
              <v:shape style="position:absolute;margin-left:45.275002pt;margin-top:11.420097pt;width:523pt;height:15pt;mso-position-horizontal-relative:page;mso-position-vertical-relative:paragraph;z-index:-15613440;mso-wrap-distance-left:0;mso-wrap-distance-right:0" type="#_x0000_t202" id="docshape349"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6.</w:t>
                      </w:r>
                      <w:r>
                        <w:rPr>
                          <w:b/>
                          <w:color w:val="000000"/>
                          <w:sz w:val="24"/>
                        </w:rPr>
                        <w:tab/>
                      </w:r>
                      <w:r>
                        <w:rPr>
                          <w:b/>
                          <w:color w:val="000000"/>
                          <w:spacing w:val="-2"/>
                          <w:sz w:val="24"/>
                        </w:rPr>
                        <w:t>Membership</w:t>
                      </w:r>
                    </w:p>
                  </w:txbxContent>
                </v:textbox>
                <v:fill type="solid"/>
                <v:stroke dashstyle="solid"/>
                <w10:wrap type="topAndBottom"/>
              </v:shape>
            </w:pict>
          </mc:Fallback>
        </mc:AlternateContent>
      </w:r>
    </w:p>
    <w:p>
      <w:pPr>
        <w:pStyle w:val="ListParagraph"/>
        <w:numPr>
          <w:ilvl w:val="1"/>
          <w:numId w:val="90"/>
        </w:numPr>
        <w:tabs>
          <w:tab w:pos="937" w:val="left" w:leader="none"/>
        </w:tabs>
        <w:spacing w:line="240" w:lineRule="auto" w:before="170" w:after="0"/>
        <w:ind w:left="937" w:right="0" w:hanging="795"/>
        <w:jc w:val="left"/>
        <w:rPr>
          <w:sz w:val="24"/>
        </w:rPr>
      </w:pPr>
      <w:r>
        <w:rPr>
          <w:spacing w:val="-2"/>
          <w:sz w:val="24"/>
        </w:rPr>
        <w:t>To</w:t>
      </w:r>
      <w:r>
        <w:rPr>
          <w:spacing w:val="-11"/>
          <w:sz w:val="24"/>
        </w:rPr>
        <w:t> </w:t>
      </w:r>
      <w:r>
        <w:rPr>
          <w:spacing w:val="-2"/>
          <w:sz w:val="24"/>
        </w:rPr>
        <w:t>ensure</w:t>
      </w:r>
      <w:r>
        <w:rPr>
          <w:spacing w:val="-11"/>
          <w:sz w:val="24"/>
        </w:rPr>
        <w:t> </w:t>
      </w:r>
      <w:r>
        <w:rPr>
          <w:spacing w:val="-2"/>
          <w:sz w:val="24"/>
        </w:rPr>
        <w:t>the</w:t>
      </w:r>
      <w:r>
        <w:rPr>
          <w:spacing w:val="-9"/>
          <w:sz w:val="24"/>
        </w:rPr>
        <w:t> </w:t>
      </w:r>
      <w:r>
        <w:rPr>
          <w:spacing w:val="-2"/>
          <w:sz w:val="24"/>
        </w:rPr>
        <w:t>RHES</w:t>
      </w:r>
      <w:r>
        <w:rPr>
          <w:spacing w:val="-11"/>
          <w:sz w:val="24"/>
        </w:rPr>
        <w:t> </w:t>
      </w:r>
      <w:r>
        <w:rPr>
          <w:spacing w:val="-2"/>
          <w:sz w:val="24"/>
        </w:rPr>
        <w:t>undertakes</w:t>
      </w:r>
      <w:r>
        <w:rPr>
          <w:spacing w:val="-11"/>
          <w:sz w:val="24"/>
        </w:rPr>
        <w:t> </w:t>
      </w:r>
      <w:r>
        <w:rPr>
          <w:spacing w:val="-2"/>
          <w:sz w:val="24"/>
        </w:rPr>
        <w:t>its</w:t>
      </w:r>
      <w:r>
        <w:rPr>
          <w:spacing w:val="-12"/>
          <w:sz w:val="24"/>
        </w:rPr>
        <w:t> </w:t>
      </w:r>
      <w:r>
        <w:rPr>
          <w:spacing w:val="-2"/>
          <w:sz w:val="24"/>
        </w:rPr>
        <w:t>role</w:t>
      </w:r>
      <w:r>
        <w:rPr>
          <w:spacing w:val="-15"/>
          <w:sz w:val="24"/>
        </w:rPr>
        <w:t> </w:t>
      </w:r>
      <w:r>
        <w:rPr>
          <w:spacing w:val="-2"/>
          <w:sz w:val="24"/>
        </w:rPr>
        <w:t>effectively,</w:t>
      </w:r>
      <w:r>
        <w:rPr>
          <w:spacing w:val="-13"/>
          <w:sz w:val="24"/>
        </w:rPr>
        <w:t> </w:t>
      </w:r>
      <w:r>
        <w:rPr>
          <w:spacing w:val="-2"/>
          <w:sz w:val="24"/>
        </w:rPr>
        <w:t>its</w:t>
      </w:r>
      <w:r>
        <w:rPr>
          <w:spacing w:val="-11"/>
          <w:sz w:val="24"/>
        </w:rPr>
        <w:t> </w:t>
      </w:r>
      <w:r>
        <w:rPr>
          <w:spacing w:val="-2"/>
          <w:sz w:val="24"/>
        </w:rPr>
        <w:t>members</w:t>
      </w:r>
      <w:r>
        <w:rPr>
          <w:spacing w:val="-13"/>
          <w:sz w:val="24"/>
        </w:rPr>
        <w:t> </w:t>
      </w:r>
      <w:r>
        <w:rPr>
          <w:spacing w:val="-2"/>
          <w:sz w:val="24"/>
        </w:rPr>
        <w:t>will:</w:t>
      </w:r>
    </w:p>
    <w:p>
      <w:pPr>
        <w:pStyle w:val="ListParagraph"/>
        <w:numPr>
          <w:ilvl w:val="2"/>
          <w:numId w:val="90"/>
        </w:numPr>
        <w:tabs>
          <w:tab w:pos="1277" w:val="left" w:leader="none"/>
        </w:tabs>
        <w:spacing w:line="240" w:lineRule="auto" w:before="164" w:after="0"/>
        <w:ind w:left="1277" w:right="0" w:hanging="360"/>
        <w:jc w:val="left"/>
        <w:rPr>
          <w:sz w:val="24"/>
        </w:rPr>
      </w:pPr>
      <w:r>
        <w:rPr>
          <w:spacing w:val="-4"/>
          <w:sz w:val="24"/>
        </w:rPr>
        <w:t>Attend</w:t>
      </w:r>
      <w:r>
        <w:rPr>
          <w:spacing w:val="-5"/>
          <w:sz w:val="24"/>
        </w:rPr>
        <w:t> </w:t>
      </w:r>
      <w:r>
        <w:rPr>
          <w:spacing w:val="-2"/>
          <w:sz w:val="24"/>
        </w:rPr>
        <w:t>meetings.</w:t>
      </w:r>
    </w:p>
    <w:p>
      <w:pPr>
        <w:pStyle w:val="ListParagraph"/>
        <w:numPr>
          <w:ilvl w:val="2"/>
          <w:numId w:val="90"/>
        </w:numPr>
        <w:tabs>
          <w:tab w:pos="1277" w:val="left" w:leader="none"/>
        </w:tabs>
        <w:spacing w:line="240" w:lineRule="auto" w:before="118" w:after="0"/>
        <w:ind w:left="1277" w:right="0" w:hanging="360"/>
        <w:jc w:val="left"/>
        <w:rPr>
          <w:sz w:val="24"/>
        </w:rPr>
      </w:pPr>
      <w:r>
        <w:rPr>
          <w:spacing w:val="-2"/>
          <w:sz w:val="24"/>
        </w:rPr>
        <w:t>Adopt</w:t>
      </w:r>
      <w:r>
        <w:rPr>
          <w:spacing w:val="-17"/>
          <w:sz w:val="24"/>
        </w:rPr>
        <w:t> </w:t>
      </w:r>
      <w:r>
        <w:rPr>
          <w:spacing w:val="-2"/>
          <w:sz w:val="24"/>
        </w:rPr>
        <w:t>an</w:t>
      </w:r>
      <w:r>
        <w:rPr>
          <w:spacing w:val="-15"/>
          <w:sz w:val="24"/>
        </w:rPr>
        <w:t> </w:t>
      </w:r>
      <w:r>
        <w:rPr>
          <w:spacing w:val="-2"/>
          <w:sz w:val="24"/>
        </w:rPr>
        <w:t>open</w:t>
      </w:r>
      <w:r>
        <w:rPr>
          <w:spacing w:val="-14"/>
          <w:sz w:val="24"/>
        </w:rPr>
        <w:t> </w:t>
      </w:r>
      <w:r>
        <w:rPr>
          <w:spacing w:val="-2"/>
          <w:sz w:val="24"/>
        </w:rPr>
        <w:t>and</w:t>
      </w:r>
      <w:r>
        <w:rPr>
          <w:spacing w:val="-13"/>
          <w:sz w:val="24"/>
        </w:rPr>
        <w:t> </w:t>
      </w:r>
      <w:r>
        <w:rPr>
          <w:spacing w:val="-2"/>
          <w:sz w:val="24"/>
        </w:rPr>
        <w:t>constructively</w:t>
      </w:r>
      <w:r>
        <w:rPr>
          <w:spacing w:val="-13"/>
          <w:sz w:val="24"/>
        </w:rPr>
        <w:t> </w:t>
      </w:r>
      <w:r>
        <w:rPr>
          <w:spacing w:val="-2"/>
          <w:sz w:val="24"/>
        </w:rPr>
        <w:t>challenging</w:t>
      </w:r>
      <w:r>
        <w:rPr>
          <w:spacing w:val="-15"/>
          <w:sz w:val="24"/>
        </w:rPr>
        <w:t> </w:t>
      </w:r>
      <w:r>
        <w:rPr>
          <w:spacing w:val="-2"/>
          <w:sz w:val="24"/>
        </w:rPr>
        <w:t>approach</w:t>
      </w:r>
      <w:r>
        <w:rPr>
          <w:spacing w:val="-13"/>
          <w:sz w:val="24"/>
        </w:rPr>
        <w:t> </w:t>
      </w:r>
      <w:r>
        <w:rPr>
          <w:spacing w:val="-2"/>
          <w:sz w:val="24"/>
        </w:rPr>
        <w:t>within</w:t>
      </w:r>
      <w:r>
        <w:rPr>
          <w:spacing w:val="-12"/>
          <w:sz w:val="24"/>
        </w:rPr>
        <w:t> </w:t>
      </w:r>
      <w:r>
        <w:rPr>
          <w:spacing w:val="-2"/>
          <w:sz w:val="24"/>
        </w:rPr>
        <w:t>meetings.</w:t>
      </w:r>
    </w:p>
    <w:p>
      <w:pPr>
        <w:pStyle w:val="ListParagraph"/>
        <w:numPr>
          <w:ilvl w:val="2"/>
          <w:numId w:val="90"/>
        </w:numPr>
        <w:tabs>
          <w:tab w:pos="1277" w:val="left" w:leader="none"/>
        </w:tabs>
        <w:spacing w:line="240" w:lineRule="auto" w:before="118" w:after="0"/>
        <w:ind w:left="1277" w:right="0" w:hanging="360"/>
        <w:jc w:val="left"/>
        <w:rPr>
          <w:sz w:val="24"/>
        </w:rPr>
      </w:pPr>
      <w:r>
        <w:rPr>
          <w:spacing w:val="-2"/>
          <w:sz w:val="24"/>
        </w:rPr>
        <w:t>Promptly</w:t>
      </w:r>
      <w:r>
        <w:rPr>
          <w:spacing w:val="-14"/>
          <w:sz w:val="24"/>
        </w:rPr>
        <w:t> </w:t>
      </w:r>
      <w:r>
        <w:rPr>
          <w:spacing w:val="-2"/>
          <w:sz w:val="24"/>
        </w:rPr>
        <w:t>follow</w:t>
      </w:r>
      <w:r>
        <w:rPr>
          <w:spacing w:val="-12"/>
          <w:sz w:val="24"/>
        </w:rPr>
        <w:t> </w:t>
      </w:r>
      <w:r>
        <w:rPr>
          <w:spacing w:val="-2"/>
          <w:sz w:val="24"/>
        </w:rPr>
        <w:t>up</w:t>
      </w:r>
      <w:r>
        <w:rPr>
          <w:spacing w:val="-12"/>
          <w:sz w:val="24"/>
        </w:rPr>
        <w:t> </w:t>
      </w:r>
      <w:r>
        <w:rPr>
          <w:spacing w:val="-2"/>
          <w:sz w:val="24"/>
        </w:rPr>
        <w:t>on</w:t>
      </w:r>
      <w:r>
        <w:rPr>
          <w:spacing w:val="-13"/>
          <w:sz w:val="24"/>
        </w:rPr>
        <w:t> </w:t>
      </w:r>
      <w:r>
        <w:rPr>
          <w:spacing w:val="-2"/>
          <w:sz w:val="24"/>
        </w:rPr>
        <w:t>actions</w:t>
      </w:r>
      <w:r>
        <w:rPr>
          <w:spacing w:val="-13"/>
          <w:sz w:val="24"/>
        </w:rPr>
        <w:t> </w:t>
      </w:r>
      <w:r>
        <w:rPr>
          <w:spacing w:val="-2"/>
          <w:sz w:val="24"/>
        </w:rPr>
        <w:t>and</w:t>
      </w:r>
      <w:r>
        <w:rPr>
          <w:spacing w:val="-12"/>
          <w:sz w:val="24"/>
        </w:rPr>
        <w:t> </w:t>
      </w:r>
      <w:r>
        <w:rPr>
          <w:spacing w:val="-2"/>
          <w:sz w:val="24"/>
        </w:rPr>
        <w:t>commitments;</w:t>
      </w:r>
      <w:r>
        <w:rPr>
          <w:spacing w:val="-10"/>
          <w:sz w:val="24"/>
        </w:rPr>
        <w:t> </w:t>
      </w:r>
      <w:r>
        <w:rPr>
          <w:spacing w:val="-5"/>
          <w:sz w:val="24"/>
        </w:rPr>
        <w:t>and</w:t>
      </w:r>
    </w:p>
    <w:p>
      <w:pPr>
        <w:pStyle w:val="ListParagraph"/>
        <w:numPr>
          <w:ilvl w:val="2"/>
          <w:numId w:val="90"/>
        </w:numPr>
        <w:tabs>
          <w:tab w:pos="1278" w:val="left" w:leader="none"/>
        </w:tabs>
        <w:spacing w:line="240" w:lineRule="auto" w:before="118" w:after="0"/>
        <w:ind w:left="1278" w:right="721" w:hanging="361"/>
        <w:jc w:val="left"/>
        <w:rPr>
          <w:sz w:val="24"/>
        </w:rPr>
      </w:pPr>
      <w:r>
        <w:rPr>
          <w:spacing w:val="-2"/>
          <w:sz w:val="24"/>
        </w:rPr>
        <w:t>Participate</w:t>
      </w:r>
      <w:r>
        <w:rPr>
          <w:spacing w:val="-14"/>
          <w:sz w:val="24"/>
        </w:rPr>
        <w:t> </w:t>
      </w:r>
      <w:r>
        <w:rPr>
          <w:spacing w:val="-2"/>
          <w:sz w:val="24"/>
        </w:rPr>
        <w:t>in</w:t>
      </w:r>
      <w:r>
        <w:rPr>
          <w:spacing w:val="-12"/>
          <w:sz w:val="24"/>
        </w:rPr>
        <w:t> </w:t>
      </w:r>
      <w:r>
        <w:rPr>
          <w:spacing w:val="-2"/>
          <w:sz w:val="24"/>
        </w:rPr>
        <w:t>electronic</w:t>
      </w:r>
      <w:r>
        <w:rPr>
          <w:spacing w:val="-13"/>
          <w:sz w:val="24"/>
        </w:rPr>
        <w:t> </w:t>
      </w:r>
      <w:r>
        <w:rPr>
          <w:spacing w:val="-2"/>
          <w:sz w:val="24"/>
        </w:rPr>
        <w:t>and</w:t>
      </w:r>
      <w:r>
        <w:rPr>
          <w:spacing w:val="-12"/>
          <w:sz w:val="24"/>
        </w:rPr>
        <w:t> </w:t>
      </w:r>
      <w:r>
        <w:rPr>
          <w:spacing w:val="-2"/>
          <w:sz w:val="24"/>
        </w:rPr>
        <w:t>virtual</w:t>
      </w:r>
      <w:r>
        <w:rPr>
          <w:spacing w:val="-12"/>
          <w:sz w:val="24"/>
        </w:rPr>
        <w:t> </w:t>
      </w:r>
      <w:r>
        <w:rPr>
          <w:spacing w:val="-2"/>
          <w:sz w:val="24"/>
        </w:rPr>
        <w:t>channels</w:t>
      </w:r>
      <w:r>
        <w:rPr>
          <w:spacing w:val="-13"/>
          <w:sz w:val="24"/>
        </w:rPr>
        <w:t> </w:t>
      </w:r>
      <w:r>
        <w:rPr>
          <w:spacing w:val="-2"/>
          <w:sz w:val="24"/>
        </w:rPr>
        <w:t>established</w:t>
      </w:r>
      <w:r>
        <w:rPr>
          <w:spacing w:val="-12"/>
          <w:sz w:val="24"/>
        </w:rPr>
        <w:t> </w:t>
      </w:r>
      <w:r>
        <w:rPr>
          <w:spacing w:val="-2"/>
          <w:sz w:val="24"/>
        </w:rPr>
        <w:t>to</w:t>
      </w:r>
      <w:r>
        <w:rPr>
          <w:spacing w:val="-12"/>
          <w:sz w:val="24"/>
        </w:rPr>
        <w:t> </w:t>
      </w:r>
      <w:r>
        <w:rPr>
          <w:spacing w:val="-2"/>
          <w:sz w:val="24"/>
        </w:rPr>
        <w:t>allow</w:t>
      </w:r>
      <w:r>
        <w:rPr>
          <w:spacing w:val="-15"/>
          <w:sz w:val="24"/>
        </w:rPr>
        <w:t> </w:t>
      </w:r>
      <w:r>
        <w:rPr>
          <w:spacing w:val="-2"/>
          <w:sz w:val="24"/>
        </w:rPr>
        <w:t>a</w:t>
      </w:r>
      <w:r>
        <w:rPr>
          <w:spacing w:val="-8"/>
          <w:sz w:val="24"/>
        </w:rPr>
        <w:t> </w:t>
      </w:r>
      <w:r>
        <w:rPr>
          <w:spacing w:val="-2"/>
          <w:sz w:val="24"/>
        </w:rPr>
        <w:t>continuous</w:t>
      </w:r>
      <w:r>
        <w:rPr>
          <w:spacing w:val="-9"/>
          <w:sz w:val="24"/>
        </w:rPr>
        <w:t> </w:t>
      </w:r>
      <w:r>
        <w:rPr>
          <w:spacing w:val="-2"/>
          <w:sz w:val="24"/>
        </w:rPr>
        <w:t>flow</w:t>
      </w:r>
      <w:r>
        <w:rPr>
          <w:spacing w:val="-12"/>
          <w:sz w:val="24"/>
        </w:rPr>
        <w:t> </w:t>
      </w:r>
      <w:r>
        <w:rPr>
          <w:spacing w:val="-2"/>
          <w:sz w:val="24"/>
        </w:rPr>
        <w:t>of </w:t>
      </w:r>
      <w:r>
        <w:rPr>
          <w:sz w:val="24"/>
        </w:rPr>
        <w:t>information between committee members.</w:t>
      </w:r>
    </w:p>
    <w:p>
      <w:pPr>
        <w:pStyle w:val="ListParagraph"/>
        <w:numPr>
          <w:ilvl w:val="1"/>
          <w:numId w:val="90"/>
        </w:numPr>
        <w:tabs>
          <w:tab w:pos="937" w:val="left" w:leader="none"/>
        </w:tabs>
        <w:spacing w:line="240" w:lineRule="auto" w:before="163" w:after="0"/>
        <w:ind w:left="937" w:right="0" w:hanging="795"/>
        <w:jc w:val="left"/>
        <w:rPr>
          <w:sz w:val="24"/>
        </w:rPr>
      </w:pPr>
      <w:r>
        <w:rPr>
          <w:spacing w:val="-2"/>
          <w:sz w:val="24"/>
        </w:rPr>
        <w:t>Membership</w:t>
      </w:r>
      <w:r>
        <w:rPr>
          <w:spacing w:val="-12"/>
          <w:sz w:val="24"/>
        </w:rPr>
        <w:t> </w:t>
      </w:r>
      <w:r>
        <w:rPr>
          <w:spacing w:val="-2"/>
          <w:sz w:val="24"/>
        </w:rPr>
        <w:t>of</w:t>
      </w:r>
      <w:r>
        <w:rPr>
          <w:spacing w:val="-14"/>
          <w:sz w:val="24"/>
        </w:rPr>
        <w:t> </w:t>
      </w:r>
      <w:r>
        <w:rPr>
          <w:spacing w:val="-2"/>
          <w:sz w:val="24"/>
        </w:rPr>
        <w:t>the</w:t>
      </w:r>
      <w:r>
        <w:rPr>
          <w:spacing w:val="-9"/>
          <w:sz w:val="24"/>
        </w:rPr>
        <w:t> </w:t>
      </w:r>
      <w:r>
        <w:rPr>
          <w:spacing w:val="-2"/>
          <w:sz w:val="24"/>
        </w:rPr>
        <w:t>RHES</w:t>
      </w:r>
      <w:r>
        <w:rPr>
          <w:spacing w:val="-12"/>
          <w:sz w:val="24"/>
        </w:rPr>
        <w:t> </w:t>
      </w:r>
      <w:r>
        <w:rPr>
          <w:spacing w:val="-2"/>
          <w:sz w:val="24"/>
        </w:rPr>
        <w:t>shall</w:t>
      </w:r>
      <w:r>
        <w:rPr>
          <w:spacing w:val="-6"/>
          <w:sz w:val="24"/>
        </w:rPr>
        <w:t> </w:t>
      </w:r>
      <w:r>
        <w:rPr>
          <w:spacing w:val="-2"/>
          <w:sz w:val="24"/>
        </w:rPr>
        <w:t>comprise:</w:t>
      </w:r>
    </w:p>
    <w:p>
      <w:pPr>
        <w:pStyle w:val="BodyText"/>
        <w:spacing w:before="43" w:after="1"/>
        <w:rPr>
          <w:sz w:val="20"/>
        </w:r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242"/>
        <w:gridCol w:w="4862"/>
      </w:tblGrid>
      <w:tr>
        <w:trPr>
          <w:trHeight w:val="285" w:hRule="atLeast"/>
        </w:trPr>
        <w:tc>
          <w:tcPr>
            <w:tcW w:w="5242" w:type="dxa"/>
            <w:shd w:val="clear" w:color="auto" w:fill="C1A875"/>
          </w:tcPr>
          <w:p>
            <w:pPr>
              <w:pStyle w:val="TableParagraph"/>
              <w:spacing w:line="265" w:lineRule="exact"/>
              <w:ind w:left="105"/>
              <w:rPr>
                <w:b/>
                <w:sz w:val="24"/>
              </w:rPr>
            </w:pPr>
            <w:r>
              <w:rPr>
                <w:b/>
                <w:spacing w:val="-2"/>
                <w:sz w:val="24"/>
              </w:rPr>
              <w:t>Member</w:t>
            </w:r>
          </w:p>
        </w:tc>
        <w:tc>
          <w:tcPr>
            <w:tcW w:w="4862" w:type="dxa"/>
            <w:shd w:val="clear" w:color="auto" w:fill="C1A875"/>
          </w:tcPr>
          <w:p>
            <w:pPr>
              <w:pStyle w:val="TableParagraph"/>
              <w:spacing w:line="265" w:lineRule="exact"/>
              <w:ind w:left="105"/>
              <w:rPr>
                <w:b/>
                <w:sz w:val="24"/>
              </w:rPr>
            </w:pPr>
            <w:r>
              <w:rPr>
                <w:b/>
                <w:spacing w:val="-2"/>
                <w:sz w:val="24"/>
              </w:rPr>
              <w:t>Organisation</w:t>
            </w:r>
          </w:p>
        </w:tc>
      </w:tr>
      <w:tr>
        <w:trPr>
          <w:trHeight w:val="285" w:hRule="atLeast"/>
        </w:trPr>
        <w:tc>
          <w:tcPr>
            <w:tcW w:w="5242" w:type="dxa"/>
          </w:tcPr>
          <w:p>
            <w:pPr>
              <w:pStyle w:val="TableParagraph"/>
              <w:spacing w:line="265" w:lineRule="exact"/>
              <w:ind w:left="105"/>
              <w:rPr>
                <w:sz w:val="24"/>
              </w:rPr>
            </w:pPr>
            <w:r>
              <w:rPr>
                <w:spacing w:val="-2"/>
                <w:sz w:val="24"/>
              </w:rPr>
              <w:t>Executive</w:t>
            </w:r>
            <w:r>
              <w:rPr>
                <w:spacing w:val="-15"/>
                <w:sz w:val="24"/>
              </w:rPr>
              <w:t> </w:t>
            </w:r>
            <w:r>
              <w:rPr>
                <w:spacing w:val="-2"/>
                <w:sz w:val="24"/>
              </w:rPr>
              <w:t>Director</w:t>
            </w:r>
            <w:r>
              <w:rPr>
                <w:spacing w:val="-14"/>
                <w:sz w:val="24"/>
              </w:rPr>
              <w:t> </w:t>
            </w:r>
            <w:r>
              <w:rPr>
                <w:spacing w:val="-2"/>
                <w:sz w:val="24"/>
              </w:rPr>
              <w:t>of</w:t>
            </w:r>
            <w:r>
              <w:rPr>
                <w:spacing w:val="-14"/>
                <w:sz w:val="24"/>
              </w:rPr>
              <w:t> </w:t>
            </w:r>
            <w:r>
              <w:rPr>
                <w:spacing w:val="-2"/>
                <w:sz w:val="24"/>
              </w:rPr>
              <w:t>Public</w:t>
            </w:r>
            <w:r>
              <w:rPr>
                <w:spacing w:val="-14"/>
                <w:sz w:val="24"/>
              </w:rPr>
              <w:t> </w:t>
            </w:r>
            <w:r>
              <w:rPr>
                <w:spacing w:val="-2"/>
                <w:sz w:val="24"/>
              </w:rPr>
              <w:t>Health</w:t>
            </w:r>
          </w:p>
        </w:tc>
        <w:tc>
          <w:tcPr>
            <w:tcW w:w="4862" w:type="dxa"/>
          </w:tcPr>
          <w:p>
            <w:pPr>
              <w:pStyle w:val="TableParagraph"/>
              <w:spacing w:line="265" w:lineRule="exact"/>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280" w:hRule="atLeast"/>
        </w:trPr>
        <w:tc>
          <w:tcPr>
            <w:tcW w:w="5242" w:type="dxa"/>
          </w:tcPr>
          <w:p>
            <w:pPr>
              <w:pStyle w:val="TableParagraph"/>
              <w:spacing w:line="260" w:lineRule="exact"/>
              <w:ind w:left="105"/>
              <w:rPr>
                <w:sz w:val="24"/>
              </w:rPr>
            </w:pPr>
            <w:r>
              <w:rPr>
                <w:spacing w:val="-2"/>
                <w:sz w:val="24"/>
              </w:rPr>
              <w:t>Interim</w:t>
            </w:r>
            <w:r>
              <w:rPr>
                <w:spacing w:val="-15"/>
                <w:sz w:val="24"/>
              </w:rPr>
              <w:t> </w:t>
            </w:r>
            <w:r>
              <w:rPr>
                <w:spacing w:val="-2"/>
                <w:sz w:val="24"/>
              </w:rPr>
              <w:t>Executive</w:t>
            </w:r>
            <w:r>
              <w:rPr>
                <w:spacing w:val="-15"/>
                <w:sz w:val="24"/>
              </w:rPr>
              <w:t> </w:t>
            </w:r>
            <w:r>
              <w:rPr>
                <w:spacing w:val="-2"/>
                <w:sz w:val="24"/>
              </w:rPr>
              <w:t>Director</w:t>
            </w:r>
            <w:r>
              <w:rPr>
                <w:spacing w:val="-14"/>
                <w:sz w:val="24"/>
              </w:rPr>
              <w:t> </w:t>
            </w:r>
            <w:r>
              <w:rPr>
                <w:spacing w:val="-2"/>
                <w:sz w:val="24"/>
              </w:rPr>
              <w:t>of</w:t>
            </w:r>
            <w:r>
              <w:rPr>
                <w:spacing w:val="-15"/>
                <w:sz w:val="24"/>
              </w:rPr>
              <w:t> </w:t>
            </w:r>
            <w:r>
              <w:rPr>
                <w:spacing w:val="-2"/>
                <w:sz w:val="24"/>
              </w:rPr>
              <w:t>Public</w:t>
            </w:r>
            <w:r>
              <w:rPr>
                <w:spacing w:val="-14"/>
                <w:sz w:val="24"/>
              </w:rPr>
              <w:t> </w:t>
            </w:r>
            <w:r>
              <w:rPr>
                <w:spacing w:val="-2"/>
                <w:sz w:val="24"/>
              </w:rPr>
              <w:t>Health</w:t>
            </w:r>
          </w:p>
        </w:tc>
        <w:tc>
          <w:tcPr>
            <w:tcW w:w="4862" w:type="dxa"/>
          </w:tcPr>
          <w:p>
            <w:pPr>
              <w:pStyle w:val="TableParagraph"/>
              <w:spacing w:line="260"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r>
        <w:trPr>
          <w:trHeight w:val="285" w:hRule="atLeast"/>
        </w:trPr>
        <w:tc>
          <w:tcPr>
            <w:tcW w:w="5242" w:type="dxa"/>
          </w:tcPr>
          <w:p>
            <w:pPr>
              <w:pStyle w:val="TableParagraph"/>
              <w:spacing w:line="265" w:lineRule="exact"/>
              <w:ind w:left="105"/>
              <w:rPr>
                <w:sz w:val="24"/>
              </w:rPr>
            </w:pPr>
            <w:r>
              <w:rPr>
                <w:spacing w:val="-4"/>
                <w:sz w:val="24"/>
              </w:rPr>
              <w:t>Executive</w:t>
            </w:r>
            <w:r>
              <w:rPr>
                <w:spacing w:val="-2"/>
                <w:sz w:val="24"/>
              </w:rPr>
              <w:t> Representative</w:t>
            </w:r>
          </w:p>
        </w:tc>
        <w:tc>
          <w:tcPr>
            <w:tcW w:w="4862" w:type="dxa"/>
          </w:tcPr>
          <w:p>
            <w:pPr>
              <w:pStyle w:val="TableParagraph"/>
              <w:spacing w:line="265" w:lineRule="exact"/>
              <w:ind w:left="105"/>
              <w:rPr>
                <w:sz w:val="24"/>
              </w:rPr>
            </w:pPr>
            <w:r>
              <w:rPr>
                <w:spacing w:val="-2"/>
                <w:sz w:val="24"/>
              </w:rPr>
              <w:t>Public</w:t>
            </w:r>
            <w:r>
              <w:rPr>
                <w:spacing w:val="-15"/>
                <w:sz w:val="24"/>
              </w:rPr>
              <w:t> </w:t>
            </w:r>
            <w:r>
              <w:rPr>
                <w:spacing w:val="-2"/>
                <w:sz w:val="24"/>
              </w:rPr>
              <w:t>Health</w:t>
            </w:r>
            <w:r>
              <w:rPr>
                <w:spacing w:val="-14"/>
                <w:sz w:val="24"/>
              </w:rPr>
              <w:t> </w:t>
            </w:r>
            <w:r>
              <w:rPr>
                <w:spacing w:val="-4"/>
                <w:sz w:val="24"/>
              </w:rPr>
              <w:t>Wales</w:t>
            </w:r>
          </w:p>
        </w:tc>
      </w:tr>
      <w:tr>
        <w:trPr>
          <w:trHeight w:val="284" w:hRule="atLeast"/>
        </w:trPr>
        <w:tc>
          <w:tcPr>
            <w:tcW w:w="5242" w:type="dxa"/>
          </w:tcPr>
          <w:p>
            <w:pPr>
              <w:pStyle w:val="TableParagraph"/>
              <w:spacing w:line="265" w:lineRule="exact"/>
              <w:ind w:left="105"/>
              <w:rPr>
                <w:sz w:val="24"/>
              </w:rPr>
            </w:pPr>
            <w:r>
              <w:rPr>
                <w:spacing w:val="-2"/>
                <w:sz w:val="24"/>
              </w:rPr>
              <w:t>Representative</w:t>
            </w:r>
          </w:p>
        </w:tc>
        <w:tc>
          <w:tcPr>
            <w:tcW w:w="4862" w:type="dxa"/>
          </w:tcPr>
          <w:p>
            <w:pPr>
              <w:pStyle w:val="TableParagraph"/>
              <w:spacing w:line="265" w:lineRule="exact"/>
              <w:ind w:left="105"/>
              <w:rPr>
                <w:sz w:val="24"/>
              </w:rPr>
            </w:pPr>
            <w:r>
              <w:rPr>
                <w:spacing w:val="-4"/>
                <w:sz w:val="24"/>
              </w:rPr>
              <w:t>Future</w:t>
            </w:r>
            <w:r>
              <w:rPr>
                <w:spacing w:val="2"/>
                <w:sz w:val="24"/>
              </w:rPr>
              <w:t> </w:t>
            </w:r>
            <w:r>
              <w:rPr>
                <w:spacing w:val="-4"/>
                <w:sz w:val="24"/>
              </w:rPr>
              <w:t>Generations</w:t>
            </w:r>
            <w:r>
              <w:rPr>
                <w:spacing w:val="-3"/>
                <w:sz w:val="24"/>
              </w:rPr>
              <w:t> </w:t>
            </w:r>
            <w:r>
              <w:rPr>
                <w:spacing w:val="-4"/>
                <w:sz w:val="24"/>
              </w:rPr>
              <w:t>Commissioner’s</w:t>
            </w:r>
            <w:r>
              <w:rPr>
                <w:spacing w:val="2"/>
                <w:sz w:val="24"/>
              </w:rPr>
              <w:t> </w:t>
            </w:r>
            <w:r>
              <w:rPr>
                <w:spacing w:val="-4"/>
                <w:sz w:val="24"/>
              </w:rPr>
              <w:t>Office</w:t>
            </w:r>
          </w:p>
        </w:tc>
      </w:tr>
      <w:tr>
        <w:trPr>
          <w:trHeight w:val="285" w:hRule="atLeast"/>
        </w:trPr>
        <w:tc>
          <w:tcPr>
            <w:tcW w:w="5242" w:type="dxa"/>
            <w:shd w:val="clear" w:color="auto" w:fill="C1A875"/>
          </w:tcPr>
          <w:p>
            <w:pPr>
              <w:pStyle w:val="TableParagraph"/>
              <w:spacing w:line="265" w:lineRule="exact"/>
              <w:ind w:left="105"/>
              <w:rPr>
                <w:b/>
                <w:sz w:val="24"/>
              </w:rPr>
            </w:pPr>
            <w:r>
              <w:rPr>
                <w:b/>
                <w:sz w:val="24"/>
              </w:rPr>
              <w:t>In</w:t>
            </w:r>
            <w:r>
              <w:rPr>
                <w:b/>
                <w:spacing w:val="-6"/>
                <w:sz w:val="24"/>
              </w:rPr>
              <w:t> </w:t>
            </w:r>
            <w:r>
              <w:rPr>
                <w:b/>
                <w:spacing w:val="-2"/>
                <w:sz w:val="24"/>
              </w:rPr>
              <w:t>Attendance</w:t>
            </w:r>
          </w:p>
        </w:tc>
        <w:tc>
          <w:tcPr>
            <w:tcW w:w="4862" w:type="dxa"/>
            <w:shd w:val="clear" w:color="auto" w:fill="C1A875"/>
          </w:tcPr>
          <w:p>
            <w:pPr>
              <w:pStyle w:val="TableParagraph"/>
              <w:rPr>
                <w:rFonts w:ascii="Times New Roman"/>
                <w:sz w:val="20"/>
              </w:rPr>
            </w:pPr>
          </w:p>
        </w:tc>
      </w:tr>
      <w:tr>
        <w:trPr>
          <w:trHeight w:val="550" w:hRule="atLeast"/>
        </w:trPr>
        <w:tc>
          <w:tcPr>
            <w:tcW w:w="5242" w:type="dxa"/>
          </w:tcPr>
          <w:p>
            <w:pPr>
              <w:pStyle w:val="TableParagraph"/>
              <w:spacing w:line="276" w:lineRule="exact"/>
              <w:ind w:left="105" w:right="805"/>
              <w:rPr>
                <w:sz w:val="24"/>
              </w:rPr>
            </w:pPr>
            <w:r>
              <w:rPr>
                <w:spacing w:val="-2"/>
                <w:sz w:val="24"/>
              </w:rPr>
              <w:t>Representation</w:t>
            </w:r>
            <w:r>
              <w:rPr>
                <w:spacing w:val="-15"/>
                <w:sz w:val="24"/>
              </w:rPr>
              <w:t> </w:t>
            </w:r>
            <w:r>
              <w:rPr>
                <w:spacing w:val="-2"/>
                <w:sz w:val="24"/>
              </w:rPr>
              <w:t>from</w:t>
            </w:r>
            <w:r>
              <w:rPr>
                <w:spacing w:val="-15"/>
                <w:sz w:val="24"/>
              </w:rPr>
              <w:t> </w:t>
            </w:r>
            <w:r>
              <w:rPr>
                <w:spacing w:val="-2"/>
                <w:sz w:val="24"/>
              </w:rPr>
              <w:t>Swansea</w:t>
            </w:r>
            <w:r>
              <w:rPr>
                <w:spacing w:val="-14"/>
                <w:sz w:val="24"/>
              </w:rPr>
              <w:t> </w:t>
            </w:r>
            <w:r>
              <w:rPr>
                <w:spacing w:val="-2"/>
                <w:sz w:val="24"/>
              </w:rPr>
              <w:t>Bay</w:t>
            </w:r>
            <w:r>
              <w:rPr>
                <w:spacing w:val="-15"/>
                <w:sz w:val="24"/>
              </w:rPr>
              <w:t> </w:t>
            </w:r>
            <w:r>
              <w:rPr>
                <w:spacing w:val="-2"/>
                <w:sz w:val="24"/>
              </w:rPr>
              <w:t>Public </w:t>
            </w:r>
            <w:r>
              <w:rPr>
                <w:sz w:val="24"/>
              </w:rPr>
              <w:t>Health Team</w:t>
            </w:r>
          </w:p>
        </w:tc>
        <w:tc>
          <w:tcPr>
            <w:tcW w:w="4862" w:type="dxa"/>
          </w:tcPr>
          <w:p>
            <w:pPr>
              <w:pStyle w:val="TableParagraph"/>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tc>
      </w:tr>
    </w:tbl>
    <w:p>
      <w:pPr>
        <w:spacing w:before="104"/>
        <w:ind w:left="4" w:right="284" w:firstLine="0"/>
        <w:jc w:val="center"/>
        <w:rPr>
          <w:sz w:val="20"/>
        </w:rPr>
      </w:pPr>
      <w:r>
        <w:rPr>
          <w:spacing w:val="-10"/>
          <w:sz w:val="20"/>
        </w:rPr>
        <w:t>3</w:t>
      </w:r>
    </w:p>
    <w:p>
      <w:pPr>
        <w:spacing w:after="0"/>
        <w:jc w:val="center"/>
        <w:rPr>
          <w:sz w:val="20"/>
        </w:rPr>
        <w:sectPr>
          <w:pgSz w:w="11910" w:h="16840"/>
          <w:pgMar w:header="0" w:footer="149" w:top="920" w:bottom="340" w:left="708" w:right="425"/>
        </w:sectPr>
      </w:pPr>
    </w:p>
    <w:tbl>
      <w:tblPr>
        <w:tblW w:w="0" w:type="auto"/>
        <w:jc w:val="left"/>
        <w:tblInd w:w="477" w:type="dxa"/>
        <w:tblBorders>
          <w:top w:val="single" w:sz="4" w:space="0" w:color="394871"/>
          <w:left w:val="single" w:sz="4" w:space="0" w:color="394871"/>
          <w:bottom w:val="single" w:sz="4" w:space="0" w:color="394871"/>
          <w:right w:val="single" w:sz="4" w:space="0" w:color="394871"/>
          <w:insideH w:val="single" w:sz="4" w:space="0" w:color="394871"/>
          <w:insideV w:val="single" w:sz="4" w:space="0" w:color="394871"/>
        </w:tblBorders>
        <w:tblLayout w:type="fixed"/>
        <w:tblCellMar>
          <w:top w:w="0" w:type="dxa"/>
          <w:left w:w="0" w:type="dxa"/>
          <w:bottom w:w="0" w:type="dxa"/>
          <w:right w:w="0" w:type="dxa"/>
        </w:tblCellMar>
        <w:tblLook w:val="01E0"/>
      </w:tblPr>
      <w:tblGrid>
        <w:gridCol w:w="5242"/>
        <w:gridCol w:w="4862"/>
      </w:tblGrid>
      <w:tr>
        <w:trPr>
          <w:trHeight w:val="555" w:hRule="atLeast"/>
        </w:trPr>
        <w:tc>
          <w:tcPr>
            <w:tcW w:w="5242" w:type="dxa"/>
          </w:tcPr>
          <w:p>
            <w:pPr>
              <w:pStyle w:val="TableParagraph"/>
              <w:spacing w:line="276" w:lineRule="exact"/>
              <w:ind w:left="105"/>
              <w:rPr>
                <w:sz w:val="24"/>
              </w:rPr>
            </w:pPr>
            <w:r>
              <w:rPr>
                <w:spacing w:val="-2"/>
                <w:sz w:val="24"/>
              </w:rPr>
              <w:t>Representation</w:t>
            </w:r>
            <w:r>
              <w:rPr>
                <w:spacing w:val="-15"/>
                <w:sz w:val="24"/>
              </w:rPr>
              <w:t> </w:t>
            </w:r>
            <w:r>
              <w:rPr>
                <w:spacing w:val="-2"/>
                <w:sz w:val="24"/>
              </w:rPr>
              <w:t>from</w:t>
            </w:r>
            <w:r>
              <w:rPr>
                <w:spacing w:val="-15"/>
                <w:sz w:val="24"/>
              </w:rPr>
              <w:t> </w:t>
            </w:r>
            <w:r>
              <w:rPr>
                <w:spacing w:val="-2"/>
                <w:sz w:val="24"/>
              </w:rPr>
              <w:t>Hywel</w:t>
            </w:r>
            <w:r>
              <w:rPr>
                <w:spacing w:val="-14"/>
                <w:sz w:val="24"/>
              </w:rPr>
              <w:t> </w:t>
            </w:r>
            <w:r>
              <w:rPr>
                <w:spacing w:val="-2"/>
                <w:sz w:val="24"/>
              </w:rPr>
              <w:t>Dda</w:t>
            </w:r>
            <w:r>
              <w:rPr>
                <w:spacing w:val="-15"/>
                <w:sz w:val="24"/>
              </w:rPr>
              <w:t> </w:t>
            </w:r>
            <w:r>
              <w:rPr>
                <w:spacing w:val="-2"/>
                <w:sz w:val="24"/>
              </w:rPr>
              <w:t>Public</w:t>
            </w:r>
            <w:r>
              <w:rPr>
                <w:spacing w:val="-15"/>
                <w:sz w:val="24"/>
              </w:rPr>
              <w:t> </w:t>
            </w:r>
            <w:r>
              <w:rPr>
                <w:spacing w:val="-2"/>
                <w:sz w:val="24"/>
              </w:rPr>
              <w:t>Health </w:t>
            </w:r>
            <w:r>
              <w:rPr>
                <w:spacing w:val="-4"/>
                <w:sz w:val="24"/>
              </w:rPr>
              <w:t>Team</w:t>
            </w:r>
          </w:p>
        </w:tc>
        <w:tc>
          <w:tcPr>
            <w:tcW w:w="4862" w:type="dxa"/>
          </w:tcPr>
          <w:p>
            <w:pPr>
              <w:pStyle w:val="TableParagraph"/>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550" w:hRule="atLeast"/>
        </w:trPr>
        <w:tc>
          <w:tcPr>
            <w:tcW w:w="5242" w:type="dxa"/>
          </w:tcPr>
          <w:p>
            <w:pPr>
              <w:pStyle w:val="TableParagraph"/>
              <w:spacing w:line="276" w:lineRule="exact"/>
              <w:ind w:left="105"/>
              <w:rPr>
                <w:sz w:val="24"/>
              </w:rPr>
            </w:pPr>
            <w:r>
              <w:rPr>
                <w:spacing w:val="-4"/>
                <w:sz w:val="24"/>
              </w:rPr>
              <w:t>Representation from Policy</w:t>
            </w:r>
            <w:r>
              <w:rPr>
                <w:spacing w:val="-6"/>
                <w:sz w:val="24"/>
              </w:rPr>
              <w:t> </w:t>
            </w:r>
            <w:r>
              <w:rPr>
                <w:spacing w:val="-4"/>
                <w:sz w:val="24"/>
              </w:rPr>
              <w:t>and</w:t>
            </w:r>
            <w:r>
              <w:rPr>
                <w:spacing w:val="-5"/>
                <w:sz w:val="24"/>
              </w:rPr>
              <w:t> </w:t>
            </w:r>
            <w:r>
              <w:rPr>
                <w:spacing w:val="-4"/>
                <w:sz w:val="24"/>
              </w:rPr>
              <w:t>International </w:t>
            </w:r>
            <w:r>
              <w:rPr>
                <w:sz w:val="24"/>
              </w:rPr>
              <w:t>Health, WHO Collaborating Centre</w:t>
            </w:r>
          </w:p>
        </w:tc>
        <w:tc>
          <w:tcPr>
            <w:tcW w:w="4862" w:type="dxa"/>
          </w:tcPr>
          <w:p>
            <w:pPr>
              <w:pStyle w:val="TableParagraph"/>
              <w:ind w:left="105"/>
              <w:rPr>
                <w:sz w:val="24"/>
              </w:rPr>
            </w:pPr>
            <w:r>
              <w:rPr>
                <w:spacing w:val="-2"/>
                <w:sz w:val="24"/>
              </w:rPr>
              <w:t>Public</w:t>
            </w:r>
            <w:r>
              <w:rPr>
                <w:spacing w:val="-15"/>
                <w:sz w:val="24"/>
              </w:rPr>
              <w:t> </w:t>
            </w:r>
            <w:r>
              <w:rPr>
                <w:spacing w:val="-2"/>
                <w:sz w:val="24"/>
              </w:rPr>
              <w:t>Health</w:t>
            </w:r>
            <w:r>
              <w:rPr>
                <w:spacing w:val="-14"/>
                <w:sz w:val="24"/>
              </w:rPr>
              <w:t> </w:t>
            </w:r>
            <w:r>
              <w:rPr>
                <w:spacing w:val="-4"/>
                <w:sz w:val="24"/>
              </w:rPr>
              <w:t>Wales</w:t>
            </w:r>
          </w:p>
        </w:tc>
      </w:tr>
      <w:tr>
        <w:trPr>
          <w:trHeight w:val="548" w:hRule="atLeast"/>
        </w:trPr>
        <w:tc>
          <w:tcPr>
            <w:tcW w:w="5242" w:type="dxa"/>
          </w:tcPr>
          <w:p>
            <w:pPr>
              <w:pStyle w:val="TableParagraph"/>
              <w:spacing w:line="276" w:lineRule="exact"/>
              <w:ind w:left="105" w:right="153"/>
              <w:rPr>
                <w:sz w:val="24"/>
              </w:rPr>
            </w:pPr>
            <w:r>
              <w:rPr>
                <w:spacing w:val="-2"/>
                <w:sz w:val="24"/>
              </w:rPr>
              <w:t>Representation</w:t>
            </w:r>
            <w:r>
              <w:rPr>
                <w:spacing w:val="-15"/>
                <w:sz w:val="24"/>
              </w:rPr>
              <w:t> </w:t>
            </w:r>
            <w:r>
              <w:rPr>
                <w:spacing w:val="-2"/>
                <w:sz w:val="24"/>
              </w:rPr>
              <w:t>from</w:t>
            </w:r>
            <w:r>
              <w:rPr>
                <w:spacing w:val="-15"/>
                <w:sz w:val="24"/>
              </w:rPr>
              <w:t> </w:t>
            </w:r>
            <w:r>
              <w:rPr>
                <w:spacing w:val="-2"/>
                <w:sz w:val="24"/>
              </w:rPr>
              <w:t>Research,</w:t>
            </w:r>
            <w:r>
              <w:rPr>
                <w:spacing w:val="-14"/>
                <w:sz w:val="24"/>
              </w:rPr>
              <w:t> </w:t>
            </w:r>
            <w:r>
              <w:rPr>
                <w:spacing w:val="-2"/>
                <w:sz w:val="24"/>
              </w:rPr>
              <w:t>Data</w:t>
            </w:r>
            <w:r>
              <w:rPr>
                <w:spacing w:val="-15"/>
                <w:sz w:val="24"/>
              </w:rPr>
              <w:t> </w:t>
            </w:r>
            <w:r>
              <w:rPr>
                <w:spacing w:val="-2"/>
                <w:sz w:val="24"/>
              </w:rPr>
              <w:t>and</w:t>
            </w:r>
            <w:r>
              <w:rPr>
                <w:spacing w:val="-15"/>
                <w:sz w:val="24"/>
              </w:rPr>
              <w:t> </w:t>
            </w:r>
            <w:r>
              <w:rPr>
                <w:spacing w:val="-2"/>
                <w:sz w:val="24"/>
              </w:rPr>
              <w:t>Digital </w:t>
            </w:r>
            <w:r>
              <w:rPr>
                <w:sz w:val="24"/>
              </w:rPr>
              <w:t>Directorate, Public Health Wales</w:t>
            </w:r>
          </w:p>
        </w:tc>
        <w:tc>
          <w:tcPr>
            <w:tcW w:w="4862" w:type="dxa"/>
          </w:tcPr>
          <w:p>
            <w:pPr>
              <w:pStyle w:val="TableParagraph"/>
              <w:spacing w:line="274" w:lineRule="exact"/>
              <w:ind w:left="105"/>
              <w:rPr>
                <w:sz w:val="24"/>
              </w:rPr>
            </w:pPr>
            <w:r>
              <w:rPr>
                <w:spacing w:val="-2"/>
                <w:sz w:val="24"/>
              </w:rPr>
              <w:t>Public</w:t>
            </w:r>
            <w:r>
              <w:rPr>
                <w:spacing w:val="-15"/>
                <w:sz w:val="24"/>
              </w:rPr>
              <w:t> </w:t>
            </w:r>
            <w:r>
              <w:rPr>
                <w:spacing w:val="-2"/>
                <w:sz w:val="24"/>
              </w:rPr>
              <w:t>Health</w:t>
            </w:r>
            <w:r>
              <w:rPr>
                <w:spacing w:val="-14"/>
                <w:sz w:val="24"/>
              </w:rPr>
              <w:t> </w:t>
            </w:r>
            <w:r>
              <w:rPr>
                <w:spacing w:val="-4"/>
                <w:sz w:val="24"/>
              </w:rPr>
              <w:t>Wales</w:t>
            </w:r>
          </w:p>
        </w:tc>
      </w:tr>
      <w:tr>
        <w:trPr>
          <w:trHeight w:val="281" w:hRule="atLeast"/>
        </w:trPr>
        <w:tc>
          <w:tcPr>
            <w:tcW w:w="5242" w:type="dxa"/>
          </w:tcPr>
          <w:p>
            <w:pPr>
              <w:pStyle w:val="TableParagraph"/>
              <w:spacing w:line="261" w:lineRule="exact"/>
              <w:ind w:left="105"/>
              <w:rPr>
                <w:sz w:val="24"/>
              </w:rPr>
            </w:pPr>
            <w:r>
              <w:rPr>
                <w:spacing w:val="-4"/>
                <w:sz w:val="24"/>
              </w:rPr>
              <w:t>Programme</w:t>
            </w:r>
            <w:r>
              <w:rPr>
                <w:spacing w:val="-2"/>
                <w:sz w:val="24"/>
              </w:rPr>
              <w:t> </w:t>
            </w:r>
            <w:r>
              <w:rPr>
                <w:spacing w:val="-4"/>
                <w:sz w:val="24"/>
              </w:rPr>
              <w:t>Management</w:t>
            </w:r>
            <w:r>
              <w:rPr>
                <w:spacing w:val="1"/>
                <w:sz w:val="24"/>
              </w:rPr>
              <w:t> </w:t>
            </w:r>
            <w:r>
              <w:rPr>
                <w:spacing w:val="-4"/>
                <w:sz w:val="24"/>
              </w:rPr>
              <w:t>Office</w:t>
            </w:r>
          </w:p>
        </w:tc>
        <w:tc>
          <w:tcPr>
            <w:tcW w:w="4862" w:type="dxa"/>
          </w:tcPr>
          <w:p>
            <w:pPr>
              <w:pStyle w:val="TableParagraph"/>
              <w:spacing w:line="261" w:lineRule="exact"/>
              <w:ind w:left="105"/>
              <w:rPr>
                <w:sz w:val="24"/>
              </w:rPr>
            </w:pPr>
            <w:r>
              <w:rPr>
                <w:spacing w:val="-4"/>
                <w:sz w:val="24"/>
              </w:rPr>
              <w:t>Regional</w:t>
            </w:r>
            <w:r>
              <w:rPr>
                <w:spacing w:val="-1"/>
                <w:sz w:val="24"/>
              </w:rPr>
              <w:t> </w:t>
            </w:r>
            <w:r>
              <w:rPr>
                <w:spacing w:val="-4"/>
                <w:sz w:val="24"/>
              </w:rPr>
              <w:t>Joint</w:t>
            </w:r>
            <w:r>
              <w:rPr>
                <w:spacing w:val="-3"/>
                <w:sz w:val="24"/>
              </w:rPr>
              <w:t> </w:t>
            </w:r>
            <w:r>
              <w:rPr>
                <w:spacing w:val="-4"/>
                <w:sz w:val="24"/>
              </w:rPr>
              <w:t>Committee</w:t>
            </w:r>
          </w:p>
        </w:tc>
      </w:tr>
      <w:tr>
        <w:trPr>
          <w:trHeight w:val="285" w:hRule="atLeast"/>
        </w:trPr>
        <w:tc>
          <w:tcPr>
            <w:tcW w:w="5242" w:type="dxa"/>
          </w:tcPr>
          <w:p>
            <w:pPr>
              <w:pStyle w:val="TableParagraph"/>
              <w:spacing w:line="265" w:lineRule="exact"/>
              <w:ind w:left="105"/>
              <w:rPr>
                <w:sz w:val="24"/>
              </w:rPr>
            </w:pPr>
            <w:r>
              <w:rPr>
                <w:spacing w:val="-2"/>
                <w:sz w:val="24"/>
              </w:rPr>
              <w:t>Representation</w:t>
            </w:r>
            <w:r>
              <w:rPr>
                <w:spacing w:val="-13"/>
                <w:sz w:val="24"/>
              </w:rPr>
              <w:t> </w:t>
            </w:r>
            <w:r>
              <w:rPr>
                <w:spacing w:val="-2"/>
                <w:sz w:val="24"/>
              </w:rPr>
              <w:t>from</w:t>
            </w:r>
            <w:r>
              <w:rPr>
                <w:spacing w:val="-12"/>
                <w:sz w:val="24"/>
              </w:rPr>
              <w:t> </w:t>
            </w:r>
            <w:r>
              <w:rPr>
                <w:spacing w:val="-2"/>
                <w:sz w:val="24"/>
              </w:rPr>
              <w:t>PSBs</w:t>
            </w:r>
            <w:r>
              <w:rPr>
                <w:spacing w:val="-15"/>
                <w:sz w:val="24"/>
              </w:rPr>
              <w:t> </w:t>
            </w:r>
            <w:r>
              <w:rPr>
                <w:spacing w:val="-2"/>
                <w:sz w:val="24"/>
              </w:rPr>
              <w:t>within</w:t>
            </w:r>
            <w:r>
              <w:rPr>
                <w:spacing w:val="-15"/>
                <w:sz w:val="24"/>
              </w:rPr>
              <w:t> </w:t>
            </w:r>
            <w:r>
              <w:rPr>
                <w:spacing w:val="-2"/>
                <w:sz w:val="24"/>
              </w:rPr>
              <w:t>the</w:t>
            </w:r>
            <w:r>
              <w:rPr>
                <w:spacing w:val="-10"/>
                <w:sz w:val="24"/>
              </w:rPr>
              <w:t> </w:t>
            </w:r>
            <w:r>
              <w:rPr>
                <w:spacing w:val="-2"/>
                <w:sz w:val="24"/>
              </w:rPr>
              <w:t>region</w:t>
            </w:r>
          </w:p>
        </w:tc>
        <w:tc>
          <w:tcPr>
            <w:tcW w:w="4862" w:type="dxa"/>
          </w:tcPr>
          <w:p>
            <w:pPr>
              <w:pStyle w:val="TableParagraph"/>
              <w:spacing w:line="265" w:lineRule="exact"/>
              <w:ind w:left="105"/>
              <w:rPr>
                <w:sz w:val="24"/>
              </w:rPr>
            </w:pPr>
            <w:r>
              <w:rPr>
                <w:spacing w:val="-2"/>
                <w:sz w:val="24"/>
              </w:rPr>
              <w:t>PSBs</w:t>
            </w:r>
            <w:r>
              <w:rPr>
                <w:spacing w:val="-15"/>
                <w:sz w:val="24"/>
              </w:rPr>
              <w:t> </w:t>
            </w:r>
            <w:r>
              <w:rPr>
                <w:spacing w:val="-2"/>
                <w:sz w:val="24"/>
              </w:rPr>
              <w:t>within</w:t>
            </w:r>
            <w:r>
              <w:rPr>
                <w:spacing w:val="-10"/>
                <w:sz w:val="24"/>
              </w:rPr>
              <w:t> </w:t>
            </w:r>
            <w:r>
              <w:rPr>
                <w:spacing w:val="-2"/>
                <w:sz w:val="24"/>
              </w:rPr>
              <w:t>the</w:t>
            </w:r>
            <w:r>
              <w:rPr>
                <w:spacing w:val="-9"/>
                <w:sz w:val="24"/>
              </w:rPr>
              <w:t> </w:t>
            </w:r>
            <w:r>
              <w:rPr>
                <w:spacing w:val="-2"/>
                <w:sz w:val="24"/>
              </w:rPr>
              <w:t>region.</w:t>
            </w:r>
          </w:p>
        </w:tc>
      </w:tr>
      <w:tr>
        <w:trPr>
          <w:trHeight w:val="550" w:hRule="atLeast"/>
        </w:trPr>
        <w:tc>
          <w:tcPr>
            <w:tcW w:w="5242" w:type="dxa"/>
          </w:tcPr>
          <w:p>
            <w:pPr>
              <w:pStyle w:val="TableParagraph"/>
              <w:spacing w:line="276" w:lineRule="exact"/>
              <w:ind w:left="105"/>
              <w:rPr>
                <w:sz w:val="24"/>
              </w:rPr>
            </w:pPr>
            <w:r>
              <w:rPr>
                <w:spacing w:val="-2"/>
                <w:sz w:val="24"/>
              </w:rPr>
              <w:t>Representation</w:t>
            </w:r>
            <w:r>
              <w:rPr>
                <w:spacing w:val="-15"/>
                <w:sz w:val="24"/>
              </w:rPr>
              <w:t> </w:t>
            </w:r>
            <w:r>
              <w:rPr>
                <w:spacing w:val="-2"/>
                <w:sz w:val="24"/>
              </w:rPr>
              <w:t>from</w:t>
            </w:r>
            <w:r>
              <w:rPr>
                <w:spacing w:val="-15"/>
                <w:sz w:val="24"/>
              </w:rPr>
              <w:t> </w:t>
            </w:r>
            <w:r>
              <w:rPr>
                <w:spacing w:val="-2"/>
                <w:sz w:val="24"/>
              </w:rPr>
              <w:t>RJC</w:t>
            </w:r>
            <w:r>
              <w:rPr>
                <w:spacing w:val="-14"/>
                <w:sz w:val="24"/>
              </w:rPr>
              <w:t> </w:t>
            </w:r>
            <w:r>
              <w:rPr>
                <w:spacing w:val="-2"/>
                <w:sz w:val="24"/>
              </w:rPr>
              <w:t>Finance</w:t>
            </w:r>
            <w:r>
              <w:rPr>
                <w:spacing w:val="-15"/>
                <w:sz w:val="24"/>
              </w:rPr>
              <w:t> </w:t>
            </w:r>
            <w:r>
              <w:rPr>
                <w:spacing w:val="-2"/>
                <w:sz w:val="24"/>
              </w:rPr>
              <w:t>&amp;</w:t>
            </w:r>
            <w:r>
              <w:rPr>
                <w:spacing w:val="-15"/>
                <w:sz w:val="24"/>
              </w:rPr>
              <w:t> </w:t>
            </w:r>
            <w:r>
              <w:rPr>
                <w:spacing w:val="-2"/>
                <w:sz w:val="24"/>
              </w:rPr>
              <w:t>Contracting Subgroup</w:t>
            </w:r>
          </w:p>
        </w:tc>
        <w:tc>
          <w:tcPr>
            <w:tcW w:w="4862" w:type="dxa"/>
          </w:tcPr>
          <w:p>
            <w:pPr>
              <w:pStyle w:val="TableParagraph"/>
              <w:spacing w:line="276" w:lineRule="exact"/>
              <w:ind w:left="105" w:right="792"/>
              <w:rPr>
                <w:sz w:val="24"/>
              </w:rPr>
            </w:pPr>
            <w:r>
              <w:rPr>
                <w:spacing w:val="-2"/>
                <w:sz w:val="24"/>
              </w:rPr>
              <w:t>Swansea</w:t>
            </w:r>
            <w:r>
              <w:rPr>
                <w:spacing w:val="-15"/>
                <w:sz w:val="24"/>
              </w:rPr>
              <w:t> </w:t>
            </w:r>
            <w:r>
              <w:rPr>
                <w:spacing w:val="-2"/>
                <w:sz w:val="24"/>
              </w:rPr>
              <w:t>Bay</w:t>
            </w:r>
            <w:r>
              <w:rPr>
                <w:spacing w:val="-15"/>
                <w:sz w:val="24"/>
              </w:rPr>
              <w:t> </w:t>
            </w:r>
            <w:r>
              <w:rPr>
                <w:spacing w:val="-2"/>
                <w:sz w:val="24"/>
              </w:rPr>
              <w:t>University</w:t>
            </w:r>
            <w:r>
              <w:rPr>
                <w:spacing w:val="-14"/>
                <w:sz w:val="24"/>
              </w:rPr>
              <w:t> </w:t>
            </w:r>
            <w:r>
              <w:rPr>
                <w:spacing w:val="-2"/>
                <w:sz w:val="24"/>
              </w:rPr>
              <w:t>Health</w:t>
            </w:r>
            <w:r>
              <w:rPr>
                <w:spacing w:val="-15"/>
                <w:sz w:val="24"/>
              </w:rPr>
              <w:t> </w:t>
            </w:r>
            <w:r>
              <w:rPr>
                <w:spacing w:val="-2"/>
                <w:sz w:val="24"/>
              </w:rPr>
              <w:t>Board </w:t>
            </w:r>
            <w:r>
              <w:rPr>
                <w:sz w:val="24"/>
              </w:rPr>
              <w:t>Hywel Dda University Health Board</w:t>
            </w:r>
          </w:p>
        </w:tc>
      </w:tr>
      <w:tr>
        <w:trPr>
          <w:trHeight w:val="553" w:hRule="atLeast"/>
        </w:trPr>
        <w:tc>
          <w:tcPr>
            <w:tcW w:w="5242" w:type="dxa"/>
          </w:tcPr>
          <w:p>
            <w:pPr>
              <w:pStyle w:val="TableParagraph"/>
              <w:spacing w:line="274" w:lineRule="exact"/>
              <w:ind w:left="105"/>
              <w:rPr>
                <w:sz w:val="24"/>
              </w:rPr>
            </w:pPr>
            <w:r>
              <w:rPr>
                <w:spacing w:val="-2"/>
                <w:sz w:val="24"/>
              </w:rPr>
              <w:t>Representation</w:t>
            </w:r>
            <w:r>
              <w:rPr>
                <w:spacing w:val="-13"/>
                <w:sz w:val="24"/>
              </w:rPr>
              <w:t> </w:t>
            </w:r>
            <w:r>
              <w:rPr>
                <w:spacing w:val="-2"/>
                <w:sz w:val="24"/>
              </w:rPr>
              <w:t>from</w:t>
            </w:r>
            <w:r>
              <w:rPr>
                <w:spacing w:val="-15"/>
                <w:sz w:val="24"/>
              </w:rPr>
              <w:t> </w:t>
            </w:r>
            <w:r>
              <w:rPr>
                <w:spacing w:val="-2"/>
                <w:sz w:val="24"/>
              </w:rPr>
              <w:t>RJC</w:t>
            </w:r>
            <w:r>
              <w:rPr>
                <w:spacing w:val="-14"/>
                <w:sz w:val="24"/>
              </w:rPr>
              <w:t> </w:t>
            </w:r>
            <w:r>
              <w:rPr>
                <w:spacing w:val="-2"/>
                <w:sz w:val="24"/>
              </w:rPr>
              <w:t>Workforce</w:t>
            </w:r>
            <w:r>
              <w:rPr>
                <w:spacing w:val="-14"/>
                <w:sz w:val="24"/>
              </w:rPr>
              <w:t> </w:t>
            </w:r>
            <w:r>
              <w:rPr>
                <w:spacing w:val="-2"/>
                <w:sz w:val="24"/>
              </w:rPr>
              <w:t>&amp;</w:t>
            </w:r>
            <w:r>
              <w:rPr>
                <w:spacing w:val="-14"/>
                <w:sz w:val="24"/>
              </w:rPr>
              <w:t> </w:t>
            </w:r>
            <w:r>
              <w:rPr>
                <w:spacing w:val="-5"/>
                <w:sz w:val="24"/>
              </w:rPr>
              <w:t>OD</w:t>
            </w:r>
          </w:p>
          <w:p>
            <w:pPr>
              <w:pStyle w:val="TableParagraph"/>
              <w:spacing w:line="255" w:lineRule="exact" w:before="4"/>
              <w:ind w:left="105"/>
              <w:rPr>
                <w:sz w:val="24"/>
              </w:rPr>
            </w:pPr>
            <w:r>
              <w:rPr>
                <w:spacing w:val="-2"/>
                <w:sz w:val="24"/>
              </w:rPr>
              <w:t>Subgroup</w:t>
            </w:r>
          </w:p>
        </w:tc>
        <w:tc>
          <w:tcPr>
            <w:tcW w:w="4862" w:type="dxa"/>
          </w:tcPr>
          <w:p>
            <w:pPr>
              <w:pStyle w:val="TableParagraph"/>
              <w:spacing w:line="274" w:lineRule="exact"/>
              <w:ind w:left="105"/>
              <w:rPr>
                <w:sz w:val="24"/>
              </w:rPr>
            </w:pPr>
            <w:r>
              <w:rPr>
                <w:spacing w:val="-4"/>
                <w:sz w:val="24"/>
              </w:rPr>
              <w:t>Swansea</w:t>
            </w:r>
            <w:r>
              <w:rPr>
                <w:spacing w:val="-2"/>
                <w:sz w:val="24"/>
              </w:rPr>
              <w:t> </w:t>
            </w:r>
            <w:r>
              <w:rPr>
                <w:spacing w:val="-4"/>
                <w:sz w:val="24"/>
              </w:rPr>
              <w:t>Bay</w:t>
            </w:r>
            <w:r>
              <w:rPr>
                <w:spacing w:val="-2"/>
                <w:sz w:val="24"/>
              </w:rPr>
              <w:t> </w:t>
            </w:r>
            <w:r>
              <w:rPr>
                <w:spacing w:val="-4"/>
                <w:sz w:val="24"/>
              </w:rPr>
              <w:t>University</w:t>
            </w:r>
            <w:r>
              <w:rPr>
                <w:spacing w:val="-3"/>
                <w:sz w:val="24"/>
              </w:rPr>
              <w:t> </w:t>
            </w:r>
            <w:r>
              <w:rPr>
                <w:spacing w:val="-4"/>
                <w:sz w:val="24"/>
              </w:rPr>
              <w:t>Health</w:t>
            </w:r>
            <w:r>
              <w:rPr>
                <w:spacing w:val="-1"/>
                <w:sz w:val="24"/>
              </w:rPr>
              <w:t> </w:t>
            </w:r>
            <w:r>
              <w:rPr>
                <w:spacing w:val="-4"/>
                <w:sz w:val="24"/>
              </w:rPr>
              <w:t>Board</w:t>
            </w:r>
          </w:p>
          <w:p>
            <w:pPr>
              <w:pStyle w:val="TableParagraph"/>
              <w:spacing w:line="255" w:lineRule="exact" w:before="4"/>
              <w:ind w:left="105"/>
              <w:rPr>
                <w:sz w:val="24"/>
              </w:rPr>
            </w:pPr>
            <w:r>
              <w:rPr>
                <w:spacing w:val="-2"/>
                <w:sz w:val="24"/>
              </w:rPr>
              <w:t>Hywel</w:t>
            </w:r>
            <w:r>
              <w:rPr>
                <w:spacing w:val="-15"/>
                <w:sz w:val="24"/>
              </w:rPr>
              <w:t> </w:t>
            </w:r>
            <w:r>
              <w:rPr>
                <w:spacing w:val="-2"/>
                <w:sz w:val="24"/>
              </w:rPr>
              <w:t>Dda</w:t>
            </w:r>
            <w:r>
              <w:rPr>
                <w:spacing w:val="-15"/>
                <w:sz w:val="24"/>
              </w:rPr>
              <w:t> </w:t>
            </w:r>
            <w:r>
              <w:rPr>
                <w:spacing w:val="-2"/>
                <w:sz w:val="24"/>
              </w:rPr>
              <w:t>University</w:t>
            </w:r>
            <w:r>
              <w:rPr>
                <w:spacing w:val="-14"/>
                <w:sz w:val="24"/>
              </w:rPr>
              <w:t> </w:t>
            </w:r>
            <w:r>
              <w:rPr>
                <w:spacing w:val="-2"/>
                <w:sz w:val="24"/>
              </w:rPr>
              <w:t>Health</w:t>
            </w:r>
            <w:r>
              <w:rPr>
                <w:spacing w:val="-12"/>
                <w:sz w:val="24"/>
              </w:rPr>
              <w:t> </w:t>
            </w:r>
            <w:r>
              <w:rPr>
                <w:spacing w:val="-4"/>
                <w:sz w:val="24"/>
              </w:rPr>
              <w:t>Board</w:t>
            </w:r>
          </w:p>
        </w:tc>
      </w:tr>
      <w:tr>
        <w:trPr>
          <w:trHeight w:val="550" w:hRule="atLeast"/>
        </w:trPr>
        <w:tc>
          <w:tcPr>
            <w:tcW w:w="5242" w:type="dxa"/>
          </w:tcPr>
          <w:p>
            <w:pPr>
              <w:pStyle w:val="TableParagraph"/>
              <w:spacing w:line="276" w:lineRule="exact"/>
              <w:ind w:left="105" w:right="168"/>
              <w:rPr>
                <w:sz w:val="24"/>
              </w:rPr>
            </w:pPr>
            <w:r>
              <w:rPr>
                <w:spacing w:val="-2"/>
                <w:sz w:val="24"/>
              </w:rPr>
              <w:t>Representation</w:t>
            </w:r>
            <w:r>
              <w:rPr>
                <w:spacing w:val="-15"/>
                <w:sz w:val="24"/>
              </w:rPr>
              <w:t> </w:t>
            </w:r>
            <w:r>
              <w:rPr>
                <w:spacing w:val="-2"/>
                <w:sz w:val="24"/>
              </w:rPr>
              <w:t>from</w:t>
            </w:r>
            <w:r>
              <w:rPr>
                <w:spacing w:val="-15"/>
                <w:sz w:val="24"/>
              </w:rPr>
              <w:t> </w:t>
            </w:r>
            <w:r>
              <w:rPr>
                <w:spacing w:val="-2"/>
                <w:sz w:val="24"/>
              </w:rPr>
              <w:t>RJC</w:t>
            </w:r>
            <w:r>
              <w:rPr>
                <w:spacing w:val="-14"/>
                <w:sz w:val="24"/>
              </w:rPr>
              <w:t> </w:t>
            </w:r>
            <w:r>
              <w:rPr>
                <w:spacing w:val="-2"/>
                <w:sz w:val="24"/>
              </w:rPr>
              <w:t>Data</w:t>
            </w:r>
            <w:r>
              <w:rPr>
                <w:spacing w:val="-15"/>
                <w:sz w:val="24"/>
              </w:rPr>
              <w:t> </w:t>
            </w:r>
            <w:r>
              <w:rPr>
                <w:spacing w:val="-2"/>
                <w:sz w:val="24"/>
              </w:rPr>
              <w:t>&amp;</w:t>
            </w:r>
            <w:r>
              <w:rPr>
                <w:spacing w:val="-15"/>
                <w:sz w:val="24"/>
              </w:rPr>
              <w:t> </w:t>
            </w:r>
            <w:r>
              <w:rPr>
                <w:spacing w:val="-2"/>
                <w:sz w:val="24"/>
              </w:rPr>
              <w:t>Digital Subgroup</w:t>
            </w:r>
          </w:p>
        </w:tc>
        <w:tc>
          <w:tcPr>
            <w:tcW w:w="4862" w:type="dxa"/>
          </w:tcPr>
          <w:p>
            <w:pPr>
              <w:pStyle w:val="TableParagraph"/>
              <w:spacing w:line="276" w:lineRule="exact"/>
              <w:ind w:left="105" w:right="792"/>
              <w:rPr>
                <w:sz w:val="24"/>
              </w:rPr>
            </w:pPr>
            <w:r>
              <w:rPr>
                <w:spacing w:val="-2"/>
                <w:sz w:val="24"/>
              </w:rPr>
              <w:t>Swansea</w:t>
            </w:r>
            <w:r>
              <w:rPr>
                <w:spacing w:val="-15"/>
                <w:sz w:val="24"/>
              </w:rPr>
              <w:t> </w:t>
            </w:r>
            <w:r>
              <w:rPr>
                <w:spacing w:val="-2"/>
                <w:sz w:val="24"/>
              </w:rPr>
              <w:t>Bay</w:t>
            </w:r>
            <w:r>
              <w:rPr>
                <w:spacing w:val="-15"/>
                <w:sz w:val="24"/>
              </w:rPr>
              <w:t> </w:t>
            </w:r>
            <w:r>
              <w:rPr>
                <w:spacing w:val="-2"/>
                <w:sz w:val="24"/>
              </w:rPr>
              <w:t>University</w:t>
            </w:r>
            <w:r>
              <w:rPr>
                <w:spacing w:val="-14"/>
                <w:sz w:val="24"/>
              </w:rPr>
              <w:t> </w:t>
            </w:r>
            <w:r>
              <w:rPr>
                <w:spacing w:val="-2"/>
                <w:sz w:val="24"/>
              </w:rPr>
              <w:t>Health</w:t>
            </w:r>
            <w:r>
              <w:rPr>
                <w:spacing w:val="-15"/>
                <w:sz w:val="24"/>
              </w:rPr>
              <w:t> </w:t>
            </w:r>
            <w:r>
              <w:rPr>
                <w:spacing w:val="-2"/>
                <w:sz w:val="24"/>
              </w:rPr>
              <w:t>Board </w:t>
            </w:r>
            <w:r>
              <w:rPr>
                <w:sz w:val="24"/>
              </w:rPr>
              <w:t>Hywel Dda University Health Board</w:t>
            </w:r>
          </w:p>
        </w:tc>
      </w:tr>
      <w:tr>
        <w:trPr>
          <w:trHeight w:val="553" w:hRule="atLeast"/>
        </w:trPr>
        <w:tc>
          <w:tcPr>
            <w:tcW w:w="5242" w:type="dxa"/>
          </w:tcPr>
          <w:p>
            <w:pPr>
              <w:pStyle w:val="TableParagraph"/>
              <w:spacing w:line="274" w:lineRule="exact"/>
              <w:ind w:left="105" w:right="168"/>
              <w:rPr>
                <w:sz w:val="24"/>
              </w:rPr>
            </w:pPr>
            <w:r>
              <w:rPr>
                <w:spacing w:val="-4"/>
                <w:sz w:val="24"/>
              </w:rPr>
              <w:t>Representation from</w:t>
            </w:r>
            <w:r>
              <w:rPr>
                <w:spacing w:val="-5"/>
                <w:sz w:val="24"/>
              </w:rPr>
              <w:t> </w:t>
            </w:r>
            <w:r>
              <w:rPr>
                <w:spacing w:val="-4"/>
                <w:sz w:val="24"/>
              </w:rPr>
              <w:t>RJC Research,</w:t>
            </w:r>
            <w:r>
              <w:rPr>
                <w:spacing w:val="-7"/>
                <w:sz w:val="24"/>
              </w:rPr>
              <w:t> </w:t>
            </w:r>
            <w:r>
              <w:rPr>
                <w:spacing w:val="-4"/>
                <w:sz w:val="24"/>
              </w:rPr>
              <w:t>Innovation </w:t>
            </w:r>
            <w:r>
              <w:rPr>
                <w:sz w:val="24"/>
              </w:rPr>
              <w:t>&amp; Excellence Subgroup</w:t>
            </w:r>
          </w:p>
        </w:tc>
        <w:tc>
          <w:tcPr>
            <w:tcW w:w="4862" w:type="dxa"/>
          </w:tcPr>
          <w:p>
            <w:pPr>
              <w:pStyle w:val="TableParagraph"/>
              <w:spacing w:line="274" w:lineRule="exact"/>
              <w:ind w:left="105" w:right="792"/>
              <w:rPr>
                <w:sz w:val="24"/>
              </w:rPr>
            </w:pPr>
            <w:r>
              <w:rPr>
                <w:spacing w:val="-2"/>
                <w:sz w:val="24"/>
              </w:rPr>
              <w:t>Swansea</w:t>
            </w:r>
            <w:r>
              <w:rPr>
                <w:spacing w:val="-15"/>
                <w:sz w:val="24"/>
              </w:rPr>
              <w:t> </w:t>
            </w:r>
            <w:r>
              <w:rPr>
                <w:spacing w:val="-2"/>
                <w:sz w:val="24"/>
              </w:rPr>
              <w:t>Bay</w:t>
            </w:r>
            <w:r>
              <w:rPr>
                <w:spacing w:val="-15"/>
                <w:sz w:val="24"/>
              </w:rPr>
              <w:t> </w:t>
            </w:r>
            <w:r>
              <w:rPr>
                <w:spacing w:val="-2"/>
                <w:sz w:val="24"/>
              </w:rPr>
              <w:t>University</w:t>
            </w:r>
            <w:r>
              <w:rPr>
                <w:spacing w:val="-14"/>
                <w:sz w:val="24"/>
              </w:rPr>
              <w:t> </w:t>
            </w:r>
            <w:r>
              <w:rPr>
                <w:spacing w:val="-2"/>
                <w:sz w:val="24"/>
              </w:rPr>
              <w:t>Health</w:t>
            </w:r>
            <w:r>
              <w:rPr>
                <w:spacing w:val="-15"/>
                <w:sz w:val="24"/>
              </w:rPr>
              <w:t> </w:t>
            </w:r>
            <w:r>
              <w:rPr>
                <w:spacing w:val="-2"/>
                <w:sz w:val="24"/>
              </w:rPr>
              <w:t>Board </w:t>
            </w:r>
            <w:r>
              <w:rPr>
                <w:sz w:val="24"/>
              </w:rPr>
              <w:t>Hywel Dda University Health Board</w:t>
            </w:r>
          </w:p>
        </w:tc>
      </w:tr>
      <w:tr>
        <w:trPr>
          <w:trHeight w:val="550" w:hRule="atLeast"/>
        </w:trPr>
        <w:tc>
          <w:tcPr>
            <w:tcW w:w="10104" w:type="dxa"/>
            <w:gridSpan w:val="2"/>
            <w:shd w:val="clear" w:color="auto" w:fill="C1A875"/>
          </w:tcPr>
          <w:p>
            <w:pPr>
              <w:pStyle w:val="TableParagraph"/>
              <w:spacing w:line="276" w:lineRule="exact"/>
              <w:ind w:left="105"/>
              <w:rPr>
                <w:b/>
                <w:sz w:val="24"/>
              </w:rPr>
            </w:pPr>
            <w:r>
              <w:rPr>
                <w:b/>
                <w:sz w:val="24"/>
              </w:rPr>
              <w:t>Invitation</w:t>
            </w:r>
            <w:r>
              <w:rPr>
                <w:b/>
                <w:spacing w:val="-3"/>
                <w:sz w:val="24"/>
              </w:rPr>
              <w:t> </w:t>
            </w:r>
            <w:r>
              <w:rPr>
                <w:b/>
                <w:sz w:val="24"/>
              </w:rPr>
              <w:t>to</w:t>
            </w:r>
            <w:r>
              <w:rPr>
                <w:b/>
                <w:spacing w:val="-7"/>
                <w:sz w:val="24"/>
              </w:rPr>
              <w:t> </w:t>
            </w:r>
            <w:r>
              <w:rPr>
                <w:b/>
                <w:sz w:val="24"/>
              </w:rPr>
              <w:t>attend</w:t>
            </w:r>
            <w:r>
              <w:rPr>
                <w:b/>
                <w:spacing w:val="-3"/>
                <w:sz w:val="24"/>
              </w:rPr>
              <w:t> </w:t>
            </w:r>
            <w:r>
              <w:rPr>
                <w:b/>
                <w:sz w:val="24"/>
              </w:rPr>
              <w:t>to</w:t>
            </w:r>
            <w:r>
              <w:rPr>
                <w:b/>
                <w:spacing w:val="-3"/>
                <w:sz w:val="24"/>
              </w:rPr>
              <w:t> </w:t>
            </w:r>
            <w:r>
              <w:rPr>
                <w:b/>
                <w:sz w:val="24"/>
              </w:rPr>
              <w:t>discuss</w:t>
            </w:r>
            <w:r>
              <w:rPr>
                <w:b/>
                <w:spacing w:val="-1"/>
                <w:sz w:val="24"/>
              </w:rPr>
              <w:t> </w:t>
            </w:r>
            <w:r>
              <w:rPr>
                <w:b/>
                <w:sz w:val="24"/>
              </w:rPr>
              <w:t>specific</w:t>
            </w:r>
            <w:r>
              <w:rPr>
                <w:b/>
                <w:spacing w:val="-5"/>
                <w:sz w:val="24"/>
              </w:rPr>
              <w:t> </w:t>
            </w:r>
            <w:r>
              <w:rPr>
                <w:b/>
                <w:sz w:val="24"/>
              </w:rPr>
              <w:t>subject</w:t>
            </w:r>
            <w:r>
              <w:rPr>
                <w:b/>
                <w:spacing w:val="-6"/>
                <w:sz w:val="24"/>
              </w:rPr>
              <w:t> </w:t>
            </w:r>
            <w:r>
              <w:rPr>
                <w:b/>
                <w:sz w:val="24"/>
              </w:rPr>
              <w:t>areas/</w:t>
            </w:r>
            <w:r>
              <w:rPr>
                <w:b/>
                <w:spacing w:val="-5"/>
                <w:sz w:val="24"/>
              </w:rPr>
              <w:t> </w:t>
            </w:r>
            <w:r>
              <w:rPr>
                <w:b/>
                <w:sz w:val="24"/>
              </w:rPr>
              <w:t>work</w:t>
            </w:r>
            <w:r>
              <w:rPr>
                <w:b/>
                <w:spacing w:val="-5"/>
                <w:sz w:val="24"/>
              </w:rPr>
              <w:t> </w:t>
            </w:r>
            <w:r>
              <w:rPr>
                <w:b/>
                <w:sz w:val="24"/>
              </w:rPr>
              <w:t>programme</w:t>
            </w:r>
            <w:r>
              <w:rPr>
                <w:b/>
                <w:spacing w:val="-5"/>
                <w:sz w:val="24"/>
              </w:rPr>
              <w:t> </w:t>
            </w:r>
            <w:r>
              <w:rPr>
                <w:b/>
                <w:sz w:val="24"/>
              </w:rPr>
              <w:t>areas</w:t>
            </w:r>
            <w:r>
              <w:rPr>
                <w:b/>
                <w:spacing w:val="-5"/>
                <w:sz w:val="24"/>
              </w:rPr>
              <w:t> </w:t>
            </w:r>
            <w:r>
              <w:rPr>
                <w:b/>
                <w:sz w:val="24"/>
              </w:rPr>
              <w:t>requiring wider collaboration (as and when required)</w:t>
            </w:r>
          </w:p>
        </w:tc>
      </w:tr>
      <w:tr>
        <w:trPr>
          <w:trHeight w:val="283" w:hRule="atLeast"/>
        </w:trPr>
        <w:tc>
          <w:tcPr>
            <w:tcW w:w="5242" w:type="dxa"/>
          </w:tcPr>
          <w:p>
            <w:pPr>
              <w:pStyle w:val="TableParagraph"/>
              <w:spacing w:line="263" w:lineRule="exact"/>
              <w:ind w:left="105"/>
              <w:rPr>
                <w:sz w:val="24"/>
              </w:rPr>
            </w:pPr>
            <w:r>
              <w:rPr>
                <w:sz w:val="24"/>
              </w:rPr>
              <w:t>As</w:t>
            </w:r>
            <w:r>
              <w:rPr>
                <w:spacing w:val="-16"/>
                <w:sz w:val="24"/>
              </w:rPr>
              <w:t> </w:t>
            </w:r>
            <w:r>
              <w:rPr>
                <w:sz w:val="24"/>
              </w:rPr>
              <w:t>and</w:t>
            </w:r>
            <w:r>
              <w:rPr>
                <w:spacing w:val="-15"/>
                <w:sz w:val="24"/>
              </w:rPr>
              <w:t> </w:t>
            </w:r>
            <w:r>
              <w:rPr>
                <w:sz w:val="24"/>
              </w:rPr>
              <w:t>when</w:t>
            </w:r>
            <w:r>
              <w:rPr>
                <w:spacing w:val="-14"/>
                <w:sz w:val="24"/>
              </w:rPr>
              <w:t> </w:t>
            </w:r>
            <w:r>
              <w:rPr>
                <w:spacing w:val="-2"/>
                <w:sz w:val="24"/>
              </w:rPr>
              <w:t>required</w:t>
            </w:r>
          </w:p>
        </w:tc>
        <w:tc>
          <w:tcPr>
            <w:tcW w:w="4862" w:type="dxa"/>
          </w:tcPr>
          <w:p>
            <w:pPr>
              <w:pStyle w:val="TableParagraph"/>
              <w:spacing w:line="263" w:lineRule="exact"/>
              <w:ind w:left="105"/>
              <w:rPr>
                <w:sz w:val="24"/>
              </w:rPr>
            </w:pPr>
            <w:r>
              <w:rPr>
                <w:spacing w:val="-2"/>
                <w:sz w:val="24"/>
              </w:rPr>
              <w:t>e.g.</w:t>
            </w:r>
            <w:r>
              <w:rPr>
                <w:spacing w:val="-17"/>
                <w:sz w:val="24"/>
              </w:rPr>
              <w:t> </w:t>
            </w:r>
            <w:r>
              <w:rPr>
                <w:spacing w:val="-2"/>
                <w:sz w:val="24"/>
              </w:rPr>
              <w:t>RPBs,</w:t>
            </w:r>
            <w:r>
              <w:rPr>
                <w:spacing w:val="-9"/>
                <w:sz w:val="24"/>
              </w:rPr>
              <w:t> </w:t>
            </w:r>
            <w:r>
              <w:rPr>
                <w:spacing w:val="-2"/>
                <w:sz w:val="24"/>
              </w:rPr>
              <w:t>FE</w:t>
            </w:r>
            <w:r>
              <w:rPr>
                <w:spacing w:val="-10"/>
                <w:sz w:val="24"/>
              </w:rPr>
              <w:t> </w:t>
            </w:r>
            <w:r>
              <w:rPr>
                <w:spacing w:val="-2"/>
                <w:sz w:val="24"/>
              </w:rPr>
              <w:t>Colleges,</w:t>
            </w:r>
            <w:r>
              <w:rPr>
                <w:spacing w:val="-10"/>
                <w:sz w:val="24"/>
              </w:rPr>
              <w:t> </w:t>
            </w:r>
            <w:r>
              <w:rPr>
                <w:spacing w:val="-5"/>
                <w:sz w:val="24"/>
              </w:rPr>
              <w:t>etc</w:t>
            </w:r>
          </w:p>
        </w:tc>
      </w:tr>
    </w:tbl>
    <w:p>
      <w:pPr>
        <w:pStyle w:val="ListParagraph"/>
        <w:numPr>
          <w:ilvl w:val="1"/>
          <w:numId w:val="90"/>
        </w:numPr>
        <w:tabs>
          <w:tab w:pos="937" w:val="left" w:leader="none"/>
        </w:tabs>
        <w:spacing w:line="240" w:lineRule="auto" w:before="177" w:after="0"/>
        <w:ind w:left="937" w:right="481" w:hanging="795"/>
        <w:jc w:val="left"/>
        <w:rPr>
          <w:sz w:val="24"/>
        </w:rPr>
      </w:pPr>
      <w:r>
        <w:rPr>
          <w:spacing w:val="-2"/>
          <w:sz w:val="24"/>
        </w:rPr>
        <w:t>The</w:t>
      </w:r>
      <w:r>
        <w:rPr>
          <w:spacing w:val="-8"/>
          <w:sz w:val="24"/>
        </w:rPr>
        <w:t> </w:t>
      </w:r>
      <w:r>
        <w:rPr>
          <w:spacing w:val="-2"/>
          <w:sz w:val="24"/>
        </w:rPr>
        <w:t>RHES</w:t>
      </w:r>
      <w:r>
        <w:rPr>
          <w:spacing w:val="-15"/>
          <w:sz w:val="24"/>
        </w:rPr>
        <w:t> </w:t>
      </w:r>
      <w:r>
        <w:rPr>
          <w:spacing w:val="-2"/>
          <w:sz w:val="24"/>
        </w:rPr>
        <w:t>will</w:t>
      </w:r>
      <w:r>
        <w:rPr>
          <w:spacing w:val="-14"/>
          <w:sz w:val="24"/>
        </w:rPr>
        <w:t> </w:t>
      </w:r>
      <w:r>
        <w:rPr>
          <w:spacing w:val="-2"/>
          <w:sz w:val="24"/>
        </w:rPr>
        <w:t>be</w:t>
      </w:r>
      <w:r>
        <w:rPr>
          <w:spacing w:val="-9"/>
          <w:sz w:val="24"/>
        </w:rPr>
        <w:t> </w:t>
      </w:r>
      <w:r>
        <w:rPr>
          <w:spacing w:val="-2"/>
          <w:sz w:val="24"/>
        </w:rPr>
        <w:t>chaired</w:t>
      </w:r>
      <w:r>
        <w:rPr>
          <w:spacing w:val="-12"/>
          <w:sz w:val="24"/>
        </w:rPr>
        <w:t> </w:t>
      </w:r>
      <w:r>
        <w:rPr>
          <w:spacing w:val="-2"/>
          <w:sz w:val="24"/>
        </w:rPr>
        <w:t>on</w:t>
      </w:r>
      <w:r>
        <w:rPr>
          <w:spacing w:val="-9"/>
          <w:sz w:val="24"/>
        </w:rPr>
        <w:t> </w:t>
      </w:r>
      <w:r>
        <w:rPr>
          <w:spacing w:val="-2"/>
          <w:sz w:val="24"/>
        </w:rPr>
        <w:t>a</w:t>
      </w:r>
      <w:r>
        <w:rPr>
          <w:spacing w:val="-9"/>
          <w:sz w:val="24"/>
        </w:rPr>
        <w:t> </w:t>
      </w:r>
      <w:r>
        <w:rPr>
          <w:spacing w:val="-2"/>
          <w:sz w:val="24"/>
        </w:rPr>
        <w:t>rotational</w:t>
      </w:r>
      <w:r>
        <w:rPr>
          <w:spacing w:val="-9"/>
          <w:sz w:val="24"/>
        </w:rPr>
        <w:t> </w:t>
      </w:r>
      <w:r>
        <w:rPr>
          <w:spacing w:val="-2"/>
          <w:sz w:val="24"/>
        </w:rPr>
        <w:t>basis</w:t>
      </w:r>
      <w:r>
        <w:rPr>
          <w:spacing w:val="-8"/>
          <w:sz w:val="24"/>
        </w:rPr>
        <w:t> </w:t>
      </w:r>
      <w:r>
        <w:rPr>
          <w:spacing w:val="-2"/>
          <w:sz w:val="24"/>
        </w:rPr>
        <w:t>by</w:t>
      </w:r>
      <w:r>
        <w:rPr>
          <w:spacing w:val="-10"/>
          <w:sz w:val="24"/>
        </w:rPr>
        <w:t> </w:t>
      </w:r>
      <w:r>
        <w:rPr>
          <w:spacing w:val="-2"/>
          <w:sz w:val="24"/>
        </w:rPr>
        <w:t>the</w:t>
      </w:r>
      <w:r>
        <w:rPr>
          <w:spacing w:val="-9"/>
          <w:sz w:val="24"/>
        </w:rPr>
        <w:t> </w:t>
      </w:r>
      <w:r>
        <w:rPr>
          <w:spacing w:val="-2"/>
          <w:sz w:val="24"/>
        </w:rPr>
        <w:t>Executive</w:t>
      </w:r>
      <w:r>
        <w:rPr>
          <w:spacing w:val="-14"/>
          <w:sz w:val="24"/>
        </w:rPr>
        <w:t> </w:t>
      </w:r>
      <w:r>
        <w:rPr>
          <w:spacing w:val="-2"/>
          <w:sz w:val="24"/>
        </w:rPr>
        <w:t>Directors</w:t>
      </w:r>
      <w:r>
        <w:rPr>
          <w:spacing w:val="-10"/>
          <w:sz w:val="24"/>
        </w:rPr>
        <w:t> </w:t>
      </w:r>
      <w:r>
        <w:rPr>
          <w:spacing w:val="-2"/>
          <w:sz w:val="24"/>
        </w:rPr>
        <w:t>of</w:t>
      </w:r>
      <w:r>
        <w:rPr>
          <w:spacing w:val="-7"/>
          <w:sz w:val="24"/>
        </w:rPr>
        <w:t> </w:t>
      </w:r>
      <w:r>
        <w:rPr>
          <w:spacing w:val="-2"/>
          <w:sz w:val="24"/>
        </w:rPr>
        <w:t>Public</w:t>
      </w:r>
      <w:r>
        <w:rPr>
          <w:spacing w:val="-10"/>
          <w:sz w:val="24"/>
        </w:rPr>
        <w:t> </w:t>
      </w:r>
      <w:r>
        <w:rPr>
          <w:spacing w:val="-2"/>
          <w:sz w:val="24"/>
        </w:rPr>
        <w:t>Health, </w:t>
      </w:r>
      <w:r>
        <w:rPr>
          <w:sz w:val="24"/>
        </w:rPr>
        <w:t>Swansea</w:t>
      </w:r>
      <w:r>
        <w:rPr>
          <w:spacing w:val="-3"/>
          <w:sz w:val="24"/>
        </w:rPr>
        <w:t> </w:t>
      </w:r>
      <w:r>
        <w:rPr>
          <w:sz w:val="24"/>
        </w:rPr>
        <w:t>Bay</w:t>
      </w:r>
      <w:r>
        <w:rPr>
          <w:spacing w:val="-3"/>
          <w:sz w:val="24"/>
        </w:rPr>
        <w:t> </w:t>
      </w:r>
      <w:r>
        <w:rPr>
          <w:sz w:val="24"/>
        </w:rPr>
        <w:t>and</w:t>
      </w:r>
      <w:r>
        <w:rPr>
          <w:spacing w:val="-3"/>
          <w:sz w:val="24"/>
        </w:rPr>
        <w:t> </w:t>
      </w:r>
      <w:r>
        <w:rPr>
          <w:sz w:val="24"/>
        </w:rPr>
        <w:t>Hywel</w:t>
      </w:r>
      <w:r>
        <w:rPr>
          <w:spacing w:val="-3"/>
          <w:sz w:val="24"/>
        </w:rPr>
        <w:t> </w:t>
      </w:r>
      <w:r>
        <w:rPr>
          <w:sz w:val="24"/>
        </w:rPr>
        <w:t>Dda</w:t>
      </w:r>
      <w:r>
        <w:rPr>
          <w:spacing w:val="-3"/>
          <w:sz w:val="24"/>
        </w:rPr>
        <w:t> </w:t>
      </w:r>
      <w:r>
        <w:rPr>
          <w:sz w:val="24"/>
        </w:rPr>
        <w:t>University</w:t>
      </w:r>
      <w:r>
        <w:rPr>
          <w:spacing w:val="-4"/>
          <w:sz w:val="24"/>
        </w:rPr>
        <w:t> </w:t>
      </w:r>
      <w:r>
        <w:rPr>
          <w:sz w:val="24"/>
        </w:rPr>
        <w:t>Health</w:t>
      </w:r>
      <w:r>
        <w:rPr>
          <w:spacing w:val="-3"/>
          <w:sz w:val="24"/>
        </w:rPr>
        <w:t> </w:t>
      </w:r>
      <w:r>
        <w:rPr>
          <w:sz w:val="24"/>
        </w:rPr>
        <w:t>Boards.</w:t>
      </w:r>
    </w:p>
    <w:p>
      <w:pPr>
        <w:pStyle w:val="ListParagraph"/>
        <w:numPr>
          <w:ilvl w:val="1"/>
          <w:numId w:val="90"/>
        </w:numPr>
        <w:tabs>
          <w:tab w:pos="937" w:val="left" w:leader="none"/>
        </w:tabs>
        <w:spacing w:line="240" w:lineRule="auto" w:before="158" w:after="0"/>
        <w:ind w:left="937" w:right="0" w:hanging="795"/>
        <w:jc w:val="left"/>
        <w:rPr>
          <w:sz w:val="24"/>
        </w:rPr>
      </w:pPr>
      <w:r>
        <w:rPr>
          <w:spacing w:val="-2"/>
          <w:sz w:val="24"/>
        </w:rPr>
        <w:t>Membership</w:t>
      </w:r>
      <w:r>
        <w:rPr>
          <w:spacing w:val="-13"/>
          <w:sz w:val="24"/>
        </w:rPr>
        <w:t> </w:t>
      </w:r>
      <w:r>
        <w:rPr>
          <w:spacing w:val="-2"/>
          <w:sz w:val="24"/>
        </w:rPr>
        <w:t>of</w:t>
      </w:r>
      <w:r>
        <w:rPr>
          <w:spacing w:val="-12"/>
          <w:sz w:val="24"/>
        </w:rPr>
        <w:t> </w:t>
      </w:r>
      <w:r>
        <w:rPr>
          <w:spacing w:val="-2"/>
          <w:sz w:val="24"/>
        </w:rPr>
        <w:t>the</w:t>
      </w:r>
      <w:r>
        <w:rPr>
          <w:spacing w:val="-9"/>
          <w:sz w:val="24"/>
        </w:rPr>
        <w:t> </w:t>
      </w:r>
      <w:r>
        <w:rPr>
          <w:spacing w:val="-2"/>
          <w:sz w:val="24"/>
        </w:rPr>
        <w:t>RHES</w:t>
      </w:r>
      <w:r>
        <w:rPr>
          <w:spacing w:val="-11"/>
          <w:sz w:val="24"/>
        </w:rPr>
        <w:t> </w:t>
      </w:r>
      <w:r>
        <w:rPr>
          <w:spacing w:val="-2"/>
          <w:sz w:val="24"/>
        </w:rPr>
        <w:t>will</w:t>
      </w:r>
      <w:r>
        <w:rPr>
          <w:spacing w:val="-10"/>
          <w:sz w:val="24"/>
        </w:rPr>
        <w:t> </w:t>
      </w:r>
      <w:r>
        <w:rPr>
          <w:spacing w:val="-2"/>
          <w:sz w:val="24"/>
        </w:rPr>
        <w:t>be</w:t>
      </w:r>
      <w:r>
        <w:rPr>
          <w:spacing w:val="-10"/>
          <w:sz w:val="24"/>
        </w:rPr>
        <w:t> </w:t>
      </w:r>
      <w:r>
        <w:rPr>
          <w:spacing w:val="-2"/>
          <w:sz w:val="24"/>
        </w:rPr>
        <w:t>reviewed</w:t>
      </w:r>
      <w:r>
        <w:rPr>
          <w:spacing w:val="-10"/>
          <w:sz w:val="24"/>
        </w:rPr>
        <w:t> </w:t>
      </w:r>
      <w:r>
        <w:rPr>
          <w:spacing w:val="-2"/>
          <w:sz w:val="24"/>
        </w:rPr>
        <w:t>on</w:t>
      </w:r>
      <w:r>
        <w:rPr>
          <w:spacing w:val="-10"/>
          <w:sz w:val="24"/>
        </w:rPr>
        <w:t> </w:t>
      </w:r>
      <w:r>
        <w:rPr>
          <w:spacing w:val="-2"/>
          <w:sz w:val="24"/>
        </w:rPr>
        <w:t>an</w:t>
      </w:r>
      <w:r>
        <w:rPr>
          <w:spacing w:val="-6"/>
          <w:sz w:val="24"/>
        </w:rPr>
        <w:t> </w:t>
      </w:r>
      <w:r>
        <w:rPr>
          <w:spacing w:val="-2"/>
          <w:sz w:val="24"/>
        </w:rPr>
        <w:t>annual</w:t>
      </w:r>
      <w:r>
        <w:rPr>
          <w:spacing w:val="-14"/>
          <w:sz w:val="24"/>
        </w:rPr>
        <w:t> </w:t>
      </w:r>
      <w:r>
        <w:rPr>
          <w:spacing w:val="-2"/>
          <w:sz w:val="24"/>
        </w:rPr>
        <w:t>basis.</w:t>
      </w:r>
    </w:p>
    <w:p>
      <w:pPr>
        <w:pStyle w:val="ListParagraph"/>
        <w:numPr>
          <w:ilvl w:val="1"/>
          <w:numId w:val="90"/>
        </w:numPr>
        <w:tabs>
          <w:tab w:pos="937" w:val="left" w:leader="none"/>
        </w:tabs>
        <w:spacing w:line="240" w:lineRule="auto" w:before="159" w:after="0"/>
        <w:ind w:left="937" w:right="0" w:hanging="795"/>
        <w:jc w:val="left"/>
        <w:rPr>
          <w:sz w:val="24"/>
        </w:rPr>
      </w:pPr>
      <w:r>
        <w:rPr>
          <w:sz w:val="24"/>
        </w:rPr>
        <w:t>The</w:t>
      </w:r>
      <w:r>
        <w:rPr>
          <w:spacing w:val="-17"/>
          <w:sz w:val="24"/>
        </w:rPr>
        <w:t> </w:t>
      </w:r>
      <w:r>
        <w:rPr>
          <w:sz w:val="24"/>
        </w:rPr>
        <w:t>RHES</w:t>
      </w:r>
      <w:r>
        <w:rPr>
          <w:spacing w:val="-17"/>
          <w:sz w:val="24"/>
        </w:rPr>
        <w:t> </w:t>
      </w:r>
      <w:r>
        <w:rPr>
          <w:sz w:val="24"/>
        </w:rPr>
        <w:t>will</w:t>
      </w:r>
      <w:r>
        <w:rPr>
          <w:spacing w:val="-16"/>
          <w:sz w:val="24"/>
        </w:rPr>
        <w:t> </w:t>
      </w:r>
      <w:r>
        <w:rPr>
          <w:sz w:val="24"/>
        </w:rPr>
        <w:t>be</w:t>
      </w:r>
      <w:r>
        <w:rPr>
          <w:spacing w:val="-17"/>
          <w:sz w:val="24"/>
        </w:rPr>
        <w:t> </w:t>
      </w:r>
      <w:r>
        <w:rPr>
          <w:sz w:val="24"/>
        </w:rPr>
        <w:t>supported</w:t>
      </w:r>
      <w:r>
        <w:rPr>
          <w:spacing w:val="-17"/>
          <w:sz w:val="24"/>
        </w:rPr>
        <w:t> </w:t>
      </w:r>
      <w:r>
        <w:rPr>
          <w:sz w:val="24"/>
        </w:rPr>
        <w:t>by</w:t>
      </w:r>
      <w:r>
        <w:rPr>
          <w:spacing w:val="-17"/>
          <w:sz w:val="24"/>
        </w:rPr>
        <w:t> </w:t>
      </w:r>
      <w:r>
        <w:rPr>
          <w:sz w:val="24"/>
        </w:rPr>
        <w:t>the</w:t>
      </w:r>
      <w:r>
        <w:rPr>
          <w:spacing w:val="-15"/>
          <w:sz w:val="24"/>
        </w:rPr>
        <w:t> </w:t>
      </w:r>
      <w:r>
        <w:rPr>
          <w:sz w:val="24"/>
        </w:rPr>
        <w:t>RJC</w:t>
      </w:r>
      <w:r>
        <w:rPr>
          <w:spacing w:val="-15"/>
          <w:sz w:val="24"/>
        </w:rPr>
        <w:t> </w:t>
      </w:r>
      <w:r>
        <w:rPr>
          <w:spacing w:val="-4"/>
          <w:sz w:val="24"/>
        </w:rPr>
        <w:t>PMO.</w:t>
      </w:r>
    </w:p>
    <w:p>
      <w:pPr>
        <w:pStyle w:val="BodyText"/>
        <w:rPr>
          <w:sz w:val="17"/>
        </w:rPr>
      </w:pPr>
      <w:r>
        <w:rPr>
          <w:sz w:val="17"/>
        </w:rPr>
        <mc:AlternateContent>
          <mc:Choice Requires="wps">
            <w:drawing>
              <wp:anchor distT="0" distB="0" distL="0" distR="0" allowOverlap="1" layoutInCell="1" locked="0" behindDoc="1" simplePos="0" relativeHeight="487703552">
                <wp:simplePos x="0" y="0"/>
                <wp:positionH relativeFrom="page">
                  <wp:posOffset>574992</wp:posOffset>
                </wp:positionH>
                <wp:positionV relativeFrom="paragraph">
                  <wp:posOffset>145728</wp:posOffset>
                </wp:positionV>
                <wp:extent cx="6642100" cy="193675"/>
                <wp:effectExtent l="0" t="0" r="0" b="0"/>
                <wp:wrapTopAndBottom/>
                <wp:docPr id="574" name="Textbox 574"/>
                <wp:cNvGraphicFramePr>
                  <a:graphicFrameLocks/>
                </wp:cNvGraphicFramePr>
                <a:graphic>
                  <a:graphicData uri="http://schemas.microsoft.com/office/word/2010/wordprocessingShape">
                    <wps:wsp>
                      <wps:cNvPr id="574" name="Textbox 574"/>
                      <wps:cNvSpPr txBox="1"/>
                      <wps:spPr>
                        <a:xfrm>
                          <a:off x="0" y="0"/>
                          <a:ext cx="6642100" cy="193675"/>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7.</w:t>
                            </w:r>
                            <w:r>
                              <w:rPr>
                                <w:b/>
                                <w:color w:val="000000"/>
                                <w:sz w:val="24"/>
                              </w:rPr>
                              <w:tab/>
                              <w:t>Quorum</w:t>
                            </w:r>
                            <w:r>
                              <w:rPr>
                                <w:b/>
                                <w:color w:val="000000"/>
                                <w:spacing w:val="-5"/>
                                <w:sz w:val="24"/>
                              </w:rPr>
                              <w:t> </w:t>
                            </w:r>
                            <w:r>
                              <w:rPr>
                                <w:b/>
                                <w:color w:val="000000"/>
                                <w:sz w:val="24"/>
                              </w:rPr>
                              <w:t>and</w:t>
                            </w:r>
                            <w:r>
                              <w:rPr>
                                <w:b/>
                                <w:color w:val="000000"/>
                                <w:spacing w:val="-3"/>
                                <w:sz w:val="24"/>
                              </w:rPr>
                              <w:t> </w:t>
                            </w:r>
                            <w:r>
                              <w:rPr>
                                <w:b/>
                                <w:color w:val="000000"/>
                                <w:spacing w:val="-2"/>
                                <w:sz w:val="24"/>
                              </w:rPr>
                              <w:t>Attendance</w:t>
                            </w:r>
                          </w:p>
                        </w:txbxContent>
                      </wps:txbx>
                      <wps:bodyPr wrap="square" lIns="0" tIns="0" rIns="0" bIns="0" rtlCol="0">
                        <a:noAutofit/>
                      </wps:bodyPr>
                    </wps:wsp>
                  </a:graphicData>
                </a:graphic>
              </wp:anchor>
            </w:drawing>
          </mc:Choice>
          <mc:Fallback>
            <w:pict>
              <v:shape style="position:absolute;margin-left:45.275002pt;margin-top:11.474688pt;width:523pt;height:15.25pt;mso-position-horizontal-relative:page;mso-position-vertical-relative:paragraph;z-index:-15612928;mso-wrap-distance-left:0;mso-wrap-distance-right:0" type="#_x0000_t202" id="docshape350"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7.</w:t>
                      </w:r>
                      <w:r>
                        <w:rPr>
                          <w:b/>
                          <w:color w:val="000000"/>
                          <w:sz w:val="24"/>
                        </w:rPr>
                        <w:tab/>
                        <w:t>Quorum</w:t>
                      </w:r>
                      <w:r>
                        <w:rPr>
                          <w:b/>
                          <w:color w:val="000000"/>
                          <w:spacing w:val="-5"/>
                          <w:sz w:val="24"/>
                        </w:rPr>
                        <w:t> </w:t>
                      </w:r>
                      <w:r>
                        <w:rPr>
                          <w:b/>
                          <w:color w:val="000000"/>
                          <w:sz w:val="24"/>
                        </w:rPr>
                        <w:t>and</w:t>
                      </w:r>
                      <w:r>
                        <w:rPr>
                          <w:b/>
                          <w:color w:val="000000"/>
                          <w:spacing w:val="-3"/>
                          <w:sz w:val="24"/>
                        </w:rPr>
                        <w:t> </w:t>
                      </w:r>
                      <w:r>
                        <w:rPr>
                          <w:b/>
                          <w:color w:val="000000"/>
                          <w:spacing w:val="-2"/>
                          <w:sz w:val="24"/>
                        </w:rPr>
                        <w:t>Attendance</w:t>
                      </w:r>
                    </w:p>
                  </w:txbxContent>
                </v:textbox>
                <v:fill type="solid"/>
                <v:stroke dashstyle="solid"/>
                <w10:wrap type="topAndBottom"/>
              </v:shape>
            </w:pict>
          </mc:Fallback>
        </mc:AlternateContent>
      </w:r>
    </w:p>
    <w:p>
      <w:pPr>
        <w:pStyle w:val="ListParagraph"/>
        <w:numPr>
          <w:ilvl w:val="1"/>
          <w:numId w:val="91"/>
        </w:numPr>
        <w:tabs>
          <w:tab w:pos="937" w:val="left" w:leader="none"/>
        </w:tabs>
        <w:spacing w:line="240" w:lineRule="auto" w:before="170" w:after="0"/>
        <w:ind w:left="937" w:right="978" w:hanging="795"/>
        <w:jc w:val="left"/>
        <w:rPr>
          <w:sz w:val="24"/>
        </w:rPr>
      </w:pPr>
      <w:r>
        <w:rPr>
          <w:sz w:val="24"/>
        </w:rPr>
        <w:t>At</w:t>
      </w:r>
      <w:r>
        <w:rPr>
          <w:spacing w:val="-17"/>
          <w:sz w:val="24"/>
        </w:rPr>
        <w:t> </w:t>
      </w:r>
      <w:r>
        <w:rPr>
          <w:sz w:val="24"/>
        </w:rPr>
        <w:t>least</w:t>
      </w:r>
      <w:r>
        <w:rPr>
          <w:spacing w:val="-17"/>
          <w:sz w:val="24"/>
        </w:rPr>
        <w:t> </w:t>
      </w:r>
      <w:r>
        <w:rPr>
          <w:sz w:val="24"/>
        </w:rPr>
        <w:t>one</w:t>
      </w:r>
      <w:r>
        <w:rPr>
          <w:spacing w:val="-16"/>
          <w:sz w:val="24"/>
        </w:rPr>
        <w:t> </w:t>
      </w:r>
      <w:r>
        <w:rPr>
          <w:sz w:val="24"/>
        </w:rPr>
        <w:t>member</w:t>
      </w:r>
      <w:r>
        <w:rPr>
          <w:spacing w:val="-17"/>
          <w:sz w:val="24"/>
        </w:rPr>
        <w:t> </w:t>
      </w:r>
      <w:r>
        <w:rPr>
          <w:sz w:val="24"/>
        </w:rPr>
        <w:t>(or</w:t>
      </w:r>
      <w:r>
        <w:rPr>
          <w:spacing w:val="-17"/>
          <w:sz w:val="24"/>
        </w:rPr>
        <w:t> </w:t>
      </w:r>
      <w:r>
        <w:rPr>
          <w:sz w:val="24"/>
        </w:rPr>
        <w:t>deputy)</w:t>
      </w:r>
      <w:r>
        <w:rPr>
          <w:spacing w:val="-17"/>
          <w:sz w:val="24"/>
        </w:rPr>
        <w:t> </w:t>
      </w:r>
      <w:r>
        <w:rPr>
          <w:sz w:val="24"/>
        </w:rPr>
        <w:t>each</w:t>
      </w:r>
      <w:r>
        <w:rPr>
          <w:spacing w:val="-16"/>
          <w:sz w:val="24"/>
        </w:rPr>
        <w:t> </w:t>
      </w:r>
      <w:r>
        <w:rPr>
          <w:sz w:val="24"/>
        </w:rPr>
        <w:t>from</w:t>
      </w:r>
      <w:r>
        <w:rPr>
          <w:spacing w:val="-17"/>
          <w:sz w:val="24"/>
        </w:rPr>
        <w:t> </w:t>
      </w:r>
      <w:r>
        <w:rPr>
          <w:sz w:val="24"/>
        </w:rPr>
        <w:t>Swansea</w:t>
      </w:r>
      <w:r>
        <w:rPr>
          <w:spacing w:val="-17"/>
          <w:sz w:val="24"/>
        </w:rPr>
        <w:t> </w:t>
      </w:r>
      <w:r>
        <w:rPr>
          <w:sz w:val="24"/>
        </w:rPr>
        <w:t>Bay</w:t>
      </w:r>
      <w:r>
        <w:rPr>
          <w:spacing w:val="-16"/>
          <w:sz w:val="24"/>
        </w:rPr>
        <w:t> </w:t>
      </w:r>
      <w:r>
        <w:rPr>
          <w:sz w:val="24"/>
        </w:rPr>
        <w:t>UHB,</w:t>
      </w:r>
      <w:r>
        <w:rPr>
          <w:spacing w:val="-17"/>
          <w:sz w:val="24"/>
        </w:rPr>
        <w:t> </w:t>
      </w:r>
      <w:r>
        <w:rPr>
          <w:sz w:val="24"/>
        </w:rPr>
        <w:t>Hywel</w:t>
      </w:r>
      <w:r>
        <w:rPr>
          <w:spacing w:val="-17"/>
          <w:sz w:val="24"/>
        </w:rPr>
        <w:t> </w:t>
      </w:r>
      <w:r>
        <w:rPr>
          <w:sz w:val="24"/>
        </w:rPr>
        <w:t>Dda</w:t>
      </w:r>
      <w:r>
        <w:rPr>
          <w:spacing w:val="-16"/>
          <w:sz w:val="24"/>
        </w:rPr>
        <w:t> </w:t>
      </w:r>
      <w:r>
        <w:rPr>
          <w:sz w:val="24"/>
        </w:rPr>
        <w:t>UHB,</w:t>
      </w:r>
      <w:r>
        <w:rPr>
          <w:spacing w:val="-17"/>
          <w:sz w:val="24"/>
        </w:rPr>
        <w:t> </w:t>
      </w:r>
      <w:r>
        <w:rPr>
          <w:sz w:val="24"/>
        </w:rPr>
        <w:t>and Public Health Wales.</w:t>
      </w:r>
    </w:p>
    <w:p>
      <w:pPr>
        <w:pStyle w:val="ListParagraph"/>
        <w:numPr>
          <w:ilvl w:val="1"/>
          <w:numId w:val="91"/>
        </w:numPr>
        <w:tabs>
          <w:tab w:pos="937" w:val="left" w:leader="none"/>
        </w:tabs>
        <w:spacing w:line="240" w:lineRule="auto" w:before="158" w:after="0"/>
        <w:ind w:left="937" w:right="626" w:hanging="795"/>
        <w:jc w:val="left"/>
        <w:rPr>
          <w:sz w:val="24"/>
        </w:rPr>
      </w:pPr>
      <w:r>
        <w:rPr>
          <w:spacing w:val="-2"/>
          <w:sz w:val="24"/>
        </w:rPr>
        <w:t>All</w:t>
      </w:r>
      <w:r>
        <w:rPr>
          <w:spacing w:val="-10"/>
          <w:sz w:val="24"/>
        </w:rPr>
        <w:t> </w:t>
      </w:r>
      <w:r>
        <w:rPr>
          <w:spacing w:val="-2"/>
          <w:sz w:val="24"/>
        </w:rPr>
        <w:t>members</w:t>
      </w:r>
      <w:r>
        <w:rPr>
          <w:spacing w:val="-11"/>
          <w:sz w:val="24"/>
        </w:rPr>
        <w:t> </w:t>
      </w:r>
      <w:r>
        <w:rPr>
          <w:spacing w:val="-2"/>
          <w:sz w:val="24"/>
        </w:rPr>
        <w:t>should</w:t>
      </w:r>
      <w:r>
        <w:rPr>
          <w:spacing w:val="-10"/>
          <w:sz w:val="24"/>
        </w:rPr>
        <w:t> </w:t>
      </w:r>
      <w:r>
        <w:rPr>
          <w:spacing w:val="-2"/>
          <w:sz w:val="24"/>
        </w:rPr>
        <w:t>inform</w:t>
      </w:r>
      <w:r>
        <w:rPr>
          <w:spacing w:val="-6"/>
          <w:sz w:val="24"/>
        </w:rPr>
        <w:t> </w:t>
      </w:r>
      <w:r>
        <w:rPr>
          <w:spacing w:val="-2"/>
          <w:sz w:val="24"/>
        </w:rPr>
        <w:t>the</w:t>
      </w:r>
      <w:r>
        <w:rPr>
          <w:spacing w:val="-8"/>
          <w:sz w:val="24"/>
        </w:rPr>
        <w:t> </w:t>
      </w:r>
      <w:r>
        <w:rPr>
          <w:spacing w:val="-2"/>
          <w:sz w:val="24"/>
        </w:rPr>
        <w:t>RJC</w:t>
      </w:r>
      <w:r>
        <w:rPr>
          <w:spacing w:val="-9"/>
          <w:sz w:val="24"/>
        </w:rPr>
        <w:t> </w:t>
      </w:r>
      <w:r>
        <w:rPr>
          <w:spacing w:val="-2"/>
          <w:sz w:val="24"/>
        </w:rPr>
        <w:t>PMO</w:t>
      </w:r>
      <w:r>
        <w:rPr>
          <w:spacing w:val="-13"/>
          <w:sz w:val="24"/>
        </w:rPr>
        <w:t> </w:t>
      </w:r>
      <w:r>
        <w:rPr>
          <w:spacing w:val="-2"/>
          <w:sz w:val="24"/>
        </w:rPr>
        <w:t>one</w:t>
      </w:r>
      <w:r>
        <w:rPr>
          <w:spacing w:val="-10"/>
          <w:sz w:val="24"/>
        </w:rPr>
        <w:t> </w:t>
      </w:r>
      <w:r>
        <w:rPr>
          <w:spacing w:val="-2"/>
          <w:sz w:val="24"/>
        </w:rPr>
        <w:t>week</w:t>
      </w:r>
      <w:r>
        <w:rPr>
          <w:spacing w:val="-15"/>
          <w:sz w:val="24"/>
        </w:rPr>
        <w:t> </w:t>
      </w:r>
      <w:r>
        <w:rPr>
          <w:spacing w:val="-2"/>
          <w:sz w:val="24"/>
        </w:rPr>
        <w:t>in</w:t>
      </w:r>
      <w:r>
        <w:rPr>
          <w:spacing w:val="-9"/>
          <w:sz w:val="24"/>
        </w:rPr>
        <w:t> </w:t>
      </w:r>
      <w:r>
        <w:rPr>
          <w:spacing w:val="-2"/>
          <w:sz w:val="24"/>
        </w:rPr>
        <w:t>advance</w:t>
      </w:r>
      <w:r>
        <w:rPr>
          <w:spacing w:val="-10"/>
          <w:sz w:val="24"/>
        </w:rPr>
        <w:t> </w:t>
      </w:r>
      <w:r>
        <w:rPr>
          <w:spacing w:val="-2"/>
          <w:sz w:val="24"/>
        </w:rPr>
        <w:t>of</w:t>
      </w:r>
      <w:r>
        <w:rPr>
          <w:spacing w:val="-13"/>
          <w:sz w:val="24"/>
        </w:rPr>
        <w:t> </w:t>
      </w:r>
      <w:r>
        <w:rPr>
          <w:spacing w:val="-2"/>
          <w:sz w:val="24"/>
        </w:rPr>
        <w:t>the</w:t>
      </w:r>
      <w:r>
        <w:rPr>
          <w:spacing w:val="-10"/>
          <w:sz w:val="24"/>
        </w:rPr>
        <w:t> </w:t>
      </w:r>
      <w:r>
        <w:rPr>
          <w:spacing w:val="-2"/>
          <w:sz w:val="24"/>
        </w:rPr>
        <w:t>meeting</w:t>
      </w:r>
      <w:r>
        <w:rPr>
          <w:spacing w:val="-10"/>
          <w:sz w:val="24"/>
        </w:rPr>
        <w:t> </w:t>
      </w:r>
      <w:r>
        <w:rPr>
          <w:spacing w:val="-2"/>
          <w:sz w:val="24"/>
        </w:rPr>
        <w:t>if</w:t>
      </w:r>
      <w:r>
        <w:rPr>
          <w:spacing w:val="-13"/>
          <w:sz w:val="24"/>
        </w:rPr>
        <w:t> </w:t>
      </w:r>
      <w:r>
        <w:rPr>
          <w:spacing w:val="-2"/>
          <w:sz w:val="24"/>
        </w:rPr>
        <w:t>deputies </w:t>
      </w:r>
      <w:r>
        <w:rPr>
          <w:sz w:val="24"/>
        </w:rPr>
        <w:t>will</w:t>
      </w:r>
      <w:r>
        <w:rPr>
          <w:spacing w:val="-15"/>
          <w:sz w:val="24"/>
        </w:rPr>
        <w:t> </w:t>
      </w:r>
      <w:r>
        <w:rPr>
          <w:sz w:val="24"/>
        </w:rPr>
        <w:t>be</w:t>
      </w:r>
      <w:r>
        <w:rPr>
          <w:spacing w:val="-10"/>
          <w:sz w:val="24"/>
        </w:rPr>
        <w:t> </w:t>
      </w:r>
      <w:r>
        <w:rPr>
          <w:sz w:val="24"/>
        </w:rPr>
        <w:t>attending,</w:t>
      </w:r>
      <w:r>
        <w:rPr>
          <w:spacing w:val="-13"/>
          <w:sz w:val="24"/>
        </w:rPr>
        <w:t> </w:t>
      </w:r>
      <w:r>
        <w:rPr>
          <w:sz w:val="24"/>
        </w:rPr>
        <w:t>unless</w:t>
      </w:r>
      <w:r>
        <w:rPr>
          <w:spacing w:val="-15"/>
          <w:sz w:val="24"/>
        </w:rPr>
        <w:t> </w:t>
      </w:r>
      <w:r>
        <w:rPr>
          <w:sz w:val="24"/>
        </w:rPr>
        <w:t>exceptional</w:t>
      </w:r>
      <w:r>
        <w:rPr>
          <w:spacing w:val="-10"/>
          <w:sz w:val="24"/>
        </w:rPr>
        <w:t> </w:t>
      </w:r>
      <w:r>
        <w:rPr>
          <w:sz w:val="24"/>
        </w:rPr>
        <w:t>short-term</w:t>
      </w:r>
      <w:r>
        <w:rPr>
          <w:spacing w:val="-11"/>
          <w:sz w:val="24"/>
        </w:rPr>
        <w:t> </w:t>
      </w:r>
      <w:r>
        <w:rPr>
          <w:sz w:val="24"/>
        </w:rPr>
        <w:t>circumstances</w:t>
      </w:r>
      <w:r>
        <w:rPr>
          <w:spacing w:val="-11"/>
          <w:sz w:val="24"/>
        </w:rPr>
        <w:t> </w:t>
      </w:r>
      <w:r>
        <w:rPr>
          <w:sz w:val="24"/>
        </w:rPr>
        <w:t>arise.</w:t>
      </w:r>
    </w:p>
    <w:p>
      <w:pPr>
        <w:pStyle w:val="ListParagraph"/>
        <w:numPr>
          <w:ilvl w:val="1"/>
          <w:numId w:val="91"/>
        </w:numPr>
        <w:tabs>
          <w:tab w:pos="937" w:val="left" w:leader="none"/>
        </w:tabs>
        <w:spacing w:line="240" w:lineRule="auto" w:before="158" w:after="0"/>
        <w:ind w:left="937" w:right="914" w:hanging="795"/>
        <w:jc w:val="left"/>
        <w:rPr>
          <w:sz w:val="24"/>
        </w:rPr>
      </w:pPr>
      <w:r>
        <w:rPr>
          <w:spacing w:val="-2"/>
          <w:sz w:val="24"/>
        </w:rPr>
        <w:t>Should</w:t>
      </w:r>
      <w:r>
        <w:rPr>
          <w:spacing w:val="-10"/>
          <w:sz w:val="24"/>
        </w:rPr>
        <w:t> </w:t>
      </w:r>
      <w:r>
        <w:rPr>
          <w:spacing w:val="-2"/>
          <w:sz w:val="24"/>
        </w:rPr>
        <w:t>any</w:t>
      </w:r>
      <w:r>
        <w:rPr>
          <w:spacing w:val="-11"/>
          <w:sz w:val="24"/>
        </w:rPr>
        <w:t> </w:t>
      </w:r>
      <w:r>
        <w:rPr>
          <w:spacing w:val="-2"/>
          <w:sz w:val="24"/>
        </w:rPr>
        <w:t>member</w:t>
      </w:r>
      <w:r>
        <w:rPr>
          <w:spacing w:val="-11"/>
          <w:sz w:val="24"/>
        </w:rPr>
        <w:t> </w:t>
      </w:r>
      <w:r>
        <w:rPr>
          <w:spacing w:val="-2"/>
          <w:sz w:val="24"/>
        </w:rPr>
        <w:t>be</w:t>
      </w:r>
      <w:r>
        <w:rPr>
          <w:spacing w:val="-10"/>
          <w:sz w:val="24"/>
        </w:rPr>
        <w:t> </w:t>
      </w:r>
      <w:r>
        <w:rPr>
          <w:spacing w:val="-2"/>
          <w:sz w:val="24"/>
        </w:rPr>
        <w:t>unavailable</w:t>
      </w:r>
      <w:r>
        <w:rPr>
          <w:spacing w:val="-6"/>
          <w:sz w:val="24"/>
        </w:rPr>
        <w:t> </w:t>
      </w:r>
      <w:r>
        <w:rPr>
          <w:spacing w:val="-2"/>
          <w:sz w:val="24"/>
        </w:rPr>
        <w:t>to</w:t>
      </w:r>
      <w:r>
        <w:rPr>
          <w:spacing w:val="-10"/>
          <w:sz w:val="24"/>
        </w:rPr>
        <w:t> </w:t>
      </w:r>
      <w:r>
        <w:rPr>
          <w:spacing w:val="-2"/>
          <w:sz w:val="24"/>
        </w:rPr>
        <w:t>attend,</w:t>
      </w:r>
      <w:r>
        <w:rPr>
          <w:spacing w:val="-9"/>
          <w:sz w:val="24"/>
        </w:rPr>
        <w:t> </w:t>
      </w:r>
      <w:r>
        <w:rPr>
          <w:spacing w:val="-2"/>
          <w:sz w:val="24"/>
        </w:rPr>
        <w:t>they</w:t>
      </w:r>
      <w:r>
        <w:rPr>
          <w:spacing w:val="-11"/>
          <w:sz w:val="24"/>
        </w:rPr>
        <w:t> </w:t>
      </w:r>
      <w:r>
        <w:rPr>
          <w:spacing w:val="-2"/>
          <w:sz w:val="24"/>
        </w:rPr>
        <w:t>may</w:t>
      </w:r>
      <w:r>
        <w:rPr>
          <w:spacing w:val="-11"/>
          <w:sz w:val="24"/>
        </w:rPr>
        <w:t> </w:t>
      </w:r>
      <w:r>
        <w:rPr>
          <w:spacing w:val="-2"/>
          <w:sz w:val="24"/>
        </w:rPr>
        <w:t>nominate</w:t>
      </w:r>
      <w:r>
        <w:rPr>
          <w:spacing w:val="-10"/>
          <w:sz w:val="24"/>
        </w:rPr>
        <w:t> </w:t>
      </w:r>
      <w:r>
        <w:rPr>
          <w:spacing w:val="-2"/>
          <w:sz w:val="24"/>
        </w:rPr>
        <w:t>a</w:t>
      </w:r>
      <w:r>
        <w:rPr>
          <w:spacing w:val="-10"/>
          <w:sz w:val="24"/>
        </w:rPr>
        <w:t> </w:t>
      </w:r>
      <w:r>
        <w:rPr>
          <w:spacing w:val="-2"/>
          <w:sz w:val="24"/>
        </w:rPr>
        <w:t>deputy</w:t>
      </w:r>
      <w:r>
        <w:rPr>
          <w:spacing w:val="-11"/>
          <w:sz w:val="24"/>
        </w:rPr>
        <w:t> </w:t>
      </w:r>
      <w:r>
        <w:rPr>
          <w:spacing w:val="-2"/>
          <w:sz w:val="24"/>
        </w:rPr>
        <w:t>to</w:t>
      </w:r>
      <w:r>
        <w:rPr>
          <w:spacing w:val="-10"/>
          <w:sz w:val="24"/>
        </w:rPr>
        <w:t> </w:t>
      </w:r>
      <w:r>
        <w:rPr>
          <w:spacing w:val="-2"/>
          <w:sz w:val="24"/>
        </w:rPr>
        <w:t>attend</w:t>
      </w:r>
      <w:r>
        <w:rPr>
          <w:spacing w:val="-15"/>
          <w:sz w:val="24"/>
        </w:rPr>
        <w:t> </w:t>
      </w:r>
      <w:r>
        <w:rPr>
          <w:spacing w:val="-2"/>
          <w:sz w:val="24"/>
        </w:rPr>
        <w:t>in </w:t>
      </w:r>
      <w:r>
        <w:rPr>
          <w:sz w:val="24"/>
        </w:rPr>
        <w:t>their</w:t>
      </w:r>
      <w:r>
        <w:rPr>
          <w:spacing w:val="-2"/>
          <w:sz w:val="24"/>
        </w:rPr>
        <w:t> </w:t>
      </w:r>
      <w:r>
        <w:rPr>
          <w:sz w:val="24"/>
        </w:rPr>
        <w:t>place,</w:t>
      </w:r>
      <w:r>
        <w:rPr>
          <w:spacing w:val="-4"/>
          <w:sz w:val="24"/>
        </w:rPr>
        <w:t> </w:t>
      </w:r>
      <w:r>
        <w:rPr>
          <w:sz w:val="24"/>
        </w:rPr>
        <w:t>subject to</w:t>
      </w:r>
      <w:r>
        <w:rPr>
          <w:spacing w:val="-1"/>
          <w:sz w:val="24"/>
        </w:rPr>
        <w:t> </w:t>
      </w:r>
      <w:r>
        <w:rPr>
          <w:sz w:val="24"/>
        </w:rPr>
        <w:t>the</w:t>
      </w:r>
      <w:r>
        <w:rPr>
          <w:spacing w:val="-1"/>
          <w:sz w:val="24"/>
        </w:rPr>
        <w:t> </w:t>
      </w:r>
      <w:r>
        <w:rPr>
          <w:sz w:val="24"/>
        </w:rPr>
        <w:t>agreement</w:t>
      </w:r>
      <w:r>
        <w:rPr>
          <w:spacing w:val="-4"/>
          <w:sz w:val="24"/>
        </w:rPr>
        <w:t> </w:t>
      </w:r>
      <w:r>
        <w:rPr>
          <w:sz w:val="24"/>
        </w:rPr>
        <w:t>of</w:t>
      </w:r>
      <w:r>
        <w:rPr>
          <w:spacing w:val="-1"/>
          <w:sz w:val="24"/>
        </w:rPr>
        <w:t> </w:t>
      </w:r>
      <w:r>
        <w:rPr>
          <w:sz w:val="24"/>
        </w:rPr>
        <w:t>the</w:t>
      </w:r>
      <w:r>
        <w:rPr>
          <w:spacing w:val="-6"/>
          <w:sz w:val="24"/>
        </w:rPr>
        <w:t> </w:t>
      </w:r>
      <w:r>
        <w:rPr>
          <w:sz w:val="24"/>
        </w:rPr>
        <w:t>Chair.</w:t>
      </w:r>
    </w:p>
    <w:p>
      <w:pPr>
        <w:pStyle w:val="ListParagraph"/>
        <w:numPr>
          <w:ilvl w:val="1"/>
          <w:numId w:val="91"/>
        </w:numPr>
        <w:tabs>
          <w:tab w:pos="937" w:val="left" w:leader="none"/>
        </w:tabs>
        <w:spacing w:line="240" w:lineRule="auto" w:before="163" w:after="0"/>
        <w:ind w:left="937" w:right="705" w:hanging="795"/>
        <w:jc w:val="left"/>
        <w:rPr>
          <w:sz w:val="24"/>
        </w:rPr>
      </w:pPr>
      <w:r>
        <w:rPr>
          <w:spacing w:val="-2"/>
          <w:sz w:val="24"/>
        </w:rPr>
        <w:t>Delegation</w:t>
      </w:r>
      <w:r>
        <w:rPr>
          <w:spacing w:val="-11"/>
          <w:sz w:val="24"/>
        </w:rPr>
        <w:t> </w:t>
      </w:r>
      <w:r>
        <w:rPr>
          <w:spacing w:val="-2"/>
          <w:sz w:val="24"/>
        </w:rPr>
        <w:t>to</w:t>
      </w:r>
      <w:r>
        <w:rPr>
          <w:spacing w:val="-11"/>
          <w:sz w:val="24"/>
        </w:rPr>
        <w:t> </w:t>
      </w:r>
      <w:r>
        <w:rPr>
          <w:spacing w:val="-2"/>
          <w:sz w:val="24"/>
        </w:rPr>
        <w:t>deputies</w:t>
      </w:r>
      <w:r>
        <w:rPr>
          <w:spacing w:val="-12"/>
          <w:sz w:val="24"/>
        </w:rPr>
        <w:t> </w:t>
      </w:r>
      <w:r>
        <w:rPr>
          <w:spacing w:val="-2"/>
          <w:sz w:val="24"/>
        </w:rPr>
        <w:t>is</w:t>
      </w:r>
      <w:r>
        <w:rPr>
          <w:spacing w:val="-12"/>
          <w:sz w:val="24"/>
        </w:rPr>
        <w:t> </w:t>
      </w:r>
      <w:r>
        <w:rPr>
          <w:spacing w:val="-2"/>
          <w:sz w:val="24"/>
        </w:rPr>
        <w:t>expected</w:t>
      </w:r>
      <w:r>
        <w:rPr>
          <w:spacing w:val="-6"/>
          <w:sz w:val="24"/>
        </w:rPr>
        <w:t> </w:t>
      </w:r>
      <w:r>
        <w:rPr>
          <w:spacing w:val="-2"/>
          <w:sz w:val="24"/>
        </w:rPr>
        <w:t>to</w:t>
      </w:r>
      <w:r>
        <w:rPr>
          <w:spacing w:val="-11"/>
          <w:sz w:val="24"/>
        </w:rPr>
        <w:t> </w:t>
      </w:r>
      <w:r>
        <w:rPr>
          <w:spacing w:val="-2"/>
          <w:sz w:val="24"/>
        </w:rPr>
        <w:t>be</w:t>
      </w:r>
      <w:r>
        <w:rPr>
          <w:spacing w:val="-11"/>
          <w:sz w:val="24"/>
        </w:rPr>
        <w:t> </w:t>
      </w:r>
      <w:r>
        <w:rPr>
          <w:spacing w:val="-2"/>
          <w:sz w:val="24"/>
        </w:rPr>
        <w:t>kept</w:t>
      </w:r>
      <w:r>
        <w:rPr>
          <w:spacing w:val="-14"/>
          <w:sz w:val="24"/>
        </w:rPr>
        <w:t> </w:t>
      </w:r>
      <w:r>
        <w:rPr>
          <w:spacing w:val="-2"/>
          <w:sz w:val="24"/>
        </w:rPr>
        <w:t>to</w:t>
      </w:r>
      <w:r>
        <w:rPr>
          <w:spacing w:val="-15"/>
          <w:sz w:val="24"/>
        </w:rPr>
        <w:t> </w:t>
      </w:r>
      <w:r>
        <w:rPr>
          <w:spacing w:val="-2"/>
          <w:sz w:val="24"/>
        </w:rPr>
        <w:t>a</w:t>
      </w:r>
      <w:r>
        <w:rPr>
          <w:spacing w:val="-11"/>
          <w:sz w:val="24"/>
        </w:rPr>
        <w:t> </w:t>
      </w:r>
      <w:r>
        <w:rPr>
          <w:spacing w:val="-2"/>
          <w:sz w:val="24"/>
        </w:rPr>
        <w:t>minimum</w:t>
      </w:r>
      <w:r>
        <w:rPr>
          <w:spacing w:val="-12"/>
          <w:sz w:val="24"/>
        </w:rPr>
        <w:t> </w:t>
      </w:r>
      <w:r>
        <w:rPr>
          <w:spacing w:val="-2"/>
          <w:sz w:val="24"/>
        </w:rPr>
        <w:t>and</w:t>
      </w:r>
      <w:r>
        <w:rPr>
          <w:spacing w:val="-11"/>
          <w:sz w:val="24"/>
        </w:rPr>
        <w:t> </w:t>
      </w:r>
      <w:r>
        <w:rPr>
          <w:spacing w:val="-2"/>
          <w:sz w:val="24"/>
        </w:rPr>
        <w:t>specific</w:t>
      </w:r>
      <w:r>
        <w:rPr>
          <w:spacing w:val="-12"/>
          <w:sz w:val="24"/>
        </w:rPr>
        <w:t> </w:t>
      </w:r>
      <w:r>
        <w:rPr>
          <w:spacing w:val="-2"/>
          <w:sz w:val="24"/>
        </w:rPr>
        <w:t>approval</w:t>
      </w:r>
      <w:r>
        <w:rPr>
          <w:spacing w:val="-11"/>
          <w:sz w:val="24"/>
        </w:rPr>
        <w:t> </w:t>
      </w:r>
      <w:r>
        <w:rPr>
          <w:spacing w:val="-2"/>
          <w:sz w:val="24"/>
        </w:rPr>
        <w:t>should </w:t>
      </w:r>
      <w:r>
        <w:rPr>
          <w:sz w:val="24"/>
        </w:rPr>
        <w:t>be</w:t>
      </w:r>
      <w:r>
        <w:rPr>
          <w:spacing w:val="-17"/>
          <w:sz w:val="24"/>
        </w:rPr>
        <w:t> </w:t>
      </w:r>
      <w:r>
        <w:rPr>
          <w:sz w:val="24"/>
        </w:rPr>
        <w:t>sought</w:t>
      </w:r>
      <w:r>
        <w:rPr>
          <w:spacing w:val="-16"/>
          <w:sz w:val="24"/>
        </w:rPr>
        <w:t> </w:t>
      </w:r>
      <w:r>
        <w:rPr>
          <w:sz w:val="24"/>
        </w:rPr>
        <w:t>from</w:t>
      </w:r>
      <w:r>
        <w:rPr>
          <w:spacing w:val="-15"/>
          <w:sz w:val="24"/>
        </w:rPr>
        <w:t> </w:t>
      </w:r>
      <w:r>
        <w:rPr>
          <w:sz w:val="24"/>
        </w:rPr>
        <w:t>the</w:t>
      </w:r>
      <w:r>
        <w:rPr>
          <w:spacing w:val="-15"/>
          <w:sz w:val="24"/>
        </w:rPr>
        <w:t> </w:t>
      </w:r>
      <w:r>
        <w:rPr>
          <w:sz w:val="24"/>
        </w:rPr>
        <w:t>Chairs</w:t>
      </w:r>
      <w:r>
        <w:rPr>
          <w:spacing w:val="-12"/>
          <w:sz w:val="24"/>
        </w:rPr>
        <w:t> </w:t>
      </w:r>
      <w:r>
        <w:rPr>
          <w:sz w:val="24"/>
        </w:rPr>
        <w:t>for</w:t>
      </w:r>
      <w:r>
        <w:rPr>
          <w:spacing w:val="-16"/>
          <w:sz w:val="24"/>
        </w:rPr>
        <w:t> </w:t>
      </w:r>
      <w:r>
        <w:rPr>
          <w:sz w:val="24"/>
        </w:rPr>
        <w:t>instances</w:t>
      </w:r>
      <w:r>
        <w:rPr>
          <w:spacing w:val="-16"/>
          <w:sz w:val="24"/>
        </w:rPr>
        <w:t> </w:t>
      </w:r>
      <w:r>
        <w:rPr>
          <w:sz w:val="24"/>
        </w:rPr>
        <w:t>where</w:t>
      </w:r>
      <w:r>
        <w:rPr>
          <w:spacing w:val="-15"/>
          <w:sz w:val="24"/>
        </w:rPr>
        <w:t> </w:t>
      </w:r>
      <w:r>
        <w:rPr>
          <w:sz w:val="24"/>
        </w:rPr>
        <w:t>more</w:t>
      </w:r>
      <w:r>
        <w:rPr>
          <w:spacing w:val="-15"/>
          <w:sz w:val="24"/>
        </w:rPr>
        <w:t> </w:t>
      </w:r>
      <w:r>
        <w:rPr>
          <w:sz w:val="24"/>
        </w:rPr>
        <w:t>than</w:t>
      </w:r>
      <w:r>
        <w:rPr>
          <w:spacing w:val="-11"/>
          <w:sz w:val="24"/>
        </w:rPr>
        <w:t> </w:t>
      </w:r>
      <w:r>
        <w:rPr>
          <w:sz w:val="24"/>
        </w:rPr>
        <w:t>two</w:t>
      </w:r>
      <w:r>
        <w:rPr>
          <w:spacing w:val="-15"/>
          <w:sz w:val="24"/>
        </w:rPr>
        <w:t> </w:t>
      </w:r>
      <w:r>
        <w:rPr>
          <w:sz w:val="24"/>
        </w:rPr>
        <w:t>consecutive</w:t>
      </w:r>
      <w:r>
        <w:rPr>
          <w:spacing w:val="-15"/>
          <w:sz w:val="24"/>
        </w:rPr>
        <w:t> </w:t>
      </w:r>
      <w:r>
        <w:rPr>
          <w:sz w:val="24"/>
        </w:rPr>
        <w:t>meetings</w:t>
      </w:r>
      <w:r>
        <w:rPr>
          <w:spacing w:val="-16"/>
          <w:sz w:val="24"/>
        </w:rPr>
        <w:t> </w:t>
      </w:r>
      <w:r>
        <w:rPr>
          <w:sz w:val="24"/>
        </w:rPr>
        <w:t>are expected to</w:t>
      </w:r>
      <w:r>
        <w:rPr>
          <w:spacing w:val="-1"/>
          <w:sz w:val="24"/>
        </w:rPr>
        <w:t> </w:t>
      </w:r>
      <w:r>
        <w:rPr>
          <w:sz w:val="24"/>
        </w:rPr>
        <w:t>involve the nominated deputy.</w:t>
      </w:r>
    </w:p>
    <w:p>
      <w:pPr>
        <w:pStyle w:val="ListParagraph"/>
        <w:numPr>
          <w:ilvl w:val="1"/>
          <w:numId w:val="91"/>
        </w:numPr>
        <w:tabs>
          <w:tab w:pos="937" w:val="left" w:leader="none"/>
        </w:tabs>
        <w:spacing w:line="240" w:lineRule="auto" w:before="158" w:after="0"/>
        <w:ind w:left="937" w:right="744" w:hanging="795"/>
        <w:jc w:val="left"/>
        <w:rPr>
          <w:sz w:val="24"/>
        </w:rPr>
      </w:pPr>
      <w:r>
        <w:rPr>
          <w:sz w:val="24"/>
        </w:rPr>
        <w:t>The</w:t>
      </w:r>
      <w:r>
        <w:rPr>
          <w:spacing w:val="-17"/>
          <w:sz w:val="24"/>
        </w:rPr>
        <w:t> </w:t>
      </w:r>
      <w:r>
        <w:rPr>
          <w:sz w:val="24"/>
        </w:rPr>
        <w:t>RHES</w:t>
      </w:r>
      <w:r>
        <w:rPr>
          <w:spacing w:val="-17"/>
          <w:sz w:val="24"/>
        </w:rPr>
        <w:t> </w:t>
      </w:r>
      <w:r>
        <w:rPr>
          <w:sz w:val="24"/>
        </w:rPr>
        <w:t>may</w:t>
      </w:r>
      <w:r>
        <w:rPr>
          <w:spacing w:val="-16"/>
          <w:sz w:val="24"/>
        </w:rPr>
        <w:t> </w:t>
      </w:r>
      <w:r>
        <w:rPr>
          <w:sz w:val="24"/>
        </w:rPr>
        <w:t>ask</w:t>
      </w:r>
      <w:r>
        <w:rPr>
          <w:spacing w:val="-17"/>
          <w:sz w:val="24"/>
        </w:rPr>
        <w:t> </w:t>
      </w:r>
      <w:r>
        <w:rPr>
          <w:sz w:val="24"/>
        </w:rPr>
        <w:t>any</w:t>
      </w:r>
      <w:r>
        <w:rPr>
          <w:spacing w:val="-17"/>
          <w:sz w:val="24"/>
        </w:rPr>
        <w:t> </w:t>
      </w:r>
      <w:r>
        <w:rPr>
          <w:sz w:val="24"/>
        </w:rPr>
        <w:t>or</w:t>
      </w:r>
      <w:r>
        <w:rPr>
          <w:spacing w:val="-17"/>
          <w:sz w:val="24"/>
        </w:rPr>
        <w:t> </w:t>
      </w:r>
      <w:r>
        <w:rPr>
          <w:sz w:val="24"/>
        </w:rPr>
        <w:t>all</w:t>
      </w:r>
      <w:r>
        <w:rPr>
          <w:spacing w:val="-16"/>
          <w:sz w:val="24"/>
        </w:rPr>
        <w:t> </w:t>
      </w:r>
      <w:r>
        <w:rPr>
          <w:sz w:val="24"/>
        </w:rPr>
        <w:t>of</w:t>
      </w:r>
      <w:r>
        <w:rPr>
          <w:spacing w:val="-17"/>
          <w:sz w:val="24"/>
        </w:rPr>
        <w:t> </w:t>
      </w:r>
      <w:r>
        <w:rPr>
          <w:sz w:val="24"/>
        </w:rPr>
        <w:t>those</w:t>
      </w:r>
      <w:r>
        <w:rPr>
          <w:spacing w:val="-17"/>
          <w:sz w:val="24"/>
        </w:rPr>
        <w:t> </w:t>
      </w:r>
      <w:r>
        <w:rPr>
          <w:sz w:val="24"/>
        </w:rPr>
        <w:t>who</w:t>
      </w:r>
      <w:r>
        <w:rPr>
          <w:spacing w:val="-16"/>
          <w:sz w:val="24"/>
        </w:rPr>
        <w:t> </w:t>
      </w:r>
      <w:r>
        <w:rPr>
          <w:sz w:val="24"/>
        </w:rPr>
        <w:t>normally</w:t>
      </w:r>
      <w:r>
        <w:rPr>
          <w:spacing w:val="-17"/>
          <w:sz w:val="24"/>
        </w:rPr>
        <w:t> </w:t>
      </w:r>
      <w:r>
        <w:rPr>
          <w:sz w:val="24"/>
        </w:rPr>
        <w:t>attend</w:t>
      </w:r>
      <w:r>
        <w:rPr>
          <w:spacing w:val="-17"/>
          <w:sz w:val="24"/>
        </w:rPr>
        <w:t> </w:t>
      </w:r>
      <w:r>
        <w:rPr>
          <w:sz w:val="24"/>
        </w:rPr>
        <w:t>but</w:t>
      </w:r>
      <w:r>
        <w:rPr>
          <w:spacing w:val="-16"/>
          <w:sz w:val="24"/>
        </w:rPr>
        <w:t> </w:t>
      </w:r>
      <w:r>
        <w:rPr>
          <w:sz w:val="24"/>
        </w:rPr>
        <w:t>who</w:t>
      </w:r>
      <w:r>
        <w:rPr>
          <w:spacing w:val="-17"/>
          <w:sz w:val="24"/>
        </w:rPr>
        <w:t> </w:t>
      </w:r>
      <w:r>
        <w:rPr>
          <w:sz w:val="24"/>
        </w:rPr>
        <w:t>are</w:t>
      </w:r>
      <w:r>
        <w:rPr>
          <w:spacing w:val="-17"/>
          <w:sz w:val="24"/>
        </w:rPr>
        <w:t> </w:t>
      </w:r>
      <w:r>
        <w:rPr>
          <w:sz w:val="24"/>
        </w:rPr>
        <w:t>not</w:t>
      </w:r>
      <w:r>
        <w:rPr>
          <w:spacing w:val="-16"/>
          <w:sz w:val="24"/>
        </w:rPr>
        <w:t> </w:t>
      </w:r>
      <w:r>
        <w:rPr>
          <w:sz w:val="24"/>
        </w:rPr>
        <w:t>members</w:t>
      </w:r>
      <w:r>
        <w:rPr>
          <w:spacing w:val="-15"/>
          <w:sz w:val="24"/>
        </w:rPr>
        <w:t> </w:t>
      </w:r>
      <w:r>
        <w:rPr>
          <w:sz w:val="24"/>
        </w:rPr>
        <w:t>to withdraw</w:t>
      </w:r>
      <w:r>
        <w:rPr>
          <w:spacing w:val="-11"/>
          <w:sz w:val="24"/>
        </w:rPr>
        <w:t> </w:t>
      </w:r>
      <w:r>
        <w:rPr>
          <w:sz w:val="24"/>
        </w:rPr>
        <w:t>to</w:t>
      </w:r>
      <w:r>
        <w:rPr>
          <w:spacing w:val="-6"/>
          <w:sz w:val="24"/>
        </w:rPr>
        <w:t> </w:t>
      </w:r>
      <w:r>
        <w:rPr>
          <w:sz w:val="24"/>
        </w:rPr>
        <w:t>facilitate</w:t>
      </w:r>
      <w:r>
        <w:rPr>
          <w:spacing w:val="-11"/>
          <w:sz w:val="24"/>
        </w:rPr>
        <w:t> </w:t>
      </w:r>
      <w:r>
        <w:rPr>
          <w:sz w:val="24"/>
        </w:rPr>
        <w:t>open</w:t>
      </w:r>
      <w:r>
        <w:rPr>
          <w:spacing w:val="-11"/>
          <w:sz w:val="24"/>
        </w:rPr>
        <w:t> </w:t>
      </w:r>
      <w:r>
        <w:rPr>
          <w:sz w:val="24"/>
        </w:rPr>
        <w:t>and</w:t>
      </w:r>
      <w:r>
        <w:rPr>
          <w:spacing w:val="-6"/>
          <w:sz w:val="24"/>
        </w:rPr>
        <w:t> </w:t>
      </w:r>
      <w:r>
        <w:rPr>
          <w:sz w:val="24"/>
        </w:rPr>
        <w:t>frank</w:t>
      </w:r>
      <w:r>
        <w:rPr>
          <w:spacing w:val="-16"/>
          <w:sz w:val="24"/>
        </w:rPr>
        <w:t> </w:t>
      </w:r>
      <w:r>
        <w:rPr>
          <w:sz w:val="24"/>
        </w:rPr>
        <w:t>discussion</w:t>
      </w:r>
      <w:r>
        <w:rPr>
          <w:spacing w:val="-11"/>
          <w:sz w:val="24"/>
        </w:rPr>
        <w:t> </w:t>
      </w:r>
      <w:r>
        <w:rPr>
          <w:sz w:val="24"/>
        </w:rPr>
        <w:t>of</w:t>
      </w:r>
      <w:r>
        <w:rPr>
          <w:spacing w:val="-13"/>
          <w:sz w:val="24"/>
        </w:rPr>
        <w:t> </w:t>
      </w:r>
      <w:r>
        <w:rPr>
          <w:sz w:val="24"/>
        </w:rPr>
        <w:t>particular</w:t>
      </w:r>
      <w:r>
        <w:rPr>
          <w:spacing w:val="-12"/>
          <w:sz w:val="24"/>
        </w:rPr>
        <w:t> </w:t>
      </w:r>
      <w:r>
        <w:rPr>
          <w:sz w:val="24"/>
        </w:rPr>
        <w:t>matters.</w:t>
      </w:r>
    </w:p>
    <w:p>
      <w:pPr>
        <w:pStyle w:val="BodyText"/>
        <w:spacing w:before="10"/>
        <w:rPr>
          <w:sz w:val="16"/>
        </w:rPr>
      </w:pPr>
      <w:r>
        <w:rPr>
          <w:sz w:val="16"/>
        </w:rPr>
        <mc:AlternateContent>
          <mc:Choice Requires="wps">
            <w:drawing>
              <wp:anchor distT="0" distB="0" distL="0" distR="0" allowOverlap="1" layoutInCell="1" locked="0" behindDoc="1" simplePos="0" relativeHeight="487704064">
                <wp:simplePos x="0" y="0"/>
                <wp:positionH relativeFrom="page">
                  <wp:posOffset>574992</wp:posOffset>
                </wp:positionH>
                <wp:positionV relativeFrom="paragraph">
                  <wp:posOffset>144943</wp:posOffset>
                </wp:positionV>
                <wp:extent cx="6553200" cy="194310"/>
                <wp:effectExtent l="0" t="0" r="0" b="0"/>
                <wp:wrapTopAndBottom/>
                <wp:docPr id="575" name="Textbox 575"/>
                <wp:cNvGraphicFramePr>
                  <a:graphicFrameLocks/>
                </wp:cNvGraphicFramePr>
                <a:graphic>
                  <a:graphicData uri="http://schemas.microsoft.com/office/word/2010/wordprocessingShape">
                    <wps:wsp>
                      <wps:cNvPr id="575" name="Textbox 575"/>
                      <wps:cNvSpPr txBox="1"/>
                      <wps:spPr>
                        <a:xfrm>
                          <a:off x="0" y="0"/>
                          <a:ext cx="6553200" cy="194310"/>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8.</w:t>
                            </w:r>
                            <w:r>
                              <w:rPr>
                                <w:b/>
                                <w:color w:val="000000"/>
                                <w:sz w:val="24"/>
                              </w:rPr>
                              <w:tab/>
                              <w:t>Agenda</w:t>
                            </w:r>
                            <w:r>
                              <w:rPr>
                                <w:b/>
                                <w:color w:val="000000"/>
                                <w:spacing w:val="-4"/>
                                <w:sz w:val="24"/>
                              </w:rPr>
                              <w:t> </w:t>
                            </w:r>
                            <w:r>
                              <w:rPr>
                                <w:b/>
                                <w:color w:val="000000"/>
                                <w:sz w:val="24"/>
                              </w:rPr>
                              <w:t>and</w:t>
                            </w:r>
                            <w:r>
                              <w:rPr>
                                <w:b/>
                                <w:color w:val="000000"/>
                                <w:spacing w:val="-6"/>
                                <w:sz w:val="24"/>
                              </w:rPr>
                              <w:t> </w:t>
                            </w:r>
                            <w:r>
                              <w:rPr>
                                <w:b/>
                                <w:color w:val="000000"/>
                                <w:spacing w:val="-2"/>
                                <w:sz w:val="24"/>
                              </w:rPr>
                              <w:t>Papers</w:t>
                            </w:r>
                          </w:p>
                        </w:txbxContent>
                      </wps:txbx>
                      <wps:bodyPr wrap="square" lIns="0" tIns="0" rIns="0" bIns="0" rtlCol="0">
                        <a:noAutofit/>
                      </wps:bodyPr>
                    </wps:wsp>
                  </a:graphicData>
                </a:graphic>
              </wp:anchor>
            </w:drawing>
          </mc:Choice>
          <mc:Fallback>
            <w:pict>
              <v:shape style="position:absolute;margin-left:45.275002pt;margin-top:11.41289pt;width:516pt;height:15.3pt;mso-position-horizontal-relative:page;mso-position-vertical-relative:paragraph;z-index:-15612416;mso-wrap-distance-left:0;mso-wrap-distance-right:0" type="#_x0000_t202" id="docshape351"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8.</w:t>
                      </w:r>
                      <w:r>
                        <w:rPr>
                          <w:b/>
                          <w:color w:val="000000"/>
                          <w:sz w:val="24"/>
                        </w:rPr>
                        <w:tab/>
                        <w:t>Agenda</w:t>
                      </w:r>
                      <w:r>
                        <w:rPr>
                          <w:b/>
                          <w:color w:val="000000"/>
                          <w:spacing w:val="-4"/>
                          <w:sz w:val="24"/>
                        </w:rPr>
                        <w:t> </w:t>
                      </w:r>
                      <w:r>
                        <w:rPr>
                          <w:b/>
                          <w:color w:val="000000"/>
                          <w:sz w:val="24"/>
                        </w:rPr>
                        <w:t>and</w:t>
                      </w:r>
                      <w:r>
                        <w:rPr>
                          <w:b/>
                          <w:color w:val="000000"/>
                          <w:spacing w:val="-6"/>
                          <w:sz w:val="24"/>
                        </w:rPr>
                        <w:t> </w:t>
                      </w:r>
                      <w:r>
                        <w:rPr>
                          <w:b/>
                          <w:color w:val="000000"/>
                          <w:spacing w:val="-2"/>
                          <w:sz w:val="24"/>
                        </w:rPr>
                        <w:t>Papers</w:t>
                      </w:r>
                    </w:p>
                  </w:txbxContent>
                </v:textbox>
                <v:fill type="solid"/>
                <v:stroke dashstyle="solid"/>
                <w10:wrap type="topAndBottom"/>
              </v:shape>
            </w:pict>
          </mc:Fallback>
        </mc:AlternateContent>
      </w:r>
    </w:p>
    <w:p>
      <w:pPr>
        <w:pStyle w:val="ListParagraph"/>
        <w:numPr>
          <w:ilvl w:val="1"/>
          <w:numId w:val="92"/>
        </w:numPr>
        <w:tabs>
          <w:tab w:pos="937" w:val="left" w:leader="none"/>
        </w:tabs>
        <w:spacing w:line="240" w:lineRule="auto" w:before="170" w:after="0"/>
        <w:ind w:left="937" w:right="1029" w:hanging="795"/>
        <w:jc w:val="left"/>
        <w:rPr>
          <w:sz w:val="24"/>
        </w:rPr>
      </w:pPr>
      <w:r>
        <w:rPr>
          <w:sz w:val="24"/>
        </w:rPr>
        <w:t>The</w:t>
      </w:r>
      <w:r>
        <w:rPr>
          <w:spacing w:val="-17"/>
          <w:sz w:val="24"/>
        </w:rPr>
        <w:t> </w:t>
      </w:r>
      <w:r>
        <w:rPr>
          <w:sz w:val="24"/>
        </w:rPr>
        <w:t>RJC</w:t>
      </w:r>
      <w:r>
        <w:rPr>
          <w:spacing w:val="-17"/>
          <w:sz w:val="24"/>
        </w:rPr>
        <w:t> </w:t>
      </w:r>
      <w:r>
        <w:rPr>
          <w:sz w:val="24"/>
        </w:rPr>
        <w:t>PMO</w:t>
      </w:r>
      <w:r>
        <w:rPr>
          <w:spacing w:val="-16"/>
          <w:sz w:val="24"/>
        </w:rPr>
        <w:t> </w:t>
      </w:r>
      <w:r>
        <w:rPr>
          <w:sz w:val="24"/>
        </w:rPr>
        <w:t>is</w:t>
      </w:r>
      <w:r>
        <w:rPr>
          <w:spacing w:val="-17"/>
          <w:sz w:val="24"/>
        </w:rPr>
        <w:t> </w:t>
      </w:r>
      <w:r>
        <w:rPr>
          <w:sz w:val="24"/>
        </w:rPr>
        <w:t>to</w:t>
      </w:r>
      <w:r>
        <w:rPr>
          <w:spacing w:val="-17"/>
          <w:sz w:val="24"/>
        </w:rPr>
        <w:t> </w:t>
      </w:r>
      <w:r>
        <w:rPr>
          <w:sz w:val="24"/>
        </w:rPr>
        <w:t>hold</w:t>
      </w:r>
      <w:r>
        <w:rPr>
          <w:spacing w:val="-17"/>
          <w:sz w:val="24"/>
        </w:rPr>
        <w:t> </w:t>
      </w:r>
      <w:r>
        <w:rPr>
          <w:sz w:val="24"/>
        </w:rPr>
        <w:t>an</w:t>
      </w:r>
      <w:r>
        <w:rPr>
          <w:spacing w:val="-16"/>
          <w:sz w:val="24"/>
        </w:rPr>
        <w:t> </w:t>
      </w:r>
      <w:r>
        <w:rPr>
          <w:sz w:val="24"/>
        </w:rPr>
        <w:t>agenda</w:t>
      </w:r>
      <w:r>
        <w:rPr>
          <w:spacing w:val="-17"/>
          <w:sz w:val="24"/>
        </w:rPr>
        <w:t> </w:t>
      </w:r>
      <w:r>
        <w:rPr>
          <w:sz w:val="24"/>
        </w:rPr>
        <w:t>setting</w:t>
      </w:r>
      <w:r>
        <w:rPr>
          <w:spacing w:val="-17"/>
          <w:sz w:val="24"/>
        </w:rPr>
        <w:t> </w:t>
      </w:r>
      <w:r>
        <w:rPr>
          <w:sz w:val="24"/>
        </w:rPr>
        <w:t>meeting</w:t>
      </w:r>
      <w:r>
        <w:rPr>
          <w:spacing w:val="-16"/>
          <w:sz w:val="24"/>
        </w:rPr>
        <w:t> </w:t>
      </w:r>
      <w:r>
        <w:rPr>
          <w:sz w:val="24"/>
        </w:rPr>
        <w:t>with</w:t>
      </w:r>
      <w:r>
        <w:rPr>
          <w:spacing w:val="-17"/>
          <w:sz w:val="24"/>
        </w:rPr>
        <w:t> </w:t>
      </w:r>
      <w:r>
        <w:rPr>
          <w:sz w:val="24"/>
        </w:rPr>
        <w:t>the</w:t>
      </w:r>
      <w:r>
        <w:rPr>
          <w:spacing w:val="-17"/>
          <w:sz w:val="24"/>
        </w:rPr>
        <w:t> </w:t>
      </w:r>
      <w:r>
        <w:rPr>
          <w:sz w:val="24"/>
        </w:rPr>
        <w:t>Chair</w:t>
      </w:r>
      <w:r>
        <w:rPr>
          <w:spacing w:val="-16"/>
          <w:sz w:val="24"/>
        </w:rPr>
        <w:t> </w:t>
      </w:r>
      <w:r>
        <w:rPr>
          <w:sz w:val="24"/>
        </w:rPr>
        <w:t>at</w:t>
      </w:r>
      <w:r>
        <w:rPr>
          <w:spacing w:val="-17"/>
          <w:sz w:val="24"/>
        </w:rPr>
        <w:t> </w:t>
      </w:r>
      <w:r>
        <w:rPr>
          <w:sz w:val="24"/>
        </w:rPr>
        <w:t>least</w:t>
      </w:r>
      <w:r>
        <w:rPr>
          <w:spacing w:val="-17"/>
          <w:sz w:val="24"/>
        </w:rPr>
        <w:t> </w:t>
      </w:r>
      <w:r>
        <w:rPr>
          <w:sz w:val="24"/>
        </w:rPr>
        <w:t>two</w:t>
      </w:r>
      <w:r>
        <w:rPr>
          <w:spacing w:val="-16"/>
          <w:sz w:val="24"/>
        </w:rPr>
        <w:t> </w:t>
      </w:r>
      <w:r>
        <w:rPr>
          <w:sz w:val="24"/>
        </w:rPr>
        <w:t>weeks before the meeting date.</w:t>
      </w:r>
    </w:p>
    <w:p>
      <w:pPr>
        <w:pStyle w:val="ListParagraph"/>
        <w:numPr>
          <w:ilvl w:val="1"/>
          <w:numId w:val="92"/>
        </w:numPr>
        <w:tabs>
          <w:tab w:pos="937" w:val="left" w:leader="none"/>
        </w:tabs>
        <w:spacing w:line="240" w:lineRule="auto" w:before="158" w:after="0"/>
        <w:ind w:left="937" w:right="895" w:hanging="795"/>
        <w:jc w:val="left"/>
        <w:rPr>
          <w:sz w:val="24"/>
        </w:rPr>
      </w:pPr>
      <w:r>
        <w:rPr>
          <w:spacing w:val="-2"/>
          <w:sz w:val="24"/>
        </w:rPr>
        <w:t>The</w:t>
      </w:r>
      <w:r>
        <w:rPr>
          <w:spacing w:val="-11"/>
          <w:sz w:val="24"/>
        </w:rPr>
        <w:t> </w:t>
      </w:r>
      <w:r>
        <w:rPr>
          <w:spacing w:val="-2"/>
          <w:sz w:val="24"/>
        </w:rPr>
        <w:t>agenda</w:t>
      </w:r>
      <w:r>
        <w:rPr>
          <w:spacing w:val="-11"/>
          <w:sz w:val="24"/>
        </w:rPr>
        <w:t> </w:t>
      </w:r>
      <w:r>
        <w:rPr>
          <w:spacing w:val="-2"/>
          <w:sz w:val="24"/>
        </w:rPr>
        <w:t>will</w:t>
      </w:r>
      <w:r>
        <w:rPr>
          <w:spacing w:val="-11"/>
          <w:sz w:val="24"/>
        </w:rPr>
        <w:t> </w:t>
      </w:r>
      <w:r>
        <w:rPr>
          <w:spacing w:val="-2"/>
          <w:sz w:val="24"/>
        </w:rPr>
        <w:t>be</w:t>
      </w:r>
      <w:r>
        <w:rPr>
          <w:spacing w:val="-11"/>
          <w:sz w:val="24"/>
        </w:rPr>
        <w:t> </w:t>
      </w:r>
      <w:r>
        <w:rPr>
          <w:spacing w:val="-2"/>
          <w:sz w:val="24"/>
        </w:rPr>
        <w:t>based</w:t>
      </w:r>
      <w:r>
        <w:rPr>
          <w:spacing w:val="-15"/>
          <w:sz w:val="24"/>
        </w:rPr>
        <w:t> </w:t>
      </w:r>
      <w:r>
        <w:rPr>
          <w:spacing w:val="-2"/>
          <w:sz w:val="24"/>
        </w:rPr>
        <w:t>around</w:t>
      </w:r>
      <w:r>
        <w:rPr>
          <w:spacing w:val="-6"/>
          <w:sz w:val="24"/>
        </w:rPr>
        <w:t> </w:t>
      </w:r>
      <w:r>
        <w:rPr>
          <w:spacing w:val="-2"/>
          <w:sz w:val="24"/>
        </w:rPr>
        <w:t>the</w:t>
      </w:r>
      <w:r>
        <w:rPr>
          <w:spacing w:val="-8"/>
          <w:sz w:val="24"/>
        </w:rPr>
        <w:t> </w:t>
      </w:r>
      <w:r>
        <w:rPr>
          <w:spacing w:val="-2"/>
          <w:sz w:val="24"/>
        </w:rPr>
        <w:t>RHES’</w:t>
      </w:r>
      <w:r>
        <w:rPr>
          <w:spacing w:val="-14"/>
          <w:sz w:val="24"/>
        </w:rPr>
        <w:t> </w:t>
      </w:r>
      <w:r>
        <w:rPr>
          <w:spacing w:val="-2"/>
          <w:sz w:val="24"/>
        </w:rPr>
        <w:t>work</w:t>
      </w:r>
      <w:r>
        <w:rPr>
          <w:spacing w:val="-15"/>
          <w:sz w:val="24"/>
        </w:rPr>
        <w:t> </w:t>
      </w:r>
      <w:r>
        <w:rPr>
          <w:spacing w:val="-2"/>
          <w:sz w:val="24"/>
        </w:rPr>
        <w:t>plan,</w:t>
      </w:r>
      <w:r>
        <w:rPr>
          <w:spacing w:val="-12"/>
          <w:sz w:val="24"/>
        </w:rPr>
        <w:t> </w:t>
      </w:r>
      <w:r>
        <w:rPr>
          <w:spacing w:val="-2"/>
          <w:sz w:val="24"/>
        </w:rPr>
        <w:t>identified</w:t>
      </w:r>
      <w:r>
        <w:rPr>
          <w:spacing w:val="-11"/>
          <w:sz w:val="24"/>
        </w:rPr>
        <w:t> </w:t>
      </w:r>
      <w:r>
        <w:rPr>
          <w:spacing w:val="-2"/>
          <w:sz w:val="24"/>
        </w:rPr>
        <w:t>risks,</w:t>
      </w:r>
      <w:r>
        <w:rPr>
          <w:spacing w:val="-11"/>
          <w:sz w:val="24"/>
        </w:rPr>
        <w:t> </w:t>
      </w:r>
      <w:r>
        <w:rPr>
          <w:spacing w:val="-2"/>
          <w:sz w:val="24"/>
        </w:rPr>
        <w:t>matters</w:t>
      </w:r>
      <w:r>
        <w:rPr>
          <w:spacing w:val="-11"/>
          <w:sz w:val="24"/>
        </w:rPr>
        <w:t> </w:t>
      </w:r>
      <w:r>
        <w:rPr>
          <w:spacing w:val="-2"/>
          <w:sz w:val="24"/>
        </w:rPr>
        <w:t>arising </w:t>
      </w:r>
      <w:r>
        <w:rPr>
          <w:sz w:val="24"/>
        </w:rPr>
        <w:t>from</w:t>
      </w:r>
      <w:r>
        <w:rPr>
          <w:spacing w:val="-16"/>
          <w:sz w:val="24"/>
        </w:rPr>
        <w:t> </w:t>
      </w:r>
      <w:r>
        <w:rPr>
          <w:sz w:val="24"/>
        </w:rPr>
        <w:t>previous</w:t>
      </w:r>
      <w:r>
        <w:rPr>
          <w:spacing w:val="-11"/>
          <w:sz w:val="24"/>
        </w:rPr>
        <w:t> </w:t>
      </w:r>
      <w:r>
        <w:rPr>
          <w:sz w:val="24"/>
        </w:rPr>
        <w:t>meetings,</w:t>
      </w:r>
      <w:r>
        <w:rPr>
          <w:spacing w:val="-10"/>
          <w:sz w:val="24"/>
        </w:rPr>
        <w:t> </w:t>
      </w:r>
      <w:r>
        <w:rPr>
          <w:sz w:val="24"/>
        </w:rPr>
        <w:t>issues</w:t>
      </w:r>
      <w:r>
        <w:rPr>
          <w:spacing w:val="-16"/>
          <w:sz w:val="24"/>
        </w:rPr>
        <w:t> </w:t>
      </w:r>
      <w:r>
        <w:rPr>
          <w:sz w:val="24"/>
        </w:rPr>
        <w:t>emerging</w:t>
      </w:r>
      <w:r>
        <w:rPr>
          <w:spacing w:val="-10"/>
          <w:sz w:val="24"/>
        </w:rPr>
        <w:t> </w:t>
      </w:r>
      <w:r>
        <w:rPr>
          <w:sz w:val="24"/>
        </w:rPr>
        <w:t>throughout</w:t>
      </w:r>
      <w:r>
        <w:rPr>
          <w:spacing w:val="-13"/>
          <w:sz w:val="24"/>
        </w:rPr>
        <w:t> </w:t>
      </w:r>
      <w:r>
        <w:rPr>
          <w:sz w:val="24"/>
        </w:rPr>
        <w:t>the</w:t>
      </w:r>
      <w:r>
        <w:rPr>
          <w:spacing w:val="-10"/>
          <w:sz w:val="24"/>
        </w:rPr>
        <w:t> </w:t>
      </w:r>
      <w:r>
        <w:rPr>
          <w:sz w:val="24"/>
        </w:rPr>
        <w:t>year,</w:t>
      </w:r>
      <w:r>
        <w:rPr>
          <w:spacing w:val="-13"/>
          <w:sz w:val="24"/>
        </w:rPr>
        <w:t> </w:t>
      </w:r>
      <w:r>
        <w:rPr>
          <w:sz w:val="24"/>
        </w:rPr>
        <w:t>and</w:t>
      </w:r>
      <w:r>
        <w:rPr>
          <w:spacing w:val="-10"/>
          <w:sz w:val="24"/>
        </w:rPr>
        <w:t> </w:t>
      </w:r>
      <w:r>
        <w:rPr>
          <w:sz w:val="24"/>
        </w:rPr>
        <w:t>requests</w:t>
      </w:r>
      <w:r>
        <w:rPr>
          <w:spacing w:val="-7"/>
          <w:sz w:val="24"/>
        </w:rPr>
        <w:t> </w:t>
      </w:r>
      <w:r>
        <w:rPr>
          <w:sz w:val="24"/>
        </w:rPr>
        <w:t>from </w:t>
      </w:r>
      <w:r>
        <w:rPr>
          <w:spacing w:val="-2"/>
          <w:sz w:val="24"/>
        </w:rPr>
        <w:t>members.</w:t>
      </w:r>
    </w:p>
    <w:p>
      <w:pPr>
        <w:pStyle w:val="ListParagraph"/>
        <w:numPr>
          <w:ilvl w:val="1"/>
          <w:numId w:val="92"/>
        </w:numPr>
        <w:tabs>
          <w:tab w:pos="937" w:val="left" w:leader="none"/>
        </w:tabs>
        <w:spacing w:line="240" w:lineRule="auto" w:before="162" w:after="0"/>
        <w:ind w:left="937" w:right="0" w:hanging="795"/>
        <w:jc w:val="left"/>
        <w:rPr>
          <w:sz w:val="24"/>
        </w:rPr>
      </w:pPr>
      <w:r>
        <w:rPr>
          <w:spacing w:val="-2"/>
          <w:sz w:val="24"/>
        </w:rPr>
        <w:t>All</w:t>
      </w:r>
      <w:r>
        <w:rPr>
          <w:spacing w:val="-17"/>
          <w:sz w:val="24"/>
        </w:rPr>
        <w:t> </w:t>
      </w:r>
      <w:r>
        <w:rPr>
          <w:spacing w:val="-2"/>
          <w:sz w:val="24"/>
        </w:rPr>
        <w:t>papers</w:t>
      </w:r>
      <w:r>
        <w:rPr>
          <w:spacing w:val="-6"/>
          <w:sz w:val="24"/>
        </w:rPr>
        <w:t> </w:t>
      </w:r>
      <w:r>
        <w:rPr>
          <w:spacing w:val="-2"/>
          <w:sz w:val="24"/>
        </w:rPr>
        <w:t>must</w:t>
      </w:r>
      <w:r>
        <w:rPr>
          <w:spacing w:val="-13"/>
          <w:sz w:val="24"/>
        </w:rPr>
        <w:t> </w:t>
      </w:r>
      <w:r>
        <w:rPr>
          <w:spacing w:val="-2"/>
          <w:sz w:val="24"/>
        </w:rPr>
        <w:t>be</w:t>
      </w:r>
      <w:r>
        <w:rPr>
          <w:spacing w:val="-10"/>
          <w:sz w:val="24"/>
        </w:rPr>
        <w:t> </w:t>
      </w:r>
      <w:r>
        <w:rPr>
          <w:spacing w:val="-2"/>
          <w:sz w:val="24"/>
        </w:rPr>
        <w:t>approved</w:t>
      </w:r>
      <w:r>
        <w:rPr>
          <w:spacing w:val="-9"/>
          <w:sz w:val="24"/>
        </w:rPr>
        <w:t> </w:t>
      </w:r>
      <w:r>
        <w:rPr>
          <w:spacing w:val="-2"/>
          <w:sz w:val="24"/>
        </w:rPr>
        <w:t>by</w:t>
      </w:r>
      <w:r>
        <w:rPr>
          <w:spacing w:val="-7"/>
          <w:sz w:val="24"/>
        </w:rPr>
        <w:t> </w:t>
      </w:r>
      <w:r>
        <w:rPr>
          <w:spacing w:val="-2"/>
          <w:sz w:val="24"/>
        </w:rPr>
        <w:t>the</w:t>
      </w:r>
      <w:r>
        <w:rPr>
          <w:spacing w:val="-7"/>
          <w:sz w:val="24"/>
        </w:rPr>
        <w:t> </w:t>
      </w:r>
      <w:r>
        <w:rPr>
          <w:spacing w:val="-2"/>
          <w:sz w:val="24"/>
        </w:rPr>
        <w:t>Chair.</w:t>
      </w:r>
    </w:p>
    <w:p>
      <w:pPr>
        <w:pStyle w:val="ListParagraph"/>
        <w:numPr>
          <w:ilvl w:val="1"/>
          <w:numId w:val="92"/>
        </w:numPr>
        <w:tabs>
          <w:tab w:pos="937" w:val="left" w:leader="none"/>
        </w:tabs>
        <w:spacing w:line="240" w:lineRule="auto" w:before="159" w:after="0"/>
        <w:ind w:left="937" w:right="1061" w:hanging="795"/>
        <w:jc w:val="left"/>
        <w:rPr>
          <w:sz w:val="24"/>
        </w:rPr>
      </w:pPr>
      <w:r>
        <w:rPr>
          <w:spacing w:val="-2"/>
          <w:sz w:val="24"/>
        </w:rPr>
        <w:t>The</w:t>
      </w:r>
      <w:r>
        <w:rPr>
          <w:spacing w:val="-11"/>
          <w:sz w:val="24"/>
        </w:rPr>
        <w:t> </w:t>
      </w:r>
      <w:r>
        <w:rPr>
          <w:spacing w:val="-2"/>
          <w:sz w:val="24"/>
        </w:rPr>
        <w:t>agenda</w:t>
      </w:r>
      <w:r>
        <w:rPr>
          <w:spacing w:val="-10"/>
          <w:sz w:val="24"/>
        </w:rPr>
        <w:t> </w:t>
      </w:r>
      <w:r>
        <w:rPr>
          <w:spacing w:val="-2"/>
          <w:sz w:val="24"/>
        </w:rPr>
        <w:t>and</w:t>
      </w:r>
      <w:r>
        <w:rPr>
          <w:spacing w:val="-10"/>
          <w:sz w:val="24"/>
        </w:rPr>
        <w:t> </w:t>
      </w:r>
      <w:r>
        <w:rPr>
          <w:spacing w:val="-2"/>
          <w:sz w:val="24"/>
        </w:rPr>
        <w:t>papers</w:t>
      </w:r>
      <w:r>
        <w:rPr>
          <w:spacing w:val="-5"/>
          <w:sz w:val="24"/>
        </w:rPr>
        <w:t> </w:t>
      </w:r>
      <w:r>
        <w:rPr>
          <w:spacing w:val="-2"/>
          <w:sz w:val="24"/>
        </w:rPr>
        <w:t>for</w:t>
      </w:r>
      <w:r>
        <w:rPr>
          <w:spacing w:val="-11"/>
          <w:sz w:val="24"/>
        </w:rPr>
        <w:t> </w:t>
      </w:r>
      <w:r>
        <w:rPr>
          <w:spacing w:val="-2"/>
          <w:sz w:val="24"/>
        </w:rPr>
        <w:t>meetings</w:t>
      </w:r>
      <w:r>
        <w:rPr>
          <w:spacing w:val="-10"/>
          <w:sz w:val="24"/>
        </w:rPr>
        <w:t> </w:t>
      </w:r>
      <w:r>
        <w:rPr>
          <w:spacing w:val="-2"/>
          <w:sz w:val="24"/>
        </w:rPr>
        <w:t>will</w:t>
      </w:r>
      <w:r>
        <w:rPr>
          <w:spacing w:val="-10"/>
          <w:sz w:val="24"/>
        </w:rPr>
        <w:t> </w:t>
      </w:r>
      <w:r>
        <w:rPr>
          <w:spacing w:val="-2"/>
          <w:sz w:val="24"/>
        </w:rPr>
        <w:t>be</w:t>
      </w:r>
      <w:r>
        <w:rPr>
          <w:spacing w:val="-10"/>
          <w:sz w:val="24"/>
        </w:rPr>
        <w:t> </w:t>
      </w:r>
      <w:r>
        <w:rPr>
          <w:spacing w:val="-2"/>
          <w:sz w:val="24"/>
        </w:rPr>
        <w:t>distributed</w:t>
      </w:r>
      <w:r>
        <w:rPr>
          <w:spacing w:val="-9"/>
          <w:sz w:val="24"/>
        </w:rPr>
        <w:t> </w:t>
      </w:r>
      <w:r>
        <w:rPr>
          <w:spacing w:val="-2"/>
          <w:sz w:val="24"/>
        </w:rPr>
        <w:t>seven</w:t>
      </w:r>
      <w:r>
        <w:rPr>
          <w:spacing w:val="-9"/>
          <w:sz w:val="24"/>
        </w:rPr>
        <w:t> </w:t>
      </w:r>
      <w:r>
        <w:rPr>
          <w:spacing w:val="-2"/>
          <w:sz w:val="24"/>
        </w:rPr>
        <w:t>days</w:t>
      </w:r>
      <w:r>
        <w:rPr>
          <w:spacing w:val="-15"/>
          <w:sz w:val="24"/>
        </w:rPr>
        <w:t> </w:t>
      </w:r>
      <w:r>
        <w:rPr>
          <w:spacing w:val="-2"/>
          <w:sz w:val="24"/>
        </w:rPr>
        <w:t>in</w:t>
      </w:r>
      <w:r>
        <w:rPr>
          <w:spacing w:val="-14"/>
          <w:sz w:val="24"/>
        </w:rPr>
        <w:t> </w:t>
      </w:r>
      <w:r>
        <w:rPr>
          <w:spacing w:val="-2"/>
          <w:sz w:val="24"/>
        </w:rPr>
        <w:t>advance</w:t>
      </w:r>
      <w:r>
        <w:rPr>
          <w:spacing w:val="-15"/>
          <w:sz w:val="24"/>
        </w:rPr>
        <w:t> </w:t>
      </w:r>
      <w:r>
        <w:rPr>
          <w:spacing w:val="-2"/>
          <w:sz w:val="24"/>
        </w:rPr>
        <w:t>of</w:t>
      </w:r>
      <w:r>
        <w:rPr>
          <w:spacing w:val="-8"/>
          <w:sz w:val="24"/>
        </w:rPr>
        <w:t> </w:t>
      </w:r>
      <w:r>
        <w:rPr>
          <w:spacing w:val="-2"/>
          <w:sz w:val="24"/>
        </w:rPr>
        <w:t>the meeting.</w:t>
      </w:r>
    </w:p>
    <w:p>
      <w:pPr>
        <w:pStyle w:val="BodyText"/>
        <w:spacing w:before="71"/>
        <w:rPr>
          <w:sz w:val="20"/>
        </w:rPr>
      </w:pPr>
    </w:p>
    <w:p>
      <w:pPr>
        <w:spacing w:before="0"/>
        <w:ind w:left="4" w:right="284" w:firstLine="0"/>
        <w:jc w:val="center"/>
        <w:rPr>
          <w:sz w:val="20"/>
        </w:rPr>
      </w:pPr>
      <w:r>
        <w:rPr>
          <w:spacing w:val="-10"/>
          <w:sz w:val="20"/>
        </w:rPr>
        <w:t>4</w:t>
      </w:r>
    </w:p>
    <w:p>
      <w:pPr>
        <w:spacing w:after="0"/>
        <w:jc w:val="center"/>
        <w:rPr>
          <w:sz w:val="20"/>
        </w:rPr>
        <w:sectPr>
          <w:pgSz w:w="11910" w:h="16840"/>
          <w:pgMar w:header="0" w:footer="149" w:top="980" w:bottom="340" w:left="708" w:right="425"/>
        </w:sectPr>
      </w:pPr>
    </w:p>
    <w:p>
      <w:pPr>
        <w:pStyle w:val="ListParagraph"/>
        <w:numPr>
          <w:ilvl w:val="1"/>
          <w:numId w:val="92"/>
        </w:numPr>
        <w:tabs>
          <w:tab w:pos="935" w:val="left" w:leader="none"/>
          <w:tab w:pos="937" w:val="left" w:leader="none"/>
        </w:tabs>
        <w:spacing w:line="242" w:lineRule="auto" w:before="75" w:after="0"/>
        <w:ind w:left="937" w:right="641" w:hanging="795"/>
        <w:jc w:val="both"/>
        <w:rPr>
          <w:sz w:val="24"/>
        </w:rPr>
      </w:pPr>
      <w:r>
        <w:rPr>
          <w:spacing w:val="-2"/>
          <w:sz w:val="24"/>
        </w:rPr>
        <w:t>A</w:t>
      </w:r>
      <w:r>
        <w:rPr>
          <w:spacing w:val="-15"/>
          <w:sz w:val="24"/>
        </w:rPr>
        <w:t> </w:t>
      </w:r>
      <w:r>
        <w:rPr>
          <w:spacing w:val="-2"/>
          <w:sz w:val="24"/>
        </w:rPr>
        <w:t>draft</w:t>
      </w:r>
      <w:r>
        <w:rPr>
          <w:spacing w:val="-7"/>
          <w:sz w:val="24"/>
        </w:rPr>
        <w:t> </w:t>
      </w:r>
      <w:r>
        <w:rPr>
          <w:spacing w:val="-2"/>
          <w:sz w:val="24"/>
        </w:rPr>
        <w:t>Table</w:t>
      </w:r>
      <w:r>
        <w:rPr>
          <w:spacing w:val="-9"/>
          <w:sz w:val="24"/>
        </w:rPr>
        <w:t> </w:t>
      </w:r>
      <w:r>
        <w:rPr>
          <w:spacing w:val="-2"/>
          <w:sz w:val="24"/>
        </w:rPr>
        <w:t>of</w:t>
      </w:r>
      <w:r>
        <w:rPr>
          <w:spacing w:val="-12"/>
          <w:sz w:val="24"/>
        </w:rPr>
        <w:t> </w:t>
      </w:r>
      <w:r>
        <w:rPr>
          <w:spacing w:val="-2"/>
          <w:sz w:val="24"/>
        </w:rPr>
        <w:t>Actions</w:t>
      </w:r>
      <w:r>
        <w:rPr>
          <w:spacing w:val="-15"/>
          <w:sz w:val="24"/>
        </w:rPr>
        <w:t> </w:t>
      </w:r>
      <w:r>
        <w:rPr>
          <w:spacing w:val="-2"/>
          <w:sz w:val="24"/>
        </w:rPr>
        <w:t>will</w:t>
      </w:r>
      <w:r>
        <w:rPr>
          <w:spacing w:val="-13"/>
          <w:sz w:val="24"/>
        </w:rPr>
        <w:t> </w:t>
      </w:r>
      <w:r>
        <w:rPr>
          <w:spacing w:val="-2"/>
          <w:sz w:val="24"/>
        </w:rPr>
        <w:t>be</w:t>
      </w:r>
      <w:r>
        <w:rPr>
          <w:spacing w:val="-9"/>
          <w:sz w:val="24"/>
        </w:rPr>
        <w:t> </w:t>
      </w:r>
      <w:r>
        <w:rPr>
          <w:spacing w:val="-2"/>
          <w:sz w:val="24"/>
        </w:rPr>
        <w:t>issued</w:t>
      </w:r>
      <w:r>
        <w:rPr>
          <w:spacing w:val="-9"/>
          <w:sz w:val="24"/>
        </w:rPr>
        <w:t> </w:t>
      </w:r>
      <w:r>
        <w:rPr>
          <w:spacing w:val="-2"/>
          <w:sz w:val="24"/>
        </w:rPr>
        <w:t>within</w:t>
      </w:r>
      <w:r>
        <w:rPr>
          <w:spacing w:val="-5"/>
          <w:sz w:val="24"/>
        </w:rPr>
        <w:t> </w:t>
      </w:r>
      <w:r>
        <w:rPr>
          <w:spacing w:val="-2"/>
          <w:sz w:val="24"/>
        </w:rPr>
        <w:t>seven</w:t>
      </w:r>
      <w:r>
        <w:rPr>
          <w:spacing w:val="-13"/>
          <w:sz w:val="24"/>
        </w:rPr>
        <w:t> </w:t>
      </w:r>
      <w:r>
        <w:rPr>
          <w:spacing w:val="-2"/>
          <w:sz w:val="24"/>
        </w:rPr>
        <w:t>days</w:t>
      </w:r>
      <w:r>
        <w:rPr>
          <w:spacing w:val="-10"/>
          <w:sz w:val="24"/>
        </w:rPr>
        <w:t> </w:t>
      </w:r>
      <w:r>
        <w:rPr>
          <w:spacing w:val="-2"/>
          <w:sz w:val="24"/>
        </w:rPr>
        <w:t>of</w:t>
      </w:r>
      <w:r>
        <w:rPr>
          <w:spacing w:val="-7"/>
          <w:sz w:val="24"/>
        </w:rPr>
        <w:t> </w:t>
      </w:r>
      <w:r>
        <w:rPr>
          <w:spacing w:val="-2"/>
          <w:sz w:val="24"/>
        </w:rPr>
        <w:t>the</w:t>
      </w:r>
      <w:r>
        <w:rPr>
          <w:spacing w:val="-9"/>
          <w:sz w:val="24"/>
        </w:rPr>
        <w:t> </w:t>
      </w:r>
      <w:r>
        <w:rPr>
          <w:spacing w:val="-2"/>
          <w:sz w:val="24"/>
        </w:rPr>
        <w:t>meeting.</w:t>
      </w:r>
      <w:r>
        <w:rPr>
          <w:spacing w:val="-7"/>
          <w:sz w:val="24"/>
        </w:rPr>
        <w:t> </w:t>
      </w:r>
      <w:r>
        <w:rPr>
          <w:spacing w:val="-2"/>
          <w:sz w:val="24"/>
        </w:rPr>
        <w:t>The</w:t>
      </w:r>
      <w:r>
        <w:rPr>
          <w:spacing w:val="-9"/>
          <w:sz w:val="24"/>
        </w:rPr>
        <w:t> </w:t>
      </w:r>
      <w:r>
        <w:rPr>
          <w:spacing w:val="-2"/>
          <w:sz w:val="24"/>
        </w:rPr>
        <w:t>minutes</w:t>
      </w:r>
      <w:r>
        <w:rPr>
          <w:spacing w:val="-10"/>
          <w:sz w:val="24"/>
        </w:rPr>
        <w:t> </w:t>
      </w:r>
      <w:r>
        <w:rPr>
          <w:spacing w:val="-2"/>
          <w:sz w:val="24"/>
        </w:rPr>
        <w:t>and </w:t>
      </w:r>
      <w:r>
        <w:rPr>
          <w:sz w:val="24"/>
        </w:rPr>
        <w:t>action</w:t>
      </w:r>
      <w:r>
        <w:rPr>
          <w:spacing w:val="-17"/>
          <w:sz w:val="24"/>
        </w:rPr>
        <w:t> </w:t>
      </w:r>
      <w:r>
        <w:rPr>
          <w:sz w:val="24"/>
        </w:rPr>
        <w:t>log</w:t>
      </w:r>
      <w:r>
        <w:rPr>
          <w:spacing w:val="-17"/>
          <w:sz w:val="24"/>
        </w:rPr>
        <w:t> </w:t>
      </w:r>
      <w:r>
        <w:rPr>
          <w:sz w:val="24"/>
        </w:rPr>
        <w:t>will</w:t>
      </w:r>
      <w:r>
        <w:rPr>
          <w:spacing w:val="-16"/>
          <w:sz w:val="24"/>
        </w:rPr>
        <w:t> </w:t>
      </w:r>
      <w:r>
        <w:rPr>
          <w:sz w:val="24"/>
        </w:rPr>
        <w:t>be</w:t>
      </w:r>
      <w:r>
        <w:rPr>
          <w:spacing w:val="-17"/>
          <w:sz w:val="24"/>
        </w:rPr>
        <w:t> </w:t>
      </w:r>
      <w:r>
        <w:rPr>
          <w:sz w:val="24"/>
        </w:rPr>
        <w:t>circulated</w:t>
      </w:r>
      <w:r>
        <w:rPr>
          <w:spacing w:val="-17"/>
          <w:sz w:val="24"/>
        </w:rPr>
        <w:t> </w:t>
      </w:r>
      <w:r>
        <w:rPr>
          <w:sz w:val="24"/>
        </w:rPr>
        <w:t>to</w:t>
      </w:r>
      <w:r>
        <w:rPr>
          <w:spacing w:val="-17"/>
          <w:sz w:val="24"/>
        </w:rPr>
        <w:t> </w:t>
      </w:r>
      <w:r>
        <w:rPr>
          <w:sz w:val="24"/>
        </w:rPr>
        <w:t>members</w:t>
      </w:r>
      <w:r>
        <w:rPr>
          <w:spacing w:val="-16"/>
          <w:sz w:val="24"/>
        </w:rPr>
        <w:t> </w:t>
      </w:r>
      <w:r>
        <w:rPr>
          <w:sz w:val="24"/>
        </w:rPr>
        <w:t>within</w:t>
      </w:r>
      <w:r>
        <w:rPr>
          <w:spacing w:val="-17"/>
          <w:sz w:val="24"/>
        </w:rPr>
        <w:t> </w:t>
      </w:r>
      <w:r>
        <w:rPr>
          <w:sz w:val="24"/>
        </w:rPr>
        <w:t>seven</w:t>
      </w:r>
      <w:r>
        <w:rPr>
          <w:spacing w:val="-17"/>
          <w:sz w:val="24"/>
        </w:rPr>
        <w:t> </w:t>
      </w:r>
      <w:r>
        <w:rPr>
          <w:sz w:val="24"/>
        </w:rPr>
        <w:t>days</w:t>
      </w:r>
      <w:r>
        <w:rPr>
          <w:spacing w:val="-16"/>
          <w:sz w:val="24"/>
        </w:rPr>
        <w:t> </w:t>
      </w:r>
      <w:r>
        <w:rPr>
          <w:sz w:val="24"/>
        </w:rPr>
        <w:t>to</w:t>
      </w:r>
      <w:r>
        <w:rPr>
          <w:spacing w:val="-17"/>
          <w:sz w:val="24"/>
        </w:rPr>
        <w:t> </w:t>
      </w:r>
      <w:r>
        <w:rPr>
          <w:sz w:val="24"/>
        </w:rPr>
        <w:t>check</w:t>
      </w:r>
      <w:r>
        <w:rPr>
          <w:spacing w:val="-17"/>
          <w:sz w:val="24"/>
        </w:rPr>
        <w:t> </w:t>
      </w:r>
      <w:r>
        <w:rPr>
          <w:sz w:val="24"/>
        </w:rPr>
        <w:t>the</w:t>
      </w:r>
      <w:r>
        <w:rPr>
          <w:spacing w:val="-16"/>
          <w:sz w:val="24"/>
        </w:rPr>
        <w:t> </w:t>
      </w:r>
      <w:r>
        <w:rPr>
          <w:sz w:val="24"/>
        </w:rPr>
        <w:t>accuracy,</w:t>
      </w:r>
      <w:r>
        <w:rPr>
          <w:spacing w:val="-17"/>
          <w:sz w:val="24"/>
        </w:rPr>
        <w:t> </w:t>
      </w:r>
      <w:r>
        <w:rPr>
          <w:sz w:val="24"/>
        </w:rPr>
        <w:t>prior</w:t>
      </w:r>
      <w:r>
        <w:rPr>
          <w:spacing w:val="-17"/>
          <w:sz w:val="24"/>
        </w:rPr>
        <w:t> </w:t>
      </w:r>
      <w:r>
        <w:rPr>
          <w:sz w:val="24"/>
        </w:rPr>
        <w:t>to sending</w:t>
      </w:r>
      <w:r>
        <w:rPr>
          <w:spacing w:val="-10"/>
          <w:sz w:val="24"/>
        </w:rPr>
        <w:t> </w:t>
      </w:r>
      <w:r>
        <w:rPr>
          <w:sz w:val="24"/>
        </w:rPr>
        <w:t>to</w:t>
      </w:r>
      <w:r>
        <w:rPr>
          <w:spacing w:val="-10"/>
          <w:sz w:val="24"/>
        </w:rPr>
        <w:t> </w:t>
      </w:r>
      <w:r>
        <w:rPr>
          <w:sz w:val="24"/>
        </w:rPr>
        <w:t>Members</w:t>
      </w:r>
      <w:r>
        <w:rPr>
          <w:spacing w:val="-11"/>
          <w:sz w:val="24"/>
        </w:rPr>
        <w:t> </w:t>
      </w:r>
      <w:r>
        <w:rPr>
          <w:sz w:val="24"/>
        </w:rPr>
        <w:t>(including</w:t>
      </w:r>
      <w:r>
        <w:rPr>
          <w:spacing w:val="-5"/>
          <w:sz w:val="24"/>
        </w:rPr>
        <w:t> </w:t>
      </w:r>
      <w:r>
        <w:rPr>
          <w:sz w:val="24"/>
        </w:rPr>
        <w:t>the</w:t>
      </w:r>
      <w:r>
        <w:rPr>
          <w:spacing w:val="-7"/>
          <w:sz w:val="24"/>
        </w:rPr>
        <w:t> </w:t>
      </w:r>
      <w:r>
        <w:rPr>
          <w:sz w:val="24"/>
        </w:rPr>
        <w:t>RHES</w:t>
      </w:r>
      <w:r>
        <w:rPr>
          <w:spacing w:val="-16"/>
          <w:sz w:val="24"/>
        </w:rPr>
        <w:t> </w:t>
      </w:r>
      <w:r>
        <w:rPr>
          <w:sz w:val="24"/>
        </w:rPr>
        <w:t>Chair)</w:t>
      </w:r>
      <w:r>
        <w:rPr>
          <w:spacing w:val="-6"/>
          <w:sz w:val="24"/>
        </w:rPr>
        <w:t> </w:t>
      </w:r>
      <w:r>
        <w:rPr>
          <w:sz w:val="24"/>
        </w:rPr>
        <w:t>to</w:t>
      </w:r>
      <w:r>
        <w:rPr>
          <w:spacing w:val="-15"/>
          <w:sz w:val="24"/>
        </w:rPr>
        <w:t> </w:t>
      </w:r>
      <w:r>
        <w:rPr>
          <w:sz w:val="24"/>
        </w:rPr>
        <w:t>review</w:t>
      </w:r>
      <w:r>
        <w:rPr>
          <w:spacing w:val="-10"/>
          <w:sz w:val="24"/>
        </w:rPr>
        <w:t> </w:t>
      </w:r>
      <w:r>
        <w:rPr>
          <w:sz w:val="24"/>
        </w:rPr>
        <w:t>within</w:t>
      </w:r>
      <w:r>
        <w:rPr>
          <w:spacing w:val="-10"/>
          <w:sz w:val="24"/>
        </w:rPr>
        <w:t> </w:t>
      </w:r>
      <w:r>
        <w:rPr>
          <w:sz w:val="24"/>
        </w:rPr>
        <w:t>the</w:t>
      </w:r>
      <w:r>
        <w:rPr>
          <w:spacing w:val="-10"/>
          <w:sz w:val="24"/>
        </w:rPr>
        <w:t> </w:t>
      </w:r>
      <w:r>
        <w:rPr>
          <w:sz w:val="24"/>
        </w:rPr>
        <w:t>next</w:t>
      </w:r>
      <w:r>
        <w:rPr>
          <w:spacing w:val="-13"/>
          <w:sz w:val="24"/>
        </w:rPr>
        <w:t> </w:t>
      </w:r>
      <w:r>
        <w:rPr>
          <w:sz w:val="24"/>
        </w:rPr>
        <w:t>seven</w:t>
      </w:r>
      <w:r>
        <w:rPr>
          <w:spacing w:val="-10"/>
          <w:sz w:val="24"/>
        </w:rPr>
        <w:t> </w:t>
      </w:r>
      <w:r>
        <w:rPr>
          <w:sz w:val="24"/>
        </w:rPr>
        <w:t>days.</w:t>
      </w:r>
    </w:p>
    <w:p>
      <w:pPr>
        <w:pStyle w:val="ListParagraph"/>
        <w:numPr>
          <w:ilvl w:val="1"/>
          <w:numId w:val="92"/>
        </w:numPr>
        <w:tabs>
          <w:tab w:pos="937" w:val="left" w:leader="none"/>
        </w:tabs>
        <w:spacing w:line="240" w:lineRule="auto" w:before="154" w:after="0"/>
        <w:ind w:left="937" w:right="916" w:hanging="795"/>
        <w:jc w:val="left"/>
        <w:rPr>
          <w:sz w:val="24"/>
        </w:rPr>
      </w:pPr>
      <w:r>
        <w:rPr>
          <w:spacing w:val="-2"/>
          <w:sz w:val="24"/>
        </w:rPr>
        <w:t>Members</w:t>
      </w:r>
      <w:r>
        <w:rPr>
          <w:spacing w:val="-14"/>
          <w:sz w:val="24"/>
        </w:rPr>
        <w:t> </w:t>
      </w:r>
      <w:r>
        <w:rPr>
          <w:spacing w:val="-2"/>
          <w:sz w:val="24"/>
        </w:rPr>
        <w:t>must</w:t>
      </w:r>
      <w:r>
        <w:rPr>
          <w:spacing w:val="-9"/>
          <w:sz w:val="24"/>
        </w:rPr>
        <w:t> </w:t>
      </w:r>
      <w:r>
        <w:rPr>
          <w:spacing w:val="-2"/>
          <w:sz w:val="24"/>
        </w:rPr>
        <w:t>forward</w:t>
      </w:r>
      <w:r>
        <w:rPr>
          <w:spacing w:val="-11"/>
          <w:sz w:val="24"/>
        </w:rPr>
        <w:t> </w:t>
      </w:r>
      <w:r>
        <w:rPr>
          <w:spacing w:val="-2"/>
          <w:sz w:val="24"/>
        </w:rPr>
        <w:t>amendments</w:t>
      </w:r>
      <w:r>
        <w:rPr>
          <w:spacing w:val="-12"/>
          <w:sz w:val="24"/>
        </w:rPr>
        <w:t> </w:t>
      </w:r>
      <w:r>
        <w:rPr>
          <w:spacing w:val="-2"/>
          <w:sz w:val="24"/>
        </w:rPr>
        <w:t>to</w:t>
      </w:r>
      <w:r>
        <w:rPr>
          <w:spacing w:val="-11"/>
          <w:sz w:val="24"/>
        </w:rPr>
        <w:t> </w:t>
      </w:r>
      <w:r>
        <w:rPr>
          <w:spacing w:val="-2"/>
          <w:sz w:val="24"/>
        </w:rPr>
        <w:t>the</w:t>
      </w:r>
      <w:r>
        <w:rPr>
          <w:spacing w:val="-8"/>
          <w:sz w:val="24"/>
        </w:rPr>
        <w:t> </w:t>
      </w:r>
      <w:r>
        <w:rPr>
          <w:spacing w:val="-2"/>
          <w:sz w:val="24"/>
        </w:rPr>
        <w:t>RJC</w:t>
      </w:r>
      <w:r>
        <w:rPr>
          <w:spacing w:val="-11"/>
          <w:sz w:val="24"/>
        </w:rPr>
        <w:t> </w:t>
      </w:r>
      <w:r>
        <w:rPr>
          <w:spacing w:val="-2"/>
          <w:sz w:val="24"/>
        </w:rPr>
        <w:t>PMO</w:t>
      </w:r>
      <w:r>
        <w:rPr>
          <w:spacing w:val="-15"/>
          <w:sz w:val="24"/>
        </w:rPr>
        <w:t> </w:t>
      </w:r>
      <w:r>
        <w:rPr>
          <w:spacing w:val="-2"/>
          <w:sz w:val="24"/>
        </w:rPr>
        <w:t>within</w:t>
      </w:r>
      <w:r>
        <w:rPr>
          <w:spacing w:val="-6"/>
          <w:sz w:val="24"/>
        </w:rPr>
        <w:t> </w:t>
      </w:r>
      <w:r>
        <w:rPr>
          <w:spacing w:val="-2"/>
          <w:sz w:val="24"/>
        </w:rPr>
        <w:t>the</w:t>
      </w:r>
      <w:r>
        <w:rPr>
          <w:spacing w:val="-11"/>
          <w:sz w:val="24"/>
        </w:rPr>
        <w:t> </w:t>
      </w:r>
      <w:r>
        <w:rPr>
          <w:spacing w:val="-2"/>
          <w:sz w:val="24"/>
        </w:rPr>
        <w:t>next</w:t>
      </w:r>
      <w:r>
        <w:rPr>
          <w:spacing w:val="-14"/>
          <w:sz w:val="24"/>
        </w:rPr>
        <w:t> </w:t>
      </w:r>
      <w:r>
        <w:rPr>
          <w:spacing w:val="-2"/>
          <w:sz w:val="24"/>
        </w:rPr>
        <w:t>seven</w:t>
      </w:r>
      <w:r>
        <w:rPr>
          <w:spacing w:val="-11"/>
          <w:sz w:val="24"/>
        </w:rPr>
        <w:t> </w:t>
      </w:r>
      <w:r>
        <w:rPr>
          <w:spacing w:val="-2"/>
          <w:sz w:val="24"/>
        </w:rPr>
        <w:t>days.</w:t>
      </w:r>
      <w:r>
        <w:rPr>
          <w:spacing w:val="-9"/>
          <w:sz w:val="24"/>
        </w:rPr>
        <w:t> </w:t>
      </w:r>
      <w:r>
        <w:rPr>
          <w:spacing w:val="-2"/>
          <w:sz w:val="24"/>
        </w:rPr>
        <w:t>The </w:t>
      </w:r>
      <w:r>
        <w:rPr>
          <w:sz w:val="24"/>
        </w:rPr>
        <w:t>RJC</w:t>
      </w:r>
      <w:r>
        <w:rPr>
          <w:spacing w:val="-9"/>
          <w:sz w:val="24"/>
        </w:rPr>
        <w:t> </w:t>
      </w:r>
      <w:r>
        <w:rPr>
          <w:sz w:val="24"/>
        </w:rPr>
        <w:t>PMO</w:t>
      </w:r>
      <w:r>
        <w:rPr>
          <w:spacing w:val="-11"/>
          <w:sz w:val="24"/>
        </w:rPr>
        <w:t> </w:t>
      </w:r>
      <w:r>
        <w:rPr>
          <w:sz w:val="24"/>
        </w:rPr>
        <w:t>will</w:t>
      </w:r>
      <w:r>
        <w:rPr>
          <w:spacing w:val="-9"/>
          <w:sz w:val="24"/>
        </w:rPr>
        <w:t> </w:t>
      </w:r>
      <w:r>
        <w:rPr>
          <w:sz w:val="24"/>
        </w:rPr>
        <w:t>then</w:t>
      </w:r>
      <w:r>
        <w:rPr>
          <w:spacing w:val="-9"/>
          <w:sz w:val="24"/>
        </w:rPr>
        <w:t> </w:t>
      </w:r>
      <w:r>
        <w:rPr>
          <w:sz w:val="24"/>
        </w:rPr>
        <w:t>forward</w:t>
      </w:r>
      <w:r>
        <w:rPr>
          <w:spacing w:val="-4"/>
          <w:sz w:val="24"/>
        </w:rPr>
        <w:t> </w:t>
      </w:r>
      <w:r>
        <w:rPr>
          <w:sz w:val="24"/>
        </w:rPr>
        <w:t>the</w:t>
      </w:r>
      <w:r>
        <w:rPr>
          <w:spacing w:val="-9"/>
          <w:sz w:val="24"/>
        </w:rPr>
        <w:t> </w:t>
      </w:r>
      <w:r>
        <w:rPr>
          <w:sz w:val="24"/>
        </w:rPr>
        <w:t>final</w:t>
      </w:r>
      <w:r>
        <w:rPr>
          <w:spacing w:val="-9"/>
          <w:sz w:val="24"/>
        </w:rPr>
        <w:t> </w:t>
      </w:r>
      <w:r>
        <w:rPr>
          <w:sz w:val="24"/>
        </w:rPr>
        <w:t>version</w:t>
      </w:r>
      <w:r>
        <w:rPr>
          <w:spacing w:val="-9"/>
          <w:sz w:val="24"/>
        </w:rPr>
        <w:t> </w:t>
      </w:r>
      <w:r>
        <w:rPr>
          <w:sz w:val="24"/>
        </w:rPr>
        <w:t>to</w:t>
      </w:r>
      <w:r>
        <w:rPr>
          <w:spacing w:val="-4"/>
          <w:sz w:val="24"/>
        </w:rPr>
        <w:t> </w:t>
      </w:r>
      <w:r>
        <w:rPr>
          <w:sz w:val="24"/>
        </w:rPr>
        <w:t>the</w:t>
      </w:r>
      <w:r>
        <w:rPr>
          <w:spacing w:val="-10"/>
          <w:sz w:val="24"/>
        </w:rPr>
        <w:t> </w:t>
      </w:r>
      <w:r>
        <w:rPr>
          <w:sz w:val="24"/>
        </w:rPr>
        <w:t>RHES</w:t>
      </w:r>
      <w:r>
        <w:rPr>
          <w:spacing w:val="-10"/>
          <w:sz w:val="24"/>
        </w:rPr>
        <w:t> </w:t>
      </w:r>
      <w:r>
        <w:rPr>
          <w:sz w:val="24"/>
        </w:rPr>
        <w:t>Chair</w:t>
      </w:r>
      <w:r>
        <w:rPr>
          <w:spacing w:val="-5"/>
          <w:sz w:val="24"/>
        </w:rPr>
        <w:t> </w:t>
      </w:r>
      <w:r>
        <w:rPr>
          <w:sz w:val="24"/>
        </w:rPr>
        <w:t>for</w:t>
      </w:r>
      <w:r>
        <w:rPr>
          <w:spacing w:val="-10"/>
          <w:sz w:val="24"/>
        </w:rPr>
        <w:t> </w:t>
      </w:r>
      <w:r>
        <w:rPr>
          <w:sz w:val="24"/>
        </w:rPr>
        <w:t>approval.</w:t>
      </w:r>
    </w:p>
    <w:p>
      <w:pPr>
        <w:pStyle w:val="BodyText"/>
        <w:spacing w:before="5"/>
        <w:rPr>
          <w:sz w:val="16"/>
        </w:rPr>
      </w:pPr>
      <w:r>
        <w:rPr>
          <w:sz w:val="16"/>
        </w:rPr>
        <mc:AlternateContent>
          <mc:Choice Requires="wps">
            <w:drawing>
              <wp:anchor distT="0" distB="0" distL="0" distR="0" allowOverlap="1" layoutInCell="1" locked="0" behindDoc="1" simplePos="0" relativeHeight="487704576">
                <wp:simplePos x="0" y="0"/>
                <wp:positionH relativeFrom="page">
                  <wp:posOffset>574992</wp:posOffset>
                </wp:positionH>
                <wp:positionV relativeFrom="paragraph">
                  <wp:posOffset>142137</wp:posOffset>
                </wp:positionV>
                <wp:extent cx="6575425" cy="193675"/>
                <wp:effectExtent l="0" t="0" r="0" b="0"/>
                <wp:wrapTopAndBottom/>
                <wp:docPr id="576" name="Textbox 576"/>
                <wp:cNvGraphicFramePr>
                  <a:graphicFrameLocks/>
                </wp:cNvGraphicFramePr>
                <a:graphic>
                  <a:graphicData uri="http://schemas.microsoft.com/office/word/2010/wordprocessingShape">
                    <wps:wsp>
                      <wps:cNvPr id="576" name="Textbox 576"/>
                      <wps:cNvSpPr txBox="1"/>
                      <wps:spPr>
                        <a:xfrm>
                          <a:off x="0" y="0"/>
                          <a:ext cx="6575425" cy="193675"/>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9.</w:t>
                            </w:r>
                            <w:r>
                              <w:rPr>
                                <w:b/>
                                <w:color w:val="000000"/>
                                <w:sz w:val="24"/>
                              </w:rPr>
                              <w:tab/>
                              <w:t>Frequency</w:t>
                            </w:r>
                            <w:r>
                              <w:rPr>
                                <w:b/>
                                <w:color w:val="000000"/>
                                <w:spacing w:val="-9"/>
                                <w:sz w:val="24"/>
                              </w:rPr>
                              <w:t> </w:t>
                            </w:r>
                            <w:r>
                              <w:rPr>
                                <w:b/>
                                <w:color w:val="000000"/>
                                <w:sz w:val="24"/>
                              </w:rPr>
                              <w:t>of </w:t>
                            </w:r>
                            <w:r>
                              <w:rPr>
                                <w:b/>
                                <w:color w:val="000000"/>
                                <w:spacing w:val="-2"/>
                                <w:sz w:val="24"/>
                              </w:rPr>
                              <w:t>Meetings</w:t>
                            </w:r>
                          </w:p>
                        </w:txbxContent>
                      </wps:txbx>
                      <wps:bodyPr wrap="square" lIns="0" tIns="0" rIns="0" bIns="0" rtlCol="0">
                        <a:noAutofit/>
                      </wps:bodyPr>
                    </wps:wsp>
                  </a:graphicData>
                </a:graphic>
              </wp:anchor>
            </w:drawing>
          </mc:Choice>
          <mc:Fallback>
            <w:pict>
              <v:shape style="position:absolute;margin-left:45.275002pt;margin-top:11.191895pt;width:517.75pt;height:15.25pt;mso-position-horizontal-relative:page;mso-position-vertical-relative:paragraph;z-index:-15611904;mso-wrap-distance-left:0;mso-wrap-distance-right:0" type="#_x0000_t202" id="docshape352"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9.</w:t>
                      </w:r>
                      <w:r>
                        <w:rPr>
                          <w:b/>
                          <w:color w:val="000000"/>
                          <w:sz w:val="24"/>
                        </w:rPr>
                        <w:tab/>
                        <w:t>Frequency</w:t>
                      </w:r>
                      <w:r>
                        <w:rPr>
                          <w:b/>
                          <w:color w:val="000000"/>
                          <w:spacing w:val="-9"/>
                          <w:sz w:val="24"/>
                        </w:rPr>
                        <w:t> </w:t>
                      </w:r>
                      <w:r>
                        <w:rPr>
                          <w:b/>
                          <w:color w:val="000000"/>
                          <w:sz w:val="24"/>
                        </w:rPr>
                        <w:t>of </w:t>
                      </w:r>
                      <w:r>
                        <w:rPr>
                          <w:b/>
                          <w:color w:val="000000"/>
                          <w:spacing w:val="-2"/>
                          <w:sz w:val="24"/>
                        </w:rPr>
                        <w:t>Meetings</w:t>
                      </w:r>
                    </w:p>
                  </w:txbxContent>
                </v:textbox>
                <v:fill type="solid"/>
                <v:stroke dashstyle="solid"/>
                <w10:wrap type="topAndBottom"/>
              </v:shape>
            </w:pict>
          </mc:Fallback>
        </mc:AlternateContent>
      </w:r>
    </w:p>
    <w:p>
      <w:pPr>
        <w:pStyle w:val="ListParagraph"/>
        <w:numPr>
          <w:ilvl w:val="1"/>
          <w:numId w:val="93"/>
        </w:numPr>
        <w:tabs>
          <w:tab w:pos="937" w:val="left" w:leader="none"/>
        </w:tabs>
        <w:spacing w:line="240" w:lineRule="auto" w:before="170" w:after="0"/>
        <w:ind w:left="937" w:right="702" w:hanging="795"/>
        <w:jc w:val="left"/>
        <w:rPr>
          <w:sz w:val="24"/>
        </w:rPr>
      </w:pPr>
      <w:r>
        <w:rPr>
          <w:spacing w:val="-2"/>
          <w:sz w:val="24"/>
        </w:rPr>
        <w:t>The</w:t>
      </w:r>
      <w:r>
        <w:rPr>
          <w:spacing w:val="-10"/>
          <w:sz w:val="24"/>
        </w:rPr>
        <w:t> </w:t>
      </w:r>
      <w:r>
        <w:rPr>
          <w:spacing w:val="-2"/>
          <w:sz w:val="24"/>
        </w:rPr>
        <w:t>RHES</w:t>
      </w:r>
      <w:r>
        <w:rPr>
          <w:spacing w:val="-15"/>
          <w:sz w:val="24"/>
        </w:rPr>
        <w:t> </w:t>
      </w:r>
      <w:r>
        <w:rPr>
          <w:spacing w:val="-2"/>
          <w:sz w:val="24"/>
        </w:rPr>
        <w:t>will</w:t>
      </w:r>
      <w:r>
        <w:rPr>
          <w:spacing w:val="-9"/>
          <w:sz w:val="24"/>
        </w:rPr>
        <w:t> </w:t>
      </w:r>
      <w:r>
        <w:rPr>
          <w:spacing w:val="-2"/>
          <w:sz w:val="24"/>
        </w:rPr>
        <w:t>meet</w:t>
      </w:r>
      <w:r>
        <w:rPr>
          <w:spacing w:val="-15"/>
          <w:sz w:val="24"/>
        </w:rPr>
        <w:t> </w:t>
      </w:r>
      <w:r>
        <w:rPr>
          <w:spacing w:val="-2"/>
          <w:sz w:val="24"/>
        </w:rPr>
        <w:t>every</w:t>
      </w:r>
      <w:r>
        <w:rPr>
          <w:spacing w:val="-10"/>
          <w:sz w:val="24"/>
        </w:rPr>
        <w:t> </w:t>
      </w:r>
      <w:r>
        <w:rPr>
          <w:spacing w:val="-2"/>
          <w:sz w:val="24"/>
        </w:rPr>
        <w:t>other</w:t>
      </w:r>
      <w:r>
        <w:rPr>
          <w:spacing w:val="-11"/>
          <w:sz w:val="24"/>
        </w:rPr>
        <w:t> </w:t>
      </w:r>
      <w:r>
        <w:rPr>
          <w:spacing w:val="-2"/>
          <w:sz w:val="24"/>
        </w:rPr>
        <w:t>month</w:t>
      </w:r>
      <w:r>
        <w:rPr>
          <w:spacing w:val="-8"/>
          <w:sz w:val="24"/>
        </w:rPr>
        <w:t> </w:t>
      </w:r>
      <w:r>
        <w:rPr>
          <w:spacing w:val="-2"/>
          <w:sz w:val="24"/>
        </w:rPr>
        <w:t>and</w:t>
      </w:r>
      <w:r>
        <w:rPr>
          <w:spacing w:val="-10"/>
          <w:sz w:val="24"/>
        </w:rPr>
        <w:t> </w:t>
      </w:r>
      <w:r>
        <w:rPr>
          <w:spacing w:val="-2"/>
          <w:sz w:val="24"/>
        </w:rPr>
        <w:t>shall</w:t>
      </w:r>
      <w:r>
        <w:rPr>
          <w:spacing w:val="-10"/>
          <w:sz w:val="24"/>
        </w:rPr>
        <w:t> </w:t>
      </w:r>
      <w:r>
        <w:rPr>
          <w:spacing w:val="-2"/>
          <w:sz w:val="24"/>
        </w:rPr>
        <w:t>agree</w:t>
      </w:r>
      <w:r>
        <w:rPr>
          <w:spacing w:val="-10"/>
          <w:sz w:val="24"/>
        </w:rPr>
        <w:t> </w:t>
      </w:r>
      <w:r>
        <w:rPr>
          <w:spacing w:val="-2"/>
          <w:sz w:val="24"/>
        </w:rPr>
        <w:t>an</w:t>
      </w:r>
      <w:r>
        <w:rPr>
          <w:spacing w:val="-10"/>
          <w:sz w:val="24"/>
        </w:rPr>
        <w:t> </w:t>
      </w:r>
      <w:r>
        <w:rPr>
          <w:spacing w:val="-2"/>
          <w:sz w:val="24"/>
        </w:rPr>
        <w:t>annual</w:t>
      </w:r>
      <w:r>
        <w:rPr>
          <w:spacing w:val="-9"/>
          <w:sz w:val="24"/>
        </w:rPr>
        <w:t> </w:t>
      </w:r>
      <w:r>
        <w:rPr>
          <w:spacing w:val="-2"/>
          <w:sz w:val="24"/>
        </w:rPr>
        <w:t>schedule</w:t>
      </w:r>
      <w:r>
        <w:rPr>
          <w:spacing w:val="-10"/>
          <w:sz w:val="24"/>
        </w:rPr>
        <w:t> </w:t>
      </w:r>
      <w:r>
        <w:rPr>
          <w:spacing w:val="-2"/>
          <w:sz w:val="24"/>
        </w:rPr>
        <w:t>of</w:t>
      </w:r>
      <w:r>
        <w:rPr>
          <w:spacing w:val="-12"/>
          <w:sz w:val="24"/>
        </w:rPr>
        <w:t> </w:t>
      </w:r>
      <w:r>
        <w:rPr>
          <w:spacing w:val="-2"/>
          <w:sz w:val="24"/>
        </w:rPr>
        <w:t>meetings. </w:t>
      </w:r>
      <w:r>
        <w:rPr>
          <w:sz w:val="24"/>
        </w:rPr>
        <w:t>Any</w:t>
      </w:r>
      <w:r>
        <w:rPr>
          <w:spacing w:val="-9"/>
          <w:sz w:val="24"/>
        </w:rPr>
        <w:t> </w:t>
      </w:r>
      <w:r>
        <w:rPr>
          <w:sz w:val="24"/>
        </w:rPr>
        <w:t>additional</w:t>
      </w:r>
      <w:r>
        <w:rPr>
          <w:spacing w:val="-8"/>
          <w:sz w:val="24"/>
        </w:rPr>
        <w:t> </w:t>
      </w:r>
      <w:r>
        <w:rPr>
          <w:sz w:val="24"/>
        </w:rPr>
        <w:t>meetings</w:t>
      </w:r>
      <w:r>
        <w:rPr>
          <w:spacing w:val="-9"/>
          <w:sz w:val="24"/>
        </w:rPr>
        <w:t> </w:t>
      </w:r>
      <w:r>
        <w:rPr>
          <w:sz w:val="24"/>
        </w:rPr>
        <w:t>will</w:t>
      </w:r>
      <w:r>
        <w:rPr>
          <w:spacing w:val="-8"/>
          <w:sz w:val="24"/>
        </w:rPr>
        <w:t> </w:t>
      </w:r>
      <w:r>
        <w:rPr>
          <w:sz w:val="24"/>
        </w:rPr>
        <w:t>be</w:t>
      </w:r>
      <w:r>
        <w:rPr>
          <w:spacing w:val="-8"/>
          <w:sz w:val="24"/>
        </w:rPr>
        <w:t> </w:t>
      </w:r>
      <w:r>
        <w:rPr>
          <w:sz w:val="24"/>
        </w:rPr>
        <w:t>arranged</w:t>
      </w:r>
      <w:r>
        <w:rPr>
          <w:spacing w:val="-8"/>
          <w:sz w:val="24"/>
        </w:rPr>
        <w:t> </w:t>
      </w:r>
      <w:r>
        <w:rPr>
          <w:sz w:val="24"/>
        </w:rPr>
        <w:t>as</w:t>
      </w:r>
      <w:r>
        <w:rPr>
          <w:spacing w:val="-9"/>
          <w:sz w:val="24"/>
        </w:rPr>
        <w:t> </w:t>
      </w:r>
      <w:r>
        <w:rPr>
          <w:sz w:val="24"/>
        </w:rPr>
        <w:t>determined</w:t>
      </w:r>
      <w:r>
        <w:rPr>
          <w:spacing w:val="-8"/>
          <w:sz w:val="24"/>
        </w:rPr>
        <w:t> </w:t>
      </w:r>
      <w:r>
        <w:rPr>
          <w:sz w:val="24"/>
        </w:rPr>
        <w:t>by</w:t>
      </w:r>
      <w:r>
        <w:rPr>
          <w:spacing w:val="-9"/>
          <w:sz w:val="24"/>
        </w:rPr>
        <w:t> </w:t>
      </w:r>
      <w:r>
        <w:rPr>
          <w:sz w:val="24"/>
        </w:rPr>
        <w:t>the</w:t>
      </w:r>
      <w:r>
        <w:rPr>
          <w:spacing w:val="-9"/>
          <w:sz w:val="24"/>
        </w:rPr>
        <w:t> </w:t>
      </w:r>
      <w:r>
        <w:rPr>
          <w:sz w:val="24"/>
        </w:rPr>
        <w:t>Chair</w:t>
      </w:r>
      <w:r>
        <w:rPr>
          <w:spacing w:val="-9"/>
          <w:sz w:val="24"/>
        </w:rPr>
        <w:t> </w:t>
      </w:r>
      <w:r>
        <w:rPr>
          <w:sz w:val="24"/>
        </w:rPr>
        <w:t>of</w:t>
      </w:r>
      <w:r>
        <w:rPr>
          <w:spacing w:val="-11"/>
          <w:sz w:val="24"/>
        </w:rPr>
        <w:t> </w:t>
      </w:r>
      <w:r>
        <w:rPr>
          <w:sz w:val="24"/>
        </w:rPr>
        <w:t>the</w:t>
      </w:r>
      <w:r>
        <w:rPr>
          <w:spacing w:val="-7"/>
          <w:sz w:val="24"/>
        </w:rPr>
        <w:t> </w:t>
      </w:r>
      <w:r>
        <w:rPr>
          <w:sz w:val="24"/>
        </w:rPr>
        <w:t>RHES.</w:t>
      </w:r>
    </w:p>
    <w:p>
      <w:pPr>
        <w:pStyle w:val="ListParagraph"/>
        <w:numPr>
          <w:ilvl w:val="1"/>
          <w:numId w:val="93"/>
        </w:numPr>
        <w:tabs>
          <w:tab w:pos="937" w:val="left" w:leader="none"/>
        </w:tabs>
        <w:spacing w:line="240" w:lineRule="auto" w:before="163" w:after="0"/>
        <w:ind w:left="937" w:right="542" w:hanging="795"/>
        <w:jc w:val="left"/>
        <w:rPr>
          <w:sz w:val="24"/>
        </w:rPr>
      </w:pPr>
      <w:r>
        <w:rPr>
          <w:sz w:val="24"/>
        </w:rPr>
        <w:t>The</w:t>
      </w:r>
      <w:r>
        <w:rPr>
          <w:spacing w:val="-17"/>
          <w:sz w:val="24"/>
        </w:rPr>
        <w:t> </w:t>
      </w:r>
      <w:r>
        <w:rPr>
          <w:sz w:val="24"/>
        </w:rPr>
        <w:t>Chair</w:t>
      </w:r>
      <w:r>
        <w:rPr>
          <w:spacing w:val="-17"/>
          <w:sz w:val="24"/>
        </w:rPr>
        <w:t> </w:t>
      </w:r>
      <w:r>
        <w:rPr>
          <w:sz w:val="24"/>
        </w:rPr>
        <w:t>of</w:t>
      </w:r>
      <w:r>
        <w:rPr>
          <w:spacing w:val="-16"/>
          <w:sz w:val="24"/>
        </w:rPr>
        <w:t> </w:t>
      </w:r>
      <w:r>
        <w:rPr>
          <w:sz w:val="24"/>
        </w:rPr>
        <w:t>the</w:t>
      </w:r>
      <w:r>
        <w:rPr>
          <w:spacing w:val="-17"/>
          <w:sz w:val="24"/>
        </w:rPr>
        <w:t> </w:t>
      </w:r>
      <w:r>
        <w:rPr>
          <w:sz w:val="24"/>
        </w:rPr>
        <w:t>RHES,</w:t>
      </w:r>
      <w:r>
        <w:rPr>
          <w:spacing w:val="-17"/>
          <w:sz w:val="24"/>
        </w:rPr>
        <w:t> </w:t>
      </w:r>
      <w:r>
        <w:rPr>
          <w:sz w:val="24"/>
        </w:rPr>
        <w:t>in</w:t>
      </w:r>
      <w:r>
        <w:rPr>
          <w:spacing w:val="-17"/>
          <w:sz w:val="24"/>
        </w:rPr>
        <w:t> </w:t>
      </w:r>
      <w:r>
        <w:rPr>
          <w:sz w:val="24"/>
        </w:rPr>
        <w:t>discussion</w:t>
      </w:r>
      <w:r>
        <w:rPr>
          <w:spacing w:val="-16"/>
          <w:sz w:val="24"/>
        </w:rPr>
        <w:t> </w:t>
      </w:r>
      <w:r>
        <w:rPr>
          <w:sz w:val="24"/>
        </w:rPr>
        <w:t>with</w:t>
      </w:r>
      <w:r>
        <w:rPr>
          <w:spacing w:val="-17"/>
          <w:sz w:val="24"/>
        </w:rPr>
        <w:t> </w:t>
      </w:r>
      <w:r>
        <w:rPr>
          <w:sz w:val="24"/>
        </w:rPr>
        <w:t>the</w:t>
      </w:r>
      <w:r>
        <w:rPr>
          <w:spacing w:val="-17"/>
          <w:sz w:val="24"/>
        </w:rPr>
        <w:t> </w:t>
      </w:r>
      <w:r>
        <w:rPr>
          <w:sz w:val="24"/>
        </w:rPr>
        <w:t>RJC</w:t>
      </w:r>
      <w:r>
        <w:rPr>
          <w:spacing w:val="-16"/>
          <w:sz w:val="24"/>
        </w:rPr>
        <w:t> </w:t>
      </w:r>
      <w:r>
        <w:rPr>
          <w:sz w:val="24"/>
        </w:rPr>
        <w:t>PMO,</w:t>
      </w:r>
      <w:r>
        <w:rPr>
          <w:spacing w:val="-17"/>
          <w:sz w:val="24"/>
        </w:rPr>
        <w:t> </w:t>
      </w:r>
      <w:r>
        <w:rPr>
          <w:sz w:val="24"/>
        </w:rPr>
        <w:t>shall</w:t>
      </w:r>
      <w:r>
        <w:rPr>
          <w:spacing w:val="-17"/>
          <w:sz w:val="24"/>
        </w:rPr>
        <w:t> </w:t>
      </w:r>
      <w:r>
        <w:rPr>
          <w:sz w:val="24"/>
        </w:rPr>
        <w:t>determine</w:t>
      </w:r>
      <w:r>
        <w:rPr>
          <w:spacing w:val="-16"/>
          <w:sz w:val="24"/>
        </w:rPr>
        <w:t> </w:t>
      </w:r>
      <w:r>
        <w:rPr>
          <w:sz w:val="24"/>
        </w:rPr>
        <w:t>the</w:t>
      </w:r>
      <w:r>
        <w:rPr>
          <w:spacing w:val="-17"/>
          <w:sz w:val="24"/>
        </w:rPr>
        <w:t> </w:t>
      </w:r>
      <w:r>
        <w:rPr>
          <w:sz w:val="24"/>
        </w:rPr>
        <w:t>time</w:t>
      </w:r>
      <w:r>
        <w:rPr>
          <w:spacing w:val="-17"/>
          <w:sz w:val="24"/>
        </w:rPr>
        <w:t> </w:t>
      </w:r>
      <w:r>
        <w:rPr>
          <w:sz w:val="24"/>
        </w:rPr>
        <w:t>and</w:t>
      </w:r>
      <w:r>
        <w:rPr>
          <w:spacing w:val="-16"/>
          <w:sz w:val="24"/>
        </w:rPr>
        <w:t> </w:t>
      </w:r>
      <w:r>
        <w:rPr>
          <w:sz w:val="24"/>
        </w:rPr>
        <w:t>the place</w:t>
      </w:r>
      <w:r>
        <w:rPr>
          <w:spacing w:val="-5"/>
          <w:sz w:val="24"/>
        </w:rPr>
        <w:t> </w:t>
      </w:r>
      <w:r>
        <w:rPr>
          <w:sz w:val="24"/>
        </w:rPr>
        <w:t>of</w:t>
      </w:r>
      <w:r>
        <w:rPr>
          <w:spacing w:val="-8"/>
          <w:sz w:val="24"/>
        </w:rPr>
        <w:t> </w:t>
      </w:r>
      <w:r>
        <w:rPr>
          <w:sz w:val="24"/>
        </w:rPr>
        <w:t>meetings</w:t>
      </w:r>
      <w:r>
        <w:rPr>
          <w:spacing w:val="-6"/>
          <w:sz w:val="24"/>
        </w:rPr>
        <w:t> </w:t>
      </w:r>
      <w:r>
        <w:rPr>
          <w:sz w:val="24"/>
        </w:rPr>
        <w:t>of</w:t>
      </w:r>
      <w:r>
        <w:rPr>
          <w:spacing w:val="-8"/>
          <w:sz w:val="24"/>
        </w:rPr>
        <w:t> </w:t>
      </w:r>
      <w:r>
        <w:rPr>
          <w:sz w:val="24"/>
        </w:rPr>
        <w:t>the</w:t>
      </w:r>
      <w:r>
        <w:rPr>
          <w:spacing w:val="-3"/>
          <w:sz w:val="24"/>
        </w:rPr>
        <w:t> </w:t>
      </w:r>
      <w:r>
        <w:rPr>
          <w:sz w:val="24"/>
        </w:rPr>
        <w:t>RHES</w:t>
      </w:r>
      <w:r>
        <w:rPr>
          <w:spacing w:val="-6"/>
          <w:sz w:val="24"/>
        </w:rPr>
        <w:t> </w:t>
      </w:r>
      <w:r>
        <w:rPr>
          <w:sz w:val="24"/>
        </w:rPr>
        <w:t>and</w:t>
      </w:r>
      <w:r>
        <w:rPr>
          <w:spacing w:val="-5"/>
          <w:sz w:val="24"/>
        </w:rPr>
        <w:t> </w:t>
      </w:r>
      <w:r>
        <w:rPr>
          <w:sz w:val="24"/>
        </w:rPr>
        <w:t>procedures</w:t>
      </w:r>
      <w:r>
        <w:rPr>
          <w:spacing w:val="-6"/>
          <w:sz w:val="24"/>
        </w:rPr>
        <w:t> </w:t>
      </w:r>
      <w:r>
        <w:rPr>
          <w:sz w:val="24"/>
        </w:rPr>
        <w:t>of</w:t>
      </w:r>
      <w:r>
        <w:rPr>
          <w:spacing w:val="-8"/>
          <w:sz w:val="24"/>
        </w:rPr>
        <w:t> </w:t>
      </w:r>
      <w:r>
        <w:rPr>
          <w:sz w:val="24"/>
        </w:rPr>
        <w:t>such meetings.</w:t>
      </w:r>
    </w:p>
    <w:p>
      <w:pPr>
        <w:pStyle w:val="BodyText"/>
        <w:spacing w:before="5"/>
        <w:rPr>
          <w:sz w:val="16"/>
        </w:rPr>
      </w:pPr>
      <w:r>
        <w:rPr>
          <w:sz w:val="16"/>
        </w:rPr>
        <mc:AlternateContent>
          <mc:Choice Requires="wps">
            <w:drawing>
              <wp:anchor distT="0" distB="0" distL="0" distR="0" allowOverlap="1" layoutInCell="1" locked="0" behindDoc="1" simplePos="0" relativeHeight="487705088">
                <wp:simplePos x="0" y="0"/>
                <wp:positionH relativeFrom="page">
                  <wp:posOffset>574992</wp:posOffset>
                </wp:positionH>
                <wp:positionV relativeFrom="paragraph">
                  <wp:posOffset>142045</wp:posOffset>
                </wp:positionV>
                <wp:extent cx="6575425" cy="193675"/>
                <wp:effectExtent l="0" t="0" r="0" b="0"/>
                <wp:wrapTopAndBottom/>
                <wp:docPr id="577" name="Textbox 577"/>
                <wp:cNvGraphicFramePr>
                  <a:graphicFrameLocks/>
                </wp:cNvGraphicFramePr>
                <a:graphic>
                  <a:graphicData uri="http://schemas.microsoft.com/office/word/2010/wordprocessingShape">
                    <wps:wsp>
                      <wps:cNvPr id="577" name="Textbox 577"/>
                      <wps:cNvSpPr txBox="1"/>
                      <wps:spPr>
                        <a:xfrm>
                          <a:off x="0" y="0"/>
                          <a:ext cx="6575425" cy="193675"/>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10.</w:t>
                            </w:r>
                            <w:r>
                              <w:rPr>
                                <w:b/>
                                <w:color w:val="000000"/>
                                <w:sz w:val="24"/>
                              </w:rPr>
                              <w:tab/>
                              <w:t>Accountability,</w:t>
                            </w:r>
                            <w:r>
                              <w:rPr>
                                <w:b/>
                                <w:color w:val="000000"/>
                                <w:spacing w:val="-9"/>
                                <w:sz w:val="24"/>
                              </w:rPr>
                              <w:t> </w:t>
                            </w:r>
                            <w:r>
                              <w:rPr>
                                <w:b/>
                                <w:color w:val="000000"/>
                                <w:sz w:val="24"/>
                              </w:rPr>
                              <w:t>Responsibility</w:t>
                            </w:r>
                            <w:r>
                              <w:rPr>
                                <w:b/>
                                <w:color w:val="000000"/>
                                <w:spacing w:val="-7"/>
                                <w:sz w:val="24"/>
                              </w:rPr>
                              <w:t> </w:t>
                            </w:r>
                            <w:r>
                              <w:rPr>
                                <w:b/>
                                <w:color w:val="000000"/>
                                <w:sz w:val="24"/>
                              </w:rPr>
                              <w:t>and</w:t>
                            </w:r>
                            <w:r>
                              <w:rPr>
                                <w:b/>
                                <w:color w:val="000000"/>
                                <w:spacing w:val="-8"/>
                                <w:sz w:val="24"/>
                              </w:rPr>
                              <w:t> </w:t>
                            </w:r>
                            <w:r>
                              <w:rPr>
                                <w:b/>
                                <w:color w:val="000000"/>
                                <w:spacing w:val="-2"/>
                                <w:sz w:val="24"/>
                              </w:rPr>
                              <w:t>Authority</w:t>
                            </w:r>
                          </w:p>
                        </w:txbxContent>
                      </wps:txbx>
                      <wps:bodyPr wrap="square" lIns="0" tIns="0" rIns="0" bIns="0" rtlCol="0">
                        <a:noAutofit/>
                      </wps:bodyPr>
                    </wps:wsp>
                  </a:graphicData>
                </a:graphic>
              </wp:anchor>
            </w:drawing>
          </mc:Choice>
          <mc:Fallback>
            <w:pict>
              <v:shape style="position:absolute;margin-left:45.275002pt;margin-top:11.184688pt;width:517.75pt;height:15.25pt;mso-position-horizontal-relative:page;mso-position-vertical-relative:paragraph;z-index:-15611392;mso-wrap-distance-left:0;mso-wrap-distance-right:0" type="#_x0000_t202" id="docshape353"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10.</w:t>
                      </w:r>
                      <w:r>
                        <w:rPr>
                          <w:b/>
                          <w:color w:val="000000"/>
                          <w:sz w:val="24"/>
                        </w:rPr>
                        <w:tab/>
                        <w:t>Accountability,</w:t>
                      </w:r>
                      <w:r>
                        <w:rPr>
                          <w:b/>
                          <w:color w:val="000000"/>
                          <w:spacing w:val="-9"/>
                          <w:sz w:val="24"/>
                        </w:rPr>
                        <w:t> </w:t>
                      </w:r>
                      <w:r>
                        <w:rPr>
                          <w:b/>
                          <w:color w:val="000000"/>
                          <w:sz w:val="24"/>
                        </w:rPr>
                        <w:t>Responsibility</w:t>
                      </w:r>
                      <w:r>
                        <w:rPr>
                          <w:b/>
                          <w:color w:val="000000"/>
                          <w:spacing w:val="-7"/>
                          <w:sz w:val="24"/>
                        </w:rPr>
                        <w:t> </w:t>
                      </w:r>
                      <w:r>
                        <w:rPr>
                          <w:b/>
                          <w:color w:val="000000"/>
                          <w:sz w:val="24"/>
                        </w:rPr>
                        <w:t>and</w:t>
                      </w:r>
                      <w:r>
                        <w:rPr>
                          <w:b/>
                          <w:color w:val="000000"/>
                          <w:spacing w:val="-8"/>
                          <w:sz w:val="24"/>
                        </w:rPr>
                        <w:t> </w:t>
                      </w:r>
                      <w:r>
                        <w:rPr>
                          <w:b/>
                          <w:color w:val="000000"/>
                          <w:spacing w:val="-2"/>
                          <w:sz w:val="24"/>
                        </w:rPr>
                        <w:t>Authority</w:t>
                      </w:r>
                    </w:p>
                  </w:txbxContent>
                </v:textbox>
                <v:fill type="solid"/>
                <v:stroke dashstyle="solid"/>
                <w10:wrap type="topAndBottom"/>
              </v:shape>
            </w:pict>
          </mc:Fallback>
        </mc:AlternateContent>
      </w:r>
    </w:p>
    <w:p>
      <w:pPr>
        <w:pStyle w:val="ListParagraph"/>
        <w:numPr>
          <w:ilvl w:val="1"/>
          <w:numId w:val="94"/>
        </w:numPr>
        <w:tabs>
          <w:tab w:pos="937" w:val="left" w:leader="none"/>
        </w:tabs>
        <w:spacing w:line="240" w:lineRule="auto" w:before="170" w:after="0"/>
        <w:ind w:left="937" w:right="751" w:hanging="795"/>
        <w:jc w:val="left"/>
        <w:rPr>
          <w:sz w:val="24"/>
        </w:rPr>
      </w:pPr>
      <w:r>
        <w:rPr>
          <w:spacing w:val="-2"/>
          <w:sz w:val="24"/>
        </w:rPr>
        <w:t>The</w:t>
      </w:r>
      <w:r>
        <w:rPr>
          <w:spacing w:val="-13"/>
          <w:sz w:val="24"/>
        </w:rPr>
        <w:t> </w:t>
      </w:r>
      <w:r>
        <w:rPr>
          <w:spacing w:val="-2"/>
          <w:sz w:val="24"/>
        </w:rPr>
        <w:t>RHES</w:t>
      </w:r>
      <w:r>
        <w:rPr>
          <w:spacing w:val="-15"/>
          <w:sz w:val="24"/>
        </w:rPr>
        <w:t> </w:t>
      </w:r>
      <w:r>
        <w:rPr>
          <w:spacing w:val="-2"/>
          <w:sz w:val="24"/>
        </w:rPr>
        <w:t>will</w:t>
      </w:r>
      <w:r>
        <w:rPr>
          <w:spacing w:val="-15"/>
          <w:sz w:val="24"/>
        </w:rPr>
        <w:t> </w:t>
      </w:r>
      <w:r>
        <w:rPr>
          <w:spacing w:val="-2"/>
          <w:sz w:val="24"/>
        </w:rPr>
        <w:t>be</w:t>
      </w:r>
      <w:r>
        <w:rPr>
          <w:spacing w:val="-14"/>
          <w:sz w:val="24"/>
        </w:rPr>
        <w:t> </w:t>
      </w:r>
      <w:r>
        <w:rPr>
          <w:spacing w:val="-2"/>
          <w:sz w:val="24"/>
        </w:rPr>
        <w:t>accountable</w:t>
      </w:r>
      <w:r>
        <w:rPr>
          <w:spacing w:val="-11"/>
          <w:sz w:val="24"/>
        </w:rPr>
        <w:t> </w:t>
      </w:r>
      <w:r>
        <w:rPr>
          <w:spacing w:val="-2"/>
          <w:sz w:val="24"/>
        </w:rPr>
        <w:t>to</w:t>
      </w:r>
      <w:r>
        <w:rPr>
          <w:spacing w:val="-7"/>
          <w:sz w:val="24"/>
        </w:rPr>
        <w:t> </w:t>
      </w:r>
      <w:r>
        <w:rPr>
          <w:spacing w:val="-2"/>
          <w:sz w:val="24"/>
        </w:rPr>
        <w:t>the</w:t>
      </w:r>
      <w:r>
        <w:rPr>
          <w:spacing w:val="-8"/>
          <w:sz w:val="24"/>
        </w:rPr>
        <w:t> </w:t>
      </w:r>
      <w:r>
        <w:rPr>
          <w:spacing w:val="-2"/>
          <w:sz w:val="24"/>
        </w:rPr>
        <w:t>RJC</w:t>
      </w:r>
      <w:r>
        <w:rPr>
          <w:spacing w:val="-6"/>
          <w:sz w:val="24"/>
        </w:rPr>
        <w:t> </w:t>
      </w:r>
      <w:r>
        <w:rPr>
          <w:spacing w:val="-2"/>
          <w:sz w:val="24"/>
        </w:rPr>
        <w:t>for</w:t>
      </w:r>
      <w:r>
        <w:rPr>
          <w:spacing w:val="-12"/>
          <w:sz w:val="24"/>
        </w:rPr>
        <w:t> </w:t>
      </w:r>
      <w:r>
        <w:rPr>
          <w:spacing w:val="-2"/>
          <w:sz w:val="24"/>
        </w:rPr>
        <w:t>its</w:t>
      </w:r>
      <w:r>
        <w:rPr>
          <w:spacing w:val="-7"/>
          <w:sz w:val="24"/>
        </w:rPr>
        <w:t> </w:t>
      </w:r>
      <w:r>
        <w:rPr>
          <w:spacing w:val="-2"/>
          <w:sz w:val="24"/>
        </w:rPr>
        <w:t>performance</w:t>
      </w:r>
      <w:r>
        <w:rPr>
          <w:spacing w:val="-11"/>
          <w:sz w:val="24"/>
        </w:rPr>
        <w:t> </w:t>
      </w:r>
      <w:r>
        <w:rPr>
          <w:spacing w:val="-2"/>
          <w:sz w:val="24"/>
        </w:rPr>
        <w:t>in</w:t>
      </w:r>
      <w:r>
        <w:rPr>
          <w:spacing w:val="-11"/>
          <w:sz w:val="24"/>
        </w:rPr>
        <w:t> </w:t>
      </w:r>
      <w:r>
        <w:rPr>
          <w:spacing w:val="-2"/>
          <w:sz w:val="24"/>
        </w:rPr>
        <w:t>exercising</w:t>
      </w:r>
      <w:r>
        <w:rPr>
          <w:spacing w:val="-11"/>
          <w:sz w:val="24"/>
        </w:rPr>
        <w:t> </w:t>
      </w:r>
      <w:r>
        <w:rPr>
          <w:spacing w:val="-2"/>
          <w:sz w:val="24"/>
        </w:rPr>
        <w:t>the</w:t>
      </w:r>
      <w:r>
        <w:rPr>
          <w:spacing w:val="-7"/>
          <w:sz w:val="24"/>
        </w:rPr>
        <w:t> </w:t>
      </w:r>
      <w:r>
        <w:rPr>
          <w:spacing w:val="-2"/>
          <w:sz w:val="24"/>
        </w:rPr>
        <w:t>functions </w:t>
      </w:r>
      <w:r>
        <w:rPr>
          <w:sz w:val="24"/>
        </w:rPr>
        <w:t>set out in these terms of reference.</w:t>
      </w:r>
    </w:p>
    <w:p>
      <w:pPr>
        <w:pStyle w:val="ListParagraph"/>
        <w:numPr>
          <w:ilvl w:val="1"/>
          <w:numId w:val="94"/>
        </w:numPr>
        <w:tabs>
          <w:tab w:pos="937" w:val="left" w:leader="none"/>
        </w:tabs>
        <w:spacing w:line="240" w:lineRule="auto" w:before="158" w:after="0"/>
        <w:ind w:left="937" w:right="0" w:hanging="795"/>
        <w:jc w:val="left"/>
        <w:rPr>
          <w:sz w:val="24"/>
        </w:rPr>
      </w:pPr>
      <w:r>
        <w:rPr>
          <w:spacing w:val="-2"/>
          <w:sz w:val="24"/>
        </w:rPr>
        <w:t>The</w:t>
      </w:r>
      <w:r>
        <w:rPr>
          <w:spacing w:val="-13"/>
          <w:sz w:val="24"/>
        </w:rPr>
        <w:t> </w:t>
      </w:r>
      <w:r>
        <w:rPr>
          <w:spacing w:val="-2"/>
          <w:sz w:val="24"/>
        </w:rPr>
        <w:t>requirements</w:t>
      </w:r>
      <w:r>
        <w:rPr>
          <w:spacing w:val="-10"/>
          <w:sz w:val="24"/>
        </w:rPr>
        <w:t> </w:t>
      </w:r>
      <w:r>
        <w:rPr>
          <w:spacing w:val="-2"/>
          <w:sz w:val="24"/>
        </w:rPr>
        <w:t>for</w:t>
      </w:r>
      <w:r>
        <w:rPr>
          <w:spacing w:val="-11"/>
          <w:sz w:val="24"/>
        </w:rPr>
        <w:t> </w:t>
      </w:r>
      <w:r>
        <w:rPr>
          <w:spacing w:val="-2"/>
          <w:sz w:val="24"/>
        </w:rPr>
        <w:t>the</w:t>
      </w:r>
      <w:r>
        <w:rPr>
          <w:spacing w:val="-10"/>
          <w:sz w:val="24"/>
        </w:rPr>
        <w:t> </w:t>
      </w:r>
      <w:r>
        <w:rPr>
          <w:spacing w:val="-2"/>
          <w:sz w:val="24"/>
        </w:rPr>
        <w:t>conduct</w:t>
      </w:r>
      <w:r>
        <w:rPr>
          <w:spacing w:val="-13"/>
          <w:sz w:val="24"/>
        </w:rPr>
        <w:t> </w:t>
      </w:r>
      <w:r>
        <w:rPr>
          <w:spacing w:val="-2"/>
          <w:sz w:val="24"/>
        </w:rPr>
        <w:t>of</w:t>
      </w:r>
      <w:r>
        <w:rPr>
          <w:spacing w:val="-13"/>
          <w:sz w:val="24"/>
        </w:rPr>
        <w:t> </w:t>
      </w:r>
      <w:r>
        <w:rPr>
          <w:spacing w:val="-2"/>
          <w:sz w:val="24"/>
        </w:rPr>
        <w:t>business</w:t>
      </w:r>
      <w:r>
        <w:rPr>
          <w:spacing w:val="-11"/>
          <w:sz w:val="24"/>
        </w:rPr>
        <w:t> </w:t>
      </w:r>
      <w:r>
        <w:rPr>
          <w:spacing w:val="-2"/>
          <w:sz w:val="24"/>
        </w:rPr>
        <w:t>as</w:t>
      </w:r>
      <w:r>
        <w:rPr>
          <w:spacing w:val="-6"/>
          <w:sz w:val="24"/>
        </w:rPr>
        <w:t> </w:t>
      </w:r>
      <w:r>
        <w:rPr>
          <w:spacing w:val="-2"/>
          <w:sz w:val="24"/>
        </w:rPr>
        <w:t>set</w:t>
      </w:r>
      <w:r>
        <w:rPr>
          <w:spacing w:val="-13"/>
          <w:sz w:val="24"/>
        </w:rPr>
        <w:t> </w:t>
      </w:r>
      <w:r>
        <w:rPr>
          <w:spacing w:val="-2"/>
          <w:sz w:val="24"/>
        </w:rPr>
        <w:t>out</w:t>
      </w:r>
      <w:r>
        <w:rPr>
          <w:spacing w:val="-13"/>
          <w:sz w:val="24"/>
        </w:rPr>
        <w:t> </w:t>
      </w:r>
      <w:r>
        <w:rPr>
          <w:spacing w:val="-2"/>
          <w:sz w:val="24"/>
        </w:rPr>
        <w:t>in</w:t>
      </w:r>
      <w:r>
        <w:rPr>
          <w:spacing w:val="-10"/>
          <w:sz w:val="24"/>
        </w:rPr>
        <w:t> </w:t>
      </w:r>
      <w:r>
        <w:rPr>
          <w:spacing w:val="-2"/>
          <w:sz w:val="24"/>
        </w:rPr>
        <w:t>each</w:t>
      </w:r>
      <w:r>
        <w:rPr>
          <w:spacing w:val="-10"/>
          <w:sz w:val="24"/>
        </w:rPr>
        <w:t> </w:t>
      </w:r>
      <w:r>
        <w:rPr>
          <w:spacing w:val="-2"/>
          <w:sz w:val="24"/>
        </w:rPr>
        <w:t>university</w:t>
      </w:r>
      <w:r>
        <w:rPr>
          <w:spacing w:val="-11"/>
          <w:sz w:val="24"/>
        </w:rPr>
        <w:t> </w:t>
      </w:r>
      <w:r>
        <w:rPr>
          <w:spacing w:val="-2"/>
          <w:sz w:val="24"/>
        </w:rPr>
        <w:t>health</w:t>
      </w:r>
      <w:r>
        <w:rPr>
          <w:spacing w:val="-14"/>
          <w:sz w:val="24"/>
        </w:rPr>
        <w:t> </w:t>
      </w:r>
      <w:r>
        <w:rPr>
          <w:spacing w:val="-2"/>
          <w:sz w:val="24"/>
        </w:rPr>
        <w:t>board’s</w:t>
      </w:r>
    </w:p>
    <w:p>
      <w:pPr>
        <w:pStyle w:val="BodyText"/>
        <w:spacing w:before="4"/>
        <w:ind w:left="937"/>
      </w:pPr>
      <w:r>
        <w:rPr>
          <w:spacing w:val="-2"/>
        </w:rPr>
        <w:t>standing</w:t>
      </w:r>
      <w:r>
        <w:rPr>
          <w:spacing w:val="-15"/>
        </w:rPr>
        <w:t> </w:t>
      </w:r>
      <w:r>
        <w:rPr>
          <w:spacing w:val="-2"/>
        </w:rPr>
        <w:t>orders</w:t>
      </w:r>
      <w:r>
        <w:rPr>
          <w:spacing w:val="-13"/>
        </w:rPr>
        <w:t> </w:t>
      </w:r>
      <w:r>
        <w:rPr>
          <w:spacing w:val="-2"/>
        </w:rPr>
        <w:t>are</w:t>
      </w:r>
      <w:r>
        <w:rPr>
          <w:spacing w:val="-12"/>
        </w:rPr>
        <w:t> </w:t>
      </w:r>
      <w:r>
        <w:rPr>
          <w:spacing w:val="-2"/>
        </w:rPr>
        <w:t>equally</w:t>
      </w:r>
      <w:r>
        <w:rPr>
          <w:spacing w:val="-13"/>
        </w:rPr>
        <w:t> </w:t>
      </w:r>
      <w:r>
        <w:rPr>
          <w:spacing w:val="-2"/>
        </w:rPr>
        <w:t>applicable</w:t>
      </w:r>
      <w:r>
        <w:rPr>
          <w:spacing w:val="-13"/>
        </w:rPr>
        <w:t> </w:t>
      </w:r>
      <w:r>
        <w:rPr>
          <w:spacing w:val="-2"/>
        </w:rPr>
        <w:t>to</w:t>
      </w:r>
      <w:r>
        <w:rPr>
          <w:spacing w:val="-7"/>
        </w:rPr>
        <w:t> </w:t>
      </w:r>
      <w:r>
        <w:rPr>
          <w:spacing w:val="-2"/>
        </w:rPr>
        <w:t>the</w:t>
      </w:r>
      <w:r>
        <w:rPr>
          <w:spacing w:val="-12"/>
        </w:rPr>
        <w:t> </w:t>
      </w:r>
      <w:r>
        <w:rPr>
          <w:spacing w:val="-2"/>
        </w:rPr>
        <w:t>operation</w:t>
      </w:r>
      <w:r>
        <w:rPr>
          <w:spacing w:val="-13"/>
        </w:rPr>
        <w:t> </w:t>
      </w:r>
      <w:r>
        <w:rPr>
          <w:spacing w:val="-2"/>
        </w:rPr>
        <w:t>of</w:t>
      </w:r>
      <w:r>
        <w:rPr>
          <w:spacing w:val="-14"/>
        </w:rPr>
        <w:t> </w:t>
      </w:r>
      <w:r>
        <w:rPr>
          <w:spacing w:val="-2"/>
        </w:rPr>
        <w:t>the</w:t>
      </w:r>
      <w:r>
        <w:rPr>
          <w:spacing w:val="-12"/>
        </w:rPr>
        <w:t> </w:t>
      </w:r>
      <w:r>
        <w:rPr>
          <w:spacing w:val="-2"/>
        </w:rPr>
        <w:t>Subgroup.</w:t>
      </w:r>
    </w:p>
    <w:p>
      <w:pPr>
        <w:pStyle w:val="BodyText"/>
        <w:spacing w:before="6"/>
        <w:rPr>
          <w:sz w:val="16"/>
        </w:rPr>
      </w:pPr>
      <w:r>
        <w:rPr>
          <w:sz w:val="16"/>
        </w:rPr>
        <mc:AlternateContent>
          <mc:Choice Requires="wps">
            <w:drawing>
              <wp:anchor distT="0" distB="0" distL="0" distR="0" allowOverlap="1" layoutInCell="1" locked="0" behindDoc="1" simplePos="0" relativeHeight="487705600">
                <wp:simplePos x="0" y="0"/>
                <wp:positionH relativeFrom="page">
                  <wp:posOffset>574992</wp:posOffset>
                </wp:positionH>
                <wp:positionV relativeFrom="paragraph">
                  <wp:posOffset>142553</wp:posOffset>
                </wp:positionV>
                <wp:extent cx="6575425" cy="193675"/>
                <wp:effectExtent l="0" t="0" r="0" b="0"/>
                <wp:wrapTopAndBottom/>
                <wp:docPr id="578" name="Textbox 578"/>
                <wp:cNvGraphicFramePr>
                  <a:graphicFrameLocks/>
                </wp:cNvGraphicFramePr>
                <a:graphic>
                  <a:graphicData uri="http://schemas.microsoft.com/office/word/2010/wordprocessingShape">
                    <wps:wsp>
                      <wps:cNvPr id="578" name="Textbox 578"/>
                      <wps:cNvSpPr txBox="1"/>
                      <wps:spPr>
                        <a:xfrm>
                          <a:off x="0" y="0"/>
                          <a:ext cx="6575425" cy="193675"/>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11.</w:t>
                            </w:r>
                            <w:r>
                              <w:rPr>
                                <w:b/>
                                <w:color w:val="000000"/>
                                <w:sz w:val="24"/>
                              </w:rPr>
                              <w:tab/>
                            </w:r>
                            <w:r>
                              <w:rPr>
                                <w:b/>
                                <w:color w:val="000000"/>
                                <w:spacing w:val="-2"/>
                                <w:sz w:val="24"/>
                              </w:rPr>
                              <w:t>Reporting</w:t>
                            </w:r>
                          </w:p>
                        </w:txbxContent>
                      </wps:txbx>
                      <wps:bodyPr wrap="square" lIns="0" tIns="0" rIns="0" bIns="0" rtlCol="0">
                        <a:noAutofit/>
                      </wps:bodyPr>
                    </wps:wsp>
                  </a:graphicData>
                </a:graphic>
              </wp:anchor>
            </w:drawing>
          </mc:Choice>
          <mc:Fallback>
            <w:pict>
              <v:shape style="position:absolute;margin-left:45.275002pt;margin-top:11.224688pt;width:517.75pt;height:15.25pt;mso-position-horizontal-relative:page;mso-position-vertical-relative:paragraph;z-index:-15610880;mso-wrap-distance-left:0;mso-wrap-distance-right:0" type="#_x0000_t202" id="docshape354"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11.</w:t>
                      </w:r>
                      <w:r>
                        <w:rPr>
                          <w:b/>
                          <w:color w:val="000000"/>
                          <w:sz w:val="24"/>
                        </w:rPr>
                        <w:tab/>
                      </w:r>
                      <w:r>
                        <w:rPr>
                          <w:b/>
                          <w:color w:val="000000"/>
                          <w:spacing w:val="-2"/>
                          <w:sz w:val="24"/>
                        </w:rPr>
                        <w:t>Reporting</w:t>
                      </w:r>
                    </w:p>
                  </w:txbxContent>
                </v:textbox>
                <v:fill type="solid"/>
                <v:stroke dashstyle="solid"/>
                <w10:wrap type="topAndBottom"/>
              </v:shape>
            </w:pict>
          </mc:Fallback>
        </mc:AlternateContent>
      </w:r>
    </w:p>
    <w:p>
      <w:pPr>
        <w:pStyle w:val="ListParagraph"/>
        <w:numPr>
          <w:ilvl w:val="1"/>
          <w:numId w:val="95"/>
        </w:numPr>
        <w:tabs>
          <w:tab w:pos="937" w:val="left" w:leader="none"/>
        </w:tabs>
        <w:spacing w:line="240" w:lineRule="auto" w:before="170" w:after="0"/>
        <w:ind w:left="937" w:right="0" w:hanging="795"/>
        <w:jc w:val="left"/>
        <w:rPr>
          <w:sz w:val="24"/>
        </w:rPr>
      </w:pPr>
      <w:r>
        <w:rPr>
          <w:spacing w:val="-2"/>
          <w:sz w:val="24"/>
        </w:rPr>
        <w:t>The</w:t>
      </w:r>
      <w:r>
        <w:rPr>
          <w:spacing w:val="-9"/>
          <w:sz w:val="24"/>
        </w:rPr>
        <w:t> </w:t>
      </w:r>
      <w:r>
        <w:rPr>
          <w:spacing w:val="-2"/>
          <w:sz w:val="24"/>
        </w:rPr>
        <w:t>RHES,</w:t>
      </w:r>
      <w:r>
        <w:rPr>
          <w:spacing w:val="-13"/>
          <w:sz w:val="24"/>
        </w:rPr>
        <w:t> </w:t>
      </w:r>
      <w:r>
        <w:rPr>
          <w:spacing w:val="-2"/>
          <w:sz w:val="24"/>
        </w:rPr>
        <w:t>supported</w:t>
      </w:r>
      <w:r>
        <w:rPr>
          <w:spacing w:val="-9"/>
          <w:sz w:val="24"/>
        </w:rPr>
        <w:t> </w:t>
      </w:r>
      <w:r>
        <w:rPr>
          <w:spacing w:val="-2"/>
          <w:sz w:val="24"/>
        </w:rPr>
        <w:t>by</w:t>
      </w:r>
      <w:r>
        <w:rPr>
          <w:spacing w:val="-6"/>
          <w:sz w:val="24"/>
        </w:rPr>
        <w:t> </w:t>
      </w:r>
      <w:r>
        <w:rPr>
          <w:spacing w:val="-2"/>
          <w:sz w:val="24"/>
        </w:rPr>
        <w:t>the</w:t>
      </w:r>
      <w:r>
        <w:rPr>
          <w:spacing w:val="-9"/>
          <w:sz w:val="24"/>
        </w:rPr>
        <w:t> </w:t>
      </w:r>
      <w:r>
        <w:rPr>
          <w:spacing w:val="-2"/>
          <w:sz w:val="24"/>
        </w:rPr>
        <w:t>RJC</w:t>
      </w:r>
      <w:r>
        <w:rPr>
          <w:spacing w:val="-9"/>
          <w:sz w:val="24"/>
        </w:rPr>
        <w:t> </w:t>
      </w:r>
      <w:r>
        <w:rPr>
          <w:spacing w:val="-2"/>
          <w:sz w:val="24"/>
        </w:rPr>
        <w:t>PMO,</w:t>
      </w:r>
      <w:r>
        <w:rPr>
          <w:spacing w:val="-12"/>
          <w:sz w:val="24"/>
        </w:rPr>
        <w:t> </w:t>
      </w:r>
      <w:r>
        <w:rPr>
          <w:spacing w:val="-2"/>
          <w:sz w:val="24"/>
        </w:rPr>
        <w:t>shall:</w:t>
      </w:r>
    </w:p>
    <w:p>
      <w:pPr>
        <w:pStyle w:val="ListParagraph"/>
        <w:numPr>
          <w:ilvl w:val="2"/>
          <w:numId w:val="95"/>
        </w:numPr>
        <w:tabs>
          <w:tab w:pos="1278" w:val="left" w:leader="none"/>
        </w:tabs>
        <w:spacing w:line="237" w:lineRule="auto" w:before="161" w:after="0"/>
        <w:ind w:left="1278" w:right="720" w:hanging="361"/>
        <w:jc w:val="left"/>
        <w:rPr>
          <w:sz w:val="24"/>
        </w:rPr>
      </w:pPr>
      <w:r>
        <w:rPr>
          <w:spacing w:val="-2"/>
          <w:sz w:val="24"/>
        </w:rPr>
        <w:t>Report</w:t>
      </w:r>
      <w:r>
        <w:rPr>
          <w:spacing w:val="-7"/>
          <w:sz w:val="24"/>
        </w:rPr>
        <w:t> </w:t>
      </w:r>
      <w:r>
        <w:rPr>
          <w:spacing w:val="-2"/>
          <w:sz w:val="24"/>
        </w:rPr>
        <w:t>formally,</w:t>
      </w:r>
      <w:r>
        <w:rPr>
          <w:spacing w:val="-12"/>
          <w:sz w:val="24"/>
        </w:rPr>
        <w:t> </w:t>
      </w:r>
      <w:r>
        <w:rPr>
          <w:spacing w:val="-2"/>
          <w:sz w:val="24"/>
        </w:rPr>
        <w:t>regularly</w:t>
      </w:r>
      <w:r>
        <w:rPr>
          <w:spacing w:val="-15"/>
          <w:sz w:val="24"/>
        </w:rPr>
        <w:t> </w:t>
      </w:r>
      <w:r>
        <w:rPr>
          <w:spacing w:val="-2"/>
          <w:sz w:val="24"/>
        </w:rPr>
        <w:t>and</w:t>
      </w:r>
      <w:r>
        <w:rPr>
          <w:spacing w:val="-13"/>
          <w:sz w:val="24"/>
        </w:rPr>
        <w:t> </w:t>
      </w:r>
      <w:r>
        <w:rPr>
          <w:spacing w:val="-2"/>
          <w:sz w:val="24"/>
        </w:rPr>
        <w:t>on</w:t>
      </w:r>
      <w:r>
        <w:rPr>
          <w:spacing w:val="-14"/>
          <w:sz w:val="24"/>
        </w:rPr>
        <w:t> </w:t>
      </w:r>
      <w:r>
        <w:rPr>
          <w:spacing w:val="-2"/>
          <w:sz w:val="24"/>
        </w:rPr>
        <w:t>a</w:t>
      </w:r>
      <w:r>
        <w:rPr>
          <w:spacing w:val="-4"/>
          <w:sz w:val="24"/>
        </w:rPr>
        <w:t> </w:t>
      </w:r>
      <w:r>
        <w:rPr>
          <w:spacing w:val="-2"/>
          <w:sz w:val="24"/>
        </w:rPr>
        <w:t>timely</w:t>
      </w:r>
      <w:r>
        <w:rPr>
          <w:spacing w:val="-10"/>
          <w:sz w:val="24"/>
        </w:rPr>
        <w:t> </w:t>
      </w:r>
      <w:r>
        <w:rPr>
          <w:spacing w:val="-2"/>
          <w:sz w:val="24"/>
        </w:rPr>
        <w:t>basis</w:t>
      </w:r>
      <w:r>
        <w:rPr>
          <w:spacing w:val="-10"/>
          <w:sz w:val="24"/>
        </w:rPr>
        <w:t> </w:t>
      </w:r>
      <w:r>
        <w:rPr>
          <w:spacing w:val="-2"/>
          <w:sz w:val="24"/>
        </w:rPr>
        <w:t>to</w:t>
      </w:r>
      <w:r>
        <w:rPr>
          <w:spacing w:val="-9"/>
          <w:sz w:val="24"/>
        </w:rPr>
        <w:t> </w:t>
      </w:r>
      <w:r>
        <w:rPr>
          <w:spacing w:val="-2"/>
          <w:sz w:val="24"/>
        </w:rPr>
        <w:t>the</w:t>
      </w:r>
      <w:r>
        <w:rPr>
          <w:spacing w:val="-11"/>
          <w:sz w:val="24"/>
        </w:rPr>
        <w:t> </w:t>
      </w:r>
      <w:r>
        <w:rPr>
          <w:spacing w:val="-2"/>
          <w:sz w:val="24"/>
        </w:rPr>
        <w:t>RJC</w:t>
      </w:r>
      <w:r>
        <w:rPr>
          <w:spacing w:val="-8"/>
          <w:sz w:val="24"/>
        </w:rPr>
        <w:t> </w:t>
      </w:r>
      <w:r>
        <w:rPr>
          <w:spacing w:val="-2"/>
          <w:sz w:val="24"/>
        </w:rPr>
        <w:t>on</w:t>
      </w:r>
      <w:r>
        <w:rPr>
          <w:spacing w:val="-9"/>
          <w:sz w:val="24"/>
        </w:rPr>
        <w:t> </w:t>
      </w:r>
      <w:r>
        <w:rPr>
          <w:spacing w:val="-2"/>
          <w:sz w:val="24"/>
        </w:rPr>
        <w:t>the</w:t>
      </w:r>
      <w:r>
        <w:rPr>
          <w:spacing w:val="-13"/>
          <w:sz w:val="24"/>
        </w:rPr>
        <w:t> </w:t>
      </w:r>
      <w:r>
        <w:rPr>
          <w:spacing w:val="-2"/>
          <w:sz w:val="24"/>
        </w:rPr>
        <w:t>RHES’</w:t>
      </w:r>
      <w:r>
        <w:rPr>
          <w:spacing w:val="-8"/>
          <w:sz w:val="24"/>
        </w:rPr>
        <w:t> </w:t>
      </w:r>
      <w:r>
        <w:rPr>
          <w:spacing w:val="-2"/>
          <w:sz w:val="24"/>
        </w:rPr>
        <w:t>activities,</w:t>
      </w:r>
      <w:r>
        <w:rPr>
          <w:spacing w:val="-12"/>
          <w:sz w:val="24"/>
        </w:rPr>
        <w:t> </w:t>
      </w:r>
      <w:r>
        <w:rPr>
          <w:spacing w:val="-2"/>
          <w:sz w:val="24"/>
        </w:rPr>
        <w:t>in </w:t>
      </w:r>
      <w:r>
        <w:rPr>
          <w:sz w:val="24"/>
        </w:rPr>
        <w:t>the format prescribed by the RJC PMO.</w:t>
      </w:r>
    </w:p>
    <w:p>
      <w:pPr>
        <w:pStyle w:val="ListParagraph"/>
        <w:numPr>
          <w:ilvl w:val="2"/>
          <w:numId w:val="95"/>
        </w:numPr>
        <w:tabs>
          <w:tab w:pos="1278" w:val="left" w:leader="none"/>
        </w:tabs>
        <w:spacing w:line="242" w:lineRule="auto" w:before="121" w:after="0"/>
        <w:ind w:left="1278" w:right="619" w:hanging="361"/>
        <w:jc w:val="left"/>
        <w:rPr>
          <w:sz w:val="24"/>
        </w:rPr>
      </w:pPr>
      <w:r>
        <w:rPr>
          <w:spacing w:val="-2"/>
          <w:sz w:val="24"/>
        </w:rPr>
        <w:t>Bring</w:t>
      </w:r>
      <w:r>
        <w:rPr>
          <w:spacing w:val="-9"/>
          <w:sz w:val="24"/>
        </w:rPr>
        <w:t> </w:t>
      </w:r>
      <w:r>
        <w:rPr>
          <w:spacing w:val="-2"/>
          <w:sz w:val="24"/>
        </w:rPr>
        <w:t>to</w:t>
      </w:r>
      <w:r>
        <w:rPr>
          <w:spacing w:val="-12"/>
          <w:sz w:val="24"/>
        </w:rPr>
        <w:t> </w:t>
      </w:r>
      <w:r>
        <w:rPr>
          <w:spacing w:val="-2"/>
          <w:sz w:val="24"/>
        </w:rPr>
        <w:t>the</w:t>
      </w:r>
      <w:r>
        <w:rPr>
          <w:spacing w:val="-11"/>
          <w:sz w:val="24"/>
        </w:rPr>
        <w:t> </w:t>
      </w:r>
      <w:r>
        <w:rPr>
          <w:spacing w:val="-2"/>
          <w:sz w:val="24"/>
        </w:rPr>
        <w:t>RJC’s</w:t>
      </w:r>
      <w:r>
        <w:rPr>
          <w:spacing w:val="-13"/>
          <w:sz w:val="24"/>
        </w:rPr>
        <w:t> </w:t>
      </w:r>
      <w:r>
        <w:rPr>
          <w:spacing w:val="-2"/>
          <w:sz w:val="24"/>
        </w:rPr>
        <w:t>specific</w:t>
      </w:r>
      <w:r>
        <w:rPr>
          <w:spacing w:val="-13"/>
          <w:sz w:val="24"/>
        </w:rPr>
        <w:t> </w:t>
      </w:r>
      <w:r>
        <w:rPr>
          <w:spacing w:val="-2"/>
          <w:sz w:val="24"/>
        </w:rPr>
        <w:t>attention</w:t>
      </w:r>
      <w:r>
        <w:rPr>
          <w:spacing w:val="-15"/>
          <w:sz w:val="24"/>
        </w:rPr>
        <w:t> </w:t>
      </w:r>
      <w:r>
        <w:rPr>
          <w:spacing w:val="-2"/>
          <w:sz w:val="24"/>
        </w:rPr>
        <w:t>any</w:t>
      </w:r>
      <w:r>
        <w:rPr>
          <w:spacing w:val="-13"/>
          <w:sz w:val="24"/>
        </w:rPr>
        <w:t> </w:t>
      </w:r>
      <w:r>
        <w:rPr>
          <w:spacing w:val="-2"/>
          <w:sz w:val="24"/>
        </w:rPr>
        <w:t>significant</w:t>
      </w:r>
      <w:r>
        <w:rPr>
          <w:spacing w:val="-15"/>
          <w:sz w:val="24"/>
        </w:rPr>
        <w:t> </w:t>
      </w:r>
      <w:r>
        <w:rPr>
          <w:spacing w:val="-2"/>
          <w:sz w:val="24"/>
        </w:rPr>
        <w:t>matters</w:t>
      </w:r>
      <w:r>
        <w:rPr>
          <w:spacing w:val="-13"/>
          <w:sz w:val="24"/>
        </w:rPr>
        <w:t> </w:t>
      </w:r>
      <w:r>
        <w:rPr>
          <w:spacing w:val="-2"/>
          <w:sz w:val="24"/>
        </w:rPr>
        <w:t>under</w:t>
      </w:r>
      <w:r>
        <w:rPr>
          <w:spacing w:val="-13"/>
          <w:sz w:val="24"/>
        </w:rPr>
        <w:t> </w:t>
      </w:r>
      <w:r>
        <w:rPr>
          <w:spacing w:val="-2"/>
          <w:sz w:val="24"/>
        </w:rPr>
        <w:t>consideration</w:t>
      </w:r>
      <w:r>
        <w:rPr>
          <w:spacing w:val="-12"/>
          <w:sz w:val="24"/>
        </w:rPr>
        <w:t> </w:t>
      </w:r>
      <w:r>
        <w:rPr>
          <w:spacing w:val="-2"/>
          <w:sz w:val="24"/>
        </w:rPr>
        <w:t>by</w:t>
      </w:r>
      <w:r>
        <w:rPr>
          <w:spacing w:val="-13"/>
          <w:sz w:val="24"/>
        </w:rPr>
        <w:t> </w:t>
      </w:r>
      <w:r>
        <w:rPr>
          <w:spacing w:val="-2"/>
          <w:sz w:val="24"/>
        </w:rPr>
        <w:t>the RHES.</w:t>
      </w:r>
    </w:p>
    <w:p>
      <w:pPr>
        <w:pStyle w:val="ListParagraph"/>
        <w:numPr>
          <w:ilvl w:val="2"/>
          <w:numId w:val="95"/>
        </w:numPr>
        <w:tabs>
          <w:tab w:pos="1278" w:val="left" w:leader="none"/>
        </w:tabs>
        <w:spacing w:line="240" w:lineRule="auto" w:before="116" w:after="0"/>
        <w:ind w:left="1278" w:right="693" w:hanging="361"/>
        <w:jc w:val="left"/>
        <w:rPr>
          <w:sz w:val="24"/>
        </w:rPr>
      </w:pPr>
      <w:r>
        <w:rPr>
          <w:spacing w:val="-2"/>
          <w:sz w:val="24"/>
        </w:rPr>
        <w:t>The</w:t>
      </w:r>
      <w:r>
        <w:rPr>
          <w:spacing w:val="-11"/>
          <w:sz w:val="24"/>
        </w:rPr>
        <w:t> </w:t>
      </w:r>
      <w:r>
        <w:rPr>
          <w:spacing w:val="-2"/>
          <w:sz w:val="24"/>
        </w:rPr>
        <w:t>RHES</w:t>
      </w:r>
      <w:r>
        <w:rPr>
          <w:spacing w:val="-12"/>
          <w:sz w:val="24"/>
        </w:rPr>
        <w:t> </w:t>
      </w:r>
      <w:r>
        <w:rPr>
          <w:spacing w:val="-2"/>
          <w:sz w:val="24"/>
        </w:rPr>
        <w:t>may</w:t>
      </w:r>
      <w:r>
        <w:rPr>
          <w:spacing w:val="-12"/>
          <w:sz w:val="24"/>
        </w:rPr>
        <w:t> </w:t>
      </w:r>
      <w:r>
        <w:rPr>
          <w:spacing w:val="-2"/>
          <w:sz w:val="24"/>
        </w:rPr>
        <w:t>establish</w:t>
      </w:r>
      <w:r>
        <w:rPr>
          <w:spacing w:val="-11"/>
          <w:sz w:val="24"/>
        </w:rPr>
        <w:t> </w:t>
      </w:r>
      <w:r>
        <w:rPr>
          <w:spacing w:val="-2"/>
          <w:sz w:val="24"/>
        </w:rPr>
        <w:t>programmes,</w:t>
      </w:r>
      <w:r>
        <w:rPr>
          <w:spacing w:val="-14"/>
          <w:sz w:val="24"/>
        </w:rPr>
        <w:t> </w:t>
      </w:r>
      <w:r>
        <w:rPr>
          <w:spacing w:val="-2"/>
          <w:sz w:val="24"/>
        </w:rPr>
        <w:t>projects</w:t>
      </w:r>
      <w:r>
        <w:rPr>
          <w:spacing w:val="-7"/>
          <w:sz w:val="24"/>
        </w:rPr>
        <w:t> </w:t>
      </w:r>
      <w:r>
        <w:rPr>
          <w:spacing w:val="-2"/>
          <w:sz w:val="24"/>
        </w:rPr>
        <w:t>or</w:t>
      </w:r>
      <w:r>
        <w:rPr>
          <w:spacing w:val="-12"/>
          <w:sz w:val="24"/>
        </w:rPr>
        <w:t> </w:t>
      </w:r>
      <w:r>
        <w:rPr>
          <w:spacing w:val="-2"/>
          <w:sz w:val="24"/>
        </w:rPr>
        <w:t>task</w:t>
      </w:r>
      <w:r>
        <w:rPr>
          <w:spacing w:val="-12"/>
          <w:sz w:val="24"/>
        </w:rPr>
        <w:t> </w:t>
      </w:r>
      <w:r>
        <w:rPr>
          <w:spacing w:val="-2"/>
          <w:sz w:val="24"/>
        </w:rPr>
        <w:t>and</w:t>
      </w:r>
      <w:r>
        <w:rPr>
          <w:spacing w:val="-11"/>
          <w:sz w:val="24"/>
        </w:rPr>
        <w:t> </w:t>
      </w:r>
      <w:r>
        <w:rPr>
          <w:spacing w:val="-2"/>
          <w:sz w:val="24"/>
        </w:rPr>
        <w:t>finish</w:t>
      </w:r>
      <w:r>
        <w:rPr>
          <w:spacing w:val="-11"/>
          <w:sz w:val="24"/>
        </w:rPr>
        <w:t> </w:t>
      </w:r>
      <w:r>
        <w:rPr>
          <w:spacing w:val="-2"/>
          <w:sz w:val="24"/>
        </w:rPr>
        <w:t>groups.</w:t>
      </w:r>
      <w:r>
        <w:rPr>
          <w:spacing w:val="-14"/>
          <w:sz w:val="24"/>
        </w:rPr>
        <w:t> </w:t>
      </w:r>
      <w:r>
        <w:rPr>
          <w:spacing w:val="-2"/>
          <w:sz w:val="24"/>
        </w:rPr>
        <w:t>The</w:t>
      </w:r>
      <w:r>
        <w:rPr>
          <w:spacing w:val="-11"/>
          <w:sz w:val="24"/>
        </w:rPr>
        <w:t> </w:t>
      </w:r>
      <w:r>
        <w:rPr>
          <w:spacing w:val="-2"/>
          <w:sz w:val="24"/>
        </w:rPr>
        <w:t>RHES </w:t>
      </w:r>
      <w:r>
        <w:rPr>
          <w:sz w:val="24"/>
        </w:rPr>
        <w:t>will</w:t>
      </w:r>
      <w:r>
        <w:rPr>
          <w:spacing w:val="-14"/>
          <w:sz w:val="24"/>
        </w:rPr>
        <w:t> </w:t>
      </w:r>
      <w:r>
        <w:rPr>
          <w:sz w:val="24"/>
        </w:rPr>
        <w:t>receive</w:t>
      </w:r>
      <w:r>
        <w:rPr>
          <w:spacing w:val="-14"/>
          <w:sz w:val="24"/>
        </w:rPr>
        <w:t> </w:t>
      </w:r>
      <w:r>
        <w:rPr>
          <w:sz w:val="24"/>
        </w:rPr>
        <w:t>updates</w:t>
      </w:r>
      <w:r>
        <w:rPr>
          <w:spacing w:val="-10"/>
          <w:sz w:val="24"/>
        </w:rPr>
        <w:t> </w:t>
      </w:r>
      <w:r>
        <w:rPr>
          <w:sz w:val="24"/>
        </w:rPr>
        <w:t>from</w:t>
      </w:r>
      <w:r>
        <w:rPr>
          <w:spacing w:val="-10"/>
          <w:sz w:val="24"/>
        </w:rPr>
        <w:t> </w:t>
      </w:r>
      <w:r>
        <w:rPr>
          <w:sz w:val="24"/>
        </w:rPr>
        <w:t>programmes,</w:t>
      </w:r>
      <w:r>
        <w:rPr>
          <w:spacing w:val="-12"/>
          <w:sz w:val="24"/>
        </w:rPr>
        <w:t> </w:t>
      </w:r>
      <w:r>
        <w:rPr>
          <w:sz w:val="24"/>
        </w:rPr>
        <w:t>project</w:t>
      </w:r>
      <w:r>
        <w:rPr>
          <w:spacing w:val="-12"/>
          <w:sz w:val="24"/>
        </w:rPr>
        <w:t> </w:t>
      </w:r>
      <w:r>
        <w:rPr>
          <w:sz w:val="24"/>
        </w:rPr>
        <w:t>or</w:t>
      </w:r>
      <w:r>
        <w:rPr>
          <w:spacing w:val="-5"/>
          <w:sz w:val="24"/>
        </w:rPr>
        <w:t> </w:t>
      </w:r>
      <w:r>
        <w:rPr>
          <w:sz w:val="24"/>
        </w:rPr>
        <w:t>task</w:t>
      </w:r>
      <w:r>
        <w:rPr>
          <w:spacing w:val="-15"/>
          <w:sz w:val="24"/>
        </w:rPr>
        <w:t> </w:t>
      </w:r>
      <w:r>
        <w:rPr>
          <w:sz w:val="24"/>
        </w:rPr>
        <w:t>and</w:t>
      </w:r>
      <w:r>
        <w:rPr>
          <w:spacing w:val="-9"/>
          <w:sz w:val="24"/>
        </w:rPr>
        <w:t> </w:t>
      </w:r>
      <w:r>
        <w:rPr>
          <w:sz w:val="24"/>
        </w:rPr>
        <w:t>finish</w:t>
      </w:r>
      <w:r>
        <w:rPr>
          <w:spacing w:val="-9"/>
          <w:sz w:val="24"/>
        </w:rPr>
        <w:t> </w:t>
      </w:r>
      <w:r>
        <w:rPr>
          <w:sz w:val="24"/>
        </w:rPr>
        <w:t>groups</w:t>
      </w:r>
      <w:r>
        <w:rPr>
          <w:spacing w:val="-6"/>
          <w:sz w:val="24"/>
        </w:rPr>
        <w:t> </w:t>
      </w:r>
      <w:r>
        <w:rPr>
          <w:sz w:val="24"/>
        </w:rPr>
        <w:t>through highlight reports and exception reporting.</w:t>
      </w:r>
    </w:p>
    <w:p>
      <w:pPr>
        <w:pStyle w:val="BodyText"/>
        <w:spacing w:before="10"/>
        <w:rPr>
          <w:sz w:val="12"/>
        </w:rPr>
      </w:pPr>
      <w:r>
        <w:rPr>
          <w:sz w:val="12"/>
        </w:rPr>
        <mc:AlternateContent>
          <mc:Choice Requires="wps">
            <w:drawing>
              <wp:anchor distT="0" distB="0" distL="0" distR="0" allowOverlap="1" layoutInCell="1" locked="0" behindDoc="1" simplePos="0" relativeHeight="487706112">
                <wp:simplePos x="0" y="0"/>
                <wp:positionH relativeFrom="page">
                  <wp:posOffset>574992</wp:posOffset>
                </wp:positionH>
                <wp:positionV relativeFrom="paragraph">
                  <wp:posOffset>115584</wp:posOffset>
                </wp:positionV>
                <wp:extent cx="6553200" cy="193675"/>
                <wp:effectExtent l="0" t="0" r="0" b="0"/>
                <wp:wrapTopAndBottom/>
                <wp:docPr id="579" name="Textbox 579"/>
                <wp:cNvGraphicFramePr>
                  <a:graphicFrameLocks/>
                </wp:cNvGraphicFramePr>
                <a:graphic>
                  <a:graphicData uri="http://schemas.microsoft.com/office/word/2010/wordprocessingShape">
                    <wps:wsp>
                      <wps:cNvPr id="579" name="Textbox 579"/>
                      <wps:cNvSpPr txBox="1"/>
                      <wps:spPr>
                        <a:xfrm>
                          <a:off x="0" y="0"/>
                          <a:ext cx="6553200" cy="193675"/>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12.</w:t>
                            </w:r>
                            <w:r>
                              <w:rPr>
                                <w:b/>
                                <w:color w:val="000000"/>
                                <w:sz w:val="24"/>
                              </w:rPr>
                              <w:tab/>
                              <w:t>Secretarial</w:t>
                            </w:r>
                            <w:r>
                              <w:rPr>
                                <w:b/>
                                <w:color w:val="000000"/>
                                <w:spacing w:val="-6"/>
                                <w:sz w:val="24"/>
                              </w:rPr>
                              <w:t> </w:t>
                            </w:r>
                            <w:r>
                              <w:rPr>
                                <w:b/>
                                <w:color w:val="000000"/>
                                <w:spacing w:val="-2"/>
                                <w:sz w:val="24"/>
                              </w:rPr>
                              <w:t>Support</w:t>
                            </w:r>
                          </w:p>
                        </w:txbxContent>
                      </wps:txbx>
                      <wps:bodyPr wrap="square" lIns="0" tIns="0" rIns="0" bIns="0" rtlCol="0">
                        <a:noAutofit/>
                      </wps:bodyPr>
                    </wps:wsp>
                  </a:graphicData>
                </a:graphic>
              </wp:anchor>
            </w:drawing>
          </mc:Choice>
          <mc:Fallback>
            <w:pict>
              <v:shape style="position:absolute;margin-left:45.275002pt;margin-top:9.101171pt;width:516pt;height:15.25pt;mso-position-horizontal-relative:page;mso-position-vertical-relative:paragraph;z-index:-15610368;mso-wrap-distance-left:0;mso-wrap-distance-right:0" type="#_x0000_t202" id="docshape355"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12.</w:t>
                      </w:r>
                      <w:r>
                        <w:rPr>
                          <w:b/>
                          <w:color w:val="000000"/>
                          <w:sz w:val="24"/>
                        </w:rPr>
                        <w:tab/>
                        <w:t>Secretarial</w:t>
                      </w:r>
                      <w:r>
                        <w:rPr>
                          <w:b/>
                          <w:color w:val="000000"/>
                          <w:spacing w:val="-6"/>
                          <w:sz w:val="24"/>
                        </w:rPr>
                        <w:t> </w:t>
                      </w:r>
                      <w:r>
                        <w:rPr>
                          <w:b/>
                          <w:color w:val="000000"/>
                          <w:spacing w:val="-2"/>
                          <w:sz w:val="24"/>
                        </w:rPr>
                        <w:t>Support</w:t>
                      </w:r>
                    </w:p>
                  </w:txbxContent>
                </v:textbox>
                <v:fill type="solid"/>
                <v:stroke dashstyle="solid"/>
                <w10:wrap type="topAndBottom"/>
              </v:shape>
            </w:pict>
          </mc:Fallback>
        </mc:AlternateContent>
      </w:r>
    </w:p>
    <w:p>
      <w:pPr>
        <w:pStyle w:val="BodyText"/>
        <w:tabs>
          <w:tab w:pos="862" w:val="left" w:leader="none"/>
        </w:tabs>
        <w:spacing w:before="170"/>
        <w:ind w:left="142"/>
      </w:pPr>
      <w:r>
        <w:rPr>
          <w:spacing w:val="-5"/>
        </w:rPr>
        <w:t>1.1</w:t>
      </w:r>
      <w:r>
        <w:rPr/>
        <w:tab/>
      </w:r>
      <w:r>
        <w:rPr>
          <w:spacing w:val="-2"/>
        </w:rPr>
        <w:t>The</w:t>
      </w:r>
      <w:r>
        <w:rPr>
          <w:spacing w:val="-10"/>
        </w:rPr>
        <w:t> </w:t>
      </w:r>
      <w:r>
        <w:rPr>
          <w:spacing w:val="-2"/>
        </w:rPr>
        <w:t>RHES</w:t>
      </w:r>
      <w:r>
        <w:rPr>
          <w:spacing w:val="-11"/>
        </w:rPr>
        <w:t> </w:t>
      </w:r>
      <w:r>
        <w:rPr>
          <w:spacing w:val="-2"/>
        </w:rPr>
        <w:t>Secretariat</w:t>
      </w:r>
      <w:r>
        <w:rPr>
          <w:spacing w:val="-12"/>
        </w:rPr>
        <w:t> </w:t>
      </w:r>
      <w:r>
        <w:rPr>
          <w:spacing w:val="-2"/>
        </w:rPr>
        <w:t>shall</w:t>
      </w:r>
      <w:r>
        <w:rPr>
          <w:spacing w:val="-10"/>
        </w:rPr>
        <w:t> </w:t>
      </w:r>
      <w:r>
        <w:rPr>
          <w:spacing w:val="-2"/>
        </w:rPr>
        <w:t>be</w:t>
      </w:r>
      <w:r>
        <w:rPr>
          <w:spacing w:val="-10"/>
        </w:rPr>
        <w:t> </w:t>
      </w:r>
      <w:r>
        <w:rPr>
          <w:spacing w:val="-2"/>
        </w:rPr>
        <w:t>provided</w:t>
      </w:r>
      <w:r>
        <w:rPr>
          <w:spacing w:val="-10"/>
        </w:rPr>
        <w:t> </w:t>
      </w:r>
      <w:r>
        <w:rPr>
          <w:spacing w:val="-2"/>
        </w:rPr>
        <w:t>by</w:t>
      </w:r>
      <w:r>
        <w:rPr>
          <w:spacing w:val="-11"/>
        </w:rPr>
        <w:t> </w:t>
      </w:r>
      <w:r>
        <w:rPr>
          <w:spacing w:val="-2"/>
        </w:rPr>
        <w:t>the</w:t>
      </w:r>
      <w:r>
        <w:rPr>
          <w:spacing w:val="-10"/>
        </w:rPr>
        <w:t> </w:t>
      </w:r>
      <w:r>
        <w:rPr>
          <w:spacing w:val="-2"/>
        </w:rPr>
        <w:t>RJC</w:t>
      </w:r>
      <w:r>
        <w:rPr>
          <w:spacing w:val="-10"/>
        </w:rPr>
        <w:t> </w:t>
      </w:r>
      <w:r>
        <w:rPr>
          <w:spacing w:val="-4"/>
        </w:rPr>
        <w:t>PMO.</w:t>
      </w:r>
    </w:p>
    <w:p>
      <w:pPr>
        <w:pStyle w:val="BodyText"/>
        <w:spacing w:before="11"/>
        <w:rPr>
          <w:sz w:val="16"/>
        </w:rPr>
      </w:pPr>
      <w:r>
        <w:rPr>
          <w:sz w:val="16"/>
        </w:rPr>
        <mc:AlternateContent>
          <mc:Choice Requires="wps">
            <w:drawing>
              <wp:anchor distT="0" distB="0" distL="0" distR="0" allowOverlap="1" layoutInCell="1" locked="0" behindDoc="1" simplePos="0" relativeHeight="487706624">
                <wp:simplePos x="0" y="0"/>
                <wp:positionH relativeFrom="page">
                  <wp:posOffset>574992</wp:posOffset>
                </wp:positionH>
                <wp:positionV relativeFrom="paragraph">
                  <wp:posOffset>145429</wp:posOffset>
                </wp:positionV>
                <wp:extent cx="6553200" cy="191135"/>
                <wp:effectExtent l="0" t="0" r="0" b="0"/>
                <wp:wrapTopAndBottom/>
                <wp:docPr id="580" name="Textbox 580"/>
                <wp:cNvGraphicFramePr>
                  <a:graphicFrameLocks/>
                </wp:cNvGraphicFramePr>
                <a:graphic>
                  <a:graphicData uri="http://schemas.microsoft.com/office/word/2010/wordprocessingShape">
                    <wps:wsp>
                      <wps:cNvPr id="580" name="Textbox 580"/>
                      <wps:cNvSpPr txBox="1"/>
                      <wps:spPr>
                        <a:xfrm>
                          <a:off x="0" y="0"/>
                          <a:ext cx="6553200" cy="191135"/>
                        </a:xfrm>
                        <a:prstGeom prst="rect">
                          <a:avLst/>
                        </a:prstGeom>
                        <a:solidFill>
                          <a:srgbClr val="C1A875"/>
                        </a:solidFill>
                        <a:ln w="12700">
                          <a:solidFill>
                            <a:srgbClr val="394871"/>
                          </a:solidFill>
                          <a:prstDash val="solid"/>
                        </a:ln>
                      </wps:spPr>
                      <wps:txbx>
                        <w:txbxContent>
                          <w:p>
                            <w:pPr>
                              <w:tabs>
                                <w:tab w:pos="825" w:val="left" w:leader="none"/>
                              </w:tabs>
                              <w:spacing w:before="0"/>
                              <w:ind w:left="115" w:right="0" w:firstLine="0"/>
                              <w:jc w:val="left"/>
                              <w:rPr>
                                <w:b/>
                                <w:color w:val="000000"/>
                                <w:sz w:val="24"/>
                              </w:rPr>
                            </w:pPr>
                            <w:r>
                              <w:rPr>
                                <w:b/>
                                <w:color w:val="000000"/>
                                <w:spacing w:val="-5"/>
                                <w:sz w:val="24"/>
                              </w:rPr>
                              <w:t>13.</w:t>
                            </w:r>
                            <w:r>
                              <w:rPr>
                                <w:b/>
                                <w:color w:val="000000"/>
                                <w:sz w:val="24"/>
                              </w:rPr>
                              <w:tab/>
                              <w:t>Review</w:t>
                            </w:r>
                            <w:r>
                              <w:rPr>
                                <w:b/>
                                <w:color w:val="000000"/>
                                <w:spacing w:val="-4"/>
                                <w:sz w:val="24"/>
                              </w:rPr>
                              <w:t> Date</w:t>
                            </w:r>
                          </w:p>
                        </w:txbxContent>
                      </wps:txbx>
                      <wps:bodyPr wrap="square" lIns="0" tIns="0" rIns="0" bIns="0" rtlCol="0">
                        <a:noAutofit/>
                      </wps:bodyPr>
                    </wps:wsp>
                  </a:graphicData>
                </a:graphic>
              </wp:anchor>
            </w:drawing>
          </mc:Choice>
          <mc:Fallback>
            <w:pict>
              <v:shape style="position:absolute;margin-left:45.275002pt;margin-top:11.451172pt;width:516pt;height:15.05pt;mso-position-horizontal-relative:page;mso-position-vertical-relative:paragraph;z-index:-15609856;mso-wrap-distance-left:0;mso-wrap-distance-right:0" type="#_x0000_t202" id="docshape356" filled="true" fillcolor="#c1a875" stroked="true" strokeweight="1pt" strokecolor="#394871">
                <v:textbox inset="0,0,0,0">
                  <w:txbxContent>
                    <w:p>
                      <w:pPr>
                        <w:tabs>
                          <w:tab w:pos="825" w:val="left" w:leader="none"/>
                        </w:tabs>
                        <w:spacing w:before="0"/>
                        <w:ind w:left="115" w:right="0" w:firstLine="0"/>
                        <w:jc w:val="left"/>
                        <w:rPr>
                          <w:b/>
                          <w:color w:val="000000"/>
                          <w:sz w:val="24"/>
                        </w:rPr>
                      </w:pPr>
                      <w:r>
                        <w:rPr>
                          <w:b/>
                          <w:color w:val="000000"/>
                          <w:spacing w:val="-5"/>
                          <w:sz w:val="24"/>
                        </w:rPr>
                        <w:t>13.</w:t>
                      </w:r>
                      <w:r>
                        <w:rPr>
                          <w:b/>
                          <w:color w:val="000000"/>
                          <w:sz w:val="24"/>
                        </w:rPr>
                        <w:tab/>
                        <w:t>Review</w:t>
                      </w:r>
                      <w:r>
                        <w:rPr>
                          <w:b/>
                          <w:color w:val="000000"/>
                          <w:spacing w:val="-4"/>
                          <w:sz w:val="24"/>
                        </w:rPr>
                        <w:t> Date</w:t>
                      </w:r>
                    </w:p>
                  </w:txbxContent>
                </v:textbox>
                <v:fill type="solid"/>
                <v:stroke dashstyle="solid"/>
                <w10:wrap type="topAndBottom"/>
              </v:shape>
            </w:pict>
          </mc:Fallback>
        </mc:AlternateContent>
      </w:r>
    </w:p>
    <w:p>
      <w:pPr>
        <w:pStyle w:val="ListParagraph"/>
        <w:numPr>
          <w:ilvl w:val="1"/>
          <w:numId w:val="96"/>
        </w:numPr>
        <w:tabs>
          <w:tab w:pos="937" w:val="left" w:leader="none"/>
        </w:tabs>
        <w:spacing w:line="242" w:lineRule="auto" w:before="170" w:after="0"/>
        <w:ind w:left="937" w:right="895" w:hanging="795"/>
        <w:jc w:val="left"/>
        <w:rPr>
          <w:sz w:val="24"/>
        </w:rPr>
      </w:pPr>
      <w:r>
        <w:rPr>
          <w:spacing w:val="-2"/>
          <w:sz w:val="24"/>
        </w:rPr>
        <w:t>These</w:t>
      </w:r>
      <w:r>
        <w:rPr>
          <w:spacing w:val="-9"/>
          <w:sz w:val="24"/>
        </w:rPr>
        <w:t> </w:t>
      </w:r>
      <w:r>
        <w:rPr>
          <w:spacing w:val="-2"/>
          <w:sz w:val="24"/>
        </w:rPr>
        <w:t>terms</w:t>
      </w:r>
      <w:r>
        <w:rPr>
          <w:spacing w:val="-12"/>
          <w:sz w:val="24"/>
        </w:rPr>
        <w:t> </w:t>
      </w:r>
      <w:r>
        <w:rPr>
          <w:spacing w:val="-2"/>
          <w:sz w:val="24"/>
        </w:rPr>
        <w:t>of</w:t>
      </w:r>
      <w:r>
        <w:rPr>
          <w:spacing w:val="-14"/>
          <w:sz w:val="24"/>
        </w:rPr>
        <w:t> </w:t>
      </w:r>
      <w:r>
        <w:rPr>
          <w:spacing w:val="-2"/>
          <w:sz w:val="24"/>
        </w:rPr>
        <w:t>reference</w:t>
      </w:r>
      <w:r>
        <w:rPr>
          <w:spacing w:val="-11"/>
          <w:sz w:val="24"/>
        </w:rPr>
        <w:t> </w:t>
      </w:r>
      <w:r>
        <w:rPr>
          <w:spacing w:val="-2"/>
          <w:sz w:val="24"/>
        </w:rPr>
        <w:t>and</w:t>
      </w:r>
      <w:r>
        <w:rPr>
          <w:spacing w:val="-11"/>
          <w:sz w:val="24"/>
        </w:rPr>
        <w:t> </w:t>
      </w:r>
      <w:r>
        <w:rPr>
          <w:spacing w:val="-2"/>
          <w:sz w:val="24"/>
        </w:rPr>
        <w:t>operating</w:t>
      </w:r>
      <w:r>
        <w:rPr>
          <w:spacing w:val="-11"/>
          <w:sz w:val="24"/>
        </w:rPr>
        <w:t> </w:t>
      </w:r>
      <w:r>
        <w:rPr>
          <w:spacing w:val="-2"/>
          <w:sz w:val="24"/>
        </w:rPr>
        <w:t>arrangements</w:t>
      </w:r>
      <w:r>
        <w:rPr>
          <w:spacing w:val="-12"/>
          <w:sz w:val="24"/>
        </w:rPr>
        <w:t> </w:t>
      </w:r>
      <w:r>
        <w:rPr>
          <w:spacing w:val="-2"/>
          <w:sz w:val="24"/>
        </w:rPr>
        <w:t>shall</w:t>
      </w:r>
      <w:r>
        <w:rPr>
          <w:spacing w:val="-11"/>
          <w:sz w:val="24"/>
        </w:rPr>
        <w:t> </w:t>
      </w:r>
      <w:r>
        <w:rPr>
          <w:spacing w:val="-2"/>
          <w:sz w:val="24"/>
        </w:rPr>
        <w:t>be</w:t>
      </w:r>
      <w:r>
        <w:rPr>
          <w:spacing w:val="-11"/>
          <w:sz w:val="24"/>
        </w:rPr>
        <w:t> </w:t>
      </w:r>
      <w:r>
        <w:rPr>
          <w:spacing w:val="-2"/>
          <w:sz w:val="24"/>
        </w:rPr>
        <w:t>reviewed</w:t>
      </w:r>
      <w:r>
        <w:rPr>
          <w:spacing w:val="-11"/>
          <w:sz w:val="24"/>
        </w:rPr>
        <w:t> </w:t>
      </w:r>
      <w:r>
        <w:rPr>
          <w:spacing w:val="-2"/>
          <w:sz w:val="24"/>
        </w:rPr>
        <w:t>on</w:t>
      </w:r>
      <w:r>
        <w:rPr>
          <w:spacing w:val="-11"/>
          <w:sz w:val="24"/>
        </w:rPr>
        <w:t> </w:t>
      </w:r>
      <w:r>
        <w:rPr>
          <w:spacing w:val="-2"/>
          <w:sz w:val="24"/>
        </w:rPr>
        <w:t>at</w:t>
      </w:r>
      <w:r>
        <w:rPr>
          <w:spacing w:val="-15"/>
          <w:sz w:val="24"/>
        </w:rPr>
        <w:t> </w:t>
      </w:r>
      <w:r>
        <w:rPr>
          <w:spacing w:val="-2"/>
          <w:sz w:val="24"/>
        </w:rPr>
        <w:t>least</w:t>
      </w:r>
      <w:r>
        <w:rPr>
          <w:spacing w:val="-13"/>
          <w:sz w:val="24"/>
        </w:rPr>
        <w:t> </w:t>
      </w:r>
      <w:r>
        <w:rPr>
          <w:spacing w:val="-2"/>
          <w:sz w:val="24"/>
        </w:rPr>
        <w:t>an </w:t>
      </w:r>
      <w:r>
        <w:rPr>
          <w:sz w:val="24"/>
        </w:rPr>
        <w:t>annual</w:t>
      </w:r>
      <w:r>
        <w:rPr>
          <w:spacing w:val="-6"/>
          <w:sz w:val="24"/>
        </w:rPr>
        <w:t> </w:t>
      </w:r>
      <w:r>
        <w:rPr>
          <w:sz w:val="24"/>
        </w:rPr>
        <w:t>basis</w:t>
      </w:r>
      <w:r>
        <w:rPr>
          <w:spacing w:val="-2"/>
          <w:sz w:val="24"/>
        </w:rPr>
        <w:t> </w:t>
      </w:r>
      <w:r>
        <w:rPr>
          <w:sz w:val="24"/>
        </w:rPr>
        <w:t>by</w:t>
      </w:r>
      <w:r>
        <w:rPr>
          <w:spacing w:val="-2"/>
          <w:sz w:val="24"/>
        </w:rPr>
        <w:t> </w:t>
      </w:r>
      <w:r>
        <w:rPr>
          <w:sz w:val="24"/>
        </w:rPr>
        <w:t>the</w:t>
      </w:r>
      <w:r>
        <w:rPr>
          <w:spacing w:val="-1"/>
          <w:sz w:val="24"/>
        </w:rPr>
        <w:t> </w:t>
      </w:r>
      <w:r>
        <w:rPr>
          <w:sz w:val="24"/>
        </w:rPr>
        <w:t>RHES</w:t>
      </w:r>
      <w:r>
        <w:rPr>
          <w:spacing w:val="-2"/>
          <w:sz w:val="24"/>
        </w:rPr>
        <w:t> </w:t>
      </w:r>
      <w:r>
        <w:rPr>
          <w:sz w:val="24"/>
        </w:rPr>
        <w:t>for</w:t>
      </w:r>
      <w:r>
        <w:rPr>
          <w:spacing w:val="-2"/>
          <w:sz w:val="24"/>
        </w:rPr>
        <w:t> </w:t>
      </w:r>
      <w:r>
        <w:rPr>
          <w:sz w:val="24"/>
        </w:rPr>
        <w:t>approval</w:t>
      </w:r>
      <w:r>
        <w:rPr>
          <w:spacing w:val="-1"/>
          <w:sz w:val="24"/>
        </w:rPr>
        <w:t> </w:t>
      </w:r>
      <w:r>
        <w:rPr>
          <w:sz w:val="24"/>
        </w:rPr>
        <w:t>by the RJC.</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1"/>
        <w:rPr>
          <w:sz w:val="20"/>
        </w:rPr>
      </w:pPr>
    </w:p>
    <w:p>
      <w:pPr>
        <w:spacing w:before="0"/>
        <w:ind w:left="4" w:right="284" w:firstLine="0"/>
        <w:jc w:val="center"/>
        <w:rPr>
          <w:sz w:val="20"/>
        </w:rPr>
      </w:pPr>
      <w:r>
        <w:rPr>
          <w:spacing w:val="-10"/>
          <w:sz w:val="20"/>
        </w:rPr>
        <w:t>5</w:t>
      </w:r>
    </w:p>
    <w:p>
      <w:pPr>
        <w:spacing w:after="0"/>
        <w:jc w:val="center"/>
        <w:rPr>
          <w:sz w:val="20"/>
        </w:rPr>
        <w:sectPr>
          <w:pgSz w:w="11910" w:h="16840"/>
          <w:pgMar w:header="0" w:footer="149" w:top="920" w:bottom="340" w:left="708" w:right="425"/>
        </w:sectPr>
      </w:pPr>
    </w:p>
    <w:p>
      <w:pPr>
        <w:pStyle w:val="Heading5"/>
        <w:spacing w:before="73"/>
        <w:rPr>
          <w:rFonts w:ascii="Arial"/>
        </w:rPr>
      </w:pPr>
      <w:r>
        <w:rPr>
          <w:rFonts w:ascii="Arial"/>
          <w:spacing w:val="-4"/>
        </w:rPr>
        <w:t>Appendix</w:t>
      </w:r>
      <w:r>
        <w:rPr>
          <w:rFonts w:ascii="Arial"/>
          <w:spacing w:val="-3"/>
        </w:rPr>
        <w:t> </w:t>
      </w:r>
      <w:r>
        <w:rPr>
          <w:rFonts w:ascii="Arial"/>
          <w:spacing w:val="-10"/>
        </w:rPr>
        <w:t>1</w:t>
      </w:r>
    </w:p>
    <w:p>
      <w:pPr>
        <w:pStyle w:val="BodyText"/>
        <w:spacing w:before="5"/>
        <w:rPr>
          <w:sz w:val="11"/>
        </w:rPr>
      </w:pPr>
      <w:r>
        <w:rPr>
          <w:sz w:val="11"/>
        </w:rPr>
        <w:drawing>
          <wp:anchor distT="0" distB="0" distL="0" distR="0" allowOverlap="1" layoutInCell="1" locked="0" behindDoc="1" simplePos="0" relativeHeight="487707136">
            <wp:simplePos x="0" y="0"/>
            <wp:positionH relativeFrom="page">
              <wp:posOffset>581862</wp:posOffset>
            </wp:positionH>
            <wp:positionV relativeFrom="paragraph">
              <wp:posOffset>99094</wp:posOffset>
            </wp:positionV>
            <wp:extent cx="5797587" cy="3350990"/>
            <wp:effectExtent l="0" t="0" r="0" b="0"/>
            <wp:wrapTopAndBottom/>
            <wp:docPr id="581" name="Image 581"/>
            <wp:cNvGraphicFramePr>
              <a:graphicFrameLocks/>
            </wp:cNvGraphicFramePr>
            <a:graphic>
              <a:graphicData uri="http://schemas.openxmlformats.org/drawingml/2006/picture">
                <pic:pic>
                  <pic:nvPicPr>
                    <pic:cNvPr id="581" name="Image 581"/>
                    <pic:cNvPicPr/>
                  </pic:nvPicPr>
                  <pic:blipFill>
                    <a:blip r:embed="rId76" cstate="print"/>
                    <a:stretch>
                      <a:fillRect/>
                    </a:stretch>
                  </pic:blipFill>
                  <pic:spPr>
                    <a:xfrm>
                      <a:off x="0" y="0"/>
                      <a:ext cx="5797587" cy="3350990"/>
                    </a:xfrm>
                    <a:prstGeom prst="rect">
                      <a:avLst/>
                    </a:prstGeom>
                  </pic:spPr>
                </pic:pic>
              </a:graphicData>
            </a:graphic>
          </wp:anchor>
        </w:drawing>
      </w:r>
      <w:r>
        <w:rPr>
          <w:sz w:val="11"/>
        </w:rPr>
        <w:drawing>
          <wp:anchor distT="0" distB="0" distL="0" distR="0" allowOverlap="1" layoutInCell="1" locked="0" behindDoc="1" simplePos="0" relativeHeight="487707648">
            <wp:simplePos x="0" y="0"/>
            <wp:positionH relativeFrom="page">
              <wp:posOffset>2142617</wp:posOffset>
            </wp:positionH>
            <wp:positionV relativeFrom="paragraph">
              <wp:posOffset>3724267</wp:posOffset>
            </wp:positionV>
            <wp:extent cx="3683461" cy="1786889"/>
            <wp:effectExtent l="0" t="0" r="0" b="0"/>
            <wp:wrapTopAndBottom/>
            <wp:docPr id="582" name="Image 582"/>
            <wp:cNvGraphicFramePr>
              <a:graphicFrameLocks/>
            </wp:cNvGraphicFramePr>
            <a:graphic>
              <a:graphicData uri="http://schemas.openxmlformats.org/drawingml/2006/picture">
                <pic:pic>
                  <pic:nvPicPr>
                    <pic:cNvPr id="582" name="Image 582"/>
                    <pic:cNvPicPr/>
                  </pic:nvPicPr>
                  <pic:blipFill>
                    <a:blip r:embed="rId77" cstate="print"/>
                    <a:stretch>
                      <a:fillRect/>
                    </a:stretch>
                  </pic:blipFill>
                  <pic:spPr>
                    <a:xfrm>
                      <a:off x="0" y="0"/>
                      <a:ext cx="3683461" cy="1786889"/>
                    </a:xfrm>
                    <a:prstGeom prst="rect">
                      <a:avLst/>
                    </a:prstGeom>
                  </pic:spPr>
                </pic:pic>
              </a:graphicData>
            </a:graphic>
          </wp:anchor>
        </w:drawing>
      </w:r>
    </w:p>
    <w:p>
      <w:pPr>
        <w:pStyle w:val="BodyText"/>
        <w:spacing w:before="177"/>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rPr>
          <w:sz w:val="20"/>
        </w:rPr>
      </w:pPr>
    </w:p>
    <w:p>
      <w:pPr>
        <w:spacing w:before="0"/>
        <w:ind w:left="4" w:right="284" w:firstLine="0"/>
        <w:jc w:val="center"/>
        <w:rPr>
          <w:sz w:val="20"/>
        </w:rPr>
      </w:pPr>
      <w:r>
        <w:rPr>
          <w:spacing w:val="-10"/>
          <w:sz w:val="20"/>
        </w:rPr>
        <w:t>6</w:t>
      </w:r>
    </w:p>
    <w:p>
      <w:pPr>
        <w:spacing w:after="0"/>
        <w:jc w:val="center"/>
        <w:rPr>
          <w:sz w:val="20"/>
        </w:rPr>
        <w:sectPr>
          <w:pgSz w:w="11910" w:h="16840"/>
          <w:pgMar w:header="0" w:footer="149" w:top="920" w:bottom="340" w:left="708" w:right="425"/>
        </w:sectPr>
      </w:pPr>
    </w:p>
    <w:p>
      <w:pPr>
        <w:pStyle w:val="Heading4"/>
        <w:numPr>
          <w:ilvl w:val="1"/>
          <w:numId w:val="97"/>
        </w:numPr>
        <w:tabs>
          <w:tab w:pos="7505" w:val="left" w:leader="none"/>
        </w:tabs>
        <w:spacing w:line="240" w:lineRule="auto" w:before="198" w:after="0"/>
        <w:ind w:left="7505" w:right="0" w:hanging="6623"/>
        <w:jc w:val="left"/>
        <w:rPr>
          <w:b w:val="0"/>
          <w:position w:val="-8"/>
          <w:sz w:val="36"/>
        </w:rPr>
      </w:pPr>
      <w:r>
        <w:rPr/>
        <w:t>11:50</w:t>
      </w:r>
      <w:r>
        <w:rPr>
          <w:spacing w:val="-4"/>
        </w:rPr>
        <w:t> </w:t>
      </w:r>
      <w:r>
        <w:rPr/>
        <w:t>AM,</w:t>
      </w:r>
      <w:r>
        <w:rPr>
          <w:spacing w:val="2"/>
        </w:rPr>
        <w:t> </w:t>
      </w:r>
      <w:r>
        <w:rPr/>
        <w:t>5</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708160">
                <wp:simplePos x="0" y="0"/>
                <wp:positionH relativeFrom="page">
                  <wp:posOffset>914400</wp:posOffset>
                </wp:positionH>
                <wp:positionV relativeFrom="paragraph">
                  <wp:posOffset>262302</wp:posOffset>
                </wp:positionV>
                <wp:extent cx="5730875" cy="6350"/>
                <wp:effectExtent l="0" t="0" r="0" b="0"/>
                <wp:wrapTopAndBottom/>
                <wp:docPr id="583" name="Graphic 583"/>
                <wp:cNvGraphicFramePr>
                  <a:graphicFrameLocks/>
                </wp:cNvGraphicFramePr>
                <a:graphic>
                  <a:graphicData uri="http://schemas.microsoft.com/office/word/2010/wordprocessingShape">
                    <wps:wsp>
                      <wps:cNvPr id="583" name="Graphic 583"/>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608320;mso-wrap-distance-left:0;mso-wrap-distance-right:0" id="docshape357" filled="true" fillcolor="#9f9f9f" stroked="false">
                <v:fill type="solid"/>
                <w10:wrap type="topAndBottom"/>
              </v:rect>
            </w:pict>
          </mc:Fallback>
        </mc:AlternateContent>
      </w:r>
    </w:p>
    <w:p>
      <w:pPr>
        <w:pStyle w:val="BodyText"/>
        <w:spacing w:before="61"/>
        <w:rPr>
          <w:b/>
          <w:sz w:val="32"/>
        </w:rPr>
      </w:pPr>
    </w:p>
    <w:p>
      <w:pPr>
        <w:pStyle w:val="ListParagraph"/>
        <w:numPr>
          <w:ilvl w:val="1"/>
          <w:numId w:val="98"/>
        </w:numPr>
        <w:tabs>
          <w:tab w:pos="1270" w:val="left" w:leader="none"/>
          <w:tab w:pos="7605" w:val="left" w:leader="none"/>
          <w:tab w:pos="8535" w:val="left" w:leader="none"/>
        </w:tabs>
        <w:spacing w:line="160" w:lineRule="auto" w:before="1" w:after="0"/>
        <w:ind w:left="7605" w:right="1010" w:hanging="6873"/>
        <w:jc w:val="right"/>
        <w:rPr>
          <w:sz w:val="32"/>
        </w:rPr>
      </w:pPr>
      <w:bookmarkStart w:name="7.2 - RJC/42: Board to Board Proposal" w:id="71"/>
      <w:bookmarkEnd w:id="71"/>
      <w:r>
        <w:rPr/>
      </w:r>
      <w:r>
        <w:rPr>
          <w:sz w:val="32"/>
        </w:rPr>
        <w:t>- RJC/42: Board to Board Proposal</w:t>
        <w:tab/>
        <w:tab/>
      </w:r>
      <w:r>
        <w:rPr>
          <w:b/>
          <w:i/>
          <w:position w:val="9"/>
          <w:sz w:val="22"/>
        </w:rPr>
        <w:t>Hazel</w:t>
      </w:r>
      <w:r>
        <w:rPr>
          <w:b/>
          <w:i/>
          <w:spacing w:val="-16"/>
          <w:position w:val="9"/>
          <w:sz w:val="22"/>
        </w:rPr>
        <w:t> </w:t>
      </w:r>
      <w:r>
        <w:rPr>
          <w:b/>
          <w:i/>
          <w:position w:val="9"/>
          <w:sz w:val="22"/>
        </w:rPr>
        <w:t>Lloyd</w:t>
      </w:r>
      <w:r>
        <w:rPr>
          <w:b/>
          <w:i/>
          <w:position w:val="9"/>
          <w:sz w:val="22"/>
        </w:rPr>
        <w:t> </w:t>
      </w:r>
      <w:r>
        <w:rPr>
          <w:b/>
          <w:i/>
          <w:sz w:val="22"/>
        </w:rPr>
        <w:t>(Swansea</w:t>
      </w:r>
      <w:r>
        <w:rPr>
          <w:b/>
          <w:i/>
          <w:spacing w:val="-2"/>
          <w:sz w:val="22"/>
        </w:rPr>
        <w:t> </w:t>
      </w:r>
      <w:r>
        <w:rPr>
          <w:b/>
          <w:i/>
          <w:sz w:val="22"/>
        </w:rPr>
        <w:t>Bay</w:t>
      </w:r>
      <w:r>
        <w:rPr>
          <w:b/>
          <w:i/>
          <w:spacing w:val="-2"/>
          <w:sz w:val="22"/>
        </w:rPr>
        <w:t> </w:t>
      </w:r>
      <w:r>
        <w:rPr>
          <w:b/>
          <w:i/>
          <w:sz w:val="22"/>
        </w:rPr>
        <w:t>UHB </w:t>
      </w:r>
      <w:r>
        <w:rPr>
          <w:b/>
          <w:i/>
          <w:spacing w:val="-10"/>
          <w:sz w:val="22"/>
        </w:rPr>
        <w:t>-</w:t>
      </w:r>
    </w:p>
    <w:p>
      <w:pPr>
        <w:spacing w:line="256" w:lineRule="auto" w:before="38"/>
        <w:ind w:left="7520" w:right="1012" w:firstLine="1185"/>
        <w:jc w:val="right"/>
        <w:rPr>
          <w:b/>
          <w:i/>
          <w:sz w:val="22"/>
        </w:rPr>
      </w:pPr>
      <w:r>
        <w:rPr>
          <w:b/>
          <w:i/>
          <w:spacing w:val="-2"/>
          <w:sz w:val="22"/>
        </w:rPr>
        <w:t>Corporate</w:t>
      </w:r>
      <w:r>
        <w:rPr>
          <w:b/>
          <w:i/>
          <w:spacing w:val="-2"/>
          <w:sz w:val="22"/>
        </w:rPr>
        <w:t> </w:t>
      </w:r>
      <w:r>
        <w:rPr>
          <w:b/>
          <w:i/>
          <w:sz w:val="22"/>
        </w:rPr>
        <w:t>Governance),</w:t>
      </w:r>
      <w:r>
        <w:rPr>
          <w:b/>
          <w:i/>
          <w:spacing w:val="-16"/>
          <w:sz w:val="22"/>
        </w:rPr>
        <w:t> </w:t>
      </w:r>
      <w:r>
        <w:rPr>
          <w:b/>
          <w:i/>
          <w:sz w:val="22"/>
        </w:rPr>
        <w:t>Joanne Wilson (Hywel Dda UHB - Director of</w:t>
      </w:r>
    </w:p>
    <w:p>
      <w:pPr>
        <w:spacing w:line="261" w:lineRule="auto" w:before="8"/>
        <w:ind w:left="7785" w:right="1010" w:firstLine="920"/>
        <w:jc w:val="right"/>
        <w:rPr>
          <w:b/>
          <w:i/>
          <w:sz w:val="22"/>
        </w:rPr>
      </w:pPr>
      <w:r>
        <w:rPr>
          <w:b/>
          <w:i/>
          <w:spacing w:val="-2"/>
          <w:sz w:val="22"/>
        </w:rPr>
        <w:t>Corporate</w:t>
      </w:r>
      <w:r>
        <w:rPr>
          <w:b/>
          <w:i/>
          <w:spacing w:val="-2"/>
          <w:sz w:val="22"/>
        </w:rPr>
        <w:t> Governance/Board</w:t>
      </w:r>
    </w:p>
    <w:p>
      <w:pPr>
        <w:spacing w:line="246" w:lineRule="exact" w:before="0"/>
        <w:ind w:left="0" w:right="1011" w:firstLine="0"/>
        <w:jc w:val="right"/>
        <w:rPr>
          <w:b/>
          <w:i/>
          <w:sz w:val="22"/>
        </w:rPr>
      </w:pPr>
      <w:r>
        <w:rPr>
          <w:b/>
          <w:i/>
          <w:spacing w:val="-2"/>
          <w:sz w:val="22"/>
        </w:rPr>
        <w:t>Secretary)</w:t>
      </w:r>
    </w:p>
    <w:p>
      <w:pPr>
        <w:pStyle w:val="BodyText"/>
        <w:spacing w:before="69"/>
        <w:rPr>
          <w:b/>
          <w:i/>
          <w:sz w:val="22"/>
        </w:rPr>
      </w:pPr>
    </w:p>
    <w:p>
      <w:pPr>
        <w:spacing w:before="1"/>
        <w:ind w:left="732" w:right="0" w:firstLine="0"/>
        <w:jc w:val="left"/>
        <w:rPr>
          <w:i/>
          <w:sz w:val="22"/>
        </w:rPr>
      </w:pPr>
      <w:r>
        <w:rPr>
          <w:i/>
          <w:spacing w:val="-2"/>
          <w:sz w:val="22"/>
        </w:rPr>
        <w:t>Verbal</w:t>
      </w:r>
    </w:p>
    <w:p>
      <w:pPr>
        <w:spacing w:after="0"/>
        <w:jc w:val="left"/>
        <w:rPr>
          <w:i/>
          <w:sz w:val="22"/>
        </w:rPr>
        <w:sectPr>
          <w:pgSz w:w="11910" w:h="16840"/>
          <w:pgMar w:header="0" w:footer="149" w:top="1940" w:bottom="340" w:left="708" w:right="425"/>
        </w:sectPr>
      </w:pPr>
    </w:p>
    <w:p>
      <w:pPr>
        <w:pStyle w:val="Heading4"/>
        <w:numPr>
          <w:ilvl w:val="1"/>
          <w:numId w:val="97"/>
        </w:numPr>
        <w:tabs>
          <w:tab w:pos="7505" w:val="left" w:leader="none"/>
        </w:tabs>
        <w:spacing w:line="240" w:lineRule="auto" w:before="198" w:after="0"/>
        <w:ind w:left="7505" w:right="0" w:hanging="6623"/>
        <w:jc w:val="left"/>
        <w:rPr>
          <w:b w:val="0"/>
          <w:position w:val="-8"/>
          <w:sz w:val="36"/>
        </w:rPr>
      </w:pPr>
      <w:r>
        <w:rPr/>
        <w:t>11:55</w:t>
      </w:r>
      <w:r>
        <w:rPr>
          <w:spacing w:val="-4"/>
        </w:rPr>
        <w:t> </w:t>
      </w:r>
      <w:r>
        <w:rPr/>
        <w:t>AM,</w:t>
      </w:r>
      <w:r>
        <w:rPr>
          <w:spacing w:val="2"/>
        </w:rPr>
        <w:t> </w:t>
      </w:r>
      <w:r>
        <w:rPr/>
        <w:t>5</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708672">
                <wp:simplePos x="0" y="0"/>
                <wp:positionH relativeFrom="page">
                  <wp:posOffset>914400</wp:posOffset>
                </wp:positionH>
                <wp:positionV relativeFrom="paragraph">
                  <wp:posOffset>262302</wp:posOffset>
                </wp:positionV>
                <wp:extent cx="5730875" cy="6350"/>
                <wp:effectExtent l="0" t="0" r="0" b="0"/>
                <wp:wrapTopAndBottom/>
                <wp:docPr id="584" name="Graphic 584"/>
                <wp:cNvGraphicFramePr>
                  <a:graphicFrameLocks/>
                </wp:cNvGraphicFramePr>
                <a:graphic>
                  <a:graphicData uri="http://schemas.microsoft.com/office/word/2010/wordprocessingShape">
                    <wps:wsp>
                      <wps:cNvPr id="584" name="Graphic 584"/>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607808;mso-wrap-distance-left:0;mso-wrap-distance-right:0" id="docshape358"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pgSz w:w="11910" w:h="16840"/>
          <w:pgMar w:header="0" w:footer="149" w:top="1940" w:bottom="340" w:left="708" w:right="425"/>
        </w:sectPr>
      </w:pPr>
    </w:p>
    <w:p>
      <w:pPr>
        <w:pStyle w:val="Heading2"/>
        <w:numPr>
          <w:ilvl w:val="1"/>
          <w:numId w:val="98"/>
        </w:numPr>
        <w:tabs>
          <w:tab w:pos="1270" w:val="left" w:leader="none"/>
        </w:tabs>
        <w:spacing w:line="261" w:lineRule="auto" w:before="90" w:after="0"/>
        <w:ind w:left="732" w:right="0" w:firstLine="0"/>
        <w:jc w:val="left"/>
      </w:pPr>
      <w:bookmarkStart w:name="7.3 - RJC/43: RJC Internal Audit Report " w:id="72"/>
      <w:bookmarkEnd w:id="72"/>
      <w:r>
        <w:rPr/>
      </w:r>
      <w:r>
        <w:rPr/>
        <w:t>-</w:t>
      </w:r>
      <w:r>
        <w:rPr>
          <w:spacing w:val="-8"/>
        </w:rPr>
        <w:t> </w:t>
      </w:r>
      <w:r>
        <w:rPr/>
        <w:t>RJC/43:</w:t>
      </w:r>
      <w:r>
        <w:rPr>
          <w:spacing w:val="-7"/>
        </w:rPr>
        <w:t> </w:t>
      </w:r>
      <w:r>
        <w:rPr/>
        <w:t>RJC</w:t>
      </w:r>
      <w:r>
        <w:rPr>
          <w:spacing w:val="-8"/>
        </w:rPr>
        <w:t> </w:t>
      </w:r>
      <w:r>
        <w:rPr/>
        <w:t>Internal</w:t>
      </w:r>
      <w:r>
        <w:rPr>
          <w:spacing w:val="-8"/>
        </w:rPr>
        <w:t> </w:t>
      </w:r>
      <w:r>
        <w:rPr/>
        <w:t>Audit</w:t>
      </w:r>
      <w:r>
        <w:rPr>
          <w:spacing w:val="-7"/>
        </w:rPr>
        <w:t> </w:t>
      </w:r>
      <w:r>
        <w:rPr/>
        <w:t>Report</w:t>
      </w:r>
      <w:r>
        <w:rPr>
          <w:spacing w:val="-7"/>
        </w:rPr>
        <w:t> </w:t>
      </w:r>
      <w:r>
        <w:rPr/>
        <w:t>and </w:t>
      </w:r>
      <w:r>
        <w:rPr>
          <w:spacing w:val="-2"/>
        </w:rPr>
        <w:t>Response</w:t>
      </w:r>
    </w:p>
    <w:p>
      <w:pPr>
        <w:spacing w:line="261" w:lineRule="auto" w:before="93"/>
        <w:ind w:left="589" w:right="39" w:firstLine="930"/>
        <w:jc w:val="left"/>
        <w:rPr>
          <w:b/>
          <w:i/>
          <w:sz w:val="22"/>
        </w:rPr>
      </w:pPr>
      <w:r>
        <w:rPr/>
        <w:br w:type="column"/>
      </w:r>
      <w:r>
        <w:rPr>
          <w:b/>
          <w:i/>
          <w:sz w:val="22"/>
        </w:rPr>
        <w:t>Hazel</w:t>
      </w:r>
      <w:r>
        <w:rPr>
          <w:b/>
          <w:i/>
          <w:spacing w:val="-16"/>
          <w:sz w:val="22"/>
        </w:rPr>
        <w:t> </w:t>
      </w:r>
      <w:r>
        <w:rPr>
          <w:b/>
          <w:i/>
          <w:sz w:val="22"/>
        </w:rPr>
        <w:t>Lloyd</w:t>
      </w:r>
      <w:r>
        <w:rPr>
          <w:b/>
          <w:i/>
          <w:sz w:val="22"/>
        </w:rPr>
        <w:t> (Swansea</w:t>
      </w:r>
      <w:r>
        <w:rPr>
          <w:b/>
          <w:i/>
          <w:spacing w:val="-4"/>
          <w:sz w:val="22"/>
        </w:rPr>
        <w:t> </w:t>
      </w:r>
      <w:r>
        <w:rPr>
          <w:b/>
          <w:i/>
          <w:sz w:val="22"/>
        </w:rPr>
        <w:t>Bay</w:t>
      </w:r>
      <w:r>
        <w:rPr>
          <w:b/>
          <w:i/>
          <w:spacing w:val="-2"/>
          <w:sz w:val="22"/>
        </w:rPr>
        <w:t> </w:t>
      </w:r>
      <w:r>
        <w:rPr>
          <w:b/>
          <w:i/>
          <w:sz w:val="22"/>
        </w:rPr>
        <w:t>UHB </w:t>
      </w:r>
      <w:r>
        <w:rPr>
          <w:b/>
          <w:i/>
          <w:spacing w:val="-10"/>
          <w:sz w:val="22"/>
        </w:rPr>
        <w:t>-</w:t>
      </w:r>
    </w:p>
    <w:p>
      <w:pPr>
        <w:spacing w:line="256" w:lineRule="auto" w:before="0"/>
        <w:ind w:left="504" w:right="1012" w:firstLine="1185"/>
        <w:jc w:val="right"/>
        <w:rPr>
          <w:b/>
          <w:i/>
          <w:sz w:val="22"/>
        </w:rPr>
      </w:pPr>
      <w:r>
        <w:rPr>
          <w:b/>
          <w:i/>
          <w:spacing w:val="-2"/>
          <w:sz w:val="22"/>
        </w:rPr>
        <w:t>Corporate</w:t>
      </w:r>
      <w:r>
        <w:rPr>
          <w:b/>
          <w:i/>
          <w:spacing w:val="-2"/>
          <w:sz w:val="22"/>
        </w:rPr>
        <w:t> </w:t>
      </w:r>
      <w:r>
        <w:rPr>
          <w:b/>
          <w:i/>
          <w:sz w:val="22"/>
        </w:rPr>
        <w:t>Governance),</w:t>
      </w:r>
      <w:r>
        <w:rPr>
          <w:b/>
          <w:i/>
          <w:spacing w:val="-16"/>
          <w:sz w:val="22"/>
        </w:rPr>
        <w:t> </w:t>
      </w:r>
      <w:r>
        <w:rPr>
          <w:b/>
          <w:i/>
          <w:sz w:val="22"/>
        </w:rPr>
        <w:t>Joanne Wilson (Hywel Dda UHB - Director of</w:t>
      </w:r>
    </w:p>
    <w:p>
      <w:pPr>
        <w:spacing w:line="261" w:lineRule="auto" w:before="7"/>
        <w:ind w:left="769" w:right="1010" w:firstLine="920"/>
        <w:jc w:val="right"/>
        <w:rPr>
          <w:b/>
          <w:i/>
          <w:sz w:val="22"/>
        </w:rPr>
      </w:pPr>
      <w:r>
        <w:rPr>
          <w:b/>
          <w:i/>
          <w:spacing w:val="-2"/>
          <w:sz w:val="22"/>
        </w:rPr>
        <w:t>Corporate</w:t>
      </w:r>
      <w:r>
        <w:rPr>
          <w:b/>
          <w:i/>
          <w:spacing w:val="-2"/>
          <w:sz w:val="22"/>
        </w:rPr>
        <w:t> Governance/Board</w:t>
      </w:r>
    </w:p>
    <w:p>
      <w:pPr>
        <w:spacing w:line="246" w:lineRule="exact" w:before="0"/>
        <w:ind w:left="0" w:right="1011" w:firstLine="0"/>
        <w:jc w:val="right"/>
        <w:rPr>
          <w:b/>
          <w:i/>
          <w:sz w:val="22"/>
        </w:rPr>
      </w:pPr>
      <w:r>
        <w:rPr>
          <w:b/>
          <w:i/>
          <w:spacing w:val="-2"/>
          <w:sz w:val="22"/>
        </w:rPr>
        <w:t>Secretary)</w:t>
      </w:r>
    </w:p>
    <w:p>
      <w:pPr>
        <w:spacing w:after="0" w:line="246" w:lineRule="exact"/>
        <w:jc w:val="right"/>
        <w:rPr>
          <w:b/>
          <w:i/>
          <w:sz w:val="22"/>
        </w:rPr>
        <w:sectPr>
          <w:type w:val="continuous"/>
          <w:pgSz w:w="11910" w:h="16840"/>
          <w:pgMar w:header="0" w:footer="149" w:top="760" w:bottom="280" w:left="708" w:right="425"/>
          <w:cols w:num="2" w:equalWidth="0">
            <w:col w:w="6977" w:space="40"/>
            <w:col w:w="3760"/>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62"/>
        <w:rPr>
          <w:b/>
          <w:i/>
          <w:sz w:val="22"/>
        </w:rPr>
      </w:pPr>
    </w:p>
    <w:p>
      <w:pPr>
        <w:spacing w:before="0"/>
        <w:ind w:left="732" w:right="0" w:firstLine="0"/>
        <w:jc w:val="left"/>
        <w:rPr>
          <w:b/>
          <w:sz w:val="22"/>
        </w:rPr>
      </w:pPr>
      <w:r>
        <w:rPr>
          <w:b/>
          <w:spacing w:val="-2"/>
          <w:sz w:val="22"/>
        </w:rPr>
        <w:t>Attachments</w:t>
      </w:r>
    </w:p>
    <w:p>
      <w:pPr>
        <w:spacing w:before="180"/>
        <w:ind w:left="732" w:right="0" w:firstLine="0"/>
        <w:jc w:val="left"/>
        <w:rPr>
          <w:sz w:val="18"/>
        </w:rPr>
      </w:pPr>
      <w:r>
        <w:rPr>
          <w:sz w:val="18"/>
          <w:u w:val="single"/>
        </w:rPr>
        <w:t>RJC</w:t>
      </w:r>
      <w:r>
        <w:rPr>
          <w:spacing w:val="-1"/>
          <w:sz w:val="18"/>
          <w:u w:val="single"/>
        </w:rPr>
        <w:t> </w:t>
      </w:r>
      <w:r>
        <w:rPr>
          <w:sz w:val="18"/>
          <w:u w:val="single"/>
        </w:rPr>
        <w:t>43a</w:t>
      </w:r>
      <w:r>
        <w:rPr>
          <w:spacing w:val="-1"/>
          <w:sz w:val="18"/>
          <w:u w:val="single"/>
        </w:rPr>
        <w:t> </w:t>
      </w:r>
      <w:r>
        <w:rPr>
          <w:sz w:val="18"/>
          <w:u w:val="single"/>
        </w:rPr>
        <w:t>IA Advisory Review</w:t>
      </w:r>
      <w:r>
        <w:rPr>
          <w:spacing w:val="-1"/>
          <w:sz w:val="18"/>
          <w:u w:val="single"/>
        </w:rPr>
        <w:t> </w:t>
      </w:r>
      <w:r>
        <w:rPr>
          <w:sz w:val="18"/>
          <w:u w:val="single"/>
        </w:rPr>
        <w:t>SBAR </w:t>
      </w:r>
      <w:r>
        <w:rPr>
          <w:spacing w:val="-2"/>
          <w:sz w:val="18"/>
          <w:u w:val="single"/>
        </w:rPr>
        <w:t>Report.pdf</w:t>
      </w:r>
    </w:p>
    <w:p>
      <w:pPr>
        <w:spacing w:line="446" w:lineRule="auto" w:before="173"/>
        <w:ind w:left="732" w:right="3656" w:firstLine="0"/>
        <w:jc w:val="left"/>
        <w:rPr>
          <w:sz w:val="18"/>
        </w:rPr>
      </w:pPr>
      <w:r>
        <w:rPr>
          <w:sz w:val="18"/>
          <w:u w:val="single"/>
        </w:rPr>
        <w:t>RJC</w:t>
      </w:r>
      <w:r>
        <w:rPr>
          <w:spacing w:val="-4"/>
          <w:sz w:val="18"/>
          <w:u w:val="single"/>
        </w:rPr>
        <w:t> </w:t>
      </w:r>
      <w:r>
        <w:rPr>
          <w:sz w:val="18"/>
          <w:u w:val="single"/>
        </w:rPr>
        <w:t>43b</w:t>
      </w:r>
      <w:r>
        <w:rPr>
          <w:spacing w:val="-5"/>
          <w:sz w:val="18"/>
          <w:u w:val="single"/>
        </w:rPr>
        <w:t> </w:t>
      </w:r>
      <w:r>
        <w:rPr>
          <w:sz w:val="18"/>
          <w:u w:val="single"/>
        </w:rPr>
        <w:t>RJC</w:t>
      </w:r>
      <w:r>
        <w:rPr>
          <w:spacing w:val="-4"/>
          <w:sz w:val="18"/>
          <w:u w:val="single"/>
        </w:rPr>
        <w:t> </w:t>
      </w:r>
      <w:r>
        <w:rPr>
          <w:sz w:val="18"/>
          <w:u w:val="single"/>
        </w:rPr>
        <w:t>Governance</w:t>
      </w:r>
      <w:r>
        <w:rPr>
          <w:spacing w:val="-4"/>
          <w:sz w:val="18"/>
          <w:u w:val="single"/>
        </w:rPr>
        <w:t> </w:t>
      </w:r>
      <w:r>
        <w:rPr>
          <w:sz w:val="18"/>
          <w:u w:val="single"/>
        </w:rPr>
        <w:t>Arrangements</w:t>
      </w:r>
      <w:r>
        <w:rPr>
          <w:spacing w:val="-4"/>
          <w:sz w:val="18"/>
          <w:u w:val="single"/>
        </w:rPr>
        <w:t> </w:t>
      </w:r>
      <w:r>
        <w:rPr>
          <w:sz w:val="18"/>
          <w:u w:val="single"/>
        </w:rPr>
        <w:t>Final</w:t>
      </w:r>
      <w:r>
        <w:rPr>
          <w:spacing w:val="-4"/>
          <w:sz w:val="18"/>
          <w:u w:val="single"/>
        </w:rPr>
        <w:t> </w:t>
      </w:r>
      <w:r>
        <w:rPr>
          <w:sz w:val="18"/>
          <w:u w:val="single"/>
        </w:rPr>
        <w:t>Advisory</w:t>
      </w:r>
      <w:r>
        <w:rPr>
          <w:spacing w:val="-5"/>
          <w:sz w:val="18"/>
          <w:u w:val="single"/>
        </w:rPr>
        <w:t> </w:t>
      </w:r>
      <w:r>
        <w:rPr>
          <w:sz w:val="18"/>
          <w:u w:val="single"/>
        </w:rPr>
        <w:t>Report</w:t>
      </w:r>
      <w:r>
        <w:rPr>
          <w:spacing w:val="-4"/>
          <w:sz w:val="18"/>
          <w:u w:val="single"/>
        </w:rPr>
        <w:t> </w:t>
      </w:r>
      <w:r>
        <w:rPr>
          <w:sz w:val="18"/>
          <w:u w:val="single"/>
        </w:rPr>
        <w:t>2025-26.pdf</w:t>
      </w:r>
      <w:r>
        <w:rPr>
          <w:sz w:val="18"/>
          <w:u w:val="none"/>
        </w:rPr>
        <w:t> </w:t>
      </w:r>
      <w:r>
        <w:rPr>
          <w:sz w:val="18"/>
          <w:u w:val="single"/>
        </w:rPr>
        <w:t>RJC 43c IA RJC Governance Management Response.pdf</w:t>
      </w:r>
    </w:p>
    <w:p>
      <w:pPr>
        <w:spacing w:after="0" w:line="446" w:lineRule="auto"/>
        <w:jc w:val="left"/>
        <w:rPr>
          <w:sz w:val="18"/>
        </w:rPr>
        <w:sectPr>
          <w:type w:val="continuous"/>
          <w:pgSz w:w="11910" w:h="16840"/>
          <w:pgMar w:header="0" w:footer="149" w:top="760" w:bottom="28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585" name="Image 585"/>
            <wp:cNvGraphicFramePr>
              <a:graphicFrameLocks/>
            </wp:cNvGraphicFramePr>
            <a:graphic>
              <a:graphicData uri="http://schemas.openxmlformats.org/drawingml/2006/picture">
                <pic:pic>
                  <pic:nvPicPr>
                    <pic:cNvPr id="585" name="Image 585"/>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586" name="Image 586"/>
            <wp:cNvGraphicFramePr>
              <a:graphicFrameLocks/>
            </wp:cNvGraphicFramePr>
            <a:graphic>
              <a:graphicData uri="http://schemas.openxmlformats.org/drawingml/2006/picture">
                <pic:pic>
                  <pic:nvPicPr>
                    <pic:cNvPr id="586" name="Image 586"/>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p>
      <w:pPr>
        <w:pStyle w:val="BodyText"/>
        <w:spacing w:before="100"/>
        <w:rPr>
          <w:sz w:val="20"/>
        </w:rPr>
      </w:pP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645" w:hRule="atLeast"/>
        </w:trPr>
        <w:tc>
          <w:tcPr>
            <w:tcW w:w="10069" w:type="dxa"/>
            <w:shd w:val="clear" w:color="auto" w:fill="394871"/>
          </w:tcPr>
          <w:p>
            <w:pPr>
              <w:pStyle w:val="TableParagraph"/>
              <w:spacing w:before="30"/>
              <w:ind w:left="580"/>
              <w:rPr>
                <w:b/>
                <w:sz w:val="24"/>
              </w:rPr>
            </w:pPr>
            <w:bookmarkStart w:name="Attachments" w:id="73"/>
            <w:bookmarkEnd w:id="73"/>
            <w:r>
              <w:rPr/>
            </w:r>
            <w:bookmarkStart w:name="RJC 43a IA Advisory Review SBAR Report" w:id="74"/>
            <w:bookmarkEnd w:id="74"/>
            <w:r>
              <w:rPr/>
            </w:r>
            <w:r>
              <w:rPr>
                <w:b/>
                <w:color w:val="FFFFFF"/>
                <w:spacing w:val="-2"/>
                <w:sz w:val="24"/>
              </w:rPr>
              <w:t>JOINT</w:t>
            </w:r>
            <w:r>
              <w:rPr>
                <w:b/>
                <w:color w:val="FFFFFF"/>
                <w:spacing w:val="-17"/>
                <w:sz w:val="24"/>
              </w:rPr>
              <w:t> </w:t>
            </w:r>
            <w:r>
              <w:rPr>
                <w:b/>
                <w:color w:val="FFFFFF"/>
                <w:spacing w:val="-2"/>
                <w:sz w:val="24"/>
              </w:rPr>
              <w:t>HYWEL</w:t>
            </w:r>
            <w:r>
              <w:rPr>
                <w:b/>
                <w:color w:val="FFFFFF"/>
                <w:spacing w:val="-15"/>
                <w:sz w:val="24"/>
              </w:rPr>
              <w:t> </w:t>
            </w:r>
            <w:r>
              <w:rPr>
                <w:b/>
                <w:color w:val="FFFFFF"/>
                <w:spacing w:val="-2"/>
                <w:sz w:val="24"/>
              </w:rPr>
              <w:t>DDA/SWANSEA</w:t>
            </w:r>
            <w:r>
              <w:rPr>
                <w:b/>
                <w:color w:val="FFFFFF"/>
                <w:spacing w:val="-14"/>
                <w:sz w:val="24"/>
              </w:rPr>
              <w:t> </w:t>
            </w:r>
            <w:r>
              <w:rPr>
                <w:b/>
                <w:color w:val="FFFFFF"/>
                <w:spacing w:val="-2"/>
                <w:sz w:val="24"/>
              </w:rPr>
              <w:t>BAY</w:t>
            </w:r>
            <w:r>
              <w:rPr>
                <w:b/>
                <w:color w:val="FFFFFF"/>
                <w:spacing w:val="-15"/>
                <w:sz w:val="24"/>
              </w:rPr>
              <w:t> </w:t>
            </w:r>
            <w:r>
              <w:rPr>
                <w:b/>
                <w:color w:val="FFFFFF"/>
                <w:spacing w:val="-2"/>
                <w:sz w:val="24"/>
              </w:rPr>
              <w:t>UNIVERSITY</w:t>
            </w:r>
            <w:r>
              <w:rPr>
                <w:b/>
                <w:color w:val="FFFFFF"/>
                <w:spacing w:val="-15"/>
                <w:sz w:val="24"/>
              </w:rPr>
              <w:t> </w:t>
            </w:r>
            <w:r>
              <w:rPr>
                <w:b/>
                <w:color w:val="FFFFFF"/>
                <w:spacing w:val="-2"/>
                <w:sz w:val="24"/>
              </w:rPr>
              <w:t>HEALTH</w:t>
            </w:r>
            <w:r>
              <w:rPr>
                <w:b/>
                <w:color w:val="FFFFFF"/>
                <w:spacing w:val="-12"/>
                <w:sz w:val="24"/>
              </w:rPr>
              <w:t> </w:t>
            </w:r>
            <w:r>
              <w:rPr>
                <w:b/>
                <w:color w:val="FFFFFF"/>
                <w:spacing w:val="-2"/>
                <w:sz w:val="24"/>
              </w:rPr>
              <w:t>BOARD</w:t>
            </w:r>
            <w:r>
              <w:rPr>
                <w:b/>
                <w:color w:val="FFFFFF"/>
                <w:spacing w:val="-12"/>
                <w:sz w:val="24"/>
              </w:rPr>
              <w:t> </w:t>
            </w:r>
            <w:r>
              <w:rPr>
                <w:b/>
                <w:color w:val="FFFFFF"/>
                <w:spacing w:val="-2"/>
                <w:sz w:val="24"/>
              </w:rPr>
              <w:t>COMMITTEE</w:t>
            </w:r>
          </w:p>
          <w:p>
            <w:pPr>
              <w:pStyle w:val="TableParagraph"/>
              <w:spacing w:line="270" w:lineRule="exact" w:before="49"/>
              <w:ind w:left="655"/>
              <w:rPr>
                <w:b/>
                <w:sz w:val="24"/>
              </w:rPr>
            </w:pPr>
            <w:r>
              <w:rPr>
                <w:b/>
                <w:color w:val="FFFFFF"/>
                <w:spacing w:val="-2"/>
                <w:sz w:val="24"/>
              </w:rPr>
              <w:t>CYD-BWRDD</w:t>
            </w:r>
            <w:r>
              <w:rPr>
                <w:b/>
                <w:color w:val="FFFFFF"/>
                <w:spacing w:val="-17"/>
                <w:sz w:val="24"/>
              </w:rPr>
              <w:t> </w:t>
            </w:r>
            <w:r>
              <w:rPr>
                <w:b/>
                <w:color w:val="FFFFFF"/>
                <w:spacing w:val="-2"/>
                <w:sz w:val="24"/>
              </w:rPr>
              <w:t>IECHYD</w:t>
            </w:r>
            <w:r>
              <w:rPr>
                <w:b/>
                <w:color w:val="FFFFFF"/>
                <w:spacing w:val="-15"/>
                <w:sz w:val="24"/>
              </w:rPr>
              <w:t> </w:t>
            </w:r>
            <w:r>
              <w:rPr>
                <w:b/>
                <w:color w:val="FFFFFF"/>
                <w:spacing w:val="-2"/>
                <w:sz w:val="24"/>
              </w:rPr>
              <w:t>PRIFYSGOL</w:t>
            </w:r>
            <w:r>
              <w:rPr>
                <w:b/>
                <w:color w:val="FFFFFF"/>
                <w:spacing w:val="-14"/>
                <w:sz w:val="24"/>
              </w:rPr>
              <w:t> </w:t>
            </w:r>
            <w:r>
              <w:rPr>
                <w:b/>
                <w:color w:val="FFFFFF"/>
                <w:spacing w:val="-2"/>
                <w:sz w:val="24"/>
              </w:rPr>
              <w:t>HYWEL</w:t>
            </w:r>
            <w:r>
              <w:rPr>
                <w:b/>
                <w:color w:val="FFFFFF"/>
                <w:spacing w:val="-15"/>
                <w:sz w:val="24"/>
              </w:rPr>
              <w:t> </w:t>
            </w:r>
            <w:r>
              <w:rPr>
                <w:b/>
                <w:color w:val="FFFFFF"/>
                <w:spacing w:val="-2"/>
                <w:sz w:val="24"/>
              </w:rPr>
              <w:t>DDA/BAE</w:t>
            </w:r>
            <w:r>
              <w:rPr>
                <w:b/>
                <w:color w:val="FFFFFF"/>
                <w:spacing w:val="-15"/>
                <w:sz w:val="24"/>
              </w:rPr>
              <w:t> </w:t>
            </w:r>
            <w:r>
              <w:rPr>
                <w:b/>
                <w:color w:val="FFFFFF"/>
                <w:spacing w:val="-2"/>
                <w:sz w:val="24"/>
              </w:rPr>
              <w:t>ABERTAWE</w:t>
            </w:r>
            <w:r>
              <w:rPr>
                <w:b/>
                <w:color w:val="FFFFFF"/>
                <w:spacing w:val="-14"/>
                <w:sz w:val="24"/>
              </w:rPr>
              <w:t> </w:t>
            </w:r>
            <w:r>
              <w:rPr>
                <w:b/>
                <w:color w:val="FFFFFF"/>
                <w:spacing w:val="-2"/>
                <w:sz w:val="24"/>
              </w:rPr>
              <w:t>PWYLLGOR</w:t>
            </w:r>
          </w:p>
        </w:tc>
      </w:tr>
    </w:tbl>
    <w:p>
      <w:pPr>
        <w:pStyle w:val="BodyText"/>
        <w:spacing w:before="45"/>
        <w:rPr>
          <w:sz w:val="20"/>
        </w:rPr>
      </w:pP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2"/>
        <w:gridCol w:w="6098"/>
      </w:tblGrid>
      <w:tr>
        <w:trPr>
          <w:trHeight w:val="615" w:hRule="atLeast"/>
        </w:trPr>
        <w:tc>
          <w:tcPr>
            <w:tcW w:w="3972" w:type="dxa"/>
            <w:shd w:val="clear" w:color="auto" w:fill="C1A875"/>
          </w:tcPr>
          <w:p>
            <w:pPr>
              <w:pStyle w:val="TableParagraph"/>
              <w:spacing w:line="242" w:lineRule="auto" w:before="30"/>
              <w:ind w:left="110" w:right="1082"/>
              <w:rPr>
                <w:b/>
                <w:sz w:val="24"/>
              </w:rPr>
            </w:pPr>
            <w:r>
              <w:rPr>
                <w:b/>
                <w:spacing w:val="-4"/>
                <w:sz w:val="24"/>
              </w:rPr>
              <w:t>DYDDIAD</w:t>
            </w:r>
            <w:r>
              <w:rPr>
                <w:b/>
                <w:spacing w:val="-13"/>
                <w:sz w:val="24"/>
              </w:rPr>
              <w:t> </w:t>
            </w:r>
            <w:r>
              <w:rPr>
                <w:b/>
                <w:spacing w:val="-4"/>
                <w:sz w:val="24"/>
              </w:rPr>
              <w:t>Y</w:t>
            </w:r>
            <w:r>
              <w:rPr>
                <w:b/>
                <w:spacing w:val="-13"/>
                <w:sz w:val="24"/>
              </w:rPr>
              <w:t> </w:t>
            </w:r>
            <w:r>
              <w:rPr>
                <w:b/>
                <w:spacing w:val="-4"/>
                <w:sz w:val="24"/>
              </w:rPr>
              <w:t>CYFARFOD: </w:t>
            </w:r>
            <w:r>
              <w:rPr>
                <w:b/>
                <w:sz w:val="24"/>
              </w:rPr>
              <w:t>DATE OF MEETING:</w:t>
            </w:r>
          </w:p>
        </w:tc>
        <w:tc>
          <w:tcPr>
            <w:tcW w:w="6098" w:type="dxa"/>
          </w:tcPr>
          <w:p>
            <w:pPr>
              <w:pStyle w:val="TableParagraph"/>
              <w:ind w:left="109"/>
              <w:rPr>
                <w:sz w:val="24"/>
              </w:rPr>
            </w:pPr>
            <w:r>
              <w:rPr>
                <w:spacing w:val="-2"/>
                <w:sz w:val="24"/>
              </w:rPr>
              <w:t>13</w:t>
            </w:r>
            <w:r>
              <w:rPr>
                <w:spacing w:val="-15"/>
                <w:sz w:val="24"/>
              </w:rPr>
              <w:t> </w:t>
            </w:r>
            <w:r>
              <w:rPr>
                <w:spacing w:val="-2"/>
                <w:sz w:val="24"/>
              </w:rPr>
              <w:t>October</w:t>
            </w:r>
            <w:r>
              <w:rPr>
                <w:spacing w:val="-12"/>
                <w:sz w:val="24"/>
              </w:rPr>
              <w:t> </w:t>
            </w:r>
            <w:r>
              <w:rPr>
                <w:spacing w:val="-4"/>
                <w:sz w:val="24"/>
              </w:rPr>
              <w:t>2026</w:t>
            </w:r>
          </w:p>
        </w:tc>
      </w:tr>
      <w:tr>
        <w:trPr>
          <w:trHeight w:val="615" w:hRule="atLeast"/>
        </w:trPr>
        <w:tc>
          <w:tcPr>
            <w:tcW w:w="3972" w:type="dxa"/>
            <w:shd w:val="clear" w:color="auto" w:fill="C1A875"/>
          </w:tcPr>
          <w:p>
            <w:pPr>
              <w:pStyle w:val="TableParagraph"/>
              <w:spacing w:before="30"/>
              <w:ind w:left="110" w:right="1216"/>
              <w:rPr>
                <w:b/>
                <w:sz w:val="24"/>
              </w:rPr>
            </w:pPr>
            <w:r>
              <w:rPr>
                <w:b/>
                <w:spacing w:val="-2"/>
                <w:sz w:val="24"/>
              </w:rPr>
              <w:t>TEITL</w:t>
            </w:r>
            <w:r>
              <w:rPr>
                <w:b/>
                <w:spacing w:val="-15"/>
                <w:sz w:val="24"/>
              </w:rPr>
              <w:t> </w:t>
            </w:r>
            <w:r>
              <w:rPr>
                <w:b/>
                <w:spacing w:val="-2"/>
                <w:sz w:val="24"/>
              </w:rPr>
              <w:t>YR</w:t>
            </w:r>
            <w:r>
              <w:rPr>
                <w:b/>
                <w:spacing w:val="-15"/>
                <w:sz w:val="24"/>
              </w:rPr>
              <w:t> </w:t>
            </w:r>
            <w:r>
              <w:rPr>
                <w:b/>
                <w:spacing w:val="-2"/>
                <w:sz w:val="24"/>
              </w:rPr>
              <w:t>ADRODDIAD: </w:t>
            </w:r>
            <w:r>
              <w:rPr>
                <w:b/>
                <w:sz w:val="24"/>
              </w:rPr>
              <w:t>TITLE OF REPORT:</w:t>
            </w:r>
          </w:p>
        </w:tc>
        <w:tc>
          <w:tcPr>
            <w:tcW w:w="6098" w:type="dxa"/>
          </w:tcPr>
          <w:p>
            <w:pPr>
              <w:pStyle w:val="TableParagraph"/>
              <w:ind w:left="109" w:right="280"/>
              <w:rPr>
                <w:sz w:val="24"/>
              </w:rPr>
            </w:pPr>
            <w:r>
              <w:rPr>
                <w:spacing w:val="-2"/>
                <w:sz w:val="24"/>
              </w:rPr>
              <w:t>Regional</w:t>
            </w:r>
            <w:r>
              <w:rPr>
                <w:spacing w:val="-15"/>
                <w:sz w:val="24"/>
              </w:rPr>
              <w:t> </w:t>
            </w:r>
            <w:r>
              <w:rPr>
                <w:spacing w:val="-2"/>
                <w:sz w:val="24"/>
              </w:rPr>
              <w:t>Joint</w:t>
            </w:r>
            <w:r>
              <w:rPr>
                <w:spacing w:val="-15"/>
                <w:sz w:val="24"/>
              </w:rPr>
              <w:t> </w:t>
            </w:r>
            <w:r>
              <w:rPr>
                <w:spacing w:val="-2"/>
                <w:sz w:val="24"/>
              </w:rPr>
              <w:t>Committee</w:t>
            </w:r>
            <w:r>
              <w:rPr>
                <w:spacing w:val="-14"/>
                <w:sz w:val="24"/>
              </w:rPr>
              <w:t> </w:t>
            </w:r>
            <w:r>
              <w:rPr>
                <w:spacing w:val="-2"/>
                <w:sz w:val="24"/>
              </w:rPr>
              <w:t>Governance</w:t>
            </w:r>
            <w:r>
              <w:rPr>
                <w:spacing w:val="-15"/>
                <w:sz w:val="24"/>
              </w:rPr>
              <w:t> </w:t>
            </w:r>
            <w:r>
              <w:rPr>
                <w:spacing w:val="-2"/>
                <w:sz w:val="24"/>
              </w:rPr>
              <w:t>Arrangements</w:t>
            </w:r>
            <w:r>
              <w:rPr>
                <w:spacing w:val="-15"/>
                <w:sz w:val="24"/>
              </w:rPr>
              <w:t> </w:t>
            </w:r>
            <w:r>
              <w:rPr>
                <w:spacing w:val="-2"/>
                <w:sz w:val="24"/>
              </w:rPr>
              <w:t>- </w:t>
            </w:r>
            <w:r>
              <w:rPr>
                <w:sz w:val="24"/>
              </w:rPr>
              <w:t>Internal Audit Final Advisory</w:t>
            </w:r>
            <w:r>
              <w:rPr>
                <w:spacing w:val="-1"/>
                <w:sz w:val="24"/>
              </w:rPr>
              <w:t> </w:t>
            </w:r>
            <w:r>
              <w:rPr>
                <w:sz w:val="24"/>
              </w:rPr>
              <w:t>Report</w:t>
            </w:r>
            <w:r>
              <w:rPr>
                <w:spacing w:val="-3"/>
                <w:sz w:val="24"/>
              </w:rPr>
              <w:t> </w:t>
            </w:r>
            <w:r>
              <w:rPr>
                <w:sz w:val="24"/>
              </w:rPr>
              <w:t>2025/26</w:t>
            </w:r>
          </w:p>
        </w:tc>
      </w:tr>
      <w:tr>
        <w:trPr>
          <w:trHeight w:val="895" w:hRule="atLeast"/>
        </w:trPr>
        <w:tc>
          <w:tcPr>
            <w:tcW w:w="3972" w:type="dxa"/>
            <w:shd w:val="clear" w:color="auto" w:fill="C1A875"/>
          </w:tcPr>
          <w:p>
            <w:pPr>
              <w:pStyle w:val="TableParagraph"/>
              <w:spacing w:line="244" w:lineRule="auto" w:before="170"/>
              <w:ind w:left="110"/>
              <w:rPr>
                <w:b/>
                <w:sz w:val="24"/>
              </w:rPr>
            </w:pPr>
            <w:r>
              <w:rPr>
                <w:b/>
                <w:spacing w:val="-4"/>
                <w:sz w:val="24"/>
              </w:rPr>
              <w:t>CYFARWYDDWR</w:t>
            </w:r>
            <w:r>
              <w:rPr>
                <w:b/>
                <w:spacing w:val="-13"/>
                <w:sz w:val="24"/>
              </w:rPr>
              <w:t> </w:t>
            </w:r>
            <w:r>
              <w:rPr>
                <w:b/>
                <w:spacing w:val="-4"/>
                <w:sz w:val="24"/>
              </w:rPr>
              <w:t>ARWEINIOL: </w:t>
            </w:r>
            <w:r>
              <w:rPr>
                <w:b/>
                <w:sz w:val="24"/>
              </w:rPr>
              <w:t>LEAD DIRECTOR:</w:t>
            </w:r>
          </w:p>
        </w:tc>
        <w:tc>
          <w:tcPr>
            <w:tcW w:w="6098" w:type="dxa"/>
          </w:tcPr>
          <w:p>
            <w:pPr>
              <w:pStyle w:val="TableParagraph"/>
              <w:ind w:left="109"/>
              <w:rPr>
                <w:sz w:val="24"/>
              </w:rPr>
            </w:pPr>
            <w:r>
              <w:rPr>
                <w:spacing w:val="-4"/>
                <w:sz w:val="24"/>
              </w:rPr>
              <w:t>Joanne Wilson,</w:t>
            </w:r>
            <w:r>
              <w:rPr>
                <w:spacing w:val="-5"/>
                <w:sz w:val="24"/>
              </w:rPr>
              <w:t> </w:t>
            </w:r>
            <w:r>
              <w:rPr>
                <w:spacing w:val="-4"/>
                <w:sz w:val="24"/>
              </w:rPr>
              <w:t>Director of</w:t>
            </w:r>
            <w:r>
              <w:rPr>
                <w:spacing w:val="-5"/>
                <w:sz w:val="24"/>
              </w:rPr>
              <w:t> </w:t>
            </w:r>
            <w:r>
              <w:rPr>
                <w:spacing w:val="-4"/>
                <w:sz w:val="24"/>
              </w:rPr>
              <w:t>Corporate Governance/Board </w:t>
            </w:r>
            <w:r>
              <w:rPr>
                <w:sz w:val="24"/>
              </w:rPr>
              <w:t>Secretary, HDdUHB</w:t>
            </w:r>
          </w:p>
          <w:p>
            <w:pPr>
              <w:pStyle w:val="TableParagraph"/>
              <w:spacing w:line="275" w:lineRule="exact"/>
              <w:ind w:left="109"/>
              <w:rPr>
                <w:sz w:val="24"/>
              </w:rPr>
            </w:pPr>
            <w:r>
              <w:rPr>
                <w:spacing w:val="-2"/>
                <w:sz w:val="24"/>
              </w:rPr>
              <w:t>Hazel</w:t>
            </w:r>
            <w:r>
              <w:rPr>
                <w:spacing w:val="-15"/>
                <w:sz w:val="24"/>
              </w:rPr>
              <w:t> </w:t>
            </w:r>
            <w:r>
              <w:rPr>
                <w:spacing w:val="-2"/>
                <w:sz w:val="24"/>
              </w:rPr>
              <w:t>Lloyd,</w:t>
            </w:r>
            <w:r>
              <w:rPr>
                <w:spacing w:val="-15"/>
                <w:sz w:val="24"/>
              </w:rPr>
              <w:t> </w:t>
            </w:r>
            <w:r>
              <w:rPr>
                <w:spacing w:val="-2"/>
                <w:sz w:val="24"/>
              </w:rPr>
              <w:t>Director</w:t>
            </w:r>
            <w:r>
              <w:rPr>
                <w:spacing w:val="-14"/>
                <w:sz w:val="24"/>
              </w:rPr>
              <w:t> </w:t>
            </w:r>
            <w:r>
              <w:rPr>
                <w:spacing w:val="-2"/>
                <w:sz w:val="24"/>
              </w:rPr>
              <w:t>of</w:t>
            </w:r>
            <w:r>
              <w:rPr>
                <w:spacing w:val="-15"/>
                <w:sz w:val="24"/>
              </w:rPr>
              <w:t> </w:t>
            </w:r>
            <w:r>
              <w:rPr>
                <w:spacing w:val="-2"/>
                <w:sz w:val="24"/>
              </w:rPr>
              <w:t>Corporate</w:t>
            </w:r>
            <w:r>
              <w:rPr>
                <w:spacing w:val="-15"/>
                <w:sz w:val="24"/>
              </w:rPr>
              <w:t> </w:t>
            </w:r>
            <w:r>
              <w:rPr>
                <w:spacing w:val="-2"/>
                <w:sz w:val="24"/>
              </w:rPr>
              <w:t>Governance,</w:t>
            </w:r>
            <w:r>
              <w:rPr>
                <w:spacing w:val="-12"/>
                <w:sz w:val="24"/>
              </w:rPr>
              <w:t> </w:t>
            </w:r>
            <w:r>
              <w:rPr>
                <w:spacing w:val="-2"/>
                <w:sz w:val="24"/>
              </w:rPr>
              <w:t>SBUHB</w:t>
            </w:r>
          </w:p>
        </w:tc>
      </w:tr>
      <w:tr>
        <w:trPr>
          <w:trHeight w:val="614" w:hRule="atLeast"/>
        </w:trPr>
        <w:tc>
          <w:tcPr>
            <w:tcW w:w="3972" w:type="dxa"/>
            <w:shd w:val="clear" w:color="auto" w:fill="C1A875"/>
          </w:tcPr>
          <w:p>
            <w:pPr>
              <w:pStyle w:val="TableParagraph"/>
              <w:spacing w:line="242" w:lineRule="auto" w:before="30"/>
              <w:ind w:left="110" w:right="1082"/>
              <w:rPr>
                <w:b/>
                <w:sz w:val="24"/>
              </w:rPr>
            </w:pPr>
            <w:r>
              <w:rPr>
                <w:b/>
                <w:sz w:val="24"/>
              </w:rPr>
              <w:t>SWYDDOG ADRODD: </w:t>
            </w:r>
            <w:r>
              <w:rPr>
                <w:b/>
                <w:spacing w:val="-4"/>
                <w:sz w:val="24"/>
              </w:rPr>
              <w:t>REPORTING</w:t>
            </w:r>
            <w:r>
              <w:rPr>
                <w:b/>
                <w:spacing w:val="-13"/>
                <w:sz w:val="24"/>
              </w:rPr>
              <w:t> </w:t>
            </w:r>
            <w:r>
              <w:rPr>
                <w:b/>
                <w:spacing w:val="-4"/>
                <w:sz w:val="24"/>
              </w:rPr>
              <w:t>OFFICER:</w:t>
            </w:r>
          </w:p>
        </w:tc>
        <w:tc>
          <w:tcPr>
            <w:tcW w:w="6098" w:type="dxa"/>
          </w:tcPr>
          <w:p>
            <w:pPr>
              <w:pStyle w:val="TableParagraph"/>
              <w:ind w:left="109"/>
              <w:rPr>
                <w:sz w:val="24"/>
              </w:rPr>
            </w:pPr>
            <w:r>
              <w:rPr>
                <w:spacing w:val="-2"/>
                <w:sz w:val="24"/>
              </w:rPr>
              <w:t>Alison</w:t>
            </w:r>
            <w:r>
              <w:rPr>
                <w:spacing w:val="-15"/>
                <w:sz w:val="24"/>
              </w:rPr>
              <w:t> </w:t>
            </w:r>
            <w:r>
              <w:rPr>
                <w:spacing w:val="-2"/>
                <w:sz w:val="24"/>
              </w:rPr>
              <w:t>Gittins,</w:t>
            </w:r>
            <w:r>
              <w:rPr>
                <w:spacing w:val="-15"/>
                <w:sz w:val="24"/>
              </w:rPr>
              <w:t> </w:t>
            </w:r>
            <w:r>
              <w:rPr>
                <w:spacing w:val="-2"/>
                <w:sz w:val="24"/>
              </w:rPr>
              <w:t>Head</w:t>
            </w:r>
            <w:r>
              <w:rPr>
                <w:spacing w:val="-14"/>
                <w:sz w:val="24"/>
              </w:rPr>
              <w:t> </w:t>
            </w:r>
            <w:r>
              <w:rPr>
                <w:spacing w:val="-2"/>
                <w:sz w:val="24"/>
              </w:rPr>
              <w:t>of</w:t>
            </w:r>
            <w:r>
              <w:rPr>
                <w:spacing w:val="-15"/>
                <w:sz w:val="24"/>
              </w:rPr>
              <w:t> </w:t>
            </w:r>
            <w:r>
              <w:rPr>
                <w:spacing w:val="-2"/>
                <w:sz w:val="24"/>
              </w:rPr>
              <w:t>Special</w:t>
            </w:r>
            <w:r>
              <w:rPr>
                <w:spacing w:val="-15"/>
                <w:sz w:val="24"/>
              </w:rPr>
              <w:t> </w:t>
            </w:r>
            <w:r>
              <w:rPr>
                <w:spacing w:val="-2"/>
                <w:sz w:val="24"/>
              </w:rPr>
              <w:t>Projects,</w:t>
            </w:r>
            <w:r>
              <w:rPr>
                <w:spacing w:val="-15"/>
                <w:sz w:val="24"/>
              </w:rPr>
              <w:t> </w:t>
            </w:r>
            <w:r>
              <w:rPr>
                <w:spacing w:val="-2"/>
                <w:sz w:val="24"/>
              </w:rPr>
              <w:t>Corporate Governance</w:t>
            </w:r>
          </w:p>
        </w:tc>
      </w:tr>
    </w:tbl>
    <w:p>
      <w:pPr>
        <w:pStyle w:val="BodyText"/>
        <w:spacing w:before="47"/>
        <w:rPr>
          <w:sz w:val="20"/>
        </w:rPr>
      </w:pP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5" w:hRule="atLeast"/>
        </w:trPr>
        <w:tc>
          <w:tcPr>
            <w:tcW w:w="10069" w:type="dxa"/>
            <w:shd w:val="clear" w:color="auto" w:fill="394871"/>
          </w:tcPr>
          <w:p>
            <w:pPr>
              <w:pStyle w:val="TableParagraph"/>
              <w:spacing w:line="275" w:lineRule="exact"/>
              <w:ind w:left="110"/>
              <w:rPr>
                <w:sz w:val="24"/>
              </w:rPr>
            </w:pPr>
            <w:r>
              <w:rPr>
                <w:b/>
                <w:color w:val="FFFFFF"/>
                <w:spacing w:val="-2"/>
                <w:sz w:val="24"/>
              </w:rPr>
              <w:t>Pwrpas</w:t>
            </w:r>
            <w:r>
              <w:rPr>
                <w:b/>
                <w:color w:val="FFFFFF"/>
                <w:spacing w:val="-11"/>
                <w:sz w:val="24"/>
              </w:rPr>
              <w:t> </w:t>
            </w:r>
            <w:r>
              <w:rPr>
                <w:b/>
                <w:color w:val="FFFFFF"/>
                <w:spacing w:val="-2"/>
                <w:sz w:val="24"/>
              </w:rPr>
              <w:t>yr</w:t>
            </w:r>
            <w:r>
              <w:rPr>
                <w:b/>
                <w:color w:val="FFFFFF"/>
                <w:spacing w:val="-13"/>
                <w:sz w:val="24"/>
              </w:rPr>
              <w:t> </w:t>
            </w:r>
            <w:r>
              <w:rPr>
                <w:b/>
                <w:color w:val="FFFFFF"/>
                <w:spacing w:val="-2"/>
                <w:sz w:val="24"/>
              </w:rPr>
              <w:t>Adroddiad</w:t>
            </w:r>
            <w:r>
              <w:rPr>
                <w:b/>
                <w:color w:val="FFFFFF"/>
                <w:spacing w:val="-14"/>
                <w:sz w:val="24"/>
              </w:rPr>
              <w:t> </w:t>
            </w:r>
            <w:r>
              <w:rPr>
                <w:color w:val="FFFFFF"/>
                <w:spacing w:val="-2"/>
                <w:sz w:val="24"/>
              </w:rPr>
              <w:t>(dewiswch</w:t>
            </w:r>
            <w:r>
              <w:rPr>
                <w:color w:val="FFFFFF"/>
                <w:spacing w:val="-12"/>
                <w:sz w:val="24"/>
              </w:rPr>
              <w:t> </w:t>
            </w:r>
            <w:r>
              <w:rPr>
                <w:color w:val="FFFFFF"/>
                <w:spacing w:val="-2"/>
                <w:sz w:val="24"/>
              </w:rPr>
              <w:t>fel</w:t>
            </w:r>
            <w:r>
              <w:rPr>
                <w:color w:val="FFFFFF"/>
                <w:spacing w:val="-8"/>
                <w:sz w:val="24"/>
              </w:rPr>
              <w:t> </w:t>
            </w:r>
            <w:r>
              <w:rPr>
                <w:color w:val="FFFFFF"/>
                <w:spacing w:val="-2"/>
                <w:sz w:val="24"/>
              </w:rPr>
              <w:t>yn</w:t>
            </w:r>
            <w:r>
              <w:rPr>
                <w:color w:val="FFFFFF"/>
                <w:spacing w:val="-14"/>
                <w:sz w:val="24"/>
              </w:rPr>
              <w:t> </w:t>
            </w:r>
            <w:r>
              <w:rPr>
                <w:color w:val="FFFFFF"/>
                <w:spacing w:val="-2"/>
                <w:sz w:val="24"/>
              </w:rPr>
              <w:t>addas)</w:t>
            </w:r>
          </w:p>
          <w:p>
            <w:pPr>
              <w:pStyle w:val="TableParagraph"/>
              <w:spacing w:line="260" w:lineRule="exact"/>
              <w:ind w:left="110"/>
              <w:rPr>
                <w:sz w:val="24"/>
              </w:rPr>
            </w:pPr>
            <w:r>
              <w:rPr>
                <w:b/>
                <w:color w:val="FFFFFF"/>
                <w:spacing w:val="-2"/>
                <w:sz w:val="24"/>
              </w:rPr>
              <w:t>Purpose</w:t>
            </w:r>
            <w:r>
              <w:rPr>
                <w:b/>
                <w:color w:val="FFFFFF"/>
                <w:spacing w:val="-10"/>
                <w:sz w:val="24"/>
              </w:rPr>
              <w:t> </w:t>
            </w:r>
            <w:r>
              <w:rPr>
                <w:b/>
                <w:color w:val="FFFFFF"/>
                <w:spacing w:val="-2"/>
                <w:sz w:val="24"/>
              </w:rPr>
              <w:t>of</w:t>
            </w:r>
            <w:r>
              <w:rPr>
                <w:b/>
                <w:color w:val="FFFFFF"/>
                <w:spacing w:val="-11"/>
                <w:sz w:val="24"/>
              </w:rPr>
              <w:t> </w:t>
            </w:r>
            <w:r>
              <w:rPr>
                <w:b/>
                <w:color w:val="FFFFFF"/>
                <w:spacing w:val="-2"/>
                <w:sz w:val="24"/>
              </w:rPr>
              <w:t>the</w:t>
            </w:r>
            <w:r>
              <w:rPr>
                <w:b/>
                <w:color w:val="FFFFFF"/>
                <w:spacing w:val="-14"/>
                <w:sz w:val="24"/>
              </w:rPr>
              <w:t> </w:t>
            </w:r>
            <w:r>
              <w:rPr>
                <w:b/>
                <w:color w:val="FFFFFF"/>
                <w:spacing w:val="-2"/>
                <w:sz w:val="24"/>
              </w:rPr>
              <w:t>Report</w:t>
            </w:r>
            <w:r>
              <w:rPr>
                <w:b/>
                <w:color w:val="FFFFFF"/>
                <w:spacing w:val="-4"/>
                <w:sz w:val="24"/>
              </w:rPr>
              <w:t> </w:t>
            </w:r>
            <w:r>
              <w:rPr>
                <w:color w:val="FFFFFF"/>
                <w:spacing w:val="-2"/>
                <w:sz w:val="24"/>
              </w:rPr>
              <w:t>(select</w:t>
            </w:r>
            <w:r>
              <w:rPr>
                <w:color w:val="FFFFFF"/>
                <w:spacing w:val="-11"/>
                <w:sz w:val="24"/>
              </w:rPr>
              <w:t> </w:t>
            </w:r>
            <w:r>
              <w:rPr>
                <w:color w:val="FFFFFF"/>
                <w:spacing w:val="-2"/>
                <w:sz w:val="24"/>
              </w:rPr>
              <w:t>as</w:t>
            </w:r>
            <w:r>
              <w:rPr>
                <w:color w:val="FFFFFF"/>
                <w:spacing w:val="-14"/>
                <w:sz w:val="24"/>
              </w:rPr>
              <w:t> </w:t>
            </w:r>
            <w:r>
              <w:rPr>
                <w:color w:val="FFFFFF"/>
                <w:spacing w:val="-2"/>
                <w:sz w:val="24"/>
              </w:rPr>
              <w:t>appropriate)</w:t>
            </w:r>
          </w:p>
        </w:tc>
      </w:tr>
      <w:tr>
        <w:trPr>
          <w:trHeight w:val="275" w:hRule="atLeast"/>
        </w:trPr>
        <w:tc>
          <w:tcPr>
            <w:tcW w:w="10069" w:type="dxa"/>
          </w:tcPr>
          <w:p>
            <w:pPr>
              <w:pStyle w:val="TableParagraph"/>
              <w:spacing w:line="255" w:lineRule="exact"/>
              <w:ind w:left="165" w:right="159"/>
              <w:jc w:val="center"/>
              <w:rPr>
                <w:sz w:val="24"/>
              </w:rPr>
            </w:pPr>
            <w:r>
              <w:rPr>
                <w:spacing w:val="-2"/>
                <w:sz w:val="24"/>
              </w:rPr>
              <w:t>Er</w:t>
            </w:r>
            <w:r>
              <w:rPr>
                <w:spacing w:val="-15"/>
                <w:sz w:val="24"/>
              </w:rPr>
              <w:t> </w:t>
            </w:r>
            <w:r>
              <w:rPr>
                <w:spacing w:val="-2"/>
                <w:sz w:val="24"/>
              </w:rPr>
              <w:t>Sicrwydd/For</w:t>
            </w:r>
            <w:r>
              <w:rPr>
                <w:spacing w:val="-14"/>
                <w:sz w:val="24"/>
              </w:rPr>
              <w:t> </w:t>
            </w:r>
            <w:r>
              <w:rPr>
                <w:spacing w:val="-2"/>
                <w:sz w:val="24"/>
              </w:rPr>
              <w:t>Assurance</w:t>
            </w:r>
          </w:p>
        </w:tc>
      </w:tr>
    </w:tbl>
    <w:p>
      <w:pPr>
        <w:pStyle w:val="BodyText"/>
        <w:spacing w:before="45"/>
        <w:rPr>
          <w:sz w:val="20"/>
        </w:rPr>
      </w:pP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550" w:hRule="atLeast"/>
        </w:trPr>
        <w:tc>
          <w:tcPr>
            <w:tcW w:w="10069" w:type="dxa"/>
            <w:shd w:val="clear" w:color="auto" w:fill="394871"/>
          </w:tcPr>
          <w:p>
            <w:pPr>
              <w:pStyle w:val="TableParagraph"/>
              <w:spacing w:line="276" w:lineRule="exact"/>
              <w:ind w:left="110" w:right="7140"/>
              <w:rPr>
                <w:b/>
                <w:sz w:val="24"/>
              </w:rPr>
            </w:pPr>
            <w:r>
              <w:rPr>
                <w:b/>
                <w:color w:val="FFFFFF"/>
                <w:spacing w:val="-4"/>
                <w:sz w:val="24"/>
              </w:rPr>
              <w:t>ADRODDIAD</w:t>
            </w:r>
            <w:r>
              <w:rPr>
                <w:b/>
                <w:color w:val="FFFFFF"/>
                <w:spacing w:val="-13"/>
                <w:sz w:val="24"/>
              </w:rPr>
              <w:t> </w:t>
            </w:r>
            <w:r>
              <w:rPr>
                <w:b/>
                <w:color w:val="FFFFFF"/>
                <w:spacing w:val="-4"/>
                <w:sz w:val="24"/>
              </w:rPr>
              <w:t>SCAA </w:t>
            </w:r>
            <w:r>
              <w:rPr>
                <w:b/>
                <w:color w:val="FFFFFF"/>
                <w:sz w:val="24"/>
              </w:rPr>
              <w:t>SBAR REPORT</w:t>
            </w:r>
          </w:p>
        </w:tc>
      </w:tr>
      <w:tr>
        <w:trPr>
          <w:trHeight w:val="2758" w:hRule="atLeast"/>
        </w:trPr>
        <w:tc>
          <w:tcPr>
            <w:tcW w:w="10069" w:type="dxa"/>
          </w:tcPr>
          <w:p>
            <w:pPr>
              <w:pStyle w:val="TableParagraph"/>
              <w:spacing w:line="274" w:lineRule="exact"/>
              <w:ind w:left="110"/>
              <w:rPr>
                <w:b/>
                <w:sz w:val="24"/>
              </w:rPr>
            </w:pPr>
            <w:r>
              <w:rPr>
                <w:b/>
                <w:color w:val="394871"/>
                <w:spacing w:val="-2"/>
                <w:sz w:val="24"/>
                <w:u w:val="single" w:color="394871"/>
              </w:rPr>
              <w:t>Sefyllfa</w:t>
            </w:r>
            <w:r>
              <w:rPr>
                <w:b/>
                <w:color w:val="394871"/>
                <w:spacing w:val="-12"/>
                <w:sz w:val="24"/>
                <w:u w:val="single" w:color="394871"/>
              </w:rPr>
              <w:t> </w:t>
            </w:r>
            <w:r>
              <w:rPr>
                <w:b/>
                <w:color w:val="394871"/>
                <w:spacing w:val="-2"/>
                <w:sz w:val="24"/>
                <w:u w:val="single" w:color="394871"/>
              </w:rPr>
              <w:t>/</w:t>
            </w:r>
            <w:r>
              <w:rPr>
                <w:b/>
                <w:color w:val="394871"/>
                <w:spacing w:val="-10"/>
                <w:sz w:val="24"/>
                <w:u w:val="single" w:color="394871"/>
              </w:rPr>
              <w:t> </w:t>
            </w:r>
            <w:r>
              <w:rPr>
                <w:b/>
                <w:color w:val="394871"/>
                <w:spacing w:val="-2"/>
                <w:sz w:val="24"/>
                <w:u w:val="single" w:color="394871"/>
              </w:rPr>
              <w:t>Situation</w:t>
            </w:r>
          </w:p>
          <w:p>
            <w:pPr>
              <w:pStyle w:val="TableParagraph"/>
              <w:spacing w:before="3"/>
              <w:rPr>
                <w:sz w:val="24"/>
              </w:rPr>
            </w:pPr>
          </w:p>
          <w:p>
            <w:pPr>
              <w:pStyle w:val="TableParagraph"/>
              <w:ind w:left="110" w:right="227"/>
              <w:rPr>
                <w:sz w:val="24"/>
              </w:rPr>
            </w:pPr>
            <w:r>
              <w:rPr>
                <w:spacing w:val="-2"/>
                <w:sz w:val="24"/>
              </w:rPr>
              <w:t>During</w:t>
            </w:r>
            <w:r>
              <w:rPr>
                <w:spacing w:val="-11"/>
                <w:sz w:val="24"/>
              </w:rPr>
              <w:t> </w:t>
            </w:r>
            <w:r>
              <w:rPr>
                <w:spacing w:val="-2"/>
                <w:sz w:val="24"/>
              </w:rPr>
              <w:t>the</w:t>
            </w:r>
            <w:r>
              <w:rPr>
                <w:spacing w:val="-7"/>
                <w:sz w:val="24"/>
              </w:rPr>
              <w:t> </w:t>
            </w:r>
            <w:r>
              <w:rPr>
                <w:spacing w:val="-2"/>
                <w:sz w:val="24"/>
              </w:rPr>
              <w:t>final</w:t>
            </w:r>
            <w:r>
              <w:rPr>
                <w:spacing w:val="-11"/>
                <w:sz w:val="24"/>
              </w:rPr>
              <w:t> </w:t>
            </w:r>
            <w:r>
              <w:rPr>
                <w:spacing w:val="-2"/>
                <w:sz w:val="24"/>
              </w:rPr>
              <w:t>quarter</w:t>
            </w:r>
            <w:r>
              <w:rPr>
                <w:spacing w:val="-12"/>
                <w:sz w:val="24"/>
              </w:rPr>
              <w:t> </w:t>
            </w:r>
            <w:r>
              <w:rPr>
                <w:spacing w:val="-2"/>
                <w:sz w:val="24"/>
              </w:rPr>
              <w:t>of</w:t>
            </w:r>
            <w:r>
              <w:rPr>
                <w:spacing w:val="-14"/>
                <w:sz w:val="24"/>
              </w:rPr>
              <w:t> </w:t>
            </w:r>
            <w:r>
              <w:rPr>
                <w:spacing w:val="-2"/>
                <w:sz w:val="24"/>
              </w:rPr>
              <w:t>2025/26</w:t>
            </w:r>
            <w:r>
              <w:rPr>
                <w:spacing w:val="-11"/>
                <w:sz w:val="24"/>
              </w:rPr>
              <w:t> </w:t>
            </w:r>
            <w:r>
              <w:rPr>
                <w:spacing w:val="-2"/>
                <w:sz w:val="24"/>
              </w:rPr>
              <w:t>and</w:t>
            </w:r>
            <w:r>
              <w:rPr>
                <w:spacing w:val="-11"/>
                <w:sz w:val="24"/>
              </w:rPr>
              <w:t> </w:t>
            </w:r>
            <w:r>
              <w:rPr>
                <w:spacing w:val="-2"/>
                <w:sz w:val="24"/>
              </w:rPr>
              <w:t>the</w:t>
            </w:r>
            <w:r>
              <w:rPr>
                <w:spacing w:val="-5"/>
                <w:sz w:val="24"/>
              </w:rPr>
              <w:t> </w:t>
            </w:r>
            <w:r>
              <w:rPr>
                <w:spacing w:val="-2"/>
                <w:sz w:val="24"/>
              </w:rPr>
              <w:t>first</w:t>
            </w:r>
            <w:r>
              <w:rPr>
                <w:spacing w:val="-14"/>
                <w:sz w:val="24"/>
              </w:rPr>
              <w:t> </w:t>
            </w:r>
            <w:r>
              <w:rPr>
                <w:spacing w:val="-2"/>
                <w:sz w:val="24"/>
              </w:rPr>
              <w:t>quarter</w:t>
            </w:r>
            <w:r>
              <w:rPr>
                <w:spacing w:val="-12"/>
                <w:sz w:val="24"/>
              </w:rPr>
              <w:t> </w:t>
            </w:r>
            <w:r>
              <w:rPr>
                <w:spacing w:val="-2"/>
                <w:sz w:val="24"/>
              </w:rPr>
              <w:t>of</w:t>
            </w:r>
            <w:r>
              <w:rPr>
                <w:spacing w:val="-14"/>
                <w:sz w:val="24"/>
              </w:rPr>
              <w:t> </w:t>
            </w:r>
            <w:r>
              <w:rPr>
                <w:spacing w:val="-2"/>
                <w:sz w:val="24"/>
              </w:rPr>
              <w:t>2026/27,</w:t>
            </w:r>
            <w:r>
              <w:rPr>
                <w:spacing w:val="-10"/>
                <w:sz w:val="24"/>
              </w:rPr>
              <w:t> </w:t>
            </w:r>
            <w:r>
              <w:rPr>
                <w:spacing w:val="-2"/>
                <w:sz w:val="24"/>
              </w:rPr>
              <w:t>Internal</w:t>
            </w:r>
            <w:r>
              <w:rPr>
                <w:spacing w:val="-10"/>
                <w:sz w:val="24"/>
              </w:rPr>
              <w:t> </w:t>
            </w:r>
            <w:r>
              <w:rPr>
                <w:spacing w:val="-2"/>
                <w:sz w:val="24"/>
              </w:rPr>
              <w:t>Audit</w:t>
            </w:r>
            <w:r>
              <w:rPr>
                <w:spacing w:val="-14"/>
                <w:sz w:val="24"/>
              </w:rPr>
              <w:t> </w:t>
            </w:r>
            <w:r>
              <w:rPr>
                <w:spacing w:val="-2"/>
                <w:sz w:val="24"/>
              </w:rPr>
              <w:t>undertook</w:t>
            </w:r>
            <w:r>
              <w:rPr>
                <w:spacing w:val="-12"/>
                <w:sz w:val="24"/>
              </w:rPr>
              <w:t> </w:t>
            </w:r>
            <w:r>
              <w:rPr>
                <w:spacing w:val="-2"/>
                <w:sz w:val="24"/>
              </w:rPr>
              <w:t>an </w:t>
            </w:r>
            <w:r>
              <w:rPr>
                <w:sz w:val="24"/>
              </w:rPr>
              <w:t>advisory</w:t>
            </w:r>
            <w:r>
              <w:rPr>
                <w:spacing w:val="-13"/>
                <w:sz w:val="24"/>
              </w:rPr>
              <w:t> </w:t>
            </w:r>
            <w:r>
              <w:rPr>
                <w:sz w:val="24"/>
              </w:rPr>
              <w:t>review</w:t>
            </w:r>
            <w:r>
              <w:rPr>
                <w:spacing w:val="-12"/>
                <w:sz w:val="24"/>
              </w:rPr>
              <w:t> </w:t>
            </w:r>
            <w:r>
              <w:rPr>
                <w:sz w:val="24"/>
              </w:rPr>
              <w:t>to</w:t>
            </w:r>
            <w:r>
              <w:rPr>
                <w:spacing w:val="-12"/>
                <w:sz w:val="24"/>
              </w:rPr>
              <w:t> </w:t>
            </w:r>
            <w:r>
              <w:rPr>
                <w:sz w:val="24"/>
              </w:rPr>
              <w:t>assess</w:t>
            </w:r>
            <w:r>
              <w:rPr>
                <w:spacing w:val="-13"/>
                <w:sz w:val="24"/>
              </w:rPr>
              <w:t> </w:t>
            </w:r>
            <w:r>
              <w:rPr>
                <w:sz w:val="24"/>
              </w:rPr>
              <w:t>the</w:t>
            </w:r>
            <w:r>
              <w:rPr>
                <w:spacing w:val="-17"/>
                <w:sz w:val="24"/>
              </w:rPr>
              <w:t> </w:t>
            </w:r>
            <w:r>
              <w:rPr>
                <w:sz w:val="24"/>
              </w:rPr>
              <w:t>governance</w:t>
            </w:r>
            <w:r>
              <w:rPr>
                <w:spacing w:val="-12"/>
                <w:sz w:val="24"/>
              </w:rPr>
              <w:t> </w:t>
            </w:r>
            <w:r>
              <w:rPr>
                <w:sz w:val="24"/>
              </w:rPr>
              <w:t>arrangements</w:t>
            </w:r>
            <w:r>
              <w:rPr>
                <w:spacing w:val="-10"/>
                <w:sz w:val="24"/>
              </w:rPr>
              <w:t> </w:t>
            </w:r>
            <w:r>
              <w:rPr>
                <w:sz w:val="24"/>
              </w:rPr>
              <w:t>in</w:t>
            </w:r>
            <w:r>
              <w:rPr>
                <w:spacing w:val="-12"/>
                <w:sz w:val="24"/>
              </w:rPr>
              <w:t> </w:t>
            </w:r>
            <w:r>
              <w:rPr>
                <w:sz w:val="24"/>
              </w:rPr>
              <w:t>place</w:t>
            </w:r>
            <w:r>
              <w:rPr>
                <w:spacing w:val="-8"/>
                <w:sz w:val="24"/>
              </w:rPr>
              <w:t> </w:t>
            </w:r>
            <w:r>
              <w:rPr>
                <w:sz w:val="24"/>
              </w:rPr>
              <w:t>to</w:t>
            </w:r>
            <w:r>
              <w:rPr>
                <w:spacing w:val="-12"/>
                <w:sz w:val="24"/>
              </w:rPr>
              <w:t> </w:t>
            </w:r>
            <w:r>
              <w:rPr>
                <w:sz w:val="24"/>
              </w:rPr>
              <w:t>support</w:t>
            </w:r>
            <w:r>
              <w:rPr>
                <w:spacing w:val="-15"/>
                <w:sz w:val="24"/>
              </w:rPr>
              <w:t> </w:t>
            </w:r>
            <w:r>
              <w:rPr>
                <w:sz w:val="24"/>
              </w:rPr>
              <w:t>effective partnership</w:t>
            </w:r>
            <w:r>
              <w:rPr>
                <w:spacing w:val="-17"/>
                <w:sz w:val="24"/>
              </w:rPr>
              <w:t> </w:t>
            </w:r>
            <w:r>
              <w:rPr>
                <w:sz w:val="24"/>
              </w:rPr>
              <w:t>working</w:t>
            </w:r>
            <w:r>
              <w:rPr>
                <w:spacing w:val="-17"/>
                <w:sz w:val="24"/>
              </w:rPr>
              <w:t> </w:t>
            </w:r>
            <w:r>
              <w:rPr>
                <w:sz w:val="24"/>
              </w:rPr>
              <w:t>between</w:t>
            </w:r>
            <w:r>
              <w:rPr>
                <w:spacing w:val="-16"/>
                <w:sz w:val="24"/>
              </w:rPr>
              <w:t> </w:t>
            </w:r>
            <w:r>
              <w:rPr>
                <w:sz w:val="24"/>
              </w:rPr>
              <w:t>Swansea</w:t>
            </w:r>
            <w:r>
              <w:rPr>
                <w:spacing w:val="-17"/>
                <w:sz w:val="24"/>
              </w:rPr>
              <w:t> </w:t>
            </w:r>
            <w:r>
              <w:rPr>
                <w:sz w:val="24"/>
              </w:rPr>
              <w:t>Bay</w:t>
            </w:r>
            <w:r>
              <w:rPr>
                <w:spacing w:val="-17"/>
                <w:sz w:val="24"/>
              </w:rPr>
              <w:t> </w:t>
            </w:r>
            <w:r>
              <w:rPr>
                <w:sz w:val="24"/>
              </w:rPr>
              <w:t>and</w:t>
            </w:r>
            <w:r>
              <w:rPr>
                <w:spacing w:val="-17"/>
                <w:sz w:val="24"/>
              </w:rPr>
              <w:t> </w:t>
            </w:r>
            <w:r>
              <w:rPr>
                <w:sz w:val="24"/>
              </w:rPr>
              <w:t>Hywel</w:t>
            </w:r>
            <w:r>
              <w:rPr>
                <w:spacing w:val="-16"/>
                <w:sz w:val="24"/>
              </w:rPr>
              <w:t> </w:t>
            </w:r>
            <w:r>
              <w:rPr>
                <w:sz w:val="24"/>
              </w:rPr>
              <w:t>Dda</w:t>
            </w:r>
            <w:r>
              <w:rPr>
                <w:spacing w:val="-17"/>
                <w:sz w:val="24"/>
              </w:rPr>
              <w:t> </w:t>
            </w:r>
            <w:r>
              <w:rPr>
                <w:sz w:val="24"/>
              </w:rPr>
              <w:t>University</w:t>
            </w:r>
            <w:r>
              <w:rPr>
                <w:spacing w:val="-17"/>
                <w:sz w:val="24"/>
              </w:rPr>
              <w:t> </w:t>
            </w:r>
            <w:r>
              <w:rPr>
                <w:sz w:val="24"/>
              </w:rPr>
              <w:t>Health</w:t>
            </w:r>
            <w:r>
              <w:rPr>
                <w:spacing w:val="-16"/>
                <w:sz w:val="24"/>
              </w:rPr>
              <w:t> </w:t>
            </w:r>
            <w:r>
              <w:rPr>
                <w:sz w:val="24"/>
              </w:rPr>
              <w:t>Boards</w:t>
            </w:r>
            <w:r>
              <w:rPr>
                <w:spacing w:val="-17"/>
                <w:sz w:val="24"/>
              </w:rPr>
              <w:t> </w:t>
            </w:r>
            <w:r>
              <w:rPr>
                <w:sz w:val="24"/>
              </w:rPr>
              <w:t>through the Regional Joint Committee (RJC).</w:t>
            </w:r>
          </w:p>
          <w:p>
            <w:pPr>
              <w:pStyle w:val="TableParagraph"/>
              <w:rPr>
                <w:sz w:val="24"/>
              </w:rPr>
            </w:pPr>
          </w:p>
          <w:p>
            <w:pPr>
              <w:pStyle w:val="TableParagraph"/>
              <w:ind w:left="110"/>
              <w:rPr>
                <w:sz w:val="24"/>
              </w:rPr>
            </w:pPr>
            <w:r>
              <w:rPr>
                <w:spacing w:val="-2"/>
                <w:sz w:val="24"/>
              </w:rPr>
              <w:t>This</w:t>
            </w:r>
            <w:r>
              <w:rPr>
                <w:spacing w:val="-15"/>
                <w:sz w:val="24"/>
              </w:rPr>
              <w:t> </w:t>
            </w:r>
            <w:r>
              <w:rPr>
                <w:spacing w:val="-2"/>
                <w:sz w:val="24"/>
              </w:rPr>
              <w:t>paper</w:t>
            </w:r>
            <w:r>
              <w:rPr>
                <w:spacing w:val="-13"/>
                <w:sz w:val="24"/>
              </w:rPr>
              <w:t> </w:t>
            </w:r>
            <w:r>
              <w:rPr>
                <w:spacing w:val="-2"/>
                <w:sz w:val="24"/>
              </w:rPr>
              <w:t>shares</w:t>
            </w:r>
            <w:r>
              <w:rPr>
                <w:spacing w:val="-12"/>
                <w:sz w:val="24"/>
              </w:rPr>
              <w:t> </w:t>
            </w:r>
            <w:r>
              <w:rPr>
                <w:spacing w:val="-2"/>
                <w:sz w:val="24"/>
              </w:rPr>
              <w:t>the</w:t>
            </w:r>
            <w:r>
              <w:rPr>
                <w:spacing w:val="-12"/>
                <w:sz w:val="24"/>
              </w:rPr>
              <w:t> </w:t>
            </w:r>
            <w:r>
              <w:rPr>
                <w:spacing w:val="-2"/>
                <w:sz w:val="24"/>
              </w:rPr>
              <w:t>Final</w:t>
            </w:r>
            <w:r>
              <w:rPr>
                <w:spacing w:val="-7"/>
                <w:sz w:val="24"/>
              </w:rPr>
              <w:t> </w:t>
            </w:r>
            <w:r>
              <w:rPr>
                <w:spacing w:val="-2"/>
                <w:sz w:val="24"/>
              </w:rPr>
              <w:t>Advisory</w:t>
            </w:r>
            <w:r>
              <w:rPr>
                <w:spacing w:val="-12"/>
                <w:sz w:val="24"/>
              </w:rPr>
              <w:t> </w:t>
            </w:r>
            <w:r>
              <w:rPr>
                <w:spacing w:val="-2"/>
                <w:sz w:val="24"/>
              </w:rPr>
              <w:t>Report</w:t>
            </w:r>
            <w:r>
              <w:rPr>
                <w:spacing w:val="-15"/>
                <w:sz w:val="24"/>
              </w:rPr>
              <w:t> </w:t>
            </w:r>
            <w:r>
              <w:rPr>
                <w:spacing w:val="-2"/>
                <w:sz w:val="24"/>
              </w:rPr>
              <w:t>and</w:t>
            </w:r>
            <w:r>
              <w:rPr>
                <w:spacing w:val="-11"/>
                <w:sz w:val="24"/>
              </w:rPr>
              <w:t> </w:t>
            </w:r>
            <w:r>
              <w:rPr>
                <w:spacing w:val="-2"/>
                <w:sz w:val="24"/>
              </w:rPr>
              <w:t>also</w:t>
            </w:r>
            <w:r>
              <w:rPr>
                <w:spacing w:val="-12"/>
                <w:sz w:val="24"/>
              </w:rPr>
              <w:t> </w:t>
            </w:r>
            <w:r>
              <w:rPr>
                <w:spacing w:val="-2"/>
                <w:sz w:val="24"/>
              </w:rPr>
              <w:t>the</w:t>
            </w:r>
            <w:r>
              <w:rPr>
                <w:spacing w:val="-12"/>
                <w:sz w:val="24"/>
              </w:rPr>
              <w:t> </w:t>
            </w:r>
            <w:r>
              <w:rPr>
                <w:spacing w:val="-2"/>
                <w:sz w:val="24"/>
              </w:rPr>
              <w:t>Management</w:t>
            </w:r>
            <w:r>
              <w:rPr>
                <w:spacing w:val="-14"/>
                <w:sz w:val="24"/>
              </w:rPr>
              <w:t> </w:t>
            </w:r>
            <w:r>
              <w:rPr>
                <w:spacing w:val="-2"/>
                <w:sz w:val="24"/>
              </w:rPr>
              <w:t>Response</w:t>
            </w:r>
            <w:r>
              <w:rPr>
                <w:spacing w:val="-7"/>
                <w:sz w:val="24"/>
              </w:rPr>
              <w:t> </w:t>
            </w:r>
            <w:r>
              <w:rPr>
                <w:spacing w:val="-2"/>
                <w:sz w:val="24"/>
              </w:rPr>
              <w:t>to</w:t>
            </w:r>
            <w:r>
              <w:rPr>
                <w:spacing w:val="-12"/>
                <w:sz w:val="24"/>
              </w:rPr>
              <w:t> </w:t>
            </w:r>
            <w:r>
              <w:rPr>
                <w:spacing w:val="-2"/>
                <w:sz w:val="24"/>
              </w:rPr>
              <w:t>the </w:t>
            </w:r>
            <w:r>
              <w:rPr>
                <w:sz w:val="24"/>
              </w:rPr>
              <w:t>recommendations</w:t>
            </w:r>
            <w:r>
              <w:rPr>
                <w:spacing w:val="-8"/>
                <w:sz w:val="24"/>
              </w:rPr>
              <w:t> </w:t>
            </w:r>
            <w:r>
              <w:rPr>
                <w:sz w:val="24"/>
              </w:rPr>
              <w:t>made</w:t>
            </w:r>
            <w:r>
              <w:rPr>
                <w:spacing w:val="-8"/>
                <w:sz w:val="24"/>
              </w:rPr>
              <w:t> </w:t>
            </w:r>
            <w:r>
              <w:rPr>
                <w:sz w:val="24"/>
              </w:rPr>
              <w:t>for</w:t>
            </w:r>
            <w:r>
              <w:rPr>
                <w:spacing w:val="-9"/>
                <w:sz w:val="24"/>
              </w:rPr>
              <w:t> </w:t>
            </w:r>
            <w:r>
              <w:rPr>
                <w:sz w:val="24"/>
              </w:rPr>
              <w:t>the</w:t>
            </w:r>
            <w:r>
              <w:rPr>
                <w:spacing w:val="-13"/>
                <w:sz w:val="24"/>
              </w:rPr>
              <w:t> </w:t>
            </w:r>
            <w:r>
              <w:rPr>
                <w:sz w:val="24"/>
              </w:rPr>
              <w:t>purposes</w:t>
            </w:r>
            <w:r>
              <w:rPr>
                <w:spacing w:val="-9"/>
                <w:sz w:val="24"/>
              </w:rPr>
              <w:t> </w:t>
            </w:r>
            <w:r>
              <w:rPr>
                <w:sz w:val="24"/>
              </w:rPr>
              <w:t>of</w:t>
            </w:r>
            <w:r>
              <w:rPr>
                <w:spacing w:val="-16"/>
                <w:sz w:val="24"/>
              </w:rPr>
              <w:t> </w:t>
            </w:r>
            <w:r>
              <w:rPr>
                <w:sz w:val="24"/>
              </w:rPr>
              <w:t>RJC</w:t>
            </w:r>
            <w:r>
              <w:rPr>
                <w:spacing w:val="-3"/>
                <w:sz w:val="24"/>
              </w:rPr>
              <w:t> </w:t>
            </w:r>
            <w:r>
              <w:rPr>
                <w:sz w:val="24"/>
              </w:rPr>
              <w:t>oversight</w:t>
            </w:r>
            <w:r>
              <w:rPr>
                <w:spacing w:val="-11"/>
                <w:sz w:val="24"/>
              </w:rPr>
              <w:t> </w:t>
            </w:r>
            <w:r>
              <w:rPr>
                <w:sz w:val="24"/>
              </w:rPr>
              <w:t>and</w:t>
            </w:r>
            <w:r>
              <w:rPr>
                <w:spacing w:val="-8"/>
                <w:sz w:val="24"/>
              </w:rPr>
              <w:t> </w:t>
            </w:r>
            <w:r>
              <w:rPr>
                <w:sz w:val="24"/>
              </w:rPr>
              <w:t>assurance.</w:t>
            </w:r>
          </w:p>
        </w:tc>
      </w:tr>
      <w:tr>
        <w:trPr>
          <w:trHeight w:val="5886" w:hRule="atLeast"/>
        </w:trPr>
        <w:tc>
          <w:tcPr>
            <w:tcW w:w="10069" w:type="dxa"/>
          </w:tcPr>
          <w:p>
            <w:pPr>
              <w:pStyle w:val="TableParagraph"/>
              <w:ind w:left="110"/>
              <w:rPr>
                <w:b/>
                <w:sz w:val="24"/>
              </w:rPr>
            </w:pPr>
            <w:r>
              <w:rPr>
                <w:b/>
                <w:color w:val="394871"/>
                <w:spacing w:val="-2"/>
                <w:sz w:val="24"/>
                <w:u w:val="single" w:color="394871"/>
              </w:rPr>
              <w:t>Cefndir</w:t>
            </w:r>
            <w:r>
              <w:rPr>
                <w:b/>
                <w:color w:val="394871"/>
                <w:spacing w:val="-11"/>
                <w:sz w:val="24"/>
                <w:u w:val="single" w:color="394871"/>
              </w:rPr>
              <w:t> </w:t>
            </w:r>
            <w:r>
              <w:rPr>
                <w:b/>
                <w:color w:val="394871"/>
                <w:spacing w:val="-2"/>
                <w:sz w:val="24"/>
                <w:u w:val="single" w:color="394871"/>
              </w:rPr>
              <w:t>/</w:t>
            </w:r>
            <w:r>
              <w:rPr>
                <w:b/>
                <w:color w:val="394871"/>
                <w:spacing w:val="-13"/>
                <w:sz w:val="24"/>
                <w:u w:val="single" w:color="394871"/>
              </w:rPr>
              <w:t> </w:t>
            </w:r>
            <w:r>
              <w:rPr>
                <w:b/>
                <w:color w:val="394871"/>
                <w:spacing w:val="-2"/>
                <w:sz w:val="24"/>
                <w:u w:val="single" w:color="394871"/>
              </w:rPr>
              <w:t>Background</w:t>
            </w:r>
          </w:p>
          <w:p>
            <w:pPr>
              <w:pStyle w:val="TableParagraph"/>
              <w:spacing w:before="2"/>
              <w:rPr>
                <w:sz w:val="24"/>
              </w:rPr>
            </w:pPr>
          </w:p>
          <w:p>
            <w:pPr>
              <w:pStyle w:val="TableParagraph"/>
              <w:spacing w:before="1"/>
              <w:ind w:left="110" w:right="212"/>
              <w:rPr>
                <w:sz w:val="24"/>
              </w:rPr>
            </w:pPr>
            <w:r>
              <w:rPr>
                <w:spacing w:val="-2"/>
                <w:sz w:val="24"/>
              </w:rPr>
              <w:t>The</w:t>
            </w:r>
            <w:r>
              <w:rPr>
                <w:spacing w:val="-15"/>
                <w:sz w:val="24"/>
              </w:rPr>
              <w:t> </w:t>
            </w:r>
            <w:r>
              <w:rPr>
                <w:spacing w:val="-2"/>
                <w:sz w:val="24"/>
              </w:rPr>
              <w:t>advisory</w:t>
            </w:r>
            <w:r>
              <w:rPr>
                <w:spacing w:val="-14"/>
                <w:sz w:val="24"/>
              </w:rPr>
              <w:t> </w:t>
            </w:r>
            <w:r>
              <w:rPr>
                <w:spacing w:val="-2"/>
                <w:sz w:val="24"/>
              </w:rPr>
              <w:t>review</w:t>
            </w:r>
            <w:r>
              <w:rPr>
                <w:spacing w:val="-8"/>
                <w:sz w:val="24"/>
              </w:rPr>
              <w:t> </w:t>
            </w:r>
            <w:r>
              <w:rPr>
                <w:spacing w:val="-2"/>
                <w:sz w:val="24"/>
              </w:rPr>
              <w:t>focused</w:t>
            </w:r>
            <w:r>
              <w:rPr>
                <w:spacing w:val="-13"/>
                <w:sz w:val="24"/>
              </w:rPr>
              <w:t> </w:t>
            </w:r>
            <w:r>
              <w:rPr>
                <w:spacing w:val="-2"/>
                <w:sz w:val="24"/>
              </w:rPr>
              <w:t>on</w:t>
            </w:r>
            <w:r>
              <w:rPr>
                <w:spacing w:val="-13"/>
                <w:sz w:val="24"/>
              </w:rPr>
              <w:t> </w:t>
            </w:r>
            <w:r>
              <w:rPr>
                <w:spacing w:val="-2"/>
                <w:sz w:val="24"/>
              </w:rPr>
              <w:t>the</w:t>
            </w:r>
            <w:r>
              <w:rPr>
                <w:spacing w:val="-13"/>
                <w:sz w:val="24"/>
              </w:rPr>
              <w:t> </w:t>
            </w:r>
            <w:r>
              <w:rPr>
                <w:spacing w:val="-2"/>
                <w:sz w:val="24"/>
              </w:rPr>
              <w:t>design,</w:t>
            </w:r>
            <w:r>
              <w:rPr>
                <w:spacing w:val="-15"/>
                <w:sz w:val="24"/>
              </w:rPr>
              <w:t> </w:t>
            </w:r>
            <w:r>
              <w:rPr>
                <w:spacing w:val="-2"/>
                <w:sz w:val="24"/>
              </w:rPr>
              <w:t>clarity,</w:t>
            </w:r>
            <w:r>
              <w:rPr>
                <w:spacing w:val="-15"/>
                <w:sz w:val="24"/>
              </w:rPr>
              <w:t> </w:t>
            </w:r>
            <w:r>
              <w:rPr>
                <w:spacing w:val="-2"/>
                <w:sz w:val="24"/>
              </w:rPr>
              <w:t>and</w:t>
            </w:r>
            <w:r>
              <w:rPr>
                <w:spacing w:val="-12"/>
                <w:sz w:val="24"/>
              </w:rPr>
              <w:t> </w:t>
            </w:r>
            <w:r>
              <w:rPr>
                <w:spacing w:val="-2"/>
                <w:sz w:val="24"/>
              </w:rPr>
              <w:t>coherence</w:t>
            </w:r>
            <w:r>
              <w:rPr>
                <w:spacing w:val="-15"/>
                <w:sz w:val="24"/>
              </w:rPr>
              <w:t> </w:t>
            </w:r>
            <w:r>
              <w:rPr>
                <w:spacing w:val="-2"/>
                <w:sz w:val="24"/>
              </w:rPr>
              <w:t>of</w:t>
            </w:r>
            <w:r>
              <w:rPr>
                <w:spacing w:val="-11"/>
                <w:sz w:val="24"/>
              </w:rPr>
              <w:t> </w:t>
            </w:r>
            <w:r>
              <w:rPr>
                <w:spacing w:val="-2"/>
                <w:sz w:val="24"/>
              </w:rPr>
              <w:t>the</w:t>
            </w:r>
            <w:r>
              <w:rPr>
                <w:spacing w:val="-13"/>
                <w:sz w:val="24"/>
              </w:rPr>
              <w:t> </w:t>
            </w:r>
            <w:r>
              <w:rPr>
                <w:spacing w:val="-2"/>
                <w:sz w:val="24"/>
              </w:rPr>
              <w:t>governance </w:t>
            </w:r>
            <w:r>
              <w:rPr>
                <w:sz w:val="24"/>
              </w:rPr>
              <w:t>framework</w:t>
            </w:r>
            <w:r>
              <w:rPr>
                <w:spacing w:val="-11"/>
                <w:sz w:val="24"/>
              </w:rPr>
              <w:t> </w:t>
            </w:r>
            <w:r>
              <w:rPr>
                <w:sz w:val="24"/>
              </w:rPr>
              <w:t>established</w:t>
            </w:r>
            <w:r>
              <w:rPr>
                <w:spacing w:val="-5"/>
                <w:sz w:val="24"/>
              </w:rPr>
              <w:t> </w:t>
            </w:r>
            <w:r>
              <w:rPr>
                <w:sz w:val="24"/>
              </w:rPr>
              <w:t>to</w:t>
            </w:r>
            <w:r>
              <w:rPr>
                <w:spacing w:val="-5"/>
                <w:sz w:val="24"/>
              </w:rPr>
              <w:t> </w:t>
            </w:r>
            <w:r>
              <w:rPr>
                <w:sz w:val="24"/>
              </w:rPr>
              <w:t>support</w:t>
            </w:r>
            <w:r>
              <w:rPr>
                <w:spacing w:val="-8"/>
                <w:sz w:val="24"/>
              </w:rPr>
              <w:t> </w:t>
            </w:r>
            <w:r>
              <w:rPr>
                <w:sz w:val="24"/>
              </w:rPr>
              <w:t>the</w:t>
            </w:r>
            <w:r>
              <w:rPr>
                <w:spacing w:val="-5"/>
                <w:sz w:val="24"/>
              </w:rPr>
              <w:t> </w:t>
            </w:r>
            <w:r>
              <w:rPr>
                <w:sz w:val="24"/>
              </w:rPr>
              <w:t>RJC</w:t>
            </w:r>
            <w:r>
              <w:rPr>
                <w:spacing w:val="-5"/>
                <w:sz w:val="24"/>
              </w:rPr>
              <w:t> </w:t>
            </w:r>
            <w:r>
              <w:rPr>
                <w:sz w:val="24"/>
              </w:rPr>
              <w:t>and</w:t>
            </w:r>
            <w:r>
              <w:rPr>
                <w:spacing w:val="-5"/>
                <w:sz w:val="24"/>
              </w:rPr>
              <w:t> </w:t>
            </w:r>
            <w:r>
              <w:rPr>
                <w:sz w:val="24"/>
              </w:rPr>
              <w:t>its</w:t>
            </w:r>
            <w:r>
              <w:rPr>
                <w:spacing w:val="-6"/>
                <w:sz w:val="24"/>
              </w:rPr>
              <w:t> </w:t>
            </w:r>
            <w:r>
              <w:rPr>
                <w:sz w:val="24"/>
              </w:rPr>
              <w:t>subgroups.</w:t>
            </w:r>
          </w:p>
          <w:p>
            <w:pPr>
              <w:pStyle w:val="TableParagraph"/>
              <w:spacing w:before="42"/>
              <w:rPr>
                <w:sz w:val="24"/>
              </w:rPr>
            </w:pPr>
          </w:p>
          <w:p>
            <w:pPr>
              <w:pStyle w:val="TableParagraph"/>
              <w:ind w:left="110" w:right="117"/>
              <w:rPr>
                <w:sz w:val="24"/>
              </w:rPr>
            </w:pPr>
            <w:r>
              <w:rPr>
                <w:sz w:val="24"/>
              </w:rPr>
              <w:t>While</w:t>
            </w:r>
            <w:r>
              <w:rPr>
                <w:spacing w:val="-11"/>
                <w:sz w:val="24"/>
              </w:rPr>
              <w:t> </w:t>
            </w:r>
            <w:r>
              <w:rPr>
                <w:sz w:val="24"/>
              </w:rPr>
              <w:t>the</w:t>
            </w:r>
            <w:r>
              <w:rPr>
                <w:spacing w:val="-10"/>
                <w:sz w:val="24"/>
              </w:rPr>
              <w:t> </w:t>
            </w:r>
            <w:r>
              <w:rPr>
                <w:sz w:val="24"/>
              </w:rPr>
              <w:t>review</w:t>
            </w:r>
            <w:r>
              <w:rPr>
                <w:spacing w:val="-16"/>
                <w:sz w:val="24"/>
              </w:rPr>
              <w:t> </w:t>
            </w:r>
            <w:r>
              <w:rPr>
                <w:sz w:val="24"/>
              </w:rPr>
              <w:t>identified</w:t>
            </w:r>
            <w:r>
              <w:rPr>
                <w:spacing w:val="-11"/>
                <w:sz w:val="24"/>
              </w:rPr>
              <w:t> </w:t>
            </w:r>
            <w:r>
              <w:rPr>
                <w:sz w:val="24"/>
              </w:rPr>
              <w:t>a</w:t>
            </w:r>
            <w:r>
              <w:rPr>
                <w:spacing w:val="-11"/>
                <w:sz w:val="24"/>
              </w:rPr>
              <w:t> </w:t>
            </w:r>
            <w:r>
              <w:rPr>
                <w:sz w:val="24"/>
              </w:rPr>
              <w:t>number</w:t>
            </w:r>
            <w:r>
              <w:rPr>
                <w:spacing w:val="-12"/>
                <w:sz w:val="24"/>
              </w:rPr>
              <w:t> </w:t>
            </w:r>
            <w:r>
              <w:rPr>
                <w:sz w:val="24"/>
              </w:rPr>
              <w:t>of</w:t>
            </w:r>
            <w:r>
              <w:rPr>
                <w:spacing w:val="-14"/>
                <w:sz w:val="24"/>
              </w:rPr>
              <w:t> </w:t>
            </w:r>
            <w:r>
              <w:rPr>
                <w:sz w:val="24"/>
              </w:rPr>
              <w:t>established</w:t>
            </w:r>
            <w:r>
              <w:rPr>
                <w:spacing w:val="-16"/>
                <w:sz w:val="24"/>
              </w:rPr>
              <w:t> </w:t>
            </w:r>
            <w:r>
              <w:rPr>
                <w:sz w:val="24"/>
              </w:rPr>
              <w:t>and</w:t>
            </w:r>
            <w:r>
              <w:rPr>
                <w:spacing w:val="-11"/>
                <w:sz w:val="24"/>
              </w:rPr>
              <w:t> </w:t>
            </w:r>
            <w:r>
              <w:rPr>
                <w:sz w:val="24"/>
              </w:rPr>
              <w:t>effective</w:t>
            </w:r>
            <w:r>
              <w:rPr>
                <w:spacing w:val="-11"/>
                <w:sz w:val="24"/>
              </w:rPr>
              <w:t> </w:t>
            </w:r>
            <w:r>
              <w:rPr>
                <w:sz w:val="24"/>
              </w:rPr>
              <w:t>elements</w:t>
            </w:r>
            <w:r>
              <w:rPr>
                <w:spacing w:val="-12"/>
                <w:sz w:val="24"/>
              </w:rPr>
              <w:t> </w:t>
            </w:r>
            <w:r>
              <w:rPr>
                <w:sz w:val="24"/>
              </w:rPr>
              <w:t>within</w:t>
            </w:r>
            <w:r>
              <w:rPr>
                <w:spacing w:val="-11"/>
                <w:sz w:val="24"/>
              </w:rPr>
              <w:t> </w:t>
            </w:r>
            <w:r>
              <w:rPr>
                <w:sz w:val="24"/>
              </w:rPr>
              <w:t>the</w:t>
            </w:r>
            <w:r>
              <w:rPr>
                <w:spacing w:val="-16"/>
                <w:sz w:val="24"/>
              </w:rPr>
              <w:t> </w:t>
            </w:r>
            <w:r>
              <w:rPr>
                <w:sz w:val="24"/>
              </w:rPr>
              <w:t>RJC governance</w:t>
            </w:r>
            <w:r>
              <w:rPr>
                <w:spacing w:val="-17"/>
                <w:sz w:val="24"/>
              </w:rPr>
              <w:t> </w:t>
            </w:r>
            <w:r>
              <w:rPr>
                <w:sz w:val="24"/>
              </w:rPr>
              <w:t>framework</w:t>
            </w:r>
            <w:r>
              <w:rPr>
                <w:spacing w:val="-17"/>
                <w:sz w:val="24"/>
              </w:rPr>
              <w:t> </w:t>
            </w:r>
            <w:r>
              <w:rPr>
                <w:sz w:val="24"/>
              </w:rPr>
              <w:t>i.e.</w:t>
            </w:r>
            <w:r>
              <w:rPr>
                <w:spacing w:val="-16"/>
                <w:sz w:val="24"/>
              </w:rPr>
              <w:t> </w:t>
            </w:r>
            <w:r>
              <w:rPr>
                <w:sz w:val="24"/>
              </w:rPr>
              <w:t>a</w:t>
            </w:r>
            <w:r>
              <w:rPr>
                <w:spacing w:val="-10"/>
                <w:sz w:val="24"/>
              </w:rPr>
              <w:t> </w:t>
            </w:r>
            <w:r>
              <w:rPr>
                <w:sz w:val="24"/>
              </w:rPr>
              <w:t>clearly</w:t>
            </w:r>
            <w:r>
              <w:rPr>
                <w:spacing w:val="-16"/>
                <w:sz w:val="24"/>
              </w:rPr>
              <w:t> </w:t>
            </w:r>
            <w:r>
              <w:rPr>
                <w:sz w:val="24"/>
              </w:rPr>
              <w:t>defined</w:t>
            </w:r>
            <w:r>
              <w:rPr>
                <w:spacing w:val="-15"/>
                <w:sz w:val="24"/>
              </w:rPr>
              <w:t> </w:t>
            </w:r>
            <w:r>
              <w:rPr>
                <w:sz w:val="24"/>
              </w:rPr>
              <w:t>governance</w:t>
            </w:r>
            <w:r>
              <w:rPr>
                <w:spacing w:val="-15"/>
                <w:sz w:val="24"/>
              </w:rPr>
              <w:t> </w:t>
            </w:r>
            <w:r>
              <w:rPr>
                <w:sz w:val="24"/>
              </w:rPr>
              <w:t>structure</w:t>
            </w:r>
            <w:r>
              <w:rPr>
                <w:spacing w:val="-15"/>
                <w:sz w:val="24"/>
              </w:rPr>
              <w:t> </w:t>
            </w:r>
            <w:r>
              <w:rPr>
                <w:sz w:val="24"/>
              </w:rPr>
              <w:t>supported</w:t>
            </w:r>
            <w:r>
              <w:rPr>
                <w:spacing w:val="-15"/>
                <w:sz w:val="24"/>
              </w:rPr>
              <w:t> </w:t>
            </w:r>
            <w:r>
              <w:rPr>
                <w:sz w:val="24"/>
              </w:rPr>
              <w:t>by</w:t>
            </w:r>
            <w:r>
              <w:rPr>
                <w:spacing w:val="-16"/>
                <w:sz w:val="24"/>
              </w:rPr>
              <w:t> </w:t>
            </w:r>
            <w:r>
              <w:rPr>
                <w:sz w:val="24"/>
              </w:rPr>
              <w:t>approved Terms</w:t>
            </w:r>
            <w:r>
              <w:rPr>
                <w:spacing w:val="-17"/>
                <w:sz w:val="24"/>
              </w:rPr>
              <w:t> </w:t>
            </w:r>
            <w:r>
              <w:rPr>
                <w:sz w:val="24"/>
              </w:rPr>
              <w:t>of</w:t>
            </w:r>
            <w:r>
              <w:rPr>
                <w:spacing w:val="-17"/>
                <w:sz w:val="24"/>
              </w:rPr>
              <w:t> </w:t>
            </w:r>
            <w:r>
              <w:rPr>
                <w:sz w:val="24"/>
              </w:rPr>
              <w:t>Reference,</w:t>
            </w:r>
            <w:r>
              <w:rPr>
                <w:spacing w:val="-15"/>
                <w:sz w:val="24"/>
              </w:rPr>
              <w:t> </w:t>
            </w:r>
            <w:r>
              <w:rPr>
                <w:sz w:val="24"/>
              </w:rPr>
              <w:t>subgroups</w:t>
            </w:r>
            <w:r>
              <w:rPr>
                <w:spacing w:val="-17"/>
                <w:sz w:val="24"/>
              </w:rPr>
              <w:t> </w:t>
            </w:r>
            <w:r>
              <w:rPr>
                <w:sz w:val="24"/>
              </w:rPr>
              <w:t>operating</w:t>
            </w:r>
            <w:r>
              <w:rPr>
                <w:spacing w:val="-12"/>
                <w:sz w:val="24"/>
              </w:rPr>
              <w:t> </w:t>
            </w:r>
            <w:r>
              <w:rPr>
                <w:sz w:val="24"/>
              </w:rPr>
              <w:t>in</w:t>
            </w:r>
            <w:r>
              <w:rPr>
                <w:spacing w:val="-13"/>
                <w:sz w:val="24"/>
              </w:rPr>
              <w:t> </w:t>
            </w:r>
            <w:r>
              <w:rPr>
                <w:sz w:val="24"/>
              </w:rPr>
              <w:t>line</w:t>
            </w:r>
            <w:r>
              <w:rPr>
                <w:spacing w:val="-8"/>
                <w:sz w:val="24"/>
              </w:rPr>
              <w:t> </w:t>
            </w:r>
            <w:r>
              <w:rPr>
                <w:sz w:val="24"/>
              </w:rPr>
              <w:t>with</w:t>
            </w:r>
            <w:r>
              <w:rPr>
                <w:spacing w:val="-13"/>
                <w:sz w:val="24"/>
              </w:rPr>
              <w:t> </w:t>
            </w:r>
            <w:r>
              <w:rPr>
                <w:sz w:val="24"/>
              </w:rPr>
              <w:t>their</w:t>
            </w:r>
            <w:r>
              <w:rPr>
                <w:spacing w:val="-14"/>
                <w:sz w:val="24"/>
              </w:rPr>
              <w:t> </w:t>
            </w:r>
            <w:r>
              <w:rPr>
                <w:sz w:val="24"/>
              </w:rPr>
              <w:t>intended</w:t>
            </w:r>
            <w:r>
              <w:rPr>
                <w:spacing w:val="-13"/>
                <w:sz w:val="24"/>
              </w:rPr>
              <w:t> </w:t>
            </w:r>
            <w:r>
              <w:rPr>
                <w:sz w:val="24"/>
              </w:rPr>
              <w:t>strategic</w:t>
            </w:r>
            <w:r>
              <w:rPr>
                <w:spacing w:val="-14"/>
                <w:sz w:val="24"/>
              </w:rPr>
              <w:t> </w:t>
            </w:r>
            <w:r>
              <w:rPr>
                <w:sz w:val="24"/>
              </w:rPr>
              <w:t>oversight</w:t>
            </w:r>
            <w:r>
              <w:rPr>
                <w:spacing w:val="-16"/>
                <w:sz w:val="24"/>
              </w:rPr>
              <w:t> </w:t>
            </w:r>
            <w:r>
              <w:rPr>
                <w:sz w:val="24"/>
              </w:rPr>
              <w:t>role, developing</w:t>
            </w:r>
            <w:r>
              <w:rPr>
                <w:spacing w:val="-15"/>
                <w:sz w:val="24"/>
              </w:rPr>
              <w:t> </w:t>
            </w:r>
            <w:r>
              <w:rPr>
                <w:sz w:val="24"/>
              </w:rPr>
              <w:t>work</w:t>
            </w:r>
            <w:r>
              <w:rPr>
                <w:spacing w:val="-16"/>
                <w:sz w:val="24"/>
              </w:rPr>
              <w:t> </w:t>
            </w:r>
            <w:r>
              <w:rPr>
                <w:sz w:val="24"/>
              </w:rPr>
              <w:t>programmes</w:t>
            </w:r>
            <w:r>
              <w:rPr>
                <w:spacing w:val="-16"/>
                <w:sz w:val="24"/>
              </w:rPr>
              <w:t> </w:t>
            </w:r>
            <w:r>
              <w:rPr>
                <w:sz w:val="24"/>
              </w:rPr>
              <w:t>aligned</w:t>
            </w:r>
            <w:r>
              <w:rPr>
                <w:spacing w:val="-10"/>
                <w:sz w:val="24"/>
              </w:rPr>
              <w:t> </w:t>
            </w:r>
            <w:r>
              <w:rPr>
                <w:sz w:val="24"/>
              </w:rPr>
              <w:t>to</w:t>
            </w:r>
            <w:r>
              <w:rPr>
                <w:spacing w:val="-15"/>
                <w:sz w:val="24"/>
              </w:rPr>
              <w:t> </w:t>
            </w:r>
            <w:r>
              <w:rPr>
                <w:sz w:val="24"/>
              </w:rPr>
              <w:t>regional</w:t>
            </w:r>
            <w:r>
              <w:rPr>
                <w:spacing w:val="-15"/>
                <w:sz w:val="24"/>
              </w:rPr>
              <w:t> </w:t>
            </w:r>
            <w:r>
              <w:rPr>
                <w:sz w:val="24"/>
              </w:rPr>
              <w:t>priorities,</w:t>
            </w:r>
            <w:r>
              <w:rPr>
                <w:spacing w:val="-17"/>
                <w:sz w:val="24"/>
              </w:rPr>
              <w:t> </w:t>
            </w:r>
            <w:r>
              <w:rPr>
                <w:sz w:val="24"/>
              </w:rPr>
              <w:t>and</w:t>
            </w:r>
            <w:r>
              <w:rPr>
                <w:spacing w:val="-14"/>
                <w:sz w:val="24"/>
              </w:rPr>
              <w:t> </w:t>
            </w:r>
            <w:r>
              <w:rPr>
                <w:sz w:val="24"/>
              </w:rPr>
              <w:t>consistent</w:t>
            </w:r>
            <w:r>
              <w:rPr>
                <w:spacing w:val="-17"/>
                <w:sz w:val="24"/>
              </w:rPr>
              <w:t> </w:t>
            </w:r>
            <w:r>
              <w:rPr>
                <w:sz w:val="24"/>
              </w:rPr>
              <w:t>and</w:t>
            </w:r>
            <w:r>
              <w:rPr>
                <w:spacing w:val="-14"/>
                <w:sz w:val="24"/>
              </w:rPr>
              <w:t> </w:t>
            </w:r>
            <w:r>
              <w:rPr>
                <w:sz w:val="24"/>
              </w:rPr>
              <w:t>reliable reporting</w:t>
            </w:r>
            <w:r>
              <w:rPr>
                <w:spacing w:val="-13"/>
                <w:sz w:val="24"/>
              </w:rPr>
              <w:t> </w:t>
            </w:r>
            <w:r>
              <w:rPr>
                <w:sz w:val="24"/>
              </w:rPr>
              <w:t>arrangements</w:t>
            </w:r>
            <w:r>
              <w:rPr>
                <w:spacing w:val="-14"/>
                <w:sz w:val="24"/>
              </w:rPr>
              <w:t> </w:t>
            </w:r>
            <w:r>
              <w:rPr>
                <w:sz w:val="24"/>
              </w:rPr>
              <w:t>to</w:t>
            </w:r>
            <w:r>
              <w:rPr>
                <w:spacing w:val="-13"/>
                <w:sz w:val="24"/>
              </w:rPr>
              <w:t> </w:t>
            </w:r>
            <w:r>
              <w:rPr>
                <w:sz w:val="24"/>
              </w:rPr>
              <w:t>both</w:t>
            </w:r>
            <w:r>
              <w:rPr>
                <w:spacing w:val="-13"/>
                <w:sz w:val="24"/>
              </w:rPr>
              <w:t> </w:t>
            </w:r>
            <w:r>
              <w:rPr>
                <w:sz w:val="24"/>
              </w:rPr>
              <w:t>Health</w:t>
            </w:r>
            <w:r>
              <w:rPr>
                <w:spacing w:val="-13"/>
                <w:sz w:val="24"/>
              </w:rPr>
              <w:t> </w:t>
            </w:r>
            <w:r>
              <w:rPr>
                <w:sz w:val="24"/>
              </w:rPr>
              <w:t>Boards</w:t>
            </w:r>
            <w:r>
              <w:rPr>
                <w:spacing w:val="-9"/>
                <w:sz w:val="24"/>
              </w:rPr>
              <w:t> </w:t>
            </w:r>
            <w:r>
              <w:rPr>
                <w:sz w:val="24"/>
              </w:rPr>
              <w:t>through</w:t>
            </w:r>
            <w:r>
              <w:rPr>
                <w:spacing w:val="-13"/>
                <w:sz w:val="24"/>
              </w:rPr>
              <w:t> </w:t>
            </w:r>
            <w:r>
              <w:rPr>
                <w:sz w:val="24"/>
              </w:rPr>
              <w:t>the</w:t>
            </w:r>
            <w:r>
              <w:rPr>
                <w:spacing w:val="-13"/>
                <w:sz w:val="24"/>
              </w:rPr>
              <w:t> </w:t>
            </w:r>
            <w:r>
              <w:rPr>
                <w:sz w:val="24"/>
              </w:rPr>
              <w:t>AAA</w:t>
            </w:r>
            <w:r>
              <w:rPr>
                <w:spacing w:val="-9"/>
                <w:sz w:val="24"/>
              </w:rPr>
              <w:t> </w:t>
            </w:r>
            <w:r>
              <w:rPr>
                <w:sz w:val="24"/>
              </w:rPr>
              <w:t>framework</w:t>
            </w:r>
            <w:r>
              <w:rPr>
                <w:spacing w:val="-11"/>
                <w:sz w:val="24"/>
              </w:rPr>
              <w:t> </w:t>
            </w:r>
            <w:r>
              <w:rPr>
                <w:sz w:val="24"/>
              </w:rPr>
              <w:t>–</w:t>
            </w:r>
            <w:r>
              <w:rPr>
                <w:spacing w:val="-12"/>
                <w:sz w:val="24"/>
              </w:rPr>
              <w:t> </w:t>
            </w:r>
            <w:r>
              <w:rPr>
                <w:sz w:val="24"/>
              </w:rPr>
              <w:t>it</w:t>
            </w:r>
            <w:r>
              <w:rPr>
                <w:spacing w:val="-16"/>
                <w:sz w:val="24"/>
              </w:rPr>
              <w:t> </w:t>
            </w:r>
            <w:r>
              <w:rPr>
                <w:sz w:val="24"/>
              </w:rPr>
              <w:t>also</w:t>
            </w:r>
            <w:r>
              <w:rPr>
                <w:spacing w:val="-13"/>
                <w:sz w:val="24"/>
              </w:rPr>
              <w:t> </w:t>
            </w:r>
            <w:r>
              <w:rPr>
                <w:sz w:val="24"/>
              </w:rPr>
              <w:t>identified </w:t>
            </w:r>
            <w:r>
              <w:rPr>
                <w:spacing w:val="-2"/>
                <w:sz w:val="24"/>
              </w:rPr>
              <w:t>opportunities</w:t>
            </w:r>
            <w:r>
              <w:rPr>
                <w:spacing w:val="-15"/>
                <w:sz w:val="24"/>
              </w:rPr>
              <w:t> </w:t>
            </w:r>
            <w:r>
              <w:rPr>
                <w:spacing w:val="-2"/>
                <w:sz w:val="24"/>
              </w:rPr>
              <w:t>to</w:t>
            </w:r>
            <w:r>
              <w:rPr>
                <w:spacing w:val="-15"/>
                <w:sz w:val="24"/>
              </w:rPr>
              <w:t> </w:t>
            </w:r>
            <w:r>
              <w:rPr>
                <w:spacing w:val="-2"/>
                <w:sz w:val="24"/>
              </w:rPr>
              <w:t>further</w:t>
            </w:r>
            <w:r>
              <w:rPr>
                <w:spacing w:val="-14"/>
                <w:sz w:val="24"/>
              </w:rPr>
              <w:t> </w:t>
            </w:r>
            <w:r>
              <w:rPr>
                <w:spacing w:val="-2"/>
                <w:sz w:val="24"/>
              </w:rPr>
              <w:t>strengthen</w:t>
            </w:r>
            <w:r>
              <w:rPr>
                <w:spacing w:val="-15"/>
                <w:sz w:val="24"/>
              </w:rPr>
              <w:t> </w:t>
            </w:r>
            <w:r>
              <w:rPr>
                <w:spacing w:val="-2"/>
                <w:sz w:val="24"/>
              </w:rPr>
              <w:t>consistency</w:t>
            </w:r>
            <w:r>
              <w:rPr>
                <w:spacing w:val="-15"/>
                <w:sz w:val="24"/>
              </w:rPr>
              <w:t> </w:t>
            </w:r>
            <w:r>
              <w:rPr>
                <w:spacing w:val="-2"/>
                <w:sz w:val="24"/>
              </w:rPr>
              <w:t>and</w:t>
            </w:r>
            <w:r>
              <w:rPr>
                <w:spacing w:val="-15"/>
                <w:sz w:val="24"/>
              </w:rPr>
              <w:t> </w:t>
            </w:r>
            <w:r>
              <w:rPr>
                <w:spacing w:val="-2"/>
                <w:sz w:val="24"/>
              </w:rPr>
              <w:t>maturity</w:t>
            </w:r>
            <w:r>
              <w:rPr>
                <w:spacing w:val="-14"/>
                <w:sz w:val="24"/>
              </w:rPr>
              <w:t> </w:t>
            </w:r>
            <w:r>
              <w:rPr>
                <w:spacing w:val="-2"/>
                <w:sz w:val="24"/>
              </w:rPr>
              <w:t>across</w:t>
            </w:r>
            <w:r>
              <w:rPr>
                <w:spacing w:val="-15"/>
                <w:sz w:val="24"/>
              </w:rPr>
              <w:t> </w:t>
            </w:r>
            <w:r>
              <w:rPr>
                <w:spacing w:val="-2"/>
                <w:sz w:val="24"/>
              </w:rPr>
              <w:t>the</w:t>
            </w:r>
            <w:r>
              <w:rPr>
                <w:spacing w:val="-15"/>
                <w:sz w:val="24"/>
              </w:rPr>
              <w:t> </w:t>
            </w:r>
            <w:r>
              <w:rPr>
                <w:spacing w:val="-2"/>
                <w:sz w:val="24"/>
              </w:rPr>
              <w:t>governance</w:t>
            </w:r>
            <w:r>
              <w:rPr>
                <w:spacing w:val="-14"/>
                <w:sz w:val="24"/>
              </w:rPr>
              <w:t> </w:t>
            </w:r>
            <w:r>
              <w:rPr>
                <w:spacing w:val="-2"/>
                <w:sz w:val="24"/>
              </w:rPr>
              <w:t>landscape, </w:t>
            </w:r>
            <w:r>
              <w:rPr>
                <w:sz w:val="24"/>
              </w:rPr>
              <w:t>in particular:</w:t>
            </w:r>
          </w:p>
          <w:p>
            <w:pPr>
              <w:pStyle w:val="TableParagraph"/>
              <w:numPr>
                <w:ilvl w:val="0"/>
                <w:numId w:val="99"/>
              </w:numPr>
              <w:tabs>
                <w:tab w:pos="830" w:val="left" w:leader="none"/>
              </w:tabs>
              <w:spacing w:line="240" w:lineRule="auto" w:before="0" w:after="0"/>
              <w:ind w:left="830" w:right="193" w:hanging="361"/>
              <w:jc w:val="left"/>
              <w:rPr>
                <w:sz w:val="24"/>
              </w:rPr>
            </w:pPr>
            <w:r>
              <w:rPr>
                <w:spacing w:val="-2"/>
                <w:sz w:val="24"/>
              </w:rPr>
              <w:t>Subgroup</w:t>
            </w:r>
            <w:r>
              <w:rPr>
                <w:spacing w:val="-15"/>
                <w:sz w:val="24"/>
              </w:rPr>
              <w:t> </w:t>
            </w:r>
            <w:r>
              <w:rPr>
                <w:spacing w:val="-2"/>
                <w:sz w:val="24"/>
              </w:rPr>
              <w:t>governance</w:t>
            </w:r>
            <w:r>
              <w:rPr>
                <w:spacing w:val="-15"/>
                <w:sz w:val="24"/>
              </w:rPr>
              <w:t> </w:t>
            </w:r>
            <w:r>
              <w:rPr>
                <w:spacing w:val="-2"/>
                <w:sz w:val="24"/>
              </w:rPr>
              <w:t>arrangements</w:t>
            </w:r>
            <w:r>
              <w:rPr>
                <w:spacing w:val="-14"/>
                <w:sz w:val="24"/>
              </w:rPr>
              <w:t> </w:t>
            </w:r>
            <w:r>
              <w:rPr>
                <w:spacing w:val="-2"/>
                <w:sz w:val="24"/>
              </w:rPr>
              <w:t>continue</w:t>
            </w:r>
            <w:r>
              <w:rPr>
                <w:spacing w:val="-15"/>
                <w:sz w:val="24"/>
              </w:rPr>
              <w:t> </w:t>
            </w:r>
            <w:r>
              <w:rPr>
                <w:spacing w:val="-2"/>
                <w:sz w:val="24"/>
              </w:rPr>
              <w:t>to</w:t>
            </w:r>
            <w:r>
              <w:rPr>
                <w:spacing w:val="-15"/>
                <w:sz w:val="24"/>
              </w:rPr>
              <w:t> </w:t>
            </w:r>
            <w:r>
              <w:rPr>
                <w:spacing w:val="-2"/>
                <w:sz w:val="24"/>
              </w:rPr>
              <w:t>evolve,</w:t>
            </w:r>
            <w:r>
              <w:rPr>
                <w:spacing w:val="-15"/>
                <w:sz w:val="24"/>
              </w:rPr>
              <w:t> </w:t>
            </w:r>
            <w:r>
              <w:rPr>
                <w:spacing w:val="-2"/>
                <w:sz w:val="24"/>
              </w:rPr>
              <w:t>with</w:t>
            </w:r>
            <w:r>
              <w:rPr>
                <w:spacing w:val="-14"/>
                <w:sz w:val="24"/>
              </w:rPr>
              <w:t> </w:t>
            </w:r>
            <w:r>
              <w:rPr>
                <w:spacing w:val="-2"/>
                <w:sz w:val="24"/>
              </w:rPr>
              <w:t>some</w:t>
            </w:r>
            <w:r>
              <w:rPr>
                <w:spacing w:val="-15"/>
                <w:sz w:val="24"/>
              </w:rPr>
              <w:t> </w:t>
            </w:r>
            <w:r>
              <w:rPr>
                <w:spacing w:val="-2"/>
                <w:sz w:val="24"/>
              </w:rPr>
              <w:t>inconsistency</w:t>
            </w:r>
            <w:r>
              <w:rPr>
                <w:spacing w:val="-15"/>
                <w:sz w:val="24"/>
              </w:rPr>
              <w:t> </w:t>
            </w:r>
            <w:r>
              <w:rPr>
                <w:spacing w:val="-2"/>
                <w:sz w:val="24"/>
              </w:rPr>
              <w:t>in</w:t>
            </w:r>
            <w:r>
              <w:rPr>
                <w:spacing w:val="-11"/>
                <w:sz w:val="24"/>
              </w:rPr>
              <w:t> </w:t>
            </w:r>
            <w:r>
              <w:rPr>
                <w:spacing w:val="-2"/>
                <w:sz w:val="24"/>
              </w:rPr>
              <w:t>the </w:t>
            </w:r>
            <w:r>
              <w:rPr>
                <w:sz w:val="24"/>
              </w:rPr>
              <w:t>development,</w:t>
            </w:r>
            <w:r>
              <w:rPr>
                <w:spacing w:val="-12"/>
                <w:sz w:val="24"/>
              </w:rPr>
              <w:t> </w:t>
            </w:r>
            <w:r>
              <w:rPr>
                <w:sz w:val="24"/>
              </w:rPr>
              <w:t>approval</w:t>
            </w:r>
            <w:r>
              <w:rPr>
                <w:spacing w:val="-9"/>
                <w:sz w:val="24"/>
              </w:rPr>
              <w:t> </w:t>
            </w:r>
            <w:r>
              <w:rPr>
                <w:sz w:val="24"/>
              </w:rPr>
              <w:t>and</w:t>
            </w:r>
            <w:r>
              <w:rPr>
                <w:spacing w:val="-9"/>
                <w:sz w:val="24"/>
              </w:rPr>
              <w:t> </w:t>
            </w:r>
            <w:r>
              <w:rPr>
                <w:sz w:val="24"/>
              </w:rPr>
              <w:t>alignment</w:t>
            </w:r>
            <w:r>
              <w:rPr>
                <w:spacing w:val="-17"/>
                <w:sz w:val="24"/>
              </w:rPr>
              <w:t> </w:t>
            </w:r>
            <w:r>
              <w:rPr>
                <w:sz w:val="24"/>
              </w:rPr>
              <w:t>of</w:t>
            </w:r>
            <w:r>
              <w:rPr>
                <w:spacing w:val="-7"/>
                <w:sz w:val="24"/>
              </w:rPr>
              <w:t> </w:t>
            </w:r>
            <w:r>
              <w:rPr>
                <w:sz w:val="24"/>
              </w:rPr>
              <w:t>Terms</w:t>
            </w:r>
            <w:r>
              <w:rPr>
                <w:spacing w:val="-10"/>
                <w:sz w:val="24"/>
              </w:rPr>
              <w:t> </w:t>
            </w:r>
            <w:r>
              <w:rPr>
                <w:sz w:val="24"/>
              </w:rPr>
              <w:t>of</w:t>
            </w:r>
            <w:r>
              <w:rPr>
                <w:spacing w:val="-12"/>
                <w:sz w:val="24"/>
              </w:rPr>
              <w:t> </w:t>
            </w:r>
            <w:r>
              <w:rPr>
                <w:sz w:val="24"/>
              </w:rPr>
              <w:t>Reference</w:t>
            </w:r>
            <w:r>
              <w:rPr>
                <w:spacing w:val="-14"/>
                <w:sz w:val="24"/>
              </w:rPr>
              <w:t> </w:t>
            </w:r>
            <w:r>
              <w:rPr>
                <w:sz w:val="24"/>
              </w:rPr>
              <w:t>and</w:t>
            </w:r>
            <w:r>
              <w:rPr>
                <w:spacing w:val="-9"/>
                <w:sz w:val="24"/>
              </w:rPr>
              <w:t> </w:t>
            </w:r>
            <w:r>
              <w:rPr>
                <w:sz w:val="24"/>
              </w:rPr>
              <w:t>supporting </w:t>
            </w:r>
            <w:r>
              <w:rPr>
                <w:spacing w:val="-2"/>
                <w:sz w:val="24"/>
              </w:rPr>
              <w:t>documentation.</w:t>
            </w:r>
          </w:p>
          <w:p>
            <w:pPr>
              <w:pStyle w:val="TableParagraph"/>
              <w:numPr>
                <w:ilvl w:val="0"/>
                <w:numId w:val="99"/>
              </w:numPr>
              <w:tabs>
                <w:tab w:pos="830" w:val="left" w:leader="none"/>
              </w:tabs>
              <w:spacing w:line="237" w:lineRule="auto" w:before="0" w:after="0"/>
              <w:ind w:left="830" w:right="434" w:hanging="361"/>
              <w:jc w:val="left"/>
              <w:rPr>
                <w:sz w:val="24"/>
              </w:rPr>
            </w:pPr>
            <w:r>
              <w:rPr>
                <w:spacing w:val="-2"/>
                <w:sz w:val="24"/>
              </w:rPr>
              <w:t>The</w:t>
            </w:r>
            <w:r>
              <w:rPr>
                <w:spacing w:val="-12"/>
                <w:sz w:val="24"/>
              </w:rPr>
              <w:t> </w:t>
            </w:r>
            <w:r>
              <w:rPr>
                <w:spacing w:val="-2"/>
                <w:sz w:val="24"/>
              </w:rPr>
              <w:t>work</w:t>
            </w:r>
            <w:r>
              <w:rPr>
                <w:spacing w:val="-15"/>
                <w:sz w:val="24"/>
              </w:rPr>
              <w:t> </w:t>
            </w:r>
            <w:r>
              <w:rPr>
                <w:spacing w:val="-2"/>
                <w:sz w:val="24"/>
              </w:rPr>
              <w:t>programmes</w:t>
            </w:r>
            <w:r>
              <w:rPr>
                <w:spacing w:val="-11"/>
                <w:sz w:val="24"/>
              </w:rPr>
              <w:t> </w:t>
            </w:r>
            <w:r>
              <w:rPr>
                <w:spacing w:val="-2"/>
                <w:sz w:val="24"/>
              </w:rPr>
              <w:t>in</w:t>
            </w:r>
            <w:r>
              <w:rPr>
                <w:spacing w:val="-15"/>
                <w:sz w:val="24"/>
              </w:rPr>
              <w:t> </w:t>
            </w:r>
            <w:r>
              <w:rPr>
                <w:spacing w:val="-2"/>
                <w:sz w:val="24"/>
              </w:rPr>
              <w:t>place</w:t>
            </w:r>
            <w:r>
              <w:rPr>
                <w:spacing w:val="-10"/>
                <w:sz w:val="24"/>
              </w:rPr>
              <w:t> </w:t>
            </w:r>
            <w:r>
              <w:rPr>
                <w:spacing w:val="-2"/>
                <w:sz w:val="24"/>
              </w:rPr>
              <w:t>across</w:t>
            </w:r>
            <w:r>
              <w:rPr>
                <w:spacing w:val="-12"/>
                <w:sz w:val="24"/>
              </w:rPr>
              <w:t> </w:t>
            </w:r>
            <w:r>
              <w:rPr>
                <w:spacing w:val="-2"/>
                <w:sz w:val="24"/>
              </w:rPr>
              <w:t>subgroups</w:t>
            </w:r>
            <w:r>
              <w:rPr>
                <w:spacing w:val="-12"/>
                <w:sz w:val="24"/>
              </w:rPr>
              <w:t> </w:t>
            </w:r>
            <w:r>
              <w:rPr>
                <w:spacing w:val="-2"/>
                <w:sz w:val="24"/>
              </w:rPr>
              <w:t>vary</w:t>
            </w:r>
            <w:r>
              <w:rPr>
                <w:spacing w:val="-12"/>
                <w:sz w:val="24"/>
              </w:rPr>
              <w:t> </w:t>
            </w:r>
            <w:r>
              <w:rPr>
                <w:spacing w:val="-2"/>
                <w:sz w:val="24"/>
              </w:rPr>
              <w:t>in</w:t>
            </w:r>
            <w:r>
              <w:rPr>
                <w:spacing w:val="-11"/>
                <w:sz w:val="24"/>
              </w:rPr>
              <w:t> </w:t>
            </w:r>
            <w:r>
              <w:rPr>
                <w:spacing w:val="-2"/>
                <w:sz w:val="24"/>
              </w:rPr>
              <w:t>coverage</w:t>
            </w:r>
            <w:r>
              <w:rPr>
                <w:spacing w:val="-11"/>
                <w:sz w:val="24"/>
              </w:rPr>
              <w:t> </w:t>
            </w:r>
            <w:r>
              <w:rPr>
                <w:spacing w:val="-2"/>
                <w:sz w:val="24"/>
              </w:rPr>
              <w:t>and</w:t>
            </w:r>
            <w:r>
              <w:rPr>
                <w:spacing w:val="-11"/>
                <w:sz w:val="24"/>
              </w:rPr>
              <w:t> </w:t>
            </w:r>
            <w:r>
              <w:rPr>
                <w:spacing w:val="-2"/>
                <w:sz w:val="24"/>
              </w:rPr>
              <w:t>maturity,</w:t>
            </w:r>
            <w:r>
              <w:rPr>
                <w:spacing w:val="-13"/>
                <w:sz w:val="24"/>
              </w:rPr>
              <w:t> </w:t>
            </w:r>
            <w:r>
              <w:rPr>
                <w:spacing w:val="-2"/>
                <w:sz w:val="24"/>
              </w:rPr>
              <w:t>with </w:t>
            </w:r>
            <w:r>
              <w:rPr>
                <w:sz w:val="24"/>
              </w:rPr>
              <w:t>some</w:t>
            </w:r>
            <w:r>
              <w:rPr>
                <w:spacing w:val="-9"/>
                <w:sz w:val="24"/>
              </w:rPr>
              <w:t> </w:t>
            </w:r>
            <w:r>
              <w:rPr>
                <w:sz w:val="24"/>
              </w:rPr>
              <w:t>being</w:t>
            </w:r>
            <w:r>
              <w:rPr>
                <w:spacing w:val="-9"/>
                <w:sz w:val="24"/>
              </w:rPr>
              <w:t> </w:t>
            </w:r>
            <w:r>
              <w:rPr>
                <w:sz w:val="24"/>
              </w:rPr>
              <w:t>only</w:t>
            </w:r>
            <w:r>
              <w:rPr>
                <w:spacing w:val="-13"/>
                <w:sz w:val="24"/>
              </w:rPr>
              <w:t> </w:t>
            </w:r>
            <w:r>
              <w:rPr>
                <w:sz w:val="24"/>
              </w:rPr>
              <w:t>indicative</w:t>
            </w:r>
            <w:r>
              <w:rPr>
                <w:spacing w:val="-9"/>
                <w:sz w:val="24"/>
              </w:rPr>
              <w:t> </w:t>
            </w:r>
            <w:r>
              <w:rPr>
                <w:sz w:val="24"/>
              </w:rPr>
              <w:t>in</w:t>
            </w:r>
            <w:r>
              <w:rPr>
                <w:spacing w:val="-9"/>
                <w:sz w:val="24"/>
              </w:rPr>
              <w:t> </w:t>
            </w:r>
            <w:r>
              <w:rPr>
                <w:sz w:val="24"/>
              </w:rPr>
              <w:t>nature</w:t>
            </w:r>
            <w:r>
              <w:rPr>
                <w:spacing w:val="-12"/>
                <w:sz w:val="24"/>
              </w:rPr>
              <w:t> </w:t>
            </w:r>
            <w:r>
              <w:rPr>
                <w:sz w:val="24"/>
              </w:rPr>
              <w:t>and</w:t>
            </w:r>
            <w:r>
              <w:rPr>
                <w:spacing w:val="-13"/>
                <w:sz w:val="24"/>
              </w:rPr>
              <w:t> </w:t>
            </w:r>
            <w:r>
              <w:rPr>
                <w:sz w:val="24"/>
              </w:rPr>
              <w:t>with</w:t>
            </w:r>
            <w:r>
              <w:rPr>
                <w:spacing w:val="-8"/>
                <w:sz w:val="24"/>
              </w:rPr>
              <w:t> </w:t>
            </w:r>
            <w:r>
              <w:rPr>
                <w:sz w:val="24"/>
              </w:rPr>
              <w:t>a</w:t>
            </w:r>
            <w:r>
              <w:rPr>
                <w:spacing w:val="-9"/>
                <w:sz w:val="24"/>
              </w:rPr>
              <w:t> </w:t>
            </w:r>
            <w:r>
              <w:rPr>
                <w:sz w:val="24"/>
              </w:rPr>
              <w:t>less</w:t>
            </w:r>
            <w:r>
              <w:rPr>
                <w:spacing w:val="-10"/>
                <w:sz w:val="24"/>
              </w:rPr>
              <w:t> </w:t>
            </w:r>
            <w:r>
              <w:rPr>
                <w:sz w:val="24"/>
              </w:rPr>
              <w:t>consistent</w:t>
            </w:r>
            <w:r>
              <w:rPr>
                <w:spacing w:val="-16"/>
                <w:sz w:val="24"/>
              </w:rPr>
              <w:t> </w:t>
            </w:r>
            <w:r>
              <w:rPr>
                <w:sz w:val="24"/>
              </w:rPr>
              <w:t>defining</w:t>
            </w:r>
            <w:r>
              <w:rPr>
                <w:spacing w:val="-9"/>
                <w:sz w:val="24"/>
              </w:rPr>
              <w:t> </w:t>
            </w:r>
            <w:r>
              <w:rPr>
                <w:sz w:val="24"/>
              </w:rPr>
              <w:t>of</w:t>
            </w:r>
            <w:r>
              <w:rPr>
                <w:spacing w:val="-12"/>
                <w:sz w:val="24"/>
              </w:rPr>
              <w:t> </w:t>
            </w:r>
            <w:r>
              <w:rPr>
                <w:sz w:val="24"/>
              </w:rPr>
              <w:t>outputs, milestones and outcomes.</w:t>
            </w:r>
          </w:p>
          <w:p>
            <w:pPr>
              <w:pStyle w:val="TableParagraph"/>
              <w:numPr>
                <w:ilvl w:val="0"/>
                <w:numId w:val="99"/>
              </w:numPr>
              <w:tabs>
                <w:tab w:pos="830" w:val="left" w:leader="none"/>
              </w:tabs>
              <w:spacing w:line="276" w:lineRule="exact" w:before="0" w:after="0"/>
              <w:ind w:left="830" w:right="507" w:hanging="361"/>
              <w:jc w:val="left"/>
              <w:rPr>
                <w:sz w:val="24"/>
              </w:rPr>
            </w:pPr>
            <w:r>
              <w:rPr>
                <w:sz w:val="24"/>
              </w:rPr>
              <w:t>The</w:t>
            </w:r>
            <w:r>
              <w:rPr>
                <w:spacing w:val="-10"/>
                <w:sz w:val="24"/>
              </w:rPr>
              <w:t> </w:t>
            </w:r>
            <w:r>
              <w:rPr>
                <w:sz w:val="24"/>
              </w:rPr>
              <w:t>intention</w:t>
            </w:r>
            <w:r>
              <w:rPr>
                <w:spacing w:val="-10"/>
                <w:sz w:val="24"/>
              </w:rPr>
              <w:t> </w:t>
            </w:r>
            <w:r>
              <w:rPr>
                <w:sz w:val="24"/>
              </w:rPr>
              <w:t>to</w:t>
            </w:r>
            <w:r>
              <w:rPr>
                <w:spacing w:val="-10"/>
                <w:sz w:val="24"/>
              </w:rPr>
              <w:t> </w:t>
            </w:r>
            <w:r>
              <w:rPr>
                <w:sz w:val="24"/>
              </w:rPr>
              <w:t>develop</w:t>
            </w:r>
            <w:r>
              <w:rPr>
                <w:spacing w:val="-10"/>
                <w:sz w:val="24"/>
              </w:rPr>
              <w:t> </w:t>
            </w:r>
            <w:r>
              <w:rPr>
                <w:sz w:val="24"/>
              </w:rPr>
              <w:t>an</w:t>
            </w:r>
            <w:r>
              <w:rPr>
                <w:spacing w:val="-10"/>
                <w:sz w:val="24"/>
              </w:rPr>
              <w:t> </w:t>
            </w:r>
            <w:r>
              <w:rPr>
                <w:sz w:val="24"/>
              </w:rPr>
              <w:t>RJC</w:t>
            </w:r>
            <w:r>
              <w:rPr>
                <w:spacing w:val="-10"/>
                <w:sz w:val="24"/>
              </w:rPr>
              <w:t> </w:t>
            </w:r>
            <w:r>
              <w:rPr>
                <w:sz w:val="24"/>
              </w:rPr>
              <w:t>strategic</w:t>
            </w:r>
            <w:r>
              <w:rPr>
                <w:spacing w:val="-11"/>
                <w:sz w:val="24"/>
              </w:rPr>
              <w:t> </w:t>
            </w:r>
            <w:r>
              <w:rPr>
                <w:sz w:val="24"/>
              </w:rPr>
              <w:t>risk</w:t>
            </w:r>
            <w:r>
              <w:rPr>
                <w:spacing w:val="-11"/>
                <w:sz w:val="24"/>
              </w:rPr>
              <w:t> </w:t>
            </w:r>
            <w:r>
              <w:rPr>
                <w:sz w:val="24"/>
              </w:rPr>
              <w:t>register</w:t>
            </w:r>
            <w:r>
              <w:rPr>
                <w:spacing w:val="-11"/>
                <w:sz w:val="24"/>
              </w:rPr>
              <w:t> </w:t>
            </w:r>
            <w:r>
              <w:rPr>
                <w:sz w:val="24"/>
              </w:rPr>
              <w:t>could</w:t>
            </w:r>
            <w:r>
              <w:rPr>
                <w:spacing w:val="-10"/>
                <w:sz w:val="24"/>
              </w:rPr>
              <w:t> </w:t>
            </w:r>
            <w:r>
              <w:rPr>
                <w:sz w:val="24"/>
              </w:rPr>
              <w:t>be</w:t>
            </w:r>
            <w:r>
              <w:rPr>
                <w:spacing w:val="-10"/>
                <w:sz w:val="24"/>
              </w:rPr>
              <w:t> </w:t>
            </w:r>
            <w:r>
              <w:rPr>
                <w:sz w:val="24"/>
              </w:rPr>
              <w:t>strengthened</w:t>
            </w:r>
            <w:r>
              <w:rPr>
                <w:spacing w:val="-10"/>
                <w:sz w:val="24"/>
              </w:rPr>
              <w:t> </w:t>
            </w:r>
            <w:r>
              <w:rPr>
                <w:sz w:val="24"/>
              </w:rPr>
              <w:t>by</w:t>
            </w:r>
            <w:r>
              <w:rPr>
                <w:spacing w:val="-11"/>
                <w:sz w:val="24"/>
              </w:rPr>
              <w:t> </w:t>
            </w:r>
            <w:r>
              <w:rPr>
                <w:sz w:val="24"/>
              </w:rPr>
              <w:t>a </w:t>
            </w:r>
            <w:r>
              <w:rPr>
                <w:spacing w:val="-2"/>
                <w:sz w:val="24"/>
              </w:rPr>
              <w:t>programme-wide</w:t>
            </w:r>
            <w:r>
              <w:rPr>
                <w:spacing w:val="-15"/>
                <w:sz w:val="24"/>
              </w:rPr>
              <w:t> </w:t>
            </w:r>
            <w:r>
              <w:rPr>
                <w:spacing w:val="-2"/>
                <w:sz w:val="24"/>
              </w:rPr>
              <w:t>approach</w:t>
            </w:r>
            <w:r>
              <w:rPr>
                <w:spacing w:val="-15"/>
                <w:sz w:val="24"/>
              </w:rPr>
              <w:t> </w:t>
            </w:r>
            <w:r>
              <w:rPr>
                <w:spacing w:val="-2"/>
                <w:sz w:val="24"/>
              </w:rPr>
              <w:t>to</w:t>
            </w:r>
            <w:r>
              <w:rPr>
                <w:spacing w:val="-12"/>
                <w:sz w:val="24"/>
              </w:rPr>
              <w:t> </w:t>
            </w:r>
            <w:r>
              <w:rPr>
                <w:spacing w:val="-2"/>
                <w:sz w:val="24"/>
              </w:rPr>
              <w:t>risk</w:t>
            </w:r>
            <w:r>
              <w:rPr>
                <w:spacing w:val="-15"/>
                <w:sz w:val="24"/>
              </w:rPr>
              <w:t> </w:t>
            </w:r>
            <w:r>
              <w:rPr>
                <w:spacing w:val="-2"/>
                <w:sz w:val="24"/>
              </w:rPr>
              <w:t>management,</w:t>
            </w:r>
            <w:r>
              <w:rPr>
                <w:spacing w:val="-15"/>
                <w:sz w:val="24"/>
              </w:rPr>
              <w:t> </w:t>
            </w:r>
            <w:r>
              <w:rPr>
                <w:spacing w:val="-2"/>
                <w:sz w:val="24"/>
              </w:rPr>
              <w:t>to</w:t>
            </w:r>
            <w:r>
              <w:rPr>
                <w:spacing w:val="-14"/>
                <w:sz w:val="24"/>
              </w:rPr>
              <w:t> </w:t>
            </w:r>
            <w:r>
              <w:rPr>
                <w:spacing w:val="-2"/>
                <w:sz w:val="24"/>
              </w:rPr>
              <w:t>ensure</w:t>
            </w:r>
            <w:r>
              <w:rPr>
                <w:spacing w:val="-14"/>
                <w:sz w:val="24"/>
              </w:rPr>
              <w:t> </w:t>
            </w:r>
            <w:r>
              <w:rPr>
                <w:spacing w:val="-2"/>
                <w:sz w:val="24"/>
              </w:rPr>
              <w:t>delivery</w:t>
            </w:r>
            <w:r>
              <w:rPr>
                <w:spacing w:val="-15"/>
                <w:sz w:val="24"/>
              </w:rPr>
              <w:t> </w:t>
            </w:r>
            <w:r>
              <w:rPr>
                <w:spacing w:val="-2"/>
                <w:sz w:val="24"/>
              </w:rPr>
              <w:t>risks</w:t>
            </w:r>
            <w:r>
              <w:rPr>
                <w:spacing w:val="-14"/>
                <w:sz w:val="24"/>
              </w:rPr>
              <w:t> </w:t>
            </w:r>
            <w:r>
              <w:rPr>
                <w:spacing w:val="-2"/>
                <w:sz w:val="24"/>
              </w:rPr>
              <w:t>at</w:t>
            </w:r>
            <w:r>
              <w:rPr>
                <w:spacing w:val="-15"/>
                <w:sz w:val="24"/>
              </w:rPr>
              <w:t> </w:t>
            </w:r>
            <w:r>
              <w:rPr>
                <w:spacing w:val="-2"/>
                <w:sz w:val="24"/>
              </w:rPr>
              <w:t>subgroup </w:t>
            </w:r>
            <w:r>
              <w:rPr>
                <w:sz w:val="24"/>
              </w:rPr>
              <w:t>and</w:t>
            </w:r>
            <w:r>
              <w:rPr>
                <w:spacing w:val="-14"/>
                <w:sz w:val="24"/>
              </w:rPr>
              <w:t> </w:t>
            </w:r>
            <w:r>
              <w:rPr>
                <w:sz w:val="24"/>
              </w:rPr>
              <w:t>workstream</w:t>
            </w:r>
            <w:r>
              <w:rPr>
                <w:spacing w:val="-11"/>
                <w:sz w:val="24"/>
              </w:rPr>
              <w:t> </w:t>
            </w:r>
            <w:r>
              <w:rPr>
                <w:sz w:val="24"/>
              </w:rPr>
              <w:t>level</w:t>
            </w:r>
            <w:r>
              <w:rPr>
                <w:spacing w:val="-14"/>
                <w:sz w:val="24"/>
              </w:rPr>
              <w:t> </w:t>
            </w:r>
            <w:r>
              <w:rPr>
                <w:sz w:val="24"/>
              </w:rPr>
              <w:t>are</w:t>
            </w:r>
            <w:r>
              <w:rPr>
                <w:spacing w:val="-10"/>
                <w:sz w:val="24"/>
              </w:rPr>
              <w:t> </w:t>
            </w:r>
            <w:r>
              <w:rPr>
                <w:sz w:val="24"/>
              </w:rPr>
              <w:t>consistently</w:t>
            </w:r>
            <w:r>
              <w:rPr>
                <w:spacing w:val="-11"/>
                <w:sz w:val="24"/>
              </w:rPr>
              <w:t> </w:t>
            </w:r>
            <w:r>
              <w:rPr>
                <w:sz w:val="24"/>
              </w:rPr>
              <w:t>identified,</w:t>
            </w:r>
            <w:r>
              <w:rPr>
                <w:spacing w:val="-13"/>
                <w:sz w:val="24"/>
              </w:rPr>
              <w:t> </w:t>
            </w:r>
            <w:r>
              <w:rPr>
                <w:sz w:val="24"/>
              </w:rPr>
              <w:t>recorded</w:t>
            </w:r>
            <w:r>
              <w:rPr>
                <w:spacing w:val="-10"/>
                <w:sz w:val="24"/>
              </w:rPr>
              <w:t> </w:t>
            </w:r>
            <w:r>
              <w:rPr>
                <w:sz w:val="24"/>
              </w:rPr>
              <w:t>and</w:t>
            </w:r>
            <w:r>
              <w:rPr>
                <w:spacing w:val="-10"/>
                <w:sz w:val="24"/>
              </w:rPr>
              <w:t> </w:t>
            </w:r>
            <w:r>
              <w:rPr>
                <w:sz w:val="24"/>
              </w:rPr>
              <w:t>managed.</w:t>
            </w:r>
          </w:p>
        </w:tc>
      </w:tr>
    </w:tbl>
    <w:p>
      <w:pPr>
        <w:spacing w:before="176"/>
        <w:ind w:left="8" w:right="284" w:firstLine="0"/>
        <w:jc w:val="center"/>
        <w:rPr>
          <w:sz w:val="16"/>
        </w:rPr>
      </w:pPr>
      <w:r>
        <w:rPr>
          <w:spacing w:val="-2"/>
          <w:sz w:val="16"/>
        </w:rPr>
        <w:t>Page</w:t>
      </w:r>
      <w:r>
        <w:rPr>
          <w:spacing w:val="-7"/>
          <w:sz w:val="16"/>
        </w:rPr>
        <w:t> </w:t>
      </w:r>
      <w:r>
        <w:rPr>
          <w:spacing w:val="-2"/>
          <w:sz w:val="16"/>
        </w:rPr>
        <w:t>1</w:t>
      </w:r>
      <w:r>
        <w:rPr>
          <w:spacing w:val="-9"/>
          <w:sz w:val="16"/>
        </w:rPr>
        <w:t> </w:t>
      </w:r>
      <w:r>
        <w:rPr>
          <w:spacing w:val="-2"/>
          <w:sz w:val="16"/>
        </w:rPr>
        <w:t>of</w:t>
      </w:r>
      <w:r>
        <w:rPr>
          <w:spacing w:val="-9"/>
          <w:sz w:val="16"/>
        </w:rPr>
        <w:t> </w:t>
      </w:r>
      <w:r>
        <w:rPr>
          <w:spacing w:val="-10"/>
          <w:sz w:val="16"/>
        </w:rPr>
        <w:t>4</w:t>
      </w:r>
    </w:p>
    <w:p>
      <w:pPr>
        <w:spacing w:after="0"/>
        <w:jc w:val="center"/>
        <w:rPr>
          <w:sz w:val="16"/>
        </w:rPr>
        <w:sectPr>
          <w:pgSz w:w="11910" w:h="16840"/>
          <w:pgMar w:header="0" w:footer="149" w:top="220" w:bottom="34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587" name="Image 587"/>
            <wp:cNvGraphicFramePr>
              <a:graphicFrameLocks/>
            </wp:cNvGraphicFramePr>
            <a:graphic>
              <a:graphicData uri="http://schemas.openxmlformats.org/drawingml/2006/picture">
                <pic:pic>
                  <pic:nvPicPr>
                    <pic:cNvPr id="587" name="Image 587"/>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588" name="Image 588"/>
            <wp:cNvGraphicFramePr>
              <a:graphicFrameLocks/>
            </wp:cNvGraphicFramePr>
            <a:graphic>
              <a:graphicData uri="http://schemas.openxmlformats.org/drawingml/2006/picture">
                <pic:pic>
                  <pic:nvPicPr>
                    <pic:cNvPr id="588" name="Image 588"/>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1557" w:hRule="atLeast"/>
        </w:trPr>
        <w:tc>
          <w:tcPr>
            <w:tcW w:w="10069" w:type="dxa"/>
          </w:tcPr>
          <w:p>
            <w:pPr>
              <w:pStyle w:val="TableParagraph"/>
              <w:ind w:left="110"/>
              <w:rPr>
                <w:b/>
                <w:sz w:val="24"/>
              </w:rPr>
            </w:pPr>
            <w:r>
              <w:rPr>
                <w:b/>
                <w:color w:val="394871"/>
                <w:spacing w:val="-2"/>
                <w:sz w:val="24"/>
                <w:u w:val="single" w:color="394871"/>
              </w:rPr>
              <w:t>Asesiad</w:t>
            </w:r>
            <w:r>
              <w:rPr>
                <w:b/>
                <w:color w:val="394871"/>
                <w:spacing w:val="-12"/>
                <w:sz w:val="24"/>
                <w:u w:val="single" w:color="394871"/>
              </w:rPr>
              <w:t> </w:t>
            </w:r>
            <w:r>
              <w:rPr>
                <w:b/>
                <w:color w:val="394871"/>
                <w:spacing w:val="-2"/>
                <w:sz w:val="24"/>
                <w:u w:val="single" w:color="394871"/>
              </w:rPr>
              <w:t>/</w:t>
            </w:r>
            <w:r>
              <w:rPr>
                <w:b/>
                <w:color w:val="394871"/>
                <w:spacing w:val="-12"/>
                <w:sz w:val="24"/>
                <w:u w:val="single" w:color="394871"/>
              </w:rPr>
              <w:t> </w:t>
            </w:r>
            <w:r>
              <w:rPr>
                <w:b/>
                <w:color w:val="394871"/>
                <w:spacing w:val="-2"/>
                <w:sz w:val="24"/>
                <w:u w:val="single" w:color="394871"/>
              </w:rPr>
              <w:t>Assessment</w:t>
            </w:r>
          </w:p>
          <w:p>
            <w:pPr>
              <w:pStyle w:val="TableParagraph"/>
              <w:spacing w:line="275" w:lineRule="exact" w:before="274"/>
              <w:ind w:left="110"/>
              <w:rPr>
                <w:sz w:val="24"/>
              </w:rPr>
            </w:pPr>
            <w:r>
              <w:rPr>
                <w:spacing w:val="-2"/>
                <w:sz w:val="24"/>
              </w:rPr>
              <w:t>The</w:t>
            </w:r>
            <w:r>
              <w:rPr>
                <w:spacing w:val="-17"/>
                <w:sz w:val="24"/>
              </w:rPr>
              <w:t> </w:t>
            </w:r>
            <w:r>
              <w:rPr>
                <w:spacing w:val="-2"/>
                <w:sz w:val="24"/>
              </w:rPr>
              <w:t>management</w:t>
            </w:r>
            <w:r>
              <w:rPr>
                <w:spacing w:val="-15"/>
                <w:sz w:val="24"/>
              </w:rPr>
              <w:t> </w:t>
            </w:r>
            <w:r>
              <w:rPr>
                <w:spacing w:val="-2"/>
                <w:sz w:val="24"/>
              </w:rPr>
              <w:t>response</w:t>
            </w:r>
            <w:r>
              <w:rPr>
                <w:spacing w:val="-13"/>
                <w:sz w:val="24"/>
              </w:rPr>
              <w:t> </w:t>
            </w:r>
            <w:r>
              <w:rPr>
                <w:spacing w:val="-2"/>
                <w:sz w:val="24"/>
              </w:rPr>
              <w:t>has</w:t>
            </w:r>
            <w:r>
              <w:rPr>
                <w:spacing w:val="-15"/>
                <w:sz w:val="24"/>
              </w:rPr>
              <w:t> </w:t>
            </w:r>
            <w:r>
              <w:rPr>
                <w:spacing w:val="-2"/>
                <w:sz w:val="24"/>
              </w:rPr>
              <w:t>identified</w:t>
            </w:r>
            <w:r>
              <w:rPr>
                <w:spacing w:val="-7"/>
                <w:sz w:val="24"/>
              </w:rPr>
              <w:t> </w:t>
            </w:r>
            <w:r>
              <w:rPr>
                <w:spacing w:val="-2"/>
                <w:sz w:val="24"/>
              </w:rPr>
              <w:t>the</w:t>
            </w:r>
            <w:r>
              <w:rPr>
                <w:spacing w:val="-8"/>
                <w:sz w:val="24"/>
              </w:rPr>
              <w:t> </w:t>
            </w:r>
            <w:r>
              <w:rPr>
                <w:spacing w:val="-2"/>
                <w:sz w:val="24"/>
              </w:rPr>
              <w:t>following</w:t>
            </w:r>
            <w:r>
              <w:rPr>
                <w:spacing w:val="-15"/>
                <w:sz w:val="24"/>
              </w:rPr>
              <w:t> </w:t>
            </w:r>
            <w:r>
              <w:rPr>
                <w:spacing w:val="-2"/>
                <w:sz w:val="24"/>
              </w:rPr>
              <w:t>proposed</w:t>
            </w:r>
            <w:r>
              <w:rPr>
                <w:spacing w:val="-14"/>
                <w:sz w:val="24"/>
              </w:rPr>
              <w:t> </w:t>
            </w:r>
            <w:r>
              <w:rPr>
                <w:spacing w:val="-2"/>
                <w:sz w:val="24"/>
              </w:rPr>
              <w:t>actions</w:t>
            </w:r>
            <w:r>
              <w:rPr>
                <w:spacing w:val="-13"/>
                <w:sz w:val="24"/>
              </w:rPr>
              <w:t> </w:t>
            </w:r>
            <w:r>
              <w:rPr>
                <w:spacing w:val="-2"/>
                <w:sz w:val="24"/>
              </w:rPr>
              <w:t>against</w:t>
            </w:r>
            <w:r>
              <w:rPr>
                <w:spacing w:val="-15"/>
                <w:sz w:val="24"/>
              </w:rPr>
              <w:t> </w:t>
            </w:r>
            <w:r>
              <w:rPr>
                <w:spacing w:val="-2"/>
                <w:sz w:val="24"/>
              </w:rPr>
              <w:t>each</w:t>
            </w:r>
            <w:r>
              <w:rPr>
                <w:spacing w:val="-12"/>
                <w:sz w:val="24"/>
              </w:rPr>
              <w:t> </w:t>
            </w:r>
            <w:r>
              <w:rPr>
                <w:spacing w:val="-2"/>
                <w:sz w:val="24"/>
              </w:rPr>
              <w:t>of</w:t>
            </w:r>
            <w:r>
              <w:rPr>
                <w:spacing w:val="-10"/>
                <w:sz w:val="24"/>
              </w:rPr>
              <w:t> </w:t>
            </w:r>
            <w:r>
              <w:rPr>
                <w:spacing w:val="-5"/>
                <w:sz w:val="24"/>
              </w:rPr>
              <w:t>the</w:t>
            </w:r>
          </w:p>
          <w:p>
            <w:pPr>
              <w:pStyle w:val="TableParagraph"/>
              <w:spacing w:line="275" w:lineRule="exact"/>
              <w:ind w:left="110"/>
              <w:rPr>
                <w:sz w:val="24"/>
              </w:rPr>
            </w:pPr>
            <w:r>
              <w:rPr>
                <w:spacing w:val="-4"/>
                <w:sz w:val="24"/>
              </w:rPr>
              <w:t>review’s </w:t>
            </w:r>
            <w:r>
              <w:rPr>
                <w:spacing w:val="-2"/>
                <w:sz w:val="24"/>
              </w:rPr>
              <w:t>recommendations:</w:t>
            </w:r>
          </w:p>
          <w:p>
            <w:pPr>
              <w:pStyle w:val="TableParagraph"/>
              <w:spacing w:before="47"/>
              <w:rPr>
                <w:sz w:val="20"/>
              </w:rPr>
            </w:pPr>
          </w:p>
          <w:p>
            <w:pPr>
              <w:pStyle w:val="TableParagraph"/>
              <w:ind w:left="107"/>
              <w:rPr>
                <w:sz w:val="20"/>
              </w:rPr>
            </w:pPr>
            <w:r>
              <w:rPr>
                <w:sz w:val="20"/>
              </w:rPr>
              <w:drawing>
                <wp:inline distT="0" distB="0" distL="0" distR="0">
                  <wp:extent cx="6287956" cy="6312217"/>
                  <wp:effectExtent l="0" t="0" r="0" b="0"/>
                  <wp:docPr id="589" name="Image 589"/>
                  <wp:cNvGraphicFramePr>
                    <a:graphicFrameLocks/>
                  </wp:cNvGraphicFramePr>
                  <a:graphic>
                    <a:graphicData uri="http://schemas.openxmlformats.org/drawingml/2006/picture">
                      <pic:pic>
                        <pic:nvPicPr>
                          <pic:cNvPr id="589" name="Image 589"/>
                          <pic:cNvPicPr/>
                        </pic:nvPicPr>
                        <pic:blipFill>
                          <a:blip r:embed="rId78" cstate="print"/>
                          <a:stretch>
                            <a:fillRect/>
                          </a:stretch>
                        </pic:blipFill>
                        <pic:spPr>
                          <a:xfrm>
                            <a:off x="0" y="0"/>
                            <a:ext cx="6287956" cy="6312217"/>
                          </a:xfrm>
                          <a:prstGeom prst="rect">
                            <a:avLst/>
                          </a:prstGeom>
                        </pic:spPr>
                      </pic:pic>
                    </a:graphicData>
                  </a:graphic>
                </wp:inline>
              </w:drawing>
            </w:r>
            <w:r>
              <w:rPr>
                <w:sz w:val="20"/>
              </w:rPr>
            </w:r>
          </w:p>
          <w:p>
            <w:pPr>
              <w:pStyle w:val="TableParagraph"/>
              <w:spacing w:before="8"/>
              <w:rPr>
                <w:sz w:val="20"/>
              </w:rPr>
            </w:pP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79"/>
        <w:rPr>
          <w:sz w:val="16"/>
        </w:rPr>
      </w:pPr>
    </w:p>
    <w:p>
      <w:pPr>
        <w:spacing w:before="0"/>
        <w:ind w:left="8" w:right="284" w:firstLine="0"/>
        <w:jc w:val="center"/>
        <w:rPr>
          <w:sz w:val="16"/>
        </w:rPr>
      </w:pPr>
      <w:r>
        <w:rPr>
          <w:spacing w:val="-2"/>
          <w:sz w:val="16"/>
        </w:rPr>
        <w:t>Page</w:t>
      </w:r>
      <w:r>
        <w:rPr>
          <w:spacing w:val="-7"/>
          <w:sz w:val="16"/>
        </w:rPr>
        <w:t> </w:t>
      </w:r>
      <w:r>
        <w:rPr>
          <w:spacing w:val="-2"/>
          <w:sz w:val="16"/>
        </w:rPr>
        <w:t>2</w:t>
      </w:r>
      <w:r>
        <w:rPr>
          <w:spacing w:val="-9"/>
          <w:sz w:val="16"/>
        </w:rPr>
        <w:t> </w:t>
      </w:r>
      <w:r>
        <w:rPr>
          <w:spacing w:val="-2"/>
          <w:sz w:val="16"/>
        </w:rPr>
        <w:t>of</w:t>
      </w:r>
      <w:r>
        <w:rPr>
          <w:spacing w:val="-9"/>
          <w:sz w:val="16"/>
        </w:rPr>
        <w:t> </w:t>
      </w:r>
      <w:r>
        <w:rPr>
          <w:spacing w:val="-10"/>
          <w:sz w:val="16"/>
        </w:rPr>
        <w:t>4</w:t>
      </w:r>
    </w:p>
    <w:p>
      <w:pPr>
        <w:spacing w:after="0"/>
        <w:jc w:val="center"/>
        <w:rPr>
          <w:sz w:val="16"/>
        </w:rPr>
        <w:sectPr>
          <w:pgSz w:w="11910" w:h="16840"/>
          <w:pgMar w:header="0" w:footer="149" w:top="220" w:bottom="34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590" name="Image 590"/>
            <wp:cNvGraphicFramePr>
              <a:graphicFrameLocks/>
            </wp:cNvGraphicFramePr>
            <a:graphic>
              <a:graphicData uri="http://schemas.openxmlformats.org/drawingml/2006/picture">
                <pic:pic>
                  <pic:nvPicPr>
                    <pic:cNvPr id="590" name="Image 590"/>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591" name="Image 591"/>
            <wp:cNvGraphicFramePr>
              <a:graphicFrameLocks/>
            </wp:cNvGraphicFramePr>
            <a:graphic>
              <a:graphicData uri="http://schemas.openxmlformats.org/drawingml/2006/picture">
                <pic:pic>
                  <pic:nvPicPr>
                    <pic:cNvPr id="591" name="Image 591"/>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4758" w:hRule="atLeast"/>
        </w:trPr>
        <w:tc>
          <w:tcPr>
            <w:tcW w:w="10069" w:type="dxa"/>
          </w:tcPr>
          <w:p>
            <w:pPr>
              <w:pStyle w:val="TableParagraph"/>
              <w:spacing w:before="6"/>
              <w:rPr>
                <w:sz w:val="15"/>
              </w:rPr>
            </w:pPr>
          </w:p>
          <w:p>
            <w:pPr>
              <w:pStyle w:val="TableParagraph"/>
              <w:ind w:left="107"/>
              <w:rPr>
                <w:sz w:val="20"/>
              </w:rPr>
            </w:pPr>
            <w:r>
              <w:rPr>
                <w:sz w:val="20"/>
              </w:rPr>
              <w:drawing>
                <wp:inline distT="0" distB="0" distL="0" distR="0">
                  <wp:extent cx="6253761" cy="4374546"/>
                  <wp:effectExtent l="0" t="0" r="0" b="0"/>
                  <wp:docPr id="592" name="Image 592"/>
                  <wp:cNvGraphicFramePr>
                    <a:graphicFrameLocks/>
                  </wp:cNvGraphicFramePr>
                  <a:graphic>
                    <a:graphicData uri="http://schemas.openxmlformats.org/drawingml/2006/picture">
                      <pic:pic>
                        <pic:nvPicPr>
                          <pic:cNvPr id="592" name="Image 592"/>
                          <pic:cNvPicPr/>
                        </pic:nvPicPr>
                        <pic:blipFill>
                          <a:blip r:embed="rId79" cstate="print"/>
                          <a:stretch>
                            <a:fillRect/>
                          </a:stretch>
                        </pic:blipFill>
                        <pic:spPr>
                          <a:xfrm>
                            <a:off x="0" y="0"/>
                            <a:ext cx="6253761" cy="4374546"/>
                          </a:xfrm>
                          <a:prstGeom prst="rect">
                            <a:avLst/>
                          </a:prstGeom>
                        </pic:spPr>
                      </pic:pic>
                    </a:graphicData>
                  </a:graphic>
                </wp:inline>
              </w:drawing>
            </w:r>
            <w:r>
              <w:rPr>
                <w:sz w:val="20"/>
              </w:rPr>
            </w:r>
          </w:p>
          <w:p>
            <w:pPr>
              <w:pStyle w:val="TableParagraph"/>
              <w:spacing w:before="169" w:after="1"/>
              <w:rPr>
                <w:sz w:val="20"/>
              </w:rPr>
            </w:pPr>
          </w:p>
          <w:p>
            <w:pPr>
              <w:pStyle w:val="TableParagraph"/>
              <w:ind w:left="174"/>
              <w:rPr>
                <w:sz w:val="20"/>
              </w:rPr>
            </w:pPr>
            <w:r>
              <w:rPr>
                <w:sz w:val="20"/>
              </w:rPr>
              <w:drawing>
                <wp:inline distT="0" distB="0" distL="0" distR="0">
                  <wp:extent cx="6163422" cy="2487168"/>
                  <wp:effectExtent l="0" t="0" r="0" b="0"/>
                  <wp:docPr id="593" name="Image 593"/>
                  <wp:cNvGraphicFramePr>
                    <a:graphicFrameLocks/>
                  </wp:cNvGraphicFramePr>
                  <a:graphic>
                    <a:graphicData uri="http://schemas.openxmlformats.org/drawingml/2006/picture">
                      <pic:pic>
                        <pic:nvPicPr>
                          <pic:cNvPr id="593" name="Image 593"/>
                          <pic:cNvPicPr/>
                        </pic:nvPicPr>
                        <pic:blipFill>
                          <a:blip r:embed="rId80" cstate="print"/>
                          <a:stretch>
                            <a:fillRect/>
                          </a:stretch>
                        </pic:blipFill>
                        <pic:spPr>
                          <a:xfrm>
                            <a:off x="0" y="0"/>
                            <a:ext cx="6163422" cy="2487168"/>
                          </a:xfrm>
                          <a:prstGeom prst="rect">
                            <a:avLst/>
                          </a:prstGeom>
                        </pic:spPr>
                      </pic:pic>
                    </a:graphicData>
                  </a:graphic>
                </wp:inline>
              </w:drawing>
            </w:r>
            <w:r>
              <w:rPr>
                <w:sz w:val="20"/>
              </w:rPr>
            </w:r>
          </w:p>
          <w:p>
            <w:pPr>
              <w:pStyle w:val="TableParagraph"/>
              <w:spacing w:before="61"/>
              <w:rPr>
                <w:sz w:val="24"/>
              </w:rPr>
            </w:pPr>
          </w:p>
          <w:p>
            <w:pPr>
              <w:pStyle w:val="TableParagraph"/>
              <w:ind w:left="110" w:right="212"/>
              <w:rPr>
                <w:sz w:val="24"/>
              </w:rPr>
            </w:pPr>
            <w:r>
              <w:rPr>
                <w:spacing w:val="-2"/>
                <w:sz w:val="24"/>
              </w:rPr>
              <w:t>Actions</w:t>
            </w:r>
            <w:r>
              <w:rPr>
                <w:spacing w:val="-13"/>
                <w:sz w:val="24"/>
              </w:rPr>
              <w:t> </w:t>
            </w:r>
            <w:r>
              <w:rPr>
                <w:spacing w:val="-2"/>
                <w:sz w:val="24"/>
              </w:rPr>
              <w:t>in</w:t>
            </w:r>
            <w:r>
              <w:rPr>
                <w:spacing w:val="-12"/>
                <w:sz w:val="24"/>
              </w:rPr>
              <w:t> </w:t>
            </w:r>
            <w:r>
              <w:rPr>
                <w:spacing w:val="-2"/>
                <w:sz w:val="24"/>
              </w:rPr>
              <w:t>response</w:t>
            </w:r>
            <w:r>
              <w:rPr>
                <w:spacing w:val="-12"/>
                <w:sz w:val="24"/>
              </w:rPr>
              <w:t> </w:t>
            </w:r>
            <w:r>
              <w:rPr>
                <w:spacing w:val="-2"/>
                <w:sz w:val="24"/>
              </w:rPr>
              <w:t>to</w:t>
            </w:r>
            <w:r>
              <w:rPr>
                <w:spacing w:val="-8"/>
                <w:sz w:val="24"/>
              </w:rPr>
              <w:t> </w:t>
            </w:r>
            <w:r>
              <w:rPr>
                <w:spacing w:val="-2"/>
                <w:sz w:val="24"/>
              </w:rPr>
              <w:t>three</w:t>
            </w:r>
            <w:r>
              <w:rPr>
                <w:spacing w:val="-12"/>
                <w:sz w:val="24"/>
              </w:rPr>
              <w:t> </w:t>
            </w:r>
            <w:r>
              <w:rPr>
                <w:spacing w:val="-2"/>
                <w:sz w:val="24"/>
              </w:rPr>
              <w:t>of</w:t>
            </w:r>
            <w:r>
              <w:rPr>
                <w:spacing w:val="-15"/>
                <w:sz w:val="24"/>
              </w:rPr>
              <w:t> </w:t>
            </w:r>
            <w:r>
              <w:rPr>
                <w:spacing w:val="-2"/>
                <w:sz w:val="24"/>
              </w:rPr>
              <w:t>the</w:t>
            </w:r>
            <w:r>
              <w:rPr>
                <w:spacing w:val="-12"/>
                <w:sz w:val="24"/>
              </w:rPr>
              <w:t> </w:t>
            </w:r>
            <w:r>
              <w:rPr>
                <w:spacing w:val="-2"/>
                <w:sz w:val="24"/>
              </w:rPr>
              <w:t>advisory</w:t>
            </w:r>
            <w:r>
              <w:rPr>
                <w:spacing w:val="-13"/>
                <w:sz w:val="24"/>
              </w:rPr>
              <w:t> </w:t>
            </w:r>
            <w:r>
              <w:rPr>
                <w:spacing w:val="-2"/>
                <w:sz w:val="24"/>
              </w:rPr>
              <w:t>review’s</w:t>
            </w:r>
            <w:r>
              <w:rPr>
                <w:spacing w:val="-13"/>
                <w:sz w:val="24"/>
              </w:rPr>
              <w:t> </w:t>
            </w:r>
            <w:r>
              <w:rPr>
                <w:spacing w:val="-2"/>
                <w:sz w:val="24"/>
              </w:rPr>
              <w:t>recommendations</w:t>
            </w:r>
            <w:r>
              <w:rPr>
                <w:spacing w:val="-13"/>
                <w:sz w:val="24"/>
              </w:rPr>
              <w:t> </w:t>
            </w:r>
            <w:r>
              <w:rPr>
                <w:spacing w:val="-2"/>
                <w:sz w:val="24"/>
              </w:rPr>
              <w:t>will</w:t>
            </w:r>
            <w:r>
              <w:rPr>
                <w:spacing w:val="-12"/>
                <w:sz w:val="24"/>
              </w:rPr>
              <w:t> </w:t>
            </w:r>
            <w:r>
              <w:rPr>
                <w:spacing w:val="-2"/>
                <w:sz w:val="24"/>
              </w:rPr>
              <w:t>be</w:t>
            </w:r>
            <w:r>
              <w:rPr>
                <w:spacing w:val="-12"/>
                <w:sz w:val="24"/>
              </w:rPr>
              <w:t> </w:t>
            </w:r>
            <w:r>
              <w:rPr>
                <w:spacing w:val="-2"/>
                <w:sz w:val="24"/>
              </w:rPr>
              <w:t>complete</w:t>
            </w:r>
            <w:r>
              <w:rPr>
                <w:spacing w:val="-12"/>
                <w:sz w:val="24"/>
              </w:rPr>
              <w:t> </w:t>
            </w:r>
            <w:r>
              <w:rPr>
                <w:spacing w:val="-2"/>
                <w:sz w:val="24"/>
              </w:rPr>
              <w:t>by</w:t>
            </w:r>
            <w:r>
              <w:rPr>
                <w:spacing w:val="-13"/>
                <w:sz w:val="24"/>
              </w:rPr>
              <w:t> </w:t>
            </w:r>
            <w:r>
              <w:rPr>
                <w:spacing w:val="-2"/>
                <w:sz w:val="24"/>
              </w:rPr>
              <w:t>the </w:t>
            </w:r>
            <w:r>
              <w:rPr>
                <w:sz w:val="24"/>
              </w:rPr>
              <w:t>13</w:t>
            </w:r>
            <w:r>
              <w:rPr>
                <w:spacing w:val="-8"/>
                <w:sz w:val="24"/>
              </w:rPr>
              <w:t> </w:t>
            </w:r>
            <w:r>
              <w:rPr>
                <w:sz w:val="24"/>
              </w:rPr>
              <w:t>October</w:t>
            </w:r>
            <w:r>
              <w:rPr>
                <w:spacing w:val="-9"/>
                <w:sz w:val="24"/>
              </w:rPr>
              <w:t> </w:t>
            </w:r>
            <w:r>
              <w:rPr>
                <w:sz w:val="24"/>
              </w:rPr>
              <w:t>2026</w:t>
            </w:r>
            <w:r>
              <w:rPr>
                <w:spacing w:val="-13"/>
                <w:sz w:val="24"/>
              </w:rPr>
              <w:t> </w:t>
            </w:r>
            <w:r>
              <w:rPr>
                <w:sz w:val="24"/>
              </w:rPr>
              <w:t>RJC</w:t>
            </w:r>
            <w:r>
              <w:rPr>
                <w:spacing w:val="-8"/>
                <w:sz w:val="24"/>
              </w:rPr>
              <w:t> </w:t>
            </w:r>
            <w:r>
              <w:rPr>
                <w:sz w:val="24"/>
              </w:rPr>
              <w:t>meeting</w:t>
            </w:r>
            <w:r>
              <w:rPr>
                <w:spacing w:val="-8"/>
                <w:sz w:val="24"/>
              </w:rPr>
              <w:t> </w:t>
            </w:r>
            <w:r>
              <w:rPr>
                <w:sz w:val="24"/>
              </w:rPr>
              <w:t>with</w:t>
            </w:r>
            <w:r>
              <w:rPr>
                <w:spacing w:val="-8"/>
                <w:sz w:val="24"/>
              </w:rPr>
              <w:t> </w:t>
            </w:r>
            <w:r>
              <w:rPr>
                <w:sz w:val="24"/>
              </w:rPr>
              <w:t>the</w:t>
            </w:r>
            <w:r>
              <w:rPr>
                <w:spacing w:val="-13"/>
                <w:sz w:val="24"/>
              </w:rPr>
              <w:t> </w:t>
            </w:r>
            <w:r>
              <w:rPr>
                <w:sz w:val="24"/>
              </w:rPr>
              <w:t>annual</w:t>
            </w:r>
            <w:r>
              <w:rPr>
                <w:spacing w:val="-8"/>
                <w:sz w:val="24"/>
              </w:rPr>
              <w:t> </w:t>
            </w:r>
            <w:r>
              <w:rPr>
                <w:sz w:val="24"/>
              </w:rPr>
              <w:t>review</w:t>
            </w:r>
            <w:r>
              <w:rPr>
                <w:spacing w:val="-13"/>
                <w:sz w:val="24"/>
              </w:rPr>
              <w:t> </w:t>
            </w:r>
            <w:r>
              <w:rPr>
                <w:sz w:val="24"/>
              </w:rPr>
              <w:t>of</w:t>
            </w:r>
            <w:r>
              <w:rPr>
                <w:spacing w:val="-6"/>
                <w:sz w:val="24"/>
              </w:rPr>
              <w:t> </w:t>
            </w:r>
            <w:r>
              <w:rPr>
                <w:sz w:val="24"/>
              </w:rPr>
              <w:t>the</w:t>
            </w:r>
            <w:r>
              <w:rPr>
                <w:spacing w:val="-8"/>
                <w:sz w:val="24"/>
              </w:rPr>
              <w:t> </w:t>
            </w:r>
            <w:r>
              <w:rPr>
                <w:sz w:val="24"/>
              </w:rPr>
              <w:t>Terms</w:t>
            </w:r>
            <w:r>
              <w:rPr>
                <w:spacing w:val="-14"/>
                <w:sz w:val="24"/>
              </w:rPr>
              <w:t> </w:t>
            </w:r>
            <w:r>
              <w:rPr>
                <w:sz w:val="24"/>
              </w:rPr>
              <w:t>of</w:t>
            </w:r>
            <w:r>
              <w:rPr>
                <w:spacing w:val="-11"/>
                <w:sz w:val="24"/>
              </w:rPr>
              <w:t> </w:t>
            </w:r>
            <w:r>
              <w:rPr>
                <w:sz w:val="24"/>
              </w:rPr>
              <w:t>Reference</w:t>
            </w:r>
            <w:r>
              <w:rPr>
                <w:spacing w:val="-8"/>
                <w:sz w:val="24"/>
              </w:rPr>
              <w:t> </w:t>
            </w:r>
            <w:r>
              <w:rPr>
                <w:sz w:val="24"/>
              </w:rPr>
              <w:t>for</w:t>
            </w:r>
            <w:r>
              <w:rPr>
                <w:spacing w:val="-9"/>
                <w:sz w:val="24"/>
              </w:rPr>
              <w:t> </w:t>
            </w:r>
            <w:r>
              <w:rPr>
                <w:sz w:val="24"/>
              </w:rPr>
              <w:t>the</w:t>
            </w:r>
            <w:r>
              <w:rPr>
                <w:spacing w:val="-13"/>
                <w:sz w:val="24"/>
              </w:rPr>
              <w:t> </w:t>
            </w:r>
            <w:r>
              <w:rPr>
                <w:sz w:val="24"/>
              </w:rPr>
              <w:t>RJC and</w:t>
            </w:r>
            <w:r>
              <w:rPr>
                <w:spacing w:val="-11"/>
                <w:sz w:val="24"/>
              </w:rPr>
              <w:t> </w:t>
            </w:r>
            <w:r>
              <w:rPr>
                <w:sz w:val="24"/>
              </w:rPr>
              <w:t>those</w:t>
            </w:r>
            <w:r>
              <w:rPr>
                <w:spacing w:val="-11"/>
                <w:sz w:val="24"/>
              </w:rPr>
              <w:t> </w:t>
            </w:r>
            <w:r>
              <w:rPr>
                <w:sz w:val="24"/>
              </w:rPr>
              <w:t>of</w:t>
            </w:r>
            <w:r>
              <w:rPr>
                <w:spacing w:val="-14"/>
                <w:sz w:val="24"/>
              </w:rPr>
              <w:t> </w:t>
            </w:r>
            <w:r>
              <w:rPr>
                <w:sz w:val="24"/>
              </w:rPr>
              <w:t>its</w:t>
            </w:r>
            <w:r>
              <w:rPr>
                <w:spacing w:val="-12"/>
                <w:sz w:val="24"/>
              </w:rPr>
              <w:t> </w:t>
            </w:r>
            <w:r>
              <w:rPr>
                <w:sz w:val="24"/>
              </w:rPr>
              <w:t>subgroups</w:t>
            </w:r>
            <w:r>
              <w:rPr>
                <w:spacing w:val="-12"/>
                <w:sz w:val="24"/>
              </w:rPr>
              <w:t> </w:t>
            </w:r>
            <w:r>
              <w:rPr>
                <w:sz w:val="24"/>
              </w:rPr>
              <w:t>presented</w:t>
            </w:r>
            <w:r>
              <w:rPr>
                <w:spacing w:val="-6"/>
                <w:sz w:val="24"/>
              </w:rPr>
              <w:t> </w:t>
            </w:r>
            <w:r>
              <w:rPr>
                <w:sz w:val="24"/>
              </w:rPr>
              <w:t>to</w:t>
            </w:r>
            <w:r>
              <w:rPr>
                <w:spacing w:val="-11"/>
                <w:sz w:val="24"/>
              </w:rPr>
              <w:t> </w:t>
            </w:r>
            <w:r>
              <w:rPr>
                <w:sz w:val="24"/>
              </w:rPr>
              <w:t>the</w:t>
            </w:r>
            <w:r>
              <w:rPr>
                <w:spacing w:val="-16"/>
                <w:sz w:val="24"/>
              </w:rPr>
              <w:t> </w:t>
            </w:r>
            <w:r>
              <w:rPr>
                <w:sz w:val="24"/>
              </w:rPr>
              <w:t>RJC</w:t>
            </w:r>
            <w:r>
              <w:rPr>
                <w:spacing w:val="-6"/>
                <w:sz w:val="24"/>
              </w:rPr>
              <w:t> </w:t>
            </w:r>
            <w:r>
              <w:rPr>
                <w:sz w:val="24"/>
              </w:rPr>
              <w:t>for</w:t>
            </w:r>
            <w:r>
              <w:rPr>
                <w:spacing w:val="-12"/>
                <w:sz w:val="24"/>
              </w:rPr>
              <w:t> </w:t>
            </w:r>
            <w:r>
              <w:rPr>
                <w:sz w:val="24"/>
              </w:rPr>
              <w:t>approval,</w:t>
            </w:r>
            <w:r>
              <w:rPr>
                <w:spacing w:val="-14"/>
                <w:sz w:val="24"/>
              </w:rPr>
              <w:t> </w:t>
            </w:r>
            <w:r>
              <w:rPr>
                <w:sz w:val="24"/>
              </w:rPr>
              <w:t>together</w:t>
            </w:r>
            <w:r>
              <w:rPr>
                <w:spacing w:val="-12"/>
                <w:sz w:val="24"/>
              </w:rPr>
              <w:t> </w:t>
            </w:r>
            <w:r>
              <w:rPr>
                <w:sz w:val="24"/>
              </w:rPr>
              <w:t>with</w:t>
            </w:r>
            <w:r>
              <w:rPr>
                <w:spacing w:val="-11"/>
                <w:sz w:val="24"/>
              </w:rPr>
              <w:t> </w:t>
            </w:r>
            <w:r>
              <w:rPr>
                <w:sz w:val="24"/>
              </w:rPr>
              <w:t>the</w:t>
            </w:r>
            <w:r>
              <w:rPr>
                <w:spacing w:val="-6"/>
                <w:sz w:val="24"/>
              </w:rPr>
              <w:t> </w:t>
            </w:r>
            <w:r>
              <w:rPr>
                <w:sz w:val="24"/>
              </w:rPr>
              <w:t>refreshed Annual</w:t>
            </w:r>
            <w:r>
              <w:rPr>
                <w:spacing w:val="-7"/>
                <w:sz w:val="24"/>
              </w:rPr>
              <w:t> </w:t>
            </w:r>
            <w:r>
              <w:rPr>
                <w:sz w:val="24"/>
              </w:rPr>
              <w:t>Work</w:t>
            </w:r>
            <w:r>
              <w:rPr>
                <w:spacing w:val="-8"/>
                <w:sz w:val="24"/>
              </w:rPr>
              <w:t> </w:t>
            </w:r>
            <w:r>
              <w:rPr>
                <w:sz w:val="24"/>
              </w:rPr>
              <w:t>Programme</w:t>
            </w:r>
            <w:r>
              <w:rPr>
                <w:spacing w:val="-7"/>
                <w:sz w:val="24"/>
              </w:rPr>
              <w:t> </w:t>
            </w:r>
            <w:r>
              <w:rPr>
                <w:sz w:val="24"/>
              </w:rPr>
              <w:t>and</w:t>
            </w:r>
            <w:r>
              <w:rPr>
                <w:spacing w:val="-2"/>
                <w:sz w:val="24"/>
              </w:rPr>
              <w:t> </w:t>
            </w:r>
            <w:r>
              <w:rPr>
                <w:sz w:val="24"/>
              </w:rPr>
              <w:t>the</w:t>
            </w:r>
            <w:r>
              <w:rPr>
                <w:spacing w:val="-7"/>
                <w:sz w:val="24"/>
              </w:rPr>
              <w:t> </w:t>
            </w:r>
            <w:r>
              <w:rPr>
                <w:sz w:val="24"/>
              </w:rPr>
              <w:t>RJC</w:t>
            </w:r>
            <w:r>
              <w:rPr>
                <w:spacing w:val="-4"/>
                <w:sz w:val="24"/>
              </w:rPr>
              <w:t> </w:t>
            </w:r>
            <w:r>
              <w:rPr>
                <w:sz w:val="24"/>
              </w:rPr>
              <w:t>Strategic</w:t>
            </w:r>
            <w:r>
              <w:rPr>
                <w:spacing w:val="-3"/>
                <w:sz w:val="24"/>
              </w:rPr>
              <w:t> </w:t>
            </w:r>
            <w:r>
              <w:rPr>
                <w:sz w:val="24"/>
              </w:rPr>
              <w:t>Risk</w:t>
            </w:r>
            <w:r>
              <w:rPr>
                <w:spacing w:val="-8"/>
                <w:sz w:val="24"/>
              </w:rPr>
              <w:t> </w:t>
            </w:r>
            <w:r>
              <w:rPr>
                <w:sz w:val="24"/>
              </w:rPr>
              <w:t>Register.</w:t>
            </w:r>
          </w:p>
          <w:p>
            <w:pPr>
              <w:pStyle w:val="TableParagraph"/>
              <w:rPr>
                <w:sz w:val="24"/>
              </w:rPr>
            </w:pPr>
          </w:p>
          <w:p>
            <w:pPr>
              <w:pStyle w:val="TableParagraph"/>
              <w:ind w:left="110" w:right="117"/>
              <w:rPr>
                <w:sz w:val="24"/>
              </w:rPr>
            </w:pPr>
            <w:r>
              <w:rPr>
                <w:sz w:val="24"/>
              </w:rPr>
              <w:t>The</w:t>
            </w:r>
            <w:r>
              <w:rPr>
                <w:spacing w:val="-11"/>
                <w:sz w:val="24"/>
              </w:rPr>
              <w:t> </w:t>
            </w:r>
            <w:r>
              <w:rPr>
                <w:sz w:val="24"/>
              </w:rPr>
              <w:t>action</w:t>
            </w:r>
            <w:r>
              <w:rPr>
                <w:spacing w:val="-11"/>
                <w:sz w:val="24"/>
              </w:rPr>
              <w:t> </w:t>
            </w:r>
            <w:r>
              <w:rPr>
                <w:sz w:val="24"/>
              </w:rPr>
              <w:t>in</w:t>
            </w:r>
            <w:r>
              <w:rPr>
                <w:spacing w:val="-11"/>
                <w:sz w:val="24"/>
              </w:rPr>
              <w:t> </w:t>
            </w:r>
            <w:r>
              <w:rPr>
                <w:sz w:val="24"/>
              </w:rPr>
              <w:t>response</w:t>
            </w:r>
            <w:r>
              <w:rPr>
                <w:spacing w:val="-6"/>
                <w:sz w:val="24"/>
              </w:rPr>
              <w:t> </w:t>
            </w:r>
            <w:r>
              <w:rPr>
                <w:sz w:val="24"/>
              </w:rPr>
              <w:t>to</w:t>
            </w:r>
            <w:r>
              <w:rPr>
                <w:spacing w:val="-11"/>
                <w:sz w:val="24"/>
              </w:rPr>
              <w:t> </w:t>
            </w:r>
            <w:r>
              <w:rPr>
                <w:sz w:val="24"/>
              </w:rPr>
              <w:t>the</w:t>
            </w:r>
            <w:r>
              <w:rPr>
                <w:spacing w:val="-9"/>
                <w:sz w:val="24"/>
              </w:rPr>
              <w:t> </w:t>
            </w:r>
            <w:r>
              <w:rPr>
                <w:sz w:val="24"/>
              </w:rPr>
              <w:t>final</w:t>
            </w:r>
            <w:r>
              <w:rPr>
                <w:spacing w:val="-6"/>
                <w:sz w:val="24"/>
              </w:rPr>
              <w:t> </w:t>
            </w:r>
            <w:r>
              <w:rPr>
                <w:sz w:val="24"/>
              </w:rPr>
              <w:t>recommendation</w:t>
            </w:r>
            <w:r>
              <w:rPr>
                <w:spacing w:val="-16"/>
                <w:sz w:val="24"/>
              </w:rPr>
              <w:t> </w:t>
            </w:r>
            <w:r>
              <w:rPr>
                <w:sz w:val="24"/>
              </w:rPr>
              <w:t>will</w:t>
            </w:r>
            <w:r>
              <w:rPr>
                <w:spacing w:val="-11"/>
                <w:sz w:val="24"/>
              </w:rPr>
              <w:t> </w:t>
            </w:r>
            <w:r>
              <w:rPr>
                <w:sz w:val="24"/>
              </w:rPr>
              <w:t>be</w:t>
            </w:r>
            <w:r>
              <w:rPr>
                <w:spacing w:val="-11"/>
                <w:sz w:val="24"/>
              </w:rPr>
              <w:t> </w:t>
            </w:r>
            <w:r>
              <w:rPr>
                <w:sz w:val="24"/>
              </w:rPr>
              <w:t>complete</w:t>
            </w:r>
            <w:r>
              <w:rPr>
                <w:spacing w:val="-11"/>
                <w:sz w:val="24"/>
              </w:rPr>
              <w:t> </w:t>
            </w:r>
            <w:r>
              <w:rPr>
                <w:sz w:val="24"/>
              </w:rPr>
              <w:t>by</w:t>
            </w:r>
            <w:r>
              <w:rPr>
                <w:spacing w:val="-7"/>
                <w:sz w:val="24"/>
              </w:rPr>
              <w:t> </w:t>
            </w:r>
            <w:r>
              <w:rPr>
                <w:sz w:val="24"/>
              </w:rPr>
              <w:t>the</w:t>
            </w:r>
            <w:r>
              <w:rPr>
                <w:spacing w:val="-11"/>
                <w:sz w:val="24"/>
              </w:rPr>
              <w:t> </w:t>
            </w:r>
            <w:r>
              <w:rPr>
                <w:sz w:val="24"/>
              </w:rPr>
              <w:t>date</w:t>
            </w:r>
            <w:r>
              <w:rPr>
                <w:spacing w:val="-11"/>
                <w:sz w:val="24"/>
              </w:rPr>
              <w:t> </w:t>
            </w:r>
            <w:r>
              <w:rPr>
                <w:sz w:val="24"/>
              </w:rPr>
              <w:t>of</w:t>
            </w:r>
            <w:r>
              <w:rPr>
                <w:spacing w:val="-9"/>
                <w:sz w:val="24"/>
              </w:rPr>
              <w:t> </w:t>
            </w:r>
            <w:r>
              <w:rPr>
                <w:sz w:val="24"/>
              </w:rPr>
              <w:t>the</w:t>
            </w:r>
            <w:r>
              <w:rPr>
                <w:spacing w:val="-11"/>
                <w:sz w:val="24"/>
              </w:rPr>
              <w:t> </w:t>
            </w:r>
            <w:r>
              <w:rPr>
                <w:sz w:val="24"/>
              </w:rPr>
              <w:t>next RJC</w:t>
            </w:r>
            <w:r>
              <w:rPr>
                <w:spacing w:val="-9"/>
                <w:sz w:val="24"/>
              </w:rPr>
              <w:t> </w:t>
            </w:r>
            <w:r>
              <w:rPr>
                <w:sz w:val="24"/>
              </w:rPr>
              <w:t>meeting</w:t>
            </w:r>
            <w:r>
              <w:rPr>
                <w:spacing w:val="-9"/>
                <w:sz w:val="24"/>
              </w:rPr>
              <w:t> </w:t>
            </w:r>
            <w:r>
              <w:rPr>
                <w:sz w:val="24"/>
              </w:rPr>
              <w:t>on</w:t>
            </w:r>
            <w:r>
              <w:rPr>
                <w:spacing w:val="-9"/>
                <w:sz w:val="24"/>
              </w:rPr>
              <w:t> </w:t>
            </w:r>
            <w:r>
              <w:rPr>
                <w:sz w:val="24"/>
              </w:rPr>
              <w:t>5</w:t>
            </w:r>
            <w:r>
              <w:rPr>
                <w:spacing w:val="-9"/>
                <w:sz w:val="24"/>
              </w:rPr>
              <w:t> </w:t>
            </w:r>
            <w:r>
              <w:rPr>
                <w:sz w:val="24"/>
              </w:rPr>
              <w:t>February</w:t>
            </w:r>
            <w:r>
              <w:rPr>
                <w:spacing w:val="-14"/>
                <w:sz w:val="24"/>
              </w:rPr>
              <w:t> </w:t>
            </w:r>
            <w:r>
              <w:rPr>
                <w:sz w:val="24"/>
              </w:rPr>
              <w:t>2027</w:t>
            </w:r>
            <w:r>
              <w:rPr>
                <w:spacing w:val="-7"/>
                <w:sz w:val="24"/>
              </w:rPr>
              <w:t> </w:t>
            </w:r>
            <w:r>
              <w:rPr>
                <w:sz w:val="24"/>
              </w:rPr>
              <w:t>when</w:t>
            </w:r>
            <w:r>
              <w:rPr>
                <w:spacing w:val="-9"/>
                <w:sz w:val="24"/>
              </w:rPr>
              <w:t> </w:t>
            </w:r>
            <w:r>
              <w:rPr>
                <w:sz w:val="24"/>
              </w:rPr>
              <w:t>any</w:t>
            </w:r>
            <w:r>
              <w:rPr>
                <w:spacing w:val="-10"/>
                <w:sz w:val="24"/>
              </w:rPr>
              <w:t> </w:t>
            </w:r>
            <w:r>
              <w:rPr>
                <w:sz w:val="24"/>
              </w:rPr>
              <w:t>remaining</w:t>
            </w:r>
            <w:r>
              <w:rPr>
                <w:spacing w:val="-7"/>
                <w:sz w:val="24"/>
              </w:rPr>
              <w:t> </w:t>
            </w:r>
            <w:r>
              <w:rPr>
                <w:sz w:val="24"/>
              </w:rPr>
              <w:t>subgroup</w:t>
            </w:r>
            <w:r>
              <w:rPr>
                <w:spacing w:val="-14"/>
                <w:sz w:val="24"/>
              </w:rPr>
              <w:t> </w:t>
            </w:r>
            <w:r>
              <w:rPr>
                <w:sz w:val="24"/>
              </w:rPr>
              <w:t>programmes</w:t>
            </w:r>
            <w:r>
              <w:rPr>
                <w:spacing w:val="-10"/>
                <w:sz w:val="24"/>
              </w:rPr>
              <w:t> </w:t>
            </w:r>
            <w:r>
              <w:rPr>
                <w:sz w:val="24"/>
              </w:rPr>
              <w:t>will</w:t>
            </w:r>
            <w:r>
              <w:rPr>
                <w:spacing w:val="-9"/>
                <w:sz w:val="24"/>
              </w:rPr>
              <w:t> </w:t>
            </w:r>
            <w:r>
              <w:rPr>
                <w:sz w:val="24"/>
              </w:rPr>
              <w:t>be </w:t>
            </w:r>
            <w:r>
              <w:rPr>
                <w:spacing w:val="-2"/>
                <w:sz w:val="24"/>
              </w:rPr>
              <w:t>baselined,</w:t>
            </w:r>
            <w:r>
              <w:rPr>
                <w:spacing w:val="-15"/>
                <w:sz w:val="24"/>
              </w:rPr>
              <w:t> </w:t>
            </w:r>
            <w:r>
              <w:rPr>
                <w:spacing w:val="-2"/>
                <w:sz w:val="24"/>
              </w:rPr>
              <w:t>and</w:t>
            </w:r>
            <w:r>
              <w:rPr>
                <w:spacing w:val="-12"/>
                <w:sz w:val="24"/>
              </w:rPr>
              <w:t> </w:t>
            </w:r>
            <w:r>
              <w:rPr>
                <w:spacing w:val="-2"/>
                <w:sz w:val="24"/>
              </w:rPr>
              <w:t>performance</w:t>
            </w:r>
            <w:r>
              <w:rPr>
                <w:spacing w:val="-7"/>
                <w:sz w:val="24"/>
              </w:rPr>
              <w:t> </w:t>
            </w:r>
            <w:r>
              <w:rPr>
                <w:spacing w:val="-2"/>
                <w:sz w:val="24"/>
              </w:rPr>
              <w:t>reported</w:t>
            </w:r>
            <w:r>
              <w:rPr>
                <w:spacing w:val="-7"/>
                <w:sz w:val="24"/>
              </w:rPr>
              <w:t> </w:t>
            </w:r>
            <w:r>
              <w:rPr>
                <w:spacing w:val="-2"/>
                <w:sz w:val="24"/>
              </w:rPr>
              <w:t>to</w:t>
            </w:r>
            <w:r>
              <w:rPr>
                <w:spacing w:val="-12"/>
                <w:sz w:val="24"/>
              </w:rPr>
              <w:t> </w:t>
            </w:r>
            <w:r>
              <w:rPr>
                <w:spacing w:val="-2"/>
                <w:sz w:val="24"/>
              </w:rPr>
              <w:t>the</w:t>
            </w:r>
            <w:r>
              <w:rPr>
                <w:spacing w:val="-12"/>
                <w:sz w:val="24"/>
              </w:rPr>
              <w:t> </w:t>
            </w:r>
            <w:r>
              <w:rPr>
                <w:spacing w:val="-2"/>
                <w:sz w:val="24"/>
              </w:rPr>
              <w:t>RJC</w:t>
            </w:r>
            <w:r>
              <w:rPr>
                <w:spacing w:val="-12"/>
                <w:sz w:val="24"/>
              </w:rPr>
              <w:t> </w:t>
            </w:r>
            <w:r>
              <w:rPr>
                <w:spacing w:val="-2"/>
                <w:sz w:val="24"/>
              </w:rPr>
              <w:t>using</w:t>
            </w:r>
            <w:r>
              <w:rPr>
                <w:spacing w:val="-12"/>
                <w:sz w:val="24"/>
              </w:rPr>
              <w:t> </w:t>
            </w:r>
            <w:r>
              <w:rPr>
                <w:spacing w:val="-2"/>
                <w:sz w:val="24"/>
              </w:rPr>
              <w:t>the</w:t>
            </w:r>
            <w:r>
              <w:rPr>
                <w:spacing w:val="-7"/>
                <w:sz w:val="24"/>
              </w:rPr>
              <w:t> </w:t>
            </w:r>
            <w:r>
              <w:rPr>
                <w:spacing w:val="-2"/>
                <w:sz w:val="24"/>
              </w:rPr>
              <w:t>maturity</w:t>
            </w:r>
            <w:r>
              <w:rPr>
                <w:spacing w:val="-13"/>
                <w:sz w:val="24"/>
              </w:rPr>
              <w:t> </w:t>
            </w:r>
            <w:r>
              <w:rPr>
                <w:spacing w:val="-2"/>
                <w:sz w:val="24"/>
              </w:rPr>
              <w:t>matrix</w:t>
            </w:r>
            <w:r>
              <w:rPr>
                <w:spacing w:val="-9"/>
                <w:sz w:val="24"/>
              </w:rPr>
              <w:t> </w:t>
            </w:r>
            <w:r>
              <w:rPr>
                <w:spacing w:val="-2"/>
                <w:sz w:val="24"/>
              </w:rPr>
              <w:t>agreed</w:t>
            </w:r>
            <w:r>
              <w:rPr>
                <w:spacing w:val="-12"/>
                <w:sz w:val="24"/>
              </w:rPr>
              <w:t> </w:t>
            </w:r>
            <w:r>
              <w:rPr>
                <w:spacing w:val="-2"/>
                <w:sz w:val="24"/>
              </w:rPr>
              <w:t>as</w:t>
            </w:r>
            <w:r>
              <w:rPr>
                <w:spacing w:val="-13"/>
                <w:sz w:val="24"/>
              </w:rPr>
              <w:t> </w:t>
            </w:r>
            <w:r>
              <w:rPr>
                <w:spacing w:val="-2"/>
                <w:sz w:val="24"/>
              </w:rPr>
              <w:t>part</w:t>
            </w:r>
            <w:r>
              <w:rPr>
                <w:spacing w:val="-15"/>
                <w:sz w:val="24"/>
              </w:rPr>
              <w:t> </w:t>
            </w:r>
            <w:r>
              <w:rPr>
                <w:spacing w:val="-2"/>
                <w:sz w:val="24"/>
              </w:rPr>
              <w:t>of</w:t>
            </w:r>
            <w:r>
              <w:rPr>
                <w:spacing w:val="-10"/>
                <w:sz w:val="24"/>
              </w:rPr>
              <w:t> </w:t>
            </w:r>
            <w:r>
              <w:rPr>
                <w:spacing w:val="-2"/>
                <w:sz w:val="24"/>
              </w:rPr>
              <w:t>the </w:t>
            </w:r>
            <w:r>
              <w:rPr>
                <w:sz w:val="24"/>
              </w:rPr>
              <w:t>advisory</w:t>
            </w:r>
            <w:r>
              <w:rPr>
                <w:spacing w:val="-11"/>
                <w:sz w:val="24"/>
              </w:rPr>
              <w:t> </w:t>
            </w:r>
            <w:r>
              <w:rPr>
                <w:sz w:val="24"/>
              </w:rPr>
              <w:t>review’s</w:t>
            </w:r>
            <w:r>
              <w:rPr>
                <w:spacing w:val="-11"/>
                <w:sz w:val="24"/>
              </w:rPr>
              <w:t> </w:t>
            </w:r>
            <w:r>
              <w:rPr>
                <w:sz w:val="24"/>
              </w:rPr>
              <w:t>second</w:t>
            </w:r>
            <w:r>
              <w:rPr>
                <w:spacing w:val="-10"/>
                <w:sz w:val="24"/>
              </w:rPr>
              <w:t> </w:t>
            </w:r>
            <w:r>
              <w:rPr>
                <w:sz w:val="24"/>
              </w:rPr>
              <w:t>recommendation,</w:t>
            </w:r>
            <w:r>
              <w:rPr>
                <w:spacing w:val="-11"/>
                <w:sz w:val="24"/>
              </w:rPr>
              <w:t> </w:t>
            </w:r>
            <w:r>
              <w:rPr>
                <w:sz w:val="24"/>
              </w:rPr>
              <w:t>to</w:t>
            </w:r>
            <w:r>
              <w:rPr>
                <w:spacing w:val="-10"/>
                <w:sz w:val="24"/>
              </w:rPr>
              <w:t> </w:t>
            </w:r>
            <w:r>
              <w:rPr>
                <w:sz w:val="24"/>
              </w:rPr>
              <w:t>inform</w:t>
            </w:r>
            <w:r>
              <w:rPr>
                <w:spacing w:val="-11"/>
                <w:sz w:val="24"/>
              </w:rPr>
              <w:t> </w:t>
            </w:r>
            <w:r>
              <w:rPr>
                <w:sz w:val="24"/>
              </w:rPr>
              <w:t>RJC’s</w:t>
            </w:r>
            <w:r>
              <w:rPr>
                <w:spacing w:val="-15"/>
                <w:sz w:val="24"/>
              </w:rPr>
              <w:t> </w:t>
            </w:r>
            <w:r>
              <w:rPr>
                <w:sz w:val="24"/>
              </w:rPr>
              <w:t>oversight.</w:t>
            </w:r>
          </w:p>
        </w:tc>
      </w:tr>
    </w:tbl>
    <w:p>
      <w:pPr>
        <w:spacing w:before="106"/>
        <w:ind w:left="8" w:right="284" w:firstLine="0"/>
        <w:jc w:val="center"/>
        <w:rPr>
          <w:sz w:val="16"/>
        </w:rPr>
      </w:pPr>
      <w:r>
        <w:rPr>
          <w:spacing w:val="-2"/>
          <w:sz w:val="16"/>
        </w:rPr>
        <w:t>Page</w:t>
      </w:r>
      <w:r>
        <w:rPr>
          <w:spacing w:val="-7"/>
          <w:sz w:val="16"/>
        </w:rPr>
        <w:t> </w:t>
      </w:r>
      <w:r>
        <w:rPr>
          <w:spacing w:val="-2"/>
          <w:sz w:val="16"/>
        </w:rPr>
        <w:t>3</w:t>
      </w:r>
      <w:r>
        <w:rPr>
          <w:spacing w:val="-9"/>
          <w:sz w:val="16"/>
        </w:rPr>
        <w:t> </w:t>
      </w:r>
      <w:r>
        <w:rPr>
          <w:spacing w:val="-2"/>
          <w:sz w:val="16"/>
        </w:rPr>
        <w:t>of</w:t>
      </w:r>
      <w:r>
        <w:rPr>
          <w:spacing w:val="-9"/>
          <w:sz w:val="16"/>
        </w:rPr>
        <w:t> </w:t>
      </w:r>
      <w:r>
        <w:rPr>
          <w:spacing w:val="-10"/>
          <w:sz w:val="16"/>
        </w:rPr>
        <w:t>4</w:t>
      </w:r>
    </w:p>
    <w:p>
      <w:pPr>
        <w:spacing w:after="0"/>
        <w:jc w:val="center"/>
        <w:rPr>
          <w:sz w:val="16"/>
        </w:rPr>
        <w:sectPr>
          <w:pgSz w:w="11910" w:h="16840"/>
          <w:pgMar w:header="0" w:footer="149" w:top="220" w:bottom="340" w:left="708" w:right="425"/>
        </w:sectPr>
      </w:pPr>
    </w:p>
    <w:p>
      <w:pPr>
        <w:tabs>
          <w:tab w:pos="6732" w:val="left" w:leader="none"/>
        </w:tabs>
        <w:spacing w:line="240" w:lineRule="auto"/>
        <w:ind w:left="177" w:right="0" w:firstLine="0"/>
        <w:rPr>
          <w:sz w:val="20"/>
        </w:rPr>
      </w:pPr>
      <w:r>
        <w:rPr>
          <w:sz w:val="20"/>
        </w:rPr>
        <w:drawing>
          <wp:inline distT="0" distB="0" distL="0" distR="0">
            <wp:extent cx="2461004" cy="536543"/>
            <wp:effectExtent l="0" t="0" r="0" b="0"/>
            <wp:docPr id="594" name="Image 594"/>
            <wp:cNvGraphicFramePr>
              <a:graphicFrameLocks/>
            </wp:cNvGraphicFramePr>
            <a:graphic>
              <a:graphicData uri="http://schemas.openxmlformats.org/drawingml/2006/picture">
                <pic:pic>
                  <pic:nvPicPr>
                    <pic:cNvPr id="594" name="Image 594"/>
                    <pic:cNvPicPr/>
                  </pic:nvPicPr>
                  <pic:blipFill>
                    <a:blip r:embed="rId7" cstate="print"/>
                    <a:stretch>
                      <a:fillRect/>
                    </a:stretch>
                  </pic:blipFill>
                  <pic:spPr>
                    <a:xfrm>
                      <a:off x="0" y="0"/>
                      <a:ext cx="2461004" cy="536543"/>
                    </a:xfrm>
                    <a:prstGeom prst="rect">
                      <a:avLst/>
                    </a:prstGeom>
                  </pic:spPr>
                </pic:pic>
              </a:graphicData>
            </a:graphic>
          </wp:inline>
        </w:drawing>
      </w:r>
      <w:r>
        <w:rPr>
          <w:sz w:val="20"/>
        </w:rPr>
      </w:r>
      <w:r>
        <w:rPr>
          <w:sz w:val="20"/>
        </w:rPr>
        <w:tab/>
      </w:r>
      <w:r>
        <w:rPr>
          <w:sz w:val="20"/>
        </w:rPr>
        <w:drawing>
          <wp:inline distT="0" distB="0" distL="0" distR="0">
            <wp:extent cx="2223485" cy="510349"/>
            <wp:effectExtent l="0" t="0" r="0" b="0"/>
            <wp:docPr id="595" name="Image 595"/>
            <wp:cNvGraphicFramePr>
              <a:graphicFrameLocks/>
            </wp:cNvGraphicFramePr>
            <a:graphic>
              <a:graphicData uri="http://schemas.openxmlformats.org/drawingml/2006/picture">
                <pic:pic>
                  <pic:nvPicPr>
                    <pic:cNvPr id="595" name="Image 595"/>
                    <pic:cNvPicPr/>
                  </pic:nvPicPr>
                  <pic:blipFill>
                    <a:blip r:embed="rId8" cstate="print"/>
                    <a:stretch>
                      <a:fillRect/>
                    </a:stretch>
                  </pic:blipFill>
                  <pic:spPr>
                    <a:xfrm>
                      <a:off x="0" y="0"/>
                      <a:ext cx="2223485" cy="510349"/>
                    </a:xfrm>
                    <a:prstGeom prst="rect">
                      <a:avLst/>
                    </a:prstGeom>
                  </pic:spPr>
                </pic:pic>
              </a:graphicData>
            </a:graphic>
          </wp:inline>
        </w:drawing>
      </w:r>
      <w:r>
        <w:rPr>
          <w:sz w:val="20"/>
        </w:rPr>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9"/>
      </w:tblGrid>
      <w:tr>
        <w:trPr>
          <w:trHeight w:val="1380" w:hRule="atLeast"/>
        </w:trPr>
        <w:tc>
          <w:tcPr>
            <w:tcW w:w="10069" w:type="dxa"/>
          </w:tcPr>
          <w:p>
            <w:pPr>
              <w:pStyle w:val="TableParagraph"/>
              <w:ind w:left="110"/>
              <w:rPr>
                <w:b/>
                <w:sz w:val="24"/>
              </w:rPr>
            </w:pPr>
            <w:r>
              <w:rPr>
                <w:b/>
                <w:color w:val="394871"/>
                <w:spacing w:val="-4"/>
                <w:sz w:val="24"/>
                <w:u w:val="single" w:color="394871"/>
              </w:rPr>
              <w:t>Argymhelliad</w:t>
            </w:r>
            <w:r>
              <w:rPr>
                <w:b/>
                <w:color w:val="394871"/>
                <w:spacing w:val="-3"/>
                <w:sz w:val="24"/>
                <w:u w:val="single" w:color="394871"/>
              </w:rPr>
              <w:t> </w:t>
            </w:r>
            <w:r>
              <w:rPr>
                <w:b/>
                <w:color w:val="394871"/>
                <w:spacing w:val="-4"/>
                <w:sz w:val="24"/>
                <w:u w:val="single" w:color="394871"/>
              </w:rPr>
              <w:t>/</w:t>
            </w:r>
            <w:r>
              <w:rPr>
                <w:b/>
                <w:color w:val="394871"/>
                <w:spacing w:val="-2"/>
                <w:sz w:val="24"/>
                <w:u w:val="single" w:color="394871"/>
              </w:rPr>
              <w:t> </w:t>
            </w:r>
            <w:r>
              <w:rPr>
                <w:b/>
                <w:color w:val="394871"/>
                <w:spacing w:val="-4"/>
                <w:sz w:val="24"/>
                <w:u w:val="single" w:color="394871"/>
              </w:rPr>
              <w:t>Recommendation</w:t>
            </w:r>
          </w:p>
          <w:p>
            <w:pPr>
              <w:pStyle w:val="TableParagraph"/>
              <w:spacing w:before="274"/>
              <w:ind w:left="110"/>
              <w:rPr>
                <w:sz w:val="24"/>
              </w:rPr>
            </w:pPr>
            <w:r>
              <w:rPr>
                <w:spacing w:val="-2"/>
                <w:sz w:val="24"/>
              </w:rPr>
              <w:t>The</w:t>
            </w:r>
            <w:r>
              <w:rPr>
                <w:spacing w:val="-13"/>
                <w:sz w:val="24"/>
              </w:rPr>
              <w:t> </w:t>
            </w:r>
            <w:r>
              <w:rPr>
                <w:spacing w:val="-2"/>
                <w:sz w:val="24"/>
              </w:rPr>
              <w:t>Regional</w:t>
            </w:r>
            <w:r>
              <w:rPr>
                <w:spacing w:val="-12"/>
                <w:sz w:val="24"/>
              </w:rPr>
              <w:t> </w:t>
            </w:r>
            <w:r>
              <w:rPr>
                <w:spacing w:val="-2"/>
                <w:sz w:val="24"/>
              </w:rPr>
              <w:t>Joint</w:t>
            </w:r>
            <w:r>
              <w:rPr>
                <w:spacing w:val="-14"/>
                <w:sz w:val="24"/>
              </w:rPr>
              <w:t> </w:t>
            </w:r>
            <w:r>
              <w:rPr>
                <w:spacing w:val="-2"/>
                <w:sz w:val="24"/>
              </w:rPr>
              <w:t>Committee</w:t>
            </w:r>
            <w:r>
              <w:rPr>
                <w:spacing w:val="-12"/>
                <w:sz w:val="24"/>
              </w:rPr>
              <w:t> </w:t>
            </w:r>
            <w:r>
              <w:rPr>
                <w:spacing w:val="-2"/>
                <w:sz w:val="24"/>
              </w:rPr>
              <w:t>is</w:t>
            </w:r>
            <w:r>
              <w:rPr>
                <w:spacing w:val="-13"/>
                <w:sz w:val="24"/>
              </w:rPr>
              <w:t> </w:t>
            </w:r>
            <w:r>
              <w:rPr>
                <w:spacing w:val="-2"/>
                <w:sz w:val="24"/>
              </w:rPr>
              <w:t>asked</w:t>
            </w:r>
            <w:r>
              <w:rPr>
                <w:spacing w:val="-12"/>
                <w:sz w:val="24"/>
              </w:rPr>
              <w:t> </w:t>
            </w:r>
            <w:r>
              <w:rPr>
                <w:spacing w:val="-2"/>
                <w:sz w:val="24"/>
              </w:rPr>
              <w:t>to</w:t>
            </w:r>
            <w:r>
              <w:rPr>
                <w:spacing w:val="-7"/>
                <w:sz w:val="24"/>
              </w:rPr>
              <w:t> </w:t>
            </w:r>
            <w:r>
              <w:rPr>
                <w:spacing w:val="-2"/>
                <w:sz w:val="24"/>
              </w:rPr>
              <w:t>receive</w:t>
            </w:r>
            <w:r>
              <w:rPr>
                <w:spacing w:val="-15"/>
                <w:sz w:val="24"/>
              </w:rPr>
              <w:t> </w:t>
            </w:r>
            <w:r>
              <w:rPr>
                <w:spacing w:val="-2"/>
                <w:sz w:val="24"/>
              </w:rPr>
              <w:t>assurance</w:t>
            </w:r>
            <w:r>
              <w:rPr>
                <w:spacing w:val="-8"/>
                <w:sz w:val="24"/>
              </w:rPr>
              <w:t> </w:t>
            </w:r>
            <w:r>
              <w:rPr>
                <w:spacing w:val="-2"/>
                <w:sz w:val="24"/>
              </w:rPr>
              <w:t>on</w:t>
            </w:r>
            <w:r>
              <w:rPr>
                <w:spacing w:val="-12"/>
                <w:sz w:val="24"/>
              </w:rPr>
              <w:t> </w:t>
            </w:r>
            <w:r>
              <w:rPr>
                <w:spacing w:val="-2"/>
                <w:sz w:val="24"/>
              </w:rPr>
              <w:t>the</w:t>
            </w:r>
            <w:r>
              <w:rPr>
                <w:spacing w:val="-12"/>
                <w:sz w:val="24"/>
              </w:rPr>
              <w:t> </w:t>
            </w:r>
            <w:r>
              <w:rPr>
                <w:spacing w:val="-2"/>
                <w:sz w:val="24"/>
              </w:rPr>
              <w:t>actions</w:t>
            </w:r>
            <w:r>
              <w:rPr>
                <w:spacing w:val="-13"/>
                <w:sz w:val="24"/>
              </w:rPr>
              <w:t> </w:t>
            </w:r>
            <w:r>
              <w:rPr>
                <w:spacing w:val="-2"/>
                <w:sz w:val="24"/>
              </w:rPr>
              <w:t>proposed</w:t>
            </w:r>
            <w:r>
              <w:rPr>
                <w:spacing w:val="-12"/>
                <w:sz w:val="24"/>
              </w:rPr>
              <w:t> </w:t>
            </w:r>
            <w:r>
              <w:rPr>
                <w:spacing w:val="-2"/>
                <w:sz w:val="24"/>
              </w:rPr>
              <w:t>in </w:t>
            </w:r>
            <w:r>
              <w:rPr>
                <w:sz w:val="24"/>
              </w:rPr>
              <w:t>response</w:t>
            </w:r>
            <w:r>
              <w:rPr>
                <w:spacing w:val="-4"/>
                <w:sz w:val="24"/>
              </w:rPr>
              <w:t> </w:t>
            </w:r>
            <w:r>
              <w:rPr>
                <w:sz w:val="24"/>
              </w:rPr>
              <w:t>to the</w:t>
            </w:r>
            <w:r>
              <w:rPr>
                <w:spacing w:val="-4"/>
                <w:sz w:val="24"/>
              </w:rPr>
              <w:t> </w:t>
            </w:r>
            <w:r>
              <w:rPr>
                <w:sz w:val="24"/>
              </w:rPr>
              <w:t>advisory</w:t>
            </w:r>
            <w:r>
              <w:rPr>
                <w:spacing w:val="-5"/>
                <w:sz w:val="24"/>
              </w:rPr>
              <w:t> </w:t>
            </w:r>
            <w:r>
              <w:rPr>
                <w:sz w:val="24"/>
              </w:rPr>
              <w:t>review’s</w:t>
            </w:r>
            <w:r>
              <w:rPr>
                <w:spacing w:val="-5"/>
                <w:sz w:val="24"/>
              </w:rPr>
              <w:t> </w:t>
            </w:r>
            <w:r>
              <w:rPr>
                <w:sz w:val="24"/>
              </w:rPr>
              <w:t>recommendations.</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53"/>
        <w:rPr>
          <w:sz w:val="16"/>
        </w:rPr>
      </w:pPr>
    </w:p>
    <w:p>
      <w:pPr>
        <w:spacing w:before="0"/>
        <w:ind w:left="8" w:right="284" w:firstLine="0"/>
        <w:jc w:val="center"/>
        <w:rPr>
          <w:sz w:val="16"/>
        </w:rPr>
      </w:pPr>
      <w:r>
        <w:rPr>
          <w:spacing w:val="-2"/>
          <w:sz w:val="16"/>
        </w:rPr>
        <w:t>Page</w:t>
      </w:r>
      <w:r>
        <w:rPr>
          <w:spacing w:val="-7"/>
          <w:sz w:val="16"/>
        </w:rPr>
        <w:t> </w:t>
      </w:r>
      <w:r>
        <w:rPr>
          <w:spacing w:val="-2"/>
          <w:sz w:val="16"/>
        </w:rPr>
        <w:t>4</w:t>
      </w:r>
      <w:r>
        <w:rPr>
          <w:spacing w:val="-9"/>
          <w:sz w:val="16"/>
        </w:rPr>
        <w:t> </w:t>
      </w:r>
      <w:r>
        <w:rPr>
          <w:spacing w:val="-2"/>
          <w:sz w:val="16"/>
        </w:rPr>
        <w:t>of</w:t>
      </w:r>
      <w:r>
        <w:rPr>
          <w:spacing w:val="-9"/>
          <w:sz w:val="16"/>
        </w:rPr>
        <w:t> </w:t>
      </w:r>
      <w:r>
        <w:rPr>
          <w:spacing w:val="-10"/>
          <w:sz w:val="16"/>
        </w:rPr>
        <w:t>4</w:t>
      </w:r>
    </w:p>
    <w:p>
      <w:pPr>
        <w:spacing w:after="0"/>
        <w:jc w:val="center"/>
        <w:rPr>
          <w:sz w:val="16"/>
        </w:rPr>
        <w:sectPr>
          <w:pgSz w:w="11910" w:h="16840"/>
          <w:pgMar w:header="0" w:footer="149" w:top="220" w:bottom="340" w:left="708" w:right="425"/>
        </w:sectPr>
      </w:pPr>
    </w:p>
    <w:p>
      <w:pPr>
        <w:spacing w:before="89"/>
        <w:ind w:left="533" w:right="0" w:firstLine="0"/>
        <w:jc w:val="left"/>
        <w:rPr>
          <w:rFonts w:ascii="Verdana"/>
          <w:sz w:val="72"/>
        </w:rPr>
      </w:pPr>
      <w:bookmarkStart w:name="RJC 43b RJC Governance Arrangements Fina" w:id="75"/>
      <w:bookmarkEnd w:id="75"/>
      <w:r>
        <w:rPr/>
      </w:r>
      <w:r>
        <w:rPr>
          <w:rFonts w:ascii="Verdana"/>
          <w:color w:val="001F5F"/>
          <w:sz w:val="72"/>
        </w:rPr>
        <w:t>Regional</w:t>
      </w:r>
      <w:r>
        <w:rPr>
          <w:rFonts w:ascii="Verdana"/>
          <w:color w:val="001F5F"/>
          <w:spacing w:val="-18"/>
          <w:sz w:val="72"/>
        </w:rPr>
        <w:t> </w:t>
      </w:r>
      <w:r>
        <w:rPr>
          <w:rFonts w:ascii="Verdana"/>
          <w:color w:val="001F5F"/>
          <w:sz w:val="72"/>
        </w:rPr>
        <w:t>Joint</w:t>
      </w:r>
      <w:r>
        <w:rPr>
          <w:rFonts w:ascii="Verdana"/>
          <w:color w:val="001F5F"/>
          <w:spacing w:val="-16"/>
          <w:sz w:val="72"/>
        </w:rPr>
        <w:t> </w:t>
      </w:r>
      <w:r>
        <w:rPr>
          <w:rFonts w:ascii="Verdana"/>
          <w:color w:val="001F5F"/>
          <w:sz w:val="72"/>
        </w:rPr>
        <w:t>Committee</w:t>
      </w:r>
      <w:r>
        <w:rPr>
          <w:rFonts w:ascii="Verdana"/>
          <w:color w:val="001F5F"/>
          <w:spacing w:val="-15"/>
          <w:sz w:val="72"/>
        </w:rPr>
        <w:t> </w:t>
      </w:r>
      <w:r>
        <w:rPr>
          <w:rFonts w:ascii="Verdana"/>
          <w:color w:val="001F5F"/>
          <w:sz w:val="72"/>
        </w:rPr>
        <w:t>Governance </w:t>
      </w:r>
      <w:r>
        <w:rPr>
          <w:rFonts w:ascii="Verdana"/>
          <w:color w:val="001F5F"/>
          <w:spacing w:val="-2"/>
          <w:sz w:val="72"/>
        </w:rPr>
        <w:t>Arrangements</w:t>
      </w:r>
    </w:p>
    <w:p>
      <w:pPr>
        <w:spacing w:before="115"/>
        <w:ind w:left="569" w:right="0" w:firstLine="0"/>
        <w:jc w:val="left"/>
        <w:rPr>
          <w:rFonts w:ascii="Verdana"/>
          <w:sz w:val="56"/>
        </w:rPr>
      </w:pPr>
      <w:r>
        <w:rPr>
          <w:rFonts w:ascii="Verdana"/>
          <w:color w:val="001F5F"/>
          <w:sz w:val="56"/>
        </w:rPr>
        <w:t>Final</w:t>
      </w:r>
      <w:r>
        <w:rPr>
          <w:rFonts w:ascii="Verdana"/>
          <w:color w:val="001F5F"/>
          <w:spacing w:val="-19"/>
          <w:sz w:val="56"/>
        </w:rPr>
        <w:t> </w:t>
      </w:r>
      <w:r>
        <w:rPr>
          <w:rFonts w:ascii="Verdana"/>
          <w:color w:val="001F5F"/>
          <w:sz w:val="56"/>
        </w:rPr>
        <w:t>Advisory</w:t>
      </w:r>
      <w:r>
        <w:rPr>
          <w:rFonts w:ascii="Verdana"/>
          <w:color w:val="001F5F"/>
          <w:spacing w:val="-22"/>
          <w:sz w:val="56"/>
        </w:rPr>
        <w:t> </w:t>
      </w:r>
      <w:r>
        <w:rPr>
          <w:rFonts w:ascii="Verdana"/>
          <w:color w:val="001F5F"/>
          <w:spacing w:val="-2"/>
          <w:sz w:val="56"/>
        </w:rPr>
        <w:t>Report</w:t>
      </w:r>
    </w:p>
    <w:p>
      <w:pPr>
        <w:spacing w:before="154"/>
        <w:ind w:left="569" w:right="0" w:firstLine="0"/>
        <w:jc w:val="left"/>
        <w:rPr>
          <w:rFonts w:ascii="Verdana"/>
          <w:sz w:val="48"/>
        </w:rPr>
      </w:pPr>
      <w:r>
        <w:rPr>
          <w:rFonts w:ascii="Verdana"/>
          <w:color w:val="001F5F"/>
          <w:spacing w:val="-2"/>
          <w:sz w:val="48"/>
        </w:rPr>
        <w:t>2025/26</w:t>
      </w:r>
    </w:p>
    <w:p>
      <w:pPr>
        <w:spacing w:before="285"/>
        <w:ind w:left="569" w:right="6367" w:firstLine="0"/>
        <w:jc w:val="left"/>
        <w:rPr>
          <w:rFonts w:ascii="Verdana"/>
          <w:sz w:val="44"/>
        </w:rPr>
      </w:pPr>
      <w:r>
        <w:rPr>
          <w:rFonts w:ascii="Verdana"/>
          <w:color w:val="001F5F"/>
          <w:sz w:val="44"/>
        </w:rPr>
        <w:t>Swansea</w:t>
      </w:r>
      <w:r>
        <w:rPr>
          <w:rFonts w:ascii="Verdana"/>
          <w:color w:val="001F5F"/>
          <w:spacing w:val="-9"/>
          <w:sz w:val="44"/>
        </w:rPr>
        <w:t> </w:t>
      </w:r>
      <w:r>
        <w:rPr>
          <w:rFonts w:ascii="Verdana"/>
          <w:color w:val="001F5F"/>
          <w:sz w:val="44"/>
        </w:rPr>
        <w:t>Bay</w:t>
      </w:r>
      <w:r>
        <w:rPr>
          <w:rFonts w:ascii="Verdana"/>
          <w:color w:val="001F5F"/>
          <w:spacing w:val="-11"/>
          <w:sz w:val="44"/>
        </w:rPr>
        <w:t> </w:t>
      </w:r>
      <w:r>
        <w:rPr>
          <w:rFonts w:ascii="Verdana"/>
          <w:color w:val="001F5F"/>
          <w:sz w:val="44"/>
        </w:rPr>
        <w:t>University</w:t>
      </w:r>
      <w:r>
        <w:rPr>
          <w:rFonts w:ascii="Verdana"/>
          <w:color w:val="001F5F"/>
          <w:spacing w:val="-8"/>
          <w:sz w:val="44"/>
        </w:rPr>
        <w:t> </w:t>
      </w:r>
      <w:r>
        <w:rPr>
          <w:rFonts w:ascii="Verdana"/>
          <w:color w:val="001F5F"/>
          <w:sz w:val="44"/>
        </w:rPr>
        <w:t>Health</w:t>
      </w:r>
      <w:r>
        <w:rPr>
          <w:rFonts w:ascii="Verdana"/>
          <w:color w:val="001F5F"/>
          <w:spacing w:val="-8"/>
          <w:sz w:val="44"/>
        </w:rPr>
        <w:t> </w:t>
      </w:r>
      <w:r>
        <w:rPr>
          <w:rFonts w:ascii="Verdana"/>
          <w:color w:val="001F5F"/>
          <w:sz w:val="44"/>
        </w:rPr>
        <w:t>Board Hywel Dda University Health Board</w:t>
      </w: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76"/>
        <w:rPr>
          <w:rFonts w:ascii="Verdana"/>
          <w:sz w:val="20"/>
        </w:rPr>
      </w:pPr>
    </w:p>
    <w:p>
      <w:pPr>
        <w:pStyle w:val="BodyText"/>
        <w:spacing w:after="0"/>
        <w:rPr>
          <w:rFonts w:ascii="Verdana"/>
          <w:sz w:val="20"/>
        </w:rPr>
        <w:sectPr>
          <w:footerReference w:type="default" r:id="rId81"/>
          <w:pgSz w:w="16840" w:h="11910" w:orient="landscape"/>
          <w:pgMar w:header="0" w:footer="0" w:top="880" w:bottom="0" w:left="141" w:right="141"/>
        </w:sectPr>
      </w:pPr>
    </w:p>
    <w:p>
      <w:pPr>
        <w:spacing w:before="102"/>
        <w:ind w:left="675" w:right="0" w:firstLine="0"/>
        <w:jc w:val="left"/>
        <w:rPr>
          <w:rFonts w:ascii="Verdana"/>
          <w:b/>
          <w:sz w:val="20"/>
        </w:rPr>
      </w:pPr>
      <w:r>
        <w:rPr>
          <w:rFonts w:ascii="Verdana"/>
          <w:b/>
          <w:color w:val="001F5F"/>
          <w:spacing w:val="-2"/>
          <w:sz w:val="20"/>
        </w:rPr>
        <w:t>Contents</w:t>
      </w:r>
    </w:p>
    <w:sdt>
      <w:sdtPr>
        <w:docPartObj>
          <w:docPartGallery w:val="Table of Contents"/>
          <w:docPartUnique/>
        </w:docPartObj>
      </w:sdtPr>
      <w:sdtEndPr/>
      <w:sdtContent>
        <w:p>
          <w:pPr>
            <w:pStyle w:val="TOC1"/>
            <w:tabs>
              <w:tab w:pos="7404" w:val="right" w:leader="dot"/>
            </w:tabs>
            <w:spacing w:before="98"/>
          </w:pPr>
          <w:hyperlink w:history="true" w:anchor="_TOC_250003">
            <w:r>
              <w:rPr>
                <w:color w:val="001F5F"/>
              </w:rPr>
              <w:t>Executive</w:t>
            </w:r>
            <w:r>
              <w:rPr>
                <w:color w:val="001F5F"/>
                <w:spacing w:val="-4"/>
              </w:rPr>
              <w:t> </w:t>
            </w:r>
            <w:r>
              <w:rPr>
                <w:color w:val="001F5F"/>
                <w:spacing w:val="-2"/>
              </w:rPr>
              <w:t>Summary</w:t>
            </w:r>
            <w:r>
              <w:rPr>
                <w:color w:val="001F5F"/>
              </w:rPr>
              <w:tab/>
            </w:r>
            <w:r>
              <w:rPr>
                <w:color w:val="001F5F"/>
                <w:spacing w:val="-10"/>
              </w:rPr>
              <w:t>1</w:t>
            </w:r>
          </w:hyperlink>
        </w:p>
        <w:p>
          <w:pPr>
            <w:pStyle w:val="TOC1"/>
            <w:tabs>
              <w:tab w:pos="7404" w:val="right" w:leader="dot"/>
            </w:tabs>
          </w:pPr>
          <w:r>
            <w:rPr>
              <w:color w:val="001F5F"/>
            </w:rPr>
            <w:t>Findings</w:t>
          </w:r>
          <w:r>
            <w:rPr>
              <w:color w:val="001F5F"/>
              <w:spacing w:val="-3"/>
            </w:rPr>
            <w:t> </w:t>
          </w:r>
          <w:r>
            <w:rPr>
              <w:color w:val="001F5F"/>
            </w:rPr>
            <w:t>&amp;</w:t>
          </w:r>
          <w:r>
            <w:rPr>
              <w:color w:val="001F5F"/>
              <w:spacing w:val="-2"/>
            </w:rPr>
            <w:t> </w:t>
          </w:r>
          <w:r>
            <w:rPr>
              <w:color w:val="001F5F"/>
            </w:rPr>
            <w:t>Agreed</w:t>
          </w:r>
          <w:r>
            <w:rPr>
              <w:color w:val="001F5F"/>
              <w:spacing w:val="-3"/>
            </w:rPr>
            <w:t> </w:t>
          </w:r>
          <w:r>
            <w:rPr>
              <w:color w:val="001F5F"/>
            </w:rPr>
            <w:t>Action</w:t>
          </w:r>
          <w:r>
            <w:rPr>
              <w:color w:val="001F5F"/>
              <w:spacing w:val="-1"/>
            </w:rPr>
            <w:t> </w:t>
          </w:r>
          <w:r>
            <w:rPr>
              <w:color w:val="001F5F"/>
              <w:spacing w:val="-4"/>
            </w:rPr>
            <w:t>Plan</w:t>
          </w:r>
          <w:r>
            <w:rPr>
              <w:color w:val="001F5F"/>
            </w:rPr>
            <w:tab/>
          </w:r>
          <w:r>
            <w:rPr>
              <w:color w:val="001F5F"/>
              <w:spacing w:val="-10"/>
            </w:rPr>
            <w:t>3</w:t>
          </w:r>
        </w:p>
        <w:p>
          <w:pPr>
            <w:pStyle w:val="TOC1"/>
            <w:tabs>
              <w:tab w:pos="7404" w:val="right" w:leader="dot"/>
            </w:tabs>
            <w:spacing w:before="100"/>
          </w:pPr>
          <w:hyperlink w:history="true" w:anchor="_TOC_250002">
            <w:r>
              <w:rPr>
                <w:color w:val="001F5F"/>
              </w:rPr>
              <w:t>Appendix</w:t>
            </w:r>
            <w:r>
              <w:rPr>
                <w:color w:val="001F5F"/>
                <w:spacing w:val="-2"/>
              </w:rPr>
              <w:t> </w:t>
            </w:r>
            <w:r>
              <w:rPr>
                <w:color w:val="001F5F"/>
              </w:rPr>
              <w:t>A:</w:t>
            </w:r>
            <w:r>
              <w:rPr>
                <w:color w:val="001F5F"/>
                <w:spacing w:val="-2"/>
              </w:rPr>
              <w:t> </w:t>
            </w:r>
            <w:r>
              <w:rPr>
                <w:color w:val="001F5F"/>
              </w:rPr>
              <w:t>RJC</w:t>
            </w:r>
            <w:r>
              <w:rPr>
                <w:color w:val="001F5F"/>
                <w:spacing w:val="-1"/>
              </w:rPr>
              <w:t> </w:t>
            </w:r>
            <w:r>
              <w:rPr>
                <w:color w:val="001F5F"/>
              </w:rPr>
              <w:t>Work</w:t>
            </w:r>
            <w:r>
              <w:rPr>
                <w:color w:val="001F5F"/>
                <w:spacing w:val="-2"/>
              </w:rPr>
              <w:t> </w:t>
            </w:r>
            <w:r>
              <w:rPr>
                <w:color w:val="001F5F"/>
              </w:rPr>
              <w:t>Programme</w:t>
            </w:r>
            <w:r>
              <w:rPr>
                <w:color w:val="001F5F"/>
                <w:spacing w:val="-2"/>
              </w:rPr>
              <w:t> </w:t>
            </w:r>
            <w:r>
              <w:rPr>
                <w:color w:val="001F5F"/>
              </w:rPr>
              <w:t>Status</w:t>
            </w:r>
            <w:r>
              <w:rPr>
                <w:color w:val="001F5F"/>
                <w:spacing w:val="-1"/>
              </w:rPr>
              <w:t> </w:t>
            </w:r>
            <w:r>
              <w:rPr>
                <w:color w:val="001F5F"/>
              </w:rPr>
              <w:t>(August</w:t>
            </w:r>
            <w:r>
              <w:rPr>
                <w:color w:val="001F5F"/>
                <w:spacing w:val="-1"/>
              </w:rPr>
              <w:t> </w:t>
            </w:r>
            <w:r>
              <w:rPr>
                <w:color w:val="001F5F"/>
                <w:spacing w:val="-2"/>
              </w:rPr>
              <w:t>2025)</w:t>
            </w:r>
            <w:r>
              <w:rPr>
                <w:color w:val="001F5F"/>
              </w:rPr>
              <w:tab/>
            </w:r>
            <w:r>
              <w:rPr>
                <w:color w:val="001F5F"/>
                <w:spacing w:val="-10"/>
              </w:rPr>
              <w:t>8</w:t>
            </w:r>
          </w:hyperlink>
        </w:p>
        <w:p>
          <w:pPr>
            <w:pStyle w:val="TOC1"/>
            <w:tabs>
              <w:tab w:pos="7404" w:val="right" w:leader="dot"/>
            </w:tabs>
          </w:pPr>
          <w:hyperlink w:history="true" w:anchor="_TOC_250001">
            <w:r>
              <w:rPr>
                <w:color w:val="001F5F"/>
              </w:rPr>
              <w:t>Appendix</w:t>
            </w:r>
            <w:r>
              <w:rPr>
                <w:color w:val="001F5F"/>
                <w:spacing w:val="-2"/>
              </w:rPr>
              <w:t> </w:t>
            </w:r>
            <w:r>
              <w:rPr>
                <w:color w:val="001F5F"/>
              </w:rPr>
              <w:t>B:</w:t>
            </w:r>
            <w:r>
              <w:rPr>
                <w:color w:val="001F5F"/>
                <w:spacing w:val="-2"/>
              </w:rPr>
              <w:t> </w:t>
            </w:r>
            <w:r>
              <w:rPr>
                <w:color w:val="001F5F"/>
              </w:rPr>
              <w:t>RJC</w:t>
            </w:r>
            <w:r>
              <w:rPr>
                <w:color w:val="001F5F"/>
                <w:spacing w:val="-1"/>
              </w:rPr>
              <w:t> </w:t>
            </w:r>
            <w:r>
              <w:rPr>
                <w:color w:val="001F5F"/>
              </w:rPr>
              <w:t>Work</w:t>
            </w:r>
            <w:r>
              <w:rPr>
                <w:color w:val="001F5F"/>
                <w:spacing w:val="-2"/>
              </w:rPr>
              <w:t> </w:t>
            </w:r>
            <w:r>
              <w:rPr>
                <w:color w:val="001F5F"/>
              </w:rPr>
              <w:t>Programme</w:t>
            </w:r>
            <w:r>
              <w:rPr>
                <w:color w:val="001F5F"/>
                <w:spacing w:val="-2"/>
              </w:rPr>
              <w:t> </w:t>
            </w:r>
            <w:r>
              <w:rPr>
                <w:color w:val="001F5F"/>
              </w:rPr>
              <w:t>Status</w:t>
            </w:r>
            <w:r>
              <w:rPr>
                <w:color w:val="001F5F"/>
                <w:spacing w:val="-1"/>
              </w:rPr>
              <w:t> </w:t>
            </w:r>
            <w:r>
              <w:rPr>
                <w:color w:val="001F5F"/>
              </w:rPr>
              <w:t>(May</w:t>
            </w:r>
            <w:r>
              <w:rPr>
                <w:color w:val="001F5F"/>
                <w:spacing w:val="-2"/>
              </w:rPr>
              <w:t> 2026)</w:t>
            </w:r>
            <w:r>
              <w:rPr>
                <w:color w:val="001F5F"/>
              </w:rPr>
              <w:tab/>
            </w:r>
            <w:r>
              <w:rPr>
                <w:color w:val="001F5F"/>
                <w:spacing w:val="-10"/>
              </w:rPr>
              <w:t>9</w:t>
            </w:r>
          </w:hyperlink>
        </w:p>
        <w:p>
          <w:pPr>
            <w:pStyle w:val="TOC1"/>
            <w:tabs>
              <w:tab w:pos="7407" w:val="right" w:leader="dot"/>
            </w:tabs>
          </w:pPr>
          <w:hyperlink w:history="true" w:anchor="_TOC_250000">
            <w:r>
              <w:rPr>
                <w:color w:val="001F5F"/>
              </w:rPr>
              <w:t>Appendix</w:t>
            </w:r>
            <w:r>
              <w:rPr>
                <w:color w:val="001F5F"/>
                <w:spacing w:val="-3"/>
              </w:rPr>
              <w:t> </w:t>
            </w:r>
            <w:r>
              <w:rPr>
                <w:color w:val="001F5F"/>
              </w:rPr>
              <w:t>C:</w:t>
            </w:r>
            <w:r>
              <w:rPr>
                <w:color w:val="001F5F"/>
                <w:spacing w:val="-4"/>
              </w:rPr>
              <w:t> </w:t>
            </w:r>
            <w:r>
              <w:rPr>
                <w:color w:val="001F5F"/>
              </w:rPr>
              <w:t>Assurance</w:t>
            </w:r>
            <w:r>
              <w:rPr>
                <w:color w:val="001F5F"/>
                <w:spacing w:val="-3"/>
              </w:rPr>
              <w:t> </w:t>
            </w:r>
            <w:r>
              <w:rPr>
                <w:color w:val="001F5F"/>
              </w:rPr>
              <w:t>Opinion</w:t>
            </w:r>
            <w:r>
              <w:rPr>
                <w:color w:val="001F5F"/>
                <w:spacing w:val="-4"/>
              </w:rPr>
              <w:t> </w:t>
            </w:r>
            <w:r>
              <w:rPr>
                <w:color w:val="001F5F"/>
              </w:rPr>
              <w:t>&amp;</w:t>
            </w:r>
            <w:r>
              <w:rPr>
                <w:color w:val="001F5F"/>
                <w:spacing w:val="-2"/>
              </w:rPr>
              <w:t> </w:t>
            </w:r>
            <w:r>
              <w:rPr>
                <w:color w:val="001F5F"/>
              </w:rPr>
              <w:t>Prioritisation</w:t>
            </w:r>
            <w:r>
              <w:rPr>
                <w:color w:val="001F5F"/>
                <w:spacing w:val="-3"/>
              </w:rPr>
              <w:t> </w:t>
            </w:r>
            <w:r>
              <w:rPr>
                <w:color w:val="001F5F"/>
              </w:rPr>
              <w:t>of</w:t>
            </w:r>
            <w:r>
              <w:rPr>
                <w:color w:val="001F5F"/>
                <w:spacing w:val="-3"/>
              </w:rPr>
              <w:t> </w:t>
            </w:r>
            <w:r>
              <w:rPr>
                <w:color w:val="001F5F"/>
                <w:spacing w:val="-2"/>
              </w:rPr>
              <w:t>Findings</w:t>
            </w:r>
            <w:r>
              <w:rPr>
                <w:color w:val="001F5F"/>
              </w:rPr>
              <w:tab/>
            </w:r>
            <w:r>
              <w:rPr>
                <w:color w:val="001F5F"/>
                <w:spacing w:val="-5"/>
              </w:rPr>
              <w:t>10</w:t>
            </w:r>
          </w:hyperlink>
        </w:p>
      </w:sdtContent>
    </w:sdt>
    <w:p>
      <w:pPr>
        <w:tabs>
          <w:tab w:pos="3293" w:val="left" w:leader="none"/>
        </w:tabs>
        <w:spacing w:before="100"/>
        <w:ind w:left="310" w:right="0" w:firstLine="0"/>
        <w:jc w:val="left"/>
        <w:rPr>
          <w:rFonts w:ascii="Verdana"/>
          <w:sz w:val="18"/>
        </w:rPr>
      </w:pPr>
      <w:r>
        <w:rPr/>
        <w:br w:type="column"/>
      </w:r>
      <w:r>
        <w:rPr>
          <w:rFonts w:ascii="Verdana"/>
          <w:b/>
          <w:color w:val="001F5F"/>
          <w:position w:val="-1"/>
          <w:sz w:val="20"/>
        </w:rPr>
        <w:t>Review</w:t>
      </w:r>
      <w:r>
        <w:rPr>
          <w:rFonts w:ascii="Verdana"/>
          <w:b/>
          <w:color w:val="001F5F"/>
          <w:spacing w:val="-7"/>
          <w:position w:val="-1"/>
          <w:sz w:val="20"/>
        </w:rPr>
        <w:t> </w:t>
      </w:r>
      <w:r>
        <w:rPr>
          <w:rFonts w:ascii="Verdana"/>
          <w:b/>
          <w:color w:val="001F5F"/>
          <w:spacing w:val="-2"/>
          <w:position w:val="-1"/>
          <w:sz w:val="20"/>
        </w:rPr>
        <w:t>Reference</w:t>
      </w:r>
      <w:r>
        <w:rPr>
          <w:rFonts w:ascii="Verdana"/>
          <w:b/>
          <w:color w:val="001F5F"/>
          <w:position w:val="-1"/>
          <w:sz w:val="20"/>
        </w:rPr>
        <w:tab/>
      </w:r>
      <w:r>
        <w:rPr>
          <w:rFonts w:ascii="Verdana"/>
          <w:color w:val="001F5F"/>
          <w:sz w:val="18"/>
        </w:rPr>
        <w:t>SBU-2526-03</w:t>
      </w:r>
      <w:r>
        <w:rPr>
          <w:rFonts w:ascii="Verdana"/>
          <w:color w:val="001F5F"/>
          <w:spacing w:val="-9"/>
          <w:sz w:val="18"/>
        </w:rPr>
        <w:t> </w:t>
      </w:r>
      <w:r>
        <w:rPr>
          <w:rFonts w:ascii="Verdana"/>
          <w:color w:val="001F5F"/>
          <w:sz w:val="18"/>
        </w:rPr>
        <w:t>/</w:t>
      </w:r>
      <w:r>
        <w:rPr>
          <w:rFonts w:ascii="Verdana"/>
          <w:color w:val="001F5F"/>
          <w:spacing w:val="-6"/>
          <w:sz w:val="18"/>
        </w:rPr>
        <w:t> </w:t>
      </w:r>
      <w:r>
        <w:rPr>
          <w:rFonts w:ascii="Verdana"/>
          <w:color w:val="001F5F"/>
          <w:sz w:val="18"/>
        </w:rPr>
        <w:t>HDU-2526-</w:t>
      </w:r>
      <w:r>
        <w:rPr>
          <w:rFonts w:ascii="Verdana"/>
          <w:color w:val="001F5F"/>
          <w:spacing w:val="-5"/>
          <w:sz w:val="18"/>
        </w:rPr>
        <w:t>01</w:t>
      </w:r>
    </w:p>
    <w:p>
      <w:pPr>
        <w:tabs>
          <w:tab w:pos="3293" w:val="left" w:leader="none"/>
        </w:tabs>
        <w:spacing w:before="100"/>
        <w:ind w:left="310" w:right="0" w:firstLine="0"/>
        <w:jc w:val="left"/>
        <w:rPr>
          <w:rFonts w:ascii="Verdana" w:hAnsi="Verdana"/>
          <w:sz w:val="18"/>
        </w:rPr>
      </w:pPr>
      <w:r>
        <w:rPr>
          <w:rFonts w:ascii="Verdana" w:hAnsi="Verdana"/>
          <w:b/>
          <w:color w:val="001F5F"/>
          <w:spacing w:val="-2"/>
          <w:position w:val="-1"/>
          <w:sz w:val="20"/>
        </w:rPr>
        <w:t>Fieldwork</w:t>
      </w:r>
      <w:r>
        <w:rPr>
          <w:rFonts w:ascii="Verdana" w:hAnsi="Verdana"/>
          <w:b/>
          <w:color w:val="001F5F"/>
          <w:position w:val="-1"/>
          <w:sz w:val="20"/>
        </w:rPr>
        <w:tab/>
      </w:r>
      <w:r>
        <w:rPr>
          <w:rFonts w:ascii="Verdana" w:hAnsi="Verdana"/>
          <w:color w:val="001F5F"/>
          <w:sz w:val="18"/>
        </w:rPr>
        <w:t>March</w:t>
      </w:r>
      <w:r>
        <w:rPr>
          <w:rFonts w:ascii="Verdana" w:hAnsi="Verdana"/>
          <w:color w:val="001F5F"/>
          <w:spacing w:val="-3"/>
          <w:sz w:val="18"/>
        </w:rPr>
        <w:t> </w:t>
      </w:r>
      <w:r>
        <w:rPr>
          <w:rFonts w:ascii="Verdana" w:hAnsi="Verdana"/>
          <w:color w:val="001F5F"/>
          <w:sz w:val="18"/>
        </w:rPr>
        <w:t>2026</w:t>
      </w:r>
      <w:r>
        <w:rPr>
          <w:rFonts w:ascii="Verdana" w:hAnsi="Verdana"/>
          <w:color w:val="001F5F"/>
          <w:spacing w:val="-1"/>
          <w:sz w:val="18"/>
        </w:rPr>
        <w:t> </w:t>
      </w:r>
      <w:r>
        <w:rPr>
          <w:rFonts w:ascii="Verdana" w:hAnsi="Verdana"/>
          <w:color w:val="001F5F"/>
          <w:sz w:val="18"/>
        </w:rPr>
        <w:t>–</w:t>
      </w:r>
      <w:r>
        <w:rPr>
          <w:rFonts w:ascii="Verdana" w:hAnsi="Verdana"/>
          <w:color w:val="001F5F"/>
          <w:spacing w:val="-2"/>
          <w:sz w:val="18"/>
        </w:rPr>
        <w:t> </w:t>
      </w:r>
      <w:r>
        <w:rPr>
          <w:rFonts w:ascii="Verdana" w:hAnsi="Verdana"/>
          <w:color w:val="001F5F"/>
          <w:sz w:val="18"/>
        </w:rPr>
        <w:t>May</w:t>
      </w:r>
      <w:r>
        <w:rPr>
          <w:rFonts w:ascii="Verdana" w:hAnsi="Verdana"/>
          <w:color w:val="001F5F"/>
          <w:spacing w:val="-2"/>
          <w:sz w:val="18"/>
        </w:rPr>
        <w:t> </w:t>
      </w:r>
      <w:r>
        <w:rPr>
          <w:rFonts w:ascii="Verdana" w:hAnsi="Verdana"/>
          <w:color w:val="001F5F"/>
          <w:spacing w:val="-4"/>
          <w:sz w:val="18"/>
        </w:rPr>
        <w:t>2026</w:t>
      </w:r>
    </w:p>
    <w:p>
      <w:pPr>
        <w:tabs>
          <w:tab w:pos="3293" w:val="left" w:leader="none"/>
        </w:tabs>
        <w:spacing w:before="102"/>
        <w:ind w:left="310" w:right="0" w:firstLine="0"/>
        <w:jc w:val="left"/>
        <w:rPr>
          <w:rFonts w:ascii="Verdana"/>
          <w:position w:val="2"/>
          <w:sz w:val="18"/>
        </w:rPr>
      </w:pPr>
      <w:r>
        <w:rPr>
          <w:rFonts w:ascii="Verdana"/>
          <w:b/>
          <w:color w:val="001F5F"/>
          <w:sz w:val="20"/>
        </w:rPr>
        <w:t>Executive</w:t>
      </w:r>
      <w:r>
        <w:rPr>
          <w:rFonts w:ascii="Verdana"/>
          <w:b/>
          <w:color w:val="001F5F"/>
          <w:spacing w:val="-8"/>
          <w:sz w:val="20"/>
        </w:rPr>
        <w:t> </w:t>
      </w:r>
      <w:r>
        <w:rPr>
          <w:rFonts w:ascii="Verdana"/>
          <w:b/>
          <w:color w:val="001F5F"/>
          <w:sz w:val="20"/>
        </w:rPr>
        <w:t>Sign</w:t>
      </w:r>
      <w:r>
        <w:rPr>
          <w:rFonts w:ascii="Verdana"/>
          <w:b/>
          <w:color w:val="001F5F"/>
          <w:spacing w:val="-7"/>
          <w:sz w:val="20"/>
        </w:rPr>
        <w:t> </w:t>
      </w:r>
      <w:r>
        <w:rPr>
          <w:rFonts w:ascii="Verdana"/>
          <w:b/>
          <w:color w:val="001F5F"/>
          <w:spacing w:val="-5"/>
          <w:sz w:val="20"/>
        </w:rPr>
        <w:t>Off</w:t>
      </w:r>
      <w:r>
        <w:rPr>
          <w:rFonts w:ascii="Verdana"/>
          <w:b/>
          <w:color w:val="001F5F"/>
          <w:sz w:val="20"/>
        </w:rPr>
        <w:tab/>
      </w:r>
      <w:r>
        <w:rPr>
          <w:rFonts w:ascii="Verdana"/>
          <w:color w:val="001F5F"/>
          <w:position w:val="2"/>
          <w:sz w:val="18"/>
        </w:rPr>
        <w:t>11</w:t>
      </w:r>
      <w:r>
        <w:rPr>
          <w:rFonts w:ascii="Verdana"/>
          <w:color w:val="001F5F"/>
          <w:spacing w:val="-4"/>
          <w:position w:val="2"/>
          <w:sz w:val="18"/>
        </w:rPr>
        <w:t> </w:t>
      </w:r>
      <w:r>
        <w:rPr>
          <w:rFonts w:ascii="Verdana"/>
          <w:color w:val="001F5F"/>
          <w:position w:val="2"/>
          <w:sz w:val="18"/>
        </w:rPr>
        <w:t>June</w:t>
      </w:r>
      <w:r>
        <w:rPr>
          <w:rFonts w:ascii="Verdana"/>
          <w:color w:val="001F5F"/>
          <w:spacing w:val="-2"/>
          <w:position w:val="2"/>
          <w:sz w:val="18"/>
        </w:rPr>
        <w:t> </w:t>
      </w:r>
      <w:r>
        <w:rPr>
          <w:rFonts w:ascii="Verdana"/>
          <w:color w:val="001F5F"/>
          <w:spacing w:val="-4"/>
          <w:position w:val="2"/>
          <w:sz w:val="18"/>
        </w:rPr>
        <w:t>2026</w:t>
      </w:r>
    </w:p>
    <w:p>
      <w:pPr>
        <w:tabs>
          <w:tab w:pos="3293" w:val="left" w:leader="none"/>
        </w:tabs>
        <w:spacing w:before="98"/>
        <w:ind w:left="312" w:right="0" w:firstLine="0"/>
        <w:jc w:val="left"/>
        <w:rPr>
          <w:rFonts w:ascii="Verdana"/>
          <w:sz w:val="18"/>
        </w:rPr>
      </w:pPr>
      <w:r>
        <w:rPr>
          <w:rFonts w:ascii="Verdana"/>
          <w:b/>
          <w:color w:val="001F5F"/>
          <w:position w:val="-1"/>
          <w:sz w:val="20"/>
        </w:rPr>
        <w:t>Audit</w:t>
      </w:r>
      <w:r>
        <w:rPr>
          <w:rFonts w:ascii="Verdana"/>
          <w:b/>
          <w:color w:val="001F5F"/>
          <w:spacing w:val="-8"/>
          <w:position w:val="-1"/>
          <w:sz w:val="20"/>
        </w:rPr>
        <w:t> </w:t>
      </w:r>
      <w:r>
        <w:rPr>
          <w:rFonts w:ascii="Verdana"/>
          <w:b/>
          <w:color w:val="001F5F"/>
          <w:spacing w:val="-2"/>
          <w:position w:val="-1"/>
          <w:sz w:val="20"/>
        </w:rPr>
        <w:t>Committee</w:t>
      </w:r>
      <w:r>
        <w:rPr>
          <w:rFonts w:ascii="Verdana"/>
          <w:b/>
          <w:color w:val="001F5F"/>
          <w:position w:val="-1"/>
          <w:sz w:val="20"/>
        </w:rPr>
        <w:tab/>
      </w:r>
      <w:r>
        <w:rPr>
          <w:rFonts w:ascii="Verdana"/>
          <w:color w:val="001F5F"/>
          <w:sz w:val="18"/>
        </w:rPr>
        <w:t>23</w:t>
      </w:r>
      <w:r>
        <w:rPr>
          <w:rFonts w:ascii="Verdana"/>
          <w:color w:val="001F5F"/>
          <w:spacing w:val="-4"/>
          <w:sz w:val="18"/>
        </w:rPr>
        <w:t> </w:t>
      </w:r>
      <w:r>
        <w:rPr>
          <w:rFonts w:ascii="Verdana"/>
          <w:color w:val="001F5F"/>
          <w:sz w:val="18"/>
        </w:rPr>
        <w:t>June</w:t>
      </w:r>
      <w:r>
        <w:rPr>
          <w:rFonts w:ascii="Verdana"/>
          <w:color w:val="001F5F"/>
          <w:spacing w:val="-1"/>
          <w:sz w:val="18"/>
        </w:rPr>
        <w:t> </w:t>
      </w:r>
      <w:r>
        <w:rPr>
          <w:rFonts w:ascii="Verdana"/>
          <w:color w:val="001F5F"/>
          <w:sz w:val="18"/>
        </w:rPr>
        <w:t>2026</w:t>
      </w:r>
      <w:r>
        <w:rPr>
          <w:rFonts w:ascii="Verdana"/>
          <w:color w:val="001F5F"/>
          <w:spacing w:val="-1"/>
          <w:sz w:val="18"/>
        </w:rPr>
        <w:t> </w:t>
      </w:r>
      <w:r>
        <w:rPr>
          <w:rFonts w:ascii="Verdana"/>
          <w:color w:val="001F5F"/>
          <w:sz w:val="18"/>
        </w:rPr>
        <w:t>(HDdU)</w:t>
      </w:r>
      <w:r>
        <w:rPr>
          <w:rFonts w:ascii="Verdana"/>
          <w:color w:val="001F5F"/>
          <w:spacing w:val="-2"/>
          <w:sz w:val="18"/>
        </w:rPr>
        <w:t> </w:t>
      </w:r>
      <w:r>
        <w:rPr>
          <w:rFonts w:ascii="Verdana"/>
          <w:color w:val="001F5F"/>
          <w:sz w:val="18"/>
        </w:rPr>
        <w:t>/</w:t>
      </w:r>
      <w:r>
        <w:rPr>
          <w:rFonts w:ascii="Verdana"/>
          <w:color w:val="001F5F"/>
          <w:spacing w:val="-1"/>
          <w:sz w:val="18"/>
        </w:rPr>
        <w:t> </w:t>
      </w:r>
      <w:r>
        <w:rPr>
          <w:rFonts w:ascii="Verdana"/>
          <w:color w:val="001F5F"/>
          <w:sz w:val="18"/>
        </w:rPr>
        <w:t>16</w:t>
      </w:r>
      <w:r>
        <w:rPr>
          <w:rFonts w:ascii="Verdana"/>
          <w:color w:val="001F5F"/>
          <w:spacing w:val="-3"/>
          <w:sz w:val="18"/>
        </w:rPr>
        <w:t> </w:t>
      </w:r>
      <w:r>
        <w:rPr>
          <w:rFonts w:ascii="Verdana"/>
          <w:color w:val="001F5F"/>
          <w:sz w:val="18"/>
        </w:rPr>
        <w:t>July</w:t>
      </w:r>
      <w:r>
        <w:rPr>
          <w:rFonts w:ascii="Verdana"/>
          <w:color w:val="001F5F"/>
          <w:spacing w:val="-3"/>
          <w:sz w:val="18"/>
        </w:rPr>
        <w:t> </w:t>
      </w:r>
      <w:r>
        <w:rPr>
          <w:rFonts w:ascii="Verdana"/>
          <w:color w:val="001F5F"/>
          <w:sz w:val="18"/>
        </w:rPr>
        <w:t>2026</w:t>
      </w:r>
      <w:r>
        <w:rPr>
          <w:rFonts w:ascii="Verdana"/>
          <w:color w:val="001F5F"/>
          <w:spacing w:val="-1"/>
          <w:sz w:val="18"/>
        </w:rPr>
        <w:t> </w:t>
      </w:r>
      <w:r>
        <w:rPr>
          <w:rFonts w:ascii="Verdana"/>
          <w:color w:val="001F5F"/>
          <w:spacing w:val="-2"/>
          <w:sz w:val="18"/>
        </w:rPr>
        <w:t>(SBU)</w:t>
      </w:r>
    </w:p>
    <w:p>
      <w:pPr>
        <w:tabs>
          <w:tab w:pos="3293" w:val="left" w:leader="none"/>
        </w:tabs>
        <w:spacing w:line="231" w:lineRule="exact" w:before="101"/>
        <w:ind w:left="310" w:right="0" w:firstLine="0"/>
        <w:jc w:val="left"/>
        <w:rPr>
          <w:rFonts w:ascii="Verdana"/>
          <w:sz w:val="18"/>
        </w:rPr>
      </w:pPr>
      <w:r>
        <w:rPr>
          <w:rFonts w:ascii="Verdana"/>
          <w:b/>
          <w:color w:val="001F5F"/>
          <w:position w:val="-1"/>
          <w:sz w:val="20"/>
        </w:rPr>
        <w:t>Executive</w:t>
      </w:r>
      <w:r>
        <w:rPr>
          <w:rFonts w:ascii="Verdana"/>
          <w:b/>
          <w:color w:val="001F5F"/>
          <w:spacing w:val="-10"/>
          <w:position w:val="-1"/>
          <w:sz w:val="20"/>
        </w:rPr>
        <w:t> </w:t>
      </w:r>
      <w:r>
        <w:rPr>
          <w:rFonts w:ascii="Verdana"/>
          <w:b/>
          <w:color w:val="001F5F"/>
          <w:spacing w:val="-4"/>
          <w:position w:val="-1"/>
          <w:sz w:val="20"/>
        </w:rPr>
        <w:t>Lead</w:t>
      </w:r>
      <w:r>
        <w:rPr>
          <w:rFonts w:ascii="Verdana"/>
          <w:b/>
          <w:color w:val="001F5F"/>
          <w:position w:val="-1"/>
          <w:sz w:val="20"/>
        </w:rPr>
        <w:tab/>
      </w:r>
      <w:r>
        <w:rPr>
          <w:rFonts w:ascii="Verdana"/>
          <w:color w:val="001F5F"/>
          <w:sz w:val="18"/>
        </w:rPr>
        <w:t>Hazel</w:t>
      </w:r>
      <w:r>
        <w:rPr>
          <w:rFonts w:ascii="Verdana"/>
          <w:color w:val="001F5F"/>
          <w:spacing w:val="29"/>
          <w:sz w:val="18"/>
        </w:rPr>
        <w:t>  </w:t>
      </w:r>
      <w:r>
        <w:rPr>
          <w:rFonts w:ascii="Verdana"/>
          <w:color w:val="001F5F"/>
          <w:sz w:val="18"/>
        </w:rPr>
        <w:t>Lloyd</w:t>
      </w:r>
      <w:r>
        <w:rPr>
          <w:rFonts w:ascii="Verdana"/>
          <w:color w:val="001F5F"/>
          <w:spacing w:val="30"/>
          <w:sz w:val="18"/>
        </w:rPr>
        <w:t>  </w:t>
      </w:r>
      <w:r>
        <w:rPr>
          <w:rFonts w:ascii="Verdana"/>
          <w:color w:val="001F5F"/>
          <w:sz w:val="18"/>
        </w:rPr>
        <w:t>(SBU)</w:t>
      </w:r>
      <w:r>
        <w:rPr>
          <w:rFonts w:ascii="Verdana"/>
          <w:color w:val="001F5F"/>
          <w:spacing w:val="28"/>
          <w:sz w:val="18"/>
        </w:rPr>
        <w:t>  </w:t>
      </w:r>
      <w:r>
        <w:rPr>
          <w:rFonts w:ascii="Verdana"/>
          <w:color w:val="001F5F"/>
          <w:sz w:val="18"/>
        </w:rPr>
        <w:t>&amp;</w:t>
      </w:r>
      <w:r>
        <w:rPr>
          <w:rFonts w:ascii="Verdana"/>
          <w:color w:val="001F5F"/>
          <w:spacing w:val="29"/>
          <w:sz w:val="18"/>
        </w:rPr>
        <w:t>  </w:t>
      </w:r>
      <w:r>
        <w:rPr>
          <w:rFonts w:ascii="Verdana"/>
          <w:color w:val="001F5F"/>
          <w:sz w:val="18"/>
        </w:rPr>
        <w:t>Joanne</w:t>
      </w:r>
      <w:r>
        <w:rPr>
          <w:rFonts w:ascii="Verdana"/>
          <w:color w:val="001F5F"/>
          <w:spacing w:val="29"/>
          <w:sz w:val="18"/>
        </w:rPr>
        <w:t>  </w:t>
      </w:r>
      <w:r>
        <w:rPr>
          <w:rFonts w:ascii="Verdana"/>
          <w:color w:val="001F5F"/>
          <w:sz w:val="18"/>
        </w:rPr>
        <w:t>Wilson</w:t>
      </w:r>
      <w:r>
        <w:rPr>
          <w:rFonts w:ascii="Verdana"/>
          <w:color w:val="001F5F"/>
          <w:spacing w:val="30"/>
          <w:sz w:val="18"/>
        </w:rPr>
        <w:t>  </w:t>
      </w:r>
      <w:r>
        <w:rPr>
          <w:rFonts w:ascii="Verdana"/>
          <w:color w:val="001F5F"/>
          <w:spacing w:val="-2"/>
          <w:sz w:val="18"/>
        </w:rPr>
        <w:t>(HDdU),</w:t>
      </w:r>
    </w:p>
    <w:p>
      <w:pPr>
        <w:spacing w:line="206" w:lineRule="exact" w:before="0"/>
        <w:ind w:left="3293" w:right="0" w:firstLine="0"/>
        <w:jc w:val="left"/>
        <w:rPr>
          <w:rFonts w:ascii="Verdana"/>
          <w:sz w:val="18"/>
        </w:rPr>
      </w:pPr>
      <w:r>
        <w:rPr>
          <w:rFonts w:ascii="Verdana"/>
          <w:color w:val="001F5F"/>
          <w:sz w:val="18"/>
        </w:rPr>
        <w:t>Directors</w:t>
      </w:r>
      <w:r>
        <w:rPr>
          <w:rFonts w:ascii="Verdana"/>
          <w:color w:val="001F5F"/>
          <w:spacing w:val="-4"/>
          <w:sz w:val="18"/>
        </w:rPr>
        <w:t> </w:t>
      </w:r>
      <w:r>
        <w:rPr>
          <w:rFonts w:ascii="Verdana"/>
          <w:color w:val="001F5F"/>
          <w:sz w:val="18"/>
        </w:rPr>
        <w:t>of</w:t>
      </w:r>
      <w:r>
        <w:rPr>
          <w:rFonts w:ascii="Verdana"/>
          <w:color w:val="001F5F"/>
          <w:spacing w:val="-3"/>
          <w:sz w:val="18"/>
        </w:rPr>
        <w:t> </w:t>
      </w:r>
      <w:r>
        <w:rPr>
          <w:rFonts w:ascii="Verdana"/>
          <w:color w:val="001F5F"/>
          <w:sz w:val="18"/>
        </w:rPr>
        <w:t>Corporate</w:t>
      </w:r>
      <w:r>
        <w:rPr>
          <w:rFonts w:ascii="Verdana"/>
          <w:color w:val="001F5F"/>
          <w:spacing w:val="-2"/>
          <w:sz w:val="18"/>
        </w:rPr>
        <w:t> Governance</w:t>
      </w:r>
    </w:p>
    <w:p>
      <w:pPr>
        <w:tabs>
          <w:tab w:pos="3293" w:val="left" w:leader="none"/>
        </w:tabs>
        <w:spacing w:line="256" w:lineRule="auto" w:before="101"/>
        <w:ind w:left="3293" w:right="1063" w:hanging="2982"/>
        <w:jc w:val="left"/>
        <w:rPr>
          <w:rFonts w:ascii="Verdana"/>
          <w:sz w:val="18"/>
        </w:rPr>
      </w:pPr>
      <w:r>
        <w:rPr>
          <w:rFonts w:ascii="Verdana"/>
          <w:b/>
          <w:color w:val="001F5F"/>
          <w:position w:val="-1"/>
          <w:sz w:val="20"/>
        </w:rPr>
        <w:t>Audit Team</w:t>
        <w:tab/>
      </w:r>
      <w:r>
        <w:rPr>
          <w:rFonts w:ascii="Verdana"/>
          <w:color w:val="001F5F"/>
          <w:sz w:val="18"/>
        </w:rPr>
        <w:t>Osian Lloyd &amp; James Johns, Heads of Internal Audit Felicity Quance &amp; Sophie Corbett, Deputy Heads of Internal Audit</w:t>
      </w:r>
    </w:p>
    <w:p>
      <w:pPr>
        <w:spacing w:after="0" w:line="256" w:lineRule="auto"/>
        <w:jc w:val="left"/>
        <w:rPr>
          <w:rFonts w:ascii="Verdana"/>
          <w:sz w:val="18"/>
        </w:rPr>
        <w:sectPr>
          <w:type w:val="continuous"/>
          <w:pgSz w:w="16840" w:h="11910" w:orient="landscape"/>
          <w:pgMar w:header="0" w:footer="0" w:top="760" w:bottom="280" w:left="141" w:right="141"/>
          <w:cols w:num="2" w:equalWidth="0">
            <w:col w:w="7409" w:space="40"/>
            <w:col w:w="9109"/>
          </w:cols>
        </w:sectPr>
      </w:pPr>
    </w:p>
    <w:p>
      <w:pPr>
        <w:pStyle w:val="BodyText"/>
        <w:rPr>
          <w:rFonts w:ascii="Verdana"/>
          <w:sz w:val="15"/>
        </w:rPr>
      </w:pPr>
      <w:r>
        <w:rPr>
          <w:rFonts w:ascii="Verdana"/>
          <w:sz w:val="15"/>
        </w:rPr>
        <mc:AlternateContent>
          <mc:Choice Requires="wps">
            <w:drawing>
              <wp:anchor distT="0" distB="0" distL="0" distR="0" allowOverlap="1" layoutInCell="1" locked="0" behindDoc="1" simplePos="0" relativeHeight="477203456">
                <wp:simplePos x="0" y="0"/>
                <wp:positionH relativeFrom="page">
                  <wp:posOffset>0</wp:posOffset>
                </wp:positionH>
                <wp:positionV relativeFrom="page">
                  <wp:posOffset>0</wp:posOffset>
                </wp:positionV>
                <wp:extent cx="10694035" cy="7562215"/>
                <wp:effectExtent l="0" t="0" r="0" b="0"/>
                <wp:wrapNone/>
                <wp:docPr id="596" name="Group 596"/>
                <wp:cNvGraphicFramePr>
                  <a:graphicFrameLocks/>
                </wp:cNvGraphicFramePr>
                <a:graphic>
                  <a:graphicData uri="http://schemas.microsoft.com/office/word/2010/wordprocessingGroup">
                    <wpg:wgp>
                      <wpg:cNvPr id="596" name="Group 596"/>
                      <wpg:cNvGrpSpPr/>
                      <wpg:grpSpPr>
                        <a:xfrm>
                          <a:off x="0" y="0"/>
                          <a:ext cx="10694035" cy="7562215"/>
                          <a:chExt cx="10694035" cy="7562215"/>
                        </a:xfrm>
                      </wpg:grpSpPr>
                      <pic:pic>
                        <pic:nvPicPr>
                          <pic:cNvPr id="597" name="Image 597"/>
                          <pic:cNvPicPr/>
                        </pic:nvPicPr>
                        <pic:blipFill>
                          <a:blip r:embed="rId82" cstate="print"/>
                          <a:stretch>
                            <a:fillRect/>
                          </a:stretch>
                        </pic:blipFill>
                        <pic:spPr>
                          <a:xfrm>
                            <a:off x="0" y="0"/>
                            <a:ext cx="10694035" cy="7562215"/>
                          </a:xfrm>
                          <a:prstGeom prst="rect">
                            <a:avLst/>
                          </a:prstGeom>
                        </pic:spPr>
                      </pic:pic>
                      <pic:pic>
                        <pic:nvPicPr>
                          <pic:cNvPr id="598" name="Image 598"/>
                          <pic:cNvPicPr/>
                        </pic:nvPicPr>
                        <pic:blipFill>
                          <a:blip r:embed="rId83" cstate="print"/>
                          <a:stretch>
                            <a:fillRect/>
                          </a:stretch>
                        </pic:blipFill>
                        <pic:spPr>
                          <a:xfrm>
                            <a:off x="3267075" y="6715925"/>
                            <a:ext cx="602614" cy="598805"/>
                          </a:xfrm>
                          <a:prstGeom prst="rect">
                            <a:avLst/>
                          </a:prstGeom>
                        </pic:spPr>
                      </pic:pic>
                      <pic:pic>
                        <pic:nvPicPr>
                          <pic:cNvPr id="599" name="Image 599"/>
                          <pic:cNvPicPr/>
                        </pic:nvPicPr>
                        <pic:blipFill>
                          <a:blip r:embed="rId84" cstate="print"/>
                          <a:stretch>
                            <a:fillRect/>
                          </a:stretch>
                        </pic:blipFill>
                        <pic:spPr>
                          <a:xfrm>
                            <a:off x="309372" y="6429756"/>
                            <a:ext cx="2750819" cy="912863"/>
                          </a:xfrm>
                          <a:prstGeom prst="rect">
                            <a:avLst/>
                          </a:prstGeom>
                        </pic:spPr>
                      </pic:pic>
                      <pic:pic>
                        <pic:nvPicPr>
                          <pic:cNvPr id="600" name="Image 600"/>
                          <pic:cNvPicPr/>
                        </pic:nvPicPr>
                        <pic:blipFill>
                          <a:blip r:embed="rId85" cstate="print"/>
                          <a:stretch>
                            <a:fillRect/>
                          </a:stretch>
                        </pic:blipFill>
                        <pic:spPr>
                          <a:xfrm>
                            <a:off x="361950" y="6432081"/>
                            <a:ext cx="2649220" cy="811530"/>
                          </a:xfrm>
                          <a:prstGeom prst="rect">
                            <a:avLst/>
                          </a:prstGeom>
                        </pic:spPr>
                      </pic:pic>
                      <pic:pic>
                        <pic:nvPicPr>
                          <pic:cNvPr id="601" name="Image 601"/>
                          <pic:cNvPicPr/>
                        </pic:nvPicPr>
                        <pic:blipFill>
                          <a:blip r:embed="rId23" cstate="print"/>
                          <a:stretch>
                            <a:fillRect/>
                          </a:stretch>
                        </pic:blipFill>
                        <pic:spPr>
                          <a:xfrm>
                            <a:off x="4918493" y="7307616"/>
                            <a:ext cx="855390" cy="192463"/>
                          </a:xfrm>
                          <a:prstGeom prst="rect">
                            <a:avLst/>
                          </a:prstGeom>
                        </pic:spPr>
                      </pic:pic>
                    </wpg:wgp>
                  </a:graphicData>
                </a:graphic>
              </wp:anchor>
            </w:drawing>
          </mc:Choice>
          <mc:Fallback>
            <w:pict>
              <v:group style="position:absolute;margin-left:0pt;margin-top:-.000053pt;width:842.05pt;height:595.450pt;mso-position-horizontal-relative:page;mso-position-vertical-relative:page;z-index:-26113024" id="docshapegroup359" coordorigin="0,0" coordsize="16841,11909">
                <v:shape style="position:absolute;left:0;top:0;width:16841;height:11909" type="#_x0000_t75" id="docshape360" stroked="false">
                  <v:imagedata r:id="rId82" o:title=""/>
                </v:shape>
                <v:shape style="position:absolute;left:5145;top:10576;width:949;height:943" type="#_x0000_t75" id="docshape361" stroked="false">
                  <v:imagedata r:id="rId83" o:title=""/>
                </v:shape>
                <v:shape style="position:absolute;left:487;top:10125;width:4332;height:1438" type="#_x0000_t75" id="docshape362" stroked="false">
                  <v:imagedata r:id="rId84" o:title=""/>
                </v:shape>
                <v:shape style="position:absolute;left:570;top:10129;width:4172;height:1278" type="#_x0000_t75" id="docshape363" stroked="false">
                  <v:imagedata r:id="rId85" o:title=""/>
                </v:shape>
                <v:shape style="position:absolute;left:7745;top:11508;width:1348;height:304" type="#_x0000_t75" id="docshape364" stroked="false">
                  <v:imagedata r:id="rId23" o:title=""/>
                </v:shape>
                <w10:wrap type="none"/>
              </v:group>
            </w:pict>
          </mc:Fallback>
        </mc:AlternateContent>
      </w:r>
    </w:p>
    <w:p>
      <w:pPr>
        <w:pStyle w:val="BodyText"/>
        <w:rPr>
          <w:rFonts w:ascii="Verdana"/>
          <w:sz w:val="15"/>
        </w:rPr>
      </w:pPr>
    </w:p>
    <w:p>
      <w:pPr>
        <w:pStyle w:val="BodyText"/>
        <w:rPr>
          <w:rFonts w:ascii="Verdana"/>
          <w:sz w:val="15"/>
        </w:rPr>
      </w:pPr>
    </w:p>
    <w:p>
      <w:pPr>
        <w:pStyle w:val="BodyText"/>
        <w:rPr>
          <w:rFonts w:ascii="Verdana"/>
          <w:sz w:val="15"/>
        </w:rPr>
      </w:pPr>
    </w:p>
    <w:p>
      <w:pPr>
        <w:pStyle w:val="BodyText"/>
        <w:rPr>
          <w:rFonts w:ascii="Verdana"/>
          <w:sz w:val="15"/>
        </w:rPr>
      </w:pPr>
    </w:p>
    <w:p>
      <w:pPr>
        <w:pStyle w:val="BodyText"/>
        <w:rPr>
          <w:rFonts w:ascii="Verdana"/>
          <w:sz w:val="15"/>
        </w:rPr>
      </w:pPr>
    </w:p>
    <w:p>
      <w:pPr>
        <w:pStyle w:val="BodyText"/>
        <w:rPr>
          <w:rFonts w:ascii="Verdana"/>
          <w:sz w:val="15"/>
        </w:rPr>
      </w:pPr>
    </w:p>
    <w:p>
      <w:pPr>
        <w:pStyle w:val="BodyText"/>
        <w:spacing w:before="25"/>
        <w:rPr>
          <w:rFonts w:ascii="Verdana"/>
          <w:sz w:val="15"/>
        </w:rPr>
      </w:pPr>
    </w:p>
    <w:p>
      <w:pPr>
        <w:spacing w:before="0"/>
        <w:ind w:left="0" w:right="0" w:firstLine="0"/>
        <w:jc w:val="center"/>
        <w:rPr>
          <w:sz w:val="15"/>
        </w:rPr>
      </w:pPr>
      <w:r>
        <w:rPr>
          <w:w w:val="105"/>
          <w:sz w:val="15"/>
        </w:rPr>
        <w:t>Page</w:t>
      </w:r>
      <w:r>
        <w:rPr>
          <w:spacing w:val="-5"/>
          <w:w w:val="105"/>
          <w:sz w:val="15"/>
        </w:rPr>
        <w:t> 174</w:t>
      </w:r>
    </w:p>
    <w:p>
      <w:pPr>
        <w:spacing w:after="0"/>
        <w:jc w:val="center"/>
        <w:rPr>
          <w:sz w:val="15"/>
        </w:rPr>
        <w:sectPr>
          <w:type w:val="continuous"/>
          <w:pgSz w:w="16840" w:h="11910" w:orient="landscape"/>
          <w:pgMar w:header="0" w:footer="0" w:top="760" w:bottom="280" w:left="141" w:right="141"/>
        </w:sectPr>
      </w:pPr>
    </w:p>
    <w:p>
      <w:pPr>
        <w:pStyle w:val="Heading1"/>
        <w:ind w:left="154"/>
        <w:rPr>
          <w:rFonts w:ascii="Verdana"/>
        </w:rPr>
      </w:pPr>
      <w:r>
        <w:rPr>
          <w:rFonts w:ascii="Verdana"/>
        </w:rPr>
        <mc:AlternateContent>
          <mc:Choice Requires="wps">
            <w:drawing>
              <wp:anchor distT="0" distB="0" distL="0" distR="0" allowOverlap="1" layoutInCell="1" locked="0" behindDoc="1" simplePos="0" relativeHeight="477204992">
                <wp:simplePos x="0" y="0"/>
                <wp:positionH relativeFrom="page">
                  <wp:posOffset>0</wp:posOffset>
                </wp:positionH>
                <wp:positionV relativeFrom="page">
                  <wp:posOffset>0</wp:posOffset>
                </wp:positionV>
                <wp:extent cx="10694035" cy="7562215"/>
                <wp:effectExtent l="0" t="0" r="0" b="0"/>
                <wp:wrapNone/>
                <wp:docPr id="602" name="Graphic 602"/>
                <wp:cNvGraphicFramePr>
                  <a:graphicFrameLocks/>
                </wp:cNvGraphicFramePr>
                <a:graphic>
                  <a:graphicData uri="http://schemas.microsoft.com/office/word/2010/wordprocessingShape">
                    <wps:wsp>
                      <wps:cNvPr id="602" name="Graphic 602"/>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111488" id="docshape365" filled="true" fillcolor="#eff5f9" stroked="false">
                <v:fill type="solid"/>
                <w10:wrap type="none"/>
              </v:rect>
            </w:pict>
          </mc:Fallback>
        </mc:AlternateContent>
      </w:r>
      <w:r>
        <w:rPr>
          <w:rFonts w:ascii="Verdana"/>
        </w:rPr>
        <mc:AlternateContent>
          <mc:Choice Requires="wps">
            <w:drawing>
              <wp:anchor distT="0" distB="0" distL="0" distR="0" allowOverlap="1" layoutInCell="1" locked="0" behindDoc="1" simplePos="0" relativeHeight="477205504">
                <wp:simplePos x="0" y="0"/>
                <wp:positionH relativeFrom="page">
                  <wp:posOffset>158495</wp:posOffset>
                </wp:positionH>
                <wp:positionV relativeFrom="paragraph">
                  <wp:posOffset>348945</wp:posOffset>
                </wp:positionV>
                <wp:extent cx="10267315" cy="6233160"/>
                <wp:effectExtent l="0" t="0" r="0" b="0"/>
                <wp:wrapNone/>
                <wp:docPr id="603" name="Graphic 603"/>
                <wp:cNvGraphicFramePr>
                  <a:graphicFrameLocks/>
                </wp:cNvGraphicFramePr>
                <a:graphic>
                  <a:graphicData uri="http://schemas.microsoft.com/office/word/2010/wordprocessingShape">
                    <wps:wsp>
                      <wps:cNvPr id="603" name="Graphic 603"/>
                      <wps:cNvSpPr/>
                      <wps:spPr>
                        <a:xfrm>
                          <a:off x="0" y="0"/>
                          <a:ext cx="10267315" cy="6233160"/>
                        </a:xfrm>
                        <a:custGeom>
                          <a:avLst/>
                          <a:gdLst/>
                          <a:ahLst/>
                          <a:cxnLst/>
                          <a:rect l="l" t="t" r="r" b="b"/>
                          <a:pathLst>
                            <a:path w="10267315" h="6233160">
                              <a:moveTo>
                                <a:pt x="10267188" y="0"/>
                              </a:moveTo>
                              <a:lnTo>
                                <a:pt x="0" y="0"/>
                              </a:lnTo>
                              <a:lnTo>
                                <a:pt x="0" y="6232906"/>
                              </a:lnTo>
                              <a:lnTo>
                                <a:pt x="10267188" y="6232906"/>
                              </a:lnTo>
                              <a:lnTo>
                                <a:pt x="10267188" y="0"/>
                              </a:lnTo>
                              <a:close/>
                            </a:path>
                          </a:pathLst>
                        </a:custGeom>
                        <a:solidFill>
                          <a:srgbClr val="D9E1F3"/>
                        </a:solidFill>
                      </wps:spPr>
                      <wps:bodyPr wrap="square" lIns="0" tIns="0" rIns="0" bIns="0" rtlCol="0">
                        <a:prstTxWarp prst="textNoShape">
                          <a:avLst/>
                        </a:prstTxWarp>
                        <a:noAutofit/>
                      </wps:bodyPr>
                    </wps:wsp>
                  </a:graphicData>
                </a:graphic>
              </wp:anchor>
            </w:drawing>
          </mc:Choice>
          <mc:Fallback>
            <w:pict>
              <v:rect style="position:absolute;margin-left:12.48pt;margin-top:27.476pt;width:808.44pt;height:490.78pt;mso-position-horizontal-relative:page;mso-position-vertical-relative:paragraph;z-index:-26110976" id="docshape366" filled="true" fillcolor="#d9e1f3" stroked="false">
                <v:fill type="solid"/>
                <w10:wrap type="none"/>
              </v:rect>
            </w:pict>
          </mc:Fallback>
        </mc:AlternateContent>
      </w:r>
      <w:bookmarkStart w:name="_TOC_250003" w:id="76"/>
      <w:r>
        <w:rPr>
          <w:rFonts w:ascii="Verdana"/>
          <w:color w:val="001F5F"/>
        </w:rPr>
        <w:t>Executive </w:t>
      </w:r>
      <w:bookmarkEnd w:id="76"/>
      <w:r>
        <w:rPr>
          <w:rFonts w:ascii="Verdana"/>
          <w:color w:val="001F5F"/>
          <w:spacing w:val="-2"/>
        </w:rPr>
        <w:t>Summary</w:t>
      </w:r>
    </w:p>
    <w:p>
      <w:pPr>
        <w:spacing w:before="152"/>
        <w:ind w:left="216" w:right="0" w:firstLine="0"/>
        <w:jc w:val="left"/>
        <w:rPr>
          <w:rFonts w:ascii="Verdana"/>
          <w:sz w:val="22"/>
        </w:rPr>
      </w:pPr>
      <w:r>
        <w:rPr>
          <w:rFonts w:ascii="Verdana"/>
          <w:color w:val="001F5F"/>
          <w:spacing w:val="-2"/>
          <w:sz w:val="22"/>
        </w:rPr>
        <w:t>Purpose</w:t>
      </w:r>
    </w:p>
    <w:p>
      <w:pPr>
        <w:spacing w:before="121"/>
        <w:ind w:left="216" w:right="389" w:firstLine="0"/>
        <w:jc w:val="both"/>
        <w:rPr>
          <w:rFonts w:ascii="Verdana"/>
          <w:sz w:val="20"/>
        </w:rPr>
      </w:pPr>
      <w:r>
        <w:rPr>
          <w:rFonts w:ascii="Verdana"/>
          <w:sz w:val="20"/>
        </w:rPr>
        <w:t>In March 2024, Welsh Government directed Swansea Bay University Health Board (SBUHB) and Hywel Dda University Health Board (HDdUHB) to establish a Regional Joint Committee (RJC) to strengthen collaboration in the planning and delivery of services in response to shared clinical, financial and population health challenges. This direction recognised the need for a coordinated regional approach to support the long-term safety, quality and sustainability of key </w:t>
      </w:r>
      <w:r>
        <w:rPr>
          <w:rFonts w:ascii="Verdana"/>
          <w:spacing w:val="-2"/>
          <w:sz w:val="20"/>
        </w:rPr>
        <w:t>services.</w:t>
      </w:r>
    </w:p>
    <w:p>
      <w:pPr>
        <w:spacing w:before="119"/>
        <w:ind w:left="216" w:right="386" w:firstLine="0"/>
        <w:jc w:val="both"/>
        <w:rPr>
          <w:rFonts w:ascii="Verdana" w:hAnsi="Verdana"/>
          <w:sz w:val="20"/>
        </w:rPr>
      </w:pPr>
      <w:r>
        <w:rPr>
          <w:rFonts w:ascii="Verdana" w:hAnsi="Verdana"/>
          <w:sz w:val="20"/>
        </w:rPr>
        <w:t>This</w:t>
      </w:r>
      <w:r>
        <w:rPr>
          <w:rFonts w:ascii="Verdana" w:hAnsi="Verdana"/>
          <w:spacing w:val="-4"/>
          <w:sz w:val="20"/>
        </w:rPr>
        <w:t> </w:t>
      </w:r>
      <w:r>
        <w:rPr>
          <w:rFonts w:ascii="Verdana" w:hAnsi="Verdana"/>
          <w:sz w:val="20"/>
        </w:rPr>
        <w:t>advisory review</w:t>
      </w:r>
      <w:r>
        <w:rPr>
          <w:rFonts w:ascii="Verdana" w:hAnsi="Verdana"/>
          <w:spacing w:val="-1"/>
          <w:sz w:val="20"/>
        </w:rPr>
        <w:t> </w:t>
      </w:r>
      <w:r>
        <w:rPr>
          <w:rFonts w:ascii="Verdana" w:hAnsi="Verdana"/>
          <w:sz w:val="20"/>
        </w:rPr>
        <w:t>assessed</w:t>
      </w:r>
      <w:r>
        <w:rPr>
          <w:rFonts w:ascii="Verdana" w:hAnsi="Verdana"/>
          <w:spacing w:val="-2"/>
          <w:sz w:val="20"/>
        </w:rPr>
        <w:t> </w:t>
      </w:r>
      <w:r>
        <w:rPr>
          <w:rFonts w:ascii="Verdana" w:hAnsi="Verdana"/>
          <w:sz w:val="20"/>
        </w:rPr>
        <w:t>the</w:t>
      </w:r>
      <w:r>
        <w:rPr>
          <w:rFonts w:ascii="Verdana" w:hAnsi="Verdana"/>
          <w:spacing w:val="-2"/>
          <w:sz w:val="20"/>
        </w:rPr>
        <w:t> </w:t>
      </w:r>
      <w:r>
        <w:rPr>
          <w:rFonts w:ascii="Verdana" w:hAnsi="Verdana"/>
          <w:sz w:val="20"/>
        </w:rPr>
        <w:t>governance</w:t>
      </w:r>
      <w:r>
        <w:rPr>
          <w:rFonts w:ascii="Verdana" w:hAnsi="Verdana"/>
          <w:spacing w:val="-2"/>
          <w:sz w:val="20"/>
        </w:rPr>
        <w:t> </w:t>
      </w:r>
      <w:r>
        <w:rPr>
          <w:rFonts w:ascii="Verdana" w:hAnsi="Verdana"/>
          <w:sz w:val="20"/>
        </w:rPr>
        <w:t>arrangements</w:t>
      </w:r>
      <w:r>
        <w:rPr>
          <w:rFonts w:ascii="Verdana" w:hAnsi="Verdana"/>
          <w:spacing w:val="-1"/>
          <w:sz w:val="20"/>
        </w:rPr>
        <w:t> </w:t>
      </w:r>
      <w:r>
        <w:rPr>
          <w:rFonts w:ascii="Verdana" w:hAnsi="Verdana"/>
          <w:sz w:val="20"/>
        </w:rPr>
        <w:t>in</w:t>
      </w:r>
      <w:r>
        <w:rPr>
          <w:rFonts w:ascii="Verdana" w:hAnsi="Verdana"/>
          <w:spacing w:val="-1"/>
          <w:sz w:val="20"/>
        </w:rPr>
        <w:t> </w:t>
      </w:r>
      <w:r>
        <w:rPr>
          <w:rFonts w:ascii="Verdana" w:hAnsi="Verdana"/>
          <w:sz w:val="20"/>
        </w:rPr>
        <w:t>place</w:t>
      </w:r>
      <w:r>
        <w:rPr>
          <w:rFonts w:ascii="Verdana" w:hAnsi="Verdana"/>
          <w:spacing w:val="-2"/>
          <w:sz w:val="20"/>
        </w:rPr>
        <w:t> </w:t>
      </w:r>
      <w:r>
        <w:rPr>
          <w:rFonts w:ascii="Verdana" w:hAnsi="Verdana"/>
          <w:sz w:val="20"/>
        </w:rPr>
        <w:t>to support effective</w:t>
      </w:r>
      <w:r>
        <w:rPr>
          <w:rFonts w:ascii="Verdana" w:hAnsi="Verdana"/>
          <w:spacing w:val="-4"/>
          <w:sz w:val="20"/>
        </w:rPr>
        <w:t> </w:t>
      </w:r>
      <w:r>
        <w:rPr>
          <w:rFonts w:ascii="Verdana" w:hAnsi="Verdana"/>
          <w:sz w:val="20"/>
        </w:rPr>
        <w:t>partnership</w:t>
      </w:r>
      <w:r>
        <w:rPr>
          <w:rFonts w:ascii="Verdana" w:hAnsi="Verdana"/>
          <w:spacing w:val="-1"/>
          <w:sz w:val="20"/>
        </w:rPr>
        <w:t> </w:t>
      </w:r>
      <w:r>
        <w:rPr>
          <w:rFonts w:ascii="Verdana" w:hAnsi="Verdana"/>
          <w:sz w:val="20"/>
        </w:rPr>
        <w:t>working</w:t>
      </w:r>
      <w:r>
        <w:rPr>
          <w:rFonts w:ascii="Verdana" w:hAnsi="Verdana"/>
          <w:spacing w:val="-2"/>
          <w:sz w:val="20"/>
        </w:rPr>
        <w:t> </w:t>
      </w:r>
      <w:r>
        <w:rPr>
          <w:rFonts w:ascii="Verdana" w:hAnsi="Verdana"/>
          <w:sz w:val="20"/>
        </w:rPr>
        <w:t>between SBUHB</w:t>
      </w:r>
      <w:r>
        <w:rPr>
          <w:rFonts w:ascii="Verdana" w:hAnsi="Verdana"/>
          <w:spacing w:val="-1"/>
          <w:sz w:val="20"/>
        </w:rPr>
        <w:t> </w:t>
      </w:r>
      <w:r>
        <w:rPr>
          <w:rFonts w:ascii="Verdana" w:hAnsi="Verdana"/>
          <w:sz w:val="20"/>
        </w:rPr>
        <w:t>and</w:t>
      </w:r>
      <w:r>
        <w:rPr>
          <w:rFonts w:ascii="Verdana" w:hAnsi="Verdana"/>
          <w:spacing w:val="-1"/>
          <w:sz w:val="20"/>
        </w:rPr>
        <w:t> </w:t>
      </w:r>
      <w:r>
        <w:rPr>
          <w:rFonts w:ascii="Verdana" w:hAnsi="Verdana"/>
          <w:sz w:val="20"/>
        </w:rPr>
        <w:t>HDdUHB</w:t>
      </w:r>
      <w:r>
        <w:rPr>
          <w:rFonts w:ascii="Verdana" w:hAnsi="Verdana"/>
          <w:spacing w:val="-3"/>
          <w:sz w:val="20"/>
        </w:rPr>
        <w:t> </w:t>
      </w:r>
      <w:r>
        <w:rPr>
          <w:rFonts w:ascii="Verdana" w:hAnsi="Verdana"/>
          <w:sz w:val="20"/>
        </w:rPr>
        <w:t>through</w:t>
      </w:r>
      <w:r>
        <w:rPr>
          <w:rFonts w:ascii="Verdana" w:hAnsi="Verdana"/>
          <w:spacing w:val="-2"/>
          <w:sz w:val="20"/>
        </w:rPr>
        <w:t> </w:t>
      </w:r>
      <w:r>
        <w:rPr>
          <w:rFonts w:ascii="Verdana" w:hAnsi="Verdana"/>
          <w:sz w:val="20"/>
        </w:rPr>
        <w:t>the</w:t>
      </w:r>
      <w:r>
        <w:rPr>
          <w:rFonts w:ascii="Verdana" w:hAnsi="Verdana"/>
          <w:spacing w:val="-1"/>
          <w:sz w:val="20"/>
        </w:rPr>
        <w:t> </w:t>
      </w:r>
      <w:r>
        <w:rPr>
          <w:rFonts w:ascii="Verdana" w:hAnsi="Verdana"/>
          <w:sz w:val="20"/>
        </w:rPr>
        <w:t>RJC. The review focused on the design, clarity, and coherence of the governance framework established to support the RJC and its subgroups. An assessment of the operational effectiveness of these arrangements will be undertaken as part of a subsequent review within both Health Boards’ 2026/2027 internal audit </w:t>
      </w:r>
      <w:r>
        <w:rPr>
          <w:rFonts w:ascii="Verdana" w:hAnsi="Verdana"/>
          <w:spacing w:val="-2"/>
          <w:sz w:val="20"/>
        </w:rPr>
        <w:t>plans.</w:t>
      </w:r>
    </w:p>
    <w:p>
      <w:pPr>
        <w:spacing w:before="119"/>
        <w:ind w:left="216" w:right="0" w:firstLine="0"/>
        <w:jc w:val="left"/>
        <w:rPr>
          <w:rFonts w:ascii="Verdana"/>
          <w:sz w:val="22"/>
        </w:rPr>
      </w:pPr>
      <w:r>
        <w:rPr>
          <w:rFonts w:ascii="Verdana"/>
          <w:color w:val="001F5F"/>
          <w:spacing w:val="-2"/>
          <w:sz w:val="22"/>
        </w:rPr>
        <w:t>Overview</w:t>
      </w:r>
    </w:p>
    <w:p>
      <w:pPr>
        <w:spacing w:before="123"/>
        <w:ind w:left="216" w:right="385" w:firstLine="0"/>
        <w:jc w:val="both"/>
        <w:rPr>
          <w:rFonts w:ascii="Verdana"/>
          <w:sz w:val="20"/>
        </w:rPr>
      </w:pPr>
      <w:r>
        <w:rPr>
          <w:rFonts w:ascii="Verdana"/>
          <w:sz w:val="20"/>
        </w:rPr>
        <w:t>The</w:t>
      </w:r>
      <w:r>
        <w:rPr>
          <w:rFonts w:ascii="Verdana"/>
          <w:spacing w:val="-8"/>
          <w:sz w:val="20"/>
        </w:rPr>
        <w:t> </w:t>
      </w:r>
      <w:r>
        <w:rPr>
          <w:rFonts w:ascii="Verdana"/>
          <w:sz w:val="20"/>
        </w:rPr>
        <w:t>review</w:t>
      </w:r>
      <w:r>
        <w:rPr>
          <w:rFonts w:ascii="Verdana"/>
          <w:spacing w:val="-9"/>
          <w:sz w:val="20"/>
        </w:rPr>
        <w:t> </w:t>
      </w:r>
      <w:r>
        <w:rPr>
          <w:rFonts w:ascii="Verdana"/>
          <w:sz w:val="20"/>
        </w:rPr>
        <w:t>identified</w:t>
      </w:r>
      <w:r>
        <w:rPr>
          <w:rFonts w:ascii="Verdana"/>
          <w:spacing w:val="-6"/>
          <w:sz w:val="20"/>
        </w:rPr>
        <w:t> </w:t>
      </w:r>
      <w:r>
        <w:rPr>
          <w:rFonts w:ascii="Verdana"/>
          <w:sz w:val="20"/>
        </w:rPr>
        <w:t>a</w:t>
      </w:r>
      <w:r>
        <w:rPr>
          <w:rFonts w:ascii="Verdana"/>
          <w:spacing w:val="-7"/>
          <w:sz w:val="20"/>
        </w:rPr>
        <w:t> </w:t>
      </w:r>
      <w:r>
        <w:rPr>
          <w:rFonts w:ascii="Verdana"/>
          <w:sz w:val="20"/>
        </w:rPr>
        <w:t>number</w:t>
      </w:r>
      <w:r>
        <w:rPr>
          <w:rFonts w:ascii="Verdana"/>
          <w:spacing w:val="-8"/>
          <w:sz w:val="20"/>
        </w:rPr>
        <w:t> </w:t>
      </w:r>
      <w:r>
        <w:rPr>
          <w:rFonts w:ascii="Verdana"/>
          <w:sz w:val="20"/>
        </w:rPr>
        <w:t>of</w:t>
      </w:r>
      <w:r>
        <w:rPr>
          <w:rFonts w:ascii="Verdana"/>
          <w:spacing w:val="-8"/>
          <w:sz w:val="20"/>
        </w:rPr>
        <w:t> </w:t>
      </w:r>
      <w:r>
        <w:rPr>
          <w:rFonts w:ascii="Verdana"/>
          <w:sz w:val="20"/>
        </w:rPr>
        <w:t>established</w:t>
      </w:r>
      <w:r>
        <w:rPr>
          <w:rFonts w:ascii="Verdana"/>
          <w:spacing w:val="-6"/>
          <w:sz w:val="20"/>
        </w:rPr>
        <w:t> </w:t>
      </w:r>
      <w:r>
        <w:rPr>
          <w:rFonts w:ascii="Verdana"/>
          <w:sz w:val="20"/>
        </w:rPr>
        <w:t>and</w:t>
      </w:r>
      <w:r>
        <w:rPr>
          <w:rFonts w:ascii="Verdana"/>
          <w:spacing w:val="-9"/>
          <w:sz w:val="20"/>
        </w:rPr>
        <w:t> </w:t>
      </w:r>
      <w:r>
        <w:rPr>
          <w:rFonts w:ascii="Verdana"/>
          <w:sz w:val="20"/>
        </w:rPr>
        <w:t>effective</w:t>
      </w:r>
      <w:r>
        <w:rPr>
          <w:rFonts w:ascii="Verdana"/>
          <w:spacing w:val="-6"/>
          <w:sz w:val="20"/>
        </w:rPr>
        <w:t> </w:t>
      </w:r>
      <w:r>
        <w:rPr>
          <w:rFonts w:ascii="Verdana"/>
          <w:sz w:val="20"/>
        </w:rPr>
        <w:t>elements</w:t>
      </w:r>
      <w:r>
        <w:rPr>
          <w:rFonts w:ascii="Verdana"/>
          <w:spacing w:val="-8"/>
          <w:sz w:val="20"/>
        </w:rPr>
        <w:t> </w:t>
      </w:r>
      <w:r>
        <w:rPr>
          <w:rFonts w:ascii="Verdana"/>
          <w:sz w:val="20"/>
        </w:rPr>
        <w:t>within</w:t>
      </w:r>
      <w:r>
        <w:rPr>
          <w:rFonts w:ascii="Verdana"/>
          <w:spacing w:val="-8"/>
          <w:sz w:val="20"/>
        </w:rPr>
        <w:t> </w:t>
      </w:r>
      <w:r>
        <w:rPr>
          <w:rFonts w:ascii="Verdana"/>
          <w:sz w:val="20"/>
        </w:rPr>
        <w:t>the</w:t>
      </w:r>
      <w:r>
        <w:rPr>
          <w:rFonts w:ascii="Verdana"/>
          <w:spacing w:val="-11"/>
          <w:sz w:val="20"/>
        </w:rPr>
        <w:t> </w:t>
      </w:r>
      <w:r>
        <w:rPr>
          <w:rFonts w:ascii="Verdana"/>
          <w:sz w:val="20"/>
        </w:rPr>
        <w:t>RJC</w:t>
      </w:r>
      <w:r>
        <w:rPr>
          <w:rFonts w:ascii="Verdana"/>
          <w:spacing w:val="-9"/>
          <w:sz w:val="20"/>
        </w:rPr>
        <w:t> </w:t>
      </w:r>
      <w:r>
        <w:rPr>
          <w:rFonts w:ascii="Verdana"/>
          <w:sz w:val="20"/>
        </w:rPr>
        <w:t>governance</w:t>
      </w:r>
      <w:r>
        <w:rPr>
          <w:rFonts w:ascii="Verdana"/>
          <w:spacing w:val="-8"/>
          <w:sz w:val="20"/>
        </w:rPr>
        <w:t> </w:t>
      </w:r>
      <w:r>
        <w:rPr>
          <w:rFonts w:ascii="Verdana"/>
          <w:sz w:val="20"/>
        </w:rPr>
        <w:t>framework.</w:t>
      </w:r>
      <w:r>
        <w:rPr>
          <w:rFonts w:ascii="Verdana"/>
          <w:spacing w:val="-8"/>
          <w:sz w:val="20"/>
        </w:rPr>
        <w:t> </w:t>
      </w:r>
      <w:r>
        <w:rPr>
          <w:rFonts w:ascii="Verdana"/>
          <w:sz w:val="20"/>
        </w:rPr>
        <w:t>In</w:t>
      </w:r>
      <w:r>
        <w:rPr>
          <w:rFonts w:ascii="Verdana"/>
          <w:spacing w:val="-8"/>
          <w:sz w:val="20"/>
        </w:rPr>
        <w:t> </w:t>
      </w:r>
      <w:r>
        <w:rPr>
          <w:rFonts w:ascii="Verdana"/>
          <w:sz w:val="20"/>
        </w:rPr>
        <w:t>particular,</w:t>
      </w:r>
      <w:r>
        <w:rPr>
          <w:rFonts w:ascii="Verdana"/>
          <w:spacing w:val="-8"/>
          <w:sz w:val="20"/>
        </w:rPr>
        <w:t> </w:t>
      </w:r>
      <w:r>
        <w:rPr>
          <w:rFonts w:ascii="Verdana"/>
          <w:sz w:val="20"/>
        </w:rPr>
        <w:t>there</w:t>
      </w:r>
      <w:r>
        <w:rPr>
          <w:rFonts w:ascii="Verdana"/>
          <w:spacing w:val="-8"/>
          <w:sz w:val="20"/>
        </w:rPr>
        <w:t> </w:t>
      </w:r>
      <w:r>
        <w:rPr>
          <w:rFonts w:ascii="Verdana"/>
          <w:sz w:val="20"/>
        </w:rPr>
        <w:t>is</w:t>
      </w:r>
      <w:r>
        <w:rPr>
          <w:rFonts w:ascii="Verdana"/>
          <w:spacing w:val="-7"/>
          <w:sz w:val="20"/>
        </w:rPr>
        <w:t> </w:t>
      </w:r>
      <w:r>
        <w:rPr>
          <w:rFonts w:ascii="Verdana"/>
          <w:sz w:val="20"/>
        </w:rPr>
        <w:t>a</w:t>
      </w:r>
      <w:r>
        <w:rPr>
          <w:rFonts w:ascii="Verdana"/>
          <w:spacing w:val="-7"/>
          <w:sz w:val="20"/>
        </w:rPr>
        <w:t> </w:t>
      </w:r>
      <w:r>
        <w:rPr>
          <w:rFonts w:ascii="Verdana"/>
          <w:sz w:val="20"/>
        </w:rPr>
        <w:t>clearly</w:t>
      </w:r>
      <w:r>
        <w:rPr>
          <w:rFonts w:ascii="Verdana"/>
          <w:spacing w:val="-8"/>
          <w:sz w:val="20"/>
        </w:rPr>
        <w:t> </w:t>
      </w:r>
      <w:r>
        <w:rPr>
          <w:rFonts w:ascii="Verdana"/>
          <w:sz w:val="20"/>
        </w:rPr>
        <w:t>defined</w:t>
      </w:r>
      <w:r>
        <w:rPr>
          <w:rFonts w:ascii="Verdana"/>
          <w:spacing w:val="-9"/>
          <w:sz w:val="20"/>
        </w:rPr>
        <w:t> </w:t>
      </w:r>
      <w:r>
        <w:rPr>
          <w:rFonts w:ascii="Verdana"/>
          <w:sz w:val="20"/>
        </w:rPr>
        <w:t>governance structure supported by approved Terms of Reference, subgroups operating in line with their intended strategic oversight role, developing work programmes aligned to regional priorities, and consistent and reliable reporting arrangements to both Health Boards through the AAA framework. These arrangements provide a strong foundation for regional partnership working, collective oversight and informed Board-level assurance.</w:t>
      </w:r>
    </w:p>
    <w:p>
      <w:pPr>
        <w:spacing w:before="120"/>
        <w:ind w:left="216" w:right="390" w:firstLine="0"/>
        <w:jc w:val="both"/>
        <w:rPr>
          <w:rFonts w:ascii="Verdana"/>
          <w:sz w:val="20"/>
        </w:rPr>
      </w:pPr>
      <w:r>
        <w:rPr>
          <w:rFonts w:ascii="Verdana"/>
          <w:sz w:val="20"/>
        </w:rPr>
        <w:t>The</w:t>
      </w:r>
      <w:r>
        <w:rPr>
          <w:rFonts w:ascii="Verdana"/>
          <w:spacing w:val="-4"/>
          <w:sz w:val="20"/>
        </w:rPr>
        <w:t> </w:t>
      </w:r>
      <w:r>
        <w:rPr>
          <w:rFonts w:ascii="Verdana"/>
          <w:sz w:val="20"/>
        </w:rPr>
        <w:t>RJC</w:t>
      </w:r>
      <w:r>
        <w:rPr>
          <w:rFonts w:ascii="Verdana"/>
          <w:spacing w:val="-1"/>
          <w:sz w:val="20"/>
        </w:rPr>
        <w:t> </w:t>
      </w:r>
      <w:r>
        <w:rPr>
          <w:rFonts w:ascii="Verdana"/>
          <w:sz w:val="20"/>
        </w:rPr>
        <w:t>has</w:t>
      </w:r>
      <w:r>
        <w:rPr>
          <w:rFonts w:ascii="Verdana"/>
          <w:spacing w:val="-1"/>
          <w:sz w:val="20"/>
        </w:rPr>
        <w:t> </w:t>
      </w:r>
      <w:r>
        <w:rPr>
          <w:rFonts w:ascii="Verdana"/>
          <w:sz w:val="20"/>
        </w:rPr>
        <w:t>made</w:t>
      </w:r>
      <w:r>
        <w:rPr>
          <w:rFonts w:ascii="Verdana"/>
          <w:spacing w:val="-2"/>
          <w:sz w:val="20"/>
        </w:rPr>
        <w:t> </w:t>
      </w:r>
      <w:r>
        <w:rPr>
          <w:rFonts w:ascii="Verdana"/>
          <w:sz w:val="20"/>
        </w:rPr>
        <w:t>clear</w:t>
      </w:r>
      <w:r>
        <w:rPr>
          <w:rFonts w:ascii="Verdana"/>
          <w:spacing w:val="-1"/>
          <w:sz w:val="20"/>
        </w:rPr>
        <w:t> </w:t>
      </w:r>
      <w:r>
        <w:rPr>
          <w:rFonts w:ascii="Verdana"/>
          <w:sz w:val="20"/>
        </w:rPr>
        <w:t>progress</w:t>
      </w:r>
      <w:r>
        <w:rPr>
          <w:rFonts w:ascii="Verdana"/>
          <w:spacing w:val="-4"/>
          <w:sz w:val="20"/>
        </w:rPr>
        <w:t> </w:t>
      </w:r>
      <w:r>
        <w:rPr>
          <w:rFonts w:ascii="Verdana"/>
          <w:sz w:val="20"/>
        </w:rPr>
        <w:t>in establishing</w:t>
      </w:r>
      <w:r>
        <w:rPr>
          <w:rFonts w:ascii="Verdana"/>
          <w:spacing w:val="-1"/>
          <w:sz w:val="20"/>
        </w:rPr>
        <w:t> </w:t>
      </w:r>
      <w:r>
        <w:rPr>
          <w:rFonts w:ascii="Verdana"/>
          <w:sz w:val="20"/>
        </w:rPr>
        <w:t>its</w:t>
      </w:r>
      <w:r>
        <w:rPr>
          <w:rFonts w:ascii="Verdana"/>
          <w:spacing w:val="-1"/>
          <w:sz w:val="20"/>
        </w:rPr>
        <w:t> </w:t>
      </w:r>
      <w:r>
        <w:rPr>
          <w:rFonts w:ascii="Verdana"/>
          <w:sz w:val="20"/>
        </w:rPr>
        <w:t>operating</w:t>
      </w:r>
      <w:r>
        <w:rPr>
          <w:rFonts w:ascii="Verdana"/>
          <w:spacing w:val="-2"/>
          <w:sz w:val="20"/>
        </w:rPr>
        <w:t> </w:t>
      </w:r>
      <w:r>
        <w:rPr>
          <w:rFonts w:ascii="Verdana"/>
          <w:sz w:val="20"/>
        </w:rPr>
        <w:t>model</w:t>
      </w:r>
      <w:r>
        <w:rPr>
          <w:rFonts w:ascii="Verdana"/>
          <w:spacing w:val="-1"/>
          <w:sz w:val="20"/>
        </w:rPr>
        <w:t> </w:t>
      </w:r>
      <w:r>
        <w:rPr>
          <w:rFonts w:ascii="Verdana"/>
          <w:sz w:val="20"/>
        </w:rPr>
        <w:t>and defining</w:t>
      </w:r>
      <w:r>
        <w:rPr>
          <w:rFonts w:ascii="Verdana"/>
          <w:spacing w:val="-2"/>
          <w:sz w:val="20"/>
        </w:rPr>
        <w:t> </w:t>
      </w:r>
      <w:r>
        <w:rPr>
          <w:rFonts w:ascii="Verdana"/>
          <w:sz w:val="20"/>
        </w:rPr>
        <w:t>regional</w:t>
      </w:r>
      <w:r>
        <w:rPr>
          <w:rFonts w:ascii="Verdana"/>
          <w:spacing w:val="-2"/>
          <w:sz w:val="20"/>
        </w:rPr>
        <w:t> </w:t>
      </w:r>
      <w:r>
        <w:rPr>
          <w:rFonts w:ascii="Verdana"/>
          <w:sz w:val="20"/>
        </w:rPr>
        <w:t>priorities. Governance</w:t>
      </w:r>
      <w:r>
        <w:rPr>
          <w:rFonts w:ascii="Verdana"/>
          <w:spacing w:val="-2"/>
          <w:sz w:val="20"/>
        </w:rPr>
        <w:t> </w:t>
      </w:r>
      <w:r>
        <w:rPr>
          <w:rFonts w:ascii="Verdana"/>
          <w:sz w:val="20"/>
        </w:rPr>
        <w:t>arrangements</w:t>
      </w:r>
      <w:r>
        <w:rPr>
          <w:rFonts w:ascii="Verdana"/>
          <w:spacing w:val="-1"/>
          <w:sz w:val="20"/>
        </w:rPr>
        <w:t> </w:t>
      </w:r>
      <w:r>
        <w:rPr>
          <w:rFonts w:ascii="Verdana"/>
          <w:sz w:val="20"/>
        </w:rPr>
        <w:t>are</w:t>
      </w:r>
      <w:r>
        <w:rPr>
          <w:rFonts w:ascii="Verdana"/>
          <w:spacing w:val="-2"/>
          <w:sz w:val="20"/>
        </w:rPr>
        <w:t> </w:t>
      </w:r>
      <w:r>
        <w:rPr>
          <w:rFonts w:ascii="Verdana"/>
          <w:sz w:val="20"/>
        </w:rPr>
        <w:t>functioning</w:t>
      </w:r>
      <w:r>
        <w:rPr>
          <w:rFonts w:ascii="Verdana"/>
          <w:spacing w:val="-2"/>
          <w:sz w:val="20"/>
        </w:rPr>
        <w:t> </w:t>
      </w:r>
      <w:r>
        <w:rPr>
          <w:rFonts w:ascii="Verdana"/>
          <w:sz w:val="20"/>
        </w:rPr>
        <w:t>as</w:t>
      </w:r>
      <w:r>
        <w:rPr>
          <w:rFonts w:ascii="Verdana"/>
          <w:spacing w:val="-1"/>
          <w:sz w:val="20"/>
        </w:rPr>
        <w:t> </w:t>
      </w:r>
      <w:r>
        <w:rPr>
          <w:rFonts w:ascii="Verdana"/>
          <w:sz w:val="20"/>
        </w:rPr>
        <w:t>intended</w:t>
      </w:r>
      <w:r>
        <w:rPr>
          <w:rFonts w:ascii="Verdana"/>
          <w:spacing w:val="-1"/>
          <w:sz w:val="20"/>
        </w:rPr>
        <w:t> </w:t>
      </w:r>
      <w:r>
        <w:rPr>
          <w:rFonts w:ascii="Verdana"/>
          <w:sz w:val="20"/>
        </w:rPr>
        <w:t>at a structural level, with evidence of Board scrutiny, effective escalation processes, and flexible decision-making where required, including for time-critical regional decisions.</w:t>
      </w:r>
    </w:p>
    <w:p>
      <w:pPr>
        <w:spacing w:before="120"/>
        <w:ind w:left="216" w:right="385" w:firstLine="0"/>
        <w:jc w:val="both"/>
        <w:rPr>
          <w:rFonts w:ascii="Verdana" w:hAnsi="Verdana"/>
          <w:sz w:val="20"/>
        </w:rPr>
      </w:pPr>
      <w:r>
        <w:rPr>
          <w:rFonts w:ascii="Verdana" w:hAnsi="Verdana"/>
          <w:sz w:val="20"/>
        </w:rPr>
        <w:t>As the committee transitions from establishment to delivery, there is an opportunity to further strengthen consistency and maturity across the governance landscape. Variation in maturity across subgroups reflects, in part, the transition from legacy ARCH</w:t>
      </w:r>
      <w:r>
        <w:rPr>
          <w:rFonts w:ascii="Verdana" w:hAnsi="Verdana"/>
          <w:position w:val="7"/>
          <w:sz w:val="13"/>
        </w:rPr>
        <w:t>1</w:t>
      </w:r>
      <w:r>
        <w:rPr>
          <w:rFonts w:ascii="Verdana" w:hAnsi="Verdana"/>
          <w:spacing w:val="40"/>
          <w:position w:val="7"/>
          <w:sz w:val="13"/>
        </w:rPr>
        <w:t> </w:t>
      </w:r>
      <w:r>
        <w:rPr>
          <w:rFonts w:ascii="Verdana" w:hAnsi="Verdana"/>
          <w:sz w:val="20"/>
        </w:rPr>
        <w:t>arrangements and differing stages of programme development. This variation is particularly evident in the consistency and completeness of governance documentation, the clarity and alignment of subgroup objectives and Terms of Reference, the articulation of outputs, outcomes and success measures within work programmes, and the ability to demonstrate progress, interdependencies and impact at a whole</w:t>
      </w:r>
      <w:r>
        <w:rPr>
          <w:rFonts w:ascii="Cambria Math" w:hAnsi="Cambria Math"/>
          <w:sz w:val="20"/>
        </w:rPr>
        <w:t>‑</w:t>
      </w:r>
      <w:r>
        <w:rPr>
          <w:rFonts w:ascii="Verdana" w:hAnsi="Verdana"/>
          <w:sz w:val="20"/>
        </w:rPr>
        <w:t>programme level. In particular:</w:t>
      </w:r>
    </w:p>
    <w:p>
      <w:pPr>
        <w:pStyle w:val="ListParagraph"/>
        <w:numPr>
          <w:ilvl w:val="0"/>
          <w:numId w:val="100"/>
        </w:numPr>
        <w:tabs>
          <w:tab w:pos="927" w:val="left" w:leader="none"/>
          <w:tab w:pos="929" w:val="left" w:leader="none"/>
        </w:tabs>
        <w:spacing w:line="237" w:lineRule="auto" w:before="122" w:after="0"/>
        <w:ind w:left="929" w:right="386" w:hanging="356"/>
        <w:jc w:val="both"/>
        <w:rPr>
          <w:rFonts w:ascii="Verdana" w:hAnsi="Verdana"/>
          <w:sz w:val="20"/>
        </w:rPr>
      </w:pPr>
      <w:r>
        <w:rPr>
          <w:rFonts w:ascii="Verdana" w:hAnsi="Verdana"/>
          <w:sz w:val="20"/>
        </w:rPr>
        <w:t>Subgroup governance arrangements continue to evolve, with some inconsistency in the development, approval and alignment of Terms of Reference and supporting documentation.</w:t>
      </w:r>
    </w:p>
    <w:p>
      <w:pPr>
        <w:pStyle w:val="ListParagraph"/>
        <w:numPr>
          <w:ilvl w:val="0"/>
          <w:numId w:val="100"/>
        </w:numPr>
        <w:tabs>
          <w:tab w:pos="927" w:val="left" w:leader="none"/>
          <w:tab w:pos="929" w:val="left" w:leader="none"/>
        </w:tabs>
        <w:spacing w:line="240" w:lineRule="auto" w:before="122" w:after="0"/>
        <w:ind w:left="929" w:right="385" w:hanging="356"/>
        <w:jc w:val="both"/>
        <w:rPr>
          <w:rFonts w:ascii="Verdana" w:hAnsi="Verdana"/>
          <w:sz w:val="20"/>
        </w:rPr>
      </w:pPr>
      <w:r>
        <w:rPr>
          <w:rFonts w:ascii="Verdana" w:hAnsi="Verdana"/>
          <w:sz w:val="20"/>
        </w:rPr>
        <w:t>Work programmes are in place across subgroups but vary in coverage and maturity. While more developed areas (e.g. CSP) demonstrate structured, delivery-focused</w:t>
      </w:r>
      <w:r>
        <w:rPr>
          <w:rFonts w:ascii="Verdana" w:hAnsi="Verdana"/>
          <w:spacing w:val="-10"/>
          <w:sz w:val="20"/>
        </w:rPr>
        <w:t> </w:t>
      </w:r>
      <w:r>
        <w:rPr>
          <w:rFonts w:ascii="Verdana" w:hAnsi="Verdana"/>
          <w:sz w:val="20"/>
        </w:rPr>
        <w:t>approaches,</w:t>
      </w:r>
      <w:r>
        <w:rPr>
          <w:rFonts w:ascii="Verdana" w:hAnsi="Verdana"/>
          <w:spacing w:val="-11"/>
          <w:sz w:val="20"/>
        </w:rPr>
        <w:t> </w:t>
      </w:r>
      <w:r>
        <w:rPr>
          <w:rFonts w:ascii="Verdana" w:hAnsi="Verdana"/>
          <w:sz w:val="20"/>
        </w:rPr>
        <w:t>others</w:t>
      </w:r>
      <w:r>
        <w:rPr>
          <w:rFonts w:ascii="Verdana" w:hAnsi="Verdana"/>
          <w:spacing w:val="-9"/>
          <w:sz w:val="20"/>
        </w:rPr>
        <w:t> </w:t>
      </w:r>
      <w:r>
        <w:rPr>
          <w:rFonts w:ascii="Verdana" w:hAnsi="Verdana"/>
          <w:sz w:val="20"/>
        </w:rPr>
        <w:t>remain</w:t>
      </w:r>
      <w:r>
        <w:rPr>
          <w:rFonts w:ascii="Verdana" w:hAnsi="Verdana"/>
          <w:spacing w:val="-9"/>
          <w:sz w:val="20"/>
        </w:rPr>
        <w:t> </w:t>
      </w:r>
      <w:r>
        <w:rPr>
          <w:rFonts w:ascii="Verdana" w:hAnsi="Verdana"/>
          <w:sz w:val="20"/>
        </w:rPr>
        <w:t>more</w:t>
      </w:r>
      <w:r>
        <w:rPr>
          <w:rFonts w:ascii="Verdana" w:hAnsi="Verdana"/>
          <w:spacing w:val="-12"/>
          <w:sz w:val="20"/>
        </w:rPr>
        <w:t> </w:t>
      </w:r>
      <w:r>
        <w:rPr>
          <w:rFonts w:ascii="Verdana" w:hAnsi="Verdana"/>
          <w:sz w:val="20"/>
        </w:rPr>
        <w:t>indicative</w:t>
      </w:r>
      <w:r>
        <w:rPr>
          <w:rFonts w:ascii="Verdana" w:hAnsi="Verdana"/>
          <w:spacing w:val="-12"/>
          <w:sz w:val="20"/>
        </w:rPr>
        <w:t> </w:t>
      </w:r>
      <w:r>
        <w:rPr>
          <w:rFonts w:ascii="Verdana" w:hAnsi="Verdana"/>
          <w:sz w:val="20"/>
        </w:rPr>
        <w:t>in</w:t>
      </w:r>
      <w:r>
        <w:rPr>
          <w:rFonts w:ascii="Verdana" w:hAnsi="Verdana"/>
          <w:spacing w:val="-9"/>
          <w:sz w:val="20"/>
        </w:rPr>
        <w:t> </w:t>
      </w:r>
      <w:r>
        <w:rPr>
          <w:rFonts w:ascii="Verdana" w:hAnsi="Verdana"/>
          <w:sz w:val="20"/>
        </w:rPr>
        <w:t>nature,</w:t>
      </w:r>
      <w:r>
        <w:rPr>
          <w:rFonts w:ascii="Verdana" w:hAnsi="Verdana"/>
          <w:spacing w:val="-11"/>
          <w:sz w:val="20"/>
        </w:rPr>
        <w:t> </w:t>
      </w:r>
      <w:r>
        <w:rPr>
          <w:rFonts w:ascii="Verdana" w:hAnsi="Verdana"/>
          <w:sz w:val="20"/>
        </w:rPr>
        <w:t>with</w:t>
      </w:r>
      <w:r>
        <w:rPr>
          <w:rFonts w:ascii="Verdana" w:hAnsi="Verdana"/>
          <w:spacing w:val="-9"/>
          <w:sz w:val="20"/>
        </w:rPr>
        <w:t> </w:t>
      </w:r>
      <w:r>
        <w:rPr>
          <w:rFonts w:ascii="Verdana" w:hAnsi="Verdana"/>
          <w:sz w:val="20"/>
        </w:rPr>
        <w:t>less</w:t>
      </w:r>
      <w:r>
        <w:rPr>
          <w:rFonts w:ascii="Verdana" w:hAnsi="Verdana"/>
          <w:spacing w:val="-12"/>
          <w:sz w:val="20"/>
        </w:rPr>
        <w:t> </w:t>
      </w:r>
      <w:r>
        <w:rPr>
          <w:rFonts w:ascii="Verdana" w:hAnsi="Verdana"/>
          <w:sz w:val="20"/>
        </w:rPr>
        <w:t>consistent</w:t>
      </w:r>
      <w:r>
        <w:rPr>
          <w:rFonts w:ascii="Verdana" w:hAnsi="Verdana"/>
          <w:spacing w:val="-10"/>
          <w:sz w:val="20"/>
        </w:rPr>
        <w:t> </w:t>
      </w:r>
      <w:r>
        <w:rPr>
          <w:rFonts w:ascii="Verdana" w:hAnsi="Verdana"/>
          <w:sz w:val="20"/>
        </w:rPr>
        <w:t>defining</w:t>
      </w:r>
      <w:r>
        <w:rPr>
          <w:rFonts w:ascii="Verdana" w:hAnsi="Verdana"/>
          <w:spacing w:val="-1"/>
          <w:sz w:val="20"/>
        </w:rPr>
        <w:t> </w:t>
      </w:r>
      <w:r>
        <w:rPr>
          <w:rFonts w:ascii="Verdana" w:hAnsi="Verdana"/>
          <w:sz w:val="20"/>
        </w:rPr>
        <w:t>of</w:t>
      </w:r>
      <w:r>
        <w:rPr>
          <w:rFonts w:ascii="Verdana" w:hAnsi="Verdana"/>
          <w:spacing w:val="-11"/>
          <w:sz w:val="20"/>
        </w:rPr>
        <w:t> </w:t>
      </w:r>
      <w:r>
        <w:rPr>
          <w:rFonts w:ascii="Verdana" w:hAnsi="Verdana"/>
          <w:sz w:val="20"/>
        </w:rPr>
        <w:t>outputs,</w:t>
      </w:r>
      <w:r>
        <w:rPr>
          <w:rFonts w:ascii="Verdana" w:hAnsi="Verdana"/>
          <w:spacing w:val="-11"/>
          <w:sz w:val="20"/>
        </w:rPr>
        <w:t> </w:t>
      </w:r>
      <w:r>
        <w:rPr>
          <w:rFonts w:ascii="Verdana" w:hAnsi="Verdana"/>
          <w:sz w:val="20"/>
        </w:rPr>
        <w:t>milestones</w:t>
      </w:r>
      <w:r>
        <w:rPr>
          <w:rFonts w:ascii="Verdana" w:hAnsi="Verdana"/>
          <w:spacing w:val="-11"/>
          <w:sz w:val="20"/>
        </w:rPr>
        <w:t> </w:t>
      </w:r>
      <w:r>
        <w:rPr>
          <w:rFonts w:ascii="Verdana" w:hAnsi="Verdana"/>
          <w:sz w:val="20"/>
        </w:rPr>
        <w:t>and</w:t>
      </w:r>
      <w:r>
        <w:rPr>
          <w:rFonts w:ascii="Verdana" w:hAnsi="Verdana"/>
          <w:spacing w:val="-7"/>
          <w:sz w:val="20"/>
        </w:rPr>
        <w:t> </w:t>
      </w:r>
      <w:r>
        <w:rPr>
          <w:rFonts w:ascii="Verdana" w:hAnsi="Verdana"/>
          <w:sz w:val="20"/>
        </w:rPr>
        <w:t>outcomes.</w:t>
      </w:r>
      <w:r>
        <w:rPr>
          <w:rFonts w:ascii="Verdana" w:hAnsi="Verdana"/>
          <w:spacing w:val="-11"/>
          <w:sz w:val="20"/>
        </w:rPr>
        <w:t> </w:t>
      </w:r>
      <w:r>
        <w:rPr>
          <w:rFonts w:ascii="Verdana" w:hAnsi="Verdana"/>
          <w:sz w:val="20"/>
        </w:rPr>
        <w:t>In</w:t>
      </w:r>
      <w:r>
        <w:rPr>
          <w:rFonts w:ascii="Verdana" w:hAnsi="Verdana"/>
          <w:spacing w:val="-9"/>
          <w:sz w:val="20"/>
        </w:rPr>
        <w:t> </w:t>
      </w:r>
      <w:r>
        <w:rPr>
          <w:rFonts w:ascii="Verdana" w:hAnsi="Verdana"/>
          <w:sz w:val="20"/>
        </w:rPr>
        <w:t>some</w:t>
      </w:r>
      <w:r>
        <w:rPr>
          <w:rFonts w:ascii="Verdana" w:hAnsi="Verdana"/>
          <w:spacing w:val="-11"/>
          <w:sz w:val="20"/>
        </w:rPr>
        <w:t> </w:t>
      </w:r>
      <w:r>
        <w:rPr>
          <w:rFonts w:ascii="Verdana" w:hAnsi="Verdana"/>
          <w:sz w:val="20"/>
        </w:rPr>
        <w:t>cases (e.g. Finance and Contracting), supporting documentation was not available for review, limiting visibility of delivery expectations and contribution to regional objectives.</w:t>
      </w:r>
    </w:p>
    <w:p>
      <w:pPr>
        <w:pStyle w:val="ListParagraph"/>
        <w:numPr>
          <w:ilvl w:val="0"/>
          <w:numId w:val="100"/>
        </w:numPr>
        <w:tabs>
          <w:tab w:pos="936" w:val="left" w:leader="none"/>
        </w:tabs>
        <w:spacing w:line="237" w:lineRule="auto" w:before="60" w:after="0"/>
        <w:ind w:left="936" w:right="384" w:hanging="360"/>
        <w:jc w:val="both"/>
        <w:rPr>
          <w:rFonts w:ascii="Verdana" w:hAnsi="Verdana"/>
          <w:sz w:val="20"/>
        </w:rPr>
      </w:pPr>
      <w:r>
        <w:rPr>
          <w:rFonts w:ascii="Verdana" w:hAnsi="Verdana"/>
          <w:sz w:val="20"/>
        </w:rPr>
        <w:t>There is an intention to develop an RJC strategic risk register and this could be strengthened by a programme-wide approach to risk management, to ensure delivery risks at subgroup and workstream level are consistently identified, recorded and managed.</w:t>
      </w:r>
    </w:p>
    <w:p>
      <w:pPr>
        <w:spacing w:before="120"/>
        <w:ind w:left="216" w:right="384" w:firstLine="0"/>
        <w:jc w:val="both"/>
        <w:rPr>
          <w:rFonts w:ascii="Verdana"/>
          <w:sz w:val="20"/>
        </w:rPr>
      </w:pPr>
      <w:r>
        <w:rPr>
          <w:rFonts w:ascii="Verdana"/>
          <w:sz w:val="20"/>
        </w:rPr>
        <w:t>Notwithstanding these areas for development, governance arrangements are operating effectively in supporting oversight, reporting and decision-making across both Health Boards.</w:t>
      </w:r>
    </w:p>
    <w:p>
      <w:pPr>
        <w:spacing w:before="121"/>
        <w:ind w:left="216" w:right="386" w:firstLine="0"/>
        <w:jc w:val="both"/>
        <w:rPr>
          <w:rFonts w:ascii="Verdana"/>
          <w:sz w:val="20"/>
        </w:rPr>
      </w:pPr>
      <w:r>
        <w:rPr>
          <w:rFonts w:ascii="Verdana"/>
          <w:sz w:val="20"/>
        </w:rPr>
        <mc:AlternateContent>
          <mc:Choice Requires="wps">
            <w:drawing>
              <wp:anchor distT="0" distB="0" distL="0" distR="0" allowOverlap="1" layoutInCell="1" locked="0" behindDoc="0" simplePos="0" relativeHeight="15852544">
                <wp:simplePos x="0" y="0"/>
                <wp:positionH relativeFrom="page">
                  <wp:posOffset>4918493</wp:posOffset>
                </wp:positionH>
                <wp:positionV relativeFrom="paragraph">
                  <wp:posOffset>1017181</wp:posOffset>
                </wp:positionV>
                <wp:extent cx="855980" cy="193040"/>
                <wp:effectExtent l="0" t="0" r="0" b="0"/>
                <wp:wrapNone/>
                <wp:docPr id="604" name="Group 604"/>
                <wp:cNvGraphicFramePr>
                  <a:graphicFrameLocks/>
                </wp:cNvGraphicFramePr>
                <a:graphic>
                  <a:graphicData uri="http://schemas.microsoft.com/office/word/2010/wordprocessingGroup">
                    <wpg:wgp>
                      <wpg:cNvPr id="604" name="Group 604"/>
                      <wpg:cNvGrpSpPr/>
                      <wpg:grpSpPr>
                        <a:xfrm>
                          <a:off x="0" y="0"/>
                          <a:ext cx="855980" cy="193040"/>
                          <a:chExt cx="855980" cy="193040"/>
                        </a:xfrm>
                      </wpg:grpSpPr>
                      <pic:pic>
                        <pic:nvPicPr>
                          <pic:cNvPr id="605" name="Image 605"/>
                          <pic:cNvPicPr/>
                        </pic:nvPicPr>
                        <pic:blipFill>
                          <a:blip r:embed="rId23" cstate="print"/>
                          <a:stretch>
                            <a:fillRect/>
                          </a:stretch>
                        </pic:blipFill>
                        <pic:spPr>
                          <a:xfrm>
                            <a:off x="0" y="0"/>
                            <a:ext cx="855390" cy="192463"/>
                          </a:xfrm>
                          <a:prstGeom prst="rect">
                            <a:avLst/>
                          </a:prstGeom>
                        </pic:spPr>
                      </pic:pic>
                      <wps:wsp>
                        <wps:cNvPr id="606" name="Textbox 606"/>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175</w:t>
                              </w:r>
                            </w:p>
                          </w:txbxContent>
                        </wps:txbx>
                        <wps:bodyPr wrap="square" lIns="0" tIns="0" rIns="0" bIns="0" rtlCol="0">
                          <a:noAutofit/>
                        </wps:bodyPr>
                      </wps:wsp>
                    </wpg:wgp>
                  </a:graphicData>
                </a:graphic>
              </wp:anchor>
            </w:drawing>
          </mc:Choice>
          <mc:Fallback>
            <w:pict>
              <v:group style="position:absolute;margin-left:387.28299pt;margin-top:80.092995pt;width:67.4pt;height:15.2pt;mso-position-horizontal-relative:page;mso-position-vertical-relative:paragraph;z-index:15852544" id="docshapegroup367" coordorigin="7746,1602" coordsize="1348,304">
                <v:shape style="position:absolute;left:7745;top:1601;width:1348;height:304" type="#_x0000_t75" id="docshape368" stroked="false">
                  <v:imagedata r:id="rId23" o:title=""/>
                </v:shape>
                <v:shape style="position:absolute;left:7745;top:1601;width:1348;height:304" type="#_x0000_t202" id="docshape369" filled="false" stroked="false">
                  <v:textbox inset="0,0,0,0">
                    <w:txbxContent>
                      <w:p>
                        <w:pPr>
                          <w:spacing w:before="106"/>
                          <w:ind w:left="337" w:right="0" w:firstLine="0"/>
                          <w:jc w:val="left"/>
                          <w:rPr>
                            <w:sz w:val="15"/>
                          </w:rPr>
                        </w:pPr>
                        <w:r>
                          <w:rPr>
                            <w:w w:val="105"/>
                            <w:sz w:val="15"/>
                          </w:rPr>
                          <w:t>Page</w:t>
                        </w:r>
                        <w:r>
                          <w:rPr>
                            <w:spacing w:val="-5"/>
                            <w:w w:val="105"/>
                            <w:sz w:val="15"/>
                          </w:rPr>
                          <w:t> 175</w:t>
                        </w:r>
                      </w:p>
                    </w:txbxContent>
                  </v:textbox>
                  <w10:wrap type="none"/>
                </v:shape>
                <w10:wrap type="none"/>
              </v:group>
            </w:pict>
          </mc:Fallback>
        </mc:AlternateContent>
      </w:r>
      <w:r>
        <w:rPr>
          <w:rFonts w:ascii="Verdana"/>
          <w:sz w:val="20"/>
        </w:rPr>
        <w:t>Addressing the areas identified will support the RJC in transitioning from a developing governance model to a more mature, consistently applied framework, capable of demonstrating clear delivery, effective oversight, and measurable impact across its full remit.</w:t>
      </w:r>
    </w:p>
    <w:p>
      <w:pPr>
        <w:pStyle w:val="BodyText"/>
        <w:spacing w:before="74"/>
        <w:rPr>
          <w:rFonts w:ascii="Verdana"/>
          <w:sz w:val="20"/>
        </w:rPr>
      </w:pPr>
      <w:r>
        <w:rPr>
          <w:rFonts w:ascii="Verdana"/>
          <w:sz w:val="20"/>
        </w:rPr>
        <mc:AlternateContent>
          <mc:Choice Requires="wps">
            <w:drawing>
              <wp:anchor distT="0" distB="0" distL="0" distR="0" allowOverlap="1" layoutInCell="1" locked="0" behindDoc="1" simplePos="0" relativeHeight="487709696">
                <wp:simplePos x="0" y="0"/>
                <wp:positionH relativeFrom="page">
                  <wp:posOffset>457200</wp:posOffset>
                </wp:positionH>
                <wp:positionV relativeFrom="paragraph">
                  <wp:posOffset>216783</wp:posOffset>
                </wp:positionV>
                <wp:extent cx="1829435" cy="9525"/>
                <wp:effectExtent l="0" t="0" r="0" b="0"/>
                <wp:wrapTopAndBottom/>
                <wp:docPr id="607" name="Graphic 607"/>
                <wp:cNvGraphicFramePr>
                  <a:graphicFrameLocks/>
                </wp:cNvGraphicFramePr>
                <a:graphic>
                  <a:graphicData uri="http://schemas.microsoft.com/office/word/2010/wordprocessingShape">
                    <wps:wsp>
                      <wps:cNvPr id="607" name="Graphic 607"/>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pt;margin-top:17.069546pt;width:144.020pt;height:.71997pt;mso-position-horizontal-relative:page;mso-position-vertical-relative:paragraph;z-index:-15606784;mso-wrap-distance-left:0;mso-wrap-distance-right:0" id="docshape370" filled="true" fillcolor="#000000" stroked="false">
                <v:fill type="solid"/>
                <w10:wrap type="topAndBottom"/>
              </v:rect>
            </w:pict>
          </mc:Fallback>
        </mc:AlternateContent>
      </w:r>
    </w:p>
    <w:p>
      <w:pPr>
        <w:spacing w:before="102"/>
        <w:ind w:left="579" w:right="0" w:firstLine="0"/>
        <w:jc w:val="left"/>
        <w:rPr>
          <w:rFonts w:ascii="Calibri" w:hAnsi="Calibri"/>
          <w:sz w:val="20"/>
        </w:rPr>
      </w:pPr>
      <w:r>
        <w:rPr>
          <w:rFonts w:ascii="Calibri" w:hAnsi="Calibri"/>
          <w:sz w:val="20"/>
          <w:vertAlign w:val="superscript"/>
        </w:rPr>
        <w:t>1</w:t>
      </w:r>
      <w:r>
        <w:rPr>
          <w:rFonts w:ascii="Calibri" w:hAnsi="Calibri"/>
          <w:spacing w:val="20"/>
          <w:sz w:val="20"/>
          <w:vertAlign w:val="baseline"/>
        </w:rPr>
        <w:t> </w:t>
      </w:r>
      <w:r>
        <w:rPr>
          <w:rFonts w:ascii="Calibri" w:hAnsi="Calibri"/>
          <w:sz w:val="20"/>
          <w:vertAlign w:val="baseline"/>
        </w:rPr>
        <w:t>A</w:t>
      </w:r>
      <w:r>
        <w:rPr>
          <w:rFonts w:ascii="Calibri" w:hAnsi="Calibri"/>
          <w:spacing w:val="21"/>
          <w:sz w:val="20"/>
          <w:vertAlign w:val="baseline"/>
        </w:rPr>
        <w:t> </w:t>
      </w:r>
      <w:r>
        <w:rPr>
          <w:rFonts w:ascii="Calibri" w:hAnsi="Calibri"/>
          <w:sz w:val="20"/>
          <w:vertAlign w:val="baseline"/>
        </w:rPr>
        <w:t>Regional</w:t>
      </w:r>
      <w:r>
        <w:rPr>
          <w:rFonts w:ascii="Calibri" w:hAnsi="Calibri"/>
          <w:spacing w:val="22"/>
          <w:sz w:val="20"/>
          <w:vertAlign w:val="baseline"/>
        </w:rPr>
        <w:t> </w:t>
      </w:r>
      <w:r>
        <w:rPr>
          <w:rFonts w:ascii="Calibri" w:hAnsi="Calibri"/>
          <w:sz w:val="20"/>
          <w:vertAlign w:val="baseline"/>
        </w:rPr>
        <w:t>Collaboration</w:t>
      </w:r>
      <w:r>
        <w:rPr>
          <w:rFonts w:ascii="Calibri" w:hAnsi="Calibri"/>
          <w:spacing w:val="21"/>
          <w:sz w:val="20"/>
          <w:vertAlign w:val="baseline"/>
        </w:rPr>
        <w:t> </w:t>
      </w:r>
      <w:r>
        <w:rPr>
          <w:rFonts w:ascii="Calibri" w:hAnsi="Calibri"/>
          <w:sz w:val="20"/>
          <w:vertAlign w:val="baseline"/>
        </w:rPr>
        <w:t>for</w:t>
      </w:r>
      <w:r>
        <w:rPr>
          <w:rFonts w:ascii="Calibri" w:hAnsi="Calibri"/>
          <w:spacing w:val="23"/>
          <w:sz w:val="20"/>
          <w:vertAlign w:val="baseline"/>
        </w:rPr>
        <w:t> </w:t>
      </w:r>
      <w:r>
        <w:rPr>
          <w:rFonts w:ascii="Calibri" w:hAnsi="Calibri"/>
          <w:sz w:val="20"/>
          <w:vertAlign w:val="baseline"/>
        </w:rPr>
        <w:t>Health</w:t>
      </w:r>
      <w:r>
        <w:rPr>
          <w:rFonts w:ascii="Calibri" w:hAnsi="Calibri"/>
          <w:spacing w:val="22"/>
          <w:sz w:val="20"/>
          <w:vertAlign w:val="baseline"/>
        </w:rPr>
        <w:t> </w:t>
      </w:r>
      <w:r>
        <w:rPr>
          <w:rFonts w:ascii="Calibri" w:hAnsi="Calibri"/>
          <w:sz w:val="20"/>
          <w:vertAlign w:val="baseline"/>
        </w:rPr>
        <w:t>(ARCH)</w:t>
      </w:r>
      <w:r>
        <w:rPr>
          <w:rFonts w:ascii="Calibri" w:hAnsi="Calibri"/>
          <w:spacing w:val="20"/>
          <w:sz w:val="20"/>
          <w:vertAlign w:val="baseline"/>
        </w:rPr>
        <w:t> </w:t>
      </w:r>
      <w:r>
        <w:rPr>
          <w:rFonts w:ascii="Calibri" w:hAnsi="Calibri"/>
          <w:sz w:val="20"/>
          <w:vertAlign w:val="baseline"/>
        </w:rPr>
        <w:t>was</w:t>
      </w:r>
      <w:r>
        <w:rPr>
          <w:rFonts w:ascii="Calibri" w:hAnsi="Calibri"/>
          <w:spacing w:val="23"/>
          <w:sz w:val="20"/>
          <w:vertAlign w:val="baseline"/>
        </w:rPr>
        <w:t> </w:t>
      </w:r>
      <w:r>
        <w:rPr>
          <w:rFonts w:ascii="Calibri" w:hAnsi="Calibri"/>
          <w:sz w:val="20"/>
          <w:vertAlign w:val="baseline"/>
        </w:rPr>
        <w:t>a</w:t>
      </w:r>
      <w:r>
        <w:rPr>
          <w:rFonts w:ascii="Calibri" w:hAnsi="Calibri"/>
          <w:spacing w:val="21"/>
          <w:sz w:val="20"/>
          <w:vertAlign w:val="baseline"/>
        </w:rPr>
        <w:t> </w:t>
      </w:r>
      <w:r>
        <w:rPr>
          <w:rFonts w:ascii="Calibri" w:hAnsi="Calibri"/>
          <w:sz w:val="20"/>
          <w:vertAlign w:val="baseline"/>
        </w:rPr>
        <w:t>long</w:t>
      </w:r>
      <w:r>
        <w:rPr>
          <w:rFonts w:ascii="Cambria Math" w:hAnsi="Cambria Math"/>
          <w:sz w:val="20"/>
          <w:vertAlign w:val="baseline"/>
        </w:rPr>
        <w:t>‑</w:t>
      </w:r>
      <w:r>
        <w:rPr>
          <w:rFonts w:ascii="Calibri" w:hAnsi="Calibri"/>
          <w:sz w:val="20"/>
          <w:vertAlign w:val="baseline"/>
        </w:rPr>
        <w:t>term,</w:t>
      </w:r>
      <w:r>
        <w:rPr>
          <w:rFonts w:ascii="Calibri" w:hAnsi="Calibri"/>
          <w:spacing w:val="21"/>
          <w:sz w:val="20"/>
          <w:vertAlign w:val="baseline"/>
        </w:rPr>
        <w:t> </w:t>
      </w:r>
      <w:r>
        <w:rPr>
          <w:rFonts w:ascii="Calibri" w:hAnsi="Calibri"/>
          <w:sz w:val="20"/>
          <w:vertAlign w:val="baseline"/>
        </w:rPr>
        <w:t>tri</w:t>
      </w:r>
      <w:r>
        <w:rPr>
          <w:rFonts w:ascii="Cambria Math" w:hAnsi="Cambria Math"/>
          <w:sz w:val="20"/>
          <w:vertAlign w:val="baseline"/>
        </w:rPr>
        <w:t>‑</w:t>
      </w:r>
      <w:r>
        <w:rPr>
          <w:rFonts w:ascii="Calibri" w:hAnsi="Calibri"/>
          <w:sz w:val="20"/>
          <w:vertAlign w:val="baseline"/>
        </w:rPr>
        <w:t>partite</w:t>
      </w:r>
      <w:r>
        <w:rPr>
          <w:rFonts w:ascii="Calibri" w:hAnsi="Calibri"/>
          <w:spacing w:val="20"/>
          <w:sz w:val="20"/>
          <w:vertAlign w:val="baseline"/>
        </w:rPr>
        <w:t> </w:t>
      </w:r>
      <w:r>
        <w:rPr>
          <w:rFonts w:ascii="Calibri" w:hAnsi="Calibri"/>
          <w:sz w:val="20"/>
          <w:vertAlign w:val="baseline"/>
        </w:rPr>
        <w:t>partnership</w:t>
      </w:r>
      <w:r>
        <w:rPr>
          <w:rFonts w:ascii="Calibri" w:hAnsi="Calibri"/>
          <w:spacing w:val="19"/>
          <w:sz w:val="20"/>
          <w:vertAlign w:val="baseline"/>
        </w:rPr>
        <w:t> </w:t>
      </w:r>
      <w:r>
        <w:rPr>
          <w:rFonts w:ascii="Calibri" w:hAnsi="Calibri"/>
          <w:sz w:val="20"/>
          <w:vertAlign w:val="baseline"/>
        </w:rPr>
        <w:t>between</w:t>
      </w:r>
      <w:r>
        <w:rPr>
          <w:rFonts w:ascii="Calibri" w:hAnsi="Calibri"/>
          <w:spacing w:val="21"/>
          <w:sz w:val="20"/>
          <w:vertAlign w:val="baseline"/>
        </w:rPr>
        <w:t> </w:t>
      </w:r>
      <w:r>
        <w:rPr>
          <w:rFonts w:ascii="Calibri" w:hAnsi="Calibri"/>
          <w:sz w:val="20"/>
          <w:vertAlign w:val="baseline"/>
        </w:rPr>
        <w:t>Swansea</w:t>
      </w:r>
      <w:r>
        <w:rPr>
          <w:rFonts w:ascii="Calibri" w:hAnsi="Calibri"/>
          <w:spacing w:val="21"/>
          <w:sz w:val="20"/>
          <w:vertAlign w:val="baseline"/>
        </w:rPr>
        <w:t> </w:t>
      </w:r>
      <w:r>
        <w:rPr>
          <w:rFonts w:ascii="Calibri" w:hAnsi="Calibri"/>
          <w:sz w:val="20"/>
          <w:vertAlign w:val="baseline"/>
        </w:rPr>
        <w:t>Bay</w:t>
      </w:r>
      <w:r>
        <w:rPr>
          <w:rFonts w:ascii="Calibri" w:hAnsi="Calibri"/>
          <w:spacing w:val="21"/>
          <w:sz w:val="20"/>
          <w:vertAlign w:val="baseline"/>
        </w:rPr>
        <w:t> </w:t>
      </w:r>
      <w:r>
        <w:rPr>
          <w:rFonts w:ascii="Calibri" w:hAnsi="Calibri"/>
          <w:sz w:val="20"/>
          <w:vertAlign w:val="baseline"/>
        </w:rPr>
        <w:t>University</w:t>
      </w:r>
      <w:r>
        <w:rPr>
          <w:rFonts w:ascii="Calibri" w:hAnsi="Calibri"/>
          <w:spacing w:val="21"/>
          <w:sz w:val="20"/>
          <w:vertAlign w:val="baseline"/>
        </w:rPr>
        <w:t> </w:t>
      </w:r>
      <w:r>
        <w:rPr>
          <w:rFonts w:ascii="Calibri" w:hAnsi="Calibri"/>
          <w:sz w:val="20"/>
          <w:vertAlign w:val="baseline"/>
        </w:rPr>
        <w:t>Health</w:t>
      </w:r>
      <w:r>
        <w:rPr>
          <w:rFonts w:ascii="Calibri" w:hAnsi="Calibri"/>
          <w:spacing w:val="21"/>
          <w:sz w:val="20"/>
          <w:vertAlign w:val="baseline"/>
        </w:rPr>
        <w:t> </w:t>
      </w:r>
      <w:r>
        <w:rPr>
          <w:rFonts w:ascii="Calibri" w:hAnsi="Calibri"/>
          <w:sz w:val="20"/>
          <w:vertAlign w:val="baseline"/>
        </w:rPr>
        <w:t>Board,</w:t>
      </w:r>
      <w:r>
        <w:rPr>
          <w:rFonts w:ascii="Calibri" w:hAnsi="Calibri"/>
          <w:spacing w:val="19"/>
          <w:sz w:val="20"/>
          <w:vertAlign w:val="baseline"/>
        </w:rPr>
        <w:t> </w:t>
      </w:r>
      <w:r>
        <w:rPr>
          <w:rFonts w:ascii="Calibri" w:hAnsi="Calibri"/>
          <w:sz w:val="20"/>
          <w:vertAlign w:val="baseline"/>
        </w:rPr>
        <w:t>Hywel</w:t>
      </w:r>
      <w:r>
        <w:rPr>
          <w:rFonts w:ascii="Calibri" w:hAnsi="Calibri"/>
          <w:spacing w:val="20"/>
          <w:sz w:val="20"/>
          <w:vertAlign w:val="baseline"/>
        </w:rPr>
        <w:t> </w:t>
      </w:r>
      <w:r>
        <w:rPr>
          <w:rFonts w:ascii="Calibri" w:hAnsi="Calibri"/>
          <w:sz w:val="20"/>
          <w:vertAlign w:val="baseline"/>
        </w:rPr>
        <w:t>Dda</w:t>
      </w:r>
      <w:r>
        <w:rPr>
          <w:rFonts w:ascii="Calibri" w:hAnsi="Calibri"/>
          <w:spacing w:val="19"/>
          <w:sz w:val="20"/>
          <w:vertAlign w:val="baseline"/>
        </w:rPr>
        <w:t> </w:t>
      </w:r>
      <w:r>
        <w:rPr>
          <w:rFonts w:ascii="Calibri" w:hAnsi="Calibri"/>
          <w:sz w:val="20"/>
          <w:vertAlign w:val="baseline"/>
        </w:rPr>
        <w:t>University</w:t>
      </w:r>
      <w:r>
        <w:rPr>
          <w:rFonts w:ascii="Calibri" w:hAnsi="Calibri"/>
          <w:spacing w:val="21"/>
          <w:sz w:val="20"/>
          <w:vertAlign w:val="baseline"/>
        </w:rPr>
        <w:t> </w:t>
      </w:r>
      <w:r>
        <w:rPr>
          <w:rFonts w:ascii="Calibri" w:hAnsi="Calibri"/>
          <w:sz w:val="20"/>
          <w:vertAlign w:val="baseline"/>
        </w:rPr>
        <w:t>Health</w:t>
      </w:r>
      <w:r>
        <w:rPr>
          <w:rFonts w:ascii="Calibri" w:hAnsi="Calibri"/>
          <w:spacing w:val="21"/>
          <w:sz w:val="20"/>
          <w:vertAlign w:val="baseline"/>
        </w:rPr>
        <w:t> </w:t>
      </w:r>
      <w:r>
        <w:rPr>
          <w:rFonts w:ascii="Calibri" w:hAnsi="Calibri"/>
          <w:sz w:val="20"/>
          <w:vertAlign w:val="baseline"/>
        </w:rPr>
        <w:t>Board</w:t>
      </w:r>
      <w:r>
        <w:rPr>
          <w:rFonts w:ascii="Calibri" w:hAnsi="Calibri"/>
          <w:spacing w:val="21"/>
          <w:sz w:val="20"/>
          <w:vertAlign w:val="baseline"/>
        </w:rPr>
        <w:t> </w:t>
      </w:r>
      <w:r>
        <w:rPr>
          <w:rFonts w:ascii="Calibri" w:hAnsi="Calibri"/>
          <w:sz w:val="20"/>
          <w:vertAlign w:val="baseline"/>
        </w:rPr>
        <w:t>and</w:t>
      </w:r>
      <w:r>
        <w:rPr>
          <w:rFonts w:ascii="Calibri" w:hAnsi="Calibri"/>
          <w:spacing w:val="19"/>
          <w:sz w:val="20"/>
          <w:vertAlign w:val="baseline"/>
        </w:rPr>
        <w:t> </w:t>
      </w:r>
      <w:r>
        <w:rPr>
          <w:rFonts w:ascii="Calibri" w:hAnsi="Calibri"/>
          <w:sz w:val="20"/>
          <w:vertAlign w:val="baseline"/>
        </w:rPr>
        <w:t>Swansea </w:t>
      </w:r>
      <w:r>
        <w:rPr>
          <w:rFonts w:ascii="Calibri" w:hAnsi="Calibri"/>
          <w:spacing w:val="-2"/>
          <w:sz w:val="20"/>
          <w:vertAlign w:val="baseline"/>
        </w:rPr>
        <w:t>University.</w:t>
      </w:r>
    </w:p>
    <w:p>
      <w:pPr>
        <w:pStyle w:val="BodyText"/>
        <w:spacing w:before="7"/>
        <w:rPr>
          <w:rFonts w:ascii="Calibri"/>
          <w:sz w:val="3"/>
        </w:rPr>
      </w:pPr>
      <w:r>
        <w:rPr>
          <w:rFonts w:ascii="Calibri"/>
          <w:sz w:val="3"/>
        </w:rPr>
        <mc:AlternateContent>
          <mc:Choice Requires="wps">
            <w:drawing>
              <wp:anchor distT="0" distB="0" distL="0" distR="0" allowOverlap="1" layoutInCell="1" locked="0" behindDoc="1" simplePos="0" relativeHeight="487710208">
                <wp:simplePos x="0" y="0"/>
                <wp:positionH relativeFrom="page">
                  <wp:posOffset>10068814</wp:posOffset>
                </wp:positionH>
                <wp:positionV relativeFrom="paragraph">
                  <wp:posOffset>43051</wp:posOffset>
                </wp:positionV>
                <wp:extent cx="419734" cy="6350"/>
                <wp:effectExtent l="0" t="0" r="0" b="0"/>
                <wp:wrapTopAndBottom/>
                <wp:docPr id="608" name="Graphic 608"/>
                <wp:cNvGraphicFramePr>
                  <a:graphicFrameLocks/>
                </wp:cNvGraphicFramePr>
                <a:graphic>
                  <a:graphicData uri="http://schemas.microsoft.com/office/word/2010/wordprocessingShape">
                    <wps:wsp>
                      <wps:cNvPr id="608" name="Graphic 608"/>
                      <wps:cNvSpPr/>
                      <wps:spPr>
                        <a:xfrm>
                          <a:off x="0" y="0"/>
                          <a:ext cx="419734" cy="6350"/>
                        </a:xfrm>
                        <a:custGeom>
                          <a:avLst/>
                          <a:gdLst/>
                          <a:ahLst/>
                          <a:cxnLst/>
                          <a:rect l="l" t="t" r="r" b="b"/>
                          <a:pathLst>
                            <a:path w="419734" h="6350">
                              <a:moveTo>
                                <a:pt x="419404" y="0"/>
                              </a:moveTo>
                              <a:lnTo>
                                <a:pt x="0" y="0"/>
                              </a:lnTo>
                              <a:lnTo>
                                <a:pt x="0" y="6096"/>
                              </a:lnTo>
                              <a:lnTo>
                                <a:pt x="419404" y="6096"/>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820007pt;margin-top:3.389898pt;width:33.024pt;height:.48004pt;mso-position-horizontal-relative:page;mso-position-vertical-relative:paragraph;z-index:-15606272;mso-wrap-distance-left:0;mso-wrap-distance-right:0" id="docshape371" filled="true" fillcolor="#7e7e7e" stroked="false">
                <v:fill type="solid"/>
                <w10:wrap type="topAndBottom"/>
              </v:rect>
            </w:pict>
          </mc:Fallback>
        </mc:AlternateContent>
      </w:r>
    </w:p>
    <w:p>
      <w:pPr>
        <w:spacing w:before="18"/>
        <w:ind w:left="15989" w:right="0" w:firstLine="0"/>
        <w:jc w:val="left"/>
        <w:rPr>
          <w:rFonts w:ascii="Calibri"/>
          <w:b/>
          <w:sz w:val="22"/>
        </w:rPr>
      </w:pPr>
      <w:r>
        <w:rPr>
          <w:rFonts w:ascii="Calibri"/>
          <w:b/>
          <w:color w:val="001F5F"/>
          <w:spacing w:val="-10"/>
          <w:sz w:val="22"/>
        </w:rPr>
        <w:t>1</w:t>
      </w:r>
    </w:p>
    <w:p>
      <w:pPr>
        <w:spacing w:after="0"/>
        <w:jc w:val="left"/>
        <w:rPr>
          <w:rFonts w:ascii="Calibri"/>
          <w:b/>
          <w:sz w:val="22"/>
        </w:rPr>
        <w:sectPr>
          <w:footerReference w:type="default" r:id="rId86"/>
          <w:pgSz w:w="16840" w:h="11910" w:orient="landscape"/>
          <w:pgMar w:header="0" w:footer="0" w:top="260" w:bottom="0" w:left="141" w:right="141"/>
        </w:sectPr>
      </w:pPr>
    </w:p>
    <w:p>
      <w:pPr>
        <w:pStyle w:val="BodyText"/>
        <w:spacing w:before="118"/>
        <w:ind w:left="216"/>
        <w:rPr>
          <w:rFonts w:ascii="Verdana"/>
        </w:rPr>
      </w:pPr>
      <w:r>
        <w:rPr>
          <w:rFonts w:ascii="Verdana"/>
        </w:rPr>
        <mc:AlternateContent>
          <mc:Choice Requires="wps">
            <w:drawing>
              <wp:anchor distT="0" distB="0" distL="0" distR="0" allowOverlap="1" layoutInCell="1" locked="0" behindDoc="1" simplePos="0" relativeHeight="477207552">
                <wp:simplePos x="0" y="0"/>
                <wp:positionH relativeFrom="page">
                  <wp:posOffset>158495</wp:posOffset>
                </wp:positionH>
                <wp:positionV relativeFrom="paragraph">
                  <wp:posOffset>-507</wp:posOffset>
                </wp:positionV>
                <wp:extent cx="10267315" cy="4402455"/>
                <wp:effectExtent l="0" t="0" r="0" b="0"/>
                <wp:wrapNone/>
                <wp:docPr id="609" name="Group 609"/>
                <wp:cNvGraphicFramePr>
                  <a:graphicFrameLocks/>
                </wp:cNvGraphicFramePr>
                <a:graphic>
                  <a:graphicData uri="http://schemas.microsoft.com/office/word/2010/wordprocessingGroup">
                    <wpg:wgp>
                      <wpg:cNvPr id="609" name="Group 609"/>
                      <wpg:cNvGrpSpPr/>
                      <wpg:grpSpPr>
                        <a:xfrm>
                          <a:off x="0" y="0"/>
                          <a:ext cx="10267315" cy="4402455"/>
                          <a:chExt cx="10267315" cy="4402455"/>
                        </a:xfrm>
                      </wpg:grpSpPr>
                      <wps:wsp>
                        <wps:cNvPr id="610" name="Graphic 610"/>
                        <wps:cNvSpPr/>
                        <wps:spPr>
                          <a:xfrm>
                            <a:off x="0" y="0"/>
                            <a:ext cx="10267315" cy="1764030"/>
                          </a:xfrm>
                          <a:custGeom>
                            <a:avLst/>
                            <a:gdLst/>
                            <a:ahLst/>
                            <a:cxnLst/>
                            <a:rect l="l" t="t" r="r" b="b"/>
                            <a:pathLst>
                              <a:path w="10267315" h="1764030">
                                <a:moveTo>
                                  <a:pt x="10267188" y="0"/>
                                </a:moveTo>
                                <a:lnTo>
                                  <a:pt x="0" y="0"/>
                                </a:lnTo>
                                <a:lnTo>
                                  <a:pt x="0" y="1763521"/>
                                </a:lnTo>
                                <a:lnTo>
                                  <a:pt x="10267188" y="1763521"/>
                                </a:lnTo>
                                <a:lnTo>
                                  <a:pt x="10267188" y="0"/>
                                </a:lnTo>
                                <a:close/>
                              </a:path>
                            </a:pathLst>
                          </a:custGeom>
                          <a:solidFill>
                            <a:srgbClr val="FFFFFF"/>
                          </a:solidFill>
                        </wps:spPr>
                        <wps:bodyPr wrap="square" lIns="0" tIns="0" rIns="0" bIns="0" rtlCol="0">
                          <a:prstTxWarp prst="textNoShape">
                            <a:avLst/>
                          </a:prstTxWarp>
                          <a:noAutofit/>
                        </wps:bodyPr>
                      </wps:wsp>
                      <wps:wsp>
                        <wps:cNvPr id="611" name="Graphic 611"/>
                        <wps:cNvSpPr/>
                        <wps:spPr>
                          <a:xfrm>
                            <a:off x="68580" y="583945"/>
                            <a:ext cx="10130155" cy="6350"/>
                          </a:xfrm>
                          <a:custGeom>
                            <a:avLst/>
                            <a:gdLst/>
                            <a:ahLst/>
                            <a:cxnLst/>
                            <a:rect l="l" t="t" r="r" b="b"/>
                            <a:pathLst>
                              <a:path w="10130155" h="6350">
                                <a:moveTo>
                                  <a:pt x="411467" y="0"/>
                                </a:moveTo>
                                <a:lnTo>
                                  <a:pt x="405384" y="0"/>
                                </a:lnTo>
                                <a:lnTo>
                                  <a:pt x="0" y="0"/>
                                </a:lnTo>
                                <a:lnTo>
                                  <a:pt x="0" y="6096"/>
                                </a:lnTo>
                                <a:lnTo>
                                  <a:pt x="405384" y="6096"/>
                                </a:lnTo>
                                <a:lnTo>
                                  <a:pt x="411467" y="6096"/>
                                </a:lnTo>
                                <a:lnTo>
                                  <a:pt x="411467" y="0"/>
                                </a:lnTo>
                                <a:close/>
                              </a:path>
                              <a:path w="10130155" h="6350">
                                <a:moveTo>
                                  <a:pt x="8697201" y="0"/>
                                </a:moveTo>
                                <a:lnTo>
                                  <a:pt x="8691118" y="0"/>
                                </a:lnTo>
                                <a:lnTo>
                                  <a:pt x="411480" y="0"/>
                                </a:lnTo>
                                <a:lnTo>
                                  <a:pt x="411480" y="6096"/>
                                </a:lnTo>
                                <a:lnTo>
                                  <a:pt x="8691118" y="6096"/>
                                </a:lnTo>
                                <a:lnTo>
                                  <a:pt x="8697201" y="6096"/>
                                </a:lnTo>
                                <a:lnTo>
                                  <a:pt x="8697201" y="0"/>
                                </a:lnTo>
                                <a:close/>
                              </a:path>
                              <a:path w="10130155" h="6350">
                                <a:moveTo>
                                  <a:pt x="10130028" y="0"/>
                                </a:moveTo>
                                <a:lnTo>
                                  <a:pt x="8697214" y="0"/>
                                </a:lnTo>
                                <a:lnTo>
                                  <a:pt x="8697214" y="6096"/>
                                </a:lnTo>
                                <a:lnTo>
                                  <a:pt x="10130028" y="6096"/>
                                </a:lnTo>
                                <a:lnTo>
                                  <a:pt x="10130028" y="0"/>
                                </a:lnTo>
                                <a:close/>
                              </a:path>
                            </a:pathLst>
                          </a:custGeom>
                          <a:solidFill>
                            <a:srgbClr val="000000"/>
                          </a:solidFill>
                        </wps:spPr>
                        <wps:bodyPr wrap="square" lIns="0" tIns="0" rIns="0" bIns="0" rtlCol="0">
                          <a:prstTxWarp prst="textNoShape">
                            <a:avLst/>
                          </a:prstTxWarp>
                          <a:noAutofit/>
                        </wps:bodyPr>
                      </wps:wsp>
                      <wps:wsp>
                        <wps:cNvPr id="612" name="Graphic 612"/>
                        <wps:cNvSpPr/>
                        <wps:spPr>
                          <a:xfrm>
                            <a:off x="68580" y="977138"/>
                            <a:ext cx="10130155" cy="391795"/>
                          </a:xfrm>
                          <a:custGeom>
                            <a:avLst/>
                            <a:gdLst/>
                            <a:ahLst/>
                            <a:cxnLst/>
                            <a:rect l="l" t="t" r="r" b="b"/>
                            <a:pathLst>
                              <a:path w="10130155" h="391795">
                                <a:moveTo>
                                  <a:pt x="0" y="0"/>
                                </a:moveTo>
                                <a:lnTo>
                                  <a:pt x="405384" y="0"/>
                                </a:lnTo>
                              </a:path>
                              <a:path w="10130155" h="391795">
                                <a:moveTo>
                                  <a:pt x="405384" y="0"/>
                                </a:moveTo>
                                <a:lnTo>
                                  <a:pt x="411480" y="0"/>
                                </a:lnTo>
                              </a:path>
                              <a:path w="10130155" h="391795">
                                <a:moveTo>
                                  <a:pt x="411480" y="0"/>
                                </a:moveTo>
                                <a:lnTo>
                                  <a:pt x="8691118" y="0"/>
                                </a:lnTo>
                              </a:path>
                              <a:path w="10130155" h="391795">
                                <a:moveTo>
                                  <a:pt x="8691118" y="0"/>
                                </a:moveTo>
                                <a:lnTo>
                                  <a:pt x="8697214" y="0"/>
                                </a:lnTo>
                              </a:path>
                              <a:path w="10130155" h="391795">
                                <a:moveTo>
                                  <a:pt x="8697214" y="0"/>
                                </a:moveTo>
                                <a:lnTo>
                                  <a:pt x="10130028" y="0"/>
                                </a:lnTo>
                              </a:path>
                              <a:path w="10130155" h="391795">
                                <a:moveTo>
                                  <a:pt x="0" y="391668"/>
                                </a:moveTo>
                                <a:lnTo>
                                  <a:pt x="405384" y="391668"/>
                                </a:lnTo>
                              </a:path>
                              <a:path w="10130155" h="391795">
                                <a:moveTo>
                                  <a:pt x="405384" y="391668"/>
                                </a:moveTo>
                                <a:lnTo>
                                  <a:pt x="411480" y="391668"/>
                                </a:lnTo>
                              </a:path>
                              <a:path w="10130155" h="391795">
                                <a:moveTo>
                                  <a:pt x="411480" y="391668"/>
                                </a:moveTo>
                                <a:lnTo>
                                  <a:pt x="8691118" y="391668"/>
                                </a:lnTo>
                              </a:path>
                              <a:path w="10130155" h="391795">
                                <a:moveTo>
                                  <a:pt x="8691118" y="391668"/>
                                </a:moveTo>
                                <a:lnTo>
                                  <a:pt x="8697214" y="391668"/>
                                </a:lnTo>
                              </a:path>
                              <a:path w="10130155" h="391795">
                                <a:moveTo>
                                  <a:pt x="8697214" y="391668"/>
                                </a:moveTo>
                                <a:lnTo>
                                  <a:pt x="10130028" y="391668"/>
                                </a:lnTo>
                              </a:path>
                            </a:pathLst>
                          </a:custGeom>
                          <a:ln w="6096">
                            <a:solidFill>
                              <a:srgbClr val="000000"/>
                            </a:solidFill>
                            <a:prstDash val="sysDash"/>
                          </a:ln>
                        </wps:spPr>
                        <wps:bodyPr wrap="square" lIns="0" tIns="0" rIns="0" bIns="0" rtlCol="0">
                          <a:prstTxWarp prst="textNoShape">
                            <a:avLst/>
                          </a:prstTxWarp>
                          <a:noAutofit/>
                        </wps:bodyPr>
                      </wps:wsp>
                      <wps:wsp>
                        <wps:cNvPr id="613" name="Graphic 613"/>
                        <wps:cNvSpPr/>
                        <wps:spPr>
                          <a:xfrm>
                            <a:off x="59436" y="1757425"/>
                            <a:ext cx="10139680" cy="6350"/>
                          </a:xfrm>
                          <a:custGeom>
                            <a:avLst/>
                            <a:gdLst/>
                            <a:ahLst/>
                            <a:cxnLst/>
                            <a:rect l="l" t="t" r="r" b="b"/>
                            <a:pathLst>
                              <a:path w="10139680" h="6350">
                                <a:moveTo>
                                  <a:pt x="10139172" y="0"/>
                                </a:moveTo>
                                <a:lnTo>
                                  <a:pt x="10139172" y="0"/>
                                </a:lnTo>
                                <a:lnTo>
                                  <a:pt x="0" y="0"/>
                                </a:lnTo>
                                <a:lnTo>
                                  <a:pt x="0" y="6096"/>
                                </a:lnTo>
                                <a:lnTo>
                                  <a:pt x="10139172" y="6096"/>
                                </a:lnTo>
                                <a:lnTo>
                                  <a:pt x="10139172" y="0"/>
                                </a:lnTo>
                                <a:close/>
                              </a:path>
                            </a:pathLst>
                          </a:custGeom>
                          <a:solidFill>
                            <a:srgbClr val="000000"/>
                          </a:solidFill>
                        </wps:spPr>
                        <wps:bodyPr wrap="square" lIns="0" tIns="0" rIns="0" bIns="0" rtlCol="0">
                          <a:prstTxWarp prst="textNoShape">
                            <a:avLst/>
                          </a:prstTxWarp>
                          <a:noAutofit/>
                        </wps:bodyPr>
                      </wps:wsp>
                      <wps:wsp>
                        <wps:cNvPr id="614" name="Graphic 614"/>
                        <wps:cNvSpPr/>
                        <wps:spPr>
                          <a:xfrm>
                            <a:off x="0" y="1763521"/>
                            <a:ext cx="10267315" cy="262255"/>
                          </a:xfrm>
                          <a:custGeom>
                            <a:avLst/>
                            <a:gdLst/>
                            <a:ahLst/>
                            <a:cxnLst/>
                            <a:rect l="l" t="t" r="r" b="b"/>
                            <a:pathLst>
                              <a:path w="10267315" h="262255">
                                <a:moveTo>
                                  <a:pt x="10267188" y="0"/>
                                </a:moveTo>
                                <a:lnTo>
                                  <a:pt x="0" y="0"/>
                                </a:lnTo>
                                <a:lnTo>
                                  <a:pt x="0" y="71628"/>
                                </a:lnTo>
                                <a:lnTo>
                                  <a:pt x="0" y="262128"/>
                                </a:lnTo>
                                <a:lnTo>
                                  <a:pt x="10267188" y="262128"/>
                                </a:lnTo>
                                <a:lnTo>
                                  <a:pt x="10267188" y="71628"/>
                                </a:lnTo>
                                <a:lnTo>
                                  <a:pt x="10267188" y="0"/>
                                </a:lnTo>
                                <a:close/>
                              </a:path>
                            </a:pathLst>
                          </a:custGeom>
                          <a:solidFill>
                            <a:srgbClr val="EFEFF5"/>
                          </a:solidFill>
                        </wps:spPr>
                        <wps:bodyPr wrap="square" lIns="0" tIns="0" rIns="0" bIns="0" rtlCol="0">
                          <a:prstTxWarp prst="textNoShape">
                            <a:avLst/>
                          </a:prstTxWarp>
                          <a:noAutofit/>
                        </wps:bodyPr>
                      </wps:wsp>
                      <wps:wsp>
                        <wps:cNvPr id="615" name="Graphic 615"/>
                        <wps:cNvSpPr/>
                        <wps:spPr>
                          <a:xfrm>
                            <a:off x="0" y="2025650"/>
                            <a:ext cx="10267315" cy="2376805"/>
                          </a:xfrm>
                          <a:custGeom>
                            <a:avLst/>
                            <a:gdLst/>
                            <a:ahLst/>
                            <a:cxnLst/>
                            <a:rect l="l" t="t" r="r" b="b"/>
                            <a:pathLst>
                              <a:path w="10267315" h="2376805">
                                <a:moveTo>
                                  <a:pt x="10267188" y="0"/>
                                </a:moveTo>
                                <a:lnTo>
                                  <a:pt x="0" y="0"/>
                                </a:lnTo>
                                <a:lnTo>
                                  <a:pt x="0" y="2376550"/>
                                </a:lnTo>
                                <a:lnTo>
                                  <a:pt x="10267188" y="2376550"/>
                                </a:lnTo>
                                <a:lnTo>
                                  <a:pt x="10267188" y="0"/>
                                </a:lnTo>
                                <a:close/>
                              </a:path>
                            </a:pathLst>
                          </a:custGeom>
                          <a:solidFill>
                            <a:srgbClr val="FFFFFF"/>
                          </a:solidFill>
                        </wps:spPr>
                        <wps:bodyPr wrap="square" lIns="0" tIns="0" rIns="0" bIns="0" rtlCol="0">
                          <a:prstTxWarp prst="textNoShape">
                            <a:avLst/>
                          </a:prstTxWarp>
                          <a:noAutofit/>
                        </wps:bodyPr>
                      </wps:wsp>
                      <pic:pic>
                        <pic:nvPicPr>
                          <pic:cNvPr id="616" name="Image 616"/>
                          <pic:cNvPicPr/>
                        </pic:nvPicPr>
                        <pic:blipFill>
                          <a:blip r:embed="rId88" cstate="print"/>
                          <a:stretch>
                            <a:fillRect/>
                          </a:stretch>
                        </pic:blipFill>
                        <pic:spPr>
                          <a:xfrm>
                            <a:off x="3771900" y="2734055"/>
                            <a:ext cx="1453896" cy="1453895"/>
                          </a:xfrm>
                          <a:prstGeom prst="rect">
                            <a:avLst/>
                          </a:prstGeom>
                        </pic:spPr>
                      </pic:pic>
                      <wps:wsp>
                        <wps:cNvPr id="617" name="Graphic 617"/>
                        <wps:cNvSpPr/>
                        <wps:spPr>
                          <a:xfrm>
                            <a:off x="3825366" y="2736850"/>
                            <a:ext cx="1351915" cy="1351915"/>
                          </a:xfrm>
                          <a:custGeom>
                            <a:avLst/>
                            <a:gdLst/>
                            <a:ahLst/>
                            <a:cxnLst/>
                            <a:rect l="l" t="t" r="r" b="b"/>
                            <a:pathLst>
                              <a:path w="1351915" h="1351915">
                                <a:moveTo>
                                  <a:pt x="0" y="1351915"/>
                                </a:moveTo>
                                <a:lnTo>
                                  <a:pt x="1351914" y="1351915"/>
                                </a:lnTo>
                                <a:lnTo>
                                  <a:pt x="1351914" y="0"/>
                                </a:lnTo>
                                <a:lnTo>
                                  <a:pt x="0" y="0"/>
                                </a:lnTo>
                                <a:lnTo>
                                  <a:pt x="0" y="1351915"/>
                                </a:lnTo>
                                <a:close/>
                              </a:path>
                            </a:pathLst>
                          </a:custGeom>
                          <a:ln w="9525">
                            <a:solidFill>
                              <a:srgbClr val="FFFFFF"/>
                            </a:solidFill>
                            <a:prstDash val="solid"/>
                          </a:ln>
                        </wps:spPr>
                        <wps:bodyPr wrap="square" lIns="0" tIns="0" rIns="0" bIns="0" rtlCol="0">
                          <a:prstTxWarp prst="textNoShape">
                            <a:avLst/>
                          </a:prstTxWarp>
                          <a:noAutofit/>
                        </wps:bodyPr>
                      </wps:wsp>
                      <pic:pic>
                        <pic:nvPicPr>
                          <pic:cNvPr id="618" name="Image 618"/>
                          <pic:cNvPicPr/>
                        </pic:nvPicPr>
                        <pic:blipFill>
                          <a:blip r:embed="rId89" cstate="print"/>
                          <a:stretch>
                            <a:fillRect/>
                          </a:stretch>
                        </pic:blipFill>
                        <pic:spPr>
                          <a:xfrm>
                            <a:off x="4238244" y="2467355"/>
                            <a:ext cx="1186611" cy="1857756"/>
                          </a:xfrm>
                          <a:prstGeom prst="rect">
                            <a:avLst/>
                          </a:prstGeom>
                        </pic:spPr>
                      </pic:pic>
                      <pic:pic>
                        <pic:nvPicPr>
                          <pic:cNvPr id="619" name="Image 619"/>
                          <pic:cNvPicPr/>
                        </pic:nvPicPr>
                        <pic:blipFill>
                          <a:blip r:embed="rId90" cstate="print"/>
                          <a:stretch>
                            <a:fillRect/>
                          </a:stretch>
                        </pic:blipFill>
                        <pic:spPr>
                          <a:xfrm>
                            <a:off x="3563111" y="3150158"/>
                            <a:ext cx="1185113" cy="1174953"/>
                          </a:xfrm>
                          <a:prstGeom prst="rect">
                            <a:avLst/>
                          </a:prstGeom>
                        </pic:spPr>
                      </pic:pic>
                      <pic:pic>
                        <pic:nvPicPr>
                          <pic:cNvPr id="620" name="Image 620"/>
                          <pic:cNvPicPr/>
                        </pic:nvPicPr>
                        <pic:blipFill>
                          <a:blip r:embed="rId91" cstate="print"/>
                          <a:stretch>
                            <a:fillRect/>
                          </a:stretch>
                        </pic:blipFill>
                        <pic:spPr>
                          <a:xfrm>
                            <a:off x="3563111" y="2473401"/>
                            <a:ext cx="1185113" cy="1186611"/>
                          </a:xfrm>
                          <a:prstGeom prst="rect">
                            <a:avLst/>
                          </a:prstGeom>
                        </pic:spPr>
                      </pic:pic>
                      <wps:wsp>
                        <wps:cNvPr id="621" name="Graphic 621"/>
                        <wps:cNvSpPr/>
                        <wps:spPr>
                          <a:xfrm>
                            <a:off x="4501260" y="2736850"/>
                            <a:ext cx="676275" cy="1351915"/>
                          </a:xfrm>
                          <a:custGeom>
                            <a:avLst/>
                            <a:gdLst/>
                            <a:ahLst/>
                            <a:cxnLst/>
                            <a:rect l="l" t="t" r="r" b="b"/>
                            <a:pathLst>
                              <a:path w="676275" h="1351915">
                                <a:moveTo>
                                  <a:pt x="0" y="0"/>
                                </a:moveTo>
                                <a:lnTo>
                                  <a:pt x="0" y="338074"/>
                                </a:lnTo>
                                <a:lnTo>
                                  <a:pt x="45867" y="341158"/>
                                </a:lnTo>
                                <a:lnTo>
                                  <a:pt x="89856" y="350142"/>
                                </a:lnTo>
                                <a:lnTo>
                                  <a:pt x="131564" y="364624"/>
                                </a:lnTo>
                                <a:lnTo>
                                  <a:pt x="170589" y="384203"/>
                                </a:lnTo>
                                <a:lnTo>
                                  <a:pt x="206529" y="408475"/>
                                </a:lnTo>
                                <a:lnTo>
                                  <a:pt x="238982" y="437038"/>
                                </a:lnTo>
                                <a:lnTo>
                                  <a:pt x="267545" y="469491"/>
                                </a:lnTo>
                                <a:lnTo>
                                  <a:pt x="291817" y="505431"/>
                                </a:lnTo>
                                <a:lnTo>
                                  <a:pt x="311396" y="544456"/>
                                </a:lnTo>
                                <a:lnTo>
                                  <a:pt x="325878" y="586164"/>
                                </a:lnTo>
                                <a:lnTo>
                                  <a:pt x="334862" y="630153"/>
                                </a:lnTo>
                                <a:lnTo>
                                  <a:pt x="337946" y="676021"/>
                                </a:lnTo>
                                <a:lnTo>
                                  <a:pt x="334862" y="721888"/>
                                </a:lnTo>
                                <a:lnTo>
                                  <a:pt x="325878" y="765877"/>
                                </a:lnTo>
                                <a:lnTo>
                                  <a:pt x="311396" y="807585"/>
                                </a:lnTo>
                                <a:lnTo>
                                  <a:pt x="291817" y="846610"/>
                                </a:lnTo>
                                <a:lnTo>
                                  <a:pt x="267545" y="882550"/>
                                </a:lnTo>
                                <a:lnTo>
                                  <a:pt x="238982" y="915003"/>
                                </a:lnTo>
                                <a:lnTo>
                                  <a:pt x="206529" y="943566"/>
                                </a:lnTo>
                                <a:lnTo>
                                  <a:pt x="170589" y="967838"/>
                                </a:lnTo>
                                <a:lnTo>
                                  <a:pt x="131564" y="987417"/>
                                </a:lnTo>
                                <a:lnTo>
                                  <a:pt x="89856" y="1001899"/>
                                </a:lnTo>
                                <a:lnTo>
                                  <a:pt x="45867" y="1010883"/>
                                </a:lnTo>
                                <a:lnTo>
                                  <a:pt x="0" y="1013968"/>
                                </a:lnTo>
                                <a:lnTo>
                                  <a:pt x="0" y="1351915"/>
                                </a:lnTo>
                                <a:lnTo>
                                  <a:pt x="48281" y="1350217"/>
                                </a:lnTo>
                                <a:lnTo>
                                  <a:pt x="95646" y="1345202"/>
                                </a:lnTo>
                                <a:lnTo>
                                  <a:pt x="141980" y="1336983"/>
                                </a:lnTo>
                                <a:lnTo>
                                  <a:pt x="187168" y="1325674"/>
                                </a:lnTo>
                                <a:lnTo>
                                  <a:pt x="231097" y="1311391"/>
                                </a:lnTo>
                                <a:lnTo>
                                  <a:pt x="273651" y="1294247"/>
                                </a:lnTo>
                                <a:lnTo>
                                  <a:pt x="314717" y="1274357"/>
                                </a:lnTo>
                                <a:lnTo>
                                  <a:pt x="354180" y="1251835"/>
                                </a:lnTo>
                                <a:lnTo>
                                  <a:pt x="391926" y="1226796"/>
                                </a:lnTo>
                                <a:lnTo>
                                  <a:pt x="427840" y="1199355"/>
                                </a:lnTo>
                                <a:lnTo>
                                  <a:pt x="461809" y="1169625"/>
                                </a:lnTo>
                                <a:lnTo>
                                  <a:pt x="493717" y="1137721"/>
                                </a:lnTo>
                                <a:lnTo>
                                  <a:pt x="523450" y="1103757"/>
                                </a:lnTo>
                                <a:lnTo>
                                  <a:pt x="550895" y="1067849"/>
                                </a:lnTo>
                                <a:lnTo>
                                  <a:pt x="575936" y="1030109"/>
                                </a:lnTo>
                                <a:lnTo>
                                  <a:pt x="598459" y="990654"/>
                                </a:lnTo>
                                <a:lnTo>
                                  <a:pt x="618351" y="949596"/>
                                </a:lnTo>
                                <a:lnTo>
                                  <a:pt x="635495" y="907051"/>
                                </a:lnTo>
                                <a:lnTo>
                                  <a:pt x="649780" y="863134"/>
                                </a:lnTo>
                                <a:lnTo>
                                  <a:pt x="661088" y="817957"/>
                                </a:lnTo>
                                <a:lnTo>
                                  <a:pt x="669308" y="771637"/>
                                </a:lnTo>
                                <a:lnTo>
                                  <a:pt x="674323" y="724286"/>
                                </a:lnTo>
                                <a:lnTo>
                                  <a:pt x="676020" y="676021"/>
                                </a:lnTo>
                                <a:lnTo>
                                  <a:pt x="674323" y="627739"/>
                                </a:lnTo>
                                <a:lnTo>
                                  <a:pt x="669308" y="580374"/>
                                </a:lnTo>
                                <a:lnTo>
                                  <a:pt x="661088" y="534040"/>
                                </a:lnTo>
                                <a:lnTo>
                                  <a:pt x="649780" y="488852"/>
                                </a:lnTo>
                                <a:lnTo>
                                  <a:pt x="635495" y="444923"/>
                                </a:lnTo>
                                <a:lnTo>
                                  <a:pt x="618351" y="402369"/>
                                </a:lnTo>
                                <a:lnTo>
                                  <a:pt x="598459" y="361303"/>
                                </a:lnTo>
                                <a:lnTo>
                                  <a:pt x="575936" y="321840"/>
                                </a:lnTo>
                                <a:lnTo>
                                  <a:pt x="550895" y="284094"/>
                                </a:lnTo>
                                <a:lnTo>
                                  <a:pt x="523450" y="248180"/>
                                </a:lnTo>
                                <a:lnTo>
                                  <a:pt x="493717" y="214211"/>
                                </a:lnTo>
                                <a:lnTo>
                                  <a:pt x="461809" y="182303"/>
                                </a:lnTo>
                                <a:lnTo>
                                  <a:pt x="427840" y="152570"/>
                                </a:lnTo>
                                <a:lnTo>
                                  <a:pt x="391926" y="125125"/>
                                </a:lnTo>
                                <a:lnTo>
                                  <a:pt x="354180" y="100084"/>
                                </a:lnTo>
                                <a:lnTo>
                                  <a:pt x="314717" y="77561"/>
                                </a:lnTo>
                                <a:lnTo>
                                  <a:pt x="273651" y="57669"/>
                                </a:lnTo>
                                <a:lnTo>
                                  <a:pt x="231097" y="40525"/>
                                </a:lnTo>
                                <a:lnTo>
                                  <a:pt x="187168" y="26240"/>
                                </a:lnTo>
                                <a:lnTo>
                                  <a:pt x="141980" y="14932"/>
                                </a:lnTo>
                                <a:lnTo>
                                  <a:pt x="95646" y="6712"/>
                                </a:lnTo>
                                <a:lnTo>
                                  <a:pt x="48281" y="1697"/>
                                </a:lnTo>
                                <a:lnTo>
                                  <a:pt x="0" y="0"/>
                                </a:lnTo>
                                <a:close/>
                              </a:path>
                            </a:pathLst>
                          </a:custGeom>
                          <a:solidFill>
                            <a:srgbClr val="4471C4"/>
                          </a:solidFill>
                        </wps:spPr>
                        <wps:bodyPr wrap="square" lIns="0" tIns="0" rIns="0" bIns="0" rtlCol="0">
                          <a:prstTxWarp prst="textNoShape">
                            <a:avLst/>
                          </a:prstTxWarp>
                          <a:noAutofit/>
                        </wps:bodyPr>
                      </wps:wsp>
                      <wps:wsp>
                        <wps:cNvPr id="622" name="Graphic 622"/>
                        <wps:cNvSpPr/>
                        <wps:spPr>
                          <a:xfrm>
                            <a:off x="3825366" y="3412871"/>
                            <a:ext cx="676275" cy="676275"/>
                          </a:xfrm>
                          <a:custGeom>
                            <a:avLst/>
                            <a:gdLst/>
                            <a:ahLst/>
                            <a:cxnLst/>
                            <a:rect l="l" t="t" r="r" b="b"/>
                            <a:pathLst>
                              <a:path w="676275" h="676275">
                                <a:moveTo>
                                  <a:pt x="337947" y="0"/>
                                </a:moveTo>
                                <a:lnTo>
                                  <a:pt x="0" y="0"/>
                                </a:lnTo>
                                <a:lnTo>
                                  <a:pt x="1697" y="48265"/>
                                </a:lnTo>
                                <a:lnTo>
                                  <a:pt x="6712" y="95616"/>
                                </a:lnTo>
                                <a:lnTo>
                                  <a:pt x="14931" y="141936"/>
                                </a:lnTo>
                                <a:lnTo>
                                  <a:pt x="26240" y="187113"/>
                                </a:lnTo>
                                <a:lnTo>
                                  <a:pt x="40523" y="231030"/>
                                </a:lnTo>
                                <a:lnTo>
                                  <a:pt x="57667" y="273575"/>
                                </a:lnTo>
                                <a:lnTo>
                                  <a:pt x="77557" y="314633"/>
                                </a:lnTo>
                                <a:lnTo>
                                  <a:pt x="100079" y="354088"/>
                                </a:lnTo>
                                <a:lnTo>
                                  <a:pt x="125118" y="391828"/>
                                </a:lnTo>
                                <a:lnTo>
                                  <a:pt x="152559" y="427736"/>
                                </a:lnTo>
                                <a:lnTo>
                                  <a:pt x="182289" y="461700"/>
                                </a:lnTo>
                                <a:lnTo>
                                  <a:pt x="214193" y="493604"/>
                                </a:lnTo>
                                <a:lnTo>
                                  <a:pt x="248157" y="523334"/>
                                </a:lnTo>
                                <a:lnTo>
                                  <a:pt x="284065" y="550775"/>
                                </a:lnTo>
                                <a:lnTo>
                                  <a:pt x="321805" y="575814"/>
                                </a:lnTo>
                                <a:lnTo>
                                  <a:pt x="361260" y="598336"/>
                                </a:lnTo>
                                <a:lnTo>
                                  <a:pt x="402318" y="618226"/>
                                </a:lnTo>
                                <a:lnTo>
                                  <a:pt x="444863" y="635370"/>
                                </a:lnTo>
                                <a:lnTo>
                                  <a:pt x="488780" y="649653"/>
                                </a:lnTo>
                                <a:lnTo>
                                  <a:pt x="533957" y="660962"/>
                                </a:lnTo>
                                <a:lnTo>
                                  <a:pt x="580277" y="669181"/>
                                </a:lnTo>
                                <a:lnTo>
                                  <a:pt x="627628" y="674196"/>
                                </a:lnTo>
                                <a:lnTo>
                                  <a:pt x="675894" y="675894"/>
                                </a:lnTo>
                                <a:lnTo>
                                  <a:pt x="675894" y="337947"/>
                                </a:lnTo>
                                <a:lnTo>
                                  <a:pt x="630026" y="334862"/>
                                </a:lnTo>
                                <a:lnTo>
                                  <a:pt x="586037" y="325878"/>
                                </a:lnTo>
                                <a:lnTo>
                                  <a:pt x="544329" y="311396"/>
                                </a:lnTo>
                                <a:lnTo>
                                  <a:pt x="505304" y="291817"/>
                                </a:lnTo>
                                <a:lnTo>
                                  <a:pt x="469364" y="267545"/>
                                </a:lnTo>
                                <a:lnTo>
                                  <a:pt x="436911" y="238982"/>
                                </a:lnTo>
                                <a:lnTo>
                                  <a:pt x="408348" y="206529"/>
                                </a:lnTo>
                                <a:lnTo>
                                  <a:pt x="384076" y="170589"/>
                                </a:lnTo>
                                <a:lnTo>
                                  <a:pt x="364497" y="131564"/>
                                </a:lnTo>
                                <a:lnTo>
                                  <a:pt x="350015" y="89856"/>
                                </a:lnTo>
                                <a:lnTo>
                                  <a:pt x="341031" y="45867"/>
                                </a:lnTo>
                                <a:lnTo>
                                  <a:pt x="337947" y="0"/>
                                </a:lnTo>
                                <a:close/>
                              </a:path>
                            </a:pathLst>
                          </a:custGeom>
                          <a:solidFill>
                            <a:srgbClr val="EC7C30"/>
                          </a:solidFill>
                        </wps:spPr>
                        <wps:bodyPr wrap="square" lIns="0" tIns="0" rIns="0" bIns="0" rtlCol="0">
                          <a:prstTxWarp prst="textNoShape">
                            <a:avLst/>
                          </a:prstTxWarp>
                          <a:noAutofit/>
                        </wps:bodyPr>
                      </wps:wsp>
                      <wps:wsp>
                        <wps:cNvPr id="623" name="Graphic 623"/>
                        <wps:cNvSpPr/>
                        <wps:spPr>
                          <a:xfrm>
                            <a:off x="3825366" y="2736850"/>
                            <a:ext cx="676275" cy="676275"/>
                          </a:xfrm>
                          <a:custGeom>
                            <a:avLst/>
                            <a:gdLst/>
                            <a:ahLst/>
                            <a:cxnLst/>
                            <a:rect l="l" t="t" r="r" b="b"/>
                            <a:pathLst>
                              <a:path w="676275" h="676275">
                                <a:moveTo>
                                  <a:pt x="675894" y="0"/>
                                </a:moveTo>
                                <a:lnTo>
                                  <a:pt x="627628" y="1697"/>
                                </a:lnTo>
                                <a:lnTo>
                                  <a:pt x="580277" y="6712"/>
                                </a:lnTo>
                                <a:lnTo>
                                  <a:pt x="533957" y="14932"/>
                                </a:lnTo>
                                <a:lnTo>
                                  <a:pt x="488780" y="26240"/>
                                </a:lnTo>
                                <a:lnTo>
                                  <a:pt x="444863" y="40525"/>
                                </a:lnTo>
                                <a:lnTo>
                                  <a:pt x="402318" y="57669"/>
                                </a:lnTo>
                                <a:lnTo>
                                  <a:pt x="361260" y="77561"/>
                                </a:lnTo>
                                <a:lnTo>
                                  <a:pt x="321805" y="100084"/>
                                </a:lnTo>
                                <a:lnTo>
                                  <a:pt x="284065" y="125125"/>
                                </a:lnTo>
                                <a:lnTo>
                                  <a:pt x="248157" y="152570"/>
                                </a:lnTo>
                                <a:lnTo>
                                  <a:pt x="214193" y="182303"/>
                                </a:lnTo>
                                <a:lnTo>
                                  <a:pt x="182289" y="214211"/>
                                </a:lnTo>
                                <a:lnTo>
                                  <a:pt x="152559" y="248180"/>
                                </a:lnTo>
                                <a:lnTo>
                                  <a:pt x="125118" y="284094"/>
                                </a:lnTo>
                                <a:lnTo>
                                  <a:pt x="100079" y="321840"/>
                                </a:lnTo>
                                <a:lnTo>
                                  <a:pt x="77557" y="361303"/>
                                </a:lnTo>
                                <a:lnTo>
                                  <a:pt x="57667" y="402369"/>
                                </a:lnTo>
                                <a:lnTo>
                                  <a:pt x="40523" y="444923"/>
                                </a:lnTo>
                                <a:lnTo>
                                  <a:pt x="26240" y="488852"/>
                                </a:lnTo>
                                <a:lnTo>
                                  <a:pt x="14931" y="534040"/>
                                </a:lnTo>
                                <a:lnTo>
                                  <a:pt x="6712" y="580374"/>
                                </a:lnTo>
                                <a:lnTo>
                                  <a:pt x="1697" y="627739"/>
                                </a:lnTo>
                                <a:lnTo>
                                  <a:pt x="0" y="676021"/>
                                </a:lnTo>
                                <a:lnTo>
                                  <a:pt x="337947" y="676021"/>
                                </a:lnTo>
                                <a:lnTo>
                                  <a:pt x="341031" y="630153"/>
                                </a:lnTo>
                                <a:lnTo>
                                  <a:pt x="350015" y="586164"/>
                                </a:lnTo>
                                <a:lnTo>
                                  <a:pt x="364497" y="544456"/>
                                </a:lnTo>
                                <a:lnTo>
                                  <a:pt x="384076" y="505431"/>
                                </a:lnTo>
                                <a:lnTo>
                                  <a:pt x="408348" y="469491"/>
                                </a:lnTo>
                                <a:lnTo>
                                  <a:pt x="436911" y="437038"/>
                                </a:lnTo>
                                <a:lnTo>
                                  <a:pt x="469364" y="408475"/>
                                </a:lnTo>
                                <a:lnTo>
                                  <a:pt x="505304" y="384203"/>
                                </a:lnTo>
                                <a:lnTo>
                                  <a:pt x="544329" y="364624"/>
                                </a:lnTo>
                                <a:lnTo>
                                  <a:pt x="586037" y="350142"/>
                                </a:lnTo>
                                <a:lnTo>
                                  <a:pt x="630026" y="341158"/>
                                </a:lnTo>
                                <a:lnTo>
                                  <a:pt x="675894" y="338074"/>
                                </a:lnTo>
                                <a:lnTo>
                                  <a:pt x="675894" y="0"/>
                                </a:lnTo>
                                <a:close/>
                              </a:path>
                            </a:pathLst>
                          </a:custGeom>
                          <a:solidFill>
                            <a:srgbClr val="A4A4A4"/>
                          </a:solidFill>
                        </wps:spPr>
                        <wps:bodyPr wrap="square" lIns="0" tIns="0" rIns="0" bIns="0" rtlCol="0">
                          <a:prstTxWarp prst="textNoShape">
                            <a:avLst/>
                          </a:prstTxWarp>
                          <a:noAutofit/>
                        </wps:bodyPr>
                      </wps:wsp>
                      <pic:pic>
                        <pic:nvPicPr>
                          <pic:cNvPr id="624" name="Image 624"/>
                          <pic:cNvPicPr/>
                        </pic:nvPicPr>
                        <pic:blipFill>
                          <a:blip r:embed="rId92" cstate="print"/>
                          <a:stretch>
                            <a:fillRect/>
                          </a:stretch>
                        </pic:blipFill>
                        <pic:spPr>
                          <a:xfrm>
                            <a:off x="4898135" y="3290265"/>
                            <a:ext cx="269748" cy="294182"/>
                          </a:xfrm>
                          <a:prstGeom prst="rect">
                            <a:avLst/>
                          </a:prstGeom>
                        </pic:spPr>
                      </pic:pic>
                      <pic:pic>
                        <pic:nvPicPr>
                          <pic:cNvPr id="625" name="Image 625"/>
                          <pic:cNvPicPr/>
                        </pic:nvPicPr>
                        <pic:blipFill>
                          <a:blip r:embed="rId92" cstate="print"/>
                          <a:stretch>
                            <a:fillRect/>
                          </a:stretch>
                        </pic:blipFill>
                        <pic:spPr>
                          <a:xfrm>
                            <a:off x="4032503" y="3648405"/>
                            <a:ext cx="269748" cy="294182"/>
                          </a:xfrm>
                          <a:prstGeom prst="rect">
                            <a:avLst/>
                          </a:prstGeom>
                        </pic:spPr>
                      </pic:pic>
                      <pic:pic>
                        <pic:nvPicPr>
                          <pic:cNvPr id="626" name="Image 626"/>
                          <pic:cNvPicPr/>
                        </pic:nvPicPr>
                        <pic:blipFill>
                          <a:blip r:embed="rId92" cstate="print"/>
                          <a:stretch>
                            <a:fillRect/>
                          </a:stretch>
                        </pic:blipFill>
                        <pic:spPr>
                          <a:xfrm>
                            <a:off x="4032503" y="2932125"/>
                            <a:ext cx="269748" cy="294182"/>
                          </a:xfrm>
                          <a:prstGeom prst="rect">
                            <a:avLst/>
                          </a:prstGeom>
                        </pic:spPr>
                      </pic:pic>
                      <wps:wsp>
                        <wps:cNvPr id="627" name="Graphic 627"/>
                        <wps:cNvSpPr/>
                        <wps:spPr>
                          <a:xfrm>
                            <a:off x="5378703" y="2770934"/>
                            <a:ext cx="55880" cy="55880"/>
                          </a:xfrm>
                          <a:custGeom>
                            <a:avLst/>
                            <a:gdLst/>
                            <a:ahLst/>
                            <a:cxnLst/>
                            <a:rect l="l" t="t" r="r" b="b"/>
                            <a:pathLst>
                              <a:path w="55880" h="55880">
                                <a:moveTo>
                                  <a:pt x="55577" y="0"/>
                                </a:moveTo>
                                <a:lnTo>
                                  <a:pt x="0" y="0"/>
                                </a:lnTo>
                                <a:lnTo>
                                  <a:pt x="0" y="55577"/>
                                </a:lnTo>
                                <a:lnTo>
                                  <a:pt x="55577" y="55577"/>
                                </a:lnTo>
                                <a:lnTo>
                                  <a:pt x="55577" y="0"/>
                                </a:lnTo>
                                <a:close/>
                              </a:path>
                            </a:pathLst>
                          </a:custGeom>
                          <a:solidFill>
                            <a:srgbClr val="4471C4"/>
                          </a:solidFill>
                        </wps:spPr>
                        <wps:bodyPr wrap="square" lIns="0" tIns="0" rIns="0" bIns="0" rtlCol="0">
                          <a:prstTxWarp prst="textNoShape">
                            <a:avLst/>
                          </a:prstTxWarp>
                          <a:noAutofit/>
                        </wps:bodyPr>
                      </wps:wsp>
                      <wps:wsp>
                        <wps:cNvPr id="628" name="Graphic 628"/>
                        <wps:cNvSpPr/>
                        <wps:spPr>
                          <a:xfrm>
                            <a:off x="5378703" y="3329480"/>
                            <a:ext cx="55880" cy="55880"/>
                          </a:xfrm>
                          <a:custGeom>
                            <a:avLst/>
                            <a:gdLst/>
                            <a:ahLst/>
                            <a:cxnLst/>
                            <a:rect l="l" t="t" r="r" b="b"/>
                            <a:pathLst>
                              <a:path w="55880" h="55880">
                                <a:moveTo>
                                  <a:pt x="55577" y="0"/>
                                </a:moveTo>
                                <a:lnTo>
                                  <a:pt x="0" y="0"/>
                                </a:lnTo>
                                <a:lnTo>
                                  <a:pt x="0" y="55577"/>
                                </a:lnTo>
                                <a:lnTo>
                                  <a:pt x="55577" y="55577"/>
                                </a:lnTo>
                                <a:lnTo>
                                  <a:pt x="55577" y="0"/>
                                </a:lnTo>
                                <a:close/>
                              </a:path>
                            </a:pathLst>
                          </a:custGeom>
                          <a:solidFill>
                            <a:srgbClr val="EC7C30"/>
                          </a:solidFill>
                        </wps:spPr>
                        <wps:bodyPr wrap="square" lIns="0" tIns="0" rIns="0" bIns="0" rtlCol="0">
                          <a:prstTxWarp prst="textNoShape">
                            <a:avLst/>
                          </a:prstTxWarp>
                          <a:noAutofit/>
                        </wps:bodyPr>
                      </wps:wsp>
                      <wps:wsp>
                        <wps:cNvPr id="629" name="Graphic 629"/>
                        <wps:cNvSpPr/>
                        <wps:spPr>
                          <a:xfrm>
                            <a:off x="5378703" y="3888026"/>
                            <a:ext cx="55880" cy="55880"/>
                          </a:xfrm>
                          <a:custGeom>
                            <a:avLst/>
                            <a:gdLst/>
                            <a:ahLst/>
                            <a:cxnLst/>
                            <a:rect l="l" t="t" r="r" b="b"/>
                            <a:pathLst>
                              <a:path w="55880" h="55880">
                                <a:moveTo>
                                  <a:pt x="55577" y="0"/>
                                </a:moveTo>
                                <a:lnTo>
                                  <a:pt x="0" y="0"/>
                                </a:lnTo>
                                <a:lnTo>
                                  <a:pt x="0" y="55577"/>
                                </a:lnTo>
                                <a:lnTo>
                                  <a:pt x="55577" y="55577"/>
                                </a:lnTo>
                                <a:lnTo>
                                  <a:pt x="55577" y="0"/>
                                </a:lnTo>
                                <a:close/>
                              </a:path>
                            </a:pathLst>
                          </a:custGeom>
                          <a:solidFill>
                            <a:srgbClr val="A4A4A4"/>
                          </a:solidFill>
                        </wps:spPr>
                        <wps:bodyPr wrap="square" lIns="0" tIns="0" rIns="0" bIns="0" rtlCol="0">
                          <a:prstTxWarp prst="textNoShape">
                            <a:avLst/>
                          </a:prstTxWarp>
                          <a:noAutofit/>
                        </wps:bodyPr>
                      </wps:wsp>
                      <wps:wsp>
                        <wps:cNvPr id="630" name="Graphic 630"/>
                        <wps:cNvSpPr/>
                        <wps:spPr>
                          <a:xfrm>
                            <a:off x="1168653" y="2467864"/>
                            <a:ext cx="1200150" cy="438150"/>
                          </a:xfrm>
                          <a:custGeom>
                            <a:avLst/>
                            <a:gdLst/>
                            <a:ahLst/>
                            <a:cxnLst/>
                            <a:rect l="l" t="t" r="r" b="b"/>
                            <a:pathLst>
                              <a:path w="1200150" h="438150">
                                <a:moveTo>
                                  <a:pt x="1127125" y="0"/>
                                </a:moveTo>
                                <a:lnTo>
                                  <a:pt x="73025" y="0"/>
                                </a:lnTo>
                                <a:lnTo>
                                  <a:pt x="44577" y="5730"/>
                                </a:lnTo>
                                <a:lnTo>
                                  <a:pt x="21367" y="21367"/>
                                </a:lnTo>
                                <a:lnTo>
                                  <a:pt x="5730" y="44577"/>
                                </a:lnTo>
                                <a:lnTo>
                                  <a:pt x="0" y="73025"/>
                                </a:lnTo>
                                <a:lnTo>
                                  <a:pt x="0" y="365125"/>
                                </a:lnTo>
                                <a:lnTo>
                                  <a:pt x="5730" y="393519"/>
                                </a:lnTo>
                                <a:lnTo>
                                  <a:pt x="21367" y="416734"/>
                                </a:lnTo>
                                <a:lnTo>
                                  <a:pt x="44576" y="432401"/>
                                </a:lnTo>
                                <a:lnTo>
                                  <a:pt x="73025" y="438150"/>
                                </a:lnTo>
                                <a:lnTo>
                                  <a:pt x="1127125" y="438150"/>
                                </a:lnTo>
                                <a:lnTo>
                                  <a:pt x="1155573" y="432401"/>
                                </a:lnTo>
                                <a:lnTo>
                                  <a:pt x="1178782" y="416734"/>
                                </a:lnTo>
                                <a:lnTo>
                                  <a:pt x="1194419" y="393519"/>
                                </a:lnTo>
                                <a:lnTo>
                                  <a:pt x="1200150" y="365125"/>
                                </a:lnTo>
                                <a:lnTo>
                                  <a:pt x="1200150" y="73025"/>
                                </a:lnTo>
                                <a:lnTo>
                                  <a:pt x="1194419" y="44576"/>
                                </a:lnTo>
                                <a:lnTo>
                                  <a:pt x="1178782" y="21367"/>
                                </a:lnTo>
                                <a:lnTo>
                                  <a:pt x="1155573" y="5730"/>
                                </a:lnTo>
                                <a:lnTo>
                                  <a:pt x="1127125" y="0"/>
                                </a:lnTo>
                                <a:close/>
                              </a:path>
                            </a:pathLst>
                          </a:custGeom>
                          <a:solidFill>
                            <a:srgbClr val="AEABAB"/>
                          </a:solidFill>
                        </wps:spPr>
                        <wps:bodyPr wrap="square" lIns="0" tIns="0" rIns="0" bIns="0" rtlCol="0">
                          <a:prstTxWarp prst="textNoShape">
                            <a:avLst/>
                          </a:prstTxWarp>
                          <a:noAutofit/>
                        </wps:bodyPr>
                      </wps:wsp>
                      <wps:wsp>
                        <wps:cNvPr id="631" name="Graphic 631"/>
                        <wps:cNvSpPr/>
                        <wps:spPr>
                          <a:xfrm>
                            <a:off x="1168653" y="2467864"/>
                            <a:ext cx="1200150" cy="438150"/>
                          </a:xfrm>
                          <a:custGeom>
                            <a:avLst/>
                            <a:gdLst/>
                            <a:ahLst/>
                            <a:cxnLst/>
                            <a:rect l="l" t="t" r="r" b="b"/>
                            <a:pathLst>
                              <a:path w="1200150" h="438150">
                                <a:moveTo>
                                  <a:pt x="0" y="73025"/>
                                </a:moveTo>
                                <a:lnTo>
                                  <a:pt x="5730" y="44577"/>
                                </a:lnTo>
                                <a:lnTo>
                                  <a:pt x="21367" y="21367"/>
                                </a:lnTo>
                                <a:lnTo>
                                  <a:pt x="44577" y="5730"/>
                                </a:lnTo>
                                <a:lnTo>
                                  <a:pt x="73025" y="0"/>
                                </a:lnTo>
                                <a:lnTo>
                                  <a:pt x="1127125" y="0"/>
                                </a:lnTo>
                                <a:lnTo>
                                  <a:pt x="1155573" y="5730"/>
                                </a:lnTo>
                                <a:lnTo>
                                  <a:pt x="1178782" y="21367"/>
                                </a:lnTo>
                                <a:lnTo>
                                  <a:pt x="1194419" y="44576"/>
                                </a:lnTo>
                                <a:lnTo>
                                  <a:pt x="1200150" y="73025"/>
                                </a:lnTo>
                                <a:lnTo>
                                  <a:pt x="1200150" y="365125"/>
                                </a:lnTo>
                                <a:lnTo>
                                  <a:pt x="1194419" y="393519"/>
                                </a:lnTo>
                                <a:lnTo>
                                  <a:pt x="1178782" y="416734"/>
                                </a:lnTo>
                                <a:lnTo>
                                  <a:pt x="1155573" y="432401"/>
                                </a:lnTo>
                                <a:lnTo>
                                  <a:pt x="1127125" y="438150"/>
                                </a:lnTo>
                                <a:lnTo>
                                  <a:pt x="73025" y="438150"/>
                                </a:lnTo>
                                <a:lnTo>
                                  <a:pt x="44576" y="432401"/>
                                </a:lnTo>
                                <a:lnTo>
                                  <a:pt x="21367" y="416734"/>
                                </a:lnTo>
                                <a:lnTo>
                                  <a:pt x="5730" y="393519"/>
                                </a:lnTo>
                                <a:lnTo>
                                  <a:pt x="0" y="365125"/>
                                </a:lnTo>
                                <a:lnTo>
                                  <a:pt x="0" y="73025"/>
                                </a:lnTo>
                                <a:close/>
                              </a:path>
                            </a:pathLst>
                          </a:custGeom>
                          <a:ln w="12700">
                            <a:solidFill>
                              <a:srgbClr val="AEABA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48pt;margin-top:-.04pt;width:808.45pt;height:346.65pt;mso-position-horizontal-relative:page;mso-position-vertical-relative:paragraph;z-index:-26108928" id="docshapegroup372" coordorigin="250,-1" coordsize="16169,6933">
                <v:rect style="position:absolute;left:249;top:-1;width:16169;height:2778" id="docshape373" filled="true" fillcolor="#ffffff" stroked="false">
                  <v:fill type="solid"/>
                </v:rect>
                <v:shape style="position:absolute;left:357;top:918;width:15953;height:10" id="docshape374" coordorigin="358,919" coordsize="15953,10" path="m1006,919l996,919,358,919,358,928,996,928,1006,928,1006,919xm14054,919l14044,919,1006,919,1006,928,14044,928,14054,928,14054,919xm16310,919l14054,919,14054,928,16310,928,16310,919xe" filled="true" fillcolor="#000000" stroked="false">
                  <v:path arrowok="t"/>
                  <v:fill type="solid"/>
                </v:shape>
                <v:shape style="position:absolute;left:357;top:1538;width:15953;height:617" id="docshape375" coordorigin="358,1538" coordsize="15953,617" path="m358,1538l996,1538m996,1538l1006,1538m1006,1538l14044,1538m14044,1538l14054,1538m14054,1538l16310,1538m358,2155l996,2155m996,2155l1006,2155m1006,2155l14044,2155m14044,2155l14054,2155m14054,2155l16310,2155e" filled="false" stroked="true" strokeweight=".48pt" strokecolor="#000000">
                  <v:path arrowok="t"/>
                  <v:stroke dashstyle="shortdash"/>
                </v:shape>
                <v:rect style="position:absolute;left:343;top:2766;width:15968;height:10" id="docshape376" filled="true" fillcolor="#000000" stroked="false">
                  <v:fill type="solid"/>
                </v:rect>
                <v:shape style="position:absolute;left:249;top:2776;width:16169;height:413" id="docshape377" coordorigin="250,2776" coordsize="16169,413" path="m16418,2776l250,2776,250,2889,250,3189,16418,3189,16418,2889,16418,2776xe" filled="true" fillcolor="#efeff5" stroked="false">
                  <v:path arrowok="t"/>
                  <v:fill type="solid"/>
                </v:shape>
                <v:rect style="position:absolute;left:249;top:3189;width:16169;height:3743" id="docshape378" filled="true" fillcolor="#ffffff" stroked="false">
                  <v:fill type="solid"/>
                </v:rect>
                <v:shape style="position:absolute;left:6189;top:4304;width:2290;height:2290" type="#_x0000_t75" id="docshape379" stroked="false">
                  <v:imagedata r:id="rId88" o:title=""/>
                </v:shape>
                <v:rect style="position:absolute;left:6273;top:4309;width:2129;height:2129" id="docshape380" filled="false" stroked="true" strokeweight=".75pt" strokecolor="#ffffff">
                  <v:stroke dashstyle="solid"/>
                </v:rect>
                <v:shape style="position:absolute;left:6924;top:3884;width:1869;height:2926" type="#_x0000_t75" id="docshape381" stroked="false">
                  <v:imagedata r:id="rId89" o:title=""/>
                </v:shape>
                <v:shape style="position:absolute;left:5860;top:4960;width:1867;height:1851" type="#_x0000_t75" id="docshape382" stroked="false">
                  <v:imagedata r:id="rId90" o:title=""/>
                </v:shape>
                <v:shape style="position:absolute;left:5860;top:3894;width:1867;height:1869" type="#_x0000_t75" id="docshape383" stroked="false">
                  <v:imagedata r:id="rId91" o:title=""/>
                </v:shape>
                <v:shape style="position:absolute;left:7338;top:4309;width:1065;height:2129" id="docshape384" coordorigin="7338,4309" coordsize="1065,2129" path="m7338,4309l7338,4842,7410,4846,7480,4861,7545,4883,7607,4914,7663,4952,7715,4997,7760,5049,7798,5105,7829,5167,7851,5232,7866,5302,7870,5374,7866,5446,7851,5515,7829,5581,7798,5642,7760,5699,7715,5750,7663,5795,7607,5833,7545,5864,7480,5887,7410,5901,7338,5906,7338,6438,7414,6436,7489,6428,7562,6415,7633,6397,7702,6374,7769,6347,7834,6316,7896,6281,7955,6241,8012,6198,8065,6151,8116,6101,8163,6047,8206,5991,8245,5931,8281,5869,8312,5805,8339,5738,8361,5668,8379,5597,8392,5524,8400,5450,8403,5374,8400,5298,8392,5223,8379,5150,8361,5079,8339,5010,8312,4943,8281,4878,8245,4816,8206,4757,8163,4700,8116,4647,8065,4596,8012,4549,7955,4506,7896,4467,7834,4431,7769,4400,7702,4373,7633,4351,7562,4333,7489,4320,7414,4312,7338,4309xe" filled="true" fillcolor="#4471c4" stroked="false">
                  <v:path arrowok="t"/>
                  <v:fill type="solid"/>
                </v:shape>
                <v:shape style="position:absolute;left:6273;top:5373;width:1065;height:1065" id="docshape385" coordorigin="6274,5374" coordsize="1065,1065" path="m6806,5374l6274,5374,6276,5450,6284,5524,6297,5597,6315,5668,6338,5738,6365,5805,6396,5869,6431,5931,6471,5991,6514,6047,6561,6101,6611,6151,6665,6198,6721,6241,6781,6281,6843,6316,6907,6347,6974,6374,7044,6397,7115,6415,7188,6428,7262,6436,7338,6438,7338,5906,7266,5901,7197,5887,7131,5864,7070,5833,7013,5795,6962,5750,6917,5699,6879,5642,6848,5581,6825,5515,6811,5446,6806,5374xe" filled="true" fillcolor="#ec7c30" stroked="false">
                  <v:path arrowok="t"/>
                  <v:fill type="solid"/>
                </v:shape>
                <v:shape style="position:absolute;left:6273;top:4309;width:1065;height:1065" id="docshape386" coordorigin="6274,4309" coordsize="1065,1065" path="m7338,4309l7262,4312,7188,4320,7115,4333,7044,4351,6974,4373,6907,4400,6843,4431,6781,4467,6721,4506,6665,4549,6611,4596,6561,4647,6514,4700,6471,4757,6431,4816,6396,4878,6365,4943,6338,5010,6315,5079,6297,5150,6284,5223,6276,5298,6274,5374,6806,5374,6811,5302,6825,5232,6848,5167,6879,5105,6917,5049,6962,4997,7013,4952,7070,4914,7131,4883,7197,4861,7266,4846,7338,4842,7338,4309xe" filled="true" fillcolor="#a4a4a4" stroked="false">
                  <v:path arrowok="t"/>
                  <v:fill type="solid"/>
                </v:shape>
                <v:shape style="position:absolute;left:7963;top:5180;width:425;height:464" type="#_x0000_t75" id="docshape387" stroked="false">
                  <v:imagedata r:id="rId92" o:title=""/>
                </v:shape>
                <v:shape style="position:absolute;left:6600;top:5744;width:425;height:464" type="#_x0000_t75" id="docshape388" stroked="false">
                  <v:imagedata r:id="rId92" o:title=""/>
                </v:shape>
                <v:shape style="position:absolute;left:6600;top:4616;width:425;height:464" type="#_x0000_t75" id="docshape389" stroked="false">
                  <v:imagedata r:id="rId92" o:title=""/>
                </v:shape>
                <v:rect style="position:absolute;left:8720;top:4362;width:88;height:88" id="docshape390" filled="true" fillcolor="#4471c4" stroked="false">
                  <v:fill type="solid"/>
                </v:rect>
                <v:rect style="position:absolute;left:8720;top:5242;width:88;height:88" id="docshape391" filled="true" fillcolor="#ec7c30" stroked="false">
                  <v:fill type="solid"/>
                </v:rect>
                <v:rect style="position:absolute;left:8720;top:6122;width:88;height:88" id="docshape392" filled="true" fillcolor="#a4a4a4" stroked="false">
                  <v:fill type="solid"/>
                </v:rect>
                <v:shape style="position:absolute;left:2090;top:3885;width:1890;height:690" id="docshape393" coordorigin="2090,3886" coordsize="1890,690" path="m3865,3886l2205,3886,2160,3895,2124,3919,2099,3956,2090,4001,2090,4461,2099,4505,2124,4542,2160,4567,2205,4576,3865,4576,3910,4567,3946,4542,3971,4505,3980,4461,3980,4001,3971,3956,3946,3919,3910,3895,3865,3886xe" filled="true" fillcolor="#aeabab" stroked="false">
                  <v:path arrowok="t"/>
                  <v:fill type="solid"/>
                </v:shape>
                <v:shape style="position:absolute;left:2090;top:3885;width:1890;height:690" id="docshape394" coordorigin="2090,3886" coordsize="1890,690" path="m2090,4001l2099,3956,2124,3919,2160,3895,2205,3886,3865,3886,3910,3895,3946,3919,3971,3956,3980,4001,3980,4461,3971,4505,3946,4542,3910,4567,3865,4576,2205,4576,2160,4567,2124,4542,2099,4505,2090,4461,2090,4001xe" filled="false" stroked="true" strokeweight="1pt" strokecolor="#aeabab">
                  <v:path arrowok="t"/>
                  <v:stroke dashstyle="solid"/>
                </v:shape>
                <w10:wrap type="none"/>
              </v:group>
            </w:pict>
          </mc:Fallback>
        </mc:AlternateContent>
      </w:r>
      <w:r>
        <w:rPr>
          <w:rFonts w:ascii="Verdana"/>
          <w:color w:val="001F5F"/>
        </w:rPr>
        <w:t>Scope</w:t>
      </w:r>
      <w:r>
        <w:rPr>
          <w:rFonts w:ascii="Verdana"/>
          <w:color w:val="001F5F"/>
          <w:spacing w:val="-2"/>
        </w:rPr>
        <w:t> </w:t>
      </w:r>
      <w:r>
        <w:rPr>
          <w:rFonts w:ascii="Verdana"/>
          <w:color w:val="001F5F"/>
        </w:rPr>
        <w:t>&amp;</w:t>
      </w:r>
      <w:r>
        <w:rPr>
          <w:rFonts w:ascii="Verdana"/>
          <w:color w:val="001F5F"/>
          <w:spacing w:val="-2"/>
        </w:rPr>
        <w:t> </w:t>
      </w:r>
      <w:r>
        <w:rPr>
          <w:rFonts w:ascii="Verdana"/>
          <w:color w:val="001F5F"/>
        </w:rPr>
        <w:t>Actions</w:t>
      </w:r>
      <w:r>
        <w:rPr>
          <w:rFonts w:ascii="Verdana"/>
          <w:color w:val="001F5F"/>
          <w:spacing w:val="-1"/>
        </w:rPr>
        <w:t> </w:t>
      </w:r>
      <w:r>
        <w:rPr>
          <w:rFonts w:ascii="Verdana"/>
          <w:color w:val="001F5F"/>
          <w:spacing w:val="-2"/>
        </w:rPr>
        <w:t>Summary</w:t>
      </w:r>
    </w:p>
    <w:p>
      <w:pPr>
        <w:tabs>
          <w:tab w:pos="14181" w:val="left" w:leader="none"/>
        </w:tabs>
        <w:spacing w:before="119"/>
        <w:ind w:left="324" w:right="0" w:firstLine="0"/>
        <w:jc w:val="left"/>
        <w:rPr>
          <w:rFonts w:ascii="Verdana"/>
          <w:sz w:val="22"/>
        </w:rPr>
      </w:pPr>
      <w:r>
        <w:rPr>
          <w:rFonts w:ascii="Verdana"/>
          <w:color w:val="3C5A8B"/>
          <w:spacing w:val="-2"/>
          <w:sz w:val="22"/>
        </w:rPr>
        <w:t>Objectives</w:t>
      </w:r>
      <w:r>
        <w:rPr>
          <w:rFonts w:ascii="Verdana"/>
          <w:color w:val="3C5A8B"/>
          <w:sz w:val="22"/>
        </w:rPr>
        <w:tab/>
        <w:t>Related</w:t>
      </w:r>
      <w:r>
        <w:rPr>
          <w:rFonts w:ascii="Verdana"/>
          <w:color w:val="3C5A8B"/>
          <w:spacing w:val="-6"/>
          <w:sz w:val="22"/>
        </w:rPr>
        <w:t> </w:t>
      </w:r>
      <w:r>
        <w:rPr>
          <w:rFonts w:ascii="Verdana"/>
          <w:color w:val="3C5A8B"/>
          <w:spacing w:val="-2"/>
          <w:sz w:val="22"/>
        </w:rPr>
        <w:t>Actions</w:t>
      </w:r>
    </w:p>
    <w:p>
      <w:pPr>
        <w:spacing w:after="0"/>
        <w:jc w:val="left"/>
        <w:rPr>
          <w:rFonts w:ascii="Verdana"/>
          <w:sz w:val="22"/>
        </w:rPr>
        <w:sectPr>
          <w:footerReference w:type="default" r:id="rId87"/>
          <w:pgSz w:w="16840" w:h="11910" w:orient="landscape"/>
          <w:pgMar w:header="0" w:footer="0" w:top="460" w:bottom="0" w:left="141" w:right="141"/>
        </w:sectPr>
      </w:pPr>
    </w:p>
    <w:p>
      <w:pPr>
        <w:pStyle w:val="ListParagraph"/>
        <w:numPr>
          <w:ilvl w:val="2"/>
          <w:numId w:val="96"/>
        </w:numPr>
        <w:tabs>
          <w:tab w:pos="963" w:val="left" w:leader="none"/>
        </w:tabs>
        <w:spacing w:line="160" w:lineRule="auto" w:before="219" w:after="0"/>
        <w:ind w:left="963" w:right="117" w:hanging="492"/>
        <w:jc w:val="left"/>
        <w:rPr>
          <w:rFonts w:ascii="Verdana"/>
          <w:sz w:val="20"/>
        </w:rPr>
      </w:pPr>
      <w:r>
        <w:rPr>
          <w:rFonts w:ascii="Verdana"/>
          <w:sz w:val="20"/>
        </w:rPr>
        <w:t>The</w:t>
      </w:r>
      <w:r>
        <w:rPr>
          <w:rFonts w:ascii="Verdana"/>
          <w:spacing w:val="-5"/>
          <w:sz w:val="20"/>
        </w:rPr>
        <w:t> </w:t>
      </w:r>
      <w:r>
        <w:rPr>
          <w:rFonts w:ascii="Verdana"/>
          <w:sz w:val="20"/>
        </w:rPr>
        <w:t>Regional</w:t>
      </w:r>
      <w:r>
        <w:rPr>
          <w:rFonts w:ascii="Verdana"/>
          <w:spacing w:val="-3"/>
          <w:sz w:val="20"/>
        </w:rPr>
        <w:t> </w:t>
      </w:r>
      <w:r>
        <w:rPr>
          <w:rFonts w:ascii="Verdana"/>
          <w:sz w:val="20"/>
        </w:rPr>
        <w:t>Joint</w:t>
      </w:r>
      <w:r>
        <w:rPr>
          <w:rFonts w:ascii="Verdana"/>
          <w:spacing w:val="-3"/>
          <w:sz w:val="20"/>
        </w:rPr>
        <w:t> </w:t>
      </w:r>
      <w:r>
        <w:rPr>
          <w:rFonts w:ascii="Verdana"/>
          <w:sz w:val="20"/>
        </w:rPr>
        <w:t>Committee</w:t>
      </w:r>
      <w:r>
        <w:rPr>
          <w:rFonts w:ascii="Verdana"/>
          <w:spacing w:val="-5"/>
          <w:sz w:val="20"/>
        </w:rPr>
        <w:t> </w:t>
      </w:r>
      <w:r>
        <w:rPr>
          <w:rFonts w:ascii="Verdana"/>
          <w:sz w:val="20"/>
        </w:rPr>
        <w:t>has</w:t>
      </w:r>
      <w:r>
        <w:rPr>
          <w:rFonts w:ascii="Verdana"/>
          <w:spacing w:val="-2"/>
          <w:sz w:val="20"/>
        </w:rPr>
        <w:t> </w:t>
      </w:r>
      <w:r>
        <w:rPr>
          <w:rFonts w:ascii="Verdana"/>
          <w:sz w:val="20"/>
        </w:rPr>
        <w:t>a</w:t>
      </w:r>
      <w:r>
        <w:rPr>
          <w:rFonts w:ascii="Verdana"/>
          <w:spacing w:val="-4"/>
          <w:sz w:val="20"/>
        </w:rPr>
        <w:t> </w:t>
      </w:r>
      <w:r>
        <w:rPr>
          <w:rFonts w:ascii="Verdana"/>
          <w:sz w:val="20"/>
        </w:rPr>
        <w:t>clearly</w:t>
      </w:r>
      <w:r>
        <w:rPr>
          <w:rFonts w:ascii="Verdana"/>
          <w:spacing w:val="-4"/>
          <w:sz w:val="20"/>
        </w:rPr>
        <w:t> </w:t>
      </w:r>
      <w:r>
        <w:rPr>
          <w:rFonts w:ascii="Verdana"/>
          <w:sz w:val="20"/>
        </w:rPr>
        <w:t>defined</w:t>
      </w:r>
      <w:r>
        <w:rPr>
          <w:rFonts w:ascii="Verdana"/>
          <w:spacing w:val="-3"/>
          <w:sz w:val="20"/>
        </w:rPr>
        <w:t> </w:t>
      </w:r>
      <w:r>
        <w:rPr>
          <w:rFonts w:ascii="Verdana"/>
          <w:sz w:val="20"/>
        </w:rPr>
        <w:t>and</w:t>
      </w:r>
      <w:r>
        <w:rPr>
          <w:rFonts w:ascii="Verdana"/>
          <w:spacing w:val="-3"/>
          <w:sz w:val="20"/>
        </w:rPr>
        <w:t> </w:t>
      </w:r>
      <w:r>
        <w:rPr>
          <w:rFonts w:ascii="Verdana"/>
          <w:sz w:val="20"/>
        </w:rPr>
        <w:t>approved</w:t>
      </w:r>
      <w:r>
        <w:rPr>
          <w:rFonts w:ascii="Verdana"/>
          <w:spacing w:val="-3"/>
          <w:sz w:val="20"/>
        </w:rPr>
        <w:t> </w:t>
      </w:r>
      <w:r>
        <w:rPr>
          <w:rFonts w:ascii="Verdana"/>
          <w:sz w:val="20"/>
        </w:rPr>
        <w:t>governance structure,</w:t>
      </w:r>
      <w:r>
        <w:rPr>
          <w:rFonts w:ascii="Verdana"/>
          <w:spacing w:val="-5"/>
          <w:sz w:val="20"/>
        </w:rPr>
        <w:t> </w:t>
      </w:r>
      <w:r>
        <w:rPr>
          <w:rFonts w:ascii="Verdana"/>
          <w:sz w:val="20"/>
        </w:rPr>
        <w:t>supported</w:t>
      </w:r>
      <w:r>
        <w:rPr>
          <w:rFonts w:ascii="Verdana"/>
          <w:spacing w:val="-3"/>
          <w:sz w:val="20"/>
        </w:rPr>
        <w:t> </w:t>
      </w:r>
      <w:r>
        <w:rPr>
          <w:rFonts w:ascii="Verdana"/>
          <w:sz w:val="20"/>
        </w:rPr>
        <w:t>by</w:t>
      </w:r>
      <w:r>
        <w:rPr>
          <w:rFonts w:ascii="Verdana"/>
          <w:spacing w:val="-4"/>
          <w:sz w:val="20"/>
        </w:rPr>
        <w:t> </w:t>
      </w:r>
      <w:r>
        <w:rPr>
          <w:rFonts w:ascii="Verdana"/>
          <w:sz w:val="20"/>
        </w:rPr>
        <w:t>terms</w:t>
      </w:r>
      <w:r>
        <w:rPr>
          <w:rFonts w:ascii="Verdana"/>
          <w:spacing w:val="-1"/>
          <w:sz w:val="20"/>
        </w:rPr>
        <w:t> </w:t>
      </w:r>
      <w:r>
        <w:rPr>
          <w:rFonts w:ascii="Verdana"/>
          <w:sz w:val="20"/>
        </w:rPr>
        <w:t>of</w:t>
      </w:r>
      <w:r>
        <w:rPr>
          <w:rFonts w:ascii="Verdana"/>
          <w:spacing w:val="-5"/>
          <w:sz w:val="20"/>
        </w:rPr>
        <w:t> </w:t>
      </w:r>
      <w:r>
        <w:rPr>
          <w:rFonts w:ascii="Verdana"/>
          <w:sz w:val="20"/>
        </w:rPr>
        <w:t>reference</w:t>
      </w:r>
      <w:r>
        <w:rPr>
          <w:rFonts w:ascii="Verdana"/>
          <w:spacing w:val="-5"/>
          <w:sz w:val="20"/>
        </w:rPr>
        <w:t> </w:t>
      </w:r>
      <w:r>
        <w:rPr>
          <w:rFonts w:ascii="Verdana"/>
          <w:sz w:val="20"/>
        </w:rPr>
        <w:t>and work programmes aligned to its purpose and objectives.</w:t>
      </w:r>
    </w:p>
    <w:p>
      <w:pPr>
        <w:pStyle w:val="ListParagraph"/>
        <w:numPr>
          <w:ilvl w:val="2"/>
          <w:numId w:val="96"/>
        </w:numPr>
        <w:tabs>
          <w:tab w:pos="963" w:val="left" w:leader="none"/>
        </w:tabs>
        <w:spacing w:line="160" w:lineRule="auto" w:before="171" w:after="0"/>
        <w:ind w:left="963" w:right="253" w:hanging="492"/>
        <w:jc w:val="left"/>
        <w:rPr>
          <w:rFonts w:ascii="Verdana"/>
          <w:sz w:val="20"/>
        </w:rPr>
      </w:pPr>
      <w:r>
        <w:rPr>
          <w:rFonts w:ascii="Verdana"/>
          <w:sz w:val="20"/>
        </w:rPr>
        <w:t>Regional</w:t>
      </w:r>
      <w:r>
        <w:rPr>
          <w:rFonts w:ascii="Verdana"/>
          <w:spacing w:val="-4"/>
          <w:sz w:val="20"/>
        </w:rPr>
        <w:t> </w:t>
      </w:r>
      <w:r>
        <w:rPr>
          <w:rFonts w:ascii="Verdana"/>
          <w:sz w:val="20"/>
        </w:rPr>
        <w:t>Joint</w:t>
      </w:r>
      <w:r>
        <w:rPr>
          <w:rFonts w:ascii="Verdana"/>
          <w:spacing w:val="-4"/>
          <w:sz w:val="20"/>
        </w:rPr>
        <w:t> </w:t>
      </w:r>
      <w:r>
        <w:rPr>
          <w:rFonts w:ascii="Verdana"/>
          <w:sz w:val="20"/>
        </w:rPr>
        <w:t>Committee</w:t>
      </w:r>
      <w:r>
        <w:rPr>
          <w:rFonts w:ascii="Verdana"/>
          <w:spacing w:val="-6"/>
          <w:sz w:val="20"/>
        </w:rPr>
        <w:t> </w:t>
      </w:r>
      <w:r>
        <w:rPr>
          <w:rFonts w:ascii="Verdana"/>
          <w:sz w:val="20"/>
        </w:rPr>
        <w:t>subgroups</w:t>
      </w:r>
      <w:r>
        <w:rPr>
          <w:rFonts w:ascii="Verdana"/>
          <w:spacing w:val="-3"/>
          <w:sz w:val="20"/>
        </w:rPr>
        <w:t> </w:t>
      </w:r>
      <w:r>
        <w:rPr>
          <w:rFonts w:ascii="Verdana"/>
          <w:sz w:val="20"/>
        </w:rPr>
        <w:t>are</w:t>
      </w:r>
      <w:r>
        <w:rPr>
          <w:rFonts w:ascii="Verdana"/>
          <w:spacing w:val="-4"/>
          <w:sz w:val="20"/>
        </w:rPr>
        <w:t> </w:t>
      </w:r>
      <w:r>
        <w:rPr>
          <w:rFonts w:ascii="Verdana"/>
          <w:sz w:val="20"/>
        </w:rPr>
        <w:t>established</w:t>
      </w:r>
      <w:r>
        <w:rPr>
          <w:rFonts w:ascii="Verdana"/>
          <w:spacing w:val="-4"/>
          <w:sz w:val="20"/>
        </w:rPr>
        <w:t> </w:t>
      </w:r>
      <w:r>
        <w:rPr>
          <w:rFonts w:ascii="Verdana"/>
          <w:sz w:val="20"/>
        </w:rPr>
        <w:t>with</w:t>
      </w:r>
      <w:r>
        <w:rPr>
          <w:rFonts w:ascii="Verdana"/>
          <w:spacing w:val="-4"/>
          <w:sz w:val="20"/>
        </w:rPr>
        <w:t> </w:t>
      </w:r>
      <w:r>
        <w:rPr>
          <w:rFonts w:ascii="Verdana"/>
          <w:sz w:val="20"/>
        </w:rPr>
        <w:t>clear</w:t>
      </w:r>
      <w:r>
        <w:rPr>
          <w:rFonts w:ascii="Verdana"/>
          <w:spacing w:val="-6"/>
          <w:sz w:val="20"/>
        </w:rPr>
        <w:t> </w:t>
      </w:r>
      <w:r>
        <w:rPr>
          <w:rFonts w:ascii="Verdana"/>
          <w:sz w:val="20"/>
        </w:rPr>
        <w:t>roles, responsibilities</w:t>
      </w:r>
      <w:r>
        <w:rPr>
          <w:rFonts w:ascii="Verdana"/>
          <w:spacing w:val="-3"/>
          <w:sz w:val="20"/>
        </w:rPr>
        <w:t> </w:t>
      </w:r>
      <w:r>
        <w:rPr>
          <w:rFonts w:ascii="Verdana"/>
          <w:sz w:val="20"/>
        </w:rPr>
        <w:t>and</w:t>
      </w:r>
      <w:r>
        <w:rPr>
          <w:rFonts w:ascii="Verdana"/>
          <w:spacing w:val="-4"/>
          <w:sz w:val="20"/>
        </w:rPr>
        <w:t> </w:t>
      </w:r>
      <w:r>
        <w:rPr>
          <w:rFonts w:ascii="Verdana"/>
          <w:sz w:val="20"/>
        </w:rPr>
        <w:t>reporting</w:t>
      </w:r>
      <w:r>
        <w:rPr>
          <w:rFonts w:ascii="Verdana"/>
          <w:spacing w:val="-4"/>
          <w:sz w:val="20"/>
        </w:rPr>
        <w:t> </w:t>
      </w:r>
      <w:r>
        <w:rPr>
          <w:rFonts w:ascii="Verdana"/>
          <w:sz w:val="20"/>
        </w:rPr>
        <w:t>arrangements</w:t>
      </w:r>
      <w:r>
        <w:rPr>
          <w:rFonts w:ascii="Verdana"/>
          <w:spacing w:val="-6"/>
          <w:sz w:val="20"/>
        </w:rPr>
        <w:t> </w:t>
      </w:r>
      <w:r>
        <w:rPr>
          <w:rFonts w:ascii="Verdana"/>
          <w:sz w:val="20"/>
        </w:rPr>
        <w:t>to</w:t>
      </w:r>
      <w:r>
        <w:rPr>
          <w:rFonts w:ascii="Verdana"/>
          <w:spacing w:val="-4"/>
          <w:sz w:val="20"/>
        </w:rPr>
        <w:t> </w:t>
      </w:r>
      <w:r>
        <w:rPr>
          <w:rFonts w:ascii="Verdana"/>
          <w:sz w:val="20"/>
        </w:rPr>
        <w:t>support the effective delivery of regional outputs.</w:t>
      </w:r>
    </w:p>
    <w:p>
      <w:pPr>
        <w:pStyle w:val="ListParagraph"/>
        <w:numPr>
          <w:ilvl w:val="2"/>
          <w:numId w:val="96"/>
        </w:numPr>
        <w:tabs>
          <w:tab w:pos="963" w:val="left" w:leader="none"/>
        </w:tabs>
        <w:spacing w:line="160" w:lineRule="auto" w:before="169" w:after="0"/>
        <w:ind w:left="963" w:right="38" w:hanging="492"/>
        <w:jc w:val="left"/>
        <w:rPr>
          <w:rFonts w:ascii="Verdana"/>
          <w:sz w:val="20"/>
        </w:rPr>
      </w:pPr>
      <w:r>
        <w:rPr>
          <w:rFonts w:ascii="Verdana"/>
          <w:sz w:val="20"/>
        </w:rPr>
        <w:t>The</w:t>
      </w:r>
      <w:r>
        <w:rPr>
          <w:rFonts w:ascii="Verdana"/>
          <w:spacing w:val="-4"/>
          <w:sz w:val="20"/>
        </w:rPr>
        <w:t> </w:t>
      </w:r>
      <w:r>
        <w:rPr>
          <w:rFonts w:ascii="Verdana"/>
          <w:sz w:val="20"/>
        </w:rPr>
        <w:t>Health</w:t>
      </w:r>
      <w:r>
        <w:rPr>
          <w:rFonts w:ascii="Verdana"/>
          <w:spacing w:val="-4"/>
          <w:sz w:val="20"/>
        </w:rPr>
        <w:t> </w:t>
      </w:r>
      <w:r>
        <w:rPr>
          <w:rFonts w:ascii="Verdana"/>
          <w:sz w:val="20"/>
        </w:rPr>
        <w:t>Boards</w:t>
      </w:r>
      <w:r>
        <w:rPr>
          <w:rFonts w:ascii="Verdana"/>
          <w:spacing w:val="-3"/>
          <w:sz w:val="20"/>
        </w:rPr>
        <w:t> </w:t>
      </w:r>
      <w:r>
        <w:rPr>
          <w:rFonts w:ascii="Verdana"/>
          <w:sz w:val="20"/>
        </w:rPr>
        <w:t>receive</w:t>
      </w:r>
      <w:r>
        <w:rPr>
          <w:rFonts w:ascii="Verdana"/>
          <w:spacing w:val="-4"/>
          <w:sz w:val="20"/>
        </w:rPr>
        <w:t> </w:t>
      </w:r>
      <w:r>
        <w:rPr>
          <w:rFonts w:ascii="Verdana"/>
          <w:sz w:val="20"/>
        </w:rPr>
        <w:t>sufficient</w:t>
      </w:r>
      <w:r>
        <w:rPr>
          <w:rFonts w:ascii="Verdana"/>
          <w:spacing w:val="-4"/>
          <w:sz w:val="20"/>
        </w:rPr>
        <w:t> </w:t>
      </w:r>
      <w:r>
        <w:rPr>
          <w:rFonts w:ascii="Verdana"/>
          <w:sz w:val="20"/>
        </w:rPr>
        <w:t>information</w:t>
      </w:r>
      <w:r>
        <w:rPr>
          <w:rFonts w:ascii="Verdana"/>
          <w:spacing w:val="-1"/>
          <w:sz w:val="20"/>
        </w:rPr>
        <w:t> </w:t>
      </w:r>
      <w:r>
        <w:rPr>
          <w:rFonts w:ascii="Verdana"/>
          <w:sz w:val="20"/>
        </w:rPr>
        <w:t>to</w:t>
      </w:r>
      <w:r>
        <w:rPr>
          <w:rFonts w:ascii="Verdana"/>
          <w:spacing w:val="-4"/>
          <w:sz w:val="20"/>
        </w:rPr>
        <w:t> </w:t>
      </w:r>
      <w:r>
        <w:rPr>
          <w:rFonts w:ascii="Verdana"/>
          <w:sz w:val="20"/>
        </w:rPr>
        <w:t>enable</w:t>
      </w:r>
      <w:r>
        <w:rPr>
          <w:rFonts w:ascii="Verdana"/>
          <w:spacing w:val="-4"/>
          <w:sz w:val="20"/>
        </w:rPr>
        <w:t> </w:t>
      </w:r>
      <w:r>
        <w:rPr>
          <w:rFonts w:ascii="Verdana"/>
          <w:sz w:val="20"/>
        </w:rPr>
        <w:t>effective</w:t>
      </w:r>
      <w:r>
        <w:rPr>
          <w:rFonts w:ascii="Verdana"/>
          <w:spacing w:val="-4"/>
          <w:sz w:val="20"/>
        </w:rPr>
        <w:t> </w:t>
      </w:r>
      <w:r>
        <w:rPr>
          <w:rFonts w:ascii="Verdana"/>
          <w:sz w:val="20"/>
        </w:rPr>
        <w:t>oversight, decision-making</w:t>
      </w:r>
      <w:r>
        <w:rPr>
          <w:rFonts w:ascii="Verdana"/>
          <w:spacing w:val="-3"/>
          <w:sz w:val="20"/>
        </w:rPr>
        <w:t> </w:t>
      </w:r>
      <w:r>
        <w:rPr>
          <w:rFonts w:ascii="Verdana"/>
          <w:sz w:val="20"/>
        </w:rPr>
        <w:t>and</w:t>
      </w:r>
      <w:r>
        <w:rPr>
          <w:rFonts w:ascii="Verdana"/>
          <w:spacing w:val="-4"/>
          <w:sz w:val="20"/>
        </w:rPr>
        <w:t> </w:t>
      </w:r>
      <w:r>
        <w:rPr>
          <w:rFonts w:ascii="Verdana"/>
          <w:sz w:val="20"/>
        </w:rPr>
        <w:t>escalation</w:t>
      </w:r>
      <w:r>
        <w:rPr>
          <w:rFonts w:ascii="Verdana"/>
          <w:spacing w:val="-4"/>
          <w:sz w:val="20"/>
        </w:rPr>
        <w:t> </w:t>
      </w:r>
      <w:r>
        <w:rPr>
          <w:rFonts w:ascii="Verdana"/>
          <w:sz w:val="20"/>
        </w:rPr>
        <w:t>of</w:t>
      </w:r>
      <w:r>
        <w:rPr>
          <w:rFonts w:ascii="Verdana"/>
          <w:spacing w:val="-6"/>
          <w:sz w:val="20"/>
        </w:rPr>
        <w:t> </w:t>
      </w:r>
      <w:r>
        <w:rPr>
          <w:rFonts w:ascii="Verdana"/>
          <w:sz w:val="20"/>
        </w:rPr>
        <w:t>key</w:t>
      </w:r>
      <w:r>
        <w:rPr>
          <w:rFonts w:ascii="Verdana"/>
          <w:spacing w:val="-3"/>
          <w:sz w:val="20"/>
        </w:rPr>
        <w:t> </w:t>
      </w:r>
      <w:r>
        <w:rPr>
          <w:rFonts w:ascii="Verdana"/>
          <w:sz w:val="20"/>
        </w:rPr>
        <w:t>risks</w:t>
      </w:r>
      <w:r>
        <w:rPr>
          <w:rFonts w:ascii="Verdana"/>
          <w:spacing w:val="-6"/>
          <w:sz w:val="20"/>
        </w:rPr>
        <w:t> </w:t>
      </w:r>
      <w:r>
        <w:rPr>
          <w:rFonts w:ascii="Verdana"/>
          <w:sz w:val="20"/>
        </w:rPr>
        <w:t>and </w:t>
      </w:r>
      <w:r>
        <w:rPr>
          <w:rFonts w:ascii="Verdana"/>
          <w:spacing w:val="-2"/>
          <w:sz w:val="20"/>
        </w:rPr>
        <w:t>issues.</w:t>
      </w:r>
    </w:p>
    <w:p>
      <w:pPr>
        <w:spacing w:before="193"/>
        <w:ind w:left="0" w:right="716" w:firstLine="0"/>
        <w:jc w:val="center"/>
        <w:rPr>
          <w:rFonts w:ascii="Verdana"/>
          <w:sz w:val="20"/>
        </w:rPr>
      </w:pPr>
      <w:r>
        <w:rPr/>
        <w:br w:type="column"/>
      </w:r>
      <w:r>
        <w:rPr>
          <w:rFonts w:ascii="Verdana"/>
          <w:sz w:val="20"/>
        </w:rPr>
        <w:t>1,</w:t>
      </w:r>
      <w:r>
        <w:rPr>
          <w:rFonts w:ascii="Verdana"/>
          <w:spacing w:val="-4"/>
          <w:sz w:val="20"/>
        </w:rPr>
        <w:t> </w:t>
      </w:r>
      <w:r>
        <w:rPr>
          <w:rFonts w:ascii="Verdana"/>
          <w:sz w:val="20"/>
        </w:rPr>
        <w:t>2,</w:t>
      </w:r>
      <w:r>
        <w:rPr>
          <w:rFonts w:ascii="Verdana"/>
          <w:spacing w:val="-4"/>
          <w:sz w:val="20"/>
        </w:rPr>
        <w:t> </w:t>
      </w:r>
      <w:r>
        <w:rPr>
          <w:rFonts w:ascii="Verdana"/>
          <w:spacing w:val="-10"/>
          <w:sz w:val="20"/>
        </w:rPr>
        <w:t>3</w:t>
      </w:r>
    </w:p>
    <w:p>
      <w:pPr>
        <w:pStyle w:val="BodyText"/>
        <w:spacing w:before="130"/>
        <w:rPr>
          <w:rFonts w:ascii="Verdana"/>
          <w:sz w:val="20"/>
        </w:rPr>
      </w:pPr>
    </w:p>
    <w:p>
      <w:pPr>
        <w:spacing w:before="0"/>
        <w:ind w:left="0" w:right="716" w:firstLine="0"/>
        <w:jc w:val="center"/>
        <w:rPr>
          <w:rFonts w:ascii="Verdana"/>
          <w:sz w:val="20"/>
        </w:rPr>
      </w:pPr>
      <w:r>
        <w:rPr>
          <w:rFonts w:ascii="Verdana"/>
          <w:spacing w:val="-10"/>
          <w:sz w:val="20"/>
        </w:rPr>
        <w:t>3</w:t>
      </w:r>
    </w:p>
    <w:p>
      <w:pPr>
        <w:pStyle w:val="BodyText"/>
        <w:rPr>
          <w:rFonts w:ascii="Verdana"/>
          <w:sz w:val="20"/>
        </w:rPr>
      </w:pPr>
    </w:p>
    <w:p>
      <w:pPr>
        <w:pStyle w:val="BodyText"/>
        <w:spacing w:before="5"/>
        <w:rPr>
          <w:rFonts w:ascii="Verdana"/>
          <w:sz w:val="20"/>
        </w:rPr>
      </w:pPr>
    </w:p>
    <w:p>
      <w:pPr>
        <w:spacing w:before="0"/>
        <w:ind w:left="0" w:right="716" w:firstLine="0"/>
        <w:jc w:val="center"/>
        <w:rPr>
          <w:rFonts w:ascii="Verdana"/>
          <w:sz w:val="20"/>
        </w:rPr>
      </w:pPr>
      <w:r>
        <w:rPr>
          <w:rFonts w:ascii="Verdana"/>
          <w:spacing w:val="-10"/>
          <w:sz w:val="20"/>
        </w:rPr>
        <w:t>4</w:t>
      </w:r>
    </w:p>
    <w:p>
      <w:pPr>
        <w:spacing w:after="0"/>
        <w:jc w:val="center"/>
        <w:rPr>
          <w:rFonts w:ascii="Verdana"/>
          <w:sz w:val="20"/>
        </w:rPr>
        <w:sectPr>
          <w:type w:val="continuous"/>
          <w:pgSz w:w="16840" w:h="11910" w:orient="landscape"/>
          <w:pgMar w:header="0" w:footer="0" w:top="760" w:bottom="280" w:left="141" w:right="141"/>
          <w:cols w:num="2" w:equalWidth="0">
            <w:col w:w="13745" w:space="487"/>
            <w:col w:w="2326"/>
          </w:cols>
        </w:sectPr>
      </w:pPr>
    </w:p>
    <w:p>
      <w:pPr>
        <w:pStyle w:val="BodyText"/>
        <w:rPr>
          <w:rFonts w:ascii="Verdana"/>
        </w:rPr>
      </w:pPr>
    </w:p>
    <w:p>
      <w:pPr>
        <w:pStyle w:val="BodyText"/>
        <w:spacing w:before="35"/>
        <w:rPr>
          <w:rFonts w:ascii="Verdana"/>
        </w:rPr>
      </w:pPr>
    </w:p>
    <w:p>
      <w:pPr>
        <w:pStyle w:val="BodyText"/>
        <w:tabs>
          <w:tab w:pos="7719" w:val="left" w:leader="none"/>
          <w:tab w:pos="12873" w:val="left" w:leader="none"/>
        </w:tabs>
        <w:ind w:left="1606"/>
        <w:rPr>
          <w:rFonts w:ascii="Verdana"/>
        </w:rPr>
      </w:pPr>
      <w:r>
        <w:rPr>
          <w:rFonts w:ascii="Verdana"/>
          <w:color w:val="001F5F"/>
        </w:rPr>
        <w:t>Management</w:t>
      </w:r>
      <w:r>
        <w:rPr>
          <w:rFonts w:ascii="Verdana"/>
          <w:color w:val="001F5F"/>
          <w:spacing w:val="-6"/>
        </w:rPr>
        <w:t> </w:t>
      </w:r>
      <w:r>
        <w:rPr>
          <w:rFonts w:ascii="Verdana"/>
          <w:color w:val="001F5F"/>
          <w:spacing w:val="-2"/>
        </w:rPr>
        <w:t>Actions</w:t>
      </w:r>
      <w:r>
        <w:rPr>
          <w:rFonts w:ascii="Verdana"/>
          <w:color w:val="001F5F"/>
        </w:rPr>
        <w:tab/>
      </w:r>
      <w:r>
        <w:rPr>
          <w:rFonts w:ascii="Verdana"/>
          <w:color w:val="001F5F"/>
          <w:spacing w:val="-2"/>
        </w:rPr>
        <w:t>Themes</w:t>
      </w:r>
      <w:r>
        <w:rPr>
          <w:rFonts w:ascii="Verdana"/>
          <w:color w:val="001F5F"/>
        </w:rPr>
        <w:tab/>
        <w:t>Risk</w:t>
      </w:r>
      <w:r>
        <w:rPr>
          <w:rFonts w:ascii="Verdana"/>
          <w:color w:val="001F5F"/>
          <w:spacing w:val="-4"/>
        </w:rPr>
        <w:t> </w:t>
      </w:r>
      <w:r>
        <w:rPr>
          <w:rFonts w:ascii="Verdana"/>
          <w:color w:val="001F5F"/>
          <w:spacing w:val="-2"/>
        </w:rPr>
        <w:t>Types</w:t>
      </w:r>
    </w:p>
    <w:p>
      <w:pPr>
        <w:pStyle w:val="BodyText"/>
        <w:spacing w:before="59"/>
        <w:rPr>
          <w:rFonts w:ascii="Verdana"/>
          <w:sz w:val="20"/>
        </w:rPr>
      </w:pPr>
    </w:p>
    <w:p>
      <w:pPr>
        <w:pStyle w:val="BodyText"/>
        <w:spacing w:after="0"/>
        <w:rPr>
          <w:rFonts w:ascii="Verdana"/>
          <w:sz w:val="20"/>
        </w:rPr>
        <w:sectPr>
          <w:type w:val="continuous"/>
          <w:pgSz w:w="16840" w:h="11910" w:orient="landscape"/>
          <w:pgMar w:header="0" w:footer="0" w:top="760" w:bottom="280" w:left="141" w:right="141"/>
        </w:sectPr>
      </w:pPr>
    </w:p>
    <w:p>
      <w:pPr>
        <w:spacing w:before="100"/>
        <w:ind w:left="2809" w:right="0" w:firstLine="0"/>
        <w:jc w:val="left"/>
        <w:rPr>
          <w:rFonts w:ascii="Verdana"/>
          <w:b/>
          <w:sz w:val="24"/>
        </w:rPr>
      </w:pPr>
      <w:r>
        <w:rPr>
          <w:rFonts w:ascii="Verdana"/>
          <w:b/>
          <w:color w:val="FFFFFF"/>
          <w:spacing w:val="-10"/>
          <w:sz w:val="24"/>
        </w:rPr>
        <w:t>4</w:t>
      </w:r>
    </w:p>
    <w:p>
      <w:pPr>
        <w:spacing w:before="6"/>
        <w:ind w:left="8704" w:right="0" w:firstLine="0"/>
        <w:jc w:val="left"/>
        <w:rPr>
          <w:rFonts w:ascii="Verdana"/>
          <w:sz w:val="16"/>
        </w:rPr>
      </w:pPr>
      <w:r>
        <w:rPr>
          <w:rFonts w:ascii="Verdana"/>
          <w:color w:val="404040"/>
          <w:spacing w:val="-2"/>
          <w:sz w:val="16"/>
        </w:rPr>
        <w:t>Governance</w:t>
      </w:r>
    </w:p>
    <w:p>
      <w:pPr>
        <w:spacing w:before="193"/>
        <w:ind w:left="2771" w:right="0" w:firstLine="0"/>
        <w:jc w:val="center"/>
        <w:rPr>
          <w:rFonts w:ascii="Verdana"/>
          <w:b/>
          <w:sz w:val="20"/>
        </w:rPr>
      </w:pPr>
      <w:r>
        <w:rPr>
          <w:rFonts w:ascii="Verdana"/>
          <w:b/>
          <w:color w:val="FFFFFF"/>
          <w:spacing w:val="-10"/>
          <w:sz w:val="20"/>
        </w:rPr>
        <w:t>1</w:t>
      </w:r>
    </w:p>
    <w:p>
      <w:pPr>
        <w:pStyle w:val="BodyText"/>
        <w:spacing w:before="5"/>
        <w:rPr>
          <w:rFonts w:ascii="Verdana"/>
          <w:b/>
          <w:sz w:val="20"/>
        </w:rPr>
      </w:pPr>
    </w:p>
    <w:p>
      <w:pPr>
        <w:spacing w:before="0"/>
        <w:ind w:left="8704" w:right="0" w:firstLine="0"/>
        <w:jc w:val="left"/>
        <w:rPr>
          <w:rFonts w:ascii="Verdana"/>
          <w:sz w:val="16"/>
        </w:rPr>
      </w:pPr>
      <w:r>
        <w:rPr>
          <w:rFonts w:ascii="Verdana"/>
          <w:sz w:val="16"/>
        </w:rPr>
        <mc:AlternateContent>
          <mc:Choice Requires="wps">
            <w:drawing>
              <wp:anchor distT="0" distB="0" distL="0" distR="0" allowOverlap="1" layoutInCell="1" locked="0" behindDoc="0" simplePos="0" relativeHeight="15855104">
                <wp:simplePos x="0" y="0"/>
                <wp:positionH relativeFrom="page">
                  <wp:posOffset>5122798</wp:posOffset>
                </wp:positionH>
                <wp:positionV relativeFrom="paragraph">
                  <wp:posOffset>46976</wp:posOffset>
                </wp:positionV>
                <wp:extent cx="90170" cy="154305"/>
                <wp:effectExtent l="0" t="0" r="0" b="0"/>
                <wp:wrapNone/>
                <wp:docPr id="632" name="Textbox 632"/>
                <wp:cNvGraphicFramePr>
                  <a:graphicFrameLocks/>
                </wp:cNvGraphicFramePr>
                <a:graphic>
                  <a:graphicData uri="http://schemas.microsoft.com/office/word/2010/wordprocessingShape">
                    <wps:wsp>
                      <wps:cNvPr id="632" name="Textbox 632"/>
                      <wps:cNvSpPr txBox="1"/>
                      <wps:spPr>
                        <a:xfrm>
                          <a:off x="0" y="0"/>
                          <a:ext cx="90170" cy="154305"/>
                        </a:xfrm>
                        <a:prstGeom prst="rect">
                          <a:avLst/>
                        </a:prstGeom>
                      </wps:spPr>
                      <wps:txbx>
                        <w:txbxContent>
                          <w:p>
                            <w:pPr>
                              <w:spacing w:line="242" w:lineRule="exact" w:before="0"/>
                              <w:ind w:left="0" w:right="0" w:firstLine="0"/>
                              <w:jc w:val="left"/>
                              <w:rPr>
                                <w:rFonts w:ascii="Verdana"/>
                                <w:b/>
                                <w:sz w:val="20"/>
                              </w:rPr>
                            </w:pPr>
                            <w:r>
                              <w:rPr>
                                <w:rFonts w:ascii="Verdana"/>
                                <w:b/>
                                <w:color w:val="FFFFFF"/>
                                <w:spacing w:val="-12"/>
                                <w:sz w:val="20"/>
                              </w:rPr>
                              <w:t>2</w:t>
                            </w:r>
                          </w:p>
                        </w:txbxContent>
                      </wps:txbx>
                      <wps:bodyPr wrap="square" lIns="0" tIns="0" rIns="0" bIns="0" rtlCol="0">
                        <a:noAutofit/>
                      </wps:bodyPr>
                    </wps:wsp>
                  </a:graphicData>
                </a:graphic>
              </wp:anchor>
            </w:drawing>
          </mc:Choice>
          <mc:Fallback>
            <w:pict>
              <v:shape style="position:absolute;margin-left:403.369995pt;margin-top:3.698965pt;width:7.1pt;height:12.15pt;mso-position-horizontal-relative:page;mso-position-vertical-relative:paragraph;z-index:15855104" type="#_x0000_t202" id="docshape395" filled="false" stroked="false">
                <v:textbox inset="0,0,0,0">
                  <w:txbxContent>
                    <w:p>
                      <w:pPr>
                        <w:spacing w:line="242" w:lineRule="exact" w:before="0"/>
                        <w:ind w:left="0" w:right="0" w:firstLine="0"/>
                        <w:jc w:val="left"/>
                        <w:rPr>
                          <w:rFonts w:ascii="Verdana"/>
                          <w:b/>
                          <w:sz w:val="20"/>
                        </w:rPr>
                      </w:pPr>
                      <w:r>
                        <w:rPr>
                          <w:rFonts w:ascii="Verdana"/>
                          <w:b/>
                          <w:color w:val="FFFFFF"/>
                          <w:spacing w:val="-12"/>
                          <w:sz w:val="20"/>
                        </w:rPr>
                        <w:t>2</w:t>
                      </w:r>
                    </w:p>
                  </w:txbxContent>
                </v:textbox>
                <w10:wrap type="none"/>
              </v:shape>
            </w:pict>
          </mc:Fallback>
        </mc:AlternateContent>
      </w:r>
      <w:r>
        <w:rPr>
          <w:rFonts w:ascii="Verdana"/>
          <w:color w:val="404040"/>
          <w:sz w:val="16"/>
        </w:rPr>
        <w:t>Planning,</w:t>
      </w:r>
      <w:r>
        <w:rPr>
          <w:rFonts w:ascii="Verdana"/>
          <w:color w:val="404040"/>
          <w:spacing w:val="-10"/>
          <w:sz w:val="16"/>
        </w:rPr>
        <w:t> </w:t>
      </w:r>
      <w:r>
        <w:rPr>
          <w:rFonts w:ascii="Verdana"/>
          <w:color w:val="404040"/>
          <w:sz w:val="16"/>
        </w:rPr>
        <w:t>Delivery</w:t>
      </w:r>
      <w:r>
        <w:rPr>
          <w:rFonts w:ascii="Verdana"/>
          <w:color w:val="404040"/>
          <w:spacing w:val="-10"/>
          <w:sz w:val="16"/>
        </w:rPr>
        <w:t> &amp;</w:t>
      </w:r>
    </w:p>
    <w:p>
      <w:pPr>
        <w:spacing w:before="1"/>
        <w:ind w:left="8704" w:right="0" w:firstLine="0"/>
        <w:jc w:val="left"/>
        <w:rPr>
          <w:rFonts w:ascii="Verdana"/>
          <w:sz w:val="16"/>
        </w:rPr>
      </w:pPr>
      <w:r>
        <w:rPr>
          <w:rFonts w:ascii="Verdana"/>
          <w:color w:val="404040"/>
          <w:sz w:val="16"/>
        </w:rPr>
        <w:t>Deadline</w:t>
      </w:r>
      <w:r>
        <w:rPr>
          <w:rFonts w:ascii="Verdana"/>
          <w:color w:val="404040"/>
          <w:spacing w:val="-8"/>
          <w:sz w:val="16"/>
        </w:rPr>
        <w:t> </w:t>
      </w:r>
      <w:r>
        <w:rPr>
          <w:rFonts w:ascii="Verdana"/>
          <w:color w:val="404040"/>
          <w:spacing w:val="-2"/>
          <w:sz w:val="16"/>
        </w:rPr>
        <w:t>Management</w:t>
      </w:r>
    </w:p>
    <w:p>
      <w:pPr>
        <w:pStyle w:val="BodyText"/>
        <w:spacing w:before="53"/>
        <w:rPr>
          <w:rFonts w:ascii="Verdana"/>
          <w:sz w:val="16"/>
        </w:rPr>
      </w:pPr>
    </w:p>
    <w:p>
      <w:pPr>
        <w:spacing w:line="243" w:lineRule="exact" w:before="1"/>
        <w:ind w:left="2771" w:right="0" w:firstLine="0"/>
        <w:jc w:val="center"/>
        <w:rPr>
          <w:rFonts w:ascii="Verdana"/>
          <w:b/>
          <w:sz w:val="20"/>
        </w:rPr>
      </w:pPr>
      <w:r>
        <w:rPr>
          <w:rFonts w:ascii="Verdana"/>
          <w:b/>
          <w:color w:val="FFFFFF"/>
          <w:spacing w:val="-10"/>
          <w:sz w:val="20"/>
        </w:rPr>
        <w:t>1</w:t>
      </w:r>
    </w:p>
    <w:p>
      <w:pPr>
        <w:spacing w:line="194" w:lineRule="exact" w:before="0"/>
        <w:ind w:left="8704" w:right="0" w:firstLine="0"/>
        <w:jc w:val="left"/>
        <w:rPr>
          <w:rFonts w:ascii="Verdana"/>
          <w:sz w:val="16"/>
        </w:rPr>
      </w:pPr>
      <w:r>
        <w:rPr>
          <w:rFonts w:ascii="Verdana"/>
          <w:color w:val="404040"/>
          <w:sz w:val="16"/>
        </w:rPr>
        <w:t>Risk</w:t>
      </w:r>
      <w:r>
        <w:rPr>
          <w:rFonts w:ascii="Verdana"/>
          <w:color w:val="404040"/>
          <w:spacing w:val="-5"/>
          <w:sz w:val="16"/>
        </w:rPr>
        <w:t> </w:t>
      </w:r>
      <w:r>
        <w:rPr>
          <w:rFonts w:ascii="Verdana"/>
          <w:color w:val="404040"/>
          <w:spacing w:val="-2"/>
          <w:sz w:val="16"/>
        </w:rPr>
        <w:t>Management</w:t>
      </w:r>
    </w:p>
    <w:p>
      <w:pPr>
        <w:spacing w:before="203"/>
        <w:ind w:left="1053" w:right="0" w:firstLine="0"/>
        <w:jc w:val="left"/>
        <w:rPr>
          <w:rFonts w:ascii="Verdana"/>
          <w:sz w:val="20"/>
        </w:rPr>
      </w:pPr>
      <w:r>
        <w:rPr/>
        <w:br w:type="column"/>
      </w:r>
      <w:r>
        <w:rPr>
          <w:rFonts w:ascii="Verdana"/>
          <w:sz w:val="20"/>
        </w:rPr>
        <w:t>Public</w:t>
      </w:r>
      <w:r>
        <w:rPr>
          <w:rFonts w:ascii="Verdana"/>
          <w:spacing w:val="-10"/>
          <w:sz w:val="20"/>
        </w:rPr>
        <w:t> </w:t>
      </w:r>
      <w:r>
        <w:rPr>
          <w:rFonts w:ascii="Verdana"/>
          <w:sz w:val="20"/>
        </w:rPr>
        <w:t>Perception</w:t>
      </w:r>
      <w:r>
        <w:rPr>
          <w:rFonts w:ascii="Verdana"/>
          <w:spacing w:val="-6"/>
          <w:sz w:val="20"/>
        </w:rPr>
        <w:t> </w:t>
      </w:r>
      <w:r>
        <w:rPr>
          <w:rFonts w:ascii="Verdana"/>
          <w:sz w:val="20"/>
        </w:rPr>
        <w:t>&amp;</w:t>
      </w:r>
      <w:r>
        <w:rPr>
          <w:rFonts w:ascii="Verdana"/>
          <w:spacing w:val="-8"/>
          <w:sz w:val="20"/>
        </w:rPr>
        <w:t> </w:t>
      </w:r>
      <w:r>
        <w:rPr>
          <w:rFonts w:ascii="Verdana"/>
          <w:sz w:val="20"/>
        </w:rPr>
        <w:t>Reputational</w:t>
      </w:r>
      <w:r>
        <w:rPr>
          <w:rFonts w:ascii="Verdana"/>
          <w:spacing w:val="-8"/>
          <w:sz w:val="20"/>
        </w:rPr>
        <w:t> </w:t>
      </w:r>
      <w:r>
        <w:rPr>
          <w:rFonts w:ascii="Verdana"/>
          <w:spacing w:val="-4"/>
          <w:sz w:val="20"/>
        </w:rPr>
        <w:t>Risk</w:t>
      </w:r>
    </w:p>
    <w:p>
      <w:pPr>
        <w:spacing w:line="453" w:lineRule="auto" w:before="238"/>
        <w:ind w:left="2205" w:right="2365" w:firstLine="0"/>
        <w:jc w:val="both"/>
        <w:rPr>
          <w:rFonts w:ascii="Calibri"/>
          <w:sz w:val="22"/>
        </w:rPr>
      </w:pPr>
      <w:r>
        <w:rPr>
          <w:rFonts w:ascii="Calibri"/>
          <w:color w:val="808080"/>
          <w:sz w:val="22"/>
        </w:rPr>
        <w:t>Choose</w:t>
      </w:r>
      <w:r>
        <w:rPr>
          <w:rFonts w:ascii="Calibri"/>
          <w:color w:val="808080"/>
          <w:spacing w:val="-13"/>
          <w:sz w:val="22"/>
        </w:rPr>
        <w:t> </w:t>
      </w:r>
      <w:r>
        <w:rPr>
          <w:rFonts w:ascii="Calibri"/>
          <w:color w:val="808080"/>
          <w:sz w:val="22"/>
        </w:rPr>
        <w:t>an</w:t>
      </w:r>
      <w:r>
        <w:rPr>
          <w:rFonts w:ascii="Calibri"/>
          <w:color w:val="808080"/>
          <w:spacing w:val="-12"/>
          <w:sz w:val="22"/>
        </w:rPr>
        <w:t> </w:t>
      </w:r>
      <w:r>
        <w:rPr>
          <w:rFonts w:ascii="Calibri"/>
          <w:color w:val="808080"/>
          <w:sz w:val="22"/>
        </w:rPr>
        <w:t>item. Choose</w:t>
      </w:r>
      <w:r>
        <w:rPr>
          <w:rFonts w:ascii="Calibri"/>
          <w:color w:val="808080"/>
          <w:spacing w:val="-13"/>
          <w:sz w:val="22"/>
        </w:rPr>
        <w:t> </w:t>
      </w:r>
      <w:r>
        <w:rPr>
          <w:rFonts w:ascii="Calibri"/>
          <w:color w:val="808080"/>
          <w:sz w:val="22"/>
        </w:rPr>
        <w:t>an</w:t>
      </w:r>
      <w:r>
        <w:rPr>
          <w:rFonts w:ascii="Calibri"/>
          <w:color w:val="808080"/>
          <w:spacing w:val="-12"/>
          <w:sz w:val="22"/>
        </w:rPr>
        <w:t> </w:t>
      </w:r>
      <w:r>
        <w:rPr>
          <w:rFonts w:ascii="Calibri"/>
          <w:color w:val="808080"/>
          <w:sz w:val="22"/>
        </w:rPr>
        <w:t>item. Choose</w:t>
      </w:r>
      <w:r>
        <w:rPr>
          <w:rFonts w:ascii="Calibri"/>
          <w:color w:val="808080"/>
          <w:spacing w:val="-3"/>
          <w:sz w:val="22"/>
        </w:rPr>
        <w:t> </w:t>
      </w:r>
      <w:r>
        <w:rPr>
          <w:rFonts w:ascii="Calibri"/>
          <w:color w:val="808080"/>
          <w:sz w:val="22"/>
        </w:rPr>
        <w:t>an</w:t>
      </w:r>
      <w:r>
        <w:rPr>
          <w:rFonts w:ascii="Calibri"/>
          <w:color w:val="808080"/>
          <w:spacing w:val="-2"/>
          <w:sz w:val="22"/>
        </w:rPr>
        <w:t> item.</w:t>
      </w:r>
    </w:p>
    <w:p>
      <w:pPr>
        <w:spacing w:after="0" w:line="453" w:lineRule="auto"/>
        <w:jc w:val="both"/>
        <w:rPr>
          <w:rFonts w:ascii="Calibri"/>
          <w:sz w:val="22"/>
        </w:rPr>
        <w:sectPr>
          <w:type w:val="continuous"/>
          <w:pgSz w:w="16840" w:h="11910" w:orient="landscape"/>
          <w:pgMar w:header="0" w:footer="0" w:top="760" w:bottom="280" w:left="141" w:right="141"/>
          <w:cols w:num="2" w:equalWidth="0">
            <w:col w:w="10497" w:space="40"/>
            <w:col w:w="6021"/>
          </w:cols>
        </w:sectPr>
      </w:pPr>
    </w:p>
    <w:p>
      <w:pPr>
        <w:pStyle w:val="BodyText"/>
        <w:rPr>
          <w:rFonts w:ascii="Calibri"/>
          <w:sz w:val="20"/>
        </w:rPr>
      </w:pPr>
      <w:r>
        <w:rPr>
          <w:rFonts w:ascii="Calibri"/>
          <w:sz w:val="20"/>
        </w:rPr>
        <mc:AlternateContent>
          <mc:Choice Requires="wps">
            <w:drawing>
              <wp:anchor distT="0" distB="0" distL="0" distR="0" allowOverlap="1" layoutInCell="1" locked="0" behindDoc="1" simplePos="0" relativeHeight="477207040">
                <wp:simplePos x="0" y="0"/>
                <wp:positionH relativeFrom="page">
                  <wp:posOffset>0</wp:posOffset>
                </wp:positionH>
                <wp:positionV relativeFrom="page">
                  <wp:posOffset>0</wp:posOffset>
                </wp:positionV>
                <wp:extent cx="10694035" cy="7562215"/>
                <wp:effectExtent l="0" t="0" r="0" b="0"/>
                <wp:wrapNone/>
                <wp:docPr id="633" name="Graphic 633"/>
                <wp:cNvGraphicFramePr>
                  <a:graphicFrameLocks/>
                </wp:cNvGraphicFramePr>
                <a:graphic>
                  <a:graphicData uri="http://schemas.microsoft.com/office/word/2010/wordprocessingShape">
                    <wps:wsp>
                      <wps:cNvPr id="633" name="Graphic 633"/>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109440" id="docshape396" filled="true" fillcolor="#eff5f9" stroked="false">
                <v:fill type="solid"/>
                <w10:wrap type="none"/>
              </v:rect>
            </w:pict>
          </mc:Fallback>
        </mc:AlternateContent>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166"/>
        <w:rPr>
          <w:rFonts w:ascii="Calibri"/>
          <w:sz w:val="20"/>
        </w:rPr>
      </w:pPr>
    </w:p>
    <w:p>
      <w:pPr>
        <w:spacing w:line="20" w:lineRule="exact"/>
        <w:ind w:left="15715" w:right="0" w:firstLine="0"/>
        <w:rPr>
          <w:rFonts w:ascii="Calibri"/>
          <w:sz w:val="2"/>
        </w:rPr>
      </w:pPr>
      <w:r>
        <w:rPr>
          <w:rFonts w:ascii="Calibri"/>
          <w:sz w:val="2"/>
        </w:rPr>
        <mc:AlternateContent>
          <mc:Choice Requires="wps">
            <w:drawing>
              <wp:inline distT="0" distB="0" distL="0" distR="0">
                <wp:extent cx="419734" cy="6350"/>
                <wp:effectExtent l="0" t="0" r="0" b="0"/>
                <wp:docPr id="634" name="Group 634"/>
                <wp:cNvGraphicFramePr>
                  <a:graphicFrameLocks/>
                </wp:cNvGraphicFramePr>
                <a:graphic>
                  <a:graphicData uri="http://schemas.microsoft.com/office/word/2010/wordprocessingGroup">
                    <wpg:wgp>
                      <wpg:cNvPr id="634" name="Group 634"/>
                      <wpg:cNvGrpSpPr/>
                      <wpg:grpSpPr>
                        <a:xfrm>
                          <a:off x="0" y="0"/>
                          <a:ext cx="419734" cy="6350"/>
                          <a:chExt cx="419734" cy="6350"/>
                        </a:xfrm>
                      </wpg:grpSpPr>
                      <wps:wsp>
                        <wps:cNvPr id="635" name="Graphic 635"/>
                        <wps:cNvSpPr/>
                        <wps:spPr>
                          <a:xfrm>
                            <a:off x="0" y="0"/>
                            <a:ext cx="419734" cy="6350"/>
                          </a:xfrm>
                          <a:custGeom>
                            <a:avLst/>
                            <a:gdLst/>
                            <a:ahLst/>
                            <a:cxnLst/>
                            <a:rect l="l" t="t" r="r" b="b"/>
                            <a:pathLst>
                              <a:path w="419734" h="6350">
                                <a:moveTo>
                                  <a:pt x="419404" y="0"/>
                                </a:moveTo>
                                <a:lnTo>
                                  <a:pt x="0" y="0"/>
                                </a:lnTo>
                                <a:lnTo>
                                  <a:pt x="0" y="6096"/>
                                </a:lnTo>
                                <a:lnTo>
                                  <a:pt x="419404" y="6096"/>
                                </a:lnTo>
                                <a:lnTo>
                                  <a:pt x="419404"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style="width:33.050pt;height:.5pt;mso-position-horizontal-relative:char;mso-position-vertical-relative:line" id="docshapegroup397" coordorigin="0,0" coordsize="661,10">
                <v:rect style="position:absolute;left:0;top:0;width:661;height:10" id="docshape398" filled="true" fillcolor="#7e7e7e" stroked="false">
                  <v:fill type="solid"/>
                </v:rect>
              </v:group>
            </w:pict>
          </mc:Fallback>
        </mc:AlternateContent>
      </w:r>
      <w:r>
        <w:rPr>
          <w:rFonts w:ascii="Calibri"/>
          <w:sz w:val="2"/>
        </w:rPr>
      </w:r>
    </w:p>
    <w:p>
      <w:pPr>
        <w:spacing w:before="8"/>
        <w:ind w:left="0" w:right="453" w:firstLine="0"/>
        <w:jc w:val="right"/>
        <w:rPr>
          <w:rFonts w:ascii="Calibri"/>
          <w:b/>
          <w:sz w:val="22"/>
        </w:rPr>
      </w:pPr>
      <w:r>
        <w:rPr>
          <w:rFonts w:ascii="Calibri"/>
          <w:b/>
          <w:sz w:val="22"/>
        </w:rPr>
        <mc:AlternateContent>
          <mc:Choice Requires="wps">
            <w:drawing>
              <wp:anchor distT="0" distB="0" distL="0" distR="0" allowOverlap="1" layoutInCell="1" locked="0" behindDoc="0" simplePos="0" relativeHeight="15854592">
                <wp:simplePos x="0" y="0"/>
                <wp:positionH relativeFrom="page">
                  <wp:posOffset>4918493</wp:posOffset>
                </wp:positionH>
                <wp:positionV relativeFrom="paragraph">
                  <wp:posOffset>-24855</wp:posOffset>
                </wp:positionV>
                <wp:extent cx="855980" cy="193040"/>
                <wp:effectExtent l="0" t="0" r="0" b="0"/>
                <wp:wrapNone/>
                <wp:docPr id="636" name="Group 636"/>
                <wp:cNvGraphicFramePr>
                  <a:graphicFrameLocks/>
                </wp:cNvGraphicFramePr>
                <a:graphic>
                  <a:graphicData uri="http://schemas.microsoft.com/office/word/2010/wordprocessingGroup">
                    <wpg:wgp>
                      <wpg:cNvPr id="636" name="Group 636"/>
                      <wpg:cNvGrpSpPr/>
                      <wpg:grpSpPr>
                        <a:xfrm>
                          <a:off x="0" y="0"/>
                          <a:ext cx="855980" cy="193040"/>
                          <a:chExt cx="855980" cy="193040"/>
                        </a:xfrm>
                      </wpg:grpSpPr>
                      <pic:pic>
                        <pic:nvPicPr>
                          <pic:cNvPr id="637" name="Image 637"/>
                          <pic:cNvPicPr/>
                        </pic:nvPicPr>
                        <pic:blipFill>
                          <a:blip r:embed="rId23" cstate="print"/>
                          <a:stretch>
                            <a:fillRect/>
                          </a:stretch>
                        </pic:blipFill>
                        <pic:spPr>
                          <a:xfrm>
                            <a:off x="0" y="0"/>
                            <a:ext cx="855390" cy="192463"/>
                          </a:xfrm>
                          <a:prstGeom prst="rect">
                            <a:avLst/>
                          </a:prstGeom>
                        </pic:spPr>
                      </pic:pic>
                      <wps:wsp>
                        <wps:cNvPr id="638" name="Textbox 638"/>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176</w:t>
                              </w:r>
                            </w:p>
                          </w:txbxContent>
                        </wps:txbx>
                        <wps:bodyPr wrap="square" lIns="0" tIns="0" rIns="0" bIns="0" rtlCol="0">
                          <a:noAutofit/>
                        </wps:bodyPr>
                      </wps:wsp>
                    </wpg:wgp>
                  </a:graphicData>
                </a:graphic>
              </wp:anchor>
            </w:drawing>
          </mc:Choice>
          <mc:Fallback>
            <w:pict>
              <v:group style="position:absolute;margin-left:387.28299pt;margin-top:-1.95712pt;width:67.4pt;height:15.2pt;mso-position-horizontal-relative:page;mso-position-vertical-relative:paragraph;z-index:15854592" id="docshapegroup399" coordorigin="7746,-39" coordsize="1348,304">
                <v:shape style="position:absolute;left:7745;top:-40;width:1348;height:304" type="#_x0000_t75" id="docshape400" stroked="false">
                  <v:imagedata r:id="rId23" o:title=""/>
                </v:shape>
                <v:shape style="position:absolute;left:7745;top:-40;width:1348;height:304" type="#_x0000_t202" id="docshape401" filled="false" stroked="false">
                  <v:textbox inset="0,0,0,0">
                    <w:txbxContent>
                      <w:p>
                        <w:pPr>
                          <w:spacing w:before="106"/>
                          <w:ind w:left="337" w:right="0" w:firstLine="0"/>
                          <w:jc w:val="left"/>
                          <w:rPr>
                            <w:sz w:val="15"/>
                          </w:rPr>
                        </w:pPr>
                        <w:r>
                          <w:rPr>
                            <w:w w:val="105"/>
                            <w:sz w:val="15"/>
                          </w:rPr>
                          <w:t>Page</w:t>
                        </w:r>
                        <w:r>
                          <w:rPr>
                            <w:spacing w:val="-5"/>
                            <w:w w:val="105"/>
                            <w:sz w:val="15"/>
                          </w:rPr>
                          <w:t> 176</w:t>
                        </w:r>
                      </w:p>
                    </w:txbxContent>
                  </v:textbox>
                  <w10:wrap type="none"/>
                </v:shape>
                <w10:wrap type="none"/>
              </v:group>
            </w:pict>
          </mc:Fallback>
        </mc:AlternateContent>
      </w:r>
      <w:r>
        <w:rPr>
          <w:rFonts w:ascii="Calibri"/>
          <w:b/>
          <w:color w:val="001F5F"/>
          <w:spacing w:val="-10"/>
          <w:sz w:val="22"/>
        </w:rPr>
        <w:t>2</w:t>
      </w:r>
    </w:p>
    <w:p>
      <w:pPr>
        <w:spacing w:after="0"/>
        <w:jc w:val="right"/>
        <w:rPr>
          <w:rFonts w:ascii="Calibri"/>
          <w:b/>
          <w:sz w:val="22"/>
        </w:rPr>
        <w:sectPr>
          <w:type w:val="continuous"/>
          <w:pgSz w:w="16840" w:h="11910" w:orient="landscape"/>
          <w:pgMar w:header="0" w:footer="0" w:top="760" w:bottom="280" w:left="141" w:right="141"/>
        </w:sectPr>
      </w:pPr>
    </w:p>
    <w:p>
      <w:pPr>
        <w:spacing w:before="79"/>
        <w:ind w:left="151" w:right="0" w:firstLine="0"/>
        <w:jc w:val="left"/>
        <w:rPr>
          <w:rFonts w:ascii="Verdana"/>
          <w:sz w:val="36"/>
        </w:rPr>
      </w:pPr>
      <w:r>
        <w:rPr>
          <w:rFonts w:ascii="Verdana"/>
          <w:sz w:val="36"/>
        </w:rPr>
        <mc:AlternateContent>
          <mc:Choice Requires="wps">
            <w:drawing>
              <wp:anchor distT="0" distB="0" distL="0" distR="0" allowOverlap="1" layoutInCell="1" locked="0" behindDoc="1" simplePos="0" relativeHeight="477210112">
                <wp:simplePos x="0" y="0"/>
                <wp:positionH relativeFrom="page">
                  <wp:posOffset>0</wp:posOffset>
                </wp:positionH>
                <wp:positionV relativeFrom="page">
                  <wp:posOffset>0</wp:posOffset>
                </wp:positionV>
                <wp:extent cx="10694035" cy="7562215"/>
                <wp:effectExtent l="0" t="0" r="0" b="0"/>
                <wp:wrapNone/>
                <wp:docPr id="639" name="Graphic 639"/>
                <wp:cNvGraphicFramePr>
                  <a:graphicFrameLocks/>
                </wp:cNvGraphicFramePr>
                <a:graphic>
                  <a:graphicData uri="http://schemas.microsoft.com/office/word/2010/wordprocessingShape">
                    <wps:wsp>
                      <wps:cNvPr id="639" name="Graphic 639"/>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106368" id="docshape402" filled="true" fillcolor="#eff5f9" stroked="false">
                <v:fill type="solid"/>
                <w10:wrap type="none"/>
              </v:rect>
            </w:pict>
          </mc:Fallback>
        </mc:AlternateContent>
      </w:r>
      <w:r>
        <w:rPr>
          <w:rFonts w:ascii="Verdana"/>
          <w:color w:val="001F5F"/>
          <w:sz w:val="36"/>
        </w:rPr>
        <w:t>Findings</w:t>
      </w:r>
      <w:r>
        <w:rPr>
          <w:rFonts w:ascii="Verdana"/>
          <w:color w:val="001F5F"/>
          <w:spacing w:val="-2"/>
          <w:sz w:val="36"/>
        </w:rPr>
        <w:t> </w:t>
      </w:r>
      <w:r>
        <w:rPr>
          <w:rFonts w:ascii="Verdana"/>
          <w:color w:val="001F5F"/>
          <w:sz w:val="36"/>
        </w:rPr>
        <w:t>&amp;</w:t>
      </w:r>
      <w:r>
        <w:rPr>
          <w:rFonts w:ascii="Verdana"/>
          <w:color w:val="001F5F"/>
          <w:spacing w:val="-2"/>
          <w:sz w:val="36"/>
        </w:rPr>
        <w:t> </w:t>
      </w:r>
      <w:r>
        <w:rPr>
          <w:rFonts w:ascii="Verdana"/>
          <w:color w:val="001F5F"/>
          <w:sz w:val="36"/>
        </w:rPr>
        <w:t>Agreed</w:t>
      </w:r>
      <w:r>
        <w:rPr>
          <w:rFonts w:ascii="Verdana"/>
          <w:color w:val="001F5F"/>
          <w:spacing w:val="-1"/>
          <w:sz w:val="36"/>
        </w:rPr>
        <w:t> </w:t>
      </w:r>
      <w:r>
        <w:rPr>
          <w:rFonts w:ascii="Verdana"/>
          <w:color w:val="001F5F"/>
          <w:spacing w:val="-2"/>
          <w:sz w:val="36"/>
        </w:rPr>
        <w:t>Actions</w:t>
      </w:r>
    </w:p>
    <w:p>
      <w:pPr>
        <w:pStyle w:val="BodyText"/>
        <w:spacing w:before="5"/>
        <w:rPr>
          <w:rFonts w:ascii="Verdana"/>
          <w:sz w:val="22"/>
        </w:rPr>
      </w:pPr>
    </w:p>
    <w:p>
      <w:pPr>
        <w:spacing w:before="0"/>
        <w:ind w:left="255" w:right="351" w:firstLine="0"/>
        <w:jc w:val="both"/>
        <w:rPr>
          <w:rFonts w:ascii="Verdana"/>
          <w:b/>
          <w:sz w:val="22"/>
        </w:rPr>
      </w:pPr>
      <w:r>
        <w:rPr>
          <w:rFonts w:ascii="Verdana"/>
          <w:b/>
          <w:sz w:val="22"/>
        </w:rPr>
        <mc:AlternateContent>
          <mc:Choice Requires="wps">
            <w:drawing>
              <wp:anchor distT="0" distB="0" distL="0" distR="0" allowOverlap="1" layoutInCell="1" locked="0" behindDoc="1" simplePos="0" relativeHeight="477210624">
                <wp:simplePos x="0" y="0"/>
                <wp:positionH relativeFrom="page">
                  <wp:posOffset>182879</wp:posOffset>
                </wp:positionH>
                <wp:positionV relativeFrom="paragraph">
                  <wp:posOffset>-75801</wp:posOffset>
                </wp:positionV>
                <wp:extent cx="10269220" cy="5594350"/>
                <wp:effectExtent l="0" t="0" r="0" b="0"/>
                <wp:wrapNone/>
                <wp:docPr id="640" name="Group 640"/>
                <wp:cNvGraphicFramePr>
                  <a:graphicFrameLocks/>
                </wp:cNvGraphicFramePr>
                <a:graphic>
                  <a:graphicData uri="http://schemas.microsoft.com/office/word/2010/wordprocessingGroup">
                    <wpg:wgp>
                      <wpg:cNvPr id="640" name="Group 640"/>
                      <wpg:cNvGrpSpPr/>
                      <wpg:grpSpPr>
                        <a:xfrm>
                          <a:off x="0" y="0"/>
                          <a:ext cx="10269220" cy="5594350"/>
                          <a:chExt cx="10269220" cy="5594350"/>
                        </a:xfrm>
                      </wpg:grpSpPr>
                      <wps:wsp>
                        <wps:cNvPr id="641" name="Graphic 641"/>
                        <wps:cNvSpPr/>
                        <wps:spPr>
                          <a:xfrm>
                            <a:off x="0" y="0"/>
                            <a:ext cx="10269220" cy="492759"/>
                          </a:xfrm>
                          <a:custGeom>
                            <a:avLst/>
                            <a:gdLst/>
                            <a:ahLst/>
                            <a:cxnLst/>
                            <a:rect l="l" t="t" r="r" b="b"/>
                            <a:pathLst>
                              <a:path w="10269220" h="492759">
                                <a:moveTo>
                                  <a:pt x="10268712" y="0"/>
                                </a:moveTo>
                                <a:lnTo>
                                  <a:pt x="0" y="0"/>
                                </a:lnTo>
                                <a:lnTo>
                                  <a:pt x="0" y="492556"/>
                                </a:lnTo>
                                <a:lnTo>
                                  <a:pt x="10268712" y="492556"/>
                                </a:lnTo>
                                <a:lnTo>
                                  <a:pt x="10268712" y="0"/>
                                </a:lnTo>
                                <a:close/>
                              </a:path>
                            </a:pathLst>
                          </a:custGeom>
                          <a:solidFill>
                            <a:srgbClr val="001F5F"/>
                          </a:solidFill>
                        </wps:spPr>
                        <wps:bodyPr wrap="square" lIns="0" tIns="0" rIns="0" bIns="0" rtlCol="0">
                          <a:prstTxWarp prst="textNoShape">
                            <a:avLst/>
                          </a:prstTxWarp>
                          <a:noAutofit/>
                        </wps:bodyPr>
                      </wps:wsp>
                      <wps:wsp>
                        <wps:cNvPr id="642" name="Graphic 642"/>
                        <wps:cNvSpPr/>
                        <wps:spPr>
                          <a:xfrm>
                            <a:off x="0" y="492633"/>
                            <a:ext cx="10269220" cy="5102225"/>
                          </a:xfrm>
                          <a:custGeom>
                            <a:avLst/>
                            <a:gdLst/>
                            <a:ahLst/>
                            <a:cxnLst/>
                            <a:rect l="l" t="t" r="r" b="b"/>
                            <a:pathLst>
                              <a:path w="10269220" h="5102225">
                                <a:moveTo>
                                  <a:pt x="10268712" y="0"/>
                                </a:moveTo>
                                <a:lnTo>
                                  <a:pt x="0" y="0"/>
                                </a:lnTo>
                                <a:lnTo>
                                  <a:pt x="0" y="5101717"/>
                                </a:lnTo>
                                <a:lnTo>
                                  <a:pt x="10268712" y="5101717"/>
                                </a:lnTo>
                                <a:lnTo>
                                  <a:pt x="1026871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4.4pt;margin-top:-5.968629pt;width:808.6pt;height:440.5pt;mso-position-horizontal-relative:page;mso-position-vertical-relative:paragraph;z-index:-26105856" id="docshapegroup403" coordorigin="288,-119" coordsize="16172,8810">
                <v:rect style="position:absolute;left:288;top:-120;width:16172;height:776" id="docshape404" filled="true" fillcolor="#001f5f" stroked="false">
                  <v:fill type="solid"/>
                </v:rect>
                <v:rect style="position:absolute;left:288;top:656;width:16172;height:8035" id="docshape405" filled="true" fillcolor="#ffffff" stroked="false">
                  <v:fill type="solid"/>
                </v:rect>
                <w10:wrap type="none"/>
              </v:group>
            </w:pict>
          </mc:Fallback>
        </mc:AlternateContent>
      </w:r>
      <w:r>
        <w:rPr>
          <w:rFonts w:ascii="Verdana"/>
          <w:b/>
          <w:color w:val="FFFFFF"/>
          <w:sz w:val="22"/>
        </w:rPr>
        <w:t>Objective 1: The Regional Joint Committee has a clearly defined and approved governance structure, supported by terms of reference and work programmes aligned to its purpose and objectives.</w:t>
      </w:r>
    </w:p>
    <w:p>
      <w:pPr>
        <w:spacing w:before="241"/>
        <w:ind w:left="255" w:right="0" w:firstLine="0"/>
        <w:jc w:val="both"/>
        <w:rPr>
          <w:rFonts w:ascii="Verdana"/>
          <w:b/>
          <w:sz w:val="22"/>
        </w:rPr>
      </w:pPr>
      <w:r>
        <w:rPr>
          <w:rFonts w:ascii="Verdana"/>
          <w:b/>
          <w:sz w:val="22"/>
        </w:rPr>
        <w:t>Terms</w:t>
      </w:r>
      <w:r>
        <w:rPr>
          <w:rFonts w:ascii="Verdana"/>
          <w:b/>
          <w:spacing w:val="-4"/>
          <w:sz w:val="22"/>
        </w:rPr>
        <w:t> </w:t>
      </w:r>
      <w:r>
        <w:rPr>
          <w:rFonts w:ascii="Verdana"/>
          <w:b/>
          <w:sz w:val="22"/>
        </w:rPr>
        <w:t>of</w:t>
      </w:r>
      <w:r>
        <w:rPr>
          <w:rFonts w:ascii="Verdana"/>
          <w:b/>
          <w:spacing w:val="-4"/>
          <w:sz w:val="22"/>
        </w:rPr>
        <w:t> </w:t>
      </w:r>
      <w:r>
        <w:rPr>
          <w:rFonts w:ascii="Verdana"/>
          <w:b/>
          <w:spacing w:val="-2"/>
          <w:sz w:val="22"/>
        </w:rPr>
        <w:t>Reference</w:t>
      </w:r>
    </w:p>
    <w:p>
      <w:pPr>
        <w:spacing w:before="119"/>
        <w:ind w:left="255" w:right="345" w:firstLine="0"/>
        <w:jc w:val="both"/>
        <w:rPr>
          <w:rFonts w:ascii="Verdana"/>
          <w:sz w:val="22"/>
        </w:rPr>
      </w:pPr>
      <w:r>
        <w:rPr>
          <w:rFonts w:ascii="Verdana"/>
          <w:sz w:val="22"/>
        </w:rPr>
        <w:t>The RJC has been formally established in line with ministerial direction issued in March 2024 and is intended to operate at a level equivalent to a Board Assurance Committee within both Health Boards. Its first meeting was held in January 2025. The Committee operates with a clearly articulated purpose and scope, supported by approved Terms of Reference (ToR), which set out its objectives, membership, quorum, meeting arrangements, and reporting lines.</w:t>
      </w:r>
    </w:p>
    <w:p>
      <w:pPr>
        <w:spacing w:before="121"/>
        <w:ind w:left="255" w:right="338" w:firstLine="0"/>
        <w:jc w:val="both"/>
        <w:rPr>
          <w:rFonts w:ascii="Verdana" w:hAnsi="Verdana"/>
          <w:sz w:val="22"/>
        </w:rPr>
      </w:pPr>
      <w:r>
        <w:rPr>
          <w:rFonts w:ascii="Verdana" w:hAnsi="Verdana"/>
          <w:sz w:val="22"/>
        </w:rPr>
        <w:t>The RJC ToR were approved by the respective Health Boards in May 2025, and have been subsequently reviewed in April 2026, which included strengthening self</w:t>
      </w:r>
      <w:r>
        <w:rPr>
          <w:rFonts w:ascii="Cambria Math" w:hAnsi="Cambria Math"/>
          <w:sz w:val="22"/>
        </w:rPr>
        <w:t>‑</w:t>
      </w:r>
      <w:r>
        <w:rPr>
          <w:rFonts w:ascii="Verdana" w:hAnsi="Verdana"/>
          <w:sz w:val="22"/>
        </w:rPr>
        <w:t>assessment arrangements, clarifying the Committee’s system</w:t>
      </w:r>
      <w:r>
        <w:rPr>
          <w:rFonts w:ascii="Cambria Math" w:hAnsi="Cambria Math"/>
          <w:sz w:val="22"/>
        </w:rPr>
        <w:t>‑</w:t>
      </w:r>
      <w:r>
        <w:rPr>
          <w:rFonts w:ascii="Verdana" w:hAnsi="Verdana"/>
          <w:sz w:val="22"/>
        </w:rPr>
        <w:t>wide oversight role, and reinforcing reporting expectations to Welsh</w:t>
      </w:r>
      <w:r>
        <w:rPr>
          <w:rFonts w:ascii="Verdana" w:hAnsi="Verdana"/>
          <w:spacing w:val="-4"/>
          <w:sz w:val="22"/>
        </w:rPr>
        <w:t> </w:t>
      </w:r>
      <w:r>
        <w:rPr>
          <w:rFonts w:ascii="Verdana" w:hAnsi="Verdana"/>
          <w:sz w:val="22"/>
        </w:rPr>
        <w:t>Government.</w:t>
      </w:r>
      <w:r>
        <w:rPr>
          <w:rFonts w:ascii="Verdana" w:hAnsi="Verdana"/>
          <w:spacing w:val="-3"/>
          <w:sz w:val="22"/>
        </w:rPr>
        <w:t> </w:t>
      </w:r>
      <w:r>
        <w:rPr>
          <w:rFonts w:ascii="Verdana" w:hAnsi="Verdana"/>
          <w:sz w:val="22"/>
        </w:rPr>
        <w:t>Review</w:t>
      </w:r>
      <w:r>
        <w:rPr>
          <w:rFonts w:ascii="Verdana" w:hAnsi="Verdana"/>
          <w:spacing w:val="-5"/>
          <w:sz w:val="22"/>
        </w:rPr>
        <w:t> </w:t>
      </w:r>
      <w:r>
        <w:rPr>
          <w:rFonts w:ascii="Verdana" w:hAnsi="Verdana"/>
          <w:sz w:val="22"/>
        </w:rPr>
        <w:t>of</w:t>
      </w:r>
      <w:r>
        <w:rPr>
          <w:rFonts w:ascii="Verdana" w:hAnsi="Verdana"/>
          <w:spacing w:val="-5"/>
          <w:sz w:val="22"/>
        </w:rPr>
        <w:t> </w:t>
      </w:r>
      <w:r>
        <w:rPr>
          <w:rFonts w:ascii="Verdana" w:hAnsi="Verdana"/>
          <w:sz w:val="22"/>
        </w:rPr>
        <w:t>the</w:t>
      </w:r>
      <w:r>
        <w:rPr>
          <w:rFonts w:ascii="Verdana" w:hAnsi="Verdana"/>
          <w:spacing w:val="-4"/>
          <w:sz w:val="22"/>
        </w:rPr>
        <w:t> </w:t>
      </w:r>
      <w:r>
        <w:rPr>
          <w:rFonts w:ascii="Verdana" w:hAnsi="Verdana"/>
          <w:sz w:val="22"/>
        </w:rPr>
        <w:t>RJC</w:t>
      </w:r>
      <w:r>
        <w:rPr>
          <w:rFonts w:ascii="Verdana" w:hAnsi="Verdana"/>
          <w:spacing w:val="-4"/>
          <w:sz w:val="22"/>
        </w:rPr>
        <w:t> </w:t>
      </w:r>
      <w:r>
        <w:rPr>
          <w:rFonts w:ascii="Verdana" w:hAnsi="Verdana"/>
          <w:sz w:val="22"/>
        </w:rPr>
        <w:t>Terms</w:t>
      </w:r>
      <w:r>
        <w:rPr>
          <w:rFonts w:ascii="Verdana" w:hAnsi="Verdana"/>
          <w:spacing w:val="-4"/>
          <w:sz w:val="22"/>
        </w:rPr>
        <w:t> </w:t>
      </w:r>
      <w:r>
        <w:rPr>
          <w:rFonts w:ascii="Verdana" w:hAnsi="Verdana"/>
          <w:sz w:val="22"/>
        </w:rPr>
        <w:t>of</w:t>
      </w:r>
      <w:r>
        <w:rPr>
          <w:rFonts w:ascii="Verdana" w:hAnsi="Verdana"/>
          <w:spacing w:val="-4"/>
          <w:sz w:val="22"/>
        </w:rPr>
        <w:t> </w:t>
      </w:r>
      <w:r>
        <w:rPr>
          <w:rFonts w:ascii="Verdana" w:hAnsi="Verdana"/>
          <w:sz w:val="22"/>
        </w:rPr>
        <w:t>Reference</w:t>
      </w:r>
      <w:r>
        <w:rPr>
          <w:rFonts w:ascii="Verdana" w:hAnsi="Verdana"/>
          <w:spacing w:val="-4"/>
          <w:sz w:val="22"/>
        </w:rPr>
        <w:t> </w:t>
      </w:r>
      <w:r>
        <w:rPr>
          <w:rFonts w:ascii="Verdana" w:hAnsi="Verdana"/>
          <w:sz w:val="22"/>
        </w:rPr>
        <w:t>identified</w:t>
      </w:r>
      <w:r>
        <w:rPr>
          <w:rFonts w:ascii="Verdana" w:hAnsi="Verdana"/>
          <w:spacing w:val="-5"/>
          <w:sz w:val="22"/>
        </w:rPr>
        <w:t> </w:t>
      </w:r>
      <w:r>
        <w:rPr>
          <w:rFonts w:ascii="Verdana" w:hAnsi="Verdana"/>
          <w:sz w:val="22"/>
        </w:rPr>
        <w:t>varying</w:t>
      </w:r>
      <w:r>
        <w:rPr>
          <w:rFonts w:ascii="Verdana" w:hAnsi="Verdana"/>
          <w:spacing w:val="-5"/>
          <w:sz w:val="22"/>
        </w:rPr>
        <w:t> </w:t>
      </w:r>
      <w:r>
        <w:rPr>
          <w:rFonts w:ascii="Verdana" w:hAnsi="Verdana"/>
          <w:sz w:val="22"/>
        </w:rPr>
        <w:t>levels</w:t>
      </w:r>
      <w:r>
        <w:rPr>
          <w:rFonts w:ascii="Verdana" w:hAnsi="Verdana"/>
          <w:spacing w:val="-5"/>
          <w:sz w:val="22"/>
        </w:rPr>
        <w:t> </w:t>
      </w:r>
      <w:r>
        <w:rPr>
          <w:rFonts w:ascii="Verdana" w:hAnsi="Verdana"/>
          <w:sz w:val="22"/>
        </w:rPr>
        <w:t>of</w:t>
      </w:r>
      <w:r>
        <w:rPr>
          <w:rFonts w:ascii="Verdana" w:hAnsi="Verdana"/>
          <w:spacing w:val="-5"/>
          <w:sz w:val="22"/>
        </w:rPr>
        <w:t> </w:t>
      </w:r>
      <w:r>
        <w:rPr>
          <w:rFonts w:ascii="Verdana" w:hAnsi="Verdana"/>
          <w:sz w:val="22"/>
        </w:rPr>
        <w:t>maturity</w:t>
      </w:r>
      <w:r>
        <w:rPr>
          <w:rFonts w:ascii="Verdana" w:hAnsi="Verdana"/>
          <w:spacing w:val="-6"/>
          <w:sz w:val="22"/>
        </w:rPr>
        <w:t> </w:t>
      </w:r>
      <w:r>
        <w:rPr>
          <w:rFonts w:ascii="Verdana" w:hAnsi="Verdana"/>
          <w:sz w:val="22"/>
        </w:rPr>
        <w:t>across</w:t>
      </w:r>
      <w:r>
        <w:rPr>
          <w:rFonts w:ascii="Verdana" w:hAnsi="Verdana"/>
          <w:spacing w:val="-4"/>
          <w:sz w:val="22"/>
        </w:rPr>
        <w:t> </w:t>
      </w:r>
      <w:r>
        <w:rPr>
          <w:rFonts w:ascii="Verdana" w:hAnsi="Verdana"/>
          <w:sz w:val="22"/>
        </w:rPr>
        <w:t>the</w:t>
      </w:r>
      <w:r>
        <w:rPr>
          <w:rFonts w:ascii="Verdana" w:hAnsi="Verdana"/>
          <w:spacing w:val="-4"/>
          <w:sz w:val="22"/>
        </w:rPr>
        <w:t> </w:t>
      </w:r>
      <w:r>
        <w:rPr>
          <w:rFonts w:ascii="Verdana" w:hAnsi="Verdana"/>
          <w:sz w:val="22"/>
        </w:rPr>
        <w:t>RJC’s</w:t>
      </w:r>
      <w:r>
        <w:rPr>
          <w:rFonts w:ascii="Verdana" w:hAnsi="Verdana"/>
          <w:spacing w:val="-4"/>
          <w:sz w:val="22"/>
        </w:rPr>
        <w:t> </w:t>
      </w:r>
      <w:r>
        <w:rPr>
          <w:rFonts w:ascii="Verdana" w:hAnsi="Verdana"/>
          <w:sz w:val="22"/>
        </w:rPr>
        <w:t>supporting</w:t>
      </w:r>
      <w:r>
        <w:rPr>
          <w:rFonts w:ascii="Verdana" w:hAnsi="Verdana"/>
          <w:spacing w:val="-6"/>
          <w:sz w:val="22"/>
        </w:rPr>
        <w:t> </w:t>
      </w:r>
      <w:r>
        <w:rPr>
          <w:rFonts w:ascii="Verdana" w:hAnsi="Verdana"/>
          <w:sz w:val="22"/>
        </w:rPr>
        <w:t>subgroups</w:t>
      </w:r>
      <w:r>
        <w:rPr>
          <w:rFonts w:ascii="Verdana" w:hAnsi="Verdana"/>
          <w:position w:val="8"/>
          <w:sz w:val="14"/>
        </w:rPr>
        <w:t>2</w:t>
      </w:r>
      <w:r>
        <w:rPr>
          <w:rFonts w:ascii="Verdana" w:hAnsi="Verdana"/>
          <w:sz w:val="22"/>
        </w:rPr>
        <w:t>,</w:t>
      </w:r>
      <w:r>
        <w:rPr>
          <w:rFonts w:ascii="Verdana" w:hAnsi="Verdana"/>
          <w:spacing w:val="-3"/>
          <w:sz w:val="22"/>
        </w:rPr>
        <w:t> </w:t>
      </w:r>
      <w:r>
        <w:rPr>
          <w:rFonts w:ascii="Verdana" w:hAnsi="Verdana"/>
          <w:sz w:val="22"/>
        </w:rPr>
        <w:t>with</w:t>
      </w:r>
      <w:r>
        <w:rPr>
          <w:rFonts w:ascii="Verdana" w:hAnsi="Verdana"/>
          <w:spacing w:val="-5"/>
          <w:sz w:val="22"/>
        </w:rPr>
        <w:t> </w:t>
      </w:r>
      <w:r>
        <w:rPr>
          <w:rFonts w:ascii="Verdana" w:hAnsi="Verdana"/>
          <w:sz w:val="22"/>
        </w:rPr>
        <w:t>the objectives of the Clinical Services Planning (CSP) and Regional Health Economy (RHE) subgroups being the most clearly articulated. We note that</w:t>
      </w:r>
      <w:r>
        <w:rPr>
          <w:rFonts w:ascii="Verdana" w:hAnsi="Verdana"/>
          <w:spacing w:val="-5"/>
          <w:sz w:val="22"/>
        </w:rPr>
        <w:t> </w:t>
      </w:r>
      <w:r>
        <w:rPr>
          <w:rFonts w:ascii="Verdana" w:hAnsi="Verdana"/>
          <w:sz w:val="22"/>
        </w:rPr>
        <w:t>this</w:t>
      </w:r>
      <w:r>
        <w:rPr>
          <w:rFonts w:ascii="Verdana" w:hAnsi="Verdana"/>
          <w:spacing w:val="-5"/>
          <w:sz w:val="22"/>
        </w:rPr>
        <w:t> </w:t>
      </w:r>
      <w:r>
        <w:rPr>
          <w:rFonts w:ascii="Verdana" w:hAnsi="Verdana"/>
          <w:sz w:val="22"/>
        </w:rPr>
        <w:t>variation</w:t>
      </w:r>
      <w:r>
        <w:rPr>
          <w:rFonts w:ascii="Verdana" w:hAnsi="Verdana"/>
          <w:spacing w:val="-6"/>
          <w:sz w:val="22"/>
        </w:rPr>
        <w:t> </w:t>
      </w:r>
      <w:r>
        <w:rPr>
          <w:rFonts w:ascii="Verdana" w:hAnsi="Verdana"/>
          <w:sz w:val="22"/>
        </w:rPr>
        <w:t>was</w:t>
      </w:r>
      <w:r>
        <w:rPr>
          <w:rFonts w:ascii="Verdana" w:hAnsi="Verdana"/>
          <w:spacing w:val="-4"/>
          <w:sz w:val="22"/>
        </w:rPr>
        <w:t> </w:t>
      </w:r>
      <w:r>
        <w:rPr>
          <w:rFonts w:ascii="Verdana" w:hAnsi="Verdana"/>
          <w:sz w:val="22"/>
        </w:rPr>
        <w:t>acknowledged</w:t>
      </w:r>
      <w:r>
        <w:rPr>
          <w:rFonts w:ascii="Verdana" w:hAnsi="Verdana"/>
          <w:spacing w:val="-5"/>
          <w:sz w:val="22"/>
        </w:rPr>
        <w:t> </w:t>
      </w:r>
      <w:r>
        <w:rPr>
          <w:rFonts w:ascii="Verdana" w:hAnsi="Verdana"/>
          <w:sz w:val="22"/>
        </w:rPr>
        <w:t>in</w:t>
      </w:r>
      <w:r>
        <w:rPr>
          <w:rFonts w:ascii="Verdana" w:hAnsi="Verdana"/>
          <w:spacing w:val="-6"/>
          <w:sz w:val="22"/>
        </w:rPr>
        <w:t> </w:t>
      </w:r>
      <w:r>
        <w:rPr>
          <w:rFonts w:ascii="Verdana" w:hAnsi="Verdana"/>
          <w:sz w:val="22"/>
        </w:rPr>
        <w:t>the</w:t>
      </w:r>
      <w:r>
        <w:rPr>
          <w:rFonts w:ascii="Verdana" w:hAnsi="Verdana"/>
          <w:spacing w:val="-4"/>
          <w:sz w:val="22"/>
        </w:rPr>
        <w:t> </w:t>
      </w:r>
      <w:r>
        <w:rPr>
          <w:rFonts w:ascii="Verdana" w:hAnsi="Verdana"/>
          <w:sz w:val="22"/>
        </w:rPr>
        <w:t>April</w:t>
      </w:r>
      <w:r>
        <w:rPr>
          <w:rFonts w:ascii="Verdana" w:hAnsi="Verdana"/>
          <w:spacing w:val="-5"/>
          <w:sz w:val="22"/>
        </w:rPr>
        <w:t> </w:t>
      </w:r>
      <w:r>
        <w:rPr>
          <w:rFonts w:ascii="Verdana" w:hAnsi="Verdana"/>
          <w:sz w:val="22"/>
        </w:rPr>
        <w:t>2026</w:t>
      </w:r>
      <w:r>
        <w:rPr>
          <w:rFonts w:ascii="Verdana" w:hAnsi="Verdana"/>
          <w:spacing w:val="-3"/>
          <w:sz w:val="22"/>
        </w:rPr>
        <w:t> </w:t>
      </w:r>
      <w:r>
        <w:rPr>
          <w:rFonts w:ascii="Verdana" w:hAnsi="Verdana"/>
          <w:sz w:val="22"/>
        </w:rPr>
        <w:t>review</w:t>
      </w:r>
      <w:r>
        <w:rPr>
          <w:rFonts w:ascii="Verdana" w:hAnsi="Verdana"/>
          <w:spacing w:val="-6"/>
          <w:sz w:val="22"/>
        </w:rPr>
        <w:t> </w:t>
      </w:r>
      <w:r>
        <w:rPr>
          <w:rFonts w:ascii="Verdana" w:hAnsi="Verdana"/>
          <w:sz w:val="22"/>
        </w:rPr>
        <w:t>of</w:t>
      </w:r>
      <w:r>
        <w:rPr>
          <w:rFonts w:ascii="Verdana" w:hAnsi="Verdana"/>
          <w:spacing w:val="-5"/>
          <w:sz w:val="22"/>
        </w:rPr>
        <w:t> </w:t>
      </w:r>
      <w:r>
        <w:rPr>
          <w:rFonts w:ascii="Verdana" w:hAnsi="Verdana"/>
          <w:sz w:val="22"/>
        </w:rPr>
        <w:t>ToR,</w:t>
      </w:r>
      <w:r>
        <w:rPr>
          <w:rFonts w:ascii="Verdana" w:hAnsi="Verdana"/>
          <w:spacing w:val="-3"/>
          <w:sz w:val="22"/>
        </w:rPr>
        <w:t> </w:t>
      </w:r>
      <w:r>
        <w:rPr>
          <w:rFonts w:ascii="Verdana" w:hAnsi="Verdana"/>
          <w:sz w:val="22"/>
        </w:rPr>
        <w:t>with</w:t>
      </w:r>
      <w:r>
        <w:rPr>
          <w:rFonts w:ascii="Verdana" w:hAnsi="Verdana"/>
          <w:spacing w:val="-5"/>
          <w:sz w:val="22"/>
        </w:rPr>
        <w:t> </w:t>
      </w:r>
      <w:r>
        <w:rPr>
          <w:rFonts w:ascii="Verdana" w:hAnsi="Verdana"/>
          <w:sz w:val="22"/>
        </w:rPr>
        <w:t>the</w:t>
      </w:r>
      <w:r>
        <w:rPr>
          <w:rFonts w:ascii="Verdana" w:hAnsi="Verdana"/>
          <w:spacing w:val="-3"/>
          <w:sz w:val="22"/>
        </w:rPr>
        <w:t> </w:t>
      </w:r>
      <w:r>
        <w:rPr>
          <w:rFonts w:ascii="Verdana" w:hAnsi="Verdana"/>
          <w:sz w:val="22"/>
        </w:rPr>
        <w:t>RJC</w:t>
      </w:r>
      <w:r>
        <w:rPr>
          <w:rFonts w:ascii="Verdana" w:hAnsi="Verdana"/>
          <w:spacing w:val="-5"/>
          <w:sz w:val="22"/>
        </w:rPr>
        <w:t> </w:t>
      </w:r>
      <w:r>
        <w:rPr>
          <w:rFonts w:ascii="Verdana" w:hAnsi="Verdana"/>
          <w:sz w:val="22"/>
        </w:rPr>
        <w:t>agreeing</w:t>
      </w:r>
      <w:r>
        <w:rPr>
          <w:rFonts w:ascii="Verdana" w:hAnsi="Verdana"/>
          <w:spacing w:val="-6"/>
          <w:sz w:val="22"/>
        </w:rPr>
        <w:t> </w:t>
      </w:r>
      <w:r>
        <w:rPr>
          <w:rFonts w:ascii="Verdana" w:hAnsi="Verdana"/>
          <w:sz w:val="22"/>
        </w:rPr>
        <w:t>that</w:t>
      </w:r>
      <w:r>
        <w:rPr>
          <w:rFonts w:ascii="Verdana" w:hAnsi="Verdana"/>
          <w:spacing w:val="-5"/>
          <w:sz w:val="22"/>
        </w:rPr>
        <w:t> </w:t>
      </w:r>
      <w:r>
        <w:rPr>
          <w:rFonts w:ascii="Verdana" w:hAnsi="Verdana"/>
          <w:sz w:val="22"/>
        </w:rPr>
        <w:t>further</w:t>
      </w:r>
      <w:r>
        <w:rPr>
          <w:rFonts w:ascii="Verdana" w:hAnsi="Verdana"/>
          <w:spacing w:val="-5"/>
          <w:sz w:val="22"/>
        </w:rPr>
        <w:t> </w:t>
      </w:r>
      <w:r>
        <w:rPr>
          <w:rFonts w:ascii="Verdana" w:hAnsi="Verdana"/>
          <w:sz w:val="22"/>
        </w:rPr>
        <w:t>work</w:t>
      </w:r>
      <w:r>
        <w:rPr>
          <w:rFonts w:ascii="Verdana" w:hAnsi="Verdana"/>
          <w:spacing w:val="-5"/>
          <w:sz w:val="22"/>
        </w:rPr>
        <w:t> </w:t>
      </w:r>
      <w:r>
        <w:rPr>
          <w:rFonts w:ascii="Verdana" w:hAnsi="Verdana"/>
          <w:sz w:val="22"/>
        </w:rPr>
        <w:t>was</w:t>
      </w:r>
      <w:r>
        <w:rPr>
          <w:rFonts w:ascii="Verdana" w:hAnsi="Verdana"/>
          <w:spacing w:val="-4"/>
          <w:sz w:val="22"/>
        </w:rPr>
        <w:t> </w:t>
      </w:r>
      <w:r>
        <w:rPr>
          <w:rFonts w:ascii="Verdana" w:hAnsi="Verdana"/>
          <w:sz w:val="22"/>
        </w:rPr>
        <w:t>required</w:t>
      </w:r>
      <w:r>
        <w:rPr>
          <w:rFonts w:ascii="Verdana" w:hAnsi="Verdana"/>
          <w:spacing w:val="-5"/>
          <w:sz w:val="22"/>
        </w:rPr>
        <w:t> </w:t>
      </w:r>
      <w:r>
        <w:rPr>
          <w:rFonts w:ascii="Verdana" w:hAnsi="Verdana"/>
          <w:sz w:val="22"/>
        </w:rPr>
        <w:t>to</w:t>
      </w:r>
      <w:r>
        <w:rPr>
          <w:rFonts w:ascii="Verdana" w:hAnsi="Verdana"/>
          <w:spacing w:val="-5"/>
          <w:sz w:val="22"/>
        </w:rPr>
        <w:t> </w:t>
      </w:r>
      <w:r>
        <w:rPr>
          <w:rFonts w:ascii="Verdana" w:hAnsi="Verdana"/>
          <w:sz w:val="22"/>
        </w:rPr>
        <w:t>develop</w:t>
      </w:r>
      <w:r>
        <w:rPr>
          <w:rFonts w:ascii="Verdana" w:hAnsi="Verdana"/>
          <w:spacing w:val="-5"/>
          <w:sz w:val="22"/>
        </w:rPr>
        <w:t> </w:t>
      </w:r>
      <w:r>
        <w:rPr>
          <w:rFonts w:ascii="Verdana" w:hAnsi="Verdana"/>
          <w:sz w:val="22"/>
        </w:rPr>
        <w:t>and</w:t>
      </w:r>
      <w:r>
        <w:rPr>
          <w:rFonts w:ascii="Verdana" w:hAnsi="Verdana"/>
          <w:spacing w:val="-6"/>
          <w:sz w:val="22"/>
        </w:rPr>
        <w:t> </w:t>
      </w:r>
      <w:r>
        <w:rPr>
          <w:rFonts w:ascii="Verdana" w:hAnsi="Verdana"/>
          <w:sz w:val="22"/>
        </w:rPr>
        <w:t>align objectives of the Finance and Contracting, and Workforce and Organisational Development (WOD) subgroups to improve consistency.</w:t>
      </w:r>
    </w:p>
    <w:p>
      <w:pPr>
        <w:spacing w:before="119"/>
        <w:ind w:left="255" w:right="341" w:firstLine="0"/>
        <w:jc w:val="both"/>
        <w:rPr>
          <w:rFonts w:ascii="Verdana"/>
          <w:sz w:val="22"/>
        </w:rPr>
      </w:pPr>
      <w:r>
        <w:rPr>
          <w:rFonts w:ascii="Verdana"/>
          <w:sz w:val="22"/>
        </w:rPr>
        <w:t>Review of RJC papers (January 2025 to April 2026) confirms that meetings have consistently achieved quorum. While the expectation is for quarterly meetings, the planned October 2025 meeting was stood down to allow greater focus on subgroup development, including clarifying ambition,</w:t>
      </w:r>
      <w:r>
        <w:rPr>
          <w:rFonts w:ascii="Verdana"/>
          <w:spacing w:val="-5"/>
          <w:sz w:val="22"/>
        </w:rPr>
        <w:t> </w:t>
      </w:r>
      <w:r>
        <w:rPr>
          <w:rFonts w:ascii="Verdana"/>
          <w:sz w:val="22"/>
        </w:rPr>
        <w:t>scope,</w:t>
      </w:r>
      <w:r>
        <w:rPr>
          <w:rFonts w:ascii="Verdana"/>
          <w:spacing w:val="-5"/>
          <w:sz w:val="22"/>
        </w:rPr>
        <w:t> </w:t>
      </w:r>
      <w:r>
        <w:rPr>
          <w:rFonts w:ascii="Verdana"/>
          <w:sz w:val="22"/>
        </w:rPr>
        <w:t>and</w:t>
      </w:r>
      <w:r>
        <w:rPr>
          <w:rFonts w:ascii="Verdana"/>
          <w:spacing w:val="-7"/>
          <w:sz w:val="22"/>
        </w:rPr>
        <w:t> </w:t>
      </w:r>
      <w:r>
        <w:rPr>
          <w:rFonts w:ascii="Verdana"/>
          <w:sz w:val="22"/>
        </w:rPr>
        <w:t>delivery</w:t>
      </w:r>
      <w:r>
        <w:rPr>
          <w:rFonts w:ascii="Verdana"/>
          <w:spacing w:val="-7"/>
          <w:sz w:val="22"/>
        </w:rPr>
        <w:t> </w:t>
      </w:r>
      <w:r>
        <w:rPr>
          <w:rFonts w:ascii="Verdana"/>
          <w:sz w:val="22"/>
        </w:rPr>
        <w:t>expectations.</w:t>
      </w:r>
      <w:r>
        <w:rPr>
          <w:rFonts w:ascii="Verdana"/>
          <w:spacing w:val="-7"/>
          <w:sz w:val="22"/>
        </w:rPr>
        <w:t> </w:t>
      </w:r>
      <w:r>
        <w:rPr>
          <w:rFonts w:ascii="Verdana"/>
          <w:sz w:val="22"/>
        </w:rPr>
        <w:t>An</w:t>
      </w:r>
      <w:r>
        <w:rPr>
          <w:rFonts w:ascii="Verdana"/>
          <w:spacing w:val="-6"/>
          <w:sz w:val="22"/>
        </w:rPr>
        <w:t> </w:t>
      </w:r>
      <w:r>
        <w:rPr>
          <w:rFonts w:ascii="Verdana"/>
          <w:sz w:val="22"/>
        </w:rPr>
        <w:t>extraordinary</w:t>
      </w:r>
      <w:r>
        <w:rPr>
          <w:rFonts w:ascii="Verdana"/>
          <w:spacing w:val="-7"/>
          <w:sz w:val="22"/>
        </w:rPr>
        <w:t> </w:t>
      </w:r>
      <w:r>
        <w:rPr>
          <w:rFonts w:ascii="Verdana"/>
          <w:sz w:val="22"/>
        </w:rPr>
        <w:t>meeting</w:t>
      </w:r>
      <w:r>
        <w:rPr>
          <w:rFonts w:ascii="Verdana"/>
          <w:spacing w:val="-7"/>
          <w:sz w:val="22"/>
        </w:rPr>
        <w:t> </w:t>
      </w:r>
      <w:r>
        <w:rPr>
          <w:rFonts w:ascii="Verdana"/>
          <w:sz w:val="22"/>
        </w:rPr>
        <w:t>was</w:t>
      </w:r>
      <w:r>
        <w:rPr>
          <w:rFonts w:ascii="Verdana"/>
          <w:spacing w:val="-6"/>
          <w:sz w:val="22"/>
        </w:rPr>
        <w:t> </w:t>
      </w:r>
      <w:r>
        <w:rPr>
          <w:rFonts w:ascii="Verdana"/>
          <w:sz w:val="22"/>
        </w:rPr>
        <w:t>convened</w:t>
      </w:r>
      <w:r>
        <w:rPr>
          <w:rFonts w:ascii="Verdana"/>
          <w:spacing w:val="-6"/>
          <w:sz w:val="22"/>
        </w:rPr>
        <w:t> </w:t>
      </w:r>
      <w:r>
        <w:rPr>
          <w:rFonts w:ascii="Verdana"/>
          <w:sz w:val="22"/>
        </w:rPr>
        <w:t>in</w:t>
      </w:r>
      <w:r>
        <w:rPr>
          <w:rFonts w:ascii="Verdana"/>
          <w:spacing w:val="-6"/>
          <w:sz w:val="22"/>
        </w:rPr>
        <w:t> </w:t>
      </w:r>
      <w:r>
        <w:rPr>
          <w:rFonts w:ascii="Verdana"/>
          <w:sz w:val="22"/>
        </w:rPr>
        <w:t>February</w:t>
      </w:r>
      <w:r>
        <w:rPr>
          <w:rFonts w:ascii="Verdana"/>
          <w:spacing w:val="-7"/>
          <w:sz w:val="22"/>
        </w:rPr>
        <w:t> </w:t>
      </w:r>
      <w:r>
        <w:rPr>
          <w:rFonts w:ascii="Verdana"/>
          <w:sz w:val="22"/>
        </w:rPr>
        <w:t>2026,</w:t>
      </w:r>
      <w:r>
        <w:rPr>
          <w:rFonts w:ascii="Verdana"/>
          <w:spacing w:val="-5"/>
          <w:sz w:val="22"/>
        </w:rPr>
        <w:t> </w:t>
      </w:r>
      <w:r>
        <w:rPr>
          <w:rFonts w:ascii="Verdana"/>
          <w:sz w:val="22"/>
        </w:rPr>
        <w:t>aligned</w:t>
      </w:r>
      <w:r>
        <w:rPr>
          <w:rFonts w:ascii="Verdana"/>
          <w:spacing w:val="-7"/>
          <w:sz w:val="22"/>
        </w:rPr>
        <w:t> </w:t>
      </w:r>
      <w:r>
        <w:rPr>
          <w:rFonts w:ascii="Verdana"/>
          <w:sz w:val="22"/>
        </w:rPr>
        <w:t>to</w:t>
      </w:r>
      <w:r>
        <w:rPr>
          <w:rFonts w:ascii="Verdana"/>
          <w:spacing w:val="-5"/>
          <w:sz w:val="22"/>
        </w:rPr>
        <w:t> </w:t>
      </w:r>
      <w:r>
        <w:rPr>
          <w:rFonts w:ascii="Verdana"/>
          <w:sz w:val="22"/>
        </w:rPr>
        <w:t>Health</w:t>
      </w:r>
      <w:r>
        <w:rPr>
          <w:rFonts w:ascii="Verdana"/>
          <w:spacing w:val="-7"/>
          <w:sz w:val="22"/>
        </w:rPr>
        <w:t> </w:t>
      </w:r>
      <w:r>
        <w:rPr>
          <w:rFonts w:ascii="Verdana"/>
          <w:sz w:val="22"/>
        </w:rPr>
        <w:t>Board</w:t>
      </w:r>
      <w:r>
        <w:rPr>
          <w:rFonts w:ascii="Verdana"/>
          <w:spacing w:val="-7"/>
          <w:sz w:val="22"/>
        </w:rPr>
        <w:t> </w:t>
      </w:r>
      <w:r>
        <w:rPr>
          <w:rFonts w:ascii="Verdana"/>
          <w:sz w:val="22"/>
        </w:rPr>
        <w:t>reporting</w:t>
      </w:r>
      <w:r>
        <w:rPr>
          <w:rFonts w:ascii="Verdana"/>
          <w:spacing w:val="-7"/>
          <w:sz w:val="22"/>
        </w:rPr>
        <w:t> </w:t>
      </w:r>
      <w:r>
        <w:rPr>
          <w:rFonts w:ascii="Verdana"/>
          <w:sz w:val="22"/>
        </w:rPr>
        <w:t>cycles, to enable timely consideration, endorsement, and submission of the Regional Cellular Pathology business case to Welsh Government.</w:t>
      </w:r>
    </w:p>
    <w:p>
      <w:pPr>
        <w:spacing w:before="121"/>
        <w:ind w:left="255" w:right="342" w:firstLine="0"/>
        <w:jc w:val="both"/>
        <w:rPr>
          <w:rFonts w:ascii="Verdana"/>
          <w:sz w:val="22"/>
        </w:rPr>
      </w:pPr>
      <w:r>
        <w:rPr>
          <w:rFonts w:ascii="Verdana"/>
          <w:sz w:val="22"/>
        </w:rPr>
        <w:t>Although</w:t>
      </w:r>
      <w:r>
        <w:rPr>
          <w:rFonts w:ascii="Verdana"/>
          <w:spacing w:val="-7"/>
          <w:sz w:val="22"/>
        </w:rPr>
        <w:t> </w:t>
      </w:r>
      <w:r>
        <w:rPr>
          <w:rFonts w:ascii="Verdana"/>
          <w:sz w:val="22"/>
        </w:rPr>
        <w:t>the</w:t>
      </w:r>
      <w:r>
        <w:rPr>
          <w:rFonts w:ascii="Verdana"/>
          <w:spacing w:val="-6"/>
          <w:sz w:val="22"/>
        </w:rPr>
        <w:t> </w:t>
      </w:r>
      <w:r>
        <w:rPr>
          <w:rFonts w:ascii="Verdana"/>
          <w:sz w:val="22"/>
        </w:rPr>
        <w:t>RJC</w:t>
      </w:r>
      <w:r>
        <w:rPr>
          <w:rFonts w:ascii="Verdana"/>
          <w:spacing w:val="-7"/>
          <w:sz w:val="22"/>
        </w:rPr>
        <w:t> </w:t>
      </w:r>
      <w:r>
        <w:rPr>
          <w:rFonts w:ascii="Verdana"/>
          <w:sz w:val="22"/>
        </w:rPr>
        <w:t>has</w:t>
      </w:r>
      <w:r>
        <w:rPr>
          <w:rFonts w:ascii="Verdana"/>
          <w:spacing w:val="-9"/>
          <w:sz w:val="22"/>
        </w:rPr>
        <w:t> </w:t>
      </w:r>
      <w:r>
        <w:rPr>
          <w:rFonts w:ascii="Verdana"/>
          <w:sz w:val="22"/>
        </w:rPr>
        <w:t>received</w:t>
      </w:r>
      <w:r>
        <w:rPr>
          <w:rFonts w:ascii="Verdana"/>
          <w:spacing w:val="-7"/>
          <w:sz w:val="22"/>
        </w:rPr>
        <w:t> </w:t>
      </w:r>
      <w:r>
        <w:rPr>
          <w:rFonts w:ascii="Verdana"/>
          <w:sz w:val="22"/>
        </w:rPr>
        <w:t>updates</w:t>
      </w:r>
      <w:r>
        <w:rPr>
          <w:rFonts w:ascii="Verdana"/>
          <w:spacing w:val="-9"/>
          <w:sz w:val="22"/>
        </w:rPr>
        <w:t> </w:t>
      </w:r>
      <w:r>
        <w:rPr>
          <w:rFonts w:ascii="Verdana"/>
          <w:sz w:val="22"/>
        </w:rPr>
        <w:t>on</w:t>
      </w:r>
      <w:r>
        <w:rPr>
          <w:rFonts w:ascii="Verdana"/>
          <w:spacing w:val="-7"/>
          <w:sz w:val="22"/>
        </w:rPr>
        <w:t> </w:t>
      </w:r>
      <w:r>
        <w:rPr>
          <w:rFonts w:ascii="Verdana"/>
          <w:sz w:val="22"/>
        </w:rPr>
        <w:t>the</w:t>
      </w:r>
      <w:r>
        <w:rPr>
          <w:rFonts w:ascii="Verdana"/>
          <w:spacing w:val="-7"/>
          <w:sz w:val="22"/>
        </w:rPr>
        <w:t> </w:t>
      </w:r>
      <w:r>
        <w:rPr>
          <w:rFonts w:ascii="Verdana"/>
          <w:sz w:val="22"/>
        </w:rPr>
        <w:t>development</w:t>
      </w:r>
      <w:r>
        <w:rPr>
          <w:rFonts w:ascii="Verdana"/>
          <w:spacing w:val="-10"/>
          <w:sz w:val="22"/>
        </w:rPr>
        <w:t> </w:t>
      </w:r>
      <w:r>
        <w:rPr>
          <w:rFonts w:ascii="Verdana"/>
          <w:sz w:val="22"/>
        </w:rPr>
        <w:t>of</w:t>
      </w:r>
      <w:r>
        <w:rPr>
          <w:rFonts w:ascii="Verdana"/>
          <w:spacing w:val="-7"/>
          <w:sz w:val="22"/>
        </w:rPr>
        <w:t> </w:t>
      </w:r>
      <w:r>
        <w:rPr>
          <w:rFonts w:ascii="Verdana"/>
          <w:sz w:val="22"/>
        </w:rPr>
        <w:t>subgroup</w:t>
      </w:r>
      <w:r>
        <w:rPr>
          <w:rFonts w:ascii="Verdana"/>
          <w:spacing w:val="-8"/>
          <w:sz w:val="22"/>
        </w:rPr>
        <w:t> </w:t>
      </w:r>
      <w:r>
        <w:rPr>
          <w:rFonts w:ascii="Verdana"/>
          <w:sz w:val="22"/>
        </w:rPr>
        <w:t>ToR,</w:t>
      </w:r>
      <w:r>
        <w:rPr>
          <w:rFonts w:ascii="Verdana"/>
          <w:spacing w:val="-6"/>
          <w:sz w:val="22"/>
        </w:rPr>
        <w:t> </w:t>
      </w:r>
      <w:r>
        <w:rPr>
          <w:rFonts w:ascii="Verdana"/>
          <w:sz w:val="22"/>
        </w:rPr>
        <w:t>formal</w:t>
      </w:r>
      <w:r>
        <w:rPr>
          <w:rFonts w:ascii="Verdana"/>
          <w:spacing w:val="-7"/>
          <w:sz w:val="22"/>
        </w:rPr>
        <w:t> </w:t>
      </w:r>
      <w:r>
        <w:rPr>
          <w:rFonts w:ascii="Verdana"/>
          <w:sz w:val="22"/>
        </w:rPr>
        <w:t>approval</w:t>
      </w:r>
      <w:r>
        <w:rPr>
          <w:rFonts w:ascii="Verdana"/>
          <w:spacing w:val="-7"/>
          <w:sz w:val="22"/>
        </w:rPr>
        <w:t> </w:t>
      </w:r>
      <w:r>
        <w:rPr>
          <w:rFonts w:ascii="Verdana"/>
          <w:sz w:val="22"/>
        </w:rPr>
        <w:t>has</w:t>
      </w:r>
      <w:r>
        <w:rPr>
          <w:rFonts w:ascii="Verdana"/>
          <w:spacing w:val="-7"/>
          <w:sz w:val="22"/>
        </w:rPr>
        <w:t> </w:t>
      </w:r>
      <w:r>
        <w:rPr>
          <w:rFonts w:ascii="Verdana"/>
          <w:sz w:val="22"/>
        </w:rPr>
        <w:t>not</w:t>
      </w:r>
      <w:r>
        <w:rPr>
          <w:rFonts w:ascii="Verdana"/>
          <w:spacing w:val="-8"/>
          <w:sz w:val="22"/>
        </w:rPr>
        <w:t> </w:t>
      </w:r>
      <w:r>
        <w:rPr>
          <w:rFonts w:ascii="Verdana"/>
          <w:sz w:val="22"/>
        </w:rPr>
        <w:t>been</w:t>
      </w:r>
      <w:r>
        <w:rPr>
          <w:rFonts w:ascii="Verdana"/>
          <w:spacing w:val="-12"/>
          <w:sz w:val="22"/>
        </w:rPr>
        <w:t> </w:t>
      </w:r>
      <w:r>
        <w:rPr>
          <w:rFonts w:ascii="Verdana"/>
          <w:sz w:val="22"/>
        </w:rPr>
        <w:t>consistently</w:t>
      </w:r>
      <w:r>
        <w:rPr>
          <w:rFonts w:ascii="Verdana"/>
          <w:spacing w:val="-8"/>
          <w:sz w:val="22"/>
        </w:rPr>
        <w:t> </w:t>
      </w:r>
      <w:r>
        <w:rPr>
          <w:rFonts w:ascii="Verdana"/>
          <w:sz w:val="22"/>
        </w:rPr>
        <w:t>undertaken</w:t>
      </w:r>
      <w:r>
        <w:rPr>
          <w:rFonts w:ascii="Verdana"/>
          <w:spacing w:val="-7"/>
          <w:sz w:val="22"/>
        </w:rPr>
        <w:t> </w:t>
      </w:r>
      <w:r>
        <w:rPr>
          <w:rFonts w:ascii="Verdana"/>
          <w:sz w:val="22"/>
        </w:rPr>
        <w:t>beyond</w:t>
      </w:r>
      <w:r>
        <w:rPr>
          <w:rFonts w:ascii="Verdana"/>
          <w:spacing w:val="-8"/>
          <w:sz w:val="22"/>
        </w:rPr>
        <w:t> </w:t>
      </w:r>
      <w:r>
        <w:rPr>
          <w:rFonts w:ascii="Verdana"/>
          <w:sz w:val="22"/>
        </w:rPr>
        <w:t>that of the Research Innovation and Excellence (RIE) subgroup (see </w:t>
      </w:r>
      <w:r>
        <w:rPr>
          <w:rFonts w:ascii="Verdana"/>
          <w:b/>
          <w:sz w:val="22"/>
        </w:rPr>
        <w:t>Action 1</w:t>
      </w:r>
      <w:r>
        <w:rPr>
          <w:rFonts w:ascii="Verdana"/>
          <w:sz w:val="22"/>
        </w:rPr>
        <w:t>). Our review of subgroup and workstream ToR (see objective 2) identified that there could be greater consistency and alignment with the overarching RJC ToR (see </w:t>
      </w:r>
      <w:r>
        <w:rPr>
          <w:rFonts w:ascii="Verdana"/>
          <w:b/>
          <w:sz w:val="22"/>
        </w:rPr>
        <w:t>Action 1 &amp; 3</w:t>
      </w:r>
      <w:r>
        <w:rPr>
          <w:rFonts w:ascii="Verdana"/>
          <w:sz w:val="22"/>
        </w:rPr>
        <w:t>).</w:t>
      </w:r>
    </w:p>
    <w:p>
      <w:pPr>
        <w:spacing w:before="120"/>
        <w:ind w:left="255" w:right="0" w:firstLine="0"/>
        <w:jc w:val="both"/>
        <w:rPr>
          <w:rFonts w:ascii="Verdana"/>
          <w:b/>
          <w:sz w:val="22"/>
        </w:rPr>
      </w:pPr>
      <w:r>
        <w:rPr>
          <w:rFonts w:ascii="Verdana"/>
          <w:b/>
          <w:sz w:val="22"/>
        </w:rPr>
        <w:t>Work</w:t>
      </w:r>
      <w:r>
        <w:rPr>
          <w:rFonts w:ascii="Verdana"/>
          <w:b/>
          <w:spacing w:val="-4"/>
          <w:sz w:val="22"/>
        </w:rPr>
        <w:t> </w:t>
      </w:r>
      <w:r>
        <w:rPr>
          <w:rFonts w:ascii="Verdana"/>
          <w:b/>
          <w:spacing w:val="-2"/>
          <w:sz w:val="22"/>
        </w:rPr>
        <w:t>Programme</w:t>
      </w:r>
    </w:p>
    <w:p>
      <w:pPr>
        <w:spacing w:before="119"/>
        <w:ind w:left="255" w:right="342" w:firstLine="0"/>
        <w:jc w:val="both"/>
        <w:rPr>
          <w:rFonts w:ascii="Verdana" w:hAnsi="Verdana"/>
          <w:sz w:val="22"/>
        </w:rPr>
      </w:pPr>
      <w:r>
        <w:rPr>
          <w:rFonts w:ascii="Verdana" w:hAnsi="Verdana"/>
          <w:sz w:val="22"/>
        </w:rPr>
        <w:t>The</w:t>
      </w:r>
      <w:r>
        <w:rPr>
          <w:rFonts w:ascii="Verdana" w:hAnsi="Verdana"/>
          <w:spacing w:val="-1"/>
          <w:sz w:val="22"/>
        </w:rPr>
        <w:t> </w:t>
      </w:r>
      <w:r>
        <w:rPr>
          <w:rFonts w:ascii="Verdana" w:hAnsi="Verdana"/>
          <w:sz w:val="22"/>
        </w:rPr>
        <w:t>RJC</w:t>
      </w:r>
      <w:r>
        <w:rPr>
          <w:rFonts w:ascii="Verdana" w:hAnsi="Verdana"/>
          <w:spacing w:val="-1"/>
          <w:sz w:val="22"/>
        </w:rPr>
        <w:t> </w:t>
      </w:r>
      <w:r>
        <w:rPr>
          <w:rFonts w:ascii="Verdana" w:hAnsi="Verdana"/>
          <w:sz w:val="22"/>
        </w:rPr>
        <w:t>work</w:t>
      </w:r>
      <w:r>
        <w:rPr>
          <w:rFonts w:ascii="Verdana" w:hAnsi="Verdana"/>
          <w:spacing w:val="-2"/>
          <w:sz w:val="22"/>
        </w:rPr>
        <w:t> </w:t>
      </w:r>
      <w:r>
        <w:rPr>
          <w:rFonts w:ascii="Verdana" w:hAnsi="Verdana"/>
          <w:sz w:val="22"/>
        </w:rPr>
        <w:t>programme has</w:t>
      </w:r>
      <w:r>
        <w:rPr>
          <w:rFonts w:ascii="Verdana" w:hAnsi="Verdana"/>
          <w:spacing w:val="-1"/>
          <w:sz w:val="22"/>
        </w:rPr>
        <w:t> </w:t>
      </w:r>
      <w:r>
        <w:rPr>
          <w:rFonts w:ascii="Verdana" w:hAnsi="Verdana"/>
          <w:sz w:val="22"/>
        </w:rPr>
        <w:t>evolved</w:t>
      </w:r>
      <w:r>
        <w:rPr>
          <w:rFonts w:ascii="Verdana" w:hAnsi="Verdana"/>
          <w:spacing w:val="-1"/>
          <w:sz w:val="22"/>
        </w:rPr>
        <w:t> </w:t>
      </w:r>
      <w:r>
        <w:rPr>
          <w:rFonts w:ascii="Verdana" w:hAnsi="Verdana"/>
          <w:sz w:val="22"/>
        </w:rPr>
        <w:t>from an</w:t>
      </w:r>
      <w:r>
        <w:rPr>
          <w:rFonts w:ascii="Verdana" w:hAnsi="Verdana"/>
          <w:spacing w:val="-2"/>
          <w:sz w:val="22"/>
        </w:rPr>
        <w:t> </w:t>
      </w:r>
      <w:r>
        <w:rPr>
          <w:rFonts w:ascii="Verdana" w:hAnsi="Verdana"/>
          <w:sz w:val="22"/>
        </w:rPr>
        <w:t>initial</w:t>
      </w:r>
      <w:r>
        <w:rPr>
          <w:rFonts w:ascii="Verdana" w:hAnsi="Verdana"/>
          <w:spacing w:val="-2"/>
          <w:sz w:val="22"/>
        </w:rPr>
        <w:t> </w:t>
      </w:r>
      <w:r>
        <w:rPr>
          <w:rFonts w:ascii="Verdana" w:hAnsi="Verdana"/>
          <w:sz w:val="22"/>
        </w:rPr>
        <w:t>consolidation</w:t>
      </w:r>
      <w:r>
        <w:rPr>
          <w:rFonts w:ascii="Verdana" w:hAnsi="Verdana"/>
          <w:spacing w:val="-1"/>
          <w:sz w:val="22"/>
        </w:rPr>
        <w:t> </w:t>
      </w:r>
      <w:r>
        <w:rPr>
          <w:rFonts w:ascii="Verdana" w:hAnsi="Verdana"/>
          <w:sz w:val="22"/>
        </w:rPr>
        <w:t>of</w:t>
      </w:r>
      <w:r>
        <w:rPr>
          <w:rFonts w:ascii="Verdana" w:hAnsi="Verdana"/>
          <w:spacing w:val="-2"/>
          <w:sz w:val="22"/>
        </w:rPr>
        <w:t> </w:t>
      </w:r>
      <w:r>
        <w:rPr>
          <w:rFonts w:ascii="Verdana" w:hAnsi="Verdana"/>
          <w:sz w:val="22"/>
        </w:rPr>
        <w:t>legacy</w:t>
      </w:r>
      <w:r>
        <w:rPr>
          <w:rFonts w:ascii="Verdana" w:hAnsi="Verdana"/>
          <w:spacing w:val="-2"/>
          <w:sz w:val="22"/>
        </w:rPr>
        <w:t> </w:t>
      </w:r>
      <w:r>
        <w:rPr>
          <w:rFonts w:ascii="Verdana" w:hAnsi="Verdana"/>
          <w:sz w:val="22"/>
        </w:rPr>
        <w:t>ARCH</w:t>
      </w:r>
      <w:r>
        <w:rPr>
          <w:rFonts w:ascii="Verdana" w:hAnsi="Verdana"/>
          <w:spacing w:val="-2"/>
          <w:sz w:val="22"/>
        </w:rPr>
        <w:t> </w:t>
      </w:r>
      <w:r>
        <w:rPr>
          <w:rFonts w:ascii="Verdana" w:hAnsi="Verdana"/>
          <w:sz w:val="22"/>
        </w:rPr>
        <w:t>arrangements</w:t>
      </w:r>
      <w:r>
        <w:rPr>
          <w:rFonts w:ascii="Verdana" w:hAnsi="Verdana"/>
          <w:spacing w:val="-1"/>
          <w:sz w:val="22"/>
        </w:rPr>
        <w:t> </w:t>
      </w:r>
      <w:r>
        <w:rPr>
          <w:rFonts w:ascii="Verdana" w:hAnsi="Verdana"/>
          <w:sz w:val="22"/>
        </w:rPr>
        <w:t>into a</w:t>
      </w:r>
      <w:r>
        <w:rPr>
          <w:rFonts w:ascii="Verdana" w:hAnsi="Verdana"/>
          <w:spacing w:val="-2"/>
          <w:sz w:val="22"/>
        </w:rPr>
        <w:t> </w:t>
      </w:r>
      <w:r>
        <w:rPr>
          <w:rFonts w:ascii="Verdana" w:hAnsi="Verdana"/>
          <w:sz w:val="22"/>
        </w:rPr>
        <w:t>more structured</w:t>
      </w:r>
      <w:r>
        <w:rPr>
          <w:rFonts w:ascii="Verdana" w:hAnsi="Verdana"/>
          <w:spacing w:val="-1"/>
          <w:sz w:val="22"/>
        </w:rPr>
        <w:t> </w:t>
      </w:r>
      <w:r>
        <w:rPr>
          <w:rFonts w:ascii="Verdana" w:hAnsi="Verdana"/>
          <w:sz w:val="22"/>
        </w:rPr>
        <w:t>articulation</w:t>
      </w:r>
      <w:r>
        <w:rPr>
          <w:rFonts w:ascii="Verdana" w:hAnsi="Verdana"/>
          <w:spacing w:val="-1"/>
          <w:sz w:val="22"/>
        </w:rPr>
        <w:t> </w:t>
      </w:r>
      <w:r>
        <w:rPr>
          <w:rFonts w:ascii="Verdana" w:hAnsi="Verdana"/>
          <w:sz w:val="22"/>
        </w:rPr>
        <w:t>of</w:t>
      </w:r>
      <w:r>
        <w:rPr>
          <w:rFonts w:ascii="Verdana" w:hAnsi="Verdana"/>
          <w:spacing w:val="-2"/>
          <w:sz w:val="22"/>
        </w:rPr>
        <w:t> </w:t>
      </w:r>
      <w:r>
        <w:rPr>
          <w:rFonts w:ascii="Verdana" w:hAnsi="Verdana"/>
          <w:sz w:val="22"/>
        </w:rPr>
        <w:t>regional priorities aligned</w:t>
      </w:r>
      <w:r>
        <w:rPr>
          <w:rFonts w:ascii="Verdana" w:hAnsi="Verdana"/>
          <w:spacing w:val="-1"/>
          <w:sz w:val="22"/>
        </w:rPr>
        <w:t> </w:t>
      </w:r>
      <w:r>
        <w:rPr>
          <w:rFonts w:ascii="Verdana" w:hAnsi="Verdana"/>
          <w:sz w:val="22"/>
        </w:rPr>
        <w:t>to its core</w:t>
      </w:r>
      <w:r>
        <w:rPr>
          <w:rFonts w:ascii="Verdana" w:hAnsi="Verdana"/>
          <w:spacing w:val="-2"/>
          <w:sz w:val="22"/>
        </w:rPr>
        <w:t> </w:t>
      </w:r>
      <w:r>
        <w:rPr>
          <w:rFonts w:ascii="Verdana" w:hAnsi="Verdana"/>
          <w:sz w:val="22"/>
        </w:rPr>
        <w:t>objectives.</w:t>
      </w:r>
      <w:r>
        <w:rPr>
          <w:rFonts w:ascii="Verdana" w:hAnsi="Verdana"/>
          <w:spacing w:val="-1"/>
          <w:sz w:val="22"/>
        </w:rPr>
        <w:t> </w:t>
      </w:r>
      <w:r>
        <w:rPr>
          <w:rFonts w:ascii="Verdana" w:hAnsi="Verdana"/>
          <w:sz w:val="22"/>
        </w:rPr>
        <w:t>Comparison of the</w:t>
      </w:r>
      <w:r>
        <w:rPr>
          <w:rFonts w:ascii="Verdana" w:hAnsi="Verdana"/>
          <w:spacing w:val="-1"/>
          <w:sz w:val="22"/>
        </w:rPr>
        <w:t> </w:t>
      </w:r>
      <w:r>
        <w:rPr>
          <w:rFonts w:ascii="Verdana" w:hAnsi="Verdana"/>
          <w:sz w:val="22"/>
        </w:rPr>
        <w:t>2026/27 work</w:t>
      </w:r>
      <w:r>
        <w:rPr>
          <w:rFonts w:ascii="Verdana" w:hAnsi="Verdana"/>
          <w:spacing w:val="-1"/>
          <w:sz w:val="22"/>
        </w:rPr>
        <w:t> </w:t>
      </w:r>
      <w:r>
        <w:rPr>
          <w:rFonts w:ascii="Verdana" w:hAnsi="Verdana"/>
          <w:sz w:val="22"/>
        </w:rPr>
        <w:t>programme</w:t>
      </w:r>
      <w:r>
        <w:rPr>
          <w:rFonts w:ascii="Verdana" w:hAnsi="Verdana"/>
          <w:spacing w:val="-1"/>
          <w:sz w:val="22"/>
        </w:rPr>
        <w:t> </w:t>
      </w:r>
      <w:r>
        <w:rPr>
          <w:rFonts w:ascii="Verdana" w:hAnsi="Verdana"/>
          <w:sz w:val="22"/>
        </w:rPr>
        <w:t>with</w:t>
      </w:r>
      <w:r>
        <w:rPr>
          <w:rFonts w:ascii="Verdana" w:hAnsi="Verdana"/>
          <w:spacing w:val="-1"/>
          <w:sz w:val="22"/>
        </w:rPr>
        <w:t> </w:t>
      </w:r>
      <w:r>
        <w:rPr>
          <w:rFonts w:ascii="Verdana" w:hAnsi="Verdana"/>
          <w:sz w:val="22"/>
        </w:rPr>
        <w:t>both Health</w:t>
      </w:r>
      <w:r>
        <w:rPr>
          <w:rFonts w:ascii="Verdana" w:hAnsi="Verdana"/>
          <w:spacing w:val="-1"/>
          <w:sz w:val="22"/>
        </w:rPr>
        <w:t> </w:t>
      </w:r>
      <w:r>
        <w:rPr>
          <w:rFonts w:ascii="Verdana" w:hAnsi="Verdana"/>
          <w:sz w:val="22"/>
        </w:rPr>
        <w:t>Boards’ Annual</w:t>
      </w:r>
      <w:r>
        <w:rPr>
          <w:rFonts w:ascii="Verdana" w:hAnsi="Verdana"/>
          <w:spacing w:val="-1"/>
          <w:sz w:val="22"/>
        </w:rPr>
        <w:t> </w:t>
      </w:r>
      <w:r>
        <w:rPr>
          <w:rFonts w:ascii="Verdana" w:hAnsi="Verdana"/>
          <w:sz w:val="22"/>
        </w:rPr>
        <w:t>Plans</w:t>
      </w:r>
      <w:r>
        <w:rPr>
          <w:rFonts w:ascii="Verdana" w:hAnsi="Verdana"/>
          <w:spacing w:val="-2"/>
          <w:sz w:val="22"/>
        </w:rPr>
        <w:t> </w:t>
      </w:r>
      <w:r>
        <w:rPr>
          <w:rFonts w:ascii="Verdana" w:hAnsi="Verdana"/>
          <w:sz w:val="22"/>
        </w:rPr>
        <w:t>confirms alignment between regional priorities and organisational commitments, providing a clear line of sight between regional planning and local delivery.</w:t>
      </w:r>
    </w:p>
    <w:p>
      <w:pPr>
        <w:spacing w:before="122"/>
        <w:ind w:left="255" w:right="341" w:firstLine="0"/>
        <w:jc w:val="both"/>
        <w:rPr>
          <w:rFonts w:ascii="Verdana"/>
          <w:sz w:val="22"/>
        </w:rPr>
      </w:pPr>
      <w:r>
        <w:rPr>
          <w:rFonts w:ascii="Verdana"/>
          <w:sz w:val="22"/>
        </w:rPr>
        <mc:AlternateContent>
          <mc:Choice Requires="wps">
            <w:drawing>
              <wp:anchor distT="0" distB="0" distL="0" distR="0" allowOverlap="1" layoutInCell="1" locked="0" behindDoc="0" simplePos="0" relativeHeight="15857664">
                <wp:simplePos x="0" y="0"/>
                <wp:positionH relativeFrom="page">
                  <wp:posOffset>4918493</wp:posOffset>
                </wp:positionH>
                <wp:positionV relativeFrom="paragraph">
                  <wp:posOffset>1799034</wp:posOffset>
                </wp:positionV>
                <wp:extent cx="855980" cy="193040"/>
                <wp:effectExtent l="0" t="0" r="0" b="0"/>
                <wp:wrapNone/>
                <wp:docPr id="643" name="Group 643"/>
                <wp:cNvGraphicFramePr>
                  <a:graphicFrameLocks/>
                </wp:cNvGraphicFramePr>
                <a:graphic>
                  <a:graphicData uri="http://schemas.microsoft.com/office/word/2010/wordprocessingGroup">
                    <wpg:wgp>
                      <wpg:cNvPr id="643" name="Group 643"/>
                      <wpg:cNvGrpSpPr/>
                      <wpg:grpSpPr>
                        <a:xfrm>
                          <a:off x="0" y="0"/>
                          <a:ext cx="855980" cy="193040"/>
                          <a:chExt cx="855980" cy="193040"/>
                        </a:xfrm>
                      </wpg:grpSpPr>
                      <pic:pic>
                        <pic:nvPicPr>
                          <pic:cNvPr id="644" name="Image 644"/>
                          <pic:cNvPicPr/>
                        </pic:nvPicPr>
                        <pic:blipFill>
                          <a:blip r:embed="rId23" cstate="print"/>
                          <a:stretch>
                            <a:fillRect/>
                          </a:stretch>
                        </pic:blipFill>
                        <pic:spPr>
                          <a:xfrm>
                            <a:off x="0" y="0"/>
                            <a:ext cx="855390" cy="192463"/>
                          </a:xfrm>
                          <a:prstGeom prst="rect">
                            <a:avLst/>
                          </a:prstGeom>
                        </pic:spPr>
                      </pic:pic>
                      <wps:wsp>
                        <wps:cNvPr id="645" name="Textbox 645"/>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177</w:t>
                              </w:r>
                            </w:p>
                          </w:txbxContent>
                        </wps:txbx>
                        <wps:bodyPr wrap="square" lIns="0" tIns="0" rIns="0" bIns="0" rtlCol="0">
                          <a:noAutofit/>
                        </wps:bodyPr>
                      </wps:wsp>
                    </wpg:wgp>
                  </a:graphicData>
                </a:graphic>
              </wp:anchor>
            </w:drawing>
          </mc:Choice>
          <mc:Fallback>
            <w:pict>
              <v:group style="position:absolute;margin-left:387.28299pt;margin-top:141.656281pt;width:67.4pt;height:15.2pt;mso-position-horizontal-relative:page;mso-position-vertical-relative:paragraph;z-index:15857664" id="docshapegroup406" coordorigin="7746,2833" coordsize="1348,304">
                <v:shape style="position:absolute;left:7745;top:2833;width:1348;height:304" type="#_x0000_t75" id="docshape407" stroked="false">
                  <v:imagedata r:id="rId23" o:title=""/>
                </v:shape>
                <v:shape style="position:absolute;left:7745;top:2833;width:1348;height:304" type="#_x0000_t202" id="docshape408" filled="false" stroked="false">
                  <v:textbox inset="0,0,0,0">
                    <w:txbxContent>
                      <w:p>
                        <w:pPr>
                          <w:spacing w:before="106"/>
                          <w:ind w:left="337" w:right="0" w:firstLine="0"/>
                          <w:jc w:val="left"/>
                          <w:rPr>
                            <w:sz w:val="15"/>
                          </w:rPr>
                        </w:pPr>
                        <w:r>
                          <w:rPr>
                            <w:w w:val="105"/>
                            <w:sz w:val="15"/>
                          </w:rPr>
                          <w:t>Page</w:t>
                        </w:r>
                        <w:r>
                          <w:rPr>
                            <w:spacing w:val="-5"/>
                            <w:w w:val="105"/>
                            <w:sz w:val="15"/>
                          </w:rPr>
                          <w:t> 177</w:t>
                        </w:r>
                      </w:p>
                    </w:txbxContent>
                  </v:textbox>
                  <w10:wrap type="none"/>
                </v:shape>
                <w10:wrap type="none"/>
              </v:group>
            </w:pict>
          </mc:Fallback>
        </mc:AlternateContent>
      </w:r>
      <w:r>
        <w:rPr>
          <w:rFonts w:ascii="Verdana"/>
          <w:sz w:val="22"/>
        </w:rPr>
        <w:t>Earlier</w:t>
      </w:r>
      <w:r>
        <w:rPr>
          <w:rFonts w:ascii="Verdana"/>
          <w:spacing w:val="-17"/>
          <w:sz w:val="22"/>
        </w:rPr>
        <w:t> </w:t>
      </w:r>
      <w:r>
        <w:rPr>
          <w:rFonts w:ascii="Verdana"/>
          <w:sz w:val="22"/>
        </w:rPr>
        <w:t>iterations</w:t>
      </w:r>
      <w:r>
        <w:rPr>
          <w:rFonts w:ascii="Verdana"/>
          <w:spacing w:val="-16"/>
          <w:sz w:val="22"/>
        </w:rPr>
        <w:t> </w:t>
      </w:r>
      <w:r>
        <w:rPr>
          <w:rFonts w:ascii="Verdana"/>
          <w:sz w:val="22"/>
        </w:rPr>
        <w:t>of</w:t>
      </w:r>
      <w:r>
        <w:rPr>
          <w:rFonts w:ascii="Verdana"/>
          <w:spacing w:val="-17"/>
          <w:sz w:val="22"/>
        </w:rPr>
        <w:t> </w:t>
      </w:r>
      <w:r>
        <w:rPr>
          <w:rFonts w:ascii="Verdana"/>
          <w:sz w:val="22"/>
        </w:rPr>
        <w:t>the</w:t>
      </w:r>
      <w:r>
        <w:rPr>
          <w:rFonts w:ascii="Verdana"/>
          <w:spacing w:val="-16"/>
          <w:sz w:val="22"/>
        </w:rPr>
        <w:t> </w:t>
      </w:r>
      <w:r>
        <w:rPr>
          <w:rFonts w:ascii="Verdana"/>
          <w:sz w:val="22"/>
        </w:rPr>
        <w:t>work</w:t>
      </w:r>
      <w:r>
        <w:rPr>
          <w:rFonts w:ascii="Verdana"/>
          <w:spacing w:val="-17"/>
          <w:sz w:val="22"/>
        </w:rPr>
        <w:t> </w:t>
      </w:r>
      <w:r>
        <w:rPr>
          <w:rFonts w:ascii="Verdana"/>
          <w:sz w:val="22"/>
        </w:rPr>
        <w:t>programme</w:t>
      </w:r>
      <w:r>
        <w:rPr>
          <w:rFonts w:ascii="Verdana"/>
          <w:spacing w:val="-16"/>
          <w:sz w:val="22"/>
        </w:rPr>
        <w:t> </w:t>
      </w:r>
      <w:r>
        <w:rPr>
          <w:rFonts w:ascii="Verdana"/>
          <w:sz w:val="22"/>
        </w:rPr>
        <w:t>incorporated</w:t>
      </w:r>
      <w:r>
        <w:rPr>
          <w:rFonts w:ascii="Verdana"/>
          <w:spacing w:val="-17"/>
          <w:sz w:val="22"/>
        </w:rPr>
        <w:t> </w:t>
      </w:r>
      <w:r>
        <w:rPr>
          <w:rFonts w:ascii="Verdana"/>
          <w:sz w:val="22"/>
        </w:rPr>
        <w:t>a</w:t>
      </w:r>
      <w:r>
        <w:rPr>
          <w:rFonts w:ascii="Verdana"/>
          <w:spacing w:val="-17"/>
          <w:sz w:val="22"/>
        </w:rPr>
        <w:t> </w:t>
      </w:r>
      <w:r>
        <w:rPr>
          <w:rFonts w:ascii="Verdana"/>
          <w:sz w:val="22"/>
        </w:rPr>
        <w:t>subgroup</w:t>
      </w:r>
      <w:r>
        <w:rPr>
          <w:rFonts w:ascii="Verdana"/>
          <w:spacing w:val="-17"/>
          <w:sz w:val="22"/>
        </w:rPr>
        <w:t> </w:t>
      </w:r>
      <w:r>
        <w:rPr>
          <w:rFonts w:ascii="Verdana"/>
          <w:sz w:val="22"/>
        </w:rPr>
        <w:t>maturity</w:t>
      </w:r>
      <w:r>
        <w:rPr>
          <w:rFonts w:ascii="Verdana"/>
          <w:spacing w:val="-18"/>
          <w:sz w:val="22"/>
        </w:rPr>
        <w:t> </w:t>
      </w:r>
      <w:r>
        <w:rPr>
          <w:rFonts w:ascii="Verdana"/>
          <w:sz w:val="22"/>
        </w:rPr>
        <w:t>assessment</w:t>
      </w:r>
      <w:r>
        <w:rPr>
          <w:rFonts w:ascii="Verdana"/>
          <w:spacing w:val="-20"/>
          <w:sz w:val="22"/>
        </w:rPr>
        <w:t> </w:t>
      </w:r>
      <w:r>
        <w:rPr>
          <w:rFonts w:ascii="Verdana"/>
          <w:sz w:val="22"/>
        </w:rPr>
        <w:t>(see</w:t>
      </w:r>
      <w:r>
        <w:rPr>
          <w:rFonts w:ascii="Verdana"/>
          <w:spacing w:val="-14"/>
          <w:sz w:val="22"/>
        </w:rPr>
        <w:t> </w:t>
      </w:r>
      <w:r>
        <w:rPr>
          <w:rFonts w:ascii="Verdana"/>
          <w:b/>
          <w:sz w:val="22"/>
        </w:rPr>
        <w:t>Appendix</w:t>
      </w:r>
      <w:r>
        <w:rPr>
          <w:rFonts w:ascii="Verdana"/>
          <w:b/>
          <w:spacing w:val="-16"/>
          <w:sz w:val="22"/>
        </w:rPr>
        <w:t> </w:t>
      </w:r>
      <w:r>
        <w:rPr>
          <w:rFonts w:ascii="Verdana"/>
          <w:b/>
          <w:sz w:val="22"/>
        </w:rPr>
        <w:t>A</w:t>
      </w:r>
      <w:r>
        <w:rPr>
          <w:rFonts w:ascii="Verdana"/>
          <w:sz w:val="22"/>
        </w:rPr>
        <w:t>),</w:t>
      </w:r>
      <w:r>
        <w:rPr>
          <w:rFonts w:ascii="Verdana"/>
          <w:spacing w:val="-15"/>
          <w:sz w:val="22"/>
        </w:rPr>
        <w:t> </w:t>
      </w:r>
      <w:r>
        <w:rPr>
          <w:rFonts w:ascii="Verdana"/>
          <w:sz w:val="22"/>
        </w:rPr>
        <w:t>providing</w:t>
      </w:r>
      <w:r>
        <w:rPr>
          <w:rFonts w:ascii="Verdana"/>
          <w:spacing w:val="-18"/>
          <w:sz w:val="22"/>
        </w:rPr>
        <w:t> </w:t>
      </w:r>
      <w:r>
        <w:rPr>
          <w:rFonts w:ascii="Verdana"/>
          <w:sz w:val="22"/>
        </w:rPr>
        <w:t>a</w:t>
      </w:r>
      <w:r>
        <w:rPr>
          <w:rFonts w:ascii="Verdana"/>
          <w:spacing w:val="-17"/>
          <w:sz w:val="22"/>
        </w:rPr>
        <w:t> </w:t>
      </w:r>
      <w:r>
        <w:rPr>
          <w:rFonts w:ascii="Verdana"/>
          <w:sz w:val="22"/>
        </w:rPr>
        <w:t>structured</w:t>
      </w:r>
      <w:r>
        <w:rPr>
          <w:rFonts w:ascii="Verdana"/>
          <w:spacing w:val="-15"/>
          <w:sz w:val="22"/>
        </w:rPr>
        <w:t> </w:t>
      </w:r>
      <w:r>
        <w:rPr>
          <w:rFonts w:ascii="Verdana"/>
          <w:sz w:val="22"/>
        </w:rPr>
        <w:t>view</w:t>
      </w:r>
      <w:r>
        <w:rPr>
          <w:rFonts w:ascii="Verdana"/>
          <w:spacing w:val="-17"/>
          <w:sz w:val="22"/>
        </w:rPr>
        <w:t> </w:t>
      </w:r>
      <w:r>
        <w:rPr>
          <w:rFonts w:ascii="Verdana"/>
          <w:sz w:val="22"/>
        </w:rPr>
        <w:t>of</w:t>
      </w:r>
      <w:r>
        <w:rPr>
          <w:rFonts w:ascii="Verdana"/>
          <w:spacing w:val="-17"/>
          <w:sz w:val="22"/>
        </w:rPr>
        <w:t> </w:t>
      </w:r>
      <w:r>
        <w:rPr>
          <w:rFonts w:ascii="Verdana"/>
          <w:sz w:val="22"/>
        </w:rPr>
        <w:t>relative development across the RJC portfolio. This enabled clearer differentiation between established delivery areas and those still in scoping or development phases, supporting more informed oversight by the RJC. We have prepared an updated maturity assessment (see </w:t>
      </w:r>
      <w:r>
        <w:rPr>
          <w:rFonts w:ascii="Verdana"/>
          <w:b/>
          <w:sz w:val="22"/>
        </w:rPr>
        <w:t>Appendix B</w:t>
      </w:r>
      <w:r>
        <w:rPr>
          <w:rFonts w:ascii="Verdana"/>
          <w:sz w:val="22"/>
        </w:rPr>
        <w:t>), based on a review of supporting documentation for each subgroup, which provides a current view of their development.</w:t>
      </w:r>
    </w:p>
    <w:p>
      <w:pPr>
        <w:pStyle w:val="BodyText"/>
        <w:rPr>
          <w:rFonts w:ascii="Verdana"/>
          <w:sz w:val="20"/>
        </w:rPr>
      </w:pPr>
    </w:p>
    <w:p>
      <w:pPr>
        <w:pStyle w:val="BodyText"/>
        <w:rPr>
          <w:rFonts w:ascii="Verdana"/>
          <w:sz w:val="20"/>
        </w:rPr>
      </w:pPr>
    </w:p>
    <w:p>
      <w:pPr>
        <w:pStyle w:val="BodyText"/>
        <w:spacing w:before="235"/>
        <w:rPr>
          <w:rFonts w:ascii="Verdana"/>
          <w:sz w:val="20"/>
        </w:rPr>
      </w:pPr>
      <w:r>
        <w:rPr>
          <w:rFonts w:ascii="Verdana"/>
          <w:sz w:val="20"/>
        </w:rPr>
        <mc:AlternateContent>
          <mc:Choice Requires="wps">
            <w:drawing>
              <wp:anchor distT="0" distB="0" distL="0" distR="0" allowOverlap="1" layoutInCell="1" locked="0" behindDoc="1" simplePos="0" relativeHeight="487714816">
                <wp:simplePos x="0" y="0"/>
                <wp:positionH relativeFrom="page">
                  <wp:posOffset>457200</wp:posOffset>
                </wp:positionH>
                <wp:positionV relativeFrom="paragraph">
                  <wp:posOffset>318874</wp:posOffset>
                </wp:positionV>
                <wp:extent cx="1829435" cy="9525"/>
                <wp:effectExtent l="0" t="0" r="0" b="0"/>
                <wp:wrapTopAndBottom/>
                <wp:docPr id="646" name="Graphic 646"/>
                <wp:cNvGraphicFramePr>
                  <a:graphicFrameLocks/>
                </wp:cNvGraphicFramePr>
                <a:graphic>
                  <a:graphicData uri="http://schemas.microsoft.com/office/word/2010/wordprocessingShape">
                    <wps:wsp>
                      <wps:cNvPr id="646" name="Graphic 646"/>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pt;margin-top:25.108217pt;width:144.020pt;height:.71997pt;mso-position-horizontal-relative:page;mso-position-vertical-relative:paragraph;z-index:-15601664;mso-wrap-distance-left:0;mso-wrap-distance-right:0" id="docshape409" filled="true" fillcolor="#000000" stroked="false">
                <v:fill type="solid"/>
                <w10:wrap type="topAndBottom"/>
              </v:rect>
            </w:pict>
          </mc:Fallback>
        </mc:AlternateContent>
      </w:r>
    </w:p>
    <w:p>
      <w:pPr>
        <w:spacing w:before="102"/>
        <w:ind w:left="579" w:right="0" w:firstLine="0"/>
        <w:jc w:val="left"/>
        <w:rPr>
          <w:rFonts w:ascii="Calibri"/>
          <w:sz w:val="20"/>
        </w:rPr>
      </w:pPr>
      <w:r>
        <w:rPr>
          <w:rFonts w:ascii="Calibri"/>
          <w:sz w:val="20"/>
          <w:vertAlign w:val="superscript"/>
        </w:rPr>
        <w:t>2</w:t>
      </w:r>
      <w:r>
        <w:rPr>
          <w:rFonts w:ascii="Calibri"/>
          <w:spacing w:val="-5"/>
          <w:sz w:val="20"/>
          <w:vertAlign w:val="baseline"/>
        </w:rPr>
        <w:t> </w:t>
      </w:r>
      <w:r>
        <w:rPr>
          <w:rFonts w:ascii="Calibri"/>
          <w:sz w:val="20"/>
          <w:vertAlign w:val="baseline"/>
        </w:rPr>
        <w:t>Regional</w:t>
      </w:r>
      <w:r>
        <w:rPr>
          <w:rFonts w:ascii="Calibri"/>
          <w:spacing w:val="-4"/>
          <w:sz w:val="20"/>
          <w:vertAlign w:val="baseline"/>
        </w:rPr>
        <w:t> </w:t>
      </w:r>
      <w:r>
        <w:rPr>
          <w:rFonts w:ascii="Calibri"/>
          <w:sz w:val="20"/>
          <w:vertAlign w:val="baseline"/>
        </w:rPr>
        <w:t>Health</w:t>
      </w:r>
      <w:r>
        <w:rPr>
          <w:rFonts w:ascii="Calibri"/>
          <w:spacing w:val="-4"/>
          <w:sz w:val="20"/>
          <w:vertAlign w:val="baseline"/>
        </w:rPr>
        <w:t> </w:t>
      </w:r>
      <w:r>
        <w:rPr>
          <w:rFonts w:ascii="Calibri"/>
          <w:sz w:val="20"/>
          <w:vertAlign w:val="baseline"/>
        </w:rPr>
        <w:t>Economy</w:t>
      </w:r>
      <w:r>
        <w:rPr>
          <w:rFonts w:ascii="Calibri"/>
          <w:spacing w:val="-4"/>
          <w:sz w:val="20"/>
          <w:vertAlign w:val="baseline"/>
        </w:rPr>
        <w:t> </w:t>
      </w:r>
      <w:r>
        <w:rPr>
          <w:rFonts w:ascii="Calibri"/>
          <w:sz w:val="20"/>
          <w:vertAlign w:val="baseline"/>
        </w:rPr>
        <w:t>Subgroup,</w:t>
      </w:r>
      <w:r>
        <w:rPr>
          <w:rFonts w:ascii="Calibri"/>
          <w:spacing w:val="-4"/>
          <w:sz w:val="20"/>
          <w:vertAlign w:val="baseline"/>
        </w:rPr>
        <w:t> </w:t>
      </w:r>
      <w:r>
        <w:rPr>
          <w:rFonts w:ascii="Calibri"/>
          <w:sz w:val="20"/>
          <w:vertAlign w:val="baseline"/>
        </w:rPr>
        <w:t>Regional</w:t>
      </w:r>
      <w:r>
        <w:rPr>
          <w:rFonts w:ascii="Calibri"/>
          <w:spacing w:val="-4"/>
          <w:sz w:val="20"/>
          <w:vertAlign w:val="baseline"/>
        </w:rPr>
        <w:t> </w:t>
      </w:r>
      <w:r>
        <w:rPr>
          <w:rFonts w:ascii="Calibri"/>
          <w:sz w:val="20"/>
          <w:vertAlign w:val="baseline"/>
        </w:rPr>
        <w:t>Clinical</w:t>
      </w:r>
      <w:r>
        <w:rPr>
          <w:rFonts w:ascii="Calibri"/>
          <w:spacing w:val="-5"/>
          <w:sz w:val="20"/>
          <w:vertAlign w:val="baseline"/>
        </w:rPr>
        <w:t> </w:t>
      </w:r>
      <w:r>
        <w:rPr>
          <w:rFonts w:ascii="Calibri"/>
          <w:sz w:val="20"/>
          <w:vertAlign w:val="baseline"/>
        </w:rPr>
        <w:t>Services</w:t>
      </w:r>
      <w:r>
        <w:rPr>
          <w:rFonts w:ascii="Calibri"/>
          <w:spacing w:val="-3"/>
          <w:sz w:val="20"/>
          <w:vertAlign w:val="baseline"/>
        </w:rPr>
        <w:t> </w:t>
      </w:r>
      <w:r>
        <w:rPr>
          <w:rFonts w:ascii="Calibri"/>
          <w:sz w:val="20"/>
          <w:vertAlign w:val="baseline"/>
        </w:rPr>
        <w:t>Planning</w:t>
      </w:r>
      <w:r>
        <w:rPr>
          <w:rFonts w:ascii="Calibri"/>
          <w:spacing w:val="-5"/>
          <w:sz w:val="20"/>
          <w:vertAlign w:val="baseline"/>
        </w:rPr>
        <w:t> </w:t>
      </w:r>
      <w:r>
        <w:rPr>
          <w:rFonts w:ascii="Calibri"/>
          <w:sz w:val="20"/>
          <w:vertAlign w:val="baseline"/>
        </w:rPr>
        <w:t>Subgroup,</w:t>
      </w:r>
      <w:r>
        <w:rPr>
          <w:rFonts w:ascii="Calibri"/>
          <w:spacing w:val="-4"/>
          <w:sz w:val="20"/>
          <w:vertAlign w:val="baseline"/>
        </w:rPr>
        <w:t> </w:t>
      </w:r>
      <w:r>
        <w:rPr>
          <w:rFonts w:ascii="Calibri"/>
          <w:sz w:val="20"/>
          <w:vertAlign w:val="baseline"/>
        </w:rPr>
        <w:t>Regional</w:t>
      </w:r>
      <w:r>
        <w:rPr>
          <w:rFonts w:ascii="Calibri"/>
          <w:spacing w:val="-4"/>
          <w:sz w:val="20"/>
          <w:vertAlign w:val="baseline"/>
        </w:rPr>
        <w:t> </w:t>
      </w:r>
      <w:r>
        <w:rPr>
          <w:rFonts w:ascii="Calibri"/>
          <w:sz w:val="20"/>
          <w:vertAlign w:val="baseline"/>
        </w:rPr>
        <w:t>Workforce</w:t>
      </w:r>
      <w:r>
        <w:rPr>
          <w:rFonts w:ascii="Calibri"/>
          <w:spacing w:val="-3"/>
          <w:sz w:val="20"/>
          <w:vertAlign w:val="baseline"/>
        </w:rPr>
        <w:t> </w:t>
      </w:r>
      <w:r>
        <w:rPr>
          <w:rFonts w:ascii="Calibri"/>
          <w:sz w:val="20"/>
          <w:vertAlign w:val="baseline"/>
        </w:rPr>
        <w:t>&amp;</w:t>
      </w:r>
      <w:r>
        <w:rPr>
          <w:rFonts w:ascii="Calibri"/>
          <w:spacing w:val="-4"/>
          <w:sz w:val="20"/>
          <w:vertAlign w:val="baseline"/>
        </w:rPr>
        <w:t> </w:t>
      </w:r>
      <w:r>
        <w:rPr>
          <w:rFonts w:ascii="Calibri"/>
          <w:sz w:val="20"/>
          <w:vertAlign w:val="baseline"/>
        </w:rPr>
        <w:t>OD</w:t>
      </w:r>
      <w:r>
        <w:rPr>
          <w:rFonts w:ascii="Calibri"/>
          <w:spacing w:val="-2"/>
          <w:sz w:val="20"/>
          <w:vertAlign w:val="baseline"/>
        </w:rPr>
        <w:t> </w:t>
      </w:r>
      <w:r>
        <w:rPr>
          <w:rFonts w:ascii="Calibri"/>
          <w:sz w:val="20"/>
          <w:vertAlign w:val="baseline"/>
        </w:rPr>
        <w:t>Subgroup,</w:t>
      </w:r>
      <w:r>
        <w:rPr>
          <w:rFonts w:ascii="Calibri"/>
          <w:spacing w:val="-4"/>
          <w:sz w:val="20"/>
          <w:vertAlign w:val="baseline"/>
        </w:rPr>
        <w:t> </w:t>
      </w:r>
      <w:r>
        <w:rPr>
          <w:rFonts w:ascii="Calibri"/>
          <w:sz w:val="20"/>
          <w:vertAlign w:val="baseline"/>
        </w:rPr>
        <w:t>Regional</w:t>
      </w:r>
      <w:r>
        <w:rPr>
          <w:rFonts w:ascii="Calibri"/>
          <w:spacing w:val="-4"/>
          <w:sz w:val="20"/>
          <w:vertAlign w:val="baseline"/>
        </w:rPr>
        <w:t> </w:t>
      </w:r>
      <w:r>
        <w:rPr>
          <w:rFonts w:ascii="Calibri"/>
          <w:sz w:val="20"/>
          <w:vertAlign w:val="baseline"/>
        </w:rPr>
        <w:t>Digital</w:t>
      </w:r>
      <w:r>
        <w:rPr>
          <w:rFonts w:ascii="Calibri"/>
          <w:spacing w:val="-5"/>
          <w:sz w:val="20"/>
          <w:vertAlign w:val="baseline"/>
        </w:rPr>
        <w:t> </w:t>
      </w:r>
      <w:r>
        <w:rPr>
          <w:rFonts w:ascii="Calibri"/>
          <w:sz w:val="20"/>
          <w:vertAlign w:val="baseline"/>
        </w:rPr>
        <w:t>&amp;</w:t>
      </w:r>
      <w:r>
        <w:rPr>
          <w:rFonts w:ascii="Calibri"/>
          <w:spacing w:val="-4"/>
          <w:sz w:val="20"/>
          <w:vertAlign w:val="baseline"/>
        </w:rPr>
        <w:t> </w:t>
      </w:r>
      <w:r>
        <w:rPr>
          <w:rFonts w:ascii="Calibri"/>
          <w:sz w:val="20"/>
          <w:vertAlign w:val="baseline"/>
        </w:rPr>
        <w:t>Data</w:t>
      </w:r>
      <w:r>
        <w:rPr>
          <w:rFonts w:ascii="Calibri"/>
          <w:spacing w:val="-2"/>
          <w:sz w:val="20"/>
          <w:vertAlign w:val="baseline"/>
        </w:rPr>
        <w:t> </w:t>
      </w:r>
      <w:r>
        <w:rPr>
          <w:rFonts w:ascii="Calibri"/>
          <w:sz w:val="20"/>
          <w:vertAlign w:val="baseline"/>
        </w:rPr>
        <w:t>Subgroup,</w:t>
      </w:r>
      <w:r>
        <w:rPr>
          <w:rFonts w:ascii="Calibri"/>
          <w:spacing w:val="-4"/>
          <w:sz w:val="20"/>
          <w:vertAlign w:val="baseline"/>
        </w:rPr>
        <w:t> </w:t>
      </w:r>
      <w:r>
        <w:rPr>
          <w:rFonts w:ascii="Calibri"/>
          <w:sz w:val="20"/>
          <w:vertAlign w:val="baseline"/>
        </w:rPr>
        <w:t>Regional</w:t>
      </w:r>
      <w:r>
        <w:rPr>
          <w:rFonts w:ascii="Calibri"/>
          <w:spacing w:val="-4"/>
          <w:sz w:val="20"/>
          <w:vertAlign w:val="baseline"/>
        </w:rPr>
        <w:t> </w:t>
      </w:r>
      <w:r>
        <w:rPr>
          <w:rFonts w:ascii="Calibri"/>
          <w:sz w:val="20"/>
          <w:vertAlign w:val="baseline"/>
        </w:rPr>
        <w:t>Finance</w:t>
      </w:r>
      <w:r>
        <w:rPr>
          <w:rFonts w:ascii="Calibri"/>
          <w:spacing w:val="-5"/>
          <w:sz w:val="20"/>
          <w:vertAlign w:val="baseline"/>
        </w:rPr>
        <w:t> </w:t>
      </w:r>
      <w:r>
        <w:rPr>
          <w:rFonts w:ascii="Calibri"/>
          <w:sz w:val="20"/>
          <w:vertAlign w:val="baseline"/>
        </w:rPr>
        <w:t>and</w:t>
      </w:r>
      <w:r>
        <w:rPr>
          <w:rFonts w:ascii="Calibri"/>
          <w:spacing w:val="-4"/>
          <w:sz w:val="20"/>
          <w:vertAlign w:val="baseline"/>
        </w:rPr>
        <w:t> </w:t>
      </w:r>
      <w:r>
        <w:rPr>
          <w:rFonts w:ascii="Calibri"/>
          <w:sz w:val="20"/>
          <w:vertAlign w:val="baseline"/>
        </w:rPr>
        <w:t>Contracting Subgroup, Regional Research Innovation &amp; Excellence Subgroup.</w:t>
      </w:r>
    </w:p>
    <w:p>
      <w:pPr>
        <w:pStyle w:val="BodyText"/>
        <w:spacing w:before="7"/>
        <w:rPr>
          <w:rFonts w:ascii="Calibri"/>
          <w:sz w:val="3"/>
        </w:rPr>
      </w:pPr>
      <w:r>
        <w:rPr>
          <w:rFonts w:ascii="Calibri"/>
          <w:sz w:val="3"/>
        </w:rPr>
        <mc:AlternateContent>
          <mc:Choice Requires="wps">
            <w:drawing>
              <wp:anchor distT="0" distB="0" distL="0" distR="0" allowOverlap="1" layoutInCell="1" locked="0" behindDoc="1" simplePos="0" relativeHeight="487715328">
                <wp:simplePos x="0" y="0"/>
                <wp:positionH relativeFrom="page">
                  <wp:posOffset>10068814</wp:posOffset>
                </wp:positionH>
                <wp:positionV relativeFrom="paragraph">
                  <wp:posOffset>43051</wp:posOffset>
                </wp:positionV>
                <wp:extent cx="419734" cy="6350"/>
                <wp:effectExtent l="0" t="0" r="0" b="0"/>
                <wp:wrapTopAndBottom/>
                <wp:docPr id="647" name="Graphic 647"/>
                <wp:cNvGraphicFramePr>
                  <a:graphicFrameLocks/>
                </wp:cNvGraphicFramePr>
                <a:graphic>
                  <a:graphicData uri="http://schemas.microsoft.com/office/word/2010/wordprocessingShape">
                    <wps:wsp>
                      <wps:cNvPr id="647" name="Graphic 647"/>
                      <wps:cNvSpPr/>
                      <wps:spPr>
                        <a:xfrm>
                          <a:off x="0" y="0"/>
                          <a:ext cx="419734" cy="6350"/>
                        </a:xfrm>
                        <a:custGeom>
                          <a:avLst/>
                          <a:gdLst/>
                          <a:ahLst/>
                          <a:cxnLst/>
                          <a:rect l="l" t="t" r="r" b="b"/>
                          <a:pathLst>
                            <a:path w="419734" h="6350">
                              <a:moveTo>
                                <a:pt x="419404" y="0"/>
                              </a:moveTo>
                              <a:lnTo>
                                <a:pt x="0" y="0"/>
                              </a:lnTo>
                              <a:lnTo>
                                <a:pt x="0" y="6096"/>
                              </a:lnTo>
                              <a:lnTo>
                                <a:pt x="419404" y="6096"/>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820007pt;margin-top:3.389898pt;width:33.024pt;height:.48004pt;mso-position-horizontal-relative:page;mso-position-vertical-relative:paragraph;z-index:-15601152;mso-wrap-distance-left:0;mso-wrap-distance-right:0" id="docshape410" filled="true" fillcolor="#7e7e7e" stroked="false">
                <v:fill type="solid"/>
                <w10:wrap type="topAndBottom"/>
              </v:rect>
            </w:pict>
          </mc:Fallback>
        </mc:AlternateContent>
      </w:r>
    </w:p>
    <w:p>
      <w:pPr>
        <w:spacing w:before="18"/>
        <w:ind w:left="15989" w:right="0" w:firstLine="0"/>
        <w:jc w:val="left"/>
        <w:rPr>
          <w:rFonts w:ascii="Calibri"/>
          <w:b/>
          <w:sz w:val="22"/>
        </w:rPr>
      </w:pPr>
      <w:r>
        <w:rPr>
          <w:rFonts w:ascii="Calibri"/>
          <w:b/>
          <w:color w:val="001F5F"/>
          <w:spacing w:val="-10"/>
          <w:sz w:val="22"/>
        </w:rPr>
        <w:t>3</w:t>
      </w:r>
    </w:p>
    <w:p>
      <w:pPr>
        <w:spacing w:after="0"/>
        <w:jc w:val="left"/>
        <w:rPr>
          <w:rFonts w:ascii="Calibri"/>
          <w:b/>
          <w:sz w:val="22"/>
        </w:rPr>
        <w:sectPr>
          <w:footerReference w:type="default" r:id="rId93"/>
          <w:pgSz w:w="16840" w:h="11910" w:orient="landscape"/>
          <w:pgMar w:header="0" w:footer="0" w:top="500" w:bottom="0" w:left="141" w:right="141"/>
        </w:sectPr>
      </w:pPr>
    </w:p>
    <w:p>
      <w:pPr>
        <w:spacing w:before="79"/>
        <w:ind w:left="255" w:right="344" w:firstLine="0"/>
        <w:jc w:val="both"/>
        <w:rPr>
          <w:rFonts w:ascii="Verdana" w:hAnsi="Verdana"/>
          <w:sz w:val="22"/>
        </w:rPr>
      </w:pPr>
      <w:r>
        <w:rPr>
          <w:rFonts w:ascii="Verdana" w:hAnsi="Verdana"/>
          <w:sz w:val="22"/>
        </w:rPr>
        <mc:AlternateContent>
          <mc:Choice Requires="wps">
            <w:drawing>
              <wp:anchor distT="0" distB="0" distL="0" distR="0" allowOverlap="1" layoutInCell="1" locked="0" behindDoc="1" simplePos="0" relativeHeight="477213184">
                <wp:simplePos x="0" y="0"/>
                <wp:positionH relativeFrom="page">
                  <wp:posOffset>0</wp:posOffset>
                </wp:positionH>
                <wp:positionV relativeFrom="page">
                  <wp:posOffset>0</wp:posOffset>
                </wp:positionV>
                <wp:extent cx="10694035" cy="7562215"/>
                <wp:effectExtent l="0" t="0" r="0" b="0"/>
                <wp:wrapNone/>
                <wp:docPr id="648" name="Graphic 648"/>
                <wp:cNvGraphicFramePr>
                  <a:graphicFrameLocks/>
                </wp:cNvGraphicFramePr>
                <a:graphic>
                  <a:graphicData uri="http://schemas.microsoft.com/office/word/2010/wordprocessingShape">
                    <wps:wsp>
                      <wps:cNvPr id="648" name="Graphic 648"/>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103296" id="docshape411" filled="true" fillcolor="#eff5f9" stroked="false">
                <v:fill type="solid"/>
                <w10:wrap type="none"/>
              </v:rect>
            </w:pict>
          </mc:Fallback>
        </mc:AlternateContent>
      </w:r>
      <w:r>
        <w:rPr>
          <w:rFonts w:ascii="Verdana" w:hAnsi="Verdana"/>
          <w:sz w:val="22"/>
        </w:rPr>
        <mc:AlternateContent>
          <mc:Choice Requires="wps">
            <w:drawing>
              <wp:anchor distT="0" distB="0" distL="0" distR="0" allowOverlap="1" layoutInCell="1" locked="0" behindDoc="1" simplePos="0" relativeHeight="477213696">
                <wp:simplePos x="0" y="0"/>
                <wp:positionH relativeFrom="page">
                  <wp:posOffset>182879</wp:posOffset>
                </wp:positionH>
                <wp:positionV relativeFrom="paragraph">
                  <wp:posOffset>48767</wp:posOffset>
                </wp:positionV>
                <wp:extent cx="10269220" cy="4824730"/>
                <wp:effectExtent l="0" t="0" r="0" b="0"/>
                <wp:wrapNone/>
                <wp:docPr id="649" name="Graphic 649"/>
                <wp:cNvGraphicFramePr>
                  <a:graphicFrameLocks/>
                </wp:cNvGraphicFramePr>
                <a:graphic>
                  <a:graphicData uri="http://schemas.microsoft.com/office/word/2010/wordprocessingShape">
                    <wps:wsp>
                      <wps:cNvPr id="649" name="Graphic 649"/>
                      <wps:cNvSpPr/>
                      <wps:spPr>
                        <a:xfrm>
                          <a:off x="0" y="0"/>
                          <a:ext cx="10269220" cy="4824730"/>
                        </a:xfrm>
                        <a:custGeom>
                          <a:avLst/>
                          <a:gdLst/>
                          <a:ahLst/>
                          <a:cxnLst/>
                          <a:rect l="l" t="t" r="r" b="b"/>
                          <a:pathLst>
                            <a:path w="10269220" h="4824730">
                              <a:moveTo>
                                <a:pt x="10268712" y="0"/>
                              </a:moveTo>
                              <a:lnTo>
                                <a:pt x="0" y="0"/>
                              </a:lnTo>
                              <a:lnTo>
                                <a:pt x="0" y="4824349"/>
                              </a:lnTo>
                              <a:lnTo>
                                <a:pt x="10268712" y="4824349"/>
                              </a:lnTo>
                              <a:lnTo>
                                <a:pt x="1026871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4.4pt;margin-top:3.84pt;width:808.56pt;height:379.87pt;mso-position-horizontal-relative:page;mso-position-vertical-relative:paragraph;z-index:-26102784" id="docshape412" filled="true" fillcolor="#ffffff" stroked="false">
                <v:fill type="solid"/>
                <w10:wrap type="none"/>
              </v:rect>
            </w:pict>
          </mc:Fallback>
        </mc:AlternateContent>
      </w:r>
      <w:r>
        <w:rPr>
          <w:rFonts w:ascii="Verdana" w:hAnsi="Verdana"/>
          <w:sz w:val="22"/>
        </w:rPr>
        <mc:AlternateContent>
          <mc:Choice Requires="wps">
            <w:drawing>
              <wp:anchor distT="0" distB="0" distL="0" distR="0" allowOverlap="1" layoutInCell="1" locked="0" behindDoc="0" simplePos="0" relativeHeight="15860736">
                <wp:simplePos x="0" y="0"/>
                <wp:positionH relativeFrom="page">
                  <wp:posOffset>4918493</wp:posOffset>
                </wp:positionH>
                <wp:positionV relativeFrom="page">
                  <wp:posOffset>7307615</wp:posOffset>
                </wp:positionV>
                <wp:extent cx="855980" cy="193040"/>
                <wp:effectExtent l="0" t="0" r="0" b="0"/>
                <wp:wrapNone/>
                <wp:docPr id="650" name="Group 650"/>
                <wp:cNvGraphicFramePr>
                  <a:graphicFrameLocks/>
                </wp:cNvGraphicFramePr>
                <a:graphic>
                  <a:graphicData uri="http://schemas.microsoft.com/office/word/2010/wordprocessingGroup">
                    <wpg:wgp>
                      <wpg:cNvPr id="650" name="Group 650"/>
                      <wpg:cNvGrpSpPr/>
                      <wpg:grpSpPr>
                        <a:xfrm>
                          <a:off x="0" y="0"/>
                          <a:ext cx="855980" cy="193040"/>
                          <a:chExt cx="855980" cy="193040"/>
                        </a:xfrm>
                      </wpg:grpSpPr>
                      <pic:pic>
                        <pic:nvPicPr>
                          <pic:cNvPr id="651" name="Image 651"/>
                          <pic:cNvPicPr/>
                        </pic:nvPicPr>
                        <pic:blipFill>
                          <a:blip r:embed="rId23" cstate="print"/>
                          <a:stretch>
                            <a:fillRect/>
                          </a:stretch>
                        </pic:blipFill>
                        <pic:spPr>
                          <a:xfrm>
                            <a:off x="0" y="0"/>
                            <a:ext cx="855390" cy="192463"/>
                          </a:xfrm>
                          <a:prstGeom prst="rect">
                            <a:avLst/>
                          </a:prstGeom>
                        </pic:spPr>
                      </pic:pic>
                      <wps:wsp>
                        <wps:cNvPr id="652" name="Textbox 652"/>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178</w:t>
                              </w:r>
                            </w:p>
                          </w:txbxContent>
                        </wps:txbx>
                        <wps:bodyPr wrap="square" lIns="0" tIns="0" rIns="0" bIns="0" rtlCol="0">
                          <a:noAutofit/>
                        </wps:bodyPr>
                      </wps:wsp>
                    </wpg:wgp>
                  </a:graphicData>
                </a:graphic>
              </wp:anchor>
            </w:drawing>
          </mc:Choice>
          <mc:Fallback>
            <w:pict>
              <v:group style="position:absolute;margin-left:387.28299pt;margin-top:575.402832pt;width:67.4pt;height:15.2pt;mso-position-horizontal-relative:page;mso-position-vertical-relative:page;z-index:15860736" id="docshapegroup413" coordorigin="7746,11508" coordsize="1348,304">
                <v:shape style="position:absolute;left:7745;top:11508;width:1348;height:304" type="#_x0000_t75" id="docshape414" stroked="false">
                  <v:imagedata r:id="rId23" o:title=""/>
                </v:shape>
                <v:shape style="position:absolute;left:7745;top:11508;width:1348;height:304" type="#_x0000_t202" id="docshape415" filled="false" stroked="false">
                  <v:textbox inset="0,0,0,0">
                    <w:txbxContent>
                      <w:p>
                        <w:pPr>
                          <w:spacing w:before="106"/>
                          <w:ind w:left="337" w:right="0" w:firstLine="0"/>
                          <w:jc w:val="left"/>
                          <w:rPr>
                            <w:sz w:val="15"/>
                          </w:rPr>
                        </w:pPr>
                        <w:r>
                          <w:rPr>
                            <w:w w:val="105"/>
                            <w:sz w:val="15"/>
                          </w:rPr>
                          <w:t>Page</w:t>
                        </w:r>
                        <w:r>
                          <w:rPr>
                            <w:spacing w:val="-5"/>
                            <w:w w:val="105"/>
                            <w:sz w:val="15"/>
                          </w:rPr>
                          <w:t> 178</w:t>
                        </w:r>
                      </w:p>
                    </w:txbxContent>
                  </v:textbox>
                  <w10:wrap type="none"/>
                </v:shape>
                <w10:wrap type="none"/>
              </v:group>
            </w:pict>
          </mc:Fallback>
        </mc:AlternateContent>
      </w:r>
      <w:r>
        <w:rPr>
          <w:rFonts w:ascii="Verdana" w:hAnsi="Verdana"/>
          <w:sz w:val="22"/>
        </w:rPr>
        <w:t>Review of the RJC work programme, delivered through its constituent sub</w:t>
      </w:r>
      <w:r>
        <w:rPr>
          <w:rFonts w:ascii="Cambria Math" w:hAnsi="Cambria Math"/>
          <w:sz w:val="22"/>
        </w:rPr>
        <w:t>‑</w:t>
      </w:r>
      <w:r>
        <w:rPr>
          <w:rFonts w:ascii="Verdana" w:hAnsi="Verdana"/>
          <w:sz w:val="22"/>
        </w:rPr>
        <w:t>groups, demonstrates clear progression since establishment, with increasing clarity around intended outputs and areas of focus. This is most evident within the CSP subgroup, where outputs and priorities are articulated in a more structured and delivery-focused manner, reflecting a more mature programme of work.</w:t>
      </w:r>
    </w:p>
    <w:p>
      <w:pPr>
        <w:spacing w:before="117"/>
        <w:ind w:left="255" w:right="342" w:firstLine="0"/>
        <w:jc w:val="both"/>
        <w:rPr>
          <w:rFonts w:ascii="Verdana"/>
          <w:sz w:val="22"/>
        </w:rPr>
      </w:pPr>
      <w:r>
        <w:rPr>
          <w:rFonts w:ascii="Verdana"/>
          <w:sz w:val="22"/>
        </w:rPr>
        <w:t>In contrast, other subgroups remain at an earlier stage of development, with</w:t>
      </w:r>
      <w:r>
        <w:rPr>
          <w:rFonts w:ascii="Verdana"/>
          <w:spacing w:val="-1"/>
          <w:sz w:val="22"/>
        </w:rPr>
        <w:t> </w:t>
      </w:r>
      <w:r>
        <w:rPr>
          <w:rFonts w:ascii="Verdana"/>
          <w:sz w:val="22"/>
        </w:rPr>
        <w:t>plans articulated</w:t>
      </w:r>
      <w:r>
        <w:rPr>
          <w:rFonts w:ascii="Verdana"/>
          <w:spacing w:val="-2"/>
          <w:sz w:val="22"/>
        </w:rPr>
        <w:t> </w:t>
      </w:r>
      <w:r>
        <w:rPr>
          <w:rFonts w:ascii="Verdana"/>
          <w:sz w:val="22"/>
        </w:rPr>
        <w:t>more at the</w:t>
      </w:r>
      <w:r>
        <w:rPr>
          <w:rFonts w:ascii="Verdana"/>
          <w:spacing w:val="-1"/>
          <w:sz w:val="22"/>
        </w:rPr>
        <w:t> </w:t>
      </w:r>
      <w:r>
        <w:rPr>
          <w:rFonts w:ascii="Verdana"/>
          <w:sz w:val="22"/>
        </w:rPr>
        <w:t>level of intention or direction.</w:t>
      </w:r>
      <w:r>
        <w:rPr>
          <w:rFonts w:ascii="Verdana"/>
          <w:spacing w:val="-1"/>
          <w:sz w:val="22"/>
        </w:rPr>
        <w:t> </w:t>
      </w:r>
      <w:r>
        <w:rPr>
          <w:rFonts w:ascii="Verdana"/>
          <w:sz w:val="22"/>
        </w:rPr>
        <w:t>There is less consistent sequencing of activities and articulation of corresponding deliverables, timescales and outcome measures. While this is consistent with their stage of development, it could contribute to variation in how activity, outputs, and outcomes are monitored (see </w:t>
      </w:r>
      <w:r>
        <w:rPr>
          <w:rFonts w:ascii="Verdana"/>
          <w:b/>
          <w:sz w:val="22"/>
        </w:rPr>
        <w:t>Action </w:t>
      </w:r>
      <w:r>
        <w:rPr>
          <w:rFonts w:ascii="Verdana"/>
          <w:b/>
          <w:spacing w:val="-4"/>
          <w:sz w:val="22"/>
        </w:rPr>
        <w:t>2</w:t>
      </w:r>
      <w:r>
        <w:rPr>
          <w:rFonts w:ascii="Verdana"/>
          <w:spacing w:val="-4"/>
          <w:sz w:val="22"/>
        </w:rPr>
        <w:t>).</w:t>
      </w:r>
    </w:p>
    <w:p>
      <w:pPr>
        <w:spacing w:before="121"/>
        <w:ind w:left="255" w:right="339" w:firstLine="0"/>
        <w:jc w:val="both"/>
        <w:rPr>
          <w:rFonts w:ascii="Verdana"/>
          <w:sz w:val="22"/>
        </w:rPr>
      </w:pPr>
      <w:r>
        <w:rPr>
          <w:rFonts w:ascii="Verdana"/>
          <w:sz w:val="22"/>
        </w:rPr>
        <w:t>Similarly,</w:t>
      </w:r>
      <w:r>
        <w:rPr>
          <w:rFonts w:ascii="Verdana"/>
          <w:spacing w:val="-20"/>
          <w:sz w:val="22"/>
        </w:rPr>
        <w:t> </w:t>
      </w:r>
      <w:r>
        <w:rPr>
          <w:rFonts w:ascii="Verdana"/>
          <w:sz w:val="22"/>
        </w:rPr>
        <w:t>this</w:t>
      </w:r>
      <w:r>
        <w:rPr>
          <w:rFonts w:ascii="Verdana"/>
          <w:spacing w:val="-19"/>
          <w:sz w:val="22"/>
        </w:rPr>
        <w:t> </w:t>
      </w:r>
      <w:r>
        <w:rPr>
          <w:rFonts w:ascii="Verdana"/>
          <w:sz w:val="22"/>
        </w:rPr>
        <w:t>was</w:t>
      </w:r>
      <w:r>
        <w:rPr>
          <w:rFonts w:ascii="Verdana"/>
          <w:spacing w:val="-19"/>
          <w:sz w:val="22"/>
        </w:rPr>
        <w:t> </w:t>
      </w:r>
      <w:r>
        <w:rPr>
          <w:rFonts w:ascii="Verdana"/>
          <w:sz w:val="22"/>
        </w:rPr>
        <w:t>recognised</w:t>
      </w:r>
      <w:r>
        <w:rPr>
          <w:rFonts w:ascii="Verdana"/>
          <w:spacing w:val="-20"/>
          <w:sz w:val="22"/>
        </w:rPr>
        <w:t> </w:t>
      </w:r>
      <w:r>
        <w:rPr>
          <w:rFonts w:ascii="Verdana"/>
          <w:sz w:val="22"/>
        </w:rPr>
        <w:t>by</w:t>
      </w:r>
      <w:r>
        <w:rPr>
          <w:rFonts w:ascii="Verdana"/>
          <w:spacing w:val="-19"/>
          <w:sz w:val="22"/>
        </w:rPr>
        <w:t> </w:t>
      </w:r>
      <w:r>
        <w:rPr>
          <w:rFonts w:ascii="Verdana"/>
          <w:sz w:val="22"/>
        </w:rPr>
        <w:t>the</w:t>
      </w:r>
      <w:r>
        <w:rPr>
          <w:rFonts w:ascii="Verdana"/>
          <w:spacing w:val="-20"/>
          <w:sz w:val="22"/>
        </w:rPr>
        <w:t> </w:t>
      </w:r>
      <w:r>
        <w:rPr>
          <w:rFonts w:ascii="Verdana"/>
          <w:sz w:val="22"/>
        </w:rPr>
        <w:t>RJC</w:t>
      </w:r>
      <w:r>
        <w:rPr>
          <w:rFonts w:ascii="Verdana"/>
          <w:spacing w:val="-19"/>
          <w:sz w:val="22"/>
        </w:rPr>
        <w:t> </w:t>
      </w:r>
      <w:r>
        <w:rPr>
          <w:rFonts w:ascii="Verdana"/>
          <w:sz w:val="22"/>
        </w:rPr>
        <w:t>through</w:t>
      </w:r>
      <w:r>
        <w:rPr>
          <w:rFonts w:ascii="Verdana"/>
          <w:spacing w:val="-19"/>
          <w:sz w:val="22"/>
        </w:rPr>
        <w:t> </w:t>
      </w:r>
      <w:r>
        <w:rPr>
          <w:rFonts w:ascii="Verdana"/>
          <w:sz w:val="22"/>
        </w:rPr>
        <w:t>its</w:t>
      </w:r>
      <w:r>
        <w:rPr>
          <w:rFonts w:ascii="Verdana"/>
          <w:spacing w:val="-20"/>
          <w:sz w:val="22"/>
        </w:rPr>
        <w:t> </w:t>
      </w:r>
      <w:r>
        <w:rPr>
          <w:rFonts w:ascii="Verdana"/>
          <w:sz w:val="22"/>
        </w:rPr>
        <w:t>self-assessment</w:t>
      </w:r>
      <w:r>
        <w:rPr>
          <w:rFonts w:ascii="Verdana"/>
          <w:spacing w:val="-19"/>
          <w:sz w:val="22"/>
        </w:rPr>
        <w:t> </w:t>
      </w:r>
      <w:r>
        <w:rPr>
          <w:rFonts w:ascii="Verdana"/>
          <w:sz w:val="22"/>
        </w:rPr>
        <w:t>of</w:t>
      </w:r>
      <w:r>
        <w:rPr>
          <w:rFonts w:ascii="Verdana"/>
          <w:spacing w:val="-19"/>
          <w:sz w:val="22"/>
        </w:rPr>
        <w:t> </w:t>
      </w:r>
      <w:r>
        <w:rPr>
          <w:rFonts w:ascii="Verdana"/>
          <w:sz w:val="22"/>
        </w:rPr>
        <w:t>its</w:t>
      </w:r>
      <w:r>
        <w:rPr>
          <w:rFonts w:ascii="Verdana"/>
          <w:spacing w:val="-20"/>
          <w:sz w:val="22"/>
        </w:rPr>
        <w:t> </w:t>
      </w:r>
      <w:r>
        <w:rPr>
          <w:rFonts w:ascii="Verdana"/>
          <w:sz w:val="22"/>
        </w:rPr>
        <w:t>first</w:t>
      </w:r>
      <w:r>
        <w:rPr>
          <w:rFonts w:ascii="Verdana"/>
          <w:spacing w:val="-19"/>
          <w:sz w:val="22"/>
        </w:rPr>
        <w:t> </w:t>
      </w:r>
      <w:r>
        <w:rPr>
          <w:rFonts w:ascii="Verdana"/>
          <w:sz w:val="22"/>
        </w:rPr>
        <w:t>year</w:t>
      </w:r>
      <w:r>
        <w:rPr>
          <w:rFonts w:ascii="Verdana"/>
          <w:spacing w:val="-19"/>
          <w:sz w:val="22"/>
        </w:rPr>
        <w:t> </w:t>
      </w:r>
      <w:r>
        <w:rPr>
          <w:rFonts w:ascii="Verdana"/>
          <w:sz w:val="22"/>
        </w:rPr>
        <w:t>of</w:t>
      </w:r>
      <w:r>
        <w:rPr>
          <w:rFonts w:ascii="Verdana"/>
          <w:spacing w:val="-20"/>
          <w:sz w:val="22"/>
        </w:rPr>
        <w:t> </w:t>
      </w:r>
      <w:r>
        <w:rPr>
          <w:rFonts w:ascii="Verdana"/>
          <w:sz w:val="22"/>
        </w:rPr>
        <w:t>operation,</w:t>
      </w:r>
      <w:r>
        <w:rPr>
          <w:rFonts w:ascii="Verdana"/>
          <w:spacing w:val="-17"/>
          <w:sz w:val="22"/>
        </w:rPr>
        <w:t> </w:t>
      </w:r>
      <w:r>
        <w:rPr>
          <w:rFonts w:ascii="Verdana"/>
          <w:sz w:val="22"/>
        </w:rPr>
        <w:t>which</w:t>
      </w:r>
      <w:r>
        <w:rPr>
          <w:rFonts w:ascii="Verdana"/>
          <w:spacing w:val="-19"/>
          <w:sz w:val="22"/>
        </w:rPr>
        <w:t> </w:t>
      </w:r>
      <w:r>
        <w:rPr>
          <w:rFonts w:ascii="Verdana"/>
          <w:sz w:val="22"/>
        </w:rPr>
        <w:t>identified</w:t>
      </w:r>
      <w:r>
        <w:rPr>
          <w:rFonts w:ascii="Verdana"/>
          <w:spacing w:val="-20"/>
          <w:sz w:val="22"/>
        </w:rPr>
        <w:t> </w:t>
      </w:r>
      <w:r>
        <w:rPr>
          <w:rFonts w:ascii="Verdana"/>
          <w:sz w:val="22"/>
        </w:rPr>
        <w:t>a</w:t>
      </w:r>
      <w:r>
        <w:rPr>
          <w:rFonts w:ascii="Verdana"/>
          <w:spacing w:val="-19"/>
          <w:sz w:val="22"/>
        </w:rPr>
        <w:t> </w:t>
      </w:r>
      <w:r>
        <w:rPr>
          <w:rFonts w:ascii="Verdana"/>
          <w:sz w:val="22"/>
        </w:rPr>
        <w:t>need</w:t>
      </w:r>
      <w:r>
        <w:rPr>
          <w:rFonts w:ascii="Verdana"/>
          <w:spacing w:val="-18"/>
          <w:sz w:val="22"/>
        </w:rPr>
        <w:t> </w:t>
      </w:r>
      <w:r>
        <w:rPr>
          <w:rFonts w:ascii="Verdana"/>
          <w:sz w:val="22"/>
        </w:rPr>
        <w:t>for</w:t>
      </w:r>
      <w:r>
        <w:rPr>
          <w:rFonts w:ascii="Verdana"/>
          <w:spacing w:val="-19"/>
          <w:sz w:val="22"/>
        </w:rPr>
        <w:t> </w:t>
      </w:r>
      <w:r>
        <w:rPr>
          <w:rFonts w:ascii="Verdana"/>
          <w:sz w:val="22"/>
        </w:rPr>
        <w:t>clearer</w:t>
      </w:r>
      <w:r>
        <w:rPr>
          <w:rFonts w:ascii="Verdana"/>
          <w:spacing w:val="-20"/>
          <w:sz w:val="22"/>
        </w:rPr>
        <w:t> </w:t>
      </w:r>
      <w:r>
        <w:rPr>
          <w:rFonts w:ascii="Verdana"/>
          <w:sz w:val="22"/>
        </w:rPr>
        <w:t>measurement of</w:t>
      </w:r>
      <w:r>
        <w:rPr>
          <w:rFonts w:ascii="Verdana"/>
          <w:spacing w:val="-4"/>
          <w:sz w:val="22"/>
        </w:rPr>
        <w:t> </w:t>
      </w:r>
      <w:r>
        <w:rPr>
          <w:rFonts w:ascii="Verdana"/>
          <w:sz w:val="22"/>
        </w:rPr>
        <w:t>effectiveness</w:t>
      </w:r>
      <w:r>
        <w:rPr>
          <w:rFonts w:ascii="Verdana"/>
          <w:spacing w:val="-3"/>
          <w:sz w:val="22"/>
        </w:rPr>
        <w:t> </w:t>
      </w:r>
      <w:r>
        <w:rPr>
          <w:rFonts w:ascii="Verdana"/>
          <w:sz w:val="22"/>
        </w:rPr>
        <w:t>and</w:t>
      </w:r>
      <w:r>
        <w:rPr>
          <w:rFonts w:ascii="Verdana"/>
          <w:spacing w:val="-5"/>
          <w:sz w:val="22"/>
        </w:rPr>
        <w:t> </w:t>
      </w:r>
      <w:r>
        <w:rPr>
          <w:rFonts w:ascii="Verdana"/>
          <w:sz w:val="22"/>
        </w:rPr>
        <w:t>impact.</w:t>
      </w:r>
      <w:r>
        <w:rPr>
          <w:rFonts w:ascii="Verdana"/>
          <w:spacing w:val="-3"/>
          <w:sz w:val="22"/>
        </w:rPr>
        <w:t> </w:t>
      </w:r>
      <w:r>
        <w:rPr>
          <w:rFonts w:ascii="Verdana"/>
          <w:sz w:val="22"/>
        </w:rPr>
        <w:t>An</w:t>
      </w:r>
      <w:r>
        <w:rPr>
          <w:rFonts w:ascii="Verdana"/>
          <w:spacing w:val="-4"/>
          <w:sz w:val="22"/>
        </w:rPr>
        <w:t> </w:t>
      </w:r>
      <w:r>
        <w:rPr>
          <w:rFonts w:ascii="Verdana"/>
          <w:sz w:val="22"/>
        </w:rPr>
        <w:t>action</w:t>
      </w:r>
      <w:r>
        <w:rPr>
          <w:rFonts w:ascii="Verdana"/>
          <w:spacing w:val="-4"/>
          <w:sz w:val="22"/>
        </w:rPr>
        <w:t> </w:t>
      </w:r>
      <w:r>
        <w:rPr>
          <w:rFonts w:ascii="Verdana"/>
          <w:sz w:val="22"/>
        </w:rPr>
        <w:t>plan</w:t>
      </w:r>
      <w:r>
        <w:rPr>
          <w:rFonts w:ascii="Verdana"/>
          <w:spacing w:val="-6"/>
          <w:sz w:val="22"/>
        </w:rPr>
        <w:t> </w:t>
      </w:r>
      <w:r>
        <w:rPr>
          <w:rFonts w:ascii="Verdana"/>
          <w:sz w:val="22"/>
        </w:rPr>
        <w:t>has</w:t>
      </w:r>
      <w:r>
        <w:rPr>
          <w:rFonts w:ascii="Verdana"/>
          <w:spacing w:val="-3"/>
          <w:sz w:val="22"/>
        </w:rPr>
        <w:t> </w:t>
      </w:r>
      <w:r>
        <w:rPr>
          <w:rFonts w:ascii="Verdana"/>
          <w:sz w:val="22"/>
        </w:rPr>
        <w:t>been</w:t>
      </w:r>
      <w:r>
        <w:rPr>
          <w:rFonts w:ascii="Verdana"/>
          <w:spacing w:val="-4"/>
          <w:sz w:val="22"/>
        </w:rPr>
        <w:t> </w:t>
      </w:r>
      <w:r>
        <w:rPr>
          <w:rFonts w:ascii="Verdana"/>
          <w:sz w:val="22"/>
        </w:rPr>
        <w:t>developed</w:t>
      </w:r>
      <w:r>
        <w:rPr>
          <w:rFonts w:ascii="Verdana"/>
          <w:spacing w:val="-4"/>
          <w:sz w:val="22"/>
        </w:rPr>
        <w:t> </w:t>
      </w:r>
      <w:r>
        <w:rPr>
          <w:rFonts w:ascii="Verdana"/>
          <w:sz w:val="22"/>
        </w:rPr>
        <w:t>to</w:t>
      </w:r>
      <w:r>
        <w:rPr>
          <w:rFonts w:ascii="Verdana"/>
          <w:spacing w:val="-6"/>
          <w:sz w:val="22"/>
        </w:rPr>
        <w:t> </w:t>
      </w:r>
      <w:r>
        <w:rPr>
          <w:rFonts w:ascii="Verdana"/>
          <w:sz w:val="22"/>
        </w:rPr>
        <w:t>address</w:t>
      </w:r>
      <w:r>
        <w:rPr>
          <w:rFonts w:ascii="Verdana"/>
          <w:spacing w:val="-3"/>
          <w:sz w:val="22"/>
        </w:rPr>
        <w:t> </w:t>
      </w:r>
      <w:r>
        <w:rPr>
          <w:rFonts w:ascii="Verdana"/>
          <w:sz w:val="22"/>
        </w:rPr>
        <w:t>this,</w:t>
      </w:r>
      <w:r>
        <w:rPr>
          <w:rFonts w:ascii="Verdana"/>
          <w:spacing w:val="-2"/>
          <w:sz w:val="22"/>
        </w:rPr>
        <w:t> </w:t>
      </w:r>
      <w:r>
        <w:rPr>
          <w:rFonts w:ascii="Verdana"/>
          <w:sz w:val="22"/>
        </w:rPr>
        <w:t>which</w:t>
      </w:r>
      <w:r>
        <w:rPr>
          <w:rFonts w:ascii="Verdana"/>
          <w:spacing w:val="-4"/>
          <w:sz w:val="22"/>
        </w:rPr>
        <w:t> </w:t>
      </w:r>
      <w:r>
        <w:rPr>
          <w:rFonts w:ascii="Verdana"/>
          <w:sz w:val="22"/>
        </w:rPr>
        <w:t>includes</w:t>
      </w:r>
      <w:r>
        <w:rPr>
          <w:rFonts w:ascii="Verdana"/>
          <w:spacing w:val="-3"/>
          <w:sz w:val="22"/>
        </w:rPr>
        <w:t> </w:t>
      </w:r>
      <w:r>
        <w:rPr>
          <w:rFonts w:ascii="Verdana"/>
          <w:sz w:val="22"/>
        </w:rPr>
        <w:t>expanding</w:t>
      </w:r>
      <w:r>
        <w:rPr>
          <w:rFonts w:ascii="Verdana"/>
          <w:spacing w:val="-5"/>
          <w:sz w:val="22"/>
        </w:rPr>
        <w:t> </w:t>
      </w:r>
      <w:r>
        <w:rPr>
          <w:rFonts w:ascii="Verdana"/>
          <w:sz w:val="22"/>
        </w:rPr>
        <w:t>reporting</w:t>
      </w:r>
      <w:r>
        <w:rPr>
          <w:rFonts w:ascii="Verdana"/>
          <w:spacing w:val="-5"/>
          <w:sz w:val="22"/>
        </w:rPr>
        <w:t> </w:t>
      </w:r>
      <w:r>
        <w:rPr>
          <w:rFonts w:ascii="Verdana"/>
          <w:sz w:val="22"/>
        </w:rPr>
        <w:t>to</w:t>
      </w:r>
      <w:r>
        <w:rPr>
          <w:rFonts w:ascii="Verdana"/>
          <w:spacing w:val="-4"/>
          <w:sz w:val="22"/>
        </w:rPr>
        <w:t> </w:t>
      </w:r>
      <w:r>
        <w:rPr>
          <w:rFonts w:ascii="Verdana"/>
          <w:sz w:val="22"/>
        </w:rPr>
        <w:t>provide</w:t>
      </w:r>
      <w:r>
        <w:rPr>
          <w:rFonts w:ascii="Verdana"/>
          <w:spacing w:val="-3"/>
          <w:sz w:val="22"/>
        </w:rPr>
        <w:t> </w:t>
      </w:r>
      <w:r>
        <w:rPr>
          <w:rFonts w:ascii="Verdana"/>
          <w:sz w:val="22"/>
        </w:rPr>
        <w:t>clearer</w:t>
      </w:r>
      <w:r>
        <w:rPr>
          <w:rFonts w:ascii="Verdana"/>
          <w:spacing w:val="-4"/>
          <w:sz w:val="22"/>
        </w:rPr>
        <w:t> </w:t>
      </w:r>
      <w:r>
        <w:rPr>
          <w:rFonts w:ascii="Verdana"/>
          <w:sz w:val="22"/>
        </w:rPr>
        <w:t>outline</w:t>
      </w:r>
      <w:r>
        <w:rPr>
          <w:rFonts w:ascii="Verdana"/>
          <w:spacing w:val="-3"/>
          <w:sz w:val="22"/>
        </w:rPr>
        <w:t> </w:t>
      </w:r>
      <w:r>
        <w:rPr>
          <w:rFonts w:ascii="Verdana"/>
          <w:sz w:val="22"/>
        </w:rPr>
        <w:t>of timescales, outputs, and outcomes rather than activity alone.</w:t>
      </w:r>
    </w:p>
    <w:p>
      <w:pPr>
        <w:pStyle w:val="BodyText"/>
        <w:spacing w:before="241"/>
        <w:rPr>
          <w:rFonts w:ascii="Verdana"/>
          <w:sz w:val="20"/>
        </w:rPr>
      </w:pPr>
      <w:r>
        <w:rPr>
          <w:rFonts w:ascii="Verdana"/>
          <w:sz w:val="20"/>
        </w:rPr>
        <mc:AlternateContent>
          <mc:Choice Requires="wps">
            <w:drawing>
              <wp:anchor distT="0" distB="0" distL="0" distR="0" allowOverlap="1" layoutInCell="1" locked="0" behindDoc="1" simplePos="0" relativeHeight="487717376">
                <wp:simplePos x="0" y="0"/>
                <wp:positionH relativeFrom="page">
                  <wp:posOffset>254508</wp:posOffset>
                </wp:positionH>
                <wp:positionV relativeFrom="paragraph">
                  <wp:posOffset>325998</wp:posOffset>
                </wp:positionV>
                <wp:extent cx="10125710" cy="744220"/>
                <wp:effectExtent l="0" t="0" r="0" b="0"/>
                <wp:wrapTopAndBottom/>
                <wp:docPr id="653" name="Textbox 653"/>
                <wp:cNvGraphicFramePr>
                  <a:graphicFrameLocks/>
                </wp:cNvGraphicFramePr>
                <a:graphic>
                  <a:graphicData uri="http://schemas.microsoft.com/office/word/2010/wordprocessingShape">
                    <wps:wsp>
                      <wps:cNvPr id="653" name="Textbox 653"/>
                      <wps:cNvSpPr txBox="1"/>
                      <wps:spPr>
                        <a:xfrm>
                          <a:off x="0" y="0"/>
                          <a:ext cx="10125710" cy="744220"/>
                        </a:xfrm>
                        <a:prstGeom prst="rect">
                          <a:avLst/>
                        </a:prstGeom>
                        <a:solidFill>
                          <a:srgbClr val="D9E1F3"/>
                        </a:solidFill>
                        <a:ln w="6095">
                          <a:solidFill>
                            <a:srgbClr val="000000"/>
                          </a:solidFill>
                          <a:prstDash val="solid"/>
                        </a:ln>
                      </wps:spPr>
                      <wps:txbx>
                        <w:txbxContent>
                          <w:p>
                            <w:pPr>
                              <w:spacing w:before="120"/>
                              <w:ind w:left="103" w:right="0" w:firstLine="0"/>
                              <w:jc w:val="left"/>
                              <w:rPr>
                                <w:rFonts w:ascii="Verdana"/>
                                <w:b/>
                                <w:color w:val="000000"/>
                                <w:sz w:val="22"/>
                              </w:rPr>
                            </w:pPr>
                            <w:r>
                              <w:rPr>
                                <w:rFonts w:ascii="Verdana"/>
                                <w:b/>
                                <w:color w:val="000000"/>
                                <w:sz w:val="22"/>
                              </w:rPr>
                              <w:t>Action</w:t>
                            </w:r>
                            <w:r>
                              <w:rPr>
                                <w:rFonts w:ascii="Verdana"/>
                                <w:b/>
                                <w:color w:val="000000"/>
                                <w:spacing w:val="-4"/>
                                <w:sz w:val="22"/>
                              </w:rPr>
                              <w:t> </w:t>
                            </w:r>
                            <w:r>
                              <w:rPr>
                                <w:rFonts w:ascii="Verdana"/>
                                <w:b/>
                                <w:color w:val="000000"/>
                                <w:sz w:val="22"/>
                              </w:rPr>
                              <w:t>1:</w:t>
                            </w:r>
                            <w:r>
                              <w:rPr>
                                <w:rFonts w:ascii="Verdana"/>
                                <w:b/>
                                <w:color w:val="000000"/>
                                <w:spacing w:val="-3"/>
                                <w:sz w:val="22"/>
                              </w:rPr>
                              <w:t> </w:t>
                            </w:r>
                            <w:r>
                              <w:rPr>
                                <w:rFonts w:ascii="Verdana"/>
                                <w:b/>
                                <w:color w:val="000000"/>
                                <w:spacing w:val="-5"/>
                                <w:sz w:val="22"/>
                              </w:rPr>
                              <w:t>RJC</w:t>
                            </w:r>
                          </w:p>
                          <w:p>
                            <w:pPr>
                              <w:spacing w:before="119"/>
                              <w:ind w:left="103" w:right="0" w:firstLine="0"/>
                              <w:jc w:val="left"/>
                              <w:rPr>
                                <w:rFonts w:ascii="Verdana"/>
                                <w:color w:val="000000"/>
                                <w:sz w:val="22"/>
                              </w:rPr>
                            </w:pPr>
                            <w:r>
                              <w:rPr>
                                <w:rFonts w:ascii="Verdana"/>
                                <w:color w:val="000000"/>
                                <w:sz w:val="22"/>
                              </w:rPr>
                              <w:t>Improving consistency across subgroup and respective workstream Terms of Reference would support clearer roles, defined responsibilities, and more robust governance accountability.</w:t>
                            </w:r>
                          </w:p>
                        </w:txbxContent>
                      </wps:txbx>
                      <wps:bodyPr wrap="square" lIns="0" tIns="0" rIns="0" bIns="0" rtlCol="0">
                        <a:noAutofit/>
                      </wps:bodyPr>
                    </wps:wsp>
                  </a:graphicData>
                </a:graphic>
              </wp:anchor>
            </w:drawing>
          </mc:Choice>
          <mc:Fallback>
            <w:pict>
              <v:shape style="position:absolute;margin-left:20.040001pt;margin-top:25.669193pt;width:797.3pt;height:58.6pt;mso-position-horizontal-relative:page;mso-position-vertical-relative:paragraph;z-index:-15599104;mso-wrap-distance-left:0;mso-wrap-distance-right:0" type="#_x0000_t202" id="docshape416" filled="true" fillcolor="#d9e1f3" stroked="true" strokeweight=".47998pt" strokecolor="#000000">
                <v:textbox inset="0,0,0,0">
                  <w:txbxContent>
                    <w:p>
                      <w:pPr>
                        <w:spacing w:before="120"/>
                        <w:ind w:left="103" w:right="0" w:firstLine="0"/>
                        <w:jc w:val="left"/>
                        <w:rPr>
                          <w:rFonts w:ascii="Verdana"/>
                          <w:b/>
                          <w:color w:val="000000"/>
                          <w:sz w:val="22"/>
                        </w:rPr>
                      </w:pPr>
                      <w:r>
                        <w:rPr>
                          <w:rFonts w:ascii="Verdana"/>
                          <w:b/>
                          <w:color w:val="000000"/>
                          <w:sz w:val="22"/>
                        </w:rPr>
                        <w:t>Action</w:t>
                      </w:r>
                      <w:r>
                        <w:rPr>
                          <w:rFonts w:ascii="Verdana"/>
                          <w:b/>
                          <w:color w:val="000000"/>
                          <w:spacing w:val="-4"/>
                          <w:sz w:val="22"/>
                        </w:rPr>
                        <w:t> </w:t>
                      </w:r>
                      <w:r>
                        <w:rPr>
                          <w:rFonts w:ascii="Verdana"/>
                          <w:b/>
                          <w:color w:val="000000"/>
                          <w:sz w:val="22"/>
                        </w:rPr>
                        <w:t>1:</w:t>
                      </w:r>
                      <w:r>
                        <w:rPr>
                          <w:rFonts w:ascii="Verdana"/>
                          <w:b/>
                          <w:color w:val="000000"/>
                          <w:spacing w:val="-3"/>
                          <w:sz w:val="22"/>
                        </w:rPr>
                        <w:t> </w:t>
                      </w:r>
                      <w:r>
                        <w:rPr>
                          <w:rFonts w:ascii="Verdana"/>
                          <w:b/>
                          <w:color w:val="000000"/>
                          <w:spacing w:val="-5"/>
                          <w:sz w:val="22"/>
                        </w:rPr>
                        <w:t>RJC</w:t>
                      </w:r>
                    </w:p>
                    <w:p>
                      <w:pPr>
                        <w:spacing w:before="119"/>
                        <w:ind w:left="103" w:right="0" w:firstLine="0"/>
                        <w:jc w:val="left"/>
                        <w:rPr>
                          <w:rFonts w:ascii="Verdana"/>
                          <w:color w:val="000000"/>
                          <w:sz w:val="22"/>
                        </w:rPr>
                      </w:pPr>
                      <w:r>
                        <w:rPr>
                          <w:rFonts w:ascii="Verdana"/>
                          <w:color w:val="000000"/>
                          <w:sz w:val="22"/>
                        </w:rPr>
                        <w:t>Improving consistency across subgroup and respective workstream Terms of Reference would support clearer roles, defined responsibilities, and more robust governance accountability.</w:t>
                      </w:r>
                    </w:p>
                  </w:txbxContent>
                </v:textbox>
                <v:fill type="solid"/>
                <v:stroke dashstyle="solid"/>
                <w10:wrap type="topAndBottom"/>
              </v:shape>
            </w:pict>
          </mc:Fallback>
        </mc:AlternateContent>
      </w:r>
      <w:r>
        <w:rPr>
          <w:rFonts w:ascii="Verdana"/>
          <w:sz w:val="20"/>
        </w:rPr>
        <mc:AlternateContent>
          <mc:Choice Requires="wps">
            <w:drawing>
              <wp:anchor distT="0" distB="0" distL="0" distR="0" allowOverlap="1" layoutInCell="1" locked="0" behindDoc="1" simplePos="0" relativeHeight="487717888">
                <wp:simplePos x="0" y="0"/>
                <wp:positionH relativeFrom="page">
                  <wp:posOffset>254508</wp:posOffset>
                </wp:positionH>
                <wp:positionV relativeFrom="paragraph">
                  <wp:posOffset>1352031</wp:posOffset>
                </wp:positionV>
                <wp:extent cx="10125710" cy="880110"/>
                <wp:effectExtent l="0" t="0" r="0" b="0"/>
                <wp:wrapTopAndBottom/>
                <wp:docPr id="654" name="Textbox 654"/>
                <wp:cNvGraphicFramePr>
                  <a:graphicFrameLocks/>
                </wp:cNvGraphicFramePr>
                <a:graphic>
                  <a:graphicData uri="http://schemas.microsoft.com/office/word/2010/wordprocessingShape">
                    <wps:wsp>
                      <wps:cNvPr id="654" name="Textbox 654"/>
                      <wps:cNvSpPr txBox="1"/>
                      <wps:spPr>
                        <a:xfrm>
                          <a:off x="0" y="0"/>
                          <a:ext cx="10125710" cy="880110"/>
                        </a:xfrm>
                        <a:prstGeom prst="rect">
                          <a:avLst/>
                        </a:prstGeom>
                        <a:solidFill>
                          <a:srgbClr val="D9E1F3"/>
                        </a:solidFill>
                        <a:ln w="6095">
                          <a:solidFill>
                            <a:srgbClr val="000000"/>
                          </a:solidFill>
                          <a:prstDash val="solid"/>
                        </a:ln>
                      </wps:spPr>
                      <wps:txbx>
                        <w:txbxContent>
                          <w:p>
                            <w:pPr>
                              <w:spacing w:before="119"/>
                              <w:ind w:left="103" w:right="0" w:firstLine="0"/>
                              <w:jc w:val="both"/>
                              <w:rPr>
                                <w:rFonts w:ascii="Verdana"/>
                                <w:b/>
                                <w:color w:val="000000"/>
                                <w:sz w:val="22"/>
                              </w:rPr>
                            </w:pPr>
                            <w:r>
                              <w:rPr>
                                <w:rFonts w:ascii="Verdana"/>
                                <w:b/>
                                <w:color w:val="000000"/>
                                <w:sz w:val="22"/>
                              </w:rPr>
                              <w:t>Action</w:t>
                            </w:r>
                            <w:r>
                              <w:rPr>
                                <w:rFonts w:ascii="Verdana"/>
                                <w:b/>
                                <w:color w:val="000000"/>
                                <w:spacing w:val="-4"/>
                                <w:sz w:val="22"/>
                              </w:rPr>
                              <w:t> </w:t>
                            </w:r>
                            <w:r>
                              <w:rPr>
                                <w:rFonts w:ascii="Verdana"/>
                                <w:b/>
                                <w:color w:val="000000"/>
                                <w:sz w:val="22"/>
                              </w:rPr>
                              <w:t>2:</w:t>
                            </w:r>
                            <w:r>
                              <w:rPr>
                                <w:rFonts w:ascii="Verdana"/>
                                <w:b/>
                                <w:color w:val="000000"/>
                                <w:spacing w:val="-3"/>
                                <w:sz w:val="22"/>
                              </w:rPr>
                              <w:t> </w:t>
                            </w:r>
                            <w:r>
                              <w:rPr>
                                <w:rFonts w:ascii="Verdana"/>
                                <w:b/>
                                <w:color w:val="000000"/>
                                <w:sz w:val="22"/>
                              </w:rPr>
                              <w:t>RJC</w:t>
                            </w:r>
                            <w:r>
                              <w:rPr>
                                <w:rFonts w:ascii="Verdana"/>
                                <w:b/>
                                <w:color w:val="000000"/>
                                <w:spacing w:val="-3"/>
                                <w:sz w:val="22"/>
                              </w:rPr>
                              <w:t> </w:t>
                            </w:r>
                            <w:r>
                              <w:rPr>
                                <w:rFonts w:ascii="Verdana"/>
                                <w:b/>
                                <w:color w:val="000000"/>
                                <w:sz w:val="22"/>
                              </w:rPr>
                              <w:t>Work</w:t>
                            </w:r>
                            <w:r>
                              <w:rPr>
                                <w:rFonts w:ascii="Verdana"/>
                                <w:b/>
                                <w:color w:val="000000"/>
                                <w:spacing w:val="-4"/>
                                <w:sz w:val="22"/>
                              </w:rPr>
                              <w:t> </w:t>
                            </w:r>
                            <w:r>
                              <w:rPr>
                                <w:rFonts w:ascii="Verdana"/>
                                <w:b/>
                                <w:color w:val="000000"/>
                                <w:spacing w:val="-2"/>
                                <w:sz w:val="22"/>
                              </w:rPr>
                              <w:t>Programme</w:t>
                            </w:r>
                          </w:p>
                          <w:p>
                            <w:pPr>
                              <w:spacing w:before="122"/>
                              <w:ind w:left="103" w:right="99" w:firstLine="0"/>
                              <w:jc w:val="both"/>
                              <w:rPr>
                                <w:rFonts w:ascii="Verdana" w:hAnsi="Verdana"/>
                                <w:color w:val="000000"/>
                                <w:sz w:val="22"/>
                              </w:rPr>
                            </w:pPr>
                            <w:r>
                              <w:rPr>
                                <w:rFonts w:ascii="Verdana" w:hAnsi="Verdana"/>
                                <w:color w:val="000000"/>
                                <w:sz w:val="22"/>
                              </w:rPr>
                              <w:t>Further development of the RJC work programme would support consistent articulation of expected outputs and delivery contributions across all</w:t>
                            </w:r>
                            <w:r>
                              <w:rPr>
                                <w:rFonts w:ascii="Verdana" w:hAnsi="Verdana"/>
                                <w:color w:val="000000"/>
                                <w:spacing w:val="-14"/>
                                <w:sz w:val="22"/>
                              </w:rPr>
                              <w:t> </w:t>
                            </w:r>
                            <w:r>
                              <w:rPr>
                                <w:rFonts w:ascii="Verdana" w:hAnsi="Verdana"/>
                                <w:color w:val="000000"/>
                                <w:sz w:val="22"/>
                              </w:rPr>
                              <w:t>subgroups.</w:t>
                            </w:r>
                            <w:r>
                              <w:rPr>
                                <w:rFonts w:ascii="Verdana" w:hAnsi="Verdana"/>
                                <w:color w:val="000000"/>
                                <w:spacing w:val="-12"/>
                                <w:sz w:val="22"/>
                              </w:rPr>
                              <w:t> </w:t>
                            </w:r>
                            <w:r>
                              <w:rPr>
                                <w:rFonts w:ascii="Verdana" w:hAnsi="Verdana"/>
                                <w:color w:val="000000"/>
                                <w:sz w:val="22"/>
                              </w:rPr>
                              <w:t>This</w:t>
                            </w:r>
                            <w:r>
                              <w:rPr>
                                <w:rFonts w:ascii="Verdana" w:hAnsi="Verdana"/>
                                <w:color w:val="000000"/>
                                <w:spacing w:val="-14"/>
                                <w:sz w:val="22"/>
                              </w:rPr>
                              <w:t> </w:t>
                            </w:r>
                            <w:r>
                              <w:rPr>
                                <w:rFonts w:ascii="Verdana" w:hAnsi="Verdana"/>
                                <w:color w:val="000000"/>
                                <w:sz w:val="22"/>
                              </w:rPr>
                              <w:t>could</w:t>
                            </w:r>
                            <w:r>
                              <w:rPr>
                                <w:rFonts w:ascii="Verdana" w:hAnsi="Verdana"/>
                                <w:color w:val="000000"/>
                                <w:spacing w:val="-14"/>
                                <w:sz w:val="22"/>
                              </w:rPr>
                              <w:t> </w:t>
                            </w:r>
                            <w:r>
                              <w:rPr>
                                <w:rFonts w:ascii="Verdana" w:hAnsi="Verdana"/>
                                <w:color w:val="000000"/>
                                <w:sz w:val="22"/>
                              </w:rPr>
                              <w:t>be</w:t>
                            </w:r>
                            <w:r>
                              <w:rPr>
                                <w:rFonts w:ascii="Verdana" w:hAnsi="Verdana"/>
                                <w:color w:val="000000"/>
                                <w:spacing w:val="-13"/>
                                <w:sz w:val="22"/>
                              </w:rPr>
                              <w:t> </w:t>
                            </w:r>
                            <w:r>
                              <w:rPr>
                                <w:rFonts w:ascii="Verdana" w:hAnsi="Verdana"/>
                                <w:color w:val="000000"/>
                                <w:sz w:val="22"/>
                              </w:rPr>
                              <w:t>strengthened</w:t>
                            </w:r>
                            <w:r>
                              <w:rPr>
                                <w:rFonts w:ascii="Verdana" w:hAnsi="Verdana"/>
                                <w:color w:val="000000"/>
                                <w:spacing w:val="-14"/>
                                <w:sz w:val="22"/>
                              </w:rPr>
                              <w:t> </w:t>
                            </w:r>
                            <w:r>
                              <w:rPr>
                                <w:rFonts w:ascii="Verdana" w:hAnsi="Verdana"/>
                                <w:color w:val="000000"/>
                                <w:sz w:val="22"/>
                              </w:rPr>
                              <w:t>through</w:t>
                            </w:r>
                            <w:r>
                              <w:rPr>
                                <w:rFonts w:ascii="Verdana" w:hAnsi="Verdana"/>
                                <w:color w:val="000000"/>
                                <w:spacing w:val="-14"/>
                                <w:sz w:val="22"/>
                              </w:rPr>
                              <w:t> </w:t>
                            </w:r>
                            <w:r>
                              <w:rPr>
                                <w:rFonts w:ascii="Verdana" w:hAnsi="Verdana"/>
                                <w:color w:val="000000"/>
                                <w:sz w:val="22"/>
                              </w:rPr>
                              <w:t>periodic</w:t>
                            </w:r>
                            <w:r>
                              <w:rPr>
                                <w:rFonts w:ascii="Verdana" w:hAnsi="Verdana"/>
                                <w:color w:val="000000"/>
                                <w:spacing w:val="-13"/>
                                <w:sz w:val="22"/>
                              </w:rPr>
                              <w:t> </w:t>
                            </w:r>
                            <w:r>
                              <w:rPr>
                                <w:rFonts w:ascii="Verdana" w:hAnsi="Verdana"/>
                                <w:color w:val="000000"/>
                                <w:sz w:val="22"/>
                              </w:rPr>
                              <w:t>use</w:t>
                            </w:r>
                            <w:r>
                              <w:rPr>
                                <w:rFonts w:ascii="Verdana" w:hAnsi="Verdana"/>
                                <w:color w:val="000000"/>
                                <w:spacing w:val="-13"/>
                                <w:sz w:val="22"/>
                              </w:rPr>
                              <w:t> </w:t>
                            </w:r>
                            <w:r>
                              <w:rPr>
                                <w:rFonts w:ascii="Verdana" w:hAnsi="Verdana"/>
                                <w:color w:val="000000"/>
                                <w:sz w:val="22"/>
                              </w:rPr>
                              <w:t>of</w:t>
                            </w:r>
                            <w:r>
                              <w:rPr>
                                <w:rFonts w:ascii="Verdana" w:hAnsi="Verdana"/>
                                <w:color w:val="000000"/>
                                <w:spacing w:val="-13"/>
                                <w:sz w:val="22"/>
                              </w:rPr>
                              <w:t> </w:t>
                            </w:r>
                            <w:r>
                              <w:rPr>
                                <w:rFonts w:ascii="Verdana" w:hAnsi="Verdana"/>
                                <w:color w:val="000000"/>
                                <w:sz w:val="22"/>
                              </w:rPr>
                              <w:t>a</w:t>
                            </w:r>
                            <w:r>
                              <w:rPr>
                                <w:rFonts w:ascii="Verdana" w:hAnsi="Verdana"/>
                                <w:color w:val="000000"/>
                                <w:spacing w:val="-14"/>
                                <w:sz w:val="22"/>
                              </w:rPr>
                              <w:t> </w:t>
                            </w:r>
                            <w:r>
                              <w:rPr>
                                <w:rFonts w:ascii="Verdana" w:hAnsi="Verdana"/>
                                <w:color w:val="000000"/>
                                <w:sz w:val="22"/>
                              </w:rPr>
                              <w:t>subgroup</w:t>
                            </w:r>
                            <w:r>
                              <w:rPr>
                                <w:rFonts w:ascii="Verdana" w:hAnsi="Verdana"/>
                                <w:color w:val="000000"/>
                                <w:spacing w:val="-14"/>
                                <w:sz w:val="22"/>
                              </w:rPr>
                              <w:t> </w:t>
                            </w:r>
                            <w:r>
                              <w:rPr>
                                <w:rFonts w:ascii="Verdana" w:hAnsi="Verdana"/>
                                <w:color w:val="000000"/>
                                <w:sz w:val="22"/>
                              </w:rPr>
                              <w:t>maturity</w:t>
                            </w:r>
                            <w:r>
                              <w:rPr>
                                <w:rFonts w:ascii="Verdana" w:hAnsi="Verdana"/>
                                <w:color w:val="000000"/>
                                <w:spacing w:val="-10"/>
                                <w:sz w:val="22"/>
                              </w:rPr>
                              <w:t> </w:t>
                            </w:r>
                            <w:r>
                              <w:rPr>
                                <w:rFonts w:ascii="Verdana" w:hAnsi="Verdana"/>
                                <w:color w:val="000000"/>
                                <w:sz w:val="22"/>
                              </w:rPr>
                              <w:t>assessment</w:t>
                            </w:r>
                            <w:r>
                              <w:rPr>
                                <w:rFonts w:ascii="Verdana" w:hAnsi="Verdana"/>
                                <w:color w:val="000000"/>
                                <w:spacing w:val="-14"/>
                                <w:sz w:val="22"/>
                              </w:rPr>
                              <w:t> </w:t>
                            </w:r>
                            <w:r>
                              <w:rPr>
                                <w:rFonts w:ascii="Verdana" w:hAnsi="Verdana"/>
                                <w:color w:val="000000"/>
                                <w:sz w:val="22"/>
                              </w:rPr>
                              <w:t>or</w:t>
                            </w:r>
                            <w:r>
                              <w:rPr>
                                <w:rFonts w:ascii="Verdana" w:hAnsi="Verdana"/>
                                <w:color w:val="000000"/>
                                <w:spacing w:val="-13"/>
                                <w:sz w:val="22"/>
                              </w:rPr>
                              <w:t> </w:t>
                            </w:r>
                            <w:r>
                              <w:rPr>
                                <w:rFonts w:ascii="Verdana" w:hAnsi="Verdana"/>
                                <w:color w:val="000000"/>
                                <w:sz w:val="22"/>
                              </w:rPr>
                              <w:t>view</w:t>
                            </w:r>
                            <w:r>
                              <w:rPr>
                                <w:rFonts w:ascii="Verdana" w:hAnsi="Verdana"/>
                                <w:color w:val="000000"/>
                                <w:spacing w:val="-13"/>
                                <w:sz w:val="22"/>
                              </w:rPr>
                              <w:t> </w:t>
                            </w:r>
                            <w:r>
                              <w:rPr>
                                <w:rFonts w:ascii="Verdana" w:hAnsi="Verdana"/>
                                <w:color w:val="000000"/>
                                <w:sz w:val="22"/>
                              </w:rPr>
                              <w:t>to</w:t>
                            </w:r>
                            <w:r>
                              <w:rPr>
                                <w:rFonts w:ascii="Verdana" w:hAnsi="Verdana"/>
                                <w:color w:val="000000"/>
                                <w:spacing w:val="-11"/>
                                <w:sz w:val="22"/>
                              </w:rPr>
                              <w:t> </w:t>
                            </w:r>
                            <w:r>
                              <w:rPr>
                                <w:rFonts w:ascii="Verdana" w:hAnsi="Verdana"/>
                                <w:color w:val="000000"/>
                                <w:sz w:val="22"/>
                              </w:rPr>
                              <w:t>inform</w:t>
                            </w:r>
                            <w:r>
                              <w:rPr>
                                <w:rFonts w:ascii="Verdana" w:hAnsi="Verdana"/>
                                <w:color w:val="000000"/>
                                <w:spacing w:val="-12"/>
                                <w:sz w:val="22"/>
                              </w:rPr>
                              <w:t> </w:t>
                            </w:r>
                            <w:r>
                              <w:rPr>
                                <w:rFonts w:ascii="Verdana" w:hAnsi="Verdana"/>
                                <w:color w:val="000000"/>
                                <w:sz w:val="22"/>
                              </w:rPr>
                              <w:t>Committee</w:t>
                            </w:r>
                            <w:r>
                              <w:rPr>
                                <w:rFonts w:ascii="Cambria Math" w:hAnsi="Cambria Math"/>
                                <w:color w:val="000000"/>
                                <w:sz w:val="22"/>
                              </w:rPr>
                              <w:t>‑</w:t>
                            </w:r>
                            <w:r>
                              <w:rPr>
                                <w:rFonts w:ascii="Verdana" w:hAnsi="Verdana"/>
                                <w:color w:val="000000"/>
                                <w:sz w:val="22"/>
                              </w:rPr>
                              <w:t>level</w:t>
                            </w:r>
                            <w:r>
                              <w:rPr>
                                <w:rFonts w:ascii="Verdana" w:hAnsi="Verdana"/>
                                <w:color w:val="000000"/>
                                <w:spacing w:val="-13"/>
                                <w:sz w:val="22"/>
                              </w:rPr>
                              <w:t> </w:t>
                            </w:r>
                            <w:r>
                              <w:rPr>
                                <w:rFonts w:ascii="Verdana" w:hAnsi="Verdana"/>
                                <w:color w:val="000000"/>
                                <w:sz w:val="22"/>
                              </w:rPr>
                              <w:t>oversight and self</w:t>
                            </w:r>
                            <w:r>
                              <w:rPr>
                                <w:rFonts w:ascii="Cambria Math" w:hAnsi="Cambria Math"/>
                                <w:color w:val="000000"/>
                                <w:sz w:val="22"/>
                              </w:rPr>
                              <w:t>‑</w:t>
                            </w:r>
                            <w:r>
                              <w:rPr>
                                <w:rFonts w:ascii="Verdana" w:hAnsi="Verdana"/>
                                <w:color w:val="000000"/>
                                <w:sz w:val="22"/>
                              </w:rPr>
                              <w:t>assessment.</w:t>
                            </w:r>
                          </w:p>
                        </w:txbxContent>
                      </wps:txbx>
                      <wps:bodyPr wrap="square" lIns="0" tIns="0" rIns="0" bIns="0" rtlCol="0">
                        <a:noAutofit/>
                      </wps:bodyPr>
                    </wps:wsp>
                  </a:graphicData>
                </a:graphic>
              </wp:anchor>
            </w:drawing>
          </mc:Choice>
          <mc:Fallback>
            <w:pict>
              <v:shape style="position:absolute;margin-left:20.040001pt;margin-top:106.459206pt;width:797.3pt;height:69.3pt;mso-position-horizontal-relative:page;mso-position-vertical-relative:paragraph;z-index:-15598592;mso-wrap-distance-left:0;mso-wrap-distance-right:0" type="#_x0000_t202" id="docshape417" filled="true" fillcolor="#d9e1f3" stroked="true" strokeweight=".47998pt" strokecolor="#000000">
                <v:textbox inset="0,0,0,0">
                  <w:txbxContent>
                    <w:p>
                      <w:pPr>
                        <w:spacing w:before="119"/>
                        <w:ind w:left="103" w:right="0" w:firstLine="0"/>
                        <w:jc w:val="both"/>
                        <w:rPr>
                          <w:rFonts w:ascii="Verdana"/>
                          <w:b/>
                          <w:color w:val="000000"/>
                          <w:sz w:val="22"/>
                        </w:rPr>
                      </w:pPr>
                      <w:r>
                        <w:rPr>
                          <w:rFonts w:ascii="Verdana"/>
                          <w:b/>
                          <w:color w:val="000000"/>
                          <w:sz w:val="22"/>
                        </w:rPr>
                        <w:t>Action</w:t>
                      </w:r>
                      <w:r>
                        <w:rPr>
                          <w:rFonts w:ascii="Verdana"/>
                          <w:b/>
                          <w:color w:val="000000"/>
                          <w:spacing w:val="-4"/>
                          <w:sz w:val="22"/>
                        </w:rPr>
                        <w:t> </w:t>
                      </w:r>
                      <w:r>
                        <w:rPr>
                          <w:rFonts w:ascii="Verdana"/>
                          <w:b/>
                          <w:color w:val="000000"/>
                          <w:sz w:val="22"/>
                        </w:rPr>
                        <w:t>2:</w:t>
                      </w:r>
                      <w:r>
                        <w:rPr>
                          <w:rFonts w:ascii="Verdana"/>
                          <w:b/>
                          <w:color w:val="000000"/>
                          <w:spacing w:val="-3"/>
                          <w:sz w:val="22"/>
                        </w:rPr>
                        <w:t> </w:t>
                      </w:r>
                      <w:r>
                        <w:rPr>
                          <w:rFonts w:ascii="Verdana"/>
                          <w:b/>
                          <w:color w:val="000000"/>
                          <w:sz w:val="22"/>
                        </w:rPr>
                        <w:t>RJC</w:t>
                      </w:r>
                      <w:r>
                        <w:rPr>
                          <w:rFonts w:ascii="Verdana"/>
                          <w:b/>
                          <w:color w:val="000000"/>
                          <w:spacing w:val="-3"/>
                          <w:sz w:val="22"/>
                        </w:rPr>
                        <w:t> </w:t>
                      </w:r>
                      <w:r>
                        <w:rPr>
                          <w:rFonts w:ascii="Verdana"/>
                          <w:b/>
                          <w:color w:val="000000"/>
                          <w:sz w:val="22"/>
                        </w:rPr>
                        <w:t>Work</w:t>
                      </w:r>
                      <w:r>
                        <w:rPr>
                          <w:rFonts w:ascii="Verdana"/>
                          <w:b/>
                          <w:color w:val="000000"/>
                          <w:spacing w:val="-4"/>
                          <w:sz w:val="22"/>
                        </w:rPr>
                        <w:t> </w:t>
                      </w:r>
                      <w:r>
                        <w:rPr>
                          <w:rFonts w:ascii="Verdana"/>
                          <w:b/>
                          <w:color w:val="000000"/>
                          <w:spacing w:val="-2"/>
                          <w:sz w:val="22"/>
                        </w:rPr>
                        <w:t>Programme</w:t>
                      </w:r>
                    </w:p>
                    <w:p>
                      <w:pPr>
                        <w:spacing w:before="122"/>
                        <w:ind w:left="103" w:right="99" w:firstLine="0"/>
                        <w:jc w:val="both"/>
                        <w:rPr>
                          <w:rFonts w:ascii="Verdana" w:hAnsi="Verdana"/>
                          <w:color w:val="000000"/>
                          <w:sz w:val="22"/>
                        </w:rPr>
                      </w:pPr>
                      <w:r>
                        <w:rPr>
                          <w:rFonts w:ascii="Verdana" w:hAnsi="Verdana"/>
                          <w:color w:val="000000"/>
                          <w:sz w:val="22"/>
                        </w:rPr>
                        <w:t>Further development of the RJC work programme would support consistent articulation of expected outputs and delivery contributions across all</w:t>
                      </w:r>
                      <w:r>
                        <w:rPr>
                          <w:rFonts w:ascii="Verdana" w:hAnsi="Verdana"/>
                          <w:color w:val="000000"/>
                          <w:spacing w:val="-14"/>
                          <w:sz w:val="22"/>
                        </w:rPr>
                        <w:t> </w:t>
                      </w:r>
                      <w:r>
                        <w:rPr>
                          <w:rFonts w:ascii="Verdana" w:hAnsi="Verdana"/>
                          <w:color w:val="000000"/>
                          <w:sz w:val="22"/>
                        </w:rPr>
                        <w:t>subgroups.</w:t>
                      </w:r>
                      <w:r>
                        <w:rPr>
                          <w:rFonts w:ascii="Verdana" w:hAnsi="Verdana"/>
                          <w:color w:val="000000"/>
                          <w:spacing w:val="-12"/>
                          <w:sz w:val="22"/>
                        </w:rPr>
                        <w:t> </w:t>
                      </w:r>
                      <w:r>
                        <w:rPr>
                          <w:rFonts w:ascii="Verdana" w:hAnsi="Verdana"/>
                          <w:color w:val="000000"/>
                          <w:sz w:val="22"/>
                        </w:rPr>
                        <w:t>This</w:t>
                      </w:r>
                      <w:r>
                        <w:rPr>
                          <w:rFonts w:ascii="Verdana" w:hAnsi="Verdana"/>
                          <w:color w:val="000000"/>
                          <w:spacing w:val="-14"/>
                          <w:sz w:val="22"/>
                        </w:rPr>
                        <w:t> </w:t>
                      </w:r>
                      <w:r>
                        <w:rPr>
                          <w:rFonts w:ascii="Verdana" w:hAnsi="Verdana"/>
                          <w:color w:val="000000"/>
                          <w:sz w:val="22"/>
                        </w:rPr>
                        <w:t>could</w:t>
                      </w:r>
                      <w:r>
                        <w:rPr>
                          <w:rFonts w:ascii="Verdana" w:hAnsi="Verdana"/>
                          <w:color w:val="000000"/>
                          <w:spacing w:val="-14"/>
                          <w:sz w:val="22"/>
                        </w:rPr>
                        <w:t> </w:t>
                      </w:r>
                      <w:r>
                        <w:rPr>
                          <w:rFonts w:ascii="Verdana" w:hAnsi="Verdana"/>
                          <w:color w:val="000000"/>
                          <w:sz w:val="22"/>
                        </w:rPr>
                        <w:t>be</w:t>
                      </w:r>
                      <w:r>
                        <w:rPr>
                          <w:rFonts w:ascii="Verdana" w:hAnsi="Verdana"/>
                          <w:color w:val="000000"/>
                          <w:spacing w:val="-13"/>
                          <w:sz w:val="22"/>
                        </w:rPr>
                        <w:t> </w:t>
                      </w:r>
                      <w:r>
                        <w:rPr>
                          <w:rFonts w:ascii="Verdana" w:hAnsi="Verdana"/>
                          <w:color w:val="000000"/>
                          <w:sz w:val="22"/>
                        </w:rPr>
                        <w:t>strengthened</w:t>
                      </w:r>
                      <w:r>
                        <w:rPr>
                          <w:rFonts w:ascii="Verdana" w:hAnsi="Verdana"/>
                          <w:color w:val="000000"/>
                          <w:spacing w:val="-14"/>
                          <w:sz w:val="22"/>
                        </w:rPr>
                        <w:t> </w:t>
                      </w:r>
                      <w:r>
                        <w:rPr>
                          <w:rFonts w:ascii="Verdana" w:hAnsi="Verdana"/>
                          <w:color w:val="000000"/>
                          <w:sz w:val="22"/>
                        </w:rPr>
                        <w:t>through</w:t>
                      </w:r>
                      <w:r>
                        <w:rPr>
                          <w:rFonts w:ascii="Verdana" w:hAnsi="Verdana"/>
                          <w:color w:val="000000"/>
                          <w:spacing w:val="-14"/>
                          <w:sz w:val="22"/>
                        </w:rPr>
                        <w:t> </w:t>
                      </w:r>
                      <w:r>
                        <w:rPr>
                          <w:rFonts w:ascii="Verdana" w:hAnsi="Verdana"/>
                          <w:color w:val="000000"/>
                          <w:sz w:val="22"/>
                        </w:rPr>
                        <w:t>periodic</w:t>
                      </w:r>
                      <w:r>
                        <w:rPr>
                          <w:rFonts w:ascii="Verdana" w:hAnsi="Verdana"/>
                          <w:color w:val="000000"/>
                          <w:spacing w:val="-13"/>
                          <w:sz w:val="22"/>
                        </w:rPr>
                        <w:t> </w:t>
                      </w:r>
                      <w:r>
                        <w:rPr>
                          <w:rFonts w:ascii="Verdana" w:hAnsi="Verdana"/>
                          <w:color w:val="000000"/>
                          <w:sz w:val="22"/>
                        </w:rPr>
                        <w:t>use</w:t>
                      </w:r>
                      <w:r>
                        <w:rPr>
                          <w:rFonts w:ascii="Verdana" w:hAnsi="Verdana"/>
                          <w:color w:val="000000"/>
                          <w:spacing w:val="-13"/>
                          <w:sz w:val="22"/>
                        </w:rPr>
                        <w:t> </w:t>
                      </w:r>
                      <w:r>
                        <w:rPr>
                          <w:rFonts w:ascii="Verdana" w:hAnsi="Verdana"/>
                          <w:color w:val="000000"/>
                          <w:sz w:val="22"/>
                        </w:rPr>
                        <w:t>of</w:t>
                      </w:r>
                      <w:r>
                        <w:rPr>
                          <w:rFonts w:ascii="Verdana" w:hAnsi="Verdana"/>
                          <w:color w:val="000000"/>
                          <w:spacing w:val="-13"/>
                          <w:sz w:val="22"/>
                        </w:rPr>
                        <w:t> </w:t>
                      </w:r>
                      <w:r>
                        <w:rPr>
                          <w:rFonts w:ascii="Verdana" w:hAnsi="Verdana"/>
                          <w:color w:val="000000"/>
                          <w:sz w:val="22"/>
                        </w:rPr>
                        <w:t>a</w:t>
                      </w:r>
                      <w:r>
                        <w:rPr>
                          <w:rFonts w:ascii="Verdana" w:hAnsi="Verdana"/>
                          <w:color w:val="000000"/>
                          <w:spacing w:val="-14"/>
                          <w:sz w:val="22"/>
                        </w:rPr>
                        <w:t> </w:t>
                      </w:r>
                      <w:r>
                        <w:rPr>
                          <w:rFonts w:ascii="Verdana" w:hAnsi="Verdana"/>
                          <w:color w:val="000000"/>
                          <w:sz w:val="22"/>
                        </w:rPr>
                        <w:t>subgroup</w:t>
                      </w:r>
                      <w:r>
                        <w:rPr>
                          <w:rFonts w:ascii="Verdana" w:hAnsi="Verdana"/>
                          <w:color w:val="000000"/>
                          <w:spacing w:val="-14"/>
                          <w:sz w:val="22"/>
                        </w:rPr>
                        <w:t> </w:t>
                      </w:r>
                      <w:r>
                        <w:rPr>
                          <w:rFonts w:ascii="Verdana" w:hAnsi="Verdana"/>
                          <w:color w:val="000000"/>
                          <w:sz w:val="22"/>
                        </w:rPr>
                        <w:t>maturity</w:t>
                      </w:r>
                      <w:r>
                        <w:rPr>
                          <w:rFonts w:ascii="Verdana" w:hAnsi="Verdana"/>
                          <w:color w:val="000000"/>
                          <w:spacing w:val="-10"/>
                          <w:sz w:val="22"/>
                        </w:rPr>
                        <w:t> </w:t>
                      </w:r>
                      <w:r>
                        <w:rPr>
                          <w:rFonts w:ascii="Verdana" w:hAnsi="Verdana"/>
                          <w:color w:val="000000"/>
                          <w:sz w:val="22"/>
                        </w:rPr>
                        <w:t>assessment</w:t>
                      </w:r>
                      <w:r>
                        <w:rPr>
                          <w:rFonts w:ascii="Verdana" w:hAnsi="Verdana"/>
                          <w:color w:val="000000"/>
                          <w:spacing w:val="-14"/>
                          <w:sz w:val="22"/>
                        </w:rPr>
                        <w:t> </w:t>
                      </w:r>
                      <w:r>
                        <w:rPr>
                          <w:rFonts w:ascii="Verdana" w:hAnsi="Verdana"/>
                          <w:color w:val="000000"/>
                          <w:sz w:val="22"/>
                        </w:rPr>
                        <w:t>or</w:t>
                      </w:r>
                      <w:r>
                        <w:rPr>
                          <w:rFonts w:ascii="Verdana" w:hAnsi="Verdana"/>
                          <w:color w:val="000000"/>
                          <w:spacing w:val="-13"/>
                          <w:sz w:val="22"/>
                        </w:rPr>
                        <w:t> </w:t>
                      </w:r>
                      <w:r>
                        <w:rPr>
                          <w:rFonts w:ascii="Verdana" w:hAnsi="Verdana"/>
                          <w:color w:val="000000"/>
                          <w:sz w:val="22"/>
                        </w:rPr>
                        <w:t>view</w:t>
                      </w:r>
                      <w:r>
                        <w:rPr>
                          <w:rFonts w:ascii="Verdana" w:hAnsi="Verdana"/>
                          <w:color w:val="000000"/>
                          <w:spacing w:val="-13"/>
                          <w:sz w:val="22"/>
                        </w:rPr>
                        <w:t> </w:t>
                      </w:r>
                      <w:r>
                        <w:rPr>
                          <w:rFonts w:ascii="Verdana" w:hAnsi="Verdana"/>
                          <w:color w:val="000000"/>
                          <w:sz w:val="22"/>
                        </w:rPr>
                        <w:t>to</w:t>
                      </w:r>
                      <w:r>
                        <w:rPr>
                          <w:rFonts w:ascii="Verdana" w:hAnsi="Verdana"/>
                          <w:color w:val="000000"/>
                          <w:spacing w:val="-11"/>
                          <w:sz w:val="22"/>
                        </w:rPr>
                        <w:t> </w:t>
                      </w:r>
                      <w:r>
                        <w:rPr>
                          <w:rFonts w:ascii="Verdana" w:hAnsi="Verdana"/>
                          <w:color w:val="000000"/>
                          <w:sz w:val="22"/>
                        </w:rPr>
                        <w:t>inform</w:t>
                      </w:r>
                      <w:r>
                        <w:rPr>
                          <w:rFonts w:ascii="Verdana" w:hAnsi="Verdana"/>
                          <w:color w:val="000000"/>
                          <w:spacing w:val="-12"/>
                          <w:sz w:val="22"/>
                        </w:rPr>
                        <w:t> </w:t>
                      </w:r>
                      <w:r>
                        <w:rPr>
                          <w:rFonts w:ascii="Verdana" w:hAnsi="Verdana"/>
                          <w:color w:val="000000"/>
                          <w:sz w:val="22"/>
                        </w:rPr>
                        <w:t>Committee</w:t>
                      </w:r>
                      <w:r>
                        <w:rPr>
                          <w:rFonts w:ascii="Cambria Math" w:hAnsi="Cambria Math"/>
                          <w:color w:val="000000"/>
                          <w:sz w:val="22"/>
                        </w:rPr>
                        <w:t>‑</w:t>
                      </w:r>
                      <w:r>
                        <w:rPr>
                          <w:rFonts w:ascii="Verdana" w:hAnsi="Verdana"/>
                          <w:color w:val="000000"/>
                          <w:sz w:val="22"/>
                        </w:rPr>
                        <w:t>level</w:t>
                      </w:r>
                      <w:r>
                        <w:rPr>
                          <w:rFonts w:ascii="Verdana" w:hAnsi="Verdana"/>
                          <w:color w:val="000000"/>
                          <w:spacing w:val="-13"/>
                          <w:sz w:val="22"/>
                        </w:rPr>
                        <w:t> </w:t>
                      </w:r>
                      <w:r>
                        <w:rPr>
                          <w:rFonts w:ascii="Verdana" w:hAnsi="Verdana"/>
                          <w:color w:val="000000"/>
                          <w:sz w:val="22"/>
                        </w:rPr>
                        <w:t>oversight and self</w:t>
                      </w:r>
                      <w:r>
                        <w:rPr>
                          <w:rFonts w:ascii="Cambria Math" w:hAnsi="Cambria Math"/>
                          <w:color w:val="000000"/>
                          <w:sz w:val="22"/>
                        </w:rPr>
                        <w:t>‑</w:t>
                      </w:r>
                      <w:r>
                        <w:rPr>
                          <w:rFonts w:ascii="Verdana" w:hAnsi="Verdana"/>
                          <w:color w:val="000000"/>
                          <w:sz w:val="22"/>
                        </w:rPr>
                        <w:t>assessment.</w:t>
                      </w:r>
                    </w:p>
                  </w:txbxContent>
                </v:textbox>
                <v:fill type="solid"/>
                <v:stroke dashstyle="solid"/>
                <w10:wrap type="topAndBottom"/>
              </v:shape>
            </w:pict>
          </mc:Fallback>
        </mc:AlternateContent>
      </w:r>
    </w:p>
    <w:p>
      <w:pPr>
        <w:pStyle w:val="BodyText"/>
        <w:spacing w:before="171"/>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110"/>
        <w:rPr>
          <w:rFonts w:ascii="Verdana"/>
          <w:sz w:val="20"/>
        </w:rPr>
      </w:pPr>
      <w:r>
        <w:rPr>
          <w:rFonts w:ascii="Verdana"/>
          <w:sz w:val="20"/>
        </w:rPr>
        <mc:AlternateContent>
          <mc:Choice Requires="wps">
            <w:drawing>
              <wp:anchor distT="0" distB="0" distL="0" distR="0" allowOverlap="1" layoutInCell="1" locked="0" behindDoc="1" simplePos="0" relativeHeight="487718400">
                <wp:simplePos x="0" y="0"/>
                <wp:positionH relativeFrom="page">
                  <wp:posOffset>10068814</wp:posOffset>
                </wp:positionH>
                <wp:positionV relativeFrom="paragraph">
                  <wp:posOffset>239905</wp:posOffset>
                </wp:positionV>
                <wp:extent cx="419734" cy="6350"/>
                <wp:effectExtent l="0" t="0" r="0" b="0"/>
                <wp:wrapTopAndBottom/>
                <wp:docPr id="655" name="Graphic 655"/>
                <wp:cNvGraphicFramePr>
                  <a:graphicFrameLocks/>
                </wp:cNvGraphicFramePr>
                <a:graphic>
                  <a:graphicData uri="http://schemas.microsoft.com/office/word/2010/wordprocessingShape">
                    <wps:wsp>
                      <wps:cNvPr id="655" name="Graphic 655"/>
                      <wps:cNvSpPr/>
                      <wps:spPr>
                        <a:xfrm>
                          <a:off x="0" y="0"/>
                          <a:ext cx="419734" cy="6350"/>
                        </a:xfrm>
                        <a:custGeom>
                          <a:avLst/>
                          <a:gdLst/>
                          <a:ahLst/>
                          <a:cxnLst/>
                          <a:rect l="l" t="t" r="r" b="b"/>
                          <a:pathLst>
                            <a:path w="419734" h="6350">
                              <a:moveTo>
                                <a:pt x="419404" y="0"/>
                              </a:moveTo>
                              <a:lnTo>
                                <a:pt x="0" y="0"/>
                              </a:lnTo>
                              <a:lnTo>
                                <a:pt x="0" y="6096"/>
                              </a:lnTo>
                              <a:lnTo>
                                <a:pt x="419404" y="6096"/>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820007pt;margin-top:18.890184pt;width:33.024pt;height:.48004pt;mso-position-horizontal-relative:page;mso-position-vertical-relative:paragraph;z-index:-15598080;mso-wrap-distance-left:0;mso-wrap-distance-right:0" id="docshape418" filled="true" fillcolor="#7e7e7e" stroked="false">
                <v:fill type="solid"/>
                <w10:wrap type="topAndBottom"/>
              </v:rect>
            </w:pict>
          </mc:Fallback>
        </mc:AlternateContent>
      </w:r>
    </w:p>
    <w:p>
      <w:pPr>
        <w:spacing w:before="18"/>
        <w:ind w:left="0" w:right="453" w:firstLine="0"/>
        <w:jc w:val="right"/>
        <w:rPr>
          <w:rFonts w:ascii="Calibri"/>
          <w:b/>
          <w:sz w:val="22"/>
        </w:rPr>
      </w:pPr>
      <w:r>
        <w:rPr>
          <w:rFonts w:ascii="Calibri"/>
          <w:b/>
          <w:color w:val="001F5F"/>
          <w:spacing w:val="-10"/>
          <w:sz w:val="22"/>
        </w:rPr>
        <w:t>4</w:t>
      </w:r>
    </w:p>
    <w:p>
      <w:pPr>
        <w:spacing w:after="0"/>
        <w:jc w:val="right"/>
        <w:rPr>
          <w:rFonts w:ascii="Calibri"/>
          <w:b/>
          <w:sz w:val="22"/>
        </w:rPr>
        <w:sectPr>
          <w:footerReference w:type="default" r:id="rId94"/>
          <w:pgSz w:w="16840" w:h="11910" w:orient="landscape"/>
          <w:pgMar w:header="0" w:footer="0" w:top="260" w:bottom="0" w:left="141" w:right="141"/>
        </w:sectPr>
      </w:pPr>
    </w:p>
    <w:p>
      <w:pPr>
        <w:spacing w:before="76"/>
        <w:ind w:left="255" w:right="351" w:firstLine="0"/>
        <w:jc w:val="both"/>
        <w:rPr>
          <w:rFonts w:ascii="Verdana"/>
          <w:b/>
          <w:sz w:val="22"/>
        </w:rPr>
      </w:pPr>
      <w:r>
        <w:rPr>
          <w:rFonts w:ascii="Verdana"/>
          <w:b/>
          <w:sz w:val="22"/>
        </w:rPr>
        <mc:AlternateContent>
          <mc:Choice Requires="wps">
            <w:drawing>
              <wp:anchor distT="0" distB="0" distL="0" distR="0" allowOverlap="1" layoutInCell="1" locked="0" behindDoc="1" simplePos="0" relativeHeight="477215232">
                <wp:simplePos x="0" y="0"/>
                <wp:positionH relativeFrom="page">
                  <wp:posOffset>0</wp:posOffset>
                </wp:positionH>
                <wp:positionV relativeFrom="page">
                  <wp:posOffset>0</wp:posOffset>
                </wp:positionV>
                <wp:extent cx="10694035" cy="7562215"/>
                <wp:effectExtent l="0" t="0" r="0" b="0"/>
                <wp:wrapNone/>
                <wp:docPr id="656" name="Graphic 656"/>
                <wp:cNvGraphicFramePr>
                  <a:graphicFrameLocks/>
                </wp:cNvGraphicFramePr>
                <a:graphic>
                  <a:graphicData uri="http://schemas.microsoft.com/office/word/2010/wordprocessingShape">
                    <wps:wsp>
                      <wps:cNvPr id="656" name="Graphic 656"/>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101248" id="docshape419" filled="true" fillcolor="#eff5f9" stroked="false">
                <v:fill type="solid"/>
                <w10:wrap type="none"/>
              </v:rect>
            </w:pict>
          </mc:Fallback>
        </mc:AlternateContent>
      </w:r>
      <w:r>
        <w:rPr>
          <w:rFonts w:ascii="Verdana"/>
          <w:b/>
          <w:sz w:val="22"/>
        </w:rPr>
        <mc:AlternateContent>
          <mc:Choice Requires="wps">
            <w:drawing>
              <wp:anchor distT="0" distB="0" distL="0" distR="0" allowOverlap="1" layoutInCell="1" locked="0" behindDoc="1" simplePos="0" relativeHeight="477215744">
                <wp:simplePos x="0" y="0"/>
                <wp:positionH relativeFrom="page">
                  <wp:posOffset>182879</wp:posOffset>
                </wp:positionH>
                <wp:positionV relativeFrom="page">
                  <wp:posOffset>217932</wp:posOffset>
                </wp:positionV>
                <wp:extent cx="10269220" cy="6689090"/>
                <wp:effectExtent l="0" t="0" r="0" b="0"/>
                <wp:wrapNone/>
                <wp:docPr id="657" name="Group 657"/>
                <wp:cNvGraphicFramePr>
                  <a:graphicFrameLocks/>
                </wp:cNvGraphicFramePr>
                <a:graphic>
                  <a:graphicData uri="http://schemas.microsoft.com/office/word/2010/wordprocessingGroup">
                    <wpg:wgp>
                      <wpg:cNvPr id="657" name="Group 657"/>
                      <wpg:cNvGrpSpPr/>
                      <wpg:grpSpPr>
                        <a:xfrm>
                          <a:off x="0" y="0"/>
                          <a:ext cx="10269220" cy="6689090"/>
                          <a:chExt cx="10269220" cy="6689090"/>
                        </a:xfrm>
                      </wpg:grpSpPr>
                      <wps:wsp>
                        <wps:cNvPr id="658" name="Graphic 658"/>
                        <wps:cNvSpPr/>
                        <wps:spPr>
                          <a:xfrm>
                            <a:off x="0" y="0"/>
                            <a:ext cx="10269220" cy="492759"/>
                          </a:xfrm>
                          <a:custGeom>
                            <a:avLst/>
                            <a:gdLst/>
                            <a:ahLst/>
                            <a:cxnLst/>
                            <a:rect l="l" t="t" r="r" b="b"/>
                            <a:pathLst>
                              <a:path w="10269220" h="492759">
                                <a:moveTo>
                                  <a:pt x="10268712" y="0"/>
                                </a:moveTo>
                                <a:lnTo>
                                  <a:pt x="0" y="0"/>
                                </a:lnTo>
                                <a:lnTo>
                                  <a:pt x="0" y="492251"/>
                                </a:lnTo>
                                <a:lnTo>
                                  <a:pt x="10268712" y="492251"/>
                                </a:lnTo>
                                <a:lnTo>
                                  <a:pt x="10268712" y="0"/>
                                </a:lnTo>
                                <a:close/>
                              </a:path>
                            </a:pathLst>
                          </a:custGeom>
                          <a:solidFill>
                            <a:srgbClr val="001F5F"/>
                          </a:solidFill>
                        </wps:spPr>
                        <wps:bodyPr wrap="square" lIns="0" tIns="0" rIns="0" bIns="0" rtlCol="0">
                          <a:prstTxWarp prst="textNoShape">
                            <a:avLst/>
                          </a:prstTxWarp>
                          <a:noAutofit/>
                        </wps:bodyPr>
                      </wps:wsp>
                      <wps:wsp>
                        <wps:cNvPr id="659" name="Graphic 659"/>
                        <wps:cNvSpPr/>
                        <wps:spPr>
                          <a:xfrm>
                            <a:off x="0" y="492201"/>
                            <a:ext cx="10269220" cy="6196330"/>
                          </a:xfrm>
                          <a:custGeom>
                            <a:avLst/>
                            <a:gdLst/>
                            <a:ahLst/>
                            <a:cxnLst/>
                            <a:rect l="l" t="t" r="r" b="b"/>
                            <a:pathLst>
                              <a:path w="10269220" h="6196330">
                                <a:moveTo>
                                  <a:pt x="10268712" y="0"/>
                                </a:moveTo>
                                <a:lnTo>
                                  <a:pt x="0" y="0"/>
                                </a:lnTo>
                                <a:lnTo>
                                  <a:pt x="0" y="6196330"/>
                                </a:lnTo>
                                <a:lnTo>
                                  <a:pt x="10268712" y="6196330"/>
                                </a:lnTo>
                                <a:lnTo>
                                  <a:pt x="1026871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4.4pt;margin-top:17.160007pt;width:808.6pt;height:526.7pt;mso-position-horizontal-relative:page;mso-position-vertical-relative:page;z-index:-26100736" id="docshapegroup420" coordorigin="288,343" coordsize="16172,10534">
                <v:rect style="position:absolute;left:288;top:343;width:16172;height:776" id="docshape421" filled="true" fillcolor="#001f5f" stroked="false">
                  <v:fill type="solid"/>
                </v:rect>
                <v:rect style="position:absolute;left:288;top:1118;width:16172;height:9758" id="docshape422" filled="true" fillcolor="#ffffff" stroked="false">
                  <v:fill type="solid"/>
                </v:rect>
                <w10:wrap type="none"/>
              </v:group>
            </w:pict>
          </mc:Fallback>
        </mc:AlternateContent>
      </w:r>
      <w:r>
        <w:rPr>
          <w:rFonts w:ascii="Verdana"/>
          <w:b/>
          <w:color w:val="FFFFFF"/>
          <w:sz w:val="22"/>
        </w:rPr>
        <w:t>Objective</w:t>
      </w:r>
      <w:r>
        <w:rPr>
          <w:rFonts w:ascii="Verdana"/>
          <w:b/>
          <w:color w:val="FFFFFF"/>
          <w:spacing w:val="-7"/>
          <w:sz w:val="22"/>
        </w:rPr>
        <w:t> </w:t>
      </w:r>
      <w:r>
        <w:rPr>
          <w:rFonts w:ascii="Verdana"/>
          <w:b/>
          <w:color w:val="FFFFFF"/>
          <w:sz w:val="22"/>
        </w:rPr>
        <w:t>2:</w:t>
      </w:r>
      <w:r>
        <w:rPr>
          <w:rFonts w:ascii="Verdana"/>
          <w:b/>
          <w:color w:val="FFFFFF"/>
          <w:spacing w:val="-5"/>
          <w:sz w:val="22"/>
        </w:rPr>
        <w:t> </w:t>
      </w:r>
      <w:r>
        <w:rPr>
          <w:rFonts w:ascii="Verdana"/>
          <w:b/>
          <w:color w:val="FFFFFF"/>
          <w:sz w:val="22"/>
        </w:rPr>
        <w:t>Regional</w:t>
      </w:r>
      <w:r>
        <w:rPr>
          <w:rFonts w:ascii="Verdana"/>
          <w:b/>
          <w:color w:val="FFFFFF"/>
          <w:spacing w:val="-8"/>
          <w:sz w:val="22"/>
        </w:rPr>
        <w:t> </w:t>
      </w:r>
      <w:r>
        <w:rPr>
          <w:rFonts w:ascii="Verdana"/>
          <w:b/>
          <w:color w:val="FFFFFF"/>
          <w:sz w:val="22"/>
        </w:rPr>
        <w:t>Joint</w:t>
      </w:r>
      <w:r>
        <w:rPr>
          <w:rFonts w:ascii="Verdana"/>
          <w:b/>
          <w:color w:val="FFFFFF"/>
          <w:spacing w:val="-7"/>
          <w:sz w:val="22"/>
        </w:rPr>
        <w:t> </w:t>
      </w:r>
      <w:r>
        <w:rPr>
          <w:rFonts w:ascii="Verdana"/>
          <w:b/>
          <w:color w:val="FFFFFF"/>
          <w:sz w:val="22"/>
        </w:rPr>
        <w:t>Committee</w:t>
      </w:r>
      <w:r>
        <w:rPr>
          <w:rFonts w:ascii="Verdana"/>
          <w:b/>
          <w:color w:val="FFFFFF"/>
          <w:spacing w:val="-7"/>
          <w:sz w:val="22"/>
        </w:rPr>
        <w:t> </w:t>
      </w:r>
      <w:r>
        <w:rPr>
          <w:rFonts w:ascii="Verdana"/>
          <w:b/>
          <w:color w:val="FFFFFF"/>
          <w:sz w:val="22"/>
        </w:rPr>
        <w:t>subgroups</w:t>
      </w:r>
      <w:r>
        <w:rPr>
          <w:rFonts w:ascii="Verdana"/>
          <w:b/>
          <w:color w:val="FFFFFF"/>
          <w:spacing w:val="-6"/>
          <w:sz w:val="22"/>
        </w:rPr>
        <w:t> </w:t>
      </w:r>
      <w:r>
        <w:rPr>
          <w:rFonts w:ascii="Verdana"/>
          <w:b/>
          <w:color w:val="FFFFFF"/>
          <w:sz w:val="22"/>
        </w:rPr>
        <w:t>are</w:t>
      </w:r>
      <w:r>
        <w:rPr>
          <w:rFonts w:ascii="Verdana"/>
          <w:b/>
          <w:color w:val="FFFFFF"/>
          <w:spacing w:val="-7"/>
          <w:sz w:val="22"/>
        </w:rPr>
        <w:t> </w:t>
      </w:r>
      <w:r>
        <w:rPr>
          <w:rFonts w:ascii="Verdana"/>
          <w:b/>
          <w:color w:val="FFFFFF"/>
          <w:sz w:val="22"/>
        </w:rPr>
        <w:t>established</w:t>
      </w:r>
      <w:r>
        <w:rPr>
          <w:rFonts w:ascii="Verdana"/>
          <w:b/>
          <w:color w:val="FFFFFF"/>
          <w:spacing w:val="-8"/>
          <w:sz w:val="22"/>
        </w:rPr>
        <w:t> </w:t>
      </w:r>
      <w:r>
        <w:rPr>
          <w:rFonts w:ascii="Verdana"/>
          <w:b/>
          <w:color w:val="FFFFFF"/>
          <w:sz w:val="22"/>
        </w:rPr>
        <w:t>with</w:t>
      </w:r>
      <w:r>
        <w:rPr>
          <w:rFonts w:ascii="Verdana"/>
          <w:b/>
          <w:color w:val="FFFFFF"/>
          <w:spacing w:val="-6"/>
          <w:sz w:val="22"/>
        </w:rPr>
        <w:t> </w:t>
      </w:r>
      <w:r>
        <w:rPr>
          <w:rFonts w:ascii="Verdana"/>
          <w:b/>
          <w:color w:val="FFFFFF"/>
          <w:sz w:val="22"/>
        </w:rPr>
        <w:t>clear</w:t>
      </w:r>
      <w:r>
        <w:rPr>
          <w:rFonts w:ascii="Verdana"/>
          <w:b/>
          <w:color w:val="FFFFFF"/>
          <w:spacing w:val="-6"/>
          <w:sz w:val="22"/>
        </w:rPr>
        <w:t> </w:t>
      </w:r>
      <w:r>
        <w:rPr>
          <w:rFonts w:ascii="Verdana"/>
          <w:b/>
          <w:color w:val="FFFFFF"/>
          <w:sz w:val="22"/>
        </w:rPr>
        <w:t>roles,</w:t>
      </w:r>
      <w:r>
        <w:rPr>
          <w:rFonts w:ascii="Verdana"/>
          <w:b/>
          <w:color w:val="FFFFFF"/>
          <w:spacing w:val="-8"/>
          <w:sz w:val="22"/>
        </w:rPr>
        <w:t> </w:t>
      </w:r>
      <w:r>
        <w:rPr>
          <w:rFonts w:ascii="Verdana"/>
          <w:b/>
          <w:color w:val="FFFFFF"/>
          <w:sz w:val="22"/>
        </w:rPr>
        <w:t>responsibilities</w:t>
      </w:r>
      <w:r>
        <w:rPr>
          <w:rFonts w:ascii="Verdana"/>
          <w:b/>
          <w:color w:val="FFFFFF"/>
          <w:spacing w:val="-7"/>
          <w:sz w:val="22"/>
        </w:rPr>
        <w:t> </w:t>
      </w:r>
      <w:r>
        <w:rPr>
          <w:rFonts w:ascii="Verdana"/>
          <w:b/>
          <w:color w:val="FFFFFF"/>
          <w:sz w:val="22"/>
        </w:rPr>
        <w:t>and</w:t>
      </w:r>
      <w:r>
        <w:rPr>
          <w:rFonts w:ascii="Verdana"/>
          <w:b/>
          <w:color w:val="FFFFFF"/>
          <w:spacing w:val="-8"/>
          <w:sz w:val="22"/>
        </w:rPr>
        <w:t> </w:t>
      </w:r>
      <w:r>
        <w:rPr>
          <w:rFonts w:ascii="Verdana"/>
          <w:b/>
          <w:color w:val="FFFFFF"/>
          <w:sz w:val="22"/>
        </w:rPr>
        <w:t>reporting</w:t>
      </w:r>
      <w:r>
        <w:rPr>
          <w:rFonts w:ascii="Verdana"/>
          <w:b/>
          <w:color w:val="FFFFFF"/>
          <w:spacing w:val="-8"/>
          <w:sz w:val="22"/>
        </w:rPr>
        <w:t> </w:t>
      </w:r>
      <w:r>
        <w:rPr>
          <w:rFonts w:ascii="Verdana"/>
          <w:b/>
          <w:color w:val="FFFFFF"/>
          <w:sz w:val="22"/>
        </w:rPr>
        <w:t>arrangements</w:t>
      </w:r>
      <w:r>
        <w:rPr>
          <w:rFonts w:ascii="Verdana"/>
          <w:b/>
          <w:color w:val="FFFFFF"/>
          <w:spacing w:val="-6"/>
          <w:sz w:val="22"/>
        </w:rPr>
        <w:t> </w:t>
      </w:r>
      <w:r>
        <w:rPr>
          <w:rFonts w:ascii="Verdana"/>
          <w:b/>
          <w:color w:val="FFFFFF"/>
          <w:sz w:val="22"/>
        </w:rPr>
        <w:t>to support the effective delivery of regional outputs.</w:t>
      </w:r>
    </w:p>
    <w:p>
      <w:pPr>
        <w:spacing w:before="241"/>
        <w:ind w:left="255" w:right="345" w:firstLine="0"/>
        <w:jc w:val="both"/>
        <w:rPr>
          <w:rFonts w:ascii="Verdana"/>
          <w:sz w:val="22"/>
        </w:rPr>
      </w:pPr>
      <w:r>
        <w:rPr>
          <w:rFonts w:ascii="Verdana"/>
          <w:sz w:val="22"/>
        </w:rPr>
        <w:t>Work programmes are in place across the RJC substructure and are broadly aligned at a strategic level to RJC objectives. Acknowledging there are differing levels of maturity</w:t>
      </w:r>
      <w:r>
        <w:rPr>
          <w:rFonts w:ascii="Verdana"/>
          <w:spacing w:val="-1"/>
          <w:sz w:val="22"/>
        </w:rPr>
        <w:t> </w:t>
      </w:r>
      <w:r>
        <w:rPr>
          <w:rFonts w:ascii="Verdana"/>
          <w:sz w:val="22"/>
        </w:rPr>
        <w:t>across these programmes, there is variation in both the level of detail and the way in which they are articulated and reported to the RJC.</w:t>
      </w:r>
    </w:p>
    <w:p>
      <w:pPr>
        <w:spacing w:before="119"/>
        <w:ind w:left="255" w:right="342" w:firstLine="0"/>
        <w:jc w:val="both"/>
        <w:rPr>
          <w:rFonts w:ascii="Verdana"/>
          <w:sz w:val="22"/>
        </w:rPr>
      </w:pPr>
      <w:r>
        <w:rPr>
          <w:rFonts w:ascii="Verdana"/>
          <w:sz w:val="22"/>
        </w:rPr>
        <w:t>The</w:t>
      </w:r>
      <w:r>
        <w:rPr>
          <w:rFonts w:ascii="Verdana"/>
          <w:spacing w:val="-2"/>
          <w:sz w:val="22"/>
        </w:rPr>
        <w:t> </w:t>
      </w:r>
      <w:r>
        <w:rPr>
          <w:rFonts w:ascii="Verdana"/>
          <w:sz w:val="22"/>
        </w:rPr>
        <w:t>CSP</w:t>
      </w:r>
      <w:r>
        <w:rPr>
          <w:rFonts w:ascii="Verdana"/>
          <w:spacing w:val="-1"/>
          <w:sz w:val="22"/>
        </w:rPr>
        <w:t> </w:t>
      </w:r>
      <w:r>
        <w:rPr>
          <w:rFonts w:ascii="Verdana"/>
          <w:sz w:val="22"/>
        </w:rPr>
        <w:t>subgroup</w:t>
      </w:r>
      <w:r>
        <w:rPr>
          <w:rFonts w:ascii="Verdana"/>
          <w:spacing w:val="-2"/>
          <w:sz w:val="22"/>
        </w:rPr>
        <w:t> </w:t>
      </w:r>
      <w:r>
        <w:rPr>
          <w:rFonts w:ascii="Verdana"/>
          <w:sz w:val="22"/>
        </w:rPr>
        <w:t>has</w:t>
      </w:r>
      <w:r>
        <w:rPr>
          <w:rFonts w:ascii="Verdana"/>
          <w:spacing w:val="-2"/>
          <w:sz w:val="22"/>
        </w:rPr>
        <w:t> </w:t>
      </w:r>
      <w:r>
        <w:rPr>
          <w:rFonts w:ascii="Verdana"/>
          <w:sz w:val="22"/>
        </w:rPr>
        <w:t>a</w:t>
      </w:r>
      <w:r>
        <w:rPr>
          <w:rFonts w:ascii="Verdana"/>
          <w:spacing w:val="-3"/>
          <w:sz w:val="22"/>
        </w:rPr>
        <w:t> </w:t>
      </w:r>
      <w:r>
        <w:rPr>
          <w:rFonts w:ascii="Verdana"/>
          <w:sz w:val="22"/>
        </w:rPr>
        <w:t>more</w:t>
      </w:r>
      <w:r>
        <w:rPr>
          <w:rFonts w:ascii="Verdana"/>
          <w:spacing w:val="-2"/>
          <w:sz w:val="22"/>
        </w:rPr>
        <w:t> </w:t>
      </w:r>
      <w:r>
        <w:rPr>
          <w:rFonts w:ascii="Verdana"/>
          <w:sz w:val="22"/>
        </w:rPr>
        <w:t>developed</w:t>
      </w:r>
      <w:r>
        <w:rPr>
          <w:rFonts w:ascii="Verdana"/>
          <w:spacing w:val="-2"/>
          <w:sz w:val="22"/>
        </w:rPr>
        <w:t> </w:t>
      </w:r>
      <w:r>
        <w:rPr>
          <w:rFonts w:ascii="Verdana"/>
          <w:sz w:val="22"/>
        </w:rPr>
        <w:t>portfolio</w:t>
      </w:r>
      <w:r>
        <w:rPr>
          <w:rFonts w:ascii="Verdana"/>
          <w:spacing w:val="-1"/>
          <w:sz w:val="22"/>
        </w:rPr>
        <w:t> </w:t>
      </w:r>
      <w:r>
        <w:rPr>
          <w:rFonts w:ascii="Verdana"/>
          <w:sz w:val="22"/>
        </w:rPr>
        <w:t>approach,</w:t>
      </w:r>
      <w:r>
        <w:rPr>
          <w:rFonts w:ascii="Verdana"/>
          <w:spacing w:val="-1"/>
          <w:sz w:val="22"/>
        </w:rPr>
        <w:t> </w:t>
      </w:r>
      <w:r>
        <w:rPr>
          <w:rFonts w:ascii="Verdana"/>
          <w:sz w:val="22"/>
        </w:rPr>
        <w:t>supported</w:t>
      </w:r>
      <w:r>
        <w:rPr>
          <w:rFonts w:ascii="Verdana"/>
          <w:spacing w:val="-2"/>
          <w:sz w:val="22"/>
        </w:rPr>
        <w:t> </w:t>
      </w:r>
      <w:r>
        <w:rPr>
          <w:rFonts w:ascii="Verdana"/>
          <w:sz w:val="22"/>
        </w:rPr>
        <w:t>by</w:t>
      </w:r>
      <w:r>
        <w:rPr>
          <w:rFonts w:ascii="Verdana"/>
          <w:spacing w:val="-3"/>
          <w:sz w:val="22"/>
        </w:rPr>
        <w:t> </w:t>
      </w:r>
      <w:r>
        <w:rPr>
          <w:rFonts w:ascii="Verdana"/>
          <w:sz w:val="22"/>
        </w:rPr>
        <w:t>structured AAA</w:t>
      </w:r>
      <w:r>
        <w:rPr>
          <w:rFonts w:ascii="Verdana"/>
          <w:spacing w:val="-1"/>
          <w:sz w:val="22"/>
        </w:rPr>
        <w:t> </w:t>
      </w:r>
      <w:r>
        <w:rPr>
          <w:rFonts w:ascii="Verdana"/>
          <w:sz w:val="22"/>
        </w:rPr>
        <w:t>and</w:t>
      </w:r>
      <w:r>
        <w:rPr>
          <w:rFonts w:ascii="Verdana"/>
          <w:spacing w:val="-3"/>
          <w:sz w:val="22"/>
        </w:rPr>
        <w:t> </w:t>
      </w:r>
      <w:r>
        <w:rPr>
          <w:rFonts w:ascii="Verdana"/>
          <w:sz w:val="22"/>
        </w:rPr>
        <w:t>highlight</w:t>
      </w:r>
      <w:r>
        <w:rPr>
          <w:rFonts w:ascii="Verdana"/>
          <w:spacing w:val="-1"/>
          <w:sz w:val="22"/>
        </w:rPr>
        <w:t> </w:t>
      </w:r>
      <w:r>
        <w:rPr>
          <w:rFonts w:ascii="Verdana"/>
          <w:sz w:val="22"/>
        </w:rPr>
        <w:t>reporting,</w:t>
      </w:r>
      <w:r>
        <w:rPr>
          <w:rFonts w:ascii="Verdana"/>
          <w:spacing w:val="-1"/>
          <w:sz w:val="22"/>
        </w:rPr>
        <w:t> </w:t>
      </w:r>
      <w:r>
        <w:rPr>
          <w:rFonts w:ascii="Verdana"/>
          <w:sz w:val="22"/>
        </w:rPr>
        <w:t>with</w:t>
      </w:r>
      <w:r>
        <w:rPr>
          <w:rFonts w:ascii="Verdana"/>
          <w:spacing w:val="-3"/>
          <w:sz w:val="22"/>
        </w:rPr>
        <w:t> </w:t>
      </w:r>
      <w:r>
        <w:rPr>
          <w:rFonts w:ascii="Verdana"/>
          <w:sz w:val="22"/>
        </w:rPr>
        <w:t>a</w:t>
      </w:r>
      <w:r>
        <w:rPr>
          <w:rFonts w:ascii="Verdana"/>
          <w:spacing w:val="-3"/>
          <w:sz w:val="22"/>
        </w:rPr>
        <w:t> </w:t>
      </w:r>
      <w:r>
        <w:rPr>
          <w:rFonts w:ascii="Verdana"/>
          <w:sz w:val="22"/>
        </w:rPr>
        <w:t>clear</w:t>
      </w:r>
      <w:r>
        <w:rPr>
          <w:rFonts w:ascii="Verdana"/>
          <w:spacing w:val="-1"/>
          <w:sz w:val="22"/>
        </w:rPr>
        <w:t> </w:t>
      </w:r>
      <w:r>
        <w:rPr>
          <w:rFonts w:ascii="Verdana"/>
          <w:sz w:val="22"/>
        </w:rPr>
        <w:t>linkage</w:t>
      </w:r>
      <w:r>
        <w:rPr>
          <w:rFonts w:ascii="Verdana"/>
          <w:spacing w:val="-1"/>
          <w:sz w:val="22"/>
        </w:rPr>
        <w:t> </w:t>
      </w:r>
      <w:r>
        <w:rPr>
          <w:rFonts w:ascii="Verdana"/>
          <w:sz w:val="22"/>
        </w:rPr>
        <w:t>between programme activity, risk, prioritisation and executive decision-making. This includes decisions taken to pause specific workstreams, such as Urgent and Emergency Care, in recognition of programme resource constraints. While evidence was available to support the decision-making process</w:t>
      </w:r>
      <w:r>
        <w:rPr>
          <w:rFonts w:ascii="Verdana"/>
          <w:spacing w:val="-5"/>
          <w:sz w:val="22"/>
        </w:rPr>
        <w:t> </w:t>
      </w:r>
      <w:r>
        <w:rPr>
          <w:rFonts w:ascii="Verdana"/>
          <w:sz w:val="22"/>
        </w:rPr>
        <w:t>at</w:t>
      </w:r>
      <w:r>
        <w:rPr>
          <w:rFonts w:ascii="Verdana"/>
          <w:spacing w:val="-7"/>
          <w:sz w:val="22"/>
        </w:rPr>
        <w:t> </w:t>
      </w:r>
      <w:r>
        <w:rPr>
          <w:rFonts w:ascii="Verdana"/>
          <w:sz w:val="22"/>
        </w:rPr>
        <w:t>the</w:t>
      </w:r>
      <w:r>
        <w:rPr>
          <w:rFonts w:ascii="Verdana"/>
          <w:spacing w:val="-5"/>
          <w:sz w:val="22"/>
        </w:rPr>
        <w:t> </w:t>
      </w:r>
      <w:r>
        <w:rPr>
          <w:rFonts w:ascii="Verdana"/>
          <w:sz w:val="22"/>
        </w:rPr>
        <w:t>point</w:t>
      </w:r>
      <w:r>
        <w:rPr>
          <w:rFonts w:ascii="Verdana"/>
          <w:spacing w:val="-7"/>
          <w:sz w:val="22"/>
        </w:rPr>
        <w:t> </w:t>
      </w:r>
      <w:r>
        <w:rPr>
          <w:rFonts w:ascii="Verdana"/>
          <w:sz w:val="22"/>
        </w:rPr>
        <w:t>of</w:t>
      </w:r>
      <w:r>
        <w:rPr>
          <w:rFonts w:ascii="Verdana"/>
          <w:spacing w:val="-6"/>
          <w:sz w:val="22"/>
        </w:rPr>
        <w:t> </w:t>
      </w:r>
      <w:r>
        <w:rPr>
          <w:rFonts w:ascii="Verdana"/>
          <w:sz w:val="22"/>
        </w:rPr>
        <w:t>pause,</w:t>
      </w:r>
      <w:r>
        <w:rPr>
          <w:rFonts w:ascii="Verdana"/>
          <w:spacing w:val="-5"/>
          <w:sz w:val="22"/>
        </w:rPr>
        <w:t> </w:t>
      </w:r>
      <w:r>
        <w:rPr>
          <w:rFonts w:ascii="Verdana"/>
          <w:sz w:val="22"/>
        </w:rPr>
        <w:t>including</w:t>
      </w:r>
      <w:r>
        <w:rPr>
          <w:rFonts w:ascii="Verdana"/>
          <w:spacing w:val="-7"/>
          <w:sz w:val="22"/>
        </w:rPr>
        <w:t> </w:t>
      </w:r>
      <w:r>
        <w:rPr>
          <w:rFonts w:ascii="Verdana"/>
          <w:sz w:val="22"/>
        </w:rPr>
        <w:t>consideration</w:t>
      </w:r>
      <w:r>
        <w:rPr>
          <w:rFonts w:ascii="Verdana"/>
          <w:spacing w:val="-7"/>
          <w:sz w:val="22"/>
        </w:rPr>
        <w:t> </w:t>
      </w:r>
      <w:r>
        <w:rPr>
          <w:rFonts w:ascii="Verdana"/>
          <w:sz w:val="22"/>
        </w:rPr>
        <w:t>of</w:t>
      </w:r>
      <w:r>
        <w:rPr>
          <w:rFonts w:ascii="Verdana"/>
          <w:spacing w:val="-6"/>
          <w:sz w:val="22"/>
        </w:rPr>
        <w:t> </w:t>
      </w:r>
      <w:r>
        <w:rPr>
          <w:rFonts w:ascii="Verdana"/>
          <w:sz w:val="22"/>
        </w:rPr>
        <w:t>capacity</w:t>
      </w:r>
      <w:r>
        <w:rPr>
          <w:rFonts w:ascii="Verdana"/>
          <w:spacing w:val="-5"/>
          <w:sz w:val="22"/>
        </w:rPr>
        <w:t> </w:t>
      </w:r>
      <w:r>
        <w:rPr>
          <w:rFonts w:ascii="Verdana"/>
          <w:sz w:val="22"/>
        </w:rPr>
        <w:t>and</w:t>
      </w:r>
      <w:r>
        <w:rPr>
          <w:rFonts w:ascii="Verdana"/>
          <w:spacing w:val="-7"/>
          <w:sz w:val="22"/>
        </w:rPr>
        <w:t> </w:t>
      </w:r>
      <w:r>
        <w:rPr>
          <w:rFonts w:ascii="Verdana"/>
          <w:sz w:val="22"/>
        </w:rPr>
        <w:t>prioritisation</w:t>
      </w:r>
      <w:r>
        <w:rPr>
          <w:rFonts w:ascii="Verdana"/>
          <w:spacing w:val="-6"/>
          <w:sz w:val="22"/>
        </w:rPr>
        <w:t> </w:t>
      </w:r>
      <w:r>
        <w:rPr>
          <w:rFonts w:ascii="Verdana"/>
          <w:sz w:val="22"/>
        </w:rPr>
        <w:t>of</w:t>
      </w:r>
      <w:r>
        <w:rPr>
          <w:rFonts w:ascii="Verdana"/>
          <w:spacing w:val="-4"/>
          <w:sz w:val="22"/>
        </w:rPr>
        <w:t> </w:t>
      </w:r>
      <w:r>
        <w:rPr>
          <w:rFonts w:ascii="Verdana"/>
          <w:sz w:val="22"/>
        </w:rPr>
        <w:t>resources,</w:t>
      </w:r>
      <w:r>
        <w:rPr>
          <w:rFonts w:ascii="Verdana"/>
          <w:spacing w:val="-5"/>
          <w:sz w:val="22"/>
        </w:rPr>
        <w:t> </w:t>
      </w:r>
      <w:r>
        <w:rPr>
          <w:rFonts w:ascii="Verdana"/>
          <w:sz w:val="22"/>
        </w:rPr>
        <w:t>limited</w:t>
      </w:r>
      <w:r>
        <w:rPr>
          <w:rFonts w:ascii="Verdana"/>
          <w:spacing w:val="-7"/>
          <w:sz w:val="22"/>
        </w:rPr>
        <w:t> </w:t>
      </w:r>
      <w:r>
        <w:rPr>
          <w:rFonts w:ascii="Verdana"/>
          <w:sz w:val="22"/>
        </w:rPr>
        <w:t>supporting</w:t>
      </w:r>
      <w:r>
        <w:rPr>
          <w:rFonts w:ascii="Verdana"/>
          <w:spacing w:val="-7"/>
          <w:sz w:val="22"/>
        </w:rPr>
        <w:t> </w:t>
      </w:r>
      <w:r>
        <w:rPr>
          <w:rFonts w:ascii="Verdana"/>
          <w:sz w:val="22"/>
        </w:rPr>
        <w:t>documentation</w:t>
      </w:r>
      <w:r>
        <w:rPr>
          <w:rFonts w:ascii="Verdana"/>
          <w:spacing w:val="-9"/>
          <w:sz w:val="22"/>
        </w:rPr>
        <w:t> </w:t>
      </w:r>
      <w:r>
        <w:rPr>
          <w:rFonts w:ascii="Verdana"/>
          <w:sz w:val="22"/>
        </w:rPr>
        <w:t>was</w:t>
      </w:r>
      <w:r>
        <w:rPr>
          <w:rFonts w:ascii="Verdana"/>
          <w:spacing w:val="-6"/>
          <w:sz w:val="22"/>
        </w:rPr>
        <w:t> </w:t>
      </w:r>
      <w:r>
        <w:rPr>
          <w:rFonts w:ascii="Verdana"/>
          <w:sz w:val="22"/>
        </w:rPr>
        <w:t>available to demonstrate the progress of this workstream prior to this decision.</w:t>
      </w:r>
    </w:p>
    <w:p>
      <w:pPr>
        <w:spacing w:before="121"/>
        <w:ind w:left="255" w:right="343" w:firstLine="0"/>
        <w:jc w:val="both"/>
        <w:rPr>
          <w:rFonts w:ascii="Verdana"/>
          <w:sz w:val="22"/>
        </w:rPr>
      </w:pPr>
      <w:r>
        <w:rPr>
          <w:rFonts w:ascii="Verdana"/>
          <w:sz w:val="22"/>
        </w:rPr>
        <w:t>In contrast, other subgroups are at earlier stages of development, with variation in maturity reflecting the transition from legacy ARCH arrangements</w:t>
      </w:r>
      <w:r>
        <w:rPr>
          <w:rFonts w:ascii="Verdana"/>
          <w:spacing w:val="-15"/>
          <w:sz w:val="22"/>
        </w:rPr>
        <w:t> </w:t>
      </w:r>
      <w:r>
        <w:rPr>
          <w:rFonts w:ascii="Verdana"/>
          <w:sz w:val="22"/>
        </w:rPr>
        <w:t>to</w:t>
      </w:r>
      <w:r>
        <w:rPr>
          <w:rFonts w:ascii="Verdana"/>
          <w:spacing w:val="-16"/>
          <w:sz w:val="22"/>
        </w:rPr>
        <w:t> </w:t>
      </w:r>
      <w:r>
        <w:rPr>
          <w:rFonts w:ascii="Verdana"/>
          <w:sz w:val="22"/>
        </w:rPr>
        <w:t>newer</w:t>
      </w:r>
      <w:r>
        <w:rPr>
          <w:rFonts w:ascii="Verdana"/>
          <w:spacing w:val="-16"/>
          <w:sz w:val="22"/>
        </w:rPr>
        <w:t> </w:t>
      </w:r>
      <w:r>
        <w:rPr>
          <w:rFonts w:ascii="Verdana"/>
          <w:sz w:val="22"/>
        </w:rPr>
        <w:t>RJC-established</w:t>
      </w:r>
      <w:r>
        <w:rPr>
          <w:rFonts w:ascii="Verdana"/>
          <w:spacing w:val="-16"/>
          <w:sz w:val="22"/>
        </w:rPr>
        <w:t> </w:t>
      </w:r>
      <w:r>
        <w:rPr>
          <w:rFonts w:ascii="Verdana"/>
          <w:sz w:val="22"/>
        </w:rPr>
        <w:t>structures.</w:t>
      </w:r>
      <w:r>
        <w:rPr>
          <w:rFonts w:ascii="Verdana"/>
          <w:spacing w:val="-14"/>
          <w:sz w:val="22"/>
        </w:rPr>
        <w:t> </w:t>
      </w:r>
      <w:r>
        <w:rPr>
          <w:rFonts w:ascii="Verdana"/>
          <w:sz w:val="22"/>
        </w:rPr>
        <w:t>The</w:t>
      </w:r>
      <w:r>
        <w:rPr>
          <w:rFonts w:ascii="Verdana"/>
          <w:spacing w:val="-16"/>
          <w:sz w:val="22"/>
        </w:rPr>
        <w:t> </w:t>
      </w:r>
      <w:r>
        <w:rPr>
          <w:rFonts w:ascii="Verdana"/>
          <w:sz w:val="22"/>
        </w:rPr>
        <w:t>RHE</w:t>
      </w:r>
      <w:r>
        <w:rPr>
          <w:rFonts w:ascii="Verdana"/>
          <w:spacing w:val="-16"/>
          <w:sz w:val="22"/>
        </w:rPr>
        <w:t> </w:t>
      </w:r>
      <w:r>
        <w:rPr>
          <w:rFonts w:ascii="Verdana"/>
          <w:sz w:val="22"/>
        </w:rPr>
        <w:t>subgroup</w:t>
      </w:r>
      <w:r>
        <w:rPr>
          <w:rFonts w:ascii="Verdana"/>
          <w:spacing w:val="-17"/>
          <w:sz w:val="22"/>
        </w:rPr>
        <w:t> </w:t>
      </w:r>
      <w:r>
        <w:rPr>
          <w:rFonts w:ascii="Verdana"/>
          <w:sz w:val="22"/>
        </w:rPr>
        <w:t>reports</w:t>
      </w:r>
      <w:r>
        <w:rPr>
          <w:rFonts w:ascii="Verdana"/>
          <w:spacing w:val="-16"/>
          <w:sz w:val="22"/>
        </w:rPr>
        <w:t> </w:t>
      </w:r>
      <w:r>
        <w:rPr>
          <w:rFonts w:ascii="Verdana"/>
          <w:sz w:val="22"/>
        </w:rPr>
        <w:t>progress</w:t>
      </w:r>
      <w:r>
        <w:rPr>
          <w:rFonts w:ascii="Verdana"/>
          <w:spacing w:val="-15"/>
          <w:sz w:val="22"/>
        </w:rPr>
        <w:t> </w:t>
      </w:r>
      <w:r>
        <w:rPr>
          <w:rFonts w:ascii="Verdana"/>
          <w:sz w:val="22"/>
        </w:rPr>
        <w:t>using</w:t>
      </w:r>
      <w:r>
        <w:rPr>
          <w:rFonts w:ascii="Verdana"/>
          <w:spacing w:val="-17"/>
          <w:sz w:val="22"/>
        </w:rPr>
        <w:t> </w:t>
      </w:r>
      <w:r>
        <w:rPr>
          <w:rFonts w:ascii="Verdana"/>
          <w:sz w:val="22"/>
        </w:rPr>
        <w:t>narrative-based</w:t>
      </w:r>
      <w:r>
        <w:rPr>
          <w:rFonts w:ascii="Verdana"/>
          <w:spacing w:val="-16"/>
          <w:sz w:val="22"/>
        </w:rPr>
        <w:t> </w:t>
      </w:r>
      <w:r>
        <w:rPr>
          <w:rFonts w:ascii="Verdana"/>
          <w:sz w:val="22"/>
        </w:rPr>
        <w:t>highlight</w:t>
      </w:r>
      <w:r>
        <w:rPr>
          <w:rFonts w:ascii="Verdana"/>
          <w:spacing w:val="-16"/>
          <w:sz w:val="22"/>
        </w:rPr>
        <w:t> </w:t>
      </w:r>
      <w:r>
        <w:rPr>
          <w:rFonts w:ascii="Verdana"/>
          <w:sz w:val="22"/>
        </w:rPr>
        <w:t>summaries,</w:t>
      </w:r>
      <w:r>
        <w:rPr>
          <w:rFonts w:ascii="Verdana"/>
          <w:spacing w:val="-14"/>
          <w:sz w:val="22"/>
        </w:rPr>
        <w:t> </w:t>
      </w:r>
      <w:r>
        <w:rPr>
          <w:rFonts w:ascii="Verdana"/>
          <w:sz w:val="22"/>
        </w:rPr>
        <w:t>with</w:t>
      </w:r>
      <w:r>
        <w:rPr>
          <w:rFonts w:ascii="Verdana"/>
          <w:spacing w:val="-16"/>
          <w:sz w:val="22"/>
        </w:rPr>
        <w:t> </w:t>
      </w:r>
      <w:r>
        <w:rPr>
          <w:rFonts w:ascii="Verdana"/>
          <w:sz w:val="22"/>
        </w:rPr>
        <w:t>a</w:t>
      </w:r>
      <w:r>
        <w:rPr>
          <w:rFonts w:ascii="Verdana"/>
          <w:spacing w:val="-14"/>
          <w:sz w:val="22"/>
        </w:rPr>
        <w:t> </w:t>
      </w:r>
      <w:r>
        <w:rPr>
          <w:rFonts w:ascii="Verdana"/>
          <w:sz w:val="22"/>
        </w:rPr>
        <w:t>strong emphasis</w:t>
      </w:r>
      <w:r>
        <w:rPr>
          <w:rFonts w:ascii="Verdana"/>
          <w:spacing w:val="-9"/>
          <w:sz w:val="22"/>
        </w:rPr>
        <w:t> </w:t>
      </w:r>
      <w:r>
        <w:rPr>
          <w:rFonts w:ascii="Verdana"/>
          <w:sz w:val="22"/>
        </w:rPr>
        <w:t>on</w:t>
      </w:r>
      <w:r>
        <w:rPr>
          <w:rFonts w:ascii="Verdana"/>
          <w:spacing w:val="-9"/>
          <w:sz w:val="22"/>
        </w:rPr>
        <w:t> </w:t>
      </w:r>
      <w:r>
        <w:rPr>
          <w:rFonts w:ascii="Verdana"/>
          <w:sz w:val="22"/>
        </w:rPr>
        <w:t>partnership</w:t>
      </w:r>
      <w:r>
        <w:rPr>
          <w:rFonts w:ascii="Verdana"/>
          <w:spacing w:val="-11"/>
          <w:sz w:val="22"/>
        </w:rPr>
        <w:t> </w:t>
      </w:r>
      <w:r>
        <w:rPr>
          <w:rFonts w:ascii="Verdana"/>
          <w:sz w:val="22"/>
        </w:rPr>
        <w:t>working</w:t>
      </w:r>
      <w:r>
        <w:rPr>
          <w:rFonts w:ascii="Verdana"/>
          <w:spacing w:val="-12"/>
          <w:sz w:val="22"/>
        </w:rPr>
        <w:t> </w:t>
      </w:r>
      <w:r>
        <w:rPr>
          <w:rFonts w:ascii="Verdana"/>
          <w:sz w:val="22"/>
        </w:rPr>
        <w:t>and</w:t>
      </w:r>
      <w:r>
        <w:rPr>
          <w:rFonts w:ascii="Verdana"/>
          <w:spacing w:val="-10"/>
          <w:sz w:val="22"/>
        </w:rPr>
        <w:t> </w:t>
      </w:r>
      <w:r>
        <w:rPr>
          <w:rFonts w:ascii="Verdana"/>
          <w:sz w:val="22"/>
        </w:rPr>
        <w:t>activity;</w:t>
      </w:r>
      <w:r>
        <w:rPr>
          <w:rFonts w:ascii="Verdana"/>
          <w:spacing w:val="-9"/>
          <w:sz w:val="22"/>
        </w:rPr>
        <w:t> </w:t>
      </w:r>
      <w:r>
        <w:rPr>
          <w:rFonts w:ascii="Verdana"/>
          <w:sz w:val="22"/>
        </w:rPr>
        <w:t>however,</w:t>
      </w:r>
      <w:r>
        <w:rPr>
          <w:rFonts w:ascii="Verdana"/>
          <w:spacing w:val="-9"/>
          <w:sz w:val="22"/>
        </w:rPr>
        <w:t> </w:t>
      </w:r>
      <w:r>
        <w:rPr>
          <w:rFonts w:ascii="Verdana"/>
          <w:sz w:val="22"/>
        </w:rPr>
        <w:t>this</w:t>
      </w:r>
      <w:r>
        <w:rPr>
          <w:rFonts w:ascii="Verdana"/>
          <w:spacing w:val="-9"/>
          <w:sz w:val="22"/>
        </w:rPr>
        <w:t> </w:t>
      </w:r>
      <w:r>
        <w:rPr>
          <w:rFonts w:ascii="Verdana"/>
          <w:sz w:val="22"/>
        </w:rPr>
        <w:t>is</w:t>
      </w:r>
      <w:r>
        <w:rPr>
          <w:rFonts w:ascii="Verdana"/>
          <w:spacing w:val="-9"/>
          <w:sz w:val="22"/>
        </w:rPr>
        <w:t> </w:t>
      </w:r>
      <w:r>
        <w:rPr>
          <w:rFonts w:ascii="Verdana"/>
          <w:sz w:val="22"/>
        </w:rPr>
        <w:t>not</w:t>
      </w:r>
      <w:r>
        <w:rPr>
          <w:rFonts w:ascii="Verdana"/>
          <w:spacing w:val="-10"/>
          <w:sz w:val="22"/>
        </w:rPr>
        <w:t> </w:t>
      </w:r>
      <w:r>
        <w:rPr>
          <w:rFonts w:ascii="Verdana"/>
          <w:sz w:val="22"/>
        </w:rPr>
        <w:t>consistently</w:t>
      </w:r>
      <w:r>
        <w:rPr>
          <w:rFonts w:ascii="Verdana"/>
          <w:spacing w:val="-10"/>
          <w:sz w:val="22"/>
        </w:rPr>
        <w:t> </w:t>
      </w:r>
      <w:r>
        <w:rPr>
          <w:rFonts w:ascii="Verdana"/>
          <w:sz w:val="22"/>
        </w:rPr>
        <w:t>supported</w:t>
      </w:r>
      <w:r>
        <w:rPr>
          <w:rFonts w:ascii="Verdana"/>
          <w:spacing w:val="-10"/>
          <w:sz w:val="22"/>
        </w:rPr>
        <w:t> </w:t>
      </w:r>
      <w:r>
        <w:rPr>
          <w:rFonts w:ascii="Verdana"/>
          <w:sz w:val="22"/>
        </w:rPr>
        <w:t>by</w:t>
      </w:r>
      <w:r>
        <w:rPr>
          <w:rFonts w:ascii="Verdana"/>
          <w:spacing w:val="-10"/>
          <w:sz w:val="22"/>
        </w:rPr>
        <w:t> </w:t>
      </w:r>
      <w:r>
        <w:rPr>
          <w:rFonts w:ascii="Verdana"/>
          <w:sz w:val="22"/>
        </w:rPr>
        <w:t>clearly</w:t>
      </w:r>
      <w:r>
        <w:rPr>
          <w:rFonts w:ascii="Verdana"/>
          <w:spacing w:val="-8"/>
          <w:sz w:val="22"/>
        </w:rPr>
        <w:t> </w:t>
      </w:r>
      <w:r>
        <w:rPr>
          <w:rFonts w:ascii="Verdana"/>
          <w:sz w:val="22"/>
        </w:rPr>
        <w:t>defined</w:t>
      </w:r>
      <w:r>
        <w:rPr>
          <w:rFonts w:ascii="Verdana"/>
          <w:spacing w:val="-7"/>
          <w:sz w:val="22"/>
        </w:rPr>
        <w:t> </w:t>
      </w:r>
      <w:r>
        <w:rPr>
          <w:rFonts w:ascii="Verdana"/>
          <w:sz w:val="22"/>
        </w:rPr>
        <w:t>outputs</w:t>
      </w:r>
      <w:r>
        <w:rPr>
          <w:rFonts w:ascii="Verdana"/>
          <w:spacing w:val="-9"/>
          <w:sz w:val="22"/>
        </w:rPr>
        <w:t> </w:t>
      </w:r>
      <w:r>
        <w:rPr>
          <w:rFonts w:ascii="Verdana"/>
          <w:sz w:val="22"/>
        </w:rPr>
        <w:t>or</w:t>
      </w:r>
      <w:r>
        <w:rPr>
          <w:rFonts w:ascii="Verdana"/>
          <w:spacing w:val="-9"/>
          <w:sz w:val="22"/>
        </w:rPr>
        <w:t> </w:t>
      </w:r>
      <w:r>
        <w:rPr>
          <w:rFonts w:ascii="Verdana"/>
          <w:sz w:val="22"/>
        </w:rPr>
        <w:t>success</w:t>
      </w:r>
      <w:r>
        <w:rPr>
          <w:rFonts w:ascii="Verdana"/>
          <w:spacing w:val="-9"/>
          <w:sz w:val="22"/>
        </w:rPr>
        <w:t> </w:t>
      </w:r>
      <w:r>
        <w:rPr>
          <w:rFonts w:ascii="Verdana"/>
          <w:sz w:val="22"/>
        </w:rPr>
        <w:t>criteria.</w:t>
      </w:r>
      <w:r>
        <w:rPr>
          <w:rFonts w:ascii="Verdana"/>
          <w:spacing w:val="-8"/>
          <w:sz w:val="22"/>
        </w:rPr>
        <w:t> </w:t>
      </w:r>
      <w:r>
        <w:rPr>
          <w:rFonts w:ascii="Verdana"/>
          <w:sz w:val="22"/>
        </w:rPr>
        <w:t>This</w:t>
      </w:r>
      <w:r>
        <w:rPr>
          <w:rFonts w:ascii="Verdana"/>
          <w:spacing w:val="-10"/>
          <w:sz w:val="22"/>
        </w:rPr>
        <w:t> </w:t>
      </w:r>
      <w:r>
        <w:rPr>
          <w:rFonts w:ascii="Verdana"/>
          <w:sz w:val="22"/>
        </w:rPr>
        <w:t>has been</w:t>
      </w:r>
      <w:r>
        <w:rPr>
          <w:rFonts w:ascii="Verdana"/>
          <w:spacing w:val="-12"/>
          <w:sz w:val="22"/>
        </w:rPr>
        <w:t> </w:t>
      </w:r>
      <w:r>
        <w:rPr>
          <w:rFonts w:ascii="Verdana"/>
          <w:sz w:val="22"/>
        </w:rPr>
        <w:t>recognised</w:t>
      </w:r>
      <w:r>
        <w:rPr>
          <w:rFonts w:ascii="Verdana"/>
          <w:spacing w:val="-12"/>
          <w:sz w:val="22"/>
        </w:rPr>
        <w:t> </w:t>
      </w:r>
      <w:r>
        <w:rPr>
          <w:rFonts w:ascii="Verdana"/>
          <w:sz w:val="22"/>
        </w:rPr>
        <w:t>by</w:t>
      </w:r>
      <w:r>
        <w:rPr>
          <w:rFonts w:ascii="Verdana"/>
          <w:spacing w:val="-13"/>
          <w:sz w:val="22"/>
        </w:rPr>
        <w:t> </w:t>
      </w:r>
      <w:r>
        <w:rPr>
          <w:rFonts w:ascii="Verdana"/>
          <w:sz w:val="22"/>
        </w:rPr>
        <w:t>management</w:t>
      </w:r>
      <w:r>
        <w:rPr>
          <w:rFonts w:ascii="Verdana"/>
          <w:spacing w:val="-12"/>
          <w:sz w:val="22"/>
        </w:rPr>
        <w:t> </w:t>
      </w:r>
      <w:r>
        <w:rPr>
          <w:rFonts w:ascii="Verdana"/>
          <w:sz w:val="22"/>
        </w:rPr>
        <w:t>and</w:t>
      </w:r>
      <w:r>
        <w:rPr>
          <w:rFonts w:ascii="Verdana"/>
          <w:spacing w:val="-13"/>
          <w:sz w:val="22"/>
        </w:rPr>
        <w:t> </w:t>
      </w:r>
      <w:r>
        <w:rPr>
          <w:rFonts w:ascii="Verdana"/>
          <w:sz w:val="22"/>
        </w:rPr>
        <w:t>is</w:t>
      </w:r>
      <w:r>
        <w:rPr>
          <w:rFonts w:ascii="Verdana"/>
          <w:spacing w:val="-11"/>
          <w:sz w:val="22"/>
        </w:rPr>
        <w:t> </w:t>
      </w:r>
      <w:r>
        <w:rPr>
          <w:rFonts w:ascii="Verdana"/>
          <w:sz w:val="22"/>
        </w:rPr>
        <w:t>a</w:t>
      </w:r>
      <w:r>
        <w:rPr>
          <w:rFonts w:ascii="Verdana"/>
          <w:spacing w:val="-12"/>
          <w:sz w:val="22"/>
        </w:rPr>
        <w:t> </w:t>
      </w:r>
      <w:r>
        <w:rPr>
          <w:rFonts w:ascii="Verdana"/>
          <w:sz w:val="22"/>
        </w:rPr>
        <w:t>key</w:t>
      </w:r>
      <w:r>
        <w:rPr>
          <w:rFonts w:ascii="Verdana"/>
          <w:spacing w:val="-12"/>
          <w:sz w:val="22"/>
        </w:rPr>
        <w:t> </w:t>
      </w:r>
      <w:r>
        <w:rPr>
          <w:rFonts w:ascii="Verdana"/>
          <w:sz w:val="22"/>
        </w:rPr>
        <w:t>focus</w:t>
      </w:r>
      <w:r>
        <w:rPr>
          <w:rFonts w:ascii="Verdana"/>
          <w:spacing w:val="-11"/>
          <w:sz w:val="22"/>
        </w:rPr>
        <w:t> </w:t>
      </w:r>
      <w:r>
        <w:rPr>
          <w:rFonts w:ascii="Verdana"/>
          <w:sz w:val="22"/>
        </w:rPr>
        <w:t>within</w:t>
      </w:r>
      <w:r>
        <w:rPr>
          <w:rFonts w:ascii="Verdana"/>
          <w:spacing w:val="-12"/>
          <w:sz w:val="22"/>
        </w:rPr>
        <w:t> </w:t>
      </w:r>
      <w:r>
        <w:rPr>
          <w:rFonts w:ascii="Verdana"/>
          <w:sz w:val="22"/>
        </w:rPr>
        <w:t>the</w:t>
      </w:r>
      <w:r>
        <w:rPr>
          <w:rFonts w:ascii="Verdana"/>
          <w:spacing w:val="-11"/>
          <w:sz w:val="22"/>
        </w:rPr>
        <w:t> </w:t>
      </w:r>
      <w:r>
        <w:rPr>
          <w:rFonts w:ascii="Verdana"/>
          <w:sz w:val="22"/>
        </w:rPr>
        <w:t>Health</w:t>
      </w:r>
      <w:r>
        <w:rPr>
          <w:rFonts w:ascii="Verdana"/>
          <w:spacing w:val="-13"/>
          <w:sz w:val="22"/>
        </w:rPr>
        <w:t> </w:t>
      </w:r>
      <w:r>
        <w:rPr>
          <w:rFonts w:ascii="Verdana"/>
          <w:sz w:val="22"/>
        </w:rPr>
        <w:t>Intelligence</w:t>
      </w:r>
      <w:r>
        <w:rPr>
          <w:rFonts w:ascii="Verdana"/>
          <w:spacing w:val="-12"/>
          <w:sz w:val="22"/>
        </w:rPr>
        <w:t> </w:t>
      </w:r>
      <w:r>
        <w:rPr>
          <w:rFonts w:ascii="Verdana"/>
          <w:sz w:val="22"/>
        </w:rPr>
        <w:t>and</w:t>
      </w:r>
      <w:r>
        <w:rPr>
          <w:rFonts w:ascii="Verdana"/>
          <w:spacing w:val="-12"/>
          <w:sz w:val="22"/>
        </w:rPr>
        <w:t> </w:t>
      </w:r>
      <w:r>
        <w:rPr>
          <w:rFonts w:ascii="Verdana"/>
          <w:sz w:val="22"/>
        </w:rPr>
        <w:t>Health</w:t>
      </w:r>
      <w:r>
        <w:rPr>
          <w:rFonts w:ascii="Verdana"/>
          <w:spacing w:val="-13"/>
          <w:sz w:val="22"/>
        </w:rPr>
        <w:t> </w:t>
      </w:r>
      <w:r>
        <w:rPr>
          <w:rFonts w:ascii="Verdana"/>
          <w:sz w:val="22"/>
        </w:rPr>
        <w:t>Inequalities</w:t>
      </w:r>
      <w:r>
        <w:rPr>
          <w:rFonts w:ascii="Verdana"/>
          <w:spacing w:val="-11"/>
          <w:sz w:val="22"/>
        </w:rPr>
        <w:t> </w:t>
      </w:r>
      <w:r>
        <w:rPr>
          <w:rFonts w:ascii="Verdana"/>
          <w:sz w:val="22"/>
        </w:rPr>
        <w:t>workstreams</w:t>
      </w:r>
      <w:r>
        <w:rPr>
          <w:rFonts w:ascii="Verdana"/>
          <w:spacing w:val="-11"/>
          <w:sz w:val="22"/>
        </w:rPr>
        <w:t> </w:t>
      </w:r>
      <w:r>
        <w:rPr>
          <w:rFonts w:ascii="Verdana"/>
          <w:sz w:val="22"/>
        </w:rPr>
        <w:t>as</w:t>
      </w:r>
      <w:r>
        <w:rPr>
          <w:rFonts w:ascii="Verdana"/>
          <w:spacing w:val="-11"/>
          <w:sz w:val="22"/>
        </w:rPr>
        <w:t> </w:t>
      </w:r>
      <w:r>
        <w:rPr>
          <w:rFonts w:ascii="Verdana"/>
          <w:sz w:val="22"/>
        </w:rPr>
        <w:t>the</w:t>
      </w:r>
      <w:r>
        <w:rPr>
          <w:rFonts w:ascii="Verdana"/>
          <w:spacing w:val="-14"/>
          <w:sz w:val="22"/>
        </w:rPr>
        <w:t> </w:t>
      </w:r>
      <w:r>
        <w:rPr>
          <w:rFonts w:ascii="Verdana"/>
          <w:sz w:val="22"/>
        </w:rPr>
        <w:t>subgroup</w:t>
      </w:r>
      <w:r>
        <w:rPr>
          <w:rFonts w:ascii="Verdana"/>
          <w:spacing w:val="-13"/>
          <w:sz w:val="22"/>
        </w:rPr>
        <w:t> </w:t>
      </w:r>
      <w:r>
        <w:rPr>
          <w:rFonts w:ascii="Verdana"/>
          <w:sz w:val="22"/>
        </w:rPr>
        <w:t>develops its longer-term strategic plan.</w:t>
      </w:r>
    </w:p>
    <w:p>
      <w:pPr>
        <w:spacing w:before="120"/>
        <w:ind w:left="255" w:right="343" w:firstLine="0"/>
        <w:jc w:val="both"/>
        <w:rPr>
          <w:rFonts w:ascii="Verdana" w:hAnsi="Verdana"/>
          <w:sz w:val="22"/>
        </w:rPr>
      </w:pPr>
      <w:r>
        <w:rPr>
          <w:rFonts w:ascii="Verdana" w:hAnsi="Verdana"/>
          <w:sz w:val="22"/>
        </w:rPr>
        <w:t>The REI subgroup structure has established short-term milestones and supporting documentation; however, given its delayed implementation, longer-term</w:t>
      </w:r>
      <w:r>
        <w:rPr>
          <w:rFonts w:ascii="Verdana" w:hAnsi="Verdana"/>
          <w:spacing w:val="-9"/>
          <w:sz w:val="22"/>
        </w:rPr>
        <w:t> </w:t>
      </w:r>
      <w:r>
        <w:rPr>
          <w:rFonts w:ascii="Verdana" w:hAnsi="Verdana"/>
          <w:sz w:val="22"/>
        </w:rPr>
        <w:t>outcomes</w:t>
      </w:r>
      <w:r>
        <w:rPr>
          <w:rFonts w:ascii="Verdana" w:hAnsi="Verdana"/>
          <w:spacing w:val="-10"/>
          <w:sz w:val="22"/>
        </w:rPr>
        <w:t> </w:t>
      </w:r>
      <w:r>
        <w:rPr>
          <w:rFonts w:ascii="Verdana" w:hAnsi="Verdana"/>
          <w:sz w:val="22"/>
        </w:rPr>
        <w:t>and</w:t>
      </w:r>
      <w:r>
        <w:rPr>
          <w:rFonts w:ascii="Verdana" w:hAnsi="Verdana"/>
          <w:spacing w:val="-12"/>
          <w:sz w:val="22"/>
        </w:rPr>
        <w:t> </w:t>
      </w:r>
      <w:r>
        <w:rPr>
          <w:rFonts w:ascii="Verdana" w:hAnsi="Verdana"/>
          <w:sz w:val="22"/>
        </w:rPr>
        <w:t>benefits</w:t>
      </w:r>
      <w:r>
        <w:rPr>
          <w:rFonts w:ascii="Verdana" w:hAnsi="Verdana"/>
          <w:spacing w:val="-11"/>
          <w:sz w:val="22"/>
        </w:rPr>
        <w:t> </w:t>
      </w:r>
      <w:r>
        <w:rPr>
          <w:rFonts w:ascii="Verdana" w:hAnsi="Verdana"/>
          <w:sz w:val="22"/>
        </w:rPr>
        <w:t>realisation</w:t>
      </w:r>
      <w:r>
        <w:rPr>
          <w:rFonts w:ascii="Verdana" w:hAnsi="Verdana"/>
          <w:spacing w:val="-11"/>
          <w:sz w:val="22"/>
        </w:rPr>
        <w:t> </w:t>
      </w:r>
      <w:r>
        <w:rPr>
          <w:rFonts w:ascii="Verdana" w:hAnsi="Verdana"/>
          <w:sz w:val="22"/>
        </w:rPr>
        <w:t>remain</w:t>
      </w:r>
      <w:r>
        <w:rPr>
          <w:rFonts w:ascii="Verdana" w:hAnsi="Verdana"/>
          <w:spacing w:val="-11"/>
          <w:sz w:val="22"/>
        </w:rPr>
        <w:t> </w:t>
      </w:r>
      <w:r>
        <w:rPr>
          <w:rFonts w:ascii="Verdana" w:hAnsi="Verdana"/>
          <w:sz w:val="22"/>
        </w:rPr>
        <w:t>under</w:t>
      </w:r>
      <w:r>
        <w:rPr>
          <w:rFonts w:ascii="Verdana" w:hAnsi="Verdana"/>
          <w:spacing w:val="-12"/>
          <w:sz w:val="22"/>
        </w:rPr>
        <w:t> </w:t>
      </w:r>
      <w:r>
        <w:rPr>
          <w:rFonts w:ascii="Verdana" w:hAnsi="Verdana"/>
          <w:sz w:val="22"/>
        </w:rPr>
        <w:t>development.</w:t>
      </w:r>
      <w:r>
        <w:rPr>
          <w:rFonts w:ascii="Verdana" w:hAnsi="Verdana"/>
          <w:spacing w:val="-12"/>
          <w:sz w:val="22"/>
        </w:rPr>
        <w:t> </w:t>
      </w:r>
      <w:r>
        <w:rPr>
          <w:rFonts w:ascii="Verdana" w:hAnsi="Verdana"/>
          <w:sz w:val="22"/>
        </w:rPr>
        <w:t>Similarly,</w:t>
      </w:r>
      <w:r>
        <w:rPr>
          <w:rFonts w:ascii="Verdana" w:hAnsi="Verdana"/>
          <w:spacing w:val="-9"/>
          <w:sz w:val="22"/>
        </w:rPr>
        <w:t> </w:t>
      </w:r>
      <w:r>
        <w:rPr>
          <w:rFonts w:ascii="Verdana" w:hAnsi="Verdana"/>
          <w:sz w:val="22"/>
        </w:rPr>
        <w:t>the</w:t>
      </w:r>
      <w:r>
        <w:rPr>
          <w:rFonts w:ascii="Verdana" w:hAnsi="Verdana"/>
          <w:spacing w:val="-10"/>
          <w:sz w:val="22"/>
        </w:rPr>
        <w:t> </w:t>
      </w:r>
      <w:r>
        <w:rPr>
          <w:rFonts w:ascii="Verdana" w:hAnsi="Verdana"/>
          <w:sz w:val="22"/>
        </w:rPr>
        <w:t>WOD</w:t>
      </w:r>
      <w:r>
        <w:rPr>
          <w:rFonts w:ascii="Verdana" w:hAnsi="Verdana"/>
          <w:spacing w:val="-10"/>
          <w:sz w:val="22"/>
        </w:rPr>
        <w:t> </w:t>
      </w:r>
      <w:r>
        <w:rPr>
          <w:rFonts w:ascii="Verdana" w:hAnsi="Verdana"/>
          <w:sz w:val="22"/>
        </w:rPr>
        <w:t>subgroup</w:t>
      </w:r>
      <w:r>
        <w:rPr>
          <w:rFonts w:ascii="Verdana" w:hAnsi="Verdana"/>
          <w:spacing w:val="-11"/>
          <w:sz w:val="22"/>
        </w:rPr>
        <w:t> </w:t>
      </w:r>
      <w:r>
        <w:rPr>
          <w:rFonts w:ascii="Verdana" w:hAnsi="Verdana"/>
          <w:sz w:val="22"/>
        </w:rPr>
        <w:t>has</w:t>
      </w:r>
      <w:r>
        <w:rPr>
          <w:rFonts w:ascii="Verdana" w:hAnsi="Verdana"/>
          <w:spacing w:val="-10"/>
          <w:sz w:val="22"/>
        </w:rPr>
        <w:t> </w:t>
      </w:r>
      <w:r>
        <w:rPr>
          <w:rFonts w:ascii="Verdana" w:hAnsi="Verdana"/>
          <w:sz w:val="22"/>
        </w:rPr>
        <w:t>made</w:t>
      </w:r>
      <w:r>
        <w:rPr>
          <w:rFonts w:ascii="Verdana" w:hAnsi="Verdana"/>
          <w:spacing w:val="-9"/>
          <w:sz w:val="22"/>
        </w:rPr>
        <w:t> </w:t>
      </w:r>
      <w:r>
        <w:rPr>
          <w:rFonts w:ascii="Verdana" w:hAnsi="Verdana"/>
          <w:sz w:val="22"/>
        </w:rPr>
        <w:t>positive</w:t>
      </w:r>
      <w:r>
        <w:rPr>
          <w:rFonts w:ascii="Verdana" w:hAnsi="Verdana"/>
          <w:spacing w:val="-10"/>
          <w:sz w:val="22"/>
        </w:rPr>
        <w:t> </w:t>
      </w:r>
      <w:r>
        <w:rPr>
          <w:rFonts w:ascii="Verdana" w:hAnsi="Verdana"/>
          <w:sz w:val="22"/>
        </w:rPr>
        <w:t>progress</w:t>
      </w:r>
      <w:r>
        <w:rPr>
          <w:rFonts w:ascii="Verdana" w:hAnsi="Verdana"/>
          <w:spacing w:val="-10"/>
          <w:sz w:val="22"/>
        </w:rPr>
        <w:t> </w:t>
      </w:r>
      <w:r>
        <w:rPr>
          <w:rFonts w:ascii="Verdana" w:hAnsi="Verdana"/>
          <w:sz w:val="22"/>
        </w:rPr>
        <w:t>through</w:t>
      </w:r>
      <w:r>
        <w:rPr>
          <w:rFonts w:ascii="Verdana" w:hAnsi="Verdana"/>
          <w:spacing w:val="-11"/>
          <w:sz w:val="22"/>
        </w:rPr>
        <w:t> </w:t>
      </w:r>
      <w:r>
        <w:rPr>
          <w:rFonts w:ascii="Verdana" w:hAnsi="Verdana"/>
          <w:sz w:val="22"/>
        </w:rPr>
        <w:t>the introduction of “plan on a page” documentation; however, this approach is not yet been consistently applied across all workstreams.</w:t>
      </w:r>
    </w:p>
    <w:p>
      <w:pPr>
        <w:spacing w:before="119"/>
        <w:ind w:left="255" w:right="344" w:firstLine="0"/>
        <w:jc w:val="both"/>
        <w:rPr>
          <w:rFonts w:ascii="Verdana"/>
          <w:sz w:val="22"/>
        </w:rPr>
      </w:pPr>
      <w:r>
        <w:rPr>
          <w:rFonts w:ascii="Verdana"/>
          <w:sz w:val="22"/>
        </w:rPr>
        <w:t>A more structured approach is evident within the Data and Digital subgroup, where a defined delivery plan was presented to the RJC in April 2026, incorporating clearly articulated workstreams, milestones, outputs and intended benefits. This reflects a response to challenge from RJC members for greater clarity on near-term priorities and delivery expectations.</w:t>
      </w:r>
    </w:p>
    <w:p>
      <w:pPr>
        <w:spacing w:before="123"/>
        <w:ind w:left="255" w:right="338" w:firstLine="0"/>
        <w:jc w:val="both"/>
        <w:rPr>
          <w:rFonts w:ascii="Verdana"/>
          <w:sz w:val="22"/>
        </w:rPr>
      </w:pPr>
      <w:r>
        <w:rPr>
          <w:rFonts w:ascii="Verdana"/>
          <w:sz w:val="22"/>
        </w:rPr>
        <w:t>In contrast, while the Finance and Contracting Subgroup is referenced within the RJC structure and work programme, no supporting documentation</w:t>
      </w:r>
      <w:r>
        <w:rPr>
          <w:rFonts w:ascii="Verdana"/>
          <w:spacing w:val="-2"/>
          <w:sz w:val="22"/>
        </w:rPr>
        <w:t> </w:t>
      </w:r>
      <w:r>
        <w:rPr>
          <w:rFonts w:ascii="Verdana"/>
          <w:sz w:val="22"/>
        </w:rPr>
        <w:t>or</w:t>
      </w:r>
      <w:r>
        <w:rPr>
          <w:rFonts w:ascii="Verdana"/>
          <w:spacing w:val="-1"/>
          <w:sz w:val="22"/>
        </w:rPr>
        <w:t> </w:t>
      </w:r>
      <w:r>
        <w:rPr>
          <w:rFonts w:ascii="Verdana"/>
          <w:sz w:val="22"/>
        </w:rPr>
        <w:t>defined</w:t>
      </w:r>
      <w:r>
        <w:rPr>
          <w:rFonts w:ascii="Verdana"/>
          <w:spacing w:val="-1"/>
          <w:sz w:val="22"/>
        </w:rPr>
        <w:t> </w:t>
      </w:r>
      <w:r>
        <w:rPr>
          <w:rFonts w:ascii="Verdana"/>
          <w:sz w:val="22"/>
        </w:rPr>
        <w:t>work</w:t>
      </w:r>
      <w:r>
        <w:rPr>
          <w:rFonts w:ascii="Verdana"/>
          <w:spacing w:val="-2"/>
          <w:sz w:val="22"/>
        </w:rPr>
        <w:t> </w:t>
      </w:r>
      <w:r>
        <w:rPr>
          <w:rFonts w:ascii="Verdana"/>
          <w:sz w:val="22"/>
        </w:rPr>
        <w:t>programme</w:t>
      </w:r>
      <w:r>
        <w:rPr>
          <w:rFonts w:ascii="Verdana"/>
          <w:spacing w:val="-3"/>
          <w:sz w:val="22"/>
        </w:rPr>
        <w:t> </w:t>
      </w:r>
      <w:r>
        <w:rPr>
          <w:rFonts w:ascii="Verdana"/>
          <w:sz w:val="22"/>
        </w:rPr>
        <w:t>was</w:t>
      </w:r>
      <w:r>
        <w:rPr>
          <w:rFonts w:ascii="Verdana"/>
          <w:spacing w:val="-1"/>
          <w:sz w:val="22"/>
        </w:rPr>
        <w:t> </w:t>
      </w:r>
      <w:r>
        <w:rPr>
          <w:rFonts w:ascii="Verdana"/>
          <w:sz w:val="22"/>
        </w:rPr>
        <w:t>available for review. This</w:t>
      </w:r>
      <w:r>
        <w:rPr>
          <w:rFonts w:ascii="Verdana"/>
          <w:spacing w:val="-2"/>
          <w:sz w:val="22"/>
        </w:rPr>
        <w:t> </w:t>
      </w:r>
      <w:r>
        <w:rPr>
          <w:rFonts w:ascii="Verdana"/>
          <w:sz w:val="22"/>
        </w:rPr>
        <w:t>restricts</w:t>
      </w:r>
      <w:r>
        <w:rPr>
          <w:rFonts w:ascii="Verdana"/>
          <w:spacing w:val="-1"/>
          <w:sz w:val="22"/>
        </w:rPr>
        <w:t> </w:t>
      </w:r>
      <w:r>
        <w:rPr>
          <w:rFonts w:ascii="Verdana"/>
          <w:sz w:val="22"/>
        </w:rPr>
        <w:t>visibility</w:t>
      </w:r>
      <w:r>
        <w:rPr>
          <w:rFonts w:ascii="Verdana"/>
          <w:spacing w:val="-2"/>
          <w:sz w:val="22"/>
        </w:rPr>
        <w:t> </w:t>
      </w:r>
      <w:r>
        <w:rPr>
          <w:rFonts w:ascii="Verdana"/>
          <w:sz w:val="22"/>
        </w:rPr>
        <w:t>of its role, delivery</w:t>
      </w:r>
      <w:r>
        <w:rPr>
          <w:rFonts w:ascii="Verdana"/>
          <w:spacing w:val="-2"/>
          <w:sz w:val="22"/>
        </w:rPr>
        <w:t> </w:t>
      </w:r>
      <w:r>
        <w:rPr>
          <w:rFonts w:ascii="Verdana"/>
          <w:sz w:val="22"/>
        </w:rPr>
        <w:t>expectations</w:t>
      </w:r>
      <w:r>
        <w:rPr>
          <w:rFonts w:ascii="Verdana"/>
          <w:spacing w:val="-1"/>
          <w:sz w:val="22"/>
        </w:rPr>
        <w:t> </w:t>
      </w:r>
      <w:r>
        <w:rPr>
          <w:rFonts w:ascii="Verdana"/>
          <w:sz w:val="22"/>
        </w:rPr>
        <w:t>and contribution</w:t>
      </w:r>
      <w:r>
        <w:rPr>
          <w:rFonts w:ascii="Verdana"/>
          <w:spacing w:val="-1"/>
          <w:sz w:val="22"/>
        </w:rPr>
        <w:t> </w:t>
      </w:r>
      <w:r>
        <w:rPr>
          <w:rFonts w:ascii="Verdana"/>
          <w:sz w:val="22"/>
        </w:rPr>
        <w:t>to wider regional objectives (see </w:t>
      </w:r>
      <w:r>
        <w:rPr>
          <w:rFonts w:ascii="Verdana"/>
          <w:b/>
          <w:sz w:val="22"/>
        </w:rPr>
        <w:t>Action 3</w:t>
      </w:r>
      <w:r>
        <w:rPr>
          <w:rFonts w:ascii="Verdana"/>
          <w:sz w:val="22"/>
        </w:rPr>
        <w:t>).</w:t>
      </w:r>
    </w:p>
    <w:p>
      <w:pPr>
        <w:spacing w:before="119"/>
        <w:ind w:left="255" w:right="346" w:firstLine="0"/>
        <w:jc w:val="both"/>
        <w:rPr>
          <w:rFonts w:ascii="Verdana"/>
          <w:sz w:val="22"/>
        </w:rPr>
      </w:pPr>
      <w:r>
        <w:rPr>
          <w:rFonts w:ascii="Verdana"/>
          <w:sz w:val="22"/>
        </w:rPr>
        <w:t>Structured</w:t>
      </w:r>
      <w:r>
        <w:rPr>
          <w:rFonts w:ascii="Verdana"/>
          <w:spacing w:val="-2"/>
          <w:sz w:val="22"/>
        </w:rPr>
        <w:t> </w:t>
      </w:r>
      <w:r>
        <w:rPr>
          <w:rFonts w:ascii="Verdana"/>
          <w:sz w:val="22"/>
        </w:rPr>
        <w:t>reporting</w:t>
      </w:r>
      <w:r>
        <w:rPr>
          <w:rFonts w:ascii="Verdana"/>
          <w:spacing w:val="-3"/>
          <w:sz w:val="22"/>
        </w:rPr>
        <w:t> </w:t>
      </w:r>
      <w:r>
        <w:rPr>
          <w:rFonts w:ascii="Verdana"/>
          <w:sz w:val="22"/>
        </w:rPr>
        <w:t>is</w:t>
      </w:r>
      <w:r>
        <w:rPr>
          <w:rFonts w:ascii="Verdana"/>
          <w:spacing w:val="-2"/>
          <w:sz w:val="22"/>
        </w:rPr>
        <w:t> </w:t>
      </w:r>
      <w:r>
        <w:rPr>
          <w:rFonts w:ascii="Verdana"/>
          <w:sz w:val="22"/>
        </w:rPr>
        <w:t>undertaken</w:t>
      </w:r>
      <w:r>
        <w:rPr>
          <w:rFonts w:ascii="Verdana"/>
          <w:spacing w:val="-2"/>
          <w:sz w:val="22"/>
        </w:rPr>
        <w:t> </w:t>
      </w:r>
      <w:r>
        <w:rPr>
          <w:rFonts w:ascii="Verdana"/>
          <w:sz w:val="22"/>
        </w:rPr>
        <w:t>to the</w:t>
      </w:r>
      <w:r>
        <w:rPr>
          <w:rFonts w:ascii="Verdana"/>
          <w:spacing w:val="-1"/>
          <w:sz w:val="22"/>
        </w:rPr>
        <w:t> </w:t>
      </w:r>
      <w:r>
        <w:rPr>
          <w:rFonts w:ascii="Verdana"/>
          <w:sz w:val="22"/>
        </w:rPr>
        <w:t>RJC,</w:t>
      </w:r>
      <w:r>
        <w:rPr>
          <w:rFonts w:ascii="Verdana"/>
          <w:spacing w:val="-1"/>
          <w:sz w:val="22"/>
        </w:rPr>
        <w:t> </w:t>
      </w:r>
      <w:r>
        <w:rPr>
          <w:rFonts w:ascii="Verdana"/>
          <w:sz w:val="22"/>
        </w:rPr>
        <w:t>primarily</w:t>
      </w:r>
      <w:r>
        <w:rPr>
          <w:rFonts w:ascii="Verdana"/>
          <w:spacing w:val="-3"/>
          <w:sz w:val="22"/>
        </w:rPr>
        <w:t> </w:t>
      </w:r>
      <w:r>
        <w:rPr>
          <w:rFonts w:ascii="Verdana"/>
          <w:sz w:val="22"/>
        </w:rPr>
        <w:t>through the</w:t>
      </w:r>
      <w:r>
        <w:rPr>
          <w:rFonts w:ascii="Verdana"/>
          <w:spacing w:val="-2"/>
          <w:sz w:val="22"/>
        </w:rPr>
        <w:t> </w:t>
      </w:r>
      <w:r>
        <w:rPr>
          <w:rFonts w:ascii="Verdana"/>
          <w:sz w:val="22"/>
        </w:rPr>
        <w:t>Alert,</w:t>
      </w:r>
      <w:r>
        <w:rPr>
          <w:rFonts w:ascii="Verdana"/>
          <w:spacing w:val="-1"/>
          <w:sz w:val="22"/>
        </w:rPr>
        <w:t> </w:t>
      </w:r>
      <w:r>
        <w:rPr>
          <w:rFonts w:ascii="Verdana"/>
          <w:sz w:val="22"/>
        </w:rPr>
        <w:t>Advise</w:t>
      </w:r>
      <w:r>
        <w:rPr>
          <w:rFonts w:ascii="Verdana"/>
          <w:spacing w:val="-1"/>
          <w:sz w:val="22"/>
        </w:rPr>
        <w:t> </w:t>
      </w:r>
      <w:r>
        <w:rPr>
          <w:rFonts w:ascii="Verdana"/>
          <w:sz w:val="22"/>
        </w:rPr>
        <w:t>and</w:t>
      </w:r>
      <w:r>
        <w:rPr>
          <w:rFonts w:ascii="Verdana"/>
          <w:spacing w:val="-1"/>
          <w:sz w:val="22"/>
        </w:rPr>
        <w:t> </w:t>
      </w:r>
      <w:r>
        <w:rPr>
          <w:rFonts w:ascii="Verdana"/>
          <w:sz w:val="22"/>
        </w:rPr>
        <w:t>Assure</w:t>
      </w:r>
      <w:r>
        <w:rPr>
          <w:rFonts w:ascii="Verdana"/>
          <w:spacing w:val="-1"/>
          <w:sz w:val="22"/>
        </w:rPr>
        <w:t> </w:t>
      </w:r>
      <w:r>
        <w:rPr>
          <w:rFonts w:ascii="Verdana"/>
          <w:sz w:val="22"/>
        </w:rPr>
        <w:t>(AAA)</w:t>
      </w:r>
      <w:r>
        <w:rPr>
          <w:rFonts w:ascii="Verdana"/>
          <w:spacing w:val="-1"/>
          <w:sz w:val="22"/>
        </w:rPr>
        <w:t> </w:t>
      </w:r>
      <w:r>
        <w:rPr>
          <w:rFonts w:ascii="Verdana"/>
          <w:sz w:val="22"/>
        </w:rPr>
        <w:t>framework, which</w:t>
      </w:r>
      <w:r>
        <w:rPr>
          <w:rFonts w:ascii="Verdana"/>
          <w:spacing w:val="-3"/>
          <w:sz w:val="22"/>
        </w:rPr>
        <w:t> </w:t>
      </w:r>
      <w:r>
        <w:rPr>
          <w:rFonts w:ascii="Verdana"/>
          <w:sz w:val="22"/>
        </w:rPr>
        <w:t>supports</w:t>
      </w:r>
      <w:r>
        <w:rPr>
          <w:rFonts w:ascii="Verdana"/>
          <w:spacing w:val="-2"/>
          <w:sz w:val="22"/>
        </w:rPr>
        <w:t> </w:t>
      </w:r>
      <w:r>
        <w:rPr>
          <w:rFonts w:ascii="Verdana"/>
          <w:sz w:val="22"/>
        </w:rPr>
        <w:t>visibility</w:t>
      </w:r>
      <w:r>
        <w:rPr>
          <w:rFonts w:ascii="Verdana"/>
          <w:spacing w:val="-1"/>
          <w:sz w:val="22"/>
        </w:rPr>
        <w:t> </w:t>
      </w:r>
      <w:r>
        <w:rPr>
          <w:rFonts w:ascii="Verdana"/>
          <w:sz w:val="22"/>
        </w:rPr>
        <w:t>of</w:t>
      </w:r>
      <w:r>
        <w:rPr>
          <w:rFonts w:ascii="Verdana"/>
          <w:spacing w:val="-3"/>
          <w:sz w:val="22"/>
        </w:rPr>
        <w:t> </w:t>
      </w:r>
      <w:r>
        <w:rPr>
          <w:rFonts w:ascii="Verdana"/>
          <w:sz w:val="22"/>
        </w:rPr>
        <w:t>key activity and provides an established mechanism to escalate issues.</w:t>
      </w:r>
    </w:p>
    <w:p>
      <w:pPr>
        <w:spacing w:before="121"/>
        <w:ind w:left="255" w:right="343" w:firstLine="0"/>
        <w:jc w:val="both"/>
        <w:rPr>
          <w:rFonts w:ascii="Verdana"/>
          <w:sz w:val="22"/>
        </w:rPr>
      </w:pPr>
      <w:r>
        <w:rPr>
          <w:rFonts w:ascii="Verdana"/>
          <w:sz w:val="22"/>
        </w:rPr>
        <w:t>In addition to formal</w:t>
      </w:r>
      <w:r>
        <w:rPr>
          <w:rFonts w:ascii="Verdana"/>
          <w:spacing w:val="-3"/>
          <w:sz w:val="22"/>
        </w:rPr>
        <w:t> </w:t>
      </w:r>
      <w:r>
        <w:rPr>
          <w:rFonts w:ascii="Verdana"/>
          <w:sz w:val="22"/>
        </w:rPr>
        <w:t>subgroups, the</w:t>
      </w:r>
      <w:r>
        <w:rPr>
          <w:rFonts w:ascii="Verdana"/>
          <w:spacing w:val="-1"/>
          <w:sz w:val="22"/>
        </w:rPr>
        <w:t> </w:t>
      </w:r>
      <w:r>
        <w:rPr>
          <w:rFonts w:ascii="Verdana"/>
          <w:sz w:val="22"/>
        </w:rPr>
        <w:t>Regional</w:t>
      </w:r>
      <w:r>
        <w:rPr>
          <w:rFonts w:ascii="Verdana"/>
          <w:spacing w:val="-1"/>
          <w:sz w:val="22"/>
        </w:rPr>
        <w:t> </w:t>
      </w:r>
      <w:r>
        <w:rPr>
          <w:rFonts w:ascii="Verdana"/>
          <w:sz w:val="22"/>
        </w:rPr>
        <w:t>Drive and</w:t>
      </w:r>
      <w:r>
        <w:rPr>
          <w:rFonts w:ascii="Verdana"/>
          <w:spacing w:val="-1"/>
          <w:sz w:val="22"/>
        </w:rPr>
        <w:t> </w:t>
      </w:r>
      <w:r>
        <w:rPr>
          <w:rFonts w:ascii="Verdana"/>
          <w:sz w:val="22"/>
        </w:rPr>
        <w:t>Delivery</w:t>
      </w:r>
      <w:r>
        <w:rPr>
          <w:rFonts w:ascii="Verdana"/>
          <w:spacing w:val="-1"/>
          <w:sz w:val="22"/>
        </w:rPr>
        <w:t> </w:t>
      </w:r>
      <w:r>
        <w:rPr>
          <w:rFonts w:ascii="Verdana"/>
          <w:sz w:val="22"/>
        </w:rPr>
        <w:t>Group</w:t>
      </w:r>
      <w:r>
        <w:rPr>
          <w:rFonts w:ascii="Verdana"/>
          <w:spacing w:val="-1"/>
          <w:sz w:val="22"/>
        </w:rPr>
        <w:t> </w:t>
      </w:r>
      <w:r>
        <w:rPr>
          <w:rFonts w:ascii="Verdana"/>
          <w:sz w:val="22"/>
        </w:rPr>
        <w:t>(RDDG) operates as an Executive-level operational</w:t>
      </w:r>
      <w:r>
        <w:rPr>
          <w:rFonts w:ascii="Verdana"/>
          <w:spacing w:val="-1"/>
          <w:sz w:val="22"/>
        </w:rPr>
        <w:t> </w:t>
      </w:r>
      <w:r>
        <w:rPr>
          <w:rFonts w:ascii="Verdana"/>
          <w:sz w:val="22"/>
        </w:rPr>
        <w:t>and</w:t>
      </w:r>
      <w:r>
        <w:rPr>
          <w:rFonts w:ascii="Verdana"/>
          <w:spacing w:val="-1"/>
          <w:sz w:val="22"/>
        </w:rPr>
        <w:t> </w:t>
      </w:r>
      <w:r>
        <w:rPr>
          <w:rFonts w:ascii="Verdana"/>
          <w:sz w:val="22"/>
        </w:rPr>
        <w:t>steering forum. Chaired</w:t>
      </w:r>
      <w:r>
        <w:rPr>
          <w:rFonts w:ascii="Verdana"/>
          <w:spacing w:val="-12"/>
          <w:sz w:val="22"/>
        </w:rPr>
        <w:t> </w:t>
      </w:r>
      <w:r>
        <w:rPr>
          <w:rFonts w:ascii="Verdana"/>
          <w:sz w:val="22"/>
        </w:rPr>
        <w:t>jointly</w:t>
      </w:r>
      <w:r>
        <w:rPr>
          <w:rFonts w:ascii="Verdana"/>
          <w:spacing w:val="-13"/>
          <w:sz w:val="22"/>
        </w:rPr>
        <w:t> </w:t>
      </w:r>
      <w:r>
        <w:rPr>
          <w:rFonts w:ascii="Verdana"/>
          <w:sz w:val="22"/>
        </w:rPr>
        <w:t>by</w:t>
      </w:r>
      <w:r>
        <w:rPr>
          <w:rFonts w:ascii="Verdana"/>
          <w:spacing w:val="-13"/>
          <w:sz w:val="22"/>
        </w:rPr>
        <w:t> </w:t>
      </w:r>
      <w:r>
        <w:rPr>
          <w:rFonts w:ascii="Verdana"/>
          <w:sz w:val="22"/>
        </w:rPr>
        <w:t>the</w:t>
      </w:r>
      <w:r>
        <w:rPr>
          <w:rFonts w:ascii="Verdana"/>
          <w:spacing w:val="-11"/>
          <w:sz w:val="22"/>
        </w:rPr>
        <w:t> </w:t>
      </w:r>
      <w:r>
        <w:rPr>
          <w:rFonts w:ascii="Verdana"/>
          <w:sz w:val="22"/>
        </w:rPr>
        <w:t>Chief</w:t>
      </w:r>
      <w:r>
        <w:rPr>
          <w:rFonts w:ascii="Verdana"/>
          <w:spacing w:val="-12"/>
          <w:sz w:val="22"/>
        </w:rPr>
        <w:t> </w:t>
      </w:r>
      <w:r>
        <w:rPr>
          <w:rFonts w:ascii="Verdana"/>
          <w:sz w:val="22"/>
        </w:rPr>
        <w:t>Executives</w:t>
      </w:r>
      <w:r>
        <w:rPr>
          <w:rFonts w:ascii="Verdana"/>
          <w:spacing w:val="-11"/>
          <w:sz w:val="22"/>
        </w:rPr>
        <w:t> </w:t>
      </w:r>
      <w:r>
        <w:rPr>
          <w:rFonts w:ascii="Verdana"/>
          <w:sz w:val="22"/>
        </w:rPr>
        <w:t>and</w:t>
      </w:r>
      <w:r>
        <w:rPr>
          <w:rFonts w:ascii="Verdana"/>
          <w:spacing w:val="-13"/>
          <w:sz w:val="22"/>
        </w:rPr>
        <w:t> </w:t>
      </w:r>
      <w:r>
        <w:rPr>
          <w:rFonts w:ascii="Verdana"/>
          <w:sz w:val="22"/>
        </w:rPr>
        <w:t>comprising</w:t>
      </w:r>
      <w:r>
        <w:rPr>
          <w:rFonts w:ascii="Verdana"/>
          <w:spacing w:val="-13"/>
          <w:sz w:val="22"/>
        </w:rPr>
        <w:t> </w:t>
      </w:r>
      <w:r>
        <w:rPr>
          <w:rFonts w:ascii="Verdana"/>
          <w:sz w:val="22"/>
        </w:rPr>
        <w:t>senior</w:t>
      </w:r>
      <w:r>
        <w:rPr>
          <w:rFonts w:ascii="Verdana"/>
          <w:spacing w:val="-12"/>
          <w:sz w:val="22"/>
        </w:rPr>
        <w:t> </w:t>
      </w:r>
      <w:r>
        <w:rPr>
          <w:rFonts w:ascii="Verdana"/>
          <w:sz w:val="22"/>
        </w:rPr>
        <w:t>executive</w:t>
      </w:r>
      <w:r>
        <w:rPr>
          <w:rFonts w:ascii="Verdana"/>
          <w:spacing w:val="-11"/>
          <w:sz w:val="22"/>
        </w:rPr>
        <w:t> </w:t>
      </w:r>
      <w:r>
        <w:rPr>
          <w:rFonts w:ascii="Verdana"/>
          <w:sz w:val="22"/>
        </w:rPr>
        <w:t>representation</w:t>
      </w:r>
      <w:r>
        <w:rPr>
          <w:rFonts w:ascii="Verdana"/>
          <w:spacing w:val="-15"/>
          <w:sz w:val="22"/>
        </w:rPr>
        <w:t> </w:t>
      </w:r>
      <w:r>
        <w:rPr>
          <w:rFonts w:ascii="Verdana"/>
          <w:sz w:val="22"/>
        </w:rPr>
        <w:t>from</w:t>
      </w:r>
      <w:r>
        <w:rPr>
          <w:rFonts w:ascii="Verdana"/>
          <w:spacing w:val="-10"/>
          <w:sz w:val="22"/>
        </w:rPr>
        <w:t> </w:t>
      </w:r>
      <w:r>
        <w:rPr>
          <w:rFonts w:ascii="Verdana"/>
          <w:sz w:val="22"/>
        </w:rPr>
        <w:t>both</w:t>
      </w:r>
      <w:r>
        <w:rPr>
          <w:rFonts w:ascii="Verdana"/>
          <w:spacing w:val="-16"/>
          <w:sz w:val="22"/>
        </w:rPr>
        <w:t> </w:t>
      </w:r>
      <w:r>
        <w:rPr>
          <w:rFonts w:ascii="Verdana"/>
          <w:sz w:val="22"/>
        </w:rPr>
        <w:t>Health</w:t>
      </w:r>
      <w:r>
        <w:rPr>
          <w:rFonts w:ascii="Verdana"/>
          <w:spacing w:val="-13"/>
          <w:sz w:val="22"/>
        </w:rPr>
        <w:t> </w:t>
      </w:r>
      <w:r>
        <w:rPr>
          <w:rFonts w:ascii="Verdana"/>
          <w:sz w:val="22"/>
        </w:rPr>
        <w:t>Boards,</w:t>
      </w:r>
      <w:r>
        <w:rPr>
          <w:rFonts w:ascii="Verdana"/>
          <w:spacing w:val="-11"/>
          <w:sz w:val="22"/>
        </w:rPr>
        <w:t> </w:t>
      </w:r>
      <w:r>
        <w:rPr>
          <w:rFonts w:ascii="Verdana"/>
          <w:sz w:val="22"/>
        </w:rPr>
        <w:t>the</w:t>
      </w:r>
      <w:r>
        <w:rPr>
          <w:rFonts w:ascii="Verdana"/>
          <w:spacing w:val="-11"/>
          <w:sz w:val="22"/>
        </w:rPr>
        <w:t> </w:t>
      </w:r>
      <w:r>
        <w:rPr>
          <w:rFonts w:ascii="Verdana"/>
          <w:sz w:val="22"/>
        </w:rPr>
        <w:t>RDDG</w:t>
      </w:r>
      <w:r>
        <w:rPr>
          <w:rFonts w:ascii="Verdana"/>
          <w:spacing w:val="-12"/>
          <w:sz w:val="22"/>
        </w:rPr>
        <w:t> </w:t>
      </w:r>
      <w:r>
        <w:rPr>
          <w:rFonts w:ascii="Verdana"/>
          <w:sz w:val="22"/>
        </w:rPr>
        <w:t>provides</w:t>
      </w:r>
      <w:r>
        <w:rPr>
          <w:rFonts w:ascii="Verdana"/>
          <w:spacing w:val="-11"/>
          <w:sz w:val="22"/>
        </w:rPr>
        <w:t> </w:t>
      </w:r>
      <w:r>
        <w:rPr>
          <w:rFonts w:ascii="Verdana"/>
          <w:sz w:val="22"/>
        </w:rPr>
        <w:t>coordination and oversight of delivery across the RJC portfolio. Meeting cycles are aligned with those of the RJC, enabling the group to review progress, coordinate inputs and monitor actions in advance of and following formal RJC reporting.</w:t>
      </w:r>
    </w:p>
    <w:p>
      <w:pPr>
        <w:spacing w:before="119"/>
        <w:ind w:left="255" w:right="343" w:firstLine="0"/>
        <w:jc w:val="both"/>
        <w:rPr>
          <w:rFonts w:ascii="Verdana"/>
          <w:sz w:val="22"/>
        </w:rPr>
      </w:pPr>
      <w:r>
        <w:rPr>
          <w:rFonts w:ascii="Verdana"/>
          <w:sz w:val="22"/>
        </w:rPr>
        <mc:AlternateContent>
          <mc:Choice Requires="wps">
            <w:drawing>
              <wp:anchor distT="0" distB="0" distL="0" distR="0" allowOverlap="1" layoutInCell="1" locked="0" behindDoc="0" simplePos="0" relativeHeight="15862784">
                <wp:simplePos x="0" y="0"/>
                <wp:positionH relativeFrom="page">
                  <wp:posOffset>4918493</wp:posOffset>
                </wp:positionH>
                <wp:positionV relativeFrom="paragraph">
                  <wp:posOffset>1232830</wp:posOffset>
                </wp:positionV>
                <wp:extent cx="855980" cy="193040"/>
                <wp:effectExtent l="0" t="0" r="0" b="0"/>
                <wp:wrapNone/>
                <wp:docPr id="660" name="Group 660"/>
                <wp:cNvGraphicFramePr>
                  <a:graphicFrameLocks/>
                </wp:cNvGraphicFramePr>
                <a:graphic>
                  <a:graphicData uri="http://schemas.microsoft.com/office/word/2010/wordprocessingGroup">
                    <wpg:wgp>
                      <wpg:cNvPr id="660" name="Group 660"/>
                      <wpg:cNvGrpSpPr/>
                      <wpg:grpSpPr>
                        <a:xfrm>
                          <a:off x="0" y="0"/>
                          <a:ext cx="855980" cy="193040"/>
                          <a:chExt cx="855980" cy="193040"/>
                        </a:xfrm>
                      </wpg:grpSpPr>
                      <pic:pic>
                        <pic:nvPicPr>
                          <pic:cNvPr id="661" name="Image 661"/>
                          <pic:cNvPicPr/>
                        </pic:nvPicPr>
                        <pic:blipFill>
                          <a:blip r:embed="rId23" cstate="print"/>
                          <a:stretch>
                            <a:fillRect/>
                          </a:stretch>
                        </pic:blipFill>
                        <pic:spPr>
                          <a:xfrm>
                            <a:off x="0" y="0"/>
                            <a:ext cx="855390" cy="192463"/>
                          </a:xfrm>
                          <a:prstGeom prst="rect">
                            <a:avLst/>
                          </a:prstGeom>
                        </pic:spPr>
                      </pic:pic>
                      <wps:wsp>
                        <wps:cNvPr id="662" name="Textbox 662"/>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179</w:t>
                              </w:r>
                            </w:p>
                          </w:txbxContent>
                        </wps:txbx>
                        <wps:bodyPr wrap="square" lIns="0" tIns="0" rIns="0" bIns="0" rtlCol="0">
                          <a:noAutofit/>
                        </wps:bodyPr>
                      </wps:wsp>
                    </wpg:wgp>
                  </a:graphicData>
                </a:graphic>
              </wp:anchor>
            </w:drawing>
          </mc:Choice>
          <mc:Fallback>
            <w:pict>
              <v:group style="position:absolute;margin-left:387.28299pt;margin-top:97.073273pt;width:67.4pt;height:15.2pt;mso-position-horizontal-relative:page;mso-position-vertical-relative:paragraph;z-index:15862784" id="docshapegroup423" coordorigin="7746,1941" coordsize="1348,304">
                <v:shape style="position:absolute;left:7745;top:1941;width:1348;height:304" type="#_x0000_t75" id="docshape424" stroked="false">
                  <v:imagedata r:id="rId23" o:title=""/>
                </v:shape>
                <v:shape style="position:absolute;left:7745;top:1941;width:1348;height:304" type="#_x0000_t202" id="docshape425" filled="false" stroked="false">
                  <v:textbox inset="0,0,0,0">
                    <w:txbxContent>
                      <w:p>
                        <w:pPr>
                          <w:spacing w:before="106"/>
                          <w:ind w:left="337" w:right="0" w:firstLine="0"/>
                          <w:jc w:val="left"/>
                          <w:rPr>
                            <w:sz w:val="15"/>
                          </w:rPr>
                        </w:pPr>
                        <w:r>
                          <w:rPr>
                            <w:w w:val="105"/>
                            <w:sz w:val="15"/>
                          </w:rPr>
                          <w:t>Page</w:t>
                        </w:r>
                        <w:r>
                          <w:rPr>
                            <w:spacing w:val="-5"/>
                            <w:w w:val="105"/>
                            <w:sz w:val="15"/>
                          </w:rPr>
                          <w:t> 179</w:t>
                        </w:r>
                      </w:p>
                    </w:txbxContent>
                  </v:textbox>
                  <w10:wrap type="none"/>
                </v:shape>
                <w10:wrap type="none"/>
              </v:group>
            </w:pict>
          </mc:Fallback>
        </mc:AlternateContent>
      </w:r>
      <w:r>
        <w:rPr>
          <w:rFonts w:ascii="Verdana"/>
          <w:sz w:val="22"/>
        </w:rPr>
        <w:t>Evidence from action logs and meeting notes indicates that the RDDG is actively tracking and progressing RJC actions across subgroup workstreams, such as the Orthopaedics programme within CSP. The decision to step down the October RJC meeting provided additional operational focus at RDDG level, enabling subgroups to refine their plans, clarify intended outputs and outcomes, and consider key risks and dependencies ahead of subsequent RJC reporting.</w:t>
      </w:r>
    </w:p>
    <w:p>
      <w:pPr>
        <w:pStyle w:val="BodyText"/>
        <w:rPr>
          <w:rFonts w:ascii="Verdana"/>
          <w:sz w:val="20"/>
        </w:rPr>
      </w:pPr>
    </w:p>
    <w:p>
      <w:pPr>
        <w:pStyle w:val="BodyText"/>
        <w:rPr>
          <w:rFonts w:ascii="Verdana"/>
          <w:sz w:val="20"/>
        </w:rPr>
      </w:pPr>
    </w:p>
    <w:p>
      <w:pPr>
        <w:pStyle w:val="BodyText"/>
        <w:spacing w:before="18"/>
        <w:rPr>
          <w:rFonts w:ascii="Verdana"/>
          <w:sz w:val="20"/>
        </w:rPr>
      </w:pPr>
      <w:r>
        <w:rPr>
          <w:rFonts w:ascii="Verdana"/>
          <w:sz w:val="20"/>
        </w:rPr>
        <mc:AlternateContent>
          <mc:Choice Requires="wps">
            <w:drawing>
              <wp:anchor distT="0" distB="0" distL="0" distR="0" allowOverlap="1" layoutInCell="1" locked="0" behindDoc="1" simplePos="0" relativeHeight="487720448">
                <wp:simplePos x="0" y="0"/>
                <wp:positionH relativeFrom="page">
                  <wp:posOffset>10068814</wp:posOffset>
                </wp:positionH>
                <wp:positionV relativeFrom="paragraph">
                  <wp:posOffset>181599</wp:posOffset>
                </wp:positionV>
                <wp:extent cx="419734" cy="6350"/>
                <wp:effectExtent l="0" t="0" r="0" b="0"/>
                <wp:wrapTopAndBottom/>
                <wp:docPr id="663" name="Graphic 663"/>
                <wp:cNvGraphicFramePr>
                  <a:graphicFrameLocks/>
                </wp:cNvGraphicFramePr>
                <a:graphic>
                  <a:graphicData uri="http://schemas.microsoft.com/office/word/2010/wordprocessingShape">
                    <wps:wsp>
                      <wps:cNvPr id="663" name="Graphic 663"/>
                      <wps:cNvSpPr/>
                      <wps:spPr>
                        <a:xfrm>
                          <a:off x="0" y="0"/>
                          <a:ext cx="419734" cy="6350"/>
                        </a:xfrm>
                        <a:custGeom>
                          <a:avLst/>
                          <a:gdLst/>
                          <a:ahLst/>
                          <a:cxnLst/>
                          <a:rect l="l" t="t" r="r" b="b"/>
                          <a:pathLst>
                            <a:path w="419734" h="6350">
                              <a:moveTo>
                                <a:pt x="419404" y="0"/>
                              </a:moveTo>
                              <a:lnTo>
                                <a:pt x="0" y="0"/>
                              </a:lnTo>
                              <a:lnTo>
                                <a:pt x="0" y="6096"/>
                              </a:lnTo>
                              <a:lnTo>
                                <a:pt x="419404" y="6096"/>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820007pt;margin-top:14.29914pt;width:33.024pt;height:.48004pt;mso-position-horizontal-relative:page;mso-position-vertical-relative:paragraph;z-index:-15596032;mso-wrap-distance-left:0;mso-wrap-distance-right:0" id="docshape426" filled="true" fillcolor="#7e7e7e" stroked="false">
                <v:fill type="solid"/>
                <w10:wrap type="topAndBottom"/>
              </v:rect>
            </w:pict>
          </mc:Fallback>
        </mc:AlternateContent>
      </w:r>
    </w:p>
    <w:p>
      <w:pPr>
        <w:spacing w:before="18"/>
        <w:ind w:left="0" w:right="453" w:firstLine="0"/>
        <w:jc w:val="right"/>
        <w:rPr>
          <w:rFonts w:ascii="Calibri"/>
          <w:b/>
          <w:sz w:val="22"/>
        </w:rPr>
      </w:pPr>
      <w:r>
        <w:rPr>
          <w:rFonts w:ascii="Calibri"/>
          <w:b/>
          <w:color w:val="001F5F"/>
          <w:spacing w:val="-10"/>
          <w:sz w:val="22"/>
        </w:rPr>
        <w:t>5</w:t>
      </w:r>
    </w:p>
    <w:p>
      <w:pPr>
        <w:spacing w:after="0"/>
        <w:jc w:val="right"/>
        <w:rPr>
          <w:rFonts w:ascii="Calibri"/>
          <w:b/>
          <w:sz w:val="22"/>
        </w:rPr>
        <w:sectPr>
          <w:footerReference w:type="default" r:id="rId95"/>
          <w:pgSz w:w="16840" w:h="11910" w:orient="landscape"/>
          <w:pgMar w:header="0" w:footer="0" w:top="380" w:bottom="0" w:left="141" w:right="141"/>
        </w:sectPr>
      </w:pPr>
    </w:p>
    <w:p>
      <w:pPr>
        <w:spacing w:line="240" w:lineRule="auto"/>
        <w:ind w:left="147" w:right="0" w:firstLine="0"/>
        <w:rPr>
          <w:rFonts w:ascii="Calibri"/>
          <w:sz w:val="20"/>
        </w:rPr>
      </w:pPr>
      <w:r>
        <w:rPr>
          <w:rFonts w:ascii="Calibri"/>
          <w:sz w:val="20"/>
        </w:rPr>
        <mc:AlternateContent>
          <mc:Choice Requires="wps">
            <w:drawing>
              <wp:anchor distT="0" distB="0" distL="0" distR="0" allowOverlap="1" layoutInCell="1" locked="0" behindDoc="1" simplePos="0" relativeHeight="477217792">
                <wp:simplePos x="0" y="0"/>
                <wp:positionH relativeFrom="page">
                  <wp:posOffset>0</wp:posOffset>
                </wp:positionH>
                <wp:positionV relativeFrom="page">
                  <wp:posOffset>0</wp:posOffset>
                </wp:positionV>
                <wp:extent cx="10694035" cy="7562215"/>
                <wp:effectExtent l="0" t="0" r="0" b="0"/>
                <wp:wrapNone/>
                <wp:docPr id="664" name="Graphic 664"/>
                <wp:cNvGraphicFramePr>
                  <a:graphicFrameLocks/>
                </wp:cNvGraphicFramePr>
                <a:graphic>
                  <a:graphicData uri="http://schemas.microsoft.com/office/word/2010/wordprocessingShape">
                    <wps:wsp>
                      <wps:cNvPr id="664" name="Graphic 664"/>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098688" id="docshape427" filled="true" fillcolor="#eff5f9" stroked="false">
                <v:fill type="solid"/>
                <w10:wrap type="none"/>
              </v:rect>
            </w:pict>
          </mc:Fallback>
        </mc:AlternateContent>
      </w:r>
      <w:r>
        <w:rPr>
          <w:rFonts w:ascii="Calibri"/>
          <w:sz w:val="20"/>
        </w:rPr>
        <mc:AlternateContent>
          <mc:Choice Requires="wps">
            <w:drawing>
              <wp:anchor distT="0" distB="0" distL="0" distR="0" allowOverlap="1" layoutInCell="1" locked="0" behindDoc="0" simplePos="0" relativeHeight="15864832">
                <wp:simplePos x="0" y="0"/>
                <wp:positionH relativeFrom="page">
                  <wp:posOffset>4918493</wp:posOffset>
                </wp:positionH>
                <wp:positionV relativeFrom="page">
                  <wp:posOffset>7307615</wp:posOffset>
                </wp:positionV>
                <wp:extent cx="855980" cy="193040"/>
                <wp:effectExtent l="0" t="0" r="0" b="0"/>
                <wp:wrapNone/>
                <wp:docPr id="665" name="Group 665"/>
                <wp:cNvGraphicFramePr>
                  <a:graphicFrameLocks/>
                </wp:cNvGraphicFramePr>
                <a:graphic>
                  <a:graphicData uri="http://schemas.microsoft.com/office/word/2010/wordprocessingGroup">
                    <wpg:wgp>
                      <wpg:cNvPr id="665" name="Group 665"/>
                      <wpg:cNvGrpSpPr/>
                      <wpg:grpSpPr>
                        <a:xfrm>
                          <a:off x="0" y="0"/>
                          <a:ext cx="855980" cy="193040"/>
                          <a:chExt cx="855980" cy="193040"/>
                        </a:xfrm>
                      </wpg:grpSpPr>
                      <pic:pic>
                        <pic:nvPicPr>
                          <pic:cNvPr id="666" name="Image 666"/>
                          <pic:cNvPicPr/>
                        </pic:nvPicPr>
                        <pic:blipFill>
                          <a:blip r:embed="rId23" cstate="print"/>
                          <a:stretch>
                            <a:fillRect/>
                          </a:stretch>
                        </pic:blipFill>
                        <pic:spPr>
                          <a:xfrm>
                            <a:off x="0" y="0"/>
                            <a:ext cx="855390" cy="192463"/>
                          </a:xfrm>
                          <a:prstGeom prst="rect">
                            <a:avLst/>
                          </a:prstGeom>
                        </pic:spPr>
                      </pic:pic>
                      <wps:wsp>
                        <wps:cNvPr id="667" name="Textbox 667"/>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180</w:t>
                              </w:r>
                            </w:p>
                          </w:txbxContent>
                        </wps:txbx>
                        <wps:bodyPr wrap="square" lIns="0" tIns="0" rIns="0" bIns="0" rtlCol="0">
                          <a:noAutofit/>
                        </wps:bodyPr>
                      </wps:wsp>
                    </wpg:wgp>
                  </a:graphicData>
                </a:graphic>
              </wp:anchor>
            </w:drawing>
          </mc:Choice>
          <mc:Fallback>
            <w:pict>
              <v:group style="position:absolute;margin-left:387.28299pt;margin-top:575.402832pt;width:67.4pt;height:15.2pt;mso-position-horizontal-relative:page;mso-position-vertical-relative:page;z-index:15864832" id="docshapegroup428" coordorigin="7746,11508" coordsize="1348,304">
                <v:shape style="position:absolute;left:7745;top:11508;width:1348;height:304" type="#_x0000_t75" id="docshape429" stroked="false">
                  <v:imagedata r:id="rId23" o:title=""/>
                </v:shape>
                <v:shape style="position:absolute;left:7745;top:11508;width:1348;height:304" type="#_x0000_t202" id="docshape430" filled="false" stroked="false">
                  <v:textbox inset="0,0,0,0">
                    <w:txbxContent>
                      <w:p>
                        <w:pPr>
                          <w:spacing w:before="106"/>
                          <w:ind w:left="337" w:right="0" w:firstLine="0"/>
                          <w:jc w:val="left"/>
                          <w:rPr>
                            <w:sz w:val="15"/>
                          </w:rPr>
                        </w:pPr>
                        <w:r>
                          <w:rPr>
                            <w:w w:val="105"/>
                            <w:sz w:val="15"/>
                          </w:rPr>
                          <w:t>Page</w:t>
                        </w:r>
                        <w:r>
                          <w:rPr>
                            <w:spacing w:val="-5"/>
                            <w:w w:val="105"/>
                            <w:sz w:val="15"/>
                          </w:rPr>
                          <w:t> 180</w:t>
                        </w:r>
                      </w:p>
                    </w:txbxContent>
                  </v:textbox>
                  <w10:wrap type="none"/>
                </v:shape>
                <w10:wrap type="none"/>
              </v:group>
            </w:pict>
          </mc:Fallback>
        </mc:AlternateContent>
      </w:r>
      <w:r>
        <w:rPr>
          <w:rFonts w:ascii="Calibri"/>
          <w:sz w:val="20"/>
        </w:rPr>
        <mc:AlternateContent>
          <mc:Choice Requires="wps">
            <w:drawing>
              <wp:inline distT="0" distB="0" distL="0" distR="0">
                <wp:extent cx="10269220" cy="2846070"/>
                <wp:effectExtent l="0" t="0" r="0" b="1905"/>
                <wp:docPr id="668" name="Group 668"/>
                <wp:cNvGraphicFramePr>
                  <a:graphicFrameLocks/>
                </wp:cNvGraphicFramePr>
                <a:graphic>
                  <a:graphicData uri="http://schemas.microsoft.com/office/word/2010/wordprocessingGroup">
                    <wpg:wgp>
                      <wpg:cNvPr id="668" name="Group 668"/>
                      <wpg:cNvGrpSpPr/>
                      <wpg:grpSpPr>
                        <a:xfrm>
                          <a:off x="0" y="0"/>
                          <a:ext cx="10269220" cy="2846070"/>
                          <a:chExt cx="10269220" cy="2846070"/>
                        </a:xfrm>
                      </wpg:grpSpPr>
                      <wps:wsp>
                        <wps:cNvPr id="669" name="Graphic 669"/>
                        <wps:cNvSpPr/>
                        <wps:spPr>
                          <a:xfrm>
                            <a:off x="0" y="0"/>
                            <a:ext cx="10269220" cy="2846070"/>
                          </a:xfrm>
                          <a:custGeom>
                            <a:avLst/>
                            <a:gdLst/>
                            <a:ahLst/>
                            <a:cxnLst/>
                            <a:rect l="l" t="t" r="r" b="b"/>
                            <a:pathLst>
                              <a:path w="10269220" h="2846070">
                                <a:moveTo>
                                  <a:pt x="10268699" y="0"/>
                                </a:moveTo>
                                <a:lnTo>
                                  <a:pt x="0" y="0"/>
                                </a:lnTo>
                                <a:lnTo>
                                  <a:pt x="0" y="2845943"/>
                                </a:lnTo>
                                <a:lnTo>
                                  <a:pt x="10268699" y="2845943"/>
                                </a:lnTo>
                                <a:lnTo>
                                  <a:pt x="10268699" y="0"/>
                                </a:lnTo>
                                <a:close/>
                              </a:path>
                            </a:pathLst>
                          </a:custGeom>
                          <a:solidFill>
                            <a:srgbClr val="FFFFFF"/>
                          </a:solidFill>
                        </wps:spPr>
                        <wps:bodyPr wrap="square" lIns="0" tIns="0" rIns="0" bIns="0" rtlCol="0">
                          <a:prstTxWarp prst="textNoShape">
                            <a:avLst/>
                          </a:prstTxWarp>
                          <a:noAutofit/>
                        </wps:bodyPr>
                      </wps:wsp>
                      <wps:wsp>
                        <wps:cNvPr id="670" name="Graphic 670"/>
                        <wps:cNvSpPr/>
                        <wps:spPr>
                          <a:xfrm>
                            <a:off x="76200" y="1007744"/>
                            <a:ext cx="10116820" cy="1663064"/>
                          </a:xfrm>
                          <a:custGeom>
                            <a:avLst/>
                            <a:gdLst/>
                            <a:ahLst/>
                            <a:cxnLst/>
                            <a:rect l="l" t="t" r="r" b="b"/>
                            <a:pathLst>
                              <a:path w="10116820" h="1663064">
                                <a:moveTo>
                                  <a:pt x="10116312" y="0"/>
                                </a:moveTo>
                                <a:lnTo>
                                  <a:pt x="0" y="0"/>
                                </a:lnTo>
                                <a:lnTo>
                                  <a:pt x="0" y="1662938"/>
                                </a:lnTo>
                                <a:lnTo>
                                  <a:pt x="10116312" y="1662938"/>
                                </a:lnTo>
                                <a:lnTo>
                                  <a:pt x="10116312" y="0"/>
                                </a:lnTo>
                                <a:close/>
                              </a:path>
                            </a:pathLst>
                          </a:custGeom>
                          <a:solidFill>
                            <a:srgbClr val="D9E1F3"/>
                          </a:solidFill>
                        </wps:spPr>
                        <wps:bodyPr wrap="square" lIns="0" tIns="0" rIns="0" bIns="0" rtlCol="0">
                          <a:prstTxWarp prst="textNoShape">
                            <a:avLst/>
                          </a:prstTxWarp>
                          <a:noAutofit/>
                        </wps:bodyPr>
                      </wps:wsp>
                      <wps:wsp>
                        <wps:cNvPr id="671" name="Textbox 671"/>
                        <wps:cNvSpPr txBox="1"/>
                        <wps:spPr>
                          <a:xfrm>
                            <a:off x="0" y="0"/>
                            <a:ext cx="10269220" cy="2846070"/>
                          </a:xfrm>
                          <a:prstGeom prst="rect">
                            <a:avLst/>
                          </a:prstGeom>
                        </wps:spPr>
                        <wps:txbx>
                          <w:txbxContent>
                            <w:p>
                              <w:pPr>
                                <w:spacing w:before="0"/>
                                <w:ind w:left="108" w:right="103" w:firstLine="0"/>
                                <w:jc w:val="both"/>
                                <w:rPr>
                                  <w:rFonts w:ascii="Verdana"/>
                                  <w:sz w:val="22"/>
                                </w:rPr>
                              </w:pPr>
                              <w:r>
                                <w:rPr>
                                  <w:rFonts w:ascii="Verdana"/>
                                  <w:sz w:val="22"/>
                                </w:rPr>
                                <w:t>Variation in maturity and coverage of work programmes is, in part, reflective of wider programme capacity and resource constraints. Evidence from</w:t>
                              </w:r>
                              <w:r>
                                <w:rPr>
                                  <w:rFonts w:ascii="Verdana"/>
                                  <w:spacing w:val="-1"/>
                                  <w:sz w:val="22"/>
                                </w:rPr>
                                <w:t> </w:t>
                              </w:r>
                              <w:r>
                                <w:rPr>
                                  <w:rFonts w:ascii="Verdana"/>
                                  <w:sz w:val="22"/>
                                </w:rPr>
                                <w:t>CSP</w:t>
                              </w:r>
                              <w:r>
                                <w:rPr>
                                  <w:rFonts w:ascii="Verdana"/>
                                  <w:spacing w:val="-1"/>
                                  <w:sz w:val="22"/>
                                </w:rPr>
                                <w:t> </w:t>
                              </w:r>
                              <w:r>
                                <w:rPr>
                                  <w:rFonts w:ascii="Verdana"/>
                                  <w:sz w:val="22"/>
                                </w:rPr>
                                <w:t>and</w:t>
                              </w:r>
                              <w:r>
                                <w:rPr>
                                  <w:rFonts w:ascii="Verdana"/>
                                  <w:spacing w:val="-3"/>
                                  <w:sz w:val="22"/>
                                </w:rPr>
                                <w:t> </w:t>
                              </w:r>
                              <w:r>
                                <w:rPr>
                                  <w:rFonts w:ascii="Verdana"/>
                                  <w:sz w:val="22"/>
                                </w:rPr>
                                <w:t>RDDG</w:t>
                              </w:r>
                              <w:r>
                                <w:rPr>
                                  <w:rFonts w:ascii="Verdana"/>
                                  <w:spacing w:val="-2"/>
                                  <w:sz w:val="22"/>
                                </w:rPr>
                                <w:t> </w:t>
                              </w:r>
                              <w:r>
                                <w:rPr>
                                  <w:rFonts w:ascii="Verdana"/>
                                  <w:sz w:val="22"/>
                                </w:rPr>
                                <w:t>indicates</w:t>
                              </w:r>
                              <w:r>
                                <w:rPr>
                                  <w:rFonts w:ascii="Verdana"/>
                                  <w:spacing w:val="-1"/>
                                  <w:sz w:val="22"/>
                                </w:rPr>
                                <w:t> </w:t>
                              </w:r>
                              <w:r>
                                <w:rPr>
                                  <w:rFonts w:ascii="Verdana"/>
                                  <w:sz w:val="22"/>
                                </w:rPr>
                                <w:t>that</w:t>
                              </w:r>
                              <w:r>
                                <w:rPr>
                                  <w:rFonts w:ascii="Verdana"/>
                                  <w:spacing w:val="-2"/>
                                  <w:sz w:val="22"/>
                                </w:rPr>
                                <w:t> </w:t>
                              </w:r>
                              <w:r>
                                <w:rPr>
                                  <w:rFonts w:ascii="Verdana"/>
                                  <w:sz w:val="22"/>
                                </w:rPr>
                                <w:t>conscious</w:t>
                              </w:r>
                              <w:r>
                                <w:rPr>
                                  <w:rFonts w:ascii="Verdana"/>
                                  <w:spacing w:val="-2"/>
                                  <w:sz w:val="22"/>
                                </w:rPr>
                                <w:t> </w:t>
                              </w:r>
                              <w:r>
                                <w:rPr>
                                  <w:rFonts w:ascii="Verdana"/>
                                  <w:sz w:val="22"/>
                                </w:rPr>
                                <w:t>decisions</w:t>
                              </w:r>
                              <w:r>
                                <w:rPr>
                                  <w:rFonts w:ascii="Verdana"/>
                                  <w:spacing w:val="-2"/>
                                  <w:sz w:val="22"/>
                                </w:rPr>
                                <w:t> </w:t>
                              </w:r>
                              <w:r>
                                <w:rPr>
                                  <w:rFonts w:ascii="Verdana"/>
                                  <w:sz w:val="22"/>
                                </w:rPr>
                                <w:t>are</w:t>
                              </w:r>
                              <w:r>
                                <w:rPr>
                                  <w:rFonts w:ascii="Verdana"/>
                                  <w:spacing w:val="-1"/>
                                  <w:sz w:val="22"/>
                                </w:rPr>
                                <w:t> </w:t>
                              </w:r>
                              <w:r>
                                <w:rPr>
                                  <w:rFonts w:ascii="Verdana"/>
                                  <w:sz w:val="22"/>
                                </w:rPr>
                                <w:t>being</w:t>
                              </w:r>
                              <w:r>
                                <w:rPr>
                                  <w:rFonts w:ascii="Verdana"/>
                                  <w:spacing w:val="-5"/>
                                  <w:sz w:val="22"/>
                                </w:rPr>
                                <w:t> </w:t>
                              </w:r>
                              <w:r>
                                <w:rPr>
                                  <w:rFonts w:ascii="Verdana"/>
                                  <w:sz w:val="22"/>
                                </w:rPr>
                                <w:t>made</w:t>
                              </w:r>
                              <w:r>
                                <w:rPr>
                                  <w:rFonts w:ascii="Verdana"/>
                                  <w:spacing w:val="-1"/>
                                  <w:sz w:val="22"/>
                                </w:rPr>
                                <w:t> </w:t>
                              </w:r>
                              <w:r>
                                <w:rPr>
                                  <w:rFonts w:ascii="Verdana"/>
                                  <w:sz w:val="22"/>
                                </w:rPr>
                                <w:t>to</w:t>
                              </w:r>
                              <w:r>
                                <w:rPr>
                                  <w:rFonts w:ascii="Verdana"/>
                                  <w:spacing w:val="-1"/>
                                  <w:sz w:val="22"/>
                                </w:rPr>
                                <w:t> </w:t>
                              </w:r>
                              <w:r>
                                <w:rPr>
                                  <w:rFonts w:ascii="Verdana"/>
                                  <w:sz w:val="22"/>
                                </w:rPr>
                                <w:t>focus</w:t>
                              </w:r>
                              <w:r>
                                <w:rPr>
                                  <w:rFonts w:ascii="Verdana"/>
                                  <w:spacing w:val="-2"/>
                                  <w:sz w:val="22"/>
                                </w:rPr>
                                <w:t> </w:t>
                              </w:r>
                              <w:r>
                                <w:rPr>
                                  <w:rFonts w:ascii="Verdana"/>
                                  <w:sz w:val="22"/>
                                </w:rPr>
                                <w:t>available</w:t>
                              </w:r>
                              <w:r>
                                <w:rPr>
                                  <w:rFonts w:ascii="Verdana"/>
                                  <w:spacing w:val="-1"/>
                                  <w:sz w:val="22"/>
                                </w:rPr>
                                <w:t> </w:t>
                              </w:r>
                              <w:r>
                                <w:rPr>
                                  <w:rFonts w:ascii="Verdana"/>
                                  <w:sz w:val="22"/>
                                </w:rPr>
                                <w:t>programme</w:t>
                              </w:r>
                              <w:r>
                                <w:rPr>
                                  <w:rFonts w:ascii="Verdana"/>
                                  <w:spacing w:val="-4"/>
                                  <w:sz w:val="22"/>
                                </w:rPr>
                                <w:t> </w:t>
                              </w:r>
                              <w:r>
                                <w:rPr>
                                  <w:rFonts w:ascii="Verdana"/>
                                  <w:sz w:val="22"/>
                                </w:rPr>
                                <w:t>management</w:t>
                              </w:r>
                              <w:r>
                                <w:rPr>
                                  <w:rFonts w:ascii="Verdana"/>
                                  <w:spacing w:val="-3"/>
                                  <w:sz w:val="22"/>
                                </w:rPr>
                                <w:t> </w:t>
                              </w:r>
                              <w:r>
                                <w:rPr>
                                  <w:rFonts w:ascii="Verdana"/>
                                  <w:sz w:val="22"/>
                                </w:rPr>
                                <w:t>and</w:t>
                              </w:r>
                              <w:r>
                                <w:rPr>
                                  <w:rFonts w:ascii="Verdana"/>
                                  <w:spacing w:val="-3"/>
                                  <w:sz w:val="22"/>
                                </w:rPr>
                                <w:t> </w:t>
                              </w:r>
                              <w:r>
                                <w:rPr>
                                  <w:rFonts w:ascii="Verdana"/>
                                  <w:sz w:val="22"/>
                                </w:rPr>
                                <w:t>operational</w:t>
                              </w:r>
                              <w:r>
                                <w:rPr>
                                  <w:rFonts w:ascii="Verdana"/>
                                  <w:spacing w:val="-3"/>
                                  <w:sz w:val="22"/>
                                </w:rPr>
                                <w:t> </w:t>
                              </w:r>
                              <w:r>
                                <w:rPr>
                                  <w:rFonts w:ascii="Verdana"/>
                                  <w:sz w:val="22"/>
                                </w:rPr>
                                <w:t>resource</w:t>
                              </w:r>
                              <w:r>
                                <w:rPr>
                                  <w:rFonts w:ascii="Verdana"/>
                                  <w:spacing w:val="-1"/>
                                  <w:sz w:val="22"/>
                                </w:rPr>
                                <w:t> </w:t>
                              </w:r>
                              <w:r>
                                <w:rPr>
                                  <w:rFonts w:ascii="Verdana"/>
                                  <w:sz w:val="22"/>
                                </w:rPr>
                                <w:t>on areas of greatest strategic importance and readiness.</w:t>
                              </w:r>
                            </w:p>
                            <w:p>
                              <w:pPr>
                                <w:spacing w:before="119"/>
                                <w:ind w:left="108" w:right="107" w:firstLine="0"/>
                                <w:jc w:val="both"/>
                                <w:rPr>
                                  <w:rFonts w:ascii="Verdana"/>
                                  <w:sz w:val="22"/>
                                </w:rPr>
                              </w:pPr>
                              <w:r>
                                <w:rPr>
                                  <w:rFonts w:ascii="Verdana"/>
                                  <w:sz w:val="22"/>
                                </w:rPr>
                                <w:t>The</w:t>
                              </w:r>
                              <w:r>
                                <w:rPr>
                                  <w:rFonts w:ascii="Verdana"/>
                                  <w:spacing w:val="-11"/>
                                  <w:sz w:val="22"/>
                                </w:rPr>
                                <w:t> </w:t>
                              </w:r>
                              <w:r>
                                <w:rPr>
                                  <w:rFonts w:ascii="Verdana"/>
                                  <w:sz w:val="22"/>
                                </w:rPr>
                                <w:t>RJC</w:t>
                              </w:r>
                              <w:r>
                                <w:rPr>
                                  <w:rFonts w:ascii="Verdana"/>
                                  <w:spacing w:val="-11"/>
                                  <w:sz w:val="22"/>
                                </w:rPr>
                                <w:t> </w:t>
                              </w:r>
                              <w:r>
                                <w:rPr>
                                  <w:rFonts w:ascii="Verdana"/>
                                  <w:sz w:val="22"/>
                                </w:rPr>
                                <w:t>Programme</w:t>
                              </w:r>
                              <w:r>
                                <w:rPr>
                                  <w:rFonts w:ascii="Verdana"/>
                                  <w:spacing w:val="-10"/>
                                  <w:sz w:val="22"/>
                                </w:rPr>
                                <w:t> </w:t>
                              </w:r>
                              <w:r>
                                <w:rPr>
                                  <w:rFonts w:ascii="Verdana"/>
                                  <w:sz w:val="22"/>
                                </w:rPr>
                                <w:t>Management</w:t>
                              </w:r>
                              <w:r>
                                <w:rPr>
                                  <w:rFonts w:ascii="Verdana"/>
                                  <w:spacing w:val="-11"/>
                                  <w:sz w:val="22"/>
                                </w:rPr>
                                <w:t> </w:t>
                              </w:r>
                              <w:r>
                                <w:rPr>
                                  <w:rFonts w:ascii="Verdana"/>
                                  <w:sz w:val="22"/>
                                </w:rPr>
                                <w:t>Office</w:t>
                              </w:r>
                              <w:r>
                                <w:rPr>
                                  <w:rFonts w:ascii="Verdana"/>
                                  <w:spacing w:val="-10"/>
                                  <w:sz w:val="22"/>
                                </w:rPr>
                                <w:t> </w:t>
                              </w:r>
                              <w:r>
                                <w:rPr>
                                  <w:rFonts w:ascii="Verdana"/>
                                  <w:sz w:val="22"/>
                                </w:rPr>
                                <w:t>(PMO)</w:t>
                              </w:r>
                              <w:r>
                                <w:rPr>
                                  <w:rFonts w:ascii="Verdana"/>
                                  <w:spacing w:val="-9"/>
                                  <w:sz w:val="22"/>
                                </w:rPr>
                                <w:t> </w:t>
                              </w:r>
                              <w:r>
                                <w:rPr>
                                  <w:rFonts w:ascii="Verdana"/>
                                  <w:sz w:val="22"/>
                                </w:rPr>
                                <w:t>capacity</w:t>
                              </w:r>
                              <w:r>
                                <w:rPr>
                                  <w:rFonts w:ascii="Verdana"/>
                                  <w:spacing w:val="-13"/>
                                  <w:sz w:val="22"/>
                                </w:rPr>
                                <w:t> </w:t>
                              </w:r>
                              <w:r>
                                <w:rPr>
                                  <w:rFonts w:ascii="Verdana"/>
                                  <w:sz w:val="22"/>
                                </w:rPr>
                                <w:t>is</w:t>
                              </w:r>
                              <w:r>
                                <w:rPr>
                                  <w:rFonts w:ascii="Verdana"/>
                                  <w:spacing w:val="-10"/>
                                  <w:sz w:val="22"/>
                                </w:rPr>
                                <w:t> </w:t>
                              </w:r>
                              <w:r>
                                <w:rPr>
                                  <w:rFonts w:ascii="Verdana"/>
                                  <w:sz w:val="22"/>
                                </w:rPr>
                                <w:t>directed</w:t>
                              </w:r>
                              <w:r>
                                <w:rPr>
                                  <w:rFonts w:ascii="Verdana"/>
                                  <w:spacing w:val="-11"/>
                                  <w:sz w:val="22"/>
                                </w:rPr>
                                <w:t> </w:t>
                              </w:r>
                              <w:r>
                                <w:rPr>
                                  <w:rFonts w:ascii="Verdana"/>
                                  <w:sz w:val="22"/>
                                </w:rPr>
                                <w:t>towards</w:t>
                              </w:r>
                              <w:r>
                                <w:rPr>
                                  <w:rFonts w:ascii="Verdana"/>
                                  <w:spacing w:val="-10"/>
                                  <w:sz w:val="22"/>
                                </w:rPr>
                                <w:t> </w:t>
                              </w:r>
                              <w:r>
                                <w:rPr>
                                  <w:rFonts w:ascii="Verdana"/>
                                  <w:sz w:val="22"/>
                                </w:rPr>
                                <w:t>the</w:t>
                              </w:r>
                              <w:r>
                                <w:rPr>
                                  <w:rFonts w:ascii="Verdana"/>
                                  <w:spacing w:val="-11"/>
                                  <w:sz w:val="22"/>
                                </w:rPr>
                                <w:t> </w:t>
                              </w:r>
                              <w:r>
                                <w:rPr>
                                  <w:rFonts w:ascii="Verdana"/>
                                  <w:sz w:val="22"/>
                                </w:rPr>
                                <w:t>CSP</w:t>
                              </w:r>
                              <w:r>
                                <w:rPr>
                                  <w:rFonts w:ascii="Verdana"/>
                                  <w:spacing w:val="-10"/>
                                  <w:sz w:val="22"/>
                                </w:rPr>
                                <w:t> </w:t>
                              </w:r>
                              <w:r>
                                <w:rPr>
                                  <w:rFonts w:ascii="Verdana"/>
                                  <w:sz w:val="22"/>
                                </w:rPr>
                                <w:t>and</w:t>
                              </w:r>
                              <w:r>
                                <w:rPr>
                                  <w:rFonts w:ascii="Verdana"/>
                                  <w:spacing w:val="-12"/>
                                  <w:sz w:val="22"/>
                                </w:rPr>
                                <w:t> </w:t>
                              </w:r>
                              <w:r>
                                <w:rPr>
                                  <w:rFonts w:ascii="Verdana"/>
                                  <w:sz w:val="22"/>
                                </w:rPr>
                                <w:t>RHE</w:t>
                              </w:r>
                              <w:r>
                                <w:rPr>
                                  <w:rFonts w:ascii="Verdana"/>
                                  <w:spacing w:val="-11"/>
                                  <w:sz w:val="22"/>
                                </w:rPr>
                                <w:t> </w:t>
                              </w:r>
                              <w:r>
                                <w:rPr>
                                  <w:rFonts w:ascii="Verdana"/>
                                  <w:sz w:val="22"/>
                                </w:rPr>
                                <w:t>portfolios</w:t>
                              </w:r>
                              <w:r>
                                <w:rPr>
                                  <w:rFonts w:ascii="Verdana"/>
                                  <w:spacing w:val="-10"/>
                                  <w:sz w:val="22"/>
                                </w:rPr>
                                <w:t> </w:t>
                              </w:r>
                              <w:r>
                                <w:rPr>
                                  <w:rFonts w:ascii="Verdana"/>
                                  <w:sz w:val="22"/>
                                </w:rPr>
                                <w:t>and</w:t>
                              </w:r>
                              <w:r>
                                <w:rPr>
                                  <w:rFonts w:ascii="Verdana"/>
                                  <w:spacing w:val="-6"/>
                                  <w:sz w:val="22"/>
                                </w:rPr>
                                <w:t> </w:t>
                              </w:r>
                              <w:r>
                                <w:rPr>
                                  <w:rFonts w:ascii="Verdana"/>
                                  <w:sz w:val="22"/>
                                </w:rPr>
                                <w:t>delivered</w:t>
                              </w:r>
                              <w:r>
                                <w:rPr>
                                  <w:rFonts w:ascii="Verdana"/>
                                  <w:spacing w:val="-11"/>
                                  <w:sz w:val="22"/>
                                </w:rPr>
                                <w:t> </w:t>
                              </w:r>
                              <w:r>
                                <w:rPr>
                                  <w:rFonts w:ascii="Verdana"/>
                                  <w:sz w:val="22"/>
                                </w:rPr>
                                <w:t>through</w:t>
                              </w:r>
                              <w:r>
                                <w:rPr>
                                  <w:rFonts w:ascii="Verdana"/>
                                  <w:spacing w:val="-12"/>
                                  <w:sz w:val="22"/>
                                </w:rPr>
                                <w:t> </w:t>
                              </w:r>
                              <w:r>
                                <w:rPr>
                                  <w:rFonts w:ascii="Verdana"/>
                                  <w:sz w:val="22"/>
                                </w:rPr>
                                <w:t>a</w:t>
                              </w:r>
                              <w:r>
                                <w:rPr>
                                  <w:rFonts w:ascii="Verdana"/>
                                  <w:spacing w:val="-9"/>
                                  <w:sz w:val="22"/>
                                </w:rPr>
                                <w:t> </w:t>
                              </w:r>
                              <w:r>
                                <w:rPr>
                                  <w:rFonts w:ascii="Verdana"/>
                                  <w:sz w:val="22"/>
                                </w:rPr>
                                <w:t>small</w:t>
                              </w:r>
                              <w:r>
                                <w:rPr>
                                  <w:rFonts w:ascii="Verdana"/>
                                  <w:spacing w:val="-11"/>
                                  <w:sz w:val="22"/>
                                </w:rPr>
                                <w:t> </w:t>
                              </w:r>
                              <w:r>
                                <w:rPr>
                                  <w:rFonts w:ascii="Verdana"/>
                                  <w:sz w:val="22"/>
                                </w:rPr>
                                <w:t>core</w:t>
                              </w:r>
                              <w:r>
                                <w:rPr>
                                  <w:rFonts w:ascii="Verdana"/>
                                  <w:spacing w:val="-10"/>
                                  <w:sz w:val="22"/>
                                </w:rPr>
                                <w:t> </w:t>
                              </w:r>
                              <w:r>
                                <w:rPr>
                                  <w:rFonts w:ascii="Verdana"/>
                                  <w:sz w:val="22"/>
                                </w:rPr>
                                <w:t>team. Engagement with national programmes is ongoing to identify additional resources to support its operation.</w:t>
                              </w:r>
                            </w:p>
                          </w:txbxContent>
                        </wps:txbx>
                        <wps:bodyPr wrap="square" lIns="0" tIns="0" rIns="0" bIns="0" rtlCol="0">
                          <a:noAutofit/>
                        </wps:bodyPr>
                      </wps:wsp>
                      <wps:wsp>
                        <wps:cNvPr id="672" name="Textbox 672"/>
                        <wps:cNvSpPr txBox="1"/>
                        <wps:spPr>
                          <a:xfrm>
                            <a:off x="71627" y="1004569"/>
                            <a:ext cx="10124440" cy="1670685"/>
                          </a:xfrm>
                          <a:prstGeom prst="rect">
                            <a:avLst/>
                          </a:prstGeom>
                          <a:ln w="6095">
                            <a:solidFill>
                              <a:srgbClr val="000000"/>
                            </a:solidFill>
                            <a:prstDash val="solid"/>
                          </a:ln>
                        </wps:spPr>
                        <wps:txbx>
                          <w:txbxContent>
                            <w:p>
                              <w:pPr>
                                <w:spacing w:before="119"/>
                                <w:ind w:left="103" w:right="0" w:firstLine="0"/>
                                <w:jc w:val="both"/>
                                <w:rPr>
                                  <w:rFonts w:ascii="Verdana"/>
                                  <w:b/>
                                  <w:sz w:val="22"/>
                                </w:rPr>
                              </w:pPr>
                              <w:r>
                                <w:rPr>
                                  <w:rFonts w:ascii="Verdana"/>
                                  <w:b/>
                                  <w:sz w:val="22"/>
                                </w:rPr>
                                <w:t>Action</w:t>
                              </w:r>
                              <w:r>
                                <w:rPr>
                                  <w:rFonts w:ascii="Verdana"/>
                                  <w:b/>
                                  <w:spacing w:val="-9"/>
                                  <w:sz w:val="22"/>
                                </w:rPr>
                                <w:t> </w:t>
                              </w:r>
                              <w:r>
                                <w:rPr>
                                  <w:rFonts w:ascii="Verdana"/>
                                  <w:b/>
                                  <w:sz w:val="22"/>
                                </w:rPr>
                                <w:t>3:</w:t>
                              </w:r>
                              <w:r>
                                <w:rPr>
                                  <w:rFonts w:ascii="Verdana"/>
                                  <w:b/>
                                  <w:spacing w:val="-7"/>
                                  <w:sz w:val="22"/>
                                </w:rPr>
                                <w:t> </w:t>
                              </w:r>
                              <w:r>
                                <w:rPr>
                                  <w:rFonts w:ascii="Verdana"/>
                                  <w:b/>
                                  <w:sz w:val="22"/>
                                </w:rPr>
                                <w:t>Strengthen</w:t>
                              </w:r>
                              <w:r>
                                <w:rPr>
                                  <w:rFonts w:ascii="Verdana"/>
                                  <w:b/>
                                  <w:spacing w:val="-6"/>
                                  <w:sz w:val="22"/>
                                </w:rPr>
                                <w:t> </w:t>
                              </w:r>
                              <w:r>
                                <w:rPr>
                                  <w:rFonts w:ascii="Verdana"/>
                                  <w:b/>
                                  <w:sz w:val="22"/>
                                </w:rPr>
                                <w:t>formal</w:t>
                              </w:r>
                              <w:r>
                                <w:rPr>
                                  <w:rFonts w:ascii="Verdana"/>
                                  <w:b/>
                                  <w:spacing w:val="-8"/>
                                  <w:sz w:val="22"/>
                                </w:rPr>
                                <w:t> </w:t>
                              </w:r>
                              <w:r>
                                <w:rPr>
                                  <w:rFonts w:ascii="Verdana"/>
                                  <w:b/>
                                  <w:sz w:val="22"/>
                                </w:rPr>
                                <w:t>governance</w:t>
                              </w:r>
                              <w:r>
                                <w:rPr>
                                  <w:rFonts w:ascii="Verdana"/>
                                  <w:b/>
                                  <w:spacing w:val="-8"/>
                                  <w:sz w:val="22"/>
                                </w:rPr>
                                <w:t> </w:t>
                              </w:r>
                              <w:r>
                                <w:rPr>
                                  <w:rFonts w:ascii="Verdana"/>
                                  <w:b/>
                                  <w:sz w:val="22"/>
                                </w:rPr>
                                <w:t>and</w:t>
                              </w:r>
                              <w:r>
                                <w:rPr>
                                  <w:rFonts w:ascii="Verdana"/>
                                  <w:b/>
                                  <w:spacing w:val="-8"/>
                                  <w:sz w:val="22"/>
                                </w:rPr>
                                <w:t> </w:t>
                              </w:r>
                              <w:r>
                                <w:rPr>
                                  <w:rFonts w:ascii="Verdana"/>
                                  <w:b/>
                                  <w:sz w:val="22"/>
                                </w:rPr>
                                <w:t>documentation</w:t>
                              </w:r>
                              <w:r>
                                <w:rPr>
                                  <w:rFonts w:ascii="Verdana"/>
                                  <w:b/>
                                  <w:spacing w:val="-6"/>
                                  <w:sz w:val="22"/>
                                </w:rPr>
                                <w:t> </w:t>
                              </w:r>
                              <w:r>
                                <w:rPr>
                                  <w:rFonts w:ascii="Verdana"/>
                                  <w:b/>
                                  <w:spacing w:val="-2"/>
                                  <w:sz w:val="22"/>
                                </w:rPr>
                                <w:t>discipline</w:t>
                              </w:r>
                            </w:p>
                            <w:p>
                              <w:pPr>
                                <w:spacing w:before="122"/>
                                <w:ind w:left="103" w:right="99" w:firstLine="0"/>
                                <w:jc w:val="both"/>
                                <w:rPr>
                                  <w:rFonts w:ascii="Verdana"/>
                                  <w:sz w:val="22"/>
                                </w:rPr>
                              </w:pPr>
                              <w:r>
                                <w:rPr>
                                  <w:rFonts w:ascii="Verdana"/>
                                  <w:sz w:val="22"/>
                                </w:rPr>
                                <w:t>Formalising and standardising governance arrangements across all subgroups would strengthen documentation discipline. This includes ensuring Terms of Reference are approved, documentation is maintained and up to date, and consistent standards (such as version control and clear articulation of purpose, outputs and responsibilities) are applied.</w:t>
                              </w:r>
                            </w:p>
                            <w:p>
                              <w:pPr>
                                <w:spacing w:before="119"/>
                                <w:ind w:left="103" w:right="98" w:firstLine="0"/>
                                <w:jc w:val="both"/>
                                <w:rPr>
                                  <w:rFonts w:ascii="Verdana"/>
                                  <w:sz w:val="22"/>
                                </w:rPr>
                              </w:pPr>
                              <w:r>
                                <w:rPr>
                                  <w:rFonts w:ascii="Verdana"/>
                                  <w:sz w:val="22"/>
                                </w:rPr>
                                <w:t>This</w:t>
                              </w:r>
                              <w:r>
                                <w:rPr>
                                  <w:rFonts w:ascii="Verdana"/>
                                  <w:spacing w:val="-4"/>
                                  <w:sz w:val="22"/>
                                </w:rPr>
                                <w:t> </w:t>
                              </w:r>
                              <w:r>
                                <w:rPr>
                                  <w:rFonts w:ascii="Verdana"/>
                                  <w:sz w:val="22"/>
                                </w:rPr>
                                <w:t>is</w:t>
                              </w:r>
                              <w:r>
                                <w:rPr>
                                  <w:rFonts w:ascii="Verdana"/>
                                  <w:spacing w:val="-3"/>
                                  <w:sz w:val="22"/>
                                </w:rPr>
                                <w:t> </w:t>
                              </w:r>
                              <w:r>
                                <w:rPr>
                                  <w:rFonts w:ascii="Verdana"/>
                                  <w:sz w:val="22"/>
                                </w:rPr>
                                <w:t>particularly</w:t>
                              </w:r>
                              <w:r>
                                <w:rPr>
                                  <w:rFonts w:ascii="Verdana"/>
                                  <w:spacing w:val="-4"/>
                                  <w:sz w:val="22"/>
                                </w:rPr>
                                <w:t> </w:t>
                              </w:r>
                              <w:r>
                                <w:rPr>
                                  <w:rFonts w:ascii="Verdana"/>
                                  <w:sz w:val="22"/>
                                </w:rPr>
                                <w:t>relevant</w:t>
                              </w:r>
                              <w:r>
                                <w:rPr>
                                  <w:rFonts w:ascii="Verdana"/>
                                  <w:spacing w:val="-5"/>
                                  <w:sz w:val="22"/>
                                </w:rPr>
                                <w:t> </w:t>
                              </w:r>
                              <w:r>
                                <w:rPr>
                                  <w:rFonts w:ascii="Verdana"/>
                                  <w:sz w:val="22"/>
                                </w:rPr>
                                <w:t>where</w:t>
                              </w:r>
                              <w:r>
                                <w:rPr>
                                  <w:rFonts w:ascii="Verdana"/>
                                  <w:spacing w:val="-3"/>
                                  <w:sz w:val="22"/>
                                </w:rPr>
                                <w:t> </w:t>
                              </w:r>
                              <w:r>
                                <w:rPr>
                                  <w:rFonts w:ascii="Verdana"/>
                                  <w:sz w:val="22"/>
                                </w:rPr>
                                <w:t>documentation</w:t>
                              </w:r>
                              <w:r>
                                <w:rPr>
                                  <w:rFonts w:ascii="Verdana"/>
                                  <w:spacing w:val="-4"/>
                                  <w:sz w:val="22"/>
                                </w:rPr>
                                <w:t> </w:t>
                              </w:r>
                              <w:r>
                                <w:rPr>
                                  <w:rFonts w:ascii="Verdana"/>
                                  <w:sz w:val="22"/>
                                </w:rPr>
                                <w:t>is</w:t>
                              </w:r>
                              <w:r>
                                <w:rPr>
                                  <w:rFonts w:ascii="Verdana"/>
                                  <w:spacing w:val="-3"/>
                                  <w:sz w:val="22"/>
                                </w:rPr>
                                <w:t> </w:t>
                              </w:r>
                              <w:r>
                                <w:rPr>
                                  <w:rFonts w:ascii="Verdana"/>
                                  <w:sz w:val="22"/>
                                </w:rPr>
                                <w:t>limited</w:t>
                              </w:r>
                              <w:r>
                                <w:rPr>
                                  <w:rFonts w:ascii="Verdana"/>
                                  <w:spacing w:val="-5"/>
                                  <w:sz w:val="22"/>
                                </w:rPr>
                                <w:t> </w:t>
                              </w:r>
                              <w:r>
                                <w:rPr>
                                  <w:rFonts w:ascii="Verdana"/>
                                  <w:sz w:val="22"/>
                                </w:rPr>
                                <w:t>or</w:t>
                              </w:r>
                              <w:r>
                                <w:rPr>
                                  <w:rFonts w:ascii="Verdana"/>
                                  <w:spacing w:val="-4"/>
                                  <w:sz w:val="22"/>
                                </w:rPr>
                                <w:t> </w:t>
                              </w:r>
                              <w:r>
                                <w:rPr>
                                  <w:rFonts w:ascii="Verdana"/>
                                  <w:sz w:val="22"/>
                                </w:rPr>
                                <w:t>not</w:t>
                              </w:r>
                              <w:r>
                                <w:rPr>
                                  <w:rFonts w:ascii="Verdana"/>
                                  <w:spacing w:val="-4"/>
                                  <w:sz w:val="22"/>
                                </w:rPr>
                                <w:t> </w:t>
                              </w:r>
                              <w:r>
                                <w:rPr>
                                  <w:rFonts w:ascii="Verdana"/>
                                  <w:sz w:val="22"/>
                                </w:rPr>
                                <w:t>fully</w:t>
                              </w:r>
                              <w:r>
                                <w:rPr>
                                  <w:rFonts w:ascii="Verdana"/>
                                  <w:spacing w:val="-2"/>
                                  <w:sz w:val="22"/>
                                </w:rPr>
                                <w:t> </w:t>
                              </w:r>
                              <w:r>
                                <w:rPr>
                                  <w:rFonts w:ascii="Verdana"/>
                                  <w:sz w:val="22"/>
                                </w:rPr>
                                <w:t>developed,</w:t>
                              </w:r>
                              <w:r>
                                <w:rPr>
                                  <w:rFonts w:ascii="Verdana"/>
                                  <w:spacing w:val="-3"/>
                                  <w:sz w:val="22"/>
                                </w:rPr>
                                <w:t> </w:t>
                              </w:r>
                              <w:r>
                                <w:rPr>
                                  <w:rFonts w:ascii="Verdana"/>
                                  <w:sz w:val="22"/>
                                </w:rPr>
                                <w:t>for</w:t>
                              </w:r>
                              <w:r>
                                <w:rPr>
                                  <w:rFonts w:ascii="Verdana"/>
                                  <w:spacing w:val="-4"/>
                                  <w:sz w:val="22"/>
                                </w:rPr>
                                <w:t> </w:t>
                              </w:r>
                              <w:r>
                                <w:rPr>
                                  <w:rFonts w:ascii="Verdana"/>
                                  <w:sz w:val="22"/>
                                </w:rPr>
                                <w:t>example</w:t>
                              </w:r>
                              <w:r>
                                <w:rPr>
                                  <w:rFonts w:ascii="Verdana"/>
                                  <w:spacing w:val="-3"/>
                                  <w:sz w:val="22"/>
                                </w:rPr>
                                <w:t> </w:t>
                              </w:r>
                              <w:r>
                                <w:rPr>
                                  <w:rFonts w:ascii="Verdana"/>
                                  <w:sz w:val="22"/>
                                </w:rPr>
                                <w:t>within</w:t>
                              </w:r>
                              <w:r>
                                <w:rPr>
                                  <w:rFonts w:ascii="Verdana"/>
                                  <w:spacing w:val="-4"/>
                                  <w:sz w:val="22"/>
                                </w:rPr>
                                <w:t> </w:t>
                              </w:r>
                              <w:r>
                                <w:rPr>
                                  <w:rFonts w:ascii="Verdana"/>
                                  <w:sz w:val="22"/>
                                </w:rPr>
                                <w:t>the</w:t>
                              </w:r>
                              <w:r>
                                <w:rPr>
                                  <w:rFonts w:ascii="Verdana"/>
                                  <w:spacing w:val="-3"/>
                                  <w:sz w:val="22"/>
                                </w:rPr>
                                <w:t> </w:t>
                              </w:r>
                              <w:r>
                                <w:rPr>
                                  <w:rFonts w:ascii="Verdana"/>
                                  <w:sz w:val="22"/>
                                </w:rPr>
                                <w:t>Finance</w:t>
                              </w:r>
                              <w:r>
                                <w:rPr>
                                  <w:rFonts w:ascii="Verdana"/>
                                  <w:spacing w:val="-3"/>
                                  <w:sz w:val="22"/>
                                </w:rPr>
                                <w:t> </w:t>
                              </w:r>
                              <w:r>
                                <w:rPr>
                                  <w:rFonts w:ascii="Verdana"/>
                                  <w:sz w:val="22"/>
                                </w:rPr>
                                <w:t>and</w:t>
                              </w:r>
                              <w:r>
                                <w:rPr>
                                  <w:rFonts w:ascii="Verdana"/>
                                  <w:spacing w:val="-5"/>
                                  <w:sz w:val="22"/>
                                </w:rPr>
                                <w:t> </w:t>
                              </w:r>
                              <w:r>
                                <w:rPr>
                                  <w:rFonts w:ascii="Verdana"/>
                                  <w:sz w:val="22"/>
                                </w:rPr>
                                <w:t>Contracting sub-group, where</w:t>
                              </w:r>
                              <w:r>
                                <w:rPr>
                                  <w:rFonts w:ascii="Verdana"/>
                                  <w:spacing w:val="-14"/>
                                  <w:sz w:val="22"/>
                                </w:rPr>
                                <w:t> </w:t>
                              </w:r>
                              <w:r>
                                <w:rPr>
                                  <w:rFonts w:ascii="Verdana"/>
                                  <w:sz w:val="22"/>
                                </w:rPr>
                                <w:t>work</w:t>
                              </w:r>
                              <w:r>
                                <w:rPr>
                                  <w:rFonts w:ascii="Verdana"/>
                                  <w:spacing w:val="-15"/>
                                  <w:sz w:val="22"/>
                                </w:rPr>
                                <w:t> </w:t>
                              </w:r>
                              <w:r>
                                <w:rPr>
                                  <w:rFonts w:ascii="Verdana"/>
                                  <w:sz w:val="22"/>
                                </w:rPr>
                                <w:t>programme</w:t>
                              </w:r>
                              <w:r>
                                <w:rPr>
                                  <w:rFonts w:ascii="Verdana"/>
                                  <w:spacing w:val="-14"/>
                                  <w:sz w:val="22"/>
                                </w:rPr>
                                <w:t> </w:t>
                              </w:r>
                              <w:r>
                                <w:rPr>
                                  <w:rFonts w:ascii="Verdana"/>
                                  <w:sz w:val="22"/>
                                </w:rPr>
                                <w:t>documentation</w:t>
                              </w:r>
                              <w:r>
                                <w:rPr>
                                  <w:rFonts w:ascii="Verdana"/>
                                  <w:spacing w:val="-15"/>
                                  <w:sz w:val="22"/>
                                </w:rPr>
                                <w:t> </w:t>
                              </w:r>
                              <w:r>
                                <w:rPr>
                                  <w:rFonts w:ascii="Verdana"/>
                                  <w:sz w:val="22"/>
                                </w:rPr>
                                <w:t>does</w:t>
                              </w:r>
                              <w:r>
                                <w:rPr>
                                  <w:rFonts w:ascii="Verdana"/>
                                  <w:spacing w:val="-13"/>
                                  <w:sz w:val="22"/>
                                </w:rPr>
                                <w:t> </w:t>
                              </w:r>
                              <w:r>
                                <w:rPr>
                                  <w:rFonts w:ascii="Verdana"/>
                                  <w:sz w:val="22"/>
                                </w:rPr>
                                <w:t>not</w:t>
                              </w:r>
                              <w:r>
                                <w:rPr>
                                  <w:rFonts w:ascii="Verdana"/>
                                  <w:spacing w:val="-15"/>
                                  <w:sz w:val="22"/>
                                </w:rPr>
                                <w:t> </w:t>
                              </w:r>
                              <w:r>
                                <w:rPr>
                                  <w:rFonts w:ascii="Verdana"/>
                                  <w:sz w:val="22"/>
                                </w:rPr>
                                <w:t>consistently</w:t>
                              </w:r>
                              <w:r>
                                <w:rPr>
                                  <w:rFonts w:ascii="Verdana"/>
                                  <w:spacing w:val="-15"/>
                                  <w:sz w:val="22"/>
                                </w:rPr>
                                <w:t> </w:t>
                              </w:r>
                              <w:r>
                                <w:rPr>
                                  <w:rFonts w:ascii="Verdana"/>
                                  <w:sz w:val="22"/>
                                </w:rPr>
                                <w:t>set</w:t>
                              </w:r>
                              <w:r>
                                <w:rPr>
                                  <w:rFonts w:ascii="Verdana"/>
                                  <w:spacing w:val="-17"/>
                                  <w:sz w:val="22"/>
                                </w:rPr>
                                <w:t> </w:t>
                              </w:r>
                              <w:r>
                                <w:rPr>
                                  <w:rFonts w:ascii="Verdana"/>
                                  <w:sz w:val="22"/>
                                </w:rPr>
                                <w:t>out</w:t>
                              </w:r>
                              <w:r>
                                <w:rPr>
                                  <w:rFonts w:ascii="Verdana"/>
                                  <w:spacing w:val="-15"/>
                                  <w:sz w:val="22"/>
                                </w:rPr>
                                <w:t> </w:t>
                              </w:r>
                              <w:r>
                                <w:rPr>
                                  <w:rFonts w:ascii="Verdana"/>
                                  <w:sz w:val="22"/>
                                </w:rPr>
                                <w:t>defined</w:t>
                              </w:r>
                              <w:r>
                                <w:rPr>
                                  <w:rFonts w:ascii="Verdana"/>
                                  <w:spacing w:val="-14"/>
                                  <w:sz w:val="22"/>
                                </w:rPr>
                                <w:t> </w:t>
                              </w:r>
                              <w:r>
                                <w:rPr>
                                  <w:rFonts w:ascii="Verdana"/>
                                  <w:sz w:val="22"/>
                                </w:rPr>
                                <w:t>outputs,</w:t>
                              </w:r>
                              <w:r>
                                <w:rPr>
                                  <w:rFonts w:ascii="Verdana"/>
                                  <w:spacing w:val="-11"/>
                                  <w:sz w:val="22"/>
                                </w:rPr>
                                <w:t> </w:t>
                              </w:r>
                              <w:r>
                                <w:rPr>
                                  <w:rFonts w:ascii="Verdana"/>
                                  <w:sz w:val="22"/>
                                </w:rPr>
                                <w:t>milestones</w:t>
                              </w:r>
                              <w:r>
                                <w:rPr>
                                  <w:rFonts w:ascii="Verdana"/>
                                  <w:spacing w:val="-13"/>
                                  <w:sz w:val="22"/>
                                </w:rPr>
                                <w:t> </w:t>
                              </w:r>
                              <w:r>
                                <w:rPr>
                                  <w:rFonts w:ascii="Verdana"/>
                                  <w:sz w:val="22"/>
                                </w:rPr>
                                <w:t>or</w:t>
                              </w:r>
                              <w:r>
                                <w:rPr>
                                  <w:rFonts w:ascii="Verdana"/>
                                  <w:spacing w:val="-14"/>
                                  <w:sz w:val="22"/>
                                </w:rPr>
                                <w:t> </w:t>
                              </w:r>
                              <w:r>
                                <w:rPr>
                                  <w:rFonts w:ascii="Verdana"/>
                                  <w:sz w:val="22"/>
                                </w:rPr>
                                <w:t>delivery</w:t>
                              </w:r>
                              <w:r>
                                <w:rPr>
                                  <w:rFonts w:ascii="Verdana"/>
                                  <w:spacing w:val="-15"/>
                                  <w:sz w:val="22"/>
                                </w:rPr>
                                <w:t> </w:t>
                              </w:r>
                              <w:r>
                                <w:rPr>
                                  <w:rFonts w:ascii="Verdana"/>
                                  <w:sz w:val="22"/>
                                </w:rPr>
                                <w:t>timescales.</w:t>
                              </w:r>
                              <w:r>
                                <w:rPr>
                                  <w:rFonts w:ascii="Verdana"/>
                                  <w:spacing w:val="-13"/>
                                  <w:sz w:val="22"/>
                                </w:rPr>
                                <w:t> </w:t>
                              </w:r>
                              <w:r>
                                <w:rPr>
                                  <w:rFonts w:ascii="Verdana"/>
                                  <w:sz w:val="22"/>
                                </w:rPr>
                                <w:t>This</w:t>
                              </w:r>
                              <w:r>
                                <w:rPr>
                                  <w:rFonts w:ascii="Verdana"/>
                                  <w:spacing w:val="-15"/>
                                  <w:sz w:val="22"/>
                                </w:rPr>
                                <w:t> </w:t>
                              </w:r>
                              <w:r>
                                <w:rPr>
                                  <w:rFonts w:ascii="Verdana"/>
                                  <w:sz w:val="22"/>
                                </w:rPr>
                                <w:t>could</w:t>
                              </w:r>
                              <w:r>
                                <w:rPr>
                                  <w:rFonts w:ascii="Verdana"/>
                                  <w:spacing w:val="-13"/>
                                  <w:sz w:val="22"/>
                                </w:rPr>
                                <w:t> </w:t>
                              </w:r>
                              <w:r>
                                <w:rPr>
                                  <w:rFonts w:ascii="Verdana"/>
                                  <w:sz w:val="22"/>
                                </w:rPr>
                                <w:t>also</w:t>
                              </w:r>
                              <w:r>
                                <w:rPr>
                                  <w:rFonts w:ascii="Verdana"/>
                                  <w:spacing w:val="-14"/>
                                  <w:sz w:val="22"/>
                                </w:rPr>
                                <w:t> </w:t>
                              </w:r>
                              <w:r>
                                <w:rPr>
                                  <w:rFonts w:ascii="Verdana"/>
                                  <w:sz w:val="22"/>
                                </w:rPr>
                                <w:t>include updating legacy references (e.g. ARCH within CSP documentation) and ensuring governance documentation accurately reflects current operating arrangements.</w:t>
                              </w:r>
                            </w:p>
                          </w:txbxContent>
                        </wps:txbx>
                        <wps:bodyPr wrap="square" lIns="0" tIns="0" rIns="0" bIns="0" rtlCol="0">
                          <a:noAutofit/>
                        </wps:bodyPr>
                      </wps:wsp>
                    </wpg:wgp>
                  </a:graphicData>
                </a:graphic>
              </wp:inline>
            </w:drawing>
          </mc:Choice>
          <mc:Fallback>
            <w:pict>
              <v:group style="width:808.6pt;height:224.1pt;mso-position-horizontal-relative:char;mso-position-vertical-relative:line" id="docshapegroup431" coordorigin="0,0" coordsize="16172,4482">
                <v:rect style="position:absolute;left:0;top:0;width:16172;height:4482" id="docshape432" filled="true" fillcolor="#ffffff" stroked="false">
                  <v:fill type="solid"/>
                </v:rect>
                <v:rect style="position:absolute;left:120;top:1587;width:15932;height:2619" id="docshape433" filled="true" fillcolor="#d9e1f3" stroked="false">
                  <v:fill type="solid"/>
                </v:rect>
                <v:shape style="position:absolute;left:0;top:0;width:16172;height:4482" type="#_x0000_t202" id="docshape434" filled="false" stroked="false">
                  <v:textbox inset="0,0,0,0">
                    <w:txbxContent>
                      <w:p>
                        <w:pPr>
                          <w:spacing w:before="0"/>
                          <w:ind w:left="108" w:right="103" w:firstLine="0"/>
                          <w:jc w:val="both"/>
                          <w:rPr>
                            <w:rFonts w:ascii="Verdana"/>
                            <w:sz w:val="22"/>
                          </w:rPr>
                        </w:pPr>
                        <w:r>
                          <w:rPr>
                            <w:rFonts w:ascii="Verdana"/>
                            <w:sz w:val="22"/>
                          </w:rPr>
                          <w:t>Variation in maturity and coverage of work programmes is, in part, reflective of wider programme capacity and resource constraints. Evidence from</w:t>
                        </w:r>
                        <w:r>
                          <w:rPr>
                            <w:rFonts w:ascii="Verdana"/>
                            <w:spacing w:val="-1"/>
                            <w:sz w:val="22"/>
                          </w:rPr>
                          <w:t> </w:t>
                        </w:r>
                        <w:r>
                          <w:rPr>
                            <w:rFonts w:ascii="Verdana"/>
                            <w:sz w:val="22"/>
                          </w:rPr>
                          <w:t>CSP</w:t>
                        </w:r>
                        <w:r>
                          <w:rPr>
                            <w:rFonts w:ascii="Verdana"/>
                            <w:spacing w:val="-1"/>
                            <w:sz w:val="22"/>
                          </w:rPr>
                          <w:t> </w:t>
                        </w:r>
                        <w:r>
                          <w:rPr>
                            <w:rFonts w:ascii="Verdana"/>
                            <w:sz w:val="22"/>
                          </w:rPr>
                          <w:t>and</w:t>
                        </w:r>
                        <w:r>
                          <w:rPr>
                            <w:rFonts w:ascii="Verdana"/>
                            <w:spacing w:val="-3"/>
                            <w:sz w:val="22"/>
                          </w:rPr>
                          <w:t> </w:t>
                        </w:r>
                        <w:r>
                          <w:rPr>
                            <w:rFonts w:ascii="Verdana"/>
                            <w:sz w:val="22"/>
                          </w:rPr>
                          <w:t>RDDG</w:t>
                        </w:r>
                        <w:r>
                          <w:rPr>
                            <w:rFonts w:ascii="Verdana"/>
                            <w:spacing w:val="-2"/>
                            <w:sz w:val="22"/>
                          </w:rPr>
                          <w:t> </w:t>
                        </w:r>
                        <w:r>
                          <w:rPr>
                            <w:rFonts w:ascii="Verdana"/>
                            <w:sz w:val="22"/>
                          </w:rPr>
                          <w:t>indicates</w:t>
                        </w:r>
                        <w:r>
                          <w:rPr>
                            <w:rFonts w:ascii="Verdana"/>
                            <w:spacing w:val="-1"/>
                            <w:sz w:val="22"/>
                          </w:rPr>
                          <w:t> </w:t>
                        </w:r>
                        <w:r>
                          <w:rPr>
                            <w:rFonts w:ascii="Verdana"/>
                            <w:sz w:val="22"/>
                          </w:rPr>
                          <w:t>that</w:t>
                        </w:r>
                        <w:r>
                          <w:rPr>
                            <w:rFonts w:ascii="Verdana"/>
                            <w:spacing w:val="-2"/>
                            <w:sz w:val="22"/>
                          </w:rPr>
                          <w:t> </w:t>
                        </w:r>
                        <w:r>
                          <w:rPr>
                            <w:rFonts w:ascii="Verdana"/>
                            <w:sz w:val="22"/>
                          </w:rPr>
                          <w:t>conscious</w:t>
                        </w:r>
                        <w:r>
                          <w:rPr>
                            <w:rFonts w:ascii="Verdana"/>
                            <w:spacing w:val="-2"/>
                            <w:sz w:val="22"/>
                          </w:rPr>
                          <w:t> </w:t>
                        </w:r>
                        <w:r>
                          <w:rPr>
                            <w:rFonts w:ascii="Verdana"/>
                            <w:sz w:val="22"/>
                          </w:rPr>
                          <w:t>decisions</w:t>
                        </w:r>
                        <w:r>
                          <w:rPr>
                            <w:rFonts w:ascii="Verdana"/>
                            <w:spacing w:val="-2"/>
                            <w:sz w:val="22"/>
                          </w:rPr>
                          <w:t> </w:t>
                        </w:r>
                        <w:r>
                          <w:rPr>
                            <w:rFonts w:ascii="Verdana"/>
                            <w:sz w:val="22"/>
                          </w:rPr>
                          <w:t>are</w:t>
                        </w:r>
                        <w:r>
                          <w:rPr>
                            <w:rFonts w:ascii="Verdana"/>
                            <w:spacing w:val="-1"/>
                            <w:sz w:val="22"/>
                          </w:rPr>
                          <w:t> </w:t>
                        </w:r>
                        <w:r>
                          <w:rPr>
                            <w:rFonts w:ascii="Verdana"/>
                            <w:sz w:val="22"/>
                          </w:rPr>
                          <w:t>being</w:t>
                        </w:r>
                        <w:r>
                          <w:rPr>
                            <w:rFonts w:ascii="Verdana"/>
                            <w:spacing w:val="-5"/>
                            <w:sz w:val="22"/>
                          </w:rPr>
                          <w:t> </w:t>
                        </w:r>
                        <w:r>
                          <w:rPr>
                            <w:rFonts w:ascii="Verdana"/>
                            <w:sz w:val="22"/>
                          </w:rPr>
                          <w:t>made</w:t>
                        </w:r>
                        <w:r>
                          <w:rPr>
                            <w:rFonts w:ascii="Verdana"/>
                            <w:spacing w:val="-1"/>
                            <w:sz w:val="22"/>
                          </w:rPr>
                          <w:t> </w:t>
                        </w:r>
                        <w:r>
                          <w:rPr>
                            <w:rFonts w:ascii="Verdana"/>
                            <w:sz w:val="22"/>
                          </w:rPr>
                          <w:t>to</w:t>
                        </w:r>
                        <w:r>
                          <w:rPr>
                            <w:rFonts w:ascii="Verdana"/>
                            <w:spacing w:val="-1"/>
                            <w:sz w:val="22"/>
                          </w:rPr>
                          <w:t> </w:t>
                        </w:r>
                        <w:r>
                          <w:rPr>
                            <w:rFonts w:ascii="Verdana"/>
                            <w:sz w:val="22"/>
                          </w:rPr>
                          <w:t>focus</w:t>
                        </w:r>
                        <w:r>
                          <w:rPr>
                            <w:rFonts w:ascii="Verdana"/>
                            <w:spacing w:val="-2"/>
                            <w:sz w:val="22"/>
                          </w:rPr>
                          <w:t> </w:t>
                        </w:r>
                        <w:r>
                          <w:rPr>
                            <w:rFonts w:ascii="Verdana"/>
                            <w:sz w:val="22"/>
                          </w:rPr>
                          <w:t>available</w:t>
                        </w:r>
                        <w:r>
                          <w:rPr>
                            <w:rFonts w:ascii="Verdana"/>
                            <w:spacing w:val="-1"/>
                            <w:sz w:val="22"/>
                          </w:rPr>
                          <w:t> </w:t>
                        </w:r>
                        <w:r>
                          <w:rPr>
                            <w:rFonts w:ascii="Verdana"/>
                            <w:sz w:val="22"/>
                          </w:rPr>
                          <w:t>programme</w:t>
                        </w:r>
                        <w:r>
                          <w:rPr>
                            <w:rFonts w:ascii="Verdana"/>
                            <w:spacing w:val="-4"/>
                            <w:sz w:val="22"/>
                          </w:rPr>
                          <w:t> </w:t>
                        </w:r>
                        <w:r>
                          <w:rPr>
                            <w:rFonts w:ascii="Verdana"/>
                            <w:sz w:val="22"/>
                          </w:rPr>
                          <w:t>management</w:t>
                        </w:r>
                        <w:r>
                          <w:rPr>
                            <w:rFonts w:ascii="Verdana"/>
                            <w:spacing w:val="-3"/>
                            <w:sz w:val="22"/>
                          </w:rPr>
                          <w:t> </w:t>
                        </w:r>
                        <w:r>
                          <w:rPr>
                            <w:rFonts w:ascii="Verdana"/>
                            <w:sz w:val="22"/>
                          </w:rPr>
                          <w:t>and</w:t>
                        </w:r>
                        <w:r>
                          <w:rPr>
                            <w:rFonts w:ascii="Verdana"/>
                            <w:spacing w:val="-3"/>
                            <w:sz w:val="22"/>
                          </w:rPr>
                          <w:t> </w:t>
                        </w:r>
                        <w:r>
                          <w:rPr>
                            <w:rFonts w:ascii="Verdana"/>
                            <w:sz w:val="22"/>
                          </w:rPr>
                          <w:t>operational</w:t>
                        </w:r>
                        <w:r>
                          <w:rPr>
                            <w:rFonts w:ascii="Verdana"/>
                            <w:spacing w:val="-3"/>
                            <w:sz w:val="22"/>
                          </w:rPr>
                          <w:t> </w:t>
                        </w:r>
                        <w:r>
                          <w:rPr>
                            <w:rFonts w:ascii="Verdana"/>
                            <w:sz w:val="22"/>
                          </w:rPr>
                          <w:t>resource</w:t>
                        </w:r>
                        <w:r>
                          <w:rPr>
                            <w:rFonts w:ascii="Verdana"/>
                            <w:spacing w:val="-1"/>
                            <w:sz w:val="22"/>
                          </w:rPr>
                          <w:t> </w:t>
                        </w:r>
                        <w:r>
                          <w:rPr>
                            <w:rFonts w:ascii="Verdana"/>
                            <w:sz w:val="22"/>
                          </w:rPr>
                          <w:t>on areas of greatest strategic importance and readiness.</w:t>
                        </w:r>
                      </w:p>
                      <w:p>
                        <w:pPr>
                          <w:spacing w:before="119"/>
                          <w:ind w:left="108" w:right="107" w:firstLine="0"/>
                          <w:jc w:val="both"/>
                          <w:rPr>
                            <w:rFonts w:ascii="Verdana"/>
                            <w:sz w:val="22"/>
                          </w:rPr>
                        </w:pPr>
                        <w:r>
                          <w:rPr>
                            <w:rFonts w:ascii="Verdana"/>
                            <w:sz w:val="22"/>
                          </w:rPr>
                          <w:t>The</w:t>
                        </w:r>
                        <w:r>
                          <w:rPr>
                            <w:rFonts w:ascii="Verdana"/>
                            <w:spacing w:val="-11"/>
                            <w:sz w:val="22"/>
                          </w:rPr>
                          <w:t> </w:t>
                        </w:r>
                        <w:r>
                          <w:rPr>
                            <w:rFonts w:ascii="Verdana"/>
                            <w:sz w:val="22"/>
                          </w:rPr>
                          <w:t>RJC</w:t>
                        </w:r>
                        <w:r>
                          <w:rPr>
                            <w:rFonts w:ascii="Verdana"/>
                            <w:spacing w:val="-11"/>
                            <w:sz w:val="22"/>
                          </w:rPr>
                          <w:t> </w:t>
                        </w:r>
                        <w:r>
                          <w:rPr>
                            <w:rFonts w:ascii="Verdana"/>
                            <w:sz w:val="22"/>
                          </w:rPr>
                          <w:t>Programme</w:t>
                        </w:r>
                        <w:r>
                          <w:rPr>
                            <w:rFonts w:ascii="Verdana"/>
                            <w:spacing w:val="-10"/>
                            <w:sz w:val="22"/>
                          </w:rPr>
                          <w:t> </w:t>
                        </w:r>
                        <w:r>
                          <w:rPr>
                            <w:rFonts w:ascii="Verdana"/>
                            <w:sz w:val="22"/>
                          </w:rPr>
                          <w:t>Management</w:t>
                        </w:r>
                        <w:r>
                          <w:rPr>
                            <w:rFonts w:ascii="Verdana"/>
                            <w:spacing w:val="-11"/>
                            <w:sz w:val="22"/>
                          </w:rPr>
                          <w:t> </w:t>
                        </w:r>
                        <w:r>
                          <w:rPr>
                            <w:rFonts w:ascii="Verdana"/>
                            <w:sz w:val="22"/>
                          </w:rPr>
                          <w:t>Office</w:t>
                        </w:r>
                        <w:r>
                          <w:rPr>
                            <w:rFonts w:ascii="Verdana"/>
                            <w:spacing w:val="-10"/>
                            <w:sz w:val="22"/>
                          </w:rPr>
                          <w:t> </w:t>
                        </w:r>
                        <w:r>
                          <w:rPr>
                            <w:rFonts w:ascii="Verdana"/>
                            <w:sz w:val="22"/>
                          </w:rPr>
                          <w:t>(PMO)</w:t>
                        </w:r>
                        <w:r>
                          <w:rPr>
                            <w:rFonts w:ascii="Verdana"/>
                            <w:spacing w:val="-9"/>
                            <w:sz w:val="22"/>
                          </w:rPr>
                          <w:t> </w:t>
                        </w:r>
                        <w:r>
                          <w:rPr>
                            <w:rFonts w:ascii="Verdana"/>
                            <w:sz w:val="22"/>
                          </w:rPr>
                          <w:t>capacity</w:t>
                        </w:r>
                        <w:r>
                          <w:rPr>
                            <w:rFonts w:ascii="Verdana"/>
                            <w:spacing w:val="-13"/>
                            <w:sz w:val="22"/>
                          </w:rPr>
                          <w:t> </w:t>
                        </w:r>
                        <w:r>
                          <w:rPr>
                            <w:rFonts w:ascii="Verdana"/>
                            <w:sz w:val="22"/>
                          </w:rPr>
                          <w:t>is</w:t>
                        </w:r>
                        <w:r>
                          <w:rPr>
                            <w:rFonts w:ascii="Verdana"/>
                            <w:spacing w:val="-10"/>
                            <w:sz w:val="22"/>
                          </w:rPr>
                          <w:t> </w:t>
                        </w:r>
                        <w:r>
                          <w:rPr>
                            <w:rFonts w:ascii="Verdana"/>
                            <w:sz w:val="22"/>
                          </w:rPr>
                          <w:t>directed</w:t>
                        </w:r>
                        <w:r>
                          <w:rPr>
                            <w:rFonts w:ascii="Verdana"/>
                            <w:spacing w:val="-11"/>
                            <w:sz w:val="22"/>
                          </w:rPr>
                          <w:t> </w:t>
                        </w:r>
                        <w:r>
                          <w:rPr>
                            <w:rFonts w:ascii="Verdana"/>
                            <w:sz w:val="22"/>
                          </w:rPr>
                          <w:t>towards</w:t>
                        </w:r>
                        <w:r>
                          <w:rPr>
                            <w:rFonts w:ascii="Verdana"/>
                            <w:spacing w:val="-10"/>
                            <w:sz w:val="22"/>
                          </w:rPr>
                          <w:t> </w:t>
                        </w:r>
                        <w:r>
                          <w:rPr>
                            <w:rFonts w:ascii="Verdana"/>
                            <w:sz w:val="22"/>
                          </w:rPr>
                          <w:t>the</w:t>
                        </w:r>
                        <w:r>
                          <w:rPr>
                            <w:rFonts w:ascii="Verdana"/>
                            <w:spacing w:val="-11"/>
                            <w:sz w:val="22"/>
                          </w:rPr>
                          <w:t> </w:t>
                        </w:r>
                        <w:r>
                          <w:rPr>
                            <w:rFonts w:ascii="Verdana"/>
                            <w:sz w:val="22"/>
                          </w:rPr>
                          <w:t>CSP</w:t>
                        </w:r>
                        <w:r>
                          <w:rPr>
                            <w:rFonts w:ascii="Verdana"/>
                            <w:spacing w:val="-10"/>
                            <w:sz w:val="22"/>
                          </w:rPr>
                          <w:t> </w:t>
                        </w:r>
                        <w:r>
                          <w:rPr>
                            <w:rFonts w:ascii="Verdana"/>
                            <w:sz w:val="22"/>
                          </w:rPr>
                          <w:t>and</w:t>
                        </w:r>
                        <w:r>
                          <w:rPr>
                            <w:rFonts w:ascii="Verdana"/>
                            <w:spacing w:val="-12"/>
                            <w:sz w:val="22"/>
                          </w:rPr>
                          <w:t> </w:t>
                        </w:r>
                        <w:r>
                          <w:rPr>
                            <w:rFonts w:ascii="Verdana"/>
                            <w:sz w:val="22"/>
                          </w:rPr>
                          <w:t>RHE</w:t>
                        </w:r>
                        <w:r>
                          <w:rPr>
                            <w:rFonts w:ascii="Verdana"/>
                            <w:spacing w:val="-11"/>
                            <w:sz w:val="22"/>
                          </w:rPr>
                          <w:t> </w:t>
                        </w:r>
                        <w:r>
                          <w:rPr>
                            <w:rFonts w:ascii="Verdana"/>
                            <w:sz w:val="22"/>
                          </w:rPr>
                          <w:t>portfolios</w:t>
                        </w:r>
                        <w:r>
                          <w:rPr>
                            <w:rFonts w:ascii="Verdana"/>
                            <w:spacing w:val="-10"/>
                            <w:sz w:val="22"/>
                          </w:rPr>
                          <w:t> </w:t>
                        </w:r>
                        <w:r>
                          <w:rPr>
                            <w:rFonts w:ascii="Verdana"/>
                            <w:sz w:val="22"/>
                          </w:rPr>
                          <w:t>and</w:t>
                        </w:r>
                        <w:r>
                          <w:rPr>
                            <w:rFonts w:ascii="Verdana"/>
                            <w:spacing w:val="-6"/>
                            <w:sz w:val="22"/>
                          </w:rPr>
                          <w:t> </w:t>
                        </w:r>
                        <w:r>
                          <w:rPr>
                            <w:rFonts w:ascii="Verdana"/>
                            <w:sz w:val="22"/>
                          </w:rPr>
                          <w:t>delivered</w:t>
                        </w:r>
                        <w:r>
                          <w:rPr>
                            <w:rFonts w:ascii="Verdana"/>
                            <w:spacing w:val="-11"/>
                            <w:sz w:val="22"/>
                          </w:rPr>
                          <w:t> </w:t>
                        </w:r>
                        <w:r>
                          <w:rPr>
                            <w:rFonts w:ascii="Verdana"/>
                            <w:sz w:val="22"/>
                          </w:rPr>
                          <w:t>through</w:t>
                        </w:r>
                        <w:r>
                          <w:rPr>
                            <w:rFonts w:ascii="Verdana"/>
                            <w:spacing w:val="-12"/>
                            <w:sz w:val="22"/>
                          </w:rPr>
                          <w:t> </w:t>
                        </w:r>
                        <w:r>
                          <w:rPr>
                            <w:rFonts w:ascii="Verdana"/>
                            <w:sz w:val="22"/>
                          </w:rPr>
                          <w:t>a</w:t>
                        </w:r>
                        <w:r>
                          <w:rPr>
                            <w:rFonts w:ascii="Verdana"/>
                            <w:spacing w:val="-9"/>
                            <w:sz w:val="22"/>
                          </w:rPr>
                          <w:t> </w:t>
                        </w:r>
                        <w:r>
                          <w:rPr>
                            <w:rFonts w:ascii="Verdana"/>
                            <w:sz w:val="22"/>
                          </w:rPr>
                          <w:t>small</w:t>
                        </w:r>
                        <w:r>
                          <w:rPr>
                            <w:rFonts w:ascii="Verdana"/>
                            <w:spacing w:val="-11"/>
                            <w:sz w:val="22"/>
                          </w:rPr>
                          <w:t> </w:t>
                        </w:r>
                        <w:r>
                          <w:rPr>
                            <w:rFonts w:ascii="Verdana"/>
                            <w:sz w:val="22"/>
                          </w:rPr>
                          <w:t>core</w:t>
                        </w:r>
                        <w:r>
                          <w:rPr>
                            <w:rFonts w:ascii="Verdana"/>
                            <w:spacing w:val="-10"/>
                            <w:sz w:val="22"/>
                          </w:rPr>
                          <w:t> </w:t>
                        </w:r>
                        <w:r>
                          <w:rPr>
                            <w:rFonts w:ascii="Verdana"/>
                            <w:sz w:val="22"/>
                          </w:rPr>
                          <w:t>team. Engagement with national programmes is ongoing to identify additional resources to support its operation.</w:t>
                        </w:r>
                      </w:p>
                    </w:txbxContent>
                  </v:textbox>
                  <w10:wrap type="none"/>
                </v:shape>
                <v:shape style="position:absolute;left:112;top:1582;width:15944;height:2631" type="#_x0000_t202" id="docshape435" filled="false" stroked="true" strokeweight=".47998pt" strokecolor="#000000">
                  <v:textbox inset="0,0,0,0">
                    <w:txbxContent>
                      <w:p>
                        <w:pPr>
                          <w:spacing w:before="119"/>
                          <w:ind w:left="103" w:right="0" w:firstLine="0"/>
                          <w:jc w:val="both"/>
                          <w:rPr>
                            <w:rFonts w:ascii="Verdana"/>
                            <w:b/>
                            <w:sz w:val="22"/>
                          </w:rPr>
                        </w:pPr>
                        <w:r>
                          <w:rPr>
                            <w:rFonts w:ascii="Verdana"/>
                            <w:b/>
                            <w:sz w:val="22"/>
                          </w:rPr>
                          <w:t>Action</w:t>
                        </w:r>
                        <w:r>
                          <w:rPr>
                            <w:rFonts w:ascii="Verdana"/>
                            <w:b/>
                            <w:spacing w:val="-9"/>
                            <w:sz w:val="22"/>
                          </w:rPr>
                          <w:t> </w:t>
                        </w:r>
                        <w:r>
                          <w:rPr>
                            <w:rFonts w:ascii="Verdana"/>
                            <w:b/>
                            <w:sz w:val="22"/>
                          </w:rPr>
                          <w:t>3:</w:t>
                        </w:r>
                        <w:r>
                          <w:rPr>
                            <w:rFonts w:ascii="Verdana"/>
                            <w:b/>
                            <w:spacing w:val="-7"/>
                            <w:sz w:val="22"/>
                          </w:rPr>
                          <w:t> </w:t>
                        </w:r>
                        <w:r>
                          <w:rPr>
                            <w:rFonts w:ascii="Verdana"/>
                            <w:b/>
                            <w:sz w:val="22"/>
                          </w:rPr>
                          <w:t>Strengthen</w:t>
                        </w:r>
                        <w:r>
                          <w:rPr>
                            <w:rFonts w:ascii="Verdana"/>
                            <w:b/>
                            <w:spacing w:val="-6"/>
                            <w:sz w:val="22"/>
                          </w:rPr>
                          <w:t> </w:t>
                        </w:r>
                        <w:r>
                          <w:rPr>
                            <w:rFonts w:ascii="Verdana"/>
                            <w:b/>
                            <w:sz w:val="22"/>
                          </w:rPr>
                          <w:t>formal</w:t>
                        </w:r>
                        <w:r>
                          <w:rPr>
                            <w:rFonts w:ascii="Verdana"/>
                            <w:b/>
                            <w:spacing w:val="-8"/>
                            <w:sz w:val="22"/>
                          </w:rPr>
                          <w:t> </w:t>
                        </w:r>
                        <w:r>
                          <w:rPr>
                            <w:rFonts w:ascii="Verdana"/>
                            <w:b/>
                            <w:sz w:val="22"/>
                          </w:rPr>
                          <w:t>governance</w:t>
                        </w:r>
                        <w:r>
                          <w:rPr>
                            <w:rFonts w:ascii="Verdana"/>
                            <w:b/>
                            <w:spacing w:val="-8"/>
                            <w:sz w:val="22"/>
                          </w:rPr>
                          <w:t> </w:t>
                        </w:r>
                        <w:r>
                          <w:rPr>
                            <w:rFonts w:ascii="Verdana"/>
                            <w:b/>
                            <w:sz w:val="22"/>
                          </w:rPr>
                          <w:t>and</w:t>
                        </w:r>
                        <w:r>
                          <w:rPr>
                            <w:rFonts w:ascii="Verdana"/>
                            <w:b/>
                            <w:spacing w:val="-8"/>
                            <w:sz w:val="22"/>
                          </w:rPr>
                          <w:t> </w:t>
                        </w:r>
                        <w:r>
                          <w:rPr>
                            <w:rFonts w:ascii="Verdana"/>
                            <w:b/>
                            <w:sz w:val="22"/>
                          </w:rPr>
                          <w:t>documentation</w:t>
                        </w:r>
                        <w:r>
                          <w:rPr>
                            <w:rFonts w:ascii="Verdana"/>
                            <w:b/>
                            <w:spacing w:val="-6"/>
                            <w:sz w:val="22"/>
                          </w:rPr>
                          <w:t> </w:t>
                        </w:r>
                        <w:r>
                          <w:rPr>
                            <w:rFonts w:ascii="Verdana"/>
                            <w:b/>
                            <w:spacing w:val="-2"/>
                            <w:sz w:val="22"/>
                          </w:rPr>
                          <w:t>discipline</w:t>
                        </w:r>
                      </w:p>
                      <w:p>
                        <w:pPr>
                          <w:spacing w:before="122"/>
                          <w:ind w:left="103" w:right="99" w:firstLine="0"/>
                          <w:jc w:val="both"/>
                          <w:rPr>
                            <w:rFonts w:ascii="Verdana"/>
                            <w:sz w:val="22"/>
                          </w:rPr>
                        </w:pPr>
                        <w:r>
                          <w:rPr>
                            <w:rFonts w:ascii="Verdana"/>
                            <w:sz w:val="22"/>
                          </w:rPr>
                          <w:t>Formalising and standardising governance arrangements across all subgroups would strengthen documentation discipline. This includes ensuring Terms of Reference are approved, documentation is maintained and up to date, and consistent standards (such as version control and clear articulation of purpose, outputs and responsibilities) are applied.</w:t>
                        </w:r>
                      </w:p>
                      <w:p>
                        <w:pPr>
                          <w:spacing w:before="119"/>
                          <w:ind w:left="103" w:right="98" w:firstLine="0"/>
                          <w:jc w:val="both"/>
                          <w:rPr>
                            <w:rFonts w:ascii="Verdana"/>
                            <w:sz w:val="22"/>
                          </w:rPr>
                        </w:pPr>
                        <w:r>
                          <w:rPr>
                            <w:rFonts w:ascii="Verdana"/>
                            <w:sz w:val="22"/>
                          </w:rPr>
                          <w:t>This</w:t>
                        </w:r>
                        <w:r>
                          <w:rPr>
                            <w:rFonts w:ascii="Verdana"/>
                            <w:spacing w:val="-4"/>
                            <w:sz w:val="22"/>
                          </w:rPr>
                          <w:t> </w:t>
                        </w:r>
                        <w:r>
                          <w:rPr>
                            <w:rFonts w:ascii="Verdana"/>
                            <w:sz w:val="22"/>
                          </w:rPr>
                          <w:t>is</w:t>
                        </w:r>
                        <w:r>
                          <w:rPr>
                            <w:rFonts w:ascii="Verdana"/>
                            <w:spacing w:val="-3"/>
                            <w:sz w:val="22"/>
                          </w:rPr>
                          <w:t> </w:t>
                        </w:r>
                        <w:r>
                          <w:rPr>
                            <w:rFonts w:ascii="Verdana"/>
                            <w:sz w:val="22"/>
                          </w:rPr>
                          <w:t>particularly</w:t>
                        </w:r>
                        <w:r>
                          <w:rPr>
                            <w:rFonts w:ascii="Verdana"/>
                            <w:spacing w:val="-4"/>
                            <w:sz w:val="22"/>
                          </w:rPr>
                          <w:t> </w:t>
                        </w:r>
                        <w:r>
                          <w:rPr>
                            <w:rFonts w:ascii="Verdana"/>
                            <w:sz w:val="22"/>
                          </w:rPr>
                          <w:t>relevant</w:t>
                        </w:r>
                        <w:r>
                          <w:rPr>
                            <w:rFonts w:ascii="Verdana"/>
                            <w:spacing w:val="-5"/>
                            <w:sz w:val="22"/>
                          </w:rPr>
                          <w:t> </w:t>
                        </w:r>
                        <w:r>
                          <w:rPr>
                            <w:rFonts w:ascii="Verdana"/>
                            <w:sz w:val="22"/>
                          </w:rPr>
                          <w:t>where</w:t>
                        </w:r>
                        <w:r>
                          <w:rPr>
                            <w:rFonts w:ascii="Verdana"/>
                            <w:spacing w:val="-3"/>
                            <w:sz w:val="22"/>
                          </w:rPr>
                          <w:t> </w:t>
                        </w:r>
                        <w:r>
                          <w:rPr>
                            <w:rFonts w:ascii="Verdana"/>
                            <w:sz w:val="22"/>
                          </w:rPr>
                          <w:t>documentation</w:t>
                        </w:r>
                        <w:r>
                          <w:rPr>
                            <w:rFonts w:ascii="Verdana"/>
                            <w:spacing w:val="-4"/>
                            <w:sz w:val="22"/>
                          </w:rPr>
                          <w:t> </w:t>
                        </w:r>
                        <w:r>
                          <w:rPr>
                            <w:rFonts w:ascii="Verdana"/>
                            <w:sz w:val="22"/>
                          </w:rPr>
                          <w:t>is</w:t>
                        </w:r>
                        <w:r>
                          <w:rPr>
                            <w:rFonts w:ascii="Verdana"/>
                            <w:spacing w:val="-3"/>
                            <w:sz w:val="22"/>
                          </w:rPr>
                          <w:t> </w:t>
                        </w:r>
                        <w:r>
                          <w:rPr>
                            <w:rFonts w:ascii="Verdana"/>
                            <w:sz w:val="22"/>
                          </w:rPr>
                          <w:t>limited</w:t>
                        </w:r>
                        <w:r>
                          <w:rPr>
                            <w:rFonts w:ascii="Verdana"/>
                            <w:spacing w:val="-5"/>
                            <w:sz w:val="22"/>
                          </w:rPr>
                          <w:t> </w:t>
                        </w:r>
                        <w:r>
                          <w:rPr>
                            <w:rFonts w:ascii="Verdana"/>
                            <w:sz w:val="22"/>
                          </w:rPr>
                          <w:t>or</w:t>
                        </w:r>
                        <w:r>
                          <w:rPr>
                            <w:rFonts w:ascii="Verdana"/>
                            <w:spacing w:val="-4"/>
                            <w:sz w:val="22"/>
                          </w:rPr>
                          <w:t> </w:t>
                        </w:r>
                        <w:r>
                          <w:rPr>
                            <w:rFonts w:ascii="Verdana"/>
                            <w:sz w:val="22"/>
                          </w:rPr>
                          <w:t>not</w:t>
                        </w:r>
                        <w:r>
                          <w:rPr>
                            <w:rFonts w:ascii="Verdana"/>
                            <w:spacing w:val="-4"/>
                            <w:sz w:val="22"/>
                          </w:rPr>
                          <w:t> </w:t>
                        </w:r>
                        <w:r>
                          <w:rPr>
                            <w:rFonts w:ascii="Verdana"/>
                            <w:sz w:val="22"/>
                          </w:rPr>
                          <w:t>fully</w:t>
                        </w:r>
                        <w:r>
                          <w:rPr>
                            <w:rFonts w:ascii="Verdana"/>
                            <w:spacing w:val="-2"/>
                            <w:sz w:val="22"/>
                          </w:rPr>
                          <w:t> </w:t>
                        </w:r>
                        <w:r>
                          <w:rPr>
                            <w:rFonts w:ascii="Verdana"/>
                            <w:sz w:val="22"/>
                          </w:rPr>
                          <w:t>developed,</w:t>
                        </w:r>
                        <w:r>
                          <w:rPr>
                            <w:rFonts w:ascii="Verdana"/>
                            <w:spacing w:val="-3"/>
                            <w:sz w:val="22"/>
                          </w:rPr>
                          <w:t> </w:t>
                        </w:r>
                        <w:r>
                          <w:rPr>
                            <w:rFonts w:ascii="Verdana"/>
                            <w:sz w:val="22"/>
                          </w:rPr>
                          <w:t>for</w:t>
                        </w:r>
                        <w:r>
                          <w:rPr>
                            <w:rFonts w:ascii="Verdana"/>
                            <w:spacing w:val="-4"/>
                            <w:sz w:val="22"/>
                          </w:rPr>
                          <w:t> </w:t>
                        </w:r>
                        <w:r>
                          <w:rPr>
                            <w:rFonts w:ascii="Verdana"/>
                            <w:sz w:val="22"/>
                          </w:rPr>
                          <w:t>example</w:t>
                        </w:r>
                        <w:r>
                          <w:rPr>
                            <w:rFonts w:ascii="Verdana"/>
                            <w:spacing w:val="-3"/>
                            <w:sz w:val="22"/>
                          </w:rPr>
                          <w:t> </w:t>
                        </w:r>
                        <w:r>
                          <w:rPr>
                            <w:rFonts w:ascii="Verdana"/>
                            <w:sz w:val="22"/>
                          </w:rPr>
                          <w:t>within</w:t>
                        </w:r>
                        <w:r>
                          <w:rPr>
                            <w:rFonts w:ascii="Verdana"/>
                            <w:spacing w:val="-4"/>
                            <w:sz w:val="22"/>
                          </w:rPr>
                          <w:t> </w:t>
                        </w:r>
                        <w:r>
                          <w:rPr>
                            <w:rFonts w:ascii="Verdana"/>
                            <w:sz w:val="22"/>
                          </w:rPr>
                          <w:t>the</w:t>
                        </w:r>
                        <w:r>
                          <w:rPr>
                            <w:rFonts w:ascii="Verdana"/>
                            <w:spacing w:val="-3"/>
                            <w:sz w:val="22"/>
                          </w:rPr>
                          <w:t> </w:t>
                        </w:r>
                        <w:r>
                          <w:rPr>
                            <w:rFonts w:ascii="Verdana"/>
                            <w:sz w:val="22"/>
                          </w:rPr>
                          <w:t>Finance</w:t>
                        </w:r>
                        <w:r>
                          <w:rPr>
                            <w:rFonts w:ascii="Verdana"/>
                            <w:spacing w:val="-3"/>
                            <w:sz w:val="22"/>
                          </w:rPr>
                          <w:t> </w:t>
                        </w:r>
                        <w:r>
                          <w:rPr>
                            <w:rFonts w:ascii="Verdana"/>
                            <w:sz w:val="22"/>
                          </w:rPr>
                          <w:t>and</w:t>
                        </w:r>
                        <w:r>
                          <w:rPr>
                            <w:rFonts w:ascii="Verdana"/>
                            <w:spacing w:val="-5"/>
                            <w:sz w:val="22"/>
                          </w:rPr>
                          <w:t> </w:t>
                        </w:r>
                        <w:r>
                          <w:rPr>
                            <w:rFonts w:ascii="Verdana"/>
                            <w:sz w:val="22"/>
                          </w:rPr>
                          <w:t>Contracting sub-group, where</w:t>
                        </w:r>
                        <w:r>
                          <w:rPr>
                            <w:rFonts w:ascii="Verdana"/>
                            <w:spacing w:val="-14"/>
                            <w:sz w:val="22"/>
                          </w:rPr>
                          <w:t> </w:t>
                        </w:r>
                        <w:r>
                          <w:rPr>
                            <w:rFonts w:ascii="Verdana"/>
                            <w:sz w:val="22"/>
                          </w:rPr>
                          <w:t>work</w:t>
                        </w:r>
                        <w:r>
                          <w:rPr>
                            <w:rFonts w:ascii="Verdana"/>
                            <w:spacing w:val="-15"/>
                            <w:sz w:val="22"/>
                          </w:rPr>
                          <w:t> </w:t>
                        </w:r>
                        <w:r>
                          <w:rPr>
                            <w:rFonts w:ascii="Verdana"/>
                            <w:sz w:val="22"/>
                          </w:rPr>
                          <w:t>programme</w:t>
                        </w:r>
                        <w:r>
                          <w:rPr>
                            <w:rFonts w:ascii="Verdana"/>
                            <w:spacing w:val="-14"/>
                            <w:sz w:val="22"/>
                          </w:rPr>
                          <w:t> </w:t>
                        </w:r>
                        <w:r>
                          <w:rPr>
                            <w:rFonts w:ascii="Verdana"/>
                            <w:sz w:val="22"/>
                          </w:rPr>
                          <w:t>documentation</w:t>
                        </w:r>
                        <w:r>
                          <w:rPr>
                            <w:rFonts w:ascii="Verdana"/>
                            <w:spacing w:val="-15"/>
                            <w:sz w:val="22"/>
                          </w:rPr>
                          <w:t> </w:t>
                        </w:r>
                        <w:r>
                          <w:rPr>
                            <w:rFonts w:ascii="Verdana"/>
                            <w:sz w:val="22"/>
                          </w:rPr>
                          <w:t>does</w:t>
                        </w:r>
                        <w:r>
                          <w:rPr>
                            <w:rFonts w:ascii="Verdana"/>
                            <w:spacing w:val="-13"/>
                            <w:sz w:val="22"/>
                          </w:rPr>
                          <w:t> </w:t>
                        </w:r>
                        <w:r>
                          <w:rPr>
                            <w:rFonts w:ascii="Verdana"/>
                            <w:sz w:val="22"/>
                          </w:rPr>
                          <w:t>not</w:t>
                        </w:r>
                        <w:r>
                          <w:rPr>
                            <w:rFonts w:ascii="Verdana"/>
                            <w:spacing w:val="-15"/>
                            <w:sz w:val="22"/>
                          </w:rPr>
                          <w:t> </w:t>
                        </w:r>
                        <w:r>
                          <w:rPr>
                            <w:rFonts w:ascii="Verdana"/>
                            <w:sz w:val="22"/>
                          </w:rPr>
                          <w:t>consistently</w:t>
                        </w:r>
                        <w:r>
                          <w:rPr>
                            <w:rFonts w:ascii="Verdana"/>
                            <w:spacing w:val="-15"/>
                            <w:sz w:val="22"/>
                          </w:rPr>
                          <w:t> </w:t>
                        </w:r>
                        <w:r>
                          <w:rPr>
                            <w:rFonts w:ascii="Verdana"/>
                            <w:sz w:val="22"/>
                          </w:rPr>
                          <w:t>set</w:t>
                        </w:r>
                        <w:r>
                          <w:rPr>
                            <w:rFonts w:ascii="Verdana"/>
                            <w:spacing w:val="-17"/>
                            <w:sz w:val="22"/>
                          </w:rPr>
                          <w:t> </w:t>
                        </w:r>
                        <w:r>
                          <w:rPr>
                            <w:rFonts w:ascii="Verdana"/>
                            <w:sz w:val="22"/>
                          </w:rPr>
                          <w:t>out</w:t>
                        </w:r>
                        <w:r>
                          <w:rPr>
                            <w:rFonts w:ascii="Verdana"/>
                            <w:spacing w:val="-15"/>
                            <w:sz w:val="22"/>
                          </w:rPr>
                          <w:t> </w:t>
                        </w:r>
                        <w:r>
                          <w:rPr>
                            <w:rFonts w:ascii="Verdana"/>
                            <w:sz w:val="22"/>
                          </w:rPr>
                          <w:t>defined</w:t>
                        </w:r>
                        <w:r>
                          <w:rPr>
                            <w:rFonts w:ascii="Verdana"/>
                            <w:spacing w:val="-14"/>
                            <w:sz w:val="22"/>
                          </w:rPr>
                          <w:t> </w:t>
                        </w:r>
                        <w:r>
                          <w:rPr>
                            <w:rFonts w:ascii="Verdana"/>
                            <w:sz w:val="22"/>
                          </w:rPr>
                          <w:t>outputs,</w:t>
                        </w:r>
                        <w:r>
                          <w:rPr>
                            <w:rFonts w:ascii="Verdana"/>
                            <w:spacing w:val="-11"/>
                            <w:sz w:val="22"/>
                          </w:rPr>
                          <w:t> </w:t>
                        </w:r>
                        <w:r>
                          <w:rPr>
                            <w:rFonts w:ascii="Verdana"/>
                            <w:sz w:val="22"/>
                          </w:rPr>
                          <w:t>milestones</w:t>
                        </w:r>
                        <w:r>
                          <w:rPr>
                            <w:rFonts w:ascii="Verdana"/>
                            <w:spacing w:val="-13"/>
                            <w:sz w:val="22"/>
                          </w:rPr>
                          <w:t> </w:t>
                        </w:r>
                        <w:r>
                          <w:rPr>
                            <w:rFonts w:ascii="Verdana"/>
                            <w:sz w:val="22"/>
                          </w:rPr>
                          <w:t>or</w:t>
                        </w:r>
                        <w:r>
                          <w:rPr>
                            <w:rFonts w:ascii="Verdana"/>
                            <w:spacing w:val="-14"/>
                            <w:sz w:val="22"/>
                          </w:rPr>
                          <w:t> </w:t>
                        </w:r>
                        <w:r>
                          <w:rPr>
                            <w:rFonts w:ascii="Verdana"/>
                            <w:sz w:val="22"/>
                          </w:rPr>
                          <w:t>delivery</w:t>
                        </w:r>
                        <w:r>
                          <w:rPr>
                            <w:rFonts w:ascii="Verdana"/>
                            <w:spacing w:val="-15"/>
                            <w:sz w:val="22"/>
                          </w:rPr>
                          <w:t> </w:t>
                        </w:r>
                        <w:r>
                          <w:rPr>
                            <w:rFonts w:ascii="Verdana"/>
                            <w:sz w:val="22"/>
                          </w:rPr>
                          <w:t>timescales.</w:t>
                        </w:r>
                        <w:r>
                          <w:rPr>
                            <w:rFonts w:ascii="Verdana"/>
                            <w:spacing w:val="-13"/>
                            <w:sz w:val="22"/>
                          </w:rPr>
                          <w:t> </w:t>
                        </w:r>
                        <w:r>
                          <w:rPr>
                            <w:rFonts w:ascii="Verdana"/>
                            <w:sz w:val="22"/>
                          </w:rPr>
                          <w:t>This</w:t>
                        </w:r>
                        <w:r>
                          <w:rPr>
                            <w:rFonts w:ascii="Verdana"/>
                            <w:spacing w:val="-15"/>
                            <w:sz w:val="22"/>
                          </w:rPr>
                          <w:t> </w:t>
                        </w:r>
                        <w:r>
                          <w:rPr>
                            <w:rFonts w:ascii="Verdana"/>
                            <w:sz w:val="22"/>
                          </w:rPr>
                          <w:t>could</w:t>
                        </w:r>
                        <w:r>
                          <w:rPr>
                            <w:rFonts w:ascii="Verdana"/>
                            <w:spacing w:val="-13"/>
                            <w:sz w:val="22"/>
                          </w:rPr>
                          <w:t> </w:t>
                        </w:r>
                        <w:r>
                          <w:rPr>
                            <w:rFonts w:ascii="Verdana"/>
                            <w:sz w:val="22"/>
                          </w:rPr>
                          <w:t>also</w:t>
                        </w:r>
                        <w:r>
                          <w:rPr>
                            <w:rFonts w:ascii="Verdana"/>
                            <w:spacing w:val="-14"/>
                            <w:sz w:val="22"/>
                          </w:rPr>
                          <w:t> </w:t>
                        </w:r>
                        <w:r>
                          <w:rPr>
                            <w:rFonts w:ascii="Verdana"/>
                            <w:sz w:val="22"/>
                          </w:rPr>
                          <w:t>include updating legacy references (e.g. ARCH within CSP documentation) and ensuring governance documentation accurately reflects current operating arrangements.</w:t>
                        </w:r>
                      </w:p>
                    </w:txbxContent>
                  </v:textbox>
                  <v:stroke dashstyle="solid"/>
                  <w10:wrap type="none"/>
                </v:shape>
              </v:group>
            </w:pict>
          </mc:Fallback>
        </mc:AlternateContent>
      </w:r>
      <w:r>
        <w:rPr>
          <w:rFonts w:ascii="Calibri"/>
          <w:sz w:val="20"/>
        </w:rPr>
      </w: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spacing w:before="54"/>
        <w:rPr>
          <w:rFonts w:ascii="Calibri"/>
          <w:b/>
          <w:sz w:val="20"/>
        </w:rPr>
      </w:pPr>
      <w:r>
        <w:rPr>
          <w:rFonts w:ascii="Calibri"/>
          <w:b/>
          <w:sz w:val="20"/>
        </w:rPr>
        <mc:AlternateContent>
          <mc:Choice Requires="wps">
            <w:drawing>
              <wp:anchor distT="0" distB="0" distL="0" distR="0" allowOverlap="1" layoutInCell="1" locked="0" behindDoc="1" simplePos="0" relativeHeight="487723008">
                <wp:simplePos x="0" y="0"/>
                <wp:positionH relativeFrom="page">
                  <wp:posOffset>10068814</wp:posOffset>
                </wp:positionH>
                <wp:positionV relativeFrom="paragraph">
                  <wp:posOffset>204941</wp:posOffset>
                </wp:positionV>
                <wp:extent cx="419734" cy="6350"/>
                <wp:effectExtent l="0" t="0" r="0" b="0"/>
                <wp:wrapTopAndBottom/>
                <wp:docPr id="673" name="Graphic 673"/>
                <wp:cNvGraphicFramePr>
                  <a:graphicFrameLocks/>
                </wp:cNvGraphicFramePr>
                <a:graphic>
                  <a:graphicData uri="http://schemas.microsoft.com/office/word/2010/wordprocessingShape">
                    <wps:wsp>
                      <wps:cNvPr id="673" name="Graphic 673"/>
                      <wps:cNvSpPr/>
                      <wps:spPr>
                        <a:xfrm>
                          <a:off x="0" y="0"/>
                          <a:ext cx="419734" cy="6350"/>
                        </a:xfrm>
                        <a:custGeom>
                          <a:avLst/>
                          <a:gdLst/>
                          <a:ahLst/>
                          <a:cxnLst/>
                          <a:rect l="l" t="t" r="r" b="b"/>
                          <a:pathLst>
                            <a:path w="419734" h="6350">
                              <a:moveTo>
                                <a:pt x="419404" y="0"/>
                              </a:moveTo>
                              <a:lnTo>
                                <a:pt x="0" y="0"/>
                              </a:lnTo>
                              <a:lnTo>
                                <a:pt x="0" y="6096"/>
                              </a:lnTo>
                              <a:lnTo>
                                <a:pt x="419404" y="6096"/>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820007pt;margin-top:16.137127pt;width:33.024pt;height:.48004pt;mso-position-horizontal-relative:page;mso-position-vertical-relative:paragraph;z-index:-15593472;mso-wrap-distance-left:0;mso-wrap-distance-right:0" id="docshape436" filled="true" fillcolor="#7e7e7e" stroked="false">
                <v:fill type="solid"/>
                <w10:wrap type="topAndBottom"/>
              </v:rect>
            </w:pict>
          </mc:Fallback>
        </mc:AlternateContent>
      </w:r>
    </w:p>
    <w:p>
      <w:pPr>
        <w:spacing w:before="18"/>
        <w:ind w:left="0" w:right="453" w:firstLine="0"/>
        <w:jc w:val="right"/>
        <w:rPr>
          <w:rFonts w:ascii="Calibri"/>
          <w:b/>
          <w:sz w:val="22"/>
        </w:rPr>
      </w:pPr>
      <w:r>
        <w:rPr>
          <w:rFonts w:ascii="Calibri"/>
          <w:b/>
          <w:color w:val="001F5F"/>
          <w:spacing w:val="-10"/>
          <w:sz w:val="22"/>
        </w:rPr>
        <w:t>6</w:t>
      </w:r>
    </w:p>
    <w:p>
      <w:pPr>
        <w:spacing w:after="0"/>
        <w:jc w:val="right"/>
        <w:rPr>
          <w:rFonts w:ascii="Calibri"/>
          <w:b/>
          <w:sz w:val="22"/>
        </w:rPr>
        <w:sectPr>
          <w:footerReference w:type="default" r:id="rId96"/>
          <w:pgSz w:w="16840" w:h="11910" w:orient="landscape"/>
          <w:pgMar w:header="0" w:footer="0" w:top="340" w:bottom="0" w:left="141" w:right="141"/>
        </w:sectPr>
      </w:pPr>
    </w:p>
    <w:tbl>
      <w:tblPr>
        <w:tblW w:w="0" w:type="auto"/>
        <w:jc w:val="left"/>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9"/>
        <w:gridCol w:w="15939"/>
        <w:gridCol w:w="113"/>
      </w:tblGrid>
      <w:tr>
        <w:trPr>
          <w:trHeight w:val="775" w:hRule="atLeast"/>
        </w:trPr>
        <w:tc>
          <w:tcPr>
            <w:tcW w:w="16201" w:type="dxa"/>
            <w:gridSpan w:val="3"/>
            <w:shd w:val="clear" w:color="auto" w:fill="001F5F"/>
          </w:tcPr>
          <w:p>
            <w:pPr>
              <w:pStyle w:val="TableParagraph"/>
              <w:spacing w:before="119"/>
              <w:ind w:left="108"/>
              <w:rPr>
                <w:rFonts w:ascii="Verdana"/>
                <w:b/>
                <w:sz w:val="22"/>
              </w:rPr>
            </w:pPr>
            <w:r>
              <w:rPr>
                <w:rFonts w:ascii="Verdana"/>
                <w:b/>
                <w:color w:val="FFFFFF"/>
                <w:sz w:val="22"/>
              </w:rPr>
              <w:t>Objective</w:t>
            </w:r>
            <w:r>
              <w:rPr>
                <w:rFonts w:ascii="Verdana"/>
                <w:b/>
                <w:color w:val="FFFFFF"/>
                <w:spacing w:val="-8"/>
                <w:sz w:val="22"/>
              </w:rPr>
              <w:t> </w:t>
            </w:r>
            <w:r>
              <w:rPr>
                <w:rFonts w:ascii="Verdana"/>
                <w:b/>
                <w:color w:val="FFFFFF"/>
                <w:sz w:val="22"/>
              </w:rPr>
              <w:t>3:</w:t>
            </w:r>
            <w:r>
              <w:rPr>
                <w:rFonts w:ascii="Verdana"/>
                <w:b/>
                <w:color w:val="FFFFFF"/>
                <w:spacing w:val="-8"/>
                <w:sz w:val="22"/>
              </w:rPr>
              <w:t> </w:t>
            </w:r>
            <w:r>
              <w:rPr>
                <w:rFonts w:ascii="Verdana"/>
                <w:b/>
                <w:color w:val="FFFFFF"/>
                <w:sz w:val="22"/>
              </w:rPr>
              <w:t>The</w:t>
            </w:r>
            <w:r>
              <w:rPr>
                <w:rFonts w:ascii="Verdana"/>
                <w:b/>
                <w:color w:val="FFFFFF"/>
                <w:spacing w:val="-8"/>
                <w:sz w:val="22"/>
              </w:rPr>
              <w:t> </w:t>
            </w:r>
            <w:r>
              <w:rPr>
                <w:rFonts w:ascii="Verdana"/>
                <w:b/>
                <w:color w:val="FFFFFF"/>
                <w:sz w:val="22"/>
              </w:rPr>
              <w:t>Health</w:t>
            </w:r>
            <w:r>
              <w:rPr>
                <w:rFonts w:ascii="Verdana"/>
                <w:b/>
                <w:color w:val="FFFFFF"/>
                <w:spacing w:val="-7"/>
                <w:sz w:val="22"/>
              </w:rPr>
              <w:t> </w:t>
            </w:r>
            <w:r>
              <w:rPr>
                <w:rFonts w:ascii="Verdana"/>
                <w:b/>
                <w:color w:val="FFFFFF"/>
                <w:sz w:val="22"/>
              </w:rPr>
              <w:t>Boards</w:t>
            </w:r>
            <w:r>
              <w:rPr>
                <w:rFonts w:ascii="Verdana"/>
                <w:b/>
                <w:color w:val="FFFFFF"/>
                <w:spacing w:val="-8"/>
                <w:sz w:val="22"/>
              </w:rPr>
              <w:t> </w:t>
            </w:r>
            <w:r>
              <w:rPr>
                <w:rFonts w:ascii="Verdana"/>
                <w:b/>
                <w:color w:val="FFFFFF"/>
                <w:sz w:val="22"/>
              </w:rPr>
              <w:t>receive</w:t>
            </w:r>
            <w:r>
              <w:rPr>
                <w:rFonts w:ascii="Verdana"/>
                <w:b/>
                <w:color w:val="FFFFFF"/>
                <w:spacing w:val="-10"/>
                <w:sz w:val="22"/>
              </w:rPr>
              <w:t> </w:t>
            </w:r>
            <w:r>
              <w:rPr>
                <w:rFonts w:ascii="Verdana"/>
                <w:b/>
                <w:color w:val="FFFFFF"/>
                <w:sz w:val="22"/>
              </w:rPr>
              <w:t>sufficient</w:t>
            </w:r>
            <w:r>
              <w:rPr>
                <w:rFonts w:ascii="Verdana"/>
                <w:b/>
                <w:color w:val="FFFFFF"/>
                <w:spacing w:val="-8"/>
                <w:sz w:val="22"/>
              </w:rPr>
              <w:t> </w:t>
            </w:r>
            <w:r>
              <w:rPr>
                <w:rFonts w:ascii="Verdana"/>
                <w:b/>
                <w:color w:val="FFFFFF"/>
                <w:sz w:val="22"/>
              </w:rPr>
              <w:t>information</w:t>
            </w:r>
            <w:r>
              <w:rPr>
                <w:rFonts w:ascii="Verdana"/>
                <w:b/>
                <w:color w:val="FFFFFF"/>
                <w:spacing w:val="-8"/>
                <w:sz w:val="22"/>
              </w:rPr>
              <w:t> </w:t>
            </w:r>
            <w:r>
              <w:rPr>
                <w:rFonts w:ascii="Verdana"/>
                <w:b/>
                <w:color w:val="FFFFFF"/>
                <w:sz w:val="22"/>
              </w:rPr>
              <w:t>to</w:t>
            </w:r>
            <w:r>
              <w:rPr>
                <w:rFonts w:ascii="Verdana"/>
                <w:b/>
                <w:color w:val="FFFFFF"/>
                <w:spacing w:val="-8"/>
                <w:sz w:val="22"/>
              </w:rPr>
              <w:t> </w:t>
            </w:r>
            <w:r>
              <w:rPr>
                <w:rFonts w:ascii="Verdana"/>
                <w:b/>
                <w:color w:val="FFFFFF"/>
                <w:sz w:val="22"/>
              </w:rPr>
              <w:t>enable</w:t>
            </w:r>
            <w:r>
              <w:rPr>
                <w:rFonts w:ascii="Verdana"/>
                <w:b/>
                <w:color w:val="FFFFFF"/>
                <w:spacing w:val="-8"/>
                <w:sz w:val="22"/>
              </w:rPr>
              <w:t> </w:t>
            </w:r>
            <w:r>
              <w:rPr>
                <w:rFonts w:ascii="Verdana"/>
                <w:b/>
                <w:color w:val="FFFFFF"/>
                <w:sz w:val="22"/>
              </w:rPr>
              <w:t>effective</w:t>
            </w:r>
            <w:r>
              <w:rPr>
                <w:rFonts w:ascii="Verdana"/>
                <w:b/>
                <w:color w:val="FFFFFF"/>
                <w:spacing w:val="-8"/>
                <w:sz w:val="22"/>
              </w:rPr>
              <w:t> </w:t>
            </w:r>
            <w:r>
              <w:rPr>
                <w:rFonts w:ascii="Verdana"/>
                <w:b/>
                <w:color w:val="FFFFFF"/>
                <w:sz w:val="22"/>
              </w:rPr>
              <w:t>oversight,</w:t>
            </w:r>
            <w:r>
              <w:rPr>
                <w:rFonts w:ascii="Verdana"/>
                <w:b/>
                <w:color w:val="FFFFFF"/>
                <w:spacing w:val="-9"/>
                <w:sz w:val="22"/>
              </w:rPr>
              <w:t> </w:t>
            </w:r>
            <w:r>
              <w:rPr>
                <w:rFonts w:ascii="Verdana"/>
                <w:b/>
                <w:color w:val="FFFFFF"/>
                <w:sz w:val="22"/>
              </w:rPr>
              <w:t>decision-making</w:t>
            </w:r>
            <w:r>
              <w:rPr>
                <w:rFonts w:ascii="Verdana"/>
                <w:b/>
                <w:color w:val="FFFFFF"/>
                <w:spacing w:val="-9"/>
                <w:sz w:val="22"/>
              </w:rPr>
              <w:t> </w:t>
            </w:r>
            <w:r>
              <w:rPr>
                <w:rFonts w:ascii="Verdana"/>
                <w:b/>
                <w:color w:val="FFFFFF"/>
                <w:sz w:val="22"/>
              </w:rPr>
              <w:t>and</w:t>
            </w:r>
            <w:r>
              <w:rPr>
                <w:rFonts w:ascii="Verdana"/>
                <w:b/>
                <w:color w:val="FFFFFF"/>
                <w:spacing w:val="-9"/>
                <w:sz w:val="22"/>
              </w:rPr>
              <w:t> </w:t>
            </w:r>
            <w:r>
              <w:rPr>
                <w:rFonts w:ascii="Verdana"/>
                <w:b/>
                <w:color w:val="FFFFFF"/>
                <w:sz w:val="22"/>
              </w:rPr>
              <w:t>escalation</w:t>
            </w:r>
            <w:r>
              <w:rPr>
                <w:rFonts w:ascii="Verdana"/>
                <w:b/>
                <w:color w:val="FFFFFF"/>
                <w:spacing w:val="-8"/>
                <w:sz w:val="22"/>
              </w:rPr>
              <w:t> </w:t>
            </w:r>
            <w:r>
              <w:rPr>
                <w:rFonts w:ascii="Verdana"/>
                <w:b/>
                <w:color w:val="FFFFFF"/>
                <w:sz w:val="22"/>
              </w:rPr>
              <w:t>of</w:t>
            </w:r>
            <w:r>
              <w:rPr>
                <w:rFonts w:ascii="Verdana"/>
                <w:b/>
                <w:color w:val="FFFFFF"/>
                <w:spacing w:val="-8"/>
                <w:sz w:val="22"/>
              </w:rPr>
              <w:t> </w:t>
            </w:r>
            <w:r>
              <w:rPr>
                <w:rFonts w:ascii="Verdana"/>
                <w:b/>
                <w:color w:val="FFFFFF"/>
                <w:sz w:val="22"/>
              </w:rPr>
              <w:t>key risks and issues.</w:t>
            </w:r>
          </w:p>
        </w:tc>
      </w:tr>
      <w:tr>
        <w:trPr>
          <w:trHeight w:val="8581" w:hRule="atLeast"/>
        </w:trPr>
        <w:tc>
          <w:tcPr>
            <w:tcW w:w="16201" w:type="dxa"/>
            <w:gridSpan w:val="3"/>
            <w:tcBorders>
              <w:bottom w:val="single" w:sz="4" w:space="0" w:color="000000"/>
            </w:tcBorders>
            <w:shd w:val="clear" w:color="auto" w:fill="FFFFFF"/>
          </w:tcPr>
          <w:p>
            <w:pPr>
              <w:pStyle w:val="TableParagraph"/>
              <w:spacing w:before="120"/>
              <w:ind w:left="108" w:right="103"/>
              <w:jc w:val="both"/>
              <w:rPr>
                <w:rFonts w:ascii="Verdana" w:hAnsi="Verdana"/>
                <w:sz w:val="22"/>
              </w:rPr>
            </w:pPr>
            <w:r>
              <w:rPr>
                <w:rFonts w:ascii="Verdana" w:hAnsi="Verdana"/>
                <w:sz w:val="22"/>
              </w:rPr>
              <w:t>Review</w:t>
            </w:r>
            <w:r>
              <w:rPr>
                <w:rFonts w:ascii="Verdana" w:hAnsi="Verdana"/>
                <w:spacing w:val="-13"/>
                <w:sz w:val="22"/>
              </w:rPr>
              <w:t> </w:t>
            </w:r>
            <w:r>
              <w:rPr>
                <w:rFonts w:ascii="Verdana" w:hAnsi="Verdana"/>
                <w:sz w:val="22"/>
              </w:rPr>
              <w:t>of</w:t>
            </w:r>
            <w:r>
              <w:rPr>
                <w:rFonts w:ascii="Verdana" w:hAnsi="Verdana"/>
                <w:spacing w:val="-12"/>
                <w:sz w:val="22"/>
              </w:rPr>
              <w:t> </w:t>
            </w:r>
            <w:r>
              <w:rPr>
                <w:rFonts w:ascii="Verdana" w:hAnsi="Verdana"/>
                <w:sz w:val="22"/>
              </w:rPr>
              <w:t>RJC</w:t>
            </w:r>
            <w:r>
              <w:rPr>
                <w:rFonts w:ascii="Verdana" w:hAnsi="Verdana"/>
                <w:spacing w:val="-14"/>
                <w:sz w:val="22"/>
              </w:rPr>
              <w:t> </w:t>
            </w:r>
            <w:r>
              <w:rPr>
                <w:rFonts w:ascii="Verdana" w:hAnsi="Verdana"/>
                <w:sz w:val="22"/>
              </w:rPr>
              <w:t>meeting</w:t>
            </w:r>
            <w:r>
              <w:rPr>
                <w:rFonts w:ascii="Verdana" w:hAnsi="Verdana"/>
                <w:spacing w:val="-12"/>
                <w:sz w:val="22"/>
              </w:rPr>
              <w:t> </w:t>
            </w:r>
            <w:r>
              <w:rPr>
                <w:rFonts w:ascii="Verdana" w:hAnsi="Verdana"/>
                <w:sz w:val="22"/>
              </w:rPr>
              <w:t>papers</w:t>
            </w:r>
            <w:r>
              <w:rPr>
                <w:rFonts w:ascii="Verdana" w:hAnsi="Verdana"/>
                <w:spacing w:val="-12"/>
                <w:sz w:val="22"/>
              </w:rPr>
              <w:t> </w:t>
            </w:r>
            <w:r>
              <w:rPr>
                <w:rFonts w:ascii="Verdana" w:hAnsi="Verdana"/>
                <w:sz w:val="22"/>
              </w:rPr>
              <w:t>(January,</w:t>
            </w:r>
            <w:r>
              <w:rPr>
                <w:rFonts w:ascii="Verdana" w:hAnsi="Verdana"/>
                <w:spacing w:val="-13"/>
                <w:sz w:val="22"/>
              </w:rPr>
              <w:t> </w:t>
            </w:r>
            <w:r>
              <w:rPr>
                <w:rFonts w:ascii="Verdana" w:hAnsi="Verdana"/>
                <w:sz w:val="22"/>
              </w:rPr>
              <w:t>May</w:t>
            </w:r>
            <w:r>
              <w:rPr>
                <w:rFonts w:ascii="Verdana" w:hAnsi="Verdana"/>
                <w:spacing w:val="-13"/>
                <w:sz w:val="22"/>
              </w:rPr>
              <w:t> </w:t>
            </w:r>
            <w:r>
              <w:rPr>
                <w:rFonts w:ascii="Verdana" w:hAnsi="Verdana"/>
                <w:sz w:val="22"/>
              </w:rPr>
              <w:t>and</w:t>
            </w:r>
            <w:r>
              <w:rPr>
                <w:rFonts w:ascii="Verdana" w:hAnsi="Verdana"/>
                <w:spacing w:val="-13"/>
                <w:sz w:val="22"/>
              </w:rPr>
              <w:t> </w:t>
            </w:r>
            <w:r>
              <w:rPr>
                <w:rFonts w:ascii="Verdana" w:hAnsi="Verdana"/>
                <w:sz w:val="22"/>
              </w:rPr>
              <w:t>August</w:t>
            </w:r>
            <w:r>
              <w:rPr>
                <w:rFonts w:ascii="Verdana" w:hAnsi="Verdana"/>
                <w:spacing w:val="-11"/>
                <w:sz w:val="22"/>
              </w:rPr>
              <w:t> </w:t>
            </w:r>
            <w:r>
              <w:rPr>
                <w:rFonts w:ascii="Verdana" w:hAnsi="Verdana"/>
                <w:sz w:val="22"/>
              </w:rPr>
              <w:t>2025;</w:t>
            </w:r>
            <w:r>
              <w:rPr>
                <w:rFonts w:ascii="Verdana" w:hAnsi="Verdana"/>
                <w:spacing w:val="-11"/>
                <w:sz w:val="22"/>
              </w:rPr>
              <w:t> </w:t>
            </w:r>
            <w:r>
              <w:rPr>
                <w:rFonts w:ascii="Verdana" w:hAnsi="Verdana"/>
                <w:sz w:val="22"/>
              </w:rPr>
              <w:t>and</w:t>
            </w:r>
            <w:r>
              <w:rPr>
                <w:rFonts w:ascii="Verdana" w:hAnsi="Verdana"/>
                <w:spacing w:val="-13"/>
                <w:sz w:val="22"/>
              </w:rPr>
              <w:t> </w:t>
            </w:r>
            <w:r>
              <w:rPr>
                <w:rFonts w:ascii="Verdana" w:hAnsi="Verdana"/>
                <w:sz w:val="22"/>
              </w:rPr>
              <w:t>January</w:t>
            </w:r>
            <w:r>
              <w:rPr>
                <w:rFonts w:ascii="Verdana" w:hAnsi="Verdana"/>
                <w:spacing w:val="-13"/>
                <w:sz w:val="22"/>
              </w:rPr>
              <w:t> </w:t>
            </w:r>
            <w:r>
              <w:rPr>
                <w:rFonts w:ascii="Verdana" w:hAnsi="Verdana"/>
                <w:sz w:val="22"/>
              </w:rPr>
              <w:t>2026),</w:t>
            </w:r>
            <w:r>
              <w:rPr>
                <w:rFonts w:ascii="Verdana" w:hAnsi="Verdana"/>
                <w:spacing w:val="-13"/>
                <w:sz w:val="22"/>
              </w:rPr>
              <w:t> </w:t>
            </w:r>
            <w:r>
              <w:rPr>
                <w:rFonts w:ascii="Verdana" w:hAnsi="Verdana"/>
                <w:sz w:val="22"/>
              </w:rPr>
              <w:t>minutes,</w:t>
            </w:r>
            <w:r>
              <w:rPr>
                <w:rFonts w:ascii="Verdana" w:hAnsi="Verdana"/>
                <w:spacing w:val="-10"/>
                <w:sz w:val="22"/>
              </w:rPr>
              <w:t> </w:t>
            </w:r>
            <w:r>
              <w:rPr>
                <w:rFonts w:ascii="Verdana" w:hAnsi="Verdana"/>
                <w:sz w:val="22"/>
              </w:rPr>
              <w:t>and</w:t>
            </w:r>
            <w:r>
              <w:rPr>
                <w:rFonts w:ascii="Verdana" w:hAnsi="Verdana"/>
                <w:spacing w:val="-13"/>
                <w:sz w:val="22"/>
              </w:rPr>
              <w:t> </w:t>
            </w:r>
            <w:r>
              <w:rPr>
                <w:rFonts w:ascii="Verdana" w:hAnsi="Verdana"/>
                <w:sz w:val="22"/>
              </w:rPr>
              <w:t>corresponding</w:t>
            </w:r>
            <w:r>
              <w:rPr>
                <w:rFonts w:ascii="Verdana" w:hAnsi="Verdana"/>
                <w:spacing w:val="-13"/>
                <w:sz w:val="22"/>
              </w:rPr>
              <w:t> </w:t>
            </w:r>
            <w:r>
              <w:rPr>
                <w:rFonts w:ascii="Verdana" w:hAnsi="Verdana"/>
                <w:sz w:val="22"/>
              </w:rPr>
              <w:t>AAA</w:t>
            </w:r>
            <w:r>
              <w:rPr>
                <w:rFonts w:ascii="Verdana" w:hAnsi="Verdana"/>
                <w:spacing w:val="-11"/>
                <w:sz w:val="22"/>
              </w:rPr>
              <w:t> </w:t>
            </w:r>
            <w:r>
              <w:rPr>
                <w:rFonts w:ascii="Verdana" w:hAnsi="Verdana"/>
                <w:sz w:val="22"/>
              </w:rPr>
              <w:t>subgroup</w:t>
            </w:r>
            <w:r>
              <w:rPr>
                <w:rFonts w:ascii="Verdana" w:hAnsi="Verdana"/>
                <w:spacing w:val="-13"/>
                <w:sz w:val="22"/>
              </w:rPr>
              <w:t> </w:t>
            </w:r>
            <w:r>
              <w:rPr>
                <w:rFonts w:ascii="Verdana" w:hAnsi="Verdana"/>
                <w:sz w:val="22"/>
              </w:rPr>
              <w:t>reports</w:t>
            </w:r>
            <w:r>
              <w:rPr>
                <w:rFonts w:ascii="Verdana" w:hAnsi="Verdana"/>
                <w:spacing w:val="-11"/>
                <w:sz w:val="22"/>
              </w:rPr>
              <w:t> </w:t>
            </w:r>
            <w:r>
              <w:rPr>
                <w:rFonts w:ascii="Verdana" w:hAnsi="Verdana"/>
                <w:sz w:val="22"/>
              </w:rPr>
              <w:t>confirmed that Board papers accurately reflect the content, decisions, assurances, and matters requiring escalation arising from RJC meetings across all periods tested. Where AAA reports indicated “no alerts” or “no risks”, this was fully consistent with the underlying RJC documentation.</w:t>
            </w:r>
          </w:p>
          <w:p>
            <w:pPr>
              <w:pStyle w:val="TableParagraph"/>
              <w:spacing w:before="119"/>
              <w:ind w:left="108" w:right="105"/>
              <w:jc w:val="both"/>
              <w:rPr>
                <w:rFonts w:ascii="Verdana"/>
                <w:sz w:val="22"/>
              </w:rPr>
            </w:pPr>
            <w:r>
              <w:rPr>
                <w:rFonts w:ascii="Verdana"/>
                <w:sz w:val="22"/>
              </w:rPr>
              <w:t>Comparison</w:t>
            </w:r>
            <w:r>
              <w:rPr>
                <w:rFonts w:ascii="Verdana"/>
                <w:spacing w:val="-14"/>
                <w:sz w:val="22"/>
              </w:rPr>
              <w:t> </w:t>
            </w:r>
            <w:r>
              <w:rPr>
                <w:rFonts w:ascii="Verdana"/>
                <w:sz w:val="22"/>
              </w:rPr>
              <w:t>of</w:t>
            </w:r>
            <w:r>
              <w:rPr>
                <w:rFonts w:ascii="Verdana"/>
                <w:spacing w:val="-12"/>
                <w:sz w:val="22"/>
              </w:rPr>
              <w:t> </w:t>
            </w:r>
            <w:r>
              <w:rPr>
                <w:rFonts w:ascii="Verdana"/>
                <w:sz w:val="22"/>
              </w:rPr>
              <w:t>reporting</w:t>
            </w:r>
            <w:r>
              <w:rPr>
                <w:rFonts w:ascii="Verdana"/>
                <w:spacing w:val="-13"/>
                <w:sz w:val="22"/>
              </w:rPr>
              <w:t> </w:t>
            </w:r>
            <w:r>
              <w:rPr>
                <w:rFonts w:ascii="Verdana"/>
                <w:sz w:val="22"/>
              </w:rPr>
              <w:t>across</w:t>
            </w:r>
            <w:r>
              <w:rPr>
                <w:rFonts w:ascii="Verdana"/>
                <w:spacing w:val="-11"/>
                <w:sz w:val="22"/>
              </w:rPr>
              <w:t> </w:t>
            </w:r>
            <w:r>
              <w:rPr>
                <w:rFonts w:ascii="Verdana"/>
                <w:sz w:val="22"/>
              </w:rPr>
              <w:t>both</w:t>
            </w:r>
            <w:r>
              <w:rPr>
                <w:rFonts w:ascii="Verdana"/>
                <w:spacing w:val="-15"/>
                <w:sz w:val="22"/>
              </w:rPr>
              <w:t> </w:t>
            </w:r>
            <w:r>
              <w:rPr>
                <w:rFonts w:ascii="Verdana"/>
                <w:sz w:val="22"/>
              </w:rPr>
              <w:t>Health</w:t>
            </w:r>
            <w:r>
              <w:rPr>
                <w:rFonts w:ascii="Verdana"/>
                <w:spacing w:val="-15"/>
                <w:sz w:val="22"/>
              </w:rPr>
              <w:t> </w:t>
            </w:r>
            <w:r>
              <w:rPr>
                <w:rFonts w:ascii="Verdana"/>
                <w:sz w:val="22"/>
              </w:rPr>
              <w:t>Boards</w:t>
            </w:r>
            <w:r>
              <w:rPr>
                <w:rFonts w:ascii="Verdana"/>
                <w:spacing w:val="-11"/>
                <w:sz w:val="22"/>
              </w:rPr>
              <w:t> </w:t>
            </w:r>
            <w:r>
              <w:rPr>
                <w:rFonts w:ascii="Verdana"/>
                <w:sz w:val="22"/>
              </w:rPr>
              <w:t>confirms</w:t>
            </w:r>
            <w:r>
              <w:rPr>
                <w:rFonts w:ascii="Verdana"/>
                <w:spacing w:val="-12"/>
                <w:sz w:val="22"/>
              </w:rPr>
              <w:t> </w:t>
            </w:r>
            <w:r>
              <w:rPr>
                <w:rFonts w:ascii="Verdana"/>
                <w:sz w:val="22"/>
              </w:rPr>
              <w:t>consistency</w:t>
            </w:r>
            <w:r>
              <w:rPr>
                <w:rFonts w:ascii="Verdana"/>
                <w:spacing w:val="-14"/>
                <w:sz w:val="22"/>
              </w:rPr>
              <w:t> </w:t>
            </w:r>
            <w:r>
              <w:rPr>
                <w:rFonts w:ascii="Verdana"/>
                <w:sz w:val="22"/>
              </w:rPr>
              <w:t>in</w:t>
            </w:r>
            <w:r>
              <w:rPr>
                <w:rFonts w:ascii="Verdana"/>
                <w:spacing w:val="-12"/>
                <w:sz w:val="22"/>
              </w:rPr>
              <w:t> </w:t>
            </w:r>
            <w:r>
              <w:rPr>
                <w:rFonts w:ascii="Verdana"/>
                <w:sz w:val="22"/>
              </w:rPr>
              <w:t>the</w:t>
            </w:r>
            <w:r>
              <w:rPr>
                <w:rFonts w:ascii="Verdana"/>
                <w:spacing w:val="-11"/>
                <w:sz w:val="22"/>
              </w:rPr>
              <w:t> </w:t>
            </w:r>
            <w:r>
              <w:rPr>
                <w:rFonts w:ascii="Verdana"/>
                <w:sz w:val="22"/>
              </w:rPr>
              <w:t>format,</w:t>
            </w:r>
            <w:r>
              <w:rPr>
                <w:rFonts w:ascii="Verdana"/>
                <w:spacing w:val="-13"/>
                <w:sz w:val="22"/>
              </w:rPr>
              <w:t> </w:t>
            </w:r>
            <w:r>
              <w:rPr>
                <w:rFonts w:ascii="Verdana"/>
                <w:sz w:val="22"/>
              </w:rPr>
              <w:t>structure</w:t>
            </w:r>
            <w:r>
              <w:rPr>
                <w:rFonts w:ascii="Verdana"/>
                <w:spacing w:val="-11"/>
                <w:sz w:val="22"/>
              </w:rPr>
              <w:t> </w:t>
            </w:r>
            <w:r>
              <w:rPr>
                <w:rFonts w:ascii="Verdana"/>
                <w:sz w:val="22"/>
              </w:rPr>
              <w:t>and</w:t>
            </w:r>
            <w:r>
              <w:rPr>
                <w:rFonts w:ascii="Verdana"/>
                <w:spacing w:val="-13"/>
                <w:sz w:val="22"/>
              </w:rPr>
              <w:t> </w:t>
            </w:r>
            <w:r>
              <w:rPr>
                <w:rFonts w:ascii="Verdana"/>
                <w:sz w:val="22"/>
              </w:rPr>
              <w:t>content</w:t>
            </w:r>
            <w:r>
              <w:rPr>
                <w:rFonts w:ascii="Verdana"/>
                <w:spacing w:val="-15"/>
                <w:sz w:val="22"/>
              </w:rPr>
              <w:t> </w:t>
            </w:r>
            <w:r>
              <w:rPr>
                <w:rFonts w:ascii="Verdana"/>
                <w:sz w:val="22"/>
              </w:rPr>
              <w:t>of</w:t>
            </w:r>
            <w:r>
              <w:rPr>
                <w:rFonts w:ascii="Verdana"/>
                <w:spacing w:val="-12"/>
                <w:sz w:val="22"/>
              </w:rPr>
              <w:t> </w:t>
            </w:r>
            <w:r>
              <w:rPr>
                <w:rFonts w:ascii="Verdana"/>
                <w:sz w:val="22"/>
              </w:rPr>
              <w:t>information</w:t>
            </w:r>
            <w:r>
              <w:rPr>
                <w:rFonts w:ascii="Verdana"/>
                <w:spacing w:val="-13"/>
                <w:sz w:val="22"/>
              </w:rPr>
              <w:t> </w:t>
            </w:r>
            <w:r>
              <w:rPr>
                <w:rFonts w:ascii="Verdana"/>
                <w:sz w:val="22"/>
              </w:rPr>
              <w:t>presented.</w:t>
            </w:r>
            <w:r>
              <w:rPr>
                <w:rFonts w:ascii="Verdana"/>
                <w:spacing w:val="-13"/>
                <w:sz w:val="22"/>
              </w:rPr>
              <w:t> </w:t>
            </w:r>
            <w:r>
              <w:rPr>
                <w:rFonts w:ascii="Verdana"/>
                <w:sz w:val="22"/>
              </w:rPr>
              <w:t>The</w:t>
            </w:r>
            <w:r>
              <w:rPr>
                <w:rFonts w:ascii="Verdana"/>
                <w:spacing w:val="-12"/>
                <w:sz w:val="22"/>
              </w:rPr>
              <w:t> </w:t>
            </w:r>
            <w:r>
              <w:rPr>
                <w:rFonts w:ascii="Verdana"/>
                <w:sz w:val="22"/>
              </w:rPr>
              <w:t>same AAA reports, containing identical core assurance content, including decisions and risks, were submitted to both Boards at the next scheduled Board meeting following each RJC meeting.</w:t>
            </w:r>
          </w:p>
          <w:p>
            <w:pPr>
              <w:pStyle w:val="TableParagraph"/>
              <w:spacing w:before="120"/>
              <w:ind w:left="108" w:right="105"/>
              <w:jc w:val="both"/>
              <w:rPr>
                <w:rFonts w:ascii="Verdana"/>
                <w:sz w:val="22"/>
              </w:rPr>
            </w:pPr>
            <w:r>
              <w:rPr>
                <w:rFonts w:ascii="Verdana"/>
                <w:sz w:val="22"/>
              </w:rPr>
              <w:t>One</w:t>
            </w:r>
            <w:r>
              <w:rPr>
                <w:rFonts w:ascii="Verdana"/>
                <w:spacing w:val="-2"/>
                <w:sz w:val="22"/>
              </w:rPr>
              <w:t> </w:t>
            </w:r>
            <w:r>
              <w:rPr>
                <w:rFonts w:ascii="Verdana"/>
                <w:sz w:val="22"/>
              </w:rPr>
              <w:t>instance</w:t>
            </w:r>
            <w:r>
              <w:rPr>
                <w:rFonts w:ascii="Verdana"/>
                <w:spacing w:val="-2"/>
                <w:sz w:val="22"/>
              </w:rPr>
              <w:t> </w:t>
            </w:r>
            <w:r>
              <w:rPr>
                <w:rFonts w:ascii="Verdana"/>
                <w:sz w:val="22"/>
              </w:rPr>
              <w:t>of</w:t>
            </w:r>
            <w:r>
              <w:rPr>
                <w:rFonts w:ascii="Verdana"/>
                <w:spacing w:val="-3"/>
                <w:sz w:val="22"/>
              </w:rPr>
              <w:t> </w:t>
            </w:r>
            <w:r>
              <w:rPr>
                <w:rFonts w:ascii="Verdana"/>
                <w:sz w:val="22"/>
              </w:rPr>
              <w:t>variation</w:t>
            </w:r>
            <w:r>
              <w:rPr>
                <w:rFonts w:ascii="Verdana"/>
                <w:spacing w:val="-2"/>
                <w:sz w:val="22"/>
              </w:rPr>
              <w:t> </w:t>
            </w:r>
            <w:r>
              <w:rPr>
                <w:rFonts w:ascii="Verdana"/>
                <w:sz w:val="22"/>
              </w:rPr>
              <w:t>was</w:t>
            </w:r>
            <w:r>
              <w:rPr>
                <w:rFonts w:ascii="Verdana"/>
                <w:spacing w:val="-2"/>
                <w:sz w:val="22"/>
              </w:rPr>
              <w:t> </w:t>
            </w:r>
            <w:r>
              <w:rPr>
                <w:rFonts w:ascii="Verdana"/>
                <w:sz w:val="22"/>
              </w:rPr>
              <w:t>identified in</w:t>
            </w:r>
            <w:r>
              <w:rPr>
                <w:rFonts w:ascii="Verdana"/>
                <w:spacing w:val="-4"/>
                <w:sz w:val="22"/>
              </w:rPr>
              <w:t> </w:t>
            </w:r>
            <w:r>
              <w:rPr>
                <w:rFonts w:ascii="Verdana"/>
                <w:sz w:val="22"/>
              </w:rPr>
              <w:t>March</w:t>
            </w:r>
            <w:r>
              <w:rPr>
                <w:rFonts w:ascii="Verdana"/>
                <w:spacing w:val="-2"/>
                <w:sz w:val="22"/>
              </w:rPr>
              <w:t> </w:t>
            </w:r>
            <w:r>
              <w:rPr>
                <w:rFonts w:ascii="Verdana"/>
                <w:sz w:val="22"/>
              </w:rPr>
              <w:t>2025,</w:t>
            </w:r>
            <w:r>
              <w:rPr>
                <w:rFonts w:ascii="Verdana"/>
                <w:spacing w:val="-1"/>
                <w:sz w:val="22"/>
              </w:rPr>
              <w:t> </w:t>
            </w:r>
            <w:r>
              <w:rPr>
                <w:rFonts w:ascii="Verdana"/>
                <w:sz w:val="22"/>
              </w:rPr>
              <w:t>where</w:t>
            </w:r>
            <w:r>
              <w:rPr>
                <w:rFonts w:ascii="Verdana"/>
                <w:spacing w:val="-1"/>
                <w:sz w:val="22"/>
              </w:rPr>
              <w:t> </w:t>
            </w:r>
            <w:r>
              <w:rPr>
                <w:rFonts w:ascii="Verdana"/>
                <w:sz w:val="22"/>
              </w:rPr>
              <w:t>additional</w:t>
            </w:r>
            <w:r>
              <w:rPr>
                <w:rFonts w:ascii="Verdana"/>
                <w:spacing w:val="-3"/>
                <w:sz w:val="22"/>
              </w:rPr>
              <w:t> </w:t>
            </w:r>
            <w:r>
              <w:rPr>
                <w:rFonts w:ascii="Verdana"/>
                <w:sz w:val="22"/>
              </w:rPr>
              <w:t>narrative</w:t>
            </w:r>
            <w:r>
              <w:rPr>
                <w:rFonts w:ascii="Verdana"/>
                <w:spacing w:val="-1"/>
                <w:sz w:val="22"/>
              </w:rPr>
              <w:t> </w:t>
            </w:r>
            <w:r>
              <w:rPr>
                <w:rFonts w:ascii="Verdana"/>
                <w:sz w:val="22"/>
              </w:rPr>
              <w:t>context</w:t>
            </w:r>
            <w:r>
              <w:rPr>
                <w:rFonts w:ascii="Verdana"/>
                <w:spacing w:val="-3"/>
                <w:sz w:val="22"/>
              </w:rPr>
              <w:t> </w:t>
            </w:r>
            <w:r>
              <w:rPr>
                <w:rFonts w:ascii="Verdana"/>
                <w:sz w:val="22"/>
              </w:rPr>
              <w:t>relating to</w:t>
            </w:r>
            <w:r>
              <w:rPr>
                <w:rFonts w:ascii="Verdana"/>
                <w:spacing w:val="-2"/>
                <w:sz w:val="22"/>
              </w:rPr>
              <w:t> </w:t>
            </w:r>
            <w:r>
              <w:rPr>
                <w:rFonts w:ascii="Verdana"/>
                <w:sz w:val="22"/>
              </w:rPr>
              <w:t>the</w:t>
            </w:r>
            <w:r>
              <w:rPr>
                <w:rFonts w:ascii="Verdana"/>
                <w:spacing w:val="-1"/>
                <w:sz w:val="22"/>
              </w:rPr>
              <w:t> </w:t>
            </w:r>
            <w:r>
              <w:rPr>
                <w:rFonts w:ascii="Verdana"/>
                <w:sz w:val="22"/>
              </w:rPr>
              <w:t>developing</w:t>
            </w:r>
            <w:r>
              <w:rPr>
                <w:rFonts w:ascii="Verdana"/>
                <w:spacing w:val="-3"/>
                <w:sz w:val="22"/>
              </w:rPr>
              <w:t> </w:t>
            </w:r>
            <w:r>
              <w:rPr>
                <w:rFonts w:ascii="Verdana"/>
                <w:sz w:val="22"/>
              </w:rPr>
              <w:t>governance</w:t>
            </w:r>
            <w:r>
              <w:rPr>
                <w:rFonts w:ascii="Verdana"/>
                <w:spacing w:val="-4"/>
                <w:sz w:val="22"/>
              </w:rPr>
              <w:t> </w:t>
            </w:r>
            <w:r>
              <w:rPr>
                <w:rFonts w:ascii="Verdana"/>
                <w:sz w:val="22"/>
              </w:rPr>
              <w:t>architecture</w:t>
            </w:r>
            <w:r>
              <w:rPr>
                <w:rFonts w:ascii="Verdana"/>
                <w:spacing w:val="-1"/>
                <w:sz w:val="22"/>
              </w:rPr>
              <w:t> </w:t>
            </w:r>
            <w:r>
              <w:rPr>
                <w:rFonts w:ascii="Verdana"/>
                <w:sz w:val="22"/>
              </w:rPr>
              <w:t>of the RJC was provided to Hywel Dda but not to Swansea Bay. However, this did not affect the consistency of assurance or decision-making information and has not recurred in subsequent reporting cycles.</w:t>
            </w:r>
          </w:p>
          <w:p>
            <w:pPr>
              <w:pStyle w:val="TableParagraph"/>
              <w:spacing w:before="120"/>
              <w:ind w:left="108" w:right="104"/>
              <w:jc w:val="both"/>
              <w:rPr>
                <w:rFonts w:ascii="Verdana"/>
                <w:sz w:val="22"/>
              </w:rPr>
            </w:pPr>
            <w:r>
              <w:rPr>
                <w:rFonts w:ascii="Verdana"/>
                <w:sz w:val="22"/>
              </w:rPr>
              <w:t>Evidence</w:t>
            </w:r>
            <w:r>
              <w:rPr>
                <w:rFonts w:ascii="Verdana"/>
                <w:spacing w:val="-8"/>
                <w:sz w:val="22"/>
              </w:rPr>
              <w:t> </w:t>
            </w:r>
            <w:r>
              <w:rPr>
                <w:rFonts w:ascii="Verdana"/>
                <w:sz w:val="22"/>
              </w:rPr>
              <w:t>of</w:t>
            </w:r>
            <w:r>
              <w:rPr>
                <w:rFonts w:ascii="Verdana"/>
                <w:spacing w:val="-9"/>
                <w:sz w:val="22"/>
              </w:rPr>
              <w:t> </w:t>
            </w:r>
            <w:r>
              <w:rPr>
                <w:rFonts w:ascii="Verdana"/>
                <w:sz w:val="22"/>
              </w:rPr>
              <w:t>Board</w:t>
            </w:r>
            <w:r>
              <w:rPr>
                <w:rFonts w:ascii="Verdana"/>
                <w:spacing w:val="-9"/>
                <w:sz w:val="22"/>
              </w:rPr>
              <w:t> </w:t>
            </w:r>
            <w:r>
              <w:rPr>
                <w:rFonts w:ascii="Verdana"/>
                <w:sz w:val="22"/>
              </w:rPr>
              <w:t>scrutiny</w:t>
            </w:r>
            <w:r>
              <w:rPr>
                <w:rFonts w:ascii="Verdana"/>
                <w:spacing w:val="-10"/>
                <w:sz w:val="22"/>
              </w:rPr>
              <w:t> </w:t>
            </w:r>
            <w:r>
              <w:rPr>
                <w:rFonts w:ascii="Verdana"/>
                <w:sz w:val="22"/>
              </w:rPr>
              <w:t>and</w:t>
            </w:r>
            <w:r>
              <w:rPr>
                <w:rFonts w:ascii="Verdana"/>
                <w:spacing w:val="-7"/>
                <w:sz w:val="22"/>
              </w:rPr>
              <w:t> </w:t>
            </w:r>
            <w:r>
              <w:rPr>
                <w:rFonts w:ascii="Verdana"/>
                <w:sz w:val="22"/>
              </w:rPr>
              <w:t>challenge</w:t>
            </w:r>
            <w:r>
              <w:rPr>
                <w:rFonts w:ascii="Verdana"/>
                <w:spacing w:val="-8"/>
                <w:sz w:val="22"/>
              </w:rPr>
              <w:t> </w:t>
            </w:r>
            <w:r>
              <w:rPr>
                <w:rFonts w:ascii="Verdana"/>
                <w:sz w:val="22"/>
              </w:rPr>
              <w:t>when</w:t>
            </w:r>
            <w:r>
              <w:rPr>
                <w:rFonts w:ascii="Verdana"/>
                <w:spacing w:val="-9"/>
                <w:sz w:val="22"/>
              </w:rPr>
              <w:t> </w:t>
            </w:r>
            <w:r>
              <w:rPr>
                <w:rFonts w:ascii="Verdana"/>
                <w:sz w:val="22"/>
              </w:rPr>
              <w:t>receiving</w:t>
            </w:r>
            <w:r>
              <w:rPr>
                <w:rFonts w:ascii="Verdana"/>
                <w:spacing w:val="-10"/>
                <w:sz w:val="22"/>
              </w:rPr>
              <w:t> </w:t>
            </w:r>
            <w:r>
              <w:rPr>
                <w:rFonts w:ascii="Verdana"/>
                <w:sz w:val="22"/>
              </w:rPr>
              <w:t>RJC</w:t>
            </w:r>
            <w:r>
              <w:rPr>
                <w:rFonts w:ascii="Verdana"/>
                <w:spacing w:val="-8"/>
                <w:sz w:val="22"/>
              </w:rPr>
              <w:t> </w:t>
            </w:r>
            <w:r>
              <w:rPr>
                <w:rFonts w:ascii="Verdana"/>
                <w:sz w:val="22"/>
              </w:rPr>
              <w:t>AAA</w:t>
            </w:r>
            <w:r>
              <w:rPr>
                <w:rFonts w:ascii="Verdana"/>
                <w:spacing w:val="-8"/>
                <w:sz w:val="22"/>
              </w:rPr>
              <w:t> </w:t>
            </w:r>
            <w:r>
              <w:rPr>
                <w:rFonts w:ascii="Verdana"/>
                <w:sz w:val="22"/>
              </w:rPr>
              <w:t>reports</w:t>
            </w:r>
            <w:r>
              <w:rPr>
                <w:rFonts w:ascii="Verdana"/>
                <w:spacing w:val="-9"/>
                <w:sz w:val="22"/>
              </w:rPr>
              <w:t> </w:t>
            </w:r>
            <w:r>
              <w:rPr>
                <w:rFonts w:ascii="Verdana"/>
                <w:sz w:val="22"/>
              </w:rPr>
              <w:t>was</w:t>
            </w:r>
            <w:r>
              <w:rPr>
                <w:rFonts w:ascii="Verdana"/>
                <w:spacing w:val="-8"/>
                <w:sz w:val="22"/>
              </w:rPr>
              <w:t> </w:t>
            </w:r>
            <w:r>
              <w:rPr>
                <w:rFonts w:ascii="Verdana"/>
                <w:sz w:val="22"/>
              </w:rPr>
              <w:t>evident,</w:t>
            </w:r>
            <w:r>
              <w:rPr>
                <w:rFonts w:ascii="Verdana"/>
                <w:spacing w:val="-7"/>
                <w:sz w:val="22"/>
              </w:rPr>
              <w:t> </w:t>
            </w:r>
            <w:r>
              <w:rPr>
                <w:rFonts w:ascii="Verdana"/>
                <w:sz w:val="22"/>
              </w:rPr>
              <w:t>particularly</w:t>
            </w:r>
            <w:r>
              <w:rPr>
                <w:rFonts w:ascii="Verdana"/>
                <w:spacing w:val="-7"/>
                <w:sz w:val="22"/>
              </w:rPr>
              <w:t> </w:t>
            </w:r>
            <w:r>
              <w:rPr>
                <w:rFonts w:ascii="Verdana"/>
                <w:sz w:val="22"/>
              </w:rPr>
              <w:t>in</w:t>
            </w:r>
            <w:r>
              <w:rPr>
                <w:rFonts w:ascii="Verdana"/>
                <w:spacing w:val="-7"/>
                <w:sz w:val="22"/>
              </w:rPr>
              <w:t> </w:t>
            </w:r>
            <w:r>
              <w:rPr>
                <w:rFonts w:ascii="Verdana"/>
                <w:sz w:val="22"/>
              </w:rPr>
              <w:t>relation</w:t>
            </w:r>
            <w:r>
              <w:rPr>
                <w:rFonts w:ascii="Verdana"/>
                <w:spacing w:val="-8"/>
                <w:sz w:val="22"/>
              </w:rPr>
              <w:t> </w:t>
            </w:r>
            <w:r>
              <w:rPr>
                <w:rFonts w:ascii="Verdana"/>
                <w:sz w:val="22"/>
              </w:rPr>
              <w:t>to</w:t>
            </w:r>
            <w:r>
              <w:rPr>
                <w:rFonts w:ascii="Verdana"/>
                <w:spacing w:val="-8"/>
                <w:sz w:val="22"/>
              </w:rPr>
              <w:t> </w:t>
            </w:r>
            <w:r>
              <w:rPr>
                <w:rFonts w:ascii="Verdana"/>
                <w:sz w:val="22"/>
              </w:rPr>
              <w:t>complex</w:t>
            </w:r>
            <w:r>
              <w:rPr>
                <w:rFonts w:ascii="Verdana"/>
                <w:spacing w:val="-9"/>
                <w:sz w:val="22"/>
              </w:rPr>
              <w:t> </w:t>
            </w:r>
            <w:r>
              <w:rPr>
                <w:rFonts w:ascii="Verdana"/>
                <w:sz w:val="22"/>
              </w:rPr>
              <w:t>or</w:t>
            </w:r>
            <w:r>
              <w:rPr>
                <w:rFonts w:ascii="Verdana"/>
                <w:spacing w:val="-8"/>
                <w:sz w:val="22"/>
              </w:rPr>
              <w:t> </w:t>
            </w:r>
            <w:r>
              <w:rPr>
                <w:rFonts w:ascii="Verdana"/>
                <w:sz w:val="22"/>
              </w:rPr>
              <w:t>high-impact</w:t>
            </w:r>
            <w:r>
              <w:rPr>
                <w:rFonts w:ascii="Verdana"/>
                <w:spacing w:val="-9"/>
                <w:sz w:val="22"/>
              </w:rPr>
              <w:t> </w:t>
            </w:r>
            <w:r>
              <w:rPr>
                <w:rFonts w:ascii="Verdana"/>
                <w:sz w:val="22"/>
              </w:rPr>
              <w:t>matters such</w:t>
            </w:r>
            <w:r>
              <w:rPr>
                <w:rFonts w:ascii="Verdana"/>
                <w:spacing w:val="-1"/>
                <w:sz w:val="22"/>
              </w:rPr>
              <w:t> </w:t>
            </w:r>
            <w:r>
              <w:rPr>
                <w:rFonts w:ascii="Verdana"/>
                <w:sz w:val="22"/>
              </w:rPr>
              <w:t>as the</w:t>
            </w:r>
            <w:r>
              <w:rPr>
                <w:rFonts w:ascii="Verdana"/>
                <w:spacing w:val="-2"/>
                <w:sz w:val="22"/>
              </w:rPr>
              <w:t> </w:t>
            </w:r>
            <w:r>
              <w:rPr>
                <w:rFonts w:ascii="Verdana"/>
                <w:sz w:val="22"/>
              </w:rPr>
              <w:t>progression of the Regional</w:t>
            </w:r>
            <w:r>
              <w:rPr>
                <w:rFonts w:ascii="Verdana"/>
                <w:spacing w:val="-1"/>
                <w:sz w:val="22"/>
              </w:rPr>
              <w:t> </w:t>
            </w:r>
            <w:r>
              <w:rPr>
                <w:rFonts w:ascii="Verdana"/>
                <w:sz w:val="22"/>
              </w:rPr>
              <w:t>Cellular</w:t>
            </w:r>
            <w:r>
              <w:rPr>
                <w:rFonts w:ascii="Verdana"/>
                <w:spacing w:val="-2"/>
                <w:sz w:val="22"/>
              </w:rPr>
              <w:t> </w:t>
            </w:r>
            <w:r>
              <w:rPr>
                <w:rFonts w:ascii="Verdana"/>
                <w:sz w:val="22"/>
              </w:rPr>
              <w:t>Pathology</w:t>
            </w:r>
            <w:r>
              <w:rPr>
                <w:rFonts w:ascii="Verdana"/>
                <w:spacing w:val="-1"/>
                <w:sz w:val="22"/>
              </w:rPr>
              <w:t> </w:t>
            </w:r>
            <w:r>
              <w:rPr>
                <w:rFonts w:ascii="Verdana"/>
                <w:sz w:val="22"/>
              </w:rPr>
              <w:t>business case.</w:t>
            </w:r>
            <w:r>
              <w:rPr>
                <w:rFonts w:ascii="Verdana"/>
                <w:spacing w:val="-1"/>
                <w:sz w:val="22"/>
              </w:rPr>
              <w:t> </w:t>
            </w:r>
            <w:r>
              <w:rPr>
                <w:rFonts w:ascii="Verdana"/>
                <w:sz w:val="22"/>
              </w:rPr>
              <w:t>We did</w:t>
            </w:r>
            <w:r>
              <w:rPr>
                <w:rFonts w:ascii="Verdana"/>
                <w:spacing w:val="-1"/>
                <w:sz w:val="22"/>
              </w:rPr>
              <w:t> </w:t>
            </w:r>
            <w:r>
              <w:rPr>
                <w:rFonts w:ascii="Verdana"/>
                <w:sz w:val="22"/>
              </w:rPr>
              <w:t>not identify</w:t>
            </w:r>
            <w:r>
              <w:rPr>
                <w:rFonts w:ascii="Verdana"/>
                <w:spacing w:val="-2"/>
                <w:sz w:val="22"/>
              </w:rPr>
              <w:t> </w:t>
            </w:r>
            <w:r>
              <w:rPr>
                <w:rFonts w:ascii="Verdana"/>
                <w:sz w:val="22"/>
              </w:rPr>
              <w:t>any</w:t>
            </w:r>
            <w:r>
              <w:rPr>
                <w:rFonts w:ascii="Verdana"/>
                <w:spacing w:val="-2"/>
                <w:sz w:val="22"/>
              </w:rPr>
              <w:t> </w:t>
            </w:r>
            <w:r>
              <w:rPr>
                <w:rFonts w:ascii="Verdana"/>
                <w:sz w:val="22"/>
              </w:rPr>
              <w:t>instances</w:t>
            </w:r>
            <w:r>
              <w:rPr>
                <w:rFonts w:ascii="Verdana"/>
                <w:spacing w:val="-2"/>
                <w:sz w:val="22"/>
              </w:rPr>
              <w:t> </w:t>
            </w:r>
            <w:r>
              <w:rPr>
                <w:rFonts w:ascii="Verdana"/>
                <w:sz w:val="22"/>
              </w:rPr>
              <w:t>where issues were formally</w:t>
            </w:r>
            <w:r>
              <w:rPr>
                <w:rFonts w:ascii="Verdana"/>
                <w:spacing w:val="-2"/>
                <w:sz w:val="22"/>
              </w:rPr>
              <w:t> </w:t>
            </w:r>
            <w:r>
              <w:rPr>
                <w:rFonts w:ascii="Verdana"/>
                <w:sz w:val="22"/>
              </w:rPr>
              <w:t>referred back to the RJC.</w:t>
            </w:r>
          </w:p>
          <w:p>
            <w:pPr>
              <w:pStyle w:val="TableParagraph"/>
              <w:spacing w:before="122"/>
              <w:ind w:left="108" w:right="103"/>
              <w:jc w:val="both"/>
              <w:rPr>
                <w:rFonts w:ascii="Verdana" w:hAnsi="Verdana"/>
                <w:sz w:val="22"/>
              </w:rPr>
            </w:pPr>
            <w:r>
              <w:rPr>
                <w:rFonts w:ascii="Verdana" w:hAnsi="Verdana"/>
                <w:sz w:val="22"/>
              </w:rPr>
              <w:t>Where</w:t>
            </w:r>
            <w:r>
              <w:rPr>
                <w:rFonts w:ascii="Verdana" w:hAnsi="Verdana"/>
                <w:spacing w:val="-6"/>
                <w:sz w:val="22"/>
              </w:rPr>
              <w:t> </w:t>
            </w:r>
            <w:r>
              <w:rPr>
                <w:rFonts w:ascii="Verdana" w:hAnsi="Verdana"/>
                <w:sz w:val="22"/>
              </w:rPr>
              <w:t>RJC</w:t>
            </w:r>
            <w:r>
              <w:rPr>
                <w:rFonts w:ascii="Verdana" w:hAnsi="Verdana"/>
                <w:spacing w:val="-7"/>
                <w:sz w:val="22"/>
              </w:rPr>
              <w:t> </w:t>
            </w:r>
            <w:r>
              <w:rPr>
                <w:rFonts w:ascii="Verdana" w:hAnsi="Verdana"/>
                <w:sz w:val="22"/>
              </w:rPr>
              <w:t>and</w:t>
            </w:r>
            <w:r>
              <w:rPr>
                <w:rFonts w:ascii="Verdana" w:hAnsi="Verdana"/>
                <w:spacing w:val="-8"/>
                <w:sz w:val="22"/>
              </w:rPr>
              <w:t> </w:t>
            </w:r>
            <w:r>
              <w:rPr>
                <w:rFonts w:ascii="Verdana" w:hAnsi="Verdana"/>
                <w:sz w:val="22"/>
              </w:rPr>
              <w:t>Board</w:t>
            </w:r>
            <w:r>
              <w:rPr>
                <w:rFonts w:ascii="Verdana" w:hAnsi="Verdana"/>
                <w:spacing w:val="-10"/>
                <w:sz w:val="22"/>
              </w:rPr>
              <w:t> </w:t>
            </w:r>
            <w:r>
              <w:rPr>
                <w:rFonts w:ascii="Verdana" w:hAnsi="Verdana"/>
                <w:sz w:val="22"/>
              </w:rPr>
              <w:t>meeting</w:t>
            </w:r>
            <w:r>
              <w:rPr>
                <w:rFonts w:ascii="Verdana" w:hAnsi="Verdana"/>
                <w:spacing w:val="-8"/>
                <w:sz w:val="22"/>
              </w:rPr>
              <w:t> </w:t>
            </w:r>
            <w:r>
              <w:rPr>
                <w:rFonts w:ascii="Verdana" w:hAnsi="Verdana"/>
                <w:sz w:val="22"/>
              </w:rPr>
              <w:t>cycles</w:t>
            </w:r>
            <w:r>
              <w:rPr>
                <w:rFonts w:ascii="Verdana" w:hAnsi="Verdana"/>
                <w:spacing w:val="-6"/>
                <w:sz w:val="22"/>
              </w:rPr>
              <w:t> </w:t>
            </w:r>
            <w:r>
              <w:rPr>
                <w:rFonts w:ascii="Verdana" w:hAnsi="Verdana"/>
                <w:sz w:val="22"/>
              </w:rPr>
              <w:t>did</w:t>
            </w:r>
            <w:r>
              <w:rPr>
                <w:rFonts w:ascii="Verdana" w:hAnsi="Verdana"/>
                <w:spacing w:val="-8"/>
                <w:sz w:val="22"/>
              </w:rPr>
              <w:t> </w:t>
            </w:r>
            <w:r>
              <w:rPr>
                <w:rFonts w:ascii="Verdana" w:hAnsi="Verdana"/>
                <w:sz w:val="22"/>
              </w:rPr>
              <w:t>not</w:t>
            </w:r>
            <w:r>
              <w:rPr>
                <w:rFonts w:ascii="Verdana" w:hAnsi="Verdana"/>
                <w:spacing w:val="-7"/>
                <w:sz w:val="22"/>
              </w:rPr>
              <w:t> </w:t>
            </w:r>
            <w:r>
              <w:rPr>
                <w:rFonts w:ascii="Verdana" w:hAnsi="Verdana"/>
                <w:sz w:val="22"/>
              </w:rPr>
              <w:t>fully</w:t>
            </w:r>
            <w:r>
              <w:rPr>
                <w:rFonts w:ascii="Verdana" w:hAnsi="Verdana"/>
                <w:spacing w:val="-7"/>
                <w:sz w:val="22"/>
              </w:rPr>
              <w:t> </w:t>
            </w:r>
            <w:r>
              <w:rPr>
                <w:rFonts w:ascii="Verdana" w:hAnsi="Verdana"/>
                <w:sz w:val="22"/>
              </w:rPr>
              <w:t>align,</w:t>
            </w:r>
            <w:r>
              <w:rPr>
                <w:rFonts w:ascii="Verdana" w:hAnsi="Verdana"/>
                <w:spacing w:val="-6"/>
                <w:sz w:val="22"/>
              </w:rPr>
              <w:t> </w:t>
            </w:r>
            <w:r>
              <w:rPr>
                <w:rFonts w:ascii="Verdana" w:hAnsi="Verdana"/>
                <w:sz w:val="22"/>
              </w:rPr>
              <w:t>appropriate</w:t>
            </w:r>
            <w:r>
              <w:rPr>
                <w:rFonts w:ascii="Verdana" w:hAnsi="Verdana"/>
                <w:spacing w:val="-7"/>
                <w:sz w:val="22"/>
              </w:rPr>
              <w:t> </w:t>
            </w:r>
            <w:r>
              <w:rPr>
                <w:rFonts w:ascii="Verdana" w:hAnsi="Verdana"/>
                <w:sz w:val="22"/>
              </w:rPr>
              <w:t>flexibility</w:t>
            </w:r>
            <w:r>
              <w:rPr>
                <w:rFonts w:ascii="Verdana" w:hAnsi="Verdana"/>
                <w:spacing w:val="-8"/>
                <w:sz w:val="22"/>
              </w:rPr>
              <w:t> </w:t>
            </w:r>
            <w:r>
              <w:rPr>
                <w:rFonts w:ascii="Verdana" w:hAnsi="Verdana"/>
                <w:sz w:val="22"/>
              </w:rPr>
              <w:t>was</w:t>
            </w:r>
            <w:r>
              <w:rPr>
                <w:rFonts w:ascii="Verdana" w:hAnsi="Verdana"/>
                <w:spacing w:val="-7"/>
                <w:sz w:val="22"/>
              </w:rPr>
              <w:t> </w:t>
            </w:r>
            <w:r>
              <w:rPr>
                <w:rFonts w:ascii="Verdana" w:hAnsi="Verdana"/>
                <w:sz w:val="22"/>
              </w:rPr>
              <w:t>applied</w:t>
            </w:r>
            <w:r>
              <w:rPr>
                <w:rFonts w:ascii="Verdana" w:hAnsi="Verdana"/>
                <w:spacing w:val="-7"/>
                <w:sz w:val="22"/>
              </w:rPr>
              <w:t> </w:t>
            </w:r>
            <w:r>
              <w:rPr>
                <w:rFonts w:ascii="Verdana" w:hAnsi="Verdana"/>
                <w:sz w:val="22"/>
              </w:rPr>
              <w:t>to</w:t>
            </w:r>
            <w:r>
              <w:rPr>
                <w:rFonts w:ascii="Verdana" w:hAnsi="Verdana"/>
                <w:spacing w:val="-7"/>
                <w:sz w:val="22"/>
              </w:rPr>
              <w:t> </w:t>
            </w:r>
            <w:r>
              <w:rPr>
                <w:rFonts w:ascii="Verdana" w:hAnsi="Verdana"/>
                <w:sz w:val="22"/>
              </w:rPr>
              <w:t>ensure</w:t>
            </w:r>
            <w:r>
              <w:rPr>
                <w:rFonts w:ascii="Verdana" w:hAnsi="Verdana"/>
                <w:spacing w:val="-11"/>
                <w:sz w:val="22"/>
              </w:rPr>
              <w:t> </w:t>
            </w:r>
            <w:r>
              <w:rPr>
                <w:rFonts w:ascii="Verdana" w:hAnsi="Verdana"/>
                <w:sz w:val="22"/>
              </w:rPr>
              <w:t>that</w:t>
            </w:r>
            <w:r>
              <w:rPr>
                <w:rFonts w:ascii="Verdana" w:hAnsi="Verdana"/>
                <w:spacing w:val="-7"/>
                <w:sz w:val="22"/>
              </w:rPr>
              <w:t> </w:t>
            </w:r>
            <w:r>
              <w:rPr>
                <w:rFonts w:ascii="Verdana" w:hAnsi="Verdana"/>
                <w:sz w:val="22"/>
              </w:rPr>
              <w:t>Boards</w:t>
            </w:r>
            <w:r>
              <w:rPr>
                <w:rFonts w:ascii="Verdana" w:hAnsi="Verdana"/>
                <w:spacing w:val="-7"/>
                <w:sz w:val="22"/>
              </w:rPr>
              <w:t> </w:t>
            </w:r>
            <w:r>
              <w:rPr>
                <w:rFonts w:ascii="Verdana" w:hAnsi="Verdana"/>
                <w:sz w:val="22"/>
              </w:rPr>
              <w:t>received</w:t>
            </w:r>
            <w:r>
              <w:rPr>
                <w:rFonts w:ascii="Verdana" w:hAnsi="Verdana"/>
                <w:spacing w:val="-7"/>
                <w:sz w:val="22"/>
              </w:rPr>
              <w:t> </w:t>
            </w:r>
            <w:r>
              <w:rPr>
                <w:rFonts w:ascii="Verdana" w:hAnsi="Verdana"/>
                <w:sz w:val="22"/>
              </w:rPr>
              <w:t>complete</w:t>
            </w:r>
            <w:r>
              <w:rPr>
                <w:rFonts w:ascii="Verdana" w:hAnsi="Verdana"/>
                <w:spacing w:val="-9"/>
                <w:sz w:val="22"/>
              </w:rPr>
              <w:t> </w:t>
            </w:r>
            <w:r>
              <w:rPr>
                <w:rFonts w:ascii="Verdana" w:hAnsi="Verdana"/>
                <w:sz w:val="22"/>
              </w:rPr>
              <w:t>and</w:t>
            </w:r>
            <w:r>
              <w:rPr>
                <w:rFonts w:ascii="Verdana" w:hAnsi="Verdana"/>
                <w:spacing w:val="-8"/>
                <w:sz w:val="22"/>
              </w:rPr>
              <w:t> </w:t>
            </w:r>
            <w:r>
              <w:rPr>
                <w:rFonts w:ascii="Verdana" w:hAnsi="Verdana"/>
                <w:sz w:val="22"/>
              </w:rPr>
              <w:t>accurate updates at the earliest available opportunity. The use of extraordinary RJC meetings and Special Board meetings, particularly in relation to significant regional clinical decisions, demonstrates that governance arrangements are sufficiently flexible to respond to time</w:t>
            </w:r>
            <w:r>
              <w:rPr>
                <w:rFonts w:ascii="Cambria Math" w:hAnsi="Cambria Math"/>
                <w:sz w:val="22"/>
              </w:rPr>
              <w:t>‑</w:t>
            </w:r>
            <w:r>
              <w:rPr>
                <w:rFonts w:ascii="Verdana" w:hAnsi="Verdana"/>
                <w:sz w:val="22"/>
              </w:rPr>
              <w:t>critical </w:t>
            </w:r>
            <w:r>
              <w:rPr>
                <w:rFonts w:ascii="Verdana" w:hAnsi="Verdana"/>
                <w:spacing w:val="-2"/>
                <w:sz w:val="22"/>
              </w:rPr>
              <w:t>requirements.</w:t>
            </w:r>
          </w:p>
          <w:p>
            <w:pPr>
              <w:pStyle w:val="TableParagraph"/>
              <w:spacing w:before="118"/>
              <w:ind w:left="108" w:right="105"/>
              <w:jc w:val="both"/>
              <w:rPr>
                <w:rFonts w:ascii="Verdana" w:hAnsi="Verdana"/>
                <w:sz w:val="22"/>
              </w:rPr>
            </w:pPr>
            <w:r>
              <w:rPr>
                <w:rFonts w:ascii="Verdana" w:hAnsi="Verdana"/>
                <w:sz w:val="22"/>
              </w:rPr>
              <w:t>The RJC does not maintain a standalone risk register, although subgroup reporting includes references to a range of workstream and project risks. As part of this review, a mapping exercise against Health Board risk registers confirmed that regional and RJC</w:t>
            </w:r>
            <w:r>
              <w:rPr>
                <w:rFonts w:ascii="Cambria Math" w:hAnsi="Cambria Math"/>
                <w:sz w:val="22"/>
              </w:rPr>
              <w:t>‑</w:t>
            </w:r>
            <w:r>
              <w:rPr>
                <w:rFonts w:ascii="Verdana" w:hAnsi="Verdana"/>
                <w:sz w:val="22"/>
              </w:rPr>
              <w:t>relevant risks are appropriately</w:t>
            </w:r>
            <w:r>
              <w:rPr>
                <w:rFonts w:ascii="Verdana" w:hAnsi="Verdana"/>
                <w:spacing w:val="-2"/>
                <w:sz w:val="22"/>
              </w:rPr>
              <w:t> </w:t>
            </w:r>
            <w:r>
              <w:rPr>
                <w:rFonts w:ascii="Verdana" w:hAnsi="Verdana"/>
                <w:sz w:val="22"/>
              </w:rPr>
              <w:t>captured. This includes recognition of cross</w:t>
            </w:r>
            <w:r>
              <w:rPr>
                <w:rFonts w:ascii="Cambria Math" w:hAnsi="Cambria Math"/>
                <w:sz w:val="22"/>
              </w:rPr>
              <w:t>‑</w:t>
            </w:r>
            <w:r>
              <w:rPr>
                <w:rFonts w:ascii="Verdana" w:hAnsi="Verdana"/>
                <w:sz w:val="22"/>
              </w:rPr>
              <w:t>organisational</w:t>
            </w:r>
            <w:r>
              <w:rPr>
                <w:rFonts w:ascii="Verdana" w:hAnsi="Verdana"/>
                <w:spacing w:val="-1"/>
                <w:sz w:val="22"/>
              </w:rPr>
              <w:t> </w:t>
            </w:r>
            <w:r>
              <w:rPr>
                <w:rFonts w:ascii="Verdana" w:hAnsi="Verdana"/>
                <w:sz w:val="22"/>
              </w:rPr>
              <w:t>and</w:t>
            </w:r>
            <w:r>
              <w:rPr>
                <w:rFonts w:ascii="Verdana" w:hAnsi="Verdana"/>
                <w:spacing w:val="-1"/>
                <w:sz w:val="22"/>
              </w:rPr>
              <w:t> </w:t>
            </w:r>
            <w:r>
              <w:rPr>
                <w:rFonts w:ascii="Verdana" w:hAnsi="Verdana"/>
                <w:sz w:val="22"/>
              </w:rPr>
              <w:t>system-wide dependencies, particularly</w:t>
            </w:r>
            <w:r>
              <w:rPr>
                <w:rFonts w:ascii="Verdana" w:hAnsi="Verdana"/>
                <w:spacing w:val="-1"/>
                <w:sz w:val="22"/>
              </w:rPr>
              <w:t> </w:t>
            </w:r>
            <w:r>
              <w:rPr>
                <w:rFonts w:ascii="Verdana" w:hAnsi="Verdana"/>
                <w:sz w:val="22"/>
              </w:rPr>
              <w:t>in areas such</w:t>
            </w:r>
            <w:r>
              <w:rPr>
                <w:rFonts w:ascii="Verdana" w:hAnsi="Verdana"/>
                <w:spacing w:val="-1"/>
                <w:sz w:val="22"/>
              </w:rPr>
              <w:t> </w:t>
            </w:r>
            <w:r>
              <w:rPr>
                <w:rFonts w:ascii="Verdana" w:hAnsi="Verdana"/>
                <w:sz w:val="22"/>
              </w:rPr>
              <w:t>as workforce sustainability, diagnostics and cancer pathways, digital resilience, financial sustainability, and the delivery of regional clinical services.</w:t>
            </w:r>
          </w:p>
          <w:p>
            <w:pPr>
              <w:pStyle w:val="TableParagraph"/>
              <w:spacing w:before="123"/>
              <w:ind w:left="108" w:right="105"/>
              <w:jc w:val="both"/>
              <w:rPr>
                <w:rFonts w:ascii="Verdana" w:hAnsi="Verdana"/>
                <w:sz w:val="22"/>
              </w:rPr>
            </w:pPr>
            <w:r>
              <w:rPr>
                <w:rFonts w:ascii="Verdana" w:hAnsi="Verdana"/>
                <w:sz w:val="22"/>
              </w:rPr>
              <w:t>At</w:t>
            </w:r>
            <w:r>
              <w:rPr>
                <w:rFonts w:ascii="Verdana" w:hAnsi="Verdana"/>
                <w:spacing w:val="-13"/>
                <w:sz w:val="22"/>
              </w:rPr>
              <w:t> </w:t>
            </w:r>
            <w:r>
              <w:rPr>
                <w:rFonts w:ascii="Verdana" w:hAnsi="Verdana"/>
                <w:sz w:val="22"/>
              </w:rPr>
              <w:t>its</w:t>
            </w:r>
            <w:r>
              <w:rPr>
                <w:rFonts w:ascii="Verdana" w:hAnsi="Verdana"/>
                <w:spacing w:val="-14"/>
                <w:sz w:val="22"/>
              </w:rPr>
              <w:t> </w:t>
            </w:r>
            <w:r>
              <w:rPr>
                <w:rFonts w:ascii="Verdana" w:hAnsi="Verdana"/>
                <w:sz w:val="22"/>
              </w:rPr>
              <w:t>April</w:t>
            </w:r>
            <w:r>
              <w:rPr>
                <w:rFonts w:ascii="Verdana" w:hAnsi="Verdana"/>
                <w:spacing w:val="-14"/>
                <w:sz w:val="22"/>
              </w:rPr>
              <w:t> </w:t>
            </w:r>
            <w:r>
              <w:rPr>
                <w:rFonts w:ascii="Verdana" w:hAnsi="Verdana"/>
                <w:sz w:val="22"/>
              </w:rPr>
              <w:t>2026</w:t>
            </w:r>
            <w:r>
              <w:rPr>
                <w:rFonts w:ascii="Verdana" w:hAnsi="Verdana"/>
                <w:spacing w:val="-13"/>
                <w:sz w:val="22"/>
              </w:rPr>
              <w:t> </w:t>
            </w:r>
            <w:r>
              <w:rPr>
                <w:rFonts w:ascii="Verdana" w:hAnsi="Verdana"/>
                <w:sz w:val="22"/>
              </w:rPr>
              <w:t>meeting,</w:t>
            </w:r>
            <w:r>
              <w:rPr>
                <w:rFonts w:ascii="Verdana" w:hAnsi="Verdana"/>
                <w:spacing w:val="-12"/>
                <w:sz w:val="22"/>
              </w:rPr>
              <w:t> </w:t>
            </w:r>
            <w:r>
              <w:rPr>
                <w:rFonts w:ascii="Verdana" w:hAnsi="Verdana"/>
                <w:sz w:val="22"/>
              </w:rPr>
              <w:t>the</w:t>
            </w:r>
            <w:r>
              <w:rPr>
                <w:rFonts w:ascii="Verdana" w:hAnsi="Verdana"/>
                <w:spacing w:val="-13"/>
                <w:sz w:val="22"/>
              </w:rPr>
              <w:t> </w:t>
            </w:r>
            <w:r>
              <w:rPr>
                <w:rFonts w:ascii="Verdana" w:hAnsi="Verdana"/>
                <w:sz w:val="22"/>
              </w:rPr>
              <w:t>RJC</w:t>
            </w:r>
            <w:r>
              <w:rPr>
                <w:rFonts w:ascii="Verdana" w:hAnsi="Verdana"/>
                <w:spacing w:val="-13"/>
                <w:sz w:val="22"/>
              </w:rPr>
              <w:t> </w:t>
            </w:r>
            <w:r>
              <w:rPr>
                <w:rFonts w:ascii="Verdana" w:hAnsi="Verdana"/>
                <w:sz w:val="22"/>
              </w:rPr>
              <w:t>considered</w:t>
            </w:r>
            <w:r>
              <w:rPr>
                <w:rFonts w:ascii="Verdana" w:hAnsi="Verdana"/>
                <w:spacing w:val="-13"/>
                <w:sz w:val="22"/>
              </w:rPr>
              <w:t> </w:t>
            </w:r>
            <w:r>
              <w:rPr>
                <w:rFonts w:ascii="Verdana" w:hAnsi="Verdana"/>
                <w:sz w:val="22"/>
              </w:rPr>
              <w:t>its</w:t>
            </w:r>
            <w:r>
              <w:rPr>
                <w:rFonts w:ascii="Verdana" w:hAnsi="Verdana"/>
                <w:spacing w:val="-14"/>
                <w:sz w:val="22"/>
              </w:rPr>
              <w:t> </w:t>
            </w:r>
            <w:r>
              <w:rPr>
                <w:rFonts w:ascii="Verdana" w:hAnsi="Verdana"/>
                <w:sz w:val="22"/>
              </w:rPr>
              <w:t>approach</w:t>
            </w:r>
            <w:r>
              <w:rPr>
                <w:rFonts w:ascii="Verdana" w:hAnsi="Verdana"/>
                <w:spacing w:val="-14"/>
                <w:sz w:val="22"/>
              </w:rPr>
              <w:t> </w:t>
            </w:r>
            <w:r>
              <w:rPr>
                <w:rFonts w:ascii="Verdana" w:hAnsi="Verdana"/>
                <w:sz w:val="22"/>
              </w:rPr>
              <w:t>to</w:t>
            </w:r>
            <w:r>
              <w:rPr>
                <w:rFonts w:ascii="Verdana" w:hAnsi="Verdana"/>
                <w:spacing w:val="-13"/>
                <w:sz w:val="22"/>
              </w:rPr>
              <w:t> </w:t>
            </w:r>
            <w:r>
              <w:rPr>
                <w:rFonts w:ascii="Verdana" w:hAnsi="Verdana"/>
                <w:sz w:val="22"/>
              </w:rPr>
              <w:t>identifying</w:t>
            </w:r>
            <w:r>
              <w:rPr>
                <w:rFonts w:ascii="Verdana" w:hAnsi="Verdana"/>
                <w:spacing w:val="-12"/>
                <w:sz w:val="22"/>
              </w:rPr>
              <w:t> </w:t>
            </w:r>
            <w:r>
              <w:rPr>
                <w:rFonts w:ascii="Verdana" w:hAnsi="Verdana"/>
                <w:sz w:val="22"/>
              </w:rPr>
              <w:t>and</w:t>
            </w:r>
            <w:r>
              <w:rPr>
                <w:rFonts w:ascii="Verdana" w:hAnsi="Verdana"/>
                <w:spacing w:val="-14"/>
                <w:sz w:val="22"/>
              </w:rPr>
              <w:t> </w:t>
            </w:r>
            <w:r>
              <w:rPr>
                <w:rFonts w:ascii="Verdana" w:hAnsi="Verdana"/>
                <w:sz w:val="22"/>
              </w:rPr>
              <w:t>managing</w:t>
            </w:r>
            <w:r>
              <w:rPr>
                <w:rFonts w:ascii="Verdana" w:hAnsi="Verdana"/>
                <w:spacing w:val="-12"/>
                <w:sz w:val="22"/>
              </w:rPr>
              <w:t> </w:t>
            </w:r>
            <w:r>
              <w:rPr>
                <w:rFonts w:ascii="Verdana" w:hAnsi="Verdana"/>
                <w:sz w:val="22"/>
              </w:rPr>
              <w:t>system</w:t>
            </w:r>
            <w:r>
              <w:rPr>
                <w:rFonts w:ascii="Cambria Math" w:hAnsi="Cambria Math"/>
                <w:sz w:val="22"/>
              </w:rPr>
              <w:t>‑</w:t>
            </w:r>
            <w:r>
              <w:rPr>
                <w:rFonts w:ascii="Verdana" w:hAnsi="Verdana"/>
                <w:sz w:val="22"/>
              </w:rPr>
              <w:t>wide</w:t>
            </w:r>
            <w:r>
              <w:rPr>
                <w:rFonts w:ascii="Verdana" w:hAnsi="Verdana"/>
                <w:spacing w:val="-13"/>
                <w:sz w:val="22"/>
              </w:rPr>
              <w:t> </w:t>
            </w:r>
            <w:r>
              <w:rPr>
                <w:rFonts w:ascii="Verdana" w:hAnsi="Verdana"/>
                <w:sz w:val="22"/>
              </w:rPr>
              <w:t>risks</w:t>
            </w:r>
            <w:r>
              <w:rPr>
                <w:rFonts w:ascii="Verdana" w:hAnsi="Verdana"/>
                <w:spacing w:val="-13"/>
                <w:sz w:val="22"/>
              </w:rPr>
              <w:t> </w:t>
            </w:r>
            <w:r>
              <w:rPr>
                <w:rFonts w:ascii="Verdana" w:hAnsi="Verdana"/>
                <w:sz w:val="22"/>
              </w:rPr>
              <w:t>arising</w:t>
            </w:r>
            <w:r>
              <w:rPr>
                <w:rFonts w:ascii="Verdana" w:hAnsi="Verdana"/>
                <w:spacing w:val="-14"/>
                <w:sz w:val="22"/>
              </w:rPr>
              <w:t> </w:t>
            </w:r>
            <w:r>
              <w:rPr>
                <w:rFonts w:ascii="Verdana" w:hAnsi="Verdana"/>
                <w:sz w:val="22"/>
              </w:rPr>
              <w:t>from</w:t>
            </w:r>
            <w:r>
              <w:rPr>
                <w:rFonts w:ascii="Verdana" w:hAnsi="Verdana"/>
                <w:spacing w:val="-12"/>
                <w:sz w:val="22"/>
              </w:rPr>
              <w:t> </w:t>
            </w:r>
            <w:r>
              <w:rPr>
                <w:rFonts w:ascii="Verdana" w:hAnsi="Verdana"/>
                <w:sz w:val="22"/>
              </w:rPr>
              <w:t>regional</w:t>
            </w:r>
            <w:r>
              <w:rPr>
                <w:rFonts w:ascii="Verdana" w:hAnsi="Verdana"/>
                <w:spacing w:val="-14"/>
                <w:sz w:val="22"/>
              </w:rPr>
              <w:t> </w:t>
            </w:r>
            <w:r>
              <w:rPr>
                <w:rFonts w:ascii="Verdana" w:hAnsi="Verdana"/>
                <w:sz w:val="22"/>
              </w:rPr>
              <w:t>working.</w:t>
            </w:r>
            <w:r>
              <w:rPr>
                <w:rFonts w:ascii="Verdana" w:hAnsi="Verdana"/>
                <w:spacing w:val="-14"/>
                <w:sz w:val="22"/>
              </w:rPr>
              <w:t> </w:t>
            </w:r>
            <w:r>
              <w:rPr>
                <w:rFonts w:ascii="Verdana" w:hAnsi="Verdana"/>
                <w:sz w:val="22"/>
              </w:rPr>
              <w:t>An</w:t>
            </w:r>
            <w:r>
              <w:rPr>
                <w:rFonts w:ascii="Verdana" w:hAnsi="Verdana"/>
                <w:spacing w:val="-14"/>
                <w:sz w:val="22"/>
              </w:rPr>
              <w:t> </w:t>
            </w:r>
            <w:r>
              <w:rPr>
                <w:rFonts w:ascii="Verdana" w:hAnsi="Verdana"/>
                <w:sz w:val="22"/>
              </w:rPr>
              <w:t>action was agreed for the Directors of Corporate Governance of both Health Boards to jointly develop and present a proportionate and pragmatic RJC strategic risk register, identifying system</w:t>
            </w:r>
            <w:r>
              <w:rPr>
                <w:rFonts w:ascii="Cambria Math" w:hAnsi="Cambria Math"/>
                <w:sz w:val="22"/>
              </w:rPr>
              <w:t>‑</w:t>
            </w:r>
            <w:r>
              <w:rPr>
                <w:rFonts w:ascii="Verdana" w:hAnsi="Verdana"/>
                <w:sz w:val="22"/>
              </w:rPr>
              <w:t>wide risks aligned to RJC objectives, an initial high-level outline is to be presented to the RJC in July </w:t>
            </w:r>
            <w:r>
              <w:rPr>
                <w:rFonts w:ascii="Verdana" w:hAnsi="Verdana"/>
                <w:spacing w:val="-2"/>
                <w:sz w:val="22"/>
              </w:rPr>
              <w:t>2026.</w:t>
            </w:r>
          </w:p>
          <w:p>
            <w:pPr>
              <w:pStyle w:val="TableParagraph"/>
              <w:spacing w:before="118"/>
              <w:ind w:left="108" w:right="102"/>
              <w:jc w:val="both"/>
              <w:rPr>
                <w:rFonts w:ascii="Verdana"/>
                <w:sz w:val="22"/>
              </w:rPr>
            </w:pPr>
            <w:r>
              <w:rPr>
                <w:rFonts w:ascii="Verdana"/>
                <w:sz w:val="22"/>
              </w:rPr>
              <w:t>Review</w:t>
            </w:r>
            <w:r>
              <w:rPr>
                <w:rFonts w:ascii="Verdana"/>
                <w:spacing w:val="-7"/>
                <w:sz w:val="22"/>
              </w:rPr>
              <w:t> </w:t>
            </w:r>
            <w:r>
              <w:rPr>
                <w:rFonts w:ascii="Verdana"/>
                <w:sz w:val="22"/>
              </w:rPr>
              <w:t>of</w:t>
            </w:r>
            <w:r>
              <w:rPr>
                <w:rFonts w:ascii="Verdana"/>
                <w:spacing w:val="-6"/>
                <w:sz w:val="22"/>
              </w:rPr>
              <w:t> </w:t>
            </w:r>
            <w:r>
              <w:rPr>
                <w:rFonts w:ascii="Verdana"/>
                <w:sz w:val="22"/>
              </w:rPr>
              <w:t>subgroup</w:t>
            </w:r>
            <w:r>
              <w:rPr>
                <w:rFonts w:ascii="Verdana"/>
                <w:spacing w:val="-7"/>
                <w:sz w:val="22"/>
              </w:rPr>
              <w:t> </w:t>
            </w:r>
            <w:r>
              <w:rPr>
                <w:rFonts w:ascii="Verdana"/>
                <w:sz w:val="22"/>
              </w:rPr>
              <w:t>agendas</w:t>
            </w:r>
            <w:r>
              <w:rPr>
                <w:rFonts w:ascii="Verdana"/>
                <w:spacing w:val="-6"/>
                <w:sz w:val="22"/>
              </w:rPr>
              <w:t> </w:t>
            </w:r>
            <w:r>
              <w:rPr>
                <w:rFonts w:ascii="Verdana"/>
                <w:sz w:val="22"/>
              </w:rPr>
              <w:t>identified</w:t>
            </w:r>
            <w:r>
              <w:rPr>
                <w:rFonts w:ascii="Verdana"/>
                <w:spacing w:val="-6"/>
                <w:sz w:val="22"/>
              </w:rPr>
              <w:t> </w:t>
            </w:r>
            <w:r>
              <w:rPr>
                <w:rFonts w:ascii="Verdana"/>
                <w:sz w:val="22"/>
              </w:rPr>
              <w:t>that</w:t>
            </w:r>
            <w:r>
              <w:rPr>
                <w:rFonts w:ascii="Verdana"/>
                <w:spacing w:val="-4"/>
                <w:sz w:val="22"/>
              </w:rPr>
              <w:t> </w:t>
            </w:r>
            <w:r>
              <w:rPr>
                <w:rFonts w:ascii="Verdana"/>
                <w:sz w:val="22"/>
              </w:rPr>
              <w:t>risks</w:t>
            </w:r>
            <w:r>
              <w:rPr>
                <w:rFonts w:ascii="Verdana"/>
                <w:spacing w:val="-6"/>
                <w:sz w:val="22"/>
              </w:rPr>
              <w:t> </w:t>
            </w:r>
            <w:r>
              <w:rPr>
                <w:rFonts w:ascii="Verdana"/>
                <w:sz w:val="22"/>
              </w:rPr>
              <w:t>are</w:t>
            </w:r>
            <w:r>
              <w:rPr>
                <w:rFonts w:ascii="Verdana"/>
                <w:spacing w:val="-7"/>
                <w:sz w:val="22"/>
              </w:rPr>
              <w:t> </w:t>
            </w:r>
            <w:r>
              <w:rPr>
                <w:rFonts w:ascii="Verdana"/>
                <w:sz w:val="22"/>
              </w:rPr>
              <w:t>routinely</w:t>
            </w:r>
            <w:r>
              <w:rPr>
                <w:rFonts w:ascii="Verdana"/>
                <w:spacing w:val="-6"/>
                <w:sz w:val="22"/>
              </w:rPr>
              <w:t> </w:t>
            </w:r>
            <w:r>
              <w:rPr>
                <w:rFonts w:ascii="Verdana"/>
                <w:sz w:val="22"/>
              </w:rPr>
              <w:t>referenced</w:t>
            </w:r>
            <w:r>
              <w:rPr>
                <w:rFonts w:ascii="Verdana"/>
                <w:spacing w:val="-7"/>
                <w:sz w:val="22"/>
              </w:rPr>
              <w:t> </w:t>
            </w:r>
            <w:r>
              <w:rPr>
                <w:rFonts w:ascii="Verdana"/>
                <w:sz w:val="22"/>
              </w:rPr>
              <w:t>within</w:t>
            </w:r>
            <w:r>
              <w:rPr>
                <w:rFonts w:ascii="Verdana"/>
                <w:spacing w:val="-6"/>
                <w:sz w:val="22"/>
              </w:rPr>
              <w:t> </w:t>
            </w:r>
            <w:r>
              <w:rPr>
                <w:rFonts w:ascii="Verdana"/>
                <w:sz w:val="22"/>
              </w:rPr>
              <w:t>highlight</w:t>
            </w:r>
            <w:r>
              <w:rPr>
                <w:rFonts w:ascii="Verdana"/>
                <w:spacing w:val="-7"/>
                <w:sz w:val="22"/>
              </w:rPr>
              <w:t> </w:t>
            </w:r>
            <w:r>
              <w:rPr>
                <w:rFonts w:ascii="Verdana"/>
                <w:sz w:val="22"/>
              </w:rPr>
              <w:t>reports,</w:t>
            </w:r>
            <w:r>
              <w:rPr>
                <w:rFonts w:ascii="Verdana"/>
                <w:spacing w:val="-5"/>
                <w:sz w:val="22"/>
              </w:rPr>
              <w:t> </w:t>
            </w:r>
            <w:r>
              <w:rPr>
                <w:rFonts w:ascii="Verdana"/>
                <w:sz w:val="22"/>
              </w:rPr>
              <w:t>with</w:t>
            </w:r>
            <w:r>
              <w:rPr>
                <w:rFonts w:ascii="Verdana"/>
                <w:spacing w:val="-7"/>
                <w:sz w:val="22"/>
              </w:rPr>
              <w:t> </w:t>
            </w:r>
            <w:r>
              <w:rPr>
                <w:rFonts w:ascii="Verdana"/>
                <w:sz w:val="22"/>
              </w:rPr>
              <w:t>some</w:t>
            </w:r>
            <w:r>
              <w:rPr>
                <w:rFonts w:ascii="Verdana"/>
                <w:spacing w:val="-8"/>
                <w:sz w:val="22"/>
              </w:rPr>
              <w:t> </w:t>
            </w:r>
            <w:r>
              <w:rPr>
                <w:rFonts w:ascii="Verdana"/>
                <w:sz w:val="22"/>
              </w:rPr>
              <w:t>evidence</w:t>
            </w:r>
            <w:r>
              <w:rPr>
                <w:rFonts w:ascii="Verdana"/>
                <w:spacing w:val="-5"/>
                <w:sz w:val="22"/>
              </w:rPr>
              <w:t> </w:t>
            </w:r>
            <w:r>
              <w:rPr>
                <w:rFonts w:ascii="Verdana"/>
                <w:sz w:val="22"/>
              </w:rPr>
              <w:t>of</w:t>
            </w:r>
            <w:r>
              <w:rPr>
                <w:rFonts w:ascii="Verdana"/>
                <w:spacing w:val="-6"/>
                <w:sz w:val="22"/>
              </w:rPr>
              <w:t> </w:t>
            </w:r>
            <w:r>
              <w:rPr>
                <w:rFonts w:ascii="Verdana"/>
                <w:sz w:val="22"/>
              </w:rPr>
              <w:t>workstream</w:t>
            </w:r>
            <w:r>
              <w:rPr>
                <w:rFonts w:ascii="Verdana"/>
                <w:spacing w:val="-5"/>
                <w:sz w:val="22"/>
              </w:rPr>
              <w:t> </w:t>
            </w:r>
            <w:r>
              <w:rPr>
                <w:rFonts w:ascii="Verdana"/>
                <w:sz w:val="22"/>
              </w:rPr>
              <w:t>or</w:t>
            </w:r>
            <w:r>
              <w:rPr>
                <w:rFonts w:ascii="Verdana"/>
                <w:spacing w:val="-6"/>
                <w:sz w:val="22"/>
              </w:rPr>
              <w:t> </w:t>
            </w:r>
            <w:r>
              <w:rPr>
                <w:rFonts w:ascii="Verdana"/>
                <w:sz w:val="22"/>
              </w:rPr>
              <w:t>project-level risk registers (for example, within the CSP subgroup at individual project level). However, there is no clearly defined programme-wide approach</w:t>
            </w:r>
            <w:r>
              <w:rPr>
                <w:rFonts w:ascii="Verdana"/>
                <w:spacing w:val="-17"/>
                <w:sz w:val="22"/>
              </w:rPr>
              <w:t> </w:t>
            </w:r>
            <w:r>
              <w:rPr>
                <w:rFonts w:ascii="Verdana"/>
                <w:sz w:val="22"/>
              </w:rPr>
              <w:t>to</w:t>
            </w:r>
            <w:r>
              <w:rPr>
                <w:rFonts w:ascii="Verdana"/>
                <w:spacing w:val="-16"/>
                <w:sz w:val="22"/>
              </w:rPr>
              <w:t> </w:t>
            </w:r>
            <w:r>
              <w:rPr>
                <w:rFonts w:ascii="Verdana"/>
                <w:sz w:val="22"/>
              </w:rPr>
              <w:t>risk</w:t>
            </w:r>
            <w:r>
              <w:rPr>
                <w:rFonts w:ascii="Verdana"/>
                <w:spacing w:val="-14"/>
                <w:sz w:val="22"/>
              </w:rPr>
              <w:t> </w:t>
            </w:r>
            <w:r>
              <w:rPr>
                <w:rFonts w:ascii="Verdana"/>
                <w:sz w:val="22"/>
              </w:rPr>
              <w:t>management</w:t>
            </w:r>
            <w:r>
              <w:rPr>
                <w:rFonts w:ascii="Verdana"/>
                <w:spacing w:val="-16"/>
                <w:sz w:val="22"/>
              </w:rPr>
              <w:t> </w:t>
            </w:r>
            <w:r>
              <w:rPr>
                <w:rFonts w:ascii="Verdana"/>
                <w:sz w:val="22"/>
              </w:rPr>
              <w:t>to</w:t>
            </w:r>
            <w:r>
              <w:rPr>
                <w:rFonts w:ascii="Verdana"/>
                <w:spacing w:val="-16"/>
                <w:sz w:val="22"/>
              </w:rPr>
              <w:t> </w:t>
            </w:r>
            <w:r>
              <w:rPr>
                <w:rFonts w:ascii="Verdana"/>
                <w:sz w:val="22"/>
              </w:rPr>
              <w:t>ensure</w:t>
            </w:r>
            <w:r>
              <w:rPr>
                <w:rFonts w:ascii="Verdana"/>
                <w:spacing w:val="-15"/>
                <w:sz w:val="22"/>
              </w:rPr>
              <w:t> </w:t>
            </w:r>
            <w:r>
              <w:rPr>
                <w:rFonts w:ascii="Verdana"/>
                <w:sz w:val="22"/>
              </w:rPr>
              <w:t>that</w:t>
            </w:r>
            <w:r>
              <w:rPr>
                <w:rFonts w:ascii="Verdana"/>
                <w:spacing w:val="-16"/>
                <w:sz w:val="22"/>
              </w:rPr>
              <w:t> </w:t>
            </w:r>
            <w:r>
              <w:rPr>
                <w:rFonts w:ascii="Verdana"/>
                <w:sz w:val="22"/>
              </w:rPr>
              <w:t>delivery</w:t>
            </w:r>
            <w:r>
              <w:rPr>
                <w:rFonts w:ascii="Verdana"/>
                <w:spacing w:val="-14"/>
                <w:sz w:val="22"/>
              </w:rPr>
              <w:t> </w:t>
            </w:r>
            <w:r>
              <w:rPr>
                <w:rFonts w:ascii="Verdana"/>
                <w:sz w:val="22"/>
              </w:rPr>
              <w:t>risks</w:t>
            </w:r>
            <w:r>
              <w:rPr>
                <w:rFonts w:ascii="Verdana"/>
                <w:spacing w:val="-15"/>
                <w:sz w:val="22"/>
              </w:rPr>
              <w:t> </w:t>
            </w:r>
            <w:r>
              <w:rPr>
                <w:rFonts w:ascii="Verdana"/>
                <w:sz w:val="22"/>
              </w:rPr>
              <w:t>are</w:t>
            </w:r>
            <w:r>
              <w:rPr>
                <w:rFonts w:ascii="Verdana"/>
                <w:spacing w:val="-13"/>
                <w:sz w:val="22"/>
              </w:rPr>
              <w:t> </w:t>
            </w:r>
            <w:r>
              <w:rPr>
                <w:rFonts w:ascii="Verdana"/>
                <w:sz w:val="22"/>
              </w:rPr>
              <w:t>identified,</w:t>
            </w:r>
            <w:r>
              <w:rPr>
                <w:rFonts w:ascii="Verdana"/>
                <w:spacing w:val="-15"/>
                <w:sz w:val="22"/>
              </w:rPr>
              <w:t> </w:t>
            </w:r>
            <w:r>
              <w:rPr>
                <w:rFonts w:ascii="Verdana"/>
                <w:sz w:val="22"/>
              </w:rPr>
              <w:t>recorded</w:t>
            </w:r>
            <w:r>
              <w:rPr>
                <w:rFonts w:ascii="Verdana"/>
                <w:spacing w:val="-16"/>
                <w:sz w:val="22"/>
              </w:rPr>
              <w:t> </w:t>
            </w:r>
            <w:r>
              <w:rPr>
                <w:rFonts w:ascii="Verdana"/>
                <w:sz w:val="22"/>
              </w:rPr>
              <w:t>and</w:t>
            </w:r>
            <w:r>
              <w:rPr>
                <w:rFonts w:ascii="Verdana"/>
                <w:spacing w:val="-14"/>
                <w:sz w:val="22"/>
              </w:rPr>
              <w:t> </w:t>
            </w:r>
            <w:r>
              <w:rPr>
                <w:rFonts w:ascii="Verdana"/>
                <w:sz w:val="22"/>
              </w:rPr>
              <w:t>managed</w:t>
            </w:r>
            <w:r>
              <w:rPr>
                <w:rFonts w:ascii="Verdana"/>
                <w:spacing w:val="-18"/>
                <w:sz w:val="22"/>
              </w:rPr>
              <w:t> </w:t>
            </w:r>
            <w:r>
              <w:rPr>
                <w:rFonts w:ascii="Verdana"/>
                <w:sz w:val="22"/>
              </w:rPr>
              <w:t>consistently</w:t>
            </w:r>
            <w:r>
              <w:rPr>
                <w:rFonts w:ascii="Verdana"/>
                <w:spacing w:val="-20"/>
                <w:sz w:val="22"/>
              </w:rPr>
              <w:t> </w:t>
            </w:r>
            <w:r>
              <w:rPr>
                <w:rFonts w:ascii="Verdana"/>
                <w:sz w:val="22"/>
              </w:rPr>
              <w:t>across</w:t>
            </w:r>
            <w:r>
              <w:rPr>
                <w:rFonts w:ascii="Verdana"/>
                <w:spacing w:val="-15"/>
                <w:sz w:val="22"/>
              </w:rPr>
              <w:t> </w:t>
            </w:r>
            <w:r>
              <w:rPr>
                <w:rFonts w:ascii="Verdana"/>
                <w:sz w:val="22"/>
              </w:rPr>
              <w:t>subgroups</w:t>
            </w:r>
            <w:r>
              <w:rPr>
                <w:rFonts w:ascii="Verdana"/>
                <w:spacing w:val="-15"/>
                <w:sz w:val="22"/>
              </w:rPr>
              <w:t> </w:t>
            </w:r>
            <w:r>
              <w:rPr>
                <w:rFonts w:ascii="Verdana"/>
                <w:sz w:val="22"/>
              </w:rPr>
              <w:t>and</w:t>
            </w:r>
            <w:r>
              <w:rPr>
                <w:rFonts w:ascii="Verdana"/>
                <w:spacing w:val="-14"/>
                <w:sz w:val="22"/>
              </w:rPr>
              <w:t> </w:t>
            </w:r>
            <w:r>
              <w:rPr>
                <w:rFonts w:ascii="Verdana"/>
                <w:sz w:val="22"/>
              </w:rPr>
              <w:t>workstreams. (see </w:t>
            </w:r>
            <w:r>
              <w:rPr>
                <w:rFonts w:ascii="Verdana"/>
                <w:b/>
                <w:sz w:val="22"/>
              </w:rPr>
              <w:t>Action 4</w:t>
            </w:r>
            <w:r>
              <w:rPr>
                <w:rFonts w:ascii="Verdana"/>
                <w:sz w:val="22"/>
              </w:rPr>
              <w:t>).</w:t>
            </w:r>
          </w:p>
        </w:tc>
      </w:tr>
      <w:tr>
        <w:trPr>
          <w:trHeight w:val="1204" w:hRule="atLeast"/>
        </w:trPr>
        <w:tc>
          <w:tcPr>
            <w:tcW w:w="149" w:type="dxa"/>
            <w:tcBorders>
              <w:right w:val="single" w:sz="4" w:space="0" w:color="000000"/>
            </w:tcBorders>
            <w:shd w:val="clear" w:color="auto" w:fill="FFFFFF"/>
          </w:tcPr>
          <w:p>
            <w:pPr>
              <w:pStyle w:val="TableParagraph"/>
              <w:rPr>
                <w:rFonts w:ascii="Times New Roman"/>
                <w:sz w:val="22"/>
              </w:rPr>
            </w:pPr>
          </w:p>
        </w:tc>
        <w:tc>
          <w:tcPr>
            <w:tcW w:w="15939" w:type="dxa"/>
            <w:tcBorders>
              <w:top w:val="single" w:sz="4" w:space="0" w:color="000000"/>
              <w:left w:val="single" w:sz="4" w:space="0" w:color="000000"/>
              <w:bottom w:val="single" w:sz="4" w:space="0" w:color="000000"/>
              <w:right w:val="single" w:sz="4" w:space="0" w:color="000000"/>
            </w:tcBorders>
            <w:shd w:val="clear" w:color="auto" w:fill="D9E1F3"/>
          </w:tcPr>
          <w:p>
            <w:pPr>
              <w:pStyle w:val="TableParagraph"/>
              <w:spacing w:before="119"/>
              <w:ind w:left="102"/>
              <w:rPr>
                <w:rFonts w:ascii="Verdana"/>
                <w:b/>
                <w:sz w:val="22"/>
              </w:rPr>
            </w:pPr>
            <w:r>
              <w:rPr>
                <w:rFonts w:ascii="Verdana"/>
                <w:b/>
                <w:sz w:val="22"/>
              </w:rPr>
              <w:t>Action</w:t>
            </w:r>
            <w:r>
              <w:rPr>
                <w:rFonts w:ascii="Verdana"/>
                <w:b/>
                <w:spacing w:val="-4"/>
                <w:sz w:val="22"/>
              </w:rPr>
              <w:t> </w:t>
            </w:r>
            <w:r>
              <w:rPr>
                <w:rFonts w:ascii="Verdana"/>
                <w:b/>
                <w:sz w:val="22"/>
              </w:rPr>
              <w:t>4:</w:t>
            </w:r>
            <w:r>
              <w:rPr>
                <w:rFonts w:ascii="Verdana"/>
                <w:b/>
                <w:spacing w:val="-4"/>
                <w:sz w:val="22"/>
              </w:rPr>
              <w:t> </w:t>
            </w:r>
            <w:r>
              <w:rPr>
                <w:rFonts w:ascii="Verdana"/>
                <w:b/>
                <w:sz w:val="22"/>
              </w:rPr>
              <w:t>Programme</w:t>
            </w:r>
            <w:r>
              <w:rPr>
                <w:rFonts w:ascii="Verdana"/>
                <w:b/>
                <w:spacing w:val="-5"/>
                <w:sz w:val="22"/>
              </w:rPr>
              <w:t> </w:t>
            </w:r>
            <w:r>
              <w:rPr>
                <w:rFonts w:ascii="Verdana"/>
                <w:b/>
                <w:sz w:val="22"/>
              </w:rPr>
              <w:t>Risk</w:t>
            </w:r>
            <w:r>
              <w:rPr>
                <w:rFonts w:ascii="Verdana"/>
                <w:b/>
                <w:spacing w:val="-3"/>
                <w:sz w:val="22"/>
              </w:rPr>
              <w:t> </w:t>
            </w:r>
            <w:r>
              <w:rPr>
                <w:rFonts w:ascii="Verdana"/>
                <w:b/>
                <w:spacing w:val="-2"/>
                <w:sz w:val="22"/>
              </w:rPr>
              <w:t>Management</w:t>
            </w:r>
          </w:p>
          <w:p>
            <w:pPr>
              <w:pStyle w:val="TableParagraph"/>
              <w:spacing w:line="261" w:lineRule="auto" w:before="119"/>
              <w:ind w:left="102"/>
              <w:rPr>
                <w:rFonts w:ascii="Verdana"/>
                <w:sz w:val="22"/>
              </w:rPr>
            </w:pPr>
            <w:r>
              <w:rPr>
                <w:rFonts w:ascii="Verdana"/>
                <w:sz w:val="22"/>
              </w:rPr>
              <w:t>Completion</w:t>
            </w:r>
            <w:r>
              <w:rPr>
                <w:rFonts w:ascii="Verdana"/>
                <w:spacing w:val="31"/>
                <w:sz w:val="22"/>
              </w:rPr>
              <w:t> </w:t>
            </w:r>
            <w:r>
              <w:rPr>
                <w:rFonts w:ascii="Verdana"/>
                <w:sz w:val="22"/>
              </w:rPr>
              <w:t>of</w:t>
            </w:r>
            <w:r>
              <w:rPr>
                <w:rFonts w:ascii="Verdana"/>
                <w:spacing w:val="33"/>
                <w:sz w:val="22"/>
              </w:rPr>
              <w:t> </w:t>
            </w:r>
            <w:r>
              <w:rPr>
                <w:rFonts w:ascii="Verdana"/>
                <w:sz w:val="22"/>
              </w:rPr>
              <w:t>the</w:t>
            </w:r>
            <w:r>
              <w:rPr>
                <w:rFonts w:ascii="Verdana"/>
                <w:spacing w:val="32"/>
                <w:sz w:val="22"/>
              </w:rPr>
              <w:t> </w:t>
            </w:r>
            <w:r>
              <w:rPr>
                <w:rFonts w:ascii="Verdana"/>
                <w:sz w:val="22"/>
              </w:rPr>
              <w:t>strategic</w:t>
            </w:r>
            <w:r>
              <w:rPr>
                <w:rFonts w:ascii="Verdana"/>
                <w:spacing w:val="34"/>
                <w:sz w:val="22"/>
              </w:rPr>
              <w:t> </w:t>
            </w:r>
            <w:r>
              <w:rPr>
                <w:rFonts w:ascii="Verdana"/>
                <w:sz w:val="22"/>
              </w:rPr>
              <w:t>risk</w:t>
            </w:r>
            <w:r>
              <w:rPr>
                <w:rFonts w:ascii="Verdana"/>
                <w:spacing w:val="33"/>
                <w:sz w:val="22"/>
              </w:rPr>
              <w:t> </w:t>
            </w:r>
            <w:r>
              <w:rPr>
                <w:rFonts w:ascii="Verdana"/>
                <w:sz w:val="22"/>
              </w:rPr>
              <w:t>register</w:t>
            </w:r>
            <w:r>
              <w:rPr>
                <w:rFonts w:ascii="Verdana"/>
                <w:spacing w:val="34"/>
                <w:sz w:val="22"/>
              </w:rPr>
              <w:t> </w:t>
            </w:r>
            <w:r>
              <w:rPr>
                <w:rFonts w:ascii="Verdana"/>
                <w:sz w:val="22"/>
              </w:rPr>
              <w:t>should</w:t>
            </w:r>
            <w:r>
              <w:rPr>
                <w:rFonts w:ascii="Verdana"/>
                <w:spacing w:val="33"/>
                <w:sz w:val="22"/>
              </w:rPr>
              <w:t> </w:t>
            </w:r>
            <w:r>
              <w:rPr>
                <w:rFonts w:ascii="Verdana"/>
                <w:sz w:val="22"/>
              </w:rPr>
              <w:t>be</w:t>
            </w:r>
            <w:r>
              <w:rPr>
                <w:rFonts w:ascii="Verdana"/>
                <w:spacing w:val="34"/>
                <w:sz w:val="22"/>
              </w:rPr>
              <w:t> </w:t>
            </w:r>
            <w:r>
              <w:rPr>
                <w:rFonts w:ascii="Verdana"/>
                <w:sz w:val="22"/>
              </w:rPr>
              <w:t>followed</w:t>
            </w:r>
            <w:r>
              <w:rPr>
                <w:rFonts w:ascii="Verdana"/>
                <w:spacing w:val="31"/>
                <w:sz w:val="22"/>
              </w:rPr>
              <w:t> </w:t>
            </w:r>
            <w:r>
              <w:rPr>
                <w:rFonts w:ascii="Verdana"/>
                <w:sz w:val="22"/>
              </w:rPr>
              <w:t>by</w:t>
            </w:r>
            <w:r>
              <w:rPr>
                <w:rFonts w:ascii="Verdana"/>
                <w:spacing w:val="33"/>
                <w:sz w:val="22"/>
              </w:rPr>
              <w:t> </w:t>
            </w:r>
            <w:r>
              <w:rPr>
                <w:rFonts w:ascii="Verdana"/>
                <w:sz w:val="22"/>
              </w:rPr>
              <w:t>the</w:t>
            </w:r>
            <w:r>
              <w:rPr>
                <w:rFonts w:ascii="Verdana"/>
                <w:spacing w:val="34"/>
                <w:sz w:val="22"/>
              </w:rPr>
              <w:t> </w:t>
            </w:r>
            <w:r>
              <w:rPr>
                <w:rFonts w:ascii="Verdana"/>
                <w:sz w:val="22"/>
              </w:rPr>
              <w:t>definition</w:t>
            </w:r>
            <w:r>
              <w:rPr>
                <w:rFonts w:ascii="Verdana"/>
                <w:spacing w:val="32"/>
                <w:sz w:val="22"/>
              </w:rPr>
              <w:t> </w:t>
            </w:r>
            <w:r>
              <w:rPr>
                <w:rFonts w:ascii="Verdana"/>
                <w:sz w:val="22"/>
              </w:rPr>
              <w:t>and</w:t>
            </w:r>
            <w:r>
              <w:rPr>
                <w:rFonts w:ascii="Verdana"/>
                <w:spacing w:val="32"/>
                <w:sz w:val="22"/>
              </w:rPr>
              <w:t> </w:t>
            </w:r>
            <w:r>
              <w:rPr>
                <w:rFonts w:ascii="Verdana"/>
                <w:sz w:val="22"/>
              </w:rPr>
              <w:t>implementation</w:t>
            </w:r>
            <w:r>
              <w:rPr>
                <w:rFonts w:ascii="Verdana"/>
                <w:spacing w:val="30"/>
                <w:sz w:val="22"/>
              </w:rPr>
              <w:t> </w:t>
            </w:r>
            <w:r>
              <w:rPr>
                <w:rFonts w:ascii="Verdana"/>
                <w:sz w:val="22"/>
              </w:rPr>
              <w:t>of</w:t>
            </w:r>
            <w:r>
              <w:rPr>
                <w:rFonts w:ascii="Verdana"/>
                <w:spacing w:val="33"/>
                <w:sz w:val="22"/>
              </w:rPr>
              <w:t> </w:t>
            </w:r>
            <w:r>
              <w:rPr>
                <w:rFonts w:ascii="Verdana"/>
                <w:sz w:val="22"/>
              </w:rPr>
              <w:t>a</w:t>
            </w:r>
            <w:r>
              <w:rPr>
                <w:rFonts w:ascii="Verdana"/>
                <w:spacing w:val="31"/>
                <w:sz w:val="22"/>
              </w:rPr>
              <w:t> </w:t>
            </w:r>
            <w:r>
              <w:rPr>
                <w:rFonts w:ascii="Verdana"/>
                <w:sz w:val="22"/>
              </w:rPr>
              <w:t>programme-wide</w:t>
            </w:r>
            <w:r>
              <w:rPr>
                <w:rFonts w:ascii="Verdana"/>
                <w:spacing w:val="32"/>
                <w:sz w:val="22"/>
              </w:rPr>
              <w:t> </w:t>
            </w:r>
            <w:r>
              <w:rPr>
                <w:rFonts w:ascii="Verdana"/>
                <w:sz w:val="22"/>
              </w:rPr>
              <w:t>approach</w:t>
            </w:r>
            <w:r>
              <w:rPr>
                <w:rFonts w:ascii="Verdana"/>
                <w:spacing w:val="33"/>
                <w:sz w:val="22"/>
              </w:rPr>
              <w:t> </w:t>
            </w:r>
            <w:r>
              <w:rPr>
                <w:rFonts w:ascii="Verdana"/>
                <w:sz w:val="22"/>
              </w:rPr>
              <w:t>to</w:t>
            </w:r>
            <w:r>
              <w:rPr>
                <w:rFonts w:ascii="Verdana"/>
                <w:spacing w:val="34"/>
                <w:sz w:val="22"/>
              </w:rPr>
              <w:t> </w:t>
            </w:r>
            <w:r>
              <w:rPr>
                <w:rFonts w:ascii="Verdana"/>
                <w:sz w:val="22"/>
              </w:rPr>
              <w:t>risk management, to ensure delivery risks are consistently identified, recorded and escalated</w:t>
            </w:r>
            <w:r>
              <w:rPr>
                <w:rFonts w:ascii="Verdana"/>
                <w:spacing w:val="-17"/>
                <w:sz w:val="22"/>
              </w:rPr>
              <w:t> </w:t>
            </w:r>
            <w:r>
              <w:rPr>
                <w:rFonts w:ascii="Verdana"/>
                <w:sz w:val="22"/>
              </w:rPr>
              <w:t>across all subgroups and workstreams.</w:t>
            </w:r>
          </w:p>
        </w:tc>
        <w:tc>
          <w:tcPr>
            <w:tcW w:w="113" w:type="dxa"/>
            <w:tcBorders>
              <w:left w:val="single" w:sz="4" w:space="0" w:color="000000"/>
            </w:tcBorders>
            <w:shd w:val="clear" w:color="auto" w:fill="FFFFFF"/>
          </w:tcPr>
          <w:p>
            <w:pPr>
              <w:pStyle w:val="TableParagraph"/>
              <w:rPr>
                <w:rFonts w:ascii="Times New Roman"/>
                <w:sz w:val="22"/>
              </w:rPr>
            </w:pPr>
          </w:p>
        </w:tc>
      </w:tr>
    </w:tbl>
    <w:p>
      <w:pPr>
        <w:pStyle w:val="BodyText"/>
        <w:rPr>
          <w:rFonts w:ascii="Calibri"/>
          <w:b/>
          <w:sz w:val="20"/>
        </w:rPr>
      </w:pPr>
      <w:r>
        <w:rPr>
          <w:rFonts w:ascii="Calibri"/>
          <w:b/>
          <w:sz w:val="20"/>
        </w:rPr>
        <mc:AlternateContent>
          <mc:Choice Requires="wps">
            <w:drawing>
              <wp:anchor distT="0" distB="0" distL="0" distR="0" allowOverlap="1" layoutInCell="1" locked="0" behindDoc="1" simplePos="0" relativeHeight="477219328">
                <wp:simplePos x="0" y="0"/>
                <wp:positionH relativeFrom="page">
                  <wp:posOffset>0</wp:posOffset>
                </wp:positionH>
                <wp:positionV relativeFrom="page">
                  <wp:posOffset>0</wp:posOffset>
                </wp:positionV>
                <wp:extent cx="10694035" cy="7562215"/>
                <wp:effectExtent l="0" t="0" r="0" b="0"/>
                <wp:wrapNone/>
                <wp:docPr id="674" name="Graphic 674"/>
                <wp:cNvGraphicFramePr>
                  <a:graphicFrameLocks/>
                </wp:cNvGraphicFramePr>
                <a:graphic>
                  <a:graphicData uri="http://schemas.microsoft.com/office/word/2010/wordprocessingShape">
                    <wps:wsp>
                      <wps:cNvPr id="674" name="Graphic 674"/>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097152" id="docshape437" filled="true" fillcolor="#eff5f9" stroked="false">
                <v:fill type="solid"/>
                <w10:wrap type="none"/>
              </v:rect>
            </w:pict>
          </mc:Fallback>
        </mc:AlternateContent>
      </w:r>
      <w:r>
        <w:rPr>
          <w:rFonts w:ascii="Calibri"/>
          <w:b/>
          <w:sz w:val="20"/>
        </w:rPr>
        <mc:AlternateContent>
          <mc:Choice Requires="wps">
            <w:drawing>
              <wp:anchor distT="0" distB="0" distL="0" distR="0" allowOverlap="1" layoutInCell="1" locked="0" behindDoc="0" simplePos="0" relativeHeight="15866368">
                <wp:simplePos x="0" y="0"/>
                <wp:positionH relativeFrom="page">
                  <wp:posOffset>4918493</wp:posOffset>
                </wp:positionH>
                <wp:positionV relativeFrom="page">
                  <wp:posOffset>7307615</wp:posOffset>
                </wp:positionV>
                <wp:extent cx="855980" cy="193040"/>
                <wp:effectExtent l="0" t="0" r="0" b="0"/>
                <wp:wrapNone/>
                <wp:docPr id="675" name="Group 675"/>
                <wp:cNvGraphicFramePr>
                  <a:graphicFrameLocks/>
                </wp:cNvGraphicFramePr>
                <a:graphic>
                  <a:graphicData uri="http://schemas.microsoft.com/office/word/2010/wordprocessingGroup">
                    <wpg:wgp>
                      <wpg:cNvPr id="675" name="Group 675"/>
                      <wpg:cNvGrpSpPr/>
                      <wpg:grpSpPr>
                        <a:xfrm>
                          <a:off x="0" y="0"/>
                          <a:ext cx="855980" cy="193040"/>
                          <a:chExt cx="855980" cy="193040"/>
                        </a:xfrm>
                      </wpg:grpSpPr>
                      <pic:pic>
                        <pic:nvPicPr>
                          <pic:cNvPr id="676" name="Image 676"/>
                          <pic:cNvPicPr/>
                        </pic:nvPicPr>
                        <pic:blipFill>
                          <a:blip r:embed="rId23" cstate="print"/>
                          <a:stretch>
                            <a:fillRect/>
                          </a:stretch>
                        </pic:blipFill>
                        <pic:spPr>
                          <a:xfrm>
                            <a:off x="0" y="0"/>
                            <a:ext cx="855390" cy="192463"/>
                          </a:xfrm>
                          <a:prstGeom prst="rect">
                            <a:avLst/>
                          </a:prstGeom>
                        </pic:spPr>
                      </pic:pic>
                      <wps:wsp>
                        <wps:cNvPr id="677" name="Textbox 677"/>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181</w:t>
                              </w:r>
                            </w:p>
                          </w:txbxContent>
                        </wps:txbx>
                        <wps:bodyPr wrap="square" lIns="0" tIns="0" rIns="0" bIns="0" rtlCol="0">
                          <a:noAutofit/>
                        </wps:bodyPr>
                      </wps:wsp>
                    </wpg:wgp>
                  </a:graphicData>
                </a:graphic>
              </wp:anchor>
            </w:drawing>
          </mc:Choice>
          <mc:Fallback>
            <w:pict>
              <v:group style="position:absolute;margin-left:387.28299pt;margin-top:575.402832pt;width:67.4pt;height:15.2pt;mso-position-horizontal-relative:page;mso-position-vertical-relative:page;z-index:15866368" id="docshapegroup438" coordorigin="7746,11508" coordsize="1348,304">
                <v:shape style="position:absolute;left:7745;top:11508;width:1348;height:304" type="#_x0000_t75" id="docshape439" stroked="false">
                  <v:imagedata r:id="rId23" o:title=""/>
                </v:shape>
                <v:shape style="position:absolute;left:7745;top:11508;width:1348;height:304" type="#_x0000_t202" id="docshape440" filled="false" stroked="false">
                  <v:textbox inset="0,0,0,0">
                    <w:txbxContent>
                      <w:p>
                        <w:pPr>
                          <w:spacing w:before="106"/>
                          <w:ind w:left="337" w:right="0" w:firstLine="0"/>
                          <w:jc w:val="left"/>
                          <w:rPr>
                            <w:sz w:val="15"/>
                          </w:rPr>
                        </w:pPr>
                        <w:r>
                          <w:rPr>
                            <w:w w:val="105"/>
                            <w:sz w:val="15"/>
                          </w:rPr>
                          <w:t>Page</w:t>
                        </w:r>
                        <w:r>
                          <w:rPr>
                            <w:spacing w:val="-5"/>
                            <w:w w:val="105"/>
                            <w:sz w:val="15"/>
                          </w:rPr>
                          <w:t> 181</w:t>
                        </w:r>
                      </w:p>
                    </w:txbxContent>
                  </v:textbox>
                  <w10:wrap type="none"/>
                </v:shape>
                <w10:wrap type="none"/>
              </v:group>
            </w:pict>
          </mc:Fallback>
        </mc:AlternateContent>
      </w:r>
    </w:p>
    <w:p>
      <w:pPr>
        <w:pStyle w:val="BodyText"/>
        <w:spacing w:before="108"/>
        <w:rPr>
          <w:rFonts w:ascii="Calibri"/>
          <w:b/>
          <w:sz w:val="20"/>
        </w:rPr>
      </w:pPr>
      <w:r>
        <w:rPr>
          <w:rFonts w:ascii="Calibri"/>
          <w:b/>
          <w:sz w:val="20"/>
        </w:rPr>
        <mc:AlternateContent>
          <mc:Choice Requires="wps">
            <w:drawing>
              <wp:anchor distT="0" distB="0" distL="0" distR="0" allowOverlap="1" layoutInCell="1" locked="0" behindDoc="1" simplePos="0" relativeHeight="487724544">
                <wp:simplePos x="0" y="0"/>
                <wp:positionH relativeFrom="page">
                  <wp:posOffset>10068814</wp:posOffset>
                </wp:positionH>
                <wp:positionV relativeFrom="paragraph">
                  <wp:posOffset>239178</wp:posOffset>
                </wp:positionV>
                <wp:extent cx="419734" cy="6350"/>
                <wp:effectExtent l="0" t="0" r="0" b="0"/>
                <wp:wrapTopAndBottom/>
                <wp:docPr id="678" name="Graphic 678"/>
                <wp:cNvGraphicFramePr>
                  <a:graphicFrameLocks/>
                </wp:cNvGraphicFramePr>
                <a:graphic>
                  <a:graphicData uri="http://schemas.microsoft.com/office/word/2010/wordprocessingShape">
                    <wps:wsp>
                      <wps:cNvPr id="678" name="Graphic 678"/>
                      <wps:cNvSpPr/>
                      <wps:spPr>
                        <a:xfrm>
                          <a:off x="0" y="0"/>
                          <a:ext cx="419734" cy="6350"/>
                        </a:xfrm>
                        <a:custGeom>
                          <a:avLst/>
                          <a:gdLst/>
                          <a:ahLst/>
                          <a:cxnLst/>
                          <a:rect l="l" t="t" r="r" b="b"/>
                          <a:pathLst>
                            <a:path w="419734" h="6350">
                              <a:moveTo>
                                <a:pt x="419404" y="0"/>
                              </a:moveTo>
                              <a:lnTo>
                                <a:pt x="0" y="0"/>
                              </a:lnTo>
                              <a:lnTo>
                                <a:pt x="0" y="6096"/>
                              </a:lnTo>
                              <a:lnTo>
                                <a:pt x="419404" y="6096"/>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820007pt;margin-top:18.83293pt;width:33.024pt;height:.48004pt;mso-position-horizontal-relative:page;mso-position-vertical-relative:paragraph;z-index:-15591936;mso-wrap-distance-left:0;mso-wrap-distance-right:0" id="docshape441" filled="true" fillcolor="#7e7e7e" stroked="false">
                <v:fill type="solid"/>
                <w10:wrap type="topAndBottom"/>
              </v:rect>
            </w:pict>
          </mc:Fallback>
        </mc:AlternateContent>
      </w:r>
    </w:p>
    <w:p>
      <w:pPr>
        <w:spacing w:before="18"/>
        <w:ind w:left="0" w:right="453" w:firstLine="0"/>
        <w:jc w:val="right"/>
        <w:rPr>
          <w:rFonts w:ascii="Calibri"/>
          <w:b/>
          <w:sz w:val="22"/>
        </w:rPr>
      </w:pPr>
      <w:r>
        <w:rPr>
          <w:rFonts w:ascii="Calibri"/>
          <w:b/>
          <w:color w:val="001F5F"/>
          <w:spacing w:val="-10"/>
          <w:sz w:val="22"/>
        </w:rPr>
        <w:t>7</w:t>
      </w:r>
    </w:p>
    <w:p>
      <w:pPr>
        <w:spacing w:after="0"/>
        <w:jc w:val="right"/>
        <w:rPr>
          <w:rFonts w:ascii="Calibri"/>
          <w:b/>
          <w:sz w:val="22"/>
        </w:rPr>
        <w:sectPr>
          <w:footerReference w:type="default" r:id="rId97"/>
          <w:pgSz w:w="16840" w:h="11910" w:orient="landscape"/>
          <w:pgMar w:header="0" w:footer="0" w:top="320" w:bottom="0" w:left="141" w:right="141"/>
        </w:sectPr>
      </w:pPr>
    </w:p>
    <w:p>
      <w:pPr>
        <w:pStyle w:val="Heading1"/>
        <w:ind w:left="142"/>
        <w:rPr>
          <w:rFonts w:ascii="Verdana"/>
        </w:rPr>
      </w:pPr>
      <w:r>
        <w:rPr>
          <w:rFonts w:ascii="Verdana"/>
        </w:rPr>
        <mc:AlternateContent>
          <mc:Choice Requires="wps">
            <w:drawing>
              <wp:anchor distT="0" distB="0" distL="0" distR="0" allowOverlap="1" layoutInCell="1" locked="0" behindDoc="1" simplePos="0" relativeHeight="477221376">
                <wp:simplePos x="0" y="0"/>
                <wp:positionH relativeFrom="page">
                  <wp:posOffset>0</wp:posOffset>
                </wp:positionH>
                <wp:positionV relativeFrom="page">
                  <wp:posOffset>0</wp:posOffset>
                </wp:positionV>
                <wp:extent cx="10694035" cy="7562215"/>
                <wp:effectExtent l="0" t="0" r="0" b="0"/>
                <wp:wrapNone/>
                <wp:docPr id="679" name="Graphic 679"/>
                <wp:cNvGraphicFramePr>
                  <a:graphicFrameLocks/>
                </wp:cNvGraphicFramePr>
                <a:graphic>
                  <a:graphicData uri="http://schemas.microsoft.com/office/word/2010/wordprocessingShape">
                    <wps:wsp>
                      <wps:cNvPr id="679" name="Graphic 679"/>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095104" id="docshape442" filled="true" fillcolor="#eff5f9" stroked="false">
                <v:fill type="solid"/>
                <w10:wrap type="none"/>
              </v:rect>
            </w:pict>
          </mc:Fallback>
        </mc:AlternateContent>
      </w:r>
      <w:bookmarkStart w:name="_TOC_250002" w:id="77"/>
      <w:r>
        <w:rPr>
          <w:rFonts w:ascii="Verdana"/>
          <w:color w:val="001F5F"/>
        </w:rPr>
        <w:t>Appendix</w:t>
      </w:r>
      <w:r>
        <w:rPr>
          <w:rFonts w:ascii="Verdana"/>
          <w:color w:val="001F5F"/>
          <w:spacing w:val="-5"/>
        </w:rPr>
        <w:t> </w:t>
      </w:r>
      <w:r>
        <w:rPr>
          <w:rFonts w:ascii="Verdana"/>
          <w:color w:val="001F5F"/>
        </w:rPr>
        <w:t>A:</w:t>
      </w:r>
      <w:r>
        <w:rPr>
          <w:rFonts w:ascii="Verdana"/>
          <w:color w:val="001F5F"/>
          <w:spacing w:val="-2"/>
        </w:rPr>
        <w:t> </w:t>
      </w:r>
      <w:r>
        <w:rPr>
          <w:rFonts w:ascii="Verdana"/>
          <w:color w:val="001F5F"/>
        </w:rPr>
        <w:t>RJC</w:t>
      </w:r>
      <w:r>
        <w:rPr>
          <w:rFonts w:ascii="Verdana"/>
          <w:color w:val="001F5F"/>
          <w:spacing w:val="-3"/>
        </w:rPr>
        <w:t> </w:t>
      </w:r>
      <w:r>
        <w:rPr>
          <w:rFonts w:ascii="Verdana"/>
          <w:color w:val="001F5F"/>
        </w:rPr>
        <w:t>Work</w:t>
      </w:r>
      <w:r>
        <w:rPr>
          <w:rFonts w:ascii="Verdana"/>
          <w:color w:val="001F5F"/>
          <w:spacing w:val="-3"/>
        </w:rPr>
        <w:t> </w:t>
      </w:r>
      <w:r>
        <w:rPr>
          <w:rFonts w:ascii="Verdana"/>
          <w:color w:val="001F5F"/>
        </w:rPr>
        <w:t>Programme</w:t>
      </w:r>
      <w:r>
        <w:rPr>
          <w:rFonts w:ascii="Verdana"/>
          <w:color w:val="001F5F"/>
          <w:spacing w:val="-3"/>
        </w:rPr>
        <w:t> </w:t>
      </w:r>
      <w:r>
        <w:rPr>
          <w:rFonts w:ascii="Verdana"/>
          <w:color w:val="001F5F"/>
        </w:rPr>
        <w:t>Status</w:t>
      </w:r>
      <w:r>
        <w:rPr>
          <w:rFonts w:ascii="Verdana"/>
          <w:color w:val="001F5F"/>
          <w:spacing w:val="-2"/>
        </w:rPr>
        <w:t> </w:t>
      </w:r>
      <w:r>
        <w:rPr>
          <w:rFonts w:ascii="Verdana"/>
          <w:color w:val="001F5F"/>
        </w:rPr>
        <w:t>(August</w:t>
      </w:r>
      <w:r>
        <w:rPr>
          <w:rFonts w:ascii="Verdana"/>
          <w:color w:val="001F5F"/>
          <w:spacing w:val="-3"/>
        </w:rPr>
        <w:t> </w:t>
      </w:r>
      <w:bookmarkEnd w:id="77"/>
      <w:r>
        <w:rPr>
          <w:rFonts w:ascii="Verdana"/>
          <w:color w:val="001F5F"/>
          <w:spacing w:val="-2"/>
        </w:rPr>
        <w:t>2025)</w:t>
      </w:r>
    </w:p>
    <w:p>
      <w:pPr>
        <w:spacing w:before="152"/>
        <w:ind w:left="142" w:right="0" w:firstLine="0"/>
        <w:jc w:val="left"/>
        <w:rPr>
          <w:rFonts w:ascii="Verdana"/>
          <w:sz w:val="22"/>
        </w:rPr>
      </w:pPr>
      <w:r>
        <w:rPr>
          <w:rFonts w:ascii="Verdana"/>
          <w:sz w:val="22"/>
        </w:rPr>
        <mc:AlternateContent>
          <mc:Choice Requires="wps">
            <w:drawing>
              <wp:anchor distT="0" distB="0" distL="0" distR="0" allowOverlap="1" layoutInCell="1" locked="0" behindDoc="0" simplePos="0" relativeHeight="15868416">
                <wp:simplePos x="0" y="0"/>
                <wp:positionH relativeFrom="page">
                  <wp:posOffset>4918493</wp:posOffset>
                </wp:positionH>
                <wp:positionV relativeFrom="paragraph">
                  <wp:posOffset>6569161</wp:posOffset>
                </wp:positionV>
                <wp:extent cx="855980" cy="193040"/>
                <wp:effectExtent l="0" t="0" r="0" b="0"/>
                <wp:wrapNone/>
                <wp:docPr id="680" name="Group 680"/>
                <wp:cNvGraphicFramePr>
                  <a:graphicFrameLocks/>
                </wp:cNvGraphicFramePr>
                <a:graphic>
                  <a:graphicData uri="http://schemas.microsoft.com/office/word/2010/wordprocessingGroup">
                    <wpg:wgp>
                      <wpg:cNvPr id="680" name="Group 680"/>
                      <wpg:cNvGrpSpPr/>
                      <wpg:grpSpPr>
                        <a:xfrm>
                          <a:off x="0" y="0"/>
                          <a:ext cx="855980" cy="193040"/>
                          <a:chExt cx="855980" cy="193040"/>
                        </a:xfrm>
                      </wpg:grpSpPr>
                      <pic:pic>
                        <pic:nvPicPr>
                          <pic:cNvPr id="681" name="Image 681"/>
                          <pic:cNvPicPr/>
                        </pic:nvPicPr>
                        <pic:blipFill>
                          <a:blip r:embed="rId23" cstate="print"/>
                          <a:stretch>
                            <a:fillRect/>
                          </a:stretch>
                        </pic:blipFill>
                        <pic:spPr>
                          <a:xfrm>
                            <a:off x="0" y="0"/>
                            <a:ext cx="855390" cy="192463"/>
                          </a:xfrm>
                          <a:prstGeom prst="rect">
                            <a:avLst/>
                          </a:prstGeom>
                        </pic:spPr>
                      </pic:pic>
                      <wps:wsp>
                        <wps:cNvPr id="682" name="Textbox 682"/>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182</w:t>
                              </w:r>
                            </w:p>
                          </w:txbxContent>
                        </wps:txbx>
                        <wps:bodyPr wrap="square" lIns="0" tIns="0" rIns="0" bIns="0" rtlCol="0">
                          <a:noAutofit/>
                        </wps:bodyPr>
                      </wps:wsp>
                    </wpg:wgp>
                  </a:graphicData>
                </a:graphic>
              </wp:anchor>
            </w:drawing>
          </mc:Choice>
          <mc:Fallback>
            <w:pict>
              <v:group style="position:absolute;margin-left:387.28299pt;margin-top:517.256836pt;width:67.4pt;height:15.2pt;mso-position-horizontal-relative:page;mso-position-vertical-relative:paragraph;z-index:15868416" id="docshapegroup443" coordorigin="7746,10345" coordsize="1348,304">
                <v:shape style="position:absolute;left:7745;top:10345;width:1348;height:304" type="#_x0000_t75" id="docshape444" stroked="false">
                  <v:imagedata r:id="rId23" o:title=""/>
                </v:shape>
                <v:shape style="position:absolute;left:7745;top:10345;width:1348;height:304" type="#_x0000_t202" id="docshape445" filled="false" stroked="false">
                  <v:textbox inset="0,0,0,0">
                    <w:txbxContent>
                      <w:p>
                        <w:pPr>
                          <w:spacing w:before="106"/>
                          <w:ind w:left="337" w:right="0" w:firstLine="0"/>
                          <w:jc w:val="left"/>
                          <w:rPr>
                            <w:sz w:val="15"/>
                          </w:rPr>
                        </w:pPr>
                        <w:r>
                          <w:rPr>
                            <w:w w:val="105"/>
                            <w:sz w:val="15"/>
                          </w:rPr>
                          <w:t>Page</w:t>
                        </w:r>
                        <w:r>
                          <w:rPr>
                            <w:spacing w:val="-5"/>
                            <w:w w:val="105"/>
                            <w:sz w:val="15"/>
                          </w:rPr>
                          <w:t> 182</w:t>
                        </w:r>
                      </w:p>
                    </w:txbxContent>
                  </v:textbox>
                  <w10:wrap type="none"/>
                </v:shape>
                <w10:wrap type="none"/>
              </v:group>
            </w:pict>
          </mc:Fallback>
        </mc:AlternateContent>
      </w:r>
      <w:r>
        <w:rPr>
          <w:rFonts w:ascii="Verdana"/>
          <w:sz w:val="22"/>
        </w:rPr>
        <w:t>The</w:t>
      </w:r>
      <w:r>
        <w:rPr>
          <w:rFonts w:ascii="Verdana"/>
          <w:spacing w:val="-5"/>
          <w:sz w:val="22"/>
        </w:rPr>
        <w:t> </w:t>
      </w:r>
      <w:r>
        <w:rPr>
          <w:rFonts w:ascii="Verdana"/>
          <w:sz w:val="22"/>
        </w:rPr>
        <w:t>following</w:t>
      </w:r>
      <w:r>
        <w:rPr>
          <w:rFonts w:ascii="Verdana"/>
          <w:spacing w:val="-6"/>
          <w:sz w:val="22"/>
        </w:rPr>
        <w:t> </w:t>
      </w:r>
      <w:r>
        <w:rPr>
          <w:rFonts w:ascii="Verdana"/>
          <w:sz w:val="22"/>
        </w:rPr>
        <w:t>summary</w:t>
      </w:r>
      <w:r>
        <w:rPr>
          <w:rFonts w:ascii="Verdana"/>
          <w:spacing w:val="-5"/>
          <w:sz w:val="22"/>
        </w:rPr>
        <w:t> </w:t>
      </w:r>
      <w:r>
        <w:rPr>
          <w:rFonts w:ascii="Verdana"/>
          <w:sz w:val="22"/>
        </w:rPr>
        <w:t>was</w:t>
      </w:r>
      <w:r>
        <w:rPr>
          <w:rFonts w:ascii="Verdana"/>
          <w:spacing w:val="-5"/>
          <w:sz w:val="22"/>
        </w:rPr>
        <w:t> </w:t>
      </w:r>
      <w:r>
        <w:rPr>
          <w:rFonts w:ascii="Verdana"/>
          <w:sz w:val="22"/>
        </w:rPr>
        <w:t>presented</w:t>
      </w:r>
      <w:r>
        <w:rPr>
          <w:rFonts w:ascii="Verdana"/>
          <w:spacing w:val="-4"/>
          <w:sz w:val="22"/>
        </w:rPr>
        <w:t> </w:t>
      </w:r>
      <w:r>
        <w:rPr>
          <w:rFonts w:ascii="Verdana"/>
          <w:sz w:val="22"/>
        </w:rPr>
        <w:t>at</w:t>
      </w:r>
      <w:r>
        <w:rPr>
          <w:rFonts w:ascii="Verdana"/>
          <w:spacing w:val="-6"/>
          <w:sz w:val="22"/>
        </w:rPr>
        <w:t> </w:t>
      </w:r>
      <w:r>
        <w:rPr>
          <w:rFonts w:ascii="Verdana"/>
          <w:sz w:val="22"/>
        </w:rPr>
        <w:t>the</w:t>
      </w:r>
      <w:r>
        <w:rPr>
          <w:rFonts w:ascii="Verdana"/>
          <w:spacing w:val="-3"/>
          <w:sz w:val="22"/>
        </w:rPr>
        <w:t> </w:t>
      </w:r>
      <w:r>
        <w:rPr>
          <w:rFonts w:ascii="Verdana"/>
          <w:sz w:val="22"/>
        </w:rPr>
        <w:t>Regional</w:t>
      </w:r>
      <w:r>
        <w:rPr>
          <w:rFonts w:ascii="Verdana"/>
          <w:spacing w:val="-6"/>
          <w:sz w:val="22"/>
        </w:rPr>
        <w:t> </w:t>
      </w:r>
      <w:r>
        <w:rPr>
          <w:rFonts w:ascii="Verdana"/>
          <w:sz w:val="22"/>
        </w:rPr>
        <w:t>Joint</w:t>
      </w:r>
      <w:r>
        <w:rPr>
          <w:rFonts w:ascii="Verdana"/>
          <w:spacing w:val="-5"/>
          <w:sz w:val="22"/>
        </w:rPr>
        <w:t> </w:t>
      </w:r>
      <w:r>
        <w:rPr>
          <w:rFonts w:ascii="Verdana"/>
          <w:sz w:val="22"/>
        </w:rPr>
        <w:t>Committee</w:t>
      </w:r>
      <w:r>
        <w:rPr>
          <w:rFonts w:ascii="Verdana"/>
          <w:spacing w:val="-7"/>
          <w:sz w:val="22"/>
        </w:rPr>
        <w:t> </w:t>
      </w:r>
      <w:r>
        <w:rPr>
          <w:rFonts w:ascii="Verdana"/>
          <w:sz w:val="22"/>
        </w:rPr>
        <w:t>meeting</w:t>
      </w:r>
      <w:r>
        <w:rPr>
          <w:rFonts w:ascii="Verdana"/>
          <w:spacing w:val="-6"/>
          <w:sz w:val="22"/>
        </w:rPr>
        <w:t> </w:t>
      </w:r>
      <w:r>
        <w:rPr>
          <w:rFonts w:ascii="Verdana"/>
          <w:sz w:val="22"/>
        </w:rPr>
        <w:t>(18</w:t>
      </w:r>
      <w:r>
        <w:rPr>
          <w:rFonts w:ascii="Verdana"/>
          <w:spacing w:val="-4"/>
          <w:sz w:val="22"/>
        </w:rPr>
        <w:t> </w:t>
      </w:r>
      <w:r>
        <w:rPr>
          <w:rFonts w:ascii="Verdana"/>
          <w:sz w:val="22"/>
        </w:rPr>
        <w:t>August</w:t>
      </w:r>
      <w:r>
        <w:rPr>
          <w:rFonts w:ascii="Verdana"/>
          <w:spacing w:val="-5"/>
          <w:sz w:val="22"/>
        </w:rPr>
        <w:t> </w:t>
      </w:r>
      <w:r>
        <w:rPr>
          <w:rFonts w:ascii="Verdana"/>
          <w:spacing w:val="-2"/>
          <w:sz w:val="22"/>
        </w:rPr>
        <w:t>2025)</w:t>
      </w:r>
    </w:p>
    <w:p>
      <w:pPr>
        <w:pStyle w:val="BodyText"/>
        <w:spacing w:before="10"/>
        <w:rPr>
          <w:rFonts w:ascii="Verdana"/>
          <w:sz w:val="12"/>
        </w:rPr>
      </w:pPr>
      <w:r>
        <w:rPr>
          <w:rFonts w:ascii="Verdana"/>
          <w:sz w:val="12"/>
        </w:rPr>
        <w:drawing>
          <wp:anchor distT="0" distB="0" distL="0" distR="0" allowOverlap="1" layoutInCell="1" locked="0" behindDoc="1" simplePos="0" relativeHeight="487726080">
            <wp:simplePos x="0" y="0"/>
            <wp:positionH relativeFrom="page">
              <wp:posOffset>180339</wp:posOffset>
            </wp:positionH>
            <wp:positionV relativeFrom="paragraph">
              <wp:posOffset>114241</wp:posOffset>
            </wp:positionV>
            <wp:extent cx="9834348" cy="4786884"/>
            <wp:effectExtent l="0" t="0" r="0" b="0"/>
            <wp:wrapTopAndBottom/>
            <wp:docPr id="683" name="Image 683"/>
            <wp:cNvGraphicFramePr>
              <a:graphicFrameLocks/>
            </wp:cNvGraphicFramePr>
            <a:graphic>
              <a:graphicData uri="http://schemas.openxmlformats.org/drawingml/2006/picture">
                <pic:pic>
                  <pic:nvPicPr>
                    <pic:cNvPr id="683" name="Image 683"/>
                    <pic:cNvPicPr/>
                  </pic:nvPicPr>
                  <pic:blipFill>
                    <a:blip r:embed="rId99" cstate="print"/>
                    <a:stretch>
                      <a:fillRect/>
                    </a:stretch>
                  </pic:blipFill>
                  <pic:spPr>
                    <a:xfrm>
                      <a:off x="0" y="0"/>
                      <a:ext cx="9834348" cy="4786884"/>
                    </a:xfrm>
                    <a:prstGeom prst="rect">
                      <a:avLst/>
                    </a:prstGeom>
                  </pic:spPr>
                </pic:pic>
              </a:graphicData>
            </a:graphic>
          </wp:anchor>
        </w:drawing>
      </w: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234"/>
        <w:rPr>
          <w:rFonts w:ascii="Verdana"/>
          <w:sz w:val="20"/>
        </w:rPr>
      </w:pPr>
      <w:r>
        <w:rPr>
          <w:rFonts w:ascii="Verdana"/>
          <w:sz w:val="20"/>
        </w:rPr>
        <mc:AlternateContent>
          <mc:Choice Requires="wps">
            <w:drawing>
              <wp:anchor distT="0" distB="0" distL="0" distR="0" allowOverlap="1" layoutInCell="1" locked="0" behindDoc="1" simplePos="0" relativeHeight="487726592">
                <wp:simplePos x="0" y="0"/>
                <wp:positionH relativeFrom="page">
                  <wp:posOffset>10067290</wp:posOffset>
                </wp:positionH>
                <wp:positionV relativeFrom="paragraph">
                  <wp:posOffset>318221</wp:posOffset>
                </wp:positionV>
                <wp:extent cx="419734" cy="6350"/>
                <wp:effectExtent l="0" t="0" r="0" b="0"/>
                <wp:wrapTopAndBottom/>
                <wp:docPr id="684" name="Graphic 684"/>
                <wp:cNvGraphicFramePr>
                  <a:graphicFrameLocks/>
                </wp:cNvGraphicFramePr>
                <a:graphic>
                  <a:graphicData uri="http://schemas.microsoft.com/office/word/2010/wordprocessingShape">
                    <wps:wsp>
                      <wps:cNvPr id="684" name="Graphic 684"/>
                      <wps:cNvSpPr/>
                      <wps:spPr>
                        <a:xfrm>
                          <a:off x="0" y="0"/>
                          <a:ext cx="419734" cy="6350"/>
                        </a:xfrm>
                        <a:custGeom>
                          <a:avLst/>
                          <a:gdLst/>
                          <a:ahLst/>
                          <a:cxnLst/>
                          <a:rect l="l" t="t" r="r" b="b"/>
                          <a:pathLst>
                            <a:path w="419734" h="6350">
                              <a:moveTo>
                                <a:pt x="419404" y="0"/>
                              </a:moveTo>
                              <a:lnTo>
                                <a:pt x="0" y="0"/>
                              </a:lnTo>
                              <a:lnTo>
                                <a:pt x="0" y="6095"/>
                              </a:lnTo>
                              <a:lnTo>
                                <a:pt x="419404" y="6095"/>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700012pt;margin-top:25.056778pt;width:33.024pt;height:.47998pt;mso-position-horizontal-relative:page;mso-position-vertical-relative:paragraph;z-index:-15589888;mso-wrap-distance-left:0;mso-wrap-distance-right:0" id="docshape446" filled="true" fillcolor="#7e7e7e" stroked="false">
                <v:fill type="solid"/>
                <w10:wrap type="topAndBottom"/>
              </v:rect>
            </w:pict>
          </mc:Fallback>
        </mc:AlternateContent>
      </w:r>
    </w:p>
    <w:p>
      <w:pPr>
        <w:spacing w:before="18"/>
        <w:ind w:left="0" w:right="455" w:firstLine="0"/>
        <w:jc w:val="right"/>
        <w:rPr>
          <w:rFonts w:ascii="Calibri"/>
          <w:b/>
          <w:sz w:val="22"/>
        </w:rPr>
      </w:pPr>
      <w:r>
        <w:rPr>
          <w:rFonts w:ascii="Calibri"/>
          <w:b/>
          <w:color w:val="001F5F"/>
          <w:spacing w:val="-10"/>
          <w:sz w:val="22"/>
        </w:rPr>
        <w:t>8</w:t>
      </w:r>
    </w:p>
    <w:p>
      <w:pPr>
        <w:spacing w:after="0"/>
        <w:jc w:val="right"/>
        <w:rPr>
          <w:rFonts w:ascii="Calibri"/>
          <w:b/>
          <w:sz w:val="22"/>
        </w:rPr>
        <w:sectPr>
          <w:footerReference w:type="default" r:id="rId98"/>
          <w:pgSz w:w="16840" w:h="11910" w:orient="landscape"/>
          <w:pgMar w:header="0" w:footer="0" w:top="640" w:bottom="0" w:left="141" w:right="141"/>
        </w:sectPr>
      </w:pPr>
    </w:p>
    <w:p>
      <w:pPr>
        <w:pStyle w:val="Heading1"/>
        <w:ind w:left="142"/>
        <w:rPr>
          <w:rFonts w:ascii="Verdana"/>
        </w:rPr>
      </w:pPr>
      <w:r>
        <w:rPr>
          <w:rFonts w:ascii="Verdana"/>
        </w:rPr>
        <mc:AlternateContent>
          <mc:Choice Requires="wps">
            <w:drawing>
              <wp:anchor distT="0" distB="0" distL="0" distR="0" allowOverlap="1" layoutInCell="1" locked="0" behindDoc="1" simplePos="0" relativeHeight="477222912">
                <wp:simplePos x="0" y="0"/>
                <wp:positionH relativeFrom="page">
                  <wp:posOffset>0</wp:posOffset>
                </wp:positionH>
                <wp:positionV relativeFrom="page">
                  <wp:posOffset>0</wp:posOffset>
                </wp:positionV>
                <wp:extent cx="10694035" cy="7562215"/>
                <wp:effectExtent l="0" t="0" r="0" b="0"/>
                <wp:wrapNone/>
                <wp:docPr id="685" name="Graphic 685"/>
                <wp:cNvGraphicFramePr>
                  <a:graphicFrameLocks/>
                </wp:cNvGraphicFramePr>
                <a:graphic>
                  <a:graphicData uri="http://schemas.microsoft.com/office/word/2010/wordprocessingShape">
                    <wps:wsp>
                      <wps:cNvPr id="685" name="Graphic 685"/>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093568" id="docshape447" filled="true" fillcolor="#eff5f9" stroked="false">
                <v:fill type="solid"/>
                <w10:wrap type="none"/>
              </v:rect>
            </w:pict>
          </mc:Fallback>
        </mc:AlternateContent>
      </w:r>
      <w:bookmarkStart w:name="_TOC_250001" w:id="78"/>
      <w:r>
        <w:rPr>
          <w:rFonts w:ascii="Verdana"/>
          <w:color w:val="001F5F"/>
        </w:rPr>
        <w:t>Appendix</w:t>
      </w:r>
      <w:r>
        <w:rPr>
          <w:rFonts w:ascii="Verdana"/>
          <w:color w:val="001F5F"/>
          <w:spacing w:val="-2"/>
        </w:rPr>
        <w:t> </w:t>
      </w:r>
      <w:r>
        <w:rPr>
          <w:rFonts w:ascii="Verdana"/>
          <w:color w:val="001F5F"/>
        </w:rPr>
        <w:t>B: RJC</w:t>
      </w:r>
      <w:r>
        <w:rPr>
          <w:rFonts w:ascii="Verdana"/>
          <w:color w:val="001F5F"/>
          <w:spacing w:val="-2"/>
        </w:rPr>
        <w:t> </w:t>
      </w:r>
      <w:r>
        <w:rPr>
          <w:rFonts w:ascii="Verdana"/>
          <w:color w:val="001F5F"/>
        </w:rPr>
        <w:t>Work</w:t>
      </w:r>
      <w:r>
        <w:rPr>
          <w:rFonts w:ascii="Verdana"/>
          <w:color w:val="001F5F"/>
          <w:spacing w:val="-3"/>
        </w:rPr>
        <w:t> </w:t>
      </w:r>
      <w:r>
        <w:rPr>
          <w:rFonts w:ascii="Verdana"/>
          <w:color w:val="001F5F"/>
        </w:rPr>
        <w:t>Programme</w:t>
      </w:r>
      <w:r>
        <w:rPr>
          <w:rFonts w:ascii="Verdana"/>
          <w:color w:val="001F5F"/>
          <w:spacing w:val="-2"/>
        </w:rPr>
        <w:t> </w:t>
      </w:r>
      <w:r>
        <w:rPr>
          <w:rFonts w:ascii="Verdana"/>
          <w:color w:val="001F5F"/>
        </w:rPr>
        <w:t>Status</w:t>
      </w:r>
      <w:r>
        <w:rPr>
          <w:rFonts w:ascii="Verdana"/>
          <w:color w:val="001F5F"/>
          <w:spacing w:val="-2"/>
        </w:rPr>
        <w:t> </w:t>
      </w:r>
      <w:r>
        <w:rPr>
          <w:rFonts w:ascii="Verdana"/>
          <w:color w:val="001F5F"/>
        </w:rPr>
        <w:t>(May</w:t>
      </w:r>
      <w:bookmarkEnd w:id="78"/>
      <w:r>
        <w:rPr>
          <w:rFonts w:ascii="Verdana"/>
          <w:color w:val="001F5F"/>
          <w:spacing w:val="-2"/>
        </w:rPr>
        <w:t> 2026)</w:t>
      </w:r>
    </w:p>
    <w:p>
      <w:pPr>
        <w:spacing w:line="264" w:lineRule="auto" w:before="150"/>
        <w:ind w:left="142" w:right="211" w:firstLine="0"/>
        <w:jc w:val="left"/>
        <w:rPr>
          <w:rFonts w:ascii="Verdana"/>
          <w:sz w:val="22"/>
        </w:rPr>
      </w:pPr>
      <w:r>
        <w:rPr>
          <w:rFonts w:ascii="Verdana"/>
          <w:sz w:val="22"/>
        </w:rPr>
        <mc:AlternateContent>
          <mc:Choice Requires="wps">
            <w:drawing>
              <wp:anchor distT="0" distB="0" distL="0" distR="0" allowOverlap="1" layoutInCell="1" locked="0" behindDoc="0" simplePos="0" relativeHeight="15869952">
                <wp:simplePos x="0" y="0"/>
                <wp:positionH relativeFrom="page">
                  <wp:posOffset>4918493</wp:posOffset>
                </wp:positionH>
                <wp:positionV relativeFrom="paragraph">
                  <wp:posOffset>6569161</wp:posOffset>
                </wp:positionV>
                <wp:extent cx="855980" cy="193040"/>
                <wp:effectExtent l="0" t="0" r="0" b="0"/>
                <wp:wrapNone/>
                <wp:docPr id="686" name="Group 686"/>
                <wp:cNvGraphicFramePr>
                  <a:graphicFrameLocks/>
                </wp:cNvGraphicFramePr>
                <a:graphic>
                  <a:graphicData uri="http://schemas.microsoft.com/office/word/2010/wordprocessingGroup">
                    <wpg:wgp>
                      <wpg:cNvPr id="686" name="Group 686"/>
                      <wpg:cNvGrpSpPr/>
                      <wpg:grpSpPr>
                        <a:xfrm>
                          <a:off x="0" y="0"/>
                          <a:ext cx="855980" cy="193040"/>
                          <a:chExt cx="855980" cy="193040"/>
                        </a:xfrm>
                      </wpg:grpSpPr>
                      <pic:pic>
                        <pic:nvPicPr>
                          <pic:cNvPr id="687" name="Image 687"/>
                          <pic:cNvPicPr/>
                        </pic:nvPicPr>
                        <pic:blipFill>
                          <a:blip r:embed="rId23" cstate="print"/>
                          <a:stretch>
                            <a:fillRect/>
                          </a:stretch>
                        </pic:blipFill>
                        <pic:spPr>
                          <a:xfrm>
                            <a:off x="0" y="0"/>
                            <a:ext cx="855390" cy="192463"/>
                          </a:xfrm>
                          <a:prstGeom prst="rect">
                            <a:avLst/>
                          </a:prstGeom>
                        </pic:spPr>
                      </pic:pic>
                      <wps:wsp>
                        <wps:cNvPr id="688" name="Textbox 688"/>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183</w:t>
                              </w:r>
                            </w:p>
                          </w:txbxContent>
                        </wps:txbx>
                        <wps:bodyPr wrap="square" lIns="0" tIns="0" rIns="0" bIns="0" rtlCol="0">
                          <a:noAutofit/>
                        </wps:bodyPr>
                      </wps:wsp>
                    </wpg:wgp>
                  </a:graphicData>
                </a:graphic>
              </wp:anchor>
            </w:drawing>
          </mc:Choice>
          <mc:Fallback>
            <w:pict>
              <v:group style="position:absolute;margin-left:387.28299pt;margin-top:517.256836pt;width:67.4pt;height:15.2pt;mso-position-horizontal-relative:page;mso-position-vertical-relative:paragraph;z-index:15869952" id="docshapegroup448" coordorigin="7746,10345" coordsize="1348,304">
                <v:shape style="position:absolute;left:7745;top:10345;width:1348;height:304" type="#_x0000_t75" id="docshape449" stroked="false">
                  <v:imagedata r:id="rId23" o:title=""/>
                </v:shape>
                <v:shape style="position:absolute;left:7745;top:10345;width:1348;height:304" type="#_x0000_t202" id="docshape450" filled="false" stroked="false">
                  <v:textbox inset="0,0,0,0">
                    <w:txbxContent>
                      <w:p>
                        <w:pPr>
                          <w:spacing w:before="106"/>
                          <w:ind w:left="337" w:right="0" w:firstLine="0"/>
                          <w:jc w:val="left"/>
                          <w:rPr>
                            <w:sz w:val="15"/>
                          </w:rPr>
                        </w:pPr>
                        <w:r>
                          <w:rPr>
                            <w:w w:val="105"/>
                            <w:sz w:val="15"/>
                          </w:rPr>
                          <w:t>Page</w:t>
                        </w:r>
                        <w:r>
                          <w:rPr>
                            <w:spacing w:val="-5"/>
                            <w:w w:val="105"/>
                            <w:sz w:val="15"/>
                          </w:rPr>
                          <w:t> 183</w:t>
                        </w:r>
                      </w:p>
                    </w:txbxContent>
                  </v:textbox>
                  <w10:wrap type="none"/>
                </v:shape>
                <w10:wrap type="none"/>
              </v:group>
            </w:pict>
          </mc:Fallback>
        </mc:AlternateContent>
      </w:r>
      <w:r>
        <w:rPr>
          <w:rFonts w:ascii="Verdana"/>
          <w:sz w:val="22"/>
        </w:rPr>
        <w:t>This</w:t>
      </w:r>
      <w:r>
        <w:rPr>
          <w:rFonts w:ascii="Verdana"/>
          <w:spacing w:val="-2"/>
          <w:sz w:val="22"/>
        </w:rPr>
        <w:t> </w:t>
      </w:r>
      <w:r>
        <w:rPr>
          <w:rFonts w:ascii="Verdana"/>
          <w:sz w:val="22"/>
        </w:rPr>
        <w:t>programme</w:t>
      </w:r>
      <w:r>
        <w:rPr>
          <w:rFonts w:ascii="Verdana"/>
          <w:spacing w:val="-1"/>
          <w:sz w:val="22"/>
        </w:rPr>
        <w:t> </w:t>
      </w:r>
      <w:r>
        <w:rPr>
          <w:rFonts w:ascii="Verdana"/>
          <w:sz w:val="22"/>
        </w:rPr>
        <w:t>status</w:t>
      </w:r>
      <w:r>
        <w:rPr>
          <w:rFonts w:ascii="Verdana"/>
          <w:spacing w:val="-2"/>
          <w:sz w:val="22"/>
        </w:rPr>
        <w:t> </w:t>
      </w:r>
      <w:r>
        <w:rPr>
          <w:rFonts w:ascii="Verdana"/>
          <w:sz w:val="22"/>
        </w:rPr>
        <w:t>was</w:t>
      </w:r>
      <w:r>
        <w:rPr>
          <w:rFonts w:ascii="Verdana"/>
          <w:spacing w:val="-2"/>
          <w:sz w:val="22"/>
        </w:rPr>
        <w:t> </w:t>
      </w:r>
      <w:r>
        <w:rPr>
          <w:rFonts w:ascii="Verdana"/>
          <w:sz w:val="22"/>
        </w:rPr>
        <w:t>developed</w:t>
      </w:r>
      <w:r>
        <w:rPr>
          <w:rFonts w:ascii="Verdana"/>
          <w:spacing w:val="-2"/>
          <w:sz w:val="22"/>
        </w:rPr>
        <w:t> </w:t>
      </w:r>
      <w:r>
        <w:rPr>
          <w:rFonts w:ascii="Verdana"/>
          <w:sz w:val="22"/>
        </w:rPr>
        <w:t>as</w:t>
      </w:r>
      <w:r>
        <w:rPr>
          <w:rFonts w:ascii="Verdana"/>
          <w:spacing w:val="-2"/>
          <w:sz w:val="22"/>
        </w:rPr>
        <w:t> </w:t>
      </w:r>
      <w:r>
        <w:rPr>
          <w:rFonts w:ascii="Verdana"/>
          <w:sz w:val="22"/>
        </w:rPr>
        <w:t>part</w:t>
      </w:r>
      <w:r>
        <w:rPr>
          <w:rFonts w:ascii="Verdana"/>
          <w:spacing w:val="-3"/>
          <w:sz w:val="22"/>
        </w:rPr>
        <w:t> </w:t>
      </w:r>
      <w:r>
        <w:rPr>
          <w:rFonts w:ascii="Verdana"/>
          <w:sz w:val="22"/>
        </w:rPr>
        <w:t>of</w:t>
      </w:r>
      <w:r>
        <w:rPr>
          <w:rFonts w:ascii="Verdana"/>
          <w:spacing w:val="-3"/>
          <w:sz w:val="22"/>
        </w:rPr>
        <w:t> </w:t>
      </w:r>
      <w:r>
        <w:rPr>
          <w:rFonts w:ascii="Verdana"/>
          <w:sz w:val="22"/>
        </w:rPr>
        <w:t>an</w:t>
      </w:r>
      <w:r>
        <w:rPr>
          <w:rFonts w:ascii="Verdana"/>
          <w:spacing w:val="-3"/>
          <w:sz w:val="22"/>
        </w:rPr>
        <w:t> </w:t>
      </w:r>
      <w:r>
        <w:rPr>
          <w:rFonts w:ascii="Verdana"/>
          <w:sz w:val="22"/>
        </w:rPr>
        <w:t>exercise</w:t>
      </w:r>
      <w:r>
        <w:rPr>
          <w:rFonts w:ascii="Verdana"/>
          <w:spacing w:val="-1"/>
          <w:sz w:val="22"/>
        </w:rPr>
        <w:t> </w:t>
      </w:r>
      <w:r>
        <w:rPr>
          <w:rFonts w:ascii="Verdana"/>
          <w:sz w:val="22"/>
        </w:rPr>
        <w:t>undertaken</w:t>
      </w:r>
      <w:r>
        <w:rPr>
          <w:rFonts w:ascii="Verdana"/>
          <w:spacing w:val="-2"/>
          <w:sz w:val="22"/>
        </w:rPr>
        <w:t> </w:t>
      </w:r>
      <w:r>
        <w:rPr>
          <w:rFonts w:ascii="Verdana"/>
          <w:sz w:val="22"/>
        </w:rPr>
        <w:t>by</w:t>
      </w:r>
      <w:r>
        <w:rPr>
          <w:rFonts w:ascii="Verdana"/>
          <w:spacing w:val="-3"/>
          <w:sz w:val="22"/>
        </w:rPr>
        <w:t> </w:t>
      </w:r>
      <w:r>
        <w:rPr>
          <w:rFonts w:ascii="Verdana"/>
          <w:sz w:val="22"/>
        </w:rPr>
        <w:t>Audit</w:t>
      </w:r>
      <w:r>
        <w:rPr>
          <w:rFonts w:ascii="Verdana"/>
          <w:spacing w:val="-3"/>
          <w:sz w:val="22"/>
        </w:rPr>
        <w:t> </w:t>
      </w:r>
      <w:r>
        <w:rPr>
          <w:rFonts w:ascii="Verdana"/>
          <w:sz w:val="22"/>
        </w:rPr>
        <w:t>&amp;</w:t>
      </w:r>
      <w:r>
        <w:rPr>
          <w:rFonts w:ascii="Verdana"/>
          <w:spacing w:val="-1"/>
          <w:sz w:val="22"/>
        </w:rPr>
        <w:t> </w:t>
      </w:r>
      <w:r>
        <w:rPr>
          <w:rFonts w:ascii="Verdana"/>
          <w:sz w:val="22"/>
        </w:rPr>
        <w:t>Assurance,</w:t>
      </w:r>
      <w:r>
        <w:rPr>
          <w:rFonts w:ascii="Verdana"/>
          <w:spacing w:val="-1"/>
          <w:sz w:val="22"/>
        </w:rPr>
        <w:t> </w:t>
      </w:r>
      <w:r>
        <w:rPr>
          <w:rFonts w:ascii="Verdana"/>
          <w:sz w:val="22"/>
        </w:rPr>
        <w:t>based</w:t>
      </w:r>
      <w:r>
        <w:rPr>
          <w:rFonts w:ascii="Verdana"/>
          <w:spacing w:val="-2"/>
          <w:sz w:val="22"/>
        </w:rPr>
        <w:t> </w:t>
      </w:r>
      <w:r>
        <w:rPr>
          <w:rFonts w:ascii="Verdana"/>
          <w:sz w:val="22"/>
        </w:rPr>
        <w:t>on</w:t>
      </w:r>
      <w:r>
        <w:rPr>
          <w:rFonts w:ascii="Verdana"/>
          <w:spacing w:val="-2"/>
          <w:sz w:val="22"/>
        </w:rPr>
        <w:t> </w:t>
      </w:r>
      <w:r>
        <w:rPr>
          <w:rFonts w:ascii="Verdana"/>
          <w:sz w:val="22"/>
        </w:rPr>
        <w:t>a</w:t>
      </w:r>
      <w:r>
        <w:rPr>
          <w:rFonts w:ascii="Verdana"/>
          <w:spacing w:val="-3"/>
          <w:sz w:val="22"/>
        </w:rPr>
        <w:t> </w:t>
      </w:r>
      <w:r>
        <w:rPr>
          <w:rFonts w:ascii="Verdana"/>
          <w:sz w:val="22"/>
        </w:rPr>
        <w:t>review</w:t>
      </w:r>
      <w:r>
        <w:rPr>
          <w:rFonts w:ascii="Verdana"/>
          <w:spacing w:val="-2"/>
          <w:sz w:val="22"/>
        </w:rPr>
        <w:t> </w:t>
      </w:r>
      <w:r>
        <w:rPr>
          <w:rFonts w:ascii="Verdana"/>
          <w:sz w:val="22"/>
        </w:rPr>
        <w:t>of</w:t>
      </w:r>
      <w:r>
        <w:rPr>
          <w:rFonts w:ascii="Verdana"/>
          <w:spacing w:val="-3"/>
          <w:sz w:val="22"/>
        </w:rPr>
        <w:t> </w:t>
      </w:r>
      <w:r>
        <w:rPr>
          <w:rFonts w:ascii="Verdana"/>
          <w:sz w:val="22"/>
        </w:rPr>
        <w:t>supporting</w:t>
      </w:r>
      <w:r>
        <w:rPr>
          <w:rFonts w:ascii="Verdana"/>
          <w:spacing w:val="-3"/>
          <w:sz w:val="22"/>
        </w:rPr>
        <w:t> </w:t>
      </w:r>
      <w:r>
        <w:rPr>
          <w:rFonts w:ascii="Verdana"/>
          <w:sz w:val="22"/>
        </w:rPr>
        <w:t>documentation for each of the sub-groups:</w:t>
      </w:r>
    </w:p>
    <w:p>
      <w:pPr>
        <w:pStyle w:val="BodyText"/>
        <w:spacing w:before="3"/>
        <w:rPr>
          <w:rFonts w:ascii="Verdana"/>
          <w:sz w:val="12"/>
        </w:rPr>
      </w:pPr>
    </w:p>
    <w:tbl>
      <w:tblPr>
        <w:tblW w:w="0" w:type="auto"/>
        <w:jc w:val="left"/>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23"/>
        <w:gridCol w:w="1483"/>
        <w:gridCol w:w="1483"/>
        <w:gridCol w:w="1484"/>
        <w:gridCol w:w="1486"/>
        <w:gridCol w:w="1484"/>
        <w:gridCol w:w="1484"/>
        <w:gridCol w:w="1484"/>
        <w:gridCol w:w="1655"/>
        <w:gridCol w:w="1316"/>
        <w:gridCol w:w="1484"/>
      </w:tblGrid>
      <w:tr>
        <w:trPr>
          <w:trHeight w:val="657" w:hRule="atLeast"/>
        </w:trPr>
        <w:tc>
          <w:tcPr>
            <w:tcW w:w="1423" w:type="dxa"/>
            <w:shd w:val="clear" w:color="auto" w:fill="A6A6A6"/>
          </w:tcPr>
          <w:p>
            <w:pPr>
              <w:pStyle w:val="TableParagraph"/>
              <w:spacing w:before="1"/>
              <w:ind w:left="107"/>
              <w:rPr>
                <w:rFonts w:ascii="Verdana"/>
                <w:b/>
                <w:sz w:val="18"/>
              </w:rPr>
            </w:pPr>
            <w:r>
              <w:rPr>
                <w:rFonts w:ascii="Verdana"/>
                <w:b/>
                <w:spacing w:val="-2"/>
                <w:sz w:val="18"/>
              </w:rPr>
              <w:t>Subgroup</w:t>
            </w:r>
          </w:p>
        </w:tc>
        <w:tc>
          <w:tcPr>
            <w:tcW w:w="1483" w:type="dxa"/>
            <w:shd w:val="clear" w:color="auto" w:fill="A6A6A6"/>
          </w:tcPr>
          <w:p>
            <w:pPr>
              <w:pStyle w:val="TableParagraph"/>
              <w:spacing w:line="218" w:lineRule="exact"/>
              <w:ind w:left="211" w:right="200" w:hanging="1"/>
              <w:jc w:val="center"/>
              <w:rPr>
                <w:rFonts w:ascii="Verdana" w:hAnsi="Verdana"/>
                <w:b/>
                <w:sz w:val="18"/>
              </w:rPr>
            </w:pPr>
            <w:r>
              <w:rPr>
                <w:rFonts w:ascii="Verdana" w:hAnsi="Verdana"/>
                <w:b/>
                <w:spacing w:val="-4"/>
                <w:sz w:val="18"/>
              </w:rPr>
              <w:t>ToR’s </w:t>
            </w:r>
            <w:r>
              <w:rPr>
                <w:rFonts w:ascii="Verdana" w:hAnsi="Verdana"/>
                <w:b/>
                <w:sz w:val="18"/>
              </w:rPr>
              <w:t>agreed by </w:t>
            </w:r>
            <w:r>
              <w:rPr>
                <w:rFonts w:ascii="Verdana" w:hAnsi="Verdana"/>
                <w:b/>
                <w:spacing w:val="-2"/>
                <w:sz w:val="18"/>
              </w:rPr>
              <w:t>Sub-</w:t>
            </w:r>
            <w:r>
              <w:rPr>
                <w:rFonts w:ascii="Verdana" w:hAnsi="Verdana"/>
                <w:b/>
                <w:spacing w:val="-2"/>
                <w:sz w:val="18"/>
              </w:rPr>
              <w:t>group</w:t>
            </w:r>
          </w:p>
        </w:tc>
        <w:tc>
          <w:tcPr>
            <w:tcW w:w="1483" w:type="dxa"/>
            <w:shd w:val="clear" w:color="auto" w:fill="A6A6A6"/>
          </w:tcPr>
          <w:p>
            <w:pPr>
              <w:pStyle w:val="TableParagraph"/>
              <w:spacing w:before="1"/>
              <w:ind w:left="350" w:right="140" w:hanging="200"/>
              <w:rPr>
                <w:rFonts w:ascii="Verdana"/>
                <w:b/>
                <w:sz w:val="18"/>
              </w:rPr>
            </w:pPr>
            <w:r>
              <w:rPr>
                <w:rFonts w:ascii="Verdana"/>
                <w:b/>
                <w:spacing w:val="-2"/>
                <w:sz w:val="18"/>
              </w:rPr>
              <w:t>Programme Defined</w:t>
            </w:r>
          </w:p>
        </w:tc>
        <w:tc>
          <w:tcPr>
            <w:tcW w:w="1484" w:type="dxa"/>
            <w:shd w:val="clear" w:color="auto" w:fill="A6A6A6"/>
          </w:tcPr>
          <w:p>
            <w:pPr>
              <w:pStyle w:val="TableParagraph"/>
              <w:spacing w:before="1"/>
              <w:ind w:left="382" w:right="271" w:hanging="96"/>
              <w:rPr>
                <w:rFonts w:ascii="Verdana"/>
                <w:b/>
                <w:sz w:val="18"/>
              </w:rPr>
            </w:pPr>
            <w:r>
              <w:rPr>
                <w:rFonts w:ascii="Verdana"/>
                <w:b/>
                <w:spacing w:val="-2"/>
                <w:sz w:val="18"/>
              </w:rPr>
              <w:t>Ambition Agreed</w:t>
            </w:r>
          </w:p>
        </w:tc>
        <w:tc>
          <w:tcPr>
            <w:tcW w:w="1486" w:type="dxa"/>
            <w:shd w:val="clear" w:color="auto" w:fill="A6A6A6"/>
          </w:tcPr>
          <w:p>
            <w:pPr>
              <w:pStyle w:val="TableParagraph"/>
              <w:spacing w:line="218" w:lineRule="exact"/>
              <w:ind w:left="147" w:right="110" w:hanging="32"/>
              <w:jc w:val="both"/>
              <w:rPr>
                <w:rFonts w:ascii="Verdana"/>
                <w:b/>
                <w:sz w:val="18"/>
              </w:rPr>
            </w:pPr>
            <w:r>
              <w:rPr>
                <w:rFonts w:ascii="Verdana"/>
                <w:b/>
                <w:sz w:val="18"/>
              </w:rPr>
              <w:t>Agreed</w:t>
            </w:r>
            <w:r>
              <w:rPr>
                <w:rFonts w:ascii="Verdana"/>
                <w:b/>
                <w:spacing w:val="-16"/>
                <w:sz w:val="18"/>
              </w:rPr>
              <w:t> </w:t>
            </w:r>
            <w:r>
              <w:rPr>
                <w:rFonts w:ascii="Verdana"/>
                <w:b/>
                <w:sz w:val="18"/>
              </w:rPr>
              <w:t>Sub-group</w:t>
            </w:r>
            <w:r>
              <w:rPr>
                <w:rFonts w:ascii="Verdana"/>
                <w:b/>
                <w:spacing w:val="-13"/>
                <w:sz w:val="18"/>
              </w:rPr>
              <w:t> </w:t>
            </w:r>
            <w:r>
              <w:rPr>
                <w:rFonts w:ascii="Verdana"/>
                <w:b/>
                <w:sz w:val="18"/>
              </w:rPr>
              <w:t>Work </w:t>
            </w:r>
            <w:r>
              <w:rPr>
                <w:rFonts w:ascii="Verdana"/>
                <w:b/>
                <w:spacing w:val="-2"/>
                <w:sz w:val="18"/>
              </w:rPr>
              <w:t>Programme</w:t>
            </w:r>
          </w:p>
        </w:tc>
        <w:tc>
          <w:tcPr>
            <w:tcW w:w="1484" w:type="dxa"/>
            <w:shd w:val="clear" w:color="auto" w:fill="A6A6A6"/>
          </w:tcPr>
          <w:p>
            <w:pPr>
              <w:pStyle w:val="TableParagraph"/>
              <w:spacing w:line="218" w:lineRule="exact"/>
              <w:ind w:left="11" w:right="1"/>
              <w:jc w:val="center"/>
              <w:rPr>
                <w:rFonts w:ascii="Verdana"/>
                <w:b/>
                <w:sz w:val="18"/>
              </w:rPr>
            </w:pPr>
            <w:r>
              <w:rPr>
                <w:rFonts w:ascii="Verdana"/>
                <w:b/>
                <w:spacing w:val="-2"/>
                <w:sz w:val="18"/>
              </w:rPr>
              <w:t>Objectives/ Outcomes agreed</w:t>
            </w:r>
          </w:p>
        </w:tc>
        <w:tc>
          <w:tcPr>
            <w:tcW w:w="1484" w:type="dxa"/>
            <w:shd w:val="clear" w:color="auto" w:fill="A6A6A6"/>
          </w:tcPr>
          <w:p>
            <w:pPr>
              <w:pStyle w:val="TableParagraph"/>
              <w:spacing w:before="1"/>
              <w:ind w:left="391" w:hanging="171"/>
              <w:rPr>
                <w:rFonts w:ascii="Verdana"/>
                <w:b/>
                <w:sz w:val="18"/>
              </w:rPr>
            </w:pPr>
            <w:r>
              <w:rPr>
                <w:rFonts w:ascii="Verdana"/>
                <w:b/>
                <w:spacing w:val="-2"/>
                <w:sz w:val="18"/>
              </w:rPr>
              <w:t>Resources agreed</w:t>
            </w:r>
          </w:p>
        </w:tc>
        <w:tc>
          <w:tcPr>
            <w:tcW w:w="1484" w:type="dxa"/>
            <w:shd w:val="clear" w:color="auto" w:fill="A6A6A6"/>
          </w:tcPr>
          <w:p>
            <w:pPr>
              <w:pStyle w:val="TableParagraph"/>
              <w:spacing w:before="1"/>
              <w:ind w:left="155" w:firstLine="316"/>
              <w:rPr>
                <w:rFonts w:ascii="Verdana"/>
                <w:b/>
                <w:sz w:val="18"/>
              </w:rPr>
            </w:pPr>
            <w:r>
              <w:rPr>
                <w:rFonts w:ascii="Verdana"/>
                <w:b/>
                <w:spacing w:val="-2"/>
                <w:sz w:val="18"/>
              </w:rPr>
              <w:t>Risks Understood</w:t>
            </w:r>
          </w:p>
        </w:tc>
        <w:tc>
          <w:tcPr>
            <w:tcW w:w="1655" w:type="dxa"/>
            <w:shd w:val="clear" w:color="auto" w:fill="A6A6A6"/>
          </w:tcPr>
          <w:p>
            <w:pPr>
              <w:pStyle w:val="TableParagraph"/>
              <w:spacing w:before="1"/>
              <w:ind w:left="238" w:hanging="120"/>
              <w:rPr>
                <w:rFonts w:ascii="Verdana"/>
                <w:b/>
                <w:sz w:val="18"/>
              </w:rPr>
            </w:pPr>
            <w:r>
              <w:rPr>
                <w:rFonts w:ascii="Verdana"/>
                <w:b/>
                <w:spacing w:val="-2"/>
                <w:sz w:val="18"/>
              </w:rPr>
              <w:t>Dependencies Understood</w:t>
            </w:r>
          </w:p>
        </w:tc>
        <w:tc>
          <w:tcPr>
            <w:tcW w:w="1316" w:type="dxa"/>
            <w:shd w:val="clear" w:color="auto" w:fill="A6A6A6"/>
          </w:tcPr>
          <w:p>
            <w:pPr>
              <w:pStyle w:val="TableParagraph"/>
              <w:spacing w:before="1"/>
              <w:ind w:left="115" w:firstLine="352"/>
              <w:rPr>
                <w:rFonts w:ascii="Verdana"/>
                <w:b/>
                <w:sz w:val="18"/>
              </w:rPr>
            </w:pPr>
            <w:r>
              <w:rPr>
                <w:rFonts w:ascii="Verdana"/>
                <w:b/>
                <w:spacing w:val="-4"/>
                <w:sz w:val="18"/>
              </w:rPr>
              <w:t>Key </w:t>
            </w:r>
            <w:r>
              <w:rPr>
                <w:rFonts w:ascii="Verdana"/>
                <w:b/>
                <w:spacing w:val="-2"/>
                <w:sz w:val="18"/>
              </w:rPr>
              <w:t>Milestones</w:t>
            </w:r>
          </w:p>
        </w:tc>
        <w:tc>
          <w:tcPr>
            <w:tcW w:w="1484" w:type="dxa"/>
            <w:shd w:val="clear" w:color="auto" w:fill="A6A6A6"/>
          </w:tcPr>
          <w:p>
            <w:pPr>
              <w:pStyle w:val="TableParagraph"/>
              <w:spacing w:before="1"/>
              <w:ind w:left="462" w:right="312" w:hanging="144"/>
              <w:rPr>
                <w:rFonts w:ascii="Verdana"/>
                <w:b/>
                <w:sz w:val="18"/>
              </w:rPr>
            </w:pPr>
            <w:r>
              <w:rPr>
                <w:rFonts w:ascii="Verdana"/>
                <w:b/>
                <w:spacing w:val="-2"/>
                <w:sz w:val="18"/>
              </w:rPr>
              <w:t>Detailed Plans</w:t>
            </w:r>
          </w:p>
        </w:tc>
      </w:tr>
      <w:tr>
        <w:trPr>
          <w:trHeight w:val="1192" w:hRule="atLeast"/>
        </w:trPr>
        <w:tc>
          <w:tcPr>
            <w:tcW w:w="1423" w:type="dxa"/>
          </w:tcPr>
          <w:p>
            <w:pPr>
              <w:pStyle w:val="TableParagraph"/>
              <w:spacing w:before="48"/>
              <w:rPr>
                <w:rFonts w:ascii="Verdana"/>
                <w:sz w:val="18"/>
              </w:rPr>
            </w:pPr>
          </w:p>
          <w:p>
            <w:pPr>
              <w:pStyle w:val="TableParagraph"/>
              <w:spacing w:before="1"/>
              <w:ind w:left="107" w:right="478"/>
              <w:rPr>
                <w:rFonts w:ascii="Verdana"/>
                <w:sz w:val="18"/>
              </w:rPr>
            </w:pPr>
            <w:r>
              <w:rPr>
                <w:rFonts w:ascii="Verdana"/>
                <w:spacing w:val="-2"/>
                <w:sz w:val="18"/>
              </w:rPr>
              <w:t>Regional Health Economy</w:t>
            </w:r>
          </w:p>
        </w:tc>
        <w:tc>
          <w:tcPr>
            <w:tcW w:w="1483" w:type="dxa"/>
          </w:tcPr>
          <w:p>
            <w:pPr>
              <w:pStyle w:val="TableParagraph"/>
              <w:spacing w:before="28"/>
              <w:rPr>
                <w:rFonts w:ascii="Verdana"/>
                <w:sz w:val="32"/>
              </w:rPr>
            </w:pPr>
          </w:p>
          <w:p>
            <w:pPr>
              <w:pStyle w:val="TableParagraph"/>
              <w:spacing w:before="1"/>
              <w:ind w:left="7"/>
              <w:jc w:val="center"/>
              <w:rPr>
                <w:rFonts w:ascii="Wingdings" w:hAnsi="Wingdings"/>
                <w:sz w:val="32"/>
              </w:rPr>
            </w:pPr>
            <w:r>
              <w:rPr>
                <w:rFonts w:ascii="Wingdings" w:hAnsi="Wingdings"/>
                <w:spacing w:val="-10"/>
                <w:sz w:val="32"/>
              </w:rPr>
              <w:t></w:t>
            </w:r>
          </w:p>
        </w:tc>
        <w:tc>
          <w:tcPr>
            <w:tcW w:w="1483" w:type="dxa"/>
          </w:tcPr>
          <w:p>
            <w:pPr>
              <w:pStyle w:val="TableParagraph"/>
              <w:spacing w:before="232"/>
              <w:rPr>
                <w:rFonts w:ascii="Verdana"/>
                <w:sz w:val="20"/>
              </w:rPr>
            </w:pPr>
          </w:p>
          <w:p>
            <w:pPr>
              <w:pStyle w:val="TableParagraph"/>
              <w:ind w:left="7"/>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4" w:type="dxa"/>
          </w:tcPr>
          <w:p>
            <w:pPr>
              <w:pStyle w:val="TableParagraph"/>
              <w:spacing w:before="28"/>
              <w:rPr>
                <w:rFonts w:ascii="Verdana"/>
                <w:sz w:val="32"/>
              </w:rPr>
            </w:pPr>
          </w:p>
          <w:p>
            <w:pPr>
              <w:pStyle w:val="TableParagraph"/>
              <w:spacing w:before="1"/>
              <w:ind w:left="10" w:right="3"/>
              <w:jc w:val="center"/>
              <w:rPr>
                <w:rFonts w:ascii="Wingdings" w:hAnsi="Wingdings"/>
                <w:sz w:val="32"/>
              </w:rPr>
            </w:pPr>
            <w:r>
              <w:rPr>
                <w:rFonts w:ascii="Wingdings" w:hAnsi="Wingdings"/>
                <w:spacing w:val="-10"/>
                <w:sz w:val="32"/>
              </w:rPr>
              <w:t></w:t>
            </w:r>
          </w:p>
        </w:tc>
        <w:tc>
          <w:tcPr>
            <w:tcW w:w="1486" w:type="dxa"/>
          </w:tcPr>
          <w:p>
            <w:pPr>
              <w:pStyle w:val="TableParagraph"/>
              <w:spacing w:before="28"/>
              <w:rPr>
                <w:rFonts w:ascii="Verdana"/>
                <w:sz w:val="32"/>
              </w:rPr>
            </w:pPr>
          </w:p>
          <w:p>
            <w:pPr>
              <w:pStyle w:val="TableParagraph"/>
              <w:spacing w:before="1"/>
              <w:ind w:left="4"/>
              <w:jc w:val="center"/>
              <w:rPr>
                <w:rFonts w:ascii="Wingdings" w:hAnsi="Wingdings"/>
                <w:sz w:val="32"/>
              </w:rPr>
            </w:pPr>
            <w:r>
              <w:rPr>
                <w:rFonts w:ascii="Wingdings" w:hAnsi="Wingdings"/>
                <w:spacing w:val="-10"/>
                <w:sz w:val="32"/>
              </w:rPr>
              <w:t></w:t>
            </w:r>
          </w:p>
        </w:tc>
        <w:tc>
          <w:tcPr>
            <w:tcW w:w="1484" w:type="dxa"/>
          </w:tcPr>
          <w:p>
            <w:pPr>
              <w:pStyle w:val="TableParagraph"/>
              <w:spacing w:before="28"/>
              <w:rPr>
                <w:rFonts w:ascii="Verdana"/>
                <w:sz w:val="32"/>
              </w:rPr>
            </w:pPr>
          </w:p>
          <w:p>
            <w:pPr>
              <w:pStyle w:val="TableParagraph"/>
              <w:spacing w:before="1"/>
              <w:ind w:left="10" w:right="5"/>
              <w:jc w:val="center"/>
              <w:rPr>
                <w:rFonts w:ascii="Wingdings" w:hAnsi="Wingdings"/>
                <w:sz w:val="32"/>
              </w:rPr>
            </w:pPr>
            <w:r>
              <w:rPr>
                <w:rFonts w:ascii="Wingdings" w:hAnsi="Wingdings"/>
                <w:spacing w:val="-10"/>
                <w:sz w:val="32"/>
              </w:rPr>
              <w:t></w:t>
            </w:r>
          </w:p>
        </w:tc>
        <w:tc>
          <w:tcPr>
            <w:tcW w:w="1484" w:type="dxa"/>
          </w:tcPr>
          <w:p>
            <w:pPr>
              <w:pStyle w:val="TableParagraph"/>
              <w:spacing w:before="232"/>
              <w:rPr>
                <w:rFonts w:ascii="Verdana"/>
                <w:sz w:val="20"/>
              </w:rPr>
            </w:pPr>
          </w:p>
          <w:p>
            <w:pPr>
              <w:pStyle w:val="TableParagraph"/>
              <w:ind w:left="10" w:right="6"/>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4" w:type="dxa"/>
          </w:tcPr>
          <w:p>
            <w:pPr>
              <w:pStyle w:val="TableParagraph"/>
              <w:spacing w:before="232"/>
              <w:rPr>
                <w:rFonts w:ascii="Verdana"/>
                <w:sz w:val="20"/>
              </w:rPr>
            </w:pPr>
          </w:p>
          <w:p>
            <w:pPr>
              <w:pStyle w:val="TableParagraph"/>
              <w:ind w:left="10" w:right="7"/>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655" w:type="dxa"/>
          </w:tcPr>
          <w:p>
            <w:pPr>
              <w:pStyle w:val="TableParagraph"/>
              <w:spacing w:before="232"/>
              <w:rPr>
                <w:rFonts w:ascii="Verdana"/>
                <w:sz w:val="20"/>
              </w:rPr>
            </w:pPr>
          </w:p>
          <w:p>
            <w:pPr>
              <w:pStyle w:val="TableParagraph"/>
              <w:ind w:left="4" w:right="1"/>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316" w:type="dxa"/>
          </w:tcPr>
          <w:p>
            <w:pPr>
              <w:pStyle w:val="TableParagraph"/>
              <w:spacing w:before="110"/>
              <w:rPr>
                <w:rFonts w:ascii="Verdana"/>
                <w:sz w:val="20"/>
              </w:rPr>
            </w:pPr>
          </w:p>
          <w:p>
            <w:pPr>
              <w:pStyle w:val="TableParagraph"/>
              <w:ind w:left="220" w:right="213" w:firstLine="328"/>
              <w:rPr>
                <w:rFonts w:ascii="Verdana"/>
                <w:sz w:val="20"/>
              </w:rPr>
            </w:pPr>
            <w:r>
              <w:rPr>
                <w:rFonts w:ascii="Verdana"/>
                <w:spacing w:val="-6"/>
                <w:sz w:val="20"/>
              </w:rPr>
              <w:t>In </w:t>
            </w:r>
            <w:r>
              <w:rPr>
                <w:rFonts w:ascii="Verdana"/>
                <w:spacing w:val="-2"/>
                <w:sz w:val="20"/>
              </w:rPr>
              <w:t>progress</w:t>
            </w:r>
          </w:p>
        </w:tc>
        <w:tc>
          <w:tcPr>
            <w:tcW w:w="1484" w:type="dxa"/>
          </w:tcPr>
          <w:p>
            <w:pPr>
              <w:pStyle w:val="TableParagraph"/>
              <w:spacing w:before="232"/>
              <w:rPr>
                <w:rFonts w:ascii="Verdana"/>
                <w:sz w:val="20"/>
              </w:rPr>
            </w:pPr>
          </w:p>
          <w:p>
            <w:pPr>
              <w:pStyle w:val="TableParagraph"/>
              <w:ind w:left="10" w:right="11"/>
              <w:jc w:val="center"/>
              <w:rPr>
                <w:rFonts w:ascii="Verdana"/>
                <w:sz w:val="20"/>
              </w:rPr>
            </w:pPr>
            <w:r>
              <w:rPr>
                <w:rFonts w:ascii="Verdana"/>
                <w:sz w:val="20"/>
              </w:rPr>
              <w:t>In</w:t>
            </w:r>
            <w:r>
              <w:rPr>
                <w:rFonts w:ascii="Verdana"/>
                <w:spacing w:val="-3"/>
                <w:sz w:val="20"/>
              </w:rPr>
              <w:t> </w:t>
            </w:r>
            <w:r>
              <w:rPr>
                <w:rFonts w:ascii="Verdana"/>
                <w:spacing w:val="-2"/>
                <w:sz w:val="20"/>
              </w:rPr>
              <w:t>progress</w:t>
            </w:r>
          </w:p>
        </w:tc>
      </w:tr>
      <w:tr>
        <w:trPr>
          <w:trHeight w:val="1190" w:hRule="atLeast"/>
        </w:trPr>
        <w:tc>
          <w:tcPr>
            <w:tcW w:w="1423" w:type="dxa"/>
          </w:tcPr>
          <w:p>
            <w:pPr>
              <w:pStyle w:val="TableParagraph"/>
              <w:spacing w:before="46"/>
              <w:rPr>
                <w:rFonts w:ascii="Verdana"/>
                <w:sz w:val="18"/>
              </w:rPr>
            </w:pPr>
          </w:p>
          <w:p>
            <w:pPr>
              <w:pStyle w:val="TableParagraph"/>
              <w:ind w:left="107"/>
              <w:rPr>
                <w:rFonts w:ascii="Verdana"/>
                <w:sz w:val="18"/>
              </w:rPr>
            </w:pPr>
            <w:r>
              <w:rPr>
                <w:rFonts w:ascii="Verdana"/>
                <w:spacing w:val="-2"/>
                <w:sz w:val="18"/>
              </w:rPr>
              <w:t>Clinical Services Planning</w:t>
            </w:r>
          </w:p>
        </w:tc>
        <w:tc>
          <w:tcPr>
            <w:tcW w:w="1483" w:type="dxa"/>
          </w:tcPr>
          <w:p>
            <w:pPr>
              <w:pStyle w:val="TableParagraph"/>
              <w:spacing w:before="28"/>
              <w:rPr>
                <w:rFonts w:ascii="Verdana"/>
                <w:sz w:val="32"/>
              </w:rPr>
            </w:pPr>
          </w:p>
          <w:p>
            <w:pPr>
              <w:pStyle w:val="TableParagraph"/>
              <w:spacing w:before="1"/>
              <w:ind w:left="7"/>
              <w:jc w:val="center"/>
              <w:rPr>
                <w:rFonts w:ascii="Wingdings" w:hAnsi="Wingdings"/>
                <w:sz w:val="32"/>
              </w:rPr>
            </w:pPr>
            <w:r>
              <w:rPr>
                <w:rFonts w:ascii="Wingdings" w:hAnsi="Wingdings"/>
                <w:spacing w:val="-10"/>
                <w:sz w:val="32"/>
              </w:rPr>
              <w:t></w:t>
            </w:r>
          </w:p>
        </w:tc>
        <w:tc>
          <w:tcPr>
            <w:tcW w:w="1483" w:type="dxa"/>
          </w:tcPr>
          <w:p>
            <w:pPr>
              <w:pStyle w:val="TableParagraph"/>
              <w:spacing w:before="28"/>
              <w:rPr>
                <w:rFonts w:ascii="Verdana"/>
                <w:sz w:val="32"/>
              </w:rPr>
            </w:pPr>
          </w:p>
          <w:p>
            <w:pPr>
              <w:pStyle w:val="TableParagraph"/>
              <w:spacing w:before="1"/>
              <w:ind w:left="7"/>
              <w:jc w:val="center"/>
              <w:rPr>
                <w:rFonts w:ascii="Wingdings" w:hAnsi="Wingdings"/>
                <w:sz w:val="32"/>
              </w:rPr>
            </w:pPr>
            <w:r>
              <w:rPr>
                <w:rFonts w:ascii="Wingdings" w:hAnsi="Wingdings"/>
                <w:spacing w:val="-10"/>
                <w:sz w:val="32"/>
              </w:rPr>
              <w:t></w:t>
            </w:r>
          </w:p>
        </w:tc>
        <w:tc>
          <w:tcPr>
            <w:tcW w:w="1484" w:type="dxa"/>
          </w:tcPr>
          <w:p>
            <w:pPr>
              <w:pStyle w:val="TableParagraph"/>
              <w:spacing w:before="28"/>
              <w:rPr>
                <w:rFonts w:ascii="Verdana"/>
                <w:sz w:val="32"/>
              </w:rPr>
            </w:pPr>
          </w:p>
          <w:p>
            <w:pPr>
              <w:pStyle w:val="TableParagraph"/>
              <w:spacing w:before="1"/>
              <w:ind w:left="10" w:right="3"/>
              <w:jc w:val="center"/>
              <w:rPr>
                <w:rFonts w:ascii="Wingdings" w:hAnsi="Wingdings"/>
                <w:sz w:val="32"/>
              </w:rPr>
            </w:pPr>
            <w:r>
              <w:rPr>
                <w:rFonts w:ascii="Wingdings" w:hAnsi="Wingdings"/>
                <w:spacing w:val="-10"/>
                <w:sz w:val="32"/>
              </w:rPr>
              <w:t></w:t>
            </w:r>
          </w:p>
        </w:tc>
        <w:tc>
          <w:tcPr>
            <w:tcW w:w="1486" w:type="dxa"/>
          </w:tcPr>
          <w:p>
            <w:pPr>
              <w:pStyle w:val="TableParagraph"/>
              <w:spacing w:before="28"/>
              <w:rPr>
                <w:rFonts w:ascii="Verdana"/>
                <w:sz w:val="32"/>
              </w:rPr>
            </w:pPr>
          </w:p>
          <w:p>
            <w:pPr>
              <w:pStyle w:val="TableParagraph"/>
              <w:spacing w:before="1"/>
              <w:ind w:left="4"/>
              <w:jc w:val="center"/>
              <w:rPr>
                <w:rFonts w:ascii="Wingdings" w:hAnsi="Wingdings"/>
                <w:sz w:val="32"/>
              </w:rPr>
            </w:pPr>
            <w:r>
              <w:rPr>
                <w:rFonts w:ascii="Wingdings" w:hAnsi="Wingdings"/>
                <w:spacing w:val="-10"/>
                <w:sz w:val="32"/>
              </w:rPr>
              <w:t></w:t>
            </w:r>
          </w:p>
        </w:tc>
        <w:tc>
          <w:tcPr>
            <w:tcW w:w="1484" w:type="dxa"/>
          </w:tcPr>
          <w:p>
            <w:pPr>
              <w:pStyle w:val="TableParagraph"/>
              <w:spacing w:before="28"/>
              <w:rPr>
                <w:rFonts w:ascii="Verdana"/>
                <w:sz w:val="32"/>
              </w:rPr>
            </w:pPr>
          </w:p>
          <w:p>
            <w:pPr>
              <w:pStyle w:val="TableParagraph"/>
              <w:spacing w:before="1"/>
              <w:ind w:left="10" w:right="5"/>
              <w:jc w:val="center"/>
              <w:rPr>
                <w:rFonts w:ascii="Wingdings" w:hAnsi="Wingdings"/>
                <w:sz w:val="32"/>
              </w:rPr>
            </w:pPr>
            <w:r>
              <w:rPr>
                <w:rFonts w:ascii="Wingdings" w:hAnsi="Wingdings"/>
                <w:spacing w:val="-10"/>
                <w:sz w:val="32"/>
              </w:rPr>
              <w:t></w:t>
            </w:r>
          </w:p>
        </w:tc>
        <w:tc>
          <w:tcPr>
            <w:tcW w:w="1484" w:type="dxa"/>
          </w:tcPr>
          <w:p>
            <w:pPr>
              <w:pStyle w:val="TableParagraph"/>
              <w:spacing w:before="230"/>
              <w:rPr>
                <w:rFonts w:ascii="Verdana"/>
                <w:sz w:val="20"/>
              </w:rPr>
            </w:pPr>
          </w:p>
          <w:p>
            <w:pPr>
              <w:pStyle w:val="TableParagraph"/>
              <w:ind w:left="10" w:right="6"/>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4" w:type="dxa"/>
          </w:tcPr>
          <w:p>
            <w:pPr>
              <w:pStyle w:val="TableParagraph"/>
              <w:spacing w:before="28"/>
              <w:rPr>
                <w:rFonts w:ascii="Verdana"/>
                <w:sz w:val="32"/>
              </w:rPr>
            </w:pPr>
          </w:p>
          <w:p>
            <w:pPr>
              <w:pStyle w:val="TableParagraph"/>
              <w:spacing w:before="1"/>
              <w:ind w:left="10" w:right="7"/>
              <w:jc w:val="center"/>
              <w:rPr>
                <w:rFonts w:ascii="Wingdings" w:hAnsi="Wingdings"/>
                <w:sz w:val="32"/>
              </w:rPr>
            </w:pPr>
            <w:r>
              <w:rPr>
                <w:rFonts w:ascii="Wingdings" w:hAnsi="Wingdings"/>
                <w:spacing w:val="-10"/>
                <w:sz w:val="32"/>
              </w:rPr>
              <w:t></w:t>
            </w:r>
          </w:p>
        </w:tc>
        <w:tc>
          <w:tcPr>
            <w:tcW w:w="1655" w:type="dxa"/>
          </w:tcPr>
          <w:p>
            <w:pPr>
              <w:pStyle w:val="TableParagraph"/>
              <w:spacing w:before="230"/>
              <w:rPr>
                <w:rFonts w:ascii="Verdana"/>
                <w:sz w:val="20"/>
              </w:rPr>
            </w:pPr>
          </w:p>
          <w:p>
            <w:pPr>
              <w:pStyle w:val="TableParagraph"/>
              <w:ind w:left="4" w:right="1"/>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316" w:type="dxa"/>
          </w:tcPr>
          <w:p>
            <w:pPr>
              <w:pStyle w:val="TableParagraph"/>
              <w:spacing w:before="28"/>
              <w:rPr>
                <w:rFonts w:ascii="Verdana"/>
                <w:sz w:val="32"/>
              </w:rPr>
            </w:pPr>
          </w:p>
          <w:p>
            <w:pPr>
              <w:pStyle w:val="TableParagraph"/>
              <w:spacing w:before="1"/>
              <w:ind w:left="5"/>
              <w:jc w:val="center"/>
              <w:rPr>
                <w:rFonts w:ascii="Wingdings" w:hAnsi="Wingdings"/>
                <w:sz w:val="32"/>
              </w:rPr>
            </w:pPr>
            <w:r>
              <w:rPr>
                <w:rFonts w:ascii="Wingdings" w:hAnsi="Wingdings"/>
                <w:spacing w:val="-10"/>
                <w:sz w:val="32"/>
              </w:rPr>
              <w:t></w:t>
            </w:r>
          </w:p>
        </w:tc>
        <w:tc>
          <w:tcPr>
            <w:tcW w:w="1484" w:type="dxa"/>
          </w:tcPr>
          <w:p>
            <w:pPr>
              <w:pStyle w:val="TableParagraph"/>
              <w:spacing w:before="28"/>
              <w:rPr>
                <w:rFonts w:ascii="Verdana"/>
                <w:sz w:val="32"/>
              </w:rPr>
            </w:pPr>
          </w:p>
          <w:p>
            <w:pPr>
              <w:pStyle w:val="TableParagraph"/>
              <w:spacing w:before="1"/>
              <w:ind w:left="10" w:right="11"/>
              <w:jc w:val="center"/>
              <w:rPr>
                <w:rFonts w:ascii="Wingdings" w:hAnsi="Wingdings"/>
                <w:sz w:val="32"/>
              </w:rPr>
            </w:pPr>
            <w:r>
              <w:rPr>
                <w:rFonts w:ascii="Wingdings" w:hAnsi="Wingdings"/>
                <w:spacing w:val="-10"/>
                <w:sz w:val="32"/>
              </w:rPr>
              <w:t></w:t>
            </w:r>
          </w:p>
        </w:tc>
      </w:tr>
      <w:tr>
        <w:trPr>
          <w:trHeight w:val="1190" w:hRule="atLeast"/>
        </w:trPr>
        <w:tc>
          <w:tcPr>
            <w:tcW w:w="1423" w:type="dxa"/>
          </w:tcPr>
          <w:p>
            <w:pPr>
              <w:pStyle w:val="TableParagraph"/>
              <w:spacing w:before="156"/>
              <w:rPr>
                <w:rFonts w:ascii="Verdana"/>
                <w:sz w:val="18"/>
              </w:rPr>
            </w:pPr>
          </w:p>
          <w:p>
            <w:pPr>
              <w:pStyle w:val="TableParagraph"/>
              <w:spacing w:before="1"/>
              <w:ind w:left="107" w:right="187"/>
              <w:rPr>
                <w:rFonts w:ascii="Verdana"/>
                <w:sz w:val="18"/>
              </w:rPr>
            </w:pPr>
            <w:r>
              <w:rPr>
                <w:rFonts w:ascii="Verdana"/>
                <w:sz w:val="18"/>
              </w:rPr>
              <w:t>Workforce</w:t>
            </w:r>
            <w:r>
              <w:rPr>
                <w:rFonts w:ascii="Verdana"/>
                <w:spacing w:val="-16"/>
                <w:sz w:val="18"/>
              </w:rPr>
              <w:t> </w:t>
            </w:r>
            <w:r>
              <w:rPr>
                <w:rFonts w:ascii="Verdana"/>
                <w:sz w:val="18"/>
              </w:rPr>
              <w:t>&amp; </w:t>
            </w:r>
            <w:r>
              <w:rPr>
                <w:rFonts w:ascii="Verdana"/>
                <w:spacing w:val="-6"/>
                <w:sz w:val="18"/>
              </w:rPr>
              <w:t>OD</w:t>
            </w:r>
          </w:p>
        </w:tc>
        <w:tc>
          <w:tcPr>
            <w:tcW w:w="1483" w:type="dxa"/>
          </w:tcPr>
          <w:p>
            <w:pPr>
              <w:pStyle w:val="TableParagraph"/>
              <w:spacing w:before="232"/>
              <w:rPr>
                <w:rFonts w:ascii="Verdana"/>
                <w:sz w:val="20"/>
              </w:rPr>
            </w:pPr>
          </w:p>
          <w:p>
            <w:pPr>
              <w:pStyle w:val="TableParagraph"/>
              <w:ind w:left="7" w:right="1"/>
              <w:jc w:val="center"/>
              <w:rPr>
                <w:rFonts w:ascii="Verdana"/>
                <w:sz w:val="20"/>
              </w:rPr>
            </w:pPr>
            <w:r>
              <w:rPr>
                <w:rFonts w:ascii="Verdana"/>
                <w:spacing w:val="-5"/>
                <w:sz w:val="20"/>
              </w:rPr>
              <w:t>No</w:t>
            </w:r>
          </w:p>
        </w:tc>
        <w:tc>
          <w:tcPr>
            <w:tcW w:w="1483" w:type="dxa"/>
          </w:tcPr>
          <w:p>
            <w:pPr>
              <w:pStyle w:val="TableParagraph"/>
              <w:spacing w:before="28"/>
              <w:rPr>
                <w:rFonts w:ascii="Verdana"/>
                <w:sz w:val="32"/>
              </w:rPr>
            </w:pPr>
          </w:p>
          <w:p>
            <w:pPr>
              <w:pStyle w:val="TableParagraph"/>
              <w:spacing w:before="1"/>
              <w:ind w:left="7"/>
              <w:jc w:val="center"/>
              <w:rPr>
                <w:rFonts w:ascii="Wingdings" w:hAnsi="Wingdings"/>
                <w:sz w:val="32"/>
              </w:rPr>
            </w:pPr>
            <w:r>
              <w:rPr>
                <w:rFonts w:ascii="Wingdings" w:hAnsi="Wingdings"/>
                <w:spacing w:val="-10"/>
                <w:sz w:val="32"/>
              </w:rPr>
              <w:t></w:t>
            </w:r>
          </w:p>
        </w:tc>
        <w:tc>
          <w:tcPr>
            <w:tcW w:w="1484" w:type="dxa"/>
          </w:tcPr>
          <w:p>
            <w:pPr>
              <w:pStyle w:val="TableParagraph"/>
              <w:spacing w:before="28"/>
              <w:rPr>
                <w:rFonts w:ascii="Verdana"/>
                <w:sz w:val="32"/>
              </w:rPr>
            </w:pPr>
          </w:p>
          <w:p>
            <w:pPr>
              <w:pStyle w:val="TableParagraph"/>
              <w:spacing w:before="1"/>
              <w:ind w:left="10" w:right="3"/>
              <w:jc w:val="center"/>
              <w:rPr>
                <w:rFonts w:ascii="Wingdings" w:hAnsi="Wingdings"/>
                <w:sz w:val="32"/>
              </w:rPr>
            </w:pPr>
            <w:r>
              <w:rPr>
                <w:rFonts w:ascii="Wingdings" w:hAnsi="Wingdings"/>
                <w:spacing w:val="-10"/>
                <w:sz w:val="32"/>
              </w:rPr>
              <w:t></w:t>
            </w:r>
          </w:p>
        </w:tc>
        <w:tc>
          <w:tcPr>
            <w:tcW w:w="1486" w:type="dxa"/>
          </w:tcPr>
          <w:p>
            <w:pPr>
              <w:pStyle w:val="TableParagraph"/>
              <w:spacing w:before="232"/>
              <w:rPr>
                <w:rFonts w:ascii="Verdana"/>
                <w:sz w:val="20"/>
              </w:rPr>
            </w:pPr>
          </w:p>
          <w:p>
            <w:pPr>
              <w:pStyle w:val="TableParagraph"/>
              <w:ind w:left="4" w:right="3"/>
              <w:jc w:val="center"/>
              <w:rPr>
                <w:rFonts w:ascii="Verdana"/>
                <w:sz w:val="20"/>
              </w:rPr>
            </w:pPr>
            <w:r>
              <w:rPr>
                <w:rFonts w:ascii="Verdana"/>
                <w:spacing w:val="-2"/>
                <w:sz w:val="20"/>
              </w:rPr>
              <w:t>Partial</w:t>
            </w:r>
          </w:p>
        </w:tc>
        <w:tc>
          <w:tcPr>
            <w:tcW w:w="1484" w:type="dxa"/>
          </w:tcPr>
          <w:p>
            <w:pPr>
              <w:pStyle w:val="TableParagraph"/>
              <w:spacing w:before="28"/>
              <w:rPr>
                <w:rFonts w:ascii="Verdana"/>
                <w:sz w:val="32"/>
              </w:rPr>
            </w:pPr>
          </w:p>
          <w:p>
            <w:pPr>
              <w:pStyle w:val="TableParagraph"/>
              <w:spacing w:before="1"/>
              <w:ind w:left="10" w:right="5"/>
              <w:jc w:val="center"/>
              <w:rPr>
                <w:rFonts w:ascii="Wingdings" w:hAnsi="Wingdings"/>
                <w:sz w:val="32"/>
              </w:rPr>
            </w:pPr>
            <w:r>
              <w:rPr>
                <w:rFonts w:ascii="Wingdings" w:hAnsi="Wingdings"/>
                <w:spacing w:val="-10"/>
                <w:sz w:val="32"/>
              </w:rPr>
              <w:t></w:t>
            </w:r>
          </w:p>
        </w:tc>
        <w:tc>
          <w:tcPr>
            <w:tcW w:w="1484" w:type="dxa"/>
          </w:tcPr>
          <w:p>
            <w:pPr>
              <w:pStyle w:val="TableParagraph"/>
              <w:spacing w:before="28"/>
              <w:rPr>
                <w:rFonts w:ascii="Verdana"/>
                <w:sz w:val="32"/>
              </w:rPr>
            </w:pPr>
          </w:p>
          <w:p>
            <w:pPr>
              <w:pStyle w:val="TableParagraph"/>
              <w:spacing w:before="1"/>
              <w:ind w:left="10" w:right="5"/>
              <w:jc w:val="center"/>
              <w:rPr>
                <w:rFonts w:ascii="Wingdings" w:hAnsi="Wingdings"/>
                <w:sz w:val="32"/>
              </w:rPr>
            </w:pPr>
            <w:r>
              <w:rPr>
                <w:rFonts w:ascii="Wingdings" w:hAnsi="Wingdings"/>
                <w:spacing w:val="-10"/>
                <w:sz w:val="32"/>
              </w:rPr>
              <w:t></w:t>
            </w:r>
          </w:p>
        </w:tc>
        <w:tc>
          <w:tcPr>
            <w:tcW w:w="1484" w:type="dxa"/>
          </w:tcPr>
          <w:p>
            <w:pPr>
              <w:pStyle w:val="TableParagraph"/>
              <w:spacing w:before="28"/>
              <w:rPr>
                <w:rFonts w:ascii="Verdana"/>
                <w:sz w:val="32"/>
              </w:rPr>
            </w:pPr>
          </w:p>
          <w:p>
            <w:pPr>
              <w:pStyle w:val="TableParagraph"/>
              <w:spacing w:before="1"/>
              <w:ind w:left="10" w:right="7"/>
              <w:jc w:val="center"/>
              <w:rPr>
                <w:rFonts w:ascii="Wingdings" w:hAnsi="Wingdings"/>
                <w:sz w:val="32"/>
              </w:rPr>
            </w:pPr>
            <w:r>
              <w:rPr>
                <w:rFonts w:ascii="Wingdings" w:hAnsi="Wingdings"/>
                <w:spacing w:val="-10"/>
                <w:sz w:val="32"/>
              </w:rPr>
              <w:t></w:t>
            </w:r>
          </w:p>
        </w:tc>
        <w:tc>
          <w:tcPr>
            <w:tcW w:w="1655" w:type="dxa"/>
          </w:tcPr>
          <w:p>
            <w:pPr>
              <w:pStyle w:val="TableParagraph"/>
              <w:spacing w:before="232"/>
              <w:rPr>
                <w:rFonts w:ascii="Verdana"/>
                <w:sz w:val="20"/>
              </w:rPr>
            </w:pPr>
          </w:p>
          <w:p>
            <w:pPr>
              <w:pStyle w:val="TableParagraph"/>
              <w:ind w:left="4" w:right="1"/>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316" w:type="dxa"/>
          </w:tcPr>
          <w:p>
            <w:pPr>
              <w:pStyle w:val="TableParagraph"/>
              <w:spacing w:before="110"/>
              <w:rPr>
                <w:rFonts w:ascii="Verdana"/>
                <w:sz w:val="20"/>
              </w:rPr>
            </w:pPr>
          </w:p>
          <w:p>
            <w:pPr>
              <w:pStyle w:val="TableParagraph"/>
              <w:ind w:left="220" w:right="213" w:firstLine="328"/>
              <w:rPr>
                <w:rFonts w:ascii="Verdana"/>
                <w:sz w:val="20"/>
              </w:rPr>
            </w:pPr>
            <w:r>
              <w:rPr>
                <w:rFonts w:ascii="Verdana"/>
                <w:spacing w:val="-6"/>
                <w:sz w:val="20"/>
              </w:rPr>
              <w:t>In </w:t>
            </w:r>
            <w:r>
              <w:rPr>
                <w:rFonts w:ascii="Verdana"/>
                <w:spacing w:val="-2"/>
                <w:sz w:val="20"/>
              </w:rPr>
              <w:t>progress</w:t>
            </w:r>
          </w:p>
        </w:tc>
        <w:tc>
          <w:tcPr>
            <w:tcW w:w="1484" w:type="dxa"/>
          </w:tcPr>
          <w:p>
            <w:pPr>
              <w:pStyle w:val="TableParagraph"/>
              <w:spacing w:before="232"/>
              <w:rPr>
                <w:rFonts w:ascii="Verdana"/>
                <w:sz w:val="20"/>
              </w:rPr>
            </w:pPr>
          </w:p>
          <w:p>
            <w:pPr>
              <w:pStyle w:val="TableParagraph"/>
              <w:ind w:left="10" w:right="11"/>
              <w:jc w:val="center"/>
              <w:rPr>
                <w:rFonts w:ascii="Verdana"/>
                <w:sz w:val="20"/>
              </w:rPr>
            </w:pPr>
            <w:r>
              <w:rPr>
                <w:rFonts w:ascii="Verdana"/>
                <w:sz w:val="20"/>
              </w:rPr>
              <w:t>In</w:t>
            </w:r>
            <w:r>
              <w:rPr>
                <w:rFonts w:ascii="Verdana"/>
                <w:spacing w:val="-3"/>
                <w:sz w:val="20"/>
              </w:rPr>
              <w:t> </w:t>
            </w:r>
            <w:r>
              <w:rPr>
                <w:rFonts w:ascii="Verdana"/>
                <w:spacing w:val="-2"/>
                <w:sz w:val="20"/>
              </w:rPr>
              <w:t>progress</w:t>
            </w:r>
          </w:p>
        </w:tc>
      </w:tr>
      <w:tr>
        <w:trPr>
          <w:trHeight w:val="1192" w:hRule="atLeast"/>
        </w:trPr>
        <w:tc>
          <w:tcPr>
            <w:tcW w:w="1423" w:type="dxa"/>
          </w:tcPr>
          <w:p>
            <w:pPr>
              <w:pStyle w:val="TableParagraph"/>
              <w:spacing w:before="156"/>
              <w:rPr>
                <w:rFonts w:ascii="Verdana"/>
                <w:sz w:val="18"/>
              </w:rPr>
            </w:pPr>
          </w:p>
          <w:p>
            <w:pPr>
              <w:pStyle w:val="TableParagraph"/>
              <w:spacing w:line="242" w:lineRule="auto" w:before="1"/>
              <w:ind w:left="107" w:right="682"/>
              <w:rPr>
                <w:rFonts w:ascii="Verdana"/>
                <w:sz w:val="18"/>
              </w:rPr>
            </w:pPr>
            <w:r>
              <w:rPr>
                <w:rFonts w:ascii="Verdana"/>
                <w:sz w:val="18"/>
              </w:rPr>
              <w:t>Data</w:t>
            </w:r>
            <w:r>
              <w:rPr>
                <w:rFonts w:ascii="Verdana"/>
                <w:spacing w:val="-16"/>
                <w:sz w:val="18"/>
              </w:rPr>
              <w:t> </w:t>
            </w:r>
            <w:r>
              <w:rPr>
                <w:rFonts w:ascii="Verdana"/>
                <w:sz w:val="18"/>
              </w:rPr>
              <w:t>&amp; </w:t>
            </w:r>
            <w:r>
              <w:rPr>
                <w:rFonts w:ascii="Verdana"/>
                <w:spacing w:val="-2"/>
                <w:sz w:val="18"/>
              </w:rPr>
              <w:t>Digital</w:t>
            </w:r>
          </w:p>
        </w:tc>
        <w:tc>
          <w:tcPr>
            <w:tcW w:w="1483" w:type="dxa"/>
          </w:tcPr>
          <w:p>
            <w:pPr>
              <w:pStyle w:val="TableParagraph"/>
              <w:spacing w:before="232"/>
              <w:rPr>
                <w:rFonts w:ascii="Verdana"/>
                <w:sz w:val="20"/>
              </w:rPr>
            </w:pPr>
          </w:p>
          <w:p>
            <w:pPr>
              <w:pStyle w:val="TableParagraph"/>
              <w:ind w:left="7" w:right="1"/>
              <w:jc w:val="center"/>
              <w:rPr>
                <w:rFonts w:ascii="Verdana"/>
                <w:sz w:val="20"/>
              </w:rPr>
            </w:pPr>
            <w:r>
              <w:rPr>
                <w:rFonts w:ascii="Verdana"/>
                <w:spacing w:val="-5"/>
                <w:sz w:val="20"/>
              </w:rPr>
              <w:t>No</w:t>
            </w:r>
          </w:p>
        </w:tc>
        <w:tc>
          <w:tcPr>
            <w:tcW w:w="1483" w:type="dxa"/>
          </w:tcPr>
          <w:p>
            <w:pPr>
              <w:pStyle w:val="TableParagraph"/>
              <w:spacing w:before="31"/>
              <w:rPr>
                <w:rFonts w:ascii="Verdana"/>
                <w:sz w:val="32"/>
              </w:rPr>
            </w:pPr>
          </w:p>
          <w:p>
            <w:pPr>
              <w:pStyle w:val="TableParagraph"/>
              <w:ind w:left="7"/>
              <w:jc w:val="center"/>
              <w:rPr>
                <w:rFonts w:ascii="Wingdings" w:hAnsi="Wingdings"/>
                <w:sz w:val="32"/>
              </w:rPr>
            </w:pPr>
            <w:r>
              <w:rPr>
                <w:rFonts w:ascii="Wingdings" w:hAnsi="Wingdings"/>
                <w:spacing w:val="-10"/>
                <w:sz w:val="32"/>
              </w:rPr>
              <w:t></w:t>
            </w:r>
          </w:p>
        </w:tc>
        <w:tc>
          <w:tcPr>
            <w:tcW w:w="1484" w:type="dxa"/>
          </w:tcPr>
          <w:p>
            <w:pPr>
              <w:pStyle w:val="TableParagraph"/>
              <w:spacing w:before="31"/>
              <w:rPr>
                <w:rFonts w:ascii="Verdana"/>
                <w:sz w:val="32"/>
              </w:rPr>
            </w:pPr>
          </w:p>
          <w:p>
            <w:pPr>
              <w:pStyle w:val="TableParagraph"/>
              <w:ind w:left="10" w:right="3"/>
              <w:jc w:val="center"/>
              <w:rPr>
                <w:rFonts w:ascii="Wingdings" w:hAnsi="Wingdings"/>
                <w:sz w:val="32"/>
              </w:rPr>
            </w:pPr>
            <w:r>
              <w:rPr>
                <w:rFonts w:ascii="Wingdings" w:hAnsi="Wingdings"/>
                <w:spacing w:val="-10"/>
                <w:sz w:val="32"/>
              </w:rPr>
              <w:t></w:t>
            </w:r>
          </w:p>
        </w:tc>
        <w:tc>
          <w:tcPr>
            <w:tcW w:w="1486" w:type="dxa"/>
          </w:tcPr>
          <w:p>
            <w:pPr>
              <w:pStyle w:val="TableParagraph"/>
              <w:spacing w:before="31"/>
              <w:rPr>
                <w:rFonts w:ascii="Verdana"/>
                <w:sz w:val="32"/>
              </w:rPr>
            </w:pPr>
          </w:p>
          <w:p>
            <w:pPr>
              <w:pStyle w:val="TableParagraph"/>
              <w:ind w:left="4"/>
              <w:jc w:val="center"/>
              <w:rPr>
                <w:rFonts w:ascii="Wingdings" w:hAnsi="Wingdings"/>
                <w:sz w:val="32"/>
              </w:rPr>
            </w:pPr>
            <w:r>
              <w:rPr>
                <w:rFonts w:ascii="Wingdings" w:hAnsi="Wingdings"/>
                <w:spacing w:val="-10"/>
                <w:sz w:val="32"/>
              </w:rPr>
              <w:t></w:t>
            </w:r>
          </w:p>
        </w:tc>
        <w:tc>
          <w:tcPr>
            <w:tcW w:w="1484" w:type="dxa"/>
          </w:tcPr>
          <w:p>
            <w:pPr>
              <w:pStyle w:val="TableParagraph"/>
              <w:spacing w:before="31"/>
              <w:rPr>
                <w:rFonts w:ascii="Verdana"/>
                <w:sz w:val="32"/>
              </w:rPr>
            </w:pPr>
          </w:p>
          <w:p>
            <w:pPr>
              <w:pStyle w:val="TableParagraph"/>
              <w:ind w:left="10" w:right="5"/>
              <w:jc w:val="center"/>
              <w:rPr>
                <w:rFonts w:ascii="Wingdings" w:hAnsi="Wingdings"/>
                <w:sz w:val="32"/>
              </w:rPr>
            </w:pPr>
            <w:r>
              <w:rPr>
                <w:rFonts w:ascii="Wingdings" w:hAnsi="Wingdings"/>
                <w:spacing w:val="-10"/>
                <w:sz w:val="32"/>
              </w:rPr>
              <w:t></w:t>
            </w:r>
          </w:p>
        </w:tc>
        <w:tc>
          <w:tcPr>
            <w:tcW w:w="1484" w:type="dxa"/>
          </w:tcPr>
          <w:p>
            <w:pPr>
              <w:pStyle w:val="TableParagraph"/>
              <w:spacing w:before="31"/>
              <w:rPr>
                <w:rFonts w:ascii="Verdana"/>
                <w:sz w:val="32"/>
              </w:rPr>
            </w:pPr>
          </w:p>
          <w:p>
            <w:pPr>
              <w:pStyle w:val="TableParagraph"/>
              <w:ind w:left="10" w:right="5"/>
              <w:jc w:val="center"/>
              <w:rPr>
                <w:rFonts w:ascii="Wingdings" w:hAnsi="Wingdings"/>
                <w:sz w:val="32"/>
              </w:rPr>
            </w:pPr>
            <w:r>
              <w:rPr>
                <w:rFonts w:ascii="Wingdings" w:hAnsi="Wingdings"/>
                <w:spacing w:val="-10"/>
                <w:sz w:val="32"/>
              </w:rPr>
              <w:t></w:t>
            </w:r>
          </w:p>
        </w:tc>
        <w:tc>
          <w:tcPr>
            <w:tcW w:w="1484" w:type="dxa"/>
          </w:tcPr>
          <w:p>
            <w:pPr>
              <w:pStyle w:val="TableParagraph"/>
              <w:spacing w:before="31"/>
              <w:rPr>
                <w:rFonts w:ascii="Verdana"/>
                <w:sz w:val="32"/>
              </w:rPr>
            </w:pPr>
          </w:p>
          <w:p>
            <w:pPr>
              <w:pStyle w:val="TableParagraph"/>
              <w:ind w:left="10" w:right="7"/>
              <w:jc w:val="center"/>
              <w:rPr>
                <w:rFonts w:ascii="Wingdings" w:hAnsi="Wingdings"/>
                <w:sz w:val="32"/>
              </w:rPr>
            </w:pPr>
            <w:r>
              <w:rPr>
                <w:rFonts w:ascii="Wingdings" w:hAnsi="Wingdings"/>
                <w:spacing w:val="-10"/>
                <w:sz w:val="32"/>
              </w:rPr>
              <w:t></w:t>
            </w:r>
          </w:p>
        </w:tc>
        <w:tc>
          <w:tcPr>
            <w:tcW w:w="1655" w:type="dxa"/>
          </w:tcPr>
          <w:p>
            <w:pPr>
              <w:pStyle w:val="TableParagraph"/>
              <w:spacing w:before="232"/>
              <w:rPr>
                <w:rFonts w:ascii="Verdana"/>
                <w:sz w:val="20"/>
              </w:rPr>
            </w:pPr>
          </w:p>
          <w:p>
            <w:pPr>
              <w:pStyle w:val="TableParagraph"/>
              <w:ind w:left="4" w:right="1"/>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316" w:type="dxa"/>
          </w:tcPr>
          <w:p>
            <w:pPr>
              <w:pStyle w:val="TableParagraph"/>
              <w:spacing w:before="31"/>
              <w:rPr>
                <w:rFonts w:ascii="Verdana"/>
                <w:sz w:val="32"/>
              </w:rPr>
            </w:pPr>
          </w:p>
          <w:p>
            <w:pPr>
              <w:pStyle w:val="TableParagraph"/>
              <w:ind w:left="5"/>
              <w:jc w:val="center"/>
              <w:rPr>
                <w:rFonts w:ascii="Wingdings" w:hAnsi="Wingdings"/>
                <w:sz w:val="32"/>
              </w:rPr>
            </w:pPr>
            <w:r>
              <w:rPr>
                <w:rFonts w:ascii="Wingdings" w:hAnsi="Wingdings"/>
                <w:spacing w:val="-10"/>
                <w:sz w:val="32"/>
              </w:rPr>
              <w:t></w:t>
            </w:r>
          </w:p>
        </w:tc>
        <w:tc>
          <w:tcPr>
            <w:tcW w:w="1484" w:type="dxa"/>
          </w:tcPr>
          <w:p>
            <w:pPr>
              <w:pStyle w:val="TableParagraph"/>
              <w:spacing w:before="31"/>
              <w:rPr>
                <w:rFonts w:ascii="Verdana"/>
                <w:sz w:val="32"/>
              </w:rPr>
            </w:pPr>
          </w:p>
          <w:p>
            <w:pPr>
              <w:pStyle w:val="TableParagraph"/>
              <w:ind w:left="10" w:right="11"/>
              <w:jc w:val="center"/>
              <w:rPr>
                <w:rFonts w:ascii="Wingdings" w:hAnsi="Wingdings"/>
                <w:sz w:val="32"/>
              </w:rPr>
            </w:pPr>
            <w:r>
              <w:rPr>
                <w:rFonts w:ascii="Wingdings" w:hAnsi="Wingdings"/>
                <w:spacing w:val="-10"/>
                <w:sz w:val="32"/>
              </w:rPr>
              <w:t></w:t>
            </w:r>
          </w:p>
        </w:tc>
      </w:tr>
      <w:tr>
        <w:trPr>
          <w:trHeight w:val="1189" w:hRule="atLeast"/>
        </w:trPr>
        <w:tc>
          <w:tcPr>
            <w:tcW w:w="1423" w:type="dxa"/>
          </w:tcPr>
          <w:p>
            <w:pPr>
              <w:pStyle w:val="TableParagraph"/>
              <w:spacing w:before="156"/>
              <w:rPr>
                <w:rFonts w:ascii="Verdana"/>
                <w:sz w:val="18"/>
              </w:rPr>
            </w:pPr>
          </w:p>
          <w:p>
            <w:pPr>
              <w:pStyle w:val="TableParagraph"/>
              <w:spacing w:before="1"/>
              <w:ind w:left="107"/>
              <w:rPr>
                <w:rFonts w:ascii="Verdana"/>
                <w:sz w:val="18"/>
              </w:rPr>
            </w:pPr>
            <w:r>
              <w:rPr>
                <w:rFonts w:ascii="Verdana"/>
                <w:sz w:val="18"/>
              </w:rPr>
              <w:t>Finance &amp; </w:t>
            </w:r>
            <w:r>
              <w:rPr>
                <w:rFonts w:ascii="Verdana"/>
                <w:spacing w:val="-2"/>
                <w:sz w:val="18"/>
              </w:rPr>
              <w:t>Contracting</w:t>
            </w:r>
          </w:p>
        </w:tc>
        <w:tc>
          <w:tcPr>
            <w:tcW w:w="1483" w:type="dxa"/>
          </w:tcPr>
          <w:p>
            <w:pPr>
              <w:pStyle w:val="TableParagraph"/>
              <w:spacing w:before="230"/>
              <w:rPr>
                <w:rFonts w:ascii="Verdana"/>
                <w:sz w:val="20"/>
              </w:rPr>
            </w:pPr>
          </w:p>
          <w:p>
            <w:pPr>
              <w:pStyle w:val="TableParagraph"/>
              <w:ind w:left="7" w:right="1"/>
              <w:jc w:val="center"/>
              <w:rPr>
                <w:rFonts w:ascii="Verdana"/>
                <w:sz w:val="20"/>
              </w:rPr>
            </w:pPr>
            <w:r>
              <w:rPr>
                <w:rFonts w:ascii="Verdana"/>
                <w:spacing w:val="-5"/>
                <w:sz w:val="20"/>
              </w:rPr>
              <w:t>No</w:t>
            </w:r>
          </w:p>
        </w:tc>
        <w:tc>
          <w:tcPr>
            <w:tcW w:w="1483" w:type="dxa"/>
          </w:tcPr>
          <w:p>
            <w:pPr>
              <w:pStyle w:val="TableParagraph"/>
              <w:spacing w:before="230"/>
              <w:rPr>
                <w:rFonts w:ascii="Verdana"/>
                <w:sz w:val="20"/>
              </w:rPr>
            </w:pPr>
          </w:p>
          <w:p>
            <w:pPr>
              <w:pStyle w:val="TableParagraph"/>
              <w:ind w:left="7"/>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4" w:type="dxa"/>
          </w:tcPr>
          <w:p>
            <w:pPr>
              <w:pStyle w:val="TableParagraph"/>
              <w:spacing w:before="230"/>
              <w:rPr>
                <w:rFonts w:ascii="Verdana"/>
                <w:sz w:val="20"/>
              </w:rPr>
            </w:pPr>
          </w:p>
          <w:p>
            <w:pPr>
              <w:pStyle w:val="TableParagraph"/>
              <w:ind w:left="10" w:right="4"/>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6" w:type="dxa"/>
          </w:tcPr>
          <w:p>
            <w:pPr>
              <w:pStyle w:val="TableParagraph"/>
              <w:spacing w:before="230"/>
              <w:rPr>
                <w:rFonts w:ascii="Verdana"/>
                <w:sz w:val="20"/>
              </w:rPr>
            </w:pPr>
          </w:p>
          <w:p>
            <w:pPr>
              <w:pStyle w:val="TableParagraph"/>
              <w:ind w:left="4"/>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4" w:type="dxa"/>
          </w:tcPr>
          <w:p>
            <w:pPr>
              <w:pStyle w:val="TableParagraph"/>
              <w:spacing w:before="230"/>
              <w:rPr>
                <w:rFonts w:ascii="Verdana"/>
                <w:sz w:val="20"/>
              </w:rPr>
            </w:pPr>
          </w:p>
          <w:p>
            <w:pPr>
              <w:pStyle w:val="TableParagraph"/>
              <w:ind w:left="10" w:right="5"/>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4" w:type="dxa"/>
          </w:tcPr>
          <w:p>
            <w:pPr>
              <w:pStyle w:val="TableParagraph"/>
              <w:spacing w:before="230"/>
              <w:rPr>
                <w:rFonts w:ascii="Verdana"/>
                <w:sz w:val="20"/>
              </w:rPr>
            </w:pPr>
          </w:p>
          <w:p>
            <w:pPr>
              <w:pStyle w:val="TableParagraph"/>
              <w:ind w:left="10" w:right="6"/>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4" w:type="dxa"/>
          </w:tcPr>
          <w:p>
            <w:pPr>
              <w:pStyle w:val="TableParagraph"/>
              <w:spacing w:before="230"/>
              <w:rPr>
                <w:rFonts w:ascii="Verdana"/>
                <w:sz w:val="20"/>
              </w:rPr>
            </w:pPr>
          </w:p>
          <w:p>
            <w:pPr>
              <w:pStyle w:val="TableParagraph"/>
              <w:ind w:left="10" w:right="7"/>
              <w:jc w:val="center"/>
              <w:rPr>
                <w:rFonts w:ascii="Verdana"/>
                <w:sz w:val="20"/>
              </w:rPr>
            </w:pPr>
            <w:r>
              <w:rPr>
                <w:rFonts w:ascii="Verdana"/>
                <w:spacing w:val="-2"/>
                <w:sz w:val="20"/>
              </w:rPr>
              <w:t>Unclear</w:t>
            </w:r>
          </w:p>
        </w:tc>
        <w:tc>
          <w:tcPr>
            <w:tcW w:w="1655" w:type="dxa"/>
          </w:tcPr>
          <w:p>
            <w:pPr>
              <w:pStyle w:val="TableParagraph"/>
              <w:spacing w:before="230"/>
              <w:rPr>
                <w:rFonts w:ascii="Verdana"/>
                <w:sz w:val="20"/>
              </w:rPr>
            </w:pPr>
          </w:p>
          <w:p>
            <w:pPr>
              <w:pStyle w:val="TableParagraph"/>
              <w:ind w:left="4"/>
              <w:jc w:val="center"/>
              <w:rPr>
                <w:rFonts w:ascii="Verdana"/>
                <w:sz w:val="20"/>
              </w:rPr>
            </w:pPr>
            <w:r>
              <w:rPr>
                <w:rFonts w:ascii="Verdana"/>
                <w:spacing w:val="-2"/>
                <w:sz w:val="20"/>
              </w:rPr>
              <w:t>Unclear</w:t>
            </w:r>
          </w:p>
        </w:tc>
        <w:tc>
          <w:tcPr>
            <w:tcW w:w="1316" w:type="dxa"/>
          </w:tcPr>
          <w:p>
            <w:pPr>
              <w:pStyle w:val="TableParagraph"/>
              <w:spacing w:before="230"/>
              <w:rPr>
                <w:rFonts w:ascii="Verdana"/>
                <w:sz w:val="20"/>
              </w:rPr>
            </w:pPr>
          </w:p>
          <w:p>
            <w:pPr>
              <w:pStyle w:val="TableParagraph"/>
              <w:ind w:left="5"/>
              <w:jc w:val="center"/>
              <w:rPr>
                <w:rFonts w:ascii="Verdana"/>
                <w:sz w:val="20"/>
              </w:rPr>
            </w:pPr>
            <w:r>
              <w:rPr>
                <w:rFonts w:ascii="Verdana"/>
                <w:spacing w:val="-2"/>
                <w:sz w:val="20"/>
              </w:rPr>
              <w:t>Unclear</w:t>
            </w:r>
          </w:p>
        </w:tc>
        <w:tc>
          <w:tcPr>
            <w:tcW w:w="1484" w:type="dxa"/>
          </w:tcPr>
          <w:p>
            <w:pPr>
              <w:pStyle w:val="TableParagraph"/>
              <w:spacing w:before="230"/>
              <w:rPr>
                <w:rFonts w:ascii="Verdana"/>
                <w:sz w:val="20"/>
              </w:rPr>
            </w:pPr>
          </w:p>
          <w:p>
            <w:pPr>
              <w:pStyle w:val="TableParagraph"/>
              <w:ind w:left="10" w:right="11"/>
              <w:jc w:val="center"/>
              <w:rPr>
                <w:rFonts w:ascii="Verdana"/>
                <w:sz w:val="20"/>
              </w:rPr>
            </w:pPr>
            <w:r>
              <w:rPr>
                <w:rFonts w:ascii="Verdana"/>
                <w:spacing w:val="-2"/>
                <w:sz w:val="20"/>
              </w:rPr>
              <w:t>Unclear</w:t>
            </w:r>
          </w:p>
        </w:tc>
      </w:tr>
      <w:tr>
        <w:trPr>
          <w:trHeight w:val="1192" w:hRule="atLeast"/>
        </w:trPr>
        <w:tc>
          <w:tcPr>
            <w:tcW w:w="1423" w:type="dxa"/>
          </w:tcPr>
          <w:p>
            <w:pPr>
              <w:pStyle w:val="TableParagraph"/>
              <w:spacing w:before="49"/>
              <w:rPr>
                <w:rFonts w:ascii="Verdana"/>
                <w:sz w:val="18"/>
              </w:rPr>
            </w:pPr>
          </w:p>
          <w:p>
            <w:pPr>
              <w:pStyle w:val="TableParagraph"/>
              <w:ind w:left="107" w:right="137"/>
              <w:rPr>
                <w:rFonts w:ascii="Verdana"/>
                <w:sz w:val="18"/>
              </w:rPr>
            </w:pPr>
            <w:r>
              <w:rPr>
                <w:rFonts w:ascii="Verdana"/>
                <w:spacing w:val="-2"/>
                <w:sz w:val="18"/>
              </w:rPr>
              <w:t>Research, </w:t>
            </w:r>
            <w:r>
              <w:rPr>
                <w:rFonts w:ascii="Verdana"/>
                <w:sz w:val="18"/>
              </w:rPr>
              <w:t>Innovation</w:t>
            </w:r>
            <w:r>
              <w:rPr>
                <w:rFonts w:ascii="Verdana"/>
                <w:spacing w:val="-16"/>
                <w:sz w:val="18"/>
              </w:rPr>
              <w:t> </w:t>
            </w:r>
            <w:r>
              <w:rPr>
                <w:rFonts w:ascii="Verdana"/>
                <w:sz w:val="18"/>
              </w:rPr>
              <w:t>&amp; </w:t>
            </w:r>
            <w:r>
              <w:rPr>
                <w:rFonts w:ascii="Verdana"/>
                <w:spacing w:val="-2"/>
                <w:sz w:val="18"/>
              </w:rPr>
              <w:t>Excellence</w:t>
            </w:r>
          </w:p>
        </w:tc>
        <w:tc>
          <w:tcPr>
            <w:tcW w:w="1483" w:type="dxa"/>
          </w:tcPr>
          <w:p>
            <w:pPr>
              <w:pStyle w:val="TableParagraph"/>
              <w:spacing w:before="29"/>
              <w:rPr>
                <w:rFonts w:ascii="Verdana"/>
                <w:sz w:val="32"/>
              </w:rPr>
            </w:pPr>
          </w:p>
          <w:p>
            <w:pPr>
              <w:pStyle w:val="TableParagraph"/>
              <w:ind w:left="7"/>
              <w:jc w:val="center"/>
              <w:rPr>
                <w:rFonts w:ascii="Wingdings" w:hAnsi="Wingdings"/>
                <w:sz w:val="32"/>
              </w:rPr>
            </w:pPr>
            <w:r>
              <w:rPr>
                <w:rFonts w:ascii="Wingdings" w:hAnsi="Wingdings"/>
                <w:spacing w:val="-10"/>
                <w:sz w:val="32"/>
              </w:rPr>
              <w:t></w:t>
            </w:r>
          </w:p>
        </w:tc>
        <w:tc>
          <w:tcPr>
            <w:tcW w:w="1483" w:type="dxa"/>
          </w:tcPr>
          <w:p>
            <w:pPr>
              <w:pStyle w:val="TableParagraph"/>
              <w:spacing w:before="29"/>
              <w:rPr>
                <w:rFonts w:ascii="Verdana"/>
                <w:sz w:val="32"/>
              </w:rPr>
            </w:pPr>
          </w:p>
          <w:p>
            <w:pPr>
              <w:pStyle w:val="TableParagraph"/>
              <w:ind w:left="7"/>
              <w:jc w:val="center"/>
              <w:rPr>
                <w:rFonts w:ascii="Wingdings" w:hAnsi="Wingdings"/>
                <w:sz w:val="32"/>
              </w:rPr>
            </w:pPr>
            <w:r>
              <w:rPr>
                <w:rFonts w:ascii="Wingdings" w:hAnsi="Wingdings"/>
                <w:spacing w:val="-10"/>
                <w:sz w:val="32"/>
              </w:rPr>
              <w:t></w:t>
            </w:r>
          </w:p>
        </w:tc>
        <w:tc>
          <w:tcPr>
            <w:tcW w:w="1484" w:type="dxa"/>
          </w:tcPr>
          <w:p>
            <w:pPr>
              <w:pStyle w:val="TableParagraph"/>
              <w:spacing w:before="29"/>
              <w:rPr>
                <w:rFonts w:ascii="Verdana"/>
                <w:sz w:val="32"/>
              </w:rPr>
            </w:pPr>
          </w:p>
          <w:p>
            <w:pPr>
              <w:pStyle w:val="TableParagraph"/>
              <w:ind w:left="10" w:right="3"/>
              <w:jc w:val="center"/>
              <w:rPr>
                <w:rFonts w:ascii="Wingdings" w:hAnsi="Wingdings"/>
                <w:sz w:val="32"/>
              </w:rPr>
            </w:pPr>
            <w:r>
              <w:rPr>
                <w:rFonts w:ascii="Wingdings" w:hAnsi="Wingdings"/>
                <w:spacing w:val="-10"/>
                <w:sz w:val="32"/>
              </w:rPr>
              <w:t></w:t>
            </w:r>
          </w:p>
        </w:tc>
        <w:tc>
          <w:tcPr>
            <w:tcW w:w="1486" w:type="dxa"/>
          </w:tcPr>
          <w:p>
            <w:pPr>
              <w:pStyle w:val="TableParagraph"/>
              <w:spacing w:before="29"/>
              <w:rPr>
                <w:rFonts w:ascii="Verdana"/>
                <w:sz w:val="32"/>
              </w:rPr>
            </w:pPr>
          </w:p>
          <w:p>
            <w:pPr>
              <w:pStyle w:val="TableParagraph"/>
              <w:ind w:left="4"/>
              <w:jc w:val="center"/>
              <w:rPr>
                <w:rFonts w:ascii="Wingdings" w:hAnsi="Wingdings"/>
                <w:sz w:val="32"/>
              </w:rPr>
            </w:pPr>
            <w:r>
              <w:rPr>
                <w:rFonts w:ascii="Wingdings" w:hAnsi="Wingdings"/>
                <w:spacing w:val="-10"/>
                <w:sz w:val="32"/>
              </w:rPr>
              <w:t></w:t>
            </w:r>
          </w:p>
        </w:tc>
        <w:tc>
          <w:tcPr>
            <w:tcW w:w="1484" w:type="dxa"/>
          </w:tcPr>
          <w:p>
            <w:pPr>
              <w:pStyle w:val="TableParagraph"/>
              <w:spacing w:before="29"/>
              <w:rPr>
                <w:rFonts w:ascii="Verdana"/>
                <w:sz w:val="32"/>
              </w:rPr>
            </w:pPr>
          </w:p>
          <w:p>
            <w:pPr>
              <w:pStyle w:val="TableParagraph"/>
              <w:ind w:left="10" w:right="5"/>
              <w:jc w:val="center"/>
              <w:rPr>
                <w:rFonts w:ascii="Wingdings" w:hAnsi="Wingdings"/>
                <w:sz w:val="32"/>
              </w:rPr>
            </w:pPr>
            <w:r>
              <w:rPr>
                <w:rFonts w:ascii="Wingdings" w:hAnsi="Wingdings"/>
                <w:spacing w:val="-10"/>
                <w:sz w:val="32"/>
              </w:rPr>
              <w:t></w:t>
            </w:r>
          </w:p>
        </w:tc>
        <w:tc>
          <w:tcPr>
            <w:tcW w:w="1484" w:type="dxa"/>
          </w:tcPr>
          <w:p>
            <w:pPr>
              <w:pStyle w:val="TableParagraph"/>
              <w:spacing w:before="233"/>
              <w:rPr>
                <w:rFonts w:ascii="Verdana"/>
                <w:sz w:val="20"/>
              </w:rPr>
            </w:pPr>
          </w:p>
          <w:p>
            <w:pPr>
              <w:pStyle w:val="TableParagraph"/>
              <w:ind w:left="10" w:right="6"/>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484" w:type="dxa"/>
          </w:tcPr>
          <w:p>
            <w:pPr>
              <w:pStyle w:val="TableParagraph"/>
              <w:spacing w:before="233"/>
              <w:rPr>
                <w:rFonts w:ascii="Verdana"/>
                <w:sz w:val="20"/>
              </w:rPr>
            </w:pPr>
          </w:p>
          <w:p>
            <w:pPr>
              <w:pStyle w:val="TableParagraph"/>
              <w:ind w:left="10" w:right="7"/>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655" w:type="dxa"/>
          </w:tcPr>
          <w:p>
            <w:pPr>
              <w:pStyle w:val="TableParagraph"/>
              <w:spacing w:before="233"/>
              <w:rPr>
                <w:rFonts w:ascii="Verdana"/>
                <w:sz w:val="20"/>
              </w:rPr>
            </w:pPr>
          </w:p>
          <w:p>
            <w:pPr>
              <w:pStyle w:val="TableParagraph"/>
              <w:ind w:left="4" w:right="1"/>
              <w:jc w:val="center"/>
              <w:rPr>
                <w:rFonts w:ascii="Verdana"/>
                <w:sz w:val="20"/>
              </w:rPr>
            </w:pPr>
            <w:r>
              <w:rPr>
                <w:rFonts w:ascii="Verdana"/>
                <w:sz w:val="20"/>
              </w:rPr>
              <w:t>In</w:t>
            </w:r>
            <w:r>
              <w:rPr>
                <w:rFonts w:ascii="Verdana"/>
                <w:spacing w:val="-3"/>
                <w:sz w:val="20"/>
              </w:rPr>
              <w:t> </w:t>
            </w:r>
            <w:r>
              <w:rPr>
                <w:rFonts w:ascii="Verdana"/>
                <w:spacing w:val="-2"/>
                <w:sz w:val="20"/>
              </w:rPr>
              <w:t>progress</w:t>
            </w:r>
          </w:p>
        </w:tc>
        <w:tc>
          <w:tcPr>
            <w:tcW w:w="1316" w:type="dxa"/>
          </w:tcPr>
          <w:p>
            <w:pPr>
              <w:pStyle w:val="TableParagraph"/>
              <w:spacing w:before="110"/>
              <w:rPr>
                <w:rFonts w:ascii="Verdana"/>
                <w:sz w:val="20"/>
              </w:rPr>
            </w:pPr>
          </w:p>
          <w:p>
            <w:pPr>
              <w:pStyle w:val="TableParagraph"/>
              <w:ind w:left="220" w:right="213" w:firstLine="328"/>
              <w:rPr>
                <w:rFonts w:ascii="Verdana"/>
                <w:sz w:val="20"/>
              </w:rPr>
            </w:pPr>
            <w:r>
              <w:rPr>
                <w:rFonts w:ascii="Verdana"/>
                <w:spacing w:val="-6"/>
                <w:sz w:val="20"/>
              </w:rPr>
              <w:t>In </w:t>
            </w:r>
            <w:r>
              <w:rPr>
                <w:rFonts w:ascii="Verdana"/>
                <w:spacing w:val="-2"/>
                <w:sz w:val="20"/>
              </w:rPr>
              <w:t>progress</w:t>
            </w:r>
          </w:p>
        </w:tc>
        <w:tc>
          <w:tcPr>
            <w:tcW w:w="1484" w:type="dxa"/>
          </w:tcPr>
          <w:p>
            <w:pPr>
              <w:pStyle w:val="TableParagraph"/>
              <w:spacing w:before="233"/>
              <w:rPr>
                <w:rFonts w:ascii="Verdana"/>
                <w:sz w:val="20"/>
              </w:rPr>
            </w:pPr>
          </w:p>
          <w:p>
            <w:pPr>
              <w:pStyle w:val="TableParagraph"/>
              <w:ind w:left="10" w:right="11"/>
              <w:jc w:val="center"/>
              <w:rPr>
                <w:rFonts w:ascii="Verdana"/>
                <w:sz w:val="20"/>
              </w:rPr>
            </w:pPr>
            <w:r>
              <w:rPr>
                <w:rFonts w:ascii="Verdana"/>
                <w:sz w:val="20"/>
              </w:rPr>
              <w:t>In</w:t>
            </w:r>
            <w:r>
              <w:rPr>
                <w:rFonts w:ascii="Verdana"/>
                <w:spacing w:val="-3"/>
                <w:sz w:val="20"/>
              </w:rPr>
              <w:t> </w:t>
            </w:r>
            <w:r>
              <w:rPr>
                <w:rFonts w:ascii="Verdana"/>
                <w:spacing w:val="-2"/>
                <w:sz w:val="20"/>
              </w:rPr>
              <w:t>progress</w:t>
            </w:r>
          </w:p>
        </w:tc>
      </w:tr>
    </w:tbl>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88"/>
        <w:rPr>
          <w:rFonts w:ascii="Verdana"/>
          <w:sz w:val="20"/>
        </w:rPr>
      </w:pPr>
      <w:r>
        <w:rPr>
          <w:rFonts w:ascii="Verdana"/>
          <w:sz w:val="20"/>
        </w:rPr>
        <mc:AlternateContent>
          <mc:Choice Requires="wps">
            <w:drawing>
              <wp:anchor distT="0" distB="0" distL="0" distR="0" allowOverlap="1" layoutInCell="1" locked="0" behindDoc="1" simplePos="0" relativeHeight="487728128">
                <wp:simplePos x="0" y="0"/>
                <wp:positionH relativeFrom="page">
                  <wp:posOffset>10067290</wp:posOffset>
                </wp:positionH>
                <wp:positionV relativeFrom="paragraph">
                  <wp:posOffset>225976</wp:posOffset>
                </wp:positionV>
                <wp:extent cx="419734" cy="6350"/>
                <wp:effectExtent l="0" t="0" r="0" b="0"/>
                <wp:wrapTopAndBottom/>
                <wp:docPr id="689" name="Graphic 689"/>
                <wp:cNvGraphicFramePr>
                  <a:graphicFrameLocks/>
                </wp:cNvGraphicFramePr>
                <a:graphic>
                  <a:graphicData uri="http://schemas.microsoft.com/office/word/2010/wordprocessingShape">
                    <wps:wsp>
                      <wps:cNvPr id="689" name="Graphic 689"/>
                      <wps:cNvSpPr/>
                      <wps:spPr>
                        <a:xfrm>
                          <a:off x="0" y="0"/>
                          <a:ext cx="419734" cy="6350"/>
                        </a:xfrm>
                        <a:custGeom>
                          <a:avLst/>
                          <a:gdLst/>
                          <a:ahLst/>
                          <a:cxnLst/>
                          <a:rect l="l" t="t" r="r" b="b"/>
                          <a:pathLst>
                            <a:path w="419734" h="6350">
                              <a:moveTo>
                                <a:pt x="419404" y="0"/>
                              </a:moveTo>
                              <a:lnTo>
                                <a:pt x="0" y="0"/>
                              </a:lnTo>
                              <a:lnTo>
                                <a:pt x="0" y="6095"/>
                              </a:lnTo>
                              <a:lnTo>
                                <a:pt x="419404" y="6095"/>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700012pt;margin-top:17.793423pt;width:33.024pt;height:.47998pt;mso-position-horizontal-relative:page;mso-position-vertical-relative:paragraph;z-index:-15588352;mso-wrap-distance-left:0;mso-wrap-distance-right:0" id="docshape451" filled="true" fillcolor="#7e7e7e" stroked="false">
                <v:fill type="solid"/>
                <w10:wrap type="topAndBottom"/>
              </v:rect>
            </w:pict>
          </mc:Fallback>
        </mc:AlternateContent>
      </w:r>
    </w:p>
    <w:p>
      <w:pPr>
        <w:spacing w:before="18"/>
        <w:ind w:left="0" w:right="455" w:firstLine="0"/>
        <w:jc w:val="right"/>
        <w:rPr>
          <w:rFonts w:ascii="Calibri"/>
          <w:b/>
          <w:sz w:val="22"/>
        </w:rPr>
      </w:pPr>
      <w:r>
        <w:rPr>
          <w:rFonts w:ascii="Calibri"/>
          <w:b/>
          <w:color w:val="001F5F"/>
          <w:spacing w:val="-10"/>
          <w:sz w:val="22"/>
        </w:rPr>
        <w:t>9</w:t>
      </w:r>
    </w:p>
    <w:p>
      <w:pPr>
        <w:spacing w:after="0"/>
        <w:jc w:val="right"/>
        <w:rPr>
          <w:rFonts w:ascii="Calibri"/>
          <w:b/>
          <w:sz w:val="22"/>
        </w:rPr>
        <w:sectPr>
          <w:footerReference w:type="default" r:id="rId100"/>
          <w:pgSz w:w="16840" w:h="11910" w:orient="landscape"/>
          <w:pgMar w:header="0" w:footer="0" w:top="640" w:bottom="0" w:left="141" w:right="141"/>
        </w:sectPr>
      </w:pPr>
    </w:p>
    <w:p>
      <w:pPr>
        <w:pStyle w:val="Heading1"/>
        <w:ind w:left="142"/>
        <w:rPr>
          <w:rFonts w:ascii="Verdana"/>
        </w:rPr>
      </w:pPr>
      <w:r>
        <w:rPr>
          <w:rFonts w:ascii="Verdana"/>
        </w:rPr>
        <mc:AlternateContent>
          <mc:Choice Requires="wps">
            <w:drawing>
              <wp:anchor distT="0" distB="0" distL="0" distR="0" allowOverlap="1" layoutInCell="1" locked="0" behindDoc="1" simplePos="0" relativeHeight="477226496">
                <wp:simplePos x="0" y="0"/>
                <wp:positionH relativeFrom="page">
                  <wp:posOffset>0</wp:posOffset>
                </wp:positionH>
                <wp:positionV relativeFrom="page">
                  <wp:posOffset>0</wp:posOffset>
                </wp:positionV>
                <wp:extent cx="10694035" cy="7562215"/>
                <wp:effectExtent l="0" t="0" r="0" b="0"/>
                <wp:wrapNone/>
                <wp:docPr id="690" name="Graphic 690"/>
                <wp:cNvGraphicFramePr>
                  <a:graphicFrameLocks/>
                </wp:cNvGraphicFramePr>
                <a:graphic>
                  <a:graphicData uri="http://schemas.microsoft.com/office/word/2010/wordprocessingShape">
                    <wps:wsp>
                      <wps:cNvPr id="690" name="Graphic 690"/>
                      <wps:cNvSpPr/>
                      <wps:spPr>
                        <a:xfrm>
                          <a:off x="0" y="0"/>
                          <a:ext cx="10694035" cy="7562215"/>
                        </a:xfrm>
                        <a:custGeom>
                          <a:avLst/>
                          <a:gdLst/>
                          <a:ahLst/>
                          <a:cxnLst/>
                          <a:rect l="l" t="t" r="r" b="b"/>
                          <a:pathLst>
                            <a:path w="10694035" h="7562215">
                              <a:moveTo>
                                <a:pt x="10694035" y="0"/>
                              </a:moveTo>
                              <a:lnTo>
                                <a:pt x="0" y="0"/>
                              </a:lnTo>
                              <a:lnTo>
                                <a:pt x="0" y="7562215"/>
                              </a:lnTo>
                              <a:lnTo>
                                <a:pt x="10694035" y="7562215"/>
                              </a:lnTo>
                              <a:lnTo>
                                <a:pt x="10694035" y="0"/>
                              </a:lnTo>
                              <a:close/>
                            </a:path>
                          </a:pathLst>
                        </a:custGeom>
                        <a:solidFill>
                          <a:srgbClr val="EFF5F9"/>
                        </a:solidFill>
                      </wps:spPr>
                      <wps:bodyPr wrap="square" lIns="0" tIns="0" rIns="0" bIns="0" rtlCol="0">
                        <a:prstTxWarp prst="textNoShape">
                          <a:avLst/>
                        </a:prstTxWarp>
                        <a:noAutofit/>
                      </wps:bodyPr>
                    </wps:wsp>
                  </a:graphicData>
                </a:graphic>
              </wp:anchor>
            </w:drawing>
          </mc:Choice>
          <mc:Fallback>
            <w:pict>
              <v:rect style="position:absolute;margin-left:0pt;margin-top:-.000053pt;width:842.05pt;height:595.450pt;mso-position-horizontal-relative:page;mso-position-vertical-relative:page;z-index:-26089984" id="docshape452" filled="true" fillcolor="#eff5f9" stroked="false">
                <v:fill type="solid"/>
                <w10:wrap type="none"/>
              </v:rect>
            </w:pict>
          </mc:Fallback>
        </mc:AlternateContent>
      </w:r>
      <w:bookmarkStart w:name="_TOC_250000" w:id="79"/>
      <w:r>
        <w:rPr>
          <w:rFonts w:ascii="Verdana"/>
          <w:color w:val="001F5F"/>
        </w:rPr>
        <w:t>Appendix C:</w:t>
      </w:r>
      <w:r>
        <w:rPr>
          <w:rFonts w:ascii="Verdana"/>
          <w:color w:val="001F5F"/>
          <w:spacing w:val="1"/>
        </w:rPr>
        <w:t> </w:t>
      </w:r>
      <w:r>
        <w:rPr>
          <w:rFonts w:ascii="Verdana"/>
          <w:color w:val="001F5F"/>
        </w:rPr>
        <w:t>Assurance</w:t>
      </w:r>
      <w:r>
        <w:rPr>
          <w:rFonts w:ascii="Verdana"/>
          <w:color w:val="001F5F"/>
          <w:spacing w:val="-3"/>
        </w:rPr>
        <w:t> </w:t>
      </w:r>
      <w:r>
        <w:rPr>
          <w:rFonts w:ascii="Verdana"/>
          <w:color w:val="001F5F"/>
        </w:rPr>
        <w:t>Opinion</w:t>
      </w:r>
      <w:r>
        <w:rPr>
          <w:rFonts w:ascii="Verdana"/>
          <w:color w:val="001F5F"/>
          <w:spacing w:val="-2"/>
        </w:rPr>
        <w:t> </w:t>
      </w:r>
      <w:r>
        <w:rPr>
          <w:rFonts w:ascii="Verdana"/>
          <w:color w:val="001F5F"/>
        </w:rPr>
        <w:t>&amp;</w:t>
      </w:r>
      <w:r>
        <w:rPr>
          <w:rFonts w:ascii="Verdana"/>
          <w:color w:val="001F5F"/>
          <w:spacing w:val="-1"/>
        </w:rPr>
        <w:t> </w:t>
      </w:r>
      <w:r>
        <w:rPr>
          <w:rFonts w:ascii="Verdana"/>
          <w:color w:val="001F5F"/>
        </w:rPr>
        <w:t>Prioritisation</w:t>
      </w:r>
      <w:r>
        <w:rPr>
          <w:rFonts w:ascii="Verdana"/>
          <w:color w:val="001F5F"/>
          <w:spacing w:val="-1"/>
        </w:rPr>
        <w:t> </w:t>
      </w:r>
      <w:r>
        <w:rPr>
          <w:rFonts w:ascii="Verdana"/>
          <w:color w:val="001F5F"/>
        </w:rPr>
        <w:t>of</w:t>
      </w:r>
      <w:r>
        <w:rPr>
          <w:rFonts w:ascii="Verdana"/>
          <w:color w:val="001F5F"/>
          <w:spacing w:val="1"/>
        </w:rPr>
        <w:t> </w:t>
      </w:r>
      <w:bookmarkEnd w:id="79"/>
      <w:r>
        <w:rPr>
          <w:rFonts w:ascii="Verdana"/>
          <w:color w:val="001F5F"/>
          <w:spacing w:val="-2"/>
        </w:rPr>
        <w:t>Findings</w:t>
      </w:r>
    </w:p>
    <w:p>
      <w:pPr>
        <w:pStyle w:val="Heading5"/>
        <w:tabs>
          <w:tab w:pos="8507" w:val="left" w:leader="none"/>
        </w:tabs>
        <w:spacing w:before="152"/>
      </w:pPr>
      <w:r>
        <w:rPr>
          <w:color w:val="001F5F"/>
        </w:rPr>
        <w:t>Assurance</w:t>
      </w:r>
      <w:r>
        <w:rPr>
          <w:color w:val="001F5F"/>
          <w:spacing w:val="-6"/>
        </w:rPr>
        <w:t> </w:t>
      </w:r>
      <w:r>
        <w:rPr>
          <w:color w:val="001F5F"/>
          <w:spacing w:val="-2"/>
        </w:rPr>
        <w:t>Opinion</w:t>
      </w:r>
      <w:r>
        <w:rPr>
          <w:color w:val="001F5F"/>
        </w:rPr>
        <w:tab/>
      </w:r>
      <w:r>
        <w:rPr>
          <w:color w:val="001F5F"/>
          <w:spacing w:val="-2"/>
        </w:rPr>
        <w:t>Disclaimer</w:t>
      </w:r>
    </w:p>
    <w:p>
      <w:pPr>
        <w:pStyle w:val="BodyText"/>
        <w:spacing w:before="9"/>
        <w:rPr>
          <w:rFonts w:ascii="Verdana"/>
          <w:sz w:val="7"/>
        </w:rPr>
      </w:pPr>
      <w:r>
        <w:rPr>
          <w:rFonts w:ascii="Verdana"/>
          <w:sz w:val="7"/>
        </w:rPr>
        <mc:AlternateContent>
          <mc:Choice Requires="wps">
            <w:drawing>
              <wp:anchor distT="0" distB="0" distL="0" distR="0" allowOverlap="1" layoutInCell="1" locked="0" behindDoc="1" simplePos="0" relativeHeight="487729664">
                <wp:simplePos x="0" y="0"/>
                <wp:positionH relativeFrom="page">
                  <wp:posOffset>176784</wp:posOffset>
                </wp:positionH>
                <wp:positionV relativeFrom="paragraph">
                  <wp:posOffset>75430</wp:posOffset>
                </wp:positionV>
                <wp:extent cx="4944745" cy="3742054"/>
                <wp:effectExtent l="0" t="0" r="0" b="0"/>
                <wp:wrapTopAndBottom/>
                <wp:docPr id="691" name="Group 691"/>
                <wp:cNvGraphicFramePr>
                  <a:graphicFrameLocks/>
                </wp:cNvGraphicFramePr>
                <a:graphic>
                  <a:graphicData uri="http://schemas.microsoft.com/office/word/2010/wordprocessingGroup">
                    <wpg:wgp>
                      <wpg:cNvPr id="691" name="Group 691"/>
                      <wpg:cNvGrpSpPr/>
                      <wpg:grpSpPr>
                        <a:xfrm>
                          <a:off x="0" y="0"/>
                          <a:ext cx="4944745" cy="3742054"/>
                          <a:chExt cx="4944745" cy="3742054"/>
                        </a:xfrm>
                      </wpg:grpSpPr>
                      <wps:wsp>
                        <wps:cNvPr id="692" name="Graphic 692"/>
                        <wps:cNvSpPr/>
                        <wps:spPr>
                          <a:xfrm>
                            <a:off x="0" y="28955"/>
                            <a:ext cx="4944745" cy="589915"/>
                          </a:xfrm>
                          <a:custGeom>
                            <a:avLst/>
                            <a:gdLst/>
                            <a:ahLst/>
                            <a:cxnLst/>
                            <a:rect l="l" t="t" r="r" b="b"/>
                            <a:pathLst>
                              <a:path w="4944745" h="589915">
                                <a:moveTo>
                                  <a:pt x="4944364" y="0"/>
                                </a:moveTo>
                                <a:lnTo>
                                  <a:pt x="2255812" y="0"/>
                                </a:lnTo>
                                <a:lnTo>
                                  <a:pt x="1083868" y="0"/>
                                </a:lnTo>
                                <a:lnTo>
                                  <a:pt x="0" y="0"/>
                                </a:lnTo>
                                <a:lnTo>
                                  <a:pt x="0" y="589788"/>
                                </a:lnTo>
                                <a:lnTo>
                                  <a:pt x="1083868" y="589788"/>
                                </a:lnTo>
                                <a:lnTo>
                                  <a:pt x="2255774" y="589788"/>
                                </a:lnTo>
                                <a:lnTo>
                                  <a:pt x="4944364" y="589788"/>
                                </a:lnTo>
                                <a:lnTo>
                                  <a:pt x="4944364" y="0"/>
                                </a:lnTo>
                                <a:close/>
                              </a:path>
                            </a:pathLst>
                          </a:custGeom>
                          <a:solidFill>
                            <a:srgbClr val="FFFFFF"/>
                          </a:solidFill>
                        </wps:spPr>
                        <wps:bodyPr wrap="square" lIns="0" tIns="0" rIns="0" bIns="0" rtlCol="0">
                          <a:prstTxWarp prst="textNoShape">
                            <a:avLst/>
                          </a:prstTxWarp>
                          <a:noAutofit/>
                        </wps:bodyPr>
                      </wps:wsp>
                      <wps:wsp>
                        <wps:cNvPr id="693" name="Graphic 693"/>
                        <wps:cNvSpPr/>
                        <wps:spPr>
                          <a:xfrm>
                            <a:off x="0" y="0"/>
                            <a:ext cx="1083945" cy="27940"/>
                          </a:xfrm>
                          <a:custGeom>
                            <a:avLst/>
                            <a:gdLst/>
                            <a:ahLst/>
                            <a:cxnLst/>
                            <a:rect l="l" t="t" r="r" b="b"/>
                            <a:pathLst>
                              <a:path w="1083945" h="27940">
                                <a:moveTo>
                                  <a:pt x="1083868" y="0"/>
                                </a:moveTo>
                                <a:lnTo>
                                  <a:pt x="0" y="0"/>
                                </a:lnTo>
                                <a:lnTo>
                                  <a:pt x="0" y="27432"/>
                                </a:lnTo>
                                <a:lnTo>
                                  <a:pt x="1083868" y="27432"/>
                                </a:lnTo>
                                <a:lnTo>
                                  <a:pt x="1083868" y="0"/>
                                </a:lnTo>
                                <a:close/>
                              </a:path>
                            </a:pathLst>
                          </a:custGeom>
                          <a:solidFill>
                            <a:srgbClr val="001F5F"/>
                          </a:solidFill>
                        </wps:spPr>
                        <wps:bodyPr wrap="square" lIns="0" tIns="0" rIns="0" bIns="0" rtlCol="0">
                          <a:prstTxWarp prst="textNoShape">
                            <a:avLst/>
                          </a:prstTxWarp>
                          <a:noAutofit/>
                        </wps:bodyPr>
                      </wps:wsp>
                      <wps:wsp>
                        <wps:cNvPr id="694" name="Graphic 694"/>
                        <wps:cNvSpPr/>
                        <wps:spPr>
                          <a:xfrm>
                            <a:off x="0" y="27431"/>
                            <a:ext cx="1111885" cy="1905"/>
                          </a:xfrm>
                          <a:custGeom>
                            <a:avLst/>
                            <a:gdLst/>
                            <a:ahLst/>
                            <a:cxnLst/>
                            <a:rect l="l" t="t" r="r" b="b"/>
                            <a:pathLst>
                              <a:path w="1111885" h="1905">
                                <a:moveTo>
                                  <a:pt x="1111288" y="0"/>
                                </a:moveTo>
                                <a:lnTo>
                                  <a:pt x="1083868" y="0"/>
                                </a:lnTo>
                                <a:lnTo>
                                  <a:pt x="0" y="0"/>
                                </a:lnTo>
                                <a:lnTo>
                                  <a:pt x="0" y="1524"/>
                                </a:lnTo>
                                <a:lnTo>
                                  <a:pt x="1083868" y="1524"/>
                                </a:lnTo>
                                <a:lnTo>
                                  <a:pt x="1111288" y="1524"/>
                                </a:lnTo>
                                <a:lnTo>
                                  <a:pt x="1111288" y="0"/>
                                </a:lnTo>
                                <a:close/>
                              </a:path>
                            </a:pathLst>
                          </a:custGeom>
                          <a:solidFill>
                            <a:srgbClr val="FFFFFF"/>
                          </a:solidFill>
                        </wps:spPr>
                        <wps:bodyPr wrap="square" lIns="0" tIns="0" rIns="0" bIns="0" rtlCol="0">
                          <a:prstTxWarp prst="textNoShape">
                            <a:avLst/>
                          </a:prstTxWarp>
                          <a:noAutofit/>
                        </wps:bodyPr>
                      </wps:wsp>
                      <wps:wsp>
                        <wps:cNvPr id="695" name="Graphic 695"/>
                        <wps:cNvSpPr/>
                        <wps:spPr>
                          <a:xfrm>
                            <a:off x="1083868" y="0"/>
                            <a:ext cx="1172210" cy="27940"/>
                          </a:xfrm>
                          <a:custGeom>
                            <a:avLst/>
                            <a:gdLst/>
                            <a:ahLst/>
                            <a:cxnLst/>
                            <a:rect l="l" t="t" r="r" b="b"/>
                            <a:pathLst>
                              <a:path w="1172210" h="27940">
                                <a:moveTo>
                                  <a:pt x="1171905" y="0"/>
                                </a:moveTo>
                                <a:lnTo>
                                  <a:pt x="27419" y="0"/>
                                </a:lnTo>
                                <a:lnTo>
                                  <a:pt x="0" y="0"/>
                                </a:lnTo>
                                <a:lnTo>
                                  <a:pt x="0" y="27432"/>
                                </a:lnTo>
                                <a:lnTo>
                                  <a:pt x="27381" y="27432"/>
                                </a:lnTo>
                                <a:lnTo>
                                  <a:pt x="1171905" y="27432"/>
                                </a:lnTo>
                                <a:lnTo>
                                  <a:pt x="1171905" y="0"/>
                                </a:lnTo>
                                <a:close/>
                              </a:path>
                            </a:pathLst>
                          </a:custGeom>
                          <a:solidFill>
                            <a:srgbClr val="001F5F"/>
                          </a:solidFill>
                        </wps:spPr>
                        <wps:bodyPr wrap="square" lIns="0" tIns="0" rIns="0" bIns="0" rtlCol="0">
                          <a:prstTxWarp prst="textNoShape">
                            <a:avLst/>
                          </a:prstTxWarp>
                          <a:noAutofit/>
                        </wps:bodyPr>
                      </wps:wsp>
                      <wps:wsp>
                        <wps:cNvPr id="696" name="Graphic 696"/>
                        <wps:cNvSpPr/>
                        <wps:spPr>
                          <a:xfrm>
                            <a:off x="1111250" y="27431"/>
                            <a:ext cx="1172210" cy="1905"/>
                          </a:xfrm>
                          <a:custGeom>
                            <a:avLst/>
                            <a:gdLst/>
                            <a:ahLst/>
                            <a:cxnLst/>
                            <a:rect l="l" t="t" r="r" b="b"/>
                            <a:pathLst>
                              <a:path w="1172210" h="1905">
                                <a:moveTo>
                                  <a:pt x="1171956" y="0"/>
                                </a:moveTo>
                                <a:lnTo>
                                  <a:pt x="1144524" y="0"/>
                                </a:lnTo>
                                <a:lnTo>
                                  <a:pt x="0" y="0"/>
                                </a:lnTo>
                                <a:lnTo>
                                  <a:pt x="0" y="1524"/>
                                </a:lnTo>
                                <a:lnTo>
                                  <a:pt x="1144524" y="1524"/>
                                </a:lnTo>
                                <a:lnTo>
                                  <a:pt x="1171956" y="1524"/>
                                </a:lnTo>
                                <a:lnTo>
                                  <a:pt x="1171956" y="0"/>
                                </a:lnTo>
                                <a:close/>
                              </a:path>
                            </a:pathLst>
                          </a:custGeom>
                          <a:solidFill>
                            <a:srgbClr val="FFFFFF"/>
                          </a:solidFill>
                        </wps:spPr>
                        <wps:bodyPr wrap="square" lIns="0" tIns="0" rIns="0" bIns="0" rtlCol="0">
                          <a:prstTxWarp prst="textNoShape">
                            <a:avLst/>
                          </a:prstTxWarp>
                          <a:noAutofit/>
                        </wps:bodyPr>
                      </wps:wsp>
                      <wps:wsp>
                        <wps:cNvPr id="697" name="Graphic 697"/>
                        <wps:cNvSpPr/>
                        <wps:spPr>
                          <a:xfrm>
                            <a:off x="2255774" y="0"/>
                            <a:ext cx="2688590" cy="27940"/>
                          </a:xfrm>
                          <a:custGeom>
                            <a:avLst/>
                            <a:gdLst/>
                            <a:ahLst/>
                            <a:cxnLst/>
                            <a:rect l="l" t="t" r="r" b="b"/>
                            <a:pathLst>
                              <a:path w="2688590" h="27940">
                                <a:moveTo>
                                  <a:pt x="2688590" y="0"/>
                                </a:moveTo>
                                <a:lnTo>
                                  <a:pt x="27432" y="0"/>
                                </a:lnTo>
                                <a:lnTo>
                                  <a:pt x="0" y="0"/>
                                </a:lnTo>
                                <a:lnTo>
                                  <a:pt x="0" y="27432"/>
                                </a:lnTo>
                                <a:lnTo>
                                  <a:pt x="27432" y="27432"/>
                                </a:lnTo>
                                <a:lnTo>
                                  <a:pt x="2688590" y="27432"/>
                                </a:lnTo>
                                <a:lnTo>
                                  <a:pt x="2688590" y="0"/>
                                </a:lnTo>
                                <a:close/>
                              </a:path>
                            </a:pathLst>
                          </a:custGeom>
                          <a:solidFill>
                            <a:srgbClr val="001F5F"/>
                          </a:solidFill>
                        </wps:spPr>
                        <wps:bodyPr wrap="square" lIns="0" tIns="0" rIns="0" bIns="0" rtlCol="0">
                          <a:prstTxWarp prst="textNoShape">
                            <a:avLst/>
                          </a:prstTxWarp>
                          <a:noAutofit/>
                        </wps:bodyPr>
                      </wps:wsp>
                      <wps:wsp>
                        <wps:cNvPr id="698" name="Graphic 698"/>
                        <wps:cNvSpPr/>
                        <wps:spPr>
                          <a:xfrm>
                            <a:off x="0" y="27431"/>
                            <a:ext cx="4944745" cy="3714750"/>
                          </a:xfrm>
                          <a:custGeom>
                            <a:avLst/>
                            <a:gdLst/>
                            <a:ahLst/>
                            <a:cxnLst/>
                            <a:rect l="l" t="t" r="r" b="b"/>
                            <a:pathLst>
                              <a:path w="4944745" h="3714750">
                                <a:moveTo>
                                  <a:pt x="4944364" y="599008"/>
                                </a:moveTo>
                                <a:lnTo>
                                  <a:pt x="2255812" y="599008"/>
                                </a:lnTo>
                                <a:lnTo>
                                  <a:pt x="1083868" y="599008"/>
                                </a:lnTo>
                                <a:lnTo>
                                  <a:pt x="0" y="599008"/>
                                </a:lnTo>
                                <a:lnTo>
                                  <a:pt x="0" y="1268349"/>
                                </a:lnTo>
                                <a:lnTo>
                                  <a:pt x="0" y="3714623"/>
                                </a:lnTo>
                                <a:lnTo>
                                  <a:pt x="1083868" y="3714623"/>
                                </a:lnTo>
                                <a:lnTo>
                                  <a:pt x="2255774" y="3714623"/>
                                </a:lnTo>
                                <a:lnTo>
                                  <a:pt x="4944364" y="3714623"/>
                                </a:lnTo>
                                <a:lnTo>
                                  <a:pt x="4944364" y="2627757"/>
                                </a:lnTo>
                                <a:lnTo>
                                  <a:pt x="4944364" y="1268349"/>
                                </a:lnTo>
                                <a:lnTo>
                                  <a:pt x="4944364" y="599008"/>
                                </a:lnTo>
                                <a:close/>
                              </a:path>
                              <a:path w="4944745" h="3714750">
                                <a:moveTo>
                                  <a:pt x="4944364" y="591312"/>
                                </a:moveTo>
                                <a:lnTo>
                                  <a:pt x="2255812" y="591312"/>
                                </a:lnTo>
                                <a:lnTo>
                                  <a:pt x="1083868" y="591312"/>
                                </a:lnTo>
                                <a:lnTo>
                                  <a:pt x="0" y="591312"/>
                                </a:lnTo>
                                <a:lnTo>
                                  <a:pt x="0" y="597408"/>
                                </a:lnTo>
                                <a:lnTo>
                                  <a:pt x="1083868" y="597408"/>
                                </a:lnTo>
                                <a:lnTo>
                                  <a:pt x="2255774" y="597408"/>
                                </a:lnTo>
                                <a:lnTo>
                                  <a:pt x="4944364" y="597408"/>
                                </a:lnTo>
                                <a:lnTo>
                                  <a:pt x="4944364" y="591312"/>
                                </a:lnTo>
                                <a:close/>
                              </a:path>
                              <a:path w="4944745" h="3714750">
                                <a:moveTo>
                                  <a:pt x="4944364" y="0"/>
                                </a:moveTo>
                                <a:lnTo>
                                  <a:pt x="2283206" y="0"/>
                                </a:lnTo>
                                <a:lnTo>
                                  <a:pt x="2283206" y="1524"/>
                                </a:lnTo>
                                <a:lnTo>
                                  <a:pt x="4944364" y="1524"/>
                                </a:lnTo>
                                <a:lnTo>
                                  <a:pt x="4944364" y="0"/>
                                </a:lnTo>
                                <a:close/>
                              </a:path>
                            </a:pathLst>
                          </a:custGeom>
                          <a:solidFill>
                            <a:srgbClr val="FFFFFF"/>
                          </a:solidFill>
                        </wps:spPr>
                        <wps:bodyPr wrap="square" lIns="0" tIns="0" rIns="0" bIns="0" rtlCol="0">
                          <a:prstTxWarp prst="textNoShape">
                            <a:avLst/>
                          </a:prstTxWarp>
                          <a:noAutofit/>
                        </wps:bodyPr>
                      </wps:wsp>
                      <pic:pic>
                        <pic:nvPicPr>
                          <pic:cNvPr id="699" name="Image 699"/>
                          <pic:cNvPicPr/>
                        </pic:nvPicPr>
                        <pic:blipFill>
                          <a:blip r:embed="rId102" cstate="print"/>
                          <a:stretch>
                            <a:fillRect/>
                          </a:stretch>
                        </pic:blipFill>
                        <pic:spPr>
                          <a:xfrm>
                            <a:off x="68960" y="66675"/>
                            <a:ext cx="953554" cy="507364"/>
                          </a:xfrm>
                          <a:prstGeom prst="rect">
                            <a:avLst/>
                          </a:prstGeom>
                        </pic:spPr>
                      </pic:pic>
                      <pic:pic>
                        <pic:nvPicPr>
                          <pic:cNvPr id="700" name="Image 700"/>
                          <pic:cNvPicPr/>
                        </pic:nvPicPr>
                        <pic:blipFill>
                          <a:blip r:embed="rId103" cstate="print"/>
                          <a:stretch>
                            <a:fillRect/>
                          </a:stretch>
                        </pic:blipFill>
                        <pic:spPr>
                          <a:xfrm>
                            <a:off x="68960" y="703198"/>
                            <a:ext cx="953554" cy="507364"/>
                          </a:xfrm>
                          <a:prstGeom prst="rect">
                            <a:avLst/>
                          </a:prstGeom>
                        </pic:spPr>
                      </pic:pic>
                      <pic:pic>
                        <pic:nvPicPr>
                          <pic:cNvPr id="701" name="Image 701"/>
                          <pic:cNvPicPr/>
                        </pic:nvPicPr>
                        <pic:blipFill>
                          <a:blip r:embed="rId104" cstate="print"/>
                          <a:stretch>
                            <a:fillRect/>
                          </a:stretch>
                        </pic:blipFill>
                        <pic:spPr>
                          <a:xfrm>
                            <a:off x="68960" y="1379600"/>
                            <a:ext cx="953554" cy="507364"/>
                          </a:xfrm>
                          <a:prstGeom prst="rect">
                            <a:avLst/>
                          </a:prstGeom>
                        </pic:spPr>
                      </pic:pic>
                      <pic:pic>
                        <pic:nvPicPr>
                          <pic:cNvPr id="702" name="Image 702"/>
                          <pic:cNvPicPr/>
                        </pic:nvPicPr>
                        <pic:blipFill>
                          <a:blip r:embed="rId105" cstate="print"/>
                          <a:stretch>
                            <a:fillRect/>
                          </a:stretch>
                        </pic:blipFill>
                        <pic:spPr>
                          <a:xfrm>
                            <a:off x="68960" y="2055876"/>
                            <a:ext cx="953554" cy="507364"/>
                          </a:xfrm>
                          <a:prstGeom prst="rect">
                            <a:avLst/>
                          </a:prstGeom>
                        </pic:spPr>
                      </pic:pic>
                      <pic:pic>
                        <pic:nvPicPr>
                          <pic:cNvPr id="703" name="Image 703"/>
                          <pic:cNvPicPr/>
                        </pic:nvPicPr>
                        <pic:blipFill>
                          <a:blip r:embed="rId106" cstate="print"/>
                          <a:stretch>
                            <a:fillRect/>
                          </a:stretch>
                        </pic:blipFill>
                        <pic:spPr>
                          <a:xfrm>
                            <a:off x="68960" y="2931032"/>
                            <a:ext cx="952500" cy="533400"/>
                          </a:xfrm>
                          <a:prstGeom prst="rect">
                            <a:avLst/>
                          </a:prstGeom>
                        </pic:spPr>
                      </pic:pic>
                      <wps:wsp>
                        <wps:cNvPr id="704" name="Textbox 704"/>
                        <wps:cNvSpPr txBox="1"/>
                        <wps:spPr>
                          <a:xfrm>
                            <a:off x="1265174" y="247732"/>
                            <a:ext cx="819785" cy="154305"/>
                          </a:xfrm>
                          <a:prstGeom prst="rect">
                            <a:avLst/>
                          </a:prstGeom>
                        </wps:spPr>
                        <wps:txbx>
                          <w:txbxContent>
                            <w:p>
                              <w:pPr>
                                <w:spacing w:line="242" w:lineRule="exact" w:before="0"/>
                                <w:ind w:left="0" w:right="0" w:firstLine="0"/>
                                <w:jc w:val="left"/>
                                <w:rPr>
                                  <w:rFonts w:ascii="Verdana"/>
                                  <w:b/>
                                  <w:sz w:val="20"/>
                                </w:rPr>
                              </w:pPr>
                              <w:r>
                                <w:rPr>
                                  <w:rFonts w:ascii="Verdana"/>
                                  <w:b/>
                                  <w:color w:val="001F5F"/>
                                  <w:spacing w:val="-2"/>
                                  <w:sz w:val="20"/>
                                </w:rPr>
                                <w:t>Substantial</w:t>
                              </w:r>
                            </w:p>
                          </w:txbxContent>
                        </wps:txbx>
                        <wps:bodyPr wrap="square" lIns="0" tIns="0" rIns="0" bIns="0" rtlCol="0">
                          <a:noAutofit/>
                        </wps:bodyPr>
                      </wps:wsp>
                      <wps:wsp>
                        <wps:cNvPr id="705" name="Textbox 705"/>
                        <wps:cNvSpPr txBox="1"/>
                        <wps:spPr>
                          <a:xfrm>
                            <a:off x="2324354" y="66442"/>
                            <a:ext cx="2562860" cy="454659"/>
                          </a:xfrm>
                          <a:prstGeom prst="rect">
                            <a:avLst/>
                          </a:prstGeom>
                        </wps:spPr>
                        <wps:txbx>
                          <w:txbxContent>
                            <w:p>
                              <w:pPr>
                                <w:spacing w:before="0"/>
                                <w:ind w:left="0" w:right="0" w:firstLine="0"/>
                                <w:jc w:val="left"/>
                                <w:rPr>
                                  <w:rFonts w:ascii="Verdana"/>
                                  <w:sz w:val="18"/>
                                </w:rPr>
                              </w:pPr>
                              <w:r>
                                <w:rPr>
                                  <w:rFonts w:ascii="Verdana"/>
                                  <w:sz w:val="18"/>
                                </w:rPr>
                                <w:t>Few</w:t>
                              </w:r>
                              <w:r>
                                <w:rPr>
                                  <w:rFonts w:ascii="Verdana"/>
                                  <w:spacing w:val="80"/>
                                  <w:sz w:val="18"/>
                                </w:rPr>
                                <w:t> </w:t>
                              </w:r>
                              <w:r>
                                <w:rPr>
                                  <w:rFonts w:ascii="Verdana"/>
                                  <w:sz w:val="18"/>
                                </w:rPr>
                                <w:t>matters</w:t>
                              </w:r>
                              <w:r>
                                <w:rPr>
                                  <w:rFonts w:ascii="Verdana"/>
                                  <w:spacing w:val="80"/>
                                  <w:sz w:val="18"/>
                                </w:rPr>
                                <w:t> </w:t>
                              </w:r>
                              <w:r>
                                <w:rPr>
                                  <w:rFonts w:ascii="Verdana"/>
                                  <w:sz w:val="18"/>
                                </w:rPr>
                                <w:t>require</w:t>
                              </w:r>
                              <w:r>
                                <w:rPr>
                                  <w:rFonts w:ascii="Verdana"/>
                                  <w:spacing w:val="80"/>
                                  <w:sz w:val="18"/>
                                </w:rPr>
                                <w:t> </w:t>
                              </w:r>
                              <w:r>
                                <w:rPr>
                                  <w:rFonts w:ascii="Verdana"/>
                                  <w:sz w:val="18"/>
                                </w:rPr>
                                <w:t>attention</w:t>
                              </w:r>
                              <w:r>
                                <w:rPr>
                                  <w:rFonts w:ascii="Verdana"/>
                                  <w:spacing w:val="80"/>
                                  <w:sz w:val="18"/>
                                </w:rPr>
                                <w:t> </w:t>
                              </w:r>
                              <w:r>
                                <w:rPr>
                                  <w:rFonts w:ascii="Verdana"/>
                                  <w:sz w:val="18"/>
                                </w:rPr>
                                <w:t>and</w:t>
                              </w:r>
                              <w:r>
                                <w:rPr>
                                  <w:rFonts w:ascii="Verdana"/>
                                  <w:spacing w:val="80"/>
                                  <w:sz w:val="18"/>
                                </w:rPr>
                                <w:t> </w:t>
                              </w:r>
                              <w:r>
                                <w:rPr>
                                  <w:rFonts w:ascii="Verdana"/>
                                  <w:sz w:val="18"/>
                                </w:rPr>
                                <w:t>are compliance or advisory in nature.</w:t>
                              </w:r>
                            </w:p>
                            <w:p>
                              <w:pPr>
                                <w:spacing w:before="59"/>
                                <w:ind w:left="0" w:right="0" w:firstLine="0"/>
                                <w:jc w:val="left"/>
                                <w:rPr>
                                  <w:rFonts w:ascii="Verdana"/>
                                  <w:sz w:val="18"/>
                                </w:rPr>
                              </w:pPr>
                              <w:r>
                                <w:rPr>
                                  <w:rFonts w:ascii="Verdana"/>
                                  <w:b/>
                                  <w:color w:val="001F5F"/>
                                  <w:sz w:val="18"/>
                                </w:rPr>
                                <w:t>Low</w:t>
                              </w:r>
                              <w:r>
                                <w:rPr>
                                  <w:rFonts w:ascii="Verdana"/>
                                  <w:b/>
                                  <w:color w:val="001F5F"/>
                                  <w:spacing w:val="-3"/>
                                  <w:sz w:val="18"/>
                                </w:rPr>
                                <w:t> </w:t>
                              </w:r>
                              <w:r>
                                <w:rPr>
                                  <w:rFonts w:ascii="Verdana"/>
                                  <w:b/>
                                  <w:color w:val="001F5F"/>
                                  <w:sz w:val="18"/>
                                </w:rPr>
                                <w:t>impact</w:t>
                              </w:r>
                              <w:r>
                                <w:rPr>
                                  <w:rFonts w:ascii="Verdana"/>
                                  <w:b/>
                                  <w:color w:val="001F5F"/>
                                  <w:spacing w:val="-2"/>
                                  <w:sz w:val="18"/>
                                </w:rPr>
                                <w:t> </w:t>
                              </w:r>
                              <w:r>
                                <w:rPr>
                                  <w:rFonts w:ascii="Verdana"/>
                                  <w:sz w:val="18"/>
                                </w:rPr>
                                <w:t>on</w:t>
                              </w:r>
                              <w:r>
                                <w:rPr>
                                  <w:rFonts w:ascii="Verdana"/>
                                  <w:spacing w:val="-1"/>
                                  <w:sz w:val="18"/>
                                </w:rPr>
                                <w:t> </w:t>
                              </w:r>
                              <w:r>
                                <w:rPr>
                                  <w:rFonts w:ascii="Verdana"/>
                                  <w:sz w:val="18"/>
                                </w:rPr>
                                <w:t>residual</w:t>
                              </w:r>
                              <w:r>
                                <w:rPr>
                                  <w:rFonts w:ascii="Verdana"/>
                                  <w:spacing w:val="-2"/>
                                  <w:sz w:val="18"/>
                                </w:rPr>
                                <w:t> </w:t>
                              </w:r>
                              <w:r>
                                <w:rPr>
                                  <w:rFonts w:ascii="Verdana"/>
                                  <w:sz w:val="18"/>
                                </w:rPr>
                                <w:t>risk</w:t>
                              </w:r>
                              <w:r>
                                <w:rPr>
                                  <w:rFonts w:ascii="Verdana"/>
                                  <w:spacing w:val="-3"/>
                                  <w:sz w:val="18"/>
                                </w:rPr>
                                <w:t> </w:t>
                              </w:r>
                              <w:r>
                                <w:rPr>
                                  <w:rFonts w:ascii="Verdana"/>
                                  <w:spacing w:val="-2"/>
                                  <w:sz w:val="18"/>
                                </w:rPr>
                                <w:t>exposure.</w:t>
                              </w:r>
                            </w:p>
                          </w:txbxContent>
                        </wps:txbx>
                        <wps:bodyPr wrap="square" lIns="0" tIns="0" rIns="0" bIns="0" rtlCol="0">
                          <a:noAutofit/>
                        </wps:bodyPr>
                      </wps:wsp>
                      <wps:wsp>
                        <wps:cNvPr id="706" name="Textbox 706"/>
                        <wps:cNvSpPr txBox="1"/>
                        <wps:spPr>
                          <a:xfrm>
                            <a:off x="1257553" y="663850"/>
                            <a:ext cx="3632200" cy="814705"/>
                          </a:xfrm>
                          <a:prstGeom prst="rect">
                            <a:avLst/>
                          </a:prstGeom>
                        </wps:spPr>
                        <wps:txbx>
                          <w:txbxContent>
                            <w:p>
                              <w:pPr>
                                <w:tabs>
                                  <w:tab w:pos="2516" w:val="left" w:leader="none"/>
                                  <w:tab w:pos="3540" w:val="left" w:leader="none"/>
                                  <w:tab w:pos="4504" w:val="left" w:leader="none"/>
                                </w:tabs>
                                <w:spacing w:line="219" w:lineRule="exact" w:before="0"/>
                                <w:ind w:left="1680" w:right="0" w:firstLine="0"/>
                                <w:jc w:val="left"/>
                                <w:rPr>
                                  <w:rFonts w:ascii="Verdana"/>
                                  <w:sz w:val="18"/>
                                </w:rPr>
                              </w:pPr>
                              <w:r>
                                <w:rPr>
                                  <w:rFonts w:ascii="Verdana"/>
                                  <w:spacing w:val="-4"/>
                                  <w:sz w:val="18"/>
                                </w:rPr>
                                <w:t>Some</w:t>
                              </w:r>
                              <w:r>
                                <w:rPr>
                                  <w:rFonts w:ascii="Verdana"/>
                                  <w:sz w:val="18"/>
                                </w:rPr>
                                <w:tab/>
                              </w:r>
                              <w:r>
                                <w:rPr>
                                  <w:rFonts w:ascii="Verdana"/>
                                  <w:spacing w:val="-2"/>
                                  <w:sz w:val="18"/>
                                </w:rPr>
                                <w:t>matters</w:t>
                              </w:r>
                              <w:r>
                                <w:rPr>
                                  <w:rFonts w:ascii="Verdana"/>
                                  <w:sz w:val="18"/>
                                </w:rPr>
                                <w:tab/>
                              </w:r>
                              <w:r>
                                <w:rPr>
                                  <w:rFonts w:ascii="Verdana"/>
                                  <w:spacing w:val="-2"/>
                                  <w:sz w:val="18"/>
                                </w:rPr>
                                <w:t>require</w:t>
                              </w:r>
                              <w:r>
                                <w:rPr>
                                  <w:rFonts w:ascii="Verdana"/>
                                  <w:sz w:val="18"/>
                                </w:rPr>
                                <w:tab/>
                              </w:r>
                              <w:r>
                                <w:rPr>
                                  <w:rFonts w:ascii="Verdana"/>
                                  <w:spacing w:val="-2"/>
                                  <w:sz w:val="18"/>
                                </w:rPr>
                                <w:t>management</w:t>
                              </w:r>
                            </w:p>
                            <w:p>
                              <w:pPr>
                                <w:tabs>
                                  <w:tab w:pos="1679" w:val="left" w:leader="none"/>
                                </w:tabs>
                                <w:spacing w:line="180" w:lineRule="auto" w:before="12"/>
                                <w:ind w:left="0" w:right="0" w:firstLine="0"/>
                                <w:jc w:val="left"/>
                                <w:rPr>
                                  <w:rFonts w:ascii="Verdana"/>
                                  <w:sz w:val="18"/>
                                </w:rPr>
                              </w:pPr>
                              <w:r>
                                <w:rPr>
                                  <w:rFonts w:ascii="Verdana"/>
                                  <w:b/>
                                  <w:color w:val="001F5F"/>
                                  <w:spacing w:val="-2"/>
                                  <w:position w:val="-14"/>
                                  <w:sz w:val="20"/>
                                </w:rPr>
                                <w:t>Reasonable</w:t>
                              </w:r>
                              <w:r>
                                <w:rPr>
                                  <w:rFonts w:ascii="Verdana"/>
                                  <w:b/>
                                  <w:color w:val="001F5F"/>
                                  <w:position w:val="-14"/>
                                  <w:sz w:val="20"/>
                                </w:rPr>
                                <w:tab/>
                              </w:r>
                              <w:r>
                                <w:rPr>
                                  <w:rFonts w:ascii="Verdana"/>
                                  <w:sz w:val="18"/>
                                </w:rPr>
                                <w:t>attention</w:t>
                              </w:r>
                              <w:r>
                                <w:rPr>
                                  <w:rFonts w:ascii="Verdana"/>
                                  <w:spacing w:val="-5"/>
                                  <w:sz w:val="18"/>
                                </w:rPr>
                                <w:t> </w:t>
                              </w:r>
                              <w:r>
                                <w:rPr>
                                  <w:rFonts w:ascii="Verdana"/>
                                  <w:sz w:val="18"/>
                                </w:rPr>
                                <w:t>in</w:t>
                              </w:r>
                              <w:r>
                                <w:rPr>
                                  <w:rFonts w:ascii="Verdana"/>
                                  <w:spacing w:val="-2"/>
                                  <w:sz w:val="18"/>
                                </w:rPr>
                                <w:t> </w:t>
                              </w:r>
                              <w:r>
                                <w:rPr>
                                  <w:rFonts w:ascii="Verdana"/>
                                  <w:sz w:val="18"/>
                                </w:rPr>
                                <w:t>control</w:t>
                              </w:r>
                              <w:r>
                                <w:rPr>
                                  <w:rFonts w:ascii="Verdana"/>
                                  <w:spacing w:val="-3"/>
                                  <w:sz w:val="18"/>
                                </w:rPr>
                                <w:t> </w:t>
                              </w:r>
                              <w:r>
                                <w:rPr>
                                  <w:rFonts w:ascii="Verdana"/>
                                  <w:sz w:val="18"/>
                                </w:rPr>
                                <w:t>design</w:t>
                              </w:r>
                              <w:r>
                                <w:rPr>
                                  <w:rFonts w:ascii="Verdana"/>
                                  <w:spacing w:val="-5"/>
                                  <w:sz w:val="18"/>
                                </w:rPr>
                                <w:t> </w:t>
                              </w:r>
                              <w:r>
                                <w:rPr>
                                  <w:rFonts w:ascii="Verdana"/>
                                  <w:sz w:val="18"/>
                                </w:rPr>
                                <w:t>or</w:t>
                              </w:r>
                              <w:r>
                                <w:rPr>
                                  <w:rFonts w:ascii="Verdana"/>
                                  <w:spacing w:val="-3"/>
                                  <w:sz w:val="18"/>
                                </w:rPr>
                                <w:t> </w:t>
                              </w:r>
                              <w:r>
                                <w:rPr>
                                  <w:rFonts w:ascii="Verdana"/>
                                  <w:spacing w:val="-2"/>
                                  <w:sz w:val="18"/>
                                </w:rPr>
                                <w:t>compliance.</w:t>
                              </w:r>
                            </w:p>
                            <w:p>
                              <w:pPr>
                                <w:spacing w:line="172" w:lineRule="exact" w:before="0"/>
                                <w:ind w:left="1680" w:right="0" w:firstLine="0"/>
                                <w:jc w:val="left"/>
                                <w:rPr>
                                  <w:rFonts w:ascii="Verdana"/>
                                  <w:sz w:val="18"/>
                                </w:rPr>
                              </w:pPr>
                              <w:r>
                                <w:rPr>
                                  <w:rFonts w:ascii="Verdana"/>
                                  <w:b/>
                                  <w:color w:val="001F5F"/>
                                  <w:sz w:val="18"/>
                                </w:rPr>
                                <w:t>Low</w:t>
                              </w:r>
                              <w:r>
                                <w:rPr>
                                  <w:rFonts w:ascii="Verdana"/>
                                  <w:b/>
                                  <w:color w:val="001F5F"/>
                                  <w:spacing w:val="15"/>
                                  <w:sz w:val="18"/>
                                </w:rPr>
                                <w:t> </w:t>
                              </w:r>
                              <w:r>
                                <w:rPr>
                                  <w:rFonts w:ascii="Verdana"/>
                                  <w:b/>
                                  <w:color w:val="001F5F"/>
                                  <w:sz w:val="18"/>
                                </w:rPr>
                                <w:t>to</w:t>
                              </w:r>
                              <w:r>
                                <w:rPr>
                                  <w:rFonts w:ascii="Verdana"/>
                                  <w:b/>
                                  <w:color w:val="001F5F"/>
                                  <w:spacing w:val="16"/>
                                  <w:sz w:val="18"/>
                                </w:rPr>
                                <w:t> </w:t>
                              </w:r>
                              <w:r>
                                <w:rPr>
                                  <w:rFonts w:ascii="Verdana"/>
                                  <w:b/>
                                  <w:color w:val="001F5F"/>
                                  <w:sz w:val="18"/>
                                </w:rPr>
                                <w:t>moderate</w:t>
                              </w:r>
                              <w:r>
                                <w:rPr>
                                  <w:rFonts w:ascii="Verdana"/>
                                  <w:b/>
                                  <w:color w:val="001F5F"/>
                                  <w:spacing w:val="16"/>
                                  <w:sz w:val="18"/>
                                </w:rPr>
                                <w:t> </w:t>
                              </w:r>
                              <w:r>
                                <w:rPr>
                                  <w:rFonts w:ascii="Verdana"/>
                                  <w:b/>
                                  <w:color w:val="001F5F"/>
                                  <w:sz w:val="18"/>
                                </w:rPr>
                                <w:t>impact</w:t>
                              </w:r>
                              <w:r>
                                <w:rPr>
                                  <w:rFonts w:ascii="Verdana"/>
                                  <w:b/>
                                  <w:color w:val="001F5F"/>
                                  <w:spacing w:val="16"/>
                                  <w:sz w:val="18"/>
                                </w:rPr>
                                <w:t> </w:t>
                              </w:r>
                              <w:r>
                                <w:rPr>
                                  <w:rFonts w:ascii="Verdana"/>
                                  <w:sz w:val="18"/>
                                </w:rPr>
                                <w:t>on</w:t>
                              </w:r>
                              <w:r>
                                <w:rPr>
                                  <w:rFonts w:ascii="Verdana"/>
                                  <w:spacing w:val="17"/>
                                  <w:sz w:val="18"/>
                                </w:rPr>
                                <w:t> </w:t>
                              </w:r>
                              <w:r>
                                <w:rPr>
                                  <w:rFonts w:ascii="Verdana"/>
                                  <w:sz w:val="18"/>
                                </w:rPr>
                                <w:t>residual</w:t>
                              </w:r>
                              <w:r>
                                <w:rPr>
                                  <w:rFonts w:ascii="Verdana"/>
                                  <w:spacing w:val="16"/>
                                  <w:sz w:val="18"/>
                                </w:rPr>
                                <w:t> </w:t>
                              </w:r>
                              <w:r>
                                <w:rPr>
                                  <w:rFonts w:ascii="Verdana"/>
                                  <w:spacing w:val="-4"/>
                                  <w:sz w:val="18"/>
                                </w:rPr>
                                <w:t>risk</w:t>
                              </w:r>
                            </w:p>
                            <w:p>
                              <w:pPr>
                                <w:spacing w:before="0"/>
                                <w:ind w:left="1680" w:right="0" w:firstLine="0"/>
                                <w:jc w:val="left"/>
                                <w:rPr>
                                  <w:rFonts w:ascii="Verdana"/>
                                  <w:sz w:val="18"/>
                                </w:rPr>
                              </w:pPr>
                              <w:r>
                                <w:rPr>
                                  <w:rFonts w:ascii="Verdana"/>
                                  <w:sz w:val="18"/>
                                </w:rPr>
                                <w:t>exposure</w:t>
                              </w:r>
                              <w:r>
                                <w:rPr>
                                  <w:rFonts w:ascii="Verdana"/>
                                  <w:spacing w:val="-4"/>
                                  <w:sz w:val="18"/>
                                </w:rPr>
                                <w:t> </w:t>
                              </w:r>
                              <w:r>
                                <w:rPr>
                                  <w:rFonts w:ascii="Verdana"/>
                                  <w:sz w:val="18"/>
                                </w:rPr>
                                <w:t>until</w:t>
                              </w:r>
                              <w:r>
                                <w:rPr>
                                  <w:rFonts w:ascii="Verdana"/>
                                  <w:spacing w:val="-1"/>
                                  <w:sz w:val="18"/>
                                </w:rPr>
                                <w:t> </w:t>
                              </w:r>
                              <w:r>
                                <w:rPr>
                                  <w:rFonts w:ascii="Verdana"/>
                                  <w:spacing w:val="-2"/>
                                  <w:sz w:val="18"/>
                                </w:rPr>
                                <w:t>resolved.</w:t>
                              </w:r>
                            </w:p>
                            <w:p>
                              <w:pPr>
                                <w:tabs>
                                  <w:tab w:pos="2560" w:val="left" w:leader="none"/>
                                  <w:tab w:pos="3914" w:val="left" w:leader="none"/>
                                  <w:tab w:pos="5051" w:val="left" w:leader="none"/>
                                </w:tabs>
                                <w:spacing w:before="130"/>
                                <w:ind w:left="1680" w:right="0" w:firstLine="0"/>
                                <w:jc w:val="left"/>
                                <w:rPr>
                                  <w:rFonts w:ascii="Verdana"/>
                                  <w:sz w:val="18"/>
                                </w:rPr>
                              </w:pPr>
                              <w:r>
                                <w:rPr>
                                  <w:rFonts w:ascii="Verdana"/>
                                  <w:spacing w:val="-4"/>
                                  <w:sz w:val="18"/>
                                </w:rPr>
                                <w:t>More</w:t>
                              </w:r>
                              <w:r>
                                <w:rPr>
                                  <w:rFonts w:ascii="Verdana"/>
                                  <w:sz w:val="18"/>
                                </w:rPr>
                                <w:tab/>
                              </w:r>
                              <w:r>
                                <w:rPr>
                                  <w:rFonts w:ascii="Verdana"/>
                                  <w:spacing w:val="-2"/>
                                  <w:sz w:val="18"/>
                                </w:rPr>
                                <w:t>significant</w:t>
                              </w:r>
                              <w:r>
                                <w:rPr>
                                  <w:rFonts w:ascii="Verdana"/>
                                  <w:sz w:val="18"/>
                                </w:rPr>
                                <w:tab/>
                              </w:r>
                              <w:r>
                                <w:rPr>
                                  <w:rFonts w:ascii="Verdana"/>
                                  <w:spacing w:val="-2"/>
                                  <w:sz w:val="18"/>
                                </w:rPr>
                                <w:t>matters</w:t>
                              </w:r>
                              <w:r>
                                <w:rPr>
                                  <w:rFonts w:ascii="Verdana"/>
                                  <w:sz w:val="18"/>
                                </w:rPr>
                                <w:tab/>
                              </w:r>
                              <w:r>
                                <w:rPr>
                                  <w:rFonts w:ascii="Verdana"/>
                                  <w:spacing w:val="-2"/>
                                  <w:sz w:val="18"/>
                                </w:rPr>
                                <w:t>require</w:t>
                              </w:r>
                            </w:p>
                          </w:txbxContent>
                        </wps:txbx>
                        <wps:bodyPr wrap="square" lIns="0" tIns="0" rIns="0" bIns="0" rtlCol="0">
                          <a:noAutofit/>
                        </wps:bodyPr>
                      </wps:wsp>
                      <wps:wsp>
                        <wps:cNvPr id="707" name="Textbox 707"/>
                        <wps:cNvSpPr txBox="1"/>
                        <wps:spPr>
                          <a:xfrm>
                            <a:off x="1402333" y="1560277"/>
                            <a:ext cx="544830" cy="154305"/>
                          </a:xfrm>
                          <a:prstGeom prst="rect">
                            <a:avLst/>
                          </a:prstGeom>
                        </wps:spPr>
                        <wps:txbx>
                          <w:txbxContent>
                            <w:p>
                              <w:pPr>
                                <w:spacing w:line="242" w:lineRule="exact" w:before="0"/>
                                <w:ind w:left="0" w:right="0" w:firstLine="0"/>
                                <w:jc w:val="left"/>
                                <w:rPr>
                                  <w:rFonts w:ascii="Verdana"/>
                                  <w:b/>
                                  <w:sz w:val="20"/>
                                </w:rPr>
                              </w:pPr>
                              <w:r>
                                <w:rPr>
                                  <w:rFonts w:ascii="Verdana"/>
                                  <w:b/>
                                  <w:color w:val="001F5F"/>
                                  <w:spacing w:val="-2"/>
                                  <w:sz w:val="20"/>
                                </w:rPr>
                                <w:t>Limited</w:t>
                              </w:r>
                            </w:p>
                          </w:txbxContent>
                        </wps:txbx>
                        <wps:bodyPr wrap="square" lIns="0" tIns="0" rIns="0" bIns="0" rtlCol="0">
                          <a:noAutofit/>
                        </wps:bodyPr>
                      </wps:wsp>
                      <wps:wsp>
                        <wps:cNvPr id="708" name="Textbox 708"/>
                        <wps:cNvSpPr txBox="1"/>
                        <wps:spPr>
                          <a:xfrm>
                            <a:off x="2324354" y="1478047"/>
                            <a:ext cx="1369060" cy="139065"/>
                          </a:xfrm>
                          <a:prstGeom prst="rect">
                            <a:avLst/>
                          </a:prstGeom>
                        </wps:spPr>
                        <wps:txbx>
                          <w:txbxContent>
                            <w:p>
                              <w:pPr>
                                <w:spacing w:before="0"/>
                                <w:ind w:left="0" w:right="0" w:firstLine="0"/>
                                <w:jc w:val="left"/>
                                <w:rPr>
                                  <w:rFonts w:ascii="Verdana"/>
                                  <w:sz w:val="18"/>
                                </w:rPr>
                              </w:pPr>
                              <w:r>
                                <w:rPr>
                                  <w:rFonts w:ascii="Verdana"/>
                                  <w:sz w:val="18"/>
                                </w:rPr>
                                <w:t>management </w:t>
                              </w:r>
                              <w:r>
                                <w:rPr>
                                  <w:rFonts w:ascii="Verdana"/>
                                  <w:spacing w:val="-2"/>
                                  <w:sz w:val="18"/>
                                </w:rPr>
                                <w:t>attention.</w:t>
                              </w:r>
                            </w:p>
                          </w:txbxContent>
                        </wps:txbx>
                        <wps:bodyPr wrap="square" lIns="0" tIns="0" rIns="0" bIns="0" rtlCol="0">
                          <a:noAutofit/>
                        </wps:bodyPr>
                      </wps:wsp>
                      <wps:wsp>
                        <wps:cNvPr id="709" name="Textbox 709"/>
                        <wps:cNvSpPr txBox="1"/>
                        <wps:spPr>
                          <a:xfrm>
                            <a:off x="1152397" y="2236933"/>
                            <a:ext cx="1045844" cy="154305"/>
                          </a:xfrm>
                          <a:prstGeom prst="rect">
                            <a:avLst/>
                          </a:prstGeom>
                        </wps:spPr>
                        <wps:txbx>
                          <w:txbxContent>
                            <w:p>
                              <w:pPr>
                                <w:spacing w:line="242" w:lineRule="exact" w:before="0"/>
                                <w:ind w:left="0" w:right="0" w:firstLine="0"/>
                                <w:jc w:val="left"/>
                                <w:rPr>
                                  <w:rFonts w:ascii="Verdana"/>
                                  <w:b/>
                                  <w:sz w:val="20"/>
                                </w:rPr>
                              </w:pPr>
                              <w:r>
                                <w:rPr>
                                  <w:rFonts w:ascii="Verdana"/>
                                  <w:b/>
                                  <w:color w:val="001F5F"/>
                                  <w:spacing w:val="-2"/>
                                  <w:sz w:val="20"/>
                                </w:rPr>
                                <w:t>Unsatisfactory</w:t>
                              </w:r>
                            </w:p>
                          </w:txbxContent>
                        </wps:txbx>
                        <wps:bodyPr wrap="square" lIns="0" tIns="0" rIns="0" bIns="0" rtlCol="0">
                          <a:noAutofit/>
                        </wps:bodyPr>
                      </wps:wsp>
                      <wps:wsp>
                        <wps:cNvPr id="710" name="Textbox 710"/>
                        <wps:cNvSpPr txBox="1"/>
                        <wps:spPr>
                          <a:xfrm>
                            <a:off x="1358138" y="3122631"/>
                            <a:ext cx="633095" cy="154305"/>
                          </a:xfrm>
                          <a:prstGeom prst="rect">
                            <a:avLst/>
                          </a:prstGeom>
                        </wps:spPr>
                        <wps:txbx>
                          <w:txbxContent>
                            <w:p>
                              <w:pPr>
                                <w:spacing w:line="242" w:lineRule="exact" w:before="0"/>
                                <w:ind w:left="0" w:right="0" w:firstLine="0"/>
                                <w:jc w:val="left"/>
                                <w:rPr>
                                  <w:rFonts w:ascii="Verdana"/>
                                  <w:b/>
                                  <w:sz w:val="20"/>
                                </w:rPr>
                              </w:pPr>
                              <w:r>
                                <w:rPr>
                                  <w:rFonts w:ascii="Verdana"/>
                                  <w:b/>
                                  <w:color w:val="001F5F"/>
                                  <w:spacing w:val="-2"/>
                                  <w:sz w:val="20"/>
                                </w:rPr>
                                <w:t>Advisory</w:t>
                              </w:r>
                            </w:p>
                          </w:txbxContent>
                        </wps:txbx>
                        <wps:bodyPr wrap="square" lIns="0" tIns="0" rIns="0" bIns="0" rtlCol="0">
                          <a:noAutofit/>
                        </wps:bodyPr>
                      </wps:wsp>
                      <wps:wsp>
                        <wps:cNvPr id="711" name="Textbox 711"/>
                        <wps:cNvSpPr txBox="1"/>
                        <wps:spPr>
                          <a:xfrm>
                            <a:off x="2324354" y="1656355"/>
                            <a:ext cx="2565400" cy="2047239"/>
                          </a:xfrm>
                          <a:prstGeom prst="rect">
                            <a:avLst/>
                          </a:prstGeom>
                        </wps:spPr>
                        <wps:txbx>
                          <w:txbxContent>
                            <w:p>
                              <w:pPr>
                                <w:spacing w:before="0"/>
                                <w:ind w:left="0" w:right="18" w:firstLine="0"/>
                                <w:jc w:val="both"/>
                                <w:rPr>
                                  <w:rFonts w:ascii="Verdana"/>
                                  <w:sz w:val="18"/>
                                </w:rPr>
                              </w:pPr>
                              <w:r>
                                <w:rPr>
                                  <w:rFonts w:ascii="Verdana"/>
                                  <w:b/>
                                  <w:color w:val="001F5F"/>
                                  <w:sz w:val="18"/>
                                </w:rPr>
                                <w:t>Moderate</w:t>
                              </w:r>
                              <w:r>
                                <w:rPr>
                                  <w:rFonts w:ascii="Verdana"/>
                                  <w:b/>
                                  <w:color w:val="001F5F"/>
                                  <w:spacing w:val="-11"/>
                                  <w:sz w:val="18"/>
                                </w:rPr>
                                <w:t> </w:t>
                              </w:r>
                              <w:r>
                                <w:rPr>
                                  <w:rFonts w:ascii="Verdana"/>
                                  <w:b/>
                                  <w:color w:val="001F5F"/>
                                  <w:sz w:val="18"/>
                                </w:rPr>
                                <w:t>impact</w:t>
                              </w:r>
                              <w:r>
                                <w:rPr>
                                  <w:rFonts w:ascii="Verdana"/>
                                  <w:b/>
                                  <w:color w:val="001F5F"/>
                                  <w:spacing w:val="-9"/>
                                  <w:sz w:val="18"/>
                                </w:rPr>
                                <w:t> </w:t>
                              </w:r>
                              <w:r>
                                <w:rPr>
                                  <w:rFonts w:ascii="Verdana"/>
                                  <w:sz w:val="18"/>
                                </w:rPr>
                                <w:t>on</w:t>
                              </w:r>
                              <w:r>
                                <w:rPr>
                                  <w:rFonts w:ascii="Verdana"/>
                                  <w:spacing w:val="-12"/>
                                  <w:sz w:val="18"/>
                                </w:rPr>
                                <w:t> </w:t>
                              </w:r>
                              <w:r>
                                <w:rPr>
                                  <w:rFonts w:ascii="Verdana"/>
                                  <w:sz w:val="18"/>
                                </w:rPr>
                                <w:t>residual</w:t>
                              </w:r>
                              <w:r>
                                <w:rPr>
                                  <w:rFonts w:ascii="Verdana"/>
                                  <w:spacing w:val="-13"/>
                                  <w:sz w:val="18"/>
                                </w:rPr>
                                <w:t> </w:t>
                              </w:r>
                              <w:r>
                                <w:rPr>
                                  <w:rFonts w:ascii="Verdana"/>
                                  <w:sz w:val="18"/>
                                </w:rPr>
                                <w:t>risk</w:t>
                              </w:r>
                              <w:r>
                                <w:rPr>
                                  <w:rFonts w:ascii="Verdana"/>
                                  <w:spacing w:val="-12"/>
                                  <w:sz w:val="18"/>
                                </w:rPr>
                                <w:t> </w:t>
                              </w:r>
                              <w:r>
                                <w:rPr>
                                  <w:rFonts w:ascii="Verdana"/>
                                  <w:sz w:val="18"/>
                                </w:rPr>
                                <w:t>exposure until resolved.</w:t>
                              </w:r>
                            </w:p>
                            <w:p>
                              <w:pPr>
                                <w:spacing w:before="129"/>
                                <w:ind w:left="0" w:right="21" w:firstLine="0"/>
                                <w:jc w:val="both"/>
                                <w:rPr>
                                  <w:rFonts w:ascii="Verdana"/>
                                  <w:sz w:val="18"/>
                                </w:rPr>
                              </w:pPr>
                              <w:r>
                                <w:rPr>
                                  <w:rFonts w:ascii="Verdana"/>
                                  <w:sz w:val="18"/>
                                </w:rPr>
                                <w:t>Action is required to address the whole control framework in this area.</w:t>
                              </w:r>
                            </w:p>
                            <w:p>
                              <w:pPr>
                                <w:spacing w:line="242" w:lineRule="auto" w:before="59"/>
                                <w:ind w:left="0" w:right="18" w:firstLine="0"/>
                                <w:jc w:val="both"/>
                                <w:rPr>
                                  <w:rFonts w:ascii="Verdana"/>
                                  <w:sz w:val="18"/>
                                </w:rPr>
                              </w:pPr>
                              <w:r>
                                <w:rPr>
                                  <w:rFonts w:ascii="Verdana"/>
                                  <w:b/>
                                  <w:color w:val="001F5F"/>
                                  <w:sz w:val="18"/>
                                </w:rPr>
                                <w:t>High</w:t>
                              </w:r>
                              <w:r>
                                <w:rPr>
                                  <w:rFonts w:ascii="Verdana"/>
                                  <w:b/>
                                  <w:color w:val="001F5F"/>
                                  <w:spacing w:val="-6"/>
                                  <w:sz w:val="18"/>
                                </w:rPr>
                                <w:t> </w:t>
                              </w:r>
                              <w:r>
                                <w:rPr>
                                  <w:rFonts w:ascii="Verdana"/>
                                  <w:b/>
                                  <w:color w:val="001F5F"/>
                                  <w:sz w:val="18"/>
                                </w:rPr>
                                <w:t>impact</w:t>
                              </w:r>
                              <w:r>
                                <w:rPr>
                                  <w:rFonts w:ascii="Verdana"/>
                                  <w:b/>
                                  <w:color w:val="001F5F"/>
                                  <w:spacing w:val="-4"/>
                                  <w:sz w:val="18"/>
                                </w:rPr>
                                <w:t> </w:t>
                              </w:r>
                              <w:r>
                                <w:rPr>
                                  <w:rFonts w:ascii="Verdana"/>
                                  <w:sz w:val="18"/>
                                </w:rPr>
                                <w:t>on</w:t>
                              </w:r>
                              <w:r>
                                <w:rPr>
                                  <w:rFonts w:ascii="Verdana"/>
                                  <w:spacing w:val="-6"/>
                                  <w:sz w:val="18"/>
                                </w:rPr>
                                <w:t> </w:t>
                              </w:r>
                              <w:r>
                                <w:rPr>
                                  <w:rFonts w:ascii="Verdana"/>
                                  <w:sz w:val="18"/>
                                </w:rPr>
                                <w:t>residual</w:t>
                              </w:r>
                              <w:r>
                                <w:rPr>
                                  <w:rFonts w:ascii="Verdana"/>
                                  <w:spacing w:val="-7"/>
                                  <w:sz w:val="18"/>
                                </w:rPr>
                                <w:t> </w:t>
                              </w:r>
                              <w:r>
                                <w:rPr>
                                  <w:rFonts w:ascii="Verdana"/>
                                  <w:sz w:val="18"/>
                                </w:rPr>
                                <w:t>risk</w:t>
                              </w:r>
                              <w:r>
                                <w:rPr>
                                  <w:rFonts w:ascii="Verdana"/>
                                  <w:spacing w:val="-6"/>
                                  <w:sz w:val="18"/>
                                </w:rPr>
                                <w:t> </w:t>
                              </w:r>
                              <w:r>
                                <w:rPr>
                                  <w:rFonts w:ascii="Verdana"/>
                                  <w:sz w:val="18"/>
                                </w:rPr>
                                <w:t>exposure</w:t>
                              </w:r>
                              <w:r>
                                <w:rPr>
                                  <w:rFonts w:ascii="Verdana"/>
                                  <w:spacing w:val="-7"/>
                                  <w:sz w:val="18"/>
                                </w:rPr>
                                <w:t> </w:t>
                              </w:r>
                              <w:r>
                                <w:rPr>
                                  <w:rFonts w:ascii="Verdana"/>
                                  <w:sz w:val="18"/>
                                </w:rPr>
                                <w:t>until </w:t>
                              </w:r>
                              <w:r>
                                <w:rPr>
                                  <w:rFonts w:ascii="Verdana"/>
                                  <w:spacing w:val="-2"/>
                                  <w:sz w:val="18"/>
                                </w:rPr>
                                <w:t>resolved.</w:t>
                              </w:r>
                            </w:p>
                            <w:p>
                              <w:pPr>
                                <w:spacing w:before="127"/>
                                <w:ind w:left="0" w:right="20" w:firstLine="0"/>
                                <w:jc w:val="both"/>
                                <w:rPr>
                                  <w:rFonts w:ascii="Verdana"/>
                                  <w:sz w:val="18"/>
                                </w:rPr>
                              </w:pPr>
                              <w:r>
                                <w:rPr>
                                  <w:rFonts w:ascii="Verdana"/>
                                  <w:sz w:val="18"/>
                                </w:rPr>
                                <w:t>Given to reviews and support provided to management</w:t>
                              </w:r>
                              <w:r>
                                <w:rPr>
                                  <w:rFonts w:ascii="Verdana"/>
                                  <w:spacing w:val="-9"/>
                                  <w:sz w:val="18"/>
                                </w:rPr>
                                <w:t> </w:t>
                              </w:r>
                              <w:r>
                                <w:rPr>
                                  <w:rFonts w:ascii="Verdana"/>
                                  <w:sz w:val="18"/>
                                </w:rPr>
                                <w:t>which</w:t>
                              </w:r>
                              <w:r>
                                <w:rPr>
                                  <w:rFonts w:ascii="Verdana"/>
                                  <w:spacing w:val="-9"/>
                                  <w:sz w:val="18"/>
                                </w:rPr>
                                <w:t> </w:t>
                              </w:r>
                              <w:r>
                                <w:rPr>
                                  <w:rFonts w:ascii="Verdana"/>
                                  <w:sz w:val="18"/>
                                </w:rPr>
                                <w:t>form</w:t>
                              </w:r>
                              <w:r>
                                <w:rPr>
                                  <w:rFonts w:ascii="Verdana"/>
                                  <w:spacing w:val="-12"/>
                                  <w:sz w:val="18"/>
                                </w:rPr>
                                <w:t> </w:t>
                              </w:r>
                              <w:r>
                                <w:rPr>
                                  <w:rFonts w:ascii="Verdana"/>
                                  <w:sz w:val="18"/>
                                </w:rPr>
                                <w:t>part</w:t>
                              </w:r>
                              <w:r>
                                <w:rPr>
                                  <w:rFonts w:ascii="Verdana"/>
                                  <w:spacing w:val="-9"/>
                                  <w:sz w:val="18"/>
                                </w:rPr>
                                <w:t> </w:t>
                              </w:r>
                              <w:r>
                                <w:rPr>
                                  <w:rFonts w:ascii="Verdana"/>
                                  <w:sz w:val="18"/>
                                </w:rPr>
                                <w:t>of</w:t>
                              </w:r>
                              <w:r>
                                <w:rPr>
                                  <w:rFonts w:ascii="Verdana"/>
                                  <w:spacing w:val="-11"/>
                                  <w:sz w:val="18"/>
                                </w:rPr>
                                <w:t> </w:t>
                              </w:r>
                              <w:r>
                                <w:rPr>
                                  <w:rFonts w:ascii="Verdana"/>
                                  <w:sz w:val="18"/>
                                </w:rPr>
                                <w:t>the</w:t>
                              </w:r>
                              <w:r>
                                <w:rPr>
                                  <w:rFonts w:ascii="Verdana"/>
                                  <w:spacing w:val="-9"/>
                                  <w:sz w:val="18"/>
                                </w:rPr>
                                <w:t> </w:t>
                              </w:r>
                              <w:r>
                                <w:rPr>
                                  <w:rFonts w:ascii="Verdana"/>
                                  <w:sz w:val="18"/>
                                </w:rPr>
                                <w:t>internal audit plan, to which the assurance definitions are not appropriate.</w:t>
                              </w:r>
                            </w:p>
                            <w:p>
                              <w:pPr>
                                <w:spacing w:line="240" w:lineRule="auto" w:before="59"/>
                                <w:ind w:left="0" w:right="20" w:firstLine="0"/>
                                <w:jc w:val="both"/>
                                <w:rPr>
                                  <w:rFonts w:ascii="Verdana"/>
                                  <w:sz w:val="18"/>
                                </w:rPr>
                              </w:pPr>
                              <w:r>
                                <w:rPr>
                                  <w:rFonts w:ascii="Verdana"/>
                                  <w:sz w:val="18"/>
                                </w:rPr>
                                <w:t>These reviews are still relevant to the evidence base upon which the overall opinion is formed.</w:t>
                              </w:r>
                            </w:p>
                          </w:txbxContent>
                        </wps:txbx>
                        <wps:bodyPr wrap="square" lIns="0" tIns="0" rIns="0" bIns="0" rtlCol="0">
                          <a:noAutofit/>
                        </wps:bodyPr>
                      </wps:wsp>
                    </wpg:wgp>
                  </a:graphicData>
                </a:graphic>
              </wp:anchor>
            </w:drawing>
          </mc:Choice>
          <mc:Fallback>
            <w:pict>
              <v:group style="position:absolute;margin-left:13.92pt;margin-top:5.939375pt;width:389.35pt;height:294.650pt;mso-position-horizontal-relative:page;mso-position-vertical-relative:paragraph;z-index:-15586816;mso-wrap-distance-left:0;mso-wrap-distance-right:0" id="docshapegroup453" coordorigin="278,119" coordsize="7787,5893">
                <v:shape style="position:absolute;left:278;top:164;width:7787;height:929" id="docshape454" coordorigin="278,164" coordsize="7787,929" path="m8065,164l3831,164,1985,164,278,164,278,1093,1985,1093,3831,1093,8065,1093,8065,164xe" filled="true" fillcolor="#ffffff" stroked="false">
                  <v:path arrowok="t"/>
                  <v:fill type="solid"/>
                </v:shape>
                <v:rect style="position:absolute;left:278;top:118;width:1707;height:44" id="docshape455" filled="true" fillcolor="#001f5f" stroked="false">
                  <v:fill type="solid"/>
                </v:rect>
                <v:shape style="position:absolute;left:278;top:161;width:1751;height:3" id="docshape456" coordorigin="278,162" coordsize="1751,3" path="m2028,162l1985,162,278,162,278,164,1985,164,2028,164,2028,162xe" filled="true" fillcolor="#ffffff" stroked="false">
                  <v:path arrowok="t"/>
                  <v:fill type="solid"/>
                </v:shape>
                <v:shape style="position:absolute;left:1985;top:118;width:1846;height:44" id="docshape457" coordorigin="1985,119" coordsize="1846,44" path="m3831,119l2028,119,1985,119,1985,162,2028,162,3831,162,3831,119xe" filled="true" fillcolor="#001f5f" stroked="false">
                  <v:path arrowok="t"/>
                  <v:fill type="solid"/>
                </v:shape>
                <v:shape style="position:absolute;left:2028;top:161;width:1846;height:3" id="docshape458" coordorigin="2028,162" coordsize="1846,3" path="m3874,162l3831,162,2028,162,2028,164,3831,164,3874,164,3874,162xe" filled="true" fillcolor="#ffffff" stroked="false">
                  <v:path arrowok="t"/>
                  <v:fill type="solid"/>
                </v:shape>
                <v:shape style="position:absolute;left:3830;top:118;width:4234;height:44" id="docshape459" coordorigin="3831,119" coordsize="4234,44" path="m8065,119l3874,119,3831,119,3831,162,3874,162,8065,162,8065,119xe" filled="true" fillcolor="#001f5f" stroked="false">
                  <v:path arrowok="t"/>
                  <v:fill type="solid"/>
                </v:shape>
                <v:shape style="position:absolute;left:278;top:161;width:7787;height:5850" id="docshape460" coordorigin="278,162" coordsize="7787,5850" path="m8065,1105l3831,1105,3831,1105,1985,1105,278,1105,278,2159,278,2169,278,3225,278,3235,278,4291,278,4300,278,4300,278,6012,1985,6012,3831,6012,3831,6012,8065,6012,8065,4300,8065,4300,8065,4291,8065,3235,8065,3225,8065,2169,8065,2159,8065,1105xm8065,1093l3831,1093,3831,1093,1985,1093,278,1093,278,1103,1985,1103,3831,1103,3831,1103,8065,1103,8065,1093xm8065,162l3874,162,3874,164,8065,164,8065,162xe" filled="true" fillcolor="#ffffff" stroked="false">
                  <v:path arrowok="t"/>
                  <v:fill type="solid"/>
                </v:shape>
                <v:shape style="position:absolute;left:387;top:223;width:1502;height:799" type="#_x0000_t75" id="docshape461" stroked="false">
                  <v:imagedata r:id="rId102" o:title=""/>
                </v:shape>
                <v:shape style="position:absolute;left:387;top:1226;width:1502;height:799" type="#_x0000_t75" id="docshape462" stroked="false">
                  <v:imagedata r:id="rId103" o:title=""/>
                </v:shape>
                <v:shape style="position:absolute;left:387;top:2291;width:1502;height:799" type="#_x0000_t75" id="docshape463" stroked="false">
                  <v:imagedata r:id="rId104" o:title=""/>
                </v:shape>
                <v:shape style="position:absolute;left:387;top:3356;width:1502;height:799" type="#_x0000_t75" id="docshape464" stroked="false">
                  <v:imagedata r:id="rId105" o:title=""/>
                </v:shape>
                <v:shape style="position:absolute;left:387;top:4734;width:1500;height:840" type="#_x0000_t75" id="docshape465" stroked="false">
                  <v:imagedata r:id="rId106" o:title=""/>
                </v:shape>
                <v:shape style="position:absolute;left:2270;top:508;width:1291;height:243" type="#_x0000_t202" id="docshape466" filled="false" stroked="false">
                  <v:textbox inset="0,0,0,0">
                    <w:txbxContent>
                      <w:p>
                        <w:pPr>
                          <w:spacing w:line="242" w:lineRule="exact" w:before="0"/>
                          <w:ind w:left="0" w:right="0" w:firstLine="0"/>
                          <w:jc w:val="left"/>
                          <w:rPr>
                            <w:rFonts w:ascii="Verdana"/>
                            <w:b/>
                            <w:sz w:val="20"/>
                          </w:rPr>
                        </w:pPr>
                        <w:r>
                          <w:rPr>
                            <w:rFonts w:ascii="Verdana"/>
                            <w:b/>
                            <w:color w:val="001F5F"/>
                            <w:spacing w:val="-2"/>
                            <w:sz w:val="20"/>
                          </w:rPr>
                          <w:t>Substantial</w:t>
                        </w:r>
                      </w:p>
                    </w:txbxContent>
                  </v:textbox>
                  <w10:wrap type="none"/>
                </v:shape>
                <v:shape style="position:absolute;left:3938;top:223;width:4036;height:716" type="#_x0000_t202" id="docshape467" filled="false" stroked="false">
                  <v:textbox inset="0,0,0,0">
                    <w:txbxContent>
                      <w:p>
                        <w:pPr>
                          <w:spacing w:before="0"/>
                          <w:ind w:left="0" w:right="0" w:firstLine="0"/>
                          <w:jc w:val="left"/>
                          <w:rPr>
                            <w:rFonts w:ascii="Verdana"/>
                            <w:sz w:val="18"/>
                          </w:rPr>
                        </w:pPr>
                        <w:r>
                          <w:rPr>
                            <w:rFonts w:ascii="Verdana"/>
                            <w:sz w:val="18"/>
                          </w:rPr>
                          <w:t>Few</w:t>
                        </w:r>
                        <w:r>
                          <w:rPr>
                            <w:rFonts w:ascii="Verdana"/>
                            <w:spacing w:val="80"/>
                            <w:sz w:val="18"/>
                          </w:rPr>
                          <w:t> </w:t>
                        </w:r>
                        <w:r>
                          <w:rPr>
                            <w:rFonts w:ascii="Verdana"/>
                            <w:sz w:val="18"/>
                          </w:rPr>
                          <w:t>matters</w:t>
                        </w:r>
                        <w:r>
                          <w:rPr>
                            <w:rFonts w:ascii="Verdana"/>
                            <w:spacing w:val="80"/>
                            <w:sz w:val="18"/>
                          </w:rPr>
                          <w:t> </w:t>
                        </w:r>
                        <w:r>
                          <w:rPr>
                            <w:rFonts w:ascii="Verdana"/>
                            <w:sz w:val="18"/>
                          </w:rPr>
                          <w:t>require</w:t>
                        </w:r>
                        <w:r>
                          <w:rPr>
                            <w:rFonts w:ascii="Verdana"/>
                            <w:spacing w:val="80"/>
                            <w:sz w:val="18"/>
                          </w:rPr>
                          <w:t> </w:t>
                        </w:r>
                        <w:r>
                          <w:rPr>
                            <w:rFonts w:ascii="Verdana"/>
                            <w:sz w:val="18"/>
                          </w:rPr>
                          <w:t>attention</w:t>
                        </w:r>
                        <w:r>
                          <w:rPr>
                            <w:rFonts w:ascii="Verdana"/>
                            <w:spacing w:val="80"/>
                            <w:sz w:val="18"/>
                          </w:rPr>
                          <w:t> </w:t>
                        </w:r>
                        <w:r>
                          <w:rPr>
                            <w:rFonts w:ascii="Verdana"/>
                            <w:sz w:val="18"/>
                          </w:rPr>
                          <w:t>and</w:t>
                        </w:r>
                        <w:r>
                          <w:rPr>
                            <w:rFonts w:ascii="Verdana"/>
                            <w:spacing w:val="80"/>
                            <w:sz w:val="18"/>
                          </w:rPr>
                          <w:t> </w:t>
                        </w:r>
                        <w:r>
                          <w:rPr>
                            <w:rFonts w:ascii="Verdana"/>
                            <w:sz w:val="18"/>
                          </w:rPr>
                          <w:t>are compliance or advisory in nature.</w:t>
                        </w:r>
                      </w:p>
                      <w:p>
                        <w:pPr>
                          <w:spacing w:before="59"/>
                          <w:ind w:left="0" w:right="0" w:firstLine="0"/>
                          <w:jc w:val="left"/>
                          <w:rPr>
                            <w:rFonts w:ascii="Verdana"/>
                            <w:sz w:val="18"/>
                          </w:rPr>
                        </w:pPr>
                        <w:r>
                          <w:rPr>
                            <w:rFonts w:ascii="Verdana"/>
                            <w:b/>
                            <w:color w:val="001F5F"/>
                            <w:sz w:val="18"/>
                          </w:rPr>
                          <w:t>Low</w:t>
                        </w:r>
                        <w:r>
                          <w:rPr>
                            <w:rFonts w:ascii="Verdana"/>
                            <w:b/>
                            <w:color w:val="001F5F"/>
                            <w:spacing w:val="-3"/>
                            <w:sz w:val="18"/>
                          </w:rPr>
                          <w:t> </w:t>
                        </w:r>
                        <w:r>
                          <w:rPr>
                            <w:rFonts w:ascii="Verdana"/>
                            <w:b/>
                            <w:color w:val="001F5F"/>
                            <w:sz w:val="18"/>
                          </w:rPr>
                          <w:t>impact</w:t>
                        </w:r>
                        <w:r>
                          <w:rPr>
                            <w:rFonts w:ascii="Verdana"/>
                            <w:b/>
                            <w:color w:val="001F5F"/>
                            <w:spacing w:val="-2"/>
                            <w:sz w:val="18"/>
                          </w:rPr>
                          <w:t> </w:t>
                        </w:r>
                        <w:r>
                          <w:rPr>
                            <w:rFonts w:ascii="Verdana"/>
                            <w:sz w:val="18"/>
                          </w:rPr>
                          <w:t>on</w:t>
                        </w:r>
                        <w:r>
                          <w:rPr>
                            <w:rFonts w:ascii="Verdana"/>
                            <w:spacing w:val="-1"/>
                            <w:sz w:val="18"/>
                          </w:rPr>
                          <w:t> </w:t>
                        </w:r>
                        <w:r>
                          <w:rPr>
                            <w:rFonts w:ascii="Verdana"/>
                            <w:sz w:val="18"/>
                          </w:rPr>
                          <w:t>residual</w:t>
                        </w:r>
                        <w:r>
                          <w:rPr>
                            <w:rFonts w:ascii="Verdana"/>
                            <w:spacing w:val="-2"/>
                            <w:sz w:val="18"/>
                          </w:rPr>
                          <w:t> </w:t>
                        </w:r>
                        <w:r>
                          <w:rPr>
                            <w:rFonts w:ascii="Verdana"/>
                            <w:sz w:val="18"/>
                          </w:rPr>
                          <w:t>risk</w:t>
                        </w:r>
                        <w:r>
                          <w:rPr>
                            <w:rFonts w:ascii="Verdana"/>
                            <w:spacing w:val="-3"/>
                            <w:sz w:val="18"/>
                          </w:rPr>
                          <w:t> </w:t>
                        </w:r>
                        <w:r>
                          <w:rPr>
                            <w:rFonts w:ascii="Verdana"/>
                            <w:spacing w:val="-2"/>
                            <w:sz w:val="18"/>
                          </w:rPr>
                          <w:t>exposure.</w:t>
                        </w:r>
                      </w:p>
                    </w:txbxContent>
                  </v:textbox>
                  <w10:wrap type="none"/>
                </v:shape>
                <v:shape style="position:absolute;left:2258;top:1164;width:5720;height:1283" type="#_x0000_t202" id="docshape468" filled="false" stroked="false">
                  <v:textbox inset="0,0,0,0">
                    <w:txbxContent>
                      <w:p>
                        <w:pPr>
                          <w:tabs>
                            <w:tab w:pos="2516" w:val="left" w:leader="none"/>
                            <w:tab w:pos="3540" w:val="left" w:leader="none"/>
                            <w:tab w:pos="4504" w:val="left" w:leader="none"/>
                          </w:tabs>
                          <w:spacing w:line="219" w:lineRule="exact" w:before="0"/>
                          <w:ind w:left="1680" w:right="0" w:firstLine="0"/>
                          <w:jc w:val="left"/>
                          <w:rPr>
                            <w:rFonts w:ascii="Verdana"/>
                            <w:sz w:val="18"/>
                          </w:rPr>
                        </w:pPr>
                        <w:r>
                          <w:rPr>
                            <w:rFonts w:ascii="Verdana"/>
                            <w:spacing w:val="-4"/>
                            <w:sz w:val="18"/>
                          </w:rPr>
                          <w:t>Some</w:t>
                        </w:r>
                        <w:r>
                          <w:rPr>
                            <w:rFonts w:ascii="Verdana"/>
                            <w:sz w:val="18"/>
                          </w:rPr>
                          <w:tab/>
                        </w:r>
                        <w:r>
                          <w:rPr>
                            <w:rFonts w:ascii="Verdana"/>
                            <w:spacing w:val="-2"/>
                            <w:sz w:val="18"/>
                          </w:rPr>
                          <w:t>matters</w:t>
                        </w:r>
                        <w:r>
                          <w:rPr>
                            <w:rFonts w:ascii="Verdana"/>
                            <w:sz w:val="18"/>
                          </w:rPr>
                          <w:tab/>
                        </w:r>
                        <w:r>
                          <w:rPr>
                            <w:rFonts w:ascii="Verdana"/>
                            <w:spacing w:val="-2"/>
                            <w:sz w:val="18"/>
                          </w:rPr>
                          <w:t>require</w:t>
                        </w:r>
                        <w:r>
                          <w:rPr>
                            <w:rFonts w:ascii="Verdana"/>
                            <w:sz w:val="18"/>
                          </w:rPr>
                          <w:tab/>
                        </w:r>
                        <w:r>
                          <w:rPr>
                            <w:rFonts w:ascii="Verdana"/>
                            <w:spacing w:val="-2"/>
                            <w:sz w:val="18"/>
                          </w:rPr>
                          <w:t>management</w:t>
                        </w:r>
                      </w:p>
                      <w:p>
                        <w:pPr>
                          <w:tabs>
                            <w:tab w:pos="1679" w:val="left" w:leader="none"/>
                          </w:tabs>
                          <w:spacing w:line="180" w:lineRule="auto" w:before="12"/>
                          <w:ind w:left="0" w:right="0" w:firstLine="0"/>
                          <w:jc w:val="left"/>
                          <w:rPr>
                            <w:rFonts w:ascii="Verdana"/>
                            <w:sz w:val="18"/>
                          </w:rPr>
                        </w:pPr>
                        <w:r>
                          <w:rPr>
                            <w:rFonts w:ascii="Verdana"/>
                            <w:b/>
                            <w:color w:val="001F5F"/>
                            <w:spacing w:val="-2"/>
                            <w:position w:val="-14"/>
                            <w:sz w:val="20"/>
                          </w:rPr>
                          <w:t>Reasonable</w:t>
                        </w:r>
                        <w:r>
                          <w:rPr>
                            <w:rFonts w:ascii="Verdana"/>
                            <w:b/>
                            <w:color w:val="001F5F"/>
                            <w:position w:val="-14"/>
                            <w:sz w:val="20"/>
                          </w:rPr>
                          <w:tab/>
                        </w:r>
                        <w:r>
                          <w:rPr>
                            <w:rFonts w:ascii="Verdana"/>
                            <w:sz w:val="18"/>
                          </w:rPr>
                          <w:t>attention</w:t>
                        </w:r>
                        <w:r>
                          <w:rPr>
                            <w:rFonts w:ascii="Verdana"/>
                            <w:spacing w:val="-5"/>
                            <w:sz w:val="18"/>
                          </w:rPr>
                          <w:t> </w:t>
                        </w:r>
                        <w:r>
                          <w:rPr>
                            <w:rFonts w:ascii="Verdana"/>
                            <w:sz w:val="18"/>
                          </w:rPr>
                          <w:t>in</w:t>
                        </w:r>
                        <w:r>
                          <w:rPr>
                            <w:rFonts w:ascii="Verdana"/>
                            <w:spacing w:val="-2"/>
                            <w:sz w:val="18"/>
                          </w:rPr>
                          <w:t> </w:t>
                        </w:r>
                        <w:r>
                          <w:rPr>
                            <w:rFonts w:ascii="Verdana"/>
                            <w:sz w:val="18"/>
                          </w:rPr>
                          <w:t>control</w:t>
                        </w:r>
                        <w:r>
                          <w:rPr>
                            <w:rFonts w:ascii="Verdana"/>
                            <w:spacing w:val="-3"/>
                            <w:sz w:val="18"/>
                          </w:rPr>
                          <w:t> </w:t>
                        </w:r>
                        <w:r>
                          <w:rPr>
                            <w:rFonts w:ascii="Verdana"/>
                            <w:sz w:val="18"/>
                          </w:rPr>
                          <w:t>design</w:t>
                        </w:r>
                        <w:r>
                          <w:rPr>
                            <w:rFonts w:ascii="Verdana"/>
                            <w:spacing w:val="-5"/>
                            <w:sz w:val="18"/>
                          </w:rPr>
                          <w:t> </w:t>
                        </w:r>
                        <w:r>
                          <w:rPr>
                            <w:rFonts w:ascii="Verdana"/>
                            <w:sz w:val="18"/>
                          </w:rPr>
                          <w:t>or</w:t>
                        </w:r>
                        <w:r>
                          <w:rPr>
                            <w:rFonts w:ascii="Verdana"/>
                            <w:spacing w:val="-3"/>
                            <w:sz w:val="18"/>
                          </w:rPr>
                          <w:t> </w:t>
                        </w:r>
                        <w:r>
                          <w:rPr>
                            <w:rFonts w:ascii="Verdana"/>
                            <w:spacing w:val="-2"/>
                            <w:sz w:val="18"/>
                          </w:rPr>
                          <w:t>compliance.</w:t>
                        </w:r>
                      </w:p>
                      <w:p>
                        <w:pPr>
                          <w:spacing w:line="172" w:lineRule="exact" w:before="0"/>
                          <w:ind w:left="1680" w:right="0" w:firstLine="0"/>
                          <w:jc w:val="left"/>
                          <w:rPr>
                            <w:rFonts w:ascii="Verdana"/>
                            <w:sz w:val="18"/>
                          </w:rPr>
                        </w:pPr>
                        <w:r>
                          <w:rPr>
                            <w:rFonts w:ascii="Verdana"/>
                            <w:b/>
                            <w:color w:val="001F5F"/>
                            <w:sz w:val="18"/>
                          </w:rPr>
                          <w:t>Low</w:t>
                        </w:r>
                        <w:r>
                          <w:rPr>
                            <w:rFonts w:ascii="Verdana"/>
                            <w:b/>
                            <w:color w:val="001F5F"/>
                            <w:spacing w:val="15"/>
                            <w:sz w:val="18"/>
                          </w:rPr>
                          <w:t> </w:t>
                        </w:r>
                        <w:r>
                          <w:rPr>
                            <w:rFonts w:ascii="Verdana"/>
                            <w:b/>
                            <w:color w:val="001F5F"/>
                            <w:sz w:val="18"/>
                          </w:rPr>
                          <w:t>to</w:t>
                        </w:r>
                        <w:r>
                          <w:rPr>
                            <w:rFonts w:ascii="Verdana"/>
                            <w:b/>
                            <w:color w:val="001F5F"/>
                            <w:spacing w:val="16"/>
                            <w:sz w:val="18"/>
                          </w:rPr>
                          <w:t> </w:t>
                        </w:r>
                        <w:r>
                          <w:rPr>
                            <w:rFonts w:ascii="Verdana"/>
                            <w:b/>
                            <w:color w:val="001F5F"/>
                            <w:sz w:val="18"/>
                          </w:rPr>
                          <w:t>moderate</w:t>
                        </w:r>
                        <w:r>
                          <w:rPr>
                            <w:rFonts w:ascii="Verdana"/>
                            <w:b/>
                            <w:color w:val="001F5F"/>
                            <w:spacing w:val="16"/>
                            <w:sz w:val="18"/>
                          </w:rPr>
                          <w:t> </w:t>
                        </w:r>
                        <w:r>
                          <w:rPr>
                            <w:rFonts w:ascii="Verdana"/>
                            <w:b/>
                            <w:color w:val="001F5F"/>
                            <w:sz w:val="18"/>
                          </w:rPr>
                          <w:t>impact</w:t>
                        </w:r>
                        <w:r>
                          <w:rPr>
                            <w:rFonts w:ascii="Verdana"/>
                            <w:b/>
                            <w:color w:val="001F5F"/>
                            <w:spacing w:val="16"/>
                            <w:sz w:val="18"/>
                          </w:rPr>
                          <w:t> </w:t>
                        </w:r>
                        <w:r>
                          <w:rPr>
                            <w:rFonts w:ascii="Verdana"/>
                            <w:sz w:val="18"/>
                          </w:rPr>
                          <w:t>on</w:t>
                        </w:r>
                        <w:r>
                          <w:rPr>
                            <w:rFonts w:ascii="Verdana"/>
                            <w:spacing w:val="17"/>
                            <w:sz w:val="18"/>
                          </w:rPr>
                          <w:t> </w:t>
                        </w:r>
                        <w:r>
                          <w:rPr>
                            <w:rFonts w:ascii="Verdana"/>
                            <w:sz w:val="18"/>
                          </w:rPr>
                          <w:t>residual</w:t>
                        </w:r>
                        <w:r>
                          <w:rPr>
                            <w:rFonts w:ascii="Verdana"/>
                            <w:spacing w:val="16"/>
                            <w:sz w:val="18"/>
                          </w:rPr>
                          <w:t> </w:t>
                        </w:r>
                        <w:r>
                          <w:rPr>
                            <w:rFonts w:ascii="Verdana"/>
                            <w:spacing w:val="-4"/>
                            <w:sz w:val="18"/>
                          </w:rPr>
                          <w:t>risk</w:t>
                        </w:r>
                      </w:p>
                      <w:p>
                        <w:pPr>
                          <w:spacing w:before="0"/>
                          <w:ind w:left="1680" w:right="0" w:firstLine="0"/>
                          <w:jc w:val="left"/>
                          <w:rPr>
                            <w:rFonts w:ascii="Verdana"/>
                            <w:sz w:val="18"/>
                          </w:rPr>
                        </w:pPr>
                        <w:r>
                          <w:rPr>
                            <w:rFonts w:ascii="Verdana"/>
                            <w:sz w:val="18"/>
                          </w:rPr>
                          <w:t>exposure</w:t>
                        </w:r>
                        <w:r>
                          <w:rPr>
                            <w:rFonts w:ascii="Verdana"/>
                            <w:spacing w:val="-4"/>
                            <w:sz w:val="18"/>
                          </w:rPr>
                          <w:t> </w:t>
                        </w:r>
                        <w:r>
                          <w:rPr>
                            <w:rFonts w:ascii="Verdana"/>
                            <w:sz w:val="18"/>
                          </w:rPr>
                          <w:t>until</w:t>
                        </w:r>
                        <w:r>
                          <w:rPr>
                            <w:rFonts w:ascii="Verdana"/>
                            <w:spacing w:val="-1"/>
                            <w:sz w:val="18"/>
                          </w:rPr>
                          <w:t> </w:t>
                        </w:r>
                        <w:r>
                          <w:rPr>
                            <w:rFonts w:ascii="Verdana"/>
                            <w:spacing w:val="-2"/>
                            <w:sz w:val="18"/>
                          </w:rPr>
                          <w:t>resolved.</w:t>
                        </w:r>
                      </w:p>
                      <w:p>
                        <w:pPr>
                          <w:tabs>
                            <w:tab w:pos="2560" w:val="left" w:leader="none"/>
                            <w:tab w:pos="3914" w:val="left" w:leader="none"/>
                            <w:tab w:pos="5051" w:val="left" w:leader="none"/>
                          </w:tabs>
                          <w:spacing w:before="130"/>
                          <w:ind w:left="1680" w:right="0" w:firstLine="0"/>
                          <w:jc w:val="left"/>
                          <w:rPr>
                            <w:rFonts w:ascii="Verdana"/>
                            <w:sz w:val="18"/>
                          </w:rPr>
                        </w:pPr>
                        <w:r>
                          <w:rPr>
                            <w:rFonts w:ascii="Verdana"/>
                            <w:spacing w:val="-4"/>
                            <w:sz w:val="18"/>
                          </w:rPr>
                          <w:t>More</w:t>
                        </w:r>
                        <w:r>
                          <w:rPr>
                            <w:rFonts w:ascii="Verdana"/>
                            <w:sz w:val="18"/>
                          </w:rPr>
                          <w:tab/>
                        </w:r>
                        <w:r>
                          <w:rPr>
                            <w:rFonts w:ascii="Verdana"/>
                            <w:spacing w:val="-2"/>
                            <w:sz w:val="18"/>
                          </w:rPr>
                          <w:t>significant</w:t>
                        </w:r>
                        <w:r>
                          <w:rPr>
                            <w:rFonts w:ascii="Verdana"/>
                            <w:sz w:val="18"/>
                          </w:rPr>
                          <w:tab/>
                        </w:r>
                        <w:r>
                          <w:rPr>
                            <w:rFonts w:ascii="Verdana"/>
                            <w:spacing w:val="-2"/>
                            <w:sz w:val="18"/>
                          </w:rPr>
                          <w:t>matters</w:t>
                        </w:r>
                        <w:r>
                          <w:rPr>
                            <w:rFonts w:ascii="Verdana"/>
                            <w:sz w:val="18"/>
                          </w:rPr>
                          <w:tab/>
                        </w:r>
                        <w:r>
                          <w:rPr>
                            <w:rFonts w:ascii="Verdana"/>
                            <w:spacing w:val="-2"/>
                            <w:sz w:val="18"/>
                          </w:rPr>
                          <w:t>require</w:t>
                        </w:r>
                      </w:p>
                    </w:txbxContent>
                  </v:textbox>
                  <w10:wrap type="none"/>
                </v:shape>
                <v:shape style="position:absolute;left:2486;top:2575;width:858;height:243" type="#_x0000_t202" id="docshape469" filled="false" stroked="false">
                  <v:textbox inset="0,0,0,0">
                    <w:txbxContent>
                      <w:p>
                        <w:pPr>
                          <w:spacing w:line="242" w:lineRule="exact" w:before="0"/>
                          <w:ind w:left="0" w:right="0" w:firstLine="0"/>
                          <w:jc w:val="left"/>
                          <w:rPr>
                            <w:rFonts w:ascii="Verdana"/>
                            <w:b/>
                            <w:sz w:val="20"/>
                          </w:rPr>
                        </w:pPr>
                        <w:r>
                          <w:rPr>
                            <w:rFonts w:ascii="Verdana"/>
                            <w:b/>
                            <w:color w:val="001F5F"/>
                            <w:spacing w:val="-2"/>
                            <w:sz w:val="20"/>
                          </w:rPr>
                          <w:t>Limited</w:t>
                        </w:r>
                      </w:p>
                    </w:txbxContent>
                  </v:textbox>
                  <w10:wrap type="none"/>
                </v:shape>
                <v:shape style="position:absolute;left:3938;top:2446;width:2156;height:219" type="#_x0000_t202" id="docshape470" filled="false" stroked="false">
                  <v:textbox inset="0,0,0,0">
                    <w:txbxContent>
                      <w:p>
                        <w:pPr>
                          <w:spacing w:before="0"/>
                          <w:ind w:left="0" w:right="0" w:firstLine="0"/>
                          <w:jc w:val="left"/>
                          <w:rPr>
                            <w:rFonts w:ascii="Verdana"/>
                            <w:sz w:val="18"/>
                          </w:rPr>
                        </w:pPr>
                        <w:r>
                          <w:rPr>
                            <w:rFonts w:ascii="Verdana"/>
                            <w:sz w:val="18"/>
                          </w:rPr>
                          <w:t>management </w:t>
                        </w:r>
                        <w:r>
                          <w:rPr>
                            <w:rFonts w:ascii="Verdana"/>
                            <w:spacing w:val="-2"/>
                            <w:sz w:val="18"/>
                          </w:rPr>
                          <w:t>attention.</w:t>
                        </w:r>
                      </w:p>
                    </w:txbxContent>
                  </v:textbox>
                  <w10:wrap type="none"/>
                </v:shape>
                <v:shape style="position:absolute;left:2093;top:3641;width:1647;height:243" type="#_x0000_t202" id="docshape471" filled="false" stroked="false">
                  <v:textbox inset="0,0,0,0">
                    <w:txbxContent>
                      <w:p>
                        <w:pPr>
                          <w:spacing w:line="242" w:lineRule="exact" w:before="0"/>
                          <w:ind w:left="0" w:right="0" w:firstLine="0"/>
                          <w:jc w:val="left"/>
                          <w:rPr>
                            <w:rFonts w:ascii="Verdana"/>
                            <w:b/>
                            <w:sz w:val="20"/>
                          </w:rPr>
                        </w:pPr>
                        <w:r>
                          <w:rPr>
                            <w:rFonts w:ascii="Verdana"/>
                            <w:b/>
                            <w:color w:val="001F5F"/>
                            <w:spacing w:val="-2"/>
                            <w:sz w:val="20"/>
                          </w:rPr>
                          <w:t>Unsatisfactory</w:t>
                        </w:r>
                      </w:p>
                    </w:txbxContent>
                  </v:textbox>
                  <w10:wrap type="none"/>
                </v:shape>
                <v:shape style="position:absolute;left:2417;top:5036;width:997;height:243" type="#_x0000_t202" id="docshape472" filled="false" stroked="false">
                  <v:textbox inset="0,0,0,0">
                    <w:txbxContent>
                      <w:p>
                        <w:pPr>
                          <w:spacing w:line="242" w:lineRule="exact" w:before="0"/>
                          <w:ind w:left="0" w:right="0" w:firstLine="0"/>
                          <w:jc w:val="left"/>
                          <w:rPr>
                            <w:rFonts w:ascii="Verdana"/>
                            <w:b/>
                            <w:sz w:val="20"/>
                          </w:rPr>
                        </w:pPr>
                        <w:r>
                          <w:rPr>
                            <w:rFonts w:ascii="Verdana"/>
                            <w:b/>
                            <w:color w:val="001F5F"/>
                            <w:spacing w:val="-2"/>
                            <w:sz w:val="20"/>
                          </w:rPr>
                          <w:t>Advisory</w:t>
                        </w:r>
                      </w:p>
                    </w:txbxContent>
                  </v:textbox>
                  <w10:wrap type="none"/>
                </v:shape>
                <v:shape style="position:absolute;left:3938;top:2727;width:4040;height:3224" type="#_x0000_t202" id="docshape473" filled="false" stroked="false">
                  <v:textbox inset="0,0,0,0">
                    <w:txbxContent>
                      <w:p>
                        <w:pPr>
                          <w:spacing w:before="0"/>
                          <w:ind w:left="0" w:right="18" w:firstLine="0"/>
                          <w:jc w:val="both"/>
                          <w:rPr>
                            <w:rFonts w:ascii="Verdana"/>
                            <w:sz w:val="18"/>
                          </w:rPr>
                        </w:pPr>
                        <w:r>
                          <w:rPr>
                            <w:rFonts w:ascii="Verdana"/>
                            <w:b/>
                            <w:color w:val="001F5F"/>
                            <w:sz w:val="18"/>
                          </w:rPr>
                          <w:t>Moderate</w:t>
                        </w:r>
                        <w:r>
                          <w:rPr>
                            <w:rFonts w:ascii="Verdana"/>
                            <w:b/>
                            <w:color w:val="001F5F"/>
                            <w:spacing w:val="-11"/>
                            <w:sz w:val="18"/>
                          </w:rPr>
                          <w:t> </w:t>
                        </w:r>
                        <w:r>
                          <w:rPr>
                            <w:rFonts w:ascii="Verdana"/>
                            <w:b/>
                            <w:color w:val="001F5F"/>
                            <w:sz w:val="18"/>
                          </w:rPr>
                          <w:t>impact</w:t>
                        </w:r>
                        <w:r>
                          <w:rPr>
                            <w:rFonts w:ascii="Verdana"/>
                            <w:b/>
                            <w:color w:val="001F5F"/>
                            <w:spacing w:val="-9"/>
                            <w:sz w:val="18"/>
                          </w:rPr>
                          <w:t> </w:t>
                        </w:r>
                        <w:r>
                          <w:rPr>
                            <w:rFonts w:ascii="Verdana"/>
                            <w:sz w:val="18"/>
                          </w:rPr>
                          <w:t>on</w:t>
                        </w:r>
                        <w:r>
                          <w:rPr>
                            <w:rFonts w:ascii="Verdana"/>
                            <w:spacing w:val="-12"/>
                            <w:sz w:val="18"/>
                          </w:rPr>
                          <w:t> </w:t>
                        </w:r>
                        <w:r>
                          <w:rPr>
                            <w:rFonts w:ascii="Verdana"/>
                            <w:sz w:val="18"/>
                          </w:rPr>
                          <w:t>residual</w:t>
                        </w:r>
                        <w:r>
                          <w:rPr>
                            <w:rFonts w:ascii="Verdana"/>
                            <w:spacing w:val="-13"/>
                            <w:sz w:val="18"/>
                          </w:rPr>
                          <w:t> </w:t>
                        </w:r>
                        <w:r>
                          <w:rPr>
                            <w:rFonts w:ascii="Verdana"/>
                            <w:sz w:val="18"/>
                          </w:rPr>
                          <w:t>risk</w:t>
                        </w:r>
                        <w:r>
                          <w:rPr>
                            <w:rFonts w:ascii="Verdana"/>
                            <w:spacing w:val="-12"/>
                            <w:sz w:val="18"/>
                          </w:rPr>
                          <w:t> </w:t>
                        </w:r>
                        <w:r>
                          <w:rPr>
                            <w:rFonts w:ascii="Verdana"/>
                            <w:sz w:val="18"/>
                          </w:rPr>
                          <w:t>exposure until resolved.</w:t>
                        </w:r>
                      </w:p>
                      <w:p>
                        <w:pPr>
                          <w:spacing w:before="129"/>
                          <w:ind w:left="0" w:right="21" w:firstLine="0"/>
                          <w:jc w:val="both"/>
                          <w:rPr>
                            <w:rFonts w:ascii="Verdana"/>
                            <w:sz w:val="18"/>
                          </w:rPr>
                        </w:pPr>
                        <w:r>
                          <w:rPr>
                            <w:rFonts w:ascii="Verdana"/>
                            <w:sz w:val="18"/>
                          </w:rPr>
                          <w:t>Action is required to address the whole control framework in this area.</w:t>
                        </w:r>
                      </w:p>
                      <w:p>
                        <w:pPr>
                          <w:spacing w:line="242" w:lineRule="auto" w:before="59"/>
                          <w:ind w:left="0" w:right="18" w:firstLine="0"/>
                          <w:jc w:val="both"/>
                          <w:rPr>
                            <w:rFonts w:ascii="Verdana"/>
                            <w:sz w:val="18"/>
                          </w:rPr>
                        </w:pPr>
                        <w:r>
                          <w:rPr>
                            <w:rFonts w:ascii="Verdana"/>
                            <w:b/>
                            <w:color w:val="001F5F"/>
                            <w:sz w:val="18"/>
                          </w:rPr>
                          <w:t>High</w:t>
                        </w:r>
                        <w:r>
                          <w:rPr>
                            <w:rFonts w:ascii="Verdana"/>
                            <w:b/>
                            <w:color w:val="001F5F"/>
                            <w:spacing w:val="-6"/>
                            <w:sz w:val="18"/>
                          </w:rPr>
                          <w:t> </w:t>
                        </w:r>
                        <w:r>
                          <w:rPr>
                            <w:rFonts w:ascii="Verdana"/>
                            <w:b/>
                            <w:color w:val="001F5F"/>
                            <w:sz w:val="18"/>
                          </w:rPr>
                          <w:t>impact</w:t>
                        </w:r>
                        <w:r>
                          <w:rPr>
                            <w:rFonts w:ascii="Verdana"/>
                            <w:b/>
                            <w:color w:val="001F5F"/>
                            <w:spacing w:val="-4"/>
                            <w:sz w:val="18"/>
                          </w:rPr>
                          <w:t> </w:t>
                        </w:r>
                        <w:r>
                          <w:rPr>
                            <w:rFonts w:ascii="Verdana"/>
                            <w:sz w:val="18"/>
                          </w:rPr>
                          <w:t>on</w:t>
                        </w:r>
                        <w:r>
                          <w:rPr>
                            <w:rFonts w:ascii="Verdana"/>
                            <w:spacing w:val="-6"/>
                            <w:sz w:val="18"/>
                          </w:rPr>
                          <w:t> </w:t>
                        </w:r>
                        <w:r>
                          <w:rPr>
                            <w:rFonts w:ascii="Verdana"/>
                            <w:sz w:val="18"/>
                          </w:rPr>
                          <w:t>residual</w:t>
                        </w:r>
                        <w:r>
                          <w:rPr>
                            <w:rFonts w:ascii="Verdana"/>
                            <w:spacing w:val="-7"/>
                            <w:sz w:val="18"/>
                          </w:rPr>
                          <w:t> </w:t>
                        </w:r>
                        <w:r>
                          <w:rPr>
                            <w:rFonts w:ascii="Verdana"/>
                            <w:sz w:val="18"/>
                          </w:rPr>
                          <w:t>risk</w:t>
                        </w:r>
                        <w:r>
                          <w:rPr>
                            <w:rFonts w:ascii="Verdana"/>
                            <w:spacing w:val="-6"/>
                            <w:sz w:val="18"/>
                          </w:rPr>
                          <w:t> </w:t>
                        </w:r>
                        <w:r>
                          <w:rPr>
                            <w:rFonts w:ascii="Verdana"/>
                            <w:sz w:val="18"/>
                          </w:rPr>
                          <w:t>exposure</w:t>
                        </w:r>
                        <w:r>
                          <w:rPr>
                            <w:rFonts w:ascii="Verdana"/>
                            <w:spacing w:val="-7"/>
                            <w:sz w:val="18"/>
                          </w:rPr>
                          <w:t> </w:t>
                        </w:r>
                        <w:r>
                          <w:rPr>
                            <w:rFonts w:ascii="Verdana"/>
                            <w:sz w:val="18"/>
                          </w:rPr>
                          <w:t>until </w:t>
                        </w:r>
                        <w:r>
                          <w:rPr>
                            <w:rFonts w:ascii="Verdana"/>
                            <w:spacing w:val="-2"/>
                            <w:sz w:val="18"/>
                          </w:rPr>
                          <w:t>resolved.</w:t>
                        </w:r>
                      </w:p>
                      <w:p>
                        <w:pPr>
                          <w:spacing w:before="127"/>
                          <w:ind w:left="0" w:right="20" w:firstLine="0"/>
                          <w:jc w:val="both"/>
                          <w:rPr>
                            <w:rFonts w:ascii="Verdana"/>
                            <w:sz w:val="18"/>
                          </w:rPr>
                        </w:pPr>
                        <w:r>
                          <w:rPr>
                            <w:rFonts w:ascii="Verdana"/>
                            <w:sz w:val="18"/>
                          </w:rPr>
                          <w:t>Given to reviews and support provided to management</w:t>
                        </w:r>
                        <w:r>
                          <w:rPr>
                            <w:rFonts w:ascii="Verdana"/>
                            <w:spacing w:val="-9"/>
                            <w:sz w:val="18"/>
                          </w:rPr>
                          <w:t> </w:t>
                        </w:r>
                        <w:r>
                          <w:rPr>
                            <w:rFonts w:ascii="Verdana"/>
                            <w:sz w:val="18"/>
                          </w:rPr>
                          <w:t>which</w:t>
                        </w:r>
                        <w:r>
                          <w:rPr>
                            <w:rFonts w:ascii="Verdana"/>
                            <w:spacing w:val="-9"/>
                            <w:sz w:val="18"/>
                          </w:rPr>
                          <w:t> </w:t>
                        </w:r>
                        <w:r>
                          <w:rPr>
                            <w:rFonts w:ascii="Verdana"/>
                            <w:sz w:val="18"/>
                          </w:rPr>
                          <w:t>form</w:t>
                        </w:r>
                        <w:r>
                          <w:rPr>
                            <w:rFonts w:ascii="Verdana"/>
                            <w:spacing w:val="-12"/>
                            <w:sz w:val="18"/>
                          </w:rPr>
                          <w:t> </w:t>
                        </w:r>
                        <w:r>
                          <w:rPr>
                            <w:rFonts w:ascii="Verdana"/>
                            <w:sz w:val="18"/>
                          </w:rPr>
                          <w:t>part</w:t>
                        </w:r>
                        <w:r>
                          <w:rPr>
                            <w:rFonts w:ascii="Verdana"/>
                            <w:spacing w:val="-9"/>
                            <w:sz w:val="18"/>
                          </w:rPr>
                          <w:t> </w:t>
                        </w:r>
                        <w:r>
                          <w:rPr>
                            <w:rFonts w:ascii="Verdana"/>
                            <w:sz w:val="18"/>
                          </w:rPr>
                          <w:t>of</w:t>
                        </w:r>
                        <w:r>
                          <w:rPr>
                            <w:rFonts w:ascii="Verdana"/>
                            <w:spacing w:val="-11"/>
                            <w:sz w:val="18"/>
                          </w:rPr>
                          <w:t> </w:t>
                        </w:r>
                        <w:r>
                          <w:rPr>
                            <w:rFonts w:ascii="Verdana"/>
                            <w:sz w:val="18"/>
                          </w:rPr>
                          <w:t>the</w:t>
                        </w:r>
                        <w:r>
                          <w:rPr>
                            <w:rFonts w:ascii="Verdana"/>
                            <w:spacing w:val="-9"/>
                            <w:sz w:val="18"/>
                          </w:rPr>
                          <w:t> </w:t>
                        </w:r>
                        <w:r>
                          <w:rPr>
                            <w:rFonts w:ascii="Verdana"/>
                            <w:sz w:val="18"/>
                          </w:rPr>
                          <w:t>internal audit plan, to which the assurance definitions are not appropriate.</w:t>
                        </w:r>
                      </w:p>
                      <w:p>
                        <w:pPr>
                          <w:spacing w:line="240" w:lineRule="auto" w:before="59"/>
                          <w:ind w:left="0" w:right="20" w:firstLine="0"/>
                          <w:jc w:val="both"/>
                          <w:rPr>
                            <w:rFonts w:ascii="Verdana"/>
                            <w:sz w:val="18"/>
                          </w:rPr>
                        </w:pPr>
                        <w:r>
                          <w:rPr>
                            <w:rFonts w:ascii="Verdana"/>
                            <w:sz w:val="18"/>
                          </w:rPr>
                          <w:t>These reviews are still relevant to the evidence base upon which the overall opinion is formed.</w:t>
                        </w:r>
                      </w:p>
                    </w:txbxContent>
                  </v:textbox>
                  <w10:wrap type="none"/>
                </v:shape>
                <w10:wrap type="topAndBottom"/>
              </v:group>
            </w:pict>
          </mc:Fallback>
        </mc:AlternateContent>
      </w:r>
      <w:r>
        <w:rPr>
          <w:rFonts w:ascii="Verdana"/>
          <w:sz w:val="7"/>
        </w:rPr>
        <mc:AlternateContent>
          <mc:Choice Requires="wps">
            <w:drawing>
              <wp:anchor distT="0" distB="0" distL="0" distR="0" allowOverlap="1" layoutInCell="1" locked="0" behindDoc="1" simplePos="0" relativeHeight="487730176">
                <wp:simplePos x="0" y="0"/>
                <wp:positionH relativeFrom="page">
                  <wp:posOffset>5491607</wp:posOffset>
                </wp:positionH>
                <wp:positionV relativeFrom="paragraph">
                  <wp:posOffset>75430</wp:posOffset>
                </wp:positionV>
                <wp:extent cx="4881245" cy="3769995"/>
                <wp:effectExtent l="0" t="0" r="0" b="0"/>
                <wp:wrapTopAndBottom/>
                <wp:docPr id="712" name="Group 712"/>
                <wp:cNvGraphicFramePr>
                  <a:graphicFrameLocks/>
                </wp:cNvGraphicFramePr>
                <a:graphic>
                  <a:graphicData uri="http://schemas.microsoft.com/office/word/2010/wordprocessingGroup">
                    <wpg:wgp>
                      <wpg:cNvPr id="712" name="Group 712"/>
                      <wpg:cNvGrpSpPr/>
                      <wpg:grpSpPr>
                        <a:xfrm>
                          <a:off x="0" y="0"/>
                          <a:ext cx="4881245" cy="3769995"/>
                          <a:chExt cx="4881245" cy="3769995"/>
                        </a:xfrm>
                      </wpg:grpSpPr>
                      <wps:wsp>
                        <wps:cNvPr id="713" name="Graphic 713"/>
                        <wps:cNvSpPr/>
                        <wps:spPr>
                          <a:xfrm>
                            <a:off x="0" y="28955"/>
                            <a:ext cx="4881245" cy="3713479"/>
                          </a:xfrm>
                          <a:custGeom>
                            <a:avLst/>
                            <a:gdLst/>
                            <a:ahLst/>
                            <a:cxnLst/>
                            <a:rect l="l" t="t" r="r" b="b"/>
                            <a:pathLst>
                              <a:path w="4881245" h="3713479">
                                <a:moveTo>
                                  <a:pt x="4880737" y="0"/>
                                </a:moveTo>
                                <a:lnTo>
                                  <a:pt x="0" y="0"/>
                                </a:lnTo>
                                <a:lnTo>
                                  <a:pt x="0" y="3713099"/>
                                </a:lnTo>
                                <a:lnTo>
                                  <a:pt x="4880737" y="3713099"/>
                                </a:lnTo>
                                <a:lnTo>
                                  <a:pt x="4880737" y="0"/>
                                </a:lnTo>
                                <a:close/>
                              </a:path>
                            </a:pathLst>
                          </a:custGeom>
                          <a:solidFill>
                            <a:srgbClr val="FFFFFF"/>
                          </a:solidFill>
                        </wps:spPr>
                        <wps:bodyPr wrap="square" lIns="0" tIns="0" rIns="0" bIns="0" rtlCol="0">
                          <a:prstTxWarp prst="textNoShape">
                            <a:avLst/>
                          </a:prstTxWarp>
                          <a:noAutofit/>
                        </wps:bodyPr>
                      </wps:wsp>
                      <wps:wsp>
                        <wps:cNvPr id="714" name="Graphic 714"/>
                        <wps:cNvSpPr/>
                        <wps:spPr>
                          <a:xfrm>
                            <a:off x="0" y="0"/>
                            <a:ext cx="4881245" cy="27940"/>
                          </a:xfrm>
                          <a:custGeom>
                            <a:avLst/>
                            <a:gdLst/>
                            <a:ahLst/>
                            <a:cxnLst/>
                            <a:rect l="l" t="t" r="r" b="b"/>
                            <a:pathLst>
                              <a:path w="4881245" h="27940">
                                <a:moveTo>
                                  <a:pt x="4880737" y="0"/>
                                </a:moveTo>
                                <a:lnTo>
                                  <a:pt x="0" y="0"/>
                                </a:lnTo>
                                <a:lnTo>
                                  <a:pt x="0" y="27432"/>
                                </a:lnTo>
                                <a:lnTo>
                                  <a:pt x="4880737" y="27432"/>
                                </a:lnTo>
                                <a:lnTo>
                                  <a:pt x="4880737" y="0"/>
                                </a:lnTo>
                                <a:close/>
                              </a:path>
                            </a:pathLst>
                          </a:custGeom>
                          <a:solidFill>
                            <a:srgbClr val="001F5F"/>
                          </a:solidFill>
                        </wps:spPr>
                        <wps:bodyPr wrap="square" lIns="0" tIns="0" rIns="0" bIns="0" rtlCol="0">
                          <a:prstTxWarp prst="textNoShape">
                            <a:avLst/>
                          </a:prstTxWarp>
                          <a:noAutofit/>
                        </wps:bodyPr>
                      </wps:wsp>
                      <wps:wsp>
                        <wps:cNvPr id="715" name="Graphic 715"/>
                        <wps:cNvSpPr/>
                        <wps:spPr>
                          <a:xfrm>
                            <a:off x="0" y="27431"/>
                            <a:ext cx="4881245" cy="3742054"/>
                          </a:xfrm>
                          <a:custGeom>
                            <a:avLst/>
                            <a:gdLst/>
                            <a:ahLst/>
                            <a:cxnLst/>
                            <a:rect l="l" t="t" r="r" b="b"/>
                            <a:pathLst>
                              <a:path w="4881245" h="3742054">
                                <a:moveTo>
                                  <a:pt x="4860925" y="3714623"/>
                                </a:moveTo>
                                <a:lnTo>
                                  <a:pt x="0" y="3714623"/>
                                </a:lnTo>
                                <a:lnTo>
                                  <a:pt x="0" y="3742055"/>
                                </a:lnTo>
                                <a:lnTo>
                                  <a:pt x="4860925" y="3742055"/>
                                </a:lnTo>
                                <a:lnTo>
                                  <a:pt x="4860925" y="3714623"/>
                                </a:lnTo>
                                <a:close/>
                              </a:path>
                              <a:path w="4881245" h="3742054">
                                <a:moveTo>
                                  <a:pt x="4880737" y="0"/>
                                </a:moveTo>
                                <a:lnTo>
                                  <a:pt x="0" y="0"/>
                                </a:lnTo>
                                <a:lnTo>
                                  <a:pt x="0" y="1524"/>
                                </a:lnTo>
                                <a:lnTo>
                                  <a:pt x="4880737" y="1524"/>
                                </a:lnTo>
                                <a:lnTo>
                                  <a:pt x="4880737" y="0"/>
                                </a:lnTo>
                                <a:close/>
                              </a:path>
                            </a:pathLst>
                          </a:custGeom>
                          <a:solidFill>
                            <a:srgbClr val="FFFFFF"/>
                          </a:solidFill>
                        </wps:spPr>
                        <wps:bodyPr wrap="square" lIns="0" tIns="0" rIns="0" bIns="0" rtlCol="0">
                          <a:prstTxWarp prst="textNoShape">
                            <a:avLst/>
                          </a:prstTxWarp>
                          <a:noAutofit/>
                        </wps:bodyPr>
                      </wps:wsp>
                      <wps:wsp>
                        <wps:cNvPr id="716" name="Textbox 716"/>
                        <wps:cNvSpPr txBox="1"/>
                        <wps:spPr>
                          <a:xfrm>
                            <a:off x="0" y="27432"/>
                            <a:ext cx="4881245" cy="3742054"/>
                          </a:xfrm>
                          <a:prstGeom prst="rect">
                            <a:avLst/>
                          </a:prstGeom>
                        </wps:spPr>
                        <wps:txbx>
                          <w:txbxContent>
                            <w:p>
                              <w:pPr>
                                <w:spacing w:before="121"/>
                                <w:ind w:left="107" w:right="113" w:firstLine="0"/>
                                <w:jc w:val="both"/>
                                <w:rPr>
                                  <w:rFonts w:ascii="Verdana"/>
                                  <w:sz w:val="18"/>
                                </w:rPr>
                              </w:pPr>
                              <w:r>
                                <w:rPr>
                                  <w:rFonts w:ascii="Verdana"/>
                                  <w:sz w:val="18"/>
                                </w:rPr>
                                <w:t>This audit report has been prepared for internal use only. Audit and Assurance Services reports are prepared, in accordance with the agreed audit brief, and the Audit Charter as approved by the Audit Committee.</w:t>
                              </w:r>
                            </w:p>
                            <w:p>
                              <w:pPr>
                                <w:spacing w:line="240" w:lineRule="auto" w:before="119"/>
                                <w:ind w:left="107" w:right="104" w:firstLine="0"/>
                                <w:jc w:val="both"/>
                                <w:rPr>
                                  <w:rFonts w:ascii="Verdana"/>
                                  <w:sz w:val="18"/>
                                </w:rPr>
                              </w:pPr>
                              <w:r>
                                <w:rPr>
                                  <w:rFonts w:ascii="Verdana"/>
                                  <w:sz w:val="18"/>
                                </w:rPr>
                                <w:t>Audit reports are prepared by the staff of the NHS Wales Audit and Assurance Services and addressed to Independent Members or officers including those designated</w:t>
                              </w:r>
                              <w:r>
                                <w:rPr>
                                  <w:rFonts w:ascii="Verdana"/>
                                  <w:spacing w:val="-13"/>
                                  <w:sz w:val="18"/>
                                </w:rPr>
                                <w:t> </w:t>
                              </w:r>
                              <w:r>
                                <w:rPr>
                                  <w:rFonts w:ascii="Verdana"/>
                                  <w:sz w:val="18"/>
                                </w:rPr>
                                <w:t>as</w:t>
                              </w:r>
                              <w:r>
                                <w:rPr>
                                  <w:rFonts w:ascii="Verdana"/>
                                  <w:spacing w:val="-14"/>
                                  <w:sz w:val="18"/>
                                </w:rPr>
                                <w:t> </w:t>
                              </w:r>
                              <w:r>
                                <w:rPr>
                                  <w:rFonts w:ascii="Verdana"/>
                                  <w:sz w:val="18"/>
                                </w:rPr>
                                <w:t>Accountable</w:t>
                              </w:r>
                              <w:r>
                                <w:rPr>
                                  <w:rFonts w:ascii="Verdana"/>
                                  <w:spacing w:val="-16"/>
                                  <w:sz w:val="18"/>
                                </w:rPr>
                                <w:t> </w:t>
                              </w:r>
                              <w:r>
                                <w:rPr>
                                  <w:rFonts w:ascii="Verdana"/>
                                  <w:sz w:val="18"/>
                                </w:rPr>
                                <w:t>Officer.</w:t>
                              </w:r>
                              <w:r>
                                <w:rPr>
                                  <w:rFonts w:ascii="Verdana"/>
                                  <w:spacing w:val="-13"/>
                                  <w:sz w:val="18"/>
                                </w:rPr>
                                <w:t> </w:t>
                              </w:r>
                              <w:r>
                                <w:rPr>
                                  <w:rFonts w:ascii="Verdana"/>
                                  <w:sz w:val="18"/>
                                </w:rPr>
                                <w:t>They</w:t>
                              </w:r>
                              <w:r>
                                <w:rPr>
                                  <w:rFonts w:ascii="Verdana"/>
                                  <w:spacing w:val="-15"/>
                                  <w:sz w:val="18"/>
                                </w:rPr>
                                <w:t> </w:t>
                              </w:r>
                              <w:r>
                                <w:rPr>
                                  <w:rFonts w:ascii="Verdana"/>
                                  <w:sz w:val="18"/>
                                </w:rPr>
                                <w:t>are</w:t>
                              </w:r>
                              <w:r>
                                <w:rPr>
                                  <w:rFonts w:ascii="Verdana"/>
                                  <w:spacing w:val="-13"/>
                                  <w:sz w:val="18"/>
                                </w:rPr>
                                <w:t> </w:t>
                              </w:r>
                              <w:r>
                                <w:rPr>
                                  <w:rFonts w:ascii="Verdana"/>
                                  <w:sz w:val="18"/>
                                </w:rPr>
                                <w:t>prepared</w:t>
                              </w:r>
                              <w:r>
                                <w:rPr>
                                  <w:rFonts w:ascii="Verdana"/>
                                  <w:spacing w:val="-15"/>
                                  <w:sz w:val="18"/>
                                </w:rPr>
                                <w:t> </w:t>
                              </w:r>
                              <w:r>
                                <w:rPr>
                                  <w:rFonts w:ascii="Verdana"/>
                                  <w:sz w:val="18"/>
                                </w:rPr>
                                <w:t>for</w:t>
                              </w:r>
                              <w:r>
                                <w:rPr>
                                  <w:rFonts w:ascii="Verdana"/>
                                  <w:spacing w:val="-14"/>
                                  <w:sz w:val="18"/>
                                </w:rPr>
                                <w:t> </w:t>
                              </w:r>
                              <w:r>
                                <w:rPr>
                                  <w:rFonts w:ascii="Verdana"/>
                                  <w:sz w:val="18"/>
                                </w:rPr>
                                <w:t>the</w:t>
                              </w:r>
                              <w:r>
                                <w:rPr>
                                  <w:rFonts w:ascii="Verdana"/>
                                  <w:spacing w:val="-13"/>
                                  <w:sz w:val="18"/>
                                </w:rPr>
                                <w:t> </w:t>
                              </w:r>
                              <w:r>
                                <w:rPr>
                                  <w:rFonts w:ascii="Verdana"/>
                                  <w:sz w:val="18"/>
                                </w:rPr>
                                <w:t>sole</w:t>
                              </w:r>
                              <w:r>
                                <w:rPr>
                                  <w:rFonts w:ascii="Verdana"/>
                                  <w:spacing w:val="-16"/>
                                  <w:sz w:val="18"/>
                                </w:rPr>
                                <w:t> </w:t>
                              </w:r>
                              <w:r>
                                <w:rPr>
                                  <w:rFonts w:ascii="Verdana"/>
                                  <w:sz w:val="18"/>
                                </w:rPr>
                                <w:t>use</w:t>
                              </w:r>
                              <w:r>
                                <w:rPr>
                                  <w:rFonts w:ascii="Verdana"/>
                                  <w:spacing w:val="-15"/>
                                  <w:sz w:val="18"/>
                                </w:rPr>
                                <w:t> </w:t>
                              </w:r>
                              <w:r>
                                <w:rPr>
                                  <w:rFonts w:ascii="Verdana"/>
                                  <w:sz w:val="18"/>
                                </w:rPr>
                                <w:t>of</w:t>
                              </w:r>
                              <w:r>
                                <w:rPr>
                                  <w:rFonts w:ascii="Verdana"/>
                                  <w:spacing w:val="-8"/>
                                  <w:sz w:val="18"/>
                                </w:rPr>
                                <w:t> </w:t>
                              </w:r>
                              <w:r>
                                <w:rPr>
                                  <w:rFonts w:ascii="Verdana"/>
                                  <w:sz w:val="18"/>
                                </w:rPr>
                                <w:t>Hywel</w:t>
                              </w:r>
                              <w:r>
                                <w:rPr>
                                  <w:rFonts w:ascii="Verdana"/>
                                  <w:spacing w:val="-13"/>
                                  <w:sz w:val="18"/>
                                </w:rPr>
                                <w:t> </w:t>
                              </w:r>
                              <w:r>
                                <w:rPr>
                                  <w:rFonts w:ascii="Verdana"/>
                                  <w:sz w:val="18"/>
                                </w:rPr>
                                <w:t>Dda and Swansea Bay University Health Boards and no responsibility is taken by the Audit and Assurance Services Internal Auditors to any director or officer in their individual capacity, or to any third party.</w:t>
                              </w:r>
                            </w:p>
                            <w:p>
                              <w:pPr>
                                <w:spacing w:line="240" w:lineRule="auto" w:before="121"/>
                                <w:ind w:left="107" w:right="113" w:firstLine="0"/>
                                <w:jc w:val="both"/>
                                <w:rPr>
                                  <w:rFonts w:ascii="Verdana"/>
                                  <w:sz w:val="18"/>
                                </w:rPr>
                              </w:pPr>
                              <w:r>
                                <w:rPr>
                                  <w:rFonts w:ascii="Verdana"/>
                                  <w:sz w:val="18"/>
                                </w:rPr>
                                <w:t>The report is based on the review work undertaken and is not necessarily a complete</w:t>
                              </w:r>
                              <w:r>
                                <w:rPr>
                                  <w:rFonts w:ascii="Verdana"/>
                                  <w:spacing w:val="-15"/>
                                  <w:sz w:val="18"/>
                                </w:rPr>
                                <w:t> </w:t>
                              </w:r>
                              <w:r>
                                <w:rPr>
                                  <w:rFonts w:ascii="Verdana"/>
                                  <w:sz w:val="18"/>
                                </w:rPr>
                                <w:t>statement</w:t>
                              </w:r>
                              <w:r>
                                <w:rPr>
                                  <w:rFonts w:ascii="Verdana"/>
                                  <w:spacing w:val="-14"/>
                                  <w:sz w:val="18"/>
                                </w:rPr>
                                <w:t> </w:t>
                              </w:r>
                              <w:r>
                                <w:rPr>
                                  <w:rFonts w:ascii="Verdana"/>
                                  <w:sz w:val="18"/>
                                </w:rPr>
                                <w:t>of</w:t>
                              </w:r>
                              <w:r>
                                <w:rPr>
                                  <w:rFonts w:ascii="Verdana"/>
                                  <w:spacing w:val="-16"/>
                                  <w:sz w:val="18"/>
                                </w:rPr>
                                <w:t> </w:t>
                              </w:r>
                              <w:r>
                                <w:rPr>
                                  <w:rFonts w:ascii="Verdana"/>
                                  <w:sz w:val="18"/>
                                </w:rPr>
                                <w:t>all</w:t>
                              </w:r>
                              <w:r>
                                <w:rPr>
                                  <w:rFonts w:ascii="Verdana"/>
                                  <w:spacing w:val="-16"/>
                                  <w:sz w:val="18"/>
                                </w:rPr>
                                <w:t> </w:t>
                              </w:r>
                              <w:r>
                                <w:rPr>
                                  <w:rFonts w:ascii="Verdana"/>
                                  <w:sz w:val="18"/>
                                </w:rPr>
                                <w:t>weaknesses</w:t>
                              </w:r>
                              <w:r>
                                <w:rPr>
                                  <w:rFonts w:ascii="Verdana"/>
                                  <w:spacing w:val="-15"/>
                                  <w:sz w:val="18"/>
                                </w:rPr>
                                <w:t> </w:t>
                              </w:r>
                              <w:r>
                                <w:rPr>
                                  <w:rFonts w:ascii="Verdana"/>
                                  <w:sz w:val="18"/>
                                </w:rPr>
                                <w:t>that</w:t>
                              </w:r>
                              <w:r>
                                <w:rPr>
                                  <w:rFonts w:ascii="Verdana"/>
                                  <w:spacing w:val="-14"/>
                                  <w:sz w:val="18"/>
                                </w:rPr>
                                <w:t> </w:t>
                              </w:r>
                              <w:r>
                                <w:rPr>
                                  <w:rFonts w:ascii="Verdana"/>
                                  <w:sz w:val="18"/>
                                </w:rPr>
                                <w:t>exist</w:t>
                              </w:r>
                              <w:r>
                                <w:rPr>
                                  <w:rFonts w:ascii="Verdana"/>
                                  <w:spacing w:val="-14"/>
                                  <w:sz w:val="18"/>
                                </w:rPr>
                                <w:t> </w:t>
                              </w:r>
                              <w:r>
                                <w:rPr>
                                  <w:rFonts w:ascii="Verdana"/>
                                  <w:sz w:val="18"/>
                                </w:rPr>
                                <w:t>or</w:t>
                              </w:r>
                              <w:r>
                                <w:rPr>
                                  <w:rFonts w:ascii="Verdana"/>
                                  <w:spacing w:val="-15"/>
                                  <w:sz w:val="18"/>
                                </w:rPr>
                                <w:t> </w:t>
                              </w:r>
                              <w:r>
                                <w:rPr>
                                  <w:rFonts w:ascii="Verdana"/>
                                  <w:sz w:val="18"/>
                                </w:rPr>
                                <w:t>potential</w:t>
                              </w:r>
                              <w:r>
                                <w:rPr>
                                  <w:rFonts w:ascii="Verdana"/>
                                  <w:spacing w:val="-14"/>
                                  <w:sz w:val="18"/>
                                </w:rPr>
                                <w:t> </w:t>
                              </w:r>
                              <w:r>
                                <w:rPr>
                                  <w:rFonts w:ascii="Verdana"/>
                                  <w:sz w:val="18"/>
                                </w:rPr>
                                <w:t>improvements.</w:t>
                              </w:r>
                              <w:r>
                                <w:rPr>
                                  <w:rFonts w:ascii="Verdana"/>
                                  <w:spacing w:val="34"/>
                                  <w:sz w:val="18"/>
                                </w:rPr>
                                <w:t> </w:t>
                              </w:r>
                              <w:r>
                                <w:rPr>
                                  <w:rFonts w:ascii="Verdana"/>
                                  <w:sz w:val="18"/>
                                </w:rPr>
                                <w:t>Whilst every</w:t>
                              </w:r>
                              <w:r>
                                <w:rPr>
                                  <w:rFonts w:ascii="Verdana"/>
                                  <w:spacing w:val="-7"/>
                                  <w:sz w:val="18"/>
                                </w:rPr>
                                <w:t> </w:t>
                              </w:r>
                              <w:r>
                                <w:rPr>
                                  <w:rFonts w:ascii="Verdana"/>
                                  <w:sz w:val="18"/>
                                </w:rPr>
                                <w:t>care</w:t>
                              </w:r>
                              <w:r>
                                <w:rPr>
                                  <w:rFonts w:ascii="Verdana"/>
                                  <w:spacing w:val="-5"/>
                                  <w:sz w:val="18"/>
                                </w:rPr>
                                <w:t> </w:t>
                              </w:r>
                              <w:r>
                                <w:rPr>
                                  <w:rFonts w:ascii="Verdana"/>
                                  <w:sz w:val="18"/>
                                </w:rPr>
                                <w:t>has</w:t>
                              </w:r>
                              <w:r>
                                <w:rPr>
                                  <w:rFonts w:ascii="Verdana"/>
                                  <w:spacing w:val="-6"/>
                                  <w:sz w:val="18"/>
                                </w:rPr>
                                <w:t> </w:t>
                              </w:r>
                              <w:r>
                                <w:rPr>
                                  <w:rFonts w:ascii="Verdana"/>
                                  <w:sz w:val="18"/>
                                </w:rPr>
                                <w:t>been</w:t>
                              </w:r>
                              <w:r>
                                <w:rPr>
                                  <w:rFonts w:ascii="Verdana"/>
                                  <w:spacing w:val="-5"/>
                                  <w:sz w:val="18"/>
                                </w:rPr>
                                <w:t> </w:t>
                              </w:r>
                              <w:r>
                                <w:rPr>
                                  <w:rFonts w:ascii="Verdana"/>
                                  <w:sz w:val="18"/>
                                </w:rPr>
                                <w:t>taken</w:t>
                              </w:r>
                              <w:r>
                                <w:rPr>
                                  <w:rFonts w:ascii="Verdana"/>
                                  <w:spacing w:val="-7"/>
                                  <w:sz w:val="18"/>
                                </w:rPr>
                                <w:t> </w:t>
                              </w:r>
                              <w:r>
                                <w:rPr>
                                  <w:rFonts w:ascii="Verdana"/>
                                  <w:sz w:val="18"/>
                                </w:rPr>
                                <w:t>to</w:t>
                              </w:r>
                              <w:r>
                                <w:rPr>
                                  <w:rFonts w:ascii="Verdana"/>
                                  <w:spacing w:val="-5"/>
                                  <w:sz w:val="18"/>
                                </w:rPr>
                                <w:t> </w:t>
                              </w:r>
                              <w:r>
                                <w:rPr>
                                  <w:rFonts w:ascii="Verdana"/>
                                  <w:sz w:val="18"/>
                                </w:rPr>
                                <w:t>ensure</w:t>
                              </w:r>
                              <w:r>
                                <w:rPr>
                                  <w:rFonts w:ascii="Verdana"/>
                                  <w:spacing w:val="-5"/>
                                  <w:sz w:val="18"/>
                                </w:rPr>
                                <w:t> </w:t>
                              </w:r>
                              <w:r>
                                <w:rPr>
                                  <w:rFonts w:ascii="Verdana"/>
                                  <w:sz w:val="18"/>
                                </w:rPr>
                                <w:t>that</w:t>
                              </w:r>
                              <w:r>
                                <w:rPr>
                                  <w:rFonts w:ascii="Verdana"/>
                                  <w:spacing w:val="-5"/>
                                  <w:sz w:val="18"/>
                                </w:rPr>
                                <w:t> </w:t>
                              </w:r>
                              <w:r>
                                <w:rPr>
                                  <w:rFonts w:ascii="Verdana"/>
                                  <w:sz w:val="18"/>
                                </w:rPr>
                                <w:t>the</w:t>
                              </w:r>
                              <w:r>
                                <w:rPr>
                                  <w:rFonts w:ascii="Verdana"/>
                                  <w:spacing w:val="-5"/>
                                  <w:sz w:val="18"/>
                                </w:rPr>
                                <w:t> </w:t>
                              </w:r>
                              <w:r>
                                <w:rPr>
                                  <w:rFonts w:ascii="Verdana"/>
                                  <w:sz w:val="18"/>
                                </w:rPr>
                                <w:t>information</w:t>
                              </w:r>
                              <w:r>
                                <w:rPr>
                                  <w:rFonts w:ascii="Verdana"/>
                                  <w:spacing w:val="-5"/>
                                  <w:sz w:val="18"/>
                                </w:rPr>
                                <w:t> </w:t>
                              </w:r>
                              <w:r>
                                <w:rPr>
                                  <w:rFonts w:ascii="Verdana"/>
                                  <w:sz w:val="18"/>
                                </w:rPr>
                                <w:t>provided</w:t>
                              </w:r>
                              <w:r>
                                <w:rPr>
                                  <w:rFonts w:ascii="Verdana"/>
                                  <w:spacing w:val="-5"/>
                                  <w:sz w:val="18"/>
                                </w:rPr>
                                <w:t> </w:t>
                              </w:r>
                              <w:r>
                                <w:rPr>
                                  <w:rFonts w:ascii="Verdana"/>
                                  <w:sz w:val="18"/>
                                </w:rPr>
                                <w:t>in</w:t>
                              </w:r>
                              <w:r>
                                <w:rPr>
                                  <w:rFonts w:ascii="Verdana"/>
                                  <w:spacing w:val="-5"/>
                                  <w:sz w:val="18"/>
                                </w:rPr>
                                <w:t> </w:t>
                              </w:r>
                              <w:r>
                                <w:rPr>
                                  <w:rFonts w:ascii="Verdana"/>
                                  <w:sz w:val="18"/>
                                </w:rPr>
                                <w:t>this</w:t>
                              </w:r>
                              <w:r>
                                <w:rPr>
                                  <w:rFonts w:ascii="Verdana"/>
                                  <w:spacing w:val="-6"/>
                                  <w:sz w:val="18"/>
                                </w:rPr>
                                <w:t> </w:t>
                              </w:r>
                              <w:r>
                                <w:rPr>
                                  <w:rFonts w:ascii="Verdana"/>
                                  <w:sz w:val="18"/>
                                </w:rPr>
                                <w:t>report</w:t>
                              </w:r>
                              <w:r>
                                <w:rPr>
                                  <w:rFonts w:ascii="Verdana"/>
                                  <w:spacing w:val="-7"/>
                                  <w:sz w:val="18"/>
                                </w:rPr>
                                <w:t> </w:t>
                              </w:r>
                              <w:r>
                                <w:rPr>
                                  <w:rFonts w:ascii="Verdana"/>
                                  <w:sz w:val="18"/>
                                </w:rPr>
                                <w:t>is as accurate as possible, no complete guarantee or warranty can be given with regard to the advice and information contained.</w:t>
                              </w:r>
                            </w:p>
                            <w:p>
                              <w:pPr>
                                <w:spacing w:line="240" w:lineRule="auto" w:before="120"/>
                                <w:ind w:left="107" w:right="109" w:firstLine="0"/>
                                <w:jc w:val="both"/>
                                <w:rPr>
                                  <w:rFonts w:ascii="Verdana"/>
                                  <w:sz w:val="18"/>
                                </w:rPr>
                              </w:pPr>
                              <w:r>
                                <w:rPr>
                                  <w:rFonts w:ascii="Verdana"/>
                                  <w:sz w:val="18"/>
                                </w:rPr>
                                <w:t>Our work does not provide absolute assurance that material errors, loss or fraud do not exist. Responsibility for a sound system of internal controls and the prevention and detection of fraud and other irregularities rests with management of Hywel Dda and Swansea Bay University Health Boards.</w:t>
                              </w:r>
                              <w:r>
                                <w:rPr>
                                  <w:rFonts w:ascii="Verdana"/>
                                  <w:spacing w:val="40"/>
                                  <w:sz w:val="18"/>
                                </w:rPr>
                                <w:t> </w:t>
                              </w:r>
                              <w:r>
                                <w:rPr>
                                  <w:rFonts w:ascii="Verdana"/>
                                  <w:sz w:val="18"/>
                                </w:rPr>
                                <w:t>Work performed by internal</w:t>
                              </w:r>
                              <w:r>
                                <w:rPr>
                                  <w:rFonts w:ascii="Verdana"/>
                                  <w:spacing w:val="-6"/>
                                  <w:sz w:val="18"/>
                                </w:rPr>
                                <w:t> </w:t>
                              </w:r>
                              <w:r>
                                <w:rPr>
                                  <w:rFonts w:ascii="Verdana"/>
                                  <w:sz w:val="18"/>
                                </w:rPr>
                                <w:t>audit</w:t>
                              </w:r>
                              <w:r>
                                <w:rPr>
                                  <w:rFonts w:ascii="Verdana"/>
                                  <w:spacing w:val="-6"/>
                                  <w:sz w:val="18"/>
                                </w:rPr>
                                <w:t> </w:t>
                              </w:r>
                              <w:r>
                                <w:rPr>
                                  <w:rFonts w:ascii="Verdana"/>
                                  <w:sz w:val="18"/>
                                </w:rPr>
                                <w:t>should</w:t>
                              </w:r>
                              <w:r>
                                <w:rPr>
                                  <w:rFonts w:ascii="Verdana"/>
                                  <w:spacing w:val="-6"/>
                                  <w:sz w:val="18"/>
                                </w:rPr>
                                <w:t> </w:t>
                              </w:r>
                              <w:r>
                                <w:rPr>
                                  <w:rFonts w:ascii="Verdana"/>
                                  <w:sz w:val="18"/>
                                </w:rPr>
                                <w:t>not</w:t>
                              </w:r>
                              <w:r>
                                <w:rPr>
                                  <w:rFonts w:ascii="Verdana"/>
                                  <w:spacing w:val="-6"/>
                                  <w:sz w:val="18"/>
                                </w:rPr>
                                <w:t> </w:t>
                              </w:r>
                              <w:r>
                                <w:rPr>
                                  <w:rFonts w:ascii="Verdana"/>
                                  <w:sz w:val="18"/>
                                </w:rPr>
                                <w:t>be</w:t>
                              </w:r>
                              <w:r>
                                <w:rPr>
                                  <w:rFonts w:ascii="Verdana"/>
                                  <w:spacing w:val="-6"/>
                                  <w:sz w:val="18"/>
                                </w:rPr>
                                <w:t> </w:t>
                              </w:r>
                              <w:r>
                                <w:rPr>
                                  <w:rFonts w:ascii="Verdana"/>
                                  <w:sz w:val="18"/>
                                </w:rPr>
                                <w:t>relied</w:t>
                              </w:r>
                              <w:r>
                                <w:rPr>
                                  <w:rFonts w:ascii="Verdana"/>
                                  <w:spacing w:val="-9"/>
                                  <w:sz w:val="18"/>
                                </w:rPr>
                                <w:t> </w:t>
                              </w:r>
                              <w:r>
                                <w:rPr>
                                  <w:rFonts w:ascii="Verdana"/>
                                  <w:sz w:val="18"/>
                                </w:rPr>
                                <w:t>upon</w:t>
                              </w:r>
                              <w:r>
                                <w:rPr>
                                  <w:rFonts w:ascii="Verdana"/>
                                  <w:spacing w:val="-6"/>
                                  <w:sz w:val="18"/>
                                </w:rPr>
                                <w:t> </w:t>
                              </w:r>
                              <w:r>
                                <w:rPr>
                                  <w:rFonts w:ascii="Verdana"/>
                                  <w:sz w:val="18"/>
                                </w:rPr>
                                <w:t>to</w:t>
                              </w:r>
                              <w:r>
                                <w:rPr>
                                  <w:rFonts w:ascii="Verdana"/>
                                  <w:spacing w:val="-6"/>
                                  <w:sz w:val="18"/>
                                </w:rPr>
                                <w:t> </w:t>
                              </w:r>
                              <w:r>
                                <w:rPr>
                                  <w:rFonts w:ascii="Verdana"/>
                                  <w:sz w:val="18"/>
                                </w:rPr>
                                <w:t>identify</w:t>
                              </w:r>
                              <w:r>
                                <w:rPr>
                                  <w:rFonts w:ascii="Verdana"/>
                                  <w:spacing w:val="-8"/>
                                  <w:sz w:val="18"/>
                                </w:rPr>
                                <w:t> </w:t>
                              </w:r>
                              <w:r>
                                <w:rPr>
                                  <w:rFonts w:ascii="Verdana"/>
                                  <w:sz w:val="18"/>
                                </w:rPr>
                                <w:t>all</w:t>
                              </w:r>
                              <w:r>
                                <w:rPr>
                                  <w:rFonts w:ascii="Verdana"/>
                                  <w:spacing w:val="-8"/>
                                  <w:sz w:val="18"/>
                                </w:rPr>
                                <w:t> </w:t>
                              </w:r>
                              <w:r>
                                <w:rPr>
                                  <w:rFonts w:ascii="Verdana"/>
                                  <w:sz w:val="18"/>
                                </w:rPr>
                                <w:t>strengths</w:t>
                              </w:r>
                              <w:r>
                                <w:rPr>
                                  <w:rFonts w:ascii="Verdana"/>
                                  <w:spacing w:val="-7"/>
                                  <w:sz w:val="18"/>
                                </w:rPr>
                                <w:t> </w:t>
                              </w:r>
                              <w:r>
                                <w:rPr>
                                  <w:rFonts w:ascii="Verdana"/>
                                  <w:sz w:val="18"/>
                                </w:rPr>
                                <w:t>and</w:t>
                              </w:r>
                              <w:r>
                                <w:rPr>
                                  <w:rFonts w:ascii="Verdana"/>
                                  <w:spacing w:val="-6"/>
                                  <w:sz w:val="18"/>
                                </w:rPr>
                                <w:t> </w:t>
                              </w:r>
                              <w:r>
                                <w:rPr>
                                  <w:rFonts w:ascii="Verdana"/>
                                  <w:sz w:val="18"/>
                                </w:rPr>
                                <w:t>weaknesses</w:t>
                              </w:r>
                              <w:r>
                                <w:rPr>
                                  <w:rFonts w:ascii="Verdana"/>
                                  <w:spacing w:val="-9"/>
                                  <w:sz w:val="18"/>
                                </w:rPr>
                                <w:t> </w:t>
                              </w:r>
                              <w:r>
                                <w:rPr>
                                  <w:rFonts w:ascii="Verdana"/>
                                  <w:sz w:val="18"/>
                                </w:rPr>
                                <w:t>in internal controls, or all circumstances of fraud or irregularity. Effective and timely implementation of recommendations is important for the development and maintenance of a reliable internal control system.</w:t>
                              </w:r>
                            </w:p>
                          </w:txbxContent>
                        </wps:txbx>
                        <wps:bodyPr wrap="square" lIns="0" tIns="0" rIns="0" bIns="0" rtlCol="0">
                          <a:noAutofit/>
                        </wps:bodyPr>
                      </wps:wsp>
                    </wpg:wgp>
                  </a:graphicData>
                </a:graphic>
              </wp:anchor>
            </w:drawing>
          </mc:Choice>
          <mc:Fallback>
            <w:pict>
              <v:group style="position:absolute;margin-left:432.410004pt;margin-top:5.939375pt;width:384.35pt;height:296.850pt;mso-position-horizontal-relative:page;mso-position-vertical-relative:paragraph;z-index:-15586304;mso-wrap-distance-left:0;mso-wrap-distance-right:0" id="docshapegroup474" coordorigin="8648,119" coordsize="7687,5937">
                <v:rect style="position:absolute;left:8648;top:164;width:7687;height:5848" id="docshape475" filled="true" fillcolor="#ffffff" stroked="false">
                  <v:fill type="solid"/>
                </v:rect>
                <v:rect style="position:absolute;left:8648;top:118;width:7687;height:44" id="docshape476" filled="true" fillcolor="#001f5f" stroked="false">
                  <v:fill type="solid"/>
                </v:rect>
                <v:shape style="position:absolute;left:8648;top:161;width:7687;height:5893" id="docshape477" coordorigin="8648,162" coordsize="7687,5893" path="m16303,6012l8648,6012,8648,6055,16303,6055,16303,6012xm16334,162l8648,162,8648,164,16334,164,16334,162xe" filled="true" fillcolor="#ffffff" stroked="false">
                  <v:path arrowok="t"/>
                  <v:fill type="solid"/>
                </v:shape>
                <v:shape style="position:absolute;left:8648;top:161;width:7687;height:5893" type="#_x0000_t202" id="docshape478" filled="false" stroked="false">
                  <v:textbox inset="0,0,0,0">
                    <w:txbxContent>
                      <w:p>
                        <w:pPr>
                          <w:spacing w:before="121"/>
                          <w:ind w:left="107" w:right="113" w:firstLine="0"/>
                          <w:jc w:val="both"/>
                          <w:rPr>
                            <w:rFonts w:ascii="Verdana"/>
                            <w:sz w:val="18"/>
                          </w:rPr>
                        </w:pPr>
                        <w:r>
                          <w:rPr>
                            <w:rFonts w:ascii="Verdana"/>
                            <w:sz w:val="18"/>
                          </w:rPr>
                          <w:t>This audit report has been prepared for internal use only. Audit and Assurance Services reports are prepared, in accordance with the agreed audit brief, and the Audit Charter as approved by the Audit Committee.</w:t>
                        </w:r>
                      </w:p>
                      <w:p>
                        <w:pPr>
                          <w:spacing w:line="240" w:lineRule="auto" w:before="119"/>
                          <w:ind w:left="107" w:right="104" w:firstLine="0"/>
                          <w:jc w:val="both"/>
                          <w:rPr>
                            <w:rFonts w:ascii="Verdana"/>
                            <w:sz w:val="18"/>
                          </w:rPr>
                        </w:pPr>
                        <w:r>
                          <w:rPr>
                            <w:rFonts w:ascii="Verdana"/>
                            <w:sz w:val="18"/>
                          </w:rPr>
                          <w:t>Audit reports are prepared by the staff of the NHS Wales Audit and Assurance Services and addressed to Independent Members or officers including those designated</w:t>
                        </w:r>
                        <w:r>
                          <w:rPr>
                            <w:rFonts w:ascii="Verdana"/>
                            <w:spacing w:val="-13"/>
                            <w:sz w:val="18"/>
                          </w:rPr>
                          <w:t> </w:t>
                        </w:r>
                        <w:r>
                          <w:rPr>
                            <w:rFonts w:ascii="Verdana"/>
                            <w:sz w:val="18"/>
                          </w:rPr>
                          <w:t>as</w:t>
                        </w:r>
                        <w:r>
                          <w:rPr>
                            <w:rFonts w:ascii="Verdana"/>
                            <w:spacing w:val="-14"/>
                            <w:sz w:val="18"/>
                          </w:rPr>
                          <w:t> </w:t>
                        </w:r>
                        <w:r>
                          <w:rPr>
                            <w:rFonts w:ascii="Verdana"/>
                            <w:sz w:val="18"/>
                          </w:rPr>
                          <w:t>Accountable</w:t>
                        </w:r>
                        <w:r>
                          <w:rPr>
                            <w:rFonts w:ascii="Verdana"/>
                            <w:spacing w:val="-16"/>
                            <w:sz w:val="18"/>
                          </w:rPr>
                          <w:t> </w:t>
                        </w:r>
                        <w:r>
                          <w:rPr>
                            <w:rFonts w:ascii="Verdana"/>
                            <w:sz w:val="18"/>
                          </w:rPr>
                          <w:t>Officer.</w:t>
                        </w:r>
                        <w:r>
                          <w:rPr>
                            <w:rFonts w:ascii="Verdana"/>
                            <w:spacing w:val="-13"/>
                            <w:sz w:val="18"/>
                          </w:rPr>
                          <w:t> </w:t>
                        </w:r>
                        <w:r>
                          <w:rPr>
                            <w:rFonts w:ascii="Verdana"/>
                            <w:sz w:val="18"/>
                          </w:rPr>
                          <w:t>They</w:t>
                        </w:r>
                        <w:r>
                          <w:rPr>
                            <w:rFonts w:ascii="Verdana"/>
                            <w:spacing w:val="-15"/>
                            <w:sz w:val="18"/>
                          </w:rPr>
                          <w:t> </w:t>
                        </w:r>
                        <w:r>
                          <w:rPr>
                            <w:rFonts w:ascii="Verdana"/>
                            <w:sz w:val="18"/>
                          </w:rPr>
                          <w:t>are</w:t>
                        </w:r>
                        <w:r>
                          <w:rPr>
                            <w:rFonts w:ascii="Verdana"/>
                            <w:spacing w:val="-13"/>
                            <w:sz w:val="18"/>
                          </w:rPr>
                          <w:t> </w:t>
                        </w:r>
                        <w:r>
                          <w:rPr>
                            <w:rFonts w:ascii="Verdana"/>
                            <w:sz w:val="18"/>
                          </w:rPr>
                          <w:t>prepared</w:t>
                        </w:r>
                        <w:r>
                          <w:rPr>
                            <w:rFonts w:ascii="Verdana"/>
                            <w:spacing w:val="-15"/>
                            <w:sz w:val="18"/>
                          </w:rPr>
                          <w:t> </w:t>
                        </w:r>
                        <w:r>
                          <w:rPr>
                            <w:rFonts w:ascii="Verdana"/>
                            <w:sz w:val="18"/>
                          </w:rPr>
                          <w:t>for</w:t>
                        </w:r>
                        <w:r>
                          <w:rPr>
                            <w:rFonts w:ascii="Verdana"/>
                            <w:spacing w:val="-14"/>
                            <w:sz w:val="18"/>
                          </w:rPr>
                          <w:t> </w:t>
                        </w:r>
                        <w:r>
                          <w:rPr>
                            <w:rFonts w:ascii="Verdana"/>
                            <w:sz w:val="18"/>
                          </w:rPr>
                          <w:t>the</w:t>
                        </w:r>
                        <w:r>
                          <w:rPr>
                            <w:rFonts w:ascii="Verdana"/>
                            <w:spacing w:val="-13"/>
                            <w:sz w:val="18"/>
                          </w:rPr>
                          <w:t> </w:t>
                        </w:r>
                        <w:r>
                          <w:rPr>
                            <w:rFonts w:ascii="Verdana"/>
                            <w:sz w:val="18"/>
                          </w:rPr>
                          <w:t>sole</w:t>
                        </w:r>
                        <w:r>
                          <w:rPr>
                            <w:rFonts w:ascii="Verdana"/>
                            <w:spacing w:val="-16"/>
                            <w:sz w:val="18"/>
                          </w:rPr>
                          <w:t> </w:t>
                        </w:r>
                        <w:r>
                          <w:rPr>
                            <w:rFonts w:ascii="Verdana"/>
                            <w:sz w:val="18"/>
                          </w:rPr>
                          <w:t>use</w:t>
                        </w:r>
                        <w:r>
                          <w:rPr>
                            <w:rFonts w:ascii="Verdana"/>
                            <w:spacing w:val="-15"/>
                            <w:sz w:val="18"/>
                          </w:rPr>
                          <w:t> </w:t>
                        </w:r>
                        <w:r>
                          <w:rPr>
                            <w:rFonts w:ascii="Verdana"/>
                            <w:sz w:val="18"/>
                          </w:rPr>
                          <w:t>of</w:t>
                        </w:r>
                        <w:r>
                          <w:rPr>
                            <w:rFonts w:ascii="Verdana"/>
                            <w:spacing w:val="-8"/>
                            <w:sz w:val="18"/>
                          </w:rPr>
                          <w:t> </w:t>
                        </w:r>
                        <w:r>
                          <w:rPr>
                            <w:rFonts w:ascii="Verdana"/>
                            <w:sz w:val="18"/>
                          </w:rPr>
                          <w:t>Hywel</w:t>
                        </w:r>
                        <w:r>
                          <w:rPr>
                            <w:rFonts w:ascii="Verdana"/>
                            <w:spacing w:val="-13"/>
                            <w:sz w:val="18"/>
                          </w:rPr>
                          <w:t> </w:t>
                        </w:r>
                        <w:r>
                          <w:rPr>
                            <w:rFonts w:ascii="Verdana"/>
                            <w:sz w:val="18"/>
                          </w:rPr>
                          <w:t>Dda and Swansea Bay University Health Boards and no responsibility is taken by the Audit and Assurance Services Internal Auditors to any director or officer in their individual capacity, or to any third party.</w:t>
                        </w:r>
                      </w:p>
                      <w:p>
                        <w:pPr>
                          <w:spacing w:line="240" w:lineRule="auto" w:before="121"/>
                          <w:ind w:left="107" w:right="113" w:firstLine="0"/>
                          <w:jc w:val="both"/>
                          <w:rPr>
                            <w:rFonts w:ascii="Verdana"/>
                            <w:sz w:val="18"/>
                          </w:rPr>
                        </w:pPr>
                        <w:r>
                          <w:rPr>
                            <w:rFonts w:ascii="Verdana"/>
                            <w:sz w:val="18"/>
                          </w:rPr>
                          <w:t>The report is based on the review work undertaken and is not necessarily a complete</w:t>
                        </w:r>
                        <w:r>
                          <w:rPr>
                            <w:rFonts w:ascii="Verdana"/>
                            <w:spacing w:val="-15"/>
                            <w:sz w:val="18"/>
                          </w:rPr>
                          <w:t> </w:t>
                        </w:r>
                        <w:r>
                          <w:rPr>
                            <w:rFonts w:ascii="Verdana"/>
                            <w:sz w:val="18"/>
                          </w:rPr>
                          <w:t>statement</w:t>
                        </w:r>
                        <w:r>
                          <w:rPr>
                            <w:rFonts w:ascii="Verdana"/>
                            <w:spacing w:val="-14"/>
                            <w:sz w:val="18"/>
                          </w:rPr>
                          <w:t> </w:t>
                        </w:r>
                        <w:r>
                          <w:rPr>
                            <w:rFonts w:ascii="Verdana"/>
                            <w:sz w:val="18"/>
                          </w:rPr>
                          <w:t>of</w:t>
                        </w:r>
                        <w:r>
                          <w:rPr>
                            <w:rFonts w:ascii="Verdana"/>
                            <w:spacing w:val="-16"/>
                            <w:sz w:val="18"/>
                          </w:rPr>
                          <w:t> </w:t>
                        </w:r>
                        <w:r>
                          <w:rPr>
                            <w:rFonts w:ascii="Verdana"/>
                            <w:sz w:val="18"/>
                          </w:rPr>
                          <w:t>all</w:t>
                        </w:r>
                        <w:r>
                          <w:rPr>
                            <w:rFonts w:ascii="Verdana"/>
                            <w:spacing w:val="-16"/>
                            <w:sz w:val="18"/>
                          </w:rPr>
                          <w:t> </w:t>
                        </w:r>
                        <w:r>
                          <w:rPr>
                            <w:rFonts w:ascii="Verdana"/>
                            <w:sz w:val="18"/>
                          </w:rPr>
                          <w:t>weaknesses</w:t>
                        </w:r>
                        <w:r>
                          <w:rPr>
                            <w:rFonts w:ascii="Verdana"/>
                            <w:spacing w:val="-15"/>
                            <w:sz w:val="18"/>
                          </w:rPr>
                          <w:t> </w:t>
                        </w:r>
                        <w:r>
                          <w:rPr>
                            <w:rFonts w:ascii="Verdana"/>
                            <w:sz w:val="18"/>
                          </w:rPr>
                          <w:t>that</w:t>
                        </w:r>
                        <w:r>
                          <w:rPr>
                            <w:rFonts w:ascii="Verdana"/>
                            <w:spacing w:val="-14"/>
                            <w:sz w:val="18"/>
                          </w:rPr>
                          <w:t> </w:t>
                        </w:r>
                        <w:r>
                          <w:rPr>
                            <w:rFonts w:ascii="Verdana"/>
                            <w:sz w:val="18"/>
                          </w:rPr>
                          <w:t>exist</w:t>
                        </w:r>
                        <w:r>
                          <w:rPr>
                            <w:rFonts w:ascii="Verdana"/>
                            <w:spacing w:val="-14"/>
                            <w:sz w:val="18"/>
                          </w:rPr>
                          <w:t> </w:t>
                        </w:r>
                        <w:r>
                          <w:rPr>
                            <w:rFonts w:ascii="Verdana"/>
                            <w:sz w:val="18"/>
                          </w:rPr>
                          <w:t>or</w:t>
                        </w:r>
                        <w:r>
                          <w:rPr>
                            <w:rFonts w:ascii="Verdana"/>
                            <w:spacing w:val="-15"/>
                            <w:sz w:val="18"/>
                          </w:rPr>
                          <w:t> </w:t>
                        </w:r>
                        <w:r>
                          <w:rPr>
                            <w:rFonts w:ascii="Verdana"/>
                            <w:sz w:val="18"/>
                          </w:rPr>
                          <w:t>potential</w:t>
                        </w:r>
                        <w:r>
                          <w:rPr>
                            <w:rFonts w:ascii="Verdana"/>
                            <w:spacing w:val="-14"/>
                            <w:sz w:val="18"/>
                          </w:rPr>
                          <w:t> </w:t>
                        </w:r>
                        <w:r>
                          <w:rPr>
                            <w:rFonts w:ascii="Verdana"/>
                            <w:sz w:val="18"/>
                          </w:rPr>
                          <w:t>improvements.</w:t>
                        </w:r>
                        <w:r>
                          <w:rPr>
                            <w:rFonts w:ascii="Verdana"/>
                            <w:spacing w:val="34"/>
                            <w:sz w:val="18"/>
                          </w:rPr>
                          <w:t> </w:t>
                        </w:r>
                        <w:r>
                          <w:rPr>
                            <w:rFonts w:ascii="Verdana"/>
                            <w:sz w:val="18"/>
                          </w:rPr>
                          <w:t>Whilst every</w:t>
                        </w:r>
                        <w:r>
                          <w:rPr>
                            <w:rFonts w:ascii="Verdana"/>
                            <w:spacing w:val="-7"/>
                            <w:sz w:val="18"/>
                          </w:rPr>
                          <w:t> </w:t>
                        </w:r>
                        <w:r>
                          <w:rPr>
                            <w:rFonts w:ascii="Verdana"/>
                            <w:sz w:val="18"/>
                          </w:rPr>
                          <w:t>care</w:t>
                        </w:r>
                        <w:r>
                          <w:rPr>
                            <w:rFonts w:ascii="Verdana"/>
                            <w:spacing w:val="-5"/>
                            <w:sz w:val="18"/>
                          </w:rPr>
                          <w:t> </w:t>
                        </w:r>
                        <w:r>
                          <w:rPr>
                            <w:rFonts w:ascii="Verdana"/>
                            <w:sz w:val="18"/>
                          </w:rPr>
                          <w:t>has</w:t>
                        </w:r>
                        <w:r>
                          <w:rPr>
                            <w:rFonts w:ascii="Verdana"/>
                            <w:spacing w:val="-6"/>
                            <w:sz w:val="18"/>
                          </w:rPr>
                          <w:t> </w:t>
                        </w:r>
                        <w:r>
                          <w:rPr>
                            <w:rFonts w:ascii="Verdana"/>
                            <w:sz w:val="18"/>
                          </w:rPr>
                          <w:t>been</w:t>
                        </w:r>
                        <w:r>
                          <w:rPr>
                            <w:rFonts w:ascii="Verdana"/>
                            <w:spacing w:val="-5"/>
                            <w:sz w:val="18"/>
                          </w:rPr>
                          <w:t> </w:t>
                        </w:r>
                        <w:r>
                          <w:rPr>
                            <w:rFonts w:ascii="Verdana"/>
                            <w:sz w:val="18"/>
                          </w:rPr>
                          <w:t>taken</w:t>
                        </w:r>
                        <w:r>
                          <w:rPr>
                            <w:rFonts w:ascii="Verdana"/>
                            <w:spacing w:val="-7"/>
                            <w:sz w:val="18"/>
                          </w:rPr>
                          <w:t> </w:t>
                        </w:r>
                        <w:r>
                          <w:rPr>
                            <w:rFonts w:ascii="Verdana"/>
                            <w:sz w:val="18"/>
                          </w:rPr>
                          <w:t>to</w:t>
                        </w:r>
                        <w:r>
                          <w:rPr>
                            <w:rFonts w:ascii="Verdana"/>
                            <w:spacing w:val="-5"/>
                            <w:sz w:val="18"/>
                          </w:rPr>
                          <w:t> </w:t>
                        </w:r>
                        <w:r>
                          <w:rPr>
                            <w:rFonts w:ascii="Verdana"/>
                            <w:sz w:val="18"/>
                          </w:rPr>
                          <w:t>ensure</w:t>
                        </w:r>
                        <w:r>
                          <w:rPr>
                            <w:rFonts w:ascii="Verdana"/>
                            <w:spacing w:val="-5"/>
                            <w:sz w:val="18"/>
                          </w:rPr>
                          <w:t> </w:t>
                        </w:r>
                        <w:r>
                          <w:rPr>
                            <w:rFonts w:ascii="Verdana"/>
                            <w:sz w:val="18"/>
                          </w:rPr>
                          <w:t>that</w:t>
                        </w:r>
                        <w:r>
                          <w:rPr>
                            <w:rFonts w:ascii="Verdana"/>
                            <w:spacing w:val="-5"/>
                            <w:sz w:val="18"/>
                          </w:rPr>
                          <w:t> </w:t>
                        </w:r>
                        <w:r>
                          <w:rPr>
                            <w:rFonts w:ascii="Verdana"/>
                            <w:sz w:val="18"/>
                          </w:rPr>
                          <w:t>the</w:t>
                        </w:r>
                        <w:r>
                          <w:rPr>
                            <w:rFonts w:ascii="Verdana"/>
                            <w:spacing w:val="-5"/>
                            <w:sz w:val="18"/>
                          </w:rPr>
                          <w:t> </w:t>
                        </w:r>
                        <w:r>
                          <w:rPr>
                            <w:rFonts w:ascii="Verdana"/>
                            <w:sz w:val="18"/>
                          </w:rPr>
                          <w:t>information</w:t>
                        </w:r>
                        <w:r>
                          <w:rPr>
                            <w:rFonts w:ascii="Verdana"/>
                            <w:spacing w:val="-5"/>
                            <w:sz w:val="18"/>
                          </w:rPr>
                          <w:t> </w:t>
                        </w:r>
                        <w:r>
                          <w:rPr>
                            <w:rFonts w:ascii="Verdana"/>
                            <w:sz w:val="18"/>
                          </w:rPr>
                          <w:t>provided</w:t>
                        </w:r>
                        <w:r>
                          <w:rPr>
                            <w:rFonts w:ascii="Verdana"/>
                            <w:spacing w:val="-5"/>
                            <w:sz w:val="18"/>
                          </w:rPr>
                          <w:t> </w:t>
                        </w:r>
                        <w:r>
                          <w:rPr>
                            <w:rFonts w:ascii="Verdana"/>
                            <w:sz w:val="18"/>
                          </w:rPr>
                          <w:t>in</w:t>
                        </w:r>
                        <w:r>
                          <w:rPr>
                            <w:rFonts w:ascii="Verdana"/>
                            <w:spacing w:val="-5"/>
                            <w:sz w:val="18"/>
                          </w:rPr>
                          <w:t> </w:t>
                        </w:r>
                        <w:r>
                          <w:rPr>
                            <w:rFonts w:ascii="Verdana"/>
                            <w:sz w:val="18"/>
                          </w:rPr>
                          <w:t>this</w:t>
                        </w:r>
                        <w:r>
                          <w:rPr>
                            <w:rFonts w:ascii="Verdana"/>
                            <w:spacing w:val="-6"/>
                            <w:sz w:val="18"/>
                          </w:rPr>
                          <w:t> </w:t>
                        </w:r>
                        <w:r>
                          <w:rPr>
                            <w:rFonts w:ascii="Verdana"/>
                            <w:sz w:val="18"/>
                          </w:rPr>
                          <w:t>report</w:t>
                        </w:r>
                        <w:r>
                          <w:rPr>
                            <w:rFonts w:ascii="Verdana"/>
                            <w:spacing w:val="-7"/>
                            <w:sz w:val="18"/>
                          </w:rPr>
                          <w:t> </w:t>
                        </w:r>
                        <w:r>
                          <w:rPr>
                            <w:rFonts w:ascii="Verdana"/>
                            <w:sz w:val="18"/>
                          </w:rPr>
                          <w:t>is as accurate as possible, no complete guarantee or warranty can be given with regard to the advice and information contained.</w:t>
                        </w:r>
                      </w:p>
                      <w:p>
                        <w:pPr>
                          <w:spacing w:line="240" w:lineRule="auto" w:before="120"/>
                          <w:ind w:left="107" w:right="109" w:firstLine="0"/>
                          <w:jc w:val="both"/>
                          <w:rPr>
                            <w:rFonts w:ascii="Verdana"/>
                            <w:sz w:val="18"/>
                          </w:rPr>
                        </w:pPr>
                        <w:r>
                          <w:rPr>
                            <w:rFonts w:ascii="Verdana"/>
                            <w:sz w:val="18"/>
                          </w:rPr>
                          <w:t>Our work does not provide absolute assurance that material errors, loss or fraud do not exist. Responsibility for a sound system of internal controls and the prevention and detection of fraud and other irregularities rests with management of Hywel Dda and Swansea Bay University Health Boards.</w:t>
                        </w:r>
                        <w:r>
                          <w:rPr>
                            <w:rFonts w:ascii="Verdana"/>
                            <w:spacing w:val="40"/>
                            <w:sz w:val="18"/>
                          </w:rPr>
                          <w:t> </w:t>
                        </w:r>
                        <w:r>
                          <w:rPr>
                            <w:rFonts w:ascii="Verdana"/>
                            <w:sz w:val="18"/>
                          </w:rPr>
                          <w:t>Work performed by internal</w:t>
                        </w:r>
                        <w:r>
                          <w:rPr>
                            <w:rFonts w:ascii="Verdana"/>
                            <w:spacing w:val="-6"/>
                            <w:sz w:val="18"/>
                          </w:rPr>
                          <w:t> </w:t>
                        </w:r>
                        <w:r>
                          <w:rPr>
                            <w:rFonts w:ascii="Verdana"/>
                            <w:sz w:val="18"/>
                          </w:rPr>
                          <w:t>audit</w:t>
                        </w:r>
                        <w:r>
                          <w:rPr>
                            <w:rFonts w:ascii="Verdana"/>
                            <w:spacing w:val="-6"/>
                            <w:sz w:val="18"/>
                          </w:rPr>
                          <w:t> </w:t>
                        </w:r>
                        <w:r>
                          <w:rPr>
                            <w:rFonts w:ascii="Verdana"/>
                            <w:sz w:val="18"/>
                          </w:rPr>
                          <w:t>should</w:t>
                        </w:r>
                        <w:r>
                          <w:rPr>
                            <w:rFonts w:ascii="Verdana"/>
                            <w:spacing w:val="-6"/>
                            <w:sz w:val="18"/>
                          </w:rPr>
                          <w:t> </w:t>
                        </w:r>
                        <w:r>
                          <w:rPr>
                            <w:rFonts w:ascii="Verdana"/>
                            <w:sz w:val="18"/>
                          </w:rPr>
                          <w:t>not</w:t>
                        </w:r>
                        <w:r>
                          <w:rPr>
                            <w:rFonts w:ascii="Verdana"/>
                            <w:spacing w:val="-6"/>
                            <w:sz w:val="18"/>
                          </w:rPr>
                          <w:t> </w:t>
                        </w:r>
                        <w:r>
                          <w:rPr>
                            <w:rFonts w:ascii="Verdana"/>
                            <w:sz w:val="18"/>
                          </w:rPr>
                          <w:t>be</w:t>
                        </w:r>
                        <w:r>
                          <w:rPr>
                            <w:rFonts w:ascii="Verdana"/>
                            <w:spacing w:val="-6"/>
                            <w:sz w:val="18"/>
                          </w:rPr>
                          <w:t> </w:t>
                        </w:r>
                        <w:r>
                          <w:rPr>
                            <w:rFonts w:ascii="Verdana"/>
                            <w:sz w:val="18"/>
                          </w:rPr>
                          <w:t>relied</w:t>
                        </w:r>
                        <w:r>
                          <w:rPr>
                            <w:rFonts w:ascii="Verdana"/>
                            <w:spacing w:val="-9"/>
                            <w:sz w:val="18"/>
                          </w:rPr>
                          <w:t> </w:t>
                        </w:r>
                        <w:r>
                          <w:rPr>
                            <w:rFonts w:ascii="Verdana"/>
                            <w:sz w:val="18"/>
                          </w:rPr>
                          <w:t>upon</w:t>
                        </w:r>
                        <w:r>
                          <w:rPr>
                            <w:rFonts w:ascii="Verdana"/>
                            <w:spacing w:val="-6"/>
                            <w:sz w:val="18"/>
                          </w:rPr>
                          <w:t> </w:t>
                        </w:r>
                        <w:r>
                          <w:rPr>
                            <w:rFonts w:ascii="Verdana"/>
                            <w:sz w:val="18"/>
                          </w:rPr>
                          <w:t>to</w:t>
                        </w:r>
                        <w:r>
                          <w:rPr>
                            <w:rFonts w:ascii="Verdana"/>
                            <w:spacing w:val="-6"/>
                            <w:sz w:val="18"/>
                          </w:rPr>
                          <w:t> </w:t>
                        </w:r>
                        <w:r>
                          <w:rPr>
                            <w:rFonts w:ascii="Verdana"/>
                            <w:sz w:val="18"/>
                          </w:rPr>
                          <w:t>identify</w:t>
                        </w:r>
                        <w:r>
                          <w:rPr>
                            <w:rFonts w:ascii="Verdana"/>
                            <w:spacing w:val="-8"/>
                            <w:sz w:val="18"/>
                          </w:rPr>
                          <w:t> </w:t>
                        </w:r>
                        <w:r>
                          <w:rPr>
                            <w:rFonts w:ascii="Verdana"/>
                            <w:sz w:val="18"/>
                          </w:rPr>
                          <w:t>all</w:t>
                        </w:r>
                        <w:r>
                          <w:rPr>
                            <w:rFonts w:ascii="Verdana"/>
                            <w:spacing w:val="-8"/>
                            <w:sz w:val="18"/>
                          </w:rPr>
                          <w:t> </w:t>
                        </w:r>
                        <w:r>
                          <w:rPr>
                            <w:rFonts w:ascii="Verdana"/>
                            <w:sz w:val="18"/>
                          </w:rPr>
                          <w:t>strengths</w:t>
                        </w:r>
                        <w:r>
                          <w:rPr>
                            <w:rFonts w:ascii="Verdana"/>
                            <w:spacing w:val="-7"/>
                            <w:sz w:val="18"/>
                          </w:rPr>
                          <w:t> </w:t>
                        </w:r>
                        <w:r>
                          <w:rPr>
                            <w:rFonts w:ascii="Verdana"/>
                            <w:sz w:val="18"/>
                          </w:rPr>
                          <w:t>and</w:t>
                        </w:r>
                        <w:r>
                          <w:rPr>
                            <w:rFonts w:ascii="Verdana"/>
                            <w:spacing w:val="-6"/>
                            <w:sz w:val="18"/>
                          </w:rPr>
                          <w:t> </w:t>
                        </w:r>
                        <w:r>
                          <w:rPr>
                            <w:rFonts w:ascii="Verdana"/>
                            <w:sz w:val="18"/>
                          </w:rPr>
                          <w:t>weaknesses</w:t>
                        </w:r>
                        <w:r>
                          <w:rPr>
                            <w:rFonts w:ascii="Verdana"/>
                            <w:spacing w:val="-9"/>
                            <w:sz w:val="18"/>
                          </w:rPr>
                          <w:t> </w:t>
                        </w:r>
                        <w:r>
                          <w:rPr>
                            <w:rFonts w:ascii="Verdana"/>
                            <w:sz w:val="18"/>
                          </w:rPr>
                          <w:t>in internal controls, or all circumstances of fraud or irregularity. Effective and timely implementation of recommendations is important for the development and maintenance of a reliable internal control system.</w:t>
                        </w:r>
                      </w:p>
                    </w:txbxContent>
                  </v:textbox>
                  <w10:wrap type="none"/>
                </v:shape>
                <w10:wrap type="topAndBottom"/>
              </v:group>
            </w:pict>
          </mc:Fallback>
        </mc:AlternateContent>
      </w:r>
    </w:p>
    <w:p>
      <w:pPr>
        <w:pStyle w:val="Heading5"/>
        <w:tabs>
          <w:tab w:pos="8615" w:val="left" w:leader="none"/>
        </w:tabs>
        <w:ind w:left="250"/>
      </w:pPr>
      <w:r>
        <w:rPr>
          <w:color w:val="001F5F"/>
          <w:position w:val="-5"/>
        </w:rPr>
        <w:t>Prioritisation</w:t>
      </w:r>
      <w:r>
        <w:rPr>
          <w:color w:val="001F5F"/>
          <w:spacing w:val="-7"/>
          <w:position w:val="-5"/>
        </w:rPr>
        <w:t> </w:t>
      </w:r>
      <w:r>
        <w:rPr>
          <w:color w:val="001F5F"/>
          <w:position w:val="-5"/>
        </w:rPr>
        <w:t>of</w:t>
      </w:r>
      <w:r>
        <w:rPr>
          <w:color w:val="001F5F"/>
          <w:spacing w:val="-7"/>
          <w:position w:val="-5"/>
        </w:rPr>
        <w:t> </w:t>
      </w:r>
      <w:r>
        <w:rPr>
          <w:color w:val="001F5F"/>
          <w:spacing w:val="-2"/>
          <w:position w:val="-5"/>
        </w:rPr>
        <w:t>Findings</w:t>
      </w:r>
      <w:r>
        <w:rPr>
          <w:color w:val="001F5F"/>
          <w:position w:val="-5"/>
        </w:rPr>
        <w:tab/>
      </w:r>
      <w:r>
        <w:rPr>
          <w:color w:val="001F5F"/>
        </w:rPr>
        <w:t>Public</w:t>
      </w:r>
      <w:r>
        <w:rPr>
          <w:color w:val="001F5F"/>
          <w:spacing w:val="-10"/>
        </w:rPr>
        <w:t> </w:t>
      </w:r>
      <w:r>
        <w:rPr>
          <w:color w:val="001F5F"/>
        </w:rPr>
        <w:t>Sector</w:t>
      </w:r>
      <w:r>
        <w:rPr>
          <w:color w:val="001F5F"/>
          <w:spacing w:val="-5"/>
        </w:rPr>
        <w:t> </w:t>
      </w:r>
      <w:r>
        <w:rPr>
          <w:color w:val="001F5F"/>
        </w:rPr>
        <w:t>Internal</w:t>
      </w:r>
      <w:r>
        <w:rPr>
          <w:color w:val="001F5F"/>
          <w:spacing w:val="-6"/>
        </w:rPr>
        <w:t> </w:t>
      </w:r>
      <w:r>
        <w:rPr>
          <w:color w:val="001F5F"/>
        </w:rPr>
        <w:t>Audit</w:t>
      </w:r>
      <w:r>
        <w:rPr>
          <w:color w:val="001F5F"/>
          <w:spacing w:val="-7"/>
        </w:rPr>
        <w:t> </w:t>
      </w:r>
      <w:r>
        <w:rPr>
          <w:color w:val="001F5F"/>
          <w:spacing w:val="-2"/>
        </w:rPr>
        <w:t>Standards</w:t>
      </w:r>
    </w:p>
    <w:p>
      <w:pPr>
        <w:pStyle w:val="BodyText"/>
        <w:spacing w:before="3"/>
        <w:rPr>
          <w:rFonts w:ascii="Verdana"/>
          <w:sz w:val="3"/>
        </w:rPr>
      </w:pPr>
      <w:r>
        <w:rPr>
          <w:rFonts w:ascii="Verdana"/>
          <w:sz w:val="3"/>
        </w:rPr>
        <mc:AlternateContent>
          <mc:Choice Requires="wps">
            <w:drawing>
              <wp:anchor distT="0" distB="0" distL="0" distR="0" allowOverlap="1" layoutInCell="1" locked="0" behindDoc="1" simplePos="0" relativeHeight="487587840">
                <wp:simplePos x="0" y="0"/>
                <wp:positionH relativeFrom="page">
                  <wp:posOffset>179831</wp:posOffset>
                </wp:positionH>
                <wp:positionV relativeFrom="paragraph">
                  <wp:posOffset>40834</wp:posOffset>
                </wp:positionV>
                <wp:extent cx="4952365" cy="1245870"/>
                <wp:effectExtent l="0" t="0" r="0" b="0"/>
                <wp:wrapTopAndBottom/>
                <wp:docPr id="717" name="Textbox 717"/>
                <wp:cNvGraphicFramePr>
                  <a:graphicFrameLocks/>
                </wp:cNvGraphicFramePr>
                <a:graphic>
                  <a:graphicData uri="http://schemas.microsoft.com/office/word/2010/wordprocessingShape">
                    <wps:wsp>
                      <wps:cNvPr id="717" name="Textbox 717"/>
                      <wps:cNvSpPr txBox="1"/>
                      <wps:spPr>
                        <a:xfrm>
                          <a:off x="0" y="0"/>
                          <a:ext cx="4952365" cy="1245870"/>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2"/>
                              <w:gridCol w:w="5626"/>
                            </w:tblGrid>
                            <w:tr>
                              <w:trPr>
                                <w:trHeight w:val="466" w:hRule="atLeast"/>
                              </w:trPr>
                              <w:tc>
                                <w:tcPr>
                                  <w:tcW w:w="2172" w:type="dxa"/>
                                  <w:tcBorders>
                                    <w:top w:val="single" w:sz="18" w:space="0" w:color="001F5F"/>
                                    <w:bottom w:val="single" w:sz="4" w:space="0" w:color="001F5F"/>
                                  </w:tcBorders>
                                  <w:shd w:val="clear" w:color="auto" w:fill="FFFFFF"/>
                                </w:tcPr>
                                <w:p>
                                  <w:pPr>
                                    <w:pStyle w:val="TableParagraph"/>
                                    <w:spacing w:before="99"/>
                                    <w:ind w:left="1" w:right="1"/>
                                    <w:jc w:val="center"/>
                                    <w:rPr>
                                      <w:rFonts w:ascii="Verdana"/>
                                      <w:sz w:val="22"/>
                                    </w:rPr>
                                  </w:pPr>
                                  <w:r>
                                    <w:rPr>
                                      <w:rFonts w:ascii="Verdana"/>
                                      <w:color w:val="001F5F"/>
                                      <w:spacing w:val="-2"/>
                                      <w:sz w:val="22"/>
                                    </w:rPr>
                                    <w:t>Priority</w:t>
                                  </w:r>
                                </w:p>
                              </w:tc>
                              <w:tc>
                                <w:tcPr>
                                  <w:tcW w:w="5626" w:type="dxa"/>
                                  <w:tcBorders>
                                    <w:top w:val="single" w:sz="18" w:space="0" w:color="001F5F"/>
                                    <w:bottom w:val="single" w:sz="4" w:space="0" w:color="001F5F"/>
                                  </w:tcBorders>
                                  <w:shd w:val="clear" w:color="auto" w:fill="FFFFFF"/>
                                </w:tcPr>
                                <w:p>
                                  <w:pPr>
                                    <w:pStyle w:val="TableParagraph"/>
                                    <w:spacing w:before="99"/>
                                    <w:ind w:left="108"/>
                                    <w:rPr>
                                      <w:rFonts w:ascii="Verdana"/>
                                      <w:sz w:val="22"/>
                                    </w:rPr>
                                  </w:pPr>
                                  <w:r>
                                    <w:rPr>
                                      <w:rFonts w:ascii="Verdana"/>
                                      <w:color w:val="001F5F"/>
                                      <w:spacing w:val="-2"/>
                                      <w:sz w:val="22"/>
                                    </w:rPr>
                                    <w:t>Explanation</w:t>
                                  </w:r>
                                </w:p>
                              </w:tc>
                            </w:tr>
                            <w:tr>
                              <w:trPr>
                                <w:trHeight w:val="811" w:hRule="atLeast"/>
                              </w:trPr>
                              <w:tc>
                                <w:tcPr>
                                  <w:tcW w:w="2172" w:type="dxa"/>
                                  <w:tcBorders>
                                    <w:top w:val="single" w:sz="4" w:space="0" w:color="001F5F"/>
                                    <w:bottom w:val="dashSmallGap" w:sz="4" w:space="0" w:color="000000"/>
                                  </w:tcBorders>
                                  <w:shd w:val="clear" w:color="auto" w:fill="FF0000"/>
                                </w:tcPr>
                                <w:p>
                                  <w:pPr>
                                    <w:pStyle w:val="TableParagraph"/>
                                    <w:spacing w:before="23"/>
                                    <w:rPr>
                                      <w:rFonts w:ascii="Verdana"/>
                                      <w:sz w:val="22"/>
                                    </w:rPr>
                                  </w:pPr>
                                </w:p>
                                <w:p>
                                  <w:pPr>
                                    <w:pStyle w:val="TableParagraph"/>
                                    <w:ind w:right="1"/>
                                    <w:jc w:val="center"/>
                                    <w:rPr>
                                      <w:rFonts w:ascii="Verdana"/>
                                      <w:b/>
                                      <w:sz w:val="22"/>
                                    </w:rPr>
                                  </w:pPr>
                                  <w:r>
                                    <w:rPr>
                                      <w:rFonts w:ascii="Verdana"/>
                                      <w:b/>
                                      <w:color w:val="FFFFFF"/>
                                      <w:spacing w:val="-4"/>
                                      <w:sz w:val="22"/>
                                    </w:rPr>
                                    <w:t>High</w:t>
                                  </w:r>
                                </w:p>
                              </w:tc>
                              <w:tc>
                                <w:tcPr>
                                  <w:tcW w:w="5626" w:type="dxa"/>
                                  <w:tcBorders>
                                    <w:top w:val="single" w:sz="4" w:space="0" w:color="001F5F"/>
                                    <w:bottom w:val="dashSmallGap" w:sz="4" w:space="0" w:color="000000"/>
                                  </w:tcBorders>
                                  <w:shd w:val="clear" w:color="auto" w:fill="FFFFFF"/>
                                </w:tcPr>
                                <w:p>
                                  <w:pPr>
                                    <w:pStyle w:val="TableParagraph"/>
                                    <w:spacing w:before="95"/>
                                    <w:ind w:left="108" w:right="109"/>
                                    <w:jc w:val="both"/>
                                    <w:rPr>
                                      <w:rFonts w:ascii="Verdana"/>
                                      <w:sz w:val="18"/>
                                    </w:rPr>
                                  </w:pPr>
                                  <w:r>
                                    <w:rPr>
                                      <w:rFonts w:ascii="Verdana"/>
                                      <w:sz w:val="18"/>
                                    </w:rPr>
                                    <w:t>Significant risk to achievement of a system objective OR evidence present of material loss, error, or misstatement. Poor system design OR widespread non-compliance.</w:t>
                                  </w:r>
                                </w:p>
                              </w:tc>
                            </w:tr>
                            <w:tr>
                              <w:trPr>
                                <w:trHeight w:val="592" w:hRule="atLeast"/>
                              </w:trPr>
                              <w:tc>
                                <w:tcPr>
                                  <w:tcW w:w="2172" w:type="dxa"/>
                                  <w:tcBorders>
                                    <w:top w:val="dashSmallGap" w:sz="4" w:space="0" w:color="000000"/>
                                    <w:bottom w:val="single" w:sz="4" w:space="0" w:color="000000"/>
                                  </w:tcBorders>
                                  <w:shd w:val="clear" w:color="auto" w:fill="FFFF00"/>
                                </w:tcPr>
                                <w:p>
                                  <w:pPr>
                                    <w:pStyle w:val="TableParagraph"/>
                                    <w:spacing w:before="179"/>
                                    <w:ind w:right="1"/>
                                    <w:jc w:val="center"/>
                                    <w:rPr>
                                      <w:rFonts w:ascii="Verdana"/>
                                      <w:b/>
                                      <w:sz w:val="22"/>
                                    </w:rPr>
                                  </w:pPr>
                                  <w:r>
                                    <w:rPr>
                                      <w:rFonts w:ascii="Verdana"/>
                                      <w:b/>
                                      <w:spacing w:val="-2"/>
                                      <w:sz w:val="22"/>
                                    </w:rPr>
                                    <w:t>Medium</w:t>
                                  </w:r>
                                </w:p>
                              </w:tc>
                              <w:tc>
                                <w:tcPr>
                                  <w:tcW w:w="5626" w:type="dxa"/>
                                  <w:tcBorders>
                                    <w:top w:val="dashSmallGap" w:sz="4" w:space="0" w:color="000000"/>
                                    <w:bottom w:val="single" w:sz="4" w:space="0" w:color="000000"/>
                                  </w:tcBorders>
                                  <w:shd w:val="clear" w:color="auto" w:fill="FFFFFF"/>
                                </w:tcPr>
                                <w:p>
                                  <w:pPr>
                                    <w:pStyle w:val="TableParagraph"/>
                                    <w:spacing w:before="95"/>
                                    <w:ind w:left="108"/>
                                    <w:rPr>
                                      <w:rFonts w:ascii="Verdana"/>
                                      <w:sz w:val="18"/>
                                    </w:rPr>
                                  </w:pPr>
                                  <w:r>
                                    <w:rPr>
                                      <w:rFonts w:ascii="Verdana"/>
                                      <w:sz w:val="18"/>
                                    </w:rPr>
                                    <w:t>Some</w:t>
                                  </w:r>
                                  <w:r>
                                    <w:rPr>
                                      <w:rFonts w:ascii="Verdana"/>
                                      <w:spacing w:val="40"/>
                                      <w:sz w:val="18"/>
                                    </w:rPr>
                                    <w:t> </w:t>
                                  </w:r>
                                  <w:r>
                                    <w:rPr>
                                      <w:rFonts w:ascii="Verdana"/>
                                      <w:sz w:val="18"/>
                                    </w:rPr>
                                    <w:t>risk</w:t>
                                  </w:r>
                                  <w:r>
                                    <w:rPr>
                                      <w:rFonts w:ascii="Verdana"/>
                                      <w:spacing w:val="40"/>
                                      <w:sz w:val="18"/>
                                    </w:rPr>
                                    <w:t> </w:t>
                                  </w:r>
                                  <w:r>
                                    <w:rPr>
                                      <w:rFonts w:ascii="Verdana"/>
                                      <w:sz w:val="18"/>
                                    </w:rPr>
                                    <w:t>to</w:t>
                                  </w:r>
                                  <w:r>
                                    <w:rPr>
                                      <w:rFonts w:ascii="Verdana"/>
                                      <w:spacing w:val="40"/>
                                      <w:sz w:val="18"/>
                                    </w:rPr>
                                    <w:t> </w:t>
                                  </w:r>
                                  <w:r>
                                    <w:rPr>
                                      <w:rFonts w:ascii="Verdana"/>
                                      <w:sz w:val="18"/>
                                    </w:rPr>
                                    <w:t>achievement</w:t>
                                  </w:r>
                                  <w:r>
                                    <w:rPr>
                                      <w:rFonts w:ascii="Verdana"/>
                                      <w:spacing w:val="40"/>
                                      <w:sz w:val="18"/>
                                    </w:rPr>
                                    <w:t> </w:t>
                                  </w:r>
                                  <w:r>
                                    <w:rPr>
                                      <w:rFonts w:ascii="Verdana"/>
                                      <w:sz w:val="18"/>
                                    </w:rPr>
                                    <w:t>of</w:t>
                                  </w:r>
                                  <w:r>
                                    <w:rPr>
                                      <w:rFonts w:ascii="Verdana"/>
                                      <w:spacing w:val="40"/>
                                      <w:sz w:val="18"/>
                                    </w:rPr>
                                    <w:t> </w:t>
                                  </w:r>
                                  <w:r>
                                    <w:rPr>
                                      <w:rFonts w:ascii="Verdana"/>
                                      <w:sz w:val="18"/>
                                    </w:rPr>
                                    <w:t>a</w:t>
                                  </w:r>
                                  <w:r>
                                    <w:rPr>
                                      <w:rFonts w:ascii="Verdana"/>
                                      <w:spacing w:val="40"/>
                                      <w:sz w:val="18"/>
                                    </w:rPr>
                                    <w:t> </w:t>
                                  </w:r>
                                  <w:r>
                                    <w:rPr>
                                      <w:rFonts w:ascii="Verdana"/>
                                      <w:sz w:val="18"/>
                                    </w:rPr>
                                    <w:t>system</w:t>
                                  </w:r>
                                  <w:r>
                                    <w:rPr>
                                      <w:rFonts w:ascii="Verdana"/>
                                      <w:spacing w:val="40"/>
                                      <w:sz w:val="18"/>
                                    </w:rPr>
                                    <w:t> </w:t>
                                  </w:r>
                                  <w:r>
                                    <w:rPr>
                                      <w:rFonts w:ascii="Verdana"/>
                                      <w:sz w:val="18"/>
                                    </w:rPr>
                                    <w:t>objective.</w:t>
                                  </w:r>
                                  <w:r>
                                    <w:rPr>
                                      <w:rFonts w:ascii="Verdana"/>
                                      <w:spacing w:val="40"/>
                                      <w:sz w:val="18"/>
                                    </w:rPr>
                                    <w:t> </w:t>
                                  </w:r>
                                  <w:r>
                                    <w:rPr>
                                      <w:rFonts w:ascii="Verdana"/>
                                      <w:sz w:val="18"/>
                                    </w:rPr>
                                    <w:t>Minor weakness in system design OR limited non-compliance.</w:t>
                                  </w:r>
                                </w:p>
                              </w:tc>
                            </w:tr>
                          </w:tbl>
                          <w:p>
                            <w:pPr>
                              <w:pStyle w:val="BodyText"/>
                            </w:pPr>
                          </w:p>
                        </w:txbxContent>
                      </wps:txbx>
                      <wps:bodyPr wrap="square" lIns="0" tIns="0" rIns="0" bIns="0" rtlCol="0">
                        <a:noAutofit/>
                      </wps:bodyPr>
                    </wps:wsp>
                  </a:graphicData>
                </a:graphic>
              </wp:anchor>
            </w:drawing>
          </mc:Choice>
          <mc:Fallback>
            <w:pict>
              <v:shape style="position:absolute;margin-left:14.16pt;margin-top:3.215352pt;width:389.95pt;height:98.1pt;mso-position-horizontal-relative:page;mso-position-vertical-relative:paragraph;z-index:-15728640;mso-wrap-distance-left:0;mso-wrap-distance-right:0" type="#_x0000_t202" id="docshape479"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2"/>
                        <w:gridCol w:w="5626"/>
                      </w:tblGrid>
                      <w:tr>
                        <w:trPr>
                          <w:trHeight w:val="466" w:hRule="atLeast"/>
                        </w:trPr>
                        <w:tc>
                          <w:tcPr>
                            <w:tcW w:w="2172" w:type="dxa"/>
                            <w:tcBorders>
                              <w:top w:val="single" w:sz="18" w:space="0" w:color="001F5F"/>
                              <w:bottom w:val="single" w:sz="4" w:space="0" w:color="001F5F"/>
                            </w:tcBorders>
                            <w:shd w:val="clear" w:color="auto" w:fill="FFFFFF"/>
                          </w:tcPr>
                          <w:p>
                            <w:pPr>
                              <w:pStyle w:val="TableParagraph"/>
                              <w:spacing w:before="99"/>
                              <w:ind w:left="1" w:right="1"/>
                              <w:jc w:val="center"/>
                              <w:rPr>
                                <w:rFonts w:ascii="Verdana"/>
                                <w:sz w:val="22"/>
                              </w:rPr>
                            </w:pPr>
                            <w:r>
                              <w:rPr>
                                <w:rFonts w:ascii="Verdana"/>
                                <w:color w:val="001F5F"/>
                                <w:spacing w:val="-2"/>
                                <w:sz w:val="22"/>
                              </w:rPr>
                              <w:t>Priority</w:t>
                            </w:r>
                          </w:p>
                        </w:tc>
                        <w:tc>
                          <w:tcPr>
                            <w:tcW w:w="5626" w:type="dxa"/>
                            <w:tcBorders>
                              <w:top w:val="single" w:sz="18" w:space="0" w:color="001F5F"/>
                              <w:bottom w:val="single" w:sz="4" w:space="0" w:color="001F5F"/>
                            </w:tcBorders>
                            <w:shd w:val="clear" w:color="auto" w:fill="FFFFFF"/>
                          </w:tcPr>
                          <w:p>
                            <w:pPr>
                              <w:pStyle w:val="TableParagraph"/>
                              <w:spacing w:before="99"/>
                              <w:ind w:left="108"/>
                              <w:rPr>
                                <w:rFonts w:ascii="Verdana"/>
                                <w:sz w:val="22"/>
                              </w:rPr>
                            </w:pPr>
                            <w:r>
                              <w:rPr>
                                <w:rFonts w:ascii="Verdana"/>
                                <w:color w:val="001F5F"/>
                                <w:spacing w:val="-2"/>
                                <w:sz w:val="22"/>
                              </w:rPr>
                              <w:t>Explanation</w:t>
                            </w:r>
                          </w:p>
                        </w:tc>
                      </w:tr>
                      <w:tr>
                        <w:trPr>
                          <w:trHeight w:val="811" w:hRule="atLeast"/>
                        </w:trPr>
                        <w:tc>
                          <w:tcPr>
                            <w:tcW w:w="2172" w:type="dxa"/>
                            <w:tcBorders>
                              <w:top w:val="single" w:sz="4" w:space="0" w:color="001F5F"/>
                              <w:bottom w:val="dashSmallGap" w:sz="4" w:space="0" w:color="000000"/>
                            </w:tcBorders>
                            <w:shd w:val="clear" w:color="auto" w:fill="FF0000"/>
                          </w:tcPr>
                          <w:p>
                            <w:pPr>
                              <w:pStyle w:val="TableParagraph"/>
                              <w:spacing w:before="23"/>
                              <w:rPr>
                                <w:rFonts w:ascii="Verdana"/>
                                <w:sz w:val="22"/>
                              </w:rPr>
                            </w:pPr>
                          </w:p>
                          <w:p>
                            <w:pPr>
                              <w:pStyle w:val="TableParagraph"/>
                              <w:ind w:right="1"/>
                              <w:jc w:val="center"/>
                              <w:rPr>
                                <w:rFonts w:ascii="Verdana"/>
                                <w:b/>
                                <w:sz w:val="22"/>
                              </w:rPr>
                            </w:pPr>
                            <w:r>
                              <w:rPr>
                                <w:rFonts w:ascii="Verdana"/>
                                <w:b/>
                                <w:color w:val="FFFFFF"/>
                                <w:spacing w:val="-4"/>
                                <w:sz w:val="22"/>
                              </w:rPr>
                              <w:t>High</w:t>
                            </w:r>
                          </w:p>
                        </w:tc>
                        <w:tc>
                          <w:tcPr>
                            <w:tcW w:w="5626" w:type="dxa"/>
                            <w:tcBorders>
                              <w:top w:val="single" w:sz="4" w:space="0" w:color="001F5F"/>
                              <w:bottom w:val="dashSmallGap" w:sz="4" w:space="0" w:color="000000"/>
                            </w:tcBorders>
                            <w:shd w:val="clear" w:color="auto" w:fill="FFFFFF"/>
                          </w:tcPr>
                          <w:p>
                            <w:pPr>
                              <w:pStyle w:val="TableParagraph"/>
                              <w:spacing w:before="95"/>
                              <w:ind w:left="108" w:right="109"/>
                              <w:jc w:val="both"/>
                              <w:rPr>
                                <w:rFonts w:ascii="Verdana"/>
                                <w:sz w:val="18"/>
                              </w:rPr>
                            </w:pPr>
                            <w:r>
                              <w:rPr>
                                <w:rFonts w:ascii="Verdana"/>
                                <w:sz w:val="18"/>
                              </w:rPr>
                              <w:t>Significant risk to achievement of a system objective OR evidence present of material loss, error, or misstatement. Poor system design OR widespread non-compliance.</w:t>
                            </w:r>
                          </w:p>
                        </w:tc>
                      </w:tr>
                      <w:tr>
                        <w:trPr>
                          <w:trHeight w:val="592" w:hRule="atLeast"/>
                        </w:trPr>
                        <w:tc>
                          <w:tcPr>
                            <w:tcW w:w="2172" w:type="dxa"/>
                            <w:tcBorders>
                              <w:top w:val="dashSmallGap" w:sz="4" w:space="0" w:color="000000"/>
                              <w:bottom w:val="single" w:sz="4" w:space="0" w:color="000000"/>
                            </w:tcBorders>
                            <w:shd w:val="clear" w:color="auto" w:fill="FFFF00"/>
                          </w:tcPr>
                          <w:p>
                            <w:pPr>
                              <w:pStyle w:val="TableParagraph"/>
                              <w:spacing w:before="179"/>
                              <w:ind w:right="1"/>
                              <w:jc w:val="center"/>
                              <w:rPr>
                                <w:rFonts w:ascii="Verdana"/>
                                <w:b/>
                                <w:sz w:val="22"/>
                              </w:rPr>
                            </w:pPr>
                            <w:r>
                              <w:rPr>
                                <w:rFonts w:ascii="Verdana"/>
                                <w:b/>
                                <w:spacing w:val="-2"/>
                                <w:sz w:val="22"/>
                              </w:rPr>
                              <w:t>Medium</w:t>
                            </w:r>
                          </w:p>
                        </w:tc>
                        <w:tc>
                          <w:tcPr>
                            <w:tcW w:w="5626" w:type="dxa"/>
                            <w:tcBorders>
                              <w:top w:val="dashSmallGap" w:sz="4" w:space="0" w:color="000000"/>
                              <w:bottom w:val="single" w:sz="4" w:space="0" w:color="000000"/>
                            </w:tcBorders>
                            <w:shd w:val="clear" w:color="auto" w:fill="FFFFFF"/>
                          </w:tcPr>
                          <w:p>
                            <w:pPr>
                              <w:pStyle w:val="TableParagraph"/>
                              <w:spacing w:before="95"/>
                              <w:ind w:left="108"/>
                              <w:rPr>
                                <w:rFonts w:ascii="Verdana"/>
                                <w:sz w:val="18"/>
                              </w:rPr>
                            </w:pPr>
                            <w:r>
                              <w:rPr>
                                <w:rFonts w:ascii="Verdana"/>
                                <w:sz w:val="18"/>
                              </w:rPr>
                              <w:t>Some</w:t>
                            </w:r>
                            <w:r>
                              <w:rPr>
                                <w:rFonts w:ascii="Verdana"/>
                                <w:spacing w:val="40"/>
                                <w:sz w:val="18"/>
                              </w:rPr>
                              <w:t> </w:t>
                            </w:r>
                            <w:r>
                              <w:rPr>
                                <w:rFonts w:ascii="Verdana"/>
                                <w:sz w:val="18"/>
                              </w:rPr>
                              <w:t>risk</w:t>
                            </w:r>
                            <w:r>
                              <w:rPr>
                                <w:rFonts w:ascii="Verdana"/>
                                <w:spacing w:val="40"/>
                                <w:sz w:val="18"/>
                              </w:rPr>
                              <w:t> </w:t>
                            </w:r>
                            <w:r>
                              <w:rPr>
                                <w:rFonts w:ascii="Verdana"/>
                                <w:sz w:val="18"/>
                              </w:rPr>
                              <w:t>to</w:t>
                            </w:r>
                            <w:r>
                              <w:rPr>
                                <w:rFonts w:ascii="Verdana"/>
                                <w:spacing w:val="40"/>
                                <w:sz w:val="18"/>
                              </w:rPr>
                              <w:t> </w:t>
                            </w:r>
                            <w:r>
                              <w:rPr>
                                <w:rFonts w:ascii="Verdana"/>
                                <w:sz w:val="18"/>
                              </w:rPr>
                              <w:t>achievement</w:t>
                            </w:r>
                            <w:r>
                              <w:rPr>
                                <w:rFonts w:ascii="Verdana"/>
                                <w:spacing w:val="40"/>
                                <w:sz w:val="18"/>
                              </w:rPr>
                              <w:t> </w:t>
                            </w:r>
                            <w:r>
                              <w:rPr>
                                <w:rFonts w:ascii="Verdana"/>
                                <w:sz w:val="18"/>
                              </w:rPr>
                              <w:t>of</w:t>
                            </w:r>
                            <w:r>
                              <w:rPr>
                                <w:rFonts w:ascii="Verdana"/>
                                <w:spacing w:val="40"/>
                                <w:sz w:val="18"/>
                              </w:rPr>
                              <w:t> </w:t>
                            </w:r>
                            <w:r>
                              <w:rPr>
                                <w:rFonts w:ascii="Verdana"/>
                                <w:sz w:val="18"/>
                              </w:rPr>
                              <w:t>a</w:t>
                            </w:r>
                            <w:r>
                              <w:rPr>
                                <w:rFonts w:ascii="Verdana"/>
                                <w:spacing w:val="40"/>
                                <w:sz w:val="18"/>
                              </w:rPr>
                              <w:t> </w:t>
                            </w:r>
                            <w:r>
                              <w:rPr>
                                <w:rFonts w:ascii="Verdana"/>
                                <w:sz w:val="18"/>
                              </w:rPr>
                              <w:t>system</w:t>
                            </w:r>
                            <w:r>
                              <w:rPr>
                                <w:rFonts w:ascii="Verdana"/>
                                <w:spacing w:val="40"/>
                                <w:sz w:val="18"/>
                              </w:rPr>
                              <w:t> </w:t>
                            </w:r>
                            <w:r>
                              <w:rPr>
                                <w:rFonts w:ascii="Verdana"/>
                                <w:sz w:val="18"/>
                              </w:rPr>
                              <w:t>objective.</w:t>
                            </w:r>
                            <w:r>
                              <w:rPr>
                                <w:rFonts w:ascii="Verdana"/>
                                <w:spacing w:val="40"/>
                                <w:sz w:val="18"/>
                              </w:rPr>
                              <w:t> </w:t>
                            </w:r>
                            <w:r>
                              <w:rPr>
                                <w:rFonts w:ascii="Verdana"/>
                                <w:sz w:val="18"/>
                              </w:rPr>
                              <w:t>Minor weakness in system design OR limited non-compliance.</w:t>
                            </w:r>
                          </w:p>
                        </w:tc>
                      </w:tr>
                    </w:tbl>
                    <w:p>
                      <w:pPr>
                        <w:pStyle w:val="BodyText"/>
                      </w:pPr>
                    </w:p>
                  </w:txbxContent>
                </v:textbox>
                <w10:wrap type="topAndBottom"/>
              </v:shape>
            </w:pict>
          </mc:Fallback>
        </mc:AlternateContent>
      </w:r>
      <w:r>
        <w:rPr>
          <w:rFonts w:ascii="Verdana"/>
          <w:sz w:val="3"/>
        </w:rPr>
        <mc:AlternateContent>
          <mc:Choice Requires="wps">
            <w:drawing>
              <wp:anchor distT="0" distB="0" distL="0" distR="0" allowOverlap="1" layoutInCell="1" locked="0" behindDoc="1" simplePos="0" relativeHeight="487730688">
                <wp:simplePos x="0" y="0"/>
                <wp:positionH relativeFrom="page">
                  <wp:posOffset>5491607</wp:posOffset>
                </wp:positionH>
                <wp:positionV relativeFrom="paragraph">
                  <wp:posOffset>40834</wp:posOffset>
                </wp:positionV>
                <wp:extent cx="4860925" cy="1235075"/>
                <wp:effectExtent l="0" t="0" r="0" b="0"/>
                <wp:wrapTopAndBottom/>
                <wp:docPr id="718" name="Group 718"/>
                <wp:cNvGraphicFramePr>
                  <a:graphicFrameLocks/>
                </wp:cNvGraphicFramePr>
                <a:graphic>
                  <a:graphicData uri="http://schemas.microsoft.com/office/word/2010/wordprocessingGroup">
                    <wpg:wgp>
                      <wpg:cNvPr id="718" name="Group 718"/>
                      <wpg:cNvGrpSpPr/>
                      <wpg:grpSpPr>
                        <a:xfrm>
                          <a:off x="0" y="0"/>
                          <a:ext cx="4860925" cy="1235075"/>
                          <a:chExt cx="4860925" cy="1235075"/>
                        </a:xfrm>
                      </wpg:grpSpPr>
                      <wps:wsp>
                        <wps:cNvPr id="719" name="Graphic 719"/>
                        <wps:cNvSpPr/>
                        <wps:spPr>
                          <a:xfrm>
                            <a:off x="0" y="28981"/>
                            <a:ext cx="4860925" cy="1200150"/>
                          </a:xfrm>
                          <a:custGeom>
                            <a:avLst/>
                            <a:gdLst/>
                            <a:ahLst/>
                            <a:cxnLst/>
                            <a:rect l="l" t="t" r="r" b="b"/>
                            <a:pathLst>
                              <a:path w="4860925" h="1200150">
                                <a:moveTo>
                                  <a:pt x="4860925" y="0"/>
                                </a:moveTo>
                                <a:lnTo>
                                  <a:pt x="0" y="0"/>
                                </a:lnTo>
                                <a:lnTo>
                                  <a:pt x="0" y="1199692"/>
                                </a:lnTo>
                                <a:lnTo>
                                  <a:pt x="4860925" y="1199692"/>
                                </a:lnTo>
                                <a:lnTo>
                                  <a:pt x="4860925" y="0"/>
                                </a:lnTo>
                                <a:close/>
                              </a:path>
                            </a:pathLst>
                          </a:custGeom>
                          <a:solidFill>
                            <a:srgbClr val="FFFFFF"/>
                          </a:solidFill>
                        </wps:spPr>
                        <wps:bodyPr wrap="square" lIns="0" tIns="0" rIns="0" bIns="0" rtlCol="0">
                          <a:prstTxWarp prst="textNoShape">
                            <a:avLst/>
                          </a:prstTxWarp>
                          <a:noAutofit/>
                        </wps:bodyPr>
                      </wps:wsp>
                      <wps:wsp>
                        <wps:cNvPr id="720" name="Graphic 720"/>
                        <wps:cNvSpPr/>
                        <wps:spPr>
                          <a:xfrm>
                            <a:off x="0" y="0"/>
                            <a:ext cx="4860925" cy="27940"/>
                          </a:xfrm>
                          <a:custGeom>
                            <a:avLst/>
                            <a:gdLst/>
                            <a:ahLst/>
                            <a:cxnLst/>
                            <a:rect l="l" t="t" r="r" b="b"/>
                            <a:pathLst>
                              <a:path w="4860925" h="27940">
                                <a:moveTo>
                                  <a:pt x="4860925" y="0"/>
                                </a:moveTo>
                                <a:lnTo>
                                  <a:pt x="0" y="0"/>
                                </a:lnTo>
                                <a:lnTo>
                                  <a:pt x="0" y="27431"/>
                                </a:lnTo>
                                <a:lnTo>
                                  <a:pt x="4860925" y="27431"/>
                                </a:lnTo>
                                <a:lnTo>
                                  <a:pt x="4860925" y="0"/>
                                </a:lnTo>
                                <a:close/>
                              </a:path>
                            </a:pathLst>
                          </a:custGeom>
                          <a:solidFill>
                            <a:srgbClr val="001F5F"/>
                          </a:solidFill>
                        </wps:spPr>
                        <wps:bodyPr wrap="square" lIns="0" tIns="0" rIns="0" bIns="0" rtlCol="0">
                          <a:prstTxWarp prst="textNoShape">
                            <a:avLst/>
                          </a:prstTxWarp>
                          <a:noAutofit/>
                        </wps:bodyPr>
                      </wps:wsp>
                      <wps:wsp>
                        <wps:cNvPr id="721" name="Graphic 721"/>
                        <wps:cNvSpPr/>
                        <wps:spPr>
                          <a:xfrm>
                            <a:off x="0" y="27432"/>
                            <a:ext cx="4860925" cy="1905"/>
                          </a:xfrm>
                          <a:custGeom>
                            <a:avLst/>
                            <a:gdLst/>
                            <a:ahLst/>
                            <a:cxnLst/>
                            <a:rect l="l" t="t" r="r" b="b"/>
                            <a:pathLst>
                              <a:path w="4860925" h="1905">
                                <a:moveTo>
                                  <a:pt x="4860925" y="0"/>
                                </a:moveTo>
                                <a:lnTo>
                                  <a:pt x="0" y="0"/>
                                </a:lnTo>
                                <a:lnTo>
                                  <a:pt x="0" y="1524"/>
                                </a:lnTo>
                                <a:lnTo>
                                  <a:pt x="4860925" y="1524"/>
                                </a:lnTo>
                                <a:lnTo>
                                  <a:pt x="4860925" y="0"/>
                                </a:lnTo>
                                <a:close/>
                              </a:path>
                            </a:pathLst>
                          </a:custGeom>
                          <a:solidFill>
                            <a:srgbClr val="FFFFFF"/>
                          </a:solidFill>
                        </wps:spPr>
                        <wps:bodyPr wrap="square" lIns="0" tIns="0" rIns="0" bIns="0" rtlCol="0">
                          <a:prstTxWarp prst="textNoShape">
                            <a:avLst/>
                          </a:prstTxWarp>
                          <a:noAutofit/>
                        </wps:bodyPr>
                      </wps:wsp>
                      <wps:wsp>
                        <wps:cNvPr id="722" name="Graphic 722"/>
                        <wps:cNvSpPr/>
                        <wps:spPr>
                          <a:xfrm>
                            <a:off x="0" y="1228674"/>
                            <a:ext cx="4860925" cy="6350"/>
                          </a:xfrm>
                          <a:custGeom>
                            <a:avLst/>
                            <a:gdLst/>
                            <a:ahLst/>
                            <a:cxnLst/>
                            <a:rect l="l" t="t" r="r" b="b"/>
                            <a:pathLst>
                              <a:path w="4860925" h="6350">
                                <a:moveTo>
                                  <a:pt x="4860925" y="0"/>
                                </a:moveTo>
                                <a:lnTo>
                                  <a:pt x="0" y="0"/>
                                </a:lnTo>
                                <a:lnTo>
                                  <a:pt x="0" y="6095"/>
                                </a:lnTo>
                                <a:lnTo>
                                  <a:pt x="4860925" y="6095"/>
                                </a:lnTo>
                                <a:lnTo>
                                  <a:pt x="4860925" y="0"/>
                                </a:lnTo>
                                <a:close/>
                              </a:path>
                            </a:pathLst>
                          </a:custGeom>
                          <a:solidFill>
                            <a:srgbClr val="000000"/>
                          </a:solidFill>
                        </wps:spPr>
                        <wps:bodyPr wrap="square" lIns="0" tIns="0" rIns="0" bIns="0" rtlCol="0">
                          <a:prstTxWarp prst="textNoShape">
                            <a:avLst/>
                          </a:prstTxWarp>
                          <a:noAutofit/>
                        </wps:bodyPr>
                      </wps:wsp>
                      <pic:pic>
                        <pic:nvPicPr>
                          <pic:cNvPr id="723" name="Image 723"/>
                          <pic:cNvPicPr/>
                        </pic:nvPicPr>
                        <pic:blipFill>
                          <a:blip r:embed="rId107" cstate="print"/>
                          <a:stretch>
                            <a:fillRect/>
                          </a:stretch>
                        </pic:blipFill>
                        <pic:spPr>
                          <a:xfrm>
                            <a:off x="3829558" y="135128"/>
                            <a:ext cx="920115" cy="913129"/>
                          </a:xfrm>
                          <a:prstGeom prst="rect">
                            <a:avLst/>
                          </a:prstGeom>
                        </pic:spPr>
                      </pic:pic>
                      <wps:wsp>
                        <wps:cNvPr id="724" name="Textbox 724"/>
                        <wps:cNvSpPr txBox="1"/>
                        <wps:spPr>
                          <a:xfrm>
                            <a:off x="0" y="27432"/>
                            <a:ext cx="4860925" cy="1201420"/>
                          </a:xfrm>
                          <a:prstGeom prst="rect">
                            <a:avLst/>
                          </a:prstGeom>
                        </wps:spPr>
                        <wps:txbx>
                          <w:txbxContent>
                            <w:p>
                              <w:pPr>
                                <w:spacing w:line="240" w:lineRule="auto" w:before="70"/>
                                <w:rPr>
                                  <w:rFonts w:ascii="Verdana"/>
                                  <w:sz w:val="18"/>
                                </w:rPr>
                              </w:pPr>
                            </w:p>
                            <w:p>
                              <w:pPr>
                                <w:spacing w:line="240" w:lineRule="auto" w:before="0"/>
                                <w:ind w:left="139" w:right="1802" w:firstLine="0"/>
                                <w:jc w:val="both"/>
                                <w:rPr>
                                  <w:rFonts w:ascii="Verdana"/>
                                  <w:sz w:val="18"/>
                                </w:rPr>
                              </w:pPr>
                              <w:r>
                                <w:rPr>
                                  <w:rFonts w:ascii="Verdana"/>
                                  <w:sz w:val="18"/>
                                </w:rPr>
                                <w:t>Audit work undertaken by NHS Wales Audit and Assurance Services conforms with the International Standards for the Professional Practice of</w:t>
                              </w:r>
                              <w:r>
                                <w:rPr>
                                  <w:rFonts w:ascii="Verdana"/>
                                  <w:spacing w:val="-2"/>
                                  <w:sz w:val="18"/>
                                </w:rPr>
                                <w:t> </w:t>
                              </w:r>
                              <w:r>
                                <w:rPr>
                                  <w:rFonts w:ascii="Verdana"/>
                                  <w:sz w:val="18"/>
                                </w:rPr>
                                <w:t>Internal Auditing and associated Public Sector Internal Audit Standards as validated through the external quality assessment undertaken by the Chartered Institute of Public Finance &amp; Accountancy in April 2023.</w:t>
                              </w:r>
                            </w:p>
                          </w:txbxContent>
                        </wps:txbx>
                        <wps:bodyPr wrap="square" lIns="0" tIns="0" rIns="0" bIns="0" rtlCol="0">
                          <a:noAutofit/>
                        </wps:bodyPr>
                      </wps:wsp>
                    </wpg:wgp>
                  </a:graphicData>
                </a:graphic>
              </wp:anchor>
            </w:drawing>
          </mc:Choice>
          <mc:Fallback>
            <w:pict>
              <v:group style="position:absolute;margin-left:432.410004pt;margin-top:3.215352pt;width:382.75pt;height:97.25pt;mso-position-horizontal-relative:page;mso-position-vertical-relative:paragraph;z-index:-15585792;mso-wrap-distance-left:0;mso-wrap-distance-right:0" id="docshapegroup480" coordorigin="8648,64" coordsize="7655,1945">
                <v:rect style="position:absolute;left:8648;top:109;width:7655;height:1890" id="docshape481" filled="true" fillcolor="#ffffff" stroked="false">
                  <v:fill type="solid"/>
                </v:rect>
                <v:rect style="position:absolute;left:8648;top:64;width:7655;height:44" id="docshape482" filled="true" fillcolor="#001f5f" stroked="false">
                  <v:fill type="solid"/>
                </v:rect>
                <v:rect style="position:absolute;left:8648;top:107;width:7655;height:3" id="docshape483" filled="true" fillcolor="#ffffff" stroked="false">
                  <v:fill type="solid"/>
                </v:rect>
                <v:rect style="position:absolute;left:8648;top:1999;width:7655;height:10" id="docshape484" filled="true" fillcolor="#000000" stroked="false">
                  <v:fill type="solid"/>
                </v:rect>
                <v:shape style="position:absolute;left:14679;top:277;width:1449;height:1438" type="#_x0000_t75" id="docshape485" stroked="false">
                  <v:imagedata r:id="rId107" o:title=""/>
                </v:shape>
                <v:shape style="position:absolute;left:8648;top:107;width:7655;height:1892" type="#_x0000_t202" id="docshape486" filled="false" stroked="false">
                  <v:textbox inset="0,0,0,0">
                    <w:txbxContent>
                      <w:p>
                        <w:pPr>
                          <w:spacing w:line="240" w:lineRule="auto" w:before="70"/>
                          <w:rPr>
                            <w:rFonts w:ascii="Verdana"/>
                            <w:sz w:val="18"/>
                          </w:rPr>
                        </w:pPr>
                      </w:p>
                      <w:p>
                        <w:pPr>
                          <w:spacing w:line="240" w:lineRule="auto" w:before="0"/>
                          <w:ind w:left="139" w:right="1802" w:firstLine="0"/>
                          <w:jc w:val="both"/>
                          <w:rPr>
                            <w:rFonts w:ascii="Verdana"/>
                            <w:sz w:val="18"/>
                          </w:rPr>
                        </w:pPr>
                        <w:r>
                          <w:rPr>
                            <w:rFonts w:ascii="Verdana"/>
                            <w:sz w:val="18"/>
                          </w:rPr>
                          <w:t>Audit work undertaken by NHS Wales Audit and Assurance Services conforms with the International Standards for the Professional Practice of</w:t>
                        </w:r>
                        <w:r>
                          <w:rPr>
                            <w:rFonts w:ascii="Verdana"/>
                            <w:spacing w:val="-2"/>
                            <w:sz w:val="18"/>
                          </w:rPr>
                          <w:t> </w:t>
                        </w:r>
                        <w:r>
                          <w:rPr>
                            <w:rFonts w:ascii="Verdana"/>
                            <w:sz w:val="18"/>
                          </w:rPr>
                          <w:t>Internal Auditing and associated Public Sector Internal Audit Standards as validated through the external quality assessment undertaken by the Chartered Institute of Public Finance &amp; Accountancy in April 2023.</w:t>
                        </w:r>
                      </w:p>
                    </w:txbxContent>
                  </v:textbox>
                  <w10:wrap type="none"/>
                </v:shape>
                <w10:wrap type="topAndBottom"/>
              </v:group>
            </w:pict>
          </mc:Fallback>
        </mc:AlternateContent>
      </w:r>
    </w:p>
    <w:p>
      <w:pPr>
        <w:pStyle w:val="BodyText"/>
        <w:spacing w:before="65"/>
        <w:rPr>
          <w:rFonts w:ascii="Verdana"/>
          <w:sz w:val="28"/>
        </w:rPr>
      </w:pPr>
    </w:p>
    <w:p>
      <w:pPr>
        <w:spacing w:before="1"/>
        <w:ind w:left="142" w:right="0" w:firstLine="0"/>
        <w:jc w:val="left"/>
        <w:rPr>
          <w:rFonts w:ascii="Verdana"/>
          <w:sz w:val="20"/>
        </w:rPr>
      </w:pPr>
      <w:r>
        <w:rPr>
          <w:rFonts w:ascii="Verdana"/>
          <w:sz w:val="20"/>
        </w:rPr>
        <mc:AlternateContent>
          <mc:Choice Requires="wps">
            <w:drawing>
              <wp:anchor distT="0" distB="0" distL="0" distR="0" allowOverlap="1" layoutInCell="1" locked="0" behindDoc="0" simplePos="0" relativeHeight="15873536">
                <wp:simplePos x="0" y="0"/>
                <wp:positionH relativeFrom="page">
                  <wp:posOffset>4918493</wp:posOffset>
                </wp:positionH>
                <wp:positionV relativeFrom="paragraph">
                  <wp:posOffset>613183</wp:posOffset>
                </wp:positionV>
                <wp:extent cx="855980" cy="193040"/>
                <wp:effectExtent l="0" t="0" r="0" b="0"/>
                <wp:wrapNone/>
                <wp:docPr id="725" name="Group 725"/>
                <wp:cNvGraphicFramePr>
                  <a:graphicFrameLocks/>
                </wp:cNvGraphicFramePr>
                <a:graphic>
                  <a:graphicData uri="http://schemas.microsoft.com/office/word/2010/wordprocessingGroup">
                    <wpg:wgp>
                      <wpg:cNvPr id="725" name="Group 725"/>
                      <wpg:cNvGrpSpPr/>
                      <wpg:grpSpPr>
                        <a:xfrm>
                          <a:off x="0" y="0"/>
                          <a:ext cx="855980" cy="193040"/>
                          <a:chExt cx="855980" cy="193040"/>
                        </a:xfrm>
                      </wpg:grpSpPr>
                      <pic:pic>
                        <pic:nvPicPr>
                          <pic:cNvPr id="726" name="Image 726"/>
                          <pic:cNvPicPr/>
                        </pic:nvPicPr>
                        <pic:blipFill>
                          <a:blip r:embed="rId23" cstate="print"/>
                          <a:stretch>
                            <a:fillRect/>
                          </a:stretch>
                        </pic:blipFill>
                        <pic:spPr>
                          <a:xfrm>
                            <a:off x="0" y="0"/>
                            <a:ext cx="855390" cy="192463"/>
                          </a:xfrm>
                          <a:prstGeom prst="rect">
                            <a:avLst/>
                          </a:prstGeom>
                        </pic:spPr>
                      </pic:pic>
                      <wps:wsp>
                        <wps:cNvPr id="727" name="Textbox 727"/>
                        <wps:cNvSpPr txBox="1"/>
                        <wps:spPr>
                          <a:xfrm>
                            <a:off x="0" y="0"/>
                            <a:ext cx="855980" cy="193040"/>
                          </a:xfrm>
                          <a:prstGeom prst="rect">
                            <a:avLst/>
                          </a:prstGeom>
                        </wps:spPr>
                        <wps:txbx>
                          <w:txbxContent>
                            <w:p>
                              <w:pPr>
                                <w:spacing w:before="106"/>
                                <w:ind w:left="337" w:right="0" w:firstLine="0"/>
                                <w:jc w:val="left"/>
                                <w:rPr>
                                  <w:sz w:val="15"/>
                                </w:rPr>
                              </w:pPr>
                              <w:r>
                                <w:rPr>
                                  <w:w w:val="105"/>
                                  <w:sz w:val="15"/>
                                </w:rPr>
                                <w:t>Page</w:t>
                              </w:r>
                              <w:r>
                                <w:rPr>
                                  <w:spacing w:val="-5"/>
                                  <w:w w:val="105"/>
                                  <w:sz w:val="15"/>
                                </w:rPr>
                                <w:t> 184</w:t>
                              </w:r>
                            </w:p>
                          </w:txbxContent>
                        </wps:txbx>
                        <wps:bodyPr wrap="square" lIns="0" tIns="0" rIns="0" bIns="0" rtlCol="0">
                          <a:noAutofit/>
                        </wps:bodyPr>
                      </wps:wsp>
                    </wpg:wgp>
                  </a:graphicData>
                </a:graphic>
              </wp:anchor>
            </w:drawing>
          </mc:Choice>
          <mc:Fallback>
            <w:pict>
              <v:group style="position:absolute;margin-left:387.28299pt;margin-top:48.282181pt;width:67.4pt;height:15.2pt;mso-position-horizontal-relative:page;mso-position-vertical-relative:paragraph;z-index:15873536" id="docshapegroup487" coordorigin="7746,966" coordsize="1348,304">
                <v:shape style="position:absolute;left:7745;top:965;width:1348;height:304" type="#_x0000_t75" id="docshape488" stroked="false">
                  <v:imagedata r:id="rId23" o:title=""/>
                </v:shape>
                <v:shape style="position:absolute;left:7745;top:965;width:1348;height:304" type="#_x0000_t202" id="docshape489" filled="false" stroked="false">
                  <v:textbox inset="0,0,0,0">
                    <w:txbxContent>
                      <w:p>
                        <w:pPr>
                          <w:spacing w:before="106"/>
                          <w:ind w:left="337" w:right="0" w:firstLine="0"/>
                          <w:jc w:val="left"/>
                          <w:rPr>
                            <w:sz w:val="15"/>
                          </w:rPr>
                        </w:pPr>
                        <w:r>
                          <w:rPr>
                            <w:w w:val="105"/>
                            <w:sz w:val="15"/>
                          </w:rPr>
                          <w:t>Page</w:t>
                        </w:r>
                        <w:r>
                          <w:rPr>
                            <w:spacing w:val="-5"/>
                            <w:w w:val="105"/>
                            <w:sz w:val="15"/>
                          </w:rPr>
                          <w:t> 184</w:t>
                        </w:r>
                      </w:p>
                    </w:txbxContent>
                  </v:textbox>
                  <w10:wrap type="none"/>
                </v:shape>
                <w10:wrap type="none"/>
              </v:group>
            </w:pict>
          </mc:Fallback>
        </mc:AlternateContent>
      </w:r>
      <w:r>
        <w:rPr>
          <w:rFonts w:ascii="Verdana"/>
          <w:sz w:val="20"/>
        </w:rPr>
        <w:t>Website:</w:t>
      </w:r>
      <w:r>
        <w:rPr>
          <w:rFonts w:ascii="Verdana"/>
          <w:spacing w:val="-8"/>
          <w:sz w:val="20"/>
        </w:rPr>
        <w:t> </w:t>
      </w:r>
      <w:r>
        <w:rPr>
          <w:rFonts w:ascii="Verdana"/>
          <w:color w:val="0000FF"/>
          <w:sz w:val="20"/>
          <w:u w:val="single" w:color="0000FF"/>
        </w:rPr>
        <w:t>Audit</w:t>
      </w:r>
      <w:r>
        <w:rPr>
          <w:rFonts w:ascii="Verdana"/>
          <w:color w:val="0000FF"/>
          <w:spacing w:val="-6"/>
          <w:sz w:val="20"/>
          <w:u w:val="single" w:color="0000FF"/>
        </w:rPr>
        <w:t> </w:t>
      </w:r>
      <w:r>
        <w:rPr>
          <w:rFonts w:ascii="Verdana"/>
          <w:color w:val="0000FF"/>
          <w:sz w:val="20"/>
          <w:u w:val="single" w:color="0000FF"/>
        </w:rPr>
        <w:t>&amp;</w:t>
      </w:r>
      <w:r>
        <w:rPr>
          <w:rFonts w:ascii="Verdana"/>
          <w:color w:val="0000FF"/>
          <w:spacing w:val="-9"/>
          <w:sz w:val="20"/>
          <w:u w:val="single" w:color="0000FF"/>
        </w:rPr>
        <w:t> </w:t>
      </w:r>
      <w:r>
        <w:rPr>
          <w:rFonts w:ascii="Verdana"/>
          <w:color w:val="0000FF"/>
          <w:sz w:val="20"/>
          <w:u w:val="single" w:color="0000FF"/>
        </w:rPr>
        <w:t>Assurance</w:t>
      </w:r>
      <w:r>
        <w:rPr>
          <w:rFonts w:ascii="Verdana"/>
          <w:color w:val="0000FF"/>
          <w:spacing w:val="-8"/>
          <w:sz w:val="20"/>
          <w:u w:val="single" w:color="0000FF"/>
        </w:rPr>
        <w:t> </w:t>
      </w:r>
      <w:r>
        <w:rPr>
          <w:rFonts w:ascii="Verdana"/>
          <w:color w:val="0000FF"/>
          <w:sz w:val="20"/>
          <w:u w:val="single" w:color="0000FF"/>
        </w:rPr>
        <w:t>Services</w:t>
      </w:r>
      <w:r>
        <w:rPr>
          <w:rFonts w:ascii="Verdana"/>
          <w:color w:val="0000FF"/>
          <w:spacing w:val="-5"/>
          <w:sz w:val="20"/>
          <w:u w:val="single" w:color="0000FF"/>
        </w:rPr>
        <w:t> </w:t>
      </w:r>
      <w:r>
        <w:rPr>
          <w:rFonts w:ascii="Verdana"/>
          <w:color w:val="0000FF"/>
          <w:sz w:val="20"/>
          <w:u w:val="single" w:color="0000FF"/>
        </w:rPr>
        <w:t>-</w:t>
      </w:r>
      <w:r>
        <w:rPr>
          <w:rFonts w:ascii="Verdana"/>
          <w:color w:val="0000FF"/>
          <w:spacing w:val="-4"/>
          <w:sz w:val="20"/>
          <w:u w:val="single" w:color="0000FF"/>
        </w:rPr>
        <w:t> </w:t>
      </w:r>
      <w:r>
        <w:rPr>
          <w:rFonts w:ascii="Verdana"/>
          <w:color w:val="0000FF"/>
          <w:sz w:val="20"/>
          <w:u w:val="single" w:color="0000FF"/>
        </w:rPr>
        <w:t>NHS</w:t>
      </w:r>
      <w:r>
        <w:rPr>
          <w:rFonts w:ascii="Verdana"/>
          <w:color w:val="0000FF"/>
          <w:spacing w:val="-5"/>
          <w:sz w:val="20"/>
          <w:u w:val="single" w:color="0000FF"/>
        </w:rPr>
        <w:t> </w:t>
      </w:r>
      <w:r>
        <w:rPr>
          <w:rFonts w:ascii="Verdana"/>
          <w:color w:val="0000FF"/>
          <w:sz w:val="20"/>
          <w:u w:val="single" w:color="0000FF"/>
        </w:rPr>
        <w:t>Wales</w:t>
      </w:r>
      <w:r>
        <w:rPr>
          <w:rFonts w:ascii="Verdana"/>
          <w:color w:val="0000FF"/>
          <w:spacing w:val="-8"/>
          <w:sz w:val="20"/>
          <w:u w:val="single" w:color="0000FF"/>
        </w:rPr>
        <w:t> </w:t>
      </w:r>
      <w:r>
        <w:rPr>
          <w:rFonts w:ascii="Verdana"/>
          <w:color w:val="0000FF"/>
          <w:sz w:val="20"/>
          <w:u w:val="single" w:color="0000FF"/>
        </w:rPr>
        <w:t>Shared</w:t>
      </w:r>
      <w:r>
        <w:rPr>
          <w:rFonts w:ascii="Verdana"/>
          <w:color w:val="0000FF"/>
          <w:spacing w:val="-5"/>
          <w:sz w:val="20"/>
          <w:u w:val="single" w:color="0000FF"/>
        </w:rPr>
        <w:t> </w:t>
      </w:r>
      <w:r>
        <w:rPr>
          <w:rFonts w:ascii="Verdana"/>
          <w:color w:val="0000FF"/>
          <w:sz w:val="20"/>
          <w:u w:val="single" w:color="0000FF"/>
        </w:rPr>
        <w:t>Services</w:t>
      </w:r>
      <w:r>
        <w:rPr>
          <w:rFonts w:ascii="Verdana"/>
          <w:color w:val="0000FF"/>
          <w:spacing w:val="-6"/>
          <w:sz w:val="20"/>
          <w:u w:val="single" w:color="0000FF"/>
        </w:rPr>
        <w:t> </w:t>
      </w:r>
      <w:r>
        <w:rPr>
          <w:rFonts w:ascii="Verdana"/>
          <w:color w:val="0000FF"/>
          <w:spacing w:val="-2"/>
          <w:sz w:val="20"/>
          <w:u w:val="single" w:color="0000FF"/>
        </w:rPr>
        <w:t>Partnership</w:t>
      </w:r>
    </w:p>
    <w:p>
      <w:pPr>
        <w:pStyle w:val="BodyText"/>
        <w:spacing w:before="7"/>
        <w:rPr>
          <w:rFonts w:ascii="Verdana"/>
          <w:sz w:val="6"/>
        </w:rPr>
      </w:pPr>
      <w:r>
        <w:rPr>
          <w:rFonts w:ascii="Verdana"/>
          <w:sz w:val="6"/>
        </w:rPr>
        <w:drawing>
          <wp:anchor distT="0" distB="0" distL="0" distR="0" allowOverlap="1" layoutInCell="1" locked="0" behindDoc="1" simplePos="0" relativeHeight="487731200">
            <wp:simplePos x="0" y="0"/>
            <wp:positionH relativeFrom="page">
              <wp:posOffset>203834</wp:posOffset>
            </wp:positionH>
            <wp:positionV relativeFrom="paragraph">
              <wp:posOffset>66014</wp:posOffset>
            </wp:positionV>
            <wp:extent cx="1449831" cy="434054"/>
            <wp:effectExtent l="0" t="0" r="0" b="0"/>
            <wp:wrapTopAndBottom/>
            <wp:docPr id="728" name="Image 728"/>
            <wp:cNvGraphicFramePr>
              <a:graphicFrameLocks/>
            </wp:cNvGraphicFramePr>
            <a:graphic>
              <a:graphicData uri="http://schemas.openxmlformats.org/drawingml/2006/picture">
                <pic:pic>
                  <pic:nvPicPr>
                    <pic:cNvPr id="728" name="Image 728"/>
                    <pic:cNvPicPr/>
                  </pic:nvPicPr>
                  <pic:blipFill>
                    <a:blip r:embed="rId108" cstate="print"/>
                    <a:stretch>
                      <a:fillRect/>
                    </a:stretch>
                  </pic:blipFill>
                  <pic:spPr>
                    <a:xfrm>
                      <a:off x="0" y="0"/>
                      <a:ext cx="1449831" cy="434054"/>
                    </a:xfrm>
                    <a:prstGeom prst="rect">
                      <a:avLst/>
                    </a:prstGeom>
                  </pic:spPr>
                </pic:pic>
              </a:graphicData>
            </a:graphic>
          </wp:anchor>
        </w:drawing>
      </w:r>
      <w:r>
        <w:rPr>
          <w:rFonts w:ascii="Verdana"/>
          <w:sz w:val="6"/>
        </w:rPr>
        <mc:AlternateContent>
          <mc:Choice Requires="wps">
            <w:drawing>
              <wp:anchor distT="0" distB="0" distL="0" distR="0" allowOverlap="1" layoutInCell="1" locked="0" behindDoc="1" simplePos="0" relativeHeight="487731712">
                <wp:simplePos x="0" y="0"/>
                <wp:positionH relativeFrom="page">
                  <wp:posOffset>10067290</wp:posOffset>
                </wp:positionH>
                <wp:positionV relativeFrom="paragraph">
                  <wp:posOffset>455117</wp:posOffset>
                </wp:positionV>
                <wp:extent cx="419734" cy="6350"/>
                <wp:effectExtent l="0" t="0" r="0" b="0"/>
                <wp:wrapTopAndBottom/>
                <wp:docPr id="729" name="Graphic 729"/>
                <wp:cNvGraphicFramePr>
                  <a:graphicFrameLocks/>
                </wp:cNvGraphicFramePr>
                <a:graphic>
                  <a:graphicData uri="http://schemas.microsoft.com/office/word/2010/wordprocessingShape">
                    <wps:wsp>
                      <wps:cNvPr id="729" name="Graphic 729"/>
                      <wps:cNvSpPr/>
                      <wps:spPr>
                        <a:xfrm>
                          <a:off x="0" y="0"/>
                          <a:ext cx="419734" cy="6350"/>
                        </a:xfrm>
                        <a:custGeom>
                          <a:avLst/>
                          <a:gdLst/>
                          <a:ahLst/>
                          <a:cxnLst/>
                          <a:rect l="l" t="t" r="r" b="b"/>
                          <a:pathLst>
                            <a:path w="419734" h="6350">
                              <a:moveTo>
                                <a:pt x="419404" y="0"/>
                              </a:moveTo>
                              <a:lnTo>
                                <a:pt x="0" y="0"/>
                              </a:lnTo>
                              <a:lnTo>
                                <a:pt x="0" y="6095"/>
                              </a:lnTo>
                              <a:lnTo>
                                <a:pt x="419404" y="6095"/>
                              </a:lnTo>
                              <a:lnTo>
                                <a:pt x="419404"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rect style="position:absolute;margin-left:792.700012pt;margin-top:35.836040pt;width:33.024pt;height:.47998pt;mso-position-horizontal-relative:page;mso-position-vertical-relative:paragraph;z-index:-15584768;mso-wrap-distance-left:0;mso-wrap-distance-right:0" id="docshape490" filled="true" fillcolor="#7e7e7e" stroked="false">
                <v:fill type="solid"/>
                <w10:wrap type="topAndBottom"/>
              </v:rect>
            </w:pict>
          </mc:Fallback>
        </mc:AlternateContent>
      </w:r>
    </w:p>
    <w:p>
      <w:pPr>
        <w:spacing w:before="0"/>
        <w:ind w:left="0" w:right="397" w:firstLine="0"/>
        <w:jc w:val="right"/>
        <w:rPr>
          <w:rFonts w:ascii="Calibri"/>
          <w:b/>
          <w:sz w:val="22"/>
        </w:rPr>
      </w:pPr>
      <w:r>
        <w:rPr>
          <w:rFonts w:ascii="Calibri"/>
          <w:b/>
          <w:color w:val="001F5F"/>
          <w:spacing w:val="-5"/>
          <w:sz w:val="22"/>
        </w:rPr>
        <w:t>10</w:t>
      </w:r>
    </w:p>
    <w:p>
      <w:pPr>
        <w:spacing w:after="0"/>
        <w:jc w:val="right"/>
        <w:rPr>
          <w:rFonts w:ascii="Calibri"/>
          <w:b/>
          <w:sz w:val="22"/>
        </w:rPr>
        <w:sectPr>
          <w:footerReference w:type="default" r:id="rId101"/>
          <w:pgSz w:w="16840" w:h="11910" w:orient="landscape"/>
          <w:pgMar w:header="0" w:footer="0" w:top="640" w:bottom="0" w:left="141" w:right="141"/>
        </w:sectPr>
      </w:pPr>
    </w:p>
    <w:p>
      <w:pPr>
        <w:spacing w:before="96"/>
        <w:ind w:left="0" w:right="0" w:firstLine="0"/>
        <w:jc w:val="center"/>
        <w:rPr>
          <w:rFonts w:ascii="Calibri"/>
          <w:b/>
          <w:sz w:val="22"/>
        </w:rPr>
      </w:pPr>
      <w:bookmarkStart w:name="RJC 43c IA RJC Governance  Management Re" w:id="80"/>
      <w:bookmarkEnd w:id="80"/>
      <w:r>
        <w:rPr/>
      </w:r>
      <w:r>
        <w:rPr>
          <w:rFonts w:ascii="Calibri"/>
          <w:b/>
          <w:sz w:val="22"/>
          <w:u w:val="single"/>
        </w:rPr>
        <w:t>ACTION</w:t>
      </w:r>
      <w:r>
        <w:rPr>
          <w:rFonts w:ascii="Calibri"/>
          <w:b/>
          <w:spacing w:val="-3"/>
          <w:sz w:val="22"/>
          <w:u w:val="single"/>
        </w:rPr>
        <w:t> </w:t>
      </w:r>
      <w:r>
        <w:rPr>
          <w:rFonts w:ascii="Calibri"/>
          <w:b/>
          <w:sz w:val="22"/>
          <w:u w:val="single"/>
        </w:rPr>
        <w:t>PLAN</w:t>
      </w:r>
      <w:r>
        <w:rPr>
          <w:rFonts w:ascii="Calibri"/>
          <w:b/>
          <w:spacing w:val="1"/>
          <w:sz w:val="22"/>
          <w:u w:val="single"/>
        </w:rPr>
        <w:t> </w:t>
      </w:r>
      <w:r>
        <w:rPr>
          <w:rFonts w:ascii="Calibri"/>
          <w:b/>
          <w:sz w:val="22"/>
          <w:u w:val="single"/>
        </w:rPr>
        <w:t>/</w:t>
      </w:r>
      <w:r>
        <w:rPr>
          <w:rFonts w:ascii="Calibri"/>
          <w:b/>
          <w:spacing w:val="-6"/>
          <w:sz w:val="22"/>
          <w:u w:val="single"/>
        </w:rPr>
        <w:t> </w:t>
      </w:r>
      <w:r>
        <w:rPr>
          <w:rFonts w:ascii="Calibri"/>
          <w:b/>
          <w:sz w:val="22"/>
          <w:u w:val="single"/>
        </w:rPr>
        <w:t>DEVELOPMENT</w:t>
      </w:r>
      <w:r>
        <w:rPr>
          <w:rFonts w:ascii="Calibri"/>
          <w:b/>
          <w:spacing w:val="-4"/>
          <w:sz w:val="22"/>
          <w:u w:val="single"/>
        </w:rPr>
        <w:t> </w:t>
      </w:r>
      <w:r>
        <w:rPr>
          <w:rFonts w:ascii="Calibri"/>
          <w:b/>
          <w:sz w:val="22"/>
          <w:u w:val="single"/>
        </w:rPr>
        <w:t>OF</w:t>
      </w:r>
      <w:r>
        <w:rPr>
          <w:rFonts w:ascii="Calibri"/>
          <w:b/>
          <w:spacing w:val="-1"/>
          <w:sz w:val="22"/>
          <w:u w:val="single"/>
        </w:rPr>
        <w:t> </w:t>
      </w:r>
      <w:r>
        <w:rPr>
          <w:rFonts w:ascii="Calibri"/>
          <w:b/>
          <w:sz w:val="22"/>
          <w:u w:val="single"/>
        </w:rPr>
        <w:t>MANAGEMENT</w:t>
      </w:r>
      <w:r>
        <w:rPr>
          <w:rFonts w:ascii="Calibri"/>
          <w:b/>
          <w:spacing w:val="-4"/>
          <w:sz w:val="22"/>
          <w:u w:val="single"/>
        </w:rPr>
        <w:t> </w:t>
      </w:r>
      <w:r>
        <w:rPr>
          <w:rFonts w:ascii="Calibri"/>
          <w:b/>
          <w:spacing w:val="-2"/>
          <w:sz w:val="22"/>
          <w:u w:val="single"/>
        </w:rPr>
        <w:t>RESPONSES</w:t>
      </w:r>
    </w:p>
    <w:p>
      <w:pPr>
        <w:spacing w:before="182"/>
        <w:ind w:left="1299" w:right="0" w:firstLine="0"/>
        <w:jc w:val="left"/>
        <w:rPr>
          <w:rFonts w:ascii="Calibri"/>
          <w:b/>
          <w:sz w:val="22"/>
        </w:rPr>
      </w:pPr>
      <w:r>
        <w:rPr>
          <w:rFonts w:ascii="Calibri"/>
          <w:b/>
          <w:spacing w:val="-2"/>
          <w:sz w:val="22"/>
          <w:u w:val="single"/>
        </w:rPr>
        <w:t>Process</w:t>
      </w:r>
    </w:p>
    <w:p>
      <w:pPr>
        <w:spacing w:before="181"/>
        <w:ind w:left="1299" w:right="0" w:firstLine="0"/>
        <w:jc w:val="left"/>
        <w:rPr>
          <w:rFonts w:ascii="Calibri"/>
          <w:sz w:val="22"/>
        </w:rPr>
      </w:pPr>
      <w:r>
        <w:rPr>
          <w:rFonts w:ascii="Calibri"/>
          <w:b/>
          <w:sz w:val="22"/>
        </w:rPr>
        <w:t>Within</w:t>
      </w:r>
      <w:r>
        <w:rPr>
          <w:rFonts w:ascii="Calibri"/>
          <w:b/>
          <w:spacing w:val="-2"/>
          <w:sz w:val="22"/>
        </w:rPr>
        <w:t> </w:t>
      </w:r>
      <w:r>
        <w:rPr>
          <w:rFonts w:ascii="Calibri"/>
          <w:b/>
          <w:sz w:val="22"/>
        </w:rPr>
        <w:t>one</w:t>
      </w:r>
      <w:r>
        <w:rPr>
          <w:rFonts w:ascii="Calibri"/>
          <w:b/>
          <w:spacing w:val="-3"/>
          <w:sz w:val="22"/>
        </w:rPr>
        <w:t> </w:t>
      </w:r>
      <w:r>
        <w:rPr>
          <w:rFonts w:ascii="Calibri"/>
          <w:b/>
          <w:sz w:val="22"/>
        </w:rPr>
        <w:t>month</w:t>
      </w:r>
      <w:r>
        <w:rPr>
          <w:rFonts w:ascii="Calibri"/>
          <w:b/>
          <w:spacing w:val="2"/>
          <w:sz w:val="22"/>
        </w:rPr>
        <w:t> </w:t>
      </w:r>
      <w:r>
        <w:rPr>
          <w:rFonts w:ascii="Calibri"/>
          <w:sz w:val="22"/>
        </w:rPr>
        <w:t>of</w:t>
      </w:r>
      <w:r>
        <w:rPr>
          <w:rFonts w:ascii="Calibri"/>
          <w:spacing w:val="-4"/>
          <w:sz w:val="22"/>
        </w:rPr>
        <w:t> </w:t>
      </w:r>
      <w:r>
        <w:rPr>
          <w:rFonts w:ascii="Calibri"/>
          <w:sz w:val="22"/>
        </w:rPr>
        <w:t>receipt</w:t>
      </w:r>
      <w:r>
        <w:rPr>
          <w:rFonts w:ascii="Calibri"/>
          <w:spacing w:val="-1"/>
          <w:sz w:val="22"/>
        </w:rPr>
        <w:t> </w:t>
      </w:r>
      <w:r>
        <w:rPr>
          <w:rFonts w:ascii="Calibri"/>
          <w:sz w:val="22"/>
        </w:rPr>
        <w:t>of</w:t>
      </w:r>
      <w:r>
        <w:rPr>
          <w:rFonts w:ascii="Calibri"/>
          <w:spacing w:val="-5"/>
          <w:sz w:val="22"/>
        </w:rPr>
        <w:t> </w:t>
      </w:r>
      <w:r>
        <w:rPr>
          <w:rFonts w:ascii="Calibri"/>
          <w:sz w:val="22"/>
        </w:rPr>
        <w:t>report,</w:t>
      </w:r>
      <w:r>
        <w:rPr>
          <w:rFonts w:ascii="Calibri"/>
          <w:spacing w:val="-3"/>
          <w:sz w:val="22"/>
        </w:rPr>
        <w:t> </w:t>
      </w:r>
      <w:r>
        <w:rPr>
          <w:rFonts w:ascii="Calibri"/>
          <w:sz w:val="22"/>
        </w:rPr>
        <w:t>please</w:t>
      </w:r>
      <w:r>
        <w:rPr>
          <w:rFonts w:ascii="Calibri"/>
          <w:spacing w:val="-2"/>
          <w:sz w:val="22"/>
        </w:rPr>
        <w:t> </w:t>
      </w:r>
      <w:r>
        <w:rPr>
          <w:rFonts w:ascii="Calibri"/>
          <w:sz w:val="22"/>
        </w:rPr>
        <w:t>complete</w:t>
      </w:r>
      <w:r>
        <w:rPr>
          <w:rFonts w:ascii="Calibri"/>
          <w:spacing w:val="-2"/>
          <w:sz w:val="22"/>
        </w:rPr>
        <w:t> </w:t>
      </w:r>
      <w:r>
        <w:rPr>
          <w:rFonts w:ascii="Calibri"/>
          <w:sz w:val="22"/>
        </w:rPr>
        <w:t>the</w:t>
      </w:r>
      <w:r>
        <w:rPr>
          <w:rFonts w:ascii="Calibri"/>
          <w:spacing w:val="-2"/>
          <w:sz w:val="22"/>
        </w:rPr>
        <w:t> </w:t>
      </w:r>
      <w:r>
        <w:rPr>
          <w:rFonts w:ascii="Calibri"/>
          <w:sz w:val="22"/>
        </w:rPr>
        <w:t>table</w:t>
      </w:r>
      <w:r>
        <w:rPr>
          <w:rFonts w:ascii="Calibri"/>
          <w:spacing w:val="-2"/>
          <w:sz w:val="22"/>
        </w:rPr>
        <w:t> </w:t>
      </w:r>
      <w:r>
        <w:rPr>
          <w:rFonts w:ascii="Calibri"/>
          <w:sz w:val="22"/>
        </w:rPr>
        <w:t>below</w:t>
      </w:r>
      <w:r>
        <w:rPr>
          <w:rFonts w:ascii="Calibri"/>
          <w:spacing w:val="-5"/>
          <w:sz w:val="22"/>
        </w:rPr>
        <w:t> </w:t>
      </w:r>
      <w:r>
        <w:rPr>
          <w:rFonts w:ascii="Calibri"/>
          <w:sz w:val="22"/>
        </w:rPr>
        <w:t>to</w:t>
      </w:r>
      <w:r>
        <w:rPr>
          <w:rFonts w:ascii="Calibri"/>
          <w:spacing w:val="-3"/>
          <w:sz w:val="22"/>
        </w:rPr>
        <w:t> </w:t>
      </w:r>
      <w:r>
        <w:rPr>
          <w:rFonts w:ascii="Calibri"/>
          <w:spacing w:val="-2"/>
          <w:sz w:val="22"/>
        </w:rPr>
        <w:t>confirm:</w:t>
      </w:r>
    </w:p>
    <w:p>
      <w:pPr>
        <w:pStyle w:val="ListParagraph"/>
        <w:numPr>
          <w:ilvl w:val="3"/>
          <w:numId w:val="96"/>
        </w:numPr>
        <w:tabs>
          <w:tab w:pos="1658" w:val="left" w:leader="none"/>
        </w:tabs>
        <w:spacing w:line="240" w:lineRule="auto" w:before="182" w:after="0"/>
        <w:ind w:left="1658" w:right="0" w:hanging="359"/>
        <w:jc w:val="left"/>
        <w:rPr>
          <w:rFonts w:ascii="Calibri"/>
          <w:sz w:val="22"/>
        </w:rPr>
      </w:pPr>
      <w:r>
        <w:rPr>
          <w:rFonts w:ascii="Calibri"/>
          <w:sz w:val="22"/>
        </w:rPr>
        <w:t>If</w:t>
      </w:r>
      <w:r>
        <w:rPr>
          <w:rFonts w:ascii="Calibri"/>
          <w:spacing w:val="-7"/>
          <w:sz w:val="22"/>
        </w:rPr>
        <w:t> </w:t>
      </w:r>
      <w:r>
        <w:rPr>
          <w:rFonts w:ascii="Calibri"/>
          <w:sz w:val="22"/>
        </w:rPr>
        <w:t>the</w:t>
      </w:r>
      <w:r>
        <w:rPr>
          <w:rFonts w:ascii="Calibri"/>
          <w:spacing w:val="-2"/>
          <w:sz w:val="22"/>
        </w:rPr>
        <w:t> </w:t>
      </w:r>
      <w:r>
        <w:rPr>
          <w:rFonts w:ascii="Calibri"/>
          <w:sz w:val="22"/>
        </w:rPr>
        <w:t>recommendation</w:t>
      </w:r>
      <w:r>
        <w:rPr>
          <w:rFonts w:ascii="Calibri"/>
          <w:spacing w:val="-3"/>
          <w:sz w:val="22"/>
        </w:rPr>
        <w:t> </w:t>
      </w:r>
      <w:r>
        <w:rPr>
          <w:rFonts w:ascii="Calibri"/>
          <w:sz w:val="22"/>
        </w:rPr>
        <w:t>is</w:t>
      </w:r>
      <w:r>
        <w:rPr>
          <w:rFonts w:ascii="Calibri"/>
          <w:spacing w:val="-4"/>
          <w:sz w:val="22"/>
        </w:rPr>
        <w:t> </w:t>
      </w:r>
      <w:r>
        <w:rPr>
          <w:rFonts w:ascii="Calibri"/>
          <w:sz w:val="22"/>
        </w:rPr>
        <w:t>accepted</w:t>
      </w:r>
      <w:r>
        <w:rPr>
          <w:rFonts w:ascii="Calibri"/>
          <w:spacing w:val="-3"/>
          <w:sz w:val="22"/>
        </w:rPr>
        <w:t> </w:t>
      </w:r>
      <w:r>
        <w:rPr>
          <w:rFonts w:ascii="Calibri"/>
          <w:sz w:val="22"/>
        </w:rPr>
        <w:t>or</w:t>
      </w:r>
      <w:r>
        <w:rPr>
          <w:rFonts w:ascii="Calibri"/>
          <w:spacing w:val="-3"/>
          <w:sz w:val="22"/>
        </w:rPr>
        <w:t> </w:t>
      </w:r>
      <w:r>
        <w:rPr>
          <w:rFonts w:ascii="Calibri"/>
          <w:sz w:val="22"/>
        </w:rPr>
        <w:t>not</w:t>
      </w:r>
      <w:r>
        <w:rPr>
          <w:rFonts w:ascii="Calibri"/>
          <w:spacing w:val="-1"/>
          <w:sz w:val="22"/>
        </w:rPr>
        <w:t> </w:t>
      </w:r>
      <w:r>
        <w:rPr>
          <w:rFonts w:ascii="Calibri"/>
          <w:sz w:val="22"/>
        </w:rPr>
        <w:t>(justification</w:t>
      </w:r>
      <w:r>
        <w:rPr>
          <w:rFonts w:ascii="Calibri"/>
          <w:spacing w:val="-3"/>
          <w:sz w:val="22"/>
        </w:rPr>
        <w:t> </w:t>
      </w:r>
      <w:r>
        <w:rPr>
          <w:rFonts w:ascii="Calibri"/>
          <w:sz w:val="22"/>
        </w:rPr>
        <w:t>must</w:t>
      </w:r>
      <w:r>
        <w:rPr>
          <w:rFonts w:ascii="Calibri"/>
          <w:spacing w:val="-1"/>
          <w:sz w:val="22"/>
        </w:rPr>
        <w:t> </w:t>
      </w:r>
      <w:r>
        <w:rPr>
          <w:rFonts w:ascii="Calibri"/>
          <w:sz w:val="22"/>
        </w:rPr>
        <w:t>be</w:t>
      </w:r>
      <w:r>
        <w:rPr>
          <w:rFonts w:ascii="Calibri"/>
          <w:spacing w:val="-2"/>
          <w:sz w:val="22"/>
        </w:rPr>
        <w:t> </w:t>
      </w:r>
      <w:r>
        <w:rPr>
          <w:rFonts w:ascii="Calibri"/>
          <w:sz w:val="22"/>
        </w:rPr>
        <w:t>documented</w:t>
      </w:r>
      <w:r>
        <w:rPr>
          <w:rFonts w:ascii="Calibri"/>
          <w:spacing w:val="-3"/>
          <w:sz w:val="22"/>
        </w:rPr>
        <w:t> </w:t>
      </w:r>
      <w:r>
        <w:rPr>
          <w:rFonts w:ascii="Calibri"/>
          <w:sz w:val="22"/>
        </w:rPr>
        <w:t>if</w:t>
      </w:r>
      <w:r>
        <w:rPr>
          <w:rFonts w:ascii="Calibri"/>
          <w:spacing w:val="-5"/>
          <w:sz w:val="22"/>
        </w:rPr>
        <w:t> </w:t>
      </w:r>
      <w:r>
        <w:rPr>
          <w:rFonts w:ascii="Calibri"/>
          <w:sz w:val="22"/>
        </w:rPr>
        <w:t>not </w:t>
      </w:r>
      <w:r>
        <w:rPr>
          <w:rFonts w:ascii="Calibri"/>
          <w:spacing w:val="-2"/>
          <w:sz w:val="22"/>
        </w:rPr>
        <w:t>accepted);</w:t>
      </w:r>
    </w:p>
    <w:p>
      <w:pPr>
        <w:pStyle w:val="ListParagraph"/>
        <w:numPr>
          <w:ilvl w:val="3"/>
          <w:numId w:val="96"/>
        </w:numPr>
        <w:tabs>
          <w:tab w:pos="1658" w:val="left" w:leader="none"/>
        </w:tabs>
        <w:spacing w:line="240" w:lineRule="auto" w:before="22" w:after="0"/>
        <w:ind w:left="1658" w:right="0" w:hanging="359"/>
        <w:jc w:val="left"/>
        <w:rPr>
          <w:rFonts w:ascii="Calibri"/>
          <w:sz w:val="22"/>
        </w:rPr>
      </w:pPr>
      <w:r>
        <w:rPr>
          <w:rFonts w:ascii="Calibri"/>
          <w:sz w:val="22"/>
        </w:rPr>
        <w:t>A</w:t>
      </w:r>
      <w:r>
        <w:rPr>
          <w:rFonts w:ascii="Calibri"/>
          <w:spacing w:val="-7"/>
          <w:sz w:val="22"/>
        </w:rPr>
        <w:t> </w:t>
      </w:r>
      <w:r>
        <w:rPr>
          <w:rFonts w:ascii="Calibri"/>
          <w:sz w:val="22"/>
        </w:rPr>
        <w:t>management</w:t>
      </w:r>
      <w:r>
        <w:rPr>
          <w:rFonts w:ascii="Calibri"/>
          <w:spacing w:val="-2"/>
          <w:sz w:val="22"/>
        </w:rPr>
        <w:t> </w:t>
      </w:r>
      <w:r>
        <w:rPr>
          <w:rFonts w:ascii="Calibri"/>
          <w:sz w:val="22"/>
        </w:rPr>
        <w:t>response</w:t>
      </w:r>
      <w:r>
        <w:rPr>
          <w:rFonts w:ascii="Calibri"/>
          <w:spacing w:val="-2"/>
          <w:sz w:val="22"/>
        </w:rPr>
        <w:t> </w:t>
      </w:r>
      <w:r>
        <w:rPr>
          <w:rFonts w:ascii="Calibri"/>
          <w:sz w:val="22"/>
        </w:rPr>
        <w:t>to</w:t>
      </w:r>
      <w:r>
        <w:rPr>
          <w:rFonts w:ascii="Calibri"/>
          <w:spacing w:val="-2"/>
          <w:sz w:val="22"/>
        </w:rPr>
        <w:t> </w:t>
      </w:r>
      <w:r>
        <w:rPr>
          <w:rFonts w:ascii="Calibri"/>
          <w:sz w:val="22"/>
        </w:rPr>
        <w:t>the</w:t>
      </w:r>
      <w:r>
        <w:rPr>
          <w:rFonts w:ascii="Calibri"/>
          <w:spacing w:val="-2"/>
          <w:sz w:val="22"/>
        </w:rPr>
        <w:t> </w:t>
      </w:r>
      <w:r>
        <w:rPr>
          <w:rFonts w:ascii="Calibri"/>
          <w:sz w:val="22"/>
        </w:rPr>
        <w:t>accepted</w:t>
      </w:r>
      <w:r>
        <w:rPr>
          <w:rFonts w:ascii="Calibri"/>
          <w:spacing w:val="-3"/>
          <w:sz w:val="22"/>
        </w:rPr>
        <w:t> </w:t>
      </w:r>
      <w:r>
        <w:rPr>
          <w:rFonts w:ascii="Calibri"/>
          <w:sz w:val="22"/>
        </w:rPr>
        <w:t>recommendations</w:t>
      </w:r>
      <w:r>
        <w:rPr>
          <w:rFonts w:ascii="Calibri"/>
          <w:spacing w:val="-3"/>
          <w:sz w:val="22"/>
        </w:rPr>
        <w:t> </w:t>
      </w:r>
      <w:r>
        <w:rPr>
          <w:rFonts w:ascii="Calibri"/>
          <w:spacing w:val="-2"/>
          <w:sz w:val="22"/>
        </w:rPr>
        <w:t>detailing:</w:t>
      </w:r>
    </w:p>
    <w:p>
      <w:pPr>
        <w:pStyle w:val="ListParagraph"/>
        <w:numPr>
          <w:ilvl w:val="4"/>
          <w:numId w:val="96"/>
        </w:numPr>
        <w:tabs>
          <w:tab w:pos="2019" w:val="left" w:leader="none"/>
        </w:tabs>
        <w:spacing w:line="259" w:lineRule="auto" w:before="21" w:after="0"/>
        <w:ind w:left="2019" w:right="1316" w:hanging="360"/>
        <w:jc w:val="left"/>
        <w:rPr>
          <w:rFonts w:ascii="Calibri"/>
          <w:sz w:val="22"/>
        </w:rPr>
      </w:pPr>
      <w:r>
        <w:rPr>
          <w:rFonts w:ascii="Calibri"/>
          <w:sz w:val="22"/>
        </w:rPr>
        <w:t>how</w:t>
      </w:r>
      <w:r>
        <w:rPr>
          <w:rFonts w:ascii="Calibri"/>
          <w:spacing w:val="-1"/>
          <w:sz w:val="22"/>
        </w:rPr>
        <w:t> </w:t>
      </w:r>
      <w:r>
        <w:rPr>
          <w:rFonts w:ascii="Calibri"/>
          <w:sz w:val="22"/>
        </w:rPr>
        <w:t>it will be implemented, ie the actions that will be undertaken to fully implement the recommendation. Consideration must be given to what is within</w:t>
      </w:r>
      <w:r>
        <w:rPr>
          <w:rFonts w:ascii="Calibri"/>
          <w:spacing w:val="-3"/>
          <w:sz w:val="22"/>
        </w:rPr>
        <w:t> </w:t>
      </w:r>
      <w:r>
        <w:rPr>
          <w:rFonts w:ascii="Calibri"/>
          <w:sz w:val="22"/>
        </w:rPr>
        <w:t>the</w:t>
      </w:r>
      <w:r>
        <w:rPr>
          <w:rFonts w:ascii="Calibri"/>
          <w:spacing w:val="-2"/>
          <w:sz w:val="22"/>
        </w:rPr>
        <w:t> </w:t>
      </w:r>
      <w:r>
        <w:rPr>
          <w:rFonts w:ascii="Calibri"/>
          <w:sz w:val="22"/>
        </w:rPr>
        <w:t>means</w:t>
      </w:r>
      <w:r>
        <w:rPr>
          <w:rFonts w:ascii="Calibri"/>
          <w:spacing w:val="-4"/>
          <w:sz w:val="22"/>
        </w:rPr>
        <w:t> </w:t>
      </w:r>
      <w:r>
        <w:rPr>
          <w:rFonts w:ascii="Calibri"/>
          <w:sz w:val="22"/>
        </w:rPr>
        <w:t>and</w:t>
      </w:r>
      <w:r>
        <w:rPr>
          <w:rFonts w:ascii="Calibri"/>
          <w:spacing w:val="-4"/>
          <w:sz w:val="22"/>
        </w:rPr>
        <w:t> </w:t>
      </w:r>
      <w:r>
        <w:rPr>
          <w:rFonts w:ascii="Calibri"/>
          <w:sz w:val="22"/>
        </w:rPr>
        <w:t>capacity</w:t>
      </w:r>
      <w:r>
        <w:rPr>
          <w:rFonts w:ascii="Calibri"/>
          <w:spacing w:val="-2"/>
          <w:sz w:val="22"/>
        </w:rPr>
        <w:t> </w:t>
      </w:r>
      <w:r>
        <w:rPr>
          <w:rFonts w:ascii="Calibri"/>
          <w:sz w:val="22"/>
        </w:rPr>
        <w:t>of</w:t>
      </w:r>
      <w:r>
        <w:rPr>
          <w:rFonts w:ascii="Calibri"/>
          <w:spacing w:val="-5"/>
          <w:sz w:val="22"/>
        </w:rPr>
        <w:t> </w:t>
      </w:r>
      <w:r>
        <w:rPr>
          <w:rFonts w:ascii="Calibri"/>
          <w:sz w:val="22"/>
        </w:rPr>
        <w:t>the</w:t>
      </w:r>
      <w:r>
        <w:rPr>
          <w:rFonts w:ascii="Calibri"/>
          <w:spacing w:val="-2"/>
          <w:sz w:val="22"/>
        </w:rPr>
        <w:t> </w:t>
      </w:r>
      <w:r>
        <w:rPr>
          <w:rFonts w:ascii="Calibri"/>
          <w:sz w:val="22"/>
        </w:rPr>
        <w:t>service</w:t>
      </w:r>
      <w:r>
        <w:rPr>
          <w:rFonts w:ascii="Calibri"/>
          <w:spacing w:val="-2"/>
          <w:sz w:val="22"/>
        </w:rPr>
        <w:t> </w:t>
      </w:r>
      <w:r>
        <w:rPr>
          <w:rFonts w:ascii="Calibri"/>
          <w:sz w:val="22"/>
        </w:rPr>
        <w:t>in</w:t>
      </w:r>
      <w:r>
        <w:rPr>
          <w:rFonts w:ascii="Calibri"/>
          <w:spacing w:val="-4"/>
          <w:sz w:val="22"/>
        </w:rPr>
        <w:t> </w:t>
      </w:r>
      <w:r>
        <w:rPr>
          <w:rFonts w:ascii="Calibri"/>
          <w:sz w:val="22"/>
        </w:rPr>
        <w:t>order</w:t>
      </w:r>
      <w:r>
        <w:rPr>
          <w:rFonts w:ascii="Calibri"/>
          <w:spacing w:val="-4"/>
          <w:sz w:val="22"/>
        </w:rPr>
        <w:t> </w:t>
      </w:r>
      <w:r>
        <w:rPr>
          <w:rFonts w:ascii="Calibri"/>
          <w:sz w:val="22"/>
        </w:rPr>
        <w:t>to deliver,</w:t>
      </w:r>
      <w:r>
        <w:rPr>
          <w:rFonts w:ascii="Calibri"/>
          <w:spacing w:val="-2"/>
          <w:sz w:val="22"/>
        </w:rPr>
        <w:t> </w:t>
      </w:r>
      <w:r>
        <w:rPr>
          <w:rFonts w:ascii="Calibri"/>
          <w:sz w:val="22"/>
        </w:rPr>
        <w:t>with</w:t>
      </w:r>
      <w:r>
        <w:rPr>
          <w:rFonts w:ascii="Calibri"/>
          <w:spacing w:val="-3"/>
          <w:sz w:val="22"/>
        </w:rPr>
        <w:t> </w:t>
      </w:r>
      <w:r>
        <w:rPr>
          <w:rFonts w:ascii="Calibri"/>
          <w:sz w:val="22"/>
        </w:rPr>
        <w:t>any</w:t>
      </w:r>
      <w:r>
        <w:rPr>
          <w:rFonts w:ascii="Calibri"/>
          <w:spacing w:val="-2"/>
          <w:sz w:val="22"/>
        </w:rPr>
        <w:t> </w:t>
      </w:r>
      <w:r>
        <w:rPr>
          <w:rFonts w:ascii="Calibri"/>
          <w:sz w:val="22"/>
        </w:rPr>
        <w:t>barriers</w:t>
      </w:r>
      <w:r>
        <w:rPr>
          <w:rFonts w:ascii="Calibri"/>
          <w:spacing w:val="-4"/>
          <w:sz w:val="22"/>
        </w:rPr>
        <w:t> </w:t>
      </w:r>
      <w:r>
        <w:rPr>
          <w:rFonts w:ascii="Calibri"/>
          <w:sz w:val="22"/>
        </w:rPr>
        <w:t>to</w:t>
      </w:r>
      <w:r>
        <w:rPr>
          <w:rFonts w:ascii="Calibri"/>
          <w:spacing w:val="-3"/>
          <w:sz w:val="22"/>
        </w:rPr>
        <w:t> </w:t>
      </w:r>
      <w:r>
        <w:rPr>
          <w:rFonts w:ascii="Calibri"/>
          <w:sz w:val="22"/>
        </w:rPr>
        <w:t>its</w:t>
      </w:r>
      <w:r>
        <w:rPr>
          <w:rFonts w:ascii="Calibri"/>
          <w:spacing w:val="-4"/>
          <w:sz w:val="22"/>
        </w:rPr>
        <w:t> </w:t>
      </w:r>
      <w:r>
        <w:rPr>
          <w:rFonts w:ascii="Calibri"/>
          <w:sz w:val="22"/>
        </w:rPr>
        <w:t>implementation,</w:t>
      </w:r>
      <w:r>
        <w:rPr>
          <w:rFonts w:ascii="Calibri"/>
          <w:spacing w:val="-2"/>
          <w:sz w:val="22"/>
        </w:rPr>
        <w:t> </w:t>
      </w:r>
      <w:r>
        <w:rPr>
          <w:rFonts w:ascii="Calibri"/>
          <w:sz w:val="22"/>
        </w:rPr>
        <w:t>or</w:t>
      </w:r>
      <w:r>
        <w:rPr>
          <w:rFonts w:ascii="Calibri"/>
          <w:spacing w:val="-4"/>
          <w:sz w:val="22"/>
        </w:rPr>
        <w:t> </w:t>
      </w:r>
      <w:r>
        <w:rPr>
          <w:rFonts w:ascii="Calibri"/>
          <w:sz w:val="22"/>
        </w:rPr>
        <w:t>additional</w:t>
      </w:r>
      <w:r>
        <w:rPr>
          <w:rFonts w:ascii="Calibri"/>
          <w:spacing w:val="-2"/>
          <w:sz w:val="22"/>
        </w:rPr>
        <w:t> </w:t>
      </w:r>
      <w:r>
        <w:rPr>
          <w:rFonts w:ascii="Calibri"/>
          <w:sz w:val="22"/>
        </w:rPr>
        <w:t>resource</w:t>
      </w:r>
      <w:r>
        <w:rPr>
          <w:rFonts w:ascii="Calibri"/>
          <w:spacing w:val="-2"/>
          <w:sz w:val="22"/>
        </w:rPr>
        <w:t> </w:t>
      </w:r>
      <w:r>
        <w:rPr>
          <w:rFonts w:ascii="Calibri"/>
          <w:sz w:val="22"/>
        </w:rPr>
        <w:t>requirements</w:t>
      </w:r>
      <w:r>
        <w:rPr>
          <w:rFonts w:ascii="Calibri"/>
          <w:spacing w:val="-4"/>
          <w:sz w:val="22"/>
        </w:rPr>
        <w:t> </w:t>
      </w:r>
      <w:r>
        <w:rPr>
          <w:rFonts w:ascii="Calibri"/>
          <w:sz w:val="22"/>
        </w:rPr>
        <w:t>clearly </w:t>
      </w:r>
      <w:r>
        <w:rPr>
          <w:rFonts w:ascii="Calibri"/>
          <w:spacing w:val="-2"/>
          <w:sz w:val="22"/>
        </w:rPr>
        <w:t>documented</w:t>
      </w:r>
    </w:p>
    <w:p>
      <w:pPr>
        <w:pStyle w:val="ListParagraph"/>
        <w:numPr>
          <w:ilvl w:val="4"/>
          <w:numId w:val="96"/>
        </w:numPr>
        <w:tabs>
          <w:tab w:pos="2018" w:val="left" w:leader="none"/>
        </w:tabs>
        <w:spacing w:line="240" w:lineRule="auto" w:before="0" w:after="0"/>
        <w:ind w:left="2018" w:right="0" w:hanging="359"/>
        <w:jc w:val="left"/>
        <w:rPr>
          <w:rFonts w:ascii="Calibri"/>
          <w:sz w:val="22"/>
        </w:rPr>
      </w:pPr>
      <w:r>
        <w:rPr>
          <w:rFonts w:ascii="Calibri"/>
          <w:sz w:val="22"/>
        </w:rPr>
        <w:t>who</w:t>
      </w:r>
      <w:r>
        <w:rPr>
          <w:rFonts w:ascii="Calibri"/>
          <w:spacing w:val="-5"/>
          <w:sz w:val="22"/>
        </w:rPr>
        <w:t> </w:t>
      </w:r>
      <w:r>
        <w:rPr>
          <w:rFonts w:ascii="Calibri"/>
          <w:sz w:val="22"/>
        </w:rPr>
        <w:t>will</w:t>
      </w:r>
      <w:r>
        <w:rPr>
          <w:rFonts w:ascii="Calibri"/>
          <w:spacing w:val="1"/>
          <w:sz w:val="22"/>
        </w:rPr>
        <w:t> </w:t>
      </w:r>
      <w:r>
        <w:rPr>
          <w:rFonts w:ascii="Calibri"/>
          <w:sz w:val="22"/>
        </w:rPr>
        <w:t>own</w:t>
      </w:r>
      <w:r>
        <w:rPr>
          <w:rFonts w:ascii="Calibri"/>
          <w:spacing w:val="-4"/>
          <w:sz w:val="22"/>
        </w:rPr>
        <w:t> </w:t>
      </w:r>
      <w:r>
        <w:rPr>
          <w:rFonts w:ascii="Calibri"/>
          <w:sz w:val="22"/>
        </w:rPr>
        <w:t>this </w:t>
      </w:r>
      <w:r>
        <w:rPr>
          <w:rFonts w:ascii="Calibri"/>
          <w:spacing w:val="-2"/>
          <w:sz w:val="22"/>
        </w:rPr>
        <w:t>recommendation.</w:t>
      </w:r>
    </w:p>
    <w:p>
      <w:pPr>
        <w:pStyle w:val="ListParagraph"/>
        <w:numPr>
          <w:ilvl w:val="3"/>
          <w:numId w:val="96"/>
        </w:numPr>
        <w:tabs>
          <w:tab w:pos="1658" w:val="left" w:leader="none"/>
        </w:tabs>
        <w:spacing w:line="240" w:lineRule="auto" w:before="22" w:after="0"/>
        <w:ind w:left="1658" w:right="0" w:hanging="359"/>
        <w:jc w:val="left"/>
        <w:rPr>
          <w:rFonts w:ascii="Calibri"/>
          <w:sz w:val="22"/>
        </w:rPr>
      </w:pPr>
      <w:r>
        <w:rPr>
          <w:rFonts w:ascii="Calibri"/>
          <w:sz w:val="22"/>
        </w:rPr>
        <w:t>A</w:t>
      </w:r>
      <w:r>
        <w:rPr>
          <w:rFonts w:ascii="Calibri"/>
          <w:spacing w:val="-7"/>
          <w:sz w:val="22"/>
        </w:rPr>
        <w:t> </w:t>
      </w:r>
      <w:r>
        <w:rPr>
          <w:rFonts w:ascii="Calibri"/>
          <w:sz w:val="22"/>
        </w:rPr>
        <w:t>realistic</w:t>
      </w:r>
      <w:r>
        <w:rPr>
          <w:rFonts w:ascii="Calibri"/>
          <w:spacing w:val="-1"/>
          <w:sz w:val="22"/>
        </w:rPr>
        <w:t> </w:t>
      </w:r>
      <w:r>
        <w:rPr>
          <w:rFonts w:ascii="Calibri"/>
          <w:sz w:val="22"/>
        </w:rPr>
        <w:t>and</w:t>
      </w:r>
      <w:r>
        <w:rPr>
          <w:rFonts w:ascii="Calibri"/>
          <w:spacing w:val="-4"/>
          <w:sz w:val="22"/>
        </w:rPr>
        <w:t> </w:t>
      </w:r>
      <w:r>
        <w:rPr>
          <w:rFonts w:ascii="Calibri"/>
          <w:sz w:val="22"/>
        </w:rPr>
        <w:t>achievable</w:t>
      </w:r>
      <w:r>
        <w:rPr>
          <w:rFonts w:ascii="Calibri"/>
          <w:spacing w:val="-2"/>
          <w:sz w:val="22"/>
        </w:rPr>
        <w:t> </w:t>
      </w:r>
      <w:r>
        <w:rPr>
          <w:rFonts w:ascii="Calibri"/>
          <w:sz w:val="22"/>
        </w:rPr>
        <w:t>completion</w:t>
      </w:r>
      <w:r>
        <w:rPr>
          <w:rFonts w:ascii="Calibri"/>
          <w:spacing w:val="-3"/>
          <w:sz w:val="22"/>
        </w:rPr>
        <w:t> </w:t>
      </w:r>
      <w:r>
        <w:rPr>
          <w:rFonts w:ascii="Calibri"/>
          <w:sz w:val="22"/>
        </w:rPr>
        <w:t>date,</w:t>
      </w:r>
      <w:r>
        <w:rPr>
          <w:rFonts w:ascii="Calibri"/>
          <w:spacing w:val="-2"/>
          <w:sz w:val="22"/>
        </w:rPr>
        <w:t> </w:t>
      </w:r>
      <w:r>
        <w:rPr>
          <w:rFonts w:ascii="Calibri"/>
          <w:sz w:val="22"/>
        </w:rPr>
        <w:t>taking</w:t>
      </w:r>
      <w:r>
        <w:rPr>
          <w:rFonts w:ascii="Calibri"/>
          <w:spacing w:val="-2"/>
          <w:sz w:val="22"/>
        </w:rPr>
        <w:t> </w:t>
      </w:r>
      <w:r>
        <w:rPr>
          <w:rFonts w:ascii="Calibri"/>
          <w:sz w:val="22"/>
        </w:rPr>
        <w:t>into</w:t>
      </w:r>
      <w:r>
        <w:rPr>
          <w:rFonts w:ascii="Calibri"/>
          <w:spacing w:val="-3"/>
          <w:sz w:val="22"/>
        </w:rPr>
        <w:t> </w:t>
      </w:r>
      <w:r>
        <w:rPr>
          <w:rFonts w:ascii="Calibri"/>
          <w:sz w:val="22"/>
        </w:rPr>
        <w:t>account</w:t>
      </w:r>
      <w:r>
        <w:rPr>
          <w:rFonts w:ascii="Calibri"/>
          <w:spacing w:val="-1"/>
          <w:sz w:val="22"/>
        </w:rPr>
        <w:t> </w:t>
      </w:r>
      <w:r>
        <w:rPr>
          <w:rFonts w:ascii="Calibri"/>
          <w:sz w:val="22"/>
        </w:rPr>
        <w:t>your</w:t>
      </w:r>
      <w:r>
        <w:rPr>
          <w:rFonts w:ascii="Calibri"/>
          <w:spacing w:val="-3"/>
          <w:sz w:val="22"/>
        </w:rPr>
        <w:t> </w:t>
      </w:r>
      <w:r>
        <w:rPr>
          <w:rFonts w:ascii="Calibri"/>
          <w:spacing w:val="-2"/>
          <w:sz w:val="22"/>
        </w:rPr>
        <w:t>capacity;</w:t>
      </w:r>
    </w:p>
    <w:p>
      <w:pPr>
        <w:pStyle w:val="ListParagraph"/>
        <w:numPr>
          <w:ilvl w:val="3"/>
          <w:numId w:val="96"/>
        </w:numPr>
        <w:tabs>
          <w:tab w:pos="1659" w:val="left" w:leader="none"/>
        </w:tabs>
        <w:spacing w:line="259" w:lineRule="auto" w:before="21" w:after="0"/>
        <w:ind w:left="1659" w:right="1417" w:hanging="360"/>
        <w:jc w:val="left"/>
        <w:rPr>
          <w:rFonts w:ascii="Calibri"/>
          <w:sz w:val="22"/>
        </w:rPr>
      </w:pPr>
      <w:r>
        <w:rPr>
          <w:rFonts w:ascii="Calibri"/>
          <w:sz w:val="22"/>
        </w:rPr>
        <w:t>The</w:t>
      </w:r>
      <w:r>
        <w:rPr>
          <w:rFonts w:ascii="Calibri"/>
          <w:spacing w:val="-2"/>
          <w:sz w:val="22"/>
        </w:rPr>
        <w:t> </w:t>
      </w:r>
      <w:r>
        <w:rPr>
          <w:rFonts w:ascii="Calibri"/>
          <w:sz w:val="22"/>
        </w:rPr>
        <w:t>evidence/documentation</w:t>
      </w:r>
      <w:r>
        <w:rPr>
          <w:rFonts w:ascii="Calibri"/>
          <w:spacing w:val="-3"/>
          <w:sz w:val="22"/>
        </w:rPr>
        <w:t> </w:t>
      </w:r>
      <w:r>
        <w:rPr>
          <w:rFonts w:ascii="Calibri"/>
          <w:sz w:val="22"/>
        </w:rPr>
        <w:t>that</w:t>
      </w:r>
      <w:r>
        <w:rPr>
          <w:rFonts w:ascii="Calibri"/>
          <w:spacing w:val="-1"/>
          <w:sz w:val="22"/>
        </w:rPr>
        <w:t> </w:t>
      </w:r>
      <w:r>
        <w:rPr>
          <w:rFonts w:ascii="Calibri"/>
          <w:sz w:val="22"/>
        </w:rPr>
        <w:t>will</w:t>
      </w:r>
      <w:r>
        <w:rPr>
          <w:rFonts w:ascii="Calibri"/>
          <w:spacing w:val="-2"/>
          <w:sz w:val="22"/>
        </w:rPr>
        <w:t> </w:t>
      </w:r>
      <w:r>
        <w:rPr>
          <w:rFonts w:ascii="Calibri"/>
          <w:sz w:val="22"/>
        </w:rPr>
        <w:t>demonstrate</w:t>
      </w:r>
      <w:r>
        <w:rPr>
          <w:rFonts w:ascii="Calibri"/>
          <w:spacing w:val="-2"/>
          <w:sz w:val="22"/>
        </w:rPr>
        <w:t> </w:t>
      </w:r>
      <w:r>
        <w:rPr>
          <w:rFonts w:ascii="Calibri"/>
          <w:sz w:val="22"/>
        </w:rPr>
        <w:t>the</w:t>
      </w:r>
      <w:r>
        <w:rPr>
          <w:rFonts w:ascii="Calibri"/>
          <w:spacing w:val="-2"/>
          <w:sz w:val="22"/>
        </w:rPr>
        <w:t> </w:t>
      </w:r>
      <w:r>
        <w:rPr>
          <w:rFonts w:ascii="Calibri"/>
          <w:sz w:val="22"/>
        </w:rPr>
        <w:t>recommendation</w:t>
      </w:r>
      <w:r>
        <w:rPr>
          <w:rFonts w:ascii="Calibri"/>
          <w:spacing w:val="-3"/>
          <w:sz w:val="22"/>
        </w:rPr>
        <w:t> </w:t>
      </w:r>
      <w:r>
        <w:rPr>
          <w:rFonts w:ascii="Calibri"/>
          <w:sz w:val="22"/>
        </w:rPr>
        <w:t>has</w:t>
      </w:r>
      <w:r>
        <w:rPr>
          <w:rFonts w:ascii="Calibri"/>
          <w:spacing w:val="-4"/>
          <w:sz w:val="22"/>
        </w:rPr>
        <w:t> </w:t>
      </w:r>
      <w:r>
        <w:rPr>
          <w:rFonts w:ascii="Calibri"/>
          <w:sz w:val="22"/>
        </w:rPr>
        <w:t>been</w:t>
      </w:r>
      <w:r>
        <w:rPr>
          <w:rFonts w:ascii="Calibri"/>
          <w:spacing w:val="-3"/>
          <w:sz w:val="22"/>
        </w:rPr>
        <w:t> </w:t>
      </w:r>
      <w:r>
        <w:rPr>
          <w:rFonts w:ascii="Calibri"/>
          <w:sz w:val="22"/>
        </w:rPr>
        <w:t>fully</w:t>
      </w:r>
      <w:r>
        <w:rPr>
          <w:rFonts w:ascii="Calibri"/>
          <w:spacing w:val="-2"/>
          <w:sz w:val="22"/>
        </w:rPr>
        <w:t> </w:t>
      </w:r>
      <w:r>
        <w:rPr>
          <w:rFonts w:ascii="Calibri"/>
          <w:sz w:val="22"/>
        </w:rPr>
        <w:t>implemented</w:t>
      </w:r>
      <w:r>
        <w:rPr>
          <w:rFonts w:ascii="Calibri"/>
          <w:spacing w:val="-3"/>
          <w:sz w:val="22"/>
        </w:rPr>
        <w:t> </w:t>
      </w:r>
      <w:r>
        <w:rPr>
          <w:rFonts w:ascii="Calibri"/>
          <w:sz w:val="22"/>
        </w:rPr>
        <w:t>as</w:t>
      </w:r>
      <w:r>
        <w:rPr>
          <w:rFonts w:ascii="Calibri"/>
          <w:spacing w:val="-4"/>
          <w:sz w:val="22"/>
        </w:rPr>
        <w:t> </w:t>
      </w:r>
      <w:r>
        <w:rPr>
          <w:rFonts w:ascii="Calibri"/>
          <w:sz w:val="22"/>
        </w:rPr>
        <w:t>this</w:t>
      </w:r>
      <w:r>
        <w:rPr>
          <w:rFonts w:ascii="Calibri"/>
          <w:spacing w:val="-4"/>
          <w:sz w:val="22"/>
        </w:rPr>
        <w:t> </w:t>
      </w:r>
      <w:r>
        <w:rPr>
          <w:rFonts w:ascii="Calibri"/>
          <w:sz w:val="22"/>
        </w:rPr>
        <w:t>will</w:t>
      </w:r>
      <w:r>
        <w:rPr>
          <w:rFonts w:ascii="Calibri"/>
          <w:spacing w:val="-2"/>
          <w:sz w:val="22"/>
        </w:rPr>
        <w:t> </w:t>
      </w:r>
      <w:r>
        <w:rPr>
          <w:rFonts w:ascii="Calibri"/>
          <w:sz w:val="22"/>
        </w:rPr>
        <w:t>need</w:t>
      </w:r>
      <w:r>
        <w:rPr>
          <w:rFonts w:ascii="Calibri"/>
          <w:spacing w:val="-3"/>
          <w:sz w:val="22"/>
        </w:rPr>
        <w:t> </w:t>
      </w:r>
      <w:r>
        <w:rPr>
          <w:rFonts w:ascii="Calibri"/>
          <w:sz w:val="22"/>
        </w:rPr>
        <w:t>to</w:t>
      </w:r>
      <w:r>
        <w:rPr>
          <w:rFonts w:ascii="Calibri"/>
          <w:spacing w:val="-3"/>
          <w:sz w:val="22"/>
        </w:rPr>
        <w:t> </w:t>
      </w:r>
      <w:r>
        <w:rPr>
          <w:rFonts w:ascii="Calibri"/>
          <w:sz w:val="22"/>
        </w:rPr>
        <w:t>be</w:t>
      </w:r>
      <w:r>
        <w:rPr>
          <w:rFonts w:ascii="Calibri"/>
          <w:spacing w:val="-2"/>
          <w:sz w:val="22"/>
        </w:rPr>
        <w:t> </w:t>
      </w:r>
      <w:r>
        <w:rPr>
          <w:rFonts w:ascii="Calibri"/>
          <w:sz w:val="22"/>
        </w:rPr>
        <w:t>uploaded</w:t>
      </w:r>
      <w:r>
        <w:rPr>
          <w:rFonts w:ascii="Calibri"/>
          <w:spacing w:val="-3"/>
          <w:sz w:val="22"/>
        </w:rPr>
        <w:t> </w:t>
      </w:r>
      <w:r>
        <w:rPr>
          <w:rFonts w:ascii="Calibri"/>
          <w:sz w:val="22"/>
        </w:rPr>
        <w:t>to</w:t>
      </w:r>
      <w:r>
        <w:rPr>
          <w:rFonts w:ascii="Calibri"/>
          <w:spacing w:val="-3"/>
          <w:sz w:val="22"/>
        </w:rPr>
        <w:t> </w:t>
      </w:r>
      <w:r>
        <w:rPr>
          <w:rFonts w:ascii="Calibri"/>
          <w:sz w:val="22"/>
        </w:rPr>
        <w:t>AMAT</w:t>
      </w:r>
      <w:r>
        <w:rPr>
          <w:rFonts w:ascii="Calibri"/>
          <w:spacing w:val="-5"/>
          <w:sz w:val="22"/>
        </w:rPr>
        <w:t> </w:t>
      </w:r>
      <w:r>
        <w:rPr>
          <w:rFonts w:ascii="Calibri"/>
          <w:sz w:val="22"/>
        </w:rPr>
        <w:t>before it will be fully approved as completed; and</w:t>
      </w:r>
    </w:p>
    <w:p>
      <w:pPr>
        <w:pStyle w:val="ListParagraph"/>
        <w:numPr>
          <w:ilvl w:val="3"/>
          <w:numId w:val="96"/>
        </w:numPr>
        <w:tabs>
          <w:tab w:pos="1659" w:val="left" w:leader="none"/>
        </w:tabs>
        <w:spacing w:line="259" w:lineRule="auto" w:before="1" w:after="0"/>
        <w:ind w:left="1659" w:right="1301" w:hanging="360"/>
        <w:jc w:val="left"/>
        <w:rPr>
          <w:rFonts w:ascii="Calibri"/>
          <w:sz w:val="22"/>
        </w:rPr>
      </w:pPr>
      <w:r>
        <w:rPr>
          <w:rFonts w:ascii="Calibri"/>
          <w:sz w:val="22"/>
        </w:rPr>
        <w:t>Any</w:t>
      </w:r>
      <w:r>
        <w:rPr>
          <w:rFonts w:ascii="Calibri"/>
          <w:spacing w:val="-2"/>
          <w:sz w:val="22"/>
        </w:rPr>
        <w:t> </w:t>
      </w:r>
      <w:r>
        <w:rPr>
          <w:rFonts w:ascii="Calibri"/>
          <w:sz w:val="22"/>
        </w:rPr>
        <w:t>recommendation</w:t>
      </w:r>
      <w:r>
        <w:rPr>
          <w:rFonts w:ascii="Calibri"/>
          <w:spacing w:val="-3"/>
          <w:sz w:val="22"/>
        </w:rPr>
        <w:t> </w:t>
      </w:r>
      <w:r>
        <w:rPr>
          <w:rFonts w:ascii="Calibri"/>
          <w:sz w:val="22"/>
        </w:rPr>
        <w:t>that</w:t>
      </w:r>
      <w:r>
        <w:rPr>
          <w:rFonts w:ascii="Calibri"/>
          <w:spacing w:val="-1"/>
          <w:sz w:val="22"/>
        </w:rPr>
        <w:t> </w:t>
      </w:r>
      <w:r>
        <w:rPr>
          <w:rFonts w:ascii="Calibri"/>
          <w:sz w:val="22"/>
        </w:rPr>
        <w:t>cannot</w:t>
      </w:r>
      <w:r>
        <w:rPr>
          <w:rFonts w:ascii="Calibri"/>
          <w:spacing w:val="-1"/>
          <w:sz w:val="22"/>
        </w:rPr>
        <w:t> </w:t>
      </w:r>
      <w:r>
        <w:rPr>
          <w:rFonts w:ascii="Calibri"/>
          <w:sz w:val="22"/>
        </w:rPr>
        <w:t>be</w:t>
      </w:r>
      <w:r>
        <w:rPr>
          <w:rFonts w:ascii="Calibri"/>
          <w:spacing w:val="-2"/>
          <w:sz w:val="22"/>
        </w:rPr>
        <w:t> </w:t>
      </w:r>
      <w:r>
        <w:rPr>
          <w:rFonts w:ascii="Calibri"/>
          <w:sz w:val="22"/>
        </w:rPr>
        <w:t>fully</w:t>
      </w:r>
      <w:r>
        <w:rPr>
          <w:rFonts w:ascii="Calibri"/>
          <w:spacing w:val="-2"/>
          <w:sz w:val="22"/>
        </w:rPr>
        <w:t> </w:t>
      </w:r>
      <w:r>
        <w:rPr>
          <w:rFonts w:ascii="Calibri"/>
          <w:sz w:val="22"/>
        </w:rPr>
        <w:t>implemented</w:t>
      </w:r>
      <w:r>
        <w:rPr>
          <w:rFonts w:ascii="Calibri"/>
          <w:spacing w:val="-3"/>
          <w:sz w:val="22"/>
        </w:rPr>
        <w:t> </w:t>
      </w:r>
      <w:r>
        <w:rPr>
          <w:rFonts w:ascii="Calibri"/>
          <w:sz w:val="22"/>
        </w:rPr>
        <w:t>must</w:t>
      </w:r>
      <w:r>
        <w:rPr>
          <w:rFonts w:ascii="Calibri"/>
          <w:spacing w:val="-1"/>
          <w:sz w:val="22"/>
        </w:rPr>
        <w:t> </w:t>
      </w:r>
      <w:r>
        <w:rPr>
          <w:rFonts w:ascii="Calibri"/>
          <w:sz w:val="22"/>
        </w:rPr>
        <w:t>be</w:t>
      </w:r>
      <w:r>
        <w:rPr>
          <w:rFonts w:ascii="Calibri"/>
          <w:spacing w:val="-2"/>
          <w:sz w:val="22"/>
        </w:rPr>
        <w:t> </w:t>
      </w:r>
      <w:r>
        <w:rPr>
          <w:rFonts w:ascii="Calibri"/>
          <w:sz w:val="22"/>
        </w:rPr>
        <w:t>escalated</w:t>
      </w:r>
      <w:r>
        <w:rPr>
          <w:rFonts w:ascii="Calibri"/>
          <w:spacing w:val="-3"/>
          <w:sz w:val="22"/>
        </w:rPr>
        <w:t> </w:t>
      </w:r>
      <w:r>
        <w:rPr>
          <w:rFonts w:ascii="Calibri"/>
          <w:sz w:val="22"/>
        </w:rPr>
        <w:t>through</w:t>
      </w:r>
      <w:r>
        <w:rPr>
          <w:rFonts w:ascii="Calibri"/>
          <w:spacing w:val="-3"/>
          <w:sz w:val="22"/>
        </w:rPr>
        <w:t> </w:t>
      </w:r>
      <w:r>
        <w:rPr>
          <w:rFonts w:ascii="Calibri"/>
          <w:sz w:val="22"/>
        </w:rPr>
        <w:t>the</w:t>
      </w:r>
      <w:r>
        <w:rPr>
          <w:rFonts w:ascii="Calibri"/>
          <w:spacing w:val="-2"/>
          <w:sz w:val="22"/>
        </w:rPr>
        <w:t> </w:t>
      </w:r>
      <w:r>
        <w:rPr>
          <w:rFonts w:ascii="Calibri"/>
          <w:sz w:val="22"/>
        </w:rPr>
        <w:t>relevant</w:t>
      </w:r>
      <w:r>
        <w:rPr>
          <w:rFonts w:ascii="Calibri"/>
          <w:spacing w:val="-1"/>
          <w:sz w:val="22"/>
        </w:rPr>
        <w:t> </w:t>
      </w:r>
      <w:r>
        <w:rPr>
          <w:rFonts w:ascii="Calibri"/>
          <w:sz w:val="22"/>
        </w:rPr>
        <w:t>management</w:t>
      </w:r>
      <w:r>
        <w:rPr>
          <w:rFonts w:ascii="Calibri"/>
          <w:spacing w:val="-2"/>
          <w:sz w:val="22"/>
        </w:rPr>
        <w:t> </w:t>
      </w:r>
      <w:r>
        <w:rPr>
          <w:rFonts w:ascii="Calibri"/>
          <w:sz w:val="22"/>
        </w:rPr>
        <w:t>structure</w:t>
      </w:r>
      <w:r>
        <w:rPr>
          <w:rFonts w:ascii="Calibri"/>
          <w:spacing w:val="-2"/>
          <w:sz w:val="22"/>
        </w:rPr>
        <w:t> </w:t>
      </w:r>
      <w:r>
        <w:rPr>
          <w:rFonts w:ascii="Calibri"/>
          <w:sz w:val="22"/>
        </w:rPr>
        <w:t>and</w:t>
      </w:r>
      <w:r>
        <w:rPr>
          <w:rFonts w:ascii="Calibri"/>
          <w:spacing w:val="-3"/>
          <w:sz w:val="22"/>
        </w:rPr>
        <w:t> </w:t>
      </w:r>
      <w:r>
        <w:rPr>
          <w:rFonts w:ascii="Calibri"/>
          <w:sz w:val="22"/>
        </w:rPr>
        <w:t>action</w:t>
      </w:r>
      <w:r>
        <w:rPr>
          <w:rFonts w:ascii="Calibri"/>
          <w:spacing w:val="-3"/>
          <w:sz w:val="22"/>
        </w:rPr>
        <w:t> </w:t>
      </w:r>
      <w:r>
        <w:rPr>
          <w:rFonts w:ascii="Calibri"/>
          <w:sz w:val="22"/>
        </w:rPr>
        <w:t>plans</w:t>
      </w:r>
      <w:r>
        <w:rPr>
          <w:rFonts w:ascii="Calibri"/>
          <w:spacing w:val="-4"/>
          <w:sz w:val="22"/>
        </w:rPr>
        <w:t> </w:t>
      </w:r>
      <w:r>
        <w:rPr>
          <w:rFonts w:ascii="Calibri"/>
          <w:sz w:val="22"/>
        </w:rPr>
        <w:t>must</w:t>
      </w:r>
      <w:r>
        <w:rPr>
          <w:rFonts w:ascii="Calibri"/>
          <w:spacing w:val="-1"/>
          <w:sz w:val="22"/>
        </w:rPr>
        <w:t> </w:t>
      </w:r>
      <w:r>
        <w:rPr>
          <w:rFonts w:ascii="Calibri"/>
          <w:sz w:val="22"/>
        </w:rPr>
        <w:t>be</w:t>
      </w:r>
      <w:r>
        <w:rPr>
          <w:rFonts w:ascii="Calibri"/>
          <w:spacing w:val="-2"/>
          <w:sz w:val="22"/>
        </w:rPr>
        <w:t> </w:t>
      </w:r>
      <w:r>
        <w:rPr>
          <w:rFonts w:ascii="Calibri"/>
          <w:sz w:val="22"/>
        </w:rPr>
        <w:t>signed off by the relevant Clinical Care Group.</w:t>
      </w:r>
    </w:p>
    <w:p>
      <w:pPr>
        <w:pStyle w:val="ListParagraph"/>
        <w:numPr>
          <w:ilvl w:val="3"/>
          <w:numId w:val="96"/>
        </w:numPr>
        <w:tabs>
          <w:tab w:pos="1657" w:val="left" w:leader="none"/>
          <w:tab w:pos="1659" w:val="left" w:leader="none"/>
        </w:tabs>
        <w:spacing w:line="259" w:lineRule="auto" w:before="0" w:after="0"/>
        <w:ind w:left="1659" w:right="1863" w:hanging="360"/>
        <w:jc w:val="left"/>
        <w:rPr>
          <w:rFonts w:ascii="Calibri"/>
          <w:b/>
          <w:sz w:val="22"/>
        </w:rPr>
      </w:pPr>
      <w:r>
        <w:rPr>
          <w:rFonts w:ascii="Calibri"/>
          <w:sz w:val="22"/>
        </w:rPr>
        <w:t>Management</w:t>
      </w:r>
      <w:r>
        <w:rPr>
          <w:rFonts w:ascii="Calibri"/>
          <w:spacing w:val="-2"/>
          <w:sz w:val="22"/>
        </w:rPr>
        <w:t> </w:t>
      </w:r>
      <w:r>
        <w:rPr>
          <w:rFonts w:ascii="Calibri"/>
          <w:sz w:val="22"/>
        </w:rPr>
        <w:t>responses</w:t>
      </w:r>
      <w:r>
        <w:rPr>
          <w:rFonts w:ascii="Calibri"/>
          <w:spacing w:val="-3"/>
          <w:sz w:val="22"/>
        </w:rPr>
        <w:t> </w:t>
      </w:r>
      <w:r>
        <w:rPr>
          <w:rFonts w:ascii="Calibri"/>
          <w:sz w:val="22"/>
        </w:rPr>
        <w:t>to</w:t>
      </w:r>
      <w:r>
        <w:rPr>
          <w:rFonts w:ascii="Calibri"/>
          <w:spacing w:val="-3"/>
          <w:sz w:val="22"/>
        </w:rPr>
        <w:t> </w:t>
      </w:r>
      <w:r>
        <w:rPr>
          <w:rFonts w:ascii="Calibri"/>
          <w:sz w:val="22"/>
        </w:rPr>
        <w:t>recommendations</w:t>
      </w:r>
      <w:r>
        <w:rPr>
          <w:rFonts w:ascii="Calibri"/>
          <w:spacing w:val="-4"/>
          <w:sz w:val="22"/>
        </w:rPr>
        <w:t> </w:t>
      </w:r>
      <w:r>
        <w:rPr>
          <w:rFonts w:ascii="Calibri"/>
          <w:sz w:val="22"/>
        </w:rPr>
        <w:t>in</w:t>
      </w:r>
      <w:r>
        <w:rPr>
          <w:rFonts w:ascii="Calibri"/>
          <w:spacing w:val="-3"/>
          <w:sz w:val="22"/>
        </w:rPr>
        <w:t> </w:t>
      </w:r>
      <w:r>
        <w:rPr>
          <w:rFonts w:ascii="Calibri"/>
          <w:sz w:val="22"/>
        </w:rPr>
        <w:t>these reports</w:t>
      </w:r>
      <w:r>
        <w:rPr>
          <w:rFonts w:ascii="Calibri"/>
          <w:spacing w:val="-4"/>
          <w:sz w:val="22"/>
        </w:rPr>
        <w:t> </w:t>
      </w:r>
      <w:r>
        <w:rPr>
          <w:rFonts w:ascii="Calibri"/>
          <w:sz w:val="22"/>
        </w:rPr>
        <w:t>should</w:t>
      </w:r>
      <w:r>
        <w:rPr>
          <w:rFonts w:ascii="Calibri"/>
          <w:spacing w:val="-3"/>
          <w:sz w:val="22"/>
        </w:rPr>
        <w:t> </w:t>
      </w:r>
      <w:r>
        <w:rPr>
          <w:rFonts w:ascii="Calibri"/>
          <w:sz w:val="22"/>
        </w:rPr>
        <w:t>be </w:t>
      </w:r>
      <w:r>
        <w:rPr>
          <w:rFonts w:ascii="Calibri"/>
          <w:b/>
          <w:sz w:val="22"/>
        </w:rPr>
        <w:t>SMART</w:t>
      </w:r>
      <w:r>
        <w:rPr>
          <w:rFonts w:ascii="Calibri"/>
          <w:b/>
          <w:spacing w:val="-2"/>
          <w:sz w:val="22"/>
        </w:rPr>
        <w:t> </w:t>
      </w:r>
      <w:r>
        <w:rPr>
          <w:rFonts w:ascii="Calibri"/>
          <w:b/>
          <w:sz w:val="22"/>
        </w:rPr>
        <w:t>(Specific,</w:t>
      </w:r>
      <w:r>
        <w:rPr>
          <w:rFonts w:ascii="Calibri"/>
          <w:b/>
          <w:spacing w:val="-4"/>
          <w:sz w:val="22"/>
        </w:rPr>
        <w:t> </w:t>
      </w:r>
      <w:r>
        <w:rPr>
          <w:rFonts w:ascii="Calibri"/>
          <w:b/>
          <w:sz w:val="22"/>
        </w:rPr>
        <w:t>Measurable,</w:t>
      </w:r>
      <w:r>
        <w:rPr>
          <w:rFonts w:ascii="Calibri"/>
          <w:b/>
          <w:spacing w:val="-4"/>
          <w:sz w:val="22"/>
        </w:rPr>
        <w:t> </w:t>
      </w:r>
      <w:r>
        <w:rPr>
          <w:rFonts w:ascii="Calibri"/>
          <w:b/>
          <w:sz w:val="22"/>
        </w:rPr>
        <w:t>Achievable,</w:t>
      </w:r>
      <w:r>
        <w:rPr>
          <w:rFonts w:ascii="Calibri"/>
          <w:b/>
          <w:spacing w:val="-4"/>
          <w:sz w:val="22"/>
        </w:rPr>
        <w:t> </w:t>
      </w:r>
      <w:r>
        <w:rPr>
          <w:rFonts w:ascii="Calibri"/>
          <w:b/>
          <w:sz w:val="22"/>
        </w:rPr>
        <w:t>Realistic/Relevant</w:t>
      </w:r>
      <w:r>
        <w:rPr>
          <w:rFonts w:ascii="Calibri"/>
          <w:b/>
          <w:spacing w:val="-4"/>
          <w:sz w:val="22"/>
        </w:rPr>
        <w:t> </w:t>
      </w:r>
      <w:r>
        <w:rPr>
          <w:rFonts w:ascii="Calibri"/>
          <w:b/>
          <w:sz w:val="22"/>
        </w:rPr>
        <w:t>and</w:t>
      </w:r>
      <w:r>
        <w:rPr>
          <w:rFonts w:ascii="Calibri"/>
          <w:b/>
          <w:spacing w:val="-1"/>
          <w:sz w:val="22"/>
        </w:rPr>
        <w:t> </w:t>
      </w:r>
      <w:r>
        <w:rPr>
          <w:rFonts w:ascii="Calibri"/>
          <w:b/>
          <w:sz w:val="22"/>
        </w:rPr>
        <w:t>Time-</w:t>
      </w:r>
      <w:r>
        <w:rPr>
          <w:rFonts w:ascii="Calibri"/>
          <w:b/>
          <w:spacing w:val="-2"/>
          <w:sz w:val="22"/>
        </w:rPr>
        <w:t>Bound).</w:t>
      </w:r>
    </w:p>
    <w:p>
      <w:pPr>
        <w:pStyle w:val="BodyText"/>
        <w:spacing w:before="40"/>
        <w:rPr>
          <w:rFonts w:ascii="Calibri"/>
          <w:b/>
          <w:sz w:val="20"/>
        </w:rPr>
      </w:pPr>
    </w:p>
    <w:tbl>
      <w:tblPr>
        <w:tblW w:w="0" w:type="auto"/>
        <w:jc w:val="left"/>
        <w:tblInd w:w="13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15"/>
        <w:gridCol w:w="1625"/>
        <w:gridCol w:w="11388"/>
      </w:tblGrid>
      <w:tr>
        <w:trPr>
          <w:trHeight w:val="935" w:hRule="atLeast"/>
        </w:trPr>
        <w:tc>
          <w:tcPr>
            <w:tcW w:w="1015" w:type="dxa"/>
            <w:tcBorders>
              <w:bottom w:val="single" w:sz="12" w:space="0" w:color="000000"/>
              <w:right w:val="single" w:sz="12" w:space="0" w:color="000000"/>
            </w:tcBorders>
            <w:shd w:val="clear" w:color="auto" w:fill="FF0000"/>
          </w:tcPr>
          <w:p>
            <w:pPr>
              <w:pStyle w:val="TableParagraph"/>
              <w:spacing w:before="71"/>
              <w:rPr>
                <w:rFonts w:ascii="Calibri"/>
                <w:b/>
                <w:sz w:val="22"/>
              </w:rPr>
            </w:pPr>
          </w:p>
          <w:p>
            <w:pPr>
              <w:pStyle w:val="TableParagraph"/>
              <w:spacing w:before="1"/>
              <w:ind w:left="27" w:right="6"/>
              <w:jc w:val="center"/>
              <w:rPr>
                <w:rFonts w:ascii="Calibri"/>
                <w:sz w:val="22"/>
              </w:rPr>
            </w:pPr>
            <w:r>
              <w:rPr>
                <w:rFonts w:ascii="Calibri"/>
                <w:spacing w:val="-10"/>
                <w:sz w:val="22"/>
              </w:rPr>
              <w:t>S</w:t>
            </w:r>
          </w:p>
        </w:tc>
        <w:tc>
          <w:tcPr>
            <w:tcW w:w="1625" w:type="dxa"/>
            <w:tcBorders>
              <w:left w:val="single" w:sz="12" w:space="0" w:color="000000"/>
            </w:tcBorders>
          </w:tcPr>
          <w:p>
            <w:pPr>
              <w:pStyle w:val="TableParagraph"/>
              <w:spacing w:before="71"/>
              <w:rPr>
                <w:rFonts w:ascii="Calibri"/>
                <w:b/>
                <w:sz w:val="22"/>
              </w:rPr>
            </w:pPr>
          </w:p>
          <w:p>
            <w:pPr>
              <w:pStyle w:val="TableParagraph"/>
              <w:spacing w:before="1"/>
              <w:ind w:left="15" w:right="6"/>
              <w:jc w:val="center"/>
              <w:rPr>
                <w:rFonts w:ascii="Calibri"/>
                <w:sz w:val="22"/>
              </w:rPr>
            </w:pPr>
            <w:r>
              <w:rPr>
                <w:rFonts w:ascii="Calibri"/>
                <w:spacing w:val="-2"/>
                <w:sz w:val="22"/>
              </w:rPr>
              <w:t>Specific</w:t>
            </w:r>
          </w:p>
        </w:tc>
        <w:tc>
          <w:tcPr>
            <w:tcW w:w="11388" w:type="dxa"/>
          </w:tcPr>
          <w:p>
            <w:pPr>
              <w:pStyle w:val="TableParagraph"/>
              <w:spacing w:line="237" w:lineRule="auto" w:before="207"/>
              <w:ind w:left="10" w:right="45"/>
              <w:rPr>
                <w:rFonts w:ascii="Calibri" w:hAnsi="Calibri"/>
                <w:sz w:val="22"/>
              </w:rPr>
            </w:pPr>
            <w:r>
              <w:rPr>
                <w:rFonts w:ascii="Calibri" w:hAnsi="Calibri"/>
                <w:sz w:val="22"/>
              </w:rPr>
              <w:t>What</w:t>
            </w:r>
            <w:r>
              <w:rPr>
                <w:rFonts w:ascii="Calibri" w:hAnsi="Calibri"/>
                <w:spacing w:val="-1"/>
                <w:sz w:val="22"/>
              </w:rPr>
              <w:t> </w:t>
            </w:r>
            <w:r>
              <w:rPr>
                <w:rFonts w:ascii="Calibri" w:hAnsi="Calibri"/>
                <w:sz w:val="22"/>
              </w:rPr>
              <w:t>is</w:t>
            </w:r>
            <w:r>
              <w:rPr>
                <w:rFonts w:ascii="Calibri" w:hAnsi="Calibri"/>
                <w:spacing w:val="-4"/>
                <w:sz w:val="22"/>
              </w:rPr>
              <w:t> </w:t>
            </w:r>
            <w:r>
              <w:rPr>
                <w:rFonts w:ascii="Calibri" w:hAnsi="Calibri"/>
                <w:sz w:val="22"/>
              </w:rPr>
              <w:t>the</w:t>
            </w:r>
            <w:r>
              <w:rPr>
                <w:rFonts w:ascii="Calibri" w:hAnsi="Calibri"/>
                <w:spacing w:val="-2"/>
                <w:sz w:val="22"/>
              </w:rPr>
              <w:t> </w:t>
            </w:r>
            <w:r>
              <w:rPr>
                <w:rFonts w:ascii="Calibri" w:hAnsi="Calibri"/>
                <w:sz w:val="22"/>
              </w:rPr>
              <w:t>recommendation</w:t>
            </w:r>
            <w:r>
              <w:rPr>
                <w:rFonts w:ascii="Calibri" w:hAnsi="Calibri"/>
                <w:spacing w:val="-1"/>
                <w:sz w:val="22"/>
              </w:rPr>
              <w:t> </w:t>
            </w:r>
            <w:r>
              <w:rPr>
                <w:rFonts w:ascii="Calibri" w:hAnsi="Calibri"/>
                <w:sz w:val="22"/>
              </w:rPr>
              <w:t>–</w:t>
            </w:r>
            <w:r>
              <w:rPr>
                <w:rFonts w:ascii="Calibri" w:hAnsi="Calibri"/>
                <w:spacing w:val="-2"/>
                <w:sz w:val="22"/>
              </w:rPr>
              <w:t> </w:t>
            </w:r>
            <w:r>
              <w:rPr>
                <w:rFonts w:ascii="Calibri" w:hAnsi="Calibri"/>
                <w:sz w:val="22"/>
              </w:rPr>
              <w:t>is</w:t>
            </w:r>
            <w:r>
              <w:rPr>
                <w:rFonts w:ascii="Calibri" w:hAnsi="Calibri"/>
                <w:spacing w:val="-4"/>
                <w:sz w:val="22"/>
              </w:rPr>
              <w:t> </w:t>
            </w:r>
            <w:r>
              <w:rPr>
                <w:rFonts w:ascii="Calibri" w:hAnsi="Calibri"/>
                <w:sz w:val="22"/>
              </w:rPr>
              <w:t>it</w:t>
            </w:r>
            <w:r>
              <w:rPr>
                <w:rFonts w:ascii="Calibri" w:hAnsi="Calibri"/>
                <w:spacing w:val="-2"/>
                <w:sz w:val="22"/>
              </w:rPr>
              <w:t> </w:t>
            </w:r>
            <w:r>
              <w:rPr>
                <w:rFonts w:ascii="Calibri" w:hAnsi="Calibri"/>
                <w:sz w:val="22"/>
              </w:rPr>
              <w:t>achievable?</w:t>
            </w:r>
            <w:r>
              <w:rPr>
                <w:rFonts w:ascii="Calibri" w:hAnsi="Calibri"/>
                <w:spacing w:val="40"/>
                <w:sz w:val="22"/>
              </w:rPr>
              <w:t> </w:t>
            </w:r>
            <w:r>
              <w:rPr>
                <w:rFonts w:ascii="Calibri" w:hAnsi="Calibri"/>
                <w:sz w:val="22"/>
              </w:rPr>
              <w:t>Your</w:t>
            </w:r>
            <w:r>
              <w:rPr>
                <w:rFonts w:ascii="Calibri" w:hAnsi="Calibri"/>
                <w:spacing w:val="-4"/>
                <w:sz w:val="22"/>
              </w:rPr>
              <w:t> </w:t>
            </w:r>
            <w:r>
              <w:rPr>
                <w:rFonts w:ascii="Calibri" w:hAnsi="Calibri"/>
                <w:sz w:val="22"/>
              </w:rPr>
              <w:t>response</w:t>
            </w:r>
            <w:r>
              <w:rPr>
                <w:rFonts w:ascii="Calibri" w:hAnsi="Calibri"/>
                <w:spacing w:val="-2"/>
                <w:sz w:val="22"/>
              </w:rPr>
              <w:t> </w:t>
            </w:r>
            <w:r>
              <w:rPr>
                <w:rFonts w:ascii="Calibri" w:hAnsi="Calibri"/>
                <w:sz w:val="22"/>
              </w:rPr>
              <w:t>should</w:t>
            </w:r>
            <w:r>
              <w:rPr>
                <w:rFonts w:ascii="Calibri" w:hAnsi="Calibri"/>
                <w:spacing w:val="-3"/>
                <w:sz w:val="22"/>
              </w:rPr>
              <w:t> </w:t>
            </w:r>
            <w:r>
              <w:rPr>
                <w:rFonts w:ascii="Calibri" w:hAnsi="Calibri"/>
                <w:sz w:val="22"/>
              </w:rPr>
              <w:t>be</w:t>
            </w:r>
            <w:r>
              <w:rPr>
                <w:rFonts w:ascii="Calibri" w:hAnsi="Calibri"/>
                <w:spacing w:val="-2"/>
                <w:sz w:val="22"/>
              </w:rPr>
              <w:t> </w:t>
            </w:r>
            <w:r>
              <w:rPr>
                <w:rFonts w:ascii="Calibri" w:hAnsi="Calibri"/>
                <w:sz w:val="22"/>
              </w:rPr>
              <w:t>clear</w:t>
            </w:r>
            <w:r>
              <w:rPr>
                <w:rFonts w:ascii="Calibri" w:hAnsi="Calibri"/>
                <w:spacing w:val="-5"/>
                <w:sz w:val="22"/>
              </w:rPr>
              <w:t> </w:t>
            </w:r>
            <w:r>
              <w:rPr>
                <w:rFonts w:ascii="Calibri" w:hAnsi="Calibri"/>
                <w:sz w:val="22"/>
              </w:rPr>
              <w:t>and</w:t>
            </w:r>
            <w:r>
              <w:rPr>
                <w:rFonts w:ascii="Calibri" w:hAnsi="Calibri"/>
                <w:spacing w:val="-3"/>
                <w:sz w:val="22"/>
              </w:rPr>
              <w:t> </w:t>
            </w:r>
            <w:r>
              <w:rPr>
                <w:rFonts w:ascii="Calibri" w:hAnsi="Calibri"/>
                <w:sz w:val="22"/>
              </w:rPr>
              <w:t>well</w:t>
            </w:r>
            <w:r>
              <w:rPr>
                <w:rFonts w:ascii="Calibri" w:hAnsi="Calibri"/>
                <w:spacing w:val="-3"/>
                <w:sz w:val="22"/>
              </w:rPr>
              <w:t> </w:t>
            </w:r>
            <w:r>
              <w:rPr>
                <w:rFonts w:ascii="Calibri" w:hAnsi="Calibri"/>
                <w:sz w:val="22"/>
              </w:rPr>
              <w:t>defined</w:t>
            </w:r>
            <w:r>
              <w:rPr>
                <w:rFonts w:ascii="Calibri" w:hAnsi="Calibri"/>
                <w:spacing w:val="-3"/>
                <w:sz w:val="22"/>
              </w:rPr>
              <w:t> </w:t>
            </w:r>
            <w:r>
              <w:rPr>
                <w:rFonts w:ascii="Calibri" w:hAnsi="Calibri"/>
                <w:sz w:val="22"/>
              </w:rPr>
              <w:t>to</w:t>
            </w:r>
            <w:r>
              <w:rPr>
                <w:rFonts w:ascii="Calibri" w:hAnsi="Calibri"/>
                <w:spacing w:val="-3"/>
                <w:sz w:val="22"/>
              </w:rPr>
              <w:t> </w:t>
            </w:r>
            <w:r>
              <w:rPr>
                <w:rFonts w:ascii="Calibri" w:hAnsi="Calibri"/>
                <w:sz w:val="22"/>
              </w:rPr>
              <w:t>ensure</w:t>
            </w:r>
            <w:r>
              <w:rPr>
                <w:rFonts w:ascii="Calibri" w:hAnsi="Calibri"/>
                <w:spacing w:val="-2"/>
                <w:sz w:val="22"/>
              </w:rPr>
              <w:t> </w:t>
            </w:r>
            <w:r>
              <w:rPr>
                <w:rFonts w:ascii="Calibri" w:hAnsi="Calibri"/>
                <w:sz w:val="22"/>
              </w:rPr>
              <w:t>that</w:t>
            </w:r>
            <w:r>
              <w:rPr>
                <w:rFonts w:ascii="Calibri" w:hAnsi="Calibri"/>
                <w:spacing w:val="-1"/>
                <w:sz w:val="22"/>
              </w:rPr>
              <w:t> </w:t>
            </w:r>
            <w:r>
              <w:rPr>
                <w:rFonts w:ascii="Calibri" w:hAnsi="Calibri"/>
                <w:sz w:val="22"/>
              </w:rPr>
              <w:t>you</w:t>
            </w:r>
            <w:r>
              <w:rPr>
                <w:rFonts w:ascii="Calibri" w:hAnsi="Calibri"/>
                <w:spacing w:val="-3"/>
                <w:sz w:val="22"/>
              </w:rPr>
              <w:t> </w:t>
            </w:r>
            <w:r>
              <w:rPr>
                <w:rFonts w:ascii="Calibri" w:hAnsi="Calibri"/>
                <w:sz w:val="22"/>
              </w:rPr>
              <w:t>able</w:t>
            </w:r>
            <w:r>
              <w:rPr>
                <w:rFonts w:ascii="Calibri" w:hAnsi="Calibri"/>
                <w:spacing w:val="-2"/>
                <w:sz w:val="22"/>
              </w:rPr>
              <w:t> </w:t>
            </w:r>
            <w:r>
              <w:rPr>
                <w:rFonts w:ascii="Calibri" w:hAnsi="Calibri"/>
                <w:sz w:val="22"/>
              </w:rPr>
              <w:t>to achieve the outcome set out in the recommendation.</w:t>
            </w:r>
          </w:p>
        </w:tc>
      </w:tr>
      <w:tr>
        <w:trPr>
          <w:trHeight w:val="925" w:hRule="atLeast"/>
        </w:trPr>
        <w:tc>
          <w:tcPr>
            <w:tcW w:w="1015" w:type="dxa"/>
            <w:tcBorders>
              <w:bottom w:val="single" w:sz="12" w:space="0" w:color="000000"/>
              <w:right w:val="single" w:sz="12" w:space="0" w:color="000000"/>
            </w:tcBorders>
            <w:shd w:val="clear" w:color="auto" w:fill="FFC000"/>
          </w:tcPr>
          <w:p>
            <w:pPr>
              <w:pStyle w:val="TableParagraph"/>
              <w:spacing w:before="61"/>
              <w:rPr>
                <w:rFonts w:ascii="Calibri"/>
                <w:b/>
                <w:sz w:val="22"/>
              </w:rPr>
            </w:pPr>
          </w:p>
          <w:p>
            <w:pPr>
              <w:pStyle w:val="TableParagraph"/>
              <w:ind w:left="27" w:right="9"/>
              <w:jc w:val="center"/>
              <w:rPr>
                <w:rFonts w:ascii="Calibri"/>
                <w:sz w:val="22"/>
              </w:rPr>
            </w:pPr>
            <w:r>
              <w:rPr>
                <w:rFonts w:ascii="Calibri"/>
                <w:spacing w:val="-10"/>
                <w:sz w:val="22"/>
              </w:rPr>
              <w:t>M</w:t>
            </w:r>
          </w:p>
        </w:tc>
        <w:tc>
          <w:tcPr>
            <w:tcW w:w="1625" w:type="dxa"/>
            <w:tcBorders>
              <w:left w:val="single" w:sz="12" w:space="0" w:color="000000"/>
            </w:tcBorders>
          </w:tcPr>
          <w:p>
            <w:pPr>
              <w:pStyle w:val="TableParagraph"/>
              <w:spacing w:before="61"/>
              <w:rPr>
                <w:rFonts w:ascii="Calibri"/>
                <w:b/>
                <w:sz w:val="22"/>
              </w:rPr>
            </w:pPr>
          </w:p>
          <w:p>
            <w:pPr>
              <w:pStyle w:val="TableParagraph"/>
              <w:ind w:left="15" w:right="4"/>
              <w:jc w:val="center"/>
              <w:rPr>
                <w:rFonts w:ascii="Calibri"/>
                <w:sz w:val="22"/>
              </w:rPr>
            </w:pPr>
            <w:r>
              <w:rPr>
                <w:rFonts w:ascii="Calibri"/>
                <w:spacing w:val="-2"/>
                <w:sz w:val="22"/>
              </w:rPr>
              <w:t>Measurable</w:t>
            </w:r>
          </w:p>
        </w:tc>
        <w:tc>
          <w:tcPr>
            <w:tcW w:w="11388" w:type="dxa"/>
          </w:tcPr>
          <w:p>
            <w:pPr>
              <w:pStyle w:val="TableParagraph"/>
              <w:spacing w:before="195"/>
              <w:ind w:left="10" w:right="45"/>
              <w:rPr>
                <w:rFonts w:ascii="Calibri"/>
                <w:sz w:val="22"/>
              </w:rPr>
            </w:pPr>
            <w:r>
              <w:rPr>
                <w:rFonts w:ascii="Calibri"/>
                <w:sz w:val="22"/>
              </w:rPr>
              <w:t>What</w:t>
            </w:r>
            <w:r>
              <w:rPr>
                <w:rFonts w:ascii="Calibri"/>
                <w:spacing w:val="-2"/>
                <w:sz w:val="22"/>
              </w:rPr>
              <w:t> </w:t>
            </w:r>
            <w:r>
              <w:rPr>
                <w:rFonts w:ascii="Calibri"/>
                <w:sz w:val="22"/>
              </w:rPr>
              <w:t>documentation</w:t>
            </w:r>
            <w:r>
              <w:rPr>
                <w:rFonts w:ascii="Calibri"/>
                <w:spacing w:val="-4"/>
                <w:sz w:val="22"/>
              </w:rPr>
              <w:t> </w:t>
            </w:r>
            <w:r>
              <w:rPr>
                <w:rFonts w:ascii="Calibri"/>
                <w:sz w:val="22"/>
              </w:rPr>
              <w:t>can</w:t>
            </w:r>
            <w:r>
              <w:rPr>
                <w:rFonts w:ascii="Calibri"/>
                <w:spacing w:val="-4"/>
                <w:sz w:val="22"/>
              </w:rPr>
              <w:t> </w:t>
            </w:r>
            <w:r>
              <w:rPr>
                <w:rFonts w:ascii="Calibri"/>
                <w:sz w:val="22"/>
              </w:rPr>
              <w:t>you</w:t>
            </w:r>
            <w:r>
              <w:rPr>
                <w:rFonts w:ascii="Calibri"/>
                <w:spacing w:val="-4"/>
                <w:sz w:val="22"/>
              </w:rPr>
              <w:t> </w:t>
            </w:r>
            <w:r>
              <w:rPr>
                <w:rFonts w:ascii="Calibri"/>
                <w:sz w:val="22"/>
              </w:rPr>
              <w:t>provide</w:t>
            </w:r>
            <w:r>
              <w:rPr>
                <w:rFonts w:ascii="Calibri"/>
                <w:spacing w:val="-3"/>
                <w:sz w:val="22"/>
              </w:rPr>
              <w:t> </w:t>
            </w:r>
            <w:r>
              <w:rPr>
                <w:rFonts w:ascii="Calibri"/>
                <w:sz w:val="22"/>
              </w:rPr>
              <w:t>to</w:t>
            </w:r>
            <w:r>
              <w:rPr>
                <w:rFonts w:ascii="Calibri"/>
                <w:spacing w:val="-4"/>
                <w:sz w:val="22"/>
              </w:rPr>
              <w:t> </w:t>
            </w:r>
            <w:r>
              <w:rPr>
                <w:rFonts w:ascii="Calibri"/>
                <w:sz w:val="22"/>
              </w:rPr>
              <w:t>evidence</w:t>
            </w:r>
            <w:r>
              <w:rPr>
                <w:rFonts w:ascii="Calibri"/>
                <w:spacing w:val="-3"/>
                <w:sz w:val="22"/>
              </w:rPr>
              <w:t> </w:t>
            </w:r>
            <w:r>
              <w:rPr>
                <w:rFonts w:ascii="Calibri"/>
                <w:sz w:val="22"/>
              </w:rPr>
              <w:t>that</w:t>
            </w:r>
            <w:r>
              <w:rPr>
                <w:rFonts w:ascii="Calibri"/>
                <w:spacing w:val="-2"/>
                <w:sz w:val="22"/>
              </w:rPr>
              <w:t> </w:t>
            </w:r>
            <w:r>
              <w:rPr>
                <w:rFonts w:ascii="Calibri"/>
                <w:sz w:val="22"/>
              </w:rPr>
              <w:t>the</w:t>
            </w:r>
            <w:r>
              <w:rPr>
                <w:rFonts w:ascii="Calibri"/>
                <w:spacing w:val="-3"/>
                <w:sz w:val="22"/>
              </w:rPr>
              <w:t> </w:t>
            </w:r>
            <w:r>
              <w:rPr>
                <w:rFonts w:ascii="Calibri"/>
                <w:sz w:val="22"/>
              </w:rPr>
              <w:t>recommendation</w:t>
            </w:r>
            <w:r>
              <w:rPr>
                <w:rFonts w:ascii="Calibri"/>
                <w:spacing w:val="-4"/>
                <w:sz w:val="22"/>
              </w:rPr>
              <w:t> </w:t>
            </w:r>
            <w:r>
              <w:rPr>
                <w:rFonts w:ascii="Calibri"/>
                <w:sz w:val="22"/>
              </w:rPr>
              <w:t>has</w:t>
            </w:r>
            <w:r>
              <w:rPr>
                <w:rFonts w:ascii="Calibri"/>
                <w:spacing w:val="-5"/>
                <w:sz w:val="22"/>
              </w:rPr>
              <w:t> </w:t>
            </w:r>
            <w:r>
              <w:rPr>
                <w:rFonts w:ascii="Calibri"/>
                <w:sz w:val="22"/>
              </w:rPr>
              <w:t>been</w:t>
            </w:r>
            <w:r>
              <w:rPr>
                <w:rFonts w:ascii="Calibri"/>
                <w:spacing w:val="-4"/>
                <w:sz w:val="22"/>
              </w:rPr>
              <w:t> </w:t>
            </w:r>
            <w:r>
              <w:rPr>
                <w:rFonts w:ascii="Calibri"/>
                <w:sz w:val="22"/>
              </w:rPr>
              <w:t>completed</w:t>
            </w:r>
            <w:r>
              <w:rPr>
                <w:rFonts w:ascii="Calibri"/>
                <w:spacing w:val="-4"/>
                <w:sz w:val="22"/>
              </w:rPr>
              <w:t> </w:t>
            </w:r>
            <w:r>
              <w:rPr>
                <w:rFonts w:ascii="Calibri"/>
                <w:sz w:val="22"/>
              </w:rPr>
              <w:t>to</w:t>
            </w:r>
            <w:r>
              <w:rPr>
                <w:rFonts w:ascii="Calibri"/>
                <w:spacing w:val="-4"/>
                <w:sz w:val="22"/>
              </w:rPr>
              <w:t> </w:t>
            </w:r>
            <w:r>
              <w:rPr>
                <w:rFonts w:ascii="Calibri"/>
                <w:sz w:val="22"/>
              </w:rPr>
              <w:t>a</w:t>
            </w:r>
            <w:r>
              <w:rPr>
                <w:rFonts w:ascii="Calibri"/>
                <w:spacing w:val="-4"/>
                <w:sz w:val="22"/>
              </w:rPr>
              <w:t> </w:t>
            </w:r>
            <w:r>
              <w:rPr>
                <w:rFonts w:ascii="Calibri"/>
                <w:sz w:val="22"/>
              </w:rPr>
              <w:t>satisfactory</w:t>
            </w:r>
            <w:r>
              <w:rPr>
                <w:rFonts w:ascii="Calibri"/>
                <w:spacing w:val="-3"/>
                <w:sz w:val="22"/>
              </w:rPr>
              <w:t> </w:t>
            </w:r>
            <w:r>
              <w:rPr>
                <w:rFonts w:ascii="Calibri"/>
                <w:sz w:val="22"/>
              </w:rPr>
              <w:t>standard? Do you need to create/amend policies, processes etc?</w:t>
            </w:r>
          </w:p>
        </w:tc>
      </w:tr>
      <w:tr>
        <w:trPr>
          <w:trHeight w:val="1120" w:hRule="atLeast"/>
        </w:trPr>
        <w:tc>
          <w:tcPr>
            <w:tcW w:w="1015" w:type="dxa"/>
            <w:tcBorders>
              <w:right w:val="single" w:sz="12" w:space="0" w:color="000000"/>
            </w:tcBorders>
            <w:shd w:val="clear" w:color="auto" w:fill="FFFF00"/>
          </w:tcPr>
          <w:p>
            <w:pPr>
              <w:pStyle w:val="TableParagraph"/>
              <w:spacing w:before="157"/>
              <w:rPr>
                <w:rFonts w:ascii="Calibri"/>
                <w:b/>
                <w:sz w:val="22"/>
              </w:rPr>
            </w:pPr>
          </w:p>
          <w:p>
            <w:pPr>
              <w:pStyle w:val="TableParagraph"/>
              <w:ind w:left="27"/>
              <w:jc w:val="center"/>
              <w:rPr>
                <w:rFonts w:ascii="Calibri"/>
                <w:sz w:val="22"/>
              </w:rPr>
            </w:pPr>
            <w:r>
              <w:rPr>
                <w:rFonts w:ascii="Calibri"/>
                <w:spacing w:val="-10"/>
                <w:sz w:val="22"/>
              </w:rPr>
              <w:t>A</w:t>
            </w:r>
          </w:p>
        </w:tc>
        <w:tc>
          <w:tcPr>
            <w:tcW w:w="1625" w:type="dxa"/>
            <w:tcBorders>
              <w:left w:val="single" w:sz="12" w:space="0" w:color="000000"/>
            </w:tcBorders>
          </w:tcPr>
          <w:p>
            <w:pPr>
              <w:pStyle w:val="TableParagraph"/>
              <w:spacing w:before="157"/>
              <w:rPr>
                <w:rFonts w:ascii="Calibri"/>
                <w:b/>
                <w:sz w:val="22"/>
              </w:rPr>
            </w:pPr>
          </w:p>
          <w:p>
            <w:pPr>
              <w:pStyle w:val="TableParagraph"/>
              <w:ind w:left="15"/>
              <w:jc w:val="center"/>
              <w:rPr>
                <w:rFonts w:ascii="Calibri"/>
                <w:sz w:val="22"/>
              </w:rPr>
            </w:pPr>
            <w:r>
              <w:rPr>
                <w:rFonts w:ascii="Calibri"/>
                <w:spacing w:val="-2"/>
                <w:sz w:val="22"/>
              </w:rPr>
              <w:t>Achievable</w:t>
            </w:r>
          </w:p>
        </w:tc>
        <w:tc>
          <w:tcPr>
            <w:tcW w:w="11388" w:type="dxa"/>
          </w:tcPr>
          <w:p>
            <w:pPr>
              <w:pStyle w:val="TableParagraph"/>
              <w:spacing w:before="22"/>
              <w:rPr>
                <w:rFonts w:ascii="Calibri"/>
                <w:b/>
                <w:sz w:val="22"/>
              </w:rPr>
            </w:pPr>
          </w:p>
          <w:p>
            <w:pPr>
              <w:pStyle w:val="TableParagraph"/>
              <w:ind w:left="10" w:right="45"/>
              <w:rPr>
                <w:rFonts w:ascii="Calibri" w:hAnsi="Calibri"/>
                <w:sz w:val="22"/>
              </w:rPr>
            </w:pPr>
            <w:r>
              <w:rPr>
                <w:rFonts w:ascii="Calibri" w:hAnsi="Calibri"/>
                <w:sz w:val="22"/>
              </w:rPr>
              <w:t>Can</w:t>
            </w:r>
            <w:r>
              <w:rPr>
                <w:rFonts w:ascii="Calibri" w:hAnsi="Calibri"/>
                <w:spacing w:val="-3"/>
                <w:sz w:val="22"/>
              </w:rPr>
              <w:t> </w:t>
            </w:r>
            <w:r>
              <w:rPr>
                <w:rFonts w:ascii="Calibri" w:hAnsi="Calibri"/>
                <w:sz w:val="22"/>
              </w:rPr>
              <w:t>we</w:t>
            </w:r>
            <w:r>
              <w:rPr>
                <w:rFonts w:ascii="Calibri" w:hAnsi="Calibri"/>
                <w:spacing w:val="-2"/>
                <w:sz w:val="22"/>
              </w:rPr>
              <w:t> </w:t>
            </w:r>
            <w:r>
              <w:rPr>
                <w:rFonts w:ascii="Calibri" w:hAnsi="Calibri"/>
                <w:sz w:val="22"/>
              </w:rPr>
              <w:t>as</w:t>
            </w:r>
            <w:r>
              <w:rPr>
                <w:rFonts w:ascii="Calibri" w:hAnsi="Calibri"/>
                <w:spacing w:val="-4"/>
                <w:sz w:val="22"/>
              </w:rPr>
              <w:t> </w:t>
            </w:r>
            <w:r>
              <w:rPr>
                <w:rFonts w:ascii="Calibri" w:hAnsi="Calibri"/>
                <w:sz w:val="22"/>
              </w:rPr>
              <w:t>a</w:t>
            </w:r>
            <w:r>
              <w:rPr>
                <w:rFonts w:ascii="Calibri" w:hAnsi="Calibri"/>
                <w:spacing w:val="-3"/>
                <w:sz w:val="22"/>
              </w:rPr>
              <w:t> </w:t>
            </w:r>
            <w:r>
              <w:rPr>
                <w:rFonts w:ascii="Calibri" w:hAnsi="Calibri"/>
                <w:sz w:val="22"/>
              </w:rPr>
              <w:t>Health</w:t>
            </w:r>
            <w:r>
              <w:rPr>
                <w:rFonts w:ascii="Calibri" w:hAnsi="Calibri"/>
                <w:spacing w:val="-3"/>
                <w:sz w:val="22"/>
              </w:rPr>
              <w:t> </w:t>
            </w:r>
            <w:r>
              <w:rPr>
                <w:rFonts w:ascii="Calibri" w:hAnsi="Calibri"/>
                <w:sz w:val="22"/>
              </w:rPr>
              <w:t>Board</w:t>
            </w:r>
            <w:r>
              <w:rPr>
                <w:rFonts w:ascii="Calibri" w:hAnsi="Calibri"/>
                <w:spacing w:val="-3"/>
                <w:sz w:val="22"/>
              </w:rPr>
              <w:t> </w:t>
            </w:r>
            <w:r>
              <w:rPr>
                <w:rFonts w:ascii="Calibri" w:hAnsi="Calibri"/>
                <w:sz w:val="22"/>
              </w:rPr>
              <w:t>achieve</w:t>
            </w:r>
            <w:r>
              <w:rPr>
                <w:rFonts w:ascii="Calibri" w:hAnsi="Calibri"/>
                <w:spacing w:val="-2"/>
                <w:sz w:val="22"/>
              </w:rPr>
              <w:t> </w:t>
            </w:r>
            <w:r>
              <w:rPr>
                <w:rFonts w:ascii="Calibri" w:hAnsi="Calibri"/>
                <w:sz w:val="22"/>
              </w:rPr>
              <w:t>the</w:t>
            </w:r>
            <w:r>
              <w:rPr>
                <w:rFonts w:ascii="Calibri" w:hAnsi="Calibri"/>
                <w:spacing w:val="-2"/>
                <w:sz w:val="22"/>
              </w:rPr>
              <w:t> </w:t>
            </w:r>
            <w:r>
              <w:rPr>
                <w:rFonts w:ascii="Calibri" w:hAnsi="Calibri"/>
                <w:sz w:val="22"/>
              </w:rPr>
              <w:t>outcome</w:t>
            </w:r>
            <w:r>
              <w:rPr>
                <w:rFonts w:ascii="Calibri" w:hAnsi="Calibri"/>
                <w:spacing w:val="-2"/>
                <w:sz w:val="22"/>
              </w:rPr>
              <w:t> </w:t>
            </w:r>
            <w:r>
              <w:rPr>
                <w:rFonts w:ascii="Calibri" w:hAnsi="Calibri"/>
                <w:sz w:val="22"/>
              </w:rPr>
              <w:t>needed –</w:t>
            </w:r>
            <w:r>
              <w:rPr>
                <w:rFonts w:ascii="Calibri" w:hAnsi="Calibri"/>
                <w:spacing w:val="-1"/>
                <w:sz w:val="22"/>
              </w:rPr>
              <w:t> </w:t>
            </w:r>
            <w:r>
              <w:rPr>
                <w:rFonts w:ascii="Calibri" w:hAnsi="Calibri"/>
                <w:sz w:val="22"/>
              </w:rPr>
              <w:t>are</w:t>
            </w:r>
            <w:r>
              <w:rPr>
                <w:rFonts w:ascii="Calibri" w:hAnsi="Calibri"/>
                <w:spacing w:val="-2"/>
                <w:sz w:val="22"/>
              </w:rPr>
              <w:t> </w:t>
            </w:r>
            <w:r>
              <w:rPr>
                <w:rFonts w:ascii="Calibri" w:hAnsi="Calibri"/>
                <w:sz w:val="22"/>
              </w:rPr>
              <w:t>there</w:t>
            </w:r>
            <w:r>
              <w:rPr>
                <w:rFonts w:ascii="Calibri" w:hAnsi="Calibri"/>
                <w:spacing w:val="-2"/>
                <w:sz w:val="22"/>
              </w:rPr>
              <w:t> </w:t>
            </w:r>
            <w:r>
              <w:rPr>
                <w:rFonts w:ascii="Calibri" w:hAnsi="Calibri"/>
                <w:sz w:val="22"/>
              </w:rPr>
              <w:t>any</w:t>
            </w:r>
            <w:r>
              <w:rPr>
                <w:rFonts w:ascii="Calibri" w:hAnsi="Calibri"/>
                <w:spacing w:val="-2"/>
                <w:sz w:val="22"/>
              </w:rPr>
              <w:t> </w:t>
            </w:r>
            <w:r>
              <w:rPr>
                <w:rFonts w:ascii="Calibri" w:hAnsi="Calibri"/>
                <w:sz w:val="22"/>
              </w:rPr>
              <w:t>factors</w:t>
            </w:r>
            <w:r>
              <w:rPr>
                <w:rFonts w:ascii="Calibri" w:hAnsi="Calibri"/>
                <w:spacing w:val="-4"/>
                <w:sz w:val="22"/>
              </w:rPr>
              <w:t> </w:t>
            </w:r>
            <w:r>
              <w:rPr>
                <w:rFonts w:ascii="Calibri" w:hAnsi="Calibri"/>
                <w:sz w:val="22"/>
              </w:rPr>
              <w:t>(internal</w:t>
            </w:r>
            <w:r>
              <w:rPr>
                <w:rFonts w:ascii="Calibri" w:hAnsi="Calibri"/>
                <w:spacing w:val="-2"/>
                <w:sz w:val="22"/>
              </w:rPr>
              <w:t> </w:t>
            </w:r>
            <w:r>
              <w:rPr>
                <w:rFonts w:ascii="Calibri" w:hAnsi="Calibri"/>
                <w:sz w:val="22"/>
              </w:rPr>
              <w:t>and</w:t>
            </w:r>
            <w:r>
              <w:rPr>
                <w:rFonts w:ascii="Calibri" w:hAnsi="Calibri"/>
                <w:spacing w:val="-4"/>
                <w:sz w:val="22"/>
              </w:rPr>
              <w:t> </w:t>
            </w:r>
            <w:r>
              <w:rPr>
                <w:rFonts w:ascii="Calibri" w:hAnsi="Calibri"/>
                <w:sz w:val="22"/>
              </w:rPr>
              <w:t>external)</w:t>
            </w:r>
            <w:r>
              <w:rPr>
                <w:rFonts w:ascii="Calibri" w:hAnsi="Calibri"/>
                <w:spacing w:val="-5"/>
                <w:sz w:val="22"/>
              </w:rPr>
              <w:t> </w:t>
            </w:r>
            <w:r>
              <w:rPr>
                <w:rFonts w:ascii="Calibri" w:hAnsi="Calibri"/>
                <w:sz w:val="22"/>
              </w:rPr>
              <w:t>that</w:t>
            </w:r>
            <w:r>
              <w:rPr>
                <w:rFonts w:ascii="Calibri" w:hAnsi="Calibri"/>
                <w:spacing w:val="-1"/>
                <w:sz w:val="22"/>
              </w:rPr>
              <w:t> </w:t>
            </w:r>
            <w:r>
              <w:rPr>
                <w:rFonts w:ascii="Calibri" w:hAnsi="Calibri"/>
                <w:sz w:val="22"/>
              </w:rPr>
              <w:t>need</w:t>
            </w:r>
            <w:r>
              <w:rPr>
                <w:rFonts w:ascii="Calibri" w:hAnsi="Calibri"/>
                <w:spacing w:val="-3"/>
                <w:sz w:val="22"/>
              </w:rPr>
              <w:t> </w:t>
            </w:r>
            <w:r>
              <w:rPr>
                <w:rFonts w:ascii="Calibri" w:hAnsi="Calibri"/>
                <w:sz w:val="22"/>
              </w:rPr>
              <w:t>to</w:t>
            </w:r>
            <w:r>
              <w:rPr>
                <w:rFonts w:ascii="Calibri" w:hAnsi="Calibri"/>
                <w:spacing w:val="-3"/>
                <w:sz w:val="22"/>
              </w:rPr>
              <w:t> </w:t>
            </w:r>
            <w:r>
              <w:rPr>
                <w:rFonts w:ascii="Calibri" w:hAnsi="Calibri"/>
                <w:sz w:val="22"/>
              </w:rPr>
              <w:t>be</w:t>
            </w:r>
            <w:r>
              <w:rPr>
                <w:rFonts w:ascii="Calibri" w:hAnsi="Calibri"/>
                <w:spacing w:val="-2"/>
                <w:sz w:val="22"/>
              </w:rPr>
              <w:t> </w:t>
            </w:r>
            <w:r>
              <w:rPr>
                <w:rFonts w:ascii="Calibri" w:hAnsi="Calibri"/>
                <w:sz w:val="22"/>
              </w:rPr>
              <w:t>taken into account to be able to achieve the outcome i.e Financial implications, workforce capacity, specific equipment etc?</w:t>
            </w:r>
          </w:p>
        </w:tc>
      </w:tr>
    </w:tbl>
    <w:p>
      <w:pPr>
        <w:pStyle w:val="BodyText"/>
        <w:rPr>
          <w:rFonts w:ascii="Calibri"/>
          <w:b/>
          <w:sz w:val="22"/>
        </w:rPr>
      </w:pPr>
    </w:p>
    <w:p>
      <w:pPr>
        <w:pStyle w:val="BodyText"/>
        <w:spacing w:before="199"/>
        <w:rPr>
          <w:rFonts w:ascii="Calibri"/>
          <w:b/>
          <w:sz w:val="22"/>
        </w:rPr>
      </w:pPr>
    </w:p>
    <w:p>
      <w:pPr>
        <w:spacing w:before="1"/>
        <w:ind w:left="0" w:right="1289" w:firstLine="0"/>
        <w:jc w:val="right"/>
        <w:rPr>
          <w:rFonts w:ascii="Calibri"/>
          <w:sz w:val="22"/>
        </w:rPr>
      </w:pPr>
      <w:r>
        <w:rPr>
          <w:rFonts w:ascii="Calibri"/>
          <w:spacing w:val="-10"/>
          <w:sz w:val="22"/>
        </w:rPr>
        <w:t>1</w:t>
      </w:r>
    </w:p>
    <w:p>
      <w:pPr>
        <w:spacing w:after="0"/>
        <w:jc w:val="right"/>
        <w:rPr>
          <w:rFonts w:ascii="Calibri"/>
          <w:sz w:val="22"/>
        </w:rPr>
        <w:sectPr>
          <w:footerReference w:type="default" r:id="rId109"/>
          <w:pgSz w:w="16840" w:h="11910" w:orient="landscape"/>
          <w:pgMar w:header="0" w:footer="198" w:top="1340" w:bottom="380" w:left="141" w:right="142"/>
          <w:pgNumType w:start="185"/>
        </w:sectPr>
      </w:pPr>
    </w:p>
    <w:p>
      <w:pPr>
        <w:pStyle w:val="BodyText"/>
        <w:spacing w:before="10"/>
        <w:rPr>
          <w:rFonts w:ascii="Calibri"/>
          <w:sz w:val="7"/>
        </w:rPr>
      </w:pPr>
    </w:p>
    <w:tbl>
      <w:tblPr>
        <w:tblW w:w="0" w:type="auto"/>
        <w:jc w:val="left"/>
        <w:tblInd w:w="13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15"/>
        <w:gridCol w:w="1625"/>
        <w:gridCol w:w="11388"/>
      </w:tblGrid>
      <w:tr>
        <w:trPr>
          <w:trHeight w:val="1280" w:hRule="atLeast"/>
        </w:trPr>
        <w:tc>
          <w:tcPr>
            <w:tcW w:w="1015" w:type="dxa"/>
            <w:tcBorders>
              <w:bottom w:val="single" w:sz="12" w:space="0" w:color="000000"/>
              <w:right w:val="single" w:sz="12" w:space="0" w:color="000000"/>
            </w:tcBorders>
            <w:shd w:val="clear" w:color="auto" w:fill="92D050"/>
          </w:tcPr>
          <w:p>
            <w:pPr>
              <w:pStyle w:val="TableParagraph"/>
              <w:spacing w:before="242"/>
              <w:rPr>
                <w:rFonts w:ascii="Calibri"/>
                <w:sz w:val="22"/>
              </w:rPr>
            </w:pPr>
          </w:p>
          <w:p>
            <w:pPr>
              <w:pStyle w:val="TableParagraph"/>
              <w:ind w:left="27" w:right="8"/>
              <w:jc w:val="center"/>
              <w:rPr>
                <w:rFonts w:ascii="Calibri"/>
                <w:sz w:val="22"/>
              </w:rPr>
            </w:pPr>
            <w:r>
              <w:rPr>
                <w:rFonts w:ascii="Calibri"/>
                <w:spacing w:val="-10"/>
                <w:sz w:val="22"/>
              </w:rPr>
              <w:t>R</w:t>
            </w:r>
          </w:p>
        </w:tc>
        <w:tc>
          <w:tcPr>
            <w:tcW w:w="1625" w:type="dxa"/>
            <w:tcBorders>
              <w:left w:val="single" w:sz="12" w:space="0" w:color="000000"/>
            </w:tcBorders>
          </w:tcPr>
          <w:p>
            <w:pPr>
              <w:pStyle w:val="TableParagraph"/>
              <w:spacing w:before="242"/>
              <w:rPr>
                <w:rFonts w:ascii="Calibri"/>
                <w:sz w:val="22"/>
              </w:rPr>
            </w:pPr>
          </w:p>
          <w:p>
            <w:pPr>
              <w:pStyle w:val="TableParagraph"/>
              <w:ind w:left="5" w:right="-15"/>
              <w:jc w:val="center"/>
              <w:rPr>
                <w:rFonts w:ascii="Calibri"/>
                <w:sz w:val="22"/>
              </w:rPr>
            </w:pPr>
            <w:r>
              <w:rPr>
                <w:rFonts w:ascii="Calibri"/>
                <w:spacing w:val="-2"/>
                <w:sz w:val="22"/>
              </w:rPr>
              <w:t>Realistic/Relevant</w:t>
            </w:r>
          </w:p>
        </w:tc>
        <w:tc>
          <w:tcPr>
            <w:tcW w:w="11388" w:type="dxa"/>
          </w:tcPr>
          <w:p>
            <w:pPr>
              <w:pStyle w:val="TableParagraph"/>
              <w:spacing w:before="107"/>
              <w:rPr>
                <w:rFonts w:ascii="Calibri"/>
                <w:sz w:val="22"/>
              </w:rPr>
            </w:pPr>
          </w:p>
          <w:p>
            <w:pPr>
              <w:pStyle w:val="TableParagraph"/>
              <w:ind w:left="10" w:right="45"/>
              <w:rPr>
                <w:rFonts w:ascii="Calibri"/>
                <w:sz w:val="22"/>
              </w:rPr>
            </w:pPr>
            <w:r>
              <w:rPr>
                <w:rFonts w:ascii="Calibri"/>
                <w:sz w:val="22"/>
              </w:rPr>
              <w:t>Are</w:t>
            </w:r>
            <w:r>
              <w:rPr>
                <w:rFonts w:ascii="Calibri"/>
                <w:spacing w:val="-2"/>
                <w:sz w:val="22"/>
              </w:rPr>
              <w:t> </w:t>
            </w:r>
            <w:r>
              <w:rPr>
                <w:rFonts w:ascii="Calibri"/>
                <w:sz w:val="22"/>
              </w:rPr>
              <w:t>you</w:t>
            </w:r>
            <w:r>
              <w:rPr>
                <w:rFonts w:ascii="Calibri"/>
                <w:spacing w:val="-4"/>
                <w:sz w:val="22"/>
              </w:rPr>
              <w:t> </w:t>
            </w:r>
            <w:r>
              <w:rPr>
                <w:rFonts w:ascii="Calibri"/>
                <w:sz w:val="22"/>
              </w:rPr>
              <w:t>able</w:t>
            </w:r>
            <w:r>
              <w:rPr>
                <w:rFonts w:ascii="Calibri"/>
                <w:spacing w:val="-2"/>
                <w:sz w:val="22"/>
              </w:rPr>
              <w:t> </w:t>
            </w:r>
            <w:r>
              <w:rPr>
                <w:rFonts w:ascii="Calibri"/>
                <w:sz w:val="22"/>
              </w:rPr>
              <w:t>to</w:t>
            </w:r>
            <w:r>
              <w:rPr>
                <w:rFonts w:ascii="Calibri"/>
                <w:spacing w:val="-3"/>
                <w:sz w:val="22"/>
              </w:rPr>
              <w:t> </w:t>
            </w:r>
            <w:r>
              <w:rPr>
                <w:rFonts w:ascii="Calibri"/>
                <w:sz w:val="22"/>
              </w:rPr>
              <w:t>complete</w:t>
            </w:r>
            <w:r>
              <w:rPr>
                <w:rFonts w:ascii="Calibri"/>
                <w:spacing w:val="-2"/>
                <w:sz w:val="22"/>
              </w:rPr>
              <w:t> </w:t>
            </w:r>
            <w:r>
              <w:rPr>
                <w:rFonts w:ascii="Calibri"/>
                <w:sz w:val="22"/>
              </w:rPr>
              <w:t>the</w:t>
            </w:r>
            <w:r>
              <w:rPr>
                <w:rFonts w:ascii="Calibri"/>
                <w:spacing w:val="-2"/>
                <w:sz w:val="22"/>
              </w:rPr>
              <w:t> </w:t>
            </w:r>
            <w:r>
              <w:rPr>
                <w:rFonts w:ascii="Calibri"/>
                <w:sz w:val="22"/>
              </w:rPr>
              <w:t>action - Do</w:t>
            </w:r>
            <w:r>
              <w:rPr>
                <w:rFonts w:ascii="Calibri"/>
                <w:spacing w:val="-4"/>
                <w:sz w:val="22"/>
              </w:rPr>
              <w:t> </w:t>
            </w:r>
            <w:r>
              <w:rPr>
                <w:rFonts w:ascii="Calibri"/>
                <w:sz w:val="22"/>
              </w:rPr>
              <w:t>you</w:t>
            </w:r>
            <w:r>
              <w:rPr>
                <w:rFonts w:ascii="Calibri"/>
                <w:spacing w:val="-3"/>
                <w:sz w:val="22"/>
              </w:rPr>
              <w:t> </w:t>
            </w:r>
            <w:r>
              <w:rPr>
                <w:rFonts w:ascii="Calibri"/>
                <w:sz w:val="22"/>
              </w:rPr>
              <w:t>have</w:t>
            </w:r>
            <w:r>
              <w:rPr>
                <w:rFonts w:ascii="Calibri"/>
                <w:spacing w:val="-2"/>
                <w:sz w:val="22"/>
              </w:rPr>
              <w:t> </w:t>
            </w:r>
            <w:r>
              <w:rPr>
                <w:rFonts w:ascii="Calibri"/>
                <w:sz w:val="22"/>
              </w:rPr>
              <w:t>the</w:t>
            </w:r>
            <w:r>
              <w:rPr>
                <w:rFonts w:ascii="Calibri"/>
                <w:spacing w:val="-2"/>
                <w:sz w:val="22"/>
              </w:rPr>
              <w:t> </w:t>
            </w:r>
            <w:r>
              <w:rPr>
                <w:rFonts w:ascii="Calibri"/>
                <w:sz w:val="22"/>
              </w:rPr>
              <w:t>correct</w:t>
            </w:r>
            <w:r>
              <w:rPr>
                <w:rFonts w:ascii="Calibri"/>
                <w:spacing w:val="-1"/>
                <w:sz w:val="22"/>
              </w:rPr>
              <w:t> </w:t>
            </w:r>
            <w:r>
              <w:rPr>
                <w:rFonts w:ascii="Calibri"/>
                <w:sz w:val="22"/>
              </w:rPr>
              <w:t>resources?</w:t>
            </w:r>
            <w:r>
              <w:rPr>
                <w:rFonts w:ascii="Calibri"/>
                <w:spacing w:val="-5"/>
                <w:sz w:val="22"/>
              </w:rPr>
              <w:t> </w:t>
            </w:r>
            <w:r>
              <w:rPr>
                <w:rFonts w:ascii="Calibri"/>
                <w:sz w:val="22"/>
              </w:rPr>
              <w:t>Do</w:t>
            </w:r>
            <w:r>
              <w:rPr>
                <w:rFonts w:ascii="Calibri"/>
                <w:spacing w:val="-3"/>
                <w:sz w:val="22"/>
              </w:rPr>
              <w:t> </w:t>
            </w:r>
            <w:r>
              <w:rPr>
                <w:rFonts w:ascii="Calibri"/>
                <w:sz w:val="22"/>
              </w:rPr>
              <w:t>you have</w:t>
            </w:r>
            <w:r>
              <w:rPr>
                <w:rFonts w:ascii="Calibri"/>
                <w:spacing w:val="-2"/>
                <w:sz w:val="22"/>
              </w:rPr>
              <w:t> </w:t>
            </w:r>
            <w:r>
              <w:rPr>
                <w:rFonts w:ascii="Calibri"/>
                <w:sz w:val="22"/>
              </w:rPr>
              <w:t>enough</w:t>
            </w:r>
            <w:r>
              <w:rPr>
                <w:rFonts w:ascii="Calibri"/>
                <w:spacing w:val="-3"/>
                <w:sz w:val="22"/>
              </w:rPr>
              <w:t> </w:t>
            </w:r>
            <w:r>
              <w:rPr>
                <w:rFonts w:ascii="Calibri"/>
                <w:sz w:val="22"/>
              </w:rPr>
              <w:t>workforce</w:t>
            </w:r>
            <w:r>
              <w:rPr>
                <w:rFonts w:ascii="Calibri"/>
                <w:spacing w:val="-2"/>
                <w:sz w:val="22"/>
              </w:rPr>
              <w:t> </w:t>
            </w:r>
            <w:r>
              <w:rPr>
                <w:rFonts w:ascii="Calibri"/>
                <w:sz w:val="22"/>
              </w:rPr>
              <w:t>capacity</w:t>
            </w:r>
            <w:r>
              <w:rPr>
                <w:rFonts w:ascii="Calibri"/>
                <w:spacing w:val="-2"/>
                <w:sz w:val="22"/>
              </w:rPr>
              <w:t> </w:t>
            </w:r>
            <w:r>
              <w:rPr>
                <w:rFonts w:ascii="Calibri"/>
                <w:sz w:val="22"/>
              </w:rPr>
              <w:t>to</w:t>
            </w:r>
            <w:r>
              <w:rPr>
                <w:rFonts w:ascii="Calibri"/>
                <w:spacing w:val="-3"/>
                <w:sz w:val="22"/>
              </w:rPr>
              <w:t> </w:t>
            </w:r>
            <w:r>
              <w:rPr>
                <w:rFonts w:ascii="Calibri"/>
                <w:sz w:val="22"/>
              </w:rPr>
              <w:t>complete the action?</w:t>
            </w:r>
          </w:p>
        </w:tc>
      </w:tr>
      <w:tr>
        <w:trPr>
          <w:trHeight w:val="1295" w:hRule="atLeast"/>
        </w:trPr>
        <w:tc>
          <w:tcPr>
            <w:tcW w:w="1015" w:type="dxa"/>
            <w:tcBorders>
              <w:right w:val="single" w:sz="12" w:space="0" w:color="000000"/>
            </w:tcBorders>
            <w:shd w:val="clear" w:color="auto" w:fill="00AFEF"/>
          </w:tcPr>
          <w:p>
            <w:pPr>
              <w:pStyle w:val="TableParagraph"/>
              <w:spacing w:before="247"/>
              <w:rPr>
                <w:rFonts w:ascii="Calibri"/>
                <w:sz w:val="22"/>
              </w:rPr>
            </w:pPr>
          </w:p>
          <w:p>
            <w:pPr>
              <w:pStyle w:val="TableParagraph"/>
              <w:ind w:left="27"/>
              <w:jc w:val="center"/>
              <w:rPr>
                <w:rFonts w:ascii="Calibri"/>
                <w:sz w:val="22"/>
              </w:rPr>
            </w:pPr>
            <w:r>
              <w:rPr>
                <w:rFonts w:ascii="Calibri"/>
                <w:spacing w:val="-10"/>
                <w:sz w:val="22"/>
              </w:rPr>
              <w:t>T</w:t>
            </w:r>
          </w:p>
        </w:tc>
        <w:tc>
          <w:tcPr>
            <w:tcW w:w="1625" w:type="dxa"/>
            <w:tcBorders>
              <w:left w:val="single" w:sz="12" w:space="0" w:color="000000"/>
            </w:tcBorders>
          </w:tcPr>
          <w:p>
            <w:pPr>
              <w:pStyle w:val="TableParagraph"/>
              <w:spacing w:before="247"/>
              <w:rPr>
                <w:rFonts w:ascii="Calibri"/>
                <w:sz w:val="22"/>
              </w:rPr>
            </w:pPr>
          </w:p>
          <w:p>
            <w:pPr>
              <w:pStyle w:val="TableParagraph"/>
              <w:ind w:left="15" w:right="9"/>
              <w:jc w:val="center"/>
              <w:rPr>
                <w:rFonts w:ascii="Calibri"/>
                <w:sz w:val="22"/>
              </w:rPr>
            </w:pPr>
            <w:r>
              <w:rPr>
                <w:rFonts w:ascii="Calibri"/>
                <w:spacing w:val="-2"/>
                <w:sz w:val="22"/>
              </w:rPr>
              <w:t>Time-bound</w:t>
            </w:r>
          </w:p>
        </w:tc>
        <w:tc>
          <w:tcPr>
            <w:tcW w:w="11388" w:type="dxa"/>
          </w:tcPr>
          <w:p>
            <w:pPr>
              <w:pStyle w:val="TableParagraph"/>
              <w:spacing w:before="246"/>
              <w:ind w:left="10" w:right="-6"/>
              <w:rPr>
                <w:rFonts w:ascii="Calibri" w:hAnsi="Calibri"/>
                <w:sz w:val="22"/>
              </w:rPr>
            </w:pPr>
            <w:r>
              <w:rPr>
                <w:rFonts w:ascii="Calibri" w:hAnsi="Calibri"/>
                <w:sz w:val="22"/>
              </w:rPr>
              <w:t>Ensure</w:t>
            </w:r>
            <w:r>
              <w:rPr>
                <w:rFonts w:ascii="Calibri" w:hAnsi="Calibri"/>
                <w:spacing w:val="-1"/>
                <w:sz w:val="22"/>
              </w:rPr>
              <w:t> </w:t>
            </w:r>
            <w:r>
              <w:rPr>
                <w:rFonts w:ascii="Calibri" w:hAnsi="Calibri"/>
                <w:sz w:val="22"/>
              </w:rPr>
              <w:t>that you</w:t>
            </w:r>
            <w:r>
              <w:rPr>
                <w:rFonts w:ascii="Calibri" w:hAnsi="Calibri"/>
                <w:spacing w:val="-2"/>
                <w:sz w:val="22"/>
              </w:rPr>
              <w:t> </w:t>
            </w:r>
            <w:r>
              <w:rPr>
                <w:rFonts w:ascii="Calibri" w:hAnsi="Calibri"/>
                <w:sz w:val="22"/>
              </w:rPr>
              <w:t>set yourself</w:t>
            </w:r>
            <w:r>
              <w:rPr>
                <w:rFonts w:ascii="Calibri" w:hAnsi="Calibri"/>
                <w:spacing w:val="-4"/>
                <w:sz w:val="22"/>
              </w:rPr>
              <w:t> </w:t>
            </w:r>
            <w:r>
              <w:rPr>
                <w:rFonts w:ascii="Calibri" w:hAnsi="Calibri"/>
                <w:sz w:val="22"/>
              </w:rPr>
              <w:t>realistic and</w:t>
            </w:r>
            <w:r>
              <w:rPr>
                <w:rFonts w:ascii="Calibri" w:hAnsi="Calibri"/>
                <w:spacing w:val="-3"/>
                <w:sz w:val="22"/>
              </w:rPr>
              <w:t> </w:t>
            </w:r>
            <w:r>
              <w:rPr>
                <w:rFonts w:ascii="Calibri" w:hAnsi="Calibri"/>
                <w:sz w:val="22"/>
              </w:rPr>
              <w:t>achievable</w:t>
            </w:r>
            <w:r>
              <w:rPr>
                <w:rFonts w:ascii="Calibri" w:hAnsi="Calibri"/>
                <w:spacing w:val="-1"/>
                <w:sz w:val="22"/>
              </w:rPr>
              <w:t> </w:t>
            </w:r>
            <w:r>
              <w:rPr>
                <w:rFonts w:ascii="Calibri" w:hAnsi="Calibri"/>
                <w:sz w:val="22"/>
              </w:rPr>
              <w:t>completion</w:t>
            </w:r>
            <w:r>
              <w:rPr>
                <w:rFonts w:ascii="Calibri" w:hAnsi="Calibri"/>
                <w:spacing w:val="-2"/>
                <w:sz w:val="22"/>
              </w:rPr>
              <w:t> </w:t>
            </w:r>
            <w:r>
              <w:rPr>
                <w:rFonts w:ascii="Calibri" w:hAnsi="Calibri"/>
                <w:sz w:val="22"/>
              </w:rPr>
              <w:t>dates.</w:t>
            </w:r>
            <w:r>
              <w:rPr>
                <w:rFonts w:ascii="Calibri" w:hAnsi="Calibri"/>
                <w:spacing w:val="-3"/>
                <w:sz w:val="22"/>
              </w:rPr>
              <w:t> </w:t>
            </w:r>
            <w:r>
              <w:rPr>
                <w:rFonts w:ascii="Calibri" w:hAnsi="Calibri"/>
                <w:sz w:val="22"/>
              </w:rPr>
              <w:t>Give</w:t>
            </w:r>
            <w:r>
              <w:rPr>
                <w:rFonts w:ascii="Calibri" w:hAnsi="Calibri"/>
                <w:spacing w:val="-1"/>
                <w:sz w:val="22"/>
              </w:rPr>
              <w:t> </w:t>
            </w:r>
            <w:r>
              <w:rPr>
                <w:rFonts w:ascii="Calibri" w:hAnsi="Calibri"/>
                <w:sz w:val="22"/>
              </w:rPr>
              <w:t>yourselves</w:t>
            </w:r>
            <w:r>
              <w:rPr>
                <w:rFonts w:ascii="Calibri" w:hAnsi="Calibri"/>
                <w:spacing w:val="-3"/>
                <w:sz w:val="22"/>
              </w:rPr>
              <w:t> </w:t>
            </w:r>
            <w:r>
              <w:rPr>
                <w:rFonts w:ascii="Calibri" w:hAnsi="Calibri"/>
                <w:sz w:val="22"/>
              </w:rPr>
              <w:t>enough</w:t>
            </w:r>
            <w:r>
              <w:rPr>
                <w:rFonts w:ascii="Calibri" w:hAnsi="Calibri"/>
                <w:spacing w:val="-2"/>
                <w:sz w:val="22"/>
              </w:rPr>
              <w:t> </w:t>
            </w:r>
            <w:r>
              <w:rPr>
                <w:rFonts w:ascii="Calibri" w:hAnsi="Calibri"/>
                <w:sz w:val="22"/>
              </w:rPr>
              <w:t>time</w:t>
            </w:r>
            <w:r>
              <w:rPr>
                <w:rFonts w:ascii="Calibri" w:hAnsi="Calibri"/>
                <w:spacing w:val="-1"/>
                <w:sz w:val="22"/>
              </w:rPr>
              <w:t> </w:t>
            </w:r>
            <w:r>
              <w:rPr>
                <w:rFonts w:ascii="Calibri" w:hAnsi="Calibri"/>
                <w:sz w:val="22"/>
              </w:rPr>
              <w:t>to</w:t>
            </w:r>
            <w:r>
              <w:rPr>
                <w:rFonts w:ascii="Calibri" w:hAnsi="Calibri"/>
                <w:spacing w:val="-2"/>
                <w:sz w:val="22"/>
              </w:rPr>
              <w:t> </w:t>
            </w:r>
            <w:r>
              <w:rPr>
                <w:rFonts w:ascii="Calibri" w:hAnsi="Calibri"/>
                <w:sz w:val="22"/>
              </w:rPr>
              <w:t>be</w:t>
            </w:r>
            <w:r>
              <w:rPr>
                <w:rFonts w:ascii="Calibri" w:hAnsi="Calibri"/>
                <w:spacing w:val="-1"/>
                <w:sz w:val="22"/>
              </w:rPr>
              <w:t> </w:t>
            </w:r>
            <w:r>
              <w:rPr>
                <w:rFonts w:ascii="Calibri" w:hAnsi="Calibri"/>
                <w:sz w:val="22"/>
              </w:rPr>
              <w:t>able</w:t>
            </w:r>
            <w:r>
              <w:rPr>
                <w:rFonts w:ascii="Calibri" w:hAnsi="Calibri"/>
                <w:spacing w:val="-1"/>
                <w:sz w:val="22"/>
              </w:rPr>
              <w:t> </w:t>
            </w:r>
            <w:r>
              <w:rPr>
                <w:rFonts w:ascii="Calibri" w:hAnsi="Calibri"/>
                <w:sz w:val="22"/>
              </w:rPr>
              <w:t>to</w:t>
            </w:r>
            <w:r>
              <w:rPr>
                <w:rFonts w:ascii="Calibri" w:hAnsi="Calibri"/>
                <w:spacing w:val="-2"/>
                <w:sz w:val="22"/>
              </w:rPr>
              <w:t> </w:t>
            </w:r>
            <w:r>
              <w:rPr>
                <w:rFonts w:ascii="Calibri" w:hAnsi="Calibri"/>
                <w:sz w:val="22"/>
              </w:rPr>
              <w:t>complete</w:t>
            </w:r>
            <w:r>
              <w:rPr>
                <w:rFonts w:ascii="Calibri" w:hAnsi="Calibri"/>
                <w:spacing w:val="-1"/>
                <w:sz w:val="22"/>
              </w:rPr>
              <w:t> </w:t>
            </w:r>
            <w:r>
              <w:rPr>
                <w:rFonts w:ascii="Calibri" w:hAnsi="Calibri"/>
                <w:sz w:val="22"/>
              </w:rPr>
              <w:t>the action – and maybe add some extra time such as a month or so on top of that in case of any unforeseen circumstances which may cause delays.</w:t>
            </w:r>
          </w:p>
        </w:tc>
      </w:tr>
    </w:tbl>
    <w:p>
      <w:pPr>
        <w:pStyle w:val="BodyText"/>
        <w:spacing w:before="183"/>
        <w:rPr>
          <w:rFonts w:ascii="Calibri"/>
          <w:sz w:val="22"/>
        </w:rPr>
      </w:pPr>
    </w:p>
    <w:p>
      <w:pPr>
        <w:spacing w:before="0"/>
        <w:ind w:left="1299" w:right="1184" w:firstLine="0"/>
        <w:jc w:val="left"/>
        <w:rPr>
          <w:rFonts w:ascii="Calibri"/>
          <w:b/>
          <w:sz w:val="22"/>
        </w:rPr>
      </w:pPr>
      <w:r>
        <w:rPr>
          <w:rFonts w:ascii="Calibri"/>
          <w:b/>
          <w:sz w:val="22"/>
        </w:rPr>
        <w:t>After</w:t>
      </w:r>
      <w:r>
        <w:rPr>
          <w:rFonts w:ascii="Calibri"/>
          <w:b/>
          <w:spacing w:val="-1"/>
          <w:sz w:val="22"/>
        </w:rPr>
        <w:t> </w:t>
      </w:r>
      <w:r>
        <w:rPr>
          <w:rFonts w:ascii="Calibri"/>
          <w:b/>
          <w:sz w:val="22"/>
        </w:rPr>
        <w:t>sign</w:t>
      </w:r>
      <w:r>
        <w:rPr>
          <w:rFonts w:ascii="Calibri"/>
          <w:b/>
          <w:spacing w:val="-1"/>
          <w:sz w:val="22"/>
        </w:rPr>
        <w:t> </w:t>
      </w:r>
      <w:r>
        <w:rPr>
          <w:rFonts w:ascii="Calibri"/>
          <w:b/>
          <w:sz w:val="22"/>
        </w:rPr>
        <w:t>off</w:t>
      </w:r>
      <w:r>
        <w:rPr>
          <w:rFonts w:ascii="Calibri"/>
          <w:b/>
          <w:spacing w:val="-7"/>
          <w:sz w:val="22"/>
        </w:rPr>
        <w:t> </w:t>
      </w:r>
      <w:r>
        <w:rPr>
          <w:rFonts w:ascii="Calibri"/>
          <w:b/>
          <w:sz w:val="22"/>
        </w:rPr>
        <w:t>by</w:t>
      </w:r>
      <w:r>
        <w:rPr>
          <w:rFonts w:ascii="Calibri"/>
          <w:b/>
          <w:spacing w:val="-2"/>
          <w:sz w:val="22"/>
        </w:rPr>
        <w:t> </w:t>
      </w:r>
      <w:r>
        <w:rPr>
          <w:rFonts w:ascii="Calibri"/>
          <w:b/>
          <w:sz w:val="22"/>
        </w:rPr>
        <w:t>Clinical</w:t>
      </w:r>
      <w:r>
        <w:rPr>
          <w:rFonts w:ascii="Calibri"/>
          <w:b/>
          <w:spacing w:val="-2"/>
          <w:sz w:val="22"/>
        </w:rPr>
        <w:t> </w:t>
      </w:r>
      <w:r>
        <w:rPr>
          <w:rFonts w:ascii="Calibri"/>
          <w:b/>
          <w:sz w:val="22"/>
        </w:rPr>
        <w:t>Care</w:t>
      </w:r>
      <w:r>
        <w:rPr>
          <w:rFonts w:ascii="Calibri"/>
          <w:b/>
          <w:spacing w:val="-3"/>
          <w:sz w:val="22"/>
        </w:rPr>
        <w:t> </w:t>
      </w:r>
      <w:r>
        <w:rPr>
          <w:rFonts w:ascii="Calibri"/>
          <w:b/>
          <w:sz w:val="22"/>
        </w:rPr>
        <w:t>Group/Director,</w:t>
      </w:r>
      <w:r>
        <w:rPr>
          <w:rFonts w:ascii="Calibri"/>
          <w:b/>
          <w:spacing w:val="-4"/>
          <w:sz w:val="22"/>
        </w:rPr>
        <w:t> </w:t>
      </w:r>
      <w:r>
        <w:rPr>
          <w:rFonts w:ascii="Calibri"/>
          <w:b/>
          <w:sz w:val="22"/>
        </w:rPr>
        <w:t>action</w:t>
      </w:r>
      <w:r>
        <w:rPr>
          <w:rFonts w:ascii="Calibri"/>
          <w:b/>
          <w:spacing w:val="-6"/>
          <w:sz w:val="22"/>
        </w:rPr>
        <w:t> </w:t>
      </w:r>
      <w:r>
        <w:rPr>
          <w:rFonts w:ascii="Calibri"/>
          <w:b/>
          <w:sz w:val="22"/>
        </w:rPr>
        <w:t>plans must</w:t>
      </w:r>
      <w:r>
        <w:rPr>
          <w:rFonts w:ascii="Calibri"/>
          <w:b/>
          <w:spacing w:val="-3"/>
          <w:sz w:val="22"/>
        </w:rPr>
        <w:t> </w:t>
      </w:r>
      <w:r>
        <w:rPr>
          <w:rFonts w:ascii="Calibri"/>
          <w:b/>
          <w:sz w:val="22"/>
        </w:rPr>
        <w:t>be</w:t>
      </w:r>
      <w:r>
        <w:rPr>
          <w:rFonts w:ascii="Calibri"/>
          <w:b/>
          <w:spacing w:val="-3"/>
          <w:sz w:val="22"/>
        </w:rPr>
        <w:t> </w:t>
      </w:r>
      <w:r>
        <w:rPr>
          <w:rFonts w:ascii="Calibri"/>
          <w:b/>
          <w:sz w:val="22"/>
        </w:rPr>
        <w:t>reviewed</w:t>
      </w:r>
      <w:r>
        <w:rPr>
          <w:rFonts w:ascii="Calibri"/>
          <w:b/>
          <w:spacing w:val="-1"/>
          <w:sz w:val="22"/>
        </w:rPr>
        <w:t> </w:t>
      </w:r>
      <w:r>
        <w:rPr>
          <w:rFonts w:ascii="Calibri"/>
          <w:b/>
          <w:sz w:val="22"/>
        </w:rPr>
        <w:t>by</w:t>
      </w:r>
      <w:r>
        <w:rPr>
          <w:rFonts w:ascii="Calibri"/>
          <w:b/>
          <w:spacing w:val="-2"/>
          <w:sz w:val="22"/>
        </w:rPr>
        <w:t> </w:t>
      </w:r>
      <w:r>
        <w:rPr>
          <w:rFonts w:ascii="Calibri"/>
          <w:b/>
          <w:sz w:val="22"/>
        </w:rPr>
        <w:t>IQFPDG</w:t>
      </w:r>
      <w:r>
        <w:rPr>
          <w:rFonts w:ascii="Calibri"/>
          <w:b/>
          <w:spacing w:val="-2"/>
          <w:sz w:val="22"/>
        </w:rPr>
        <w:t> </w:t>
      </w:r>
      <w:r>
        <w:rPr>
          <w:rFonts w:ascii="Calibri"/>
          <w:b/>
          <w:sz w:val="22"/>
        </w:rPr>
        <w:t>prior</w:t>
      </w:r>
      <w:r>
        <w:rPr>
          <w:rFonts w:ascii="Calibri"/>
          <w:b/>
          <w:spacing w:val="-1"/>
          <w:sz w:val="22"/>
        </w:rPr>
        <w:t> </w:t>
      </w:r>
      <w:r>
        <w:rPr>
          <w:rFonts w:ascii="Calibri"/>
          <w:b/>
          <w:sz w:val="22"/>
        </w:rPr>
        <w:t>to</w:t>
      </w:r>
      <w:r>
        <w:rPr>
          <w:rFonts w:ascii="Calibri"/>
          <w:b/>
          <w:spacing w:val="-6"/>
          <w:sz w:val="22"/>
        </w:rPr>
        <w:t> </w:t>
      </w:r>
      <w:r>
        <w:rPr>
          <w:rFonts w:ascii="Calibri"/>
          <w:b/>
          <w:sz w:val="22"/>
        </w:rPr>
        <w:t>onward</w:t>
      </w:r>
      <w:r>
        <w:rPr>
          <w:rFonts w:ascii="Calibri"/>
          <w:b/>
          <w:spacing w:val="-6"/>
          <w:sz w:val="22"/>
        </w:rPr>
        <w:t> </w:t>
      </w:r>
      <w:r>
        <w:rPr>
          <w:rFonts w:ascii="Calibri"/>
          <w:b/>
          <w:sz w:val="22"/>
        </w:rPr>
        <w:t>submission</w:t>
      </w:r>
      <w:r>
        <w:rPr>
          <w:rFonts w:ascii="Calibri"/>
          <w:b/>
          <w:spacing w:val="-1"/>
          <w:sz w:val="22"/>
        </w:rPr>
        <w:t> </w:t>
      </w:r>
      <w:r>
        <w:rPr>
          <w:rFonts w:ascii="Calibri"/>
          <w:b/>
          <w:sz w:val="22"/>
        </w:rPr>
        <w:t>to</w:t>
      </w:r>
      <w:r>
        <w:rPr>
          <w:rFonts w:ascii="Calibri"/>
          <w:b/>
          <w:spacing w:val="-1"/>
          <w:sz w:val="22"/>
        </w:rPr>
        <w:t> </w:t>
      </w:r>
      <w:r>
        <w:rPr>
          <w:rFonts w:ascii="Calibri"/>
          <w:b/>
          <w:sz w:val="22"/>
        </w:rPr>
        <w:t>Formal</w:t>
      </w:r>
      <w:r>
        <w:rPr>
          <w:rFonts w:ascii="Calibri"/>
          <w:b/>
          <w:spacing w:val="-2"/>
          <w:sz w:val="22"/>
        </w:rPr>
        <w:t> </w:t>
      </w:r>
      <w:r>
        <w:rPr>
          <w:rFonts w:ascii="Calibri"/>
          <w:b/>
          <w:sz w:val="22"/>
        </w:rPr>
        <w:t>Executive</w:t>
      </w:r>
      <w:r>
        <w:rPr>
          <w:rFonts w:ascii="Calibri"/>
          <w:b/>
          <w:spacing w:val="-3"/>
          <w:sz w:val="22"/>
        </w:rPr>
        <w:t> </w:t>
      </w:r>
      <w:r>
        <w:rPr>
          <w:rFonts w:ascii="Calibri"/>
          <w:b/>
          <w:sz w:val="22"/>
        </w:rPr>
        <w:t>Team</w:t>
      </w:r>
      <w:r>
        <w:rPr>
          <w:rFonts w:ascii="Calibri"/>
          <w:b/>
          <w:spacing w:val="-2"/>
          <w:sz w:val="22"/>
        </w:rPr>
        <w:t> </w:t>
      </w:r>
      <w:r>
        <w:rPr>
          <w:rFonts w:ascii="Calibri"/>
          <w:b/>
          <w:sz w:val="22"/>
        </w:rPr>
        <w:t>for approval. Once approved, action plans should be sent to the Head of Assurance and Risk for initial upload to AMaT.</w:t>
      </w:r>
    </w:p>
    <w:p>
      <w:pPr>
        <w:pStyle w:val="BodyText"/>
        <w:rPr>
          <w:rFonts w:ascii="Calibri"/>
          <w:b/>
          <w:sz w:val="22"/>
        </w:rPr>
      </w:pPr>
    </w:p>
    <w:p>
      <w:pPr>
        <w:spacing w:before="0"/>
        <w:ind w:left="1299" w:right="1184" w:firstLine="0"/>
        <w:jc w:val="left"/>
        <w:rPr>
          <w:rFonts w:ascii="Calibri"/>
          <w:sz w:val="22"/>
        </w:rPr>
      </w:pPr>
      <w:r>
        <w:rPr>
          <w:rFonts w:ascii="Calibri"/>
          <w:sz w:val="22"/>
        </w:rPr>
        <w:t>The</w:t>
      </w:r>
      <w:r>
        <w:rPr>
          <w:rFonts w:ascii="Calibri"/>
          <w:spacing w:val="-2"/>
          <w:sz w:val="22"/>
        </w:rPr>
        <w:t> </w:t>
      </w:r>
      <w:r>
        <w:rPr>
          <w:rFonts w:ascii="Calibri"/>
          <w:sz w:val="22"/>
        </w:rPr>
        <w:t>report</w:t>
      </w:r>
      <w:r>
        <w:rPr>
          <w:rFonts w:ascii="Calibri"/>
          <w:spacing w:val="-1"/>
          <w:sz w:val="22"/>
        </w:rPr>
        <w:t> </w:t>
      </w:r>
      <w:r>
        <w:rPr>
          <w:rFonts w:ascii="Calibri"/>
          <w:sz w:val="22"/>
        </w:rPr>
        <w:t>and</w:t>
      </w:r>
      <w:r>
        <w:rPr>
          <w:rFonts w:ascii="Calibri"/>
          <w:spacing w:val="-3"/>
          <w:sz w:val="22"/>
        </w:rPr>
        <w:t> </w:t>
      </w:r>
      <w:r>
        <w:rPr>
          <w:rFonts w:ascii="Calibri"/>
          <w:sz w:val="22"/>
        </w:rPr>
        <w:t>action</w:t>
      </w:r>
      <w:r>
        <w:rPr>
          <w:rFonts w:ascii="Calibri"/>
          <w:spacing w:val="-3"/>
          <w:sz w:val="22"/>
        </w:rPr>
        <w:t> </w:t>
      </w:r>
      <w:r>
        <w:rPr>
          <w:rFonts w:ascii="Calibri"/>
          <w:sz w:val="22"/>
        </w:rPr>
        <w:t>plans</w:t>
      </w:r>
      <w:r>
        <w:rPr>
          <w:rFonts w:ascii="Calibri"/>
          <w:spacing w:val="-2"/>
          <w:sz w:val="22"/>
        </w:rPr>
        <w:t> </w:t>
      </w:r>
      <w:r>
        <w:rPr>
          <w:rFonts w:ascii="Calibri"/>
          <w:sz w:val="22"/>
        </w:rPr>
        <w:t>will</w:t>
      </w:r>
      <w:r>
        <w:rPr>
          <w:rFonts w:ascii="Calibri"/>
          <w:spacing w:val="-2"/>
          <w:sz w:val="22"/>
        </w:rPr>
        <w:t> </w:t>
      </w:r>
      <w:r>
        <w:rPr>
          <w:rFonts w:ascii="Calibri"/>
          <w:sz w:val="22"/>
        </w:rPr>
        <w:t>then</w:t>
      </w:r>
      <w:r>
        <w:rPr>
          <w:rFonts w:ascii="Calibri"/>
          <w:spacing w:val="-3"/>
          <w:sz w:val="22"/>
        </w:rPr>
        <w:t> </w:t>
      </w:r>
      <w:r>
        <w:rPr>
          <w:rFonts w:ascii="Calibri"/>
          <w:sz w:val="22"/>
        </w:rPr>
        <w:t>be</w:t>
      </w:r>
      <w:r>
        <w:rPr>
          <w:rFonts w:ascii="Calibri"/>
          <w:spacing w:val="-2"/>
          <w:sz w:val="22"/>
        </w:rPr>
        <w:t> </w:t>
      </w:r>
      <w:r>
        <w:rPr>
          <w:rFonts w:ascii="Calibri"/>
          <w:sz w:val="22"/>
        </w:rPr>
        <w:t>presented</w:t>
      </w:r>
      <w:r>
        <w:rPr>
          <w:rFonts w:ascii="Calibri"/>
          <w:spacing w:val="-3"/>
          <w:sz w:val="22"/>
        </w:rPr>
        <w:t> </w:t>
      </w:r>
      <w:r>
        <w:rPr>
          <w:rFonts w:ascii="Calibri"/>
          <w:sz w:val="22"/>
        </w:rPr>
        <w:t>to</w:t>
      </w:r>
      <w:r>
        <w:rPr>
          <w:rFonts w:ascii="Calibri"/>
          <w:spacing w:val="-3"/>
          <w:sz w:val="22"/>
        </w:rPr>
        <w:t> </w:t>
      </w:r>
      <w:r>
        <w:rPr>
          <w:rFonts w:ascii="Calibri"/>
          <w:sz w:val="22"/>
        </w:rPr>
        <w:t>QSEC (or</w:t>
      </w:r>
      <w:r>
        <w:rPr>
          <w:rFonts w:ascii="Calibri"/>
          <w:spacing w:val="-4"/>
          <w:sz w:val="22"/>
        </w:rPr>
        <w:t> </w:t>
      </w:r>
      <w:r>
        <w:rPr>
          <w:rFonts w:ascii="Calibri"/>
          <w:sz w:val="22"/>
        </w:rPr>
        <w:t>other</w:t>
      </w:r>
      <w:r>
        <w:rPr>
          <w:rFonts w:ascii="Calibri"/>
          <w:spacing w:val="-4"/>
          <w:sz w:val="22"/>
        </w:rPr>
        <w:t> </w:t>
      </w:r>
      <w:r>
        <w:rPr>
          <w:rFonts w:ascii="Calibri"/>
          <w:sz w:val="22"/>
        </w:rPr>
        <w:t>Board</w:t>
      </w:r>
      <w:r>
        <w:rPr>
          <w:rFonts w:ascii="Calibri"/>
          <w:spacing w:val="-3"/>
          <w:sz w:val="22"/>
        </w:rPr>
        <w:t> </w:t>
      </w:r>
      <w:r>
        <w:rPr>
          <w:rFonts w:ascii="Calibri"/>
          <w:sz w:val="22"/>
        </w:rPr>
        <w:t>level</w:t>
      </w:r>
      <w:r>
        <w:rPr>
          <w:rFonts w:ascii="Calibri"/>
          <w:spacing w:val="-2"/>
          <w:sz w:val="22"/>
        </w:rPr>
        <w:t> </w:t>
      </w:r>
      <w:r>
        <w:rPr>
          <w:rFonts w:ascii="Calibri"/>
          <w:sz w:val="22"/>
        </w:rPr>
        <w:t>Committee)</w:t>
      </w:r>
      <w:r>
        <w:rPr>
          <w:rFonts w:ascii="Calibri"/>
          <w:spacing w:val="-2"/>
          <w:sz w:val="22"/>
        </w:rPr>
        <w:t> </w:t>
      </w:r>
      <w:r>
        <w:rPr>
          <w:rFonts w:ascii="Calibri"/>
          <w:sz w:val="22"/>
        </w:rPr>
        <w:t>at</w:t>
      </w:r>
      <w:r>
        <w:rPr>
          <w:rFonts w:ascii="Calibri"/>
          <w:spacing w:val="-2"/>
          <w:sz w:val="22"/>
        </w:rPr>
        <w:t> </w:t>
      </w:r>
      <w:r>
        <w:rPr>
          <w:rFonts w:ascii="Calibri"/>
          <w:sz w:val="22"/>
        </w:rPr>
        <w:t>its</w:t>
      </w:r>
      <w:r>
        <w:rPr>
          <w:rFonts w:ascii="Calibri"/>
          <w:spacing w:val="-4"/>
          <w:sz w:val="22"/>
        </w:rPr>
        <w:t> </w:t>
      </w:r>
      <w:r>
        <w:rPr>
          <w:rFonts w:ascii="Calibri"/>
          <w:sz w:val="22"/>
        </w:rPr>
        <w:t>next</w:t>
      </w:r>
      <w:r>
        <w:rPr>
          <w:rFonts w:ascii="Calibri"/>
          <w:spacing w:val="-1"/>
          <w:sz w:val="22"/>
        </w:rPr>
        <w:t> </w:t>
      </w:r>
      <w:r>
        <w:rPr>
          <w:rFonts w:ascii="Calibri"/>
          <w:sz w:val="22"/>
        </w:rPr>
        <w:t>meeting to</w:t>
      </w:r>
      <w:r>
        <w:rPr>
          <w:rFonts w:ascii="Calibri"/>
          <w:spacing w:val="-3"/>
          <w:sz w:val="22"/>
        </w:rPr>
        <w:t> </w:t>
      </w:r>
      <w:r>
        <w:rPr>
          <w:rFonts w:ascii="Calibri"/>
          <w:sz w:val="22"/>
        </w:rPr>
        <w:t>provide</w:t>
      </w:r>
      <w:r>
        <w:rPr>
          <w:rFonts w:ascii="Calibri"/>
          <w:spacing w:val="-3"/>
          <w:sz w:val="22"/>
        </w:rPr>
        <w:t> </w:t>
      </w:r>
      <w:r>
        <w:rPr>
          <w:rFonts w:ascii="Calibri"/>
          <w:sz w:val="22"/>
        </w:rPr>
        <w:t>assurance</w:t>
      </w:r>
      <w:r>
        <w:rPr>
          <w:rFonts w:ascii="Calibri"/>
          <w:spacing w:val="-1"/>
          <w:sz w:val="22"/>
        </w:rPr>
        <w:t> </w:t>
      </w:r>
      <w:r>
        <w:rPr>
          <w:rFonts w:ascii="Calibri"/>
          <w:sz w:val="22"/>
        </w:rPr>
        <w:t>that</w:t>
      </w:r>
      <w:r>
        <w:rPr>
          <w:rFonts w:ascii="Calibri"/>
          <w:spacing w:val="-1"/>
          <w:sz w:val="22"/>
        </w:rPr>
        <w:t> </w:t>
      </w:r>
      <w:r>
        <w:rPr>
          <w:rFonts w:ascii="Calibri"/>
          <w:sz w:val="22"/>
        </w:rPr>
        <w:t>the</w:t>
      </w:r>
      <w:r>
        <w:rPr>
          <w:rFonts w:ascii="Calibri"/>
          <w:spacing w:val="-2"/>
          <w:sz w:val="22"/>
        </w:rPr>
        <w:t> </w:t>
      </w:r>
      <w:r>
        <w:rPr>
          <w:rFonts w:ascii="Calibri"/>
          <w:sz w:val="22"/>
        </w:rPr>
        <w:t>management response will address the areas of concern/improvement detailed in the report.</w:t>
      </w:r>
    </w:p>
    <w:p>
      <w:pPr>
        <w:pStyle w:val="BodyText"/>
        <w:spacing w:before="4"/>
        <w:rPr>
          <w:rFonts w:ascii="Calibri"/>
          <w:sz w:val="22"/>
        </w:rPr>
      </w:pPr>
    </w:p>
    <w:p>
      <w:pPr>
        <w:spacing w:line="259" w:lineRule="auto" w:before="0"/>
        <w:ind w:left="1299" w:right="1184" w:firstLine="0"/>
        <w:jc w:val="left"/>
        <w:rPr>
          <w:rFonts w:ascii="Calibri"/>
          <w:sz w:val="22"/>
        </w:rPr>
      </w:pPr>
      <w:r>
        <w:rPr>
          <w:rFonts w:ascii="Calibri"/>
          <w:sz w:val="22"/>
        </w:rPr>
        <w:t>Progress against recommendations must be regularly provided on AMaT by the relevant recommendation owners, with monitoring of their delivery undertaken</w:t>
      </w:r>
      <w:r>
        <w:rPr>
          <w:rFonts w:ascii="Calibri"/>
          <w:spacing w:val="-3"/>
          <w:sz w:val="22"/>
        </w:rPr>
        <w:t> </w:t>
      </w:r>
      <w:r>
        <w:rPr>
          <w:rFonts w:ascii="Calibri"/>
          <w:sz w:val="22"/>
        </w:rPr>
        <w:t>by</w:t>
      </w:r>
      <w:r>
        <w:rPr>
          <w:rFonts w:ascii="Calibri"/>
          <w:spacing w:val="-2"/>
          <w:sz w:val="22"/>
        </w:rPr>
        <w:t> </w:t>
      </w:r>
      <w:r>
        <w:rPr>
          <w:rFonts w:ascii="Calibri"/>
          <w:sz w:val="22"/>
        </w:rPr>
        <w:t>the</w:t>
      </w:r>
      <w:r>
        <w:rPr>
          <w:rFonts w:ascii="Calibri"/>
          <w:spacing w:val="-2"/>
          <w:sz w:val="22"/>
        </w:rPr>
        <w:t> </w:t>
      </w:r>
      <w:r>
        <w:rPr>
          <w:rFonts w:ascii="Calibri"/>
          <w:sz w:val="22"/>
        </w:rPr>
        <w:t>relevant</w:t>
      </w:r>
      <w:r>
        <w:rPr>
          <w:rFonts w:ascii="Calibri"/>
          <w:spacing w:val="-2"/>
          <w:sz w:val="22"/>
        </w:rPr>
        <w:t> </w:t>
      </w:r>
      <w:r>
        <w:rPr>
          <w:rFonts w:ascii="Calibri"/>
          <w:sz w:val="22"/>
        </w:rPr>
        <w:t>Clinical</w:t>
      </w:r>
      <w:r>
        <w:rPr>
          <w:rFonts w:ascii="Calibri"/>
          <w:spacing w:val="-3"/>
          <w:sz w:val="22"/>
        </w:rPr>
        <w:t> </w:t>
      </w:r>
      <w:r>
        <w:rPr>
          <w:rFonts w:ascii="Calibri"/>
          <w:sz w:val="22"/>
        </w:rPr>
        <w:t>Service</w:t>
      </w:r>
      <w:r>
        <w:rPr>
          <w:rFonts w:ascii="Calibri"/>
          <w:spacing w:val="-2"/>
          <w:sz w:val="22"/>
        </w:rPr>
        <w:t> </w:t>
      </w:r>
      <w:r>
        <w:rPr>
          <w:rFonts w:ascii="Calibri"/>
          <w:sz w:val="22"/>
        </w:rPr>
        <w:t>Group, with</w:t>
      </w:r>
      <w:r>
        <w:rPr>
          <w:rFonts w:ascii="Calibri"/>
          <w:spacing w:val="-3"/>
          <w:sz w:val="22"/>
        </w:rPr>
        <w:t> </w:t>
      </w:r>
      <w:r>
        <w:rPr>
          <w:rFonts w:ascii="Calibri"/>
          <w:sz w:val="22"/>
        </w:rPr>
        <w:t>oversight</w:t>
      </w:r>
      <w:r>
        <w:rPr>
          <w:rFonts w:ascii="Calibri"/>
          <w:spacing w:val="-2"/>
          <w:sz w:val="22"/>
        </w:rPr>
        <w:t> </w:t>
      </w:r>
      <w:r>
        <w:rPr>
          <w:rFonts w:ascii="Calibri"/>
          <w:sz w:val="22"/>
        </w:rPr>
        <w:t>from</w:t>
      </w:r>
      <w:r>
        <w:rPr>
          <w:rFonts w:ascii="Calibri"/>
          <w:spacing w:val="-3"/>
          <w:sz w:val="22"/>
        </w:rPr>
        <w:t> </w:t>
      </w:r>
      <w:r>
        <w:rPr>
          <w:rFonts w:ascii="Calibri"/>
          <w:sz w:val="22"/>
        </w:rPr>
        <w:t>the</w:t>
      </w:r>
      <w:r>
        <w:rPr>
          <w:rFonts w:ascii="Calibri"/>
          <w:spacing w:val="-2"/>
          <w:sz w:val="22"/>
        </w:rPr>
        <w:t> </w:t>
      </w:r>
      <w:r>
        <w:rPr>
          <w:rFonts w:ascii="Calibri"/>
          <w:sz w:val="22"/>
        </w:rPr>
        <w:t>Clinical</w:t>
      </w:r>
      <w:r>
        <w:rPr>
          <w:rFonts w:ascii="Calibri"/>
          <w:spacing w:val="-3"/>
          <w:sz w:val="22"/>
        </w:rPr>
        <w:t> </w:t>
      </w:r>
      <w:r>
        <w:rPr>
          <w:rFonts w:ascii="Calibri"/>
          <w:sz w:val="22"/>
        </w:rPr>
        <w:t>Care</w:t>
      </w:r>
      <w:r>
        <w:rPr>
          <w:rFonts w:ascii="Calibri"/>
          <w:spacing w:val="-2"/>
          <w:sz w:val="22"/>
        </w:rPr>
        <w:t> </w:t>
      </w:r>
      <w:r>
        <w:rPr>
          <w:rFonts w:ascii="Calibri"/>
          <w:sz w:val="22"/>
        </w:rPr>
        <w:t>Group.</w:t>
      </w:r>
      <w:r>
        <w:rPr>
          <w:rFonts w:ascii="Calibri"/>
          <w:spacing w:val="-3"/>
          <w:sz w:val="22"/>
        </w:rPr>
        <w:t> </w:t>
      </w:r>
      <w:r>
        <w:rPr>
          <w:rFonts w:ascii="Calibri"/>
          <w:sz w:val="22"/>
        </w:rPr>
        <w:t>Any</w:t>
      </w:r>
      <w:r>
        <w:rPr>
          <w:rFonts w:ascii="Calibri"/>
          <w:spacing w:val="-2"/>
          <w:sz w:val="22"/>
        </w:rPr>
        <w:t> </w:t>
      </w:r>
      <w:r>
        <w:rPr>
          <w:rFonts w:ascii="Calibri"/>
          <w:sz w:val="22"/>
        </w:rPr>
        <w:t>exceptions</w:t>
      </w:r>
      <w:r>
        <w:rPr>
          <w:rFonts w:ascii="Calibri"/>
          <w:spacing w:val="-4"/>
          <w:sz w:val="22"/>
        </w:rPr>
        <w:t> </w:t>
      </w:r>
      <w:r>
        <w:rPr>
          <w:rFonts w:ascii="Calibri"/>
          <w:sz w:val="22"/>
        </w:rPr>
        <w:t>to the</w:t>
      </w:r>
      <w:r>
        <w:rPr>
          <w:rFonts w:ascii="Calibri"/>
          <w:spacing w:val="-2"/>
          <w:sz w:val="22"/>
        </w:rPr>
        <w:t> </w:t>
      </w:r>
      <w:r>
        <w:rPr>
          <w:rFonts w:ascii="Calibri"/>
          <w:sz w:val="22"/>
        </w:rPr>
        <w:t>implementation</w:t>
      </w:r>
      <w:r>
        <w:rPr>
          <w:rFonts w:ascii="Calibri"/>
          <w:spacing w:val="-3"/>
          <w:sz w:val="22"/>
        </w:rPr>
        <w:t> </w:t>
      </w:r>
      <w:r>
        <w:rPr>
          <w:rFonts w:ascii="Calibri"/>
          <w:sz w:val="22"/>
        </w:rPr>
        <w:t>of</w:t>
      </w:r>
      <w:r>
        <w:rPr>
          <w:rFonts w:ascii="Calibri"/>
          <w:spacing w:val="-5"/>
          <w:sz w:val="22"/>
        </w:rPr>
        <w:t> </w:t>
      </w:r>
      <w:r>
        <w:rPr>
          <w:rFonts w:ascii="Calibri"/>
          <w:sz w:val="22"/>
        </w:rPr>
        <w:t>recommendations are required to be reported to IQFPD.</w:t>
      </w:r>
    </w:p>
    <w:p>
      <w:pPr>
        <w:spacing w:before="161"/>
        <w:ind w:left="1299" w:right="0" w:firstLine="0"/>
        <w:jc w:val="left"/>
        <w:rPr>
          <w:rFonts w:ascii="Calibri"/>
          <w:sz w:val="22"/>
        </w:rPr>
      </w:pPr>
      <w:r>
        <w:rPr>
          <w:rFonts w:ascii="Calibri"/>
          <w:sz w:val="22"/>
        </w:rPr>
        <w:t>Non-compliance</w:t>
      </w:r>
      <w:r>
        <w:rPr>
          <w:rFonts w:ascii="Calibri"/>
          <w:spacing w:val="-2"/>
          <w:sz w:val="22"/>
        </w:rPr>
        <w:t> </w:t>
      </w:r>
      <w:r>
        <w:rPr>
          <w:rFonts w:ascii="Calibri"/>
          <w:sz w:val="22"/>
        </w:rPr>
        <w:t>of</w:t>
      </w:r>
      <w:r>
        <w:rPr>
          <w:rFonts w:ascii="Calibri"/>
          <w:spacing w:val="-5"/>
          <w:sz w:val="22"/>
        </w:rPr>
        <w:t> </w:t>
      </w:r>
      <w:r>
        <w:rPr>
          <w:rFonts w:ascii="Calibri"/>
          <w:sz w:val="22"/>
        </w:rPr>
        <w:t>implementing</w:t>
      </w:r>
      <w:r>
        <w:rPr>
          <w:rFonts w:ascii="Calibri"/>
          <w:spacing w:val="-1"/>
          <w:sz w:val="22"/>
        </w:rPr>
        <w:t> </w:t>
      </w:r>
      <w:r>
        <w:rPr>
          <w:rFonts w:ascii="Calibri"/>
          <w:sz w:val="22"/>
        </w:rPr>
        <w:t>recommendations</w:t>
      </w:r>
      <w:r>
        <w:rPr>
          <w:rFonts w:ascii="Calibri"/>
          <w:spacing w:val="-4"/>
          <w:sz w:val="22"/>
        </w:rPr>
        <w:t> </w:t>
      </w:r>
      <w:r>
        <w:rPr>
          <w:rFonts w:ascii="Calibri"/>
          <w:sz w:val="22"/>
        </w:rPr>
        <w:t>within</w:t>
      </w:r>
      <w:r>
        <w:rPr>
          <w:rFonts w:ascii="Calibri"/>
          <w:spacing w:val="-3"/>
          <w:sz w:val="22"/>
        </w:rPr>
        <w:t> </w:t>
      </w:r>
      <w:r>
        <w:rPr>
          <w:rFonts w:ascii="Calibri"/>
          <w:sz w:val="22"/>
        </w:rPr>
        <w:t>agreed</w:t>
      </w:r>
      <w:r>
        <w:rPr>
          <w:rFonts w:ascii="Calibri"/>
          <w:spacing w:val="-2"/>
          <w:sz w:val="22"/>
        </w:rPr>
        <w:t> </w:t>
      </w:r>
      <w:r>
        <w:rPr>
          <w:rFonts w:ascii="Calibri"/>
          <w:sz w:val="22"/>
        </w:rPr>
        <w:t>timescales</w:t>
      </w:r>
      <w:r>
        <w:rPr>
          <w:rFonts w:ascii="Calibri"/>
          <w:spacing w:val="2"/>
          <w:sz w:val="22"/>
        </w:rPr>
        <w:t> </w:t>
      </w:r>
      <w:r>
        <w:rPr>
          <w:rFonts w:ascii="Calibri"/>
          <w:sz w:val="22"/>
        </w:rPr>
        <w:t>is</w:t>
      </w:r>
      <w:r>
        <w:rPr>
          <w:rFonts w:ascii="Calibri"/>
          <w:spacing w:val="-4"/>
          <w:sz w:val="22"/>
        </w:rPr>
        <w:t> </w:t>
      </w:r>
      <w:r>
        <w:rPr>
          <w:rFonts w:ascii="Calibri"/>
          <w:sz w:val="22"/>
        </w:rPr>
        <w:t>one</w:t>
      </w:r>
      <w:r>
        <w:rPr>
          <w:rFonts w:ascii="Calibri"/>
          <w:spacing w:val="-2"/>
          <w:sz w:val="22"/>
        </w:rPr>
        <w:t> </w:t>
      </w:r>
      <w:r>
        <w:rPr>
          <w:rFonts w:ascii="Calibri"/>
          <w:sz w:val="22"/>
        </w:rPr>
        <w:t>of</w:t>
      </w:r>
      <w:r>
        <w:rPr>
          <w:rFonts w:ascii="Calibri"/>
          <w:spacing w:val="-5"/>
          <w:sz w:val="22"/>
        </w:rPr>
        <w:t> </w:t>
      </w:r>
      <w:r>
        <w:rPr>
          <w:rFonts w:ascii="Calibri"/>
          <w:sz w:val="22"/>
        </w:rPr>
        <w:t>the</w:t>
      </w:r>
      <w:r>
        <w:rPr>
          <w:rFonts w:ascii="Calibri"/>
          <w:spacing w:val="-2"/>
          <w:sz w:val="22"/>
        </w:rPr>
        <w:t> </w:t>
      </w:r>
      <w:r>
        <w:rPr>
          <w:rFonts w:ascii="Calibri"/>
          <w:sz w:val="22"/>
        </w:rPr>
        <w:t>criteria</w:t>
      </w:r>
      <w:r>
        <w:rPr>
          <w:rFonts w:ascii="Calibri"/>
          <w:spacing w:val="-2"/>
          <w:sz w:val="22"/>
        </w:rPr>
        <w:t> </w:t>
      </w:r>
      <w:r>
        <w:rPr>
          <w:rFonts w:ascii="Calibri"/>
          <w:sz w:val="22"/>
        </w:rPr>
        <w:t>considered</w:t>
      </w:r>
      <w:r>
        <w:rPr>
          <w:rFonts w:ascii="Calibri"/>
          <w:spacing w:val="-3"/>
          <w:sz w:val="22"/>
        </w:rPr>
        <w:t> </w:t>
      </w:r>
      <w:r>
        <w:rPr>
          <w:rFonts w:ascii="Calibri"/>
          <w:sz w:val="22"/>
        </w:rPr>
        <w:t>within</w:t>
      </w:r>
      <w:r>
        <w:rPr>
          <w:rFonts w:ascii="Calibri"/>
          <w:spacing w:val="-3"/>
          <w:sz w:val="22"/>
        </w:rPr>
        <w:t> </w:t>
      </w:r>
      <w:r>
        <w:rPr>
          <w:rFonts w:ascii="Calibri"/>
          <w:sz w:val="22"/>
        </w:rPr>
        <w:t>the</w:t>
      </w:r>
      <w:r>
        <w:rPr>
          <w:rFonts w:ascii="Calibri"/>
          <w:spacing w:val="-2"/>
          <w:sz w:val="22"/>
        </w:rPr>
        <w:t> </w:t>
      </w:r>
      <w:r>
        <w:rPr>
          <w:rFonts w:ascii="Calibri"/>
          <w:sz w:val="22"/>
        </w:rPr>
        <w:t>Governance</w:t>
      </w:r>
      <w:r>
        <w:rPr>
          <w:rFonts w:ascii="Calibri"/>
          <w:spacing w:val="-2"/>
          <w:sz w:val="22"/>
        </w:rPr>
        <w:t> </w:t>
      </w:r>
      <w:r>
        <w:rPr>
          <w:rFonts w:ascii="Calibri"/>
          <w:sz w:val="22"/>
        </w:rPr>
        <w:t>domain</w:t>
      </w:r>
      <w:r>
        <w:rPr>
          <w:rFonts w:ascii="Calibri"/>
          <w:spacing w:val="-3"/>
          <w:sz w:val="22"/>
        </w:rPr>
        <w:t> </w:t>
      </w:r>
      <w:r>
        <w:rPr>
          <w:rFonts w:ascii="Calibri"/>
          <w:sz w:val="22"/>
        </w:rPr>
        <w:t>within</w:t>
      </w:r>
      <w:r>
        <w:rPr>
          <w:rFonts w:ascii="Calibri"/>
          <w:spacing w:val="-2"/>
          <w:sz w:val="22"/>
        </w:rPr>
        <w:t> </w:t>
      </w:r>
      <w:r>
        <w:rPr>
          <w:rFonts w:ascii="Calibri"/>
          <w:spacing w:val="-5"/>
          <w:sz w:val="22"/>
        </w:rPr>
        <w:t>the</w:t>
      </w:r>
    </w:p>
    <w:p>
      <w:pPr>
        <w:spacing w:before="16"/>
        <w:ind w:left="1299" w:right="0" w:firstLine="0"/>
        <w:jc w:val="left"/>
        <w:rPr>
          <w:rFonts w:ascii="Calibri" w:hAnsi="Calibri"/>
          <w:sz w:val="22"/>
        </w:rPr>
      </w:pPr>
      <w:r>
        <w:rPr>
          <w:rFonts w:ascii="Calibri" w:hAnsi="Calibri"/>
          <w:sz w:val="22"/>
        </w:rPr>
        <w:t>Health</w:t>
      </w:r>
      <w:r>
        <w:rPr>
          <w:rFonts w:ascii="Calibri" w:hAnsi="Calibri"/>
          <w:spacing w:val="-4"/>
          <w:sz w:val="22"/>
        </w:rPr>
        <w:t> </w:t>
      </w:r>
      <w:r>
        <w:rPr>
          <w:rFonts w:ascii="Calibri" w:hAnsi="Calibri"/>
          <w:sz w:val="22"/>
        </w:rPr>
        <w:t>Board’s</w:t>
      </w:r>
      <w:r>
        <w:rPr>
          <w:rFonts w:ascii="Calibri" w:hAnsi="Calibri"/>
          <w:spacing w:val="-4"/>
          <w:sz w:val="22"/>
        </w:rPr>
        <w:t> </w:t>
      </w:r>
      <w:r>
        <w:rPr>
          <w:rFonts w:ascii="Calibri" w:hAnsi="Calibri"/>
          <w:sz w:val="22"/>
        </w:rPr>
        <w:t>Improving</w:t>
      </w:r>
      <w:r>
        <w:rPr>
          <w:rFonts w:ascii="Calibri" w:hAnsi="Calibri"/>
          <w:spacing w:val="-3"/>
          <w:sz w:val="22"/>
        </w:rPr>
        <w:t> </w:t>
      </w:r>
      <w:r>
        <w:rPr>
          <w:rFonts w:ascii="Calibri" w:hAnsi="Calibri"/>
          <w:sz w:val="22"/>
        </w:rPr>
        <w:t>Together</w:t>
      </w:r>
      <w:r>
        <w:rPr>
          <w:rFonts w:ascii="Calibri" w:hAnsi="Calibri"/>
          <w:spacing w:val="-3"/>
          <w:sz w:val="22"/>
        </w:rPr>
        <w:t> </w:t>
      </w:r>
      <w:r>
        <w:rPr>
          <w:rFonts w:ascii="Calibri" w:hAnsi="Calibri"/>
          <w:spacing w:val="-2"/>
          <w:sz w:val="22"/>
        </w:rPr>
        <w:t>Framework</w:t>
      </w: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spacing w:before="242"/>
        <w:rPr>
          <w:rFonts w:ascii="Calibri"/>
          <w:sz w:val="22"/>
        </w:rPr>
      </w:pPr>
    </w:p>
    <w:p>
      <w:pPr>
        <w:spacing w:before="0"/>
        <w:ind w:left="0" w:right="1289" w:firstLine="0"/>
        <w:jc w:val="right"/>
        <w:rPr>
          <w:rFonts w:ascii="Calibri"/>
          <w:sz w:val="22"/>
        </w:rPr>
      </w:pPr>
      <w:r>
        <w:rPr>
          <w:rFonts w:ascii="Calibri"/>
          <w:spacing w:val="-10"/>
          <w:sz w:val="22"/>
        </w:rPr>
        <w:t>2</w:t>
      </w:r>
    </w:p>
    <w:p>
      <w:pPr>
        <w:spacing w:after="0"/>
        <w:jc w:val="right"/>
        <w:rPr>
          <w:rFonts w:ascii="Calibri"/>
          <w:sz w:val="22"/>
        </w:rPr>
        <w:sectPr>
          <w:pgSz w:w="16840" w:h="11910" w:orient="landscape"/>
          <w:pgMar w:header="0" w:footer="198" w:top="1340" w:bottom="380" w:left="141" w:right="142"/>
        </w:sectPr>
      </w:pPr>
    </w:p>
    <w:p>
      <w:pPr>
        <w:spacing w:line="259" w:lineRule="auto" w:before="96"/>
        <w:ind w:left="1299" w:right="1184" w:firstLine="0"/>
        <w:jc w:val="left"/>
        <w:rPr>
          <w:rFonts w:ascii="Calibri"/>
          <w:b/>
          <w:sz w:val="22"/>
        </w:rPr>
      </w:pPr>
      <w:r>
        <w:rPr>
          <w:rFonts w:ascii="Calibri"/>
          <w:b/>
          <w:sz w:val="22"/>
        </w:rPr>
        <w:t>Report:</w:t>
      </w:r>
      <w:r>
        <w:rPr>
          <w:rFonts w:ascii="Calibri"/>
          <w:b/>
          <w:spacing w:val="-3"/>
          <w:sz w:val="22"/>
        </w:rPr>
        <w:t> </w:t>
      </w:r>
      <w:r>
        <w:rPr>
          <w:rFonts w:ascii="Calibri"/>
          <w:b/>
          <w:sz w:val="22"/>
        </w:rPr>
        <w:t>Regional</w:t>
      </w:r>
      <w:r>
        <w:rPr>
          <w:rFonts w:ascii="Calibri"/>
          <w:b/>
          <w:spacing w:val="-8"/>
          <w:sz w:val="22"/>
        </w:rPr>
        <w:t> </w:t>
      </w:r>
      <w:r>
        <w:rPr>
          <w:rFonts w:ascii="Calibri"/>
          <w:b/>
          <w:sz w:val="22"/>
        </w:rPr>
        <w:t>Joint</w:t>
      </w:r>
      <w:r>
        <w:rPr>
          <w:rFonts w:ascii="Calibri"/>
          <w:b/>
          <w:spacing w:val="-5"/>
          <w:sz w:val="22"/>
        </w:rPr>
        <w:t> </w:t>
      </w:r>
      <w:r>
        <w:rPr>
          <w:rFonts w:ascii="Calibri"/>
          <w:b/>
          <w:sz w:val="22"/>
        </w:rPr>
        <w:t>Committee</w:t>
      </w:r>
      <w:r>
        <w:rPr>
          <w:rFonts w:ascii="Calibri"/>
          <w:b/>
          <w:spacing w:val="-4"/>
          <w:sz w:val="22"/>
        </w:rPr>
        <w:t> </w:t>
      </w:r>
      <w:r>
        <w:rPr>
          <w:rFonts w:ascii="Calibri"/>
          <w:b/>
          <w:sz w:val="22"/>
        </w:rPr>
        <w:t>Governance</w:t>
      </w:r>
      <w:r>
        <w:rPr>
          <w:rFonts w:ascii="Calibri"/>
          <w:b/>
          <w:spacing w:val="-4"/>
          <w:sz w:val="22"/>
        </w:rPr>
        <w:t> </w:t>
      </w:r>
      <w:r>
        <w:rPr>
          <w:rFonts w:ascii="Calibri"/>
          <w:b/>
          <w:sz w:val="22"/>
        </w:rPr>
        <w:t>Arrangements</w:t>
      </w:r>
      <w:r>
        <w:rPr>
          <w:rFonts w:ascii="Calibri"/>
          <w:b/>
          <w:spacing w:val="-2"/>
          <w:sz w:val="22"/>
        </w:rPr>
        <w:t> </w:t>
      </w:r>
      <w:r>
        <w:rPr>
          <w:rFonts w:ascii="Calibri"/>
          <w:b/>
          <w:sz w:val="22"/>
        </w:rPr>
        <w:t>Final</w:t>
      </w:r>
      <w:r>
        <w:rPr>
          <w:rFonts w:ascii="Calibri"/>
          <w:b/>
          <w:spacing w:val="-3"/>
          <w:sz w:val="22"/>
        </w:rPr>
        <w:t> </w:t>
      </w:r>
      <w:r>
        <w:rPr>
          <w:rFonts w:ascii="Calibri"/>
          <w:b/>
          <w:sz w:val="22"/>
        </w:rPr>
        <w:t>Advisory</w:t>
      </w:r>
      <w:r>
        <w:rPr>
          <w:rFonts w:ascii="Calibri"/>
          <w:b/>
          <w:spacing w:val="-3"/>
          <w:sz w:val="22"/>
        </w:rPr>
        <w:t> </w:t>
      </w:r>
      <w:r>
        <w:rPr>
          <w:rFonts w:ascii="Calibri"/>
          <w:b/>
          <w:sz w:val="22"/>
        </w:rPr>
        <w:t>Report</w:t>
      </w:r>
      <w:r>
        <w:rPr>
          <w:rFonts w:ascii="Calibri"/>
          <w:b/>
          <w:spacing w:val="-5"/>
          <w:sz w:val="22"/>
        </w:rPr>
        <w:t> </w:t>
      </w:r>
      <w:r>
        <w:rPr>
          <w:rFonts w:ascii="Calibri"/>
          <w:b/>
          <w:sz w:val="22"/>
        </w:rPr>
        <w:t>2025/26</w:t>
      </w:r>
      <w:r>
        <w:rPr>
          <w:rFonts w:ascii="Calibri"/>
          <w:b/>
          <w:spacing w:val="-5"/>
          <w:sz w:val="22"/>
        </w:rPr>
        <w:t> </w:t>
      </w:r>
      <w:r>
        <w:rPr>
          <w:rFonts w:ascii="Calibri"/>
          <w:b/>
          <w:sz w:val="22"/>
        </w:rPr>
        <w:t>Swansea</w:t>
      </w:r>
      <w:r>
        <w:rPr>
          <w:rFonts w:ascii="Calibri"/>
          <w:b/>
          <w:spacing w:val="-2"/>
          <w:sz w:val="22"/>
        </w:rPr>
        <w:t> </w:t>
      </w:r>
      <w:r>
        <w:rPr>
          <w:rFonts w:ascii="Calibri"/>
          <w:b/>
          <w:sz w:val="22"/>
        </w:rPr>
        <w:t>Bay</w:t>
      </w:r>
      <w:r>
        <w:rPr>
          <w:rFonts w:ascii="Calibri"/>
          <w:b/>
          <w:spacing w:val="-3"/>
          <w:sz w:val="22"/>
        </w:rPr>
        <w:t> </w:t>
      </w:r>
      <w:r>
        <w:rPr>
          <w:rFonts w:ascii="Calibri"/>
          <w:b/>
          <w:sz w:val="22"/>
        </w:rPr>
        <w:t>University</w:t>
      </w:r>
      <w:r>
        <w:rPr>
          <w:rFonts w:ascii="Calibri"/>
          <w:b/>
          <w:spacing w:val="-3"/>
          <w:sz w:val="22"/>
        </w:rPr>
        <w:t> </w:t>
      </w:r>
      <w:r>
        <w:rPr>
          <w:rFonts w:ascii="Calibri"/>
          <w:b/>
          <w:sz w:val="22"/>
        </w:rPr>
        <w:t>Health</w:t>
      </w:r>
      <w:r>
        <w:rPr>
          <w:rFonts w:ascii="Calibri"/>
          <w:b/>
          <w:spacing w:val="-2"/>
          <w:sz w:val="22"/>
        </w:rPr>
        <w:t> </w:t>
      </w:r>
      <w:r>
        <w:rPr>
          <w:rFonts w:ascii="Calibri"/>
          <w:b/>
          <w:sz w:val="22"/>
        </w:rPr>
        <w:t>Board</w:t>
      </w:r>
      <w:r>
        <w:rPr>
          <w:rFonts w:ascii="Calibri"/>
          <w:b/>
          <w:spacing w:val="-7"/>
          <w:sz w:val="22"/>
        </w:rPr>
        <w:t> </w:t>
      </w:r>
      <w:r>
        <w:rPr>
          <w:rFonts w:ascii="Calibri"/>
          <w:b/>
          <w:sz w:val="22"/>
        </w:rPr>
        <w:t>Hywel</w:t>
      </w:r>
      <w:r>
        <w:rPr>
          <w:rFonts w:ascii="Calibri"/>
          <w:b/>
          <w:spacing w:val="-3"/>
          <w:sz w:val="22"/>
        </w:rPr>
        <w:t> </w:t>
      </w:r>
      <w:r>
        <w:rPr>
          <w:rFonts w:ascii="Calibri"/>
          <w:b/>
          <w:sz w:val="22"/>
        </w:rPr>
        <w:t>Dda</w:t>
      </w:r>
      <w:r>
        <w:rPr>
          <w:rFonts w:ascii="Calibri"/>
          <w:b/>
          <w:spacing w:val="17"/>
          <w:sz w:val="22"/>
        </w:rPr>
        <w:t> </w:t>
      </w:r>
      <w:r>
        <w:rPr>
          <w:rFonts w:ascii="Calibri"/>
          <w:b/>
          <w:sz w:val="22"/>
        </w:rPr>
        <w:t>University Health Board</w:t>
      </w:r>
    </w:p>
    <w:p>
      <w:pPr>
        <w:spacing w:line="403" w:lineRule="auto" w:before="160"/>
        <w:ind w:left="1299" w:right="12490" w:firstLine="0"/>
        <w:jc w:val="left"/>
        <w:rPr>
          <w:rFonts w:ascii="Calibri"/>
          <w:b/>
          <w:sz w:val="22"/>
        </w:rPr>
      </w:pPr>
      <w:r>
        <w:rPr>
          <w:rFonts w:ascii="Calibri"/>
          <w:b/>
          <w:sz w:val="22"/>
        </w:rPr>
        <w:t>Issued</w:t>
      </w:r>
      <w:r>
        <w:rPr>
          <w:rFonts w:ascii="Calibri"/>
          <w:b/>
          <w:spacing w:val="-11"/>
          <w:sz w:val="22"/>
        </w:rPr>
        <w:t> </w:t>
      </w:r>
      <w:r>
        <w:rPr>
          <w:rFonts w:ascii="Calibri"/>
          <w:b/>
          <w:sz w:val="22"/>
        </w:rPr>
        <w:t>By:</w:t>
      </w:r>
      <w:r>
        <w:rPr>
          <w:rFonts w:ascii="Calibri"/>
          <w:b/>
          <w:spacing w:val="-13"/>
          <w:sz w:val="22"/>
        </w:rPr>
        <w:t> </w:t>
      </w:r>
      <w:r>
        <w:rPr>
          <w:rFonts w:ascii="Calibri"/>
          <w:b/>
          <w:sz w:val="22"/>
        </w:rPr>
        <w:t>Internal</w:t>
      </w:r>
      <w:r>
        <w:rPr>
          <w:rFonts w:ascii="Calibri"/>
          <w:b/>
          <w:spacing w:val="-10"/>
          <w:sz w:val="22"/>
        </w:rPr>
        <w:t> </w:t>
      </w:r>
      <w:r>
        <w:rPr>
          <w:rFonts w:ascii="Calibri"/>
          <w:b/>
          <w:sz w:val="22"/>
        </w:rPr>
        <w:t>Audit Issued On: 11/06/2026</w:t>
      </w:r>
    </w:p>
    <w:p>
      <w:pPr>
        <w:spacing w:line="403" w:lineRule="auto" w:before="0"/>
        <w:ind w:left="1299" w:right="5438" w:firstLine="0"/>
        <w:jc w:val="left"/>
        <w:rPr>
          <w:rFonts w:ascii="Calibri"/>
          <w:b/>
          <w:sz w:val="22"/>
        </w:rPr>
      </w:pPr>
      <w:r>
        <w:rPr>
          <w:rFonts w:ascii="Calibri"/>
          <w:b/>
          <w:sz w:val="22"/>
        </w:rPr>
        <w:t>Lead</w:t>
      </w:r>
      <w:r>
        <w:rPr>
          <w:rFonts w:ascii="Calibri"/>
          <w:b/>
          <w:spacing w:val="-1"/>
          <w:sz w:val="22"/>
        </w:rPr>
        <w:t> </w:t>
      </w:r>
      <w:r>
        <w:rPr>
          <w:rFonts w:ascii="Calibri"/>
          <w:b/>
          <w:sz w:val="22"/>
        </w:rPr>
        <w:t>Officer:</w:t>
      </w:r>
      <w:r>
        <w:rPr>
          <w:rFonts w:ascii="Calibri"/>
          <w:b/>
          <w:spacing w:val="-1"/>
          <w:sz w:val="22"/>
        </w:rPr>
        <w:t> </w:t>
      </w:r>
      <w:r>
        <w:rPr>
          <w:rFonts w:ascii="Calibri"/>
          <w:b/>
          <w:sz w:val="22"/>
        </w:rPr>
        <w:t>Hazel</w:t>
      </w:r>
      <w:r>
        <w:rPr>
          <w:rFonts w:ascii="Calibri"/>
          <w:b/>
          <w:spacing w:val="-6"/>
          <w:sz w:val="22"/>
        </w:rPr>
        <w:t> </w:t>
      </w:r>
      <w:r>
        <w:rPr>
          <w:rFonts w:ascii="Calibri"/>
          <w:b/>
          <w:sz w:val="22"/>
        </w:rPr>
        <w:t>Lloyd</w:t>
      </w:r>
      <w:r>
        <w:rPr>
          <w:rFonts w:ascii="Calibri"/>
          <w:b/>
          <w:spacing w:val="-1"/>
          <w:sz w:val="22"/>
        </w:rPr>
        <w:t> </w:t>
      </w:r>
      <w:r>
        <w:rPr>
          <w:rFonts w:ascii="Calibri"/>
          <w:b/>
          <w:sz w:val="22"/>
        </w:rPr>
        <w:t>(SBUHB)</w:t>
      </w:r>
      <w:r>
        <w:rPr>
          <w:rFonts w:ascii="Calibri"/>
          <w:b/>
          <w:spacing w:val="-1"/>
          <w:sz w:val="22"/>
        </w:rPr>
        <w:t> </w:t>
      </w:r>
      <w:r>
        <w:rPr>
          <w:rFonts w:ascii="Calibri"/>
          <w:b/>
          <w:sz w:val="22"/>
        </w:rPr>
        <w:t>&amp;</w:t>
      </w:r>
      <w:r>
        <w:rPr>
          <w:rFonts w:ascii="Calibri"/>
          <w:b/>
          <w:spacing w:val="-2"/>
          <w:sz w:val="22"/>
        </w:rPr>
        <w:t> </w:t>
      </w:r>
      <w:r>
        <w:rPr>
          <w:rFonts w:ascii="Calibri"/>
          <w:b/>
          <w:sz w:val="22"/>
        </w:rPr>
        <w:t>Joanne</w:t>
      </w:r>
      <w:r>
        <w:rPr>
          <w:rFonts w:ascii="Calibri"/>
          <w:b/>
          <w:spacing w:val="-3"/>
          <w:sz w:val="22"/>
        </w:rPr>
        <w:t> </w:t>
      </w:r>
      <w:r>
        <w:rPr>
          <w:rFonts w:ascii="Calibri"/>
          <w:b/>
          <w:sz w:val="22"/>
        </w:rPr>
        <w:t>Wilson</w:t>
      </w:r>
      <w:r>
        <w:rPr>
          <w:rFonts w:ascii="Calibri"/>
          <w:b/>
          <w:spacing w:val="-6"/>
          <w:sz w:val="22"/>
        </w:rPr>
        <w:t> </w:t>
      </w:r>
      <w:r>
        <w:rPr>
          <w:rFonts w:ascii="Calibri"/>
          <w:b/>
          <w:sz w:val="22"/>
        </w:rPr>
        <w:t>(HDdUHB),</w:t>
      </w:r>
      <w:r>
        <w:rPr>
          <w:rFonts w:ascii="Calibri"/>
          <w:b/>
          <w:spacing w:val="-4"/>
          <w:sz w:val="22"/>
        </w:rPr>
        <w:t> </w:t>
      </w:r>
      <w:r>
        <w:rPr>
          <w:rFonts w:ascii="Calibri"/>
          <w:b/>
          <w:sz w:val="22"/>
        </w:rPr>
        <w:t>Directors</w:t>
      </w:r>
      <w:r>
        <w:rPr>
          <w:rFonts w:ascii="Calibri"/>
          <w:b/>
          <w:spacing w:val="-5"/>
          <w:sz w:val="22"/>
        </w:rPr>
        <w:t> </w:t>
      </w:r>
      <w:r>
        <w:rPr>
          <w:rFonts w:ascii="Calibri"/>
          <w:b/>
          <w:sz w:val="22"/>
        </w:rPr>
        <w:t>of</w:t>
      </w:r>
      <w:r>
        <w:rPr>
          <w:rFonts w:ascii="Calibri"/>
          <w:b/>
          <w:spacing w:val="-2"/>
          <w:sz w:val="22"/>
        </w:rPr>
        <w:t> </w:t>
      </w:r>
      <w:r>
        <w:rPr>
          <w:rFonts w:ascii="Calibri"/>
          <w:b/>
          <w:sz w:val="22"/>
        </w:rPr>
        <w:t>Corporate</w:t>
      </w:r>
      <w:r>
        <w:rPr>
          <w:rFonts w:ascii="Calibri"/>
          <w:b/>
          <w:spacing w:val="-3"/>
          <w:sz w:val="22"/>
        </w:rPr>
        <w:t> </w:t>
      </w:r>
      <w:r>
        <w:rPr>
          <w:rFonts w:ascii="Calibri"/>
          <w:b/>
          <w:sz w:val="22"/>
        </w:rPr>
        <w:t>Governance Suggested Overseeing Committee: Regional Joint Committee</w:t>
      </w:r>
    </w:p>
    <w:tbl>
      <w:tblPr>
        <w:tblW w:w="0" w:type="auto"/>
        <w:jc w:val="left"/>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7"/>
        <w:gridCol w:w="4111"/>
        <w:gridCol w:w="1986"/>
        <w:gridCol w:w="2696"/>
        <w:gridCol w:w="2266"/>
      </w:tblGrid>
      <w:tr>
        <w:trPr>
          <w:trHeight w:val="1585" w:hRule="atLeast"/>
        </w:trPr>
        <w:tc>
          <w:tcPr>
            <w:tcW w:w="4257" w:type="dxa"/>
            <w:shd w:val="clear" w:color="auto" w:fill="001F5F"/>
          </w:tcPr>
          <w:p>
            <w:pPr>
              <w:pStyle w:val="TableParagraph"/>
              <w:spacing w:line="260" w:lineRule="exact"/>
              <w:ind w:left="1315"/>
              <w:rPr>
                <w:rFonts w:ascii="Calibri"/>
                <w:b/>
                <w:sz w:val="22"/>
              </w:rPr>
            </w:pPr>
            <w:r>
              <w:rPr>
                <w:rFonts w:ascii="Calibri"/>
                <w:b/>
                <w:color w:val="FFFFFF"/>
                <w:spacing w:val="-2"/>
                <w:sz w:val="22"/>
              </w:rPr>
              <w:t>Recommendation</w:t>
            </w:r>
          </w:p>
        </w:tc>
        <w:tc>
          <w:tcPr>
            <w:tcW w:w="4111" w:type="dxa"/>
            <w:shd w:val="clear" w:color="auto" w:fill="001F5F"/>
          </w:tcPr>
          <w:p>
            <w:pPr>
              <w:pStyle w:val="TableParagraph"/>
              <w:spacing w:line="260" w:lineRule="exact"/>
              <w:ind w:left="975"/>
              <w:rPr>
                <w:rFonts w:ascii="Calibri"/>
                <w:b/>
                <w:sz w:val="22"/>
              </w:rPr>
            </w:pPr>
            <w:r>
              <w:rPr>
                <w:rFonts w:ascii="Calibri"/>
                <w:b/>
                <w:color w:val="FFFFFF"/>
                <w:sz w:val="22"/>
              </w:rPr>
              <w:t>Management</w:t>
            </w:r>
            <w:r>
              <w:rPr>
                <w:rFonts w:ascii="Calibri"/>
                <w:b/>
                <w:color w:val="FFFFFF"/>
                <w:spacing w:val="-3"/>
                <w:sz w:val="22"/>
              </w:rPr>
              <w:t> </w:t>
            </w:r>
            <w:r>
              <w:rPr>
                <w:rFonts w:ascii="Calibri"/>
                <w:b/>
                <w:color w:val="FFFFFF"/>
                <w:spacing w:val="-2"/>
                <w:sz w:val="22"/>
              </w:rPr>
              <w:t>Response</w:t>
            </w:r>
          </w:p>
        </w:tc>
        <w:tc>
          <w:tcPr>
            <w:tcW w:w="1986" w:type="dxa"/>
            <w:shd w:val="clear" w:color="auto" w:fill="001F5F"/>
          </w:tcPr>
          <w:p>
            <w:pPr>
              <w:pStyle w:val="TableParagraph"/>
              <w:spacing w:line="242" w:lineRule="auto"/>
              <w:ind w:left="165" w:right="152" w:hanging="1"/>
              <w:jc w:val="center"/>
              <w:rPr>
                <w:rFonts w:ascii="Calibri"/>
                <w:b/>
                <w:sz w:val="22"/>
              </w:rPr>
            </w:pPr>
            <w:r>
              <w:rPr>
                <w:rFonts w:ascii="Calibri"/>
                <w:b/>
                <w:color w:val="FFFFFF"/>
                <w:spacing w:val="-2"/>
                <w:sz w:val="22"/>
              </w:rPr>
              <w:t>Recommendation </w:t>
            </w:r>
            <w:r>
              <w:rPr>
                <w:rFonts w:ascii="Calibri"/>
                <w:b/>
                <w:color w:val="FFFFFF"/>
                <w:sz w:val="22"/>
              </w:rPr>
              <w:t>Owner</w:t>
            </w:r>
            <w:r>
              <w:rPr>
                <w:rFonts w:ascii="Calibri"/>
                <w:b/>
                <w:color w:val="FFFFFF"/>
                <w:spacing w:val="-13"/>
                <w:sz w:val="22"/>
              </w:rPr>
              <w:t> </w:t>
            </w:r>
            <w:r>
              <w:rPr>
                <w:rFonts w:ascii="Calibri"/>
                <w:b/>
                <w:color w:val="FFFFFF"/>
                <w:sz w:val="22"/>
              </w:rPr>
              <w:t>(name,</w:t>
            </w:r>
            <w:r>
              <w:rPr>
                <w:rFonts w:ascii="Calibri"/>
                <w:b/>
                <w:color w:val="FFFFFF"/>
                <w:spacing w:val="-12"/>
                <w:sz w:val="22"/>
              </w:rPr>
              <w:t> </w:t>
            </w:r>
            <w:r>
              <w:rPr>
                <w:rFonts w:ascii="Calibri"/>
                <w:b/>
                <w:color w:val="FFFFFF"/>
                <w:sz w:val="22"/>
              </w:rPr>
              <w:t>job title and CCG)</w:t>
            </w:r>
          </w:p>
        </w:tc>
        <w:tc>
          <w:tcPr>
            <w:tcW w:w="2696" w:type="dxa"/>
            <w:shd w:val="clear" w:color="auto" w:fill="001F5F"/>
          </w:tcPr>
          <w:p>
            <w:pPr>
              <w:pStyle w:val="TableParagraph"/>
              <w:spacing w:line="260" w:lineRule="exact"/>
              <w:ind w:left="1"/>
              <w:jc w:val="center"/>
              <w:rPr>
                <w:rFonts w:ascii="Calibri"/>
                <w:b/>
                <w:sz w:val="22"/>
              </w:rPr>
            </w:pPr>
            <w:r>
              <w:rPr>
                <w:rFonts w:ascii="Calibri"/>
                <w:b/>
                <w:color w:val="FFFFFF"/>
                <w:sz w:val="22"/>
              </w:rPr>
              <w:t>Completion</w:t>
            </w:r>
            <w:r>
              <w:rPr>
                <w:rFonts w:ascii="Calibri"/>
                <w:b/>
                <w:color w:val="FFFFFF"/>
                <w:spacing w:val="-8"/>
                <w:sz w:val="22"/>
              </w:rPr>
              <w:t> </w:t>
            </w:r>
            <w:r>
              <w:rPr>
                <w:rFonts w:ascii="Calibri"/>
                <w:b/>
                <w:color w:val="FFFFFF"/>
                <w:spacing w:val="-4"/>
                <w:sz w:val="22"/>
              </w:rPr>
              <w:t>Date</w:t>
            </w:r>
          </w:p>
          <w:p>
            <w:pPr>
              <w:pStyle w:val="TableParagraph"/>
              <w:ind w:left="229" w:right="232" w:firstLine="1"/>
              <w:jc w:val="center"/>
              <w:rPr>
                <w:rFonts w:ascii="Calibri"/>
                <w:b/>
                <w:sz w:val="18"/>
              </w:rPr>
            </w:pPr>
            <w:r>
              <w:rPr>
                <w:rFonts w:ascii="Calibri"/>
                <w:b/>
                <w:color w:val="FFFFFF"/>
                <w:sz w:val="18"/>
              </w:rPr>
              <w:t>- Please enter a specific implementation</w:t>
            </w:r>
            <w:r>
              <w:rPr>
                <w:rFonts w:ascii="Calibri"/>
                <w:b/>
                <w:color w:val="FFFFFF"/>
                <w:spacing w:val="-11"/>
                <w:sz w:val="18"/>
              </w:rPr>
              <w:t> </w:t>
            </w:r>
            <w:r>
              <w:rPr>
                <w:rFonts w:ascii="Calibri"/>
                <w:b/>
                <w:color w:val="FFFFFF"/>
                <w:sz w:val="18"/>
              </w:rPr>
              <w:t>date</w:t>
            </w:r>
            <w:r>
              <w:rPr>
                <w:rFonts w:ascii="Calibri"/>
                <w:b/>
                <w:color w:val="FFFFFF"/>
                <w:spacing w:val="-10"/>
                <w:sz w:val="18"/>
              </w:rPr>
              <w:t> </w:t>
            </w:r>
            <w:r>
              <w:rPr>
                <w:rFonts w:ascii="Calibri"/>
                <w:b/>
                <w:color w:val="FFFFFF"/>
                <w:sz w:val="18"/>
              </w:rPr>
              <w:t>for</w:t>
            </w:r>
            <w:r>
              <w:rPr>
                <w:rFonts w:ascii="Calibri"/>
                <w:b/>
                <w:color w:val="FFFFFF"/>
                <w:spacing w:val="-10"/>
                <w:sz w:val="18"/>
              </w:rPr>
              <w:t> </w:t>
            </w:r>
            <w:r>
              <w:rPr>
                <w:rFonts w:ascii="Calibri"/>
                <w:b/>
                <w:color w:val="FFFFFF"/>
                <w:sz w:val="18"/>
              </w:rPr>
              <w:t>your action.</w:t>
            </w:r>
            <w:r>
              <w:rPr>
                <w:rFonts w:ascii="Calibri"/>
                <w:b/>
                <w:color w:val="FFFFFF"/>
                <w:spacing w:val="-8"/>
                <w:sz w:val="18"/>
              </w:rPr>
              <w:t> </w:t>
            </w:r>
            <w:r>
              <w:rPr>
                <w:rFonts w:ascii="Calibri"/>
                <w:b/>
                <w:color w:val="FFFFFF"/>
                <w:sz w:val="18"/>
              </w:rPr>
              <w:t>For</w:t>
            </w:r>
            <w:r>
              <w:rPr>
                <w:rFonts w:ascii="Calibri"/>
                <w:b/>
                <w:color w:val="FFFFFF"/>
                <w:spacing w:val="-9"/>
                <w:sz w:val="18"/>
              </w:rPr>
              <w:t> </w:t>
            </w:r>
            <w:r>
              <w:rPr>
                <w:rFonts w:ascii="Calibri"/>
                <w:b/>
                <w:color w:val="FFFFFF"/>
                <w:sz w:val="18"/>
              </w:rPr>
              <w:t>recommendations that are reliant on factors external to the Health Board,</w:t>
            </w:r>
          </w:p>
          <w:p>
            <w:pPr>
              <w:pStyle w:val="TableParagraph"/>
              <w:spacing w:line="206" w:lineRule="exact" w:before="1"/>
              <w:ind w:left="1" w:right="1"/>
              <w:jc w:val="center"/>
              <w:rPr>
                <w:rFonts w:ascii="Calibri" w:hAnsi="Calibri"/>
                <w:b/>
                <w:sz w:val="18"/>
              </w:rPr>
            </w:pPr>
            <w:r>
              <w:rPr>
                <w:rFonts w:ascii="Calibri" w:hAnsi="Calibri"/>
                <w:b/>
                <w:color w:val="FFFFFF"/>
                <w:sz w:val="18"/>
              </w:rPr>
              <w:t>please</w:t>
            </w:r>
            <w:r>
              <w:rPr>
                <w:rFonts w:ascii="Calibri" w:hAnsi="Calibri"/>
                <w:b/>
                <w:color w:val="FFFFFF"/>
                <w:spacing w:val="-5"/>
                <w:sz w:val="18"/>
              </w:rPr>
              <w:t> </w:t>
            </w:r>
            <w:r>
              <w:rPr>
                <w:rFonts w:ascii="Calibri" w:hAnsi="Calibri"/>
                <w:b/>
                <w:color w:val="FFFFFF"/>
                <w:sz w:val="18"/>
              </w:rPr>
              <w:t>note</w:t>
            </w:r>
            <w:r>
              <w:rPr>
                <w:rFonts w:ascii="Calibri" w:hAnsi="Calibri"/>
                <w:b/>
                <w:color w:val="FFFFFF"/>
                <w:spacing w:val="-4"/>
                <w:sz w:val="18"/>
              </w:rPr>
              <w:t> </w:t>
            </w:r>
            <w:r>
              <w:rPr>
                <w:rFonts w:ascii="Calibri" w:hAnsi="Calibri"/>
                <w:b/>
                <w:color w:val="FFFFFF"/>
                <w:sz w:val="18"/>
              </w:rPr>
              <w:t>as</w:t>
            </w:r>
            <w:r>
              <w:rPr>
                <w:rFonts w:ascii="Calibri" w:hAnsi="Calibri"/>
                <w:b/>
                <w:color w:val="FFFFFF"/>
                <w:spacing w:val="-5"/>
                <w:sz w:val="18"/>
              </w:rPr>
              <w:t> </w:t>
            </w:r>
            <w:r>
              <w:rPr>
                <w:rFonts w:ascii="Calibri" w:hAnsi="Calibri"/>
                <w:b/>
                <w:color w:val="FFFFFF"/>
                <w:spacing w:val="-2"/>
                <w:sz w:val="18"/>
              </w:rPr>
              <w:t>“External”</w:t>
            </w:r>
          </w:p>
        </w:tc>
        <w:tc>
          <w:tcPr>
            <w:tcW w:w="2266" w:type="dxa"/>
            <w:shd w:val="clear" w:color="auto" w:fill="001F5F"/>
          </w:tcPr>
          <w:p>
            <w:pPr>
              <w:pStyle w:val="TableParagraph"/>
              <w:spacing w:line="242" w:lineRule="auto"/>
              <w:ind w:left="389" w:right="103" w:hanging="230"/>
              <w:rPr>
                <w:rFonts w:ascii="Calibri"/>
                <w:b/>
                <w:sz w:val="22"/>
              </w:rPr>
            </w:pPr>
            <w:r>
              <w:rPr>
                <w:rFonts w:ascii="Calibri"/>
                <w:b/>
                <w:color w:val="FFFFFF"/>
                <w:sz w:val="22"/>
              </w:rPr>
              <w:t>Expected</w:t>
            </w:r>
            <w:r>
              <w:rPr>
                <w:rFonts w:ascii="Calibri"/>
                <w:b/>
                <w:color w:val="FFFFFF"/>
                <w:spacing w:val="-13"/>
                <w:sz w:val="22"/>
              </w:rPr>
              <w:t> </w:t>
            </w:r>
            <w:r>
              <w:rPr>
                <w:rFonts w:ascii="Calibri"/>
                <w:b/>
                <w:color w:val="FFFFFF"/>
                <w:sz w:val="22"/>
              </w:rPr>
              <w:t>Evidence</w:t>
            </w:r>
            <w:r>
              <w:rPr>
                <w:rFonts w:ascii="Calibri"/>
                <w:b/>
                <w:color w:val="FFFFFF"/>
                <w:spacing w:val="-12"/>
                <w:sz w:val="22"/>
              </w:rPr>
              <w:t> </w:t>
            </w:r>
            <w:r>
              <w:rPr>
                <w:rFonts w:ascii="Calibri"/>
                <w:b/>
                <w:color w:val="FFFFFF"/>
                <w:sz w:val="22"/>
              </w:rPr>
              <w:t>of </w:t>
            </w:r>
            <w:r>
              <w:rPr>
                <w:rFonts w:ascii="Calibri"/>
                <w:b/>
                <w:color w:val="FFFFFF"/>
                <w:spacing w:val="-2"/>
                <w:sz w:val="22"/>
              </w:rPr>
              <w:t>Implementation</w:t>
            </w:r>
          </w:p>
        </w:tc>
      </w:tr>
      <w:tr>
        <w:trPr>
          <w:trHeight w:val="4837" w:hRule="atLeast"/>
        </w:trPr>
        <w:tc>
          <w:tcPr>
            <w:tcW w:w="4257" w:type="dxa"/>
          </w:tcPr>
          <w:p>
            <w:pPr>
              <w:pStyle w:val="TableParagraph"/>
              <w:ind w:left="110" w:right="162"/>
              <w:rPr>
                <w:rFonts w:ascii="Calibri"/>
                <w:sz w:val="22"/>
              </w:rPr>
            </w:pPr>
            <w:r>
              <w:rPr>
                <w:rFonts w:ascii="Calibri"/>
                <w:sz w:val="22"/>
              </w:rPr>
              <w:t>Action 1: RJC Improving consistency across subgroup</w:t>
            </w:r>
            <w:r>
              <w:rPr>
                <w:rFonts w:ascii="Calibri"/>
                <w:spacing w:val="-13"/>
                <w:sz w:val="22"/>
              </w:rPr>
              <w:t> </w:t>
            </w:r>
            <w:r>
              <w:rPr>
                <w:rFonts w:ascii="Calibri"/>
                <w:sz w:val="22"/>
              </w:rPr>
              <w:t>and</w:t>
            </w:r>
            <w:r>
              <w:rPr>
                <w:rFonts w:ascii="Calibri"/>
                <w:spacing w:val="-12"/>
                <w:sz w:val="22"/>
              </w:rPr>
              <w:t> </w:t>
            </w:r>
            <w:r>
              <w:rPr>
                <w:rFonts w:ascii="Calibri"/>
                <w:sz w:val="22"/>
              </w:rPr>
              <w:t>respective</w:t>
            </w:r>
            <w:r>
              <w:rPr>
                <w:rFonts w:ascii="Calibri"/>
                <w:spacing w:val="-11"/>
                <w:sz w:val="22"/>
              </w:rPr>
              <w:t> </w:t>
            </w:r>
            <w:r>
              <w:rPr>
                <w:rFonts w:ascii="Calibri"/>
                <w:sz w:val="22"/>
              </w:rPr>
              <w:t>workstream</w:t>
            </w:r>
            <w:r>
              <w:rPr>
                <w:rFonts w:ascii="Calibri"/>
                <w:spacing w:val="-8"/>
                <w:sz w:val="22"/>
              </w:rPr>
              <w:t> </w:t>
            </w:r>
            <w:r>
              <w:rPr>
                <w:rFonts w:ascii="Calibri"/>
                <w:sz w:val="22"/>
              </w:rPr>
              <w:t>Terms of Reference would support clearer roles, defined responsibilities, and more robust governance accountability.</w:t>
            </w:r>
          </w:p>
        </w:tc>
        <w:tc>
          <w:tcPr>
            <w:tcW w:w="4111" w:type="dxa"/>
          </w:tcPr>
          <w:p>
            <w:pPr>
              <w:pStyle w:val="TableParagraph"/>
              <w:spacing w:line="265" w:lineRule="exact"/>
              <w:ind w:left="104"/>
              <w:rPr>
                <w:rFonts w:ascii="Calibri"/>
                <w:b/>
                <w:sz w:val="22"/>
              </w:rPr>
            </w:pPr>
            <w:r>
              <w:rPr>
                <w:rFonts w:ascii="Calibri"/>
                <w:b/>
                <w:sz w:val="22"/>
              </w:rPr>
              <w:t>RJC</w:t>
            </w:r>
            <w:r>
              <w:rPr>
                <w:rFonts w:ascii="Calibri"/>
                <w:b/>
                <w:spacing w:val="-2"/>
                <w:sz w:val="22"/>
              </w:rPr>
              <w:t> </w:t>
            </w:r>
            <w:r>
              <w:rPr>
                <w:rFonts w:ascii="Calibri"/>
                <w:b/>
                <w:sz w:val="22"/>
              </w:rPr>
              <w:t>Terms of</w:t>
            </w:r>
            <w:r>
              <w:rPr>
                <w:rFonts w:ascii="Calibri"/>
                <w:b/>
                <w:spacing w:val="-1"/>
                <w:sz w:val="22"/>
              </w:rPr>
              <w:t> </w:t>
            </w:r>
            <w:r>
              <w:rPr>
                <w:rFonts w:ascii="Calibri"/>
                <w:b/>
                <w:spacing w:val="-2"/>
                <w:sz w:val="22"/>
              </w:rPr>
              <w:t>Reference</w:t>
            </w:r>
          </w:p>
          <w:p>
            <w:pPr>
              <w:pStyle w:val="TableParagraph"/>
              <w:spacing w:before="266"/>
              <w:ind w:left="104" w:right="95"/>
              <w:rPr>
                <w:rFonts w:ascii="Calibri"/>
                <w:sz w:val="22"/>
              </w:rPr>
            </w:pPr>
            <w:r>
              <w:rPr>
                <w:rFonts w:ascii="Calibri"/>
                <w:sz w:val="22"/>
              </w:rPr>
              <w:t>Agree. Consistency will be introduced across Sub-Group and respective workstream</w:t>
            </w:r>
            <w:r>
              <w:rPr>
                <w:rFonts w:ascii="Calibri"/>
                <w:spacing w:val="-6"/>
                <w:sz w:val="22"/>
              </w:rPr>
              <w:t> </w:t>
            </w:r>
            <w:r>
              <w:rPr>
                <w:rFonts w:ascii="Calibri"/>
                <w:sz w:val="22"/>
              </w:rPr>
              <w:t>Terms</w:t>
            </w:r>
            <w:r>
              <w:rPr>
                <w:rFonts w:ascii="Calibri"/>
                <w:spacing w:val="-7"/>
                <w:sz w:val="22"/>
              </w:rPr>
              <w:t> </w:t>
            </w:r>
            <w:r>
              <w:rPr>
                <w:rFonts w:ascii="Calibri"/>
                <w:sz w:val="22"/>
              </w:rPr>
              <w:t>of</w:t>
            </w:r>
            <w:r>
              <w:rPr>
                <w:rFonts w:ascii="Calibri"/>
                <w:spacing w:val="-12"/>
                <w:sz w:val="22"/>
              </w:rPr>
              <w:t> </w:t>
            </w:r>
            <w:r>
              <w:rPr>
                <w:rFonts w:ascii="Calibri"/>
                <w:sz w:val="22"/>
              </w:rPr>
              <w:t>Reference</w:t>
            </w:r>
            <w:r>
              <w:rPr>
                <w:rFonts w:ascii="Calibri"/>
                <w:spacing w:val="-10"/>
                <w:sz w:val="22"/>
              </w:rPr>
              <w:t> </w:t>
            </w:r>
            <w:r>
              <w:rPr>
                <w:rFonts w:ascii="Calibri"/>
                <w:sz w:val="22"/>
              </w:rPr>
              <w:t>to</w:t>
            </w:r>
            <w:r>
              <w:rPr>
                <w:rFonts w:ascii="Calibri"/>
                <w:spacing w:val="-10"/>
                <w:sz w:val="22"/>
              </w:rPr>
              <w:t> </w:t>
            </w:r>
            <w:r>
              <w:rPr>
                <w:rFonts w:ascii="Calibri"/>
                <w:sz w:val="22"/>
              </w:rPr>
              <w:t>support clearer roles, defined responsibilities and more robust governance accountability.</w:t>
            </w:r>
          </w:p>
          <w:p>
            <w:pPr>
              <w:pStyle w:val="TableParagraph"/>
              <w:spacing w:before="5"/>
              <w:rPr>
                <w:rFonts w:ascii="Calibri"/>
                <w:b/>
                <w:sz w:val="22"/>
              </w:rPr>
            </w:pPr>
          </w:p>
          <w:p>
            <w:pPr>
              <w:pStyle w:val="TableParagraph"/>
              <w:ind w:left="104"/>
              <w:rPr>
                <w:rFonts w:ascii="Calibri"/>
                <w:sz w:val="22"/>
              </w:rPr>
            </w:pPr>
            <w:r>
              <w:rPr>
                <w:rFonts w:ascii="Calibri"/>
                <w:sz w:val="22"/>
              </w:rPr>
              <w:t>Terms of Reference are currently being crafted for the newly merged, Finance, Contracting,</w:t>
            </w:r>
            <w:r>
              <w:rPr>
                <w:rFonts w:ascii="Calibri"/>
                <w:spacing w:val="-7"/>
                <w:sz w:val="22"/>
              </w:rPr>
              <w:t> </w:t>
            </w:r>
            <w:r>
              <w:rPr>
                <w:rFonts w:ascii="Calibri"/>
                <w:sz w:val="22"/>
              </w:rPr>
              <w:t>Digital</w:t>
            </w:r>
            <w:r>
              <w:rPr>
                <w:rFonts w:ascii="Calibri"/>
                <w:spacing w:val="-8"/>
                <w:sz w:val="22"/>
              </w:rPr>
              <w:t> </w:t>
            </w:r>
            <w:r>
              <w:rPr>
                <w:rFonts w:ascii="Calibri"/>
                <w:sz w:val="22"/>
              </w:rPr>
              <w:t>and</w:t>
            </w:r>
            <w:r>
              <w:rPr>
                <w:rFonts w:ascii="Calibri"/>
                <w:spacing w:val="-9"/>
                <w:sz w:val="22"/>
              </w:rPr>
              <w:t> </w:t>
            </w:r>
            <w:r>
              <w:rPr>
                <w:rFonts w:ascii="Calibri"/>
                <w:sz w:val="22"/>
              </w:rPr>
              <w:t>Data</w:t>
            </w:r>
            <w:r>
              <w:rPr>
                <w:rFonts w:ascii="Calibri"/>
                <w:spacing w:val="-8"/>
                <w:sz w:val="22"/>
              </w:rPr>
              <w:t> </w:t>
            </w:r>
            <w:r>
              <w:rPr>
                <w:rFonts w:ascii="Calibri"/>
                <w:sz w:val="22"/>
              </w:rPr>
              <w:t>Sub-Group</w:t>
            </w:r>
            <w:r>
              <w:rPr>
                <w:rFonts w:ascii="Calibri"/>
                <w:spacing w:val="-8"/>
                <w:sz w:val="22"/>
              </w:rPr>
              <w:t> </w:t>
            </w:r>
            <w:r>
              <w:rPr>
                <w:rFonts w:ascii="Calibri"/>
                <w:sz w:val="22"/>
              </w:rPr>
              <w:t>for approval at the RJC meeting on 13 October </w:t>
            </w:r>
            <w:r>
              <w:rPr>
                <w:rFonts w:ascii="Calibri"/>
                <w:spacing w:val="-2"/>
                <w:sz w:val="22"/>
              </w:rPr>
              <w:t>2026.</w:t>
            </w:r>
          </w:p>
          <w:p>
            <w:pPr>
              <w:pStyle w:val="TableParagraph"/>
              <w:spacing w:before="268"/>
              <w:ind w:left="104" w:right="95"/>
              <w:rPr>
                <w:rFonts w:ascii="Calibri"/>
                <w:sz w:val="22"/>
              </w:rPr>
            </w:pPr>
            <w:r>
              <w:rPr>
                <w:rFonts w:ascii="Calibri"/>
                <w:sz w:val="22"/>
              </w:rPr>
              <w:t>An annual review of the remaining Sub-Groups</w:t>
            </w:r>
            <w:r>
              <w:rPr>
                <w:rFonts w:ascii="Calibri"/>
                <w:spacing w:val="-13"/>
                <w:sz w:val="22"/>
              </w:rPr>
              <w:t> </w:t>
            </w:r>
            <w:r>
              <w:rPr>
                <w:rFonts w:ascii="Calibri"/>
                <w:sz w:val="22"/>
              </w:rPr>
              <w:t>and</w:t>
            </w:r>
            <w:r>
              <w:rPr>
                <w:rFonts w:ascii="Calibri"/>
                <w:spacing w:val="-12"/>
                <w:sz w:val="22"/>
              </w:rPr>
              <w:t> </w:t>
            </w:r>
            <w:r>
              <w:rPr>
                <w:rFonts w:ascii="Calibri"/>
                <w:sz w:val="22"/>
              </w:rPr>
              <w:t>respective</w:t>
            </w:r>
            <w:r>
              <w:rPr>
                <w:rFonts w:ascii="Calibri"/>
                <w:spacing w:val="-11"/>
                <w:sz w:val="22"/>
              </w:rPr>
              <w:t> </w:t>
            </w:r>
            <w:r>
              <w:rPr>
                <w:rFonts w:ascii="Calibri"/>
                <w:sz w:val="22"/>
              </w:rPr>
              <w:t>workstreams</w:t>
            </w:r>
            <w:r>
              <w:rPr>
                <w:rFonts w:ascii="Calibri"/>
                <w:spacing w:val="-9"/>
                <w:sz w:val="22"/>
              </w:rPr>
              <w:t> </w:t>
            </w:r>
            <w:r>
              <w:rPr>
                <w:rFonts w:ascii="Calibri"/>
                <w:sz w:val="22"/>
              </w:rPr>
              <w:t>Terms of Reference has been scheduled for the</w:t>
            </w:r>
          </w:p>
          <w:p>
            <w:pPr>
              <w:pStyle w:val="TableParagraph"/>
              <w:spacing w:line="253" w:lineRule="exact"/>
              <w:ind w:left="104"/>
              <w:rPr>
                <w:rFonts w:ascii="Calibri"/>
                <w:sz w:val="22"/>
              </w:rPr>
            </w:pPr>
            <w:r>
              <w:rPr>
                <w:rFonts w:ascii="Calibri"/>
                <w:sz w:val="22"/>
              </w:rPr>
              <w:t>RJC</w:t>
            </w:r>
            <w:r>
              <w:rPr>
                <w:rFonts w:ascii="Calibri"/>
                <w:spacing w:val="-1"/>
                <w:sz w:val="22"/>
              </w:rPr>
              <w:t> </w:t>
            </w:r>
            <w:r>
              <w:rPr>
                <w:rFonts w:ascii="Calibri"/>
                <w:sz w:val="22"/>
              </w:rPr>
              <w:t>meeting</w:t>
            </w:r>
            <w:r>
              <w:rPr>
                <w:rFonts w:ascii="Calibri"/>
                <w:spacing w:val="-1"/>
                <w:sz w:val="22"/>
              </w:rPr>
              <w:t> </w:t>
            </w:r>
            <w:r>
              <w:rPr>
                <w:rFonts w:ascii="Calibri"/>
                <w:sz w:val="22"/>
              </w:rPr>
              <w:t>on</w:t>
            </w:r>
            <w:r>
              <w:rPr>
                <w:rFonts w:ascii="Calibri"/>
                <w:spacing w:val="-3"/>
                <w:sz w:val="22"/>
              </w:rPr>
              <w:t> </w:t>
            </w:r>
            <w:r>
              <w:rPr>
                <w:rFonts w:ascii="Calibri"/>
                <w:sz w:val="22"/>
              </w:rPr>
              <w:t>13</w:t>
            </w:r>
            <w:r>
              <w:rPr>
                <w:rFonts w:ascii="Calibri"/>
                <w:spacing w:val="-2"/>
                <w:sz w:val="22"/>
              </w:rPr>
              <w:t> </w:t>
            </w:r>
            <w:r>
              <w:rPr>
                <w:rFonts w:ascii="Calibri"/>
                <w:sz w:val="22"/>
              </w:rPr>
              <w:t>October</w:t>
            </w:r>
            <w:r>
              <w:rPr>
                <w:rFonts w:ascii="Calibri"/>
                <w:spacing w:val="-3"/>
                <w:sz w:val="22"/>
              </w:rPr>
              <w:t> </w:t>
            </w:r>
            <w:r>
              <w:rPr>
                <w:rFonts w:ascii="Calibri"/>
                <w:sz w:val="22"/>
              </w:rPr>
              <w:t>2026</w:t>
            </w:r>
            <w:r>
              <w:rPr>
                <w:rFonts w:ascii="Calibri"/>
                <w:spacing w:val="-3"/>
                <w:sz w:val="22"/>
              </w:rPr>
              <w:t> </w:t>
            </w:r>
            <w:r>
              <w:rPr>
                <w:rFonts w:ascii="Calibri"/>
                <w:spacing w:val="-5"/>
                <w:sz w:val="22"/>
              </w:rPr>
              <w:t>to</w:t>
            </w:r>
          </w:p>
        </w:tc>
        <w:tc>
          <w:tcPr>
            <w:tcW w:w="1986" w:type="dxa"/>
          </w:tcPr>
          <w:p>
            <w:pPr>
              <w:pStyle w:val="TableParagraph"/>
              <w:spacing w:line="265" w:lineRule="exact"/>
              <w:ind w:left="345"/>
              <w:rPr>
                <w:rFonts w:ascii="Calibri"/>
                <w:sz w:val="22"/>
              </w:rPr>
            </w:pPr>
            <w:r>
              <w:rPr>
                <w:rFonts w:ascii="Calibri"/>
                <w:sz w:val="22"/>
              </w:rPr>
              <w:t>Joanne</w:t>
            </w:r>
            <w:r>
              <w:rPr>
                <w:rFonts w:ascii="Calibri"/>
                <w:spacing w:val="-7"/>
                <w:sz w:val="22"/>
              </w:rPr>
              <w:t> </w:t>
            </w:r>
            <w:r>
              <w:rPr>
                <w:rFonts w:ascii="Calibri"/>
                <w:spacing w:val="-2"/>
                <w:sz w:val="22"/>
              </w:rPr>
              <w:t>Wilson</w:t>
            </w:r>
          </w:p>
        </w:tc>
        <w:tc>
          <w:tcPr>
            <w:tcW w:w="2696" w:type="dxa"/>
          </w:tcPr>
          <w:p>
            <w:pPr>
              <w:pStyle w:val="TableParagraph"/>
              <w:spacing w:line="265" w:lineRule="exact"/>
              <w:ind w:left="814"/>
              <w:rPr>
                <w:rFonts w:ascii="Calibri"/>
                <w:sz w:val="22"/>
              </w:rPr>
            </w:pPr>
            <w:r>
              <w:rPr>
                <w:rFonts w:ascii="Calibri"/>
                <w:spacing w:val="-2"/>
                <w:sz w:val="22"/>
              </w:rPr>
              <w:t>13/10/2026</w:t>
            </w:r>
          </w:p>
        </w:tc>
        <w:tc>
          <w:tcPr>
            <w:tcW w:w="2266" w:type="dxa"/>
          </w:tcPr>
          <w:p>
            <w:pPr>
              <w:pStyle w:val="TableParagraph"/>
              <w:ind w:left="104" w:right="103"/>
              <w:rPr>
                <w:rFonts w:ascii="Calibri"/>
                <w:sz w:val="22"/>
              </w:rPr>
            </w:pPr>
            <w:r>
              <w:rPr>
                <w:rFonts w:ascii="Calibri"/>
                <w:sz w:val="22"/>
              </w:rPr>
              <w:t>RJC</w:t>
            </w:r>
            <w:r>
              <w:rPr>
                <w:rFonts w:ascii="Calibri"/>
                <w:spacing w:val="-13"/>
                <w:sz w:val="22"/>
              </w:rPr>
              <w:t> </w:t>
            </w:r>
            <w:r>
              <w:rPr>
                <w:rFonts w:ascii="Calibri"/>
                <w:sz w:val="22"/>
              </w:rPr>
              <w:t>approved</w:t>
            </w:r>
            <w:r>
              <w:rPr>
                <w:rFonts w:ascii="Calibri"/>
                <w:spacing w:val="-12"/>
                <w:sz w:val="22"/>
              </w:rPr>
              <w:t> </w:t>
            </w:r>
            <w:r>
              <w:rPr>
                <w:rFonts w:ascii="Calibri"/>
                <w:sz w:val="22"/>
              </w:rPr>
              <w:t>Terms</w:t>
            </w:r>
            <w:r>
              <w:rPr>
                <w:rFonts w:ascii="Calibri"/>
                <w:spacing w:val="-13"/>
                <w:sz w:val="22"/>
              </w:rPr>
              <w:t> </w:t>
            </w:r>
            <w:r>
              <w:rPr>
                <w:rFonts w:ascii="Calibri"/>
                <w:sz w:val="22"/>
              </w:rPr>
              <w:t>of Reference for all RJC </w:t>
            </w:r>
            <w:r>
              <w:rPr>
                <w:rFonts w:ascii="Calibri"/>
                <w:spacing w:val="-2"/>
                <w:sz w:val="22"/>
              </w:rPr>
              <w:t>Sub-Groups</w:t>
            </w:r>
          </w:p>
        </w:tc>
      </w:tr>
    </w:tbl>
    <w:p>
      <w:pPr>
        <w:spacing w:before="227"/>
        <w:ind w:left="0" w:right="1289" w:firstLine="0"/>
        <w:jc w:val="right"/>
        <w:rPr>
          <w:rFonts w:ascii="Calibri"/>
          <w:sz w:val="22"/>
        </w:rPr>
      </w:pPr>
      <w:r>
        <w:rPr>
          <w:rFonts w:ascii="Calibri"/>
          <w:spacing w:val="-10"/>
          <w:sz w:val="22"/>
        </w:rPr>
        <w:t>3</w:t>
      </w:r>
    </w:p>
    <w:p>
      <w:pPr>
        <w:spacing w:after="0"/>
        <w:jc w:val="right"/>
        <w:rPr>
          <w:rFonts w:ascii="Calibri"/>
          <w:sz w:val="22"/>
        </w:rPr>
        <w:sectPr>
          <w:pgSz w:w="16840" w:h="11910" w:orient="landscape"/>
          <w:pgMar w:header="0" w:footer="198" w:top="1340" w:bottom="380" w:left="141" w:right="142"/>
        </w:sectPr>
      </w:pPr>
    </w:p>
    <w:p>
      <w:pPr>
        <w:pStyle w:val="BodyText"/>
        <w:spacing w:before="10"/>
        <w:rPr>
          <w:rFonts w:ascii="Calibri"/>
          <w:sz w:val="7"/>
        </w:rPr>
      </w:pPr>
    </w:p>
    <w:tbl>
      <w:tblPr>
        <w:tblW w:w="0" w:type="auto"/>
        <w:jc w:val="left"/>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7"/>
        <w:gridCol w:w="4111"/>
        <w:gridCol w:w="1986"/>
        <w:gridCol w:w="2696"/>
        <w:gridCol w:w="2266"/>
      </w:tblGrid>
      <w:tr>
        <w:trPr>
          <w:trHeight w:val="805" w:hRule="atLeast"/>
        </w:trPr>
        <w:tc>
          <w:tcPr>
            <w:tcW w:w="4257" w:type="dxa"/>
          </w:tcPr>
          <w:p>
            <w:pPr>
              <w:pStyle w:val="TableParagraph"/>
              <w:rPr>
                <w:rFonts w:ascii="Times New Roman"/>
                <w:sz w:val="20"/>
              </w:rPr>
            </w:pPr>
          </w:p>
        </w:tc>
        <w:tc>
          <w:tcPr>
            <w:tcW w:w="4111" w:type="dxa"/>
          </w:tcPr>
          <w:p>
            <w:pPr>
              <w:pStyle w:val="TableParagraph"/>
              <w:spacing w:line="237" w:lineRule="auto" w:before="2"/>
              <w:ind w:left="104" w:right="95"/>
              <w:rPr>
                <w:rFonts w:ascii="Calibri"/>
                <w:sz w:val="22"/>
              </w:rPr>
            </w:pPr>
            <w:r>
              <w:rPr>
                <w:rFonts w:ascii="Calibri"/>
                <w:sz w:val="22"/>
              </w:rPr>
              <w:t>approve</w:t>
            </w:r>
            <w:r>
              <w:rPr>
                <w:rFonts w:ascii="Calibri"/>
                <w:spacing w:val="-6"/>
                <w:sz w:val="22"/>
              </w:rPr>
              <w:t> </w:t>
            </w:r>
            <w:r>
              <w:rPr>
                <w:rFonts w:ascii="Calibri"/>
                <w:sz w:val="22"/>
              </w:rPr>
              <w:t>the</w:t>
            </w:r>
            <w:r>
              <w:rPr>
                <w:rFonts w:ascii="Calibri"/>
                <w:spacing w:val="-6"/>
                <w:sz w:val="22"/>
              </w:rPr>
              <w:t> </w:t>
            </w:r>
            <w:r>
              <w:rPr>
                <w:rFonts w:ascii="Calibri"/>
                <w:sz w:val="22"/>
              </w:rPr>
              <w:t>suite</w:t>
            </w:r>
            <w:r>
              <w:rPr>
                <w:rFonts w:ascii="Calibri"/>
                <w:spacing w:val="-6"/>
                <w:sz w:val="22"/>
              </w:rPr>
              <w:t> </w:t>
            </w:r>
            <w:r>
              <w:rPr>
                <w:rFonts w:ascii="Calibri"/>
                <w:sz w:val="22"/>
              </w:rPr>
              <w:t>of</w:t>
            </w:r>
            <w:r>
              <w:rPr>
                <w:rFonts w:ascii="Calibri"/>
                <w:spacing w:val="-9"/>
                <w:sz w:val="22"/>
              </w:rPr>
              <w:t> </w:t>
            </w:r>
            <w:r>
              <w:rPr>
                <w:rFonts w:ascii="Calibri"/>
                <w:sz w:val="22"/>
              </w:rPr>
              <w:t>RJC</w:t>
            </w:r>
            <w:r>
              <w:rPr>
                <w:rFonts w:ascii="Calibri"/>
                <w:spacing w:val="-5"/>
                <w:sz w:val="22"/>
              </w:rPr>
              <w:t> </w:t>
            </w:r>
            <w:r>
              <w:rPr>
                <w:rFonts w:ascii="Calibri"/>
                <w:sz w:val="22"/>
              </w:rPr>
              <w:t>Sub-Group</w:t>
            </w:r>
            <w:r>
              <w:rPr>
                <w:rFonts w:ascii="Calibri"/>
                <w:spacing w:val="-8"/>
                <w:sz w:val="22"/>
              </w:rPr>
              <w:t> </w:t>
            </w:r>
            <w:r>
              <w:rPr>
                <w:rFonts w:ascii="Calibri"/>
                <w:sz w:val="22"/>
              </w:rPr>
              <w:t>Terms of Reference.</w:t>
            </w:r>
          </w:p>
        </w:tc>
        <w:tc>
          <w:tcPr>
            <w:tcW w:w="1986" w:type="dxa"/>
          </w:tcPr>
          <w:p>
            <w:pPr>
              <w:pStyle w:val="TableParagraph"/>
              <w:rPr>
                <w:rFonts w:ascii="Times New Roman"/>
                <w:sz w:val="20"/>
              </w:rPr>
            </w:pPr>
          </w:p>
        </w:tc>
        <w:tc>
          <w:tcPr>
            <w:tcW w:w="2696" w:type="dxa"/>
          </w:tcPr>
          <w:p>
            <w:pPr>
              <w:pStyle w:val="TableParagraph"/>
              <w:rPr>
                <w:rFonts w:ascii="Times New Roman"/>
                <w:sz w:val="20"/>
              </w:rPr>
            </w:pPr>
          </w:p>
        </w:tc>
        <w:tc>
          <w:tcPr>
            <w:tcW w:w="2266" w:type="dxa"/>
          </w:tcPr>
          <w:p>
            <w:pPr>
              <w:pStyle w:val="TableParagraph"/>
              <w:rPr>
                <w:rFonts w:ascii="Times New Roman"/>
                <w:sz w:val="20"/>
              </w:rPr>
            </w:pPr>
          </w:p>
        </w:tc>
      </w:tr>
      <w:tr>
        <w:trPr>
          <w:trHeight w:val="5652" w:hRule="atLeast"/>
        </w:trPr>
        <w:tc>
          <w:tcPr>
            <w:tcW w:w="4257" w:type="dxa"/>
          </w:tcPr>
          <w:p>
            <w:pPr>
              <w:pStyle w:val="TableParagraph"/>
              <w:ind w:left="110"/>
              <w:rPr>
                <w:rFonts w:ascii="Calibri"/>
                <w:sz w:val="22"/>
              </w:rPr>
            </w:pPr>
            <w:r>
              <w:rPr>
                <w:rFonts w:ascii="Calibri"/>
                <w:sz w:val="22"/>
              </w:rPr>
              <w:t>Action 2: RJC Work Programme Further development of the RJC work programme would support consistent articulation of expected</w:t>
            </w:r>
            <w:r>
              <w:rPr>
                <w:rFonts w:ascii="Calibri"/>
                <w:spacing w:val="-10"/>
                <w:sz w:val="22"/>
              </w:rPr>
              <w:t> </w:t>
            </w:r>
            <w:r>
              <w:rPr>
                <w:rFonts w:ascii="Calibri"/>
                <w:sz w:val="22"/>
              </w:rPr>
              <w:t>outputs</w:t>
            </w:r>
            <w:r>
              <w:rPr>
                <w:rFonts w:ascii="Calibri"/>
                <w:spacing w:val="-11"/>
                <w:sz w:val="22"/>
              </w:rPr>
              <w:t> </w:t>
            </w:r>
            <w:r>
              <w:rPr>
                <w:rFonts w:ascii="Calibri"/>
                <w:sz w:val="22"/>
              </w:rPr>
              <w:t>and</w:t>
            </w:r>
            <w:r>
              <w:rPr>
                <w:rFonts w:ascii="Calibri"/>
                <w:spacing w:val="-11"/>
                <w:sz w:val="22"/>
              </w:rPr>
              <w:t> </w:t>
            </w:r>
            <w:r>
              <w:rPr>
                <w:rFonts w:ascii="Calibri"/>
                <w:sz w:val="22"/>
              </w:rPr>
              <w:t>delivery</w:t>
            </w:r>
            <w:r>
              <w:rPr>
                <w:rFonts w:ascii="Calibri"/>
                <w:spacing w:val="-9"/>
                <w:sz w:val="22"/>
              </w:rPr>
              <w:t> </w:t>
            </w:r>
            <w:r>
              <w:rPr>
                <w:rFonts w:ascii="Calibri"/>
                <w:sz w:val="22"/>
              </w:rPr>
              <w:t>contributions across all subgroups. This could be strengthened through periodic use of a subgroup maturity assessment or view to inform Committee-level oversight and</w:t>
            </w:r>
          </w:p>
          <w:p>
            <w:pPr>
              <w:pStyle w:val="TableParagraph"/>
              <w:spacing w:before="3"/>
              <w:ind w:left="110"/>
              <w:rPr>
                <w:rFonts w:ascii="Calibri"/>
                <w:sz w:val="22"/>
              </w:rPr>
            </w:pPr>
            <w:r>
              <w:rPr>
                <w:rFonts w:ascii="Calibri"/>
                <w:spacing w:val="-2"/>
                <w:sz w:val="22"/>
              </w:rPr>
              <w:t>self-assessment</w:t>
            </w:r>
          </w:p>
        </w:tc>
        <w:tc>
          <w:tcPr>
            <w:tcW w:w="4111" w:type="dxa"/>
          </w:tcPr>
          <w:p>
            <w:pPr>
              <w:pStyle w:val="TableParagraph"/>
              <w:ind w:left="104"/>
              <w:rPr>
                <w:rFonts w:ascii="Calibri"/>
                <w:b/>
                <w:sz w:val="22"/>
              </w:rPr>
            </w:pPr>
            <w:r>
              <w:rPr>
                <w:rFonts w:ascii="Calibri"/>
                <w:b/>
                <w:sz w:val="22"/>
              </w:rPr>
              <w:t>RJC</w:t>
            </w:r>
            <w:r>
              <w:rPr>
                <w:rFonts w:ascii="Calibri"/>
                <w:b/>
                <w:spacing w:val="-3"/>
                <w:sz w:val="22"/>
              </w:rPr>
              <w:t> </w:t>
            </w:r>
            <w:r>
              <w:rPr>
                <w:rFonts w:ascii="Calibri"/>
                <w:b/>
                <w:sz w:val="22"/>
              </w:rPr>
              <w:t>Work</w:t>
            </w:r>
            <w:r>
              <w:rPr>
                <w:rFonts w:ascii="Calibri"/>
                <w:b/>
                <w:spacing w:val="-1"/>
                <w:sz w:val="22"/>
              </w:rPr>
              <w:t> </w:t>
            </w:r>
            <w:r>
              <w:rPr>
                <w:rFonts w:ascii="Calibri"/>
                <w:b/>
                <w:sz w:val="22"/>
              </w:rPr>
              <w:t>Programme</w:t>
            </w:r>
            <w:r>
              <w:rPr>
                <w:rFonts w:ascii="Calibri"/>
                <w:b/>
                <w:spacing w:val="-3"/>
                <w:sz w:val="22"/>
              </w:rPr>
              <w:t> </w:t>
            </w:r>
            <w:r>
              <w:rPr>
                <w:rFonts w:ascii="Calibri"/>
                <w:b/>
                <w:sz w:val="22"/>
              </w:rPr>
              <w:t>and RJC</w:t>
            </w:r>
            <w:r>
              <w:rPr>
                <w:rFonts w:ascii="Calibri"/>
                <w:b/>
                <w:spacing w:val="-4"/>
                <w:sz w:val="22"/>
              </w:rPr>
              <w:t> </w:t>
            </w:r>
            <w:r>
              <w:rPr>
                <w:rFonts w:ascii="Calibri"/>
                <w:b/>
                <w:sz w:val="22"/>
              </w:rPr>
              <w:t>Work</w:t>
            </w:r>
            <w:r>
              <w:rPr>
                <w:rFonts w:ascii="Calibri"/>
                <w:b/>
                <w:spacing w:val="1"/>
                <w:sz w:val="22"/>
              </w:rPr>
              <w:t> </w:t>
            </w:r>
            <w:r>
              <w:rPr>
                <w:rFonts w:ascii="Calibri"/>
                <w:b/>
                <w:spacing w:val="-4"/>
                <w:sz w:val="22"/>
              </w:rPr>
              <w:t>Plan</w:t>
            </w:r>
          </w:p>
          <w:p>
            <w:pPr>
              <w:pStyle w:val="TableParagraph"/>
              <w:spacing w:before="267"/>
              <w:ind w:left="104" w:right="95"/>
              <w:rPr>
                <w:rFonts w:ascii="Calibri"/>
                <w:sz w:val="22"/>
              </w:rPr>
            </w:pPr>
            <w:r>
              <w:rPr>
                <w:rFonts w:ascii="Calibri"/>
                <w:sz w:val="22"/>
              </w:rPr>
              <w:t>The RJC PMO will produce a Work Programme for each RJC meeting setting out expected outputs and delivery contributions.</w:t>
            </w:r>
            <w:r>
              <w:rPr>
                <w:rFonts w:ascii="Calibri"/>
                <w:spacing w:val="35"/>
                <w:sz w:val="22"/>
              </w:rPr>
              <w:t> </w:t>
            </w:r>
            <w:r>
              <w:rPr>
                <w:rFonts w:ascii="Calibri"/>
                <w:sz w:val="22"/>
              </w:rPr>
              <w:t>This</w:t>
            </w:r>
            <w:r>
              <w:rPr>
                <w:rFonts w:ascii="Calibri"/>
                <w:spacing w:val="-8"/>
                <w:sz w:val="22"/>
              </w:rPr>
              <w:t> </w:t>
            </w:r>
            <w:r>
              <w:rPr>
                <w:rFonts w:ascii="Calibri"/>
                <w:sz w:val="22"/>
              </w:rPr>
              <w:t>will</w:t>
            </w:r>
            <w:r>
              <w:rPr>
                <w:rFonts w:ascii="Calibri"/>
                <w:spacing w:val="-7"/>
                <w:sz w:val="22"/>
              </w:rPr>
              <w:t> </w:t>
            </w:r>
            <w:r>
              <w:rPr>
                <w:rFonts w:ascii="Calibri"/>
                <w:sz w:val="22"/>
              </w:rPr>
              <w:t>include</w:t>
            </w:r>
            <w:r>
              <w:rPr>
                <w:rFonts w:ascii="Calibri"/>
                <w:spacing w:val="-7"/>
                <w:sz w:val="22"/>
              </w:rPr>
              <w:t> </w:t>
            </w:r>
            <w:r>
              <w:rPr>
                <w:rFonts w:ascii="Calibri"/>
                <w:sz w:val="22"/>
              </w:rPr>
              <w:t>a</w:t>
            </w:r>
            <w:r>
              <w:rPr>
                <w:rFonts w:ascii="Calibri"/>
                <w:spacing w:val="-8"/>
                <w:sz w:val="22"/>
              </w:rPr>
              <w:t> </w:t>
            </w:r>
            <w:r>
              <w:rPr>
                <w:rFonts w:ascii="Calibri"/>
                <w:sz w:val="22"/>
              </w:rPr>
              <w:t>maturity assessment or view to inform</w:t>
            </w:r>
          </w:p>
          <w:p>
            <w:pPr>
              <w:pStyle w:val="TableParagraph"/>
              <w:spacing w:before="3"/>
              <w:ind w:left="104"/>
              <w:rPr>
                <w:rFonts w:ascii="Calibri"/>
                <w:sz w:val="22"/>
              </w:rPr>
            </w:pPr>
            <w:r>
              <w:rPr>
                <w:rFonts w:ascii="Calibri"/>
                <w:sz w:val="22"/>
              </w:rPr>
              <w:t>Committee-level</w:t>
            </w:r>
            <w:r>
              <w:rPr>
                <w:rFonts w:ascii="Calibri"/>
                <w:spacing w:val="-3"/>
                <w:sz w:val="22"/>
              </w:rPr>
              <w:t> </w:t>
            </w:r>
            <w:r>
              <w:rPr>
                <w:rFonts w:ascii="Calibri"/>
                <w:sz w:val="22"/>
              </w:rPr>
              <w:t>oversight</w:t>
            </w:r>
            <w:r>
              <w:rPr>
                <w:rFonts w:ascii="Calibri"/>
                <w:spacing w:val="-1"/>
                <w:sz w:val="22"/>
              </w:rPr>
              <w:t> </w:t>
            </w:r>
            <w:r>
              <w:rPr>
                <w:rFonts w:ascii="Calibri"/>
                <w:spacing w:val="-5"/>
                <w:sz w:val="22"/>
              </w:rPr>
              <w:t>and</w:t>
            </w:r>
          </w:p>
          <w:p>
            <w:pPr>
              <w:pStyle w:val="TableParagraph"/>
              <w:spacing w:before="1"/>
              <w:ind w:left="104" w:right="204"/>
              <w:rPr>
                <w:rFonts w:ascii="Calibri"/>
                <w:sz w:val="22"/>
              </w:rPr>
            </w:pPr>
            <w:r>
              <w:rPr>
                <w:rFonts w:ascii="Calibri"/>
                <w:sz w:val="22"/>
              </w:rPr>
              <w:t>self-assessment,</w:t>
            </w:r>
            <w:r>
              <w:rPr>
                <w:rFonts w:ascii="Calibri"/>
                <w:spacing w:val="-9"/>
                <w:sz w:val="22"/>
              </w:rPr>
              <w:t> </w:t>
            </w:r>
            <w:r>
              <w:rPr>
                <w:rFonts w:ascii="Calibri"/>
                <w:sz w:val="22"/>
              </w:rPr>
              <w:t>as</w:t>
            </w:r>
            <w:r>
              <w:rPr>
                <w:rFonts w:ascii="Calibri"/>
                <w:spacing w:val="-12"/>
                <w:sz w:val="22"/>
              </w:rPr>
              <w:t> </w:t>
            </w:r>
            <w:r>
              <w:rPr>
                <w:rFonts w:ascii="Calibri"/>
                <w:sz w:val="22"/>
              </w:rPr>
              <w:t>identified</w:t>
            </w:r>
            <w:r>
              <w:rPr>
                <w:rFonts w:ascii="Calibri"/>
                <w:spacing w:val="-11"/>
                <w:sz w:val="22"/>
              </w:rPr>
              <w:t> </w:t>
            </w:r>
            <w:r>
              <w:rPr>
                <w:rFonts w:ascii="Calibri"/>
                <w:sz w:val="22"/>
              </w:rPr>
              <w:t>in</w:t>
            </w:r>
            <w:r>
              <w:rPr>
                <w:rFonts w:ascii="Calibri"/>
                <w:spacing w:val="-11"/>
                <w:sz w:val="22"/>
              </w:rPr>
              <w:t> </w:t>
            </w:r>
            <w:r>
              <w:rPr>
                <w:rFonts w:ascii="Calibri"/>
                <w:sz w:val="22"/>
              </w:rPr>
              <w:t>Appendix A and B of the Internal Audit RJC Governance Arrangements Advisory </w:t>
            </w:r>
            <w:r>
              <w:rPr>
                <w:rFonts w:ascii="Calibri"/>
                <w:spacing w:val="-2"/>
                <w:sz w:val="22"/>
              </w:rPr>
              <w:t>Report.</w:t>
            </w:r>
          </w:p>
          <w:p>
            <w:pPr>
              <w:pStyle w:val="TableParagraph"/>
              <w:spacing w:before="267"/>
              <w:ind w:left="104" w:right="95"/>
              <w:rPr>
                <w:rFonts w:ascii="Calibri" w:hAnsi="Calibri"/>
                <w:sz w:val="22"/>
              </w:rPr>
            </w:pPr>
            <w:r>
              <w:rPr>
                <w:rFonts w:ascii="Calibri" w:hAnsi="Calibri"/>
                <w:sz w:val="22"/>
              </w:rPr>
              <w:t>A</w:t>
            </w:r>
            <w:r>
              <w:rPr>
                <w:rFonts w:ascii="Calibri" w:hAnsi="Calibri"/>
                <w:spacing w:val="-5"/>
                <w:sz w:val="22"/>
              </w:rPr>
              <w:t> </w:t>
            </w:r>
            <w:r>
              <w:rPr>
                <w:rFonts w:ascii="Calibri" w:hAnsi="Calibri"/>
                <w:sz w:val="22"/>
              </w:rPr>
              <w:t>further strengthening</w:t>
            </w:r>
            <w:r>
              <w:rPr>
                <w:rFonts w:ascii="Calibri" w:hAnsi="Calibri"/>
                <w:spacing w:val="-2"/>
                <w:sz w:val="22"/>
              </w:rPr>
              <w:t> </w:t>
            </w:r>
            <w:r>
              <w:rPr>
                <w:rFonts w:ascii="Calibri" w:hAnsi="Calibri"/>
                <w:sz w:val="22"/>
              </w:rPr>
              <w:t>of</w:t>
            </w:r>
            <w:r>
              <w:rPr>
                <w:rFonts w:ascii="Calibri" w:hAnsi="Calibri"/>
                <w:spacing w:val="-5"/>
                <w:sz w:val="22"/>
              </w:rPr>
              <w:t> </w:t>
            </w:r>
            <w:r>
              <w:rPr>
                <w:rFonts w:ascii="Calibri" w:hAnsi="Calibri"/>
                <w:sz w:val="22"/>
              </w:rPr>
              <w:t>key</w:t>
            </w:r>
            <w:r>
              <w:rPr>
                <w:rFonts w:ascii="Calibri" w:hAnsi="Calibri"/>
                <w:spacing w:val="-2"/>
                <w:sz w:val="22"/>
              </w:rPr>
              <w:t> </w:t>
            </w:r>
            <w:r>
              <w:rPr>
                <w:rFonts w:ascii="Calibri" w:hAnsi="Calibri"/>
                <w:sz w:val="22"/>
              </w:rPr>
              <w:t>outputs</w:t>
            </w:r>
            <w:r>
              <w:rPr>
                <w:rFonts w:ascii="Calibri" w:hAnsi="Calibri"/>
                <w:spacing w:val="-4"/>
                <w:sz w:val="22"/>
              </w:rPr>
              <w:t> </w:t>
            </w:r>
            <w:r>
              <w:rPr>
                <w:rFonts w:ascii="Calibri" w:hAnsi="Calibri"/>
                <w:sz w:val="22"/>
              </w:rPr>
              <w:t>and delivery</w:t>
            </w:r>
            <w:r>
              <w:rPr>
                <w:rFonts w:ascii="Calibri" w:hAnsi="Calibri"/>
                <w:spacing w:val="-8"/>
                <w:sz w:val="22"/>
              </w:rPr>
              <w:t> </w:t>
            </w:r>
            <w:r>
              <w:rPr>
                <w:rFonts w:ascii="Calibri" w:hAnsi="Calibri"/>
                <w:sz w:val="22"/>
              </w:rPr>
              <w:t>reporting</w:t>
            </w:r>
            <w:r>
              <w:rPr>
                <w:rFonts w:ascii="Calibri" w:hAnsi="Calibri"/>
                <w:spacing w:val="-7"/>
                <w:sz w:val="22"/>
              </w:rPr>
              <w:t> </w:t>
            </w:r>
            <w:r>
              <w:rPr>
                <w:rFonts w:ascii="Calibri" w:hAnsi="Calibri"/>
                <w:sz w:val="22"/>
              </w:rPr>
              <w:t>will</w:t>
            </w:r>
            <w:r>
              <w:rPr>
                <w:rFonts w:ascii="Calibri" w:hAnsi="Calibri"/>
                <w:spacing w:val="-8"/>
                <w:sz w:val="22"/>
              </w:rPr>
              <w:t> </w:t>
            </w:r>
            <w:r>
              <w:rPr>
                <w:rFonts w:ascii="Calibri" w:hAnsi="Calibri"/>
                <w:sz w:val="22"/>
              </w:rPr>
              <w:t>be</w:t>
            </w:r>
            <w:r>
              <w:rPr>
                <w:rFonts w:ascii="Calibri" w:hAnsi="Calibri"/>
                <w:spacing w:val="-8"/>
                <w:sz w:val="22"/>
              </w:rPr>
              <w:t> </w:t>
            </w:r>
            <w:r>
              <w:rPr>
                <w:rFonts w:ascii="Calibri" w:hAnsi="Calibri"/>
                <w:sz w:val="22"/>
              </w:rPr>
              <w:t>achieved</w:t>
            </w:r>
            <w:r>
              <w:rPr>
                <w:rFonts w:ascii="Calibri" w:hAnsi="Calibri"/>
                <w:spacing w:val="-9"/>
                <w:sz w:val="22"/>
              </w:rPr>
              <w:t> </w:t>
            </w:r>
            <w:r>
              <w:rPr>
                <w:rFonts w:ascii="Calibri" w:hAnsi="Calibri"/>
                <w:sz w:val="22"/>
              </w:rPr>
              <w:t>by</w:t>
            </w:r>
            <w:r>
              <w:rPr>
                <w:rFonts w:ascii="Calibri" w:hAnsi="Calibri"/>
                <w:spacing w:val="-8"/>
                <w:sz w:val="22"/>
              </w:rPr>
              <w:t> </w:t>
            </w:r>
            <w:r>
              <w:rPr>
                <w:rFonts w:ascii="Calibri" w:hAnsi="Calibri"/>
                <w:sz w:val="22"/>
              </w:rPr>
              <w:t>using the Regional Joint Committee – Annual Work Plan 2026/27 to schedule specific performance reports from Sub-Groups for key outputs, outcomes and anticipated performance improvements.</w:t>
            </w:r>
          </w:p>
        </w:tc>
        <w:tc>
          <w:tcPr>
            <w:tcW w:w="1986" w:type="dxa"/>
          </w:tcPr>
          <w:p>
            <w:pPr>
              <w:pStyle w:val="TableParagraph"/>
              <w:ind w:left="14"/>
              <w:jc w:val="center"/>
              <w:rPr>
                <w:rFonts w:ascii="Calibri"/>
                <w:sz w:val="22"/>
              </w:rPr>
            </w:pPr>
            <w:r>
              <w:rPr>
                <w:rFonts w:ascii="Calibri"/>
                <w:sz w:val="22"/>
              </w:rPr>
              <w:t>RJC</w:t>
            </w:r>
            <w:r>
              <w:rPr>
                <w:rFonts w:ascii="Calibri"/>
                <w:spacing w:val="1"/>
                <w:sz w:val="22"/>
              </w:rPr>
              <w:t> </w:t>
            </w:r>
            <w:r>
              <w:rPr>
                <w:rFonts w:ascii="Calibri"/>
                <w:spacing w:val="-5"/>
                <w:sz w:val="22"/>
              </w:rPr>
              <w:t>PMO</w:t>
            </w:r>
          </w:p>
        </w:tc>
        <w:tc>
          <w:tcPr>
            <w:tcW w:w="2696" w:type="dxa"/>
          </w:tcPr>
          <w:p>
            <w:pPr>
              <w:pStyle w:val="TableParagraph"/>
              <w:ind w:left="1" w:right="1"/>
              <w:jc w:val="center"/>
              <w:rPr>
                <w:rFonts w:ascii="Calibri"/>
                <w:sz w:val="22"/>
              </w:rPr>
            </w:pPr>
            <w:r>
              <w:rPr>
                <w:rFonts w:ascii="Calibri"/>
                <w:spacing w:val="-2"/>
                <w:sz w:val="22"/>
              </w:rPr>
              <w:t>13/10/2026</w:t>
            </w:r>
          </w:p>
        </w:tc>
        <w:tc>
          <w:tcPr>
            <w:tcW w:w="2266" w:type="dxa"/>
          </w:tcPr>
          <w:p>
            <w:pPr>
              <w:pStyle w:val="TableParagraph"/>
              <w:ind w:left="104" w:right="103"/>
              <w:rPr>
                <w:rFonts w:ascii="Calibri"/>
                <w:sz w:val="22"/>
              </w:rPr>
            </w:pPr>
            <w:r>
              <w:rPr>
                <w:rFonts w:ascii="Calibri"/>
                <w:sz w:val="22"/>
              </w:rPr>
              <w:t>RJC</w:t>
            </w:r>
            <w:r>
              <w:rPr>
                <w:rFonts w:ascii="Calibri"/>
                <w:spacing w:val="-13"/>
                <w:sz w:val="22"/>
              </w:rPr>
              <w:t> </w:t>
            </w:r>
            <w:r>
              <w:rPr>
                <w:rFonts w:ascii="Calibri"/>
                <w:sz w:val="22"/>
              </w:rPr>
              <w:t>Work</w:t>
            </w:r>
            <w:r>
              <w:rPr>
                <w:rFonts w:ascii="Calibri"/>
                <w:spacing w:val="-12"/>
                <w:sz w:val="22"/>
              </w:rPr>
              <w:t> </w:t>
            </w:r>
            <w:r>
              <w:rPr>
                <w:rFonts w:ascii="Calibri"/>
                <w:sz w:val="22"/>
              </w:rPr>
              <w:t>Programme presented to RJC</w:t>
            </w:r>
          </w:p>
          <w:p>
            <w:pPr>
              <w:pStyle w:val="TableParagraph"/>
              <w:rPr>
                <w:rFonts w:ascii="Calibri"/>
                <w:sz w:val="22"/>
              </w:rPr>
            </w:pPr>
          </w:p>
          <w:p>
            <w:pPr>
              <w:pStyle w:val="TableParagraph"/>
              <w:ind w:left="104" w:right="103"/>
              <w:rPr>
                <w:rFonts w:ascii="Calibri"/>
                <w:sz w:val="22"/>
              </w:rPr>
            </w:pPr>
            <w:r>
              <w:rPr>
                <w:rFonts w:ascii="Calibri"/>
                <w:sz w:val="22"/>
              </w:rPr>
              <w:t>RJC</w:t>
            </w:r>
            <w:r>
              <w:rPr>
                <w:rFonts w:ascii="Calibri"/>
                <w:spacing w:val="-13"/>
                <w:sz w:val="22"/>
              </w:rPr>
              <w:t> </w:t>
            </w:r>
            <w:r>
              <w:rPr>
                <w:rFonts w:ascii="Calibri"/>
                <w:sz w:val="22"/>
              </w:rPr>
              <w:t>Annual</w:t>
            </w:r>
            <w:r>
              <w:rPr>
                <w:rFonts w:ascii="Calibri"/>
                <w:spacing w:val="-12"/>
                <w:sz w:val="22"/>
              </w:rPr>
              <w:t> </w:t>
            </w:r>
            <w:r>
              <w:rPr>
                <w:rFonts w:ascii="Calibri"/>
                <w:sz w:val="22"/>
              </w:rPr>
              <w:t>Work</w:t>
            </w:r>
            <w:r>
              <w:rPr>
                <w:rFonts w:ascii="Calibri"/>
                <w:spacing w:val="-13"/>
                <w:sz w:val="22"/>
              </w:rPr>
              <w:t> </w:t>
            </w:r>
            <w:r>
              <w:rPr>
                <w:rFonts w:ascii="Calibri"/>
                <w:sz w:val="22"/>
              </w:rPr>
              <w:t>Plan 2026/27 used to schedule specific performance reports</w:t>
            </w:r>
          </w:p>
        </w:tc>
      </w:tr>
      <w:tr>
        <w:trPr>
          <w:trHeight w:val="2415" w:hRule="atLeast"/>
        </w:trPr>
        <w:tc>
          <w:tcPr>
            <w:tcW w:w="4257" w:type="dxa"/>
          </w:tcPr>
          <w:p>
            <w:pPr>
              <w:pStyle w:val="TableParagraph"/>
              <w:ind w:left="110" w:right="162"/>
              <w:rPr>
                <w:rFonts w:ascii="Calibri"/>
                <w:sz w:val="22"/>
              </w:rPr>
            </w:pPr>
            <w:r>
              <w:rPr>
                <w:rFonts w:ascii="Calibri"/>
                <w:sz w:val="22"/>
              </w:rPr>
              <w:t>Action</w:t>
            </w:r>
            <w:r>
              <w:rPr>
                <w:rFonts w:ascii="Calibri"/>
                <w:spacing w:val="-9"/>
                <w:sz w:val="22"/>
              </w:rPr>
              <w:t> </w:t>
            </w:r>
            <w:r>
              <w:rPr>
                <w:rFonts w:ascii="Calibri"/>
                <w:sz w:val="22"/>
              </w:rPr>
              <w:t>3:</w:t>
            </w:r>
            <w:r>
              <w:rPr>
                <w:rFonts w:ascii="Calibri"/>
                <w:spacing w:val="-8"/>
                <w:sz w:val="22"/>
              </w:rPr>
              <w:t> </w:t>
            </w:r>
            <w:r>
              <w:rPr>
                <w:rFonts w:ascii="Calibri"/>
                <w:sz w:val="22"/>
              </w:rPr>
              <w:t>Strengthen</w:t>
            </w:r>
            <w:r>
              <w:rPr>
                <w:rFonts w:ascii="Calibri"/>
                <w:spacing w:val="-9"/>
                <w:sz w:val="22"/>
              </w:rPr>
              <w:t> </w:t>
            </w:r>
            <w:r>
              <w:rPr>
                <w:rFonts w:ascii="Calibri"/>
                <w:sz w:val="22"/>
              </w:rPr>
              <w:t>formal</w:t>
            </w:r>
            <w:r>
              <w:rPr>
                <w:rFonts w:ascii="Calibri"/>
                <w:spacing w:val="-9"/>
                <w:sz w:val="22"/>
              </w:rPr>
              <w:t> </w:t>
            </w:r>
            <w:r>
              <w:rPr>
                <w:rFonts w:ascii="Calibri"/>
                <w:sz w:val="22"/>
              </w:rPr>
              <w:t>governance</w:t>
            </w:r>
            <w:r>
              <w:rPr>
                <w:rFonts w:ascii="Calibri"/>
                <w:spacing w:val="-8"/>
                <w:sz w:val="22"/>
              </w:rPr>
              <w:t> </w:t>
            </w:r>
            <w:r>
              <w:rPr>
                <w:rFonts w:ascii="Calibri"/>
                <w:sz w:val="22"/>
              </w:rPr>
              <w:t>and documentation discipline Formalising and standardising governance arrangements across all subgroups would strengthen documentation discipline. This includes ensuring Terms of Reference are approved, documentation is maintained and up to date, and consistent standards (such as</w:t>
            </w:r>
          </w:p>
          <w:p>
            <w:pPr>
              <w:pStyle w:val="TableParagraph"/>
              <w:spacing w:line="249" w:lineRule="exact"/>
              <w:ind w:left="110"/>
              <w:rPr>
                <w:rFonts w:ascii="Calibri"/>
                <w:sz w:val="22"/>
              </w:rPr>
            </w:pPr>
            <w:r>
              <w:rPr>
                <w:rFonts w:ascii="Calibri"/>
                <w:sz w:val="22"/>
              </w:rPr>
              <w:t>version</w:t>
            </w:r>
            <w:r>
              <w:rPr>
                <w:rFonts w:ascii="Calibri"/>
                <w:spacing w:val="-6"/>
                <w:sz w:val="22"/>
              </w:rPr>
              <w:t> </w:t>
            </w:r>
            <w:r>
              <w:rPr>
                <w:rFonts w:ascii="Calibri"/>
                <w:sz w:val="22"/>
              </w:rPr>
              <w:t>control</w:t>
            </w:r>
            <w:r>
              <w:rPr>
                <w:rFonts w:ascii="Calibri"/>
                <w:spacing w:val="-2"/>
                <w:sz w:val="22"/>
              </w:rPr>
              <w:t> </w:t>
            </w:r>
            <w:r>
              <w:rPr>
                <w:rFonts w:ascii="Calibri"/>
                <w:sz w:val="22"/>
              </w:rPr>
              <w:t>and</w:t>
            </w:r>
            <w:r>
              <w:rPr>
                <w:rFonts w:ascii="Calibri"/>
                <w:spacing w:val="-4"/>
                <w:sz w:val="22"/>
              </w:rPr>
              <w:t> </w:t>
            </w:r>
            <w:r>
              <w:rPr>
                <w:rFonts w:ascii="Calibri"/>
                <w:sz w:val="22"/>
              </w:rPr>
              <w:t>clear</w:t>
            </w:r>
            <w:r>
              <w:rPr>
                <w:rFonts w:ascii="Calibri"/>
                <w:spacing w:val="-4"/>
                <w:sz w:val="22"/>
              </w:rPr>
              <w:t> </w:t>
            </w:r>
            <w:r>
              <w:rPr>
                <w:rFonts w:ascii="Calibri"/>
                <w:sz w:val="22"/>
              </w:rPr>
              <w:t>articulation</w:t>
            </w:r>
            <w:r>
              <w:rPr>
                <w:rFonts w:ascii="Calibri"/>
                <w:spacing w:val="-3"/>
                <w:sz w:val="22"/>
              </w:rPr>
              <w:t> </w:t>
            </w:r>
            <w:r>
              <w:rPr>
                <w:rFonts w:ascii="Calibri"/>
                <w:spacing w:val="-5"/>
                <w:sz w:val="22"/>
              </w:rPr>
              <w:t>of</w:t>
            </w:r>
          </w:p>
        </w:tc>
        <w:tc>
          <w:tcPr>
            <w:tcW w:w="4111" w:type="dxa"/>
          </w:tcPr>
          <w:p>
            <w:pPr>
              <w:pStyle w:val="TableParagraph"/>
              <w:spacing w:line="242" w:lineRule="auto"/>
              <w:ind w:left="104"/>
              <w:rPr>
                <w:rFonts w:ascii="Calibri"/>
                <w:b/>
                <w:sz w:val="22"/>
              </w:rPr>
            </w:pPr>
            <w:r>
              <w:rPr>
                <w:rFonts w:ascii="Calibri"/>
                <w:b/>
                <w:sz w:val="22"/>
              </w:rPr>
              <w:t>PowerPoint</w:t>
            </w:r>
            <w:r>
              <w:rPr>
                <w:rFonts w:ascii="Calibri"/>
                <w:b/>
                <w:spacing w:val="-13"/>
                <w:sz w:val="22"/>
              </w:rPr>
              <w:t> </w:t>
            </w:r>
            <w:r>
              <w:rPr>
                <w:rFonts w:ascii="Calibri"/>
                <w:b/>
                <w:sz w:val="22"/>
              </w:rPr>
              <w:t>Programme</w:t>
            </w:r>
            <w:r>
              <w:rPr>
                <w:rFonts w:ascii="Calibri"/>
                <w:b/>
                <w:spacing w:val="-12"/>
                <w:sz w:val="22"/>
              </w:rPr>
              <w:t> </w:t>
            </w:r>
            <w:r>
              <w:rPr>
                <w:rFonts w:ascii="Calibri"/>
                <w:b/>
                <w:sz w:val="22"/>
              </w:rPr>
              <w:t>Summaries</w:t>
            </w:r>
            <w:r>
              <w:rPr>
                <w:rFonts w:ascii="Calibri"/>
                <w:b/>
                <w:spacing w:val="-13"/>
                <w:sz w:val="22"/>
              </w:rPr>
              <w:t> </w:t>
            </w:r>
            <w:r>
              <w:rPr>
                <w:rFonts w:ascii="Calibri"/>
                <w:b/>
                <w:sz w:val="22"/>
              </w:rPr>
              <w:t>linked to AAA Update Reports</w:t>
            </w:r>
          </w:p>
          <w:p>
            <w:pPr>
              <w:pStyle w:val="TableParagraph"/>
              <w:spacing w:before="258"/>
              <w:ind w:left="104"/>
              <w:rPr>
                <w:rFonts w:ascii="Calibri"/>
                <w:sz w:val="22"/>
              </w:rPr>
            </w:pPr>
            <w:r>
              <w:rPr>
                <w:rFonts w:ascii="Calibri"/>
                <w:sz w:val="22"/>
              </w:rPr>
              <w:t>Documentation</w:t>
            </w:r>
            <w:r>
              <w:rPr>
                <w:rFonts w:ascii="Calibri"/>
                <w:spacing w:val="-12"/>
                <w:sz w:val="22"/>
              </w:rPr>
              <w:t> </w:t>
            </w:r>
            <w:r>
              <w:rPr>
                <w:rFonts w:ascii="Calibri"/>
                <w:sz w:val="22"/>
              </w:rPr>
              <w:t>discipline</w:t>
            </w:r>
            <w:r>
              <w:rPr>
                <w:rFonts w:ascii="Calibri"/>
                <w:spacing w:val="-11"/>
                <w:sz w:val="22"/>
              </w:rPr>
              <w:t> </w:t>
            </w:r>
            <w:r>
              <w:rPr>
                <w:rFonts w:ascii="Calibri"/>
                <w:sz w:val="22"/>
              </w:rPr>
              <w:t>will</w:t>
            </w:r>
            <w:r>
              <w:rPr>
                <w:rFonts w:ascii="Calibri"/>
                <w:spacing w:val="-11"/>
                <w:sz w:val="22"/>
              </w:rPr>
              <w:t> </w:t>
            </w:r>
            <w:r>
              <w:rPr>
                <w:rFonts w:ascii="Calibri"/>
                <w:sz w:val="22"/>
              </w:rPr>
              <w:t>be</w:t>
            </w:r>
            <w:r>
              <w:rPr>
                <w:rFonts w:ascii="Calibri"/>
                <w:spacing w:val="-11"/>
                <w:sz w:val="22"/>
              </w:rPr>
              <w:t> </w:t>
            </w:r>
            <w:r>
              <w:rPr>
                <w:rFonts w:ascii="Calibri"/>
                <w:sz w:val="22"/>
              </w:rPr>
              <w:t>addressed through a clear articulation of workstream purpose, outputs and responsibilities through the regular and routine Work Programme Summary (PP Slides) capturing</w:t>
            </w:r>
          </w:p>
          <w:p>
            <w:pPr>
              <w:pStyle w:val="TableParagraph"/>
              <w:spacing w:line="249" w:lineRule="exact" w:before="3"/>
              <w:ind w:left="104"/>
              <w:rPr>
                <w:rFonts w:ascii="Calibri"/>
                <w:sz w:val="22"/>
              </w:rPr>
            </w:pPr>
            <w:r>
              <w:rPr>
                <w:rFonts w:ascii="Calibri"/>
                <w:sz w:val="22"/>
              </w:rPr>
              <w:t>scope;</w:t>
            </w:r>
            <w:r>
              <w:rPr>
                <w:rFonts w:ascii="Calibri"/>
                <w:spacing w:val="-3"/>
                <w:sz w:val="22"/>
              </w:rPr>
              <w:t> </w:t>
            </w:r>
            <w:r>
              <w:rPr>
                <w:rFonts w:ascii="Calibri"/>
                <w:sz w:val="22"/>
              </w:rPr>
              <w:t>ambition</w:t>
            </w:r>
            <w:r>
              <w:rPr>
                <w:rFonts w:ascii="Calibri"/>
                <w:spacing w:val="-3"/>
                <w:sz w:val="22"/>
              </w:rPr>
              <w:t> </w:t>
            </w:r>
            <w:r>
              <w:rPr>
                <w:rFonts w:ascii="Calibri"/>
                <w:sz w:val="22"/>
              </w:rPr>
              <w:t>statement;</w:t>
            </w:r>
            <w:r>
              <w:rPr>
                <w:rFonts w:ascii="Calibri"/>
                <w:spacing w:val="-2"/>
                <w:sz w:val="22"/>
              </w:rPr>
              <w:t> objective</w:t>
            </w:r>
          </w:p>
        </w:tc>
        <w:tc>
          <w:tcPr>
            <w:tcW w:w="1986" w:type="dxa"/>
          </w:tcPr>
          <w:p>
            <w:pPr>
              <w:pStyle w:val="TableParagraph"/>
              <w:spacing w:line="264" w:lineRule="exact"/>
              <w:ind w:left="14" w:right="1"/>
              <w:jc w:val="center"/>
              <w:rPr>
                <w:rFonts w:ascii="Calibri"/>
                <w:sz w:val="22"/>
              </w:rPr>
            </w:pPr>
            <w:r>
              <w:rPr>
                <w:rFonts w:ascii="Calibri"/>
                <w:sz w:val="22"/>
              </w:rPr>
              <w:t>RJC </w:t>
            </w:r>
            <w:r>
              <w:rPr>
                <w:rFonts w:ascii="Calibri"/>
                <w:spacing w:val="-5"/>
                <w:sz w:val="22"/>
              </w:rPr>
              <w:t>PMO</w:t>
            </w:r>
          </w:p>
        </w:tc>
        <w:tc>
          <w:tcPr>
            <w:tcW w:w="2696" w:type="dxa"/>
          </w:tcPr>
          <w:p>
            <w:pPr>
              <w:pStyle w:val="TableParagraph"/>
              <w:spacing w:line="264" w:lineRule="exact"/>
              <w:ind w:left="1" w:right="1"/>
              <w:jc w:val="center"/>
              <w:rPr>
                <w:rFonts w:ascii="Calibri"/>
                <w:sz w:val="22"/>
              </w:rPr>
            </w:pPr>
            <w:r>
              <w:rPr>
                <w:rFonts w:ascii="Calibri"/>
                <w:spacing w:val="-2"/>
                <w:sz w:val="22"/>
              </w:rPr>
              <w:t>05/02/2027</w:t>
            </w:r>
          </w:p>
        </w:tc>
        <w:tc>
          <w:tcPr>
            <w:tcW w:w="2266" w:type="dxa"/>
          </w:tcPr>
          <w:p>
            <w:pPr>
              <w:pStyle w:val="TableParagraph"/>
              <w:ind w:left="104" w:right="192"/>
              <w:rPr>
                <w:rFonts w:ascii="Calibri"/>
                <w:sz w:val="22"/>
              </w:rPr>
            </w:pPr>
            <w:r>
              <w:rPr>
                <w:rFonts w:ascii="Calibri"/>
                <w:sz w:val="22"/>
              </w:rPr>
              <w:t>Completed Work Programme</w:t>
            </w:r>
            <w:r>
              <w:rPr>
                <w:rFonts w:ascii="Calibri"/>
                <w:spacing w:val="-13"/>
                <w:sz w:val="22"/>
              </w:rPr>
              <w:t> </w:t>
            </w:r>
            <w:r>
              <w:rPr>
                <w:rFonts w:ascii="Calibri"/>
                <w:sz w:val="22"/>
              </w:rPr>
              <w:t>Summary (PP Slides) for each RJC Sub-Group.</w:t>
            </w:r>
          </w:p>
          <w:p>
            <w:pPr>
              <w:pStyle w:val="TableParagraph"/>
              <w:spacing w:before="266"/>
              <w:ind w:left="104" w:right="103"/>
              <w:rPr>
                <w:rFonts w:ascii="Calibri"/>
                <w:sz w:val="22"/>
              </w:rPr>
            </w:pPr>
            <w:r>
              <w:rPr>
                <w:rFonts w:ascii="Calibri"/>
                <w:spacing w:val="-2"/>
                <w:sz w:val="22"/>
              </w:rPr>
              <w:t>Performance</w:t>
            </w:r>
            <w:r>
              <w:rPr>
                <w:rFonts w:ascii="Calibri"/>
                <w:spacing w:val="-4"/>
                <w:sz w:val="22"/>
              </w:rPr>
              <w:t> </w:t>
            </w:r>
            <w:r>
              <w:rPr>
                <w:rFonts w:ascii="Calibri"/>
                <w:spacing w:val="-2"/>
                <w:sz w:val="22"/>
              </w:rPr>
              <w:t>routinely </w:t>
            </w:r>
            <w:r>
              <w:rPr>
                <w:rFonts w:ascii="Calibri"/>
                <w:sz w:val="22"/>
              </w:rPr>
              <w:t>reported for each RJC </w:t>
            </w:r>
            <w:r>
              <w:rPr>
                <w:rFonts w:ascii="Calibri"/>
                <w:spacing w:val="-2"/>
                <w:sz w:val="22"/>
              </w:rPr>
              <w:t>meeting.</w:t>
            </w:r>
          </w:p>
        </w:tc>
      </w:tr>
    </w:tbl>
    <w:p>
      <w:pPr>
        <w:pStyle w:val="BodyText"/>
        <w:spacing w:before="43"/>
        <w:rPr>
          <w:rFonts w:ascii="Calibri"/>
          <w:sz w:val="22"/>
        </w:rPr>
      </w:pPr>
    </w:p>
    <w:p>
      <w:pPr>
        <w:spacing w:before="1"/>
        <w:ind w:left="0" w:right="1289" w:firstLine="0"/>
        <w:jc w:val="right"/>
        <w:rPr>
          <w:rFonts w:ascii="Calibri"/>
          <w:sz w:val="22"/>
        </w:rPr>
      </w:pPr>
      <w:r>
        <w:rPr>
          <w:rFonts w:ascii="Calibri"/>
          <w:spacing w:val="-10"/>
          <w:sz w:val="22"/>
        </w:rPr>
        <w:t>4</w:t>
      </w:r>
    </w:p>
    <w:p>
      <w:pPr>
        <w:spacing w:after="0"/>
        <w:jc w:val="right"/>
        <w:rPr>
          <w:rFonts w:ascii="Calibri"/>
          <w:sz w:val="22"/>
        </w:rPr>
        <w:sectPr>
          <w:pgSz w:w="16840" w:h="11910" w:orient="landscape"/>
          <w:pgMar w:header="0" w:footer="198" w:top="1340" w:bottom="380" w:left="141" w:right="142"/>
        </w:sectPr>
      </w:pPr>
    </w:p>
    <w:p>
      <w:pPr>
        <w:pStyle w:val="BodyText"/>
        <w:spacing w:before="10"/>
        <w:rPr>
          <w:rFonts w:ascii="Calibri"/>
          <w:sz w:val="7"/>
        </w:rPr>
      </w:pPr>
    </w:p>
    <w:tbl>
      <w:tblPr>
        <w:tblW w:w="0" w:type="auto"/>
        <w:jc w:val="left"/>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7"/>
        <w:gridCol w:w="4111"/>
        <w:gridCol w:w="1986"/>
        <w:gridCol w:w="2696"/>
        <w:gridCol w:w="2266"/>
      </w:tblGrid>
      <w:tr>
        <w:trPr>
          <w:trHeight w:val="8863" w:hRule="atLeast"/>
        </w:trPr>
        <w:tc>
          <w:tcPr>
            <w:tcW w:w="4257" w:type="dxa"/>
          </w:tcPr>
          <w:p>
            <w:pPr>
              <w:pStyle w:val="TableParagraph"/>
              <w:spacing w:line="237" w:lineRule="auto" w:before="2"/>
              <w:ind w:left="110"/>
              <w:rPr>
                <w:rFonts w:ascii="Calibri"/>
                <w:sz w:val="22"/>
              </w:rPr>
            </w:pPr>
            <w:r>
              <w:rPr>
                <w:rFonts w:ascii="Calibri"/>
                <w:sz w:val="22"/>
              </w:rPr>
              <w:t>purpose,</w:t>
            </w:r>
            <w:r>
              <w:rPr>
                <w:rFonts w:ascii="Calibri"/>
                <w:spacing w:val="-11"/>
                <w:sz w:val="22"/>
              </w:rPr>
              <w:t> </w:t>
            </w:r>
            <w:r>
              <w:rPr>
                <w:rFonts w:ascii="Calibri"/>
                <w:sz w:val="22"/>
              </w:rPr>
              <w:t>outputs</w:t>
            </w:r>
            <w:r>
              <w:rPr>
                <w:rFonts w:ascii="Calibri"/>
                <w:spacing w:val="-13"/>
                <w:sz w:val="22"/>
              </w:rPr>
              <w:t> </w:t>
            </w:r>
            <w:r>
              <w:rPr>
                <w:rFonts w:ascii="Calibri"/>
                <w:sz w:val="22"/>
              </w:rPr>
              <w:t>and</w:t>
            </w:r>
            <w:r>
              <w:rPr>
                <w:rFonts w:ascii="Calibri"/>
                <w:spacing w:val="-8"/>
                <w:sz w:val="22"/>
              </w:rPr>
              <w:t> </w:t>
            </w:r>
            <w:r>
              <w:rPr>
                <w:rFonts w:ascii="Calibri"/>
                <w:sz w:val="22"/>
              </w:rPr>
              <w:t>responsibilities)</w:t>
            </w:r>
            <w:r>
              <w:rPr>
                <w:rFonts w:ascii="Calibri"/>
                <w:spacing w:val="-13"/>
                <w:sz w:val="22"/>
              </w:rPr>
              <w:t> </w:t>
            </w:r>
            <w:r>
              <w:rPr>
                <w:rFonts w:ascii="Calibri"/>
                <w:sz w:val="22"/>
              </w:rPr>
              <w:t>are </w:t>
            </w:r>
            <w:r>
              <w:rPr>
                <w:rFonts w:ascii="Calibri"/>
                <w:spacing w:val="-2"/>
                <w:sz w:val="22"/>
              </w:rPr>
              <w:t>applied.</w:t>
            </w:r>
          </w:p>
          <w:p>
            <w:pPr>
              <w:pStyle w:val="TableParagraph"/>
              <w:spacing w:before="3"/>
              <w:rPr>
                <w:rFonts w:ascii="Calibri"/>
                <w:sz w:val="22"/>
              </w:rPr>
            </w:pPr>
          </w:p>
          <w:p>
            <w:pPr>
              <w:pStyle w:val="TableParagraph"/>
              <w:ind w:left="110" w:right="162"/>
              <w:rPr>
                <w:rFonts w:ascii="Calibri"/>
                <w:sz w:val="22"/>
              </w:rPr>
            </w:pPr>
            <w:r>
              <w:rPr>
                <w:rFonts w:ascii="Calibri"/>
                <w:sz w:val="22"/>
              </w:rPr>
              <w:t>This is particularly relevant where documentation is limited or not fully developed,</w:t>
            </w:r>
            <w:r>
              <w:rPr>
                <w:rFonts w:ascii="Calibri"/>
                <w:spacing w:val="-9"/>
                <w:sz w:val="22"/>
              </w:rPr>
              <w:t> </w:t>
            </w:r>
            <w:r>
              <w:rPr>
                <w:rFonts w:ascii="Calibri"/>
                <w:sz w:val="22"/>
              </w:rPr>
              <w:t>for</w:t>
            </w:r>
            <w:r>
              <w:rPr>
                <w:rFonts w:ascii="Calibri"/>
                <w:spacing w:val="-11"/>
                <w:sz w:val="22"/>
              </w:rPr>
              <w:t> </w:t>
            </w:r>
            <w:r>
              <w:rPr>
                <w:rFonts w:ascii="Calibri"/>
                <w:sz w:val="22"/>
              </w:rPr>
              <w:t>example</w:t>
            </w:r>
            <w:r>
              <w:rPr>
                <w:rFonts w:ascii="Calibri"/>
                <w:spacing w:val="-5"/>
                <w:sz w:val="22"/>
              </w:rPr>
              <w:t> </w:t>
            </w:r>
            <w:r>
              <w:rPr>
                <w:rFonts w:ascii="Calibri"/>
                <w:sz w:val="22"/>
              </w:rPr>
              <w:t>within</w:t>
            </w:r>
            <w:r>
              <w:rPr>
                <w:rFonts w:ascii="Calibri"/>
                <w:spacing w:val="-10"/>
                <w:sz w:val="22"/>
              </w:rPr>
              <w:t> </w:t>
            </w:r>
            <w:r>
              <w:rPr>
                <w:rFonts w:ascii="Calibri"/>
                <w:sz w:val="22"/>
              </w:rPr>
              <w:t>the</w:t>
            </w:r>
            <w:r>
              <w:rPr>
                <w:rFonts w:ascii="Calibri"/>
                <w:spacing w:val="-9"/>
                <w:sz w:val="22"/>
              </w:rPr>
              <w:t> </w:t>
            </w:r>
            <w:r>
              <w:rPr>
                <w:rFonts w:ascii="Calibri"/>
                <w:sz w:val="22"/>
              </w:rPr>
              <w:t>Finance and Contracting sub-group, where work programme documentation does not consistently set out defined outputs, milestones or delivery timescales.</w:t>
            </w:r>
          </w:p>
        </w:tc>
        <w:tc>
          <w:tcPr>
            <w:tcW w:w="4111" w:type="dxa"/>
          </w:tcPr>
          <w:p>
            <w:pPr>
              <w:pStyle w:val="TableParagraph"/>
              <w:spacing w:line="237" w:lineRule="auto" w:before="2"/>
              <w:ind w:left="104"/>
              <w:rPr>
                <w:rFonts w:ascii="Calibri"/>
                <w:sz w:val="22"/>
              </w:rPr>
            </w:pPr>
            <w:r>
              <w:rPr>
                <w:rFonts w:ascii="Calibri"/>
                <w:sz w:val="22"/>
              </w:rPr>
              <w:t>statement; key milestones; resource analysis/</w:t>
            </w:r>
            <w:r>
              <w:rPr>
                <w:rFonts w:ascii="Calibri"/>
                <w:spacing w:val="-13"/>
                <w:sz w:val="22"/>
              </w:rPr>
              <w:t> </w:t>
            </w:r>
            <w:r>
              <w:rPr>
                <w:rFonts w:ascii="Calibri"/>
                <w:sz w:val="22"/>
              </w:rPr>
              <w:t>assumptions/</w:t>
            </w:r>
            <w:r>
              <w:rPr>
                <w:rFonts w:ascii="Calibri"/>
                <w:spacing w:val="-12"/>
                <w:sz w:val="22"/>
              </w:rPr>
              <w:t> </w:t>
            </w:r>
            <w:r>
              <w:rPr>
                <w:rFonts w:ascii="Calibri"/>
                <w:sz w:val="22"/>
              </w:rPr>
              <w:t>requirements</w:t>
            </w:r>
          </w:p>
          <w:p>
            <w:pPr>
              <w:pStyle w:val="TableParagraph"/>
              <w:spacing w:before="2"/>
              <w:ind w:left="104"/>
              <w:rPr>
                <w:rFonts w:ascii="Calibri"/>
                <w:sz w:val="22"/>
              </w:rPr>
            </w:pPr>
            <w:r>
              <w:rPr>
                <w:rFonts w:ascii="Calibri"/>
                <w:sz w:val="22"/>
              </w:rPr>
              <w:t>/impacts/ gaps; funding assumptions/ requirements/ gaps; risks; issues; dependencies</w:t>
            </w:r>
            <w:r>
              <w:rPr>
                <w:rFonts w:ascii="Calibri"/>
                <w:spacing w:val="-11"/>
                <w:sz w:val="22"/>
              </w:rPr>
              <w:t> </w:t>
            </w:r>
            <w:r>
              <w:rPr>
                <w:rFonts w:ascii="Calibri"/>
                <w:sz w:val="22"/>
              </w:rPr>
              <w:t>(see</w:t>
            </w:r>
            <w:r>
              <w:rPr>
                <w:rFonts w:ascii="Calibri"/>
                <w:spacing w:val="-9"/>
                <w:sz w:val="22"/>
              </w:rPr>
              <w:t> </w:t>
            </w:r>
            <w:r>
              <w:rPr>
                <w:rFonts w:ascii="Calibri"/>
                <w:sz w:val="22"/>
              </w:rPr>
              <w:t>PP</w:t>
            </w:r>
            <w:r>
              <w:rPr>
                <w:rFonts w:ascii="Calibri"/>
                <w:spacing w:val="-9"/>
                <w:sz w:val="22"/>
              </w:rPr>
              <w:t> </w:t>
            </w:r>
            <w:r>
              <w:rPr>
                <w:rFonts w:ascii="Calibri"/>
                <w:sz w:val="22"/>
              </w:rPr>
              <w:t>template</w:t>
            </w:r>
            <w:r>
              <w:rPr>
                <w:rFonts w:ascii="Calibri"/>
                <w:spacing w:val="-9"/>
                <w:sz w:val="22"/>
              </w:rPr>
              <w:t> </w:t>
            </w:r>
            <w:r>
              <w:rPr>
                <w:rFonts w:ascii="Calibri"/>
                <w:sz w:val="22"/>
              </w:rPr>
              <w:t>embedded </w:t>
            </w:r>
            <w:r>
              <w:rPr>
                <w:rFonts w:ascii="Calibri"/>
                <w:spacing w:val="-2"/>
                <w:sz w:val="22"/>
              </w:rPr>
              <w:t>below).</w:t>
            </w:r>
          </w:p>
          <w:p>
            <w:pPr>
              <w:pStyle w:val="TableParagraph"/>
              <w:spacing w:before="104"/>
              <w:rPr>
                <w:rFonts w:ascii="Calibri"/>
                <w:sz w:val="20"/>
              </w:rPr>
            </w:pPr>
          </w:p>
          <w:p>
            <w:pPr>
              <w:pStyle w:val="TableParagraph"/>
              <w:ind w:left="626"/>
              <w:rPr>
                <w:rFonts w:ascii="Calibri"/>
                <w:sz w:val="20"/>
              </w:rPr>
            </w:pPr>
            <w:r>
              <w:rPr>
                <w:rFonts w:ascii="Calibri"/>
                <w:sz w:val="20"/>
              </w:rPr>
              <w:drawing>
                <wp:inline distT="0" distB="0" distL="0" distR="0">
                  <wp:extent cx="285507" cy="251460"/>
                  <wp:effectExtent l="0" t="0" r="0" b="0"/>
                  <wp:docPr id="732" name="Image 732"/>
                  <wp:cNvGraphicFramePr>
                    <a:graphicFrameLocks/>
                  </wp:cNvGraphicFramePr>
                  <a:graphic>
                    <a:graphicData uri="http://schemas.openxmlformats.org/drawingml/2006/picture">
                      <pic:pic>
                        <pic:nvPicPr>
                          <pic:cNvPr id="732" name="Image 732"/>
                          <pic:cNvPicPr/>
                        </pic:nvPicPr>
                        <pic:blipFill>
                          <a:blip r:embed="rId110" cstate="print"/>
                          <a:stretch>
                            <a:fillRect/>
                          </a:stretch>
                        </pic:blipFill>
                        <pic:spPr>
                          <a:xfrm>
                            <a:off x="0" y="0"/>
                            <a:ext cx="285507" cy="251460"/>
                          </a:xfrm>
                          <a:prstGeom prst="rect">
                            <a:avLst/>
                          </a:prstGeom>
                        </pic:spPr>
                      </pic:pic>
                    </a:graphicData>
                  </a:graphic>
                </wp:inline>
              </w:drawing>
            </w:r>
            <w:r>
              <w:rPr>
                <w:rFonts w:ascii="Calibri"/>
                <w:sz w:val="20"/>
              </w:rPr>
            </w:r>
          </w:p>
          <w:p>
            <w:pPr>
              <w:pStyle w:val="TableParagraph"/>
              <w:spacing w:line="235" w:lineRule="auto" w:before="21"/>
              <w:ind w:left="104" w:right="1753" w:firstLine="40"/>
              <w:rPr>
                <w:rFonts w:ascii="Segoe UI"/>
                <w:sz w:val="16"/>
              </w:rPr>
            </w:pPr>
            <w:r>
              <w:rPr>
                <w:rFonts w:ascii="Segoe UI"/>
                <w:sz w:val="16"/>
              </w:rPr>
              <w:t>RJC</w:t>
            </w:r>
            <w:r>
              <w:rPr>
                <w:rFonts w:ascii="Segoe UI"/>
                <w:spacing w:val="-11"/>
                <w:sz w:val="16"/>
              </w:rPr>
              <w:t> </w:t>
            </w:r>
            <w:r>
              <w:rPr>
                <w:rFonts w:ascii="Segoe UI"/>
                <w:sz w:val="16"/>
              </w:rPr>
              <w:t>Subgroup</w:t>
            </w:r>
            <w:r>
              <w:rPr>
                <w:rFonts w:ascii="Segoe UI"/>
                <w:spacing w:val="-11"/>
                <w:sz w:val="16"/>
              </w:rPr>
              <w:t> </w:t>
            </w:r>
            <w:r>
              <w:rPr>
                <w:rFonts w:ascii="Segoe UI"/>
                <w:sz w:val="16"/>
              </w:rPr>
              <w:t>Work Programme</w:t>
            </w:r>
            <w:r>
              <w:rPr>
                <w:rFonts w:ascii="Segoe UI"/>
                <w:spacing w:val="-7"/>
                <w:sz w:val="16"/>
              </w:rPr>
              <w:t> </w:t>
            </w:r>
            <w:r>
              <w:rPr>
                <w:rFonts w:ascii="Segoe UI"/>
                <w:spacing w:val="-2"/>
                <w:sz w:val="16"/>
              </w:rPr>
              <w:t>Summar</w:t>
            </w:r>
          </w:p>
          <w:p>
            <w:pPr>
              <w:pStyle w:val="TableParagraph"/>
              <w:spacing w:before="138"/>
              <w:rPr>
                <w:rFonts w:ascii="Calibri"/>
                <w:sz w:val="16"/>
              </w:rPr>
            </w:pPr>
          </w:p>
          <w:p>
            <w:pPr>
              <w:pStyle w:val="TableParagraph"/>
              <w:spacing w:before="1"/>
              <w:ind w:left="104"/>
              <w:rPr>
                <w:rFonts w:ascii="Calibri" w:hAnsi="Calibri"/>
                <w:sz w:val="22"/>
              </w:rPr>
            </w:pPr>
            <w:r>
              <w:rPr>
                <w:rFonts w:ascii="Calibri" w:hAnsi="Calibri"/>
                <w:sz w:val="22"/>
              </w:rPr>
              <w:t>The action in response to the final recommendation will be complete by the date</w:t>
            </w:r>
            <w:r>
              <w:rPr>
                <w:rFonts w:ascii="Calibri" w:hAnsi="Calibri"/>
                <w:spacing w:val="-4"/>
                <w:sz w:val="22"/>
              </w:rPr>
              <w:t> </w:t>
            </w:r>
            <w:r>
              <w:rPr>
                <w:rFonts w:ascii="Calibri" w:hAnsi="Calibri"/>
                <w:sz w:val="22"/>
              </w:rPr>
              <w:t>of</w:t>
            </w:r>
            <w:r>
              <w:rPr>
                <w:rFonts w:ascii="Calibri" w:hAnsi="Calibri"/>
                <w:spacing w:val="-7"/>
                <w:sz w:val="22"/>
              </w:rPr>
              <w:t> </w:t>
            </w:r>
            <w:r>
              <w:rPr>
                <w:rFonts w:ascii="Calibri" w:hAnsi="Calibri"/>
                <w:sz w:val="22"/>
              </w:rPr>
              <w:t>the</w:t>
            </w:r>
            <w:r>
              <w:rPr>
                <w:rFonts w:ascii="Calibri" w:hAnsi="Calibri"/>
                <w:spacing w:val="-4"/>
                <w:sz w:val="22"/>
              </w:rPr>
              <w:t> </w:t>
            </w:r>
            <w:r>
              <w:rPr>
                <w:rFonts w:ascii="Calibri" w:hAnsi="Calibri"/>
                <w:sz w:val="22"/>
              </w:rPr>
              <w:t>next</w:t>
            </w:r>
            <w:r>
              <w:rPr>
                <w:rFonts w:ascii="Calibri" w:hAnsi="Calibri"/>
                <w:spacing w:val="-4"/>
                <w:sz w:val="22"/>
              </w:rPr>
              <w:t> </w:t>
            </w:r>
            <w:r>
              <w:rPr>
                <w:rFonts w:ascii="Calibri" w:hAnsi="Calibri"/>
                <w:sz w:val="22"/>
              </w:rPr>
              <w:t>RJC</w:t>
            </w:r>
            <w:r>
              <w:rPr>
                <w:rFonts w:ascii="Calibri" w:hAnsi="Calibri"/>
                <w:spacing w:val="-2"/>
                <w:sz w:val="22"/>
              </w:rPr>
              <w:t> </w:t>
            </w:r>
            <w:r>
              <w:rPr>
                <w:rFonts w:ascii="Calibri" w:hAnsi="Calibri"/>
                <w:sz w:val="22"/>
              </w:rPr>
              <w:t>meeting</w:t>
            </w:r>
            <w:r>
              <w:rPr>
                <w:rFonts w:ascii="Calibri" w:hAnsi="Calibri"/>
                <w:spacing w:val="-3"/>
                <w:sz w:val="22"/>
              </w:rPr>
              <w:t> </w:t>
            </w:r>
            <w:r>
              <w:rPr>
                <w:rFonts w:ascii="Calibri" w:hAnsi="Calibri"/>
                <w:sz w:val="22"/>
              </w:rPr>
              <w:t>on</w:t>
            </w:r>
            <w:r>
              <w:rPr>
                <w:rFonts w:ascii="Calibri" w:hAnsi="Calibri"/>
                <w:spacing w:val="-5"/>
                <w:sz w:val="22"/>
              </w:rPr>
              <w:t> </w:t>
            </w:r>
            <w:r>
              <w:rPr>
                <w:rFonts w:ascii="Calibri" w:hAnsi="Calibri"/>
                <w:sz w:val="22"/>
              </w:rPr>
              <w:t>5</w:t>
            </w:r>
            <w:r>
              <w:rPr>
                <w:rFonts w:ascii="Calibri" w:hAnsi="Calibri"/>
                <w:spacing w:val="-6"/>
                <w:sz w:val="22"/>
              </w:rPr>
              <w:t> </w:t>
            </w:r>
            <w:r>
              <w:rPr>
                <w:rFonts w:ascii="Calibri" w:hAnsi="Calibri"/>
                <w:sz w:val="22"/>
              </w:rPr>
              <w:t>February 2027 when any remaining subgroup programmes will be baselined, and performance reported to the RJC using the maturity matrix agreed as part of the advisory</w:t>
            </w:r>
            <w:r>
              <w:rPr>
                <w:rFonts w:ascii="Calibri" w:hAnsi="Calibri"/>
                <w:spacing w:val="-13"/>
                <w:sz w:val="22"/>
              </w:rPr>
              <w:t> </w:t>
            </w:r>
            <w:r>
              <w:rPr>
                <w:rFonts w:ascii="Calibri" w:hAnsi="Calibri"/>
                <w:sz w:val="22"/>
              </w:rPr>
              <w:t>review’s</w:t>
            </w:r>
            <w:r>
              <w:rPr>
                <w:rFonts w:ascii="Calibri" w:hAnsi="Calibri"/>
                <w:spacing w:val="-12"/>
                <w:sz w:val="22"/>
              </w:rPr>
              <w:t> </w:t>
            </w:r>
            <w:r>
              <w:rPr>
                <w:rFonts w:ascii="Calibri" w:hAnsi="Calibri"/>
                <w:sz w:val="22"/>
              </w:rPr>
              <w:t>second</w:t>
            </w:r>
            <w:r>
              <w:rPr>
                <w:rFonts w:ascii="Calibri" w:hAnsi="Calibri"/>
                <w:spacing w:val="-13"/>
                <w:sz w:val="22"/>
              </w:rPr>
              <w:t> </w:t>
            </w:r>
            <w:r>
              <w:rPr>
                <w:rFonts w:ascii="Calibri" w:hAnsi="Calibri"/>
                <w:sz w:val="22"/>
              </w:rPr>
              <w:t>recommendation, to inform RJC’s oversight.</w:t>
            </w:r>
          </w:p>
          <w:p>
            <w:pPr>
              <w:pStyle w:val="TableParagraph"/>
              <w:spacing w:before="25"/>
              <w:rPr>
                <w:rFonts w:ascii="Calibri"/>
                <w:sz w:val="22"/>
              </w:rPr>
            </w:pPr>
          </w:p>
          <w:p>
            <w:pPr>
              <w:pStyle w:val="TableParagraph"/>
              <w:ind w:left="104"/>
              <w:rPr>
                <w:rFonts w:ascii="Calibri"/>
                <w:sz w:val="22"/>
              </w:rPr>
            </w:pPr>
            <w:r>
              <w:rPr>
                <w:rFonts w:ascii="Calibri"/>
                <w:sz w:val="22"/>
              </w:rPr>
              <w:t>AAA</w:t>
            </w:r>
            <w:r>
              <w:rPr>
                <w:rFonts w:ascii="Calibri"/>
                <w:spacing w:val="-5"/>
                <w:sz w:val="22"/>
              </w:rPr>
              <w:t> </w:t>
            </w:r>
            <w:r>
              <w:rPr>
                <w:rFonts w:ascii="Calibri"/>
                <w:sz w:val="22"/>
              </w:rPr>
              <w:t>Update</w:t>
            </w:r>
            <w:r>
              <w:rPr>
                <w:rFonts w:ascii="Calibri"/>
                <w:spacing w:val="-7"/>
                <w:sz w:val="22"/>
              </w:rPr>
              <w:t> </w:t>
            </w:r>
            <w:r>
              <w:rPr>
                <w:rFonts w:ascii="Calibri"/>
                <w:sz w:val="22"/>
              </w:rPr>
              <w:t>Reports</w:t>
            </w:r>
            <w:r>
              <w:rPr>
                <w:rFonts w:ascii="Calibri"/>
                <w:spacing w:val="-8"/>
                <w:sz w:val="22"/>
              </w:rPr>
              <w:t> </w:t>
            </w:r>
            <w:r>
              <w:rPr>
                <w:rFonts w:ascii="Calibri"/>
                <w:sz w:val="22"/>
              </w:rPr>
              <w:t>will</w:t>
            </w:r>
            <w:r>
              <w:rPr>
                <w:rFonts w:ascii="Calibri"/>
                <w:spacing w:val="-7"/>
                <w:sz w:val="22"/>
              </w:rPr>
              <w:t> </w:t>
            </w:r>
            <w:r>
              <w:rPr>
                <w:rFonts w:ascii="Calibri"/>
                <w:sz w:val="22"/>
              </w:rPr>
              <w:t>be</w:t>
            </w:r>
            <w:r>
              <w:rPr>
                <w:rFonts w:ascii="Calibri"/>
                <w:spacing w:val="-7"/>
                <w:sz w:val="22"/>
              </w:rPr>
              <w:t> </w:t>
            </w:r>
            <w:r>
              <w:rPr>
                <w:rFonts w:ascii="Calibri"/>
                <w:sz w:val="22"/>
              </w:rPr>
              <w:t>used</w:t>
            </w:r>
            <w:r>
              <w:rPr>
                <w:rFonts w:ascii="Calibri"/>
                <w:spacing w:val="-8"/>
                <w:sz w:val="22"/>
              </w:rPr>
              <w:t> </w:t>
            </w:r>
            <w:r>
              <w:rPr>
                <w:rFonts w:ascii="Calibri"/>
                <w:sz w:val="22"/>
              </w:rPr>
              <w:t>to</w:t>
            </w:r>
            <w:r>
              <w:rPr>
                <w:rFonts w:ascii="Calibri"/>
                <w:spacing w:val="-8"/>
                <w:sz w:val="22"/>
              </w:rPr>
              <w:t> </w:t>
            </w:r>
            <w:r>
              <w:rPr>
                <w:rFonts w:ascii="Calibri"/>
                <w:sz w:val="22"/>
              </w:rPr>
              <w:t>report performance as follows:</w:t>
            </w:r>
          </w:p>
          <w:p>
            <w:pPr>
              <w:pStyle w:val="TableParagraph"/>
              <w:spacing w:before="3"/>
              <w:ind w:left="104" w:right="143"/>
              <w:rPr>
                <w:rFonts w:ascii="Calibri" w:hAnsi="Calibri"/>
                <w:sz w:val="22"/>
              </w:rPr>
            </w:pPr>
            <w:r>
              <w:rPr>
                <w:rFonts w:ascii="Calibri" w:hAnsi="Calibri"/>
                <w:sz w:val="22"/>
                <w:u w:val="single"/>
              </w:rPr>
              <w:t>Assurance</w:t>
            </w:r>
            <w:r>
              <w:rPr>
                <w:rFonts w:ascii="Calibri" w:hAnsi="Calibri"/>
                <w:sz w:val="22"/>
                <w:u w:val="none"/>
              </w:rPr>
              <w:t> – programmes are proceeding as</w:t>
            </w:r>
            <w:r>
              <w:rPr>
                <w:rFonts w:ascii="Calibri" w:hAnsi="Calibri"/>
                <w:spacing w:val="-9"/>
                <w:sz w:val="22"/>
                <w:u w:val="none"/>
              </w:rPr>
              <w:t> </w:t>
            </w:r>
            <w:r>
              <w:rPr>
                <w:rFonts w:ascii="Calibri" w:hAnsi="Calibri"/>
                <w:sz w:val="22"/>
                <w:u w:val="none"/>
              </w:rPr>
              <w:t>baselined;</w:t>
            </w:r>
            <w:r>
              <w:rPr>
                <w:rFonts w:ascii="Calibri" w:hAnsi="Calibri"/>
                <w:spacing w:val="-7"/>
                <w:sz w:val="22"/>
                <w:u w:val="none"/>
              </w:rPr>
              <w:t> </w:t>
            </w:r>
            <w:r>
              <w:rPr>
                <w:rFonts w:ascii="Calibri" w:hAnsi="Calibri"/>
                <w:sz w:val="22"/>
                <w:u w:val="none"/>
              </w:rPr>
              <w:t>outputs</w:t>
            </w:r>
            <w:r>
              <w:rPr>
                <w:rFonts w:ascii="Calibri" w:hAnsi="Calibri"/>
                <w:spacing w:val="-9"/>
                <w:sz w:val="22"/>
                <w:u w:val="none"/>
              </w:rPr>
              <w:t> </w:t>
            </w:r>
            <w:r>
              <w:rPr>
                <w:rFonts w:ascii="Calibri" w:hAnsi="Calibri"/>
                <w:sz w:val="22"/>
                <w:u w:val="none"/>
              </w:rPr>
              <w:t>and</w:t>
            </w:r>
            <w:r>
              <w:rPr>
                <w:rFonts w:ascii="Calibri" w:hAnsi="Calibri"/>
                <w:spacing w:val="-9"/>
                <w:sz w:val="22"/>
                <w:u w:val="none"/>
              </w:rPr>
              <w:t> </w:t>
            </w:r>
            <w:r>
              <w:rPr>
                <w:rFonts w:ascii="Calibri" w:hAnsi="Calibri"/>
                <w:sz w:val="22"/>
                <w:u w:val="none"/>
              </w:rPr>
              <w:t>outcomes</w:t>
            </w:r>
            <w:r>
              <w:rPr>
                <w:rFonts w:ascii="Calibri" w:hAnsi="Calibri"/>
                <w:spacing w:val="-4"/>
                <w:sz w:val="22"/>
                <w:u w:val="none"/>
              </w:rPr>
              <w:t> </w:t>
            </w:r>
            <w:r>
              <w:rPr>
                <w:rFonts w:ascii="Calibri" w:hAnsi="Calibri"/>
                <w:sz w:val="22"/>
                <w:u w:val="none"/>
              </w:rPr>
              <w:t>will</w:t>
            </w:r>
            <w:r>
              <w:rPr>
                <w:rFonts w:ascii="Calibri" w:hAnsi="Calibri"/>
                <w:spacing w:val="-7"/>
                <w:sz w:val="22"/>
                <w:u w:val="none"/>
              </w:rPr>
              <w:t> </w:t>
            </w:r>
            <w:r>
              <w:rPr>
                <w:rFonts w:ascii="Calibri" w:hAnsi="Calibri"/>
                <w:sz w:val="22"/>
                <w:u w:val="none"/>
              </w:rPr>
              <w:t>be delivered as scheduled.</w:t>
            </w:r>
          </w:p>
          <w:p>
            <w:pPr>
              <w:pStyle w:val="TableParagraph"/>
              <w:ind w:left="104" w:right="204"/>
              <w:rPr>
                <w:rFonts w:ascii="Calibri" w:hAnsi="Calibri"/>
                <w:sz w:val="22"/>
              </w:rPr>
            </w:pPr>
            <w:r>
              <w:rPr>
                <w:rFonts w:ascii="Calibri" w:hAnsi="Calibri"/>
                <w:sz w:val="22"/>
                <w:u w:val="single"/>
              </w:rPr>
              <w:t>Advisory</w:t>
            </w:r>
            <w:r>
              <w:rPr>
                <w:rFonts w:ascii="Calibri" w:hAnsi="Calibri"/>
                <w:sz w:val="22"/>
                <w:u w:val="none"/>
              </w:rPr>
              <w:t> – action is required/being taken to ensure programmes are proceeding as baselined; outputs and outcomes will be delivered</w:t>
            </w:r>
            <w:r>
              <w:rPr>
                <w:rFonts w:ascii="Calibri" w:hAnsi="Calibri"/>
                <w:spacing w:val="-8"/>
                <w:sz w:val="22"/>
                <w:u w:val="none"/>
              </w:rPr>
              <w:t> </w:t>
            </w:r>
            <w:r>
              <w:rPr>
                <w:rFonts w:ascii="Calibri" w:hAnsi="Calibri"/>
                <w:sz w:val="22"/>
                <w:u w:val="none"/>
              </w:rPr>
              <w:t>as</w:t>
            </w:r>
            <w:r>
              <w:rPr>
                <w:rFonts w:ascii="Calibri" w:hAnsi="Calibri"/>
                <w:spacing w:val="-9"/>
                <w:sz w:val="22"/>
                <w:u w:val="none"/>
              </w:rPr>
              <w:t> </w:t>
            </w:r>
            <w:r>
              <w:rPr>
                <w:rFonts w:ascii="Calibri" w:hAnsi="Calibri"/>
                <w:sz w:val="22"/>
                <w:u w:val="none"/>
              </w:rPr>
              <w:t>scheduled</w:t>
            </w:r>
            <w:r>
              <w:rPr>
                <w:rFonts w:ascii="Calibri" w:hAnsi="Calibri"/>
                <w:spacing w:val="-8"/>
                <w:sz w:val="22"/>
                <w:u w:val="none"/>
              </w:rPr>
              <w:t> </w:t>
            </w:r>
            <w:r>
              <w:rPr>
                <w:rFonts w:ascii="Calibri" w:hAnsi="Calibri"/>
                <w:sz w:val="22"/>
                <w:u w:val="none"/>
              </w:rPr>
              <w:t>/</w:t>
            </w:r>
            <w:r>
              <w:rPr>
                <w:rFonts w:ascii="Calibri" w:hAnsi="Calibri"/>
                <w:spacing w:val="-8"/>
                <w:sz w:val="22"/>
                <w:u w:val="none"/>
              </w:rPr>
              <w:t> </w:t>
            </w:r>
            <w:r>
              <w:rPr>
                <w:rFonts w:ascii="Calibri" w:hAnsi="Calibri"/>
                <w:sz w:val="22"/>
                <w:u w:val="none"/>
              </w:rPr>
              <w:t>within</w:t>
            </w:r>
            <w:r>
              <w:rPr>
                <w:rFonts w:ascii="Calibri" w:hAnsi="Calibri"/>
                <w:spacing w:val="-8"/>
                <w:sz w:val="22"/>
                <w:u w:val="none"/>
              </w:rPr>
              <w:t> </w:t>
            </w:r>
            <w:r>
              <w:rPr>
                <w:rFonts w:ascii="Calibri" w:hAnsi="Calibri"/>
                <w:sz w:val="22"/>
                <w:u w:val="none"/>
              </w:rPr>
              <w:t>tolerance. </w:t>
            </w:r>
            <w:r>
              <w:rPr>
                <w:rFonts w:ascii="Calibri" w:hAnsi="Calibri"/>
                <w:sz w:val="22"/>
                <w:u w:val="single"/>
              </w:rPr>
              <w:t>Alert</w:t>
            </w:r>
            <w:r>
              <w:rPr>
                <w:rFonts w:ascii="Calibri" w:hAnsi="Calibri"/>
                <w:sz w:val="22"/>
                <w:u w:val="none"/>
              </w:rPr>
              <w:t> – outputs and outcomes will not be delivered</w:t>
            </w:r>
            <w:r>
              <w:rPr>
                <w:rFonts w:ascii="Calibri" w:hAnsi="Calibri"/>
                <w:spacing w:val="-5"/>
                <w:sz w:val="22"/>
                <w:u w:val="none"/>
              </w:rPr>
              <w:t> </w:t>
            </w:r>
            <w:r>
              <w:rPr>
                <w:rFonts w:ascii="Calibri" w:hAnsi="Calibri"/>
                <w:sz w:val="22"/>
                <w:u w:val="none"/>
              </w:rPr>
              <w:t>as</w:t>
            </w:r>
            <w:r>
              <w:rPr>
                <w:rFonts w:ascii="Calibri" w:hAnsi="Calibri"/>
                <w:spacing w:val="-5"/>
                <w:sz w:val="22"/>
                <w:u w:val="none"/>
              </w:rPr>
              <w:t> </w:t>
            </w:r>
            <w:r>
              <w:rPr>
                <w:rFonts w:ascii="Calibri" w:hAnsi="Calibri"/>
                <w:sz w:val="22"/>
                <w:u w:val="none"/>
              </w:rPr>
              <w:t>scheduled;</w:t>
            </w:r>
            <w:r>
              <w:rPr>
                <w:rFonts w:ascii="Calibri" w:hAnsi="Calibri"/>
                <w:spacing w:val="-4"/>
                <w:sz w:val="22"/>
                <w:u w:val="none"/>
              </w:rPr>
              <w:t> </w:t>
            </w:r>
            <w:r>
              <w:rPr>
                <w:rFonts w:ascii="Calibri" w:hAnsi="Calibri"/>
                <w:sz w:val="22"/>
                <w:u w:val="none"/>
              </w:rPr>
              <w:t>immediate</w:t>
            </w:r>
            <w:r>
              <w:rPr>
                <w:rFonts w:ascii="Calibri" w:hAnsi="Calibri"/>
                <w:spacing w:val="-4"/>
                <w:sz w:val="22"/>
                <w:u w:val="none"/>
              </w:rPr>
              <w:t> </w:t>
            </w:r>
            <w:r>
              <w:rPr>
                <w:rFonts w:ascii="Calibri" w:hAnsi="Calibri"/>
                <w:sz w:val="22"/>
                <w:u w:val="none"/>
              </w:rPr>
              <w:t>action</w:t>
            </w:r>
          </w:p>
        </w:tc>
        <w:tc>
          <w:tcPr>
            <w:tcW w:w="1986" w:type="dxa"/>
          </w:tcPr>
          <w:p>
            <w:pPr>
              <w:pStyle w:val="TableParagraph"/>
              <w:rPr>
                <w:rFonts w:ascii="Times New Roman"/>
                <w:sz w:val="20"/>
              </w:rPr>
            </w:pPr>
          </w:p>
        </w:tc>
        <w:tc>
          <w:tcPr>
            <w:tcW w:w="2696" w:type="dxa"/>
          </w:tcPr>
          <w:p>
            <w:pPr>
              <w:pStyle w:val="TableParagraph"/>
              <w:rPr>
                <w:rFonts w:ascii="Times New Roman"/>
                <w:sz w:val="20"/>
              </w:rPr>
            </w:pPr>
          </w:p>
        </w:tc>
        <w:tc>
          <w:tcPr>
            <w:tcW w:w="2266" w:type="dxa"/>
          </w:tcPr>
          <w:p>
            <w:pPr>
              <w:pStyle w:val="TableParagraph"/>
              <w:ind w:left="104" w:right="192"/>
              <w:rPr>
                <w:rFonts w:ascii="Calibri"/>
                <w:sz w:val="22"/>
              </w:rPr>
            </w:pPr>
            <w:r>
              <w:rPr>
                <w:rFonts w:ascii="Calibri"/>
                <w:sz w:val="22"/>
              </w:rPr>
              <w:t>Major</w:t>
            </w:r>
            <w:r>
              <w:rPr>
                <w:rFonts w:ascii="Calibri"/>
                <w:spacing w:val="-13"/>
                <w:sz w:val="22"/>
              </w:rPr>
              <w:t> </w:t>
            </w:r>
            <w:r>
              <w:rPr>
                <w:rFonts w:ascii="Calibri"/>
                <w:sz w:val="22"/>
              </w:rPr>
              <w:t>issues</w:t>
            </w:r>
            <w:r>
              <w:rPr>
                <w:rFonts w:ascii="Calibri"/>
                <w:spacing w:val="-12"/>
                <w:sz w:val="22"/>
              </w:rPr>
              <w:t> </w:t>
            </w:r>
            <w:r>
              <w:rPr>
                <w:rFonts w:ascii="Calibri"/>
                <w:sz w:val="22"/>
              </w:rPr>
              <w:t>and</w:t>
            </w:r>
            <w:r>
              <w:rPr>
                <w:rFonts w:ascii="Calibri"/>
                <w:spacing w:val="-13"/>
                <w:sz w:val="22"/>
              </w:rPr>
              <w:t> </w:t>
            </w:r>
            <w:r>
              <w:rPr>
                <w:rFonts w:ascii="Calibri"/>
                <w:sz w:val="22"/>
              </w:rPr>
              <w:t>risks to output and outcome delivery discussed</w:t>
            </w:r>
            <w:r>
              <w:rPr>
                <w:rFonts w:ascii="Calibri"/>
                <w:spacing w:val="-10"/>
                <w:sz w:val="22"/>
              </w:rPr>
              <w:t> </w:t>
            </w:r>
            <w:r>
              <w:rPr>
                <w:rFonts w:ascii="Calibri"/>
                <w:sz w:val="22"/>
              </w:rPr>
              <w:t>at</w:t>
            </w:r>
            <w:r>
              <w:rPr>
                <w:rFonts w:ascii="Calibri"/>
                <w:spacing w:val="-10"/>
                <w:sz w:val="22"/>
              </w:rPr>
              <w:t> </w:t>
            </w:r>
            <w:r>
              <w:rPr>
                <w:rFonts w:ascii="Calibri"/>
                <w:sz w:val="22"/>
              </w:rPr>
              <w:t>RJC,</w:t>
            </w:r>
            <w:r>
              <w:rPr>
                <w:rFonts w:ascii="Calibri"/>
                <w:spacing w:val="-10"/>
                <w:sz w:val="22"/>
              </w:rPr>
              <w:t> </w:t>
            </w:r>
            <w:r>
              <w:rPr>
                <w:rFonts w:ascii="Calibri"/>
                <w:sz w:val="22"/>
              </w:rPr>
              <w:t>with mitigating actions </w:t>
            </w:r>
            <w:r>
              <w:rPr>
                <w:rFonts w:ascii="Calibri"/>
                <w:spacing w:val="-2"/>
                <w:sz w:val="22"/>
              </w:rPr>
              <w:t>agreed.</w:t>
            </w:r>
          </w:p>
        </w:tc>
      </w:tr>
    </w:tbl>
    <w:p>
      <w:pPr>
        <w:pStyle w:val="BodyText"/>
        <w:spacing w:before="72"/>
        <w:rPr>
          <w:rFonts w:ascii="Calibri"/>
          <w:sz w:val="22"/>
        </w:rPr>
      </w:pPr>
    </w:p>
    <w:p>
      <w:pPr>
        <w:spacing w:before="1"/>
        <w:ind w:left="0" w:right="1289" w:firstLine="0"/>
        <w:jc w:val="right"/>
        <w:rPr>
          <w:rFonts w:ascii="Calibri"/>
          <w:sz w:val="22"/>
        </w:rPr>
      </w:pPr>
      <w:r>
        <w:rPr>
          <w:rFonts w:ascii="Calibri"/>
          <w:spacing w:val="-10"/>
          <w:sz w:val="22"/>
        </w:rPr>
        <w:t>5</w:t>
      </w:r>
    </w:p>
    <w:p>
      <w:pPr>
        <w:spacing w:after="0"/>
        <w:jc w:val="right"/>
        <w:rPr>
          <w:rFonts w:ascii="Calibri"/>
          <w:sz w:val="22"/>
        </w:rPr>
        <w:sectPr>
          <w:pgSz w:w="16840" w:h="11910" w:orient="landscape"/>
          <w:pgMar w:header="0" w:footer="198" w:top="1340" w:bottom="380" w:left="141" w:right="142"/>
        </w:sectPr>
      </w:pPr>
    </w:p>
    <w:p>
      <w:pPr>
        <w:pStyle w:val="BodyText"/>
        <w:spacing w:before="10"/>
        <w:rPr>
          <w:rFonts w:ascii="Calibri"/>
          <w:sz w:val="7"/>
        </w:rPr>
      </w:pPr>
    </w:p>
    <w:tbl>
      <w:tblPr>
        <w:tblW w:w="0" w:type="auto"/>
        <w:jc w:val="left"/>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7"/>
        <w:gridCol w:w="4111"/>
        <w:gridCol w:w="1986"/>
        <w:gridCol w:w="2696"/>
        <w:gridCol w:w="2266"/>
      </w:tblGrid>
      <w:tr>
        <w:trPr>
          <w:trHeight w:val="1881" w:hRule="atLeast"/>
        </w:trPr>
        <w:tc>
          <w:tcPr>
            <w:tcW w:w="4257" w:type="dxa"/>
          </w:tcPr>
          <w:p>
            <w:pPr>
              <w:pStyle w:val="TableParagraph"/>
              <w:ind w:left="110"/>
              <w:rPr>
                <w:rFonts w:ascii="Calibri"/>
                <w:sz w:val="22"/>
              </w:rPr>
            </w:pPr>
            <w:r>
              <w:rPr>
                <w:rFonts w:ascii="Calibri"/>
                <w:sz w:val="22"/>
              </w:rPr>
              <w:t>This could also include updating legacy references (e.g. ARCH within CSP documentation)</w:t>
            </w:r>
            <w:r>
              <w:rPr>
                <w:rFonts w:ascii="Calibri"/>
                <w:spacing w:val="-5"/>
                <w:sz w:val="22"/>
              </w:rPr>
              <w:t> </w:t>
            </w:r>
            <w:r>
              <w:rPr>
                <w:rFonts w:ascii="Calibri"/>
                <w:sz w:val="22"/>
              </w:rPr>
              <w:t>and</w:t>
            </w:r>
            <w:r>
              <w:rPr>
                <w:rFonts w:ascii="Calibri"/>
                <w:spacing w:val="-4"/>
                <w:sz w:val="22"/>
              </w:rPr>
              <w:t> </w:t>
            </w:r>
            <w:r>
              <w:rPr>
                <w:rFonts w:ascii="Calibri"/>
                <w:sz w:val="22"/>
              </w:rPr>
              <w:t>ensuring</w:t>
            </w:r>
            <w:r>
              <w:rPr>
                <w:rFonts w:ascii="Calibri"/>
                <w:spacing w:val="-2"/>
                <w:sz w:val="22"/>
              </w:rPr>
              <w:t> </w:t>
            </w:r>
            <w:r>
              <w:rPr>
                <w:rFonts w:ascii="Calibri"/>
                <w:sz w:val="22"/>
              </w:rPr>
              <w:t>governance documentation</w:t>
            </w:r>
            <w:r>
              <w:rPr>
                <w:rFonts w:ascii="Calibri"/>
                <w:spacing w:val="-13"/>
                <w:sz w:val="22"/>
              </w:rPr>
              <w:t> </w:t>
            </w:r>
            <w:r>
              <w:rPr>
                <w:rFonts w:ascii="Calibri"/>
                <w:sz w:val="22"/>
              </w:rPr>
              <w:t>accurately</w:t>
            </w:r>
            <w:r>
              <w:rPr>
                <w:rFonts w:ascii="Calibri"/>
                <w:spacing w:val="-12"/>
                <w:sz w:val="22"/>
              </w:rPr>
              <w:t> </w:t>
            </w:r>
            <w:r>
              <w:rPr>
                <w:rFonts w:ascii="Calibri"/>
                <w:sz w:val="22"/>
              </w:rPr>
              <w:t>reflects</w:t>
            </w:r>
            <w:r>
              <w:rPr>
                <w:rFonts w:ascii="Calibri"/>
                <w:spacing w:val="-13"/>
                <w:sz w:val="22"/>
              </w:rPr>
              <w:t> </w:t>
            </w:r>
            <w:r>
              <w:rPr>
                <w:rFonts w:ascii="Calibri"/>
                <w:sz w:val="22"/>
              </w:rPr>
              <w:t>current operating arrangements.</w:t>
            </w:r>
          </w:p>
        </w:tc>
        <w:tc>
          <w:tcPr>
            <w:tcW w:w="4111" w:type="dxa"/>
          </w:tcPr>
          <w:p>
            <w:pPr>
              <w:pStyle w:val="TableParagraph"/>
              <w:spacing w:line="237" w:lineRule="auto" w:before="2"/>
              <w:ind w:left="104"/>
              <w:rPr>
                <w:rFonts w:ascii="Calibri"/>
                <w:sz w:val="22"/>
              </w:rPr>
            </w:pPr>
            <w:r>
              <w:rPr>
                <w:rFonts w:ascii="Calibri"/>
                <w:sz w:val="22"/>
              </w:rPr>
              <w:t>or</w:t>
            </w:r>
            <w:r>
              <w:rPr>
                <w:rFonts w:ascii="Calibri"/>
                <w:spacing w:val="-8"/>
                <w:sz w:val="22"/>
              </w:rPr>
              <w:t> </w:t>
            </w:r>
            <w:r>
              <w:rPr>
                <w:rFonts w:ascii="Calibri"/>
                <w:sz w:val="22"/>
              </w:rPr>
              <w:t>a</w:t>
            </w:r>
            <w:r>
              <w:rPr>
                <w:rFonts w:ascii="Calibri"/>
                <w:spacing w:val="-7"/>
                <w:sz w:val="22"/>
              </w:rPr>
              <w:t> </w:t>
            </w:r>
            <w:r>
              <w:rPr>
                <w:rFonts w:ascii="Calibri"/>
                <w:sz w:val="22"/>
              </w:rPr>
              <w:t>change</w:t>
            </w:r>
            <w:r>
              <w:rPr>
                <w:rFonts w:ascii="Calibri"/>
                <w:spacing w:val="-7"/>
                <w:sz w:val="22"/>
              </w:rPr>
              <w:t> </w:t>
            </w:r>
            <w:r>
              <w:rPr>
                <w:rFonts w:ascii="Calibri"/>
                <w:sz w:val="22"/>
              </w:rPr>
              <w:t>to</w:t>
            </w:r>
            <w:r>
              <w:rPr>
                <w:rFonts w:ascii="Calibri"/>
                <w:spacing w:val="-7"/>
                <w:sz w:val="22"/>
              </w:rPr>
              <w:t> </w:t>
            </w:r>
            <w:r>
              <w:rPr>
                <w:rFonts w:ascii="Calibri"/>
                <w:sz w:val="22"/>
              </w:rPr>
              <w:t>programme</w:t>
            </w:r>
            <w:r>
              <w:rPr>
                <w:rFonts w:ascii="Calibri"/>
                <w:spacing w:val="-7"/>
                <w:sz w:val="22"/>
              </w:rPr>
              <w:t> </w:t>
            </w:r>
            <w:r>
              <w:rPr>
                <w:rFonts w:ascii="Calibri"/>
                <w:sz w:val="22"/>
              </w:rPr>
              <w:t>baseline</w:t>
            </w:r>
            <w:r>
              <w:rPr>
                <w:rFonts w:ascii="Calibri"/>
                <w:spacing w:val="-7"/>
                <w:sz w:val="22"/>
              </w:rPr>
              <w:t> </w:t>
            </w:r>
            <w:r>
              <w:rPr>
                <w:rFonts w:ascii="Calibri"/>
                <w:sz w:val="22"/>
              </w:rPr>
              <w:t>is </w:t>
            </w:r>
            <w:r>
              <w:rPr>
                <w:rFonts w:ascii="Calibri"/>
                <w:spacing w:val="-2"/>
                <w:sz w:val="22"/>
              </w:rPr>
              <w:t>required</w:t>
            </w:r>
          </w:p>
          <w:p>
            <w:pPr>
              <w:pStyle w:val="TableParagraph"/>
              <w:spacing w:before="2"/>
              <w:ind w:left="104"/>
              <w:rPr>
                <w:rFonts w:ascii="Calibri"/>
                <w:sz w:val="22"/>
              </w:rPr>
            </w:pPr>
            <w:r>
              <w:rPr>
                <w:rFonts w:ascii="Calibri"/>
                <w:sz w:val="22"/>
              </w:rPr>
              <w:t>Legacy</w:t>
            </w:r>
            <w:r>
              <w:rPr>
                <w:rFonts w:ascii="Calibri"/>
                <w:spacing w:val="-7"/>
                <w:sz w:val="22"/>
              </w:rPr>
              <w:t> </w:t>
            </w:r>
            <w:r>
              <w:rPr>
                <w:rFonts w:ascii="Calibri"/>
                <w:sz w:val="22"/>
              </w:rPr>
              <w:t>references</w:t>
            </w:r>
            <w:r>
              <w:rPr>
                <w:rFonts w:ascii="Calibri"/>
                <w:spacing w:val="-8"/>
                <w:sz w:val="22"/>
              </w:rPr>
              <w:t> </w:t>
            </w:r>
            <w:r>
              <w:rPr>
                <w:rFonts w:ascii="Calibri"/>
                <w:sz w:val="22"/>
              </w:rPr>
              <w:t>have</w:t>
            </w:r>
            <w:r>
              <w:rPr>
                <w:rFonts w:ascii="Calibri"/>
                <w:spacing w:val="-7"/>
                <w:sz w:val="22"/>
              </w:rPr>
              <w:t> </w:t>
            </w:r>
            <w:r>
              <w:rPr>
                <w:rFonts w:ascii="Calibri"/>
                <w:sz w:val="22"/>
              </w:rPr>
              <w:t>been</w:t>
            </w:r>
            <w:r>
              <w:rPr>
                <w:rFonts w:ascii="Calibri"/>
                <w:spacing w:val="-8"/>
                <w:sz w:val="22"/>
              </w:rPr>
              <w:t> </w:t>
            </w:r>
            <w:r>
              <w:rPr>
                <w:rFonts w:ascii="Calibri"/>
                <w:sz w:val="22"/>
              </w:rPr>
              <w:t>updated</w:t>
            </w:r>
            <w:r>
              <w:rPr>
                <w:rFonts w:ascii="Calibri"/>
                <w:spacing w:val="-4"/>
                <w:sz w:val="22"/>
              </w:rPr>
              <w:t> </w:t>
            </w:r>
            <w:r>
              <w:rPr>
                <w:rFonts w:ascii="Calibri"/>
                <w:sz w:val="22"/>
              </w:rPr>
              <w:t>to ensure governance documentation accurately reflects current operating </w:t>
            </w:r>
            <w:r>
              <w:rPr>
                <w:rFonts w:ascii="Calibri"/>
                <w:spacing w:val="-2"/>
                <w:sz w:val="22"/>
              </w:rPr>
              <w:t>arrangements.</w:t>
            </w:r>
          </w:p>
        </w:tc>
        <w:tc>
          <w:tcPr>
            <w:tcW w:w="1986" w:type="dxa"/>
          </w:tcPr>
          <w:p>
            <w:pPr>
              <w:pStyle w:val="TableParagraph"/>
              <w:rPr>
                <w:rFonts w:ascii="Times New Roman"/>
                <w:sz w:val="20"/>
              </w:rPr>
            </w:pPr>
          </w:p>
        </w:tc>
        <w:tc>
          <w:tcPr>
            <w:tcW w:w="2696" w:type="dxa"/>
          </w:tcPr>
          <w:p>
            <w:pPr>
              <w:pStyle w:val="TableParagraph"/>
              <w:rPr>
                <w:rFonts w:ascii="Times New Roman"/>
                <w:sz w:val="20"/>
              </w:rPr>
            </w:pPr>
          </w:p>
        </w:tc>
        <w:tc>
          <w:tcPr>
            <w:tcW w:w="2266" w:type="dxa"/>
          </w:tcPr>
          <w:p>
            <w:pPr>
              <w:pStyle w:val="TableParagraph"/>
              <w:rPr>
                <w:rFonts w:ascii="Times New Roman"/>
                <w:sz w:val="20"/>
              </w:rPr>
            </w:pPr>
          </w:p>
        </w:tc>
      </w:tr>
      <w:tr>
        <w:trPr>
          <w:trHeight w:val="4577" w:hRule="atLeast"/>
        </w:trPr>
        <w:tc>
          <w:tcPr>
            <w:tcW w:w="4257" w:type="dxa"/>
          </w:tcPr>
          <w:p>
            <w:pPr>
              <w:pStyle w:val="TableParagraph"/>
              <w:ind w:left="110" w:right="162"/>
              <w:rPr>
                <w:rFonts w:ascii="Calibri"/>
                <w:sz w:val="22"/>
              </w:rPr>
            </w:pPr>
            <w:r>
              <w:rPr>
                <w:rFonts w:ascii="Calibri"/>
                <w:sz w:val="22"/>
              </w:rPr>
              <w:t>Action 4: Programme Risk Management Completion of the strategic risk register should be followed by the definition and implementation of a programme-wide approach to risk management, to ensure delivery risks are consistently identified, recorded</w:t>
            </w:r>
            <w:r>
              <w:rPr>
                <w:rFonts w:ascii="Calibri"/>
                <w:spacing w:val="-9"/>
                <w:sz w:val="22"/>
              </w:rPr>
              <w:t> </w:t>
            </w:r>
            <w:r>
              <w:rPr>
                <w:rFonts w:ascii="Calibri"/>
                <w:sz w:val="22"/>
              </w:rPr>
              <w:t>and</w:t>
            </w:r>
            <w:r>
              <w:rPr>
                <w:rFonts w:ascii="Calibri"/>
                <w:spacing w:val="-10"/>
                <w:sz w:val="22"/>
              </w:rPr>
              <w:t> </w:t>
            </w:r>
            <w:r>
              <w:rPr>
                <w:rFonts w:ascii="Calibri"/>
                <w:sz w:val="22"/>
              </w:rPr>
              <w:t>escalated</w:t>
            </w:r>
            <w:r>
              <w:rPr>
                <w:rFonts w:ascii="Calibri"/>
                <w:spacing w:val="-9"/>
                <w:sz w:val="22"/>
              </w:rPr>
              <w:t> </w:t>
            </w:r>
            <w:r>
              <w:rPr>
                <w:rFonts w:ascii="Calibri"/>
                <w:sz w:val="22"/>
              </w:rPr>
              <w:t>across</w:t>
            </w:r>
            <w:r>
              <w:rPr>
                <w:rFonts w:ascii="Calibri"/>
                <w:spacing w:val="-10"/>
                <w:sz w:val="22"/>
              </w:rPr>
              <w:t> </w:t>
            </w:r>
            <w:r>
              <w:rPr>
                <w:rFonts w:ascii="Calibri"/>
                <w:sz w:val="22"/>
              </w:rPr>
              <w:t>all</w:t>
            </w:r>
            <w:r>
              <w:rPr>
                <w:rFonts w:ascii="Calibri"/>
                <w:spacing w:val="-8"/>
                <w:sz w:val="22"/>
              </w:rPr>
              <w:t> </w:t>
            </w:r>
            <w:r>
              <w:rPr>
                <w:rFonts w:ascii="Calibri"/>
                <w:sz w:val="22"/>
              </w:rPr>
              <w:t>subgroups and workstreams</w:t>
            </w:r>
          </w:p>
        </w:tc>
        <w:tc>
          <w:tcPr>
            <w:tcW w:w="4111" w:type="dxa"/>
          </w:tcPr>
          <w:p>
            <w:pPr>
              <w:pStyle w:val="TableParagraph"/>
              <w:ind w:left="104" w:right="95"/>
              <w:rPr>
                <w:rFonts w:ascii="Calibri" w:hAnsi="Calibri"/>
                <w:sz w:val="22"/>
              </w:rPr>
            </w:pPr>
            <w:r>
              <w:rPr>
                <w:rFonts w:ascii="Calibri" w:hAnsi="Calibri"/>
                <w:sz w:val="22"/>
              </w:rPr>
              <w:t>A jointly developed and standalone RJC strategic</w:t>
            </w:r>
            <w:r>
              <w:rPr>
                <w:rFonts w:ascii="Calibri" w:hAnsi="Calibri"/>
                <w:spacing w:val="-7"/>
                <w:sz w:val="22"/>
              </w:rPr>
              <w:t> </w:t>
            </w:r>
            <w:r>
              <w:rPr>
                <w:rFonts w:ascii="Calibri" w:hAnsi="Calibri"/>
                <w:sz w:val="22"/>
              </w:rPr>
              <w:t>risk</w:t>
            </w:r>
            <w:r>
              <w:rPr>
                <w:rFonts w:ascii="Calibri" w:hAnsi="Calibri"/>
                <w:spacing w:val="-7"/>
                <w:sz w:val="22"/>
              </w:rPr>
              <w:t> </w:t>
            </w:r>
            <w:r>
              <w:rPr>
                <w:rFonts w:ascii="Calibri" w:hAnsi="Calibri"/>
                <w:sz w:val="22"/>
              </w:rPr>
              <w:t>register</w:t>
            </w:r>
            <w:r>
              <w:rPr>
                <w:rFonts w:ascii="Calibri" w:hAnsi="Calibri"/>
                <w:spacing w:val="-9"/>
                <w:sz w:val="22"/>
              </w:rPr>
              <w:t> </w:t>
            </w:r>
            <w:r>
              <w:rPr>
                <w:rFonts w:ascii="Calibri" w:hAnsi="Calibri"/>
                <w:sz w:val="22"/>
              </w:rPr>
              <w:t>will</w:t>
            </w:r>
            <w:r>
              <w:rPr>
                <w:rFonts w:ascii="Calibri" w:hAnsi="Calibri"/>
                <w:spacing w:val="-7"/>
                <w:sz w:val="22"/>
              </w:rPr>
              <w:t> </w:t>
            </w:r>
            <w:r>
              <w:rPr>
                <w:rFonts w:ascii="Calibri" w:hAnsi="Calibri"/>
                <w:sz w:val="22"/>
              </w:rPr>
              <w:t>be</w:t>
            </w:r>
            <w:r>
              <w:rPr>
                <w:rFonts w:ascii="Calibri" w:hAnsi="Calibri"/>
                <w:spacing w:val="-7"/>
                <w:sz w:val="22"/>
              </w:rPr>
              <w:t> </w:t>
            </w:r>
            <w:r>
              <w:rPr>
                <w:rFonts w:ascii="Calibri" w:hAnsi="Calibri"/>
                <w:sz w:val="22"/>
              </w:rPr>
              <w:t>presented</w:t>
            </w:r>
            <w:r>
              <w:rPr>
                <w:rFonts w:ascii="Calibri" w:hAnsi="Calibri"/>
                <w:spacing w:val="-8"/>
                <w:sz w:val="22"/>
              </w:rPr>
              <w:t> </w:t>
            </w:r>
            <w:r>
              <w:rPr>
                <w:rFonts w:ascii="Calibri" w:hAnsi="Calibri"/>
                <w:sz w:val="22"/>
              </w:rPr>
              <w:t>to the RJC on 13 October 2026, identifying system</w:t>
            </w:r>
            <w:r>
              <w:rPr>
                <w:rFonts w:ascii="Cambria Math" w:hAnsi="Cambria Math"/>
                <w:sz w:val="22"/>
              </w:rPr>
              <w:t>‑</w:t>
            </w:r>
            <w:r>
              <w:rPr>
                <w:rFonts w:ascii="Calibri" w:hAnsi="Calibri"/>
                <w:sz w:val="22"/>
              </w:rPr>
              <w:t>wide risks aligned to each of the RJC’s objectives.</w:t>
            </w:r>
          </w:p>
          <w:p>
            <w:pPr>
              <w:pStyle w:val="TableParagraph"/>
              <w:spacing w:before="9"/>
              <w:rPr>
                <w:rFonts w:ascii="Calibri"/>
                <w:sz w:val="22"/>
              </w:rPr>
            </w:pPr>
          </w:p>
          <w:p>
            <w:pPr>
              <w:pStyle w:val="TableParagraph"/>
              <w:ind w:left="104" w:right="186"/>
              <w:rPr>
                <w:rFonts w:ascii="Calibri"/>
                <w:sz w:val="22"/>
              </w:rPr>
            </w:pPr>
            <w:r>
              <w:rPr>
                <w:rFonts w:ascii="Calibri"/>
                <w:sz w:val="22"/>
              </w:rPr>
              <w:t>These</w:t>
            </w:r>
            <w:r>
              <w:rPr>
                <w:rFonts w:ascii="Calibri"/>
                <w:spacing w:val="-7"/>
                <w:sz w:val="22"/>
              </w:rPr>
              <w:t> </w:t>
            </w:r>
            <w:r>
              <w:rPr>
                <w:rFonts w:ascii="Calibri"/>
                <w:sz w:val="22"/>
              </w:rPr>
              <w:t>risks</w:t>
            </w:r>
            <w:r>
              <w:rPr>
                <w:rFonts w:ascii="Calibri"/>
                <w:spacing w:val="-3"/>
                <w:sz w:val="22"/>
              </w:rPr>
              <w:t> </w:t>
            </w:r>
            <w:r>
              <w:rPr>
                <w:rFonts w:ascii="Calibri"/>
                <w:sz w:val="22"/>
              </w:rPr>
              <w:t>will</w:t>
            </w:r>
            <w:r>
              <w:rPr>
                <w:rFonts w:ascii="Calibri"/>
                <w:spacing w:val="-7"/>
                <w:sz w:val="22"/>
              </w:rPr>
              <w:t> </w:t>
            </w:r>
            <w:r>
              <w:rPr>
                <w:rFonts w:ascii="Calibri"/>
                <w:sz w:val="22"/>
              </w:rPr>
              <w:t>be</w:t>
            </w:r>
            <w:r>
              <w:rPr>
                <w:rFonts w:ascii="Calibri"/>
                <w:spacing w:val="-7"/>
                <w:sz w:val="22"/>
              </w:rPr>
              <w:t> </w:t>
            </w:r>
            <w:r>
              <w:rPr>
                <w:rFonts w:ascii="Calibri"/>
                <w:sz w:val="22"/>
              </w:rPr>
              <w:t>aligned</w:t>
            </w:r>
            <w:r>
              <w:rPr>
                <w:rFonts w:ascii="Calibri"/>
                <w:spacing w:val="-7"/>
                <w:sz w:val="22"/>
              </w:rPr>
              <w:t> </w:t>
            </w:r>
            <w:r>
              <w:rPr>
                <w:rFonts w:ascii="Calibri"/>
                <w:sz w:val="22"/>
              </w:rPr>
              <w:t>to</w:t>
            </w:r>
            <w:r>
              <w:rPr>
                <w:rFonts w:ascii="Calibri"/>
                <w:spacing w:val="-8"/>
                <w:sz w:val="22"/>
              </w:rPr>
              <w:t> </w:t>
            </w:r>
            <w:r>
              <w:rPr>
                <w:rFonts w:ascii="Calibri"/>
                <w:sz w:val="22"/>
              </w:rPr>
              <w:t>each</w:t>
            </w:r>
            <w:r>
              <w:rPr>
                <w:rFonts w:ascii="Calibri"/>
                <w:spacing w:val="-7"/>
                <w:sz w:val="22"/>
              </w:rPr>
              <w:t> </w:t>
            </w:r>
            <w:r>
              <w:rPr>
                <w:rFonts w:ascii="Calibri"/>
                <w:sz w:val="22"/>
              </w:rPr>
              <w:t>relevant Sub-Group</w:t>
            </w:r>
            <w:r>
              <w:rPr>
                <w:rFonts w:ascii="Calibri"/>
                <w:spacing w:val="-1"/>
                <w:sz w:val="22"/>
              </w:rPr>
              <w:t> </w:t>
            </w:r>
            <w:r>
              <w:rPr>
                <w:rFonts w:ascii="Calibri"/>
                <w:sz w:val="22"/>
              </w:rPr>
              <w:t>and</w:t>
            </w:r>
            <w:r>
              <w:rPr>
                <w:rFonts w:ascii="Calibri"/>
                <w:spacing w:val="-1"/>
                <w:sz w:val="22"/>
              </w:rPr>
              <w:t> </w:t>
            </w:r>
            <w:r>
              <w:rPr>
                <w:rFonts w:ascii="Calibri"/>
                <w:sz w:val="22"/>
              </w:rPr>
              <w:t>workstream and identified on their Work Programme Summary (PP Slides) with their owner, impact and mitigating action clearly articulated.</w:t>
            </w:r>
          </w:p>
          <w:p>
            <w:pPr>
              <w:pStyle w:val="TableParagraph"/>
              <w:spacing w:before="5"/>
              <w:rPr>
                <w:rFonts w:ascii="Calibri"/>
                <w:sz w:val="22"/>
              </w:rPr>
            </w:pPr>
          </w:p>
          <w:p>
            <w:pPr>
              <w:pStyle w:val="TableParagraph"/>
              <w:ind w:left="104" w:right="95"/>
              <w:rPr>
                <w:rFonts w:ascii="Calibri"/>
                <w:sz w:val="22"/>
              </w:rPr>
            </w:pPr>
            <w:r>
              <w:rPr>
                <w:rFonts w:ascii="Calibri"/>
                <w:sz w:val="22"/>
              </w:rPr>
              <w:t>These risks will also be referenced within each of the Sub-Groups AAA Update Reports</w:t>
            </w:r>
            <w:r>
              <w:rPr>
                <w:rFonts w:ascii="Calibri"/>
                <w:spacing w:val="-7"/>
                <w:sz w:val="22"/>
              </w:rPr>
              <w:t> </w:t>
            </w:r>
            <w:r>
              <w:rPr>
                <w:rFonts w:ascii="Calibri"/>
                <w:sz w:val="22"/>
              </w:rPr>
              <w:t>to</w:t>
            </w:r>
            <w:r>
              <w:rPr>
                <w:rFonts w:ascii="Calibri"/>
                <w:spacing w:val="-8"/>
                <w:sz w:val="22"/>
              </w:rPr>
              <w:t> </w:t>
            </w:r>
            <w:r>
              <w:rPr>
                <w:rFonts w:ascii="Calibri"/>
                <w:sz w:val="22"/>
              </w:rPr>
              <w:t>the</w:t>
            </w:r>
            <w:r>
              <w:rPr>
                <w:rFonts w:ascii="Calibri"/>
                <w:spacing w:val="-7"/>
                <w:sz w:val="22"/>
              </w:rPr>
              <w:t> </w:t>
            </w:r>
            <w:r>
              <w:rPr>
                <w:rFonts w:ascii="Calibri"/>
                <w:sz w:val="22"/>
              </w:rPr>
              <w:t>RJC</w:t>
            </w:r>
            <w:r>
              <w:rPr>
                <w:rFonts w:ascii="Calibri"/>
                <w:spacing w:val="-5"/>
                <w:sz w:val="22"/>
              </w:rPr>
              <w:t> </w:t>
            </w:r>
            <w:r>
              <w:rPr>
                <w:rFonts w:ascii="Calibri"/>
                <w:sz w:val="22"/>
              </w:rPr>
              <w:t>providing</w:t>
            </w:r>
            <w:r>
              <w:rPr>
                <w:rFonts w:ascii="Calibri"/>
                <w:spacing w:val="-7"/>
                <w:sz w:val="22"/>
              </w:rPr>
              <w:t> </w:t>
            </w:r>
            <w:r>
              <w:rPr>
                <w:rFonts w:ascii="Calibri"/>
                <w:sz w:val="22"/>
              </w:rPr>
              <w:t>assurance</w:t>
            </w:r>
            <w:r>
              <w:rPr>
                <w:rFonts w:ascii="Calibri"/>
                <w:spacing w:val="-7"/>
                <w:sz w:val="22"/>
              </w:rPr>
              <w:t> </w:t>
            </w:r>
            <w:r>
              <w:rPr>
                <w:rFonts w:ascii="Calibri"/>
                <w:sz w:val="22"/>
              </w:rPr>
              <w:t>on how risks are being managed.</w:t>
            </w:r>
          </w:p>
        </w:tc>
        <w:tc>
          <w:tcPr>
            <w:tcW w:w="1986" w:type="dxa"/>
          </w:tcPr>
          <w:p>
            <w:pPr>
              <w:pStyle w:val="TableParagraph"/>
              <w:ind w:left="485"/>
              <w:rPr>
                <w:rFonts w:ascii="Calibri"/>
                <w:sz w:val="22"/>
              </w:rPr>
            </w:pPr>
            <w:r>
              <w:rPr>
                <w:rFonts w:ascii="Calibri"/>
                <w:sz w:val="22"/>
              </w:rPr>
              <w:t>Hazel</w:t>
            </w:r>
            <w:r>
              <w:rPr>
                <w:rFonts w:ascii="Calibri"/>
                <w:spacing w:val="-5"/>
                <w:sz w:val="22"/>
              </w:rPr>
              <w:t> </w:t>
            </w:r>
            <w:r>
              <w:rPr>
                <w:rFonts w:ascii="Calibri"/>
                <w:spacing w:val="-2"/>
                <w:sz w:val="22"/>
              </w:rPr>
              <w:t>Lloyd</w:t>
            </w:r>
          </w:p>
        </w:tc>
        <w:tc>
          <w:tcPr>
            <w:tcW w:w="2696" w:type="dxa"/>
          </w:tcPr>
          <w:p>
            <w:pPr>
              <w:pStyle w:val="TableParagraph"/>
              <w:ind w:left="814"/>
              <w:rPr>
                <w:rFonts w:ascii="Calibri"/>
                <w:sz w:val="22"/>
              </w:rPr>
            </w:pPr>
            <w:r>
              <w:rPr>
                <w:rFonts w:ascii="Calibri"/>
                <w:spacing w:val="-2"/>
                <w:sz w:val="22"/>
              </w:rPr>
              <w:t>13/10/2026</w:t>
            </w:r>
          </w:p>
        </w:tc>
        <w:tc>
          <w:tcPr>
            <w:tcW w:w="2266" w:type="dxa"/>
          </w:tcPr>
          <w:p>
            <w:pPr>
              <w:pStyle w:val="TableParagraph"/>
              <w:ind w:left="104" w:right="103"/>
              <w:rPr>
                <w:rFonts w:ascii="Calibri"/>
                <w:sz w:val="22"/>
              </w:rPr>
            </w:pPr>
            <w:r>
              <w:rPr>
                <w:rFonts w:ascii="Calibri"/>
                <w:sz w:val="22"/>
              </w:rPr>
              <w:t>RJC strategic risk register presented to the</w:t>
            </w:r>
            <w:r>
              <w:rPr>
                <w:rFonts w:ascii="Calibri"/>
                <w:spacing w:val="-9"/>
                <w:sz w:val="22"/>
              </w:rPr>
              <w:t> </w:t>
            </w:r>
            <w:r>
              <w:rPr>
                <w:rFonts w:ascii="Calibri"/>
                <w:sz w:val="22"/>
              </w:rPr>
              <w:t>RJC</w:t>
            </w:r>
            <w:r>
              <w:rPr>
                <w:rFonts w:ascii="Calibri"/>
                <w:spacing w:val="-8"/>
                <w:sz w:val="22"/>
              </w:rPr>
              <w:t> </w:t>
            </w:r>
            <w:r>
              <w:rPr>
                <w:rFonts w:ascii="Calibri"/>
                <w:sz w:val="22"/>
              </w:rPr>
              <w:t>on</w:t>
            </w:r>
            <w:r>
              <w:rPr>
                <w:rFonts w:ascii="Calibri"/>
                <w:spacing w:val="-10"/>
                <w:sz w:val="22"/>
              </w:rPr>
              <w:t> </w:t>
            </w:r>
            <w:r>
              <w:rPr>
                <w:rFonts w:ascii="Calibri"/>
                <w:sz w:val="22"/>
              </w:rPr>
              <w:t>13</w:t>
            </w:r>
            <w:r>
              <w:rPr>
                <w:rFonts w:ascii="Calibri"/>
                <w:spacing w:val="-11"/>
                <w:sz w:val="22"/>
              </w:rPr>
              <w:t> </w:t>
            </w:r>
            <w:r>
              <w:rPr>
                <w:rFonts w:ascii="Calibri"/>
                <w:sz w:val="22"/>
              </w:rPr>
              <w:t>October </w:t>
            </w:r>
            <w:r>
              <w:rPr>
                <w:rFonts w:ascii="Calibri"/>
                <w:spacing w:val="-4"/>
                <w:sz w:val="22"/>
              </w:rPr>
              <w:t>2026</w:t>
            </w:r>
          </w:p>
        </w:tc>
      </w:tr>
    </w:tbl>
    <w:p>
      <w:pPr>
        <w:pStyle w:val="BodyText"/>
        <w:spacing w:before="181"/>
        <w:rPr>
          <w:rFonts w:ascii="Calibri"/>
          <w:sz w:val="22"/>
        </w:rPr>
      </w:pPr>
    </w:p>
    <w:p>
      <w:pPr>
        <w:spacing w:line="403" w:lineRule="auto" w:before="1"/>
        <w:ind w:left="1299" w:right="5654" w:firstLine="0"/>
        <w:jc w:val="both"/>
        <w:rPr>
          <w:rFonts w:ascii="Calibri" w:hAnsi="Calibri"/>
          <w:sz w:val="22"/>
        </w:rPr>
      </w:pPr>
      <w:r>
        <w:rPr>
          <w:rFonts w:ascii="Calibri" w:hAnsi="Calibri"/>
          <w:sz w:val="22"/>
        </w:rPr>
        <w:t>Prepared</w:t>
      </w:r>
      <w:r>
        <w:rPr>
          <w:rFonts w:ascii="Calibri" w:hAnsi="Calibri"/>
          <w:spacing w:val="-7"/>
          <w:sz w:val="22"/>
        </w:rPr>
        <w:t> </w:t>
      </w:r>
      <w:r>
        <w:rPr>
          <w:rFonts w:ascii="Calibri" w:hAnsi="Calibri"/>
          <w:sz w:val="22"/>
        </w:rPr>
        <w:t>By:</w:t>
      </w:r>
      <w:r>
        <w:rPr>
          <w:rFonts w:ascii="Calibri" w:hAnsi="Calibri"/>
          <w:spacing w:val="40"/>
          <w:sz w:val="22"/>
        </w:rPr>
        <w:t> </w:t>
      </w:r>
      <w:r>
        <w:rPr>
          <w:rFonts w:ascii="Calibri" w:hAnsi="Calibri"/>
          <w:sz w:val="22"/>
        </w:rPr>
        <w:t>…………………………………………………………………………………………………………………………………………….. Prepared</w:t>
      </w:r>
      <w:r>
        <w:rPr>
          <w:rFonts w:ascii="Calibri" w:hAnsi="Calibri"/>
          <w:spacing w:val="-8"/>
          <w:sz w:val="22"/>
        </w:rPr>
        <w:t> </w:t>
      </w:r>
      <w:r>
        <w:rPr>
          <w:rFonts w:ascii="Calibri" w:hAnsi="Calibri"/>
          <w:sz w:val="22"/>
        </w:rPr>
        <w:t>On:</w:t>
      </w:r>
      <w:r>
        <w:rPr>
          <w:rFonts w:ascii="Calibri" w:hAnsi="Calibri"/>
          <w:spacing w:val="40"/>
          <w:sz w:val="22"/>
        </w:rPr>
        <w:t> </w:t>
      </w:r>
      <w:r>
        <w:rPr>
          <w:rFonts w:ascii="Calibri" w:hAnsi="Calibri"/>
          <w:sz w:val="22"/>
        </w:rPr>
        <w:t>…………………………………………………………………………………………………………………………………………….. Approved</w:t>
      </w:r>
      <w:r>
        <w:rPr>
          <w:rFonts w:ascii="Calibri" w:hAnsi="Calibri"/>
          <w:spacing w:val="-8"/>
          <w:sz w:val="22"/>
        </w:rPr>
        <w:t> </w:t>
      </w:r>
      <w:r>
        <w:rPr>
          <w:rFonts w:ascii="Calibri" w:hAnsi="Calibri"/>
          <w:sz w:val="22"/>
        </w:rPr>
        <w:t>By:</w:t>
      </w:r>
      <w:r>
        <w:rPr>
          <w:rFonts w:ascii="Calibri" w:hAnsi="Calibri"/>
          <w:spacing w:val="40"/>
          <w:sz w:val="22"/>
        </w:rPr>
        <w:t> </w:t>
      </w:r>
      <w:r>
        <w:rPr>
          <w:rFonts w:ascii="Calibri" w:hAnsi="Calibri"/>
          <w:sz w:val="22"/>
        </w:rPr>
        <w:t>…………………………………………………………………………………………………………………………………………….. Approved</w:t>
      </w:r>
      <w:r>
        <w:rPr>
          <w:rFonts w:ascii="Calibri" w:hAnsi="Calibri"/>
          <w:spacing w:val="-3"/>
          <w:sz w:val="22"/>
        </w:rPr>
        <w:t> </w:t>
      </w:r>
      <w:r>
        <w:rPr>
          <w:rFonts w:ascii="Calibri" w:hAnsi="Calibri"/>
          <w:sz w:val="22"/>
        </w:rPr>
        <w:t>On:</w:t>
      </w:r>
      <w:r>
        <w:rPr>
          <w:rFonts w:ascii="Calibri" w:hAnsi="Calibri"/>
          <w:spacing w:val="46"/>
          <w:sz w:val="22"/>
        </w:rPr>
        <w:t>  </w:t>
      </w:r>
      <w:r>
        <w:rPr>
          <w:rFonts w:ascii="Calibri" w:hAnsi="Calibri"/>
          <w:spacing w:val="-2"/>
          <w:sz w:val="22"/>
        </w:rPr>
        <w:t>……………………………………………………………………………………………………………………………………………..</w:t>
      </w:r>
    </w:p>
    <w:p>
      <w:pPr>
        <w:pStyle w:val="BodyText"/>
        <w:spacing w:before="212"/>
        <w:rPr>
          <w:rFonts w:ascii="Calibri"/>
          <w:sz w:val="22"/>
        </w:rPr>
      </w:pPr>
    </w:p>
    <w:p>
      <w:pPr>
        <w:spacing w:before="0"/>
        <w:ind w:left="0" w:right="1289" w:firstLine="0"/>
        <w:jc w:val="right"/>
        <w:rPr>
          <w:rFonts w:ascii="Calibri"/>
          <w:sz w:val="22"/>
        </w:rPr>
      </w:pPr>
      <w:r>
        <w:rPr>
          <w:rFonts w:ascii="Calibri"/>
          <w:spacing w:val="-10"/>
          <w:sz w:val="22"/>
        </w:rPr>
        <w:t>6</w:t>
      </w:r>
    </w:p>
    <w:p>
      <w:pPr>
        <w:spacing w:after="0"/>
        <w:jc w:val="right"/>
        <w:rPr>
          <w:rFonts w:ascii="Calibri"/>
          <w:sz w:val="22"/>
        </w:rPr>
        <w:sectPr>
          <w:pgSz w:w="16840" w:h="11910" w:orient="landscape"/>
          <w:pgMar w:header="0" w:footer="198" w:top="1340" w:bottom="380" w:left="141" w:right="142"/>
        </w:sectPr>
      </w:pPr>
    </w:p>
    <w:p>
      <w:pPr>
        <w:pStyle w:val="Heading4"/>
        <w:numPr>
          <w:ilvl w:val="1"/>
          <w:numId w:val="98"/>
        </w:numPr>
        <w:tabs>
          <w:tab w:pos="6811" w:val="left" w:leader="none"/>
        </w:tabs>
        <w:spacing w:line="240" w:lineRule="auto" w:before="198" w:after="0"/>
        <w:ind w:left="6811" w:right="0" w:hanging="6638"/>
        <w:jc w:val="left"/>
        <w:rPr>
          <w:b w:val="0"/>
          <w:position w:val="-8"/>
          <w:sz w:val="36"/>
        </w:rPr>
      </w:pPr>
      <w:r>
        <w:rPr/>
        <w:t>12:00</w:t>
      </w:r>
      <w:r>
        <w:rPr>
          <w:spacing w:val="-4"/>
        </w:rPr>
        <w:t> </w:t>
      </w:r>
      <w:r>
        <w:rPr/>
        <w:t>PM,</w:t>
      </w:r>
      <w:r>
        <w:rPr>
          <w:spacing w:val="3"/>
        </w:rPr>
        <w:t> </w:t>
      </w:r>
      <w:r>
        <w:rPr/>
        <w:t>5</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733248">
                <wp:simplePos x="0" y="0"/>
                <wp:positionH relativeFrom="page">
                  <wp:posOffset>914400</wp:posOffset>
                </wp:positionH>
                <wp:positionV relativeFrom="paragraph">
                  <wp:posOffset>262302</wp:posOffset>
                </wp:positionV>
                <wp:extent cx="5730875" cy="6350"/>
                <wp:effectExtent l="0" t="0" r="0" b="0"/>
                <wp:wrapTopAndBottom/>
                <wp:docPr id="733" name="Graphic 733"/>
                <wp:cNvGraphicFramePr>
                  <a:graphicFrameLocks/>
                </wp:cNvGraphicFramePr>
                <a:graphic>
                  <a:graphicData uri="http://schemas.microsoft.com/office/word/2010/wordprocessingShape">
                    <wps:wsp>
                      <wps:cNvPr id="733" name="Graphic 733"/>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583232;mso-wrap-distance-left:0;mso-wrap-distance-right:0" id="docshape492" filled="true" fillcolor="#9f9f9f" stroked="false">
                <v:fill type="solid"/>
                <w10:wrap type="topAndBottom"/>
              </v:rect>
            </w:pict>
          </mc:Fallback>
        </mc:AlternateContent>
      </w:r>
    </w:p>
    <w:p>
      <w:pPr>
        <w:pStyle w:val="BodyText"/>
        <w:spacing w:before="61"/>
        <w:rPr>
          <w:b/>
          <w:sz w:val="32"/>
        </w:rPr>
      </w:pPr>
    </w:p>
    <w:p>
      <w:pPr>
        <w:pStyle w:val="ListParagraph"/>
        <w:numPr>
          <w:ilvl w:val="1"/>
          <w:numId w:val="97"/>
        </w:numPr>
        <w:tabs>
          <w:tab w:pos="561" w:val="left" w:leader="none"/>
          <w:tab w:pos="6896" w:val="left" w:leader="none"/>
          <w:tab w:pos="7826" w:val="left" w:leader="none"/>
        </w:tabs>
        <w:spacing w:line="160" w:lineRule="auto" w:before="1" w:after="0"/>
        <w:ind w:left="6896" w:right="18" w:hanging="6873"/>
        <w:jc w:val="right"/>
        <w:rPr>
          <w:sz w:val="32"/>
        </w:rPr>
      </w:pPr>
      <w:bookmarkStart w:name="7.4 - RJC/44: RJC Strategic Risk Registe" w:id="81"/>
      <w:bookmarkEnd w:id="81"/>
      <w:r>
        <w:rPr/>
      </w:r>
      <w:r>
        <w:rPr>
          <w:sz w:val="32"/>
        </w:rPr>
        <w:t>- RJC/44: RJC Strategic Risk Register</w:t>
        <w:tab/>
        <w:tab/>
      </w:r>
      <w:r>
        <w:rPr>
          <w:b/>
          <w:i/>
          <w:position w:val="9"/>
          <w:sz w:val="22"/>
        </w:rPr>
        <w:t>Hazel</w:t>
      </w:r>
      <w:r>
        <w:rPr>
          <w:b/>
          <w:i/>
          <w:spacing w:val="-16"/>
          <w:position w:val="9"/>
          <w:sz w:val="22"/>
        </w:rPr>
        <w:t> </w:t>
      </w:r>
      <w:r>
        <w:rPr>
          <w:b/>
          <w:i/>
          <w:position w:val="9"/>
          <w:sz w:val="22"/>
        </w:rPr>
        <w:t>Lloyd</w:t>
      </w:r>
      <w:r>
        <w:rPr>
          <w:b/>
          <w:i/>
          <w:position w:val="9"/>
          <w:sz w:val="22"/>
        </w:rPr>
        <w:t> </w:t>
      </w:r>
      <w:r>
        <w:rPr>
          <w:b/>
          <w:i/>
          <w:sz w:val="22"/>
        </w:rPr>
        <w:t>(Swansea</w:t>
      </w:r>
      <w:r>
        <w:rPr>
          <w:b/>
          <w:i/>
          <w:spacing w:val="-2"/>
          <w:sz w:val="22"/>
        </w:rPr>
        <w:t> </w:t>
      </w:r>
      <w:r>
        <w:rPr>
          <w:b/>
          <w:i/>
          <w:sz w:val="22"/>
        </w:rPr>
        <w:t>Bay</w:t>
      </w:r>
      <w:r>
        <w:rPr>
          <w:b/>
          <w:i/>
          <w:spacing w:val="-2"/>
          <w:sz w:val="22"/>
        </w:rPr>
        <w:t> </w:t>
      </w:r>
      <w:r>
        <w:rPr>
          <w:b/>
          <w:i/>
          <w:sz w:val="22"/>
        </w:rPr>
        <w:t>UHB </w:t>
      </w:r>
      <w:r>
        <w:rPr>
          <w:b/>
          <w:i/>
          <w:spacing w:val="-10"/>
          <w:sz w:val="22"/>
        </w:rPr>
        <w:t>-</w:t>
      </w:r>
    </w:p>
    <w:p>
      <w:pPr>
        <w:spacing w:line="256" w:lineRule="auto" w:before="38"/>
        <w:ind w:left="6811" w:right="20" w:firstLine="1185"/>
        <w:jc w:val="right"/>
        <w:rPr>
          <w:b/>
          <w:i/>
          <w:sz w:val="22"/>
        </w:rPr>
      </w:pPr>
      <w:r>
        <w:rPr>
          <w:b/>
          <w:i/>
          <w:spacing w:val="-2"/>
          <w:sz w:val="22"/>
        </w:rPr>
        <w:t>Corporate</w:t>
      </w:r>
      <w:r>
        <w:rPr>
          <w:b/>
          <w:i/>
          <w:spacing w:val="-2"/>
          <w:sz w:val="22"/>
        </w:rPr>
        <w:t> </w:t>
      </w:r>
      <w:r>
        <w:rPr>
          <w:b/>
          <w:i/>
          <w:sz w:val="22"/>
        </w:rPr>
        <w:t>Governance),</w:t>
      </w:r>
      <w:r>
        <w:rPr>
          <w:b/>
          <w:i/>
          <w:spacing w:val="-16"/>
          <w:sz w:val="22"/>
        </w:rPr>
        <w:t> </w:t>
      </w:r>
      <w:r>
        <w:rPr>
          <w:b/>
          <w:i/>
          <w:sz w:val="22"/>
        </w:rPr>
        <w:t>Joanne Wilson (Hywel Dda UHB - Director of</w:t>
      </w:r>
    </w:p>
    <w:p>
      <w:pPr>
        <w:spacing w:line="261" w:lineRule="auto" w:before="8"/>
        <w:ind w:left="7076" w:right="18" w:firstLine="920"/>
        <w:jc w:val="right"/>
        <w:rPr>
          <w:b/>
          <w:i/>
          <w:sz w:val="22"/>
        </w:rPr>
      </w:pPr>
      <w:r>
        <w:rPr>
          <w:b/>
          <w:i/>
          <w:spacing w:val="-2"/>
          <w:sz w:val="22"/>
        </w:rPr>
        <w:t>Corporate</w:t>
      </w:r>
      <w:r>
        <w:rPr>
          <w:b/>
          <w:i/>
          <w:spacing w:val="-2"/>
          <w:sz w:val="22"/>
        </w:rPr>
        <w:t> Governance/Board</w:t>
      </w:r>
    </w:p>
    <w:p>
      <w:pPr>
        <w:spacing w:line="246" w:lineRule="exact" w:before="0"/>
        <w:ind w:left="0" w:right="19" w:firstLine="0"/>
        <w:jc w:val="right"/>
        <w:rPr>
          <w:b/>
          <w:i/>
          <w:sz w:val="22"/>
        </w:rPr>
      </w:pPr>
      <w:r>
        <w:rPr>
          <w:b/>
          <w:i/>
          <w:spacing w:val="-2"/>
          <w:sz w:val="22"/>
        </w:rPr>
        <w:t>Secretary)</w:t>
      </w: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63"/>
        <w:rPr>
          <w:b/>
          <w:i/>
          <w:sz w:val="22"/>
        </w:rPr>
      </w:pPr>
    </w:p>
    <w:p>
      <w:pPr>
        <w:spacing w:before="0"/>
        <w:ind w:left="23" w:right="0" w:firstLine="0"/>
        <w:jc w:val="left"/>
        <w:rPr>
          <w:b/>
          <w:sz w:val="22"/>
        </w:rPr>
      </w:pPr>
      <w:r>
        <w:rPr>
          <w:b/>
          <w:spacing w:val="-2"/>
          <w:sz w:val="22"/>
        </w:rPr>
        <w:t>Attachments</w:t>
      </w:r>
    </w:p>
    <w:p>
      <w:pPr>
        <w:spacing w:before="180"/>
        <w:ind w:left="23" w:right="0" w:firstLine="0"/>
        <w:jc w:val="left"/>
        <w:rPr>
          <w:sz w:val="18"/>
        </w:rPr>
      </w:pPr>
      <w:r>
        <w:rPr>
          <w:sz w:val="18"/>
          <w:u w:val="single"/>
        </w:rPr>
        <w:t>RJC</w:t>
      </w:r>
      <w:r>
        <w:rPr>
          <w:spacing w:val="-1"/>
          <w:sz w:val="18"/>
          <w:u w:val="single"/>
        </w:rPr>
        <w:t> </w:t>
      </w:r>
      <w:r>
        <w:rPr>
          <w:sz w:val="18"/>
          <w:u w:val="single"/>
        </w:rPr>
        <w:t>44 RJC</w:t>
      </w:r>
      <w:r>
        <w:rPr>
          <w:spacing w:val="-1"/>
          <w:sz w:val="18"/>
          <w:u w:val="single"/>
        </w:rPr>
        <w:t> </w:t>
      </w:r>
      <w:r>
        <w:rPr>
          <w:sz w:val="18"/>
          <w:u w:val="single"/>
        </w:rPr>
        <w:t>Strategic Risk </w:t>
      </w:r>
      <w:r>
        <w:rPr>
          <w:spacing w:val="-2"/>
          <w:sz w:val="18"/>
          <w:u w:val="single"/>
        </w:rPr>
        <w:t>Register.pdf</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7"/>
        <w:rPr>
          <w:sz w:val="20"/>
        </w:rPr>
      </w:pPr>
      <w:r>
        <w:rPr>
          <w:sz w:val="20"/>
        </w:rPr>
        <mc:AlternateContent>
          <mc:Choice Requires="wps">
            <w:drawing>
              <wp:anchor distT="0" distB="0" distL="0" distR="0" allowOverlap="1" layoutInCell="1" locked="0" behindDoc="1" simplePos="0" relativeHeight="487733760">
                <wp:simplePos x="0" y="0"/>
                <wp:positionH relativeFrom="page">
                  <wp:posOffset>3477450</wp:posOffset>
                </wp:positionH>
                <wp:positionV relativeFrom="paragraph">
                  <wp:posOffset>305504</wp:posOffset>
                </wp:positionV>
                <wp:extent cx="605155" cy="136525"/>
                <wp:effectExtent l="0" t="0" r="0" b="0"/>
                <wp:wrapTopAndBottom/>
                <wp:docPr id="734" name="Group 734"/>
                <wp:cNvGraphicFramePr>
                  <a:graphicFrameLocks/>
                </wp:cNvGraphicFramePr>
                <a:graphic>
                  <a:graphicData uri="http://schemas.microsoft.com/office/word/2010/wordprocessingGroup">
                    <wpg:wgp>
                      <wpg:cNvPr id="734" name="Group 734"/>
                      <wpg:cNvGrpSpPr/>
                      <wpg:grpSpPr>
                        <a:xfrm>
                          <a:off x="0" y="0"/>
                          <a:ext cx="605155" cy="136525"/>
                          <a:chExt cx="605155" cy="136525"/>
                        </a:xfrm>
                      </wpg:grpSpPr>
                      <pic:pic>
                        <pic:nvPicPr>
                          <pic:cNvPr id="735" name="Image 735"/>
                          <pic:cNvPicPr/>
                        </pic:nvPicPr>
                        <pic:blipFill>
                          <a:blip r:embed="rId23" cstate="print"/>
                          <a:stretch>
                            <a:fillRect/>
                          </a:stretch>
                        </pic:blipFill>
                        <pic:spPr>
                          <a:xfrm>
                            <a:off x="0" y="0"/>
                            <a:ext cx="604774" cy="136074"/>
                          </a:xfrm>
                          <a:prstGeom prst="rect">
                            <a:avLst/>
                          </a:prstGeom>
                        </pic:spPr>
                      </pic:pic>
                      <wps:wsp>
                        <wps:cNvPr id="736" name="Textbox 736"/>
                        <wps:cNvSpPr txBox="1"/>
                        <wps:spPr>
                          <a:xfrm>
                            <a:off x="0" y="0"/>
                            <a:ext cx="605155" cy="136525"/>
                          </a:xfrm>
                          <a:prstGeom prst="rect">
                            <a:avLst/>
                          </a:prstGeom>
                        </wps:spPr>
                        <wps:txbx>
                          <w:txbxContent>
                            <w:p>
                              <w:pPr>
                                <w:spacing w:before="54"/>
                                <w:ind w:left="238" w:right="0" w:firstLine="0"/>
                                <w:jc w:val="left"/>
                                <w:rPr>
                                  <w:sz w:val="11"/>
                                </w:rPr>
                              </w:pPr>
                              <w:r>
                                <w:rPr>
                                  <w:sz w:val="11"/>
                                </w:rPr>
                                <w:t>Page </w:t>
                              </w:r>
                              <w:r>
                                <w:rPr>
                                  <w:spacing w:val="-5"/>
                                  <w:sz w:val="11"/>
                                </w:rPr>
                                <w:t>191</w:t>
                              </w:r>
                            </w:p>
                          </w:txbxContent>
                        </wps:txbx>
                        <wps:bodyPr wrap="square" lIns="0" tIns="0" rIns="0" bIns="0" rtlCol="0">
                          <a:noAutofit/>
                        </wps:bodyPr>
                      </wps:wsp>
                    </wpg:wgp>
                  </a:graphicData>
                </a:graphic>
              </wp:anchor>
            </w:drawing>
          </mc:Choice>
          <mc:Fallback>
            <w:pict>
              <v:group style="position:absolute;margin-left:273.815002pt;margin-top:24.055481pt;width:47.65pt;height:10.75pt;mso-position-horizontal-relative:page;mso-position-vertical-relative:paragraph;z-index:-15582720;mso-wrap-distance-left:0;mso-wrap-distance-right:0" id="docshapegroup493" coordorigin="5476,481" coordsize="953,215">
                <v:shape style="position:absolute;left:5476;top:481;width:953;height:215" type="#_x0000_t75" id="docshape494" stroked="false">
                  <v:imagedata r:id="rId23" o:title=""/>
                </v:shape>
                <v:shape style="position:absolute;left:5476;top:481;width:953;height:215" type="#_x0000_t202" id="docshape495" filled="false" stroked="false">
                  <v:textbox inset="0,0,0,0">
                    <w:txbxContent>
                      <w:p>
                        <w:pPr>
                          <w:spacing w:before="54"/>
                          <w:ind w:left="238" w:right="0" w:firstLine="0"/>
                          <w:jc w:val="left"/>
                          <w:rPr>
                            <w:sz w:val="11"/>
                          </w:rPr>
                        </w:pPr>
                        <w:r>
                          <w:rPr>
                            <w:sz w:val="11"/>
                          </w:rPr>
                          <w:t>Page </w:t>
                        </w:r>
                        <w:r>
                          <w:rPr>
                            <w:spacing w:val="-5"/>
                            <w:sz w:val="11"/>
                          </w:rPr>
                          <w:t>191</w:t>
                        </w:r>
                      </w:p>
                    </w:txbxContent>
                  </v:textbox>
                  <w10:wrap type="none"/>
                </v:shape>
                <w10:wrap type="topAndBottom"/>
              </v:group>
            </w:pict>
          </mc:Fallback>
        </mc:AlternateContent>
      </w:r>
    </w:p>
    <w:p>
      <w:pPr>
        <w:pStyle w:val="BodyText"/>
        <w:spacing w:after="0"/>
        <w:rPr>
          <w:sz w:val="20"/>
        </w:rPr>
        <w:sectPr>
          <w:footerReference w:type="default" r:id="rId111"/>
          <w:pgSz w:w="11910" w:h="16840"/>
          <w:pgMar w:header="0" w:footer="0" w:top="1940" w:bottom="0" w:left="1417" w:right="1417"/>
        </w:sectPr>
      </w:pPr>
    </w:p>
    <w:p>
      <w:pPr>
        <w:pStyle w:val="BodyText"/>
        <w:spacing w:before="31"/>
        <w:rPr>
          <w:sz w:val="28"/>
        </w:rPr>
      </w:pPr>
    </w:p>
    <w:p>
      <w:pPr>
        <w:pStyle w:val="Heading4"/>
        <w:spacing w:before="0"/>
        <w:ind w:left="3039"/>
      </w:pPr>
      <w:bookmarkStart w:name="Attachments" w:id="82"/>
      <w:bookmarkEnd w:id="82"/>
      <w:r>
        <w:rPr>
          <w:b w:val="0"/>
        </w:rPr>
      </w:r>
      <w:bookmarkStart w:name="RJC 44 RJC Strategic Risk Register" w:id="83"/>
      <w:bookmarkEnd w:id="83"/>
      <w:r>
        <w:rPr>
          <w:b w:val="0"/>
        </w:rPr>
      </w:r>
      <w:r>
        <w:rPr>
          <w:spacing w:val="-10"/>
        </w:rPr>
        <w:t>SBAR</w:t>
      </w:r>
      <w:r>
        <w:rPr>
          <w:spacing w:val="-17"/>
        </w:rPr>
        <w:t> </w:t>
      </w:r>
      <w:r>
        <w:rPr>
          <w:spacing w:val="-10"/>
        </w:rPr>
        <w:t>Report: Regional Joint</w:t>
      </w:r>
      <w:r>
        <w:rPr>
          <w:spacing w:val="-9"/>
        </w:rPr>
        <w:t> </w:t>
      </w:r>
      <w:r>
        <w:rPr>
          <w:spacing w:val="-10"/>
        </w:rPr>
        <w:t>Committee</w:t>
      </w:r>
      <w:r>
        <w:rPr>
          <w:spacing w:val="-19"/>
        </w:rPr>
        <w:t> </w:t>
      </w:r>
      <w:r>
        <w:rPr>
          <w:spacing w:val="-10"/>
        </w:rPr>
        <w:t>Strategic</w:t>
      </w:r>
      <w:r>
        <w:rPr>
          <w:spacing w:val="-13"/>
        </w:rPr>
        <w:t> </w:t>
      </w:r>
      <w:r>
        <w:rPr>
          <w:spacing w:val="-10"/>
        </w:rPr>
        <w:t>Risk</w:t>
      </w:r>
      <w:r>
        <w:rPr>
          <w:spacing w:val="-13"/>
        </w:rPr>
        <w:t> </w:t>
      </w:r>
      <w:r>
        <w:rPr>
          <w:spacing w:val="-10"/>
        </w:rPr>
        <w:t>Register</w:t>
      </w:r>
    </w:p>
    <w:p>
      <w:pPr>
        <w:pStyle w:val="BodyText"/>
        <w:rPr>
          <w:b/>
          <w:sz w:val="20"/>
        </w:rPr>
      </w:pPr>
    </w:p>
    <w:p>
      <w:pPr>
        <w:pStyle w:val="BodyText"/>
        <w:spacing w:before="66"/>
        <w:rPr>
          <w:b/>
          <w:sz w:val="20"/>
        </w:rPr>
      </w:pPr>
    </w:p>
    <w:tbl>
      <w:tblPr>
        <w:tblW w:w="0" w:type="auto"/>
        <w:jc w:val="left"/>
        <w:tblInd w:w="43" w:type="dxa"/>
        <w:tblBorders>
          <w:top w:val="single" w:sz="8" w:space="0" w:color="8EAADB"/>
          <w:left w:val="single" w:sz="8" w:space="0" w:color="8EAADB"/>
          <w:bottom w:val="single" w:sz="8" w:space="0" w:color="8EAADB"/>
          <w:right w:val="single" w:sz="8" w:space="0" w:color="8EAADB"/>
          <w:insideH w:val="single" w:sz="8" w:space="0" w:color="8EAADB"/>
          <w:insideV w:val="single" w:sz="8" w:space="0" w:color="8EAADB"/>
        </w:tblBorders>
        <w:tblLayout w:type="fixed"/>
        <w:tblCellMar>
          <w:top w:w="0" w:type="dxa"/>
          <w:left w:w="0" w:type="dxa"/>
          <w:bottom w:w="0" w:type="dxa"/>
          <w:right w:w="0" w:type="dxa"/>
        </w:tblCellMar>
        <w:tblLook w:val="01E0"/>
      </w:tblPr>
      <w:tblGrid>
        <w:gridCol w:w="3346"/>
        <w:gridCol w:w="10598"/>
      </w:tblGrid>
      <w:tr>
        <w:trPr>
          <w:trHeight w:val="460" w:hRule="atLeast"/>
        </w:trPr>
        <w:tc>
          <w:tcPr>
            <w:tcW w:w="3346" w:type="dxa"/>
            <w:shd w:val="clear" w:color="auto" w:fill="D9E1F3"/>
          </w:tcPr>
          <w:p>
            <w:pPr>
              <w:pStyle w:val="TableParagraph"/>
              <w:spacing w:before="5"/>
              <w:ind w:left="110"/>
              <w:rPr>
                <w:b/>
                <w:sz w:val="24"/>
              </w:rPr>
            </w:pPr>
            <w:r>
              <w:rPr>
                <w:b/>
                <w:sz w:val="24"/>
              </w:rPr>
              <w:t>Report</w:t>
            </w:r>
            <w:r>
              <w:rPr>
                <w:b/>
                <w:spacing w:val="-5"/>
                <w:sz w:val="24"/>
              </w:rPr>
              <w:t> </w:t>
            </w:r>
            <w:r>
              <w:rPr>
                <w:b/>
                <w:spacing w:val="-2"/>
                <w:sz w:val="24"/>
              </w:rPr>
              <w:t>title</w:t>
            </w:r>
          </w:p>
        </w:tc>
        <w:tc>
          <w:tcPr>
            <w:tcW w:w="10598" w:type="dxa"/>
          </w:tcPr>
          <w:p>
            <w:pPr>
              <w:pStyle w:val="TableParagraph"/>
              <w:spacing w:before="5"/>
              <w:ind w:left="110"/>
              <w:rPr>
                <w:sz w:val="24"/>
              </w:rPr>
            </w:pPr>
            <w:r>
              <w:rPr>
                <w:sz w:val="24"/>
              </w:rPr>
              <w:t>Regional</w:t>
            </w:r>
            <w:r>
              <w:rPr>
                <w:spacing w:val="-3"/>
                <w:sz w:val="24"/>
              </w:rPr>
              <w:t> </w:t>
            </w:r>
            <w:r>
              <w:rPr>
                <w:sz w:val="24"/>
              </w:rPr>
              <w:t>Joint</w:t>
            </w:r>
            <w:r>
              <w:rPr>
                <w:spacing w:val="-5"/>
                <w:sz w:val="24"/>
              </w:rPr>
              <w:t> </w:t>
            </w:r>
            <w:r>
              <w:rPr>
                <w:sz w:val="24"/>
              </w:rPr>
              <w:t>Committee</w:t>
            </w:r>
            <w:r>
              <w:rPr>
                <w:spacing w:val="-3"/>
                <w:sz w:val="24"/>
              </w:rPr>
              <w:t> </w:t>
            </w:r>
            <w:r>
              <w:rPr>
                <w:sz w:val="24"/>
              </w:rPr>
              <w:t>Strategic</w:t>
            </w:r>
            <w:r>
              <w:rPr>
                <w:spacing w:val="-3"/>
                <w:sz w:val="24"/>
              </w:rPr>
              <w:t> </w:t>
            </w:r>
            <w:r>
              <w:rPr>
                <w:sz w:val="24"/>
              </w:rPr>
              <w:t>Risk</w:t>
            </w:r>
            <w:r>
              <w:rPr>
                <w:spacing w:val="-3"/>
                <w:sz w:val="24"/>
              </w:rPr>
              <w:t> </w:t>
            </w:r>
            <w:r>
              <w:rPr>
                <w:spacing w:val="-2"/>
                <w:sz w:val="24"/>
              </w:rPr>
              <w:t>Register</w:t>
            </w:r>
          </w:p>
        </w:tc>
      </w:tr>
      <w:tr>
        <w:trPr>
          <w:trHeight w:val="455" w:hRule="atLeast"/>
        </w:trPr>
        <w:tc>
          <w:tcPr>
            <w:tcW w:w="3346" w:type="dxa"/>
            <w:shd w:val="clear" w:color="auto" w:fill="D9E1F3"/>
          </w:tcPr>
          <w:p>
            <w:pPr>
              <w:pStyle w:val="TableParagraph"/>
              <w:spacing w:before="5"/>
              <w:ind w:left="110"/>
              <w:rPr>
                <w:b/>
                <w:sz w:val="24"/>
              </w:rPr>
            </w:pPr>
            <w:r>
              <w:rPr>
                <w:b/>
                <w:spacing w:val="-4"/>
                <w:sz w:val="24"/>
              </w:rPr>
              <w:t>Date</w:t>
            </w:r>
          </w:p>
        </w:tc>
        <w:tc>
          <w:tcPr>
            <w:tcW w:w="10598" w:type="dxa"/>
          </w:tcPr>
          <w:p>
            <w:pPr>
              <w:pStyle w:val="TableParagraph"/>
              <w:spacing w:before="5"/>
              <w:ind w:left="110"/>
              <w:rPr>
                <w:sz w:val="24"/>
              </w:rPr>
            </w:pPr>
            <w:r>
              <w:rPr>
                <w:sz w:val="24"/>
              </w:rPr>
              <w:t>October</w:t>
            </w:r>
            <w:r>
              <w:rPr>
                <w:spacing w:val="-3"/>
                <w:sz w:val="24"/>
              </w:rPr>
              <w:t> </w:t>
            </w:r>
            <w:r>
              <w:rPr>
                <w:spacing w:val="-4"/>
                <w:sz w:val="24"/>
              </w:rPr>
              <w:t>2026</w:t>
            </w:r>
          </w:p>
        </w:tc>
      </w:tr>
      <w:tr>
        <w:trPr>
          <w:trHeight w:val="1350" w:hRule="atLeast"/>
        </w:trPr>
        <w:tc>
          <w:tcPr>
            <w:tcW w:w="3346" w:type="dxa"/>
            <w:shd w:val="clear" w:color="auto" w:fill="D9E1F3"/>
          </w:tcPr>
          <w:p>
            <w:pPr>
              <w:pStyle w:val="TableParagraph"/>
              <w:spacing w:before="174"/>
              <w:rPr>
                <w:b/>
                <w:sz w:val="24"/>
              </w:rPr>
            </w:pPr>
          </w:p>
          <w:p>
            <w:pPr>
              <w:pStyle w:val="TableParagraph"/>
              <w:ind w:left="110"/>
              <w:rPr>
                <w:b/>
                <w:sz w:val="24"/>
              </w:rPr>
            </w:pPr>
            <w:r>
              <w:rPr>
                <w:b/>
                <w:spacing w:val="-2"/>
                <w:sz w:val="24"/>
              </w:rPr>
              <w:t>Purpose</w:t>
            </w:r>
          </w:p>
        </w:tc>
        <w:tc>
          <w:tcPr>
            <w:tcW w:w="10598" w:type="dxa"/>
          </w:tcPr>
          <w:p>
            <w:pPr>
              <w:pStyle w:val="TableParagraph"/>
              <w:spacing w:line="259" w:lineRule="auto" w:before="5"/>
              <w:ind w:left="110"/>
              <w:rPr>
                <w:sz w:val="24"/>
              </w:rPr>
            </w:pPr>
            <w:r>
              <w:rPr>
                <w:sz w:val="24"/>
              </w:rPr>
              <w:t>To present draft Regional Joint Committee strategic risks for consideration, comment and agreement;</w:t>
            </w:r>
            <w:r>
              <w:rPr>
                <w:spacing w:val="-5"/>
                <w:sz w:val="24"/>
              </w:rPr>
              <w:t> </w:t>
            </w:r>
            <w:r>
              <w:rPr>
                <w:sz w:val="24"/>
              </w:rPr>
              <w:t>to</w:t>
            </w:r>
            <w:r>
              <w:rPr>
                <w:spacing w:val="-2"/>
                <w:sz w:val="24"/>
              </w:rPr>
              <w:t> </w:t>
            </w:r>
            <w:r>
              <w:rPr>
                <w:sz w:val="24"/>
              </w:rPr>
              <w:t>discuss</w:t>
            </w:r>
            <w:r>
              <w:rPr>
                <w:spacing w:val="-3"/>
                <w:sz w:val="24"/>
              </w:rPr>
              <w:t> </w:t>
            </w:r>
            <w:r>
              <w:rPr>
                <w:sz w:val="24"/>
              </w:rPr>
              <w:t>and</w:t>
            </w:r>
            <w:r>
              <w:rPr>
                <w:spacing w:val="-2"/>
                <w:sz w:val="24"/>
              </w:rPr>
              <w:t> </w:t>
            </w:r>
            <w:r>
              <w:rPr>
                <w:sz w:val="24"/>
              </w:rPr>
              <w:t>agree Director</w:t>
            </w:r>
            <w:r>
              <w:rPr>
                <w:spacing w:val="-3"/>
                <w:sz w:val="24"/>
              </w:rPr>
              <w:t> </w:t>
            </w:r>
            <w:r>
              <w:rPr>
                <w:sz w:val="24"/>
              </w:rPr>
              <w:t>level</w:t>
            </w:r>
            <w:r>
              <w:rPr>
                <w:spacing w:val="-7"/>
                <w:sz w:val="24"/>
              </w:rPr>
              <w:t> </w:t>
            </w:r>
            <w:r>
              <w:rPr>
                <w:sz w:val="24"/>
              </w:rPr>
              <w:t>ownership</w:t>
            </w:r>
            <w:r>
              <w:rPr>
                <w:spacing w:val="-2"/>
                <w:sz w:val="24"/>
              </w:rPr>
              <w:t> </w:t>
            </w:r>
            <w:r>
              <w:rPr>
                <w:sz w:val="24"/>
              </w:rPr>
              <w:t>for</w:t>
            </w:r>
            <w:r>
              <w:rPr>
                <w:spacing w:val="-3"/>
                <w:sz w:val="24"/>
              </w:rPr>
              <w:t> </w:t>
            </w:r>
            <w:r>
              <w:rPr>
                <w:sz w:val="24"/>
              </w:rPr>
              <w:t>individual</w:t>
            </w:r>
            <w:r>
              <w:rPr>
                <w:spacing w:val="-2"/>
                <w:sz w:val="24"/>
              </w:rPr>
              <w:t> </w:t>
            </w:r>
            <w:r>
              <w:rPr>
                <w:sz w:val="24"/>
              </w:rPr>
              <w:t>risks;</w:t>
            </w:r>
            <w:r>
              <w:rPr>
                <w:spacing w:val="-5"/>
                <w:sz w:val="24"/>
              </w:rPr>
              <w:t> </w:t>
            </w:r>
            <w:r>
              <w:rPr>
                <w:sz w:val="24"/>
              </w:rPr>
              <w:t>and</w:t>
            </w:r>
            <w:r>
              <w:rPr>
                <w:spacing w:val="-2"/>
                <w:sz w:val="24"/>
              </w:rPr>
              <w:t> </w:t>
            </w:r>
            <w:r>
              <w:rPr>
                <w:sz w:val="24"/>
              </w:rPr>
              <w:t>to</w:t>
            </w:r>
            <w:r>
              <w:rPr>
                <w:spacing w:val="-2"/>
                <w:sz w:val="24"/>
              </w:rPr>
              <w:t> </w:t>
            </w:r>
            <w:r>
              <w:rPr>
                <w:sz w:val="24"/>
              </w:rPr>
              <w:t>set</w:t>
            </w:r>
            <w:r>
              <w:rPr>
                <w:spacing w:val="-5"/>
                <w:sz w:val="24"/>
              </w:rPr>
              <w:t> </w:t>
            </w:r>
            <w:r>
              <w:rPr>
                <w:sz w:val="24"/>
              </w:rPr>
              <w:t>out</w:t>
            </w:r>
            <w:r>
              <w:rPr>
                <w:spacing w:val="-5"/>
                <w:sz w:val="24"/>
              </w:rPr>
              <w:t> </w:t>
            </w:r>
            <w:r>
              <w:rPr>
                <w:sz w:val="24"/>
              </w:rPr>
              <w:t>next steps to develop the risks into a fuller risk register and to establish management and reporting </w:t>
            </w:r>
            <w:r>
              <w:rPr>
                <w:spacing w:val="-2"/>
                <w:sz w:val="24"/>
              </w:rPr>
              <w:t>processes.</w:t>
            </w:r>
          </w:p>
        </w:tc>
      </w:tr>
      <w:tr>
        <w:trPr>
          <w:trHeight w:val="460" w:hRule="atLeast"/>
        </w:trPr>
        <w:tc>
          <w:tcPr>
            <w:tcW w:w="3346" w:type="dxa"/>
            <w:shd w:val="clear" w:color="auto" w:fill="D9E1F3"/>
          </w:tcPr>
          <w:p>
            <w:pPr>
              <w:pStyle w:val="TableParagraph"/>
              <w:spacing w:before="5"/>
              <w:ind w:left="110"/>
              <w:rPr>
                <w:b/>
                <w:sz w:val="24"/>
              </w:rPr>
            </w:pPr>
            <w:r>
              <w:rPr>
                <w:b/>
                <w:spacing w:val="-2"/>
                <w:sz w:val="24"/>
              </w:rPr>
              <w:t>Author</w:t>
            </w:r>
          </w:p>
        </w:tc>
        <w:tc>
          <w:tcPr>
            <w:tcW w:w="10598" w:type="dxa"/>
          </w:tcPr>
          <w:p>
            <w:pPr>
              <w:pStyle w:val="TableParagraph"/>
              <w:spacing w:before="5"/>
              <w:ind w:left="110"/>
              <w:rPr>
                <w:sz w:val="24"/>
              </w:rPr>
            </w:pPr>
            <w:r>
              <w:rPr>
                <w:sz w:val="24"/>
              </w:rPr>
              <w:t>Hazel</w:t>
            </w:r>
            <w:r>
              <w:rPr>
                <w:spacing w:val="-2"/>
                <w:sz w:val="24"/>
              </w:rPr>
              <w:t> </w:t>
            </w:r>
            <w:r>
              <w:rPr>
                <w:sz w:val="24"/>
              </w:rPr>
              <w:t>Lloyd,</w:t>
            </w:r>
            <w:r>
              <w:rPr>
                <w:spacing w:val="-2"/>
                <w:sz w:val="24"/>
              </w:rPr>
              <w:t> </w:t>
            </w:r>
            <w:r>
              <w:rPr>
                <w:sz w:val="24"/>
              </w:rPr>
              <w:t>Director</w:t>
            </w:r>
            <w:r>
              <w:rPr>
                <w:spacing w:val="-3"/>
                <w:sz w:val="24"/>
              </w:rPr>
              <w:t> </w:t>
            </w:r>
            <w:r>
              <w:rPr>
                <w:sz w:val="24"/>
              </w:rPr>
              <w:t>of</w:t>
            </w:r>
            <w:r>
              <w:rPr>
                <w:spacing w:val="-4"/>
                <w:sz w:val="24"/>
              </w:rPr>
              <w:t> </w:t>
            </w:r>
            <w:r>
              <w:rPr>
                <w:sz w:val="24"/>
              </w:rPr>
              <w:t>Corporate</w:t>
            </w:r>
            <w:r>
              <w:rPr>
                <w:spacing w:val="-1"/>
                <w:sz w:val="24"/>
              </w:rPr>
              <w:t> </w:t>
            </w:r>
            <w:r>
              <w:rPr>
                <w:spacing w:val="-2"/>
                <w:sz w:val="24"/>
              </w:rPr>
              <w:t>Governance</w:t>
            </w:r>
          </w:p>
        </w:tc>
      </w:tr>
      <w:tr>
        <w:trPr>
          <w:trHeight w:val="455" w:hRule="atLeast"/>
        </w:trPr>
        <w:tc>
          <w:tcPr>
            <w:tcW w:w="3346" w:type="dxa"/>
            <w:shd w:val="clear" w:color="auto" w:fill="D9E1F3"/>
          </w:tcPr>
          <w:p>
            <w:pPr>
              <w:pStyle w:val="TableParagraph"/>
              <w:spacing w:before="5"/>
              <w:ind w:left="110"/>
              <w:rPr>
                <w:b/>
                <w:sz w:val="24"/>
              </w:rPr>
            </w:pPr>
            <w:r>
              <w:rPr>
                <w:b/>
                <w:sz w:val="24"/>
              </w:rPr>
              <w:t>Executive</w:t>
            </w:r>
            <w:r>
              <w:rPr>
                <w:b/>
                <w:spacing w:val="-2"/>
                <w:sz w:val="24"/>
              </w:rPr>
              <w:t> </w:t>
            </w:r>
            <w:r>
              <w:rPr>
                <w:b/>
                <w:spacing w:val="-4"/>
                <w:sz w:val="24"/>
              </w:rPr>
              <w:t>lead</w:t>
            </w:r>
          </w:p>
        </w:tc>
        <w:tc>
          <w:tcPr>
            <w:tcW w:w="10598" w:type="dxa"/>
          </w:tcPr>
          <w:p>
            <w:pPr>
              <w:pStyle w:val="TableParagraph"/>
              <w:spacing w:before="5"/>
              <w:ind w:left="110"/>
              <w:rPr>
                <w:sz w:val="24"/>
              </w:rPr>
            </w:pPr>
            <w:r>
              <w:rPr>
                <w:sz w:val="24"/>
              </w:rPr>
              <w:t>Joint</w:t>
            </w:r>
            <w:r>
              <w:rPr>
                <w:spacing w:val="-5"/>
                <w:sz w:val="24"/>
              </w:rPr>
              <w:t> </w:t>
            </w:r>
            <w:r>
              <w:rPr>
                <w:sz w:val="24"/>
              </w:rPr>
              <w:t>Chief</w:t>
            </w:r>
            <w:r>
              <w:rPr>
                <w:spacing w:val="-4"/>
                <w:sz w:val="24"/>
              </w:rPr>
              <w:t> </w:t>
            </w:r>
            <w:r>
              <w:rPr>
                <w:sz w:val="24"/>
              </w:rPr>
              <w:t>Executives</w:t>
            </w:r>
            <w:r>
              <w:rPr>
                <w:spacing w:val="-2"/>
                <w:sz w:val="24"/>
              </w:rPr>
              <w:t> </w:t>
            </w:r>
            <w:r>
              <w:rPr>
                <w:sz w:val="24"/>
              </w:rPr>
              <w:t>/</w:t>
            </w:r>
            <w:r>
              <w:rPr>
                <w:spacing w:val="-4"/>
                <w:sz w:val="24"/>
              </w:rPr>
              <w:t> </w:t>
            </w:r>
            <w:r>
              <w:rPr>
                <w:sz w:val="24"/>
              </w:rPr>
              <w:t>RJC</w:t>
            </w:r>
            <w:r>
              <w:rPr>
                <w:spacing w:val="-1"/>
                <w:sz w:val="24"/>
              </w:rPr>
              <w:t> </w:t>
            </w:r>
            <w:r>
              <w:rPr>
                <w:spacing w:val="-2"/>
                <w:sz w:val="24"/>
              </w:rPr>
              <w:t>Chair</w:t>
            </w:r>
          </w:p>
        </w:tc>
      </w:tr>
      <w:tr>
        <w:trPr>
          <w:trHeight w:val="1055" w:hRule="atLeast"/>
        </w:trPr>
        <w:tc>
          <w:tcPr>
            <w:tcW w:w="3346" w:type="dxa"/>
            <w:shd w:val="clear" w:color="auto" w:fill="D9E1F3"/>
          </w:tcPr>
          <w:p>
            <w:pPr>
              <w:pStyle w:val="TableParagraph"/>
              <w:spacing w:before="28"/>
              <w:rPr>
                <w:b/>
                <w:sz w:val="24"/>
              </w:rPr>
            </w:pPr>
          </w:p>
          <w:p>
            <w:pPr>
              <w:pStyle w:val="TableParagraph"/>
              <w:spacing w:before="1"/>
              <w:ind w:left="110"/>
              <w:rPr>
                <w:b/>
                <w:sz w:val="24"/>
              </w:rPr>
            </w:pPr>
            <w:r>
              <w:rPr>
                <w:b/>
                <w:sz w:val="24"/>
              </w:rPr>
              <w:t>Action</w:t>
            </w:r>
            <w:r>
              <w:rPr>
                <w:b/>
                <w:spacing w:val="-6"/>
                <w:sz w:val="24"/>
              </w:rPr>
              <w:t> </w:t>
            </w:r>
            <w:r>
              <w:rPr>
                <w:b/>
                <w:spacing w:val="-2"/>
                <w:sz w:val="24"/>
              </w:rPr>
              <w:t>required</w:t>
            </w:r>
          </w:p>
        </w:tc>
        <w:tc>
          <w:tcPr>
            <w:tcW w:w="10598" w:type="dxa"/>
          </w:tcPr>
          <w:p>
            <w:pPr>
              <w:pStyle w:val="TableParagraph"/>
              <w:spacing w:line="261" w:lineRule="auto" w:before="5"/>
              <w:ind w:left="110" w:right="2"/>
              <w:rPr>
                <w:sz w:val="24"/>
              </w:rPr>
            </w:pPr>
            <w:r>
              <w:rPr>
                <w:sz w:val="24"/>
              </w:rPr>
              <w:t>The</w:t>
            </w:r>
            <w:r>
              <w:rPr>
                <w:spacing w:val="-3"/>
                <w:sz w:val="24"/>
              </w:rPr>
              <w:t> </w:t>
            </w:r>
            <w:r>
              <w:rPr>
                <w:sz w:val="24"/>
              </w:rPr>
              <w:t>Regional</w:t>
            </w:r>
            <w:r>
              <w:rPr>
                <w:spacing w:val="-3"/>
                <w:sz w:val="24"/>
              </w:rPr>
              <w:t> </w:t>
            </w:r>
            <w:r>
              <w:rPr>
                <w:sz w:val="24"/>
              </w:rPr>
              <w:t>Joint</w:t>
            </w:r>
            <w:r>
              <w:rPr>
                <w:spacing w:val="-6"/>
                <w:sz w:val="24"/>
              </w:rPr>
              <w:t> </w:t>
            </w:r>
            <w:r>
              <w:rPr>
                <w:sz w:val="24"/>
              </w:rPr>
              <w:t>Committee members</w:t>
            </w:r>
            <w:r>
              <w:rPr>
                <w:spacing w:val="-4"/>
                <w:sz w:val="24"/>
              </w:rPr>
              <w:t> </w:t>
            </w:r>
            <w:r>
              <w:rPr>
                <w:sz w:val="24"/>
              </w:rPr>
              <w:t>are</w:t>
            </w:r>
            <w:r>
              <w:rPr>
                <w:spacing w:val="-1"/>
                <w:sz w:val="24"/>
              </w:rPr>
              <w:t> </w:t>
            </w:r>
            <w:r>
              <w:rPr>
                <w:sz w:val="24"/>
              </w:rPr>
              <w:t>asked</w:t>
            </w:r>
            <w:r>
              <w:rPr>
                <w:spacing w:val="-3"/>
                <w:sz w:val="24"/>
              </w:rPr>
              <w:t> </w:t>
            </w:r>
            <w:r>
              <w:rPr>
                <w:sz w:val="24"/>
              </w:rPr>
              <w:t>to</w:t>
            </w:r>
            <w:r>
              <w:rPr>
                <w:spacing w:val="-2"/>
                <w:sz w:val="24"/>
              </w:rPr>
              <w:t> </w:t>
            </w:r>
            <w:r>
              <w:rPr>
                <w:sz w:val="24"/>
              </w:rPr>
              <w:t>consider</w:t>
            </w:r>
            <w:r>
              <w:rPr>
                <w:spacing w:val="-4"/>
                <w:sz w:val="24"/>
              </w:rPr>
              <w:t> </w:t>
            </w:r>
            <w:r>
              <w:rPr>
                <w:sz w:val="24"/>
              </w:rPr>
              <w:t>the</w:t>
            </w:r>
            <w:r>
              <w:rPr>
                <w:spacing w:val="-1"/>
                <w:sz w:val="24"/>
              </w:rPr>
              <w:t> </w:t>
            </w:r>
            <w:r>
              <w:rPr>
                <w:sz w:val="24"/>
              </w:rPr>
              <w:t>outline</w:t>
            </w:r>
            <w:r>
              <w:rPr>
                <w:spacing w:val="-3"/>
                <w:sz w:val="24"/>
              </w:rPr>
              <w:t> </w:t>
            </w:r>
            <w:r>
              <w:rPr>
                <w:sz w:val="24"/>
              </w:rPr>
              <w:t>strategic</w:t>
            </w:r>
            <w:r>
              <w:rPr>
                <w:spacing w:val="-4"/>
                <w:sz w:val="24"/>
              </w:rPr>
              <w:t> </w:t>
            </w:r>
            <w:r>
              <w:rPr>
                <w:sz w:val="24"/>
              </w:rPr>
              <w:t>risks</w:t>
            </w:r>
            <w:r>
              <w:rPr>
                <w:spacing w:val="-4"/>
                <w:sz w:val="24"/>
              </w:rPr>
              <w:t> </w:t>
            </w:r>
            <w:r>
              <w:rPr>
                <w:sz w:val="24"/>
              </w:rPr>
              <w:t>in Appendix 1 and agree them as the basis for further register development, and/or provide comments to develop them further.</w:t>
            </w:r>
          </w:p>
        </w:tc>
      </w:tr>
    </w:tbl>
    <w:p>
      <w:pPr>
        <w:pStyle w:val="BodyText"/>
        <w:spacing w:before="90"/>
        <w:rPr>
          <w:b/>
        </w:rPr>
      </w:pPr>
    </w:p>
    <w:p>
      <w:pPr>
        <w:spacing w:before="1"/>
        <w:ind w:left="23" w:right="0" w:firstLine="0"/>
        <w:jc w:val="left"/>
        <w:rPr>
          <w:b/>
          <w:sz w:val="24"/>
        </w:rPr>
      </w:pPr>
      <w:r>
        <w:rPr>
          <w:b/>
          <w:spacing w:val="-2"/>
          <w:sz w:val="24"/>
        </w:rPr>
        <w:t>Situation</w:t>
      </w:r>
    </w:p>
    <w:p>
      <w:pPr>
        <w:pStyle w:val="BodyText"/>
        <w:spacing w:line="256" w:lineRule="auto" w:before="104"/>
        <w:ind w:left="23" w:right="1027"/>
      </w:pPr>
      <w:r>
        <w:rPr/>
        <w:t>The</w:t>
      </w:r>
      <w:r>
        <w:rPr>
          <w:spacing w:val="-2"/>
        </w:rPr>
        <w:t> </w:t>
      </w:r>
      <w:r>
        <w:rPr/>
        <w:t>Regional</w:t>
      </w:r>
      <w:r>
        <w:rPr>
          <w:spacing w:val="-2"/>
        </w:rPr>
        <w:t> </w:t>
      </w:r>
      <w:r>
        <w:rPr/>
        <w:t>Joint</w:t>
      </w:r>
      <w:r>
        <w:rPr>
          <w:spacing w:val="-5"/>
        </w:rPr>
        <w:t> </w:t>
      </w:r>
      <w:r>
        <w:rPr/>
        <w:t>Committee</w:t>
      </w:r>
      <w:r>
        <w:rPr>
          <w:spacing w:val="-2"/>
        </w:rPr>
        <w:t> </w:t>
      </w:r>
      <w:r>
        <w:rPr/>
        <w:t>is</w:t>
      </w:r>
      <w:r>
        <w:rPr>
          <w:spacing w:val="-3"/>
        </w:rPr>
        <w:t> </w:t>
      </w:r>
      <w:r>
        <w:rPr/>
        <w:t>developing</w:t>
      </w:r>
      <w:r>
        <w:rPr>
          <w:spacing w:val="-2"/>
        </w:rPr>
        <w:t> </w:t>
      </w:r>
      <w:r>
        <w:rPr/>
        <w:t>its</w:t>
      </w:r>
      <w:r>
        <w:rPr>
          <w:spacing w:val="-3"/>
        </w:rPr>
        <w:t> </w:t>
      </w:r>
      <w:r>
        <w:rPr/>
        <w:t>approach</w:t>
      </w:r>
      <w:r>
        <w:rPr>
          <w:spacing w:val="-2"/>
        </w:rPr>
        <w:t> </w:t>
      </w:r>
      <w:r>
        <w:rPr/>
        <w:t>to</w:t>
      </w:r>
      <w:r>
        <w:rPr>
          <w:spacing w:val="-2"/>
        </w:rPr>
        <w:t> </w:t>
      </w:r>
      <w:r>
        <w:rPr/>
        <w:t>strategic</w:t>
      </w:r>
      <w:r>
        <w:rPr>
          <w:spacing w:val="-3"/>
        </w:rPr>
        <w:t> </w:t>
      </w:r>
      <w:r>
        <w:rPr/>
        <w:t>risk</w:t>
      </w:r>
      <w:r>
        <w:rPr>
          <w:spacing w:val="-3"/>
        </w:rPr>
        <w:t> </w:t>
      </w:r>
      <w:r>
        <w:rPr/>
        <w:t>oversight</w:t>
      </w:r>
      <w:r>
        <w:rPr>
          <w:spacing w:val="-5"/>
        </w:rPr>
        <w:t> </w:t>
      </w:r>
      <w:r>
        <w:rPr/>
        <w:t>as</w:t>
      </w:r>
      <w:r>
        <w:rPr>
          <w:spacing w:val="-3"/>
        </w:rPr>
        <w:t> </w:t>
      </w:r>
      <w:r>
        <w:rPr/>
        <w:t>its</w:t>
      </w:r>
      <w:r>
        <w:rPr>
          <w:spacing w:val="-3"/>
        </w:rPr>
        <w:t> </w:t>
      </w:r>
      <w:r>
        <w:rPr/>
        <w:t>regional</w:t>
      </w:r>
      <w:r>
        <w:rPr>
          <w:spacing w:val="-2"/>
        </w:rPr>
        <w:t> </w:t>
      </w:r>
      <w:r>
        <w:rPr/>
        <w:t>work</w:t>
      </w:r>
      <w:r>
        <w:rPr>
          <w:spacing w:val="-3"/>
        </w:rPr>
        <w:t> </w:t>
      </w:r>
      <w:r>
        <w:rPr/>
        <w:t>programme</w:t>
      </w:r>
      <w:r>
        <w:rPr>
          <w:spacing w:val="-2"/>
        </w:rPr>
        <w:t> </w:t>
      </w:r>
      <w:r>
        <w:rPr/>
        <w:t>matures.</w:t>
      </w:r>
      <w:r>
        <w:rPr>
          <w:spacing w:val="-2"/>
        </w:rPr>
        <w:t> </w:t>
      </w:r>
      <w:r>
        <w:rPr/>
        <w:t>A strategic risk register would provide a structured basis for identifying, overseeing and escalating the key risks that could affect</w:t>
      </w:r>
    </w:p>
    <w:p>
      <w:pPr>
        <w:pStyle w:val="BodyText"/>
        <w:spacing w:line="259" w:lineRule="auto" w:before="4"/>
        <w:ind w:left="23" w:right="1130"/>
        <w:jc w:val="both"/>
      </w:pPr>
      <w:r>
        <w:rPr/>
        <w:t>delivery</w:t>
      </w:r>
      <w:r>
        <w:rPr>
          <w:spacing w:val="-4"/>
        </w:rPr>
        <w:t> </w:t>
      </w:r>
      <w:r>
        <w:rPr/>
        <w:t>of</w:t>
      </w:r>
      <w:r>
        <w:rPr>
          <w:spacing w:val="-6"/>
        </w:rPr>
        <w:t> </w:t>
      </w:r>
      <w:r>
        <w:rPr/>
        <w:t>the</w:t>
      </w:r>
      <w:r>
        <w:rPr>
          <w:spacing w:val="-3"/>
        </w:rPr>
        <w:t> </w:t>
      </w:r>
      <w:r>
        <w:rPr/>
        <w:t>Committee's</w:t>
      </w:r>
      <w:r>
        <w:rPr>
          <w:spacing w:val="-4"/>
        </w:rPr>
        <w:t> </w:t>
      </w:r>
      <w:r>
        <w:rPr/>
        <w:t>objectives</w:t>
      </w:r>
      <w:r>
        <w:rPr>
          <w:spacing w:val="-4"/>
        </w:rPr>
        <w:t> </w:t>
      </w:r>
      <w:r>
        <w:rPr/>
        <w:t>across</w:t>
      </w:r>
      <w:r>
        <w:rPr>
          <w:spacing w:val="-4"/>
        </w:rPr>
        <w:t> </w:t>
      </w:r>
      <w:r>
        <w:rPr/>
        <w:t>the</w:t>
      </w:r>
      <w:r>
        <w:rPr>
          <w:spacing w:val="-3"/>
        </w:rPr>
        <w:t> </w:t>
      </w:r>
      <w:r>
        <w:rPr/>
        <w:t>regional</w:t>
      </w:r>
      <w:r>
        <w:rPr>
          <w:spacing w:val="-3"/>
        </w:rPr>
        <w:t> </w:t>
      </w:r>
      <w:r>
        <w:rPr/>
        <w:t>health</w:t>
      </w:r>
      <w:r>
        <w:rPr>
          <w:spacing w:val="-3"/>
        </w:rPr>
        <w:t> </w:t>
      </w:r>
      <w:r>
        <w:rPr/>
        <w:t>economy,</w:t>
      </w:r>
      <w:r>
        <w:rPr>
          <w:spacing w:val="-6"/>
        </w:rPr>
        <w:t> </w:t>
      </w:r>
      <w:r>
        <w:rPr/>
        <w:t>clinical</w:t>
      </w:r>
      <w:r>
        <w:rPr>
          <w:spacing w:val="-3"/>
        </w:rPr>
        <w:t> </w:t>
      </w:r>
      <w:r>
        <w:rPr/>
        <w:t>services</w:t>
      </w:r>
      <w:r>
        <w:rPr>
          <w:spacing w:val="-4"/>
        </w:rPr>
        <w:t> </w:t>
      </w:r>
      <w:r>
        <w:rPr/>
        <w:t>planning,</w:t>
      </w:r>
      <w:r>
        <w:rPr>
          <w:spacing w:val="-6"/>
        </w:rPr>
        <w:t> </w:t>
      </w:r>
      <w:r>
        <w:rPr/>
        <w:t>corporate</w:t>
      </w:r>
      <w:r>
        <w:rPr>
          <w:spacing w:val="-3"/>
        </w:rPr>
        <w:t> </w:t>
      </w:r>
      <w:r>
        <w:rPr/>
        <w:t>enablers,</w:t>
      </w:r>
      <w:r>
        <w:rPr>
          <w:spacing w:val="-6"/>
        </w:rPr>
        <w:t> </w:t>
      </w:r>
      <w:r>
        <w:rPr/>
        <w:t>research and</w:t>
      </w:r>
      <w:r>
        <w:rPr>
          <w:spacing w:val="-1"/>
        </w:rPr>
        <w:t> </w:t>
      </w:r>
      <w:r>
        <w:rPr/>
        <w:t>innovation,</w:t>
      </w:r>
      <w:r>
        <w:rPr>
          <w:spacing w:val="-4"/>
        </w:rPr>
        <w:t> </w:t>
      </w:r>
      <w:r>
        <w:rPr/>
        <w:t>governance,</w:t>
      </w:r>
      <w:r>
        <w:rPr>
          <w:spacing w:val="-4"/>
        </w:rPr>
        <w:t> </w:t>
      </w:r>
      <w:r>
        <w:rPr/>
        <w:t>and</w:t>
      </w:r>
      <w:r>
        <w:rPr>
          <w:spacing w:val="-1"/>
        </w:rPr>
        <w:t> </w:t>
      </w:r>
      <w:r>
        <w:rPr/>
        <w:t>external</w:t>
      </w:r>
      <w:r>
        <w:rPr>
          <w:spacing w:val="-1"/>
        </w:rPr>
        <w:t> </w:t>
      </w:r>
      <w:r>
        <w:rPr/>
        <w:t>system</w:t>
      </w:r>
      <w:r>
        <w:rPr>
          <w:spacing w:val="-2"/>
        </w:rPr>
        <w:t> </w:t>
      </w:r>
      <w:r>
        <w:rPr/>
        <w:t>alignment.</w:t>
      </w:r>
      <w:r>
        <w:rPr>
          <w:spacing w:val="-3"/>
        </w:rPr>
        <w:t> </w:t>
      </w:r>
      <w:r>
        <w:rPr/>
        <w:t>This</w:t>
      </w:r>
      <w:r>
        <w:rPr>
          <w:spacing w:val="-2"/>
        </w:rPr>
        <w:t> </w:t>
      </w:r>
      <w:r>
        <w:rPr/>
        <w:t>report</w:t>
      </w:r>
      <w:r>
        <w:rPr>
          <w:spacing w:val="-4"/>
        </w:rPr>
        <w:t> </w:t>
      </w:r>
      <w:r>
        <w:rPr/>
        <w:t>proposes a</w:t>
      </w:r>
      <w:r>
        <w:rPr>
          <w:spacing w:val="-1"/>
        </w:rPr>
        <w:t> </w:t>
      </w:r>
      <w:r>
        <w:rPr/>
        <w:t>set</w:t>
      </w:r>
      <w:r>
        <w:rPr>
          <w:spacing w:val="-4"/>
        </w:rPr>
        <w:t> </w:t>
      </w:r>
      <w:r>
        <w:rPr/>
        <w:t>of</w:t>
      </w:r>
      <w:r>
        <w:rPr>
          <w:spacing w:val="-4"/>
        </w:rPr>
        <w:t> </w:t>
      </w:r>
      <w:r>
        <w:rPr/>
        <w:t>draft risks</w:t>
      </w:r>
      <w:r>
        <w:rPr>
          <w:spacing w:val="-2"/>
        </w:rPr>
        <w:t> </w:t>
      </w:r>
      <w:r>
        <w:rPr/>
        <w:t>as</w:t>
      </w:r>
      <w:r>
        <w:rPr>
          <w:spacing w:val="-2"/>
        </w:rPr>
        <w:t> </w:t>
      </w:r>
      <w:r>
        <w:rPr/>
        <w:t>a</w:t>
      </w:r>
      <w:r>
        <w:rPr>
          <w:spacing w:val="-1"/>
        </w:rPr>
        <w:t> </w:t>
      </w:r>
      <w:r>
        <w:rPr/>
        <w:t>basis</w:t>
      </w:r>
      <w:r>
        <w:rPr>
          <w:spacing w:val="-2"/>
        </w:rPr>
        <w:t> </w:t>
      </w:r>
      <w:r>
        <w:rPr/>
        <w:t>on</w:t>
      </w:r>
      <w:r>
        <w:rPr>
          <w:spacing w:val="-1"/>
        </w:rPr>
        <w:t> </w:t>
      </w:r>
      <w:r>
        <w:rPr/>
        <w:t>which</w:t>
      </w:r>
      <w:r>
        <w:rPr>
          <w:spacing w:val="-1"/>
        </w:rPr>
        <w:t> </w:t>
      </w:r>
      <w:r>
        <w:rPr/>
        <w:t>to</w:t>
      </w:r>
      <w:r>
        <w:rPr>
          <w:spacing w:val="-1"/>
        </w:rPr>
        <w:t> </w:t>
      </w:r>
      <w:r>
        <w:rPr/>
        <w:t>build</w:t>
      </w:r>
      <w:r>
        <w:rPr>
          <w:spacing w:val="-1"/>
        </w:rPr>
        <w:t> </w:t>
      </w:r>
      <w:r>
        <w:rPr/>
        <w:t>a strategic risk register for the RJC.</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43"/>
        <w:rPr>
          <w:sz w:val="22"/>
        </w:rPr>
      </w:pPr>
    </w:p>
    <w:p>
      <w:pPr>
        <w:spacing w:before="0"/>
        <w:ind w:left="11" w:right="994" w:firstLine="0"/>
        <w:jc w:val="center"/>
        <w:rPr>
          <w:rFonts w:ascii="Calibri"/>
          <w:sz w:val="22"/>
        </w:rPr>
      </w:pPr>
      <w:r>
        <w:rPr>
          <w:rFonts w:ascii="Calibri"/>
          <w:spacing w:val="-10"/>
          <w:sz w:val="22"/>
        </w:rPr>
        <w:t>1</w:t>
      </w:r>
    </w:p>
    <w:p>
      <w:pPr>
        <w:spacing w:after="0"/>
        <w:jc w:val="center"/>
        <w:rPr>
          <w:rFonts w:ascii="Calibri"/>
          <w:sz w:val="22"/>
        </w:rPr>
        <w:sectPr>
          <w:footerReference w:type="default" r:id="rId112"/>
          <w:pgSz w:w="16840" w:h="11910" w:orient="landscape"/>
          <w:pgMar w:header="0" w:footer="198" w:top="1340" w:bottom="380" w:left="1417" w:right="425"/>
          <w:pgNumType w:start="192"/>
        </w:sectPr>
      </w:pPr>
    </w:p>
    <w:p>
      <w:pPr>
        <w:spacing w:before="100"/>
        <w:ind w:left="23" w:right="0" w:firstLine="0"/>
        <w:jc w:val="left"/>
        <w:rPr>
          <w:b/>
          <w:sz w:val="24"/>
        </w:rPr>
      </w:pPr>
      <w:r>
        <w:rPr>
          <w:b/>
          <w:spacing w:val="-2"/>
          <w:sz w:val="24"/>
        </w:rPr>
        <w:t>Background</w:t>
      </w:r>
    </w:p>
    <w:p>
      <w:pPr>
        <w:pStyle w:val="BodyText"/>
        <w:spacing w:line="259" w:lineRule="auto" w:before="105"/>
        <w:ind w:left="23" w:right="1027"/>
      </w:pPr>
      <w:r>
        <w:rPr/>
        <w:t>The</w:t>
      </w:r>
      <w:r>
        <w:rPr>
          <w:spacing w:val="-2"/>
        </w:rPr>
        <w:t> </w:t>
      </w:r>
      <w:r>
        <w:rPr/>
        <w:t>RJC</w:t>
      </w:r>
      <w:r>
        <w:rPr>
          <w:spacing w:val="-2"/>
        </w:rPr>
        <w:t> </w:t>
      </w:r>
      <w:r>
        <w:rPr/>
        <w:t>has</w:t>
      </w:r>
      <w:r>
        <w:rPr>
          <w:spacing w:val="-3"/>
        </w:rPr>
        <w:t> </w:t>
      </w:r>
      <w:r>
        <w:rPr/>
        <w:t>approved terms</w:t>
      </w:r>
      <w:r>
        <w:rPr>
          <w:spacing w:val="-3"/>
        </w:rPr>
        <w:t> </w:t>
      </w:r>
      <w:r>
        <w:rPr/>
        <w:t>of</w:t>
      </w:r>
      <w:r>
        <w:rPr>
          <w:spacing w:val="-4"/>
        </w:rPr>
        <w:t> </w:t>
      </w:r>
      <w:r>
        <w:rPr/>
        <w:t>reference,</w:t>
      </w:r>
      <w:r>
        <w:rPr>
          <w:spacing w:val="-5"/>
        </w:rPr>
        <w:t> </w:t>
      </w:r>
      <w:r>
        <w:rPr/>
        <w:t>an</w:t>
      </w:r>
      <w:r>
        <w:rPr>
          <w:spacing w:val="-2"/>
        </w:rPr>
        <w:t> </w:t>
      </w:r>
      <w:r>
        <w:rPr/>
        <w:t>emerging</w:t>
      </w:r>
      <w:r>
        <w:rPr>
          <w:spacing w:val="-2"/>
        </w:rPr>
        <w:t> </w:t>
      </w:r>
      <w:r>
        <w:rPr/>
        <w:t>2026/27</w:t>
      </w:r>
      <w:r>
        <w:rPr>
          <w:spacing w:val="-2"/>
        </w:rPr>
        <w:t> </w:t>
      </w:r>
      <w:r>
        <w:rPr/>
        <w:t>work</w:t>
      </w:r>
      <w:r>
        <w:rPr>
          <w:spacing w:val="-3"/>
        </w:rPr>
        <w:t> </w:t>
      </w:r>
      <w:r>
        <w:rPr/>
        <w:t>programme,</w:t>
      </w:r>
      <w:r>
        <w:rPr>
          <w:spacing w:val="-5"/>
        </w:rPr>
        <w:t> </w:t>
      </w:r>
      <w:r>
        <w:rPr/>
        <w:t>subgroup</w:t>
      </w:r>
      <w:r>
        <w:rPr>
          <w:spacing w:val="-2"/>
        </w:rPr>
        <w:t> </w:t>
      </w:r>
      <w:r>
        <w:rPr/>
        <w:t>arrangements</w:t>
      </w:r>
      <w:r>
        <w:rPr>
          <w:spacing w:val="-3"/>
        </w:rPr>
        <w:t> </w:t>
      </w:r>
      <w:r>
        <w:rPr/>
        <w:t>and</w:t>
      </w:r>
      <w:r>
        <w:rPr>
          <w:spacing w:val="-2"/>
        </w:rPr>
        <w:t> </w:t>
      </w:r>
      <w:r>
        <w:rPr/>
        <w:t>reporting</w:t>
      </w:r>
      <w:r>
        <w:rPr>
          <w:spacing w:val="-2"/>
        </w:rPr>
        <w:t> </w:t>
      </w:r>
      <w:r>
        <w:rPr/>
        <w:t>routes</w:t>
      </w:r>
      <w:r>
        <w:rPr>
          <w:spacing w:val="-3"/>
        </w:rPr>
        <w:t> </w:t>
      </w:r>
      <w:r>
        <w:rPr/>
        <w:t>to both sovereign Boards. Recent reporting has highlighted the need to strengthen strategic risk ownership, subgroup work programme discipline, escalation routes, benefits realisation and the alignment of assurance reporting with the 3A</w:t>
      </w:r>
      <w:r>
        <w:rPr>
          <w:spacing w:val="-11"/>
        </w:rPr>
        <w:t> </w:t>
      </w:r>
      <w:r>
        <w:rPr/>
        <w:t>reporting cycle.</w:t>
      </w:r>
    </w:p>
    <w:p>
      <w:pPr>
        <w:pStyle w:val="BodyText"/>
        <w:spacing w:line="261" w:lineRule="auto" w:before="156"/>
        <w:ind w:left="23" w:right="1027"/>
      </w:pPr>
      <w:r>
        <w:rPr/>
        <w:t>A</w:t>
      </w:r>
      <w:r>
        <w:rPr>
          <w:spacing w:val="-12"/>
        </w:rPr>
        <w:t> </w:t>
      </w:r>
      <w:r>
        <w:rPr/>
        <w:t>listing of draft, strategic risks has therefore been developed as a basis on which to build a pragmatic Board</w:t>
      </w:r>
      <w:r>
        <w:rPr>
          <w:spacing w:val="-11"/>
        </w:rPr>
        <w:t> </w:t>
      </w:r>
      <w:r>
        <w:rPr/>
        <w:t>Assurance-style strategic</w:t>
      </w:r>
      <w:r>
        <w:rPr>
          <w:spacing w:val="-3"/>
        </w:rPr>
        <w:t> </w:t>
      </w:r>
      <w:r>
        <w:rPr/>
        <w:t>risk</w:t>
      </w:r>
      <w:r>
        <w:rPr>
          <w:spacing w:val="-3"/>
        </w:rPr>
        <w:t> </w:t>
      </w:r>
      <w:r>
        <w:rPr/>
        <w:t>register.</w:t>
      </w:r>
      <w:r>
        <w:rPr>
          <w:spacing w:val="-10"/>
        </w:rPr>
        <w:t> </w:t>
      </w:r>
      <w:r>
        <w:rPr/>
        <w:t>The</w:t>
      </w:r>
      <w:r>
        <w:rPr>
          <w:spacing w:val="-2"/>
        </w:rPr>
        <w:t> </w:t>
      </w:r>
      <w:r>
        <w:rPr/>
        <w:t>register</w:t>
      </w:r>
      <w:r>
        <w:rPr>
          <w:spacing w:val="-3"/>
        </w:rPr>
        <w:t> </w:t>
      </w:r>
      <w:r>
        <w:rPr/>
        <w:t>when</w:t>
      </w:r>
      <w:r>
        <w:rPr>
          <w:spacing w:val="-2"/>
        </w:rPr>
        <w:t> </w:t>
      </w:r>
      <w:r>
        <w:rPr/>
        <w:t>fully</w:t>
      </w:r>
      <w:r>
        <w:rPr>
          <w:spacing w:val="-3"/>
        </w:rPr>
        <w:t> </w:t>
      </w:r>
      <w:r>
        <w:rPr/>
        <w:t>developed</w:t>
      </w:r>
      <w:r>
        <w:rPr>
          <w:spacing w:val="-2"/>
        </w:rPr>
        <w:t> </w:t>
      </w:r>
      <w:r>
        <w:rPr/>
        <w:t>will</w:t>
      </w:r>
      <w:r>
        <w:rPr>
          <w:spacing w:val="-2"/>
        </w:rPr>
        <w:t> </w:t>
      </w:r>
      <w:r>
        <w:rPr/>
        <w:t>be intended</w:t>
      </w:r>
      <w:r>
        <w:rPr>
          <w:spacing w:val="-2"/>
        </w:rPr>
        <w:t> </w:t>
      </w:r>
      <w:r>
        <w:rPr/>
        <w:t>to</w:t>
      </w:r>
      <w:r>
        <w:rPr>
          <w:spacing w:val="-2"/>
        </w:rPr>
        <w:t> </w:t>
      </w:r>
      <w:r>
        <w:rPr/>
        <w:t>help</w:t>
      </w:r>
      <w:r>
        <w:rPr>
          <w:spacing w:val="-2"/>
        </w:rPr>
        <w:t> </w:t>
      </w:r>
      <w:r>
        <w:rPr/>
        <w:t>the</w:t>
      </w:r>
      <w:r>
        <w:rPr>
          <w:spacing w:val="-2"/>
        </w:rPr>
        <w:t> </w:t>
      </w:r>
      <w:r>
        <w:rPr/>
        <w:t>RJC</w:t>
      </w:r>
      <w:r>
        <w:rPr>
          <w:spacing w:val="-2"/>
        </w:rPr>
        <w:t> </w:t>
      </w:r>
      <w:r>
        <w:rPr/>
        <w:t>focus</w:t>
      </w:r>
      <w:r>
        <w:rPr>
          <w:spacing w:val="-8"/>
        </w:rPr>
        <w:t> </w:t>
      </w:r>
      <w:r>
        <w:rPr/>
        <w:t>on the</w:t>
      </w:r>
      <w:r>
        <w:rPr>
          <w:spacing w:val="-1"/>
        </w:rPr>
        <w:t> </w:t>
      </w:r>
      <w:r>
        <w:rPr/>
        <w:t>key</w:t>
      </w:r>
      <w:r>
        <w:rPr>
          <w:spacing w:val="-3"/>
        </w:rPr>
        <w:t> </w:t>
      </w:r>
      <w:r>
        <w:rPr/>
        <w:t>risks</w:t>
      </w:r>
      <w:r>
        <w:rPr>
          <w:spacing w:val="-3"/>
        </w:rPr>
        <w:t> </w:t>
      </w:r>
      <w:r>
        <w:rPr/>
        <w:t>to</w:t>
      </w:r>
      <w:r>
        <w:rPr>
          <w:spacing w:val="-2"/>
        </w:rPr>
        <w:t> </w:t>
      </w:r>
      <w:r>
        <w:rPr/>
        <w:t>delivery</w:t>
      </w:r>
      <w:r>
        <w:rPr>
          <w:spacing w:val="-3"/>
        </w:rPr>
        <w:t> </w:t>
      </w:r>
      <w:r>
        <w:rPr/>
        <w:t>of</w:t>
      </w:r>
      <w:r>
        <w:rPr>
          <w:spacing w:val="-5"/>
        </w:rPr>
        <w:t> </w:t>
      </w:r>
      <w:r>
        <w:rPr/>
        <w:t>its</w:t>
      </w:r>
    </w:p>
    <w:p>
      <w:pPr>
        <w:pStyle w:val="BodyText"/>
        <w:spacing w:line="261" w:lineRule="auto"/>
        <w:ind w:left="23" w:right="1027"/>
      </w:pPr>
      <w:r>
        <w:rPr/>
        <w:t>strategic</w:t>
      </w:r>
      <w:r>
        <w:rPr>
          <w:spacing w:val="-2"/>
        </w:rPr>
        <w:t> </w:t>
      </w:r>
      <w:r>
        <w:rPr/>
        <w:t>objectives;</w:t>
      </w:r>
      <w:r>
        <w:rPr>
          <w:spacing w:val="-4"/>
        </w:rPr>
        <w:t> </w:t>
      </w:r>
      <w:r>
        <w:rPr/>
        <w:t>consider</w:t>
      </w:r>
      <w:r>
        <w:rPr>
          <w:spacing w:val="-2"/>
        </w:rPr>
        <w:t> </w:t>
      </w:r>
      <w:r>
        <w:rPr/>
        <w:t>the</w:t>
      </w:r>
      <w:r>
        <w:rPr>
          <w:spacing w:val="-1"/>
        </w:rPr>
        <w:t> </w:t>
      </w:r>
      <w:r>
        <w:rPr/>
        <w:t>adequacy</w:t>
      </w:r>
      <w:r>
        <w:rPr>
          <w:spacing w:val="-2"/>
        </w:rPr>
        <w:t> </w:t>
      </w:r>
      <w:r>
        <w:rPr/>
        <w:t>of</w:t>
      </w:r>
      <w:r>
        <w:rPr>
          <w:spacing w:val="-1"/>
        </w:rPr>
        <w:t> </w:t>
      </w:r>
      <w:r>
        <w:rPr/>
        <w:t>controls;</w:t>
      </w:r>
      <w:r>
        <w:rPr>
          <w:spacing w:val="-4"/>
        </w:rPr>
        <w:t> </w:t>
      </w:r>
      <w:r>
        <w:rPr/>
        <w:t>assess</w:t>
      </w:r>
      <w:r>
        <w:rPr>
          <w:spacing w:val="-2"/>
        </w:rPr>
        <w:t> </w:t>
      </w:r>
      <w:r>
        <w:rPr/>
        <w:t>the</w:t>
      </w:r>
      <w:r>
        <w:rPr>
          <w:spacing w:val="-1"/>
        </w:rPr>
        <w:t> </w:t>
      </w:r>
      <w:r>
        <w:rPr/>
        <w:t>assurances</w:t>
      </w:r>
      <w:r>
        <w:rPr>
          <w:spacing w:val="-2"/>
        </w:rPr>
        <w:t> </w:t>
      </w:r>
      <w:r>
        <w:rPr/>
        <w:t>available;</w:t>
      </w:r>
      <w:r>
        <w:rPr>
          <w:spacing w:val="-3"/>
        </w:rPr>
        <w:t> </w:t>
      </w:r>
      <w:r>
        <w:rPr/>
        <w:t>identify</w:t>
      </w:r>
      <w:r>
        <w:rPr>
          <w:spacing w:val="-2"/>
        </w:rPr>
        <w:t> </w:t>
      </w:r>
      <w:r>
        <w:rPr/>
        <w:t>gaps;</w:t>
      </w:r>
      <w:r>
        <w:rPr>
          <w:spacing w:val="-4"/>
        </w:rPr>
        <w:t> </w:t>
      </w:r>
      <w:r>
        <w:rPr/>
        <w:t>and determine</w:t>
      </w:r>
      <w:r>
        <w:rPr>
          <w:spacing w:val="-1"/>
        </w:rPr>
        <w:t> </w:t>
      </w:r>
      <w:r>
        <w:rPr/>
        <w:t>what</w:t>
      </w:r>
      <w:r>
        <w:rPr>
          <w:spacing w:val="-2"/>
        </w:rPr>
        <w:t> </w:t>
      </w:r>
      <w:r>
        <w:rPr/>
        <w:t>further action may be required to support delivery and escalation.</w:t>
      </w:r>
    </w:p>
    <w:p>
      <w:pPr>
        <w:pStyle w:val="BodyText"/>
        <w:spacing w:before="76"/>
      </w:pPr>
    </w:p>
    <w:p>
      <w:pPr>
        <w:spacing w:before="0"/>
        <w:ind w:left="23" w:right="0" w:firstLine="0"/>
        <w:jc w:val="left"/>
        <w:rPr>
          <w:b/>
          <w:sz w:val="24"/>
        </w:rPr>
      </w:pPr>
      <w:r>
        <w:rPr>
          <w:b/>
          <w:spacing w:val="-2"/>
          <w:sz w:val="24"/>
        </w:rPr>
        <w:t>Assessment</w:t>
      </w:r>
    </w:p>
    <w:p>
      <w:pPr>
        <w:pStyle w:val="BodyText"/>
        <w:spacing w:line="259" w:lineRule="auto" w:before="99"/>
        <w:ind w:left="23" w:right="1027"/>
      </w:pPr>
      <w:r>
        <w:rPr/>
        <w:t>The listing attached with this report identifies six, draft strategic risks. These focus on the risks to achieving the RJC objectives: the delivery</w:t>
      </w:r>
      <w:r>
        <w:rPr>
          <w:spacing w:val="-3"/>
        </w:rPr>
        <w:t> </w:t>
      </w:r>
      <w:r>
        <w:rPr/>
        <w:t>of</w:t>
      </w:r>
      <w:r>
        <w:rPr>
          <w:spacing w:val="-5"/>
        </w:rPr>
        <w:t> </w:t>
      </w:r>
      <w:r>
        <w:rPr/>
        <w:t>a</w:t>
      </w:r>
      <w:r>
        <w:rPr>
          <w:spacing w:val="-2"/>
        </w:rPr>
        <w:t> </w:t>
      </w:r>
      <w:r>
        <w:rPr/>
        <w:t>coherent</w:t>
      </w:r>
      <w:r>
        <w:rPr>
          <w:spacing w:val="-5"/>
        </w:rPr>
        <w:t> </w:t>
      </w:r>
      <w:r>
        <w:rPr/>
        <w:t>regional</w:t>
      </w:r>
      <w:r>
        <w:rPr>
          <w:spacing w:val="-2"/>
        </w:rPr>
        <w:t> </w:t>
      </w:r>
      <w:r>
        <w:rPr/>
        <w:t>health</w:t>
      </w:r>
      <w:r>
        <w:rPr>
          <w:spacing w:val="-2"/>
        </w:rPr>
        <w:t> </w:t>
      </w:r>
      <w:r>
        <w:rPr/>
        <w:t>economy</w:t>
      </w:r>
      <w:r>
        <w:rPr>
          <w:spacing w:val="-3"/>
        </w:rPr>
        <w:t> </w:t>
      </w:r>
      <w:r>
        <w:rPr/>
        <w:t>model;</w:t>
      </w:r>
      <w:r>
        <w:rPr>
          <w:spacing w:val="-5"/>
        </w:rPr>
        <w:t> </w:t>
      </w:r>
      <w:r>
        <w:rPr/>
        <w:t>timely</w:t>
      </w:r>
      <w:r>
        <w:rPr>
          <w:spacing w:val="-3"/>
        </w:rPr>
        <w:t> </w:t>
      </w:r>
      <w:r>
        <w:rPr/>
        <w:t>and</w:t>
      </w:r>
      <w:r>
        <w:rPr>
          <w:spacing w:val="-2"/>
        </w:rPr>
        <w:t> </w:t>
      </w:r>
      <w:r>
        <w:rPr/>
        <w:t>evidence-based</w:t>
      </w:r>
      <w:r>
        <w:rPr>
          <w:spacing w:val="-2"/>
        </w:rPr>
        <w:t> </w:t>
      </w:r>
      <w:r>
        <w:rPr/>
        <w:t>regional</w:t>
      </w:r>
      <w:r>
        <w:rPr>
          <w:spacing w:val="-2"/>
        </w:rPr>
        <w:t> </w:t>
      </w:r>
      <w:r>
        <w:rPr/>
        <w:t>clinical</w:t>
      </w:r>
      <w:r>
        <w:rPr>
          <w:spacing w:val="-2"/>
        </w:rPr>
        <w:t> </w:t>
      </w:r>
      <w:r>
        <w:rPr/>
        <w:t>services</w:t>
      </w:r>
      <w:r>
        <w:rPr>
          <w:spacing w:val="-3"/>
        </w:rPr>
        <w:t> </w:t>
      </w:r>
      <w:r>
        <w:rPr/>
        <w:t>planning;</w:t>
      </w:r>
      <w:r>
        <w:rPr>
          <w:spacing w:val="-5"/>
        </w:rPr>
        <w:t> </w:t>
      </w:r>
      <w:r>
        <w:rPr/>
        <w:t>the</w:t>
      </w:r>
      <w:r>
        <w:rPr>
          <w:spacing w:val="-2"/>
        </w:rPr>
        <w:t> </w:t>
      </w:r>
      <w:r>
        <w:rPr/>
        <w:t>availability of corporate enablers; the translation of research and innovation into scaled improvement; the maturity of governance, accountability and assurance arrangements; and the ability to secure external support and system alignment for major regional change. Indicative content is also provided indicating high level control mechanisms, sources of assurance, gaps, and areas for</w:t>
      </w:r>
    </w:p>
    <w:p>
      <w:pPr>
        <w:pStyle w:val="BodyText"/>
        <w:ind w:left="23"/>
      </w:pPr>
      <w:r>
        <w:rPr>
          <w:spacing w:val="-2"/>
        </w:rPr>
        <w:t>action.</w:t>
      </w:r>
    </w:p>
    <w:p>
      <w:pPr>
        <w:pStyle w:val="BodyText"/>
        <w:spacing w:line="259" w:lineRule="auto" w:before="180"/>
        <w:ind w:left="23" w:right="1027"/>
      </w:pPr>
      <w:r>
        <w:rPr/>
        <w:t>In addition to the agreement the risks themselves, clear ownership is important to ensure the ongoing management and update of register content required to support effective monitoring and reporting.</w:t>
      </w:r>
      <w:r>
        <w:rPr>
          <w:spacing w:val="40"/>
        </w:rPr>
        <w:t> </w:t>
      </w:r>
      <w:r>
        <w:rPr/>
        <w:t>While the register will be overseen by the RJC, it is recommended</w:t>
      </w:r>
      <w:r>
        <w:rPr>
          <w:spacing w:val="-2"/>
        </w:rPr>
        <w:t> </w:t>
      </w:r>
      <w:r>
        <w:rPr/>
        <w:t>that</w:t>
      </w:r>
      <w:r>
        <w:rPr>
          <w:spacing w:val="-3"/>
        </w:rPr>
        <w:t> </w:t>
      </w:r>
      <w:r>
        <w:rPr/>
        <w:t>each</w:t>
      </w:r>
      <w:r>
        <w:rPr>
          <w:spacing w:val="-2"/>
        </w:rPr>
        <w:t> </w:t>
      </w:r>
      <w:r>
        <w:rPr/>
        <w:t>risk</w:t>
      </w:r>
      <w:r>
        <w:rPr>
          <w:spacing w:val="-3"/>
        </w:rPr>
        <w:t> </w:t>
      </w:r>
      <w:r>
        <w:rPr/>
        <w:t>is</w:t>
      </w:r>
      <w:r>
        <w:rPr>
          <w:spacing w:val="-3"/>
        </w:rPr>
        <w:t> </w:t>
      </w:r>
      <w:r>
        <w:rPr/>
        <w:t>assigned a</w:t>
      </w:r>
      <w:r>
        <w:rPr>
          <w:spacing w:val="-2"/>
        </w:rPr>
        <w:t> </w:t>
      </w:r>
      <w:r>
        <w:rPr/>
        <w:t>single</w:t>
      </w:r>
      <w:r>
        <w:rPr>
          <w:spacing w:val="-1"/>
        </w:rPr>
        <w:t> </w:t>
      </w:r>
      <w:r>
        <w:rPr/>
        <w:t>Director-level</w:t>
      </w:r>
      <w:r>
        <w:rPr>
          <w:spacing w:val="-1"/>
        </w:rPr>
        <w:t> </w:t>
      </w:r>
      <w:r>
        <w:rPr/>
        <w:t>risk</w:t>
      </w:r>
      <w:r>
        <w:rPr>
          <w:spacing w:val="-3"/>
        </w:rPr>
        <w:t> </w:t>
      </w:r>
      <w:r>
        <w:rPr/>
        <w:t>owner</w:t>
      </w:r>
      <w:r>
        <w:rPr>
          <w:spacing w:val="-2"/>
        </w:rPr>
        <w:t> </w:t>
      </w:r>
      <w:r>
        <w:rPr/>
        <w:t>from</w:t>
      </w:r>
      <w:r>
        <w:rPr>
          <w:spacing w:val="-3"/>
        </w:rPr>
        <w:t> </w:t>
      </w:r>
      <w:r>
        <w:rPr/>
        <w:t>either</w:t>
      </w:r>
      <w:r>
        <w:rPr>
          <w:spacing w:val="-3"/>
        </w:rPr>
        <w:t> </w:t>
      </w:r>
      <w:r>
        <w:rPr/>
        <w:t>of</w:t>
      </w:r>
      <w:r>
        <w:rPr>
          <w:spacing w:val="-4"/>
        </w:rPr>
        <w:t> </w:t>
      </w:r>
      <w:r>
        <w:rPr/>
        <w:t>the</w:t>
      </w:r>
      <w:r>
        <w:rPr>
          <w:spacing w:val="-2"/>
        </w:rPr>
        <w:t> </w:t>
      </w:r>
      <w:r>
        <w:rPr/>
        <w:t>health</w:t>
      </w:r>
      <w:r>
        <w:rPr>
          <w:spacing w:val="-2"/>
        </w:rPr>
        <w:t> </w:t>
      </w:r>
      <w:r>
        <w:rPr/>
        <w:t>boards,</w:t>
      </w:r>
      <w:r>
        <w:rPr>
          <w:spacing w:val="-3"/>
        </w:rPr>
        <w:t> </w:t>
      </w:r>
      <w:r>
        <w:rPr/>
        <w:t>who</w:t>
      </w:r>
      <w:r>
        <w:rPr>
          <w:spacing w:val="-2"/>
        </w:rPr>
        <w:t> </w:t>
      </w:r>
      <w:r>
        <w:rPr/>
        <w:t>will</w:t>
      </w:r>
      <w:r>
        <w:rPr>
          <w:spacing w:val="-2"/>
        </w:rPr>
        <w:t> </w:t>
      </w:r>
      <w:r>
        <w:rPr/>
        <w:t>be accountable for the management and update of the risk entry. Lead managers can be nominated to support the risk owner in the further development of risk register content and ongoing administration of the risk register when adopted.</w:t>
      </w:r>
    </w:p>
    <w:p>
      <w:pPr>
        <w:pStyle w:val="BodyText"/>
        <w:spacing w:line="261" w:lineRule="auto" w:before="160"/>
        <w:ind w:left="23" w:right="1027"/>
      </w:pPr>
      <w:r>
        <w:rPr/>
        <w:t>The</w:t>
      </w:r>
      <w:r>
        <w:rPr>
          <w:spacing w:val="-1"/>
        </w:rPr>
        <w:t> </w:t>
      </w:r>
      <w:r>
        <w:rPr/>
        <w:t>agreement</w:t>
      </w:r>
      <w:r>
        <w:rPr>
          <w:spacing w:val="-4"/>
        </w:rPr>
        <w:t> </w:t>
      </w:r>
      <w:r>
        <w:rPr/>
        <w:t>of</w:t>
      </w:r>
      <w:r>
        <w:rPr>
          <w:spacing w:val="-4"/>
        </w:rPr>
        <w:t> </w:t>
      </w:r>
      <w:r>
        <w:rPr/>
        <w:t>a</w:t>
      </w:r>
      <w:r>
        <w:rPr>
          <w:spacing w:val="-1"/>
        </w:rPr>
        <w:t> </w:t>
      </w:r>
      <w:r>
        <w:rPr/>
        <w:t>set</w:t>
      </w:r>
      <w:r>
        <w:rPr>
          <w:spacing w:val="-4"/>
        </w:rPr>
        <w:t> </w:t>
      </w:r>
      <w:r>
        <w:rPr/>
        <w:t>of</w:t>
      </w:r>
      <w:r>
        <w:rPr>
          <w:spacing w:val="-4"/>
        </w:rPr>
        <w:t> </w:t>
      </w:r>
      <w:r>
        <w:rPr/>
        <w:t>strategic</w:t>
      </w:r>
      <w:r>
        <w:rPr>
          <w:spacing w:val="-2"/>
        </w:rPr>
        <w:t> </w:t>
      </w:r>
      <w:r>
        <w:rPr/>
        <w:t>risks</w:t>
      </w:r>
      <w:r>
        <w:rPr>
          <w:spacing w:val="-2"/>
        </w:rPr>
        <w:t> </w:t>
      </w:r>
      <w:r>
        <w:rPr/>
        <w:t>and</w:t>
      </w:r>
      <w:r>
        <w:rPr>
          <w:spacing w:val="-1"/>
        </w:rPr>
        <w:t> </w:t>
      </w:r>
      <w:r>
        <w:rPr/>
        <w:t>risk</w:t>
      </w:r>
      <w:r>
        <w:rPr>
          <w:spacing w:val="-2"/>
        </w:rPr>
        <w:t> </w:t>
      </w:r>
      <w:r>
        <w:rPr/>
        <w:t>owners</w:t>
      </w:r>
      <w:r>
        <w:rPr>
          <w:spacing w:val="-2"/>
        </w:rPr>
        <w:t> </w:t>
      </w:r>
      <w:r>
        <w:rPr/>
        <w:t>is</w:t>
      </w:r>
      <w:r>
        <w:rPr>
          <w:spacing w:val="-2"/>
        </w:rPr>
        <w:t> </w:t>
      </w:r>
      <w:r>
        <w:rPr/>
        <w:t>a</w:t>
      </w:r>
      <w:r>
        <w:rPr>
          <w:spacing w:val="-1"/>
        </w:rPr>
        <w:t> </w:t>
      </w:r>
      <w:r>
        <w:rPr/>
        <w:t>prerequisite</w:t>
      </w:r>
      <w:r>
        <w:rPr>
          <w:spacing w:val="-1"/>
        </w:rPr>
        <w:t> </w:t>
      </w:r>
      <w:r>
        <w:rPr/>
        <w:t>to</w:t>
      </w:r>
      <w:r>
        <w:rPr>
          <w:spacing w:val="-1"/>
        </w:rPr>
        <w:t> </w:t>
      </w:r>
      <w:r>
        <w:rPr/>
        <w:t>further</w:t>
      </w:r>
      <w:r>
        <w:rPr>
          <w:spacing w:val="-2"/>
        </w:rPr>
        <w:t> </w:t>
      </w:r>
      <w:r>
        <w:rPr/>
        <w:t>development</w:t>
      </w:r>
      <w:r>
        <w:rPr>
          <w:spacing w:val="-4"/>
        </w:rPr>
        <w:t> </w:t>
      </w:r>
      <w:r>
        <w:rPr/>
        <w:t>of</w:t>
      </w:r>
      <w:r>
        <w:rPr>
          <w:spacing w:val="-4"/>
        </w:rPr>
        <w:t> </w:t>
      </w:r>
      <w:r>
        <w:rPr/>
        <w:t>a</w:t>
      </w:r>
      <w:r>
        <w:rPr>
          <w:spacing w:val="-1"/>
        </w:rPr>
        <w:t> </w:t>
      </w:r>
      <w:r>
        <w:rPr/>
        <w:t>risk</w:t>
      </w:r>
      <w:r>
        <w:rPr>
          <w:spacing w:val="-2"/>
        </w:rPr>
        <w:t> </w:t>
      </w:r>
      <w:r>
        <w:rPr/>
        <w:t>register</w:t>
      </w:r>
      <w:r>
        <w:rPr>
          <w:spacing w:val="-2"/>
        </w:rPr>
        <w:t> </w:t>
      </w:r>
      <w:r>
        <w:rPr/>
        <w:t>for</w:t>
      </w:r>
      <w:r>
        <w:rPr>
          <w:spacing w:val="-2"/>
        </w:rPr>
        <w:t> </w:t>
      </w:r>
      <w:r>
        <w:rPr/>
        <w:t>the RJC.</w:t>
      </w:r>
      <w:r>
        <w:rPr>
          <w:spacing w:val="-8"/>
        </w:rPr>
        <w:t> </w:t>
      </w:r>
      <w:r>
        <w:rPr/>
        <w:t>This report is seeking agreement to the risks presented and/or the identification of areas for adjustment / further development,</w:t>
      </w:r>
    </w:p>
    <w:p>
      <w:pPr>
        <w:pStyle w:val="BodyText"/>
        <w:spacing w:before="154"/>
        <w:ind w:left="23"/>
      </w:pPr>
      <w:r>
        <w:rPr/>
        <w:t>Following</w:t>
      </w:r>
      <w:r>
        <w:rPr>
          <w:spacing w:val="-2"/>
        </w:rPr>
        <w:t> </w:t>
      </w:r>
      <w:r>
        <w:rPr/>
        <w:t>agreement</w:t>
      </w:r>
      <w:r>
        <w:rPr>
          <w:spacing w:val="-4"/>
        </w:rPr>
        <w:t> </w:t>
      </w:r>
      <w:r>
        <w:rPr/>
        <w:t>of</w:t>
      </w:r>
      <w:r>
        <w:rPr>
          <w:spacing w:val="-5"/>
        </w:rPr>
        <w:t> </w:t>
      </w:r>
      <w:r>
        <w:rPr/>
        <w:t>risks</w:t>
      </w:r>
      <w:r>
        <w:rPr>
          <w:spacing w:val="-2"/>
        </w:rPr>
        <w:t> </w:t>
      </w:r>
      <w:r>
        <w:rPr/>
        <w:t>and</w:t>
      </w:r>
      <w:r>
        <w:rPr>
          <w:spacing w:val="-2"/>
        </w:rPr>
        <w:t> </w:t>
      </w:r>
      <w:r>
        <w:rPr/>
        <w:t>Director-level</w:t>
      </w:r>
      <w:r>
        <w:rPr>
          <w:spacing w:val="-1"/>
        </w:rPr>
        <w:t> </w:t>
      </w:r>
      <w:r>
        <w:rPr/>
        <w:t>ownership,</w:t>
      </w:r>
      <w:r>
        <w:rPr>
          <w:spacing w:val="-5"/>
        </w:rPr>
        <w:t> </w:t>
      </w:r>
      <w:r>
        <w:rPr/>
        <w:t>the</w:t>
      </w:r>
      <w:r>
        <w:rPr>
          <w:spacing w:val="-1"/>
        </w:rPr>
        <w:t> </w:t>
      </w:r>
      <w:r>
        <w:rPr/>
        <w:t>next</w:t>
      </w:r>
      <w:r>
        <w:rPr>
          <w:spacing w:val="-5"/>
        </w:rPr>
        <w:t> </w:t>
      </w:r>
      <w:r>
        <w:rPr/>
        <w:t>steps</w:t>
      </w:r>
      <w:r>
        <w:rPr>
          <w:spacing w:val="-2"/>
        </w:rPr>
        <w:t> </w:t>
      </w:r>
      <w:r>
        <w:rPr/>
        <w:t>will</w:t>
      </w:r>
      <w:r>
        <w:rPr>
          <w:spacing w:val="-1"/>
        </w:rPr>
        <w:t> </w:t>
      </w:r>
      <w:r>
        <w:rPr>
          <w:spacing w:val="-5"/>
        </w:rPr>
        <w:t>be:</w:t>
      </w:r>
    </w:p>
    <w:p>
      <w:pPr>
        <w:pStyle w:val="ListParagraph"/>
        <w:numPr>
          <w:ilvl w:val="0"/>
          <w:numId w:val="101"/>
        </w:numPr>
        <w:tabs>
          <w:tab w:pos="743" w:val="left" w:leader="none"/>
        </w:tabs>
        <w:spacing w:line="240" w:lineRule="auto" w:before="183" w:after="0"/>
        <w:ind w:left="743" w:right="0" w:hanging="360"/>
        <w:jc w:val="left"/>
        <w:rPr>
          <w:sz w:val="24"/>
        </w:rPr>
      </w:pPr>
      <w:r>
        <w:rPr>
          <w:sz w:val="24"/>
        </w:rPr>
        <w:t>Further</w:t>
      </w:r>
      <w:r>
        <w:rPr>
          <w:spacing w:val="-3"/>
          <w:sz w:val="24"/>
        </w:rPr>
        <w:t> </w:t>
      </w:r>
      <w:r>
        <w:rPr>
          <w:sz w:val="24"/>
        </w:rPr>
        <w:t>develop</w:t>
      </w:r>
      <w:r>
        <w:rPr>
          <w:spacing w:val="-3"/>
          <w:sz w:val="24"/>
        </w:rPr>
        <w:t> </w:t>
      </w:r>
      <w:r>
        <w:rPr>
          <w:sz w:val="24"/>
        </w:rPr>
        <w:t>risk</w:t>
      </w:r>
      <w:r>
        <w:rPr>
          <w:spacing w:val="-3"/>
          <w:sz w:val="24"/>
        </w:rPr>
        <w:t> </w:t>
      </w:r>
      <w:r>
        <w:rPr>
          <w:sz w:val="24"/>
        </w:rPr>
        <w:t>register</w:t>
      </w:r>
      <w:r>
        <w:rPr>
          <w:spacing w:val="-3"/>
          <w:sz w:val="24"/>
        </w:rPr>
        <w:t> </w:t>
      </w:r>
      <w:r>
        <w:rPr>
          <w:sz w:val="24"/>
        </w:rPr>
        <w:t>format</w:t>
      </w:r>
      <w:r>
        <w:rPr>
          <w:spacing w:val="-4"/>
          <w:sz w:val="24"/>
        </w:rPr>
        <w:t> </w:t>
      </w:r>
      <w:r>
        <w:rPr>
          <w:sz w:val="24"/>
        </w:rPr>
        <w:t>and</w:t>
      </w:r>
      <w:r>
        <w:rPr>
          <w:spacing w:val="-2"/>
          <w:sz w:val="24"/>
        </w:rPr>
        <w:t> content</w:t>
      </w:r>
    </w:p>
    <w:p>
      <w:pPr>
        <w:pStyle w:val="ListParagraph"/>
        <w:numPr>
          <w:ilvl w:val="0"/>
          <w:numId w:val="101"/>
        </w:numPr>
        <w:tabs>
          <w:tab w:pos="743" w:val="left" w:leader="none"/>
        </w:tabs>
        <w:spacing w:line="240" w:lineRule="auto" w:before="21" w:after="0"/>
        <w:ind w:left="743" w:right="0" w:hanging="360"/>
        <w:jc w:val="left"/>
        <w:rPr>
          <w:sz w:val="24"/>
        </w:rPr>
      </w:pPr>
      <w:r>
        <w:rPr>
          <w:sz w:val="24"/>
        </w:rPr>
        <w:t>Development</w:t>
      </w:r>
      <w:r>
        <w:rPr>
          <w:spacing w:val="-8"/>
          <w:sz w:val="24"/>
        </w:rPr>
        <w:t> </w:t>
      </w:r>
      <w:r>
        <w:rPr>
          <w:sz w:val="24"/>
        </w:rPr>
        <w:t>and</w:t>
      </w:r>
      <w:r>
        <w:rPr>
          <w:spacing w:val="-2"/>
          <w:sz w:val="24"/>
        </w:rPr>
        <w:t> </w:t>
      </w:r>
      <w:r>
        <w:rPr>
          <w:sz w:val="24"/>
        </w:rPr>
        <w:t>agreement</w:t>
      </w:r>
      <w:r>
        <w:rPr>
          <w:spacing w:val="-5"/>
          <w:sz w:val="24"/>
        </w:rPr>
        <w:t> </w:t>
      </w:r>
      <w:r>
        <w:rPr>
          <w:sz w:val="24"/>
        </w:rPr>
        <w:t>of</w:t>
      </w:r>
      <w:r>
        <w:rPr>
          <w:spacing w:val="-2"/>
          <w:sz w:val="24"/>
        </w:rPr>
        <w:t> </w:t>
      </w:r>
      <w:r>
        <w:rPr>
          <w:sz w:val="24"/>
        </w:rPr>
        <w:t>a</w:t>
      </w:r>
      <w:r>
        <w:rPr>
          <w:spacing w:val="-3"/>
          <w:sz w:val="24"/>
        </w:rPr>
        <w:t> </w:t>
      </w:r>
      <w:r>
        <w:rPr>
          <w:sz w:val="24"/>
        </w:rPr>
        <w:t>common</w:t>
      </w:r>
      <w:r>
        <w:rPr>
          <w:spacing w:val="-2"/>
          <w:sz w:val="24"/>
        </w:rPr>
        <w:t> </w:t>
      </w:r>
      <w:r>
        <w:rPr>
          <w:sz w:val="24"/>
        </w:rPr>
        <w:t>approach</w:t>
      </w:r>
      <w:r>
        <w:rPr>
          <w:spacing w:val="-2"/>
          <w:sz w:val="24"/>
        </w:rPr>
        <w:t> </w:t>
      </w:r>
      <w:r>
        <w:rPr>
          <w:sz w:val="24"/>
        </w:rPr>
        <w:t>to</w:t>
      </w:r>
      <w:r>
        <w:rPr>
          <w:spacing w:val="-2"/>
          <w:sz w:val="24"/>
        </w:rPr>
        <w:t> </w:t>
      </w:r>
      <w:r>
        <w:rPr>
          <w:sz w:val="24"/>
        </w:rPr>
        <w:t>risk</w:t>
      </w:r>
      <w:r>
        <w:rPr>
          <w:spacing w:val="-3"/>
          <w:sz w:val="24"/>
        </w:rPr>
        <w:t> </w:t>
      </w:r>
      <w:r>
        <w:rPr>
          <w:spacing w:val="-2"/>
          <w:sz w:val="24"/>
        </w:rPr>
        <w:t>assessment</w:t>
      </w:r>
    </w:p>
    <w:p>
      <w:pPr>
        <w:pStyle w:val="BodyText"/>
        <w:spacing w:before="185"/>
        <w:rPr>
          <w:sz w:val="22"/>
        </w:rPr>
      </w:pPr>
    </w:p>
    <w:p>
      <w:pPr>
        <w:spacing w:before="0"/>
        <w:ind w:left="11" w:right="994" w:firstLine="0"/>
        <w:jc w:val="center"/>
        <w:rPr>
          <w:rFonts w:ascii="Calibri"/>
          <w:sz w:val="22"/>
        </w:rPr>
      </w:pPr>
      <w:r>
        <w:rPr>
          <w:rFonts w:ascii="Calibri"/>
          <w:spacing w:val="-10"/>
          <w:sz w:val="22"/>
        </w:rPr>
        <w:t>2</w:t>
      </w:r>
    </w:p>
    <w:p>
      <w:pPr>
        <w:spacing w:after="0"/>
        <w:jc w:val="center"/>
        <w:rPr>
          <w:rFonts w:ascii="Calibri"/>
          <w:sz w:val="22"/>
        </w:rPr>
        <w:sectPr>
          <w:pgSz w:w="16840" w:h="11910" w:orient="landscape"/>
          <w:pgMar w:header="0" w:footer="198" w:top="1340" w:bottom="380" w:left="1417" w:right="425"/>
        </w:sectPr>
      </w:pPr>
    </w:p>
    <w:p>
      <w:pPr>
        <w:pStyle w:val="ListParagraph"/>
        <w:numPr>
          <w:ilvl w:val="0"/>
          <w:numId w:val="101"/>
        </w:numPr>
        <w:tabs>
          <w:tab w:pos="743" w:val="left" w:leader="none"/>
        </w:tabs>
        <w:spacing w:line="240" w:lineRule="auto" w:before="99" w:after="0"/>
        <w:ind w:left="743" w:right="0" w:hanging="360"/>
        <w:jc w:val="left"/>
        <w:rPr>
          <w:sz w:val="24"/>
        </w:rPr>
      </w:pPr>
      <w:r>
        <w:rPr>
          <w:sz w:val="24"/>
        </w:rPr>
        <w:t>Assessment</w:t>
      </w:r>
      <w:r>
        <w:rPr>
          <w:spacing w:val="-8"/>
          <w:sz w:val="24"/>
        </w:rPr>
        <w:t> </w:t>
      </w:r>
      <w:r>
        <w:rPr>
          <w:sz w:val="24"/>
        </w:rPr>
        <w:t>of</w:t>
      </w:r>
      <w:r>
        <w:rPr>
          <w:spacing w:val="-6"/>
          <w:sz w:val="24"/>
        </w:rPr>
        <w:t> </w:t>
      </w:r>
      <w:r>
        <w:rPr>
          <w:sz w:val="24"/>
        </w:rPr>
        <w:t>listed</w:t>
      </w:r>
      <w:r>
        <w:rPr>
          <w:spacing w:val="-3"/>
          <w:sz w:val="24"/>
        </w:rPr>
        <w:t> </w:t>
      </w:r>
      <w:r>
        <w:rPr>
          <w:sz w:val="24"/>
        </w:rPr>
        <w:t>risks</w:t>
      </w:r>
      <w:r>
        <w:rPr>
          <w:spacing w:val="-4"/>
          <w:sz w:val="24"/>
        </w:rPr>
        <w:t> </w:t>
      </w:r>
      <w:r>
        <w:rPr>
          <w:sz w:val="24"/>
        </w:rPr>
        <w:t>in</w:t>
      </w:r>
      <w:r>
        <w:rPr>
          <w:spacing w:val="-3"/>
          <w:sz w:val="24"/>
        </w:rPr>
        <w:t> </w:t>
      </w:r>
      <w:r>
        <w:rPr>
          <w:sz w:val="24"/>
        </w:rPr>
        <w:t>accordance</w:t>
      </w:r>
      <w:r>
        <w:rPr>
          <w:spacing w:val="-3"/>
          <w:sz w:val="24"/>
        </w:rPr>
        <w:t> </w:t>
      </w:r>
      <w:r>
        <w:rPr>
          <w:sz w:val="24"/>
        </w:rPr>
        <w:t>with</w:t>
      </w:r>
      <w:r>
        <w:rPr>
          <w:spacing w:val="-3"/>
          <w:sz w:val="24"/>
        </w:rPr>
        <w:t> </w:t>
      </w:r>
      <w:r>
        <w:rPr>
          <w:sz w:val="24"/>
        </w:rPr>
        <w:t>the</w:t>
      </w:r>
      <w:r>
        <w:rPr>
          <w:spacing w:val="-3"/>
          <w:sz w:val="24"/>
        </w:rPr>
        <w:t> </w:t>
      </w:r>
      <w:r>
        <w:rPr>
          <w:sz w:val="24"/>
        </w:rPr>
        <w:t>agreed</w:t>
      </w:r>
      <w:r>
        <w:rPr>
          <w:spacing w:val="-2"/>
          <w:sz w:val="24"/>
        </w:rPr>
        <w:t> approach</w:t>
      </w:r>
    </w:p>
    <w:p>
      <w:pPr>
        <w:pStyle w:val="ListParagraph"/>
        <w:numPr>
          <w:ilvl w:val="0"/>
          <w:numId w:val="101"/>
        </w:numPr>
        <w:tabs>
          <w:tab w:pos="743" w:val="left" w:leader="none"/>
        </w:tabs>
        <w:spacing w:line="259" w:lineRule="auto" w:before="21" w:after="0"/>
        <w:ind w:left="743" w:right="2195" w:hanging="360"/>
        <w:jc w:val="left"/>
        <w:rPr>
          <w:sz w:val="24"/>
        </w:rPr>
      </w:pPr>
      <w:r>
        <w:rPr>
          <w:sz w:val="24"/>
        </w:rPr>
        <w:t>Further</w:t>
      </w:r>
      <w:r>
        <w:rPr>
          <w:spacing w:val="-3"/>
          <w:sz w:val="24"/>
        </w:rPr>
        <w:t> </w:t>
      </w:r>
      <w:r>
        <w:rPr>
          <w:sz w:val="24"/>
        </w:rPr>
        <w:t>consideration to</w:t>
      </w:r>
      <w:r>
        <w:rPr>
          <w:spacing w:val="-2"/>
          <w:sz w:val="24"/>
        </w:rPr>
        <w:t> </w:t>
      </w:r>
      <w:r>
        <w:rPr>
          <w:sz w:val="24"/>
        </w:rPr>
        <w:t>be</w:t>
      </w:r>
      <w:r>
        <w:rPr>
          <w:spacing w:val="-2"/>
          <w:sz w:val="24"/>
        </w:rPr>
        <w:t> </w:t>
      </w:r>
      <w:r>
        <w:rPr>
          <w:sz w:val="24"/>
        </w:rPr>
        <w:t>given</w:t>
      </w:r>
      <w:r>
        <w:rPr>
          <w:spacing w:val="-2"/>
          <w:sz w:val="24"/>
        </w:rPr>
        <w:t> </w:t>
      </w:r>
      <w:r>
        <w:rPr>
          <w:sz w:val="24"/>
        </w:rPr>
        <w:t>to</w:t>
      </w:r>
      <w:r>
        <w:rPr>
          <w:spacing w:val="-1"/>
          <w:sz w:val="24"/>
        </w:rPr>
        <w:t> </w:t>
      </w:r>
      <w:r>
        <w:rPr>
          <w:sz w:val="24"/>
        </w:rPr>
        <w:t>risk</w:t>
      </w:r>
      <w:r>
        <w:rPr>
          <w:spacing w:val="-3"/>
          <w:sz w:val="24"/>
        </w:rPr>
        <w:t> </w:t>
      </w:r>
      <w:r>
        <w:rPr>
          <w:sz w:val="24"/>
        </w:rPr>
        <w:t>appetite;</w:t>
      </w:r>
      <w:r>
        <w:rPr>
          <w:spacing w:val="-4"/>
          <w:sz w:val="24"/>
        </w:rPr>
        <w:t> </w:t>
      </w:r>
      <w:r>
        <w:rPr>
          <w:sz w:val="24"/>
        </w:rPr>
        <w:t>responsibilities</w:t>
      </w:r>
      <w:r>
        <w:rPr>
          <w:spacing w:val="-3"/>
          <w:sz w:val="24"/>
        </w:rPr>
        <w:t> </w:t>
      </w:r>
      <w:r>
        <w:rPr>
          <w:sz w:val="24"/>
        </w:rPr>
        <w:t>and processes</w:t>
      </w:r>
      <w:r>
        <w:rPr>
          <w:spacing w:val="-3"/>
          <w:sz w:val="24"/>
        </w:rPr>
        <w:t> </w:t>
      </w:r>
      <w:r>
        <w:rPr>
          <w:sz w:val="24"/>
        </w:rPr>
        <w:t>for</w:t>
      </w:r>
      <w:r>
        <w:rPr>
          <w:spacing w:val="-3"/>
          <w:sz w:val="24"/>
        </w:rPr>
        <w:t> </w:t>
      </w:r>
      <w:r>
        <w:rPr>
          <w:sz w:val="24"/>
        </w:rPr>
        <w:t>updating the</w:t>
      </w:r>
      <w:r>
        <w:rPr>
          <w:spacing w:val="-2"/>
          <w:sz w:val="24"/>
        </w:rPr>
        <w:t> </w:t>
      </w:r>
      <w:r>
        <w:rPr>
          <w:sz w:val="24"/>
        </w:rPr>
        <w:t>risk</w:t>
      </w:r>
      <w:r>
        <w:rPr>
          <w:spacing w:val="-3"/>
          <w:sz w:val="24"/>
        </w:rPr>
        <w:t> </w:t>
      </w:r>
      <w:r>
        <w:rPr>
          <w:sz w:val="24"/>
        </w:rPr>
        <w:t>register;</w:t>
      </w:r>
      <w:r>
        <w:rPr>
          <w:spacing w:val="-5"/>
          <w:sz w:val="24"/>
        </w:rPr>
        <w:t> </w:t>
      </w:r>
      <w:r>
        <w:rPr>
          <w:sz w:val="24"/>
        </w:rPr>
        <w:t>and arrangements for monitoring and reporting.</w:t>
      </w:r>
    </w:p>
    <w:p>
      <w:pPr>
        <w:pStyle w:val="BodyText"/>
        <w:spacing w:before="80"/>
      </w:pPr>
    </w:p>
    <w:p>
      <w:pPr>
        <w:spacing w:before="1"/>
        <w:ind w:left="23" w:right="0" w:firstLine="0"/>
        <w:jc w:val="left"/>
        <w:rPr>
          <w:b/>
          <w:sz w:val="24"/>
        </w:rPr>
      </w:pPr>
      <w:r>
        <w:rPr>
          <w:b/>
          <w:spacing w:val="-2"/>
          <w:sz w:val="24"/>
        </w:rPr>
        <w:t>Recommendations</w:t>
      </w:r>
    </w:p>
    <w:p>
      <w:pPr>
        <w:pStyle w:val="BodyText"/>
        <w:spacing w:before="104"/>
        <w:ind w:left="23"/>
      </w:pPr>
      <w:r>
        <w:rPr/>
        <w:t>The</w:t>
      </w:r>
      <w:r>
        <w:rPr>
          <w:spacing w:val="-3"/>
        </w:rPr>
        <w:t> </w:t>
      </w:r>
      <w:r>
        <w:rPr/>
        <w:t>Regional</w:t>
      </w:r>
      <w:r>
        <w:rPr>
          <w:spacing w:val="-3"/>
        </w:rPr>
        <w:t> </w:t>
      </w:r>
      <w:r>
        <w:rPr/>
        <w:t>Joint</w:t>
      </w:r>
      <w:r>
        <w:rPr>
          <w:spacing w:val="-6"/>
        </w:rPr>
        <w:t> </w:t>
      </w:r>
      <w:r>
        <w:rPr/>
        <w:t>Committee</w:t>
      </w:r>
      <w:r>
        <w:rPr>
          <w:spacing w:val="1"/>
        </w:rPr>
        <w:t> </w:t>
      </w:r>
      <w:r>
        <w:rPr/>
        <w:t>Members</w:t>
      </w:r>
      <w:r>
        <w:rPr>
          <w:spacing w:val="-4"/>
        </w:rPr>
        <w:t> </w:t>
      </w:r>
      <w:r>
        <w:rPr/>
        <w:t>are</w:t>
      </w:r>
      <w:r>
        <w:rPr>
          <w:spacing w:val="-1"/>
        </w:rPr>
        <w:t> </w:t>
      </w:r>
      <w:r>
        <w:rPr/>
        <w:t>asked</w:t>
      </w:r>
      <w:r>
        <w:rPr>
          <w:spacing w:val="-2"/>
        </w:rPr>
        <w:t> </w:t>
      </w:r>
      <w:r>
        <w:rPr>
          <w:spacing w:val="-5"/>
        </w:rPr>
        <w:t>to:</w:t>
      </w:r>
    </w:p>
    <w:p>
      <w:pPr>
        <w:pStyle w:val="ListParagraph"/>
        <w:numPr>
          <w:ilvl w:val="2"/>
          <w:numId w:val="97"/>
        </w:numPr>
        <w:tabs>
          <w:tab w:pos="741" w:val="left" w:leader="none"/>
        </w:tabs>
        <w:spacing w:line="240" w:lineRule="auto" w:before="179" w:after="0"/>
        <w:ind w:left="741" w:right="0" w:hanging="358"/>
        <w:jc w:val="left"/>
        <w:rPr>
          <w:sz w:val="24"/>
        </w:rPr>
      </w:pPr>
      <w:r>
        <w:rPr>
          <w:sz w:val="24"/>
        </w:rPr>
        <w:t>Consider</w:t>
      </w:r>
      <w:r>
        <w:rPr>
          <w:spacing w:val="-5"/>
          <w:sz w:val="24"/>
        </w:rPr>
        <w:t> </w:t>
      </w:r>
      <w:r>
        <w:rPr>
          <w:sz w:val="24"/>
        </w:rPr>
        <w:t>and</w:t>
      </w:r>
      <w:r>
        <w:rPr>
          <w:spacing w:val="-2"/>
          <w:sz w:val="24"/>
        </w:rPr>
        <w:t> </w:t>
      </w:r>
      <w:r>
        <w:rPr>
          <w:sz w:val="24"/>
        </w:rPr>
        <w:t>agree</w:t>
      </w:r>
      <w:r>
        <w:rPr>
          <w:spacing w:val="-1"/>
          <w:sz w:val="24"/>
        </w:rPr>
        <w:t> </w:t>
      </w:r>
      <w:r>
        <w:rPr>
          <w:sz w:val="24"/>
        </w:rPr>
        <w:t>the</w:t>
      </w:r>
      <w:r>
        <w:rPr>
          <w:spacing w:val="-2"/>
          <w:sz w:val="24"/>
        </w:rPr>
        <w:t> </w:t>
      </w:r>
      <w:r>
        <w:rPr>
          <w:sz w:val="24"/>
        </w:rPr>
        <w:t>strategic</w:t>
      </w:r>
      <w:r>
        <w:rPr>
          <w:spacing w:val="-3"/>
          <w:sz w:val="24"/>
        </w:rPr>
        <w:t> </w:t>
      </w:r>
      <w:r>
        <w:rPr>
          <w:sz w:val="24"/>
        </w:rPr>
        <w:t>risks</w:t>
      </w:r>
      <w:r>
        <w:rPr>
          <w:spacing w:val="-4"/>
          <w:sz w:val="24"/>
        </w:rPr>
        <w:t> </w:t>
      </w:r>
      <w:r>
        <w:rPr>
          <w:sz w:val="24"/>
        </w:rPr>
        <w:t>as</w:t>
      </w:r>
      <w:r>
        <w:rPr>
          <w:spacing w:val="-3"/>
          <w:sz w:val="24"/>
        </w:rPr>
        <w:t> </w:t>
      </w:r>
      <w:r>
        <w:rPr>
          <w:sz w:val="24"/>
        </w:rPr>
        <w:t>outlined</w:t>
      </w:r>
      <w:r>
        <w:rPr>
          <w:spacing w:val="-2"/>
          <w:sz w:val="24"/>
        </w:rPr>
        <w:t> </w:t>
      </w:r>
      <w:r>
        <w:rPr>
          <w:sz w:val="24"/>
        </w:rPr>
        <w:t>in</w:t>
      </w:r>
      <w:r>
        <w:rPr>
          <w:spacing w:val="-12"/>
          <w:sz w:val="24"/>
        </w:rPr>
        <w:t> </w:t>
      </w:r>
      <w:r>
        <w:rPr>
          <w:sz w:val="24"/>
        </w:rPr>
        <w:t>Appendix</w:t>
      </w:r>
      <w:r>
        <w:rPr>
          <w:spacing w:val="-4"/>
          <w:sz w:val="24"/>
        </w:rPr>
        <w:t> </w:t>
      </w:r>
      <w:r>
        <w:rPr>
          <w:sz w:val="24"/>
        </w:rPr>
        <w:t>1,</w:t>
      </w:r>
      <w:r>
        <w:rPr>
          <w:spacing w:val="-5"/>
          <w:sz w:val="24"/>
        </w:rPr>
        <w:t> </w:t>
      </w:r>
      <w:r>
        <w:rPr>
          <w:sz w:val="24"/>
        </w:rPr>
        <w:t>and/or</w:t>
      </w:r>
      <w:r>
        <w:rPr>
          <w:spacing w:val="-3"/>
          <w:sz w:val="24"/>
        </w:rPr>
        <w:t> </w:t>
      </w:r>
      <w:r>
        <w:rPr>
          <w:sz w:val="24"/>
        </w:rPr>
        <w:t>provide</w:t>
      </w:r>
      <w:r>
        <w:rPr>
          <w:spacing w:val="-3"/>
          <w:sz w:val="24"/>
        </w:rPr>
        <w:t> </w:t>
      </w:r>
      <w:r>
        <w:rPr>
          <w:sz w:val="24"/>
        </w:rPr>
        <w:t>suggestions</w:t>
      </w:r>
      <w:r>
        <w:rPr>
          <w:spacing w:val="-3"/>
          <w:sz w:val="24"/>
        </w:rPr>
        <w:t> </w:t>
      </w:r>
      <w:r>
        <w:rPr>
          <w:sz w:val="24"/>
        </w:rPr>
        <w:t>for</w:t>
      </w:r>
      <w:r>
        <w:rPr>
          <w:spacing w:val="-3"/>
          <w:sz w:val="24"/>
        </w:rPr>
        <w:t> </w:t>
      </w:r>
      <w:r>
        <w:rPr>
          <w:spacing w:val="-2"/>
          <w:sz w:val="24"/>
        </w:rPr>
        <w:t>enhancement.</w:t>
      </w:r>
    </w:p>
    <w:p>
      <w:pPr>
        <w:pStyle w:val="ListParagraph"/>
        <w:numPr>
          <w:ilvl w:val="2"/>
          <w:numId w:val="97"/>
        </w:numPr>
        <w:tabs>
          <w:tab w:pos="741" w:val="left" w:leader="none"/>
          <w:tab w:pos="743" w:val="left" w:leader="none"/>
        </w:tabs>
        <w:spacing w:line="256" w:lineRule="auto" w:before="24" w:after="0"/>
        <w:ind w:left="743" w:right="2261" w:hanging="360"/>
        <w:jc w:val="left"/>
        <w:rPr>
          <w:sz w:val="24"/>
        </w:rPr>
      </w:pPr>
      <w:r>
        <w:rPr>
          <w:sz w:val="24"/>
        </w:rPr>
        <w:t>Consider</w:t>
      </w:r>
      <w:r>
        <w:rPr>
          <w:spacing w:val="-3"/>
          <w:sz w:val="24"/>
        </w:rPr>
        <w:t> </w:t>
      </w:r>
      <w:r>
        <w:rPr>
          <w:sz w:val="24"/>
        </w:rPr>
        <w:t>and</w:t>
      </w:r>
      <w:r>
        <w:rPr>
          <w:spacing w:val="-3"/>
          <w:sz w:val="24"/>
        </w:rPr>
        <w:t> </w:t>
      </w:r>
      <w:r>
        <w:rPr>
          <w:sz w:val="24"/>
        </w:rPr>
        <w:t>agree</w:t>
      </w:r>
      <w:r>
        <w:rPr>
          <w:spacing w:val="-1"/>
          <w:sz w:val="24"/>
        </w:rPr>
        <w:t> </w:t>
      </w:r>
      <w:r>
        <w:rPr>
          <w:sz w:val="24"/>
        </w:rPr>
        <w:t>Executive</w:t>
      </w:r>
      <w:r>
        <w:rPr>
          <w:spacing w:val="-3"/>
          <w:sz w:val="24"/>
        </w:rPr>
        <w:t> </w:t>
      </w:r>
      <w:r>
        <w:rPr>
          <w:sz w:val="24"/>
        </w:rPr>
        <w:t>ownership</w:t>
      </w:r>
      <w:r>
        <w:rPr>
          <w:spacing w:val="-3"/>
          <w:sz w:val="24"/>
        </w:rPr>
        <w:t> </w:t>
      </w:r>
      <w:r>
        <w:rPr>
          <w:sz w:val="24"/>
        </w:rPr>
        <w:t>for</w:t>
      </w:r>
      <w:r>
        <w:rPr>
          <w:spacing w:val="-4"/>
          <w:sz w:val="24"/>
        </w:rPr>
        <w:t> </w:t>
      </w:r>
      <w:r>
        <w:rPr>
          <w:sz w:val="24"/>
        </w:rPr>
        <w:t>each</w:t>
      </w:r>
      <w:r>
        <w:rPr>
          <w:spacing w:val="-3"/>
          <w:sz w:val="24"/>
        </w:rPr>
        <w:t> </w:t>
      </w:r>
      <w:r>
        <w:rPr>
          <w:sz w:val="24"/>
        </w:rPr>
        <w:t>strategic</w:t>
      </w:r>
      <w:r>
        <w:rPr>
          <w:spacing w:val="-4"/>
          <w:sz w:val="24"/>
        </w:rPr>
        <w:t> </w:t>
      </w:r>
      <w:r>
        <w:rPr>
          <w:sz w:val="24"/>
        </w:rPr>
        <w:t>risk</w:t>
      </w:r>
      <w:r>
        <w:rPr>
          <w:spacing w:val="-4"/>
          <w:sz w:val="24"/>
        </w:rPr>
        <w:t> </w:t>
      </w:r>
      <w:r>
        <w:rPr>
          <w:sz w:val="24"/>
        </w:rPr>
        <w:t>and where</w:t>
      </w:r>
      <w:r>
        <w:rPr>
          <w:spacing w:val="-3"/>
          <w:sz w:val="24"/>
        </w:rPr>
        <w:t> </w:t>
      </w:r>
      <w:r>
        <w:rPr>
          <w:sz w:val="24"/>
        </w:rPr>
        <w:t>possible</w:t>
      </w:r>
      <w:r>
        <w:rPr>
          <w:spacing w:val="-1"/>
          <w:sz w:val="24"/>
        </w:rPr>
        <w:t> </w:t>
      </w:r>
      <w:r>
        <w:rPr>
          <w:sz w:val="24"/>
        </w:rPr>
        <w:t>lead</w:t>
      </w:r>
      <w:r>
        <w:rPr>
          <w:spacing w:val="-3"/>
          <w:sz w:val="24"/>
        </w:rPr>
        <w:t> </w:t>
      </w:r>
      <w:r>
        <w:rPr>
          <w:sz w:val="24"/>
        </w:rPr>
        <w:t>officer</w:t>
      </w:r>
      <w:r>
        <w:rPr>
          <w:spacing w:val="-4"/>
          <w:sz w:val="24"/>
        </w:rPr>
        <w:t> </w:t>
      </w:r>
      <w:r>
        <w:rPr>
          <w:sz w:val="24"/>
        </w:rPr>
        <w:t>arrangements</w:t>
      </w:r>
      <w:r>
        <w:rPr>
          <w:spacing w:val="-4"/>
          <w:sz w:val="24"/>
        </w:rPr>
        <w:t> </w:t>
      </w:r>
      <w:r>
        <w:rPr>
          <w:sz w:val="24"/>
        </w:rPr>
        <w:t>for maintaining the register.</w:t>
      </w:r>
    </w:p>
    <w:p>
      <w:pPr>
        <w:pStyle w:val="ListParagraph"/>
        <w:numPr>
          <w:ilvl w:val="2"/>
          <w:numId w:val="97"/>
        </w:numPr>
        <w:tabs>
          <w:tab w:pos="741" w:val="left" w:leader="none"/>
        </w:tabs>
        <w:spacing w:line="240" w:lineRule="auto" w:before="4" w:after="0"/>
        <w:ind w:left="741" w:right="0" w:hanging="358"/>
        <w:jc w:val="left"/>
        <w:rPr>
          <w:sz w:val="24"/>
        </w:rPr>
      </w:pPr>
      <w:r>
        <w:rPr>
          <w:sz w:val="24"/>
        </w:rPr>
        <w:t>Note</w:t>
      </w:r>
      <w:r>
        <w:rPr>
          <w:spacing w:val="-2"/>
          <w:sz w:val="24"/>
        </w:rPr>
        <w:t> </w:t>
      </w:r>
      <w:r>
        <w:rPr>
          <w:sz w:val="24"/>
        </w:rPr>
        <w:t>the</w:t>
      </w:r>
      <w:r>
        <w:rPr>
          <w:spacing w:val="-1"/>
          <w:sz w:val="24"/>
        </w:rPr>
        <w:t> </w:t>
      </w:r>
      <w:r>
        <w:rPr>
          <w:sz w:val="24"/>
        </w:rPr>
        <w:t>next</w:t>
      </w:r>
      <w:r>
        <w:rPr>
          <w:spacing w:val="-4"/>
          <w:sz w:val="24"/>
        </w:rPr>
        <w:t> </w:t>
      </w:r>
      <w:r>
        <w:rPr>
          <w:sz w:val="24"/>
        </w:rPr>
        <w:t>steps</w:t>
      </w:r>
      <w:r>
        <w:rPr>
          <w:spacing w:val="-2"/>
          <w:sz w:val="24"/>
        </w:rPr>
        <w:t> </w:t>
      </w:r>
      <w:r>
        <w:rPr>
          <w:sz w:val="24"/>
        </w:rPr>
        <w:t>proposed,</w:t>
      </w:r>
      <w:r>
        <w:rPr>
          <w:spacing w:val="-4"/>
          <w:sz w:val="24"/>
        </w:rPr>
        <w:t> </w:t>
      </w:r>
      <w:r>
        <w:rPr>
          <w:sz w:val="24"/>
        </w:rPr>
        <w:t>following</w:t>
      </w:r>
      <w:r>
        <w:rPr>
          <w:spacing w:val="-2"/>
          <w:sz w:val="24"/>
        </w:rPr>
        <w:t> </w:t>
      </w:r>
      <w:r>
        <w:rPr>
          <w:sz w:val="24"/>
        </w:rPr>
        <w:t>agreement</w:t>
      </w:r>
      <w:r>
        <w:rPr>
          <w:spacing w:val="-4"/>
          <w:sz w:val="24"/>
        </w:rPr>
        <w:t> </w:t>
      </w:r>
      <w:r>
        <w:rPr>
          <w:sz w:val="24"/>
        </w:rPr>
        <w:t>of</w:t>
      </w:r>
      <w:r>
        <w:rPr>
          <w:spacing w:val="-4"/>
          <w:sz w:val="24"/>
        </w:rPr>
        <w:t> </w:t>
      </w:r>
      <w:r>
        <w:rPr>
          <w:sz w:val="24"/>
        </w:rPr>
        <w:t>1</w:t>
      </w:r>
      <w:r>
        <w:rPr>
          <w:spacing w:val="-1"/>
          <w:sz w:val="24"/>
        </w:rPr>
        <w:t> </w:t>
      </w:r>
      <w:r>
        <w:rPr>
          <w:sz w:val="24"/>
        </w:rPr>
        <w:t>&amp;</w:t>
      </w:r>
      <w:r>
        <w:rPr>
          <w:spacing w:val="-2"/>
          <w:sz w:val="24"/>
        </w:rPr>
        <w:t> </w:t>
      </w:r>
      <w:r>
        <w:rPr>
          <w:spacing w:val="-5"/>
          <w:sz w:val="24"/>
        </w:rPr>
        <w:t>2.</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09"/>
        <w:rPr>
          <w:sz w:val="22"/>
        </w:rPr>
      </w:pPr>
    </w:p>
    <w:p>
      <w:pPr>
        <w:spacing w:before="0"/>
        <w:ind w:left="11" w:right="994" w:firstLine="0"/>
        <w:jc w:val="center"/>
        <w:rPr>
          <w:rFonts w:ascii="Calibri"/>
          <w:sz w:val="22"/>
        </w:rPr>
      </w:pPr>
      <w:r>
        <w:rPr>
          <w:rFonts w:ascii="Calibri"/>
          <w:spacing w:val="-10"/>
          <w:sz w:val="22"/>
        </w:rPr>
        <w:t>3</w:t>
      </w:r>
    </w:p>
    <w:p>
      <w:pPr>
        <w:spacing w:after="0"/>
        <w:jc w:val="center"/>
        <w:rPr>
          <w:rFonts w:ascii="Calibri"/>
          <w:sz w:val="22"/>
        </w:rPr>
        <w:sectPr>
          <w:pgSz w:w="16840" w:h="11910" w:orient="landscape"/>
          <w:pgMar w:header="0" w:footer="198" w:top="1340" w:bottom="380" w:left="1417" w:right="425"/>
        </w:sectPr>
      </w:pPr>
    </w:p>
    <w:p>
      <w:pPr>
        <w:spacing w:before="100"/>
        <w:ind w:left="23" w:right="0" w:firstLine="0"/>
        <w:jc w:val="left"/>
        <w:rPr>
          <w:b/>
          <w:sz w:val="24"/>
        </w:rPr>
      </w:pPr>
      <w:r>
        <w:rPr>
          <w:b/>
          <w:sz w:val="24"/>
        </w:rPr>
        <w:t>Appendix</w:t>
      </w:r>
      <w:r>
        <w:rPr>
          <w:b/>
          <w:spacing w:val="-9"/>
          <w:sz w:val="24"/>
        </w:rPr>
        <w:t> </w:t>
      </w:r>
      <w:r>
        <w:rPr>
          <w:b/>
          <w:spacing w:val="-10"/>
          <w:sz w:val="24"/>
        </w:rPr>
        <w:t>1</w:t>
      </w:r>
    </w:p>
    <w:p>
      <w:pPr>
        <w:pStyle w:val="BodyText"/>
        <w:spacing w:before="7"/>
        <w:rPr>
          <w:b/>
          <w:sz w:val="15"/>
        </w:rPr>
      </w:pPr>
    </w:p>
    <w:tbl>
      <w:tblPr>
        <w:tblW w:w="0" w:type="auto"/>
        <w:jc w:val="left"/>
        <w:tblInd w:w="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0" w:type="dxa"/>
          <w:left w:w="0" w:type="dxa"/>
          <w:bottom w:w="0" w:type="dxa"/>
          <w:right w:w="0" w:type="dxa"/>
        </w:tblCellMar>
        <w:tblLook w:val="01E0"/>
      </w:tblPr>
      <w:tblGrid>
        <w:gridCol w:w="670"/>
        <w:gridCol w:w="1316"/>
        <w:gridCol w:w="2121"/>
        <w:gridCol w:w="1706"/>
        <w:gridCol w:w="1701"/>
        <w:gridCol w:w="1701"/>
        <w:gridCol w:w="1846"/>
        <w:gridCol w:w="991"/>
        <w:gridCol w:w="991"/>
        <w:gridCol w:w="995"/>
        <w:gridCol w:w="850"/>
      </w:tblGrid>
      <w:tr>
        <w:trPr>
          <w:trHeight w:val="980" w:hRule="atLeast"/>
        </w:trPr>
        <w:tc>
          <w:tcPr>
            <w:tcW w:w="670" w:type="dxa"/>
            <w:shd w:val="clear" w:color="auto" w:fill="D9E1F3"/>
          </w:tcPr>
          <w:p>
            <w:pPr>
              <w:pStyle w:val="TableParagraph"/>
              <w:spacing w:before="179"/>
              <w:rPr>
                <w:b/>
                <w:sz w:val="18"/>
              </w:rPr>
            </w:pPr>
          </w:p>
          <w:p>
            <w:pPr>
              <w:pStyle w:val="TableParagraph"/>
              <w:ind w:right="147"/>
              <w:jc w:val="center"/>
              <w:rPr>
                <w:b/>
                <w:sz w:val="18"/>
              </w:rPr>
            </w:pPr>
            <w:r>
              <w:rPr>
                <w:b/>
                <w:spacing w:val="-5"/>
                <w:sz w:val="18"/>
              </w:rPr>
              <w:t>Ref</w:t>
            </w:r>
          </w:p>
        </w:tc>
        <w:tc>
          <w:tcPr>
            <w:tcW w:w="1316" w:type="dxa"/>
            <w:shd w:val="clear" w:color="auto" w:fill="D9E1F3"/>
          </w:tcPr>
          <w:p>
            <w:pPr>
              <w:pStyle w:val="TableParagraph"/>
              <w:spacing w:before="74"/>
              <w:rPr>
                <w:b/>
                <w:sz w:val="18"/>
              </w:rPr>
            </w:pPr>
          </w:p>
          <w:p>
            <w:pPr>
              <w:pStyle w:val="TableParagraph"/>
              <w:spacing w:line="242" w:lineRule="auto"/>
              <w:ind w:left="104"/>
              <w:rPr>
                <w:b/>
                <w:sz w:val="18"/>
              </w:rPr>
            </w:pPr>
            <w:r>
              <w:rPr>
                <w:b/>
                <w:spacing w:val="-2"/>
                <w:sz w:val="18"/>
              </w:rPr>
              <w:t>Strategic objective</w:t>
            </w:r>
          </w:p>
        </w:tc>
        <w:tc>
          <w:tcPr>
            <w:tcW w:w="2121" w:type="dxa"/>
            <w:shd w:val="clear" w:color="auto" w:fill="D9E1F3"/>
          </w:tcPr>
          <w:p>
            <w:pPr>
              <w:pStyle w:val="TableParagraph"/>
              <w:spacing w:before="179"/>
              <w:rPr>
                <w:b/>
                <w:sz w:val="18"/>
              </w:rPr>
            </w:pPr>
          </w:p>
          <w:p>
            <w:pPr>
              <w:pStyle w:val="TableParagraph"/>
              <w:ind w:left="104"/>
              <w:rPr>
                <w:b/>
                <w:sz w:val="18"/>
              </w:rPr>
            </w:pPr>
            <w:r>
              <w:rPr>
                <w:b/>
                <w:sz w:val="18"/>
              </w:rPr>
              <w:t>Strategic</w:t>
            </w:r>
            <w:r>
              <w:rPr>
                <w:b/>
                <w:spacing w:val="-5"/>
                <w:sz w:val="18"/>
              </w:rPr>
              <w:t> </w:t>
            </w:r>
            <w:r>
              <w:rPr>
                <w:b/>
                <w:spacing w:val="-4"/>
                <w:sz w:val="18"/>
              </w:rPr>
              <w:t>risk</w:t>
            </w:r>
          </w:p>
        </w:tc>
        <w:tc>
          <w:tcPr>
            <w:tcW w:w="1706" w:type="dxa"/>
            <w:shd w:val="clear" w:color="auto" w:fill="D9E1F3"/>
          </w:tcPr>
          <w:p>
            <w:pPr>
              <w:pStyle w:val="TableParagraph"/>
              <w:spacing w:before="74"/>
              <w:rPr>
                <w:b/>
                <w:sz w:val="18"/>
              </w:rPr>
            </w:pPr>
          </w:p>
          <w:p>
            <w:pPr>
              <w:pStyle w:val="TableParagraph"/>
              <w:spacing w:line="242" w:lineRule="auto"/>
              <w:ind w:left="109"/>
              <w:rPr>
                <w:b/>
                <w:sz w:val="18"/>
              </w:rPr>
            </w:pPr>
            <w:r>
              <w:rPr>
                <w:b/>
                <w:sz w:val="18"/>
              </w:rPr>
              <w:t>Key</w:t>
            </w:r>
            <w:r>
              <w:rPr>
                <w:b/>
                <w:spacing w:val="-15"/>
                <w:sz w:val="18"/>
              </w:rPr>
              <w:t> </w:t>
            </w:r>
            <w:r>
              <w:rPr>
                <w:b/>
                <w:sz w:val="18"/>
              </w:rPr>
              <w:t>controls</w:t>
            </w:r>
            <w:r>
              <w:rPr>
                <w:b/>
                <w:spacing w:val="-12"/>
                <w:sz w:val="18"/>
              </w:rPr>
              <w:t> </w:t>
            </w:r>
            <w:r>
              <w:rPr>
                <w:b/>
                <w:sz w:val="18"/>
              </w:rPr>
              <w:t>in </w:t>
            </w:r>
            <w:r>
              <w:rPr>
                <w:b/>
                <w:spacing w:val="-2"/>
                <w:sz w:val="18"/>
              </w:rPr>
              <w:t>place</w:t>
            </w:r>
          </w:p>
        </w:tc>
        <w:tc>
          <w:tcPr>
            <w:tcW w:w="1701" w:type="dxa"/>
            <w:shd w:val="clear" w:color="auto" w:fill="D9E1F3"/>
          </w:tcPr>
          <w:p>
            <w:pPr>
              <w:pStyle w:val="TableParagraph"/>
              <w:spacing w:before="74"/>
              <w:rPr>
                <w:b/>
                <w:sz w:val="18"/>
              </w:rPr>
            </w:pPr>
          </w:p>
          <w:p>
            <w:pPr>
              <w:pStyle w:val="TableParagraph"/>
              <w:spacing w:line="242" w:lineRule="auto"/>
              <w:ind w:left="103" w:right="650"/>
              <w:rPr>
                <w:b/>
                <w:sz w:val="18"/>
              </w:rPr>
            </w:pPr>
            <w:r>
              <w:rPr>
                <w:b/>
                <w:sz w:val="18"/>
              </w:rPr>
              <w:t>Sources</w:t>
            </w:r>
            <w:r>
              <w:rPr>
                <w:b/>
                <w:spacing w:val="-13"/>
                <w:sz w:val="18"/>
              </w:rPr>
              <w:t> </w:t>
            </w:r>
            <w:r>
              <w:rPr>
                <w:b/>
                <w:sz w:val="18"/>
              </w:rPr>
              <w:t>of </w:t>
            </w:r>
            <w:r>
              <w:rPr>
                <w:b/>
                <w:spacing w:val="-2"/>
                <w:sz w:val="18"/>
              </w:rPr>
              <w:t>assurance</w:t>
            </w:r>
          </w:p>
        </w:tc>
        <w:tc>
          <w:tcPr>
            <w:tcW w:w="1701" w:type="dxa"/>
            <w:shd w:val="clear" w:color="auto" w:fill="D9E1F3"/>
          </w:tcPr>
          <w:p>
            <w:pPr>
              <w:pStyle w:val="TableParagraph"/>
              <w:spacing w:before="179"/>
              <w:rPr>
                <w:b/>
                <w:sz w:val="18"/>
              </w:rPr>
            </w:pPr>
          </w:p>
          <w:p>
            <w:pPr>
              <w:pStyle w:val="TableParagraph"/>
              <w:ind w:left="103"/>
              <w:rPr>
                <w:b/>
                <w:sz w:val="18"/>
              </w:rPr>
            </w:pPr>
            <w:r>
              <w:rPr>
                <w:b/>
                <w:sz w:val="18"/>
              </w:rPr>
              <w:t>Assurance</w:t>
            </w:r>
            <w:r>
              <w:rPr>
                <w:b/>
                <w:spacing w:val="-1"/>
                <w:sz w:val="18"/>
              </w:rPr>
              <w:t> </w:t>
            </w:r>
            <w:r>
              <w:rPr>
                <w:b/>
                <w:spacing w:val="-4"/>
                <w:sz w:val="18"/>
              </w:rPr>
              <w:t>gaps</w:t>
            </w:r>
          </w:p>
        </w:tc>
        <w:tc>
          <w:tcPr>
            <w:tcW w:w="1846" w:type="dxa"/>
            <w:shd w:val="clear" w:color="auto" w:fill="D9E1F3"/>
          </w:tcPr>
          <w:p>
            <w:pPr>
              <w:pStyle w:val="TableParagraph"/>
              <w:spacing w:before="74"/>
              <w:rPr>
                <w:b/>
                <w:sz w:val="18"/>
              </w:rPr>
            </w:pPr>
          </w:p>
          <w:p>
            <w:pPr>
              <w:pStyle w:val="TableParagraph"/>
              <w:spacing w:line="242" w:lineRule="auto"/>
              <w:ind w:left="107" w:right="411"/>
              <w:rPr>
                <w:b/>
                <w:sz w:val="18"/>
              </w:rPr>
            </w:pPr>
            <w:r>
              <w:rPr>
                <w:b/>
                <w:sz w:val="18"/>
              </w:rPr>
              <w:t>Further</w:t>
            </w:r>
            <w:r>
              <w:rPr>
                <w:b/>
                <w:spacing w:val="-13"/>
                <w:sz w:val="18"/>
              </w:rPr>
              <w:t> </w:t>
            </w:r>
            <w:r>
              <w:rPr>
                <w:b/>
                <w:sz w:val="18"/>
              </w:rPr>
              <w:t>actions </w:t>
            </w:r>
            <w:r>
              <w:rPr>
                <w:b/>
                <w:spacing w:val="-2"/>
                <w:sz w:val="18"/>
              </w:rPr>
              <w:t>required</w:t>
            </w:r>
          </w:p>
        </w:tc>
        <w:tc>
          <w:tcPr>
            <w:tcW w:w="991" w:type="dxa"/>
            <w:shd w:val="clear" w:color="auto" w:fill="D9E1F3"/>
          </w:tcPr>
          <w:p>
            <w:pPr>
              <w:pStyle w:val="TableParagraph"/>
              <w:spacing w:before="181"/>
              <w:ind w:left="102" w:right="308"/>
              <w:rPr>
                <w:b/>
                <w:sz w:val="18"/>
              </w:rPr>
            </w:pPr>
            <w:r>
              <w:rPr>
                <w:b/>
                <w:spacing w:val="-4"/>
                <w:sz w:val="18"/>
              </w:rPr>
              <w:t>Exec Risk </w:t>
            </w:r>
            <w:r>
              <w:rPr>
                <w:b/>
                <w:spacing w:val="-2"/>
                <w:sz w:val="18"/>
              </w:rPr>
              <w:t>Owner</w:t>
            </w:r>
          </w:p>
        </w:tc>
        <w:tc>
          <w:tcPr>
            <w:tcW w:w="991" w:type="dxa"/>
            <w:shd w:val="clear" w:color="auto" w:fill="D9E1F3"/>
          </w:tcPr>
          <w:p>
            <w:pPr>
              <w:pStyle w:val="TableParagraph"/>
              <w:spacing w:before="181"/>
              <w:ind w:left="106" w:right="179"/>
              <w:rPr>
                <w:b/>
                <w:sz w:val="18"/>
              </w:rPr>
            </w:pPr>
            <w:r>
              <w:rPr>
                <w:b/>
                <w:spacing w:val="-4"/>
                <w:sz w:val="18"/>
              </w:rPr>
              <w:t>Mgt </w:t>
            </w:r>
            <w:r>
              <w:rPr>
                <w:b/>
                <w:spacing w:val="-2"/>
                <w:sz w:val="18"/>
              </w:rPr>
              <w:t>Support </w:t>
            </w:r>
            <w:r>
              <w:rPr>
                <w:b/>
                <w:spacing w:val="-4"/>
                <w:sz w:val="18"/>
              </w:rPr>
              <w:t>Lead</w:t>
            </w:r>
          </w:p>
        </w:tc>
        <w:tc>
          <w:tcPr>
            <w:tcW w:w="995" w:type="dxa"/>
            <w:shd w:val="clear" w:color="auto" w:fill="D9E1F3"/>
          </w:tcPr>
          <w:p>
            <w:pPr>
              <w:pStyle w:val="TableParagraph"/>
              <w:spacing w:before="181"/>
              <w:ind w:left="106" w:right="222"/>
              <w:rPr>
                <w:b/>
                <w:sz w:val="18"/>
              </w:rPr>
            </w:pPr>
            <w:r>
              <w:rPr>
                <w:b/>
                <w:spacing w:val="-2"/>
                <w:sz w:val="18"/>
              </w:rPr>
              <w:t>Current </w:t>
            </w:r>
            <w:r>
              <w:rPr>
                <w:b/>
                <w:spacing w:val="-4"/>
                <w:sz w:val="18"/>
              </w:rPr>
              <w:t>risk </w:t>
            </w:r>
            <w:r>
              <w:rPr>
                <w:b/>
                <w:spacing w:val="-2"/>
                <w:sz w:val="18"/>
              </w:rPr>
              <w:t>score</w:t>
            </w:r>
          </w:p>
        </w:tc>
        <w:tc>
          <w:tcPr>
            <w:tcW w:w="850" w:type="dxa"/>
            <w:shd w:val="clear" w:color="auto" w:fill="D9E1F3"/>
          </w:tcPr>
          <w:p>
            <w:pPr>
              <w:pStyle w:val="TableParagraph"/>
              <w:spacing w:before="181"/>
              <w:ind w:left="105" w:right="188"/>
              <w:rPr>
                <w:b/>
                <w:sz w:val="18"/>
              </w:rPr>
            </w:pPr>
            <w:r>
              <w:rPr>
                <w:b/>
                <w:spacing w:val="-4"/>
                <w:sz w:val="18"/>
              </w:rPr>
              <w:t>Target risk </w:t>
            </w:r>
            <w:r>
              <w:rPr>
                <w:b/>
                <w:spacing w:val="-2"/>
                <w:sz w:val="18"/>
              </w:rPr>
              <w:t>score</w:t>
            </w:r>
          </w:p>
        </w:tc>
      </w:tr>
      <w:tr>
        <w:trPr>
          <w:trHeight w:val="6418" w:hRule="atLeast"/>
        </w:trPr>
        <w:tc>
          <w:tcPr>
            <w:tcW w:w="67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2"/>
              <w:rPr>
                <w:b/>
                <w:sz w:val="16"/>
              </w:rPr>
            </w:pPr>
          </w:p>
          <w:p>
            <w:pPr>
              <w:pStyle w:val="TableParagraph"/>
              <w:ind w:right="39"/>
              <w:jc w:val="center"/>
              <w:rPr>
                <w:sz w:val="16"/>
              </w:rPr>
            </w:pPr>
            <w:r>
              <w:rPr>
                <w:spacing w:val="-4"/>
                <w:sz w:val="16"/>
              </w:rPr>
              <w:t>SR01</w:t>
            </w:r>
          </w:p>
        </w:tc>
        <w:tc>
          <w:tcPr>
            <w:tcW w:w="13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spacing w:line="206" w:lineRule="exact"/>
              <w:ind w:left="104"/>
              <w:rPr>
                <w:sz w:val="18"/>
              </w:rPr>
            </w:pPr>
            <w:r>
              <w:rPr>
                <w:sz w:val="18"/>
              </w:rPr>
              <w:t>Develop</w:t>
            </w:r>
            <w:r>
              <w:rPr>
                <w:spacing w:val="-1"/>
                <w:sz w:val="18"/>
              </w:rPr>
              <w:t> </w:t>
            </w:r>
            <w:r>
              <w:rPr>
                <w:spacing w:val="-10"/>
                <w:sz w:val="18"/>
              </w:rPr>
              <w:t>a</w:t>
            </w:r>
          </w:p>
          <w:p>
            <w:pPr>
              <w:pStyle w:val="TableParagraph"/>
              <w:spacing w:line="242" w:lineRule="auto"/>
              <w:ind w:left="104" w:right="144"/>
              <w:rPr>
                <w:sz w:val="18"/>
              </w:rPr>
            </w:pPr>
            <w:r>
              <w:rPr>
                <w:sz w:val="18"/>
              </w:rPr>
              <w:t>coherent</w:t>
            </w:r>
            <w:r>
              <w:rPr>
                <w:spacing w:val="-13"/>
                <w:sz w:val="18"/>
              </w:rPr>
              <w:t> </w:t>
            </w:r>
            <w:r>
              <w:rPr>
                <w:sz w:val="18"/>
              </w:rPr>
              <w:t>and </w:t>
            </w:r>
            <w:r>
              <w:rPr>
                <w:spacing w:val="-2"/>
                <w:sz w:val="18"/>
              </w:rPr>
              <w:t>deliverable</w:t>
            </w:r>
          </w:p>
          <w:p>
            <w:pPr>
              <w:pStyle w:val="TableParagraph"/>
              <w:ind w:left="104" w:right="465"/>
              <w:rPr>
                <w:sz w:val="18"/>
              </w:rPr>
            </w:pPr>
            <w:r>
              <w:rPr>
                <w:spacing w:val="-2"/>
                <w:sz w:val="18"/>
              </w:rPr>
              <w:t>regional health economy model.</w:t>
            </w:r>
          </w:p>
        </w:tc>
        <w:tc>
          <w:tcPr>
            <w:tcW w:w="2121" w:type="dxa"/>
          </w:tcPr>
          <w:p>
            <w:pPr>
              <w:pStyle w:val="TableParagraph"/>
              <w:spacing w:line="242" w:lineRule="auto" w:before="1"/>
              <w:ind w:left="104"/>
              <w:rPr>
                <w:sz w:val="18"/>
              </w:rPr>
            </w:pPr>
            <w:r>
              <w:rPr>
                <w:sz w:val="18"/>
              </w:rPr>
              <w:t>There</w:t>
            </w:r>
            <w:r>
              <w:rPr>
                <w:spacing w:val="-8"/>
                <w:sz w:val="18"/>
              </w:rPr>
              <w:t> </w:t>
            </w:r>
            <w:r>
              <w:rPr>
                <w:sz w:val="18"/>
              </w:rPr>
              <w:t>is</w:t>
            </w:r>
            <w:r>
              <w:rPr>
                <w:spacing w:val="-8"/>
                <w:sz w:val="18"/>
              </w:rPr>
              <w:t> </w:t>
            </w:r>
            <w:r>
              <w:rPr>
                <w:sz w:val="18"/>
              </w:rPr>
              <w:t>a</w:t>
            </w:r>
            <w:r>
              <w:rPr>
                <w:spacing w:val="-8"/>
                <w:sz w:val="18"/>
              </w:rPr>
              <w:t> </w:t>
            </w:r>
            <w:r>
              <w:rPr>
                <w:sz w:val="18"/>
              </w:rPr>
              <w:t>risk</w:t>
            </w:r>
            <w:r>
              <w:rPr>
                <w:spacing w:val="-9"/>
                <w:sz w:val="18"/>
              </w:rPr>
              <w:t> </w:t>
            </w:r>
            <w:r>
              <w:rPr>
                <w:sz w:val="18"/>
              </w:rPr>
              <w:t>that</w:t>
            </w:r>
            <w:r>
              <w:rPr>
                <w:spacing w:val="-8"/>
                <w:sz w:val="18"/>
              </w:rPr>
              <w:t> </w:t>
            </w:r>
            <w:r>
              <w:rPr>
                <w:sz w:val="18"/>
              </w:rPr>
              <w:t>the Regional Joint</w:t>
            </w:r>
          </w:p>
          <w:p>
            <w:pPr>
              <w:pStyle w:val="TableParagraph"/>
              <w:spacing w:line="237" w:lineRule="auto"/>
              <w:ind w:left="104" w:right="205"/>
              <w:rPr>
                <w:sz w:val="18"/>
              </w:rPr>
            </w:pPr>
            <w:r>
              <w:rPr>
                <w:sz w:val="18"/>
              </w:rPr>
              <w:t>Committee's</w:t>
            </w:r>
            <w:r>
              <w:rPr>
                <w:spacing w:val="-13"/>
                <w:sz w:val="18"/>
              </w:rPr>
              <w:t> </w:t>
            </w:r>
            <w:r>
              <w:rPr>
                <w:sz w:val="18"/>
              </w:rPr>
              <w:t>emerging ambition for a more</w:t>
            </w:r>
          </w:p>
          <w:p>
            <w:pPr>
              <w:pStyle w:val="TableParagraph"/>
              <w:spacing w:before="3"/>
              <w:ind w:left="104" w:right="205"/>
              <w:rPr>
                <w:sz w:val="18"/>
              </w:rPr>
            </w:pPr>
            <w:r>
              <w:rPr>
                <w:sz w:val="18"/>
              </w:rPr>
              <w:t>integrated regional health</w:t>
            </w:r>
            <w:r>
              <w:rPr>
                <w:spacing w:val="-13"/>
                <w:sz w:val="18"/>
              </w:rPr>
              <w:t> </w:t>
            </w:r>
            <w:r>
              <w:rPr>
                <w:sz w:val="18"/>
              </w:rPr>
              <w:t>economy</w:t>
            </w:r>
            <w:r>
              <w:rPr>
                <w:spacing w:val="-12"/>
                <w:sz w:val="18"/>
              </w:rPr>
              <w:t> </w:t>
            </w:r>
            <w:r>
              <w:rPr>
                <w:sz w:val="18"/>
              </w:rPr>
              <w:t>is</w:t>
            </w:r>
            <w:r>
              <w:rPr>
                <w:spacing w:val="-13"/>
                <w:sz w:val="18"/>
              </w:rPr>
              <w:t> </w:t>
            </w:r>
            <w:r>
              <w:rPr>
                <w:sz w:val="18"/>
              </w:rPr>
              <w:t>not translated</w:t>
            </w:r>
            <w:r>
              <w:rPr>
                <w:spacing w:val="-3"/>
                <w:sz w:val="18"/>
              </w:rPr>
              <w:t> </w:t>
            </w:r>
            <w:r>
              <w:rPr>
                <w:sz w:val="18"/>
              </w:rPr>
              <w:t>into</w:t>
            </w:r>
            <w:r>
              <w:rPr>
                <w:spacing w:val="-3"/>
                <w:sz w:val="18"/>
              </w:rPr>
              <w:t> </w:t>
            </w:r>
            <w:r>
              <w:rPr>
                <w:sz w:val="18"/>
              </w:rPr>
              <w:t>a</w:t>
            </w:r>
            <w:r>
              <w:rPr>
                <w:spacing w:val="-3"/>
                <w:sz w:val="18"/>
              </w:rPr>
              <w:t> </w:t>
            </w:r>
            <w:r>
              <w:rPr>
                <w:sz w:val="18"/>
              </w:rPr>
              <w:t>clear and deliverable strategic programme.</w:t>
            </w:r>
          </w:p>
          <w:p>
            <w:pPr>
              <w:pStyle w:val="TableParagraph"/>
              <w:ind w:left="104" w:right="418"/>
              <w:rPr>
                <w:sz w:val="18"/>
              </w:rPr>
            </w:pPr>
            <w:r>
              <w:rPr>
                <w:sz w:val="18"/>
              </w:rPr>
              <w:t>This is caused by a lack of</w:t>
            </w:r>
            <w:r>
              <w:rPr>
                <w:spacing w:val="-1"/>
                <w:sz w:val="18"/>
              </w:rPr>
              <w:t> </w:t>
            </w:r>
            <w:r>
              <w:rPr>
                <w:sz w:val="18"/>
              </w:rPr>
              <w:t>agreed</w:t>
            </w:r>
            <w:r>
              <w:rPr>
                <w:spacing w:val="-1"/>
                <w:sz w:val="18"/>
              </w:rPr>
              <w:t> </w:t>
            </w:r>
            <w:r>
              <w:rPr>
                <w:spacing w:val="-2"/>
                <w:sz w:val="18"/>
              </w:rPr>
              <w:t>long-</w:t>
            </w:r>
          </w:p>
          <w:p>
            <w:pPr>
              <w:pStyle w:val="TableParagraph"/>
              <w:spacing w:before="1"/>
              <w:ind w:left="104"/>
              <w:rPr>
                <w:sz w:val="18"/>
              </w:rPr>
            </w:pPr>
            <w:r>
              <w:rPr>
                <w:sz w:val="18"/>
              </w:rPr>
              <w:t>term</w:t>
            </w:r>
            <w:r>
              <w:rPr>
                <w:spacing w:val="-15"/>
                <w:sz w:val="18"/>
              </w:rPr>
              <w:t> </w:t>
            </w:r>
            <w:r>
              <w:rPr>
                <w:sz w:val="18"/>
              </w:rPr>
              <w:t>priorities,</w:t>
            </w:r>
            <w:r>
              <w:rPr>
                <w:spacing w:val="-12"/>
                <w:sz w:val="18"/>
              </w:rPr>
              <w:t> </w:t>
            </w:r>
            <w:r>
              <w:rPr>
                <w:sz w:val="18"/>
              </w:rPr>
              <w:t>defined benefits realisation</w:t>
            </w:r>
          </w:p>
          <w:p>
            <w:pPr>
              <w:pStyle w:val="TableParagraph"/>
              <w:spacing w:line="242" w:lineRule="auto"/>
              <w:ind w:left="104"/>
              <w:rPr>
                <w:sz w:val="18"/>
              </w:rPr>
            </w:pPr>
            <w:r>
              <w:rPr>
                <w:sz w:val="18"/>
              </w:rPr>
              <w:t>measures, and a </w:t>
            </w:r>
            <w:r>
              <w:rPr>
                <w:spacing w:val="-2"/>
                <w:sz w:val="18"/>
              </w:rPr>
              <w:t>comprehensive </w:t>
            </w:r>
            <w:r>
              <w:rPr>
                <w:sz w:val="18"/>
              </w:rPr>
              <w:t>assessment</w:t>
            </w:r>
            <w:r>
              <w:rPr>
                <w:spacing w:val="-15"/>
                <w:sz w:val="18"/>
              </w:rPr>
              <w:t> </w:t>
            </w:r>
            <w:r>
              <w:rPr>
                <w:sz w:val="18"/>
              </w:rPr>
              <w:t>of</w:t>
            </w:r>
            <w:r>
              <w:rPr>
                <w:spacing w:val="-12"/>
                <w:sz w:val="18"/>
              </w:rPr>
              <w:t> </w:t>
            </w:r>
            <w:r>
              <w:rPr>
                <w:sz w:val="18"/>
              </w:rPr>
              <w:t>the opportunities and</w:t>
            </w:r>
          </w:p>
          <w:p>
            <w:pPr>
              <w:pStyle w:val="TableParagraph"/>
              <w:spacing w:line="237" w:lineRule="auto"/>
              <w:ind w:left="104" w:right="462"/>
              <w:rPr>
                <w:sz w:val="18"/>
              </w:rPr>
            </w:pPr>
            <w:r>
              <w:rPr>
                <w:sz w:val="18"/>
              </w:rPr>
              <w:t>impacts</w:t>
            </w:r>
            <w:r>
              <w:rPr>
                <w:spacing w:val="-6"/>
                <w:sz w:val="18"/>
              </w:rPr>
              <w:t> </w:t>
            </w:r>
            <w:r>
              <w:rPr>
                <w:sz w:val="18"/>
              </w:rPr>
              <w:t>of</w:t>
            </w:r>
            <w:r>
              <w:rPr>
                <w:spacing w:val="-6"/>
                <w:sz w:val="18"/>
              </w:rPr>
              <w:t> </w:t>
            </w:r>
            <w:r>
              <w:rPr>
                <w:sz w:val="18"/>
              </w:rPr>
              <w:t>regional working.</w:t>
            </w:r>
            <w:r>
              <w:rPr>
                <w:spacing w:val="-6"/>
                <w:sz w:val="18"/>
              </w:rPr>
              <w:t> </w:t>
            </w:r>
            <w:r>
              <w:rPr>
                <w:sz w:val="18"/>
              </w:rPr>
              <w:t>This </w:t>
            </w:r>
            <w:r>
              <w:rPr>
                <w:spacing w:val="-2"/>
                <w:sz w:val="18"/>
              </w:rPr>
              <w:t>could</w:t>
            </w:r>
          </w:p>
          <w:p>
            <w:pPr>
              <w:pStyle w:val="TableParagraph"/>
              <w:ind w:left="104" w:right="126"/>
              <w:rPr>
                <w:sz w:val="18"/>
              </w:rPr>
            </w:pPr>
            <w:r>
              <w:rPr>
                <w:sz w:val="18"/>
              </w:rPr>
              <w:t>lead</w:t>
            </w:r>
            <w:r>
              <w:rPr>
                <w:spacing w:val="-13"/>
                <w:sz w:val="18"/>
              </w:rPr>
              <w:t> </w:t>
            </w:r>
            <w:r>
              <w:rPr>
                <w:sz w:val="18"/>
              </w:rPr>
              <w:t>to</w:t>
            </w:r>
            <w:r>
              <w:rPr>
                <w:spacing w:val="-12"/>
                <w:sz w:val="18"/>
              </w:rPr>
              <w:t> </w:t>
            </w:r>
            <w:r>
              <w:rPr>
                <w:sz w:val="18"/>
              </w:rPr>
              <w:t>limited</w:t>
            </w:r>
            <w:r>
              <w:rPr>
                <w:spacing w:val="-13"/>
                <w:sz w:val="18"/>
              </w:rPr>
              <w:t> </w:t>
            </w:r>
            <w:r>
              <w:rPr>
                <w:sz w:val="18"/>
              </w:rPr>
              <w:t>strategic impact, duplication of effort, reduced collective influence across partner organisations, and an</w:t>
            </w:r>
          </w:p>
          <w:p>
            <w:pPr>
              <w:pStyle w:val="TableParagraph"/>
              <w:ind w:left="104" w:right="144"/>
              <w:rPr>
                <w:sz w:val="18"/>
              </w:rPr>
            </w:pPr>
            <w:r>
              <w:rPr>
                <w:sz w:val="18"/>
              </w:rPr>
              <w:t>inability to deliver the scale of transformation required to improve </w:t>
            </w:r>
            <w:r>
              <w:rPr>
                <w:spacing w:val="-2"/>
                <w:sz w:val="18"/>
              </w:rPr>
              <w:t>outcomes,</w:t>
            </w:r>
            <w:r>
              <w:rPr>
                <w:spacing w:val="40"/>
                <w:sz w:val="18"/>
              </w:rPr>
              <w:t> </w:t>
            </w:r>
            <w:r>
              <w:rPr>
                <w:sz w:val="18"/>
              </w:rPr>
              <w:t>sustainability</w:t>
            </w:r>
            <w:r>
              <w:rPr>
                <w:spacing w:val="-15"/>
                <w:sz w:val="18"/>
              </w:rPr>
              <w:t> </w:t>
            </w:r>
            <w:r>
              <w:rPr>
                <w:sz w:val="18"/>
              </w:rPr>
              <w:t>and</w:t>
            </w:r>
            <w:r>
              <w:rPr>
                <w:spacing w:val="-12"/>
                <w:sz w:val="18"/>
              </w:rPr>
              <w:t> </w:t>
            </w:r>
            <w:r>
              <w:rPr>
                <w:sz w:val="18"/>
              </w:rPr>
              <w:t>value</w:t>
            </w:r>
          </w:p>
          <w:p>
            <w:pPr>
              <w:pStyle w:val="TableParagraph"/>
              <w:spacing w:line="184" w:lineRule="exact"/>
              <w:ind w:left="104"/>
              <w:rPr>
                <w:sz w:val="18"/>
              </w:rPr>
            </w:pPr>
            <w:r>
              <w:rPr>
                <w:sz w:val="18"/>
              </w:rPr>
              <w:t>across</w:t>
            </w:r>
            <w:r>
              <w:rPr>
                <w:spacing w:val="-5"/>
                <w:sz w:val="18"/>
              </w:rPr>
              <w:t> </w:t>
            </w:r>
            <w:r>
              <w:rPr>
                <w:sz w:val="18"/>
              </w:rPr>
              <w:t>the</w:t>
            </w:r>
            <w:r>
              <w:rPr>
                <w:spacing w:val="-4"/>
                <w:sz w:val="18"/>
              </w:rPr>
              <w:t> </w:t>
            </w:r>
            <w:r>
              <w:rPr>
                <w:spacing w:val="-2"/>
                <w:sz w:val="18"/>
              </w:rPr>
              <w:t>region.</w:t>
            </w:r>
          </w:p>
        </w:tc>
        <w:tc>
          <w:tcPr>
            <w:tcW w:w="17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109" w:right="104"/>
              <w:rPr>
                <w:sz w:val="18"/>
              </w:rPr>
            </w:pPr>
            <w:r>
              <w:rPr>
                <w:sz w:val="18"/>
              </w:rPr>
              <w:t>Approved</w:t>
            </w:r>
            <w:r>
              <w:rPr>
                <w:spacing w:val="-1"/>
                <w:sz w:val="18"/>
              </w:rPr>
              <w:t> </w:t>
            </w:r>
            <w:r>
              <w:rPr>
                <w:sz w:val="18"/>
              </w:rPr>
              <w:t>Terms</w:t>
            </w:r>
            <w:r>
              <w:rPr>
                <w:sz w:val="18"/>
              </w:rPr>
              <w:t> of</w:t>
            </w:r>
            <w:r>
              <w:rPr>
                <w:spacing w:val="-15"/>
                <w:sz w:val="18"/>
              </w:rPr>
              <w:t> </w:t>
            </w:r>
            <w:r>
              <w:rPr>
                <w:sz w:val="18"/>
              </w:rPr>
              <w:t>Reference;</w:t>
            </w:r>
            <w:r>
              <w:rPr>
                <w:spacing w:val="-12"/>
                <w:sz w:val="18"/>
              </w:rPr>
              <w:t> </w:t>
            </w:r>
            <w:r>
              <w:rPr>
                <w:sz w:val="18"/>
              </w:rPr>
              <w:t>RJC annual work </w:t>
            </w:r>
            <w:r>
              <w:rPr>
                <w:spacing w:val="-2"/>
                <w:sz w:val="18"/>
              </w:rPr>
              <w:t>programmes;</w:t>
            </w:r>
          </w:p>
          <w:p>
            <w:pPr>
              <w:pStyle w:val="TableParagraph"/>
              <w:ind w:left="109" w:right="299"/>
              <w:rPr>
                <w:sz w:val="18"/>
              </w:rPr>
            </w:pPr>
            <w:r>
              <w:rPr>
                <w:sz w:val="18"/>
              </w:rPr>
              <w:t>Regional</w:t>
            </w:r>
            <w:r>
              <w:rPr>
                <w:spacing w:val="-13"/>
                <w:sz w:val="18"/>
              </w:rPr>
              <w:t> </w:t>
            </w:r>
            <w:r>
              <w:rPr>
                <w:sz w:val="18"/>
              </w:rPr>
              <w:t>Health </w:t>
            </w:r>
            <w:r>
              <w:rPr>
                <w:spacing w:val="-2"/>
                <w:sz w:val="18"/>
              </w:rPr>
              <w:t>Economy Subgroup;</w:t>
            </w:r>
          </w:p>
          <w:p>
            <w:pPr>
              <w:pStyle w:val="TableParagraph"/>
              <w:spacing w:before="1"/>
              <w:ind w:left="109" w:right="399"/>
              <w:rPr>
                <w:sz w:val="18"/>
              </w:rPr>
            </w:pPr>
            <w:r>
              <w:rPr>
                <w:sz w:val="18"/>
              </w:rPr>
              <w:t>Regional</w:t>
            </w:r>
            <w:r>
              <w:rPr>
                <w:spacing w:val="-13"/>
                <w:sz w:val="18"/>
              </w:rPr>
              <w:t> </w:t>
            </w:r>
            <w:r>
              <w:rPr>
                <w:sz w:val="18"/>
              </w:rPr>
              <w:t>Drive and Delivery </w:t>
            </w:r>
            <w:r>
              <w:rPr>
                <w:spacing w:val="-2"/>
                <w:sz w:val="18"/>
              </w:rPr>
              <w:t>Group; programme</w:t>
            </w:r>
          </w:p>
          <w:p>
            <w:pPr>
              <w:pStyle w:val="TableParagraph"/>
              <w:spacing w:line="204" w:lineRule="exact"/>
              <w:ind w:left="109"/>
              <w:rPr>
                <w:sz w:val="18"/>
              </w:rPr>
            </w:pPr>
            <w:r>
              <w:rPr>
                <w:spacing w:val="-2"/>
                <w:sz w:val="18"/>
              </w:rPr>
              <w:t>management</w:t>
            </w:r>
          </w:p>
          <w:p>
            <w:pPr>
              <w:pStyle w:val="TableParagraph"/>
              <w:spacing w:before="4"/>
              <w:ind w:left="109" w:right="319"/>
              <w:rPr>
                <w:sz w:val="18"/>
              </w:rPr>
            </w:pPr>
            <w:r>
              <w:rPr>
                <w:sz w:val="18"/>
              </w:rPr>
              <w:t>support;</w:t>
            </w:r>
            <w:r>
              <w:rPr>
                <w:spacing w:val="-13"/>
                <w:sz w:val="18"/>
              </w:rPr>
              <w:t> </w:t>
            </w:r>
            <w:r>
              <w:rPr>
                <w:sz w:val="18"/>
              </w:rPr>
              <w:t>regular reporting to</w:t>
            </w:r>
          </w:p>
          <w:p>
            <w:pPr>
              <w:pStyle w:val="TableParagraph"/>
              <w:spacing w:line="242" w:lineRule="auto"/>
              <w:ind w:left="109" w:right="129"/>
              <w:rPr>
                <w:sz w:val="18"/>
              </w:rPr>
            </w:pPr>
            <w:r>
              <w:rPr>
                <w:sz w:val="18"/>
              </w:rPr>
              <w:t>sovereign</w:t>
            </w:r>
            <w:r>
              <w:rPr>
                <w:spacing w:val="-13"/>
                <w:sz w:val="18"/>
              </w:rPr>
              <w:t> </w:t>
            </w:r>
            <w:r>
              <w:rPr>
                <w:sz w:val="18"/>
              </w:rPr>
              <w:t>Boards; development of</w:t>
            </w:r>
          </w:p>
          <w:p>
            <w:pPr>
              <w:pStyle w:val="TableParagraph"/>
              <w:ind w:left="109" w:right="179"/>
              <w:rPr>
                <w:sz w:val="18"/>
              </w:rPr>
            </w:pPr>
            <w:r>
              <w:rPr>
                <w:sz w:val="18"/>
              </w:rPr>
              <w:t>regional</w:t>
            </w:r>
            <w:r>
              <w:rPr>
                <w:spacing w:val="-13"/>
                <w:sz w:val="18"/>
              </w:rPr>
              <w:t> </w:t>
            </w:r>
            <w:r>
              <w:rPr>
                <w:sz w:val="18"/>
              </w:rPr>
              <w:t>business cases and </w:t>
            </w:r>
            <w:r>
              <w:rPr>
                <w:spacing w:val="-2"/>
                <w:sz w:val="18"/>
              </w:rPr>
              <w:t>opportunity assessments.</w:t>
            </w:r>
          </w:p>
        </w:tc>
        <w:tc>
          <w:tcPr>
            <w:tcW w:w="170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line="242" w:lineRule="auto"/>
              <w:ind w:left="103"/>
              <w:rPr>
                <w:sz w:val="18"/>
              </w:rPr>
            </w:pPr>
            <w:r>
              <w:rPr>
                <w:sz w:val="18"/>
              </w:rPr>
              <w:t>RJC</w:t>
            </w:r>
            <w:r>
              <w:rPr>
                <w:spacing w:val="-15"/>
                <w:sz w:val="18"/>
              </w:rPr>
              <w:t> </w:t>
            </w:r>
            <w:r>
              <w:rPr>
                <w:sz w:val="18"/>
              </w:rPr>
              <w:t>Key</w:t>
            </w:r>
            <w:r>
              <w:rPr>
                <w:spacing w:val="-12"/>
                <w:sz w:val="18"/>
              </w:rPr>
              <w:t> </w:t>
            </w:r>
            <w:r>
              <w:rPr>
                <w:sz w:val="18"/>
              </w:rPr>
              <w:t>Issues Reports; RJC</w:t>
            </w:r>
          </w:p>
          <w:p>
            <w:pPr>
              <w:pStyle w:val="TableParagraph"/>
              <w:spacing w:line="244" w:lineRule="auto"/>
              <w:ind w:left="103" w:right="214"/>
              <w:rPr>
                <w:sz w:val="18"/>
              </w:rPr>
            </w:pPr>
            <w:r>
              <w:rPr>
                <w:sz w:val="18"/>
              </w:rPr>
              <w:t>work</w:t>
            </w:r>
            <w:r>
              <w:rPr>
                <w:spacing w:val="-13"/>
                <w:sz w:val="18"/>
              </w:rPr>
              <w:t> </w:t>
            </w:r>
            <w:r>
              <w:rPr>
                <w:sz w:val="18"/>
              </w:rPr>
              <w:t>programme reports;</w:t>
            </w:r>
            <w:r>
              <w:rPr>
                <w:spacing w:val="-1"/>
                <w:sz w:val="18"/>
              </w:rPr>
              <w:t> </w:t>
            </w:r>
            <w:r>
              <w:rPr>
                <w:spacing w:val="-2"/>
                <w:sz w:val="18"/>
              </w:rPr>
              <w:t>Regional</w:t>
            </w:r>
          </w:p>
          <w:p>
            <w:pPr>
              <w:pStyle w:val="TableParagraph"/>
              <w:ind w:left="103"/>
              <w:rPr>
                <w:sz w:val="18"/>
              </w:rPr>
            </w:pPr>
            <w:r>
              <w:rPr>
                <w:sz w:val="18"/>
              </w:rPr>
              <w:t>Drive</w:t>
            </w:r>
            <w:r>
              <w:rPr>
                <w:spacing w:val="-15"/>
                <w:sz w:val="18"/>
              </w:rPr>
              <w:t> </w:t>
            </w:r>
            <w:r>
              <w:rPr>
                <w:sz w:val="18"/>
              </w:rPr>
              <w:t>and</w:t>
            </w:r>
            <w:r>
              <w:rPr>
                <w:spacing w:val="-12"/>
                <w:sz w:val="18"/>
              </w:rPr>
              <w:t> </w:t>
            </w:r>
            <w:r>
              <w:rPr>
                <w:sz w:val="18"/>
              </w:rPr>
              <w:t>Delivery Group updates; subgroup work </w:t>
            </w:r>
            <w:r>
              <w:rPr>
                <w:spacing w:val="-2"/>
                <w:sz w:val="18"/>
              </w:rPr>
              <w:t>programme</w:t>
            </w:r>
          </w:p>
          <w:p>
            <w:pPr>
              <w:pStyle w:val="TableParagraph"/>
              <w:ind w:left="103"/>
              <w:rPr>
                <w:sz w:val="18"/>
              </w:rPr>
            </w:pPr>
            <w:r>
              <w:rPr>
                <w:spacing w:val="-2"/>
                <w:sz w:val="18"/>
              </w:rPr>
              <w:t>summaries; milestone</w:t>
            </w:r>
          </w:p>
          <w:p>
            <w:pPr>
              <w:pStyle w:val="TableParagraph"/>
              <w:ind w:left="103" w:right="290"/>
              <w:rPr>
                <w:sz w:val="18"/>
              </w:rPr>
            </w:pPr>
            <w:r>
              <w:rPr>
                <w:sz w:val="18"/>
              </w:rPr>
              <w:t>reporting;</w:t>
            </w:r>
            <w:r>
              <w:rPr>
                <w:spacing w:val="-13"/>
                <w:sz w:val="18"/>
              </w:rPr>
              <w:t> </w:t>
            </w:r>
            <w:r>
              <w:rPr>
                <w:sz w:val="18"/>
              </w:rPr>
              <w:t>Board update reports; review of decisions and </w:t>
            </w:r>
            <w:r>
              <w:rPr>
                <w:spacing w:val="-2"/>
                <w:sz w:val="18"/>
              </w:rPr>
              <w:t>actions.</w:t>
            </w:r>
          </w:p>
        </w:tc>
        <w:tc>
          <w:tcPr>
            <w:tcW w:w="170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103" w:right="120"/>
              <w:rPr>
                <w:sz w:val="18"/>
              </w:rPr>
            </w:pPr>
            <w:r>
              <w:rPr>
                <w:sz w:val="18"/>
              </w:rPr>
              <w:t>Further</w:t>
            </w:r>
            <w:r>
              <w:rPr>
                <w:spacing w:val="-13"/>
                <w:sz w:val="18"/>
              </w:rPr>
              <w:t> </w:t>
            </w:r>
            <w:r>
              <w:rPr>
                <w:sz w:val="18"/>
              </w:rPr>
              <w:t>assurance is needed on risk </w:t>
            </w:r>
            <w:r>
              <w:rPr>
                <w:spacing w:val="-2"/>
                <w:sz w:val="18"/>
              </w:rPr>
              <w:t>appetite,</w:t>
            </w:r>
          </w:p>
          <w:p>
            <w:pPr>
              <w:pStyle w:val="TableParagraph"/>
              <w:ind w:left="103" w:right="290"/>
              <w:rPr>
                <w:sz w:val="18"/>
              </w:rPr>
            </w:pPr>
            <w:r>
              <w:rPr>
                <w:spacing w:val="-2"/>
                <w:sz w:val="18"/>
              </w:rPr>
              <w:t>measurable outcomes, delegated authority, quantified </w:t>
            </w:r>
            <w:r>
              <w:rPr>
                <w:sz w:val="18"/>
              </w:rPr>
              <w:t>opportunity and impact,</w:t>
            </w:r>
            <w:r>
              <w:rPr>
                <w:spacing w:val="-8"/>
                <w:sz w:val="18"/>
              </w:rPr>
              <w:t> </w:t>
            </w:r>
            <w:r>
              <w:rPr>
                <w:sz w:val="18"/>
              </w:rPr>
              <w:t>benefits realisation, and how regional health</w:t>
            </w:r>
            <w:r>
              <w:rPr>
                <w:spacing w:val="-13"/>
                <w:sz w:val="18"/>
              </w:rPr>
              <w:t> </w:t>
            </w:r>
            <w:r>
              <w:rPr>
                <w:sz w:val="18"/>
              </w:rPr>
              <w:t>economy priorities will be prioritised</w:t>
            </w:r>
            <w:r>
              <w:rPr>
                <w:spacing w:val="-13"/>
                <w:sz w:val="18"/>
              </w:rPr>
              <w:t> </w:t>
            </w:r>
            <w:r>
              <w:rPr>
                <w:sz w:val="18"/>
              </w:rPr>
              <w:t>within</w:t>
            </w:r>
          </w:p>
          <w:p>
            <w:pPr>
              <w:pStyle w:val="TableParagraph"/>
              <w:spacing w:before="1"/>
              <w:ind w:left="103"/>
              <w:rPr>
                <w:sz w:val="18"/>
              </w:rPr>
            </w:pPr>
            <w:r>
              <w:rPr>
                <w:sz w:val="18"/>
              </w:rPr>
              <w:t>available</w:t>
            </w:r>
            <w:r>
              <w:rPr>
                <w:spacing w:val="-9"/>
                <w:sz w:val="18"/>
              </w:rPr>
              <w:t> </w:t>
            </w:r>
            <w:r>
              <w:rPr>
                <w:spacing w:val="-2"/>
                <w:sz w:val="18"/>
              </w:rPr>
              <w:t>capacity.</w:t>
            </w:r>
          </w:p>
        </w:tc>
        <w:tc>
          <w:tcPr>
            <w:tcW w:w="184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line="242" w:lineRule="auto"/>
              <w:ind w:left="107" w:right="411"/>
              <w:rPr>
                <w:sz w:val="18"/>
              </w:rPr>
            </w:pPr>
            <w:r>
              <w:rPr>
                <w:sz w:val="18"/>
              </w:rPr>
              <w:t>Agree</w:t>
            </w:r>
            <w:r>
              <w:rPr>
                <w:spacing w:val="-15"/>
                <w:sz w:val="18"/>
              </w:rPr>
              <w:t> </w:t>
            </w:r>
            <w:r>
              <w:rPr>
                <w:sz w:val="18"/>
              </w:rPr>
              <w:t>a</w:t>
            </w:r>
            <w:r>
              <w:rPr>
                <w:spacing w:val="-12"/>
                <w:sz w:val="18"/>
              </w:rPr>
              <w:t> </w:t>
            </w:r>
            <w:r>
              <w:rPr>
                <w:sz w:val="18"/>
              </w:rPr>
              <w:t>small number of</w:t>
            </w:r>
          </w:p>
          <w:p>
            <w:pPr>
              <w:pStyle w:val="TableParagraph"/>
              <w:spacing w:line="204" w:lineRule="exact"/>
              <w:ind w:left="107"/>
              <w:rPr>
                <w:sz w:val="18"/>
              </w:rPr>
            </w:pPr>
            <w:r>
              <w:rPr>
                <w:spacing w:val="-2"/>
                <w:sz w:val="18"/>
              </w:rPr>
              <w:t>measurable</w:t>
            </w:r>
          </w:p>
          <w:p>
            <w:pPr>
              <w:pStyle w:val="TableParagraph"/>
              <w:spacing w:before="3"/>
              <w:ind w:left="107" w:right="150"/>
              <w:rPr>
                <w:sz w:val="18"/>
              </w:rPr>
            </w:pPr>
            <w:r>
              <w:rPr>
                <w:sz w:val="18"/>
              </w:rPr>
              <w:t>regional outcomes; quantify</w:t>
            </w:r>
            <w:r>
              <w:rPr>
                <w:spacing w:val="-13"/>
                <w:sz w:val="18"/>
              </w:rPr>
              <w:t> </w:t>
            </w:r>
            <w:r>
              <w:rPr>
                <w:sz w:val="18"/>
              </w:rPr>
              <w:t>opportunity and impact; clarify accountability and escalation routes; establish benefits</w:t>
            </w:r>
          </w:p>
          <w:p>
            <w:pPr>
              <w:pStyle w:val="TableParagraph"/>
              <w:spacing w:line="205" w:lineRule="exact"/>
              <w:ind w:left="107"/>
              <w:rPr>
                <w:sz w:val="18"/>
              </w:rPr>
            </w:pPr>
            <w:r>
              <w:rPr>
                <w:spacing w:val="-2"/>
                <w:sz w:val="18"/>
              </w:rPr>
              <w:t>realisation</w:t>
            </w:r>
          </w:p>
          <w:p>
            <w:pPr>
              <w:pStyle w:val="TableParagraph"/>
              <w:ind w:left="107"/>
              <w:rPr>
                <w:sz w:val="18"/>
              </w:rPr>
            </w:pPr>
            <w:r>
              <w:rPr>
                <w:sz w:val="18"/>
              </w:rPr>
              <w:t>reporting; align subgroup</w:t>
            </w:r>
            <w:r>
              <w:rPr>
                <w:spacing w:val="-9"/>
                <w:sz w:val="18"/>
              </w:rPr>
              <w:t> </w:t>
            </w:r>
            <w:r>
              <w:rPr>
                <w:sz w:val="18"/>
              </w:rPr>
              <w:t>reporting with the RJC work programme</w:t>
            </w:r>
            <w:r>
              <w:rPr>
                <w:spacing w:val="-15"/>
                <w:sz w:val="18"/>
              </w:rPr>
              <w:t> </w:t>
            </w:r>
            <w:r>
              <w:rPr>
                <w:sz w:val="18"/>
              </w:rPr>
              <w:t>and</w:t>
            </w:r>
            <w:r>
              <w:rPr>
                <w:spacing w:val="-12"/>
                <w:sz w:val="18"/>
              </w:rPr>
              <w:t> </w:t>
            </w:r>
            <w:r>
              <w:rPr>
                <w:sz w:val="18"/>
              </w:rPr>
              <w:t>3A reporting cycle.</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spacing w:before="1"/>
              <w:ind w:left="102"/>
              <w:rPr>
                <w:sz w:val="18"/>
              </w:rPr>
            </w:pPr>
            <w:r>
              <w:rPr>
                <w:spacing w:val="-5"/>
                <w:sz w:val="18"/>
              </w:rPr>
              <w:t>TBC</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spacing w:before="1"/>
              <w:ind w:left="106"/>
              <w:rPr>
                <w:sz w:val="18"/>
              </w:rPr>
            </w:pPr>
            <w:r>
              <w:rPr>
                <w:spacing w:val="-5"/>
                <w:sz w:val="18"/>
              </w:rPr>
              <w:t>TBC</w:t>
            </w:r>
          </w:p>
        </w:tc>
        <w:tc>
          <w:tcPr>
            <w:tcW w:w="99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spacing w:before="1"/>
              <w:ind w:left="106"/>
              <w:rPr>
                <w:sz w:val="18"/>
              </w:rPr>
            </w:pPr>
            <w:r>
              <w:rPr>
                <w:spacing w:val="-5"/>
                <w:sz w:val="18"/>
              </w:rPr>
              <w:t>TBC</w:t>
            </w:r>
          </w:p>
        </w:tc>
        <w:tc>
          <w:tcPr>
            <w:tcW w:w="85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spacing w:before="1"/>
              <w:ind w:left="105"/>
              <w:rPr>
                <w:sz w:val="18"/>
              </w:rPr>
            </w:pPr>
            <w:r>
              <w:rPr>
                <w:spacing w:val="-5"/>
                <w:sz w:val="18"/>
              </w:rPr>
              <w:t>TBC</w:t>
            </w:r>
          </w:p>
        </w:tc>
      </w:tr>
      <w:tr>
        <w:trPr>
          <w:trHeight w:val="1035" w:hRule="atLeast"/>
        </w:trPr>
        <w:tc>
          <w:tcPr>
            <w:tcW w:w="670" w:type="dxa"/>
          </w:tcPr>
          <w:p>
            <w:pPr>
              <w:pStyle w:val="TableParagraph"/>
              <w:rPr>
                <w:b/>
                <w:sz w:val="16"/>
              </w:rPr>
            </w:pPr>
          </w:p>
          <w:p>
            <w:pPr>
              <w:pStyle w:val="TableParagraph"/>
              <w:spacing w:before="56"/>
              <w:rPr>
                <w:b/>
                <w:sz w:val="16"/>
              </w:rPr>
            </w:pPr>
          </w:p>
          <w:p>
            <w:pPr>
              <w:pStyle w:val="TableParagraph"/>
              <w:spacing w:before="1"/>
              <w:ind w:right="39"/>
              <w:jc w:val="center"/>
              <w:rPr>
                <w:sz w:val="16"/>
              </w:rPr>
            </w:pPr>
            <w:r>
              <w:rPr>
                <w:spacing w:val="-4"/>
                <w:sz w:val="16"/>
              </w:rPr>
              <w:t>SR02</w:t>
            </w:r>
          </w:p>
        </w:tc>
        <w:tc>
          <w:tcPr>
            <w:tcW w:w="1316" w:type="dxa"/>
          </w:tcPr>
          <w:p>
            <w:pPr>
              <w:pStyle w:val="TableParagraph"/>
              <w:spacing w:line="242" w:lineRule="auto" w:before="1"/>
              <w:ind w:left="104" w:right="114"/>
              <w:rPr>
                <w:sz w:val="18"/>
              </w:rPr>
            </w:pPr>
            <w:r>
              <w:rPr>
                <w:sz w:val="18"/>
              </w:rPr>
              <w:t>Deliver</w:t>
            </w:r>
            <w:r>
              <w:rPr>
                <w:spacing w:val="-13"/>
                <w:sz w:val="18"/>
              </w:rPr>
              <w:t> </w:t>
            </w:r>
            <w:r>
              <w:rPr>
                <w:sz w:val="18"/>
              </w:rPr>
              <w:t>timely </w:t>
            </w:r>
            <w:r>
              <w:rPr>
                <w:spacing w:val="-4"/>
                <w:sz w:val="18"/>
              </w:rPr>
              <w:t>and</w:t>
            </w:r>
          </w:p>
          <w:p>
            <w:pPr>
              <w:pStyle w:val="TableParagraph"/>
              <w:spacing w:line="242" w:lineRule="auto"/>
              <w:ind w:left="104"/>
              <w:rPr>
                <w:sz w:val="18"/>
              </w:rPr>
            </w:pPr>
            <w:r>
              <w:rPr>
                <w:spacing w:val="-2"/>
                <w:sz w:val="18"/>
              </w:rPr>
              <w:t>evidence-based</w:t>
            </w:r>
          </w:p>
          <w:p>
            <w:pPr>
              <w:pStyle w:val="TableParagraph"/>
              <w:spacing w:line="181" w:lineRule="exact"/>
              <w:ind w:left="104"/>
              <w:rPr>
                <w:sz w:val="18"/>
              </w:rPr>
            </w:pPr>
            <w:r>
              <w:rPr>
                <w:spacing w:val="-2"/>
                <w:sz w:val="18"/>
              </w:rPr>
              <w:t>regional</w:t>
            </w:r>
          </w:p>
        </w:tc>
        <w:tc>
          <w:tcPr>
            <w:tcW w:w="2121" w:type="dxa"/>
          </w:tcPr>
          <w:p>
            <w:pPr>
              <w:pStyle w:val="TableParagraph"/>
              <w:spacing w:before="1"/>
              <w:ind w:left="104"/>
              <w:rPr>
                <w:sz w:val="18"/>
              </w:rPr>
            </w:pPr>
            <w:r>
              <w:rPr>
                <w:sz w:val="18"/>
              </w:rPr>
              <w:t>There is a risk</w:t>
            </w:r>
            <w:r>
              <w:rPr>
                <w:spacing w:val="-1"/>
                <w:sz w:val="18"/>
              </w:rPr>
              <w:t> </w:t>
            </w:r>
            <w:r>
              <w:rPr>
                <w:spacing w:val="-4"/>
                <w:sz w:val="18"/>
              </w:rPr>
              <w:t>that</w:t>
            </w:r>
          </w:p>
          <w:p>
            <w:pPr>
              <w:pStyle w:val="TableParagraph"/>
              <w:spacing w:before="3"/>
              <w:ind w:left="104" w:right="126"/>
              <w:rPr>
                <w:sz w:val="18"/>
              </w:rPr>
            </w:pPr>
            <w:r>
              <w:rPr>
                <w:sz w:val="18"/>
              </w:rPr>
              <w:t>regional</w:t>
            </w:r>
            <w:r>
              <w:rPr>
                <w:spacing w:val="-15"/>
                <w:sz w:val="18"/>
              </w:rPr>
              <w:t> </w:t>
            </w:r>
            <w:r>
              <w:rPr>
                <w:sz w:val="18"/>
              </w:rPr>
              <w:t>clinical</w:t>
            </w:r>
            <w:r>
              <w:rPr>
                <w:spacing w:val="-12"/>
                <w:sz w:val="18"/>
              </w:rPr>
              <w:t> </w:t>
            </w:r>
            <w:r>
              <w:rPr>
                <w:sz w:val="18"/>
              </w:rPr>
              <w:t>service planning does not deliver timely,</w:t>
            </w:r>
          </w:p>
          <w:p>
            <w:pPr>
              <w:pStyle w:val="TableParagraph"/>
              <w:spacing w:line="183" w:lineRule="exact"/>
              <w:ind w:left="104"/>
              <w:rPr>
                <w:sz w:val="18"/>
              </w:rPr>
            </w:pPr>
            <w:r>
              <w:rPr>
                <w:sz w:val="18"/>
              </w:rPr>
              <w:t>evidence-based</w:t>
            </w:r>
            <w:r>
              <w:rPr>
                <w:spacing w:val="-12"/>
                <w:sz w:val="18"/>
              </w:rPr>
              <w:t> </w:t>
            </w:r>
            <w:r>
              <w:rPr>
                <w:spacing w:val="-5"/>
                <w:sz w:val="18"/>
              </w:rPr>
              <w:t>and</w:t>
            </w:r>
          </w:p>
        </w:tc>
        <w:tc>
          <w:tcPr>
            <w:tcW w:w="1706" w:type="dxa"/>
          </w:tcPr>
          <w:p>
            <w:pPr>
              <w:pStyle w:val="TableParagraph"/>
              <w:spacing w:line="242" w:lineRule="auto" w:before="1"/>
              <w:ind w:left="109" w:right="159"/>
              <w:rPr>
                <w:sz w:val="18"/>
              </w:rPr>
            </w:pPr>
            <w:r>
              <w:rPr>
                <w:sz w:val="18"/>
              </w:rPr>
              <w:t>Clinical Services </w:t>
            </w:r>
            <w:r>
              <w:rPr>
                <w:spacing w:val="-2"/>
                <w:sz w:val="18"/>
              </w:rPr>
              <w:t>Planning </w:t>
            </w:r>
            <w:r>
              <w:rPr>
                <w:sz w:val="18"/>
              </w:rPr>
              <w:t>Subgroup;</w:t>
            </w:r>
            <w:r>
              <w:rPr>
                <w:spacing w:val="-13"/>
                <w:sz w:val="18"/>
              </w:rPr>
              <w:t> </w:t>
            </w:r>
            <w:r>
              <w:rPr>
                <w:sz w:val="18"/>
              </w:rPr>
              <w:t>priority </w:t>
            </w:r>
            <w:r>
              <w:rPr>
                <w:spacing w:val="-2"/>
                <w:sz w:val="18"/>
              </w:rPr>
              <w:t>service</w:t>
            </w:r>
          </w:p>
          <w:p>
            <w:pPr>
              <w:pStyle w:val="TableParagraph"/>
              <w:spacing w:line="178" w:lineRule="exact"/>
              <w:ind w:left="109"/>
              <w:rPr>
                <w:sz w:val="18"/>
              </w:rPr>
            </w:pPr>
            <w:r>
              <w:rPr>
                <w:sz w:val="18"/>
              </w:rPr>
              <w:t>workstreams</w:t>
            </w:r>
            <w:r>
              <w:rPr>
                <w:spacing w:val="-1"/>
                <w:sz w:val="18"/>
              </w:rPr>
              <w:t> </w:t>
            </w:r>
            <w:r>
              <w:rPr>
                <w:spacing w:val="-5"/>
                <w:sz w:val="18"/>
              </w:rPr>
              <w:t>for</w:t>
            </w:r>
          </w:p>
        </w:tc>
        <w:tc>
          <w:tcPr>
            <w:tcW w:w="1701" w:type="dxa"/>
          </w:tcPr>
          <w:p>
            <w:pPr>
              <w:pStyle w:val="TableParagraph"/>
              <w:spacing w:before="1"/>
              <w:ind w:left="103"/>
              <w:rPr>
                <w:sz w:val="18"/>
              </w:rPr>
            </w:pPr>
            <w:r>
              <w:rPr>
                <w:sz w:val="18"/>
              </w:rPr>
              <w:t>Quality and </w:t>
            </w:r>
            <w:r>
              <w:rPr>
                <w:spacing w:val="-2"/>
                <w:sz w:val="18"/>
              </w:rPr>
              <w:t>performance dashboards;</w:t>
            </w:r>
          </w:p>
          <w:p>
            <w:pPr>
              <w:pStyle w:val="TableParagraph"/>
              <w:spacing w:line="206" w:lineRule="exact"/>
              <w:ind w:left="103"/>
              <w:rPr>
                <w:sz w:val="18"/>
              </w:rPr>
            </w:pPr>
            <w:r>
              <w:rPr>
                <w:sz w:val="18"/>
              </w:rPr>
              <w:t>waiting</w:t>
            </w:r>
            <w:r>
              <w:rPr>
                <w:spacing w:val="-15"/>
                <w:sz w:val="18"/>
              </w:rPr>
              <w:t> </w:t>
            </w:r>
            <w:r>
              <w:rPr>
                <w:sz w:val="18"/>
              </w:rPr>
              <w:t>list</w:t>
            </w:r>
            <w:r>
              <w:rPr>
                <w:spacing w:val="-12"/>
                <w:sz w:val="18"/>
              </w:rPr>
              <w:t> </w:t>
            </w:r>
            <w:r>
              <w:rPr>
                <w:sz w:val="18"/>
              </w:rPr>
              <w:t>and demand data;</w:t>
            </w:r>
          </w:p>
        </w:tc>
        <w:tc>
          <w:tcPr>
            <w:tcW w:w="1701" w:type="dxa"/>
          </w:tcPr>
          <w:p>
            <w:pPr>
              <w:pStyle w:val="TableParagraph"/>
              <w:spacing w:before="1"/>
              <w:ind w:left="103" w:right="120"/>
              <w:rPr>
                <w:sz w:val="18"/>
              </w:rPr>
            </w:pPr>
            <w:r>
              <w:rPr>
                <w:sz w:val="18"/>
              </w:rPr>
              <w:t>Further</w:t>
            </w:r>
            <w:r>
              <w:rPr>
                <w:spacing w:val="-13"/>
                <w:sz w:val="18"/>
              </w:rPr>
              <w:t> </w:t>
            </w:r>
            <w:r>
              <w:rPr>
                <w:sz w:val="18"/>
              </w:rPr>
              <w:t>assurance is needed on </w:t>
            </w:r>
            <w:r>
              <w:rPr>
                <w:spacing w:val="-2"/>
                <w:sz w:val="18"/>
              </w:rPr>
              <w:t>clinical</w:t>
            </w:r>
          </w:p>
          <w:p>
            <w:pPr>
              <w:pStyle w:val="TableParagraph"/>
              <w:spacing w:line="206" w:lineRule="exact" w:before="4"/>
              <w:ind w:left="103"/>
              <w:rPr>
                <w:sz w:val="18"/>
              </w:rPr>
            </w:pPr>
            <w:r>
              <w:rPr>
                <w:spacing w:val="-2"/>
                <w:sz w:val="18"/>
              </w:rPr>
              <w:t>consensus,</w:t>
            </w:r>
          </w:p>
          <w:p>
            <w:pPr>
              <w:pStyle w:val="TableParagraph"/>
              <w:spacing w:line="183" w:lineRule="exact"/>
              <w:ind w:left="103"/>
              <w:rPr>
                <w:sz w:val="18"/>
              </w:rPr>
            </w:pPr>
            <w:r>
              <w:rPr>
                <w:spacing w:val="-2"/>
                <w:sz w:val="18"/>
              </w:rPr>
              <w:t>implementation</w:t>
            </w:r>
          </w:p>
        </w:tc>
        <w:tc>
          <w:tcPr>
            <w:tcW w:w="1846" w:type="dxa"/>
          </w:tcPr>
          <w:p>
            <w:pPr>
              <w:pStyle w:val="TableParagraph"/>
              <w:spacing w:before="1"/>
              <w:ind w:left="107" w:right="371"/>
              <w:rPr>
                <w:sz w:val="18"/>
              </w:rPr>
            </w:pPr>
            <w:r>
              <w:rPr>
                <w:sz w:val="18"/>
              </w:rPr>
              <w:t>Define priority service</w:t>
            </w:r>
            <w:r>
              <w:rPr>
                <w:spacing w:val="-13"/>
                <w:sz w:val="18"/>
              </w:rPr>
              <w:t> </w:t>
            </w:r>
            <w:r>
              <w:rPr>
                <w:sz w:val="18"/>
              </w:rPr>
              <w:t>changes, milestones and</w:t>
            </w:r>
          </w:p>
          <w:p>
            <w:pPr>
              <w:pStyle w:val="TableParagraph"/>
              <w:spacing w:line="206" w:lineRule="exact"/>
              <w:ind w:left="107" w:right="291"/>
              <w:rPr>
                <w:sz w:val="18"/>
              </w:rPr>
            </w:pPr>
            <w:r>
              <w:rPr>
                <w:sz w:val="18"/>
              </w:rPr>
              <w:t>decision points; complete</w:t>
            </w:r>
            <w:r>
              <w:rPr>
                <w:spacing w:val="-13"/>
                <w:sz w:val="18"/>
              </w:rPr>
              <w:t> </w:t>
            </w:r>
            <w:r>
              <w:rPr>
                <w:sz w:val="18"/>
              </w:rPr>
              <w:t>demand</w:t>
            </w:r>
          </w:p>
        </w:tc>
        <w:tc>
          <w:tcPr>
            <w:tcW w:w="991" w:type="dxa"/>
          </w:tcPr>
          <w:p>
            <w:pPr>
              <w:pStyle w:val="TableParagraph"/>
              <w:rPr>
                <w:b/>
                <w:sz w:val="18"/>
              </w:rPr>
            </w:pPr>
          </w:p>
          <w:p>
            <w:pPr>
              <w:pStyle w:val="TableParagraph"/>
              <w:spacing w:before="2"/>
              <w:rPr>
                <w:b/>
                <w:sz w:val="18"/>
              </w:rPr>
            </w:pPr>
          </w:p>
          <w:p>
            <w:pPr>
              <w:pStyle w:val="TableParagraph"/>
              <w:ind w:left="102"/>
              <w:rPr>
                <w:sz w:val="18"/>
              </w:rPr>
            </w:pPr>
            <w:r>
              <w:rPr>
                <w:spacing w:val="-5"/>
                <w:sz w:val="18"/>
              </w:rPr>
              <w:t>TBC</w:t>
            </w:r>
          </w:p>
        </w:tc>
        <w:tc>
          <w:tcPr>
            <w:tcW w:w="991" w:type="dxa"/>
          </w:tcPr>
          <w:p>
            <w:pPr>
              <w:pStyle w:val="TableParagraph"/>
              <w:rPr>
                <w:b/>
                <w:sz w:val="18"/>
              </w:rPr>
            </w:pPr>
          </w:p>
          <w:p>
            <w:pPr>
              <w:pStyle w:val="TableParagraph"/>
              <w:spacing w:before="2"/>
              <w:rPr>
                <w:b/>
                <w:sz w:val="18"/>
              </w:rPr>
            </w:pPr>
          </w:p>
          <w:p>
            <w:pPr>
              <w:pStyle w:val="TableParagraph"/>
              <w:ind w:left="106"/>
              <w:rPr>
                <w:sz w:val="18"/>
              </w:rPr>
            </w:pPr>
            <w:r>
              <w:rPr>
                <w:spacing w:val="-5"/>
                <w:sz w:val="18"/>
              </w:rPr>
              <w:t>TBC</w:t>
            </w:r>
          </w:p>
        </w:tc>
        <w:tc>
          <w:tcPr>
            <w:tcW w:w="995" w:type="dxa"/>
          </w:tcPr>
          <w:p>
            <w:pPr>
              <w:pStyle w:val="TableParagraph"/>
              <w:rPr>
                <w:b/>
                <w:sz w:val="18"/>
              </w:rPr>
            </w:pPr>
          </w:p>
          <w:p>
            <w:pPr>
              <w:pStyle w:val="TableParagraph"/>
              <w:spacing w:before="2"/>
              <w:rPr>
                <w:b/>
                <w:sz w:val="18"/>
              </w:rPr>
            </w:pPr>
          </w:p>
          <w:p>
            <w:pPr>
              <w:pStyle w:val="TableParagraph"/>
              <w:ind w:left="106"/>
              <w:rPr>
                <w:sz w:val="18"/>
              </w:rPr>
            </w:pPr>
            <w:r>
              <w:rPr>
                <w:spacing w:val="-5"/>
                <w:sz w:val="18"/>
              </w:rPr>
              <w:t>TBC</w:t>
            </w:r>
          </w:p>
        </w:tc>
        <w:tc>
          <w:tcPr>
            <w:tcW w:w="850" w:type="dxa"/>
          </w:tcPr>
          <w:p>
            <w:pPr>
              <w:pStyle w:val="TableParagraph"/>
              <w:rPr>
                <w:b/>
                <w:sz w:val="18"/>
              </w:rPr>
            </w:pPr>
          </w:p>
          <w:p>
            <w:pPr>
              <w:pStyle w:val="TableParagraph"/>
              <w:spacing w:before="2"/>
              <w:rPr>
                <w:b/>
                <w:sz w:val="18"/>
              </w:rPr>
            </w:pPr>
          </w:p>
          <w:p>
            <w:pPr>
              <w:pStyle w:val="TableParagraph"/>
              <w:ind w:left="105"/>
              <w:rPr>
                <w:sz w:val="18"/>
              </w:rPr>
            </w:pPr>
            <w:r>
              <w:rPr>
                <w:spacing w:val="-5"/>
                <w:sz w:val="18"/>
              </w:rPr>
              <w:t>TBC</w:t>
            </w:r>
          </w:p>
        </w:tc>
      </w:tr>
    </w:tbl>
    <w:p>
      <w:pPr>
        <w:pStyle w:val="BodyText"/>
        <w:spacing w:before="38"/>
        <w:rPr>
          <w:b/>
          <w:sz w:val="22"/>
        </w:rPr>
      </w:pPr>
    </w:p>
    <w:p>
      <w:pPr>
        <w:spacing w:before="0"/>
        <w:ind w:left="11" w:right="994" w:firstLine="0"/>
        <w:jc w:val="center"/>
        <w:rPr>
          <w:rFonts w:ascii="Calibri"/>
          <w:sz w:val="22"/>
        </w:rPr>
      </w:pPr>
      <w:r>
        <w:rPr>
          <w:rFonts w:ascii="Calibri"/>
          <w:spacing w:val="-10"/>
          <w:sz w:val="22"/>
        </w:rPr>
        <w:t>4</w:t>
      </w:r>
    </w:p>
    <w:p>
      <w:pPr>
        <w:spacing w:after="0"/>
        <w:jc w:val="center"/>
        <w:rPr>
          <w:rFonts w:ascii="Calibri"/>
          <w:sz w:val="22"/>
        </w:rPr>
        <w:sectPr>
          <w:pgSz w:w="16840" w:h="11910" w:orient="landscape"/>
          <w:pgMar w:header="0" w:footer="198" w:top="1340" w:bottom="380" w:left="1417" w:right="425"/>
        </w:sectPr>
      </w:pPr>
    </w:p>
    <w:p>
      <w:pPr>
        <w:pStyle w:val="BodyText"/>
        <w:spacing w:before="10"/>
        <w:rPr>
          <w:rFonts w:ascii="Calibri"/>
          <w:sz w:val="7"/>
        </w:rPr>
      </w:pPr>
    </w:p>
    <w:tbl>
      <w:tblPr>
        <w:tblW w:w="0" w:type="auto"/>
        <w:jc w:val="left"/>
        <w:tblInd w:w="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0" w:type="dxa"/>
          <w:left w:w="0" w:type="dxa"/>
          <w:bottom w:w="0" w:type="dxa"/>
          <w:right w:w="0" w:type="dxa"/>
        </w:tblCellMar>
        <w:tblLook w:val="01E0"/>
      </w:tblPr>
      <w:tblGrid>
        <w:gridCol w:w="670"/>
        <w:gridCol w:w="1316"/>
        <w:gridCol w:w="2121"/>
        <w:gridCol w:w="1706"/>
        <w:gridCol w:w="1701"/>
        <w:gridCol w:w="1701"/>
        <w:gridCol w:w="1846"/>
        <w:gridCol w:w="991"/>
        <w:gridCol w:w="991"/>
        <w:gridCol w:w="995"/>
        <w:gridCol w:w="850"/>
      </w:tblGrid>
      <w:tr>
        <w:trPr>
          <w:trHeight w:val="985" w:hRule="atLeast"/>
        </w:trPr>
        <w:tc>
          <w:tcPr>
            <w:tcW w:w="670" w:type="dxa"/>
            <w:shd w:val="clear" w:color="auto" w:fill="D9E1F3"/>
          </w:tcPr>
          <w:p>
            <w:pPr>
              <w:pStyle w:val="TableParagraph"/>
              <w:spacing w:before="171"/>
              <w:rPr>
                <w:rFonts w:ascii="Calibri"/>
                <w:sz w:val="18"/>
              </w:rPr>
            </w:pPr>
          </w:p>
          <w:p>
            <w:pPr>
              <w:pStyle w:val="TableParagraph"/>
              <w:spacing w:before="1"/>
              <w:ind w:left="110"/>
              <w:rPr>
                <w:b/>
                <w:sz w:val="18"/>
              </w:rPr>
            </w:pPr>
            <w:r>
              <w:rPr>
                <w:b/>
                <w:spacing w:val="-5"/>
                <w:sz w:val="18"/>
              </w:rPr>
              <w:t>Ref</w:t>
            </w:r>
          </w:p>
        </w:tc>
        <w:tc>
          <w:tcPr>
            <w:tcW w:w="1316" w:type="dxa"/>
            <w:shd w:val="clear" w:color="auto" w:fill="D9E1F3"/>
          </w:tcPr>
          <w:p>
            <w:pPr>
              <w:pStyle w:val="TableParagraph"/>
              <w:spacing w:before="66"/>
              <w:rPr>
                <w:rFonts w:ascii="Calibri"/>
                <w:sz w:val="18"/>
              </w:rPr>
            </w:pPr>
          </w:p>
          <w:p>
            <w:pPr>
              <w:pStyle w:val="TableParagraph"/>
              <w:spacing w:before="1"/>
              <w:ind w:left="104"/>
              <w:rPr>
                <w:b/>
                <w:sz w:val="18"/>
              </w:rPr>
            </w:pPr>
            <w:r>
              <w:rPr>
                <w:b/>
                <w:spacing w:val="-2"/>
                <w:sz w:val="18"/>
              </w:rPr>
              <w:t>Strategic objective</w:t>
            </w:r>
          </w:p>
        </w:tc>
        <w:tc>
          <w:tcPr>
            <w:tcW w:w="2121" w:type="dxa"/>
            <w:shd w:val="clear" w:color="auto" w:fill="D9E1F3"/>
          </w:tcPr>
          <w:p>
            <w:pPr>
              <w:pStyle w:val="TableParagraph"/>
              <w:spacing w:before="171"/>
              <w:rPr>
                <w:rFonts w:ascii="Calibri"/>
                <w:sz w:val="18"/>
              </w:rPr>
            </w:pPr>
          </w:p>
          <w:p>
            <w:pPr>
              <w:pStyle w:val="TableParagraph"/>
              <w:spacing w:before="1"/>
              <w:ind w:left="104"/>
              <w:rPr>
                <w:b/>
                <w:sz w:val="18"/>
              </w:rPr>
            </w:pPr>
            <w:r>
              <w:rPr>
                <w:b/>
                <w:sz w:val="18"/>
              </w:rPr>
              <w:t>Strategic</w:t>
            </w:r>
            <w:r>
              <w:rPr>
                <w:b/>
                <w:spacing w:val="-5"/>
                <w:sz w:val="18"/>
              </w:rPr>
              <w:t> </w:t>
            </w:r>
            <w:r>
              <w:rPr>
                <w:b/>
                <w:spacing w:val="-4"/>
                <w:sz w:val="18"/>
              </w:rPr>
              <w:t>risk</w:t>
            </w:r>
          </w:p>
        </w:tc>
        <w:tc>
          <w:tcPr>
            <w:tcW w:w="1706" w:type="dxa"/>
            <w:shd w:val="clear" w:color="auto" w:fill="D9E1F3"/>
          </w:tcPr>
          <w:p>
            <w:pPr>
              <w:pStyle w:val="TableParagraph"/>
              <w:spacing w:before="66"/>
              <w:rPr>
                <w:rFonts w:ascii="Calibri"/>
                <w:sz w:val="18"/>
              </w:rPr>
            </w:pPr>
          </w:p>
          <w:p>
            <w:pPr>
              <w:pStyle w:val="TableParagraph"/>
              <w:spacing w:before="1"/>
              <w:ind w:left="109"/>
              <w:rPr>
                <w:b/>
                <w:sz w:val="18"/>
              </w:rPr>
            </w:pPr>
            <w:r>
              <w:rPr>
                <w:b/>
                <w:sz w:val="18"/>
              </w:rPr>
              <w:t>Key</w:t>
            </w:r>
            <w:r>
              <w:rPr>
                <w:b/>
                <w:spacing w:val="-15"/>
                <w:sz w:val="18"/>
              </w:rPr>
              <w:t> </w:t>
            </w:r>
            <w:r>
              <w:rPr>
                <w:b/>
                <w:sz w:val="18"/>
              </w:rPr>
              <w:t>controls</w:t>
            </w:r>
            <w:r>
              <w:rPr>
                <w:b/>
                <w:spacing w:val="-12"/>
                <w:sz w:val="18"/>
              </w:rPr>
              <w:t> </w:t>
            </w:r>
            <w:r>
              <w:rPr>
                <w:b/>
                <w:sz w:val="18"/>
              </w:rPr>
              <w:t>in </w:t>
            </w:r>
            <w:r>
              <w:rPr>
                <w:b/>
                <w:spacing w:val="-2"/>
                <w:sz w:val="18"/>
              </w:rPr>
              <w:t>place</w:t>
            </w:r>
          </w:p>
        </w:tc>
        <w:tc>
          <w:tcPr>
            <w:tcW w:w="1701" w:type="dxa"/>
            <w:shd w:val="clear" w:color="auto" w:fill="D9E1F3"/>
          </w:tcPr>
          <w:p>
            <w:pPr>
              <w:pStyle w:val="TableParagraph"/>
              <w:spacing w:before="66"/>
              <w:rPr>
                <w:rFonts w:ascii="Calibri"/>
                <w:sz w:val="18"/>
              </w:rPr>
            </w:pPr>
          </w:p>
          <w:p>
            <w:pPr>
              <w:pStyle w:val="TableParagraph"/>
              <w:spacing w:before="1"/>
              <w:ind w:left="103" w:right="650"/>
              <w:rPr>
                <w:b/>
                <w:sz w:val="18"/>
              </w:rPr>
            </w:pPr>
            <w:r>
              <w:rPr>
                <w:b/>
                <w:sz w:val="18"/>
              </w:rPr>
              <w:t>Sources</w:t>
            </w:r>
            <w:r>
              <w:rPr>
                <w:b/>
                <w:spacing w:val="-13"/>
                <w:sz w:val="18"/>
              </w:rPr>
              <w:t> </w:t>
            </w:r>
            <w:r>
              <w:rPr>
                <w:b/>
                <w:sz w:val="18"/>
              </w:rPr>
              <w:t>of </w:t>
            </w:r>
            <w:r>
              <w:rPr>
                <w:b/>
                <w:spacing w:val="-2"/>
                <w:sz w:val="18"/>
              </w:rPr>
              <w:t>assurance</w:t>
            </w:r>
          </w:p>
        </w:tc>
        <w:tc>
          <w:tcPr>
            <w:tcW w:w="1701" w:type="dxa"/>
            <w:shd w:val="clear" w:color="auto" w:fill="D9E1F3"/>
          </w:tcPr>
          <w:p>
            <w:pPr>
              <w:pStyle w:val="TableParagraph"/>
              <w:spacing w:before="171"/>
              <w:rPr>
                <w:rFonts w:ascii="Calibri"/>
                <w:sz w:val="18"/>
              </w:rPr>
            </w:pPr>
          </w:p>
          <w:p>
            <w:pPr>
              <w:pStyle w:val="TableParagraph"/>
              <w:spacing w:before="1"/>
              <w:ind w:left="103"/>
              <w:rPr>
                <w:b/>
                <w:sz w:val="18"/>
              </w:rPr>
            </w:pPr>
            <w:r>
              <w:rPr>
                <w:b/>
                <w:sz w:val="18"/>
              </w:rPr>
              <w:t>Assurance</w:t>
            </w:r>
            <w:r>
              <w:rPr>
                <w:b/>
                <w:spacing w:val="-1"/>
                <w:sz w:val="18"/>
              </w:rPr>
              <w:t> </w:t>
            </w:r>
            <w:r>
              <w:rPr>
                <w:b/>
                <w:spacing w:val="-4"/>
                <w:sz w:val="18"/>
              </w:rPr>
              <w:t>gaps</w:t>
            </w:r>
          </w:p>
        </w:tc>
        <w:tc>
          <w:tcPr>
            <w:tcW w:w="1846" w:type="dxa"/>
            <w:shd w:val="clear" w:color="auto" w:fill="D9E1F3"/>
          </w:tcPr>
          <w:p>
            <w:pPr>
              <w:pStyle w:val="TableParagraph"/>
              <w:spacing w:before="66"/>
              <w:rPr>
                <w:rFonts w:ascii="Calibri"/>
                <w:sz w:val="18"/>
              </w:rPr>
            </w:pPr>
          </w:p>
          <w:p>
            <w:pPr>
              <w:pStyle w:val="TableParagraph"/>
              <w:spacing w:before="1"/>
              <w:ind w:left="107" w:right="411"/>
              <w:rPr>
                <w:b/>
                <w:sz w:val="18"/>
              </w:rPr>
            </w:pPr>
            <w:r>
              <w:rPr>
                <w:b/>
                <w:sz w:val="18"/>
              </w:rPr>
              <w:t>Further</w:t>
            </w:r>
            <w:r>
              <w:rPr>
                <w:b/>
                <w:spacing w:val="-13"/>
                <w:sz w:val="18"/>
              </w:rPr>
              <w:t> </w:t>
            </w:r>
            <w:r>
              <w:rPr>
                <w:b/>
                <w:sz w:val="18"/>
              </w:rPr>
              <w:t>actions </w:t>
            </w:r>
            <w:r>
              <w:rPr>
                <w:b/>
                <w:spacing w:val="-2"/>
                <w:sz w:val="18"/>
              </w:rPr>
              <w:t>required</w:t>
            </w:r>
          </w:p>
        </w:tc>
        <w:tc>
          <w:tcPr>
            <w:tcW w:w="991" w:type="dxa"/>
            <w:shd w:val="clear" w:color="auto" w:fill="D9E1F3"/>
          </w:tcPr>
          <w:p>
            <w:pPr>
              <w:pStyle w:val="TableParagraph"/>
              <w:spacing w:before="181"/>
              <w:ind w:left="102" w:right="308"/>
              <w:rPr>
                <w:b/>
                <w:sz w:val="18"/>
              </w:rPr>
            </w:pPr>
            <w:r>
              <w:rPr>
                <w:b/>
                <w:spacing w:val="-4"/>
                <w:sz w:val="18"/>
              </w:rPr>
              <w:t>Exec Risk </w:t>
            </w:r>
            <w:r>
              <w:rPr>
                <w:b/>
                <w:spacing w:val="-2"/>
                <w:sz w:val="18"/>
              </w:rPr>
              <w:t>Owner</w:t>
            </w:r>
          </w:p>
        </w:tc>
        <w:tc>
          <w:tcPr>
            <w:tcW w:w="991" w:type="dxa"/>
            <w:shd w:val="clear" w:color="auto" w:fill="D9E1F3"/>
          </w:tcPr>
          <w:p>
            <w:pPr>
              <w:pStyle w:val="TableParagraph"/>
              <w:spacing w:before="181"/>
              <w:ind w:left="106" w:right="179"/>
              <w:rPr>
                <w:b/>
                <w:sz w:val="18"/>
              </w:rPr>
            </w:pPr>
            <w:r>
              <w:rPr>
                <w:b/>
                <w:spacing w:val="-4"/>
                <w:sz w:val="18"/>
              </w:rPr>
              <w:t>Mgt </w:t>
            </w:r>
            <w:r>
              <w:rPr>
                <w:b/>
                <w:spacing w:val="-2"/>
                <w:sz w:val="18"/>
              </w:rPr>
              <w:t>Support </w:t>
            </w:r>
            <w:r>
              <w:rPr>
                <w:b/>
                <w:spacing w:val="-4"/>
                <w:sz w:val="18"/>
              </w:rPr>
              <w:t>Lead</w:t>
            </w:r>
          </w:p>
        </w:tc>
        <w:tc>
          <w:tcPr>
            <w:tcW w:w="995" w:type="dxa"/>
            <w:shd w:val="clear" w:color="auto" w:fill="D9E1F3"/>
          </w:tcPr>
          <w:p>
            <w:pPr>
              <w:pStyle w:val="TableParagraph"/>
              <w:spacing w:before="181"/>
              <w:ind w:left="106" w:right="222"/>
              <w:rPr>
                <w:b/>
                <w:sz w:val="18"/>
              </w:rPr>
            </w:pPr>
            <w:r>
              <w:rPr>
                <w:b/>
                <w:spacing w:val="-2"/>
                <w:sz w:val="18"/>
              </w:rPr>
              <w:t>Current </w:t>
            </w:r>
            <w:r>
              <w:rPr>
                <w:b/>
                <w:spacing w:val="-4"/>
                <w:sz w:val="18"/>
              </w:rPr>
              <w:t>risk </w:t>
            </w:r>
            <w:r>
              <w:rPr>
                <w:b/>
                <w:spacing w:val="-2"/>
                <w:sz w:val="18"/>
              </w:rPr>
              <w:t>score</w:t>
            </w:r>
          </w:p>
        </w:tc>
        <w:tc>
          <w:tcPr>
            <w:tcW w:w="850" w:type="dxa"/>
            <w:shd w:val="clear" w:color="auto" w:fill="D9E1F3"/>
          </w:tcPr>
          <w:p>
            <w:pPr>
              <w:pStyle w:val="TableParagraph"/>
              <w:spacing w:before="181"/>
              <w:ind w:left="105" w:right="188"/>
              <w:rPr>
                <w:b/>
                <w:sz w:val="18"/>
              </w:rPr>
            </w:pPr>
            <w:r>
              <w:rPr>
                <w:b/>
                <w:spacing w:val="-4"/>
                <w:sz w:val="18"/>
              </w:rPr>
              <w:t>Target risk </w:t>
            </w:r>
            <w:r>
              <w:rPr>
                <w:b/>
                <w:spacing w:val="-2"/>
                <w:sz w:val="18"/>
              </w:rPr>
              <w:t>score</w:t>
            </w:r>
          </w:p>
        </w:tc>
      </w:tr>
      <w:tr>
        <w:trPr>
          <w:trHeight w:val="7658" w:hRule="atLeast"/>
        </w:trPr>
        <w:tc>
          <w:tcPr>
            <w:tcW w:w="670" w:type="dxa"/>
          </w:tcPr>
          <w:p>
            <w:pPr>
              <w:pStyle w:val="TableParagraph"/>
              <w:rPr>
                <w:rFonts w:ascii="Times New Roman"/>
                <w:sz w:val="18"/>
              </w:rPr>
            </w:pPr>
          </w:p>
        </w:tc>
        <w:tc>
          <w:tcPr>
            <w:tcW w:w="1316" w:type="dxa"/>
          </w:tcPr>
          <w:p>
            <w:pPr>
              <w:pStyle w:val="TableParagraph"/>
              <w:spacing w:before="1"/>
              <w:ind w:left="104" w:right="213"/>
              <w:rPr>
                <w:sz w:val="18"/>
              </w:rPr>
            </w:pPr>
            <w:r>
              <w:rPr>
                <w:spacing w:val="-2"/>
                <w:sz w:val="18"/>
              </w:rPr>
              <w:t>clinical service planning.</w:t>
            </w:r>
          </w:p>
        </w:tc>
        <w:tc>
          <w:tcPr>
            <w:tcW w:w="2121" w:type="dxa"/>
          </w:tcPr>
          <w:p>
            <w:pPr>
              <w:pStyle w:val="TableParagraph"/>
              <w:spacing w:before="1"/>
              <w:ind w:left="104" w:right="288"/>
              <w:rPr>
                <w:sz w:val="18"/>
              </w:rPr>
            </w:pPr>
            <w:r>
              <w:rPr>
                <w:sz w:val="18"/>
              </w:rPr>
              <w:t>sustainable</w:t>
            </w:r>
            <w:r>
              <w:rPr>
                <w:spacing w:val="-13"/>
                <w:sz w:val="18"/>
              </w:rPr>
              <w:t> </w:t>
            </w:r>
            <w:r>
              <w:rPr>
                <w:sz w:val="18"/>
              </w:rPr>
              <w:t>decisions on the future configuration and delivery of priority</w:t>
            </w:r>
          </w:p>
          <w:p>
            <w:pPr>
              <w:pStyle w:val="TableParagraph"/>
              <w:ind w:left="104" w:right="529"/>
              <w:rPr>
                <w:sz w:val="18"/>
              </w:rPr>
            </w:pPr>
            <w:r>
              <w:rPr>
                <w:sz w:val="18"/>
              </w:rPr>
              <w:t>services,</w:t>
            </w:r>
            <w:r>
              <w:rPr>
                <w:spacing w:val="-13"/>
                <w:sz w:val="18"/>
              </w:rPr>
              <w:t> </w:t>
            </w:r>
            <w:r>
              <w:rPr>
                <w:sz w:val="18"/>
              </w:rPr>
              <w:t>including cancer, stroke, </w:t>
            </w:r>
            <w:r>
              <w:rPr>
                <w:spacing w:val="-2"/>
                <w:sz w:val="18"/>
              </w:rPr>
              <w:t>orthopaedics, ophthalmology, </w:t>
            </w:r>
            <w:r>
              <w:rPr>
                <w:sz w:val="18"/>
              </w:rPr>
              <w:t>pathology and</w:t>
            </w:r>
          </w:p>
          <w:p>
            <w:pPr>
              <w:pStyle w:val="TableParagraph"/>
              <w:ind w:left="104" w:right="205"/>
              <w:rPr>
                <w:sz w:val="18"/>
              </w:rPr>
            </w:pPr>
            <w:r>
              <w:rPr>
                <w:sz w:val="18"/>
              </w:rPr>
              <w:t>radiotherapy. This is caused by the complexity</w:t>
            </w:r>
            <w:r>
              <w:rPr>
                <w:spacing w:val="-15"/>
                <w:sz w:val="18"/>
              </w:rPr>
              <w:t> </w:t>
            </w:r>
            <w:r>
              <w:rPr>
                <w:sz w:val="18"/>
              </w:rPr>
              <w:t>of</w:t>
            </w:r>
            <w:r>
              <w:rPr>
                <w:spacing w:val="-12"/>
                <w:sz w:val="18"/>
              </w:rPr>
              <w:t> </w:t>
            </w:r>
            <w:r>
              <w:rPr>
                <w:sz w:val="18"/>
              </w:rPr>
              <w:t>securing agreement across </w:t>
            </w:r>
            <w:r>
              <w:rPr>
                <w:spacing w:val="-2"/>
                <w:sz w:val="18"/>
              </w:rPr>
              <w:t>organisations,</w:t>
            </w:r>
          </w:p>
          <w:p>
            <w:pPr>
              <w:pStyle w:val="TableParagraph"/>
              <w:ind w:left="104" w:right="373"/>
              <w:rPr>
                <w:sz w:val="18"/>
              </w:rPr>
            </w:pPr>
            <w:r>
              <w:rPr>
                <w:sz w:val="18"/>
              </w:rPr>
              <w:t>insufficient pace of </w:t>
            </w:r>
            <w:r>
              <w:rPr>
                <w:spacing w:val="-2"/>
                <w:sz w:val="18"/>
              </w:rPr>
              <w:t>decision-making, </w:t>
            </w:r>
            <w:r>
              <w:rPr>
                <w:sz w:val="18"/>
              </w:rPr>
              <w:t>capacity</w:t>
            </w:r>
            <w:r>
              <w:rPr>
                <w:spacing w:val="-13"/>
                <w:sz w:val="18"/>
              </w:rPr>
              <w:t> </w:t>
            </w:r>
            <w:r>
              <w:rPr>
                <w:sz w:val="18"/>
              </w:rPr>
              <w:t>constraints, competing</w:t>
            </w:r>
            <w:r>
              <w:rPr>
                <w:spacing w:val="-13"/>
                <w:sz w:val="18"/>
              </w:rPr>
              <w:t> </w:t>
            </w:r>
            <w:r>
              <w:rPr>
                <w:sz w:val="18"/>
              </w:rPr>
              <w:t>priorities, and challenges in translating strategic</w:t>
            </w:r>
          </w:p>
          <w:p>
            <w:pPr>
              <w:pStyle w:val="TableParagraph"/>
              <w:spacing w:before="2"/>
              <w:ind w:left="104"/>
              <w:rPr>
                <w:sz w:val="18"/>
              </w:rPr>
            </w:pPr>
            <w:r>
              <w:rPr>
                <w:sz w:val="18"/>
              </w:rPr>
              <w:t>intent</w:t>
            </w:r>
            <w:r>
              <w:rPr>
                <w:spacing w:val="-15"/>
                <w:sz w:val="18"/>
              </w:rPr>
              <w:t> </w:t>
            </w:r>
            <w:r>
              <w:rPr>
                <w:sz w:val="18"/>
              </w:rPr>
              <w:t>into</w:t>
            </w:r>
            <w:r>
              <w:rPr>
                <w:spacing w:val="-12"/>
                <w:sz w:val="18"/>
              </w:rPr>
              <w:t> </w:t>
            </w:r>
            <w:r>
              <w:rPr>
                <w:sz w:val="18"/>
              </w:rPr>
              <w:t>actionable regional service</w:t>
            </w:r>
          </w:p>
          <w:p>
            <w:pPr>
              <w:pStyle w:val="TableParagraph"/>
              <w:ind w:left="104" w:right="269"/>
              <w:rPr>
                <w:sz w:val="18"/>
              </w:rPr>
            </w:pPr>
            <w:r>
              <w:rPr>
                <w:sz w:val="18"/>
              </w:rPr>
              <w:t>models.</w:t>
            </w:r>
            <w:r>
              <w:rPr>
                <w:spacing w:val="-10"/>
                <w:sz w:val="18"/>
              </w:rPr>
              <w:t> </w:t>
            </w:r>
            <w:r>
              <w:rPr>
                <w:sz w:val="18"/>
              </w:rPr>
              <w:t>This</w:t>
            </w:r>
            <w:r>
              <w:rPr>
                <w:spacing w:val="-5"/>
                <w:sz w:val="18"/>
              </w:rPr>
              <w:t> </w:t>
            </w:r>
            <w:r>
              <w:rPr>
                <w:sz w:val="18"/>
              </w:rPr>
              <w:t>will</w:t>
            </w:r>
            <w:r>
              <w:rPr>
                <w:spacing w:val="-5"/>
                <w:sz w:val="18"/>
              </w:rPr>
              <w:t> </w:t>
            </w:r>
            <w:r>
              <w:rPr>
                <w:sz w:val="18"/>
              </w:rPr>
              <w:t>lead to continued unwarranted</w:t>
            </w:r>
            <w:r>
              <w:rPr>
                <w:spacing w:val="-13"/>
                <w:sz w:val="18"/>
              </w:rPr>
              <w:t> </w:t>
            </w:r>
            <w:r>
              <w:rPr>
                <w:sz w:val="18"/>
              </w:rPr>
              <w:t>variation</w:t>
            </w:r>
          </w:p>
          <w:p>
            <w:pPr>
              <w:pStyle w:val="TableParagraph"/>
              <w:spacing w:before="1"/>
              <w:ind w:left="104"/>
              <w:rPr>
                <w:sz w:val="18"/>
              </w:rPr>
            </w:pPr>
            <w:r>
              <w:rPr>
                <w:sz w:val="18"/>
              </w:rPr>
              <w:t>in</w:t>
            </w:r>
            <w:r>
              <w:rPr>
                <w:spacing w:val="-13"/>
                <w:sz w:val="18"/>
              </w:rPr>
              <w:t> </w:t>
            </w:r>
            <w:r>
              <w:rPr>
                <w:sz w:val="18"/>
              </w:rPr>
              <w:t>care,</w:t>
            </w:r>
            <w:r>
              <w:rPr>
                <w:spacing w:val="-12"/>
                <w:sz w:val="18"/>
              </w:rPr>
              <w:t> </w:t>
            </w:r>
            <w:r>
              <w:rPr>
                <w:sz w:val="18"/>
              </w:rPr>
              <w:t>service</w:t>
            </w:r>
            <w:r>
              <w:rPr>
                <w:spacing w:val="-13"/>
                <w:sz w:val="18"/>
              </w:rPr>
              <w:t> </w:t>
            </w:r>
            <w:r>
              <w:rPr>
                <w:sz w:val="18"/>
              </w:rPr>
              <w:t>fragility, </w:t>
            </w:r>
            <w:r>
              <w:rPr>
                <w:spacing w:val="-2"/>
                <w:sz w:val="18"/>
              </w:rPr>
              <w:t>workforce</w:t>
            </w:r>
          </w:p>
          <w:p>
            <w:pPr>
              <w:pStyle w:val="TableParagraph"/>
              <w:spacing w:line="203" w:lineRule="exact"/>
              <w:ind w:left="104"/>
              <w:rPr>
                <w:sz w:val="18"/>
              </w:rPr>
            </w:pPr>
            <w:r>
              <w:rPr>
                <w:spacing w:val="-2"/>
                <w:sz w:val="18"/>
              </w:rPr>
              <w:t>vulnerabilities,</w:t>
            </w:r>
          </w:p>
          <w:p>
            <w:pPr>
              <w:pStyle w:val="TableParagraph"/>
              <w:spacing w:before="3"/>
              <w:ind w:left="104" w:right="124"/>
              <w:rPr>
                <w:sz w:val="18"/>
              </w:rPr>
            </w:pPr>
            <w:r>
              <w:rPr>
                <w:sz w:val="18"/>
              </w:rPr>
              <w:t>inequalities in access and</w:t>
            </w:r>
            <w:r>
              <w:rPr>
                <w:spacing w:val="-15"/>
                <w:sz w:val="18"/>
              </w:rPr>
              <w:t> </w:t>
            </w:r>
            <w:r>
              <w:rPr>
                <w:sz w:val="18"/>
              </w:rPr>
              <w:t>outcomes,</w:t>
            </w:r>
            <w:r>
              <w:rPr>
                <w:spacing w:val="-12"/>
                <w:sz w:val="18"/>
              </w:rPr>
              <w:t> </w:t>
            </w:r>
            <w:r>
              <w:rPr>
                <w:sz w:val="18"/>
              </w:rPr>
              <w:t>reduced quality and sustainability of</w:t>
            </w:r>
          </w:p>
          <w:p>
            <w:pPr>
              <w:pStyle w:val="TableParagraph"/>
              <w:spacing w:line="205" w:lineRule="exact"/>
              <w:ind w:left="104"/>
              <w:rPr>
                <w:sz w:val="18"/>
              </w:rPr>
            </w:pPr>
            <w:r>
              <w:rPr>
                <w:sz w:val="18"/>
              </w:rPr>
              <w:t>services,</w:t>
            </w:r>
            <w:r>
              <w:rPr>
                <w:spacing w:val="-1"/>
                <w:sz w:val="18"/>
              </w:rPr>
              <w:t> </w:t>
            </w:r>
            <w:r>
              <w:rPr>
                <w:sz w:val="18"/>
              </w:rPr>
              <w:t>and</w:t>
            </w:r>
            <w:r>
              <w:rPr>
                <w:spacing w:val="-1"/>
                <w:sz w:val="18"/>
              </w:rPr>
              <w:t> </w:t>
            </w:r>
            <w:r>
              <w:rPr>
                <w:spacing w:val="-5"/>
                <w:sz w:val="18"/>
              </w:rPr>
              <w:t>an</w:t>
            </w:r>
          </w:p>
          <w:p>
            <w:pPr>
              <w:pStyle w:val="TableParagraph"/>
              <w:spacing w:before="3"/>
              <w:ind w:left="104"/>
              <w:rPr>
                <w:sz w:val="18"/>
              </w:rPr>
            </w:pPr>
            <w:r>
              <w:rPr>
                <w:sz w:val="18"/>
              </w:rPr>
              <w:t>inability</w:t>
            </w:r>
            <w:r>
              <w:rPr>
                <w:spacing w:val="-13"/>
                <w:sz w:val="18"/>
              </w:rPr>
              <w:t> </w:t>
            </w:r>
            <w:r>
              <w:rPr>
                <w:sz w:val="18"/>
              </w:rPr>
              <w:t>to</w:t>
            </w:r>
            <w:r>
              <w:rPr>
                <w:spacing w:val="-12"/>
                <w:sz w:val="18"/>
              </w:rPr>
              <w:t> </w:t>
            </w:r>
            <w:r>
              <w:rPr>
                <w:sz w:val="18"/>
              </w:rPr>
              <w:t>realise</w:t>
            </w:r>
            <w:r>
              <w:rPr>
                <w:spacing w:val="-13"/>
                <w:sz w:val="18"/>
              </w:rPr>
              <w:t> </w:t>
            </w:r>
            <w:r>
              <w:rPr>
                <w:sz w:val="18"/>
              </w:rPr>
              <w:t>the benefits of regional working required to</w:t>
            </w:r>
          </w:p>
          <w:p>
            <w:pPr>
              <w:pStyle w:val="TableParagraph"/>
              <w:spacing w:line="183" w:lineRule="exact"/>
              <w:ind w:left="104"/>
              <w:rPr>
                <w:sz w:val="18"/>
              </w:rPr>
            </w:pPr>
            <w:r>
              <w:rPr>
                <w:sz w:val="18"/>
              </w:rPr>
              <w:t>meet</w:t>
            </w:r>
            <w:r>
              <w:rPr>
                <w:spacing w:val="-1"/>
                <w:sz w:val="18"/>
              </w:rPr>
              <w:t> </w:t>
            </w:r>
            <w:r>
              <w:rPr>
                <w:sz w:val="18"/>
              </w:rPr>
              <w:t>current</w:t>
            </w:r>
            <w:r>
              <w:rPr>
                <w:spacing w:val="-1"/>
                <w:sz w:val="18"/>
              </w:rPr>
              <w:t> </w:t>
            </w:r>
            <w:r>
              <w:rPr>
                <w:sz w:val="18"/>
              </w:rPr>
              <w:t>and </w:t>
            </w:r>
            <w:r>
              <w:rPr>
                <w:spacing w:val="-2"/>
                <w:sz w:val="18"/>
              </w:rPr>
              <w:t>future</w:t>
            </w:r>
          </w:p>
        </w:tc>
        <w:tc>
          <w:tcPr>
            <w:tcW w:w="1706" w:type="dxa"/>
          </w:tcPr>
          <w:p>
            <w:pPr>
              <w:pStyle w:val="TableParagraph"/>
              <w:spacing w:before="1"/>
              <w:ind w:left="109" w:right="219"/>
              <w:rPr>
                <w:sz w:val="18"/>
              </w:rPr>
            </w:pPr>
            <w:r>
              <w:rPr>
                <w:sz w:val="18"/>
              </w:rPr>
              <w:t>cancer, stroke, </w:t>
            </w:r>
            <w:r>
              <w:rPr>
                <w:spacing w:val="-2"/>
                <w:sz w:val="18"/>
              </w:rPr>
              <w:t>orthopaedics, ophthalmology </w:t>
            </w:r>
            <w:r>
              <w:rPr>
                <w:sz w:val="18"/>
              </w:rPr>
              <w:t>and pathology; baseline service reviews;</w:t>
            </w:r>
            <w:r>
              <w:rPr>
                <w:spacing w:val="-13"/>
                <w:sz w:val="18"/>
              </w:rPr>
              <w:t> </w:t>
            </w:r>
            <w:r>
              <w:rPr>
                <w:sz w:val="18"/>
              </w:rPr>
              <w:t>demand and capacity</w:t>
            </w:r>
          </w:p>
          <w:p>
            <w:pPr>
              <w:pStyle w:val="TableParagraph"/>
              <w:ind w:left="109" w:right="599"/>
              <w:rPr>
                <w:sz w:val="18"/>
              </w:rPr>
            </w:pPr>
            <w:r>
              <w:rPr>
                <w:spacing w:val="-2"/>
                <w:sz w:val="18"/>
              </w:rPr>
              <w:t>modelling; </w:t>
            </w:r>
            <w:r>
              <w:rPr>
                <w:sz w:val="18"/>
              </w:rPr>
              <w:t>alignment</w:t>
            </w:r>
            <w:r>
              <w:rPr>
                <w:spacing w:val="-13"/>
                <w:sz w:val="18"/>
              </w:rPr>
              <w:t> </w:t>
            </w:r>
            <w:r>
              <w:rPr>
                <w:sz w:val="18"/>
              </w:rPr>
              <w:t>to </w:t>
            </w:r>
            <w:r>
              <w:rPr>
                <w:spacing w:val="-2"/>
                <w:sz w:val="18"/>
              </w:rPr>
              <w:t>national</w:t>
            </w:r>
          </w:p>
          <w:p>
            <w:pPr>
              <w:pStyle w:val="TableParagraph"/>
              <w:spacing w:before="1"/>
              <w:ind w:left="109" w:right="108"/>
              <w:rPr>
                <w:sz w:val="18"/>
              </w:rPr>
            </w:pPr>
            <w:r>
              <w:rPr>
                <w:spacing w:val="-2"/>
                <w:sz w:val="18"/>
              </w:rPr>
              <w:t>standards; </w:t>
            </w:r>
            <w:r>
              <w:rPr>
                <w:sz w:val="18"/>
              </w:rPr>
              <w:t>escalation</w:t>
            </w:r>
            <w:r>
              <w:rPr>
                <w:spacing w:val="-13"/>
                <w:sz w:val="18"/>
              </w:rPr>
              <w:t> </w:t>
            </w:r>
            <w:r>
              <w:rPr>
                <w:sz w:val="18"/>
              </w:rPr>
              <w:t>through the RJC and</w:t>
            </w:r>
          </w:p>
          <w:p>
            <w:pPr>
              <w:pStyle w:val="TableParagraph"/>
              <w:ind w:left="109" w:right="399"/>
              <w:rPr>
                <w:sz w:val="18"/>
              </w:rPr>
            </w:pPr>
            <w:r>
              <w:rPr>
                <w:sz w:val="18"/>
              </w:rPr>
              <w:t>Regional</w:t>
            </w:r>
            <w:r>
              <w:rPr>
                <w:spacing w:val="-13"/>
                <w:sz w:val="18"/>
              </w:rPr>
              <w:t> </w:t>
            </w:r>
            <w:r>
              <w:rPr>
                <w:sz w:val="18"/>
              </w:rPr>
              <w:t>Drive and Delivery </w:t>
            </w:r>
            <w:r>
              <w:rPr>
                <w:spacing w:val="-2"/>
                <w:sz w:val="18"/>
              </w:rPr>
              <w:t>Group.</w:t>
            </w:r>
          </w:p>
        </w:tc>
        <w:tc>
          <w:tcPr>
            <w:tcW w:w="1701" w:type="dxa"/>
          </w:tcPr>
          <w:p>
            <w:pPr>
              <w:pStyle w:val="TableParagraph"/>
              <w:spacing w:before="1"/>
              <w:ind w:left="103" w:right="150"/>
              <w:rPr>
                <w:sz w:val="18"/>
              </w:rPr>
            </w:pPr>
            <w:r>
              <w:rPr>
                <w:sz w:val="18"/>
              </w:rPr>
              <w:t>service reviews; workforce data; exception reports from priority </w:t>
            </w:r>
            <w:r>
              <w:rPr>
                <w:spacing w:val="-2"/>
                <w:sz w:val="18"/>
              </w:rPr>
              <w:t>programmes; </w:t>
            </w:r>
            <w:r>
              <w:rPr>
                <w:sz w:val="18"/>
              </w:rPr>
              <w:t>clinical</w:t>
            </w:r>
            <w:r>
              <w:rPr>
                <w:spacing w:val="-13"/>
                <w:sz w:val="18"/>
              </w:rPr>
              <w:t> </w:t>
            </w:r>
            <w:r>
              <w:rPr>
                <w:sz w:val="18"/>
              </w:rPr>
              <w:t>standards; business case status reports;</w:t>
            </w:r>
          </w:p>
          <w:p>
            <w:pPr>
              <w:pStyle w:val="TableParagraph"/>
              <w:ind w:left="103" w:right="305"/>
              <w:rPr>
                <w:sz w:val="18"/>
              </w:rPr>
            </w:pPr>
            <w:r>
              <w:rPr>
                <w:sz w:val="18"/>
              </w:rPr>
              <w:t>Regional Drive and Delivery Group minutes and</w:t>
            </w:r>
            <w:r>
              <w:rPr>
                <w:spacing w:val="-15"/>
                <w:sz w:val="18"/>
              </w:rPr>
              <w:t> </w:t>
            </w:r>
            <w:r>
              <w:rPr>
                <w:sz w:val="18"/>
              </w:rPr>
              <w:t>action</w:t>
            </w:r>
            <w:r>
              <w:rPr>
                <w:spacing w:val="-12"/>
                <w:sz w:val="18"/>
              </w:rPr>
              <w:t> </w:t>
            </w:r>
            <w:r>
              <w:rPr>
                <w:sz w:val="18"/>
              </w:rPr>
              <w:t>logs.</w:t>
            </w:r>
          </w:p>
        </w:tc>
        <w:tc>
          <w:tcPr>
            <w:tcW w:w="1701" w:type="dxa"/>
          </w:tcPr>
          <w:p>
            <w:pPr>
              <w:pStyle w:val="TableParagraph"/>
              <w:spacing w:line="206" w:lineRule="exact" w:before="1"/>
              <w:ind w:left="103"/>
              <w:rPr>
                <w:sz w:val="18"/>
              </w:rPr>
            </w:pPr>
            <w:r>
              <w:rPr>
                <w:spacing w:val="-2"/>
                <w:sz w:val="18"/>
              </w:rPr>
              <w:t>capacity,</w:t>
            </w:r>
          </w:p>
          <w:p>
            <w:pPr>
              <w:pStyle w:val="TableParagraph"/>
              <w:ind w:left="103" w:right="345"/>
              <w:rPr>
                <w:sz w:val="18"/>
              </w:rPr>
            </w:pPr>
            <w:r>
              <w:rPr>
                <w:sz w:val="18"/>
              </w:rPr>
              <w:t>workforce and </w:t>
            </w:r>
            <w:r>
              <w:rPr>
                <w:spacing w:val="-2"/>
                <w:sz w:val="18"/>
              </w:rPr>
              <w:t>capital dependencies, </w:t>
            </w:r>
            <w:r>
              <w:rPr>
                <w:sz w:val="18"/>
              </w:rPr>
              <w:t>financial flows, </w:t>
            </w:r>
            <w:r>
              <w:rPr>
                <w:spacing w:val="-2"/>
                <w:sz w:val="18"/>
              </w:rPr>
              <w:t>cross-boundary pathways, programme</w:t>
            </w:r>
          </w:p>
          <w:p>
            <w:pPr>
              <w:pStyle w:val="TableParagraph"/>
              <w:spacing w:before="1"/>
              <w:ind w:left="103"/>
              <w:rPr>
                <w:sz w:val="18"/>
              </w:rPr>
            </w:pPr>
            <w:r>
              <w:rPr>
                <w:spacing w:val="-2"/>
                <w:sz w:val="18"/>
              </w:rPr>
              <w:t>management </w:t>
            </w:r>
            <w:r>
              <w:rPr>
                <w:sz w:val="18"/>
              </w:rPr>
              <w:t>support, and</w:t>
            </w:r>
          </w:p>
          <w:p>
            <w:pPr>
              <w:pStyle w:val="TableParagraph"/>
              <w:spacing w:before="1"/>
              <w:ind w:left="103"/>
              <w:rPr>
                <w:sz w:val="18"/>
              </w:rPr>
            </w:pPr>
            <w:r>
              <w:rPr>
                <w:sz w:val="18"/>
              </w:rPr>
              <w:t>whether</w:t>
            </w:r>
            <w:r>
              <w:rPr>
                <w:spacing w:val="-15"/>
                <w:sz w:val="18"/>
              </w:rPr>
              <w:t> </w:t>
            </w:r>
            <w:r>
              <w:rPr>
                <w:sz w:val="18"/>
              </w:rPr>
              <w:t>plans</w:t>
            </w:r>
            <w:r>
              <w:rPr>
                <w:spacing w:val="-12"/>
                <w:sz w:val="18"/>
              </w:rPr>
              <w:t> </w:t>
            </w:r>
            <w:r>
              <w:rPr>
                <w:sz w:val="18"/>
              </w:rPr>
              <w:t>are reducing</w:t>
            </w:r>
            <w:r>
              <w:rPr>
                <w:spacing w:val="-13"/>
                <w:sz w:val="18"/>
              </w:rPr>
              <w:t> </w:t>
            </w:r>
            <w:r>
              <w:rPr>
                <w:sz w:val="18"/>
              </w:rPr>
              <w:t>variation and improving </w:t>
            </w:r>
            <w:r>
              <w:rPr>
                <w:spacing w:val="-2"/>
                <w:sz w:val="18"/>
              </w:rPr>
              <w:t>outcomes.</w:t>
            </w:r>
          </w:p>
        </w:tc>
        <w:tc>
          <w:tcPr>
            <w:tcW w:w="1846" w:type="dxa"/>
          </w:tcPr>
          <w:p>
            <w:pPr>
              <w:pStyle w:val="TableParagraph"/>
              <w:spacing w:before="1"/>
              <w:ind w:left="107" w:right="646"/>
              <w:jc w:val="both"/>
              <w:rPr>
                <w:sz w:val="18"/>
              </w:rPr>
            </w:pPr>
            <w:r>
              <w:rPr>
                <w:sz w:val="18"/>
              </w:rPr>
              <w:t>and capacity modelling for </w:t>
            </w:r>
            <w:r>
              <w:rPr>
                <w:spacing w:val="-2"/>
                <w:sz w:val="18"/>
              </w:rPr>
              <w:t>orthopaedics;</w:t>
            </w:r>
          </w:p>
          <w:p>
            <w:pPr>
              <w:pStyle w:val="TableParagraph"/>
              <w:ind w:left="107" w:right="100"/>
              <w:rPr>
                <w:sz w:val="18"/>
              </w:rPr>
            </w:pPr>
            <w:r>
              <w:rPr>
                <w:sz w:val="18"/>
              </w:rPr>
              <w:t>strengthen</w:t>
            </w:r>
            <w:r>
              <w:rPr>
                <w:spacing w:val="-13"/>
                <w:sz w:val="18"/>
              </w:rPr>
              <w:t> </w:t>
            </w:r>
            <w:r>
              <w:rPr>
                <w:sz w:val="18"/>
              </w:rPr>
              <w:t>oncology and cancer</w:t>
            </w:r>
          </w:p>
          <w:p>
            <w:pPr>
              <w:pStyle w:val="TableParagraph"/>
              <w:spacing w:before="1"/>
              <w:ind w:left="107" w:right="181"/>
              <w:rPr>
                <w:sz w:val="18"/>
              </w:rPr>
            </w:pPr>
            <w:r>
              <w:rPr>
                <w:sz w:val="18"/>
              </w:rPr>
              <w:t>roadmap</w:t>
            </w:r>
            <w:r>
              <w:rPr>
                <w:spacing w:val="-13"/>
                <w:sz w:val="18"/>
              </w:rPr>
              <w:t> </w:t>
            </w:r>
            <w:r>
              <w:rPr>
                <w:sz w:val="18"/>
              </w:rPr>
              <w:t>alignment with the National</w:t>
            </w:r>
          </w:p>
          <w:p>
            <w:pPr>
              <w:pStyle w:val="TableParagraph"/>
              <w:ind w:left="107" w:right="101"/>
              <w:rPr>
                <w:sz w:val="18"/>
              </w:rPr>
            </w:pPr>
            <w:r>
              <w:rPr>
                <w:sz w:val="18"/>
              </w:rPr>
              <w:t>Cancer</w:t>
            </w:r>
            <w:r>
              <w:rPr>
                <w:spacing w:val="-13"/>
                <w:sz w:val="18"/>
              </w:rPr>
              <w:t> </w:t>
            </w:r>
            <w:r>
              <w:rPr>
                <w:sz w:val="18"/>
              </w:rPr>
              <w:t>Programme; clarify stroke and </w:t>
            </w:r>
            <w:r>
              <w:rPr>
                <w:spacing w:val="-2"/>
                <w:sz w:val="18"/>
              </w:rPr>
              <w:t>ophthalmology delivery </w:t>
            </w:r>
            <w:r>
              <w:rPr>
                <w:sz w:val="18"/>
              </w:rPr>
              <w:t>assumptions; align workforce, capital, digital and </w:t>
            </w:r>
            <w:r>
              <w:rPr>
                <w:spacing w:val="-2"/>
                <w:sz w:val="18"/>
              </w:rPr>
              <w:t>contracting dependencies.</w:t>
            </w:r>
          </w:p>
        </w:tc>
        <w:tc>
          <w:tcPr>
            <w:tcW w:w="991" w:type="dxa"/>
          </w:tcPr>
          <w:p>
            <w:pPr>
              <w:pStyle w:val="TableParagraph"/>
              <w:rPr>
                <w:rFonts w:ascii="Times New Roman"/>
                <w:sz w:val="18"/>
              </w:rPr>
            </w:pPr>
          </w:p>
        </w:tc>
        <w:tc>
          <w:tcPr>
            <w:tcW w:w="991" w:type="dxa"/>
          </w:tcPr>
          <w:p>
            <w:pPr>
              <w:pStyle w:val="TableParagraph"/>
              <w:rPr>
                <w:rFonts w:ascii="Times New Roman"/>
                <w:sz w:val="18"/>
              </w:rPr>
            </w:pPr>
          </w:p>
        </w:tc>
        <w:tc>
          <w:tcPr>
            <w:tcW w:w="995" w:type="dxa"/>
          </w:tcPr>
          <w:p>
            <w:pPr>
              <w:pStyle w:val="TableParagraph"/>
              <w:rPr>
                <w:rFonts w:ascii="Times New Roman"/>
                <w:sz w:val="18"/>
              </w:rPr>
            </w:pPr>
          </w:p>
        </w:tc>
        <w:tc>
          <w:tcPr>
            <w:tcW w:w="850" w:type="dxa"/>
          </w:tcPr>
          <w:p>
            <w:pPr>
              <w:pStyle w:val="TableParagraph"/>
              <w:rPr>
                <w:rFonts w:ascii="Times New Roman"/>
                <w:sz w:val="18"/>
              </w:rPr>
            </w:pPr>
          </w:p>
        </w:tc>
      </w:tr>
    </w:tbl>
    <w:p>
      <w:pPr>
        <w:pStyle w:val="BodyText"/>
        <w:rPr>
          <w:rFonts w:ascii="Calibri"/>
          <w:sz w:val="22"/>
        </w:rPr>
      </w:pPr>
    </w:p>
    <w:p>
      <w:pPr>
        <w:pStyle w:val="BodyText"/>
        <w:spacing w:before="14"/>
        <w:rPr>
          <w:rFonts w:ascii="Calibri"/>
          <w:sz w:val="22"/>
        </w:rPr>
      </w:pPr>
    </w:p>
    <w:p>
      <w:pPr>
        <w:spacing w:before="0"/>
        <w:ind w:left="11" w:right="994" w:firstLine="0"/>
        <w:jc w:val="center"/>
        <w:rPr>
          <w:rFonts w:ascii="Calibri"/>
          <w:sz w:val="22"/>
        </w:rPr>
      </w:pPr>
      <w:r>
        <w:rPr>
          <w:rFonts w:ascii="Calibri"/>
          <w:spacing w:val="-10"/>
          <w:sz w:val="22"/>
        </w:rPr>
        <w:t>5</w:t>
      </w:r>
    </w:p>
    <w:p>
      <w:pPr>
        <w:spacing w:after="0"/>
        <w:jc w:val="center"/>
        <w:rPr>
          <w:rFonts w:ascii="Calibri"/>
          <w:sz w:val="22"/>
        </w:rPr>
        <w:sectPr>
          <w:pgSz w:w="16840" w:h="11910" w:orient="landscape"/>
          <w:pgMar w:header="0" w:footer="198" w:top="1340" w:bottom="380" w:left="1417" w:right="425"/>
        </w:sectPr>
      </w:pPr>
    </w:p>
    <w:p>
      <w:pPr>
        <w:pStyle w:val="BodyText"/>
        <w:spacing w:before="10"/>
        <w:rPr>
          <w:rFonts w:ascii="Calibri"/>
          <w:sz w:val="7"/>
        </w:rPr>
      </w:pPr>
    </w:p>
    <w:tbl>
      <w:tblPr>
        <w:tblW w:w="0" w:type="auto"/>
        <w:jc w:val="left"/>
        <w:tblInd w:w="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0" w:type="dxa"/>
          <w:left w:w="0" w:type="dxa"/>
          <w:bottom w:w="0" w:type="dxa"/>
          <w:right w:w="0" w:type="dxa"/>
        </w:tblCellMar>
        <w:tblLook w:val="01E0"/>
      </w:tblPr>
      <w:tblGrid>
        <w:gridCol w:w="670"/>
        <w:gridCol w:w="1316"/>
        <w:gridCol w:w="2121"/>
        <w:gridCol w:w="1706"/>
        <w:gridCol w:w="1701"/>
        <w:gridCol w:w="1701"/>
        <w:gridCol w:w="1846"/>
        <w:gridCol w:w="991"/>
        <w:gridCol w:w="991"/>
        <w:gridCol w:w="995"/>
        <w:gridCol w:w="850"/>
      </w:tblGrid>
      <w:tr>
        <w:trPr>
          <w:trHeight w:val="985" w:hRule="atLeast"/>
        </w:trPr>
        <w:tc>
          <w:tcPr>
            <w:tcW w:w="670" w:type="dxa"/>
            <w:shd w:val="clear" w:color="auto" w:fill="D9E1F3"/>
          </w:tcPr>
          <w:p>
            <w:pPr>
              <w:pStyle w:val="TableParagraph"/>
              <w:spacing w:before="171"/>
              <w:rPr>
                <w:rFonts w:ascii="Calibri"/>
                <w:sz w:val="18"/>
              </w:rPr>
            </w:pPr>
          </w:p>
          <w:p>
            <w:pPr>
              <w:pStyle w:val="TableParagraph"/>
              <w:spacing w:before="1"/>
              <w:ind w:right="147"/>
              <w:jc w:val="center"/>
              <w:rPr>
                <w:b/>
                <w:sz w:val="18"/>
              </w:rPr>
            </w:pPr>
            <w:r>
              <w:rPr>
                <w:b/>
                <w:spacing w:val="-5"/>
                <w:sz w:val="18"/>
              </w:rPr>
              <w:t>Ref</w:t>
            </w:r>
          </w:p>
        </w:tc>
        <w:tc>
          <w:tcPr>
            <w:tcW w:w="1316" w:type="dxa"/>
            <w:shd w:val="clear" w:color="auto" w:fill="D9E1F3"/>
          </w:tcPr>
          <w:p>
            <w:pPr>
              <w:pStyle w:val="TableParagraph"/>
              <w:spacing w:before="66"/>
              <w:rPr>
                <w:rFonts w:ascii="Calibri"/>
                <w:sz w:val="18"/>
              </w:rPr>
            </w:pPr>
          </w:p>
          <w:p>
            <w:pPr>
              <w:pStyle w:val="TableParagraph"/>
              <w:spacing w:before="1"/>
              <w:ind w:left="104"/>
              <w:rPr>
                <w:b/>
                <w:sz w:val="18"/>
              </w:rPr>
            </w:pPr>
            <w:r>
              <w:rPr>
                <w:b/>
                <w:spacing w:val="-2"/>
                <w:sz w:val="18"/>
              </w:rPr>
              <w:t>Strategic objective</w:t>
            </w:r>
          </w:p>
        </w:tc>
        <w:tc>
          <w:tcPr>
            <w:tcW w:w="2121" w:type="dxa"/>
            <w:shd w:val="clear" w:color="auto" w:fill="D9E1F3"/>
          </w:tcPr>
          <w:p>
            <w:pPr>
              <w:pStyle w:val="TableParagraph"/>
              <w:spacing w:before="171"/>
              <w:rPr>
                <w:rFonts w:ascii="Calibri"/>
                <w:sz w:val="18"/>
              </w:rPr>
            </w:pPr>
          </w:p>
          <w:p>
            <w:pPr>
              <w:pStyle w:val="TableParagraph"/>
              <w:spacing w:before="1"/>
              <w:ind w:left="104"/>
              <w:rPr>
                <w:b/>
                <w:sz w:val="18"/>
              </w:rPr>
            </w:pPr>
            <w:r>
              <w:rPr>
                <w:b/>
                <w:sz w:val="18"/>
              </w:rPr>
              <w:t>Strategic</w:t>
            </w:r>
            <w:r>
              <w:rPr>
                <w:b/>
                <w:spacing w:val="-5"/>
                <w:sz w:val="18"/>
              </w:rPr>
              <w:t> </w:t>
            </w:r>
            <w:r>
              <w:rPr>
                <w:b/>
                <w:spacing w:val="-4"/>
                <w:sz w:val="18"/>
              </w:rPr>
              <w:t>risk</w:t>
            </w:r>
          </w:p>
        </w:tc>
        <w:tc>
          <w:tcPr>
            <w:tcW w:w="1706" w:type="dxa"/>
            <w:shd w:val="clear" w:color="auto" w:fill="D9E1F3"/>
          </w:tcPr>
          <w:p>
            <w:pPr>
              <w:pStyle w:val="TableParagraph"/>
              <w:spacing w:before="66"/>
              <w:rPr>
                <w:rFonts w:ascii="Calibri"/>
                <w:sz w:val="18"/>
              </w:rPr>
            </w:pPr>
          </w:p>
          <w:p>
            <w:pPr>
              <w:pStyle w:val="TableParagraph"/>
              <w:spacing w:before="1"/>
              <w:ind w:left="109"/>
              <w:rPr>
                <w:b/>
                <w:sz w:val="18"/>
              </w:rPr>
            </w:pPr>
            <w:r>
              <w:rPr>
                <w:b/>
                <w:sz w:val="18"/>
              </w:rPr>
              <w:t>Key</w:t>
            </w:r>
            <w:r>
              <w:rPr>
                <w:b/>
                <w:spacing w:val="-15"/>
                <w:sz w:val="18"/>
              </w:rPr>
              <w:t> </w:t>
            </w:r>
            <w:r>
              <w:rPr>
                <w:b/>
                <w:sz w:val="18"/>
              </w:rPr>
              <w:t>controls</w:t>
            </w:r>
            <w:r>
              <w:rPr>
                <w:b/>
                <w:spacing w:val="-12"/>
                <w:sz w:val="18"/>
              </w:rPr>
              <w:t> </w:t>
            </w:r>
            <w:r>
              <w:rPr>
                <w:b/>
                <w:sz w:val="18"/>
              </w:rPr>
              <w:t>in </w:t>
            </w:r>
            <w:r>
              <w:rPr>
                <w:b/>
                <w:spacing w:val="-2"/>
                <w:sz w:val="18"/>
              </w:rPr>
              <w:t>place</w:t>
            </w:r>
          </w:p>
        </w:tc>
        <w:tc>
          <w:tcPr>
            <w:tcW w:w="1701" w:type="dxa"/>
            <w:shd w:val="clear" w:color="auto" w:fill="D9E1F3"/>
          </w:tcPr>
          <w:p>
            <w:pPr>
              <w:pStyle w:val="TableParagraph"/>
              <w:spacing w:before="66"/>
              <w:rPr>
                <w:rFonts w:ascii="Calibri"/>
                <w:sz w:val="18"/>
              </w:rPr>
            </w:pPr>
          </w:p>
          <w:p>
            <w:pPr>
              <w:pStyle w:val="TableParagraph"/>
              <w:spacing w:before="1"/>
              <w:ind w:left="103" w:right="650"/>
              <w:rPr>
                <w:b/>
                <w:sz w:val="18"/>
              </w:rPr>
            </w:pPr>
            <w:r>
              <w:rPr>
                <w:b/>
                <w:sz w:val="18"/>
              </w:rPr>
              <w:t>Sources</w:t>
            </w:r>
            <w:r>
              <w:rPr>
                <w:b/>
                <w:spacing w:val="-13"/>
                <w:sz w:val="18"/>
              </w:rPr>
              <w:t> </w:t>
            </w:r>
            <w:r>
              <w:rPr>
                <w:b/>
                <w:sz w:val="18"/>
              </w:rPr>
              <w:t>of </w:t>
            </w:r>
            <w:r>
              <w:rPr>
                <w:b/>
                <w:spacing w:val="-2"/>
                <w:sz w:val="18"/>
              </w:rPr>
              <w:t>assurance</w:t>
            </w:r>
          </w:p>
        </w:tc>
        <w:tc>
          <w:tcPr>
            <w:tcW w:w="1701" w:type="dxa"/>
            <w:shd w:val="clear" w:color="auto" w:fill="D9E1F3"/>
          </w:tcPr>
          <w:p>
            <w:pPr>
              <w:pStyle w:val="TableParagraph"/>
              <w:spacing w:before="171"/>
              <w:rPr>
                <w:rFonts w:ascii="Calibri"/>
                <w:sz w:val="18"/>
              </w:rPr>
            </w:pPr>
          </w:p>
          <w:p>
            <w:pPr>
              <w:pStyle w:val="TableParagraph"/>
              <w:spacing w:before="1"/>
              <w:ind w:left="103"/>
              <w:rPr>
                <w:b/>
                <w:sz w:val="18"/>
              </w:rPr>
            </w:pPr>
            <w:r>
              <w:rPr>
                <w:b/>
                <w:sz w:val="18"/>
              </w:rPr>
              <w:t>Assurance</w:t>
            </w:r>
            <w:r>
              <w:rPr>
                <w:b/>
                <w:spacing w:val="-1"/>
                <w:sz w:val="18"/>
              </w:rPr>
              <w:t> </w:t>
            </w:r>
            <w:r>
              <w:rPr>
                <w:b/>
                <w:spacing w:val="-4"/>
                <w:sz w:val="18"/>
              </w:rPr>
              <w:t>gaps</w:t>
            </w:r>
          </w:p>
        </w:tc>
        <w:tc>
          <w:tcPr>
            <w:tcW w:w="1846" w:type="dxa"/>
            <w:shd w:val="clear" w:color="auto" w:fill="D9E1F3"/>
          </w:tcPr>
          <w:p>
            <w:pPr>
              <w:pStyle w:val="TableParagraph"/>
              <w:spacing w:before="66"/>
              <w:rPr>
                <w:rFonts w:ascii="Calibri"/>
                <w:sz w:val="18"/>
              </w:rPr>
            </w:pPr>
          </w:p>
          <w:p>
            <w:pPr>
              <w:pStyle w:val="TableParagraph"/>
              <w:spacing w:before="1"/>
              <w:ind w:left="107" w:right="411"/>
              <w:rPr>
                <w:b/>
                <w:sz w:val="18"/>
              </w:rPr>
            </w:pPr>
            <w:r>
              <w:rPr>
                <w:b/>
                <w:sz w:val="18"/>
              </w:rPr>
              <w:t>Further</w:t>
            </w:r>
            <w:r>
              <w:rPr>
                <w:b/>
                <w:spacing w:val="-13"/>
                <w:sz w:val="18"/>
              </w:rPr>
              <w:t> </w:t>
            </w:r>
            <w:r>
              <w:rPr>
                <w:b/>
                <w:sz w:val="18"/>
              </w:rPr>
              <w:t>actions </w:t>
            </w:r>
            <w:r>
              <w:rPr>
                <w:b/>
                <w:spacing w:val="-2"/>
                <w:sz w:val="18"/>
              </w:rPr>
              <w:t>required</w:t>
            </w:r>
          </w:p>
        </w:tc>
        <w:tc>
          <w:tcPr>
            <w:tcW w:w="991" w:type="dxa"/>
            <w:shd w:val="clear" w:color="auto" w:fill="D9E1F3"/>
          </w:tcPr>
          <w:p>
            <w:pPr>
              <w:pStyle w:val="TableParagraph"/>
              <w:spacing w:before="181"/>
              <w:ind w:left="102" w:right="308"/>
              <w:rPr>
                <w:b/>
                <w:sz w:val="18"/>
              </w:rPr>
            </w:pPr>
            <w:r>
              <w:rPr>
                <w:b/>
                <w:spacing w:val="-4"/>
                <w:sz w:val="18"/>
              </w:rPr>
              <w:t>Exec Risk </w:t>
            </w:r>
            <w:r>
              <w:rPr>
                <w:b/>
                <w:spacing w:val="-2"/>
                <w:sz w:val="18"/>
              </w:rPr>
              <w:t>Owner</w:t>
            </w:r>
          </w:p>
        </w:tc>
        <w:tc>
          <w:tcPr>
            <w:tcW w:w="991" w:type="dxa"/>
            <w:shd w:val="clear" w:color="auto" w:fill="D9E1F3"/>
          </w:tcPr>
          <w:p>
            <w:pPr>
              <w:pStyle w:val="TableParagraph"/>
              <w:spacing w:before="181"/>
              <w:ind w:left="106" w:right="179"/>
              <w:rPr>
                <w:b/>
                <w:sz w:val="18"/>
              </w:rPr>
            </w:pPr>
            <w:r>
              <w:rPr>
                <w:b/>
                <w:spacing w:val="-4"/>
                <w:sz w:val="18"/>
              </w:rPr>
              <w:t>Mgt </w:t>
            </w:r>
            <w:r>
              <w:rPr>
                <w:b/>
                <w:spacing w:val="-2"/>
                <w:sz w:val="18"/>
              </w:rPr>
              <w:t>Support </w:t>
            </w:r>
            <w:r>
              <w:rPr>
                <w:b/>
                <w:spacing w:val="-4"/>
                <w:sz w:val="18"/>
              </w:rPr>
              <w:t>Lead</w:t>
            </w:r>
          </w:p>
        </w:tc>
        <w:tc>
          <w:tcPr>
            <w:tcW w:w="995" w:type="dxa"/>
            <w:shd w:val="clear" w:color="auto" w:fill="D9E1F3"/>
          </w:tcPr>
          <w:p>
            <w:pPr>
              <w:pStyle w:val="TableParagraph"/>
              <w:spacing w:before="181"/>
              <w:ind w:left="106" w:right="222"/>
              <w:rPr>
                <w:b/>
                <w:sz w:val="18"/>
              </w:rPr>
            </w:pPr>
            <w:r>
              <w:rPr>
                <w:b/>
                <w:spacing w:val="-2"/>
                <w:sz w:val="18"/>
              </w:rPr>
              <w:t>Current </w:t>
            </w:r>
            <w:r>
              <w:rPr>
                <w:b/>
                <w:spacing w:val="-4"/>
                <w:sz w:val="18"/>
              </w:rPr>
              <w:t>risk </w:t>
            </w:r>
            <w:r>
              <w:rPr>
                <w:b/>
                <w:spacing w:val="-2"/>
                <w:sz w:val="18"/>
              </w:rPr>
              <w:t>score</w:t>
            </w:r>
          </w:p>
        </w:tc>
        <w:tc>
          <w:tcPr>
            <w:tcW w:w="850" w:type="dxa"/>
            <w:shd w:val="clear" w:color="auto" w:fill="D9E1F3"/>
          </w:tcPr>
          <w:p>
            <w:pPr>
              <w:pStyle w:val="TableParagraph"/>
              <w:spacing w:before="181"/>
              <w:ind w:left="105" w:right="188"/>
              <w:rPr>
                <w:b/>
                <w:sz w:val="18"/>
              </w:rPr>
            </w:pPr>
            <w:r>
              <w:rPr>
                <w:b/>
                <w:spacing w:val="-4"/>
                <w:sz w:val="18"/>
              </w:rPr>
              <w:t>Target risk </w:t>
            </w:r>
            <w:r>
              <w:rPr>
                <w:b/>
                <w:spacing w:val="-2"/>
                <w:sz w:val="18"/>
              </w:rPr>
              <w:t>score</w:t>
            </w:r>
          </w:p>
        </w:tc>
      </w:tr>
      <w:tr>
        <w:trPr>
          <w:trHeight w:val="410" w:hRule="atLeast"/>
        </w:trPr>
        <w:tc>
          <w:tcPr>
            <w:tcW w:w="670" w:type="dxa"/>
          </w:tcPr>
          <w:p>
            <w:pPr>
              <w:pStyle w:val="TableParagraph"/>
              <w:rPr>
                <w:rFonts w:ascii="Times New Roman"/>
                <w:sz w:val="16"/>
              </w:rPr>
            </w:pPr>
          </w:p>
        </w:tc>
        <w:tc>
          <w:tcPr>
            <w:tcW w:w="1316" w:type="dxa"/>
          </w:tcPr>
          <w:p>
            <w:pPr>
              <w:pStyle w:val="TableParagraph"/>
              <w:rPr>
                <w:rFonts w:ascii="Times New Roman"/>
                <w:sz w:val="16"/>
              </w:rPr>
            </w:pPr>
          </w:p>
        </w:tc>
        <w:tc>
          <w:tcPr>
            <w:tcW w:w="2121" w:type="dxa"/>
          </w:tcPr>
          <w:p>
            <w:pPr>
              <w:pStyle w:val="TableParagraph"/>
              <w:spacing w:line="206" w:lineRule="exact"/>
              <w:ind w:left="104" w:right="628"/>
              <w:rPr>
                <w:sz w:val="18"/>
              </w:rPr>
            </w:pPr>
            <w:r>
              <w:rPr>
                <w:sz w:val="18"/>
              </w:rPr>
              <w:t>population</w:t>
            </w:r>
            <w:r>
              <w:rPr>
                <w:spacing w:val="-13"/>
                <w:sz w:val="18"/>
              </w:rPr>
              <w:t> </w:t>
            </w:r>
            <w:r>
              <w:rPr>
                <w:sz w:val="18"/>
              </w:rPr>
              <w:t>health </w:t>
            </w:r>
            <w:r>
              <w:rPr>
                <w:spacing w:val="-2"/>
                <w:sz w:val="18"/>
              </w:rPr>
              <w:t>needs.</w:t>
            </w:r>
          </w:p>
        </w:tc>
        <w:tc>
          <w:tcPr>
            <w:tcW w:w="1706" w:type="dxa"/>
          </w:tcPr>
          <w:p>
            <w:pPr>
              <w:pStyle w:val="TableParagraph"/>
              <w:rPr>
                <w:rFonts w:ascii="Times New Roman"/>
                <w:sz w:val="16"/>
              </w:rPr>
            </w:pPr>
          </w:p>
        </w:tc>
        <w:tc>
          <w:tcPr>
            <w:tcW w:w="1701" w:type="dxa"/>
          </w:tcPr>
          <w:p>
            <w:pPr>
              <w:pStyle w:val="TableParagraph"/>
              <w:rPr>
                <w:rFonts w:ascii="Times New Roman"/>
                <w:sz w:val="16"/>
              </w:rPr>
            </w:pPr>
          </w:p>
        </w:tc>
        <w:tc>
          <w:tcPr>
            <w:tcW w:w="1701" w:type="dxa"/>
          </w:tcPr>
          <w:p>
            <w:pPr>
              <w:pStyle w:val="TableParagraph"/>
              <w:rPr>
                <w:rFonts w:ascii="Times New Roman"/>
                <w:sz w:val="16"/>
              </w:rPr>
            </w:pPr>
          </w:p>
        </w:tc>
        <w:tc>
          <w:tcPr>
            <w:tcW w:w="1846" w:type="dxa"/>
          </w:tcPr>
          <w:p>
            <w:pPr>
              <w:pStyle w:val="TableParagraph"/>
              <w:rPr>
                <w:rFonts w:ascii="Times New Roman"/>
                <w:sz w:val="16"/>
              </w:rPr>
            </w:pPr>
          </w:p>
        </w:tc>
        <w:tc>
          <w:tcPr>
            <w:tcW w:w="991" w:type="dxa"/>
          </w:tcPr>
          <w:p>
            <w:pPr>
              <w:pStyle w:val="TableParagraph"/>
              <w:rPr>
                <w:rFonts w:ascii="Times New Roman"/>
                <w:sz w:val="16"/>
              </w:rPr>
            </w:pPr>
          </w:p>
        </w:tc>
        <w:tc>
          <w:tcPr>
            <w:tcW w:w="991" w:type="dxa"/>
          </w:tcPr>
          <w:p>
            <w:pPr>
              <w:pStyle w:val="TableParagraph"/>
              <w:rPr>
                <w:rFonts w:ascii="Times New Roman"/>
                <w:sz w:val="16"/>
              </w:rPr>
            </w:pPr>
          </w:p>
        </w:tc>
        <w:tc>
          <w:tcPr>
            <w:tcW w:w="995" w:type="dxa"/>
          </w:tcPr>
          <w:p>
            <w:pPr>
              <w:pStyle w:val="TableParagraph"/>
              <w:rPr>
                <w:rFonts w:ascii="Times New Roman"/>
                <w:sz w:val="16"/>
              </w:rPr>
            </w:pPr>
          </w:p>
        </w:tc>
        <w:tc>
          <w:tcPr>
            <w:tcW w:w="850" w:type="dxa"/>
          </w:tcPr>
          <w:p>
            <w:pPr>
              <w:pStyle w:val="TableParagraph"/>
              <w:rPr>
                <w:rFonts w:ascii="Times New Roman"/>
                <w:sz w:val="16"/>
              </w:rPr>
            </w:pPr>
          </w:p>
        </w:tc>
      </w:tr>
      <w:tr>
        <w:trPr>
          <w:trHeight w:val="7456" w:hRule="atLeast"/>
        </w:trPr>
        <w:tc>
          <w:tcPr>
            <w:tcW w:w="670" w:type="dxa"/>
          </w:tcPr>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spacing w:before="119"/>
              <w:rPr>
                <w:rFonts w:ascii="Calibri"/>
                <w:sz w:val="16"/>
              </w:rPr>
            </w:pPr>
          </w:p>
          <w:p>
            <w:pPr>
              <w:pStyle w:val="TableParagraph"/>
              <w:ind w:right="39"/>
              <w:jc w:val="center"/>
              <w:rPr>
                <w:sz w:val="16"/>
              </w:rPr>
            </w:pPr>
            <w:r>
              <w:rPr>
                <w:spacing w:val="-4"/>
                <w:sz w:val="16"/>
              </w:rPr>
              <w:t>SR03</w:t>
            </w:r>
          </w:p>
        </w:tc>
        <w:tc>
          <w:tcPr>
            <w:tcW w:w="131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44"/>
              <w:rPr>
                <w:rFonts w:ascii="Calibri"/>
                <w:sz w:val="18"/>
              </w:rPr>
            </w:pPr>
          </w:p>
          <w:p>
            <w:pPr>
              <w:pStyle w:val="TableParagraph"/>
              <w:ind w:left="104"/>
              <w:rPr>
                <w:sz w:val="18"/>
              </w:rPr>
            </w:pPr>
            <w:r>
              <w:rPr>
                <w:spacing w:val="-2"/>
                <w:sz w:val="18"/>
              </w:rPr>
              <w:t>Ensure corporate enablers support</w:t>
            </w:r>
          </w:p>
          <w:p>
            <w:pPr>
              <w:pStyle w:val="TableParagraph"/>
              <w:spacing w:before="2"/>
              <w:ind w:left="104" w:right="374"/>
              <w:rPr>
                <w:sz w:val="18"/>
              </w:rPr>
            </w:pPr>
            <w:r>
              <w:rPr>
                <w:spacing w:val="-2"/>
                <w:sz w:val="18"/>
              </w:rPr>
              <w:t>regional </w:t>
            </w:r>
            <w:r>
              <w:rPr>
                <w:sz w:val="18"/>
              </w:rPr>
              <w:t>delivery</w:t>
            </w:r>
            <w:r>
              <w:rPr>
                <w:spacing w:val="-13"/>
                <w:sz w:val="18"/>
              </w:rPr>
              <w:t> </w:t>
            </w:r>
            <w:r>
              <w:rPr>
                <w:sz w:val="18"/>
              </w:rPr>
              <w:t>at pace and </w:t>
            </w:r>
            <w:r>
              <w:rPr>
                <w:spacing w:val="-2"/>
                <w:sz w:val="18"/>
              </w:rPr>
              <w:t>scale.</w:t>
            </w:r>
          </w:p>
        </w:tc>
        <w:tc>
          <w:tcPr>
            <w:tcW w:w="2121" w:type="dxa"/>
          </w:tcPr>
          <w:p>
            <w:pPr>
              <w:pStyle w:val="TableParagraph"/>
              <w:spacing w:line="242" w:lineRule="auto"/>
              <w:ind w:left="104"/>
              <w:rPr>
                <w:sz w:val="18"/>
              </w:rPr>
            </w:pPr>
            <w:r>
              <w:rPr>
                <w:sz w:val="18"/>
              </w:rPr>
              <w:t>There</w:t>
            </w:r>
            <w:r>
              <w:rPr>
                <w:spacing w:val="-8"/>
                <w:sz w:val="18"/>
              </w:rPr>
              <w:t> </w:t>
            </w:r>
            <w:r>
              <w:rPr>
                <w:sz w:val="18"/>
              </w:rPr>
              <w:t>is</w:t>
            </w:r>
            <w:r>
              <w:rPr>
                <w:spacing w:val="-8"/>
                <w:sz w:val="18"/>
              </w:rPr>
              <w:t> </w:t>
            </w:r>
            <w:r>
              <w:rPr>
                <w:sz w:val="18"/>
              </w:rPr>
              <w:t>a</w:t>
            </w:r>
            <w:r>
              <w:rPr>
                <w:spacing w:val="-8"/>
                <w:sz w:val="18"/>
              </w:rPr>
              <w:t> </w:t>
            </w:r>
            <w:r>
              <w:rPr>
                <w:sz w:val="18"/>
              </w:rPr>
              <w:t>risk</w:t>
            </w:r>
            <w:r>
              <w:rPr>
                <w:spacing w:val="-9"/>
                <w:sz w:val="18"/>
              </w:rPr>
              <w:t> </w:t>
            </w:r>
            <w:r>
              <w:rPr>
                <w:sz w:val="18"/>
              </w:rPr>
              <w:t>that</w:t>
            </w:r>
            <w:r>
              <w:rPr>
                <w:spacing w:val="-8"/>
                <w:sz w:val="18"/>
              </w:rPr>
              <w:t> </w:t>
            </w:r>
            <w:r>
              <w:rPr>
                <w:sz w:val="18"/>
              </w:rPr>
              <w:t>the Regional Joint</w:t>
            </w:r>
          </w:p>
          <w:p>
            <w:pPr>
              <w:pStyle w:val="TableParagraph"/>
              <w:ind w:left="104"/>
              <w:rPr>
                <w:sz w:val="18"/>
              </w:rPr>
            </w:pPr>
            <w:r>
              <w:rPr>
                <w:sz w:val="18"/>
              </w:rPr>
              <w:t>Committee</w:t>
            </w:r>
            <w:r>
              <w:rPr>
                <w:spacing w:val="-13"/>
                <w:sz w:val="18"/>
              </w:rPr>
              <w:t> </w:t>
            </w:r>
            <w:r>
              <w:rPr>
                <w:sz w:val="18"/>
              </w:rPr>
              <w:t>is</w:t>
            </w:r>
            <w:r>
              <w:rPr>
                <w:spacing w:val="-12"/>
                <w:sz w:val="18"/>
              </w:rPr>
              <w:t> </w:t>
            </w:r>
            <w:r>
              <w:rPr>
                <w:sz w:val="18"/>
              </w:rPr>
              <w:t>unable</w:t>
            </w:r>
            <w:r>
              <w:rPr>
                <w:spacing w:val="-13"/>
                <w:sz w:val="18"/>
              </w:rPr>
              <w:t> </w:t>
            </w:r>
            <w:r>
              <w:rPr>
                <w:sz w:val="18"/>
              </w:rPr>
              <w:t>to deliver its strategic ambitions for regional</w:t>
            </w:r>
          </w:p>
          <w:p>
            <w:pPr>
              <w:pStyle w:val="TableParagraph"/>
              <w:ind w:left="104" w:right="218"/>
              <w:rPr>
                <w:sz w:val="18"/>
              </w:rPr>
            </w:pPr>
            <w:r>
              <w:rPr>
                <w:sz w:val="18"/>
              </w:rPr>
              <w:t>integration, service transformation and system sustainability. This is caused by the enabling</w:t>
            </w:r>
            <w:r>
              <w:rPr>
                <w:spacing w:val="-13"/>
                <w:sz w:val="18"/>
              </w:rPr>
              <w:t> </w:t>
            </w:r>
            <w:r>
              <w:rPr>
                <w:sz w:val="18"/>
              </w:rPr>
              <w:t>infrastructure required to support</w:t>
            </w:r>
          </w:p>
          <w:p>
            <w:pPr>
              <w:pStyle w:val="TableParagraph"/>
              <w:spacing w:line="206" w:lineRule="exact"/>
              <w:ind w:left="104"/>
              <w:rPr>
                <w:sz w:val="18"/>
              </w:rPr>
            </w:pPr>
            <w:r>
              <w:rPr>
                <w:sz w:val="18"/>
              </w:rPr>
              <w:t>regional</w:t>
            </w:r>
            <w:r>
              <w:rPr>
                <w:spacing w:val="-1"/>
                <w:sz w:val="18"/>
              </w:rPr>
              <w:t> </w:t>
            </w:r>
            <w:r>
              <w:rPr>
                <w:spacing w:val="-2"/>
                <w:sz w:val="18"/>
              </w:rPr>
              <w:t>delivery,</w:t>
            </w:r>
          </w:p>
          <w:p>
            <w:pPr>
              <w:pStyle w:val="TableParagraph"/>
              <w:ind w:left="104" w:right="208"/>
              <w:rPr>
                <w:sz w:val="18"/>
              </w:rPr>
            </w:pPr>
            <w:r>
              <w:rPr>
                <w:sz w:val="18"/>
              </w:rPr>
              <w:t>including digital, data, </w:t>
            </w:r>
            <w:r>
              <w:rPr>
                <w:spacing w:val="-2"/>
                <w:sz w:val="18"/>
              </w:rPr>
              <w:t>workforce, organisational </w:t>
            </w:r>
            <w:r>
              <w:rPr>
                <w:sz w:val="18"/>
              </w:rPr>
              <w:t>development,</w:t>
            </w:r>
            <w:r>
              <w:rPr>
                <w:spacing w:val="-13"/>
                <w:sz w:val="18"/>
              </w:rPr>
              <w:t> </w:t>
            </w:r>
            <w:r>
              <w:rPr>
                <w:sz w:val="18"/>
              </w:rPr>
              <w:t>financial and contracting</w:t>
            </w:r>
          </w:p>
          <w:p>
            <w:pPr>
              <w:pStyle w:val="TableParagraph"/>
              <w:ind w:left="104"/>
              <w:rPr>
                <w:sz w:val="18"/>
              </w:rPr>
            </w:pPr>
            <w:r>
              <w:rPr>
                <w:sz w:val="18"/>
              </w:rPr>
              <w:t>capabilities, not being developed at the pace, scale or maturity necessary to underpin regional</w:t>
            </w:r>
            <w:r>
              <w:rPr>
                <w:spacing w:val="-13"/>
                <w:sz w:val="18"/>
              </w:rPr>
              <w:t> </w:t>
            </w:r>
            <w:r>
              <w:rPr>
                <w:sz w:val="18"/>
              </w:rPr>
              <w:t>models</w:t>
            </w:r>
            <w:r>
              <w:rPr>
                <w:spacing w:val="-12"/>
                <w:sz w:val="18"/>
              </w:rPr>
              <w:t> </w:t>
            </w:r>
            <w:r>
              <w:rPr>
                <w:sz w:val="18"/>
              </w:rPr>
              <w:t>of</w:t>
            </w:r>
            <w:r>
              <w:rPr>
                <w:spacing w:val="-13"/>
                <w:sz w:val="18"/>
              </w:rPr>
              <w:t> </w:t>
            </w:r>
            <w:r>
              <w:rPr>
                <w:sz w:val="18"/>
              </w:rPr>
              <w:t>care and ways of working.</w:t>
            </w:r>
          </w:p>
          <w:p>
            <w:pPr>
              <w:pStyle w:val="TableParagraph"/>
              <w:spacing w:line="237" w:lineRule="auto" w:before="4"/>
              <w:ind w:left="104" w:right="205"/>
              <w:rPr>
                <w:sz w:val="18"/>
              </w:rPr>
            </w:pPr>
            <w:r>
              <w:rPr>
                <w:sz w:val="18"/>
              </w:rPr>
              <w:t>This</w:t>
            </w:r>
            <w:r>
              <w:rPr>
                <w:spacing w:val="-10"/>
                <w:sz w:val="18"/>
              </w:rPr>
              <w:t> </w:t>
            </w:r>
            <w:r>
              <w:rPr>
                <w:sz w:val="18"/>
              </w:rPr>
              <w:t>will</w:t>
            </w:r>
            <w:r>
              <w:rPr>
                <w:spacing w:val="-10"/>
                <w:sz w:val="18"/>
              </w:rPr>
              <w:t> </w:t>
            </w:r>
            <w:r>
              <w:rPr>
                <w:sz w:val="18"/>
              </w:rPr>
              <w:t>lead</w:t>
            </w:r>
            <w:r>
              <w:rPr>
                <w:spacing w:val="-10"/>
                <w:sz w:val="18"/>
              </w:rPr>
              <w:t> </w:t>
            </w:r>
            <w:r>
              <w:rPr>
                <w:sz w:val="18"/>
              </w:rPr>
              <w:t>to</w:t>
            </w:r>
            <w:r>
              <w:rPr>
                <w:spacing w:val="-10"/>
                <w:sz w:val="18"/>
              </w:rPr>
              <w:t> </w:t>
            </w:r>
            <w:r>
              <w:rPr>
                <w:sz w:val="18"/>
              </w:rPr>
              <w:t>delays in the implementation of regional priorities,</w:t>
            </w:r>
          </w:p>
          <w:p>
            <w:pPr>
              <w:pStyle w:val="TableParagraph"/>
              <w:spacing w:before="4"/>
              <w:ind w:left="104" w:right="178"/>
              <w:rPr>
                <w:sz w:val="18"/>
              </w:rPr>
            </w:pPr>
            <w:r>
              <w:rPr>
                <w:sz w:val="18"/>
              </w:rPr>
              <w:t>reduced</w:t>
            </w:r>
            <w:r>
              <w:rPr>
                <w:spacing w:val="-13"/>
                <w:sz w:val="18"/>
              </w:rPr>
              <w:t> </w:t>
            </w:r>
            <w:r>
              <w:rPr>
                <w:sz w:val="18"/>
              </w:rPr>
              <w:t>organisational readiness for transformation, an</w:t>
            </w:r>
          </w:p>
          <w:p>
            <w:pPr>
              <w:pStyle w:val="TableParagraph"/>
              <w:ind w:left="104" w:right="238"/>
              <w:rPr>
                <w:sz w:val="18"/>
              </w:rPr>
            </w:pPr>
            <w:r>
              <w:rPr>
                <w:sz w:val="18"/>
              </w:rPr>
              <w:t>inability to realise the anticipated</w:t>
            </w:r>
            <w:r>
              <w:rPr>
                <w:spacing w:val="-15"/>
                <w:sz w:val="18"/>
              </w:rPr>
              <w:t> </w:t>
            </w:r>
            <w:r>
              <w:rPr>
                <w:sz w:val="18"/>
              </w:rPr>
              <w:t>benefits</w:t>
            </w:r>
            <w:r>
              <w:rPr>
                <w:spacing w:val="-12"/>
                <w:sz w:val="18"/>
              </w:rPr>
              <w:t> </w:t>
            </w:r>
            <w:r>
              <w:rPr>
                <w:sz w:val="18"/>
              </w:rPr>
              <w:t>of regional</w:t>
            </w:r>
            <w:r>
              <w:rPr>
                <w:spacing w:val="-13"/>
                <w:sz w:val="18"/>
              </w:rPr>
              <w:t> </w:t>
            </w:r>
            <w:r>
              <w:rPr>
                <w:sz w:val="18"/>
              </w:rPr>
              <w:t>collaboration, inefficient use of</w:t>
            </w:r>
          </w:p>
          <w:p>
            <w:pPr>
              <w:pStyle w:val="TableParagraph"/>
              <w:spacing w:line="204" w:lineRule="exact"/>
              <w:ind w:left="104"/>
              <w:rPr>
                <w:sz w:val="18"/>
              </w:rPr>
            </w:pPr>
            <w:r>
              <w:rPr>
                <w:sz w:val="18"/>
              </w:rPr>
              <w:t>resources,</w:t>
            </w:r>
            <w:r>
              <w:rPr>
                <w:spacing w:val="-1"/>
                <w:sz w:val="18"/>
              </w:rPr>
              <w:t> </w:t>
            </w:r>
            <w:r>
              <w:rPr>
                <w:sz w:val="18"/>
              </w:rPr>
              <w:t>and</w:t>
            </w:r>
            <w:r>
              <w:rPr>
                <w:spacing w:val="-1"/>
                <w:sz w:val="18"/>
              </w:rPr>
              <w:t> </w:t>
            </w:r>
            <w:r>
              <w:rPr>
                <w:spacing w:val="-10"/>
                <w:sz w:val="18"/>
              </w:rPr>
              <w:t>a</w:t>
            </w:r>
          </w:p>
          <w:p>
            <w:pPr>
              <w:pStyle w:val="TableParagraph"/>
              <w:spacing w:line="206" w:lineRule="exact"/>
              <w:ind w:left="104"/>
              <w:rPr>
                <w:sz w:val="18"/>
              </w:rPr>
            </w:pPr>
            <w:r>
              <w:rPr>
                <w:sz w:val="18"/>
              </w:rPr>
              <w:t>diminished</w:t>
            </w:r>
            <w:r>
              <w:rPr>
                <w:spacing w:val="-15"/>
                <w:sz w:val="18"/>
              </w:rPr>
              <w:t> </w:t>
            </w:r>
            <w:r>
              <w:rPr>
                <w:sz w:val="18"/>
              </w:rPr>
              <w:t>capacity</w:t>
            </w:r>
            <w:r>
              <w:rPr>
                <w:spacing w:val="-12"/>
                <w:sz w:val="18"/>
              </w:rPr>
              <w:t> </w:t>
            </w:r>
            <w:r>
              <w:rPr>
                <w:sz w:val="18"/>
              </w:rPr>
              <w:t>to improve population</w:t>
            </w:r>
          </w:p>
        </w:tc>
        <w:tc>
          <w:tcPr>
            <w:tcW w:w="170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7"/>
              <w:rPr>
                <w:rFonts w:ascii="Calibri"/>
                <w:sz w:val="18"/>
              </w:rPr>
            </w:pPr>
          </w:p>
          <w:p>
            <w:pPr>
              <w:pStyle w:val="TableParagraph"/>
              <w:spacing w:line="206" w:lineRule="exact"/>
              <w:ind w:left="109"/>
              <w:rPr>
                <w:sz w:val="18"/>
              </w:rPr>
            </w:pPr>
            <w:r>
              <w:rPr>
                <w:spacing w:val="-2"/>
                <w:sz w:val="18"/>
              </w:rPr>
              <w:t>Finance,</w:t>
            </w:r>
          </w:p>
          <w:p>
            <w:pPr>
              <w:pStyle w:val="TableParagraph"/>
              <w:spacing w:line="242" w:lineRule="auto"/>
              <w:ind w:left="109" w:right="249"/>
              <w:rPr>
                <w:sz w:val="18"/>
              </w:rPr>
            </w:pPr>
            <w:r>
              <w:rPr>
                <w:sz w:val="18"/>
              </w:rPr>
              <w:t>contracting,</w:t>
            </w:r>
            <w:r>
              <w:rPr>
                <w:spacing w:val="-13"/>
                <w:sz w:val="18"/>
              </w:rPr>
              <w:t> </w:t>
            </w:r>
            <w:r>
              <w:rPr>
                <w:sz w:val="18"/>
              </w:rPr>
              <w:t>data and digital</w:t>
            </w:r>
          </w:p>
          <w:p>
            <w:pPr>
              <w:pStyle w:val="TableParagraph"/>
              <w:ind w:left="109" w:right="159"/>
              <w:rPr>
                <w:sz w:val="18"/>
              </w:rPr>
            </w:pPr>
            <w:r>
              <w:rPr>
                <w:spacing w:val="-2"/>
                <w:sz w:val="18"/>
              </w:rPr>
              <w:t>workstreams; </w:t>
            </w:r>
            <w:r>
              <w:rPr>
                <w:sz w:val="18"/>
              </w:rPr>
              <w:t>proposal to </w:t>
            </w:r>
            <w:r>
              <w:rPr>
                <w:spacing w:val="-2"/>
                <w:sz w:val="18"/>
              </w:rPr>
              <w:t>combine finance/contractin </w:t>
            </w:r>
            <w:r>
              <w:rPr>
                <w:sz w:val="18"/>
              </w:rPr>
              <w:t>g and data/digital </w:t>
            </w:r>
            <w:r>
              <w:rPr>
                <w:spacing w:val="-2"/>
                <w:sz w:val="18"/>
              </w:rPr>
              <w:t>arrangements;</w:t>
            </w:r>
          </w:p>
          <w:p>
            <w:pPr>
              <w:pStyle w:val="TableParagraph"/>
              <w:spacing w:line="244" w:lineRule="auto"/>
              <w:ind w:left="109"/>
              <w:rPr>
                <w:sz w:val="18"/>
              </w:rPr>
            </w:pPr>
            <w:r>
              <w:rPr>
                <w:sz w:val="18"/>
              </w:rPr>
              <w:t>workforce</w:t>
            </w:r>
            <w:r>
              <w:rPr>
                <w:spacing w:val="-15"/>
                <w:sz w:val="18"/>
              </w:rPr>
              <w:t> </w:t>
            </w:r>
            <w:r>
              <w:rPr>
                <w:sz w:val="18"/>
              </w:rPr>
              <w:t>and</w:t>
            </w:r>
            <w:r>
              <w:rPr>
                <w:spacing w:val="-12"/>
                <w:sz w:val="18"/>
              </w:rPr>
              <w:t> </w:t>
            </w:r>
            <w:r>
              <w:rPr>
                <w:sz w:val="18"/>
              </w:rPr>
              <w:t>OD </w:t>
            </w:r>
            <w:r>
              <w:rPr>
                <w:spacing w:val="-2"/>
                <w:sz w:val="18"/>
              </w:rPr>
              <w:t>collaboration;</w:t>
            </w:r>
          </w:p>
          <w:p>
            <w:pPr>
              <w:pStyle w:val="TableParagraph"/>
              <w:ind w:left="109" w:right="289"/>
              <w:rPr>
                <w:sz w:val="18"/>
              </w:rPr>
            </w:pPr>
            <w:r>
              <w:rPr>
                <w:sz w:val="18"/>
              </w:rPr>
              <w:t>regional</w:t>
            </w:r>
            <w:r>
              <w:rPr>
                <w:spacing w:val="-13"/>
                <w:sz w:val="18"/>
              </w:rPr>
              <w:t> </w:t>
            </w:r>
            <w:r>
              <w:rPr>
                <w:sz w:val="18"/>
              </w:rPr>
              <w:t>finance operating</w:t>
            </w:r>
            <w:r>
              <w:rPr>
                <w:spacing w:val="-13"/>
                <w:sz w:val="18"/>
              </w:rPr>
              <w:t> </w:t>
            </w:r>
            <w:r>
              <w:rPr>
                <w:sz w:val="18"/>
              </w:rPr>
              <w:t>model discovery work; </w:t>
            </w:r>
            <w:r>
              <w:rPr>
                <w:spacing w:val="-2"/>
                <w:sz w:val="18"/>
              </w:rPr>
              <w:t>shared programme</w:t>
            </w:r>
          </w:p>
          <w:p>
            <w:pPr>
              <w:pStyle w:val="TableParagraph"/>
              <w:ind w:left="109" w:right="108"/>
              <w:rPr>
                <w:sz w:val="18"/>
              </w:rPr>
            </w:pPr>
            <w:r>
              <w:rPr>
                <w:spacing w:val="-2"/>
                <w:sz w:val="18"/>
              </w:rPr>
              <w:t>support arrangements; </w:t>
            </w:r>
            <w:r>
              <w:rPr>
                <w:sz w:val="18"/>
              </w:rPr>
              <w:t>escalation</w:t>
            </w:r>
            <w:r>
              <w:rPr>
                <w:spacing w:val="-13"/>
                <w:sz w:val="18"/>
              </w:rPr>
              <w:t> </w:t>
            </w:r>
            <w:r>
              <w:rPr>
                <w:sz w:val="18"/>
              </w:rPr>
              <w:t>through senior leadership </w:t>
            </w:r>
            <w:r>
              <w:rPr>
                <w:spacing w:val="-2"/>
                <w:sz w:val="18"/>
              </w:rPr>
              <w:t>structures.</w:t>
            </w:r>
          </w:p>
        </w:tc>
        <w:tc>
          <w:tcPr>
            <w:tcW w:w="170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07"/>
              <w:rPr>
                <w:rFonts w:ascii="Calibri"/>
                <w:sz w:val="18"/>
              </w:rPr>
            </w:pPr>
          </w:p>
          <w:p>
            <w:pPr>
              <w:pStyle w:val="TableParagraph"/>
              <w:ind w:left="103" w:right="199"/>
              <w:rPr>
                <w:sz w:val="18"/>
              </w:rPr>
            </w:pPr>
            <w:r>
              <w:rPr>
                <w:sz w:val="18"/>
              </w:rPr>
              <w:t>Digital maturity and readiness </w:t>
            </w:r>
            <w:r>
              <w:rPr>
                <w:spacing w:val="-2"/>
                <w:sz w:val="18"/>
              </w:rPr>
              <w:t>assessments; </w:t>
            </w:r>
            <w:r>
              <w:rPr>
                <w:sz w:val="18"/>
              </w:rPr>
              <w:t>finance</w:t>
            </w:r>
            <w:r>
              <w:rPr>
                <w:spacing w:val="-13"/>
                <w:sz w:val="18"/>
              </w:rPr>
              <w:t> </w:t>
            </w:r>
            <w:r>
              <w:rPr>
                <w:sz w:val="18"/>
              </w:rPr>
              <w:t>operating model outputs;</w:t>
            </w:r>
          </w:p>
          <w:p>
            <w:pPr>
              <w:pStyle w:val="TableParagraph"/>
              <w:spacing w:before="1"/>
              <w:ind w:left="103" w:right="270"/>
              <w:rPr>
                <w:sz w:val="18"/>
              </w:rPr>
            </w:pPr>
            <w:r>
              <w:rPr>
                <w:sz w:val="18"/>
              </w:rPr>
              <w:t>workforce</w:t>
            </w:r>
            <w:r>
              <w:rPr>
                <w:spacing w:val="-13"/>
                <w:sz w:val="18"/>
              </w:rPr>
              <w:t> </w:t>
            </w:r>
            <w:r>
              <w:rPr>
                <w:sz w:val="18"/>
              </w:rPr>
              <w:t>plans; </w:t>
            </w:r>
            <w:r>
              <w:rPr>
                <w:spacing w:val="-2"/>
                <w:sz w:val="18"/>
              </w:rPr>
              <w:t>financial</w:t>
            </w:r>
          </w:p>
          <w:p>
            <w:pPr>
              <w:pStyle w:val="TableParagraph"/>
              <w:spacing w:before="1"/>
              <w:ind w:left="103" w:right="305"/>
              <w:rPr>
                <w:sz w:val="18"/>
              </w:rPr>
            </w:pPr>
            <w:r>
              <w:rPr>
                <w:spacing w:val="-2"/>
                <w:sz w:val="18"/>
              </w:rPr>
              <w:t>monitoring reports; contracting updates; dashboard</w:t>
            </w:r>
          </w:p>
          <w:p>
            <w:pPr>
              <w:pStyle w:val="TableParagraph"/>
              <w:ind w:left="103" w:right="340"/>
              <w:rPr>
                <w:sz w:val="18"/>
              </w:rPr>
            </w:pPr>
            <w:r>
              <w:rPr>
                <w:spacing w:val="-2"/>
                <w:sz w:val="18"/>
              </w:rPr>
              <w:t>development; </w:t>
            </w:r>
            <w:r>
              <w:rPr>
                <w:sz w:val="18"/>
              </w:rPr>
              <w:t>delivery</w:t>
            </w:r>
            <w:r>
              <w:rPr>
                <w:spacing w:val="-13"/>
                <w:sz w:val="18"/>
              </w:rPr>
              <w:t> </w:t>
            </w:r>
            <w:r>
              <w:rPr>
                <w:sz w:val="18"/>
              </w:rPr>
              <w:t>reports from enabling </w:t>
            </w:r>
            <w:r>
              <w:rPr>
                <w:spacing w:val="-2"/>
                <w:sz w:val="18"/>
              </w:rPr>
              <w:t>workstreams; </w:t>
            </w:r>
            <w:r>
              <w:rPr>
                <w:sz w:val="18"/>
              </w:rPr>
              <w:t>gateway</w:t>
            </w:r>
            <w:r>
              <w:rPr>
                <w:spacing w:val="-13"/>
                <w:sz w:val="18"/>
              </w:rPr>
              <w:t> </w:t>
            </w:r>
            <w:r>
              <w:rPr>
                <w:sz w:val="18"/>
              </w:rPr>
              <w:t>review </w:t>
            </w:r>
            <w:r>
              <w:rPr>
                <w:spacing w:val="-2"/>
                <w:sz w:val="18"/>
              </w:rPr>
              <w:t>outputs.</w:t>
            </w:r>
          </w:p>
        </w:tc>
        <w:tc>
          <w:tcPr>
            <w:tcW w:w="170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212"/>
              <w:rPr>
                <w:rFonts w:ascii="Calibri"/>
                <w:sz w:val="18"/>
              </w:rPr>
            </w:pPr>
          </w:p>
          <w:p>
            <w:pPr>
              <w:pStyle w:val="TableParagraph"/>
              <w:ind w:left="103" w:right="550"/>
              <w:rPr>
                <w:sz w:val="18"/>
              </w:rPr>
            </w:pPr>
            <w:r>
              <w:rPr>
                <w:sz w:val="18"/>
              </w:rPr>
              <w:t>Assurance</w:t>
            </w:r>
            <w:r>
              <w:rPr>
                <w:spacing w:val="-13"/>
                <w:sz w:val="18"/>
              </w:rPr>
              <w:t> </w:t>
            </w:r>
            <w:r>
              <w:rPr>
                <w:sz w:val="18"/>
              </w:rPr>
              <w:t>is limited on</w:t>
            </w:r>
          </w:p>
          <w:p>
            <w:pPr>
              <w:pStyle w:val="TableParagraph"/>
              <w:ind w:left="103"/>
              <w:rPr>
                <w:sz w:val="18"/>
              </w:rPr>
            </w:pPr>
            <w:r>
              <w:rPr>
                <w:spacing w:val="-2"/>
                <w:sz w:val="18"/>
              </w:rPr>
              <w:t>interoperability, reporting consistency, transformation capacity,</w:t>
            </w:r>
          </w:p>
          <w:p>
            <w:pPr>
              <w:pStyle w:val="TableParagraph"/>
              <w:spacing w:line="244" w:lineRule="auto"/>
              <w:ind w:left="103"/>
              <w:rPr>
                <w:sz w:val="18"/>
              </w:rPr>
            </w:pPr>
            <w:r>
              <w:rPr>
                <w:spacing w:val="-2"/>
                <w:sz w:val="18"/>
              </w:rPr>
              <w:t>affordability, management</w:t>
            </w:r>
          </w:p>
          <w:p>
            <w:pPr>
              <w:pStyle w:val="TableParagraph"/>
              <w:ind w:left="103" w:right="107"/>
              <w:rPr>
                <w:sz w:val="18"/>
              </w:rPr>
            </w:pPr>
            <w:r>
              <w:rPr>
                <w:sz w:val="18"/>
              </w:rPr>
              <w:t>bandwidth, scope </w:t>
            </w:r>
            <w:r>
              <w:rPr>
                <w:spacing w:val="-2"/>
                <w:sz w:val="18"/>
              </w:rPr>
              <w:t>control, standardisation, </w:t>
            </w:r>
            <w:r>
              <w:rPr>
                <w:sz w:val="18"/>
              </w:rPr>
              <w:t>and whether enabling</w:t>
            </w:r>
            <w:r>
              <w:rPr>
                <w:spacing w:val="-15"/>
                <w:sz w:val="18"/>
              </w:rPr>
              <w:t> </w:t>
            </w:r>
            <w:r>
              <w:rPr>
                <w:sz w:val="18"/>
              </w:rPr>
              <w:t>plans</w:t>
            </w:r>
            <w:r>
              <w:rPr>
                <w:spacing w:val="-12"/>
                <w:sz w:val="18"/>
              </w:rPr>
              <w:t> </w:t>
            </w:r>
            <w:r>
              <w:rPr>
                <w:sz w:val="18"/>
              </w:rPr>
              <w:t>are </w:t>
            </w:r>
            <w:r>
              <w:rPr>
                <w:spacing w:val="-2"/>
                <w:sz w:val="18"/>
              </w:rPr>
              <w:t>sufficiently</w:t>
            </w:r>
          </w:p>
          <w:p>
            <w:pPr>
              <w:pStyle w:val="TableParagraph"/>
              <w:ind w:left="103" w:right="260"/>
              <w:rPr>
                <w:sz w:val="18"/>
              </w:rPr>
            </w:pPr>
            <w:r>
              <w:rPr>
                <w:sz w:val="18"/>
              </w:rPr>
              <w:t>integrated with clinical</w:t>
            </w:r>
            <w:r>
              <w:rPr>
                <w:spacing w:val="-13"/>
                <w:sz w:val="18"/>
              </w:rPr>
              <w:t> </w:t>
            </w:r>
            <w:r>
              <w:rPr>
                <w:sz w:val="18"/>
              </w:rPr>
              <w:t>priorities.</w:t>
            </w:r>
          </w:p>
        </w:tc>
        <w:tc>
          <w:tcPr>
            <w:tcW w:w="184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2"/>
              <w:rPr>
                <w:rFonts w:ascii="Calibri"/>
                <w:sz w:val="18"/>
              </w:rPr>
            </w:pPr>
          </w:p>
          <w:p>
            <w:pPr>
              <w:pStyle w:val="TableParagraph"/>
              <w:ind w:left="107" w:right="111"/>
              <w:rPr>
                <w:sz w:val="18"/>
              </w:rPr>
            </w:pPr>
            <w:r>
              <w:rPr>
                <w:sz w:val="18"/>
              </w:rPr>
              <w:t>Agree the future operating model for finance,</w:t>
            </w:r>
            <w:r>
              <w:rPr>
                <w:spacing w:val="-13"/>
                <w:sz w:val="18"/>
              </w:rPr>
              <w:t> </w:t>
            </w:r>
            <w:r>
              <w:rPr>
                <w:sz w:val="18"/>
              </w:rPr>
              <w:t>contracting, data and digital</w:t>
            </w:r>
          </w:p>
          <w:p>
            <w:pPr>
              <w:pStyle w:val="TableParagraph"/>
              <w:spacing w:before="3"/>
              <w:ind w:left="107" w:right="349"/>
              <w:rPr>
                <w:sz w:val="18"/>
              </w:rPr>
            </w:pPr>
            <w:r>
              <w:rPr>
                <w:spacing w:val="-2"/>
                <w:sz w:val="18"/>
              </w:rPr>
              <w:t>workstreams; </w:t>
            </w:r>
            <w:r>
              <w:rPr>
                <w:sz w:val="18"/>
              </w:rPr>
              <w:t>update Terms of Reference</w:t>
            </w:r>
            <w:r>
              <w:rPr>
                <w:spacing w:val="-1"/>
                <w:sz w:val="18"/>
              </w:rPr>
              <w:t> </w:t>
            </w:r>
            <w:r>
              <w:rPr>
                <w:spacing w:val="-2"/>
                <w:sz w:val="18"/>
              </w:rPr>
              <w:t>where</w:t>
            </w:r>
          </w:p>
          <w:p>
            <w:pPr>
              <w:pStyle w:val="TableParagraph"/>
              <w:ind w:left="107" w:right="111"/>
              <w:rPr>
                <w:sz w:val="18"/>
              </w:rPr>
            </w:pPr>
            <w:r>
              <w:rPr>
                <w:sz w:val="18"/>
              </w:rPr>
              <w:t>required;</w:t>
            </w:r>
            <w:r>
              <w:rPr>
                <w:spacing w:val="-4"/>
                <w:sz w:val="18"/>
              </w:rPr>
              <w:t> </w:t>
            </w:r>
            <w:r>
              <w:rPr>
                <w:sz w:val="18"/>
              </w:rPr>
              <w:t>produce</w:t>
            </w:r>
            <w:r>
              <w:rPr>
                <w:spacing w:val="-5"/>
                <w:sz w:val="18"/>
              </w:rPr>
              <w:t> </w:t>
            </w:r>
            <w:r>
              <w:rPr>
                <w:sz w:val="18"/>
              </w:rPr>
              <w:t>a </w:t>
            </w:r>
            <w:r>
              <w:rPr>
                <w:spacing w:val="-2"/>
                <w:sz w:val="18"/>
              </w:rPr>
              <w:t>consolidated </w:t>
            </w:r>
            <w:r>
              <w:rPr>
                <w:sz w:val="18"/>
              </w:rPr>
              <w:t>enabling</w:t>
            </w:r>
            <w:r>
              <w:rPr>
                <w:spacing w:val="-15"/>
                <w:sz w:val="18"/>
              </w:rPr>
              <w:t> </w:t>
            </w:r>
            <w:r>
              <w:rPr>
                <w:sz w:val="18"/>
              </w:rPr>
              <w:t>plan</w:t>
            </w:r>
            <w:r>
              <w:rPr>
                <w:spacing w:val="-12"/>
                <w:sz w:val="18"/>
              </w:rPr>
              <w:t> </w:t>
            </w:r>
            <w:r>
              <w:rPr>
                <w:sz w:val="18"/>
              </w:rPr>
              <w:t>linked to each regional priority; identify </w:t>
            </w:r>
            <w:r>
              <w:rPr>
                <w:spacing w:val="-2"/>
                <w:sz w:val="18"/>
              </w:rPr>
              <w:t>critical dependencies;</w:t>
            </w:r>
          </w:p>
          <w:p>
            <w:pPr>
              <w:pStyle w:val="TableParagraph"/>
              <w:ind w:left="107" w:right="581"/>
              <w:rPr>
                <w:sz w:val="18"/>
              </w:rPr>
            </w:pPr>
            <w:r>
              <w:rPr>
                <w:sz w:val="18"/>
              </w:rPr>
              <w:t>report</w:t>
            </w:r>
            <w:r>
              <w:rPr>
                <w:spacing w:val="-13"/>
                <w:sz w:val="18"/>
              </w:rPr>
              <w:t> </w:t>
            </w:r>
            <w:r>
              <w:rPr>
                <w:sz w:val="18"/>
              </w:rPr>
              <w:t>delivery </w:t>
            </w:r>
            <w:r>
              <w:rPr>
                <w:spacing w:val="-2"/>
                <w:sz w:val="18"/>
              </w:rPr>
              <w:t>confidence,</w:t>
            </w:r>
          </w:p>
          <w:p>
            <w:pPr>
              <w:pStyle w:val="TableParagraph"/>
              <w:spacing w:before="2"/>
              <w:ind w:left="107" w:right="150"/>
              <w:rPr>
                <w:sz w:val="18"/>
              </w:rPr>
            </w:pPr>
            <w:r>
              <w:rPr>
                <w:spacing w:val="-2"/>
                <w:sz w:val="18"/>
              </w:rPr>
              <w:t>affordability, </w:t>
            </w:r>
            <w:r>
              <w:rPr>
                <w:sz w:val="18"/>
              </w:rPr>
              <w:t>capacity</w:t>
            </w:r>
            <w:r>
              <w:rPr>
                <w:spacing w:val="-15"/>
                <w:sz w:val="18"/>
              </w:rPr>
              <w:t> </w:t>
            </w:r>
            <w:r>
              <w:rPr>
                <w:sz w:val="18"/>
              </w:rPr>
              <w:t>gaps</w:t>
            </w:r>
            <w:r>
              <w:rPr>
                <w:spacing w:val="-12"/>
                <w:sz w:val="18"/>
              </w:rPr>
              <w:t> </w:t>
            </w:r>
            <w:r>
              <w:rPr>
                <w:sz w:val="18"/>
              </w:rPr>
              <w:t>and </w:t>
            </w:r>
            <w:r>
              <w:rPr>
                <w:spacing w:val="-2"/>
                <w:sz w:val="18"/>
              </w:rPr>
              <w:t>benefits.</w:t>
            </w:r>
          </w:p>
        </w:tc>
        <w:tc>
          <w:tcPr>
            <w:tcW w:w="99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10"/>
              <w:rPr>
                <w:rFonts w:ascii="Calibri"/>
                <w:sz w:val="18"/>
              </w:rPr>
            </w:pPr>
          </w:p>
          <w:p>
            <w:pPr>
              <w:pStyle w:val="TableParagraph"/>
              <w:ind w:left="102"/>
              <w:rPr>
                <w:sz w:val="18"/>
              </w:rPr>
            </w:pPr>
            <w:r>
              <w:rPr>
                <w:spacing w:val="-5"/>
                <w:sz w:val="18"/>
              </w:rPr>
              <w:t>TBC</w:t>
            </w:r>
          </w:p>
        </w:tc>
        <w:tc>
          <w:tcPr>
            <w:tcW w:w="99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10"/>
              <w:rPr>
                <w:rFonts w:ascii="Calibri"/>
                <w:sz w:val="18"/>
              </w:rPr>
            </w:pPr>
          </w:p>
          <w:p>
            <w:pPr>
              <w:pStyle w:val="TableParagraph"/>
              <w:ind w:left="106"/>
              <w:rPr>
                <w:sz w:val="18"/>
              </w:rPr>
            </w:pPr>
            <w:r>
              <w:rPr>
                <w:spacing w:val="-5"/>
                <w:sz w:val="18"/>
              </w:rPr>
              <w:t>TBC</w:t>
            </w:r>
          </w:p>
        </w:tc>
        <w:tc>
          <w:tcPr>
            <w:tcW w:w="995"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10"/>
              <w:rPr>
                <w:rFonts w:ascii="Calibri"/>
                <w:sz w:val="18"/>
              </w:rPr>
            </w:pPr>
          </w:p>
          <w:p>
            <w:pPr>
              <w:pStyle w:val="TableParagraph"/>
              <w:ind w:left="106"/>
              <w:rPr>
                <w:sz w:val="18"/>
              </w:rPr>
            </w:pPr>
            <w:r>
              <w:rPr>
                <w:spacing w:val="-5"/>
                <w:sz w:val="18"/>
              </w:rPr>
              <w:t>TBC</w:t>
            </w:r>
          </w:p>
        </w:tc>
        <w:tc>
          <w:tcPr>
            <w:tcW w:w="850"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10"/>
              <w:rPr>
                <w:rFonts w:ascii="Calibri"/>
                <w:sz w:val="18"/>
              </w:rPr>
            </w:pPr>
          </w:p>
          <w:p>
            <w:pPr>
              <w:pStyle w:val="TableParagraph"/>
              <w:ind w:left="105"/>
              <w:rPr>
                <w:sz w:val="18"/>
              </w:rPr>
            </w:pPr>
            <w:r>
              <w:rPr>
                <w:spacing w:val="-5"/>
                <w:sz w:val="18"/>
              </w:rPr>
              <w:t>TBC</w:t>
            </w:r>
          </w:p>
        </w:tc>
      </w:tr>
    </w:tbl>
    <w:p>
      <w:pPr>
        <w:pStyle w:val="BodyText"/>
        <w:spacing w:before="62"/>
        <w:rPr>
          <w:rFonts w:ascii="Calibri"/>
          <w:sz w:val="22"/>
        </w:rPr>
      </w:pPr>
    </w:p>
    <w:p>
      <w:pPr>
        <w:spacing w:before="1"/>
        <w:ind w:left="11" w:right="994" w:firstLine="0"/>
        <w:jc w:val="center"/>
        <w:rPr>
          <w:rFonts w:ascii="Calibri"/>
          <w:sz w:val="22"/>
        </w:rPr>
      </w:pPr>
      <w:r>
        <w:rPr>
          <w:rFonts w:ascii="Calibri"/>
          <w:spacing w:val="-10"/>
          <w:sz w:val="22"/>
        </w:rPr>
        <w:t>6</w:t>
      </w:r>
    </w:p>
    <w:p>
      <w:pPr>
        <w:spacing w:after="0"/>
        <w:jc w:val="center"/>
        <w:rPr>
          <w:rFonts w:ascii="Calibri"/>
          <w:sz w:val="22"/>
        </w:rPr>
        <w:sectPr>
          <w:pgSz w:w="16840" w:h="11910" w:orient="landscape"/>
          <w:pgMar w:header="0" w:footer="198" w:top="1340" w:bottom="380" w:left="1417" w:right="425"/>
        </w:sectPr>
      </w:pPr>
    </w:p>
    <w:p>
      <w:pPr>
        <w:pStyle w:val="BodyText"/>
        <w:spacing w:before="10"/>
        <w:rPr>
          <w:rFonts w:ascii="Calibri"/>
          <w:sz w:val="7"/>
        </w:rPr>
      </w:pPr>
    </w:p>
    <w:tbl>
      <w:tblPr>
        <w:tblW w:w="0" w:type="auto"/>
        <w:jc w:val="left"/>
        <w:tblInd w:w="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0" w:type="dxa"/>
          <w:left w:w="0" w:type="dxa"/>
          <w:bottom w:w="0" w:type="dxa"/>
          <w:right w:w="0" w:type="dxa"/>
        </w:tblCellMar>
        <w:tblLook w:val="01E0"/>
      </w:tblPr>
      <w:tblGrid>
        <w:gridCol w:w="670"/>
        <w:gridCol w:w="1316"/>
        <w:gridCol w:w="2121"/>
        <w:gridCol w:w="1706"/>
        <w:gridCol w:w="1701"/>
        <w:gridCol w:w="1701"/>
        <w:gridCol w:w="1846"/>
        <w:gridCol w:w="991"/>
        <w:gridCol w:w="991"/>
        <w:gridCol w:w="995"/>
        <w:gridCol w:w="850"/>
      </w:tblGrid>
      <w:tr>
        <w:trPr>
          <w:trHeight w:val="985" w:hRule="atLeast"/>
        </w:trPr>
        <w:tc>
          <w:tcPr>
            <w:tcW w:w="670" w:type="dxa"/>
            <w:shd w:val="clear" w:color="auto" w:fill="D9E1F3"/>
          </w:tcPr>
          <w:p>
            <w:pPr>
              <w:pStyle w:val="TableParagraph"/>
              <w:spacing w:before="171"/>
              <w:rPr>
                <w:rFonts w:ascii="Calibri"/>
                <w:sz w:val="18"/>
              </w:rPr>
            </w:pPr>
          </w:p>
          <w:p>
            <w:pPr>
              <w:pStyle w:val="TableParagraph"/>
              <w:spacing w:before="1"/>
              <w:ind w:right="147"/>
              <w:jc w:val="center"/>
              <w:rPr>
                <w:b/>
                <w:sz w:val="18"/>
              </w:rPr>
            </w:pPr>
            <w:r>
              <w:rPr>
                <w:b/>
                <w:spacing w:val="-5"/>
                <w:sz w:val="18"/>
              </w:rPr>
              <w:t>Ref</w:t>
            </w:r>
          </w:p>
        </w:tc>
        <w:tc>
          <w:tcPr>
            <w:tcW w:w="1316" w:type="dxa"/>
            <w:shd w:val="clear" w:color="auto" w:fill="D9E1F3"/>
          </w:tcPr>
          <w:p>
            <w:pPr>
              <w:pStyle w:val="TableParagraph"/>
              <w:spacing w:before="66"/>
              <w:rPr>
                <w:rFonts w:ascii="Calibri"/>
                <w:sz w:val="18"/>
              </w:rPr>
            </w:pPr>
          </w:p>
          <w:p>
            <w:pPr>
              <w:pStyle w:val="TableParagraph"/>
              <w:spacing w:before="1"/>
              <w:ind w:left="104"/>
              <w:rPr>
                <w:b/>
                <w:sz w:val="18"/>
              </w:rPr>
            </w:pPr>
            <w:r>
              <w:rPr>
                <w:b/>
                <w:spacing w:val="-2"/>
                <w:sz w:val="18"/>
              </w:rPr>
              <w:t>Strategic objective</w:t>
            </w:r>
          </w:p>
        </w:tc>
        <w:tc>
          <w:tcPr>
            <w:tcW w:w="2121" w:type="dxa"/>
            <w:shd w:val="clear" w:color="auto" w:fill="D9E1F3"/>
          </w:tcPr>
          <w:p>
            <w:pPr>
              <w:pStyle w:val="TableParagraph"/>
              <w:spacing w:before="171"/>
              <w:rPr>
                <w:rFonts w:ascii="Calibri"/>
                <w:sz w:val="18"/>
              </w:rPr>
            </w:pPr>
          </w:p>
          <w:p>
            <w:pPr>
              <w:pStyle w:val="TableParagraph"/>
              <w:spacing w:before="1"/>
              <w:ind w:left="104"/>
              <w:rPr>
                <w:b/>
                <w:sz w:val="18"/>
              </w:rPr>
            </w:pPr>
            <w:r>
              <w:rPr>
                <w:b/>
                <w:sz w:val="18"/>
              </w:rPr>
              <w:t>Strategic</w:t>
            </w:r>
            <w:r>
              <w:rPr>
                <w:b/>
                <w:spacing w:val="-5"/>
                <w:sz w:val="18"/>
              </w:rPr>
              <w:t> </w:t>
            </w:r>
            <w:r>
              <w:rPr>
                <w:b/>
                <w:spacing w:val="-4"/>
                <w:sz w:val="18"/>
              </w:rPr>
              <w:t>risk</w:t>
            </w:r>
          </w:p>
        </w:tc>
        <w:tc>
          <w:tcPr>
            <w:tcW w:w="1706" w:type="dxa"/>
            <w:shd w:val="clear" w:color="auto" w:fill="D9E1F3"/>
          </w:tcPr>
          <w:p>
            <w:pPr>
              <w:pStyle w:val="TableParagraph"/>
              <w:spacing w:before="66"/>
              <w:rPr>
                <w:rFonts w:ascii="Calibri"/>
                <w:sz w:val="18"/>
              </w:rPr>
            </w:pPr>
          </w:p>
          <w:p>
            <w:pPr>
              <w:pStyle w:val="TableParagraph"/>
              <w:spacing w:before="1"/>
              <w:ind w:left="109"/>
              <w:rPr>
                <w:b/>
                <w:sz w:val="18"/>
              </w:rPr>
            </w:pPr>
            <w:r>
              <w:rPr>
                <w:b/>
                <w:sz w:val="18"/>
              </w:rPr>
              <w:t>Key</w:t>
            </w:r>
            <w:r>
              <w:rPr>
                <w:b/>
                <w:spacing w:val="-15"/>
                <w:sz w:val="18"/>
              </w:rPr>
              <w:t> </w:t>
            </w:r>
            <w:r>
              <w:rPr>
                <w:b/>
                <w:sz w:val="18"/>
              </w:rPr>
              <w:t>controls</w:t>
            </w:r>
            <w:r>
              <w:rPr>
                <w:b/>
                <w:spacing w:val="-12"/>
                <w:sz w:val="18"/>
              </w:rPr>
              <w:t> </w:t>
            </w:r>
            <w:r>
              <w:rPr>
                <w:b/>
                <w:sz w:val="18"/>
              </w:rPr>
              <w:t>in </w:t>
            </w:r>
            <w:r>
              <w:rPr>
                <w:b/>
                <w:spacing w:val="-2"/>
                <w:sz w:val="18"/>
              </w:rPr>
              <w:t>place</w:t>
            </w:r>
          </w:p>
        </w:tc>
        <w:tc>
          <w:tcPr>
            <w:tcW w:w="1701" w:type="dxa"/>
            <w:shd w:val="clear" w:color="auto" w:fill="D9E1F3"/>
          </w:tcPr>
          <w:p>
            <w:pPr>
              <w:pStyle w:val="TableParagraph"/>
              <w:spacing w:before="66"/>
              <w:rPr>
                <w:rFonts w:ascii="Calibri"/>
                <w:sz w:val="18"/>
              </w:rPr>
            </w:pPr>
          </w:p>
          <w:p>
            <w:pPr>
              <w:pStyle w:val="TableParagraph"/>
              <w:spacing w:before="1"/>
              <w:ind w:left="103" w:right="650"/>
              <w:rPr>
                <w:b/>
                <w:sz w:val="18"/>
              </w:rPr>
            </w:pPr>
            <w:r>
              <w:rPr>
                <w:b/>
                <w:sz w:val="18"/>
              </w:rPr>
              <w:t>Sources</w:t>
            </w:r>
            <w:r>
              <w:rPr>
                <w:b/>
                <w:spacing w:val="-13"/>
                <w:sz w:val="18"/>
              </w:rPr>
              <w:t> </w:t>
            </w:r>
            <w:r>
              <w:rPr>
                <w:b/>
                <w:sz w:val="18"/>
              </w:rPr>
              <w:t>of </w:t>
            </w:r>
            <w:r>
              <w:rPr>
                <w:b/>
                <w:spacing w:val="-2"/>
                <w:sz w:val="18"/>
              </w:rPr>
              <w:t>assurance</w:t>
            </w:r>
          </w:p>
        </w:tc>
        <w:tc>
          <w:tcPr>
            <w:tcW w:w="1701" w:type="dxa"/>
            <w:shd w:val="clear" w:color="auto" w:fill="D9E1F3"/>
          </w:tcPr>
          <w:p>
            <w:pPr>
              <w:pStyle w:val="TableParagraph"/>
              <w:spacing w:before="171"/>
              <w:rPr>
                <w:rFonts w:ascii="Calibri"/>
                <w:sz w:val="18"/>
              </w:rPr>
            </w:pPr>
          </w:p>
          <w:p>
            <w:pPr>
              <w:pStyle w:val="TableParagraph"/>
              <w:spacing w:before="1"/>
              <w:ind w:left="103"/>
              <w:rPr>
                <w:b/>
                <w:sz w:val="18"/>
              </w:rPr>
            </w:pPr>
            <w:r>
              <w:rPr>
                <w:b/>
                <w:sz w:val="18"/>
              </w:rPr>
              <w:t>Assurance</w:t>
            </w:r>
            <w:r>
              <w:rPr>
                <w:b/>
                <w:spacing w:val="-1"/>
                <w:sz w:val="18"/>
              </w:rPr>
              <w:t> </w:t>
            </w:r>
            <w:r>
              <w:rPr>
                <w:b/>
                <w:spacing w:val="-4"/>
                <w:sz w:val="18"/>
              </w:rPr>
              <w:t>gaps</w:t>
            </w:r>
          </w:p>
        </w:tc>
        <w:tc>
          <w:tcPr>
            <w:tcW w:w="1846" w:type="dxa"/>
            <w:shd w:val="clear" w:color="auto" w:fill="D9E1F3"/>
          </w:tcPr>
          <w:p>
            <w:pPr>
              <w:pStyle w:val="TableParagraph"/>
              <w:spacing w:before="66"/>
              <w:rPr>
                <w:rFonts w:ascii="Calibri"/>
                <w:sz w:val="18"/>
              </w:rPr>
            </w:pPr>
          </w:p>
          <w:p>
            <w:pPr>
              <w:pStyle w:val="TableParagraph"/>
              <w:spacing w:before="1"/>
              <w:ind w:left="107" w:right="411"/>
              <w:rPr>
                <w:b/>
                <w:sz w:val="18"/>
              </w:rPr>
            </w:pPr>
            <w:r>
              <w:rPr>
                <w:b/>
                <w:sz w:val="18"/>
              </w:rPr>
              <w:t>Further</w:t>
            </w:r>
            <w:r>
              <w:rPr>
                <w:b/>
                <w:spacing w:val="-13"/>
                <w:sz w:val="18"/>
              </w:rPr>
              <w:t> </w:t>
            </w:r>
            <w:r>
              <w:rPr>
                <w:b/>
                <w:sz w:val="18"/>
              </w:rPr>
              <w:t>actions </w:t>
            </w:r>
            <w:r>
              <w:rPr>
                <w:b/>
                <w:spacing w:val="-2"/>
                <w:sz w:val="18"/>
              </w:rPr>
              <w:t>required</w:t>
            </w:r>
          </w:p>
        </w:tc>
        <w:tc>
          <w:tcPr>
            <w:tcW w:w="991" w:type="dxa"/>
            <w:shd w:val="clear" w:color="auto" w:fill="D9E1F3"/>
          </w:tcPr>
          <w:p>
            <w:pPr>
              <w:pStyle w:val="TableParagraph"/>
              <w:spacing w:before="181"/>
              <w:ind w:left="102" w:right="308"/>
              <w:rPr>
                <w:b/>
                <w:sz w:val="18"/>
              </w:rPr>
            </w:pPr>
            <w:r>
              <w:rPr>
                <w:b/>
                <w:spacing w:val="-4"/>
                <w:sz w:val="18"/>
              </w:rPr>
              <w:t>Exec Risk </w:t>
            </w:r>
            <w:r>
              <w:rPr>
                <w:b/>
                <w:spacing w:val="-2"/>
                <w:sz w:val="18"/>
              </w:rPr>
              <w:t>Owner</w:t>
            </w:r>
          </w:p>
        </w:tc>
        <w:tc>
          <w:tcPr>
            <w:tcW w:w="991" w:type="dxa"/>
            <w:shd w:val="clear" w:color="auto" w:fill="D9E1F3"/>
          </w:tcPr>
          <w:p>
            <w:pPr>
              <w:pStyle w:val="TableParagraph"/>
              <w:spacing w:before="181"/>
              <w:ind w:left="106" w:right="179"/>
              <w:rPr>
                <w:b/>
                <w:sz w:val="18"/>
              </w:rPr>
            </w:pPr>
            <w:r>
              <w:rPr>
                <w:b/>
                <w:spacing w:val="-4"/>
                <w:sz w:val="18"/>
              </w:rPr>
              <w:t>Mgt </w:t>
            </w:r>
            <w:r>
              <w:rPr>
                <w:b/>
                <w:spacing w:val="-2"/>
                <w:sz w:val="18"/>
              </w:rPr>
              <w:t>Support </w:t>
            </w:r>
            <w:r>
              <w:rPr>
                <w:b/>
                <w:spacing w:val="-4"/>
                <w:sz w:val="18"/>
              </w:rPr>
              <w:t>Lead</w:t>
            </w:r>
          </w:p>
        </w:tc>
        <w:tc>
          <w:tcPr>
            <w:tcW w:w="995" w:type="dxa"/>
            <w:shd w:val="clear" w:color="auto" w:fill="D9E1F3"/>
          </w:tcPr>
          <w:p>
            <w:pPr>
              <w:pStyle w:val="TableParagraph"/>
              <w:spacing w:before="181"/>
              <w:ind w:left="106" w:right="222"/>
              <w:rPr>
                <w:b/>
                <w:sz w:val="18"/>
              </w:rPr>
            </w:pPr>
            <w:r>
              <w:rPr>
                <w:b/>
                <w:spacing w:val="-2"/>
                <w:sz w:val="18"/>
              </w:rPr>
              <w:t>Current </w:t>
            </w:r>
            <w:r>
              <w:rPr>
                <w:b/>
                <w:spacing w:val="-4"/>
                <w:sz w:val="18"/>
              </w:rPr>
              <w:t>risk </w:t>
            </w:r>
            <w:r>
              <w:rPr>
                <w:b/>
                <w:spacing w:val="-2"/>
                <w:sz w:val="18"/>
              </w:rPr>
              <w:t>score</w:t>
            </w:r>
          </w:p>
        </w:tc>
        <w:tc>
          <w:tcPr>
            <w:tcW w:w="850" w:type="dxa"/>
            <w:shd w:val="clear" w:color="auto" w:fill="D9E1F3"/>
          </w:tcPr>
          <w:p>
            <w:pPr>
              <w:pStyle w:val="TableParagraph"/>
              <w:spacing w:before="181"/>
              <w:ind w:left="105" w:right="188"/>
              <w:rPr>
                <w:b/>
                <w:sz w:val="18"/>
              </w:rPr>
            </w:pPr>
            <w:r>
              <w:rPr>
                <w:b/>
                <w:spacing w:val="-4"/>
                <w:sz w:val="18"/>
              </w:rPr>
              <w:t>Target risk </w:t>
            </w:r>
            <w:r>
              <w:rPr>
                <w:b/>
                <w:spacing w:val="-2"/>
                <w:sz w:val="18"/>
              </w:rPr>
              <w:t>score</w:t>
            </w:r>
          </w:p>
        </w:tc>
      </w:tr>
      <w:tr>
        <w:trPr>
          <w:trHeight w:val="825" w:hRule="atLeast"/>
        </w:trPr>
        <w:tc>
          <w:tcPr>
            <w:tcW w:w="670" w:type="dxa"/>
          </w:tcPr>
          <w:p>
            <w:pPr>
              <w:pStyle w:val="TableParagraph"/>
              <w:rPr>
                <w:rFonts w:ascii="Times New Roman"/>
                <w:sz w:val="16"/>
              </w:rPr>
            </w:pPr>
          </w:p>
        </w:tc>
        <w:tc>
          <w:tcPr>
            <w:tcW w:w="1316" w:type="dxa"/>
          </w:tcPr>
          <w:p>
            <w:pPr>
              <w:pStyle w:val="TableParagraph"/>
              <w:rPr>
                <w:rFonts w:ascii="Times New Roman"/>
                <w:sz w:val="16"/>
              </w:rPr>
            </w:pPr>
          </w:p>
        </w:tc>
        <w:tc>
          <w:tcPr>
            <w:tcW w:w="2121" w:type="dxa"/>
          </w:tcPr>
          <w:p>
            <w:pPr>
              <w:pStyle w:val="TableParagraph"/>
              <w:spacing w:line="206" w:lineRule="exact" w:before="1"/>
              <w:ind w:left="104"/>
              <w:rPr>
                <w:sz w:val="18"/>
              </w:rPr>
            </w:pPr>
            <w:r>
              <w:rPr>
                <w:sz w:val="18"/>
              </w:rPr>
              <w:t>outcomes,</w:t>
            </w:r>
            <w:r>
              <w:rPr>
                <w:spacing w:val="-9"/>
                <w:sz w:val="18"/>
              </w:rPr>
              <w:t> </w:t>
            </w:r>
            <w:r>
              <w:rPr>
                <w:spacing w:val="-2"/>
                <w:sz w:val="18"/>
              </w:rPr>
              <w:t>service</w:t>
            </w:r>
          </w:p>
          <w:p>
            <w:pPr>
              <w:pStyle w:val="TableParagraph"/>
              <w:ind w:left="104" w:right="205"/>
              <w:rPr>
                <w:sz w:val="18"/>
              </w:rPr>
            </w:pPr>
            <w:r>
              <w:rPr>
                <w:sz w:val="18"/>
              </w:rPr>
              <w:t>resilience</w:t>
            </w:r>
            <w:r>
              <w:rPr>
                <w:spacing w:val="-15"/>
                <w:sz w:val="18"/>
              </w:rPr>
              <w:t> </w:t>
            </w:r>
            <w:r>
              <w:rPr>
                <w:sz w:val="18"/>
              </w:rPr>
              <w:t>and</w:t>
            </w:r>
            <w:r>
              <w:rPr>
                <w:spacing w:val="-12"/>
                <w:sz w:val="18"/>
              </w:rPr>
              <w:t> </w:t>
            </w:r>
            <w:r>
              <w:rPr>
                <w:sz w:val="18"/>
              </w:rPr>
              <w:t>long-term system</w:t>
            </w:r>
          </w:p>
          <w:p>
            <w:pPr>
              <w:pStyle w:val="TableParagraph"/>
              <w:spacing w:line="184" w:lineRule="exact" w:before="1"/>
              <w:ind w:left="104"/>
              <w:rPr>
                <w:sz w:val="18"/>
              </w:rPr>
            </w:pPr>
            <w:r>
              <w:rPr>
                <w:spacing w:val="-2"/>
                <w:sz w:val="18"/>
              </w:rPr>
              <w:t>sustainability.</w:t>
            </w:r>
          </w:p>
        </w:tc>
        <w:tc>
          <w:tcPr>
            <w:tcW w:w="1706" w:type="dxa"/>
          </w:tcPr>
          <w:p>
            <w:pPr>
              <w:pStyle w:val="TableParagraph"/>
              <w:rPr>
                <w:rFonts w:ascii="Times New Roman"/>
                <w:sz w:val="16"/>
              </w:rPr>
            </w:pPr>
          </w:p>
        </w:tc>
        <w:tc>
          <w:tcPr>
            <w:tcW w:w="1701" w:type="dxa"/>
          </w:tcPr>
          <w:p>
            <w:pPr>
              <w:pStyle w:val="TableParagraph"/>
              <w:rPr>
                <w:rFonts w:ascii="Times New Roman"/>
                <w:sz w:val="16"/>
              </w:rPr>
            </w:pPr>
          </w:p>
        </w:tc>
        <w:tc>
          <w:tcPr>
            <w:tcW w:w="1701" w:type="dxa"/>
          </w:tcPr>
          <w:p>
            <w:pPr>
              <w:pStyle w:val="TableParagraph"/>
              <w:rPr>
                <w:rFonts w:ascii="Times New Roman"/>
                <w:sz w:val="16"/>
              </w:rPr>
            </w:pPr>
          </w:p>
        </w:tc>
        <w:tc>
          <w:tcPr>
            <w:tcW w:w="1846" w:type="dxa"/>
          </w:tcPr>
          <w:p>
            <w:pPr>
              <w:pStyle w:val="TableParagraph"/>
              <w:rPr>
                <w:rFonts w:ascii="Times New Roman"/>
                <w:sz w:val="16"/>
              </w:rPr>
            </w:pPr>
          </w:p>
        </w:tc>
        <w:tc>
          <w:tcPr>
            <w:tcW w:w="991" w:type="dxa"/>
          </w:tcPr>
          <w:p>
            <w:pPr>
              <w:pStyle w:val="TableParagraph"/>
              <w:rPr>
                <w:rFonts w:ascii="Times New Roman"/>
                <w:sz w:val="16"/>
              </w:rPr>
            </w:pPr>
          </w:p>
        </w:tc>
        <w:tc>
          <w:tcPr>
            <w:tcW w:w="991" w:type="dxa"/>
          </w:tcPr>
          <w:p>
            <w:pPr>
              <w:pStyle w:val="TableParagraph"/>
              <w:rPr>
                <w:rFonts w:ascii="Times New Roman"/>
                <w:sz w:val="16"/>
              </w:rPr>
            </w:pPr>
          </w:p>
        </w:tc>
        <w:tc>
          <w:tcPr>
            <w:tcW w:w="995" w:type="dxa"/>
          </w:tcPr>
          <w:p>
            <w:pPr>
              <w:pStyle w:val="TableParagraph"/>
              <w:rPr>
                <w:rFonts w:ascii="Times New Roman"/>
                <w:sz w:val="16"/>
              </w:rPr>
            </w:pPr>
          </w:p>
        </w:tc>
        <w:tc>
          <w:tcPr>
            <w:tcW w:w="850" w:type="dxa"/>
          </w:tcPr>
          <w:p>
            <w:pPr>
              <w:pStyle w:val="TableParagraph"/>
              <w:rPr>
                <w:rFonts w:ascii="Times New Roman"/>
                <w:sz w:val="16"/>
              </w:rPr>
            </w:pPr>
          </w:p>
        </w:tc>
      </w:tr>
      <w:tr>
        <w:trPr>
          <w:trHeight w:val="7042" w:hRule="atLeast"/>
        </w:trPr>
        <w:tc>
          <w:tcPr>
            <w:tcW w:w="670" w:type="dxa"/>
          </w:tcPr>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spacing w:before="106"/>
              <w:rPr>
                <w:rFonts w:ascii="Calibri"/>
                <w:sz w:val="16"/>
              </w:rPr>
            </w:pPr>
          </w:p>
          <w:p>
            <w:pPr>
              <w:pStyle w:val="TableParagraph"/>
              <w:ind w:right="39"/>
              <w:jc w:val="center"/>
              <w:rPr>
                <w:sz w:val="16"/>
              </w:rPr>
            </w:pPr>
            <w:r>
              <w:rPr>
                <w:spacing w:val="-4"/>
                <w:sz w:val="16"/>
              </w:rPr>
              <w:t>SR04</w:t>
            </w:r>
          </w:p>
        </w:tc>
        <w:tc>
          <w:tcPr>
            <w:tcW w:w="131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55"/>
              <w:rPr>
                <w:rFonts w:ascii="Calibri"/>
                <w:sz w:val="18"/>
              </w:rPr>
            </w:pPr>
          </w:p>
          <w:p>
            <w:pPr>
              <w:pStyle w:val="TableParagraph"/>
              <w:spacing w:line="242" w:lineRule="auto"/>
              <w:ind w:left="104"/>
              <w:rPr>
                <w:sz w:val="18"/>
              </w:rPr>
            </w:pPr>
            <w:r>
              <w:rPr>
                <w:spacing w:val="-2"/>
                <w:sz w:val="18"/>
              </w:rPr>
              <w:t>Promote research,</w:t>
            </w:r>
          </w:p>
          <w:p>
            <w:pPr>
              <w:pStyle w:val="TableParagraph"/>
              <w:ind w:left="104" w:right="144"/>
              <w:rPr>
                <w:sz w:val="18"/>
              </w:rPr>
            </w:pPr>
            <w:r>
              <w:rPr>
                <w:spacing w:val="-2"/>
                <w:sz w:val="18"/>
              </w:rPr>
              <w:t>innovation, </w:t>
            </w:r>
            <w:r>
              <w:rPr>
                <w:spacing w:val="-4"/>
                <w:sz w:val="18"/>
              </w:rPr>
              <w:t>and </w:t>
            </w:r>
            <w:r>
              <w:rPr>
                <w:sz w:val="18"/>
              </w:rPr>
              <w:t>excellence</w:t>
            </w:r>
            <w:r>
              <w:rPr>
                <w:spacing w:val="-13"/>
                <w:sz w:val="18"/>
              </w:rPr>
              <w:t> </w:t>
            </w:r>
            <w:r>
              <w:rPr>
                <w:sz w:val="18"/>
              </w:rPr>
              <w:t>to </w:t>
            </w:r>
            <w:r>
              <w:rPr>
                <w:spacing w:val="-2"/>
                <w:sz w:val="18"/>
              </w:rPr>
              <w:t>improve</w:t>
            </w:r>
          </w:p>
          <w:p>
            <w:pPr>
              <w:pStyle w:val="TableParagraph"/>
              <w:ind w:left="104"/>
              <w:rPr>
                <w:sz w:val="18"/>
              </w:rPr>
            </w:pPr>
            <w:r>
              <w:rPr>
                <w:spacing w:val="-2"/>
                <w:sz w:val="18"/>
              </w:rPr>
              <w:t>regional outcomes.</w:t>
            </w:r>
          </w:p>
        </w:tc>
        <w:tc>
          <w:tcPr>
            <w:tcW w:w="2121" w:type="dxa"/>
          </w:tcPr>
          <w:p>
            <w:pPr>
              <w:pStyle w:val="TableParagraph"/>
              <w:spacing w:line="242" w:lineRule="auto" w:before="1"/>
              <w:ind w:left="104"/>
              <w:rPr>
                <w:sz w:val="18"/>
              </w:rPr>
            </w:pPr>
            <w:r>
              <w:rPr>
                <w:sz w:val="18"/>
              </w:rPr>
              <w:t>There</w:t>
            </w:r>
            <w:r>
              <w:rPr>
                <w:spacing w:val="-8"/>
                <w:sz w:val="18"/>
              </w:rPr>
              <w:t> </w:t>
            </w:r>
            <w:r>
              <w:rPr>
                <w:sz w:val="18"/>
              </w:rPr>
              <w:t>is</w:t>
            </w:r>
            <w:r>
              <w:rPr>
                <w:spacing w:val="-8"/>
                <w:sz w:val="18"/>
              </w:rPr>
              <w:t> </w:t>
            </w:r>
            <w:r>
              <w:rPr>
                <w:sz w:val="18"/>
              </w:rPr>
              <w:t>a</w:t>
            </w:r>
            <w:r>
              <w:rPr>
                <w:spacing w:val="-8"/>
                <w:sz w:val="18"/>
              </w:rPr>
              <w:t> </w:t>
            </w:r>
            <w:r>
              <w:rPr>
                <w:sz w:val="18"/>
              </w:rPr>
              <w:t>risk</w:t>
            </w:r>
            <w:r>
              <w:rPr>
                <w:spacing w:val="-9"/>
                <w:sz w:val="18"/>
              </w:rPr>
              <w:t> </w:t>
            </w:r>
            <w:r>
              <w:rPr>
                <w:sz w:val="18"/>
              </w:rPr>
              <w:t>that</w:t>
            </w:r>
            <w:r>
              <w:rPr>
                <w:spacing w:val="-8"/>
                <w:sz w:val="18"/>
              </w:rPr>
              <w:t> </w:t>
            </w:r>
            <w:r>
              <w:rPr>
                <w:sz w:val="18"/>
              </w:rPr>
              <w:t>the region does not fully</w:t>
            </w:r>
          </w:p>
          <w:p>
            <w:pPr>
              <w:pStyle w:val="TableParagraph"/>
              <w:spacing w:line="203" w:lineRule="exact"/>
              <w:ind w:left="104"/>
              <w:rPr>
                <w:sz w:val="18"/>
              </w:rPr>
            </w:pPr>
            <w:r>
              <w:rPr>
                <w:sz w:val="18"/>
              </w:rPr>
              <w:t>realise</w:t>
            </w:r>
            <w:r>
              <w:rPr>
                <w:spacing w:val="-2"/>
                <w:sz w:val="18"/>
              </w:rPr>
              <w:t> </w:t>
            </w:r>
            <w:r>
              <w:rPr>
                <w:sz w:val="18"/>
              </w:rPr>
              <w:t>the</w:t>
            </w:r>
            <w:r>
              <w:rPr>
                <w:spacing w:val="-1"/>
                <w:sz w:val="18"/>
              </w:rPr>
              <w:t> </w:t>
            </w:r>
            <w:r>
              <w:rPr>
                <w:sz w:val="18"/>
              </w:rPr>
              <w:t>benefits </w:t>
            </w:r>
            <w:r>
              <w:rPr>
                <w:spacing w:val="-5"/>
                <w:sz w:val="18"/>
              </w:rPr>
              <w:t>of</w:t>
            </w:r>
          </w:p>
          <w:p>
            <w:pPr>
              <w:pStyle w:val="TableParagraph"/>
              <w:spacing w:line="242" w:lineRule="auto"/>
              <w:ind w:left="104"/>
              <w:rPr>
                <w:sz w:val="18"/>
              </w:rPr>
            </w:pPr>
            <w:r>
              <w:rPr>
                <w:sz w:val="18"/>
              </w:rPr>
              <w:t>its</w:t>
            </w:r>
            <w:r>
              <w:rPr>
                <w:spacing w:val="-15"/>
                <w:sz w:val="18"/>
              </w:rPr>
              <w:t> </w:t>
            </w:r>
            <w:r>
              <w:rPr>
                <w:sz w:val="18"/>
              </w:rPr>
              <w:t>research,</w:t>
            </w:r>
            <w:r>
              <w:rPr>
                <w:spacing w:val="-12"/>
                <w:sz w:val="18"/>
              </w:rPr>
              <w:t> </w:t>
            </w:r>
            <w:r>
              <w:rPr>
                <w:sz w:val="18"/>
              </w:rPr>
              <w:t>innovation and academic partnerships to drive </w:t>
            </w:r>
            <w:r>
              <w:rPr>
                <w:spacing w:val="-2"/>
                <w:sz w:val="18"/>
              </w:rPr>
              <w:t>transformational</w:t>
            </w:r>
          </w:p>
          <w:p>
            <w:pPr>
              <w:pStyle w:val="TableParagraph"/>
              <w:spacing w:line="237" w:lineRule="auto"/>
              <w:ind w:left="104"/>
              <w:rPr>
                <w:sz w:val="18"/>
              </w:rPr>
            </w:pPr>
            <w:r>
              <w:rPr>
                <w:sz w:val="18"/>
              </w:rPr>
              <w:t>improvement</w:t>
            </w:r>
            <w:r>
              <w:rPr>
                <w:spacing w:val="-15"/>
                <w:sz w:val="18"/>
              </w:rPr>
              <w:t> </w:t>
            </w:r>
            <w:r>
              <w:rPr>
                <w:sz w:val="18"/>
              </w:rPr>
              <w:t>in</w:t>
            </w:r>
            <w:r>
              <w:rPr>
                <w:spacing w:val="-12"/>
                <w:sz w:val="18"/>
              </w:rPr>
              <w:t> </w:t>
            </w:r>
            <w:r>
              <w:rPr>
                <w:sz w:val="18"/>
              </w:rPr>
              <w:t>health and care outcomes.</w:t>
            </w:r>
          </w:p>
          <w:p>
            <w:pPr>
              <w:pStyle w:val="TableParagraph"/>
              <w:ind w:left="104" w:right="205"/>
              <w:rPr>
                <w:sz w:val="18"/>
              </w:rPr>
            </w:pPr>
            <w:r>
              <w:rPr>
                <w:sz w:val="18"/>
              </w:rPr>
              <w:t>This</w:t>
            </w:r>
            <w:r>
              <w:rPr>
                <w:spacing w:val="-10"/>
                <w:sz w:val="18"/>
              </w:rPr>
              <w:t> </w:t>
            </w:r>
            <w:r>
              <w:rPr>
                <w:sz w:val="18"/>
              </w:rPr>
              <w:t>is</w:t>
            </w:r>
            <w:r>
              <w:rPr>
                <w:spacing w:val="-10"/>
                <w:sz w:val="18"/>
              </w:rPr>
              <w:t> </w:t>
            </w:r>
            <w:r>
              <w:rPr>
                <w:sz w:val="18"/>
              </w:rPr>
              <w:t>caused</w:t>
            </w:r>
            <w:r>
              <w:rPr>
                <w:spacing w:val="-10"/>
                <w:sz w:val="18"/>
              </w:rPr>
              <w:t> </w:t>
            </w:r>
            <w:r>
              <w:rPr>
                <w:sz w:val="18"/>
              </w:rPr>
              <w:t>by</w:t>
            </w:r>
            <w:r>
              <w:rPr>
                <w:spacing w:val="-10"/>
                <w:sz w:val="18"/>
              </w:rPr>
              <w:t> </w:t>
            </w:r>
            <w:r>
              <w:rPr>
                <w:sz w:val="18"/>
              </w:rPr>
              <w:t>an inability to translate research,</w:t>
            </w:r>
            <w:r>
              <w:rPr>
                <w:spacing w:val="-13"/>
                <w:sz w:val="18"/>
              </w:rPr>
              <w:t> </w:t>
            </w:r>
            <w:r>
              <w:rPr>
                <w:sz w:val="18"/>
              </w:rPr>
              <w:t>innovation and life sciences</w:t>
            </w:r>
          </w:p>
          <w:p>
            <w:pPr>
              <w:pStyle w:val="TableParagraph"/>
              <w:ind w:left="104" w:right="158"/>
              <w:rPr>
                <w:sz w:val="18"/>
              </w:rPr>
            </w:pPr>
            <w:r>
              <w:rPr>
                <w:sz w:val="18"/>
              </w:rPr>
              <w:t>opportunities,</w:t>
            </w:r>
            <w:r>
              <w:rPr>
                <w:spacing w:val="-13"/>
                <w:sz w:val="18"/>
              </w:rPr>
              <w:t> </w:t>
            </w:r>
            <w:r>
              <w:rPr>
                <w:sz w:val="18"/>
              </w:rPr>
              <w:t>including those relating to cancer, cardiovascular care, digital innovation and</w:t>
            </w:r>
            <w:r>
              <w:rPr>
                <w:spacing w:val="-13"/>
                <w:sz w:val="18"/>
              </w:rPr>
              <w:t> </w:t>
            </w:r>
            <w:r>
              <w:rPr>
                <w:sz w:val="18"/>
              </w:rPr>
              <w:t>academia-industry collaboration, into</w:t>
            </w:r>
          </w:p>
          <w:p>
            <w:pPr>
              <w:pStyle w:val="TableParagraph"/>
              <w:ind w:left="104" w:right="124"/>
              <w:rPr>
                <w:sz w:val="18"/>
              </w:rPr>
            </w:pPr>
            <w:r>
              <w:rPr>
                <w:sz w:val="18"/>
              </w:rPr>
              <w:t>coordinated, scalable and</w:t>
            </w:r>
            <w:r>
              <w:rPr>
                <w:spacing w:val="-15"/>
                <w:sz w:val="18"/>
              </w:rPr>
              <w:t> </w:t>
            </w:r>
            <w:r>
              <w:rPr>
                <w:sz w:val="18"/>
              </w:rPr>
              <w:t>sustainable</w:t>
            </w:r>
            <w:r>
              <w:rPr>
                <w:spacing w:val="-12"/>
                <w:sz w:val="18"/>
              </w:rPr>
              <w:t> </w:t>
            </w:r>
            <w:r>
              <w:rPr>
                <w:sz w:val="18"/>
              </w:rPr>
              <w:t>service improvement at pace.</w:t>
            </w:r>
          </w:p>
          <w:p>
            <w:pPr>
              <w:pStyle w:val="TableParagraph"/>
              <w:spacing w:line="205" w:lineRule="exact"/>
              <w:ind w:left="104"/>
              <w:rPr>
                <w:sz w:val="18"/>
              </w:rPr>
            </w:pPr>
            <w:r>
              <w:rPr>
                <w:sz w:val="18"/>
              </w:rPr>
              <w:t>This</w:t>
            </w:r>
            <w:r>
              <w:rPr>
                <w:spacing w:val="-1"/>
                <w:sz w:val="18"/>
              </w:rPr>
              <w:t> </w:t>
            </w:r>
            <w:r>
              <w:rPr>
                <w:sz w:val="18"/>
              </w:rPr>
              <w:t>will</w:t>
            </w:r>
            <w:r>
              <w:rPr>
                <w:spacing w:val="-1"/>
                <w:sz w:val="18"/>
              </w:rPr>
              <w:t> </w:t>
            </w:r>
            <w:r>
              <w:rPr>
                <w:sz w:val="18"/>
              </w:rPr>
              <w:t>lead</w:t>
            </w:r>
            <w:r>
              <w:rPr>
                <w:spacing w:val="-1"/>
                <w:sz w:val="18"/>
              </w:rPr>
              <w:t> </w:t>
            </w:r>
            <w:r>
              <w:rPr>
                <w:spacing w:val="-5"/>
                <w:sz w:val="18"/>
              </w:rPr>
              <w:t>to</w:t>
            </w:r>
          </w:p>
          <w:p>
            <w:pPr>
              <w:pStyle w:val="TableParagraph"/>
              <w:ind w:left="104" w:right="268"/>
              <w:rPr>
                <w:sz w:val="18"/>
              </w:rPr>
            </w:pPr>
            <w:r>
              <w:rPr>
                <w:sz w:val="18"/>
              </w:rPr>
              <w:t>reduced</w:t>
            </w:r>
            <w:r>
              <w:rPr>
                <w:spacing w:val="-13"/>
                <w:sz w:val="18"/>
              </w:rPr>
              <w:t> </w:t>
            </w:r>
            <w:r>
              <w:rPr>
                <w:sz w:val="18"/>
              </w:rPr>
              <w:t>opportunities to</w:t>
            </w:r>
            <w:r>
              <w:rPr>
                <w:spacing w:val="-15"/>
                <w:sz w:val="18"/>
              </w:rPr>
              <w:t> </w:t>
            </w:r>
            <w:r>
              <w:rPr>
                <w:sz w:val="18"/>
              </w:rPr>
              <w:t>improve</w:t>
            </w:r>
            <w:r>
              <w:rPr>
                <w:spacing w:val="-12"/>
                <w:sz w:val="18"/>
              </w:rPr>
              <w:t> </w:t>
            </w:r>
            <w:r>
              <w:rPr>
                <w:sz w:val="18"/>
              </w:rPr>
              <w:t>population outcomes, slower adoption</w:t>
            </w:r>
            <w:r>
              <w:rPr>
                <w:spacing w:val="-15"/>
                <w:sz w:val="18"/>
              </w:rPr>
              <w:t> </w:t>
            </w:r>
            <w:r>
              <w:rPr>
                <w:sz w:val="18"/>
              </w:rPr>
              <w:t>of</w:t>
            </w:r>
            <w:r>
              <w:rPr>
                <w:spacing w:val="-12"/>
                <w:sz w:val="18"/>
              </w:rPr>
              <w:t> </w:t>
            </w:r>
            <w:r>
              <w:rPr>
                <w:sz w:val="18"/>
              </w:rPr>
              <w:t>evidence-based innovation, diminished system productivity and</w:t>
            </w:r>
          </w:p>
          <w:p>
            <w:pPr>
              <w:pStyle w:val="TableParagraph"/>
              <w:ind w:left="104" w:right="638"/>
              <w:rPr>
                <w:sz w:val="18"/>
              </w:rPr>
            </w:pPr>
            <w:r>
              <w:rPr>
                <w:sz w:val="18"/>
              </w:rPr>
              <w:t>resilience, and a reduced</w:t>
            </w:r>
            <w:r>
              <w:rPr>
                <w:spacing w:val="-1"/>
                <w:sz w:val="18"/>
              </w:rPr>
              <w:t> </w:t>
            </w:r>
            <w:r>
              <w:rPr>
                <w:sz w:val="18"/>
              </w:rPr>
              <w:t>ability</w:t>
            </w:r>
            <w:r>
              <w:rPr>
                <w:spacing w:val="-1"/>
                <w:sz w:val="18"/>
              </w:rPr>
              <w:t> </w:t>
            </w:r>
            <w:r>
              <w:rPr>
                <w:spacing w:val="-5"/>
                <w:sz w:val="18"/>
              </w:rPr>
              <w:t>to</w:t>
            </w:r>
          </w:p>
          <w:p>
            <w:pPr>
              <w:pStyle w:val="TableParagraph"/>
              <w:spacing w:line="206" w:lineRule="exact" w:before="1"/>
              <w:ind w:left="104"/>
              <w:rPr>
                <w:sz w:val="18"/>
              </w:rPr>
            </w:pPr>
            <w:r>
              <w:rPr>
                <w:sz w:val="18"/>
              </w:rPr>
              <w:t>attract</w:t>
            </w:r>
            <w:r>
              <w:rPr>
                <w:spacing w:val="-9"/>
                <w:sz w:val="18"/>
              </w:rPr>
              <w:t> </w:t>
            </w:r>
            <w:r>
              <w:rPr>
                <w:spacing w:val="-2"/>
                <w:sz w:val="18"/>
              </w:rPr>
              <w:t>investment,</w:t>
            </w:r>
          </w:p>
          <w:p>
            <w:pPr>
              <w:pStyle w:val="TableParagraph"/>
              <w:spacing w:line="188" w:lineRule="exact"/>
              <w:ind w:left="104"/>
              <w:rPr>
                <w:sz w:val="18"/>
              </w:rPr>
            </w:pPr>
            <w:r>
              <w:rPr>
                <w:sz w:val="18"/>
              </w:rPr>
              <w:t>research</w:t>
            </w:r>
            <w:r>
              <w:rPr>
                <w:spacing w:val="-4"/>
                <w:sz w:val="18"/>
              </w:rPr>
              <w:t> </w:t>
            </w:r>
            <w:r>
              <w:rPr>
                <w:sz w:val="18"/>
              </w:rPr>
              <w:t>funding, </w:t>
            </w:r>
            <w:r>
              <w:rPr>
                <w:spacing w:val="-4"/>
                <w:sz w:val="18"/>
              </w:rPr>
              <w:t>high-</w:t>
            </w:r>
          </w:p>
        </w:tc>
        <w:tc>
          <w:tcPr>
            <w:tcW w:w="170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08"/>
              <w:rPr>
                <w:rFonts w:ascii="Calibri"/>
                <w:sz w:val="18"/>
              </w:rPr>
            </w:pPr>
          </w:p>
          <w:p>
            <w:pPr>
              <w:pStyle w:val="TableParagraph"/>
              <w:ind w:left="109" w:right="139"/>
              <w:rPr>
                <w:sz w:val="18"/>
              </w:rPr>
            </w:pPr>
            <w:r>
              <w:rPr>
                <w:spacing w:val="-2"/>
                <w:sz w:val="18"/>
              </w:rPr>
              <w:t>Research, </w:t>
            </w:r>
            <w:r>
              <w:rPr>
                <w:sz w:val="18"/>
              </w:rPr>
              <w:t>Innovation and </w:t>
            </w:r>
            <w:r>
              <w:rPr>
                <w:spacing w:val="-2"/>
                <w:sz w:val="18"/>
              </w:rPr>
              <w:t>Excellence Subgroup; </w:t>
            </w:r>
            <w:r>
              <w:rPr>
                <w:sz w:val="18"/>
              </w:rPr>
              <w:t>emerging</w:t>
            </w:r>
            <w:r>
              <w:rPr>
                <w:spacing w:val="-13"/>
                <w:sz w:val="18"/>
              </w:rPr>
              <w:t> </w:t>
            </w:r>
            <w:r>
              <w:rPr>
                <w:sz w:val="18"/>
              </w:rPr>
              <w:t>regional operating model; university and life </w:t>
            </w:r>
            <w:r>
              <w:rPr>
                <w:spacing w:val="-2"/>
                <w:sz w:val="18"/>
              </w:rPr>
              <w:t>sciences partnerships;</w:t>
            </w:r>
          </w:p>
          <w:p>
            <w:pPr>
              <w:pStyle w:val="TableParagraph"/>
              <w:ind w:left="109" w:right="149"/>
              <w:rPr>
                <w:sz w:val="18"/>
              </w:rPr>
            </w:pPr>
            <w:r>
              <w:rPr>
                <w:sz w:val="18"/>
              </w:rPr>
              <w:t>innovation and training</w:t>
            </w:r>
            <w:r>
              <w:rPr>
                <w:spacing w:val="-13"/>
                <w:sz w:val="18"/>
              </w:rPr>
              <w:t> </w:t>
            </w:r>
            <w:r>
              <w:rPr>
                <w:sz w:val="18"/>
              </w:rPr>
              <w:t>initiatives; inclusion of</w:t>
            </w:r>
          </w:p>
          <w:p>
            <w:pPr>
              <w:pStyle w:val="TableParagraph"/>
              <w:spacing w:line="206" w:lineRule="exact" w:before="3"/>
              <w:ind w:left="109"/>
              <w:jc w:val="both"/>
              <w:rPr>
                <w:sz w:val="18"/>
              </w:rPr>
            </w:pPr>
            <w:r>
              <w:rPr>
                <w:sz w:val="18"/>
              </w:rPr>
              <w:t>research</w:t>
            </w:r>
            <w:r>
              <w:rPr>
                <w:spacing w:val="-1"/>
                <w:sz w:val="18"/>
              </w:rPr>
              <w:t> </w:t>
            </w:r>
            <w:r>
              <w:rPr>
                <w:spacing w:val="-5"/>
                <w:sz w:val="18"/>
              </w:rPr>
              <w:t>and</w:t>
            </w:r>
          </w:p>
          <w:p>
            <w:pPr>
              <w:pStyle w:val="TableParagraph"/>
              <w:ind w:left="109" w:right="214"/>
              <w:jc w:val="both"/>
              <w:rPr>
                <w:sz w:val="18"/>
              </w:rPr>
            </w:pPr>
            <w:r>
              <w:rPr>
                <w:sz w:val="18"/>
              </w:rPr>
              <w:t>innovation within regional</w:t>
            </w:r>
            <w:r>
              <w:rPr>
                <w:spacing w:val="-13"/>
                <w:sz w:val="18"/>
              </w:rPr>
              <w:t> </w:t>
            </w:r>
            <w:r>
              <w:rPr>
                <w:sz w:val="18"/>
              </w:rPr>
              <w:t>planning </w:t>
            </w:r>
            <w:r>
              <w:rPr>
                <w:spacing w:val="-2"/>
                <w:sz w:val="18"/>
              </w:rPr>
              <w:t>discussions.</w:t>
            </w:r>
          </w:p>
        </w:tc>
        <w:tc>
          <w:tcPr>
            <w:tcW w:w="170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08"/>
              <w:rPr>
                <w:rFonts w:ascii="Calibri"/>
                <w:sz w:val="18"/>
              </w:rPr>
            </w:pPr>
          </w:p>
          <w:p>
            <w:pPr>
              <w:pStyle w:val="TableParagraph"/>
              <w:ind w:left="103"/>
              <w:rPr>
                <w:sz w:val="18"/>
              </w:rPr>
            </w:pPr>
            <w:r>
              <w:rPr>
                <w:sz w:val="18"/>
              </w:rPr>
              <w:t>Reports</w:t>
            </w:r>
            <w:r>
              <w:rPr>
                <w:spacing w:val="-13"/>
                <w:sz w:val="18"/>
              </w:rPr>
              <w:t> </w:t>
            </w:r>
            <w:r>
              <w:rPr>
                <w:sz w:val="18"/>
              </w:rPr>
              <w:t>from research</w:t>
            </w:r>
            <w:r>
              <w:rPr>
                <w:spacing w:val="-13"/>
                <w:sz w:val="18"/>
              </w:rPr>
              <w:t> </w:t>
            </w:r>
            <w:r>
              <w:rPr>
                <w:sz w:val="18"/>
              </w:rPr>
              <w:t>and </w:t>
            </w:r>
            <w:r>
              <w:rPr>
                <w:spacing w:val="-2"/>
                <w:sz w:val="18"/>
              </w:rPr>
              <w:t>innovation programmes;</w:t>
            </w:r>
          </w:p>
          <w:p>
            <w:pPr>
              <w:pStyle w:val="TableParagraph"/>
              <w:spacing w:line="242" w:lineRule="auto"/>
              <w:ind w:left="103" w:right="305"/>
              <w:rPr>
                <w:sz w:val="18"/>
              </w:rPr>
            </w:pPr>
            <w:r>
              <w:rPr>
                <w:sz w:val="18"/>
              </w:rPr>
              <w:t>subgroup work </w:t>
            </w:r>
            <w:r>
              <w:rPr>
                <w:spacing w:val="-2"/>
                <w:sz w:val="18"/>
              </w:rPr>
              <w:t>programme updates;</w:t>
            </w:r>
            <w:r>
              <w:rPr>
                <w:spacing w:val="-11"/>
                <w:sz w:val="18"/>
              </w:rPr>
              <w:t> </w:t>
            </w:r>
            <w:r>
              <w:rPr>
                <w:spacing w:val="-2"/>
                <w:sz w:val="18"/>
              </w:rPr>
              <w:t>Welsh Government</w:t>
            </w:r>
          </w:p>
          <w:p>
            <w:pPr>
              <w:pStyle w:val="TableParagraph"/>
              <w:spacing w:line="200" w:lineRule="exact"/>
              <w:ind w:left="103"/>
              <w:rPr>
                <w:sz w:val="18"/>
              </w:rPr>
            </w:pPr>
            <w:r>
              <w:rPr>
                <w:sz w:val="18"/>
              </w:rPr>
              <w:t>support </w:t>
            </w:r>
            <w:r>
              <w:rPr>
                <w:spacing w:val="-5"/>
                <w:sz w:val="18"/>
              </w:rPr>
              <w:t>for</w:t>
            </w:r>
          </w:p>
          <w:p>
            <w:pPr>
              <w:pStyle w:val="TableParagraph"/>
              <w:spacing w:line="242" w:lineRule="auto"/>
              <w:ind w:left="103" w:right="200"/>
              <w:rPr>
                <w:sz w:val="18"/>
              </w:rPr>
            </w:pPr>
            <w:r>
              <w:rPr>
                <w:sz w:val="18"/>
              </w:rPr>
              <w:t>regional clinical trials;</w:t>
            </w:r>
            <w:r>
              <w:rPr>
                <w:spacing w:val="-13"/>
                <w:sz w:val="18"/>
              </w:rPr>
              <w:t> </w:t>
            </w:r>
            <w:r>
              <w:rPr>
                <w:sz w:val="18"/>
              </w:rPr>
              <w:t>partnership updates;</w:t>
            </w:r>
            <w:r>
              <w:rPr>
                <w:spacing w:val="-13"/>
                <w:sz w:val="18"/>
              </w:rPr>
              <w:t> </w:t>
            </w:r>
            <w:r>
              <w:rPr>
                <w:sz w:val="18"/>
              </w:rPr>
              <w:t>benefits </w:t>
            </w:r>
            <w:r>
              <w:rPr>
                <w:spacing w:val="-2"/>
                <w:sz w:val="18"/>
              </w:rPr>
              <w:t>realisation</w:t>
            </w:r>
          </w:p>
          <w:p>
            <w:pPr>
              <w:pStyle w:val="TableParagraph"/>
              <w:spacing w:line="200" w:lineRule="exact"/>
              <w:ind w:left="103"/>
              <w:rPr>
                <w:sz w:val="18"/>
              </w:rPr>
            </w:pPr>
            <w:r>
              <w:rPr>
                <w:spacing w:val="-2"/>
                <w:sz w:val="18"/>
              </w:rPr>
              <w:t>reporting;</w:t>
            </w:r>
          </w:p>
          <w:p>
            <w:pPr>
              <w:pStyle w:val="TableParagraph"/>
              <w:spacing w:line="242" w:lineRule="auto"/>
              <w:ind w:left="103" w:right="310"/>
              <w:rPr>
                <w:sz w:val="18"/>
              </w:rPr>
            </w:pPr>
            <w:r>
              <w:rPr>
                <w:sz w:val="18"/>
              </w:rPr>
              <w:t>workforce and training</w:t>
            </w:r>
            <w:r>
              <w:rPr>
                <w:spacing w:val="-13"/>
                <w:sz w:val="18"/>
              </w:rPr>
              <w:t> </w:t>
            </w:r>
            <w:r>
              <w:rPr>
                <w:sz w:val="18"/>
              </w:rPr>
              <w:t>metrics.</w:t>
            </w:r>
          </w:p>
        </w:tc>
        <w:tc>
          <w:tcPr>
            <w:tcW w:w="170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18"/>
              <w:rPr>
                <w:rFonts w:ascii="Calibri"/>
                <w:sz w:val="18"/>
              </w:rPr>
            </w:pPr>
          </w:p>
          <w:p>
            <w:pPr>
              <w:pStyle w:val="TableParagraph"/>
              <w:ind w:left="103" w:right="120"/>
              <w:rPr>
                <w:sz w:val="18"/>
              </w:rPr>
            </w:pPr>
            <w:r>
              <w:rPr>
                <w:sz w:val="18"/>
              </w:rPr>
              <w:t>Limited</w:t>
            </w:r>
            <w:r>
              <w:rPr>
                <w:spacing w:val="-13"/>
                <w:sz w:val="18"/>
              </w:rPr>
              <w:t> </w:t>
            </w:r>
            <w:r>
              <w:rPr>
                <w:sz w:val="18"/>
              </w:rPr>
              <w:t>assurance remains on pipeline maturity,</w:t>
            </w:r>
          </w:p>
          <w:p>
            <w:pPr>
              <w:pStyle w:val="TableParagraph"/>
              <w:spacing w:before="5"/>
              <w:ind w:left="103"/>
              <w:rPr>
                <w:sz w:val="18"/>
              </w:rPr>
            </w:pPr>
            <w:r>
              <w:rPr>
                <w:spacing w:val="-2"/>
                <w:sz w:val="18"/>
              </w:rPr>
              <w:t>implementation capacity,</w:t>
            </w:r>
          </w:p>
          <w:p>
            <w:pPr>
              <w:pStyle w:val="TableParagraph"/>
              <w:ind w:left="103" w:right="230"/>
              <w:rPr>
                <w:sz w:val="18"/>
              </w:rPr>
            </w:pPr>
            <w:r>
              <w:rPr>
                <w:spacing w:val="-2"/>
                <w:sz w:val="18"/>
              </w:rPr>
              <w:t>leadership </w:t>
            </w:r>
            <w:r>
              <w:rPr>
                <w:sz w:val="18"/>
              </w:rPr>
              <w:t>capacity</w:t>
            </w:r>
            <w:r>
              <w:rPr>
                <w:spacing w:val="-13"/>
                <w:sz w:val="18"/>
              </w:rPr>
              <w:t> </w:t>
            </w:r>
            <w:r>
              <w:rPr>
                <w:sz w:val="18"/>
              </w:rPr>
              <w:t>pending </w:t>
            </w:r>
            <w:r>
              <w:rPr>
                <w:spacing w:val="-2"/>
                <w:sz w:val="18"/>
              </w:rPr>
              <w:t>appointment, </w:t>
            </w:r>
            <w:r>
              <w:rPr>
                <w:sz w:val="18"/>
              </w:rPr>
              <w:t>spread and adoption of</w:t>
            </w:r>
          </w:p>
          <w:p>
            <w:pPr>
              <w:pStyle w:val="TableParagraph"/>
              <w:ind w:left="103" w:right="350"/>
              <w:rPr>
                <w:sz w:val="18"/>
              </w:rPr>
            </w:pPr>
            <w:r>
              <w:rPr>
                <w:spacing w:val="-2"/>
                <w:sz w:val="18"/>
              </w:rPr>
              <w:t>innovation, </w:t>
            </w:r>
            <w:r>
              <w:rPr>
                <w:sz w:val="18"/>
              </w:rPr>
              <w:t>alignment with regional</w:t>
            </w:r>
            <w:r>
              <w:rPr>
                <w:spacing w:val="-13"/>
                <w:sz w:val="18"/>
              </w:rPr>
              <w:t> </w:t>
            </w:r>
            <w:r>
              <w:rPr>
                <w:sz w:val="18"/>
              </w:rPr>
              <w:t>clinical priorities, and </w:t>
            </w:r>
            <w:r>
              <w:rPr>
                <w:spacing w:val="-2"/>
                <w:sz w:val="18"/>
              </w:rPr>
              <w:t>measurable</w:t>
            </w:r>
          </w:p>
          <w:p>
            <w:pPr>
              <w:pStyle w:val="TableParagraph"/>
              <w:ind w:left="103"/>
              <w:rPr>
                <w:sz w:val="18"/>
              </w:rPr>
            </w:pPr>
            <w:r>
              <w:rPr>
                <w:sz w:val="18"/>
              </w:rPr>
              <w:t>impact</w:t>
            </w:r>
            <w:r>
              <w:rPr>
                <w:spacing w:val="-15"/>
                <w:sz w:val="18"/>
              </w:rPr>
              <w:t> </w:t>
            </w:r>
            <w:r>
              <w:rPr>
                <w:sz w:val="18"/>
              </w:rPr>
              <w:t>on</w:t>
            </w:r>
            <w:r>
              <w:rPr>
                <w:spacing w:val="-12"/>
                <w:sz w:val="18"/>
              </w:rPr>
              <w:t> </w:t>
            </w:r>
            <w:r>
              <w:rPr>
                <w:sz w:val="18"/>
              </w:rPr>
              <w:t>service quality and </w:t>
            </w:r>
            <w:r>
              <w:rPr>
                <w:spacing w:val="-2"/>
                <w:sz w:val="18"/>
              </w:rPr>
              <w:t>outcomes.</w:t>
            </w:r>
          </w:p>
        </w:tc>
        <w:tc>
          <w:tcPr>
            <w:tcW w:w="184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08"/>
              <w:rPr>
                <w:rFonts w:ascii="Calibri"/>
                <w:sz w:val="18"/>
              </w:rPr>
            </w:pPr>
          </w:p>
          <w:p>
            <w:pPr>
              <w:pStyle w:val="TableParagraph"/>
              <w:ind w:left="107"/>
              <w:rPr>
                <w:sz w:val="18"/>
              </w:rPr>
            </w:pPr>
            <w:r>
              <w:rPr>
                <w:sz w:val="18"/>
              </w:rPr>
              <w:t>Confirm</w:t>
            </w:r>
            <w:r>
              <w:rPr>
                <w:spacing w:val="-15"/>
                <w:sz w:val="18"/>
              </w:rPr>
              <w:t> </w:t>
            </w:r>
            <w:r>
              <w:rPr>
                <w:sz w:val="18"/>
              </w:rPr>
              <w:t>the</w:t>
            </w:r>
            <w:r>
              <w:rPr>
                <w:spacing w:val="-12"/>
                <w:sz w:val="18"/>
              </w:rPr>
              <w:t> </w:t>
            </w:r>
            <w:r>
              <w:rPr>
                <w:sz w:val="18"/>
              </w:rPr>
              <w:t>regional research and</w:t>
            </w:r>
          </w:p>
          <w:p>
            <w:pPr>
              <w:pStyle w:val="TableParagraph"/>
              <w:spacing w:before="2"/>
              <w:ind w:left="107" w:right="100"/>
              <w:rPr>
                <w:sz w:val="18"/>
              </w:rPr>
            </w:pPr>
            <w:r>
              <w:rPr>
                <w:sz w:val="18"/>
              </w:rPr>
              <w:t>innovation</w:t>
            </w:r>
            <w:r>
              <w:rPr>
                <w:spacing w:val="-13"/>
                <w:sz w:val="18"/>
              </w:rPr>
              <w:t> </w:t>
            </w:r>
            <w:r>
              <w:rPr>
                <w:sz w:val="18"/>
              </w:rPr>
              <w:t>operating model; complete appointment and</w:t>
            </w:r>
          </w:p>
          <w:p>
            <w:pPr>
              <w:pStyle w:val="TableParagraph"/>
              <w:spacing w:line="205" w:lineRule="exact"/>
              <w:ind w:left="107"/>
              <w:rPr>
                <w:sz w:val="18"/>
              </w:rPr>
            </w:pPr>
            <w:r>
              <w:rPr>
                <w:sz w:val="18"/>
              </w:rPr>
              <w:t>mobilisation</w:t>
            </w:r>
            <w:r>
              <w:rPr>
                <w:spacing w:val="-1"/>
                <w:sz w:val="18"/>
              </w:rPr>
              <w:t> </w:t>
            </w:r>
            <w:r>
              <w:rPr>
                <w:spacing w:val="-5"/>
                <w:sz w:val="18"/>
              </w:rPr>
              <w:t>of</w:t>
            </w:r>
          </w:p>
          <w:p>
            <w:pPr>
              <w:pStyle w:val="TableParagraph"/>
              <w:ind w:left="107" w:right="200"/>
              <w:rPr>
                <w:sz w:val="18"/>
              </w:rPr>
            </w:pPr>
            <w:r>
              <w:rPr>
                <w:sz w:val="18"/>
              </w:rPr>
              <w:t>regional</w:t>
            </w:r>
            <w:r>
              <w:rPr>
                <w:spacing w:val="-13"/>
                <w:sz w:val="18"/>
              </w:rPr>
              <w:t> </w:t>
            </w:r>
            <w:r>
              <w:rPr>
                <w:sz w:val="18"/>
              </w:rPr>
              <w:t>leadership </w:t>
            </w:r>
            <w:r>
              <w:rPr>
                <w:spacing w:val="-2"/>
                <w:sz w:val="18"/>
              </w:rPr>
              <w:t>arrangements; </w:t>
            </w:r>
            <w:r>
              <w:rPr>
                <w:sz w:val="18"/>
              </w:rPr>
              <w:t>develop an</w:t>
            </w:r>
          </w:p>
          <w:p>
            <w:pPr>
              <w:pStyle w:val="TableParagraph"/>
              <w:spacing w:line="242" w:lineRule="auto"/>
              <w:ind w:left="107" w:right="230"/>
              <w:rPr>
                <w:sz w:val="18"/>
              </w:rPr>
            </w:pPr>
            <w:r>
              <w:rPr>
                <w:sz w:val="18"/>
              </w:rPr>
              <w:t>innovation</w:t>
            </w:r>
            <w:r>
              <w:rPr>
                <w:spacing w:val="-13"/>
                <w:sz w:val="18"/>
              </w:rPr>
              <w:t> </w:t>
            </w:r>
            <w:r>
              <w:rPr>
                <w:sz w:val="18"/>
              </w:rPr>
              <w:t>pipeline with prioritisation</w:t>
            </w:r>
          </w:p>
          <w:p>
            <w:pPr>
              <w:pStyle w:val="TableParagraph"/>
              <w:ind w:left="107"/>
              <w:rPr>
                <w:sz w:val="18"/>
              </w:rPr>
            </w:pPr>
            <w:r>
              <w:rPr>
                <w:sz w:val="18"/>
              </w:rPr>
              <w:t>criteria; identify adoption barriers; report</w:t>
            </w:r>
            <w:r>
              <w:rPr>
                <w:spacing w:val="-1"/>
                <w:sz w:val="18"/>
              </w:rPr>
              <w:t> </w:t>
            </w:r>
            <w:r>
              <w:rPr>
                <w:spacing w:val="-2"/>
                <w:sz w:val="18"/>
              </w:rPr>
              <w:t>measurable</w:t>
            </w:r>
          </w:p>
          <w:p>
            <w:pPr>
              <w:pStyle w:val="TableParagraph"/>
              <w:spacing w:line="242" w:lineRule="auto"/>
              <w:ind w:left="107"/>
              <w:rPr>
                <w:sz w:val="18"/>
              </w:rPr>
            </w:pPr>
            <w:r>
              <w:rPr>
                <w:sz w:val="18"/>
              </w:rPr>
              <w:t>benefits</w:t>
            </w:r>
            <w:r>
              <w:rPr>
                <w:spacing w:val="-15"/>
                <w:sz w:val="18"/>
              </w:rPr>
              <w:t> </w:t>
            </w:r>
            <w:r>
              <w:rPr>
                <w:sz w:val="18"/>
              </w:rPr>
              <w:t>and</w:t>
            </w:r>
            <w:r>
              <w:rPr>
                <w:spacing w:val="-12"/>
                <w:sz w:val="18"/>
              </w:rPr>
              <w:t> </w:t>
            </w:r>
            <w:r>
              <w:rPr>
                <w:sz w:val="18"/>
              </w:rPr>
              <w:t>spread across the region.</w:t>
            </w:r>
          </w:p>
        </w:tc>
        <w:tc>
          <w:tcPr>
            <w:tcW w:w="99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21"/>
              <w:rPr>
                <w:rFonts w:ascii="Calibri"/>
                <w:sz w:val="18"/>
              </w:rPr>
            </w:pPr>
          </w:p>
          <w:p>
            <w:pPr>
              <w:pStyle w:val="TableParagraph"/>
              <w:ind w:left="102"/>
              <w:rPr>
                <w:sz w:val="18"/>
              </w:rPr>
            </w:pPr>
            <w:r>
              <w:rPr>
                <w:spacing w:val="-5"/>
                <w:sz w:val="18"/>
              </w:rPr>
              <w:t>TBC</w:t>
            </w:r>
          </w:p>
        </w:tc>
        <w:tc>
          <w:tcPr>
            <w:tcW w:w="99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21"/>
              <w:rPr>
                <w:rFonts w:ascii="Calibri"/>
                <w:sz w:val="18"/>
              </w:rPr>
            </w:pPr>
          </w:p>
          <w:p>
            <w:pPr>
              <w:pStyle w:val="TableParagraph"/>
              <w:ind w:left="106"/>
              <w:rPr>
                <w:sz w:val="18"/>
              </w:rPr>
            </w:pPr>
            <w:r>
              <w:rPr>
                <w:spacing w:val="-5"/>
                <w:sz w:val="18"/>
              </w:rPr>
              <w:t>TBC</w:t>
            </w:r>
          </w:p>
        </w:tc>
        <w:tc>
          <w:tcPr>
            <w:tcW w:w="995"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21"/>
              <w:rPr>
                <w:rFonts w:ascii="Calibri"/>
                <w:sz w:val="18"/>
              </w:rPr>
            </w:pPr>
          </w:p>
          <w:p>
            <w:pPr>
              <w:pStyle w:val="TableParagraph"/>
              <w:ind w:left="106"/>
              <w:rPr>
                <w:sz w:val="18"/>
              </w:rPr>
            </w:pPr>
            <w:r>
              <w:rPr>
                <w:spacing w:val="-5"/>
                <w:sz w:val="18"/>
              </w:rPr>
              <w:t>TBC</w:t>
            </w:r>
          </w:p>
        </w:tc>
        <w:tc>
          <w:tcPr>
            <w:tcW w:w="850"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21"/>
              <w:rPr>
                <w:rFonts w:ascii="Calibri"/>
                <w:sz w:val="18"/>
              </w:rPr>
            </w:pPr>
          </w:p>
          <w:p>
            <w:pPr>
              <w:pStyle w:val="TableParagraph"/>
              <w:ind w:left="105"/>
              <w:rPr>
                <w:sz w:val="18"/>
              </w:rPr>
            </w:pPr>
            <w:r>
              <w:rPr>
                <w:spacing w:val="-5"/>
                <w:sz w:val="18"/>
              </w:rPr>
              <w:t>TBC</w:t>
            </w:r>
          </w:p>
        </w:tc>
      </w:tr>
    </w:tbl>
    <w:p>
      <w:pPr>
        <w:pStyle w:val="BodyText"/>
        <w:spacing w:before="63"/>
        <w:rPr>
          <w:rFonts w:ascii="Calibri"/>
          <w:sz w:val="22"/>
        </w:rPr>
      </w:pPr>
    </w:p>
    <w:p>
      <w:pPr>
        <w:spacing w:before="1"/>
        <w:ind w:left="11" w:right="994" w:firstLine="0"/>
        <w:jc w:val="center"/>
        <w:rPr>
          <w:rFonts w:ascii="Calibri"/>
          <w:sz w:val="22"/>
        </w:rPr>
      </w:pPr>
      <w:r>
        <w:rPr>
          <w:rFonts w:ascii="Calibri"/>
          <w:spacing w:val="-10"/>
          <w:sz w:val="22"/>
        </w:rPr>
        <w:t>7</w:t>
      </w:r>
    </w:p>
    <w:p>
      <w:pPr>
        <w:spacing w:after="0"/>
        <w:jc w:val="center"/>
        <w:rPr>
          <w:rFonts w:ascii="Calibri"/>
          <w:sz w:val="22"/>
        </w:rPr>
        <w:sectPr>
          <w:pgSz w:w="16840" w:h="11910" w:orient="landscape"/>
          <w:pgMar w:header="0" w:footer="198" w:top="1340" w:bottom="380" w:left="1417" w:right="425"/>
        </w:sectPr>
      </w:pPr>
    </w:p>
    <w:p>
      <w:pPr>
        <w:pStyle w:val="BodyText"/>
        <w:spacing w:before="10"/>
        <w:rPr>
          <w:rFonts w:ascii="Calibri"/>
          <w:sz w:val="7"/>
        </w:rPr>
      </w:pPr>
    </w:p>
    <w:tbl>
      <w:tblPr>
        <w:tblW w:w="0" w:type="auto"/>
        <w:jc w:val="left"/>
        <w:tblInd w:w="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0" w:type="dxa"/>
          <w:left w:w="0" w:type="dxa"/>
          <w:bottom w:w="0" w:type="dxa"/>
          <w:right w:w="0" w:type="dxa"/>
        </w:tblCellMar>
        <w:tblLook w:val="01E0"/>
      </w:tblPr>
      <w:tblGrid>
        <w:gridCol w:w="670"/>
        <w:gridCol w:w="1316"/>
        <w:gridCol w:w="2121"/>
        <w:gridCol w:w="1706"/>
        <w:gridCol w:w="1701"/>
        <w:gridCol w:w="1701"/>
        <w:gridCol w:w="1846"/>
        <w:gridCol w:w="991"/>
        <w:gridCol w:w="991"/>
        <w:gridCol w:w="995"/>
        <w:gridCol w:w="850"/>
      </w:tblGrid>
      <w:tr>
        <w:trPr>
          <w:trHeight w:val="985" w:hRule="atLeast"/>
        </w:trPr>
        <w:tc>
          <w:tcPr>
            <w:tcW w:w="670" w:type="dxa"/>
            <w:shd w:val="clear" w:color="auto" w:fill="D9E1F3"/>
          </w:tcPr>
          <w:p>
            <w:pPr>
              <w:pStyle w:val="TableParagraph"/>
              <w:spacing w:before="171"/>
              <w:rPr>
                <w:rFonts w:ascii="Calibri"/>
                <w:sz w:val="18"/>
              </w:rPr>
            </w:pPr>
          </w:p>
          <w:p>
            <w:pPr>
              <w:pStyle w:val="TableParagraph"/>
              <w:spacing w:before="1"/>
              <w:ind w:right="147"/>
              <w:jc w:val="center"/>
              <w:rPr>
                <w:b/>
                <w:sz w:val="18"/>
              </w:rPr>
            </w:pPr>
            <w:r>
              <w:rPr>
                <w:b/>
                <w:spacing w:val="-5"/>
                <w:sz w:val="18"/>
              </w:rPr>
              <w:t>Ref</w:t>
            </w:r>
          </w:p>
        </w:tc>
        <w:tc>
          <w:tcPr>
            <w:tcW w:w="1316" w:type="dxa"/>
            <w:shd w:val="clear" w:color="auto" w:fill="D9E1F3"/>
          </w:tcPr>
          <w:p>
            <w:pPr>
              <w:pStyle w:val="TableParagraph"/>
              <w:spacing w:before="66"/>
              <w:rPr>
                <w:rFonts w:ascii="Calibri"/>
                <w:sz w:val="18"/>
              </w:rPr>
            </w:pPr>
          </w:p>
          <w:p>
            <w:pPr>
              <w:pStyle w:val="TableParagraph"/>
              <w:spacing w:before="1"/>
              <w:ind w:left="104"/>
              <w:rPr>
                <w:b/>
                <w:sz w:val="18"/>
              </w:rPr>
            </w:pPr>
            <w:r>
              <w:rPr>
                <w:b/>
                <w:spacing w:val="-2"/>
                <w:sz w:val="18"/>
              </w:rPr>
              <w:t>Strategic objective</w:t>
            </w:r>
          </w:p>
        </w:tc>
        <w:tc>
          <w:tcPr>
            <w:tcW w:w="2121" w:type="dxa"/>
            <w:shd w:val="clear" w:color="auto" w:fill="D9E1F3"/>
          </w:tcPr>
          <w:p>
            <w:pPr>
              <w:pStyle w:val="TableParagraph"/>
              <w:spacing w:before="171"/>
              <w:rPr>
                <w:rFonts w:ascii="Calibri"/>
                <w:sz w:val="18"/>
              </w:rPr>
            </w:pPr>
          </w:p>
          <w:p>
            <w:pPr>
              <w:pStyle w:val="TableParagraph"/>
              <w:spacing w:before="1"/>
              <w:ind w:left="104"/>
              <w:rPr>
                <w:b/>
                <w:sz w:val="18"/>
              </w:rPr>
            </w:pPr>
            <w:r>
              <w:rPr>
                <w:b/>
                <w:sz w:val="18"/>
              </w:rPr>
              <w:t>Strategic</w:t>
            </w:r>
            <w:r>
              <w:rPr>
                <w:b/>
                <w:spacing w:val="-5"/>
                <w:sz w:val="18"/>
              </w:rPr>
              <w:t> </w:t>
            </w:r>
            <w:r>
              <w:rPr>
                <w:b/>
                <w:spacing w:val="-4"/>
                <w:sz w:val="18"/>
              </w:rPr>
              <w:t>risk</w:t>
            </w:r>
          </w:p>
        </w:tc>
        <w:tc>
          <w:tcPr>
            <w:tcW w:w="1706" w:type="dxa"/>
            <w:shd w:val="clear" w:color="auto" w:fill="D9E1F3"/>
          </w:tcPr>
          <w:p>
            <w:pPr>
              <w:pStyle w:val="TableParagraph"/>
              <w:spacing w:before="66"/>
              <w:rPr>
                <w:rFonts w:ascii="Calibri"/>
                <w:sz w:val="18"/>
              </w:rPr>
            </w:pPr>
          </w:p>
          <w:p>
            <w:pPr>
              <w:pStyle w:val="TableParagraph"/>
              <w:spacing w:before="1"/>
              <w:ind w:left="109"/>
              <w:rPr>
                <w:b/>
                <w:sz w:val="18"/>
              </w:rPr>
            </w:pPr>
            <w:r>
              <w:rPr>
                <w:b/>
                <w:sz w:val="18"/>
              </w:rPr>
              <w:t>Key</w:t>
            </w:r>
            <w:r>
              <w:rPr>
                <w:b/>
                <w:spacing w:val="-15"/>
                <w:sz w:val="18"/>
              </w:rPr>
              <w:t> </w:t>
            </w:r>
            <w:r>
              <w:rPr>
                <w:b/>
                <w:sz w:val="18"/>
              </w:rPr>
              <w:t>controls</w:t>
            </w:r>
            <w:r>
              <w:rPr>
                <w:b/>
                <w:spacing w:val="-12"/>
                <w:sz w:val="18"/>
              </w:rPr>
              <w:t> </w:t>
            </w:r>
            <w:r>
              <w:rPr>
                <w:b/>
                <w:sz w:val="18"/>
              </w:rPr>
              <w:t>in </w:t>
            </w:r>
            <w:r>
              <w:rPr>
                <w:b/>
                <w:spacing w:val="-2"/>
                <w:sz w:val="18"/>
              </w:rPr>
              <w:t>place</w:t>
            </w:r>
          </w:p>
        </w:tc>
        <w:tc>
          <w:tcPr>
            <w:tcW w:w="1701" w:type="dxa"/>
            <w:shd w:val="clear" w:color="auto" w:fill="D9E1F3"/>
          </w:tcPr>
          <w:p>
            <w:pPr>
              <w:pStyle w:val="TableParagraph"/>
              <w:spacing w:before="66"/>
              <w:rPr>
                <w:rFonts w:ascii="Calibri"/>
                <w:sz w:val="18"/>
              </w:rPr>
            </w:pPr>
          </w:p>
          <w:p>
            <w:pPr>
              <w:pStyle w:val="TableParagraph"/>
              <w:spacing w:before="1"/>
              <w:ind w:left="103" w:right="650"/>
              <w:rPr>
                <w:b/>
                <w:sz w:val="18"/>
              </w:rPr>
            </w:pPr>
            <w:r>
              <w:rPr>
                <w:b/>
                <w:sz w:val="18"/>
              </w:rPr>
              <w:t>Sources</w:t>
            </w:r>
            <w:r>
              <w:rPr>
                <w:b/>
                <w:spacing w:val="-13"/>
                <w:sz w:val="18"/>
              </w:rPr>
              <w:t> </w:t>
            </w:r>
            <w:r>
              <w:rPr>
                <w:b/>
                <w:sz w:val="18"/>
              </w:rPr>
              <w:t>of </w:t>
            </w:r>
            <w:r>
              <w:rPr>
                <w:b/>
                <w:spacing w:val="-2"/>
                <w:sz w:val="18"/>
              </w:rPr>
              <w:t>assurance</w:t>
            </w:r>
          </w:p>
        </w:tc>
        <w:tc>
          <w:tcPr>
            <w:tcW w:w="1701" w:type="dxa"/>
            <w:shd w:val="clear" w:color="auto" w:fill="D9E1F3"/>
          </w:tcPr>
          <w:p>
            <w:pPr>
              <w:pStyle w:val="TableParagraph"/>
              <w:spacing w:before="171"/>
              <w:rPr>
                <w:rFonts w:ascii="Calibri"/>
                <w:sz w:val="18"/>
              </w:rPr>
            </w:pPr>
          </w:p>
          <w:p>
            <w:pPr>
              <w:pStyle w:val="TableParagraph"/>
              <w:spacing w:before="1"/>
              <w:ind w:left="103"/>
              <w:rPr>
                <w:b/>
                <w:sz w:val="18"/>
              </w:rPr>
            </w:pPr>
            <w:r>
              <w:rPr>
                <w:b/>
                <w:sz w:val="18"/>
              </w:rPr>
              <w:t>Assurance</w:t>
            </w:r>
            <w:r>
              <w:rPr>
                <w:b/>
                <w:spacing w:val="-1"/>
                <w:sz w:val="18"/>
              </w:rPr>
              <w:t> </w:t>
            </w:r>
            <w:r>
              <w:rPr>
                <w:b/>
                <w:spacing w:val="-4"/>
                <w:sz w:val="18"/>
              </w:rPr>
              <w:t>gaps</w:t>
            </w:r>
          </w:p>
        </w:tc>
        <w:tc>
          <w:tcPr>
            <w:tcW w:w="1846" w:type="dxa"/>
            <w:shd w:val="clear" w:color="auto" w:fill="D9E1F3"/>
          </w:tcPr>
          <w:p>
            <w:pPr>
              <w:pStyle w:val="TableParagraph"/>
              <w:spacing w:before="66"/>
              <w:rPr>
                <w:rFonts w:ascii="Calibri"/>
                <w:sz w:val="18"/>
              </w:rPr>
            </w:pPr>
          </w:p>
          <w:p>
            <w:pPr>
              <w:pStyle w:val="TableParagraph"/>
              <w:spacing w:before="1"/>
              <w:ind w:left="107" w:right="411"/>
              <w:rPr>
                <w:b/>
                <w:sz w:val="18"/>
              </w:rPr>
            </w:pPr>
            <w:r>
              <w:rPr>
                <w:b/>
                <w:sz w:val="18"/>
              </w:rPr>
              <w:t>Further</w:t>
            </w:r>
            <w:r>
              <w:rPr>
                <w:b/>
                <w:spacing w:val="-13"/>
                <w:sz w:val="18"/>
              </w:rPr>
              <w:t> </w:t>
            </w:r>
            <w:r>
              <w:rPr>
                <w:b/>
                <w:sz w:val="18"/>
              </w:rPr>
              <w:t>actions </w:t>
            </w:r>
            <w:r>
              <w:rPr>
                <w:b/>
                <w:spacing w:val="-2"/>
                <w:sz w:val="18"/>
              </w:rPr>
              <w:t>required</w:t>
            </w:r>
          </w:p>
        </w:tc>
        <w:tc>
          <w:tcPr>
            <w:tcW w:w="991" w:type="dxa"/>
            <w:shd w:val="clear" w:color="auto" w:fill="D9E1F3"/>
          </w:tcPr>
          <w:p>
            <w:pPr>
              <w:pStyle w:val="TableParagraph"/>
              <w:spacing w:before="181"/>
              <w:ind w:left="102" w:right="308"/>
              <w:rPr>
                <w:b/>
                <w:sz w:val="18"/>
              </w:rPr>
            </w:pPr>
            <w:r>
              <w:rPr>
                <w:b/>
                <w:spacing w:val="-4"/>
                <w:sz w:val="18"/>
              </w:rPr>
              <w:t>Exec Risk </w:t>
            </w:r>
            <w:r>
              <w:rPr>
                <w:b/>
                <w:spacing w:val="-2"/>
                <w:sz w:val="18"/>
              </w:rPr>
              <w:t>Owner</w:t>
            </w:r>
          </w:p>
        </w:tc>
        <w:tc>
          <w:tcPr>
            <w:tcW w:w="991" w:type="dxa"/>
            <w:shd w:val="clear" w:color="auto" w:fill="D9E1F3"/>
          </w:tcPr>
          <w:p>
            <w:pPr>
              <w:pStyle w:val="TableParagraph"/>
              <w:spacing w:before="181"/>
              <w:ind w:left="106" w:right="179"/>
              <w:rPr>
                <w:b/>
                <w:sz w:val="18"/>
              </w:rPr>
            </w:pPr>
            <w:r>
              <w:rPr>
                <w:b/>
                <w:spacing w:val="-4"/>
                <w:sz w:val="18"/>
              </w:rPr>
              <w:t>Mgt </w:t>
            </w:r>
            <w:r>
              <w:rPr>
                <w:b/>
                <w:spacing w:val="-2"/>
                <w:sz w:val="18"/>
              </w:rPr>
              <w:t>Support </w:t>
            </w:r>
            <w:r>
              <w:rPr>
                <w:b/>
                <w:spacing w:val="-4"/>
                <w:sz w:val="18"/>
              </w:rPr>
              <w:t>Lead</w:t>
            </w:r>
          </w:p>
        </w:tc>
        <w:tc>
          <w:tcPr>
            <w:tcW w:w="995" w:type="dxa"/>
            <w:shd w:val="clear" w:color="auto" w:fill="D9E1F3"/>
          </w:tcPr>
          <w:p>
            <w:pPr>
              <w:pStyle w:val="TableParagraph"/>
              <w:spacing w:before="181"/>
              <w:ind w:left="106" w:right="222"/>
              <w:rPr>
                <w:b/>
                <w:sz w:val="18"/>
              </w:rPr>
            </w:pPr>
            <w:r>
              <w:rPr>
                <w:b/>
                <w:spacing w:val="-2"/>
                <w:sz w:val="18"/>
              </w:rPr>
              <w:t>Current </w:t>
            </w:r>
            <w:r>
              <w:rPr>
                <w:b/>
                <w:spacing w:val="-4"/>
                <w:sz w:val="18"/>
              </w:rPr>
              <w:t>risk </w:t>
            </w:r>
            <w:r>
              <w:rPr>
                <w:b/>
                <w:spacing w:val="-2"/>
                <w:sz w:val="18"/>
              </w:rPr>
              <w:t>score</w:t>
            </w:r>
          </w:p>
        </w:tc>
        <w:tc>
          <w:tcPr>
            <w:tcW w:w="850" w:type="dxa"/>
            <w:shd w:val="clear" w:color="auto" w:fill="D9E1F3"/>
          </w:tcPr>
          <w:p>
            <w:pPr>
              <w:pStyle w:val="TableParagraph"/>
              <w:spacing w:before="181"/>
              <w:ind w:left="105" w:right="188"/>
              <w:rPr>
                <w:b/>
                <w:sz w:val="18"/>
              </w:rPr>
            </w:pPr>
            <w:r>
              <w:rPr>
                <w:b/>
                <w:spacing w:val="-4"/>
                <w:sz w:val="18"/>
              </w:rPr>
              <w:t>Target risk </w:t>
            </w:r>
            <w:r>
              <w:rPr>
                <w:b/>
                <w:spacing w:val="-2"/>
                <w:sz w:val="18"/>
              </w:rPr>
              <w:t>score</w:t>
            </w:r>
          </w:p>
        </w:tc>
      </w:tr>
      <w:tr>
        <w:trPr>
          <w:trHeight w:val="620" w:hRule="atLeast"/>
        </w:trPr>
        <w:tc>
          <w:tcPr>
            <w:tcW w:w="670" w:type="dxa"/>
          </w:tcPr>
          <w:p>
            <w:pPr>
              <w:pStyle w:val="TableParagraph"/>
              <w:rPr>
                <w:rFonts w:ascii="Times New Roman"/>
                <w:sz w:val="16"/>
              </w:rPr>
            </w:pPr>
          </w:p>
        </w:tc>
        <w:tc>
          <w:tcPr>
            <w:tcW w:w="1316" w:type="dxa"/>
          </w:tcPr>
          <w:p>
            <w:pPr>
              <w:pStyle w:val="TableParagraph"/>
              <w:rPr>
                <w:rFonts w:ascii="Times New Roman"/>
                <w:sz w:val="16"/>
              </w:rPr>
            </w:pPr>
          </w:p>
        </w:tc>
        <w:tc>
          <w:tcPr>
            <w:tcW w:w="2121" w:type="dxa"/>
          </w:tcPr>
          <w:p>
            <w:pPr>
              <w:pStyle w:val="TableParagraph"/>
              <w:spacing w:before="1"/>
              <w:ind w:left="104" w:right="114"/>
              <w:rPr>
                <w:sz w:val="18"/>
              </w:rPr>
            </w:pPr>
            <w:r>
              <w:rPr>
                <w:sz w:val="18"/>
              </w:rPr>
              <w:t>calibre staff and strategic</w:t>
            </w:r>
            <w:r>
              <w:rPr>
                <w:spacing w:val="-13"/>
                <w:sz w:val="18"/>
              </w:rPr>
              <w:t> </w:t>
            </w:r>
            <w:r>
              <w:rPr>
                <w:sz w:val="18"/>
              </w:rPr>
              <w:t>partners</w:t>
            </w:r>
            <w:r>
              <w:rPr>
                <w:spacing w:val="-12"/>
                <w:sz w:val="18"/>
              </w:rPr>
              <w:t> </w:t>
            </w:r>
            <w:r>
              <w:rPr>
                <w:sz w:val="18"/>
              </w:rPr>
              <w:t>to</w:t>
            </w:r>
            <w:r>
              <w:rPr>
                <w:spacing w:val="-13"/>
                <w:sz w:val="18"/>
              </w:rPr>
              <w:t> </w:t>
            </w:r>
            <w:r>
              <w:rPr>
                <w:sz w:val="18"/>
              </w:rPr>
              <w:t>the</w:t>
            </w:r>
          </w:p>
          <w:p>
            <w:pPr>
              <w:pStyle w:val="TableParagraph"/>
              <w:spacing w:line="185" w:lineRule="exact"/>
              <w:ind w:left="104"/>
              <w:rPr>
                <w:sz w:val="18"/>
              </w:rPr>
            </w:pPr>
            <w:r>
              <w:rPr>
                <w:spacing w:val="-2"/>
                <w:sz w:val="18"/>
              </w:rPr>
              <w:t>region.</w:t>
            </w:r>
          </w:p>
        </w:tc>
        <w:tc>
          <w:tcPr>
            <w:tcW w:w="1706" w:type="dxa"/>
          </w:tcPr>
          <w:p>
            <w:pPr>
              <w:pStyle w:val="TableParagraph"/>
              <w:rPr>
                <w:rFonts w:ascii="Times New Roman"/>
                <w:sz w:val="16"/>
              </w:rPr>
            </w:pPr>
          </w:p>
        </w:tc>
        <w:tc>
          <w:tcPr>
            <w:tcW w:w="1701" w:type="dxa"/>
          </w:tcPr>
          <w:p>
            <w:pPr>
              <w:pStyle w:val="TableParagraph"/>
              <w:rPr>
                <w:rFonts w:ascii="Times New Roman"/>
                <w:sz w:val="16"/>
              </w:rPr>
            </w:pPr>
          </w:p>
        </w:tc>
        <w:tc>
          <w:tcPr>
            <w:tcW w:w="1701" w:type="dxa"/>
          </w:tcPr>
          <w:p>
            <w:pPr>
              <w:pStyle w:val="TableParagraph"/>
              <w:rPr>
                <w:rFonts w:ascii="Times New Roman"/>
                <w:sz w:val="16"/>
              </w:rPr>
            </w:pPr>
          </w:p>
        </w:tc>
        <w:tc>
          <w:tcPr>
            <w:tcW w:w="1846" w:type="dxa"/>
          </w:tcPr>
          <w:p>
            <w:pPr>
              <w:pStyle w:val="TableParagraph"/>
              <w:rPr>
                <w:rFonts w:ascii="Times New Roman"/>
                <w:sz w:val="16"/>
              </w:rPr>
            </w:pPr>
          </w:p>
        </w:tc>
        <w:tc>
          <w:tcPr>
            <w:tcW w:w="991" w:type="dxa"/>
          </w:tcPr>
          <w:p>
            <w:pPr>
              <w:pStyle w:val="TableParagraph"/>
              <w:rPr>
                <w:rFonts w:ascii="Times New Roman"/>
                <w:sz w:val="16"/>
              </w:rPr>
            </w:pPr>
          </w:p>
        </w:tc>
        <w:tc>
          <w:tcPr>
            <w:tcW w:w="991" w:type="dxa"/>
          </w:tcPr>
          <w:p>
            <w:pPr>
              <w:pStyle w:val="TableParagraph"/>
              <w:rPr>
                <w:rFonts w:ascii="Times New Roman"/>
                <w:sz w:val="16"/>
              </w:rPr>
            </w:pPr>
          </w:p>
        </w:tc>
        <w:tc>
          <w:tcPr>
            <w:tcW w:w="995" w:type="dxa"/>
          </w:tcPr>
          <w:p>
            <w:pPr>
              <w:pStyle w:val="TableParagraph"/>
              <w:rPr>
                <w:rFonts w:ascii="Times New Roman"/>
                <w:sz w:val="16"/>
              </w:rPr>
            </w:pPr>
          </w:p>
        </w:tc>
        <w:tc>
          <w:tcPr>
            <w:tcW w:w="850" w:type="dxa"/>
          </w:tcPr>
          <w:p>
            <w:pPr>
              <w:pStyle w:val="TableParagraph"/>
              <w:rPr>
                <w:rFonts w:ascii="Times New Roman"/>
                <w:sz w:val="16"/>
              </w:rPr>
            </w:pPr>
          </w:p>
        </w:tc>
      </w:tr>
      <w:tr>
        <w:trPr>
          <w:trHeight w:val="7247" w:hRule="atLeast"/>
        </w:trPr>
        <w:tc>
          <w:tcPr>
            <w:tcW w:w="670" w:type="dxa"/>
          </w:tcPr>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spacing w:before="15"/>
              <w:rPr>
                <w:rFonts w:ascii="Calibri"/>
                <w:sz w:val="16"/>
              </w:rPr>
            </w:pPr>
          </w:p>
          <w:p>
            <w:pPr>
              <w:pStyle w:val="TableParagraph"/>
              <w:ind w:right="39"/>
              <w:jc w:val="center"/>
              <w:rPr>
                <w:sz w:val="16"/>
              </w:rPr>
            </w:pPr>
            <w:r>
              <w:rPr>
                <w:spacing w:val="-4"/>
                <w:sz w:val="16"/>
              </w:rPr>
              <w:t>SR05</w:t>
            </w:r>
          </w:p>
        </w:tc>
        <w:tc>
          <w:tcPr>
            <w:tcW w:w="131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60"/>
              <w:rPr>
                <w:rFonts w:ascii="Calibri"/>
                <w:sz w:val="18"/>
              </w:rPr>
            </w:pPr>
          </w:p>
          <w:p>
            <w:pPr>
              <w:pStyle w:val="TableParagraph"/>
              <w:ind w:left="104" w:right="517"/>
              <w:rPr>
                <w:sz w:val="18"/>
              </w:rPr>
            </w:pPr>
            <w:r>
              <w:rPr>
                <w:spacing w:val="-2"/>
                <w:sz w:val="18"/>
              </w:rPr>
              <w:t>Maintain effective</w:t>
            </w:r>
          </w:p>
          <w:p>
            <w:pPr>
              <w:pStyle w:val="TableParagraph"/>
              <w:spacing w:line="244" w:lineRule="auto"/>
              <w:ind w:left="104"/>
              <w:rPr>
                <w:sz w:val="18"/>
              </w:rPr>
            </w:pPr>
            <w:r>
              <w:rPr>
                <w:spacing w:val="-2"/>
                <w:sz w:val="18"/>
              </w:rPr>
              <w:t>governance, accountability</w:t>
            </w:r>
          </w:p>
          <w:p>
            <w:pPr>
              <w:pStyle w:val="TableParagraph"/>
              <w:ind w:left="104" w:right="104"/>
              <w:rPr>
                <w:sz w:val="18"/>
              </w:rPr>
            </w:pPr>
            <w:r>
              <w:rPr>
                <w:sz w:val="18"/>
              </w:rPr>
              <w:t>, and assurance</w:t>
            </w:r>
            <w:r>
              <w:rPr>
                <w:spacing w:val="-13"/>
                <w:sz w:val="18"/>
              </w:rPr>
              <w:t> </w:t>
            </w:r>
            <w:r>
              <w:rPr>
                <w:sz w:val="18"/>
              </w:rPr>
              <w:t>for regional joint </w:t>
            </w:r>
            <w:r>
              <w:rPr>
                <w:spacing w:val="-2"/>
                <w:sz w:val="18"/>
              </w:rPr>
              <w:t>working.</w:t>
            </w:r>
          </w:p>
        </w:tc>
        <w:tc>
          <w:tcPr>
            <w:tcW w:w="2121" w:type="dxa"/>
          </w:tcPr>
          <w:p>
            <w:pPr>
              <w:pStyle w:val="TableParagraph"/>
              <w:spacing w:before="1"/>
              <w:ind w:left="104"/>
              <w:rPr>
                <w:sz w:val="18"/>
              </w:rPr>
            </w:pPr>
            <w:r>
              <w:rPr>
                <w:sz w:val="18"/>
              </w:rPr>
              <w:t>There</w:t>
            </w:r>
            <w:r>
              <w:rPr>
                <w:spacing w:val="-8"/>
                <w:sz w:val="18"/>
              </w:rPr>
              <w:t> </w:t>
            </w:r>
            <w:r>
              <w:rPr>
                <w:sz w:val="18"/>
              </w:rPr>
              <w:t>is</w:t>
            </w:r>
            <w:r>
              <w:rPr>
                <w:spacing w:val="-8"/>
                <w:sz w:val="18"/>
              </w:rPr>
              <w:t> </w:t>
            </w:r>
            <w:r>
              <w:rPr>
                <w:sz w:val="18"/>
              </w:rPr>
              <w:t>a</w:t>
            </w:r>
            <w:r>
              <w:rPr>
                <w:spacing w:val="-8"/>
                <w:sz w:val="18"/>
              </w:rPr>
              <w:t> </w:t>
            </w:r>
            <w:r>
              <w:rPr>
                <w:sz w:val="18"/>
              </w:rPr>
              <w:t>risk</w:t>
            </w:r>
            <w:r>
              <w:rPr>
                <w:spacing w:val="-9"/>
                <w:sz w:val="18"/>
              </w:rPr>
              <w:t> </w:t>
            </w:r>
            <w:r>
              <w:rPr>
                <w:sz w:val="18"/>
              </w:rPr>
              <w:t>that</w:t>
            </w:r>
            <w:r>
              <w:rPr>
                <w:spacing w:val="-8"/>
                <w:sz w:val="18"/>
              </w:rPr>
              <w:t> </w:t>
            </w:r>
            <w:r>
              <w:rPr>
                <w:sz w:val="18"/>
              </w:rPr>
              <w:t>the Regional Joint</w:t>
            </w:r>
          </w:p>
          <w:p>
            <w:pPr>
              <w:pStyle w:val="TableParagraph"/>
              <w:spacing w:before="1"/>
              <w:ind w:left="104"/>
              <w:rPr>
                <w:sz w:val="18"/>
              </w:rPr>
            </w:pPr>
            <w:r>
              <w:rPr>
                <w:sz w:val="18"/>
              </w:rPr>
              <w:t>Committee</w:t>
            </w:r>
            <w:r>
              <w:rPr>
                <w:spacing w:val="-13"/>
                <w:sz w:val="18"/>
              </w:rPr>
              <w:t> </w:t>
            </w:r>
            <w:r>
              <w:rPr>
                <w:sz w:val="18"/>
              </w:rPr>
              <w:t>is</w:t>
            </w:r>
            <w:r>
              <w:rPr>
                <w:spacing w:val="-12"/>
                <w:sz w:val="18"/>
              </w:rPr>
              <w:t> </w:t>
            </w:r>
            <w:r>
              <w:rPr>
                <w:sz w:val="18"/>
              </w:rPr>
              <w:t>unable</w:t>
            </w:r>
            <w:r>
              <w:rPr>
                <w:spacing w:val="-13"/>
                <w:sz w:val="18"/>
              </w:rPr>
              <w:t> </w:t>
            </w:r>
            <w:r>
              <w:rPr>
                <w:sz w:val="18"/>
              </w:rPr>
              <w:t>to provide effective</w:t>
            </w:r>
          </w:p>
          <w:p>
            <w:pPr>
              <w:pStyle w:val="TableParagraph"/>
              <w:ind w:left="104" w:right="126"/>
              <w:rPr>
                <w:sz w:val="18"/>
              </w:rPr>
            </w:pPr>
            <w:r>
              <w:rPr>
                <w:sz w:val="18"/>
              </w:rPr>
              <w:t>leadership, oversight and assurance for the delivery of its strategic ambitions and regional programmes. This is caused</w:t>
            </w:r>
            <w:r>
              <w:rPr>
                <w:spacing w:val="-15"/>
                <w:sz w:val="18"/>
              </w:rPr>
              <w:t> </w:t>
            </w:r>
            <w:r>
              <w:rPr>
                <w:sz w:val="18"/>
              </w:rPr>
              <w:t>by</w:t>
            </w:r>
            <w:r>
              <w:rPr>
                <w:spacing w:val="-12"/>
                <w:sz w:val="18"/>
              </w:rPr>
              <w:t> </w:t>
            </w:r>
            <w:r>
              <w:rPr>
                <w:sz w:val="18"/>
              </w:rPr>
              <w:t>governance, accountability and </w:t>
            </w:r>
            <w:r>
              <w:rPr>
                <w:spacing w:val="-2"/>
                <w:sz w:val="18"/>
              </w:rPr>
              <w:t>assurance </w:t>
            </w:r>
            <w:r>
              <w:rPr>
                <w:sz w:val="18"/>
              </w:rPr>
              <w:t>arrangements not</w:t>
            </w:r>
          </w:p>
          <w:p>
            <w:pPr>
              <w:pStyle w:val="TableParagraph"/>
              <w:ind w:left="104"/>
              <w:rPr>
                <w:sz w:val="18"/>
              </w:rPr>
            </w:pPr>
            <w:r>
              <w:rPr>
                <w:sz w:val="18"/>
              </w:rPr>
              <w:t>maturing</w:t>
            </w:r>
            <w:r>
              <w:rPr>
                <w:spacing w:val="-13"/>
                <w:sz w:val="18"/>
              </w:rPr>
              <w:t> </w:t>
            </w:r>
            <w:r>
              <w:rPr>
                <w:sz w:val="18"/>
              </w:rPr>
              <w:t>at</w:t>
            </w:r>
            <w:r>
              <w:rPr>
                <w:spacing w:val="-12"/>
                <w:sz w:val="18"/>
              </w:rPr>
              <w:t> </w:t>
            </w:r>
            <w:r>
              <w:rPr>
                <w:sz w:val="18"/>
              </w:rPr>
              <w:t>the</w:t>
            </w:r>
            <w:r>
              <w:rPr>
                <w:spacing w:val="-13"/>
                <w:sz w:val="18"/>
              </w:rPr>
              <w:t> </w:t>
            </w:r>
            <w:r>
              <w:rPr>
                <w:sz w:val="18"/>
              </w:rPr>
              <w:t>pace required to support collective decision-making, robust</w:t>
            </w:r>
          </w:p>
          <w:p>
            <w:pPr>
              <w:pStyle w:val="TableParagraph"/>
              <w:spacing w:before="2"/>
              <w:ind w:left="104" w:right="159"/>
              <w:rPr>
                <w:sz w:val="18"/>
              </w:rPr>
            </w:pPr>
            <w:r>
              <w:rPr>
                <w:sz w:val="18"/>
              </w:rPr>
              <w:t>performance</w:t>
            </w:r>
            <w:r>
              <w:rPr>
                <w:spacing w:val="-13"/>
                <w:sz w:val="18"/>
              </w:rPr>
              <w:t> </w:t>
            </w:r>
            <w:r>
              <w:rPr>
                <w:sz w:val="18"/>
              </w:rPr>
              <w:t>oversight, effective action</w:t>
            </w:r>
          </w:p>
          <w:p>
            <w:pPr>
              <w:pStyle w:val="TableParagraph"/>
              <w:ind w:left="104" w:right="383"/>
              <w:jc w:val="both"/>
              <w:rPr>
                <w:sz w:val="18"/>
              </w:rPr>
            </w:pPr>
            <w:r>
              <w:rPr>
                <w:sz w:val="18"/>
              </w:rPr>
              <w:t>management,</w:t>
            </w:r>
            <w:r>
              <w:rPr>
                <w:spacing w:val="-13"/>
                <w:sz w:val="18"/>
              </w:rPr>
              <w:t> </w:t>
            </w:r>
            <w:r>
              <w:rPr>
                <w:sz w:val="18"/>
              </w:rPr>
              <w:t>timely escalation of issues and risks, and clear</w:t>
            </w:r>
          </w:p>
          <w:p>
            <w:pPr>
              <w:pStyle w:val="TableParagraph"/>
              <w:spacing w:line="237" w:lineRule="auto" w:before="2"/>
              <w:ind w:left="104" w:right="178"/>
              <w:rPr>
                <w:sz w:val="18"/>
              </w:rPr>
            </w:pPr>
            <w:r>
              <w:rPr>
                <w:sz w:val="18"/>
              </w:rPr>
              <w:t>lines of responsibility across the regional partnership</w:t>
            </w:r>
            <w:r>
              <w:rPr>
                <w:spacing w:val="-13"/>
                <w:sz w:val="18"/>
              </w:rPr>
              <w:t> </w:t>
            </w:r>
            <w:r>
              <w:rPr>
                <w:sz w:val="18"/>
              </w:rPr>
              <w:t>landscape.</w:t>
            </w:r>
          </w:p>
          <w:p>
            <w:pPr>
              <w:pStyle w:val="TableParagraph"/>
              <w:spacing w:line="206" w:lineRule="exact" w:before="3"/>
              <w:ind w:left="104"/>
              <w:rPr>
                <w:sz w:val="18"/>
              </w:rPr>
            </w:pPr>
            <w:r>
              <w:rPr>
                <w:sz w:val="18"/>
              </w:rPr>
              <w:t>This</w:t>
            </w:r>
            <w:r>
              <w:rPr>
                <w:spacing w:val="-1"/>
                <w:sz w:val="18"/>
              </w:rPr>
              <w:t> </w:t>
            </w:r>
            <w:r>
              <w:rPr>
                <w:sz w:val="18"/>
              </w:rPr>
              <w:t>will lead </w:t>
            </w:r>
            <w:r>
              <w:rPr>
                <w:spacing w:val="-5"/>
                <w:sz w:val="18"/>
              </w:rPr>
              <w:t>to</w:t>
            </w:r>
          </w:p>
          <w:p>
            <w:pPr>
              <w:pStyle w:val="TableParagraph"/>
              <w:ind w:left="104" w:right="178"/>
              <w:rPr>
                <w:sz w:val="18"/>
              </w:rPr>
            </w:pPr>
            <w:r>
              <w:rPr>
                <w:sz w:val="18"/>
              </w:rPr>
              <w:t>reduced</w:t>
            </w:r>
            <w:r>
              <w:rPr>
                <w:spacing w:val="-13"/>
                <w:sz w:val="18"/>
              </w:rPr>
              <w:t> </w:t>
            </w:r>
            <w:r>
              <w:rPr>
                <w:sz w:val="18"/>
              </w:rPr>
              <w:t>organisational and</w:t>
            </w:r>
            <w:r>
              <w:rPr>
                <w:spacing w:val="-10"/>
                <w:sz w:val="18"/>
              </w:rPr>
              <w:t> </w:t>
            </w:r>
            <w:r>
              <w:rPr>
                <w:sz w:val="18"/>
              </w:rPr>
              <w:t>Board</w:t>
            </w:r>
            <w:r>
              <w:rPr>
                <w:spacing w:val="-10"/>
                <w:sz w:val="18"/>
              </w:rPr>
              <w:t> </w:t>
            </w:r>
            <w:r>
              <w:rPr>
                <w:sz w:val="18"/>
              </w:rPr>
              <w:t>confidence, weakened</w:t>
            </w:r>
            <w:r>
              <w:rPr>
                <w:spacing w:val="-10"/>
                <w:sz w:val="18"/>
              </w:rPr>
              <w:t> </w:t>
            </w:r>
            <w:r>
              <w:rPr>
                <w:sz w:val="18"/>
              </w:rPr>
              <w:t>oversight</w:t>
            </w:r>
            <w:r>
              <w:rPr>
                <w:spacing w:val="-10"/>
                <w:sz w:val="18"/>
              </w:rPr>
              <w:t> </w:t>
            </w:r>
            <w:r>
              <w:rPr>
                <w:sz w:val="18"/>
              </w:rPr>
              <w:t>of regional priorities, delayed decision-</w:t>
            </w:r>
          </w:p>
          <w:p>
            <w:pPr>
              <w:pStyle w:val="TableParagraph"/>
              <w:ind w:left="104" w:right="205"/>
              <w:rPr>
                <w:sz w:val="18"/>
              </w:rPr>
            </w:pPr>
            <w:r>
              <w:rPr>
                <w:sz w:val="18"/>
              </w:rPr>
              <w:t>making, ineffective management</w:t>
            </w:r>
            <w:r>
              <w:rPr>
                <w:spacing w:val="-15"/>
                <w:sz w:val="18"/>
              </w:rPr>
              <w:t> </w:t>
            </w:r>
            <w:r>
              <w:rPr>
                <w:sz w:val="18"/>
              </w:rPr>
              <w:t>of</w:t>
            </w:r>
            <w:r>
              <w:rPr>
                <w:spacing w:val="-12"/>
                <w:sz w:val="18"/>
              </w:rPr>
              <w:t> </w:t>
            </w:r>
            <w:r>
              <w:rPr>
                <w:sz w:val="18"/>
              </w:rPr>
              <w:t>risks and dependencies,</w:t>
            </w:r>
          </w:p>
          <w:p>
            <w:pPr>
              <w:pStyle w:val="TableParagraph"/>
              <w:spacing w:line="188" w:lineRule="exact"/>
              <w:ind w:left="104"/>
              <w:rPr>
                <w:sz w:val="18"/>
              </w:rPr>
            </w:pPr>
            <w:r>
              <w:rPr>
                <w:sz w:val="18"/>
              </w:rPr>
              <w:t>reduced</w:t>
            </w:r>
            <w:r>
              <w:rPr>
                <w:spacing w:val="-1"/>
                <w:sz w:val="18"/>
              </w:rPr>
              <w:t> </w:t>
            </w:r>
            <w:r>
              <w:rPr>
                <w:spacing w:val="-2"/>
                <w:sz w:val="18"/>
              </w:rPr>
              <w:t>transparency</w:t>
            </w:r>
          </w:p>
        </w:tc>
        <w:tc>
          <w:tcPr>
            <w:tcW w:w="170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3"/>
              <w:rPr>
                <w:rFonts w:ascii="Calibri"/>
                <w:sz w:val="18"/>
              </w:rPr>
            </w:pPr>
          </w:p>
          <w:p>
            <w:pPr>
              <w:pStyle w:val="TableParagraph"/>
              <w:ind w:left="109"/>
              <w:rPr>
                <w:sz w:val="18"/>
              </w:rPr>
            </w:pPr>
            <w:r>
              <w:rPr>
                <w:sz w:val="18"/>
              </w:rPr>
              <w:t>Approved and </w:t>
            </w:r>
            <w:r>
              <w:rPr>
                <w:spacing w:val="-2"/>
                <w:sz w:val="18"/>
              </w:rPr>
              <w:t>updated</w:t>
            </w:r>
            <w:r>
              <w:rPr>
                <w:spacing w:val="-13"/>
                <w:sz w:val="18"/>
              </w:rPr>
              <w:t> </w:t>
            </w:r>
            <w:r>
              <w:rPr>
                <w:spacing w:val="-2"/>
                <w:sz w:val="18"/>
              </w:rPr>
              <w:t>Terms</w:t>
            </w:r>
            <w:r>
              <w:rPr>
                <w:spacing w:val="-10"/>
                <w:sz w:val="18"/>
              </w:rPr>
              <w:t> </w:t>
            </w:r>
            <w:r>
              <w:rPr>
                <w:spacing w:val="-2"/>
                <w:sz w:val="18"/>
              </w:rPr>
              <w:t>of Reference;</w:t>
            </w:r>
          </w:p>
          <w:p>
            <w:pPr>
              <w:pStyle w:val="TableParagraph"/>
              <w:ind w:left="109" w:right="219"/>
              <w:rPr>
                <w:sz w:val="18"/>
              </w:rPr>
            </w:pPr>
            <w:r>
              <w:rPr>
                <w:sz w:val="18"/>
              </w:rPr>
              <w:t>reporting to both </w:t>
            </w:r>
            <w:r>
              <w:rPr>
                <w:spacing w:val="-2"/>
                <w:sz w:val="18"/>
              </w:rPr>
              <w:t>Boards; </w:t>
            </w:r>
            <w:r>
              <w:rPr>
                <w:sz w:val="18"/>
              </w:rPr>
              <w:t>committee</w:t>
            </w:r>
            <w:r>
              <w:rPr>
                <w:spacing w:val="-13"/>
                <w:sz w:val="18"/>
              </w:rPr>
              <w:t> </w:t>
            </w:r>
            <w:r>
              <w:rPr>
                <w:sz w:val="18"/>
              </w:rPr>
              <w:t>action tracking; RJC PMO support;</w:t>
            </w:r>
          </w:p>
          <w:p>
            <w:pPr>
              <w:pStyle w:val="TableParagraph"/>
              <w:ind w:left="109" w:right="399"/>
              <w:rPr>
                <w:sz w:val="18"/>
              </w:rPr>
            </w:pPr>
            <w:r>
              <w:rPr>
                <w:sz w:val="18"/>
              </w:rPr>
              <w:t>Regional</w:t>
            </w:r>
            <w:r>
              <w:rPr>
                <w:spacing w:val="-13"/>
                <w:sz w:val="18"/>
              </w:rPr>
              <w:t> </w:t>
            </w:r>
            <w:r>
              <w:rPr>
                <w:sz w:val="18"/>
              </w:rPr>
              <w:t>Drive and Delivery </w:t>
            </w:r>
            <w:r>
              <w:rPr>
                <w:spacing w:val="-2"/>
                <w:sz w:val="18"/>
              </w:rPr>
              <w:t>Group; programme governance arrangements; </w:t>
            </w:r>
            <w:r>
              <w:rPr>
                <w:sz w:val="18"/>
              </w:rPr>
              <w:t>annual self-</w:t>
            </w:r>
            <w:r>
              <w:rPr>
                <w:spacing w:val="-2"/>
                <w:sz w:val="18"/>
              </w:rPr>
              <w:t>assessment;</w:t>
            </w:r>
          </w:p>
          <w:p>
            <w:pPr>
              <w:pStyle w:val="TableParagraph"/>
              <w:spacing w:before="5"/>
              <w:ind w:left="109" w:right="179"/>
              <w:rPr>
                <w:sz w:val="18"/>
              </w:rPr>
            </w:pPr>
            <w:r>
              <w:rPr>
                <w:sz w:val="18"/>
              </w:rPr>
              <w:t>internal audit advisory review and</w:t>
            </w:r>
            <w:r>
              <w:rPr>
                <w:spacing w:val="-13"/>
                <w:sz w:val="18"/>
              </w:rPr>
              <w:t> </w:t>
            </w:r>
            <w:r>
              <w:rPr>
                <w:sz w:val="18"/>
              </w:rPr>
              <w:t>management </w:t>
            </w:r>
            <w:r>
              <w:rPr>
                <w:spacing w:val="-2"/>
                <w:sz w:val="18"/>
              </w:rPr>
              <w:t>response.</w:t>
            </w:r>
          </w:p>
        </w:tc>
        <w:tc>
          <w:tcPr>
            <w:tcW w:w="170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94"/>
              <w:rPr>
                <w:rFonts w:ascii="Calibri"/>
                <w:sz w:val="18"/>
              </w:rPr>
            </w:pPr>
          </w:p>
          <w:p>
            <w:pPr>
              <w:pStyle w:val="TableParagraph"/>
              <w:spacing w:line="242" w:lineRule="auto"/>
              <w:ind w:left="103"/>
              <w:rPr>
                <w:sz w:val="18"/>
              </w:rPr>
            </w:pPr>
            <w:r>
              <w:rPr>
                <w:sz w:val="18"/>
              </w:rPr>
              <w:t>RJC</w:t>
            </w:r>
            <w:r>
              <w:rPr>
                <w:spacing w:val="-15"/>
                <w:sz w:val="18"/>
              </w:rPr>
              <w:t> </w:t>
            </w:r>
            <w:r>
              <w:rPr>
                <w:sz w:val="18"/>
              </w:rPr>
              <w:t>risk</w:t>
            </w:r>
            <w:r>
              <w:rPr>
                <w:spacing w:val="-12"/>
                <w:sz w:val="18"/>
              </w:rPr>
              <w:t> </w:t>
            </w:r>
            <w:r>
              <w:rPr>
                <w:sz w:val="18"/>
              </w:rPr>
              <w:t>register; internal audit advisory review; </w:t>
            </w:r>
            <w:r>
              <w:rPr>
                <w:spacing w:val="-2"/>
                <w:sz w:val="18"/>
              </w:rPr>
              <w:t>management</w:t>
            </w:r>
          </w:p>
          <w:p>
            <w:pPr>
              <w:pStyle w:val="TableParagraph"/>
              <w:ind w:left="103" w:right="170"/>
              <w:rPr>
                <w:sz w:val="18"/>
              </w:rPr>
            </w:pPr>
            <w:r>
              <w:rPr>
                <w:sz w:val="18"/>
              </w:rPr>
              <w:t>response</w:t>
            </w:r>
            <w:r>
              <w:rPr>
                <w:spacing w:val="-13"/>
                <w:sz w:val="18"/>
              </w:rPr>
              <w:t> </w:t>
            </w:r>
            <w:r>
              <w:rPr>
                <w:sz w:val="18"/>
              </w:rPr>
              <w:t>actions; action logs; subgroup work </w:t>
            </w:r>
            <w:r>
              <w:rPr>
                <w:spacing w:val="-2"/>
                <w:sz w:val="18"/>
              </w:rPr>
              <w:t>programme</w:t>
            </w:r>
          </w:p>
          <w:p>
            <w:pPr>
              <w:pStyle w:val="TableParagraph"/>
              <w:ind w:left="103" w:right="120"/>
              <w:rPr>
                <w:sz w:val="18"/>
              </w:rPr>
            </w:pPr>
            <w:r>
              <w:rPr>
                <w:sz w:val="18"/>
              </w:rPr>
              <w:t>summaries;</w:t>
            </w:r>
            <w:r>
              <w:rPr>
                <w:spacing w:val="-13"/>
                <w:sz w:val="18"/>
              </w:rPr>
              <w:t> </w:t>
            </w:r>
            <w:r>
              <w:rPr>
                <w:sz w:val="18"/>
              </w:rPr>
              <w:t>Board </w:t>
            </w:r>
            <w:r>
              <w:rPr>
                <w:spacing w:val="-2"/>
                <w:sz w:val="18"/>
              </w:rPr>
              <w:t>assurance</w:t>
            </w:r>
          </w:p>
          <w:p>
            <w:pPr>
              <w:pStyle w:val="TableParagraph"/>
              <w:spacing w:line="242" w:lineRule="auto"/>
              <w:ind w:left="103" w:right="285"/>
              <w:rPr>
                <w:sz w:val="18"/>
              </w:rPr>
            </w:pPr>
            <w:r>
              <w:rPr>
                <w:sz w:val="18"/>
              </w:rPr>
              <w:t>reports; annual </w:t>
            </w:r>
            <w:r>
              <w:rPr>
                <w:spacing w:val="-2"/>
                <w:sz w:val="18"/>
              </w:rPr>
              <w:t>self-assessment</w:t>
            </w:r>
          </w:p>
          <w:p>
            <w:pPr>
              <w:pStyle w:val="TableParagraph"/>
              <w:spacing w:line="244" w:lineRule="auto"/>
              <w:ind w:left="103" w:right="190"/>
              <w:rPr>
                <w:sz w:val="18"/>
              </w:rPr>
            </w:pPr>
            <w:r>
              <w:rPr>
                <w:sz w:val="18"/>
              </w:rPr>
              <w:t>and</w:t>
            </w:r>
            <w:r>
              <w:rPr>
                <w:spacing w:val="-13"/>
                <w:sz w:val="18"/>
              </w:rPr>
              <w:t> </w:t>
            </w:r>
            <w:r>
              <w:rPr>
                <w:sz w:val="18"/>
              </w:rPr>
              <w:t>improvement </w:t>
            </w:r>
            <w:r>
              <w:rPr>
                <w:spacing w:val="-2"/>
                <w:sz w:val="18"/>
              </w:rPr>
              <w:t>actions.</w:t>
            </w:r>
          </w:p>
        </w:tc>
        <w:tc>
          <w:tcPr>
            <w:tcW w:w="170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18"/>
              <w:rPr>
                <w:rFonts w:ascii="Calibri"/>
                <w:sz w:val="18"/>
              </w:rPr>
            </w:pPr>
          </w:p>
          <w:p>
            <w:pPr>
              <w:pStyle w:val="TableParagraph"/>
              <w:ind w:left="103" w:right="290"/>
              <w:rPr>
                <w:sz w:val="18"/>
              </w:rPr>
            </w:pPr>
            <w:r>
              <w:rPr>
                <w:sz w:val="18"/>
              </w:rPr>
              <w:t>Assurance</w:t>
            </w:r>
            <w:r>
              <w:rPr>
                <w:spacing w:val="-13"/>
                <w:sz w:val="18"/>
              </w:rPr>
              <w:t> </w:t>
            </w:r>
            <w:r>
              <w:rPr>
                <w:sz w:val="18"/>
              </w:rPr>
              <w:t>gaps remain around </w:t>
            </w:r>
            <w:r>
              <w:rPr>
                <w:spacing w:val="-2"/>
                <w:sz w:val="18"/>
              </w:rPr>
              <w:t>subgroup</w:t>
            </w:r>
            <w:r>
              <w:rPr>
                <w:spacing w:val="-11"/>
                <w:sz w:val="18"/>
              </w:rPr>
              <w:t> </w:t>
            </w:r>
            <w:r>
              <w:rPr>
                <w:spacing w:val="-2"/>
                <w:sz w:val="18"/>
              </w:rPr>
              <w:t>Terms </w:t>
            </w:r>
            <w:r>
              <w:rPr>
                <w:sz w:val="18"/>
              </w:rPr>
              <w:t>of Reference, discipline and consistency of subgroup work </w:t>
            </w:r>
            <w:r>
              <w:rPr>
                <w:spacing w:val="-2"/>
                <w:sz w:val="18"/>
              </w:rPr>
              <w:t>programme</w:t>
            </w:r>
          </w:p>
          <w:p>
            <w:pPr>
              <w:pStyle w:val="TableParagraph"/>
              <w:spacing w:line="242" w:lineRule="auto"/>
              <w:ind w:left="103" w:right="130"/>
              <w:rPr>
                <w:sz w:val="18"/>
              </w:rPr>
            </w:pPr>
            <w:r>
              <w:rPr>
                <w:sz w:val="18"/>
              </w:rPr>
              <w:t>summaries,</w:t>
            </w:r>
            <w:r>
              <w:rPr>
                <w:spacing w:val="-13"/>
                <w:sz w:val="18"/>
              </w:rPr>
              <w:t> </w:t>
            </w:r>
            <w:r>
              <w:rPr>
                <w:sz w:val="18"/>
              </w:rPr>
              <w:t>clarity of respective</w:t>
            </w:r>
          </w:p>
          <w:p>
            <w:pPr>
              <w:pStyle w:val="TableParagraph"/>
              <w:ind w:left="103" w:right="130"/>
              <w:rPr>
                <w:sz w:val="18"/>
              </w:rPr>
            </w:pPr>
            <w:r>
              <w:rPr>
                <w:spacing w:val="-2"/>
                <w:sz w:val="18"/>
              </w:rPr>
              <w:t>responsibilities, </w:t>
            </w:r>
            <w:r>
              <w:rPr>
                <w:sz w:val="18"/>
              </w:rPr>
              <w:t>strategic risk </w:t>
            </w:r>
            <w:r>
              <w:rPr>
                <w:spacing w:val="-2"/>
                <w:sz w:val="18"/>
              </w:rPr>
              <w:t>ownership, escalation </w:t>
            </w:r>
            <w:r>
              <w:rPr>
                <w:sz w:val="18"/>
              </w:rPr>
              <w:t>thresholds, and the</w:t>
            </w:r>
            <w:r>
              <w:rPr>
                <w:spacing w:val="-13"/>
                <w:sz w:val="18"/>
              </w:rPr>
              <w:t> </w:t>
            </w:r>
            <w:r>
              <w:rPr>
                <w:sz w:val="18"/>
              </w:rPr>
              <w:t>maturity</w:t>
            </w:r>
            <w:r>
              <w:rPr>
                <w:spacing w:val="-12"/>
                <w:sz w:val="18"/>
              </w:rPr>
              <w:t> </w:t>
            </w:r>
            <w:r>
              <w:rPr>
                <w:sz w:val="18"/>
              </w:rPr>
              <w:t>of</w:t>
            </w:r>
            <w:r>
              <w:rPr>
                <w:spacing w:val="-13"/>
                <w:sz w:val="18"/>
              </w:rPr>
              <w:t> </w:t>
            </w:r>
            <w:r>
              <w:rPr>
                <w:sz w:val="18"/>
              </w:rPr>
              <w:t>the </w:t>
            </w:r>
            <w:r>
              <w:rPr>
                <w:spacing w:val="-2"/>
                <w:sz w:val="18"/>
              </w:rPr>
              <w:t>committee assurance framework.</w:t>
            </w:r>
          </w:p>
        </w:tc>
        <w:tc>
          <w:tcPr>
            <w:tcW w:w="184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3"/>
              <w:rPr>
                <w:rFonts w:ascii="Calibri"/>
                <w:sz w:val="18"/>
              </w:rPr>
            </w:pPr>
          </w:p>
          <w:p>
            <w:pPr>
              <w:pStyle w:val="TableParagraph"/>
              <w:ind w:left="107" w:right="581"/>
              <w:rPr>
                <w:sz w:val="18"/>
              </w:rPr>
            </w:pPr>
            <w:r>
              <w:rPr>
                <w:sz w:val="18"/>
              </w:rPr>
              <w:t>Implement</w:t>
            </w:r>
            <w:r>
              <w:rPr>
                <w:spacing w:val="-13"/>
                <w:sz w:val="18"/>
              </w:rPr>
              <w:t> </w:t>
            </w:r>
            <w:r>
              <w:rPr>
                <w:sz w:val="18"/>
              </w:rPr>
              <w:t>the internal audit </w:t>
            </w:r>
            <w:r>
              <w:rPr>
                <w:spacing w:val="-2"/>
                <w:sz w:val="18"/>
              </w:rPr>
              <w:t>management</w:t>
            </w:r>
          </w:p>
          <w:p>
            <w:pPr>
              <w:pStyle w:val="TableParagraph"/>
              <w:spacing w:line="242" w:lineRule="auto"/>
              <w:ind w:left="107" w:right="311"/>
              <w:rPr>
                <w:sz w:val="18"/>
              </w:rPr>
            </w:pPr>
            <w:r>
              <w:rPr>
                <w:sz w:val="18"/>
              </w:rPr>
              <w:t>response</w:t>
            </w:r>
            <w:r>
              <w:rPr>
                <w:spacing w:val="-13"/>
                <w:sz w:val="18"/>
              </w:rPr>
              <w:t> </w:t>
            </w:r>
            <w:r>
              <w:rPr>
                <w:sz w:val="18"/>
              </w:rPr>
              <w:t>actions: review subgroup</w:t>
            </w:r>
          </w:p>
          <w:p>
            <w:pPr>
              <w:pStyle w:val="TableParagraph"/>
              <w:spacing w:line="242" w:lineRule="auto"/>
              <w:ind w:left="107"/>
              <w:rPr>
                <w:sz w:val="18"/>
              </w:rPr>
            </w:pPr>
            <w:r>
              <w:rPr>
                <w:spacing w:val="-2"/>
                <w:sz w:val="18"/>
              </w:rPr>
              <w:t>Terms</w:t>
            </w:r>
            <w:r>
              <w:rPr>
                <w:spacing w:val="-13"/>
                <w:sz w:val="18"/>
              </w:rPr>
              <w:t> </w:t>
            </w:r>
            <w:r>
              <w:rPr>
                <w:spacing w:val="-2"/>
                <w:sz w:val="18"/>
              </w:rPr>
              <w:t>of</w:t>
            </w:r>
            <w:r>
              <w:rPr>
                <w:spacing w:val="-10"/>
                <w:sz w:val="18"/>
              </w:rPr>
              <w:t> </w:t>
            </w:r>
            <w:r>
              <w:rPr>
                <w:spacing w:val="-2"/>
                <w:sz w:val="18"/>
              </w:rPr>
              <w:t>Reference, </w:t>
            </w:r>
            <w:r>
              <w:rPr>
                <w:sz w:val="18"/>
              </w:rPr>
              <w:t>develop the RJC</w:t>
            </w:r>
          </w:p>
          <w:p>
            <w:pPr>
              <w:pStyle w:val="TableParagraph"/>
              <w:ind w:left="107" w:right="321"/>
              <w:rPr>
                <w:sz w:val="18"/>
              </w:rPr>
            </w:pPr>
            <w:r>
              <w:rPr>
                <w:sz w:val="18"/>
              </w:rPr>
              <w:t>work</w:t>
            </w:r>
            <w:r>
              <w:rPr>
                <w:spacing w:val="-13"/>
                <w:sz w:val="18"/>
              </w:rPr>
              <w:t> </w:t>
            </w:r>
            <w:r>
              <w:rPr>
                <w:sz w:val="18"/>
              </w:rPr>
              <w:t>programme, </w:t>
            </w:r>
            <w:r>
              <w:rPr>
                <w:spacing w:val="-2"/>
                <w:sz w:val="18"/>
              </w:rPr>
              <w:t>strengthen </w:t>
            </w:r>
            <w:r>
              <w:rPr>
                <w:sz w:val="18"/>
              </w:rPr>
              <w:t>subgroup work </w:t>
            </w:r>
            <w:r>
              <w:rPr>
                <w:spacing w:val="-2"/>
                <w:sz w:val="18"/>
              </w:rPr>
              <w:t>programme</w:t>
            </w:r>
          </w:p>
          <w:p>
            <w:pPr>
              <w:pStyle w:val="TableParagraph"/>
              <w:ind w:left="107" w:right="641"/>
              <w:rPr>
                <w:sz w:val="18"/>
              </w:rPr>
            </w:pPr>
            <w:r>
              <w:rPr>
                <w:spacing w:val="-2"/>
                <w:sz w:val="18"/>
              </w:rPr>
              <w:t>summaries, </w:t>
            </w:r>
            <w:r>
              <w:rPr>
                <w:sz w:val="18"/>
              </w:rPr>
              <w:t>complete</w:t>
            </w:r>
            <w:r>
              <w:rPr>
                <w:spacing w:val="-13"/>
                <w:sz w:val="18"/>
              </w:rPr>
              <w:t> </w:t>
            </w:r>
            <w:r>
              <w:rPr>
                <w:sz w:val="18"/>
              </w:rPr>
              <w:t>and approve the strategic risk</w:t>
            </w:r>
          </w:p>
          <w:p>
            <w:pPr>
              <w:pStyle w:val="TableParagraph"/>
              <w:spacing w:line="244" w:lineRule="auto"/>
              <w:ind w:left="107"/>
              <w:rPr>
                <w:sz w:val="18"/>
              </w:rPr>
            </w:pPr>
            <w:r>
              <w:rPr>
                <w:sz w:val="18"/>
              </w:rPr>
              <w:t>register</w:t>
            </w:r>
            <w:r>
              <w:rPr>
                <w:spacing w:val="-15"/>
                <w:sz w:val="18"/>
              </w:rPr>
              <w:t> </w:t>
            </w:r>
            <w:r>
              <w:rPr>
                <w:sz w:val="18"/>
              </w:rPr>
              <w:t>by</w:t>
            </w:r>
            <w:r>
              <w:rPr>
                <w:spacing w:val="-12"/>
                <w:sz w:val="18"/>
              </w:rPr>
              <w:t> </w:t>
            </w:r>
            <w:r>
              <w:rPr>
                <w:sz w:val="18"/>
              </w:rPr>
              <w:t>October 2026, and align</w:t>
            </w:r>
          </w:p>
          <w:p>
            <w:pPr>
              <w:pStyle w:val="TableParagraph"/>
              <w:ind w:left="107" w:right="301"/>
              <w:rPr>
                <w:sz w:val="18"/>
              </w:rPr>
            </w:pPr>
            <w:r>
              <w:rPr>
                <w:sz w:val="18"/>
              </w:rPr>
              <w:t>reporting with sovereign Board assurance</w:t>
            </w:r>
            <w:r>
              <w:rPr>
                <w:spacing w:val="-13"/>
                <w:sz w:val="18"/>
              </w:rPr>
              <w:t> </w:t>
            </w:r>
            <w:r>
              <w:rPr>
                <w:sz w:val="18"/>
              </w:rPr>
              <w:t>needs.</w:t>
            </w:r>
          </w:p>
        </w:tc>
        <w:tc>
          <w:tcPr>
            <w:tcW w:w="99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6"/>
              <w:rPr>
                <w:rFonts w:ascii="Calibri"/>
                <w:sz w:val="18"/>
              </w:rPr>
            </w:pPr>
          </w:p>
          <w:p>
            <w:pPr>
              <w:pStyle w:val="TableParagraph"/>
              <w:spacing w:before="1"/>
              <w:ind w:left="102"/>
              <w:rPr>
                <w:sz w:val="18"/>
              </w:rPr>
            </w:pPr>
            <w:r>
              <w:rPr>
                <w:spacing w:val="-5"/>
                <w:sz w:val="18"/>
              </w:rPr>
              <w:t>TBC</w:t>
            </w:r>
          </w:p>
        </w:tc>
        <w:tc>
          <w:tcPr>
            <w:tcW w:w="99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6"/>
              <w:rPr>
                <w:rFonts w:ascii="Calibri"/>
                <w:sz w:val="18"/>
              </w:rPr>
            </w:pPr>
          </w:p>
          <w:p>
            <w:pPr>
              <w:pStyle w:val="TableParagraph"/>
              <w:spacing w:before="1"/>
              <w:ind w:left="106"/>
              <w:rPr>
                <w:sz w:val="18"/>
              </w:rPr>
            </w:pPr>
            <w:r>
              <w:rPr>
                <w:spacing w:val="-5"/>
                <w:sz w:val="18"/>
              </w:rPr>
              <w:t>TBC</w:t>
            </w:r>
          </w:p>
        </w:tc>
        <w:tc>
          <w:tcPr>
            <w:tcW w:w="995"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6"/>
              <w:rPr>
                <w:rFonts w:ascii="Calibri"/>
                <w:sz w:val="18"/>
              </w:rPr>
            </w:pPr>
          </w:p>
          <w:p>
            <w:pPr>
              <w:pStyle w:val="TableParagraph"/>
              <w:spacing w:before="1"/>
              <w:ind w:left="106"/>
              <w:rPr>
                <w:sz w:val="18"/>
              </w:rPr>
            </w:pPr>
            <w:r>
              <w:rPr>
                <w:spacing w:val="-5"/>
                <w:sz w:val="18"/>
              </w:rPr>
              <w:t>TBC</w:t>
            </w:r>
          </w:p>
        </w:tc>
        <w:tc>
          <w:tcPr>
            <w:tcW w:w="850"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6"/>
              <w:rPr>
                <w:rFonts w:ascii="Calibri"/>
                <w:sz w:val="18"/>
              </w:rPr>
            </w:pPr>
          </w:p>
          <w:p>
            <w:pPr>
              <w:pStyle w:val="TableParagraph"/>
              <w:spacing w:before="1"/>
              <w:ind w:left="105"/>
              <w:rPr>
                <w:sz w:val="18"/>
              </w:rPr>
            </w:pPr>
            <w:r>
              <w:rPr>
                <w:spacing w:val="-5"/>
                <w:sz w:val="18"/>
              </w:rPr>
              <w:t>TBC</w:t>
            </w:r>
          </w:p>
        </w:tc>
      </w:tr>
    </w:tbl>
    <w:p>
      <w:pPr>
        <w:pStyle w:val="BodyText"/>
        <w:spacing w:before="63"/>
        <w:rPr>
          <w:rFonts w:ascii="Calibri"/>
          <w:sz w:val="22"/>
        </w:rPr>
      </w:pPr>
    </w:p>
    <w:p>
      <w:pPr>
        <w:spacing w:before="1"/>
        <w:ind w:left="11" w:right="994" w:firstLine="0"/>
        <w:jc w:val="center"/>
        <w:rPr>
          <w:rFonts w:ascii="Calibri"/>
          <w:sz w:val="22"/>
        </w:rPr>
      </w:pPr>
      <w:r>
        <w:rPr>
          <w:rFonts w:ascii="Calibri"/>
          <w:spacing w:val="-10"/>
          <w:sz w:val="22"/>
        </w:rPr>
        <w:t>8</w:t>
      </w:r>
    </w:p>
    <w:p>
      <w:pPr>
        <w:spacing w:after="0"/>
        <w:jc w:val="center"/>
        <w:rPr>
          <w:rFonts w:ascii="Calibri"/>
          <w:sz w:val="22"/>
        </w:rPr>
        <w:sectPr>
          <w:pgSz w:w="16840" w:h="11910" w:orient="landscape"/>
          <w:pgMar w:header="0" w:footer="198" w:top="1340" w:bottom="380" w:left="1417" w:right="425"/>
        </w:sectPr>
      </w:pPr>
    </w:p>
    <w:p>
      <w:pPr>
        <w:pStyle w:val="BodyText"/>
        <w:spacing w:before="10"/>
        <w:rPr>
          <w:rFonts w:ascii="Calibri"/>
          <w:sz w:val="7"/>
        </w:rPr>
      </w:pPr>
    </w:p>
    <w:tbl>
      <w:tblPr>
        <w:tblW w:w="0" w:type="auto"/>
        <w:jc w:val="left"/>
        <w:tblInd w:w="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0" w:type="dxa"/>
          <w:left w:w="0" w:type="dxa"/>
          <w:bottom w:w="0" w:type="dxa"/>
          <w:right w:w="0" w:type="dxa"/>
        </w:tblCellMar>
        <w:tblLook w:val="01E0"/>
      </w:tblPr>
      <w:tblGrid>
        <w:gridCol w:w="670"/>
        <w:gridCol w:w="1316"/>
        <w:gridCol w:w="2121"/>
        <w:gridCol w:w="1706"/>
        <w:gridCol w:w="1701"/>
        <w:gridCol w:w="1701"/>
        <w:gridCol w:w="1846"/>
        <w:gridCol w:w="991"/>
        <w:gridCol w:w="991"/>
        <w:gridCol w:w="995"/>
        <w:gridCol w:w="850"/>
      </w:tblGrid>
      <w:tr>
        <w:trPr>
          <w:trHeight w:val="985" w:hRule="atLeast"/>
        </w:trPr>
        <w:tc>
          <w:tcPr>
            <w:tcW w:w="670" w:type="dxa"/>
            <w:shd w:val="clear" w:color="auto" w:fill="D9E1F3"/>
          </w:tcPr>
          <w:p>
            <w:pPr>
              <w:pStyle w:val="TableParagraph"/>
              <w:spacing w:before="171"/>
              <w:rPr>
                <w:rFonts w:ascii="Calibri"/>
                <w:sz w:val="18"/>
              </w:rPr>
            </w:pPr>
          </w:p>
          <w:p>
            <w:pPr>
              <w:pStyle w:val="TableParagraph"/>
              <w:spacing w:before="1"/>
              <w:ind w:right="147"/>
              <w:jc w:val="center"/>
              <w:rPr>
                <w:b/>
                <w:sz w:val="18"/>
              </w:rPr>
            </w:pPr>
            <w:r>
              <w:rPr>
                <w:b/>
                <w:spacing w:val="-5"/>
                <w:sz w:val="18"/>
              </w:rPr>
              <w:t>Ref</w:t>
            </w:r>
          </w:p>
        </w:tc>
        <w:tc>
          <w:tcPr>
            <w:tcW w:w="1316" w:type="dxa"/>
            <w:shd w:val="clear" w:color="auto" w:fill="D9E1F3"/>
          </w:tcPr>
          <w:p>
            <w:pPr>
              <w:pStyle w:val="TableParagraph"/>
              <w:spacing w:before="66"/>
              <w:rPr>
                <w:rFonts w:ascii="Calibri"/>
                <w:sz w:val="18"/>
              </w:rPr>
            </w:pPr>
          </w:p>
          <w:p>
            <w:pPr>
              <w:pStyle w:val="TableParagraph"/>
              <w:spacing w:before="1"/>
              <w:ind w:left="104"/>
              <w:rPr>
                <w:b/>
                <w:sz w:val="18"/>
              </w:rPr>
            </w:pPr>
            <w:r>
              <w:rPr>
                <w:b/>
                <w:spacing w:val="-2"/>
                <w:sz w:val="18"/>
              </w:rPr>
              <w:t>Strategic objective</w:t>
            </w:r>
          </w:p>
        </w:tc>
        <w:tc>
          <w:tcPr>
            <w:tcW w:w="2121" w:type="dxa"/>
            <w:shd w:val="clear" w:color="auto" w:fill="D9E1F3"/>
          </w:tcPr>
          <w:p>
            <w:pPr>
              <w:pStyle w:val="TableParagraph"/>
              <w:spacing w:before="171"/>
              <w:rPr>
                <w:rFonts w:ascii="Calibri"/>
                <w:sz w:val="18"/>
              </w:rPr>
            </w:pPr>
          </w:p>
          <w:p>
            <w:pPr>
              <w:pStyle w:val="TableParagraph"/>
              <w:spacing w:before="1"/>
              <w:ind w:left="104"/>
              <w:rPr>
                <w:b/>
                <w:sz w:val="18"/>
              </w:rPr>
            </w:pPr>
            <w:r>
              <w:rPr>
                <w:b/>
                <w:sz w:val="18"/>
              </w:rPr>
              <w:t>Strategic</w:t>
            </w:r>
            <w:r>
              <w:rPr>
                <w:b/>
                <w:spacing w:val="-5"/>
                <w:sz w:val="18"/>
              </w:rPr>
              <w:t> </w:t>
            </w:r>
            <w:r>
              <w:rPr>
                <w:b/>
                <w:spacing w:val="-4"/>
                <w:sz w:val="18"/>
              </w:rPr>
              <w:t>risk</w:t>
            </w:r>
          </w:p>
        </w:tc>
        <w:tc>
          <w:tcPr>
            <w:tcW w:w="1706" w:type="dxa"/>
            <w:shd w:val="clear" w:color="auto" w:fill="D9E1F3"/>
          </w:tcPr>
          <w:p>
            <w:pPr>
              <w:pStyle w:val="TableParagraph"/>
              <w:spacing w:before="66"/>
              <w:rPr>
                <w:rFonts w:ascii="Calibri"/>
                <w:sz w:val="18"/>
              </w:rPr>
            </w:pPr>
          </w:p>
          <w:p>
            <w:pPr>
              <w:pStyle w:val="TableParagraph"/>
              <w:spacing w:before="1"/>
              <w:ind w:left="109"/>
              <w:rPr>
                <w:b/>
                <w:sz w:val="18"/>
              </w:rPr>
            </w:pPr>
            <w:r>
              <w:rPr>
                <w:b/>
                <w:sz w:val="18"/>
              </w:rPr>
              <w:t>Key</w:t>
            </w:r>
            <w:r>
              <w:rPr>
                <w:b/>
                <w:spacing w:val="-15"/>
                <w:sz w:val="18"/>
              </w:rPr>
              <w:t> </w:t>
            </w:r>
            <w:r>
              <w:rPr>
                <w:b/>
                <w:sz w:val="18"/>
              </w:rPr>
              <w:t>controls</w:t>
            </w:r>
            <w:r>
              <w:rPr>
                <w:b/>
                <w:spacing w:val="-12"/>
                <w:sz w:val="18"/>
              </w:rPr>
              <w:t> </w:t>
            </w:r>
            <w:r>
              <w:rPr>
                <w:b/>
                <w:sz w:val="18"/>
              </w:rPr>
              <w:t>in </w:t>
            </w:r>
            <w:r>
              <w:rPr>
                <w:b/>
                <w:spacing w:val="-2"/>
                <w:sz w:val="18"/>
              </w:rPr>
              <w:t>place</w:t>
            </w:r>
          </w:p>
        </w:tc>
        <w:tc>
          <w:tcPr>
            <w:tcW w:w="1701" w:type="dxa"/>
            <w:shd w:val="clear" w:color="auto" w:fill="D9E1F3"/>
          </w:tcPr>
          <w:p>
            <w:pPr>
              <w:pStyle w:val="TableParagraph"/>
              <w:spacing w:before="66"/>
              <w:rPr>
                <w:rFonts w:ascii="Calibri"/>
                <w:sz w:val="18"/>
              </w:rPr>
            </w:pPr>
          </w:p>
          <w:p>
            <w:pPr>
              <w:pStyle w:val="TableParagraph"/>
              <w:spacing w:before="1"/>
              <w:ind w:left="103" w:right="650"/>
              <w:rPr>
                <w:b/>
                <w:sz w:val="18"/>
              </w:rPr>
            </w:pPr>
            <w:r>
              <w:rPr>
                <w:b/>
                <w:sz w:val="18"/>
              </w:rPr>
              <w:t>Sources</w:t>
            </w:r>
            <w:r>
              <w:rPr>
                <w:b/>
                <w:spacing w:val="-13"/>
                <w:sz w:val="18"/>
              </w:rPr>
              <w:t> </w:t>
            </w:r>
            <w:r>
              <w:rPr>
                <w:b/>
                <w:sz w:val="18"/>
              </w:rPr>
              <w:t>of </w:t>
            </w:r>
            <w:r>
              <w:rPr>
                <w:b/>
                <w:spacing w:val="-2"/>
                <w:sz w:val="18"/>
              </w:rPr>
              <w:t>assurance</w:t>
            </w:r>
          </w:p>
        </w:tc>
        <w:tc>
          <w:tcPr>
            <w:tcW w:w="1701" w:type="dxa"/>
            <w:shd w:val="clear" w:color="auto" w:fill="D9E1F3"/>
          </w:tcPr>
          <w:p>
            <w:pPr>
              <w:pStyle w:val="TableParagraph"/>
              <w:spacing w:before="171"/>
              <w:rPr>
                <w:rFonts w:ascii="Calibri"/>
                <w:sz w:val="18"/>
              </w:rPr>
            </w:pPr>
          </w:p>
          <w:p>
            <w:pPr>
              <w:pStyle w:val="TableParagraph"/>
              <w:spacing w:before="1"/>
              <w:ind w:left="103"/>
              <w:rPr>
                <w:b/>
                <w:sz w:val="18"/>
              </w:rPr>
            </w:pPr>
            <w:r>
              <w:rPr>
                <w:b/>
                <w:sz w:val="18"/>
              </w:rPr>
              <w:t>Assurance</w:t>
            </w:r>
            <w:r>
              <w:rPr>
                <w:b/>
                <w:spacing w:val="-1"/>
                <w:sz w:val="18"/>
              </w:rPr>
              <w:t> </w:t>
            </w:r>
            <w:r>
              <w:rPr>
                <w:b/>
                <w:spacing w:val="-4"/>
                <w:sz w:val="18"/>
              </w:rPr>
              <w:t>gaps</w:t>
            </w:r>
          </w:p>
        </w:tc>
        <w:tc>
          <w:tcPr>
            <w:tcW w:w="1846" w:type="dxa"/>
            <w:shd w:val="clear" w:color="auto" w:fill="D9E1F3"/>
          </w:tcPr>
          <w:p>
            <w:pPr>
              <w:pStyle w:val="TableParagraph"/>
              <w:spacing w:before="66"/>
              <w:rPr>
                <w:rFonts w:ascii="Calibri"/>
                <w:sz w:val="18"/>
              </w:rPr>
            </w:pPr>
          </w:p>
          <w:p>
            <w:pPr>
              <w:pStyle w:val="TableParagraph"/>
              <w:spacing w:before="1"/>
              <w:ind w:left="107" w:right="411"/>
              <w:rPr>
                <w:b/>
                <w:sz w:val="18"/>
              </w:rPr>
            </w:pPr>
            <w:r>
              <w:rPr>
                <w:b/>
                <w:sz w:val="18"/>
              </w:rPr>
              <w:t>Further</w:t>
            </w:r>
            <w:r>
              <w:rPr>
                <w:b/>
                <w:spacing w:val="-13"/>
                <w:sz w:val="18"/>
              </w:rPr>
              <w:t> </w:t>
            </w:r>
            <w:r>
              <w:rPr>
                <w:b/>
                <w:sz w:val="18"/>
              </w:rPr>
              <w:t>actions </w:t>
            </w:r>
            <w:r>
              <w:rPr>
                <w:b/>
                <w:spacing w:val="-2"/>
                <w:sz w:val="18"/>
              </w:rPr>
              <w:t>required</w:t>
            </w:r>
          </w:p>
        </w:tc>
        <w:tc>
          <w:tcPr>
            <w:tcW w:w="991" w:type="dxa"/>
            <w:shd w:val="clear" w:color="auto" w:fill="D9E1F3"/>
          </w:tcPr>
          <w:p>
            <w:pPr>
              <w:pStyle w:val="TableParagraph"/>
              <w:spacing w:before="181"/>
              <w:ind w:left="102" w:right="308"/>
              <w:rPr>
                <w:b/>
                <w:sz w:val="18"/>
              </w:rPr>
            </w:pPr>
            <w:r>
              <w:rPr>
                <w:b/>
                <w:spacing w:val="-4"/>
                <w:sz w:val="18"/>
              </w:rPr>
              <w:t>Exec Risk </w:t>
            </w:r>
            <w:r>
              <w:rPr>
                <w:b/>
                <w:spacing w:val="-2"/>
                <w:sz w:val="18"/>
              </w:rPr>
              <w:t>Owner</w:t>
            </w:r>
          </w:p>
        </w:tc>
        <w:tc>
          <w:tcPr>
            <w:tcW w:w="991" w:type="dxa"/>
            <w:shd w:val="clear" w:color="auto" w:fill="D9E1F3"/>
          </w:tcPr>
          <w:p>
            <w:pPr>
              <w:pStyle w:val="TableParagraph"/>
              <w:spacing w:before="181"/>
              <w:ind w:left="106" w:right="179"/>
              <w:rPr>
                <w:b/>
                <w:sz w:val="18"/>
              </w:rPr>
            </w:pPr>
            <w:r>
              <w:rPr>
                <w:b/>
                <w:spacing w:val="-4"/>
                <w:sz w:val="18"/>
              </w:rPr>
              <w:t>Mgt </w:t>
            </w:r>
            <w:r>
              <w:rPr>
                <w:b/>
                <w:spacing w:val="-2"/>
                <w:sz w:val="18"/>
              </w:rPr>
              <w:t>Support </w:t>
            </w:r>
            <w:r>
              <w:rPr>
                <w:b/>
                <w:spacing w:val="-4"/>
                <w:sz w:val="18"/>
              </w:rPr>
              <w:t>Lead</w:t>
            </w:r>
          </w:p>
        </w:tc>
        <w:tc>
          <w:tcPr>
            <w:tcW w:w="995" w:type="dxa"/>
            <w:shd w:val="clear" w:color="auto" w:fill="D9E1F3"/>
          </w:tcPr>
          <w:p>
            <w:pPr>
              <w:pStyle w:val="TableParagraph"/>
              <w:spacing w:before="181"/>
              <w:ind w:left="106" w:right="222"/>
              <w:rPr>
                <w:b/>
                <w:sz w:val="18"/>
              </w:rPr>
            </w:pPr>
            <w:r>
              <w:rPr>
                <w:b/>
                <w:spacing w:val="-2"/>
                <w:sz w:val="18"/>
              </w:rPr>
              <w:t>Current </w:t>
            </w:r>
            <w:r>
              <w:rPr>
                <w:b/>
                <w:spacing w:val="-4"/>
                <w:sz w:val="18"/>
              </w:rPr>
              <w:t>risk </w:t>
            </w:r>
            <w:r>
              <w:rPr>
                <w:b/>
                <w:spacing w:val="-2"/>
                <w:sz w:val="18"/>
              </w:rPr>
              <w:t>score</w:t>
            </w:r>
          </w:p>
        </w:tc>
        <w:tc>
          <w:tcPr>
            <w:tcW w:w="850" w:type="dxa"/>
            <w:shd w:val="clear" w:color="auto" w:fill="D9E1F3"/>
          </w:tcPr>
          <w:p>
            <w:pPr>
              <w:pStyle w:val="TableParagraph"/>
              <w:spacing w:before="181"/>
              <w:ind w:left="105" w:right="188"/>
              <w:rPr>
                <w:b/>
                <w:sz w:val="18"/>
              </w:rPr>
            </w:pPr>
            <w:r>
              <w:rPr>
                <w:b/>
                <w:spacing w:val="-4"/>
                <w:sz w:val="18"/>
              </w:rPr>
              <w:t>Target risk </w:t>
            </w:r>
            <w:r>
              <w:rPr>
                <w:b/>
                <w:spacing w:val="-2"/>
                <w:sz w:val="18"/>
              </w:rPr>
              <w:t>score</w:t>
            </w:r>
          </w:p>
        </w:tc>
      </w:tr>
      <w:tr>
        <w:trPr>
          <w:trHeight w:val="1240" w:hRule="atLeast"/>
        </w:trPr>
        <w:tc>
          <w:tcPr>
            <w:tcW w:w="670" w:type="dxa"/>
          </w:tcPr>
          <w:p>
            <w:pPr>
              <w:pStyle w:val="TableParagraph"/>
              <w:rPr>
                <w:rFonts w:ascii="Times New Roman"/>
                <w:sz w:val="16"/>
              </w:rPr>
            </w:pPr>
          </w:p>
        </w:tc>
        <w:tc>
          <w:tcPr>
            <w:tcW w:w="1316" w:type="dxa"/>
          </w:tcPr>
          <w:p>
            <w:pPr>
              <w:pStyle w:val="TableParagraph"/>
              <w:rPr>
                <w:rFonts w:ascii="Times New Roman"/>
                <w:sz w:val="16"/>
              </w:rPr>
            </w:pPr>
          </w:p>
        </w:tc>
        <w:tc>
          <w:tcPr>
            <w:tcW w:w="2121" w:type="dxa"/>
          </w:tcPr>
          <w:p>
            <w:pPr>
              <w:pStyle w:val="TableParagraph"/>
              <w:spacing w:before="1"/>
              <w:ind w:left="104" w:right="172"/>
              <w:rPr>
                <w:sz w:val="18"/>
              </w:rPr>
            </w:pPr>
            <w:r>
              <w:rPr>
                <w:sz w:val="18"/>
              </w:rPr>
              <w:t>and</w:t>
            </w:r>
            <w:r>
              <w:rPr>
                <w:spacing w:val="-15"/>
                <w:sz w:val="18"/>
              </w:rPr>
              <w:t> </w:t>
            </w:r>
            <w:r>
              <w:rPr>
                <w:sz w:val="18"/>
              </w:rPr>
              <w:t>accountability,</w:t>
            </w:r>
            <w:r>
              <w:rPr>
                <w:spacing w:val="-12"/>
                <w:sz w:val="18"/>
              </w:rPr>
              <w:t> </w:t>
            </w:r>
            <w:r>
              <w:rPr>
                <w:sz w:val="18"/>
              </w:rPr>
              <w:t>and an</w:t>
            </w:r>
            <w:r>
              <w:rPr>
                <w:spacing w:val="-15"/>
                <w:sz w:val="18"/>
              </w:rPr>
              <w:t> </w:t>
            </w:r>
            <w:r>
              <w:rPr>
                <w:sz w:val="18"/>
              </w:rPr>
              <w:t>increased</w:t>
            </w:r>
            <w:r>
              <w:rPr>
                <w:spacing w:val="-12"/>
                <w:sz w:val="18"/>
              </w:rPr>
              <w:t> </w:t>
            </w:r>
            <w:r>
              <w:rPr>
                <w:sz w:val="18"/>
              </w:rPr>
              <w:t>likelihood that intended benefits and outcomes from</w:t>
            </w:r>
          </w:p>
          <w:p>
            <w:pPr>
              <w:pStyle w:val="TableParagraph"/>
              <w:spacing w:line="205" w:lineRule="exact"/>
              <w:ind w:left="104"/>
              <w:rPr>
                <w:sz w:val="18"/>
              </w:rPr>
            </w:pPr>
            <w:r>
              <w:rPr>
                <w:sz w:val="18"/>
              </w:rPr>
              <w:t>regional</w:t>
            </w:r>
            <w:r>
              <w:rPr>
                <w:spacing w:val="-1"/>
                <w:sz w:val="18"/>
              </w:rPr>
              <w:t> </w:t>
            </w:r>
            <w:r>
              <w:rPr>
                <w:spacing w:val="-2"/>
                <w:sz w:val="18"/>
              </w:rPr>
              <w:t>collaboration</w:t>
            </w:r>
          </w:p>
          <w:p>
            <w:pPr>
              <w:pStyle w:val="TableParagraph"/>
              <w:spacing w:line="184" w:lineRule="exact" w:before="3"/>
              <w:ind w:left="104"/>
              <w:rPr>
                <w:sz w:val="18"/>
              </w:rPr>
            </w:pPr>
            <w:r>
              <w:rPr>
                <w:sz w:val="18"/>
              </w:rPr>
              <w:t>are</w:t>
            </w:r>
            <w:r>
              <w:rPr>
                <w:spacing w:val="-5"/>
                <w:sz w:val="18"/>
              </w:rPr>
              <w:t> </w:t>
            </w:r>
            <w:r>
              <w:rPr>
                <w:sz w:val="18"/>
              </w:rPr>
              <w:t>not</w:t>
            </w:r>
            <w:r>
              <w:rPr>
                <w:spacing w:val="-3"/>
                <w:sz w:val="18"/>
              </w:rPr>
              <w:t> </w:t>
            </w:r>
            <w:r>
              <w:rPr>
                <w:spacing w:val="-2"/>
                <w:sz w:val="18"/>
              </w:rPr>
              <w:t>realised.</w:t>
            </w:r>
          </w:p>
        </w:tc>
        <w:tc>
          <w:tcPr>
            <w:tcW w:w="1706" w:type="dxa"/>
          </w:tcPr>
          <w:p>
            <w:pPr>
              <w:pStyle w:val="TableParagraph"/>
              <w:rPr>
                <w:rFonts w:ascii="Times New Roman"/>
                <w:sz w:val="16"/>
              </w:rPr>
            </w:pPr>
          </w:p>
        </w:tc>
        <w:tc>
          <w:tcPr>
            <w:tcW w:w="1701" w:type="dxa"/>
          </w:tcPr>
          <w:p>
            <w:pPr>
              <w:pStyle w:val="TableParagraph"/>
              <w:rPr>
                <w:rFonts w:ascii="Times New Roman"/>
                <w:sz w:val="16"/>
              </w:rPr>
            </w:pPr>
          </w:p>
        </w:tc>
        <w:tc>
          <w:tcPr>
            <w:tcW w:w="1701" w:type="dxa"/>
          </w:tcPr>
          <w:p>
            <w:pPr>
              <w:pStyle w:val="TableParagraph"/>
              <w:rPr>
                <w:rFonts w:ascii="Times New Roman"/>
                <w:sz w:val="16"/>
              </w:rPr>
            </w:pPr>
          </w:p>
        </w:tc>
        <w:tc>
          <w:tcPr>
            <w:tcW w:w="1846" w:type="dxa"/>
          </w:tcPr>
          <w:p>
            <w:pPr>
              <w:pStyle w:val="TableParagraph"/>
              <w:rPr>
                <w:rFonts w:ascii="Times New Roman"/>
                <w:sz w:val="16"/>
              </w:rPr>
            </w:pPr>
          </w:p>
        </w:tc>
        <w:tc>
          <w:tcPr>
            <w:tcW w:w="991" w:type="dxa"/>
          </w:tcPr>
          <w:p>
            <w:pPr>
              <w:pStyle w:val="TableParagraph"/>
              <w:rPr>
                <w:rFonts w:ascii="Times New Roman"/>
                <w:sz w:val="16"/>
              </w:rPr>
            </w:pPr>
          </w:p>
        </w:tc>
        <w:tc>
          <w:tcPr>
            <w:tcW w:w="991" w:type="dxa"/>
          </w:tcPr>
          <w:p>
            <w:pPr>
              <w:pStyle w:val="TableParagraph"/>
              <w:rPr>
                <w:rFonts w:ascii="Times New Roman"/>
                <w:sz w:val="16"/>
              </w:rPr>
            </w:pPr>
          </w:p>
        </w:tc>
        <w:tc>
          <w:tcPr>
            <w:tcW w:w="995" w:type="dxa"/>
          </w:tcPr>
          <w:p>
            <w:pPr>
              <w:pStyle w:val="TableParagraph"/>
              <w:rPr>
                <w:rFonts w:ascii="Times New Roman"/>
                <w:sz w:val="16"/>
              </w:rPr>
            </w:pPr>
          </w:p>
        </w:tc>
        <w:tc>
          <w:tcPr>
            <w:tcW w:w="850" w:type="dxa"/>
          </w:tcPr>
          <w:p>
            <w:pPr>
              <w:pStyle w:val="TableParagraph"/>
              <w:rPr>
                <w:rFonts w:ascii="Times New Roman"/>
                <w:sz w:val="16"/>
              </w:rPr>
            </w:pPr>
          </w:p>
        </w:tc>
      </w:tr>
      <w:tr>
        <w:trPr>
          <w:trHeight w:val="6627" w:hRule="atLeast"/>
        </w:trPr>
        <w:tc>
          <w:tcPr>
            <w:tcW w:w="670" w:type="dxa"/>
          </w:tcPr>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rPr>
                <w:rFonts w:ascii="Calibri"/>
                <w:sz w:val="16"/>
              </w:rPr>
            </w:pPr>
          </w:p>
          <w:p>
            <w:pPr>
              <w:pStyle w:val="TableParagraph"/>
              <w:spacing w:before="96"/>
              <w:rPr>
                <w:rFonts w:ascii="Calibri"/>
                <w:sz w:val="16"/>
              </w:rPr>
            </w:pPr>
          </w:p>
          <w:p>
            <w:pPr>
              <w:pStyle w:val="TableParagraph"/>
              <w:ind w:right="39"/>
              <w:jc w:val="center"/>
              <w:rPr>
                <w:sz w:val="16"/>
              </w:rPr>
            </w:pPr>
            <w:r>
              <w:rPr>
                <w:spacing w:val="-4"/>
                <w:sz w:val="16"/>
              </w:rPr>
              <w:t>SR06</w:t>
            </w:r>
          </w:p>
        </w:tc>
        <w:tc>
          <w:tcPr>
            <w:tcW w:w="131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84"/>
              <w:rPr>
                <w:rFonts w:ascii="Calibri"/>
                <w:sz w:val="18"/>
              </w:rPr>
            </w:pPr>
          </w:p>
          <w:p>
            <w:pPr>
              <w:pStyle w:val="TableParagraph"/>
              <w:ind w:left="104" w:right="324"/>
              <w:rPr>
                <w:sz w:val="18"/>
              </w:rPr>
            </w:pPr>
            <w:r>
              <w:rPr>
                <w:sz w:val="18"/>
              </w:rPr>
              <w:t>Secure</w:t>
            </w:r>
            <w:r>
              <w:rPr>
                <w:spacing w:val="-13"/>
                <w:sz w:val="18"/>
              </w:rPr>
              <w:t> </w:t>
            </w:r>
            <w:r>
              <w:rPr>
                <w:sz w:val="18"/>
              </w:rPr>
              <w:t>the </w:t>
            </w:r>
            <w:r>
              <w:rPr>
                <w:spacing w:val="-2"/>
                <w:sz w:val="18"/>
              </w:rPr>
              <w:t>external</w:t>
            </w:r>
          </w:p>
          <w:p>
            <w:pPr>
              <w:pStyle w:val="TableParagraph"/>
              <w:spacing w:before="2"/>
              <w:ind w:left="104" w:right="244"/>
              <w:rPr>
                <w:sz w:val="18"/>
              </w:rPr>
            </w:pPr>
            <w:r>
              <w:rPr>
                <w:sz w:val="18"/>
              </w:rPr>
              <w:t>support</w:t>
            </w:r>
            <w:r>
              <w:rPr>
                <w:spacing w:val="-13"/>
                <w:sz w:val="18"/>
              </w:rPr>
              <w:t> </w:t>
            </w:r>
            <w:r>
              <w:rPr>
                <w:sz w:val="18"/>
              </w:rPr>
              <w:t>and </w:t>
            </w:r>
            <w:r>
              <w:rPr>
                <w:spacing w:val="-2"/>
                <w:sz w:val="18"/>
              </w:rPr>
              <w:t>system alignment </w:t>
            </w:r>
            <w:r>
              <w:rPr>
                <w:sz w:val="18"/>
              </w:rPr>
              <w:t>needed for </w:t>
            </w:r>
            <w:r>
              <w:rPr>
                <w:spacing w:val="-2"/>
                <w:sz w:val="18"/>
              </w:rPr>
              <w:t>major</w:t>
            </w:r>
          </w:p>
          <w:p>
            <w:pPr>
              <w:pStyle w:val="TableParagraph"/>
              <w:ind w:left="104" w:right="555"/>
              <w:rPr>
                <w:sz w:val="18"/>
              </w:rPr>
            </w:pPr>
            <w:r>
              <w:rPr>
                <w:spacing w:val="-2"/>
                <w:sz w:val="18"/>
              </w:rPr>
              <w:t>regional change.</w:t>
            </w:r>
          </w:p>
        </w:tc>
        <w:tc>
          <w:tcPr>
            <w:tcW w:w="2121" w:type="dxa"/>
          </w:tcPr>
          <w:p>
            <w:pPr>
              <w:pStyle w:val="TableParagraph"/>
              <w:spacing w:before="1"/>
              <w:ind w:left="104"/>
              <w:rPr>
                <w:sz w:val="18"/>
              </w:rPr>
            </w:pPr>
            <w:r>
              <w:rPr>
                <w:sz w:val="18"/>
              </w:rPr>
              <w:t>There</w:t>
            </w:r>
            <w:r>
              <w:rPr>
                <w:spacing w:val="-8"/>
                <w:sz w:val="18"/>
              </w:rPr>
              <w:t> </w:t>
            </w:r>
            <w:r>
              <w:rPr>
                <w:sz w:val="18"/>
              </w:rPr>
              <w:t>is</w:t>
            </w:r>
            <w:r>
              <w:rPr>
                <w:spacing w:val="-8"/>
                <w:sz w:val="18"/>
              </w:rPr>
              <w:t> </w:t>
            </w:r>
            <w:r>
              <w:rPr>
                <w:sz w:val="18"/>
              </w:rPr>
              <w:t>a</w:t>
            </w:r>
            <w:r>
              <w:rPr>
                <w:spacing w:val="-8"/>
                <w:sz w:val="18"/>
              </w:rPr>
              <w:t> </w:t>
            </w:r>
            <w:r>
              <w:rPr>
                <w:sz w:val="18"/>
              </w:rPr>
              <w:t>risk</w:t>
            </w:r>
            <w:r>
              <w:rPr>
                <w:spacing w:val="-9"/>
                <w:sz w:val="18"/>
              </w:rPr>
              <w:t> </w:t>
            </w:r>
            <w:r>
              <w:rPr>
                <w:sz w:val="18"/>
              </w:rPr>
              <w:t>that</w:t>
            </w:r>
            <w:r>
              <w:rPr>
                <w:spacing w:val="-8"/>
                <w:sz w:val="18"/>
              </w:rPr>
              <w:t> </w:t>
            </w:r>
            <w:r>
              <w:rPr>
                <w:sz w:val="18"/>
              </w:rPr>
              <w:t>the Regional Joint</w:t>
            </w:r>
          </w:p>
          <w:p>
            <w:pPr>
              <w:pStyle w:val="TableParagraph"/>
              <w:spacing w:before="1"/>
              <w:ind w:left="104"/>
              <w:rPr>
                <w:sz w:val="18"/>
              </w:rPr>
            </w:pPr>
            <w:r>
              <w:rPr>
                <w:sz w:val="18"/>
              </w:rPr>
              <w:t>Committee</w:t>
            </w:r>
            <w:r>
              <w:rPr>
                <w:spacing w:val="-13"/>
                <w:sz w:val="18"/>
              </w:rPr>
              <w:t> </w:t>
            </w:r>
            <w:r>
              <w:rPr>
                <w:sz w:val="18"/>
              </w:rPr>
              <w:t>is</w:t>
            </w:r>
            <w:r>
              <w:rPr>
                <w:spacing w:val="-12"/>
                <w:sz w:val="18"/>
              </w:rPr>
              <w:t> </w:t>
            </w:r>
            <w:r>
              <w:rPr>
                <w:sz w:val="18"/>
              </w:rPr>
              <w:t>unable</w:t>
            </w:r>
            <w:r>
              <w:rPr>
                <w:spacing w:val="-13"/>
                <w:sz w:val="18"/>
              </w:rPr>
              <w:t> </w:t>
            </w:r>
            <w:r>
              <w:rPr>
                <w:sz w:val="18"/>
              </w:rPr>
              <w:t>to secure the resources, policy support, </w:t>
            </w:r>
            <w:r>
              <w:rPr>
                <w:spacing w:val="-2"/>
                <w:sz w:val="18"/>
              </w:rPr>
              <w:t>stakeholder</w:t>
            </w:r>
          </w:p>
          <w:p>
            <w:pPr>
              <w:pStyle w:val="TableParagraph"/>
              <w:ind w:left="104" w:right="114"/>
              <w:rPr>
                <w:sz w:val="18"/>
              </w:rPr>
            </w:pPr>
            <w:r>
              <w:rPr>
                <w:sz w:val="18"/>
              </w:rPr>
              <w:t>commitment and system-wide alignment necessary to deliver its long-term ambitions for regional</w:t>
            </w:r>
            <w:r>
              <w:rPr>
                <w:spacing w:val="-1"/>
                <w:sz w:val="18"/>
              </w:rPr>
              <w:t> </w:t>
            </w:r>
            <w:r>
              <w:rPr>
                <w:spacing w:val="-2"/>
                <w:sz w:val="18"/>
              </w:rPr>
              <w:t>transformation.</w:t>
            </w:r>
          </w:p>
          <w:p>
            <w:pPr>
              <w:pStyle w:val="TableParagraph"/>
              <w:ind w:left="104"/>
              <w:rPr>
                <w:sz w:val="18"/>
              </w:rPr>
            </w:pPr>
            <w:r>
              <w:rPr>
                <w:sz w:val="18"/>
              </w:rPr>
              <w:t>This</w:t>
            </w:r>
            <w:r>
              <w:rPr>
                <w:spacing w:val="-1"/>
                <w:sz w:val="18"/>
              </w:rPr>
              <w:t> </w:t>
            </w:r>
            <w:r>
              <w:rPr>
                <w:sz w:val="18"/>
              </w:rPr>
              <w:t>is caused </w:t>
            </w:r>
            <w:r>
              <w:rPr>
                <w:spacing w:val="-5"/>
                <w:sz w:val="18"/>
              </w:rPr>
              <w:t>by</w:t>
            </w:r>
          </w:p>
          <w:p>
            <w:pPr>
              <w:pStyle w:val="TableParagraph"/>
              <w:spacing w:before="1"/>
              <w:ind w:left="104" w:right="99"/>
              <w:rPr>
                <w:sz w:val="18"/>
              </w:rPr>
            </w:pPr>
            <w:r>
              <w:rPr>
                <w:sz w:val="18"/>
              </w:rPr>
              <w:t>limited influence over external funding decisions, competing national and organisational</w:t>
            </w:r>
            <w:r>
              <w:rPr>
                <w:spacing w:val="-13"/>
                <w:sz w:val="18"/>
              </w:rPr>
              <w:t> </w:t>
            </w:r>
            <w:r>
              <w:rPr>
                <w:sz w:val="18"/>
              </w:rPr>
              <w:t>priorities, uncertainty in capital and revenue</w:t>
            </w:r>
          </w:p>
          <w:p>
            <w:pPr>
              <w:pStyle w:val="TableParagraph"/>
              <w:spacing w:line="206" w:lineRule="exact" w:before="2"/>
              <w:ind w:left="104"/>
              <w:rPr>
                <w:sz w:val="18"/>
              </w:rPr>
            </w:pPr>
            <w:r>
              <w:rPr>
                <w:sz w:val="18"/>
              </w:rPr>
              <w:t>investment,</w:t>
            </w:r>
            <w:r>
              <w:rPr>
                <w:spacing w:val="-1"/>
                <w:sz w:val="18"/>
              </w:rPr>
              <w:t> </w:t>
            </w:r>
            <w:r>
              <w:rPr>
                <w:spacing w:val="-5"/>
                <w:sz w:val="18"/>
              </w:rPr>
              <w:t>and</w:t>
            </w:r>
          </w:p>
          <w:p>
            <w:pPr>
              <w:pStyle w:val="TableParagraph"/>
              <w:ind w:left="104"/>
              <w:rPr>
                <w:sz w:val="18"/>
              </w:rPr>
            </w:pPr>
            <w:r>
              <w:rPr>
                <w:sz w:val="18"/>
              </w:rPr>
              <w:t>insufficient</w:t>
            </w:r>
            <w:r>
              <w:rPr>
                <w:spacing w:val="-15"/>
                <w:sz w:val="18"/>
              </w:rPr>
              <w:t> </w:t>
            </w:r>
            <w:r>
              <w:rPr>
                <w:sz w:val="18"/>
              </w:rPr>
              <w:t>alignment</w:t>
            </w:r>
            <w:r>
              <w:rPr>
                <w:spacing w:val="-12"/>
                <w:sz w:val="18"/>
              </w:rPr>
              <w:t> </w:t>
            </w:r>
            <w:r>
              <w:rPr>
                <w:sz w:val="18"/>
              </w:rPr>
              <w:t>of partners, programmes and policy frameworks around a shared</w:t>
            </w:r>
          </w:p>
          <w:p>
            <w:pPr>
              <w:pStyle w:val="TableParagraph"/>
              <w:ind w:left="104" w:right="205"/>
              <w:rPr>
                <w:sz w:val="18"/>
              </w:rPr>
            </w:pPr>
            <w:r>
              <w:rPr>
                <w:sz w:val="18"/>
              </w:rPr>
              <w:t>regional</w:t>
            </w:r>
            <w:r>
              <w:rPr>
                <w:spacing w:val="-15"/>
                <w:sz w:val="18"/>
              </w:rPr>
              <w:t> </w:t>
            </w:r>
            <w:r>
              <w:rPr>
                <w:sz w:val="18"/>
              </w:rPr>
              <w:t>agenda.</w:t>
            </w:r>
            <w:r>
              <w:rPr>
                <w:spacing w:val="-12"/>
                <w:sz w:val="18"/>
              </w:rPr>
              <w:t> </w:t>
            </w:r>
            <w:r>
              <w:rPr>
                <w:sz w:val="18"/>
              </w:rPr>
              <w:t>This will lead to delays or failure in delivering</w:t>
            </w:r>
          </w:p>
          <w:p>
            <w:pPr>
              <w:pStyle w:val="TableParagraph"/>
              <w:spacing w:before="1"/>
              <w:ind w:left="104" w:right="179"/>
              <w:rPr>
                <w:sz w:val="18"/>
              </w:rPr>
            </w:pPr>
            <w:r>
              <w:rPr>
                <w:sz w:val="18"/>
              </w:rPr>
              <w:t>major service </w:t>
            </w:r>
            <w:r>
              <w:rPr>
                <w:spacing w:val="-2"/>
                <w:sz w:val="18"/>
              </w:rPr>
              <w:t>transformation </w:t>
            </w:r>
            <w:r>
              <w:rPr>
                <w:sz w:val="18"/>
              </w:rPr>
              <w:t>programmes,</w:t>
            </w:r>
            <w:r>
              <w:rPr>
                <w:spacing w:val="-13"/>
                <w:sz w:val="18"/>
              </w:rPr>
              <w:t> </w:t>
            </w:r>
            <w:r>
              <w:rPr>
                <w:sz w:val="18"/>
              </w:rPr>
              <w:t>including cancer, radiotherapy,</w:t>
            </w:r>
          </w:p>
          <w:p>
            <w:pPr>
              <w:pStyle w:val="TableParagraph"/>
              <w:spacing w:line="186" w:lineRule="exact"/>
              <w:ind w:left="104"/>
              <w:rPr>
                <w:sz w:val="18"/>
              </w:rPr>
            </w:pPr>
            <w:r>
              <w:rPr>
                <w:spacing w:val="-2"/>
                <w:sz w:val="18"/>
              </w:rPr>
              <w:t>orthopaedics,</w:t>
            </w:r>
            <w:r>
              <w:rPr>
                <w:spacing w:val="13"/>
                <w:sz w:val="18"/>
              </w:rPr>
              <w:t> </w:t>
            </w:r>
            <w:r>
              <w:rPr>
                <w:spacing w:val="-2"/>
                <w:sz w:val="18"/>
              </w:rPr>
              <w:t>stroke</w:t>
            </w:r>
          </w:p>
        </w:tc>
        <w:tc>
          <w:tcPr>
            <w:tcW w:w="170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42"/>
              <w:rPr>
                <w:rFonts w:ascii="Calibri"/>
                <w:sz w:val="18"/>
              </w:rPr>
            </w:pPr>
          </w:p>
          <w:p>
            <w:pPr>
              <w:pStyle w:val="TableParagraph"/>
              <w:spacing w:before="1"/>
              <w:ind w:left="109" w:right="109"/>
              <w:rPr>
                <w:sz w:val="18"/>
              </w:rPr>
            </w:pPr>
            <w:r>
              <w:rPr>
                <w:sz w:val="18"/>
              </w:rPr>
              <w:t>Engagement with </w:t>
            </w:r>
            <w:r>
              <w:rPr>
                <w:spacing w:val="-2"/>
                <w:sz w:val="18"/>
              </w:rPr>
              <w:t>Welsh </w:t>
            </w:r>
            <w:r>
              <w:rPr>
                <w:sz w:val="18"/>
              </w:rPr>
              <w:t>Government,</w:t>
            </w:r>
            <w:r>
              <w:rPr>
                <w:spacing w:val="-13"/>
                <w:sz w:val="18"/>
              </w:rPr>
              <w:t> </w:t>
            </w:r>
            <w:r>
              <w:rPr>
                <w:sz w:val="18"/>
              </w:rPr>
              <w:t>NHS Performance and </w:t>
            </w:r>
            <w:r>
              <w:rPr>
                <w:spacing w:val="-2"/>
                <w:sz w:val="18"/>
              </w:rPr>
              <w:t>Improvement, national </w:t>
            </w:r>
            <w:r>
              <w:rPr>
                <w:sz w:val="18"/>
              </w:rPr>
              <w:t>programmes and </w:t>
            </w:r>
            <w:r>
              <w:rPr>
                <w:spacing w:val="-2"/>
                <w:sz w:val="18"/>
              </w:rPr>
              <w:t>partners; </w:t>
            </w:r>
            <w:r>
              <w:rPr>
                <w:sz w:val="18"/>
              </w:rPr>
              <w:t>development of</w:t>
            </w:r>
          </w:p>
          <w:p>
            <w:pPr>
              <w:pStyle w:val="TableParagraph"/>
              <w:ind w:left="109" w:right="179"/>
              <w:rPr>
                <w:sz w:val="18"/>
              </w:rPr>
            </w:pPr>
            <w:r>
              <w:rPr>
                <w:sz w:val="18"/>
              </w:rPr>
              <w:t>regional</w:t>
            </w:r>
            <w:r>
              <w:rPr>
                <w:spacing w:val="-13"/>
                <w:sz w:val="18"/>
              </w:rPr>
              <w:t> </w:t>
            </w:r>
            <w:r>
              <w:rPr>
                <w:sz w:val="18"/>
              </w:rPr>
              <w:t>business </w:t>
            </w:r>
            <w:r>
              <w:rPr>
                <w:spacing w:val="-2"/>
                <w:sz w:val="18"/>
              </w:rPr>
              <w:t>cases; stakeholder engagement; </w:t>
            </w:r>
            <w:r>
              <w:rPr>
                <w:sz w:val="18"/>
              </w:rPr>
              <w:t>alignment to</w:t>
            </w:r>
          </w:p>
          <w:p>
            <w:pPr>
              <w:pStyle w:val="TableParagraph"/>
              <w:ind w:left="109" w:right="138"/>
              <w:rPr>
                <w:sz w:val="18"/>
              </w:rPr>
            </w:pPr>
            <w:r>
              <w:rPr>
                <w:spacing w:val="-2"/>
                <w:sz w:val="18"/>
              </w:rPr>
              <w:t>ministerial </w:t>
            </w:r>
            <w:r>
              <w:rPr>
                <w:sz w:val="18"/>
              </w:rPr>
              <w:t>priorities, IMTP planning,</w:t>
            </w:r>
            <w:r>
              <w:rPr>
                <w:spacing w:val="-13"/>
                <w:sz w:val="18"/>
              </w:rPr>
              <w:t> </w:t>
            </w:r>
            <w:r>
              <w:rPr>
                <w:sz w:val="18"/>
              </w:rPr>
              <w:t>National </w:t>
            </w:r>
            <w:r>
              <w:rPr>
                <w:spacing w:val="-2"/>
                <w:sz w:val="18"/>
              </w:rPr>
              <w:t>Cancer </w:t>
            </w:r>
            <w:r>
              <w:rPr>
                <w:sz w:val="18"/>
              </w:rPr>
              <w:t>Programme and national clinical</w:t>
            </w:r>
          </w:p>
          <w:p>
            <w:pPr>
              <w:pStyle w:val="TableParagraph"/>
              <w:spacing w:before="2"/>
              <w:ind w:left="109"/>
              <w:rPr>
                <w:sz w:val="18"/>
              </w:rPr>
            </w:pPr>
            <w:r>
              <w:rPr>
                <w:spacing w:val="-2"/>
                <w:sz w:val="18"/>
              </w:rPr>
              <w:t>standards.</w:t>
            </w:r>
          </w:p>
        </w:tc>
        <w:tc>
          <w:tcPr>
            <w:tcW w:w="170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4"/>
              <w:rPr>
                <w:rFonts w:ascii="Calibri"/>
                <w:sz w:val="18"/>
              </w:rPr>
            </w:pPr>
          </w:p>
          <w:p>
            <w:pPr>
              <w:pStyle w:val="TableParagraph"/>
              <w:ind w:left="103" w:right="159"/>
              <w:rPr>
                <w:sz w:val="18"/>
              </w:rPr>
            </w:pPr>
            <w:r>
              <w:rPr>
                <w:sz w:val="18"/>
              </w:rPr>
              <w:t>Business case status reports; </w:t>
            </w:r>
            <w:r>
              <w:rPr>
                <w:spacing w:val="-2"/>
                <w:sz w:val="18"/>
              </w:rPr>
              <w:t>stakeholder </w:t>
            </w:r>
            <w:r>
              <w:rPr>
                <w:sz w:val="18"/>
              </w:rPr>
              <w:t>feedback;</w:t>
            </w:r>
            <w:r>
              <w:rPr>
                <w:spacing w:val="-13"/>
                <w:sz w:val="18"/>
              </w:rPr>
              <w:t> </w:t>
            </w:r>
            <w:r>
              <w:rPr>
                <w:sz w:val="18"/>
              </w:rPr>
              <w:t>funding decisions; IMTP</w:t>
            </w:r>
          </w:p>
          <w:p>
            <w:pPr>
              <w:pStyle w:val="TableParagraph"/>
              <w:spacing w:line="206" w:lineRule="exact" w:before="1"/>
              <w:ind w:left="103"/>
              <w:rPr>
                <w:sz w:val="18"/>
              </w:rPr>
            </w:pPr>
            <w:r>
              <w:rPr>
                <w:spacing w:val="-2"/>
                <w:sz w:val="18"/>
              </w:rPr>
              <w:t>submissions;</w:t>
            </w:r>
          </w:p>
          <w:p>
            <w:pPr>
              <w:pStyle w:val="TableParagraph"/>
              <w:ind w:left="103" w:right="290"/>
              <w:rPr>
                <w:sz w:val="18"/>
              </w:rPr>
            </w:pPr>
            <w:r>
              <w:rPr>
                <w:sz w:val="18"/>
              </w:rPr>
              <w:t>National</w:t>
            </w:r>
            <w:r>
              <w:rPr>
                <w:spacing w:val="-13"/>
                <w:sz w:val="18"/>
              </w:rPr>
              <w:t> </w:t>
            </w:r>
            <w:r>
              <w:rPr>
                <w:sz w:val="18"/>
              </w:rPr>
              <w:t>Cancer </w:t>
            </w:r>
            <w:r>
              <w:rPr>
                <w:spacing w:val="-2"/>
                <w:sz w:val="18"/>
              </w:rPr>
              <w:t>Programme engagement; programme</w:t>
            </w:r>
          </w:p>
          <w:p>
            <w:pPr>
              <w:pStyle w:val="TableParagraph"/>
              <w:spacing w:before="1"/>
              <w:ind w:left="103" w:right="240"/>
              <w:rPr>
                <w:sz w:val="18"/>
              </w:rPr>
            </w:pPr>
            <w:r>
              <w:rPr>
                <w:sz w:val="18"/>
              </w:rPr>
              <w:t>support</w:t>
            </w:r>
            <w:r>
              <w:rPr>
                <w:spacing w:val="-13"/>
                <w:sz w:val="18"/>
              </w:rPr>
              <w:t> </w:t>
            </w:r>
            <w:r>
              <w:rPr>
                <w:sz w:val="18"/>
              </w:rPr>
              <w:t>updates; </w:t>
            </w:r>
            <w:r>
              <w:rPr>
                <w:spacing w:val="-2"/>
                <w:sz w:val="18"/>
              </w:rPr>
              <w:t>exception</w:t>
            </w:r>
          </w:p>
          <w:p>
            <w:pPr>
              <w:pStyle w:val="TableParagraph"/>
              <w:spacing w:before="1"/>
              <w:ind w:left="103" w:right="109"/>
              <w:rPr>
                <w:sz w:val="18"/>
              </w:rPr>
            </w:pPr>
            <w:r>
              <w:rPr>
                <w:sz w:val="18"/>
              </w:rPr>
              <w:t>reporting on dependencies</w:t>
            </w:r>
            <w:r>
              <w:rPr>
                <w:spacing w:val="-13"/>
                <w:sz w:val="18"/>
              </w:rPr>
              <w:t> </w:t>
            </w:r>
            <w:r>
              <w:rPr>
                <w:sz w:val="18"/>
              </w:rPr>
              <w:t>and </w:t>
            </w:r>
            <w:r>
              <w:rPr>
                <w:spacing w:val="-2"/>
                <w:sz w:val="18"/>
              </w:rPr>
              <w:t>constraints.</w:t>
            </w:r>
          </w:p>
        </w:tc>
        <w:tc>
          <w:tcPr>
            <w:tcW w:w="170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33"/>
              <w:rPr>
                <w:rFonts w:ascii="Calibri"/>
                <w:sz w:val="18"/>
              </w:rPr>
            </w:pPr>
          </w:p>
          <w:p>
            <w:pPr>
              <w:pStyle w:val="TableParagraph"/>
              <w:ind w:left="103" w:right="120"/>
              <w:rPr>
                <w:sz w:val="18"/>
              </w:rPr>
            </w:pPr>
            <w:r>
              <w:rPr>
                <w:sz w:val="18"/>
              </w:rPr>
              <w:t>Further</w:t>
            </w:r>
            <w:r>
              <w:rPr>
                <w:spacing w:val="-13"/>
                <w:sz w:val="18"/>
              </w:rPr>
              <w:t> </w:t>
            </w:r>
            <w:r>
              <w:rPr>
                <w:sz w:val="18"/>
              </w:rPr>
              <w:t>assurance is needed on </w:t>
            </w:r>
            <w:r>
              <w:rPr>
                <w:spacing w:val="-2"/>
                <w:sz w:val="18"/>
              </w:rPr>
              <w:t>deliverability</w:t>
            </w:r>
          </w:p>
          <w:p>
            <w:pPr>
              <w:pStyle w:val="TableParagraph"/>
              <w:ind w:left="103" w:right="259"/>
              <w:rPr>
                <w:sz w:val="18"/>
              </w:rPr>
            </w:pPr>
            <w:r>
              <w:rPr>
                <w:sz w:val="18"/>
              </w:rPr>
              <w:t>where changes depend on national</w:t>
            </w:r>
            <w:r>
              <w:rPr>
                <w:spacing w:val="-13"/>
                <w:sz w:val="18"/>
              </w:rPr>
              <w:t> </w:t>
            </w:r>
            <w:r>
              <w:rPr>
                <w:sz w:val="18"/>
              </w:rPr>
              <w:t>funding, capital</w:t>
            </w:r>
            <w:r>
              <w:rPr>
                <w:spacing w:val="-13"/>
                <w:sz w:val="18"/>
              </w:rPr>
              <w:t> </w:t>
            </w:r>
            <w:r>
              <w:rPr>
                <w:sz w:val="18"/>
              </w:rPr>
              <w:t>approval, </w:t>
            </w:r>
            <w:r>
              <w:rPr>
                <w:spacing w:val="-2"/>
                <w:sz w:val="18"/>
              </w:rPr>
              <w:t>revenue consequences, programme</w:t>
            </w:r>
          </w:p>
          <w:p>
            <w:pPr>
              <w:pStyle w:val="TableParagraph"/>
              <w:spacing w:line="206" w:lineRule="exact" w:before="1"/>
              <w:ind w:left="103"/>
              <w:rPr>
                <w:sz w:val="18"/>
              </w:rPr>
            </w:pPr>
            <w:r>
              <w:rPr>
                <w:spacing w:val="-2"/>
                <w:sz w:val="18"/>
              </w:rPr>
              <w:t>management</w:t>
            </w:r>
          </w:p>
          <w:p>
            <w:pPr>
              <w:pStyle w:val="TableParagraph"/>
              <w:ind w:left="103" w:right="116"/>
              <w:rPr>
                <w:sz w:val="18"/>
              </w:rPr>
            </w:pPr>
            <w:r>
              <w:rPr>
                <w:sz w:val="18"/>
              </w:rPr>
              <w:t>support, data and digital alignment, or wider </w:t>
            </w:r>
            <w:r>
              <w:rPr>
                <w:spacing w:val="-2"/>
                <w:sz w:val="18"/>
              </w:rPr>
              <w:t>stakeholder agreement</w:t>
            </w:r>
            <w:r>
              <w:rPr>
                <w:spacing w:val="40"/>
                <w:sz w:val="18"/>
              </w:rPr>
              <w:t> </w:t>
            </w:r>
            <w:r>
              <w:rPr>
                <w:sz w:val="18"/>
              </w:rPr>
              <w:t>outside</w:t>
            </w:r>
            <w:r>
              <w:rPr>
                <w:spacing w:val="-15"/>
                <w:sz w:val="18"/>
              </w:rPr>
              <w:t> </w:t>
            </w:r>
            <w:r>
              <w:rPr>
                <w:sz w:val="18"/>
              </w:rPr>
              <w:t>direct</w:t>
            </w:r>
            <w:r>
              <w:rPr>
                <w:spacing w:val="-12"/>
                <w:sz w:val="18"/>
              </w:rPr>
              <w:t> </w:t>
            </w:r>
            <w:r>
              <w:rPr>
                <w:sz w:val="18"/>
              </w:rPr>
              <w:t>RJC </w:t>
            </w:r>
            <w:r>
              <w:rPr>
                <w:spacing w:val="-2"/>
                <w:sz w:val="18"/>
              </w:rPr>
              <w:t>control.</w:t>
            </w:r>
          </w:p>
        </w:tc>
        <w:tc>
          <w:tcPr>
            <w:tcW w:w="1846"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3"/>
              <w:rPr>
                <w:rFonts w:ascii="Calibri"/>
                <w:sz w:val="18"/>
              </w:rPr>
            </w:pPr>
          </w:p>
          <w:p>
            <w:pPr>
              <w:pStyle w:val="TableParagraph"/>
              <w:spacing w:before="1"/>
              <w:ind w:left="107" w:right="596"/>
              <w:jc w:val="both"/>
              <w:rPr>
                <w:sz w:val="18"/>
              </w:rPr>
            </w:pPr>
            <w:r>
              <w:rPr>
                <w:sz w:val="18"/>
              </w:rPr>
              <w:t>Make</w:t>
            </w:r>
            <w:r>
              <w:rPr>
                <w:spacing w:val="-13"/>
                <w:sz w:val="18"/>
              </w:rPr>
              <w:t> </w:t>
            </w:r>
            <w:r>
              <w:rPr>
                <w:sz w:val="18"/>
              </w:rPr>
              <w:t>external </w:t>
            </w:r>
            <w:r>
              <w:rPr>
                <w:spacing w:val="-2"/>
                <w:sz w:val="18"/>
              </w:rPr>
              <w:t>dependencies </w:t>
            </w:r>
            <w:r>
              <w:rPr>
                <w:sz w:val="18"/>
              </w:rPr>
              <w:t>explicit within</w:t>
            </w:r>
          </w:p>
          <w:p>
            <w:pPr>
              <w:pStyle w:val="TableParagraph"/>
              <w:spacing w:before="4"/>
              <w:ind w:left="107" w:right="241"/>
              <w:rPr>
                <w:sz w:val="18"/>
              </w:rPr>
            </w:pPr>
            <w:r>
              <w:rPr>
                <w:sz w:val="18"/>
              </w:rPr>
              <w:t>reporting;</w:t>
            </w:r>
            <w:r>
              <w:rPr>
                <w:spacing w:val="-13"/>
                <w:sz w:val="18"/>
              </w:rPr>
              <w:t> </w:t>
            </w:r>
            <w:r>
              <w:rPr>
                <w:sz w:val="18"/>
              </w:rPr>
              <w:t>escalate constraints early through the 3A</w:t>
            </w:r>
          </w:p>
          <w:p>
            <w:pPr>
              <w:pStyle w:val="TableParagraph"/>
              <w:ind w:left="107" w:right="151"/>
              <w:rPr>
                <w:sz w:val="18"/>
              </w:rPr>
            </w:pPr>
            <w:r>
              <w:rPr>
                <w:sz w:val="18"/>
              </w:rPr>
              <w:t>route; agree </w:t>
            </w:r>
            <w:r>
              <w:rPr>
                <w:spacing w:val="-2"/>
                <w:sz w:val="18"/>
              </w:rPr>
              <w:t>contingency </w:t>
            </w:r>
            <w:r>
              <w:rPr>
                <w:sz w:val="18"/>
              </w:rPr>
              <w:t>planning where critical</w:t>
            </w:r>
            <w:r>
              <w:rPr>
                <w:spacing w:val="-13"/>
                <w:sz w:val="18"/>
              </w:rPr>
              <w:t> </w:t>
            </w:r>
            <w:r>
              <w:rPr>
                <w:sz w:val="18"/>
              </w:rPr>
              <w:t>assumptions are uncertain; secure national </w:t>
            </w:r>
            <w:r>
              <w:rPr>
                <w:spacing w:val="-2"/>
                <w:sz w:val="18"/>
              </w:rPr>
              <w:t>programme </w:t>
            </w:r>
            <w:r>
              <w:rPr>
                <w:sz w:val="18"/>
              </w:rPr>
              <w:t>alignment and programme</w:t>
            </w:r>
            <w:r>
              <w:rPr>
                <w:spacing w:val="-13"/>
                <w:sz w:val="18"/>
              </w:rPr>
              <w:t> </w:t>
            </w:r>
            <w:r>
              <w:rPr>
                <w:sz w:val="18"/>
              </w:rPr>
              <w:t>support for priority regional </w:t>
            </w:r>
            <w:r>
              <w:rPr>
                <w:spacing w:val="-2"/>
                <w:sz w:val="18"/>
              </w:rPr>
              <w:t>changes.</w:t>
            </w:r>
          </w:p>
        </w:tc>
        <w:tc>
          <w:tcPr>
            <w:tcW w:w="99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36"/>
              <w:rPr>
                <w:rFonts w:ascii="Calibri"/>
                <w:sz w:val="18"/>
              </w:rPr>
            </w:pPr>
          </w:p>
          <w:p>
            <w:pPr>
              <w:pStyle w:val="TableParagraph"/>
              <w:ind w:left="102"/>
              <w:rPr>
                <w:sz w:val="18"/>
              </w:rPr>
            </w:pPr>
            <w:r>
              <w:rPr>
                <w:spacing w:val="-5"/>
                <w:sz w:val="18"/>
              </w:rPr>
              <w:t>TBC</w:t>
            </w:r>
          </w:p>
        </w:tc>
        <w:tc>
          <w:tcPr>
            <w:tcW w:w="991"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36"/>
              <w:rPr>
                <w:rFonts w:ascii="Calibri"/>
                <w:sz w:val="18"/>
              </w:rPr>
            </w:pPr>
          </w:p>
          <w:p>
            <w:pPr>
              <w:pStyle w:val="TableParagraph"/>
              <w:ind w:left="106"/>
              <w:rPr>
                <w:sz w:val="18"/>
              </w:rPr>
            </w:pPr>
            <w:r>
              <w:rPr>
                <w:spacing w:val="-5"/>
                <w:sz w:val="18"/>
              </w:rPr>
              <w:t>TBC</w:t>
            </w:r>
          </w:p>
        </w:tc>
        <w:tc>
          <w:tcPr>
            <w:tcW w:w="995"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36"/>
              <w:rPr>
                <w:rFonts w:ascii="Calibri"/>
                <w:sz w:val="18"/>
              </w:rPr>
            </w:pPr>
          </w:p>
          <w:p>
            <w:pPr>
              <w:pStyle w:val="TableParagraph"/>
              <w:ind w:left="106"/>
              <w:rPr>
                <w:sz w:val="18"/>
              </w:rPr>
            </w:pPr>
            <w:r>
              <w:rPr>
                <w:spacing w:val="-5"/>
                <w:sz w:val="18"/>
              </w:rPr>
              <w:t>TBC</w:t>
            </w:r>
          </w:p>
        </w:tc>
        <w:tc>
          <w:tcPr>
            <w:tcW w:w="850" w:type="dxa"/>
          </w:tcPr>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rPr>
                <w:rFonts w:ascii="Calibri"/>
                <w:sz w:val="18"/>
              </w:rPr>
            </w:pPr>
          </w:p>
          <w:p>
            <w:pPr>
              <w:pStyle w:val="TableParagraph"/>
              <w:spacing w:before="136"/>
              <w:rPr>
                <w:rFonts w:ascii="Calibri"/>
                <w:sz w:val="18"/>
              </w:rPr>
            </w:pPr>
          </w:p>
          <w:p>
            <w:pPr>
              <w:pStyle w:val="TableParagraph"/>
              <w:ind w:left="105"/>
              <w:rPr>
                <w:sz w:val="18"/>
              </w:rPr>
            </w:pPr>
            <w:r>
              <w:rPr>
                <w:spacing w:val="-5"/>
                <w:sz w:val="18"/>
              </w:rPr>
              <w:t>TBC</w:t>
            </w:r>
          </w:p>
        </w:tc>
      </w:tr>
    </w:tbl>
    <w:p>
      <w:pPr>
        <w:pStyle w:val="BodyText"/>
        <w:spacing w:before="63"/>
        <w:rPr>
          <w:rFonts w:ascii="Calibri"/>
          <w:sz w:val="22"/>
        </w:rPr>
      </w:pPr>
    </w:p>
    <w:p>
      <w:pPr>
        <w:spacing w:before="1"/>
        <w:ind w:left="11" w:right="994" w:firstLine="0"/>
        <w:jc w:val="center"/>
        <w:rPr>
          <w:rFonts w:ascii="Calibri"/>
          <w:sz w:val="22"/>
        </w:rPr>
      </w:pPr>
      <w:r>
        <w:rPr>
          <w:rFonts w:ascii="Calibri"/>
          <w:spacing w:val="-10"/>
          <w:sz w:val="22"/>
        </w:rPr>
        <w:t>9</w:t>
      </w:r>
    </w:p>
    <w:p>
      <w:pPr>
        <w:spacing w:after="0"/>
        <w:jc w:val="center"/>
        <w:rPr>
          <w:rFonts w:ascii="Calibri"/>
          <w:sz w:val="22"/>
        </w:rPr>
        <w:sectPr>
          <w:pgSz w:w="16840" w:h="11910" w:orient="landscape"/>
          <w:pgMar w:header="0" w:footer="198" w:top="1340" w:bottom="380" w:left="1417" w:right="425"/>
        </w:sectPr>
      </w:pPr>
    </w:p>
    <w:p>
      <w:pPr>
        <w:pStyle w:val="BodyText"/>
        <w:spacing w:before="10"/>
        <w:rPr>
          <w:rFonts w:ascii="Calibri"/>
          <w:sz w:val="7"/>
        </w:rPr>
      </w:pPr>
    </w:p>
    <w:tbl>
      <w:tblPr>
        <w:tblW w:w="0" w:type="auto"/>
        <w:jc w:val="left"/>
        <w:tblInd w:w="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0" w:type="dxa"/>
          <w:left w:w="0" w:type="dxa"/>
          <w:bottom w:w="0" w:type="dxa"/>
          <w:right w:w="0" w:type="dxa"/>
        </w:tblCellMar>
        <w:tblLook w:val="01E0"/>
      </w:tblPr>
      <w:tblGrid>
        <w:gridCol w:w="670"/>
        <w:gridCol w:w="1316"/>
        <w:gridCol w:w="2121"/>
        <w:gridCol w:w="1706"/>
        <w:gridCol w:w="1701"/>
        <w:gridCol w:w="1701"/>
        <w:gridCol w:w="1846"/>
        <w:gridCol w:w="991"/>
        <w:gridCol w:w="991"/>
        <w:gridCol w:w="995"/>
        <w:gridCol w:w="850"/>
      </w:tblGrid>
      <w:tr>
        <w:trPr>
          <w:trHeight w:val="985" w:hRule="atLeast"/>
        </w:trPr>
        <w:tc>
          <w:tcPr>
            <w:tcW w:w="670" w:type="dxa"/>
            <w:shd w:val="clear" w:color="auto" w:fill="D9E1F3"/>
          </w:tcPr>
          <w:p>
            <w:pPr>
              <w:pStyle w:val="TableParagraph"/>
              <w:spacing w:before="171"/>
              <w:rPr>
                <w:rFonts w:ascii="Calibri"/>
                <w:sz w:val="18"/>
              </w:rPr>
            </w:pPr>
          </w:p>
          <w:p>
            <w:pPr>
              <w:pStyle w:val="TableParagraph"/>
              <w:spacing w:before="1"/>
              <w:ind w:left="110"/>
              <w:rPr>
                <w:b/>
                <w:sz w:val="18"/>
              </w:rPr>
            </w:pPr>
            <w:r>
              <w:rPr>
                <w:b/>
                <w:spacing w:val="-5"/>
                <w:sz w:val="18"/>
              </w:rPr>
              <w:t>Ref</w:t>
            </w:r>
          </w:p>
        </w:tc>
        <w:tc>
          <w:tcPr>
            <w:tcW w:w="1316" w:type="dxa"/>
            <w:shd w:val="clear" w:color="auto" w:fill="D9E1F3"/>
          </w:tcPr>
          <w:p>
            <w:pPr>
              <w:pStyle w:val="TableParagraph"/>
              <w:spacing w:before="66"/>
              <w:rPr>
                <w:rFonts w:ascii="Calibri"/>
                <w:sz w:val="18"/>
              </w:rPr>
            </w:pPr>
          </w:p>
          <w:p>
            <w:pPr>
              <w:pStyle w:val="TableParagraph"/>
              <w:spacing w:before="1"/>
              <w:ind w:left="104"/>
              <w:rPr>
                <w:b/>
                <w:sz w:val="18"/>
              </w:rPr>
            </w:pPr>
            <w:r>
              <w:rPr>
                <w:b/>
                <w:spacing w:val="-2"/>
                <w:sz w:val="18"/>
              </w:rPr>
              <w:t>Strategic objective</w:t>
            </w:r>
          </w:p>
        </w:tc>
        <w:tc>
          <w:tcPr>
            <w:tcW w:w="2121" w:type="dxa"/>
            <w:shd w:val="clear" w:color="auto" w:fill="D9E1F3"/>
          </w:tcPr>
          <w:p>
            <w:pPr>
              <w:pStyle w:val="TableParagraph"/>
              <w:spacing w:before="171"/>
              <w:rPr>
                <w:rFonts w:ascii="Calibri"/>
                <w:sz w:val="18"/>
              </w:rPr>
            </w:pPr>
          </w:p>
          <w:p>
            <w:pPr>
              <w:pStyle w:val="TableParagraph"/>
              <w:spacing w:before="1"/>
              <w:ind w:left="104"/>
              <w:rPr>
                <w:b/>
                <w:sz w:val="18"/>
              </w:rPr>
            </w:pPr>
            <w:r>
              <w:rPr>
                <w:b/>
                <w:sz w:val="18"/>
              </w:rPr>
              <w:t>Strategic</w:t>
            </w:r>
            <w:r>
              <w:rPr>
                <w:b/>
                <w:spacing w:val="-5"/>
                <w:sz w:val="18"/>
              </w:rPr>
              <w:t> </w:t>
            </w:r>
            <w:r>
              <w:rPr>
                <w:b/>
                <w:spacing w:val="-4"/>
                <w:sz w:val="18"/>
              </w:rPr>
              <w:t>risk</w:t>
            </w:r>
          </w:p>
        </w:tc>
        <w:tc>
          <w:tcPr>
            <w:tcW w:w="1706" w:type="dxa"/>
            <w:shd w:val="clear" w:color="auto" w:fill="D9E1F3"/>
          </w:tcPr>
          <w:p>
            <w:pPr>
              <w:pStyle w:val="TableParagraph"/>
              <w:spacing w:before="66"/>
              <w:rPr>
                <w:rFonts w:ascii="Calibri"/>
                <w:sz w:val="18"/>
              </w:rPr>
            </w:pPr>
          </w:p>
          <w:p>
            <w:pPr>
              <w:pStyle w:val="TableParagraph"/>
              <w:spacing w:before="1"/>
              <w:ind w:left="109"/>
              <w:rPr>
                <w:b/>
                <w:sz w:val="18"/>
              </w:rPr>
            </w:pPr>
            <w:r>
              <w:rPr>
                <w:b/>
                <w:sz w:val="18"/>
              </w:rPr>
              <w:t>Key</w:t>
            </w:r>
            <w:r>
              <w:rPr>
                <w:b/>
                <w:spacing w:val="-15"/>
                <w:sz w:val="18"/>
              </w:rPr>
              <w:t> </w:t>
            </w:r>
            <w:r>
              <w:rPr>
                <w:b/>
                <w:sz w:val="18"/>
              </w:rPr>
              <w:t>controls</w:t>
            </w:r>
            <w:r>
              <w:rPr>
                <w:b/>
                <w:spacing w:val="-12"/>
                <w:sz w:val="18"/>
              </w:rPr>
              <w:t> </w:t>
            </w:r>
            <w:r>
              <w:rPr>
                <w:b/>
                <w:sz w:val="18"/>
              </w:rPr>
              <w:t>in </w:t>
            </w:r>
            <w:r>
              <w:rPr>
                <w:b/>
                <w:spacing w:val="-2"/>
                <w:sz w:val="18"/>
              </w:rPr>
              <w:t>place</w:t>
            </w:r>
          </w:p>
        </w:tc>
        <w:tc>
          <w:tcPr>
            <w:tcW w:w="1701" w:type="dxa"/>
            <w:shd w:val="clear" w:color="auto" w:fill="D9E1F3"/>
          </w:tcPr>
          <w:p>
            <w:pPr>
              <w:pStyle w:val="TableParagraph"/>
              <w:spacing w:before="66"/>
              <w:rPr>
                <w:rFonts w:ascii="Calibri"/>
                <w:sz w:val="18"/>
              </w:rPr>
            </w:pPr>
          </w:p>
          <w:p>
            <w:pPr>
              <w:pStyle w:val="TableParagraph"/>
              <w:spacing w:before="1"/>
              <w:ind w:left="103" w:right="650"/>
              <w:rPr>
                <w:b/>
                <w:sz w:val="18"/>
              </w:rPr>
            </w:pPr>
            <w:r>
              <w:rPr>
                <w:b/>
                <w:sz w:val="18"/>
              </w:rPr>
              <w:t>Sources</w:t>
            </w:r>
            <w:r>
              <w:rPr>
                <w:b/>
                <w:spacing w:val="-13"/>
                <w:sz w:val="18"/>
              </w:rPr>
              <w:t> </w:t>
            </w:r>
            <w:r>
              <w:rPr>
                <w:b/>
                <w:sz w:val="18"/>
              </w:rPr>
              <w:t>of </w:t>
            </w:r>
            <w:r>
              <w:rPr>
                <w:b/>
                <w:spacing w:val="-2"/>
                <w:sz w:val="18"/>
              </w:rPr>
              <w:t>assurance</w:t>
            </w:r>
          </w:p>
        </w:tc>
        <w:tc>
          <w:tcPr>
            <w:tcW w:w="1701" w:type="dxa"/>
            <w:shd w:val="clear" w:color="auto" w:fill="D9E1F3"/>
          </w:tcPr>
          <w:p>
            <w:pPr>
              <w:pStyle w:val="TableParagraph"/>
              <w:spacing w:before="171"/>
              <w:rPr>
                <w:rFonts w:ascii="Calibri"/>
                <w:sz w:val="18"/>
              </w:rPr>
            </w:pPr>
          </w:p>
          <w:p>
            <w:pPr>
              <w:pStyle w:val="TableParagraph"/>
              <w:spacing w:before="1"/>
              <w:ind w:left="103"/>
              <w:rPr>
                <w:b/>
                <w:sz w:val="18"/>
              </w:rPr>
            </w:pPr>
            <w:r>
              <w:rPr>
                <w:b/>
                <w:sz w:val="18"/>
              </w:rPr>
              <w:t>Assurance</w:t>
            </w:r>
            <w:r>
              <w:rPr>
                <w:b/>
                <w:spacing w:val="-1"/>
                <w:sz w:val="18"/>
              </w:rPr>
              <w:t> </w:t>
            </w:r>
            <w:r>
              <w:rPr>
                <w:b/>
                <w:spacing w:val="-4"/>
                <w:sz w:val="18"/>
              </w:rPr>
              <w:t>gaps</w:t>
            </w:r>
          </w:p>
        </w:tc>
        <w:tc>
          <w:tcPr>
            <w:tcW w:w="1846" w:type="dxa"/>
            <w:shd w:val="clear" w:color="auto" w:fill="D9E1F3"/>
          </w:tcPr>
          <w:p>
            <w:pPr>
              <w:pStyle w:val="TableParagraph"/>
              <w:spacing w:before="66"/>
              <w:rPr>
                <w:rFonts w:ascii="Calibri"/>
                <w:sz w:val="18"/>
              </w:rPr>
            </w:pPr>
          </w:p>
          <w:p>
            <w:pPr>
              <w:pStyle w:val="TableParagraph"/>
              <w:spacing w:before="1"/>
              <w:ind w:left="107" w:right="411"/>
              <w:rPr>
                <w:b/>
                <w:sz w:val="18"/>
              </w:rPr>
            </w:pPr>
            <w:r>
              <w:rPr>
                <w:b/>
                <w:sz w:val="18"/>
              </w:rPr>
              <w:t>Further</w:t>
            </w:r>
            <w:r>
              <w:rPr>
                <w:b/>
                <w:spacing w:val="-13"/>
                <w:sz w:val="18"/>
              </w:rPr>
              <w:t> </w:t>
            </w:r>
            <w:r>
              <w:rPr>
                <w:b/>
                <w:sz w:val="18"/>
              </w:rPr>
              <w:t>actions </w:t>
            </w:r>
            <w:r>
              <w:rPr>
                <w:b/>
                <w:spacing w:val="-2"/>
                <w:sz w:val="18"/>
              </w:rPr>
              <w:t>required</w:t>
            </w:r>
          </w:p>
        </w:tc>
        <w:tc>
          <w:tcPr>
            <w:tcW w:w="991" w:type="dxa"/>
            <w:shd w:val="clear" w:color="auto" w:fill="D9E1F3"/>
          </w:tcPr>
          <w:p>
            <w:pPr>
              <w:pStyle w:val="TableParagraph"/>
              <w:spacing w:before="181"/>
              <w:ind w:left="102" w:right="308"/>
              <w:rPr>
                <w:b/>
                <w:sz w:val="18"/>
              </w:rPr>
            </w:pPr>
            <w:r>
              <w:rPr>
                <w:b/>
                <w:spacing w:val="-4"/>
                <w:sz w:val="18"/>
              </w:rPr>
              <w:t>Exec Risk </w:t>
            </w:r>
            <w:r>
              <w:rPr>
                <w:b/>
                <w:spacing w:val="-2"/>
                <w:sz w:val="18"/>
              </w:rPr>
              <w:t>Owner</w:t>
            </w:r>
          </w:p>
        </w:tc>
        <w:tc>
          <w:tcPr>
            <w:tcW w:w="991" w:type="dxa"/>
            <w:shd w:val="clear" w:color="auto" w:fill="D9E1F3"/>
          </w:tcPr>
          <w:p>
            <w:pPr>
              <w:pStyle w:val="TableParagraph"/>
              <w:spacing w:before="181"/>
              <w:ind w:left="106" w:right="179"/>
              <w:rPr>
                <w:b/>
                <w:sz w:val="18"/>
              </w:rPr>
            </w:pPr>
            <w:r>
              <w:rPr>
                <w:b/>
                <w:spacing w:val="-4"/>
                <w:sz w:val="18"/>
              </w:rPr>
              <w:t>Mgt </w:t>
            </w:r>
            <w:r>
              <w:rPr>
                <w:b/>
                <w:spacing w:val="-2"/>
                <w:sz w:val="18"/>
              </w:rPr>
              <w:t>Support </w:t>
            </w:r>
            <w:r>
              <w:rPr>
                <w:b/>
                <w:spacing w:val="-4"/>
                <w:sz w:val="18"/>
              </w:rPr>
              <w:t>Lead</w:t>
            </w:r>
          </w:p>
        </w:tc>
        <w:tc>
          <w:tcPr>
            <w:tcW w:w="995" w:type="dxa"/>
            <w:shd w:val="clear" w:color="auto" w:fill="D9E1F3"/>
          </w:tcPr>
          <w:p>
            <w:pPr>
              <w:pStyle w:val="TableParagraph"/>
              <w:spacing w:before="181"/>
              <w:ind w:left="106" w:right="222"/>
              <w:rPr>
                <w:b/>
                <w:sz w:val="18"/>
              </w:rPr>
            </w:pPr>
            <w:r>
              <w:rPr>
                <w:b/>
                <w:spacing w:val="-2"/>
                <w:sz w:val="18"/>
              </w:rPr>
              <w:t>Current </w:t>
            </w:r>
            <w:r>
              <w:rPr>
                <w:b/>
                <w:spacing w:val="-4"/>
                <w:sz w:val="18"/>
              </w:rPr>
              <w:t>risk </w:t>
            </w:r>
            <w:r>
              <w:rPr>
                <w:b/>
                <w:spacing w:val="-2"/>
                <w:sz w:val="18"/>
              </w:rPr>
              <w:t>score</w:t>
            </w:r>
          </w:p>
        </w:tc>
        <w:tc>
          <w:tcPr>
            <w:tcW w:w="850" w:type="dxa"/>
            <w:shd w:val="clear" w:color="auto" w:fill="D9E1F3"/>
          </w:tcPr>
          <w:p>
            <w:pPr>
              <w:pStyle w:val="TableParagraph"/>
              <w:spacing w:before="181"/>
              <w:ind w:left="105" w:right="188"/>
              <w:rPr>
                <w:b/>
                <w:sz w:val="18"/>
              </w:rPr>
            </w:pPr>
            <w:r>
              <w:rPr>
                <w:b/>
                <w:spacing w:val="-4"/>
                <w:sz w:val="18"/>
              </w:rPr>
              <w:t>Target risk </w:t>
            </w:r>
            <w:r>
              <w:rPr>
                <w:b/>
                <w:spacing w:val="-2"/>
                <w:sz w:val="18"/>
              </w:rPr>
              <w:t>score</w:t>
            </w:r>
          </w:p>
        </w:tc>
      </w:tr>
      <w:tr>
        <w:trPr>
          <w:trHeight w:val="2481" w:hRule="atLeast"/>
        </w:trPr>
        <w:tc>
          <w:tcPr>
            <w:tcW w:w="670" w:type="dxa"/>
          </w:tcPr>
          <w:p>
            <w:pPr>
              <w:pStyle w:val="TableParagraph"/>
              <w:rPr>
                <w:rFonts w:ascii="Times New Roman"/>
                <w:sz w:val="16"/>
              </w:rPr>
            </w:pPr>
          </w:p>
        </w:tc>
        <w:tc>
          <w:tcPr>
            <w:tcW w:w="1316" w:type="dxa"/>
          </w:tcPr>
          <w:p>
            <w:pPr>
              <w:pStyle w:val="TableParagraph"/>
              <w:rPr>
                <w:rFonts w:ascii="Times New Roman"/>
                <w:sz w:val="16"/>
              </w:rPr>
            </w:pPr>
          </w:p>
        </w:tc>
        <w:tc>
          <w:tcPr>
            <w:tcW w:w="2121" w:type="dxa"/>
          </w:tcPr>
          <w:p>
            <w:pPr>
              <w:pStyle w:val="TableParagraph"/>
              <w:spacing w:before="1"/>
              <w:ind w:left="104" w:right="126"/>
              <w:rPr>
                <w:sz w:val="18"/>
              </w:rPr>
            </w:pPr>
            <w:r>
              <w:rPr>
                <w:sz w:val="18"/>
              </w:rPr>
              <w:t>and other critical enabling</w:t>
            </w:r>
            <w:r>
              <w:rPr>
                <w:spacing w:val="-13"/>
                <w:sz w:val="18"/>
              </w:rPr>
              <w:t> </w:t>
            </w:r>
            <w:r>
              <w:rPr>
                <w:sz w:val="18"/>
              </w:rPr>
              <w:t>infrastructure, resulting in reduced service sustainability, slower improvement in population outcomes, missed</w:t>
            </w:r>
            <w:r>
              <w:rPr>
                <w:spacing w:val="-15"/>
                <w:sz w:val="18"/>
              </w:rPr>
              <w:t> </w:t>
            </w:r>
            <w:r>
              <w:rPr>
                <w:sz w:val="18"/>
              </w:rPr>
              <w:t>opportunities</w:t>
            </w:r>
            <w:r>
              <w:rPr>
                <w:spacing w:val="-12"/>
                <w:sz w:val="18"/>
              </w:rPr>
              <w:t> </w:t>
            </w:r>
            <w:r>
              <w:rPr>
                <w:sz w:val="18"/>
              </w:rPr>
              <w:t>to realise the benefits of</w:t>
            </w:r>
          </w:p>
          <w:p>
            <w:pPr>
              <w:pStyle w:val="TableParagraph"/>
              <w:ind w:left="104"/>
              <w:rPr>
                <w:sz w:val="18"/>
              </w:rPr>
            </w:pPr>
            <w:r>
              <w:rPr>
                <w:sz w:val="18"/>
              </w:rPr>
              <w:t>regional collaboration, and</w:t>
            </w:r>
            <w:r>
              <w:rPr>
                <w:spacing w:val="-10"/>
                <w:sz w:val="18"/>
              </w:rPr>
              <w:t> </w:t>
            </w:r>
            <w:r>
              <w:rPr>
                <w:sz w:val="18"/>
              </w:rPr>
              <w:t>an</w:t>
            </w:r>
            <w:r>
              <w:rPr>
                <w:spacing w:val="-10"/>
                <w:sz w:val="18"/>
              </w:rPr>
              <w:t> </w:t>
            </w:r>
            <w:r>
              <w:rPr>
                <w:sz w:val="18"/>
              </w:rPr>
              <w:t>inability</w:t>
            </w:r>
            <w:r>
              <w:rPr>
                <w:spacing w:val="-10"/>
                <w:sz w:val="18"/>
              </w:rPr>
              <w:t> </w:t>
            </w:r>
            <w:r>
              <w:rPr>
                <w:sz w:val="18"/>
              </w:rPr>
              <w:t>to</w:t>
            </w:r>
            <w:r>
              <w:rPr>
                <w:spacing w:val="-10"/>
                <w:sz w:val="18"/>
              </w:rPr>
              <w:t> </w:t>
            </w:r>
            <w:r>
              <w:rPr>
                <w:sz w:val="18"/>
              </w:rPr>
              <w:t>meet future health and care</w:t>
            </w:r>
          </w:p>
          <w:p>
            <w:pPr>
              <w:pStyle w:val="TableParagraph"/>
              <w:spacing w:line="183" w:lineRule="exact"/>
              <w:ind w:left="104"/>
              <w:rPr>
                <w:sz w:val="18"/>
              </w:rPr>
            </w:pPr>
            <w:r>
              <w:rPr>
                <w:sz w:val="18"/>
              </w:rPr>
              <w:t>needs</w:t>
            </w:r>
            <w:r>
              <w:rPr>
                <w:spacing w:val="-4"/>
                <w:sz w:val="18"/>
              </w:rPr>
              <w:t> </w:t>
            </w:r>
            <w:r>
              <w:rPr>
                <w:spacing w:val="-2"/>
                <w:sz w:val="18"/>
              </w:rPr>
              <w:t>effectively.</w:t>
            </w:r>
          </w:p>
        </w:tc>
        <w:tc>
          <w:tcPr>
            <w:tcW w:w="1706" w:type="dxa"/>
          </w:tcPr>
          <w:p>
            <w:pPr>
              <w:pStyle w:val="TableParagraph"/>
              <w:rPr>
                <w:rFonts w:ascii="Times New Roman"/>
                <w:sz w:val="16"/>
              </w:rPr>
            </w:pPr>
          </w:p>
        </w:tc>
        <w:tc>
          <w:tcPr>
            <w:tcW w:w="1701" w:type="dxa"/>
          </w:tcPr>
          <w:p>
            <w:pPr>
              <w:pStyle w:val="TableParagraph"/>
              <w:rPr>
                <w:rFonts w:ascii="Times New Roman"/>
                <w:sz w:val="16"/>
              </w:rPr>
            </w:pPr>
          </w:p>
        </w:tc>
        <w:tc>
          <w:tcPr>
            <w:tcW w:w="1701" w:type="dxa"/>
          </w:tcPr>
          <w:p>
            <w:pPr>
              <w:pStyle w:val="TableParagraph"/>
              <w:rPr>
                <w:rFonts w:ascii="Times New Roman"/>
                <w:sz w:val="16"/>
              </w:rPr>
            </w:pPr>
          </w:p>
        </w:tc>
        <w:tc>
          <w:tcPr>
            <w:tcW w:w="1846" w:type="dxa"/>
          </w:tcPr>
          <w:p>
            <w:pPr>
              <w:pStyle w:val="TableParagraph"/>
              <w:rPr>
                <w:rFonts w:ascii="Times New Roman"/>
                <w:sz w:val="16"/>
              </w:rPr>
            </w:pPr>
          </w:p>
        </w:tc>
        <w:tc>
          <w:tcPr>
            <w:tcW w:w="991" w:type="dxa"/>
          </w:tcPr>
          <w:p>
            <w:pPr>
              <w:pStyle w:val="TableParagraph"/>
              <w:rPr>
                <w:rFonts w:ascii="Times New Roman"/>
                <w:sz w:val="16"/>
              </w:rPr>
            </w:pPr>
          </w:p>
        </w:tc>
        <w:tc>
          <w:tcPr>
            <w:tcW w:w="991" w:type="dxa"/>
          </w:tcPr>
          <w:p>
            <w:pPr>
              <w:pStyle w:val="TableParagraph"/>
              <w:rPr>
                <w:rFonts w:ascii="Times New Roman"/>
                <w:sz w:val="16"/>
              </w:rPr>
            </w:pPr>
          </w:p>
        </w:tc>
        <w:tc>
          <w:tcPr>
            <w:tcW w:w="995" w:type="dxa"/>
          </w:tcPr>
          <w:p>
            <w:pPr>
              <w:pStyle w:val="TableParagraph"/>
              <w:rPr>
                <w:rFonts w:ascii="Times New Roman"/>
                <w:sz w:val="16"/>
              </w:rPr>
            </w:pPr>
          </w:p>
        </w:tc>
        <w:tc>
          <w:tcPr>
            <w:tcW w:w="850" w:type="dxa"/>
          </w:tcPr>
          <w:p>
            <w:pPr>
              <w:pStyle w:val="TableParagraph"/>
              <w:rPr>
                <w:rFonts w:ascii="Times New Roman"/>
                <w:sz w:val="16"/>
              </w:rPr>
            </w:pPr>
          </w:p>
        </w:tc>
      </w:tr>
    </w:tbl>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spacing w:before="88"/>
        <w:rPr>
          <w:rFonts w:ascii="Calibri"/>
          <w:sz w:val="22"/>
        </w:rPr>
      </w:pPr>
    </w:p>
    <w:p>
      <w:pPr>
        <w:spacing w:before="0"/>
        <w:ind w:left="0" w:right="994" w:firstLine="0"/>
        <w:jc w:val="center"/>
        <w:rPr>
          <w:rFonts w:ascii="Calibri"/>
          <w:sz w:val="22"/>
        </w:rPr>
      </w:pPr>
      <w:r>
        <w:rPr>
          <w:rFonts w:ascii="Calibri"/>
          <w:spacing w:val="-5"/>
          <w:sz w:val="22"/>
        </w:rPr>
        <w:t>10</w:t>
      </w:r>
    </w:p>
    <w:p>
      <w:pPr>
        <w:spacing w:after="0"/>
        <w:jc w:val="center"/>
        <w:rPr>
          <w:rFonts w:ascii="Calibri"/>
          <w:sz w:val="22"/>
        </w:rPr>
        <w:sectPr>
          <w:pgSz w:w="16840" w:h="11910" w:orient="landscape"/>
          <w:pgMar w:header="0" w:footer="198" w:top="1340" w:bottom="380" w:left="1417" w:right="425"/>
        </w:sectPr>
      </w:pPr>
    </w:p>
    <w:p>
      <w:pPr>
        <w:pStyle w:val="Heading4"/>
        <w:numPr>
          <w:ilvl w:val="1"/>
          <w:numId w:val="97"/>
        </w:numPr>
        <w:tabs>
          <w:tab w:pos="7081" w:val="left" w:leader="none"/>
        </w:tabs>
        <w:spacing w:line="240" w:lineRule="auto" w:before="198" w:after="0"/>
        <w:ind w:left="7081" w:right="0" w:hanging="6483"/>
        <w:jc w:val="left"/>
        <w:rPr>
          <w:b w:val="0"/>
          <w:position w:val="-8"/>
          <w:sz w:val="36"/>
        </w:rPr>
      </w:pPr>
      <w:r>
        <w:rPr/>
        <w:t>12:05</w:t>
      </w:r>
      <w:r>
        <w:rPr>
          <w:spacing w:val="-4"/>
        </w:rPr>
        <w:t> </w:t>
      </w:r>
      <w:r>
        <w:rPr/>
        <w:t>PM,</w:t>
      </w:r>
      <w:r>
        <w:rPr>
          <w:spacing w:val="2"/>
        </w:rPr>
        <w:t> </w:t>
      </w:r>
      <w:r>
        <w:rPr/>
        <w:t>10</w:t>
      </w:r>
      <w:r>
        <w:rPr>
          <w:spacing w:val="-6"/>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734272">
                <wp:simplePos x="0" y="0"/>
                <wp:positionH relativeFrom="page">
                  <wp:posOffset>914400</wp:posOffset>
                </wp:positionH>
                <wp:positionV relativeFrom="paragraph">
                  <wp:posOffset>262302</wp:posOffset>
                </wp:positionV>
                <wp:extent cx="5730875" cy="6350"/>
                <wp:effectExtent l="0" t="0" r="0" b="0"/>
                <wp:wrapTopAndBottom/>
                <wp:docPr id="740" name="Graphic 740"/>
                <wp:cNvGraphicFramePr>
                  <a:graphicFrameLocks/>
                </wp:cNvGraphicFramePr>
                <a:graphic>
                  <a:graphicData uri="http://schemas.microsoft.com/office/word/2010/wordprocessingShape">
                    <wps:wsp>
                      <wps:cNvPr id="740" name="Graphic 740"/>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582208;mso-wrap-distance-left:0;mso-wrap-distance-right:0" id="docshape498"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footerReference w:type="default" r:id="rId113"/>
          <w:pgSz w:w="11910" w:h="16840"/>
          <w:pgMar w:header="0" w:footer="0" w:top="1940" w:bottom="80" w:left="992" w:right="1131"/>
        </w:sectPr>
      </w:pPr>
    </w:p>
    <w:p>
      <w:pPr>
        <w:pStyle w:val="Heading2"/>
        <w:numPr>
          <w:ilvl w:val="1"/>
          <w:numId w:val="98"/>
        </w:numPr>
        <w:tabs>
          <w:tab w:pos="986" w:val="left" w:leader="none"/>
        </w:tabs>
        <w:spacing w:line="240" w:lineRule="auto" w:before="90" w:after="0"/>
        <w:ind w:left="986" w:right="0" w:hanging="538"/>
        <w:jc w:val="left"/>
      </w:pPr>
      <w:bookmarkStart w:name="7.5 - RJC/45: RJC 2026/2027 Work Program" w:id="84"/>
      <w:bookmarkEnd w:id="84"/>
      <w:r>
        <w:rPr/>
      </w:r>
      <w:r>
        <w:rPr/>
        <w:t>-</w:t>
      </w:r>
      <w:r>
        <w:rPr>
          <w:spacing w:val="-5"/>
        </w:rPr>
        <w:t> </w:t>
      </w:r>
      <w:r>
        <w:rPr/>
        <w:t>RJC/45:</w:t>
      </w:r>
      <w:r>
        <w:rPr>
          <w:spacing w:val="-3"/>
        </w:rPr>
        <w:t> </w:t>
      </w:r>
      <w:r>
        <w:rPr/>
        <w:t>RJC</w:t>
      </w:r>
      <w:r>
        <w:rPr>
          <w:spacing w:val="-5"/>
        </w:rPr>
        <w:t> </w:t>
      </w:r>
      <w:r>
        <w:rPr/>
        <w:t>2026/2027</w:t>
      </w:r>
      <w:r>
        <w:rPr>
          <w:spacing w:val="-6"/>
        </w:rPr>
        <w:t> </w:t>
      </w:r>
      <w:r>
        <w:rPr>
          <w:spacing w:val="-4"/>
        </w:rPr>
        <w:t>Work</w:t>
      </w:r>
    </w:p>
    <w:p>
      <w:pPr>
        <w:pStyle w:val="Heading2"/>
        <w:spacing w:before="32"/>
        <w:ind w:left="448"/>
      </w:pPr>
      <w:r>
        <w:rPr/>
        <w:t>Programme</w:t>
      </w:r>
      <w:r>
        <w:rPr>
          <w:spacing w:val="-3"/>
        </w:rPr>
        <w:t> </w:t>
      </w:r>
      <w:r>
        <w:rPr/>
        <w:t>and</w:t>
      </w:r>
      <w:r>
        <w:rPr>
          <w:spacing w:val="-2"/>
        </w:rPr>
        <w:t> </w:t>
      </w:r>
      <w:r>
        <w:rPr/>
        <w:t>Maturity</w:t>
      </w:r>
      <w:r>
        <w:rPr>
          <w:spacing w:val="-4"/>
        </w:rPr>
        <w:t> </w:t>
      </w:r>
      <w:r>
        <w:rPr>
          <w:spacing w:val="-2"/>
        </w:rPr>
        <w:t>Matrix</w:t>
      </w:r>
    </w:p>
    <w:p>
      <w:pPr>
        <w:spacing w:line="259" w:lineRule="auto" w:before="93"/>
        <w:ind w:left="448" w:right="303" w:firstLine="720"/>
        <w:jc w:val="right"/>
        <w:rPr>
          <w:b/>
          <w:i/>
          <w:sz w:val="22"/>
        </w:rPr>
      </w:pPr>
      <w:r>
        <w:rPr/>
        <w:br w:type="column"/>
      </w:r>
      <w:r>
        <w:rPr>
          <w:b/>
          <w:i/>
          <w:sz w:val="22"/>
        </w:rPr>
        <w:t>Abigail</w:t>
      </w:r>
      <w:r>
        <w:rPr>
          <w:b/>
          <w:i/>
          <w:spacing w:val="-16"/>
          <w:sz w:val="22"/>
        </w:rPr>
        <w:t> </w:t>
      </w:r>
      <w:r>
        <w:rPr>
          <w:b/>
          <w:i/>
          <w:sz w:val="22"/>
        </w:rPr>
        <w:t>Harris</w:t>
      </w:r>
      <w:r>
        <w:rPr>
          <w:b/>
          <w:i/>
          <w:sz w:val="22"/>
        </w:rPr>
        <w:t> (Swansea</w:t>
      </w:r>
      <w:r>
        <w:rPr>
          <w:b/>
          <w:i/>
          <w:spacing w:val="-10"/>
          <w:sz w:val="22"/>
        </w:rPr>
        <w:t> </w:t>
      </w:r>
      <w:r>
        <w:rPr>
          <w:b/>
          <w:i/>
          <w:sz w:val="22"/>
        </w:rPr>
        <w:t>Bay</w:t>
      </w:r>
      <w:r>
        <w:rPr>
          <w:b/>
          <w:i/>
          <w:spacing w:val="-10"/>
          <w:sz w:val="22"/>
        </w:rPr>
        <w:t> </w:t>
      </w:r>
      <w:r>
        <w:rPr>
          <w:b/>
          <w:i/>
          <w:sz w:val="22"/>
        </w:rPr>
        <w:t>UHB</w:t>
      </w:r>
      <w:r>
        <w:rPr>
          <w:b/>
          <w:i/>
          <w:spacing w:val="-10"/>
          <w:sz w:val="22"/>
        </w:rPr>
        <w:t> </w:t>
      </w:r>
      <w:r>
        <w:rPr>
          <w:b/>
          <w:i/>
          <w:sz w:val="22"/>
        </w:rPr>
        <w:t>- CEO), Philip Kloer (Hywel Dda UHB - Chief Executive)</w:t>
      </w:r>
    </w:p>
    <w:p>
      <w:pPr>
        <w:spacing w:after="0" w:line="259" w:lineRule="auto"/>
        <w:jc w:val="right"/>
        <w:rPr>
          <w:b/>
          <w:i/>
          <w:sz w:val="22"/>
        </w:rPr>
        <w:sectPr>
          <w:type w:val="continuous"/>
          <w:pgSz w:w="11910" w:h="16840"/>
          <w:pgMar w:header="0" w:footer="0" w:top="760" w:bottom="280" w:left="992" w:right="1131"/>
          <w:cols w:num="2" w:equalWidth="0">
            <w:col w:w="5521" w:space="1352"/>
            <w:col w:w="2914"/>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5"/>
        <w:rPr>
          <w:b/>
          <w:i/>
          <w:sz w:val="22"/>
        </w:rPr>
      </w:pPr>
    </w:p>
    <w:p>
      <w:pPr>
        <w:spacing w:before="0"/>
        <w:ind w:left="448" w:right="0" w:firstLine="0"/>
        <w:jc w:val="left"/>
        <w:rPr>
          <w:b/>
          <w:sz w:val="22"/>
        </w:rPr>
      </w:pPr>
      <w:r>
        <w:rPr>
          <w:b/>
          <w:spacing w:val="-2"/>
          <w:sz w:val="22"/>
        </w:rPr>
        <w:t>Attachments</w:t>
      </w:r>
    </w:p>
    <w:p>
      <w:pPr>
        <w:spacing w:line="446" w:lineRule="auto" w:before="175"/>
        <w:ind w:left="448" w:right="5273" w:firstLine="0"/>
        <w:jc w:val="left"/>
        <w:rPr>
          <w:sz w:val="18"/>
        </w:rPr>
      </w:pPr>
      <w:r>
        <w:rPr>
          <w:sz w:val="18"/>
          <w:u w:val="single"/>
        </w:rPr>
        <w:t>RJC</w:t>
      </w:r>
      <w:r>
        <w:rPr>
          <w:spacing w:val="-7"/>
          <w:sz w:val="18"/>
          <w:u w:val="single"/>
        </w:rPr>
        <w:t> </w:t>
      </w:r>
      <w:r>
        <w:rPr>
          <w:sz w:val="18"/>
          <w:u w:val="single"/>
        </w:rPr>
        <w:t>45a</w:t>
      </w:r>
      <w:r>
        <w:rPr>
          <w:spacing w:val="-8"/>
          <w:sz w:val="18"/>
          <w:u w:val="single"/>
        </w:rPr>
        <w:t> </w:t>
      </w:r>
      <w:r>
        <w:rPr>
          <w:sz w:val="18"/>
          <w:u w:val="single"/>
        </w:rPr>
        <w:t>RJC</w:t>
      </w:r>
      <w:r>
        <w:rPr>
          <w:spacing w:val="-7"/>
          <w:sz w:val="18"/>
          <w:u w:val="single"/>
        </w:rPr>
        <w:t> </w:t>
      </w:r>
      <w:r>
        <w:rPr>
          <w:sz w:val="18"/>
          <w:u w:val="single"/>
        </w:rPr>
        <w:t>Work</w:t>
      </w:r>
      <w:r>
        <w:rPr>
          <w:spacing w:val="-7"/>
          <w:sz w:val="18"/>
          <w:u w:val="single"/>
        </w:rPr>
        <w:t> </w:t>
      </w:r>
      <w:r>
        <w:rPr>
          <w:sz w:val="18"/>
          <w:u w:val="single"/>
        </w:rPr>
        <w:t>Programme</w:t>
      </w:r>
      <w:r>
        <w:rPr>
          <w:spacing w:val="-7"/>
          <w:sz w:val="18"/>
          <w:u w:val="single"/>
        </w:rPr>
        <w:t> </w:t>
      </w:r>
      <w:r>
        <w:rPr>
          <w:sz w:val="18"/>
          <w:u w:val="single"/>
        </w:rPr>
        <w:t>2026-2027.pdf</w:t>
      </w:r>
      <w:r>
        <w:rPr>
          <w:sz w:val="18"/>
          <w:u w:val="none"/>
        </w:rPr>
        <w:t> </w:t>
      </w:r>
      <w:r>
        <w:rPr>
          <w:sz w:val="18"/>
          <w:u w:val="single"/>
        </w:rPr>
        <w:t>RJC 45b RJC Subgroup Maturity Matrix.pdf</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9"/>
        <w:rPr>
          <w:sz w:val="20"/>
        </w:rPr>
      </w:pPr>
      <w:r>
        <w:rPr>
          <w:sz w:val="20"/>
        </w:rPr>
        <w:drawing>
          <wp:anchor distT="0" distB="0" distL="0" distR="0" allowOverlap="1" layoutInCell="1" locked="0" behindDoc="1" simplePos="0" relativeHeight="487734784">
            <wp:simplePos x="0" y="0"/>
            <wp:positionH relativeFrom="page">
              <wp:posOffset>3477450</wp:posOffset>
            </wp:positionH>
            <wp:positionV relativeFrom="paragraph">
              <wp:posOffset>205092</wp:posOffset>
            </wp:positionV>
            <wp:extent cx="594360" cy="133731"/>
            <wp:effectExtent l="0" t="0" r="0" b="0"/>
            <wp:wrapTopAndBottom/>
            <wp:docPr id="741" name="Image 741"/>
            <wp:cNvGraphicFramePr>
              <a:graphicFrameLocks/>
            </wp:cNvGraphicFramePr>
            <a:graphic>
              <a:graphicData uri="http://schemas.openxmlformats.org/drawingml/2006/picture">
                <pic:pic>
                  <pic:nvPicPr>
                    <pic:cNvPr id="741" name="Image 741"/>
                    <pic:cNvPicPr/>
                  </pic:nvPicPr>
                  <pic:blipFill>
                    <a:blip r:embed="rId23" cstate="print"/>
                    <a:stretch>
                      <a:fillRect/>
                    </a:stretch>
                  </pic:blipFill>
                  <pic:spPr>
                    <a:xfrm>
                      <a:off x="0" y="0"/>
                      <a:ext cx="594360" cy="133731"/>
                    </a:xfrm>
                    <a:prstGeom prst="rect">
                      <a:avLst/>
                    </a:prstGeom>
                  </pic:spPr>
                </pic:pic>
              </a:graphicData>
            </a:graphic>
          </wp:anchor>
        </w:drawing>
      </w:r>
    </w:p>
    <w:p>
      <w:pPr>
        <w:pStyle w:val="BodyText"/>
        <w:spacing w:after="0"/>
        <w:rPr>
          <w:sz w:val="20"/>
        </w:rPr>
        <w:sectPr>
          <w:type w:val="continuous"/>
          <w:pgSz w:w="11910" w:h="16840"/>
          <w:pgMar w:header="0" w:footer="0" w:top="760" w:bottom="280" w:left="992" w:right="1131"/>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397"/>
      </w:tblGrid>
      <w:tr>
        <w:trPr>
          <w:trHeight w:val="560" w:hRule="atLeast"/>
        </w:trPr>
        <w:tc>
          <w:tcPr>
            <w:tcW w:w="8397" w:type="dxa"/>
            <w:shd w:val="clear" w:color="auto" w:fill="C1EFC6"/>
          </w:tcPr>
          <w:p>
            <w:pPr>
              <w:pStyle w:val="TableParagraph"/>
              <w:spacing w:before="133"/>
              <w:ind w:left="52"/>
              <w:rPr>
                <w:rFonts w:ascii="Verdana"/>
                <w:b/>
                <w:sz w:val="24"/>
              </w:rPr>
            </w:pPr>
            <w:bookmarkStart w:name="Attachments" w:id="85"/>
            <w:bookmarkEnd w:id="85"/>
            <w:r>
              <w:rPr/>
            </w:r>
            <w:bookmarkStart w:name="RJC 45a RJC Work Programme 2026-2027" w:id="86"/>
            <w:bookmarkEnd w:id="86"/>
            <w:r>
              <w:rPr/>
            </w:r>
            <w:r>
              <w:rPr>
                <w:rFonts w:ascii="Verdana"/>
                <w:b/>
                <w:sz w:val="24"/>
              </w:rPr>
              <w:t>AGENDA</w:t>
            </w:r>
            <w:r>
              <w:rPr>
                <w:rFonts w:ascii="Verdana"/>
                <w:b/>
                <w:spacing w:val="-3"/>
                <w:sz w:val="24"/>
              </w:rPr>
              <w:t> </w:t>
            </w:r>
            <w:r>
              <w:rPr>
                <w:rFonts w:ascii="Verdana"/>
                <w:b/>
                <w:spacing w:val="-2"/>
                <w:sz w:val="24"/>
              </w:rPr>
              <w:t>ITEM/ISSUE</w:t>
            </w:r>
          </w:p>
        </w:tc>
      </w:tr>
      <w:tr>
        <w:trPr>
          <w:trHeight w:val="357" w:hRule="atLeast"/>
        </w:trPr>
        <w:tc>
          <w:tcPr>
            <w:tcW w:w="8397" w:type="dxa"/>
            <w:shd w:val="clear" w:color="auto" w:fill="C1EFC6"/>
          </w:tcPr>
          <w:p>
            <w:pPr>
              <w:pStyle w:val="TableParagraph"/>
              <w:spacing w:before="32"/>
              <w:ind w:left="52"/>
              <w:rPr>
                <w:rFonts w:ascii="Verdana"/>
                <w:b/>
                <w:sz w:val="24"/>
              </w:rPr>
            </w:pPr>
            <w:r>
              <w:rPr>
                <w:rFonts w:ascii="Verdana"/>
                <w:b/>
                <w:spacing w:val="-2"/>
                <w:sz w:val="24"/>
              </w:rPr>
              <w:t>INTRODUCTIONS</w:t>
            </w:r>
          </w:p>
        </w:tc>
      </w:tr>
      <w:tr>
        <w:trPr>
          <w:trHeight w:val="356" w:hRule="atLeast"/>
        </w:trPr>
        <w:tc>
          <w:tcPr>
            <w:tcW w:w="8397" w:type="dxa"/>
          </w:tcPr>
          <w:p>
            <w:pPr>
              <w:pStyle w:val="TableParagraph"/>
              <w:spacing w:before="32"/>
              <w:ind w:left="47"/>
              <w:rPr>
                <w:rFonts w:ascii="Verdana"/>
                <w:sz w:val="24"/>
              </w:rPr>
            </w:pPr>
            <w:r>
              <w:rPr>
                <w:rFonts w:ascii="Verdana"/>
                <w:spacing w:val="-2"/>
                <w:sz w:val="24"/>
              </w:rPr>
              <w:t>Apologies</w:t>
            </w:r>
          </w:p>
        </w:tc>
      </w:tr>
      <w:tr>
        <w:trPr>
          <w:trHeight w:val="356" w:hRule="atLeast"/>
        </w:trPr>
        <w:tc>
          <w:tcPr>
            <w:tcW w:w="8397" w:type="dxa"/>
          </w:tcPr>
          <w:p>
            <w:pPr>
              <w:pStyle w:val="TableParagraph"/>
              <w:spacing w:before="32"/>
              <w:ind w:left="47"/>
              <w:rPr>
                <w:rFonts w:ascii="Verdana"/>
                <w:sz w:val="24"/>
              </w:rPr>
            </w:pPr>
            <w:r>
              <w:rPr>
                <w:rFonts w:ascii="Verdana"/>
                <w:sz w:val="24"/>
              </w:rPr>
              <w:t>Declaration</w:t>
            </w:r>
            <w:r>
              <w:rPr>
                <w:rFonts w:ascii="Verdana"/>
                <w:spacing w:val="-6"/>
                <w:sz w:val="24"/>
              </w:rPr>
              <w:t> </w:t>
            </w:r>
            <w:r>
              <w:rPr>
                <w:rFonts w:ascii="Verdana"/>
                <w:sz w:val="24"/>
              </w:rPr>
              <w:t>of</w:t>
            </w:r>
            <w:r>
              <w:rPr>
                <w:rFonts w:ascii="Verdana"/>
                <w:spacing w:val="-5"/>
                <w:sz w:val="24"/>
              </w:rPr>
              <w:t> </w:t>
            </w:r>
            <w:r>
              <w:rPr>
                <w:rFonts w:ascii="Verdana"/>
                <w:spacing w:val="-2"/>
                <w:sz w:val="24"/>
              </w:rPr>
              <w:t>Interests</w:t>
            </w:r>
          </w:p>
        </w:tc>
      </w:tr>
      <w:tr>
        <w:trPr>
          <w:trHeight w:val="356" w:hRule="atLeast"/>
        </w:trPr>
        <w:tc>
          <w:tcPr>
            <w:tcW w:w="8397" w:type="dxa"/>
            <w:shd w:val="clear" w:color="auto" w:fill="C1EFC6"/>
          </w:tcPr>
          <w:p>
            <w:pPr>
              <w:pStyle w:val="TableParagraph"/>
              <w:spacing w:before="32"/>
              <w:ind w:left="52"/>
              <w:rPr>
                <w:rFonts w:ascii="Verdana"/>
                <w:b/>
                <w:sz w:val="24"/>
              </w:rPr>
            </w:pPr>
            <w:r>
              <w:rPr>
                <w:rFonts w:ascii="Verdana"/>
                <w:b/>
                <w:sz w:val="24"/>
              </w:rPr>
              <w:t>LEARNING</w:t>
            </w:r>
            <w:r>
              <w:rPr>
                <w:rFonts w:ascii="Verdana"/>
                <w:b/>
                <w:spacing w:val="-3"/>
                <w:sz w:val="24"/>
              </w:rPr>
              <w:t> </w:t>
            </w:r>
            <w:r>
              <w:rPr>
                <w:rFonts w:ascii="Verdana"/>
                <w:b/>
                <w:sz w:val="24"/>
              </w:rPr>
              <w:t>&amp;</w:t>
            </w:r>
            <w:r>
              <w:rPr>
                <w:rFonts w:ascii="Verdana"/>
                <w:b/>
                <w:spacing w:val="-1"/>
                <w:sz w:val="24"/>
              </w:rPr>
              <w:t> </w:t>
            </w:r>
            <w:r>
              <w:rPr>
                <w:rFonts w:ascii="Verdana"/>
                <w:b/>
                <w:spacing w:val="-2"/>
                <w:sz w:val="24"/>
              </w:rPr>
              <w:t>GOVERNANCE</w:t>
            </w:r>
          </w:p>
        </w:tc>
      </w:tr>
      <w:tr>
        <w:trPr>
          <w:trHeight w:val="356" w:hRule="atLeast"/>
        </w:trPr>
        <w:tc>
          <w:tcPr>
            <w:tcW w:w="8397" w:type="dxa"/>
          </w:tcPr>
          <w:p>
            <w:pPr>
              <w:pStyle w:val="TableParagraph"/>
              <w:spacing w:before="32"/>
              <w:ind w:left="47"/>
              <w:rPr>
                <w:rFonts w:ascii="Verdana"/>
                <w:sz w:val="24"/>
              </w:rPr>
            </w:pPr>
            <w:r>
              <w:rPr>
                <w:rFonts w:ascii="Verdana"/>
                <w:sz w:val="24"/>
              </w:rPr>
              <w:t>Minutes</w:t>
            </w:r>
            <w:r>
              <w:rPr>
                <w:rFonts w:ascii="Verdana"/>
                <w:spacing w:val="-5"/>
                <w:sz w:val="24"/>
              </w:rPr>
              <w:t> </w:t>
            </w:r>
            <w:r>
              <w:rPr>
                <w:rFonts w:ascii="Verdana"/>
                <w:sz w:val="24"/>
              </w:rPr>
              <w:t>from</w:t>
            </w:r>
            <w:r>
              <w:rPr>
                <w:rFonts w:ascii="Verdana"/>
                <w:spacing w:val="-4"/>
                <w:sz w:val="24"/>
              </w:rPr>
              <w:t> </w:t>
            </w:r>
            <w:r>
              <w:rPr>
                <w:rFonts w:ascii="Verdana"/>
                <w:sz w:val="24"/>
              </w:rPr>
              <w:t>Previous</w:t>
            </w:r>
            <w:r>
              <w:rPr>
                <w:rFonts w:ascii="Verdana"/>
                <w:spacing w:val="-4"/>
                <w:sz w:val="24"/>
              </w:rPr>
              <w:t> </w:t>
            </w:r>
            <w:r>
              <w:rPr>
                <w:rFonts w:ascii="Verdana"/>
                <w:spacing w:val="-2"/>
                <w:sz w:val="24"/>
              </w:rPr>
              <w:t>Meeting</w:t>
            </w:r>
          </w:p>
        </w:tc>
      </w:tr>
      <w:tr>
        <w:trPr>
          <w:trHeight w:val="356" w:hRule="atLeast"/>
        </w:trPr>
        <w:tc>
          <w:tcPr>
            <w:tcW w:w="8397" w:type="dxa"/>
          </w:tcPr>
          <w:p>
            <w:pPr>
              <w:pStyle w:val="TableParagraph"/>
              <w:spacing w:before="32"/>
              <w:ind w:left="47"/>
              <w:rPr>
                <w:rFonts w:ascii="Verdana"/>
                <w:sz w:val="24"/>
              </w:rPr>
            </w:pPr>
            <w:r>
              <w:rPr>
                <w:rFonts w:ascii="Verdana"/>
                <w:sz w:val="24"/>
              </w:rPr>
              <w:t>Matters</w:t>
            </w:r>
            <w:r>
              <w:rPr>
                <w:rFonts w:ascii="Verdana"/>
                <w:spacing w:val="-4"/>
                <w:sz w:val="24"/>
              </w:rPr>
              <w:t> </w:t>
            </w:r>
            <w:r>
              <w:rPr>
                <w:rFonts w:ascii="Verdana"/>
                <w:sz w:val="24"/>
              </w:rPr>
              <w:t>Arising</w:t>
            </w:r>
            <w:r>
              <w:rPr>
                <w:rFonts w:ascii="Verdana"/>
                <w:spacing w:val="-3"/>
                <w:sz w:val="24"/>
              </w:rPr>
              <w:t> </w:t>
            </w:r>
            <w:r>
              <w:rPr>
                <w:rFonts w:ascii="Verdana"/>
                <w:sz w:val="24"/>
              </w:rPr>
              <w:t>and</w:t>
            </w:r>
            <w:r>
              <w:rPr>
                <w:rFonts w:ascii="Verdana"/>
                <w:spacing w:val="-4"/>
                <w:sz w:val="24"/>
              </w:rPr>
              <w:t> </w:t>
            </w:r>
            <w:r>
              <w:rPr>
                <w:rFonts w:ascii="Verdana"/>
                <w:sz w:val="24"/>
              </w:rPr>
              <w:t>Table</w:t>
            </w:r>
            <w:r>
              <w:rPr>
                <w:rFonts w:ascii="Verdana"/>
                <w:spacing w:val="-3"/>
                <w:sz w:val="24"/>
              </w:rPr>
              <w:t> </w:t>
            </w:r>
            <w:r>
              <w:rPr>
                <w:rFonts w:ascii="Verdana"/>
                <w:sz w:val="24"/>
              </w:rPr>
              <w:t>of</w:t>
            </w:r>
            <w:r>
              <w:rPr>
                <w:rFonts w:ascii="Verdana"/>
                <w:spacing w:val="-3"/>
                <w:sz w:val="24"/>
              </w:rPr>
              <w:t> </w:t>
            </w:r>
            <w:r>
              <w:rPr>
                <w:rFonts w:ascii="Verdana"/>
                <w:spacing w:val="-2"/>
                <w:sz w:val="24"/>
              </w:rPr>
              <w:t>Actions</w:t>
            </w:r>
          </w:p>
        </w:tc>
      </w:tr>
      <w:tr>
        <w:trPr>
          <w:trHeight w:val="356" w:hRule="atLeast"/>
        </w:trPr>
        <w:tc>
          <w:tcPr>
            <w:tcW w:w="8397" w:type="dxa"/>
          </w:tcPr>
          <w:p>
            <w:pPr>
              <w:pStyle w:val="TableParagraph"/>
              <w:spacing w:before="32"/>
              <w:ind w:left="47"/>
              <w:rPr>
                <w:rFonts w:ascii="Verdana"/>
                <w:sz w:val="24"/>
              </w:rPr>
            </w:pPr>
            <w:r>
              <w:rPr>
                <w:rFonts w:ascii="Verdana"/>
                <w:sz w:val="24"/>
              </w:rPr>
              <w:t>Matters</w:t>
            </w:r>
            <w:r>
              <w:rPr>
                <w:rFonts w:ascii="Verdana"/>
                <w:spacing w:val="-3"/>
                <w:sz w:val="24"/>
              </w:rPr>
              <w:t> </w:t>
            </w:r>
            <w:r>
              <w:rPr>
                <w:rFonts w:ascii="Verdana"/>
                <w:sz w:val="24"/>
              </w:rPr>
              <w:t>Arising</w:t>
            </w:r>
            <w:r>
              <w:rPr>
                <w:rFonts w:ascii="Verdana"/>
                <w:spacing w:val="-4"/>
                <w:sz w:val="24"/>
              </w:rPr>
              <w:t> </w:t>
            </w:r>
            <w:r>
              <w:rPr>
                <w:rFonts w:ascii="Verdana"/>
                <w:sz w:val="24"/>
              </w:rPr>
              <w:t>not</w:t>
            </w:r>
            <w:r>
              <w:rPr>
                <w:rFonts w:ascii="Verdana"/>
                <w:spacing w:val="-3"/>
                <w:sz w:val="24"/>
              </w:rPr>
              <w:t> </w:t>
            </w:r>
            <w:r>
              <w:rPr>
                <w:rFonts w:ascii="Verdana"/>
                <w:sz w:val="24"/>
              </w:rPr>
              <w:t>on</w:t>
            </w:r>
            <w:r>
              <w:rPr>
                <w:rFonts w:ascii="Verdana"/>
                <w:spacing w:val="-3"/>
                <w:sz w:val="24"/>
              </w:rPr>
              <w:t> </w:t>
            </w:r>
            <w:r>
              <w:rPr>
                <w:rFonts w:ascii="Verdana"/>
                <w:spacing w:val="-2"/>
                <w:sz w:val="24"/>
              </w:rPr>
              <w:t>Agenda</w:t>
            </w:r>
          </w:p>
        </w:tc>
      </w:tr>
      <w:tr>
        <w:trPr>
          <w:trHeight w:val="356" w:hRule="atLeast"/>
        </w:trPr>
        <w:tc>
          <w:tcPr>
            <w:tcW w:w="8397" w:type="dxa"/>
            <w:shd w:val="clear" w:color="auto" w:fill="C1EFC6"/>
          </w:tcPr>
          <w:p>
            <w:pPr>
              <w:pStyle w:val="TableParagraph"/>
              <w:spacing w:before="32"/>
              <w:ind w:left="52"/>
              <w:rPr>
                <w:rFonts w:ascii="Verdana"/>
                <w:b/>
                <w:sz w:val="24"/>
              </w:rPr>
            </w:pPr>
            <w:r>
              <w:rPr>
                <w:rFonts w:ascii="Verdana"/>
                <w:b/>
                <w:sz w:val="24"/>
              </w:rPr>
              <w:t>REGIONAL</w:t>
            </w:r>
            <w:r>
              <w:rPr>
                <w:rFonts w:ascii="Verdana"/>
                <w:b/>
                <w:spacing w:val="-5"/>
                <w:sz w:val="24"/>
              </w:rPr>
              <w:t> </w:t>
            </w:r>
            <w:r>
              <w:rPr>
                <w:rFonts w:ascii="Verdana"/>
                <w:b/>
                <w:sz w:val="24"/>
              </w:rPr>
              <w:t>JOINT</w:t>
            </w:r>
            <w:r>
              <w:rPr>
                <w:rFonts w:ascii="Verdana"/>
                <w:b/>
                <w:spacing w:val="-2"/>
                <w:sz w:val="24"/>
              </w:rPr>
              <w:t> </w:t>
            </w:r>
            <w:r>
              <w:rPr>
                <w:rFonts w:ascii="Verdana"/>
                <w:b/>
                <w:sz w:val="24"/>
              </w:rPr>
              <w:t>COMMITTEE</w:t>
            </w:r>
            <w:r>
              <w:rPr>
                <w:rFonts w:ascii="Verdana"/>
                <w:b/>
                <w:spacing w:val="-3"/>
                <w:sz w:val="24"/>
              </w:rPr>
              <w:t> </w:t>
            </w:r>
            <w:r>
              <w:rPr>
                <w:rFonts w:ascii="Verdana"/>
                <w:b/>
                <w:sz w:val="24"/>
              </w:rPr>
              <w:t>WORK</w:t>
            </w:r>
            <w:r>
              <w:rPr>
                <w:rFonts w:ascii="Verdana"/>
                <w:b/>
                <w:spacing w:val="-3"/>
                <w:sz w:val="24"/>
              </w:rPr>
              <w:t> </w:t>
            </w:r>
            <w:r>
              <w:rPr>
                <w:rFonts w:ascii="Verdana"/>
                <w:b/>
                <w:spacing w:val="-2"/>
                <w:sz w:val="24"/>
              </w:rPr>
              <w:t>PROGRAMME</w:t>
            </w:r>
          </w:p>
        </w:tc>
      </w:tr>
      <w:tr>
        <w:trPr>
          <w:trHeight w:val="356" w:hRule="atLeast"/>
        </w:trPr>
        <w:tc>
          <w:tcPr>
            <w:tcW w:w="8397" w:type="dxa"/>
            <w:shd w:val="clear" w:color="auto" w:fill="C1EFC6"/>
          </w:tcPr>
          <w:p>
            <w:pPr>
              <w:pStyle w:val="TableParagraph"/>
              <w:spacing w:before="32"/>
              <w:ind w:left="52"/>
              <w:rPr>
                <w:rFonts w:ascii="Verdana"/>
                <w:b/>
                <w:sz w:val="24"/>
              </w:rPr>
            </w:pPr>
            <w:r>
              <w:rPr>
                <w:rFonts w:ascii="Verdana"/>
                <w:b/>
                <w:sz w:val="24"/>
              </w:rPr>
              <w:t>Regional</w:t>
            </w:r>
            <w:r>
              <w:rPr>
                <w:rFonts w:ascii="Verdana"/>
                <w:b/>
                <w:spacing w:val="-3"/>
                <w:sz w:val="24"/>
              </w:rPr>
              <w:t> </w:t>
            </w:r>
            <w:r>
              <w:rPr>
                <w:rFonts w:ascii="Verdana"/>
                <w:b/>
                <w:sz w:val="24"/>
              </w:rPr>
              <w:t>Health</w:t>
            </w:r>
            <w:r>
              <w:rPr>
                <w:rFonts w:ascii="Verdana"/>
                <w:b/>
                <w:spacing w:val="-3"/>
                <w:sz w:val="24"/>
              </w:rPr>
              <w:t> </w:t>
            </w:r>
            <w:r>
              <w:rPr>
                <w:rFonts w:ascii="Verdana"/>
                <w:b/>
                <w:spacing w:val="-2"/>
                <w:sz w:val="24"/>
              </w:rPr>
              <w:t>Economy</w:t>
            </w:r>
          </w:p>
        </w:tc>
      </w:tr>
      <w:tr>
        <w:trPr>
          <w:trHeight w:val="851" w:hRule="atLeast"/>
        </w:trPr>
        <w:tc>
          <w:tcPr>
            <w:tcW w:w="8397" w:type="dxa"/>
          </w:tcPr>
          <w:p>
            <w:pPr>
              <w:pStyle w:val="TableParagraph"/>
              <w:spacing w:line="254" w:lineRule="auto" w:before="124"/>
              <w:ind w:left="47"/>
              <w:rPr>
                <w:rFonts w:ascii="Verdana"/>
                <w:sz w:val="24"/>
              </w:rPr>
            </w:pPr>
            <w:r>
              <w:rPr>
                <w:rFonts w:ascii="Verdana"/>
                <w:sz w:val="24"/>
              </w:rPr>
              <w:t>Updated</w:t>
            </w:r>
            <w:r>
              <w:rPr>
                <w:rFonts w:ascii="Verdana"/>
                <w:spacing w:val="-6"/>
                <w:sz w:val="24"/>
              </w:rPr>
              <w:t> </w:t>
            </w:r>
            <w:r>
              <w:rPr>
                <w:rFonts w:ascii="Verdana"/>
                <w:sz w:val="24"/>
              </w:rPr>
              <w:t>Regional</w:t>
            </w:r>
            <w:r>
              <w:rPr>
                <w:rFonts w:ascii="Verdana"/>
                <w:spacing w:val="-7"/>
                <w:sz w:val="24"/>
              </w:rPr>
              <w:t> </w:t>
            </w:r>
            <w:r>
              <w:rPr>
                <w:rFonts w:ascii="Verdana"/>
                <w:sz w:val="24"/>
              </w:rPr>
              <w:t>Health</w:t>
            </w:r>
            <w:r>
              <w:rPr>
                <w:rFonts w:ascii="Verdana"/>
                <w:spacing w:val="-6"/>
                <w:sz w:val="24"/>
              </w:rPr>
              <w:t> </w:t>
            </w:r>
            <w:r>
              <w:rPr>
                <w:rFonts w:ascii="Verdana"/>
                <w:sz w:val="24"/>
              </w:rPr>
              <w:t>Economy</w:t>
            </w:r>
            <w:r>
              <w:rPr>
                <w:rFonts w:ascii="Verdana"/>
                <w:spacing w:val="-6"/>
                <w:sz w:val="24"/>
              </w:rPr>
              <w:t> </w:t>
            </w:r>
            <w:r>
              <w:rPr>
                <w:rFonts w:ascii="Verdana"/>
                <w:sz w:val="24"/>
              </w:rPr>
              <w:t>Terms</w:t>
            </w:r>
            <w:r>
              <w:rPr>
                <w:rFonts w:ascii="Verdana"/>
                <w:spacing w:val="-6"/>
                <w:sz w:val="24"/>
              </w:rPr>
              <w:t> </w:t>
            </w:r>
            <w:r>
              <w:rPr>
                <w:rFonts w:ascii="Verdana"/>
                <w:sz w:val="24"/>
              </w:rPr>
              <w:t>of</w:t>
            </w:r>
            <w:r>
              <w:rPr>
                <w:rFonts w:ascii="Verdana"/>
                <w:spacing w:val="-6"/>
                <w:sz w:val="24"/>
              </w:rPr>
              <w:t> </w:t>
            </w:r>
            <w:r>
              <w:rPr>
                <w:rFonts w:ascii="Verdana"/>
                <w:sz w:val="24"/>
              </w:rPr>
              <w:t>Reference</w:t>
            </w:r>
            <w:r>
              <w:rPr>
                <w:rFonts w:ascii="Verdana"/>
                <w:spacing w:val="-5"/>
                <w:sz w:val="24"/>
              </w:rPr>
              <w:t> </w:t>
            </w:r>
            <w:r>
              <w:rPr>
                <w:rFonts w:ascii="Verdana"/>
                <w:sz w:val="24"/>
              </w:rPr>
              <w:t>agreed</w:t>
            </w:r>
            <w:r>
              <w:rPr>
                <w:rFonts w:ascii="Verdana"/>
                <w:spacing w:val="-6"/>
                <w:sz w:val="24"/>
              </w:rPr>
              <w:t> </w:t>
            </w:r>
            <w:r>
              <w:rPr>
                <w:rFonts w:ascii="Verdana"/>
                <w:sz w:val="24"/>
              </w:rPr>
              <w:t>(for assurance and endrosement)</w:t>
            </w:r>
          </w:p>
        </w:tc>
      </w:tr>
      <w:tr>
        <w:trPr>
          <w:trHeight w:val="851" w:hRule="atLeast"/>
        </w:trPr>
        <w:tc>
          <w:tcPr>
            <w:tcW w:w="8397" w:type="dxa"/>
          </w:tcPr>
          <w:p>
            <w:pPr>
              <w:pStyle w:val="TableParagraph"/>
              <w:spacing w:line="254" w:lineRule="auto" w:before="123"/>
              <w:ind w:left="47"/>
              <w:rPr>
                <w:rFonts w:ascii="Verdana"/>
                <w:sz w:val="24"/>
              </w:rPr>
            </w:pPr>
            <w:r>
              <w:rPr>
                <w:rFonts w:ascii="Verdana"/>
                <w:sz w:val="24"/>
              </w:rPr>
              <w:t>Regional</w:t>
            </w:r>
            <w:r>
              <w:rPr>
                <w:rFonts w:ascii="Verdana"/>
                <w:spacing w:val="-8"/>
                <w:sz w:val="24"/>
              </w:rPr>
              <w:t> </w:t>
            </w:r>
            <w:r>
              <w:rPr>
                <w:rFonts w:ascii="Verdana"/>
                <w:sz w:val="24"/>
              </w:rPr>
              <w:t>Health</w:t>
            </w:r>
            <w:r>
              <w:rPr>
                <w:rFonts w:ascii="Verdana"/>
                <w:spacing w:val="-7"/>
                <w:sz w:val="24"/>
              </w:rPr>
              <w:t> </w:t>
            </w:r>
            <w:r>
              <w:rPr>
                <w:rFonts w:ascii="Verdana"/>
                <w:sz w:val="24"/>
              </w:rPr>
              <w:t>Inequalities</w:t>
            </w:r>
            <w:r>
              <w:rPr>
                <w:rFonts w:ascii="Verdana"/>
                <w:spacing w:val="-7"/>
                <w:sz w:val="24"/>
              </w:rPr>
              <w:t> </w:t>
            </w:r>
            <w:r>
              <w:rPr>
                <w:rFonts w:ascii="Verdana"/>
                <w:sz w:val="24"/>
              </w:rPr>
              <w:t>Action</w:t>
            </w:r>
            <w:r>
              <w:rPr>
                <w:rFonts w:ascii="Verdana"/>
                <w:spacing w:val="-7"/>
                <w:sz w:val="24"/>
              </w:rPr>
              <w:t> </w:t>
            </w:r>
            <w:r>
              <w:rPr>
                <w:rFonts w:ascii="Verdana"/>
                <w:sz w:val="24"/>
              </w:rPr>
              <w:t>Plan</w:t>
            </w:r>
            <w:r>
              <w:rPr>
                <w:rFonts w:ascii="Verdana"/>
                <w:spacing w:val="-7"/>
                <w:sz w:val="24"/>
              </w:rPr>
              <w:t> </w:t>
            </w:r>
            <w:r>
              <w:rPr>
                <w:rFonts w:ascii="Verdana"/>
                <w:sz w:val="24"/>
              </w:rPr>
              <w:t>agreed</w:t>
            </w:r>
            <w:r>
              <w:rPr>
                <w:rFonts w:ascii="Verdana"/>
                <w:spacing w:val="-7"/>
                <w:sz w:val="24"/>
              </w:rPr>
              <w:t> </w:t>
            </w:r>
            <w:r>
              <w:rPr>
                <w:rFonts w:ascii="Verdana"/>
                <w:sz w:val="24"/>
              </w:rPr>
              <w:t>(for</w:t>
            </w:r>
            <w:r>
              <w:rPr>
                <w:rFonts w:ascii="Verdana"/>
                <w:spacing w:val="-7"/>
                <w:sz w:val="24"/>
              </w:rPr>
              <w:t> </w:t>
            </w:r>
            <w:r>
              <w:rPr>
                <w:rFonts w:ascii="Verdana"/>
                <w:sz w:val="24"/>
              </w:rPr>
              <w:t>assurance</w:t>
            </w:r>
            <w:r>
              <w:rPr>
                <w:rFonts w:ascii="Verdana"/>
                <w:spacing w:val="-7"/>
                <w:sz w:val="24"/>
              </w:rPr>
              <w:t> </w:t>
            </w:r>
            <w:r>
              <w:rPr>
                <w:rFonts w:ascii="Verdana"/>
                <w:sz w:val="24"/>
              </w:rPr>
              <w:t>and </w:t>
            </w:r>
            <w:r>
              <w:rPr>
                <w:rFonts w:ascii="Verdana"/>
                <w:spacing w:val="-2"/>
                <w:sz w:val="24"/>
              </w:rPr>
              <w:t>endrosement)</w:t>
            </w:r>
          </w:p>
        </w:tc>
      </w:tr>
      <w:tr>
        <w:trPr>
          <w:trHeight w:val="851" w:hRule="atLeast"/>
        </w:trPr>
        <w:tc>
          <w:tcPr>
            <w:tcW w:w="8397" w:type="dxa"/>
          </w:tcPr>
          <w:p>
            <w:pPr>
              <w:pStyle w:val="TableParagraph"/>
              <w:spacing w:line="261" w:lineRule="exact"/>
              <w:ind w:left="47"/>
              <w:rPr>
                <w:rFonts w:ascii="Verdana"/>
                <w:sz w:val="24"/>
              </w:rPr>
            </w:pPr>
            <w:r>
              <w:rPr>
                <w:rFonts w:ascii="Verdana"/>
                <w:sz w:val="24"/>
              </w:rPr>
              <w:t>Regional</w:t>
            </w:r>
            <w:r>
              <w:rPr>
                <w:rFonts w:ascii="Verdana"/>
                <w:spacing w:val="-10"/>
                <w:sz w:val="24"/>
              </w:rPr>
              <w:t> </w:t>
            </w:r>
            <w:r>
              <w:rPr>
                <w:rFonts w:ascii="Verdana"/>
                <w:sz w:val="24"/>
              </w:rPr>
              <w:t>Health</w:t>
            </w:r>
            <w:r>
              <w:rPr>
                <w:rFonts w:ascii="Verdana"/>
                <w:spacing w:val="-7"/>
                <w:sz w:val="24"/>
              </w:rPr>
              <w:t> </w:t>
            </w:r>
            <w:r>
              <w:rPr>
                <w:rFonts w:ascii="Verdana"/>
                <w:sz w:val="24"/>
              </w:rPr>
              <w:t>Intelligence</w:t>
            </w:r>
            <w:r>
              <w:rPr>
                <w:rFonts w:ascii="Verdana"/>
                <w:spacing w:val="-6"/>
                <w:sz w:val="24"/>
              </w:rPr>
              <w:t> </w:t>
            </w:r>
            <w:r>
              <w:rPr>
                <w:rFonts w:ascii="Verdana"/>
                <w:sz w:val="24"/>
              </w:rPr>
              <w:t>and</w:t>
            </w:r>
            <w:r>
              <w:rPr>
                <w:rFonts w:ascii="Verdana"/>
                <w:spacing w:val="-8"/>
                <w:sz w:val="24"/>
              </w:rPr>
              <w:t> </w:t>
            </w:r>
            <w:r>
              <w:rPr>
                <w:rFonts w:ascii="Verdana"/>
                <w:sz w:val="24"/>
              </w:rPr>
              <w:t>Inequalities</w:t>
            </w:r>
            <w:r>
              <w:rPr>
                <w:rFonts w:ascii="Verdana"/>
                <w:spacing w:val="-6"/>
                <w:sz w:val="24"/>
              </w:rPr>
              <w:t> </w:t>
            </w:r>
            <w:r>
              <w:rPr>
                <w:rFonts w:ascii="Verdana"/>
                <w:sz w:val="24"/>
              </w:rPr>
              <w:t>findings</w:t>
            </w:r>
            <w:r>
              <w:rPr>
                <w:rFonts w:ascii="Verdana"/>
                <w:spacing w:val="-6"/>
                <w:sz w:val="24"/>
              </w:rPr>
              <w:t> </w:t>
            </w:r>
            <w:r>
              <w:rPr>
                <w:rFonts w:ascii="Verdana"/>
                <w:spacing w:val="-2"/>
                <w:sz w:val="24"/>
              </w:rPr>
              <w:t>incorporated</w:t>
            </w:r>
          </w:p>
          <w:p>
            <w:pPr>
              <w:pStyle w:val="TableParagraph"/>
              <w:spacing w:line="310" w:lineRule="atLeast"/>
              <w:ind w:left="47"/>
              <w:rPr>
                <w:rFonts w:ascii="Verdana"/>
                <w:sz w:val="24"/>
              </w:rPr>
            </w:pPr>
            <w:r>
              <w:rPr>
                <w:rFonts w:ascii="Verdana"/>
                <w:sz w:val="24"/>
              </w:rPr>
              <w:t>into</w:t>
            </w:r>
            <w:r>
              <w:rPr>
                <w:rFonts w:ascii="Verdana"/>
                <w:spacing w:val="-9"/>
                <w:sz w:val="24"/>
              </w:rPr>
              <w:t> </w:t>
            </w:r>
            <w:r>
              <w:rPr>
                <w:rFonts w:ascii="Verdana"/>
                <w:sz w:val="24"/>
              </w:rPr>
              <w:t>strategic</w:t>
            </w:r>
            <w:r>
              <w:rPr>
                <w:rFonts w:ascii="Verdana"/>
                <w:spacing w:val="-10"/>
                <w:sz w:val="24"/>
              </w:rPr>
              <w:t> </w:t>
            </w:r>
            <w:r>
              <w:rPr>
                <w:rFonts w:ascii="Verdana"/>
                <w:sz w:val="24"/>
              </w:rPr>
              <w:t>priorities</w:t>
            </w:r>
            <w:r>
              <w:rPr>
                <w:rFonts w:ascii="Verdana"/>
                <w:spacing w:val="-9"/>
                <w:sz w:val="24"/>
              </w:rPr>
              <w:t> </w:t>
            </w:r>
            <w:r>
              <w:rPr>
                <w:rFonts w:ascii="Verdana"/>
                <w:sz w:val="24"/>
              </w:rPr>
              <w:t>and</w:t>
            </w:r>
            <w:r>
              <w:rPr>
                <w:rFonts w:ascii="Verdana"/>
                <w:spacing w:val="-10"/>
                <w:sz w:val="24"/>
              </w:rPr>
              <w:t> </w:t>
            </w:r>
            <w:r>
              <w:rPr>
                <w:rFonts w:ascii="Verdana"/>
                <w:sz w:val="24"/>
              </w:rPr>
              <w:t>implementation</w:t>
            </w:r>
            <w:r>
              <w:rPr>
                <w:rFonts w:ascii="Verdana"/>
                <w:spacing w:val="-10"/>
                <w:sz w:val="24"/>
              </w:rPr>
              <w:t> </w:t>
            </w:r>
            <w:r>
              <w:rPr>
                <w:rFonts w:ascii="Verdana"/>
                <w:sz w:val="24"/>
              </w:rPr>
              <w:t>roadmap</w:t>
            </w:r>
            <w:r>
              <w:rPr>
                <w:rFonts w:ascii="Verdana"/>
                <w:spacing w:val="-10"/>
                <w:sz w:val="24"/>
              </w:rPr>
              <w:t> </w:t>
            </w:r>
            <w:r>
              <w:rPr>
                <w:rFonts w:ascii="Verdana"/>
                <w:sz w:val="24"/>
              </w:rPr>
              <w:t>(for </w:t>
            </w:r>
            <w:r>
              <w:rPr>
                <w:rFonts w:ascii="Verdana"/>
                <w:spacing w:val="-2"/>
                <w:sz w:val="24"/>
              </w:rPr>
              <w:t>endorsement/approval)</w:t>
            </w:r>
          </w:p>
        </w:tc>
      </w:tr>
      <w:tr>
        <w:trPr>
          <w:trHeight w:val="821" w:hRule="atLeast"/>
        </w:trPr>
        <w:tc>
          <w:tcPr>
            <w:tcW w:w="8397" w:type="dxa"/>
          </w:tcPr>
          <w:p>
            <w:pPr>
              <w:pStyle w:val="TableParagraph"/>
              <w:spacing w:line="231" w:lineRule="exact"/>
              <w:ind w:left="47"/>
              <w:rPr>
                <w:rFonts w:ascii="Verdana"/>
                <w:sz w:val="24"/>
              </w:rPr>
            </w:pPr>
            <w:r>
              <w:rPr>
                <w:rFonts w:ascii="Verdana"/>
                <w:sz w:val="24"/>
              </w:rPr>
              <w:t>Progress</w:t>
            </w:r>
            <w:r>
              <w:rPr>
                <w:rFonts w:ascii="Verdana"/>
                <w:spacing w:val="-6"/>
                <w:sz w:val="24"/>
              </w:rPr>
              <w:t> </w:t>
            </w:r>
            <w:r>
              <w:rPr>
                <w:rFonts w:ascii="Verdana"/>
                <w:sz w:val="24"/>
              </w:rPr>
              <w:t>report</w:t>
            </w:r>
            <w:r>
              <w:rPr>
                <w:rFonts w:ascii="Verdana"/>
                <w:spacing w:val="-3"/>
                <w:sz w:val="24"/>
              </w:rPr>
              <w:t> </w:t>
            </w:r>
            <w:r>
              <w:rPr>
                <w:rFonts w:ascii="Verdana"/>
                <w:sz w:val="24"/>
              </w:rPr>
              <w:t>on</w:t>
            </w:r>
            <w:r>
              <w:rPr>
                <w:rFonts w:ascii="Verdana"/>
                <w:spacing w:val="-4"/>
                <w:sz w:val="24"/>
              </w:rPr>
              <w:t> </w:t>
            </w:r>
            <w:r>
              <w:rPr>
                <w:rFonts w:ascii="Verdana"/>
                <w:sz w:val="24"/>
              </w:rPr>
              <w:t>preparatory</w:t>
            </w:r>
            <w:r>
              <w:rPr>
                <w:rFonts w:ascii="Verdana"/>
                <w:spacing w:val="-2"/>
                <w:sz w:val="24"/>
              </w:rPr>
              <w:t> </w:t>
            </w:r>
            <w:r>
              <w:rPr>
                <w:rFonts w:ascii="Verdana"/>
                <w:sz w:val="24"/>
              </w:rPr>
              <w:t>work</w:t>
            </w:r>
            <w:r>
              <w:rPr>
                <w:rFonts w:ascii="Verdana"/>
                <w:spacing w:val="-3"/>
                <w:sz w:val="24"/>
              </w:rPr>
              <w:t> </w:t>
            </w:r>
            <w:r>
              <w:rPr>
                <w:rFonts w:ascii="Verdana"/>
                <w:sz w:val="24"/>
              </w:rPr>
              <w:t>towards</w:t>
            </w:r>
            <w:r>
              <w:rPr>
                <w:rFonts w:ascii="Verdana"/>
                <w:spacing w:val="-3"/>
                <w:sz w:val="24"/>
              </w:rPr>
              <w:t> </w:t>
            </w:r>
            <w:r>
              <w:rPr>
                <w:rFonts w:ascii="Verdana"/>
                <w:sz w:val="24"/>
              </w:rPr>
              <w:t>WHO</w:t>
            </w:r>
            <w:r>
              <w:rPr>
                <w:rFonts w:ascii="Verdana"/>
                <w:spacing w:val="-2"/>
                <w:sz w:val="24"/>
              </w:rPr>
              <w:t> </w:t>
            </w:r>
            <w:r>
              <w:rPr>
                <w:rFonts w:ascii="Verdana"/>
                <w:sz w:val="24"/>
              </w:rPr>
              <w:t>Sub-</w:t>
            </w:r>
            <w:r>
              <w:rPr>
                <w:rFonts w:ascii="Verdana"/>
                <w:spacing w:val="-2"/>
                <w:sz w:val="24"/>
              </w:rPr>
              <w:t>Regional</w:t>
            </w:r>
          </w:p>
          <w:p>
            <w:pPr>
              <w:pStyle w:val="TableParagraph"/>
              <w:spacing w:line="310" w:lineRule="atLeast"/>
              <w:ind w:left="47"/>
              <w:rPr>
                <w:rFonts w:ascii="Verdana"/>
                <w:sz w:val="24"/>
              </w:rPr>
            </w:pPr>
            <w:r>
              <w:rPr>
                <w:rFonts w:ascii="Verdana"/>
                <w:sz w:val="24"/>
              </w:rPr>
              <w:t>Health</w:t>
            </w:r>
            <w:r>
              <w:rPr>
                <w:rFonts w:ascii="Verdana"/>
                <w:spacing w:val="-11"/>
                <w:sz w:val="24"/>
              </w:rPr>
              <w:t> </w:t>
            </w:r>
            <w:r>
              <w:rPr>
                <w:rFonts w:ascii="Verdana"/>
                <w:sz w:val="24"/>
              </w:rPr>
              <w:t>Network</w:t>
            </w:r>
            <w:r>
              <w:rPr>
                <w:rFonts w:ascii="Verdana"/>
                <w:spacing w:val="-10"/>
                <w:sz w:val="24"/>
              </w:rPr>
              <w:t> </w:t>
            </w:r>
            <w:r>
              <w:rPr>
                <w:rFonts w:ascii="Verdana"/>
                <w:sz w:val="24"/>
              </w:rPr>
              <w:t>participation</w:t>
            </w:r>
            <w:r>
              <w:rPr>
                <w:rFonts w:ascii="Verdana"/>
                <w:spacing w:val="-11"/>
                <w:sz w:val="24"/>
              </w:rPr>
              <w:t> </w:t>
            </w:r>
            <w:r>
              <w:rPr>
                <w:rFonts w:ascii="Verdana"/>
                <w:sz w:val="24"/>
              </w:rPr>
              <w:t>and</w:t>
            </w:r>
            <w:r>
              <w:rPr>
                <w:rFonts w:ascii="Verdana"/>
                <w:spacing w:val="-11"/>
                <w:sz w:val="24"/>
              </w:rPr>
              <w:t> </w:t>
            </w:r>
            <w:r>
              <w:rPr>
                <w:rFonts w:ascii="Verdana"/>
                <w:sz w:val="24"/>
              </w:rPr>
              <w:t>associated</w:t>
            </w:r>
            <w:r>
              <w:rPr>
                <w:rFonts w:ascii="Verdana"/>
                <w:spacing w:val="-11"/>
                <w:sz w:val="24"/>
              </w:rPr>
              <w:t> </w:t>
            </w:r>
            <w:r>
              <w:rPr>
                <w:rFonts w:ascii="Verdana"/>
                <w:sz w:val="24"/>
              </w:rPr>
              <w:t>learning</w:t>
            </w:r>
            <w:r>
              <w:rPr>
                <w:rFonts w:ascii="Verdana"/>
                <w:spacing w:val="-11"/>
                <w:sz w:val="24"/>
              </w:rPr>
              <w:t> </w:t>
            </w:r>
            <w:r>
              <w:rPr>
                <w:rFonts w:ascii="Verdana"/>
                <w:sz w:val="24"/>
              </w:rPr>
              <w:t>opportunities (for assurance and endrosement)</w:t>
            </w:r>
          </w:p>
        </w:tc>
      </w:tr>
      <w:tr>
        <w:trPr>
          <w:trHeight w:val="821" w:hRule="atLeast"/>
        </w:trPr>
        <w:tc>
          <w:tcPr>
            <w:tcW w:w="8397" w:type="dxa"/>
          </w:tcPr>
          <w:p>
            <w:pPr>
              <w:pStyle w:val="TableParagraph"/>
              <w:spacing w:line="254" w:lineRule="auto" w:before="93"/>
              <w:ind w:left="47"/>
              <w:rPr>
                <w:rFonts w:ascii="Verdana"/>
                <w:sz w:val="24"/>
              </w:rPr>
            </w:pPr>
            <w:r>
              <w:rPr>
                <w:rFonts w:ascii="Verdana"/>
                <w:sz w:val="24"/>
              </w:rPr>
              <w:t>RJC</w:t>
            </w:r>
            <w:r>
              <w:rPr>
                <w:rFonts w:ascii="Verdana"/>
                <w:spacing w:val="-7"/>
                <w:sz w:val="24"/>
              </w:rPr>
              <w:t> </w:t>
            </w:r>
            <w:r>
              <w:rPr>
                <w:rFonts w:ascii="Verdana"/>
                <w:sz w:val="24"/>
              </w:rPr>
              <w:t>approval</w:t>
            </w:r>
            <w:r>
              <w:rPr>
                <w:rFonts w:ascii="Verdana"/>
                <w:spacing w:val="-8"/>
                <w:sz w:val="24"/>
              </w:rPr>
              <w:t> </w:t>
            </w:r>
            <w:r>
              <w:rPr>
                <w:rFonts w:ascii="Verdana"/>
                <w:sz w:val="24"/>
              </w:rPr>
              <w:t>of</w:t>
            </w:r>
            <w:r>
              <w:rPr>
                <w:rFonts w:ascii="Verdana"/>
                <w:spacing w:val="-8"/>
                <w:sz w:val="24"/>
              </w:rPr>
              <w:t> </w:t>
            </w:r>
            <w:r>
              <w:rPr>
                <w:rFonts w:ascii="Verdana"/>
                <w:sz w:val="24"/>
              </w:rPr>
              <w:t>draft</w:t>
            </w:r>
            <w:r>
              <w:rPr>
                <w:rFonts w:ascii="Verdana"/>
                <w:spacing w:val="-8"/>
                <w:sz w:val="24"/>
              </w:rPr>
              <w:t> </w:t>
            </w:r>
            <w:r>
              <w:rPr>
                <w:rFonts w:ascii="Verdana"/>
                <w:sz w:val="24"/>
              </w:rPr>
              <w:t>long-term</w:t>
            </w:r>
            <w:r>
              <w:rPr>
                <w:rFonts w:ascii="Verdana"/>
                <w:spacing w:val="-7"/>
                <w:sz w:val="24"/>
              </w:rPr>
              <w:t> </w:t>
            </w:r>
            <w:r>
              <w:rPr>
                <w:rFonts w:ascii="Verdana"/>
                <w:sz w:val="24"/>
              </w:rPr>
              <w:t>Regional</w:t>
            </w:r>
            <w:r>
              <w:rPr>
                <w:rFonts w:ascii="Verdana"/>
                <w:spacing w:val="-8"/>
                <w:sz w:val="24"/>
              </w:rPr>
              <w:t> </w:t>
            </w:r>
            <w:r>
              <w:rPr>
                <w:rFonts w:ascii="Verdana"/>
                <w:sz w:val="24"/>
              </w:rPr>
              <w:t>Health</w:t>
            </w:r>
            <w:r>
              <w:rPr>
                <w:rFonts w:ascii="Verdana"/>
                <w:spacing w:val="-8"/>
                <w:sz w:val="24"/>
              </w:rPr>
              <w:t> </w:t>
            </w:r>
            <w:r>
              <w:rPr>
                <w:rFonts w:ascii="Verdana"/>
                <w:sz w:val="24"/>
              </w:rPr>
              <w:t>Economy</w:t>
            </w:r>
            <w:r>
              <w:rPr>
                <w:rFonts w:ascii="Verdana"/>
                <w:spacing w:val="-8"/>
                <w:sz w:val="24"/>
              </w:rPr>
              <w:t> </w:t>
            </w:r>
            <w:r>
              <w:rPr>
                <w:rFonts w:ascii="Verdana"/>
                <w:sz w:val="24"/>
              </w:rPr>
              <w:t>Strategic </w:t>
            </w:r>
            <w:r>
              <w:rPr>
                <w:rFonts w:ascii="Verdana"/>
                <w:spacing w:val="-2"/>
                <w:sz w:val="24"/>
              </w:rPr>
              <w:t>Plan.</w:t>
            </w:r>
          </w:p>
        </w:tc>
      </w:tr>
      <w:tr>
        <w:trPr>
          <w:trHeight w:val="851" w:hRule="atLeast"/>
        </w:trPr>
        <w:tc>
          <w:tcPr>
            <w:tcW w:w="8397" w:type="dxa"/>
          </w:tcPr>
          <w:p>
            <w:pPr>
              <w:pStyle w:val="TableParagraph"/>
              <w:spacing w:line="254" w:lineRule="auto" w:before="123"/>
              <w:ind w:left="47"/>
              <w:rPr>
                <w:rFonts w:ascii="Verdana"/>
                <w:sz w:val="24"/>
              </w:rPr>
            </w:pPr>
            <w:r>
              <w:rPr>
                <w:rFonts w:ascii="Verdana"/>
                <w:sz w:val="24"/>
              </w:rPr>
              <w:t>Translate</w:t>
            </w:r>
            <w:r>
              <w:rPr>
                <w:rFonts w:ascii="Verdana"/>
                <w:spacing w:val="-7"/>
                <w:sz w:val="24"/>
              </w:rPr>
              <w:t> </w:t>
            </w:r>
            <w:r>
              <w:rPr>
                <w:rFonts w:ascii="Verdana"/>
                <w:sz w:val="24"/>
              </w:rPr>
              <w:t>strategic</w:t>
            </w:r>
            <w:r>
              <w:rPr>
                <w:rFonts w:ascii="Verdana"/>
                <w:spacing w:val="-8"/>
                <w:sz w:val="24"/>
              </w:rPr>
              <w:t> </w:t>
            </w:r>
            <w:r>
              <w:rPr>
                <w:rFonts w:ascii="Verdana"/>
                <w:sz w:val="24"/>
              </w:rPr>
              <w:t>plan</w:t>
            </w:r>
            <w:r>
              <w:rPr>
                <w:rFonts w:ascii="Verdana"/>
                <w:spacing w:val="-8"/>
                <w:sz w:val="24"/>
              </w:rPr>
              <w:t> </w:t>
            </w:r>
            <w:r>
              <w:rPr>
                <w:rFonts w:ascii="Verdana"/>
                <w:sz w:val="24"/>
              </w:rPr>
              <w:t>into</w:t>
            </w:r>
            <w:r>
              <w:rPr>
                <w:rFonts w:ascii="Verdana"/>
                <w:spacing w:val="-7"/>
                <w:sz w:val="24"/>
              </w:rPr>
              <w:t> </w:t>
            </w:r>
            <w:r>
              <w:rPr>
                <w:rFonts w:ascii="Verdana"/>
                <w:sz w:val="24"/>
              </w:rPr>
              <w:t>delivery</w:t>
            </w:r>
            <w:r>
              <w:rPr>
                <w:rFonts w:ascii="Verdana"/>
                <w:spacing w:val="-8"/>
                <w:sz w:val="24"/>
              </w:rPr>
              <w:t> </w:t>
            </w:r>
            <w:r>
              <w:rPr>
                <w:rFonts w:ascii="Verdana"/>
                <w:sz w:val="24"/>
              </w:rPr>
              <w:t>plan,</w:t>
            </w:r>
            <w:r>
              <w:rPr>
                <w:rFonts w:ascii="Verdana"/>
                <w:spacing w:val="-8"/>
                <w:sz w:val="24"/>
              </w:rPr>
              <w:t> </w:t>
            </w:r>
            <w:r>
              <w:rPr>
                <w:rFonts w:ascii="Verdana"/>
                <w:sz w:val="24"/>
              </w:rPr>
              <w:t>benefits</w:t>
            </w:r>
            <w:r>
              <w:rPr>
                <w:rFonts w:ascii="Verdana"/>
                <w:spacing w:val="-8"/>
                <w:sz w:val="24"/>
              </w:rPr>
              <w:t> </w:t>
            </w:r>
            <w:r>
              <w:rPr>
                <w:rFonts w:ascii="Verdana"/>
                <w:sz w:val="24"/>
              </w:rPr>
              <w:t>framework</w:t>
            </w:r>
            <w:r>
              <w:rPr>
                <w:rFonts w:ascii="Verdana"/>
                <w:spacing w:val="-7"/>
                <w:sz w:val="24"/>
              </w:rPr>
              <w:t> </w:t>
            </w:r>
            <w:r>
              <w:rPr>
                <w:rFonts w:ascii="Verdana"/>
                <w:sz w:val="24"/>
              </w:rPr>
              <w:t>and annual review cycle.</w:t>
            </w:r>
          </w:p>
        </w:tc>
      </w:tr>
      <w:tr>
        <w:trPr>
          <w:trHeight w:val="851" w:hRule="atLeast"/>
        </w:trPr>
        <w:tc>
          <w:tcPr>
            <w:tcW w:w="8397" w:type="dxa"/>
          </w:tcPr>
          <w:p>
            <w:pPr>
              <w:pStyle w:val="TableParagraph"/>
              <w:spacing w:line="254" w:lineRule="auto" w:before="123"/>
              <w:ind w:left="47"/>
              <w:rPr>
                <w:rFonts w:ascii="Verdana"/>
                <w:sz w:val="24"/>
              </w:rPr>
            </w:pPr>
            <w:r>
              <w:rPr>
                <w:rFonts w:ascii="Verdana"/>
                <w:sz w:val="24"/>
              </w:rPr>
              <w:t>Explore</w:t>
            </w:r>
            <w:r>
              <w:rPr>
                <w:rFonts w:ascii="Verdana"/>
                <w:spacing w:val="-5"/>
                <w:sz w:val="24"/>
              </w:rPr>
              <w:t> </w:t>
            </w:r>
            <w:r>
              <w:rPr>
                <w:rFonts w:ascii="Verdana"/>
                <w:sz w:val="24"/>
              </w:rPr>
              <w:t>and</w:t>
            </w:r>
            <w:r>
              <w:rPr>
                <w:rFonts w:ascii="Verdana"/>
                <w:spacing w:val="-6"/>
                <w:sz w:val="24"/>
              </w:rPr>
              <w:t> </w:t>
            </w:r>
            <w:r>
              <w:rPr>
                <w:rFonts w:ascii="Verdana"/>
                <w:sz w:val="24"/>
              </w:rPr>
              <w:t>scope</w:t>
            </w:r>
            <w:r>
              <w:rPr>
                <w:rFonts w:ascii="Verdana"/>
                <w:spacing w:val="-5"/>
                <w:sz w:val="24"/>
              </w:rPr>
              <w:t> </w:t>
            </w:r>
            <w:r>
              <w:rPr>
                <w:rFonts w:ascii="Verdana"/>
                <w:sz w:val="24"/>
              </w:rPr>
              <w:t>WHO</w:t>
            </w:r>
            <w:r>
              <w:rPr>
                <w:rFonts w:ascii="Verdana"/>
                <w:spacing w:val="-5"/>
                <w:sz w:val="24"/>
              </w:rPr>
              <w:t> </w:t>
            </w:r>
            <w:r>
              <w:rPr>
                <w:rFonts w:ascii="Verdana"/>
                <w:sz w:val="24"/>
              </w:rPr>
              <w:t>Europe</w:t>
            </w:r>
            <w:r>
              <w:rPr>
                <w:rFonts w:ascii="Verdana"/>
                <w:spacing w:val="-5"/>
                <w:sz w:val="24"/>
              </w:rPr>
              <w:t> </w:t>
            </w:r>
            <w:r>
              <w:rPr>
                <w:rFonts w:ascii="Verdana"/>
                <w:sz w:val="24"/>
              </w:rPr>
              <w:t>Regions</w:t>
            </w:r>
            <w:r>
              <w:rPr>
                <w:rFonts w:ascii="Verdana"/>
                <w:spacing w:val="-6"/>
                <w:sz w:val="24"/>
              </w:rPr>
              <w:t> </w:t>
            </w:r>
            <w:r>
              <w:rPr>
                <w:rFonts w:ascii="Verdana"/>
                <w:sz w:val="24"/>
              </w:rPr>
              <w:t>for</w:t>
            </w:r>
            <w:r>
              <w:rPr>
                <w:rFonts w:ascii="Verdana"/>
                <w:spacing w:val="-5"/>
                <w:sz w:val="24"/>
              </w:rPr>
              <w:t> </w:t>
            </w:r>
            <w:r>
              <w:rPr>
                <w:rFonts w:ascii="Verdana"/>
                <w:sz w:val="24"/>
              </w:rPr>
              <w:t>Health</w:t>
            </w:r>
            <w:r>
              <w:rPr>
                <w:rFonts w:ascii="Verdana"/>
                <w:spacing w:val="-6"/>
                <w:sz w:val="24"/>
              </w:rPr>
              <w:t> </w:t>
            </w:r>
            <w:r>
              <w:rPr>
                <w:rFonts w:ascii="Verdana"/>
                <w:sz w:val="24"/>
              </w:rPr>
              <w:t>Network</w:t>
            </w:r>
            <w:r>
              <w:rPr>
                <w:rFonts w:ascii="Verdana"/>
                <w:spacing w:val="-5"/>
                <w:sz w:val="24"/>
              </w:rPr>
              <w:t> </w:t>
            </w:r>
            <w:r>
              <w:rPr>
                <w:rFonts w:ascii="Verdana"/>
                <w:sz w:val="24"/>
              </w:rPr>
              <w:t>in-person visit to Wales with RJC members</w:t>
            </w:r>
          </w:p>
        </w:tc>
      </w:tr>
      <w:tr>
        <w:trPr>
          <w:trHeight w:val="356" w:hRule="atLeast"/>
        </w:trPr>
        <w:tc>
          <w:tcPr>
            <w:tcW w:w="8397" w:type="dxa"/>
            <w:shd w:val="clear" w:color="auto" w:fill="C1EFC6"/>
          </w:tcPr>
          <w:p>
            <w:pPr>
              <w:pStyle w:val="TableParagraph"/>
              <w:spacing w:before="32"/>
              <w:ind w:left="52"/>
              <w:rPr>
                <w:rFonts w:ascii="Verdana"/>
                <w:b/>
                <w:sz w:val="24"/>
              </w:rPr>
            </w:pPr>
            <w:r>
              <w:rPr>
                <w:rFonts w:ascii="Verdana"/>
                <w:b/>
                <w:sz w:val="24"/>
              </w:rPr>
              <w:t>Clinical</w:t>
            </w:r>
            <w:r>
              <w:rPr>
                <w:rFonts w:ascii="Verdana"/>
                <w:b/>
                <w:spacing w:val="-6"/>
                <w:sz w:val="24"/>
              </w:rPr>
              <w:t> </w:t>
            </w:r>
            <w:r>
              <w:rPr>
                <w:rFonts w:ascii="Verdana"/>
                <w:b/>
                <w:sz w:val="24"/>
              </w:rPr>
              <w:t>Services</w:t>
            </w:r>
            <w:r>
              <w:rPr>
                <w:rFonts w:ascii="Verdana"/>
                <w:b/>
                <w:spacing w:val="-5"/>
                <w:sz w:val="24"/>
              </w:rPr>
              <w:t> </w:t>
            </w:r>
            <w:r>
              <w:rPr>
                <w:rFonts w:ascii="Verdana"/>
                <w:b/>
                <w:sz w:val="24"/>
              </w:rPr>
              <w:t>Planning</w:t>
            </w:r>
            <w:r>
              <w:rPr>
                <w:rFonts w:ascii="Verdana"/>
                <w:b/>
                <w:spacing w:val="-5"/>
                <w:sz w:val="24"/>
              </w:rPr>
              <w:t> </w:t>
            </w:r>
            <w:r>
              <w:rPr>
                <w:rFonts w:ascii="Verdana"/>
                <w:b/>
                <w:spacing w:val="-4"/>
                <w:sz w:val="24"/>
              </w:rPr>
              <w:t>Group</w:t>
            </w:r>
          </w:p>
        </w:tc>
      </w:tr>
      <w:tr>
        <w:trPr>
          <w:trHeight w:val="851" w:hRule="atLeast"/>
        </w:trPr>
        <w:tc>
          <w:tcPr>
            <w:tcW w:w="8397" w:type="dxa"/>
          </w:tcPr>
          <w:p>
            <w:pPr>
              <w:pStyle w:val="TableParagraph"/>
              <w:spacing w:line="254" w:lineRule="auto" w:before="123"/>
              <w:ind w:left="47" w:right="162"/>
              <w:rPr>
                <w:rFonts w:ascii="Verdana"/>
                <w:sz w:val="24"/>
              </w:rPr>
            </w:pPr>
            <w:r>
              <w:rPr>
                <w:rFonts w:ascii="Verdana"/>
                <w:sz w:val="24"/>
              </w:rPr>
              <w:t>Updated</w:t>
            </w:r>
            <w:r>
              <w:rPr>
                <w:rFonts w:ascii="Verdana"/>
                <w:spacing w:val="-7"/>
                <w:sz w:val="24"/>
              </w:rPr>
              <w:t> </w:t>
            </w:r>
            <w:r>
              <w:rPr>
                <w:rFonts w:ascii="Verdana"/>
                <w:sz w:val="24"/>
              </w:rPr>
              <w:t>Clinical</w:t>
            </w:r>
            <w:r>
              <w:rPr>
                <w:rFonts w:ascii="Verdana"/>
                <w:spacing w:val="-8"/>
                <w:sz w:val="24"/>
              </w:rPr>
              <w:t> </w:t>
            </w:r>
            <w:r>
              <w:rPr>
                <w:rFonts w:ascii="Verdana"/>
                <w:sz w:val="24"/>
              </w:rPr>
              <w:t>Services</w:t>
            </w:r>
            <w:r>
              <w:rPr>
                <w:rFonts w:ascii="Verdana"/>
                <w:spacing w:val="-6"/>
                <w:sz w:val="24"/>
              </w:rPr>
              <w:t> </w:t>
            </w:r>
            <w:r>
              <w:rPr>
                <w:rFonts w:ascii="Verdana"/>
                <w:sz w:val="24"/>
              </w:rPr>
              <w:t>Planning</w:t>
            </w:r>
            <w:r>
              <w:rPr>
                <w:rFonts w:ascii="Verdana"/>
                <w:spacing w:val="-7"/>
                <w:sz w:val="24"/>
              </w:rPr>
              <w:t> </w:t>
            </w:r>
            <w:r>
              <w:rPr>
                <w:rFonts w:ascii="Verdana"/>
                <w:sz w:val="24"/>
              </w:rPr>
              <w:t>Group</w:t>
            </w:r>
            <w:r>
              <w:rPr>
                <w:rFonts w:ascii="Verdana"/>
                <w:spacing w:val="-7"/>
                <w:sz w:val="24"/>
              </w:rPr>
              <w:t> </w:t>
            </w:r>
            <w:r>
              <w:rPr>
                <w:rFonts w:ascii="Verdana"/>
                <w:sz w:val="24"/>
              </w:rPr>
              <w:t>Terms</w:t>
            </w:r>
            <w:r>
              <w:rPr>
                <w:rFonts w:ascii="Verdana"/>
                <w:spacing w:val="-7"/>
                <w:sz w:val="24"/>
              </w:rPr>
              <w:t> </w:t>
            </w:r>
            <w:r>
              <w:rPr>
                <w:rFonts w:ascii="Verdana"/>
                <w:sz w:val="24"/>
              </w:rPr>
              <w:t>of</w:t>
            </w:r>
            <w:r>
              <w:rPr>
                <w:rFonts w:ascii="Verdana"/>
                <w:spacing w:val="-7"/>
                <w:sz w:val="24"/>
              </w:rPr>
              <w:t> </w:t>
            </w:r>
            <w:r>
              <w:rPr>
                <w:rFonts w:ascii="Verdana"/>
                <w:sz w:val="24"/>
              </w:rPr>
              <w:t>Reference agreed (for assurance and endrosement)</w:t>
            </w:r>
          </w:p>
        </w:tc>
      </w:tr>
      <w:tr>
        <w:trPr>
          <w:trHeight w:val="851" w:hRule="atLeast"/>
        </w:trPr>
        <w:tc>
          <w:tcPr>
            <w:tcW w:w="8397" w:type="dxa"/>
          </w:tcPr>
          <w:p>
            <w:pPr>
              <w:pStyle w:val="TableParagraph"/>
              <w:spacing w:line="261" w:lineRule="exact"/>
              <w:ind w:left="47"/>
              <w:rPr>
                <w:rFonts w:ascii="Verdana"/>
                <w:sz w:val="24"/>
              </w:rPr>
            </w:pPr>
            <w:r>
              <w:rPr>
                <w:rFonts w:ascii="Verdana"/>
                <w:sz w:val="24"/>
              </w:rPr>
              <w:t>Pathology</w:t>
            </w:r>
            <w:r>
              <w:rPr>
                <w:rFonts w:ascii="Verdana"/>
                <w:spacing w:val="-9"/>
                <w:sz w:val="24"/>
              </w:rPr>
              <w:t> </w:t>
            </w:r>
            <w:r>
              <w:rPr>
                <w:rFonts w:ascii="Verdana"/>
                <w:sz w:val="24"/>
              </w:rPr>
              <w:t>Update</w:t>
            </w:r>
            <w:r>
              <w:rPr>
                <w:rFonts w:ascii="Verdana"/>
                <w:spacing w:val="-6"/>
                <w:sz w:val="24"/>
              </w:rPr>
              <w:t> </w:t>
            </w:r>
            <w:r>
              <w:rPr>
                <w:rFonts w:ascii="Verdana"/>
                <w:sz w:val="24"/>
              </w:rPr>
              <w:t>-</w:t>
            </w:r>
            <w:r>
              <w:rPr>
                <w:rFonts w:ascii="Verdana"/>
                <w:spacing w:val="-8"/>
                <w:sz w:val="24"/>
              </w:rPr>
              <w:t> </w:t>
            </w:r>
            <w:r>
              <w:rPr>
                <w:rFonts w:ascii="Verdana"/>
                <w:sz w:val="24"/>
              </w:rPr>
              <w:t>capital</w:t>
            </w:r>
            <w:r>
              <w:rPr>
                <w:rFonts w:ascii="Verdana"/>
                <w:spacing w:val="-7"/>
                <w:sz w:val="24"/>
              </w:rPr>
              <w:t> </w:t>
            </w:r>
            <w:r>
              <w:rPr>
                <w:rFonts w:ascii="Verdana"/>
                <w:sz w:val="24"/>
              </w:rPr>
              <w:t>timeline,</w:t>
            </w:r>
            <w:r>
              <w:rPr>
                <w:rFonts w:ascii="Verdana"/>
                <w:spacing w:val="-7"/>
                <w:sz w:val="24"/>
              </w:rPr>
              <w:t> </w:t>
            </w:r>
            <w:r>
              <w:rPr>
                <w:rFonts w:ascii="Verdana"/>
                <w:sz w:val="24"/>
              </w:rPr>
              <w:t>financial</w:t>
            </w:r>
            <w:r>
              <w:rPr>
                <w:rFonts w:ascii="Verdana"/>
                <w:spacing w:val="-8"/>
                <w:sz w:val="24"/>
              </w:rPr>
              <w:t> </w:t>
            </w:r>
            <w:r>
              <w:rPr>
                <w:rFonts w:ascii="Verdana"/>
                <w:sz w:val="24"/>
              </w:rPr>
              <w:t>modelling</w:t>
            </w:r>
            <w:r>
              <w:rPr>
                <w:rFonts w:ascii="Verdana"/>
                <w:spacing w:val="-6"/>
                <w:sz w:val="24"/>
              </w:rPr>
              <w:t> </w:t>
            </w:r>
            <w:r>
              <w:rPr>
                <w:rFonts w:ascii="Verdana"/>
                <w:spacing w:val="-2"/>
                <w:sz w:val="24"/>
              </w:rPr>
              <w:t>options,</w:t>
            </w:r>
          </w:p>
          <w:p>
            <w:pPr>
              <w:pStyle w:val="TableParagraph"/>
              <w:spacing w:line="310" w:lineRule="atLeast"/>
              <w:ind w:left="47"/>
              <w:rPr>
                <w:rFonts w:ascii="Verdana"/>
                <w:sz w:val="24"/>
              </w:rPr>
            </w:pPr>
            <w:r>
              <w:rPr>
                <w:rFonts w:ascii="Verdana"/>
                <w:sz w:val="24"/>
              </w:rPr>
              <w:t>service</w:t>
            </w:r>
            <w:r>
              <w:rPr>
                <w:rFonts w:ascii="Verdana"/>
                <w:spacing w:val="-9"/>
                <w:sz w:val="24"/>
              </w:rPr>
              <w:t> </w:t>
            </w:r>
            <w:r>
              <w:rPr>
                <w:rFonts w:ascii="Verdana"/>
                <w:sz w:val="24"/>
              </w:rPr>
              <w:t>revenue</w:t>
            </w:r>
            <w:r>
              <w:rPr>
                <w:rFonts w:ascii="Verdana"/>
                <w:spacing w:val="-9"/>
                <w:sz w:val="24"/>
              </w:rPr>
              <w:t> </w:t>
            </w:r>
            <w:r>
              <w:rPr>
                <w:rFonts w:ascii="Verdana"/>
                <w:sz w:val="24"/>
              </w:rPr>
              <w:t>implications,</w:t>
            </w:r>
            <w:r>
              <w:rPr>
                <w:rFonts w:ascii="Verdana"/>
                <w:spacing w:val="-10"/>
                <w:sz w:val="24"/>
              </w:rPr>
              <w:t> </w:t>
            </w:r>
            <w:r>
              <w:rPr>
                <w:rFonts w:ascii="Verdana"/>
                <w:sz w:val="24"/>
              </w:rPr>
              <w:t>D&amp;C</w:t>
            </w:r>
            <w:r>
              <w:rPr>
                <w:rFonts w:ascii="Verdana"/>
                <w:spacing w:val="-9"/>
                <w:sz w:val="24"/>
              </w:rPr>
              <w:t> </w:t>
            </w:r>
            <w:r>
              <w:rPr>
                <w:rFonts w:ascii="Verdana"/>
                <w:sz w:val="24"/>
              </w:rPr>
              <w:t>baselining</w:t>
            </w:r>
            <w:r>
              <w:rPr>
                <w:rFonts w:ascii="Verdana"/>
                <w:spacing w:val="-10"/>
                <w:sz w:val="24"/>
              </w:rPr>
              <w:t> </w:t>
            </w:r>
            <w:r>
              <w:rPr>
                <w:rFonts w:ascii="Verdana"/>
                <w:sz w:val="24"/>
              </w:rPr>
              <w:t>activity</w:t>
            </w:r>
            <w:r>
              <w:rPr>
                <w:rFonts w:ascii="Verdana"/>
                <w:spacing w:val="-10"/>
                <w:sz w:val="24"/>
              </w:rPr>
              <w:t> </w:t>
            </w:r>
            <w:r>
              <w:rPr>
                <w:rFonts w:ascii="Verdana"/>
                <w:sz w:val="24"/>
              </w:rPr>
              <w:t>update (assurance and endorsement)</w:t>
            </w:r>
          </w:p>
        </w:tc>
      </w:tr>
      <w:tr>
        <w:trPr>
          <w:trHeight w:val="821" w:hRule="atLeast"/>
        </w:trPr>
        <w:tc>
          <w:tcPr>
            <w:tcW w:w="8397" w:type="dxa"/>
          </w:tcPr>
          <w:p>
            <w:pPr>
              <w:pStyle w:val="TableParagraph"/>
              <w:spacing w:before="249"/>
              <w:ind w:left="47"/>
              <w:rPr>
                <w:rFonts w:ascii="Verdana"/>
                <w:sz w:val="24"/>
              </w:rPr>
            </w:pPr>
            <w:r>
              <w:rPr>
                <w:rFonts w:ascii="Verdana"/>
                <w:sz w:val="24"/>
              </w:rPr>
              <w:t>Renewed</w:t>
            </w:r>
            <w:r>
              <w:rPr>
                <w:rFonts w:ascii="Verdana"/>
                <w:spacing w:val="-5"/>
                <w:sz w:val="24"/>
              </w:rPr>
              <w:t> </w:t>
            </w:r>
            <w:r>
              <w:rPr>
                <w:rFonts w:ascii="Verdana"/>
                <w:sz w:val="24"/>
              </w:rPr>
              <w:t>Orthopaedic</w:t>
            </w:r>
            <w:r>
              <w:rPr>
                <w:rFonts w:ascii="Verdana"/>
                <w:spacing w:val="-3"/>
                <w:sz w:val="24"/>
              </w:rPr>
              <w:t> </w:t>
            </w:r>
            <w:r>
              <w:rPr>
                <w:rFonts w:ascii="Verdana"/>
                <w:sz w:val="24"/>
              </w:rPr>
              <w:t>Plans</w:t>
            </w:r>
            <w:r>
              <w:rPr>
                <w:rFonts w:ascii="Verdana"/>
                <w:spacing w:val="-3"/>
                <w:sz w:val="24"/>
              </w:rPr>
              <w:t> </w:t>
            </w:r>
            <w:r>
              <w:rPr>
                <w:rFonts w:ascii="Verdana"/>
                <w:sz w:val="24"/>
              </w:rPr>
              <w:t>(for</w:t>
            </w:r>
            <w:r>
              <w:rPr>
                <w:rFonts w:ascii="Verdana"/>
                <w:spacing w:val="-3"/>
                <w:sz w:val="24"/>
              </w:rPr>
              <w:t> </w:t>
            </w:r>
            <w:r>
              <w:rPr>
                <w:rFonts w:ascii="Verdana"/>
                <w:sz w:val="24"/>
              </w:rPr>
              <w:t>assurance</w:t>
            </w:r>
            <w:r>
              <w:rPr>
                <w:rFonts w:ascii="Verdana"/>
                <w:spacing w:val="-2"/>
                <w:sz w:val="24"/>
              </w:rPr>
              <w:t> </w:t>
            </w:r>
            <w:r>
              <w:rPr>
                <w:rFonts w:ascii="Verdana"/>
                <w:sz w:val="24"/>
              </w:rPr>
              <w:t>and</w:t>
            </w:r>
            <w:r>
              <w:rPr>
                <w:rFonts w:ascii="Verdana"/>
                <w:spacing w:val="-3"/>
                <w:sz w:val="24"/>
              </w:rPr>
              <w:t> </w:t>
            </w:r>
            <w:r>
              <w:rPr>
                <w:rFonts w:ascii="Verdana"/>
                <w:sz w:val="24"/>
              </w:rPr>
              <w:t>endrosement)</w:t>
            </w:r>
            <w:r>
              <w:rPr>
                <w:rFonts w:ascii="Verdana"/>
                <w:spacing w:val="-3"/>
                <w:sz w:val="24"/>
              </w:rPr>
              <w:t> </w:t>
            </w:r>
            <w:r>
              <w:rPr>
                <w:rFonts w:ascii="Verdana"/>
                <w:sz w:val="24"/>
              </w:rPr>
              <w:t>-</w:t>
            </w:r>
            <w:r>
              <w:rPr>
                <w:rFonts w:ascii="Verdana"/>
                <w:spacing w:val="-3"/>
                <w:sz w:val="24"/>
              </w:rPr>
              <w:t> </w:t>
            </w:r>
            <w:r>
              <w:rPr>
                <w:rFonts w:ascii="Verdana"/>
                <w:spacing w:val="-5"/>
                <w:sz w:val="24"/>
              </w:rPr>
              <w:t>PID</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Eye</w:t>
            </w:r>
            <w:r>
              <w:rPr>
                <w:rFonts w:ascii="Verdana"/>
                <w:spacing w:val="-4"/>
                <w:sz w:val="24"/>
              </w:rPr>
              <w:t> </w:t>
            </w:r>
            <w:r>
              <w:rPr>
                <w:rFonts w:ascii="Verdana"/>
                <w:sz w:val="24"/>
              </w:rPr>
              <w:t>Care</w:t>
            </w:r>
            <w:r>
              <w:rPr>
                <w:rFonts w:ascii="Verdana"/>
                <w:spacing w:val="-1"/>
                <w:sz w:val="24"/>
              </w:rPr>
              <w:t> </w:t>
            </w:r>
            <w:r>
              <w:rPr>
                <w:rFonts w:ascii="Verdana"/>
                <w:sz w:val="24"/>
              </w:rPr>
              <w:t>Plans</w:t>
            </w:r>
            <w:r>
              <w:rPr>
                <w:rFonts w:ascii="Verdana"/>
                <w:spacing w:val="-2"/>
                <w:sz w:val="24"/>
              </w:rPr>
              <w:t> </w:t>
            </w:r>
            <w:r>
              <w:rPr>
                <w:rFonts w:ascii="Verdana"/>
                <w:sz w:val="24"/>
              </w:rPr>
              <w:t>(for</w:t>
            </w:r>
            <w:r>
              <w:rPr>
                <w:rFonts w:ascii="Verdana"/>
                <w:spacing w:val="-2"/>
                <w:sz w:val="24"/>
              </w:rPr>
              <w:t> </w:t>
            </w:r>
            <w:r>
              <w:rPr>
                <w:rFonts w:ascii="Verdana"/>
                <w:sz w:val="24"/>
              </w:rPr>
              <w:t>assurance</w:t>
            </w:r>
            <w:r>
              <w:rPr>
                <w:rFonts w:ascii="Verdana"/>
                <w:spacing w:val="-2"/>
                <w:sz w:val="24"/>
              </w:rPr>
              <w:t> </w:t>
            </w:r>
            <w:r>
              <w:rPr>
                <w:rFonts w:ascii="Verdana"/>
                <w:sz w:val="24"/>
              </w:rPr>
              <w:t>and</w:t>
            </w:r>
            <w:r>
              <w:rPr>
                <w:rFonts w:ascii="Verdana"/>
                <w:spacing w:val="-2"/>
                <w:sz w:val="24"/>
              </w:rPr>
              <w:t> </w:t>
            </w:r>
            <w:r>
              <w:rPr>
                <w:rFonts w:ascii="Verdana"/>
                <w:sz w:val="24"/>
              </w:rPr>
              <w:t>endrosement)</w:t>
            </w:r>
            <w:r>
              <w:rPr>
                <w:rFonts w:ascii="Verdana"/>
                <w:spacing w:val="-3"/>
                <w:sz w:val="24"/>
              </w:rPr>
              <w:t> </w:t>
            </w:r>
            <w:r>
              <w:rPr>
                <w:rFonts w:ascii="Verdana"/>
                <w:sz w:val="24"/>
              </w:rPr>
              <w:t>-</w:t>
            </w:r>
            <w:r>
              <w:rPr>
                <w:rFonts w:ascii="Verdana"/>
                <w:spacing w:val="-3"/>
                <w:sz w:val="24"/>
              </w:rPr>
              <w:t> </w:t>
            </w:r>
            <w:r>
              <w:rPr>
                <w:rFonts w:ascii="Verdana"/>
                <w:spacing w:val="-5"/>
                <w:sz w:val="24"/>
              </w:rPr>
              <w:t>PID</w:t>
            </w:r>
          </w:p>
        </w:tc>
      </w:tr>
    </w:tbl>
    <w:p>
      <w:pPr>
        <w:pStyle w:val="TableParagraph"/>
        <w:spacing w:after="0"/>
        <w:rPr>
          <w:rFonts w:ascii="Verdana"/>
          <w:sz w:val="24"/>
        </w:rPr>
        <w:sectPr>
          <w:footerReference w:type="default" r:id="rId114"/>
          <w:pgSz w:w="11910" w:h="16840"/>
          <w:pgMar w:header="0" w:footer="69" w:top="1040" w:bottom="1432"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397"/>
      </w:tblGrid>
      <w:tr>
        <w:trPr>
          <w:trHeight w:val="851" w:hRule="atLeast"/>
        </w:trPr>
        <w:tc>
          <w:tcPr>
            <w:tcW w:w="8397" w:type="dxa"/>
          </w:tcPr>
          <w:p>
            <w:pPr>
              <w:pStyle w:val="TableParagraph"/>
              <w:spacing w:line="254" w:lineRule="auto" w:before="123"/>
              <w:ind w:left="47"/>
              <w:rPr>
                <w:rFonts w:ascii="Verdana"/>
                <w:sz w:val="24"/>
              </w:rPr>
            </w:pPr>
            <w:r>
              <w:rPr>
                <w:rFonts w:ascii="Verdana"/>
                <w:sz w:val="24"/>
              </w:rPr>
              <w:t>Regional</w:t>
            </w:r>
            <w:r>
              <w:rPr>
                <w:rFonts w:ascii="Verdana"/>
                <w:spacing w:val="-8"/>
                <w:sz w:val="24"/>
              </w:rPr>
              <w:t> </w:t>
            </w:r>
            <w:r>
              <w:rPr>
                <w:rFonts w:ascii="Verdana"/>
                <w:sz w:val="24"/>
              </w:rPr>
              <w:t>Stroke</w:t>
            </w:r>
            <w:r>
              <w:rPr>
                <w:rFonts w:ascii="Verdana"/>
                <w:spacing w:val="-6"/>
                <w:sz w:val="24"/>
              </w:rPr>
              <w:t> </w:t>
            </w:r>
            <w:r>
              <w:rPr>
                <w:rFonts w:ascii="Verdana"/>
                <w:sz w:val="24"/>
              </w:rPr>
              <w:t>Plans</w:t>
            </w:r>
            <w:r>
              <w:rPr>
                <w:rFonts w:ascii="Verdana"/>
                <w:spacing w:val="-7"/>
                <w:sz w:val="24"/>
              </w:rPr>
              <w:t> </w:t>
            </w:r>
            <w:r>
              <w:rPr>
                <w:rFonts w:ascii="Verdana"/>
                <w:sz w:val="24"/>
              </w:rPr>
              <w:t>-</w:t>
            </w:r>
            <w:r>
              <w:rPr>
                <w:rFonts w:ascii="Verdana"/>
                <w:spacing w:val="-7"/>
                <w:sz w:val="24"/>
              </w:rPr>
              <w:t> </w:t>
            </w:r>
            <w:r>
              <w:rPr>
                <w:rFonts w:ascii="Verdana"/>
                <w:sz w:val="24"/>
              </w:rPr>
              <w:t>Conslutant</w:t>
            </w:r>
            <w:r>
              <w:rPr>
                <w:rFonts w:ascii="Verdana"/>
                <w:spacing w:val="-7"/>
                <w:sz w:val="24"/>
              </w:rPr>
              <w:t> </w:t>
            </w:r>
            <w:r>
              <w:rPr>
                <w:rFonts w:ascii="Verdana"/>
                <w:sz w:val="24"/>
              </w:rPr>
              <w:t>Rota</w:t>
            </w:r>
            <w:r>
              <w:rPr>
                <w:rFonts w:ascii="Verdana"/>
                <w:spacing w:val="-6"/>
                <w:sz w:val="24"/>
              </w:rPr>
              <w:t> </w:t>
            </w:r>
            <w:r>
              <w:rPr>
                <w:rFonts w:ascii="Verdana"/>
                <w:sz w:val="24"/>
              </w:rPr>
              <w:t>(for</w:t>
            </w:r>
            <w:r>
              <w:rPr>
                <w:rFonts w:ascii="Verdana"/>
                <w:spacing w:val="-6"/>
                <w:sz w:val="24"/>
              </w:rPr>
              <w:t> </w:t>
            </w:r>
            <w:r>
              <w:rPr>
                <w:rFonts w:ascii="Verdana"/>
                <w:sz w:val="24"/>
              </w:rPr>
              <w:t>assurance</w:t>
            </w:r>
            <w:r>
              <w:rPr>
                <w:rFonts w:ascii="Verdana"/>
                <w:spacing w:val="-6"/>
                <w:sz w:val="24"/>
              </w:rPr>
              <w:t> </w:t>
            </w:r>
            <w:r>
              <w:rPr>
                <w:rFonts w:ascii="Verdana"/>
                <w:sz w:val="24"/>
              </w:rPr>
              <w:t>and endrosement) - PID</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SWW</w:t>
            </w:r>
            <w:r>
              <w:rPr>
                <w:rFonts w:ascii="Verdana"/>
                <w:spacing w:val="-3"/>
                <w:sz w:val="24"/>
              </w:rPr>
              <w:t> </w:t>
            </w:r>
            <w:r>
              <w:rPr>
                <w:rFonts w:ascii="Verdana"/>
                <w:sz w:val="24"/>
              </w:rPr>
              <w:t>Cancer</w:t>
            </w:r>
            <w:r>
              <w:rPr>
                <w:rFonts w:ascii="Verdana"/>
                <w:spacing w:val="-2"/>
                <w:sz w:val="24"/>
              </w:rPr>
              <w:t> </w:t>
            </w:r>
            <w:r>
              <w:rPr>
                <w:rFonts w:ascii="Verdana"/>
                <w:sz w:val="24"/>
              </w:rPr>
              <w:t>Centre</w:t>
            </w:r>
            <w:r>
              <w:rPr>
                <w:rFonts w:ascii="Verdana"/>
                <w:spacing w:val="-2"/>
                <w:sz w:val="24"/>
              </w:rPr>
              <w:t> </w:t>
            </w:r>
            <w:r>
              <w:rPr>
                <w:rFonts w:ascii="Verdana"/>
                <w:sz w:val="24"/>
              </w:rPr>
              <w:t>Update</w:t>
            </w:r>
            <w:r>
              <w:rPr>
                <w:rFonts w:ascii="Verdana"/>
                <w:spacing w:val="-2"/>
                <w:sz w:val="24"/>
              </w:rPr>
              <w:t> </w:t>
            </w:r>
            <w:r>
              <w:rPr>
                <w:rFonts w:ascii="Verdana"/>
                <w:sz w:val="24"/>
              </w:rPr>
              <w:t>(6/7</w:t>
            </w:r>
            <w:r>
              <w:rPr>
                <w:rFonts w:ascii="Verdana"/>
                <w:spacing w:val="-2"/>
                <w:sz w:val="24"/>
              </w:rPr>
              <w:t> Bunker)</w:t>
            </w:r>
          </w:p>
        </w:tc>
      </w:tr>
      <w:tr>
        <w:trPr>
          <w:trHeight w:val="851" w:hRule="atLeast"/>
        </w:trPr>
        <w:tc>
          <w:tcPr>
            <w:tcW w:w="8397" w:type="dxa"/>
          </w:tcPr>
          <w:p>
            <w:pPr>
              <w:pStyle w:val="TableParagraph"/>
              <w:spacing w:line="254" w:lineRule="auto" w:before="123"/>
              <w:ind w:left="47"/>
              <w:rPr>
                <w:rFonts w:ascii="Verdana"/>
                <w:sz w:val="24"/>
              </w:rPr>
            </w:pPr>
            <w:r>
              <w:rPr>
                <w:rFonts w:ascii="Verdana"/>
                <w:sz w:val="24"/>
              </w:rPr>
              <w:t>Orthopaedics:</w:t>
            </w:r>
            <w:r>
              <w:rPr>
                <w:rFonts w:ascii="Verdana"/>
                <w:spacing w:val="-10"/>
                <w:sz w:val="24"/>
              </w:rPr>
              <w:t> </w:t>
            </w:r>
            <w:r>
              <w:rPr>
                <w:rFonts w:ascii="Verdana"/>
                <w:sz w:val="24"/>
              </w:rPr>
              <w:t>develop</w:t>
            </w:r>
            <w:r>
              <w:rPr>
                <w:rFonts w:ascii="Verdana"/>
                <w:spacing w:val="-9"/>
                <w:sz w:val="24"/>
              </w:rPr>
              <w:t> </w:t>
            </w:r>
            <w:r>
              <w:rPr>
                <w:rFonts w:ascii="Verdana"/>
                <w:sz w:val="24"/>
              </w:rPr>
              <w:t>strategic</w:t>
            </w:r>
            <w:r>
              <w:rPr>
                <w:rFonts w:ascii="Verdana"/>
                <w:spacing w:val="-9"/>
                <w:sz w:val="24"/>
              </w:rPr>
              <w:t> </w:t>
            </w:r>
            <w:r>
              <w:rPr>
                <w:rFonts w:ascii="Verdana"/>
                <w:sz w:val="24"/>
              </w:rPr>
              <w:t>regional</w:t>
            </w:r>
            <w:r>
              <w:rPr>
                <w:rFonts w:ascii="Verdana"/>
                <w:spacing w:val="-10"/>
                <w:sz w:val="24"/>
              </w:rPr>
              <w:t> </w:t>
            </w:r>
            <w:r>
              <w:rPr>
                <w:rFonts w:ascii="Verdana"/>
                <w:sz w:val="24"/>
              </w:rPr>
              <w:t>solution</w:t>
            </w:r>
            <w:r>
              <w:rPr>
                <w:rFonts w:ascii="Verdana"/>
                <w:spacing w:val="-9"/>
                <w:sz w:val="24"/>
              </w:rPr>
              <w:t> </w:t>
            </w:r>
            <w:r>
              <w:rPr>
                <w:rFonts w:ascii="Verdana"/>
                <w:sz w:val="24"/>
              </w:rPr>
              <w:t>supporting</w:t>
            </w:r>
            <w:r>
              <w:rPr>
                <w:rFonts w:ascii="Verdana"/>
                <w:spacing w:val="-9"/>
                <w:sz w:val="24"/>
              </w:rPr>
              <w:t> </w:t>
            </w:r>
            <w:r>
              <w:rPr>
                <w:rFonts w:ascii="Verdana"/>
                <w:sz w:val="24"/>
              </w:rPr>
              <w:t>36-week waits by 2030 and Regional Surgical Hub response</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Regional</w:t>
            </w:r>
            <w:r>
              <w:rPr>
                <w:rFonts w:ascii="Verdana"/>
                <w:spacing w:val="-4"/>
                <w:sz w:val="24"/>
              </w:rPr>
              <w:t> </w:t>
            </w:r>
            <w:r>
              <w:rPr>
                <w:rFonts w:ascii="Verdana"/>
                <w:sz w:val="24"/>
              </w:rPr>
              <w:t>Cancer</w:t>
            </w:r>
            <w:r>
              <w:rPr>
                <w:rFonts w:ascii="Verdana"/>
                <w:spacing w:val="-2"/>
                <w:sz w:val="24"/>
              </w:rPr>
              <w:t> </w:t>
            </w:r>
            <w:r>
              <w:rPr>
                <w:rFonts w:ascii="Verdana"/>
                <w:sz w:val="24"/>
              </w:rPr>
              <w:t>Services</w:t>
            </w:r>
            <w:r>
              <w:rPr>
                <w:rFonts w:ascii="Verdana"/>
                <w:spacing w:val="-1"/>
                <w:sz w:val="24"/>
              </w:rPr>
              <w:t> </w:t>
            </w:r>
            <w:r>
              <w:rPr>
                <w:rFonts w:ascii="Verdana"/>
                <w:sz w:val="24"/>
              </w:rPr>
              <w:t>Proposal</w:t>
            </w:r>
            <w:r>
              <w:rPr>
                <w:rFonts w:ascii="Verdana"/>
                <w:spacing w:val="-4"/>
                <w:sz w:val="24"/>
              </w:rPr>
              <w:t> </w:t>
            </w:r>
            <w:r>
              <w:rPr>
                <w:rFonts w:ascii="Verdana"/>
                <w:sz w:val="24"/>
              </w:rPr>
              <w:t>for</w:t>
            </w:r>
            <w:r>
              <w:rPr>
                <w:rFonts w:ascii="Verdana"/>
                <w:spacing w:val="-1"/>
                <w:sz w:val="24"/>
              </w:rPr>
              <w:t> </w:t>
            </w:r>
            <w:r>
              <w:rPr>
                <w:rFonts w:ascii="Verdana"/>
                <w:spacing w:val="-2"/>
                <w:sz w:val="24"/>
              </w:rPr>
              <w:t>dicsussion</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Regional</w:t>
            </w:r>
            <w:r>
              <w:rPr>
                <w:rFonts w:ascii="Verdana"/>
                <w:spacing w:val="-7"/>
                <w:sz w:val="24"/>
              </w:rPr>
              <w:t> </w:t>
            </w:r>
            <w:r>
              <w:rPr>
                <w:rFonts w:ascii="Verdana"/>
                <w:sz w:val="24"/>
              </w:rPr>
              <w:t>Cancer</w:t>
            </w:r>
            <w:r>
              <w:rPr>
                <w:rFonts w:ascii="Verdana"/>
                <w:spacing w:val="-3"/>
                <w:sz w:val="24"/>
              </w:rPr>
              <w:t> </w:t>
            </w:r>
            <w:r>
              <w:rPr>
                <w:rFonts w:ascii="Verdana"/>
                <w:sz w:val="24"/>
              </w:rPr>
              <w:t>Services</w:t>
            </w:r>
            <w:r>
              <w:rPr>
                <w:rFonts w:ascii="Verdana"/>
                <w:spacing w:val="-2"/>
                <w:sz w:val="24"/>
              </w:rPr>
              <w:t> </w:t>
            </w:r>
            <w:r>
              <w:rPr>
                <w:rFonts w:ascii="Verdana"/>
                <w:sz w:val="24"/>
              </w:rPr>
              <w:t>Proposal</w:t>
            </w:r>
            <w:r>
              <w:rPr>
                <w:rFonts w:ascii="Verdana"/>
                <w:spacing w:val="-5"/>
                <w:sz w:val="24"/>
              </w:rPr>
              <w:t> </w:t>
            </w:r>
            <w:r>
              <w:rPr>
                <w:rFonts w:ascii="Verdana"/>
                <w:sz w:val="24"/>
              </w:rPr>
              <w:t>update</w:t>
            </w:r>
            <w:r>
              <w:rPr>
                <w:rFonts w:ascii="Verdana"/>
                <w:spacing w:val="-2"/>
                <w:sz w:val="24"/>
              </w:rPr>
              <w:t> </w:t>
            </w:r>
            <w:r>
              <w:rPr>
                <w:rFonts w:ascii="Verdana"/>
                <w:sz w:val="24"/>
              </w:rPr>
              <w:t>and</w:t>
            </w:r>
            <w:r>
              <w:rPr>
                <w:rFonts w:ascii="Verdana"/>
                <w:spacing w:val="-4"/>
                <w:sz w:val="24"/>
              </w:rPr>
              <w:t> </w:t>
            </w:r>
            <w:r>
              <w:rPr>
                <w:rFonts w:ascii="Verdana"/>
                <w:sz w:val="24"/>
              </w:rPr>
              <w:t>sense</w:t>
            </w:r>
            <w:r>
              <w:rPr>
                <w:rFonts w:ascii="Verdana"/>
                <w:spacing w:val="-2"/>
                <w:sz w:val="24"/>
              </w:rPr>
              <w:t> check</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Regional</w:t>
            </w:r>
            <w:r>
              <w:rPr>
                <w:rFonts w:ascii="Verdana"/>
                <w:spacing w:val="-6"/>
                <w:sz w:val="24"/>
              </w:rPr>
              <w:t> </w:t>
            </w:r>
            <w:r>
              <w:rPr>
                <w:rFonts w:ascii="Verdana"/>
                <w:sz w:val="24"/>
              </w:rPr>
              <w:t>Cancer</w:t>
            </w:r>
            <w:r>
              <w:rPr>
                <w:rFonts w:ascii="Verdana"/>
                <w:spacing w:val="-2"/>
                <w:sz w:val="24"/>
              </w:rPr>
              <w:t> </w:t>
            </w:r>
            <w:r>
              <w:rPr>
                <w:rFonts w:ascii="Verdana"/>
                <w:sz w:val="24"/>
              </w:rPr>
              <w:t>Services</w:t>
            </w:r>
            <w:r>
              <w:rPr>
                <w:rFonts w:ascii="Verdana"/>
                <w:spacing w:val="-1"/>
                <w:sz w:val="24"/>
              </w:rPr>
              <w:t> </w:t>
            </w:r>
            <w:r>
              <w:rPr>
                <w:rFonts w:ascii="Verdana"/>
                <w:sz w:val="24"/>
              </w:rPr>
              <w:t>Proposal</w:t>
            </w:r>
            <w:r>
              <w:rPr>
                <w:rFonts w:ascii="Verdana"/>
                <w:spacing w:val="-4"/>
                <w:sz w:val="24"/>
              </w:rPr>
              <w:t> </w:t>
            </w:r>
            <w:r>
              <w:rPr>
                <w:rFonts w:ascii="Verdana"/>
                <w:sz w:val="24"/>
              </w:rPr>
              <w:t>for</w:t>
            </w:r>
            <w:r>
              <w:rPr>
                <w:rFonts w:ascii="Verdana"/>
                <w:spacing w:val="-1"/>
                <w:sz w:val="24"/>
              </w:rPr>
              <w:t> </w:t>
            </w:r>
            <w:r>
              <w:rPr>
                <w:rFonts w:ascii="Verdana"/>
                <w:spacing w:val="-2"/>
                <w:sz w:val="24"/>
              </w:rPr>
              <w:t>endorsement</w:t>
            </w:r>
          </w:p>
        </w:tc>
      </w:tr>
      <w:tr>
        <w:trPr>
          <w:trHeight w:val="851" w:hRule="atLeast"/>
        </w:trPr>
        <w:tc>
          <w:tcPr>
            <w:tcW w:w="8397" w:type="dxa"/>
          </w:tcPr>
          <w:p>
            <w:pPr>
              <w:pStyle w:val="TableParagraph"/>
              <w:spacing w:line="254" w:lineRule="auto" w:before="123"/>
              <w:ind w:left="47"/>
              <w:rPr>
                <w:rFonts w:ascii="Verdana"/>
                <w:sz w:val="24"/>
              </w:rPr>
            </w:pPr>
            <w:r>
              <w:rPr>
                <w:rFonts w:ascii="Verdana"/>
                <w:sz w:val="24"/>
              </w:rPr>
              <w:t>Cellular</w:t>
            </w:r>
            <w:r>
              <w:rPr>
                <w:rFonts w:ascii="Verdana"/>
                <w:spacing w:val="-7"/>
                <w:sz w:val="24"/>
              </w:rPr>
              <w:t> </w:t>
            </w:r>
            <w:r>
              <w:rPr>
                <w:rFonts w:ascii="Verdana"/>
                <w:sz w:val="24"/>
              </w:rPr>
              <w:t>Pathology:</w:t>
            </w:r>
            <w:r>
              <w:rPr>
                <w:rFonts w:ascii="Verdana"/>
                <w:spacing w:val="-8"/>
                <w:sz w:val="24"/>
              </w:rPr>
              <w:t> </w:t>
            </w:r>
            <w:r>
              <w:rPr>
                <w:rFonts w:ascii="Verdana"/>
                <w:sz w:val="24"/>
              </w:rPr>
              <w:t>submit</w:t>
            </w:r>
            <w:r>
              <w:rPr>
                <w:rFonts w:ascii="Verdana"/>
                <w:spacing w:val="-9"/>
                <w:sz w:val="24"/>
              </w:rPr>
              <w:t> </w:t>
            </w:r>
            <w:r>
              <w:rPr>
                <w:rFonts w:ascii="Verdana"/>
                <w:sz w:val="24"/>
              </w:rPr>
              <w:t>fully</w:t>
            </w:r>
            <w:r>
              <w:rPr>
                <w:rFonts w:ascii="Verdana"/>
                <w:spacing w:val="-8"/>
                <w:sz w:val="24"/>
              </w:rPr>
              <w:t> </w:t>
            </w:r>
            <w:r>
              <w:rPr>
                <w:rFonts w:ascii="Verdana"/>
                <w:sz w:val="24"/>
              </w:rPr>
              <w:t>tendered</w:t>
            </w:r>
            <w:r>
              <w:rPr>
                <w:rFonts w:ascii="Verdana"/>
                <w:spacing w:val="-8"/>
                <w:sz w:val="24"/>
              </w:rPr>
              <w:t> </w:t>
            </w:r>
            <w:r>
              <w:rPr>
                <w:rFonts w:ascii="Verdana"/>
                <w:sz w:val="24"/>
              </w:rPr>
              <w:t>business</w:t>
            </w:r>
            <w:r>
              <w:rPr>
                <w:rFonts w:ascii="Verdana"/>
                <w:spacing w:val="-8"/>
                <w:sz w:val="24"/>
              </w:rPr>
              <w:t> </w:t>
            </w:r>
            <w:r>
              <w:rPr>
                <w:rFonts w:ascii="Verdana"/>
                <w:sz w:val="24"/>
              </w:rPr>
              <w:t>case</w:t>
            </w:r>
            <w:r>
              <w:rPr>
                <w:rFonts w:ascii="Verdana"/>
                <w:spacing w:val="-7"/>
                <w:sz w:val="24"/>
              </w:rPr>
              <w:t> </w:t>
            </w:r>
            <w:r>
              <w:rPr>
                <w:rFonts w:ascii="Verdana"/>
                <w:sz w:val="24"/>
              </w:rPr>
              <w:t>to</w:t>
            </w:r>
            <w:r>
              <w:rPr>
                <w:rFonts w:ascii="Verdana"/>
                <w:spacing w:val="-7"/>
                <w:sz w:val="24"/>
              </w:rPr>
              <w:t> </w:t>
            </w:r>
            <w:r>
              <w:rPr>
                <w:rFonts w:ascii="Verdana"/>
                <w:sz w:val="24"/>
              </w:rPr>
              <w:t>Welsh </w:t>
            </w:r>
            <w:r>
              <w:rPr>
                <w:rFonts w:ascii="Verdana"/>
                <w:spacing w:val="-2"/>
                <w:sz w:val="24"/>
              </w:rPr>
              <w:t>Government</w:t>
            </w:r>
          </w:p>
        </w:tc>
      </w:tr>
      <w:tr>
        <w:trPr>
          <w:trHeight w:val="851" w:hRule="atLeast"/>
        </w:trPr>
        <w:tc>
          <w:tcPr>
            <w:tcW w:w="8397" w:type="dxa"/>
          </w:tcPr>
          <w:p>
            <w:pPr>
              <w:pStyle w:val="TableParagraph"/>
              <w:spacing w:line="261" w:lineRule="exact"/>
              <w:ind w:left="47"/>
              <w:rPr>
                <w:rFonts w:ascii="Verdana"/>
                <w:sz w:val="24"/>
              </w:rPr>
            </w:pPr>
            <w:r>
              <w:rPr>
                <w:rFonts w:ascii="Verdana"/>
                <w:sz w:val="24"/>
              </w:rPr>
              <w:t>South</w:t>
            </w:r>
            <w:r>
              <w:rPr>
                <w:rFonts w:ascii="Verdana"/>
                <w:spacing w:val="-7"/>
                <w:sz w:val="24"/>
              </w:rPr>
              <w:t> </w:t>
            </w:r>
            <w:r>
              <w:rPr>
                <w:rFonts w:ascii="Verdana"/>
                <w:sz w:val="24"/>
              </w:rPr>
              <w:t>West</w:t>
            </w:r>
            <w:r>
              <w:rPr>
                <w:rFonts w:ascii="Verdana"/>
                <w:spacing w:val="-5"/>
                <w:sz w:val="24"/>
              </w:rPr>
              <w:t> </w:t>
            </w:r>
            <w:r>
              <w:rPr>
                <w:rFonts w:ascii="Verdana"/>
                <w:sz w:val="24"/>
              </w:rPr>
              <w:t>Wales</w:t>
            </w:r>
            <w:r>
              <w:rPr>
                <w:rFonts w:ascii="Verdana"/>
                <w:spacing w:val="-4"/>
                <w:sz w:val="24"/>
              </w:rPr>
              <w:t> </w:t>
            </w:r>
            <w:r>
              <w:rPr>
                <w:rFonts w:ascii="Verdana"/>
                <w:sz w:val="24"/>
              </w:rPr>
              <w:t>Cancer</w:t>
            </w:r>
            <w:r>
              <w:rPr>
                <w:rFonts w:ascii="Verdana"/>
                <w:spacing w:val="-3"/>
                <w:sz w:val="24"/>
              </w:rPr>
              <w:t> </w:t>
            </w:r>
            <w:r>
              <w:rPr>
                <w:rFonts w:ascii="Verdana"/>
                <w:sz w:val="24"/>
              </w:rPr>
              <w:t>Centre:</w:t>
            </w:r>
            <w:r>
              <w:rPr>
                <w:rFonts w:ascii="Verdana"/>
                <w:spacing w:val="-4"/>
                <w:sz w:val="24"/>
              </w:rPr>
              <w:t> </w:t>
            </w:r>
            <w:r>
              <w:rPr>
                <w:rFonts w:ascii="Verdana"/>
                <w:sz w:val="24"/>
              </w:rPr>
              <w:t>deliver</w:t>
            </w:r>
            <w:r>
              <w:rPr>
                <w:rFonts w:ascii="Verdana"/>
                <w:spacing w:val="-2"/>
                <w:sz w:val="24"/>
              </w:rPr>
              <w:t> </w:t>
            </w:r>
            <w:r>
              <w:rPr>
                <w:rFonts w:ascii="Verdana"/>
                <w:sz w:val="24"/>
              </w:rPr>
              <w:t>radiotherapy</w:t>
            </w:r>
            <w:r>
              <w:rPr>
                <w:rFonts w:ascii="Verdana"/>
                <w:spacing w:val="-4"/>
                <w:sz w:val="24"/>
              </w:rPr>
              <w:t> </w:t>
            </w:r>
            <w:r>
              <w:rPr>
                <w:rFonts w:ascii="Verdana"/>
                <w:spacing w:val="-2"/>
                <w:sz w:val="24"/>
              </w:rPr>
              <w:t>capacity</w:t>
            </w:r>
          </w:p>
          <w:p>
            <w:pPr>
              <w:pStyle w:val="TableParagraph"/>
              <w:spacing w:line="310" w:lineRule="atLeast"/>
              <w:ind w:left="47"/>
              <w:rPr>
                <w:rFonts w:ascii="Verdana"/>
                <w:sz w:val="24"/>
              </w:rPr>
            </w:pPr>
            <w:r>
              <w:rPr>
                <w:rFonts w:ascii="Verdana"/>
                <w:sz w:val="24"/>
              </w:rPr>
              <w:t>pathway</w:t>
            </w:r>
            <w:r>
              <w:rPr>
                <w:rFonts w:ascii="Verdana"/>
                <w:spacing w:val="-8"/>
                <w:sz w:val="24"/>
              </w:rPr>
              <w:t> </w:t>
            </w:r>
            <w:r>
              <w:rPr>
                <w:rFonts w:ascii="Verdana"/>
                <w:sz w:val="24"/>
              </w:rPr>
              <w:t>including</w:t>
            </w:r>
            <w:r>
              <w:rPr>
                <w:rFonts w:ascii="Verdana"/>
                <w:spacing w:val="-8"/>
                <w:sz w:val="24"/>
              </w:rPr>
              <w:t> </w:t>
            </w:r>
            <w:r>
              <w:rPr>
                <w:rFonts w:ascii="Verdana"/>
                <w:sz w:val="24"/>
              </w:rPr>
              <w:t>5th</w:t>
            </w:r>
            <w:r>
              <w:rPr>
                <w:rFonts w:ascii="Verdana"/>
                <w:spacing w:val="-9"/>
                <w:sz w:val="24"/>
              </w:rPr>
              <w:t> </w:t>
            </w:r>
            <w:r>
              <w:rPr>
                <w:rFonts w:ascii="Verdana"/>
                <w:sz w:val="24"/>
              </w:rPr>
              <w:t>Linac,</w:t>
            </w:r>
            <w:r>
              <w:rPr>
                <w:rFonts w:ascii="Verdana"/>
                <w:spacing w:val="-9"/>
                <w:sz w:val="24"/>
              </w:rPr>
              <w:t> </w:t>
            </w:r>
            <w:r>
              <w:rPr>
                <w:rFonts w:ascii="Verdana"/>
                <w:sz w:val="24"/>
              </w:rPr>
              <w:t>future</w:t>
            </w:r>
            <w:r>
              <w:rPr>
                <w:rFonts w:ascii="Verdana"/>
                <w:spacing w:val="-7"/>
                <w:sz w:val="24"/>
              </w:rPr>
              <w:t> </w:t>
            </w:r>
            <w:r>
              <w:rPr>
                <w:rFonts w:ascii="Verdana"/>
                <w:sz w:val="24"/>
              </w:rPr>
              <w:t>bunker</w:t>
            </w:r>
            <w:r>
              <w:rPr>
                <w:rFonts w:ascii="Verdana"/>
                <w:spacing w:val="-7"/>
                <w:sz w:val="24"/>
              </w:rPr>
              <w:t> </w:t>
            </w:r>
            <w:r>
              <w:rPr>
                <w:rFonts w:ascii="Verdana"/>
                <w:sz w:val="24"/>
              </w:rPr>
              <w:t>capacity</w:t>
            </w:r>
            <w:r>
              <w:rPr>
                <w:rFonts w:ascii="Verdana"/>
                <w:spacing w:val="-8"/>
                <w:sz w:val="24"/>
              </w:rPr>
              <w:t> </w:t>
            </w:r>
            <w:r>
              <w:rPr>
                <w:rFonts w:ascii="Verdana"/>
                <w:sz w:val="24"/>
              </w:rPr>
              <w:t>and</w:t>
            </w:r>
            <w:r>
              <w:rPr>
                <w:rFonts w:ascii="Verdana"/>
                <w:spacing w:val="-8"/>
                <w:sz w:val="24"/>
              </w:rPr>
              <w:t> </w:t>
            </w:r>
            <w:r>
              <w:rPr>
                <w:rFonts w:ascii="Verdana"/>
                <w:sz w:val="24"/>
              </w:rPr>
              <w:t>seven-Linac model / satellite centre scoping</w:t>
            </w:r>
          </w:p>
        </w:tc>
      </w:tr>
      <w:tr>
        <w:trPr>
          <w:trHeight w:val="326" w:hRule="atLeast"/>
        </w:trPr>
        <w:tc>
          <w:tcPr>
            <w:tcW w:w="8397" w:type="dxa"/>
            <w:shd w:val="clear" w:color="auto" w:fill="C1EFC6"/>
          </w:tcPr>
          <w:p>
            <w:pPr>
              <w:pStyle w:val="TableParagraph"/>
              <w:spacing w:before="2"/>
              <w:ind w:left="52"/>
              <w:rPr>
                <w:rFonts w:ascii="Verdana"/>
                <w:b/>
                <w:sz w:val="24"/>
              </w:rPr>
            </w:pPr>
            <w:r>
              <w:rPr>
                <w:rFonts w:ascii="Verdana"/>
                <w:b/>
                <w:sz w:val="24"/>
              </w:rPr>
              <w:t>Data</w:t>
            </w:r>
            <w:r>
              <w:rPr>
                <w:rFonts w:ascii="Verdana"/>
                <w:b/>
                <w:spacing w:val="-1"/>
                <w:sz w:val="24"/>
              </w:rPr>
              <w:t> </w:t>
            </w:r>
            <w:r>
              <w:rPr>
                <w:rFonts w:ascii="Verdana"/>
                <w:b/>
                <w:sz w:val="24"/>
              </w:rPr>
              <w:t>and </w:t>
            </w:r>
            <w:r>
              <w:rPr>
                <w:rFonts w:ascii="Verdana"/>
                <w:b/>
                <w:spacing w:val="-2"/>
                <w:sz w:val="24"/>
              </w:rPr>
              <w:t>Digital</w:t>
            </w:r>
          </w:p>
        </w:tc>
      </w:tr>
      <w:tr>
        <w:trPr>
          <w:trHeight w:val="561" w:hRule="atLeast"/>
        </w:trPr>
        <w:tc>
          <w:tcPr>
            <w:tcW w:w="8397" w:type="dxa"/>
          </w:tcPr>
          <w:p>
            <w:pPr>
              <w:pStyle w:val="TableParagraph"/>
              <w:spacing w:line="271" w:lineRule="exact"/>
              <w:ind w:left="47"/>
              <w:rPr>
                <w:rFonts w:ascii="Verdana"/>
                <w:sz w:val="24"/>
              </w:rPr>
            </w:pPr>
            <w:r>
              <w:rPr>
                <w:rFonts w:ascii="Verdana"/>
                <w:sz w:val="24"/>
              </w:rPr>
              <w:t>Governance</w:t>
            </w:r>
            <w:r>
              <w:rPr>
                <w:rFonts w:ascii="Verdana"/>
                <w:spacing w:val="-6"/>
                <w:sz w:val="24"/>
              </w:rPr>
              <w:t> </w:t>
            </w:r>
            <w:r>
              <w:rPr>
                <w:rFonts w:ascii="Verdana"/>
                <w:sz w:val="24"/>
              </w:rPr>
              <w:t>proposal</w:t>
            </w:r>
            <w:r>
              <w:rPr>
                <w:rFonts w:ascii="Verdana"/>
                <w:spacing w:val="-6"/>
                <w:sz w:val="24"/>
              </w:rPr>
              <w:t> </w:t>
            </w:r>
            <w:r>
              <w:rPr>
                <w:rFonts w:ascii="Verdana"/>
                <w:sz w:val="24"/>
              </w:rPr>
              <w:t>for</w:t>
            </w:r>
            <w:r>
              <w:rPr>
                <w:rFonts w:ascii="Verdana"/>
                <w:spacing w:val="-3"/>
                <w:sz w:val="24"/>
              </w:rPr>
              <w:t> </w:t>
            </w:r>
            <w:r>
              <w:rPr>
                <w:rFonts w:ascii="Verdana"/>
                <w:sz w:val="24"/>
              </w:rPr>
              <w:t>combining</w:t>
            </w:r>
            <w:r>
              <w:rPr>
                <w:rFonts w:ascii="Verdana"/>
                <w:spacing w:val="-5"/>
                <w:sz w:val="24"/>
              </w:rPr>
              <w:t> </w:t>
            </w:r>
            <w:r>
              <w:rPr>
                <w:rFonts w:ascii="Verdana"/>
                <w:sz w:val="24"/>
              </w:rPr>
              <w:t>the</w:t>
            </w:r>
            <w:r>
              <w:rPr>
                <w:rFonts w:ascii="Verdana"/>
                <w:spacing w:val="-4"/>
                <w:sz w:val="24"/>
              </w:rPr>
              <w:t> </w:t>
            </w:r>
            <w:r>
              <w:rPr>
                <w:rFonts w:ascii="Verdana"/>
                <w:sz w:val="24"/>
              </w:rPr>
              <w:t>Finance</w:t>
            </w:r>
            <w:r>
              <w:rPr>
                <w:rFonts w:ascii="Verdana"/>
                <w:spacing w:val="-3"/>
                <w:sz w:val="24"/>
              </w:rPr>
              <w:t> </w:t>
            </w:r>
            <w:r>
              <w:rPr>
                <w:rFonts w:ascii="Verdana"/>
                <w:sz w:val="24"/>
              </w:rPr>
              <w:t>and</w:t>
            </w:r>
            <w:r>
              <w:rPr>
                <w:rFonts w:ascii="Verdana"/>
                <w:spacing w:val="-6"/>
                <w:sz w:val="24"/>
              </w:rPr>
              <w:t> </w:t>
            </w:r>
            <w:r>
              <w:rPr>
                <w:rFonts w:ascii="Verdana"/>
                <w:sz w:val="24"/>
              </w:rPr>
              <w:t>Contracting</w:t>
            </w:r>
            <w:r>
              <w:rPr>
                <w:rFonts w:ascii="Verdana"/>
                <w:spacing w:val="-4"/>
                <w:sz w:val="24"/>
              </w:rPr>
              <w:t> </w:t>
            </w:r>
            <w:r>
              <w:rPr>
                <w:rFonts w:ascii="Verdana"/>
                <w:spacing w:val="-5"/>
                <w:sz w:val="24"/>
              </w:rPr>
              <w:t>and</w:t>
            </w:r>
          </w:p>
          <w:p>
            <w:pPr>
              <w:pStyle w:val="TableParagraph"/>
              <w:spacing w:line="252" w:lineRule="exact" w:before="18"/>
              <w:ind w:left="47"/>
              <w:rPr>
                <w:rFonts w:ascii="Verdana"/>
                <w:sz w:val="24"/>
              </w:rPr>
            </w:pPr>
            <w:r>
              <w:rPr>
                <w:rFonts w:ascii="Verdana"/>
                <w:sz w:val="24"/>
              </w:rPr>
              <w:t>Data</w:t>
            </w:r>
            <w:r>
              <w:rPr>
                <w:rFonts w:ascii="Verdana"/>
                <w:spacing w:val="-5"/>
                <w:sz w:val="24"/>
              </w:rPr>
              <w:t> </w:t>
            </w:r>
            <w:r>
              <w:rPr>
                <w:rFonts w:ascii="Verdana"/>
                <w:sz w:val="24"/>
              </w:rPr>
              <w:t>and</w:t>
            </w:r>
            <w:r>
              <w:rPr>
                <w:rFonts w:ascii="Verdana"/>
                <w:spacing w:val="-6"/>
                <w:sz w:val="24"/>
              </w:rPr>
              <w:t> </w:t>
            </w:r>
            <w:r>
              <w:rPr>
                <w:rFonts w:ascii="Verdana"/>
                <w:sz w:val="24"/>
              </w:rPr>
              <w:t>Digital</w:t>
            </w:r>
            <w:r>
              <w:rPr>
                <w:rFonts w:ascii="Verdana"/>
                <w:spacing w:val="-6"/>
                <w:sz w:val="24"/>
              </w:rPr>
              <w:t> </w:t>
            </w:r>
            <w:r>
              <w:rPr>
                <w:rFonts w:ascii="Verdana"/>
                <w:spacing w:val="-2"/>
                <w:sz w:val="24"/>
              </w:rPr>
              <w:t>Subgrous</w:t>
            </w:r>
          </w:p>
        </w:tc>
      </w:tr>
      <w:tr>
        <w:trPr>
          <w:trHeight w:val="560" w:hRule="atLeast"/>
        </w:trPr>
        <w:tc>
          <w:tcPr>
            <w:tcW w:w="8397" w:type="dxa"/>
          </w:tcPr>
          <w:p>
            <w:pPr>
              <w:pStyle w:val="TableParagraph"/>
              <w:spacing w:before="133"/>
              <w:ind w:left="47"/>
              <w:rPr>
                <w:rFonts w:ascii="Verdana"/>
                <w:sz w:val="24"/>
              </w:rPr>
            </w:pPr>
            <w:r>
              <w:rPr>
                <w:rFonts w:ascii="Verdana"/>
                <w:sz w:val="24"/>
              </w:rPr>
              <w:t>Ophthalmology</w:t>
            </w:r>
            <w:r>
              <w:rPr>
                <w:rFonts w:ascii="Verdana"/>
                <w:spacing w:val="-8"/>
                <w:sz w:val="24"/>
              </w:rPr>
              <w:t> </w:t>
            </w:r>
            <w:r>
              <w:rPr>
                <w:rFonts w:ascii="Verdana"/>
                <w:sz w:val="24"/>
              </w:rPr>
              <w:t>system</w:t>
            </w:r>
            <w:r>
              <w:rPr>
                <w:rFonts w:ascii="Verdana"/>
                <w:spacing w:val="-6"/>
                <w:sz w:val="24"/>
              </w:rPr>
              <w:t> </w:t>
            </w:r>
            <w:r>
              <w:rPr>
                <w:rFonts w:ascii="Verdana"/>
                <w:sz w:val="24"/>
              </w:rPr>
              <w:t>live,</w:t>
            </w:r>
            <w:r>
              <w:rPr>
                <w:rFonts w:ascii="Verdana"/>
                <w:spacing w:val="-5"/>
                <w:sz w:val="24"/>
              </w:rPr>
              <w:t> </w:t>
            </w:r>
            <w:r>
              <w:rPr>
                <w:rFonts w:ascii="Verdana"/>
                <w:sz w:val="24"/>
              </w:rPr>
              <w:t>early</w:t>
            </w:r>
            <w:r>
              <w:rPr>
                <w:rFonts w:ascii="Verdana"/>
                <w:spacing w:val="-6"/>
                <w:sz w:val="24"/>
              </w:rPr>
              <w:t> </w:t>
            </w:r>
            <w:r>
              <w:rPr>
                <w:rFonts w:ascii="Verdana"/>
                <w:sz w:val="24"/>
              </w:rPr>
              <w:t>analytics</w:t>
            </w:r>
            <w:r>
              <w:rPr>
                <w:rFonts w:ascii="Verdana"/>
                <w:spacing w:val="-6"/>
                <w:sz w:val="24"/>
              </w:rPr>
              <w:t> </w:t>
            </w:r>
            <w:r>
              <w:rPr>
                <w:rFonts w:ascii="Verdana"/>
                <w:sz w:val="24"/>
              </w:rPr>
              <w:t>benefits</w:t>
            </w:r>
            <w:r>
              <w:rPr>
                <w:rFonts w:ascii="Verdana"/>
                <w:spacing w:val="-5"/>
                <w:sz w:val="24"/>
              </w:rPr>
              <w:t> </w:t>
            </w:r>
            <w:r>
              <w:rPr>
                <w:rFonts w:ascii="Verdana"/>
                <w:spacing w:val="-2"/>
                <w:sz w:val="24"/>
              </w:rPr>
              <w:t>realised</w:t>
            </w:r>
          </w:p>
        </w:tc>
      </w:tr>
      <w:tr>
        <w:trPr>
          <w:trHeight w:val="560" w:hRule="atLeast"/>
        </w:trPr>
        <w:tc>
          <w:tcPr>
            <w:tcW w:w="8397" w:type="dxa"/>
          </w:tcPr>
          <w:p>
            <w:pPr>
              <w:pStyle w:val="TableParagraph"/>
              <w:spacing w:before="133"/>
              <w:ind w:left="47"/>
              <w:rPr>
                <w:rFonts w:ascii="Verdana"/>
                <w:sz w:val="24"/>
              </w:rPr>
            </w:pPr>
            <w:r>
              <w:rPr>
                <w:rFonts w:ascii="Verdana"/>
                <w:sz w:val="24"/>
              </w:rPr>
              <w:t>EPMA</w:t>
            </w:r>
            <w:r>
              <w:rPr>
                <w:rFonts w:ascii="Verdana"/>
                <w:spacing w:val="-7"/>
                <w:sz w:val="24"/>
              </w:rPr>
              <w:t> </w:t>
            </w:r>
            <w:r>
              <w:rPr>
                <w:rFonts w:ascii="Verdana"/>
                <w:sz w:val="24"/>
              </w:rPr>
              <w:t>optimisation,</w:t>
            </w:r>
            <w:r>
              <w:rPr>
                <w:rFonts w:ascii="Verdana"/>
                <w:spacing w:val="-7"/>
                <w:sz w:val="24"/>
              </w:rPr>
              <w:t> </w:t>
            </w:r>
            <w:r>
              <w:rPr>
                <w:rFonts w:ascii="Verdana"/>
                <w:sz w:val="24"/>
              </w:rPr>
              <w:t>AI</w:t>
            </w:r>
            <w:r>
              <w:rPr>
                <w:rFonts w:ascii="Verdana"/>
                <w:spacing w:val="-6"/>
                <w:sz w:val="24"/>
              </w:rPr>
              <w:t> </w:t>
            </w:r>
            <w:r>
              <w:rPr>
                <w:rFonts w:ascii="Verdana"/>
                <w:sz w:val="24"/>
              </w:rPr>
              <w:t>pilots,</w:t>
            </w:r>
            <w:r>
              <w:rPr>
                <w:rFonts w:ascii="Verdana"/>
                <w:spacing w:val="-7"/>
                <w:sz w:val="24"/>
              </w:rPr>
              <w:t> </w:t>
            </w:r>
            <w:r>
              <w:rPr>
                <w:rFonts w:ascii="Verdana"/>
                <w:sz w:val="24"/>
              </w:rPr>
              <w:t>cyber</w:t>
            </w:r>
            <w:r>
              <w:rPr>
                <w:rFonts w:ascii="Verdana"/>
                <w:spacing w:val="-5"/>
                <w:sz w:val="24"/>
              </w:rPr>
              <w:t> </w:t>
            </w:r>
            <w:r>
              <w:rPr>
                <w:rFonts w:ascii="Verdana"/>
                <w:sz w:val="24"/>
              </w:rPr>
              <w:t>uplift</w:t>
            </w:r>
            <w:r>
              <w:rPr>
                <w:rFonts w:ascii="Verdana"/>
                <w:spacing w:val="-7"/>
                <w:sz w:val="24"/>
              </w:rPr>
              <w:t> </w:t>
            </w:r>
            <w:r>
              <w:rPr>
                <w:rFonts w:ascii="Verdana"/>
                <w:spacing w:val="-2"/>
                <w:sz w:val="24"/>
              </w:rPr>
              <w:t>delivered</w:t>
            </w:r>
          </w:p>
        </w:tc>
      </w:tr>
      <w:tr>
        <w:trPr>
          <w:trHeight w:val="560" w:hRule="atLeast"/>
        </w:trPr>
        <w:tc>
          <w:tcPr>
            <w:tcW w:w="8397" w:type="dxa"/>
          </w:tcPr>
          <w:p>
            <w:pPr>
              <w:pStyle w:val="TableParagraph"/>
              <w:spacing w:before="133"/>
              <w:ind w:left="47"/>
              <w:rPr>
                <w:rFonts w:ascii="Verdana"/>
                <w:sz w:val="24"/>
              </w:rPr>
            </w:pPr>
            <w:r>
              <w:rPr>
                <w:rFonts w:ascii="Verdana"/>
                <w:sz w:val="24"/>
              </w:rPr>
              <w:t>Digital</w:t>
            </w:r>
            <w:r>
              <w:rPr>
                <w:rFonts w:ascii="Verdana"/>
                <w:spacing w:val="-9"/>
                <w:sz w:val="24"/>
              </w:rPr>
              <w:t> </w:t>
            </w:r>
            <w:r>
              <w:rPr>
                <w:rFonts w:ascii="Verdana"/>
                <w:sz w:val="24"/>
              </w:rPr>
              <w:t>baseline,</w:t>
            </w:r>
            <w:r>
              <w:rPr>
                <w:rFonts w:ascii="Verdana"/>
                <w:spacing w:val="-5"/>
                <w:sz w:val="24"/>
              </w:rPr>
              <w:t> </w:t>
            </w:r>
            <w:r>
              <w:rPr>
                <w:rFonts w:ascii="Verdana"/>
                <w:sz w:val="24"/>
              </w:rPr>
              <w:t>AI</w:t>
            </w:r>
            <w:r>
              <w:rPr>
                <w:rFonts w:ascii="Verdana"/>
                <w:spacing w:val="-5"/>
                <w:sz w:val="24"/>
              </w:rPr>
              <w:t> </w:t>
            </w:r>
            <w:r>
              <w:rPr>
                <w:rFonts w:ascii="Verdana"/>
                <w:sz w:val="24"/>
              </w:rPr>
              <w:t>governance</w:t>
            </w:r>
            <w:r>
              <w:rPr>
                <w:rFonts w:ascii="Verdana"/>
                <w:spacing w:val="-5"/>
                <w:sz w:val="24"/>
              </w:rPr>
              <w:t> </w:t>
            </w:r>
            <w:r>
              <w:rPr>
                <w:rFonts w:ascii="Verdana"/>
                <w:sz w:val="24"/>
              </w:rPr>
              <w:t>and</w:t>
            </w:r>
            <w:r>
              <w:rPr>
                <w:rFonts w:ascii="Verdana"/>
                <w:spacing w:val="-6"/>
                <w:sz w:val="24"/>
              </w:rPr>
              <w:t> </w:t>
            </w:r>
            <w:r>
              <w:rPr>
                <w:rFonts w:ascii="Verdana"/>
                <w:sz w:val="24"/>
              </w:rPr>
              <w:t>national</w:t>
            </w:r>
            <w:r>
              <w:rPr>
                <w:rFonts w:ascii="Verdana"/>
                <w:spacing w:val="-6"/>
                <w:sz w:val="24"/>
              </w:rPr>
              <w:t> </w:t>
            </w:r>
            <w:r>
              <w:rPr>
                <w:rFonts w:ascii="Verdana"/>
                <w:sz w:val="24"/>
              </w:rPr>
              <w:t>compact</w:t>
            </w:r>
            <w:r>
              <w:rPr>
                <w:rFonts w:ascii="Verdana"/>
                <w:spacing w:val="-6"/>
                <w:sz w:val="24"/>
              </w:rPr>
              <w:t> </w:t>
            </w:r>
            <w:r>
              <w:rPr>
                <w:rFonts w:ascii="Verdana"/>
                <w:spacing w:val="-2"/>
                <w:sz w:val="24"/>
              </w:rPr>
              <w:t>agreed</w:t>
            </w:r>
          </w:p>
        </w:tc>
      </w:tr>
      <w:tr>
        <w:trPr>
          <w:trHeight w:val="356" w:hRule="atLeast"/>
        </w:trPr>
        <w:tc>
          <w:tcPr>
            <w:tcW w:w="8397" w:type="dxa"/>
            <w:shd w:val="clear" w:color="auto" w:fill="C1EFC6"/>
          </w:tcPr>
          <w:p>
            <w:pPr>
              <w:pStyle w:val="TableParagraph"/>
              <w:spacing w:before="32"/>
              <w:ind w:left="52"/>
              <w:rPr>
                <w:rFonts w:ascii="Verdana"/>
                <w:b/>
                <w:sz w:val="24"/>
              </w:rPr>
            </w:pPr>
            <w:r>
              <w:rPr>
                <w:rFonts w:ascii="Verdana"/>
                <w:b/>
                <w:sz w:val="24"/>
              </w:rPr>
              <w:t>Finance</w:t>
            </w:r>
            <w:r>
              <w:rPr>
                <w:rFonts w:ascii="Verdana"/>
                <w:b/>
                <w:spacing w:val="-6"/>
                <w:sz w:val="24"/>
              </w:rPr>
              <w:t> </w:t>
            </w:r>
            <w:r>
              <w:rPr>
                <w:rFonts w:ascii="Verdana"/>
                <w:b/>
                <w:sz w:val="24"/>
              </w:rPr>
              <w:t>and</w:t>
            </w:r>
            <w:r>
              <w:rPr>
                <w:rFonts w:ascii="Verdana"/>
                <w:b/>
                <w:spacing w:val="-4"/>
                <w:sz w:val="24"/>
              </w:rPr>
              <w:t> </w:t>
            </w:r>
            <w:r>
              <w:rPr>
                <w:rFonts w:ascii="Verdana"/>
                <w:b/>
                <w:spacing w:val="-2"/>
                <w:sz w:val="24"/>
              </w:rPr>
              <w:t>Contracting</w:t>
            </w:r>
          </w:p>
        </w:tc>
      </w:tr>
      <w:tr>
        <w:trPr>
          <w:trHeight w:val="560" w:hRule="atLeast"/>
        </w:trPr>
        <w:tc>
          <w:tcPr>
            <w:tcW w:w="8397" w:type="dxa"/>
          </w:tcPr>
          <w:p>
            <w:pPr>
              <w:pStyle w:val="TableParagraph"/>
              <w:spacing w:line="271" w:lineRule="exact"/>
              <w:ind w:left="47"/>
              <w:rPr>
                <w:rFonts w:ascii="Verdana"/>
                <w:sz w:val="24"/>
              </w:rPr>
            </w:pPr>
            <w:r>
              <w:rPr>
                <w:rFonts w:ascii="Verdana"/>
                <w:sz w:val="24"/>
              </w:rPr>
              <w:t>Governance</w:t>
            </w:r>
            <w:r>
              <w:rPr>
                <w:rFonts w:ascii="Verdana"/>
                <w:spacing w:val="-6"/>
                <w:sz w:val="24"/>
              </w:rPr>
              <w:t> </w:t>
            </w:r>
            <w:r>
              <w:rPr>
                <w:rFonts w:ascii="Verdana"/>
                <w:sz w:val="24"/>
              </w:rPr>
              <w:t>proposal</w:t>
            </w:r>
            <w:r>
              <w:rPr>
                <w:rFonts w:ascii="Verdana"/>
                <w:spacing w:val="-6"/>
                <w:sz w:val="24"/>
              </w:rPr>
              <w:t> </w:t>
            </w:r>
            <w:r>
              <w:rPr>
                <w:rFonts w:ascii="Verdana"/>
                <w:sz w:val="24"/>
              </w:rPr>
              <w:t>for</w:t>
            </w:r>
            <w:r>
              <w:rPr>
                <w:rFonts w:ascii="Verdana"/>
                <w:spacing w:val="-3"/>
                <w:sz w:val="24"/>
              </w:rPr>
              <w:t> </w:t>
            </w:r>
            <w:r>
              <w:rPr>
                <w:rFonts w:ascii="Verdana"/>
                <w:sz w:val="24"/>
              </w:rPr>
              <w:t>combining</w:t>
            </w:r>
            <w:r>
              <w:rPr>
                <w:rFonts w:ascii="Verdana"/>
                <w:spacing w:val="-5"/>
                <w:sz w:val="24"/>
              </w:rPr>
              <w:t> </w:t>
            </w:r>
            <w:r>
              <w:rPr>
                <w:rFonts w:ascii="Verdana"/>
                <w:sz w:val="24"/>
              </w:rPr>
              <w:t>the</w:t>
            </w:r>
            <w:r>
              <w:rPr>
                <w:rFonts w:ascii="Verdana"/>
                <w:spacing w:val="-4"/>
                <w:sz w:val="24"/>
              </w:rPr>
              <w:t> </w:t>
            </w:r>
            <w:r>
              <w:rPr>
                <w:rFonts w:ascii="Verdana"/>
                <w:sz w:val="24"/>
              </w:rPr>
              <w:t>Finance</w:t>
            </w:r>
            <w:r>
              <w:rPr>
                <w:rFonts w:ascii="Verdana"/>
                <w:spacing w:val="-3"/>
                <w:sz w:val="24"/>
              </w:rPr>
              <w:t> </w:t>
            </w:r>
            <w:r>
              <w:rPr>
                <w:rFonts w:ascii="Verdana"/>
                <w:sz w:val="24"/>
              </w:rPr>
              <w:t>and</w:t>
            </w:r>
            <w:r>
              <w:rPr>
                <w:rFonts w:ascii="Verdana"/>
                <w:spacing w:val="-6"/>
                <w:sz w:val="24"/>
              </w:rPr>
              <w:t> </w:t>
            </w:r>
            <w:r>
              <w:rPr>
                <w:rFonts w:ascii="Verdana"/>
                <w:sz w:val="24"/>
              </w:rPr>
              <w:t>Contracting</w:t>
            </w:r>
            <w:r>
              <w:rPr>
                <w:rFonts w:ascii="Verdana"/>
                <w:spacing w:val="-4"/>
                <w:sz w:val="24"/>
              </w:rPr>
              <w:t> </w:t>
            </w:r>
            <w:r>
              <w:rPr>
                <w:rFonts w:ascii="Verdana"/>
                <w:spacing w:val="-5"/>
                <w:sz w:val="24"/>
              </w:rPr>
              <w:t>and</w:t>
            </w:r>
          </w:p>
          <w:p>
            <w:pPr>
              <w:pStyle w:val="TableParagraph"/>
              <w:spacing w:line="252" w:lineRule="exact" w:before="18"/>
              <w:ind w:left="47"/>
              <w:rPr>
                <w:rFonts w:ascii="Verdana"/>
                <w:sz w:val="24"/>
              </w:rPr>
            </w:pPr>
            <w:r>
              <w:rPr>
                <w:rFonts w:ascii="Verdana"/>
                <w:sz w:val="24"/>
              </w:rPr>
              <w:t>Data</w:t>
            </w:r>
            <w:r>
              <w:rPr>
                <w:rFonts w:ascii="Verdana"/>
                <w:spacing w:val="-5"/>
                <w:sz w:val="24"/>
              </w:rPr>
              <w:t> </w:t>
            </w:r>
            <w:r>
              <w:rPr>
                <w:rFonts w:ascii="Verdana"/>
                <w:sz w:val="24"/>
              </w:rPr>
              <w:t>and</w:t>
            </w:r>
            <w:r>
              <w:rPr>
                <w:rFonts w:ascii="Verdana"/>
                <w:spacing w:val="-6"/>
                <w:sz w:val="24"/>
              </w:rPr>
              <w:t> </w:t>
            </w:r>
            <w:r>
              <w:rPr>
                <w:rFonts w:ascii="Verdana"/>
                <w:sz w:val="24"/>
              </w:rPr>
              <w:t>Digital</w:t>
            </w:r>
            <w:r>
              <w:rPr>
                <w:rFonts w:ascii="Verdana"/>
                <w:spacing w:val="-6"/>
                <w:sz w:val="24"/>
              </w:rPr>
              <w:t> </w:t>
            </w:r>
            <w:r>
              <w:rPr>
                <w:rFonts w:ascii="Verdana"/>
                <w:spacing w:val="-2"/>
                <w:sz w:val="24"/>
              </w:rPr>
              <w:t>Subgrous</w:t>
            </w:r>
          </w:p>
        </w:tc>
      </w:tr>
      <w:tr>
        <w:trPr>
          <w:trHeight w:val="560" w:hRule="atLeast"/>
        </w:trPr>
        <w:tc>
          <w:tcPr>
            <w:tcW w:w="8397" w:type="dxa"/>
          </w:tcPr>
          <w:p>
            <w:pPr>
              <w:pStyle w:val="TableParagraph"/>
              <w:spacing w:before="133"/>
              <w:ind w:left="47"/>
              <w:rPr>
                <w:rFonts w:ascii="Verdana"/>
                <w:sz w:val="24"/>
              </w:rPr>
            </w:pPr>
            <w:r>
              <w:rPr>
                <w:rFonts w:ascii="Verdana"/>
                <w:sz w:val="24"/>
              </w:rPr>
              <w:t>Finance</w:t>
            </w:r>
            <w:r>
              <w:rPr>
                <w:rFonts w:ascii="Verdana"/>
                <w:spacing w:val="-7"/>
                <w:sz w:val="24"/>
              </w:rPr>
              <w:t> </w:t>
            </w:r>
            <w:r>
              <w:rPr>
                <w:rFonts w:ascii="Verdana"/>
                <w:sz w:val="24"/>
              </w:rPr>
              <w:t>and</w:t>
            </w:r>
            <w:r>
              <w:rPr>
                <w:rFonts w:ascii="Verdana"/>
                <w:spacing w:val="-5"/>
                <w:sz w:val="24"/>
              </w:rPr>
              <w:t> </w:t>
            </w:r>
            <w:r>
              <w:rPr>
                <w:rFonts w:ascii="Verdana"/>
                <w:sz w:val="24"/>
              </w:rPr>
              <w:t>Contracting</w:t>
            </w:r>
            <w:r>
              <w:rPr>
                <w:rFonts w:ascii="Verdana"/>
                <w:spacing w:val="-5"/>
                <w:sz w:val="24"/>
              </w:rPr>
              <w:t> </w:t>
            </w:r>
            <w:r>
              <w:rPr>
                <w:rFonts w:ascii="Verdana"/>
                <w:sz w:val="24"/>
              </w:rPr>
              <w:t>Renewed</w:t>
            </w:r>
            <w:r>
              <w:rPr>
                <w:rFonts w:ascii="Verdana"/>
                <w:spacing w:val="-5"/>
                <w:sz w:val="24"/>
              </w:rPr>
              <w:t> </w:t>
            </w:r>
            <w:r>
              <w:rPr>
                <w:rFonts w:ascii="Verdana"/>
                <w:sz w:val="24"/>
              </w:rPr>
              <w:t>Plans</w:t>
            </w:r>
            <w:r>
              <w:rPr>
                <w:rFonts w:ascii="Verdana"/>
                <w:spacing w:val="-5"/>
                <w:sz w:val="24"/>
              </w:rPr>
              <w:t> </w:t>
            </w:r>
            <w:r>
              <w:rPr>
                <w:rFonts w:ascii="Verdana"/>
                <w:sz w:val="24"/>
              </w:rPr>
              <w:t>Submitted</w:t>
            </w:r>
            <w:r>
              <w:rPr>
                <w:rFonts w:ascii="Verdana"/>
                <w:spacing w:val="-5"/>
                <w:sz w:val="24"/>
              </w:rPr>
              <w:t> </w:t>
            </w:r>
            <w:r>
              <w:rPr>
                <w:rFonts w:ascii="Verdana"/>
                <w:sz w:val="24"/>
              </w:rPr>
              <w:t>for</w:t>
            </w:r>
            <w:r>
              <w:rPr>
                <w:rFonts w:ascii="Verdana"/>
                <w:spacing w:val="-4"/>
                <w:sz w:val="24"/>
              </w:rPr>
              <w:t> </w:t>
            </w:r>
            <w:r>
              <w:rPr>
                <w:rFonts w:ascii="Verdana"/>
                <w:spacing w:val="-2"/>
                <w:sz w:val="24"/>
              </w:rPr>
              <w:t>agreement</w:t>
            </w:r>
          </w:p>
        </w:tc>
      </w:tr>
      <w:tr>
        <w:trPr>
          <w:trHeight w:val="561" w:hRule="atLeast"/>
        </w:trPr>
        <w:tc>
          <w:tcPr>
            <w:tcW w:w="8397" w:type="dxa"/>
          </w:tcPr>
          <w:p>
            <w:pPr>
              <w:pStyle w:val="TableParagraph"/>
              <w:spacing w:before="133"/>
              <w:ind w:left="47"/>
              <w:rPr>
                <w:rFonts w:ascii="Verdana"/>
                <w:sz w:val="24"/>
              </w:rPr>
            </w:pPr>
            <w:r>
              <w:rPr>
                <w:rFonts w:ascii="Verdana"/>
                <w:sz w:val="24"/>
              </w:rPr>
              <w:t>Discovery</w:t>
            </w:r>
            <w:r>
              <w:rPr>
                <w:rFonts w:ascii="Verdana"/>
                <w:spacing w:val="-7"/>
                <w:sz w:val="24"/>
              </w:rPr>
              <w:t> </w:t>
            </w:r>
            <w:r>
              <w:rPr>
                <w:rFonts w:ascii="Verdana"/>
                <w:sz w:val="24"/>
              </w:rPr>
              <w:t>and</w:t>
            </w:r>
            <w:r>
              <w:rPr>
                <w:rFonts w:ascii="Verdana"/>
                <w:spacing w:val="-5"/>
                <w:sz w:val="24"/>
              </w:rPr>
              <w:t> </w:t>
            </w:r>
            <w:r>
              <w:rPr>
                <w:rFonts w:ascii="Verdana"/>
                <w:sz w:val="24"/>
              </w:rPr>
              <w:t>design</w:t>
            </w:r>
            <w:r>
              <w:rPr>
                <w:rFonts w:ascii="Verdana"/>
                <w:spacing w:val="-5"/>
                <w:sz w:val="24"/>
              </w:rPr>
              <w:t> </w:t>
            </w:r>
            <w:r>
              <w:rPr>
                <w:rFonts w:ascii="Verdana"/>
                <w:sz w:val="24"/>
              </w:rPr>
              <w:t>-</w:t>
            </w:r>
            <w:r>
              <w:rPr>
                <w:rFonts w:ascii="Verdana"/>
                <w:spacing w:val="-6"/>
                <w:sz w:val="24"/>
              </w:rPr>
              <w:t> </w:t>
            </w:r>
            <w:r>
              <w:rPr>
                <w:rFonts w:ascii="Verdana"/>
                <w:sz w:val="24"/>
              </w:rPr>
              <w:t>understand,</w:t>
            </w:r>
            <w:r>
              <w:rPr>
                <w:rFonts w:ascii="Verdana"/>
                <w:spacing w:val="-5"/>
                <w:sz w:val="24"/>
              </w:rPr>
              <w:t> </w:t>
            </w:r>
            <w:r>
              <w:rPr>
                <w:rFonts w:ascii="Verdana"/>
                <w:sz w:val="24"/>
              </w:rPr>
              <w:t>challenge</w:t>
            </w:r>
            <w:r>
              <w:rPr>
                <w:rFonts w:ascii="Verdana"/>
                <w:spacing w:val="-4"/>
                <w:sz w:val="24"/>
              </w:rPr>
              <w:t> </w:t>
            </w:r>
            <w:r>
              <w:rPr>
                <w:rFonts w:ascii="Verdana"/>
                <w:sz w:val="24"/>
              </w:rPr>
              <w:t>and</w:t>
            </w:r>
            <w:r>
              <w:rPr>
                <w:rFonts w:ascii="Verdana"/>
                <w:spacing w:val="-5"/>
                <w:sz w:val="24"/>
              </w:rPr>
              <w:t> </w:t>
            </w:r>
            <w:r>
              <w:rPr>
                <w:rFonts w:ascii="Verdana"/>
                <w:spacing w:val="-2"/>
                <w:sz w:val="24"/>
              </w:rPr>
              <w:t>define</w:t>
            </w:r>
          </w:p>
        </w:tc>
      </w:tr>
      <w:tr>
        <w:trPr>
          <w:trHeight w:val="356" w:hRule="atLeast"/>
        </w:trPr>
        <w:tc>
          <w:tcPr>
            <w:tcW w:w="8397" w:type="dxa"/>
            <w:shd w:val="clear" w:color="auto" w:fill="C1EFC6"/>
          </w:tcPr>
          <w:p>
            <w:pPr>
              <w:pStyle w:val="TableParagraph"/>
              <w:spacing w:before="32"/>
              <w:ind w:left="52"/>
              <w:rPr>
                <w:rFonts w:ascii="Verdana"/>
                <w:b/>
                <w:sz w:val="24"/>
              </w:rPr>
            </w:pPr>
            <w:r>
              <w:rPr>
                <w:rFonts w:ascii="Verdana"/>
                <w:b/>
                <w:sz w:val="24"/>
              </w:rPr>
              <w:t>Workforce</w:t>
            </w:r>
            <w:r>
              <w:rPr>
                <w:rFonts w:ascii="Verdana"/>
                <w:b/>
                <w:spacing w:val="-4"/>
                <w:sz w:val="24"/>
              </w:rPr>
              <w:t> </w:t>
            </w:r>
            <w:r>
              <w:rPr>
                <w:rFonts w:ascii="Verdana"/>
                <w:b/>
                <w:sz w:val="24"/>
              </w:rPr>
              <w:t>and</w:t>
            </w:r>
            <w:r>
              <w:rPr>
                <w:rFonts w:ascii="Verdana"/>
                <w:b/>
                <w:spacing w:val="-2"/>
                <w:sz w:val="24"/>
              </w:rPr>
              <w:t> </w:t>
            </w:r>
            <w:r>
              <w:rPr>
                <w:rFonts w:ascii="Verdana"/>
                <w:b/>
                <w:spacing w:val="-5"/>
                <w:sz w:val="24"/>
              </w:rPr>
              <w:t>OD</w:t>
            </w:r>
          </w:p>
        </w:tc>
      </w:tr>
      <w:tr>
        <w:trPr>
          <w:trHeight w:val="560" w:hRule="atLeast"/>
        </w:trPr>
        <w:tc>
          <w:tcPr>
            <w:tcW w:w="8397" w:type="dxa"/>
          </w:tcPr>
          <w:p>
            <w:pPr>
              <w:pStyle w:val="TableParagraph"/>
              <w:spacing w:before="133"/>
              <w:ind w:left="47"/>
              <w:rPr>
                <w:rFonts w:ascii="Verdana"/>
                <w:sz w:val="24"/>
              </w:rPr>
            </w:pPr>
            <w:r>
              <w:rPr>
                <w:rFonts w:ascii="Verdana"/>
                <w:sz w:val="24"/>
              </w:rPr>
              <w:t>Regional</w:t>
            </w:r>
            <w:r>
              <w:rPr>
                <w:rFonts w:ascii="Verdana"/>
                <w:spacing w:val="-9"/>
                <w:sz w:val="24"/>
              </w:rPr>
              <w:t> </w:t>
            </w:r>
            <w:r>
              <w:rPr>
                <w:rFonts w:ascii="Verdana"/>
                <w:sz w:val="24"/>
              </w:rPr>
              <w:t>governance</w:t>
            </w:r>
            <w:r>
              <w:rPr>
                <w:rFonts w:ascii="Verdana"/>
                <w:spacing w:val="-5"/>
                <w:sz w:val="24"/>
              </w:rPr>
              <w:t> </w:t>
            </w:r>
            <w:r>
              <w:rPr>
                <w:rFonts w:ascii="Verdana"/>
                <w:sz w:val="24"/>
              </w:rPr>
              <w:t>and</w:t>
            </w:r>
            <w:r>
              <w:rPr>
                <w:rFonts w:ascii="Verdana"/>
                <w:spacing w:val="-7"/>
                <w:sz w:val="24"/>
              </w:rPr>
              <w:t> </w:t>
            </w:r>
            <w:r>
              <w:rPr>
                <w:rFonts w:ascii="Verdana"/>
                <w:sz w:val="24"/>
              </w:rPr>
              <w:t>agreed</w:t>
            </w:r>
            <w:r>
              <w:rPr>
                <w:rFonts w:ascii="Verdana"/>
                <w:spacing w:val="-6"/>
                <w:sz w:val="24"/>
              </w:rPr>
              <w:t> </w:t>
            </w:r>
            <w:r>
              <w:rPr>
                <w:rFonts w:ascii="Verdana"/>
                <w:sz w:val="24"/>
              </w:rPr>
              <w:t>roles/responsibilities</w:t>
            </w:r>
            <w:r>
              <w:rPr>
                <w:rFonts w:ascii="Verdana"/>
                <w:spacing w:val="-4"/>
                <w:sz w:val="24"/>
              </w:rPr>
              <w:t> </w:t>
            </w:r>
            <w:r>
              <w:rPr>
                <w:rFonts w:ascii="Verdana"/>
                <w:spacing w:val="-2"/>
                <w:sz w:val="24"/>
              </w:rPr>
              <w:t>established</w:t>
            </w:r>
          </w:p>
        </w:tc>
      </w:tr>
      <w:tr>
        <w:trPr>
          <w:trHeight w:val="560" w:hRule="atLeast"/>
        </w:trPr>
        <w:tc>
          <w:tcPr>
            <w:tcW w:w="8397" w:type="dxa"/>
          </w:tcPr>
          <w:p>
            <w:pPr>
              <w:pStyle w:val="TableParagraph"/>
              <w:spacing w:line="271" w:lineRule="exact"/>
              <w:ind w:left="47"/>
              <w:rPr>
                <w:rFonts w:ascii="Verdana"/>
                <w:sz w:val="24"/>
              </w:rPr>
            </w:pPr>
            <w:r>
              <w:rPr>
                <w:rFonts w:ascii="Verdana"/>
                <w:sz w:val="24"/>
              </w:rPr>
              <w:t>Priority</w:t>
            </w:r>
            <w:r>
              <w:rPr>
                <w:rFonts w:ascii="Verdana"/>
                <w:spacing w:val="-4"/>
                <w:sz w:val="24"/>
              </w:rPr>
              <w:t> </w:t>
            </w:r>
            <w:r>
              <w:rPr>
                <w:rFonts w:ascii="Verdana"/>
                <w:sz w:val="24"/>
              </w:rPr>
              <w:t>services</w:t>
            </w:r>
            <w:r>
              <w:rPr>
                <w:rFonts w:ascii="Verdana"/>
                <w:spacing w:val="-2"/>
                <w:sz w:val="24"/>
              </w:rPr>
              <w:t> </w:t>
            </w:r>
            <w:r>
              <w:rPr>
                <w:rFonts w:ascii="Verdana"/>
                <w:sz w:val="24"/>
              </w:rPr>
              <w:t>&amp;</w:t>
            </w:r>
            <w:r>
              <w:rPr>
                <w:rFonts w:ascii="Verdana"/>
                <w:spacing w:val="-2"/>
                <w:sz w:val="24"/>
              </w:rPr>
              <w:t> </w:t>
            </w:r>
            <w:r>
              <w:rPr>
                <w:rFonts w:ascii="Verdana"/>
                <w:sz w:val="24"/>
              </w:rPr>
              <w:t>models,</w:t>
            </w:r>
            <w:r>
              <w:rPr>
                <w:rFonts w:ascii="Verdana"/>
                <w:spacing w:val="-3"/>
                <w:sz w:val="24"/>
              </w:rPr>
              <w:t> </w:t>
            </w:r>
            <w:r>
              <w:rPr>
                <w:rFonts w:ascii="Verdana"/>
                <w:sz w:val="24"/>
              </w:rPr>
              <w:t>complete</w:t>
            </w:r>
            <w:r>
              <w:rPr>
                <w:rFonts w:ascii="Verdana"/>
                <w:spacing w:val="-2"/>
                <w:sz w:val="24"/>
              </w:rPr>
              <w:t> </w:t>
            </w:r>
            <w:r>
              <w:rPr>
                <w:rFonts w:ascii="Verdana"/>
                <w:sz w:val="24"/>
              </w:rPr>
              <w:t>baseline</w:t>
            </w:r>
            <w:r>
              <w:rPr>
                <w:rFonts w:ascii="Verdana"/>
                <w:spacing w:val="-2"/>
                <w:sz w:val="24"/>
              </w:rPr>
              <w:t> </w:t>
            </w:r>
            <w:r>
              <w:rPr>
                <w:rFonts w:ascii="Verdana"/>
                <w:sz w:val="24"/>
              </w:rPr>
              <w:t>workforce</w:t>
            </w:r>
            <w:r>
              <w:rPr>
                <w:rFonts w:ascii="Verdana"/>
                <w:spacing w:val="-1"/>
                <w:sz w:val="24"/>
              </w:rPr>
              <w:t> </w:t>
            </w:r>
            <w:r>
              <w:rPr>
                <w:rFonts w:ascii="Verdana"/>
                <w:spacing w:val="-4"/>
                <w:sz w:val="24"/>
              </w:rPr>
              <w:t>data</w:t>
            </w:r>
          </w:p>
          <w:p>
            <w:pPr>
              <w:pStyle w:val="TableParagraph"/>
              <w:spacing w:line="252" w:lineRule="exact" w:before="18"/>
              <w:ind w:left="47"/>
              <w:rPr>
                <w:rFonts w:ascii="Verdana"/>
                <w:sz w:val="24"/>
              </w:rPr>
            </w:pPr>
            <w:r>
              <w:rPr>
                <w:rFonts w:ascii="Verdana"/>
                <w:sz w:val="24"/>
              </w:rPr>
              <w:t>analysis</w:t>
            </w:r>
            <w:r>
              <w:rPr>
                <w:rFonts w:ascii="Verdana"/>
                <w:spacing w:val="-4"/>
                <w:sz w:val="24"/>
              </w:rPr>
              <w:t> </w:t>
            </w:r>
            <w:r>
              <w:rPr>
                <w:rFonts w:ascii="Verdana"/>
                <w:sz w:val="24"/>
              </w:rPr>
              <w:t>&amp;</w:t>
            </w:r>
            <w:r>
              <w:rPr>
                <w:rFonts w:ascii="Verdana"/>
                <w:spacing w:val="-3"/>
                <w:sz w:val="24"/>
              </w:rPr>
              <w:t> </w:t>
            </w:r>
            <w:r>
              <w:rPr>
                <w:rFonts w:ascii="Verdana"/>
                <w:sz w:val="24"/>
              </w:rPr>
              <w:t>benchmark</w:t>
            </w:r>
            <w:r>
              <w:rPr>
                <w:rFonts w:ascii="Verdana"/>
                <w:spacing w:val="-3"/>
                <w:sz w:val="24"/>
              </w:rPr>
              <w:t> </w:t>
            </w:r>
            <w:r>
              <w:rPr>
                <w:rFonts w:ascii="Verdana"/>
                <w:spacing w:val="-2"/>
                <w:sz w:val="24"/>
              </w:rPr>
              <w:t>identifies</w:t>
            </w:r>
          </w:p>
        </w:tc>
      </w:tr>
      <w:tr>
        <w:trPr>
          <w:trHeight w:val="560" w:hRule="atLeast"/>
        </w:trPr>
        <w:tc>
          <w:tcPr>
            <w:tcW w:w="8397" w:type="dxa"/>
          </w:tcPr>
          <w:p>
            <w:pPr>
              <w:pStyle w:val="TableParagraph"/>
              <w:spacing w:line="271" w:lineRule="exact"/>
              <w:ind w:left="47"/>
              <w:rPr>
                <w:rFonts w:ascii="Verdana"/>
                <w:sz w:val="24"/>
              </w:rPr>
            </w:pPr>
            <w:r>
              <w:rPr>
                <w:rFonts w:ascii="Verdana"/>
                <w:sz w:val="24"/>
              </w:rPr>
              <w:t>Alternative</w:t>
            </w:r>
            <w:r>
              <w:rPr>
                <w:rFonts w:ascii="Verdana"/>
                <w:spacing w:val="-6"/>
                <w:sz w:val="24"/>
              </w:rPr>
              <w:t> </w:t>
            </w:r>
            <w:r>
              <w:rPr>
                <w:rFonts w:ascii="Verdana"/>
                <w:sz w:val="24"/>
              </w:rPr>
              <w:t>service</w:t>
            </w:r>
            <w:r>
              <w:rPr>
                <w:rFonts w:ascii="Verdana"/>
                <w:spacing w:val="-3"/>
                <w:sz w:val="24"/>
              </w:rPr>
              <w:t> </w:t>
            </w:r>
            <w:r>
              <w:rPr>
                <w:rFonts w:ascii="Verdana"/>
                <w:sz w:val="24"/>
              </w:rPr>
              <w:t>and</w:t>
            </w:r>
            <w:r>
              <w:rPr>
                <w:rFonts w:ascii="Verdana"/>
                <w:spacing w:val="-4"/>
                <w:sz w:val="24"/>
              </w:rPr>
              <w:t> </w:t>
            </w:r>
            <w:r>
              <w:rPr>
                <w:rFonts w:ascii="Verdana"/>
                <w:sz w:val="24"/>
              </w:rPr>
              <w:t>workforce</w:t>
            </w:r>
            <w:r>
              <w:rPr>
                <w:rFonts w:ascii="Verdana"/>
                <w:spacing w:val="-3"/>
                <w:sz w:val="24"/>
              </w:rPr>
              <w:t> </w:t>
            </w:r>
            <w:r>
              <w:rPr>
                <w:rFonts w:ascii="Verdana"/>
                <w:sz w:val="24"/>
              </w:rPr>
              <w:t>models/</w:t>
            </w:r>
            <w:r>
              <w:rPr>
                <w:rFonts w:ascii="Verdana"/>
                <w:spacing w:val="-4"/>
                <w:sz w:val="24"/>
              </w:rPr>
              <w:t> </w:t>
            </w:r>
            <w:r>
              <w:rPr>
                <w:rFonts w:ascii="Verdana"/>
                <w:sz w:val="24"/>
              </w:rPr>
              <w:t>solutions</w:t>
            </w:r>
            <w:r>
              <w:rPr>
                <w:rFonts w:ascii="Verdana"/>
                <w:spacing w:val="-4"/>
                <w:sz w:val="24"/>
              </w:rPr>
              <w:t> </w:t>
            </w:r>
            <w:r>
              <w:rPr>
                <w:rFonts w:ascii="Verdana"/>
                <w:spacing w:val="-2"/>
                <w:sz w:val="24"/>
              </w:rPr>
              <w:t>benchmarked/</w:t>
            </w:r>
          </w:p>
          <w:p>
            <w:pPr>
              <w:pStyle w:val="TableParagraph"/>
              <w:spacing w:line="252" w:lineRule="exact" w:before="18"/>
              <w:ind w:left="47"/>
              <w:rPr>
                <w:rFonts w:ascii="Verdana"/>
                <w:sz w:val="24"/>
              </w:rPr>
            </w:pPr>
            <w:r>
              <w:rPr>
                <w:rFonts w:ascii="Verdana"/>
                <w:sz w:val="24"/>
              </w:rPr>
              <w:t>identified/</w:t>
            </w:r>
            <w:r>
              <w:rPr>
                <w:rFonts w:ascii="Verdana"/>
                <w:spacing w:val="-11"/>
                <w:sz w:val="24"/>
              </w:rPr>
              <w:t> </w:t>
            </w:r>
            <w:r>
              <w:rPr>
                <w:rFonts w:ascii="Verdana"/>
                <w:spacing w:val="-2"/>
                <w:sz w:val="24"/>
              </w:rPr>
              <w:t>appraised</w:t>
            </w:r>
          </w:p>
        </w:tc>
      </w:tr>
      <w:tr>
        <w:trPr>
          <w:trHeight w:val="560" w:hRule="atLeast"/>
        </w:trPr>
        <w:tc>
          <w:tcPr>
            <w:tcW w:w="8397" w:type="dxa"/>
          </w:tcPr>
          <w:p>
            <w:pPr>
              <w:pStyle w:val="TableParagraph"/>
              <w:spacing w:line="271" w:lineRule="exact"/>
              <w:ind w:left="47"/>
              <w:rPr>
                <w:rFonts w:ascii="Verdana"/>
                <w:sz w:val="24"/>
              </w:rPr>
            </w:pPr>
            <w:r>
              <w:rPr>
                <w:rFonts w:ascii="Verdana"/>
                <w:sz w:val="24"/>
              </w:rPr>
              <w:t>Plans</w:t>
            </w:r>
            <w:r>
              <w:rPr>
                <w:rFonts w:ascii="Verdana"/>
                <w:spacing w:val="-6"/>
                <w:sz w:val="24"/>
              </w:rPr>
              <w:t> </w:t>
            </w:r>
            <w:r>
              <w:rPr>
                <w:rFonts w:ascii="Verdana"/>
                <w:sz w:val="24"/>
              </w:rPr>
              <w:t>for</w:t>
            </w:r>
            <w:r>
              <w:rPr>
                <w:rFonts w:ascii="Verdana"/>
                <w:spacing w:val="-2"/>
                <w:sz w:val="24"/>
              </w:rPr>
              <w:t> </w:t>
            </w:r>
            <w:r>
              <w:rPr>
                <w:rFonts w:ascii="Verdana"/>
                <w:sz w:val="24"/>
              </w:rPr>
              <w:t>joint</w:t>
            </w:r>
            <w:r>
              <w:rPr>
                <w:rFonts w:ascii="Verdana"/>
                <w:spacing w:val="-3"/>
                <w:sz w:val="24"/>
              </w:rPr>
              <w:t> </w:t>
            </w:r>
            <w:r>
              <w:rPr>
                <w:rFonts w:ascii="Verdana"/>
                <w:sz w:val="24"/>
              </w:rPr>
              <w:t>workforce</w:t>
            </w:r>
            <w:r>
              <w:rPr>
                <w:rFonts w:ascii="Verdana"/>
                <w:spacing w:val="-2"/>
                <w:sz w:val="24"/>
              </w:rPr>
              <w:t> </w:t>
            </w:r>
            <w:r>
              <w:rPr>
                <w:rFonts w:ascii="Verdana"/>
                <w:sz w:val="24"/>
              </w:rPr>
              <w:t>solutions</w:t>
            </w:r>
            <w:r>
              <w:rPr>
                <w:rFonts w:ascii="Verdana"/>
                <w:spacing w:val="-3"/>
                <w:sz w:val="24"/>
              </w:rPr>
              <w:t> </w:t>
            </w:r>
            <w:r>
              <w:rPr>
                <w:rFonts w:ascii="Verdana"/>
                <w:sz w:val="24"/>
              </w:rPr>
              <w:t>and</w:t>
            </w:r>
            <w:r>
              <w:rPr>
                <w:rFonts w:ascii="Verdana"/>
                <w:spacing w:val="-4"/>
                <w:sz w:val="24"/>
              </w:rPr>
              <w:t> </w:t>
            </w:r>
            <w:r>
              <w:rPr>
                <w:rFonts w:ascii="Verdana"/>
                <w:sz w:val="24"/>
              </w:rPr>
              <w:t>implement</w:t>
            </w:r>
            <w:r>
              <w:rPr>
                <w:rFonts w:ascii="Verdana"/>
                <w:spacing w:val="-3"/>
                <w:sz w:val="24"/>
              </w:rPr>
              <w:t> </w:t>
            </w:r>
            <w:r>
              <w:rPr>
                <w:rFonts w:ascii="Verdana"/>
                <w:sz w:val="24"/>
              </w:rPr>
              <w:t>early</w:t>
            </w:r>
            <w:r>
              <w:rPr>
                <w:rFonts w:ascii="Verdana"/>
                <w:spacing w:val="-3"/>
                <w:sz w:val="24"/>
              </w:rPr>
              <w:t> </w:t>
            </w:r>
            <w:r>
              <w:rPr>
                <w:rFonts w:ascii="Verdana"/>
                <w:sz w:val="24"/>
              </w:rPr>
              <w:t>actions</w:t>
            </w:r>
            <w:r>
              <w:rPr>
                <w:rFonts w:ascii="Verdana"/>
                <w:spacing w:val="-3"/>
                <w:sz w:val="24"/>
              </w:rPr>
              <w:t> </w:t>
            </w:r>
            <w:r>
              <w:rPr>
                <w:rFonts w:ascii="Verdana"/>
                <w:spacing w:val="-5"/>
                <w:sz w:val="24"/>
              </w:rPr>
              <w:t>for</w:t>
            </w:r>
          </w:p>
          <w:p>
            <w:pPr>
              <w:pStyle w:val="TableParagraph"/>
              <w:spacing w:line="252" w:lineRule="exact" w:before="18"/>
              <w:ind w:left="47"/>
              <w:rPr>
                <w:rFonts w:ascii="Verdana"/>
                <w:sz w:val="24"/>
              </w:rPr>
            </w:pPr>
            <w:r>
              <w:rPr>
                <w:rFonts w:ascii="Verdana"/>
                <w:sz w:val="24"/>
              </w:rPr>
              <w:t>priority</w:t>
            </w:r>
            <w:r>
              <w:rPr>
                <w:rFonts w:ascii="Verdana"/>
                <w:spacing w:val="-3"/>
                <w:sz w:val="24"/>
              </w:rPr>
              <w:t> </w:t>
            </w:r>
            <w:r>
              <w:rPr>
                <w:rFonts w:ascii="Verdana"/>
                <w:sz w:val="24"/>
              </w:rPr>
              <w:t>areas</w:t>
            </w:r>
            <w:r>
              <w:rPr>
                <w:rFonts w:ascii="Verdana"/>
                <w:spacing w:val="-2"/>
                <w:sz w:val="24"/>
              </w:rPr>
              <w:t> developed</w:t>
            </w:r>
          </w:p>
        </w:tc>
      </w:tr>
    </w:tbl>
    <w:p>
      <w:pPr>
        <w:pStyle w:val="TableParagraph"/>
        <w:spacing w:after="0" w:line="252" w:lineRule="exact"/>
        <w:rPr>
          <w:rFonts w:ascii="Verdana"/>
          <w:sz w:val="24"/>
        </w:rPr>
        <w:sectPr>
          <w:type w:val="continuous"/>
          <w:pgSz w:w="11910" w:h="16840"/>
          <w:pgMar w:header="0" w:footer="69" w:top="1040" w:bottom="1021"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397"/>
      </w:tblGrid>
      <w:tr>
        <w:trPr>
          <w:trHeight w:val="560" w:hRule="atLeast"/>
        </w:trPr>
        <w:tc>
          <w:tcPr>
            <w:tcW w:w="8397" w:type="dxa"/>
          </w:tcPr>
          <w:p>
            <w:pPr>
              <w:pStyle w:val="TableParagraph"/>
              <w:spacing w:before="133"/>
              <w:ind w:left="47"/>
              <w:rPr>
                <w:rFonts w:ascii="Verdana"/>
                <w:sz w:val="24"/>
              </w:rPr>
            </w:pPr>
            <w:r>
              <w:rPr>
                <w:rFonts w:ascii="Verdana"/>
                <w:sz w:val="24"/>
              </w:rPr>
              <w:t>Implement</w:t>
            </w:r>
            <w:r>
              <w:rPr>
                <w:rFonts w:ascii="Verdana"/>
                <w:spacing w:val="-4"/>
                <w:sz w:val="24"/>
              </w:rPr>
              <w:t> </w:t>
            </w:r>
            <w:r>
              <w:rPr>
                <w:rFonts w:ascii="Verdana"/>
                <w:sz w:val="24"/>
              </w:rPr>
              <w:t>joint</w:t>
            </w:r>
            <w:r>
              <w:rPr>
                <w:rFonts w:ascii="Verdana"/>
                <w:spacing w:val="-3"/>
                <w:sz w:val="24"/>
              </w:rPr>
              <w:t> </w:t>
            </w:r>
            <w:r>
              <w:rPr>
                <w:rFonts w:ascii="Verdana"/>
                <w:sz w:val="24"/>
              </w:rPr>
              <w:t>workforce</w:t>
            </w:r>
            <w:r>
              <w:rPr>
                <w:rFonts w:ascii="Verdana"/>
                <w:spacing w:val="-1"/>
                <w:sz w:val="24"/>
              </w:rPr>
              <w:t> </w:t>
            </w:r>
            <w:r>
              <w:rPr>
                <w:rFonts w:ascii="Verdana"/>
                <w:spacing w:val="-2"/>
                <w:sz w:val="24"/>
              </w:rPr>
              <w:t>solutions</w:t>
            </w:r>
          </w:p>
        </w:tc>
      </w:tr>
      <w:tr>
        <w:trPr>
          <w:trHeight w:val="561" w:hRule="atLeast"/>
        </w:trPr>
        <w:tc>
          <w:tcPr>
            <w:tcW w:w="8397" w:type="dxa"/>
          </w:tcPr>
          <w:p>
            <w:pPr>
              <w:pStyle w:val="TableParagraph"/>
              <w:spacing w:line="271" w:lineRule="exact"/>
              <w:ind w:left="47"/>
              <w:rPr>
                <w:rFonts w:ascii="Verdana"/>
                <w:sz w:val="24"/>
              </w:rPr>
            </w:pPr>
            <w:r>
              <w:rPr>
                <w:rFonts w:ascii="Verdana"/>
                <w:sz w:val="24"/>
              </w:rPr>
              <w:t>Regional</w:t>
            </w:r>
            <w:r>
              <w:rPr>
                <w:rFonts w:ascii="Verdana"/>
                <w:spacing w:val="-7"/>
                <w:sz w:val="24"/>
              </w:rPr>
              <w:t> </w:t>
            </w:r>
            <w:r>
              <w:rPr>
                <w:rFonts w:ascii="Verdana"/>
                <w:sz w:val="24"/>
              </w:rPr>
              <w:t>Leadership</w:t>
            </w:r>
            <w:r>
              <w:rPr>
                <w:rFonts w:ascii="Verdana"/>
                <w:spacing w:val="-4"/>
                <w:sz w:val="24"/>
              </w:rPr>
              <w:t> </w:t>
            </w:r>
            <w:r>
              <w:rPr>
                <w:rFonts w:ascii="Verdana"/>
                <w:sz w:val="24"/>
              </w:rPr>
              <w:t>Development</w:t>
            </w:r>
            <w:r>
              <w:rPr>
                <w:rFonts w:ascii="Verdana"/>
                <w:spacing w:val="-4"/>
                <w:sz w:val="24"/>
              </w:rPr>
              <w:t> </w:t>
            </w:r>
            <w:r>
              <w:rPr>
                <w:rFonts w:ascii="Verdana"/>
                <w:sz w:val="24"/>
              </w:rPr>
              <w:t>Offer</w:t>
            </w:r>
            <w:r>
              <w:rPr>
                <w:rFonts w:ascii="Verdana"/>
                <w:spacing w:val="-2"/>
                <w:sz w:val="24"/>
              </w:rPr>
              <w:t> </w:t>
            </w:r>
            <w:r>
              <w:rPr>
                <w:rFonts w:ascii="Verdana"/>
                <w:sz w:val="24"/>
              </w:rPr>
              <w:t>-</w:t>
            </w:r>
            <w:r>
              <w:rPr>
                <w:rFonts w:ascii="Verdana"/>
                <w:spacing w:val="-5"/>
                <w:sz w:val="24"/>
              </w:rPr>
              <w:t> </w:t>
            </w:r>
            <w:r>
              <w:rPr>
                <w:rFonts w:ascii="Verdana"/>
                <w:sz w:val="24"/>
              </w:rPr>
              <w:t>Roadmap</w:t>
            </w:r>
            <w:r>
              <w:rPr>
                <w:rFonts w:ascii="Verdana"/>
                <w:spacing w:val="-4"/>
                <w:sz w:val="24"/>
              </w:rPr>
              <w:t> </w:t>
            </w:r>
            <w:r>
              <w:rPr>
                <w:rFonts w:ascii="Verdana"/>
                <w:sz w:val="24"/>
              </w:rPr>
              <w:t>agreed</w:t>
            </w:r>
            <w:r>
              <w:rPr>
                <w:rFonts w:ascii="Verdana"/>
                <w:spacing w:val="-3"/>
                <w:sz w:val="24"/>
              </w:rPr>
              <w:t> </w:t>
            </w:r>
            <w:r>
              <w:rPr>
                <w:rFonts w:ascii="Verdana"/>
                <w:spacing w:val="-5"/>
                <w:sz w:val="24"/>
              </w:rPr>
              <w:t>and</w:t>
            </w:r>
          </w:p>
          <w:p>
            <w:pPr>
              <w:pStyle w:val="TableParagraph"/>
              <w:spacing w:line="252" w:lineRule="exact" w:before="18"/>
              <w:ind w:left="47"/>
              <w:rPr>
                <w:rFonts w:ascii="Verdana"/>
                <w:sz w:val="24"/>
              </w:rPr>
            </w:pPr>
            <w:r>
              <w:rPr>
                <w:rFonts w:ascii="Verdana"/>
                <w:spacing w:val="-2"/>
                <w:sz w:val="24"/>
              </w:rPr>
              <w:t>shared</w:t>
            </w:r>
          </w:p>
        </w:tc>
      </w:tr>
      <w:tr>
        <w:trPr>
          <w:trHeight w:val="560" w:hRule="atLeast"/>
        </w:trPr>
        <w:tc>
          <w:tcPr>
            <w:tcW w:w="8397" w:type="dxa"/>
          </w:tcPr>
          <w:p>
            <w:pPr>
              <w:pStyle w:val="TableParagraph"/>
              <w:spacing w:before="133"/>
              <w:ind w:left="47"/>
              <w:rPr>
                <w:rFonts w:ascii="Verdana"/>
                <w:sz w:val="24"/>
              </w:rPr>
            </w:pPr>
            <w:r>
              <w:rPr>
                <w:rFonts w:ascii="Verdana"/>
                <w:sz w:val="24"/>
              </w:rPr>
              <w:t>Discovery</w:t>
            </w:r>
            <w:r>
              <w:rPr>
                <w:rFonts w:ascii="Verdana"/>
                <w:spacing w:val="-4"/>
                <w:sz w:val="24"/>
              </w:rPr>
              <w:t> </w:t>
            </w:r>
            <w:r>
              <w:rPr>
                <w:rFonts w:ascii="Verdana"/>
                <w:sz w:val="24"/>
              </w:rPr>
              <w:t>and</w:t>
            </w:r>
            <w:r>
              <w:rPr>
                <w:rFonts w:ascii="Verdana"/>
                <w:spacing w:val="-4"/>
                <w:sz w:val="24"/>
              </w:rPr>
              <w:t> </w:t>
            </w:r>
            <w:r>
              <w:rPr>
                <w:rFonts w:ascii="Verdana"/>
                <w:sz w:val="24"/>
              </w:rPr>
              <w:t>needs</w:t>
            </w:r>
            <w:r>
              <w:rPr>
                <w:rFonts w:ascii="Verdana"/>
                <w:spacing w:val="-3"/>
                <w:sz w:val="24"/>
              </w:rPr>
              <w:t> </w:t>
            </w:r>
            <w:r>
              <w:rPr>
                <w:rFonts w:ascii="Verdana"/>
                <w:sz w:val="24"/>
              </w:rPr>
              <w:t>assessment</w:t>
            </w:r>
            <w:r>
              <w:rPr>
                <w:rFonts w:ascii="Verdana"/>
                <w:spacing w:val="-4"/>
                <w:sz w:val="24"/>
              </w:rPr>
              <w:t> </w:t>
            </w:r>
            <w:r>
              <w:rPr>
                <w:rFonts w:ascii="Verdana"/>
                <w:spacing w:val="-2"/>
                <w:sz w:val="24"/>
              </w:rPr>
              <w:t>completed</w:t>
            </w:r>
          </w:p>
        </w:tc>
      </w:tr>
      <w:tr>
        <w:trPr>
          <w:trHeight w:val="560" w:hRule="atLeast"/>
        </w:trPr>
        <w:tc>
          <w:tcPr>
            <w:tcW w:w="8397" w:type="dxa"/>
          </w:tcPr>
          <w:p>
            <w:pPr>
              <w:pStyle w:val="TableParagraph"/>
              <w:spacing w:before="133"/>
              <w:ind w:left="47"/>
              <w:rPr>
                <w:rFonts w:ascii="Verdana"/>
                <w:sz w:val="24"/>
              </w:rPr>
            </w:pPr>
            <w:r>
              <w:rPr>
                <w:rFonts w:ascii="Verdana"/>
                <w:sz w:val="24"/>
              </w:rPr>
              <w:t>Sponsors</w:t>
            </w:r>
            <w:r>
              <w:rPr>
                <w:rFonts w:ascii="Verdana"/>
                <w:spacing w:val="-3"/>
                <w:sz w:val="24"/>
              </w:rPr>
              <w:t> </w:t>
            </w:r>
            <w:r>
              <w:rPr>
                <w:rFonts w:ascii="Verdana"/>
                <w:sz w:val="24"/>
              </w:rPr>
              <w:t>confirmed</w:t>
            </w:r>
            <w:r>
              <w:rPr>
                <w:rFonts w:ascii="Verdana"/>
                <w:spacing w:val="-3"/>
                <w:sz w:val="24"/>
              </w:rPr>
              <w:t> </w:t>
            </w:r>
            <w:r>
              <w:rPr>
                <w:rFonts w:ascii="Verdana"/>
                <w:sz w:val="24"/>
              </w:rPr>
              <w:t>and</w:t>
            </w:r>
            <w:r>
              <w:rPr>
                <w:rFonts w:ascii="Verdana"/>
                <w:spacing w:val="-3"/>
                <w:sz w:val="24"/>
              </w:rPr>
              <w:t> </w:t>
            </w:r>
            <w:r>
              <w:rPr>
                <w:rFonts w:ascii="Verdana"/>
                <w:sz w:val="24"/>
              </w:rPr>
              <w:t>cross</w:t>
            </w:r>
            <w:r>
              <w:rPr>
                <w:rFonts w:ascii="Verdana"/>
                <w:spacing w:val="-3"/>
                <w:sz w:val="24"/>
              </w:rPr>
              <w:t> </w:t>
            </w:r>
            <w:r>
              <w:rPr>
                <w:rFonts w:ascii="Verdana"/>
                <w:sz w:val="24"/>
              </w:rPr>
              <w:t>HB</w:t>
            </w:r>
            <w:r>
              <w:rPr>
                <w:rFonts w:ascii="Verdana"/>
                <w:spacing w:val="-2"/>
                <w:sz w:val="24"/>
              </w:rPr>
              <w:t> </w:t>
            </w:r>
            <w:r>
              <w:rPr>
                <w:rFonts w:ascii="Verdana"/>
                <w:sz w:val="24"/>
              </w:rPr>
              <w:t>governance</w:t>
            </w:r>
            <w:r>
              <w:rPr>
                <w:rFonts w:ascii="Verdana"/>
                <w:spacing w:val="-1"/>
                <w:sz w:val="24"/>
              </w:rPr>
              <w:t> </w:t>
            </w:r>
            <w:r>
              <w:rPr>
                <w:rFonts w:ascii="Verdana"/>
                <w:spacing w:val="-2"/>
                <w:sz w:val="24"/>
              </w:rPr>
              <w:t>agreed</w:t>
            </w:r>
          </w:p>
        </w:tc>
      </w:tr>
      <w:tr>
        <w:trPr>
          <w:trHeight w:val="560" w:hRule="atLeast"/>
        </w:trPr>
        <w:tc>
          <w:tcPr>
            <w:tcW w:w="8397" w:type="dxa"/>
          </w:tcPr>
          <w:p>
            <w:pPr>
              <w:pStyle w:val="TableParagraph"/>
              <w:spacing w:before="133"/>
              <w:ind w:left="47"/>
              <w:rPr>
                <w:rFonts w:ascii="Verdana"/>
                <w:sz w:val="24"/>
              </w:rPr>
            </w:pPr>
            <w:r>
              <w:rPr>
                <w:rFonts w:ascii="Verdana"/>
                <w:sz w:val="24"/>
              </w:rPr>
              <w:t>Initial</w:t>
            </w:r>
            <w:r>
              <w:rPr>
                <w:rFonts w:ascii="Verdana"/>
                <w:spacing w:val="-6"/>
                <w:sz w:val="24"/>
              </w:rPr>
              <w:t> </w:t>
            </w:r>
            <w:r>
              <w:rPr>
                <w:rFonts w:ascii="Verdana"/>
                <w:sz w:val="24"/>
              </w:rPr>
              <w:t>design</w:t>
            </w:r>
            <w:r>
              <w:rPr>
                <w:rFonts w:ascii="Verdana"/>
                <w:spacing w:val="-5"/>
                <w:sz w:val="24"/>
              </w:rPr>
              <w:t> </w:t>
            </w:r>
            <w:r>
              <w:rPr>
                <w:rFonts w:ascii="Verdana"/>
                <w:sz w:val="24"/>
              </w:rPr>
              <w:t>options</w:t>
            </w:r>
            <w:r>
              <w:rPr>
                <w:rFonts w:ascii="Verdana"/>
                <w:spacing w:val="-5"/>
                <w:sz w:val="24"/>
              </w:rPr>
              <w:t> </w:t>
            </w:r>
            <w:r>
              <w:rPr>
                <w:rFonts w:ascii="Verdana"/>
                <w:sz w:val="24"/>
              </w:rPr>
              <w:t>developed</w:t>
            </w:r>
            <w:r>
              <w:rPr>
                <w:rFonts w:ascii="Verdana"/>
                <w:spacing w:val="-5"/>
                <w:sz w:val="24"/>
              </w:rPr>
              <w:t> </w:t>
            </w:r>
            <w:r>
              <w:rPr>
                <w:rFonts w:ascii="Verdana"/>
                <w:sz w:val="24"/>
              </w:rPr>
              <w:t>and</w:t>
            </w:r>
            <w:r>
              <w:rPr>
                <w:rFonts w:ascii="Verdana"/>
                <w:spacing w:val="-4"/>
                <w:sz w:val="24"/>
              </w:rPr>
              <w:t> </w:t>
            </w:r>
            <w:r>
              <w:rPr>
                <w:rFonts w:ascii="Verdana"/>
                <w:spacing w:val="-2"/>
                <w:sz w:val="24"/>
              </w:rPr>
              <w:t>reviewed</w:t>
            </w:r>
          </w:p>
        </w:tc>
      </w:tr>
      <w:tr>
        <w:trPr>
          <w:trHeight w:val="560" w:hRule="atLeast"/>
        </w:trPr>
        <w:tc>
          <w:tcPr>
            <w:tcW w:w="8397" w:type="dxa"/>
          </w:tcPr>
          <w:p>
            <w:pPr>
              <w:pStyle w:val="TableParagraph"/>
              <w:spacing w:before="133"/>
              <w:ind w:left="47"/>
              <w:rPr>
                <w:rFonts w:ascii="Verdana"/>
                <w:sz w:val="24"/>
              </w:rPr>
            </w:pPr>
            <w:r>
              <w:rPr>
                <w:rFonts w:ascii="Verdana"/>
                <w:sz w:val="24"/>
              </w:rPr>
              <w:t>Roadmap</w:t>
            </w:r>
            <w:r>
              <w:rPr>
                <w:rFonts w:ascii="Verdana"/>
                <w:spacing w:val="-4"/>
                <w:sz w:val="24"/>
              </w:rPr>
              <w:t> </w:t>
            </w:r>
            <w:r>
              <w:rPr>
                <w:rFonts w:ascii="Verdana"/>
                <w:sz w:val="24"/>
              </w:rPr>
              <w:t>agreed</w:t>
            </w:r>
            <w:r>
              <w:rPr>
                <w:rFonts w:ascii="Verdana"/>
                <w:spacing w:val="-4"/>
                <w:sz w:val="24"/>
              </w:rPr>
              <w:t> </w:t>
            </w:r>
            <w:r>
              <w:rPr>
                <w:rFonts w:ascii="Verdana"/>
                <w:sz w:val="24"/>
              </w:rPr>
              <w:t>and</w:t>
            </w:r>
            <w:r>
              <w:rPr>
                <w:rFonts w:ascii="Verdana"/>
                <w:spacing w:val="-3"/>
                <w:sz w:val="24"/>
              </w:rPr>
              <w:t> </w:t>
            </w:r>
            <w:r>
              <w:rPr>
                <w:rFonts w:ascii="Verdana"/>
                <w:spacing w:val="-2"/>
                <w:sz w:val="24"/>
              </w:rPr>
              <w:t>shared</w:t>
            </w:r>
          </w:p>
        </w:tc>
      </w:tr>
      <w:tr>
        <w:trPr>
          <w:trHeight w:val="356" w:hRule="atLeast"/>
        </w:trPr>
        <w:tc>
          <w:tcPr>
            <w:tcW w:w="8397" w:type="dxa"/>
            <w:shd w:val="clear" w:color="auto" w:fill="C1EFC6"/>
          </w:tcPr>
          <w:p>
            <w:pPr>
              <w:pStyle w:val="TableParagraph"/>
              <w:spacing w:before="32"/>
              <w:ind w:left="52"/>
              <w:rPr>
                <w:rFonts w:ascii="Verdana"/>
                <w:b/>
                <w:sz w:val="24"/>
              </w:rPr>
            </w:pPr>
            <w:r>
              <w:rPr>
                <w:rFonts w:ascii="Verdana"/>
                <w:b/>
                <w:sz w:val="24"/>
              </w:rPr>
              <w:t>Research,</w:t>
            </w:r>
            <w:r>
              <w:rPr>
                <w:rFonts w:ascii="Verdana"/>
                <w:b/>
                <w:spacing w:val="-7"/>
                <w:sz w:val="24"/>
              </w:rPr>
              <w:t> </w:t>
            </w:r>
            <w:r>
              <w:rPr>
                <w:rFonts w:ascii="Verdana"/>
                <w:b/>
                <w:sz w:val="24"/>
              </w:rPr>
              <w:t>Innovation,</w:t>
            </w:r>
            <w:r>
              <w:rPr>
                <w:rFonts w:ascii="Verdana"/>
                <w:b/>
                <w:spacing w:val="-6"/>
                <w:sz w:val="24"/>
              </w:rPr>
              <w:t> </w:t>
            </w:r>
            <w:r>
              <w:rPr>
                <w:rFonts w:ascii="Verdana"/>
                <w:b/>
                <w:sz w:val="24"/>
              </w:rPr>
              <w:t>and</w:t>
            </w:r>
            <w:r>
              <w:rPr>
                <w:rFonts w:ascii="Verdana"/>
                <w:b/>
                <w:spacing w:val="-5"/>
                <w:sz w:val="24"/>
              </w:rPr>
              <w:t> </w:t>
            </w:r>
            <w:r>
              <w:rPr>
                <w:rFonts w:ascii="Verdana"/>
                <w:b/>
                <w:spacing w:val="-2"/>
                <w:sz w:val="24"/>
              </w:rPr>
              <w:t>Excellence</w:t>
            </w:r>
          </w:p>
        </w:tc>
      </w:tr>
      <w:tr>
        <w:trPr>
          <w:trHeight w:val="851" w:hRule="atLeast"/>
        </w:trPr>
        <w:tc>
          <w:tcPr>
            <w:tcW w:w="8397" w:type="dxa"/>
          </w:tcPr>
          <w:p>
            <w:pPr>
              <w:pStyle w:val="TableParagraph"/>
              <w:spacing w:before="3"/>
              <w:rPr>
                <w:sz w:val="24"/>
              </w:rPr>
            </w:pPr>
          </w:p>
          <w:p>
            <w:pPr>
              <w:pStyle w:val="TableParagraph"/>
              <w:spacing w:before="1"/>
              <w:ind w:left="47"/>
              <w:rPr>
                <w:rFonts w:ascii="Verdana"/>
                <w:sz w:val="24"/>
              </w:rPr>
            </w:pPr>
            <w:r>
              <w:rPr>
                <w:rFonts w:ascii="Verdana"/>
                <w:sz w:val="24"/>
              </w:rPr>
              <w:t>Revised</w:t>
            </w:r>
            <w:r>
              <w:rPr>
                <w:rFonts w:ascii="Verdana"/>
                <w:spacing w:val="-4"/>
                <w:sz w:val="24"/>
              </w:rPr>
              <w:t> </w:t>
            </w:r>
            <w:r>
              <w:rPr>
                <w:rFonts w:ascii="Verdana"/>
                <w:sz w:val="24"/>
              </w:rPr>
              <w:t>governance</w:t>
            </w:r>
            <w:r>
              <w:rPr>
                <w:rFonts w:ascii="Verdana"/>
                <w:spacing w:val="-4"/>
                <w:sz w:val="24"/>
              </w:rPr>
              <w:t> </w:t>
            </w:r>
            <w:r>
              <w:rPr>
                <w:rFonts w:ascii="Verdana"/>
                <w:sz w:val="24"/>
              </w:rPr>
              <w:t>arrangements</w:t>
            </w:r>
            <w:r>
              <w:rPr>
                <w:rFonts w:ascii="Verdana"/>
                <w:spacing w:val="-5"/>
                <w:sz w:val="24"/>
              </w:rPr>
              <w:t> </w:t>
            </w:r>
            <w:r>
              <w:rPr>
                <w:rFonts w:ascii="Verdana"/>
                <w:sz w:val="24"/>
              </w:rPr>
              <w:t>in</w:t>
            </w:r>
            <w:r>
              <w:rPr>
                <w:rFonts w:ascii="Verdana"/>
                <w:spacing w:val="-5"/>
                <w:sz w:val="24"/>
              </w:rPr>
              <w:t> </w:t>
            </w:r>
            <w:r>
              <w:rPr>
                <w:rFonts w:ascii="Verdana"/>
                <w:spacing w:val="-2"/>
                <w:sz w:val="24"/>
              </w:rPr>
              <w:t>place</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Review</w:t>
            </w:r>
            <w:r>
              <w:rPr>
                <w:rFonts w:ascii="Verdana"/>
                <w:spacing w:val="-4"/>
                <w:sz w:val="24"/>
              </w:rPr>
              <w:t> </w:t>
            </w:r>
            <w:r>
              <w:rPr>
                <w:rFonts w:ascii="Verdana"/>
                <w:sz w:val="24"/>
              </w:rPr>
              <w:t>of</w:t>
            </w:r>
            <w:r>
              <w:rPr>
                <w:rFonts w:ascii="Verdana"/>
                <w:spacing w:val="-3"/>
                <w:sz w:val="24"/>
              </w:rPr>
              <w:t> </w:t>
            </w:r>
            <w:r>
              <w:rPr>
                <w:rFonts w:ascii="Verdana"/>
                <w:sz w:val="24"/>
              </w:rPr>
              <w:t>both</w:t>
            </w:r>
            <w:r>
              <w:rPr>
                <w:rFonts w:ascii="Verdana"/>
                <w:spacing w:val="-4"/>
                <w:sz w:val="24"/>
              </w:rPr>
              <w:t> </w:t>
            </w:r>
            <w:r>
              <w:rPr>
                <w:rFonts w:ascii="Verdana"/>
                <w:sz w:val="24"/>
              </w:rPr>
              <w:t>organisations</w:t>
            </w:r>
            <w:r>
              <w:rPr>
                <w:rFonts w:ascii="Verdana"/>
                <w:spacing w:val="-4"/>
                <w:sz w:val="24"/>
              </w:rPr>
              <w:t> </w:t>
            </w:r>
            <w:r>
              <w:rPr>
                <w:rFonts w:ascii="Verdana"/>
                <w:sz w:val="24"/>
              </w:rPr>
              <w:t>R&amp;D</w:t>
            </w:r>
            <w:r>
              <w:rPr>
                <w:rFonts w:ascii="Verdana"/>
                <w:spacing w:val="-4"/>
                <w:sz w:val="24"/>
              </w:rPr>
              <w:t> </w:t>
            </w:r>
            <w:r>
              <w:rPr>
                <w:rFonts w:ascii="Verdana"/>
                <w:sz w:val="24"/>
              </w:rPr>
              <w:t>structures</w:t>
            </w:r>
            <w:r>
              <w:rPr>
                <w:rFonts w:ascii="Verdana"/>
                <w:spacing w:val="-4"/>
                <w:sz w:val="24"/>
              </w:rPr>
              <w:t> </w:t>
            </w:r>
            <w:r>
              <w:rPr>
                <w:rFonts w:ascii="Verdana"/>
                <w:spacing w:val="-2"/>
                <w:sz w:val="24"/>
              </w:rPr>
              <w:t>complete</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Regional</w:t>
            </w:r>
            <w:r>
              <w:rPr>
                <w:rFonts w:ascii="Verdana"/>
                <w:spacing w:val="-8"/>
                <w:sz w:val="24"/>
              </w:rPr>
              <w:t> </w:t>
            </w:r>
            <w:r>
              <w:rPr>
                <w:rFonts w:ascii="Verdana"/>
                <w:sz w:val="24"/>
              </w:rPr>
              <w:t>strategy</w:t>
            </w:r>
            <w:r>
              <w:rPr>
                <w:rFonts w:ascii="Verdana"/>
                <w:spacing w:val="-5"/>
                <w:sz w:val="24"/>
              </w:rPr>
              <w:t> </w:t>
            </w:r>
            <w:r>
              <w:rPr>
                <w:rFonts w:ascii="Verdana"/>
                <w:sz w:val="24"/>
              </w:rPr>
              <w:t>and</w:t>
            </w:r>
            <w:r>
              <w:rPr>
                <w:rFonts w:ascii="Verdana"/>
                <w:spacing w:val="-5"/>
                <w:sz w:val="24"/>
              </w:rPr>
              <w:t> </w:t>
            </w:r>
            <w:r>
              <w:rPr>
                <w:rFonts w:ascii="Verdana"/>
                <w:sz w:val="24"/>
              </w:rPr>
              <w:t>implementation</w:t>
            </w:r>
            <w:r>
              <w:rPr>
                <w:rFonts w:ascii="Verdana"/>
                <w:spacing w:val="-4"/>
                <w:sz w:val="24"/>
              </w:rPr>
              <w:t> </w:t>
            </w:r>
            <w:r>
              <w:rPr>
                <w:rFonts w:ascii="Verdana"/>
                <w:sz w:val="24"/>
              </w:rPr>
              <w:t>plan</w:t>
            </w:r>
            <w:r>
              <w:rPr>
                <w:rFonts w:ascii="Verdana"/>
                <w:spacing w:val="-5"/>
                <w:sz w:val="24"/>
              </w:rPr>
              <w:t> </w:t>
            </w:r>
            <w:r>
              <w:rPr>
                <w:rFonts w:ascii="Verdana"/>
                <w:sz w:val="24"/>
              </w:rPr>
              <w:t>update</w:t>
            </w:r>
            <w:r>
              <w:rPr>
                <w:rFonts w:ascii="Verdana"/>
                <w:spacing w:val="-3"/>
                <w:sz w:val="24"/>
              </w:rPr>
              <w:t> </w:t>
            </w:r>
            <w:r>
              <w:rPr>
                <w:rFonts w:ascii="Verdana"/>
                <w:sz w:val="24"/>
              </w:rPr>
              <w:t>and</w:t>
            </w:r>
            <w:r>
              <w:rPr>
                <w:rFonts w:ascii="Verdana"/>
                <w:spacing w:val="-5"/>
                <w:sz w:val="24"/>
              </w:rPr>
              <w:t> </w:t>
            </w:r>
            <w:r>
              <w:rPr>
                <w:rFonts w:ascii="Verdana"/>
                <w:sz w:val="24"/>
              </w:rPr>
              <w:t>sense</w:t>
            </w:r>
            <w:r>
              <w:rPr>
                <w:rFonts w:ascii="Verdana"/>
                <w:spacing w:val="-3"/>
                <w:sz w:val="24"/>
              </w:rPr>
              <w:t> </w:t>
            </w:r>
            <w:r>
              <w:rPr>
                <w:rFonts w:ascii="Verdana"/>
                <w:spacing w:val="-2"/>
                <w:sz w:val="24"/>
              </w:rPr>
              <w:t>check</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Regional</w:t>
            </w:r>
            <w:r>
              <w:rPr>
                <w:rFonts w:ascii="Verdana"/>
                <w:spacing w:val="-6"/>
                <w:sz w:val="24"/>
              </w:rPr>
              <w:t> </w:t>
            </w:r>
            <w:r>
              <w:rPr>
                <w:rFonts w:ascii="Verdana"/>
                <w:sz w:val="24"/>
              </w:rPr>
              <w:t>strategy</w:t>
            </w:r>
            <w:r>
              <w:rPr>
                <w:rFonts w:ascii="Verdana"/>
                <w:spacing w:val="-6"/>
                <w:sz w:val="24"/>
              </w:rPr>
              <w:t> </w:t>
            </w:r>
            <w:r>
              <w:rPr>
                <w:rFonts w:ascii="Verdana"/>
                <w:sz w:val="24"/>
              </w:rPr>
              <w:t>and</w:t>
            </w:r>
            <w:r>
              <w:rPr>
                <w:rFonts w:ascii="Verdana"/>
                <w:spacing w:val="-5"/>
                <w:sz w:val="24"/>
              </w:rPr>
              <w:t> </w:t>
            </w:r>
            <w:r>
              <w:rPr>
                <w:rFonts w:ascii="Verdana"/>
                <w:sz w:val="24"/>
              </w:rPr>
              <w:t>implementation</w:t>
            </w:r>
            <w:r>
              <w:rPr>
                <w:rFonts w:ascii="Verdana"/>
                <w:spacing w:val="-4"/>
                <w:sz w:val="24"/>
              </w:rPr>
              <w:t> plan</w:t>
            </w:r>
          </w:p>
        </w:tc>
      </w:tr>
      <w:tr>
        <w:trPr>
          <w:trHeight w:val="851" w:hRule="atLeast"/>
        </w:trPr>
        <w:tc>
          <w:tcPr>
            <w:tcW w:w="8397" w:type="dxa"/>
          </w:tcPr>
          <w:p>
            <w:pPr>
              <w:pStyle w:val="TableParagraph"/>
              <w:spacing w:before="3"/>
              <w:rPr>
                <w:sz w:val="24"/>
              </w:rPr>
            </w:pPr>
          </w:p>
          <w:p>
            <w:pPr>
              <w:pStyle w:val="TableParagraph"/>
              <w:ind w:left="47"/>
              <w:rPr>
                <w:rFonts w:ascii="Verdana"/>
                <w:sz w:val="24"/>
              </w:rPr>
            </w:pPr>
            <w:r>
              <w:rPr>
                <w:rFonts w:ascii="Verdana"/>
                <w:sz w:val="24"/>
              </w:rPr>
              <w:t>Appoint</w:t>
            </w:r>
            <w:r>
              <w:rPr>
                <w:rFonts w:ascii="Verdana"/>
                <w:spacing w:val="-3"/>
                <w:sz w:val="24"/>
              </w:rPr>
              <w:t> </w:t>
            </w:r>
            <w:r>
              <w:rPr>
                <w:rFonts w:ascii="Verdana"/>
                <w:sz w:val="24"/>
              </w:rPr>
              <w:t>Regional</w:t>
            </w:r>
            <w:r>
              <w:rPr>
                <w:rFonts w:ascii="Verdana"/>
                <w:spacing w:val="-4"/>
                <w:sz w:val="24"/>
              </w:rPr>
              <w:t> </w:t>
            </w:r>
            <w:r>
              <w:rPr>
                <w:rFonts w:ascii="Verdana"/>
                <w:sz w:val="24"/>
              </w:rPr>
              <w:t>Director</w:t>
            </w:r>
            <w:r>
              <w:rPr>
                <w:rFonts w:ascii="Verdana"/>
                <w:spacing w:val="-2"/>
                <w:sz w:val="24"/>
              </w:rPr>
              <w:t> </w:t>
            </w:r>
            <w:r>
              <w:rPr>
                <w:rFonts w:ascii="Verdana"/>
                <w:sz w:val="24"/>
              </w:rPr>
              <w:t>for</w:t>
            </w:r>
            <w:r>
              <w:rPr>
                <w:rFonts w:ascii="Verdana"/>
                <w:spacing w:val="-1"/>
                <w:sz w:val="24"/>
              </w:rPr>
              <w:t> </w:t>
            </w:r>
            <w:r>
              <w:rPr>
                <w:rFonts w:ascii="Verdana"/>
                <w:sz w:val="24"/>
              </w:rPr>
              <w:t>Research</w:t>
            </w:r>
            <w:r>
              <w:rPr>
                <w:rFonts w:ascii="Verdana"/>
                <w:spacing w:val="-3"/>
                <w:sz w:val="24"/>
              </w:rPr>
              <w:t> </w:t>
            </w:r>
            <w:r>
              <w:rPr>
                <w:rFonts w:ascii="Verdana"/>
                <w:sz w:val="24"/>
              </w:rPr>
              <w:t>&amp;</w:t>
            </w:r>
            <w:r>
              <w:rPr>
                <w:rFonts w:ascii="Verdana"/>
                <w:spacing w:val="-1"/>
                <w:sz w:val="24"/>
              </w:rPr>
              <w:t> </w:t>
            </w:r>
            <w:r>
              <w:rPr>
                <w:rFonts w:ascii="Verdana"/>
                <w:spacing w:val="-2"/>
                <w:sz w:val="24"/>
              </w:rPr>
              <w:t>Innovation</w:t>
            </w:r>
          </w:p>
        </w:tc>
      </w:tr>
      <w:tr>
        <w:trPr>
          <w:trHeight w:val="385" w:hRule="atLeast"/>
        </w:trPr>
        <w:tc>
          <w:tcPr>
            <w:tcW w:w="8397" w:type="dxa"/>
            <w:shd w:val="clear" w:color="auto" w:fill="C1EFC6"/>
          </w:tcPr>
          <w:p>
            <w:pPr>
              <w:pStyle w:val="TableParagraph"/>
              <w:spacing w:before="46"/>
              <w:ind w:left="52"/>
              <w:rPr>
                <w:rFonts w:ascii="Verdana"/>
                <w:b/>
                <w:sz w:val="24"/>
              </w:rPr>
            </w:pPr>
            <w:r>
              <w:rPr>
                <w:rFonts w:ascii="Verdana"/>
                <w:b/>
                <w:sz w:val="24"/>
              </w:rPr>
              <w:t>Regional</w:t>
            </w:r>
            <w:r>
              <w:rPr>
                <w:rFonts w:ascii="Verdana"/>
                <w:b/>
                <w:spacing w:val="-3"/>
                <w:sz w:val="24"/>
              </w:rPr>
              <w:t> </w:t>
            </w:r>
            <w:r>
              <w:rPr>
                <w:rFonts w:ascii="Verdana"/>
                <w:b/>
                <w:spacing w:val="-2"/>
                <w:sz w:val="24"/>
              </w:rPr>
              <w:t>Governance</w:t>
            </w:r>
          </w:p>
        </w:tc>
      </w:tr>
      <w:tr>
        <w:trPr>
          <w:trHeight w:val="560" w:hRule="atLeast"/>
        </w:trPr>
        <w:tc>
          <w:tcPr>
            <w:tcW w:w="8397" w:type="dxa"/>
          </w:tcPr>
          <w:p>
            <w:pPr>
              <w:pStyle w:val="TableParagraph"/>
              <w:spacing w:before="139"/>
              <w:ind w:left="42"/>
              <w:rPr>
                <w:sz w:val="24"/>
              </w:rPr>
            </w:pPr>
            <w:r>
              <w:rPr>
                <w:sz w:val="24"/>
              </w:rPr>
              <w:t>RJC</w:t>
            </w:r>
            <w:r>
              <w:rPr>
                <w:spacing w:val="-3"/>
                <w:sz w:val="24"/>
              </w:rPr>
              <w:t> </w:t>
            </w:r>
            <w:r>
              <w:rPr>
                <w:sz w:val="24"/>
              </w:rPr>
              <w:t>Internal</w:t>
            </w:r>
            <w:r>
              <w:rPr>
                <w:spacing w:val="-1"/>
                <w:sz w:val="24"/>
              </w:rPr>
              <w:t> </w:t>
            </w:r>
            <w:r>
              <w:rPr>
                <w:sz w:val="24"/>
              </w:rPr>
              <w:t>Audit</w:t>
            </w:r>
            <w:r>
              <w:rPr>
                <w:spacing w:val="-1"/>
                <w:sz w:val="24"/>
              </w:rPr>
              <w:t> </w:t>
            </w:r>
            <w:r>
              <w:rPr>
                <w:spacing w:val="-2"/>
                <w:sz w:val="24"/>
              </w:rPr>
              <w:t>Report</w:t>
            </w:r>
          </w:p>
        </w:tc>
      </w:tr>
      <w:tr>
        <w:trPr>
          <w:trHeight w:val="560" w:hRule="atLeast"/>
        </w:trPr>
        <w:tc>
          <w:tcPr>
            <w:tcW w:w="8397" w:type="dxa"/>
          </w:tcPr>
          <w:p>
            <w:pPr>
              <w:pStyle w:val="TableParagraph"/>
              <w:spacing w:before="139"/>
              <w:ind w:left="42"/>
              <w:rPr>
                <w:sz w:val="24"/>
              </w:rPr>
            </w:pPr>
            <w:r>
              <w:rPr>
                <w:sz w:val="24"/>
              </w:rPr>
              <w:t>Terms</w:t>
            </w:r>
            <w:r>
              <w:rPr>
                <w:spacing w:val="-1"/>
                <w:sz w:val="24"/>
              </w:rPr>
              <w:t> </w:t>
            </w:r>
            <w:r>
              <w:rPr>
                <w:sz w:val="24"/>
              </w:rPr>
              <w:t>of</w:t>
            </w:r>
            <w:r>
              <w:rPr>
                <w:spacing w:val="2"/>
                <w:sz w:val="24"/>
              </w:rPr>
              <w:t> </w:t>
            </w:r>
            <w:r>
              <w:rPr>
                <w:sz w:val="24"/>
              </w:rPr>
              <w:t>Reference All</w:t>
            </w:r>
            <w:r>
              <w:rPr>
                <w:spacing w:val="-1"/>
                <w:sz w:val="24"/>
              </w:rPr>
              <w:t> </w:t>
            </w:r>
            <w:r>
              <w:rPr>
                <w:spacing w:val="-2"/>
                <w:sz w:val="24"/>
              </w:rPr>
              <w:t>Subgroups</w:t>
            </w:r>
          </w:p>
        </w:tc>
      </w:tr>
      <w:tr>
        <w:trPr>
          <w:trHeight w:val="560" w:hRule="atLeast"/>
        </w:trPr>
        <w:tc>
          <w:tcPr>
            <w:tcW w:w="8397" w:type="dxa"/>
          </w:tcPr>
          <w:p>
            <w:pPr>
              <w:pStyle w:val="TableParagraph"/>
              <w:spacing w:before="139"/>
              <w:ind w:left="42"/>
              <w:rPr>
                <w:sz w:val="24"/>
              </w:rPr>
            </w:pPr>
            <w:r>
              <w:rPr>
                <w:sz w:val="24"/>
              </w:rPr>
              <w:t>RJC</w:t>
            </w:r>
            <w:r>
              <w:rPr>
                <w:spacing w:val="-2"/>
                <w:sz w:val="24"/>
              </w:rPr>
              <w:t> </w:t>
            </w:r>
            <w:r>
              <w:rPr>
                <w:sz w:val="24"/>
              </w:rPr>
              <w:t>ToR</w:t>
            </w:r>
            <w:r>
              <w:rPr>
                <w:spacing w:val="-1"/>
                <w:sz w:val="24"/>
              </w:rPr>
              <w:t> </w:t>
            </w:r>
            <w:r>
              <w:rPr>
                <w:sz w:val="24"/>
              </w:rPr>
              <w:t>Agreement</w:t>
            </w:r>
            <w:r>
              <w:rPr>
                <w:spacing w:val="-1"/>
                <w:sz w:val="24"/>
              </w:rPr>
              <w:t> </w:t>
            </w:r>
            <w:r>
              <w:rPr>
                <w:spacing w:val="-2"/>
                <w:sz w:val="24"/>
              </w:rPr>
              <w:t>Update</w:t>
            </w:r>
          </w:p>
        </w:tc>
      </w:tr>
      <w:tr>
        <w:trPr>
          <w:trHeight w:val="385" w:hRule="atLeast"/>
        </w:trPr>
        <w:tc>
          <w:tcPr>
            <w:tcW w:w="8397" w:type="dxa"/>
            <w:shd w:val="clear" w:color="auto" w:fill="C1EFC6"/>
          </w:tcPr>
          <w:p>
            <w:pPr>
              <w:pStyle w:val="TableParagraph"/>
              <w:spacing w:before="46"/>
              <w:ind w:left="52"/>
              <w:rPr>
                <w:rFonts w:ascii="Verdana"/>
                <w:b/>
                <w:sz w:val="24"/>
              </w:rPr>
            </w:pPr>
            <w:r>
              <w:rPr>
                <w:rFonts w:ascii="Verdana"/>
                <w:b/>
                <w:sz w:val="24"/>
              </w:rPr>
              <w:t>AGENDA</w:t>
            </w:r>
            <w:r>
              <w:rPr>
                <w:rFonts w:ascii="Verdana"/>
                <w:b/>
                <w:spacing w:val="-3"/>
                <w:sz w:val="24"/>
              </w:rPr>
              <w:t> </w:t>
            </w:r>
            <w:r>
              <w:rPr>
                <w:rFonts w:ascii="Verdana"/>
                <w:b/>
                <w:spacing w:val="-2"/>
                <w:sz w:val="24"/>
              </w:rPr>
              <w:t>ITEM/ISSUE</w:t>
            </w:r>
          </w:p>
        </w:tc>
      </w:tr>
      <w:tr>
        <w:trPr>
          <w:trHeight w:val="561" w:hRule="atLeast"/>
        </w:trPr>
        <w:tc>
          <w:tcPr>
            <w:tcW w:w="8397" w:type="dxa"/>
          </w:tcPr>
          <w:p>
            <w:pPr>
              <w:pStyle w:val="TableParagraph"/>
              <w:spacing w:line="269" w:lineRule="exact"/>
              <w:ind w:left="42"/>
              <w:rPr>
                <w:sz w:val="24"/>
              </w:rPr>
            </w:pPr>
            <w:r>
              <w:rPr>
                <w:sz w:val="24"/>
              </w:rPr>
              <w:t>All</w:t>
            </w:r>
            <w:r>
              <w:rPr>
                <w:spacing w:val="-4"/>
                <w:sz w:val="24"/>
              </w:rPr>
              <w:t> </w:t>
            </w:r>
            <w:r>
              <w:rPr>
                <w:sz w:val="24"/>
              </w:rPr>
              <w:t>Subgroups</w:t>
            </w:r>
            <w:r>
              <w:rPr>
                <w:spacing w:val="-2"/>
                <w:sz w:val="24"/>
              </w:rPr>
              <w:t> </w:t>
            </w:r>
            <w:r>
              <w:rPr>
                <w:sz w:val="24"/>
              </w:rPr>
              <w:t>-</w:t>
            </w:r>
            <w:r>
              <w:rPr>
                <w:spacing w:val="-2"/>
                <w:sz w:val="24"/>
              </w:rPr>
              <w:t> </w:t>
            </w:r>
            <w:r>
              <w:rPr>
                <w:sz w:val="24"/>
              </w:rPr>
              <w:t>AAA</w:t>
            </w:r>
            <w:r>
              <w:rPr>
                <w:spacing w:val="-2"/>
                <w:sz w:val="24"/>
              </w:rPr>
              <w:t> </w:t>
            </w:r>
            <w:r>
              <w:rPr>
                <w:sz w:val="24"/>
              </w:rPr>
              <w:t>reports</w:t>
            </w:r>
            <w:r>
              <w:rPr>
                <w:spacing w:val="-2"/>
                <w:sz w:val="24"/>
              </w:rPr>
              <w:t> </w:t>
            </w:r>
            <w:r>
              <w:rPr>
                <w:sz w:val="24"/>
              </w:rPr>
              <w:t>(including</w:t>
            </w:r>
            <w:r>
              <w:rPr>
                <w:spacing w:val="-3"/>
                <w:sz w:val="24"/>
              </w:rPr>
              <w:t> </w:t>
            </w:r>
            <w:r>
              <w:rPr>
                <w:sz w:val="24"/>
              </w:rPr>
              <w:t>workprogramme</w:t>
            </w:r>
            <w:r>
              <w:rPr>
                <w:spacing w:val="-2"/>
                <w:sz w:val="24"/>
              </w:rPr>
              <w:t> </w:t>
            </w:r>
            <w:r>
              <w:rPr>
                <w:sz w:val="24"/>
              </w:rPr>
              <w:t>summary</w:t>
            </w:r>
            <w:r>
              <w:rPr>
                <w:spacing w:val="-6"/>
                <w:sz w:val="24"/>
              </w:rPr>
              <w:t> </w:t>
            </w:r>
            <w:r>
              <w:rPr>
                <w:spacing w:val="-2"/>
                <w:sz w:val="24"/>
              </w:rPr>
              <w:t>reports)</w:t>
            </w:r>
          </w:p>
          <w:p>
            <w:pPr>
              <w:pStyle w:val="TableParagraph"/>
              <w:spacing w:line="253" w:lineRule="exact" w:before="20"/>
              <w:ind w:left="42"/>
              <w:rPr>
                <w:sz w:val="24"/>
              </w:rPr>
            </w:pPr>
            <w:r>
              <w:rPr>
                <w:sz w:val="24"/>
              </w:rPr>
              <w:t>and </w:t>
            </w:r>
            <w:r>
              <w:rPr>
                <w:spacing w:val="-2"/>
                <w:sz w:val="24"/>
              </w:rPr>
              <w:t>SBARs</w:t>
            </w:r>
          </w:p>
        </w:tc>
      </w:tr>
    </w:tbl>
    <w:p>
      <w:pPr>
        <w:pStyle w:val="TableParagraph"/>
        <w:spacing w:after="0" w:line="253" w:lineRule="exact"/>
        <w:rPr>
          <w:sz w:val="24"/>
        </w:rPr>
        <w:sectPr>
          <w:type w:val="continuous"/>
          <w:pgSz w:w="11910" w:h="16840"/>
          <w:pgMar w:header="0" w:footer="69" w:top="1040" w:bottom="260"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0"/>
        <w:gridCol w:w="1935"/>
        <w:gridCol w:w="1935"/>
        <w:gridCol w:w="1935"/>
      </w:tblGrid>
      <w:tr>
        <w:trPr>
          <w:trHeight w:val="560" w:hRule="atLeast"/>
        </w:trPr>
        <w:tc>
          <w:tcPr>
            <w:tcW w:w="2160" w:type="dxa"/>
            <w:shd w:val="clear" w:color="auto" w:fill="C1EFC6"/>
          </w:tcPr>
          <w:p>
            <w:pPr>
              <w:pStyle w:val="TableParagraph"/>
              <w:spacing w:line="271" w:lineRule="exact"/>
              <w:ind w:left="111" w:right="88"/>
              <w:jc w:val="center"/>
              <w:rPr>
                <w:rFonts w:ascii="Verdana"/>
                <w:b/>
                <w:sz w:val="24"/>
              </w:rPr>
            </w:pPr>
            <w:r>
              <w:rPr>
                <w:rFonts w:ascii="Verdana"/>
                <w:b/>
                <w:spacing w:val="-2"/>
                <w:sz w:val="24"/>
              </w:rPr>
              <w:t>SUBGROUP/</w:t>
            </w:r>
          </w:p>
          <w:p>
            <w:pPr>
              <w:pStyle w:val="TableParagraph"/>
              <w:spacing w:line="252" w:lineRule="exact" w:before="18"/>
              <w:ind w:left="111" w:right="89"/>
              <w:jc w:val="center"/>
              <w:rPr>
                <w:rFonts w:ascii="Verdana"/>
                <w:b/>
                <w:sz w:val="24"/>
              </w:rPr>
            </w:pPr>
            <w:r>
              <w:rPr>
                <w:rFonts w:ascii="Verdana"/>
                <w:b/>
                <w:spacing w:val="-4"/>
                <w:sz w:val="24"/>
              </w:rPr>
              <w:t>LEAD</w:t>
            </w:r>
          </w:p>
        </w:tc>
        <w:tc>
          <w:tcPr>
            <w:tcW w:w="1935" w:type="dxa"/>
            <w:shd w:val="clear" w:color="auto" w:fill="C1EFC6"/>
          </w:tcPr>
          <w:p>
            <w:pPr>
              <w:pStyle w:val="TableParagraph"/>
              <w:spacing w:before="133"/>
              <w:ind w:left="26" w:right="2"/>
              <w:jc w:val="center"/>
              <w:rPr>
                <w:rFonts w:ascii="Verdana"/>
                <w:b/>
                <w:sz w:val="24"/>
              </w:rPr>
            </w:pPr>
            <w:r>
              <w:rPr>
                <w:rFonts w:ascii="Verdana"/>
                <w:b/>
                <w:spacing w:val="-2"/>
                <w:sz w:val="24"/>
              </w:rPr>
              <w:t>16-Apr-</w:t>
            </w:r>
            <w:r>
              <w:rPr>
                <w:rFonts w:ascii="Verdana"/>
                <w:b/>
                <w:spacing w:val="-7"/>
                <w:sz w:val="24"/>
              </w:rPr>
              <w:t>26</w:t>
            </w:r>
          </w:p>
        </w:tc>
        <w:tc>
          <w:tcPr>
            <w:tcW w:w="1935" w:type="dxa"/>
            <w:shd w:val="clear" w:color="auto" w:fill="C1EFC6"/>
          </w:tcPr>
          <w:p>
            <w:pPr>
              <w:pStyle w:val="TableParagraph"/>
              <w:spacing w:before="133"/>
              <w:ind w:left="26" w:right="4"/>
              <w:jc w:val="center"/>
              <w:rPr>
                <w:rFonts w:ascii="Verdana"/>
                <w:b/>
                <w:sz w:val="24"/>
              </w:rPr>
            </w:pPr>
            <w:r>
              <w:rPr>
                <w:rFonts w:ascii="Verdana"/>
                <w:b/>
                <w:spacing w:val="-2"/>
                <w:sz w:val="24"/>
              </w:rPr>
              <w:t>23-Jul-</w:t>
            </w:r>
            <w:r>
              <w:rPr>
                <w:rFonts w:ascii="Verdana"/>
                <w:b/>
                <w:spacing w:val="-5"/>
                <w:sz w:val="24"/>
              </w:rPr>
              <w:t>26</w:t>
            </w:r>
          </w:p>
        </w:tc>
        <w:tc>
          <w:tcPr>
            <w:tcW w:w="1935" w:type="dxa"/>
            <w:shd w:val="clear" w:color="auto" w:fill="C1EFC6"/>
          </w:tcPr>
          <w:p>
            <w:pPr>
              <w:pStyle w:val="TableParagraph"/>
              <w:spacing w:before="133"/>
              <w:ind w:left="26" w:right="1"/>
              <w:jc w:val="center"/>
              <w:rPr>
                <w:rFonts w:ascii="Verdana"/>
                <w:b/>
                <w:sz w:val="24"/>
              </w:rPr>
            </w:pPr>
            <w:r>
              <w:rPr>
                <w:rFonts w:ascii="Verdana"/>
                <w:b/>
                <w:sz w:val="24"/>
              </w:rPr>
              <w:t>13-Oct-</w:t>
            </w:r>
            <w:r>
              <w:rPr>
                <w:rFonts w:ascii="Verdana"/>
                <w:b/>
                <w:spacing w:val="-5"/>
                <w:sz w:val="24"/>
              </w:rPr>
              <w:t>26</w:t>
            </w:r>
          </w:p>
        </w:tc>
      </w:tr>
      <w:tr>
        <w:trPr>
          <w:trHeight w:val="357"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spacing w:before="32"/>
              <w:ind w:left="26" w:right="3"/>
              <w:jc w:val="center"/>
              <w:rPr>
                <w:rFonts w:ascii="Verdana"/>
                <w:b/>
                <w:sz w:val="24"/>
              </w:rPr>
            </w:pPr>
            <w:r>
              <w:rPr>
                <w:rFonts w:ascii="Verdana"/>
                <w:b/>
                <w:spacing w:val="-2"/>
                <w:sz w:val="24"/>
              </w:rPr>
              <w:t>CANCELLED</w:t>
            </w:r>
          </w:p>
        </w:tc>
        <w:tc>
          <w:tcPr>
            <w:tcW w:w="1935" w:type="dxa"/>
            <w:shd w:val="clear" w:color="auto" w:fill="C1EFC6"/>
          </w:tcPr>
          <w:p>
            <w:pPr>
              <w:pStyle w:val="TableParagraph"/>
              <w:rPr>
                <w:rFonts w:ascii="Times New Roman"/>
                <w:sz w:val="24"/>
              </w:rPr>
            </w:pPr>
          </w:p>
        </w:tc>
      </w:tr>
      <w:tr>
        <w:trPr>
          <w:trHeight w:val="356" w:hRule="atLeast"/>
        </w:trPr>
        <w:tc>
          <w:tcPr>
            <w:tcW w:w="2160" w:type="dxa"/>
          </w:tcPr>
          <w:p>
            <w:pPr>
              <w:pStyle w:val="TableParagraph"/>
              <w:spacing w:before="32"/>
              <w:ind w:left="111" w:right="89"/>
              <w:jc w:val="center"/>
              <w:rPr>
                <w:rFonts w:ascii="Verdana"/>
                <w:sz w:val="24"/>
              </w:rPr>
            </w:pPr>
            <w:r>
              <w:rPr>
                <w:rFonts w:ascii="Verdana"/>
                <w:spacing w:val="-2"/>
                <w:sz w:val="24"/>
              </w:rPr>
              <w:t>Chair(s)</w:t>
            </w:r>
          </w:p>
        </w:tc>
        <w:tc>
          <w:tcPr>
            <w:tcW w:w="1935" w:type="dxa"/>
          </w:tcPr>
          <w:p>
            <w:pPr>
              <w:pStyle w:val="TableParagraph"/>
              <w:spacing w:line="337" w:lineRule="exact"/>
              <w:ind w:left="26"/>
              <w:jc w:val="center"/>
              <w:rPr>
                <w:rFonts w:ascii="Wingdings" w:hAnsi="Wingdings"/>
                <w:sz w:val="32"/>
              </w:rPr>
            </w:pPr>
            <w:r>
              <w:rPr>
                <w:rFonts w:ascii="Wingdings" w:hAnsi="Wingdings"/>
                <w:spacing w:val="-10"/>
                <w:sz w:val="32"/>
              </w:rPr>
              <w:t></w:t>
            </w:r>
          </w:p>
        </w:tc>
        <w:tc>
          <w:tcPr>
            <w:tcW w:w="1935" w:type="dxa"/>
            <w:shd w:val="clear" w:color="auto" w:fill="D9D9D9"/>
          </w:tcPr>
          <w:p>
            <w:pPr>
              <w:pStyle w:val="TableParagraph"/>
              <w:spacing w:line="337" w:lineRule="exact"/>
              <w:ind w:left="26" w:right="5"/>
              <w:jc w:val="center"/>
              <w:rPr>
                <w:rFonts w:ascii="Verdana"/>
                <w:sz w:val="32"/>
              </w:rPr>
            </w:pPr>
            <w:r>
              <w:rPr>
                <w:rFonts w:ascii="Verdana"/>
                <w:color w:val="808080"/>
                <w:spacing w:val="-10"/>
                <w:sz w:val="32"/>
              </w:rPr>
              <w:t>x</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r>
      <w:tr>
        <w:trPr>
          <w:trHeight w:val="356" w:hRule="atLeast"/>
        </w:trPr>
        <w:tc>
          <w:tcPr>
            <w:tcW w:w="2160" w:type="dxa"/>
          </w:tcPr>
          <w:p>
            <w:pPr>
              <w:pStyle w:val="TableParagraph"/>
              <w:spacing w:before="32"/>
              <w:ind w:left="111" w:right="85"/>
              <w:jc w:val="center"/>
              <w:rPr>
                <w:rFonts w:ascii="Verdana"/>
                <w:sz w:val="24"/>
              </w:rPr>
            </w:pPr>
            <w:r>
              <w:rPr>
                <w:rFonts w:ascii="Verdana"/>
                <w:spacing w:val="-5"/>
                <w:sz w:val="24"/>
              </w:rPr>
              <w:t>All</w:t>
            </w:r>
          </w:p>
        </w:tc>
        <w:tc>
          <w:tcPr>
            <w:tcW w:w="1935" w:type="dxa"/>
          </w:tcPr>
          <w:p>
            <w:pPr>
              <w:pStyle w:val="TableParagraph"/>
              <w:spacing w:line="337" w:lineRule="exact"/>
              <w:ind w:left="26"/>
              <w:jc w:val="center"/>
              <w:rPr>
                <w:rFonts w:ascii="Wingdings" w:hAnsi="Wingdings"/>
                <w:sz w:val="32"/>
              </w:rPr>
            </w:pPr>
            <w:r>
              <w:rPr>
                <w:rFonts w:ascii="Wingdings" w:hAnsi="Wingdings"/>
                <w:spacing w:val="-10"/>
                <w:sz w:val="32"/>
              </w:rPr>
              <w:t></w:t>
            </w:r>
          </w:p>
        </w:tc>
        <w:tc>
          <w:tcPr>
            <w:tcW w:w="1935" w:type="dxa"/>
            <w:shd w:val="clear" w:color="auto" w:fill="D9D9D9"/>
          </w:tcPr>
          <w:p>
            <w:pPr>
              <w:pStyle w:val="TableParagraph"/>
              <w:spacing w:line="337" w:lineRule="exact"/>
              <w:ind w:left="26" w:right="5"/>
              <w:jc w:val="center"/>
              <w:rPr>
                <w:rFonts w:ascii="Verdana"/>
                <w:sz w:val="32"/>
              </w:rPr>
            </w:pPr>
            <w:r>
              <w:rPr>
                <w:rFonts w:ascii="Verdana"/>
                <w:color w:val="808080"/>
                <w:spacing w:val="-10"/>
                <w:sz w:val="32"/>
              </w:rPr>
              <w:t>x</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r>
      <w:tr>
        <w:trPr>
          <w:trHeight w:val="356"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r>
      <w:tr>
        <w:trPr>
          <w:trHeight w:val="356" w:hRule="atLeast"/>
        </w:trPr>
        <w:tc>
          <w:tcPr>
            <w:tcW w:w="2160" w:type="dxa"/>
          </w:tcPr>
          <w:p>
            <w:pPr>
              <w:pStyle w:val="TableParagraph"/>
              <w:spacing w:before="32"/>
              <w:ind w:left="111" w:right="89"/>
              <w:jc w:val="center"/>
              <w:rPr>
                <w:rFonts w:ascii="Verdana"/>
                <w:sz w:val="24"/>
              </w:rPr>
            </w:pPr>
            <w:r>
              <w:rPr>
                <w:rFonts w:ascii="Verdana"/>
                <w:spacing w:val="-2"/>
                <w:sz w:val="24"/>
              </w:rPr>
              <w:t>Chair(s)</w:t>
            </w:r>
          </w:p>
        </w:tc>
        <w:tc>
          <w:tcPr>
            <w:tcW w:w="1935" w:type="dxa"/>
          </w:tcPr>
          <w:p>
            <w:pPr>
              <w:pStyle w:val="TableParagraph"/>
              <w:spacing w:line="337" w:lineRule="exact"/>
              <w:ind w:left="26"/>
              <w:jc w:val="center"/>
              <w:rPr>
                <w:rFonts w:ascii="Wingdings" w:hAnsi="Wingdings"/>
                <w:sz w:val="32"/>
              </w:rPr>
            </w:pPr>
            <w:r>
              <w:rPr>
                <w:rFonts w:ascii="Wingdings" w:hAnsi="Wingdings"/>
                <w:spacing w:val="-10"/>
                <w:sz w:val="32"/>
              </w:rPr>
              <w:t></w:t>
            </w:r>
          </w:p>
        </w:tc>
        <w:tc>
          <w:tcPr>
            <w:tcW w:w="1935" w:type="dxa"/>
            <w:shd w:val="clear" w:color="auto" w:fill="D9D9D9"/>
          </w:tcPr>
          <w:p>
            <w:pPr>
              <w:pStyle w:val="TableParagraph"/>
              <w:spacing w:line="337" w:lineRule="exact"/>
              <w:ind w:left="26" w:right="5"/>
              <w:jc w:val="center"/>
              <w:rPr>
                <w:rFonts w:ascii="Verdana"/>
                <w:sz w:val="32"/>
              </w:rPr>
            </w:pPr>
            <w:r>
              <w:rPr>
                <w:rFonts w:ascii="Verdana"/>
                <w:color w:val="808080"/>
                <w:spacing w:val="-10"/>
                <w:sz w:val="32"/>
              </w:rPr>
              <w:t>x</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r>
      <w:tr>
        <w:trPr>
          <w:trHeight w:val="356" w:hRule="atLeast"/>
        </w:trPr>
        <w:tc>
          <w:tcPr>
            <w:tcW w:w="2160" w:type="dxa"/>
          </w:tcPr>
          <w:p>
            <w:pPr>
              <w:pStyle w:val="TableParagraph"/>
              <w:spacing w:before="32"/>
              <w:ind w:left="111" w:right="89"/>
              <w:jc w:val="center"/>
              <w:rPr>
                <w:rFonts w:ascii="Verdana"/>
                <w:sz w:val="24"/>
              </w:rPr>
            </w:pPr>
            <w:r>
              <w:rPr>
                <w:rFonts w:ascii="Verdana"/>
                <w:spacing w:val="-2"/>
                <w:sz w:val="24"/>
              </w:rPr>
              <w:t>Chair(s)</w:t>
            </w:r>
          </w:p>
        </w:tc>
        <w:tc>
          <w:tcPr>
            <w:tcW w:w="1935" w:type="dxa"/>
          </w:tcPr>
          <w:p>
            <w:pPr>
              <w:pStyle w:val="TableParagraph"/>
              <w:spacing w:line="337" w:lineRule="exact"/>
              <w:ind w:left="26"/>
              <w:jc w:val="center"/>
              <w:rPr>
                <w:rFonts w:ascii="Wingdings" w:hAnsi="Wingdings"/>
                <w:sz w:val="32"/>
              </w:rPr>
            </w:pPr>
            <w:r>
              <w:rPr>
                <w:rFonts w:ascii="Wingdings" w:hAnsi="Wingdings"/>
                <w:spacing w:val="-10"/>
                <w:sz w:val="32"/>
              </w:rPr>
              <w:t></w:t>
            </w:r>
          </w:p>
        </w:tc>
        <w:tc>
          <w:tcPr>
            <w:tcW w:w="1935" w:type="dxa"/>
            <w:shd w:val="clear" w:color="auto" w:fill="D9D9D9"/>
          </w:tcPr>
          <w:p>
            <w:pPr>
              <w:pStyle w:val="TableParagraph"/>
              <w:spacing w:line="337" w:lineRule="exact"/>
              <w:ind w:left="26" w:right="5"/>
              <w:jc w:val="center"/>
              <w:rPr>
                <w:rFonts w:ascii="Verdana"/>
                <w:sz w:val="32"/>
              </w:rPr>
            </w:pPr>
            <w:r>
              <w:rPr>
                <w:rFonts w:ascii="Verdana"/>
                <w:color w:val="808080"/>
                <w:spacing w:val="-10"/>
                <w:sz w:val="32"/>
              </w:rPr>
              <w:t>x</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r>
      <w:tr>
        <w:trPr>
          <w:trHeight w:val="356" w:hRule="atLeast"/>
        </w:trPr>
        <w:tc>
          <w:tcPr>
            <w:tcW w:w="2160" w:type="dxa"/>
          </w:tcPr>
          <w:p>
            <w:pPr>
              <w:pStyle w:val="TableParagraph"/>
              <w:spacing w:before="32"/>
              <w:ind w:left="111" w:right="89"/>
              <w:jc w:val="center"/>
              <w:rPr>
                <w:rFonts w:ascii="Verdana"/>
                <w:sz w:val="24"/>
              </w:rPr>
            </w:pPr>
            <w:r>
              <w:rPr>
                <w:rFonts w:ascii="Verdana"/>
                <w:spacing w:val="-2"/>
                <w:sz w:val="24"/>
              </w:rPr>
              <w:t>Chair(s)</w:t>
            </w:r>
          </w:p>
        </w:tc>
        <w:tc>
          <w:tcPr>
            <w:tcW w:w="1935" w:type="dxa"/>
          </w:tcPr>
          <w:p>
            <w:pPr>
              <w:pStyle w:val="TableParagraph"/>
              <w:spacing w:line="337" w:lineRule="exact"/>
              <w:ind w:left="26"/>
              <w:jc w:val="center"/>
              <w:rPr>
                <w:rFonts w:ascii="Wingdings" w:hAnsi="Wingdings"/>
                <w:sz w:val="32"/>
              </w:rPr>
            </w:pPr>
            <w:r>
              <w:rPr>
                <w:rFonts w:ascii="Wingdings" w:hAnsi="Wingdings"/>
                <w:spacing w:val="-10"/>
                <w:sz w:val="32"/>
              </w:rPr>
              <w:t></w:t>
            </w:r>
          </w:p>
        </w:tc>
        <w:tc>
          <w:tcPr>
            <w:tcW w:w="1935" w:type="dxa"/>
            <w:shd w:val="clear" w:color="auto" w:fill="D9D9D9"/>
          </w:tcPr>
          <w:p>
            <w:pPr>
              <w:pStyle w:val="TableParagraph"/>
              <w:spacing w:line="337" w:lineRule="exact"/>
              <w:ind w:left="26" w:right="5"/>
              <w:jc w:val="center"/>
              <w:rPr>
                <w:rFonts w:ascii="Verdana"/>
                <w:sz w:val="32"/>
              </w:rPr>
            </w:pPr>
            <w:r>
              <w:rPr>
                <w:rFonts w:ascii="Verdana"/>
                <w:color w:val="808080"/>
                <w:spacing w:val="-10"/>
                <w:sz w:val="32"/>
              </w:rPr>
              <w:t>x</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r>
      <w:tr>
        <w:trPr>
          <w:trHeight w:val="356"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r>
      <w:tr>
        <w:trPr>
          <w:trHeight w:val="356"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r>
      <w:tr>
        <w:trPr>
          <w:trHeight w:val="851" w:hRule="atLeast"/>
        </w:trPr>
        <w:tc>
          <w:tcPr>
            <w:tcW w:w="2160" w:type="dxa"/>
          </w:tcPr>
          <w:p>
            <w:pPr>
              <w:pStyle w:val="TableParagraph"/>
              <w:spacing w:line="254" w:lineRule="auto" w:before="124"/>
              <w:ind w:left="535" w:hanging="402"/>
              <w:rPr>
                <w:rFonts w:ascii="Verdana"/>
                <w:sz w:val="24"/>
              </w:rPr>
            </w:pPr>
            <w:r>
              <w:rPr>
                <w:rFonts w:ascii="Verdana"/>
                <w:sz w:val="24"/>
              </w:rPr>
              <w:t>Regional</w:t>
            </w:r>
            <w:r>
              <w:rPr>
                <w:rFonts w:ascii="Verdana"/>
                <w:spacing w:val="-22"/>
                <w:sz w:val="24"/>
              </w:rPr>
              <w:t> </w:t>
            </w:r>
            <w:r>
              <w:rPr>
                <w:rFonts w:ascii="Verdana"/>
                <w:sz w:val="24"/>
              </w:rPr>
              <w:t>Health </w:t>
            </w:r>
            <w:r>
              <w:rPr>
                <w:rFonts w:ascii="Verdana"/>
                <w:spacing w:val="-2"/>
                <w:sz w:val="24"/>
              </w:rPr>
              <w:t>Economy</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8"/>
              <w:ind w:left="26" w:right="1"/>
              <w:jc w:val="center"/>
              <w:rPr>
                <w:rFonts w:ascii="Wingdings" w:hAnsi="Wingdings"/>
                <w:sz w:val="32"/>
              </w:rPr>
            </w:pPr>
            <w:r>
              <w:rPr>
                <w:rFonts w:ascii="Wingdings" w:hAnsi="Wingdings"/>
                <w:spacing w:val="-10"/>
                <w:sz w:val="32"/>
              </w:rPr>
              <w:t></w:t>
            </w:r>
          </w:p>
        </w:tc>
      </w:tr>
      <w:tr>
        <w:trPr>
          <w:trHeight w:val="851" w:hRule="atLeast"/>
        </w:trPr>
        <w:tc>
          <w:tcPr>
            <w:tcW w:w="2160" w:type="dxa"/>
          </w:tcPr>
          <w:p>
            <w:pPr>
              <w:pStyle w:val="TableParagraph"/>
              <w:spacing w:line="254" w:lineRule="auto" w:before="123"/>
              <w:ind w:left="535" w:hanging="402"/>
              <w:rPr>
                <w:rFonts w:ascii="Verdana"/>
                <w:sz w:val="24"/>
              </w:rPr>
            </w:pPr>
            <w:r>
              <w:rPr>
                <w:rFonts w:ascii="Verdana"/>
                <w:sz w:val="24"/>
              </w:rPr>
              <w:t>Regional</w:t>
            </w:r>
            <w:r>
              <w:rPr>
                <w:rFonts w:ascii="Verdana"/>
                <w:spacing w:val="-22"/>
                <w:sz w:val="24"/>
              </w:rPr>
              <w:t> </w:t>
            </w:r>
            <w:r>
              <w:rPr>
                <w:rFonts w:ascii="Verdana"/>
                <w:sz w:val="24"/>
              </w:rPr>
              <w:t>Health </w:t>
            </w:r>
            <w:r>
              <w:rPr>
                <w:rFonts w:ascii="Verdana"/>
                <w:spacing w:val="-2"/>
                <w:sz w:val="24"/>
              </w:rPr>
              <w:t>Economy</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r>
      <w:tr>
        <w:trPr>
          <w:trHeight w:val="851" w:hRule="atLeast"/>
        </w:trPr>
        <w:tc>
          <w:tcPr>
            <w:tcW w:w="2160" w:type="dxa"/>
          </w:tcPr>
          <w:p>
            <w:pPr>
              <w:pStyle w:val="TableParagraph"/>
              <w:spacing w:line="254" w:lineRule="auto" w:before="123"/>
              <w:ind w:left="535" w:hanging="402"/>
              <w:rPr>
                <w:rFonts w:ascii="Verdana"/>
                <w:sz w:val="24"/>
              </w:rPr>
            </w:pPr>
            <w:r>
              <w:rPr>
                <w:rFonts w:ascii="Verdana"/>
                <w:sz w:val="24"/>
              </w:rPr>
              <w:t>Regional</w:t>
            </w:r>
            <w:r>
              <w:rPr>
                <w:rFonts w:ascii="Verdana"/>
                <w:spacing w:val="-22"/>
                <w:sz w:val="24"/>
              </w:rPr>
              <w:t> </w:t>
            </w:r>
            <w:r>
              <w:rPr>
                <w:rFonts w:ascii="Verdana"/>
                <w:sz w:val="24"/>
              </w:rPr>
              <w:t>Health </w:t>
            </w:r>
            <w:r>
              <w:rPr>
                <w:rFonts w:ascii="Verdana"/>
                <w:spacing w:val="-2"/>
                <w:sz w:val="24"/>
              </w:rPr>
              <w:t>Economy</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35" w:hanging="402"/>
              <w:rPr>
                <w:rFonts w:ascii="Verdana"/>
                <w:sz w:val="24"/>
              </w:rPr>
            </w:pPr>
            <w:r>
              <w:rPr>
                <w:rFonts w:ascii="Verdana"/>
                <w:sz w:val="24"/>
              </w:rPr>
              <w:t>Regional</w:t>
            </w:r>
            <w:r>
              <w:rPr>
                <w:rFonts w:ascii="Verdana"/>
                <w:spacing w:val="-22"/>
                <w:sz w:val="24"/>
              </w:rPr>
              <w:t> </w:t>
            </w:r>
            <w:r>
              <w:rPr>
                <w:rFonts w:ascii="Verdana"/>
                <w:sz w:val="24"/>
              </w:rPr>
              <w:t>Health </w:t>
            </w:r>
            <w:r>
              <w:rPr>
                <w:rFonts w:ascii="Verdana"/>
                <w:spacing w:val="-2"/>
                <w:sz w:val="24"/>
              </w:rPr>
              <w:t>Economy</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35" w:hanging="402"/>
              <w:rPr>
                <w:rFonts w:ascii="Verdana"/>
                <w:sz w:val="24"/>
              </w:rPr>
            </w:pPr>
            <w:r>
              <w:rPr>
                <w:rFonts w:ascii="Verdana"/>
                <w:sz w:val="24"/>
              </w:rPr>
              <w:t>Regional</w:t>
            </w:r>
            <w:r>
              <w:rPr>
                <w:rFonts w:ascii="Verdana"/>
                <w:spacing w:val="-22"/>
                <w:sz w:val="24"/>
              </w:rPr>
              <w:t> </w:t>
            </w:r>
            <w:r>
              <w:rPr>
                <w:rFonts w:ascii="Verdana"/>
                <w:sz w:val="24"/>
              </w:rPr>
              <w:t>Health </w:t>
            </w:r>
            <w:r>
              <w:rPr>
                <w:rFonts w:ascii="Verdana"/>
                <w:spacing w:val="-2"/>
                <w:sz w:val="24"/>
              </w:rPr>
              <w:t>Economy</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35" w:hanging="402"/>
              <w:rPr>
                <w:rFonts w:ascii="Verdana"/>
                <w:sz w:val="24"/>
              </w:rPr>
            </w:pPr>
            <w:r>
              <w:rPr>
                <w:rFonts w:ascii="Verdana"/>
                <w:sz w:val="24"/>
              </w:rPr>
              <w:t>Regional</w:t>
            </w:r>
            <w:r>
              <w:rPr>
                <w:rFonts w:ascii="Verdana"/>
                <w:spacing w:val="-22"/>
                <w:sz w:val="24"/>
              </w:rPr>
              <w:t> </w:t>
            </w:r>
            <w:r>
              <w:rPr>
                <w:rFonts w:ascii="Verdana"/>
                <w:sz w:val="24"/>
              </w:rPr>
              <w:t>Health </w:t>
            </w:r>
            <w:r>
              <w:rPr>
                <w:rFonts w:ascii="Verdana"/>
                <w:spacing w:val="-2"/>
                <w:sz w:val="24"/>
              </w:rPr>
              <w:t>Economy</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35" w:hanging="402"/>
              <w:rPr>
                <w:rFonts w:ascii="Verdana"/>
                <w:sz w:val="24"/>
              </w:rPr>
            </w:pPr>
            <w:r>
              <w:rPr>
                <w:rFonts w:ascii="Verdana"/>
                <w:sz w:val="24"/>
              </w:rPr>
              <w:t>Regional</w:t>
            </w:r>
            <w:r>
              <w:rPr>
                <w:rFonts w:ascii="Verdana"/>
                <w:spacing w:val="-22"/>
                <w:sz w:val="24"/>
              </w:rPr>
              <w:t> </w:t>
            </w:r>
            <w:r>
              <w:rPr>
                <w:rFonts w:ascii="Verdana"/>
                <w:sz w:val="24"/>
              </w:rPr>
              <w:t>Health </w:t>
            </w:r>
            <w:r>
              <w:rPr>
                <w:rFonts w:ascii="Verdana"/>
                <w:spacing w:val="-2"/>
                <w:sz w:val="24"/>
              </w:rPr>
              <w:t>Economy</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356"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r>
    </w:tbl>
    <w:p>
      <w:pPr>
        <w:pStyle w:val="TableParagraph"/>
        <w:spacing w:after="0"/>
        <w:jc w:val="center"/>
        <w:rPr>
          <w:rFonts w:ascii="Wingdings" w:hAnsi="Wingdings"/>
          <w:sz w:val="32"/>
        </w:rPr>
        <w:sectPr>
          <w:pgSz w:w="11910" w:h="16840"/>
          <w:pgMar w:header="0" w:footer="69" w:top="1040" w:bottom="1432"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0"/>
        <w:gridCol w:w="1935"/>
        <w:gridCol w:w="1935"/>
        <w:gridCol w:w="1935"/>
      </w:tblGrid>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51" w:hRule="atLeast"/>
        </w:trPr>
        <w:tc>
          <w:tcPr>
            <w:tcW w:w="2160" w:type="dxa"/>
          </w:tcPr>
          <w:p>
            <w:pPr>
              <w:pStyle w:val="TableParagraph"/>
              <w:spacing w:line="254" w:lineRule="auto" w:before="123"/>
              <w:ind w:left="571" w:hanging="462"/>
              <w:rPr>
                <w:rFonts w:ascii="Verdana"/>
                <w:sz w:val="24"/>
              </w:rPr>
            </w:pPr>
            <w:r>
              <w:rPr>
                <w:rFonts w:ascii="Verdana"/>
                <w:sz w:val="24"/>
              </w:rPr>
              <w:t>Clinical</w:t>
            </w:r>
            <w:r>
              <w:rPr>
                <w:rFonts w:ascii="Verdana"/>
                <w:spacing w:val="-22"/>
                <w:sz w:val="24"/>
              </w:rPr>
              <w:t> </w:t>
            </w:r>
            <w:r>
              <w:rPr>
                <w:rFonts w:ascii="Verdana"/>
                <w:sz w:val="24"/>
              </w:rPr>
              <w:t>Services </w:t>
            </w:r>
            <w:r>
              <w:rPr>
                <w:rFonts w:ascii="Verdana"/>
                <w:spacing w:val="-2"/>
                <w:sz w:val="24"/>
              </w:rPr>
              <w:t>Planning</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356"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r>
      <w:tr>
        <w:trPr>
          <w:trHeight w:val="561" w:hRule="atLeast"/>
        </w:trPr>
        <w:tc>
          <w:tcPr>
            <w:tcW w:w="2160" w:type="dxa"/>
          </w:tcPr>
          <w:p>
            <w:pPr>
              <w:pStyle w:val="TableParagraph"/>
              <w:spacing w:line="271" w:lineRule="exact"/>
              <w:ind w:left="111" w:right="86"/>
              <w:jc w:val="center"/>
              <w:rPr>
                <w:rFonts w:ascii="Verdana"/>
                <w:sz w:val="24"/>
              </w:rPr>
            </w:pPr>
            <w:r>
              <w:rPr>
                <w:rFonts w:ascii="Verdana"/>
                <w:sz w:val="24"/>
              </w:rPr>
              <w:t>Data</w:t>
            </w:r>
            <w:r>
              <w:rPr>
                <w:rFonts w:ascii="Verdana"/>
                <w:spacing w:val="-4"/>
                <w:sz w:val="24"/>
              </w:rPr>
              <w:t> </w:t>
            </w:r>
            <w:r>
              <w:rPr>
                <w:rFonts w:ascii="Verdana"/>
                <w:spacing w:val="-5"/>
                <w:sz w:val="24"/>
              </w:rPr>
              <w:t>and</w:t>
            </w:r>
          </w:p>
          <w:p>
            <w:pPr>
              <w:pStyle w:val="TableParagraph"/>
              <w:spacing w:line="252" w:lineRule="exact" w:before="18"/>
              <w:ind w:left="111"/>
              <w:jc w:val="center"/>
              <w:rPr>
                <w:rFonts w:ascii="Verdana"/>
                <w:sz w:val="24"/>
              </w:rPr>
            </w:pPr>
            <w:r>
              <w:rPr>
                <w:rFonts w:ascii="Verdana"/>
                <w:spacing w:val="-2"/>
                <w:sz w:val="24"/>
              </w:rPr>
              <w:t>Digital</w:t>
            </w:r>
          </w:p>
        </w:tc>
        <w:tc>
          <w:tcPr>
            <w:tcW w:w="1935" w:type="dxa"/>
          </w:tcPr>
          <w:p>
            <w:pPr>
              <w:pStyle w:val="TableParagraph"/>
              <w:rPr>
                <w:rFonts w:ascii="Times New Roman"/>
                <w:sz w:val="24"/>
              </w:rPr>
            </w:pPr>
          </w:p>
        </w:tc>
        <w:tc>
          <w:tcPr>
            <w:tcW w:w="1935" w:type="dxa"/>
            <w:shd w:val="clear" w:color="auto" w:fill="D9D9D9"/>
          </w:tcPr>
          <w:p>
            <w:pPr>
              <w:pStyle w:val="TableParagraph"/>
              <w:rPr>
                <w:rFonts w:ascii="Times New Roman"/>
                <w:sz w:val="24"/>
              </w:rPr>
            </w:pP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6"/>
              <w:jc w:val="center"/>
              <w:rPr>
                <w:rFonts w:ascii="Verdana"/>
                <w:sz w:val="24"/>
              </w:rPr>
            </w:pPr>
            <w:r>
              <w:rPr>
                <w:rFonts w:ascii="Verdana"/>
                <w:sz w:val="24"/>
              </w:rPr>
              <w:t>Data</w:t>
            </w:r>
            <w:r>
              <w:rPr>
                <w:rFonts w:ascii="Verdana"/>
                <w:spacing w:val="-4"/>
                <w:sz w:val="24"/>
              </w:rPr>
              <w:t> </w:t>
            </w:r>
            <w:r>
              <w:rPr>
                <w:rFonts w:ascii="Verdana"/>
                <w:spacing w:val="-5"/>
                <w:sz w:val="24"/>
              </w:rPr>
              <w:t>and</w:t>
            </w:r>
          </w:p>
          <w:p>
            <w:pPr>
              <w:pStyle w:val="TableParagraph"/>
              <w:spacing w:line="252" w:lineRule="exact" w:before="18"/>
              <w:ind w:left="111"/>
              <w:jc w:val="center"/>
              <w:rPr>
                <w:rFonts w:ascii="Verdana"/>
                <w:sz w:val="24"/>
              </w:rPr>
            </w:pPr>
            <w:r>
              <w:rPr>
                <w:rFonts w:ascii="Verdana"/>
                <w:spacing w:val="-2"/>
                <w:sz w:val="24"/>
              </w:rPr>
              <w:t>Digital</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560" w:hRule="atLeast"/>
        </w:trPr>
        <w:tc>
          <w:tcPr>
            <w:tcW w:w="2160" w:type="dxa"/>
          </w:tcPr>
          <w:p>
            <w:pPr>
              <w:pStyle w:val="TableParagraph"/>
              <w:spacing w:line="271" w:lineRule="exact"/>
              <w:ind w:left="111" w:right="86"/>
              <w:jc w:val="center"/>
              <w:rPr>
                <w:rFonts w:ascii="Verdana"/>
                <w:sz w:val="24"/>
              </w:rPr>
            </w:pPr>
            <w:r>
              <w:rPr>
                <w:rFonts w:ascii="Verdana"/>
                <w:sz w:val="24"/>
              </w:rPr>
              <w:t>Data</w:t>
            </w:r>
            <w:r>
              <w:rPr>
                <w:rFonts w:ascii="Verdana"/>
                <w:spacing w:val="-4"/>
                <w:sz w:val="24"/>
              </w:rPr>
              <w:t> </w:t>
            </w:r>
            <w:r>
              <w:rPr>
                <w:rFonts w:ascii="Verdana"/>
                <w:spacing w:val="-5"/>
                <w:sz w:val="24"/>
              </w:rPr>
              <w:t>and</w:t>
            </w:r>
          </w:p>
          <w:p>
            <w:pPr>
              <w:pStyle w:val="TableParagraph"/>
              <w:spacing w:line="252" w:lineRule="exact" w:before="18"/>
              <w:ind w:left="111"/>
              <w:jc w:val="center"/>
              <w:rPr>
                <w:rFonts w:ascii="Verdana"/>
                <w:sz w:val="24"/>
              </w:rPr>
            </w:pPr>
            <w:r>
              <w:rPr>
                <w:rFonts w:ascii="Verdana"/>
                <w:spacing w:val="-2"/>
                <w:sz w:val="24"/>
              </w:rPr>
              <w:t>Digital</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560" w:hRule="atLeast"/>
        </w:trPr>
        <w:tc>
          <w:tcPr>
            <w:tcW w:w="2160" w:type="dxa"/>
          </w:tcPr>
          <w:p>
            <w:pPr>
              <w:pStyle w:val="TableParagraph"/>
              <w:spacing w:line="271" w:lineRule="exact"/>
              <w:ind w:left="111" w:right="86"/>
              <w:jc w:val="center"/>
              <w:rPr>
                <w:rFonts w:ascii="Verdana"/>
                <w:sz w:val="24"/>
              </w:rPr>
            </w:pPr>
            <w:r>
              <w:rPr>
                <w:rFonts w:ascii="Verdana"/>
                <w:sz w:val="24"/>
              </w:rPr>
              <w:t>Data</w:t>
            </w:r>
            <w:r>
              <w:rPr>
                <w:rFonts w:ascii="Verdana"/>
                <w:spacing w:val="-4"/>
                <w:sz w:val="24"/>
              </w:rPr>
              <w:t> </w:t>
            </w:r>
            <w:r>
              <w:rPr>
                <w:rFonts w:ascii="Verdana"/>
                <w:spacing w:val="-5"/>
                <w:sz w:val="24"/>
              </w:rPr>
              <w:t>and</w:t>
            </w:r>
          </w:p>
          <w:p>
            <w:pPr>
              <w:pStyle w:val="TableParagraph"/>
              <w:spacing w:line="252" w:lineRule="exact" w:before="18"/>
              <w:ind w:left="111" w:right="84"/>
              <w:jc w:val="center"/>
              <w:rPr>
                <w:rFonts w:ascii="Verdana"/>
                <w:sz w:val="24"/>
              </w:rPr>
            </w:pPr>
            <w:r>
              <w:rPr>
                <w:rFonts w:ascii="Verdana"/>
                <w:spacing w:val="-2"/>
                <w:sz w:val="24"/>
              </w:rPr>
              <w:t>Digital</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356"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r>
      <w:tr>
        <w:trPr>
          <w:trHeight w:val="560" w:hRule="atLeast"/>
        </w:trPr>
        <w:tc>
          <w:tcPr>
            <w:tcW w:w="2160" w:type="dxa"/>
          </w:tcPr>
          <w:p>
            <w:pPr>
              <w:pStyle w:val="TableParagraph"/>
              <w:spacing w:line="271" w:lineRule="exact"/>
              <w:ind w:left="360"/>
              <w:rPr>
                <w:rFonts w:ascii="Verdana"/>
                <w:sz w:val="24"/>
              </w:rPr>
            </w:pPr>
            <w:r>
              <w:rPr>
                <w:rFonts w:ascii="Verdana"/>
                <w:sz w:val="24"/>
              </w:rPr>
              <w:t>Finance</w:t>
            </w:r>
            <w:r>
              <w:rPr>
                <w:rFonts w:ascii="Verdana"/>
                <w:spacing w:val="-5"/>
                <w:sz w:val="24"/>
              </w:rPr>
              <w:t> and</w:t>
            </w:r>
          </w:p>
          <w:p>
            <w:pPr>
              <w:pStyle w:val="TableParagraph"/>
              <w:spacing w:line="252" w:lineRule="exact" w:before="18"/>
              <w:ind w:left="389"/>
              <w:rPr>
                <w:rFonts w:ascii="Verdana"/>
                <w:sz w:val="24"/>
              </w:rPr>
            </w:pPr>
            <w:r>
              <w:rPr>
                <w:rFonts w:ascii="Verdana"/>
                <w:spacing w:val="-2"/>
                <w:sz w:val="24"/>
              </w:rPr>
              <w:t>Contracting</w:t>
            </w:r>
          </w:p>
        </w:tc>
        <w:tc>
          <w:tcPr>
            <w:tcW w:w="1935" w:type="dxa"/>
          </w:tcPr>
          <w:p>
            <w:pPr>
              <w:pStyle w:val="TableParagraph"/>
              <w:rPr>
                <w:rFonts w:ascii="Times New Roman"/>
                <w:sz w:val="24"/>
              </w:rPr>
            </w:pPr>
          </w:p>
        </w:tc>
        <w:tc>
          <w:tcPr>
            <w:tcW w:w="1935" w:type="dxa"/>
            <w:shd w:val="clear" w:color="auto" w:fill="D9D9D9"/>
          </w:tcPr>
          <w:p>
            <w:pPr>
              <w:pStyle w:val="TableParagraph"/>
              <w:rPr>
                <w:rFonts w:ascii="Times New Roman"/>
                <w:sz w:val="24"/>
              </w:rPr>
            </w:pP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360"/>
              <w:rPr>
                <w:rFonts w:ascii="Verdana"/>
                <w:sz w:val="24"/>
              </w:rPr>
            </w:pPr>
            <w:r>
              <w:rPr>
                <w:rFonts w:ascii="Verdana"/>
                <w:sz w:val="24"/>
              </w:rPr>
              <w:t>Finance</w:t>
            </w:r>
            <w:r>
              <w:rPr>
                <w:rFonts w:ascii="Verdana"/>
                <w:spacing w:val="-5"/>
                <w:sz w:val="24"/>
              </w:rPr>
              <w:t> and</w:t>
            </w:r>
          </w:p>
          <w:p>
            <w:pPr>
              <w:pStyle w:val="TableParagraph"/>
              <w:spacing w:line="252" w:lineRule="exact" w:before="18"/>
              <w:ind w:left="389"/>
              <w:rPr>
                <w:rFonts w:ascii="Verdana"/>
                <w:sz w:val="24"/>
              </w:rPr>
            </w:pPr>
            <w:r>
              <w:rPr>
                <w:rFonts w:ascii="Verdana"/>
                <w:spacing w:val="-2"/>
                <w:sz w:val="24"/>
              </w:rPr>
              <w:t>Contracting</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561" w:hRule="atLeast"/>
        </w:trPr>
        <w:tc>
          <w:tcPr>
            <w:tcW w:w="2160" w:type="dxa"/>
          </w:tcPr>
          <w:p>
            <w:pPr>
              <w:pStyle w:val="TableParagraph"/>
              <w:spacing w:line="271" w:lineRule="exact"/>
              <w:ind w:left="360"/>
              <w:rPr>
                <w:rFonts w:ascii="Verdana"/>
                <w:sz w:val="24"/>
              </w:rPr>
            </w:pPr>
            <w:r>
              <w:rPr>
                <w:rFonts w:ascii="Verdana"/>
                <w:sz w:val="24"/>
              </w:rPr>
              <w:t>Finance</w:t>
            </w:r>
            <w:r>
              <w:rPr>
                <w:rFonts w:ascii="Verdana"/>
                <w:spacing w:val="-5"/>
                <w:sz w:val="24"/>
              </w:rPr>
              <w:t> and</w:t>
            </w:r>
          </w:p>
          <w:p>
            <w:pPr>
              <w:pStyle w:val="TableParagraph"/>
              <w:spacing w:line="252" w:lineRule="exact" w:before="18"/>
              <w:ind w:left="389"/>
              <w:rPr>
                <w:rFonts w:ascii="Verdana"/>
                <w:sz w:val="24"/>
              </w:rPr>
            </w:pPr>
            <w:r>
              <w:rPr>
                <w:rFonts w:ascii="Verdana"/>
                <w:spacing w:val="-2"/>
                <w:sz w:val="24"/>
              </w:rPr>
              <w:t>Contracting</w:t>
            </w:r>
          </w:p>
        </w:tc>
        <w:tc>
          <w:tcPr>
            <w:tcW w:w="1935" w:type="dxa"/>
          </w:tcPr>
          <w:p>
            <w:pPr>
              <w:pStyle w:val="TableParagraph"/>
              <w:rPr>
                <w:rFonts w:ascii="Times New Roman"/>
                <w:sz w:val="24"/>
              </w:rPr>
            </w:pPr>
          </w:p>
        </w:tc>
        <w:tc>
          <w:tcPr>
            <w:tcW w:w="1935" w:type="dxa"/>
            <w:shd w:val="clear" w:color="auto" w:fill="D9D9D9"/>
          </w:tcPr>
          <w:p>
            <w:pPr>
              <w:pStyle w:val="TableParagraph"/>
              <w:rPr>
                <w:rFonts w:ascii="Times New Roman"/>
                <w:sz w:val="24"/>
              </w:rPr>
            </w:pPr>
          </w:p>
        </w:tc>
        <w:tc>
          <w:tcPr>
            <w:tcW w:w="1935" w:type="dxa"/>
          </w:tcPr>
          <w:p>
            <w:pPr>
              <w:pStyle w:val="TableParagraph"/>
              <w:rPr>
                <w:rFonts w:ascii="Times New Roman"/>
                <w:sz w:val="24"/>
              </w:rPr>
            </w:pPr>
          </w:p>
        </w:tc>
      </w:tr>
      <w:tr>
        <w:trPr>
          <w:trHeight w:val="356"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r>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bl>
    <w:p>
      <w:pPr>
        <w:pStyle w:val="TableParagraph"/>
        <w:spacing w:after="0"/>
        <w:rPr>
          <w:rFonts w:ascii="Times New Roman"/>
          <w:sz w:val="24"/>
        </w:rPr>
        <w:sectPr>
          <w:type w:val="continuous"/>
          <w:pgSz w:w="11910" w:h="16840"/>
          <w:pgMar w:header="0" w:footer="69" w:top="1040" w:bottom="1021"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0"/>
        <w:gridCol w:w="1935"/>
        <w:gridCol w:w="1935"/>
        <w:gridCol w:w="1935"/>
      </w:tblGrid>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561"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8"/>
              <w:jc w:val="center"/>
              <w:rPr>
                <w:rFonts w:ascii="Verdana"/>
                <w:sz w:val="24"/>
              </w:rPr>
            </w:pPr>
            <w:r>
              <w:rPr>
                <w:rFonts w:ascii="Verdana"/>
                <w:sz w:val="24"/>
              </w:rPr>
              <w:t>Workforce</w:t>
            </w:r>
            <w:r>
              <w:rPr>
                <w:rFonts w:ascii="Verdana"/>
                <w:spacing w:val="1"/>
                <w:sz w:val="24"/>
              </w:rPr>
              <w:t> </w:t>
            </w:r>
            <w:r>
              <w:rPr>
                <w:rFonts w:ascii="Verdana"/>
                <w:spacing w:val="-5"/>
                <w:sz w:val="24"/>
              </w:rPr>
              <w:t>and</w:t>
            </w:r>
          </w:p>
          <w:p>
            <w:pPr>
              <w:pStyle w:val="TableParagraph"/>
              <w:spacing w:line="252" w:lineRule="exact" w:before="18"/>
              <w:ind w:left="111" w:right="85"/>
              <w:jc w:val="center"/>
              <w:rPr>
                <w:rFonts w:ascii="Verdana"/>
                <w:sz w:val="24"/>
              </w:rPr>
            </w:pPr>
            <w:r>
              <w:rPr>
                <w:rFonts w:ascii="Verdana"/>
                <w:spacing w:val="-5"/>
                <w:sz w:val="24"/>
              </w:rPr>
              <w:t>OD</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shd w:val="clear" w:color="auto" w:fill="FF0000"/>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356" w:hRule="atLeast"/>
        </w:trPr>
        <w:tc>
          <w:tcPr>
            <w:tcW w:w="2160"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r>
      <w:tr>
        <w:trPr>
          <w:trHeight w:val="851" w:hRule="atLeast"/>
        </w:trPr>
        <w:tc>
          <w:tcPr>
            <w:tcW w:w="2160" w:type="dxa"/>
          </w:tcPr>
          <w:p>
            <w:pPr>
              <w:pStyle w:val="TableParagraph"/>
              <w:spacing w:line="261" w:lineRule="exact"/>
              <w:ind w:left="111" w:right="86"/>
              <w:jc w:val="center"/>
              <w:rPr>
                <w:rFonts w:ascii="Verdana"/>
                <w:sz w:val="24"/>
              </w:rPr>
            </w:pPr>
            <w:r>
              <w:rPr>
                <w:rFonts w:ascii="Verdana"/>
                <w:spacing w:val="-2"/>
                <w:sz w:val="24"/>
              </w:rPr>
              <w:t>Research,</w:t>
            </w:r>
          </w:p>
          <w:p>
            <w:pPr>
              <w:pStyle w:val="TableParagraph"/>
              <w:spacing w:line="310" w:lineRule="atLeast"/>
              <w:ind w:left="111" w:right="82"/>
              <w:jc w:val="center"/>
              <w:rPr>
                <w:rFonts w:ascii="Verdana"/>
                <w:sz w:val="24"/>
              </w:rPr>
            </w:pPr>
            <w:r>
              <w:rPr>
                <w:rFonts w:ascii="Verdana"/>
                <w:sz w:val="24"/>
              </w:rPr>
              <w:t>Innovation</w:t>
            </w:r>
            <w:r>
              <w:rPr>
                <w:rFonts w:ascii="Verdana"/>
                <w:spacing w:val="-22"/>
                <w:sz w:val="24"/>
              </w:rPr>
              <w:t> </w:t>
            </w:r>
            <w:r>
              <w:rPr>
                <w:rFonts w:ascii="Verdana"/>
                <w:sz w:val="24"/>
              </w:rPr>
              <w:t>and </w:t>
            </w:r>
            <w:r>
              <w:rPr>
                <w:rFonts w:ascii="Verdana"/>
                <w:spacing w:val="-2"/>
                <w:sz w:val="24"/>
              </w:rPr>
              <w:t>Excellence</w:t>
            </w:r>
          </w:p>
        </w:tc>
        <w:tc>
          <w:tcPr>
            <w:tcW w:w="1935" w:type="dxa"/>
          </w:tcPr>
          <w:p>
            <w:pPr>
              <w:pStyle w:val="TableParagraph"/>
              <w:rPr>
                <w:rFonts w:ascii="Times New Roman"/>
                <w:sz w:val="24"/>
              </w:rPr>
            </w:pPr>
          </w:p>
        </w:tc>
        <w:tc>
          <w:tcPr>
            <w:tcW w:w="1935" w:type="dxa"/>
            <w:shd w:val="clear" w:color="auto" w:fill="D9D9D9"/>
          </w:tcPr>
          <w:p>
            <w:pPr>
              <w:pStyle w:val="TableParagraph"/>
              <w:spacing w:before="230"/>
              <w:ind w:left="26" w:right="5"/>
              <w:jc w:val="center"/>
              <w:rPr>
                <w:rFonts w:ascii="Verdana"/>
                <w:sz w:val="32"/>
              </w:rPr>
            </w:pPr>
            <w:r>
              <w:rPr>
                <w:rFonts w:ascii="Verdana"/>
                <w:color w:val="808080"/>
                <w:spacing w:val="-10"/>
                <w:sz w:val="32"/>
              </w:rPr>
              <w:t>x</w:t>
            </w:r>
          </w:p>
        </w:tc>
        <w:tc>
          <w:tcPr>
            <w:tcW w:w="1935" w:type="dxa"/>
          </w:tcPr>
          <w:p>
            <w:pPr>
              <w:pStyle w:val="TableParagraph"/>
              <w:spacing w:before="248"/>
              <w:ind w:left="26" w:right="1"/>
              <w:jc w:val="center"/>
              <w:rPr>
                <w:rFonts w:ascii="Wingdings" w:hAnsi="Wingdings"/>
                <w:sz w:val="32"/>
              </w:rPr>
            </w:pPr>
            <w:r>
              <w:rPr>
                <w:rFonts w:ascii="Wingdings" w:hAnsi="Wingdings"/>
                <w:spacing w:val="-10"/>
                <w:sz w:val="32"/>
              </w:rPr>
              <w:t></w:t>
            </w:r>
          </w:p>
        </w:tc>
      </w:tr>
      <w:tr>
        <w:trPr>
          <w:trHeight w:val="822" w:hRule="atLeast"/>
        </w:trPr>
        <w:tc>
          <w:tcPr>
            <w:tcW w:w="2160" w:type="dxa"/>
          </w:tcPr>
          <w:p>
            <w:pPr>
              <w:pStyle w:val="TableParagraph"/>
              <w:spacing w:line="232" w:lineRule="exact"/>
              <w:ind w:left="111" w:right="86"/>
              <w:jc w:val="center"/>
              <w:rPr>
                <w:rFonts w:ascii="Verdana"/>
                <w:sz w:val="24"/>
              </w:rPr>
            </w:pPr>
            <w:r>
              <w:rPr>
                <w:rFonts w:ascii="Verdana"/>
                <w:spacing w:val="-2"/>
                <w:sz w:val="24"/>
              </w:rPr>
              <w:t>Research,</w:t>
            </w:r>
          </w:p>
          <w:p>
            <w:pPr>
              <w:pStyle w:val="TableParagraph"/>
              <w:spacing w:line="310" w:lineRule="atLeast"/>
              <w:ind w:left="111" w:right="82"/>
              <w:jc w:val="center"/>
              <w:rPr>
                <w:rFonts w:ascii="Verdana"/>
                <w:sz w:val="24"/>
              </w:rPr>
            </w:pPr>
            <w:r>
              <w:rPr>
                <w:rFonts w:ascii="Verdana"/>
                <w:sz w:val="24"/>
              </w:rPr>
              <w:t>Innovation</w:t>
            </w:r>
            <w:r>
              <w:rPr>
                <w:rFonts w:ascii="Verdana"/>
                <w:spacing w:val="-22"/>
                <w:sz w:val="24"/>
              </w:rPr>
              <w:t> </w:t>
            </w:r>
            <w:r>
              <w:rPr>
                <w:rFonts w:ascii="Verdana"/>
                <w:sz w:val="24"/>
              </w:rPr>
              <w:t>and </w:t>
            </w:r>
            <w:r>
              <w:rPr>
                <w:rFonts w:ascii="Verdana"/>
                <w:spacing w:val="-2"/>
                <w:sz w:val="24"/>
              </w:rPr>
              <w:t>Excellence</w:t>
            </w:r>
          </w:p>
        </w:tc>
        <w:tc>
          <w:tcPr>
            <w:tcW w:w="1935" w:type="dxa"/>
          </w:tcPr>
          <w:p>
            <w:pPr>
              <w:pStyle w:val="TableParagraph"/>
              <w:rPr>
                <w:rFonts w:ascii="Times New Roman"/>
                <w:sz w:val="24"/>
              </w:rPr>
            </w:pPr>
          </w:p>
        </w:tc>
        <w:tc>
          <w:tcPr>
            <w:tcW w:w="1935" w:type="dxa"/>
            <w:shd w:val="clear" w:color="auto" w:fill="D9D9D9"/>
          </w:tcPr>
          <w:p>
            <w:pPr>
              <w:pStyle w:val="TableParagraph"/>
              <w:spacing w:before="200"/>
              <w:ind w:left="26" w:right="5"/>
              <w:jc w:val="center"/>
              <w:rPr>
                <w:rFonts w:ascii="Verdana"/>
                <w:sz w:val="32"/>
              </w:rPr>
            </w:pPr>
            <w:r>
              <w:rPr>
                <w:rFonts w:ascii="Verdana"/>
                <w:color w:val="808080"/>
                <w:spacing w:val="-10"/>
                <w:sz w:val="32"/>
              </w:rPr>
              <w:t>x</w:t>
            </w:r>
          </w:p>
        </w:tc>
        <w:tc>
          <w:tcPr>
            <w:tcW w:w="1935" w:type="dxa"/>
            <w:tcBorders>
              <w:right w:val="nil"/>
            </w:tcBorders>
          </w:tcPr>
          <w:p>
            <w:pPr>
              <w:pStyle w:val="TableParagraph"/>
              <w:rPr>
                <w:rFonts w:ascii="Times New Roman"/>
                <w:sz w:val="24"/>
              </w:rPr>
            </w:pPr>
          </w:p>
        </w:tc>
      </w:tr>
      <w:tr>
        <w:trPr>
          <w:trHeight w:val="821" w:hRule="atLeast"/>
        </w:trPr>
        <w:tc>
          <w:tcPr>
            <w:tcW w:w="2160" w:type="dxa"/>
          </w:tcPr>
          <w:p>
            <w:pPr>
              <w:pStyle w:val="TableParagraph"/>
              <w:spacing w:line="231" w:lineRule="exact"/>
              <w:ind w:left="111" w:right="86"/>
              <w:jc w:val="center"/>
              <w:rPr>
                <w:rFonts w:ascii="Verdana"/>
                <w:sz w:val="24"/>
              </w:rPr>
            </w:pPr>
            <w:r>
              <w:rPr>
                <w:rFonts w:ascii="Verdana"/>
                <w:spacing w:val="-2"/>
                <w:sz w:val="24"/>
              </w:rPr>
              <w:t>Research,</w:t>
            </w:r>
          </w:p>
          <w:p>
            <w:pPr>
              <w:pStyle w:val="TableParagraph"/>
              <w:spacing w:line="310" w:lineRule="atLeast"/>
              <w:ind w:left="111" w:right="82"/>
              <w:jc w:val="center"/>
              <w:rPr>
                <w:rFonts w:ascii="Verdana"/>
                <w:sz w:val="24"/>
              </w:rPr>
            </w:pPr>
            <w:r>
              <w:rPr>
                <w:rFonts w:ascii="Verdana"/>
                <w:sz w:val="24"/>
              </w:rPr>
              <w:t>Innovation</w:t>
            </w:r>
            <w:r>
              <w:rPr>
                <w:rFonts w:ascii="Verdana"/>
                <w:spacing w:val="-22"/>
                <w:sz w:val="24"/>
              </w:rPr>
              <w:t> </w:t>
            </w:r>
            <w:r>
              <w:rPr>
                <w:rFonts w:ascii="Verdana"/>
                <w:sz w:val="24"/>
              </w:rPr>
              <w:t>and </w:t>
            </w:r>
            <w:r>
              <w:rPr>
                <w:rFonts w:ascii="Verdana"/>
                <w:spacing w:val="-2"/>
                <w:sz w:val="24"/>
              </w:rPr>
              <w:t>Excellence</w:t>
            </w:r>
          </w:p>
        </w:tc>
        <w:tc>
          <w:tcPr>
            <w:tcW w:w="1935" w:type="dxa"/>
          </w:tcPr>
          <w:p>
            <w:pPr>
              <w:pStyle w:val="TableParagraph"/>
              <w:rPr>
                <w:rFonts w:ascii="Times New Roman"/>
                <w:sz w:val="24"/>
              </w:rPr>
            </w:pPr>
          </w:p>
        </w:tc>
        <w:tc>
          <w:tcPr>
            <w:tcW w:w="1935" w:type="dxa"/>
            <w:shd w:val="clear" w:color="auto" w:fill="D9D9D9"/>
          </w:tcPr>
          <w:p>
            <w:pPr>
              <w:pStyle w:val="TableParagraph"/>
              <w:spacing w:before="20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21" w:hRule="atLeast"/>
        </w:trPr>
        <w:tc>
          <w:tcPr>
            <w:tcW w:w="2160" w:type="dxa"/>
          </w:tcPr>
          <w:p>
            <w:pPr>
              <w:pStyle w:val="TableParagraph"/>
              <w:spacing w:line="231" w:lineRule="exact"/>
              <w:ind w:left="111" w:right="86"/>
              <w:jc w:val="center"/>
              <w:rPr>
                <w:rFonts w:ascii="Verdana"/>
                <w:sz w:val="24"/>
              </w:rPr>
            </w:pPr>
            <w:r>
              <w:rPr>
                <w:rFonts w:ascii="Verdana"/>
                <w:spacing w:val="-2"/>
                <w:sz w:val="24"/>
              </w:rPr>
              <w:t>Research,</w:t>
            </w:r>
          </w:p>
          <w:p>
            <w:pPr>
              <w:pStyle w:val="TableParagraph"/>
              <w:spacing w:line="310" w:lineRule="atLeast"/>
              <w:ind w:left="111" w:right="82"/>
              <w:jc w:val="center"/>
              <w:rPr>
                <w:rFonts w:ascii="Verdana"/>
                <w:sz w:val="24"/>
              </w:rPr>
            </w:pPr>
            <w:r>
              <w:rPr>
                <w:rFonts w:ascii="Verdana"/>
                <w:sz w:val="24"/>
              </w:rPr>
              <w:t>Innovation</w:t>
            </w:r>
            <w:r>
              <w:rPr>
                <w:rFonts w:ascii="Verdana"/>
                <w:spacing w:val="-22"/>
                <w:sz w:val="24"/>
              </w:rPr>
              <w:t> </w:t>
            </w:r>
            <w:r>
              <w:rPr>
                <w:rFonts w:ascii="Verdana"/>
                <w:sz w:val="24"/>
              </w:rPr>
              <w:t>and </w:t>
            </w:r>
            <w:r>
              <w:rPr>
                <w:rFonts w:ascii="Verdana"/>
                <w:spacing w:val="-2"/>
                <w:sz w:val="24"/>
              </w:rPr>
              <w:t>Excellence</w:t>
            </w:r>
          </w:p>
        </w:tc>
        <w:tc>
          <w:tcPr>
            <w:tcW w:w="1935" w:type="dxa"/>
          </w:tcPr>
          <w:p>
            <w:pPr>
              <w:pStyle w:val="TableParagraph"/>
              <w:rPr>
                <w:rFonts w:ascii="Times New Roman"/>
                <w:sz w:val="24"/>
              </w:rPr>
            </w:pPr>
          </w:p>
        </w:tc>
        <w:tc>
          <w:tcPr>
            <w:tcW w:w="1935" w:type="dxa"/>
            <w:shd w:val="clear" w:color="auto" w:fill="D9D9D9"/>
          </w:tcPr>
          <w:p>
            <w:pPr>
              <w:pStyle w:val="TableParagraph"/>
              <w:spacing w:before="200"/>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821" w:hRule="atLeast"/>
        </w:trPr>
        <w:tc>
          <w:tcPr>
            <w:tcW w:w="2160" w:type="dxa"/>
          </w:tcPr>
          <w:p>
            <w:pPr>
              <w:pStyle w:val="TableParagraph"/>
              <w:spacing w:line="231" w:lineRule="exact"/>
              <w:ind w:left="111" w:right="86"/>
              <w:jc w:val="center"/>
              <w:rPr>
                <w:rFonts w:ascii="Verdana"/>
                <w:sz w:val="24"/>
              </w:rPr>
            </w:pPr>
            <w:r>
              <w:rPr>
                <w:rFonts w:ascii="Verdana"/>
                <w:spacing w:val="-2"/>
                <w:sz w:val="24"/>
              </w:rPr>
              <w:t>Research,</w:t>
            </w:r>
          </w:p>
          <w:p>
            <w:pPr>
              <w:pStyle w:val="TableParagraph"/>
              <w:spacing w:line="310" w:lineRule="atLeast"/>
              <w:ind w:left="111" w:right="82"/>
              <w:jc w:val="center"/>
              <w:rPr>
                <w:rFonts w:ascii="Verdana"/>
                <w:sz w:val="24"/>
              </w:rPr>
            </w:pPr>
            <w:r>
              <w:rPr>
                <w:rFonts w:ascii="Verdana"/>
                <w:sz w:val="24"/>
              </w:rPr>
              <w:t>Innovation</w:t>
            </w:r>
            <w:r>
              <w:rPr>
                <w:rFonts w:ascii="Verdana"/>
                <w:spacing w:val="-22"/>
                <w:sz w:val="24"/>
              </w:rPr>
              <w:t> </w:t>
            </w:r>
            <w:r>
              <w:rPr>
                <w:rFonts w:ascii="Verdana"/>
                <w:sz w:val="24"/>
              </w:rPr>
              <w:t>and </w:t>
            </w:r>
            <w:r>
              <w:rPr>
                <w:rFonts w:ascii="Verdana"/>
                <w:spacing w:val="-2"/>
                <w:sz w:val="24"/>
              </w:rPr>
              <w:t>Excellence</w:t>
            </w:r>
          </w:p>
        </w:tc>
        <w:tc>
          <w:tcPr>
            <w:tcW w:w="1935" w:type="dxa"/>
          </w:tcPr>
          <w:p>
            <w:pPr>
              <w:pStyle w:val="TableParagraph"/>
              <w:rPr>
                <w:rFonts w:ascii="Times New Roman"/>
                <w:sz w:val="24"/>
              </w:rPr>
            </w:pPr>
          </w:p>
        </w:tc>
        <w:tc>
          <w:tcPr>
            <w:tcW w:w="1935" w:type="dxa"/>
            <w:shd w:val="clear" w:color="auto" w:fill="D9D9D9"/>
          </w:tcPr>
          <w:p>
            <w:pPr>
              <w:pStyle w:val="TableParagraph"/>
              <w:spacing w:before="200"/>
              <w:ind w:left="26" w:right="5"/>
              <w:jc w:val="center"/>
              <w:rPr>
                <w:rFonts w:ascii="Verdana"/>
                <w:sz w:val="32"/>
              </w:rPr>
            </w:pPr>
            <w:r>
              <w:rPr>
                <w:rFonts w:ascii="Verdana"/>
                <w:color w:val="808080"/>
                <w:spacing w:val="-10"/>
                <w:sz w:val="32"/>
              </w:rPr>
              <w:t>x</w:t>
            </w:r>
          </w:p>
        </w:tc>
        <w:tc>
          <w:tcPr>
            <w:tcW w:w="1935" w:type="dxa"/>
          </w:tcPr>
          <w:p>
            <w:pPr>
              <w:pStyle w:val="TableParagraph"/>
              <w:spacing w:before="217"/>
              <w:ind w:left="26" w:right="1"/>
              <w:jc w:val="center"/>
              <w:rPr>
                <w:rFonts w:ascii="Wingdings" w:hAnsi="Wingdings"/>
                <w:sz w:val="32"/>
              </w:rPr>
            </w:pPr>
            <w:r>
              <w:rPr>
                <w:rFonts w:ascii="Wingdings" w:hAnsi="Wingdings"/>
                <w:spacing w:val="-10"/>
                <w:sz w:val="32"/>
              </w:rPr>
              <w:t></w:t>
            </w:r>
          </w:p>
        </w:tc>
      </w:tr>
      <w:tr>
        <w:trPr>
          <w:trHeight w:val="355" w:hRule="atLeast"/>
        </w:trPr>
        <w:tc>
          <w:tcPr>
            <w:tcW w:w="2160"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shd w:val="clear" w:color="auto" w:fill="D9D9D9"/>
          </w:tcPr>
          <w:p>
            <w:pPr>
              <w:pStyle w:val="TableParagraph"/>
              <w:spacing w:line="336" w:lineRule="exact"/>
              <w:ind w:left="26" w:right="5"/>
              <w:jc w:val="center"/>
              <w:rPr>
                <w:rFonts w:ascii="Verdana"/>
                <w:sz w:val="32"/>
              </w:rPr>
            </w:pPr>
            <w:r>
              <w:rPr>
                <w:rFonts w:ascii="Verdana"/>
                <w:color w:val="808080"/>
                <w:spacing w:val="-10"/>
                <w:sz w:val="32"/>
              </w:rPr>
              <w:t>x</w:t>
            </w:r>
          </w:p>
        </w:tc>
        <w:tc>
          <w:tcPr>
            <w:tcW w:w="1935" w:type="dxa"/>
            <w:tcBorders>
              <w:right w:val="nil"/>
            </w:tcBorders>
          </w:tcPr>
          <w:p>
            <w:pPr>
              <w:pStyle w:val="TableParagraph"/>
              <w:rPr>
                <w:rFonts w:ascii="Times New Roman"/>
                <w:sz w:val="24"/>
              </w:rPr>
            </w:pPr>
          </w:p>
        </w:tc>
      </w:tr>
      <w:tr>
        <w:trPr>
          <w:trHeight w:val="560" w:hRule="atLeast"/>
        </w:trPr>
        <w:tc>
          <w:tcPr>
            <w:tcW w:w="2160" w:type="dxa"/>
          </w:tcPr>
          <w:p>
            <w:pPr>
              <w:pStyle w:val="TableParagraph"/>
              <w:spacing w:line="271" w:lineRule="exact"/>
              <w:ind w:left="111" w:right="85"/>
              <w:jc w:val="center"/>
              <w:rPr>
                <w:rFonts w:ascii="Verdana"/>
                <w:sz w:val="24"/>
              </w:rPr>
            </w:pPr>
            <w:r>
              <w:rPr>
                <w:rFonts w:ascii="Verdana"/>
                <w:spacing w:val="-2"/>
                <w:sz w:val="24"/>
              </w:rPr>
              <w:t>Regional</w:t>
            </w:r>
          </w:p>
          <w:p>
            <w:pPr>
              <w:pStyle w:val="TableParagraph"/>
              <w:spacing w:line="252" w:lineRule="exact" w:before="18"/>
              <w:ind w:left="111" w:right="90"/>
              <w:jc w:val="center"/>
              <w:rPr>
                <w:rFonts w:ascii="Verdana"/>
                <w:sz w:val="24"/>
              </w:rPr>
            </w:pPr>
            <w:r>
              <w:rPr>
                <w:rFonts w:ascii="Verdana"/>
                <w:spacing w:val="-2"/>
                <w:sz w:val="24"/>
              </w:rPr>
              <w:t>Governance</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5"/>
              <w:jc w:val="center"/>
              <w:rPr>
                <w:rFonts w:ascii="Verdana"/>
                <w:sz w:val="24"/>
              </w:rPr>
            </w:pPr>
            <w:r>
              <w:rPr>
                <w:rFonts w:ascii="Verdana"/>
                <w:spacing w:val="-2"/>
                <w:sz w:val="24"/>
              </w:rPr>
              <w:t>Regional</w:t>
            </w:r>
          </w:p>
          <w:p>
            <w:pPr>
              <w:pStyle w:val="TableParagraph"/>
              <w:spacing w:line="252" w:lineRule="exact" w:before="18"/>
              <w:ind w:left="111" w:right="90"/>
              <w:jc w:val="center"/>
              <w:rPr>
                <w:rFonts w:ascii="Verdana"/>
                <w:sz w:val="24"/>
              </w:rPr>
            </w:pPr>
            <w:r>
              <w:rPr>
                <w:rFonts w:ascii="Verdana"/>
                <w:spacing w:val="-2"/>
                <w:sz w:val="24"/>
              </w:rPr>
              <w:t>Governance</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560" w:hRule="atLeast"/>
        </w:trPr>
        <w:tc>
          <w:tcPr>
            <w:tcW w:w="2160" w:type="dxa"/>
          </w:tcPr>
          <w:p>
            <w:pPr>
              <w:pStyle w:val="TableParagraph"/>
              <w:spacing w:line="271" w:lineRule="exact"/>
              <w:ind w:left="111" w:right="85"/>
              <w:jc w:val="center"/>
              <w:rPr>
                <w:rFonts w:ascii="Verdana"/>
                <w:sz w:val="24"/>
              </w:rPr>
            </w:pPr>
            <w:r>
              <w:rPr>
                <w:rFonts w:ascii="Verdana"/>
                <w:spacing w:val="-2"/>
                <w:sz w:val="24"/>
              </w:rPr>
              <w:t>Regional</w:t>
            </w:r>
          </w:p>
          <w:p>
            <w:pPr>
              <w:pStyle w:val="TableParagraph"/>
              <w:spacing w:line="252" w:lineRule="exact" w:before="18"/>
              <w:ind w:left="111" w:right="90"/>
              <w:jc w:val="center"/>
              <w:rPr>
                <w:rFonts w:ascii="Verdana"/>
                <w:sz w:val="24"/>
              </w:rPr>
            </w:pPr>
            <w:r>
              <w:rPr>
                <w:rFonts w:ascii="Verdana"/>
                <w:spacing w:val="-2"/>
                <w:sz w:val="24"/>
              </w:rPr>
              <w:t>Governance</w:t>
            </w: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r>
      <w:tr>
        <w:trPr>
          <w:trHeight w:val="385" w:hRule="atLeast"/>
        </w:trPr>
        <w:tc>
          <w:tcPr>
            <w:tcW w:w="2160"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shd w:val="clear" w:color="auto" w:fill="D9D9D9"/>
          </w:tcPr>
          <w:p>
            <w:pPr>
              <w:pStyle w:val="TableParagraph"/>
              <w:spacing w:line="366" w:lineRule="exact"/>
              <w:ind w:left="26" w:right="5"/>
              <w:jc w:val="center"/>
              <w:rPr>
                <w:rFonts w:ascii="Verdana"/>
                <w:sz w:val="32"/>
              </w:rPr>
            </w:pPr>
            <w:r>
              <w:rPr>
                <w:rFonts w:ascii="Verdana"/>
                <w:color w:val="808080"/>
                <w:spacing w:val="-10"/>
                <w:sz w:val="32"/>
              </w:rPr>
              <w:t>x</w:t>
            </w:r>
          </w:p>
        </w:tc>
        <w:tc>
          <w:tcPr>
            <w:tcW w:w="1935" w:type="dxa"/>
          </w:tcPr>
          <w:p>
            <w:pPr>
              <w:pStyle w:val="TableParagraph"/>
              <w:rPr>
                <w:rFonts w:ascii="Times New Roman"/>
                <w:sz w:val="24"/>
              </w:rPr>
            </w:pPr>
          </w:p>
        </w:tc>
      </w:tr>
      <w:tr>
        <w:trPr>
          <w:trHeight w:val="561" w:hRule="atLeast"/>
        </w:trPr>
        <w:tc>
          <w:tcPr>
            <w:tcW w:w="2160"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shd w:val="clear" w:color="auto" w:fill="D9D9D9"/>
          </w:tcPr>
          <w:p>
            <w:pPr>
              <w:pStyle w:val="TableParagraph"/>
              <w:spacing w:before="83"/>
              <w:ind w:left="26" w:right="5"/>
              <w:jc w:val="center"/>
              <w:rPr>
                <w:rFonts w:ascii="Verdana"/>
                <w:sz w:val="32"/>
              </w:rPr>
            </w:pPr>
            <w:r>
              <w:rPr>
                <w:rFonts w:ascii="Verdana"/>
                <w:color w:val="808080"/>
                <w:spacing w:val="-10"/>
                <w:sz w:val="32"/>
              </w:rPr>
              <w:t>x</w:t>
            </w: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r>
    </w:tbl>
    <w:p>
      <w:pPr>
        <w:pStyle w:val="TableParagraph"/>
        <w:spacing w:after="0"/>
        <w:jc w:val="center"/>
        <w:rPr>
          <w:rFonts w:ascii="Wingdings" w:hAnsi="Wingdings"/>
          <w:sz w:val="32"/>
        </w:rPr>
        <w:sectPr>
          <w:type w:val="continuous"/>
          <w:pgSz w:w="11910" w:h="16840"/>
          <w:pgMar w:header="0" w:footer="69" w:top="1040" w:bottom="260"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35"/>
        <w:gridCol w:w="1935"/>
        <w:gridCol w:w="1935"/>
        <w:gridCol w:w="1935"/>
        <w:gridCol w:w="1934"/>
      </w:tblGrid>
      <w:tr>
        <w:trPr>
          <w:trHeight w:val="560" w:hRule="atLeast"/>
        </w:trPr>
        <w:tc>
          <w:tcPr>
            <w:tcW w:w="1935" w:type="dxa"/>
            <w:shd w:val="clear" w:color="auto" w:fill="C1EFC6"/>
          </w:tcPr>
          <w:p>
            <w:pPr>
              <w:pStyle w:val="TableParagraph"/>
              <w:spacing w:before="133"/>
              <w:ind w:left="26" w:right="4"/>
              <w:jc w:val="center"/>
              <w:rPr>
                <w:rFonts w:ascii="Verdana"/>
                <w:b/>
                <w:sz w:val="24"/>
              </w:rPr>
            </w:pPr>
            <w:r>
              <w:rPr>
                <w:rFonts w:ascii="Verdana"/>
                <w:b/>
                <w:spacing w:val="-2"/>
                <w:sz w:val="24"/>
              </w:rPr>
              <w:t>05-Feb-</w:t>
            </w:r>
            <w:r>
              <w:rPr>
                <w:rFonts w:ascii="Verdana"/>
                <w:b/>
                <w:spacing w:val="-5"/>
                <w:sz w:val="24"/>
              </w:rPr>
              <w:t>27</w:t>
            </w:r>
          </w:p>
        </w:tc>
        <w:tc>
          <w:tcPr>
            <w:tcW w:w="1935" w:type="dxa"/>
            <w:shd w:val="clear" w:color="auto" w:fill="C1EFC6"/>
          </w:tcPr>
          <w:p>
            <w:pPr>
              <w:pStyle w:val="TableParagraph"/>
              <w:spacing w:before="133"/>
              <w:ind w:left="26" w:right="3"/>
              <w:jc w:val="center"/>
              <w:rPr>
                <w:rFonts w:ascii="Verdana"/>
                <w:b/>
                <w:sz w:val="24"/>
              </w:rPr>
            </w:pPr>
            <w:r>
              <w:rPr>
                <w:rFonts w:ascii="Verdana"/>
                <w:b/>
                <w:spacing w:val="-2"/>
                <w:sz w:val="24"/>
              </w:rPr>
              <w:t>15-Apr-</w:t>
            </w:r>
            <w:r>
              <w:rPr>
                <w:rFonts w:ascii="Verdana"/>
                <w:b/>
                <w:spacing w:val="-7"/>
                <w:sz w:val="24"/>
              </w:rPr>
              <w:t>27</w:t>
            </w:r>
          </w:p>
        </w:tc>
        <w:tc>
          <w:tcPr>
            <w:tcW w:w="1935" w:type="dxa"/>
            <w:shd w:val="clear" w:color="auto" w:fill="C1EFC6"/>
          </w:tcPr>
          <w:p>
            <w:pPr>
              <w:pStyle w:val="TableParagraph"/>
              <w:spacing w:before="133"/>
              <w:ind w:left="26" w:right="5"/>
              <w:jc w:val="center"/>
              <w:rPr>
                <w:rFonts w:ascii="Verdana"/>
                <w:b/>
                <w:sz w:val="24"/>
              </w:rPr>
            </w:pPr>
            <w:r>
              <w:rPr>
                <w:rFonts w:ascii="Verdana"/>
                <w:b/>
                <w:spacing w:val="-2"/>
                <w:sz w:val="24"/>
              </w:rPr>
              <w:t>22-Jul-</w:t>
            </w:r>
            <w:r>
              <w:rPr>
                <w:rFonts w:ascii="Verdana"/>
                <w:b/>
                <w:spacing w:val="-5"/>
                <w:sz w:val="24"/>
              </w:rPr>
              <w:t>27</w:t>
            </w:r>
          </w:p>
        </w:tc>
        <w:tc>
          <w:tcPr>
            <w:tcW w:w="1935" w:type="dxa"/>
            <w:shd w:val="clear" w:color="auto" w:fill="C1EFC6"/>
          </w:tcPr>
          <w:p>
            <w:pPr>
              <w:pStyle w:val="TableParagraph"/>
              <w:spacing w:before="133"/>
              <w:ind w:left="26" w:right="3"/>
              <w:jc w:val="center"/>
              <w:rPr>
                <w:rFonts w:ascii="Verdana"/>
                <w:b/>
                <w:sz w:val="24"/>
              </w:rPr>
            </w:pPr>
            <w:r>
              <w:rPr>
                <w:rFonts w:ascii="Verdana"/>
                <w:b/>
                <w:sz w:val="24"/>
              </w:rPr>
              <w:t>14-Oct-</w:t>
            </w:r>
            <w:r>
              <w:rPr>
                <w:rFonts w:ascii="Verdana"/>
                <w:b/>
                <w:spacing w:val="-5"/>
                <w:sz w:val="24"/>
              </w:rPr>
              <w:t>27</w:t>
            </w:r>
          </w:p>
        </w:tc>
        <w:tc>
          <w:tcPr>
            <w:tcW w:w="1934" w:type="dxa"/>
            <w:shd w:val="clear" w:color="auto" w:fill="C1EFC6"/>
          </w:tcPr>
          <w:p>
            <w:pPr>
              <w:pStyle w:val="TableParagraph"/>
              <w:spacing w:before="133"/>
              <w:ind w:left="25" w:right="1"/>
              <w:jc w:val="center"/>
              <w:rPr>
                <w:rFonts w:ascii="Verdana"/>
                <w:b/>
                <w:sz w:val="24"/>
              </w:rPr>
            </w:pPr>
            <w:r>
              <w:rPr>
                <w:rFonts w:ascii="Verdana"/>
                <w:b/>
                <w:spacing w:val="-2"/>
                <w:sz w:val="24"/>
              </w:rPr>
              <w:t>13-Jan-</w:t>
            </w:r>
            <w:r>
              <w:rPr>
                <w:rFonts w:ascii="Verdana"/>
                <w:b/>
                <w:spacing w:val="-5"/>
                <w:sz w:val="24"/>
              </w:rPr>
              <w:t>28</w:t>
            </w:r>
          </w:p>
        </w:tc>
      </w:tr>
      <w:tr>
        <w:trPr>
          <w:trHeight w:val="357" w:hRule="atLeast"/>
        </w:trPr>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4" w:type="dxa"/>
            <w:shd w:val="clear" w:color="auto" w:fill="C1EFC6"/>
          </w:tcPr>
          <w:p>
            <w:pPr>
              <w:pStyle w:val="TableParagraph"/>
              <w:rPr>
                <w:rFonts w:ascii="Times New Roman"/>
                <w:sz w:val="24"/>
              </w:rPr>
            </w:pP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4" w:type="dxa"/>
          </w:tcPr>
          <w:p>
            <w:pPr>
              <w:pStyle w:val="TableParagraph"/>
              <w:spacing w:line="337" w:lineRule="exact"/>
              <w:ind w:left="25"/>
              <w:jc w:val="center"/>
              <w:rPr>
                <w:rFonts w:ascii="Wingdings" w:hAnsi="Wingdings"/>
                <w:sz w:val="32"/>
              </w:rPr>
            </w:pPr>
            <w:r>
              <w:rPr>
                <w:rFonts w:ascii="Wingdings" w:hAnsi="Wingdings"/>
                <w:spacing w:val="-10"/>
                <w:sz w:val="32"/>
              </w:rPr>
              <w:t></w:t>
            </w: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4" w:type="dxa"/>
          </w:tcPr>
          <w:p>
            <w:pPr>
              <w:pStyle w:val="TableParagraph"/>
              <w:spacing w:line="337" w:lineRule="exact"/>
              <w:ind w:left="25"/>
              <w:jc w:val="center"/>
              <w:rPr>
                <w:rFonts w:ascii="Wingdings" w:hAnsi="Wingdings"/>
                <w:sz w:val="32"/>
              </w:rPr>
            </w:pPr>
            <w:r>
              <w:rPr>
                <w:rFonts w:ascii="Wingdings" w:hAnsi="Wingdings"/>
                <w:spacing w:val="-10"/>
                <w:sz w:val="32"/>
              </w:rPr>
              <w:t></w:t>
            </w:r>
          </w:p>
        </w:tc>
      </w:tr>
      <w:tr>
        <w:trPr>
          <w:trHeight w:val="356" w:hRule="atLeast"/>
        </w:trPr>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4" w:type="dxa"/>
            <w:shd w:val="clear" w:color="auto" w:fill="C1EFC6"/>
          </w:tcPr>
          <w:p>
            <w:pPr>
              <w:pStyle w:val="TableParagraph"/>
              <w:rPr>
                <w:rFonts w:ascii="Times New Roman"/>
                <w:sz w:val="24"/>
              </w:rPr>
            </w:pP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4" w:type="dxa"/>
          </w:tcPr>
          <w:p>
            <w:pPr>
              <w:pStyle w:val="TableParagraph"/>
              <w:spacing w:line="337" w:lineRule="exact"/>
              <w:ind w:left="25"/>
              <w:jc w:val="center"/>
              <w:rPr>
                <w:rFonts w:ascii="Wingdings" w:hAnsi="Wingdings"/>
                <w:sz w:val="32"/>
              </w:rPr>
            </w:pPr>
            <w:r>
              <w:rPr>
                <w:rFonts w:ascii="Wingdings" w:hAnsi="Wingdings"/>
                <w:spacing w:val="-10"/>
                <w:sz w:val="32"/>
              </w:rPr>
              <w:t></w:t>
            </w: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4" w:type="dxa"/>
          </w:tcPr>
          <w:p>
            <w:pPr>
              <w:pStyle w:val="TableParagraph"/>
              <w:spacing w:line="337" w:lineRule="exact"/>
              <w:ind w:left="25"/>
              <w:jc w:val="center"/>
              <w:rPr>
                <w:rFonts w:ascii="Wingdings" w:hAnsi="Wingdings"/>
                <w:sz w:val="32"/>
              </w:rPr>
            </w:pPr>
            <w:r>
              <w:rPr>
                <w:rFonts w:ascii="Wingdings" w:hAnsi="Wingdings"/>
                <w:spacing w:val="-10"/>
                <w:sz w:val="32"/>
              </w:rPr>
              <w:t></w:t>
            </w: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5" w:type="dxa"/>
          </w:tcPr>
          <w:p>
            <w:pPr>
              <w:pStyle w:val="TableParagraph"/>
              <w:spacing w:line="337" w:lineRule="exact"/>
              <w:ind w:left="26" w:right="2"/>
              <w:jc w:val="center"/>
              <w:rPr>
                <w:rFonts w:ascii="Wingdings" w:hAnsi="Wingdings"/>
                <w:sz w:val="32"/>
              </w:rPr>
            </w:pPr>
            <w:r>
              <w:rPr>
                <w:rFonts w:ascii="Wingdings" w:hAnsi="Wingdings"/>
                <w:spacing w:val="-10"/>
                <w:sz w:val="32"/>
              </w:rPr>
              <w:t></w:t>
            </w:r>
          </w:p>
        </w:tc>
        <w:tc>
          <w:tcPr>
            <w:tcW w:w="1934" w:type="dxa"/>
          </w:tcPr>
          <w:p>
            <w:pPr>
              <w:pStyle w:val="TableParagraph"/>
              <w:spacing w:line="337" w:lineRule="exact"/>
              <w:ind w:left="25"/>
              <w:jc w:val="center"/>
              <w:rPr>
                <w:rFonts w:ascii="Wingdings" w:hAnsi="Wingdings"/>
                <w:sz w:val="32"/>
              </w:rPr>
            </w:pPr>
            <w:r>
              <w:rPr>
                <w:rFonts w:ascii="Wingdings" w:hAnsi="Wingdings"/>
                <w:spacing w:val="-10"/>
                <w:sz w:val="32"/>
              </w:rPr>
              <w:t></w:t>
            </w:r>
          </w:p>
        </w:tc>
      </w:tr>
      <w:tr>
        <w:trPr>
          <w:trHeight w:val="356" w:hRule="atLeast"/>
        </w:trPr>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4" w:type="dxa"/>
            <w:shd w:val="clear" w:color="auto" w:fill="C1EFC6"/>
          </w:tcPr>
          <w:p>
            <w:pPr>
              <w:pStyle w:val="TableParagraph"/>
              <w:rPr>
                <w:rFonts w:ascii="Times New Roman"/>
                <w:sz w:val="24"/>
              </w:rPr>
            </w:pPr>
          </w:p>
        </w:tc>
      </w:tr>
      <w:tr>
        <w:trPr>
          <w:trHeight w:val="356" w:hRule="atLeast"/>
        </w:trPr>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4" w:type="dxa"/>
            <w:shd w:val="clear" w:color="auto" w:fill="C1EFC6"/>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spacing w:before="247"/>
              <w:ind w:left="26" w:right="2"/>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spacing w:before="247"/>
              <w:ind w:left="26" w:right="2"/>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356" w:hRule="atLeast"/>
        </w:trPr>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5" w:type="dxa"/>
            <w:shd w:val="clear" w:color="auto" w:fill="C1EFC6"/>
          </w:tcPr>
          <w:p>
            <w:pPr>
              <w:pStyle w:val="TableParagraph"/>
              <w:rPr>
                <w:rFonts w:ascii="Times New Roman"/>
                <w:sz w:val="24"/>
              </w:rPr>
            </w:pPr>
          </w:p>
        </w:tc>
        <w:tc>
          <w:tcPr>
            <w:tcW w:w="1934" w:type="dxa"/>
            <w:shd w:val="clear" w:color="auto" w:fill="C1EFC6"/>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r>
        <w:trPr>
          <w:trHeight w:val="851" w:hRule="atLeast"/>
        </w:trPr>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5" w:type="dxa"/>
          </w:tcPr>
          <w:p>
            <w:pPr>
              <w:pStyle w:val="TableParagraph"/>
              <w:rPr>
                <w:rFonts w:ascii="Times New Roman"/>
                <w:sz w:val="24"/>
              </w:rPr>
            </w:pPr>
          </w:p>
        </w:tc>
        <w:tc>
          <w:tcPr>
            <w:tcW w:w="1934" w:type="dxa"/>
          </w:tcPr>
          <w:p>
            <w:pPr>
              <w:pStyle w:val="TableParagraph"/>
              <w:rPr>
                <w:rFonts w:ascii="Times New Roman"/>
                <w:sz w:val="24"/>
              </w:rPr>
            </w:pPr>
          </w:p>
        </w:tc>
      </w:tr>
    </w:tbl>
    <w:p>
      <w:pPr>
        <w:pStyle w:val="TableParagraph"/>
        <w:spacing w:after="0"/>
        <w:rPr>
          <w:rFonts w:ascii="Times New Roman"/>
          <w:sz w:val="24"/>
        </w:rPr>
        <w:sectPr>
          <w:pgSz w:w="11910" w:h="16840"/>
          <w:pgMar w:header="0" w:footer="69" w:top="1040" w:bottom="1432"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35"/>
        <w:gridCol w:w="1935"/>
        <w:gridCol w:w="1935"/>
        <w:gridCol w:w="1935"/>
        <w:gridCol w:w="1934"/>
      </w:tblGrid>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spacing w:before="247"/>
              <w:ind w:left="26" w:right="2"/>
              <w:jc w:val="center"/>
              <w:rPr>
                <w:rFonts w:ascii="Wingdings" w:hAnsi="Wingdings"/>
                <w:sz w:val="32"/>
              </w:rPr>
            </w:pPr>
            <w:r>
              <w:rPr>
                <w:rFonts w:ascii="Wingdings" w:hAnsi="Wingdings"/>
                <w:spacing w:val="-10"/>
                <w:sz w:val="32"/>
              </w:rPr>
              <w:t></w:t>
            </w: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356"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4" w:type="dxa"/>
            <w:shd w:val="clear" w:color="auto" w:fill="C1EFC6"/>
          </w:tcPr>
          <w:p>
            <w:pPr>
              <w:pStyle w:val="TableParagraph"/>
              <w:rPr>
                <w:rFonts w:ascii="Times New Roman"/>
                <w:sz w:val="22"/>
              </w:rPr>
            </w:pPr>
          </w:p>
        </w:tc>
      </w:tr>
      <w:tr>
        <w:trPr>
          <w:trHeight w:val="56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356"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4" w:type="dxa"/>
            <w:shd w:val="clear" w:color="auto" w:fill="C1EFC6"/>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1" w:hRule="atLeast"/>
        </w:trPr>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356"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4" w:type="dxa"/>
            <w:shd w:val="clear" w:color="auto" w:fill="C1EFC6"/>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bl>
    <w:p>
      <w:pPr>
        <w:pStyle w:val="TableParagraph"/>
        <w:spacing w:after="0"/>
        <w:rPr>
          <w:rFonts w:ascii="Times New Roman"/>
          <w:sz w:val="22"/>
        </w:rPr>
        <w:sectPr>
          <w:type w:val="continuous"/>
          <w:pgSz w:w="11910" w:h="16840"/>
          <w:pgMar w:header="0" w:footer="69" w:top="1040" w:bottom="1021"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35"/>
        <w:gridCol w:w="1935"/>
        <w:gridCol w:w="1935"/>
        <w:gridCol w:w="1935"/>
        <w:gridCol w:w="1934"/>
      </w:tblGrid>
      <w:tr>
        <w:trPr>
          <w:trHeight w:val="560" w:hRule="atLeast"/>
        </w:trPr>
        <w:tc>
          <w:tcPr>
            <w:tcW w:w="1935" w:type="dxa"/>
          </w:tcPr>
          <w:p>
            <w:pPr>
              <w:pStyle w:val="TableParagraph"/>
              <w:rPr>
                <w:rFonts w:ascii="Times New Roman"/>
                <w:sz w:val="22"/>
              </w:rPr>
            </w:pP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356"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4" w:type="dxa"/>
            <w:shd w:val="clear" w:color="auto" w:fill="C1EFC6"/>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spacing w:before="247"/>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spacing w:before="247"/>
              <w:ind w:left="26" w:right="2"/>
              <w:jc w:val="center"/>
              <w:rPr>
                <w:rFonts w:ascii="Wingdings" w:hAnsi="Wingdings"/>
                <w:sz w:val="32"/>
              </w:rPr>
            </w:pPr>
            <w:r>
              <w:rPr>
                <w:rFonts w:ascii="Wingdings" w:hAnsi="Wingdings"/>
                <w:spacing w:val="-10"/>
                <w:sz w:val="32"/>
              </w:rPr>
              <w:t></w:t>
            </w:r>
          </w:p>
        </w:tc>
        <w:tc>
          <w:tcPr>
            <w:tcW w:w="1934"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385"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0"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385"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4" w:type="dxa"/>
          </w:tcPr>
          <w:p>
            <w:pPr>
              <w:pStyle w:val="TableParagraph"/>
              <w:rPr>
                <w:rFonts w:ascii="Times New Roman"/>
                <w:sz w:val="22"/>
              </w:rPr>
            </w:pPr>
          </w:p>
        </w:tc>
      </w:tr>
      <w:tr>
        <w:trPr>
          <w:trHeight w:val="561" w:hRule="atLeast"/>
        </w:trPr>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before="101"/>
              <w:ind w:left="26" w:right="2"/>
              <w:jc w:val="center"/>
              <w:rPr>
                <w:rFonts w:ascii="Wingdings" w:hAnsi="Wingdings"/>
                <w:sz w:val="32"/>
              </w:rPr>
            </w:pPr>
            <w:r>
              <w:rPr>
                <w:rFonts w:ascii="Wingdings" w:hAnsi="Wingdings"/>
                <w:spacing w:val="-10"/>
                <w:sz w:val="32"/>
              </w:rPr>
              <w:t></w:t>
            </w:r>
          </w:p>
        </w:tc>
        <w:tc>
          <w:tcPr>
            <w:tcW w:w="1935" w:type="dxa"/>
          </w:tcPr>
          <w:p>
            <w:pPr>
              <w:pStyle w:val="TableParagraph"/>
              <w:spacing w:before="101"/>
              <w:ind w:left="26" w:right="2"/>
              <w:jc w:val="center"/>
              <w:rPr>
                <w:rFonts w:ascii="Wingdings" w:hAnsi="Wingdings"/>
                <w:sz w:val="32"/>
              </w:rPr>
            </w:pPr>
            <w:r>
              <w:rPr>
                <w:rFonts w:ascii="Wingdings" w:hAnsi="Wingdings"/>
                <w:spacing w:val="-10"/>
                <w:sz w:val="32"/>
              </w:rPr>
              <w:t></w:t>
            </w:r>
          </w:p>
        </w:tc>
        <w:tc>
          <w:tcPr>
            <w:tcW w:w="1934" w:type="dxa"/>
          </w:tcPr>
          <w:p>
            <w:pPr>
              <w:pStyle w:val="TableParagraph"/>
              <w:spacing w:before="101"/>
              <w:ind w:left="25"/>
              <w:jc w:val="center"/>
              <w:rPr>
                <w:rFonts w:ascii="Wingdings" w:hAnsi="Wingdings"/>
                <w:sz w:val="32"/>
              </w:rPr>
            </w:pPr>
            <w:r>
              <w:rPr>
                <w:rFonts w:ascii="Wingdings" w:hAnsi="Wingdings"/>
                <w:spacing w:val="-10"/>
                <w:sz w:val="32"/>
              </w:rPr>
              <w:t></w:t>
            </w:r>
          </w:p>
        </w:tc>
      </w:tr>
    </w:tbl>
    <w:p>
      <w:pPr>
        <w:pStyle w:val="TableParagraph"/>
        <w:spacing w:after="0"/>
        <w:jc w:val="center"/>
        <w:rPr>
          <w:rFonts w:ascii="Wingdings" w:hAnsi="Wingdings"/>
          <w:sz w:val="32"/>
        </w:rPr>
        <w:sectPr>
          <w:type w:val="continuous"/>
          <w:pgSz w:w="11910" w:h="16840"/>
          <w:pgMar w:header="0" w:footer="69" w:top="1040" w:bottom="260"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35"/>
        <w:gridCol w:w="1935"/>
        <w:gridCol w:w="1935"/>
      </w:tblGrid>
      <w:tr>
        <w:trPr>
          <w:trHeight w:val="560" w:hRule="atLeast"/>
        </w:trPr>
        <w:tc>
          <w:tcPr>
            <w:tcW w:w="1935" w:type="dxa"/>
            <w:shd w:val="clear" w:color="auto" w:fill="C1EFC6"/>
          </w:tcPr>
          <w:p>
            <w:pPr>
              <w:pStyle w:val="TableParagraph"/>
              <w:spacing w:before="133"/>
              <w:ind w:left="26" w:right="2"/>
              <w:jc w:val="center"/>
              <w:rPr>
                <w:rFonts w:ascii="Verdana"/>
                <w:b/>
                <w:sz w:val="24"/>
              </w:rPr>
            </w:pPr>
            <w:r>
              <w:rPr>
                <w:rFonts w:ascii="Verdana"/>
                <w:b/>
                <w:sz w:val="24"/>
              </w:rPr>
              <w:t>Q1</w:t>
            </w:r>
            <w:r>
              <w:rPr>
                <w:rFonts w:ascii="Verdana"/>
                <w:b/>
                <w:spacing w:val="-2"/>
                <w:sz w:val="24"/>
              </w:rPr>
              <w:t> </w:t>
            </w:r>
            <w:r>
              <w:rPr>
                <w:rFonts w:ascii="Verdana"/>
                <w:b/>
                <w:sz w:val="24"/>
              </w:rPr>
              <w:t>April</w:t>
            </w:r>
            <w:r>
              <w:rPr>
                <w:rFonts w:ascii="Verdana"/>
                <w:b/>
                <w:spacing w:val="-1"/>
                <w:sz w:val="24"/>
              </w:rPr>
              <w:t> </w:t>
            </w:r>
            <w:r>
              <w:rPr>
                <w:rFonts w:ascii="Verdana"/>
                <w:b/>
                <w:spacing w:val="-5"/>
                <w:sz w:val="24"/>
              </w:rPr>
              <w:t>28</w:t>
            </w:r>
          </w:p>
        </w:tc>
        <w:tc>
          <w:tcPr>
            <w:tcW w:w="1935" w:type="dxa"/>
            <w:shd w:val="clear" w:color="auto" w:fill="C1EFC6"/>
          </w:tcPr>
          <w:p>
            <w:pPr>
              <w:pStyle w:val="TableParagraph"/>
              <w:spacing w:before="133"/>
              <w:ind w:left="258"/>
              <w:rPr>
                <w:rFonts w:ascii="Verdana"/>
                <w:b/>
                <w:sz w:val="24"/>
              </w:rPr>
            </w:pPr>
            <w:r>
              <w:rPr>
                <w:rFonts w:ascii="Verdana"/>
                <w:b/>
                <w:sz w:val="24"/>
              </w:rPr>
              <w:t>Q2</w:t>
            </w:r>
            <w:r>
              <w:rPr>
                <w:rFonts w:ascii="Verdana"/>
                <w:b/>
                <w:spacing w:val="-2"/>
                <w:sz w:val="24"/>
              </w:rPr>
              <w:t> </w:t>
            </w:r>
            <w:r>
              <w:rPr>
                <w:rFonts w:ascii="Verdana"/>
                <w:b/>
                <w:sz w:val="24"/>
              </w:rPr>
              <w:t>July</w:t>
            </w:r>
            <w:r>
              <w:rPr>
                <w:rFonts w:ascii="Verdana"/>
                <w:b/>
                <w:spacing w:val="-1"/>
                <w:sz w:val="24"/>
              </w:rPr>
              <w:t> </w:t>
            </w:r>
            <w:r>
              <w:rPr>
                <w:rFonts w:ascii="Verdana"/>
                <w:b/>
                <w:spacing w:val="-5"/>
                <w:sz w:val="24"/>
              </w:rPr>
              <w:t>28</w:t>
            </w:r>
          </w:p>
        </w:tc>
        <w:tc>
          <w:tcPr>
            <w:tcW w:w="1935" w:type="dxa"/>
            <w:shd w:val="clear" w:color="auto" w:fill="C1EFC6"/>
          </w:tcPr>
          <w:p>
            <w:pPr>
              <w:pStyle w:val="TableParagraph"/>
              <w:spacing w:line="271" w:lineRule="exact"/>
              <w:ind w:left="26" w:right="6"/>
              <w:jc w:val="center"/>
              <w:rPr>
                <w:rFonts w:ascii="Verdana"/>
                <w:b/>
                <w:sz w:val="24"/>
              </w:rPr>
            </w:pPr>
            <w:r>
              <w:rPr>
                <w:rFonts w:ascii="Verdana"/>
                <w:b/>
                <w:sz w:val="24"/>
              </w:rPr>
              <w:t>Q3</w:t>
            </w:r>
            <w:r>
              <w:rPr>
                <w:rFonts w:ascii="Verdana"/>
                <w:b/>
                <w:spacing w:val="-1"/>
                <w:sz w:val="24"/>
              </w:rPr>
              <w:t> </w:t>
            </w:r>
            <w:r>
              <w:rPr>
                <w:rFonts w:ascii="Verdana"/>
                <w:b/>
                <w:spacing w:val="-2"/>
                <w:sz w:val="24"/>
              </w:rPr>
              <w:t>October</w:t>
            </w:r>
          </w:p>
          <w:p>
            <w:pPr>
              <w:pStyle w:val="TableParagraph"/>
              <w:spacing w:line="252" w:lineRule="exact" w:before="18"/>
              <w:ind w:left="26" w:right="3"/>
              <w:jc w:val="center"/>
              <w:rPr>
                <w:rFonts w:ascii="Verdana"/>
                <w:b/>
                <w:sz w:val="24"/>
              </w:rPr>
            </w:pPr>
            <w:r>
              <w:rPr>
                <w:rFonts w:ascii="Verdana"/>
                <w:b/>
                <w:spacing w:val="-5"/>
                <w:sz w:val="24"/>
              </w:rPr>
              <w:t>28</w:t>
            </w:r>
          </w:p>
        </w:tc>
      </w:tr>
      <w:tr>
        <w:trPr>
          <w:trHeight w:val="357"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356"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356" w:hRule="atLeast"/>
        </w:trPr>
        <w:tc>
          <w:tcPr>
            <w:tcW w:w="1935" w:type="dxa"/>
          </w:tcPr>
          <w:p>
            <w:pPr>
              <w:pStyle w:val="TableParagraph"/>
              <w:spacing w:line="337" w:lineRule="exact"/>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356"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r>
      <w:tr>
        <w:trPr>
          <w:trHeight w:val="356"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356" w:hRule="atLeast"/>
        </w:trPr>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c>
          <w:tcPr>
            <w:tcW w:w="1935" w:type="dxa"/>
            <w:shd w:val="clear" w:color="auto" w:fill="C1EFC6"/>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r>
        <w:trPr>
          <w:trHeight w:val="851" w:hRule="atLeast"/>
        </w:trPr>
        <w:tc>
          <w:tcPr>
            <w:tcW w:w="1935" w:type="dxa"/>
          </w:tcPr>
          <w:p>
            <w:pPr>
              <w:pStyle w:val="TableParagraph"/>
              <w:rPr>
                <w:rFonts w:ascii="Times New Roman"/>
                <w:sz w:val="22"/>
              </w:rPr>
            </w:pPr>
          </w:p>
        </w:tc>
        <w:tc>
          <w:tcPr>
            <w:tcW w:w="1935" w:type="dxa"/>
          </w:tcPr>
          <w:p>
            <w:pPr>
              <w:pStyle w:val="TableParagraph"/>
              <w:rPr>
                <w:rFonts w:ascii="Times New Roman"/>
                <w:sz w:val="22"/>
              </w:rPr>
            </w:pPr>
          </w:p>
        </w:tc>
        <w:tc>
          <w:tcPr>
            <w:tcW w:w="1935" w:type="dxa"/>
          </w:tcPr>
          <w:p>
            <w:pPr>
              <w:pStyle w:val="TableParagraph"/>
              <w:rPr>
                <w:rFonts w:ascii="Times New Roman"/>
                <w:sz w:val="22"/>
              </w:rPr>
            </w:pPr>
          </w:p>
        </w:tc>
      </w:tr>
    </w:tbl>
    <w:p>
      <w:pPr>
        <w:pStyle w:val="TableParagraph"/>
        <w:spacing w:after="0"/>
        <w:rPr>
          <w:rFonts w:ascii="Times New Roman"/>
          <w:sz w:val="22"/>
        </w:rPr>
        <w:sectPr>
          <w:pgSz w:w="11910" w:h="16840"/>
          <w:pgMar w:header="0" w:footer="69" w:top="1040" w:bottom="1432"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35"/>
        <w:gridCol w:w="1935"/>
        <w:gridCol w:w="1935"/>
      </w:tblGrid>
      <w:tr>
        <w:trPr>
          <w:trHeight w:val="85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85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85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85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85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85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85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85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356" w:hRule="atLeast"/>
        </w:trPr>
        <w:tc>
          <w:tcPr>
            <w:tcW w:w="1935" w:type="dxa"/>
            <w:shd w:val="clear" w:color="auto" w:fill="C1EFC6"/>
          </w:tcPr>
          <w:p>
            <w:pPr>
              <w:pStyle w:val="TableParagraph"/>
              <w:rPr>
                <w:rFonts w:ascii="Times New Roman"/>
                <w:sz w:val="12"/>
              </w:rPr>
            </w:pPr>
          </w:p>
        </w:tc>
        <w:tc>
          <w:tcPr>
            <w:tcW w:w="1935" w:type="dxa"/>
            <w:shd w:val="clear" w:color="auto" w:fill="C1EFC6"/>
          </w:tcPr>
          <w:p>
            <w:pPr>
              <w:pStyle w:val="TableParagraph"/>
              <w:rPr>
                <w:rFonts w:ascii="Times New Roman"/>
                <w:sz w:val="12"/>
              </w:rPr>
            </w:pPr>
          </w:p>
        </w:tc>
        <w:tc>
          <w:tcPr>
            <w:tcW w:w="1935" w:type="dxa"/>
            <w:shd w:val="clear" w:color="auto" w:fill="C1EFC6"/>
          </w:tcPr>
          <w:p>
            <w:pPr>
              <w:pStyle w:val="TableParagraph"/>
              <w:rPr>
                <w:rFonts w:ascii="Times New Roman"/>
                <w:sz w:val="12"/>
              </w:rPr>
            </w:pPr>
          </w:p>
        </w:tc>
      </w:tr>
      <w:tr>
        <w:trPr>
          <w:trHeight w:val="56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560"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560"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560"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356" w:hRule="atLeast"/>
        </w:trPr>
        <w:tc>
          <w:tcPr>
            <w:tcW w:w="1935" w:type="dxa"/>
            <w:shd w:val="clear" w:color="auto" w:fill="C1EFC6"/>
          </w:tcPr>
          <w:p>
            <w:pPr>
              <w:pStyle w:val="TableParagraph"/>
              <w:rPr>
                <w:rFonts w:ascii="Times New Roman"/>
                <w:sz w:val="12"/>
              </w:rPr>
            </w:pPr>
          </w:p>
        </w:tc>
        <w:tc>
          <w:tcPr>
            <w:tcW w:w="1935" w:type="dxa"/>
            <w:shd w:val="clear" w:color="auto" w:fill="C1EFC6"/>
          </w:tcPr>
          <w:p>
            <w:pPr>
              <w:pStyle w:val="TableParagraph"/>
              <w:rPr>
                <w:rFonts w:ascii="Times New Roman"/>
                <w:sz w:val="12"/>
              </w:rPr>
            </w:pPr>
          </w:p>
        </w:tc>
        <w:tc>
          <w:tcPr>
            <w:tcW w:w="1935" w:type="dxa"/>
            <w:shd w:val="clear" w:color="auto" w:fill="C1EFC6"/>
          </w:tcPr>
          <w:p>
            <w:pPr>
              <w:pStyle w:val="TableParagraph"/>
              <w:rPr>
                <w:rFonts w:ascii="Times New Roman"/>
                <w:sz w:val="12"/>
              </w:rPr>
            </w:pPr>
          </w:p>
        </w:tc>
      </w:tr>
      <w:tr>
        <w:trPr>
          <w:trHeight w:val="560"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560"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561"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356" w:hRule="atLeast"/>
        </w:trPr>
        <w:tc>
          <w:tcPr>
            <w:tcW w:w="1935" w:type="dxa"/>
            <w:shd w:val="clear" w:color="auto" w:fill="C1EFC6"/>
          </w:tcPr>
          <w:p>
            <w:pPr>
              <w:pStyle w:val="TableParagraph"/>
              <w:rPr>
                <w:rFonts w:ascii="Times New Roman"/>
                <w:sz w:val="12"/>
              </w:rPr>
            </w:pPr>
          </w:p>
        </w:tc>
        <w:tc>
          <w:tcPr>
            <w:tcW w:w="1935" w:type="dxa"/>
            <w:shd w:val="clear" w:color="auto" w:fill="C1EFC6"/>
          </w:tcPr>
          <w:p>
            <w:pPr>
              <w:pStyle w:val="TableParagraph"/>
              <w:rPr>
                <w:rFonts w:ascii="Times New Roman"/>
                <w:sz w:val="12"/>
              </w:rPr>
            </w:pPr>
          </w:p>
        </w:tc>
        <w:tc>
          <w:tcPr>
            <w:tcW w:w="1935" w:type="dxa"/>
            <w:shd w:val="clear" w:color="auto" w:fill="C1EFC6"/>
          </w:tcPr>
          <w:p>
            <w:pPr>
              <w:pStyle w:val="TableParagraph"/>
              <w:rPr>
                <w:rFonts w:ascii="Times New Roman"/>
                <w:sz w:val="12"/>
              </w:rPr>
            </w:pPr>
          </w:p>
        </w:tc>
      </w:tr>
      <w:tr>
        <w:trPr>
          <w:trHeight w:val="560"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560"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560" w:hRule="atLeast"/>
        </w:trPr>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r>
        <w:trPr>
          <w:trHeight w:val="560" w:hRule="atLeast"/>
        </w:trPr>
        <w:tc>
          <w:tcPr>
            <w:tcW w:w="1935" w:type="dxa"/>
          </w:tcPr>
          <w:p>
            <w:pPr>
              <w:pStyle w:val="TableParagraph"/>
              <w:rPr>
                <w:rFonts w:ascii="Times New Roman"/>
                <w:sz w:val="12"/>
              </w:rPr>
            </w:pPr>
          </w:p>
        </w:tc>
        <w:tc>
          <w:tcPr>
            <w:tcW w:w="1935" w:type="dxa"/>
          </w:tcPr>
          <w:p>
            <w:pPr>
              <w:pStyle w:val="TableParagraph"/>
              <w:rPr>
                <w:rFonts w:ascii="Times New Roman"/>
                <w:sz w:val="12"/>
              </w:rPr>
            </w:pPr>
          </w:p>
        </w:tc>
        <w:tc>
          <w:tcPr>
            <w:tcW w:w="1935" w:type="dxa"/>
          </w:tcPr>
          <w:p>
            <w:pPr>
              <w:pStyle w:val="TableParagraph"/>
              <w:rPr>
                <w:rFonts w:ascii="Times New Roman"/>
                <w:sz w:val="12"/>
              </w:rPr>
            </w:pPr>
          </w:p>
        </w:tc>
      </w:tr>
    </w:tbl>
    <w:p>
      <w:pPr>
        <w:pStyle w:val="TableParagraph"/>
        <w:spacing w:after="0"/>
        <w:rPr>
          <w:rFonts w:ascii="Times New Roman"/>
          <w:sz w:val="12"/>
        </w:rPr>
        <w:sectPr>
          <w:type w:val="continuous"/>
          <w:pgSz w:w="11910" w:h="16840"/>
          <w:pgMar w:header="0" w:footer="69" w:top="1040" w:bottom="1021" w:left="992" w:right="1133"/>
        </w:sectPr>
      </w:pPr>
    </w:p>
    <w:tbl>
      <w:tblPr>
        <w:tblW w:w="0" w:type="auto"/>
        <w:jc w:val="left"/>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35"/>
        <w:gridCol w:w="1935"/>
        <w:gridCol w:w="1935"/>
      </w:tblGrid>
      <w:tr>
        <w:trPr>
          <w:trHeight w:val="560" w:hRule="atLeast"/>
        </w:trPr>
        <w:tc>
          <w:tcPr>
            <w:tcW w:w="1935" w:type="dxa"/>
            <w:tcBorders>
              <w:top w:val="nil"/>
              <w:left w:val="nil"/>
            </w:tcBorders>
          </w:tcPr>
          <w:p>
            <w:pPr>
              <w:pStyle w:val="TableParagraph"/>
              <w:spacing w:line="330" w:lineRule="exact" w:before="211"/>
              <w:ind w:left="50"/>
              <w:jc w:val="center"/>
              <w:rPr>
                <w:rFonts w:ascii="Wingdings" w:hAnsi="Wingdings"/>
                <w:sz w:val="32"/>
              </w:rPr>
            </w:pPr>
            <w:r>
              <w:rPr>
                <w:rFonts w:ascii="Wingdings" w:hAnsi="Wingdings"/>
                <w:spacing w:val="-10"/>
                <w:sz w:val="32"/>
              </w:rPr>
              <w:t></w:t>
            </w: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1"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0"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0"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0"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0"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356" w:hRule="atLeast"/>
        </w:trPr>
        <w:tc>
          <w:tcPr>
            <w:tcW w:w="1935" w:type="dxa"/>
            <w:shd w:val="clear" w:color="auto" w:fill="C1EFC6"/>
          </w:tcPr>
          <w:p>
            <w:pPr>
              <w:pStyle w:val="TableParagraph"/>
              <w:rPr>
                <w:rFonts w:ascii="Times New Roman"/>
                <w:sz w:val="18"/>
              </w:rPr>
            </w:pPr>
          </w:p>
        </w:tc>
        <w:tc>
          <w:tcPr>
            <w:tcW w:w="1935" w:type="dxa"/>
            <w:shd w:val="clear" w:color="auto" w:fill="C1EFC6"/>
          </w:tcPr>
          <w:p>
            <w:pPr>
              <w:pStyle w:val="TableParagraph"/>
              <w:rPr>
                <w:rFonts w:ascii="Times New Roman"/>
                <w:sz w:val="18"/>
              </w:rPr>
            </w:pPr>
          </w:p>
        </w:tc>
        <w:tc>
          <w:tcPr>
            <w:tcW w:w="1935" w:type="dxa"/>
            <w:shd w:val="clear" w:color="auto" w:fill="C1EFC6"/>
          </w:tcPr>
          <w:p>
            <w:pPr>
              <w:pStyle w:val="TableParagraph"/>
              <w:rPr>
                <w:rFonts w:ascii="Times New Roman"/>
                <w:sz w:val="18"/>
              </w:rPr>
            </w:pPr>
          </w:p>
        </w:tc>
      </w:tr>
      <w:tr>
        <w:trPr>
          <w:trHeight w:val="851"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851"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851"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851"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851"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385"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0"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0"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0"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385" w:hRule="atLeast"/>
        </w:trPr>
        <w:tc>
          <w:tcPr>
            <w:tcW w:w="1935" w:type="dxa"/>
          </w:tcPr>
          <w:p>
            <w:pPr>
              <w:pStyle w:val="TableParagraph"/>
              <w:rPr>
                <w:rFonts w:ascii="Times New Roman"/>
                <w:sz w:val="18"/>
              </w:rPr>
            </w:pPr>
          </w:p>
        </w:tc>
        <w:tc>
          <w:tcPr>
            <w:tcW w:w="1935" w:type="dxa"/>
          </w:tcPr>
          <w:p>
            <w:pPr>
              <w:pStyle w:val="TableParagraph"/>
              <w:rPr>
                <w:rFonts w:ascii="Times New Roman"/>
                <w:sz w:val="18"/>
              </w:rPr>
            </w:pPr>
          </w:p>
        </w:tc>
        <w:tc>
          <w:tcPr>
            <w:tcW w:w="1935" w:type="dxa"/>
          </w:tcPr>
          <w:p>
            <w:pPr>
              <w:pStyle w:val="TableParagraph"/>
              <w:rPr>
                <w:rFonts w:ascii="Times New Roman"/>
                <w:sz w:val="18"/>
              </w:rPr>
            </w:pPr>
          </w:p>
        </w:tc>
      </w:tr>
      <w:tr>
        <w:trPr>
          <w:trHeight w:val="561" w:hRule="atLeast"/>
        </w:trPr>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before="101"/>
              <w:ind w:left="26" w:right="1"/>
              <w:jc w:val="center"/>
              <w:rPr>
                <w:rFonts w:ascii="Wingdings" w:hAnsi="Wingdings"/>
                <w:sz w:val="32"/>
              </w:rPr>
            </w:pPr>
            <w:r>
              <w:rPr>
                <w:rFonts w:ascii="Wingdings" w:hAnsi="Wingdings"/>
                <w:spacing w:val="-10"/>
                <w:sz w:val="32"/>
              </w:rPr>
              <w:t></w:t>
            </w:r>
          </w:p>
        </w:tc>
        <w:tc>
          <w:tcPr>
            <w:tcW w:w="1935" w:type="dxa"/>
          </w:tcPr>
          <w:p>
            <w:pPr>
              <w:pStyle w:val="TableParagraph"/>
              <w:spacing w:before="101"/>
              <w:ind w:left="26" w:right="2"/>
              <w:jc w:val="center"/>
              <w:rPr>
                <w:rFonts w:ascii="Wingdings" w:hAnsi="Wingdings"/>
                <w:sz w:val="32"/>
              </w:rPr>
            </w:pPr>
            <w:r>
              <w:rPr>
                <w:rFonts w:ascii="Wingdings" w:hAnsi="Wingdings"/>
                <w:spacing w:val="-10"/>
                <w:sz w:val="32"/>
              </w:rPr>
              <w:t></w:t>
            </w:r>
          </w:p>
        </w:tc>
      </w:tr>
    </w:tbl>
    <w:p>
      <w:pPr>
        <w:pStyle w:val="TableParagraph"/>
        <w:spacing w:after="0"/>
        <w:jc w:val="center"/>
        <w:rPr>
          <w:rFonts w:ascii="Wingdings" w:hAnsi="Wingdings"/>
          <w:sz w:val="32"/>
        </w:rPr>
        <w:sectPr>
          <w:type w:val="continuous"/>
          <w:pgSz w:w="11910" w:h="16840"/>
          <w:pgMar w:header="0" w:footer="69" w:top="104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spacing w:before="4"/>
        <w:rPr>
          <w:sz w:val="17"/>
        </w:rPr>
      </w:pPr>
    </w:p>
    <w:p>
      <w:pPr>
        <w:pStyle w:val="BodyText"/>
        <w:spacing w:after="0"/>
        <w:rPr>
          <w:sz w:val="17"/>
        </w:rPr>
        <w:sectPr>
          <w:pgSz w:w="11910" w:h="16840"/>
          <w:pgMar w:header="0" w:footer="69" w:top="1920" w:bottom="260" w:left="992" w:right="1133"/>
        </w:sect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
        <w:rPr>
          <w:sz w:val="22"/>
        </w:rPr>
      </w:pPr>
    </w:p>
    <w:p>
      <w:pPr>
        <w:spacing w:before="1"/>
        <w:ind w:left="3161" w:right="0" w:firstLine="0"/>
        <w:jc w:val="left"/>
        <w:rPr>
          <w:rFonts w:ascii="Calibri"/>
          <w:sz w:val="22"/>
        </w:rPr>
      </w:pPr>
      <w:r>
        <w:rPr>
          <w:rFonts w:ascii="Calibri"/>
          <w:spacing w:val="-10"/>
          <w:sz w:val="22"/>
        </w:rPr>
        <w:t>,</w:t>
      </w:r>
    </w:p>
    <w:p>
      <w:pPr>
        <w:spacing w:after="0"/>
        <w:jc w:val="left"/>
        <w:rPr>
          <w:rFonts w:ascii="Calibri"/>
          <w:sz w:val="22"/>
        </w:rPr>
        <w:sectPr>
          <w:pgSz w:w="11910" w:h="16840"/>
          <w:pgMar w:header="0" w:footer="69" w:top="1920" w:bottom="260" w:left="992" w:right="1133"/>
        </w:sectPr>
      </w:pPr>
    </w:p>
    <w:p>
      <w:pPr>
        <w:pStyle w:val="BodyText"/>
        <w:spacing w:before="4"/>
        <w:rPr>
          <w:rFonts w:ascii="Calibri"/>
          <w:sz w:val="16"/>
        </w:rPr>
      </w:pPr>
    </w:p>
    <w:p>
      <w:pPr>
        <w:pStyle w:val="BodyText"/>
        <w:spacing w:after="0"/>
        <w:rPr>
          <w:rFonts w:ascii="Calibri"/>
          <w:sz w:val="16"/>
        </w:rPr>
        <w:sectPr>
          <w:pgSz w:w="11910" w:h="16840"/>
          <w:pgMar w:header="0" w:footer="69" w:top="1920" w:bottom="260" w:left="992" w:right="1133"/>
        </w:sectPr>
      </w:pPr>
    </w:p>
    <w:p>
      <w:pPr>
        <w:pStyle w:val="BodyText"/>
        <w:spacing w:before="4"/>
        <w:rPr>
          <w:rFonts w:ascii="Calibri"/>
          <w:sz w:val="16"/>
        </w:rPr>
      </w:pPr>
    </w:p>
    <w:p>
      <w:pPr>
        <w:pStyle w:val="BodyText"/>
        <w:spacing w:after="0"/>
        <w:rPr>
          <w:rFonts w:ascii="Calibri"/>
          <w:sz w:val="16"/>
        </w:rPr>
        <w:sectPr>
          <w:pgSz w:w="11910" w:h="16840"/>
          <w:pgMar w:header="0" w:footer="69" w:top="1920" w:bottom="260" w:left="992" w:right="1133"/>
        </w:sect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spacing w:before="153"/>
        <w:rPr>
          <w:rFonts w:ascii="Calibri"/>
          <w:sz w:val="22"/>
        </w:rPr>
      </w:pPr>
    </w:p>
    <w:p>
      <w:pPr>
        <w:spacing w:before="0"/>
        <w:ind w:left="0" w:right="1301" w:firstLine="0"/>
        <w:jc w:val="center"/>
        <w:rPr>
          <w:rFonts w:ascii="Calibri"/>
          <w:sz w:val="22"/>
        </w:rPr>
      </w:pPr>
      <w:r>
        <w:rPr>
          <w:rFonts w:ascii="Calibri"/>
          <w:spacing w:val="-10"/>
          <w:sz w:val="22"/>
        </w:rPr>
        <w:t>c</w:t>
      </w:r>
    </w:p>
    <w:p>
      <w:pPr>
        <w:spacing w:after="0"/>
        <w:jc w:val="center"/>
        <w:rPr>
          <w:rFonts w:ascii="Calibri"/>
          <w:sz w:val="22"/>
        </w:rPr>
        <w:sectPr>
          <w:pgSz w:w="11910" w:h="16840"/>
          <w:pgMar w:header="0" w:footer="69" w:top="1920" w:bottom="260" w:left="992" w:right="1133"/>
        </w:sectPr>
      </w:pPr>
    </w:p>
    <w:p>
      <w:pPr>
        <w:pStyle w:val="BodyText"/>
        <w:rPr>
          <w:rFonts w:ascii="Calibri"/>
          <w:sz w:val="2"/>
        </w:rPr>
      </w:pPr>
    </w:p>
    <w:p>
      <w:pPr>
        <w:spacing w:line="240" w:lineRule="auto"/>
        <w:ind w:left="14143" w:right="0" w:firstLine="0"/>
        <w:rPr>
          <w:rFonts w:ascii="Calibri"/>
          <w:sz w:val="20"/>
        </w:rPr>
      </w:pPr>
      <w:r>
        <w:rPr>
          <w:rFonts w:ascii="Calibri"/>
          <w:sz w:val="20"/>
        </w:rPr>
        <w:drawing>
          <wp:inline distT="0" distB="0" distL="0" distR="0">
            <wp:extent cx="2941729" cy="787908"/>
            <wp:effectExtent l="0" t="0" r="0" b="0"/>
            <wp:docPr id="744" name="Image 744" descr="Temporary changes to blood test arrangements in Swansea Bay - Swansea Bay  University Health Board"/>
            <wp:cNvGraphicFramePr>
              <a:graphicFrameLocks/>
            </wp:cNvGraphicFramePr>
            <a:graphic>
              <a:graphicData uri="http://schemas.openxmlformats.org/drawingml/2006/picture">
                <pic:pic>
                  <pic:nvPicPr>
                    <pic:cNvPr id="744" name="Image 744" descr="Temporary changes to blood test arrangements in Swansea Bay - Swansea Bay  University Health Board"/>
                    <pic:cNvPicPr/>
                  </pic:nvPicPr>
                  <pic:blipFill>
                    <a:blip r:embed="rId25" cstate="print"/>
                    <a:stretch>
                      <a:fillRect/>
                    </a:stretch>
                  </pic:blipFill>
                  <pic:spPr>
                    <a:xfrm>
                      <a:off x="0" y="0"/>
                      <a:ext cx="2941729" cy="787908"/>
                    </a:xfrm>
                    <a:prstGeom prst="rect">
                      <a:avLst/>
                    </a:prstGeom>
                  </pic:spPr>
                </pic:pic>
              </a:graphicData>
            </a:graphic>
          </wp:inline>
        </w:drawing>
      </w:r>
      <w:r>
        <w:rPr>
          <w:rFonts w:ascii="Calibri"/>
          <w:sz w:val="20"/>
        </w:rPr>
      </w:r>
    </w:p>
    <w:p>
      <w:pPr>
        <w:spacing w:before="0"/>
        <w:ind w:left="639" w:right="0" w:firstLine="0"/>
        <w:jc w:val="center"/>
        <w:rPr>
          <w:rFonts w:ascii="Verdana"/>
          <w:sz w:val="56"/>
        </w:rPr>
      </w:pPr>
      <w:r>
        <w:rPr>
          <w:rFonts w:ascii="Verdana"/>
          <w:sz w:val="56"/>
        </w:rPr>
        <w:drawing>
          <wp:anchor distT="0" distB="0" distL="0" distR="0" allowOverlap="1" layoutInCell="1" locked="0" behindDoc="0" simplePos="0" relativeHeight="15876608">
            <wp:simplePos x="0" y="0"/>
            <wp:positionH relativeFrom="page">
              <wp:posOffset>155544</wp:posOffset>
            </wp:positionH>
            <wp:positionV relativeFrom="paragraph">
              <wp:posOffset>-806509</wp:posOffset>
            </wp:positionV>
            <wp:extent cx="3369413" cy="914639"/>
            <wp:effectExtent l="0" t="0" r="0" b="0"/>
            <wp:wrapNone/>
            <wp:docPr id="745" name="Image 745"/>
            <wp:cNvGraphicFramePr>
              <a:graphicFrameLocks/>
            </wp:cNvGraphicFramePr>
            <a:graphic>
              <a:graphicData uri="http://schemas.openxmlformats.org/drawingml/2006/picture">
                <pic:pic>
                  <pic:nvPicPr>
                    <pic:cNvPr id="745" name="Image 745"/>
                    <pic:cNvPicPr/>
                  </pic:nvPicPr>
                  <pic:blipFill>
                    <a:blip r:embed="rId24" cstate="print"/>
                    <a:stretch>
                      <a:fillRect/>
                    </a:stretch>
                  </pic:blipFill>
                  <pic:spPr>
                    <a:xfrm>
                      <a:off x="0" y="0"/>
                      <a:ext cx="3369413" cy="914639"/>
                    </a:xfrm>
                    <a:prstGeom prst="rect">
                      <a:avLst/>
                    </a:prstGeom>
                  </pic:spPr>
                </pic:pic>
              </a:graphicData>
            </a:graphic>
          </wp:anchor>
        </w:drawing>
      </w:r>
      <w:bookmarkStart w:name="RJC 45b RJC Subgroup Maturity Matrix" w:id="87"/>
      <w:bookmarkEnd w:id="87"/>
      <w:r>
        <w:rPr/>
      </w:r>
      <w:r>
        <w:rPr>
          <w:rFonts w:ascii="Verdana"/>
          <w:sz w:val="56"/>
        </w:rPr>
        <w:t>RJC</w:t>
      </w:r>
      <w:r>
        <w:rPr>
          <w:rFonts w:ascii="Verdana"/>
          <w:spacing w:val="-14"/>
          <w:sz w:val="56"/>
        </w:rPr>
        <w:t> </w:t>
      </w:r>
      <w:r>
        <w:rPr>
          <w:rFonts w:ascii="Verdana"/>
          <w:sz w:val="56"/>
        </w:rPr>
        <w:t>Subgroup</w:t>
      </w:r>
      <w:r>
        <w:rPr>
          <w:rFonts w:ascii="Verdana"/>
          <w:spacing w:val="-12"/>
          <w:sz w:val="56"/>
        </w:rPr>
        <w:t> </w:t>
      </w:r>
      <w:r>
        <w:rPr>
          <w:rFonts w:ascii="Verdana"/>
          <w:sz w:val="56"/>
        </w:rPr>
        <w:t>Maturity</w:t>
      </w:r>
      <w:r>
        <w:rPr>
          <w:rFonts w:ascii="Verdana"/>
          <w:spacing w:val="-8"/>
          <w:sz w:val="56"/>
        </w:rPr>
        <w:t> </w:t>
      </w:r>
      <w:r>
        <w:rPr>
          <w:rFonts w:ascii="Verdana"/>
          <w:spacing w:val="-2"/>
          <w:sz w:val="56"/>
        </w:rPr>
        <w:t>Matrix</w:t>
      </w:r>
    </w:p>
    <w:p>
      <w:pPr>
        <w:pStyle w:val="BodyText"/>
        <w:spacing w:before="7"/>
        <w:rPr>
          <w:rFonts w:ascii="Verdana"/>
          <w:sz w:val="17"/>
        </w:rPr>
      </w:pPr>
    </w:p>
    <w:tbl>
      <w:tblPr>
        <w:tblW w:w="0" w:type="auto"/>
        <w:jc w:val="left"/>
        <w:tblInd w:w="5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88"/>
        <w:gridCol w:w="1001"/>
        <w:gridCol w:w="1401"/>
        <w:gridCol w:w="1462"/>
        <w:gridCol w:w="2307"/>
        <w:gridCol w:w="1611"/>
        <w:gridCol w:w="1369"/>
        <w:gridCol w:w="1563"/>
        <w:gridCol w:w="1803"/>
        <w:gridCol w:w="1489"/>
        <w:gridCol w:w="1552"/>
      </w:tblGrid>
      <w:tr>
        <w:trPr>
          <w:trHeight w:val="1097" w:hRule="atLeast"/>
        </w:trPr>
        <w:tc>
          <w:tcPr>
            <w:tcW w:w="2288" w:type="dxa"/>
            <w:shd w:val="clear" w:color="auto" w:fill="BEBEBE"/>
          </w:tcPr>
          <w:p>
            <w:pPr>
              <w:pStyle w:val="TableParagraph"/>
              <w:spacing w:before="179"/>
              <w:rPr>
                <w:rFonts w:ascii="Verdana"/>
                <w:sz w:val="21"/>
              </w:rPr>
            </w:pPr>
          </w:p>
          <w:p>
            <w:pPr>
              <w:pStyle w:val="TableParagraph"/>
              <w:spacing w:before="1"/>
              <w:ind w:left="108"/>
              <w:rPr>
                <w:rFonts w:ascii="Calibri"/>
                <w:b/>
                <w:sz w:val="21"/>
              </w:rPr>
            </w:pPr>
            <w:r>
              <w:rPr>
                <w:rFonts w:ascii="Calibri"/>
                <w:b/>
                <w:spacing w:val="-2"/>
                <w:w w:val="105"/>
                <w:sz w:val="21"/>
              </w:rPr>
              <w:t>Subgroup</w:t>
            </w:r>
          </w:p>
        </w:tc>
        <w:tc>
          <w:tcPr>
            <w:tcW w:w="1001" w:type="dxa"/>
            <w:shd w:val="clear" w:color="auto" w:fill="BEBEBE"/>
          </w:tcPr>
          <w:p>
            <w:pPr>
              <w:pStyle w:val="TableParagraph"/>
              <w:spacing w:line="264" w:lineRule="auto" w:before="10"/>
              <w:ind w:left="163" w:right="130" w:firstLine="120"/>
              <w:rPr>
                <w:rFonts w:ascii="Calibri"/>
                <w:b/>
                <w:sz w:val="21"/>
              </w:rPr>
            </w:pPr>
            <w:r>
              <w:rPr>
                <w:rFonts w:ascii="Calibri"/>
                <w:b/>
                <w:spacing w:val="-4"/>
                <w:w w:val="105"/>
                <w:sz w:val="21"/>
              </w:rPr>
              <w:t>ToRs </w:t>
            </w:r>
            <w:r>
              <w:rPr>
                <w:rFonts w:ascii="Calibri"/>
                <w:b/>
                <w:spacing w:val="-2"/>
                <w:w w:val="105"/>
                <w:sz w:val="21"/>
              </w:rPr>
              <w:t>agreed </w:t>
            </w:r>
            <w:r>
              <w:rPr>
                <w:rFonts w:ascii="Calibri"/>
                <w:b/>
                <w:w w:val="105"/>
                <w:sz w:val="21"/>
              </w:rPr>
              <w:t>by</w:t>
            </w:r>
            <w:r>
              <w:rPr>
                <w:rFonts w:ascii="Calibri"/>
                <w:b/>
                <w:spacing w:val="-13"/>
                <w:w w:val="105"/>
                <w:sz w:val="21"/>
              </w:rPr>
              <w:t> </w:t>
            </w:r>
            <w:r>
              <w:rPr>
                <w:rFonts w:ascii="Calibri"/>
                <w:b/>
                <w:w w:val="105"/>
                <w:sz w:val="21"/>
              </w:rPr>
              <w:t>Sub-</w:t>
            </w:r>
          </w:p>
          <w:p>
            <w:pPr>
              <w:pStyle w:val="TableParagraph"/>
              <w:spacing w:line="216" w:lineRule="exact" w:before="5"/>
              <w:ind w:left="218"/>
              <w:rPr>
                <w:rFonts w:ascii="Calibri"/>
                <w:b/>
                <w:sz w:val="21"/>
              </w:rPr>
            </w:pPr>
            <w:r>
              <w:rPr>
                <w:rFonts w:ascii="Calibri"/>
                <w:b/>
                <w:spacing w:val="-4"/>
                <w:w w:val="105"/>
                <w:sz w:val="21"/>
              </w:rPr>
              <w:t>Group</w:t>
            </w:r>
          </w:p>
        </w:tc>
        <w:tc>
          <w:tcPr>
            <w:tcW w:w="1401" w:type="dxa"/>
            <w:shd w:val="clear" w:color="auto" w:fill="BEBEBE"/>
          </w:tcPr>
          <w:p>
            <w:pPr>
              <w:pStyle w:val="TableParagraph"/>
              <w:spacing w:before="38"/>
              <w:rPr>
                <w:rFonts w:ascii="Verdana"/>
                <w:sz w:val="21"/>
              </w:rPr>
            </w:pPr>
          </w:p>
          <w:p>
            <w:pPr>
              <w:pStyle w:val="TableParagraph"/>
              <w:spacing w:line="256" w:lineRule="auto"/>
              <w:ind w:left="345" w:right="137" w:hanging="178"/>
              <w:rPr>
                <w:rFonts w:ascii="Calibri"/>
                <w:b/>
                <w:sz w:val="21"/>
              </w:rPr>
            </w:pPr>
            <w:r>
              <w:rPr>
                <w:rFonts w:ascii="Calibri"/>
                <w:b/>
                <w:spacing w:val="-2"/>
                <w:sz w:val="21"/>
              </w:rPr>
              <w:t>Programme </w:t>
            </w:r>
            <w:r>
              <w:rPr>
                <w:rFonts w:ascii="Calibri"/>
                <w:b/>
                <w:spacing w:val="-2"/>
                <w:w w:val="105"/>
                <w:sz w:val="21"/>
              </w:rPr>
              <w:t>Defined</w:t>
            </w:r>
          </w:p>
        </w:tc>
        <w:tc>
          <w:tcPr>
            <w:tcW w:w="1462" w:type="dxa"/>
            <w:shd w:val="clear" w:color="auto" w:fill="BEBEBE"/>
          </w:tcPr>
          <w:p>
            <w:pPr>
              <w:pStyle w:val="TableParagraph"/>
              <w:spacing w:before="38"/>
              <w:rPr>
                <w:rFonts w:ascii="Verdana"/>
                <w:sz w:val="21"/>
              </w:rPr>
            </w:pPr>
          </w:p>
          <w:p>
            <w:pPr>
              <w:pStyle w:val="TableParagraph"/>
              <w:spacing w:line="256" w:lineRule="auto"/>
              <w:ind w:left="410" w:hanging="101"/>
              <w:rPr>
                <w:rFonts w:ascii="Calibri"/>
                <w:b/>
                <w:sz w:val="21"/>
              </w:rPr>
            </w:pPr>
            <w:r>
              <w:rPr>
                <w:rFonts w:ascii="Calibri"/>
                <w:b/>
                <w:spacing w:val="-2"/>
                <w:sz w:val="21"/>
              </w:rPr>
              <w:t>Ambition </w:t>
            </w:r>
            <w:r>
              <w:rPr>
                <w:rFonts w:ascii="Calibri"/>
                <w:b/>
                <w:spacing w:val="-2"/>
                <w:w w:val="105"/>
                <w:sz w:val="21"/>
              </w:rPr>
              <w:t>Agreed</w:t>
            </w:r>
          </w:p>
        </w:tc>
        <w:tc>
          <w:tcPr>
            <w:tcW w:w="2307" w:type="dxa"/>
            <w:shd w:val="clear" w:color="auto" w:fill="BEBEBE"/>
          </w:tcPr>
          <w:p>
            <w:pPr>
              <w:pStyle w:val="TableParagraph"/>
              <w:spacing w:before="38"/>
              <w:rPr>
                <w:rFonts w:ascii="Verdana"/>
                <w:sz w:val="21"/>
              </w:rPr>
            </w:pPr>
          </w:p>
          <w:p>
            <w:pPr>
              <w:pStyle w:val="TableParagraph"/>
              <w:spacing w:line="256" w:lineRule="auto"/>
              <w:ind w:left="348" w:firstLine="22"/>
              <w:rPr>
                <w:rFonts w:ascii="Calibri"/>
                <w:b/>
                <w:sz w:val="21"/>
              </w:rPr>
            </w:pPr>
            <w:r>
              <w:rPr>
                <w:rFonts w:ascii="Calibri"/>
                <w:b/>
                <w:w w:val="105"/>
                <w:sz w:val="21"/>
              </w:rPr>
              <w:t>Agreed</w:t>
            </w:r>
            <w:r>
              <w:rPr>
                <w:rFonts w:ascii="Calibri"/>
                <w:b/>
                <w:spacing w:val="-13"/>
                <w:w w:val="105"/>
                <w:sz w:val="21"/>
              </w:rPr>
              <w:t> </w:t>
            </w:r>
            <w:r>
              <w:rPr>
                <w:rFonts w:ascii="Calibri"/>
                <w:b/>
                <w:w w:val="105"/>
                <w:sz w:val="21"/>
              </w:rPr>
              <w:t>Subgroup Work</w:t>
            </w:r>
            <w:r>
              <w:rPr>
                <w:rFonts w:ascii="Calibri"/>
                <w:b/>
                <w:spacing w:val="-6"/>
                <w:w w:val="105"/>
                <w:sz w:val="21"/>
              </w:rPr>
              <w:t> </w:t>
            </w:r>
            <w:r>
              <w:rPr>
                <w:rFonts w:ascii="Calibri"/>
                <w:b/>
                <w:spacing w:val="-2"/>
                <w:w w:val="105"/>
                <w:sz w:val="21"/>
              </w:rPr>
              <w:t>programme</w:t>
            </w:r>
          </w:p>
        </w:tc>
        <w:tc>
          <w:tcPr>
            <w:tcW w:w="1611" w:type="dxa"/>
            <w:shd w:val="clear" w:color="auto" w:fill="BEBEBE"/>
          </w:tcPr>
          <w:p>
            <w:pPr>
              <w:pStyle w:val="TableParagraph"/>
              <w:spacing w:line="264" w:lineRule="auto" w:before="152"/>
              <w:ind w:left="55" w:right="14"/>
              <w:jc w:val="center"/>
              <w:rPr>
                <w:rFonts w:ascii="Calibri"/>
                <w:b/>
                <w:sz w:val="21"/>
              </w:rPr>
            </w:pPr>
            <w:r>
              <w:rPr>
                <w:rFonts w:ascii="Calibri"/>
                <w:b/>
                <w:spacing w:val="-2"/>
                <w:sz w:val="21"/>
              </w:rPr>
              <w:t>Objectives/ </w:t>
            </w:r>
            <w:r>
              <w:rPr>
                <w:rFonts w:ascii="Calibri"/>
                <w:b/>
                <w:spacing w:val="-2"/>
                <w:w w:val="105"/>
                <w:sz w:val="21"/>
              </w:rPr>
              <w:t>Outcomes Agreed</w:t>
            </w:r>
          </w:p>
        </w:tc>
        <w:tc>
          <w:tcPr>
            <w:tcW w:w="1369" w:type="dxa"/>
            <w:shd w:val="clear" w:color="auto" w:fill="BEBEBE"/>
          </w:tcPr>
          <w:p>
            <w:pPr>
              <w:pStyle w:val="TableParagraph"/>
              <w:spacing w:before="38"/>
              <w:rPr>
                <w:rFonts w:ascii="Verdana"/>
                <w:sz w:val="21"/>
              </w:rPr>
            </w:pPr>
          </w:p>
          <w:p>
            <w:pPr>
              <w:pStyle w:val="TableParagraph"/>
              <w:spacing w:line="256" w:lineRule="auto"/>
              <w:ind w:left="313" w:hanging="82"/>
              <w:rPr>
                <w:rFonts w:ascii="Calibri"/>
                <w:b/>
                <w:sz w:val="21"/>
              </w:rPr>
            </w:pPr>
            <w:r>
              <w:rPr>
                <w:rFonts w:ascii="Calibri"/>
                <w:b/>
                <w:spacing w:val="-2"/>
                <w:sz w:val="21"/>
              </w:rPr>
              <w:t>Resources </w:t>
            </w:r>
            <w:r>
              <w:rPr>
                <w:rFonts w:ascii="Calibri"/>
                <w:b/>
                <w:spacing w:val="-2"/>
                <w:w w:val="105"/>
                <w:sz w:val="21"/>
              </w:rPr>
              <w:t>Agreed*</w:t>
            </w:r>
          </w:p>
        </w:tc>
        <w:tc>
          <w:tcPr>
            <w:tcW w:w="1563" w:type="dxa"/>
            <w:shd w:val="clear" w:color="auto" w:fill="BEBEBE"/>
          </w:tcPr>
          <w:p>
            <w:pPr>
              <w:pStyle w:val="TableParagraph"/>
              <w:spacing w:before="38"/>
              <w:rPr>
                <w:rFonts w:ascii="Verdana"/>
                <w:sz w:val="21"/>
              </w:rPr>
            </w:pPr>
          </w:p>
          <w:p>
            <w:pPr>
              <w:pStyle w:val="TableParagraph"/>
              <w:spacing w:line="256" w:lineRule="auto"/>
              <w:ind w:left="252" w:firstLine="311"/>
              <w:rPr>
                <w:rFonts w:ascii="Calibri"/>
                <w:b/>
                <w:sz w:val="21"/>
              </w:rPr>
            </w:pPr>
            <w:r>
              <w:rPr>
                <w:rFonts w:ascii="Calibri"/>
                <w:b/>
                <w:spacing w:val="-2"/>
                <w:w w:val="105"/>
                <w:sz w:val="21"/>
              </w:rPr>
              <w:t>Risks </w:t>
            </w:r>
            <w:r>
              <w:rPr>
                <w:rFonts w:ascii="Calibri"/>
                <w:b/>
                <w:spacing w:val="-2"/>
                <w:sz w:val="21"/>
              </w:rPr>
              <w:t>Understood</w:t>
            </w:r>
          </w:p>
        </w:tc>
        <w:tc>
          <w:tcPr>
            <w:tcW w:w="1803" w:type="dxa"/>
            <w:shd w:val="clear" w:color="auto" w:fill="BEBEBE"/>
          </w:tcPr>
          <w:p>
            <w:pPr>
              <w:pStyle w:val="TableParagraph"/>
              <w:spacing w:before="38"/>
              <w:rPr>
                <w:rFonts w:ascii="Verdana"/>
                <w:sz w:val="21"/>
              </w:rPr>
            </w:pPr>
          </w:p>
          <w:p>
            <w:pPr>
              <w:pStyle w:val="TableParagraph"/>
              <w:spacing w:line="256" w:lineRule="auto"/>
              <w:ind w:left="373" w:hanging="101"/>
              <w:rPr>
                <w:rFonts w:ascii="Calibri"/>
                <w:b/>
                <w:sz w:val="21"/>
              </w:rPr>
            </w:pPr>
            <w:r>
              <w:rPr>
                <w:rFonts w:ascii="Calibri"/>
                <w:b/>
                <w:spacing w:val="-2"/>
                <w:sz w:val="21"/>
              </w:rPr>
              <w:t>Dependencies </w:t>
            </w:r>
            <w:r>
              <w:rPr>
                <w:rFonts w:ascii="Calibri"/>
                <w:b/>
                <w:spacing w:val="-2"/>
                <w:w w:val="105"/>
                <w:sz w:val="21"/>
              </w:rPr>
              <w:t>Understood</w:t>
            </w:r>
          </w:p>
        </w:tc>
        <w:tc>
          <w:tcPr>
            <w:tcW w:w="1489" w:type="dxa"/>
            <w:shd w:val="clear" w:color="auto" w:fill="BEBEBE"/>
          </w:tcPr>
          <w:p>
            <w:pPr>
              <w:pStyle w:val="TableParagraph"/>
              <w:spacing w:before="38"/>
              <w:rPr>
                <w:rFonts w:ascii="Verdana"/>
                <w:sz w:val="21"/>
              </w:rPr>
            </w:pPr>
          </w:p>
          <w:p>
            <w:pPr>
              <w:pStyle w:val="TableParagraph"/>
              <w:spacing w:line="256" w:lineRule="auto"/>
              <w:ind w:left="253" w:firstLine="337"/>
              <w:rPr>
                <w:rFonts w:ascii="Calibri"/>
                <w:b/>
                <w:sz w:val="21"/>
              </w:rPr>
            </w:pPr>
            <w:r>
              <w:rPr>
                <w:rFonts w:ascii="Calibri"/>
                <w:b/>
                <w:spacing w:val="-4"/>
                <w:w w:val="105"/>
                <w:sz w:val="21"/>
              </w:rPr>
              <w:t>Key </w:t>
            </w:r>
            <w:r>
              <w:rPr>
                <w:rFonts w:ascii="Calibri"/>
                <w:b/>
                <w:spacing w:val="-2"/>
                <w:sz w:val="21"/>
              </w:rPr>
              <w:t>Milestones</w:t>
            </w:r>
          </w:p>
        </w:tc>
        <w:tc>
          <w:tcPr>
            <w:tcW w:w="1552" w:type="dxa"/>
            <w:shd w:val="clear" w:color="auto" w:fill="BEBEBE"/>
          </w:tcPr>
          <w:p>
            <w:pPr>
              <w:pStyle w:val="TableParagraph"/>
              <w:spacing w:before="38"/>
              <w:rPr>
                <w:rFonts w:ascii="Verdana"/>
                <w:sz w:val="21"/>
              </w:rPr>
            </w:pPr>
          </w:p>
          <w:p>
            <w:pPr>
              <w:pStyle w:val="TableParagraph"/>
              <w:spacing w:line="256" w:lineRule="auto"/>
              <w:ind w:left="549" w:hanging="143"/>
              <w:rPr>
                <w:rFonts w:ascii="Calibri"/>
                <w:b/>
                <w:sz w:val="21"/>
              </w:rPr>
            </w:pPr>
            <w:r>
              <w:rPr>
                <w:rFonts w:ascii="Calibri"/>
                <w:b/>
                <w:spacing w:val="-2"/>
                <w:sz w:val="21"/>
              </w:rPr>
              <w:t>Detailed </w:t>
            </w:r>
            <w:r>
              <w:rPr>
                <w:rFonts w:ascii="Calibri"/>
                <w:b/>
                <w:spacing w:val="-2"/>
                <w:w w:val="105"/>
                <w:sz w:val="21"/>
              </w:rPr>
              <w:t>Plans</w:t>
            </w:r>
          </w:p>
        </w:tc>
      </w:tr>
      <w:tr>
        <w:trPr>
          <w:trHeight w:val="850" w:hRule="atLeast"/>
        </w:trPr>
        <w:tc>
          <w:tcPr>
            <w:tcW w:w="2288" w:type="dxa"/>
          </w:tcPr>
          <w:p>
            <w:pPr>
              <w:pStyle w:val="TableParagraph"/>
              <w:spacing w:line="261" w:lineRule="auto" w:before="96"/>
              <w:ind w:left="108"/>
              <w:rPr>
                <w:rFonts w:ascii="Calibri"/>
                <w:b/>
                <w:sz w:val="27"/>
              </w:rPr>
            </w:pPr>
            <w:r>
              <w:rPr>
                <w:rFonts w:ascii="Calibri"/>
                <w:b/>
                <w:sz w:val="27"/>
              </w:rPr>
              <w:t>Regional Health </w:t>
            </w:r>
            <w:r>
              <w:rPr>
                <w:rFonts w:ascii="Calibri"/>
                <w:b/>
                <w:spacing w:val="-2"/>
                <w:sz w:val="27"/>
              </w:rPr>
              <w:t>Economy</w:t>
            </w:r>
          </w:p>
        </w:tc>
        <w:tc>
          <w:tcPr>
            <w:tcW w:w="1001" w:type="dxa"/>
          </w:tcPr>
          <w:p>
            <w:pPr>
              <w:pStyle w:val="TableParagraph"/>
              <w:spacing w:before="177"/>
              <w:ind w:left="22"/>
              <w:jc w:val="center"/>
              <w:rPr>
                <w:rFonts w:ascii="Wingdings" w:hAnsi="Wingdings"/>
                <w:sz w:val="47"/>
              </w:rPr>
            </w:pPr>
            <w:r>
              <w:rPr>
                <w:rFonts w:ascii="Wingdings" w:hAnsi="Wingdings"/>
                <w:spacing w:val="-10"/>
                <w:sz w:val="47"/>
              </w:rPr>
              <w:t></w:t>
            </w:r>
          </w:p>
        </w:tc>
        <w:tc>
          <w:tcPr>
            <w:tcW w:w="1401" w:type="dxa"/>
          </w:tcPr>
          <w:p>
            <w:pPr>
              <w:pStyle w:val="TableParagraph"/>
              <w:spacing w:before="177"/>
              <w:ind w:right="489"/>
              <w:jc w:val="right"/>
              <w:rPr>
                <w:rFonts w:ascii="Wingdings" w:hAnsi="Wingdings"/>
                <w:sz w:val="47"/>
              </w:rPr>
            </w:pPr>
            <w:r>
              <w:rPr>
                <w:rFonts w:ascii="Wingdings" w:hAnsi="Wingdings"/>
                <w:spacing w:val="-10"/>
                <w:sz w:val="47"/>
              </w:rPr>
              <w:t></w:t>
            </w:r>
          </w:p>
        </w:tc>
        <w:tc>
          <w:tcPr>
            <w:tcW w:w="1462" w:type="dxa"/>
          </w:tcPr>
          <w:p>
            <w:pPr>
              <w:pStyle w:val="TableParagraph"/>
              <w:spacing w:before="177"/>
              <w:ind w:left="134" w:right="107"/>
              <w:jc w:val="center"/>
              <w:rPr>
                <w:rFonts w:ascii="Wingdings" w:hAnsi="Wingdings"/>
                <w:sz w:val="47"/>
              </w:rPr>
            </w:pPr>
            <w:r>
              <w:rPr>
                <w:rFonts w:ascii="Wingdings" w:hAnsi="Wingdings"/>
                <w:spacing w:val="-10"/>
                <w:sz w:val="47"/>
              </w:rPr>
              <w:t></w:t>
            </w:r>
          </w:p>
        </w:tc>
        <w:tc>
          <w:tcPr>
            <w:tcW w:w="2307" w:type="dxa"/>
          </w:tcPr>
          <w:p>
            <w:pPr>
              <w:pStyle w:val="TableParagraph"/>
              <w:spacing w:before="177"/>
              <w:ind w:left="137" w:right="106"/>
              <w:jc w:val="center"/>
              <w:rPr>
                <w:rFonts w:ascii="Wingdings" w:hAnsi="Wingdings"/>
                <w:sz w:val="47"/>
              </w:rPr>
            </w:pPr>
            <w:r>
              <w:rPr>
                <w:rFonts w:ascii="Wingdings" w:hAnsi="Wingdings"/>
                <w:spacing w:val="-10"/>
                <w:sz w:val="47"/>
              </w:rPr>
              <w:t></w:t>
            </w:r>
          </w:p>
        </w:tc>
        <w:tc>
          <w:tcPr>
            <w:tcW w:w="1611" w:type="dxa"/>
          </w:tcPr>
          <w:p>
            <w:pPr>
              <w:pStyle w:val="TableParagraph"/>
              <w:spacing w:before="177"/>
              <w:ind w:left="55" w:right="21"/>
              <w:jc w:val="center"/>
              <w:rPr>
                <w:rFonts w:ascii="Wingdings" w:hAnsi="Wingdings"/>
                <w:sz w:val="47"/>
              </w:rPr>
            </w:pPr>
            <w:r>
              <w:rPr>
                <w:rFonts w:ascii="Wingdings" w:hAnsi="Wingdings"/>
                <w:spacing w:val="-10"/>
                <w:sz w:val="47"/>
              </w:rPr>
              <w:t></w:t>
            </w:r>
          </w:p>
        </w:tc>
        <w:tc>
          <w:tcPr>
            <w:tcW w:w="1369" w:type="dxa"/>
            <w:shd w:val="clear" w:color="auto" w:fill="EC7C30"/>
          </w:tcPr>
          <w:p>
            <w:pPr>
              <w:pStyle w:val="TableParagraph"/>
              <w:spacing w:before="177"/>
              <w:ind w:left="39" w:right="2"/>
              <w:jc w:val="center"/>
              <w:rPr>
                <w:rFonts w:ascii="Wingdings" w:hAnsi="Wingdings"/>
                <w:sz w:val="47"/>
              </w:rPr>
            </w:pPr>
            <w:r>
              <w:rPr>
                <w:rFonts w:ascii="Wingdings" w:hAnsi="Wingdings"/>
                <w:spacing w:val="-10"/>
                <w:sz w:val="47"/>
              </w:rPr>
              <w:t></w:t>
            </w:r>
          </w:p>
        </w:tc>
        <w:tc>
          <w:tcPr>
            <w:tcW w:w="1563" w:type="dxa"/>
          </w:tcPr>
          <w:p>
            <w:pPr>
              <w:pStyle w:val="TableParagraph"/>
              <w:spacing w:before="177"/>
              <w:ind w:left="41" w:right="1"/>
              <w:jc w:val="center"/>
              <w:rPr>
                <w:rFonts w:ascii="Wingdings" w:hAnsi="Wingdings"/>
                <w:sz w:val="47"/>
              </w:rPr>
            </w:pPr>
            <w:r>
              <w:rPr>
                <w:rFonts w:ascii="Wingdings" w:hAnsi="Wingdings"/>
                <w:spacing w:val="-10"/>
                <w:sz w:val="47"/>
              </w:rPr>
              <w:t></w:t>
            </w:r>
          </w:p>
        </w:tc>
        <w:tc>
          <w:tcPr>
            <w:tcW w:w="1803" w:type="dxa"/>
          </w:tcPr>
          <w:p>
            <w:pPr>
              <w:pStyle w:val="TableParagraph"/>
              <w:spacing w:before="177"/>
              <w:ind w:left="44" w:right="1"/>
              <w:jc w:val="center"/>
              <w:rPr>
                <w:rFonts w:ascii="Wingdings" w:hAnsi="Wingdings"/>
                <w:sz w:val="47"/>
              </w:rPr>
            </w:pPr>
            <w:r>
              <w:rPr>
                <w:rFonts w:ascii="Wingdings" w:hAnsi="Wingdings"/>
                <w:spacing w:val="-10"/>
                <w:sz w:val="47"/>
              </w:rPr>
              <w:t></w:t>
            </w:r>
          </w:p>
        </w:tc>
        <w:tc>
          <w:tcPr>
            <w:tcW w:w="1489" w:type="dxa"/>
          </w:tcPr>
          <w:p>
            <w:pPr>
              <w:pStyle w:val="TableParagraph"/>
              <w:spacing w:before="177"/>
              <w:ind w:left="105" w:right="60"/>
              <w:jc w:val="center"/>
              <w:rPr>
                <w:rFonts w:ascii="Wingdings" w:hAnsi="Wingdings"/>
                <w:sz w:val="47"/>
              </w:rPr>
            </w:pPr>
            <w:r>
              <w:rPr>
                <w:rFonts w:ascii="Wingdings" w:hAnsi="Wingdings"/>
                <w:spacing w:val="-10"/>
                <w:sz w:val="47"/>
              </w:rPr>
              <w:t></w:t>
            </w:r>
          </w:p>
        </w:tc>
        <w:tc>
          <w:tcPr>
            <w:tcW w:w="1552" w:type="dxa"/>
          </w:tcPr>
          <w:p>
            <w:pPr>
              <w:pStyle w:val="TableParagraph"/>
              <w:spacing w:before="177"/>
              <w:ind w:left="49" w:right="1"/>
              <w:jc w:val="center"/>
              <w:rPr>
                <w:rFonts w:ascii="Wingdings" w:hAnsi="Wingdings"/>
                <w:sz w:val="47"/>
              </w:rPr>
            </w:pPr>
            <w:r>
              <w:rPr>
                <w:rFonts w:ascii="Wingdings" w:hAnsi="Wingdings"/>
                <w:spacing w:val="-10"/>
                <w:sz w:val="47"/>
              </w:rPr>
              <w:t></w:t>
            </w:r>
          </w:p>
        </w:tc>
      </w:tr>
      <w:tr>
        <w:trPr>
          <w:trHeight w:val="850" w:hRule="atLeast"/>
        </w:trPr>
        <w:tc>
          <w:tcPr>
            <w:tcW w:w="2288" w:type="dxa"/>
          </w:tcPr>
          <w:p>
            <w:pPr>
              <w:pStyle w:val="TableParagraph"/>
              <w:spacing w:line="261" w:lineRule="auto" w:before="98"/>
              <w:ind w:left="108"/>
              <w:rPr>
                <w:rFonts w:ascii="Calibri"/>
                <w:b/>
                <w:sz w:val="27"/>
              </w:rPr>
            </w:pPr>
            <w:r>
              <w:rPr>
                <w:rFonts w:ascii="Calibri"/>
                <w:b/>
                <w:sz w:val="27"/>
              </w:rPr>
              <w:t>Clinical Services </w:t>
            </w:r>
            <w:r>
              <w:rPr>
                <w:rFonts w:ascii="Calibri"/>
                <w:b/>
                <w:spacing w:val="-2"/>
                <w:sz w:val="27"/>
              </w:rPr>
              <w:t>Planning</w:t>
            </w:r>
          </w:p>
        </w:tc>
        <w:tc>
          <w:tcPr>
            <w:tcW w:w="1001" w:type="dxa"/>
          </w:tcPr>
          <w:p>
            <w:pPr>
              <w:pStyle w:val="TableParagraph"/>
              <w:spacing w:before="179"/>
              <w:ind w:left="22"/>
              <w:jc w:val="center"/>
              <w:rPr>
                <w:rFonts w:ascii="Wingdings" w:hAnsi="Wingdings"/>
                <w:sz w:val="47"/>
              </w:rPr>
            </w:pPr>
            <w:r>
              <w:rPr>
                <w:rFonts w:ascii="Wingdings" w:hAnsi="Wingdings"/>
                <w:spacing w:val="-10"/>
                <w:sz w:val="47"/>
              </w:rPr>
              <w:t></w:t>
            </w:r>
          </w:p>
        </w:tc>
        <w:tc>
          <w:tcPr>
            <w:tcW w:w="1401" w:type="dxa"/>
          </w:tcPr>
          <w:p>
            <w:pPr>
              <w:pStyle w:val="TableParagraph"/>
              <w:spacing w:before="179"/>
              <w:ind w:right="489"/>
              <w:jc w:val="right"/>
              <w:rPr>
                <w:rFonts w:ascii="Wingdings" w:hAnsi="Wingdings"/>
                <w:sz w:val="47"/>
              </w:rPr>
            </w:pPr>
            <w:r>
              <w:rPr>
                <w:rFonts w:ascii="Wingdings" w:hAnsi="Wingdings"/>
                <w:spacing w:val="-10"/>
                <w:sz w:val="47"/>
              </w:rPr>
              <w:t></w:t>
            </w:r>
          </w:p>
        </w:tc>
        <w:tc>
          <w:tcPr>
            <w:tcW w:w="1462" w:type="dxa"/>
          </w:tcPr>
          <w:p>
            <w:pPr>
              <w:pStyle w:val="TableParagraph"/>
              <w:spacing w:before="179"/>
              <w:ind w:left="134" w:right="107"/>
              <w:jc w:val="center"/>
              <w:rPr>
                <w:rFonts w:ascii="Wingdings" w:hAnsi="Wingdings"/>
                <w:sz w:val="47"/>
              </w:rPr>
            </w:pPr>
            <w:r>
              <w:rPr>
                <w:rFonts w:ascii="Wingdings" w:hAnsi="Wingdings"/>
                <w:spacing w:val="-10"/>
                <w:sz w:val="47"/>
              </w:rPr>
              <w:t></w:t>
            </w:r>
          </w:p>
        </w:tc>
        <w:tc>
          <w:tcPr>
            <w:tcW w:w="2307" w:type="dxa"/>
          </w:tcPr>
          <w:p>
            <w:pPr>
              <w:pStyle w:val="TableParagraph"/>
              <w:spacing w:before="179"/>
              <w:ind w:left="137" w:right="106"/>
              <w:jc w:val="center"/>
              <w:rPr>
                <w:rFonts w:ascii="Wingdings" w:hAnsi="Wingdings"/>
                <w:sz w:val="47"/>
              </w:rPr>
            </w:pPr>
            <w:r>
              <w:rPr>
                <w:rFonts w:ascii="Wingdings" w:hAnsi="Wingdings"/>
                <w:spacing w:val="-10"/>
                <w:sz w:val="47"/>
              </w:rPr>
              <w:t></w:t>
            </w:r>
          </w:p>
        </w:tc>
        <w:tc>
          <w:tcPr>
            <w:tcW w:w="1611" w:type="dxa"/>
          </w:tcPr>
          <w:p>
            <w:pPr>
              <w:pStyle w:val="TableParagraph"/>
              <w:spacing w:before="179"/>
              <w:ind w:left="55" w:right="21"/>
              <w:jc w:val="center"/>
              <w:rPr>
                <w:rFonts w:ascii="Wingdings" w:hAnsi="Wingdings"/>
                <w:sz w:val="47"/>
              </w:rPr>
            </w:pPr>
            <w:r>
              <w:rPr>
                <w:rFonts w:ascii="Wingdings" w:hAnsi="Wingdings"/>
                <w:spacing w:val="-10"/>
                <w:sz w:val="47"/>
              </w:rPr>
              <w:t></w:t>
            </w:r>
          </w:p>
        </w:tc>
        <w:tc>
          <w:tcPr>
            <w:tcW w:w="1369" w:type="dxa"/>
            <w:shd w:val="clear" w:color="auto" w:fill="EC7C30"/>
          </w:tcPr>
          <w:p>
            <w:pPr>
              <w:pStyle w:val="TableParagraph"/>
              <w:spacing w:before="179"/>
              <w:ind w:left="39" w:right="2"/>
              <w:jc w:val="center"/>
              <w:rPr>
                <w:rFonts w:ascii="Wingdings" w:hAnsi="Wingdings"/>
                <w:sz w:val="47"/>
              </w:rPr>
            </w:pPr>
            <w:r>
              <w:rPr>
                <w:rFonts w:ascii="Wingdings" w:hAnsi="Wingdings"/>
                <w:spacing w:val="-10"/>
                <w:sz w:val="47"/>
              </w:rPr>
              <w:t></w:t>
            </w:r>
          </w:p>
        </w:tc>
        <w:tc>
          <w:tcPr>
            <w:tcW w:w="1563" w:type="dxa"/>
          </w:tcPr>
          <w:p>
            <w:pPr>
              <w:pStyle w:val="TableParagraph"/>
              <w:spacing w:before="179"/>
              <w:ind w:left="41" w:right="1"/>
              <w:jc w:val="center"/>
              <w:rPr>
                <w:rFonts w:ascii="Wingdings" w:hAnsi="Wingdings"/>
                <w:sz w:val="47"/>
              </w:rPr>
            </w:pPr>
            <w:r>
              <w:rPr>
                <w:rFonts w:ascii="Wingdings" w:hAnsi="Wingdings"/>
                <w:spacing w:val="-10"/>
                <w:sz w:val="47"/>
              </w:rPr>
              <w:t></w:t>
            </w:r>
          </w:p>
        </w:tc>
        <w:tc>
          <w:tcPr>
            <w:tcW w:w="1803" w:type="dxa"/>
          </w:tcPr>
          <w:p>
            <w:pPr>
              <w:pStyle w:val="TableParagraph"/>
              <w:spacing w:before="179"/>
              <w:ind w:left="44" w:right="1"/>
              <w:jc w:val="center"/>
              <w:rPr>
                <w:rFonts w:ascii="Wingdings" w:hAnsi="Wingdings"/>
                <w:sz w:val="47"/>
              </w:rPr>
            </w:pPr>
            <w:r>
              <w:rPr>
                <w:rFonts w:ascii="Wingdings" w:hAnsi="Wingdings"/>
                <w:spacing w:val="-10"/>
                <w:sz w:val="47"/>
              </w:rPr>
              <w:t></w:t>
            </w:r>
          </w:p>
        </w:tc>
        <w:tc>
          <w:tcPr>
            <w:tcW w:w="1489" w:type="dxa"/>
          </w:tcPr>
          <w:p>
            <w:pPr>
              <w:pStyle w:val="TableParagraph"/>
              <w:spacing w:before="179"/>
              <w:ind w:left="105" w:right="60"/>
              <w:jc w:val="center"/>
              <w:rPr>
                <w:rFonts w:ascii="Wingdings" w:hAnsi="Wingdings"/>
                <w:sz w:val="47"/>
              </w:rPr>
            </w:pPr>
            <w:r>
              <w:rPr>
                <w:rFonts w:ascii="Wingdings" w:hAnsi="Wingdings"/>
                <w:spacing w:val="-10"/>
                <w:sz w:val="47"/>
              </w:rPr>
              <w:t></w:t>
            </w:r>
          </w:p>
        </w:tc>
        <w:tc>
          <w:tcPr>
            <w:tcW w:w="1552" w:type="dxa"/>
          </w:tcPr>
          <w:p>
            <w:pPr>
              <w:pStyle w:val="TableParagraph"/>
              <w:spacing w:before="179"/>
              <w:ind w:left="49" w:right="1"/>
              <w:jc w:val="center"/>
              <w:rPr>
                <w:rFonts w:ascii="Wingdings" w:hAnsi="Wingdings"/>
                <w:sz w:val="47"/>
              </w:rPr>
            </w:pPr>
            <w:r>
              <w:rPr>
                <w:rFonts w:ascii="Wingdings" w:hAnsi="Wingdings"/>
                <w:spacing w:val="-10"/>
                <w:sz w:val="47"/>
              </w:rPr>
              <w:t></w:t>
            </w:r>
          </w:p>
        </w:tc>
      </w:tr>
      <w:tr>
        <w:trPr>
          <w:trHeight w:val="850" w:hRule="atLeast"/>
        </w:trPr>
        <w:tc>
          <w:tcPr>
            <w:tcW w:w="2288" w:type="dxa"/>
          </w:tcPr>
          <w:p>
            <w:pPr>
              <w:pStyle w:val="TableParagraph"/>
              <w:spacing w:before="279"/>
              <w:ind w:left="108"/>
              <w:rPr>
                <w:rFonts w:ascii="Calibri"/>
                <w:b/>
                <w:sz w:val="27"/>
              </w:rPr>
            </w:pPr>
            <w:r>
              <w:rPr>
                <w:rFonts w:ascii="Calibri"/>
                <w:b/>
                <w:sz w:val="27"/>
              </w:rPr>
              <w:t>Workforce</w:t>
            </w:r>
            <w:r>
              <w:rPr>
                <w:rFonts w:ascii="Calibri"/>
                <w:b/>
                <w:spacing w:val="10"/>
                <w:sz w:val="27"/>
              </w:rPr>
              <w:t> </w:t>
            </w:r>
            <w:r>
              <w:rPr>
                <w:rFonts w:ascii="Calibri"/>
                <w:b/>
                <w:sz w:val="27"/>
              </w:rPr>
              <w:t>&amp;</w:t>
            </w:r>
            <w:r>
              <w:rPr>
                <w:rFonts w:ascii="Calibri"/>
                <w:b/>
                <w:spacing w:val="13"/>
                <w:sz w:val="27"/>
              </w:rPr>
              <w:t> </w:t>
            </w:r>
            <w:r>
              <w:rPr>
                <w:rFonts w:ascii="Calibri"/>
                <w:b/>
                <w:spacing w:val="-5"/>
                <w:sz w:val="27"/>
              </w:rPr>
              <w:t>OD</w:t>
            </w:r>
          </w:p>
        </w:tc>
        <w:tc>
          <w:tcPr>
            <w:tcW w:w="1001" w:type="dxa"/>
          </w:tcPr>
          <w:p>
            <w:pPr>
              <w:pStyle w:val="TableParagraph"/>
              <w:spacing w:before="180"/>
              <w:ind w:left="22"/>
              <w:jc w:val="center"/>
              <w:rPr>
                <w:rFonts w:ascii="Wingdings" w:hAnsi="Wingdings"/>
                <w:sz w:val="47"/>
              </w:rPr>
            </w:pPr>
            <w:r>
              <w:rPr>
                <w:rFonts w:ascii="Wingdings" w:hAnsi="Wingdings"/>
                <w:spacing w:val="-10"/>
                <w:sz w:val="47"/>
              </w:rPr>
              <w:t></w:t>
            </w:r>
          </w:p>
        </w:tc>
        <w:tc>
          <w:tcPr>
            <w:tcW w:w="1401" w:type="dxa"/>
          </w:tcPr>
          <w:p>
            <w:pPr>
              <w:pStyle w:val="TableParagraph"/>
              <w:spacing w:before="180"/>
              <w:ind w:right="489"/>
              <w:jc w:val="right"/>
              <w:rPr>
                <w:rFonts w:ascii="Wingdings" w:hAnsi="Wingdings"/>
                <w:sz w:val="47"/>
              </w:rPr>
            </w:pPr>
            <w:r>
              <w:rPr>
                <w:rFonts w:ascii="Wingdings" w:hAnsi="Wingdings"/>
                <w:spacing w:val="-10"/>
                <w:sz w:val="47"/>
              </w:rPr>
              <w:t></w:t>
            </w:r>
          </w:p>
        </w:tc>
        <w:tc>
          <w:tcPr>
            <w:tcW w:w="1462" w:type="dxa"/>
          </w:tcPr>
          <w:p>
            <w:pPr>
              <w:pStyle w:val="TableParagraph"/>
              <w:spacing w:before="180"/>
              <w:ind w:left="134" w:right="108"/>
              <w:jc w:val="center"/>
              <w:rPr>
                <w:rFonts w:ascii="Wingdings" w:hAnsi="Wingdings"/>
                <w:sz w:val="47"/>
              </w:rPr>
            </w:pPr>
            <w:r>
              <w:rPr>
                <w:rFonts w:ascii="Wingdings" w:hAnsi="Wingdings"/>
                <w:spacing w:val="-10"/>
                <w:sz w:val="47"/>
              </w:rPr>
              <w:t></w:t>
            </w:r>
          </w:p>
        </w:tc>
        <w:tc>
          <w:tcPr>
            <w:tcW w:w="2307" w:type="dxa"/>
          </w:tcPr>
          <w:p>
            <w:pPr>
              <w:pStyle w:val="TableParagraph"/>
              <w:spacing w:before="180"/>
              <w:ind w:left="137" w:right="107"/>
              <w:jc w:val="center"/>
              <w:rPr>
                <w:rFonts w:ascii="Wingdings" w:hAnsi="Wingdings"/>
                <w:sz w:val="47"/>
              </w:rPr>
            </w:pPr>
            <w:r>
              <w:rPr>
                <w:rFonts w:ascii="Wingdings" w:hAnsi="Wingdings"/>
                <w:spacing w:val="-10"/>
                <w:sz w:val="47"/>
              </w:rPr>
              <w:t></w:t>
            </w:r>
          </w:p>
        </w:tc>
        <w:tc>
          <w:tcPr>
            <w:tcW w:w="1611" w:type="dxa"/>
          </w:tcPr>
          <w:p>
            <w:pPr>
              <w:pStyle w:val="TableParagraph"/>
              <w:spacing w:before="180"/>
              <w:ind w:left="55" w:right="21"/>
              <w:jc w:val="center"/>
              <w:rPr>
                <w:rFonts w:ascii="Wingdings" w:hAnsi="Wingdings"/>
                <w:sz w:val="47"/>
              </w:rPr>
            </w:pPr>
            <w:r>
              <w:rPr>
                <w:rFonts w:ascii="Wingdings" w:hAnsi="Wingdings"/>
                <w:spacing w:val="-10"/>
                <w:sz w:val="47"/>
              </w:rPr>
              <w:t></w:t>
            </w:r>
          </w:p>
        </w:tc>
        <w:tc>
          <w:tcPr>
            <w:tcW w:w="1369" w:type="dxa"/>
            <w:shd w:val="clear" w:color="auto" w:fill="EC7C30"/>
          </w:tcPr>
          <w:p>
            <w:pPr>
              <w:pStyle w:val="TableParagraph"/>
              <w:spacing w:before="180"/>
              <w:ind w:left="39" w:right="2"/>
              <w:jc w:val="center"/>
              <w:rPr>
                <w:rFonts w:ascii="Wingdings" w:hAnsi="Wingdings"/>
                <w:sz w:val="47"/>
              </w:rPr>
            </w:pPr>
            <w:r>
              <w:rPr>
                <w:rFonts w:ascii="Wingdings" w:hAnsi="Wingdings"/>
                <w:spacing w:val="-10"/>
                <w:sz w:val="47"/>
              </w:rPr>
              <w:t></w:t>
            </w:r>
          </w:p>
        </w:tc>
        <w:tc>
          <w:tcPr>
            <w:tcW w:w="1563" w:type="dxa"/>
          </w:tcPr>
          <w:p>
            <w:pPr>
              <w:pStyle w:val="TableParagraph"/>
              <w:spacing w:before="180"/>
              <w:ind w:left="41" w:right="1"/>
              <w:jc w:val="center"/>
              <w:rPr>
                <w:rFonts w:ascii="Wingdings" w:hAnsi="Wingdings"/>
                <w:sz w:val="47"/>
              </w:rPr>
            </w:pPr>
            <w:r>
              <w:rPr>
                <w:rFonts w:ascii="Wingdings" w:hAnsi="Wingdings"/>
                <w:spacing w:val="-10"/>
                <w:sz w:val="47"/>
              </w:rPr>
              <w:t></w:t>
            </w:r>
          </w:p>
        </w:tc>
        <w:tc>
          <w:tcPr>
            <w:tcW w:w="1803" w:type="dxa"/>
          </w:tcPr>
          <w:p>
            <w:pPr>
              <w:pStyle w:val="TableParagraph"/>
              <w:spacing w:before="180"/>
              <w:ind w:left="44"/>
              <w:jc w:val="center"/>
              <w:rPr>
                <w:rFonts w:ascii="Wingdings" w:hAnsi="Wingdings"/>
                <w:sz w:val="47"/>
              </w:rPr>
            </w:pPr>
            <w:r>
              <w:rPr>
                <w:rFonts w:ascii="Wingdings" w:hAnsi="Wingdings"/>
                <w:spacing w:val="-10"/>
                <w:sz w:val="47"/>
              </w:rPr>
              <w:t></w:t>
            </w:r>
          </w:p>
        </w:tc>
        <w:tc>
          <w:tcPr>
            <w:tcW w:w="1489" w:type="dxa"/>
          </w:tcPr>
          <w:p>
            <w:pPr>
              <w:pStyle w:val="TableParagraph"/>
              <w:spacing w:before="180"/>
              <w:ind w:left="105" w:right="60"/>
              <w:jc w:val="center"/>
              <w:rPr>
                <w:rFonts w:ascii="Wingdings" w:hAnsi="Wingdings"/>
                <w:sz w:val="47"/>
              </w:rPr>
            </w:pPr>
            <w:r>
              <w:rPr>
                <w:rFonts w:ascii="Wingdings" w:hAnsi="Wingdings"/>
                <w:spacing w:val="-10"/>
                <w:sz w:val="47"/>
              </w:rPr>
              <w:t></w:t>
            </w:r>
          </w:p>
        </w:tc>
        <w:tc>
          <w:tcPr>
            <w:tcW w:w="1552" w:type="dxa"/>
          </w:tcPr>
          <w:p>
            <w:pPr>
              <w:pStyle w:val="TableParagraph"/>
              <w:spacing w:before="180"/>
              <w:ind w:left="49"/>
              <w:jc w:val="center"/>
              <w:rPr>
                <w:rFonts w:ascii="Wingdings" w:hAnsi="Wingdings"/>
                <w:sz w:val="47"/>
              </w:rPr>
            </w:pPr>
            <w:r>
              <w:rPr>
                <w:rFonts w:ascii="Wingdings" w:hAnsi="Wingdings"/>
                <w:spacing w:val="-10"/>
                <w:sz w:val="47"/>
              </w:rPr>
              <w:t></w:t>
            </w:r>
          </w:p>
        </w:tc>
      </w:tr>
      <w:tr>
        <w:trPr>
          <w:trHeight w:val="850" w:hRule="atLeast"/>
        </w:trPr>
        <w:tc>
          <w:tcPr>
            <w:tcW w:w="2288" w:type="dxa"/>
          </w:tcPr>
          <w:p>
            <w:pPr>
              <w:pStyle w:val="TableParagraph"/>
              <w:spacing w:before="280"/>
              <w:ind w:left="108"/>
              <w:rPr>
                <w:rFonts w:ascii="Calibri"/>
                <w:b/>
                <w:sz w:val="27"/>
              </w:rPr>
            </w:pPr>
            <w:r>
              <w:rPr>
                <w:rFonts w:ascii="Calibri"/>
                <w:b/>
                <w:sz w:val="27"/>
              </w:rPr>
              <w:t>Data</w:t>
            </w:r>
            <w:r>
              <w:rPr>
                <w:rFonts w:ascii="Calibri"/>
                <w:b/>
                <w:spacing w:val="10"/>
                <w:sz w:val="27"/>
              </w:rPr>
              <w:t> </w:t>
            </w:r>
            <w:r>
              <w:rPr>
                <w:rFonts w:ascii="Calibri"/>
                <w:b/>
                <w:sz w:val="27"/>
              </w:rPr>
              <w:t>and</w:t>
            </w:r>
            <w:r>
              <w:rPr>
                <w:rFonts w:ascii="Calibri"/>
                <w:b/>
                <w:spacing w:val="13"/>
                <w:sz w:val="27"/>
              </w:rPr>
              <w:t> </w:t>
            </w:r>
            <w:r>
              <w:rPr>
                <w:rFonts w:ascii="Calibri"/>
                <w:b/>
                <w:spacing w:val="-2"/>
                <w:sz w:val="27"/>
              </w:rPr>
              <w:t>Digital</w:t>
            </w:r>
          </w:p>
        </w:tc>
        <w:tc>
          <w:tcPr>
            <w:tcW w:w="1001" w:type="dxa"/>
          </w:tcPr>
          <w:p>
            <w:pPr>
              <w:pStyle w:val="TableParagraph"/>
              <w:spacing w:before="182"/>
              <w:ind w:left="22"/>
              <w:jc w:val="center"/>
              <w:rPr>
                <w:rFonts w:ascii="Wingdings" w:hAnsi="Wingdings"/>
                <w:sz w:val="47"/>
              </w:rPr>
            </w:pPr>
            <w:r>
              <w:rPr>
                <w:rFonts w:ascii="Wingdings" w:hAnsi="Wingdings"/>
                <w:spacing w:val="-10"/>
                <w:sz w:val="47"/>
              </w:rPr>
              <w:t></w:t>
            </w:r>
          </w:p>
        </w:tc>
        <w:tc>
          <w:tcPr>
            <w:tcW w:w="1401" w:type="dxa"/>
          </w:tcPr>
          <w:p>
            <w:pPr>
              <w:pStyle w:val="TableParagraph"/>
              <w:spacing w:before="182"/>
              <w:ind w:right="543"/>
              <w:jc w:val="right"/>
              <w:rPr>
                <w:rFonts w:ascii="Wingdings" w:hAnsi="Wingdings"/>
                <w:sz w:val="47"/>
              </w:rPr>
            </w:pPr>
            <w:r>
              <w:rPr>
                <w:rFonts w:ascii="Wingdings" w:hAnsi="Wingdings"/>
                <w:spacing w:val="-10"/>
                <w:sz w:val="47"/>
              </w:rPr>
              <w:t></w:t>
            </w:r>
          </w:p>
        </w:tc>
        <w:tc>
          <w:tcPr>
            <w:tcW w:w="1462" w:type="dxa"/>
          </w:tcPr>
          <w:p>
            <w:pPr>
              <w:pStyle w:val="TableParagraph"/>
              <w:spacing w:before="182"/>
              <w:ind w:left="134"/>
              <w:jc w:val="center"/>
              <w:rPr>
                <w:rFonts w:ascii="Wingdings" w:hAnsi="Wingdings"/>
                <w:sz w:val="47"/>
              </w:rPr>
            </w:pPr>
            <w:r>
              <w:rPr>
                <w:rFonts w:ascii="Wingdings" w:hAnsi="Wingdings"/>
                <w:spacing w:val="-10"/>
                <w:sz w:val="47"/>
              </w:rPr>
              <w:t></w:t>
            </w:r>
          </w:p>
        </w:tc>
        <w:tc>
          <w:tcPr>
            <w:tcW w:w="2307" w:type="dxa"/>
          </w:tcPr>
          <w:p>
            <w:pPr>
              <w:pStyle w:val="TableParagraph"/>
              <w:spacing w:before="182"/>
              <w:ind w:left="137"/>
              <w:jc w:val="center"/>
              <w:rPr>
                <w:rFonts w:ascii="Wingdings" w:hAnsi="Wingdings"/>
                <w:sz w:val="47"/>
              </w:rPr>
            </w:pPr>
            <w:r>
              <w:rPr>
                <w:rFonts w:ascii="Wingdings" w:hAnsi="Wingdings"/>
                <w:spacing w:val="-10"/>
                <w:sz w:val="47"/>
              </w:rPr>
              <w:t></w:t>
            </w:r>
          </w:p>
        </w:tc>
        <w:tc>
          <w:tcPr>
            <w:tcW w:w="1611" w:type="dxa"/>
          </w:tcPr>
          <w:p>
            <w:pPr>
              <w:pStyle w:val="TableParagraph"/>
              <w:spacing w:before="182"/>
              <w:ind w:left="55" w:right="21"/>
              <w:jc w:val="center"/>
              <w:rPr>
                <w:rFonts w:ascii="Wingdings" w:hAnsi="Wingdings"/>
                <w:sz w:val="47"/>
              </w:rPr>
            </w:pPr>
            <w:r>
              <w:rPr>
                <w:rFonts w:ascii="Wingdings" w:hAnsi="Wingdings"/>
                <w:spacing w:val="-10"/>
                <w:sz w:val="47"/>
              </w:rPr>
              <w:t></w:t>
            </w:r>
          </w:p>
        </w:tc>
        <w:tc>
          <w:tcPr>
            <w:tcW w:w="1369" w:type="dxa"/>
            <w:shd w:val="clear" w:color="auto" w:fill="EC7C30"/>
          </w:tcPr>
          <w:p>
            <w:pPr>
              <w:pStyle w:val="TableParagraph"/>
              <w:spacing w:before="182"/>
              <w:ind w:left="39" w:right="2"/>
              <w:jc w:val="center"/>
              <w:rPr>
                <w:rFonts w:ascii="Wingdings" w:hAnsi="Wingdings"/>
                <w:sz w:val="47"/>
              </w:rPr>
            </w:pPr>
            <w:r>
              <w:rPr>
                <w:rFonts w:ascii="Wingdings" w:hAnsi="Wingdings"/>
                <w:spacing w:val="-10"/>
                <w:sz w:val="47"/>
              </w:rPr>
              <w:t></w:t>
            </w:r>
          </w:p>
        </w:tc>
        <w:tc>
          <w:tcPr>
            <w:tcW w:w="1563" w:type="dxa"/>
          </w:tcPr>
          <w:p>
            <w:pPr>
              <w:pStyle w:val="TableParagraph"/>
              <w:spacing w:before="182"/>
              <w:ind w:left="41" w:right="1"/>
              <w:jc w:val="center"/>
              <w:rPr>
                <w:rFonts w:ascii="Wingdings" w:hAnsi="Wingdings"/>
                <w:sz w:val="47"/>
              </w:rPr>
            </w:pPr>
            <w:r>
              <w:rPr>
                <w:rFonts w:ascii="Wingdings" w:hAnsi="Wingdings"/>
                <w:spacing w:val="-10"/>
                <w:sz w:val="47"/>
              </w:rPr>
              <w:t></w:t>
            </w:r>
          </w:p>
        </w:tc>
        <w:tc>
          <w:tcPr>
            <w:tcW w:w="1803" w:type="dxa"/>
          </w:tcPr>
          <w:p>
            <w:pPr>
              <w:pStyle w:val="TableParagraph"/>
              <w:spacing w:before="182"/>
              <w:ind w:left="44"/>
              <w:jc w:val="center"/>
              <w:rPr>
                <w:rFonts w:ascii="Wingdings" w:hAnsi="Wingdings"/>
                <w:sz w:val="47"/>
              </w:rPr>
            </w:pPr>
            <w:r>
              <w:rPr>
                <w:rFonts w:ascii="Wingdings" w:hAnsi="Wingdings"/>
                <w:spacing w:val="-10"/>
                <w:sz w:val="47"/>
              </w:rPr>
              <w:t></w:t>
            </w:r>
          </w:p>
        </w:tc>
        <w:tc>
          <w:tcPr>
            <w:tcW w:w="1489" w:type="dxa"/>
          </w:tcPr>
          <w:p>
            <w:pPr>
              <w:pStyle w:val="TableParagraph"/>
              <w:spacing w:before="182"/>
              <w:ind w:left="46" w:right="106"/>
              <w:jc w:val="center"/>
              <w:rPr>
                <w:rFonts w:ascii="Wingdings" w:hAnsi="Wingdings"/>
                <w:sz w:val="47"/>
              </w:rPr>
            </w:pPr>
            <w:r>
              <w:rPr>
                <w:rFonts w:ascii="Wingdings" w:hAnsi="Wingdings"/>
                <w:spacing w:val="-10"/>
                <w:sz w:val="47"/>
              </w:rPr>
              <w:t></w:t>
            </w:r>
          </w:p>
        </w:tc>
        <w:tc>
          <w:tcPr>
            <w:tcW w:w="1552" w:type="dxa"/>
          </w:tcPr>
          <w:p>
            <w:pPr>
              <w:pStyle w:val="TableParagraph"/>
              <w:spacing w:before="182"/>
              <w:ind w:left="49" w:right="2"/>
              <w:jc w:val="center"/>
              <w:rPr>
                <w:rFonts w:ascii="Wingdings" w:hAnsi="Wingdings"/>
                <w:sz w:val="47"/>
              </w:rPr>
            </w:pPr>
            <w:r>
              <w:rPr>
                <w:rFonts w:ascii="Wingdings" w:hAnsi="Wingdings"/>
                <w:spacing w:val="-10"/>
                <w:sz w:val="47"/>
              </w:rPr>
              <w:t></w:t>
            </w:r>
          </w:p>
        </w:tc>
      </w:tr>
      <w:tr>
        <w:trPr>
          <w:trHeight w:val="874" w:hRule="atLeast"/>
        </w:trPr>
        <w:tc>
          <w:tcPr>
            <w:tcW w:w="2288" w:type="dxa"/>
          </w:tcPr>
          <w:p>
            <w:pPr>
              <w:pStyle w:val="TableParagraph"/>
              <w:spacing w:line="261" w:lineRule="auto" w:before="114"/>
              <w:ind w:left="108"/>
              <w:rPr>
                <w:rFonts w:ascii="Calibri"/>
                <w:b/>
                <w:sz w:val="27"/>
              </w:rPr>
            </w:pPr>
            <w:r>
              <w:rPr>
                <w:rFonts w:ascii="Calibri"/>
                <w:b/>
                <w:sz w:val="27"/>
              </w:rPr>
              <w:t>Finance </w:t>
            </w:r>
            <w:r>
              <w:rPr>
                <w:rFonts w:ascii="Calibri"/>
                <w:b/>
                <w:sz w:val="27"/>
              </w:rPr>
              <w:t>and </w:t>
            </w:r>
            <w:r>
              <w:rPr>
                <w:rFonts w:ascii="Calibri"/>
                <w:b/>
                <w:spacing w:val="-2"/>
                <w:sz w:val="27"/>
              </w:rPr>
              <w:t>Contracting</w:t>
            </w:r>
          </w:p>
        </w:tc>
        <w:tc>
          <w:tcPr>
            <w:tcW w:w="1001" w:type="dxa"/>
          </w:tcPr>
          <w:p>
            <w:pPr>
              <w:pStyle w:val="TableParagraph"/>
              <w:spacing w:before="195"/>
              <w:ind w:left="22"/>
              <w:jc w:val="center"/>
              <w:rPr>
                <w:rFonts w:ascii="Wingdings" w:hAnsi="Wingdings"/>
                <w:sz w:val="47"/>
              </w:rPr>
            </w:pPr>
            <w:r>
              <w:rPr>
                <w:rFonts w:ascii="Wingdings" w:hAnsi="Wingdings"/>
                <w:spacing w:val="-10"/>
                <w:sz w:val="47"/>
              </w:rPr>
              <w:t></w:t>
            </w:r>
          </w:p>
        </w:tc>
        <w:tc>
          <w:tcPr>
            <w:tcW w:w="1401" w:type="dxa"/>
          </w:tcPr>
          <w:p>
            <w:pPr>
              <w:pStyle w:val="TableParagraph"/>
              <w:spacing w:before="195"/>
              <w:ind w:right="489"/>
              <w:jc w:val="right"/>
              <w:rPr>
                <w:rFonts w:ascii="Wingdings" w:hAnsi="Wingdings"/>
                <w:sz w:val="47"/>
              </w:rPr>
            </w:pPr>
            <w:r>
              <w:rPr>
                <w:rFonts w:ascii="Wingdings" w:hAnsi="Wingdings"/>
                <w:spacing w:val="-10"/>
                <w:sz w:val="47"/>
              </w:rPr>
              <w:t></w:t>
            </w:r>
          </w:p>
        </w:tc>
        <w:tc>
          <w:tcPr>
            <w:tcW w:w="1462" w:type="dxa"/>
          </w:tcPr>
          <w:p>
            <w:pPr>
              <w:pStyle w:val="TableParagraph"/>
              <w:spacing w:before="195"/>
              <w:ind w:left="134" w:right="107"/>
              <w:jc w:val="center"/>
              <w:rPr>
                <w:rFonts w:ascii="Wingdings" w:hAnsi="Wingdings"/>
                <w:sz w:val="47"/>
              </w:rPr>
            </w:pPr>
            <w:r>
              <w:rPr>
                <w:rFonts w:ascii="Wingdings" w:hAnsi="Wingdings"/>
                <w:spacing w:val="-10"/>
                <w:sz w:val="47"/>
              </w:rPr>
              <w:t></w:t>
            </w:r>
          </w:p>
        </w:tc>
        <w:tc>
          <w:tcPr>
            <w:tcW w:w="2307" w:type="dxa"/>
          </w:tcPr>
          <w:p>
            <w:pPr>
              <w:pStyle w:val="TableParagraph"/>
              <w:spacing w:before="195"/>
              <w:ind w:left="137" w:right="106"/>
              <w:jc w:val="center"/>
              <w:rPr>
                <w:rFonts w:ascii="Wingdings" w:hAnsi="Wingdings"/>
                <w:sz w:val="47"/>
              </w:rPr>
            </w:pPr>
            <w:r>
              <w:rPr>
                <w:rFonts w:ascii="Wingdings" w:hAnsi="Wingdings"/>
                <w:spacing w:val="-10"/>
                <w:sz w:val="47"/>
              </w:rPr>
              <w:t></w:t>
            </w:r>
          </w:p>
        </w:tc>
        <w:tc>
          <w:tcPr>
            <w:tcW w:w="1611" w:type="dxa"/>
          </w:tcPr>
          <w:p>
            <w:pPr>
              <w:pStyle w:val="TableParagraph"/>
              <w:spacing w:before="195"/>
              <w:ind w:left="55" w:right="21"/>
              <w:jc w:val="center"/>
              <w:rPr>
                <w:rFonts w:ascii="Wingdings" w:hAnsi="Wingdings"/>
                <w:sz w:val="47"/>
              </w:rPr>
            </w:pPr>
            <w:r>
              <w:rPr>
                <w:rFonts w:ascii="Wingdings" w:hAnsi="Wingdings"/>
                <w:spacing w:val="-10"/>
                <w:sz w:val="47"/>
              </w:rPr>
              <w:t></w:t>
            </w:r>
          </w:p>
        </w:tc>
        <w:tc>
          <w:tcPr>
            <w:tcW w:w="1369" w:type="dxa"/>
            <w:shd w:val="clear" w:color="auto" w:fill="EC7C30"/>
          </w:tcPr>
          <w:p>
            <w:pPr>
              <w:pStyle w:val="TableParagraph"/>
              <w:spacing w:before="195"/>
              <w:ind w:left="39"/>
              <w:jc w:val="center"/>
              <w:rPr>
                <w:rFonts w:ascii="Wingdings" w:hAnsi="Wingdings"/>
                <w:sz w:val="47"/>
              </w:rPr>
            </w:pPr>
            <w:r>
              <w:rPr>
                <w:rFonts w:ascii="Wingdings" w:hAnsi="Wingdings"/>
                <w:spacing w:val="-10"/>
                <w:sz w:val="47"/>
              </w:rPr>
              <w:t></w:t>
            </w:r>
          </w:p>
        </w:tc>
        <w:tc>
          <w:tcPr>
            <w:tcW w:w="1563" w:type="dxa"/>
          </w:tcPr>
          <w:p>
            <w:pPr>
              <w:pStyle w:val="TableParagraph"/>
              <w:spacing w:before="195"/>
              <w:ind w:left="41"/>
              <w:jc w:val="center"/>
              <w:rPr>
                <w:rFonts w:ascii="Wingdings" w:hAnsi="Wingdings"/>
                <w:sz w:val="47"/>
              </w:rPr>
            </w:pPr>
            <w:r>
              <w:rPr>
                <w:rFonts w:ascii="Wingdings" w:hAnsi="Wingdings"/>
                <w:spacing w:val="-10"/>
                <w:sz w:val="47"/>
              </w:rPr>
              <w:t></w:t>
            </w:r>
          </w:p>
        </w:tc>
        <w:tc>
          <w:tcPr>
            <w:tcW w:w="1803" w:type="dxa"/>
          </w:tcPr>
          <w:p>
            <w:pPr>
              <w:pStyle w:val="TableParagraph"/>
              <w:spacing w:before="195"/>
              <w:ind w:left="44"/>
              <w:jc w:val="center"/>
              <w:rPr>
                <w:rFonts w:ascii="Wingdings" w:hAnsi="Wingdings"/>
                <w:sz w:val="47"/>
              </w:rPr>
            </w:pPr>
            <w:r>
              <w:rPr>
                <w:rFonts w:ascii="Wingdings" w:hAnsi="Wingdings"/>
                <w:spacing w:val="-10"/>
                <w:sz w:val="47"/>
              </w:rPr>
              <w:t></w:t>
            </w:r>
          </w:p>
        </w:tc>
        <w:tc>
          <w:tcPr>
            <w:tcW w:w="1489" w:type="dxa"/>
          </w:tcPr>
          <w:p>
            <w:pPr>
              <w:pStyle w:val="TableParagraph"/>
              <w:spacing w:before="195"/>
              <w:ind w:left="106" w:right="60"/>
              <w:jc w:val="center"/>
              <w:rPr>
                <w:rFonts w:ascii="Wingdings" w:hAnsi="Wingdings"/>
                <w:sz w:val="47"/>
              </w:rPr>
            </w:pPr>
            <w:r>
              <w:rPr>
                <w:rFonts w:ascii="Wingdings" w:hAnsi="Wingdings"/>
                <w:spacing w:val="-10"/>
                <w:sz w:val="47"/>
              </w:rPr>
              <w:t></w:t>
            </w:r>
          </w:p>
        </w:tc>
        <w:tc>
          <w:tcPr>
            <w:tcW w:w="1552" w:type="dxa"/>
          </w:tcPr>
          <w:p>
            <w:pPr>
              <w:pStyle w:val="TableParagraph"/>
              <w:spacing w:before="195"/>
              <w:ind w:left="49"/>
              <w:jc w:val="center"/>
              <w:rPr>
                <w:rFonts w:ascii="Wingdings" w:hAnsi="Wingdings"/>
                <w:sz w:val="47"/>
              </w:rPr>
            </w:pPr>
            <w:r>
              <w:rPr>
                <w:rFonts w:ascii="Wingdings" w:hAnsi="Wingdings"/>
                <w:spacing w:val="-10"/>
                <w:sz w:val="47"/>
              </w:rPr>
              <w:t></w:t>
            </w:r>
          </w:p>
        </w:tc>
      </w:tr>
      <w:tr>
        <w:trPr>
          <w:trHeight w:val="1042" w:hRule="atLeast"/>
        </w:trPr>
        <w:tc>
          <w:tcPr>
            <w:tcW w:w="2288" w:type="dxa"/>
          </w:tcPr>
          <w:p>
            <w:pPr>
              <w:pStyle w:val="TableParagraph"/>
              <w:spacing w:line="261" w:lineRule="auto" w:before="20"/>
              <w:ind w:left="108"/>
              <w:rPr>
                <w:rFonts w:ascii="Calibri"/>
                <w:b/>
                <w:sz w:val="27"/>
              </w:rPr>
            </w:pPr>
            <w:r>
              <w:rPr>
                <w:rFonts w:ascii="Calibri"/>
                <w:b/>
                <w:spacing w:val="-2"/>
                <w:sz w:val="27"/>
              </w:rPr>
              <w:t>Research, </w:t>
            </w:r>
            <w:r>
              <w:rPr>
                <w:rFonts w:ascii="Calibri"/>
                <w:b/>
                <w:sz w:val="27"/>
              </w:rPr>
              <w:t>Innovation</w:t>
            </w:r>
            <w:r>
              <w:rPr>
                <w:rFonts w:ascii="Calibri"/>
                <w:b/>
                <w:spacing w:val="-4"/>
                <w:sz w:val="27"/>
              </w:rPr>
              <w:t> </w:t>
            </w:r>
            <w:r>
              <w:rPr>
                <w:rFonts w:ascii="Calibri"/>
                <w:b/>
                <w:sz w:val="27"/>
              </w:rPr>
              <w:t>&amp;</w:t>
            </w:r>
          </w:p>
          <w:p>
            <w:pPr>
              <w:pStyle w:val="TableParagraph"/>
              <w:spacing w:line="282" w:lineRule="exact" w:before="2"/>
              <w:ind w:left="108"/>
              <w:rPr>
                <w:rFonts w:ascii="Calibri"/>
                <w:b/>
                <w:sz w:val="27"/>
              </w:rPr>
            </w:pPr>
            <w:r>
              <w:rPr>
                <w:rFonts w:ascii="Calibri"/>
                <w:b/>
                <w:spacing w:val="-2"/>
                <w:sz w:val="27"/>
              </w:rPr>
              <w:t>Excellence</w:t>
            </w:r>
          </w:p>
        </w:tc>
        <w:tc>
          <w:tcPr>
            <w:tcW w:w="1001" w:type="dxa"/>
          </w:tcPr>
          <w:p>
            <w:pPr>
              <w:pStyle w:val="TableParagraph"/>
              <w:spacing w:before="281"/>
              <w:ind w:left="22"/>
              <w:jc w:val="center"/>
              <w:rPr>
                <w:rFonts w:ascii="Wingdings" w:hAnsi="Wingdings"/>
                <w:sz w:val="47"/>
              </w:rPr>
            </w:pPr>
            <w:r>
              <w:rPr>
                <w:rFonts w:ascii="Wingdings" w:hAnsi="Wingdings"/>
                <w:spacing w:val="-10"/>
                <w:sz w:val="47"/>
              </w:rPr>
              <w:t></w:t>
            </w:r>
          </w:p>
        </w:tc>
        <w:tc>
          <w:tcPr>
            <w:tcW w:w="1401" w:type="dxa"/>
          </w:tcPr>
          <w:p>
            <w:pPr>
              <w:pStyle w:val="TableParagraph"/>
              <w:spacing w:before="281"/>
              <w:ind w:right="524"/>
              <w:jc w:val="right"/>
              <w:rPr>
                <w:rFonts w:ascii="Wingdings" w:hAnsi="Wingdings"/>
                <w:sz w:val="47"/>
              </w:rPr>
            </w:pPr>
            <w:r>
              <w:rPr>
                <w:rFonts w:ascii="Wingdings" w:hAnsi="Wingdings"/>
                <w:spacing w:val="-10"/>
                <w:sz w:val="47"/>
              </w:rPr>
              <w:t></w:t>
            </w:r>
          </w:p>
        </w:tc>
        <w:tc>
          <w:tcPr>
            <w:tcW w:w="1462" w:type="dxa"/>
          </w:tcPr>
          <w:p>
            <w:pPr>
              <w:pStyle w:val="TableParagraph"/>
              <w:spacing w:before="281"/>
              <w:ind w:left="134" w:right="107"/>
              <w:jc w:val="center"/>
              <w:rPr>
                <w:rFonts w:ascii="Wingdings" w:hAnsi="Wingdings"/>
                <w:sz w:val="47"/>
              </w:rPr>
            </w:pPr>
            <w:r>
              <w:rPr>
                <w:rFonts w:ascii="Wingdings" w:hAnsi="Wingdings"/>
                <w:spacing w:val="-10"/>
                <w:sz w:val="47"/>
              </w:rPr>
              <w:t></w:t>
            </w:r>
          </w:p>
        </w:tc>
        <w:tc>
          <w:tcPr>
            <w:tcW w:w="2307" w:type="dxa"/>
          </w:tcPr>
          <w:p>
            <w:pPr>
              <w:pStyle w:val="TableParagraph"/>
              <w:spacing w:before="281"/>
              <w:ind w:left="137" w:right="107"/>
              <w:jc w:val="center"/>
              <w:rPr>
                <w:rFonts w:ascii="Wingdings" w:hAnsi="Wingdings"/>
                <w:sz w:val="47"/>
              </w:rPr>
            </w:pPr>
            <w:r>
              <w:rPr>
                <w:rFonts w:ascii="Wingdings" w:hAnsi="Wingdings"/>
                <w:spacing w:val="-10"/>
                <w:sz w:val="47"/>
              </w:rPr>
              <w:t></w:t>
            </w:r>
          </w:p>
        </w:tc>
        <w:tc>
          <w:tcPr>
            <w:tcW w:w="1611" w:type="dxa"/>
          </w:tcPr>
          <w:p>
            <w:pPr>
              <w:pStyle w:val="TableParagraph"/>
              <w:spacing w:before="281"/>
              <w:ind w:left="55" w:right="21"/>
              <w:jc w:val="center"/>
              <w:rPr>
                <w:rFonts w:ascii="Wingdings" w:hAnsi="Wingdings"/>
                <w:sz w:val="47"/>
              </w:rPr>
            </w:pPr>
            <w:r>
              <w:rPr>
                <w:rFonts w:ascii="Wingdings" w:hAnsi="Wingdings"/>
                <w:spacing w:val="-10"/>
                <w:sz w:val="47"/>
              </w:rPr>
              <w:t></w:t>
            </w:r>
          </w:p>
        </w:tc>
        <w:tc>
          <w:tcPr>
            <w:tcW w:w="1369" w:type="dxa"/>
            <w:shd w:val="clear" w:color="auto" w:fill="EC7C30"/>
          </w:tcPr>
          <w:p>
            <w:pPr>
              <w:pStyle w:val="TableParagraph"/>
              <w:spacing w:before="281"/>
              <w:ind w:left="39" w:right="1"/>
              <w:jc w:val="center"/>
              <w:rPr>
                <w:rFonts w:ascii="Wingdings" w:hAnsi="Wingdings"/>
                <w:sz w:val="47"/>
              </w:rPr>
            </w:pPr>
            <w:r>
              <w:rPr>
                <w:rFonts w:ascii="Wingdings" w:hAnsi="Wingdings"/>
                <w:spacing w:val="-10"/>
                <w:sz w:val="47"/>
              </w:rPr>
              <w:t></w:t>
            </w:r>
          </w:p>
        </w:tc>
        <w:tc>
          <w:tcPr>
            <w:tcW w:w="1563" w:type="dxa"/>
          </w:tcPr>
          <w:p>
            <w:pPr>
              <w:pStyle w:val="TableParagraph"/>
              <w:spacing w:before="281"/>
              <w:ind w:left="41" w:right="1"/>
              <w:jc w:val="center"/>
              <w:rPr>
                <w:rFonts w:ascii="Wingdings" w:hAnsi="Wingdings"/>
                <w:sz w:val="47"/>
              </w:rPr>
            </w:pPr>
            <w:r>
              <w:rPr>
                <w:rFonts w:ascii="Wingdings" w:hAnsi="Wingdings"/>
                <w:spacing w:val="-10"/>
                <w:sz w:val="47"/>
              </w:rPr>
              <w:t></w:t>
            </w:r>
          </w:p>
        </w:tc>
        <w:tc>
          <w:tcPr>
            <w:tcW w:w="1803" w:type="dxa"/>
          </w:tcPr>
          <w:p>
            <w:pPr>
              <w:pStyle w:val="TableParagraph"/>
              <w:spacing w:before="281"/>
              <w:ind w:left="44"/>
              <w:jc w:val="center"/>
              <w:rPr>
                <w:rFonts w:ascii="Wingdings" w:hAnsi="Wingdings"/>
                <w:sz w:val="47"/>
              </w:rPr>
            </w:pPr>
            <w:r>
              <w:rPr>
                <w:rFonts w:ascii="Wingdings" w:hAnsi="Wingdings"/>
                <w:spacing w:val="-10"/>
                <w:sz w:val="47"/>
              </w:rPr>
              <w:t></w:t>
            </w:r>
          </w:p>
        </w:tc>
        <w:tc>
          <w:tcPr>
            <w:tcW w:w="1489" w:type="dxa"/>
          </w:tcPr>
          <w:p>
            <w:pPr>
              <w:pStyle w:val="TableParagraph"/>
              <w:spacing w:before="281"/>
              <w:ind w:left="106" w:right="60"/>
              <w:jc w:val="center"/>
              <w:rPr>
                <w:rFonts w:ascii="Wingdings" w:hAnsi="Wingdings"/>
                <w:sz w:val="47"/>
              </w:rPr>
            </w:pPr>
            <w:r>
              <w:rPr>
                <w:rFonts w:ascii="Wingdings" w:hAnsi="Wingdings"/>
                <w:spacing w:val="-10"/>
                <w:sz w:val="47"/>
              </w:rPr>
              <w:t></w:t>
            </w:r>
          </w:p>
        </w:tc>
        <w:tc>
          <w:tcPr>
            <w:tcW w:w="1552" w:type="dxa"/>
          </w:tcPr>
          <w:p>
            <w:pPr>
              <w:pStyle w:val="TableParagraph"/>
              <w:spacing w:before="281"/>
              <w:ind w:left="49"/>
              <w:jc w:val="center"/>
              <w:rPr>
                <w:rFonts w:ascii="Wingdings" w:hAnsi="Wingdings"/>
                <w:sz w:val="47"/>
              </w:rPr>
            </w:pPr>
            <w:r>
              <w:rPr>
                <w:rFonts w:ascii="Wingdings" w:hAnsi="Wingdings"/>
                <w:spacing w:val="-10"/>
                <w:sz w:val="47"/>
              </w:rPr>
              <w:t></w:t>
            </w:r>
          </w:p>
        </w:tc>
      </w:tr>
    </w:tbl>
    <w:p>
      <w:pPr>
        <w:spacing w:before="181"/>
        <w:ind w:left="1359" w:right="0" w:firstLine="0"/>
        <w:jc w:val="left"/>
        <w:rPr>
          <w:rFonts w:ascii="Verdana"/>
          <w:i/>
          <w:sz w:val="24"/>
        </w:rPr>
      </w:pPr>
      <w:r>
        <w:rPr>
          <w:rFonts w:ascii="Verdana"/>
          <w:i/>
          <w:sz w:val="24"/>
        </w:rPr>
        <w:t>*resources</w:t>
      </w:r>
      <w:r>
        <w:rPr>
          <w:rFonts w:ascii="Verdana"/>
          <w:i/>
          <w:spacing w:val="-13"/>
          <w:sz w:val="24"/>
        </w:rPr>
        <w:t> </w:t>
      </w:r>
      <w:r>
        <w:rPr>
          <w:rFonts w:ascii="Verdana"/>
          <w:i/>
          <w:sz w:val="24"/>
        </w:rPr>
        <w:t>agreed</w:t>
      </w:r>
      <w:r>
        <w:rPr>
          <w:rFonts w:ascii="Verdana"/>
          <w:i/>
          <w:spacing w:val="-8"/>
          <w:sz w:val="24"/>
        </w:rPr>
        <w:t> </w:t>
      </w:r>
      <w:r>
        <w:rPr>
          <w:rFonts w:ascii="Verdana"/>
          <w:i/>
          <w:sz w:val="24"/>
        </w:rPr>
        <w:t>and</w:t>
      </w:r>
      <w:r>
        <w:rPr>
          <w:rFonts w:ascii="Verdana"/>
          <w:i/>
          <w:spacing w:val="-9"/>
          <w:sz w:val="24"/>
        </w:rPr>
        <w:t> </w:t>
      </w:r>
      <w:r>
        <w:rPr>
          <w:rFonts w:ascii="Verdana"/>
          <w:i/>
          <w:sz w:val="24"/>
        </w:rPr>
        <w:t>understood</w:t>
      </w:r>
      <w:r>
        <w:rPr>
          <w:rFonts w:ascii="Verdana"/>
          <w:i/>
          <w:spacing w:val="-8"/>
          <w:sz w:val="24"/>
        </w:rPr>
        <w:t> </w:t>
      </w:r>
      <w:r>
        <w:rPr>
          <w:rFonts w:ascii="Verdana"/>
          <w:i/>
          <w:sz w:val="24"/>
        </w:rPr>
        <w:t>at</w:t>
      </w:r>
      <w:r>
        <w:rPr>
          <w:rFonts w:ascii="Verdana"/>
          <w:i/>
          <w:spacing w:val="3"/>
          <w:sz w:val="24"/>
        </w:rPr>
        <w:t> </w:t>
      </w:r>
      <w:r>
        <w:rPr>
          <w:rFonts w:ascii="Verdana"/>
          <w:i/>
          <w:sz w:val="24"/>
        </w:rPr>
        <w:t>a</w:t>
      </w:r>
      <w:r>
        <w:rPr>
          <w:rFonts w:ascii="Verdana"/>
          <w:i/>
          <w:spacing w:val="-3"/>
          <w:sz w:val="24"/>
        </w:rPr>
        <w:t> </w:t>
      </w:r>
      <w:r>
        <w:rPr>
          <w:rFonts w:ascii="Verdana"/>
          <w:i/>
          <w:sz w:val="24"/>
        </w:rPr>
        <w:t>subgroup</w:t>
      </w:r>
      <w:r>
        <w:rPr>
          <w:rFonts w:ascii="Verdana"/>
          <w:i/>
          <w:spacing w:val="-8"/>
          <w:sz w:val="24"/>
        </w:rPr>
        <w:t> </w:t>
      </w:r>
      <w:r>
        <w:rPr>
          <w:rFonts w:ascii="Verdana"/>
          <w:i/>
          <w:sz w:val="24"/>
        </w:rPr>
        <w:t>level</w:t>
      </w:r>
      <w:r>
        <w:rPr>
          <w:rFonts w:ascii="Verdana"/>
          <w:i/>
          <w:spacing w:val="4"/>
          <w:sz w:val="24"/>
        </w:rPr>
        <w:t> </w:t>
      </w:r>
      <w:r>
        <w:rPr>
          <w:rFonts w:ascii="Verdana"/>
          <w:i/>
          <w:sz w:val="24"/>
        </w:rPr>
        <w:t>but</w:t>
      </w:r>
      <w:r>
        <w:rPr>
          <w:rFonts w:ascii="Verdana"/>
          <w:i/>
          <w:spacing w:val="-10"/>
          <w:sz w:val="24"/>
        </w:rPr>
        <w:t> </w:t>
      </w:r>
      <w:r>
        <w:rPr>
          <w:rFonts w:ascii="Verdana"/>
          <w:i/>
          <w:sz w:val="24"/>
        </w:rPr>
        <w:t>issues</w:t>
      </w:r>
      <w:r>
        <w:rPr>
          <w:rFonts w:ascii="Verdana"/>
          <w:i/>
          <w:spacing w:val="1"/>
          <w:sz w:val="24"/>
        </w:rPr>
        <w:t> </w:t>
      </w:r>
      <w:r>
        <w:rPr>
          <w:rFonts w:ascii="Verdana"/>
          <w:i/>
          <w:sz w:val="24"/>
        </w:rPr>
        <w:t>persist</w:t>
      </w:r>
      <w:r>
        <w:rPr>
          <w:rFonts w:ascii="Verdana"/>
          <w:i/>
          <w:spacing w:val="3"/>
          <w:sz w:val="24"/>
        </w:rPr>
        <w:t> </w:t>
      </w:r>
      <w:r>
        <w:rPr>
          <w:rFonts w:ascii="Verdana"/>
          <w:i/>
          <w:sz w:val="24"/>
        </w:rPr>
        <w:t>at</w:t>
      </w:r>
      <w:r>
        <w:rPr>
          <w:rFonts w:ascii="Verdana"/>
          <w:i/>
          <w:spacing w:val="-10"/>
          <w:sz w:val="24"/>
        </w:rPr>
        <w:t> </w:t>
      </w:r>
      <w:r>
        <w:rPr>
          <w:rFonts w:ascii="Verdana"/>
          <w:i/>
          <w:sz w:val="24"/>
        </w:rPr>
        <w:t>a</w:t>
      </w:r>
      <w:r>
        <w:rPr>
          <w:rFonts w:ascii="Verdana"/>
          <w:i/>
          <w:spacing w:val="-3"/>
          <w:sz w:val="24"/>
        </w:rPr>
        <w:t> </w:t>
      </w:r>
      <w:r>
        <w:rPr>
          <w:rFonts w:ascii="Verdana"/>
          <w:i/>
          <w:sz w:val="24"/>
        </w:rPr>
        <w:t>programme/project</w:t>
      </w:r>
      <w:r>
        <w:rPr>
          <w:rFonts w:ascii="Verdana"/>
          <w:i/>
          <w:spacing w:val="3"/>
          <w:sz w:val="24"/>
        </w:rPr>
        <w:t> </w:t>
      </w:r>
      <w:r>
        <w:rPr>
          <w:rFonts w:ascii="Verdana"/>
          <w:i/>
          <w:sz w:val="24"/>
        </w:rPr>
        <w:t>delivery</w:t>
      </w:r>
      <w:r>
        <w:rPr>
          <w:rFonts w:ascii="Verdana"/>
          <w:i/>
          <w:spacing w:val="-1"/>
          <w:sz w:val="24"/>
        </w:rPr>
        <w:t> </w:t>
      </w:r>
      <w:r>
        <w:rPr>
          <w:rFonts w:ascii="Verdana"/>
          <w:i/>
          <w:spacing w:val="-2"/>
          <w:sz w:val="24"/>
        </w:rPr>
        <w:t>level</w:t>
      </w:r>
    </w:p>
    <w:p>
      <w:pPr>
        <w:pStyle w:val="BodyText"/>
        <w:rPr>
          <w:rFonts w:ascii="Verdana"/>
          <w:i/>
          <w:sz w:val="20"/>
        </w:rPr>
      </w:pPr>
    </w:p>
    <w:p>
      <w:pPr>
        <w:pStyle w:val="BodyText"/>
        <w:spacing w:before="172"/>
        <w:rPr>
          <w:rFonts w:ascii="Verdana"/>
          <w:i/>
          <w:sz w:val="20"/>
        </w:rPr>
      </w:pPr>
      <w:r>
        <w:rPr>
          <w:rFonts w:ascii="Verdana"/>
          <w:i/>
          <w:sz w:val="20"/>
        </w:rPr>
        <mc:AlternateContent>
          <mc:Choice Requires="wps">
            <w:drawing>
              <wp:anchor distT="0" distB="0" distL="0" distR="0" allowOverlap="1" layoutInCell="1" locked="0" behindDoc="1" simplePos="0" relativeHeight="487735296">
                <wp:simplePos x="0" y="0"/>
                <wp:positionH relativeFrom="page">
                  <wp:posOffset>5606922</wp:posOffset>
                </wp:positionH>
                <wp:positionV relativeFrom="paragraph">
                  <wp:posOffset>278853</wp:posOffset>
                </wp:positionV>
                <wp:extent cx="975360" cy="219710"/>
                <wp:effectExtent l="0" t="0" r="0" b="0"/>
                <wp:wrapTopAndBottom/>
                <wp:docPr id="746" name="Group 746"/>
                <wp:cNvGraphicFramePr>
                  <a:graphicFrameLocks/>
                </wp:cNvGraphicFramePr>
                <a:graphic>
                  <a:graphicData uri="http://schemas.microsoft.com/office/word/2010/wordprocessingGroup">
                    <wpg:wgp>
                      <wpg:cNvPr id="746" name="Group 746"/>
                      <wpg:cNvGrpSpPr/>
                      <wpg:grpSpPr>
                        <a:xfrm>
                          <a:off x="0" y="0"/>
                          <a:ext cx="975360" cy="219710"/>
                          <a:chExt cx="975360" cy="219710"/>
                        </a:xfrm>
                      </wpg:grpSpPr>
                      <pic:pic>
                        <pic:nvPicPr>
                          <pic:cNvPr id="747" name="Image 747"/>
                          <pic:cNvPicPr/>
                        </pic:nvPicPr>
                        <pic:blipFill>
                          <a:blip r:embed="rId23" cstate="print"/>
                          <a:stretch>
                            <a:fillRect/>
                          </a:stretch>
                        </pic:blipFill>
                        <pic:spPr>
                          <a:xfrm>
                            <a:off x="0" y="0"/>
                            <a:ext cx="975116" cy="219401"/>
                          </a:xfrm>
                          <a:prstGeom prst="rect">
                            <a:avLst/>
                          </a:prstGeom>
                        </pic:spPr>
                      </pic:pic>
                      <wps:wsp>
                        <wps:cNvPr id="748" name="Textbox 748"/>
                        <wps:cNvSpPr txBox="1"/>
                        <wps:spPr>
                          <a:xfrm>
                            <a:off x="0" y="0"/>
                            <a:ext cx="975360" cy="219710"/>
                          </a:xfrm>
                          <a:prstGeom prst="rect">
                            <a:avLst/>
                          </a:prstGeom>
                        </wps:spPr>
                        <wps:txbx>
                          <w:txbxContent>
                            <w:p>
                              <w:pPr>
                                <w:spacing w:before="118"/>
                                <w:ind w:left="384" w:right="0" w:firstLine="0"/>
                                <w:jc w:val="left"/>
                                <w:rPr>
                                  <w:sz w:val="18"/>
                                </w:rPr>
                              </w:pPr>
                              <w:r>
                                <w:rPr>
                                  <w:sz w:val="18"/>
                                </w:rPr>
                                <w:t>Page</w:t>
                              </w:r>
                              <w:r>
                                <w:rPr>
                                  <w:spacing w:val="-6"/>
                                  <w:sz w:val="18"/>
                                </w:rPr>
                                <w:t> </w:t>
                              </w:r>
                              <w:r>
                                <w:rPr>
                                  <w:spacing w:val="-5"/>
                                  <w:sz w:val="18"/>
                                </w:rPr>
                                <w:t>244</w:t>
                              </w:r>
                            </w:p>
                          </w:txbxContent>
                        </wps:txbx>
                        <wps:bodyPr wrap="square" lIns="0" tIns="0" rIns="0" bIns="0" rtlCol="0">
                          <a:noAutofit/>
                        </wps:bodyPr>
                      </wps:wsp>
                    </wpg:wgp>
                  </a:graphicData>
                </a:graphic>
              </wp:anchor>
            </w:drawing>
          </mc:Choice>
          <mc:Fallback>
            <w:pict>
              <v:group style="position:absolute;margin-left:441.48999pt;margin-top:21.956995pt;width:76.8pt;height:17.3pt;mso-position-horizontal-relative:page;mso-position-vertical-relative:paragraph;z-index:-15581184;mso-wrap-distance-left:0;mso-wrap-distance-right:0" id="docshapegroup500" coordorigin="8830,439" coordsize="1536,346">
                <v:shape style="position:absolute;left:8829;top:439;width:1536;height:346" type="#_x0000_t75" id="docshape501" stroked="false">
                  <v:imagedata r:id="rId23" o:title=""/>
                </v:shape>
                <v:shape style="position:absolute;left:8829;top:439;width:1536;height:346" type="#_x0000_t202" id="docshape502" filled="false" stroked="false">
                  <v:textbox inset="0,0,0,0">
                    <w:txbxContent>
                      <w:p>
                        <w:pPr>
                          <w:spacing w:before="118"/>
                          <w:ind w:left="384" w:right="0" w:firstLine="0"/>
                          <w:jc w:val="left"/>
                          <w:rPr>
                            <w:sz w:val="18"/>
                          </w:rPr>
                        </w:pPr>
                        <w:r>
                          <w:rPr>
                            <w:sz w:val="18"/>
                          </w:rPr>
                          <w:t>Page</w:t>
                        </w:r>
                        <w:r>
                          <w:rPr>
                            <w:spacing w:val="-6"/>
                            <w:sz w:val="18"/>
                          </w:rPr>
                          <w:t> </w:t>
                        </w:r>
                        <w:r>
                          <w:rPr>
                            <w:spacing w:val="-5"/>
                            <w:sz w:val="18"/>
                          </w:rPr>
                          <w:t>244</w:t>
                        </w:r>
                      </w:p>
                    </w:txbxContent>
                  </v:textbox>
                  <w10:wrap type="none"/>
                </v:shape>
                <w10:wrap type="topAndBottom"/>
              </v:group>
            </w:pict>
          </mc:Fallback>
        </mc:AlternateContent>
      </w:r>
    </w:p>
    <w:p>
      <w:pPr>
        <w:pStyle w:val="BodyText"/>
        <w:spacing w:after="0"/>
        <w:rPr>
          <w:rFonts w:ascii="Verdana"/>
          <w:i/>
          <w:sz w:val="20"/>
        </w:rPr>
        <w:sectPr>
          <w:footerReference w:type="default" r:id="rId115"/>
          <w:pgSz w:w="19200" w:h="10800" w:orient="landscape"/>
          <w:pgMar w:header="0" w:footer="0" w:top="480" w:bottom="0" w:left="141" w:right="141"/>
        </w:sectPr>
      </w:pPr>
    </w:p>
    <w:p>
      <w:pPr>
        <w:pStyle w:val="Heading4"/>
        <w:ind w:right="13"/>
        <w:jc w:val="right"/>
      </w:pPr>
      <w:r>
        <w:rPr/>
        <mc:AlternateContent>
          <mc:Choice Requires="wps">
            <w:drawing>
              <wp:anchor distT="0" distB="0" distL="0" distR="0" allowOverlap="1" layoutInCell="1" locked="0" behindDoc="0" simplePos="0" relativeHeight="15877632">
                <wp:simplePos x="0" y="0"/>
                <wp:positionH relativeFrom="page">
                  <wp:posOffset>933767</wp:posOffset>
                </wp:positionH>
                <wp:positionV relativeFrom="paragraph">
                  <wp:posOffset>54292</wp:posOffset>
                </wp:positionV>
                <wp:extent cx="457834" cy="464184"/>
                <wp:effectExtent l="0" t="0" r="0" b="0"/>
                <wp:wrapNone/>
                <wp:docPr id="751" name="Group 751"/>
                <wp:cNvGraphicFramePr>
                  <a:graphicFrameLocks/>
                </wp:cNvGraphicFramePr>
                <a:graphic>
                  <a:graphicData uri="http://schemas.microsoft.com/office/word/2010/wordprocessingGroup">
                    <wpg:wgp>
                      <wpg:cNvPr id="751" name="Group 751"/>
                      <wpg:cNvGrpSpPr/>
                      <wpg:grpSpPr>
                        <a:xfrm>
                          <a:off x="0" y="0"/>
                          <a:ext cx="457834" cy="464184"/>
                          <a:chExt cx="457834" cy="464184"/>
                        </a:xfrm>
                      </wpg:grpSpPr>
                      <wps:wsp>
                        <wps:cNvPr id="752" name="Graphic 752"/>
                        <wps:cNvSpPr/>
                        <wps:spPr>
                          <a:xfrm>
                            <a:off x="0" y="0"/>
                            <a:ext cx="457834" cy="464184"/>
                          </a:xfrm>
                          <a:custGeom>
                            <a:avLst/>
                            <a:gdLst/>
                            <a:ahLst/>
                            <a:cxnLst/>
                            <a:rect l="l" t="t" r="r" b="b"/>
                            <a:pathLst>
                              <a:path w="457834" h="464184">
                                <a:moveTo>
                                  <a:pt x="457517" y="0"/>
                                </a:moveTo>
                                <a:lnTo>
                                  <a:pt x="0" y="0"/>
                                </a:lnTo>
                                <a:lnTo>
                                  <a:pt x="0" y="463867"/>
                                </a:lnTo>
                                <a:lnTo>
                                  <a:pt x="457517" y="463867"/>
                                </a:lnTo>
                                <a:lnTo>
                                  <a:pt x="457517" y="0"/>
                                </a:lnTo>
                                <a:close/>
                              </a:path>
                            </a:pathLst>
                          </a:custGeom>
                          <a:solidFill>
                            <a:srgbClr val="000000"/>
                          </a:solidFill>
                        </wps:spPr>
                        <wps:bodyPr wrap="square" lIns="0" tIns="0" rIns="0" bIns="0" rtlCol="0">
                          <a:prstTxWarp prst="textNoShape">
                            <a:avLst/>
                          </a:prstTxWarp>
                          <a:noAutofit/>
                        </wps:bodyPr>
                      </wps:wsp>
                      <wps:wsp>
                        <wps:cNvPr id="753" name="Textbox 753"/>
                        <wps:cNvSpPr txBox="1"/>
                        <wps:spPr>
                          <a:xfrm>
                            <a:off x="0" y="0"/>
                            <a:ext cx="457834" cy="464184"/>
                          </a:xfrm>
                          <a:prstGeom prst="rect">
                            <a:avLst/>
                          </a:prstGeom>
                        </wps:spPr>
                        <wps:txbx>
                          <w:txbxContent>
                            <w:p>
                              <w:pPr>
                                <w:spacing w:before="122"/>
                                <w:ind w:left="0" w:right="0" w:firstLine="0"/>
                                <w:jc w:val="center"/>
                                <w:rPr>
                                  <w:sz w:val="36"/>
                                </w:rPr>
                              </w:pPr>
                              <w:r>
                                <w:rPr>
                                  <w:color w:val="FFFFFF"/>
                                  <w:spacing w:val="-10"/>
                                  <w:sz w:val="36"/>
                                </w:rPr>
                                <w:t>8</w:t>
                              </w:r>
                            </w:p>
                          </w:txbxContent>
                        </wps:txbx>
                        <wps:bodyPr wrap="square" lIns="0" tIns="0" rIns="0" bIns="0" rtlCol="0">
                          <a:noAutofit/>
                        </wps:bodyPr>
                      </wps:wsp>
                    </wpg:wgp>
                  </a:graphicData>
                </a:graphic>
              </wp:anchor>
            </w:drawing>
          </mc:Choice>
          <mc:Fallback>
            <w:pict>
              <v:group style="position:absolute;margin-left:73.525002pt;margin-top:4.275pt;width:36.050pt;height:36.550pt;mso-position-horizontal-relative:page;mso-position-vertical-relative:paragraph;z-index:15877632" id="docshapegroup504" coordorigin="1471,86" coordsize="721,731">
                <v:rect style="position:absolute;left:1470;top:85;width:721;height:731" id="docshape505" filled="true" fillcolor="#000000" stroked="false">
                  <v:fill type="solid"/>
                </v:rect>
                <v:shape style="position:absolute;left:1470;top:85;width:721;height:731" type="#_x0000_t202" id="docshape506" filled="false" stroked="false">
                  <v:textbox inset="0,0,0,0">
                    <w:txbxContent>
                      <w:p>
                        <w:pPr>
                          <w:spacing w:before="122"/>
                          <w:ind w:left="0" w:right="0" w:firstLine="0"/>
                          <w:jc w:val="center"/>
                          <w:rPr>
                            <w:sz w:val="36"/>
                          </w:rPr>
                        </w:pPr>
                        <w:r>
                          <w:rPr>
                            <w:color w:val="FFFFFF"/>
                            <w:spacing w:val="-10"/>
                            <w:sz w:val="36"/>
                          </w:rPr>
                          <w:t>8</w:t>
                        </w:r>
                      </w:p>
                    </w:txbxContent>
                  </v:textbox>
                  <w10:wrap type="none"/>
                </v:shape>
                <w10:wrap type="none"/>
              </v:group>
            </w:pict>
          </mc:Fallback>
        </mc:AlternateContent>
      </w:r>
      <w:r>
        <w:rPr/>
        <w:t>12:15</w:t>
      </w:r>
      <w:r>
        <w:rPr>
          <w:spacing w:val="-4"/>
        </w:rPr>
        <w:t> </w:t>
      </w:r>
      <w:r>
        <w:rPr/>
        <w:t>PM,</w:t>
      </w:r>
      <w:r>
        <w:rPr>
          <w:spacing w:val="3"/>
        </w:rPr>
        <w:t> </w:t>
      </w:r>
      <w:r>
        <w:rPr/>
        <w:t>0</w:t>
      </w:r>
      <w:r>
        <w:rPr>
          <w:spacing w:val="-5"/>
        </w:rPr>
        <w:t> </w:t>
      </w:r>
      <w:r>
        <w:rPr>
          <w:spacing w:val="-4"/>
        </w:rPr>
        <w:t>Mins</w:t>
      </w:r>
    </w:p>
    <w:p>
      <w:pPr>
        <w:pStyle w:val="BodyText"/>
        <w:rPr>
          <w:b/>
          <w:sz w:val="20"/>
        </w:rPr>
      </w:pPr>
    </w:p>
    <w:p>
      <w:pPr>
        <w:pStyle w:val="BodyText"/>
        <w:spacing w:before="36"/>
        <w:rPr>
          <w:b/>
          <w:sz w:val="20"/>
        </w:rPr>
      </w:pPr>
      <w:r>
        <w:rPr>
          <w:b/>
          <w:sz w:val="20"/>
        </w:rPr>
        <mc:AlternateContent>
          <mc:Choice Requires="wps">
            <w:drawing>
              <wp:anchor distT="0" distB="0" distL="0" distR="0" allowOverlap="1" layoutInCell="1" locked="0" behindDoc="1" simplePos="0" relativeHeight="487736320">
                <wp:simplePos x="0" y="0"/>
                <wp:positionH relativeFrom="page">
                  <wp:posOffset>914400</wp:posOffset>
                </wp:positionH>
                <wp:positionV relativeFrom="paragraph">
                  <wp:posOffset>184179</wp:posOffset>
                </wp:positionV>
                <wp:extent cx="5730875" cy="6350"/>
                <wp:effectExtent l="0" t="0" r="0" b="0"/>
                <wp:wrapTopAndBottom/>
                <wp:docPr id="754" name="Graphic 754"/>
                <wp:cNvGraphicFramePr>
                  <a:graphicFrameLocks/>
                </wp:cNvGraphicFramePr>
                <a:graphic>
                  <a:graphicData uri="http://schemas.microsoft.com/office/word/2010/wordprocessingShape">
                    <wps:wsp>
                      <wps:cNvPr id="754" name="Graphic 754"/>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14.502344pt;width:451.25pt;height:.5pt;mso-position-horizontal-relative:page;mso-position-vertical-relative:paragraph;z-index:-15580160;mso-wrap-distance-left:0;mso-wrap-distance-right:0" id="docshape507" filled="true" fillcolor="#9f9f9f" stroked="false">
                <v:fill type="solid"/>
                <w10:wrap type="topAndBottom"/>
              </v:rect>
            </w:pict>
          </mc:Fallback>
        </mc:AlternateContent>
      </w:r>
    </w:p>
    <w:p>
      <w:pPr>
        <w:pStyle w:val="Heading2"/>
        <w:spacing w:line="261" w:lineRule="auto" w:before="331"/>
        <w:ind w:right="1605"/>
      </w:pPr>
      <w:bookmarkStart w:name="8 - Minutes and Actions, Closing Remarks" w:id="88"/>
      <w:bookmarkEnd w:id="88"/>
      <w:r>
        <w:rPr/>
      </w:r>
      <w:r>
        <w:rPr/>
        <w:t>8</w:t>
      </w:r>
      <w:r>
        <w:rPr>
          <w:spacing w:val="-3"/>
        </w:rPr>
        <w:t> </w:t>
      </w:r>
      <w:r>
        <w:rPr/>
        <w:t>-</w:t>
      </w:r>
      <w:r>
        <w:rPr>
          <w:spacing w:val="-5"/>
        </w:rPr>
        <w:t> </w:t>
      </w:r>
      <w:r>
        <w:rPr/>
        <w:t>Minutes</w:t>
      </w:r>
      <w:r>
        <w:rPr>
          <w:spacing w:val="-10"/>
        </w:rPr>
        <w:t> </w:t>
      </w:r>
      <w:r>
        <w:rPr/>
        <w:t>and</w:t>
      </w:r>
      <w:r>
        <w:rPr>
          <w:spacing w:val="-3"/>
        </w:rPr>
        <w:t> </w:t>
      </w:r>
      <w:r>
        <w:rPr/>
        <w:t>Actions,</w:t>
      </w:r>
      <w:r>
        <w:rPr>
          <w:spacing w:val="-9"/>
        </w:rPr>
        <w:t> </w:t>
      </w:r>
      <w:r>
        <w:rPr/>
        <w:t>Closing</w:t>
      </w:r>
      <w:r>
        <w:rPr>
          <w:spacing w:val="-3"/>
        </w:rPr>
        <w:t> </w:t>
      </w:r>
      <w:r>
        <w:rPr/>
        <w:t>Remarks</w:t>
      </w:r>
      <w:r>
        <w:rPr>
          <w:spacing w:val="-5"/>
        </w:rPr>
        <w:t> </w:t>
      </w:r>
      <w:r>
        <w:rPr/>
        <w:t>and Future Meetings</w:t>
      </w:r>
    </w:p>
    <w:p>
      <w:pPr>
        <w:pStyle w:val="Heading2"/>
        <w:spacing w:after="0" w:line="261" w:lineRule="auto"/>
        <w:sectPr>
          <w:footerReference w:type="default" r:id="rId116"/>
          <w:pgSz w:w="11910" w:h="16840"/>
          <w:pgMar w:header="0" w:footer="149" w:top="1940" w:bottom="340" w:left="1417" w:right="1417"/>
          <w:pgNumType w:start="245"/>
        </w:sectPr>
      </w:pPr>
    </w:p>
    <w:p>
      <w:pPr>
        <w:pStyle w:val="Heading4"/>
        <w:tabs>
          <w:tab w:pos="6811" w:val="left" w:leader="none"/>
        </w:tabs>
        <w:ind w:left="173"/>
      </w:pPr>
      <w:r>
        <w:rPr>
          <w:b w:val="0"/>
          <w:spacing w:val="-5"/>
          <w:position w:val="-8"/>
          <w:sz w:val="36"/>
        </w:rPr>
        <w:t>8.1</w:t>
      </w:r>
      <w:r>
        <w:rPr>
          <w:b w:val="0"/>
          <w:position w:val="-8"/>
          <w:sz w:val="36"/>
        </w:rPr>
        <w:tab/>
      </w:r>
      <w:r>
        <w:rPr/>
        <w:t>12:15</w:t>
      </w:r>
      <w:r>
        <w:rPr>
          <w:spacing w:val="-4"/>
        </w:rPr>
        <w:t> </w:t>
      </w:r>
      <w:r>
        <w:rPr/>
        <w:t>PM,</w:t>
      </w:r>
      <w:r>
        <w:rPr>
          <w:spacing w:val="3"/>
        </w:rPr>
        <w:t> </w:t>
      </w:r>
      <w:r>
        <w:rPr/>
        <w:t>5</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737344">
                <wp:simplePos x="0" y="0"/>
                <wp:positionH relativeFrom="page">
                  <wp:posOffset>914400</wp:posOffset>
                </wp:positionH>
                <wp:positionV relativeFrom="paragraph">
                  <wp:posOffset>262302</wp:posOffset>
                </wp:positionV>
                <wp:extent cx="5730875" cy="6350"/>
                <wp:effectExtent l="0" t="0" r="0" b="0"/>
                <wp:wrapTopAndBottom/>
                <wp:docPr id="755" name="Graphic 755"/>
                <wp:cNvGraphicFramePr>
                  <a:graphicFrameLocks/>
                </wp:cNvGraphicFramePr>
                <a:graphic>
                  <a:graphicData uri="http://schemas.microsoft.com/office/word/2010/wordprocessingShape">
                    <wps:wsp>
                      <wps:cNvPr id="755" name="Graphic 755"/>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579136;mso-wrap-distance-left:0;mso-wrap-distance-right:0" id="docshape508" filled="true" fillcolor="#9f9f9f" stroked="false">
                <v:fill type="solid"/>
                <w10:wrap type="topAndBottom"/>
              </v:rect>
            </w:pict>
          </mc:Fallback>
        </mc:AlternateContent>
      </w:r>
    </w:p>
    <w:p>
      <w:pPr>
        <w:pStyle w:val="BodyText"/>
        <w:spacing w:before="11"/>
        <w:rPr>
          <w:b/>
          <w:sz w:val="20"/>
        </w:rPr>
      </w:pPr>
    </w:p>
    <w:p>
      <w:pPr>
        <w:pStyle w:val="BodyText"/>
        <w:spacing w:after="0"/>
        <w:rPr>
          <w:b/>
          <w:sz w:val="20"/>
        </w:rPr>
        <w:sectPr>
          <w:pgSz w:w="11910" w:h="16840"/>
          <w:pgMar w:header="0" w:footer="149" w:top="1940" w:bottom="340" w:left="1417" w:right="1417"/>
        </w:sectPr>
      </w:pPr>
    </w:p>
    <w:p>
      <w:pPr>
        <w:pStyle w:val="Heading2"/>
        <w:numPr>
          <w:ilvl w:val="1"/>
          <w:numId w:val="102"/>
        </w:numPr>
        <w:tabs>
          <w:tab w:pos="561" w:val="left" w:leader="none"/>
        </w:tabs>
        <w:spacing w:line="261" w:lineRule="auto" w:before="90" w:after="0"/>
        <w:ind w:left="23" w:right="0" w:firstLine="0"/>
        <w:jc w:val="left"/>
      </w:pPr>
      <w:bookmarkStart w:name="8.1 - RJC/46: Minutes of Previous Meetin" w:id="89"/>
      <w:bookmarkEnd w:id="89"/>
      <w:r>
        <w:rPr/>
      </w:r>
      <w:r>
        <w:rPr/>
        <w:t>-</w:t>
      </w:r>
      <w:r>
        <w:rPr>
          <w:spacing w:val="-8"/>
        </w:rPr>
        <w:t> </w:t>
      </w:r>
      <w:r>
        <w:rPr/>
        <w:t>RJC/46:</w:t>
      </w:r>
      <w:r>
        <w:rPr>
          <w:spacing w:val="-6"/>
        </w:rPr>
        <w:t> </w:t>
      </w:r>
      <w:r>
        <w:rPr/>
        <w:t>Minutes</w:t>
      </w:r>
      <w:r>
        <w:rPr>
          <w:spacing w:val="-10"/>
        </w:rPr>
        <w:t> </w:t>
      </w:r>
      <w:r>
        <w:rPr/>
        <w:t>of</w:t>
      </w:r>
      <w:r>
        <w:rPr>
          <w:spacing w:val="-6"/>
        </w:rPr>
        <w:t> </w:t>
      </w:r>
      <w:r>
        <w:rPr/>
        <w:t>Previous</w:t>
      </w:r>
      <w:r>
        <w:rPr>
          <w:spacing w:val="-10"/>
        </w:rPr>
        <w:t> </w:t>
      </w:r>
      <w:r>
        <w:rPr/>
        <w:t>Meeting</w:t>
      </w:r>
      <w:r>
        <w:rPr>
          <w:spacing w:val="-9"/>
        </w:rPr>
        <w:t> </w:t>
      </w:r>
      <w:r>
        <w:rPr/>
        <w:t>held on 16th April 2026</w:t>
      </w:r>
    </w:p>
    <w:p>
      <w:pPr>
        <w:spacing w:line="259" w:lineRule="auto" w:before="93"/>
        <w:ind w:left="23" w:right="16" w:firstLine="865"/>
        <w:jc w:val="right"/>
        <w:rPr>
          <w:b/>
          <w:i/>
          <w:sz w:val="22"/>
        </w:rPr>
      </w:pPr>
      <w:r>
        <w:rPr/>
        <w:br w:type="column"/>
      </w:r>
      <w:r>
        <w:rPr>
          <w:b/>
          <w:i/>
          <w:sz w:val="22"/>
        </w:rPr>
        <w:t>Jan</w:t>
      </w:r>
      <w:r>
        <w:rPr>
          <w:b/>
          <w:i/>
          <w:spacing w:val="-16"/>
          <w:sz w:val="22"/>
        </w:rPr>
        <w:t> </w:t>
      </w:r>
      <w:r>
        <w:rPr>
          <w:b/>
          <w:i/>
          <w:sz w:val="22"/>
        </w:rPr>
        <w:t>Williams</w:t>
      </w:r>
      <w:r>
        <w:rPr>
          <w:b/>
          <w:i/>
          <w:sz w:val="22"/>
        </w:rPr>
        <w:t> (Swansea Bay UHB - Corporate), Neil Wooding</w:t>
      </w:r>
      <w:r>
        <w:rPr>
          <w:b/>
          <w:i/>
          <w:spacing w:val="-6"/>
          <w:sz w:val="22"/>
        </w:rPr>
        <w:t> </w:t>
      </w:r>
      <w:r>
        <w:rPr>
          <w:b/>
          <w:i/>
          <w:sz w:val="22"/>
        </w:rPr>
        <w:t>(Hywel</w:t>
      </w:r>
      <w:r>
        <w:rPr>
          <w:b/>
          <w:i/>
          <w:spacing w:val="-8"/>
          <w:sz w:val="22"/>
        </w:rPr>
        <w:t> </w:t>
      </w:r>
      <w:r>
        <w:rPr>
          <w:b/>
          <w:i/>
          <w:sz w:val="22"/>
        </w:rPr>
        <w:t>Dda UHB</w:t>
      </w:r>
      <w:r>
        <w:rPr>
          <w:b/>
          <w:i/>
          <w:spacing w:val="-7"/>
          <w:sz w:val="22"/>
        </w:rPr>
        <w:t> </w:t>
      </w:r>
      <w:r>
        <w:rPr>
          <w:b/>
          <w:i/>
          <w:sz w:val="22"/>
        </w:rPr>
        <w:t>-</w:t>
      </w:r>
      <w:r>
        <w:rPr>
          <w:b/>
          <w:i/>
          <w:spacing w:val="-7"/>
          <w:sz w:val="22"/>
        </w:rPr>
        <w:t> </w:t>
      </w:r>
      <w:r>
        <w:rPr>
          <w:b/>
          <w:i/>
          <w:sz w:val="22"/>
        </w:rPr>
        <w:t>Chair</w:t>
      </w:r>
      <w:r>
        <w:rPr>
          <w:b/>
          <w:i/>
          <w:spacing w:val="-8"/>
          <w:sz w:val="22"/>
        </w:rPr>
        <w:t> </w:t>
      </w:r>
      <w:r>
        <w:rPr>
          <w:b/>
          <w:i/>
          <w:sz w:val="22"/>
        </w:rPr>
        <w:t>of</w:t>
      </w:r>
      <w:r>
        <w:rPr>
          <w:b/>
          <w:i/>
          <w:spacing w:val="-6"/>
          <w:sz w:val="22"/>
        </w:rPr>
        <w:t> </w:t>
      </w:r>
      <w:r>
        <w:rPr>
          <w:b/>
          <w:i/>
          <w:sz w:val="22"/>
        </w:rPr>
        <w:t>Hywel Dda University Health Board)</w:t>
      </w:r>
    </w:p>
    <w:p>
      <w:pPr>
        <w:spacing w:after="0" w:line="259" w:lineRule="auto"/>
        <w:jc w:val="right"/>
        <w:rPr>
          <w:b/>
          <w:i/>
          <w:sz w:val="22"/>
        </w:rPr>
        <w:sectPr>
          <w:type w:val="continuous"/>
          <w:pgSz w:w="11910" w:h="16840"/>
          <w:pgMar w:header="0" w:footer="149" w:top="760" w:bottom="280" w:left="1417" w:right="1417"/>
          <w:cols w:num="2" w:equalWidth="0">
            <w:col w:w="6727" w:space="95"/>
            <w:col w:w="2254"/>
          </w:cols>
        </w:sect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4"/>
        <w:rPr>
          <w:b/>
          <w:i/>
          <w:sz w:val="22"/>
        </w:rPr>
      </w:pPr>
    </w:p>
    <w:p>
      <w:pPr>
        <w:spacing w:before="0"/>
        <w:ind w:left="23" w:right="0" w:firstLine="0"/>
        <w:jc w:val="left"/>
        <w:rPr>
          <w:b/>
          <w:sz w:val="22"/>
        </w:rPr>
      </w:pPr>
      <w:r>
        <w:rPr>
          <w:b/>
          <w:spacing w:val="-2"/>
          <w:sz w:val="22"/>
        </w:rPr>
        <w:t>Attachments</w:t>
      </w:r>
    </w:p>
    <w:p>
      <w:pPr>
        <w:spacing w:before="174"/>
        <w:ind w:left="23" w:right="0" w:firstLine="0"/>
        <w:jc w:val="left"/>
        <w:rPr>
          <w:sz w:val="18"/>
        </w:rPr>
      </w:pPr>
      <w:r>
        <w:rPr>
          <w:sz w:val="18"/>
          <w:u w:val="single"/>
        </w:rPr>
        <w:t>RJC</w:t>
      </w:r>
      <w:r>
        <w:rPr>
          <w:spacing w:val="-3"/>
          <w:sz w:val="18"/>
          <w:u w:val="single"/>
        </w:rPr>
        <w:t> </w:t>
      </w:r>
      <w:r>
        <w:rPr>
          <w:sz w:val="18"/>
          <w:u w:val="single"/>
        </w:rPr>
        <w:t>46 DRAFT Minutes</w:t>
      </w:r>
      <w:r>
        <w:rPr>
          <w:spacing w:val="-2"/>
          <w:sz w:val="18"/>
          <w:u w:val="single"/>
        </w:rPr>
        <w:t> </w:t>
      </w:r>
      <w:r>
        <w:rPr>
          <w:sz w:val="18"/>
          <w:u w:val="single"/>
        </w:rPr>
        <w:t>Swansea Bay and</w:t>
      </w:r>
      <w:r>
        <w:rPr>
          <w:spacing w:val="-1"/>
          <w:sz w:val="18"/>
          <w:u w:val="single"/>
        </w:rPr>
        <w:t> </w:t>
      </w:r>
      <w:r>
        <w:rPr>
          <w:sz w:val="18"/>
          <w:u w:val="single"/>
        </w:rPr>
        <w:t>Hywel</w:t>
      </w:r>
      <w:r>
        <w:rPr>
          <w:spacing w:val="-1"/>
          <w:sz w:val="18"/>
          <w:u w:val="single"/>
        </w:rPr>
        <w:t> </w:t>
      </w:r>
      <w:r>
        <w:rPr>
          <w:sz w:val="18"/>
          <w:u w:val="single"/>
        </w:rPr>
        <w:t>Dda University</w:t>
      </w:r>
      <w:r>
        <w:rPr>
          <w:spacing w:val="-1"/>
          <w:sz w:val="18"/>
          <w:u w:val="single"/>
        </w:rPr>
        <w:t> </w:t>
      </w:r>
      <w:r>
        <w:rPr>
          <w:sz w:val="18"/>
          <w:u w:val="single"/>
        </w:rPr>
        <w:t>Health</w:t>
      </w:r>
      <w:r>
        <w:rPr>
          <w:spacing w:val="-1"/>
          <w:sz w:val="18"/>
          <w:u w:val="single"/>
        </w:rPr>
        <w:t> </w:t>
      </w:r>
      <w:r>
        <w:rPr>
          <w:sz w:val="18"/>
          <w:u w:val="single"/>
        </w:rPr>
        <w:t>Boards</w:t>
      </w:r>
      <w:r>
        <w:rPr>
          <w:spacing w:val="-1"/>
          <w:sz w:val="18"/>
          <w:u w:val="single"/>
        </w:rPr>
        <w:t> </w:t>
      </w:r>
      <w:r>
        <w:rPr>
          <w:spacing w:val="-2"/>
          <w:sz w:val="18"/>
          <w:u w:val="single"/>
        </w:rPr>
        <w:t>Re~.pdf</w:t>
      </w:r>
    </w:p>
    <w:p>
      <w:pPr>
        <w:spacing w:after="0"/>
        <w:jc w:val="left"/>
        <w:rPr>
          <w:sz w:val="18"/>
        </w:rPr>
        <w:sectPr>
          <w:type w:val="continuous"/>
          <w:pgSz w:w="11910" w:h="16840"/>
          <w:pgMar w:header="0" w:footer="149" w:top="760" w:bottom="280" w:left="1417" w:right="1417"/>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58" name="Image 758"/>
            <wp:cNvGraphicFramePr>
              <a:graphicFrameLocks/>
            </wp:cNvGraphicFramePr>
            <a:graphic>
              <a:graphicData uri="http://schemas.openxmlformats.org/drawingml/2006/picture">
                <pic:pic>
                  <pic:nvPicPr>
                    <pic:cNvPr id="758" name="Image 758"/>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59" name="Image 759"/>
            <wp:cNvGraphicFramePr>
              <a:graphicFrameLocks/>
            </wp:cNvGraphicFramePr>
            <a:graphic>
              <a:graphicData uri="http://schemas.openxmlformats.org/drawingml/2006/picture">
                <pic:pic>
                  <pic:nvPicPr>
                    <pic:cNvPr id="759" name="Image 759"/>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8"/>
      </w:pPr>
    </w:p>
    <w:p>
      <w:pPr>
        <w:spacing w:before="0"/>
        <w:ind w:left="200" w:right="184" w:firstLine="0"/>
        <w:jc w:val="center"/>
        <w:rPr>
          <w:rFonts w:ascii="Verdana"/>
          <w:b/>
          <w:sz w:val="24"/>
        </w:rPr>
      </w:pPr>
      <w:bookmarkStart w:name="Attachments" w:id="90"/>
      <w:bookmarkEnd w:id="90"/>
      <w:r>
        <w:rPr/>
      </w:r>
      <w:bookmarkStart w:name="RJC 46 DRAFT Minutes Swansea Bay and Hyw" w:id="91"/>
      <w:bookmarkEnd w:id="91"/>
      <w:r>
        <w:rPr/>
      </w:r>
      <w:r>
        <w:rPr>
          <w:rFonts w:ascii="Verdana"/>
          <w:b/>
          <w:sz w:val="24"/>
        </w:rPr>
        <w:t>Hywel</w:t>
      </w:r>
      <w:r>
        <w:rPr>
          <w:rFonts w:ascii="Verdana"/>
          <w:b/>
          <w:spacing w:val="-4"/>
          <w:sz w:val="24"/>
        </w:rPr>
        <w:t> </w:t>
      </w:r>
      <w:r>
        <w:rPr>
          <w:rFonts w:ascii="Verdana"/>
          <w:b/>
          <w:sz w:val="24"/>
        </w:rPr>
        <w:t>Dda</w:t>
      </w:r>
      <w:r>
        <w:rPr>
          <w:rFonts w:ascii="Verdana"/>
          <w:b/>
          <w:spacing w:val="-7"/>
          <w:sz w:val="24"/>
        </w:rPr>
        <w:t> </w:t>
      </w:r>
      <w:r>
        <w:rPr>
          <w:rFonts w:ascii="Verdana"/>
          <w:b/>
          <w:sz w:val="24"/>
        </w:rPr>
        <w:t>University</w:t>
      </w:r>
      <w:r>
        <w:rPr>
          <w:rFonts w:ascii="Verdana"/>
          <w:b/>
          <w:spacing w:val="-3"/>
          <w:sz w:val="24"/>
        </w:rPr>
        <w:t> </w:t>
      </w:r>
      <w:r>
        <w:rPr>
          <w:rFonts w:ascii="Verdana"/>
          <w:b/>
          <w:sz w:val="24"/>
        </w:rPr>
        <w:t>Health</w:t>
      </w:r>
      <w:r>
        <w:rPr>
          <w:rFonts w:ascii="Verdana"/>
          <w:b/>
          <w:spacing w:val="-7"/>
          <w:sz w:val="24"/>
        </w:rPr>
        <w:t> </w:t>
      </w:r>
      <w:r>
        <w:rPr>
          <w:rFonts w:ascii="Verdana"/>
          <w:b/>
          <w:sz w:val="24"/>
        </w:rPr>
        <w:t>Board</w:t>
      </w:r>
      <w:r>
        <w:rPr>
          <w:rFonts w:ascii="Verdana"/>
          <w:b/>
          <w:spacing w:val="-5"/>
          <w:sz w:val="24"/>
        </w:rPr>
        <w:t> </w:t>
      </w:r>
      <w:r>
        <w:rPr>
          <w:rFonts w:ascii="Verdana"/>
          <w:b/>
          <w:sz w:val="24"/>
        </w:rPr>
        <w:t>and</w:t>
      </w:r>
      <w:r>
        <w:rPr>
          <w:rFonts w:ascii="Verdana"/>
          <w:b/>
          <w:spacing w:val="-6"/>
          <w:sz w:val="24"/>
        </w:rPr>
        <w:t> </w:t>
      </w:r>
      <w:r>
        <w:rPr>
          <w:rFonts w:ascii="Verdana"/>
          <w:b/>
          <w:sz w:val="24"/>
        </w:rPr>
        <w:t>Swansea</w:t>
      </w:r>
      <w:r>
        <w:rPr>
          <w:rFonts w:ascii="Verdana"/>
          <w:b/>
          <w:spacing w:val="-7"/>
          <w:sz w:val="24"/>
        </w:rPr>
        <w:t> </w:t>
      </w:r>
      <w:r>
        <w:rPr>
          <w:rFonts w:ascii="Verdana"/>
          <w:b/>
          <w:sz w:val="24"/>
        </w:rPr>
        <w:t>Bay</w:t>
      </w:r>
      <w:r>
        <w:rPr>
          <w:rFonts w:ascii="Verdana"/>
          <w:b/>
          <w:spacing w:val="-8"/>
          <w:sz w:val="24"/>
        </w:rPr>
        <w:t> </w:t>
      </w:r>
      <w:r>
        <w:rPr>
          <w:rFonts w:ascii="Verdana"/>
          <w:b/>
          <w:sz w:val="24"/>
        </w:rPr>
        <w:t>University</w:t>
      </w:r>
      <w:r>
        <w:rPr>
          <w:rFonts w:ascii="Verdana"/>
          <w:b/>
          <w:spacing w:val="-3"/>
          <w:sz w:val="24"/>
        </w:rPr>
        <w:t> </w:t>
      </w:r>
      <w:r>
        <w:rPr>
          <w:rFonts w:ascii="Verdana"/>
          <w:b/>
          <w:sz w:val="24"/>
        </w:rPr>
        <w:t>Health </w:t>
      </w:r>
      <w:r>
        <w:rPr>
          <w:rFonts w:ascii="Verdana"/>
          <w:b/>
          <w:spacing w:val="-2"/>
          <w:sz w:val="24"/>
        </w:rPr>
        <w:t>Board</w:t>
      </w:r>
    </w:p>
    <w:p>
      <w:pPr>
        <w:spacing w:before="2"/>
        <w:ind w:left="2595" w:right="2648" w:firstLine="0"/>
        <w:jc w:val="center"/>
        <w:rPr>
          <w:rFonts w:ascii="Verdana"/>
          <w:b/>
          <w:sz w:val="24"/>
        </w:rPr>
      </w:pPr>
      <w:r>
        <w:rPr>
          <w:rFonts w:ascii="Verdana"/>
          <w:b/>
          <w:sz w:val="24"/>
        </w:rPr>
        <w:t>Regional</w:t>
      </w:r>
      <w:r>
        <w:rPr>
          <w:rFonts w:ascii="Verdana"/>
          <w:b/>
          <w:spacing w:val="-15"/>
          <w:sz w:val="24"/>
        </w:rPr>
        <w:t> </w:t>
      </w:r>
      <w:r>
        <w:rPr>
          <w:rFonts w:ascii="Verdana"/>
          <w:b/>
          <w:sz w:val="24"/>
        </w:rPr>
        <w:t>Joint</w:t>
      </w:r>
      <w:r>
        <w:rPr>
          <w:rFonts w:ascii="Verdana"/>
          <w:b/>
          <w:spacing w:val="-12"/>
          <w:sz w:val="24"/>
        </w:rPr>
        <w:t> </w:t>
      </w:r>
      <w:r>
        <w:rPr>
          <w:rFonts w:ascii="Verdana"/>
          <w:b/>
          <w:sz w:val="24"/>
        </w:rPr>
        <w:t>Committee</w:t>
      </w:r>
      <w:r>
        <w:rPr>
          <w:rFonts w:ascii="Verdana"/>
          <w:b/>
          <w:spacing w:val="-11"/>
          <w:sz w:val="24"/>
        </w:rPr>
        <w:t> </w:t>
      </w:r>
      <w:r>
        <w:rPr>
          <w:rFonts w:ascii="Verdana"/>
          <w:b/>
          <w:sz w:val="24"/>
        </w:rPr>
        <w:t>Meeting </w:t>
      </w:r>
      <w:r>
        <w:rPr>
          <w:rFonts w:ascii="Verdana"/>
          <w:b/>
          <w:color w:val="FF0000"/>
          <w:sz w:val="24"/>
        </w:rPr>
        <w:t>DRAFT Minutes</w:t>
      </w:r>
    </w:p>
    <w:p>
      <w:pPr>
        <w:pStyle w:val="BodyText"/>
        <w:spacing w:line="242" w:lineRule="auto"/>
        <w:ind w:left="1521" w:right="1472" w:firstLine="1195"/>
        <w:rPr>
          <w:rFonts w:ascii="Verdana"/>
        </w:rPr>
      </w:pPr>
      <w:r>
        <w:rPr>
          <w:rFonts w:ascii="Verdana"/>
        </w:rPr>
        <mc:AlternateContent>
          <mc:Choice Requires="wps">
            <w:drawing>
              <wp:anchor distT="0" distB="0" distL="0" distR="0" allowOverlap="1" layoutInCell="1" locked="0" behindDoc="1" simplePos="0" relativeHeight="477232640">
                <wp:simplePos x="0" y="0"/>
                <wp:positionH relativeFrom="page">
                  <wp:posOffset>2925460</wp:posOffset>
                </wp:positionH>
                <wp:positionV relativeFrom="paragraph">
                  <wp:posOffset>185429</wp:posOffset>
                </wp:positionV>
                <wp:extent cx="3470910" cy="4232275"/>
                <wp:effectExtent l="0" t="0" r="0" b="0"/>
                <wp:wrapNone/>
                <wp:docPr id="760" name="Group 760"/>
                <wp:cNvGraphicFramePr>
                  <a:graphicFrameLocks/>
                </wp:cNvGraphicFramePr>
                <a:graphic>
                  <a:graphicData uri="http://schemas.microsoft.com/office/word/2010/wordprocessingGroup">
                    <wpg:wgp>
                      <wpg:cNvPr id="760" name="Group 760"/>
                      <wpg:cNvGrpSpPr/>
                      <wpg:grpSpPr>
                        <a:xfrm>
                          <a:off x="0" y="0"/>
                          <a:ext cx="3470910" cy="4232275"/>
                          <a:chExt cx="3470910" cy="4232275"/>
                        </a:xfrm>
                      </wpg:grpSpPr>
                      <wps:wsp>
                        <wps:cNvPr id="761" name="Graphic 761"/>
                        <wps:cNvSpPr/>
                        <wps:spPr>
                          <a:xfrm>
                            <a:off x="-3" y="129850"/>
                            <a:ext cx="3470910" cy="4102735"/>
                          </a:xfrm>
                          <a:custGeom>
                            <a:avLst/>
                            <a:gdLst/>
                            <a:ahLst/>
                            <a:cxnLst/>
                            <a:rect l="l" t="t" r="r" b="b"/>
                            <a:pathLst>
                              <a:path w="3470910" h="4102735">
                                <a:moveTo>
                                  <a:pt x="2311146" y="3291395"/>
                                </a:moveTo>
                                <a:lnTo>
                                  <a:pt x="2294331" y="3256902"/>
                                </a:lnTo>
                                <a:lnTo>
                                  <a:pt x="2261679" y="3227946"/>
                                </a:lnTo>
                                <a:lnTo>
                                  <a:pt x="2229091" y="3204210"/>
                                </a:lnTo>
                                <a:lnTo>
                                  <a:pt x="1960029" y="3019679"/>
                                </a:lnTo>
                                <a:lnTo>
                                  <a:pt x="1389621" y="2631300"/>
                                </a:lnTo>
                                <a:lnTo>
                                  <a:pt x="1389621" y="2858008"/>
                                </a:lnTo>
                                <a:lnTo>
                                  <a:pt x="1054341" y="3193288"/>
                                </a:lnTo>
                                <a:lnTo>
                                  <a:pt x="301358" y="2107946"/>
                                </a:lnTo>
                                <a:lnTo>
                                  <a:pt x="302120" y="2107184"/>
                                </a:lnTo>
                                <a:lnTo>
                                  <a:pt x="1389621" y="2858008"/>
                                </a:lnTo>
                                <a:lnTo>
                                  <a:pt x="1389621" y="2631300"/>
                                </a:lnTo>
                                <a:lnTo>
                                  <a:pt x="619899" y="2107184"/>
                                </a:lnTo>
                                <a:lnTo>
                                  <a:pt x="192773" y="1814703"/>
                                </a:lnTo>
                                <a:lnTo>
                                  <a:pt x="183629" y="1808911"/>
                                </a:lnTo>
                                <a:lnTo>
                                  <a:pt x="142265" y="1793214"/>
                                </a:lnTo>
                                <a:lnTo>
                                  <a:pt x="134835" y="1793684"/>
                                </a:lnTo>
                                <a:lnTo>
                                  <a:pt x="92951" y="1811782"/>
                                </a:lnTo>
                                <a:lnTo>
                                  <a:pt x="63423" y="1838553"/>
                                </a:lnTo>
                                <a:lnTo>
                                  <a:pt x="32054" y="1870240"/>
                                </a:lnTo>
                                <a:lnTo>
                                  <a:pt x="6858" y="1904314"/>
                                </a:lnTo>
                                <a:lnTo>
                                  <a:pt x="0" y="1935416"/>
                                </a:lnTo>
                                <a:lnTo>
                                  <a:pt x="889" y="1942617"/>
                                </a:lnTo>
                                <a:lnTo>
                                  <a:pt x="20688" y="1983867"/>
                                </a:lnTo>
                                <a:lnTo>
                                  <a:pt x="49187" y="2025332"/>
                                </a:lnTo>
                                <a:lnTo>
                                  <a:pt x="1410322" y="4020058"/>
                                </a:lnTo>
                                <a:lnTo>
                                  <a:pt x="1434045" y="4052646"/>
                                </a:lnTo>
                                <a:lnTo>
                                  <a:pt x="1463306" y="4085120"/>
                                </a:lnTo>
                                <a:lnTo>
                                  <a:pt x="1497406" y="4102366"/>
                                </a:lnTo>
                                <a:lnTo>
                                  <a:pt x="1505483" y="4102023"/>
                                </a:lnTo>
                                <a:lnTo>
                                  <a:pt x="1540510" y="4082021"/>
                                </a:lnTo>
                                <a:lnTo>
                                  <a:pt x="1570685" y="4053090"/>
                                </a:lnTo>
                                <a:lnTo>
                                  <a:pt x="1596809" y="4019042"/>
                                </a:lnTo>
                                <a:lnTo>
                                  <a:pt x="1602473" y="3996182"/>
                                </a:lnTo>
                                <a:lnTo>
                                  <a:pt x="1602384" y="3989730"/>
                                </a:lnTo>
                                <a:lnTo>
                                  <a:pt x="1586687" y="3950119"/>
                                </a:lnTo>
                                <a:lnTo>
                                  <a:pt x="1217536" y="3420618"/>
                                </a:lnTo>
                                <a:lnTo>
                                  <a:pt x="1444790" y="3193288"/>
                                </a:lnTo>
                                <a:lnTo>
                                  <a:pt x="1618348" y="3019679"/>
                                </a:lnTo>
                                <a:lnTo>
                                  <a:pt x="2149970" y="3385947"/>
                                </a:lnTo>
                                <a:lnTo>
                                  <a:pt x="2157793" y="3390430"/>
                                </a:lnTo>
                                <a:lnTo>
                                  <a:pt x="2193277" y="3405251"/>
                                </a:lnTo>
                                <a:lnTo>
                                  <a:pt x="2201405" y="3402965"/>
                                </a:lnTo>
                                <a:lnTo>
                                  <a:pt x="2208060" y="3402152"/>
                                </a:lnTo>
                                <a:lnTo>
                                  <a:pt x="2247709" y="3376168"/>
                                </a:lnTo>
                                <a:lnTo>
                                  <a:pt x="2279459" y="3344265"/>
                                </a:lnTo>
                                <a:lnTo>
                                  <a:pt x="2307793" y="3307626"/>
                                </a:lnTo>
                                <a:lnTo>
                                  <a:pt x="2310511" y="3299549"/>
                                </a:lnTo>
                                <a:lnTo>
                                  <a:pt x="2311146" y="3291395"/>
                                </a:lnTo>
                                <a:close/>
                              </a:path>
                              <a:path w="3470910" h="4102735">
                                <a:moveTo>
                                  <a:pt x="2588526" y="3005277"/>
                                </a:moveTo>
                                <a:lnTo>
                                  <a:pt x="2572994" y="2970250"/>
                                </a:lnTo>
                                <a:lnTo>
                                  <a:pt x="1799831" y="2196846"/>
                                </a:lnTo>
                                <a:lnTo>
                                  <a:pt x="2137397" y="1859280"/>
                                </a:lnTo>
                                <a:lnTo>
                                  <a:pt x="2126729" y="1818894"/>
                                </a:lnTo>
                                <a:lnTo>
                                  <a:pt x="2100567" y="1782191"/>
                                </a:lnTo>
                                <a:lnTo>
                                  <a:pt x="2069503" y="1748370"/>
                                </a:lnTo>
                                <a:lnTo>
                                  <a:pt x="2041956" y="1720811"/>
                                </a:lnTo>
                                <a:lnTo>
                                  <a:pt x="2005063" y="1686814"/>
                                </a:lnTo>
                                <a:lnTo>
                                  <a:pt x="1969884" y="1662049"/>
                                </a:lnTo>
                                <a:lnTo>
                                  <a:pt x="1944611" y="1653159"/>
                                </a:lnTo>
                                <a:lnTo>
                                  <a:pt x="1938007" y="1653921"/>
                                </a:lnTo>
                                <a:lnTo>
                                  <a:pt x="1933689" y="1655572"/>
                                </a:lnTo>
                                <a:lnTo>
                                  <a:pt x="1596123" y="1993138"/>
                                </a:lnTo>
                                <a:lnTo>
                                  <a:pt x="969124" y="1366139"/>
                                </a:lnTo>
                                <a:lnTo>
                                  <a:pt x="1325994" y="1009142"/>
                                </a:lnTo>
                                <a:lnTo>
                                  <a:pt x="1312176" y="962266"/>
                                </a:lnTo>
                                <a:lnTo>
                                  <a:pt x="1280947" y="922756"/>
                                </a:lnTo>
                                <a:lnTo>
                                  <a:pt x="1244968" y="884936"/>
                                </a:lnTo>
                                <a:lnTo>
                                  <a:pt x="1195057" y="837946"/>
                                </a:lnTo>
                                <a:lnTo>
                                  <a:pt x="1157084" y="810514"/>
                                </a:lnTo>
                                <a:lnTo>
                                  <a:pt x="1122286" y="799465"/>
                                </a:lnTo>
                                <a:lnTo>
                                  <a:pt x="1117968" y="801116"/>
                                </a:lnTo>
                                <a:lnTo>
                                  <a:pt x="680580" y="1238504"/>
                                </a:lnTo>
                                <a:lnTo>
                                  <a:pt x="673531" y="1248206"/>
                                </a:lnTo>
                                <a:lnTo>
                                  <a:pt x="669290" y="1260411"/>
                                </a:lnTo>
                                <a:lnTo>
                                  <a:pt x="668020" y="1275016"/>
                                </a:lnTo>
                                <a:lnTo>
                                  <a:pt x="669912" y="1291844"/>
                                </a:lnTo>
                                <a:lnTo>
                                  <a:pt x="689419" y="1334808"/>
                                </a:lnTo>
                                <a:lnTo>
                                  <a:pt x="732650" y="1385951"/>
                                </a:lnTo>
                                <a:lnTo>
                                  <a:pt x="2439911" y="3093212"/>
                                </a:lnTo>
                                <a:lnTo>
                                  <a:pt x="2474226" y="3113328"/>
                                </a:lnTo>
                                <a:lnTo>
                                  <a:pt x="2480157" y="3113582"/>
                                </a:lnTo>
                                <a:lnTo>
                                  <a:pt x="2493226" y="3111309"/>
                                </a:lnTo>
                                <a:lnTo>
                                  <a:pt x="2532062" y="3090468"/>
                                </a:lnTo>
                                <a:lnTo>
                                  <a:pt x="2565984" y="3056547"/>
                                </a:lnTo>
                                <a:lnTo>
                                  <a:pt x="2586367" y="3018218"/>
                                </a:lnTo>
                                <a:lnTo>
                                  <a:pt x="2588526" y="3005277"/>
                                </a:lnTo>
                                <a:close/>
                              </a:path>
                              <a:path w="3470910" h="4102735">
                                <a:moveTo>
                                  <a:pt x="3470389" y="2122424"/>
                                </a:moveTo>
                                <a:lnTo>
                                  <a:pt x="3448672" y="2084324"/>
                                </a:lnTo>
                                <a:lnTo>
                                  <a:pt x="1849869" y="485394"/>
                                </a:lnTo>
                                <a:lnTo>
                                  <a:pt x="2124697" y="210439"/>
                                </a:lnTo>
                                <a:lnTo>
                                  <a:pt x="2127110" y="205359"/>
                                </a:lnTo>
                                <a:lnTo>
                                  <a:pt x="2126475" y="197358"/>
                                </a:lnTo>
                                <a:lnTo>
                                  <a:pt x="2125167" y="191643"/>
                                </a:lnTo>
                                <a:lnTo>
                                  <a:pt x="2105393" y="154279"/>
                                </a:lnTo>
                                <a:lnTo>
                                  <a:pt x="2068906" y="112306"/>
                                </a:lnTo>
                                <a:lnTo>
                                  <a:pt x="2030260" y="72986"/>
                                </a:lnTo>
                                <a:lnTo>
                                  <a:pt x="1993760" y="39243"/>
                                </a:lnTo>
                                <a:lnTo>
                                  <a:pt x="1956549" y="10922"/>
                                </a:lnTo>
                                <a:lnTo>
                                  <a:pt x="1921751" y="0"/>
                                </a:lnTo>
                                <a:lnTo>
                                  <a:pt x="1916671" y="2413"/>
                                </a:lnTo>
                                <a:lnTo>
                                  <a:pt x="1238618" y="680339"/>
                                </a:lnTo>
                                <a:lnTo>
                                  <a:pt x="1236205" y="685546"/>
                                </a:lnTo>
                                <a:lnTo>
                                  <a:pt x="1238580" y="698830"/>
                                </a:lnTo>
                                <a:lnTo>
                                  <a:pt x="1259967" y="737095"/>
                                </a:lnTo>
                                <a:lnTo>
                                  <a:pt x="1286230" y="768756"/>
                                </a:lnTo>
                                <a:lnTo>
                                  <a:pt x="1322565" y="807466"/>
                                </a:lnTo>
                                <a:lnTo>
                                  <a:pt x="1360614" y="843026"/>
                                </a:lnTo>
                                <a:lnTo>
                                  <a:pt x="1371714" y="852170"/>
                                </a:lnTo>
                                <a:lnTo>
                                  <a:pt x="1381734" y="860844"/>
                                </a:lnTo>
                                <a:lnTo>
                                  <a:pt x="1415135" y="883373"/>
                                </a:lnTo>
                                <a:lnTo>
                                  <a:pt x="1441564" y="890905"/>
                                </a:lnTo>
                                <a:lnTo>
                                  <a:pt x="1446771" y="888492"/>
                                </a:lnTo>
                                <a:lnTo>
                                  <a:pt x="1721599" y="613537"/>
                                </a:lnTo>
                                <a:lnTo>
                                  <a:pt x="3320529" y="2212467"/>
                                </a:lnTo>
                                <a:lnTo>
                                  <a:pt x="3358629" y="2234184"/>
                                </a:lnTo>
                                <a:lnTo>
                                  <a:pt x="3366757" y="2231898"/>
                                </a:lnTo>
                                <a:lnTo>
                                  <a:pt x="3373920" y="2230678"/>
                                </a:lnTo>
                                <a:lnTo>
                                  <a:pt x="3412693" y="2209850"/>
                                </a:lnTo>
                                <a:lnTo>
                                  <a:pt x="3446716" y="2175827"/>
                                </a:lnTo>
                                <a:lnTo>
                                  <a:pt x="3466998" y="2137587"/>
                                </a:lnTo>
                                <a:lnTo>
                                  <a:pt x="3468103" y="2130552"/>
                                </a:lnTo>
                                <a:lnTo>
                                  <a:pt x="3470389" y="2122424"/>
                                </a:lnTo>
                                <a:close/>
                              </a:path>
                            </a:pathLst>
                          </a:custGeom>
                          <a:solidFill>
                            <a:srgbClr val="C0C0C0">
                              <a:alpha val="50195"/>
                            </a:srgbClr>
                          </a:solidFill>
                        </wps:spPr>
                        <wps:bodyPr wrap="square" lIns="0" tIns="0" rIns="0" bIns="0" rtlCol="0">
                          <a:prstTxWarp prst="textNoShape">
                            <a:avLst/>
                          </a:prstTxWarp>
                          <a:noAutofit/>
                        </wps:bodyPr>
                      </wps:wsp>
                      <wps:wsp>
                        <wps:cNvPr id="762" name="Textbox 762"/>
                        <wps:cNvSpPr txBox="1"/>
                        <wps:spPr>
                          <a:xfrm>
                            <a:off x="0" y="0"/>
                            <a:ext cx="3470910" cy="4232275"/>
                          </a:xfrm>
                          <a:prstGeom prst="rect">
                            <a:avLst/>
                          </a:prstGeom>
                        </wps:spPr>
                        <wps:txbx>
                          <w:txbxContent>
                            <w:p>
                              <w:pPr>
                                <w:spacing w:before="0"/>
                                <w:ind w:left="71" w:right="0" w:firstLine="0"/>
                                <w:jc w:val="left"/>
                                <w:rPr>
                                  <w:rFonts w:ascii="Verdana"/>
                                  <w:sz w:val="24"/>
                                </w:rPr>
                              </w:pPr>
                              <w:r>
                                <w:rPr>
                                  <w:rFonts w:ascii="Verdana"/>
                                  <w:sz w:val="24"/>
                                </w:rPr>
                                <w:t>Beacon</w:t>
                              </w:r>
                              <w:r>
                                <w:rPr>
                                  <w:rFonts w:ascii="Verdana"/>
                                  <w:spacing w:val="-4"/>
                                  <w:sz w:val="24"/>
                                </w:rPr>
                                <w:t> </w:t>
                              </w:r>
                              <w:r>
                                <w:rPr>
                                  <w:rFonts w:ascii="Verdana"/>
                                  <w:sz w:val="24"/>
                                </w:rPr>
                                <w:t>Centre</w:t>
                              </w:r>
                              <w:r>
                                <w:rPr>
                                  <w:rFonts w:ascii="Verdana"/>
                                  <w:spacing w:val="-1"/>
                                  <w:sz w:val="24"/>
                                </w:rPr>
                                <w:t> </w:t>
                              </w:r>
                              <w:r>
                                <w:rPr>
                                  <w:rFonts w:ascii="Verdana"/>
                                  <w:sz w:val="24"/>
                                </w:rPr>
                                <w:t>of</w:t>
                              </w:r>
                              <w:r>
                                <w:rPr>
                                  <w:rFonts w:ascii="Verdana"/>
                                  <w:spacing w:val="-1"/>
                                  <w:sz w:val="24"/>
                                </w:rPr>
                                <w:t> </w:t>
                              </w:r>
                              <w:r>
                                <w:rPr>
                                  <w:rFonts w:ascii="Verdana"/>
                                  <w:sz w:val="24"/>
                                </w:rPr>
                                <w:t>Enterprise,</w:t>
                              </w:r>
                              <w:r>
                                <w:rPr>
                                  <w:rFonts w:ascii="Verdana"/>
                                  <w:spacing w:val="-4"/>
                                  <w:sz w:val="24"/>
                                </w:rPr>
                                <w:t> </w:t>
                              </w:r>
                              <w:r>
                                <w:rPr>
                                  <w:rFonts w:ascii="Verdana"/>
                                  <w:sz w:val="24"/>
                                </w:rPr>
                                <w:t>Dafen,</w:t>
                              </w:r>
                              <w:r>
                                <w:rPr>
                                  <w:rFonts w:ascii="Verdana"/>
                                  <w:spacing w:val="3"/>
                                  <w:sz w:val="24"/>
                                </w:rPr>
                                <w:t> </w:t>
                              </w:r>
                              <w:r>
                                <w:rPr>
                                  <w:rFonts w:ascii="Verdana"/>
                                  <w:spacing w:val="-2"/>
                                  <w:sz w:val="24"/>
                                </w:rPr>
                                <w:t>Llanelli</w:t>
                              </w:r>
                            </w:p>
                          </w:txbxContent>
                        </wps:txbx>
                        <wps:bodyPr wrap="square" lIns="0" tIns="0" rIns="0" bIns="0" rtlCol="0">
                          <a:noAutofit/>
                        </wps:bodyPr>
                      </wps:wsp>
                    </wpg:wgp>
                  </a:graphicData>
                </a:graphic>
              </wp:anchor>
            </w:drawing>
          </mc:Choice>
          <mc:Fallback>
            <w:pict>
              <v:group style="position:absolute;margin-left:230.351257pt;margin-top:14.600781pt;width:273.3pt;height:333.25pt;mso-position-horizontal-relative:page;mso-position-vertical-relative:paragraph;z-index:-26083840" id="docshapegroup510" coordorigin="4607,292" coordsize="5466,6665">
                <v:shape style="position:absolute;left:4607;top:496;width:5466;height:6461" id="docshape511" coordorigin="4607,497" coordsize="5466,6461" path="m8247,5680l8244,5667,8239,5654,8231,5640,8220,5625,8206,5611,8189,5596,8169,5580,8145,5562,8117,5543,7694,5252,6795,4640,6795,4997,6267,5525,5082,3816,5083,3815,6795,4997,6795,4640,5583,3815,4911,3354,4896,3345,4882,3337,4868,3330,4855,3325,4843,3321,4831,3320,4819,3321,4807,3323,4794,3327,4781,3333,4767,3340,4753,3350,4739,3362,4724,3376,4707,3392,4672,3426,4658,3442,4645,3456,4634,3469,4625,3482,4618,3495,4613,3508,4610,3520,4608,3533,4607,3544,4608,3556,4612,3567,4617,3580,4623,3593,4631,3607,4640,3621,4684,3686,6828,6827,6848,6855,6865,6879,6882,6899,6897,6916,6911,6930,6926,6941,6939,6949,6953,6954,6965,6957,6978,6956,6991,6953,7005,6946,7019,6937,7033,6925,7049,6911,7065,6896,7081,6879,7094,6864,7105,6850,7115,6837,7122,6826,7127,6814,7130,6802,7131,6790,7130,6780,7129,6769,7127,6759,7122,6749,7118,6739,7112,6728,7106,6717,7098,6706,6524,5883,6882,5525,7156,5252,7993,5829,8005,5836,8017,5842,8027,5847,8037,5852,8050,5857,8061,5859,8074,5856,8084,5854,8095,5851,8107,5845,8120,5836,8133,5826,8147,5813,8162,5798,8180,5781,8197,5763,8211,5747,8224,5732,8234,5718,8241,5705,8246,5693,8247,5680xm8683,5229l8683,5220,8680,5210,8676,5200,8671,5191,8666,5182,8659,5174,8651,5166,7441,3956,7973,3425,7973,3416,7972,3403,7970,3394,7967,3384,7963,3373,7956,3361,7949,3349,7940,3334,7928,3319,7915,3303,7900,3287,7866,3250,7846,3229,7823,3206,7801,3186,7765,3153,7749,3140,7734,3129,7721,3121,7709,3114,7698,3109,7688,3105,7678,3102,7669,3100,7659,3101,7652,3104,7121,3635,6133,2648,6695,2086,6698,2079,6697,2066,6695,2057,6692,2047,6687,2036,6673,2012,6664,1998,6653,1982,6639,1967,6624,1950,6588,1911,6568,1890,6546,1869,6526,1850,6489,1816,6473,1803,6457,1791,6443,1781,6429,1773,6417,1766,6406,1762,6396,1759,6387,1757,6374,1756,6368,1758,5679,2447,5668,2462,5661,2481,5659,2504,5662,2531,5673,2563,5693,2599,5722,2637,5761,2679,8449,5368,8458,5375,8466,5382,8474,5388,8483,5392,8494,5397,8503,5399,8513,5400,8533,5396,8545,5393,8557,5388,8570,5382,8582,5373,8595,5363,8608,5352,8622,5339,8636,5324,8648,5310,8658,5297,8667,5285,8673,5272,8677,5261,8680,5250,8683,5229xm10072,3839l10070,3828,10065,3815,10060,3806,10054,3796,10046,3788,10038,3779,7520,1261,7953,828,7957,820,7956,807,7954,798,7951,788,7946,777,7940,765,7932,753,7923,739,7911,725,7897,709,7865,673,7846,653,7826,632,7804,611,7784,592,7747,558,7731,545,7716,533,7702,522,7688,514,7676,507,7665,503,7655,500,7646,498,7633,497,7625,500,6558,1568,6554,1576,6558,1597,6561,1607,6566,1618,6572,1630,6581,1643,6591,1657,6603,1672,6633,1707,6650,1727,6669,1747,6690,1768,6711,1789,6731,1808,6750,1824,6767,1839,6783,1852,6798,1864,6812,1874,6836,1888,6846,1893,6856,1896,6877,1900,6885,1896,7318,1463,9836,3981,9845,3989,9854,3996,9863,4003,9872,4008,9885,4013,9896,4015,9909,4011,9920,4009,9932,4006,9944,4001,9956,3995,9968,3987,9981,3977,9995,3965,10009,3952,10023,3937,10035,3923,10045,3910,10054,3898,10059,3885,10064,3874,10067,3863,10069,3852,10072,3839xe" filled="true" fillcolor="#c0c0c0" stroked="false">
                  <v:path arrowok="t"/>
                  <v:fill opacity="32896f" type="solid"/>
                </v:shape>
                <v:shape style="position:absolute;left:4607;top:292;width:5466;height:6665" type="#_x0000_t202" id="docshape512" filled="false" stroked="false">
                  <v:textbox inset="0,0,0,0">
                    <w:txbxContent>
                      <w:p>
                        <w:pPr>
                          <w:spacing w:before="0"/>
                          <w:ind w:left="71" w:right="0" w:firstLine="0"/>
                          <w:jc w:val="left"/>
                          <w:rPr>
                            <w:rFonts w:ascii="Verdana"/>
                            <w:sz w:val="24"/>
                          </w:rPr>
                        </w:pPr>
                        <w:r>
                          <w:rPr>
                            <w:rFonts w:ascii="Verdana"/>
                            <w:sz w:val="24"/>
                          </w:rPr>
                          <w:t>Beacon</w:t>
                        </w:r>
                        <w:r>
                          <w:rPr>
                            <w:rFonts w:ascii="Verdana"/>
                            <w:spacing w:val="-4"/>
                            <w:sz w:val="24"/>
                          </w:rPr>
                          <w:t> </w:t>
                        </w:r>
                        <w:r>
                          <w:rPr>
                            <w:rFonts w:ascii="Verdana"/>
                            <w:sz w:val="24"/>
                          </w:rPr>
                          <w:t>Centre</w:t>
                        </w:r>
                        <w:r>
                          <w:rPr>
                            <w:rFonts w:ascii="Verdana"/>
                            <w:spacing w:val="-1"/>
                            <w:sz w:val="24"/>
                          </w:rPr>
                          <w:t> </w:t>
                        </w:r>
                        <w:r>
                          <w:rPr>
                            <w:rFonts w:ascii="Verdana"/>
                            <w:sz w:val="24"/>
                          </w:rPr>
                          <w:t>of</w:t>
                        </w:r>
                        <w:r>
                          <w:rPr>
                            <w:rFonts w:ascii="Verdana"/>
                            <w:spacing w:val="-1"/>
                            <w:sz w:val="24"/>
                          </w:rPr>
                          <w:t> </w:t>
                        </w:r>
                        <w:r>
                          <w:rPr>
                            <w:rFonts w:ascii="Verdana"/>
                            <w:sz w:val="24"/>
                          </w:rPr>
                          <w:t>Enterprise,</w:t>
                        </w:r>
                        <w:r>
                          <w:rPr>
                            <w:rFonts w:ascii="Verdana"/>
                            <w:spacing w:val="-4"/>
                            <w:sz w:val="24"/>
                          </w:rPr>
                          <w:t> </w:t>
                        </w:r>
                        <w:r>
                          <w:rPr>
                            <w:rFonts w:ascii="Verdana"/>
                            <w:sz w:val="24"/>
                          </w:rPr>
                          <w:t>Dafen,</w:t>
                        </w:r>
                        <w:r>
                          <w:rPr>
                            <w:rFonts w:ascii="Verdana"/>
                            <w:spacing w:val="3"/>
                            <w:sz w:val="24"/>
                          </w:rPr>
                          <w:t> </w:t>
                        </w:r>
                        <w:r>
                          <w:rPr>
                            <w:rFonts w:ascii="Verdana"/>
                            <w:spacing w:val="-2"/>
                            <w:sz w:val="24"/>
                          </w:rPr>
                          <w:t>Llanelli</w:t>
                        </w:r>
                      </w:p>
                    </w:txbxContent>
                  </v:textbox>
                  <w10:wrap type="none"/>
                </v:shape>
                <w10:wrap type="none"/>
              </v:group>
            </w:pict>
          </mc:Fallback>
        </mc:AlternateContent>
      </w:r>
      <w:r>
        <w:rPr>
          <w:rFonts w:ascii="Verdana"/>
        </w:rPr>
        <w:t>Thursday</w:t>
      </w:r>
      <w:r>
        <w:rPr>
          <w:rFonts w:ascii="Verdana"/>
          <w:spacing w:val="-9"/>
        </w:rPr>
        <w:t> </w:t>
      </w:r>
      <w:r>
        <w:rPr>
          <w:rFonts w:ascii="Verdana"/>
        </w:rPr>
        <w:t>16</w:t>
      </w:r>
      <w:r>
        <w:rPr>
          <w:rFonts w:ascii="Verdana"/>
          <w:vertAlign w:val="superscript"/>
        </w:rPr>
        <w:t>th</w:t>
      </w:r>
      <w:r>
        <w:rPr>
          <w:rFonts w:ascii="Verdana"/>
          <w:spacing w:val="-9"/>
          <w:vertAlign w:val="baseline"/>
        </w:rPr>
        <w:t> </w:t>
      </w:r>
      <w:r>
        <w:rPr>
          <w:rFonts w:ascii="Verdana"/>
          <w:vertAlign w:val="baseline"/>
        </w:rPr>
        <w:t>April</w:t>
      </w:r>
      <w:r>
        <w:rPr>
          <w:rFonts w:ascii="Verdana"/>
          <w:spacing w:val="-8"/>
          <w:vertAlign w:val="baseline"/>
        </w:rPr>
        <w:t> </w:t>
      </w:r>
      <w:r>
        <w:rPr>
          <w:rFonts w:ascii="Verdana"/>
          <w:vertAlign w:val="baseline"/>
        </w:rPr>
        <w:t>2026</w:t>
      </w:r>
      <w:r>
        <w:rPr>
          <w:rFonts w:ascii="Verdana"/>
          <w:spacing w:val="-10"/>
          <w:vertAlign w:val="baseline"/>
        </w:rPr>
        <w:t> </w:t>
      </w:r>
      <w:r>
        <w:rPr>
          <w:rFonts w:ascii="Verdana"/>
          <w:vertAlign w:val="baseline"/>
        </w:rPr>
        <w:t>9.30am-12.30pm Conference Room,</w:t>
      </w:r>
    </w:p>
    <w:p>
      <w:pPr>
        <w:pStyle w:val="BodyText"/>
        <w:rPr>
          <w:rFonts w:ascii="Verdana"/>
          <w:sz w:val="20"/>
        </w:rPr>
      </w:pPr>
    </w:p>
    <w:p>
      <w:pPr>
        <w:pStyle w:val="BodyText"/>
        <w:spacing w:before="93"/>
        <w:rPr>
          <w:rFonts w:ascii="Verdana"/>
          <w:sz w:val="20"/>
        </w:rPr>
      </w:pPr>
    </w:p>
    <w:tbl>
      <w:tblPr>
        <w:tblW w:w="0" w:type="auto"/>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990"/>
        <w:gridCol w:w="6823"/>
      </w:tblGrid>
      <w:tr>
        <w:trPr>
          <w:trHeight w:val="290" w:hRule="atLeast"/>
        </w:trPr>
        <w:tc>
          <w:tcPr>
            <w:tcW w:w="10504" w:type="dxa"/>
            <w:gridSpan w:val="3"/>
          </w:tcPr>
          <w:p>
            <w:pPr>
              <w:pStyle w:val="TableParagraph"/>
              <w:spacing w:line="270" w:lineRule="exact"/>
              <w:ind w:left="9"/>
              <w:jc w:val="center"/>
              <w:rPr>
                <w:rFonts w:ascii="Verdana"/>
                <w:b/>
                <w:sz w:val="24"/>
              </w:rPr>
            </w:pPr>
            <w:r>
              <w:rPr>
                <w:rFonts w:ascii="Verdana"/>
                <w:b/>
                <w:sz w:val="24"/>
              </w:rPr>
              <w:t>SWANSEA</w:t>
            </w:r>
            <w:r>
              <w:rPr>
                <w:rFonts w:ascii="Verdana"/>
                <w:b/>
                <w:spacing w:val="-5"/>
                <w:sz w:val="24"/>
              </w:rPr>
              <w:t> </w:t>
            </w:r>
            <w:r>
              <w:rPr>
                <w:rFonts w:ascii="Verdana"/>
                <w:b/>
                <w:sz w:val="24"/>
              </w:rPr>
              <w:t>BAY</w:t>
            </w:r>
            <w:r>
              <w:rPr>
                <w:rFonts w:ascii="Verdana"/>
                <w:b/>
                <w:spacing w:val="-6"/>
                <w:sz w:val="24"/>
              </w:rPr>
              <w:t> </w:t>
            </w:r>
            <w:r>
              <w:rPr>
                <w:rFonts w:ascii="Verdana"/>
                <w:b/>
                <w:sz w:val="24"/>
              </w:rPr>
              <w:t>UNIVERSITY</w:t>
            </w:r>
            <w:r>
              <w:rPr>
                <w:rFonts w:ascii="Verdana"/>
                <w:b/>
                <w:spacing w:val="-6"/>
                <w:sz w:val="24"/>
              </w:rPr>
              <w:t> </w:t>
            </w:r>
            <w:r>
              <w:rPr>
                <w:rFonts w:ascii="Verdana"/>
                <w:b/>
                <w:sz w:val="24"/>
              </w:rPr>
              <w:t>HEALTH </w:t>
            </w:r>
            <w:r>
              <w:rPr>
                <w:rFonts w:ascii="Verdana"/>
                <w:b/>
                <w:spacing w:val="-2"/>
                <w:sz w:val="24"/>
              </w:rPr>
              <w:t>BOARD</w:t>
            </w:r>
          </w:p>
        </w:tc>
      </w:tr>
      <w:tr>
        <w:trPr>
          <w:trHeight w:val="290" w:hRule="atLeast"/>
        </w:trPr>
        <w:tc>
          <w:tcPr>
            <w:tcW w:w="10504" w:type="dxa"/>
            <w:gridSpan w:val="3"/>
          </w:tcPr>
          <w:p>
            <w:pPr>
              <w:pStyle w:val="TableParagraph"/>
              <w:spacing w:line="270" w:lineRule="exact"/>
              <w:ind w:left="110"/>
              <w:rPr>
                <w:rFonts w:ascii="Verdana"/>
                <w:b/>
                <w:sz w:val="24"/>
              </w:rPr>
            </w:pPr>
            <w:r>
              <w:rPr>
                <w:rFonts w:ascii="Verdana"/>
                <w:b/>
                <w:spacing w:val="-2"/>
                <w:sz w:val="24"/>
              </w:rPr>
              <w:t>Present:</w:t>
            </w:r>
          </w:p>
        </w:tc>
      </w:tr>
      <w:tr>
        <w:trPr>
          <w:trHeight w:val="295" w:hRule="atLeast"/>
        </w:trPr>
        <w:tc>
          <w:tcPr>
            <w:tcW w:w="2691" w:type="dxa"/>
          </w:tcPr>
          <w:p>
            <w:pPr>
              <w:pStyle w:val="TableParagraph"/>
              <w:spacing w:line="275" w:lineRule="exact"/>
              <w:ind w:left="110"/>
              <w:rPr>
                <w:rFonts w:ascii="Verdana"/>
                <w:sz w:val="24"/>
              </w:rPr>
            </w:pPr>
            <w:r>
              <w:rPr>
                <w:rFonts w:ascii="Verdana"/>
                <w:sz w:val="24"/>
              </w:rPr>
              <w:t>Jan</w:t>
            </w:r>
            <w:r>
              <w:rPr>
                <w:rFonts w:ascii="Verdana"/>
                <w:spacing w:val="-2"/>
                <w:sz w:val="24"/>
              </w:rPr>
              <w:t> Williams</w:t>
            </w:r>
          </w:p>
        </w:tc>
        <w:tc>
          <w:tcPr>
            <w:tcW w:w="990" w:type="dxa"/>
          </w:tcPr>
          <w:p>
            <w:pPr>
              <w:pStyle w:val="TableParagraph"/>
              <w:spacing w:line="275" w:lineRule="exact"/>
              <w:ind w:left="9" w:right="1"/>
              <w:jc w:val="center"/>
              <w:rPr>
                <w:rFonts w:ascii="Verdana"/>
                <w:sz w:val="24"/>
              </w:rPr>
            </w:pPr>
            <w:r>
              <w:rPr>
                <w:rFonts w:ascii="Verdana"/>
                <w:spacing w:val="-4"/>
                <w:sz w:val="24"/>
              </w:rPr>
              <w:t>(JW)</w:t>
            </w:r>
          </w:p>
        </w:tc>
        <w:tc>
          <w:tcPr>
            <w:tcW w:w="6823" w:type="dxa"/>
          </w:tcPr>
          <w:p>
            <w:pPr>
              <w:pStyle w:val="TableParagraph"/>
              <w:spacing w:line="275" w:lineRule="exact"/>
              <w:ind w:left="110"/>
              <w:rPr>
                <w:rFonts w:ascii="Verdana"/>
                <w:sz w:val="24"/>
              </w:rPr>
            </w:pPr>
            <w:r>
              <w:rPr>
                <w:rFonts w:ascii="Verdana"/>
                <w:sz w:val="24"/>
              </w:rPr>
              <w:t>Chair</w:t>
            </w:r>
            <w:r>
              <w:rPr>
                <w:rFonts w:ascii="Verdana"/>
                <w:spacing w:val="1"/>
                <w:sz w:val="24"/>
              </w:rPr>
              <w:t> </w:t>
            </w:r>
            <w:r>
              <w:rPr>
                <w:rFonts w:ascii="Verdana"/>
                <w:sz w:val="24"/>
              </w:rPr>
              <w:t>(Joint</w:t>
            </w:r>
            <w:r>
              <w:rPr>
                <w:rFonts w:ascii="Verdana"/>
                <w:spacing w:val="-1"/>
                <w:sz w:val="24"/>
              </w:rPr>
              <w:t> </w:t>
            </w:r>
            <w:r>
              <w:rPr>
                <w:rFonts w:ascii="Verdana"/>
                <w:sz w:val="24"/>
              </w:rPr>
              <w:t>Chair of</w:t>
            </w:r>
            <w:r>
              <w:rPr>
                <w:rFonts w:ascii="Verdana"/>
                <w:spacing w:val="-6"/>
                <w:sz w:val="24"/>
              </w:rPr>
              <w:t> </w:t>
            </w:r>
            <w:r>
              <w:rPr>
                <w:rFonts w:ascii="Verdana"/>
                <w:sz w:val="24"/>
              </w:rPr>
              <w:t>the </w:t>
            </w:r>
            <w:r>
              <w:rPr>
                <w:rFonts w:ascii="Verdana"/>
                <w:spacing w:val="-2"/>
                <w:sz w:val="24"/>
              </w:rPr>
              <w:t>meeting)</w:t>
            </w:r>
          </w:p>
        </w:tc>
      </w:tr>
      <w:tr>
        <w:trPr>
          <w:trHeight w:val="290" w:hRule="atLeast"/>
        </w:trPr>
        <w:tc>
          <w:tcPr>
            <w:tcW w:w="2691" w:type="dxa"/>
          </w:tcPr>
          <w:p>
            <w:pPr>
              <w:pStyle w:val="TableParagraph"/>
              <w:spacing w:line="270" w:lineRule="exact"/>
              <w:ind w:left="110"/>
              <w:rPr>
                <w:rFonts w:ascii="Verdana"/>
                <w:sz w:val="24"/>
              </w:rPr>
            </w:pPr>
            <w:r>
              <w:rPr>
                <w:rFonts w:ascii="Verdana"/>
                <w:sz w:val="24"/>
              </w:rPr>
              <w:t>Jean</w:t>
            </w:r>
            <w:r>
              <w:rPr>
                <w:rFonts w:ascii="Verdana"/>
                <w:spacing w:val="-1"/>
                <w:sz w:val="24"/>
              </w:rPr>
              <w:t> </w:t>
            </w:r>
            <w:r>
              <w:rPr>
                <w:rFonts w:ascii="Verdana"/>
                <w:spacing w:val="-2"/>
                <w:sz w:val="24"/>
              </w:rPr>
              <w:t>Church</w:t>
            </w:r>
          </w:p>
        </w:tc>
        <w:tc>
          <w:tcPr>
            <w:tcW w:w="990" w:type="dxa"/>
          </w:tcPr>
          <w:p>
            <w:pPr>
              <w:pStyle w:val="TableParagraph"/>
              <w:spacing w:line="270" w:lineRule="exact"/>
              <w:ind w:left="9" w:right="1"/>
              <w:jc w:val="center"/>
              <w:rPr>
                <w:rFonts w:ascii="Verdana"/>
                <w:sz w:val="24"/>
              </w:rPr>
            </w:pPr>
            <w:r>
              <w:rPr>
                <w:rFonts w:ascii="Verdana"/>
                <w:spacing w:val="-4"/>
                <w:sz w:val="24"/>
              </w:rPr>
              <w:t>(JC)</w:t>
            </w:r>
          </w:p>
        </w:tc>
        <w:tc>
          <w:tcPr>
            <w:tcW w:w="6823" w:type="dxa"/>
          </w:tcPr>
          <w:p>
            <w:pPr>
              <w:pStyle w:val="TableParagraph"/>
              <w:spacing w:line="270" w:lineRule="exact"/>
              <w:ind w:left="110"/>
              <w:rPr>
                <w:rFonts w:ascii="Verdana"/>
                <w:sz w:val="24"/>
              </w:rPr>
            </w:pPr>
            <w:r>
              <w:rPr>
                <w:rFonts w:ascii="Verdana"/>
                <w:sz w:val="24"/>
              </w:rPr>
              <w:t>Independent</w:t>
            </w:r>
            <w:r>
              <w:rPr>
                <w:rFonts w:ascii="Verdana"/>
                <w:spacing w:val="-1"/>
                <w:sz w:val="24"/>
              </w:rPr>
              <w:t> </w:t>
            </w:r>
            <w:r>
              <w:rPr>
                <w:rFonts w:ascii="Verdana"/>
                <w:spacing w:val="-2"/>
                <w:sz w:val="24"/>
              </w:rPr>
              <w:t>Member</w:t>
            </w:r>
          </w:p>
        </w:tc>
      </w:tr>
      <w:tr>
        <w:trPr>
          <w:trHeight w:val="310" w:hRule="atLeast"/>
        </w:trPr>
        <w:tc>
          <w:tcPr>
            <w:tcW w:w="10504" w:type="dxa"/>
            <w:gridSpan w:val="3"/>
          </w:tcPr>
          <w:p>
            <w:pPr>
              <w:pStyle w:val="TableParagraph"/>
              <w:spacing w:line="290" w:lineRule="exact"/>
              <w:ind w:left="110"/>
              <w:rPr>
                <w:rFonts w:ascii="Verdana"/>
                <w:b/>
                <w:sz w:val="24"/>
              </w:rPr>
            </w:pPr>
            <w:r>
              <w:rPr>
                <w:rFonts w:ascii="Verdana"/>
                <w:b/>
                <w:sz w:val="24"/>
              </w:rPr>
              <w:t>In</w:t>
            </w:r>
            <w:r>
              <w:rPr>
                <w:rFonts w:ascii="Verdana"/>
                <w:b/>
                <w:spacing w:val="-5"/>
                <w:sz w:val="24"/>
              </w:rPr>
              <w:t> </w:t>
            </w:r>
            <w:r>
              <w:rPr>
                <w:rFonts w:ascii="Verdana"/>
                <w:b/>
                <w:spacing w:val="-2"/>
                <w:sz w:val="24"/>
              </w:rPr>
              <w:t>Attendance:</w:t>
            </w:r>
          </w:p>
        </w:tc>
      </w:tr>
      <w:tr>
        <w:trPr>
          <w:trHeight w:val="305" w:hRule="atLeast"/>
        </w:trPr>
        <w:tc>
          <w:tcPr>
            <w:tcW w:w="2691" w:type="dxa"/>
          </w:tcPr>
          <w:p>
            <w:pPr>
              <w:pStyle w:val="TableParagraph"/>
              <w:spacing w:line="285" w:lineRule="exact"/>
              <w:ind w:left="110"/>
              <w:rPr>
                <w:rFonts w:ascii="Verdana"/>
                <w:sz w:val="24"/>
              </w:rPr>
            </w:pPr>
            <w:r>
              <w:rPr>
                <w:rFonts w:ascii="Verdana"/>
                <w:sz w:val="24"/>
              </w:rPr>
              <w:t>Abigail</w:t>
            </w:r>
            <w:r>
              <w:rPr>
                <w:rFonts w:ascii="Verdana"/>
                <w:spacing w:val="-3"/>
                <w:sz w:val="24"/>
              </w:rPr>
              <w:t> </w:t>
            </w:r>
            <w:r>
              <w:rPr>
                <w:rFonts w:ascii="Verdana"/>
                <w:spacing w:val="-2"/>
                <w:sz w:val="24"/>
              </w:rPr>
              <w:t>Harris</w:t>
            </w:r>
          </w:p>
        </w:tc>
        <w:tc>
          <w:tcPr>
            <w:tcW w:w="990" w:type="dxa"/>
          </w:tcPr>
          <w:p>
            <w:pPr>
              <w:pStyle w:val="TableParagraph"/>
              <w:spacing w:line="285" w:lineRule="exact"/>
              <w:ind w:left="8" w:right="5"/>
              <w:jc w:val="center"/>
              <w:rPr>
                <w:rFonts w:ascii="Verdana"/>
                <w:sz w:val="24"/>
              </w:rPr>
            </w:pPr>
            <w:r>
              <w:rPr>
                <w:rFonts w:ascii="Verdana"/>
                <w:spacing w:val="-4"/>
                <w:sz w:val="24"/>
              </w:rPr>
              <w:t>(AH)</w:t>
            </w:r>
          </w:p>
        </w:tc>
        <w:tc>
          <w:tcPr>
            <w:tcW w:w="6823" w:type="dxa"/>
          </w:tcPr>
          <w:p>
            <w:pPr>
              <w:pStyle w:val="TableParagraph"/>
              <w:spacing w:line="285" w:lineRule="exact"/>
              <w:ind w:left="110"/>
              <w:rPr>
                <w:rFonts w:ascii="Verdana"/>
                <w:sz w:val="24"/>
              </w:rPr>
            </w:pPr>
            <w:r>
              <w:rPr>
                <w:rFonts w:ascii="Verdana"/>
                <w:sz w:val="24"/>
              </w:rPr>
              <w:t>Chief</w:t>
            </w:r>
            <w:r>
              <w:rPr>
                <w:rFonts w:ascii="Verdana"/>
                <w:spacing w:val="1"/>
                <w:sz w:val="24"/>
              </w:rPr>
              <w:t> </w:t>
            </w:r>
            <w:r>
              <w:rPr>
                <w:rFonts w:ascii="Verdana"/>
                <w:spacing w:val="-2"/>
                <w:sz w:val="24"/>
              </w:rPr>
              <w:t>Executive</w:t>
            </w:r>
          </w:p>
        </w:tc>
      </w:tr>
      <w:tr>
        <w:trPr>
          <w:trHeight w:val="305" w:hRule="atLeast"/>
        </w:trPr>
        <w:tc>
          <w:tcPr>
            <w:tcW w:w="2691" w:type="dxa"/>
          </w:tcPr>
          <w:p>
            <w:pPr>
              <w:pStyle w:val="TableParagraph"/>
              <w:spacing w:line="285" w:lineRule="exact"/>
              <w:ind w:left="110"/>
              <w:rPr>
                <w:rFonts w:ascii="Verdana"/>
                <w:sz w:val="24"/>
              </w:rPr>
            </w:pPr>
            <w:r>
              <w:rPr>
                <w:rFonts w:ascii="Verdana"/>
                <w:sz w:val="24"/>
              </w:rPr>
              <w:t>Marie </w:t>
            </w:r>
            <w:r>
              <w:rPr>
                <w:rFonts w:ascii="Verdana"/>
                <w:spacing w:val="-2"/>
                <w:sz w:val="24"/>
              </w:rPr>
              <w:t>Davies</w:t>
            </w:r>
          </w:p>
        </w:tc>
        <w:tc>
          <w:tcPr>
            <w:tcW w:w="990" w:type="dxa"/>
          </w:tcPr>
          <w:p>
            <w:pPr>
              <w:pStyle w:val="TableParagraph"/>
              <w:spacing w:line="285" w:lineRule="exact"/>
              <w:ind w:left="8" w:right="5"/>
              <w:jc w:val="center"/>
              <w:rPr>
                <w:rFonts w:ascii="Verdana"/>
                <w:sz w:val="24"/>
              </w:rPr>
            </w:pPr>
            <w:r>
              <w:rPr>
                <w:rFonts w:ascii="Verdana"/>
                <w:spacing w:val="-4"/>
                <w:sz w:val="24"/>
              </w:rPr>
              <w:t>(MD)</w:t>
            </w:r>
          </w:p>
        </w:tc>
        <w:tc>
          <w:tcPr>
            <w:tcW w:w="6823" w:type="dxa"/>
          </w:tcPr>
          <w:p>
            <w:pPr>
              <w:pStyle w:val="TableParagraph"/>
              <w:spacing w:line="285" w:lineRule="exact"/>
              <w:ind w:left="110"/>
              <w:rPr>
                <w:rFonts w:ascii="Verdana"/>
                <w:sz w:val="24"/>
              </w:rPr>
            </w:pPr>
            <w:r>
              <w:rPr>
                <w:rFonts w:ascii="Verdana"/>
                <w:sz w:val="24"/>
              </w:rPr>
              <w:t>Executive</w:t>
            </w:r>
            <w:r>
              <w:rPr>
                <w:rFonts w:ascii="Verdana"/>
                <w:spacing w:val="-2"/>
                <w:sz w:val="24"/>
              </w:rPr>
              <w:t> </w:t>
            </w:r>
            <w:r>
              <w:rPr>
                <w:rFonts w:ascii="Verdana"/>
                <w:sz w:val="24"/>
              </w:rPr>
              <w:t>Director</w:t>
            </w:r>
            <w:r>
              <w:rPr>
                <w:rFonts w:ascii="Verdana"/>
                <w:spacing w:val="-1"/>
                <w:sz w:val="24"/>
              </w:rPr>
              <w:t> </w:t>
            </w:r>
            <w:r>
              <w:rPr>
                <w:rFonts w:ascii="Verdana"/>
                <w:sz w:val="24"/>
              </w:rPr>
              <w:t>of</w:t>
            </w:r>
            <w:r>
              <w:rPr>
                <w:rFonts w:ascii="Verdana"/>
                <w:spacing w:val="-3"/>
                <w:sz w:val="24"/>
              </w:rPr>
              <w:t> </w:t>
            </w:r>
            <w:r>
              <w:rPr>
                <w:rFonts w:ascii="Verdana"/>
                <w:sz w:val="24"/>
              </w:rPr>
              <w:t>Planning</w:t>
            </w:r>
            <w:r>
              <w:rPr>
                <w:rFonts w:ascii="Verdana"/>
                <w:spacing w:val="-3"/>
                <w:sz w:val="24"/>
              </w:rPr>
              <w:t> </w:t>
            </w:r>
            <w:r>
              <w:rPr>
                <w:rFonts w:ascii="Verdana"/>
                <w:sz w:val="24"/>
              </w:rPr>
              <w:t>and</w:t>
            </w:r>
            <w:r>
              <w:rPr>
                <w:rFonts w:ascii="Verdana"/>
                <w:spacing w:val="-2"/>
                <w:sz w:val="24"/>
              </w:rPr>
              <w:t> Partnerships</w:t>
            </w:r>
          </w:p>
        </w:tc>
      </w:tr>
      <w:tr>
        <w:trPr>
          <w:trHeight w:val="300" w:hRule="atLeast"/>
        </w:trPr>
        <w:tc>
          <w:tcPr>
            <w:tcW w:w="2691" w:type="dxa"/>
          </w:tcPr>
          <w:p>
            <w:pPr>
              <w:pStyle w:val="TableParagraph"/>
              <w:spacing w:line="280" w:lineRule="exact"/>
              <w:ind w:left="110"/>
              <w:rPr>
                <w:rFonts w:ascii="Verdana"/>
                <w:sz w:val="24"/>
              </w:rPr>
            </w:pPr>
            <w:r>
              <w:rPr>
                <w:rFonts w:ascii="Verdana"/>
                <w:sz w:val="24"/>
              </w:rPr>
              <w:t>Deb</w:t>
            </w:r>
            <w:r>
              <w:rPr>
                <w:rFonts w:ascii="Verdana"/>
                <w:spacing w:val="1"/>
                <w:sz w:val="24"/>
              </w:rPr>
              <w:t> </w:t>
            </w:r>
            <w:r>
              <w:rPr>
                <w:rFonts w:ascii="Verdana"/>
                <w:spacing w:val="-2"/>
                <w:sz w:val="24"/>
              </w:rPr>
              <w:t>Lewis</w:t>
            </w:r>
          </w:p>
        </w:tc>
        <w:tc>
          <w:tcPr>
            <w:tcW w:w="990" w:type="dxa"/>
          </w:tcPr>
          <w:p>
            <w:pPr>
              <w:pStyle w:val="TableParagraph"/>
              <w:spacing w:line="280" w:lineRule="exact"/>
              <w:ind w:left="9" w:right="1"/>
              <w:jc w:val="center"/>
              <w:rPr>
                <w:rFonts w:ascii="Verdana"/>
                <w:sz w:val="24"/>
              </w:rPr>
            </w:pPr>
            <w:r>
              <w:rPr>
                <w:rFonts w:ascii="Verdana"/>
                <w:spacing w:val="-4"/>
                <w:sz w:val="24"/>
              </w:rPr>
              <w:t>(DL)</w:t>
            </w:r>
          </w:p>
        </w:tc>
        <w:tc>
          <w:tcPr>
            <w:tcW w:w="6823" w:type="dxa"/>
          </w:tcPr>
          <w:p>
            <w:pPr>
              <w:pStyle w:val="TableParagraph"/>
              <w:spacing w:line="280" w:lineRule="exact"/>
              <w:ind w:left="110"/>
              <w:rPr>
                <w:rFonts w:ascii="Verdana"/>
                <w:sz w:val="24"/>
              </w:rPr>
            </w:pPr>
            <w:r>
              <w:rPr>
                <w:rFonts w:ascii="Verdana"/>
                <w:sz w:val="24"/>
              </w:rPr>
              <w:t>Chief</w:t>
            </w:r>
            <w:r>
              <w:rPr>
                <w:rFonts w:ascii="Verdana"/>
                <w:spacing w:val="-1"/>
                <w:sz w:val="24"/>
              </w:rPr>
              <w:t> </w:t>
            </w:r>
            <w:r>
              <w:rPr>
                <w:rFonts w:ascii="Verdana"/>
                <w:sz w:val="24"/>
              </w:rPr>
              <w:t>Operating</w:t>
            </w:r>
            <w:r>
              <w:rPr>
                <w:rFonts w:ascii="Verdana"/>
                <w:spacing w:val="-1"/>
                <w:sz w:val="24"/>
              </w:rPr>
              <w:t> </w:t>
            </w:r>
            <w:r>
              <w:rPr>
                <w:rFonts w:ascii="Verdana"/>
                <w:spacing w:val="-2"/>
                <w:sz w:val="24"/>
              </w:rPr>
              <w:t>Officer</w:t>
            </w:r>
          </w:p>
        </w:tc>
      </w:tr>
      <w:tr>
        <w:trPr>
          <w:trHeight w:val="305" w:hRule="atLeast"/>
        </w:trPr>
        <w:tc>
          <w:tcPr>
            <w:tcW w:w="2691" w:type="dxa"/>
          </w:tcPr>
          <w:p>
            <w:pPr>
              <w:pStyle w:val="TableParagraph"/>
              <w:spacing w:line="285" w:lineRule="exact"/>
              <w:ind w:left="110"/>
              <w:rPr>
                <w:rFonts w:ascii="Verdana"/>
                <w:sz w:val="24"/>
              </w:rPr>
            </w:pPr>
            <w:r>
              <w:rPr>
                <w:rFonts w:ascii="Verdana"/>
                <w:sz w:val="24"/>
              </w:rPr>
              <w:t>Matt</w:t>
            </w:r>
            <w:r>
              <w:rPr>
                <w:rFonts w:ascii="Verdana"/>
                <w:spacing w:val="-6"/>
                <w:sz w:val="24"/>
              </w:rPr>
              <w:t> </w:t>
            </w:r>
            <w:r>
              <w:rPr>
                <w:rFonts w:ascii="Verdana"/>
                <w:spacing w:val="-4"/>
                <w:sz w:val="24"/>
              </w:rPr>
              <w:t>John</w:t>
            </w:r>
          </w:p>
        </w:tc>
        <w:tc>
          <w:tcPr>
            <w:tcW w:w="990" w:type="dxa"/>
          </w:tcPr>
          <w:p>
            <w:pPr>
              <w:pStyle w:val="TableParagraph"/>
              <w:spacing w:line="285" w:lineRule="exact"/>
              <w:ind w:left="8" w:right="9"/>
              <w:jc w:val="center"/>
              <w:rPr>
                <w:rFonts w:ascii="Verdana"/>
                <w:sz w:val="24"/>
              </w:rPr>
            </w:pPr>
            <w:r>
              <w:rPr>
                <w:rFonts w:ascii="Verdana"/>
                <w:spacing w:val="-4"/>
                <w:sz w:val="24"/>
              </w:rPr>
              <w:t>(MJ)</w:t>
            </w:r>
          </w:p>
        </w:tc>
        <w:tc>
          <w:tcPr>
            <w:tcW w:w="6823" w:type="dxa"/>
          </w:tcPr>
          <w:p>
            <w:pPr>
              <w:pStyle w:val="TableParagraph"/>
              <w:spacing w:line="285" w:lineRule="exact"/>
              <w:ind w:left="110"/>
              <w:rPr>
                <w:rFonts w:ascii="Verdana"/>
                <w:sz w:val="24"/>
              </w:rPr>
            </w:pPr>
            <w:r>
              <w:rPr>
                <w:rFonts w:ascii="Verdana"/>
                <w:sz w:val="24"/>
              </w:rPr>
              <w:t>Director</w:t>
            </w:r>
            <w:r>
              <w:rPr>
                <w:rFonts w:ascii="Verdana"/>
                <w:spacing w:val="3"/>
                <w:sz w:val="24"/>
              </w:rPr>
              <w:t> </w:t>
            </w:r>
            <w:r>
              <w:rPr>
                <w:rFonts w:ascii="Verdana"/>
                <w:sz w:val="24"/>
              </w:rPr>
              <w:t>of</w:t>
            </w:r>
            <w:r>
              <w:rPr>
                <w:rFonts w:ascii="Verdana"/>
                <w:spacing w:val="1"/>
                <w:sz w:val="24"/>
              </w:rPr>
              <w:t> </w:t>
            </w:r>
            <w:r>
              <w:rPr>
                <w:rFonts w:ascii="Verdana"/>
                <w:spacing w:val="-2"/>
                <w:sz w:val="24"/>
              </w:rPr>
              <w:t>Digital</w:t>
            </w:r>
          </w:p>
        </w:tc>
      </w:tr>
      <w:tr>
        <w:trPr>
          <w:trHeight w:val="585" w:hRule="atLeast"/>
        </w:trPr>
        <w:tc>
          <w:tcPr>
            <w:tcW w:w="2691" w:type="dxa"/>
          </w:tcPr>
          <w:p>
            <w:pPr>
              <w:pStyle w:val="TableParagraph"/>
              <w:spacing w:line="296" w:lineRule="exact"/>
              <w:ind w:left="110"/>
              <w:rPr>
                <w:rFonts w:ascii="Verdana"/>
                <w:sz w:val="24"/>
              </w:rPr>
            </w:pPr>
            <w:r>
              <w:rPr>
                <w:rFonts w:ascii="Verdana"/>
                <w:sz w:val="24"/>
              </w:rPr>
              <w:t>Claire</w:t>
            </w:r>
            <w:r>
              <w:rPr>
                <w:rFonts w:ascii="Verdana"/>
                <w:spacing w:val="-22"/>
                <w:sz w:val="24"/>
              </w:rPr>
              <w:t> </w:t>
            </w:r>
            <w:r>
              <w:rPr>
                <w:rFonts w:ascii="Verdana"/>
                <w:sz w:val="24"/>
              </w:rPr>
              <w:t>Osmundsen-</w:t>
            </w:r>
            <w:r>
              <w:rPr>
                <w:rFonts w:ascii="Verdana"/>
                <w:spacing w:val="-2"/>
                <w:sz w:val="24"/>
              </w:rPr>
              <w:t>Little</w:t>
            </w:r>
          </w:p>
        </w:tc>
        <w:tc>
          <w:tcPr>
            <w:tcW w:w="990" w:type="dxa"/>
          </w:tcPr>
          <w:p>
            <w:pPr>
              <w:pStyle w:val="TableParagraph"/>
              <w:spacing w:line="290" w:lineRule="exact"/>
              <w:ind w:left="8" w:right="5"/>
              <w:jc w:val="center"/>
              <w:rPr>
                <w:rFonts w:ascii="Verdana"/>
                <w:sz w:val="24"/>
              </w:rPr>
            </w:pPr>
            <w:r>
              <w:rPr>
                <w:rFonts w:ascii="Verdana"/>
                <w:spacing w:val="-2"/>
                <w:sz w:val="24"/>
              </w:rPr>
              <w:t>(COL)</w:t>
            </w:r>
          </w:p>
        </w:tc>
        <w:tc>
          <w:tcPr>
            <w:tcW w:w="6823" w:type="dxa"/>
          </w:tcPr>
          <w:p>
            <w:pPr>
              <w:pStyle w:val="TableParagraph"/>
              <w:spacing w:line="290" w:lineRule="exact"/>
              <w:ind w:left="110"/>
              <w:rPr>
                <w:rFonts w:ascii="Verdana"/>
                <w:sz w:val="24"/>
              </w:rPr>
            </w:pPr>
            <w:r>
              <w:rPr>
                <w:rFonts w:ascii="Verdana"/>
                <w:sz w:val="24"/>
              </w:rPr>
              <w:t>Interim Finance </w:t>
            </w:r>
            <w:r>
              <w:rPr>
                <w:rFonts w:ascii="Verdana"/>
                <w:spacing w:val="-2"/>
                <w:sz w:val="24"/>
              </w:rPr>
              <w:t>Director</w:t>
            </w:r>
          </w:p>
        </w:tc>
      </w:tr>
      <w:tr>
        <w:trPr>
          <w:trHeight w:val="298" w:hRule="atLeast"/>
        </w:trPr>
        <w:tc>
          <w:tcPr>
            <w:tcW w:w="2691" w:type="dxa"/>
          </w:tcPr>
          <w:p>
            <w:pPr>
              <w:pStyle w:val="TableParagraph"/>
              <w:spacing w:line="278" w:lineRule="exact"/>
              <w:ind w:left="110"/>
              <w:rPr>
                <w:rFonts w:ascii="Verdana"/>
                <w:sz w:val="24"/>
              </w:rPr>
            </w:pPr>
            <w:r>
              <w:rPr>
                <w:rFonts w:ascii="Verdana"/>
                <w:sz w:val="24"/>
              </w:rPr>
              <w:t>Hugo</w:t>
            </w:r>
            <w:r>
              <w:rPr>
                <w:rFonts w:ascii="Verdana"/>
                <w:spacing w:val="-2"/>
                <w:sz w:val="24"/>
              </w:rPr>
              <w:t> </w:t>
            </w:r>
            <w:r>
              <w:rPr>
                <w:rFonts w:ascii="Verdana"/>
                <w:sz w:val="24"/>
              </w:rPr>
              <w:t>Van</w:t>
            </w:r>
            <w:r>
              <w:rPr>
                <w:rFonts w:ascii="Verdana"/>
                <w:spacing w:val="-2"/>
                <w:sz w:val="24"/>
              </w:rPr>
              <w:t> Woerden</w:t>
            </w:r>
          </w:p>
        </w:tc>
        <w:tc>
          <w:tcPr>
            <w:tcW w:w="990" w:type="dxa"/>
          </w:tcPr>
          <w:p>
            <w:pPr>
              <w:pStyle w:val="TableParagraph"/>
              <w:spacing w:line="278" w:lineRule="exact"/>
              <w:ind w:left="8" w:right="8"/>
              <w:jc w:val="center"/>
              <w:rPr>
                <w:rFonts w:ascii="Verdana"/>
                <w:sz w:val="24"/>
              </w:rPr>
            </w:pPr>
            <w:r>
              <w:rPr>
                <w:rFonts w:ascii="Verdana"/>
                <w:spacing w:val="-4"/>
                <w:sz w:val="24"/>
              </w:rPr>
              <w:t>(GR)</w:t>
            </w:r>
          </w:p>
        </w:tc>
        <w:tc>
          <w:tcPr>
            <w:tcW w:w="6823" w:type="dxa"/>
          </w:tcPr>
          <w:p>
            <w:pPr>
              <w:pStyle w:val="TableParagraph"/>
              <w:spacing w:line="278" w:lineRule="exact"/>
              <w:ind w:left="110"/>
              <w:rPr>
                <w:rFonts w:ascii="Verdana"/>
                <w:sz w:val="24"/>
              </w:rPr>
            </w:pPr>
            <w:r>
              <w:rPr>
                <w:rFonts w:ascii="Verdana"/>
                <w:sz w:val="24"/>
              </w:rPr>
              <w:t>Interim</w:t>
            </w:r>
            <w:r>
              <w:rPr>
                <w:rFonts w:ascii="Verdana"/>
                <w:spacing w:val="-1"/>
                <w:sz w:val="24"/>
              </w:rPr>
              <w:t> </w:t>
            </w:r>
            <w:r>
              <w:rPr>
                <w:rFonts w:ascii="Verdana"/>
                <w:sz w:val="24"/>
              </w:rPr>
              <w:t>Executive Director</w:t>
            </w:r>
            <w:r>
              <w:rPr>
                <w:rFonts w:ascii="Verdana"/>
                <w:spacing w:val="1"/>
                <w:sz w:val="24"/>
              </w:rPr>
              <w:t> </w:t>
            </w:r>
            <w:r>
              <w:rPr>
                <w:rFonts w:ascii="Verdana"/>
                <w:sz w:val="24"/>
              </w:rPr>
              <w:t>of</w:t>
            </w:r>
            <w:r>
              <w:rPr>
                <w:rFonts w:ascii="Verdana"/>
                <w:spacing w:val="-5"/>
                <w:sz w:val="24"/>
              </w:rPr>
              <w:t> </w:t>
            </w:r>
            <w:r>
              <w:rPr>
                <w:rFonts w:ascii="Verdana"/>
                <w:sz w:val="24"/>
              </w:rPr>
              <w:t>Public</w:t>
            </w:r>
            <w:r>
              <w:rPr>
                <w:rFonts w:ascii="Verdana"/>
                <w:spacing w:val="-1"/>
                <w:sz w:val="24"/>
              </w:rPr>
              <w:t> </w:t>
            </w:r>
            <w:r>
              <w:rPr>
                <w:rFonts w:ascii="Verdana"/>
                <w:spacing w:val="-2"/>
                <w:sz w:val="24"/>
              </w:rPr>
              <w:t>Health</w:t>
            </w:r>
          </w:p>
        </w:tc>
      </w:tr>
      <w:tr>
        <w:trPr>
          <w:trHeight w:val="300" w:hRule="atLeast"/>
        </w:trPr>
        <w:tc>
          <w:tcPr>
            <w:tcW w:w="2691" w:type="dxa"/>
          </w:tcPr>
          <w:p>
            <w:pPr>
              <w:pStyle w:val="TableParagraph"/>
              <w:spacing w:line="280" w:lineRule="exact"/>
              <w:ind w:left="110"/>
              <w:rPr>
                <w:rFonts w:ascii="Verdana"/>
                <w:sz w:val="24"/>
              </w:rPr>
            </w:pPr>
            <w:r>
              <w:rPr>
                <w:rFonts w:ascii="Verdana"/>
                <w:sz w:val="24"/>
              </w:rPr>
              <w:t>Kimberley</w:t>
            </w:r>
            <w:r>
              <w:rPr>
                <w:rFonts w:ascii="Verdana"/>
                <w:spacing w:val="2"/>
                <w:sz w:val="24"/>
              </w:rPr>
              <w:t> </w:t>
            </w:r>
            <w:r>
              <w:rPr>
                <w:rFonts w:ascii="Verdana"/>
                <w:spacing w:val="-4"/>
                <w:sz w:val="24"/>
              </w:rPr>
              <w:t>Cann</w:t>
            </w:r>
          </w:p>
        </w:tc>
        <w:tc>
          <w:tcPr>
            <w:tcW w:w="990" w:type="dxa"/>
          </w:tcPr>
          <w:p>
            <w:pPr>
              <w:pStyle w:val="TableParagraph"/>
              <w:spacing w:line="280" w:lineRule="exact"/>
              <w:ind w:left="8" w:right="5"/>
              <w:jc w:val="center"/>
              <w:rPr>
                <w:rFonts w:ascii="Verdana"/>
                <w:sz w:val="24"/>
              </w:rPr>
            </w:pPr>
            <w:r>
              <w:rPr>
                <w:rFonts w:ascii="Verdana"/>
                <w:spacing w:val="-4"/>
                <w:sz w:val="24"/>
              </w:rPr>
              <w:t>(KC)</w:t>
            </w:r>
          </w:p>
        </w:tc>
        <w:tc>
          <w:tcPr>
            <w:tcW w:w="6823" w:type="dxa"/>
          </w:tcPr>
          <w:p>
            <w:pPr>
              <w:pStyle w:val="TableParagraph"/>
              <w:spacing w:line="280" w:lineRule="exact"/>
              <w:ind w:left="110"/>
              <w:rPr>
                <w:rFonts w:ascii="Verdana"/>
                <w:sz w:val="24"/>
              </w:rPr>
            </w:pPr>
            <w:r>
              <w:rPr>
                <w:rFonts w:ascii="Verdana"/>
                <w:sz w:val="24"/>
              </w:rPr>
              <w:t>Consultant</w:t>
            </w:r>
            <w:r>
              <w:rPr>
                <w:rFonts w:ascii="Verdana"/>
                <w:spacing w:val="-3"/>
                <w:sz w:val="24"/>
              </w:rPr>
              <w:t> </w:t>
            </w:r>
            <w:r>
              <w:rPr>
                <w:rFonts w:ascii="Verdana"/>
                <w:sz w:val="24"/>
              </w:rPr>
              <w:t>in</w:t>
            </w:r>
            <w:r>
              <w:rPr>
                <w:rFonts w:ascii="Verdana"/>
                <w:spacing w:val="-5"/>
                <w:sz w:val="24"/>
              </w:rPr>
              <w:t> </w:t>
            </w:r>
            <w:r>
              <w:rPr>
                <w:rFonts w:ascii="Verdana"/>
                <w:sz w:val="24"/>
              </w:rPr>
              <w:t>Public</w:t>
            </w:r>
            <w:r>
              <w:rPr>
                <w:rFonts w:ascii="Verdana"/>
                <w:spacing w:val="-2"/>
                <w:sz w:val="24"/>
              </w:rPr>
              <w:t> Health</w:t>
            </w:r>
          </w:p>
        </w:tc>
      </w:tr>
      <w:tr>
        <w:trPr>
          <w:trHeight w:val="302" w:hRule="atLeast"/>
        </w:trPr>
        <w:tc>
          <w:tcPr>
            <w:tcW w:w="10504" w:type="dxa"/>
            <w:gridSpan w:val="3"/>
            <w:tcBorders>
              <w:bottom w:val="single" w:sz="6" w:space="0" w:color="000000"/>
            </w:tcBorders>
          </w:tcPr>
          <w:p>
            <w:pPr>
              <w:pStyle w:val="TableParagraph"/>
              <w:spacing w:line="283" w:lineRule="exact"/>
              <w:ind w:left="110"/>
              <w:rPr>
                <w:rFonts w:ascii="Verdana"/>
                <w:b/>
                <w:sz w:val="24"/>
              </w:rPr>
            </w:pPr>
            <w:r>
              <w:rPr>
                <w:rFonts w:ascii="Verdana"/>
                <w:b/>
                <w:spacing w:val="-2"/>
                <w:sz w:val="24"/>
              </w:rPr>
              <w:t>Apologies:</w:t>
            </w:r>
          </w:p>
        </w:tc>
      </w:tr>
      <w:tr>
        <w:trPr>
          <w:trHeight w:val="302" w:hRule="atLeast"/>
        </w:trPr>
        <w:tc>
          <w:tcPr>
            <w:tcW w:w="2691" w:type="dxa"/>
            <w:tcBorders>
              <w:top w:val="single" w:sz="6" w:space="0" w:color="000000"/>
            </w:tcBorders>
          </w:tcPr>
          <w:p>
            <w:pPr>
              <w:pStyle w:val="TableParagraph"/>
              <w:spacing w:line="283" w:lineRule="exact"/>
              <w:ind w:left="110"/>
              <w:rPr>
                <w:rFonts w:ascii="Verdana"/>
                <w:sz w:val="24"/>
              </w:rPr>
            </w:pPr>
            <w:r>
              <w:rPr>
                <w:rFonts w:ascii="Verdana"/>
                <w:sz w:val="24"/>
              </w:rPr>
              <w:t>Andrew</w:t>
            </w:r>
            <w:r>
              <w:rPr>
                <w:rFonts w:ascii="Verdana"/>
                <w:spacing w:val="-1"/>
                <w:sz w:val="24"/>
              </w:rPr>
              <w:t> </w:t>
            </w:r>
            <w:r>
              <w:rPr>
                <w:rFonts w:ascii="Verdana"/>
                <w:spacing w:val="-2"/>
                <w:sz w:val="24"/>
              </w:rPr>
              <w:t>Griffiths</w:t>
            </w:r>
          </w:p>
        </w:tc>
        <w:tc>
          <w:tcPr>
            <w:tcW w:w="990" w:type="dxa"/>
            <w:tcBorders>
              <w:top w:val="single" w:sz="6" w:space="0" w:color="000000"/>
            </w:tcBorders>
          </w:tcPr>
          <w:p>
            <w:pPr>
              <w:pStyle w:val="TableParagraph"/>
              <w:spacing w:line="283" w:lineRule="exact"/>
              <w:ind w:left="8" w:right="9"/>
              <w:jc w:val="center"/>
              <w:rPr>
                <w:rFonts w:ascii="Verdana"/>
                <w:sz w:val="24"/>
              </w:rPr>
            </w:pPr>
            <w:r>
              <w:rPr>
                <w:rFonts w:ascii="Verdana"/>
                <w:spacing w:val="-4"/>
                <w:sz w:val="24"/>
              </w:rPr>
              <w:t>(AG)</w:t>
            </w:r>
          </w:p>
        </w:tc>
        <w:tc>
          <w:tcPr>
            <w:tcW w:w="6823" w:type="dxa"/>
            <w:tcBorders>
              <w:top w:val="single" w:sz="6" w:space="0" w:color="000000"/>
            </w:tcBorders>
          </w:tcPr>
          <w:p>
            <w:pPr>
              <w:pStyle w:val="TableParagraph"/>
              <w:spacing w:line="283" w:lineRule="exact"/>
              <w:ind w:left="110"/>
              <w:rPr>
                <w:rFonts w:ascii="Verdana"/>
                <w:sz w:val="24"/>
              </w:rPr>
            </w:pPr>
            <w:r>
              <w:rPr>
                <w:rFonts w:ascii="Verdana"/>
                <w:sz w:val="24"/>
              </w:rPr>
              <w:t>Independent</w:t>
            </w:r>
            <w:r>
              <w:rPr>
                <w:rFonts w:ascii="Verdana"/>
                <w:spacing w:val="-1"/>
                <w:sz w:val="24"/>
              </w:rPr>
              <w:t> </w:t>
            </w:r>
            <w:r>
              <w:rPr>
                <w:rFonts w:ascii="Verdana"/>
                <w:spacing w:val="-2"/>
                <w:sz w:val="24"/>
              </w:rPr>
              <w:t>Member</w:t>
            </w:r>
          </w:p>
        </w:tc>
      </w:tr>
      <w:tr>
        <w:trPr>
          <w:trHeight w:val="305" w:hRule="atLeast"/>
        </w:trPr>
        <w:tc>
          <w:tcPr>
            <w:tcW w:w="2691" w:type="dxa"/>
          </w:tcPr>
          <w:p>
            <w:pPr>
              <w:pStyle w:val="TableParagraph"/>
              <w:spacing w:line="285" w:lineRule="exact"/>
              <w:ind w:left="110"/>
              <w:rPr>
                <w:rFonts w:ascii="Verdana"/>
                <w:sz w:val="24"/>
              </w:rPr>
            </w:pPr>
            <w:r>
              <w:rPr>
                <w:rFonts w:ascii="Verdana"/>
                <w:sz w:val="24"/>
              </w:rPr>
              <w:t>Steve </w:t>
            </w:r>
            <w:r>
              <w:rPr>
                <w:rFonts w:ascii="Verdana"/>
                <w:spacing w:val="-2"/>
                <w:sz w:val="24"/>
              </w:rPr>
              <w:t>Spill</w:t>
            </w:r>
          </w:p>
        </w:tc>
        <w:tc>
          <w:tcPr>
            <w:tcW w:w="990" w:type="dxa"/>
          </w:tcPr>
          <w:p>
            <w:pPr>
              <w:pStyle w:val="TableParagraph"/>
              <w:spacing w:line="285" w:lineRule="exact"/>
              <w:ind w:left="9" w:right="1"/>
              <w:jc w:val="center"/>
              <w:rPr>
                <w:rFonts w:ascii="Verdana"/>
                <w:sz w:val="24"/>
              </w:rPr>
            </w:pPr>
            <w:r>
              <w:rPr>
                <w:rFonts w:ascii="Verdana"/>
                <w:spacing w:val="-4"/>
                <w:sz w:val="24"/>
              </w:rPr>
              <w:t>(SS)</w:t>
            </w:r>
          </w:p>
        </w:tc>
        <w:tc>
          <w:tcPr>
            <w:tcW w:w="6823" w:type="dxa"/>
          </w:tcPr>
          <w:p>
            <w:pPr>
              <w:pStyle w:val="TableParagraph"/>
              <w:spacing w:line="285" w:lineRule="exact"/>
              <w:ind w:left="110"/>
              <w:rPr>
                <w:rFonts w:ascii="Verdana"/>
                <w:sz w:val="24"/>
              </w:rPr>
            </w:pPr>
            <w:r>
              <w:rPr>
                <w:rFonts w:ascii="Verdana"/>
                <w:sz w:val="24"/>
              </w:rPr>
              <w:t>Vice</w:t>
            </w:r>
            <w:r>
              <w:rPr>
                <w:rFonts w:ascii="Verdana"/>
                <w:spacing w:val="1"/>
                <w:sz w:val="24"/>
              </w:rPr>
              <w:t> </w:t>
            </w:r>
            <w:r>
              <w:rPr>
                <w:rFonts w:ascii="Verdana"/>
                <w:spacing w:val="-2"/>
                <w:sz w:val="24"/>
              </w:rPr>
              <w:t>Chair</w:t>
            </w:r>
          </w:p>
        </w:tc>
      </w:tr>
      <w:tr>
        <w:trPr>
          <w:trHeight w:val="305" w:hRule="atLeast"/>
        </w:trPr>
        <w:tc>
          <w:tcPr>
            <w:tcW w:w="2691" w:type="dxa"/>
          </w:tcPr>
          <w:p>
            <w:pPr>
              <w:pStyle w:val="TableParagraph"/>
              <w:spacing w:line="285" w:lineRule="exact"/>
              <w:ind w:left="110"/>
              <w:rPr>
                <w:rFonts w:ascii="Verdana"/>
                <w:sz w:val="24"/>
              </w:rPr>
            </w:pPr>
            <w:r>
              <w:rPr>
                <w:rFonts w:ascii="Verdana"/>
                <w:sz w:val="24"/>
              </w:rPr>
              <w:t>Christine </w:t>
            </w:r>
            <w:r>
              <w:rPr>
                <w:rFonts w:ascii="Verdana"/>
                <w:spacing w:val="-2"/>
                <w:sz w:val="24"/>
              </w:rPr>
              <w:t>Morrell</w:t>
            </w:r>
          </w:p>
        </w:tc>
        <w:tc>
          <w:tcPr>
            <w:tcW w:w="990" w:type="dxa"/>
          </w:tcPr>
          <w:p>
            <w:pPr>
              <w:pStyle w:val="TableParagraph"/>
              <w:spacing w:line="285" w:lineRule="exact"/>
              <w:ind w:left="8" w:right="9"/>
              <w:jc w:val="center"/>
              <w:rPr>
                <w:rFonts w:ascii="Verdana"/>
                <w:sz w:val="24"/>
              </w:rPr>
            </w:pPr>
            <w:r>
              <w:rPr>
                <w:rFonts w:ascii="Verdana"/>
                <w:spacing w:val="-4"/>
                <w:sz w:val="24"/>
              </w:rPr>
              <w:t>(CM)</w:t>
            </w:r>
          </w:p>
        </w:tc>
        <w:tc>
          <w:tcPr>
            <w:tcW w:w="6823" w:type="dxa"/>
          </w:tcPr>
          <w:p>
            <w:pPr>
              <w:pStyle w:val="TableParagraph"/>
              <w:spacing w:line="285" w:lineRule="exact"/>
              <w:ind w:left="110"/>
              <w:rPr>
                <w:rFonts w:ascii="Verdana"/>
                <w:sz w:val="24"/>
              </w:rPr>
            </w:pPr>
            <w:r>
              <w:rPr>
                <w:rFonts w:ascii="Verdana"/>
                <w:sz w:val="24"/>
              </w:rPr>
              <w:t>Executive</w:t>
            </w:r>
            <w:r>
              <w:rPr>
                <w:rFonts w:ascii="Verdana"/>
                <w:spacing w:val="-4"/>
                <w:sz w:val="24"/>
              </w:rPr>
              <w:t> </w:t>
            </w:r>
            <w:r>
              <w:rPr>
                <w:rFonts w:ascii="Verdana"/>
                <w:sz w:val="24"/>
              </w:rPr>
              <w:t>Director of</w:t>
            </w:r>
            <w:r>
              <w:rPr>
                <w:rFonts w:ascii="Verdana"/>
                <w:spacing w:val="-2"/>
                <w:sz w:val="24"/>
              </w:rPr>
              <w:t> </w:t>
            </w:r>
            <w:r>
              <w:rPr>
                <w:rFonts w:ascii="Verdana"/>
                <w:sz w:val="24"/>
              </w:rPr>
              <w:t>Therapies</w:t>
            </w:r>
            <w:r>
              <w:rPr>
                <w:rFonts w:ascii="Verdana"/>
                <w:spacing w:val="-7"/>
                <w:sz w:val="24"/>
              </w:rPr>
              <w:t> </w:t>
            </w:r>
            <w:r>
              <w:rPr>
                <w:rFonts w:ascii="Verdana"/>
                <w:sz w:val="24"/>
              </w:rPr>
              <w:t>and</w:t>
            </w:r>
            <w:r>
              <w:rPr>
                <w:rFonts w:ascii="Verdana"/>
                <w:spacing w:val="-2"/>
                <w:sz w:val="24"/>
              </w:rPr>
              <w:t> </w:t>
            </w:r>
            <w:r>
              <w:rPr>
                <w:rFonts w:ascii="Verdana"/>
                <w:sz w:val="24"/>
              </w:rPr>
              <w:t>Health</w:t>
            </w:r>
            <w:r>
              <w:rPr>
                <w:rFonts w:ascii="Verdana"/>
                <w:spacing w:val="-4"/>
                <w:sz w:val="24"/>
              </w:rPr>
              <w:t> </w:t>
            </w:r>
            <w:r>
              <w:rPr>
                <w:rFonts w:ascii="Verdana"/>
                <w:spacing w:val="-2"/>
                <w:sz w:val="24"/>
              </w:rPr>
              <w:t>Science</w:t>
            </w:r>
          </w:p>
        </w:tc>
      </w:tr>
      <w:tr>
        <w:trPr>
          <w:trHeight w:val="580" w:hRule="atLeast"/>
        </w:trPr>
        <w:tc>
          <w:tcPr>
            <w:tcW w:w="2691" w:type="dxa"/>
          </w:tcPr>
          <w:p>
            <w:pPr>
              <w:pStyle w:val="TableParagraph"/>
              <w:spacing w:line="290" w:lineRule="exact"/>
              <w:ind w:left="110"/>
              <w:rPr>
                <w:rFonts w:ascii="Verdana"/>
                <w:sz w:val="24"/>
              </w:rPr>
            </w:pPr>
            <w:r>
              <w:rPr>
                <w:rFonts w:ascii="Verdana"/>
                <w:sz w:val="24"/>
              </w:rPr>
              <w:t>Tina</w:t>
            </w:r>
            <w:r>
              <w:rPr>
                <w:rFonts w:ascii="Verdana"/>
                <w:spacing w:val="-2"/>
                <w:sz w:val="24"/>
              </w:rPr>
              <w:t> Ricketts</w:t>
            </w:r>
          </w:p>
        </w:tc>
        <w:tc>
          <w:tcPr>
            <w:tcW w:w="990" w:type="dxa"/>
          </w:tcPr>
          <w:p>
            <w:pPr>
              <w:pStyle w:val="TableParagraph"/>
              <w:spacing w:line="290" w:lineRule="exact"/>
              <w:ind w:left="8" w:right="5"/>
              <w:jc w:val="center"/>
              <w:rPr>
                <w:rFonts w:ascii="Verdana"/>
                <w:sz w:val="24"/>
              </w:rPr>
            </w:pPr>
            <w:r>
              <w:rPr>
                <w:rFonts w:ascii="Verdana"/>
                <w:spacing w:val="-4"/>
                <w:sz w:val="24"/>
              </w:rPr>
              <w:t>(TR)</w:t>
            </w:r>
          </w:p>
        </w:tc>
        <w:tc>
          <w:tcPr>
            <w:tcW w:w="6823" w:type="dxa"/>
          </w:tcPr>
          <w:p>
            <w:pPr>
              <w:pStyle w:val="TableParagraph"/>
              <w:spacing w:line="290" w:lineRule="exact"/>
              <w:ind w:left="110"/>
              <w:rPr>
                <w:rFonts w:ascii="Verdana"/>
                <w:sz w:val="24"/>
              </w:rPr>
            </w:pPr>
            <w:r>
              <w:rPr>
                <w:rFonts w:ascii="Verdana"/>
                <w:sz w:val="24"/>
              </w:rPr>
              <w:t>Executive</w:t>
            </w:r>
            <w:r>
              <w:rPr>
                <w:rFonts w:ascii="Verdana"/>
                <w:spacing w:val="-8"/>
                <w:sz w:val="24"/>
              </w:rPr>
              <w:t> </w:t>
            </w:r>
            <w:r>
              <w:rPr>
                <w:rFonts w:ascii="Verdana"/>
                <w:sz w:val="24"/>
              </w:rPr>
              <w:t>Director</w:t>
            </w:r>
            <w:r>
              <w:rPr>
                <w:rFonts w:ascii="Verdana"/>
                <w:spacing w:val="-7"/>
                <w:sz w:val="24"/>
              </w:rPr>
              <w:t> </w:t>
            </w:r>
            <w:r>
              <w:rPr>
                <w:rFonts w:ascii="Verdana"/>
                <w:sz w:val="24"/>
              </w:rPr>
              <w:t>of</w:t>
            </w:r>
            <w:r>
              <w:rPr>
                <w:rFonts w:ascii="Verdana"/>
                <w:spacing w:val="-9"/>
                <w:sz w:val="24"/>
              </w:rPr>
              <w:t> </w:t>
            </w:r>
            <w:r>
              <w:rPr>
                <w:rFonts w:ascii="Verdana"/>
                <w:sz w:val="24"/>
              </w:rPr>
              <w:t>Workforce</w:t>
            </w:r>
            <w:r>
              <w:rPr>
                <w:rFonts w:ascii="Verdana"/>
                <w:spacing w:val="-8"/>
                <w:sz w:val="24"/>
              </w:rPr>
              <w:t> </w:t>
            </w:r>
            <w:r>
              <w:rPr>
                <w:rFonts w:ascii="Verdana"/>
                <w:sz w:val="24"/>
              </w:rPr>
              <w:t>and</w:t>
            </w:r>
            <w:r>
              <w:rPr>
                <w:rFonts w:ascii="Verdana"/>
                <w:spacing w:val="-12"/>
                <w:sz w:val="24"/>
              </w:rPr>
              <w:t> </w:t>
            </w:r>
            <w:r>
              <w:rPr>
                <w:rFonts w:ascii="Verdana"/>
                <w:sz w:val="24"/>
              </w:rPr>
              <w:t>Organisational </w:t>
            </w:r>
            <w:r>
              <w:rPr>
                <w:rFonts w:ascii="Verdana"/>
                <w:spacing w:val="-2"/>
                <w:sz w:val="24"/>
              </w:rPr>
              <w:t>Development</w:t>
            </w:r>
          </w:p>
        </w:tc>
      </w:tr>
      <w:tr>
        <w:trPr>
          <w:trHeight w:val="305" w:hRule="atLeast"/>
        </w:trPr>
        <w:tc>
          <w:tcPr>
            <w:tcW w:w="2691" w:type="dxa"/>
          </w:tcPr>
          <w:p>
            <w:pPr>
              <w:pStyle w:val="TableParagraph"/>
              <w:spacing w:line="285" w:lineRule="exact"/>
              <w:ind w:left="110"/>
              <w:rPr>
                <w:rFonts w:ascii="Verdana"/>
                <w:sz w:val="24"/>
              </w:rPr>
            </w:pPr>
            <w:r>
              <w:rPr>
                <w:rFonts w:ascii="Verdana"/>
                <w:sz w:val="24"/>
              </w:rPr>
              <w:t>Hazel </w:t>
            </w:r>
            <w:r>
              <w:rPr>
                <w:rFonts w:ascii="Verdana"/>
                <w:spacing w:val="-2"/>
                <w:sz w:val="24"/>
              </w:rPr>
              <w:t>Lloyd</w:t>
            </w:r>
          </w:p>
        </w:tc>
        <w:tc>
          <w:tcPr>
            <w:tcW w:w="990" w:type="dxa"/>
          </w:tcPr>
          <w:p>
            <w:pPr>
              <w:pStyle w:val="TableParagraph"/>
              <w:spacing w:line="285" w:lineRule="exact"/>
              <w:ind w:left="8" w:right="5"/>
              <w:jc w:val="center"/>
              <w:rPr>
                <w:rFonts w:ascii="Verdana"/>
                <w:sz w:val="24"/>
              </w:rPr>
            </w:pPr>
            <w:r>
              <w:rPr>
                <w:rFonts w:ascii="Verdana"/>
                <w:spacing w:val="-4"/>
                <w:sz w:val="24"/>
              </w:rPr>
              <w:t>(HL)</w:t>
            </w:r>
          </w:p>
        </w:tc>
        <w:tc>
          <w:tcPr>
            <w:tcW w:w="6823" w:type="dxa"/>
          </w:tcPr>
          <w:p>
            <w:pPr>
              <w:pStyle w:val="TableParagraph"/>
              <w:spacing w:line="285" w:lineRule="exact"/>
              <w:ind w:left="110"/>
              <w:rPr>
                <w:rFonts w:ascii="Verdana"/>
                <w:sz w:val="24"/>
              </w:rPr>
            </w:pPr>
            <w:r>
              <w:rPr>
                <w:rFonts w:ascii="Verdana"/>
                <w:sz w:val="24"/>
              </w:rPr>
              <w:t>Director</w:t>
            </w:r>
            <w:r>
              <w:rPr>
                <w:rFonts w:ascii="Verdana"/>
                <w:spacing w:val="2"/>
                <w:sz w:val="24"/>
              </w:rPr>
              <w:t> </w:t>
            </w:r>
            <w:r>
              <w:rPr>
                <w:rFonts w:ascii="Verdana"/>
                <w:sz w:val="24"/>
              </w:rPr>
              <w:t>of</w:t>
            </w:r>
            <w:r>
              <w:rPr>
                <w:rFonts w:ascii="Verdana"/>
                <w:spacing w:val="-4"/>
                <w:sz w:val="24"/>
              </w:rPr>
              <w:t> </w:t>
            </w:r>
            <w:r>
              <w:rPr>
                <w:rFonts w:ascii="Verdana"/>
                <w:sz w:val="24"/>
              </w:rPr>
              <w:t>Corporate</w:t>
            </w:r>
            <w:r>
              <w:rPr>
                <w:rFonts w:ascii="Verdana"/>
                <w:spacing w:val="-2"/>
                <w:sz w:val="24"/>
              </w:rPr>
              <w:t> Governance</w:t>
            </w:r>
          </w:p>
        </w:tc>
      </w:tr>
    </w:tbl>
    <w:p>
      <w:pPr>
        <w:pStyle w:val="BodyText"/>
        <w:spacing w:before="54"/>
        <w:rPr>
          <w:rFonts w:ascii="Verdana"/>
          <w:sz w:val="20"/>
        </w:r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01"/>
        <w:gridCol w:w="990"/>
        <w:gridCol w:w="6803"/>
      </w:tblGrid>
      <w:tr>
        <w:trPr>
          <w:trHeight w:val="290" w:hRule="atLeast"/>
        </w:trPr>
        <w:tc>
          <w:tcPr>
            <w:tcW w:w="10494" w:type="dxa"/>
            <w:gridSpan w:val="3"/>
          </w:tcPr>
          <w:p>
            <w:pPr>
              <w:pStyle w:val="TableParagraph"/>
              <w:spacing w:line="270" w:lineRule="exact"/>
              <w:ind w:left="8"/>
              <w:jc w:val="center"/>
              <w:rPr>
                <w:rFonts w:ascii="Verdana"/>
                <w:b/>
                <w:sz w:val="24"/>
              </w:rPr>
            </w:pPr>
            <w:r>
              <w:rPr>
                <w:rFonts w:ascii="Verdana"/>
                <w:b/>
                <w:sz w:val="24"/>
              </w:rPr>
              <w:t>HYWEL</w:t>
            </w:r>
            <w:r>
              <w:rPr>
                <w:rFonts w:ascii="Verdana"/>
                <w:b/>
                <w:spacing w:val="-3"/>
                <w:sz w:val="24"/>
              </w:rPr>
              <w:t> </w:t>
            </w:r>
            <w:r>
              <w:rPr>
                <w:rFonts w:ascii="Verdana"/>
                <w:b/>
                <w:sz w:val="24"/>
              </w:rPr>
              <w:t>DDA</w:t>
            </w:r>
            <w:r>
              <w:rPr>
                <w:rFonts w:ascii="Verdana"/>
                <w:b/>
                <w:spacing w:val="-5"/>
                <w:sz w:val="24"/>
              </w:rPr>
              <w:t> </w:t>
            </w:r>
            <w:r>
              <w:rPr>
                <w:rFonts w:ascii="Verdana"/>
                <w:b/>
                <w:sz w:val="24"/>
              </w:rPr>
              <w:t>UNIVERSITY</w:t>
            </w:r>
            <w:r>
              <w:rPr>
                <w:rFonts w:ascii="Verdana"/>
                <w:b/>
                <w:spacing w:val="-5"/>
                <w:sz w:val="24"/>
              </w:rPr>
              <w:t> </w:t>
            </w:r>
            <w:r>
              <w:rPr>
                <w:rFonts w:ascii="Verdana"/>
                <w:b/>
                <w:sz w:val="24"/>
              </w:rPr>
              <w:t>HEALTH</w:t>
            </w:r>
            <w:r>
              <w:rPr>
                <w:rFonts w:ascii="Verdana"/>
                <w:b/>
                <w:spacing w:val="-5"/>
                <w:sz w:val="24"/>
              </w:rPr>
              <w:t> </w:t>
            </w:r>
            <w:r>
              <w:rPr>
                <w:rFonts w:ascii="Verdana"/>
                <w:b/>
                <w:spacing w:val="-2"/>
                <w:sz w:val="24"/>
              </w:rPr>
              <w:t>BOARD</w:t>
            </w:r>
          </w:p>
        </w:tc>
      </w:tr>
      <w:tr>
        <w:trPr>
          <w:trHeight w:val="290" w:hRule="atLeast"/>
        </w:trPr>
        <w:tc>
          <w:tcPr>
            <w:tcW w:w="10494" w:type="dxa"/>
            <w:gridSpan w:val="3"/>
          </w:tcPr>
          <w:p>
            <w:pPr>
              <w:pStyle w:val="TableParagraph"/>
              <w:spacing w:line="270" w:lineRule="exact"/>
              <w:ind w:left="110"/>
              <w:rPr>
                <w:rFonts w:ascii="Verdana"/>
                <w:b/>
                <w:sz w:val="24"/>
              </w:rPr>
            </w:pPr>
            <w:r>
              <w:rPr>
                <w:rFonts w:ascii="Verdana"/>
                <w:b/>
                <w:spacing w:val="-2"/>
                <w:sz w:val="24"/>
              </w:rPr>
              <w:t>Present:</w:t>
            </w:r>
          </w:p>
        </w:tc>
      </w:tr>
      <w:tr>
        <w:trPr>
          <w:trHeight w:val="295" w:hRule="atLeast"/>
        </w:trPr>
        <w:tc>
          <w:tcPr>
            <w:tcW w:w="2701" w:type="dxa"/>
          </w:tcPr>
          <w:p>
            <w:pPr>
              <w:pStyle w:val="TableParagraph"/>
              <w:spacing w:line="275" w:lineRule="exact"/>
              <w:ind w:left="110"/>
              <w:rPr>
                <w:rFonts w:ascii="Verdana"/>
                <w:sz w:val="24"/>
              </w:rPr>
            </w:pPr>
            <w:r>
              <w:rPr>
                <w:rFonts w:ascii="Verdana"/>
                <w:sz w:val="24"/>
              </w:rPr>
              <w:t>Neil </w:t>
            </w:r>
            <w:r>
              <w:rPr>
                <w:rFonts w:ascii="Verdana"/>
                <w:spacing w:val="-2"/>
                <w:sz w:val="24"/>
              </w:rPr>
              <w:t>Wooding</w:t>
            </w:r>
          </w:p>
        </w:tc>
        <w:tc>
          <w:tcPr>
            <w:tcW w:w="990" w:type="dxa"/>
          </w:tcPr>
          <w:p>
            <w:pPr>
              <w:pStyle w:val="TableParagraph"/>
              <w:spacing w:line="275" w:lineRule="exact"/>
              <w:ind w:left="9" w:right="1"/>
              <w:jc w:val="center"/>
              <w:rPr>
                <w:rFonts w:ascii="Verdana"/>
                <w:sz w:val="24"/>
              </w:rPr>
            </w:pPr>
            <w:r>
              <w:rPr>
                <w:rFonts w:ascii="Verdana"/>
                <w:spacing w:val="-4"/>
                <w:sz w:val="24"/>
              </w:rPr>
              <w:t>(NW)</w:t>
            </w:r>
          </w:p>
        </w:tc>
        <w:tc>
          <w:tcPr>
            <w:tcW w:w="6803" w:type="dxa"/>
          </w:tcPr>
          <w:p>
            <w:pPr>
              <w:pStyle w:val="TableParagraph"/>
              <w:spacing w:line="275" w:lineRule="exact"/>
              <w:ind w:left="110"/>
              <w:rPr>
                <w:rFonts w:ascii="Verdana"/>
                <w:sz w:val="24"/>
              </w:rPr>
            </w:pPr>
            <w:r>
              <w:rPr>
                <w:rFonts w:ascii="Verdana"/>
                <w:spacing w:val="-2"/>
                <w:sz w:val="24"/>
              </w:rPr>
              <w:t>Chair</w:t>
            </w:r>
          </w:p>
        </w:tc>
      </w:tr>
      <w:tr>
        <w:trPr>
          <w:trHeight w:val="290" w:hRule="atLeast"/>
        </w:trPr>
        <w:tc>
          <w:tcPr>
            <w:tcW w:w="2701" w:type="dxa"/>
          </w:tcPr>
          <w:p>
            <w:pPr>
              <w:pStyle w:val="TableParagraph"/>
              <w:spacing w:line="271" w:lineRule="exact"/>
              <w:ind w:left="110"/>
              <w:rPr>
                <w:rFonts w:ascii="Verdana"/>
                <w:sz w:val="24"/>
              </w:rPr>
            </w:pPr>
            <w:r>
              <w:rPr>
                <w:rFonts w:ascii="Verdana"/>
                <w:sz w:val="24"/>
              </w:rPr>
              <w:t>Sarah </w:t>
            </w:r>
            <w:r>
              <w:rPr>
                <w:rFonts w:ascii="Verdana"/>
                <w:spacing w:val="-2"/>
                <w:sz w:val="24"/>
              </w:rPr>
              <w:t>Harraway</w:t>
            </w:r>
          </w:p>
        </w:tc>
        <w:tc>
          <w:tcPr>
            <w:tcW w:w="990" w:type="dxa"/>
          </w:tcPr>
          <w:p>
            <w:pPr>
              <w:pStyle w:val="TableParagraph"/>
              <w:spacing w:line="271" w:lineRule="exact"/>
              <w:ind w:left="8" w:right="5"/>
              <w:jc w:val="center"/>
              <w:rPr>
                <w:rFonts w:ascii="Verdana"/>
                <w:sz w:val="24"/>
              </w:rPr>
            </w:pPr>
            <w:r>
              <w:rPr>
                <w:rFonts w:ascii="Verdana"/>
                <w:spacing w:val="-4"/>
                <w:sz w:val="24"/>
              </w:rPr>
              <w:t>(SH)</w:t>
            </w:r>
          </w:p>
        </w:tc>
        <w:tc>
          <w:tcPr>
            <w:tcW w:w="6803" w:type="dxa"/>
          </w:tcPr>
          <w:p>
            <w:pPr>
              <w:pStyle w:val="TableParagraph"/>
              <w:spacing w:line="271" w:lineRule="exact"/>
              <w:ind w:left="110"/>
              <w:rPr>
                <w:rFonts w:ascii="Verdana"/>
                <w:sz w:val="24"/>
              </w:rPr>
            </w:pPr>
            <w:r>
              <w:rPr>
                <w:rFonts w:ascii="Verdana"/>
                <w:sz w:val="24"/>
              </w:rPr>
              <w:t>Independent</w:t>
            </w:r>
            <w:r>
              <w:rPr>
                <w:rFonts w:ascii="Verdana"/>
                <w:spacing w:val="-1"/>
                <w:sz w:val="24"/>
              </w:rPr>
              <w:t> </w:t>
            </w:r>
            <w:r>
              <w:rPr>
                <w:rFonts w:ascii="Verdana"/>
                <w:spacing w:val="-2"/>
                <w:sz w:val="24"/>
              </w:rPr>
              <w:t>Member</w:t>
            </w:r>
          </w:p>
        </w:tc>
      </w:tr>
      <w:tr>
        <w:trPr>
          <w:trHeight w:val="290" w:hRule="atLeast"/>
        </w:trPr>
        <w:tc>
          <w:tcPr>
            <w:tcW w:w="10494" w:type="dxa"/>
            <w:gridSpan w:val="3"/>
          </w:tcPr>
          <w:p>
            <w:pPr>
              <w:pStyle w:val="TableParagraph"/>
              <w:spacing w:line="270" w:lineRule="exact"/>
              <w:ind w:left="110"/>
              <w:rPr>
                <w:rFonts w:ascii="Verdana"/>
                <w:b/>
                <w:sz w:val="24"/>
              </w:rPr>
            </w:pPr>
            <w:r>
              <w:rPr>
                <w:rFonts w:ascii="Verdana"/>
                <w:b/>
                <w:sz w:val="24"/>
              </w:rPr>
              <w:t>In</w:t>
            </w:r>
            <w:r>
              <w:rPr>
                <w:rFonts w:ascii="Verdana"/>
                <w:b/>
                <w:spacing w:val="-5"/>
                <w:sz w:val="24"/>
              </w:rPr>
              <w:t> </w:t>
            </w:r>
            <w:r>
              <w:rPr>
                <w:rFonts w:ascii="Verdana"/>
                <w:b/>
                <w:spacing w:val="-2"/>
                <w:sz w:val="24"/>
              </w:rPr>
              <w:t>Attendance:</w:t>
            </w:r>
          </w:p>
        </w:tc>
      </w:tr>
      <w:tr>
        <w:trPr>
          <w:trHeight w:val="295" w:hRule="atLeast"/>
        </w:trPr>
        <w:tc>
          <w:tcPr>
            <w:tcW w:w="2701" w:type="dxa"/>
          </w:tcPr>
          <w:p>
            <w:pPr>
              <w:pStyle w:val="TableParagraph"/>
              <w:spacing w:line="275" w:lineRule="exact"/>
              <w:ind w:left="110"/>
              <w:rPr>
                <w:rFonts w:ascii="Verdana"/>
                <w:sz w:val="24"/>
              </w:rPr>
            </w:pPr>
            <w:r>
              <w:rPr>
                <w:rFonts w:ascii="Verdana"/>
                <w:sz w:val="24"/>
              </w:rPr>
              <w:t>Philip</w:t>
            </w:r>
            <w:r>
              <w:rPr>
                <w:rFonts w:ascii="Verdana"/>
                <w:spacing w:val="-6"/>
                <w:sz w:val="24"/>
              </w:rPr>
              <w:t> </w:t>
            </w:r>
            <w:r>
              <w:rPr>
                <w:rFonts w:ascii="Verdana"/>
                <w:spacing w:val="-2"/>
                <w:sz w:val="24"/>
              </w:rPr>
              <w:t>Kloer</w:t>
            </w:r>
          </w:p>
        </w:tc>
        <w:tc>
          <w:tcPr>
            <w:tcW w:w="990" w:type="dxa"/>
          </w:tcPr>
          <w:p>
            <w:pPr>
              <w:pStyle w:val="TableParagraph"/>
              <w:spacing w:line="275" w:lineRule="exact"/>
              <w:ind w:left="8" w:right="9"/>
              <w:jc w:val="center"/>
              <w:rPr>
                <w:rFonts w:ascii="Verdana"/>
                <w:sz w:val="24"/>
              </w:rPr>
            </w:pPr>
            <w:r>
              <w:rPr>
                <w:rFonts w:ascii="Verdana"/>
                <w:spacing w:val="-4"/>
                <w:sz w:val="24"/>
              </w:rPr>
              <w:t>(PK)</w:t>
            </w:r>
          </w:p>
        </w:tc>
        <w:tc>
          <w:tcPr>
            <w:tcW w:w="6803" w:type="dxa"/>
          </w:tcPr>
          <w:p>
            <w:pPr>
              <w:pStyle w:val="TableParagraph"/>
              <w:spacing w:line="275" w:lineRule="exact"/>
              <w:ind w:left="110"/>
              <w:rPr>
                <w:rFonts w:ascii="Verdana"/>
                <w:sz w:val="24"/>
              </w:rPr>
            </w:pPr>
            <w:r>
              <w:rPr>
                <w:rFonts w:ascii="Verdana"/>
                <w:sz w:val="24"/>
              </w:rPr>
              <w:t>Chief</w:t>
            </w:r>
            <w:r>
              <w:rPr>
                <w:rFonts w:ascii="Verdana"/>
                <w:spacing w:val="1"/>
                <w:sz w:val="24"/>
              </w:rPr>
              <w:t> </w:t>
            </w:r>
            <w:r>
              <w:rPr>
                <w:rFonts w:ascii="Verdana"/>
                <w:spacing w:val="-2"/>
                <w:sz w:val="24"/>
              </w:rPr>
              <w:t>Executive</w:t>
            </w:r>
          </w:p>
        </w:tc>
      </w:tr>
      <w:tr>
        <w:trPr>
          <w:trHeight w:val="290" w:hRule="atLeast"/>
        </w:trPr>
        <w:tc>
          <w:tcPr>
            <w:tcW w:w="2701" w:type="dxa"/>
          </w:tcPr>
          <w:p>
            <w:pPr>
              <w:pStyle w:val="TableParagraph"/>
              <w:spacing w:line="270" w:lineRule="exact"/>
              <w:ind w:left="110"/>
              <w:rPr>
                <w:rFonts w:ascii="Verdana"/>
                <w:sz w:val="24"/>
              </w:rPr>
            </w:pPr>
            <w:r>
              <w:rPr>
                <w:rFonts w:ascii="Verdana"/>
                <w:sz w:val="24"/>
              </w:rPr>
              <w:t>Andrew</w:t>
            </w:r>
            <w:r>
              <w:rPr>
                <w:rFonts w:ascii="Verdana"/>
                <w:spacing w:val="-1"/>
                <w:sz w:val="24"/>
              </w:rPr>
              <w:t> </w:t>
            </w:r>
            <w:r>
              <w:rPr>
                <w:rFonts w:ascii="Verdana"/>
                <w:spacing w:val="-2"/>
                <w:sz w:val="24"/>
              </w:rPr>
              <w:t>Carruthers</w:t>
            </w:r>
          </w:p>
        </w:tc>
        <w:tc>
          <w:tcPr>
            <w:tcW w:w="990" w:type="dxa"/>
          </w:tcPr>
          <w:p>
            <w:pPr>
              <w:pStyle w:val="TableParagraph"/>
              <w:spacing w:line="270" w:lineRule="exact"/>
              <w:ind w:left="8" w:right="5"/>
              <w:jc w:val="center"/>
              <w:rPr>
                <w:rFonts w:ascii="Verdana"/>
                <w:sz w:val="24"/>
              </w:rPr>
            </w:pPr>
            <w:r>
              <w:rPr>
                <w:rFonts w:ascii="Verdana"/>
                <w:spacing w:val="-4"/>
                <w:sz w:val="24"/>
              </w:rPr>
              <w:t>(AC)</w:t>
            </w:r>
          </w:p>
        </w:tc>
        <w:tc>
          <w:tcPr>
            <w:tcW w:w="6803" w:type="dxa"/>
          </w:tcPr>
          <w:p>
            <w:pPr>
              <w:pStyle w:val="TableParagraph"/>
              <w:spacing w:line="270" w:lineRule="exact"/>
              <w:ind w:left="110"/>
              <w:rPr>
                <w:rFonts w:ascii="Verdana"/>
                <w:sz w:val="24"/>
              </w:rPr>
            </w:pPr>
            <w:r>
              <w:rPr>
                <w:rFonts w:ascii="Verdana"/>
                <w:sz w:val="24"/>
              </w:rPr>
              <w:t>Chief</w:t>
            </w:r>
            <w:r>
              <w:rPr>
                <w:rFonts w:ascii="Verdana"/>
                <w:spacing w:val="-1"/>
                <w:sz w:val="24"/>
              </w:rPr>
              <w:t> </w:t>
            </w:r>
            <w:r>
              <w:rPr>
                <w:rFonts w:ascii="Verdana"/>
                <w:sz w:val="24"/>
              </w:rPr>
              <w:t>Operating</w:t>
            </w:r>
            <w:r>
              <w:rPr>
                <w:rFonts w:ascii="Verdana"/>
                <w:spacing w:val="-1"/>
                <w:sz w:val="24"/>
              </w:rPr>
              <w:t> </w:t>
            </w:r>
            <w:r>
              <w:rPr>
                <w:rFonts w:ascii="Verdana"/>
                <w:spacing w:val="-2"/>
                <w:sz w:val="24"/>
              </w:rPr>
              <w:t>Officer</w:t>
            </w:r>
          </w:p>
        </w:tc>
      </w:tr>
      <w:tr>
        <w:trPr>
          <w:trHeight w:val="290" w:hRule="atLeast"/>
        </w:trPr>
        <w:tc>
          <w:tcPr>
            <w:tcW w:w="2701" w:type="dxa"/>
          </w:tcPr>
          <w:p>
            <w:pPr>
              <w:pStyle w:val="TableParagraph"/>
              <w:spacing w:line="270" w:lineRule="exact"/>
              <w:ind w:left="110"/>
              <w:rPr>
                <w:rFonts w:ascii="Verdana"/>
                <w:sz w:val="24"/>
              </w:rPr>
            </w:pPr>
            <w:r>
              <w:rPr>
                <w:rFonts w:ascii="Verdana"/>
                <w:sz w:val="24"/>
              </w:rPr>
              <w:t>Ardiana</w:t>
            </w:r>
            <w:r>
              <w:rPr>
                <w:rFonts w:ascii="Verdana"/>
                <w:spacing w:val="-2"/>
                <w:sz w:val="24"/>
              </w:rPr>
              <w:t> </w:t>
            </w:r>
            <w:r>
              <w:rPr>
                <w:rFonts w:ascii="Verdana"/>
                <w:spacing w:val="-4"/>
                <w:sz w:val="24"/>
              </w:rPr>
              <w:t>Gjini</w:t>
            </w:r>
          </w:p>
        </w:tc>
        <w:tc>
          <w:tcPr>
            <w:tcW w:w="990" w:type="dxa"/>
          </w:tcPr>
          <w:p>
            <w:pPr>
              <w:pStyle w:val="TableParagraph"/>
              <w:spacing w:line="270" w:lineRule="exact"/>
              <w:ind w:left="8" w:right="9"/>
              <w:jc w:val="center"/>
              <w:rPr>
                <w:rFonts w:ascii="Verdana"/>
                <w:sz w:val="24"/>
              </w:rPr>
            </w:pPr>
            <w:r>
              <w:rPr>
                <w:rFonts w:ascii="Verdana"/>
                <w:spacing w:val="-4"/>
                <w:sz w:val="24"/>
              </w:rPr>
              <w:t>(AG)</w:t>
            </w:r>
          </w:p>
        </w:tc>
        <w:tc>
          <w:tcPr>
            <w:tcW w:w="6803" w:type="dxa"/>
          </w:tcPr>
          <w:p>
            <w:pPr>
              <w:pStyle w:val="TableParagraph"/>
              <w:spacing w:line="270" w:lineRule="exact"/>
              <w:ind w:left="110"/>
              <w:rPr>
                <w:rFonts w:ascii="Verdana"/>
                <w:sz w:val="24"/>
              </w:rPr>
            </w:pPr>
            <w:r>
              <w:rPr>
                <w:rFonts w:ascii="Verdana"/>
                <w:sz w:val="24"/>
              </w:rPr>
              <w:t>Executive</w:t>
            </w:r>
            <w:r>
              <w:rPr>
                <w:rFonts w:ascii="Verdana"/>
                <w:spacing w:val="-1"/>
                <w:sz w:val="24"/>
              </w:rPr>
              <w:t> </w:t>
            </w:r>
            <w:r>
              <w:rPr>
                <w:rFonts w:ascii="Verdana"/>
                <w:sz w:val="24"/>
              </w:rPr>
              <w:t>Director of</w:t>
            </w:r>
            <w:r>
              <w:rPr>
                <w:rFonts w:ascii="Verdana"/>
                <w:spacing w:val="-2"/>
                <w:sz w:val="24"/>
              </w:rPr>
              <w:t> </w:t>
            </w:r>
            <w:r>
              <w:rPr>
                <w:rFonts w:ascii="Verdana"/>
                <w:sz w:val="24"/>
              </w:rPr>
              <w:t>Public</w:t>
            </w:r>
            <w:r>
              <w:rPr>
                <w:rFonts w:ascii="Verdana"/>
                <w:spacing w:val="-1"/>
                <w:sz w:val="24"/>
              </w:rPr>
              <w:t> </w:t>
            </w:r>
            <w:r>
              <w:rPr>
                <w:rFonts w:ascii="Verdana"/>
                <w:spacing w:val="-2"/>
                <w:sz w:val="24"/>
              </w:rPr>
              <w:t>Health</w:t>
            </w:r>
          </w:p>
        </w:tc>
      </w:tr>
      <w:tr>
        <w:trPr>
          <w:trHeight w:val="585" w:hRule="atLeast"/>
        </w:trPr>
        <w:tc>
          <w:tcPr>
            <w:tcW w:w="2701" w:type="dxa"/>
          </w:tcPr>
          <w:p>
            <w:pPr>
              <w:pStyle w:val="TableParagraph"/>
              <w:spacing w:line="291" w:lineRule="exact"/>
              <w:ind w:left="110"/>
              <w:rPr>
                <w:rFonts w:ascii="Verdana"/>
                <w:sz w:val="24"/>
              </w:rPr>
            </w:pPr>
            <w:r>
              <w:rPr>
                <w:rFonts w:ascii="Verdana"/>
                <w:sz w:val="24"/>
              </w:rPr>
              <w:t>Lisa</w:t>
            </w:r>
            <w:r>
              <w:rPr>
                <w:rFonts w:ascii="Verdana"/>
                <w:spacing w:val="1"/>
                <w:sz w:val="24"/>
              </w:rPr>
              <w:t> </w:t>
            </w:r>
            <w:r>
              <w:rPr>
                <w:rFonts w:ascii="Verdana"/>
                <w:spacing w:val="-2"/>
                <w:sz w:val="24"/>
              </w:rPr>
              <w:t>Gostling</w:t>
            </w:r>
          </w:p>
        </w:tc>
        <w:tc>
          <w:tcPr>
            <w:tcW w:w="990" w:type="dxa"/>
          </w:tcPr>
          <w:p>
            <w:pPr>
              <w:pStyle w:val="TableParagraph"/>
              <w:spacing w:line="291" w:lineRule="exact"/>
              <w:ind w:left="8" w:right="9"/>
              <w:jc w:val="center"/>
              <w:rPr>
                <w:rFonts w:ascii="Verdana"/>
                <w:sz w:val="24"/>
              </w:rPr>
            </w:pPr>
            <w:r>
              <w:rPr>
                <w:rFonts w:ascii="Verdana"/>
                <w:spacing w:val="-4"/>
                <w:sz w:val="24"/>
              </w:rPr>
              <w:t>(LG)</w:t>
            </w:r>
          </w:p>
        </w:tc>
        <w:tc>
          <w:tcPr>
            <w:tcW w:w="6803" w:type="dxa"/>
          </w:tcPr>
          <w:p>
            <w:pPr>
              <w:pStyle w:val="TableParagraph"/>
              <w:spacing w:line="296" w:lineRule="exact"/>
              <w:ind w:left="110"/>
              <w:rPr>
                <w:rFonts w:ascii="Verdana"/>
                <w:sz w:val="24"/>
              </w:rPr>
            </w:pPr>
            <w:r>
              <w:rPr>
                <w:rFonts w:ascii="Verdana"/>
                <w:sz w:val="24"/>
              </w:rPr>
              <w:t>Deputy</w:t>
            </w:r>
            <w:r>
              <w:rPr>
                <w:rFonts w:ascii="Verdana"/>
                <w:spacing w:val="-9"/>
                <w:sz w:val="24"/>
              </w:rPr>
              <w:t> </w:t>
            </w:r>
            <w:r>
              <w:rPr>
                <w:rFonts w:ascii="Verdana"/>
                <w:sz w:val="24"/>
              </w:rPr>
              <w:t>Chief</w:t>
            </w:r>
            <w:r>
              <w:rPr>
                <w:rFonts w:ascii="Verdana"/>
                <w:spacing w:val="-7"/>
                <w:sz w:val="24"/>
              </w:rPr>
              <w:t> </w:t>
            </w:r>
            <w:r>
              <w:rPr>
                <w:rFonts w:ascii="Verdana"/>
                <w:sz w:val="24"/>
              </w:rPr>
              <w:t>Executive</w:t>
            </w:r>
            <w:r>
              <w:rPr>
                <w:rFonts w:ascii="Verdana"/>
                <w:spacing w:val="-6"/>
                <w:sz w:val="24"/>
              </w:rPr>
              <w:t> </w:t>
            </w:r>
            <w:r>
              <w:rPr>
                <w:rFonts w:ascii="Verdana"/>
                <w:sz w:val="24"/>
              </w:rPr>
              <w:t>and</w:t>
            </w:r>
            <w:r>
              <w:rPr>
                <w:rFonts w:ascii="Verdana"/>
                <w:spacing w:val="-7"/>
                <w:sz w:val="24"/>
              </w:rPr>
              <w:t> </w:t>
            </w:r>
            <w:r>
              <w:rPr>
                <w:rFonts w:ascii="Verdana"/>
                <w:sz w:val="24"/>
              </w:rPr>
              <w:t>Executive</w:t>
            </w:r>
            <w:r>
              <w:rPr>
                <w:rFonts w:ascii="Verdana"/>
                <w:spacing w:val="-6"/>
                <w:sz w:val="24"/>
              </w:rPr>
              <w:t> </w:t>
            </w:r>
            <w:r>
              <w:rPr>
                <w:rFonts w:ascii="Verdana"/>
                <w:sz w:val="24"/>
              </w:rPr>
              <w:t>Director</w:t>
            </w:r>
            <w:r>
              <w:rPr>
                <w:rFonts w:ascii="Verdana"/>
                <w:spacing w:val="-5"/>
                <w:sz w:val="24"/>
              </w:rPr>
              <w:t> </w:t>
            </w:r>
            <w:r>
              <w:rPr>
                <w:rFonts w:ascii="Verdana"/>
                <w:sz w:val="24"/>
              </w:rPr>
              <w:t>of Workforce and Organisational Development</w:t>
            </w:r>
          </w:p>
        </w:tc>
      </w:tr>
      <w:tr>
        <w:trPr>
          <w:trHeight w:val="283" w:hRule="atLeast"/>
        </w:trPr>
        <w:tc>
          <w:tcPr>
            <w:tcW w:w="2701" w:type="dxa"/>
          </w:tcPr>
          <w:p>
            <w:pPr>
              <w:pStyle w:val="TableParagraph"/>
              <w:spacing w:line="264" w:lineRule="exact"/>
              <w:ind w:left="110"/>
              <w:rPr>
                <w:rFonts w:ascii="Verdana"/>
                <w:sz w:val="24"/>
              </w:rPr>
            </w:pPr>
            <w:r>
              <w:rPr>
                <w:rFonts w:ascii="Verdana"/>
                <w:sz w:val="24"/>
              </w:rPr>
              <w:t>Huw</w:t>
            </w:r>
            <w:r>
              <w:rPr>
                <w:rFonts w:ascii="Verdana"/>
                <w:spacing w:val="-5"/>
                <w:sz w:val="24"/>
              </w:rPr>
              <w:t> </w:t>
            </w:r>
            <w:r>
              <w:rPr>
                <w:rFonts w:ascii="Verdana"/>
                <w:spacing w:val="-2"/>
                <w:sz w:val="24"/>
              </w:rPr>
              <w:t>Thomas</w:t>
            </w:r>
          </w:p>
        </w:tc>
        <w:tc>
          <w:tcPr>
            <w:tcW w:w="990" w:type="dxa"/>
          </w:tcPr>
          <w:p>
            <w:pPr>
              <w:pStyle w:val="TableParagraph"/>
              <w:spacing w:line="264" w:lineRule="exact"/>
              <w:ind w:left="9" w:right="1"/>
              <w:jc w:val="center"/>
              <w:rPr>
                <w:rFonts w:ascii="Verdana"/>
                <w:sz w:val="24"/>
              </w:rPr>
            </w:pPr>
            <w:r>
              <w:rPr>
                <w:rFonts w:ascii="Verdana"/>
                <w:spacing w:val="-4"/>
                <w:sz w:val="24"/>
              </w:rPr>
              <w:t>(HT)</w:t>
            </w:r>
          </w:p>
        </w:tc>
        <w:tc>
          <w:tcPr>
            <w:tcW w:w="6803" w:type="dxa"/>
          </w:tcPr>
          <w:p>
            <w:pPr>
              <w:pStyle w:val="TableParagraph"/>
              <w:spacing w:line="264" w:lineRule="exact"/>
              <w:ind w:left="110"/>
              <w:rPr>
                <w:rFonts w:ascii="Verdana"/>
                <w:sz w:val="24"/>
              </w:rPr>
            </w:pPr>
            <w:r>
              <w:rPr>
                <w:rFonts w:ascii="Verdana"/>
                <w:sz w:val="24"/>
              </w:rPr>
              <w:t>Executive</w:t>
            </w:r>
            <w:r>
              <w:rPr>
                <w:rFonts w:ascii="Verdana"/>
                <w:spacing w:val="-1"/>
                <w:sz w:val="24"/>
              </w:rPr>
              <w:t> </w:t>
            </w:r>
            <w:r>
              <w:rPr>
                <w:rFonts w:ascii="Verdana"/>
                <w:sz w:val="24"/>
              </w:rPr>
              <w:t>Director of</w:t>
            </w:r>
            <w:r>
              <w:rPr>
                <w:rFonts w:ascii="Verdana"/>
                <w:spacing w:val="-1"/>
                <w:sz w:val="24"/>
              </w:rPr>
              <w:t> </w:t>
            </w:r>
            <w:r>
              <w:rPr>
                <w:rFonts w:ascii="Verdana"/>
                <w:spacing w:val="-2"/>
                <w:sz w:val="24"/>
              </w:rPr>
              <w:t>Finance</w:t>
            </w:r>
          </w:p>
        </w:tc>
      </w:tr>
    </w:tbl>
    <w:p>
      <w:pPr>
        <w:pStyle w:val="BodyText"/>
        <w:spacing w:before="90"/>
        <w:rPr>
          <w:rFonts w:ascii="Verdana"/>
        </w:rPr>
      </w:pPr>
    </w:p>
    <w:p>
      <w:pPr>
        <w:spacing w:before="0"/>
        <w:ind w:left="0" w:right="180" w:firstLine="0"/>
        <w:jc w:val="right"/>
        <w:rPr>
          <w:b/>
          <w:sz w:val="24"/>
        </w:rPr>
      </w:pPr>
      <w:r>
        <w:rPr>
          <w:b/>
          <w:sz w:val="24"/>
        </w:rPr>
        <mc:AlternateContent>
          <mc:Choice Requires="wps">
            <w:drawing>
              <wp:anchor distT="0" distB="0" distL="0" distR="0" allowOverlap="1" layoutInCell="1" locked="0" behindDoc="1" simplePos="0" relativeHeight="477232128">
                <wp:simplePos x="0" y="0"/>
                <wp:positionH relativeFrom="page">
                  <wp:posOffset>943178</wp:posOffset>
                </wp:positionH>
                <wp:positionV relativeFrom="paragraph">
                  <wp:posOffset>-4271822</wp:posOffset>
                </wp:positionV>
                <wp:extent cx="3376929" cy="3133725"/>
                <wp:effectExtent l="0" t="0" r="0" b="0"/>
                <wp:wrapNone/>
                <wp:docPr id="763" name="Graphic 763"/>
                <wp:cNvGraphicFramePr>
                  <a:graphicFrameLocks/>
                </wp:cNvGraphicFramePr>
                <a:graphic>
                  <a:graphicData uri="http://schemas.microsoft.com/office/word/2010/wordprocessingShape">
                    <wps:wsp>
                      <wps:cNvPr id="763" name="Graphic 763"/>
                      <wps:cNvSpPr/>
                      <wps:spPr>
                        <a:xfrm>
                          <a:off x="0" y="0"/>
                          <a:ext cx="3376929" cy="3133725"/>
                        </a:xfrm>
                        <a:custGeom>
                          <a:avLst/>
                          <a:gdLst/>
                          <a:ahLst/>
                          <a:cxnLst/>
                          <a:rect l="l" t="t" r="r" b="b"/>
                          <a:pathLst>
                            <a:path w="3376929" h="3133725">
                              <a:moveTo>
                                <a:pt x="2225992" y="2512796"/>
                              </a:moveTo>
                              <a:lnTo>
                                <a:pt x="2222487" y="2465806"/>
                              </a:lnTo>
                              <a:lnTo>
                                <a:pt x="2215375" y="2417559"/>
                              </a:lnTo>
                              <a:lnTo>
                                <a:pt x="2204580" y="2368156"/>
                              </a:lnTo>
                              <a:lnTo>
                                <a:pt x="2190038" y="2317623"/>
                              </a:lnTo>
                              <a:lnTo>
                                <a:pt x="2176208" y="2277567"/>
                              </a:lnTo>
                              <a:lnTo>
                                <a:pt x="2160257" y="2236724"/>
                              </a:lnTo>
                              <a:lnTo>
                                <a:pt x="2142172" y="2195080"/>
                              </a:lnTo>
                              <a:lnTo>
                                <a:pt x="2121903" y="2152637"/>
                              </a:lnTo>
                              <a:lnTo>
                                <a:pt x="2099424" y="2109381"/>
                              </a:lnTo>
                              <a:lnTo>
                                <a:pt x="2074697" y="2065312"/>
                              </a:lnTo>
                              <a:lnTo>
                                <a:pt x="2047697" y="2020417"/>
                              </a:lnTo>
                              <a:lnTo>
                                <a:pt x="2018372" y="1974684"/>
                              </a:lnTo>
                              <a:lnTo>
                                <a:pt x="1986711" y="1928114"/>
                              </a:lnTo>
                              <a:lnTo>
                                <a:pt x="1980031" y="1918716"/>
                              </a:lnTo>
                              <a:lnTo>
                                <a:pt x="1980031" y="2459520"/>
                              </a:lnTo>
                              <a:lnTo>
                                <a:pt x="1975281" y="2503805"/>
                              </a:lnTo>
                              <a:lnTo>
                                <a:pt x="1965083" y="2546553"/>
                              </a:lnTo>
                              <a:lnTo>
                                <a:pt x="1948738" y="2587739"/>
                              </a:lnTo>
                              <a:lnTo>
                                <a:pt x="1926336" y="2627553"/>
                              </a:lnTo>
                              <a:lnTo>
                                <a:pt x="1897976" y="2666149"/>
                              </a:lnTo>
                              <a:lnTo>
                                <a:pt x="1863775" y="2703703"/>
                              </a:lnTo>
                              <a:lnTo>
                                <a:pt x="1731822" y="2835656"/>
                              </a:lnTo>
                              <a:lnTo>
                                <a:pt x="296837" y="1400683"/>
                              </a:lnTo>
                              <a:lnTo>
                                <a:pt x="427278" y="1270254"/>
                              </a:lnTo>
                              <a:lnTo>
                                <a:pt x="467677" y="1233881"/>
                              </a:lnTo>
                              <a:lnTo>
                                <a:pt x="509371" y="1204442"/>
                              </a:lnTo>
                              <a:lnTo>
                                <a:pt x="552475" y="1182116"/>
                              </a:lnTo>
                              <a:lnTo>
                                <a:pt x="597039" y="1167130"/>
                              </a:lnTo>
                              <a:lnTo>
                                <a:pt x="643178" y="1159637"/>
                              </a:lnTo>
                              <a:lnTo>
                                <a:pt x="690714" y="1158265"/>
                              </a:lnTo>
                              <a:lnTo>
                                <a:pt x="739635" y="1161503"/>
                              </a:lnTo>
                              <a:lnTo>
                                <a:pt x="789965" y="1169606"/>
                              </a:lnTo>
                              <a:lnTo>
                                <a:pt x="841743" y="1182865"/>
                              </a:lnTo>
                              <a:lnTo>
                                <a:pt x="895019" y="1201547"/>
                              </a:lnTo>
                              <a:lnTo>
                                <a:pt x="940371" y="1220863"/>
                              </a:lnTo>
                              <a:lnTo>
                                <a:pt x="986472" y="1243139"/>
                              </a:lnTo>
                              <a:lnTo>
                                <a:pt x="1033297" y="1268450"/>
                              </a:lnTo>
                              <a:lnTo>
                                <a:pt x="1080795" y="1296873"/>
                              </a:lnTo>
                              <a:lnTo>
                                <a:pt x="1128903" y="1328483"/>
                              </a:lnTo>
                              <a:lnTo>
                                <a:pt x="1177594" y="1363345"/>
                              </a:lnTo>
                              <a:lnTo>
                                <a:pt x="1214882" y="1391831"/>
                              </a:lnTo>
                              <a:lnTo>
                                <a:pt x="1252194" y="1421409"/>
                              </a:lnTo>
                              <a:lnTo>
                                <a:pt x="1289507" y="1452092"/>
                              </a:lnTo>
                              <a:lnTo>
                                <a:pt x="1326845" y="1483918"/>
                              </a:lnTo>
                              <a:lnTo>
                                <a:pt x="1364183" y="1516938"/>
                              </a:lnTo>
                              <a:lnTo>
                                <a:pt x="1401546" y="1551178"/>
                              </a:lnTo>
                              <a:lnTo>
                                <a:pt x="1438910" y="1586674"/>
                              </a:lnTo>
                              <a:lnTo>
                                <a:pt x="1476298" y="1623441"/>
                              </a:lnTo>
                              <a:lnTo>
                                <a:pt x="1517218" y="1664855"/>
                              </a:lnTo>
                              <a:lnTo>
                                <a:pt x="1556359" y="1705508"/>
                              </a:lnTo>
                              <a:lnTo>
                                <a:pt x="1593697" y="1745411"/>
                              </a:lnTo>
                              <a:lnTo>
                                <a:pt x="1629257" y="1784565"/>
                              </a:lnTo>
                              <a:lnTo>
                                <a:pt x="1663052" y="1822970"/>
                              </a:lnTo>
                              <a:lnTo>
                                <a:pt x="1695056" y="1860638"/>
                              </a:lnTo>
                              <a:lnTo>
                                <a:pt x="1725282" y="1897545"/>
                              </a:lnTo>
                              <a:lnTo>
                                <a:pt x="1753755" y="1933714"/>
                              </a:lnTo>
                              <a:lnTo>
                                <a:pt x="1780463" y="1969135"/>
                              </a:lnTo>
                              <a:lnTo>
                                <a:pt x="1812632" y="2014270"/>
                              </a:lnTo>
                              <a:lnTo>
                                <a:pt x="1841766" y="2058314"/>
                              </a:lnTo>
                              <a:lnTo>
                                <a:pt x="1867954" y="2101291"/>
                              </a:lnTo>
                              <a:lnTo>
                                <a:pt x="1891322" y="2143214"/>
                              </a:lnTo>
                              <a:lnTo>
                                <a:pt x="1911985" y="2184095"/>
                              </a:lnTo>
                              <a:lnTo>
                                <a:pt x="1930069" y="2223935"/>
                              </a:lnTo>
                              <a:lnTo>
                                <a:pt x="1945690" y="2262759"/>
                              </a:lnTo>
                              <a:lnTo>
                                <a:pt x="1962886" y="2315172"/>
                              </a:lnTo>
                              <a:lnTo>
                                <a:pt x="1974138" y="2365337"/>
                              </a:lnTo>
                              <a:lnTo>
                                <a:pt x="1979752" y="2413406"/>
                              </a:lnTo>
                              <a:lnTo>
                                <a:pt x="1980031" y="2459520"/>
                              </a:lnTo>
                              <a:lnTo>
                                <a:pt x="1980031" y="1918716"/>
                              </a:lnTo>
                              <a:lnTo>
                                <a:pt x="1935492" y="1857438"/>
                              </a:lnTo>
                              <a:lnTo>
                                <a:pt x="1907921" y="1821434"/>
                              </a:lnTo>
                              <a:lnTo>
                                <a:pt x="1879041" y="1785010"/>
                              </a:lnTo>
                              <a:lnTo>
                                <a:pt x="1848840" y="1748142"/>
                              </a:lnTo>
                              <a:lnTo>
                                <a:pt x="1817344" y="1710855"/>
                              </a:lnTo>
                              <a:lnTo>
                                <a:pt x="1784553" y="1673148"/>
                              </a:lnTo>
                              <a:lnTo>
                                <a:pt x="1750453" y="1635036"/>
                              </a:lnTo>
                              <a:lnTo>
                                <a:pt x="1715058" y="1596504"/>
                              </a:lnTo>
                              <a:lnTo>
                                <a:pt x="1678381" y="1557578"/>
                              </a:lnTo>
                              <a:lnTo>
                                <a:pt x="1640395" y="1518259"/>
                              </a:lnTo>
                              <a:lnTo>
                                <a:pt x="1601139" y="1478534"/>
                              </a:lnTo>
                              <a:lnTo>
                                <a:pt x="1559763" y="1437779"/>
                              </a:lnTo>
                              <a:lnTo>
                                <a:pt x="1518589" y="1398397"/>
                              </a:lnTo>
                              <a:lnTo>
                                <a:pt x="1477606" y="1360424"/>
                              </a:lnTo>
                              <a:lnTo>
                                <a:pt x="1436852" y="1323860"/>
                              </a:lnTo>
                              <a:lnTo>
                                <a:pt x="1396339" y="1288719"/>
                              </a:lnTo>
                              <a:lnTo>
                                <a:pt x="1356093" y="1255039"/>
                              </a:lnTo>
                              <a:lnTo>
                                <a:pt x="1316113" y="1222806"/>
                              </a:lnTo>
                              <a:lnTo>
                                <a:pt x="1276438" y="1192047"/>
                              </a:lnTo>
                              <a:lnTo>
                                <a:pt x="1237068" y="1162773"/>
                              </a:lnTo>
                              <a:lnTo>
                                <a:pt x="1198041" y="1134999"/>
                              </a:lnTo>
                              <a:lnTo>
                                <a:pt x="1149705" y="1102499"/>
                              </a:lnTo>
                              <a:lnTo>
                                <a:pt x="1101877" y="1072489"/>
                              </a:lnTo>
                              <a:lnTo>
                                <a:pt x="1054582" y="1044905"/>
                              </a:lnTo>
                              <a:lnTo>
                                <a:pt x="1007859" y="1019708"/>
                              </a:lnTo>
                              <a:lnTo>
                                <a:pt x="961720" y="996810"/>
                              </a:lnTo>
                              <a:lnTo>
                                <a:pt x="916216" y="976185"/>
                              </a:lnTo>
                              <a:lnTo>
                                <a:pt x="871359" y="957745"/>
                              </a:lnTo>
                              <a:lnTo>
                                <a:pt x="827201" y="941451"/>
                              </a:lnTo>
                              <a:lnTo>
                                <a:pt x="777875" y="926769"/>
                              </a:lnTo>
                              <a:lnTo>
                                <a:pt x="729551" y="915517"/>
                              </a:lnTo>
                              <a:lnTo>
                                <a:pt x="682244" y="907656"/>
                              </a:lnTo>
                              <a:lnTo>
                                <a:pt x="635990" y="903109"/>
                              </a:lnTo>
                              <a:lnTo>
                                <a:pt x="590791" y="901814"/>
                              </a:lnTo>
                              <a:lnTo>
                                <a:pt x="546696" y="903693"/>
                              </a:lnTo>
                              <a:lnTo>
                                <a:pt x="503732" y="908685"/>
                              </a:lnTo>
                              <a:lnTo>
                                <a:pt x="455002" y="919276"/>
                              </a:lnTo>
                              <a:lnTo>
                                <a:pt x="407619" y="935812"/>
                              </a:lnTo>
                              <a:lnTo>
                                <a:pt x="361543" y="958189"/>
                              </a:lnTo>
                              <a:lnTo>
                                <a:pt x="316738" y="986256"/>
                              </a:lnTo>
                              <a:lnTo>
                                <a:pt x="273189" y="1019886"/>
                              </a:lnTo>
                              <a:lnTo>
                                <a:pt x="230860" y="1058926"/>
                              </a:lnTo>
                              <a:lnTo>
                                <a:pt x="12598" y="1277239"/>
                              </a:lnTo>
                              <a:lnTo>
                                <a:pt x="0" y="1313853"/>
                              </a:lnTo>
                              <a:lnTo>
                                <a:pt x="1905" y="1330706"/>
                              </a:lnTo>
                              <a:lnTo>
                                <a:pt x="21437" y="1373606"/>
                              </a:lnTo>
                              <a:lnTo>
                                <a:pt x="64643" y="1424686"/>
                              </a:lnTo>
                              <a:lnTo>
                                <a:pt x="1709216" y="3069209"/>
                              </a:lnTo>
                              <a:lnTo>
                                <a:pt x="1760118" y="3112262"/>
                              </a:lnTo>
                              <a:lnTo>
                                <a:pt x="1801799" y="3130550"/>
                              </a:lnTo>
                              <a:lnTo>
                                <a:pt x="1819516" y="3133306"/>
                              </a:lnTo>
                              <a:lnTo>
                                <a:pt x="1834565" y="3132442"/>
                              </a:lnTo>
                              <a:lnTo>
                                <a:pt x="2060752" y="2917063"/>
                              </a:lnTo>
                              <a:lnTo>
                                <a:pt x="2099513" y="2875127"/>
                              </a:lnTo>
                              <a:lnTo>
                                <a:pt x="2130158" y="2835656"/>
                              </a:lnTo>
                              <a:lnTo>
                                <a:pt x="2161527" y="2787269"/>
                              </a:lnTo>
                              <a:lnTo>
                                <a:pt x="2184730" y="2741371"/>
                              </a:lnTo>
                              <a:lnTo>
                                <a:pt x="2202700" y="2694178"/>
                              </a:lnTo>
                              <a:lnTo>
                                <a:pt x="2215438" y="2645664"/>
                              </a:lnTo>
                              <a:lnTo>
                                <a:pt x="2222398" y="2602801"/>
                              </a:lnTo>
                              <a:lnTo>
                                <a:pt x="2225941" y="2558491"/>
                              </a:lnTo>
                              <a:lnTo>
                                <a:pt x="2225992" y="2512796"/>
                              </a:lnTo>
                              <a:close/>
                            </a:path>
                            <a:path w="3376929" h="3133725">
                              <a:moveTo>
                                <a:pt x="3376853" y="1586738"/>
                              </a:moveTo>
                              <a:lnTo>
                                <a:pt x="3353739" y="1550035"/>
                              </a:lnTo>
                              <a:lnTo>
                                <a:pt x="3317925" y="1520317"/>
                              </a:lnTo>
                              <a:lnTo>
                                <a:pt x="3233343" y="1462532"/>
                              </a:lnTo>
                              <a:lnTo>
                                <a:pt x="2739402" y="1141907"/>
                              </a:lnTo>
                              <a:lnTo>
                                <a:pt x="2699118" y="1115847"/>
                              </a:lnTo>
                              <a:lnTo>
                                <a:pt x="2659342" y="1091222"/>
                              </a:lnTo>
                              <a:lnTo>
                                <a:pt x="2585516" y="1047115"/>
                              </a:lnTo>
                              <a:lnTo>
                                <a:pt x="2551163" y="1027506"/>
                              </a:lnTo>
                              <a:lnTo>
                                <a:pt x="2486266" y="994168"/>
                              </a:lnTo>
                              <a:lnTo>
                                <a:pt x="2426678" y="968121"/>
                              </a:lnTo>
                              <a:lnTo>
                                <a:pt x="2371318" y="949744"/>
                              </a:lnTo>
                              <a:lnTo>
                                <a:pt x="2320988" y="937971"/>
                              </a:lnTo>
                              <a:lnTo>
                                <a:pt x="2301354" y="935863"/>
                              </a:lnTo>
                              <a:lnTo>
                                <a:pt x="2297226" y="935418"/>
                              </a:lnTo>
                              <a:lnTo>
                                <a:pt x="2274214" y="934783"/>
                              </a:lnTo>
                              <a:lnTo>
                                <a:pt x="2252268" y="935863"/>
                              </a:lnTo>
                              <a:lnTo>
                                <a:pt x="2257869" y="900201"/>
                              </a:lnTo>
                              <a:lnTo>
                                <a:pt x="2260841" y="863777"/>
                              </a:lnTo>
                              <a:lnTo>
                                <a:pt x="2261222" y="826770"/>
                              </a:lnTo>
                              <a:lnTo>
                                <a:pt x="2259126" y="789305"/>
                              </a:lnTo>
                              <a:lnTo>
                                <a:pt x="2254186" y="751281"/>
                              </a:lnTo>
                              <a:lnTo>
                                <a:pt x="2246084" y="712406"/>
                              </a:lnTo>
                              <a:lnTo>
                                <a:pt x="2234641" y="672693"/>
                              </a:lnTo>
                              <a:lnTo>
                                <a:pt x="2219629" y="632079"/>
                              </a:lnTo>
                              <a:lnTo>
                                <a:pt x="2202192" y="591642"/>
                              </a:lnTo>
                              <a:lnTo>
                                <a:pt x="2181301" y="550265"/>
                              </a:lnTo>
                              <a:lnTo>
                                <a:pt x="2156650" y="507885"/>
                              </a:lnTo>
                              <a:lnTo>
                                <a:pt x="2127935" y="464439"/>
                              </a:lnTo>
                              <a:lnTo>
                                <a:pt x="2102434" y="430110"/>
                              </a:lnTo>
                              <a:lnTo>
                                <a:pt x="2074418" y="395020"/>
                              </a:lnTo>
                              <a:lnTo>
                                <a:pt x="2050097" y="366572"/>
                              </a:lnTo>
                              <a:lnTo>
                                <a:pt x="2050097" y="782675"/>
                              </a:lnTo>
                              <a:lnTo>
                                <a:pt x="2049081" y="813841"/>
                              </a:lnTo>
                              <a:lnTo>
                                <a:pt x="2035543" y="874217"/>
                              </a:lnTo>
                              <a:lnTo>
                                <a:pt x="2003628" y="930567"/>
                              </a:lnTo>
                              <a:lnTo>
                                <a:pt x="1855520" y="1081659"/>
                              </a:lnTo>
                              <a:lnTo>
                                <a:pt x="1234236" y="460375"/>
                              </a:lnTo>
                              <a:lnTo>
                                <a:pt x="1342313" y="352298"/>
                              </a:lnTo>
                              <a:lnTo>
                                <a:pt x="1377899" y="318770"/>
                              </a:lnTo>
                              <a:lnTo>
                                <a:pt x="1408353" y="294767"/>
                              </a:lnTo>
                              <a:lnTo>
                                <a:pt x="1449857" y="271983"/>
                              </a:lnTo>
                              <a:lnTo>
                                <a:pt x="1510715" y="258597"/>
                              </a:lnTo>
                              <a:lnTo>
                                <a:pt x="1558150" y="259194"/>
                              </a:lnTo>
                              <a:lnTo>
                                <a:pt x="1606626" y="269303"/>
                              </a:lnTo>
                              <a:lnTo>
                                <a:pt x="1656130" y="289179"/>
                              </a:lnTo>
                              <a:lnTo>
                                <a:pt x="1696554" y="311429"/>
                              </a:lnTo>
                              <a:lnTo>
                                <a:pt x="1737804" y="338455"/>
                              </a:lnTo>
                              <a:lnTo>
                                <a:pt x="1779524" y="370052"/>
                              </a:lnTo>
                              <a:lnTo>
                                <a:pt x="1822056" y="406488"/>
                              </a:lnTo>
                              <a:lnTo>
                                <a:pt x="1865299" y="447675"/>
                              </a:lnTo>
                              <a:lnTo>
                                <a:pt x="1897189" y="481012"/>
                              </a:lnTo>
                              <a:lnTo>
                                <a:pt x="1926602" y="514667"/>
                              </a:lnTo>
                              <a:lnTo>
                                <a:pt x="1953590" y="548627"/>
                              </a:lnTo>
                              <a:lnTo>
                                <a:pt x="1978202" y="582803"/>
                              </a:lnTo>
                              <a:lnTo>
                                <a:pt x="1999094" y="617435"/>
                              </a:lnTo>
                              <a:lnTo>
                                <a:pt x="2016302" y="651433"/>
                              </a:lnTo>
                              <a:lnTo>
                                <a:pt x="2039924" y="717677"/>
                              </a:lnTo>
                              <a:lnTo>
                                <a:pt x="2050097" y="782675"/>
                              </a:lnTo>
                              <a:lnTo>
                                <a:pt x="2050097" y="366572"/>
                              </a:lnTo>
                              <a:lnTo>
                                <a:pt x="2043874" y="359283"/>
                              </a:lnTo>
                              <a:lnTo>
                                <a:pt x="2010829" y="323037"/>
                              </a:lnTo>
                              <a:lnTo>
                                <a:pt x="1975281" y="286385"/>
                              </a:lnTo>
                              <a:lnTo>
                                <a:pt x="1946630" y="258597"/>
                              </a:lnTo>
                              <a:lnTo>
                                <a:pt x="1936915" y="249161"/>
                              </a:lnTo>
                              <a:lnTo>
                                <a:pt x="1898789" y="214439"/>
                              </a:lnTo>
                              <a:lnTo>
                                <a:pt x="1860905" y="182219"/>
                              </a:lnTo>
                              <a:lnTo>
                                <a:pt x="1823237" y="152527"/>
                              </a:lnTo>
                              <a:lnTo>
                                <a:pt x="1785797" y="125349"/>
                              </a:lnTo>
                              <a:lnTo>
                                <a:pt x="1739366" y="95288"/>
                              </a:lnTo>
                              <a:lnTo>
                                <a:pt x="1693367" y="69659"/>
                              </a:lnTo>
                              <a:lnTo>
                                <a:pt x="1647698" y="47955"/>
                              </a:lnTo>
                              <a:lnTo>
                                <a:pt x="1602282" y="29591"/>
                              </a:lnTo>
                              <a:lnTo>
                                <a:pt x="1557515" y="15379"/>
                              </a:lnTo>
                              <a:lnTo>
                                <a:pt x="1513967" y="6083"/>
                              </a:lnTo>
                              <a:lnTo>
                                <a:pt x="1471383" y="1143"/>
                              </a:lnTo>
                              <a:lnTo>
                                <a:pt x="1429562" y="0"/>
                              </a:lnTo>
                              <a:lnTo>
                                <a:pt x="1388325" y="3556"/>
                              </a:lnTo>
                              <a:lnTo>
                                <a:pt x="1348574" y="11798"/>
                              </a:lnTo>
                              <a:lnTo>
                                <a:pt x="1309954" y="24307"/>
                              </a:lnTo>
                              <a:lnTo>
                                <a:pt x="1272082" y="40640"/>
                              </a:lnTo>
                              <a:lnTo>
                                <a:pt x="1220266" y="75311"/>
                              </a:lnTo>
                              <a:lnTo>
                                <a:pt x="1190777" y="100799"/>
                              </a:lnTo>
                              <a:lnTo>
                                <a:pt x="1156258" y="133604"/>
                              </a:lnTo>
                              <a:lnTo>
                                <a:pt x="951407" y="338455"/>
                              </a:lnTo>
                              <a:lnTo>
                                <a:pt x="938796" y="375018"/>
                              </a:lnTo>
                              <a:lnTo>
                                <a:pt x="940739" y="391795"/>
                              </a:lnTo>
                              <a:lnTo>
                                <a:pt x="960247" y="434759"/>
                              </a:lnTo>
                              <a:lnTo>
                                <a:pt x="1003477" y="485902"/>
                              </a:lnTo>
                              <a:lnTo>
                                <a:pt x="2710738" y="2193163"/>
                              </a:lnTo>
                              <a:lnTo>
                                <a:pt x="2748838" y="2214753"/>
                              </a:lnTo>
                              <a:lnTo>
                                <a:pt x="2756966" y="2212467"/>
                              </a:lnTo>
                              <a:lnTo>
                                <a:pt x="2764053" y="2211260"/>
                              </a:lnTo>
                              <a:lnTo>
                                <a:pt x="2802598" y="2190712"/>
                              </a:lnTo>
                              <a:lnTo>
                                <a:pt x="2836799" y="2156510"/>
                              </a:lnTo>
                              <a:lnTo>
                                <a:pt x="2857144" y="2118233"/>
                              </a:lnTo>
                              <a:lnTo>
                                <a:pt x="2858185" y="2111248"/>
                              </a:lnTo>
                              <a:lnTo>
                                <a:pt x="2859836" y="2103882"/>
                              </a:lnTo>
                              <a:lnTo>
                                <a:pt x="2838881" y="2064893"/>
                              </a:lnTo>
                              <a:lnTo>
                                <a:pt x="2053640" y="1279779"/>
                              </a:lnTo>
                              <a:lnTo>
                                <a:pt x="2139365" y="1194054"/>
                              </a:lnTo>
                              <a:lnTo>
                                <a:pt x="2186228" y="1159484"/>
                              </a:lnTo>
                              <a:lnTo>
                                <a:pt x="2238806" y="1143000"/>
                              </a:lnTo>
                              <a:lnTo>
                                <a:pt x="2267839" y="1141907"/>
                              </a:lnTo>
                              <a:lnTo>
                                <a:pt x="2298090" y="1143939"/>
                              </a:lnTo>
                              <a:lnTo>
                                <a:pt x="2363000" y="1158494"/>
                              </a:lnTo>
                              <a:lnTo>
                                <a:pt x="2433980" y="1185887"/>
                              </a:lnTo>
                              <a:lnTo>
                                <a:pt x="2471470" y="1203947"/>
                              </a:lnTo>
                              <a:lnTo>
                                <a:pt x="2510205" y="1225169"/>
                              </a:lnTo>
                              <a:lnTo>
                                <a:pt x="2550185" y="1248765"/>
                              </a:lnTo>
                              <a:lnTo>
                                <a:pt x="2591638" y="1274038"/>
                              </a:lnTo>
                              <a:lnTo>
                                <a:pt x="2634577" y="1301076"/>
                              </a:lnTo>
                              <a:lnTo>
                                <a:pt x="2678988" y="1329944"/>
                              </a:lnTo>
                              <a:lnTo>
                                <a:pt x="3212274" y="1682508"/>
                              </a:lnTo>
                              <a:lnTo>
                                <a:pt x="3221609" y="1688338"/>
                              </a:lnTo>
                              <a:lnTo>
                                <a:pt x="3259417" y="1702981"/>
                              </a:lnTo>
                              <a:lnTo>
                                <a:pt x="3266490" y="1702816"/>
                              </a:lnTo>
                              <a:lnTo>
                                <a:pt x="3304260" y="1687220"/>
                              </a:lnTo>
                              <a:lnTo>
                                <a:pt x="3341103" y="1653374"/>
                              </a:lnTo>
                              <a:lnTo>
                                <a:pt x="3368598" y="1618081"/>
                              </a:lnTo>
                              <a:lnTo>
                                <a:pt x="3375964" y="1596263"/>
                              </a:lnTo>
                              <a:lnTo>
                                <a:pt x="3376853" y="158673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74.266006pt;margin-top:-336.364014pt;width:265.9pt;height:246.75pt;mso-position-horizontal-relative:page;mso-position-vertical-relative:paragraph;z-index:-26084352" id="docshape513" coordorigin="1485,-6727" coordsize="5318,4935" path="m4991,-2770l4985,-2844,4974,-2920,4957,-2998,4934,-3077,4912,-3141,4887,-3205,4859,-3270,4827,-3337,4792,-3405,4753,-3475,4710,-3546,4664,-3618,4614,-3691,4603,-3706,4603,-2854,4596,-2784,4580,-2717,4554,-2652,4519,-2589,4474,-2529,4420,-2469,4213,-2262,1953,-4521,2158,-4727,2222,-4784,2287,-4831,2355,-4866,2426,-4889,2498,-4901,2573,-4903,2650,-4898,2729,-4885,2811,-4865,2895,-4835,2966,-4805,3039,-4770,3113,-4730,3187,-4685,3263,-4635,3340,-4580,3399,-4535,3457,-4489,3516,-4441,3575,-4390,3634,-4338,3692,-4284,3751,-4229,3810,-4171,3875,-4105,3936,-4041,3995,-3979,4051,-3917,4104,-3856,4155,-3797,4202,-3739,4247,-3682,4289,-3626,4340,-3555,4386,-3486,4427,-3418,4464,-3352,4496,-3288,4525,-3225,4549,-3164,4576,-3081,4594,-3002,4603,-2927,4603,-2854,4603,-3706,4575,-3746,4533,-3802,4490,-3859,4444,-3916,4397,-3974,4347,-4033,4296,-4092,4242,-4152,4186,-4213,4128,-4274,4069,-4336,4007,-4399,3942,-4463,3877,-4525,3812,-4585,3748,-4642,3684,-4698,3621,-4751,3558,-4802,3495,-4850,3433,-4896,3424,-4903,3372,-4940,3296,-4991,3221,-5038,3146,-5082,3073,-5121,3000,-5158,2928,-5190,2858,-5219,2788,-5245,2710,-5268,2634,-5286,2560,-5298,2487,-5305,2416,-5307,2346,-5304,2279,-5296,2202,-5280,2127,-5254,2055,-5218,1984,-5174,1916,-5121,1849,-5060,1505,-4716,1494,-4701,1487,-4681,1485,-4658,1488,-4632,1499,-4599,1519,-4564,1548,-4526,1587,-4484,4177,-1894,4219,-1855,4257,-1826,4292,-1807,4323,-1797,4351,-1793,4374,-1794,4394,-1801,4409,-1812,4731,-2133,4792,-2200,4840,-2262,4845,-2268,4889,-2338,4926,-2410,4954,-2484,4974,-2561,4985,-2628,4991,-2698,4991,-2770xm6803,-4228l6801,-4240,6795,-4251,6789,-4260,6782,-4269,6775,-4278,6767,-4286,6757,-4296,6744,-4307,6729,-4319,6710,-4333,6689,-4348,6577,-4424,5799,-4929,5736,-4970,5673,-5009,5648,-5024,5557,-5078,5503,-5109,5451,-5137,5401,-5162,5353,-5184,5307,-5203,5262,-5218,5220,-5232,5179,-5243,5140,-5250,5110,-5253,5103,-5254,5067,-5255,5032,-5253,5041,-5310,5046,-5367,5046,-5425,5043,-5484,5035,-5544,5022,-5605,5004,-5668,4981,-5732,4953,-5796,4920,-5861,4882,-5927,4836,-5996,4796,-6050,4752,-6105,4714,-6150,4714,-5495,4712,-5446,4705,-5397,4691,-5351,4669,-5305,4641,-5262,4605,-5221,4407,-5024,3429,-6002,3599,-6172,3628,-6201,3655,-6225,3680,-6246,3703,-6263,3725,-6277,3747,-6289,3769,-6299,3791,-6306,3864,-6320,3939,-6319,4015,-6303,4093,-6272,4157,-6237,4222,-6194,4288,-6145,4355,-6087,4423,-6022,4473,-5970,4519,-5917,4562,-5863,4601,-5809,4634,-5755,4661,-5701,4682,-5649,4698,-5597,4709,-5545,4714,-5495,4714,-6150,4704,-6161,4652,-6219,4596,-6276,4551,-6320,4536,-6335,4476,-6390,4416,-6440,4357,-6487,4298,-6530,4224,-6577,4152,-6618,4080,-6652,4009,-6681,3938,-6703,3870,-6718,3802,-6725,3737,-6727,3672,-6722,3609,-6709,3548,-6689,3489,-6663,3470,-6651,3449,-6638,3407,-6609,3385,-6590,3361,-6569,3334,-6544,3306,-6517,2984,-6194,2972,-6179,2966,-6160,2964,-6137,2967,-6110,2978,-6078,2998,-6043,3027,-6004,3066,-5962,5754,-3273,5763,-3265,5772,-3258,5781,-3252,5790,-3247,5803,-3241,5814,-3239,5827,-3243,5838,-3245,5850,-3248,5862,-3253,5874,-3259,5886,-3268,5899,-3277,5912,-3289,5927,-3303,5941,-3317,5953,-3331,5963,-3344,5972,-3356,5977,-3369,5982,-3380,5985,-3391,5986,-3402,5989,-3414,5988,-3427,5983,-3439,5978,-3448,5971,-3458,5964,-3467,5956,-3475,4719,-4712,4854,-4847,4890,-4878,4928,-4901,4969,-4918,5011,-4927,5057,-4929,5104,-4926,5154,-4917,5207,-4903,5261,-4884,5318,-4860,5377,-4831,5438,-4798,5501,-4761,5567,-4721,5634,-4678,5704,-4633,6544,-4078,6559,-4068,6572,-4061,6585,-4055,6596,-4050,6607,-4047,6618,-4045,6629,-4046,6642,-4046,6654,-4049,6665,-4054,6677,-4061,6689,-4070,6702,-4081,6716,-4093,6731,-4106,6747,-4124,6761,-4139,6773,-4154,6782,-4167,6790,-4179,6796,-4191,6800,-4202,6802,-4213,6803,-4228xe" filled="true" fillcolor="#c0c0c0" stroked="false">
                <v:path arrowok="t"/>
                <v:fill opacity="32896f" type="solid"/>
                <w10:wrap type="none"/>
              </v:shape>
            </w:pict>
          </mc:Fallback>
        </mc:AlternateContent>
      </w:r>
      <w:r>
        <w:rPr>
          <w:sz w:val="24"/>
        </w:rPr>
        <w:t>Page </w:t>
      </w:r>
      <w:r>
        <w:rPr>
          <w:b/>
          <w:sz w:val="24"/>
        </w:rPr>
        <w:t>1 </w:t>
      </w:r>
      <w:r>
        <w:rPr>
          <w:sz w:val="24"/>
        </w:rPr>
        <w:t>of</w:t>
      </w:r>
      <w:r>
        <w:rPr>
          <w:spacing w:val="-3"/>
          <w:sz w:val="24"/>
        </w:rPr>
        <w:t> </w:t>
      </w:r>
      <w:r>
        <w:rPr>
          <w:b/>
          <w:spacing w:val="-5"/>
          <w:sz w:val="24"/>
        </w:rPr>
        <w:t>11</w:t>
      </w:r>
    </w:p>
    <w:p>
      <w:pPr>
        <w:spacing w:after="0"/>
        <w:jc w:val="right"/>
        <w:rPr>
          <w:b/>
          <w:sz w:val="24"/>
        </w:rPr>
        <w:sectPr>
          <w:footerReference w:type="default" r:id="rId117"/>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64" name="Image 764"/>
            <wp:cNvGraphicFramePr>
              <a:graphicFrameLocks/>
            </wp:cNvGraphicFramePr>
            <a:graphic>
              <a:graphicData uri="http://schemas.openxmlformats.org/drawingml/2006/picture">
                <pic:pic>
                  <pic:nvPicPr>
                    <pic:cNvPr id="764" name="Image 764"/>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65" name="Image 765"/>
            <wp:cNvGraphicFramePr>
              <a:graphicFrameLocks/>
            </wp:cNvGraphicFramePr>
            <a:graphic>
              <a:graphicData uri="http://schemas.openxmlformats.org/drawingml/2006/picture">
                <pic:pic>
                  <pic:nvPicPr>
                    <pic:cNvPr id="765" name="Image 765"/>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01"/>
        <w:gridCol w:w="990"/>
        <w:gridCol w:w="6803"/>
      </w:tblGrid>
      <w:tr>
        <w:trPr>
          <w:trHeight w:val="290" w:hRule="atLeast"/>
        </w:trPr>
        <w:tc>
          <w:tcPr>
            <w:tcW w:w="2701" w:type="dxa"/>
          </w:tcPr>
          <w:p>
            <w:pPr>
              <w:pStyle w:val="TableParagraph"/>
              <w:spacing w:line="270" w:lineRule="exact"/>
              <w:ind w:left="110"/>
              <w:rPr>
                <w:rFonts w:ascii="Verdana"/>
                <w:sz w:val="24"/>
              </w:rPr>
            </w:pPr>
            <w:r>
              <w:rPr>
                <w:rFonts w:ascii="Verdana"/>
                <w:sz w:val="24"/>
              </w:rPr>
              <w:t>Lee</w:t>
            </w:r>
            <w:r>
              <w:rPr>
                <w:rFonts w:ascii="Verdana"/>
                <w:spacing w:val="3"/>
                <w:sz w:val="24"/>
              </w:rPr>
              <w:t> </w:t>
            </w:r>
            <w:r>
              <w:rPr>
                <w:rFonts w:ascii="Verdana"/>
                <w:spacing w:val="-2"/>
                <w:sz w:val="24"/>
              </w:rPr>
              <w:t>Davies</w:t>
            </w:r>
          </w:p>
        </w:tc>
        <w:tc>
          <w:tcPr>
            <w:tcW w:w="990" w:type="dxa"/>
          </w:tcPr>
          <w:p>
            <w:pPr>
              <w:pStyle w:val="TableParagraph"/>
              <w:spacing w:line="270" w:lineRule="exact"/>
              <w:ind w:left="9" w:right="1"/>
              <w:jc w:val="center"/>
              <w:rPr>
                <w:rFonts w:ascii="Verdana"/>
                <w:sz w:val="24"/>
              </w:rPr>
            </w:pPr>
            <w:r>
              <w:rPr>
                <w:rFonts w:ascii="Verdana"/>
                <w:spacing w:val="-4"/>
                <w:sz w:val="24"/>
              </w:rPr>
              <w:t>(LD)</w:t>
            </w:r>
          </w:p>
        </w:tc>
        <w:tc>
          <w:tcPr>
            <w:tcW w:w="6803" w:type="dxa"/>
          </w:tcPr>
          <w:p>
            <w:pPr>
              <w:pStyle w:val="TableParagraph"/>
              <w:spacing w:line="270" w:lineRule="exact"/>
              <w:ind w:left="110"/>
              <w:rPr>
                <w:rFonts w:ascii="Verdana"/>
                <w:sz w:val="24"/>
              </w:rPr>
            </w:pPr>
            <w:r>
              <w:rPr>
                <w:rFonts w:ascii="Verdana"/>
                <w:sz w:val="24"/>
              </w:rPr>
              <w:t>Executive</w:t>
            </w:r>
            <w:r>
              <w:rPr>
                <w:rFonts w:ascii="Verdana"/>
                <w:spacing w:val="-1"/>
                <w:sz w:val="24"/>
              </w:rPr>
              <w:t> </w:t>
            </w:r>
            <w:r>
              <w:rPr>
                <w:rFonts w:ascii="Verdana"/>
                <w:sz w:val="24"/>
              </w:rPr>
              <w:t>Director</w:t>
            </w:r>
            <w:r>
              <w:rPr>
                <w:rFonts w:ascii="Verdana"/>
                <w:spacing w:val="1"/>
                <w:sz w:val="24"/>
              </w:rPr>
              <w:t> </w:t>
            </w:r>
            <w:r>
              <w:rPr>
                <w:rFonts w:ascii="Verdana"/>
                <w:sz w:val="24"/>
              </w:rPr>
              <w:t>of</w:t>
            </w:r>
            <w:r>
              <w:rPr>
                <w:rFonts w:ascii="Verdana"/>
                <w:spacing w:val="-2"/>
                <w:sz w:val="24"/>
              </w:rPr>
              <w:t> </w:t>
            </w:r>
            <w:r>
              <w:rPr>
                <w:rFonts w:ascii="Verdana"/>
                <w:sz w:val="24"/>
              </w:rPr>
              <w:t>Strategy</w:t>
            </w:r>
            <w:r>
              <w:rPr>
                <w:rFonts w:ascii="Verdana"/>
                <w:spacing w:val="-3"/>
                <w:sz w:val="24"/>
              </w:rPr>
              <w:t> </w:t>
            </w:r>
            <w:r>
              <w:rPr>
                <w:rFonts w:ascii="Verdana"/>
                <w:sz w:val="24"/>
              </w:rPr>
              <w:t>and</w:t>
            </w:r>
            <w:r>
              <w:rPr>
                <w:rFonts w:ascii="Verdana"/>
                <w:spacing w:val="-1"/>
                <w:sz w:val="24"/>
              </w:rPr>
              <w:t> </w:t>
            </w:r>
            <w:r>
              <w:rPr>
                <w:rFonts w:ascii="Verdana"/>
                <w:spacing w:val="-2"/>
                <w:sz w:val="24"/>
              </w:rPr>
              <w:t>Planning</w:t>
            </w:r>
          </w:p>
        </w:tc>
      </w:tr>
      <w:tr>
        <w:trPr>
          <w:trHeight w:val="305" w:hRule="atLeast"/>
        </w:trPr>
        <w:tc>
          <w:tcPr>
            <w:tcW w:w="2701" w:type="dxa"/>
          </w:tcPr>
          <w:p>
            <w:pPr>
              <w:pStyle w:val="TableParagraph"/>
              <w:spacing w:line="285" w:lineRule="exact"/>
              <w:ind w:left="110"/>
              <w:rPr>
                <w:rFonts w:ascii="Verdana"/>
                <w:sz w:val="24"/>
              </w:rPr>
            </w:pPr>
            <w:r>
              <w:rPr>
                <w:rFonts w:ascii="Verdana"/>
                <w:sz w:val="24"/>
              </w:rPr>
              <w:t>Mark</w:t>
            </w:r>
            <w:r>
              <w:rPr>
                <w:rFonts w:ascii="Verdana"/>
                <w:spacing w:val="-3"/>
                <w:sz w:val="24"/>
              </w:rPr>
              <w:t> </w:t>
            </w:r>
            <w:r>
              <w:rPr>
                <w:rFonts w:ascii="Verdana"/>
                <w:spacing w:val="-2"/>
                <w:sz w:val="24"/>
              </w:rPr>
              <w:t>Henwood</w:t>
            </w:r>
          </w:p>
        </w:tc>
        <w:tc>
          <w:tcPr>
            <w:tcW w:w="990" w:type="dxa"/>
          </w:tcPr>
          <w:p>
            <w:pPr>
              <w:pStyle w:val="TableParagraph"/>
              <w:spacing w:line="285" w:lineRule="exact"/>
              <w:ind w:left="8" w:right="8"/>
              <w:jc w:val="center"/>
              <w:rPr>
                <w:rFonts w:ascii="Verdana"/>
                <w:sz w:val="24"/>
              </w:rPr>
            </w:pPr>
            <w:r>
              <w:rPr>
                <w:rFonts w:ascii="Verdana"/>
                <w:spacing w:val="-4"/>
                <w:sz w:val="24"/>
              </w:rPr>
              <w:t>(MH)</w:t>
            </w:r>
          </w:p>
        </w:tc>
        <w:tc>
          <w:tcPr>
            <w:tcW w:w="6803" w:type="dxa"/>
          </w:tcPr>
          <w:p>
            <w:pPr>
              <w:pStyle w:val="TableParagraph"/>
              <w:spacing w:line="285" w:lineRule="exact"/>
              <w:ind w:left="110"/>
              <w:rPr>
                <w:rFonts w:ascii="Verdana"/>
                <w:sz w:val="24"/>
              </w:rPr>
            </w:pPr>
            <w:r>
              <w:rPr>
                <w:rFonts w:ascii="Verdana"/>
                <w:sz w:val="24"/>
              </w:rPr>
              <w:t>Executive</w:t>
            </w:r>
            <w:r>
              <w:rPr>
                <w:rFonts w:ascii="Verdana"/>
                <w:spacing w:val="-4"/>
                <w:sz w:val="24"/>
              </w:rPr>
              <w:t> </w:t>
            </w:r>
            <w:r>
              <w:rPr>
                <w:rFonts w:ascii="Verdana"/>
                <w:sz w:val="24"/>
              </w:rPr>
              <w:t>Medical</w:t>
            </w:r>
            <w:r>
              <w:rPr>
                <w:rFonts w:ascii="Verdana"/>
                <w:spacing w:val="-5"/>
                <w:sz w:val="24"/>
              </w:rPr>
              <w:t> </w:t>
            </w:r>
            <w:r>
              <w:rPr>
                <w:rFonts w:ascii="Verdana"/>
                <w:spacing w:val="-2"/>
                <w:sz w:val="24"/>
              </w:rPr>
              <w:t>Director</w:t>
            </w:r>
          </w:p>
        </w:tc>
      </w:tr>
      <w:tr>
        <w:trPr>
          <w:trHeight w:val="305" w:hRule="atLeast"/>
        </w:trPr>
        <w:tc>
          <w:tcPr>
            <w:tcW w:w="2701" w:type="dxa"/>
          </w:tcPr>
          <w:p>
            <w:pPr>
              <w:pStyle w:val="TableParagraph"/>
              <w:spacing w:line="285" w:lineRule="exact"/>
              <w:ind w:left="110"/>
              <w:rPr>
                <w:rFonts w:ascii="Verdana"/>
                <w:sz w:val="24"/>
              </w:rPr>
            </w:pPr>
            <w:r>
              <w:rPr>
                <w:rFonts w:ascii="Verdana"/>
                <w:sz w:val="24"/>
              </w:rPr>
              <w:t>Joanne</w:t>
            </w:r>
            <w:r>
              <w:rPr>
                <w:rFonts w:ascii="Verdana"/>
                <w:spacing w:val="-3"/>
                <w:sz w:val="24"/>
              </w:rPr>
              <w:t> </w:t>
            </w:r>
            <w:r>
              <w:rPr>
                <w:rFonts w:ascii="Verdana"/>
                <w:spacing w:val="-2"/>
                <w:sz w:val="24"/>
              </w:rPr>
              <w:t>Wilson</w:t>
            </w:r>
          </w:p>
        </w:tc>
        <w:tc>
          <w:tcPr>
            <w:tcW w:w="990" w:type="dxa"/>
          </w:tcPr>
          <w:p>
            <w:pPr>
              <w:pStyle w:val="TableParagraph"/>
              <w:spacing w:line="285" w:lineRule="exact"/>
              <w:ind w:left="8" w:right="4"/>
              <w:jc w:val="center"/>
              <w:rPr>
                <w:rFonts w:ascii="Verdana"/>
                <w:sz w:val="24"/>
              </w:rPr>
            </w:pPr>
            <w:r>
              <w:rPr>
                <w:rFonts w:ascii="Verdana"/>
                <w:spacing w:val="-4"/>
                <w:sz w:val="24"/>
              </w:rPr>
              <w:t>(JWi)</w:t>
            </w:r>
          </w:p>
        </w:tc>
        <w:tc>
          <w:tcPr>
            <w:tcW w:w="6803" w:type="dxa"/>
          </w:tcPr>
          <w:p>
            <w:pPr>
              <w:pStyle w:val="TableParagraph"/>
              <w:spacing w:line="285" w:lineRule="exact"/>
              <w:ind w:left="110"/>
              <w:rPr>
                <w:rFonts w:ascii="Verdana"/>
                <w:sz w:val="24"/>
              </w:rPr>
            </w:pPr>
            <w:r>
              <w:rPr>
                <w:rFonts w:ascii="Verdana"/>
                <w:sz w:val="24"/>
              </w:rPr>
              <w:t>Director</w:t>
            </w:r>
            <w:r>
              <w:rPr>
                <w:rFonts w:ascii="Verdana"/>
                <w:spacing w:val="-2"/>
                <w:sz w:val="24"/>
              </w:rPr>
              <w:t> </w:t>
            </w:r>
            <w:r>
              <w:rPr>
                <w:rFonts w:ascii="Verdana"/>
                <w:sz w:val="24"/>
              </w:rPr>
              <w:t>of</w:t>
            </w:r>
            <w:r>
              <w:rPr>
                <w:rFonts w:ascii="Verdana"/>
                <w:spacing w:val="-6"/>
                <w:sz w:val="24"/>
              </w:rPr>
              <w:t> </w:t>
            </w:r>
            <w:r>
              <w:rPr>
                <w:rFonts w:ascii="Verdana"/>
                <w:sz w:val="24"/>
              </w:rPr>
              <w:t>Corporate</w:t>
            </w:r>
            <w:r>
              <w:rPr>
                <w:rFonts w:ascii="Verdana"/>
                <w:spacing w:val="-4"/>
                <w:sz w:val="24"/>
              </w:rPr>
              <w:t> </w:t>
            </w:r>
            <w:r>
              <w:rPr>
                <w:rFonts w:ascii="Verdana"/>
                <w:sz w:val="24"/>
              </w:rPr>
              <w:t>Governance/Board</w:t>
            </w:r>
            <w:r>
              <w:rPr>
                <w:rFonts w:ascii="Verdana"/>
                <w:spacing w:val="-5"/>
                <w:sz w:val="24"/>
              </w:rPr>
              <w:t> </w:t>
            </w:r>
            <w:r>
              <w:rPr>
                <w:rFonts w:ascii="Verdana"/>
                <w:spacing w:val="-2"/>
                <w:sz w:val="24"/>
              </w:rPr>
              <w:t>Secretary</w:t>
            </w:r>
          </w:p>
        </w:tc>
      </w:tr>
      <w:tr>
        <w:trPr>
          <w:trHeight w:val="290" w:hRule="atLeast"/>
        </w:trPr>
        <w:tc>
          <w:tcPr>
            <w:tcW w:w="2701" w:type="dxa"/>
          </w:tcPr>
          <w:p>
            <w:pPr>
              <w:pStyle w:val="TableParagraph"/>
              <w:spacing w:line="270" w:lineRule="exact"/>
              <w:ind w:left="110"/>
              <w:rPr>
                <w:rFonts w:ascii="Verdana"/>
                <w:sz w:val="24"/>
              </w:rPr>
            </w:pPr>
            <w:r>
              <w:rPr>
                <w:rFonts w:ascii="Verdana"/>
                <w:sz w:val="24"/>
              </w:rPr>
              <w:t>Anthony</w:t>
            </w:r>
            <w:r>
              <w:rPr>
                <w:rFonts w:ascii="Verdana"/>
                <w:spacing w:val="-9"/>
                <w:sz w:val="24"/>
              </w:rPr>
              <w:t> </w:t>
            </w:r>
            <w:r>
              <w:rPr>
                <w:rFonts w:ascii="Verdana"/>
                <w:spacing w:val="-2"/>
                <w:sz w:val="24"/>
              </w:rPr>
              <w:t>Tracey</w:t>
            </w:r>
          </w:p>
        </w:tc>
        <w:tc>
          <w:tcPr>
            <w:tcW w:w="990" w:type="dxa"/>
          </w:tcPr>
          <w:p>
            <w:pPr>
              <w:pStyle w:val="TableParagraph"/>
              <w:spacing w:line="270" w:lineRule="exact"/>
              <w:ind w:left="8" w:right="5"/>
              <w:jc w:val="center"/>
              <w:rPr>
                <w:rFonts w:ascii="Verdana"/>
                <w:sz w:val="24"/>
              </w:rPr>
            </w:pPr>
            <w:r>
              <w:rPr>
                <w:rFonts w:ascii="Verdana"/>
                <w:spacing w:val="-4"/>
                <w:sz w:val="24"/>
              </w:rPr>
              <w:t>(AT)</w:t>
            </w:r>
          </w:p>
        </w:tc>
        <w:tc>
          <w:tcPr>
            <w:tcW w:w="6803" w:type="dxa"/>
          </w:tcPr>
          <w:p>
            <w:pPr>
              <w:pStyle w:val="TableParagraph"/>
              <w:spacing w:line="270" w:lineRule="exact"/>
              <w:ind w:left="110"/>
              <w:rPr>
                <w:rFonts w:ascii="Verdana"/>
                <w:sz w:val="24"/>
              </w:rPr>
            </w:pPr>
            <w:r>
              <w:rPr>
                <w:rFonts w:ascii="Verdana"/>
                <w:sz w:val="24"/>
              </w:rPr>
              <w:t>Director</w:t>
            </w:r>
            <w:r>
              <w:rPr>
                <w:rFonts w:ascii="Verdana"/>
                <w:spacing w:val="3"/>
                <w:sz w:val="24"/>
              </w:rPr>
              <w:t> </w:t>
            </w:r>
            <w:r>
              <w:rPr>
                <w:rFonts w:ascii="Verdana"/>
                <w:sz w:val="24"/>
              </w:rPr>
              <w:t>of</w:t>
            </w:r>
            <w:r>
              <w:rPr>
                <w:rFonts w:ascii="Verdana"/>
                <w:spacing w:val="1"/>
                <w:sz w:val="24"/>
              </w:rPr>
              <w:t> </w:t>
            </w:r>
            <w:r>
              <w:rPr>
                <w:rFonts w:ascii="Verdana"/>
                <w:spacing w:val="-2"/>
                <w:sz w:val="24"/>
              </w:rPr>
              <w:t>Digital</w:t>
            </w:r>
          </w:p>
        </w:tc>
      </w:tr>
      <w:tr>
        <w:trPr>
          <w:trHeight w:val="305" w:hRule="atLeast"/>
        </w:trPr>
        <w:tc>
          <w:tcPr>
            <w:tcW w:w="10494" w:type="dxa"/>
            <w:gridSpan w:val="3"/>
          </w:tcPr>
          <w:p>
            <w:pPr>
              <w:pStyle w:val="TableParagraph"/>
              <w:spacing w:line="285" w:lineRule="exact"/>
              <w:ind w:left="110"/>
              <w:rPr>
                <w:rFonts w:ascii="Verdana"/>
                <w:b/>
                <w:sz w:val="24"/>
              </w:rPr>
            </w:pPr>
            <w:r>
              <w:rPr>
                <w:rFonts w:ascii="Verdana"/>
                <w:b/>
                <w:spacing w:val="-2"/>
                <w:sz w:val="24"/>
              </w:rPr>
              <w:t>Apologies:</w:t>
            </w:r>
          </w:p>
        </w:tc>
      </w:tr>
      <w:tr>
        <w:trPr>
          <w:trHeight w:val="305" w:hRule="atLeast"/>
        </w:trPr>
        <w:tc>
          <w:tcPr>
            <w:tcW w:w="2701" w:type="dxa"/>
          </w:tcPr>
          <w:p>
            <w:pPr>
              <w:pStyle w:val="TableParagraph"/>
              <w:spacing w:line="285" w:lineRule="exact"/>
              <w:ind w:left="110"/>
              <w:rPr>
                <w:rFonts w:ascii="Verdana"/>
                <w:sz w:val="24"/>
              </w:rPr>
            </w:pPr>
            <w:r>
              <w:rPr>
                <w:rFonts w:ascii="Verdana"/>
                <w:sz w:val="24"/>
              </w:rPr>
              <w:t>Maynard</w:t>
            </w:r>
            <w:r>
              <w:rPr>
                <w:rFonts w:ascii="Verdana"/>
                <w:spacing w:val="-6"/>
                <w:sz w:val="24"/>
              </w:rPr>
              <w:t> </w:t>
            </w:r>
            <w:r>
              <w:rPr>
                <w:rFonts w:ascii="Verdana"/>
                <w:spacing w:val="-2"/>
                <w:sz w:val="24"/>
              </w:rPr>
              <w:t>Davies</w:t>
            </w:r>
          </w:p>
        </w:tc>
        <w:tc>
          <w:tcPr>
            <w:tcW w:w="990" w:type="dxa"/>
          </w:tcPr>
          <w:p>
            <w:pPr>
              <w:pStyle w:val="TableParagraph"/>
              <w:spacing w:line="285" w:lineRule="exact"/>
              <w:ind w:left="8" w:right="5"/>
              <w:jc w:val="center"/>
              <w:rPr>
                <w:rFonts w:ascii="Verdana"/>
                <w:sz w:val="24"/>
              </w:rPr>
            </w:pPr>
            <w:r>
              <w:rPr>
                <w:rFonts w:ascii="Verdana"/>
                <w:spacing w:val="-4"/>
                <w:sz w:val="24"/>
              </w:rPr>
              <w:t>(MD)</w:t>
            </w:r>
          </w:p>
        </w:tc>
        <w:tc>
          <w:tcPr>
            <w:tcW w:w="6803" w:type="dxa"/>
          </w:tcPr>
          <w:p>
            <w:pPr>
              <w:pStyle w:val="TableParagraph"/>
              <w:spacing w:line="285" w:lineRule="exact"/>
              <w:ind w:left="110"/>
              <w:rPr>
                <w:rFonts w:ascii="Verdana"/>
                <w:sz w:val="24"/>
              </w:rPr>
            </w:pPr>
            <w:r>
              <w:rPr>
                <w:rFonts w:ascii="Verdana"/>
                <w:sz w:val="24"/>
              </w:rPr>
              <w:t>Independent</w:t>
            </w:r>
            <w:r>
              <w:rPr>
                <w:rFonts w:ascii="Verdana"/>
                <w:spacing w:val="-1"/>
                <w:sz w:val="24"/>
              </w:rPr>
              <w:t> </w:t>
            </w:r>
            <w:r>
              <w:rPr>
                <w:rFonts w:ascii="Verdana"/>
                <w:spacing w:val="-2"/>
                <w:sz w:val="24"/>
              </w:rPr>
              <w:t>Member</w:t>
            </w:r>
          </w:p>
        </w:tc>
      </w:tr>
      <w:tr>
        <w:trPr>
          <w:trHeight w:val="305" w:hRule="atLeast"/>
        </w:trPr>
        <w:tc>
          <w:tcPr>
            <w:tcW w:w="2701" w:type="dxa"/>
          </w:tcPr>
          <w:p>
            <w:pPr>
              <w:pStyle w:val="TableParagraph"/>
              <w:spacing w:line="286" w:lineRule="exact"/>
              <w:ind w:left="110"/>
              <w:rPr>
                <w:rFonts w:ascii="Verdana"/>
                <w:sz w:val="24"/>
              </w:rPr>
            </w:pPr>
            <w:r>
              <w:rPr>
                <w:rFonts w:ascii="Verdana"/>
                <w:sz w:val="24"/>
              </w:rPr>
              <w:t>Chantal</w:t>
            </w:r>
            <w:r>
              <w:rPr>
                <w:rFonts w:ascii="Verdana"/>
                <w:spacing w:val="-2"/>
                <w:sz w:val="24"/>
              </w:rPr>
              <w:t> Patel</w:t>
            </w:r>
          </w:p>
        </w:tc>
        <w:tc>
          <w:tcPr>
            <w:tcW w:w="990" w:type="dxa"/>
          </w:tcPr>
          <w:p>
            <w:pPr>
              <w:pStyle w:val="TableParagraph"/>
              <w:spacing w:line="286" w:lineRule="exact"/>
              <w:ind w:left="8" w:right="5"/>
              <w:jc w:val="center"/>
              <w:rPr>
                <w:rFonts w:ascii="Verdana"/>
                <w:sz w:val="24"/>
              </w:rPr>
            </w:pPr>
            <w:r>
              <w:rPr>
                <w:rFonts w:ascii="Verdana"/>
                <w:spacing w:val="-4"/>
                <w:sz w:val="24"/>
              </w:rPr>
              <w:t>(CP)</w:t>
            </w:r>
          </w:p>
        </w:tc>
        <w:tc>
          <w:tcPr>
            <w:tcW w:w="6803" w:type="dxa"/>
          </w:tcPr>
          <w:p>
            <w:pPr>
              <w:pStyle w:val="TableParagraph"/>
              <w:spacing w:line="286" w:lineRule="exact"/>
              <w:ind w:left="110"/>
              <w:rPr>
                <w:rFonts w:ascii="Verdana"/>
                <w:sz w:val="24"/>
              </w:rPr>
            </w:pPr>
            <w:r>
              <w:rPr>
                <w:rFonts w:ascii="Verdana"/>
                <w:sz w:val="24"/>
              </w:rPr>
              <w:t>Independent</w:t>
            </w:r>
            <w:r>
              <w:rPr>
                <w:rFonts w:ascii="Verdana"/>
                <w:spacing w:val="-1"/>
                <w:sz w:val="24"/>
              </w:rPr>
              <w:t> </w:t>
            </w:r>
            <w:r>
              <w:rPr>
                <w:rFonts w:ascii="Verdana"/>
                <w:spacing w:val="-2"/>
                <w:sz w:val="24"/>
              </w:rPr>
              <w:t>Member</w:t>
            </w:r>
          </w:p>
        </w:tc>
      </w:tr>
      <w:tr>
        <w:trPr>
          <w:trHeight w:val="300" w:hRule="atLeast"/>
        </w:trPr>
        <w:tc>
          <w:tcPr>
            <w:tcW w:w="2701" w:type="dxa"/>
          </w:tcPr>
          <w:p>
            <w:pPr>
              <w:pStyle w:val="TableParagraph"/>
              <w:spacing w:line="280" w:lineRule="exact"/>
              <w:ind w:left="110"/>
              <w:rPr>
                <w:rFonts w:ascii="Verdana"/>
                <w:sz w:val="24"/>
              </w:rPr>
            </w:pPr>
            <w:r>
              <w:rPr>
                <w:rFonts w:ascii="Verdana"/>
                <w:sz w:val="24"/>
              </w:rPr>
              <w:t>Eleanor</w:t>
            </w:r>
            <w:r>
              <w:rPr>
                <w:rFonts w:ascii="Verdana"/>
                <w:spacing w:val="-4"/>
                <w:sz w:val="24"/>
              </w:rPr>
              <w:t> Marks</w:t>
            </w:r>
          </w:p>
        </w:tc>
        <w:tc>
          <w:tcPr>
            <w:tcW w:w="990" w:type="dxa"/>
          </w:tcPr>
          <w:p>
            <w:pPr>
              <w:pStyle w:val="TableParagraph"/>
              <w:spacing w:line="280" w:lineRule="exact"/>
              <w:ind w:left="9" w:right="1"/>
              <w:jc w:val="center"/>
              <w:rPr>
                <w:rFonts w:ascii="Verdana"/>
                <w:sz w:val="24"/>
              </w:rPr>
            </w:pPr>
            <w:r>
              <w:rPr>
                <w:rFonts w:ascii="Verdana"/>
                <w:spacing w:val="-4"/>
                <w:sz w:val="24"/>
              </w:rPr>
              <w:t>(NW)</w:t>
            </w:r>
          </w:p>
        </w:tc>
        <w:tc>
          <w:tcPr>
            <w:tcW w:w="6803" w:type="dxa"/>
          </w:tcPr>
          <w:p>
            <w:pPr>
              <w:pStyle w:val="TableParagraph"/>
              <w:spacing w:line="280" w:lineRule="exact"/>
              <w:ind w:left="110"/>
              <w:rPr>
                <w:rFonts w:ascii="Verdana"/>
                <w:sz w:val="24"/>
              </w:rPr>
            </w:pPr>
            <w:r>
              <w:rPr>
                <w:rFonts w:ascii="Verdana"/>
                <w:sz w:val="24"/>
              </w:rPr>
              <w:t>Vice</w:t>
            </w:r>
            <w:r>
              <w:rPr>
                <w:rFonts w:ascii="Verdana"/>
                <w:spacing w:val="-3"/>
                <w:sz w:val="24"/>
              </w:rPr>
              <w:t> </w:t>
            </w:r>
            <w:r>
              <w:rPr>
                <w:rFonts w:ascii="Verdana"/>
                <w:sz w:val="24"/>
              </w:rPr>
              <w:t>Chair (Joint</w:t>
            </w:r>
            <w:r>
              <w:rPr>
                <w:rFonts w:ascii="Verdana"/>
                <w:spacing w:val="-2"/>
                <w:sz w:val="24"/>
              </w:rPr>
              <w:t> </w:t>
            </w:r>
            <w:r>
              <w:rPr>
                <w:rFonts w:ascii="Verdana"/>
                <w:sz w:val="24"/>
              </w:rPr>
              <w:t>Chair of</w:t>
            </w:r>
            <w:r>
              <w:rPr>
                <w:rFonts w:ascii="Verdana"/>
                <w:spacing w:val="-2"/>
                <w:sz w:val="24"/>
              </w:rPr>
              <w:t> </w:t>
            </w:r>
            <w:r>
              <w:rPr>
                <w:rFonts w:ascii="Verdana"/>
                <w:sz w:val="24"/>
              </w:rPr>
              <w:t>the</w:t>
            </w:r>
            <w:r>
              <w:rPr>
                <w:rFonts w:ascii="Verdana"/>
                <w:spacing w:val="-4"/>
                <w:sz w:val="24"/>
              </w:rPr>
              <w:t> </w:t>
            </w:r>
            <w:r>
              <w:rPr>
                <w:rFonts w:ascii="Verdana"/>
                <w:spacing w:val="-2"/>
                <w:sz w:val="24"/>
              </w:rPr>
              <w:t>meeting)</w:t>
            </w:r>
          </w:p>
        </w:tc>
      </w:tr>
    </w:tbl>
    <w:p>
      <w:pPr>
        <w:pStyle w:val="BodyText"/>
        <w:spacing w:before="66"/>
        <w:rPr>
          <w:b/>
          <w:sz w:val="20"/>
        </w:rPr>
      </w:pPr>
    </w:p>
    <w:tbl>
      <w:tblPr>
        <w:tblW w:w="0" w:type="auto"/>
        <w:jc w:val="left"/>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990"/>
        <w:gridCol w:w="6808"/>
      </w:tblGrid>
      <w:tr>
        <w:trPr>
          <w:trHeight w:val="290" w:hRule="atLeast"/>
        </w:trPr>
        <w:tc>
          <w:tcPr>
            <w:tcW w:w="10489" w:type="dxa"/>
            <w:gridSpan w:val="3"/>
          </w:tcPr>
          <w:p>
            <w:pPr>
              <w:pStyle w:val="TableParagraph"/>
              <w:spacing w:line="270" w:lineRule="exact"/>
              <w:ind w:left="4"/>
              <w:jc w:val="center"/>
              <w:rPr>
                <w:rFonts w:ascii="Verdana"/>
                <w:b/>
                <w:sz w:val="24"/>
              </w:rPr>
            </w:pPr>
            <w:r>
              <w:rPr>
                <w:rFonts w:ascii="Verdana"/>
                <w:b/>
                <w:sz w:val="24"/>
              </w:rPr>
              <w:t>Other</w:t>
            </w:r>
            <w:r>
              <w:rPr>
                <w:rFonts w:ascii="Verdana"/>
                <w:b/>
                <w:spacing w:val="-5"/>
                <w:sz w:val="24"/>
              </w:rPr>
              <w:t> </w:t>
            </w:r>
            <w:r>
              <w:rPr>
                <w:rFonts w:ascii="Verdana"/>
                <w:b/>
                <w:spacing w:val="-2"/>
                <w:sz w:val="24"/>
              </w:rPr>
              <w:t>Organisations</w:t>
            </w:r>
          </w:p>
        </w:tc>
      </w:tr>
      <w:tr>
        <w:trPr>
          <w:trHeight w:val="290" w:hRule="atLeast"/>
        </w:trPr>
        <w:tc>
          <w:tcPr>
            <w:tcW w:w="10489" w:type="dxa"/>
            <w:gridSpan w:val="3"/>
          </w:tcPr>
          <w:p>
            <w:pPr>
              <w:pStyle w:val="TableParagraph"/>
              <w:spacing w:line="270" w:lineRule="exact"/>
              <w:ind w:left="105"/>
              <w:rPr>
                <w:rFonts w:ascii="Verdana"/>
                <w:b/>
                <w:sz w:val="24"/>
              </w:rPr>
            </w:pPr>
            <w:r>
              <w:rPr>
                <w:rFonts w:ascii="Verdana"/>
                <w:b/>
                <w:sz w:val="24"/>
              </w:rPr>
              <w:t>In</w:t>
            </w:r>
            <w:r>
              <w:rPr>
                <w:rFonts w:ascii="Verdana"/>
                <w:b/>
                <w:spacing w:val="-5"/>
                <w:sz w:val="24"/>
              </w:rPr>
              <w:t> </w:t>
            </w:r>
            <w:r>
              <w:rPr>
                <w:rFonts w:ascii="Verdana"/>
                <w:b/>
                <w:spacing w:val="-2"/>
                <w:sz w:val="24"/>
              </w:rPr>
              <w:t>Attendance:</w:t>
            </w:r>
          </w:p>
        </w:tc>
      </w:tr>
      <w:tr>
        <w:trPr>
          <w:trHeight w:val="585" w:hRule="atLeast"/>
        </w:trPr>
        <w:tc>
          <w:tcPr>
            <w:tcW w:w="2691" w:type="dxa"/>
          </w:tcPr>
          <w:p>
            <w:pPr>
              <w:pStyle w:val="TableParagraph"/>
              <w:spacing w:line="296" w:lineRule="exact"/>
              <w:ind w:left="105"/>
              <w:rPr>
                <w:rFonts w:ascii="Verdana"/>
                <w:sz w:val="24"/>
              </w:rPr>
            </w:pPr>
            <w:r>
              <w:rPr>
                <w:rFonts w:ascii="Verdana"/>
                <w:sz w:val="24"/>
              </w:rPr>
              <w:t>Samia Edmonds (Observer</w:t>
            </w:r>
            <w:r>
              <w:rPr>
                <w:rFonts w:ascii="Verdana"/>
                <w:spacing w:val="-22"/>
                <w:sz w:val="24"/>
              </w:rPr>
              <w:t> </w:t>
            </w:r>
            <w:r>
              <w:rPr>
                <w:rFonts w:ascii="Verdana"/>
                <w:sz w:val="24"/>
              </w:rPr>
              <w:t>Member)</w:t>
            </w:r>
          </w:p>
        </w:tc>
        <w:tc>
          <w:tcPr>
            <w:tcW w:w="990" w:type="dxa"/>
          </w:tcPr>
          <w:p>
            <w:pPr>
              <w:pStyle w:val="TableParagraph"/>
              <w:spacing w:line="291" w:lineRule="exact"/>
              <w:ind w:left="8" w:right="5"/>
              <w:jc w:val="center"/>
              <w:rPr>
                <w:rFonts w:ascii="Verdana"/>
                <w:sz w:val="24"/>
              </w:rPr>
            </w:pPr>
            <w:r>
              <w:rPr>
                <w:rFonts w:ascii="Verdana"/>
                <w:spacing w:val="-4"/>
                <w:sz w:val="24"/>
              </w:rPr>
              <w:t>(SE)</w:t>
            </w:r>
          </w:p>
        </w:tc>
        <w:tc>
          <w:tcPr>
            <w:tcW w:w="6808" w:type="dxa"/>
          </w:tcPr>
          <w:p>
            <w:pPr>
              <w:pStyle w:val="TableParagraph"/>
              <w:spacing w:line="296" w:lineRule="exact"/>
              <w:ind w:left="105"/>
              <w:rPr>
                <w:rFonts w:ascii="Verdana"/>
                <w:sz w:val="24"/>
              </w:rPr>
            </w:pPr>
            <w:r>
              <w:rPr>
                <w:rFonts w:ascii="Verdana"/>
                <w:sz w:val="24"/>
              </w:rPr>
              <w:t>Planning</w:t>
            </w:r>
            <w:r>
              <w:rPr>
                <w:rFonts w:ascii="Verdana"/>
                <w:spacing w:val="-9"/>
                <w:sz w:val="24"/>
              </w:rPr>
              <w:t> </w:t>
            </w:r>
            <w:r>
              <w:rPr>
                <w:rFonts w:ascii="Verdana"/>
                <w:sz w:val="24"/>
              </w:rPr>
              <w:t>Programme</w:t>
            </w:r>
            <w:r>
              <w:rPr>
                <w:rFonts w:ascii="Verdana"/>
                <w:spacing w:val="-5"/>
                <w:sz w:val="24"/>
              </w:rPr>
              <w:t> </w:t>
            </w:r>
            <w:r>
              <w:rPr>
                <w:rFonts w:ascii="Verdana"/>
                <w:sz w:val="24"/>
              </w:rPr>
              <w:t>Director,</w:t>
            </w:r>
            <w:r>
              <w:rPr>
                <w:rFonts w:ascii="Verdana"/>
                <w:spacing w:val="-5"/>
                <w:sz w:val="24"/>
              </w:rPr>
              <w:t> </w:t>
            </w:r>
            <w:r>
              <w:rPr>
                <w:rFonts w:ascii="Verdana"/>
                <w:sz w:val="24"/>
              </w:rPr>
              <w:t>Health</w:t>
            </w:r>
            <w:r>
              <w:rPr>
                <w:rFonts w:ascii="Verdana"/>
                <w:spacing w:val="-10"/>
                <w:sz w:val="24"/>
              </w:rPr>
              <w:t> </w:t>
            </w:r>
            <w:r>
              <w:rPr>
                <w:rFonts w:ascii="Verdana"/>
                <w:sz w:val="24"/>
              </w:rPr>
              <w:t>and</w:t>
            </w:r>
            <w:r>
              <w:rPr>
                <w:rFonts w:ascii="Verdana"/>
                <w:spacing w:val="-8"/>
                <w:sz w:val="24"/>
              </w:rPr>
              <w:t> </w:t>
            </w:r>
            <w:r>
              <w:rPr>
                <w:rFonts w:ascii="Verdana"/>
                <w:sz w:val="24"/>
              </w:rPr>
              <w:t>Social Services Group, Welsh Government</w:t>
            </w:r>
          </w:p>
        </w:tc>
      </w:tr>
      <w:tr>
        <w:trPr>
          <w:trHeight w:val="283" w:hRule="atLeast"/>
        </w:trPr>
        <w:tc>
          <w:tcPr>
            <w:tcW w:w="2691" w:type="dxa"/>
          </w:tcPr>
          <w:p>
            <w:pPr>
              <w:pStyle w:val="TableParagraph"/>
              <w:spacing w:line="263" w:lineRule="exact"/>
              <w:ind w:left="105"/>
              <w:rPr>
                <w:rFonts w:ascii="Verdana"/>
                <w:sz w:val="24"/>
              </w:rPr>
            </w:pPr>
            <w:r>
              <w:rPr>
                <w:rFonts w:ascii="Verdana"/>
                <w:sz w:val="24"/>
              </w:rPr>
              <w:t>Mary</w:t>
            </w:r>
            <w:r>
              <w:rPr>
                <w:rFonts w:ascii="Verdana"/>
                <w:spacing w:val="-2"/>
                <w:sz w:val="24"/>
              </w:rPr>
              <w:t> Sherwood</w:t>
            </w:r>
          </w:p>
        </w:tc>
        <w:tc>
          <w:tcPr>
            <w:tcW w:w="990" w:type="dxa"/>
          </w:tcPr>
          <w:p>
            <w:pPr>
              <w:pStyle w:val="TableParagraph"/>
              <w:spacing w:line="263" w:lineRule="exact"/>
              <w:ind w:left="8" w:right="5"/>
              <w:jc w:val="center"/>
              <w:rPr>
                <w:rFonts w:ascii="Verdana"/>
                <w:sz w:val="24"/>
              </w:rPr>
            </w:pPr>
            <w:r>
              <w:rPr>
                <w:rFonts w:ascii="Verdana"/>
                <w:spacing w:val="-4"/>
                <w:sz w:val="24"/>
              </w:rPr>
              <w:t>(MS)</w:t>
            </w:r>
          </w:p>
        </w:tc>
        <w:tc>
          <w:tcPr>
            <w:tcW w:w="6808" w:type="dxa"/>
          </w:tcPr>
          <w:p>
            <w:pPr>
              <w:pStyle w:val="TableParagraph"/>
              <w:spacing w:line="263" w:lineRule="exact"/>
              <w:ind w:left="105"/>
              <w:rPr>
                <w:rFonts w:ascii="Verdana"/>
                <w:sz w:val="24"/>
              </w:rPr>
            </w:pPr>
            <w:r>
              <w:rPr>
                <w:rFonts w:ascii="Verdana"/>
                <w:sz w:val="24"/>
              </w:rPr>
              <w:t>Fairer</w:t>
            </w:r>
            <w:r>
              <w:rPr>
                <w:rFonts w:ascii="Verdana"/>
                <w:spacing w:val="1"/>
                <w:sz w:val="24"/>
              </w:rPr>
              <w:t> </w:t>
            </w:r>
            <w:r>
              <w:rPr>
                <w:rFonts w:ascii="Verdana"/>
                <w:sz w:val="24"/>
              </w:rPr>
              <w:t>Future</w:t>
            </w:r>
            <w:r>
              <w:rPr>
                <w:rFonts w:ascii="Verdana"/>
                <w:spacing w:val="-1"/>
                <w:sz w:val="24"/>
              </w:rPr>
              <w:t> </w:t>
            </w:r>
            <w:r>
              <w:rPr>
                <w:rFonts w:ascii="Verdana"/>
                <w:sz w:val="24"/>
              </w:rPr>
              <w:t>(Poverty</w:t>
            </w:r>
            <w:r>
              <w:rPr>
                <w:rFonts w:ascii="Verdana"/>
                <w:spacing w:val="-9"/>
                <w:sz w:val="24"/>
              </w:rPr>
              <w:t> </w:t>
            </w:r>
            <w:r>
              <w:rPr>
                <w:rFonts w:ascii="Verdana"/>
                <w:sz w:val="24"/>
              </w:rPr>
              <w:t>Workshop</w:t>
            </w:r>
            <w:r>
              <w:rPr>
                <w:rFonts w:ascii="Verdana"/>
                <w:spacing w:val="-1"/>
                <w:sz w:val="24"/>
              </w:rPr>
              <w:t> </w:t>
            </w:r>
            <w:r>
              <w:rPr>
                <w:rFonts w:ascii="Verdana"/>
                <w:spacing w:val="-4"/>
                <w:sz w:val="24"/>
              </w:rPr>
              <w:t>Only)</w:t>
            </w:r>
          </w:p>
        </w:tc>
      </w:tr>
      <w:tr>
        <w:trPr>
          <w:trHeight w:val="295" w:hRule="atLeast"/>
        </w:trPr>
        <w:tc>
          <w:tcPr>
            <w:tcW w:w="2691" w:type="dxa"/>
          </w:tcPr>
          <w:p>
            <w:pPr>
              <w:pStyle w:val="TableParagraph"/>
              <w:spacing w:line="275" w:lineRule="exact"/>
              <w:ind w:left="105"/>
              <w:rPr>
                <w:rFonts w:ascii="Verdana" w:hAnsi="Verdana"/>
                <w:sz w:val="24"/>
              </w:rPr>
            </w:pPr>
            <w:r>
              <w:rPr>
                <w:rFonts w:ascii="Verdana" w:hAnsi="Verdana"/>
                <w:sz w:val="24"/>
              </w:rPr>
              <w:t>Siôn</w:t>
            </w:r>
            <w:r>
              <w:rPr>
                <w:rFonts w:ascii="Verdana" w:hAnsi="Verdana"/>
                <w:spacing w:val="-3"/>
                <w:sz w:val="24"/>
              </w:rPr>
              <w:t> </w:t>
            </w:r>
            <w:r>
              <w:rPr>
                <w:rFonts w:ascii="Verdana" w:hAnsi="Verdana"/>
                <w:spacing w:val="-2"/>
                <w:sz w:val="24"/>
              </w:rPr>
              <w:t>Charles</w:t>
            </w:r>
          </w:p>
        </w:tc>
        <w:tc>
          <w:tcPr>
            <w:tcW w:w="990" w:type="dxa"/>
          </w:tcPr>
          <w:p>
            <w:pPr>
              <w:pStyle w:val="TableParagraph"/>
              <w:spacing w:line="275" w:lineRule="exact"/>
              <w:ind w:left="8" w:right="5"/>
              <w:jc w:val="center"/>
              <w:rPr>
                <w:rFonts w:ascii="Verdana"/>
                <w:sz w:val="24"/>
              </w:rPr>
            </w:pPr>
            <w:r>
              <w:rPr>
                <w:rFonts w:ascii="Verdana"/>
                <w:spacing w:val="-4"/>
                <w:sz w:val="24"/>
              </w:rPr>
              <w:t>(SC)</w:t>
            </w:r>
          </w:p>
        </w:tc>
        <w:tc>
          <w:tcPr>
            <w:tcW w:w="6808" w:type="dxa"/>
          </w:tcPr>
          <w:p>
            <w:pPr>
              <w:pStyle w:val="TableParagraph"/>
              <w:spacing w:line="275" w:lineRule="exact"/>
              <w:ind w:left="105"/>
              <w:rPr>
                <w:rFonts w:ascii="Verdana"/>
                <w:sz w:val="24"/>
              </w:rPr>
            </w:pPr>
            <w:r>
              <w:rPr>
                <w:rFonts w:ascii="Verdana"/>
                <w:sz w:val="24"/>
              </w:rPr>
              <w:t>RJC</w:t>
            </w:r>
            <w:r>
              <w:rPr>
                <w:rFonts w:ascii="Verdana"/>
                <w:spacing w:val="-2"/>
                <w:sz w:val="24"/>
              </w:rPr>
              <w:t> </w:t>
            </w:r>
            <w:r>
              <w:rPr>
                <w:rFonts w:ascii="Verdana"/>
                <w:sz w:val="24"/>
              </w:rPr>
              <w:t>Head</w:t>
            </w:r>
            <w:r>
              <w:rPr>
                <w:rFonts w:ascii="Verdana"/>
                <w:spacing w:val="-1"/>
                <w:sz w:val="24"/>
              </w:rPr>
              <w:t> </w:t>
            </w:r>
            <w:r>
              <w:rPr>
                <w:rFonts w:ascii="Verdana"/>
                <w:sz w:val="24"/>
              </w:rPr>
              <w:t>of</w:t>
            </w:r>
            <w:r>
              <w:rPr>
                <w:rFonts w:ascii="Verdana"/>
                <w:spacing w:val="-1"/>
                <w:sz w:val="24"/>
              </w:rPr>
              <w:t> </w:t>
            </w:r>
            <w:r>
              <w:rPr>
                <w:rFonts w:ascii="Verdana"/>
                <w:sz w:val="24"/>
              </w:rPr>
              <w:t>Strategy</w:t>
            </w:r>
            <w:r>
              <w:rPr>
                <w:rFonts w:ascii="Verdana"/>
                <w:spacing w:val="-2"/>
                <w:sz w:val="24"/>
              </w:rPr>
              <w:t> </w:t>
            </w:r>
            <w:r>
              <w:rPr>
                <w:rFonts w:ascii="Verdana"/>
                <w:sz w:val="24"/>
              </w:rPr>
              <w:t>and</w:t>
            </w:r>
            <w:r>
              <w:rPr>
                <w:rFonts w:ascii="Verdana"/>
                <w:spacing w:val="-2"/>
                <w:sz w:val="24"/>
              </w:rPr>
              <w:t> </w:t>
            </w:r>
            <w:r>
              <w:rPr>
                <w:rFonts w:ascii="Verdana"/>
                <w:sz w:val="24"/>
              </w:rPr>
              <w:t>Service </w:t>
            </w:r>
            <w:r>
              <w:rPr>
                <w:rFonts w:ascii="Verdana"/>
                <w:spacing w:val="-2"/>
                <w:sz w:val="24"/>
              </w:rPr>
              <w:t>Planning</w:t>
            </w:r>
          </w:p>
        </w:tc>
      </w:tr>
      <w:tr>
        <w:trPr>
          <w:trHeight w:val="290" w:hRule="atLeast"/>
        </w:trPr>
        <w:tc>
          <w:tcPr>
            <w:tcW w:w="2691" w:type="dxa"/>
          </w:tcPr>
          <w:p>
            <w:pPr>
              <w:pStyle w:val="TableParagraph"/>
              <w:spacing w:line="270" w:lineRule="exact"/>
              <w:ind w:left="105"/>
              <w:rPr>
                <w:rFonts w:ascii="Verdana"/>
                <w:sz w:val="24"/>
              </w:rPr>
            </w:pPr>
            <w:r>
              <w:rPr>
                <w:rFonts w:ascii="Verdana"/>
                <w:sz w:val="24"/>
              </w:rPr>
              <w:t>Sophie</w:t>
            </w:r>
            <w:r>
              <w:rPr>
                <w:rFonts w:ascii="Verdana"/>
                <w:spacing w:val="-3"/>
                <w:sz w:val="24"/>
              </w:rPr>
              <w:t> </w:t>
            </w:r>
            <w:r>
              <w:rPr>
                <w:rFonts w:ascii="Verdana"/>
                <w:spacing w:val="-4"/>
                <w:sz w:val="24"/>
              </w:rPr>
              <w:t>Marr</w:t>
            </w:r>
          </w:p>
        </w:tc>
        <w:tc>
          <w:tcPr>
            <w:tcW w:w="990" w:type="dxa"/>
          </w:tcPr>
          <w:p>
            <w:pPr>
              <w:pStyle w:val="TableParagraph"/>
              <w:spacing w:line="270" w:lineRule="exact"/>
              <w:ind w:left="8" w:right="5"/>
              <w:jc w:val="center"/>
              <w:rPr>
                <w:rFonts w:ascii="Verdana"/>
                <w:sz w:val="24"/>
              </w:rPr>
            </w:pPr>
            <w:r>
              <w:rPr>
                <w:rFonts w:ascii="Verdana"/>
                <w:spacing w:val="-4"/>
                <w:sz w:val="24"/>
              </w:rPr>
              <w:t>(SM)</w:t>
            </w:r>
          </w:p>
        </w:tc>
        <w:tc>
          <w:tcPr>
            <w:tcW w:w="6808" w:type="dxa"/>
          </w:tcPr>
          <w:p>
            <w:pPr>
              <w:pStyle w:val="TableParagraph"/>
              <w:spacing w:line="270" w:lineRule="exact"/>
              <w:ind w:left="105"/>
              <w:rPr>
                <w:rFonts w:ascii="Verdana"/>
                <w:sz w:val="24"/>
              </w:rPr>
            </w:pPr>
            <w:r>
              <w:rPr>
                <w:rFonts w:ascii="Verdana"/>
                <w:sz w:val="24"/>
              </w:rPr>
              <w:t>RJC</w:t>
            </w:r>
            <w:r>
              <w:rPr>
                <w:rFonts w:ascii="Verdana"/>
                <w:spacing w:val="-2"/>
                <w:sz w:val="24"/>
              </w:rPr>
              <w:t> </w:t>
            </w:r>
            <w:r>
              <w:rPr>
                <w:rFonts w:ascii="Verdana"/>
                <w:sz w:val="24"/>
              </w:rPr>
              <w:t>Senior</w:t>
            </w:r>
            <w:r>
              <w:rPr>
                <w:rFonts w:ascii="Verdana"/>
                <w:spacing w:val="1"/>
                <w:sz w:val="24"/>
              </w:rPr>
              <w:t> </w:t>
            </w:r>
            <w:r>
              <w:rPr>
                <w:rFonts w:ascii="Verdana"/>
                <w:sz w:val="24"/>
              </w:rPr>
              <w:t>Project</w:t>
            </w:r>
            <w:r>
              <w:rPr>
                <w:rFonts w:ascii="Verdana"/>
                <w:spacing w:val="-5"/>
                <w:sz w:val="24"/>
              </w:rPr>
              <w:t> </w:t>
            </w:r>
            <w:r>
              <w:rPr>
                <w:rFonts w:ascii="Verdana"/>
                <w:sz w:val="24"/>
              </w:rPr>
              <w:t>&amp;</w:t>
            </w:r>
            <w:r>
              <w:rPr>
                <w:rFonts w:ascii="Verdana"/>
                <w:spacing w:val="-2"/>
                <w:sz w:val="24"/>
              </w:rPr>
              <w:t> </w:t>
            </w:r>
            <w:r>
              <w:rPr>
                <w:rFonts w:ascii="Verdana"/>
                <w:sz w:val="24"/>
              </w:rPr>
              <w:t>Business</w:t>
            </w:r>
            <w:r>
              <w:rPr>
                <w:rFonts w:ascii="Verdana"/>
                <w:spacing w:val="-2"/>
                <w:sz w:val="24"/>
              </w:rPr>
              <w:t> </w:t>
            </w:r>
            <w:r>
              <w:rPr>
                <w:rFonts w:ascii="Verdana"/>
                <w:sz w:val="24"/>
              </w:rPr>
              <w:t>Manager</w:t>
            </w:r>
            <w:r>
              <w:rPr>
                <w:rFonts w:ascii="Verdana"/>
                <w:spacing w:val="2"/>
                <w:sz w:val="24"/>
              </w:rPr>
              <w:t> </w:t>
            </w:r>
            <w:r>
              <w:rPr>
                <w:rFonts w:ascii="Verdana"/>
                <w:spacing w:val="-2"/>
                <w:sz w:val="24"/>
              </w:rPr>
              <w:t>(Secretariat)</w:t>
            </w:r>
          </w:p>
        </w:tc>
      </w:tr>
      <w:tr>
        <w:trPr>
          <w:trHeight w:val="290" w:hRule="atLeast"/>
        </w:trPr>
        <w:tc>
          <w:tcPr>
            <w:tcW w:w="2691" w:type="dxa"/>
          </w:tcPr>
          <w:p>
            <w:pPr>
              <w:pStyle w:val="TableParagraph"/>
              <w:spacing w:line="270" w:lineRule="exact"/>
              <w:ind w:left="105"/>
              <w:rPr>
                <w:rFonts w:ascii="Verdana"/>
                <w:sz w:val="24"/>
              </w:rPr>
            </w:pPr>
            <w:r>
              <w:rPr>
                <w:rFonts w:ascii="Verdana"/>
                <w:sz w:val="24"/>
              </w:rPr>
              <w:t>Carolyn</w:t>
            </w:r>
            <w:r>
              <w:rPr>
                <w:rFonts w:ascii="Verdana"/>
                <w:spacing w:val="-2"/>
                <w:sz w:val="24"/>
              </w:rPr>
              <w:t> </w:t>
            </w:r>
            <w:r>
              <w:rPr>
                <w:rFonts w:ascii="Verdana"/>
                <w:spacing w:val="-4"/>
                <w:sz w:val="24"/>
              </w:rPr>
              <w:t>Dart</w:t>
            </w:r>
          </w:p>
        </w:tc>
        <w:tc>
          <w:tcPr>
            <w:tcW w:w="990" w:type="dxa"/>
          </w:tcPr>
          <w:p>
            <w:pPr>
              <w:pStyle w:val="TableParagraph"/>
              <w:spacing w:line="270" w:lineRule="exact"/>
              <w:ind w:left="8" w:right="5"/>
              <w:jc w:val="center"/>
              <w:rPr>
                <w:rFonts w:ascii="Verdana"/>
                <w:sz w:val="24"/>
              </w:rPr>
            </w:pPr>
            <w:r>
              <w:rPr>
                <w:rFonts w:ascii="Verdana"/>
                <w:spacing w:val="-4"/>
                <w:sz w:val="24"/>
              </w:rPr>
              <w:t>(CD)</w:t>
            </w:r>
          </w:p>
        </w:tc>
        <w:tc>
          <w:tcPr>
            <w:tcW w:w="6808" w:type="dxa"/>
          </w:tcPr>
          <w:p>
            <w:pPr>
              <w:pStyle w:val="TableParagraph"/>
              <w:spacing w:line="270" w:lineRule="exact"/>
              <w:ind w:left="105"/>
              <w:rPr>
                <w:rFonts w:ascii="Verdana"/>
                <w:sz w:val="24"/>
              </w:rPr>
            </w:pPr>
            <w:r>
              <w:rPr>
                <w:rFonts w:ascii="Verdana"/>
                <w:sz w:val="24"/>
              </w:rPr>
              <w:t>RJC</w:t>
            </w:r>
            <w:r>
              <w:rPr>
                <w:rFonts w:ascii="Verdana"/>
                <w:spacing w:val="-2"/>
                <w:sz w:val="24"/>
              </w:rPr>
              <w:t> </w:t>
            </w:r>
            <w:r>
              <w:rPr>
                <w:rFonts w:ascii="Verdana"/>
                <w:sz w:val="24"/>
              </w:rPr>
              <w:t>Senior</w:t>
            </w:r>
            <w:r>
              <w:rPr>
                <w:rFonts w:ascii="Verdana"/>
                <w:spacing w:val="1"/>
                <w:sz w:val="24"/>
              </w:rPr>
              <w:t> </w:t>
            </w:r>
            <w:r>
              <w:rPr>
                <w:rFonts w:ascii="Verdana"/>
                <w:sz w:val="24"/>
              </w:rPr>
              <w:t>Project</w:t>
            </w:r>
            <w:r>
              <w:rPr>
                <w:rFonts w:ascii="Verdana"/>
                <w:spacing w:val="-5"/>
                <w:sz w:val="24"/>
              </w:rPr>
              <w:t> </w:t>
            </w:r>
            <w:r>
              <w:rPr>
                <w:rFonts w:ascii="Verdana"/>
                <w:sz w:val="24"/>
              </w:rPr>
              <w:t>Support </w:t>
            </w:r>
            <w:r>
              <w:rPr>
                <w:rFonts w:ascii="Verdana"/>
                <w:spacing w:val="-2"/>
                <w:sz w:val="24"/>
              </w:rPr>
              <w:t>Officer</w:t>
            </w:r>
          </w:p>
        </w:tc>
      </w:tr>
      <w:tr>
        <w:trPr>
          <w:trHeight w:val="295" w:hRule="atLeast"/>
        </w:trPr>
        <w:tc>
          <w:tcPr>
            <w:tcW w:w="10489" w:type="dxa"/>
            <w:gridSpan w:val="3"/>
          </w:tcPr>
          <w:p>
            <w:pPr>
              <w:pStyle w:val="TableParagraph"/>
              <w:spacing w:line="275" w:lineRule="exact"/>
              <w:ind w:left="105"/>
              <w:rPr>
                <w:rFonts w:ascii="Verdana"/>
                <w:b/>
                <w:sz w:val="24"/>
              </w:rPr>
            </w:pPr>
            <w:r>
              <w:rPr>
                <w:rFonts w:ascii="Verdana"/>
                <w:b/>
                <w:spacing w:val="-2"/>
                <w:sz w:val="24"/>
              </w:rPr>
              <w:t>Apologies:</w:t>
            </w:r>
          </w:p>
        </w:tc>
      </w:tr>
      <w:tr>
        <w:trPr>
          <w:trHeight w:val="580" w:hRule="atLeast"/>
        </w:trPr>
        <w:tc>
          <w:tcPr>
            <w:tcW w:w="2691" w:type="dxa"/>
          </w:tcPr>
          <w:p>
            <w:pPr>
              <w:pStyle w:val="TableParagraph"/>
              <w:spacing w:line="290" w:lineRule="exact"/>
              <w:ind w:left="105"/>
              <w:rPr>
                <w:rFonts w:ascii="Verdana"/>
                <w:sz w:val="24"/>
              </w:rPr>
            </w:pPr>
            <w:r>
              <w:rPr>
                <w:rFonts w:ascii="Verdana"/>
                <w:sz w:val="24"/>
              </w:rPr>
              <w:t>Carl Cooper (Associate</w:t>
            </w:r>
            <w:r>
              <w:rPr>
                <w:rFonts w:ascii="Verdana"/>
                <w:spacing w:val="-22"/>
                <w:sz w:val="24"/>
              </w:rPr>
              <w:t> </w:t>
            </w:r>
            <w:r>
              <w:rPr>
                <w:rFonts w:ascii="Verdana"/>
                <w:sz w:val="24"/>
              </w:rPr>
              <w:t>Member)</w:t>
            </w:r>
          </w:p>
        </w:tc>
        <w:tc>
          <w:tcPr>
            <w:tcW w:w="990" w:type="dxa"/>
          </w:tcPr>
          <w:p>
            <w:pPr>
              <w:pStyle w:val="TableParagraph"/>
              <w:spacing w:line="290" w:lineRule="exact"/>
              <w:ind w:left="8" w:right="5"/>
              <w:jc w:val="center"/>
              <w:rPr>
                <w:rFonts w:ascii="Verdana"/>
                <w:sz w:val="24"/>
              </w:rPr>
            </w:pPr>
            <w:r>
              <w:rPr>
                <w:rFonts w:ascii="Verdana"/>
                <w:spacing w:val="-4"/>
                <w:sz w:val="24"/>
              </w:rPr>
              <w:t>(CP)</w:t>
            </w:r>
          </w:p>
        </w:tc>
        <w:tc>
          <w:tcPr>
            <w:tcW w:w="6808" w:type="dxa"/>
          </w:tcPr>
          <w:p>
            <w:pPr>
              <w:pStyle w:val="TableParagraph"/>
              <w:spacing w:line="290" w:lineRule="exact"/>
              <w:ind w:left="105"/>
              <w:rPr>
                <w:rFonts w:ascii="Verdana"/>
                <w:sz w:val="24"/>
              </w:rPr>
            </w:pPr>
            <w:r>
              <w:rPr>
                <w:rFonts w:ascii="Verdana"/>
                <w:sz w:val="24"/>
              </w:rPr>
              <w:t>Chair,</w:t>
            </w:r>
            <w:r>
              <w:rPr>
                <w:rFonts w:ascii="Verdana"/>
                <w:spacing w:val="-1"/>
                <w:sz w:val="24"/>
              </w:rPr>
              <w:t> </w:t>
            </w:r>
            <w:r>
              <w:rPr>
                <w:rFonts w:ascii="Verdana"/>
                <w:sz w:val="24"/>
              </w:rPr>
              <w:t>Powys</w:t>
            </w:r>
            <w:r>
              <w:rPr>
                <w:rFonts w:ascii="Verdana"/>
                <w:spacing w:val="-3"/>
                <w:sz w:val="24"/>
              </w:rPr>
              <w:t> </w:t>
            </w:r>
            <w:r>
              <w:rPr>
                <w:rFonts w:ascii="Verdana"/>
                <w:sz w:val="24"/>
              </w:rPr>
              <w:t>Teaching</w:t>
            </w:r>
            <w:r>
              <w:rPr>
                <w:rFonts w:ascii="Verdana"/>
                <w:spacing w:val="-3"/>
                <w:sz w:val="24"/>
              </w:rPr>
              <w:t> </w:t>
            </w:r>
            <w:r>
              <w:rPr>
                <w:rFonts w:ascii="Verdana"/>
                <w:sz w:val="24"/>
              </w:rPr>
              <w:t>Health</w:t>
            </w:r>
            <w:r>
              <w:rPr>
                <w:rFonts w:ascii="Verdana"/>
                <w:spacing w:val="-4"/>
                <w:sz w:val="24"/>
              </w:rPr>
              <w:t> </w:t>
            </w:r>
            <w:r>
              <w:rPr>
                <w:rFonts w:ascii="Verdana"/>
                <w:spacing w:val="-2"/>
                <w:sz w:val="24"/>
              </w:rPr>
              <w:t>Board</w:t>
            </w:r>
          </w:p>
        </w:tc>
      </w:tr>
      <w:tr>
        <w:trPr>
          <w:trHeight w:val="585" w:hRule="atLeast"/>
        </w:trPr>
        <w:tc>
          <w:tcPr>
            <w:tcW w:w="2691" w:type="dxa"/>
          </w:tcPr>
          <w:p>
            <w:pPr>
              <w:pStyle w:val="TableParagraph"/>
              <w:spacing w:line="290" w:lineRule="exact"/>
              <w:ind w:left="105"/>
              <w:rPr>
                <w:rFonts w:ascii="Verdana"/>
                <w:sz w:val="24"/>
              </w:rPr>
            </w:pPr>
            <w:r>
              <w:rPr>
                <w:rFonts w:ascii="Verdana"/>
                <w:sz w:val="24"/>
              </w:rPr>
              <w:t>Jeremy</w:t>
            </w:r>
            <w:r>
              <w:rPr>
                <w:rFonts w:ascii="Verdana"/>
                <w:spacing w:val="-2"/>
                <w:sz w:val="24"/>
              </w:rPr>
              <w:t> Griffith</w:t>
            </w:r>
          </w:p>
        </w:tc>
        <w:tc>
          <w:tcPr>
            <w:tcW w:w="990" w:type="dxa"/>
          </w:tcPr>
          <w:p>
            <w:pPr>
              <w:pStyle w:val="TableParagraph"/>
              <w:spacing w:line="290" w:lineRule="exact"/>
              <w:ind w:left="8" w:right="5"/>
              <w:jc w:val="center"/>
              <w:rPr>
                <w:rFonts w:ascii="Verdana"/>
                <w:sz w:val="24"/>
              </w:rPr>
            </w:pPr>
            <w:r>
              <w:rPr>
                <w:rFonts w:ascii="Verdana"/>
                <w:spacing w:val="-4"/>
                <w:sz w:val="24"/>
              </w:rPr>
              <w:t>(JG)</w:t>
            </w:r>
          </w:p>
        </w:tc>
        <w:tc>
          <w:tcPr>
            <w:tcW w:w="6808" w:type="dxa"/>
          </w:tcPr>
          <w:p>
            <w:pPr>
              <w:pStyle w:val="TableParagraph"/>
              <w:spacing w:line="296" w:lineRule="exact"/>
              <w:ind w:left="105"/>
              <w:rPr>
                <w:rFonts w:ascii="Verdana"/>
                <w:sz w:val="24"/>
              </w:rPr>
            </w:pPr>
            <w:r>
              <w:rPr>
                <w:rFonts w:ascii="Verdana"/>
                <w:sz w:val="24"/>
              </w:rPr>
              <w:t>Director</w:t>
            </w:r>
            <w:r>
              <w:rPr>
                <w:rFonts w:ascii="Verdana"/>
                <w:spacing w:val="-2"/>
                <w:sz w:val="24"/>
              </w:rPr>
              <w:t> </w:t>
            </w:r>
            <w:r>
              <w:rPr>
                <w:rFonts w:ascii="Verdana"/>
                <w:sz w:val="24"/>
              </w:rPr>
              <w:t>of</w:t>
            </w:r>
            <w:r>
              <w:rPr>
                <w:rFonts w:ascii="Verdana"/>
                <w:spacing w:val="-9"/>
                <w:sz w:val="24"/>
              </w:rPr>
              <w:t> </w:t>
            </w:r>
            <w:r>
              <w:rPr>
                <w:rFonts w:ascii="Verdana"/>
                <w:sz w:val="24"/>
              </w:rPr>
              <w:t>Operations,</w:t>
            </w:r>
            <w:r>
              <w:rPr>
                <w:rFonts w:ascii="Verdana"/>
                <w:spacing w:val="-2"/>
                <w:sz w:val="24"/>
              </w:rPr>
              <w:t> </w:t>
            </w:r>
            <w:r>
              <w:rPr>
                <w:rFonts w:ascii="Verdana"/>
                <w:sz w:val="24"/>
              </w:rPr>
              <w:t>Health</w:t>
            </w:r>
            <w:r>
              <w:rPr>
                <w:rFonts w:ascii="Verdana"/>
                <w:spacing w:val="-6"/>
                <w:sz w:val="24"/>
              </w:rPr>
              <w:t> </w:t>
            </w:r>
            <w:r>
              <w:rPr>
                <w:rFonts w:ascii="Verdana"/>
                <w:sz w:val="24"/>
              </w:rPr>
              <w:t>and</w:t>
            </w:r>
            <w:r>
              <w:rPr>
                <w:rFonts w:ascii="Verdana"/>
                <w:spacing w:val="-4"/>
                <w:sz w:val="24"/>
              </w:rPr>
              <w:t> </w:t>
            </w:r>
            <w:r>
              <w:rPr>
                <w:rFonts w:ascii="Verdana"/>
                <w:sz w:val="24"/>
              </w:rPr>
              <w:t>Social</w:t>
            </w:r>
            <w:r>
              <w:rPr>
                <w:rFonts w:ascii="Verdana"/>
                <w:spacing w:val="-9"/>
                <w:sz w:val="24"/>
              </w:rPr>
              <w:t> </w:t>
            </w:r>
            <w:r>
              <w:rPr>
                <w:rFonts w:ascii="Verdana"/>
                <w:sz w:val="24"/>
              </w:rPr>
              <w:t>Care</w:t>
            </w:r>
            <w:r>
              <w:rPr>
                <w:rFonts w:ascii="Verdana"/>
                <w:spacing w:val="-2"/>
                <w:sz w:val="24"/>
              </w:rPr>
              <w:t> </w:t>
            </w:r>
            <w:r>
              <w:rPr>
                <w:rFonts w:ascii="Verdana"/>
                <w:sz w:val="24"/>
              </w:rPr>
              <w:t>Early Years, Welsh Government</w:t>
            </w:r>
          </w:p>
        </w:tc>
      </w:tr>
    </w:tbl>
    <w:p>
      <w:pPr>
        <w:pStyle w:val="BodyText"/>
        <w:rPr>
          <w:b/>
          <w:sz w:val="20"/>
        </w:rPr>
      </w:pPr>
    </w:p>
    <w:p>
      <w:pPr>
        <w:pStyle w:val="BodyText"/>
        <w:spacing w:before="126"/>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430" w:hRule="atLeast"/>
        </w:trPr>
        <w:tc>
          <w:tcPr>
            <w:tcW w:w="10496" w:type="dxa"/>
            <w:gridSpan w:val="3"/>
            <w:tcBorders>
              <w:bottom w:val="single" w:sz="36" w:space="0" w:color="001F5F"/>
            </w:tcBorders>
            <w:shd w:val="clear" w:color="auto" w:fill="001F5F"/>
          </w:tcPr>
          <w:p>
            <w:pPr>
              <w:pStyle w:val="TableParagraph"/>
              <w:spacing w:before="78"/>
              <w:ind w:left="9" w:right="9"/>
              <w:jc w:val="center"/>
              <w:rPr>
                <w:rFonts w:ascii="Verdana"/>
                <w:b/>
                <w:sz w:val="24"/>
              </w:rPr>
            </w:pPr>
            <w:r>
              <w:rPr>
                <w:rFonts w:ascii="Verdana"/>
                <w:b/>
                <w:color w:val="FFFFFF"/>
                <w:sz w:val="24"/>
              </w:rPr>
              <w:t>WORKSHOP</w:t>
            </w:r>
            <w:r>
              <w:rPr>
                <w:rFonts w:ascii="Verdana"/>
                <w:b/>
                <w:color w:val="FFFFFF"/>
                <w:spacing w:val="-7"/>
                <w:sz w:val="24"/>
              </w:rPr>
              <w:t> </w:t>
            </w:r>
            <w:r>
              <w:rPr>
                <w:rFonts w:ascii="Verdana"/>
                <w:b/>
                <w:color w:val="FFFFFF"/>
                <w:spacing w:val="-2"/>
                <w:sz w:val="24"/>
              </w:rPr>
              <w:t>SESSION</w:t>
            </w:r>
          </w:p>
        </w:tc>
      </w:tr>
      <w:tr>
        <w:trPr>
          <w:trHeight w:val="4536" w:hRule="atLeast"/>
        </w:trPr>
        <w:tc>
          <w:tcPr>
            <w:tcW w:w="1276" w:type="dxa"/>
            <w:tcBorders>
              <w:top w:val="single" w:sz="36" w:space="0" w:color="001F5F"/>
            </w:tcBorders>
          </w:tcPr>
          <w:p>
            <w:pPr>
              <w:pStyle w:val="TableParagraph"/>
              <w:spacing w:before="78"/>
              <w:ind w:left="80"/>
              <w:rPr>
                <w:rFonts w:ascii="Verdana"/>
                <w:b/>
                <w:sz w:val="24"/>
              </w:rPr>
            </w:pPr>
            <w:r>
              <w:rPr>
                <w:rFonts w:ascii="Verdana"/>
                <w:b/>
                <w:spacing w:val="-2"/>
                <w:sz w:val="24"/>
              </w:rPr>
              <w:t>RJC/20</w:t>
            </w:r>
          </w:p>
        </w:tc>
        <w:tc>
          <w:tcPr>
            <w:tcW w:w="8509" w:type="dxa"/>
            <w:tcBorders>
              <w:top w:val="single" w:sz="36" w:space="0" w:color="001F5F"/>
            </w:tcBorders>
          </w:tcPr>
          <w:p>
            <w:pPr>
              <w:pStyle w:val="TableParagraph"/>
              <w:spacing w:line="242" w:lineRule="auto" w:before="78"/>
              <w:ind w:left="109" w:right="194"/>
              <w:rPr>
                <w:rFonts w:ascii="Verdana"/>
                <w:b/>
                <w:sz w:val="24"/>
              </w:rPr>
            </w:pPr>
            <w:r>
              <w:rPr>
                <w:rFonts w:ascii="Verdana"/>
                <w:b/>
                <w:sz w:val="24"/>
              </w:rPr>
              <w:t>WHAT</w:t>
            </w:r>
            <w:r>
              <w:rPr>
                <w:rFonts w:ascii="Verdana"/>
                <w:b/>
                <w:spacing w:val="-6"/>
                <w:sz w:val="24"/>
              </w:rPr>
              <w:t> </w:t>
            </w:r>
            <w:r>
              <w:rPr>
                <w:rFonts w:ascii="Verdana"/>
                <w:b/>
                <w:sz w:val="24"/>
              </w:rPr>
              <w:t>DRIVES</w:t>
            </w:r>
            <w:r>
              <w:rPr>
                <w:rFonts w:ascii="Verdana"/>
                <w:b/>
                <w:spacing w:val="-8"/>
                <w:sz w:val="24"/>
              </w:rPr>
              <w:t> </w:t>
            </w:r>
            <w:r>
              <w:rPr>
                <w:rFonts w:ascii="Verdana"/>
                <w:b/>
                <w:sz w:val="24"/>
              </w:rPr>
              <w:t>POVERTY?</w:t>
            </w:r>
            <w:r>
              <w:rPr>
                <w:rFonts w:ascii="Verdana"/>
                <w:b/>
                <w:spacing w:val="40"/>
                <w:sz w:val="24"/>
              </w:rPr>
              <w:t> </w:t>
            </w:r>
            <w:r>
              <w:rPr>
                <w:rFonts w:ascii="Verdana"/>
                <w:b/>
                <w:sz w:val="24"/>
              </w:rPr>
              <w:t>IMPLICATIONS</w:t>
            </w:r>
            <w:r>
              <w:rPr>
                <w:rFonts w:ascii="Verdana"/>
                <w:b/>
                <w:spacing w:val="-8"/>
                <w:sz w:val="24"/>
              </w:rPr>
              <w:t> </w:t>
            </w:r>
            <w:r>
              <w:rPr>
                <w:rFonts w:ascii="Verdana"/>
                <w:b/>
                <w:sz w:val="24"/>
              </w:rPr>
              <w:t>ACROSS</w:t>
            </w:r>
            <w:r>
              <w:rPr>
                <w:rFonts w:ascii="Verdana"/>
                <w:b/>
                <w:spacing w:val="-8"/>
                <w:sz w:val="24"/>
              </w:rPr>
              <w:t> </w:t>
            </w:r>
            <w:r>
              <w:rPr>
                <w:rFonts w:ascii="Verdana"/>
                <w:b/>
                <w:sz w:val="24"/>
              </w:rPr>
              <w:t>RJC </w:t>
            </w:r>
            <w:r>
              <w:rPr>
                <w:rFonts w:ascii="Verdana"/>
                <w:b/>
                <w:spacing w:val="-2"/>
                <w:sz w:val="24"/>
              </w:rPr>
              <w:t>PORTFOLIOS</w:t>
            </w:r>
          </w:p>
          <w:p>
            <w:pPr>
              <w:pStyle w:val="TableParagraph"/>
              <w:ind w:left="109" w:right="194"/>
              <w:rPr>
                <w:rFonts w:ascii="Verdana"/>
                <w:sz w:val="24"/>
              </w:rPr>
            </w:pPr>
            <w:r>
              <w:rPr>
                <w:rFonts w:ascii="Verdana"/>
                <w:sz w:val="24"/>
              </w:rPr>
              <w:t>NW</w:t>
            </w:r>
            <w:r>
              <w:rPr>
                <w:rFonts w:ascii="Verdana"/>
                <w:spacing w:val="-1"/>
                <w:sz w:val="24"/>
              </w:rPr>
              <w:t> </w:t>
            </w:r>
            <w:r>
              <w:rPr>
                <w:rFonts w:ascii="Verdana"/>
                <w:sz w:val="24"/>
              </w:rPr>
              <w:t>introduced</w:t>
            </w:r>
            <w:r>
              <w:rPr>
                <w:rFonts w:ascii="Verdana"/>
                <w:spacing w:val="-2"/>
                <w:sz w:val="24"/>
              </w:rPr>
              <w:t> </w:t>
            </w:r>
            <w:r>
              <w:rPr>
                <w:rFonts w:ascii="Verdana"/>
                <w:sz w:val="24"/>
              </w:rPr>
              <w:t>Mary</w:t>
            </w:r>
            <w:r>
              <w:rPr>
                <w:rFonts w:ascii="Verdana"/>
                <w:spacing w:val="-6"/>
                <w:sz w:val="24"/>
              </w:rPr>
              <w:t> </w:t>
            </w:r>
            <w:r>
              <w:rPr>
                <w:rFonts w:ascii="Verdana"/>
                <w:sz w:val="24"/>
              </w:rPr>
              <w:t>Sherwood</w:t>
            </w:r>
            <w:r>
              <w:rPr>
                <w:rFonts w:ascii="Verdana"/>
                <w:spacing w:val="-4"/>
                <w:sz w:val="24"/>
              </w:rPr>
              <w:t> </w:t>
            </w:r>
            <w:r>
              <w:rPr>
                <w:rFonts w:ascii="Verdana"/>
                <w:sz w:val="24"/>
              </w:rPr>
              <w:t>(MS)</w:t>
            </w:r>
            <w:r>
              <w:rPr>
                <w:rFonts w:ascii="Verdana"/>
                <w:spacing w:val="-3"/>
                <w:sz w:val="24"/>
              </w:rPr>
              <w:t> </w:t>
            </w:r>
            <w:r>
              <w:rPr>
                <w:rFonts w:ascii="Verdana"/>
                <w:sz w:val="24"/>
              </w:rPr>
              <w:t>to</w:t>
            </w:r>
            <w:r>
              <w:rPr>
                <w:rFonts w:ascii="Verdana"/>
                <w:spacing w:val="-4"/>
                <w:sz w:val="24"/>
              </w:rPr>
              <w:t> </w:t>
            </w:r>
            <w:r>
              <w:rPr>
                <w:rFonts w:ascii="Verdana"/>
                <w:sz w:val="24"/>
              </w:rPr>
              <w:t>the</w:t>
            </w:r>
            <w:r>
              <w:rPr>
                <w:rFonts w:ascii="Verdana"/>
                <w:spacing w:val="-3"/>
                <w:sz w:val="24"/>
              </w:rPr>
              <w:t> </w:t>
            </w:r>
            <w:r>
              <w:rPr>
                <w:rFonts w:ascii="Verdana"/>
                <w:sz w:val="24"/>
              </w:rPr>
              <w:t>Committee</w:t>
            </w:r>
            <w:r>
              <w:rPr>
                <w:rFonts w:ascii="Verdana"/>
                <w:spacing w:val="-6"/>
                <w:sz w:val="24"/>
              </w:rPr>
              <w:t> </w:t>
            </w:r>
            <w:r>
              <w:rPr>
                <w:rFonts w:ascii="Verdana"/>
                <w:sz w:val="24"/>
              </w:rPr>
              <w:t>as</w:t>
            </w:r>
            <w:r>
              <w:rPr>
                <w:rFonts w:ascii="Verdana"/>
                <w:spacing w:val="-4"/>
                <w:sz w:val="24"/>
              </w:rPr>
              <w:t> </w:t>
            </w:r>
            <w:r>
              <w:rPr>
                <w:rFonts w:ascii="Verdana"/>
                <w:sz w:val="24"/>
              </w:rPr>
              <w:t>someone highly recommended with a background and specialisation in poverty and inequality in the UK, advising that the workshop session would consider the drivers of poverty and how these interact with the work carried out by both Health Boards.</w:t>
            </w:r>
          </w:p>
          <w:p>
            <w:pPr>
              <w:pStyle w:val="TableParagraph"/>
              <w:spacing w:before="13"/>
              <w:rPr>
                <w:b/>
                <w:sz w:val="24"/>
              </w:rPr>
            </w:pPr>
          </w:p>
          <w:p>
            <w:pPr>
              <w:pStyle w:val="TableParagraph"/>
              <w:ind w:left="109" w:right="194"/>
              <w:rPr>
                <w:rFonts w:ascii="Verdana"/>
                <w:sz w:val="24"/>
              </w:rPr>
            </w:pPr>
            <w:r>
              <w:rPr>
                <w:rFonts w:ascii="Verdana"/>
                <w:sz w:val="24"/>
              </w:rPr>
              <w:t>MS</w:t>
            </w:r>
            <w:r>
              <w:rPr>
                <w:rFonts w:ascii="Verdana"/>
                <w:spacing w:val="-3"/>
                <w:sz w:val="24"/>
              </w:rPr>
              <w:t> </w:t>
            </w:r>
            <w:r>
              <w:rPr>
                <w:rFonts w:ascii="Verdana"/>
                <w:sz w:val="24"/>
              </w:rPr>
              <w:t>commenced</w:t>
            </w:r>
            <w:r>
              <w:rPr>
                <w:rFonts w:ascii="Verdana"/>
                <w:spacing w:val="-1"/>
                <w:sz w:val="24"/>
              </w:rPr>
              <w:t> </w:t>
            </w:r>
            <w:r>
              <w:rPr>
                <w:rFonts w:ascii="Verdana"/>
                <w:sz w:val="24"/>
              </w:rPr>
              <w:t>the</w:t>
            </w:r>
            <w:r>
              <w:rPr>
                <w:rFonts w:ascii="Verdana"/>
                <w:spacing w:val="-3"/>
                <w:sz w:val="24"/>
              </w:rPr>
              <w:t> </w:t>
            </w:r>
            <w:r>
              <w:rPr>
                <w:rFonts w:ascii="Verdana"/>
                <w:sz w:val="24"/>
              </w:rPr>
              <w:t>workshop</w:t>
            </w:r>
            <w:r>
              <w:rPr>
                <w:rFonts w:ascii="Verdana"/>
                <w:spacing w:val="-4"/>
                <w:sz w:val="24"/>
              </w:rPr>
              <w:t> </w:t>
            </w:r>
            <w:r>
              <w:rPr>
                <w:rFonts w:ascii="Verdana"/>
                <w:sz w:val="24"/>
              </w:rPr>
              <w:t>by</w:t>
            </w:r>
            <w:r>
              <w:rPr>
                <w:rFonts w:ascii="Verdana"/>
                <w:spacing w:val="-6"/>
                <w:sz w:val="24"/>
              </w:rPr>
              <w:t> </w:t>
            </w:r>
            <w:r>
              <w:rPr>
                <w:rFonts w:ascii="Verdana"/>
                <w:sz w:val="24"/>
              </w:rPr>
              <w:t>asking</w:t>
            </w:r>
            <w:r>
              <w:rPr>
                <w:rFonts w:ascii="Verdana"/>
                <w:spacing w:val="-2"/>
                <w:sz w:val="24"/>
              </w:rPr>
              <w:t> </w:t>
            </w:r>
            <w:r>
              <w:rPr>
                <w:rFonts w:ascii="Verdana"/>
                <w:sz w:val="24"/>
              </w:rPr>
              <w:t>Members</w:t>
            </w:r>
            <w:r>
              <w:rPr>
                <w:rFonts w:ascii="Verdana"/>
                <w:spacing w:val="-4"/>
                <w:sz w:val="24"/>
              </w:rPr>
              <w:t> </w:t>
            </w:r>
            <w:r>
              <w:rPr>
                <w:rFonts w:ascii="Verdana"/>
                <w:sz w:val="24"/>
              </w:rPr>
              <w:t>to</w:t>
            </w:r>
            <w:r>
              <w:rPr>
                <w:rFonts w:ascii="Verdana"/>
                <w:spacing w:val="-8"/>
                <w:sz w:val="24"/>
              </w:rPr>
              <w:t> </w:t>
            </w:r>
            <w:r>
              <w:rPr>
                <w:rFonts w:ascii="Verdana"/>
                <w:sz w:val="24"/>
              </w:rPr>
              <w:t>discuss</w:t>
            </w:r>
            <w:r>
              <w:rPr>
                <w:rFonts w:ascii="Verdana"/>
                <w:spacing w:val="-4"/>
                <w:sz w:val="24"/>
              </w:rPr>
              <w:t> </w:t>
            </w:r>
            <w:r>
              <w:rPr>
                <w:rFonts w:ascii="Verdana"/>
                <w:sz w:val="24"/>
              </w:rPr>
              <w:t>one</w:t>
            </w:r>
            <w:r>
              <w:rPr>
                <w:rFonts w:ascii="Verdana"/>
                <w:spacing w:val="-3"/>
                <w:sz w:val="24"/>
              </w:rPr>
              <w:t> </w:t>
            </w:r>
            <w:r>
              <w:rPr>
                <w:rFonts w:ascii="Verdana"/>
                <w:sz w:val="24"/>
              </w:rPr>
              <w:t>of two questions in groups:</w:t>
            </w:r>
          </w:p>
          <w:p>
            <w:pPr>
              <w:pStyle w:val="TableParagraph"/>
              <w:numPr>
                <w:ilvl w:val="0"/>
                <w:numId w:val="103"/>
              </w:numPr>
              <w:tabs>
                <w:tab w:pos="828" w:val="left" w:leader="none"/>
                <w:tab w:pos="830" w:val="left" w:leader="none"/>
              </w:tabs>
              <w:spacing w:line="240" w:lineRule="auto" w:before="1" w:after="0"/>
              <w:ind w:left="830" w:right="937" w:hanging="361"/>
              <w:jc w:val="left"/>
              <w:rPr>
                <w:rFonts w:ascii="Verdana"/>
                <w:b/>
                <w:sz w:val="24"/>
              </w:rPr>
            </w:pPr>
            <w:r>
              <w:rPr>
                <w:rFonts w:ascii="Verdana"/>
                <w:b/>
                <w:sz w:val="24"/>
              </w:rPr>
              <w:t>We</w:t>
            </w:r>
            <w:r>
              <w:rPr>
                <w:rFonts w:ascii="Verdana"/>
                <w:b/>
                <w:spacing w:val="-2"/>
                <w:sz w:val="24"/>
              </w:rPr>
              <w:t> </w:t>
            </w:r>
            <w:r>
              <w:rPr>
                <w:rFonts w:ascii="Verdana"/>
                <w:sz w:val="24"/>
              </w:rPr>
              <w:t>should</w:t>
            </w:r>
            <w:r>
              <w:rPr>
                <w:rFonts w:ascii="Verdana"/>
                <w:spacing w:val="-5"/>
                <w:sz w:val="24"/>
              </w:rPr>
              <w:t> </w:t>
            </w:r>
            <w:r>
              <w:rPr>
                <w:rFonts w:ascii="Verdana"/>
                <w:b/>
                <w:sz w:val="24"/>
              </w:rPr>
              <w:t>focus </w:t>
            </w:r>
            <w:r>
              <w:rPr>
                <w:rFonts w:ascii="Verdana"/>
                <w:sz w:val="24"/>
              </w:rPr>
              <w:t>on</w:t>
            </w:r>
            <w:r>
              <w:rPr>
                <w:rFonts w:ascii="Verdana"/>
                <w:spacing w:val="-8"/>
                <w:sz w:val="24"/>
              </w:rPr>
              <w:t> </w:t>
            </w:r>
            <w:r>
              <w:rPr>
                <w:rFonts w:ascii="Verdana"/>
                <w:sz w:val="24"/>
              </w:rPr>
              <w:t>reducing</w:t>
            </w:r>
            <w:r>
              <w:rPr>
                <w:rFonts w:ascii="Verdana"/>
                <w:spacing w:val="-5"/>
                <w:sz w:val="24"/>
              </w:rPr>
              <w:t> </w:t>
            </w:r>
            <w:r>
              <w:rPr>
                <w:rFonts w:ascii="Verdana"/>
                <w:sz w:val="24"/>
              </w:rPr>
              <w:t>poverty</w:t>
            </w:r>
            <w:r>
              <w:rPr>
                <w:rFonts w:ascii="Verdana"/>
                <w:spacing w:val="-7"/>
                <w:sz w:val="24"/>
              </w:rPr>
              <w:t> </w:t>
            </w:r>
            <w:r>
              <w:rPr>
                <w:rFonts w:ascii="Verdana"/>
                <w:sz w:val="24"/>
              </w:rPr>
              <w:t>because</w:t>
            </w:r>
            <w:r>
              <w:rPr>
                <w:rFonts w:ascii="Verdana"/>
                <w:spacing w:val="-4"/>
                <w:sz w:val="24"/>
              </w:rPr>
              <w:t> </w:t>
            </w:r>
            <w:r>
              <w:rPr>
                <w:rFonts w:ascii="Verdana"/>
                <w:sz w:val="24"/>
              </w:rPr>
              <w:t>that</w:t>
            </w:r>
            <w:r>
              <w:rPr>
                <w:rFonts w:ascii="Verdana"/>
                <w:spacing w:val="-5"/>
                <w:sz w:val="24"/>
              </w:rPr>
              <w:t> </w:t>
            </w:r>
            <w:r>
              <w:rPr>
                <w:rFonts w:ascii="Verdana"/>
                <w:sz w:val="24"/>
              </w:rPr>
              <w:t>will improve </w:t>
            </w:r>
            <w:r>
              <w:rPr>
                <w:rFonts w:ascii="Verdana"/>
                <w:b/>
                <w:sz w:val="24"/>
              </w:rPr>
              <w:t>health</w:t>
            </w:r>
          </w:p>
          <w:p>
            <w:pPr>
              <w:pStyle w:val="TableParagraph"/>
              <w:numPr>
                <w:ilvl w:val="0"/>
                <w:numId w:val="103"/>
              </w:numPr>
              <w:tabs>
                <w:tab w:pos="828" w:val="left" w:leader="none"/>
                <w:tab w:pos="830" w:val="left" w:leader="none"/>
              </w:tabs>
              <w:spacing w:line="242" w:lineRule="auto" w:before="0" w:after="0"/>
              <w:ind w:left="830" w:right="920" w:hanging="361"/>
              <w:jc w:val="left"/>
              <w:rPr>
                <w:rFonts w:ascii="Verdana"/>
                <w:b/>
                <w:sz w:val="24"/>
              </w:rPr>
            </w:pPr>
            <w:r>
              <w:rPr>
                <w:rFonts w:ascii="Verdana"/>
                <w:b/>
                <w:sz w:val="24"/>
              </w:rPr>
              <w:t>We</w:t>
            </w:r>
            <w:r>
              <w:rPr>
                <w:rFonts w:ascii="Verdana"/>
                <w:b/>
                <w:spacing w:val="-2"/>
                <w:sz w:val="24"/>
              </w:rPr>
              <w:t> </w:t>
            </w:r>
            <w:r>
              <w:rPr>
                <w:rFonts w:ascii="Verdana"/>
                <w:sz w:val="24"/>
              </w:rPr>
              <w:t>should</w:t>
            </w:r>
            <w:r>
              <w:rPr>
                <w:rFonts w:ascii="Verdana"/>
                <w:spacing w:val="-5"/>
                <w:sz w:val="24"/>
              </w:rPr>
              <w:t> </w:t>
            </w:r>
            <w:r>
              <w:rPr>
                <w:rFonts w:ascii="Verdana"/>
                <w:sz w:val="24"/>
              </w:rPr>
              <w:t>focus</w:t>
            </w:r>
            <w:r>
              <w:rPr>
                <w:rFonts w:ascii="Verdana"/>
                <w:spacing w:val="-5"/>
                <w:sz w:val="24"/>
              </w:rPr>
              <w:t> </w:t>
            </w:r>
            <w:r>
              <w:rPr>
                <w:rFonts w:ascii="Verdana"/>
                <w:sz w:val="24"/>
              </w:rPr>
              <w:t>on</w:t>
            </w:r>
            <w:r>
              <w:rPr>
                <w:rFonts w:ascii="Verdana"/>
                <w:spacing w:val="-7"/>
                <w:sz w:val="24"/>
              </w:rPr>
              <w:t> </w:t>
            </w:r>
            <w:r>
              <w:rPr>
                <w:rFonts w:ascii="Verdana"/>
                <w:sz w:val="24"/>
              </w:rPr>
              <w:t>improving</w:t>
            </w:r>
            <w:r>
              <w:rPr>
                <w:rFonts w:ascii="Verdana"/>
                <w:spacing w:val="-4"/>
                <w:sz w:val="24"/>
              </w:rPr>
              <w:t> </w:t>
            </w:r>
            <w:r>
              <w:rPr>
                <w:rFonts w:ascii="Verdana"/>
                <w:b/>
                <w:sz w:val="24"/>
              </w:rPr>
              <w:t>health</w:t>
            </w:r>
            <w:r>
              <w:rPr>
                <w:rFonts w:ascii="Verdana"/>
                <w:b/>
                <w:spacing w:val="-2"/>
                <w:sz w:val="24"/>
              </w:rPr>
              <w:t> </w:t>
            </w:r>
            <w:r>
              <w:rPr>
                <w:rFonts w:ascii="Verdana"/>
                <w:sz w:val="24"/>
              </w:rPr>
              <w:t>because</w:t>
            </w:r>
            <w:r>
              <w:rPr>
                <w:rFonts w:ascii="Verdana"/>
                <w:spacing w:val="-4"/>
                <w:sz w:val="24"/>
              </w:rPr>
              <w:t> </w:t>
            </w:r>
            <w:r>
              <w:rPr>
                <w:rFonts w:ascii="Verdana"/>
                <w:sz w:val="24"/>
              </w:rPr>
              <w:t>that</w:t>
            </w:r>
            <w:r>
              <w:rPr>
                <w:rFonts w:ascii="Verdana"/>
                <w:spacing w:val="-5"/>
                <w:sz w:val="24"/>
              </w:rPr>
              <w:t> </w:t>
            </w:r>
            <w:r>
              <w:rPr>
                <w:rFonts w:ascii="Verdana"/>
                <w:sz w:val="24"/>
              </w:rPr>
              <w:t>will reduce </w:t>
            </w:r>
            <w:r>
              <w:rPr>
                <w:rFonts w:ascii="Verdana"/>
                <w:b/>
                <w:sz w:val="24"/>
              </w:rPr>
              <w:t>poverty</w:t>
            </w:r>
          </w:p>
        </w:tc>
        <w:tc>
          <w:tcPr>
            <w:tcW w:w="711" w:type="dxa"/>
            <w:tcBorders>
              <w:top w:val="single" w:sz="36" w:space="0" w:color="001F5F"/>
            </w:tcBorders>
          </w:tcPr>
          <w:p>
            <w:pPr>
              <w:pStyle w:val="TableParagraph"/>
              <w:rPr>
                <w:rFonts w:ascii="Times New Roman"/>
                <w:sz w:val="22"/>
              </w:rPr>
            </w:pPr>
          </w:p>
        </w:tc>
      </w:tr>
    </w:tbl>
    <w:p>
      <w:pPr>
        <w:spacing w:before="150"/>
        <w:ind w:left="0" w:right="180" w:firstLine="0"/>
        <w:jc w:val="right"/>
        <w:rPr>
          <w:b/>
          <w:sz w:val="24"/>
        </w:rPr>
      </w:pPr>
      <w:r>
        <w:rPr>
          <w:b/>
          <w:sz w:val="24"/>
        </w:rPr>
        <mc:AlternateContent>
          <mc:Choice Requires="wps">
            <w:drawing>
              <wp:anchor distT="0" distB="0" distL="0" distR="0" allowOverlap="1" layoutInCell="1" locked="0" behindDoc="1" simplePos="0" relativeHeight="477233152">
                <wp:simplePos x="0" y="0"/>
                <wp:positionH relativeFrom="page">
                  <wp:posOffset>943178</wp:posOffset>
                </wp:positionH>
                <wp:positionV relativeFrom="paragraph">
                  <wp:posOffset>-6788023</wp:posOffset>
                </wp:positionV>
                <wp:extent cx="5452745" cy="5744845"/>
                <wp:effectExtent l="0" t="0" r="0" b="0"/>
                <wp:wrapNone/>
                <wp:docPr id="766" name="Graphic 766"/>
                <wp:cNvGraphicFramePr>
                  <a:graphicFrameLocks/>
                </wp:cNvGraphicFramePr>
                <a:graphic>
                  <a:graphicData uri="http://schemas.microsoft.com/office/word/2010/wordprocessingShape">
                    <wps:wsp>
                      <wps:cNvPr id="766" name="Graphic 766"/>
                      <wps:cNvSpPr/>
                      <wps:spPr>
                        <a:xfrm>
                          <a:off x="0"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74.266006pt;margin-top:-534.490051pt;width:429.35pt;height:452.35pt;mso-position-horizontal-relative:page;mso-position-vertical-relative:paragraph;z-index:-26083328" id="docshape514" coordorigin="1485,-10690" coordsize="8587,9047" path="m4991,-2620l4985,-2694,4974,-2770,4957,-2848,4934,-2927,4912,-2990,4887,-3055,4859,-3120,4827,-3187,4792,-3255,4753,-3325,4710,-3395,4664,-3467,4614,-3541,4603,-3556,4603,-2704,4596,-2634,4580,-2567,4554,-2502,4519,-2439,4474,-2379,4420,-2319,4213,-2112,1953,-4371,2158,-4577,2222,-4634,2287,-4680,2355,-4716,2426,-4739,2498,-4751,2573,-4753,2650,-4748,2729,-4735,2811,-4714,2895,-4685,2966,-4655,3039,-4620,3113,-4580,3187,-4535,3263,-4485,3340,-4430,3399,-4385,3457,-4339,3516,-4290,3575,-4240,3634,-4188,3692,-4134,3751,-4079,3810,-4021,3875,-3955,3936,-3891,3995,-3829,4051,-3767,4104,-3706,4155,-3647,4202,-3589,4247,-3532,4289,-3476,4340,-3405,4386,-3336,4427,-3268,4464,-3202,4496,-3138,4525,-3075,4549,-3014,4576,-2931,4594,-2852,4603,-2777,4603,-2704,4603,-3556,4575,-3596,4533,-3652,4490,-3709,4444,-3766,4397,-3824,4347,-3883,4296,-3942,4242,-4002,4186,-4063,4128,-4124,4069,-4186,4007,-4249,3942,-4313,3877,-4375,3812,-4435,3748,-4492,3684,-4548,3621,-4601,3558,-4652,3495,-4700,3433,-4746,3424,-4753,3372,-4790,3296,-4841,3221,-4888,3146,-4932,3073,-4971,3000,-5007,2928,-5040,2858,-5069,2788,-5095,2710,-5118,2634,-5135,2560,-5148,2487,-5155,2416,-5157,2346,-5154,2279,-5146,2202,-5130,2127,-5103,2055,-5068,1984,-5024,1916,-4971,1849,-4910,1505,-4566,1494,-4551,1487,-4531,1485,-4508,1488,-4482,1499,-4449,1519,-4414,1548,-4376,1587,-4334,4177,-1744,4219,-1705,4257,-1676,4292,-1657,4323,-1647,4351,-1643,4374,-1644,4394,-1651,4409,-1662,4731,-1983,4792,-2049,4840,-2112,4845,-2118,4889,-2188,4926,-2260,4954,-2334,4974,-2411,4985,-2478,4991,-2548,4991,-2620xm6803,-4078l6801,-4090,6795,-4101,6789,-4110,6782,-4119,6775,-4128,6767,-4136,6757,-4146,6744,-4157,6729,-4169,6710,-4183,6689,-4198,6577,-4274,5799,-4779,5736,-4820,5673,-4859,5648,-4874,5557,-4928,5503,-4959,5451,-4987,5401,-5012,5353,-5034,5307,-5053,5262,-5068,5220,-5082,5179,-5093,5140,-5100,5110,-5103,5103,-5104,5067,-5105,5032,-5103,5041,-5160,5046,-5217,5046,-5275,5043,-5334,5035,-5394,5022,-5455,5004,-5518,4981,-5582,4953,-5645,4920,-5711,4882,-5777,4836,-5846,4796,-5900,4752,-5955,4714,-6000,4714,-5345,4712,-5296,4705,-5247,4691,-5200,4669,-5155,4641,-5112,4605,-5071,4407,-4874,3429,-5852,3599,-6022,3628,-6051,3655,-6075,3680,-6096,3703,-6113,3725,-6127,3747,-6139,3769,-6149,3791,-6156,3864,-6170,3939,-6169,4015,-6153,4093,-6122,4157,-6087,4222,-6044,4288,-5994,4355,-5937,4423,-5872,4473,-5820,4519,-5767,4562,-5713,4601,-5659,4634,-5605,4661,-5551,4682,-5499,4698,-5447,4709,-5395,4714,-5345,4714,-6000,4704,-6011,4652,-6068,4596,-6126,4551,-6170,4536,-6185,4476,-6240,4416,-6290,4357,-6337,4298,-6380,4224,-6427,4152,-6468,4080,-6502,4009,-6531,3938,-6553,3870,-6568,3802,-6575,3737,-6577,3672,-6572,3609,-6559,3548,-6539,3489,-6513,3470,-6501,3449,-6488,3407,-6459,3385,-6440,3361,-6418,3334,-6394,3306,-6367,2984,-6044,2972,-6029,2966,-6010,2964,-5987,2967,-5960,2978,-5928,2998,-5893,3027,-5854,3066,-5812,5754,-3123,5763,-3115,5772,-3108,5781,-3102,5790,-3097,5803,-3091,5814,-3089,5827,-3093,5838,-3095,5850,-3098,5862,-3103,5874,-3109,5886,-3117,5899,-3127,5912,-3139,5927,-3153,5941,-3167,5953,-3181,5963,-3194,5972,-3206,5977,-3219,5982,-3230,5985,-3241,5986,-3252,5989,-3264,5988,-3277,5983,-3289,5978,-3298,5971,-3308,5964,-3317,5956,-3325,4719,-4562,4854,-4697,4890,-4728,4928,-4751,4969,-4768,5011,-4777,5057,-4779,5104,-4776,5154,-4767,5207,-4753,5261,-4733,5318,-4710,5377,-4681,5438,-4648,5501,-4611,5567,-4571,5634,-4528,5704,-4483,6544,-3928,6559,-3918,6572,-3911,6585,-3905,6596,-3900,6607,-3897,6618,-3895,6629,-3896,6642,-3896,6654,-3899,6665,-3904,6677,-3911,6689,-3920,6702,-3930,6716,-3942,6731,-3956,6747,-3973,6761,-3989,6773,-4004,6782,-4017,6790,-4029,6796,-4041,6800,-4052,6802,-4063,6803,-4078xm8247,-5507l8244,-5519,8239,-5532,8231,-5546,8220,-5561,8206,-5576,8189,-5591,8169,-5606,8145,-5624,8117,-5644,7694,-5934,6795,-6546,6795,-6189,6267,-5661,5082,-7370,5083,-7371,6795,-6189,6795,-6546,5583,-7371,4911,-7832,4896,-7841,4882,-7850,4868,-7857,4855,-7862,4843,-7865,4831,-7866,4819,-7865,4807,-7863,4794,-7859,4781,-7854,4767,-7846,4753,-7837,4739,-7825,4724,-7811,4707,-7794,4672,-7760,4658,-7745,4645,-7730,4634,-7717,4625,-7704,4618,-7691,4613,-7678,4610,-7666,4608,-7654,4607,-7642,4608,-7631,4612,-7619,4617,-7606,4623,-7593,4631,-7580,4640,-7566,4684,-7500,6828,-4359,6848,-4331,6865,-4308,6882,-4288,6897,-4271,6911,-4257,6926,-4245,6939,-4237,6953,-4232,6965,-4229,6978,-4230,6991,-4233,7005,-4240,7019,-4250,7033,-4261,7049,-4275,7065,-4291,7081,-4307,7094,-4322,7105,-4336,7115,-4349,7122,-4361,7127,-4372,7130,-4384,7131,-4397,7130,-4407,7129,-4417,7127,-4427,7122,-4438,7118,-4448,7112,-4458,7106,-4469,7098,-4481,6524,-5303,6882,-5661,7156,-5934,7993,-5358,8005,-5351,8017,-5344,8027,-5339,8037,-5335,8050,-5329,8061,-5327,8074,-5331,8084,-5332,8095,-5336,8107,-5342,8120,-5350,8133,-5360,8147,-5373,8162,-5388,8180,-5405,8197,-5423,8211,-5440,8224,-5455,8234,-5468,8241,-5481,8246,-5494,8247,-5507xm8683,-5957l8683,-5966,8680,-5976,8676,-5987,8671,-5996,8666,-6004,8659,-6012,8651,-6021,7441,-7230,7973,-7762,7973,-7771,7972,-7783,7970,-7792,7967,-7802,7963,-7813,7956,-7825,7949,-7838,7940,-7852,7928,-7867,7915,-7883,7900,-7900,7866,-7936,7846,-7957,7823,-7980,7801,-8000,7765,-8033,7749,-8046,7734,-8057,7721,-8066,7709,-8072,7698,-8078,7688,-8082,7678,-8084,7669,-8086,7659,-8085,7652,-8083,7121,-7551,6133,-8538,6695,-9101,6698,-9107,6697,-9120,6695,-9129,6692,-9139,6687,-9150,6673,-9174,6664,-9189,6653,-9204,6639,-9220,6624,-9237,6588,-9275,6568,-9296,6546,-9317,6526,-9336,6489,-9370,6473,-9384,6457,-9395,6443,-9405,6429,-9413,6417,-9420,6406,-9425,6396,-9428,6387,-9430,6374,-9431,6368,-9428,5679,-8739,5668,-8724,5661,-8705,5659,-8682,5662,-8655,5673,-8623,5693,-8588,5722,-8549,5761,-8507,8449,-5819,8458,-5811,8466,-5804,8474,-5799,8483,-5794,8494,-5789,8503,-5787,8513,-5787,8533,-5790,8545,-5794,8557,-5798,8570,-5804,8582,-5813,8595,-5823,8608,-5835,8622,-5848,8636,-5862,8648,-5876,8658,-5889,8667,-5902,8673,-5914,8677,-5926,8680,-5937,8683,-5957xm10072,-7347l10070,-7359,10065,-7371,10060,-7381,10054,-7390,10046,-7399,10038,-7407,7520,-9925,7953,-10358,7957,-10366,7956,-10379,7954,-10388,7951,-10398,7946,-10409,7940,-10421,7932,-10433,7923,-10447,7911,-10462,7897,-10478,7865,-10513,7846,-10533,7826,-10554,7804,-10575,7784,-10594,7747,-10628,7731,-10642,7716,-10654,7702,-10664,7688,-10673,7676,-10679,7665,-10684,7655,-10687,7646,-10689,7633,-10690,7625,-10686,6558,-9618,6554,-9610,6558,-9589,6561,-9579,6566,-9569,6572,-9557,6581,-9543,6591,-9529,6603,-9514,6633,-9479,6650,-9460,6669,-9440,6690,-9418,6711,-9397,6731,-9379,6750,-9362,6767,-9348,6783,-9334,6798,-9322,6812,-9313,6836,-9299,6846,-9294,6856,-9291,6877,-9287,6885,-9291,7318,-9724,9836,-7206,9845,-7197,9854,-7190,9863,-7184,9872,-7179,9885,-7173,9896,-7171,9909,-7175,9920,-7177,9932,-7180,9944,-7185,9956,-7191,9968,-7200,9981,-7210,9995,-7221,10009,-7235,10023,-7249,10035,-7263,10045,-7276,10054,-7288,10059,-7301,10064,-7312,10067,-7324,10069,-7335,10072,-7347xe" filled="true" fillcolor="#c0c0c0" stroked="false">
                <v:path arrowok="t"/>
                <v:fill opacity="32896f" type="solid"/>
                <w10:wrap type="none"/>
              </v:shape>
            </w:pict>
          </mc:Fallback>
        </mc:AlternateContent>
      </w:r>
      <w:r>
        <w:rPr>
          <w:sz w:val="24"/>
        </w:rPr>
        <w:t>Page </w:t>
      </w:r>
      <w:r>
        <w:rPr>
          <w:b/>
          <w:sz w:val="24"/>
        </w:rPr>
        <w:t>2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67" name="Image 767"/>
            <wp:cNvGraphicFramePr>
              <a:graphicFrameLocks/>
            </wp:cNvGraphicFramePr>
            <a:graphic>
              <a:graphicData uri="http://schemas.openxmlformats.org/drawingml/2006/picture">
                <pic:pic>
                  <pic:nvPicPr>
                    <pic:cNvPr id="767" name="Image 767"/>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68" name="Image 768"/>
            <wp:cNvGraphicFramePr>
              <a:graphicFrameLocks/>
            </wp:cNvGraphicFramePr>
            <a:graphic>
              <a:graphicData uri="http://schemas.openxmlformats.org/drawingml/2006/picture">
                <pic:pic>
                  <pic:nvPicPr>
                    <pic:cNvPr id="768" name="Image 768"/>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12123" w:hRule="atLeast"/>
        </w:trPr>
        <w:tc>
          <w:tcPr>
            <w:tcW w:w="1276" w:type="dxa"/>
          </w:tcPr>
          <w:p>
            <w:pPr>
              <w:pStyle w:val="TableParagraph"/>
              <w:rPr>
                <w:rFonts w:ascii="Times New Roman"/>
                <w:sz w:val="22"/>
              </w:rPr>
            </w:pPr>
          </w:p>
        </w:tc>
        <w:tc>
          <w:tcPr>
            <w:tcW w:w="8509" w:type="dxa"/>
          </w:tcPr>
          <w:p>
            <w:pPr>
              <w:pStyle w:val="TableParagraph"/>
              <w:spacing w:before="78"/>
              <w:ind w:left="830" w:right="194"/>
              <w:rPr>
                <w:rFonts w:ascii="Verdana"/>
                <w:sz w:val="24"/>
              </w:rPr>
            </w:pPr>
            <w:r>
              <w:rPr>
                <w:rFonts w:ascii="Verdana"/>
                <w:sz w:val="24"/>
              </w:rPr>
              <w:t>Groups</w:t>
            </w:r>
            <w:r>
              <w:rPr>
                <w:rFonts w:ascii="Verdana"/>
                <w:spacing w:val="-4"/>
                <w:sz w:val="24"/>
              </w:rPr>
              <w:t> </w:t>
            </w:r>
            <w:r>
              <w:rPr>
                <w:rFonts w:ascii="Verdana"/>
                <w:sz w:val="24"/>
              </w:rPr>
              <w:t>were</w:t>
            </w:r>
            <w:r>
              <w:rPr>
                <w:rFonts w:ascii="Verdana"/>
                <w:spacing w:val="-3"/>
                <w:sz w:val="24"/>
              </w:rPr>
              <w:t> </w:t>
            </w:r>
            <w:r>
              <w:rPr>
                <w:rFonts w:ascii="Verdana"/>
                <w:sz w:val="24"/>
              </w:rPr>
              <w:t>asked</w:t>
            </w:r>
            <w:r>
              <w:rPr>
                <w:rFonts w:ascii="Verdana"/>
                <w:spacing w:val="-9"/>
                <w:sz w:val="24"/>
              </w:rPr>
              <w:t> </w:t>
            </w:r>
            <w:r>
              <w:rPr>
                <w:rFonts w:ascii="Verdana"/>
                <w:sz w:val="24"/>
              </w:rPr>
              <w:t>which</w:t>
            </w:r>
            <w:r>
              <w:rPr>
                <w:rFonts w:ascii="Verdana"/>
                <w:spacing w:val="-7"/>
                <w:sz w:val="24"/>
              </w:rPr>
              <w:t> </w:t>
            </w:r>
            <w:r>
              <w:rPr>
                <w:rFonts w:ascii="Verdana"/>
                <w:sz w:val="24"/>
              </w:rPr>
              <w:t>feels</w:t>
            </w:r>
            <w:r>
              <w:rPr>
                <w:rFonts w:ascii="Verdana"/>
                <w:spacing w:val="-4"/>
                <w:sz w:val="24"/>
              </w:rPr>
              <w:t> </w:t>
            </w:r>
            <w:r>
              <w:rPr>
                <w:rFonts w:ascii="Verdana"/>
                <w:sz w:val="24"/>
              </w:rPr>
              <w:t>most</w:t>
            </w:r>
            <w:r>
              <w:rPr>
                <w:rFonts w:ascii="Verdana"/>
                <w:spacing w:val="-4"/>
                <w:sz w:val="24"/>
              </w:rPr>
              <w:t> </w:t>
            </w:r>
            <w:r>
              <w:rPr>
                <w:rFonts w:ascii="Verdana"/>
                <w:sz w:val="24"/>
              </w:rPr>
              <w:t>accurate</w:t>
            </w:r>
            <w:r>
              <w:rPr>
                <w:rFonts w:ascii="Verdana"/>
                <w:spacing w:val="-2"/>
                <w:sz w:val="24"/>
              </w:rPr>
              <w:t> </w:t>
            </w:r>
            <w:r>
              <w:rPr>
                <w:rFonts w:ascii="Verdana"/>
                <w:sz w:val="24"/>
              </w:rPr>
              <w:t>and</w:t>
            </w:r>
            <w:r>
              <w:rPr>
                <w:rFonts w:ascii="Verdana"/>
                <w:spacing w:val="-4"/>
                <w:sz w:val="24"/>
              </w:rPr>
              <w:t> </w:t>
            </w:r>
            <w:r>
              <w:rPr>
                <w:rFonts w:ascii="Verdana"/>
                <w:sz w:val="24"/>
              </w:rPr>
              <w:t>possible? Define the terms.</w:t>
            </w:r>
            <w:r>
              <w:rPr>
                <w:rFonts w:ascii="Verdana"/>
                <w:spacing w:val="80"/>
                <w:sz w:val="24"/>
              </w:rPr>
              <w:t> </w:t>
            </w:r>
            <w:r>
              <w:rPr>
                <w:rFonts w:ascii="Verdana"/>
                <w:sz w:val="24"/>
              </w:rPr>
              <w:t>Justify your choice of group and what success measures would you use?</w:t>
            </w:r>
          </w:p>
          <w:p>
            <w:pPr>
              <w:pStyle w:val="TableParagraph"/>
              <w:spacing w:before="15"/>
              <w:rPr>
                <w:b/>
                <w:sz w:val="24"/>
              </w:rPr>
            </w:pPr>
          </w:p>
          <w:p>
            <w:pPr>
              <w:pStyle w:val="TableParagraph"/>
              <w:ind w:left="830" w:right="579"/>
              <w:jc w:val="both"/>
              <w:rPr>
                <w:rFonts w:ascii="Verdana" w:hAnsi="Verdana"/>
                <w:sz w:val="24"/>
              </w:rPr>
            </w:pPr>
            <w:r>
              <w:rPr>
                <w:rFonts w:ascii="Verdana" w:hAnsi="Verdana"/>
                <w:sz w:val="24"/>
              </w:rPr>
              <w:t>MS</w:t>
            </w:r>
            <w:r>
              <w:rPr>
                <w:rFonts w:ascii="Verdana" w:hAnsi="Verdana"/>
                <w:spacing w:val="-4"/>
                <w:sz w:val="24"/>
              </w:rPr>
              <w:t> </w:t>
            </w:r>
            <w:r>
              <w:rPr>
                <w:rFonts w:ascii="Verdana" w:hAnsi="Verdana"/>
                <w:sz w:val="24"/>
              </w:rPr>
              <w:t>asked</w:t>
            </w:r>
            <w:r>
              <w:rPr>
                <w:rFonts w:ascii="Verdana" w:hAnsi="Verdana"/>
                <w:spacing w:val="-4"/>
                <w:sz w:val="24"/>
              </w:rPr>
              <w:t> </w:t>
            </w:r>
            <w:r>
              <w:rPr>
                <w:rFonts w:ascii="Verdana" w:hAnsi="Verdana"/>
                <w:sz w:val="24"/>
              </w:rPr>
              <w:t>the groups</w:t>
            </w:r>
            <w:r>
              <w:rPr>
                <w:rFonts w:ascii="Verdana" w:hAnsi="Verdana"/>
                <w:spacing w:val="-4"/>
                <w:sz w:val="24"/>
              </w:rPr>
              <w:t> </w:t>
            </w:r>
            <w:r>
              <w:rPr>
                <w:rFonts w:ascii="Verdana" w:hAnsi="Verdana"/>
                <w:sz w:val="24"/>
              </w:rPr>
              <w:t>to</w:t>
            </w:r>
            <w:r>
              <w:rPr>
                <w:rFonts w:ascii="Verdana" w:hAnsi="Verdana"/>
                <w:spacing w:val="-4"/>
                <w:sz w:val="24"/>
              </w:rPr>
              <w:t> </w:t>
            </w:r>
            <w:r>
              <w:rPr>
                <w:rFonts w:ascii="Verdana" w:hAnsi="Verdana"/>
                <w:sz w:val="24"/>
              </w:rPr>
              <w:t>define</w:t>
            </w:r>
            <w:r>
              <w:rPr>
                <w:rFonts w:ascii="Verdana" w:hAnsi="Verdana"/>
                <w:spacing w:val="-3"/>
                <w:sz w:val="24"/>
              </w:rPr>
              <w:t> </w:t>
            </w:r>
            <w:r>
              <w:rPr>
                <w:rFonts w:ascii="Verdana" w:hAnsi="Verdana"/>
                <w:sz w:val="24"/>
              </w:rPr>
              <w:t>who</w:t>
            </w:r>
            <w:r>
              <w:rPr>
                <w:rFonts w:ascii="Verdana" w:hAnsi="Verdana"/>
                <w:spacing w:val="-4"/>
                <w:sz w:val="24"/>
              </w:rPr>
              <w:t> </w:t>
            </w:r>
            <w:r>
              <w:rPr>
                <w:rFonts w:ascii="Verdana" w:hAnsi="Verdana"/>
                <w:sz w:val="24"/>
              </w:rPr>
              <w:t>the</w:t>
            </w:r>
            <w:r>
              <w:rPr>
                <w:rFonts w:ascii="Verdana" w:hAnsi="Verdana"/>
                <w:spacing w:val="-1"/>
                <w:sz w:val="24"/>
              </w:rPr>
              <w:t> </w:t>
            </w:r>
            <w:r>
              <w:rPr>
                <w:rFonts w:ascii="Verdana" w:hAnsi="Verdana"/>
                <w:b/>
                <w:sz w:val="24"/>
              </w:rPr>
              <w:t>“we”</w:t>
            </w:r>
            <w:r>
              <w:rPr>
                <w:rFonts w:ascii="Verdana" w:hAnsi="Verdana"/>
                <w:b/>
                <w:spacing w:val="-1"/>
                <w:sz w:val="24"/>
              </w:rPr>
              <w:t> </w:t>
            </w:r>
            <w:r>
              <w:rPr>
                <w:rFonts w:ascii="Verdana" w:hAnsi="Verdana"/>
                <w:sz w:val="24"/>
              </w:rPr>
              <w:t>is</w:t>
            </w:r>
            <w:r>
              <w:rPr>
                <w:rFonts w:ascii="Verdana" w:hAnsi="Verdana"/>
                <w:spacing w:val="-5"/>
                <w:sz w:val="24"/>
              </w:rPr>
              <w:t> </w:t>
            </w:r>
            <w:r>
              <w:rPr>
                <w:rFonts w:ascii="Verdana" w:hAnsi="Verdana"/>
                <w:sz w:val="24"/>
              </w:rPr>
              <w:t>–</w:t>
            </w:r>
            <w:r>
              <w:rPr>
                <w:rFonts w:ascii="Verdana" w:hAnsi="Verdana"/>
                <w:spacing w:val="-1"/>
                <w:sz w:val="24"/>
              </w:rPr>
              <w:t> </w:t>
            </w:r>
            <w:r>
              <w:rPr>
                <w:rFonts w:ascii="Verdana" w:hAnsi="Verdana"/>
                <w:sz w:val="24"/>
              </w:rPr>
              <w:t>whether that</w:t>
            </w:r>
            <w:r>
              <w:rPr>
                <w:rFonts w:ascii="Verdana" w:hAnsi="Verdana"/>
                <w:spacing w:val="-3"/>
                <w:sz w:val="24"/>
              </w:rPr>
              <w:t> </w:t>
            </w:r>
            <w:r>
              <w:rPr>
                <w:rFonts w:ascii="Verdana" w:hAnsi="Verdana"/>
                <w:sz w:val="24"/>
              </w:rPr>
              <w:t>is</w:t>
            </w:r>
            <w:r>
              <w:rPr>
                <w:rFonts w:ascii="Verdana" w:hAnsi="Verdana"/>
                <w:spacing w:val="-4"/>
                <w:sz w:val="24"/>
              </w:rPr>
              <w:t> </w:t>
            </w:r>
            <w:r>
              <w:rPr>
                <w:rFonts w:ascii="Verdana" w:hAnsi="Verdana"/>
                <w:sz w:val="24"/>
              </w:rPr>
              <w:t>a</w:t>
            </w:r>
            <w:r>
              <w:rPr>
                <w:rFonts w:ascii="Verdana" w:hAnsi="Verdana"/>
                <w:spacing w:val="-4"/>
                <w:sz w:val="24"/>
              </w:rPr>
              <w:t> </w:t>
            </w:r>
            <w:r>
              <w:rPr>
                <w:rFonts w:ascii="Verdana" w:hAnsi="Verdana"/>
                <w:sz w:val="24"/>
              </w:rPr>
              <w:t>group</w:t>
            </w:r>
            <w:r>
              <w:rPr>
                <w:rFonts w:ascii="Verdana" w:hAnsi="Verdana"/>
                <w:spacing w:val="-4"/>
                <w:sz w:val="24"/>
              </w:rPr>
              <w:t> </w:t>
            </w:r>
            <w:r>
              <w:rPr>
                <w:rFonts w:ascii="Verdana" w:hAnsi="Verdana"/>
                <w:sz w:val="24"/>
              </w:rPr>
              <w:t>you</w:t>
            </w:r>
            <w:r>
              <w:rPr>
                <w:rFonts w:ascii="Verdana" w:hAnsi="Verdana"/>
                <w:spacing w:val="-7"/>
                <w:sz w:val="24"/>
              </w:rPr>
              <w:t> </w:t>
            </w:r>
            <w:r>
              <w:rPr>
                <w:rFonts w:ascii="Verdana" w:hAnsi="Verdana"/>
                <w:sz w:val="24"/>
              </w:rPr>
              <w:t>are</w:t>
            </w:r>
            <w:r>
              <w:rPr>
                <w:rFonts w:ascii="Verdana" w:hAnsi="Verdana"/>
                <w:spacing w:val="-3"/>
                <w:sz w:val="24"/>
              </w:rPr>
              <w:t> </w:t>
            </w:r>
            <w:r>
              <w:rPr>
                <w:rFonts w:ascii="Verdana" w:hAnsi="Verdana"/>
                <w:sz w:val="24"/>
              </w:rPr>
              <w:t>thinking</w:t>
            </w:r>
            <w:r>
              <w:rPr>
                <w:rFonts w:ascii="Verdana" w:hAnsi="Verdana"/>
                <w:spacing w:val="-4"/>
                <w:sz w:val="24"/>
              </w:rPr>
              <w:t> </w:t>
            </w:r>
            <w:r>
              <w:rPr>
                <w:rFonts w:ascii="Verdana" w:hAnsi="Verdana"/>
                <w:sz w:val="24"/>
              </w:rPr>
              <w:t>of</w:t>
            </w:r>
            <w:r>
              <w:rPr>
                <w:rFonts w:ascii="Verdana" w:hAnsi="Verdana"/>
                <w:spacing w:val="-4"/>
                <w:sz w:val="24"/>
              </w:rPr>
              <w:t> </w:t>
            </w:r>
            <w:r>
              <w:rPr>
                <w:rFonts w:ascii="Verdana" w:hAnsi="Verdana"/>
                <w:sz w:val="24"/>
              </w:rPr>
              <w:t>or</w:t>
            </w:r>
            <w:r>
              <w:rPr>
                <w:rFonts w:ascii="Verdana" w:hAnsi="Verdana"/>
                <w:spacing w:val="-2"/>
                <w:sz w:val="24"/>
              </w:rPr>
              <w:t> </w:t>
            </w:r>
            <w:r>
              <w:rPr>
                <w:rFonts w:ascii="Verdana" w:hAnsi="Verdana"/>
                <w:sz w:val="24"/>
              </w:rPr>
              <w:t>the</w:t>
            </w:r>
            <w:r>
              <w:rPr>
                <w:rFonts w:ascii="Verdana" w:hAnsi="Verdana"/>
                <w:spacing w:val="-3"/>
                <w:sz w:val="24"/>
              </w:rPr>
              <w:t> </w:t>
            </w:r>
            <w:r>
              <w:rPr>
                <w:rFonts w:ascii="Verdana" w:hAnsi="Verdana"/>
                <w:sz w:val="24"/>
              </w:rPr>
              <w:t>whole</w:t>
            </w:r>
            <w:r>
              <w:rPr>
                <w:rFonts w:ascii="Verdana" w:hAnsi="Verdana"/>
                <w:spacing w:val="-3"/>
                <w:sz w:val="24"/>
              </w:rPr>
              <w:t> </w:t>
            </w:r>
            <w:r>
              <w:rPr>
                <w:rFonts w:ascii="Verdana" w:hAnsi="Verdana"/>
                <w:sz w:val="24"/>
              </w:rPr>
              <w:t>of society; define poverty and to define health.</w:t>
            </w:r>
          </w:p>
          <w:p>
            <w:pPr>
              <w:pStyle w:val="TableParagraph"/>
              <w:spacing w:before="19"/>
              <w:rPr>
                <w:b/>
                <w:sz w:val="24"/>
              </w:rPr>
            </w:pPr>
          </w:p>
          <w:p>
            <w:pPr>
              <w:pStyle w:val="TableParagraph"/>
              <w:spacing w:line="291" w:lineRule="exact"/>
              <w:ind w:left="830"/>
              <w:jc w:val="both"/>
              <w:rPr>
                <w:rFonts w:ascii="Verdana"/>
                <w:sz w:val="24"/>
              </w:rPr>
            </w:pPr>
            <w:r>
              <w:rPr>
                <w:rFonts w:ascii="Verdana"/>
                <w:sz w:val="24"/>
              </w:rPr>
              <w:t>The</w:t>
            </w:r>
            <w:r>
              <w:rPr>
                <w:rFonts w:ascii="Verdana"/>
                <w:spacing w:val="-1"/>
                <w:sz w:val="24"/>
              </w:rPr>
              <w:t> </w:t>
            </w:r>
            <w:r>
              <w:rPr>
                <w:rFonts w:ascii="Verdana"/>
                <w:sz w:val="24"/>
              </w:rPr>
              <w:t>group</w:t>
            </w:r>
            <w:r>
              <w:rPr>
                <w:rFonts w:ascii="Verdana"/>
                <w:spacing w:val="-2"/>
                <w:sz w:val="24"/>
              </w:rPr>
              <w:t> </w:t>
            </w:r>
            <w:r>
              <w:rPr>
                <w:rFonts w:ascii="Verdana"/>
                <w:sz w:val="24"/>
              </w:rPr>
              <w:t>could</w:t>
            </w:r>
            <w:r>
              <w:rPr>
                <w:rFonts w:ascii="Verdana"/>
                <w:spacing w:val="-2"/>
                <w:sz w:val="24"/>
              </w:rPr>
              <w:t> </w:t>
            </w:r>
            <w:r>
              <w:rPr>
                <w:rFonts w:ascii="Verdana"/>
                <w:sz w:val="24"/>
              </w:rPr>
              <w:t>also</w:t>
            </w:r>
            <w:r>
              <w:rPr>
                <w:rFonts w:ascii="Verdana"/>
                <w:spacing w:val="-3"/>
                <w:sz w:val="24"/>
              </w:rPr>
              <w:t> </w:t>
            </w:r>
            <w:r>
              <w:rPr>
                <w:rFonts w:ascii="Verdana"/>
                <w:sz w:val="24"/>
              </w:rPr>
              <w:t>discuss</w:t>
            </w:r>
            <w:r>
              <w:rPr>
                <w:rFonts w:ascii="Verdana"/>
                <w:spacing w:val="-2"/>
                <w:sz w:val="24"/>
              </w:rPr>
              <w:t> </w:t>
            </w:r>
            <w:r>
              <w:rPr>
                <w:rFonts w:ascii="Verdana"/>
                <w:sz w:val="24"/>
              </w:rPr>
              <w:t>a</w:t>
            </w:r>
            <w:r>
              <w:rPr>
                <w:rFonts w:ascii="Verdana"/>
                <w:spacing w:val="-1"/>
                <w:sz w:val="24"/>
              </w:rPr>
              <w:t> </w:t>
            </w:r>
            <w:r>
              <w:rPr>
                <w:rFonts w:ascii="Verdana"/>
                <w:sz w:val="24"/>
              </w:rPr>
              <w:t>third</w:t>
            </w:r>
            <w:r>
              <w:rPr>
                <w:rFonts w:ascii="Verdana"/>
                <w:spacing w:val="-2"/>
                <w:sz w:val="24"/>
              </w:rPr>
              <w:t> </w:t>
            </w:r>
            <w:r>
              <w:rPr>
                <w:rFonts w:ascii="Verdana"/>
                <w:sz w:val="24"/>
              </w:rPr>
              <w:t>choice </w:t>
            </w:r>
            <w:r>
              <w:rPr>
                <w:rFonts w:ascii="Verdana"/>
                <w:spacing w:val="-5"/>
                <w:sz w:val="24"/>
              </w:rPr>
              <w:t>of:</w:t>
            </w:r>
          </w:p>
          <w:p>
            <w:pPr>
              <w:pStyle w:val="TableParagraph"/>
              <w:tabs>
                <w:tab w:pos="4923" w:val="left" w:leader="none"/>
                <w:tab w:pos="8341" w:val="left" w:leader="none"/>
              </w:tabs>
              <w:spacing w:line="291" w:lineRule="exact"/>
              <w:ind w:left="469"/>
              <w:rPr>
                <w:rFonts w:ascii="Verdana"/>
                <w:sz w:val="24"/>
              </w:rPr>
            </w:pPr>
            <w:r>
              <w:rPr>
                <w:rFonts w:ascii="Verdana"/>
                <w:sz w:val="24"/>
              </w:rPr>
              <mc:AlternateContent>
                <mc:Choice Requires="wps">
                  <w:drawing>
                    <wp:anchor distT="0" distB="0" distL="0" distR="0" allowOverlap="1" layoutInCell="1" locked="0" behindDoc="1" simplePos="0" relativeHeight="477233664">
                      <wp:simplePos x="0" y="0"/>
                      <wp:positionH relativeFrom="column">
                        <wp:posOffset>-495727</wp:posOffset>
                      </wp:positionH>
                      <wp:positionV relativeFrom="paragraph">
                        <wp:posOffset>-667988</wp:posOffset>
                      </wp:positionV>
                      <wp:extent cx="5452745" cy="5744845"/>
                      <wp:effectExtent l="0" t="0" r="0" b="0"/>
                      <wp:wrapNone/>
                      <wp:docPr id="769" name="Group 769"/>
                      <wp:cNvGraphicFramePr>
                        <a:graphicFrameLocks/>
                      </wp:cNvGraphicFramePr>
                      <a:graphic>
                        <a:graphicData uri="http://schemas.microsoft.com/office/word/2010/wordprocessingGroup">
                          <wpg:wgp>
                            <wpg:cNvPr id="769" name="Group 769"/>
                            <wpg:cNvGrpSpPr/>
                            <wpg:grpSpPr>
                              <a:xfrm>
                                <a:off x="0" y="0"/>
                                <a:ext cx="5452745" cy="5744845"/>
                                <a:chExt cx="5452745" cy="5744845"/>
                              </a:xfrm>
                            </wpg:grpSpPr>
                            <wps:wsp>
                              <wps:cNvPr id="770" name="Graphic 770"/>
                              <wps:cNvSpPr/>
                              <wps:spPr>
                                <a:xfrm>
                                  <a:off x="-3"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39.033688pt;margin-top:-52.597557pt;width:429.35pt;height:452.35pt;mso-position-horizontal-relative:column;mso-position-vertical-relative:paragraph;z-index:-26082816" id="docshapegroup515" coordorigin="-781,-1052" coordsize="8587,9047">
                      <v:shape style="position:absolute;left:-781;top:-1052;width:8587;height:9047" id="docshape516" coordorigin="-781,-1052" coordsize="8587,9047" path="m2725,7018l2719,6944,2708,6868,2691,6790,2668,6710,2646,6647,2621,6583,2593,6517,2561,6451,2526,6383,2487,6313,2444,6242,2398,6170,2348,6097,2337,6082,2337,6934,2330,7004,2314,7071,2288,7136,2253,7199,2208,7259,2154,7318,1947,7526,-313,5266,-108,5061,-44,5004,21,4957,89,4922,160,4899,232,4887,307,4885,384,4890,463,4903,545,4923,629,4953,700,4983,773,5018,847,5058,921,5103,997,5153,1074,5208,1133,5253,1191,5299,1250,5347,1309,5398,1368,5450,1426,5503,1485,5559,1544,5617,1609,5682,1670,5746,1729,5809,1785,5871,1838,5931,1889,5991,1936,6049,1981,6106,2023,6162,2074,6233,2120,6302,2161,6370,2198,6436,2230,6500,2259,6563,2283,6624,2310,6707,2328,6786,2337,6861,2337,6934,2337,6082,2309,6042,2267,5986,2224,5929,2178,5872,2131,5814,2081,5755,2030,5696,1976,5636,1920,5575,1862,5514,1803,5452,1741,5389,1676,5325,1611,5263,1546,5203,1482,5145,1418,5090,1355,5037,1292,4986,1229,4938,1167,4892,1158,4885,1106,4848,1030,4797,955,4750,880,4706,807,4666,734,4630,662,4598,592,4569,522,4543,444,4520,368,4502,294,4490,221,4483,150,4481,80,4484,13,4492,-64,4508,-139,4534,-211,4570,-282,4614,-350,4667,-417,4728,-761,5072,-772,5087,-779,5107,-781,5130,-778,5156,-767,5188,-747,5224,-718,5262,-679,5304,1911,7894,1953,7933,1991,7962,2026,7981,2057,7991,2085,7995,2108,7994,2128,7987,2143,7976,2465,7654,2526,7588,2574,7526,2579,7520,2623,7450,2660,7378,2688,7303,2708,7227,2719,7160,2725,7090,2725,7018xm4537,5559l4535,5548,4529,5537,4523,5528,4516,5519,4509,5510,4501,5502,4491,5492,4478,5481,4463,5469,4444,5455,4423,5440,4311,5364,3533,4859,3470,4818,3407,4779,3382,4764,3291,4710,3237,4679,3185,4651,3135,4626,3087,4604,3041,4585,2996,4569,2954,4556,2913,4545,2874,4538,2844,4534,2837,4534,2801,4533,2766,4534,2775,4478,2780,4421,2780,4363,2777,4304,2769,4244,2756,4183,2738,4120,2715,4056,2687,3992,2654,3927,2616,3860,2570,3792,2530,3738,2486,3683,2448,3638,2448,4293,2446,4342,2439,4390,2425,4437,2403,4483,2375,4526,2339,4567,2141,4764,1163,3786,1333,3615,1362,3587,1389,3563,1414,3542,1437,3525,1459,3511,1481,3499,1503,3489,1525,3481,1598,3468,1673,3469,1749,3485,1827,3516,1891,3551,1956,3594,2022,3643,2089,3701,2157,3766,2207,3818,2253,3871,2296,3925,2335,3978,2368,4033,2395,4087,2416,4139,2432,4191,2443,4243,2448,4293,2448,3638,2438,3626,2386,3569,2330,3512,2285,3468,2270,3453,2210,3398,2150,3348,2091,3301,2032,3258,1958,3211,1886,3170,1814,3136,1743,3107,1672,3085,1604,3070,1536,3062,1471,3061,1406,3066,1343,3079,1282,3099,1223,3125,1204,3137,1183,3150,1141,3179,1119,3198,1095,3219,1068,3244,1040,3271,718,3594,706,3609,700,3628,698,3651,701,3678,712,3710,732,3745,761,3784,800,3826,3488,6514,3497,6523,3506,6530,3515,6536,3524,6541,3537,6547,3548,6548,3561,6545,3572,6543,3584,6539,3596,6535,3608,6529,3620,6520,3633,6511,3646,6499,3661,6485,3675,6471,3687,6457,3697,6444,3706,6432,3711,6419,3716,6408,3719,6396,3720,6385,3723,6374,3722,6361,3717,6349,3712,6339,3705,6330,3698,6321,3690,6312,2453,5076,2588,4941,2624,4910,2662,4887,2703,4870,2745,4861,2791,4859,2838,4862,2888,4871,2941,4885,2995,4904,3052,4928,3111,4957,3172,4990,3235,5027,3301,5067,3368,5110,3438,5155,4278,5710,4293,5719,4306,5727,4319,5733,4330,5738,4341,5741,4352,5743,4363,5742,4376,5742,4388,5739,4399,5733,4411,5726,4423,5718,4436,5707,4450,5695,4465,5681,4481,5664,4495,5648,4507,5634,4516,5621,4524,5609,4530,5597,4534,5586,4536,5574,4537,5559xm5981,4131l5978,4118,5973,4105,5965,4092,5954,4077,5940,4062,5923,4047,5903,4031,5879,4014,5851,3994,5428,3703,4529,3092,4529,3449,4001,3977,2816,2268,2817,2266,4529,3449,4529,3092,3317,2266,2645,1806,2630,1797,2616,1788,2602,1781,2589,1776,2577,1773,2565,1772,2553,1773,2541,1775,2528,1779,2515,1784,2501,1792,2487,1801,2473,1813,2458,1827,2441,1843,2406,1878,2392,1893,2379,1907,2368,1921,2359,1934,2352,1947,2347,1960,2344,1972,2342,1984,2341,1996,2342,2007,2346,2019,2351,2032,2357,2045,2365,2058,2374,2072,2418,2138,4562,5279,4582,5306,4599,5330,4616,5350,4631,5367,4645,5381,4660,5392,4673,5401,4687,5406,4699,5408,4712,5408,4725,5404,4739,5398,4753,5388,4767,5376,4783,5363,4799,5347,4815,5331,4828,5316,4839,5302,4849,5289,4856,5277,4861,5266,4864,5254,4865,5241,4864,5231,4863,5221,4861,5211,4856,5200,4852,5190,4846,5180,4840,5169,4832,5157,4258,4335,4616,3977,4890,3703,5727,4280,5739,4287,5751,4293,5761,4299,5771,4303,5784,4309,5795,4311,5808,4307,5818,4306,5829,4302,5841,4296,5854,4288,5867,4278,5881,4265,5896,4250,5914,4233,5931,4215,5945,4198,5958,4183,5968,4169,5975,4157,5980,4144,5981,4131xm6417,3681l6417,3671,6414,3662,6410,3651,6405,3642,6400,3634,6393,3626,6385,3617,5175,2408,5707,1876,5707,1867,5706,1854,5704,1845,5701,1835,5697,1825,5690,1812,5683,1800,5674,1786,5662,1771,5649,1755,5634,1738,5600,1701,5580,1680,5557,1658,5535,1638,5499,1604,5483,1591,5468,1581,5455,1572,5443,1565,5432,1560,5422,1556,5412,1553,5403,1551,5393,1553,5386,1555,4855,2087,3867,1099,4429,537,4432,530,4431,518,4429,509,4426,499,4421,488,4407,463,4398,449,4387,434,4373,418,4358,401,4322,363,4302,342,4280,321,4260,302,4223,268,4207,254,4191,243,4177,233,4163,224,4151,218,4140,213,4130,210,4121,208,4108,207,4102,210,3413,898,3402,914,3395,933,3393,956,3396,982,3407,1015,3427,1050,3456,1089,3495,1131,6183,3819,6192,3827,6200,3834,6208,3839,6217,3844,6228,3848,6237,3851,6247,3851,6267,3848,6279,3844,6291,3840,6304,3834,6316,3825,6329,3815,6342,3803,6356,3790,6370,3775,6382,3762,6392,3748,6401,3736,6407,3724,6411,3712,6414,3701,6417,3681xm7806,2290l7804,2279,7799,2267,7794,2257,7788,2248,7780,2239,7772,2230,5254,-288,5687,-721,5691,-729,5690,-741,5688,-750,5685,-760,5680,-771,5674,-783,5666,-795,5657,-809,5645,-824,5631,-840,5599,-875,5580,-895,5560,-916,5538,-937,5518,-956,5481,-990,5465,-1004,5450,-1016,5436,-1026,5422,-1035,5410,-1041,5399,-1046,5389,-1049,5380,-1051,5367,-1052,5359,-1048,4292,19,4288,28,4292,49,4295,59,4300,69,4306,81,4315,94,4325,109,4337,124,4367,159,4384,178,4403,198,4424,220,4445,240,4465,259,4484,276,4501,290,4517,304,4532,316,4546,325,4570,339,4580,344,4590,347,4611,351,4619,347,5052,-86,7570,2432,7579,2440,7588,2448,7597,2454,7606,2459,7619,2464,7630,2466,7643,2463,7654,2461,7666,2457,7678,2453,7690,2447,7702,2438,7715,2428,7729,2417,7743,2403,7757,2389,7769,2375,7779,2361,7788,2349,7793,2337,7798,2325,7801,2314,7803,2303,7806,2290xe" filled="true" fillcolor="#c0c0c0" stroked="false">
                        <v:path arrowok="t"/>
                        <v:fill opacity="32896f" type="solid"/>
                      </v:shape>
                      <w10:wrap type="none"/>
                    </v:group>
                  </w:pict>
                </mc:Fallback>
              </mc:AlternateContent>
            </w:r>
            <w:r>
              <w:rPr>
                <w:rFonts w:ascii="Verdana"/>
                <w:sz w:val="24"/>
              </w:rPr>
              <w:t>3.</w:t>
            </w:r>
            <w:r>
              <w:rPr>
                <w:rFonts w:ascii="Verdana"/>
                <w:spacing w:val="40"/>
                <w:sz w:val="24"/>
              </w:rPr>
              <w:t> </w:t>
            </w:r>
            <w:r>
              <w:rPr>
                <w:rFonts w:ascii="Verdana"/>
                <w:b/>
                <w:sz w:val="24"/>
              </w:rPr>
              <w:t>We </w:t>
            </w:r>
            <w:r>
              <w:rPr>
                <w:rFonts w:ascii="Verdana"/>
                <w:sz w:val="24"/>
              </w:rPr>
              <w:t>should focus on </w:t>
            </w:r>
            <w:r>
              <w:rPr>
                <w:rFonts w:ascii="Verdana"/>
                <w:sz w:val="24"/>
                <w:u w:val="single"/>
              </w:rPr>
              <w:tab/>
            </w:r>
            <w:r>
              <w:rPr>
                <w:rFonts w:ascii="Verdana"/>
                <w:sz w:val="24"/>
                <w:u w:val="none"/>
              </w:rPr>
              <w:t>because that will </w:t>
            </w:r>
            <w:r>
              <w:rPr>
                <w:rFonts w:ascii="Verdana"/>
                <w:sz w:val="24"/>
                <w:u w:val="single"/>
              </w:rPr>
              <w:tab/>
            </w:r>
          </w:p>
          <w:p>
            <w:pPr>
              <w:pStyle w:val="TableParagraph"/>
              <w:spacing w:before="18"/>
              <w:rPr>
                <w:b/>
                <w:sz w:val="24"/>
              </w:rPr>
            </w:pPr>
          </w:p>
          <w:p>
            <w:pPr>
              <w:pStyle w:val="TableParagraph"/>
              <w:ind w:left="109" w:right="194"/>
              <w:rPr>
                <w:rFonts w:ascii="Verdana" w:hAnsi="Verdana"/>
                <w:sz w:val="24"/>
              </w:rPr>
            </w:pPr>
            <w:r>
              <w:rPr>
                <w:rFonts w:ascii="Verdana" w:hAnsi="Verdana"/>
                <w:sz w:val="24"/>
              </w:rPr>
              <w:t>The group who discussed Question 1 shared their thoughts on this being a generational issue with tackling societal challenges particularly around education, basic life skills and access to good food through a collective society wide approach being paramount. The</w:t>
            </w:r>
            <w:r>
              <w:rPr>
                <w:rFonts w:ascii="Verdana" w:hAnsi="Verdana"/>
                <w:spacing w:val="-2"/>
                <w:sz w:val="24"/>
              </w:rPr>
              <w:t> </w:t>
            </w:r>
            <w:r>
              <w:rPr>
                <w:rFonts w:ascii="Verdana" w:hAnsi="Verdana"/>
                <w:sz w:val="24"/>
              </w:rPr>
              <w:t>group</w:t>
            </w:r>
            <w:r>
              <w:rPr>
                <w:rFonts w:ascii="Verdana" w:hAnsi="Verdana"/>
                <w:spacing w:val="-3"/>
                <w:sz w:val="24"/>
              </w:rPr>
              <w:t> </w:t>
            </w:r>
            <w:r>
              <w:rPr>
                <w:rFonts w:ascii="Verdana" w:hAnsi="Verdana"/>
                <w:sz w:val="24"/>
              </w:rPr>
              <w:t>discussed</w:t>
            </w:r>
            <w:r>
              <w:rPr>
                <w:rFonts w:ascii="Verdana" w:hAnsi="Verdana"/>
                <w:spacing w:val="-2"/>
                <w:sz w:val="24"/>
              </w:rPr>
              <w:t> </w:t>
            </w:r>
            <w:r>
              <w:rPr>
                <w:rFonts w:ascii="Verdana" w:hAnsi="Verdana"/>
                <w:sz w:val="24"/>
              </w:rPr>
              <w:t>an</w:t>
            </w:r>
            <w:r>
              <w:rPr>
                <w:rFonts w:ascii="Verdana" w:hAnsi="Verdana"/>
                <w:spacing w:val="-5"/>
                <w:sz w:val="24"/>
              </w:rPr>
              <w:t> </w:t>
            </w:r>
            <w:r>
              <w:rPr>
                <w:rFonts w:ascii="Verdana" w:hAnsi="Verdana"/>
                <w:sz w:val="24"/>
              </w:rPr>
              <w:t>emphasis</w:t>
            </w:r>
            <w:r>
              <w:rPr>
                <w:rFonts w:ascii="Verdana" w:hAnsi="Verdana"/>
                <w:spacing w:val="-3"/>
                <w:sz w:val="24"/>
              </w:rPr>
              <w:t> </w:t>
            </w:r>
            <w:r>
              <w:rPr>
                <w:rFonts w:ascii="Verdana" w:hAnsi="Verdana"/>
                <w:sz w:val="24"/>
              </w:rPr>
              <w:t>on</w:t>
            </w:r>
            <w:r>
              <w:rPr>
                <w:rFonts w:ascii="Verdana" w:hAnsi="Verdana"/>
                <w:spacing w:val="-6"/>
                <w:sz w:val="24"/>
              </w:rPr>
              <w:t> </w:t>
            </w:r>
            <w:r>
              <w:rPr>
                <w:rFonts w:ascii="Verdana" w:hAnsi="Verdana"/>
                <w:sz w:val="24"/>
              </w:rPr>
              <w:t>early</w:t>
            </w:r>
            <w:r>
              <w:rPr>
                <w:rFonts w:ascii="Verdana" w:hAnsi="Verdana"/>
                <w:spacing w:val="-5"/>
                <w:sz w:val="24"/>
              </w:rPr>
              <w:t> </w:t>
            </w:r>
            <w:r>
              <w:rPr>
                <w:rFonts w:ascii="Verdana" w:hAnsi="Verdana"/>
                <w:sz w:val="24"/>
              </w:rPr>
              <w:t>education</w:t>
            </w:r>
            <w:r>
              <w:rPr>
                <w:rFonts w:ascii="Verdana" w:hAnsi="Verdana"/>
                <w:spacing w:val="-6"/>
                <w:sz w:val="24"/>
              </w:rPr>
              <w:t> </w:t>
            </w:r>
            <w:r>
              <w:rPr>
                <w:rFonts w:ascii="Verdana" w:hAnsi="Verdana"/>
                <w:sz w:val="24"/>
              </w:rPr>
              <w:t>as</w:t>
            </w:r>
            <w:r>
              <w:rPr>
                <w:rFonts w:ascii="Verdana" w:hAnsi="Verdana"/>
                <w:spacing w:val="-3"/>
                <w:sz w:val="24"/>
              </w:rPr>
              <w:t> </w:t>
            </w:r>
            <w:r>
              <w:rPr>
                <w:rFonts w:ascii="Verdana" w:hAnsi="Verdana"/>
                <w:sz w:val="24"/>
              </w:rPr>
              <w:t>a</w:t>
            </w:r>
            <w:r>
              <w:rPr>
                <w:rFonts w:ascii="Verdana" w:hAnsi="Verdana"/>
                <w:spacing w:val="-2"/>
                <w:sz w:val="24"/>
              </w:rPr>
              <w:t> </w:t>
            </w:r>
            <w:r>
              <w:rPr>
                <w:rFonts w:ascii="Verdana" w:hAnsi="Verdana"/>
                <w:sz w:val="24"/>
              </w:rPr>
              <w:t>key</w:t>
            </w:r>
            <w:r>
              <w:rPr>
                <w:rFonts w:ascii="Verdana" w:hAnsi="Verdana"/>
                <w:spacing w:val="-5"/>
                <w:sz w:val="24"/>
              </w:rPr>
              <w:t> </w:t>
            </w:r>
            <w:r>
              <w:rPr>
                <w:rFonts w:ascii="Verdana" w:hAnsi="Verdana"/>
                <w:sz w:val="24"/>
              </w:rPr>
              <w:t>lever for long term change.</w:t>
            </w:r>
            <w:r>
              <w:rPr>
                <w:rFonts w:ascii="Verdana" w:hAnsi="Verdana"/>
                <w:spacing w:val="40"/>
                <w:sz w:val="24"/>
              </w:rPr>
              <w:t> </w:t>
            </w:r>
            <w:r>
              <w:rPr>
                <w:rFonts w:ascii="Verdana" w:hAnsi="Verdana"/>
                <w:sz w:val="24"/>
              </w:rPr>
              <w:t>Success would likely be measured through educational attainment and improved equity.</w:t>
            </w:r>
            <w:r>
              <w:rPr>
                <w:rFonts w:ascii="Verdana" w:hAnsi="Verdana"/>
                <w:spacing w:val="80"/>
                <w:sz w:val="24"/>
              </w:rPr>
              <w:t> </w:t>
            </w:r>
            <w:r>
              <w:rPr>
                <w:rFonts w:ascii="Verdana" w:hAnsi="Verdana"/>
                <w:sz w:val="24"/>
              </w:rPr>
              <w:t>A major challenge was identified as who “we” are.</w:t>
            </w:r>
          </w:p>
          <w:p>
            <w:pPr>
              <w:pStyle w:val="TableParagraph"/>
              <w:spacing w:before="16"/>
              <w:rPr>
                <w:b/>
                <w:sz w:val="24"/>
              </w:rPr>
            </w:pPr>
          </w:p>
          <w:p>
            <w:pPr>
              <w:pStyle w:val="TableParagraph"/>
              <w:ind w:left="109" w:right="114"/>
              <w:rPr>
                <w:rFonts w:ascii="Verdana"/>
                <w:sz w:val="24"/>
              </w:rPr>
            </w:pPr>
            <w:r>
              <w:rPr>
                <w:rFonts w:ascii="Verdana"/>
                <w:sz w:val="24"/>
              </w:rPr>
              <w:t>The group who discussed Question 2 explored the relationship between</w:t>
            </w:r>
            <w:r>
              <w:rPr>
                <w:rFonts w:ascii="Verdana"/>
                <w:spacing w:val="-3"/>
                <w:sz w:val="24"/>
              </w:rPr>
              <w:t> </w:t>
            </w:r>
            <w:r>
              <w:rPr>
                <w:rFonts w:ascii="Verdana"/>
                <w:sz w:val="24"/>
              </w:rPr>
              <w:t>health, poverty</w:t>
            </w:r>
            <w:r>
              <w:rPr>
                <w:rFonts w:ascii="Verdana"/>
                <w:spacing w:val="-3"/>
                <w:sz w:val="24"/>
              </w:rPr>
              <w:t> </w:t>
            </w:r>
            <w:r>
              <w:rPr>
                <w:rFonts w:ascii="Verdana"/>
                <w:sz w:val="24"/>
              </w:rPr>
              <w:t>and</w:t>
            </w:r>
            <w:r>
              <w:rPr>
                <w:rFonts w:ascii="Verdana"/>
                <w:spacing w:val="-1"/>
                <w:sz w:val="24"/>
              </w:rPr>
              <w:t> </w:t>
            </w:r>
            <w:r>
              <w:rPr>
                <w:rFonts w:ascii="Verdana"/>
                <w:sz w:val="24"/>
              </w:rPr>
              <w:t>inequality</w:t>
            </w:r>
            <w:r>
              <w:rPr>
                <w:rFonts w:ascii="Verdana"/>
                <w:spacing w:val="-3"/>
                <w:sz w:val="24"/>
              </w:rPr>
              <w:t> </w:t>
            </w:r>
            <w:r>
              <w:rPr>
                <w:rFonts w:ascii="Verdana"/>
                <w:sz w:val="24"/>
              </w:rPr>
              <w:t>focusing</w:t>
            </w:r>
            <w:r>
              <w:rPr>
                <w:rFonts w:ascii="Verdana"/>
                <w:spacing w:val="-1"/>
                <w:sz w:val="24"/>
              </w:rPr>
              <w:t> </w:t>
            </w:r>
            <w:r>
              <w:rPr>
                <w:rFonts w:ascii="Verdana"/>
                <w:sz w:val="24"/>
              </w:rPr>
              <w:t>on</w:t>
            </w:r>
            <w:r>
              <w:rPr>
                <w:rFonts w:ascii="Verdana"/>
                <w:spacing w:val="-4"/>
                <w:sz w:val="24"/>
              </w:rPr>
              <w:t> </w:t>
            </w:r>
            <w:r>
              <w:rPr>
                <w:rFonts w:ascii="Verdana"/>
                <w:sz w:val="24"/>
              </w:rPr>
              <w:t>practical</w:t>
            </w:r>
            <w:r>
              <w:rPr>
                <w:rFonts w:ascii="Verdana"/>
                <w:spacing w:val="-2"/>
                <w:sz w:val="24"/>
              </w:rPr>
              <w:t> </w:t>
            </w:r>
            <w:r>
              <w:rPr>
                <w:rFonts w:ascii="Verdana"/>
                <w:sz w:val="24"/>
              </w:rPr>
              <w:t>actions that organisations can take.</w:t>
            </w:r>
            <w:r>
              <w:rPr>
                <w:rFonts w:ascii="Verdana"/>
                <w:spacing w:val="80"/>
                <w:sz w:val="24"/>
              </w:rPr>
              <w:t> </w:t>
            </w:r>
            <w:r>
              <w:rPr>
                <w:rFonts w:ascii="Verdana"/>
                <w:sz w:val="24"/>
              </w:rPr>
              <w:t>These included the argument that improving health can directly reduce poverty as better health leads to improved employment, life choices and economic outcomes.</w:t>
            </w:r>
            <w:r>
              <w:rPr>
                <w:rFonts w:ascii="Verdana"/>
                <w:spacing w:val="80"/>
                <w:sz w:val="24"/>
              </w:rPr>
              <w:t> </w:t>
            </w:r>
            <w:r>
              <w:rPr>
                <w:rFonts w:ascii="Verdana"/>
                <w:sz w:val="24"/>
              </w:rPr>
              <w:t>A key issue is unequal access to healthcare services particularly among</w:t>
            </w:r>
            <w:r>
              <w:rPr>
                <w:rFonts w:ascii="Verdana"/>
                <w:spacing w:val="-4"/>
                <w:sz w:val="24"/>
              </w:rPr>
              <w:t> </w:t>
            </w:r>
            <w:r>
              <w:rPr>
                <w:rFonts w:ascii="Verdana"/>
                <w:sz w:val="24"/>
              </w:rPr>
              <w:t>disadvantaged</w:t>
            </w:r>
            <w:r>
              <w:rPr>
                <w:rFonts w:ascii="Verdana"/>
                <w:spacing w:val="-4"/>
                <w:sz w:val="24"/>
              </w:rPr>
              <w:t> </w:t>
            </w:r>
            <w:r>
              <w:rPr>
                <w:rFonts w:ascii="Verdana"/>
                <w:sz w:val="24"/>
              </w:rPr>
              <w:t>groups,</w:t>
            </w:r>
            <w:r>
              <w:rPr>
                <w:rFonts w:ascii="Verdana"/>
                <w:spacing w:val="-6"/>
                <w:sz w:val="24"/>
              </w:rPr>
              <w:t> </w:t>
            </w:r>
            <w:r>
              <w:rPr>
                <w:rFonts w:ascii="Verdana"/>
                <w:sz w:val="24"/>
              </w:rPr>
              <w:t>and</w:t>
            </w:r>
            <w:r>
              <w:rPr>
                <w:rFonts w:ascii="Verdana"/>
                <w:spacing w:val="-4"/>
                <w:sz w:val="24"/>
              </w:rPr>
              <w:t> </w:t>
            </w:r>
            <w:r>
              <w:rPr>
                <w:rFonts w:ascii="Verdana"/>
                <w:sz w:val="24"/>
              </w:rPr>
              <w:t>improving</w:t>
            </w:r>
            <w:r>
              <w:rPr>
                <w:rFonts w:ascii="Verdana"/>
                <w:spacing w:val="-4"/>
                <w:sz w:val="24"/>
              </w:rPr>
              <w:t> </w:t>
            </w:r>
            <w:r>
              <w:rPr>
                <w:rFonts w:ascii="Verdana"/>
                <w:sz w:val="24"/>
              </w:rPr>
              <w:t>access</w:t>
            </w:r>
            <w:r>
              <w:rPr>
                <w:rFonts w:ascii="Verdana"/>
                <w:spacing w:val="-4"/>
                <w:sz w:val="24"/>
              </w:rPr>
              <w:t> </w:t>
            </w:r>
            <w:r>
              <w:rPr>
                <w:rFonts w:ascii="Verdana"/>
                <w:sz w:val="24"/>
              </w:rPr>
              <w:t>would</w:t>
            </w:r>
            <w:r>
              <w:rPr>
                <w:rFonts w:ascii="Verdana"/>
                <w:spacing w:val="-4"/>
                <w:sz w:val="24"/>
              </w:rPr>
              <w:t> </w:t>
            </w:r>
            <w:r>
              <w:rPr>
                <w:rFonts w:ascii="Verdana"/>
                <w:sz w:val="24"/>
              </w:rPr>
              <w:t>be</w:t>
            </w:r>
            <w:r>
              <w:rPr>
                <w:rFonts w:ascii="Verdana"/>
                <w:spacing w:val="-3"/>
                <w:sz w:val="24"/>
              </w:rPr>
              <w:t> </w:t>
            </w:r>
            <w:r>
              <w:rPr>
                <w:rFonts w:ascii="Verdana"/>
                <w:sz w:val="24"/>
              </w:rPr>
              <w:t>a</w:t>
            </w:r>
            <w:r>
              <w:rPr>
                <w:rFonts w:ascii="Verdana"/>
                <w:spacing w:val="-3"/>
                <w:sz w:val="24"/>
              </w:rPr>
              <w:t> </w:t>
            </w:r>
            <w:r>
              <w:rPr>
                <w:rFonts w:ascii="Verdana"/>
                <w:sz w:val="24"/>
              </w:rPr>
              <w:t>key measure of success.</w:t>
            </w:r>
            <w:r>
              <w:rPr>
                <w:rFonts w:ascii="Verdana"/>
                <w:spacing w:val="40"/>
                <w:sz w:val="24"/>
              </w:rPr>
              <w:t> </w:t>
            </w:r>
            <w:r>
              <w:rPr>
                <w:rFonts w:ascii="Verdana"/>
                <w:sz w:val="24"/>
              </w:rPr>
              <w:t>Large organisations can influence poverty through</w:t>
            </w:r>
            <w:r>
              <w:rPr>
                <w:rFonts w:ascii="Verdana"/>
                <w:spacing w:val="-7"/>
                <w:sz w:val="24"/>
              </w:rPr>
              <w:t> </w:t>
            </w:r>
            <w:r>
              <w:rPr>
                <w:rFonts w:ascii="Verdana"/>
                <w:sz w:val="24"/>
              </w:rPr>
              <w:t>various</w:t>
            </w:r>
            <w:r>
              <w:rPr>
                <w:rFonts w:ascii="Verdana"/>
                <w:spacing w:val="-5"/>
                <w:sz w:val="24"/>
              </w:rPr>
              <w:t> </w:t>
            </w:r>
            <w:r>
              <w:rPr>
                <w:rFonts w:ascii="Verdana"/>
                <w:sz w:val="24"/>
              </w:rPr>
              <w:t>measures</w:t>
            </w:r>
            <w:r>
              <w:rPr>
                <w:rFonts w:ascii="Verdana"/>
                <w:spacing w:val="-5"/>
                <w:sz w:val="24"/>
              </w:rPr>
              <w:t> </w:t>
            </w:r>
            <w:r>
              <w:rPr>
                <w:rFonts w:ascii="Verdana"/>
                <w:sz w:val="24"/>
              </w:rPr>
              <w:t>including</w:t>
            </w:r>
            <w:r>
              <w:rPr>
                <w:rFonts w:ascii="Verdana"/>
                <w:spacing w:val="-5"/>
                <w:sz w:val="24"/>
              </w:rPr>
              <w:t> </w:t>
            </w:r>
            <w:r>
              <w:rPr>
                <w:rFonts w:ascii="Verdana"/>
                <w:sz w:val="24"/>
              </w:rPr>
              <w:t>employment,</w:t>
            </w:r>
            <w:r>
              <w:rPr>
                <w:rFonts w:ascii="Verdana"/>
                <w:spacing w:val="-3"/>
                <w:sz w:val="24"/>
              </w:rPr>
              <w:t> </w:t>
            </w:r>
            <w:r>
              <w:rPr>
                <w:rFonts w:ascii="Verdana"/>
                <w:sz w:val="24"/>
              </w:rPr>
              <w:t>local</w:t>
            </w:r>
            <w:r>
              <w:rPr>
                <w:rFonts w:ascii="Verdana"/>
                <w:spacing w:val="-6"/>
                <w:sz w:val="24"/>
              </w:rPr>
              <w:t> </w:t>
            </w:r>
            <w:r>
              <w:rPr>
                <w:rFonts w:ascii="Verdana"/>
                <w:sz w:val="24"/>
              </w:rPr>
              <w:t>procurement and staff acting as community ambassadors.</w:t>
            </w:r>
            <w:r>
              <w:rPr>
                <w:rFonts w:ascii="Verdana"/>
                <w:spacing w:val="80"/>
                <w:sz w:val="24"/>
              </w:rPr>
              <w:t> </w:t>
            </w:r>
            <w:r>
              <w:rPr>
                <w:rFonts w:ascii="Verdana"/>
                <w:sz w:val="24"/>
              </w:rPr>
              <w:t>Early intervention is critical, especially childhood health and early years support to prevent long term inequality.</w:t>
            </w:r>
            <w:r>
              <w:rPr>
                <w:rFonts w:ascii="Verdana"/>
                <w:spacing w:val="80"/>
                <w:sz w:val="24"/>
              </w:rPr>
              <w:t> </w:t>
            </w:r>
            <w:r>
              <w:rPr>
                <w:rFonts w:ascii="Verdana"/>
                <w:sz w:val="24"/>
              </w:rPr>
              <w:t>The group spoke about how defining poverty is multi-dimensional and includes a lack of resources and other barriers to achieving potential, not only income.</w:t>
            </w:r>
          </w:p>
          <w:p>
            <w:pPr>
              <w:pStyle w:val="TableParagraph"/>
              <w:spacing w:before="17"/>
              <w:rPr>
                <w:b/>
                <w:sz w:val="24"/>
              </w:rPr>
            </w:pPr>
          </w:p>
          <w:p>
            <w:pPr>
              <w:pStyle w:val="TableParagraph"/>
              <w:ind w:left="109" w:right="135"/>
              <w:rPr>
                <w:rFonts w:ascii="Verdana" w:hAnsi="Verdana"/>
                <w:sz w:val="24"/>
              </w:rPr>
            </w:pPr>
            <w:r>
              <w:rPr>
                <w:rFonts w:ascii="Verdana" w:hAnsi="Verdana"/>
                <w:sz w:val="24"/>
              </w:rPr>
              <w:t>The group who discussed Question 3 spoke about how the health boards</w:t>
            </w:r>
            <w:r>
              <w:rPr>
                <w:rFonts w:ascii="Verdana" w:hAnsi="Verdana"/>
                <w:spacing w:val="-2"/>
                <w:sz w:val="24"/>
              </w:rPr>
              <w:t> </w:t>
            </w:r>
            <w:r>
              <w:rPr>
                <w:rFonts w:ascii="Verdana" w:hAnsi="Verdana"/>
                <w:sz w:val="24"/>
              </w:rPr>
              <w:t>have</w:t>
            </w:r>
            <w:r>
              <w:rPr>
                <w:rFonts w:ascii="Verdana" w:hAnsi="Verdana"/>
                <w:spacing w:val="-2"/>
                <w:sz w:val="24"/>
              </w:rPr>
              <w:t> </w:t>
            </w:r>
            <w:r>
              <w:rPr>
                <w:rFonts w:ascii="Verdana" w:hAnsi="Verdana"/>
                <w:sz w:val="24"/>
              </w:rPr>
              <w:t>some</w:t>
            </w:r>
            <w:r>
              <w:rPr>
                <w:rFonts w:ascii="Verdana" w:hAnsi="Verdana"/>
                <w:spacing w:val="-2"/>
                <w:sz w:val="24"/>
              </w:rPr>
              <w:t> </w:t>
            </w:r>
            <w:r>
              <w:rPr>
                <w:rFonts w:ascii="Verdana" w:hAnsi="Verdana"/>
                <w:sz w:val="24"/>
              </w:rPr>
              <w:t>influence</w:t>
            </w:r>
            <w:r>
              <w:rPr>
                <w:rFonts w:ascii="Verdana" w:hAnsi="Verdana"/>
                <w:spacing w:val="-2"/>
                <w:sz w:val="24"/>
              </w:rPr>
              <w:t> </w:t>
            </w:r>
            <w:r>
              <w:rPr>
                <w:rFonts w:ascii="Verdana" w:hAnsi="Verdana"/>
                <w:sz w:val="24"/>
              </w:rPr>
              <w:t>on</w:t>
            </w:r>
            <w:r>
              <w:rPr>
                <w:rFonts w:ascii="Verdana" w:hAnsi="Verdana"/>
                <w:spacing w:val="-6"/>
                <w:sz w:val="24"/>
              </w:rPr>
              <w:t> </w:t>
            </w:r>
            <w:r>
              <w:rPr>
                <w:rFonts w:ascii="Verdana" w:hAnsi="Verdana"/>
                <w:sz w:val="24"/>
              </w:rPr>
              <w:t>poverty</w:t>
            </w:r>
            <w:r>
              <w:rPr>
                <w:rFonts w:ascii="Verdana" w:hAnsi="Verdana"/>
                <w:spacing w:val="-5"/>
                <w:sz w:val="24"/>
              </w:rPr>
              <w:t> </w:t>
            </w:r>
            <w:r>
              <w:rPr>
                <w:rFonts w:ascii="Verdana" w:hAnsi="Verdana"/>
                <w:sz w:val="24"/>
              </w:rPr>
              <w:t>with</w:t>
            </w:r>
            <w:r>
              <w:rPr>
                <w:rFonts w:ascii="Verdana" w:hAnsi="Verdana"/>
                <w:spacing w:val="-5"/>
                <w:sz w:val="24"/>
              </w:rPr>
              <w:t> </w:t>
            </w:r>
            <w:r>
              <w:rPr>
                <w:rFonts w:ascii="Verdana" w:hAnsi="Verdana"/>
                <w:sz w:val="24"/>
              </w:rPr>
              <w:t>hiring</w:t>
            </w:r>
            <w:r>
              <w:rPr>
                <w:rFonts w:ascii="Verdana" w:hAnsi="Verdana"/>
                <w:spacing w:val="-3"/>
                <w:sz w:val="24"/>
              </w:rPr>
              <w:t> </w:t>
            </w:r>
            <w:r>
              <w:rPr>
                <w:rFonts w:ascii="Verdana" w:hAnsi="Verdana"/>
                <w:sz w:val="24"/>
              </w:rPr>
              <w:t>practices</w:t>
            </w:r>
            <w:r>
              <w:rPr>
                <w:rFonts w:ascii="Verdana" w:hAnsi="Verdana"/>
                <w:spacing w:val="-3"/>
                <w:sz w:val="24"/>
              </w:rPr>
              <w:t> </w:t>
            </w:r>
            <w:r>
              <w:rPr>
                <w:rFonts w:ascii="Verdana" w:hAnsi="Verdana"/>
                <w:sz w:val="24"/>
              </w:rPr>
              <w:t>but</w:t>
            </w:r>
            <w:r>
              <w:rPr>
                <w:rFonts w:ascii="Verdana" w:hAnsi="Verdana"/>
                <w:spacing w:val="-3"/>
                <w:sz w:val="24"/>
              </w:rPr>
              <w:t> </w:t>
            </w:r>
            <w:r>
              <w:rPr>
                <w:rFonts w:ascii="Verdana" w:hAnsi="Verdana"/>
                <w:sz w:val="24"/>
              </w:rPr>
              <w:t>are not consistently designing services to be “poverty aware”.</w:t>
            </w:r>
            <w:r>
              <w:rPr>
                <w:rFonts w:ascii="Verdana" w:hAnsi="Verdana"/>
                <w:spacing w:val="80"/>
                <w:sz w:val="24"/>
              </w:rPr>
              <w:t> </w:t>
            </w:r>
            <w:r>
              <w:rPr>
                <w:rFonts w:ascii="Verdana" w:hAnsi="Verdana"/>
                <w:sz w:val="24"/>
              </w:rPr>
              <w:t>One example used would be outpatient appointments as people on hourly pay or insecure work may lose income by attending appointments.</w:t>
            </w:r>
            <w:r>
              <w:rPr>
                <w:rFonts w:ascii="Verdana" w:hAnsi="Verdana"/>
                <w:spacing w:val="78"/>
                <w:sz w:val="24"/>
              </w:rPr>
              <w:t> </w:t>
            </w:r>
            <w:r>
              <w:rPr>
                <w:rFonts w:ascii="Verdana" w:hAnsi="Verdana"/>
                <w:sz w:val="24"/>
              </w:rPr>
              <w:t>Services</w:t>
            </w:r>
            <w:r>
              <w:rPr>
                <w:rFonts w:ascii="Verdana" w:hAnsi="Verdana"/>
                <w:spacing w:val="-5"/>
                <w:sz w:val="24"/>
              </w:rPr>
              <w:t> </w:t>
            </w:r>
            <w:r>
              <w:rPr>
                <w:rFonts w:ascii="Verdana" w:hAnsi="Verdana"/>
                <w:sz w:val="24"/>
              </w:rPr>
              <w:t>are</w:t>
            </w:r>
            <w:r>
              <w:rPr>
                <w:rFonts w:ascii="Verdana" w:hAnsi="Verdana"/>
                <w:spacing w:val="-4"/>
                <w:sz w:val="24"/>
              </w:rPr>
              <w:t> </w:t>
            </w:r>
            <w:r>
              <w:rPr>
                <w:rFonts w:ascii="Verdana" w:hAnsi="Verdana"/>
                <w:sz w:val="24"/>
              </w:rPr>
              <w:t>often</w:t>
            </w:r>
            <w:r>
              <w:rPr>
                <w:rFonts w:ascii="Verdana" w:hAnsi="Verdana"/>
                <w:spacing w:val="-7"/>
                <w:sz w:val="24"/>
              </w:rPr>
              <w:t> </w:t>
            </w:r>
            <w:r>
              <w:rPr>
                <w:rFonts w:ascii="Verdana" w:hAnsi="Verdana"/>
                <w:sz w:val="24"/>
              </w:rPr>
              <w:t>designed</w:t>
            </w:r>
            <w:r>
              <w:rPr>
                <w:rFonts w:ascii="Verdana" w:hAnsi="Verdana"/>
                <w:spacing w:val="-5"/>
                <w:sz w:val="24"/>
              </w:rPr>
              <w:t> </w:t>
            </w:r>
            <w:r>
              <w:rPr>
                <w:rFonts w:ascii="Verdana" w:hAnsi="Verdana"/>
                <w:sz w:val="24"/>
              </w:rPr>
              <w:t>by</w:t>
            </w:r>
            <w:r>
              <w:rPr>
                <w:rFonts w:ascii="Verdana" w:hAnsi="Verdana"/>
                <w:spacing w:val="-7"/>
                <w:sz w:val="24"/>
              </w:rPr>
              <w:t> </w:t>
            </w:r>
            <w:r>
              <w:rPr>
                <w:rFonts w:ascii="Verdana" w:hAnsi="Verdana"/>
                <w:sz w:val="24"/>
              </w:rPr>
              <w:t>assuming</w:t>
            </w:r>
            <w:r>
              <w:rPr>
                <w:rFonts w:ascii="Verdana" w:hAnsi="Verdana"/>
                <w:spacing w:val="-5"/>
                <w:sz w:val="24"/>
              </w:rPr>
              <w:t> </w:t>
            </w:r>
            <w:r>
              <w:rPr>
                <w:rFonts w:ascii="Verdana" w:hAnsi="Verdana"/>
                <w:sz w:val="24"/>
              </w:rPr>
              <w:t>people</w:t>
            </w:r>
            <w:r>
              <w:rPr>
                <w:rFonts w:ascii="Verdana" w:hAnsi="Verdana"/>
                <w:spacing w:val="-4"/>
                <w:sz w:val="24"/>
              </w:rPr>
              <w:t> </w:t>
            </w:r>
            <w:r>
              <w:rPr>
                <w:rFonts w:ascii="Verdana" w:hAnsi="Verdana"/>
                <w:sz w:val="24"/>
              </w:rPr>
              <w:t>can</w:t>
            </w:r>
          </w:p>
        </w:tc>
        <w:tc>
          <w:tcPr>
            <w:tcW w:w="711" w:type="dxa"/>
          </w:tcPr>
          <w:p>
            <w:pPr>
              <w:pStyle w:val="TableParagraph"/>
              <w:rPr>
                <w:rFonts w:ascii="Times New Roman"/>
                <w:sz w:val="22"/>
              </w:rPr>
            </w:pPr>
          </w:p>
        </w:tc>
      </w:tr>
    </w:tbl>
    <w:p>
      <w:pPr>
        <w:pStyle w:val="BodyText"/>
        <w:spacing w:before="84"/>
        <w:rPr>
          <w:b/>
        </w:rPr>
      </w:pPr>
    </w:p>
    <w:p>
      <w:pPr>
        <w:spacing w:before="1"/>
        <w:ind w:left="0" w:right="180" w:firstLine="0"/>
        <w:jc w:val="right"/>
        <w:rPr>
          <w:b/>
          <w:sz w:val="24"/>
        </w:rPr>
      </w:pPr>
      <w:r>
        <w:rPr>
          <w:sz w:val="24"/>
        </w:rPr>
        <w:t>Page </w:t>
      </w:r>
      <w:r>
        <w:rPr>
          <w:b/>
          <w:sz w:val="24"/>
        </w:rPr>
        <w:t>3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71" name="Image 771"/>
            <wp:cNvGraphicFramePr>
              <a:graphicFrameLocks/>
            </wp:cNvGraphicFramePr>
            <a:graphic>
              <a:graphicData uri="http://schemas.openxmlformats.org/drawingml/2006/picture">
                <pic:pic>
                  <pic:nvPicPr>
                    <pic:cNvPr id="771" name="Image 771"/>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72" name="Image 772"/>
            <wp:cNvGraphicFramePr>
              <a:graphicFrameLocks/>
            </wp:cNvGraphicFramePr>
            <a:graphic>
              <a:graphicData uri="http://schemas.openxmlformats.org/drawingml/2006/picture">
                <pic:pic>
                  <pic:nvPicPr>
                    <pic:cNvPr id="772" name="Image 772"/>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9787" w:hRule="atLeast"/>
        </w:trPr>
        <w:tc>
          <w:tcPr>
            <w:tcW w:w="1276" w:type="dxa"/>
          </w:tcPr>
          <w:p>
            <w:pPr>
              <w:pStyle w:val="TableParagraph"/>
              <w:rPr>
                <w:rFonts w:ascii="Times New Roman"/>
                <w:sz w:val="22"/>
              </w:rPr>
            </w:pPr>
          </w:p>
        </w:tc>
        <w:tc>
          <w:tcPr>
            <w:tcW w:w="8509" w:type="dxa"/>
          </w:tcPr>
          <w:p>
            <w:pPr>
              <w:pStyle w:val="TableParagraph"/>
              <w:spacing w:before="78"/>
              <w:ind w:left="109" w:right="194"/>
              <w:rPr>
                <w:rFonts w:ascii="Verdana" w:hAnsi="Verdana"/>
                <w:sz w:val="24"/>
              </w:rPr>
            </w:pPr>
            <w:r>
              <w:rPr>
                <w:rFonts w:ascii="Verdana" w:hAnsi="Verdana"/>
                <w:sz w:val="24"/>
              </w:rPr>
              <w:t>afford to take time off from work, which disadvantages lower income groups.</w:t>
            </w:r>
            <w:r>
              <w:rPr>
                <w:rFonts w:ascii="Verdana" w:hAnsi="Verdana"/>
                <w:spacing w:val="40"/>
                <w:sz w:val="24"/>
              </w:rPr>
              <w:t> </w:t>
            </w:r>
            <w:r>
              <w:rPr>
                <w:rFonts w:ascii="Verdana" w:hAnsi="Verdana"/>
                <w:sz w:val="24"/>
              </w:rPr>
              <w:t>There are concerns that waiting lists may disproportionately include poorer patients as it is thought more wealthy individuals increasingly opt for private care.</w:t>
            </w:r>
            <w:r>
              <w:rPr>
                <w:rFonts w:ascii="Verdana" w:hAnsi="Verdana"/>
                <w:spacing w:val="40"/>
                <w:sz w:val="24"/>
              </w:rPr>
              <w:t> </w:t>
            </w:r>
            <w:r>
              <w:rPr>
                <w:rFonts w:ascii="Verdana" w:hAnsi="Verdana"/>
                <w:sz w:val="24"/>
              </w:rPr>
              <w:t>The group concluded that the health service often unintentionally causes disadvantage</w:t>
            </w:r>
            <w:r>
              <w:rPr>
                <w:rFonts w:ascii="Verdana" w:hAnsi="Verdana"/>
                <w:spacing w:val="-3"/>
                <w:sz w:val="24"/>
              </w:rPr>
              <w:t> </w:t>
            </w:r>
            <w:r>
              <w:rPr>
                <w:rFonts w:ascii="Verdana" w:hAnsi="Verdana"/>
                <w:sz w:val="24"/>
              </w:rPr>
              <w:t>to</w:t>
            </w:r>
            <w:r>
              <w:rPr>
                <w:rFonts w:ascii="Verdana" w:hAnsi="Verdana"/>
                <w:spacing w:val="-5"/>
                <w:sz w:val="24"/>
              </w:rPr>
              <w:t> </w:t>
            </w:r>
            <w:r>
              <w:rPr>
                <w:rFonts w:ascii="Verdana" w:hAnsi="Verdana"/>
                <w:sz w:val="24"/>
              </w:rPr>
              <w:t>poorer</w:t>
            </w:r>
            <w:r>
              <w:rPr>
                <w:rFonts w:ascii="Verdana" w:hAnsi="Verdana"/>
                <w:spacing w:val="-3"/>
                <w:sz w:val="24"/>
              </w:rPr>
              <w:t> </w:t>
            </w:r>
            <w:r>
              <w:rPr>
                <w:rFonts w:ascii="Verdana" w:hAnsi="Verdana"/>
                <w:sz w:val="24"/>
              </w:rPr>
              <w:t>people</w:t>
            </w:r>
            <w:r>
              <w:rPr>
                <w:rFonts w:ascii="Verdana" w:hAnsi="Verdana"/>
                <w:spacing w:val="-4"/>
                <w:sz w:val="24"/>
              </w:rPr>
              <w:t> </w:t>
            </w:r>
            <w:r>
              <w:rPr>
                <w:rFonts w:ascii="Verdana" w:hAnsi="Verdana"/>
                <w:sz w:val="24"/>
              </w:rPr>
              <w:t>due</w:t>
            </w:r>
            <w:r>
              <w:rPr>
                <w:rFonts w:ascii="Verdana" w:hAnsi="Verdana"/>
                <w:spacing w:val="-4"/>
                <w:sz w:val="24"/>
              </w:rPr>
              <w:t> </w:t>
            </w:r>
            <w:r>
              <w:rPr>
                <w:rFonts w:ascii="Verdana" w:hAnsi="Verdana"/>
                <w:sz w:val="24"/>
              </w:rPr>
              <w:t>to</w:t>
            </w:r>
            <w:r>
              <w:rPr>
                <w:rFonts w:ascii="Verdana" w:hAnsi="Verdana"/>
                <w:spacing w:val="-5"/>
                <w:sz w:val="24"/>
              </w:rPr>
              <w:t> </w:t>
            </w:r>
            <w:r>
              <w:rPr>
                <w:rFonts w:ascii="Verdana" w:hAnsi="Verdana"/>
                <w:sz w:val="24"/>
              </w:rPr>
              <w:t>how</w:t>
            </w:r>
            <w:r>
              <w:rPr>
                <w:rFonts w:ascii="Verdana" w:hAnsi="Verdana"/>
                <w:spacing w:val="-2"/>
                <w:sz w:val="24"/>
              </w:rPr>
              <w:t> </w:t>
            </w:r>
            <w:r>
              <w:rPr>
                <w:rFonts w:ascii="Verdana" w:hAnsi="Verdana"/>
                <w:sz w:val="24"/>
              </w:rPr>
              <w:t>services</w:t>
            </w:r>
            <w:r>
              <w:rPr>
                <w:rFonts w:ascii="Verdana" w:hAnsi="Verdana"/>
                <w:spacing w:val="-5"/>
                <w:sz w:val="24"/>
              </w:rPr>
              <w:t> </w:t>
            </w:r>
            <w:r>
              <w:rPr>
                <w:rFonts w:ascii="Verdana" w:hAnsi="Verdana"/>
                <w:sz w:val="24"/>
              </w:rPr>
              <w:t>are</w:t>
            </w:r>
            <w:r>
              <w:rPr>
                <w:rFonts w:ascii="Verdana" w:hAnsi="Verdana"/>
                <w:spacing w:val="-4"/>
                <w:sz w:val="24"/>
              </w:rPr>
              <w:t> </w:t>
            </w:r>
            <w:r>
              <w:rPr>
                <w:rFonts w:ascii="Verdana" w:hAnsi="Verdana"/>
                <w:sz w:val="24"/>
              </w:rPr>
              <w:t>designed and called for a more nuanced “poverty aware” approach that considers both economic and wider wellbeing factors.</w:t>
            </w:r>
          </w:p>
          <w:p>
            <w:pPr>
              <w:pStyle w:val="TableParagraph"/>
              <w:spacing w:before="17"/>
              <w:rPr>
                <w:b/>
                <w:sz w:val="24"/>
              </w:rPr>
            </w:pPr>
          </w:p>
          <w:p>
            <w:pPr>
              <w:pStyle w:val="TableParagraph"/>
              <w:ind w:left="109" w:right="114"/>
              <w:rPr>
                <w:rFonts w:ascii="Verdana"/>
                <w:sz w:val="24"/>
              </w:rPr>
            </w:pPr>
            <w:r>
              <w:rPr>
                <w:rFonts w:ascii="Verdana"/>
                <w:sz w:val="24"/>
              </w:rPr>
              <mc:AlternateContent>
                <mc:Choice Requires="wps">
                  <w:drawing>
                    <wp:anchor distT="0" distB="0" distL="0" distR="0" allowOverlap="1" layoutInCell="1" locked="0" behindDoc="1" simplePos="0" relativeHeight="477234688">
                      <wp:simplePos x="0" y="0"/>
                      <wp:positionH relativeFrom="column">
                        <wp:posOffset>443067</wp:posOffset>
                      </wp:positionH>
                      <wp:positionV relativeFrom="paragraph">
                        <wp:posOffset>-667455</wp:posOffset>
                      </wp:positionV>
                      <wp:extent cx="4514215" cy="4826635"/>
                      <wp:effectExtent l="0" t="0" r="0" b="0"/>
                      <wp:wrapNone/>
                      <wp:docPr id="773" name="Group 773"/>
                      <wp:cNvGraphicFramePr>
                        <a:graphicFrameLocks/>
                      </wp:cNvGraphicFramePr>
                      <a:graphic>
                        <a:graphicData uri="http://schemas.microsoft.com/office/word/2010/wordprocessingGroup">
                          <wpg:wgp>
                            <wpg:cNvPr id="773" name="Group 773"/>
                            <wpg:cNvGrpSpPr/>
                            <wpg:grpSpPr>
                              <a:xfrm>
                                <a:off x="0" y="0"/>
                                <a:ext cx="4514215" cy="4826635"/>
                                <a:chExt cx="4514215" cy="4826635"/>
                              </a:xfrm>
                            </wpg:grpSpPr>
                            <wps:wsp>
                              <wps:cNvPr id="774" name="Graphic 774"/>
                              <wps:cNvSpPr/>
                              <wps:spPr>
                                <a:xfrm>
                                  <a:off x="-2" y="0"/>
                                  <a:ext cx="4514215" cy="4826635"/>
                                </a:xfrm>
                                <a:custGeom>
                                  <a:avLst/>
                                  <a:gdLst/>
                                  <a:ahLst/>
                                  <a:cxnLst/>
                                  <a:rect l="l" t="t" r="r" b="b"/>
                                  <a:pathLst>
                                    <a:path w="4514215" h="4826635">
                                      <a:moveTo>
                                        <a:pt x="2438057" y="4198239"/>
                                      </a:moveTo>
                                      <a:lnTo>
                                        <a:pt x="2414943" y="4161536"/>
                                      </a:lnTo>
                                      <a:lnTo>
                                        <a:pt x="2379129" y="4131818"/>
                                      </a:lnTo>
                                      <a:lnTo>
                                        <a:pt x="2294547" y="4074033"/>
                                      </a:lnTo>
                                      <a:lnTo>
                                        <a:pt x="1800606" y="3753408"/>
                                      </a:lnTo>
                                      <a:lnTo>
                                        <a:pt x="1760321" y="3727348"/>
                                      </a:lnTo>
                                      <a:lnTo>
                                        <a:pt x="1720545" y="3702723"/>
                                      </a:lnTo>
                                      <a:lnTo>
                                        <a:pt x="1646720" y="3658616"/>
                                      </a:lnTo>
                                      <a:lnTo>
                                        <a:pt x="1612366" y="3639007"/>
                                      </a:lnTo>
                                      <a:lnTo>
                                        <a:pt x="1547469" y="3605669"/>
                                      </a:lnTo>
                                      <a:lnTo>
                                        <a:pt x="1487881" y="3579622"/>
                                      </a:lnTo>
                                      <a:lnTo>
                                        <a:pt x="1432521" y="3561245"/>
                                      </a:lnTo>
                                      <a:lnTo>
                                        <a:pt x="1382191" y="3549472"/>
                                      </a:lnTo>
                                      <a:lnTo>
                                        <a:pt x="1362557" y="3547364"/>
                                      </a:lnTo>
                                      <a:lnTo>
                                        <a:pt x="1358430" y="3546919"/>
                                      </a:lnTo>
                                      <a:lnTo>
                                        <a:pt x="1335417" y="3546284"/>
                                      </a:lnTo>
                                      <a:lnTo>
                                        <a:pt x="1313472" y="3547364"/>
                                      </a:lnTo>
                                      <a:lnTo>
                                        <a:pt x="1319072" y="3511702"/>
                                      </a:lnTo>
                                      <a:lnTo>
                                        <a:pt x="1322044" y="3475278"/>
                                      </a:lnTo>
                                      <a:lnTo>
                                        <a:pt x="1322425" y="3438271"/>
                                      </a:lnTo>
                                      <a:lnTo>
                                        <a:pt x="1320330" y="3400806"/>
                                      </a:lnTo>
                                      <a:lnTo>
                                        <a:pt x="1315389" y="3362782"/>
                                      </a:lnTo>
                                      <a:lnTo>
                                        <a:pt x="1307287" y="3323907"/>
                                      </a:lnTo>
                                      <a:lnTo>
                                        <a:pt x="1295844" y="3284194"/>
                                      </a:lnTo>
                                      <a:lnTo>
                                        <a:pt x="1280833" y="3243580"/>
                                      </a:lnTo>
                                      <a:lnTo>
                                        <a:pt x="1263396" y="3203143"/>
                                      </a:lnTo>
                                      <a:lnTo>
                                        <a:pt x="1242504" y="3161766"/>
                                      </a:lnTo>
                                      <a:lnTo>
                                        <a:pt x="1217853" y="3119386"/>
                                      </a:lnTo>
                                      <a:lnTo>
                                        <a:pt x="1189139" y="3075940"/>
                                      </a:lnTo>
                                      <a:lnTo>
                                        <a:pt x="1163637" y="3041612"/>
                                      </a:lnTo>
                                      <a:lnTo>
                                        <a:pt x="1135621" y="3006521"/>
                                      </a:lnTo>
                                      <a:lnTo>
                                        <a:pt x="1111300" y="2978073"/>
                                      </a:lnTo>
                                      <a:lnTo>
                                        <a:pt x="1111300" y="3394176"/>
                                      </a:lnTo>
                                      <a:lnTo>
                                        <a:pt x="1110284" y="3425342"/>
                                      </a:lnTo>
                                      <a:lnTo>
                                        <a:pt x="1096746" y="3485718"/>
                                      </a:lnTo>
                                      <a:lnTo>
                                        <a:pt x="1064831" y="3542068"/>
                                      </a:lnTo>
                                      <a:lnTo>
                                        <a:pt x="916724" y="3693160"/>
                                      </a:lnTo>
                                      <a:lnTo>
                                        <a:pt x="295440" y="3071876"/>
                                      </a:lnTo>
                                      <a:lnTo>
                                        <a:pt x="403517" y="2963799"/>
                                      </a:lnTo>
                                      <a:lnTo>
                                        <a:pt x="439102" y="2930271"/>
                                      </a:lnTo>
                                      <a:lnTo>
                                        <a:pt x="469557" y="2906268"/>
                                      </a:lnTo>
                                      <a:lnTo>
                                        <a:pt x="511060" y="2883484"/>
                                      </a:lnTo>
                                      <a:lnTo>
                                        <a:pt x="571919" y="2870098"/>
                                      </a:lnTo>
                                      <a:lnTo>
                                        <a:pt x="619353" y="2870695"/>
                                      </a:lnTo>
                                      <a:lnTo>
                                        <a:pt x="667829" y="2880804"/>
                                      </a:lnTo>
                                      <a:lnTo>
                                        <a:pt x="717334" y="2900680"/>
                                      </a:lnTo>
                                      <a:lnTo>
                                        <a:pt x="757758" y="2922930"/>
                                      </a:lnTo>
                                      <a:lnTo>
                                        <a:pt x="799007" y="2949956"/>
                                      </a:lnTo>
                                      <a:lnTo>
                                        <a:pt x="840727" y="2981553"/>
                                      </a:lnTo>
                                      <a:lnTo>
                                        <a:pt x="883259" y="3017990"/>
                                      </a:lnTo>
                                      <a:lnTo>
                                        <a:pt x="926503" y="3059176"/>
                                      </a:lnTo>
                                      <a:lnTo>
                                        <a:pt x="958392" y="3092513"/>
                                      </a:lnTo>
                                      <a:lnTo>
                                        <a:pt x="987806" y="3126168"/>
                                      </a:lnTo>
                                      <a:lnTo>
                                        <a:pt x="1014793" y="3160128"/>
                                      </a:lnTo>
                                      <a:lnTo>
                                        <a:pt x="1039406" y="3194304"/>
                                      </a:lnTo>
                                      <a:lnTo>
                                        <a:pt x="1060297" y="3228937"/>
                                      </a:lnTo>
                                      <a:lnTo>
                                        <a:pt x="1077506" y="3262934"/>
                                      </a:lnTo>
                                      <a:lnTo>
                                        <a:pt x="1101128" y="3329178"/>
                                      </a:lnTo>
                                      <a:lnTo>
                                        <a:pt x="1111300" y="3394176"/>
                                      </a:lnTo>
                                      <a:lnTo>
                                        <a:pt x="1111300" y="2978073"/>
                                      </a:lnTo>
                                      <a:lnTo>
                                        <a:pt x="1105077" y="2970784"/>
                                      </a:lnTo>
                                      <a:lnTo>
                                        <a:pt x="1072032" y="2934538"/>
                                      </a:lnTo>
                                      <a:lnTo>
                                        <a:pt x="1036485" y="2897886"/>
                                      </a:lnTo>
                                      <a:lnTo>
                                        <a:pt x="1007833" y="2870098"/>
                                      </a:lnTo>
                                      <a:lnTo>
                                        <a:pt x="998118" y="2860662"/>
                                      </a:lnTo>
                                      <a:lnTo>
                                        <a:pt x="959993" y="2825940"/>
                                      </a:lnTo>
                                      <a:lnTo>
                                        <a:pt x="922108" y="2793720"/>
                                      </a:lnTo>
                                      <a:lnTo>
                                        <a:pt x="884440" y="2764028"/>
                                      </a:lnTo>
                                      <a:lnTo>
                                        <a:pt x="847001" y="2736850"/>
                                      </a:lnTo>
                                      <a:lnTo>
                                        <a:pt x="800569" y="2706789"/>
                                      </a:lnTo>
                                      <a:lnTo>
                                        <a:pt x="754570" y="2681160"/>
                                      </a:lnTo>
                                      <a:lnTo>
                                        <a:pt x="708901" y="2659456"/>
                                      </a:lnTo>
                                      <a:lnTo>
                                        <a:pt x="663486" y="2641092"/>
                                      </a:lnTo>
                                      <a:lnTo>
                                        <a:pt x="618718" y="2626880"/>
                                      </a:lnTo>
                                      <a:lnTo>
                                        <a:pt x="575170" y="2617584"/>
                                      </a:lnTo>
                                      <a:lnTo>
                                        <a:pt x="532587" y="2612644"/>
                                      </a:lnTo>
                                      <a:lnTo>
                                        <a:pt x="490766" y="2611501"/>
                                      </a:lnTo>
                                      <a:lnTo>
                                        <a:pt x="449529" y="2615057"/>
                                      </a:lnTo>
                                      <a:lnTo>
                                        <a:pt x="409778" y="2623299"/>
                                      </a:lnTo>
                                      <a:lnTo>
                                        <a:pt x="371157" y="2635808"/>
                                      </a:lnTo>
                                      <a:lnTo>
                                        <a:pt x="333286" y="2652141"/>
                                      </a:lnTo>
                                      <a:lnTo>
                                        <a:pt x="281470" y="2686812"/>
                                      </a:lnTo>
                                      <a:lnTo>
                                        <a:pt x="251980" y="2712301"/>
                                      </a:lnTo>
                                      <a:lnTo>
                                        <a:pt x="217462" y="2745105"/>
                                      </a:lnTo>
                                      <a:lnTo>
                                        <a:pt x="12611" y="2949956"/>
                                      </a:lnTo>
                                      <a:lnTo>
                                        <a:pt x="0" y="2986519"/>
                                      </a:lnTo>
                                      <a:lnTo>
                                        <a:pt x="1943" y="3003296"/>
                                      </a:lnTo>
                                      <a:lnTo>
                                        <a:pt x="21450" y="3046260"/>
                                      </a:lnTo>
                                      <a:lnTo>
                                        <a:pt x="64681" y="3097403"/>
                                      </a:lnTo>
                                      <a:lnTo>
                                        <a:pt x="1771942" y="4804664"/>
                                      </a:lnTo>
                                      <a:lnTo>
                                        <a:pt x="1810042" y="4826254"/>
                                      </a:lnTo>
                                      <a:lnTo>
                                        <a:pt x="1818170" y="4823968"/>
                                      </a:lnTo>
                                      <a:lnTo>
                                        <a:pt x="1825256" y="4822761"/>
                                      </a:lnTo>
                                      <a:lnTo>
                                        <a:pt x="1863801" y="4802213"/>
                                      </a:lnTo>
                                      <a:lnTo>
                                        <a:pt x="1898002" y="4768012"/>
                                      </a:lnTo>
                                      <a:lnTo>
                                        <a:pt x="1918347" y="4729734"/>
                                      </a:lnTo>
                                      <a:lnTo>
                                        <a:pt x="1919389" y="4722749"/>
                                      </a:lnTo>
                                      <a:lnTo>
                                        <a:pt x="1921040" y="4715383"/>
                                      </a:lnTo>
                                      <a:lnTo>
                                        <a:pt x="1900085" y="4676394"/>
                                      </a:lnTo>
                                      <a:lnTo>
                                        <a:pt x="1114844" y="3891280"/>
                                      </a:lnTo>
                                      <a:lnTo>
                                        <a:pt x="1200569" y="3805555"/>
                                      </a:lnTo>
                                      <a:lnTo>
                                        <a:pt x="1247432" y="3770985"/>
                                      </a:lnTo>
                                      <a:lnTo>
                                        <a:pt x="1300010" y="3754501"/>
                                      </a:lnTo>
                                      <a:lnTo>
                                        <a:pt x="1329042" y="3753408"/>
                                      </a:lnTo>
                                      <a:lnTo>
                                        <a:pt x="1359293" y="3755440"/>
                                      </a:lnTo>
                                      <a:lnTo>
                                        <a:pt x="1424203" y="3769995"/>
                                      </a:lnTo>
                                      <a:lnTo>
                                        <a:pt x="1495183" y="3797389"/>
                                      </a:lnTo>
                                      <a:lnTo>
                                        <a:pt x="1532674" y="3815448"/>
                                      </a:lnTo>
                                      <a:lnTo>
                                        <a:pt x="1571409" y="3836670"/>
                                      </a:lnTo>
                                      <a:lnTo>
                                        <a:pt x="1611388" y="3860266"/>
                                      </a:lnTo>
                                      <a:lnTo>
                                        <a:pt x="1652841" y="3885539"/>
                                      </a:lnTo>
                                      <a:lnTo>
                                        <a:pt x="1695780" y="3912578"/>
                                      </a:lnTo>
                                      <a:lnTo>
                                        <a:pt x="1740192" y="3941445"/>
                                      </a:lnTo>
                                      <a:lnTo>
                                        <a:pt x="2273477" y="4294009"/>
                                      </a:lnTo>
                                      <a:lnTo>
                                        <a:pt x="2282812" y="4299839"/>
                                      </a:lnTo>
                                      <a:lnTo>
                                        <a:pt x="2320620" y="4314482"/>
                                      </a:lnTo>
                                      <a:lnTo>
                                        <a:pt x="2327694" y="4314317"/>
                                      </a:lnTo>
                                      <a:lnTo>
                                        <a:pt x="2365464" y="4298721"/>
                                      </a:lnTo>
                                      <a:lnTo>
                                        <a:pt x="2402306" y="4264876"/>
                                      </a:lnTo>
                                      <a:lnTo>
                                        <a:pt x="2429802" y="4229582"/>
                                      </a:lnTo>
                                      <a:lnTo>
                                        <a:pt x="2437168" y="4207764"/>
                                      </a:lnTo>
                                      <a:lnTo>
                                        <a:pt x="2438057" y="4198239"/>
                                      </a:lnTo>
                                      <a:close/>
                                    </a:path>
                                    <a:path w="4514215" h="4826635">
                                      <a:moveTo>
                                        <a:pt x="3354628" y="3291395"/>
                                      </a:moveTo>
                                      <a:lnTo>
                                        <a:pt x="3337814" y="3256902"/>
                                      </a:lnTo>
                                      <a:lnTo>
                                        <a:pt x="3305162" y="3227946"/>
                                      </a:lnTo>
                                      <a:lnTo>
                                        <a:pt x="3272574" y="3204210"/>
                                      </a:lnTo>
                                      <a:lnTo>
                                        <a:pt x="3003512" y="3019679"/>
                                      </a:lnTo>
                                      <a:lnTo>
                                        <a:pt x="2433104" y="2631300"/>
                                      </a:lnTo>
                                      <a:lnTo>
                                        <a:pt x="2433104" y="2858008"/>
                                      </a:lnTo>
                                      <a:lnTo>
                                        <a:pt x="2097824" y="3193288"/>
                                      </a:lnTo>
                                      <a:lnTo>
                                        <a:pt x="1344841" y="2107946"/>
                                      </a:lnTo>
                                      <a:lnTo>
                                        <a:pt x="1345603" y="2107184"/>
                                      </a:lnTo>
                                      <a:lnTo>
                                        <a:pt x="2433104" y="2858008"/>
                                      </a:lnTo>
                                      <a:lnTo>
                                        <a:pt x="2433104" y="2631300"/>
                                      </a:lnTo>
                                      <a:lnTo>
                                        <a:pt x="1663382" y="2107184"/>
                                      </a:lnTo>
                                      <a:lnTo>
                                        <a:pt x="1236256" y="1814703"/>
                                      </a:lnTo>
                                      <a:lnTo>
                                        <a:pt x="1227112" y="1808911"/>
                                      </a:lnTo>
                                      <a:lnTo>
                                        <a:pt x="1185748" y="1793214"/>
                                      </a:lnTo>
                                      <a:lnTo>
                                        <a:pt x="1178318" y="1793684"/>
                                      </a:lnTo>
                                      <a:lnTo>
                                        <a:pt x="1136434" y="1811782"/>
                                      </a:lnTo>
                                      <a:lnTo>
                                        <a:pt x="1106906" y="1838553"/>
                                      </a:lnTo>
                                      <a:lnTo>
                                        <a:pt x="1075537" y="1870240"/>
                                      </a:lnTo>
                                      <a:lnTo>
                                        <a:pt x="1050340" y="1904314"/>
                                      </a:lnTo>
                                      <a:lnTo>
                                        <a:pt x="1043482" y="1935416"/>
                                      </a:lnTo>
                                      <a:lnTo>
                                        <a:pt x="1044371" y="1942617"/>
                                      </a:lnTo>
                                      <a:lnTo>
                                        <a:pt x="1064171" y="1983867"/>
                                      </a:lnTo>
                                      <a:lnTo>
                                        <a:pt x="1092669" y="2025332"/>
                                      </a:lnTo>
                                      <a:lnTo>
                                        <a:pt x="2453805" y="4020058"/>
                                      </a:lnTo>
                                      <a:lnTo>
                                        <a:pt x="2477528" y="4052646"/>
                                      </a:lnTo>
                                      <a:lnTo>
                                        <a:pt x="2506789" y="4085120"/>
                                      </a:lnTo>
                                      <a:lnTo>
                                        <a:pt x="2540889" y="4102366"/>
                                      </a:lnTo>
                                      <a:lnTo>
                                        <a:pt x="2548966" y="4102023"/>
                                      </a:lnTo>
                                      <a:lnTo>
                                        <a:pt x="2583992" y="4082021"/>
                                      </a:lnTo>
                                      <a:lnTo>
                                        <a:pt x="2614168" y="4053090"/>
                                      </a:lnTo>
                                      <a:lnTo>
                                        <a:pt x="2640292" y="4019042"/>
                                      </a:lnTo>
                                      <a:lnTo>
                                        <a:pt x="2645956" y="3996182"/>
                                      </a:lnTo>
                                      <a:lnTo>
                                        <a:pt x="2645867" y="3989730"/>
                                      </a:lnTo>
                                      <a:lnTo>
                                        <a:pt x="2630170" y="3950119"/>
                                      </a:lnTo>
                                      <a:lnTo>
                                        <a:pt x="2261019" y="3420618"/>
                                      </a:lnTo>
                                      <a:lnTo>
                                        <a:pt x="2488273" y="3193288"/>
                                      </a:lnTo>
                                      <a:lnTo>
                                        <a:pt x="2661831" y="3019679"/>
                                      </a:lnTo>
                                      <a:lnTo>
                                        <a:pt x="3193453" y="3385947"/>
                                      </a:lnTo>
                                      <a:lnTo>
                                        <a:pt x="3201276" y="3390430"/>
                                      </a:lnTo>
                                      <a:lnTo>
                                        <a:pt x="3236760" y="3405251"/>
                                      </a:lnTo>
                                      <a:lnTo>
                                        <a:pt x="3244888" y="3402965"/>
                                      </a:lnTo>
                                      <a:lnTo>
                                        <a:pt x="3251543" y="3402152"/>
                                      </a:lnTo>
                                      <a:lnTo>
                                        <a:pt x="3291192" y="3376168"/>
                                      </a:lnTo>
                                      <a:lnTo>
                                        <a:pt x="3322942" y="3344265"/>
                                      </a:lnTo>
                                      <a:lnTo>
                                        <a:pt x="3351276" y="3307626"/>
                                      </a:lnTo>
                                      <a:lnTo>
                                        <a:pt x="3353993" y="3299549"/>
                                      </a:lnTo>
                                      <a:lnTo>
                                        <a:pt x="3354628" y="3291395"/>
                                      </a:lnTo>
                                      <a:close/>
                                    </a:path>
                                    <a:path w="4514215" h="4826635">
                                      <a:moveTo>
                                        <a:pt x="3632009" y="3005277"/>
                                      </a:moveTo>
                                      <a:lnTo>
                                        <a:pt x="3616477" y="2970250"/>
                                      </a:lnTo>
                                      <a:lnTo>
                                        <a:pt x="2843314" y="2196846"/>
                                      </a:lnTo>
                                      <a:lnTo>
                                        <a:pt x="3180880" y="1859280"/>
                                      </a:lnTo>
                                      <a:lnTo>
                                        <a:pt x="3170212" y="1818894"/>
                                      </a:lnTo>
                                      <a:lnTo>
                                        <a:pt x="3144050" y="1782191"/>
                                      </a:lnTo>
                                      <a:lnTo>
                                        <a:pt x="3112986" y="1748370"/>
                                      </a:lnTo>
                                      <a:lnTo>
                                        <a:pt x="3085439" y="1720811"/>
                                      </a:lnTo>
                                      <a:lnTo>
                                        <a:pt x="3048546" y="1686814"/>
                                      </a:lnTo>
                                      <a:lnTo>
                                        <a:pt x="3013367" y="1662049"/>
                                      </a:lnTo>
                                      <a:lnTo>
                                        <a:pt x="2988094" y="1653159"/>
                                      </a:lnTo>
                                      <a:lnTo>
                                        <a:pt x="2981490" y="1653921"/>
                                      </a:lnTo>
                                      <a:lnTo>
                                        <a:pt x="2977172" y="1655572"/>
                                      </a:lnTo>
                                      <a:lnTo>
                                        <a:pt x="2639606" y="1993138"/>
                                      </a:lnTo>
                                      <a:lnTo>
                                        <a:pt x="2012607" y="1366139"/>
                                      </a:lnTo>
                                      <a:lnTo>
                                        <a:pt x="2369477" y="1009142"/>
                                      </a:lnTo>
                                      <a:lnTo>
                                        <a:pt x="2355659" y="962266"/>
                                      </a:lnTo>
                                      <a:lnTo>
                                        <a:pt x="2324430" y="922756"/>
                                      </a:lnTo>
                                      <a:lnTo>
                                        <a:pt x="2288451" y="884936"/>
                                      </a:lnTo>
                                      <a:lnTo>
                                        <a:pt x="2238540" y="837946"/>
                                      </a:lnTo>
                                      <a:lnTo>
                                        <a:pt x="2200567" y="810514"/>
                                      </a:lnTo>
                                      <a:lnTo>
                                        <a:pt x="2165769" y="799465"/>
                                      </a:lnTo>
                                      <a:lnTo>
                                        <a:pt x="2161451" y="801116"/>
                                      </a:lnTo>
                                      <a:lnTo>
                                        <a:pt x="1724063" y="1238504"/>
                                      </a:lnTo>
                                      <a:lnTo>
                                        <a:pt x="1717014" y="1248206"/>
                                      </a:lnTo>
                                      <a:lnTo>
                                        <a:pt x="1712772" y="1260411"/>
                                      </a:lnTo>
                                      <a:lnTo>
                                        <a:pt x="1711502" y="1275016"/>
                                      </a:lnTo>
                                      <a:lnTo>
                                        <a:pt x="1713395" y="1291844"/>
                                      </a:lnTo>
                                      <a:lnTo>
                                        <a:pt x="1732902" y="1334808"/>
                                      </a:lnTo>
                                      <a:lnTo>
                                        <a:pt x="1776133" y="1385951"/>
                                      </a:lnTo>
                                      <a:lnTo>
                                        <a:pt x="3483394" y="3093212"/>
                                      </a:lnTo>
                                      <a:lnTo>
                                        <a:pt x="3517709" y="3113328"/>
                                      </a:lnTo>
                                      <a:lnTo>
                                        <a:pt x="3523640" y="3113582"/>
                                      </a:lnTo>
                                      <a:lnTo>
                                        <a:pt x="3536708" y="3111309"/>
                                      </a:lnTo>
                                      <a:lnTo>
                                        <a:pt x="3575545" y="3090468"/>
                                      </a:lnTo>
                                      <a:lnTo>
                                        <a:pt x="3609467" y="3056547"/>
                                      </a:lnTo>
                                      <a:lnTo>
                                        <a:pt x="3629850" y="3018218"/>
                                      </a:lnTo>
                                      <a:lnTo>
                                        <a:pt x="3632009" y="3005277"/>
                                      </a:lnTo>
                                      <a:close/>
                                    </a:path>
                                    <a:path w="4514215" h="4826635">
                                      <a:moveTo>
                                        <a:pt x="4513872" y="2122424"/>
                                      </a:moveTo>
                                      <a:lnTo>
                                        <a:pt x="4492155" y="2084324"/>
                                      </a:lnTo>
                                      <a:lnTo>
                                        <a:pt x="2893352" y="485394"/>
                                      </a:lnTo>
                                      <a:lnTo>
                                        <a:pt x="3168180" y="210439"/>
                                      </a:lnTo>
                                      <a:lnTo>
                                        <a:pt x="3170593" y="205359"/>
                                      </a:lnTo>
                                      <a:lnTo>
                                        <a:pt x="3169958" y="197358"/>
                                      </a:lnTo>
                                      <a:lnTo>
                                        <a:pt x="3168650" y="191643"/>
                                      </a:lnTo>
                                      <a:lnTo>
                                        <a:pt x="3148876" y="154279"/>
                                      </a:lnTo>
                                      <a:lnTo>
                                        <a:pt x="3112389" y="112306"/>
                                      </a:lnTo>
                                      <a:lnTo>
                                        <a:pt x="3073743" y="72986"/>
                                      </a:lnTo>
                                      <a:lnTo>
                                        <a:pt x="3037243" y="39243"/>
                                      </a:lnTo>
                                      <a:lnTo>
                                        <a:pt x="3000032" y="10922"/>
                                      </a:lnTo>
                                      <a:lnTo>
                                        <a:pt x="2965234" y="0"/>
                                      </a:lnTo>
                                      <a:lnTo>
                                        <a:pt x="2960154" y="2413"/>
                                      </a:lnTo>
                                      <a:lnTo>
                                        <a:pt x="2282101" y="680339"/>
                                      </a:lnTo>
                                      <a:lnTo>
                                        <a:pt x="2279688" y="685546"/>
                                      </a:lnTo>
                                      <a:lnTo>
                                        <a:pt x="2282063" y="698830"/>
                                      </a:lnTo>
                                      <a:lnTo>
                                        <a:pt x="2303449" y="737095"/>
                                      </a:lnTo>
                                      <a:lnTo>
                                        <a:pt x="2329713" y="768756"/>
                                      </a:lnTo>
                                      <a:lnTo>
                                        <a:pt x="2366048" y="807466"/>
                                      </a:lnTo>
                                      <a:lnTo>
                                        <a:pt x="2404097" y="843026"/>
                                      </a:lnTo>
                                      <a:lnTo>
                                        <a:pt x="2415197" y="852170"/>
                                      </a:lnTo>
                                      <a:lnTo>
                                        <a:pt x="2425217" y="860844"/>
                                      </a:lnTo>
                                      <a:lnTo>
                                        <a:pt x="2458618" y="883373"/>
                                      </a:lnTo>
                                      <a:lnTo>
                                        <a:pt x="2485047" y="890905"/>
                                      </a:lnTo>
                                      <a:lnTo>
                                        <a:pt x="2490254" y="888492"/>
                                      </a:lnTo>
                                      <a:lnTo>
                                        <a:pt x="2765082" y="613537"/>
                                      </a:lnTo>
                                      <a:lnTo>
                                        <a:pt x="4364012" y="2212467"/>
                                      </a:lnTo>
                                      <a:lnTo>
                                        <a:pt x="4402112" y="2234184"/>
                                      </a:lnTo>
                                      <a:lnTo>
                                        <a:pt x="4410240" y="2231898"/>
                                      </a:lnTo>
                                      <a:lnTo>
                                        <a:pt x="4417403" y="2230678"/>
                                      </a:lnTo>
                                      <a:lnTo>
                                        <a:pt x="4456176" y="2209850"/>
                                      </a:lnTo>
                                      <a:lnTo>
                                        <a:pt x="4490199" y="2175827"/>
                                      </a:lnTo>
                                      <a:lnTo>
                                        <a:pt x="4510481" y="2137587"/>
                                      </a:lnTo>
                                      <a:lnTo>
                                        <a:pt x="4511586" y="2130552"/>
                                      </a:lnTo>
                                      <a:lnTo>
                                        <a:pt x="4513872" y="2122424"/>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34.887188pt;margin-top:-52.555565pt;width:355.45pt;height:380.05pt;mso-position-horizontal-relative:column;mso-position-vertical-relative:paragraph;z-index:-26081792" id="docshapegroup517" coordorigin="698,-1051" coordsize="7109,7601">
                      <v:shape style="position:absolute;left:697;top:-1052;width:7109;height:7601" id="docshape518" coordorigin="698,-1051" coordsize="7109,7601" path="m4537,5560l4535,5549,4529,5538,4523,5529,4516,5520,4509,5511,4501,5502,4491,5493,4478,5482,4463,5469,4444,5456,4423,5440,4311,5365,3533,4860,3470,4819,3407,4780,3382,4765,3291,4710,3237,4680,3185,4652,3135,4627,3087,4605,3041,4586,2996,4570,2954,4557,2913,4546,2874,4539,2844,4535,2837,4535,2801,4534,2766,4535,2775,4479,2780,4422,2780,4363,2777,4304,2769,4245,2756,4183,2738,4121,2715,4057,2687,3993,2654,3928,2616,3861,2570,3793,2530,3739,2486,3684,2448,3639,2448,4294,2446,4343,2439,4391,2425,4438,2403,4484,2375,4527,2339,4568,2141,4765,1163,3786,1333,3616,1362,3588,1389,3563,1414,3543,1437,3526,1459,3512,1481,3500,1503,3490,1525,3482,1598,3469,1673,3470,1749,3486,1827,3517,1891,3552,1956,3594,2022,3644,2089,3702,2157,3766,2207,3819,2253,3872,2296,3925,2335,3979,2368,4034,2395,4087,2416,4140,2432,4192,2443,4244,2448,4294,2448,3639,2438,3627,2386,3570,2330,3512,2285,3469,2270,3454,2210,3399,2150,3348,2091,3302,2032,3259,1958,3212,1886,3171,1814,3137,1743,3108,1672,3086,1604,3071,1536,3063,1471,3061,1406,3067,1343,3080,1282,3100,1223,3125,1204,3138,1183,3151,1141,3180,1119,3199,1095,3220,1068,3244,1040,3272,718,3594,706,3610,700,3629,698,3652,701,3678,712,3711,732,3746,761,3785,800,3827,3488,6515,3497,6523,3506,6531,3515,6537,3524,6542,3537,6547,3548,6549,3561,6546,3572,6544,3584,6540,3596,6536,3608,6530,3620,6521,3633,6511,3646,6500,3661,6486,3675,6472,3687,6458,3697,6445,3706,6432,3711,6420,3716,6408,3719,6397,3720,6386,3723,6375,3722,6362,3717,6350,3712,6340,3705,6331,3698,6322,3690,6313,2453,5077,2588,4942,2624,4911,2662,4887,2703,4871,2745,4861,2791,4860,2838,4863,2888,4872,2941,4886,2995,4905,3052,4929,3111,4957,3172,4991,3235,5028,3301,5068,3368,5110,3438,5156,4278,5711,4293,5720,4306,5728,4319,5734,4330,5739,4341,5742,4352,5743,4363,5743,4376,5743,4388,5739,4399,5734,4411,5727,4423,5719,4436,5708,4450,5696,4465,5682,4481,5665,4495,5649,4507,5635,4516,5622,4524,5610,4530,5598,4534,5587,4536,5575,4537,5560xm5981,4132l5978,4119,5973,4106,5965,4092,5954,4078,5940,4063,5923,4048,5903,4032,5879,4015,5851,3995,5428,3704,4529,3093,4529,3450,4001,3978,2816,2268,2817,2267,4529,3450,4529,3093,3317,2267,2645,1807,2630,1798,2616,1789,2602,1782,2589,1777,2577,1774,2565,1773,2553,1774,2541,1776,2528,1779,2515,1785,2501,1792,2487,1802,2473,1814,2458,1828,2441,1844,2406,1879,2392,1894,2379,1908,2368,1922,2359,1935,2352,1948,2347,1960,2344,1973,2342,1985,2341,1997,2342,2008,2346,2020,2351,2033,2357,2046,2365,2059,2374,2073,2418,2138,4562,5280,4582,5307,4599,5331,4616,5351,4631,5368,4645,5382,4660,5393,4673,5401,4687,5407,4699,5409,4712,5409,4725,5405,4739,5399,4753,5389,4767,5377,4783,5364,4799,5348,4815,5332,4828,5317,4839,5302,4849,5289,4856,5278,4861,5267,4864,5255,4865,5242,4864,5232,4863,5222,4861,5212,4856,5201,4852,5191,4846,5181,4840,5170,4832,5158,4258,4336,4616,3978,4890,3704,5727,4281,5739,4288,5751,4294,5761,4300,5771,4304,5784,4310,5795,4311,5808,4308,5818,4307,5829,4303,5841,4297,5854,4288,5867,4278,5881,4266,5896,4251,5914,4233,5931,4215,5945,4199,5958,4184,5968,4170,5975,4158,5980,4145,5981,4132xm6417,3682l6417,3672,6414,3663,6410,3652,6405,3643,6400,3635,6393,3626,6385,3618,5175,2408,5707,1877,5707,1868,5706,1855,5704,1846,5701,1836,5697,1825,5690,1813,5683,1801,5674,1787,5662,1771,5649,1755,5634,1739,5600,1702,5580,1681,5557,1659,5535,1639,5499,1605,5483,1592,5468,1582,5455,1573,5443,1566,5432,1561,5422,1557,5412,1554,5403,1552,5393,1553,5386,1556,4855,2088,3867,1100,4429,538,4432,531,4431,519,4429,510,4426,500,4421,489,4407,464,4398,450,4387,435,4373,419,4358,402,4322,364,4302,342,4280,322,4260,302,4223,268,4207,255,4191,243,4177,234,4163,225,4151,219,4140,214,4130,211,4121,209,4108,208,4102,210,3413,899,3402,915,3395,934,3393,957,3396,983,3407,1016,3427,1051,3456,1089,3495,1131,6183,3820,6192,3828,6200,3834,6208,3840,6217,3844,6228,3849,6237,3852,6247,3852,6267,3849,6279,3845,6291,3840,6304,3834,6316,3826,6329,3816,6342,3804,6356,3791,6370,3776,6382,3762,6392,3749,6401,3737,6407,3725,6411,3713,6414,3702,6417,3682xm7806,2291l7804,2280,7799,2267,7794,2258,7788,2249,7780,2240,7772,2231,5254,-287,5687,-720,5691,-728,5690,-740,5688,-749,5685,-759,5680,-770,5674,-783,5666,-794,5657,-808,5645,-823,5631,-839,5599,-874,5580,-894,5560,-915,5538,-936,5518,-955,5481,-989,5465,-1003,5450,-1015,5436,-1025,5422,-1034,5410,-1040,5399,-1045,5389,-1048,5380,-1050,5367,-1051,5359,-1047,4292,20,4288,28,4292,49,4295,59,4300,70,4306,82,4315,95,4325,110,4337,125,4367,160,4384,179,4403,199,4424,220,4445,241,4465,260,4484,276,4501,291,4517,305,4532,316,4546,326,4570,340,4580,345,4590,348,4611,352,4619,348,5052,-85,7570,2433,7579,2441,7588,2449,7597,2455,7606,2460,7619,2465,7630,2467,7643,2464,7654,2462,7666,2458,7678,2453,7690,2448,7702,2439,7715,2429,7729,2417,7743,2404,7757,2389,7769,2375,7779,2362,7788,2350,7793,2338,7798,2326,7801,2315,7803,2304,7806,2291xe" filled="true" fillcolor="#c0c0c0" stroked="false">
                        <v:path arrowok="t"/>
                        <v:fill opacity="32896f" type="solid"/>
                      </v:shape>
                      <w10:wrap type="none"/>
                    </v:group>
                  </w:pict>
                </mc:Fallback>
              </mc:AlternateContent>
            </w:r>
            <w:r>
              <w:rPr>
                <w:rFonts w:ascii="Verdana"/>
                <w:sz w:val="24"/>
              </w:rPr>
              <w:t>MS spoke about the poverty rates and the drivers around low income</w:t>
            </w:r>
            <w:r>
              <w:rPr>
                <w:rFonts w:ascii="Verdana"/>
                <w:spacing w:val="-3"/>
                <w:sz w:val="24"/>
              </w:rPr>
              <w:t> </w:t>
            </w:r>
            <w:r>
              <w:rPr>
                <w:rFonts w:ascii="Verdana"/>
                <w:sz w:val="24"/>
              </w:rPr>
              <w:t>and</w:t>
            </w:r>
            <w:r>
              <w:rPr>
                <w:rFonts w:ascii="Verdana"/>
                <w:spacing w:val="-4"/>
                <w:sz w:val="24"/>
              </w:rPr>
              <w:t> </w:t>
            </w:r>
            <w:r>
              <w:rPr>
                <w:rFonts w:ascii="Verdana"/>
                <w:sz w:val="24"/>
              </w:rPr>
              <w:t>high</w:t>
            </w:r>
            <w:r>
              <w:rPr>
                <w:rFonts w:ascii="Verdana"/>
                <w:spacing w:val="-5"/>
                <w:sz w:val="24"/>
              </w:rPr>
              <w:t> </w:t>
            </w:r>
            <w:r>
              <w:rPr>
                <w:rFonts w:ascii="Verdana"/>
                <w:sz w:val="24"/>
              </w:rPr>
              <w:t>housing</w:t>
            </w:r>
            <w:r>
              <w:rPr>
                <w:rFonts w:ascii="Verdana"/>
                <w:spacing w:val="-4"/>
                <w:sz w:val="24"/>
              </w:rPr>
              <w:t> </w:t>
            </w:r>
            <w:r>
              <w:rPr>
                <w:rFonts w:ascii="Verdana"/>
                <w:sz w:val="24"/>
              </w:rPr>
              <w:t>costs.</w:t>
            </w:r>
            <w:r>
              <w:rPr>
                <w:rFonts w:ascii="Verdana"/>
                <w:spacing w:val="80"/>
                <w:sz w:val="24"/>
              </w:rPr>
              <w:t> </w:t>
            </w:r>
            <w:r>
              <w:rPr>
                <w:rFonts w:ascii="Verdana"/>
                <w:sz w:val="24"/>
              </w:rPr>
              <w:t>To</w:t>
            </w:r>
            <w:r>
              <w:rPr>
                <w:rFonts w:ascii="Verdana"/>
                <w:spacing w:val="-4"/>
                <w:sz w:val="24"/>
              </w:rPr>
              <w:t> </w:t>
            </w:r>
            <w:r>
              <w:rPr>
                <w:rFonts w:ascii="Verdana"/>
                <w:sz w:val="24"/>
              </w:rPr>
              <w:t>have</w:t>
            </w:r>
            <w:r>
              <w:rPr>
                <w:rFonts w:ascii="Verdana"/>
                <w:spacing w:val="-3"/>
                <w:sz w:val="24"/>
              </w:rPr>
              <w:t> </w:t>
            </w:r>
            <w:r>
              <w:rPr>
                <w:rFonts w:ascii="Verdana"/>
                <w:sz w:val="24"/>
              </w:rPr>
              <w:t>a</w:t>
            </w:r>
            <w:r>
              <w:rPr>
                <w:rFonts w:ascii="Verdana"/>
                <w:spacing w:val="-3"/>
                <w:sz w:val="24"/>
              </w:rPr>
              <w:t> </w:t>
            </w:r>
            <w:r>
              <w:rPr>
                <w:rFonts w:ascii="Verdana"/>
                <w:sz w:val="24"/>
              </w:rPr>
              <w:t>high</w:t>
            </w:r>
            <w:r>
              <w:rPr>
                <w:rFonts w:ascii="Verdana"/>
                <w:spacing w:val="-5"/>
                <w:sz w:val="24"/>
              </w:rPr>
              <w:t> </w:t>
            </w:r>
            <w:r>
              <w:rPr>
                <w:rFonts w:ascii="Verdana"/>
                <w:sz w:val="24"/>
              </w:rPr>
              <w:t>standard</w:t>
            </w:r>
            <w:r>
              <w:rPr>
                <w:rFonts w:ascii="Verdana"/>
                <w:spacing w:val="-4"/>
                <w:sz w:val="24"/>
              </w:rPr>
              <w:t> </w:t>
            </w:r>
            <w:r>
              <w:rPr>
                <w:rFonts w:ascii="Verdana"/>
                <w:sz w:val="24"/>
              </w:rPr>
              <w:t>of</w:t>
            </w:r>
            <w:r>
              <w:rPr>
                <w:rFonts w:ascii="Verdana"/>
                <w:spacing w:val="-4"/>
                <w:sz w:val="24"/>
              </w:rPr>
              <w:t> </w:t>
            </w:r>
            <w:r>
              <w:rPr>
                <w:rFonts w:ascii="Verdana"/>
                <w:sz w:val="24"/>
              </w:rPr>
              <w:t>living</w:t>
            </w:r>
            <w:r>
              <w:rPr>
                <w:rFonts w:ascii="Verdana"/>
                <w:spacing w:val="-4"/>
                <w:sz w:val="24"/>
              </w:rPr>
              <w:t> </w:t>
            </w:r>
            <w:r>
              <w:rPr>
                <w:rFonts w:ascii="Verdana"/>
                <w:sz w:val="24"/>
              </w:rPr>
              <w:t>in the UK the consensus is you should be able to afford certain things including a special occasion and a hobby.</w:t>
            </w:r>
            <w:r>
              <w:rPr>
                <w:rFonts w:ascii="Verdana"/>
                <w:spacing w:val="80"/>
                <w:sz w:val="24"/>
              </w:rPr>
              <w:t> </w:t>
            </w:r>
            <w:r>
              <w:rPr>
                <w:rFonts w:ascii="Verdana"/>
                <w:sz w:val="24"/>
              </w:rPr>
              <w:t>Society judges how people living in poverty spend their money.</w:t>
            </w:r>
          </w:p>
          <w:p>
            <w:pPr>
              <w:pStyle w:val="TableParagraph"/>
              <w:spacing w:before="16"/>
              <w:rPr>
                <w:b/>
                <w:sz w:val="24"/>
              </w:rPr>
            </w:pPr>
          </w:p>
          <w:p>
            <w:pPr>
              <w:pStyle w:val="TableParagraph"/>
              <w:ind w:left="109" w:right="96"/>
              <w:rPr>
                <w:rFonts w:ascii="Verdana" w:hAnsi="Verdana"/>
                <w:sz w:val="24"/>
              </w:rPr>
            </w:pPr>
            <w:r>
              <w:rPr>
                <w:rFonts w:ascii="Verdana" w:hAnsi="Verdana"/>
                <w:sz w:val="24"/>
              </w:rPr>
              <w:t>MS presented a scenario to the Committee to consider an example of single parent family with two teenage children and to work out a budget for this family.</w:t>
            </w:r>
            <w:r>
              <w:rPr>
                <w:rFonts w:ascii="Verdana" w:hAnsi="Verdana"/>
                <w:spacing w:val="40"/>
                <w:sz w:val="24"/>
              </w:rPr>
              <w:t> </w:t>
            </w:r>
            <w:r>
              <w:rPr>
                <w:rFonts w:ascii="Verdana" w:hAnsi="Verdana"/>
                <w:sz w:val="24"/>
              </w:rPr>
              <w:t>The group discussed the need to include budgeting for birthdays and Christmas, as well as domestic emergencies</w:t>
            </w:r>
            <w:r>
              <w:rPr>
                <w:rFonts w:ascii="Verdana" w:hAnsi="Verdana"/>
                <w:spacing w:val="-2"/>
                <w:sz w:val="24"/>
              </w:rPr>
              <w:t> </w:t>
            </w:r>
            <w:r>
              <w:rPr>
                <w:rFonts w:ascii="Verdana" w:hAnsi="Verdana"/>
                <w:sz w:val="24"/>
              </w:rPr>
              <w:t>and</w:t>
            </w:r>
            <w:r>
              <w:rPr>
                <w:rFonts w:ascii="Verdana" w:hAnsi="Verdana"/>
                <w:spacing w:val="-2"/>
                <w:sz w:val="24"/>
              </w:rPr>
              <w:t> </w:t>
            </w:r>
            <w:r>
              <w:rPr>
                <w:rFonts w:ascii="Verdana" w:hAnsi="Verdana"/>
                <w:sz w:val="24"/>
              </w:rPr>
              <w:t>debt</w:t>
            </w:r>
            <w:r>
              <w:rPr>
                <w:rFonts w:ascii="Verdana" w:hAnsi="Verdana"/>
                <w:spacing w:val="-2"/>
                <w:sz w:val="24"/>
              </w:rPr>
              <w:t> </w:t>
            </w:r>
            <w:r>
              <w:rPr>
                <w:rFonts w:ascii="Verdana" w:hAnsi="Verdana"/>
                <w:sz w:val="24"/>
              </w:rPr>
              <w:t>repayment, noting</w:t>
            </w:r>
            <w:r>
              <w:rPr>
                <w:rFonts w:ascii="Verdana" w:hAnsi="Verdana"/>
                <w:spacing w:val="-2"/>
                <w:sz w:val="24"/>
              </w:rPr>
              <w:t> </w:t>
            </w:r>
            <w:r>
              <w:rPr>
                <w:rFonts w:ascii="Verdana" w:hAnsi="Verdana"/>
                <w:sz w:val="24"/>
              </w:rPr>
              <w:t>that</w:t>
            </w:r>
            <w:r>
              <w:rPr>
                <w:rFonts w:ascii="Verdana" w:hAnsi="Verdana"/>
                <w:spacing w:val="-2"/>
                <w:sz w:val="24"/>
              </w:rPr>
              <w:t> </w:t>
            </w:r>
            <w:r>
              <w:rPr>
                <w:rFonts w:ascii="Verdana" w:hAnsi="Verdana"/>
                <w:sz w:val="24"/>
              </w:rPr>
              <w:t>if</w:t>
            </w:r>
            <w:r>
              <w:rPr>
                <w:rFonts w:ascii="Verdana" w:hAnsi="Verdana"/>
                <w:spacing w:val="-2"/>
                <w:sz w:val="24"/>
              </w:rPr>
              <w:t> </w:t>
            </w:r>
            <w:r>
              <w:rPr>
                <w:rFonts w:ascii="Verdana" w:hAnsi="Verdana"/>
                <w:sz w:val="24"/>
              </w:rPr>
              <w:t>a</w:t>
            </w:r>
            <w:r>
              <w:rPr>
                <w:rFonts w:ascii="Verdana" w:hAnsi="Verdana"/>
                <w:spacing w:val="-2"/>
                <w:sz w:val="24"/>
              </w:rPr>
              <w:t> </w:t>
            </w:r>
            <w:r>
              <w:rPr>
                <w:rFonts w:ascii="Verdana" w:hAnsi="Verdana"/>
                <w:sz w:val="24"/>
              </w:rPr>
              <w:t>homeowner takes out</w:t>
            </w:r>
            <w:r>
              <w:rPr>
                <w:rFonts w:ascii="Verdana" w:hAnsi="Verdana"/>
                <w:spacing w:val="-1"/>
                <w:sz w:val="24"/>
              </w:rPr>
              <w:t> </w:t>
            </w:r>
            <w:r>
              <w:rPr>
                <w:rFonts w:ascii="Verdana" w:hAnsi="Verdana"/>
                <w:sz w:val="24"/>
              </w:rPr>
              <w:t>a</w:t>
            </w:r>
            <w:r>
              <w:rPr>
                <w:rFonts w:ascii="Verdana" w:hAnsi="Verdana"/>
                <w:spacing w:val="-2"/>
                <w:sz w:val="24"/>
              </w:rPr>
              <w:t> </w:t>
            </w:r>
            <w:r>
              <w:rPr>
                <w:rFonts w:ascii="Verdana" w:hAnsi="Verdana"/>
                <w:sz w:val="24"/>
              </w:rPr>
              <w:t>loan</w:t>
            </w:r>
            <w:r>
              <w:rPr>
                <w:rFonts w:ascii="Verdana" w:hAnsi="Verdana"/>
                <w:spacing w:val="-4"/>
                <w:sz w:val="24"/>
              </w:rPr>
              <w:t> </w:t>
            </w:r>
            <w:r>
              <w:rPr>
                <w:rFonts w:ascii="Verdana" w:hAnsi="Verdana"/>
                <w:sz w:val="24"/>
              </w:rPr>
              <w:t>the</w:t>
            </w:r>
            <w:r>
              <w:rPr>
                <w:rFonts w:ascii="Verdana" w:hAnsi="Verdana"/>
                <w:spacing w:val="-1"/>
                <w:sz w:val="24"/>
              </w:rPr>
              <w:t> </w:t>
            </w:r>
            <w:r>
              <w:rPr>
                <w:rFonts w:ascii="Verdana" w:hAnsi="Verdana"/>
                <w:sz w:val="24"/>
              </w:rPr>
              <w:t>APR</w:t>
            </w:r>
            <w:r>
              <w:rPr>
                <w:rFonts w:ascii="Verdana" w:hAnsi="Verdana"/>
                <w:spacing w:val="-4"/>
                <w:sz w:val="24"/>
              </w:rPr>
              <w:t> </w:t>
            </w:r>
            <w:r>
              <w:rPr>
                <w:rFonts w:ascii="Verdana" w:hAnsi="Verdana"/>
                <w:sz w:val="24"/>
              </w:rPr>
              <w:t>will</w:t>
            </w:r>
            <w:r>
              <w:rPr>
                <w:rFonts w:ascii="Verdana" w:hAnsi="Verdana"/>
                <w:spacing w:val="-4"/>
                <w:sz w:val="24"/>
              </w:rPr>
              <w:t> </w:t>
            </w:r>
            <w:r>
              <w:rPr>
                <w:rFonts w:ascii="Verdana" w:hAnsi="Verdana"/>
                <w:sz w:val="24"/>
              </w:rPr>
              <w:t>be</w:t>
            </w:r>
            <w:r>
              <w:rPr>
                <w:rFonts w:ascii="Verdana" w:hAnsi="Verdana"/>
                <w:spacing w:val="-1"/>
                <w:sz w:val="24"/>
              </w:rPr>
              <w:t> </w:t>
            </w:r>
            <w:r>
              <w:rPr>
                <w:rFonts w:ascii="Verdana" w:hAnsi="Verdana"/>
                <w:sz w:val="24"/>
              </w:rPr>
              <w:t>much</w:t>
            </w:r>
            <w:r>
              <w:rPr>
                <w:rFonts w:ascii="Verdana" w:hAnsi="Verdana"/>
                <w:spacing w:val="-4"/>
                <w:sz w:val="24"/>
              </w:rPr>
              <w:t> </w:t>
            </w:r>
            <w:r>
              <w:rPr>
                <w:rFonts w:ascii="Verdana" w:hAnsi="Verdana"/>
                <w:sz w:val="24"/>
              </w:rPr>
              <w:t>lower than</w:t>
            </w:r>
            <w:r>
              <w:rPr>
                <w:rFonts w:ascii="Verdana" w:hAnsi="Verdana"/>
                <w:spacing w:val="-4"/>
                <w:sz w:val="24"/>
              </w:rPr>
              <w:t> </w:t>
            </w:r>
            <w:r>
              <w:rPr>
                <w:rFonts w:ascii="Verdana" w:hAnsi="Verdana"/>
                <w:sz w:val="24"/>
              </w:rPr>
              <w:t>someone</w:t>
            </w:r>
            <w:r>
              <w:rPr>
                <w:rFonts w:ascii="Verdana" w:hAnsi="Verdana"/>
                <w:spacing w:val="-1"/>
                <w:sz w:val="24"/>
              </w:rPr>
              <w:t> </w:t>
            </w:r>
            <w:r>
              <w:rPr>
                <w:rFonts w:ascii="Verdana" w:hAnsi="Verdana"/>
                <w:sz w:val="24"/>
              </w:rPr>
              <w:t>living</w:t>
            </w:r>
            <w:r>
              <w:rPr>
                <w:rFonts w:ascii="Verdana" w:hAnsi="Verdana"/>
                <w:spacing w:val="-2"/>
                <w:sz w:val="24"/>
              </w:rPr>
              <w:t> </w:t>
            </w:r>
            <w:r>
              <w:rPr>
                <w:rFonts w:ascii="Verdana" w:hAnsi="Verdana"/>
                <w:sz w:val="24"/>
              </w:rPr>
              <w:t>in</w:t>
            </w:r>
            <w:r>
              <w:rPr>
                <w:rFonts w:ascii="Verdana" w:hAnsi="Verdana"/>
                <w:spacing w:val="-5"/>
                <w:sz w:val="24"/>
              </w:rPr>
              <w:t> </w:t>
            </w:r>
            <w:r>
              <w:rPr>
                <w:rFonts w:ascii="Verdana" w:hAnsi="Verdana"/>
                <w:sz w:val="24"/>
              </w:rPr>
              <w:t>rented accommodation.</w:t>
            </w:r>
            <w:r>
              <w:rPr>
                <w:rFonts w:ascii="Verdana" w:hAnsi="Verdana"/>
                <w:spacing w:val="80"/>
                <w:sz w:val="24"/>
              </w:rPr>
              <w:t> </w:t>
            </w:r>
            <w:r>
              <w:rPr>
                <w:rFonts w:ascii="Verdana" w:hAnsi="Verdana"/>
                <w:sz w:val="24"/>
              </w:rPr>
              <w:t>Having a low income and high living costs means that people are missing out on enrichment in their lives and are not able to connect with the wider community if they are not able to have hobbies.</w:t>
            </w:r>
            <w:r>
              <w:rPr>
                <w:rFonts w:ascii="Verdana" w:hAnsi="Verdana"/>
                <w:spacing w:val="80"/>
                <w:sz w:val="24"/>
              </w:rPr>
              <w:t> </w:t>
            </w:r>
            <w:r>
              <w:rPr>
                <w:rFonts w:ascii="Verdana" w:hAnsi="Verdana"/>
                <w:sz w:val="24"/>
              </w:rPr>
              <w:t>The stress and anxiety levels are constant, worrying about</w:t>
            </w:r>
            <w:r>
              <w:rPr>
                <w:rFonts w:ascii="Verdana" w:hAnsi="Verdana"/>
                <w:spacing w:val="-4"/>
                <w:sz w:val="24"/>
              </w:rPr>
              <w:t> </w:t>
            </w:r>
            <w:r>
              <w:rPr>
                <w:rFonts w:ascii="Verdana" w:hAnsi="Verdana"/>
                <w:sz w:val="24"/>
              </w:rPr>
              <w:t>paying</w:t>
            </w:r>
            <w:r>
              <w:rPr>
                <w:rFonts w:ascii="Verdana" w:hAnsi="Verdana"/>
                <w:spacing w:val="-4"/>
                <w:sz w:val="24"/>
              </w:rPr>
              <w:t> </w:t>
            </w:r>
            <w:r>
              <w:rPr>
                <w:rFonts w:ascii="Verdana" w:hAnsi="Verdana"/>
                <w:sz w:val="24"/>
              </w:rPr>
              <w:t>bills</w:t>
            </w:r>
            <w:r>
              <w:rPr>
                <w:rFonts w:ascii="Verdana" w:hAnsi="Verdana"/>
                <w:spacing w:val="-4"/>
                <w:sz w:val="24"/>
              </w:rPr>
              <w:t> </w:t>
            </w:r>
            <w:r>
              <w:rPr>
                <w:rFonts w:ascii="Verdana" w:hAnsi="Verdana"/>
                <w:sz w:val="24"/>
              </w:rPr>
              <w:t>and</w:t>
            </w:r>
            <w:r>
              <w:rPr>
                <w:rFonts w:ascii="Verdana" w:hAnsi="Verdana"/>
                <w:spacing w:val="-4"/>
                <w:sz w:val="24"/>
              </w:rPr>
              <w:t> </w:t>
            </w:r>
            <w:r>
              <w:rPr>
                <w:rFonts w:ascii="Verdana" w:hAnsi="Verdana"/>
                <w:sz w:val="24"/>
              </w:rPr>
              <w:t>not</w:t>
            </w:r>
            <w:r>
              <w:rPr>
                <w:rFonts w:ascii="Verdana" w:hAnsi="Verdana"/>
                <w:spacing w:val="-4"/>
                <w:sz w:val="24"/>
              </w:rPr>
              <w:t> </w:t>
            </w:r>
            <w:r>
              <w:rPr>
                <w:rFonts w:ascii="Verdana" w:hAnsi="Verdana"/>
                <w:sz w:val="24"/>
              </w:rPr>
              <w:t>having</w:t>
            </w:r>
            <w:r>
              <w:rPr>
                <w:rFonts w:ascii="Verdana" w:hAnsi="Verdana"/>
                <w:spacing w:val="-4"/>
                <w:sz w:val="24"/>
              </w:rPr>
              <w:t> </w:t>
            </w:r>
            <w:r>
              <w:rPr>
                <w:rFonts w:ascii="Verdana" w:hAnsi="Verdana"/>
                <w:sz w:val="24"/>
              </w:rPr>
              <w:t>any</w:t>
            </w:r>
            <w:r>
              <w:rPr>
                <w:rFonts w:ascii="Verdana" w:hAnsi="Verdana"/>
                <w:spacing w:val="-6"/>
                <w:sz w:val="24"/>
              </w:rPr>
              <w:t> </w:t>
            </w:r>
            <w:r>
              <w:rPr>
                <w:rFonts w:ascii="Verdana" w:hAnsi="Verdana"/>
                <w:sz w:val="24"/>
              </w:rPr>
              <w:t>money</w:t>
            </w:r>
            <w:r>
              <w:rPr>
                <w:rFonts w:ascii="Verdana" w:hAnsi="Verdana"/>
                <w:spacing w:val="-6"/>
                <w:sz w:val="24"/>
              </w:rPr>
              <w:t> </w:t>
            </w:r>
            <w:r>
              <w:rPr>
                <w:rFonts w:ascii="Verdana" w:hAnsi="Verdana"/>
                <w:sz w:val="24"/>
              </w:rPr>
              <w:t>for</w:t>
            </w:r>
            <w:r>
              <w:rPr>
                <w:rFonts w:ascii="Verdana" w:hAnsi="Verdana"/>
                <w:spacing w:val="-3"/>
                <w:sz w:val="24"/>
              </w:rPr>
              <w:t> </w:t>
            </w:r>
            <w:r>
              <w:rPr>
                <w:rFonts w:ascii="Verdana" w:hAnsi="Verdana"/>
                <w:sz w:val="24"/>
              </w:rPr>
              <w:t>“luxuries”.</w:t>
            </w:r>
            <w:r>
              <w:rPr>
                <w:rFonts w:ascii="Verdana" w:hAnsi="Verdana"/>
                <w:spacing w:val="80"/>
                <w:sz w:val="24"/>
              </w:rPr>
              <w:t> </w:t>
            </w:r>
            <w:r>
              <w:rPr>
                <w:rFonts w:ascii="Verdana" w:hAnsi="Verdana"/>
                <w:sz w:val="24"/>
              </w:rPr>
              <w:t>Poverty means lives with low enrichment, low inspirational experiences, low connection to community and low social and support networks.</w:t>
            </w:r>
          </w:p>
          <w:p>
            <w:pPr>
              <w:pStyle w:val="TableParagraph"/>
              <w:spacing w:before="18"/>
              <w:rPr>
                <w:b/>
                <w:sz w:val="24"/>
              </w:rPr>
            </w:pPr>
          </w:p>
          <w:p>
            <w:pPr>
              <w:pStyle w:val="TableParagraph"/>
              <w:spacing w:before="1"/>
              <w:ind w:left="109" w:right="194"/>
              <w:rPr>
                <w:rFonts w:ascii="Verdana"/>
                <w:sz w:val="24"/>
              </w:rPr>
            </w:pPr>
            <w:r>
              <w:rPr>
                <w:rFonts w:ascii="Verdana"/>
                <w:sz w:val="24"/>
              </w:rPr>
              <w:t>MS was thanked for her informative presentation helping the Committee</w:t>
            </w:r>
            <w:r>
              <w:rPr>
                <w:rFonts w:ascii="Verdana"/>
                <w:spacing w:val="-3"/>
                <w:sz w:val="24"/>
              </w:rPr>
              <w:t> </w:t>
            </w:r>
            <w:r>
              <w:rPr>
                <w:rFonts w:ascii="Verdana"/>
                <w:sz w:val="24"/>
              </w:rPr>
              <w:t>to</w:t>
            </w:r>
            <w:r>
              <w:rPr>
                <w:rFonts w:ascii="Verdana"/>
                <w:spacing w:val="-4"/>
                <w:sz w:val="24"/>
              </w:rPr>
              <w:t> </w:t>
            </w:r>
            <w:r>
              <w:rPr>
                <w:rFonts w:ascii="Verdana"/>
                <w:sz w:val="24"/>
              </w:rPr>
              <w:t>explore</w:t>
            </w:r>
            <w:r>
              <w:rPr>
                <w:rFonts w:ascii="Verdana"/>
                <w:spacing w:val="-3"/>
                <w:sz w:val="24"/>
              </w:rPr>
              <w:t> </w:t>
            </w:r>
            <w:r>
              <w:rPr>
                <w:rFonts w:ascii="Verdana"/>
                <w:sz w:val="24"/>
              </w:rPr>
              <w:t>more</w:t>
            </w:r>
            <w:r>
              <w:rPr>
                <w:rFonts w:ascii="Verdana"/>
                <w:spacing w:val="-3"/>
                <w:sz w:val="24"/>
              </w:rPr>
              <w:t> </w:t>
            </w:r>
            <w:r>
              <w:rPr>
                <w:rFonts w:ascii="Verdana"/>
                <w:sz w:val="24"/>
              </w:rPr>
              <w:t>fully</w:t>
            </w:r>
            <w:r>
              <w:rPr>
                <w:rFonts w:ascii="Verdana"/>
                <w:spacing w:val="-6"/>
                <w:sz w:val="24"/>
              </w:rPr>
              <w:t> </w:t>
            </w:r>
            <w:r>
              <w:rPr>
                <w:rFonts w:ascii="Verdana"/>
                <w:sz w:val="24"/>
              </w:rPr>
              <w:t>its</w:t>
            </w:r>
            <w:r>
              <w:rPr>
                <w:rFonts w:ascii="Verdana"/>
                <w:spacing w:val="-3"/>
                <w:sz w:val="24"/>
              </w:rPr>
              <w:t> </w:t>
            </w:r>
            <w:r>
              <w:rPr>
                <w:rFonts w:ascii="Verdana"/>
                <w:sz w:val="24"/>
              </w:rPr>
              <w:t>role</w:t>
            </w:r>
            <w:r>
              <w:rPr>
                <w:rFonts w:ascii="Verdana"/>
                <w:spacing w:val="-3"/>
                <w:sz w:val="24"/>
              </w:rPr>
              <w:t> </w:t>
            </w:r>
            <w:r>
              <w:rPr>
                <w:rFonts w:ascii="Verdana"/>
                <w:sz w:val="24"/>
              </w:rPr>
              <w:t>in</w:t>
            </w:r>
            <w:r>
              <w:rPr>
                <w:rFonts w:ascii="Verdana"/>
                <w:spacing w:val="-6"/>
                <w:sz w:val="24"/>
              </w:rPr>
              <w:t> </w:t>
            </w:r>
            <w:r>
              <w:rPr>
                <w:rFonts w:ascii="Verdana"/>
                <w:sz w:val="24"/>
              </w:rPr>
              <w:t>relation</w:t>
            </w:r>
            <w:r>
              <w:rPr>
                <w:rFonts w:ascii="Verdana"/>
                <w:spacing w:val="-6"/>
                <w:sz w:val="24"/>
              </w:rPr>
              <w:t> </w:t>
            </w:r>
            <w:r>
              <w:rPr>
                <w:rFonts w:ascii="Verdana"/>
                <w:sz w:val="24"/>
              </w:rPr>
              <w:t>to</w:t>
            </w:r>
            <w:r>
              <w:rPr>
                <w:rFonts w:ascii="Verdana"/>
                <w:spacing w:val="-4"/>
                <w:sz w:val="24"/>
              </w:rPr>
              <w:t> </w:t>
            </w:r>
            <w:r>
              <w:rPr>
                <w:rFonts w:ascii="Verdana"/>
                <w:sz w:val="24"/>
              </w:rPr>
              <w:t>poverty</w:t>
            </w:r>
            <w:r>
              <w:rPr>
                <w:rFonts w:ascii="Verdana"/>
                <w:spacing w:val="-6"/>
                <w:sz w:val="24"/>
              </w:rPr>
              <w:t> </w:t>
            </w:r>
            <w:r>
              <w:rPr>
                <w:rFonts w:ascii="Verdana"/>
                <w:sz w:val="24"/>
              </w:rPr>
              <w:t>and the contribution Health Boards can make.</w:t>
            </w:r>
          </w:p>
        </w:tc>
        <w:tc>
          <w:tcPr>
            <w:tcW w:w="711" w:type="dxa"/>
          </w:tcPr>
          <w:p>
            <w:pPr>
              <w:pStyle w:val="TableParagraph"/>
              <w:rPr>
                <w:rFonts w:ascii="Times New Roman"/>
                <w:sz w:val="22"/>
              </w:rPr>
            </w:pPr>
          </w:p>
        </w:tc>
      </w:tr>
    </w:tbl>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13"/>
        <w:rPr>
          <w:b/>
        </w:rPr>
      </w:pPr>
    </w:p>
    <w:p>
      <w:pPr>
        <w:spacing w:before="0"/>
        <w:ind w:left="0" w:right="180" w:firstLine="0"/>
        <w:jc w:val="right"/>
        <w:rPr>
          <w:b/>
          <w:sz w:val="24"/>
        </w:rPr>
      </w:pPr>
      <w:r>
        <w:rPr>
          <w:b/>
          <w:sz w:val="24"/>
        </w:rPr>
        <mc:AlternateContent>
          <mc:Choice Requires="wps">
            <w:drawing>
              <wp:anchor distT="0" distB="0" distL="0" distR="0" allowOverlap="1" layoutInCell="1" locked="0" behindDoc="1" simplePos="0" relativeHeight="477234176">
                <wp:simplePos x="0" y="0"/>
                <wp:positionH relativeFrom="page">
                  <wp:posOffset>943182</wp:posOffset>
                </wp:positionH>
                <wp:positionV relativeFrom="paragraph">
                  <wp:posOffset>-3370212</wp:posOffset>
                </wp:positionV>
                <wp:extent cx="2226310" cy="2232025"/>
                <wp:effectExtent l="0" t="0" r="0" b="0"/>
                <wp:wrapNone/>
                <wp:docPr id="775" name="Graphic 775"/>
                <wp:cNvGraphicFramePr>
                  <a:graphicFrameLocks/>
                </wp:cNvGraphicFramePr>
                <a:graphic>
                  <a:graphicData uri="http://schemas.microsoft.com/office/word/2010/wordprocessingShape">
                    <wps:wsp>
                      <wps:cNvPr id="775" name="Graphic 775"/>
                      <wps:cNvSpPr/>
                      <wps:spPr>
                        <a:xfrm>
                          <a:off x="0" y="0"/>
                          <a:ext cx="2226310" cy="2232025"/>
                        </a:xfrm>
                        <a:custGeom>
                          <a:avLst/>
                          <a:gdLst/>
                          <a:ahLst/>
                          <a:cxnLst/>
                          <a:rect l="l" t="t" r="r" b="b"/>
                          <a:pathLst>
                            <a:path w="2226310" h="2232025">
                              <a:moveTo>
                                <a:pt x="590794" y="0"/>
                              </a:moveTo>
                              <a:lnTo>
                                <a:pt x="546699" y="1881"/>
                              </a:lnTo>
                              <a:lnTo>
                                <a:pt x="503728" y="6877"/>
                              </a:lnTo>
                              <a:lnTo>
                                <a:pt x="455005" y="17460"/>
                              </a:lnTo>
                              <a:lnTo>
                                <a:pt x="407620" y="34004"/>
                              </a:lnTo>
                              <a:lnTo>
                                <a:pt x="361544" y="56376"/>
                              </a:lnTo>
                              <a:lnTo>
                                <a:pt x="316745" y="84442"/>
                              </a:lnTo>
                              <a:lnTo>
                                <a:pt x="273192" y="118067"/>
                              </a:lnTo>
                              <a:lnTo>
                                <a:pt x="230856" y="157118"/>
                              </a:lnTo>
                              <a:lnTo>
                                <a:pt x="12594" y="375431"/>
                              </a:lnTo>
                              <a:lnTo>
                                <a:pt x="0" y="412043"/>
                              </a:lnTo>
                              <a:lnTo>
                                <a:pt x="1901" y="428898"/>
                              </a:lnTo>
                              <a:lnTo>
                                <a:pt x="21439" y="471793"/>
                              </a:lnTo>
                              <a:lnTo>
                                <a:pt x="64639" y="522878"/>
                              </a:lnTo>
                              <a:lnTo>
                                <a:pt x="1709212" y="2167401"/>
                              </a:lnTo>
                              <a:lnTo>
                                <a:pt x="1760123" y="2210454"/>
                              </a:lnTo>
                              <a:lnTo>
                                <a:pt x="1801795" y="2228742"/>
                              </a:lnTo>
                              <a:lnTo>
                                <a:pt x="1819512" y="2231491"/>
                              </a:lnTo>
                              <a:lnTo>
                                <a:pt x="1834561" y="2230632"/>
                              </a:lnTo>
                              <a:lnTo>
                                <a:pt x="2060748" y="2015255"/>
                              </a:lnTo>
                              <a:lnTo>
                                <a:pt x="2099512" y="1973315"/>
                              </a:lnTo>
                              <a:lnTo>
                                <a:pt x="2130159" y="1933848"/>
                              </a:lnTo>
                              <a:lnTo>
                                <a:pt x="1731818" y="1933848"/>
                              </a:lnTo>
                              <a:lnTo>
                                <a:pt x="296833" y="498875"/>
                              </a:lnTo>
                              <a:lnTo>
                                <a:pt x="427274" y="368446"/>
                              </a:lnTo>
                              <a:lnTo>
                                <a:pt x="467675" y="332071"/>
                              </a:lnTo>
                              <a:lnTo>
                                <a:pt x="509379" y="302626"/>
                              </a:lnTo>
                              <a:lnTo>
                                <a:pt x="552474" y="280307"/>
                              </a:lnTo>
                              <a:lnTo>
                                <a:pt x="597044" y="265310"/>
                              </a:lnTo>
                              <a:lnTo>
                                <a:pt x="643174" y="257829"/>
                              </a:lnTo>
                              <a:lnTo>
                                <a:pt x="690714" y="256458"/>
                              </a:lnTo>
                              <a:lnTo>
                                <a:pt x="1230743" y="256458"/>
                              </a:lnTo>
                              <a:lnTo>
                                <a:pt x="1198037" y="233191"/>
                              </a:lnTo>
                              <a:lnTo>
                                <a:pt x="1149703" y="200690"/>
                              </a:lnTo>
                              <a:lnTo>
                                <a:pt x="1101875" y="170678"/>
                              </a:lnTo>
                              <a:lnTo>
                                <a:pt x="1054582" y="143098"/>
                              </a:lnTo>
                              <a:lnTo>
                                <a:pt x="1007855" y="117891"/>
                              </a:lnTo>
                              <a:lnTo>
                                <a:pt x="961723" y="95001"/>
                              </a:lnTo>
                              <a:lnTo>
                                <a:pt x="916216" y="74368"/>
                              </a:lnTo>
                              <a:lnTo>
                                <a:pt x="871365" y="55935"/>
                              </a:lnTo>
                              <a:lnTo>
                                <a:pt x="827197" y="39643"/>
                              </a:lnTo>
                              <a:lnTo>
                                <a:pt x="777882" y="24952"/>
                              </a:lnTo>
                              <a:lnTo>
                                <a:pt x="729557" y="13709"/>
                              </a:lnTo>
                              <a:lnTo>
                                <a:pt x="682250" y="5847"/>
                              </a:lnTo>
                              <a:lnTo>
                                <a:pt x="635986" y="1299"/>
                              </a:lnTo>
                              <a:lnTo>
                                <a:pt x="590794" y="0"/>
                              </a:lnTo>
                              <a:close/>
                            </a:path>
                            <a:path w="2226310" h="2232025">
                              <a:moveTo>
                                <a:pt x="1230743" y="256458"/>
                              </a:moveTo>
                              <a:lnTo>
                                <a:pt x="690714" y="256458"/>
                              </a:lnTo>
                              <a:lnTo>
                                <a:pt x="739631" y="259689"/>
                              </a:lnTo>
                              <a:lnTo>
                                <a:pt x="789963" y="267796"/>
                              </a:lnTo>
                              <a:lnTo>
                                <a:pt x="841745" y="281055"/>
                              </a:lnTo>
                              <a:lnTo>
                                <a:pt x="895015" y="299739"/>
                              </a:lnTo>
                              <a:lnTo>
                                <a:pt x="940368" y="319045"/>
                              </a:lnTo>
                              <a:lnTo>
                                <a:pt x="986479" y="341320"/>
                              </a:lnTo>
                              <a:lnTo>
                                <a:pt x="1033302" y="366637"/>
                              </a:lnTo>
                              <a:lnTo>
                                <a:pt x="1080793" y="395065"/>
                              </a:lnTo>
                              <a:lnTo>
                                <a:pt x="1128904" y="426675"/>
                              </a:lnTo>
                              <a:lnTo>
                                <a:pt x="1177590" y="461537"/>
                              </a:lnTo>
                              <a:lnTo>
                                <a:pt x="1214887" y="490023"/>
                              </a:lnTo>
                              <a:lnTo>
                                <a:pt x="1252195" y="519590"/>
                              </a:lnTo>
                              <a:lnTo>
                                <a:pt x="1289515" y="550274"/>
                              </a:lnTo>
                              <a:lnTo>
                                <a:pt x="1326847" y="582108"/>
                              </a:lnTo>
                              <a:lnTo>
                                <a:pt x="1364191" y="615127"/>
                              </a:lnTo>
                              <a:lnTo>
                                <a:pt x="1401547" y="649365"/>
                              </a:lnTo>
                              <a:lnTo>
                                <a:pt x="1438915" y="684855"/>
                              </a:lnTo>
                              <a:lnTo>
                                <a:pt x="1476294" y="721633"/>
                              </a:lnTo>
                              <a:lnTo>
                                <a:pt x="1517222" y="763040"/>
                              </a:lnTo>
                              <a:lnTo>
                                <a:pt x="1556357" y="803696"/>
                              </a:lnTo>
                              <a:lnTo>
                                <a:pt x="1593703" y="843601"/>
                              </a:lnTo>
                              <a:lnTo>
                                <a:pt x="1629266" y="882756"/>
                              </a:lnTo>
                              <a:lnTo>
                                <a:pt x="1663048" y="921163"/>
                              </a:lnTo>
                              <a:lnTo>
                                <a:pt x="1695054" y="958822"/>
                              </a:lnTo>
                              <a:lnTo>
                                <a:pt x="1725289" y="995736"/>
                              </a:lnTo>
                              <a:lnTo>
                                <a:pt x="1753756" y="1031904"/>
                              </a:lnTo>
                              <a:lnTo>
                                <a:pt x="1780459" y="1067327"/>
                              </a:lnTo>
                              <a:lnTo>
                                <a:pt x="1812638" y="1112451"/>
                              </a:lnTo>
                              <a:lnTo>
                                <a:pt x="1841763" y="1156496"/>
                              </a:lnTo>
                              <a:lnTo>
                                <a:pt x="1867950" y="1199476"/>
                              </a:lnTo>
                              <a:lnTo>
                                <a:pt x="1891319" y="1241400"/>
                              </a:lnTo>
                              <a:lnTo>
                                <a:pt x="1911986" y="1282280"/>
                              </a:lnTo>
                              <a:lnTo>
                                <a:pt x="1930069" y="1322127"/>
                              </a:lnTo>
                              <a:lnTo>
                                <a:pt x="1945686" y="1360951"/>
                              </a:lnTo>
                              <a:lnTo>
                                <a:pt x="1962882" y="1413355"/>
                              </a:lnTo>
                              <a:lnTo>
                                <a:pt x="1974134" y="1463521"/>
                              </a:lnTo>
                              <a:lnTo>
                                <a:pt x="1979748" y="1511590"/>
                              </a:lnTo>
                              <a:lnTo>
                                <a:pt x="1980027" y="1557702"/>
                              </a:lnTo>
                              <a:lnTo>
                                <a:pt x="1975277" y="1601997"/>
                              </a:lnTo>
                              <a:lnTo>
                                <a:pt x="1965083" y="1644745"/>
                              </a:lnTo>
                              <a:lnTo>
                                <a:pt x="1948737" y="1685931"/>
                              </a:lnTo>
                              <a:lnTo>
                                <a:pt x="1926339" y="1725734"/>
                              </a:lnTo>
                              <a:lnTo>
                                <a:pt x="1897984" y="1764330"/>
                              </a:lnTo>
                              <a:lnTo>
                                <a:pt x="1863771" y="1801895"/>
                              </a:lnTo>
                              <a:lnTo>
                                <a:pt x="1731818" y="1933848"/>
                              </a:lnTo>
                              <a:lnTo>
                                <a:pt x="2130159" y="1933848"/>
                              </a:lnTo>
                              <a:lnTo>
                                <a:pt x="2161523" y="1885461"/>
                              </a:lnTo>
                              <a:lnTo>
                                <a:pt x="2184729" y="1839563"/>
                              </a:lnTo>
                              <a:lnTo>
                                <a:pt x="2202706" y="1792359"/>
                              </a:lnTo>
                              <a:lnTo>
                                <a:pt x="2215434" y="1743856"/>
                              </a:lnTo>
                              <a:lnTo>
                                <a:pt x="2222398" y="1700986"/>
                              </a:lnTo>
                              <a:lnTo>
                                <a:pt x="2225939" y="1656673"/>
                              </a:lnTo>
                              <a:lnTo>
                                <a:pt x="2225991" y="1610985"/>
                              </a:lnTo>
                              <a:lnTo>
                                <a:pt x="2222492" y="1563989"/>
                              </a:lnTo>
                              <a:lnTo>
                                <a:pt x="2215375" y="1515751"/>
                              </a:lnTo>
                              <a:lnTo>
                                <a:pt x="2204577" y="1466337"/>
                              </a:lnTo>
                              <a:lnTo>
                                <a:pt x="2190034" y="1415815"/>
                              </a:lnTo>
                              <a:lnTo>
                                <a:pt x="2176205" y="1375758"/>
                              </a:lnTo>
                              <a:lnTo>
                                <a:pt x="2160262" y="1334911"/>
                              </a:lnTo>
                              <a:lnTo>
                                <a:pt x="2142174" y="1293270"/>
                              </a:lnTo>
                              <a:lnTo>
                                <a:pt x="2121907" y="1250826"/>
                              </a:lnTo>
                              <a:lnTo>
                                <a:pt x="2099426" y="1207571"/>
                              </a:lnTo>
                              <a:lnTo>
                                <a:pt x="2074700" y="1163499"/>
                              </a:lnTo>
                              <a:lnTo>
                                <a:pt x="2047693" y="1118603"/>
                              </a:lnTo>
                              <a:lnTo>
                                <a:pt x="2018374" y="1072874"/>
                              </a:lnTo>
                              <a:lnTo>
                                <a:pt x="1986707" y="1026306"/>
                              </a:lnTo>
                              <a:lnTo>
                                <a:pt x="1961760" y="991189"/>
                              </a:lnTo>
                              <a:lnTo>
                                <a:pt x="1935498" y="955627"/>
                              </a:lnTo>
                              <a:lnTo>
                                <a:pt x="1907924" y="919626"/>
                              </a:lnTo>
                              <a:lnTo>
                                <a:pt x="1879040" y="883192"/>
                              </a:lnTo>
                              <a:lnTo>
                                <a:pt x="1848848" y="846328"/>
                              </a:lnTo>
                              <a:lnTo>
                                <a:pt x="1817353" y="809041"/>
                              </a:lnTo>
                              <a:lnTo>
                                <a:pt x="1784556" y="771336"/>
                              </a:lnTo>
                              <a:lnTo>
                                <a:pt x="1750459" y="733219"/>
                              </a:lnTo>
                              <a:lnTo>
                                <a:pt x="1715066" y="694694"/>
                              </a:lnTo>
                              <a:lnTo>
                                <a:pt x="1678380" y="655766"/>
                              </a:lnTo>
                              <a:lnTo>
                                <a:pt x="1640402" y="616442"/>
                              </a:lnTo>
                              <a:lnTo>
                                <a:pt x="1601135" y="576726"/>
                              </a:lnTo>
                              <a:lnTo>
                                <a:pt x="1559769" y="535962"/>
                              </a:lnTo>
                              <a:lnTo>
                                <a:pt x="1518589" y="496583"/>
                              </a:lnTo>
                              <a:lnTo>
                                <a:pt x="1477614" y="458605"/>
                              </a:lnTo>
                              <a:lnTo>
                                <a:pt x="1436860" y="422043"/>
                              </a:lnTo>
                              <a:lnTo>
                                <a:pt x="1396348" y="386909"/>
                              </a:lnTo>
                              <a:lnTo>
                                <a:pt x="1356094" y="353220"/>
                              </a:lnTo>
                              <a:lnTo>
                                <a:pt x="1316118" y="320989"/>
                              </a:lnTo>
                              <a:lnTo>
                                <a:pt x="1276438" y="290231"/>
                              </a:lnTo>
                              <a:lnTo>
                                <a:pt x="1237072" y="260960"/>
                              </a:lnTo>
                              <a:lnTo>
                                <a:pt x="1230743" y="25645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74.266312pt;margin-top:-265.371033pt;width:175.3pt;height:175.75pt;mso-position-horizontal-relative:page;mso-position-vertical-relative:paragraph;z-index:-26082304" id="docshape519" coordorigin="1485,-5307" coordsize="3506,3515" path="m2416,-5307l2346,-5304,2279,-5297,2202,-5280,2127,-5254,2055,-5219,1984,-5174,1916,-5121,1849,-5060,1505,-4716,1494,-4701,1487,-4682,1485,-4659,1488,-4632,1499,-4600,1519,-4564,1548,-4526,1587,-4484,4177,-1894,4219,-1855,4257,-1826,4292,-1807,4323,-1798,4351,-1793,4374,-1795,4394,-1801,4409,-1812,4731,-2134,4792,-2200,4840,-2262,4213,-2262,1953,-4522,2158,-4727,2222,-4784,2287,-4831,2355,-4866,2426,-4890,2498,-4901,2573,-4904,3424,-4904,3372,-4940,3296,-4991,3221,-5039,3146,-5082,3072,-5122,3000,-5158,2928,-5190,2858,-5219,2788,-5245,2710,-5268,2634,-5286,2560,-5298,2487,-5305,2416,-5307xm3424,-4904l2573,-4904,2650,-4898,2729,-4886,2811,-4865,2895,-4835,2966,-4805,3039,-4770,3113,-4730,3187,-4685,3263,-4635,3340,-4581,3399,-4536,3457,-4489,3516,-4441,3575,-4391,3634,-4339,3692,-4285,3751,-4229,3810,-4171,3875,-4106,3936,-4042,3995,-3979,4051,-3917,4104,-3857,4155,-3797,4202,-3739,4247,-3682,4289,-3627,4340,-3556,4386,-3486,4427,-3418,4464,-3352,4496,-3288,4525,-3225,4549,-3164,4576,-3082,4594,-3003,4603,-2927,4603,-2854,4596,-2785,4580,-2717,4554,-2652,4519,-2590,4474,-2529,4420,-2470,4213,-2262,4840,-2262,4845,-2268,4889,-2338,4926,-2410,4954,-2485,4974,-2561,4985,-2629,4991,-2698,4991,-2770,4985,-2844,4974,-2920,4957,-2998,4934,-3078,4912,-3141,4887,-3205,4859,-3271,4827,-3338,4792,-3406,4753,-3475,4710,-3546,4664,-3618,4614,-3691,4575,-3746,4533,-3802,4490,-3859,4444,-3917,4397,-3975,4347,-4033,4296,-4093,4242,-4153,4186,-4213,4128,-4275,4069,-4337,4007,-4399,3942,-4463,3877,-4525,3812,-4585,3748,-4643,3684,-4698,3621,-4751,3558,-4802,3495,-4850,3433,-4896,3424,-4904xe" filled="true" fillcolor="#c0c0c0" stroked="false">
                <v:path arrowok="t"/>
                <v:fill opacity="32896f" type="solid"/>
                <w10:wrap type="none"/>
              </v:shape>
            </w:pict>
          </mc:Fallback>
        </mc:AlternateContent>
      </w:r>
      <w:r>
        <w:rPr>
          <w:sz w:val="24"/>
        </w:rPr>
        <w:t>Page </w:t>
      </w:r>
      <w:r>
        <w:rPr>
          <w:b/>
          <w:sz w:val="24"/>
        </w:rPr>
        <w:t>4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76" name="Image 776"/>
            <wp:cNvGraphicFramePr>
              <a:graphicFrameLocks/>
            </wp:cNvGraphicFramePr>
            <a:graphic>
              <a:graphicData uri="http://schemas.openxmlformats.org/drawingml/2006/picture">
                <pic:pic>
                  <pic:nvPicPr>
                    <pic:cNvPr id="776" name="Image 776"/>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77" name="Image 777"/>
            <wp:cNvGraphicFramePr>
              <a:graphicFrameLocks/>
            </wp:cNvGraphicFramePr>
            <a:graphic>
              <a:graphicData uri="http://schemas.openxmlformats.org/drawingml/2006/picture">
                <pic:pic>
                  <pic:nvPicPr>
                    <pic:cNvPr id="777" name="Image 777"/>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510" w:hRule="atLeast"/>
        </w:trPr>
        <w:tc>
          <w:tcPr>
            <w:tcW w:w="10496" w:type="dxa"/>
            <w:gridSpan w:val="3"/>
            <w:shd w:val="clear" w:color="auto" w:fill="001F5F"/>
          </w:tcPr>
          <w:p>
            <w:pPr>
              <w:pStyle w:val="TableParagraph"/>
              <w:spacing w:before="78"/>
              <w:ind w:left="9" w:right="6"/>
              <w:jc w:val="center"/>
              <w:rPr>
                <w:rFonts w:ascii="Verdana"/>
                <w:b/>
                <w:sz w:val="24"/>
              </w:rPr>
            </w:pPr>
            <w:r>
              <w:rPr>
                <w:rFonts w:ascii="Verdana"/>
                <w:b/>
                <w:color w:val="FFFFFF"/>
                <w:sz w:val="24"/>
              </w:rPr>
              <w:t>PART</w:t>
            </w:r>
            <w:r>
              <w:rPr>
                <w:rFonts w:ascii="Verdana"/>
                <w:b/>
                <w:color w:val="FFFFFF"/>
                <w:spacing w:val="-1"/>
                <w:sz w:val="24"/>
              </w:rPr>
              <w:t> </w:t>
            </w:r>
            <w:r>
              <w:rPr>
                <w:rFonts w:ascii="Verdana"/>
                <w:b/>
                <w:color w:val="FFFFFF"/>
                <w:sz w:val="24"/>
              </w:rPr>
              <w:t>1:</w:t>
            </w:r>
            <w:r>
              <w:rPr>
                <w:rFonts w:ascii="Verdana"/>
                <w:b/>
                <w:color w:val="FFFFFF"/>
                <w:spacing w:val="-5"/>
                <w:sz w:val="24"/>
              </w:rPr>
              <w:t> </w:t>
            </w:r>
            <w:r>
              <w:rPr>
                <w:rFonts w:ascii="Verdana"/>
                <w:b/>
                <w:color w:val="FFFFFF"/>
                <w:sz w:val="24"/>
              </w:rPr>
              <w:t>PRELIMINARY</w:t>
            </w:r>
            <w:r>
              <w:rPr>
                <w:rFonts w:ascii="Verdana"/>
                <w:b/>
                <w:color w:val="FFFFFF"/>
                <w:spacing w:val="-3"/>
                <w:sz w:val="24"/>
              </w:rPr>
              <w:t> </w:t>
            </w:r>
            <w:r>
              <w:rPr>
                <w:rFonts w:ascii="Verdana"/>
                <w:b/>
                <w:color w:val="FFFFFF"/>
                <w:spacing w:val="-2"/>
                <w:sz w:val="24"/>
              </w:rPr>
              <w:t>MATTERS</w:t>
            </w:r>
          </w:p>
        </w:tc>
      </w:tr>
      <w:tr>
        <w:trPr>
          <w:trHeight w:val="515" w:hRule="atLeast"/>
        </w:trPr>
        <w:tc>
          <w:tcPr>
            <w:tcW w:w="1276" w:type="dxa"/>
          </w:tcPr>
          <w:p>
            <w:pPr>
              <w:pStyle w:val="TableParagraph"/>
              <w:spacing w:before="78"/>
              <w:ind w:left="8"/>
              <w:jc w:val="center"/>
              <w:rPr>
                <w:rFonts w:ascii="Verdana"/>
                <w:b/>
                <w:sz w:val="24"/>
              </w:rPr>
            </w:pPr>
            <w:r>
              <w:rPr>
                <w:rFonts w:ascii="Verdana"/>
                <w:b/>
                <w:spacing w:val="-2"/>
                <w:sz w:val="24"/>
              </w:rPr>
              <w:t>RJC/21</w:t>
            </w:r>
          </w:p>
        </w:tc>
        <w:tc>
          <w:tcPr>
            <w:tcW w:w="8509" w:type="dxa"/>
          </w:tcPr>
          <w:p>
            <w:pPr>
              <w:pStyle w:val="TableParagraph"/>
              <w:spacing w:before="78"/>
              <w:ind w:left="109"/>
              <w:rPr>
                <w:rFonts w:ascii="Verdana"/>
                <w:b/>
                <w:sz w:val="24"/>
              </w:rPr>
            </w:pPr>
            <w:r>
              <w:rPr>
                <w:rFonts w:ascii="Verdana"/>
                <w:b/>
                <w:sz w:val="24"/>
              </w:rPr>
              <w:t>Welcome</w:t>
            </w:r>
            <w:r>
              <w:rPr>
                <w:rFonts w:ascii="Verdana"/>
                <w:b/>
                <w:spacing w:val="-7"/>
                <w:sz w:val="24"/>
              </w:rPr>
              <w:t> </w:t>
            </w:r>
            <w:r>
              <w:rPr>
                <w:rFonts w:ascii="Verdana"/>
                <w:b/>
                <w:sz w:val="24"/>
              </w:rPr>
              <w:t>and</w:t>
            </w:r>
            <w:r>
              <w:rPr>
                <w:rFonts w:ascii="Verdana"/>
                <w:b/>
                <w:spacing w:val="-5"/>
                <w:sz w:val="24"/>
              </w:rPr>
              <w:t> </w:t>
            </w:r>
            <w:r>
              <w:rPr>
                <w:rFonts w:ascii="Verdana"/>
                <w:b/>
                <w:spacing w:val="-2"/>
                <w:sz w:val="24"/>
              </w:rPr>
              <w:t>Apologies</w:t>
            </w:r>
          </w:p>
        </w:tc>
        <w:tc>
          <w:tcPr>
            <w:tcW w:w="711" w:type="dxa"/>
          </w:tcPr>
          <w:p>
            <w:pPr>
              <w:pStyle w:val="TableParagraph"/>
              <w:rPr>
                <w:rFonts w:ascii="Times New Roman"/>
                <w:sz w:val="22"/>
              </w:rPr>
            </w:pPr>
          </w:p>
        </w:tc>
      </w:tr>
      <w:tr>
        <w:trPr>
          <w:trHeight w:val="2200" w:hRule="atLeast"/>
        </w:trPr>
        <w:tc>
          <w:tcPr>
            <w:tcW w:w="1276" w:type="dxa"/>
          </w:tcPr>
          <w:p>
            <w:pPr>
              <w:pStyle w:val="TableParagraph"/>
              <w:rPr>
                <w:rFonts w:ascii="Times New Roman"/>
                <w:sz w:val="22"/>
              </w:rPr>
            </w:pPr>
          </w:p>
        </w:tc>
        <w:tc>
          <w:tcPr>
            <w:tcW w:w="8509" w:type="dxa"/>
          </w:tcPr>
          <w:p>
            <w:pPr>
              <w:pStyle w:val="TableParagraph"/>
              <w:spacing w:before="78"/>
              <w:ind w:left="109" w:right="194"/>
              <w:rPr>
                <w:rFonts w:ascii="Verdana"/>
                <w:sz w:val="24"/>
              </w:rPr>
            </w:pPr>
            <w:r>
              <w:rPr>
                <w:rFonts w:ascii="Verdana"/>
                <w:sz w:val="24"/>
              </w:rPr>
              <w:t>JW</w:t>
            </w:r>
            <w:r>
              <w:rPr>
                <w:rFonts w:ascii="Verdana"/>
                <w:spacing w:val="-3"/>
                <w:sz w:val="24"/>
              </w:rPr>
              <w:t> </w:t>
            </w:r>
            <w:r>
              <w:rPr>
                <w:rFonts w:ascii="Verdana"/>
                <w:sz w:val="24"/>
              </w:rPr>
              <w:t>and</w:t>
            </w:r>
            <w:r>
              <w:rPr>
                <w:rFonts w:ascii="Verdana"/>
                <w:spacing w:val="-5"/>
                <w:sz w:val="24"/>
              </w:rPr>
              <w:t> </w:t>
            </w:r>
            <w:r>
              <w:rPr>
                <w:rFonts w:ascii="Verdana"/>
                <w:sz w:val="24"/>
              </w:rPr>
              <w:t>NW</w:t>
            </w:r>
            <w:r>
              <w:rPr>
                <w:rFonts w:ascii="Verdana"/>
                <w:spacing w:val="-6"/>
                <w:sz w:val="24"/>
              </w:rPr>
              <w:t> </w:t>
            </w:r>
            <w:r>
              <w:rPr>
                <w:rFonts w:ascii="Verdana"/>
                <w:sz w:val="24"/>
              </w:rPr>
              <w:t>welcomed</w:t>
            </w:r>
            <w:r>
              <w:rPr>
                <w:rFonts w:ascii="Verdana"/>
                <w:spacing w:val="-8"/>
                <w:sz w:val="24"/>
              </w:rPr>
              <w:t> </w:t>
            </w:r>
            <w:r>
              <w:rPr>
                <w:rFonts w:ascii="Verdana"/>
                <w:sz w:val="24"/>
              </w:rPr>
              <w:t>members,</w:t>
            </w:r>
            <w:r>
              <w:rPr>
                <w:rFonts w:ascii="Verdana"/>
                <w:spacing w:val="-3"/>
                <w:sz w:val="24"/>
              </w:rPr>
              <w:t> </w:t>
            </w:r>
            <w:r>
              <w:rPr>
                <w:rFonts w:ascii="Verdana"/>
                <w:sz w:val="24"/>
              </w:rPr>
              <w:t>attendees</w:t>
            </w:r>
            <w:r>
              <w:rPr>
                <w:rFonts w:ascii="Verdana"/>
                <w:spacing w:val="-5"/>
                <w:sz w:val="24"/>
              </w:rPr>
              <w:t> </w:t>
            </w:r>
            <w:r>
              <w:rPr>
                <w:rFonts w:ascii="Verdana"/>
                <w:sz w:val="24"/>
              </w:rPr>
              <w:t>and</w:t>
            </w:r>
            <w:r>
              <w:rPr>
                <w:rFonts w:ascii="Verdana"/>
                <w:spacing w:val="-5"/>
                <w:sz w:val="24"/>
              </w:rPr>
              <w:t> </w:t>
            </w:r>
            <w:r>
              <w:rPr>
                <w:rFonts w:ascii="Verdana"/>
                <w:sz w:val="24"/>
              </w:rPr>
              <w:t>observers</w:t>
            </w:r>
            <w:r>
              <w:rPr>
                <w:rFonts w:ascii="Verdana"/>
                <w:spacing w:val="-5"/>
                <w:sz w:val="24"/>
              </w:rPr>
              <w:t> </w:t>
            </w:r>
            <w:r>
              <w:rPr>
                <w:rFonts w:ascii="Verdana"/>
                <w:sz w:val="24"/>
              </w:rPr>
              <w:t>to</w:t>
            </w:r>
            <w:r>
              <w:rPr>
                <w:rFonts w:ascii="Verdana"/>
                <w:spacing w:val="-5"/>
                <w:sz w:val="24"/>
              </w:rPr>
              <w:t> </w:t>
            </w:r>
            <w:r>
              <w:rPr>
                <w:rFonts w:ascii="Verdana"/>
                <w:sz w:val="24"/>
              </w:rPr>
              <w:t>the meeting.</w:t>
            </w:r>
            <w:r>
              <w:rPr>
                <w:rFonts w:ascii="Verdana"/>
                <w:spacing w:val="80"/>
                <w:sz w:val="24"/>
              </w:rPr>
              <w:t> </w:t>
            </w:r>
            <w:r>
              <w:rPr>
                <w:rFonts w:ascii="Verdana"/>
                <w:sz w:val="24"/>
              </w:rPr>
              <w:t>Apologies were received and noted as recorded.</w:t>
            </w:r>
          </w:p>
          <w:p>
            <w:pPr>
              <w:pStyle w:val="TableParagraph"/>
              <w:spacing w:before="16"/>
              <w:rPr>
                <w:b/>
                <w:sz w:val="24"/>
              </w:rPr>
            </w:pPr>
          </w:p>
          <w:p>
            <w:pPr>
              <w:pStyle w:val="TableParagraph"/>
              <w:spacing w:before="1"/>
              <w:ind w:left="109" w:right="194"/>
              <w:rPr>
                <w:rFonts w:ascii="Verdana" w:hAnsi="Verdana"/>
                <w:sz w:val="24"/>
              </w:rPr>
            </w:pPr>
            <w:r>
              <w:rPr>
                <w:rFonts w:ascii="Verdana" w:hAnsi="Verdana"/>
                <w:sz w:val="24"/>
              </w:rPr>
              <mc:AlternateContent>
                <mc:Choice Requires="wps">
                  <w:drawing>
                    <wp:anchor distT="0" distB="0" distL="0" distR="0" allowOverlap="1" layoutInCell="1" locked="0" behindDoc="1" simplePos="0" relativeHeight="477235200">
                      <wp:simplePos x="0" y="0"/>
                      <wp:positionH relativeFrom="column">
                        <wp:posOffset>-495727</wp:posOffset>
                      </wp:positionH>
                      <wp:positionV relativeFrom="paragraph">
                        <wp:posOffset>-219145</wp:posOffset>
                      </wp:positionV>
                      <wp:extent cx="5452745" cy="5744845"/>
                      <wp:effectExtent l="0" t="0" r="0" b="0"/>
                      <wp:wrapNone/>
                      <wp:docPr id="778" name="Group 778"/>
                      <wp:cNvGraphicFramePr>
                        <a:graphicFrameLocks/>
                      </wp:cNvGraphicFramePr>
                      <a:graphic>
                        <a:graphicData uri="http://schemas.microsoft.com/office/word/2010/wordprocessingGroup">
                          <wpg:wgp>
                            <wpg:cNvPr id="778" name="Group 778"/>
                            <wpg:cNvGrpSpPr/>
                            <wpg:grpSpPr>
                              <a:xfrm>
                                <a:off x="0" y="0"/>
                                <a:ext cx="5452745" cy="5744845"/>
                                <a:chExt cx="5452745" cy="5744845"/>
                              </a:xfrm>
                            </wpg:grpSpPr>
                            <wps:wsp>
                              <wps:cNvPr id="779" name="Graphic 779"/>
                              <wps:cNvSpPr/>
                              <wps:spPr>
                                <a:xfrm>
                                  <a:off x="-3"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39.033688pt;margin-top:-17.255564pt;width:429.35pt;height:452.35pt;mso-position-horizontal-relative:column;mso-position-vertical-relative:paragraph;z-index:-26081280" id="docshapegroup520" coordorigin="-781,-345" coordsize="8587,9047">
                      <v:shape style="position:absolute;left:-781;top:-346;width:8587;height:9047" id="docshape521" coordorigin="-781,-345" coordsize="8587,9047" path="m2725,7725l2719,7651,2708,7575,2691,7497,2668,7417,2646,7354,2621,7290,2593,7224,2561,7157,2526,7089,2487,7020,2444,6949,2398,6877,2348,6804,2337,6789,2337,7641,2330,7710,2314,7778,2288,7843,2253,7905,2208,7966,2154,8025,1947,8233,-313,5973,-108,5768,-44,5711,21,5664,89,5629,160,5605,232,5594,307,5592,384,5597,463,5609,545,5630,629,5660,700,5690,773,5725,847,5765,921,5810,997,5860,1074,5914,1133,5959,1191,6006,1250,6054,1309,6104,1368,6156,1426,6210,1485,6266,1544,6324,1609,6389,1670,6453,1729,6516,1785,6578,1838,6638,1889,6698,1936,6756,1981,6813,2023,6868,2074,6940,2120,7009,2161,7077,2198,7143,2230,7207,2259,7270,2283,7331,2310,7413,2328,7492,2337,7568,2337,7641,2337,6789,2309,6749,2267,6693,2224,6636,2178,6579,2131,6520,2081,6462,2030,6402,1976,6342,1920,6282,1862,6220,1803,6158,1741,6096,1676,6032,1611,5970,1546,5910,1482,5852,1418,5797,1355,5744,1292,5693,1229,5645,1167,5599,1158,5592,1106,5555,1030,5504,955,5456,880,5413,807,5373,734,5337,662,5305,592,5276,522,5250,444,5227,368,5209,294,5197,221,5190,150,5188,80,5191,13,5198,-64,5215,-139,5241,-211,5276,-282,5321,-350,5374,-417,5435,-761,5779,-772,5794,-779,5814,-781,5837,-778,5863,-767,5895,-747,5931,-718,5969,-679,6011,1911,8601,1953,8640,1991,8669,2026,8688,2057,8697,2085,8702,2108,8700,2128,8694,2143,8683,2465,8361,2526,8295,2574,8233,2579,8227,2623,8157,2660,8085,2688,8010,2708,7934,2719,7866,2725,7797,2725,7725xm4537,6266l4535,6255,4529,6244,4523,6235,4516,6226,4509,6217,4501,6208,4491,6199,4478,6188,4463,6175,4444,6162,4423,6146,4311,6071,3533,5566,3470,5525,3407,5486,3382,5471,3291,5416,3237,5386,3185,5358,3135,5333,3087,5311,3041,5292,2996,5276,2954,5263,2913,5252,2874,5245,2844,5241,2837,5241,2801,5240,2766,5241,2775,5185,2780,5128,2780,5069,2777,5010,2769,4951,2756,4889,2738,4827,2715,4763,2687,4699,2654,4634,2616,4567,2570,4499,2530,4445,2486,4390,2448,4345,2448,5000,2446,5049,2439,5097,2425,5144,2403,5190,2375,5233,2339,5274,2141,5471,1163,4492,1333,4322,1362,4294,1389,4269,1414,4249,1437,4232,1459,4218,1481,4206,1503,4196,1525,4188,1598,4175,1673,4176,1749,4192,1827,4223,1891,4258,1956,4300,2022,4350,2089,4408,2157,4472,2207,4525,2253,4578,2296,4631,2335,4685,2368,4740,2395,4793,2416,4846,2432,4898,2443,4950,2448,5000,2448,4345,2438,4333,2386,4276,2330,4218,2285,4175,2270,4160,2210,4105,2150,4054,2091,4008,2032,3965,1958,3918,1886,3877,1814,3843,1743,3814,1672,3792,1604,3777,1536,3769,1471,3767,1406,3773,1343,3786,1282,3806,1223,3831,1204,3844,1183,3857,1141,3886,1119,3905,1095,3926,1068,3950,1040,3978,718,4300,706,4316,700,4335,698,4358,701,4384,712,4417,732,4452,761,4491,800,4533,3488,7221,3497,7229,3506,7237,3515,7243,3524,7248,3537,7253,3548,7255,3561,7252,3572,7250,3584,7246,3596,7242,3608,7236,3620,7227,3633,7217,3646,7206,3661,7192,3675,7178,3687,7164,3697,7151,3706,7138,3711,7126,3716,7114,3719,7103,3720,7092,3723,7081,3722,7068,3717,7056,3712,7046,3705,7037,3698,7028,3690,7019,2453,5783,2588,5648,2624,5617,2662,5593,2703,5577,2745,5567,2791,5566,2838,5569,2888,5578,2941,5592,2995,5611,3052,5635,3111,5663,3172,5697,3235,5734,3301,5774,3368,5816,3438,5862,4278,6417,4293,6426,4306,6434,4319,6440,4330,6445,4341,6448,4352,6449,4363,6449,4376,6449,4388,6445,4399,6440,4411,6433,4423,6425,4436,6414,4450,6402,4465,6388,4481,6371,4495,6355,4507,6341,4516,6328,4524,6316,4530,6304,4534,6293,4536,6281,4537,6266xm5981,4838l5978,4825,5973,4812,5965,4798,5954,4784,5940,4769,5923,4754,5903,4738,5879,4721,5851,4701,5428,4410,4529,3799,4529,4156,4001,4684,2816,2974,2817,2973,4529,4156,4529,3799,3317,2973,2645,2513,2630,2504,2616,2495,2602,2488,2589,2483,2577,2480,2565,2479,2553,2480,2541,2482,2528,2485,2515,2491,2501,2498,2487,2508,2473,2520,2458,2534,2441,2550,2406,2585,2392,2600,2379,2614,2368,2628,2359,2641,2352,2654,2347,2666,2344,2679,2342,2691,2341,2703,2342,2714,2346,2726,2351,2739,2357,2752,2365,2765,2374,2779,2418,2844,4562,5986,4582,6013,4599,6037,4616,6057,4631,6074,4645,6088,4660,6099,4673,6107,4687,6113,4699,6115,4712,6115,4725,6111,4739,6105,4753,6095,4767,6083,4783,6070,4799,6054,4815,6038,4828,6023,4839,6008,4849,5995,4856,5984,4861,5973,4864,5961,4865,5948,4864,5938,4863,5928,4861,5918,4856,5907,4852,5897,4846,5887,4840,5876,4832,5864,4258,5042,4616,4684,4890,4410,5727,4987,5739,4994,5751,5000,5761,5006,5771,5010,5784,5016,5795,5017,5808,5014,5818,5013,5829,5009,5841,5003,5854,4994,5867,4984,5881,4972,5896,4957,5914,4939,5931,4921,5945,4905,5958,4890,5968,4876,5975,4864,5980,4851,5981,4838xm6417,4388l6417,4378,6414,4369,6410,4358,6405,4349,6400,4341,6393,4332,6385,4324,5175,3114,5707,2583,5707,2574,5706,2561,5704,2552,5701,2542,5697,2531,5690,2519,5683,2507,5674,2493,5662,2477,5649,2461,5634,2445,5600,2408,5580,2387,5557,2365,5535,2345,5499,2311,5483,2298,5468,2288,5455,2279,5443,2272,5432,2267,5422,2263,5412,2260,5403,2258,5393,2259,5386,2262,4855,2794,3867,1806,4429,1244,4432,1237,4431,1225,4429,1216,4426,1206,4421,1195,4407,1170,4398,1156,4387,1141,4373,1125,4358,1108,4322,1070,4302,1048,4280,1028,4260,1008,4223,974,4207,961,4191,949,4177,940,4163,931,4151,925,4140,920,4130,917,4121,915,4108,914,4102,916,3413,1605,3402,1621,3395,1640,3393,1663,3396,1689,3407,1722,3427,1757,3456,1795,3495,1837,6183,4526,6192,4534,6200,4540,6208,4546,6217,4550,6228,4555,6237,4558,6247,4558,6267,4555,6279,4551,6291,4546,6304,4540,6316,4532,6329,4522,6342,4510,6356,4497,6370,4482,6382,4468,6392,4455,6401,4443,6407,4431,6411,4419,6414,4408,6417,4388xm7806,2997l7804,2986,7799,2973,7794,2964,7788,2955,7780,2946,7772,2937,5254,419,5687,-14,5691,-22,5690,-34,5688,-43,5685,-53,5680,-64,5674,-77,5666,-88,5657,-102,5645,-117,5631,-133,5599,-168,5580,-188,5560,-209,5538,-230,5518,-249,5481,-283,5465,-297,5450,-309,5436,-319,5422,-328,5410,-334,5399,-339,5389,-342,5380,-344,5367,-345,5359,-341,4292,726,4288,734,4292,755,4295,765,4300,776,4306,788,4315,801,4325,816,4337,831,4367,866,4384,885,4403,905,4424,926,4445,947,4465,966,4484,982,4501,997,4517,1011,4532,1022,4546,1032,4570,1046,4580,1051,4590,1054,4611,1058,4619,1054,5052,621,7570,3139,7579,3147,7588,3155,7597,3161,7606,3166,7619,3171,7630,3173,7643,3170,7654,3168,7666,3164,7678,3159,7690,3154,7702,3145,7715,3135,7729,3123,7743,3110,7757,3095,7769,3081,7779,3068,7788,3056,7793,3044,7798,3032,7801,3021,7803,3010,7806,2997xe" filled="true" fillcolor="#c0c0c0" stroked="false">
                        <v:path arrowok="t"/>
                        <v:fill opacity="32896f" type="solid"/>
                      </v:shape>
                      <w10:wrap type="none"/>
                    </v:group>
                  </w:pict>
                </mc:Fallback>
              </mc:AlternateContent>
            </w:r>
            <w:r>
              <w:rPr>
                <w:rFonts w:ascii="Verdana" w:hAnsi="Verdana"/>
                <w:sz w:val="24"/>
              </w:rPr>
              <w:t>Members were reminded of the Committee’s decision-making principles and the expectation that updates are framed using the Triple</w:t>
            </w:r>
            <w:r>
              <w:rPr>
                <w:rFonts w:ascii="Verdana" w:hAnsi="Verdana"/>
                <w:spacing w:val="-3"/>
                <w:sz w:val="24"/>
              </w:rPr>
              <w:t> </w:t>
            </w:r>
            <w:r>
              <w:rPr>
                <w:rFonts w:ascii="Verdana" w:hAnsi="Verdana"/>
                <w:sz w:val="24"/>
              </w:rPr>
              <w:t>A</w:t>
            </w:r>
            <w:r>
              <w:rPr>
                <w:rFonts w:ascii="Verdana" w:hAnsi="Verdana"/>
                <w:spacing w:val="-8"/>
                <w:sz w:val="24"/>
              </w:rPr>
              <w:t> </w:t>
            </w:r>
            <w:r>
              <w:rPr>
                <w:rFonts w:ascii="Verdana" w:hAnsi="Verdana"/>
                <w:sz w:val="24"/>
              </w:rPr>
              <w:t>(Alert,</w:t>
            </w:r>
            <w:r>
              <w:rPr>
                <w:rFonts w:ascii="Verdana" w:hAnsi="Verdana"/>
                <w:spacing w:val="-6"/>
                <w:sz w:val="24"/>
              </w:rPr>
              <w:t> </w:t>
            </w:r>
            <w:r>
              <w:rPr>
                <w:rFonts w:ascii="Verdana" w:hAnsi="Verdana"/>
                <w:sz w:val="24"/>
              </w:rPr>
              <w:t>Advise,</w:t>
            </w:r>
            <w:r>
              <w:rPr>
                <w:rFonts w:ascii="Verdana" w:hAnsi="Verdana"/>
                <w:spacing w:val="-2"/>
                <w:sz w:val="24"/>
              </w:rPr>
              <w:t> </w:t>
            </w:r>
            <w:r>
              <w:rPr>
                <w:rFonts w:ascii="Verdana" w:hAnsi="Verdana"/>
                <w:sz w:val="24"/>
              </w:rPr>
              <w:t>Assure)</w:t>
            </w:r>
            <w:r>
              <w:rPr>
                <w:rFonts w:ascii="Verdana" w:hAnsi="Verdana"/>
                <w:spacing w:val="-8"/>
                <w:sz w:val="24"/>
              </w:rPr>
              <w:t> </w:t>
            </w:r>
            <w:r>
              <w:rPr>
                <w:rFonts w:ascii="Verdana" w:hAnsi="Verdana"/>
                <w:sz w:val="24"/>
              </w:rPr>
              <w:t>methodology,</w:t>
            </w:r>
            <w:r>
              <w:rPr>
                <w:rFonts w:ascii="Verdana" w:hAnsi="Verdana"/>
                <w:spacing w:val="-2"/>
                <w:sz w:val="24"/>
              </w:rPr>
              <w:t> </w:t>
            </w:r>
            <w:r>
              <w:rPr>
                <w:rFonts w:ascii="Verdana" w:hAnsi="Verdana"/>
                <w:sz w:val="24"/>
              </w:rPr>
              <w:t>with</w:t>
            </w:r>
            <w:r>
              <w:rPr>
                <w:rFonts w:ascii="Verdana" w:hAnsi="Verdana"/>
                <w:spacing w:val="-6"/>
                <w:sz w:val="24"/>
              </w:rPr>
              <w:t> </w:t>
            </w:r>
            <w:r>
              <w:rPr>
                <w:rFonts w:ascii="Verdana" w:hAnsi="Verdana"/>
                <w:sz w:val="24"/>
              </w:rPr>
              <w:t>clear</w:t>
            </w:r>
            <w:r>
              <w:rPr>
                <w:rFonts w:ascii="Verdana" w:hAnsi="Verdana"/>
                <w:spacing w:val="-2"/>
                <w:sz w:val="24"/>
              </w:rPr>
              <w:t> </w:t>
            </w:r>
            <w:r>
              <w:rPr>
                <w:rFonts w:ascii="Verdana" w:hAnsi="Verdana"/>
                <w:sz w:val="24"/>
              </w:rPr>
              <w:t>mitigations where required.</w:t>
            </w:r>
          </w:p>
        </w:tc>
        <w:tc>
          <w:tcPr>
            <w:tcW w:w="711" w:type="dxa"/>
          </w:tcPr>
          <w:p>
            <w:pPr>
              <w:pStyle w:val="TableParagraph"/>
              <w:rPr>
                <w:rFonts w:ascii="Times New Roman"/>
                <w:sz w:val="22"/>
              </w:rPr>
            </w:pPr>
          </w:p>
        </w:tc>
      </w:tr>
      <w:tr>
        <w:trPr>
          <w:trHeight w:val="515" w:hRule="atLeast"/>
        </w:trPr>
        <w:tc>
          <w:tcPr>
            <w:tcW w:w="10496" w:type="dxa"/>
            <w:gridSpan w:val="3"/>
            <w:shd w:val="clear" w:color="auto" w:fill="001F5F"/>
          </w:tcPr>
          <w:p>
            <w:pPr>
              <w:pStyle w:val="TableParagraph"/>
              <w:spacing w:before="79"/>
              <w:ind w:left="9"/>
              <w:jc w:val="center"/>
              <w:rPr>
                <w:rFonts w:ascii="Verdana"/>
                <w:b/>
                <w:sz w:val="24"/>
              </w:rPr>
            </w:pPr>
            <w:r>
              <w:rPr>
                <w:rFonts w:ascii="Verdana"/>
                <w:b/>
                <w:color w:val="FFFFFF"/>
                <w:sz w:val="24"/>
              </w:rPr>
              <w:t>PART</w:t>
            </w:r>
            <w:r>
              <w:rPr>
                <w:rFonts w:ascii="Verdana"/>
                <w:b/>
                <w:color w:val="FFFFFF"/>
                <w:spacing w:val="-3"/>
                <w:sz w:val="24"/>
              </w:rPr>
              <w:t> </w:t>
            </w:r>
            <w:r>
              <w:rPr>
                <w:rFonts w:ascii="Verdana"/>
                <w:b/>
                <w:color w:val="FFFFFF"/>
                <w:sz w:val="24"/>
              </w:rPr>
              <w:t>2:</w:t>
            </w:r>
            <w:r>
              <w:rPr>
                <w:rFonts w:ascii="Verdana"/>
                <w:b/>
                <w:color w:val="FFFFFF"/>
                <w:spacing w:val="-4"/>
                <w:sz w:val="24"/>
              </w:rPr>
              <w:t> </w:t>
            </w:r>
            <w:r>
              <w:rPr>
                <w:rFonts w:ascii="Verdana"/>
                <w:b/>
                <w:color w:val="FFFFFF"/>
                <w:sz w:val="24"/>
              </w:rPr>
              <w:t>TO</w:t>
            </w:r>
            <w:r>
              <w:rPr>
                <w:rFonts w:ascii="Verdana"/>
                <w:b/>
                <w:color w:val="FFFFFF"/>
                <w:spacing w:val="-1"/>
                <w:sz w:val="24"/>
              </w:rPr>
              <w:t> </w:t>
            </w:r>
            <w:r>
              <w:rPr>
                <w:rFonts w:ascii="Verdana"/>
                <w:b/>
                <w:color w:val="FFFFFF"/>
                <w:sz w:val="24"/>
              </w:rPr>
              <w:t>RECEIVE</w:t>
            </w:r>
            <w:r>
              <w:rPr>
                <w:rFonts w:ascii="Verdana"/>
                <w:b/>
                <w:color w:val="FFFFFF"/>
                <w:spacing w:val="-1"/>
                <w:sz w:val="24"/>
              </w:rPr>
              <w:t> </w:t>
            </w:r>
            <w:r>
              <w:rPr>
                <w:rFonts w:ascii="Verdana"/>
                <w:b/>
                <w:color w:val="FFFFFF"/>
                <w:sz w:val="24"/>
              </w:rPr>
              <w:t>SUB-GROUP</w:t>
            </w:r>
            <w:r>
              <w:rPr>
                <w:rFonts w:ascii="Verdana"/>
                <w:b/>
                <w:color w:val="FFFFFF"/>
                <w:spacing w:val="-2"/>
                <w:sz w:val="24"/>
              </w:rPr>
              <w:t> </w:t>
            </w:r>
            <w:r>
              <w:rPr>
                <w:rFonts w:ascii="Verdana"/>
                <w:b/>
                <w:color w:val="FFFFFF"/>
                <w:sz w:val="24"/>
              </w:rPr>
              <w:t>ASSURANCE</w:t>
            </w:r>
            <w:r>
              <w:rPr>
                <w:rFonts w:ascii="Verdana"/>
                <w:b/>
                <w:color w:val="FFFFFF"/>
                <w:spacing w:val="-1"/>
                <w:sz w:val="24"/>
              </w:rPr>
              <w:t> </w:t>
            </w:r>
            <w:r>
              <w:rPr>
                <w:rFonts w:ascii="Verdana"/>
                <w:b/>
                <w:color w:val="FFFFFF"/>
                <w:spacing w:val="-2"/>
                <w:sz w:val="24"/>
              </w:rPr>
              <w:t>REPORTS</w:t>
            </w:r>
          </w:p>
        </w:tc>
      </w:tr>
      <w:tr>
        <w:trPr>
          <w:trHeight w:val="8037" w:hRule="atLeast"/>
        </w:trPr>
        <w:tc>
          <w:tcPr>
            <w:tcW w:w="1276" w:type="dxa"/>
          </w:tcPr>
          <w:p>
            <w:pPr>
              <w:pStyle w:val="TableParagraph"/>
              <w:spacing w:before="78"/>
              <w:ind w:left="8"/>
              <w:jc w:val="center"/>
              <w:rPr>
                <w:rFonts w:ascii="Verdana"/>
                <w:b/>
                <w:sz w:val="24"/>
              </w:rPr>
            </w:pPr>
            <w:r>
              <w:rPr>
                <w:rFonts w:ascii="Verdana"/>
                <w:b/>
                <w:spacing w:val="-2"/>
                <w:sz w:val="24"/>
              </w:rPr>
              <w:t>RJC/22</w:t>
            </w:r>
          </w:p>
        </w:tc>
        <w:tc>
          <w:tcPr>
            <w:tcW w:w="8509" w:type="dxa"/>
          </w:tcPr>
          <w:p>
            <w:pPr>
              <w:pStyle w:val="TableParagraph"/>
              <w:spacing w:line="291" w:lineRule="exact" w:before="78"/>
              <w:ind w:left="109"/>
              <w:rPr>
                <w:rFonts w:ascii="Verdana"/>
                <w:b/>
                <w:sz w:val="24"/>
              </w:rPr>
            </w:pPr>
            <w:r>
              <w:rPr>
                <w:rFonts w:ascii="Verdana"/>
                <w:b/>
                <w:sz w:val="24"/>
                <w:u w:val="single"/>
              </w:rPr>
              <w:t>Regional</w:t>
            </w:r>
            <w:r>
              <w:rPr>
                <w:rFonts w:ascii="Verdana"/>
                <w:b/>
                <w:spacing w:val="-11"/>
                <w:sz w:val="24"/>
                <w:u w:val="single"/>
              </w:rPr>
              <w:t> </w:t>
            </w:r>
            <w:r>
              <w:rPr>
                <w:rFonts w:ascii="Verdana"/>
                <w:b/>
                <w:sz w:val="24"/>
                <w:u w:val="single"/>
              </w:rPr>
              <w:t>Clinical</w:t>
            </w:r>
            <w:r>
              <w:rPr>
                <w:rFonts w:ascii="Verdana"/>
                <w:b/>
                <w:spacing w:val="-6"/>
                <w:sz w:val="24"/>
                <w:u w:val="single"/>
              </w:rPr>
              <w:t> </w:t>
            </w:r>
            <w:r>
              <w:rPr>
                <w:rFonts w:ascii="Verdana"/>
                <w:b/>
                <w:sz w:val="24"/>
                <w:u w:val="single"/>
              </w:rPr>
              <w:t>Services</w:t>
            </w:r>
            <w:r>
              <w:rPr>
                <w:rFonts w:ascii="Verdana"/>
                <w:b/>
                <w:spacing w:val="-6"/>
                <w:sz w:val="24"/>
                <w:u w:val="single"/>
              </w:rPr>
              <w:t> </w:t>
            </w:r>
            <w:r>
              <w:rPr>
                <w:rFonts w:ascii="Verdana"/>
                <w:b/>
                <w:sz w:val="24"/>
                <w:u w:val="single"/>
              </w:rPr>
              <w:t>Planning</w:t>
            </w:r>
            <w:r>
              <w:rPr>
                <w:rFonts w:ascii="Verdana"/>
                <w:b/>
                <w:spacing w:val="-6"/>
                <w:sz w:val="24"/>
                <w:u w:val="single"/>
              </w:rPr>
              <w:t> </w:t>
            </w:r>
            <w:r>
              <w:rPr>
                <w:rFonts w:ascii="Verdana"/>
                <w:b/>
                <w:spacing w:val="-2"/>
                <w:sz w:val="24"/>
                <w:u w:val="single"/>
              </w:rPr>
              <w:t>Subgroup</w:t>
            </w:r>
          </w:p>
          <w:p>
            <w:pPr>
              <w:pStyle w:val="TableParagraph"/>
              <w:tabs>
                <w:tab w:pos="830" w:val="left" w:leader="none"/>
              </w:tabs>
              <w:spacing w:line="291" w:lineRule="exact"/>
              <w:ind w:left="469"/>
              <w:rPr>
                <w:rFonts w:ascii="Verdana"/>
                <w:b/>
                <w:sz w:val="24"/>
              </w:rPr>
            </w:pPr>
            <w:r>
              <w:rPr>
                <w:rFonts w:ascii="Verdana"/>
                <w:spacing w:val="-10"/>
                <w:sz w:val="24"/>
              </w:rPr>
              <w:t>-</w:t>
            </w:r>
            <w:r>
              <w:rPr>
                <w:rFonts w:ascii="Verdana"/>
                <w:sz w:val="24"/>
              </w:rPr>
              <w:tab/>
            </w:r>
            <w:r>
              <w:rPr>
                <w:rFonts w:ascii="Verdana"/>
                <w:b/>
                <w:sz w:val="24"/>
                <w:u w:val="single"/>
              </w:rPr>
              <w:t>Pathology</w:t>
            </w:r>
            <w:r>
              <w:rPr>
                <w:rFonts w:ascii="Verdana"/>
                <w:b/>
                <w:spacing w:val="-6"/>
                <w:sz w:val="24"/>
                <w:u w:val="single"/>
              </w:rPr>
              <w:t> </w:t>
            </w:r>
            <w:r>
              <w:rPr>
                <w:rFonts w:ascii="Verdana"/>
                <w:b/>
                <w:sz w:val="24"/>
                <w:u w:val="single"/>
              </w:rPr>
              <w:t>Programme</w:t>
            </w:r>
            <w:r>
              <w:rPr>
                <w:rFonts w:ascii="Verdana"/>
                <w:b/>
                <w:spacing w:val="-4"/>
                <w:sz w:val="24"/>
                <w:u w:val="single"/>
              </w:rPr>
              <w:t> </w:t>
            </w:r>
            <w:r>
              <w:rPr>
                <w:rFonts w:ascii="Verdana"/>
                <w:b/>
                <w:spacing w:val="-2"/>
                <w:sz w:val="24"/>
                <w:u w:val="single"/>
              </w:rPr>
              <w:t>Update</w:t>
            </w:r>
          </w:p>
          <w:p>
            <w:pPr>
              <w:pStyle w:val="TableParagraph"/>
              <w:spacing w:before="18"/>
              <w:rPr>
                <w:b/>
                <w:sz w:val="24"/>
              </w:rPr>
            </w:pPr>
          </w:p>
          <w:p>
            <w:pPr>
              <w:pStyle w:val="TableParagraph"/>
              <w:ind w:left="109" w:right="194"/>
              <w:rPr>
                <w:rFonts w:ascii="Verdana"/>
                <w:sz w:val="24"/>
              </w:rPr>
            </w:pPr>
            <w:r>
              <w:rPr>
                <w:rFonts w:ascii="Verdana"/>
                <w:sz w:val="24"/>
              </w:rPr>
              <w:t>An update was provided on progress across the Regional Clinical Service</w:t>
            </w:r>
            <w:r>
              <w:rPr>
                <w:rFonts w:ascii="Verdana"/>
                <w:spacing w:val="-6"/>
                <w:sz w:val="24"/>
              </w:rPr>
              <w:t> </w:t>
            </w:r>
            <w:r>
              <w:rPr>
                <w:rFonts w:ascii="Verdana"/>
                <w:sz w:val="24"/>
              </w:rPr>
              <w:t>Planning</w:t>
            </w:r>
            <w:r>
              <w:rPr>
                <w:rFonts w:ascii="Verdana"/>
                <w:spacing w:val="-7"/>
                <w:sz w:val="24"/>
              </w:rPr>
              <w:t> </w:t>
            </w:r>
            <w:r>
              <w:rPr>
                <w:rFonts w:ascii="Verdana"/>
                <w:sz w:val="24"/>
              </w:rPr>
              <w:t>programmes,</w:t>
            </w:r>
            <w:r>
              <w:rPr>
                <w:rFonts w:ascii="Verdana"/>
                <w:spacing w:val="-5"/>
                <w:sz w:val="24"/>
              </w:rPr>
              <w:t> </w:t>
            </w:r>
            <w:r>
              <w:rPr>
                <w:rFonts w:ascii="Verdana"/>
                <w:sz w:val="24"/>
              </w:rPr>
              <w:t>with</w:t>
            </w:r>
            <w:r>
              <w:rPr>
                <w:rFonts w:ascii="Verdana"/>
                <w:spacing w:val="-9"/>
                <w:sz w:val="24"/>
              </w:rPr>
              <w:t> </w:t>
            </w:r>
            <w:r>
              <w:rPr>
                <w:rFonts w:ascii="Verdana"/>
                <w:sz w:val="24"/>
              </w:rPr>
              <w:t>particular</w:t>
            </w:r>
            <w:r>
              <w:rPr>
                <w:rFonts w:ascii="Verdana"/>
                <w:spacing w:val="-4"/>
                <w:sz w:val="24"/>
              </w:rPr>
              <w:t> </w:t>
            </w:r>
            <w:r>
              <w:rPr>
                <w:rFonts w:ascii="Verdana"/>
                <w:sz w:val="24"/>
              </w:rPr>
              <w:t>focus</w:t>
            </w:r>
            <w:r>
              <w:rPr>
                <w:rFonts w:ascii="Verdana"/>
                <w:spacing w:val="-7"/>
                <w:sz w:val="24"/>
              </w:rPr>
              <w:t> </w:t>
            </w:r>
            <w:r>
              <w:rPr>
                <w:rFonts w:ascii="Verdana"/>
                <w:sz w:val="24"/>
              </w:rPr>
              <w:t>on</w:t>
            </w:r>
            <w:r>
              <w:rPr>
                <w:rFonts w:ascii="Verdana"/>
                <w:spacing w:val="-10"/>
                <w:sz w:val="24"/>
              </w:rPr>
              <w:t> </w:t>
            </w:r>
            <w:r>
              <w:rPr>
                <w:rFonts w:ascii="Verdana"/>
                <w:sz w:val="24"/>
              </w:rPr>
              <w:t>pathology, vascular services, orthopaedics and stroke.</w:t>
            </w:r>
          </w:p>
          <w:p>
            <w:pPr>
              <w:pStyle w:val="TableParagraph"/>
              <w:spacing w:before="14"/>
              <w:rPr>
                <w:b/>
                <w:sz w:val="24"/>
              </w:rPr>
            </w:pPr>
          </w:p>
          <w:p>
            <w:pPr>
              <w:pStyle w:val="TableParagraph"/>
              <w:spacing w:line="291" w:lineRule="exact"/>
              <w:ind w:left="109"/>
              <w:rPr>
                <w:rFonts w:ascii="Verdana"/>
                <w:sz w:val="24"/>
              </w:rPr>
            </w:pPr>
            <w:r>
              <w:rPr>
                <w:rFonts w:ascii="Verdana"/>
                <w:sz w:val="24"/>
              </w:rPr>
              <w:t>Key</w:t>
            </w:r>
            <w:r>
              <w:rPr>
                <w:rFonts w:ascii="Verdana"/>
                <w:spacing w:val="-5"/>
                <w:sz w:val="24"/>
              </w:rPr>
              <w:t> </w:t>
            </w:r>
            <w:r>
              <w:rPr>
                <w:rFonts w:ascii="Verdana"/>
                <w:sz w:val="24"/>
              </w:rPr>
              <w:t>points</w:t>
            </w:r>
            <w:r>
              <w:rPr>
                <w:rFonts w:ascii="Verdana"/>
                <w:spacing w:val="-3"/>
                <w:sz w:val="24"/>
              </w:rPr>
              <w:t> </w:t>
            </w:r>
            <w:r>
              <w:rPr>
                <w:rFonts w:ascii="Verdana"/>
                <w:spacing w:val="-2"/>
                <w:sz w:val="24"/>
              </w:rPr>
              <w:t>included:</w:t>
            </w:r>
          </w:p>
          <w:p>
            <w:pPr>
              <w:pStyle w:val="TableParagraph"/>
              <w:numPr>
                <w:ilvl w:val="0"/>
                <w:numId w:val="104"/>
              </w:numPr>
              <w:tabs>
                <w:tab w:pos="830" w:val="left" w:leader="none"/>
              </w:tabs>
              <w:spacing w:line="240" w:lineRule="auto" w:before="0" w:after="0"/>
              <w:ind w:left="830" w:right="328" w:hanging="361"/>
              <w:jc w:val="left"/>
              <w:rPr>
                <w:rFonts w:ascii="Verdana" w:hAnsi="Verdana"/>
                <w:sz w:val="24"/>
              </w:rPr>
            </w:pPr>
            <w:r>
              <w:rPr>
                <w:rFonts w:ascii="Verdana" w:hAnsi="Verdana"/>
                <w:sz w:val="24"/>
              </w:rPr>
              <w:t>Continued</w:t>
            </w:r>
            <w:r>
              <w:rPr>
                <w:rFonts w:ascii="Verdana" w:hAnsi="Verdana"/>
                <w:spacing w:val="-5"/>
                <w:sz w:val="24"/>
              </w:rPr>
              <w:t> </w:t>
            </w:r>
            <w:r>
              <w:rPr>
                <w:rFonts w:ascii="Verdana" w:hAnsi="Verdana"/>
                <w:sz w:val="24"/>
              </w:rPr>
              <w:t>progress</w:t>
            </w:r>
            <w:r>
              <w:rPr>
                <w:rFonts w:ascii="Verdana" w:hAnsi="Verdana"/>
                <w:spacing w:val="-8"/>
                <w:sz w:val="24"/>
              </w:rPr>
              <w:t> </w:t>
            </w:r>
            <w:r>
              <w:rPr>
                <w:rFonts w:ascii="Verdana" w:hAnsi="Verdana"/>
                <w:sz w:val="24"/>
              </w:rPr>
              <w:t>made</w:t>
            </w:r>
            <w:r>
              <w:rPr>
                <w:rFonts w:ascii="Verdana" w:hAnsi="Verdana"/>
                <w:spacing w:val="-2"/>
                <w:sz w:val="24"/>
              </w:rPr>
              <w:t> </w:t>
            </w:r>
            <w:r>
              <w:rPr>
                <w:rFonts w:ascii="Verdana" w:hAnsi="Verdana"/>
                <w:sz w:val="24"/>
              </w:rPr>
              <w:t>on</w:t>
            </w:r>
            <w:r>
              <w:rPr>
                <w:rFonts w:ascii="Verdana" w:hAnsi="Verdana"/>
                <w:spacing w:val="-8"/>
                <w:sz w:val="24"/>
              </w:rPr>
              <w:t> </w:t>
            </w:r>
            <w:r>
              <w:rPr>
                <w:rFonts w:ascii="Verdana" w:hAnsi="Verdana"/>
                <w:sz w:val="24"/>
              </w:rPr>
              <w:t>the</w:t>
            </w:r>
            <w:r>
              <w:rPr>
                <w:rFonts w:ascii="Verdana" w:hAnsi="Verdana"/>
                <w:spacing w:val="-4"/>
                <w:sz w:val="24"/>
              </w:rPr>
              <w:t> </w:t>
            </w:r>
            <w:r>
              <w:rPr>
                <w:rFonts w:ascii="Verdana" w:hAnsi="Verdana"/>
                <w:sz w:val="24"/>
              </w:rPr>
              <w:t>Regional</w:t>
            </w:r>
            <w:r>
              <w:rPr>
                <w:rFonts w:ascii="Verdana" w:hAnsi="Verdana"/>
                <w:spacing w:val="-10"/>
                <w:sz w:val="24"/>
              </w:rPr>
              <w:t> </w:t>
            </w:r>
            <w:r>
              <w:rPr>
                <w:rFonts w:ascii="Verdana" w:hAnsi="Verdana"/>
                <w:sz w:val="24"/>
              </w:rPr>
              <w:t>Cellular</w:t>
            </w:r>
            <w:r>
              <w:rPr>
                <w:rFonts w:ascii="Verdana" w:hAnsi="Verdana"/>
                <w:spacing w:val="-2"/>
                <w:sz w:val="24"/>
              </w:rPr>
              <w:t> </w:t>
            </w:r>
            <w:r>
              <w:rPr>
                <w:rFonts w:ascii="Verdana" w:hAnsi="Verdana"/>
                <w:sz w:val="24"/>
              </w:rPr>
              <w:t>Pathology Programme, with risks being actively managed and ongoing engagement with Welsh Government.</w:t>
            </w:r>
          </w:p>
          <w:p>
            <w:pPr>
              <w:pStyle w:val="TableParagraph"/>
              <w:numPr>
                <w:ilvl w:val="0"/>
                <w:numId w:val="104"/>
              </w:numPr>
              <w:tabs>
                <w:tab w:pos="830" w:val="left" w:leader="none"/>
              </w:tabs>
              <w:spacing w:line="240" w:lineRule="auto" w:before="0" w:after="0"/>
              <w:ind w:left="830" w:right="717" w:hanging="361"/>
              <w:jc w:val="left"/>
              <w:rPr>
                <w:rFonts w:ascii="Verdana" w:hAnsi="Verdana"/>
                <w:sz w:val="24"/>
              </w:rPr>
            </w:pPr>
            <w:r>
              <w:rPr>
                <w:rFonts w:ascii="Verdana" w:hAnsi="Verdana"/>
                <w:sz w:val="24"/>
              </w:rPr>
              <w:t>Vascular service alignment remains subject to national considerations,</w:t>
            </w:r>
            <w:r>
              <w:rPr>
                <w:rFonts w:ascii="Verdana" w:hAnsi="Verdana"/>
                <w:spacing w:val="-4"/>
                <w:sz w:val="24"/>
              </w:rPr>
              <w:t> </w:t>
            </w:r>
            <w:r>
              <w:rPr>
                <w:rFonts w:ascii="Verdana" w:hAnsi="Verdana"/>
                <w:sz w:val="24"/>
              </w:rPr>
              <w:t>with</w:t>
            </w:r>
            <w:r>
              <w:rPr>
                <w:rFonts w:ascii="Verdana" w:hAnsi="Verdana"/>
                <w:spacing w:val="-8"/>
                <w:sz w:val="24"/>
              </w:rPr>
              <w:t> </w:t>
            </w:r>
            <w:r>
              <w:rPr>
                <w:rFonts w:ascii="Verdana" w:hAnsi="Verdana"/>
                <w:sz w:val="24"/>
              </w:rPr>
              <w:t>monitoring</w:t>
            </w:r>
            <w:r>
              <w:rPr>
                <w:rFonts w:ascii="Verdana" w:hAnsi="Verdana"/>
                <w:spacing w:val="-6"/>
                <w:sz w:val="24"/>
              </w:rPr>
              <w:t> </w:t>
            </w:r>
            <w:r>
              <w:rPr>
                <w:rFonts w:ascii="Verdana" w:hAnsi="Verdana"/>
                <w:sz w:val="24"/>
              </w:rPr>
              <w:t>of</w:t>
            </w:r>
            <w:r>
              <w:rPr>
                <w:rFonts w:ascii="Verdana" w:hAnsi="Verdana"/>
                <w:spacing w:val="-6"/>
                <w:sz w:val="24"/>
              </w:rPr>
              <w:t> </w:t>
            </w:r>
            <w:r>
              <w:rPr>
                <w:rFonts w:ascii="Verdana" w:hAnsi="Verdana"/>
                <w:sz w:val="24"/>
              </w:rPr>
              <w:t>dependencies</w:t>
            </w:r>
            <w:r>
              <w:rPr>
                <w:rFonts w:ascii="Verdana" w:hAnsi="Verdana"/>
                <w:spacing w:val="-5"/>
                <w:sz w:val="24"/>
              </w:rPr>
              <w:t> </w:t>
            </w:r>
            <w:r>
              <w:rPr>
                <w:rFonts w:ascii="Verdana" w:hAnsi="Verdana"/>
                <w:sz w:val="24"/>
              </w:rPr>
              <w:t>in</w:t>
            </w:r>
            <w:r>
              <w:rPr>
                <w:rFonts w:ascii="Verdana" w:hAnsi="Verdana"/>
                <w:spacing w:val="-9"/>
                <w:sz w:val="24"/>
              </w:rPr>
              <w:t> </w:t>
            </w:r>
            <w:r>
              <w:rPr>
                <w:rFonts w:ascii="Verdana" w:hAnsi="Verdana"/>
                <w:sz w:val="24"/>
              </w:rPr>
              <w:t>place.</w:t>
            </w:r>
          </w:p>
          <w:p>
            <w:pPr>
              <w:pStyle w:val="TableParagraph"/>
              <w:numPr>
                <w:ilvl w:val="0"/>
                <w:numId w:val="104"/>
              </w:numPr>
              <w:tabs>
                <w:tab w:pos="830" w:val="left" w:leader="none"/>
              </w:tabs>
              <w:spacing w:line="240" w:lineRule="auto" w:before="0" w:after="0"/>
              <w:ind w:left="830" w:right="1041" w:hanging="361"/>
              <w:jc w:val="left"/>
              <w:rPr>
                <w:rFonts w:ascii="Verdana" w:hAnsi="Verdana"/>
                <w:sz w:val="24"/>
              </w:rPr>
            </w:pPr>
            <w:r>
              <w:rPr>
                <w:rFonts w:ascii="Verdana" w:hAnsi="Verdana"/>
                <w:sz w:val="24"/>
              </w:rPr>
              <w:t>Orthopaedic work is progressing on a regional basis, particularly</w:t>
            </w:r>
            <w:r>
              <w:rPr>
                <w:rFonts w:ascii="Verdana" w:hAnsi="Verdana"/>
                <w:spacing w:val="-9"/>
                <w:sz w:val="24"/>
              </w:rPr>
              <w:t> </w:t>
            </w:r>
            <w:r>
              <w:rPr>
                <w:rFonts w:ascii="Verdana" w:hAnsi="Verdana"/>
                <w:sz w:val="24"/>
              </w:rPr>
              <w:t>around</w:t>
            </w:r>
            <w:r>
              <w:rPr>
                <w:rFonts w:ascii="Verdana" w:hAnsi="Verdana"/>
                <w:spacing w:val="-6"/>
                <w:sz w:val="24"/>
              </w:rPr>
              <w:t> </w:t>
            </w:r>
            <w:r>
              <w:rPr>
                <w:rFonts w:ascii="Verdana" w:hAnsi="Verdana"/>
                <w:sz w:val="24"/>
              </w:rPr>
              <w:t>workforce</w:t>
            </w:r>
            <w:r>
              <w:rPr>
                <w:rFonts w:ascii="Verdana" w:hAnsi="Verdana"/>
                <w:spacing w:val="-5"/>
                <w:sz w:val="24"/>
              </w:rPr>
              <w:t> </w:t>
            </w:r>
            <w:r>
              <w:rPr>
                <w:rFonts w:ascii="Verdana" w:hAnsi="Verdana"/>
                <w:sz w:val="24"/>
              </w:rPr>
              <w:t>and</w:t>
            </w:r>
            <w:r>
              <w:rPr>
                <w:rFonts w:ascii="Verdana" w:hAnsi="Verdana"/>
                <w:spacing w:val="-6"/>
                <w:sz w:val="24"/>
              </w:rPr>
              <w:t> </w:t>
            </w:r>
            <w:r>
              <w:rPr>
                <w:rFonts w:ascii="Verdana" w:hAnsi="Verdana"/>
                <w:sz w:val="24"/>
              </w:rPr>
              <w:t>Patient</w:t>
            </w:r>
            <w:r>
              <w:rPr>
                <w:rFonts w:ascii="Verdana" w:hAnsi="Verdana"/>
                <w:spacing w:val="-9"/>
                <w:sz w:val="24"/>
              </w:rPr>
              <w:t> </w:t>
            </w:r>
            <w:r>
              <w:rPr>
                <w:rFonts w:ascii="Verdana" w:hAnsi="Verdana"/>
                <w:sz w:val="24"/>
              </w:rPr>
              <w:t>Tracking</w:t>
            </w:r>
            <w:r>
              <w:rPr>
                <w:rFonts w:ascii="Verdana" w:hAnsi="Verdana"/>
                <w:spacing w:val="-6"/>
                <w:sz w:val="24"/>
              </w:rPr>
              <w:t> </w:t>
            </w:r>
            <w:r>
              <w:rPr>
                <w:rFonts w:ascii="Verdana" w:hAnsi="Verdana"/>
                <w:sz w:val="24"/>
              </w:rPr>
              <w:t>List </w:t>
            </w:r>
            <w:r>
              <w:rPr>
                <w:rFonts w:ascii="Verdana" w:hAnsi="Verdana"/>
                <w:spacing w:val="-2"/>
                <w:sz w:val="24"/>
              </w:rPr>
              <w:t>management.</w:t>
            </w:r>
          </w:p>
          <w:p>
            <w:pPr>
              <w:pStyle w:val="TableParagraph"/>
              <w:numPr>
                <w:ilvl w:val="0"/>
                <w:numId w:val="104"/>
              </w:numPr>
              <w:tabs>
                <w:tab w:pos="830" w:val="left" w:leader="none"/>
              </w:tabs>
              <w:spacing w:line="240" w:lineRule="auto" w:before="0" w:after="0"/>
              <w:ind w:left="830" w:right="233" w:hanging="361"/>
              <w:jc w:val="left"/>
              <w:rPr>
                <w:rFonts w:ascii="Verdana" w:hAnsi="Verdana"/>
                <w:sz w:val="24"/>
              </w:rPr>
            </w:pPr>
            <w:r>
              <w:rPr>
                <w:rFonts w:ascii="Verdana" w:hAnsi="Verdana"/>
                <w:sz w:val="24"/>
              </w:rPr>
              <w:t>Stroke services are entering a critical phase, with emerging national</w:t>
            </w:r>
            <w:r>
              <w:rPr>
                <w:rFonts w:ascii="Verdana" w:hAnsi="Verdana"/>
                <w:spacing w:val="-5"/>
                <w:sz w:val="24"/>
              </w:rPr>
              <w:t> </w:t>
            </w:r>
            <w:r>
              <w:rPr>
                <w:rFonts w:ascii="Verdana" w:hAnsi="Verdana"/>
                <w:sz w:val="24"/>
              </w:rPr>
              <w:t>standards</w:t>
            </w:r>
            <w:r>
              <w:rPr>
                <w:rFonts w:ascii="Verdana" w:hAnsi="Verdana"/>
                <w:spacing w:val="-2"/>
                <w:sz w:val="24"/>
              </w:rPr>
              <w:t> </w:t>
            </w:r>
            <w:r>
              <w:rPr>
                <w:rFonts w:ascii="Verdana" w:hAnsi="Verdana"/>
                <w:sz w:val="24"/>
              </w:rPr>
              <w:t>recently</w:t>
            </w:r>
            <w:r>
              <w:rPr>
                <w:rFonts w:ascii="Verdana" w:hAnsi="Verdana"/>
                <w:spacing w:val="-6"/>
                <w:sz w:val="24"/>
              </w:rPr>
              <w:t> </w:t>
            </w:r>
            <w:r>
              <w:rPr>
                <w:rFonts w:ascii="Verdana" w:hAnsi="Verdana"/>
                <w:sz w:val="24"/>
              </w:rPr>
              <w:t>issued</w:t>
            </w:r>
            <w:r>
              <w:rPr>
                <w:rFonts w:ascii="Verdana" w:hAnsi="Verdana"/>
                <w:spacing w:val="-4"/>
                <w:sz w:val="24"/>
              </w:rPr>
              <w:t> </w:t>
            </w:r>
            <w:r>
              <w:rPr>
                <w:rFonts w:ascii="Verdana" w:hAnsi="Verdana"/>
                <w:sz w:val="24"/>
              </w:rPr>
              <w:t>and</w:t>
            </w:r>
            <w:r>
              <w:rPr>
                <w:rFonts w:ascii="Verdana" w:hAnsi="Verdana"/>
                <w:spacing w:val="-4"/>
                <w:sz w:val="24"/>
              </w:rPr>
              <w:t> </w:t>
            </w:r>
            <w:r>
              <w:rPr>
                <w:rFonts w:ascii="Verdana" w:hAnsi="Verdana"/>
                <w:sz w:val="24"/>
              </w:rPr>
              <w:t>the</w:t>
            </w:r>
            <w:r>
              <w:rPr>
                <w:rFonts w:ascii="Verdana" w:hAnsi="Verdana"/>
                <w:spacing w:val="-3"/>
                <w:sz w:val="24"/>
              </w:rPr>
              <w:t> </w:t>
            </w:r>
            <w:r>
              <w:rPr>
                <w:rFonts w:ascii="Verdana" w:hAnsi="Verdana"/>
                <w:sz w:val="24"/>
              </w:rPr>
              <w:t>need</w:t>
            </w:r>
            <w:r>
              <w:rPr>
                <w:rFonts w:ascii="Verdana" w:hAnsi="Verdana"/>
                <w:spacing w:val="-4"/>
                <w:sz w:val="24"/>
              </w:rPr>
              <w:t> </w:t>
            </w:r>
            <w:r>
              <w:rPr>
                <w:rFonts w:ascii="Verdana" w:hAnsi="Verdana"/>
                <w:sz w:val="24"/>
              </w:rPr>
              <w:t>for</w:t>
            </w:r>
            <w:r>
              <w:rPr>
                <w:rFonts w:ascii="Verdana" w:hAnsi="Verdana"/>
                <w:spacing w:val="-2"/>
                <w:sz w:val="24"/>
              </w:rPr>
              <w:t> </w:t>
            </w:r>
            <w:r>
              <w:rPr>
                <w:rFonts w:ascii="Verdana" w:hAnsi="Verdana"/>
                <w:sz w:val="24"/>
              </w:rPr>
              <w:t>clarity</w:t>
            </w:r>
            <w:r>
              <w:rPr>
                <w:rFonts w:ascii="Verdana" w:hAnsi="Verdana"/>
                <w:spacing w:val="-6"/>
                <w:sz w:val="24"/>
              </w:rPr>
              <w:t> </w:t>
            </w:r>
            <w:r>
              <w:rPr>
                <w:rFonts w:ascii="Verdana" w:hAnsi="Verdana"/>
                <w:sz w:val="24"/>
              </w:rPr>
              <w:t>on the current baseline position against the standards.</w:t>
            </w:r>
          </w:p>
          <w:p>
            <w:pPr>
              <w:pStyle w:val="TableParagraph"/>
              <w:spacing w:before="7"/>
              <w:rPr>
                <w:b/>
                <w:sz w:val="24"/>
              </w:rPr>
            </w:pPr>
          </w:p>
          <w:p>
            <w:pPr>
              <w:pStyle w:val="TableParagraph"/>
              <w:ind w:left="109"/>
              <w:rPr>
                <w:rFonts w:ascii="Verdana"/>
                <w:b/>
                <w:sz w:val="24"/>
              </w:rPr>
            </w:pPr>
            <w:r>
              <w:rPr>
                <w:rFonts w:ascii="Verdana"/>
                <w:b/>
                <w:sz w:val="24"/>
              </w:rPr>
              <w:t>Summary</w:t>
            </w:r>
            <w:r>
              <w:rPr>
                <w:rFonts w:ascii="Verdana"/>
                <w:b/>
                <w:spacing w:val="-6"/>
                <w:sz w:val="24"/>
              </w:rPr>
              <w:t> </w:t>
            </w:r>
            <w:r>
              <w:rPr>
                <w:rFonts w:ascii="Verdana"/>
                <w:b/>
                <w:sz w:val="24"/>
              </w:rPr>
              <w:t>of</w:t>
            </w:r>
            <w:r>
              <w:rPr>
                <w:rFonts w:ascii="Verdana"/>
                <w:b/>
                <w:spacing w:val="-5"/>
                <w:sz w:val="24"/>
              </w:rPr>
              <w:t> </w:t>
            </w:r>
            <w:r>
              <w:rPr>
                <w:rFonts w:ascii="Verdana"/>
                <w:b/>
                <w:spacing w:val="-2"/>
                <w:sz w:val="24"/>
              </w:rPr>
              <w:t>Discussion</w:t>
            </w:r>
          </w:p>
          <w:p>
            <w:pPr>
              <w:pStyle w:val="TableParagraph"/>
              <w:spacing w:line="291" w:lineRule="exact" w:before="3"/>
              <w:ind w:left="109"/>
              <w:rPr>
                <w:rFonts w:ascii="Verdana"/>
                <w:sz w:val="24"/>
              </w:rPr>
            </w:pPr>
            <w:r>
              <w:rPr>
                <w:rFonts w:ascii="Verdana"/>
                <w:sz w:val="24"/>
              </w:rPr>
              <w:t>Members</w:t>
            </w:r>
            <w:r>
              <w:rPr>
                <w:rFonts w:ascii="Verdana"/>
                <w:spacing w:val="-3"/>
                <w:sz w:val="24"/>
              </w:rPr>
              <w:t> </w:t>
            </w:r>
            <w:r>
              <w:rPr>
                <w:rFonts w:ascii="Verdana"/>
                <w:sz w:val="24"/>
              </w:rPr>
              <w:t>welcomed</w:t>
            </w:r>
            <w:r>
              <w:rPr>
                <w:rFonts w:ascii="Verdana"/>
                <w:spacing w:val="-2"/>
                <w:sz w:val="24"/>
              </w:rPr>
              <w:t> </w:t>
            </w:r>
            <w:r>
              <w:rPr>
                <w:rFonts w:ascii="Verdana"/>
                <w:sz w:val="24"/>
              </w:rPr>
              <w:t>the</w:t>
            </w:r>
            <w:r>
              <w:rPr>
                <w:rFonts w:ascii="Verdana"/>
                <w:spacing w:val="-1"/>
                <w:sz w:val="24"/>
              </w:rPr>
              <w:t> </w:t>
            </w:r>
            <w:r>
              <w:rPr>
                <w:rFonts w:ascii="Verdana"/>
                <w:sz w:val="24"/>
              </w:rPr>
              <w:t>progress</w:t>
            </w:r>
            <w:r>
              <w:rPr>
                <w:rFonts w:ascii="Verdana"/>
                <w:spacing w:val="-2"/>
                <w:sz w:val="24"/>
              </w:rPr>
              <w:t> </w:t>
            </w:r>
            <w:r>
              <w:rPr>
                <w:rFonts w:ascii="Verdana"/>
                <w:sz w:val="24"/>
              </w:rPr>
              <w:t>to</w:t>
            </w:r>
            <w:r>
              <w:rPr>
                <w:rFonts w:ascii="Verdana"/>
                <w:spacing w:val="-2"/>
                <w:sz w:val="24"/>
              </w:rPr>
              <w:t> </w:t>
            </w:r>
            <w:r>
              <w:rPr>
                <w:rFonts w:ascii="Verdana"/>
                <w:sz w:val="24"/>
              </w:rPr>
              <w:t>date</w:t>
            </w:r>
            <w:r>
              <w:rPr>
                <w:rFonts w:ascii="Verdana"/>
                <w:spacing w:val="-1"/>
                <w:sz w:val="24"/>
              </w:rPr>
              <w:t> </w:t>
            </w:r>
            <w:r>
              <w:rPr>
                <w:rFonts w:ascii="Verdana"/>
                <w:sz w:val="24"/>
              </w:rPr>
              <w:t>and</w:t>
            </w:r>
            <w:r>
              <w:rPr>
                <w:rFonts w:ascii="Verdana"/>
                <w:spacing w:val="-1"/>
                <w:sz w:val="24"/>
              </w:rPr>
              <w:t> </w:t>
            </w:r>
            <w:r>
              <w:rPr>
                <w:rFonts w:ascii="Verdana"/>
                <w:spacing w:val="-2"/>
                <w:sz w:val="24"/>
              </w:rPr>
              <w:t>emphasised:</w:t>
            </w:r>
          </w:p>
          <w:p>
            <w:pPr>
              <w:pStyle w:val="TableParagraph"/>
              <w:numPr>
                <w:ilvl w:val="0"/>
                <w:numId w:val="104"/>
              </w:numPr>
              <w:tabs>
                <w:tab w:pos="830" w:val="left" w:leader="none"/>
              </w:tabs>
              <w:spacing w:line="237" w:lineRule="auto" w:before="2" w:after="0"/>
              <w:ind w:left="830" w:right="380" w:hanging="361"/>
              <w:jc w:val="left"/>
              <w:rPr>
                <w:rFonts w:ascii="Verdana" w:hAnsi="Verdana"/>
                <w:sz w:val="24"/>
              </w:rPr>
            </w:pPr>
            <w:r>
              <w:rPr>
                <w:rFonts w:ascii="Verdana" w:hAnsi="Verdana"/>
                <w:sz w:val="24"/>
              </w:rPr>
              <w:t>The</w:t>
            </w:r>
            <w:r>
              <w:rPr>
                <w:rFonts w:ascii="Verdana" w:hAnsi="Verdana"/>
                <w:spacing w:val="-4"/>
                <w:sz w:val="24"/>
              </w:rPr>
              <w:t> </w:t>
            </w:r>
            <w:r>
              <w:rPr>
                <w:rFonts w:ascii="Verdana" w:hAnsi="Verdana"/>
                <w:sz w:val="24"/>
              </w:rPr>
              <w:t>need</w:t>
            </w:r>
            <w:r>
              <w:rPr>
                <w:rFonts w:ascii="Verdana" w:hAnsi="Verdana"/>
                <w:spacing w:val="-5"/>
                <w:sz w:val="24"/>
              </w:rPr>
              <w:t> </w:t>
            </w:r>
            <w:r>
              <w:rPr>
                <w:rFonts w:ascii="Verdana" w:hAnsi="Verdana"/>
                <w:sz w:val="24"/>
              </w:rPr>
              <w:t>for</w:t>
            </w:r>
            <w:r>
              <w:rPr>
                <w:rFonts w:ascii="Verdana" w:hAnsi="Verdana"/>
                <w:spacing w:val="-4"/>
                <w:sz w:val="24"/>
              </w:rPr>
              <w:t> </w:t>
            </w:r>
            <w:r>
              <w:rPr>
                <w:rFonts w:ascii="Verdana" w:hAnsi="Verdana"/>
                <w:sz w:val="24"/>
              </w:rPr>
              <w:t>clearer</w:t>
            </w:r>
            <w:r>
              <w:rPr>
                <w:rFonts w:ascii="Verdana" w:hAnsi="Verdana"/>
                <w:spacing w:val="-4"/>
                <w:sz w:val="24"/>
              </w:rPr>
              <w:t> </w:t>
            </w:r>
            <w:r>
              <w:rPr>
                <w:rFonts w:ascii="Verdana" w:hAnsi="Verdana"/>
                <w:sz w:val="24"/>
              </w:rPr>
              <w:t>baseline</w:t>
            </w:r>
            <w:r>
              <w:rPr>
                <w:rFonts w:ascii="Verdana" w:hAnsi="Verdana"/>
                <w:spacing w:val="-4"/>
                <w:sz w:val="24"/>
              </w:rPr>
              <w:t> </w:t>
            </w:r>
            <w:r>
              <w:rPr>
                <w:rFonts w:ascii="Verdana" w:hAnsi="Verdana"/>
                <w:sz w:val="24"/>
              </w:rPr>
              <w:t>data</w:t>
            </w:r>
            <w:r>
              <w:rPr>
                <w:rFonts w:ascii="Verdana" w:hAnsi="Verdana"/>
                <w:spacing w:val="-4"/>
                <w:sz w:val="24"/>
              </w:rPr>
              <w:t> </w:t>
            </w:r>
            <w:r>
              <w:rPr>
                <w:rFonts w:ascii="Verdana" w:hAnsi="Verdana"/>
                <w:sz w:val="24"/>
              </w:rPr>
              <w:t>to</w:t>
            </w:r>
            <w:r>
              <w:rPr>
                <w:rFonts w:ascii="Verdana" w:hAnsi="Verdana"/>
                <w:spacing w:val="-5"/>
                <w:sz w:val="24"/>
              </w:rPr>
              <w:t> </w:t>
            </w:r>
            <w:r>
              <w:rPr>
                <w:rFonts w:ascii="Verdana" w:hAnsi="Verdana"/>
                <w:sz w:val="24"/>
              </w:rPr>
              <w:t>support</w:t>
            </w:r>
            <w:r>
              <w:rPr>
                <w:rFonts w:ascii="Verdana" w:hAnsi="Verdana"/>
                <w:spacing w:val="-5"/>
                <w:sz w:val="24"/>
              </w:rPr>
              <w:t> </w:t>
            </w:r>
            <w:r>
              <w:rPr>
                <w:rFonts w:ascii="Verdana" w:hAnsi="Verdana"/>
                <w:sz w:val="24"/>
              </w:rPr>
              <w:t>assurance</w:t>
            </w:r>
            <w:r>
              <w:rPr>
                <w:rFonts w:ascii="Verdana" w:hAnsi="Verdana"/>
                <w:spacing w:val="-4"/>
                <w:sz w:val="24"/>
              </w:rPr>
              <w:t> </w:t>
            </w:r>
            <w:r>
              <w:rPr>
                <w:rFonts w:ascii="Verdana" w:hAnsi="Verdana"/>
                <w:sz w:val="24"/>
              </w:rPr>
              <w:t>and future decision-making, particularly for stroke services.</w:t>
            </w:r>
          </w:p>
          <w:p>
            <w:pPr>
              <w:pStyle w:val="TableParagraph"/>
              <w:numPr>
                <w:ilvl w:val="0"/>
                <w:numId w:val="104"/>
              </w:numPr>
              <w:tabs>
                <w:tab w:pos="830" w:val="left" w:leader="none"/>
              </w:tabs>
              <w:spacing w:line="237" w:lineRule="auto" w:before="5" w:after="0"/>
              <w:ind w:left="830" w:right="298" w:hanging="361"/>
              <w:jc w:val="left"/>
              <w:rPr>
                <w:rFonts w:ascii="Verdana" w:hAnsi="Verdana"/>
                <w:sz w:val="24"/>
              </w:rPr>
            </w:pPr>
            <w:r>
              <w:rPr>
                <w:rFonts w:ascii="Verdana" w:hAnsi="Verdana"/>
                <w:sz w:val="24"/>
              </w:rPr>
              <w:t>The</w:t>
            </w:r>
            <w:r>
              <w:rPr>
                <w:rFonts w:ascii="Verdana" w:hAnsi="Verdana"/>
                <w:spacing w:val="-5"/>
                <w:sz w:val="24"/>
              </w:rPr>
              <w:t> </w:t>
            </w:r>
            <w:r>
              <w:rPr>
                <w:rFonts w:ascii="Verdana" w:hAnsi="Verdana"/>
                <w:sz w:val="24"/>
              </w:rPr>
              <w:t>importance</w:t>
            </w:r>
            <w:r>
              <w:rPr>
                <w:rFonts w:ascii="Verdana" w:hAnsi="Verdana"/>
                <w:spacing w:val="-9"/>
                <w:sz w:val="24"/>
              </w:rPr>
              <w:t> </w:t>
            </w:r>
            <w:r>
              <w:rPr>
                <w:rFonts w:ascii="Verdana" w:hAnsi="Verdana"/>
                <w:sz w:val="24"/>
              </w:rPr>
              <w:t>of</w:t>
            </w:r>
            <w:r>
              <w:rPr>
                <w:rFonts w:ascii="Verdana" w:hAnsi="Verdana"/>
                <w:spacing w:val="-6"/>
                <w:sz w:val="24"/>
              </w:rPr>
              <w:t> </w:t>
            </w:r>
            <w:r>
              <w:rPr>
                <w:rFonts w:ascii="Verdana" w:hAnsi="Verdana"/>
                <w:sz w:val="24"/>
              </w:rPr>
              <w:t>not</w:t>
            </w:r>
            <w:r>
              <w:rPr>
                <w:rFonts w:ascii="Verdana" w:hAnsi="Verdana"/>
                <w:spacing w:val="-6"/>
                <w:sz w:val="24"/>
              </w:rPr>
              <w:t> </w:t>
            </w:r>
            <w:r>
              <w:rPr>
                <w:rFonts w:ascii="Verdana" w:hAnsi="Verdana"/>
                <w:sz w:val="24"/>
              </w:rPr>
              <w:t>undermining</w:t>
            </w:r>
            <w:r>
              <w:rPr>
                <w:rFonts w:ascii="Verdana" w:hAnsi="Verdana"/>
                <w:spacing w:val="-6"/>
                <w:sz w:val="24"/>
              </w:rPr>
              <w:t> </w:t>
            </w:r>
            <w:r>
              <w:rPr>
                <w:rFonts w:ascii="Verdana" w:hAnsi="Verdana"/>
                <w:sz w:val="24"/>
              </w:rPr>
              <w:t>local</w:t>
            </w:r>
            <w:r>
              <w:rPr>
                <w:rFonts w:ascii="Verdana" w:hAnsi="Verdana"/>
                <w:spacing w:val="-5"/>
                <w:sz w:val="24"/>
              </w:rPr>
              <w:t> </w:t>
            </w:r>
            <w:r>
              <w:rPr>
                <w:rFonts w:ascii="Verdana" w:hAnsi="Verdana"/>
                <w:sz w:val="24"/>
              </w:rPr>
              <w:t>public</w:t>
            </w:r>
            <w:r>
              <w:rPr>
                <w:rFonts w:ascii="Verdana" w:hAnsi="Verdana"/>
                <w:spacing w:val="-7"/>
                <w:sz w:val="24"/>
              </w:rPr>
              <w:t> </w:t>
            </w:r>
            <w:r>
              <w:rPr>
                <w:rFonts w:ascii="Verdana" w:hAnsi="Verdana"/>
                <w:sz w:val="24"/>
              </w:rPr>
              <w:t>consultations within HDdUHB while still maintaining a strategic regional view, in particular regional planning for stroke services.</w:t>
            </w:r>
          </w:p>
        </w:tc>
        <w:tc>
          <w:tcPr>
            <w:tcW w:w="711" w:type="dxa"/>
          </w:tcPr>
          <w:p>
            <w:pPr>
              <w:pStyle w:val="TableParagraph"/>
              <w:rPr>
                <w:rFonts w:ascii="Times New Roman"/>
                <w:sz w:val="22"/>
              </w:rPr>
            </w:pPr>
          </w:p>
        </w:tc>
      </w:tr>
    </w:tbl>
    <w:p>
      <w:pPr>
        <w:pStyle w:val="BodyText"/>
        <w:rPr>
          <w:b/>
        </w:rPr>
      </w:pPr>
    </w:p>
    <w:p>
      <w:pPr>
        <w:pStyle w:val="BodyText"/>
        <w:spacing w:before="114"/>
        <w:rPr>
          <w:b/>
        </w:rPr>
      </w:pPr>
    </w:p>
    <w:p>
      <w:pPr>
        <w:spacing w:before="1"/>
        <w:ind w:left="0" w:right="180" w:firstLine="0"/>
        <w:jc w:val="right"/>
        <w:rPr>
          <w:b/>
          <w:sz w:val="24"/>
        </w:rPr>
      </w:pPr>
      <w:r>
        <w:rPr>
          <w:sz w:val="24"/>
        </w:rPr>
        <w:t>Page </w:t>
      </w:r>
      <w:r>
        <w:rPr>
          <w:b/>
          <w:sz w:val="24"/>
        </w:rPr>
        <w:t>5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80" name="Image 780"/>
            <wp:cNvGraphicFramePr>
              <a:graphicFrameLocks/>
            </wp:cNvGraphicFramePr>
            <a:graphic>
              <a:graphicData uri="http://schemas.openxmlformats.org/drawingml/2006/picture">
                <pic:pic>
                  <pic:nvPicPr>
                    <pic:cNvPr id="780" name="Image 780"/>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81" name="Image 781"/>
            <wp:cNvGraphicFramePr>
              <a:graphicFrameLocks/>
            </wp:cNvGraphicFramePr>
            <a:graphic>
              <a:graphicData uri="http://schemas.openxmlformats.org/drawingml/2006/picture">
                <pic:pic>
                  <pic:nvPicPr>
                    <pic:cNvPr id="781" name="Image 781"/>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7162" w:hRule="atLeast"/>
        </w:trPr>
        <w:tc>
          <w:tcPr>
            <w:tcW w:w="1276" w:type="dxa"/>
          </w:tcPr>
          <w:p>
            <w:pPr>
              <w:pStyle w:val="TableParagraph"/>
              <w:rPr>
                <w:rFonts w:ascii="Times New Roman"/>
                <w:sz w:val="22"/>
              </w:rPr>
            </w:pPr>
          </w:p>
        </w:tc>
        <w:tc>
          <w:tcPr>
            <w:tcW w:w="8509" w:type="dxa"/>
          </w:tcPr>
          <w:p>
            <w:pPr>
              <w:pStyle w:val="TableParagraph"/>
              <w:numPr>
                <w:ilvl w:val="0"/>
                <w:numId w:val="105"/>
              </w:numPr>
              <w:tabs>
                <w:tab w:pos="830" w:val="left" w:leader="none"/>
              </w:tabs>
              <w:spacing w:line="237" w:lineRule="auto" w:before="81" w:after="0"/>
              <w:ind w:left="830" w:right="656" w:hanging="361"/>
              <w:jc w:val="left"/>
              <w:rPr>
                <w:rFonts w:ascii="Verdana" w:hAnsi="Verdana"/>
                <w:sz w:val="24"/>
              </w:rPr>
            </w:pPr>
            <w:r>
              <w:rPr>
                <w:rFonts w:ascii="Verdana" w:hAnsi="Verdana"/>
                <w:sz w:val="24"/>
              </w:rPr>
              <w:t>That</w:t>
            </w:r>
            <w:r>
              <w:rPr>
                <w:rFonts w:ascii="Verdana" w:hAnsi="Verdana"/>
                <w:spacing w:val="-5"/>
                <w:sz w:val="24"/>
              </w:rPr>
              <w:t> </w:t>
            </w:r>
            <w:r>
              <w:rPr>
                <w:rFonts w:ascii="Verdana" w:hAnsi="Verdana"/>
                <w:sz w:val="24"/>
              </w:rPr>
              <w:t>narrative</w:t>
            </w:r>
            <w:r>
              <w:rPr>
                <w:rFonts w:ascii="Verdana" w:hAnsi="Verdana"/>
                <w:spacing w:val="-4"/>
                <w:sz w:val="24"/>
              </w:rPr>
              <w:t> </w:t>
            </w:r>
            <w:r>
              <w:rPr>
                <w:rFonts w:ascii="Verdana" w:hAnsi="Verdana"/>
                <w:sz w:val="24"/>
              </w:rPr>
              <w:t>updates</w:t>
            </w:r>
            <w:r>
              <w:rPr>
                <w:rFonts w:ascii="Verdana" w:hAnsi="Verdana"/>
                <w:spacing w:val="-5"/>
                <w:sz w:val="24"/>
              </w:rPr>
              <w:t> </w:t>
            </w:r>
            <w:r>
              <w:rPr>
                <w:rFonts w:ascii="Verdana" w:hAnsi="Verdana"/>
                <w:sz w:val="24"/>
              </w:rPr>
              <w:t>must</w:t>
            </w:r>
            <w:r>
              <w:rPr>
                <w:rFonts w:ascii="Verdana" w:hAnsi="Verdana"/>
                <w:spacing w:val="-5"/>
                <w:sz w:val="24"/>
              </w:rPr>
              <w:t> </w:t>
            </w:r>
            <w:r>
              <w:rPr>
                <w:rFonts w:ascii="Verdana" w:hAnsi="Verdana"/>
                <w:sz w:val="24"/>
              </w:rPr>
              <w:t>increasingly</w:t>
            </w:r>
            <w:r>
              <w:rPr>
                <w:rFonts w:ascii="Verdana" w:hAnsi="Verdana"/>
                <w:spacing w:val="-7"/>
                <w:sz w:val="24"/>
              </w:rPr>
              <w:t> </w:t>
            </w:r>
            <w:r>
              <w:rPr>
                <w:rFonts w:ascii="Verdana" w:hAnsi="Verdana"/>
                <w:sz w:val="24"/>
              </w:rPr>
              <w:t>be</w:t>
            </w:r>
            <w:r>
              <w:rPr>
                <w:rFonts w:ascii="Verdana" w:hAnsi="Verdana"/>
                <w:spacing w:val="-4"/>
                <w:sz w:val="24"/>
              </w:rPr>
              <w:t> </w:t>
            </w:r>
            <w:r>
              <w:rPr>
                <w:rFonts w:ascii="Verdana" w:hAnsi="Verdana"/>
                <w:sz w:val="24"/>
              </w:rPr>
              <w:t>supported</w:t>
            </w:r>
            <w:r>
              <w:rPr>
                <w:rFonts w:ascii="Verdana" w:hAnsi="Verdana"/>
                <w:spacing w:val="-10"/>
                <w:sz w:val="24"/>
              </w:rPr>
              <w:t> </w:t>
            </w:r>
            <w:r>
              <w:rPr>
                <w:rFonts w:ascii="Verdana" w:hAnsi="Verdana"/>
                <w:sz w:val="24"/>
              </w:rPr>
              <w:t>by measurable outcomes and shared intelligence.</w:t>
            </w:r>
          </w:p>
          <w:p>
            <w:pPr>
              <w:pStyle w:val="TableParagraph"/>
              <w:spacing w:before="17"/>
              <w:rPr>
                <w:b/>
                <w:sz w:val="24"/>
              </w:rPr>
            </w:pPr>
          </w:p>
          <w:p>
            <w:pPr>
              <w:pStyle w:val="TableParagraph"/>
              <w:spacing w:line="291" w:lineRule="exact"/>
              <w:ind w:left="109"/>
              <w:rPr>
                <w:rFonts w:ascii="Verdana"/>
                <w:b/>
                <w:sz w:val="24"/>
              </w:rPr>
            </w:pPr>
            <w:r>
              <w:rPr>
                <w:rFonts w:ascii="Verdana"/>
                <w:b/>
                <w:spacing w:val="-2"/>
                <w:sz w:val="24"/>
              </w:rPr>
              <w:t>Actions/Agreements</w:t>
            </w:r>
          </w:p>
          <w:p>
            <w:pPr>
              <w:pStyle w:val="TableParagraph"/>
              <w:ind w:left="109" w:right="797"/>
              <w:jc w:val="both"/>
              <w:rPr>
                <w:rFonts w:ascii="Verdana"/>
                <w:sz w:val="24"/>
              </w:rPr>
            </w:pPr>
            <w:r>
              <w:rPr>
                <w:rFonts w:ascii="Verdana"/>
                <w:sz w:val="24"/>
              </w:rPr>
              <mc:AlternateContent>
                <mc:Choice Requires="wps">
                  <w:drawing>
                    <wp:anchor distT="0" distB="0" distL="0" distR="0" allowOverlap="1" layoutInCell="1" locked="0" behindDoc="1" simplePos="0" relativeHeight="477235712">
                      <wp:simplePos x="0" y="0"/>
                      <wp:positionH relativeFrom="column">
                        <wp:posOffset>-495727</wp:posOffset>
                      </wp:positionH>
                      <wp:positionV relativeFrom="paragraph">
                        <wp:posOffset>260025</wp:posOffset>
                      </wp:positionV>
                      <wp:extent cx="5452745" cy="5744845"/>
                      <wp:effectExtent l="0" t="0" r="0" b="0"/>
                      <wp:wrapNone/>
                      <wp:docPr id="782" name="Group 782"/>
                      <wp:cNvGraphicFramePr>
                        <a:graphicFrameLocks/>
                      </wp:cNvGraphicFramePr>
                      <a:graphic>
                        <a:graphicData uri="http://schemas.microsoft.com/office/word/2010/wordprocessingGroup">
                          <wpg:wgp>
                            <wpg:cNvPr id="782" name="Group 782"/>
                            <wpg:cNvGrpSpPr/>
                            <wpg:grpSpPr>
                              <a:xfrm>
                                <a:off x="0" y="0"/>
                                <a:ext cx="5452745" cy="5744845"/>
                                <a:chExt cx="5452745" cy="5744845"/>
                              </a:xfrm>
                            </wpg:grpSpPr>
                            <wps:wsp>
                              <wps:cNvPr id="783" name="Graphic 783"/>
                              <wps:cNvSpPr/>
                              <wps:spPr>
                                <a:xfrm>
                                  <a:off x="-3"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39.033688pt;margin-top:20.474464pt;width:429.35pt;height:452.35pt;mso-position-horizontal-relative:column;mso-position-vertical-relative:paragraph;z-index:-26080768" id="docshapegroup522" coordorigin="-781,409" coordsize="8587,9047">
                      <v:shape style="position:absolute;left:-781;top:409;width:8587;height:9047" id="docshape523" coordorigin="-781,409" coordsize="8587,9047" path="m2725,8479l2719,8405,2708,8329,2691,8251,2668,8172,2646,8109,2621,8044,2593,7979,2561,7912,2526,7844,2487,7775,2444,7704,2398,7632,2348,7558,2337,7544,2337,8395,2330,8465,2314,8532,2288,8597,2253,8660,2208,8721,2154,8780,1947,8988,-313,6728,-108,6522,-44,6465,21,6419,89,6384,160,6360,232,6348,307,6346,384,6351,463,6364,545,6385,629,6414,700,6445,773,6480,847,6520,921,6564,997,6614,1074,6669,1133,6714,1191,6761,1250,6809,1309,6859,1368,6911,1426,6965,1485,7021,1544,7079,1609,7144,1670,7208,1729,7271,1785,7332,1838,7393,1889,7452,1936,7510,1981,7567,2023,7623,2074,7694,2120,7764,2161,7831,2198,7897,2230,7962,2259,8024,2283,8085,2310,8168,2328,8247,2337,8323,2337,8395,2337,7544,2309,7503,2267,7447,2224,7390,2178,7333,2131,7275,2081,7216,2030,7157,1976,7097,1920,7036,1862,6975,1803,6913,1741,6850,1676,6786,1611,6724,1546,6664,1482,6607,1418,6552,1355,6499,1292,6448,1229,6399,1167,6353,1158,6346,1106,6309,1030,6258,955,6211,880,6168,807,6128,734,6092,662,6059,592,6030,522,6005,444,5982,368,5964,294,5951,221,5944,150,5942,80,5945,13,5953,-64,5970,-139,5996,-211,6031,-282,6075,-350,6128,-417,6190,-761,6533,-772,6549,-779,6568,-781,6591,-778,6618,-767,6650,-747,6685,-718,6724,-679,6766,1911,9355,1953,9394,1991,9423,2026,9443,2057,9452,2085,9456,2108,9455,2128,9449,2143,9437,2465,9116,2526,9050,2574,8988,2579,8982,2623,8911,2660,8839,2688,8765,2708,8688,2719,8621,2725,8551,2725,8479xm4537,7021l4535,7009,4529,6998,4523,6990,4516,6981,4509,6972,4501,6963,4491,6954,4478,6943,4463,6930,4444,6916,4423,6901,4311,6825,3533,6320,3470,6279,3407,6241,3382,6225,3291,6171,3237,6140,3185,6112,3135,6088,3087,6066,3041,6047,2996,6031,2954,6018,2913,6006,2874,5999,2844,5996,2837,5995,2801,5994,2766,5996,2775,5940,2780,5882,2780,5824,2777,5765,2769,5705,2756,5644,2738,5581,2715,5517,2687,5454,2654,5389,2616,5322,2570,5253,2530,5199,2486,5144,2448,5099,2448,5755,2446,5804,2439,5852,2425,5899,2403,5944,2375,5988,2339,6028,2141,6225,1163,5247,1333,5077,1362,5049,1389,5024,1414,5003,1437,4986,1459,4972,1481,4960,1503,4950,1525,4943,1598,4929,1673,4930,1749,4946,1827,4977,1891,5013,1956,5055,2022,5105,2089,5162,2157,5227,2207,5280,2253,5333,2296,5386,2335,5440,2368,5494,2395,5548,2416,5601,2432,5652,2443,5704,2448,5755,2448,5099,2438,5088,2386,5031,2330,4973,2285,4929,2270,4914,2210,4860,2150,4809,2091,4762,2032,4719,1958,4672,1886,4632,1814,4598,1743,4569,1672,4546,1604,4532,1536,4524,1471,4522,1406,4528,1343,4541,1282,4560,1223,4586,1204,4598,1183,4612,1141,4641,1119,4659,1095,4681,1068,4705,1040,4732,718,5055,706,5070,700,5090,698,5113,701,5139,712,5171,732,5207,761,5245,800,5287,3488,7976,3497,7984,3506,7991,3515,7998,3524,8002,3537,8008,3548,8010,3561,8006,3572,8004,3584,8001,3596,7996,3608,7990,3620,7982,3633,7972,3646,7960,3661,7947,3675,7932,3687,7918,3697,7905,3706,7893,3711,7881,3716,7869,3719,7858,3720,7847,3723,7835,3722,7823,3717,7810,3712,7801,3705,7792,3698,7783,3690,7774,2453,6537,2588,6402,2624,6372,2662,6348,2703,6331,2745,6322,2791,6320,2838,6324,2888,6332,2941,6346,2995,6366,3052,6390,3111,6418,3172,6451,3235,6489,3301,6528,3368,6571,3438,6616,4278,7172,4293,7181,4306,7189,4319,7194,4330,7199,4341,7203,4352,7204,4363,7204,4376,7203,4388,7200,4399,7195,4411,7188,4423,7179,4436,7169,4450,7157,4465,7143,4481,7126,4495,7110,4507,7095,4516,7082,4524,7070,4530,7059,4534,7047,4536,7036,4537,7021xm5981,5593l5978,5580,5973,5567,5965,5553,5954,5538,5940,5523,5923,5509,5903,5493,5879,5475,5851,5455,5428,5165,4529,4553,4529,4910,4001,5438,2816,3729,2817,3728,4529,4910,4529,4553,3317,3728,2645,3267,2630,3258,2616,3250,2602,3243,2589,3237,2577,3234,2565,3233,2553,3234,2541,3236,2528,3240,2515,3246,2501,3253,2487,3263,2473,3275,2458,3289,2441,3305,2406,3339,2392,3355,2379,3369,2368,3382,2359,3395,2352,3408,2347,3421,2344,3433,2342,3446,2341,3457,2342,3469,2346,3480,2351,3493,2357,3506,2365,3520,2374,3534,2418,3599,4562,6740,4582,6768,4599,6792,4616,6812,4631,6828,4645,6843,4660,6854,4673,6862,4687,6867,4699,6870,4712,6869,4725,6866,4739,6859,4753,6850,4767,6838,4783,6824,4799,6808,4815,6792,4828,6777,4839,6763,4849,6750,4856,6739,4861,6727,4864,6715,4865,6703,4864,6693,4863,6682,4861,6672,4856,6661,4852,6652,4846,6641,4840,6630,4832,6618,4258,5796,4616,5438,4890,5165,5727,5742,5739,5749,5751,5755,5761,5760,5771,5765,5784,5770,5795,5772,5808,5768,5818,5767,5829,5764,5841,5758,5854,5749,5867,5739,5881,5726,5896,5711,5914,5694,5931,5676,5945,5660,5958,5645,5968,5631,5975,5618,5980,5606,5981,5593xm6417,5142l6417,5133,6414,5123,6410,5113,6405,5104,6400,5095,6393,5087,6385,5079,5175,3869,5707,3337,5707,3328,5706,3316,5704,3307,5701,3297,5697,3286,5690,3274,5683,3262,5674,3247,5662,3232,5649,3216,5634,3200,5600,3163,5580,3142,5557,3119,5535,3099,5499,3066,5483,3053,5468,3042,5455,3034,5443,3027,5432,3022,5422,3018,5412,3015,5403,3013,5393,3014,5386,3017,4855,3548,3867,2561,4429,1999,4432,1992,4431,1979,4429,1970,4426,1960,4421,1949,4407,1925,4398,1911,4387,1895,4373,1879,4358,1863,4322,1824,4302,1803,4280,1782,4260,1763,4223,1729,4207,1716,4191,1704,4177,1694,4163,1686,4151,1679,4140,1675,4130,1672,4121,1669,4108,1668,4102,1671,3413,2360,3402,2375,3395,2394,3393,2417,3396,2444,3407,2476,3427,2512,3456,2550,3495,2592,6183,5281,6192,5288,6200,5295,6208,5300,6217,5305,6228,5310,6237,5312,6247,5313,6267,5309,6279,5306,6291,5301,6304,5295,6316,5286,6329,5276,6342,5265,6356,5251,6370,5237,6382,5223,6392,5210,6401,5198,6407,5185,6411,5174,6414,5163,6417,5142xm7806,3752l7804,3740,7799,3728,7794,3719,7788,3709,7780,3701,7772,3692,5254,1174,5687,741,5691,733,5690,720,5688,711,5685,701,5680,690,5674,678,5666,666,5657,652,5645,637,5631,622,5599,586,5580,566,5560,545,5538,524,5518,505,5481,471,5465,458,5450,446,5436,435,5422,427,5410,420,5399,416,5389,413,5380,410,5367,409,5359,413,4292,1481,4288,1489,4292,1510,4295,1520,4300,1531,4306,1543,4315,1556,4325,1570,4337,1585,4367,1620,4384,1640,4403,1660,4424,1681,4445,1702,4465,1721,4484,1737,4501,1751,4517,1765,4532,1777,4546,1787,4570,1801,4580,1806,4590,1809,4611,1812,4619,1809,5052,1376,7570,3894,7579,3902,7588,3909,7597,3916,7606,3920,7619,3926,7630,3928,7643,3924,7654,3922,7666,3919,7678,3914,7690,3908,7702,3900,7715,3890,7729,3878,7743,3865,7757,3850,7769,3836,7779,3823,7788,3811,7793,3798,7798,3787,7801,3776,7803,3765,7806,3752xe" filled="true" fillcolor="#c0c0c0" stroked="false">
                        <v:path arrowok="t"/>
                        <v:fill opacity="32896f" type="solid"/>
                      </v:shape>
                      <w10:wrap type="none"/>
                    </v:group>
                  </w:pict>
                </mc:Fallback>
              </mc:AlternateContent>
            </w:r>
            <w:r>
              <w:rPr>
                <w:rFonts w:ascii="Verdana"/>
                <w:b/>
                <w:sz w:val="24"/>
              </w:rPr>
              <w:t>Agreement: </w:t>
            </w:r>
            <w:r>
              <w:rPr>
                <w:rFonts w:ascii="Verdana"/>
                <w:sz w:val="24"/>
              </w:rPr>
              <w:t>Members endorsed the</w:t>
            </w:r>
            <w:r>
              <w:rPr>
                <w:rFonts w:ascii="Verdana"/>
                <w:spacing w:val="-2"/>
                <w:sz w:val="24"/>
              </w:rPr>
              <w:t> </w:t>
            </w:r>
            <w:r>
              <w:rPr>
                <w:rFonts w:ascii="Verdana"/>
                <w:sz w:val="24"/>
              </w:rPr>
              <w:t>direction</w:t>
            </w:r>
            <w:r>
              <w:rPr>
                <w:rFonts w:ascii="Verdana"/>
                <w:spacing w:val="-2"/>
                <w:sz w:val="24"/>
              </w:rPr>
              <w:t> </w:t>
            </w:r>
            <w:r>
              <w:rPr>
                <w:rFonts w:ascii="Verdana"/>
                <w:sz w:val="24"/>
              </w:rPr>
              <w:t>of travel for the Regional</w:t>
            </w:r>
            <w:r>
              <w:rPr>
                <w:rFonts w:ascii="Verdana"/>
                <w:spacing w:val="-8"/>
                <w:sz w:val="24"/>
              </w:rPr>
              <w:t> </w:t>
            </w:r>
            <w:r>
              <w:rPr>
                <w:rFonts w:ascii="Verdana"/>
                <w:sz w:val="24"/>
              </w:rPr>
              <w:t>Clinical</w:t>
            </w:r>
            <w:r>
              <w:rPr>
                <w:rFonts w:ascii="Verdana"/>
                <w:spacing w:val="-8"/>
                <w:sz w:val="24"/>
              </w:rPr>
              <w:t> </w:t>
            </w:r>
            <w:r>
              <w:rPr>
                <w:rFonts w:ascii="Verdana"/>
                <w:sz w:val="24"/>
              </w:rPr>
              <w:t>Services</w:t>
            </w:r>
            <w:r>
              <w:rPr>
                <w:rFonts w:ascii="Verdana"/>
                <w:spacing w:val="-7"/>
                <w:sz w:val="24"/>
              </w:rPr>
              <w:t> </w:t>
            </w:r>
            <w:r>
              <w:rPr>
                <w:rFonts w:ascii="Verdana"/>
                <w:sz w:val="24"/>
              </w:rPr>
              <w:t>Planning</w:t>
            </w:r>
            <w:r>
              <w:rPr>
                <w:rFonts w:ascii="Verdana"/>
                <w:spacing w:val="-7"/>
                <w:sz w:val="24"/>
              </w:rPr>
              <w:t> </w:t>
            </w:r>
            <w:r>
              <w:rPr>
                <w:rFonts w:ascii="Verdana"/>
                <w:sz w:val="24"/>
              </w:rPr>
              <w:t>Sub-Group,</w:t>
            </w:r>
            <w:r>
              <w:rPr>
                <w:rFonts w:ascii="Verdana"/>
                <w:spacing w:val="-4"/>
                <w:sz w:val="24"/>
              </w:rPr>
              <w:t> </w:t>
            </w:r>
            <w:r>
              <w:rPr>
                <w:rFonts w:ascii="Verdana"/>
                <w:sz w:val="24"/>
              </w:rPr>
              <w:t>recognising</w:t>
            </w:r>
            <w:r>
              <w:rPr>
                <w:rFonts w:ascii="Verdana"/>
                <w:spacing w:val="-7"/>
                <w:sz w:val="24"/>
              </w:rPr>
              <w:t> </w:t>
            </w:r>
            <w:r>
              <w:rPr>
                <w:rFonts w:ascii="Verdana"/>
                <w:sz w:val="24"/>
              </w:rPr>
              <w:t>the progress made to date.</w:t>
            </w:r>
          </w:p>
          <w:p>
            <w:pPr>
              <w:pStyle w:val="TableParagraph"/>
              <w:ind w:left="109"/>
              <w:rPr>
                <w:rFonts w:ascii="Verdana"/>
                <w:sz w:val="24"/>
              </w:rPr>
            </w:pPr>
            <w:r>
              <w:rPr>
                <w:rFonts w:ascii="Verdana"/>
                <w:b/>
                <w:sz w:val="24"/>
              </w:rPr>
              <w:t>Agreement</w:t>
            </w:r>
            <w:r>
              <w:rPr>
                <w:rFonts w:ascii="Verdana"/>
                <w:sz w:val="24"/>
              </w:rPr>
              <w:t>: Members</w:t>
            </w:r>
            <w:r>
              <w:rPr>
                <w:rFonts w:ascii="Verdana"/>
                <w:spacing w:val="-2"/>
                <w:sz w:val="24"/>
              </w:rPr>
              <w:t> </w:t>
            </w:r>
            <w:r>
              <w:rPr>
                <w:rFonts w:ascii="Verdana"/>
                <w:sz w:val="24"/>
              </w:rPr>
              <w:t>supported</w:t>
            </w:r>
            <w:r>
              <w:rPr>
                <w:rFonts w:ascii="Verdana"/>
                <w:spacing w:val="-1"/>
                <w:sz w:val="24"/>
              </w:rPr>
              <w:t> </w:t>
            </w:r>
            <w:r>
              <w:rPr>
                <w:rFonts w:ascii="Verdana"/>
                <w:sz w:val="24"/>
              </w:rPr>
              <w:t>the proposal to pause the Urgent and Emergency Care (UEC) programme for 2026/27; consolidate diagnostics activity under the Pathology programme; and actively monitor</w:t>
            </w:r>
            <w:r>
              <w:rPr>
                <w:rFonts w:ascii="Verdana"/>
                <w:spacing w:val="-1"/>
                <w:sz w:val="24"/>
              </w:rPr>
              <w:t> </w:t>
            </w:r>
            <w:r>
              <w:rPr>
                <w:rFonts w:ascii="Verdana"/>
                <w:sz w:val="24"/>
              </w:rPr>
              <w:t>the</w:t>
            </w:r>
            <w:r>
              <w:rPr>
                <w:rFonts w:ascii="Verdana"/>
                <w:spacing w:val="-1"/>
                <w:sz w:val="24"/>
              </w:rPr>
              <w:t> </w:t>
            </w:r>
            <w:r>
              <w:rPr>
                <w:rFonts w:ascii="Verdana"/>
                <w:sz w:val="24"/>
              </w:rPr>
              <w:t>situation</w:t>
            </w:r>
            <w:r>
              <w:rPr>
                <w:rFonts w:ascii="Verdana"/>
                <w:spacing w:val="-5"/>
                <w:sz w:val="24"/>
              </w:rPr>
              <w:t> </w:t>
            </w:r>
            <w:r>
              <w:rPr>
                <w:rFonts w:ascii="Verdana"/>
                <w:sz w:val="24"/>
              </w:rPr>
              <w:t>in</w:t>
            </w:r>
            <w:r>
              <w:rPr>
                <w:rFonts w:ascii="Verdana"/>
                <w:spacing w:val="-4"/>
                <w:sz w:val="24"/>
              </w:rPr>
              <w:t> </w:t>
            </w:r>
            <w:r>
              <w:rPr>
                <w:rFonts w:ascii="Verdana"/>
                <w:sz w:val="24"/>
              </w:rPr>
              <w:t>relation</w:t>
            </w:r>
            <w:r>
              <w:rPr>
                <w:rFonts w:ascii="Verdana"/>
                <w:spacing w:val="-4"/>
                <w:sz w:val="24"/>
              </w:rPr>
              <w:t> </w:t>
            </w:r>
            <w:r>
              <w:rPr>
                <w:rFonts w:ascii="Verdana"/>
                <w:sz w:val="24"/>
              </w:rPr>
              <w:t>to</w:t>
            </w:r>
            <w:r>
              <w:rPr>
                <w:rFonts w:ascii="Verdana"/>
                <w:spacing w:val="-2"/>
                <w:sz w:val="24"/>
              </w:rPr>
              <w:t> </w:t>
            </w:r>
            <w:r>
              <w:rPr>
                <w:rFonts w:ascii="Verdana"/>
                <w:sz w:val="24"/>
              </w:rPr>
              <w:t>regional</w:t>
            </w:r>
            <w:r>
              <w:rPr>
                <w:rFonts w:ascii="Verdana"/>
                <w:spacing w:val="-3"/>
                <w:sz w:val="24"/>
              </w:rPr>
              <w:t> </w:t>
            </w:r>
            <w:r>
              <w:rPr>
                <w:rFonts w:ascii="Verdana"/>
                <w:sz w:val="24"/>
              </w:rPr>
              <w:t>priorities</w:t>
            </w:r>
            <w:r>
              <w:rPr>
                <w:rFonts w:ascii="Verdana"/>
                <w:spacing w:val="-2"/>
                <w:sz w:val="24"/>
              </w:rPr>
              <w:t> </w:t>
            </w:r>
            <w:r>
              <w:rPr>
                <w:rFonts w:ascii="Verdana"/>
                <w:sz w:val="24"/>
              </w:rPr>
              <w:t>and</w:t>
            </w:r>
            <w:r>
              <w:rPr>
                <w:rFonts w:ascii="Verdana"/>
                <w:spacing w:val="-2"/>
                <w:sz w:val="24"/>
              </w:rPr>
              <w:t> </w:t>
            </w:r>
            <w:r>
              <w:rPr>
                <w:rFonts w:ascii="Verdana"/>
                <w:sz w:val="24"/>
              </w:rPr>
              <w:t>to</w:t>
            </w:r>
            <w:r>
              <w:rPr>
                <w:rFonts w:ascii="Verdana"/>
                <w:spacing w:val="-7"/>
                <w:sz w:val="24"/>
              </w:rPr>
              <w:t> </w:t>
            </w:r>
            <w:r>
              <w:rPr>
                <w:rFonts w:ascii="Verdana"/>
                <w:sz w:val="24"/>
              </w:rPr>
              <w:t>re-start programmes when resources allow.</w:t>
            </w:r>
          </w:p>
          <w:p>
            <w:pPr>
              <w:pStyle w:val="TableParagraph"/>
              <w:spacing w:before="2"/>
              <w:ind w:left="109" w:right="194"/>
              <w:rPr>
                <w:rFonts w:ascii="Verdana"/>
                <w:sz w:val="24"/>
              </w:rPr>
            </w:pPr>
            <w:r>
              <w:rPr>
                <w:rFonts w:ascii="Verdana"/>
                <w:b/>
                <w:sz w:val="24"/>
              </w:rPr>
              <w:t>ACTION</w:t>
            </w:r>
            <w:r>
              <w:rPr>
                <w:rFonts w:ascii="Verdana"/>
                <w:sz w:val="24"/>
              </w:rPr>
              <w:t>: RJC PMO supported by Local Public Health Teams, to produce a clear baseline position on current stroke services (projections, activity, outcomes) across both Health Boards and ensure</w:t>
            </w:r>
            <w:r>
              <w:rPr>
                <w:rFonts w:ascii="Verdana"/>
                <w:spacing w:val="-2"/>
                <w:sz w:val="24"/>
              </w:rPr>
              <w:t> </w:t>
            </w:r>
            <w:r>
              <w:rPr>
                <w:rFonts w:ascii="Verdana"/>
                <w:sz w:val="24"/>
              </w:rPr>
              <w:t>this</w:t>
            </w:r>
            <w:r>
              <w:rPr>
                <w:rFonts w:ascii="Verdana"/>
                <w:spacing w:val="-6"/>
                <w:sz w:val="24"/>
              </w:rPr>
              <w:t> </w:t>
            </w:r>
            <w:r>
              <w:rPr>
                <w:rFonts w:ascii="Verdana"/>
                <w:sz w:val="24"/>
              </w:rPr>
              <w:t>demonstrates</w:t>
            </w:r>
            <w:r>
              <w:rPr>
                <w:rFonts w:ascii="Verdana"/>
                <w:spacing w:val="-5"/>
                <w:sz w:val="24"/>
              </w:rPr>
              <w:t> </w:t>
            </w:r>
            <w:r>
              <w:rPr>
                <w:rFonts w:ascii="Verdana"/>
                <w:sz w:val="24"/>
              </w:rPr>
              <w:t>how</w:t>
            </w:r>
            <w:r>
              <w:rPr>
                <w:rFonts w:ascii="Verdana"/>
                <w:spacing w:val="-7"/>
                <w:sz w:val="24"/>
              </w:rPr>
              <w:t> </w:t>
            </w:r>
            <w:r>
              <w:rPr>
                <w:rFonts w:ascii="Verdana"/>
                <w:sz w:val="24"/>
              </w:rPr>
              <w:t>HDdUHB</w:t>
            </w:r>
            <w:r>
              <w:rPr>
                <w:rFonts w:ascii="Verdana"/>
                <w:spacing w:val="-5"/>
                <w:sz w:val="24"/>
              </w:rPr>
              <w:t> </w:t>
            </w:r>
            <w:r>
              <w:rPr>
                <w:rFonts w:ascii="Verdana"/>
                <w:sz w:val="24"/>
              </w:rPr>
              <w:t>CSP</w:t>
            </w:r>
            <w:r>
              <w:rPr>
                <w:rFonts w:ascii="Verdana"/>
                <w:spacing w:val="-5"/>
                <w:sz w:val="24"/>
              </w:rPr>
              <w:t> </w:t>
            </w:r>
            <w:r>
              <w:rPr>
                <w:rFonts w:ascii="Verdana"/>
                <w:sz w:val="24"/>
              </w:rPr>
              <w:t>proposals</w:t>
            </w:r>
            <w:r>
              <w:rPr>
                <w:rFonts w:ascii="Verdana"/>
                <w:spacing w:val="-5"/>
                <w:sz w:val="24"/>
              </w:rPr>
              <w:t> </w:t>
            </w:r>
            <w:r>
              <w:rPr>
                <w:rFonts w:ascii="Verdana"/>
                <w:sz w:val="24"/>
              </w:rPr>
              <w:t>benefit</w:t>
            </w:r>
            <w:r>
              <w:rPr>
                <w:rFonts w:ascii="Verdana"/>
                <w:spacing w:val="-4"/>
                <w:sz w:val="24"/>
              </w:rPr>
              <w:t> </w:t>
            </w:r>
            <w:r>
              <w:rPr>
                <w:rFonts w:ascii="Verdana"/>
                <w:sz w:val="24"/>
              </w:rPr>
              <w:t>the regional service model, using baseline data.</w:t>
            </w:r>
            <w:r>
              <w:rPr>
                <w:rFonts w:ascii="Verdana"/>
                <w:spacing w:val="80"/>
                <w:sz w:val="24"/>
              </w:rPr>
              <w:t> </w:t>
            </w:r>
            <w:r>
              <w:rPr>
                <w:rFonts w:ascii="Verdana"/>
                <w:sz w:val="24"/>
              </w:rPr>
              <w:t>To include as a presentation on the RJC agenda for July 2026.</w:t>
            </w:r>
          </w:p>
          <w:p>
            <w:pPr>
              <w:pStyle w:val="TableParagraph"/>
              <w:ind w:left="109"/>
              <w:rPr>
                <w:rFonts w:ascii="Verdana"/>
                <w:sz w:val="24"/>
              </w:rPr>
            </w:pPr>
            <w:r>
              <w:rPr>
                <w:rFonts w:ascii="Verdana"/>
                <w:b/>
                <w:sz w:val="24"/>
              </w:rPr>
              <w:t>ACTION</w:t>
            </w:r>
            <w:r>
              <w:rPr>
                <w:rFonts w:ascii="Verdana"/>
                <w:sz w:val="24"/>
              </w:rPr>
              <w:t>: AC to provide</w:t>
            </w:r>
            <w:r>
              <w:rPr>
                <w:rFonts w:ascii="Verdana"/>
                <w:spacing w:val="-2"/>
                <w:sz w:val="24"/>
              </w:rPr>
              <w:t> </w:t>
            </w:r>
            <w:r>
              <w:rPr>
                <w:rFonts w:ascii="Verdana"/>
                <w:sz w:val="24"/>
              </w:rPr>
              <w:t>a briefing outside of the RJC meeting to SE outlining planned regional work to progress Urgent and Emergency Care</w:t>
            </w:r>
            <w:r>
              <w:rPr>
                <w:rFonts w:ascii="Verdana"/>
                <w:spacing w:val="-3"/>
                <w:sz w:val="24"/>
              </w:rPr>
              <w:t> </w:t>
            </w:r>
            <w:r>
              <w:rPr>
                <w:rFonts w:ascii="Verdana"/>
                <w:sz w:val="24"/>
              </w:rPr>
              <w:t>improvement</w:t>
            </w:r>
            <w:r>
              <w:rPr>
                <w:rFonts w:ascii="Verdana"/>
                <w:spacing w:val="-4"/>
                <w:sz w:val="24"/>
              </w:rPr>
              <w:t> </w:t>
            </w:r>
            <w:r>
              <w:rPr>
                <w:rFonts w:ascii="Verdana"/>
                <w:sz w:val="24"/>
              </w:rPr>
              <w:t>as</w:t>
            </w:r>
            <w:r>
              <w:rPr>
                <w:rFonts w:ascii="Verdana"/>
                <w:spacing w:val="-4"/>
                <w:sz w:val="24"/>
              </w:rPr>
              <w:t> </w:t>
            </w:r>
            <w:r>
              <w:rPr>
                <w:rFonts w:ascii="Verdana"/>
                <w:sz w:val="24"/>
              </w:rPr>
              <w:t>an</w:t>
            </w:r>
            <w:r>
              <w:rPr>
                <w:rFonts w:ascii="Verdana"/>
                <w:spacing w:val="-6"/>
                <w:sz w:val="24"/>
              </w:rPr>
              <w:t> </w:t>
            </w:r>
            <w:r>
              <w:rPr>
                <w:rFonts w:ascii="Verdana"/>
                <w:sz w:val="24"/>
              </w:rPr>
              <w:t>alternative,</w:t>
            </w:r>
            <w:r>
              <w:rPr>
                <w:rFonts w:ascii="Verdana"/>
                <w:spacing w:val="-6"/>
                <w:sz w:val="24"/>
              </w:rPr>
              <w:t> </w:t>
            </w:r>
            <w:r>
              <w:rPr>
                <w:rFonts w:ascii="Verdana"/>
                <w:sz w:val="24"/>
              </w:rPr>
              <w:t>given</w:t>
            </w:r>
            <w:r>
              <w:rPr>
                <w:rFonts w:ascii="Verdana"/>
                <w:spacing w:val="-6"/>
                <w:sz w:val="24"/>
              </w:rPr>
              <w:t> </w:t>
            </w:r>
            <w:r>
              <w:rPr>
                <w:rFonts w:ascii="Verdana"/>
                <w:sz w:val="24"/>
              </w:rPr>
              <w:t>the</w:t>
            </w:r>
            <w:r>
              <w:rPr>
                <w:rFonts w:ascii="Verdana"/>
                <w:spacing w:val="-3"/>
                <w:sz w:val="24"/>
              </w:rPr>
              <w:t> </w:t>
            </w:r>
            <w:r>
              <w:rPr>
                <w:rFonts w:ascii="Verdana"/>
                <w:sz w:val="24"/>
              </w:rPr>
              <w:t>closure</w:t>
            </w:r>
            <w:r>
              <w:rPr>
                <w:rFonts w:ascii="Verdana"/>
                <w:spacing w:val="-3"/>
                <w:sz w:val="24"/>
              </w:rPr>
              <w:t> </w:t>
            </w:r>
            <w:r>
              <w:rPr>
                <w:rFonts w:ascii="Verdana"/>
                <w:sz w:val="24"/>
              </w:rPr>
              <w:t>of</w:t>
            </w:r>
            <w:r>
              <w:rPr>
                <w:rFonts w:ascii="Verdana"/>
                <w:spacing w:val="-4"/>
                <w:sz w:val="24"/>
              </w:rPr>
              <w:t> </w:t>
            </w:r>
            <w:r>
              <w:rPr>
                <w:rFonts w:ascii="Verdana"/>
                <w:sz w:val="24"/>
              </w:rPr>
              <w:t>the</w:t>
            </w:r>
            <w:r>
              <w:rPr>
                <w:rFonts w:ascii="Verdana"/>
                <w:spacing w:val="-3"/>
                <w:sz w:val="24"/>
              </w:rPr>
              <w:t> </w:t>
            </w:r>
            <w:r>
              <w:rPr>
                <w:rFonts w:ascii="Verdana"/>
                <w:sz w:val="24"/>
              </w:rPr>
              <w:t>formal </w:t>
            </w:r>
            <w:r>
              <w:rPr>
                <w:rFonts w:ascii="Verdana"/>
                <w:spacing w:val="-2"/>
                <w:sz w:val="24"/>
              </w:rPr>
              <w:t>programme.</w:t>
            </w:r>
          </w:p>
          <w:p>
            <w:pPr>
              <w:pStyle w:val="TableParagraph"/>
              <w:spacing w:line="242" w:lineRule="auto"/>
              <w:ind w:left="109" w:right="392"/>
              <w:rPr>
                <w:rFonts w:ascii="Verdana"/>
                <w:sz w:val="24"/>
              </w:rPr>
            </w:pPr>
            <w:r>
              <w:rPr>
                <w:rFonts w:ascii="Verdana"/>
                <w:b/>
                <w:sz w:val="24"/>
              </w:rPr>
              <w:t>ACTION:</w:t>
            </w:r>
            <w:r>
              <w:rPr>
                <w:rFonts w:ascii="Verdana"/>
                <w:b/>
                <w:spacing w:val="-7"/>
                <w:sz w:val="24"/>
              </w:rPr>
              <w:t> </w:t>
            </w:r>
            <w:r>
              <w:rPr>
                <w:rFonts w:ascii="Verdana"/>
                <w:sz w:val="24"/>
              </w:rPr>
              <w:t>DL</w:t>
            </w:r>
            <w:r>
              <w:rPr>
                <w:rFonts w:ascii="Verdana"/>
                <w:spacing w:val="-3"/>
                <w:sz w:val="24"/>
              </w:rPr>
              <w:t> </w:t>
            </w:r>
            <w:r>
              <w:rPr>
                <w:rFonts w:ascii="Verdana"/>
                <w:sz w:val="24"/>
              </w:rPr>
              <w:t>to</w:t>
            </w:r>
            <w:r>
              <w:rPr>
                <w:rFonts w:ascii="Verdana"/>
                <w:spacing w:val="-4"/>
                <w:sz w:val="24"/>
              </w:rPr>
              <w:t> </w:t>
            </w:r>
            <w:r>
              <w:rPr>
                <w:rFonts w:ascii="Verdana"/>
                <w:sz w:val="24"/>
              </w:rPr>
              <w:t>investigate</w:t>
            </w:r>
            <w:r>
              <w:rPr>
                <w:rFonts w:ascii="Verdana"/>
                <w:spacing w:val="-2"/>
                <w:sz w:val="24"/>
              </w:rPr>
              <w:t> </w:t>
            </w:r>
            <w:r>
              <w:rPr>
                <w:rFonts w:ascii="Verdana"/>
                <w:sz w:val="24"/>
              </w:rPr>
              <w:t>the</w:t>
            </w:r>
            <w:r>
              <w:rPr>
                <w:rFonts w:ascii="Verdana"/>
                <w:spacing w:val="-2"/>
                <w:sz w:val="24"/>
              </w:rPr>
              <w:t> </w:t>
            </w:r>
            <w:r>
              <w:rPr>
                <w:rFonts w:ascii="Verdana"/>
                <w:sz w:val="24"/>
              </w:rPr>
              <w:t>progress</w:t>
            </w:r>
            <w:r>
              <w:rPr>
                <w:rFonts w:ascii="Verdana"/>
                <w:spacing w:val="-9"/>
                <w:sz w:val="24"/>
              </w:rPr>
              <w:t> </w:t>
            </w:r>
            <w:r>
              <w:rPr>
                <w:rFonts w:ascii="Verdana"/>
                <w:sz w:val="24"/>
              </w:rPr>
              <w:t>on</w:t>
            </w:r>
            <w:r>
              <w:rPr>
                <w:rFonts w:ascii="Verdana"/>
                <w:spacing w:val="-7"/>
                <w:sz w:val="24"/>
              </w:rPr>
              <w:t> </w:t>
            </w:r>
            <w:r>
              <w:rPr>
                <w:rFonts w:ascii="Verdana"/>
                <w:sz w:val="24"/>
              </w:rPr>
              <w:t>updating</w:t>
            </w:r>
            <w:r>
              <w:rPr>
                <w:rFonts w:ascii="Verdana"/>
                <w:spacing w:val="-4"/>
                <w:sz w:val="24"/>
              </w:rPr>
              <w:t> </w:t>
            </w:r>
            <w:r>
              <w:rPr>
                <w:rFonts w:ascii="Verdana"/>
                <w:sz w:val="24"/>
              </w:rPr>
              <w:t>the Vascular Long-Term Agreement.</w:t>
            </w:r>
          </w:p>
        </w:tc>
        <w:tc>
          <w:tcPr>
            <w:tcW w:w="711" w:type="dxa"/>
          </w:tcPr>
          <w:p>
            <w:pPr>
              <w:pStyle w:val="TableParagraph"/>
              <w:rPr>
                <w:rFonts w:ascii="Times New Roman"/>
                <w:sz w:val="22"/>
              </w:rPr>
            </w:pPr>
          </w:p>
        </w:tc>
      </w:tr>
      <w:tr>
        <w:trPr>
          <w:trHeight w:val="5121" w:hRule="atLeast"/>
        </w:trPr>
        <w:tc>
          <w:tcPr>
            <w:tcW w:w="1276" w:type="dxa"/>
          </w:tcPr>
          <w:p>
            <w:pPr>
              <w:pStyle w:val="TableParagraph"/>
              <w:spacing w:before="78"/>
              <w:ind w:left="135"/>
              <w:rPr>
                <w:rFonts w:ascii="Verdana"/>
                <w:b/>
                <w:sz w:val="24"/>
              </w:rPr>
            </w:pPr>
            <w:r>
              <w:rPr>
                <w:rFonts w:ascii="Verdana"/>
                <w:b/>
                <w:spacing w:val="-2"/>
                <w:sz w:val="24"/>
              </w:rPr>
              <w:t>RJC/23</w:t>
            </w:r>
          </w:p>
        </w:tc>
        <w:tc>
          <w:tcPr>
            <w:tcW w:w="8509" w:type="dxa"/>
          </w:tcPr>
          <w:p>
            <w:pPr>
              <w:pStyle w:val="TableParagraph"/>
              <w:spacing w:line="291" w:lineRule="exact" w:before="78"/>
              <w:ind w:left="109"/>
              <w:rPr>
                <w:rFonts w:ascii="Verdana"/>
                <w:b/>
                <w:sz w:val="24"/>
              </w:rPr>
            </w:pPr>
            <w:r>
              <w:rPr>
                <w:rFonts w:ascii="Verdana"/>
                <w:b/>
                <w:sz w:val="24"/>
              </w:rPr>
              <w:t>Regional</w:t>
            </w:r>
            <w:r>
              <w:rPr>
                <w:rFonts w:ascii="Verdana"/>
                <w:b/>
                <w:spacing w:val="-10"/>
                <w:sz w:val="24"/>
              </w:rPr>
              <w:t> </w:t>
            </w:r>
            <w:r>
              <w:rPr>
                <w:rFonts w:ascii="Verdana"/>
                <w:b/>
                <w:sz w:val="24"/>
              </w:rPr>
              <w:t>Health</w:t>
            </w:r>
            <w:r>
              <w:rPr>
                <w:rFonts w:ascii="Verdana"/>
                <w:b/>
                <w:spacing w:val="-6"/>
                <w:sz w:val="24"/>
              </w:rPr>
              <w:t> </w:t>
            </w:r>
            <w:r>
              <w:rPr>
                <w:rFonts w:ascii="Verdana"/>
                <w:b/>
                <w:sz w:val="24"/>
              </w:rPr>
              <w:t>Economy</w:t>
            </w:r>
            <w:r>
              <w:rPr>
                <w:rFonts w:ascii="Verdana"/>
                <w:b/>
                <w:spacing w:val="-7"/>
                <w:sz w:val="24"/>
              </w:rPr>
              <w:t> </w:t>
            </w:r>
            <w:r>
              <w:rPr>
                <w:rFonts w:ascii="Verdana"/>
                <w:b/>
                <w:sz w:val="24"/>
              </w:rPr>
              <w:t>Subgroup</w:t>
            </w:r>
            <w:r>
              <w:rPr>
                <w:rFonts w:ascii="Verdana"/>
                <w:b/>
                <w:spacing w:val="-3"/>
                <w:sz w:val="24"/>
              </w:rPr>
              <w:t> </w:t>
            </w:r>
            <w:r>
              <w:rPr>
                <w:rFonts w:ascii="Verdana"/>
                <w:b/>
                <w:spacing w:val="-2"/>
                <w:sz w:val="24"/>
              </w:rPr>
              <w:t>Update</w:t>
            </w:r>
          </w:p>
          <w:p>
            <w:pPr>
              <w:pStyle w:val="TableParagraph"/>
              <w:ind w:left="109" w:right="194"/>
              <w:rPr>
                <w:rFonts w:ascii="Verdana"/>
                <w:sz w:val="24"/>
              </w:rPr>
            </w:pPr>
            <w:r>
              <w:rPr>
                <w:rFonts w:ascii="Verdana"/>
                <w:sz w:val="24"/>
              </w:rPr>
              <w:t>The</w:t>
            </w:r>
            <w:r>
              <w:rPr>
                <w:rFonts w:ascii="Verdana"/>
                <w:spacing w:val="-3"/>
                <w:sz w:val="24"/>
              </w:rPr>
              <w:t> </w:t>
            </w:r>
            <w:r>
              <w:rPr>
                <w:rFonts w:ascii="Verdana"/>
                <w:sz w:val="24"/>
              </w:rPr>
              <w:t>Committee</w:t>
            </w:r>
            <w:r>
              <w:rPr>
                <w:rFonts w:ascii="Verdana"/>
                <w:spacing w:val="-7"/>
                <w:sz w:val="24"/>
              </w:rPr>
              <w:t> </w:t>
            </w:r>
            <w:r>
              <w:rPr>
                <w:rFonts w:ascii="Verdana"/>
                <w:sz w:val="24"/>
              </w:rPr>
              <w:t>received</w:t>
            </w:r>
            <w:r>
              <w:rPr>
                <w:rFonts w:ascii="Verdana"/>
                <w:spacing w:val="-4"/>
                <w:sz w:val="24"/>
              </w:rPr>
              <w:t> </w:t>
            </w:r>
            <w:r>
              <w:rPr>
                <w:rFonts w:ascii="Verdana"/>
                <w:sz w:val="24"/>
              </w:rPr>
              <w:t>an</w:t>
            </w:r>
            <w:r>
              <w:rPr>
                <w:rFonts w:ascii="Verdana"/>
                <w:spacing w:val="-6"/>
                <w:sz w:val="24"/>
              </w:rPr>
              <w:t> </w:t>
            </w:r>
            <w:r>
              <w:rPr>
                <w:rFonts w:ascii="Verdana"/>
                <w:sz w:val="24"/>
              </w:rPr>
              <w:t>update</w:t>
            </w:r>
            <w:r>
              <w:rPr>
                <w:rFonts w:ascii="Verdana"/>
                <w:spacing w:val="-2"/>
                <w:sz w:val="24"/>
              </w:rPr>
              <w:t> </w:t>
            </w:r>
            <w:r>
              <w:rPr>
                <w:rFonts w:ascii="Verdana"/>
                <w:sz w:val="24"/>
              </w:rPr>
              <w:t>on</w:t>
            </w:r>
            <w:r>
              <w:rPr>
                <w:rFonts w:ascii="Verdana"/>
                <w:spacing w:val="-7"/>
                <w:sz w:val="24"/>
              </w:rPr>
              <w:t> </w:t>
            </w:r>
            <w:r>
              <w:rPr>
                <w:rFonts w:ascii="Verdana"/>
                <w:sz w:val="24"/>
              </w:rPr>
              <w:t>progress</w:t>
            </w:r>
            <w:r>
              <w:rPr>
                <w:rFonts w:ascii="Verdana"/>
                <w:spacing w:val="-4"/>
                <w:sz w:val="24"/>
              </w:rPr>
              <w:t> </w:t>
            </w:r>
            <w:r>
              <w:rPr>
                <w:rFonts w:ascii="Verdana"/>
                <w:sz w:val="24"/>
              </w:rPr>
              <w:t>across</w:t>
            </w:r>
            <w:r>
              <w:rPr>
                <w:rFonts w:ascii="Verdana"/>
                <w:spacing w:val="-4"/>
                <w:sz w:val="24"/>
              </w:rPr>
              <w:t> </w:t>
            </w:r>
            <w:r>
              <w:rPr>
                <w:rFonts w:ascii="Verdana"/>
                <w:sz w:val="24"/>
              </w:rPr>
              <w:t>the</w:t>
            </w:r>
            <w:r>
              <w:rPr>
                <w:rFonts w:ascii="Verdana"/>
                <w:spacing w:val="-3"/>
                <w:sz w:val="24"/>
              </w:rPr>
              <w:t> </w:t>
            </w:r>
            <w:r>
              <w:rPr>
                <w:rFonts w:ascii="Verdana"/>
                <w:sz w:val="24"/>
              </w:rPr>
              <w:t>Regional Health Economy programme, structured around the Four Ps: People, Place, Procurement and Partnerships.</w:t>
            </w:r>
          </w:p>
          <w:p>
            <w:pPr>
              <w:pStyle w:val="TableParagraph"/>
              <w:spacing w:before="19"/>
              <w:rPr>
                <w:b/>
                <w:sz w:val="24"/>
              </w:rPr>
            </w:pPr>
          </w:p>
          <w:p>
            <w:pPr>
              <w:pStyle w:val="TableParagraph"/>
              <w:spacing w:line="291" w:lineRule="exact"/>
              <w:ind w:left="109"/>
              <w:rPr>
                <w:rFonts w:ascii="Verdana"/>
                <w:sz w:val="24"/>
              </w:rPr>
            </w:pPr>
            <w:r>
              <w:rPr>
                <w:rFonts w:ascii="Verdana"/>
                <w:sz w:val="24"/>
              </w:rPr>
              <w:t>Key</w:t>
            </w:r>
            <w:r>
              <w:rPr>
                <w:rFonts w:ascii="Verdana"/>
                <w:spacing w:val="-4"/>
                <w:sz w:val="24"/>
              </w:rPr>
              <w:t> </w:t>
            </w:r>
            <w:r>
              <w:rPr>
                <w:rFonts w:ascii="Verdana"/>
                <w:sz w:val="24"/>
              </w:rPr>
              <w:t>developments</w:t>
            </w:r>
            <w:r>
              <w:rPr>
                <w:rFonts w:ascii="Verdana"/>
                <w:spacing w:val="-1"/>
                <w:sz w:val="24"/>
              </w:rPr>
              <w:t> </w:t>
            </w:r>
            <w:r>
              <w:rPr>
                <w:rFonts w:ascii="Verdana"/>
                <w:spacing w:val="-2"/>
                <w:sz w:val="24"/>
              </w:rPr>
              <w:t>included:</w:t>
            </w:r>
          </w:p>
          <w:p>
            <w:pPr>
              <w:pStyle w:val="TableParagraph"/>
              <w:numPr>
                <w:ilvl w:val="0"/>
                <w:numId w:val="106"/>
              </w:numPr>
              <w:tabs>
                <w:tab w:pos="830" w:val="left" w:leader="none"/>
              </w:tabs>
              <w:spacing w:line="240" w:lineRule="auto" w:before="0" w:after="0"/>
              <w:ind w:left="830" w:right="558" w:hanging="361"/>
              <w:jc w:val="left"/>
              <w:rPr>
                <w:rFonts w:ascii="Verdana" w:hAnsi="Verdana"/>
                <w:sz w:val="24"/>
              </w:rPr>
            </w:pPr>
            <w:r>
              <w:rPr>
                <w:rFonts w:ascii="Verdana" w:hAnsi="Verdana"/>
                <w:sz w:val="24"/>
              </w:rPr>
              <w:t>Progress</w:t>
            </w:r>
            <w:r>
              <w:rPr>
                <w:rFonts w:ascii="Verdana" w:hAnsi="Verdana"/>
                <w:spacing w:val="-10"/>
                <w:sz w:val="24"/>
              </w:rPr>
              <w:t> </w:t>
            </w:r>
            <w:r>
              <w:rPr>
                <w:rFonts w:ascii="Verdana" w:hAnsi="Verdana"/>
                <w:sz w:val="24"/>
              </w:rPr>
              <w:t>on</w:t>
            </w:r>
            <w:r>
              <w:rPr>
                <w:rFonts w:ascii="Verdana" w:hAnsi="Verdana"/>
                <w:spacing w:val="-8"/>
                <w:sz w:val="24"/>
              </w:rPr>
              <w:t> </w:t>
            </w:r>
            <w:r>
              <w:rPr>
                <w:rFonts w:ascii="Verdana" w:hAnsi="Verdana"/>
                <w:sz w:val="24"/>
              </w:rPr>
              <w:t>Healthy</w:t>
            </w:r>
            <w:r>
              <w:rPr>
                <w:rFonts w:ascii="Verdana" w:hAnsi="Verdana"/>
                <w:spacing w:val="-7"/>
                <w:sz w:val="24"/>
              </w:rPr>
              <w:t> </w:t>
            </w:r>
            <w:r>
              <w:rPr>
                <w:rFonts w:ascii="Verdana" w:hAnsi="Verdana"/>
                <w:sz w:val="24"/>
              </w:rPr>
              <w:t>Weight,</w:t>
            </w:r>
            <w:r>
              <w:rPr>
                <w:rFonts w:ascii="Verdana" w:hAnsi="Verdana"/>
                <w:spacing w:val="-2"/>
                <w:sz w:val="24"/>
              </w:rPr>
              <w:t> </w:t>
            </w:r>
            <w:r>
              <w:rPr>
                <w:rFonts w:ascii="Verdana" w:hAnsi="Verdana"/>
                <w:sz w:val="24"/>
              </w:rPr>
              <w:t>food</w:t>
            </w:r>
            <w:r>
              <w:rPr>
                <w:rFonts w:ascii="Verdana" w:hAnsi="Verdana"/>
                <w:spacing w:val="-5"/>
                <w:sz w:val="24"/>
              </w:rPr>
              <w:t> </w:t>
            </w:r>
            <w:r>
              <w:rPr>
                <w:rFonts w:ascii="Verdana" w:hAnsi="Verdana"/>
                <w:sz w:val="24"/>
              </w:rPr>
              <w:t>systems</w:t>
            </w:r>
            <w:r>
              <w:rPr>
                <w:rFonts w:ascii="Verdana" w:hAnsi="Verdana"/>
                <w:spacing w:val="-5"/>
                <w:sz w:val="24"/>
              </w:rPr>
              <w:t> </w:t>
            </w:r>
            <w:r>
              <w:rPr>
                <w:rFonts w:ascii="Verdana" w:hAnsi="Verdana"/>
                <w:sz w:val="24"/>
              </w:rPr>
              <w:t>work</w:t>
            </w:r>
            <w:r>
              <w:rPr>
                <w:rFonts w:ascii="Verdana" w:hAnsi="Verdana"/>
                <w:spacing w:val="-4"/>
                <w:sz w:val="24"/>
              </w:rPr>
              <w:t> </w:t>
            </w:r>
            <w:r>
              <w:rPr>
                <w:rFonts w:ascii="Verdana" w:hAnsi="Verdana"/>
                <w:sz w:val="24"/>
              </w:rPr>
              <w:t>and</w:t>
            </w:r>
            <w:r>
              <w:rPr>
                <w:rFonts w:ascii="Verdana" w:hAnsi="Verdana"/>
                <w:spacing w:val="-4"/>
                <w:sz w:val="24"/>
              </w:rPr>
              <w:t> </w:t>
            </w:r>
            <w:r>
              <w:rPr>
                <w:rFonts w:ascii="Verdana" w:hAnsi="Verdana"/>
                <w:sz w:val="24"/>
              </w:rPr>
              <w:t>Public Services Boards (PSB) engagement.</w:t>
            </w:r>
          </w:p>
          <w:p>
            <w:pPr>
              <w:pStyle w:val="TableParagraph"/>
              <w:numPr>
                <w:ilvl w:val="0"/>
                <w:numId w:val="106"/>
              </w:numPr>
              <w:tabs>
                <w:tab w:pos="830" w:val="left" w:leader="none"/>
              </w:tabs>
              <w:spacing w:line="240" w:lineRule="auto" w:before="1" w:after="0"/>
              <w:ind w:left="830" w:right="248" w:hanging="361"/>
              <w:jc w:val="left"/>
              <w:rPr>
                <w:rFonts w:ascii="Verdana" w:hAnsi="Verdana"/>
                <w:sz w:val="24"/>
              </w:rPr>
            </w:pPr>
            <w:r>
              <w:rPr>
                <w:rFonts w:ascii="Verdana" w:hAnsi="Verdana"/>
                <w:sz w:val="24"/>
              </w:rPr>
              <w:t>Ongoing</w:t>
            </w:r>
            <w:r>
              <w:rPr>
                <w:rFonts w:ascii="Verdana" w:hAnsi="Verdana"/>
                <w:spacing w:val="-4"/>
                <w:sz w:val="24"/>
              </w:rPr>
              <w:t> </w:t>
            </w:r>
            <w:r>
              <w:rPr>
                <w:rFonts w:ascii="Verdana" w:hAnsi="Verdana"/>
                <w:sz w:val="24"/>
              </w:rPr>
              <w:t>work</w:t>
            </w:r>
            <w:r>
              <w:rPr>
                <w:rFonts w:ascii="Verdana" w:hAnsi="Verdana"/>
                <w:spacing w:val="-6"/>
                <w:sz w:val="24"/>
              </w:rPr>
              <w:t> </w:t>
            </w:r>
            <w:r>
              <w:rPr>
                <w:rFonts w:ascii="Verdana" w:hAnsi="Verdana"/>
                <w:sz w:val="24"/>
              </w:rPr>
              <w:t>with</w:t>
            </w:r>
            <w:r>
              <w:rPr>
                <w:rFonts w:ascii="Verdana" w:hAnsi="Verdana"/>
                <w:spacing w:val="-5"/>
                <w:sz w:val="24"/>
              </w:rPr>
              <w:t> </w:t>
            </w:r>
            <w:r>
              <w:rPr>
                <w:rFonts w:ascii="Verdana" w:hAnsi="Verdana"/>
                <w:sz w:val="24"/>
              </w:rPr>
              <w:t>Public</w:t>
            </w:r>
            <w:r>
              <w:rPr>
                <w:rFonts w:ascii="Verdana" w:hAnsi="Verdana"/>
                <w:spacing w:val="-4"/>
                <w:sz w:val="24"/>
              </w:rPr>
              <w:t> </w:t>
            </w:r>
            <w:r>
              <w:rPr>
                <w:rFonts w:ascii="Verdana" w:hAnsi="Verdana"/>
                <w:sz w:val="24"/>
              </w:rPr>
              <w:t>Health</w:t>
            </w:r>
            <w:r>
              <w:rPr>
                <w:rFonts w:ascii="Verdana" w:hAnsi="Verdana"/>
                <w:spacing w:val="-6"/>
                <w:sz w:val="24"/>
              </w:rPr>
              <w:t> </w:t>
            </w:r>
            <w:r>
              <w:rPr>
                <w:rFonts w:ascii="Verdana" w:hAnsi="Verdana"/>
                <w:sz w:val="24"/>
              </w:rPr>
              <w:t>Wales</w:t>
            </w:r>
            <w:r>
              <w:rPr>
                <w:rFonts w:ascii="Verdana" w:hAnsi="Verdana"/>
                <w:spacing w:val="-4"/>
                <w:sz w:val="24"/>
              </w:rPr>
              <w:t> </w:t>
            </w:r>
            <w:r>
              <w:rPr>
                <w:rFonts w:ascii="Verdana" w:hAnsi="Verdana"/>
                <w:sz w:val="24"/>
              </w:rPr>
              <w:t>(PHW)</w:t>
            </w:r>
            <w:r>
              <w:rPr>
                <w:rFonts w:ascii="Verdana" w:hAnsi="Verdana"/>
                <w:spacing w:val="-3"/>
                <w:sz w:val="24"/>
              </w:rPr>
              <w:t> </w:t>
            </w:r>
            <w:r>
              <w:rPr>
                <w:rFonts w:ascii="Verdana" w:hAnsi="Verdana"/>
                <w:sz w:val="24"/>
              </w:rPr>
              <w:t>on</w:t>
            </w:r>
            <w:r>
              <w:rPr>
                <w:rFonts w:ascii="Verdana" w:hAnsi="Verdana"/>
                <w:spacing w:val="-7"/>
                <w:sz w:val="24"/>
              </w:rPr>
              <w:t> </w:t>
            </w:r>
            <w:r>
              <w:rPr>
                <w:rFonts w:ascii="Verdana" w:hAnsi="Verdana"/>
                <w:sz w:val="24"/>
              </w:rPr>
              <w:t>inequalities profiles and analytical support.</w:t>
            </w:r>
          </w:p>
          <w:p>
            <w:pPr>
              <w:pStyle w:val="TableParagraph"/>
              <w:numPr>
                <w:ilvl w:val="0"/>
                <w:numId w:val="106"/>
              </w:numPr>
              <w:tabs>
                <w:tab w:pos="830" w:val="left" w:leader="none"/>
              </w:tabs>
              <w:spacing w:line="242" w:lineRule="auto" w:before="0" w:after="0"/>
              <w:ind w:left="830" w:right="465" w:hanging="361"/>
              <w:jc w:val="left"/>
              <w:rPr>
                <w:rFonts w:ascii="Verdana" w:hAnsi="Verdana"/>
                <w:sz w:val="24"/>
              </w:rPr>
            </w:pPr>
            <w:r>
              <w:rPr>
                <w:rFonts w:ascii="Verdana" w:hAnsi="Verdana"/>
                <w:sz w:val="24"/>
              </w:rPr>
              <w:t>Alignment</w:t>
            </w:r>
            <w:r>
              <w:rPr>
                <w:rFonts w:ascii="Verdana" w:hAnsi="Verdana"/>
                <w:spacing w:val="-7"/>
                <w:sz w:val="24"/>
              </w:rPr>
              <w:t> </w:t>
            </w:r>
            <w:r>
              <w:rPr>
                <w:rFonts w:ascii="Verdana" w:hAnsi="Verdana"/>
                <w:sz w:val="24"/>
              </w:rPr>
              <w:t>with</w:t>
            </w:r>
            <w:r>
              <w:rPr>
                <w:rFonts w:ascii="Verdana" w:hAnsi="Verdana"/>
                <w:spacing w:val="-9"/>
                <w:sz w:val="24"/>
              </w:rPr>
              <w:t> </w:t>
            </w:r>
            <w:r>
              <w:rPr>
                <w:rFonts w:ascii="Verdana" w:hAnsi="Verdana"/>
                <w:sz w:val="24"/>
              </w:rPr>
              <w:t>population</w:t>
            </w:r>
            <w:r>
              <w:rPr>
                <w:rFonts w:ascii="Verdana" w:hAnsi="Verdana"/>
                <w:spacing w:val="-5"/>
                <w:sz w:val="24"/>
              </w:rPr>
              <w:t> </w:t>
            </w:r>
            <w:r>
              <w:rPr>
                <w:rFonts w:ascii="Verdana" w:hAnsi="Verdana"/>
                <w:sz w:val="24"/>
              </w:rPr>
              <w:t>health,</w:t>
            </w:r>
            <w:r>
              <w:rPr>
                <w:rFonts w:ascii="Verdana" w:hAnsi="Verdana"/>
                <w:spacing w:val="-6"/>
                <w:sz w:val="24"/>
              </w:rPr>
              <w:t> </w:t>
            </w:r>
            <w:r>
              <w:rPr>
                <w:rFonts w:ascii="Verdana" w:hAnsi="Verdana"/>
                <w:sz w:val="24"/>
              </w:rPr>
              <w:t>prevention</w:t>
            </w:r>
            <w:r>
              <w:rPr>
                <w:rFonts w:ascii="Verdana" w:hAnsi="Verdana"/>
                <w:spacing w:val="-9"/>
                <w:sz w:val="24"/>
              </w:rPr>
              <w:t> </w:t>
            </w:r>
            <w:r>
              <w:rPr>
                <w:rFonts w:ascii="Verdana" w:hAnsi="Verdana"/>
                <w:sz w:val="24"/>
              </w:rPr>
              <w:t>and</w:t>
            </w:r>
            <w:r>
              <w:rPr>
                <w:rFonts w:ascii="Verdana" w:hAnsi="Verdana"/>
                <w:spacing w:val="-7"/>
                <w:sz w:val="24"/>
              </w:rPr>
              <w:t> </w:t>
            </w:r>
            <w:r>
              <w:rPr>
                <w:rFonts w:ascii="Verdana" w:hAnsi="Verdana"/>
                <w:sz w:val="24"/>
              </w:rPr>
              <w:t>wellbeing economy approaches.</w:t>
            </w:r>
          </w:p>
          <w:p>
            <w:pPr>
              <w:pStyle w:val="TableParagraph"/>
              <w:spacing w:before="7"/>
              <w:rPr>
                <w:b/>
                <w:sz w:val="24"/>
              </w:rPr>
            </w:pPr>
          </w:p>
          <w:p>
            <w:pPr>
              <w:pStyle w:val="TableParagraph"/>
              <w:ind w:left="109"/>
              <w:rPr>
                <w:rFonts w:ascii="Verdana"/>
                <w:b/>
                <w:sz w:val="24"/>
              </w:rPr>
            </w:pPr>
            <w:r>
              <w:rPr>
                <w:rFonts w:ascii="Verdana"/>
                <w:b/>
                <w:sz w:val="24"/>
              </w:rPr>
              <w:t>Summary</w:t>
            </w:r>
            <w:r>
              <w:rPr>
                <w:rFonts w:ascii="Verdana"/>
                <w:b/>
                <w:spacing w:val="-6"/>
                <w:sz w:val="24"/>
              </w:rPr>
              <w:t> </w:t>
            </w:r>
            <w:r>
              <w:rPr>
                <w:rFonts w:ascii="Verdana"/>
                <w:b/>
                <w:sz w:val="24"/>
              </w:rPr>
              <w:t>of</w:t>
            </w:r>
            <w:r>
              <w:rPr>
                <w:rFonts w:ascii="Verdana"/>
                <w:b/>
                <w:spacing w:val="-5"/>
                <w:sz w:val="24"/>
              </w:rPr>
              <w:t> </w:t>
            </w:r>
            <w:r>
              <w:rPr>
                <w:rFonts w:ascii="Verdana"/>
                <w:b/>
                <w:spacing w:val="-2"/>
                <w:sz w:val="24"/>
              </w:rPr>
              <w:t>Discussion</w:t>
            </w:r>
          </w:p>
          <w:p>
            <w:pPr>
              <w:pStyle w:val="TableParagraph"/>
              <w:spacing w:line="291" w:lineRule="exact" w:before="4"/>
              <w:ind w:left="109"/>
              <w:rPr>
                <w:rFonts w:ascii="Verdana"/>
                <w:sz w:val="24"/>
              </w:rPr>
            </w:pPr>
            <w:r>
              <w:rPr>
                <w:rFonts w:ascii="Verdana"/>
                <w:sz w:val="24"/>
              </w:rPr>
              <w:t>Members</w:t>
            </w:r>
            <w:r>
              <w:rPr>
                <w:rFonts w:ascii="Verdana"/>
                <w:spacing w:val="-2"/>
                <w:sz w:val="24"/>
              </w:rPr>
              <w:t> </w:t>
            </w:r>
            <w:r>
              <w:rPr>
                <w:rFonts w:ascii="Verdana"/>
                <w:sz w:val="24"/>
              </w:rPr>
              <w:t>welcomed</w:t>
            </w:r>
            <w:r>
              <w:rPr>
                <w:rFonts w:ascii="Verdana"/>
                <w:spacing w:val="-2"/>
                <w:sz w:val="24"/>
              </w:rPr>
              <w:t> </w:t>
            </w:r>
            <w:r>
              <w:rPr>
                <w:rFonts w:ascii="Verdana"/>
                <w:sz w:val="24"/>
              </w:rPr>
              <w:t>the</w:t>
            </w:r>
            <w:r>
              <w:rPr>
                <w:rFonts w:ascii="Verdana"/>
                <w:spacing w:val="-1"/>
                <w:sz w:val="24"/>
              </w:rPr>
              <w:t> </w:t>
            </w:r>
            <w:r>
              <w:rPr>
                <w:rFonts w:ascii="Verdana"/>
                <w:sz w:val="24"/>
              </w:rPr>
              <w:t>direction</w:t>
            </w:r>
            <w:r>
              <w:rPr>
                <w:rFonts w:ascii="Verdana"/>
                <w:spacing w:val="-4"/>
                <w:sz w:val="24"/>
              </w:rPr>
              <w:t> </w:t>
            </w:r>
            <w:r>
              <w:rPr>
                <w:rFonts w:ascii="Verdana"/>
                <w:sz w:val="24"/>
              </w:rPr>
              <w:t>of</w:t>
            </w:r>
            <w:r>
              <w:rPr>
                <w:rFonts w:ascii="Verdana"/>
                <w:spacing w:val="-2"/>
                <w:sz w:val="24"/>
              </w:rPr>
              <w:t> </w:t>
            </w:r>
            <w:r>
              <w:rPr>
                <w:rFonts w:ascii="Verdana"/>
                <w:sz w:val="24"/>
              </w:rPr>
              <w:t>travel</w:t>
            </w:r>
            <w:r>
              <w:rPr>
                <w:rFonts w:ascii="Verdana"/>
                <w:spacing w:val="-3"/>
                <w:sz w:val="24"/>
              </w:rPr>
              <w:t> </w:t>
            </w:r>
            <w:r>
              <w:rPr>
                <w:rFonts w:ascii="Verdana"/>
                <w:sz w:val="24"/>
              </w:rPr>
              <w:t>and</w:t>
            </w:r>
            <w:r>
              <w:rPr>
                <w:rFonts w:ascii="Verdana"/>
                <w:spacing w:val="-1"/>
                <w:sz w:val="24"/>
              </w:rPr>
              <w:t> </w:t>
            </w:r>
            <w:r>
              <w:rPr>
                <w:rFonts w:ascii="Verdana"/>
                <w:spacing w:val="-2"/>
                <w:sz w:val="24"/>
              </w:rPr>
              <w:t>emphasised:</w:t>
            </w:r>
          </w:p>
          <w:p>
            <w:pPr>
              <w:pStyle w:val="TableParagraph"/>
              <w:numPr>
                <w:ilvl w:val="0"/>
                <w:numId w:val="106"/>
              </w:numPr>
              <w:tabs>
                <w:tab w:pos="830" w:val="left" w:leader="none"/>
              </w:tabs>
              <w:spacing w:line="240" w:lineRule="auto" w:before="0" w:after="0"/>
              <w:ind w:left="830" w:right="801" w:hanging="361"/>
              <w:jc w:val="left"/>
              <w:rPr>
                <w:rFonts w:ascii="Verdana" w:hAnsi="Verdana"/>
                <w:sz w:val="24"/>
              </w:rPr>
            </w:pPr>
            <w:r>
              <w:rPr>
                <w:rFonts w:ascii="Verdana" w:hAnsi="Verdana"/>
                <w:sz w:val="24"/>
              </w:rPr>
              <w:t>The</w:t>
            </w:r>
            <w:r>
              <w:rPr>
                <w:rFonts w:ascii="Verdana" w:hAnsi="Verdana"/>
                <w:spacing w:val="-5"/>
                <w:sz w:val="24"/>
              </w:rPr>
              <w:t> </w:t>
            </w:r>
            <w:r>
              <w:rPr>
                <w:rFonts w:ascii="Verdana" w:hAnsi="Verdana"/>
                <w:sz w:val="24"/>
              </w:rPr>
              <w:t>importance</w:t>
            </w:r>
            <w:r>
              <w:rPr>
                <w:rFonts w:ascii="Verdana" w:hAnsi="Verdana"/>
                <w:spacing w:val="-8"/>
                <w:sz w:val="24"/>
              </w:rPr>
              <w:t> </w:t>
            </w:r>
            <w:r>
              <w:rPr>
                <w:rFonts w:ascii="Verdana" w:hAnsi="Verdana"/>
                <w:sz w:val="24"/>
              </w:rPr>
              <w:t>of</w:t>
            </w:r>
            <w:r>
              <w:rPr>
                <w:rFonts w:ascii="Verdana" w:hAnsi="Verdana"/>
                <w:spacing w:val="-6"/>
                <w:sz w:val="24"/>
              </w:rPr>
              <w:t> </w:t>
            </w:r>
            <w:r>
              <w:rPr>
                <w:rFonts w:ascii="Verdana" w:hAnsi="Verdana"/>
                <w:sz w:val="24"/>
              </w:rPr>
              <w:t>quantifying</w:t>
            </w:r>
            <w:r>
              <w:rPr>
                <w:rFonts w:ascii="Verdana" w:hAnsi="Verdana"/>
                <w:spacing w:val="-6"/>
                <w:sz w:val="24"/>
              </w:rPr>
              <w:t> </w:t>
            </w:r>
            <w:r>
              <w:rPr>
                <w:rFonts w:ascii="Verdana" w:hAnsi="Verdana"/>
                <w:sz w:val="24"/>
              </w:rPr>
              <w:t>opportunity</w:t>
            </w:r>
            <w:r>
              <w:rPr>
                <w:rFonts w:ascii="Verdana" w:hAnsi="Verdana"/>
                <w:spacing w:val="-3"/>
                <w:sz w:val="24"/>
              </w:rPr>
              <w:t> </w:t>
            </w:r>
            <w:r>
              <w:rPr>
                <w:rFonts w:ascii="Verdana" w:hAnsi="Verdana"/>
                <w:sz w:val="24"/>
              </w:rPr>
              <w:t>and</w:t>
            </w:r>
            <w:r>
              <w:rPr>
                <w:rFonts w:ascii="Verdana" w:hAnsi="Verdana"/>
                <w:spacing w:val="-6"/>
                <w:sz w:val="24"/>
              </w:rPr>
              <w:t> </w:t>
            </w:r>
            <w:r>
              <w:rPr>
                <w:rFonts w:ascii="Verdana" w:hAnsi="Verdana"/>
                <w:sz w:val="24"/>
              </w:rPr>
              <w:t>impact</w:t>
            </w:r>
            <w:r>
              <w:rPr>
                <w:rFonts w:ascii="Verdana" w:hAnsi="Verdana"/>
                <w:spacing w:val="-6"/>
                <w:sz w:val="24"/>
              </w:rPr>
              <w:t> </w:t>
            </w:r>
            <w:r>
              <w:rPr>
                <w:rFonts w:ascii="Verdana" w:hAnsi="Verdana"/>
                <w:sz w:val="24"/>
              </w:rPr>
              <w:t>to support system investment arguments.</w:t>
            </w:r>
          </w:p>
        </w:tc>
        <w:tc>
          <w:tcPr>
            <w:tcW w:w="711" w:type="dxa"/>
          </w:tcPr>
          <w:p>
            <w:pPr>
              <w:pStyle w:val="TableParagraph"/>
              <w:rPr>
                <w:rFonts w:ascii="Times New Roman"/>
                <w:sz w:val="22"/>
              </w:rPr>
            </w:pPr>
          </w:p>
        </w:tc>
      </w:tr>
    </w:tbl>
    <w:p>
      <w:pPr>
        <w:spacing w:before="190"/>
        <w:ind w:left="0" w:right="180" w:firstLine="0"/>
        <w:jc w:val="right"/>
        <w:rPr>
          <w:b/>
          <w:sz w:val="24"/>
        </w:rPr>
      </w:pPr>
      <w:r>
        <w:rPr>
          <w:sz w:val="24"/>
        </w:rPr>
        <w:t>Page </w:t>
      </w:r>
      <w:r>
        <w:rPr>
          <w:b/>
          <w:sz w:val="24"/>
        </w:rPr>
        <w:t>6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84" name="Image 784"/>
            <wp:cNvGraphicFramePr>
              <a:graphicFrameLocks/>
            </wp:cNvGraphicFramePr>
            <a:graphic>
              <a:graphicData uri="http://schemas.openxmlformats.org/drawingml/2006/picture">
                <pic:pic>
                  <pic:nvPicPr>
                    <pic:cNvPr id="784" name="Image 784"/>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85" name="Image 785"/>
            <wp:cNvGraphicFramePr>
              <a:graphicFrameLocks/>
            </wp:cNvGraphicFramePr>
            <a:graphic>
              <a:graphicData uri="http://schemas.openxmlformats.org/drawingml/2006/picture">
                <pic:pic>
                  <pic:nvPicPr>
                    <pic:cNvPr id="785" name="Image 785"/>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3751" w:hRule="atLeast"/>
        </w:trPr>
        <w:tc>
          <w:tcPr>
            <w:tcW w:w="1276" w:type="dxa"/>
          </w:tcPr>
          <w:p>
            <w:pPr>
              <w:pStyle w:val="TableParagraph"/>
              <w:rPr>
                <w:rFonts w:ascii="Times New Roman"/>
                <w:sz w:val="22"/>
              </w:rPr>
            </w:pPr>
          </w:p>
        </w:tc>
        <w:tc>
          <w:tcPr>
            <w:tcW w:w="8509" w:type="dxa"/>
          </w:tcPr>
          <w:p>
            <w:pPr>
              <w:pStyle w:val="TableParagraph"/>
              <w:numPr>
                <w:ilvl w:val="0"/>
                <w:numId w:val="107"/>
              </w:numPr>
              <w:tabs>
                <w:tab w:pos="830" w:val="left" w:leader="none"/>
              </w:tabs>
              <w:spacing w:line="240" w:lineRule="auto" w:before="78" w:after="0"/>
              <w:ind w:left="830" w:right="461" w:hanging="361"/>
              <w:jc w:val="left"/>
              <w:rPr>
                <w:rFonts w:ascii="Verdana" w:hAnsi="Verdana"/>
                <w:sz w:val="24"/>
              </w:rPr>
            </w:pPr>
            <w:r>
              <w:rPr>
                <w:rFonts w:ascii="Verdana" w:hAnsi="Verdana"/>
                <w:sz w:val="24"/>
              </w:rPr>
              <w:t>The</w:t>
            </w:r>
            <w:r>
              <w:rPr>
                <w:rFonts w:ascii="Verdana" w:hAnsi="Verdana"/>
                <w:spacing w:val="-3"/>
                <w:sz w:val="24"/>
              </w:rPr>
              <w:t> </w:t>
            </w:r>
            <w:r>
              <w:rPr>
                <w:rFonts w:ascii="Verdana" w:hAnsi="Verdana"/>
                <w:sz w:val="24"/>
              </w:rPr>
              <w:t>reliance</w:t>
            </w:r>
            <w:r>
              <w:rPr>
                <w:rFonts w:ascii="Verdana" w:hAnsi="Verdana"/>
                <w:spacing w:val="-3"/>
                <w:sz w:val="24"/>
              </w:rPr>
              <w:t> </w:t>
            </w:r>
            <w:r>
              <w:rPr>
                <w:rFonts w:ascii="Verdana" w:hAnsi="Verdana"/>
                <w:sz w:val="24"/>
              </w:rPr>
              <w:t>on</w:t>
            </w:r>
            <w:r>
              <w:rPr>
                <w:rFonts w:ascii="Verdana" w:hAnsi="Verdana"/>
                <w:spacing w:val="-7"/>
                <w:sz w:val="24"/>
              </w:rPr>
              <w:t> </w:t>
            </w:r>
            <w:r>
              <w:rPr>
                <w:rFonts w:ascii="Verdana" w:hAnsi="Verdana"/>
                <w:sz w:val="24"/>
              </w:rPr>
              <w:t>national</w:t>
            </w:r>
            <w:r>
              <w:rPr>
                <w:rFonts w:ascii="Verdana" w:hAnsi="Verdana"/>
                <w:spacing w:val="-5"/>
                <w:sz w:val="24"/>
              </w:rPr>
              <w:t> </w:t>
            </w:r>
            <w:r>
              <w:rPr>
                <w:rFonts w:ascii="Verdana" w:hAnsi="Verdana"/>
                <w:sz w:val="24"/>
              </w:rPr>
              <w:t>analytical</w:t>
            </w:r>
            <w:r>
              <w:rPr>
                <w:rFonts w:ascii="Verdana" w:hAnsi="Verdana"/>
                <w:spacing w:val="-5"/>
                <w:sz w:val="24"/>
              </w:rPr>
              <w:t> </w:t>
            </w:r>
            <w:r>
              <w:rPr>
                <w:rFonts w:ascii="Verdana" w:hAnsi="Verdana"/>
                <w:sz w:val="24"/>
              </w:rPr>
              <w:t>capacity</w:t>
            </w:r>
            <w:r>
              <w:rPr>
                <w:rFonts w:ascii="Verdana" w:hAnsi="Verdana"/>
                <w:spacing w:val="-6"/>
                <w:sz w:val="24"/>
              </w:rPr>
              <w:t> </w:t>
            </w:r>
            <w:r>
              <w:rPr>
                <w:rFonts w:ascii="Verdana" w:hAnsi="Verdana"/>
                <w:sz w:val="24"/>
              </w:rPr>
              <w:t>and</w:t>
            </w:r>
            <w:r>
              <w:rPr>
                <w:rFonts w:ascii="Verdana" w:hAnsi="Verdana"/>
                <w:spacing w:val="-4"/>
                <w:sz w:val="24"/>
              </w:rPr>
              <w:t> </w:t>
            </w:r>
            <w:r>
              <w:rPr>
                <w:rFonts w:ascii="Verdana" w:hAnsi="Verdana"/>
                <w:sz w:val="24"/>
              </w:rPr>
              <w:t>the</w:t>
            </w:r>
            <w:r>
              <w:rPr>
                <w:rFonts w:ascii="Verdana" w:hAnsi="Verdana"/>
                <w:spacing w:val="-3"/>
                <w:sz w:val="24"/>
              </w:rPr>
              <w:t> </w:t>
            </w:r>
            <w:r>
              <w:rPr>
                <w:rFonts w:ascii="Verdana" w:hAnsi="Verdana"/>
                <w:sz w:val="24"/>
              </w:rPr>
              <w:t>need</w:t>
            </w:r>
            <w:r>
              <w:rPr>
                <w:rFonts w:ascii="Verdana" w:hAnsi="Verdana"/>
                <w:spacing w:val="-4"/>
                <w:sz w:val="24"/>
              </w:rPr>
              <w:t> </w:t>
            </w:r>
            <w:r>
              <w:rPr>
                <w:rFonts w:ascii="Verdana" w:hAnsi="Verdana"/>
                <w:sz w:val="24"/>
              </w:rPr>
              <w:t>to prioritise effectively.</w:t>
            </w:r>
          </w:p>
          <w:p>
            <w:pPr>
              <w:pStyle w:val="TableParagraph"/>
              <w:numPr>
                <w:ilvl w:val="0"/>
                <w:numId w:val="107"/>
              </w:numPr>
              <w:tabs>
                <w:tab w:pos="830" w:val="left" w:leader="none"/>
              </w:tabs>
              <w:spacing w:line="240" w:lineRule="auto" w:before="2" w:after="0"/>
              <w:ind w:left="830" w:right="478" w:hanging="361"/>
              <w:jc w:val="left"/>
              <w:rPr>
                <w:rFonts w:ascii="Verdana" w:hAnsi="Verdana"/>
                <w:sz w:val="24"/>
              </w:rPr>
            </w:pPr>
            <w:r>
              <w:rPr>
                <w:rFonts w:ascii="Verdana" w:hAnsi="Verdana"/>
                <w:sz w:val="24"/>
              </w:rPr>
              <w:t>It was agreed to amend the Terms of Reference to include providing</w:t>
            </w:r>
            <w:r>
              <w:rPr>
                <w:rFonts w:ascii="Verdana" w:hAnsi="Verdana"/>
                <w:spacing w:val="-5"/>
                <w:sz w:val="24"/>
              </w:rPr>
              <w:t> </w:t>
            </w:r>
            <w:r>
              <w:rPr>
                <w:rFonts w:ascii="Verdana" w:hAnsi="Verdana"/>
                <w:sz w:val="24"/>
              </w:rPr>
              <w:t>strategic</w:t>
            </w:r>
            <w:r>
              <w:rPr>
                <w:rFonts w:ascii="Verdana" w:hAnsi="Verdana"/>
                <w:spacing w:val="-5"/>
                <w:sz w:val="24"/>
              </w:rPr>
              <w:t> </w:t>
            </w:r>
            <w:r>
              <w:rPr>
                <w:rFonts w:ascii="Verdana" w:hAnsi="Verdana"/>
                <w:sz w:val="24"/>
              </w:rPr>
              <w:t>leadership</w:t>
            </w:r>
            <w:r>
              <w:rPr>
                <w:rFonts w:ascii="Verdana" w:hAnsi="Verdana"/>
                <w:spacing w:val="-5"/>
                <w:sz w:val="24"/>
              </w:rPr>
              <w:t> </w:t>
            </w:r>
            <w:r>
              <w:rPr>
                <w:rFonts w:ascii="Verdana" w:hAnsi="Verdana"/>
                <w:sz w:val="24"/>
              </w:rPr>
              <w:t>and</w:t>
            </w:r>
            <w:r>
              <w:rPr>
                <w:rFonts w:ascii="Verdana" w:hAnsi="Verdana"/>
                <w:spacing w:val="-5"/>
                <w:sz w:val="24"/>
              </w:rPr>
              <w:t> </w:t>
            </w:r>
            <w:r>
              <w:rPr>
                <w:rFonts w:ascii="Verdana" w:hAnsi="Verdana"/>
                <w:sz w:val="24"/>
              </w:rPr>
              <w:t>developing</w:t>
            </w:r>
            <w:r>
              <w:rPr>
                <w:rFonts w:ascii="Verdana" w:hAnsi="Verdana"/>
                <w:spacing w:val="-5"/>
                <w:sz w:val="24"/>
              </w:rPr>
              <w:t> </w:t>
            </w:r>
            <w:r>
              <w:rPr>
                <w:rFonts w:ascii="Verdana" w:hAnsi="Verdana"/>
                <w:sz w:val="24"/>
              </w:rPr>
              <w:t>strategies</w:t>
            </w:r>
            <w:r>
              <w:rPr>
                <w:rFonts w:ascii="Verdana" w:hAnsi="Verdana"/>
                <w:spacing w:val="-10"/>
                <w:sz w:val="24"/>
              </w:rPr>
              <w:t> </w:t>
            </w:r>
            <w:r>
              <w:rPr>
                <w:rFonts w:ascii="Verdana" w:hAnsi="Verdana"/>
                <w:sz w:val="24"/>
              </w:rPr>
              <w:t>for approval as well as including points on national policy initiatives and events.</w:t>
            </w:r>
          </w:p>
          <w:p>
            <w:pPr>
              <w:pStyle w:val="TableParagraph"/>
              <w:spacing w:before="13"/>
              <w:rPr>
                <w:b/>
                <w:sz w:val="24"/>
              </w:rPr>
            </w:pPr>
          </w:p>
          <w:p>
            <w:pPr>
              <w:pStyle w:val="TableParagraph"/>
              <w:ind w:left="109"/>
              <w:rPr>
                <w:rFonts w:ascii="Verdana"/>
                <w:b/>
                <w:sz w:val="24"/>
              </w:rPr>
            </w:pPr>
            <w:r>
              <w:rPr>
                <w:rFonts w:ascii="Verdana"/>
                <w:b/>
                <w:sz w:val="24"/>
              </w:rPr>
              <mc:AlternateContent>
                <mc:Choice Requires="wps">
                  <w:drawing>
                    <wp:anchor distT="0" distB="0" distL="0" distR="0" allowOverlap="1" layoutInCell="1" locked="0" behindDoc="1" simplePos="0" relativeHeight="477236224">
                      <wp:simplePos x="0" y="0"/>
                      <wp:positionH relativeFrom="column">
                        <wp:posOffset>-495727</wp:posOffset>
                      </wp:positionH>
                      <wp:positionV relativeFrom="paragraph">
                        <wp:posOffset>-295980</wp:posOffset>
                      </wp:positionV>
                      <wp:extent cx="5452745" cy="5744845"/>
                      <wp:effectExtent l="0" t="0" r="0" b="0"/>
                      <wp:wrapNone/>
                      <wp:docPr id="786" name="Group 786"/>
                      <wp:cNvGraphicFramePr>
                        <a:graphicFrameLocks/>
                      </wp:cNvGraphicFramePr>
                      <a:graphic>
                        <a:graphicData uri="http://schemas.microsoft.com/office/word/2010/wordprocessingGroup">
                          <wpg:wgp>
                            <wpg:cNvPr id="786" name="Group 786"/>
                            <wpg:cNvGrpSpPr/>
                            <wpg:grpSpPr>
                              <a:xfrm>
                                <a:off x="0" y="0"/>
                                <a:ext cx="5452745" cy="5744845"/>
                                <a:chExt cx="5452745" cy="5744845"/>
                              </a:xfrm>
                            </wpg:grpSpPr>
                            <wps:wsp>
                              <wps:cNvPr id="787" name="Graphic 787"/>
                              <wps:cNvSpPr/>
                              <wps:spPr>
                                <a:xfrm>
                                  <a:off x="-3"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39.033688pt;margin-top:-23.305565pt;width:429.35pt;height:452.35pt;mso-position-horizontal-relative:column;mso-position-vertical-relative:paragraph;z-index:-26080256" id="docshapegroup524" coordorigin="-781,-466" coordsize="8587,9047">
                      <v:shape style="position:absolute;left:-781;top:-467;width:8587;height:9047" id="docshape525" coordorigin="-781,-466" coordsize="8587,9047" path="m2725,7604l2719,7530,2708,7454,2691,7376,2668,7296,2646,7233,2621,7169,2593,7103,2561,7036,2526,6968,2487,6899,2444,6828,2398,6756,2348,6683,2337,6668,2337,7520,2330,7589,2314,7657,2288,7722,2253,7784,2208,7845,2154,7904,1947,8112,-313,5852,-108,5647,-44,5590,21,5543,89,5508,160,5484,232,5473,307,5471,384,5476,463,5488,545,5509,629,5539,700,5569,773,5604,847,5644,921,5689,997,5739,1074,5793,1133,5838,1191,5885,1250,5933,1309,5983,1368,6035,1426,6089,1485,6145,1544,6203,1609,6268,1670,6332,1729,6395,1785,6457,1838,6517,1889,6577,1936,6635,1981,6692,2023,6747,2074,6819,2120,6888,2161,6956,2198,7022,2230,7086,2259,7149,2283,7210,2310,7292,2328,7371,2337,7447,2337,7520,2337,6668,2309,6628,2267,6572,2224,6515,2178,6458,2131,6399,2081,6341,2030,6281,1976,6221,1920,6161,1862,6099,1803,6037,1741,5975,1676,5911,1611,5849,1546,5789,1482,5731,1418,5676,1355,5623,1292,5572,1229,5524,1167,5478,1158,5471,1106,5434,1030,5383,955,5335,880,5292,807,5252,734,5216,662,5184,592,5155,522,5129,444,5106,368,5088,294,5076,221,5069,150,5067,80,5070,13,5077,-64,5094,-139,5120,-211,5155,-282,5200,-350,5253,-417,5314,-761,5658,-772,5673,-779,5693,-781,5716,-778,5742,-767,5774,-747,5810,-718,5848,-679,5890,1911,8480,1953,8519,1991,8548,2026,8567,2057,8576,2085,8581,2108,8579,2128,8573,2143,8562,2465,8240,2526,8174,2574,8112,2579,8106,2623,8036,2660,7964,2688,7889,2708,7813,2719,7745,2725,7676,2725,7604xm4537,6145l4535,6134,4529,6123,4523,6114,4516,6105,4509,6096,4501,6087,4491,6078,4478,6067,4463,6054,4444,6041,4423,6025,4311,5950,3533,5445,3470,5404,3407,5365,3382,5350,3291,5295,3237,5265,3185,5237,3135,5212,3087,5190,3041,5171,2996,5155,2954,5142,2913,5131,2874,5124,2844,5120,2837,5120,2801,5119,2766,5120,2775,5064,2780,5007,2780,4948,2777,4889,2769,4830,2756,4768,2738,4706,2715,4642,2687,4578,2654,4513,2616,4446,2570,4378,2530,4324,2486,4269,2448,4224,2448,4879,2446,4928,2439,4976,2425,5023,2403,5069,2375,5112,2339,5153,2141,5350,1163,4371,1333,4201,1362,4173,1389,4148,1414,4128,1437,4111,1459,4097,1481,4085,1503,4075,1525,4067,1598,4054,1673,4055,1749,4071,1827,4102,1891,4137,1956,4179,2022,4229,2089,4287,2157,4351,2207,4404,2253,4457,2296,4510,2335,4564,2368,4619,2395,4672,2416,4725,2432,4777,2443,4829,2448,4879,2448,4224,2438,4212,2386,4155,2330,4097,2285,4054,2270,4039,2210,3984,2150,3933,2091,3887,2032,3844,1958,3797,1886,3756,1814,3722,1743,3693,1672,3671,1604,3656,1536,3648,1471,3646,1406,3652,1343,3665,1282,3685,1223,3710,1204,3723,1183,3736,1141,3765,1119,3784,1095,3805,1068,3829,1040,3857,718,4179,706,4195,700,4214,698,4237,701,4263,712,4296,732,4331,761,4370,800,4412,3488,7100,3497,7108,3506,7116,3515,7122,3524,7127,3537,7132,3548,7134,3561,7131,3572,7129,3584,7125,3596,7121,3608,7115,3620,7106,3633,7096,3646,7085,3661,7071,3675,7057,3687,7043,3697,7030,3706,7017,3711,7005,3716,6993,3719,6982,3720,6971,3723,6960,3722,6947,3717,6935,3712,6925,3705,6916,3698,6907,3690,6898,2453,5662,2588,5527,2624,5496,2662,5472,2703,5456,2745,5446,2791,5445,2838,5448,2888,5457,2941,5471,2995,5490,3052,5514,3111,5542,3172,5576,3235,5613,3301,5653,3368,5695,3438,5741,4278,6296,4293,6305,4306,6313,4319,6319,4330,6324,4341,6327,4352,6328,4363,6328,4376,6328,4388,6324,4399,6319,4411,6312,4423,6304,4436,6293,4450,6281,4465,6267,4481,6250,4495,6234,4507,6220,4516,6207,4524,6195,4530,6183,4534,6172,4536,6160,4537,6145xm5981,4717l5978,4704,5973,4691,5965,4677,5954,4663,5940,4648,5923,4633,5903,4617,5879,4600,5851,4580,5428,4289,4529,3678,4529,4035,4001,4563,2816,2853,2817,2852,4529,4035,4529,3678,3317,2852,2645,2392,2630,2383,2616,2374,2602,2367,2589,2362,2577,2359,2565,2358,2553,2359,2541,2361,2528,2364,2515,2370,2501,2377,2487,2387,2473,2399,2458,2413,2441,2429,2406,2464,2392,2479,2379,2493,2368,2507,2359,2520,2352,2533,2347,2545,2344,2558,2342,2570,2341,2582,2342,2593,2346,2605,2351,2618,2357,2631,2365,2644,2374,2658,2418,2723,4562,5865,4582,5892,4599,5916,4616,5936,4631,5953,4645,5967,4660,5978,4673,5986,4687,5992,4699,5994,4712,5994,4725,5990,4739,5984,4753,5974,4767,5962,4783,5949,4799,5933,4815,5917,4828,5902,4839,5887,4849,5874,4856,5863,4861,5852,4864,5840,4865,5827,4864,5817,4863,5807,4861,5797,4856,5786,4852,5776,4846,5766,4840,5755,4832,5743,4258,4921,4616,4563,4890,4289,5727,4866,5739,4873,5751,4879,5761,4885,5771,4889,5784,4895,5795,4896,5808,4893,5818,4892,5829,4888,5841,4882,5854,4873,5867,4863,5881,4851,5896,4836,5914,4818,5931,4800,5945,4784,5958,4769,5968,4755,5975,4743,5980,4730,5981,4717xm6417,4267l6417,4257,6414,4248,6410,4237,6405,4228,6400,4220,6393,4211,6385,4203,5175,2993,5707,2462,5707,2453,5706,2440,5704,2431,5701,2421,5697,2410,5690,2398,5683,2386,5674,2372,5662,2356,5649,2340,5634,2324,5600,2287,5580,2266,5557,2244,5535,2224,5499,2190,5483,2177,5468,2167,5455,2158,5443,2151,5432,2146,5422,2142,5412,2139,5403,2137,5393,2138,5386,2141,4855,2673,3867,1685,4429,1123,4432,1116,4431,1104,4429,1095,4426,1085,4421,1074,4407,1049,4398,1035,4387,1020,4373,1004,4358,987,4322,949,4302,927,4280,907,4260,887,4223,853,4207,840,4191,828,4177,819,4163,810,4151,804,4140,799,4130,796,4121,794,4108,793,4102,795,3413,1484,3402,1500,3395,1519,3393,1542,3396,1568,3407,1601,3427,1636,3456,1674,3495,1716,6183,4405,6192,4413,6200,4419,6208,4425,6217,4429,6228,4434,6237,4437,6247,4437,6267,4434,6279,4430,6291,4425,6304,4419,6316,4411,6329,4401,6342,4389,6356,4376,6370,4361,6382,4347,6392,4334,6401,4322,6407,4310,6411,4298,6414,4287,6417,4267xm7806,2876l7804,2865,7799,2852,7794,2843,7788,2834,7780,2825,7772,2816,5254,298,5687,-135,5691,-143,5690,-155,5688,-164,5685,-174,5680,-185,5674,-198,5666,-209,5657,-223,5645,-238,5631,-254,5599,-289,5580,-309,5560,-330,5538,-351,5518,-370,5481,-404,5465,-418,5450,-430,5436,-440,5422,-449,5410,-455,5399,-460,5389,-463,5380,-465,5367,-466,5359,-462,4292,605,4288,613,4292,634,4295,644,4300,655,4306,667,4315,680,4325,695,4337,710,4367,745,4384,764,4403,784,4424,805,4445,826,4465,845,4484,861,4501,876,4517,890,4532,901,4546,911,4570,925,4580,930,4590,933,4611,937,4619,933,5052,500,7570,3018,7579,3026,7588,3034,7597,3040,7606,3045,7619,3050,7630,3052,7643,3049,7654,3047,7666,3043,7678,3038,7690,3033,7702,3024,7715,3014,7729,3002,7743,2989,7757,2974,7769,2960,7779,2947,7788,2935,7793,2923,7798,2911,7801,2900,7803,2889,7806,2876xe" filled="true" fillcolor="#c0c0c0" stroked="false">
                        <v:path arrowok="t"/>
                        <v:fill opacity="32896f" type="solid"/>
                      </v:shape>
                      <w10:wrap type="none"/>
                    </v:group>
                  </w:pict>
                </mc:Fallback>
              </mc:AlternateContent>
            </w:r>
            <w:r>
              <w:rPr>
                <w:rFonts w:ascii="Verdana"/>
                <w:b/>
                <w:spacing w:val="-2"/>
                <w:sz w:val="24"/>
              </w:rPr>
              <w:t>Actions/Agreements</w:t>
            </w:r>
          </w:p>
          <w:p>
            <w:pPr>
              <w:pStyle w:val="TableParagraph"/>
              <w:spacing w:line="259" w:lineRule="auto" w:before="4"/>
              <w:ind w:left="109" w:right="194"/>
              <w:rPr>
                <w:rFonts w:ascii="Verdana"/>
                <w:sz w:val="24"/>
              </w:rPr>
            </w:pPr>
            <w:r>
              <w:rPr>
                <w:rFonts w:ascii="Verdana"/>
                <w:b/>
                <w:sz w:val="24"/>
              </w:rPr>
              <w:t>Agreement:</w:t>
            </w:r>
            <w:r>
              <w:rPr>
                <w:rFonts w:ascii="Verdana"/>
                <w:b/>
                <w:spacing w:val="-7"/>
                <w:sz w:val="24"/>
              </w:rPr>
              <w:t> </w:t>
            </w:r>
            <w:r>
              <w:rPr>
                <w:rFonts w:ascii="Verdana"/>
                <w:sz w:val="24"/>
              </w:rPr>
              <w:t>The</w:t>
            </w:r>
            <w:r>
              <w:rPr>
                <w:rFonts w:ascii="Verdana"/>
                <w:spacing w:val="-4"/>
                <w:sz w:val="24"/>
              </w:rPr>
              <w:t> </w:t>
            </w:r>
            <w:r>
              <w:rPr>
                <w:rFonts w:ascii="Verdana"/>
                <w:sz w:val="24"/>
              </w:rPr>
              <w:t>Committee</w:t>
            </w:r>
            <w:r>
              <w:rPr>
                <w:rFonts w:ascii="Verdana"/>
                <w:spacing w:val="-8"/>
                <w:sz w:val="24"/>
              </w:rPr>
              <w:t> </w:t>
            </w:r>
            <w:r>
              <w:rPr>
                <w:rFonts w:ascii="Verdana"/>
                <w:sz w:val="24"/>
              </w:rPr>
              <w:t>noted</w:t>
            </w:r>
            <w:r>
              <w:rPr>
                <w:rFonts w:ascii="Verdana"/>
                <w:spacing w:val="-5"/>
                <w:sz w:val="24"/>
              </w:rPr>
              <w:t> </w:t>
            </w:r>
            <w:r>
              <w:rPr>
                <w:rFonts w:ascii="Verdana"/>
                <w:sz w:val="24"/>
              </w:rPr>
              <w:t>the</w:t>
            </w:r>
            <w:r>
              <w:rPr>
                <w:rFonts w:ascii="Verdana"/>
                <w:spacing w:val="-4"/>
                <w:sz w:val="24"/>
              </w:rPr>
              <w:t> </w:t>
            </w:r>
            <w:r>
              <w:rPr>
                <w:rFonts w:ascii="Verdana"/>
                <w:sz w:val="24"/>
              </w:rPr>
              <w:t>continued</w:t>
            </w:r>
            <w:r>
              <w:rPr>
                <w:rFonts w:ascii="Verdana"/>
                <w:spacing w:val="-5"/>
                <w:sz w:val="24"/>
              </w:rPr>
              <w:t> </w:t>
            </w:r>
            <w:r>
              <w:rPr>
                <w:rFonts w:ascii="Verdana"/>
                <w:sz w:val="24"/>
              </w:rPr>
              <w:t>progress</w:t>
            </w:r>
            <w:r>
              <w:rPr>
                <w:rFonts w:ascii="Verdana"/>
                <w:spacing w:val="-5"/>
                <w:sz w:val="24"/>
              </w:rPr>
              <w:t> </w:t>
            </w:r>
            <w:r>
              <w:rPr>
                <w:rFonts w:ascii="Verdana"/>
                <w:sz w:val="24"/>
              </w:rPr>
              <w:t>made across all programme areas</w:t>
            </w:r>
            <w:r>
              <w:rPr>
                <w:rFonts w:ascii="Verdana"/>
                <w:color w:val="ED0000"/>
                <w:sz w:val="24"/>
              </w:rPr>
              <w:t>.</w:t>
            </w:r>
          </w:p>
          <w:p>
            <w:pPr>
              <w:pStyle w:val="TableParagraph"/>
              <w:spacing w:line="259" w:lineRule="auto"/>
              <w:ind w:left="109"/>
              <w:rPr>
                <w:rFonts w:ascii="Verdana"/>
                <w:sz w:val="24"/>
              </w:rPr>
            </w:pPr>
            <w:r>
              <w:rPr>
                <w:rFonts w:ascii="Verdana"/>
                <w:b/>
                <w:sz w:val="24"/>
              </w:rPr>
              <w:t>Agreement:</w:t>
            </w:r>
            <w:r>
              <w:rPr>
                <w:rFonts w:ascii="Verdana"/>
                <w:b/>
                <w:spacing w:val="-5"/>
                <w:sz w:val="24"/>
              </w:rPr>
              <w:t> </w:t>
            </w:r>
            <w:r>
              <w:rPr>
                <w:rFonts w:ascii="Verdana"/>
                <w:sz w:val="24"/>
              </w:rPr>
              <w:t>The</w:t>
            </w:r>
            <w:r>
              <w:rPr>
                <w:rFonts w:ascii="Verdana"/>
                <w:spacing w:val="-1"/>
                <w:sz w:val="24"/>
              </w:rPr>
              <w:t> </w:t>
            </w:r>
            <w:r>
              <w:rPr>
                <w:rFonts w:ascii="Verdana"/>
                <w:sz w:val="24"/>
              </w:rPr>
              <w:t>Committee</w:t>
            </w:r>
            <w:r>
              <w:rPr>
                <w:rFonts w:ascii="Verdana"/>
                <w:spacing w:val="-7"/>
                <w:sz w:val="24"/>
              </w:rPr>
              <w:t> </w:t>
            </w:r>
            <w:r>
              <w:rPr>
                <w:rFonts w:ascii="Verdana"/>
                <w:sz w:val="24"/>
              </w:rPr>
              <w:t>approved</w:t>
            </w:r>
            <w:r>
              <w:rPr>
                <w:rFonts w:ascii="Verdana"/>
                <w:spacing w:val="-8"/>
                <w:sz w:val="24"/>
              </w:rPr>
              <w:t> </w:t>
            </w:r>
            <w:r>
              <w:rPr>
                <w:rFonts w:ascii="Verdana"/>
                <w:sz w:val="24"/>
              </w:rPr>
              <w:t>the</w:t>
            </w:r>
            <w:r>
              <w:rPr>
                <w:rFonts w:ascii="Verdana"/>
                <w:spacing w:val="-3"/>
                <w:sz w:val="24"/>
              </w:rPr>
              <w:t> </w:t>
            </w:r>
            <w:r>
              <w:rPr>
                <w:rFonts w:ascii="Verdana"/>
                <w:sz w:val="24"/>
              </w:rPr>
              <w:t>REI</w:t>
            </w:r>
            <w:r>
              <w:rPr>
                <w:rFonts w:ascii="Verdana"/>
                <w:spacing w:val="-5"/>
                <w:sz w:val="24"/>
              </w:rPr>
              <w:t> </w:t>
            </w:r>
            <w:r>
              <w:rPr>
                <w:rFonts w:ascii="Verdana"/>
                <w:sz w:val="24"/>
              </w:rPr>
              <w:t>Terms</w:t>
            </w:r>
            <w:r>
              <w:rPr>
                <w:rFonts w:ascii="Verdana"/>
                <w:spacing w:val="-4"/>
                <w:sz w:val="24"/>
              </w:rPr>
              <w:t> </w:t>
            </w:r>
            <w:r>
              <w:rPr>
                <w:rFonts w:ascii="Verdana"/>
                <w:sz w:val="24"/>
              </w:rPr>
              <w:t>of</w:t>
            </w:r>
            <w:r>
              <w:rPr>
                <w:rFonts w:ascii="Verdana"/>
                <w:spacing w:val="-8"/>
                <w:sz w:val="24"/>
              </w:rPr>
              <w:t> </w:t>
            </w:r>
            <w:r>
              <w:rPr>
                <w:rFonts w:ascii="Verdana"/>
                <w:sz w:val="24"/>
              </w:rPr>
              <w:t>Reference, subject to the changes agreed.</w:t>
            </w:r>
          </w:p>
        </w:tc>
        <w:tc>
          <w:tcPr>
            <w:tcW w:w="711" w:type="dxa"/>
          </w:tcPr>
          <w:p>
            <w:pPr>
              <w:pStyle w:val="TableParagraph"/>
              <w:rPr>
                <w:rFonts w:ascii="Times New Roman"/>
                <w:sz w:val="22"/>
              </w:rPr>
            </w:pPr>
          </w:p>
        </w:tc>
      </w:tr>
      <w:tr>
        <w:trPr>
          <w:trHeight w:val="8042" w:hRule="atLeast"/>
        </w:trPr>
        <w:tc>
          <w:tcPr>
            <w:tcW w:w="1276" w:type="dxa"/>
          </w:tcPr>
          <w:p>
            <w:pPr>
              <w:pStyle w:val="TableParagraph"/>
              <w:spacing w:before="78"/>
              <w:ind w:left="135"/>
              <w:rPr>
                <w:rFonts w:ascii="Verdana"/>
                <w:b/>
                <w:sz w:val="24"/>
              </w:rPr>
            </w:pPr>
            <w:r>
              <w:rPr>
                <w:rFonts w:ascii="Verdana"/>
                <w:b/>
                <w:spacing w:val="-2"/>
                <w:sz w:val="24"/>
              </w:rPr>
              <w:t>RJC/24</w:t>
            </w:r>
          </w:p>
        </w:tc>
        <w:tc>
          <w:tcPr>
            <w:tcW w:w="8509" w:type="dxa"/>
          </w:tcPr>
          <w:p>
            <w:pPr>
              <w:pStyle w:val="TableParagraph"/>
              <w:spacing w:before="78"/>
              <w:ind w:left="109"/>
              <w:rPr>
                <w:rFonts w:ascii="Verdana"/>
                <w:b/>
                <w:sz w:val="24"/>
              </w:rPr>
            </w:pPr>
            <w:r>
              <w:rPr>
                <w:rFonts w:ascii="Verdana"/>
                <w:b/>
                <w:sz w:val="24"/>
              </w:rPr>
              <w:t>Data</w:t>
            </w:r>
            <w:r>
              <w:rPr>
                <w:rFonts w:ascii="Verdana"/>
                <w:b/>
                <w:spacing w:val="-6"/>
                <w:sz w:val="24"/>
              </w:rPr>
              <w:t> </w:t>
            </w:r>
            <w:r>
              <w:rPr>
                <w:rFonts w:ascii="Verdana"/>
                <w:b/>
                <w:sz w:val="24"/>
              </w:rPr>
              <w:t>and</w:t>
            </w:r>
            <w:r>
              <w:rPr>
                <w:rFonts w:ascii="Verdana"/>
                <w:b/>
                <w:spacing w:val="-4"/>
                <w:sz w:val="24"/>
              </w:rPr>
              <w:t> </w:t>
            </w:r>
            <w:r>
              <w:rPr>
                <w:rFonts w:ascii="Verdana"/>
                <w:b/>
                <w:sz w:val="24"/>
              </w:rPr>
              <w:t>Digital</w:t>
            </w:r>
            <w:r>
              <w:rPr>
                <w:rFonts w:ascii="Verdana"/>
                <w:b/>
                <w:spacing w:val="-3"/>
                <w:sz w:val="24"/>
              </w:rPr>
              <w:t> </w:t>
            </w:r>
            <w:r>
              <w:rPr>
                <w:rFonts w:ascii="Verdana"/>
                <w:b/>
                <w:sz w:val="24"/>
              </w:rPr>
              <w:t>Subgroup</w:t>
            </w:r>
            <w:r>
              <w:rPr>
                <w:rFonts w:ascii="Verdana"/>
                <w:b/>
                <w:spacing w:val="-3"/>
                <w:sz w:val="24"/>
              </w:rPr>
              <w:t> </w:t>
            </w:r>
            <w:r>
              <w:rPr>
                <w:rFonts w:ascii="Verdana"/>
                <w:b/>
                <w:spacing w:val="-2"/>
                <w:sz w:val="24"/>
              </w:rPr>
              <w:t>Update</w:t>
            </w:r>
          </w:p>
          <w:p>
            <w:pPr>
              <w:pStyle w:val="TableParagraph"/>
              <w:spacing w:before="4"/>
              <w:ind w:left="109" w:right="194"/>
              <w:rPr>
                <w:rFonts w:ascii="Verdana"/>
                <w:sz w:val="24"/>
              </w:rPr>
            </w:pPr>
            <w:r>
              <w:rPr>
                <w:rFonts w:ascii="Verdana"/>
                <w:sz w:val="24"/>
              </w:rPr>
              <w:t>An</w:t>
            </w:r>
            <w:r>
              <w:rPr>
                <w:rFonts w:ascii="Verdana"/>
                <w:spacing w:val="-6"/>
                <w:sz w:val="24"/>
              </w:rPr>
              <w:t> </w:t>
            </w:r>
            <w:r>
              <w:rPr>
                <w:rFonts w:ascii="Verdana"/>
                <w:sz w:val="24"/>
              </w:rPr>
              <w:t>update</w:t>
            </w:r>
            <w:r>
              <w:rPr>
                <w:rFonts w:ascii="Verdana"/>
                <w:spacing w:val="-2"/>
                <w:sz w:val="24"/>
              </w:rPr>
              <w:t> </w:t>
            </w:r>
            <w:r>
              <w:rPr>
                <w:rFonts w:ascii="Verdana"/>
                <w:sz w:val="24"/>
              </w:rPr>
              <w:t>was</w:t>
            </w:r>
            <w:r>
              <w:rPr>
                <w:rFonts w:ascii="Verdana"/>
                <w:spacing w:val="-4"/>
                <w:sz w:val="24"/>
              </w:rPr>
              <w:t> </w:t>
            </w:r>
            <w:r>
              <w:rPr>
                <w:rFonts w:ascii="Verdana"/>
                <w:sz w:val="24"/>
              </w:rPr>
              <w:t>provided</w:t>
            </w:r>
            <w:r>
              <w:rPr>
                <w:rFonts w:ascii="Verdana"/>
                <w:spacing w:val="-4"/>
                <w:sz w:val="24"/>
              </w:rPr>
              <w:t> </w:t>
            </w:r>
            <w:r>
              <w:rPr>
                <w:rFonts w:ascii="Verdana"/>
                <w:sz w:val="24"/>
              </w:rPr>
              <w:t>on</w:t>
            </w:r>
            <w:r>
              <w:rPr>
                <w:rFonts w:ascii="Verdana"/>
                <w:spacing w:val="-7"/>
                <w:sz w:val="24"/>
              </w:rPr>
              <w:t> </w:t>
            </w:r>
            <w:r>
              <w:rPr>
                <w:rFonts w:ascii="Verdana"/>
                <w:sz w:val="24"/>
              </w:rPr>
              <w:t>the</w:t>
            </w:r>
            <w:r>
              <w:rPr>
                <w:rFonts w:ascii="Verdana"/>
                <w:spacing w:val="-3"/>
                <w:sz w:val="24"/>
              </w:rPr>
              <w:t> </w:t>
            </w:r>
            <w:r>
              <w:rPr>
                <w:rFonts w:ascii="Verdana"/>
                <w:sz w:val="24"/>
              </w:rPr>
              <w:t>emerging</w:t>
            </w:r>
            <w:r>
              <w:rPr>
                <w:rFonts w:ascii="Verdana"/>
                <w:spacing w:val="-4"/>
                <w:sz w:val="24"/>
              </w:rPr>
              <w:t> </w:t>
            </w:r>
            <w:r>
              <w:rPr>
                <w:rFonts w:ascii="Verdana"/>
                <w:sz w:val="24"/>
              </w:rPr>
              <w:t>regional</w:t>
            </w:r>
            <w:r>
              <w:rPr>
                <w:rFonts w:ascii="Verdana"/>
                <w:spacing w:val="-5"/>
                <w:sz w:val="24"/>
              </w:rPr>
              <w:t> </w:t>
            </w:r>
            <w:r>
              <w:rPr>
                <w:rFonts w:ascii="Verdana"/>
                <w:sz w:val="24"/>
              </w:rPr>
              <w:t>digital</w:t>
            </w:r>
            <w:r>
              <w:rPr>
                <w:rFonts w:ascii="Verdana"/>
                <w:spacing w:val="-5"/>
                <w:sz w:val="24"/>
              </w:rPr>
              <w:t> </w:t>
            </w:r>
            <w:r>
              <w:rPr>
                <w:rFonts w:ascii="Verdana"/>
                <w:sz w:val="24"/>
              </w:rPr>
              <w:t>vision, emphasising capability-based development rather than</w:t>
            </w:r>
          </w:p>
          <w:p>
            <w:pPr>
              <w:pStyle w:val="TableParagraph"/>
              <w:spacing w:before="1"/>
              <w:ind w:left="109"/>
              <w:rPr>
                <w:rFonts w:ascii="Verdana"/>
                <w:sz w:val="24"/>
              </w:rPr>
            </w:pPr>
            <w:r>
              <w:rPr>
                <w:rFonts w:ascii="Verdana"/>
                <w:sz w:val="24"/>
              </w:rPr>
              <w:t>system-specific</w:t>
            </w:r>
            <w:r>
              <w:rPr>
                <w:rFonts w:ascii="Verdana"/>
                <w:spacing w:val="4"/>
                <w:sz w:val="24"/>
              </w:rPr>
              <w:t> </w:t>
            </w:r>
            <w:r>
              <w:rPr>
                <w:rFonts w:ascii="Verdana"/>
                <w:spacing w:val="-2"/>
                <w:sz w:val="24"/>
              </w:rPr>
              <w:t>solutions.</w:t>
            </w:r>
          </w:p>
          <w:p>
            <w:pPr>
              <w:pStyle w:val="TableParagraph"/>
              <w:spacing w:before="13"/>
              <w:rPr>
                <w:b/>
                <w:sz w:val="24"/>
              </w:rPr>
            </w:pPr>
          </w:p>
          <w:p>
            <w:pPr>
              <w:pStyle w:val="TableParagraph"/>
              <w:ind w:left="109" w:right="672"/>
              <w:jc w:val="both"/>
              <w:rPr>
                <w:rFonts w:ascii="Verdana"/>
                <w:sz w:val="24"/>
              </w:rPr>
            </w:pPr>
            <w:r>
              <w:rPr>
                <w:rFonts w:ascii="Verdana"/>
                <w:sz w:val="24"/>
              </w:rPr>
              <w:t>Key</w:t>
            </w:r>
            <w:r>
              <w:rPr>
                <w:rFonts w:ascii="Verdana"/>
                <w:spacing w:val="-8"/>
                <w:sz w:val="24"/>
              </w:rPr>
              <w:t> </w:t>
            </w:r>
            <w:r>
              <w:rPr>
                <w:rFonts w:ascii="Verdana"/>
                <w:sz w:val="24"/>
              </w:rPr>
              <w:t>themes</w:t>
            </w:r>
            <w:r>
              <w:rPr>
                <w:rFonts w:ascii="Verdana"/>
                <w:spacing w:val="-7"/>
                <w:sz w:val="24"/>
              </w:rPr>
              <w:t> </w:t>
            </w:r>
            <w:r>
              <w:rPr>
                <w:rFonts w:ascii="Verdana"/>
                <w:sz w:val="24"/>
              </w:rPr>
              <w:t>included</w:t>
            </w:r>
            <w:r>
              <w:rPr>
                <w:rFonts w:ascii="Verdana"/>
                <w:spacing w:val="-7"/>
                <w:sz w:val="24"/>
              </w:rPr>
              <w:t> </w:t>
            </w:r>
            <w:r>
              <w:rPr>
                <w:rFonts w:ascii="Verdana"/>
                <w:sz w:val="24"/>
              </w:rPr>
              <w:t>interoperability,</w:t>
            </w:r>
            <w:r>
              <w:rPr>
                <w:rFonts w:ascii="Verdana"/>
                <w:spacing w:val="-4"/>
                <w:sz w:val="24"/>
              </w:rPr>
              <w:t> </w:t>
            </w:r>
            <w:r>
              <w:rPr>
                <w:rFonts w:ascii="Verdana"/>
                <w:sz w:val="24"/>
              </w:rPr>
              <w:t>Artificial</w:t>
            </w:r>
            <w:r>
              <w:rPr>
                <w:rFonts w:ascii="Verdana"/>
                <w:spacing w:val="-7"/>
                <w:sz w:val="24"/>
              </w:rPr>
              <w:t> </w:t>
            </w:r>
            <w:r>
              <w:rPr>
                <w:rFonts w:ascii="Verdana"/>
                <w:sz w:val="24"/>
              </w:rPr>
              <w:t>Intelligence</w:t>
            </w:r>
            <w:r>
              <w:rPr>
                <w:rFonts w:ascii="Verdana"/>
                <w:spacing w:val="-6"/>
                <w:sz w:val="24"/>
              </w:rPr>
              <w:t> </w:t>
            </w:r>
            <w:r>
              <w:rPr>
                <w:rFonts w:ascii="Verdana"/>
                <w:sz w:val="24"/>
              </w:rPr>
              <w:t>(AI), data</w:t>
            </w:r>
            <w:r>
              <w:rPr>
                <w:rFonts w:ascii="Verdana"/>
                <w:spacing w:val="-4"/>
                <w:sz w:val="24"/>
              </w:rPr>
              <w:t> </w:t>
            </w:r>
            <w:r>
              <w:rPr>
                <w:rFonts w:ascii="Verdana"/>
                <w:sz w:val="24"/>
              </w:rPr>
              <w:t>sharing,</w:t>
            </w:r>
            <w:r>
              <w:rPr>
                <w:rFonts w:ascii="Verdana"/>
                <w:spacing w:val="-2"/>
                <w:sz w:val="24"/>
              </w:rPr>
              <w:t> </w:t>
            </w:r>
            <w:r>
              <w:rPr>
                <w:rFonts w:ascii="Verdana"/>
                <w:sz w:val="24"/>
              </w:rPr>
              <w:t>workforce</w:t>
            </w:r>
            <w:r>
              <w:rPr>
                <w:rFonts w:ascii="Verdana"/>
                <w:spacing w:val="-4"/>
                <w:sz w:val="24"/>
              </w:rPr>
              <w:t> </w:t>
            </w:r>
            <w:r>
              <w:rPr>
                <w:rFonts w:ascii="Verdana"/>
                <w:sz w:val="24"/>
              </w:rPr>
              <w:t>readiness</w:t>
            </w:r>
            <w:r>
              <w:rPr>
                <w:rFonts w:ascii="Verdana"/>
                <w:spacing w:val="-5"/>
                <w:sz w:val="24"/>
              </w:rPr>
              <w:t> </w:t>
            </w:r>
            <w:r>
              <w:rPr>
                <w:rFonts w:ascii="Verdana"/>
                <w:sz w:val="24"/>
              </w:rPr>
              <w:t>and</w:t>
            </w:r>
            <w:r>
              <w:rPr>
                <w:rFonts w:ascii="Verdana"/>
                <w:spacing w:val="-5"/>
                <w:sz w:val="24"/>
              </w:rPr>
              <w:t> </w:t>
            </w:r>
            <w:r>
              <w:rPr>
                <w:rFonts w:ascii="Verdana"/>
                <w:sz w:val="24"/>
              </w:rPr>
              <w:t>managing</w:t>
            </w:r>
            <w:r>
              <w:rPr>
                <w:rFonts w:ascii="Verdana"/>
                <w:spacing w:val="-5"/>
                <w:sz w:val="24"/>
              </w:rPr>
              <w:t> </w:t>
            </w:r>
            <w:r>
              <w:rPr>
                <w:rFonts w:ascii="Verdana"/>
                <w:sz w:val="24"/>
              </w:rPr>
              <w:t>legacy</w:t>
            </w:r>
            <w:r>
              <w:rPr>
                <w:rFonts w:ascii="Verdana"/>
                <w:spacing w:val="-7"/>
                <w:sz w:val="24"/>
              </w:rPr>
              <w:t> </w:t>
            </w:r>
            <w:r>
              <w:rPr>
                <w:rFonts w:ascii="Verdana"/>
                <w:sz w:val="24"/>
              </w:rPr>
              <w:t>system </w:t>
            </w:r>
            <w:r>
              <w:rPr>
                <w:rFonts w:ascii="Verdana"/>
                <w:spacing w:val="-2"/>
                <w:sz w:val="24"/>
              </w:rPr>
              <w:t>constraints.</w:t>
            </w:r>
          </w:p>
          <w:p>
            <w:pPr>
              <w:pStyle w:val="TableParagraph"/>
              <w:spacing w:before="20"/>
              <w:rPr>
                <w:b/>
                <w:sz w:val="24"/>
              </w:rPr>
            </w:pPr>
          </w:p>
          <w:p>
            <w:pPr>
              <w:pStyle w:val="TableParagraph"/>
              <w:spacing w:line="291" w:lineRule="exact"/>
              <w:ind w:left="109"/>
              <w:rPr>
                <w:rFonts w:ascii="Verdana"/>
                <w:b/>
                <w:sz w:val="24"/>
              </w:rPr>
            </w:pPr>
            <w:r>
              <w:rPr>
                <w:rFonts w:ascii="Verdana"/>
                <w:b/>
                <w:sz w:val="24"/>
              </w:rPr>
              <w:t>Summary</w:t>
            </w:r>
            <w:r>
              <w:rPr>
                <w:rFonts w:ascii="Verdana"/>
                <w:b/>
                <w:spacing w:val="-6"/>
                <w:sz w:val="24"/>
              </w:rPr>
              <w:t> </w:t>
            </w:r>
            <w:r>
              <w:rPr>
                <w:rFonts w:ascii="Verdana"/>
                <w:b/>
                <w:sz w:val="24"/>
              </w:rPr>
              <w:t>of</w:t>
            </w:r>
            <w:r>
              <w:rPr>
                <w:rFonts w:ascii="Verdana"/>
                <w:b/>
                <w:spacing w:val="-5"/>
                <w:sz w:val="24"/>
              </w:rPr>
              <w:t> </w:t>
            </w:r>
            <w:r>
              <w:rPr>
                <w:rFonts w:ascii="Verdana"/>
                <w:b/>
                <w:spacing w:val="-2"/>
                <w:sz w:val="24"/>
              </w:rPr>
              <w:t>Discussion</w:t>
            </w:r>
          </w:p>
          <w:p>
            <w:pPr>
              <w:pStyle w:val="TableParagraph"/>
              <w:spacing w:line="290" w:lineRule="exact"/>
              <w:ind w:left="109"/>
              <w:rPr>
                <w:rFonts w:ascii="Verdana"/>
                <w:sz w:val="24"/>
              </w:rPr>
            </w:pPr>
            <w:r>
              <w:rPr>
                <w:rFonts w:ascii="Verdana"/>
                <w:sz w:val="24"/>
              </w:rPr>
              <w:t>Members</w:t>
            </w:r>
            <w:r>
              <w:rPr>
                <w:rFonts w:ascii="Verdana"/>
                <w:spacing w:val="-3"/>
                <w:sz w:val="24"/>
              </w:rPr>
              <w:t> </w:t>
            </w:r>
            <w:r>
              <w:rPr>
                <w:rFonts w:ascii="Verdana"/>
                <w:sz w:val="24"/>
              </w:rPr>
              <w:t>stressed</w:t>
            </w:r>
            <w:r>
              <w:rPr>
                <w:rFonts w:ascii="Verdana"/>
                <w:spacing w:val="-3"/>
                <w:sz w:val="24"/>
              </w:rPr>
              <w:t> </w:t>
            </w:r>
            <w:r>
              <w:rPr>
                <w:rFonts w:ascii="Verdana"/>
                <w:sz w:val="24"/>
              </w:rPr>
              <w:t>the</w:t>
            </w:r>
            <w:r>
              <w:rPr>
                <w:rFonts w:ascii="Verdana"/>
                <w:spacing w:val="-2"/>
                <w:sz w:val="24"/>
              </w:rPr>
              <w:t> </w:t>
            </w:r>
            <w:r>
              <w:rPr>
                <w:rFonts w:ascii="Verdana"/>
                <w:sz w:val="24"/>
              </w:rPr>
              <w:t>need</w:t>
            </w:r>
            <w:r>
              <w:rPr>
                <w:rFonts w:ascii="Verdana"/>
                <w:spacing w:val="-3"/>
                <w:sz w:val="24"/>
              </w:rPr>
              <w:t> </w:t>
            </w:r>
            <w:r>
              <w:rPr>
                <w:rFonts w:ascii="Verdana"/>
                <w:spacing w:val="-5"/>
                <w:sz w:val="24"/>
              </w:rPr>
              <w:t>to:</w:t>
            </w:r>
          </w:p>
          <w:p>
            <w:pPr>
              <w:pStyle w:val="TableParagraph"/>
              <w:numPr>
                <w:ilvl w:val="0"/>
                <w:numId w:val="108"/>
              </w:numPr>
              <w:tabs>
                <w:tab w:pos="830" w:val="left" w:leader="none"/>
              </w:tabs>
              <w:spacing w:line="291" w:lineRule="exact" w:before="0" w:after="0"/>
              <w:ind w:left="830" w:right="0" w:hanging="361"/>
              <w:jc w:val="left"/>
              <w:rPr>
                <w:rFonts w:ascii="Verdana" w:hAnsi="Verdana"/>
                <w:sz w:val="24"/>
              </w:rPr>
            </w:pPr>
            <w:r>
              <w:rPr>
                <w:rFonts w:ascii="Verdana" w:hAnsi="Verdana"/>
                <w:sz w:val="24"/>
              </w:rPr>
              <w:t>Translate</w:t>
            </w:r>
            <w:r>
              <w:rPr>
                <w:rFonts w:ascii="Verdana" w:hAnsi="Verdana"/>
                <w:spacing w:val="-5"/>
                <w:sz w:val="24"/>
              </w:rPr>
              <w:t> </w:t>
            </w:r>
            <w:r>
              <w:rPr>
                <w:rFonts w:ascii="Verdana" w:hAnsi="Verdana"/>
                <w:sz w:val="24"/>
              </w:rPr>
              <w:t>strategic</w:t>
            </w:r>
            <w:r>
              <w:rPr>
                <w:rFonts w:ascii="Verdana" w:hAnsi="Verdana"/>
                <w:spacing w:val="-3"/>
                <w:sz w:val="24"/>
              </w:rPr>
              <w:t> </w:t>
            </w:r>
            <w:r>
              <w:rPr>
                <w:rFonts w:ascii="Verdana" w:hAnsi="Verdana"/>
                <w:sz w:val="24"/>
              </w:rPr>
              <w:t>intent</w:t>
            </w:r>
            <w:r>
              <w:rPr>
                <w:rFonts w:ascii="Verdana" w:hAnsi="Verdana"/>
                <w:spacing w:val="-3"/>
                <w:sz w:val="24"/>
              </w:rPr>
              <w:t> </w:t>
            </w:r>
            <w:r>
              <w:rPr>
                <w:rFonts w:ascii="Verdana" w:hAnsi="Verdana"/>
                <w:sz w:val="24"/>
              </w:rPr>
              <w:t>into</w:t>
            </w:r>
            <w:r>
              <w:rPr>
                <w:rFonts w:ascii="Verdana" w:hAnsi="Verdana"/>
                <w:spacing w:val="-3"/>
                <w:sz w:val="24"/>
              </w:rPr>
              <w:t> </w:t>
            </w:r>
            <w:r>
              <w:rPr>
                <w:rFonts w:ascii="Verdana" w:hAnsi="Verdana"/>
                <w:sz w:val="24"/>
              </w:rPr>
              <w:t>time-bound</w:t>
            </w:r>
            <w:r>
              <w:rPr>
                <w:rFonts w:ascii="Verdana" w:hAnsi="Verdana"/>
                <w:spacing w:val="-3"/>
                <w:sz w:val="24"/>
              </w:rPr>
              <w:t> </w:t>
            </w:r>
            <w:r>
              <w:rPr>
                <w:rFonts w:ascii="Verdana" w:hAnsi="Verdana"/>
                <w:spacing w:val="-2"/>
                <w:sz w:val="24"/>
              </w:rPr>
              <w:t>deliverables.</w:t>
            </w:r>
          </w:p>
          <w:p>
            <w:pPr>
              <w:pStyle w:val="TableParagraph"/>
              <w:numPr>
                <w:ilvl w:val="0"/>
                <w:numId w:val="108"/>
              </w:numPr>
              <w:tabs>
                <w:tab w:pos="830" w:val="left" w:leader="none"/>
              </w:tabs>
              <w:spacing w:line="291" w:lineRule="exact" w:before="3" w:after="0"/>
              <w:ind w:left="830" w:right="0" w:hanging="361"/>
              <w:jc w:val="left"/>
              <w:rPr>
                <w:rFonts w:ascii="Verdana" w:hAnsi="Verdana"/>
                <w:sz w:val="24"/>
              </w:rPr>
            </w:pPr>
            <w:r>
              <w:rPr>
                <w:rFonts w:ascii="Verdana" w:hAnsi="Verdana"/>
                <w:sz w:val="24"/>
              </w:rPr>
              <w:t>Avoid</w:t>
            </w:r>
            <w:r>
              <w:rPr>
                <w:rFonts w:ascii="Verdana" w:hAnsi="Verdana"/>
                <w:spacing w:val="-2"/>
                <w:sz w:val="24"/>
              </w:rPr>
              <w:t> </w:t>
            </w:r>
            <w:r>
              <w:rPr>
                <w:rFonts w:ascii="Verdana" w:hAnsi="Verdana"/>
                <w:sz w:val="24"/>
              </w:rPr>
              <w:t>locking</w:t>
            </w:r>
            <w:r>
              <w:rPr>
                <w:rFonts w:ascii="Verdana" w:hAnsi="Verdana"/>
                <w:spacing w:val="-2"/>
                <w:sz w:val="24"/>
              </w:rPr>
              <w:t> </w:t>
            </w:r>
            <w:r>
              <w:rPr>
                <w:rFonts w:ascii="Verdana" w:hAnsi="Verdana"/>
                <w:sz w:val="24"/>
              </w:rPr>
              <w:t>in</w:t>
            </w:r>
            <w:r>
              <w:rPr>
                <w:rFonts w:ascii="Verdana" w:hAnsi="Verdana"/>
                <w:spacing w:val="-5"/>
                <w:sz w:val="24"/>
              </w:rPr>
              <w:t> </w:t>
            </w:r>
            <w:r>
              <w:rPr>
                <w:rFonts w:ascii="Verdana" w:hAnsi="Verdana"/>
                <w:sz w:val="24"/>
              </w:rPr>
              <w:t>decisions</w:t>
            </w:r>
            <w:r>
              <w:rPr>
                <w:rFonts w:ascii="Verdana" w:hAnsi="Verdana"/>
                <w:spacing w:val="-2"/>
                <w:sz w:val="24"/>
              </w:rPr>
              <w:t> </w:t>
            </w:r>
            <w:r>
              <w:rPr>
                <w:rFonts w:ascii="Verdana" w:hAnsi="Verdana"/>
                <w:sz w:val="24"/>
              </w:rPr>
              <w:t>that</w:t>
            </w:r>
            <w:r>
              <w:rPr>
                <w:rFonts w:ascii="Verdana" w:hAnsi="Verdana"/>
                <w:spacing w:val="-2"/>
                <w:sz w:val="24"/>
              </w:rPr>
              <w:t> </w:t>
            </w:r>
            <w:r>
              <w:rPr>
                <w:rFonts w:ascii="Verdana" w:hAnsi="Verdana"/>
                <w:sz w:val="24"/>
              </w:rPr>
              <w:t>limit</w:t>
            </w:r>
            <w:r>
              <w:rPr>
                <w:rFonts w:ascii="Verdana" w:hAnsi="Verdana"/>
                <w:spacing w:val="-2"/>
                <w:sz w:val="24"/>
              </w:rPr>
              <w:t> </w:t>
            </w:r>
            <w:r>
              <w:rPr>
                <w:rFonts w:ascii="Verdana" w:hAnsi="Verdana"/>
                <w:sz w:val="24"/>
              </w:rPr>
              <w:t>future</w:t>
            </w:r>
            <w:r>
              <w:rPr>
                <w:rFonts w:ascii="Verdana" w:hAnsi="Verdana"/>
                <w:spacing w:val="3"/>
                <w:sz w:val="24"/>
              </w:rPr>
              <w:t> </w:t>
            </w:r>
            <w:r>
              <w:rPr>
                <w:rFonts w:ascii="Verdana" w:hAnsi="Verdana"/>
                <w:sz w:val="24"/>
              </w:rPr>
              <w:t>regional</w:t>
            </w:r>
            <w:r>
              <w:rPr>
                <w:rFonts w:ascii="Verdana" w:hAnsi="Verdana"/>
                <w:spacing w:val="-2"/>
                <w:sz w:val="24"/>
              </w:rPr>
              <w:t> capability.</w:t>
            </w:r>
          </w:p>
          <w:p>
            <w:pPr>
              <w:pStyle w:val="TableParagraph"/>
              <w:numPr>
                <w:ilvl w:val="0"/>
                <w:numId w:val="108"/>
              </w:numPr>
              <w:tabs>
                <w:tab w:pos="830" w:val="left" w:leader="none"/>
              </w:tabs>
              <w:spacing w:line="240" w:lineRule="auto" w:before="0" w:after="0"/>
              <w:ind w:left="830" w:right="760" w:hanging="361"/>
              <w:jc w:val="left"/>
              <w:rPr>
                <w:rFonts w:ascii="Verdana" w:hAnsi="Verdana"/>
                <w:sz w:val="24"/>
              </w:rPr>
            </w:pPr>
            <w:r>
              <w:rPr>
                <w:rFonts w:ascii="Verdana" w:hAnsi="Verdana"/>
                <w:sz w:val="24"/>
              </w:rPr>
              <w:t>Align</w:t>
            </w:r>
            <w:r>
              <w:rPr>
                <w:rFonts w:ascii="Verdana" w:hAnsi="Verdana"/>
                <w:spacing w:val="-7"/>
                <w:sz w:val="24"/>
              </w:rPr>
              <w:t> </w:t>
            </w:r>
            <w:r>
              <w:rPr>
                <w:rFonts w:ascii="Verdana" w:hAnsi="Verdana"/>
                <w:sz w:val="24"/>
              </w:rPr>
              <w:t>digital</w:t>
            </w:r>
            <w:r>
              <w:rPr>
                <w:rFonts w:ascii="Verdana" w:hAnsi="Verdana"/>
                <w:spacing w:val="-6"/>
                <w:sz w:val="24"/>
              </w:rPr>
              <w:t> </w:t>
            </w:r>
            <w:r>
              <w:rPr>
                <w:rFonts w:ascii="Verdana" w:hAnsi="Verdana"/>
                <w:sz w:val="24"/>
              </w:rPr>
              <w:t>priorities</w:t>
            </w:r>
            <w:r>
              <w:rPr>
                <w:rFonts w:ascii="Verdana" w:hAnsi="Verdana"/>
                <w:spacing w:val="-5"/>
                <w:sz w:val="24"/>
              </w:rPr>
              <w:t> </w:t>
            </w:r>
            <w:r>
              <w:rPr>
                <w:rFonts w:ascii="Verdana" w:hAnsi="Verdana"/>
                <w:sz w:val="24"/>
              </w:rPr>
              <w:t>with</w:t>
            </w:r>
            <w:r>
              <w:rPr>
                <w:rFonts w:ascii="Verdana" w:hAnsi="Verdana"/>
                <w:spacing w:val="-7"/>
                <w:sz w:val="24"/>
              </w:rPr>
              <w:t> </w:t>
            </w:r>
            <w:r>
              <w:rPr>
                <w:rFonts w:ascii="Verdana" w:hAnsi="Verdana"/>
                <w:sz w:val="24"/>
              </w:rPr>
              <w:t>poverty,</w:t>
            </w:r>
            <w:r>
              <w:rPr>
                <w:rFonts w:ascii="Verdana" w:hAnsi="Verdana"/>
                <w:spacing w:val="-3"/>
                <w:sz w:val="24"/>
              </w:rPr>
              <w:t> </w:t>
            </w:r>
            <w:r>
              <w:rPr>
                <w:rFonts w:ascii="Verdana" w:hAnsi="Verdana"/>
                <w:sz w:val="24"/>
              </w:rPr>
              <w:t>access</w:t>
            </w:r>
            <w:r>
              <w:rPr>
                <w:rFonts w:ascii="Verdana" w:hAnsi="Verdana"/>
                <w:spacing w:val="-9"/>
                <w:sz w:val="24"/>
              </w:rPr>
              <w:t> </w:t>
            </w:r>
            <w:r>
              <w:rPr>
                <w:rFonts w:ascii="Verdana" w:hAnsi="Verdana"/>
                <w:sz w:val="24"/>
              </w:rPr>
              <w:t>and</w:t>
            </w:r>
            <w:r>
              <w:rPr>
                <w:rFonts w:ascii="Verdana" w:hAnsi="Verdana"/>
                <w:spacing w:val="-5"/>
                <w:sz w:val="24"/>
              </w:rPr>
              <w:t> </w:t>
            </w:r>
            <w:r>
              <w:rPr>
                <w:rFonts w:ascii="Verdana" w:hAnsi="Verdana"/>
                <w:sz w:val="24"/>
              </w:rPr>
              <w:t>inequality </w:t>
            </w:r>
            <w:r>
              <w:rPr>
                <w:rFonts w:ascii="Verdana" w:hAnsi="Verdana"/>
                <w:spacing w:val="-2"/>
                <w:sz w:val="24"/>
              </w:rPr>
              <w:t>considerations.</w:t>
            </w:r>
          </w:p>
          <w:p>
            <w:pPr>
              <w:pStyle w:val="TableParagraph"/>
              <w:numPr>
                <w:ilvl w:val="0"/>
                <w:numId w:val="108"/>
              </w:numPr>
              <w:tabs>
                <w:tab w:pos="830" w:val="left" w:leader="none"/>
              </w:tabs>
              <w:spacing w:line="240" w:lineRule="auto" w:before="1" w:after="0"/>
              <w:ind w:left="830" w:right="146" w:hanging="361"/>
              <w:jc w:val="left"/>
              <w:rPr>
                <w:rFonts w:ascii="Verdana" w:hAnsi="Verdana"/>
                <w:sz w:val="24"/>
              </w:rPr>
            </w:pPr>
            <w:r>
              <w:rPr>
                <w:rFonts w:ascii="Verdana" w:hAnsi="Verdana"/>
                <w:sz w:val="24"/>
              </w:rPr>
              <w:t>Understand the potential role of the Centre for Social Innovation, University of Wales Trinity Saint David (UWTSD) in supporting complex system challenges, including digital inclusion and poverty</w:t>
            </w:r>
            <w:r>
              <w:rPr>
                <w:rFonts w:ascii="Cambria Math" w:hAnsi="Cambria Math"/>
                <w:sz w:val="24"/>
              </w:rPr>
              <w:t>‑</w:t>
            </w:r>
            <w:r>
              <w:rPr>
                <w:rFonts w:ascii="Verdana" w:hAnsi="Verdana"/>
                <w:sz w:val="24"/>
              </w:rPr>
              <w:t>related issues.</w:t>
            </w:r>
            <w:r>
              <w:rPr>
                <w:rFonts w:ascii="Verdana" w:hAnsi="Verdana"/>
                <w:spacing w:val="80"/>
                <w:sz w:val="24"/>
              </w:rPr>
              <w:t> </w:t>
            </w:r>
            <w:r>
              <w:rPr>
                <w:rFonts w:ascii="Verdana" w:hAnsi="Verdana"/>
                <w:sz w:val="24"/>
              </w:rPr>
              <w:t>It was suggested that a future</w:t>
            </w:r>
            <w:r>
              <w:rPr>
                <w:rFonts w:ascii="Verdana" w:hAnsi="Verdana"/>
                <w:spacing w:val="-4"/>
                <w:sz w:val="24"/>
              </w:rPr>
              <w:t> </w:t>
            </w:r>
            <w:r>
              <w:rPr>
                <w:rFonts w:ascii="Verdana" w:hAnsi="Verdana"/>
                <w:sz w:val="24"/>
              </w:rPr>
              <w:t>RJC</w:t>
            </w:r>
            <w:r>
              <w:rPr>
                <w:rFonts w:ascii="Verdana" w:hAnsi="Verdana"/>
                <w:spacing w:val="-3"/>
                <w:sz w:val="24"/>
              </w:rPr>
              <w:t> </w:t>
            </w:r>
            <w:r>
              <w:rPr>
                <w:rFonts w:ascii="Verdana" w:hAnsi="Verdana"/>
                <w:sz w:val="24"/>
              </w:rPr>
              <w:t>seminar</w:t>
            </w:r>
            <w:r>
              <w:rPr>
                <w:rFonts w:ascii="Verdana" w:hAnsi="Verdana"/>
                <w:spacing w:val="-3"/>
                <w:sz w:val="24"/>
              </w:rPr>
              <w:t> </w:t>
            </w:r>
            <w:r>
              <w:rPr>
                <w:rFonts w:ascii="Verdana" w:hAnsi="Verdana"/>
                <w:sz w:val="24"/>
              </w:rPr>
              <w:t>or</w:t>
            </w:r>
            <w:r>
              <w:rPr>
                <w:rFonts w:ascii="Verdana" w:hAnsi="Verdana"/>
                <w:spacing w:val="-3"/>
                <w:sz w:val="24"/>
              </w:rPr>
              <w:t> </w:t>
            </w:r>
            <w:r>
              <w:rPr>
                <w:rFonts w:ascii="Verdana" w:hAnsi="Verdana"/>
                <w:sz w:val="24"/>
              </w:rPr>
              <w:t>workshop</w:t>
            </w:r>
            <w:r>
              <w:rPr>
                <w:rFonts w:ascii="Verdana" w:hAnsi="Verdana"/>
                <w:spacing w:val="-5"/>
                <w:sz w:val="24"/>
              </w:rPr>
              <w:t> </w:t>
            </w:r>
            <w:r>
              <w:rPr>
                <w:rFonts w:ascii="Verdana" w:hAnsi="Verdana"/>
                <w:sz w:val="24"/>
              </w:rPr>
              <w:t>could</w:t>
            </w:r>
            <w:r>
              <w:rPr>
                <w:rFonts w:ascii="Verdana" w:hAnsi="Verdana"/>
                <w:spacing w:val="-5"/>
                <w:sz w:val="24"/>
              </w:rPr>
              <w:t> </w:t>
            </w:r>
            <w:r>
              <w:rPr>
                <w:rFonts w:ascii="Verdana" w:hAnsi="Verdana"/>
                <w:sz w:val="24"/>
              </w:rPr>
              <w:t>explore</w:t>
            </w:r>
            <w:r>
              <w:rPr>
                <w:rFonts w:ascii="Verdana" w:hAnsi="Verdana"/>
                <w:spacing w:val="-4"/>
                <w:sz w:val="24"/>
              </w:rPr>
              <w:t> </w:t>
            </w:r>
            <w:r>
              <w:rPr>
                <w:rFonts w:ascii="Verdana" w:hAnsi="Verdana"/>
                <w:sz w:val="24"/>
              </w:rPr>
              <w:t>how</w:t>
            </w:r>
            <w:r>
              <w:rPr>
                <w:rFonts w:ascii="Verdana" w:hAnsi="Verdana"/>
                <w:spacing w:val="-7"/>
                <w:sz w:val="24"/>
              </w:rPr>
              <w:t> </w:t>
            </w:r>
            <w:r>
              <w:rPr>
                <w:rFonts w:ascii="Verdana" w:hAnsi="Verdana"/>
                <w:sz w:val="24"/>
              </w:rPr>
              <w:t>the</w:t>
            </w:r>
            <w:r>
              <w:rPr>
                <w:rFonts w:ascii="Verdana" w:hAnsi="Verdana"/>
                <w:spacing w:val="-4"/>
                <w:sz w:val="24"/>
              </w:rPr>
              <w:t> </w:t>
            </w:r>
            <w:r>
              <w:rPr>
                <w:rFonts w:ascii="Verdana" w:hAnsi="Verdana"/>
                <w:sz w:val="24"/>
              </w:rPr>
              <w:t>Centre might support RJC priorities.</w:t>
            </w:r>
            <w:r>
              <w:rPr>
                <w:rFonts w:ascii="Verdana" w:hAnsi="Verdana"/>
                <w:spacing w:val="40"/>
                <w:sz w:val="24"/>
              </w:rPr>
              <w:t> </w:t>
            </w:r>
            <w:r>
              <w:rPr>
                <w:rFonts w:ascii="Verdana" w:hAnsi="Verdana"/>
                <w:sz w:val="24"/>
              </w:rPr>
              <w:t>Chairs agreed this should be considered further from a governance perspective.</w:t>
            </w:r>
          </w:p>
          <w:p>
            <w:pPr>
              <w:pStyle w:val="TableParagraph"/>
              <w:numPr>
                <w:ilvl w:val="0"/>
                <w:numId w:val="108"/>
              </w:numPr>
              <w:tabs>
                <w:tab w:pos="830" w:val="left" w:leader="none"/>
              </w:tabs>
              <w:spacing w:line="240" w:lineRule="auto" w:before="0" w:after="0"/>
              <w:ind w:left="830" w:right="657" w:hanging="361"/>
              <w:jc w:val="left"/>
              <w:rPr>
                <w:rFonts w:ascii="Verdana" w:hAnsi="Verdana"/>
                <w:sz w:val="24"/>
              </w:rPr>
            </w:pPr>
            <w:r>
              <w:rPr>
                <w:rFonts w:ascii="Verdana" w:hAnsi="Verdana"/>
                <w:sz w:val="24"/>
              </w:rPr>
              <w:t>Further investigation is required to clarify the contractual arrangements</w:t>
            </w:r>
            <w:r>
              <w:rPr>
                <w:rFonts w:ascii="Verdana" w:hAnsi="Verdana"/>
                <w:spacing w:val="-5"/>
                <w:sz w:val="24"/>
              </w:rPr>
              <w:t> </w:t>
            </w:r>
            <w:r>
              <w:rPr>
                <w:rFonts w:ascii="Verdana" w:hAnsi="Verdana"/>
                <w:sz w:val="24"/>
              </w:rPr>
              <w:t>with</w:t>
            </w:r>
            <w:r>
              <w:rPr>
                <w:rFonts w:ascii="Verdana" w:hAnsi="Verdana"/>
                <w:spacing w:val="-7"/>
                <w:sz w:val="24"/>
              </w:rPr>
              <w:t> </w:t>
            </w:r>
            <w:r>
              <w:rPr>
                <w:rFonts w:ascii="Verdana" w:hAnsi="Verdana"/>
                <w:sz w:val="24"/>
              </w:rPr>
              <w:t>CGI</w:t>
            </w:r>
            <w:r>
              <w:rPr>
                <w:rFonts w:ascii="Verdana" w:hAnsi="Verdana"/>
                <w:spacing w:val="-6"/>
                <w:sz w:val="24"/>
              </w:rPr>
              <w:t> </w:t>
            </w:r>
            <w:r>
              <w:rPr>
                <w:rFonts w:ascii="Verdana" w:hAnsi="Verdana"/>
                <w:sz w:val="24"/>
              </w:rPr>
              <w:t>ahead</w:t>
            </w:r>
            <w:r>
              <w:rPr>
                <w:rFonts w:ascii="Verdana" w:hAnsi="Verdana"/>
                <w:spacing w:val="-5"/>
                <w:sz w:val="24"/>
              </w:rPr>
              <w:t> </w:t>
            </w:r>
            <w:r>
              <w:rPr>
                <w:rFonts w:ascii="Verdana" w:hAnsi="Verdana"/>
                <w:sz w:val="24"/>
              </w:rPr>
              <w:t>of</w:t>
            </w:r>
            <w:r>
              <w:rPr>
                <w:rFonts w:ascii="Verdana" w:hAnsi="Verdana"/>
                <w:spacing w:val="-5"/>
                <w:sz w:val="24"/>
              </w:rPr>
              <w:t> </w:t>
            </w:r>
            <w:r>
              <w:rPr>
                <w:rFonts w:ascii="Verdana" w:hAnsi="Verdana"/>
                <w:sz w:val="24"/>
              </w:rPr>
              <w:t>any</w:t>
            </w:r>
            <w:r>
              <w:rPr>
                <w:rFonts w:ascii="Verdana" w:hAnsi="Verdana"/>
                <w:spacing w:val="-7"/>
                <w:sz w:val="24"/>
              </w:rPr>
              <w:t> </w:t>
            </w:r>
            <w:r>
              <w:rPr>
                <w:rFonts w:ascii="Verdana" w:hAnsi="Verdana"/>
                <w:sz w:val="24"/>
              </w:rPr>
              <w:t>regional</w:t>
            </w:r>
            <w:r>
              <w:rPr>
                <w:rFonts w:ascii="Verdana" w:hAnsi="Verdana"/>
                <w:spacing w:val="-6"/>
                <w:sz w:val="24"/>
              </w:rPr>
              <w:t> </w:t>
            </w:r>
            <w:r>
              <w:rPr>
                <w:rFonts w:ascii="Verdana" w:hAnsi="Verdana"/>
                <w:sz w:val="24"/>
              </w:rPr>
              <w:t>work</w:t>
            </w:r>
            <w:r>
              <w:rPr>
                <w:rFonts w:ascii="Verdana" w:hAnsi="Verdana"/>
                <w:spacing w:val="-7"/>
                <w:sz w:val="24"/>
              </w:rPr>
              <w:t> </w:t>
            </w:r>
            <w:r>
              <w:rPr>
                <w:rFonts w:ascii="Verdana" w:hAnsi="Verdana"/>
                <w:sz w:val="24"/>
              </w:rPr>
              <w:t>where they may be involved.</w:t>
            </w:r>
          </w:p>
          <w:p>
            <w:pPr>
              <w:pStyle w:val="TableParagraph"/>
              <w:spacing w:before="15"/>
              <w:rPr>
                <w:b/>
                <w:sz w:val="24"/>
              </w:rPr>
            </w:pPr>
          </w:p>
          <w:p>
            <w:pPr>
              <w:pStyle w:val="TableParagraph"/>
              <w:spacing w:before="1"/>
              <w:ind w:left="109"/>
              <w:rPr>
                <w:rFonts w:ascii="Verdana"/>
                <w:b/>
                <w:sz w:val="24"/>
              </w:rPr>
            </w:pPr>
            <w:r>
              <w:rPr>
                <w:rFonts w:ascii="Verdana"/>
                <w:b/>
                <w:spacing w:val="-2"/>
                <w:sz w:val="24"/>
              </w:rPr>
              <w:t>Actions/Agreements</w:t>
            </w:r>
          </w:p>
        </w:tc>
        <w:tc>
          <w:tcPr>
            <w:tcW w:w="711" w:type="dxa"/>
          </w:tcPr>
          <w:p>
            <w:pPr>
              <w:pStyle w:val="TableParagraph"/>
              <w:rPr>
                <w:rFonts w:ascii="Times New Roman"/>
                <w:sz w:val="22"/>
              </w:rPr>
            </w:pPr>
          </w:p>
        </w:tc>
      </w:tr>
    </w:tbl>
    <w:p>
      <w:pPr>
        <w:pStyle w:val="BodyText"/>
        <w:rPr>
          <w:b/>
        </w:rPr>
      </w:pPr>
    </w:p>
    <w:p>
      <w:pPr>
        <w:pStyle w:val="BodyText"/>
        <w:spacing w:before="128"/>
        <w:rPr>
          <w:b/>
        </w:rPr>
      </w:pPr>
    </w:p>
    <w:p>
      <w:pPr>
        <w:spacing w:before="1"/>
        <w:ind w:left="0" w:right="180" w:firstLine="0"/>
        <w:jc w:val="right"/>
        <w:rPr>
          <w:b/>
          <w:sz w:val="24"/>
        </w:rPr>
      </w:pPr>
      <w:r>
        <w:rPr>
          <w:sz w:val="24"/>
        </w:rPr>
        <w:t>Page </w:t>
      </w:r>
      <w:r>
        <w:rPr>
          <w:b/>
          <w:sz w:val="24"/>
        </w:rPr>
        <w:t>7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88" name="Image 788"/>
            <wp:cNvGraphicFramePr>
              <a:graphicFrameLocks/>
            </wp:cNvGraphicFramePr>
            <a:graphic>
              <a:graphicData uri="http://schemas.openxmlformats.org/drawingml/2006/picture">
                <pic:pic>
                  <pic:nvPicPr>
                    <pic:cNvPr id="788" name="Image 788"/>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89" name="Image 789"/>
            <wp:cNvGraphicFramePr>
              <a:graphicFrameLocks/>
            </wp:cNvGraphicFramePr>
            <a:graphic>
              <a:graphicData uri="http://schemas.openxmlformats.org/drawingml/2006/picture">
                <pic:pic>
                  <pic:nvPicPr>
                    <pic:cNvPr id="789" name="Image 789"/>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790" w:hRule="atLeast"/>
        </w:trPr>
        <w:tc>
          <w:tcPr>
            <w:tcW w:w="1276" w:type="dxa"/>
          </w:tcPr>
          <w:p>
            <w:pPr>
              <w:pStyle w:val="TableParagraph"/>
              <w:rPr>
                <w:rFonts w:ascii="Times New Roman"/>
                <w:sz w:val="22"/>
              </w:rPr>
            </w:pPr>
          </w:p>
        </w:tc>
        <w:tc>
          <w:tcPr>
            <w:tcW w:w="8509" w:type="dxa"/>
          </w:tcPr>
          <w:p>
            <w:pPr>
              <w:pStyle w:val="TableParagraph"/>
              <w:spacing w:line="259" w:lineRule="auto" w:before="78"/>
              <w:ind w:left="109" w:right="194"/>
              <w:rPr>
                <w:rFonts w:ascii="Verdana"/>
                <w:sz w:val="24"/>
              </w:rPr>
            </w:pPr>
            <w:r>
              <w:rPr>
                <w:rFonts w:ascii="Verdana"/>
                <w:b/>
                <w:sz w:val="24"/>
              </w:rPr>
              <w:t>Agreement</w:t>
            </w:r>
            <w:r>
              <w:rPr>
                <w:rFonts w:ascii="Verdana"/>
                <w:sz w:val="24"/>
              </w:rPr>
              <w:t>:</w:t>
            </w:r>
            <w:r>
              <w:rPr>
                <w:rFonts w:ascii="Verdana"/>
                <w:spacing w:val="-9"/>
                <w:sz w:val="24"/>
              </w:rPr>
              <w:t> </w:t>
            </w:r>
            <w:r>
              <w:rPr>
                <w:rFonts w:ascii="Verdana"/>
                <w:sz w:val="24"/>
              </w:rPr>
              <w:t>The</w:t>
            </w:r>
            <w:r>
              <w:rPr>
                <w:rFonts w:ascii="Verdana"/>
                <w:spacing w:val="-4"/>
                <w:sz w:val="24"/>
              </w:rPr>
              <w:t> </w:t>
            </w:r>
            <w:r>
              <w:rPr>
                <w:rFonts w:ascii="Verdana"/>
                <w:sz w:val="24"/>
              </w:rPr>
              <w:t>Committee</w:t>
            </w:r>
            <w:r>
              <w:rPr>
                <w:rFonts w:ascii="Verdana"/>
                <w:spacing w:val="-4"/>
                <w:sz w:val="24"/>
              </w:rPr>
              <w:t> </w:t>
            </w:r>
            <w:r>
              <w:rPr>
                <w:rFonts w:ascii="Verdana"/>
                <w:sz w:val="24"/>
              </w:rPr>
              <w:t>supported</w:t>
            </w:r>
            <w:r>
              <w:rPr>
                <w:rFonts w:ascii="Verdana"/>
                <w:spacing w:val="-10"/>
                <w:sz w:val="24"/>
              </w:rPr>
              <w:t> </w:t>
            </w:r>
            <w:r>
              <w:rPr>
                <w:rFonts w:ascii="Verdana"/>
                <w:sz w:val="24"/>
              </w:rPr>
              <w:t>the</w:t>
            </w:r>
            <w:r>
              <w:rPr>
                <w:rFonts w:ascii="Verdana"/>
                <w:spacing w:val="-1"/>
                <w:sz w:val="24"/>
              </w:rPr>
              <w:t> </w:t>
            </w:r>
            <w:r>
              <w:rPr>
                <w:rFonts w:ascii="Verdana"/>
                <w:sz w:val="24"/>
              </w:rPr>
              <w:t>approaches</w:t>
            </w:r>
            <w:r>
              <w:rPr>
                <w:rFonts w:ascii="Verdana"/>
                <w:spacing w:val="-5"/>
                <w:sz w:val="24"/>
              </w:rPr>
              <w:t> </w:t>
            </w:r>
            <w:r>
              <w:rPr>
                <w:rFonts w:ascii="Verdana"/>
                <w:sz w:val="24"/>
              </w:rPr>
              <w:t>outlined</w:t>
            </w:r>
            <w:r>
              <w:rPr>
                <w:rFonts w:ascii="Verdana"/>
                <w:spacing w:val="-5"/>
                <w:sz w:val="24"/>
              </w:rPr>
              <w:t> </w:t>
            </w:r>
            <w:r>
              <w:rPr>
                <w:rFonts w:ascii="Verdana"/>
                <w:sz w:val="24"/>
              </w:rPr>
              <w:t>in the report.</w:t>
            </w:r>
          </w:p>
        </w:tc>
        <w:tc>
          <w:tcPr>
            <w:tcW w:w="711" w:type="dxa"/>
          </w:tcPr>
          <w:p>
            <w:pPr>
              <w:pStyle w:val="TableParagraph"/>
              <w:rPr>
                <w:rFonts w:ascii="Times New Roman"/>
                <w:sz w:val="22"/>
              </w:rPr>
            </w:pPr>
          </w:p>
        </w:tc>
      </w:tr>
      <w:tr>
        <w:trPr>
          <w:trHeight w:val="5406" w:hRule="atLeast"/>
        </w:trPr>
        <w:tc>
          <w:tcPr>
            <w:tcW w:w="1276" w:type="dxa"/>
          </w:tcPr>
          <w:p>
            <w:pPr>
              <w:pStyle w:val="TableParagraph"/>
              <w:spacing w:before="78"/>
              <w:ind w:left="8"/>
              <w:jc w:val="center"/>
              <w:rPr>
                <w:rFonts w:ascii="Verdana"/>
                <w:b/>
                <w:sz w:val="24"/>
              </w:rPr>
            </w:pPr>
            <w:r>
              <w:rPr>
                <w:rFonts w:ascii="Verdana"/>
                <w:b/>
                <w:sz w:val="24"/>
              </w:rPr>
              <mc:AlternateContent>
                <mc:Choice Requires="wps">
                  <w:drawing>
                    <wp:anchor distT="0" distB="0" distL="0" distR="0" allowOverlap="1" layoutInCell="1" locked="0" behindDoc="1" simplePos="0" relativeHeight="477236736">
                      <wp:simplePos x="0" y="0"/>
                      <wp:positionH relativeFrom="column">
                        <wp:posOffset>314214</wp:posOffset>
                      </wp:positionH>
                      <wp:positionV relativeFrom="paragraph">
                        <wp:posOffset>541330</wp:posOffset>
                      </wp:positionV>
                      <wp:extent cx="5452745" cy="5744845"/>
                      <wp:effectExtent l="0" t="0" r="0" b="0"/>
                      <wp:wrapNone/>
                      <wp:docPr id="790" name="Group 790"/>
                      <wp:cNvGraphicFramePr>
                        <a:graphicFrameLocks/>
                      </wp:cNvGraphicFramePr>
                      <a:graphic>
                        <a:graphicData uri="http://schemas.microsoft.com/office/word/2010/wordprocessingGroup">
                          <wpg:wgp>
                            <wpg:cNvPr id="790" name="Group 790"/>
                            <wpg:cNvGrpSpPr/>
                            <wpg:grpSpPr>
                              <a:xfrm>
                                <a:off x="0" y="0"/>
                                <a:ext cx="5452745" cy="5744845"/>
                                <a:chExt cx="5452745" cy="5744845"/>
                              </a:xfrm>
                            </wpg:grpSpPr>
                            <wps:wsp>
                              <wps:cNvPr id="791" name="Graphic 791"/>
                              <wps:cNvSpPr/>
                              <wps:spPr>
                                <a:xfrm>
                                  <a:off x="-3"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24.741312pt;margin-top:42.624466pt;width:429.35pt;height:452.35pt;mso-position-horizontal-relative:column;mso-position-vertical-relative:paragraph;z-index:-26079744" id="docshapegroup526" coordorigin="495,852" coordsize="8587,9047">
                      <v:shape style="position:absolute;left:494;top:852;width:8587;height:9047" id="docshape527" coordorigin="495,852" coordsize="8587,9047" path="m4000,8922l3995,8848,3984,8772,3967,8694,3944,8615,3922,8552,3897,8487,3868,8422,3836,8355,3801,8287,3762,8218,3720,8147,3673,8075,3624,8001,3613,7987,3613,8838,3606,8908,3589,8975,3564,9040,3528,9103,3484,9164,3430,9223,3222,9431,962,7171,1168,6965,1231,6908,1297,6862,1365,6827,1435,6803,1508,6791,1583,6789,1660,6794,1739,6807,1820,6828,1904,6857,1976,6888,2048,6923,2122,6963,2197,7007,2273,7057,2349,7112,2408,7157,2467,7204,2526,7252,2584,7302,2643,7354,2702,7408,2761,7464,2820,7522,2884,7587,2946,7651,3005,7714,3061,7775,3114,7836,3164,7895,3212,7953,3257,8010,3299,8066,3349,8137,3395,8207,3436,8274,3473,8340,3506,8405,3534,8467,3559,8528,3586,8611,3604,8690,3613,8766,3613,8838,3613,7987,3584,7946,3543,7890,3499,7833,3454,7776,3406,7718,3357,7659,3305,7600,3251,7540,3196,7479,3138,7418,3078,7356,3016,7293,2951,7229,2886,7167,2822,7107,2758,7050,2694,6995,2630,6942,2567,6891,2505,6842,2443,6796,2433,6789,2382,6752,2305,6701,2230,6654,2156,6611,2082,6571,2009,6535,1938,6502,1867,6473,1798,6448,1720,6425,1644,6407,1569,6394,1496,6387,1425,6385,1356,6388,1288,6396,1211,6413,1137,6439,1064,6474,994,6518,925,6571,858,6633,515,6976,504,6992,497,7011,495,7034,498,7061,509,7093,529,7128,558,7167,597,7209,3187,9798,3228,9837,3267,9866,3301,9886,3332,9895,3360,9899,3384,9898,3403,9892,3419,9880,3740,9559,3801,9493,3849,9431,3854,9425,3899,9354,3935,9282,3964,9208,3984,9131,3995,9064,4000,8994,4000,8922xm5813,7464l5811,7452,5804,7441,5799,7433,5792,7424,5784,7415,5776,7406,5766,7397,5754,7386,5738,7373,5720,7359,5698,7344,5587,7268,4809,6763,4745,6722,4683,6684,4658,6668,4567,6614,4512,6583,4460,6555,4410,6531,4362,6509,4316,6490,4272,6474,4229,6461,4188,6449,4150,6442,4119,6439,4113,6438,4076,6437,4042,6439,4051,6383,4055,6325,4056,6267,4053,6208,4045,6148,4032,6087,4014,6024,3990,5960,3963,5897,3930,5832,3891,5765,3846,5696,3806,5642,3762,5587,3723,5542,3723,6198,3722,6247,3714,6295,3700,6342,3679,6387,3650,6431,3614,6471,3417,6668,2439,5690,2609,5520,2638,5492,2665,5467,2690,5446,2713,5429,2734,5415,2756,5403,2778,5393,2801,5386,2874,5372,2949,5373,3025,5389,3103,5420,3167,5456,3232,5498,3297,5548,3364,5605,3432,5670,3483,5723,3529,5776,3571,5829,3610,5883,3643,5937,3670,5991,3691,6044,3707,6095,3719,6147,3723,6198,3723,5542,3714,5531,3661,5474,3606,5416,3560,5372,3545,5357,3485,5303,3425,5252,3366,5205,3307,5162,3234,5115,3162,5075,3090,5041,3018,5012,2948,4989,2879,4975,2812,4967,2746,4965,2681,4971,2619,4984,2558,5003,2498,5029,2479,5041,2459,5055,2417,5084,2394,5102,2370,5124,2344,5148,2316,5175,1993,5498,1982,5513,1975,5533,1973,5556,1976,5582,1987,5614,2007,5650,2036,5688,2075,5730,4764,8419,4772,8427,4781,8434,4791,8441,4800,8445,4812,8451,4824,8453,4837,8449,4848,8447,4859,8444,4871,8439,4884,8433,4896,8425,4908,8415,4922,8403,4936,8390,4950,8375,4962,8361,4972,8348,4981,8336,4987,8324,4991,8312,4994,8301,4996,8290,4999,8278,4998,8266,4992,8253,4987,8244,4981,8235,4974,8226,4966,8217,3729,6980,3864,6845,3900,6815,3938,6791,3978,6774,4021,6765,4066,6763,4114,6767,4164,6775,4216,6789,4271,6809,4328,6833,4387,6861,4448,6894,4511,6932,4576,6971,4644,7014,4714,7059,5554,7615,5568,7624,5582,7632,5595,7637,5606,7642,5617,7646,5628,7647,5639,7647,5651,7646,5663,7643,5675,7638,5687,7631,5698,7622,5711,7612,5725,7600,5740,7586,5756,7569,5770,7553,5782,7538,5792,7525,5800,7513,5806,7502,5809,7490,5811,7479,5813,7464xm7256,6036l7254,6023,7248,6010,7240,5996,7230,5981,7216,5966,7199,5952,7178,5936,7154,5918,7127,5898,6703,5608,5805,4996,5805,5353,5277,5881,4091,4172,4092,4171,5805,5353,5805,4996,4593,4171,3920,3710,3906,3701,3891,3693,3878,3686,3865,3680,3852,3677,3841,3676,3829,3677,3817,3679,3803,3683,3790,3689,3777,3696,3763,3706,3748,3718,3733,3732,3716,3748,3682,3782,3667,3798,3654,3812,3643,3825,3634,3838,3627,3851,3622,3864,3619,3876,3617,3889,3617,3900,3618,3912,3622,3923,3627,3936,3633,3949,3640,3963,3649,3977,3694,4042,5838,7183,5857,7211,5875,7235,5891,7255,5907,7271,5921,7286,5935,7297,5949,7305,5962,7310,5975,7313,5987,7312,6001,7309,6015,7302,6028,7293,6043,7281,6058,7267,6075,7251,6090,7235,6103,7220,6115,7206,6124,7193,6131,7182,6136,7170,6139,7158,6140,7146,6140,7136,6139,7125,6136,7115,6132,7104,6127,7095,6122,7084,6115,7073,6108,7061,5534,6239,5892,5881,6165,5608,7002,6185,7015,6192,7026,6198,7037,6203,7047,6208,7059,6213,7071,6215,7083,6211,7094,6210,7105,6207,7117,6201,7130,6192,7142,6182,7156,6169,7172,6154,7189,6137,7206,6119,7221,6103,7233,6088,7244,6074,7251,6061,7255,6049,7256,6036xm7693,5585l7693,5576,7690,5566,7685,5556,7681,5547,7675,5538,7668,5530,7661,5522,6451,4312,6983,3780,6983,3771,6982,3759,6980,3750,6977,3740,6972,3729,6966,3717,6959,3705,6949,3690,6938,3675,6925,3659,6910,3643,6876,3606,6855,3585,6832,3562,6811,3542,6774,3509,6758,3496,6744,3485,6731,3477,6719,3470,6708,3465,6698,3461,6688,3458,6679,3456,6669,3457,6662,3460,6130,3991,5143,3004,5705,2442,5707,2435,5706,2422,5704,2413,5701,2403,5696,2392,5683,2368,5674,2354,5662,2338,5649,2322,5634,2306,5598,2267,5577,2246,5556,2225,5536,2206,5499,2172,5483,2159,5467,2147,5452,2137,5439,2129,5427,2122,5416,2118,5406,2115,5397,2112,5384,2111,5377,2114,4688,2803,4677,2818,4671,2837,4669,2860,4672,2887,4682,2919,4702,2955,4731,2993,4770,3035,7459,5724,7467,5731,7475,5738,7484,5743,7493,5748,7503,5753,7513,5755,7522,5756,7543,5752,7554,5749,7566,5744,7579,5738,7591,5729,7604,5719,7618,5708,7632,5694,7645,5680,7657,5666,7668,5653,7677,5641,7682,5628,7686,5617,7690,5606,7693,5585xm9082,4195l9080,4183,9074,4171,9069,4162,9063,4152,9056,4144,9048,4135,6530,1617,6963,1184,6966,1176,6965,1163,6963,1154,6960,1144,6956,1133,6949,1121,6942,1109,6932,1095,6920,1080,6907,1065,6875,1029,6856,1009,6835,988,6814,967,6794,948,6756,914,6741,901,6725,889,6711,878,6698,870,6686,863,6675,859,6665,856,6656,853,6643,852,6635,856,5567,1924,5563,1932,5567,1953,5570,1963,5575,1974,5582,1986,5590,1999,5601,2013,5613,2028,5642,2063,5659,2083,5678,2103,5699,2124,5720,2145,5740,2164,5759,2180,5777,2194,5792,2208,5807,2220,5821,2230,5845,2244,5856,2249,5866,2252,5887,2255,5895,2252,6328,1819,8846,4337,8854,4345,8863,4352,8873,4359,8882,4363,8894,4369,8906,4371,8919,4367,8930,4365,8941,4362,8953,4357,8966,4351,8978,4343,8991,4333,9004,4321,9019,4308,9032,4293,9044,4279,9055,4266,9063,4254,9069,4241,9073,4230,9076,4219,9078,4208,9082,4195xe" filled="true" fillcolor="#c0c0c0" stroked="false">
                        <v:path arrowok="t"/>
                        <v:fill opacity="32896f" type="solid"/>
                      </v:shape>
                      <w10:wrap type="none"/>
                    </v:group>
                  </w:pict>
                </mc:Fallback>
              </mc:AlternateContent>
            </w:r>
            <w:r>
              <w:rPr>
                <w:rFonts w:ascii="Verdana"/>
                <w:b/>
                <w:spacing w:val="-2"/>
                <w:sz w:val="24"/>
              </w:rPr>
              <w:t>RJC/25</w:t>
            </w:r>
          </w:p>
        </w:tc>
        <w:tc>
          <w:tcPr>
            <w:tcW w:w="8509" w:type="dxa"/>
          </w:tcPr>
          <w:p>
            <w:pPr>
              <w:pStyle w:val="TableParagraph"/>
              <w:spacing w:line="291" w:lineRule="exact" w:before="78"/>
              <w:ind w:left="109"/>
              <w:rPr>
                <w:rFonts w:ascii="Verdana"/>
                <w:b/>
                <w:sz w:val="24"/>
              </w:rPr>
            </w:pPr>
            <w:r>
              <w:rPr>
                <w:rFonts w:ascii="Verdana"/>
                <w:b/>
                <w:sz w:val="24"/>
              </w:rPr>
              <w:t>Research,</w:t>
            </w:r>
            <w:r>
              <w:rPr>
                <w:rFonts w:ascii="Verdana"/>
                <w:b/>
                <w:spacing w:val="-11"/>
                <w:sz w:val="24"/>
              </w:rPr>
              <w:t> </w:t>
            </w:r>
            <w:r>
              <w:rPr>
                <w:rFonts w:ascii="Verdana"/>
                <w:b/>
                <w:sz w:val="24"/>
              </w:rPr>
              <w:t>Innovation</w:t>
            </w:r>
            <w:r>
              <w:rPr>
                <w:rFonts w:ascii="Verdana"/>
                <w:b/>
                <w:spacing w:val="-4"/>
                <w:sz w:val="24"/>
              </w:rPr>
              <w:t> </w:t>
            </w:r>
            <w:r>
              <w:rPr>
                <w:rFonts w:ascii="Verdana"/>
                <w:b/>
                <w:sz w:val="24"/>
              </w:rPr>
              <w:t>and</w:t>
            </w:r>
            <w:r>
              <w:rPr>
                <w:rFonts w:ascii="Verdana"/>
                <w:b/>
                <w:spacing w:val="-6"/>
                <w:sz w:val="24"/>
              </w:rPr>
              <w:t> </w:t>
            </w:r>
            <w:r>
              <w:rPr>
                <w:rFonts w:ascii="Verdana"/>
                <w:b/>
                <w:sz w:val="24"/>
              </w:rPr>
              <w:t>Excellence</w:t>
            </w:r>
            <w:r>
              <w:rPr>
                <w:rFonts w:ascii="Verdana"/>
                <w:b/>
                <w:spacing w:val="-2"/>
                <w:sz w:val="24"/>
              </w:rPr>
              <w:t> </w:t>
            </w:r>
            <w:r>
              <w:rPr>
                <w:rFonts w:ascii="Verdana"/>
                <w:b/>
                <w:sz w:val="24"/>
              </w:rPr>
              <w:t>Subgroup</w:t>
            </w:r>
            <w:r>
              <w:rPr>
                <w:rFonts w:ascii="Verdana"/>
                <w:b/>
                <w:spacing w:val="-5"/>
                <w:sz w:val="24"/>
              </w:rPr>
              <w:t> </w:t>
            </w:r>
            <w:r>
              <w:rPr>
                <w:rFonts w:ascii="Verdana"/>
                <w:b/>
                <w:spacing w:val="-2"/>
                <w:sz w:val="24"/>
              </w:rPr>
              <w:t>Update</w:t>
            </w:r>
          </w:p>
          <w:p>
            <w:pPr>
              <w:pStyle w:val="TableParagraph"/>
              <w:ind w:left="109" w:right="114"/>
              <w:rPr>
                <w:rFonts w:ascii="Verdana"/>
                <w:sz w:val="24"/>
              </w:rPr>
            </w:pPr>
            <w:r>
              <w:rPr>
                <w:rFonts w:ascii="Verdana"/>
                <w:sz w:val="24"/>
              </w:rPr>
              <w:t>An</w:t>
            </w:r>
            <w:r>
              <w:rPr>
                <w:rFonts w:ascii="Verdana"/>
                <w:spacing w:val="-5"/>
                <w:sz w:val="24"/>
              </w:rPr>
              <w:t> </w:t>
            </w:r>
            <w:r>
              <w:rPr>
                <w:rFonts w:ascii="Verdana"/>
                <w:sz w:val="24"/>
              </w:rPr>
              <w:t>update</w:t>
            </w:r>
            <w:r>
              <w:rPr>
                <w:rFonts w:ascii="Verdana"/>
                <w:spacing w:val="-1"/>
                <w:sz w:val="24"/>
              </w:rPr>
              <w:t> </w:t>
            </w:r>
            <w:r>
              <w:rPr>
                <w:rFonts w:ascii="Verdana"/>
                <w:sz w:val="24"/>
              </w:rPr>
              <w:t>was</w:t>
            </w:r>
            <w:r>
              <w:rPr>
                <w:rFonts w:ascii="Verdana"/>
                <w:spacing w:val="-3"/>
                <w:sz w:val="24"/>
              </w:rPr>
              <w:t> </w:t>
            </w:r>
            <w:r>
              <w:rPr>
                <w:rFonts w:ascii="Verdana"/>
                <w:sz w:val="24"/>
              </w:rPr>
              <w:t>provided</w:t>
            </w:r>
            <w:r>
              <w:rPr>
                <w:rFonts w:ascii="Verdana"/>
                <w:spacing w:val="-3"/>
                <w:sz w:val="24"/>
              </w:rPr>
              <w:t> </w:t>
            </w:r>
            <w:r>
              <w:rPr>
                <w:rFonts w:ascii="Verdana"/>
                <w:sz w:val="24"/>
              </w:rPr>
              <w:t>on</w:t>
            </w:r>
            <w:r>
              <w:rPr>
                <w:rFonts w:ascii="Verdana"/>
                <w:spacing w:val="-6"/>
                <w:sz w:val="24"/>
              </w:rPr>
              <w:t> </w:t>
            </w:r>
            <w:r>
              <w:rPr>
                <w:rFonts w:ascii="Verdana"/>
                <w:sz w:val="24"/>
              </w:rPr>
              <w:t>progress</w:t>
            </w:r>
            <w:r>
              <w:rPr>
                <w:rFonts w:ascii="Verdana"/>
                <w:spacing w:val="-3"/>
                <w:sz w:val="24"/>
              </w:rPr>
              <w:t> </w:t>
            </w:r>
            <w:r>
              <w:rPr>
                <w:rFonts w:ascii="Verdana"/>
                <w:sz w:val="24"/>
              </w:rPr>
              <w:t>towards</w:t>
            </w:r>
            <w:r>
              <w:rPr>
                <w:rFonts w:ascii="Verdana"/>
                <w:spacing w:val="-3"/>
                <w:sz w:val="24"/>
              </w:rPr>
              <w:t> </w:t>
            </w:r>
            <w:r>
              <w:rPr>
                <w:rFonts w:ascii="Verdana"/>
                <w:sz w:val="24"/>
              </w:rPr>
              <w:t>a</w:t>
            </w:r>
            <w:r>
              <w:rPr>
                <w:rFonts w:ascii="Verdana"/>
                <w:spacing w:val="-7"/>
                <w:sz w:val="24"/>
              </w:rPr>
              <w:t> </w:t>
            </w:r>
            <w:r>
              <w:rPr>
                <w:rFonts w:ascii="Verdana"/>
                <w:sz w:val="24"/>
              </w:rPr>
              <w:t>regional</w:t>
            </w:r>
            <w:r>
              <w:rPr>
                <w:rFonts w:ascii="Verdana"/>
                <w:spacing w:val="-4"/>
                <w:sz w:val="24"/>
              </w:rPr>
              <w:t> </w:t>
            </w:r>
            <w:r>
              <w:rPr>
                <w:rFonts w:ascii="Verdana"/>
                <w:sz w:val="24"/>
              </w:rPr>
              <w:t>approach</w:t>
            </w:r>
            <w:r>
              <w:rPr>
                <w:rFonts w:ascii="Verdana"/>
                <w:spacing w:val="-5"/>
                <w:sz w:val="24"/>
              </w:rPr>
              <w:t> </w:t>
            </w:r>
            <w:r>
              <w:rPr>
                <w:rFonts w:ascii="Verdana"/>
                <w:sz w:val="24"/>
              </w:rPr>
              <w:t>to research and innovation, including oncology research and governance proposals.</w:t>
            </w:r>
          </w:p>
          <w:p>
            <w:pPr>
              <w:pStyle w:val="TableParagraph"/>
              <w:spacing w:before="19"/>
              <w:rPr>
                <w:b/>
                <w:sz w:val="24"/>
              </w:rPr>
            </w:pPr>
          </w:p>
          <w:p>
            <w:pPr>
              <w:pStyle w:val="TableParagraph"/>
              <w:spacing w:line="291" w:lineRule="exact"/>
              <w:ind w:left="109"/>
              <w:rPr>
                <w:rFonts w:ascii="Verdana"/>
                <w:b/>
                <w:sz w:val="24"/>
              </w:rPr>
            </w:pPr>
            <w:r>
              <w:rPr>
                <w:rFonts w:ascii="Verdana"/>
                <w:b/>
                <w:sz w:val="24"/>
              </w:rPr>
              <w:t>Summary</w:t>
            </w:r>
            <w:r>
              <w:rPr>
                <w:rFonts w:ascii="Verdana"/>
                <w:b/>
                <w:spacing w:val="-6"/>
                <w:sz w:val="24"/>
              </w:rPr>
              <w:t> </w:t>
            </w:r>
            <w:r>
              <w:rPr>
                <w:rFonts w:ascii="Verdana"/>
                <w:b/>
                <w:sz w:val="24"/>
              </w:rPr>
              <w:t>of</w:t>
            </w:r>
            <w:r>
              <w:rPr>
                <w:rFonts w:ascii="Verdana"/>
                <w:b/>
                <w:spacing w:val="-5"/>
                <w:sz w:val="24"/>
              </w:rPr>
              <w:t> </w:t>
            </w:r>
            <w:r>
              <w:rPr>
                <w:rFonts w:ascii="Verdana"/>
                <w:b/>
                <w:spacing w:val="-2"/>
                <w:sz w:val="24"/>
              </w:rPr>
              <w:t>Discussion</w:t>
            </w:r>
          </w:p>
          <w:p>
            <w:pPr>
              <w:pStyle w:val="TableParagraph"/>
              <w:ind w:left="109" w:right="194"/>
              <w:rPr>
                <w:rFonts w:ascii="Verdana"/>
                <w:sz w:val="24"/>
              </w:rPr>
            </w:pPr>
            <w:r>
              <w:rPr>
                <w:rFonts w:ascii="Verdana"/>
                <w:sz w:val="24"/>
              </w:rPr>
              <w:t>Members discussed governance proportionality, university involvement, strategic</w:t>
            </w:r>
            <w:r>
              <w:rPr>
                <w:rFonts w:ascii="Verdana"/>
                <w:spacing w:val="-5"/>
                <w:sz w:val="24"/>
              </w:rPr>
              <w:t> </w:t>
            </w:r>
            <w:r>
              <w:rPr>
                <w:rFonts w:ascii="Verdana"/>
                <w:sz w:val="24"/>
              </w:rPr>
              <w:t>leadership</w:t>
            </w:r>
            <w:r>
              <w:rPr>
                <w:rFonts w:ascii="Verdana"/>
                <w:spacing w:val="-5"/>
                <w:sz w:val="24"/>
              </w:rPr>
              <w:t> </w:t>
            </w:r>
            <w:r>
              <w:rPr>
                <w:rFonts w:ascii="Verdana"/>
                <w:sz w:val="24"/>
              </w:rPr>
              <w:t>and</w:t>
            </w:r>
            <w:r>
              <w:rPr>
                <w:rFonts w:ascii="Verdana"/>
                <w:spacing w:val="-5"/>
                <w:sz w:val="24"/>
              </w:rPr>
              <w:t> </w:t>
            </w:r>
            <w:r>
              <w:rPr>
                <w:rFonts w:ascii="Verdana"/>
                <w:sz w:val="24"/>
              </w:rPr>
              <w:t>the</w:t>
            </w:r>
            <w:r>
              <w:rPr>
                <w:rFonts w:ascii="Verdana"/>
                <w:spacing w:val="-4"/>
                <w:sz w:val="24"/>
              </w:rPr>
              <w:t> </w:t>
            </w:r>
            <w:r>
              <w:rPr>
                <w:rFonts w:ascii="Verdana"/>
                <w:sz w:val="24"/>
              </w:rPr>
              <w:t>need</w:t>
            </w:r>
            <w:r>
              <w:rPr>
                <w:rFonts w:ascii="Verdana"/>
                <w:spacing w:val="-5"/>
                <w:sz w:val="24"/>
              </w:rPr>
              <w:t> </w:t>
            </w:r>
            <w:r>
              <w:rPr>
                <w:rFonts w:ascii="Verdana"/>
                <w:sz w:val="24"/>
              </w:rPr>
              <w:t>for</w:t>
            </w:r>
            <w:r>
              <w:rPr>
                <w:rFonts w:ascii="Verdana"/>
                <w:spacing w:val="-3"/>
                <w:sz w:val="24"/>
              </w:rPr>
              <w:t> </w:t>
            </w:r>
            <w:r>
              <w:rPr>
                <w:rFonts w:ascii="Verdana"/>
                <w:sz w:val="24"/>
              </w:rPr>
              <w:t>a</w:t>
            </w:r>
            <w:r>
              <w:rPr>
                <w:rFonts w:ascii="Verdana"/>
                <w:spacing w:val="-9"/>
                <w:sz w:val="24"/>
              </w:rPr>
              <w:t> </w:t>
            </w:r>
            <w:r>
              <w:rPr>
                <w:rFonts w:ascii="Verdana"/>
                <w:sz w:val="24"/>
              </w:rPr>
              <w:t>clearer articulation of ambition and benefit.</w:t>
            </w:r>
          </w:p>
          <w:p>
            <w:pPr>
              <w:pStyle w:val="TableParagraph"/>
              <w:spacing w:before="14"/>
              <w:rPr>
                <w:b/>
                <w:sz w:val="24"/>
              </w:rPr>
            </w:pPr>
          </w:p>
          <w:p>
            <w:pPr>
              <w:pStyle w:val="TableParagraph"/>
              <w:ind w:left="109"/>
              <w:rPr>
                <w:rFonts w:ascii="Verdana"/>
                <w:b/>
                <w:sz w:val="24"/>
              </w:rPr>
            </w:pPr>
            <w:r>
              <w:rPr>
                <w:rFonts w:ascii="Verdana"/>
                <w:b/>
                <w:spacing w:val="-2"/>
                <w:sz w:val="24"/>
              </w:rPr>
              <w:t>Actions/Agreements</w:t>
            </w:r>
          </w:p>
          <w:p>
            <w:pPr>
              <w:pStyle w:val="TableParagraph"/>
              <w:spacing w:before="3"/>
              <w:ind w:left="109" w:right="194"/>
              <w:rPr>
                <w:rFonts w:ascii="Verdana"/>
                <w:sz w:val="24"/>
              </w:rPr>
            </w:pPr>
            <w:r>
              <w:rPr>
                <w:rFonts w:ascii="Verdana"/>
                <w:b/>
                <w:sz w:val="24"/>
              </w:rPr>
              <w:t>Action: </w:t>
            </w:r>
            <w:r>
              <w:rPr>
                <w:rFonts w:ascii="Verdana"/>
                <w:sz w:val="24"/>
              </w:rPr>
              <w:t>The Committee supported the revised regional research, innovation</w:t>
            </w:r>
            <w:r>
              <w:rPr>
                <w:rFonts w:ascii="Verdana"/>
                <w:spacing w:val="-7"/>
                <w:sz w:val="24"/>
              </w:rPr>
              <w:t> </w:t>
            </w:r>
            <w:r>
              <w:rPr>
                <w:rFonts w:ascii="Verdana"/>
                <w:sz w:val="24"/>
              </w:rPr>
              <w:t>and</w:t>
            </w:r>
            <w:r>
              <w:rPr>
                <w:rFonts w:ascii="Verdana"/>
                <w:spacing w:val="-4"/>
                <w:sz w:val="24"/>
              </w:rPr>
              <w:t> </w:t>
            </w:r>
            <w:r>
              <w:rPr>
                <w:rFonts w:ascii="Verdana"/>
                <w:sz w:val="24"/>
              </w:rPr>
              <w:t>excellence</w:t>
            </w:r>
            <w:r>
              <w:rPr>
                <w:rFonts w:ascii="Verdana"/>
                <w:spacing w:val="-1"/>
                <w:sz w:val="24"/>
              </w:rPr>
              <w:t> </w:t>
            </w:r>
            <w:r>
              <w:rPr>
                <w:rFonts w:ascii="Verdana"/>
                <w:sz w:val="24"/>
              </w:rPr>
              <w:t>operating</w:t>
            </w:r>
            <w:r>
              <w:rPr>
                <w:rFonts w:ascii="Verdana"/>
                <w:spacing w:val="-4"/>
                <w:sz w:val="24"/>
              </w:rPr>
              <w:t> </w:t>
            </w:r>
            <w:r>
              <w:rPr>
                <w:rFonts w:ascii="Verdana"/>
                <w:sz w:val="24"/>
              </w:rPr>
              <w:t>model</w:t>
            </w:r>
            <w:r>
              <w:rPr>
                <w:rFonts w:ascii="Verdana"/>
                <w:spacing w:val="-4"/>
                <w:sz w:val="24"/>
              </w:rPr>
              <w:t> </w:t>
            </w:r>
            <w:r>
              <w:rPr>
                <w:rFonts w:ascii="Verdana"/>
                <w:sz w:val="24"/>
              </w:rPr>
              <w:t>and</w:t>
            </w:r>
            <w:r>
              <w:rPr>
                <w:rFonts w:ascii="Verdana"/>
                <w:spacing w:val="-4"/>
                <w:sz w:val="24"/>
              </w:rPr>
              <w:t> </w:t>
            </w:r>
            <w:r>
              <w:rPr>
                <w:rFonts w:ascii="Verdana"/>
                <w:sz w:val="24"/>
              </w:rPr>
              <w:t>Terms</w:t>
            </w:r>
            <w:r>
              <w:rPr>
                <w:rFonts w:ascii="Verdana"/>
                <w:spacing w:val="-4"/>
                <w:sz w:val="24"/>
              </w:rPr>
              <w:t> </w:t>
            </w:r>
            <w:r>
              <w:rPr>
                <w:rFonts w:ascii="Verdana"/>
                <w:sz w:val="24"/>
              </w:rPr>
              <w:t>of</w:t>
            </w:r>
            <w:r>
              <w:rPr>
                <w:rFonts w:ascii="Verdana"/>
                <w:spacing w:val="-4"/>
                <w:sz w:val="24"/>
              </w:rPr>
              <w:t> </w:t>
            </w:r>
            <w:r>
              <w:rPr>
                <w:rFonts w:ascii="Verdana"/>
                <w:sz w:val="24"/>
              </w:rPr>
              <w:t>Reference (ToR) subject to amendments to include reference to: strategic leadership and developing strategies for approval; and</w:t>
            </w:r>
          </w:p>
          <w:p>
            <w:pPr>
              <w:pStyle w:val="TableParagraph"/>
              <w:ind w:left="109" w:right="194"/>
              <w:rPr>
                <w:rFonts w:ascii="Verdana"/>
                <w:sz w:val="24"/>
              </w:rPr>
            </w:pPr>
            <w:r>
              <w:rPr>
                <w:rFonts w:ascii="Verdana"/>
                <w:sz w:val="24"/>
              </w:rPr>
              <w:t>reference</w:t>
            </w:r>
            <w:r>
              <w:rPr>
                <w:rFonts w:ascii="Verdana"/>
                <w:spacing w:val="-8"/>
                <w:sz w:val="24"/>
              </w:rPr>
              <w:t> </w:t>
            </w:r>
            <w:r>
              <w:rPr>
                <w:rFonts w:ascii="Verdana"/>
                <w:sz w:val="24"/>
              </w:rPr>
              <w:t>to</w:t>
            </w:r>
            <w:r>
              <w:rPr>
                <w:rFonts w:ascii="Verdana"/>
                <w:spacing w:val="-5"/>
                <w:sz w:val="24"/>
              </w:rPr>
              <w:t> </w:t>
            </w:r>
            <w:r>
              <w:rPr>
                <w:rFonts w:ascii="Verdana"/>
                <w:sz w:val="24"/>
              </w:rPr>
              <w:t>national</w:t>
            </w:r>
            <w:r>
              <w:rPr>
                <w:rFonts w:ascii="Verdana"/>
                <w:spacing w:val="-6"/>
                <w:sz w:val="24"/>
              </w:rPr>
              <w:t> </w:t>
            </w:r>
            <w:r>
              <w:rPr>
                <w:rFonts w:ascii="Verdana"/>
                <w:sz w:val="24"/>
              </w:rPr>
              <w:t>policy</w:t>
            </w:r>
            <w:r>
              <w:rPr>
                <w:rFonts w:ascii="Verdana"/>
                <w:spacing w:val="-8"/>
                <w:sz w:val="24"/>
              </w:rPr>
              <w:t> </w:t>
            </w:r>
            <w:r>
              <w:rPr>
                <w:rFonts w:ascii="Verdana"/>
                <w:sz w:val="24"/>
              </w:rPr>
              <w:t>initiatives</w:t>
            </w:r>
            <w:r>
              <w:rPr>
                <w:rFonts w:ascii="Verdana"/>
                <w:spacing w:val="-5"/>
                <w:sz w:val="24"/>
              </w:rPr>
              <w:t> </w:t>
            </w:r>
            <w:r>
              <w:rPr>
                <w:rFonts w:ascii="Verdana"/>
                <w:sz w:val="24"/>
              </w:rPr>
              <w:t>and</w:t>
            </w:r>
            <w:r>
              <w:rPr>
                <w:rFonts w:ascii="Verdana"/>
                <w:spacing w:val="-5"/>
                <w:sz w:val="24"/>
              </w:rPr>
              <w:t> </w:t>
            </w:r>
            <w:r>
              <w:rPr>
                <w:rFonts w:ascii="Verdana"/>
                <w:sz w:val="24"/>
              </w:rPr>
              <w:t>events. Approval</w:t>
            </w:r>
            <w:r>
              <w:rPr>
                <w:rFonts w:ascii="Verdana"/>
                <w:spacing w:val="-6"/>
                <w:sz w:val="24"/>
              </w:rPr>
              <w:t> </w:t>
            </w:r>
            <w:r>
              <w:rPr>
                <w:rFonts w:ascii="Verdana"/>
                <w:sz w:val="24"/>
              </w:rPr>
              <w:t>via</w:t>
            </w:r>
            <w:r>
              <w:rPr>
                <w:rFonts w:ascii="Verdana"/>
                <w:spacing w:val="-5"/>
                <w:sz w:val="24"/>
              </w:rPr>
              <w:t> </w:t>
            </w:r>
            <w:r>
              <w:rPr>
                <w:rFonts w:ascii="Verdana"/>
                <w:sz w:val="24"/>
              </w:rPr>
              <w:t>RJC Chairs on behalf of the Committee.</w:t>
            </w:r>
          </w:p>
        </w:tc>
        <w:tc>
          <w:tcPr>
            <w:tcW w:w="711" w:type="dxa"/>
          </w:tcPr>
          <w:p>
            <w:pPr>
              <w:pStyle w:val="TableParagraph"/>
              <w:rPr>
                <w:rFonts w:ascii="Times New Roman"/>
                <w:sz w:val="22"/>
              </w:rPr>
            </w:pPr>
          </w:p>
        </w:tc>
      </w:tr>
      <w:tr>
        <w:trPr>
          <w:trHeight w:val="5462" w:hRule="atLeast"/>
        </w:trPr>
        <w:tc>
          <w:tcPr>
            <w:tcW w:w="1276" w:type="dxa"/>
          </w:tcPr>
          <w:p>
            <w:pPr>
              <w:pStyle w:val="TableParagraph"/>
              <w:spacing w:before="78"/>
              <w:ind w:left="8"/>
              <w:jc w:val="center"/>
              <w:rPr>
                <w:rFonts w:ascii="Verdana"/>
                <w:b/>
                <w:sz w:val="24"/>
              </w:rPr>
            </w:pPr>
            <w:r>
              <w:rPr>
                <w:rFonts w:ascii="Verdana"/>
                <w:b/>
                <w:spacing w:val="-2"/>
                <w:sz w:val="24"/>
              </w:rPr>
              <w:t>RJC/26</w:t>
            </w:r>
          </w:p>
        </w:tc>
        <w:tc>
          <w:tcPr>
            <w:tcW w:w="8509" w:type="dxa"/>
          </w:tcPr>
          <w:p>
            <w:pPr>
              <w:pStyle w:val="TableParagraph"/>
              <w:spacing w:before="78"/>
              <w:ind w:left="109"/>
              <w:rPr>
                <w:rFonts w:ascii="Verdana"/>
                <w:b/>
                <w:sz w:val="24"/>
              </w:rPr>
            </w:pPr>
            <w:r>
              <w:rPr>
                <w:rFonts w:ascii="Verdana"/>
                <w:b/>
                <w:sz w:val="24"/>
              </w:rPr>
              <w:t>Workforce</w:t>
            </w:r>
            <w:r>
              <w:rPr>
                <w:rFonts w:ascii="Verdana"/>
                <w:b/>
                <w:spacing w:val="-6"/>
                <w:sz w:val="24"/>
              </w:rPr>
              <w:t> </w:t>
            </w:r>
            <w:r>
              <w:rPr>
                <w:rFonts w:ascii="Verdana"/>
                <w:b/>
                <w:sz w:val="24"/>
              </w:rPr>
              <w:t>and</w:t>
            </w:r>
            <w:r>
              <w:rPr>
                <w:rFonts w:ascii="Verdana"/>
                <w:b/>
                <w:spacing w:val="-4"/>
                <w:sz w:val="24"/>
              </w:rPr>
              <w:t> </w:t>
            </w:r>
            <w:r>
              <w:rPr>
                <w:rFonts w:ascii="Verdana"/>
                <w:b/>
                <w:sz w:val="24"/>
              </w:rPr>
              <w:t>OD</w:t>
            </w:r>
            <w:r>
              <w:rPr>
                <w:rFonts w:ascii="Verdana"/>
                <w:b/>
                <w:spacing w:val="-6"/>
                <w:sz w:val="24"/>
              </w:rPr>
              <w:t> </w:t>
            </w:r>
            <w:r>
              <w:rPr>
                <w:rFonts w:ascii="Verdana"/>
                <w:b/>
                <w:sz w:val="24"/>
              </w:rPr>
              <w:t>Subgroup</w:t>
            </w:r>
            <w:r>
              <w:rPr>
                <w:rFonts w:ascii="Verdana"/>
                <w:b/>
                <w:spacing w:val="-4"/>
                <w:sz w:val="24"/>
              </w:rPr>
              <w:t> </w:t>
            </w:r>
            <w:r>
              <w:rPr>
                <w:rFonts w:ascii="Verdana"/>
                <w:b/>
                <w:spacing w:val="-2"/>
                <w:sz w:val="24"/>
              </w:rPr>
              <w:t>Update</w:t>
            </w:r>
          </w:p>
          <w:p>
            <w:pPr>
              <w:pStyle w:val="TableParagraph"/>
              <w:spacing w:before="4"/>
              <w:ind w:left="109" w:right="194"/>
              <w:rPr>
                <w:rFonts w:ascii="Verdana"/>
                <w:sz w:val="24"/>
              </w:rPr>
            </w:pPr>
            <w:r>
              <w:rPr>
                <w:rFonts w:ascii="Verdana"/>
                <w:sz w:val="24"/>
              </w:rPr>
              <w:t>An update was provided on Occupational Health joint working, collaborative workforce planning, leadership development, Electronic</w:t>
            </w:r>
            <w:r>
              <w:rPr>
                <w:rFonts w:ascii="Verdana"/>
                <w:spacing w:val="-5"/>
                <w:sz w:val="24"/>
              </w:rPr>
              <w:t> </w:t>
            </w:r>
            <w:r>
              <w:rPr>
                <w:rFonts w:ascii="Verdana"/>
                <w:sz w:val="24"/>
              </w:rPr>
              <w:t>Staff</w:t>
            </w:r>
            <w:r>
              <w:rPr>
                <w:rFonts w:ascii="Verdana"/>
                <w:spacing w:val="-5"/>
                <w:sz w:val="24"/>
              </w:rPr>
              <w:t> </w:t>
            </w:r>
            <w:r>
              <w:rPr>
                <w:rFonts w:ascii="Verdana"/>
                <w:sz w:val="24"/>
              </w:rPr>
              <w:t>Record</w:t>
            </w:r>
            <w:r>
              <w:rPr>
                <w:rFonts w:ascii="Verdana"/>
                <w:spacing w:val="-9"/>
                <w:sz w:val="24"/>
              </w:rPr>
              <w:t> </w:t>
            </w:r>
            <w:r>
              <w:rPr>
                <w:rFonts w:ascii="Verdana"/>
                <w:sz w:val="24"/>
              </w:rPr>
              <w:t>(ESR)</w:t>
            </w:r>
            <w:r>
              <w:rPr>
                <w:rFonts w:ascii="Verdana"/>
                <w:spacing w:val="-4"/>
                <w:sz w:val="24"/>
              </w:rPr>
              <w:t> </w:t>
            </w:r>
            <w:r>
              <w:rPr>
                <w:rFonts w:ascii="Verdana"/>
                <w:sz w:val="24"/>
              </w:rPr>
              <w:t>alignment</w:t>
            </w:r>
            <w:r>
              <w:rPr>
                <w:rFonts w:ascii="Verdana"/>
                <w:spacing w:val="-5"/>
                <w:sz w:val="24"/>
              </w:rPr>
              <w:t> </w:t>
            </w:r>
            <w:r>
              <w:rPr>
                <w:rFonts w:ascii="Verdana"/>
                <w:sz w:val="24"/>
              </w:rPr>
              <w:t>and</w:t>
            </w:r>
            <w:r>
              <w:rPr>
                <w:rFonts w:ascii="Verdana"/>
                <w:spacing w:val="-5"/>
                <w:sz w:val="24"/>
              </w:rPr>
              <w:t> </w:t>
            </w:r>
            <w:r>
              <w:rPr>
                <w:rFonts w:ascii="Verdana"/>
                <w:sz w:val="24"/>
              </w:rPr>
              <w:t>legislative</w:t>
            </w:r>
            <w:r>
              <w:rPr>
                <w:rFonts w:ascii="Verdana"/>
                <w:spacing w:val="-4"/>
                <w:sz w:val="24"/>
              </w:rPr>
              <w:t> </w:t>
            </w:r>
            <w:r>
              <w:rPr>
                <w:rFonts w:ascii="Verdana"/>
                <w:sz w:val="24"/>
              </w:rPr>
              <w:t>readiness.</w:t>
            </w:r>
          </w:p>
          <w:p>
            <w:pPr>
              <w:pStyle w:val="TableParagraph"/>
              <w:spacing w:before="14"/>
              <w:rPr>
                <w:b/>
                <w:sz w:val="24"/>
              </w:rPr>
            </w:pPr>
          </w:p>
          <w:p>
            <w:pPr>
              <w:pStyle w:val="TableParagraph"/>
              <w:spacing w:line="291" w:lineRule="exact"/>
              <w:ind w:left="109"/>
              <w:rPr>
                <w:rFonts w:ascii="Verdana"/>
                <w:b/>
                <w:sz w:val="24"/>
              </w:rPr>
            </w:pPr>
            <w:r>
              <w:rPr>
                <w:rFonts w:ascii="Verdana"/>
                <w:b/>
                <w:sz w:val="24"/>
              </w:rPr>
              <w:t>Summary</w:t>
            </w:r>
            <w:r>
              <w:rPr>
                <w:rFonts w:ascii="Verdana"/>
                <w:b/>
                <w:spacing w:val="-6"/>
                <w:sz w:val="24"/>
              </w:rPr>
              <w:t> </w:t>
            </w:r>
            <w:r>
              <w:rPr>
                <w:rFonts w:ascii="Verdana"/>
                <w:b/>
                <w:sz w:val="24"/>
              </w:rPr>
              <w:t>of</w:t>
            </w:r>
            <w:r>
              <w:rPr>
                <w:rFonts w:ascii="Verdana"/>
                <w:b/>
                <w:spacing w:val="-5"/>
                <w:sz w:val="24"/>
              </w:rPr>
              <w:t> </w:t>
            </w:r>
            <w:r>
              <w:rPr>
                <w:rFonts w:ascii="Verdana"/>
                <w:b/>
                <w:spacing w:val="-2"/>
                <w:sz w:val="24"/>
              </w:rPr>
              <w:t>Discussion</w:t>
            </w:r>
          </w:p>
          <w:p>
            <w:pPr>
              <w:pStyle w:val="TableParagraph"/>
              <w:spacing w:line="291" w:lineRule="exact"/>
              <w:ind w:left="109"/>
              <w:rPr>
                <w:rFonts w:ascii="Verdana"/>
                <w:sz w:val="24"/>
              </w:rPr>
            </w:pPr>
            <w:r>
              <w:rPr>
                <w:rFonts w:ascii="Verdana"/>
                <w:sz w:val="24"/>
              </w:rPr>
              <w:t>Members</w:t>
            </w:r>
            <w:r>
              <w:rPr>
                <w:rFonts w:ascii="Verdana"/>
                <w:spacing w:val="3"/>
                <w:sz w:val="24"/>
              </w:rPr>
              <w:t> </w:t>
            </w:r>
            <w:r>
              <w:rPr>
                <w:rFonts w:ascii="Verdana"/>
                <w:spacing w:val="-2"/>
                <w:sz w:val="24"/>
              </w:rPr>
              <w:t>noted:</w:t>
            </w:r>
          </w:p>
          <w:p>
            <w:pPr>
              <w:pStyle w:val="TableParagraph"/>
              <w:numPr>
                <w:ilvl w:val="0"/>
                <w:numId w:val="109"/>
              </w:numPr>
              <w:tabs>
                <w:tab w:pos="830" w:val="left" w:leader="none"/>
              </w:tabs>
              <w:spacing w:line="240" w:lineRule="auto" w:before="4" w:after="0"/>
              <w:ind w:left="830" w:right="1145" w:hanging="361"/>
              <w:jc w:val="left"/>
              <w:rPr>
                <w:rFonts w:ascii="Verdana" w:hAnsi="Verdana"/>
                <w:sz w:val="24"/>
              </w:rPr>
            </w:pPr>
            <w:r>
              <w:rPr>
                <w:rFonts w:ascii="Verdana" w:hAnsi="Verdana"/>
                <w:sz w:val="24"/>
              </w:rPr>
              <w:t>The</w:t>
            </w:r>
            <w:r>
              <w:rPr>
                <w:rFonts w:ascii="Verdana" w:hAnsi="Verdana"/>
                <w:spacing w:val="-3"/>
                <w:sz w:val="24"/>
              </w:rPr>
              <w:t> </w:t>
            </w:r>
            <w:r>
              <w:rPr>
                <w:rFonts w:ascii="Verdana" w:hAnsi="Verdana"/>
                <w:sz w:val="24"/>
              </w:rPr>
              <w:t>scale</w:t>
            </w:r>
            <w:r>
              <w:rPr>
                <w:rFonts w:ascii="Verdana" w:hAnsi="Verdana"/>
                <w:spacing w:val="-2"/>
                <w:sz w:val="24"/>
              </w:rPr>
              <w:t> </w:t>
            </w:r>
            <w:r>
              <w:rPr>
                <w:rFonts w:ascii="Verdana" w:hAnsi="Verdana"/>
                <w:sz w:val="24"/>
              </w:rPr>
              <w:t>and</w:t>
            </w:r>
            <w:r>
              <w:rPr>
                <w:rFonts w:ascii="Verdana" w:hAnsi="Verdana"/>
                <w:spacing w:val="-4"/>
                <w:sz w:val="24"/>
              </w:rPr>
              <w:t> </w:t>
            </w:r>
            <w:r>
              <w:rPr>
                <w:rFonts w:ascii="Verdana" w:hAnsi="Verdana"/>
                <w:sz w:val="24"/>
              </w:rPr>
              <w:t>pace</w:t>
            </w:r>
            <w:r>
              <w:rPr>
                <w:rFonts w:ascii="Verdana" w:hAnsi="Verdana"/>
                <w:spacing w:val="-1"/>
                <w:sz w:val="24"/>
              </w:rPr>
              <w:t> </w:t>
            </w:r>
            <w:r>
              <w:rPr>
                <w:rFonts w:ascii="Verdana" w:hAnsi="Verdana"/>
                <w:sz w:val="24"/>
              </w:rPr>
              <w:t>of</w:t>
            </w:r>
            <w:r>
              <w:rPr>
                <w:rFonts w:ascii="Verdana" w:hAnsi="Verdana"/>
                <w:spacing w:val="-4"/>
                <w:sz w:val="24"/>
              </w:rPr>
              <w:t> </w:t>
            </w:r>
            <w:r>
              <w:rPr>
                <w:rFonts w:ascii="Verdana" w:hAnsi="Verdana"/>
                <w:sz w:val="24"/>
              </w:rPr>
              <w:t>ambition</w:t>
            </w:r>
            <w:r>
              <w:rPr>
                <w:rFonts w:ascii="Verdana" w:hAnsi="Verdana"/>
                <w:spacing w:val="-7"/>
                <w:sz w:val="24"/>
              </w:rPr>
              <w:t> </w:t>
            </w:r>
            <w:r>
              <w:rPr>
                <w:rFonts w:ascii="Verdana" w:hAnsi="Verdana"/>
                <w:sz w:val="24"/>
              </w:rPr>
              <w:t>and</w:t>
            </w:r>
            <w:r>
              <w:rPr>
                <w:rFonts w:ascii="Verdana" w:hAnsi="Verdana"/>
                <w:spacing w:val="-4"/>
                <w:sz w:val="24"/>
              </w:rPr>
              <w:t> </w:t>
            </w:r>
            <w:r>
              <w:rPr>
                <w:rFonts w:ascii="Verdana" w:hAnsi="Verdana"/>
                <w:sz w:val="24"/>
              </w:rPr>
              <w:t>the</w:t>
            </w:r>
            <w:r>
              <w:rPr>
                <w:rFonts w:ascii="Verdana" w:hAnsi="Verdana"/>
                <w:spacing w:val="-3"/>
                <w:sz w:val="24"/>
              </w:rPr>
              <w:t> </w:t>
            </w:r>
            <w:r>
              <w:rPr>
                <w:rFonts w:ascii="Verdana" w:hAnsi="Verdana"/>
                <w:sz w:val="24"/>
              </w:rPr>
              <w:t>importance</w:t>
            </w:r>
            <w:r>
              <w:rPr>
                <w:rFonts w:ascii="Verdana" w:hAnsi="Verdana"/>
                <w:spacing w:val="-3"/>
                <w:sz w:val="24"/>
              </w:rPr>
              <w:t> </w:t>
            </w:r>
            <w:r>
              <w:rPr>
                <w:rFonts w:ascii="Verdana" w:hAnsi="Verdana"/>
                <w:sz w:val="24"/>
              </w:rPr>
              <w:t>of </w:t>
            </w:r>
            <w:r>
              <w:rPr>
                <w:rFonts w:ascii="Verdana" w:hAnsi="Verdana"/>
                <w:spacing w:val="-2"/>
                <w:sz w:val="24"/>
              </w:rPr>
              <w:t>prioritisation.</w:t>
            </w:r>
          </w:p>
          <w:p>
            <w:pPr>
              <w:pStyle w:val="TableParagraph"/>
              <w:numPr>
                <w:ilvl w:val="0"/>
                <w:numId w:val="109"/>
              </w:numPr>
              <w:tabs>
                <w:tab w:pos="830" w:val="left" w:leader="none"/>
              </w:tabs>
              <w:spacing w:line="240" w:lineRule="auto" w:before="0" w:after="0"/>
              <w:ind w:left="830" w:right="112" w:hanging="361"/>
              <w:jc w:val="left"/>
              <w:rPr>
                <w:rFonts w:ascii="Verdana" w:hAnsi="Verdana"/>
                <w:sz w:val="24"/>
              </w:rPr>
            </w:pPr>
            <w:r>
              <w:rPr>
                <w:rFonts w:ascii="Verdana" w:hAnsi="Verdana"/>
                <w:sz w:val="24"/>
              </w:rPr>
              <w:t>The</w:t>
            </w:r>
            <w:r>
              <w:rPr>
                <w:rFonts w:ascii="Verdana" w:hAnsi="Verdana"/>
                <w:spacing w:val="-4"/>
                <w:sz w:val="24"/>
              </w:rPr>
              <w:t> </w:t>
            </w:r>
            <w:r>
              <w:rPr>
                <w:rFonts w:ascii="Verdana" w:hAnsi="Verdana"/>
                <w:sz w:val="24"/>
              </w:rPr>
              <w:t>significant</w:t>
            </w:r>
            <w:r>
              <w:rPr>
                <w:rFonts w:ascii="Verdana" w:hAnsi="Verdana"/>
                <w:spacing w:val="-5"/>
                <w:sz w:val="24"/>
              </w:rPr>
              <w:t> </w:t>
            </w:r>
            <w:r>
              <w:rPr>
                <w:rFonts w:ascii="Verdana" w:hAnsi="Verdana"/>
                <w:sz w:val="24"/>
              </w:rPr>
              <w:t>workforce</w:t>
            </w:r>
            <w:r>
              <w:rPr>
                <w:rFonts w:ascii="Verdana" w:hAnsi="Verdana"/>
                <w:spacing w:val="-4"/>
                <w:sz w:val="24"/>
              </w:rPr>
              <w:t> </w:t>
            </w:r>
            <w:r>
              <w:rPr>
                <w:rFonts w:ascii="Verdana" w:hAnsi="Verdana"/>
                <w:sz w:val="24"/>
              </w:rPr>
              <w:t>implications</w:t>
            </w:r>
            <w:r>
              <w:rPr>
                <w:rFonts w:ascii="Verdana" w:hAnsi="Verdana"/>
                <w:spacing w:val="-5"/>
                <w:sz w:val="24"/>
              </w:rPr>
              <w:t> </w:t>
            </w:r>
            <w:r>
              <w:rPr>
                <w:rFonts w:ascii="Verdana" w:hAnsi="Verdana"/>
                <w:sz w:val="24"/>
              </w:rPr>
              <w:t>of</w:t>
            </w:r>
            <w:r>
              <w:rPr>
                <w:rFonts w:ascii="Verdana" w:hAnsi="Verdana"/>
                <w:spacing w:val="-5"/>
                <w:sz w:val="24"/>
              </w:rPr>
              <w:t> </w:t>
            </w:r>
            <w:r>
              <w:rPr>
                <w:rFonts w:ascii="Verdana" w:hAnsi="Verdana"/>
                <w:sz w:val="24"/>
              </w:rPr>
              <w:t>digital</w:t>
            </w:r>
            <w:r>
              <w:rPr>
                <w:rFonts w:ascii="Verdana" w:hAnsi="Verdana"/>
                <w:spacing w:val="-6"/>
                <w:sz w:val="24"/>
              </w:rPr>
              <w:t> </w:t>
            </w:r>
            <w:r>
              <w:rPr>
                <w:rFonts w:ascii="Verdana" w:hAnsi="Verdana"/>
                <w:sz w:val="24"/>
              </w:rPr>
              <w:t>transformation and the importance of ensuring alignment between digital initiatives and workforce planning.</w:t>
            </w:r>
          </w:p>
          <w:p>
            <w:pPr>
              <w:pStyle w:val="TableParagraph"/>
              <w:numPr>
                <w:ilvl w:val="0"/>
                <w:numId w:val="109"/>
              </w:numPr>
              <w:tabs>
                <w:tab w:pos="830" w:val="left" w:leader="none"/>
              </w:tabs>
              <w:spacing w:line="242" w:lineRule="auto" w:before="0" w:after="0"/>
              <w:ind w:left="830" w:right="562" w:hanging="361"/>
              <w:jc w:val="left"/>
              <w:rPr>
                <w:rFonts w:ascii="Verdana" w:hAnsi="Verdana"/>
                <w:sz w:val="24"/>
              </w:rPr>
            </w:pPr>
            <w:r>
              <w:rPr>
                <w:rFonts w:ascii="Verdana" w:hAnsi="Verdana"/>
                <w:sz w:val="24"/>
              </w:rPr>
              <w:t>The</w:t>
            </w:r>
            <w:r>
              <w:rPr>
                <w:rFonts w:ascii="Verdana" w:hAnsi="Verdana"/>
                <w:spacing w:val="-4"/>
                <w:sz w:val="24"/>
              </w:rPr>
              <w:t> </w:t>
            </w:r>
            <w:r>
              <w:rPr>
                <w:rFonts w:ascii="Verdana" w:hAnsi="Verdana"/>
                <w:sz w:val="24"/>
              </w:rPr>
              <w:t>importance</w:t>
            </w:r>
            <w:r>
              <w:rPr>
                <w:rFonts w:ascii="Verdana" w:hAnsi="Verdana"/>
                <w:spacing w:val="-8"/>
                <w:sz w:val="24"/>
              </w:rPr>
              <w:t> </w:t>
            </w:r>
            <w:r>
              <w:rPr>
                <w:rFonts w:ascii="Verdana" w:hAnsi="Verdana"/>
                <w:sz w:val="24"/>
              </w:rPr>
              <w:t>of</w:t>
            </w:r>
            <w:r>
              <w:rPr>
                <w:rFonts w:ascii="Verdana" w:hAnsi="Verdana"/>
                <w:spacing w:val="-5"/>
                <w:sz w:val="24"/>
              </w:rPr>
              <w:t> </w:t>
            </w:r>
            <w:r>
              <w:rPr>
                <w:rFonts w:ascii="Verdana" w:hAnsi="Verdana"/>
                <w:sz w:val="24"/>
              </w:rPr>
              <w:t>aligning</w:t>
            </w:r>
            <w:r>
              <w:rPr>
                <w:rFonts w:ascii="Verdana" w:hAnsi="Verdana"/>
                <w:spacing w:val="-5"/>
                <w:sz w:val="24"/>
              </w:rPr>
              <w:t> </w:t>
            </w:r>
            <w:r>
              <w:rPr>
                <w:rFonts w:ascii="Verdana" w:hAnsi="Verdana"/>
                <w:sz w:val="24"/>
              </w:rPr>
              <w:t>regional</w:t>
            </w:r>
            <w:r>
              <w:rPr>
                <w:rFonts w:ascii="Verdana" w:hAnsi="Verdana"/>
                <w:spacing w:val="-6"/>
                <w:sz w:val="24"/>
              </w:rPr>
              <w:t> </w:t>
            </w:r>
            <w:r>
              <w:rPr>
                <w:rFonts w:ascii="Verdana" w:hAnsi="Verdana"/>
                <w:sz w:val="24"/>
              </w:rPr>
              <w:t>workforce</w:t>
            </w:r>
            <w:r>
              <w:rPr>
                <w:rFonts w:ascii="Verdana" w:hAnsi="Verdana"/>
                <w:spacing w:val="-4"/>
                <w:sz w:val="24"/>
              </w:rPr>
              <w:t> </w:t>
            </w:r>
            <w:r>
              <w:rPr>
                <w:rFonts w:ascii="Verdana" w:hAnsi="Verdana"/>
                <w:sz w:val="24"/>
              </w:rPr>
              <w:t>activity</w:t>
            </w:r>
            <w:r>
              <w:rPr>
                <w:rFonts w:ascii="Verdana" w:hAnsi="Verdana"/>
                <w:spacing w:val="-7"/>
                <w:sz w:val="24"/>
              </w:rPr>
              <w:t> </w:t>
            </w:r>
            <w:r>
              <w:rPr>
                <w:rFonts w:ascii="Verdana" w:hAnsi="Verdana"/>
                <w:sz w:val="24"/>
              </w:rPr>
              <w:t>with Mid Wales where appropriate.</w:t>
            </w:r>
          </w:p>
          <w:p>
            <w:pPr>
              <w:pStyle w:val="TableParagraph"/>
              <w:spacing w:before="6"/>
              <w:rPr>
                <w:b/>
                <w:sz w:val="24"/>
              </w:rPr>
            </w:pPr>
          </w:p>
          <w:p>
            <w:pPr>
              <w:pStyle w:val="TableParagraph"/>
              <w:spacing w:before="1"/>
              <w:ind w:left="109"/>
              <w:rPr>
                <w:rFonts w:ascii="Verdana"/>
                <w:b/>
                <w:sz w:val="24"/>
              </w:rPr>
            </w:pPr>
            <w:r>
              <w:rPr>
                <w:rFonts w:ascii="Verdana"/>
                <w:b/>
                <w:spacing w:val="-2"/>
                <w:sz w:val="24"/>
              </w:rPr>
              <w:t>Actions/Agreements</w:t>
            </w:r>
          </w:p>
          <w:p>
            <w:pPr>
              <w:pStyle w:val="TableParagraph"/>
              <w:spacing w:line="259" w:lineRule="auto" w:before="3"/>
              <w:ind w:left="109" w:right="194"/>
              <w:rPr>
                <w:rFonts w:ascii="Verdana"/>
                <w:sz w:val="24"/>
              </w:rPr>
            </w:pPr>
            <w:r>
              <w:rPr>
                <w:rFonts w:ascii="Verdana"/>
                <w:b/>
                <w:sz w:val="24"/>
              </w:rPr>
              <w:t>Agreement:</w:t>
            </w:r>
            <w:r>
              <w:rPr>
                <w:rFonts w:ascii="Verdana"/>
                <w:b/>
                <w:spacing w:val="-2"/>
                <w:sz w:val="24"/>
              </w:rPr>
              <w:t> </w:t>
            </w:r>
            <w:r>
              <w:rPr>
                <w:rFonts w:ascii="Verdana"/>
                <w:sz w:val="24"/>
              </w:rPr>
              <w:t>The</w:t>
            </w:r>
            <w:r>
              <w:rPr>
                <w:rFonts w:ascii="Verdana"/>
                <w:spacing w:val="-8"/>
                <w:sz w:val="24"/>
              </w:rPr>
              <w:t> </w:t>
            </w:r>
            <w:r>
              <w:rPr>
                <w:rFonts w:ascii="Verdana"/>
                <w:sz w:val="24"/>
              </w:rPr>
              <w:t>Committee</w:t>
            </w:r>
            <w:r>
              <w:rPr>
                <w:rFonts w:ascii="Verdana"/>
                <w:spacing w:val="-4"/>
                <w:sz w:val="24"/>
              </w:rPr>
              <w:t> </w:t>
            </w:r>
            <w:r>
              <w:rPr>
                <w:rFonts w:ascii="Verdana"/>
                <w:sz w:val="24"/>
              </w:rPr>
              <w:t>noted</w:t>
            </w:r>
            <w:r>
              <w:rPr>
                <w:rFonts w:ascii="Verdana"/>
                <w:spacing w:val="-5"/>
                <w:sz w:val="24"/>
              </w:rPr>
              <w:t> </w:t>
            </w:r>
            <w:r>
              <w:rPr>
                <w:rFonts w:ascii="Verdana"/>
                <w:sz w:val="24"/>
              </w:rPr>
              <w:t>the</w:t>
            </w:r>
            <w:r>
              <w:rPr>
                <w:rFonts w:ascii="Verdana"/>
                <w:spacing w:val="-8"/>
                <w:sz w:val="24"/>
              </w:rPr>
              <w:t> </w:t>
            </w:r>
            <w:r>
              <w:rPr>
                <w:rFonts w:ascii="Verdana"/>
                <w:sz w:val="24"/>
              </w:rPr>
              <w:t>continued</w:t>
            </w:r>
            <w:r>
              <w:rPr>
                <w:rFonts w:ascii="Verdana"/>
                <w:spacing w:val="-5"/>
                <w:sz w:val="24"/>
              </w:rPr>
              <w:t> </w:t>
            </w:r>
            <w:r>
              <w:rPr>
                <w:rFonts w:ascii="Verdana"/>
                <w:sz w:val="24"/>
              </w:rPr>
              <w:t>progress</w:t>
            </w:r>
            <w:r>
              <w:rPr>
                <w:rFonts w:ascii="Verdana"/>
                <w:spacing w:val="-5"/>
                <w:sz w:val="24"/>
              </w:rPr>
              <w:t> </w:t>
            </w:r>
            <w:r>
              <w:rPr>
                <w:rFonts w:ascii="Verdana"/>
                <w:sz w:val="24"/>
              </w:rPr>
              <w:t>being </w:t>
            </w:r>
            <w:r>
              <w:rPr>
                <w:rFonts w:ascii="Verdana"/>
                <w:spacing w:val="-2"/>
                <w:sz w:val="24"/>
              </w:rPr>
              <w:t>made.</w:t>
            </w:r>
          </w:p>
        </w:tc>
        <w:tc>
          <w:tcPr>
            <w:tcW w:w="711" w:type="dxa"/>
          </w:tcPr>
          <w:p>
            <w:pPr>
              <w:pStyle w:val="TableParagraph"/>
              <w:rPr>
                <w:rFonts w:ascii="Times New Roman"/>
                <w:sz w:val="22"/>
              </w:rPr>
            </w:pPr>
          </w:p>
        </w:tc>
      </w:tr>
    </w:tbl>
    <w:p>
      <w:pPr>
        <w:pStyle w:val="BodyText"/>
        <w:rPr>
          <w:b/>
        </w:rPr>
      </w:pPr>
    </w:p>
    <w:p>
      <w:pPr>
        <w:pStyle w:val="BodyText"/>
        <w:spacing w:before="253"/>
        <w:rPr>
          <w:b/>
        </w:rPr>
      </w:pPr>
    </w:p>
    <w:p>
      <w:pPr>
        <w:spacing w:before="1"/>
        <w:ind w:left="0" w:right="180" w:firstLine="0"/>
        <w:jc w:val="right"/>
        <w:rPr>
          <w:b/>
          <w:sz w:val="24"/>
        </w:rPr>
      </w:pPr>
      <w:r>
        <w:rPr>
          <w:sz w:val="24"/>
        </w:rPr>
        <w:t>Page </w:t>
      </w:r>
      <w:r>
        <w:rPr>
          <w:b/>
          <w:sz w:val="24"/>
        </w:rPr>
        <w:t>8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92" name="Image 792"/>
            <wp:cNvGraphicFramePr>
              <a:graphicFrameLocks/>
            </wp:cNvGraphicFramePr>
            <a:graphic>
              <a:graphicData uri="http://schemas.openxmlformats.org/drawingml/2006/picture">
                <pic:pic>
                  <pic:nvPicPr>
                    <pic:cNvPr id="792" name="Image 792"/>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93" name="Image 793"/>
            <wp:cNvGraphicFramePr>
              <a:graphicFrameLocks/>
            </wp:cNvGraphicFramePr>
            <a:graphic>
              <a:graphicData uri="http://schemas.openxmlformats.org/drawingml/2006/picture">
                <pic:pic>
                  <pic:nvPicPr>
                    <pic:cNvPr id="793" name="Image 793"/>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1105" w:hRule="atLeast"/>
        </w:trPr>
        <w:tc>
          <w:tcPr>
            <w:tcW w:w="1276" w:type="dxa"/>
          </w:tcPr>
          <w:p>
            <w:pPr>
              <w:pStyle w:val="TableParagraph"/>
              <w:rPr>
                <w:rFonts w:ascii="Times New Roman"/>
                <w:sz w:val="22"/>
              </w:rPr>
            </w:pPr>
          </w:p>
        </w:tc>
        <w:tc>
          <w:tcPr>
            <w:tcW w:w="8509" w:type="dxa"/>
          </w:tcPr>
          <w:p>
            <w:pPr>
              <w:pStyle w:val="TableParagraph"/>
              <w:spacing w:line="259" w:lineRule="auto" w:before="78"/>
              <w:ind w:left="109" w:right="233"/>
              <w:jc w:val="both"/>
              <w:rPr>
                <w:rFonts w:ascii="Verdana"/>
                <w:sz w:val="24"/>
              </w:rPr>
            </w:pPr>
            <w:r>
              <w:rPr>
                <w:rFonts w:ascii="Verdana"/>
                <w:b/>
                <w:sz w:val="24"/>
              </w:rPr>
              <w:t>ACTION: </w:t>
            </w:r>
            <w:r>
              <w:rPr>
                <w:rFonts w:ascii="Verdana"/>
                <w:sz w:val="24"/>
              </w:rPr>
              <w:t>LG, through the</w:t>
            </w:r>
            <w:r>
              <w:rPr>
                <w:rFonts w:ascii="Verdana"/>
                <w:spacing w:val="-1"/>
                <w:sz w:val="24"/>
              </w:rPr>
              <w:t> </w:t>
            </w:r>
            <w:r>
              <w:rPr>
                <w:rFonts w:ascii="Verdana"/>
                <w:sz w:val="24"/>
              </w:rPr>
              <w:t>Workforce</w:t>
            </w:r>
            <w:r>
              <w:rPr>
                <w:rFonts w:ascii="Verdana"/>
                <w:spacing w:val="-1"/>
                <w:sz w:val="24"/>
              </w:rPr>
              <w:t> </w:t>
            </w:r>
            <w:r>
              <w:rPr>
                <w:rFonts w:ascii="Verdana"/>
                <w:sz w:val="24"/>
              </w:rPr>
              <w:t>and</w:t>
            </w:r>
            <w:r>
              <w:rPr>
                <w:rFonts w:ascii="Verdana"/>
                <w:spacing w:val="-2"/>
                <w:sz w:val="24"/>
              </w:rPr>
              <w:t> </w:t>
            </w:r>
            <w:r>
              <w:rPr>
                <w:rFonts w:ascii="Verdana"/>
                <w:sz w:val="24"/>
              </w:rPr>
              <w:t>OD Subgroup, to identify priority</w:t>
            </w:r>
            <w:r>
              <w:rPr>
                <w:rFonts w:ascii="Verdana"/>
                <w:spacing w:val="-6"/>
                <w:sz w:val="24"/>
              </w:rPr>
              <w:t> </w:t>
            </w:r>
            <w:r>
              <w:rPr>
                <w:rFonts w:ascii="Verdana"/>
                <w:sz w:val="24"/>
              </w:rPr>
              <w:t>specialties</w:t>
            </w:r>
            <w:r>
              <w:rPr>
                <w:rFonts w:ascii="Verdana"/>
                <w:spacing w:val="-4"/>
                <w:sz w:val="24"/>
              </w:rPr>
              <w:t> </w:t>
            </w:r>
            <w:r>
              <w:rPr>
                <w:rFonts w:ascii="Verdana"/>
                <w:sz w:val="24"/>
              </w:rPr>
              <w:t>and</w:t>
            </w:r>
            <w:r>
              <w:rPr>
                <w:rFonts w:ascii="Verdana"/>
                <w:spacing w:val="-4"/>
                <w:sz w:val="24"/>
              </w:rPr>
              <w:t> </w:t>
            </w:r>
            <w:r>
              <w:rPr>
                <w:rFonts w:ascii="Verdana"/>
                <w:sz w:val="24"/>
              </w:rPr>
              <w:t>critical</w:t>
            </w:r>
            <w:r>
              <w:rPr>
                <w:rFonts w:ascii="Verdana"/>
                <w:spacing w:val="-4"/>
                <w:sz w:val="24"/>
              </w:rPr>
              <w:t> </w:t>
            </w:r>
            <w:r>
              <w:rPr>
                <w:rFonts w:ascii="Verdana"/>
                <w:sz w:val="24"/>
              </w:rPr>
              <w:t>workforce</w:t>
            </w:r>
            <w:r>
              <w:rPr>
                <w:rFonts w:ascii="Verdana"/>
                <w:spacing w:val="-7"/>
                <w:sz w:val="24"/>
              </w:rPr>
              <w:t> </w:t>
            </w:r>
            <w:r>
              <w:rPr>
                <w:rFonts w:ascii="Verdana"/>
                <w:sz w:val="24"/>
              </w:rPr>
              <w:t>risks</w:t>
            </w:r>
            <w:r>
              <w:rPr>
                <w:rFonts w:ascii="Verdana"/>
                <w:spacing w:val="-4"/>
                <w:sz w:val="24"/>
              </w:rPr>
              <w:t> </w:t>
            </w:r>
            <w:r>
              <w:rPr>
                <w:rFonts w:ascii="Verdana"/>
                <w:sz w:val="24"/>
              </w:rPr>
              <w:t>requiring</w:t>
            </w:r>
            <w:r>
              <w:rPr>
                <w:rFonts w:ascii="Verdana"/>
                <w:spacing w:val="-4"/>
                <w:sz w:val="24"/>
              </w:rPr>
              <w:t> </w:t>
            </w:r>
            <w:r>
              <w:rPr>
                <w:rFonts w:ascii="Verdana"/>
                <w:sz w:val="24"/>
              </w:rPr>
              <w:t>accelerated regional action, and to report these back to the RJC.</w:t>
            </w:r>
          </w:p>
        </w:tc>
        <w:tc>
          <w:tcPr>
            <w:tcW w:w="711" w:type="dxa"/>
          </w:tcPr>
          <w:p>
            <w:pPr>
              <w:pStyle w:val="TableParagraph"/>
              <w:rPr>
                <w:rFonts w:ascii="Times New Roman"/>
                <w:sz w:val="22"/>
              </w:rPr>
            </w:pPr>
          </w:p>
        </w:tc>
      </w:tr>
    </w:tbl>
    <w:p>
      <w:pPr>
        <w:pStyle w:val="BodyText"/>
        <w:rPr>
          <w:b/>
          <w:sz w:val="20"/>
        </w:rPr>
      </w:pPr>
    </w:p>
    <w:p>
      <w:pPr>
        <w:pStyle w:val="BodyText"/>
        <w:rPr>
          <w:b/>
          <w:sz w:val="20"/>
        </w:rPr>
      </w:pPr>
    </w:p>
    <w:p>
      <w:pPr>
        <w:pStyle w:val="BodyText"/>
        <w:spacing w:before="211"/>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430" w:hRule="atLeast"/>
        </w:trPr>
        <w:tc>
          <w:tcPr>
            <w:tcW w:w="10496" w:type="dxa"/>
            <w:gridSpan w:val="3"/>
            <w:tcBorders>
              <w:bottom w:val="single" w:sz="36" w:space="0" w:color="001F5F"/>
            </w:tcBorders>
            <w:shd w:val="clear" w:color="auto" w:fill="001F5F"/>
          </w:tcPr>
          <w:p>
            <w:pPr>
              <w:pStyle w:val="TableParagraph"/>
              <w:spacing w:before="78"/>
              <w:ind w:left="9"/>
              <w:jc w:val="center"/>
              <w:rPr>
                <w:rFonts w:ascii="Verdana"/>
                <w:b/>
                <w:sz w:val="24"/>
              </w:rPr>
            </w:pPr>
            <w:r>
              <w:rPr>
                <w:rFonts w:ascii="Verdana"/>
                <w:b/>
                <w:color w:val="FFFFFF"/>
                <w:sz w:val="24"/>
              </w:rPr>
              <w:t>PART</w:t>
            </w:r>
            <w:r>
              <w:rPr>
                <w:rFonts w:ascii="Verdana"/>
                <w:b/>
                <w:color w:val="FFFFFF"/>
                <w:spacing w:val="-2"/>
                <w:sz w:val="24"/>
              </w:rPr>
              <w:t> </w:t>
            </w:r>
            <w:r>
              <w:rPr>
                <w:rFonts w:ascii="Verdana"/>
                <w:b/>
                <w:color w:val="FFFFFF"/>
                <w:sz w:val="24"/>
              </w:rPr>
              <w:t>3:</w:t>
            </w:r>
            <w:r>
              <w:rPr>
                <w:rFonts w:ascii="Verdana"/>
                <w:b/>
                <w:color w:val="FFFFFF"/>
                <w:spacing w:val="-4"/>
                <w:sz w:val="24"/>
              </w:rPr>
              <w:t> </w:t>
            </w:r>
            <w:r>
              <w:rPr>
                <w:rFonts w:ascii="Verdana"/>
                <w:b/>
                <w:color w:val="FFFFFF"/>
                <w:spacing w:val="-2"/>
                <w:sz w:val="24"/>
              </w:rPr>
              <w:t>GOVERNANCE</w:t>
            </w:r>
          </w:p>
        </w:tc>
      </w:tr>
      <w:tr>
        <w:trPr>
          <w:trHeight w:val="7847" w:hRule="atLeast"/>
        </w:trPr>
        <w:tc>
          <w:tcPr>
            <w:tcW w:w="1276" w:type="dxa"/>
            <w:tcBorders>
              <w:top w:val="single" w:sz="36" w:space="0" w:color="001F5F"/>
            </w:tcBorders>
          </w:tcPr>
          <w:p>
            <w:pPr>
              <w:pStyle w:val="TableParagraph"/>
              <w:spacing w:before="78"/>
              <w:ind w:left="8"/>
              <w:jc w:val="center"/>
              <w:rPr>
                <w:rFonts w:ascii="Verdana"/>
                <w:b/>
                <w:sz w:val="24"/>
              </w:rPr>
            </w:pPr>
            <w:r>
              <w:rPr>
                <w:rFonts w:ascii="Verdana"/>
                <w:b/>
                <w:spacing w:val="-2"/>
                <w:sz w:val="24"/>
              </w:rPr>
              <w:t>RJC/27</w:t>
            </w:r>
          </w:p>
        </w:tc>
        <w:tc>
          <w:tcPr>
            <w:tcW w:w="8509" w:type="dxa"/>
            <w:tcBorders>
              <w:top w:val="single" w:sz="36" w:space="0" w:color="001F5F"/>
            </w:tcBorders>
          </w:tcPr>
          <w:p>
            <w:pPr>
              <w:pStyle w:val="TableParagraph"/>
              <w:spacing w:before="78"/>
              <w:ind w:left="79"/>
              <w:rPr>
                <w:rFonts w:ascii="Verdana"/>
                <w:b/>
                <w:sz w:val="24"/>
              </w:rPr>
            </w:pPr>
            <w:r>
              <w:rPr>
                <w:rFonts w:ascii="Verdana"/>
                <w:b/>
                <w:sz w:val="24"/>
              </w:rPr>
              <w:t>RJC</w:t>
            </w:r>
            <w:r>
              <w:rPr>
                <w:rFonts w:ascii="Verdana"/>
                <w:b/>
                <w:spacing w:val="-4"/>
                <w:sz w:val="24"/>
              </w:rPr>
              <w:t> </w:t>
            </w:r>
            <w:r>
              <w:rPr>
                <w:rFonts w:ascii="Verdana"/>
                <w:b/>
                <w:sz w:val="24"/>
              </w:rPr>
              <w:t>2026/27</w:t>
            </w:r>
            <w:r>
              <w:rPr>
                <w:rFonts w:ascii="Verdana"/>
                <w:b/>
                <w:spacing w:val="-4"/>
                <w:sz w:val="24"/>
              </w:rPr>
              <w:t> </w:t>
            </w:r>
            <w:r>
              <w:rPr>
                <w:rFonts w:ascii="Verdana"/>
                <w:b/>
                <w:sz w:val="24"/>
              </w:rPr>
              <w:t>Work</w:t>
            </w:r>
            <w:r>
              <w:rPr>
                <w:rFonts w:ascii="Verdana"/>
                <w:b/>
                <w:spacing w:val="-5"/>
                <w:sz w:val="24"/>
              </w:rPr>
              <w:t> </w:t>
            </w:r>
            <w:r>
              <w:rPr>
                <w:rFonts w:ascii="Verdana"/>
                <w:b/>
                <w:spacing w:val="-2"/>
                <w:sz w:val="24"/>
              </w:rPr>
              <w:t>Programme</w:t>
            </w:r>
          </w:p>
          <w:p>
            <w:pPr>
              <w:pStyle w:val="TableParagraph"/>
              <w:spacing w:before="4"/>
              <w:ind w:left="79"/>
              <w:rPr>
                <w:rFonts w:ascii="Verdana"/>
                <w:sz w:val="24"/>
              </w:rPr>
            </w:pPr>
            <w:r>
              <w:rPr>
                <w:rFonts w:ascii="Verdana"/>
                <w:sz w:val="24"/>
              </w:rPr>
              <w:t>The Committee discussed priorities for the coming year, including Regional</w:t>
            </w:r>
            <w:r>
              <w:rPr>
                <w:rFonts w:ascii="Verdana"/>
                <w:spacing w:val="-7"/>
                <w:sz w:val="24"/>
              </w:rPr>
              <w:t> </w:t>
            </w:r>
            <w:r>
              <w:rPr>
                <w:rFonts w:ascii="Verdana"/>
                <w:sz w:val="24"/>
              </w:rPr>
              <w:t>Health</w:t>
            </w:r>
            <w:r>
              <w:rPr>
                <w:rFonts w:ascii="Verdana"/>
                <w:spacing w:val="-8"/>
                <w:sz w:val="24"/>
              </w:rPr>
              <w:t> </w:t>
            </w:r>
            <w:r>
              <w:rPr>
                <w:rFonts w:ascii="Verdana"/>
                <w:sz w:val="24"/>
              </w:rPr>
              <w:t>Economy,</w:t>
            </w:r>
            <w:r>
              <w:rPr>
                <w:rFonts w:ascii="Verdana"/>
                <w:spacing w:val="-4"/>
                <w:sz w:val="24"/>
              </w:rPr>
              <w:t> </w:t>
            </w:r>
            <w:r>
              <w:rPr>
                <w:rFonts w:ascii="Verdana"/>
                <w:sz w:val="24"/>
              </w:rPr>
              <w:t>Research</w:t>
            </w:r>
            <w:r>
              <w:rPr>
                <w:rFonts w:ascii="Verdana"/>
                <w:spacing w:val="-8"/>
                <w:sz w:val="24"/>
              </w:rPr>
              <w:t> </w:t>
            </w:r>
            <w:r>
              <w:rPr>
                <w:rFonts w:ascii="Verdana"/>
                <w:sz w:val="24"/>
              </w:rPr>
              <w:t>&amp;</w:t>
            </w:r>
            <w:r>
              <w:rPr>
                <w:rFonts w:ascii="Verdana"/>
                <w:spacing w:val="-6"/>
                <w:sz w:val="24"/>
              </w:rPr>
              <w:t> </w:t>
            </w:r>
            <w:r>
              <w:rPr>
                <w:rFonts w:ascii="Verdana"/>
                <w:sz w:val="24"/>
              </w:rPr>
              <w:t>Innovation,</w:t>
            </w:r>
            <w:r>
              <w:rPr>
                <w:rFonts w:ascii="Verdana"/>
                <w:spacing w:val="-4"/>
                <w:sz w:val="24"/>
              </w:rPr>
              <w:t> </w:t>
            </w:r>
            <w:r>
              <w:rPr>
                <w:rFonts w:ascii="Verdana"/>
                <w:sz w:val="24"/>
              </w:rPr>
              <w:t>Cellular</w:t>
            </w:r>
            <w:r>
              <w:rPr>
                <w:rFonts w:ascii="Verdana"/>
                <w:spacing w:val="-3"/>
                <w:sz w:val="24"/>
              </w:rPr>
              <w:t> </w:t>
            </w:r>
            <w:r>
              <w:rPr>
                <w:rFonts w:ascii="Verdana"/>
                <w:sz w:val="24"/>
              </w:rPr>
              <w:t>Pathology and Diagnostics; noted that the regional work programme had been developed based on discussions at the Committee in January 2026 and that the plan had been agreed by both Health Boards through their Annual Planning processes and governance.</w:t>
            </w:r>
          </w:p>
          <w:p>
            <w:pPr>
              <w:pStyle w:val="TableParagraph"/>
              <w:spacing w:before="14"/>
              <w:rPr>
                <w:b/>
                <w:sz w:val="24"/>
              </w:rPr>
            </w:pPr>
          </w:p>
          <w:p>
            <w:pPr>
              <w:pStyle w:val="TableParagraph"/>
              <w:spacing w:line="291" w:lineRule="exact"/>
              <w:ind w:left="79"/>
              <w:rPr>
                <w:rFonts w:ascii="Verdana"/>
                <w:b/>
                <w:sz w:val="24"/>
              </w:rPr>
            </w:pPr>
            <w:r>
              <w:rPr>
                <w:rFonts w:ascii="Verdana"/>
                <w:b/>
                <w:sz w:val="24"/>
              </w:rPr>
              <w:t>Summary</w:t>
            </w:r>
            <w:r>
              <w:rPr>
                <w:rFonts w:ascii="Verdana"/>
                <w:b/>
                <w:spacing w:val="-6"/>
                <w:sz w:val="24"/>
              </w:rPr>
              <w:t> </w:t>
            </w:r>
            <w:r>
              <w:rPr>
                <w:rFonts w:ascii="Verdana"/>
                <w:b/>
                <w:sz w:val="24"/>
              </w:rPr>
              <w:t>of</w:t>
            </w:r>
            <w:r>
              <w:rPr>
                <w:rFonts w:ascii="Verdana"/>
                <w:b/>
                <w:spacing w:val="-5"/>
                <w:sz w:val="24"/>
              </w:rPr>
              <w:t> </w:t>
            </w:r>
            <w:r>
              <w:rPr>
                <w:rFonts w:ascii="Verdana"/>
                <w:b/>
                <w:spacing w:val="-2"/>
                <w:sz w:val="24"/>
              </w:rPr>
              <w:t>Discussion</w:t>
            </w:r>
          </w:p>
          <w:p>
            <w:pPr>
              <w:pStyle w:val="TableParagraph"/>
              <w:spacing w:line="291" w:lineRule="exact"/>
              <w:ind w:left="79"/>
              <w:rPr>
                <w:rFonts w:ascii="Verdana"/>
                <w:sz w:val="24"/>
              </w:rPr>
            </w:pPr>
            <w:r>
              <w:rPr>
                <w:rFonts w:ascii="Verdana"/>
                <w:sz w:val="24"/>
              </w:rPr>
              <w:t>Members</w:t>
            </w:r>
            <w:r>
              <w:rPr>
                <w:rFonts w:ascii="Verdana"/>
                <w:spacing w:val="-5"/>
                <w:sz w:val="24"/>
              </w:rPr>
              <w:t> </w:t>
            </w:r>
            <w:r>
              <w:rPr>
                <w:rFonts w:ascii="Verdana"/>
                <w:sz w:val="24"/>
              </w:rPr>
              <w:t>emphasised</w:t>
            </w:r>
            <w:r>
              <w:rPr>
                <w:rFonts w:ascii="Verdana"/>
                <w:spacing w:val="-4"/>
                <w:sz w:val="24"/>
              </w:rPr>
              <w:t> </w:t>
            </w:r>
            <w:r>
              <w:rPr>
                <w:rFonts w:ascii="Verdana"/>
                <w:sz w:val="24"/>
              </w:rPr>
              <w:t>the</w:t>
            </w:r>
            <w:r>
              <w:rPr>
                <w:rFonts w:ascii="Verdana"/>
                <w:spacing w:val="2"/>
                <w:sz w:val="24"/>
              </w:rPr>
              <w:t> </w:t>
            </w:r>
            <w:r>
              <w:rPr>
                <w:rFonts w:ascii="Verdana"/>
                <w:sz w:val="24"/>
              </w:rPr>
              <w:t>need</w:t>
            </w:r>
            <w:r>
              <w:rPr>
                <w:rFonts w:ascii="Verdana"/>
                <w:spacing w:val="1"/>
                <w:sz w:val="24"/>
              </w:rPr>
              <w:t> </w:t>
            </w:r>
            <w:r>
              <w:rPr>
                <w:rFonts w:ascii="Verdana"/>
                <w:spacing w:val="-5"/>
                <w:sz w:val="24"/>
              </w:rPr>
              <w:t>to:</w:t>
            </w:r>
          </w:p>
          <w:p>
            <w:pPr>
              <w:pStyle w:val="TableParagraph"/>
              <w:numPr>
                <w:ilvl w:val="0"/>
                <w:numId w:val="110"/>
              </w:numPr>
              <w:tabs>
                <w:tab w:pos="800" w:val="left" w:leader="none"/>
              </w:tabs>
              <w:spacing w:line="291" w:lineRule="exact" w:before="4" w:after="0"/>
              <w:ind w:left="800" w:right="0" w:hanging="361"/>
              <w:jc w:val="left"/>
              <w:rPr>
                <w:rFonts w:ascii="Verdana" w:hAnsi="Verdana"/>
                <w:sz w:val="24"/>
              </w:rPr>
            </w:pPr>
            <w:r>
              <w:rPr>
                <w:rFonts w:ascii="Verdana" w:hAnsi="Verdana"/>
                <w:sz w:val="24"/>
              </w:rPr>
              <w:t>Demonstrate</w:t>
            </w:r>
            <w:r>
              <w:rPr>
                <w:rFonts w:ascii="Verdana" w:hAnsi="Verdana"/>
                <w:spacing w:val="-4"/>
                <w:sz w:val="24"/>
              </w:rPr>
              <w:t> </w:t>
            </w:r>
            <w:r>
              <w:rPr>
                <w:rFonts w:ascii="Verdana" w:hAnsi="Verdana"/>
                <w:sz w:val="24"/>
              </w:rPr>
              <w:t>tangible</w:t>
            </w:r>
            <w:r>
              <w:rPr>
                <w:rFonts w:ascii="Verdana" w:hAnsi="Verdana"/>
                <w:spacing w:val="2"/>
                <w:sz w:val="24"/>
              </w:rPr>
              <w:t> </w:t>
            </w:r>
            <w:r>
              <w:rPr>
                <w:rFonts w:ascii="Verdana" w:hAnsi="Verdana"/>
                <w:spacing w:val="-2"/>
                <w:sz w:val="24"/>
              </w:rPr>
              <w:t>progress.</w:t>
            </w:r>
          </w:p>
          <w:p>
            <w:pPr>
              <w:pStyle w:val="TableParagraph"/>
              <w:numPr>
                <w:ilvl w:val="0"/>
                <w:numId w:val="110"/>
              </w:numPr>
              <w:tabs>
                <w:tab w:pos="800" w:val="left" w:leader="none"/>
              </w:tabs>
              <w:spacing w:line="240" w:lineRule="auto" w:before="0" w:after="0"/>
              <w:ind w:left="800" w:right="1832" w:hanging="361"/>
              <w:jc w:val="left"/>
              <w:rPr>
                <w:rFonts w:ascii="Verdana" w:hAnsi="Verdana"/>
                <w:sz w:val="24"/>
              </w:rPr>
            </w:pPr>
            <w:r>
              <w:rPr>
                <w:rFonts w:ascii="Verdana" w:hAnsi="Verdana"/>
                <w:sz w:val="24"/>
              </w:rPr>
              <w:t>Be</w:t>
            </w:r>
            <w:r>
              <w:rPr>
                <w:rFonts w:ascii="Verdana" w:hAnsi="Verdana"/>
                <w:spacing w:val="-7"/>
                <w:sz w:val="24"/>
              </w:rPr>
              <w:t> </w:t>
            </w:r>
            <w:r>
              <w:rPr>
                <w:rFonts w:ascii="Verdana" w:hAnsi="Verdana"/>
                <w:sz w:val="24"/>
              </w:rPr>
              <w:t>explicit</w:t>
            </w:r>
            <w:r>
              <w:rPr>
                <w:rFonts w:ascii="Verdana" w:hAnsi="Verdana"/>
                <w:spacing w:val="-8"/>
                <w:sz w:val="24"/>
              </w:rPr>
              <w:t> </w:t>
            </w:r>
            <w:r>
              <w:rPr>
                <w:rFonts w:ascii="Verdana" w:hAnsi="Verdana"/>
                <w:sz w:val="24"/>
              </w:rPr>
              <w:t>about</w:t>
            </w:r>
            <w:r>
              <w:rPr>
                <w:rFonts w:ascii="Verdana" w:hAnsi="Verdana"/>
                <w:spacing w:val="-8"/>
                <w:sz w:val="24"/>
              </w:rPr>
              <w:t> </w:t>
            </w:r>
            <w:r>
              <w:rPr>
                <w:rFonts w:ascii="Verdana" w:hAnsi="Verdana"/>
                <w:sz w:val="24"/>
              </w:rPr>
              <w:t>prioritisation</w:t>
            </w:r>
            <w:r>
              <w:rPr>
                <w:rFonts w:ascii="Verdana" w:hAnsi="Verdana"/>
                <w:spacing w:val="-10"/>
                <w:sz w:val="24"/>
              </w:rPr>
              <w:t> </w:t>
            </w:r>
            <w:r>
              <w:rPr>
                <w:rFonts w:ascii="Verdana" w:hAnsi="Verdana"/>
                <w:sz w:val="24"/>
              </w:rPr>
              <w:t>alongside</w:t>
            </w:r>
            <w:r>
              <w:rPr>
                <w:rFonts w:ascii="Verdana" w:hAnsi="Verdana"/>
                <w:spacing w:val="-7"/>
                <w:sz w:val="24"/>
              </w:rPr>
              <w:t> </w:t>
            </w:r>
            <w:r>
              <w:rPr>
                <w:rFonts w:ascii="Verdana" w:hAnsi="Verdana"/>
                <w:sz w:val="24"/>
              </w:rPr>
              <w:t>existing </w:t>
            </w:r>
            <w:r>
              <w:rPr>
                <w:rFonts w:ascii="Verdana" w:hAnsi="Verdana"/>
                <w:spacing w:val="-2"/>
                <w:sz w:val="24"/>
              </w:rPr>
              <w:t>commitments.</w:t>
            </w:r>
          </w:p>
          <w:p>
            <w:pPr>
              <w:pStyle w:val="TableParagraph"/>
              <w:numPr>
                <w:ilvl w:val="0"/>
                <w:numId w:val="110"/>
              </w:numPr>
              <w:tabs>
                <w:tab w:pos="800" w:val="left" w:leader="none"/>
              </w:tabs>
              <w:spacing w:line="291" w:lineRule="exact" w:before="1" w:after="0"/>
              <w:ind w:left="800" w:right="0" w:hanging="361"/>
              <w:jc w:val="left"/>
              <w:rPr>
                <w:rFonts w:ascii="Verdana" w:hAnsi="Verdana"/>
                <w:sz w:val="24"/>
              </w:rPr>
            </w:pPr>
            <w:r>
              <w:rPr>
                <w:rFonts w:ascii="Verdana" w:hAnsi="Verdana"/>
                <w:sz w:val="24"/>
              </w:rPr>
              <w:t>Align</w:t>
            </w:r>
            <w:r>
              <w:rPr>
                <w:rFonts w:ascii="Verdana" w:hAnsi="Verdana"/>
                <w:spacing w:val="-3"/>
                <w:sz w:val="24"/>
              </w:rPr>
              <w:t> </w:t>
            </w:r>
            <w:r>
              <w:rPr>
                <w:rFonts w:ascii="Verdana" w:hAnsi="Verdana"/>
                <w:sz w:val="24"/>
              </w:rPr>
              <w:t>with</w:t>
            </w:r>
            <w:r>
              <w:rPr>
                <w:rFonts w:ascii="Verdana" w:hAnsi="Verdana"/>
                <w:spacing w:val="-2"/>
                <w:sz w:val="24"/>
              </w:rPr>
              <w:t> </w:t>
            </w:r>
            <w:r>
              <w:rPr>
                <w:rFonts w:ascii="Verdana" w:hAnsi="Verdana"/>
                <w:sz w:val="24"/>
              </w:rPr>
              <w:t>Welsh</w:t>
            </w:r>
            <w:r>
              <w:rPr>
                <w:rFonts w:ascii="Verdana" w:hAnsi="Verdana"/>
                <w:spacing w:val="-4"/>
                <w:sz w:val="24"/>
              </w:rPr>
              <w:t> </w:t>
            </w:r>
            <w:r>
              <w:rPr>
                <w:rFonts w:ascii="Verdana" w:hAnsi="Verdana"/>
                <w:sz w:val="24"/>
              </w:rPr>
              <w:t>Government </w:t>
            </w:r>
            <w:r>
              <w:rPr>
                <w:rFonts w:ascii="Verdana" w:hAnsi="Verdana"/>
                <w:spacing w:val="-2"/>
                <w:sz w:val="24"/>
              </w:rPr>
              <w:t>expectations.</w:t>
            </w:r>
          </w:p>
          <w:p>
            <w:pPr>
              <w:pStyle w:val="TableParagraph"/>
              <w:numPr>
                <w:ilvl w:val="0"/>
                <w:numId w:val="110"/>
              </w:numPr>
              <w:tabs>
                <w:tab w:pos="800" w:val="left" w:leader="none"/>
              </w:tabs>
              <w:spacing w:line="240" w:lineRule="auto" w:before="0" w:after="0"/>
              <w:ind w:left="800" w:right="160" w:hanging="361"/>
              <w:jc w:val="left"/>
              <w:rPr>
                <w:rFonts w:ascii="Verdana" w:hAnsi="Verdana"/>
                <w:sz w:val="24"/>
              </w:rPr>
            </w:pPr>
            <w:r>
              <w:rPr>
                <w:rFonts w:ascii="Verdana" w:hAnsi="Verdana"/>
                <w:sz w:val="24"/>
              </w:rPr>
              <w:t>Take a more explicit, RJC</w:t>
            </w:r>
            <w:r>
              <w:rPr>
                <w:rFonts w:ascii="Cambria Math" w:hAnsi="Cambria Math"/>
                <w:sz w:val="24"/>
              </w:rPr>
              <w:t>‑</w:t>
            </w:r>
            <w:r>
              <w:rPr>
                <w:rFonts w:ascii="Verdana" w:hAnsi="Verdana"/>
                <w:sz w:val="24"/>
              </w:rPr>
              <w:t>level view of strategic risks, distinct from individual programme or subgroup risks.</w:t>
            </w:r>
            <w:r>
              <w:rPr>
                <w:rFonts w:ascii="Verdana" w:hAnsi="Verdana"/>
                <w:spacing w:val="80"/>
                <w:sz w:val="24"/>
              </w:rPr>
              <w:t> </w:t>
            </w:r>
            <w:r>
              <w:rPr>
                <w:rFonts w:ascii="Verdana" w:hAnsi="Verdana"/>
                <w:sz w:val="24"/>
              </w:rPr>
              <w:t>Members agreed this should focus on a small number of system</w:t>
            </w:r>
            <w:r>
              <w:rPr>
                <w:rFonts w:ascii="Cambria Math" w:hAnsi="Cambria Math"/>
                <w:sz w:val="24"/>
              </w:rPr>
              <w:t>‑</w:t>
            </w:r>
            <w:r>
              <w:rPr>
                <w:rFonts w:ascii="Verdana" w:hAnsi="Verdana"/>
                <w:sz w:val="24"/>
              </w:rPr>
              <w:t>level risks</w:t>
            </w:r>
            <w:r>
              <w:rPr>
                <w:rFonts w:ascii="Verdana" w:hAnsi="Verdana"/>
                <w:spacing w:val="-5"/>
                <w:sz w:val="24"/>
              </w:rPr>
              <w:t> </w:t>
            </w:r>
            <w:r>
              <w:rPr>
                <w:rFonts w:ascii="Verdana" w:hAnsi="Verdana"/>
                <w:sz w:val="24"/>
              </w:rPr>
              <w:t>(including</w:t>
            </w:r>
            <w:r>
              <w:rPr>
                <w:rFonts w:ascii="Verdana" w:hAnsi="Verdana"/>
                <w:spacing w:val="-5"/>
                <w:sz w:val="24"/>
              </w:rPr>
              <w:t> </w:t>
            </w:r>
            <w:r>
              <w:rPr>
                <w:rFonts w:ascii="Verdana" w:hAnsi="Verdana"/>
                <w:sz w:val="24"/>
              </w:rPr>
              <w:t>regional</w:t>
            </w:r>
            <w:r>
              <w:rPr>
                <w:rFonts w:ascii="Verdana" w:hAnsi="Verdana"/>
                <w:spacing w:val="-6"/>
                <w:sz w:val="24"/>
              </w:rPr>
              <w:t> </w:t>
            </w:r>
            <w:r>
              <w:rPr>
                <w:rFonts w:ascii="Verdana" w:hAnsi="Verdana"/>
                <w:sz w:val="24"/>
              </w:rPr>
              <w:t>effectiveness</w:t>
            </w:r>
            <w:r>
              <w:rPr>
                <w:rFonts w:ascii="Verdana" w:hAnsi="Verdana"/>
                <w:spacing w:val="-5"/>
                <w:sz w:val="24"/>
              </w:rPr>
              <w:t> </w:t>
            </w:r>
            <w:r>
              <w:rPr>
                <w:rFonts w:ascii="Verdana" w:hAnsi="Verdana"/>
                <w:sz w:val="24"/>
              </w:rPr>
              <w:t>and</w:t>
            </w:r>
            <w:r>
              <w:rPr>
                <w:rFonts w:ascii="Verdana" w:hAnsi="Verdana"/>
                <w:spacing w:val="-5"/>
                <w:sz w:val="24"/>
              </w:rPr>
              <w:t> </w:t>
            </w:r>
            <w:r>
              <w:rPr>
                <w:rFonts w:ascii="Verdana" w:hAnsi="Verdana"/>
                <w:sz w:val="24"/>
              </w:rPr>
              <w:t>credibility)</w:t>
            </w:r>
            <w:r>
              <w:rPr>
                <w:rFonts w:ascii="Verdana" w:hAnsi="Verdana"/>
                <w:spacing w:val="-5"/>
                <w:sz w:val="24"/>
              </w:rPr>
              <w:t> </w:t>
            </w:r>
            <w:r>
              <w:rPr>
                <w:rFonts w:ascii="Verdana" w:hAnsi="Verdana"/>
                <w:sz w:val="24"/>
              </w:rPr>
              <w:t>and</w:t>
            </w:r>
            <w:r>
              <w:rPr>
                <w:rFonts w:ascii="Verdana" w:hAnsi="Verdana"/>
                <w:spacing w:val="-5"/>
                <w:sz w:val="24"/>
              </w:rPr>
              <w:t> </w:t>
            </w:r>
            <w:r>
              <w:rPr>
                <w:rFonts w:ascii="Verdana" w:hAnsi="Verdana"/>
                <w:sz w:val="24"/>
              </w:rPr>
              <w:t>that further consideration should be brought back to the </w:t>
            </w:r>
            <w:r>
              <w:rPr>
                <w:rFonts w:ascii="Verdana" w:hAnsi="Verdana"/>
                <w:spacing w:val="-2"/>
                <w:sz w:val="24"/>
              </w:rPr>
              <w:t>Committee.</w:t>
            </w:r>
          </w:p>
          <w:p>
            <w:pPr>
              <w:pStyle w:val="TableParagraph"/>
              <w:spacing w:before="13"/>
              <w:rPr>
                <w:b/>
                <w:sz w:val="24"/>
              </w:rPr>
            </w:pPr>
          </w:p>
          <w:p>
            <w:pPr>
              <w:pStyle w:val="TableParagraph"/>
              <w:ind w:left="79"/>
              <w:rPr>
                <w:rFonts w:ascii="Verdana"/>
                <w:b/>
                <w:sz w:val="24"/>
              </w:rPr>
            </w:pPr>
            <w:r>
              <w:rPr>
                <w:rFonts w:ascii="Verdana"/>
                <w:b/>
                <w:spacing w:val="-2"/>
                <w:sz w:val="24"/>
              </w:rPr>
              <w:t>Actions/Agreements:</w:t>
            </w:r>
          </w:p>
          <w:p>
            <w:pPr>
              <w:pStyle w:val="TableParagraph"/>
              <w:spacing w:line="259" w:lineRule="auto" w:before="3"/>
              <w:ind w:left="79" w:right="27"/>
              <w:rPr>
                <w:rFonts w:ascii="Verdana" w:hAnsi="Verdana"/>
                <w:sz w:val="24"/>
              </w:rPr>
            </w:pPr>
            <w:r>
              <w:rPr>
                <w:rFonts w:ascii="Verdana" w:hAnsi="Verdana"/>
                <w:b/>
                <w:sz w:val="24"/>
              </w:rPr>
              <w:t>ACTION: </w:t>
            </w:r>
            <w:r>
              <w:rPr>
                <w:rFonts w:ascii="Verdana" w:hAnsi="Verdana"/>
                <w:sz w:val="24"/>
              </w:rPr>
              <w:t>JWi and HL to work with RJC Chairs, to develop and present back</w:t>
            </w:r>
            <w:r>
              <w:rPr>
                <w:rFonts w:ascii="Verdana" w:hAnsi="Verdana"/>
                <w:spacing w:val="-3"/>
                <w:sz w:val="24"/>
              </w:rPr>
              <w:t> </w:t>
            </w:r>
            <w:r>
              <w:rPr>
                <w:rFonts w:ascii="Verdana" w:hAnsi="Verdana"/>
                <w:sz w:val="24"/>
              </w:rPr>
              <w:t>to</w:t>
            </w:r>
            <w:r>
              <w:rPr>
                <w:rFonts w:ascii="Verdana" w:hAnsi="Verdana"/>
                <w:spacing w:val="-1"/>
                <w:sz w:val="24"/>
              </w:rPr>
              <w:t> </w:t>
            </w:r>
            <w:r>
              <w:rPr>
                <w:rFonts w:ascii="Verdana" w:hAnsi="Verdana"/>
                <w:sz w:val="24"/>
              </w:rPr>
              <w:t>the RJC a</w:t>
            </w:r>
            <w:r>
              <w:rPr>
                <w:rFonts w:ascii="Verdana" w:hAnsi="Verdana"/>
                <w:spacing w:val="-1"/>
                <w:sz w:val="24"/>
              </w:rPr>
              <w:t> </w:t>
            </w:r>
            <w:r>
              <w:rPr>
                <w:rFonts w:ascii="Verdana" w:hAnsi="Verdana"/>
                <w:sz w:val="24"/>
              </w:rPr>
              <w:t>proportionate</w:t>
            </w:r>
            <w:r>
              <w:rPr>
                <w:rFonts w:ascii="Verdana" w:hAnsi="Verdana"/>
                <w:spacing w:val="-2"/>
                <w:sz w:val="24"/>
              </w:rPr>
              <w:t> </w:t>
            </w:r>
            <w:r>
              <w:rPr>
                <w:rFonts w:ascii="Verdana" w:hAnsi="Verdana"/>
                <w:sz w:val="24"/>
              </w:rPr>
              <w:t>and</w:t>
            </w:r>
            <w:r>
              <w:rPr>
                <w:rFonts w:ascii="Verdana" w:hAnsi="Verdana"/>
                <w:spacing w:val="-1"/>
                <w:sz w:val="24"/>
              </w:rPr>
              <w:t> </w:t>
            </w:r>
            <w:r>
              <w:rPr>
                <w:rFonts w:ascii="Verdana" w:hAnsi="Verdana"/>
                <w:sz w:val="24"/>
              </w:rPr>
              <w:t>pragmatic RJC strategic risk</w:t>
            </w:r>
            <w:r>
              <w:rPr>
                <w:rFonts w:ascii="Verdana" w:hAnsi="Verdana"/>
                <w:spacing w:val="-6"/>
                <w:sz w:val="24"/>
              </w:rPr>
              <w:t> </w:t>
            </w:r>
            <w:r>
              <w:rPr>
                <w:rFonts w:ascii="Verdana" w:hAnsi="Verdana"/>
                <w:sz w:val="24"/>
              </w:rPr>
              <w:t>register,</w:t>
            </w:r>
            <w:r>
              <w:rPr>
                <w:rFonts w:ascii="Verdana" w:hAnsi="Verdana"/>
                <w:spacing w:val="-6"/>
                <w:sz w:val="24"/>
              </w:rPr>
              <w:t> </w:t>
            </w:r>
            <w:r>
              <w:rPr>
                <w:rFonts w:ascii="Verdana" w:hAnsi="Verdana"/>
                <w:sz w:val="24"/>
              </w:rPr>
              <w:t>identifying</w:t>
            </w:r>
            <w:r>
              <w:rPr>
                <w:rFonts w:ascii="Verdana" w:hAnsi="Verdana"/>
                <w:spacing w:val="-3"/>
                <w:sz w:val="24"/>
              </w:rPr>
              <w:t> </w:t>
            </w:r>
            <w:r>
              <w:rPr>
                <w:rFonts w:ascii="Verdana" w:hAnsi="Verdana"/>
                <w:sz w:val="24"/>
              </w:rPr>
              <w:t>a</w:t>
            </w:r>
            <w:r>
              <w:rPr>
                <w:rFonts w:ascii="Verdana" w:hAnsi="Verdana"/>
                <w:spacing w:val="-3"/>
                <w:sz w:val="24"/>
              </w:rPr>
              <w:t> </w:t>
            </w:r>
            <w:r>
              <w:rPr>
                <w:rFonts w:ascii="Verdana" w:hAnsi="Verdana"/>
                <w:sz w:val="24"/>
              </w:rPr>
              <w:t>small</w:t>
            </w:r>
            <w:r>
              <w:rPr>
                <w:rFonts w:ascii="Verdana" w:hAnsi="Verdana"/>
                <w:spacing w:val="-4"/>
                <w:sz w:val="24"/>
              </w:rPr>
              <w:t> </w:t>
            </w:r>
            <w:r>
              <w:rPr>
                <w:rFonts w:ascii="Verdana" w:hAnsi="Verdana"/>
                <w:sz w:val="24"/>
              </w:rPr>
              <w:t>number</w:t>
            </w:r>
            <w:r>
              <w:rPr>
                <w:rFonts w:ascii="Verdana" w:hAnsi="Verdana"/>
                <w:spacing w:val="-1"/>
                <w:sz w:val="24"/>
              </w:rPr>
              <w:t> </w:t>
            </w:r>
            <w:r>
              <w:rPr>
                <w:rFonts w:ascii="Verdana" w:hAnsi="Verdana"/>
                <w:sz w:val="24"/>
              </w:rPr>
              <w:t>of</w:t>
            </w:r>
            <w:r>
              <w:rPr>
                <w:rFonts w:ascii="Verdana" w:hAnsi="Verdana"/>
                <w:spacing w:val="-1"/>
                <w:sz w:val="24"/>
              </w:rPr>
              <w:t> </w:t>
            </w:r>
            <w:r>
              <w:rPr>
                <w:rFonts w:ascii="Verdana" w:hAnsi="Verdana"/>
                <w:sz w:val="24"/>
              </w:rPr>
              <w:t>system</w:t>
            </w:r>
            <w:r>
              <w:rPr>
                <w:rFonts w:ascii="Cambria Math" w:hAnsi="Cambria Math"/>
                <w:sz w:val="24"/>
              </w:rPr>
              <w:t>‑</w:t>
            </w:r>
            <w:r>
              <w:rPr>
                <w:rFonts w:ascii="Verdana" w:hAnsi="Verdana"/>
                <w:sz w:val="24"/>
              </w:rPr>
              <w:t>wide</w:t>
            </w:r>
            <w:r>
              <w:rPr>
                <w:rFonts w:ascii="Verdana" w:hAnsi="Verdana"/>
                <w:spacing w:val="-1"/>
                <w:sz w:val="24"/>
              </w:rPr>
              <w:t> </w:t>
            </w:r>
            <w:r>
              <w:rPr>
                <w:rFonts w:ascii="Verdana" w:hAnsi="Verdana"/>
                <w:sz w:val="24"/>
              </w:rPr>
              <w:t>level</w:t>
            </w:r>
            <w:r>
              <w:rPr>
                <w:rFonts w:ascii="Verdana" w:hAnsi="Verdana"/>
                <w:spacing w:val="-4"/>
                <w:sz w:val="24"/>
              </w:rPr>
              <w:t> </w:t>
            </w:r>
            <w:r>
              <w:rPr>
                <w:rFonts w:ascii="Verdana" w:hAnsi="Verdana"/>
                <w:sz w:val="24"/>
              </w:rPr>
              <w:t>of</w:t>
            </w:r>
            <w:r>
              <w:rPr>
                <w:rFonts w:ascii="Verdana" w:hAnsi="Verdana"/>
                <w:spacing w:val="-8"/>
                <w:sz w:val="24"/>
              </w:rPr>
              <w:t> </w:t>
            </w:r>
            <w:r>
              <w:rPr>
                <w:rFonts w:ascii="Verdana" w:hAnsi="Verdana"/>
                <w:sz w:val="24"/>
              </w:rPr>
              <w:t>risks aligned to RJC objectives.</w:t>
            </w:r>
          </w:p>
        </w:tc>
        <w:tc>
          <w:tcPr>
            <w:tcW w:w="711" w:type="dxa"/>
            <w:tcBorders>
              <w:top w:val="single" w:sz="36" w:space="0" w:color="001F5F"/>
            </w:tcBorders>
          </w:tcPr>
          <w:p>
            <w:pPr>
              <w:pStyle w:val="TableParagraph"/>
              <w:rPr>
                <w:rFonts w:ascii="Times New Roman"/>
                <w:sz w:val="22"/>
              </w:rPr>
            </w:pPr>
          </w:p>
        </w:tc>
      </w:tr>
      <w:tr>
        <w:trPr>
          <w:trHeight w:val="1910" w:hRule="atLeast"/>
        </w:trPr>
        <w:tc>
          <w:tcPr>
            <w:tcW w:w="1276" w:type="dxa"/>
          </w:tcPr>
          <w:p>
            <w:pPr>
              <w:pStyle w:val="TableParagraph"/>
              <w:spacing w:before="78"/>
              <w:ind w:left="8"/>
              <w:jc w:val="center"/>
              <w:rPr>
                <w:rFonts w:ascii="Verdana"/>
                <w:b/>
                <w:sz w:val="24"/>
              </w:rPr>
            </w:pPr>
            <w:r>
              <w:rPr>
                <w:rFonts w:ascii="Verdana"/>
                <w:b/>
                <w:spacing w:val="-2"/>
                <w:sz w:val="24"/>
              </w:rPr>
              <w:t>RJC/28</w:t>
            </w:r>
          </w:p>
        </w:tc>
        <w:tc>
          <w:tcPr>
            <w:tcW w:w="8509" w:type="dxa"/>
          </w:tcPr>
          <w:p>
            <w:pPr>
              <w:pStyle w:val="TableParagraph"/>
              <w:spacing w:line="291" w:lineRule="exact" w:before="78"/>
              <w:ind w:left="79"/>
              <w:rPr>
                <w:rFonts w:ascii="Verdana"/>
                <w:b/>
                <w:sz w:val="24"/>
              </w:rPr>
            </w:pPr>
            <w:r>
              <w:rPr>
                <w:rFonts w:ascii="Verdana"/>
                <w:b/>
                <w:sz w:val="24"/>
              </w:rPr>
              <w:t>Outcome</w:t>
            </w:r>
            <w:r>
              <w:rPr>
                <w:rFonts w:ascii="Verdana"/>
                <w:b/>
                <w:spacing w:val="-6"/>
                <w:sz w:val="24"/>
              </w:rPr>
              <w:t> </w:t>
            </w:r>
            <w:r>
              <w:rPr>
                <w:rFonts w:ascii="Verdana"/>
                <w:b/>
                <w:sz w:val="24"/>
              </w:rPr>
              <w:t>of</w:t>
            </w:r>
            <w:r>
              <w:rPr>
                <w:rFonts w:ascii="Verdana"/>
                <w:b/>
                <w:spacing w:val="-6"/>
                <w:sz w:val="24"/>
              </w:rPr>
              <w:t> </w:t>
            </w:r>
            <w:r>
              <w:rPr>
                <w:rFonts w:ascii="Verdana"/>
                <w:b/>
                <w:sz w:val="24"/>
              </w:rPr>
              <w:t>Committee</w:t>
            </w:r>
            <w:r>
              <w:rPr>
                <w:rFonts w:ascii="Verdana"/>
                <w:b/>
                <w:spacing w:val="-3"/>
                <w:sz w:val="24"/>
              </w:rPr>
              <w:t> </w:t>
            </w:r>
            <w:r>
              <w:rPr>
                <w:rFonts w:ascii="Verdana"/>
                <w:b/>
                <w:sz w:val="24"/>
              </w:rPr>
              <w:t>Annual</w:t>
            </w:r>
            <w:r>
              <w:rPr>
                <w:rFonts w:ascii="Verdana"/>
                <w:b/>
                <w:spacing w:val="-7"/>
                <w:sz w:val="24"/>
              </w:rPr>
              <w:t> </w:t>
            </w:r>
            <w:r>
              <w:rPr>
                <w:rFonts w:ascii="Verdana"/>
                <w:b/>
                <w:sz w:val="24"/>
              </w:rPr>
              <w:t>Self-Assessment</w:t>
            </w:r>
            <w:r>
              <w:rPr>
                <w:rFonts w:ascii="Verdana"/>
                <w:b/>
                <w:spacing w:val="-3"/>
                <w:sz w:val="24"/>
              </w:rPr>
              <w:t> </w:t>
            </w:r>
            <w:r>
              <w:rPr>
                <w:rFonts w:ascii="Verdana"/>
                <w:b/>
                <w:spacing w:val="-2"/>
                <w:sz w:val="24"/>
              </w:rPr>
              <w:t>Exercise</w:t>
            </w:r>
          </w:p>
          <w:p>
            <w:pPr>
              <w:pStyle w:val="TableParagraph"/>
              <w:ind w:left="79"/>
              <w:rPr>
                <w:rFonts w:ascii="Verdana"/>
                <w:sz w:val="24"/>
              </w:rPr>
            </w:pPr>
            <w:r>
              <w:rPr>
                <w:rFonts w:ascii="Verdana"/>
                <w:sz w:val="24"/>
              </w:rPr>
              <w:t>The</w:t>
            </w:r>
            <w:r>
              <w:rPr>
                <w:rFonts w:ascii="Verdana"/>
                <w:spacing w:val="-2"/>
                <w:sz w:val="24"/>
              </w:rPr>
              <w:t> </w:t>
            </w:r>
            <w:r>
              <w:rPr>
                <w:rFonts w:ascii="Verdana"/>
                <w:sz w:val="24"/>
              </w:rPr>
              <w:t>Committee</w:t>
            </w:r>
            <w:r>
              <w:rPr>
                <w:rFonts w:ascii="Verdana"/>
                <w:spacing w:val="-6"/>
                <w:sz w:val="24"/>
              </w:rPr>
              <w:t> </w:t>
            </w:r>
            <w:r>
              <w:rPr>
                <w:rFonts w:ascii="Verdana"/>
                <w:sz w:val="24"/>
              </w:rPr>
              <w:t>received</w:t>
            </w:r>
            <w:r>
              <w:rPr>
                <w:rFonts w:ascii="Verdana"/>
                <w:spacing w:val="-3"/>
                <w:sz w:val="24"/>
              </w:rPr>
              <w:t> </w:t>
            </w:r>
            <w:r>
              <w:rPr>
                <w:rFonts w:ascii="Verdana"/>
                <w:sz w:val="24"/>
              </w:rPr>
              <w:t>the</w:t>
            </w:r>
            <w:r>
              <w:rPr>
                <w:rFonts w:ascii="Verdana"/>
                <w:spacing w:val="-6"/>
                <w:sz w:val="24"/>
              </w:rPr>
              <w:t> </w:t>
            </w:r>
            <w:r>
              <w:rPr>
                <w:rFonts w:ascii="Verdana"/>
                <w:sz w:val="24"/>
              </w:rPr>
              <w:t>results</w:t>
            </w:r>
            <w:r>
              <w:rPr>
                <w:rFonts w:ascii="Verdana"/>
                <w:spacing w:val="-3"/>
                <w:sz w:val="24"/>
              </w:rPr>
              <w:t> </w:t>
            </w:r>
            <w:r>
              <w:rPr>
                <w:rFonts w:ascii="Verdana"/>
                <w:sz w:val="24"/>
              </w:rPr>
              <w:t>of</w:t>
            </w:r>
            <w:r>
              <w:rPr>
                <w:rFonts w:ascii="Verdana"/>
                <w:spacing w:val="-3"/>
                <w:sz w:val="24"/>
              </w:rPr>
              <w:t> </w:t>
            </w:r>
            <w:r>
              <w:rPr>
                <w:rFonts w:ascii="Verdana"/>
                <w:sz w:val="24"/>
              </w:rPr>
              <w:t>the</w:t>
            </w:r>
            <w:r>
              <w:rPr>
                <w:rFonts w:ascii="Verdana"/>
                <w:spacing w:val="-6"/>
                <w:sz w:val="24"/>
              </w:rPr>
              <w:t> </w:t>
            </w:r>
            <w:r>
              <w:rPr>
                <w:rFonts w:ascii="Verdana"/>
                <w:sz w:val="24"/>
              </w:rPr>
              <w:t>self-assessment</w:t>
            </w:r>
            <w:r>
              <w:rPr>
                <w:rFonts w:ascii="Verdana"/>
                <w:spacing w:val="-3"/>
                <w:sz w:val="24"/>
              </w:rPr>
              <w:t> </w:t>
            </w:r>
            <w:r>
              <w:rPr>
                <w:rFonts w:ascii="Verdana"/>
                <w:sz w:val="24"/>
              </w:rPr>
              <w:t>exercise. Members</w:t>
            </w:r>
            <w:r>
              <w:rPr>
                <w:rFonts w:ascii="Verdana"/>
                <w:spacing w:val="-2"/>
                <w:sz w:val="24"/>
              </w:rPr>
              <w:t> </w:t>
            </w:r>
            <w:r>
              <w:rPr>
                <w:rFonts w:ascii="Verdana"/>
                <w:sz w:val="24"/>
              </w:rPr>
              <w:t>welcomed</w:t>
            </w:r>
            <w:r>
              <w:rPr>
                <w:rFonts w:ascii="Verdana"/>
                <w:spacing w:val="-2"/>
                <w:sz w:val="24"/>
              </w:rPr>
              <w:t> </w:t>
            </w:r>
            <w:r>
              <w:rPr>
                <w:rFonts w:ascii="Verdana"/>
                <w:sz w:val="24"/>
              </w:rPr>
              <w:t>the</w:t>
            </w:r>
            <w:r>
              <w:rPr>
                <w:rFonts w:ascii="Verdana"/>
                <w:spacing w:val="-5"/>
                <w:sz w:val="24"/>
              </w:rPr>
              <w:t> </w:t>
            </w:r>
            <w:r>
              <w:rPr>
                <w:rFonts w:ascii="Verdana"/>
                <w:sz w:val="24"/>
              </w:rPr>
              <w:t>findings</w:t>
            </w:r>
            <w:r>
              <w:rPr>
                <w:rFonts w:ascii="Verdana"/>
                <w:spacing w:val="-2"/>
                <w:sz w:val="24"/>
              </w:rPr>
              <w:t> </w:t>
            </w:r>
            <w:r>
              <w:rPr>
                <w:rFonts w:ascii="Verdana"/>
                <w:sz w:val="24"/>
              </w:rPr>
              <w:t>and</w:t>
            </w:r>
            <w:r>
              <w:rPr>
                <w:rFonts w:ascii="Verdana"/>
                <w:spacing w:val="-2"/>
                <w:sz w:val="24"/>
              </w:rPr>
              <w:t> </w:t>
            </w:r>
            <w:r>
              <w:rPr>
                <w:rFonts w:ascii="Verdana"/>
                <w:sz w:val="24"/>
              </w:rPr>
              <w:t>agreed</w:t>
            </w:r>
            <w:r>
              <w:rPr>
                <w:rFonts w:ascii="Verdana"/>
                <w:spacing w:val="-2"/>
                <w:sz w:val="24"/>
              </w:rPr>
              <w:t> </w:t>
            </w:r>
            <w:r>
              <w:rPr>
                <w:rFonts w:ascii="Verdana"/>
                <w:sz w:val="24"/>
              </w:rPr>
              <w:t>this</w:t>
            </w:r>
            <w:r>
              <w:rPr>
                <w:rFonts w:ascii="Verdana"/>
                <w:spacing w:val="-2"/>
                <w:sz w:val="24"/>
              </w:rPr>
              <w:t> </w:t>
            </w:r>
            <w:r>
              <w:rPr>
                <w:rFonts w:ascii="Verdana"/>
                <w:sz w:val="24"/>
              </w:rPr>
              <w:t>should</w:t>
            </w:r>
            <w:r>
              <w:rPr>
                <w:rFonts w:ascii="Verdana"/>
                <w:spacing w:val="-2"/>
                <w:sz w:val="24"/>
              </w:rPr>
              <w:t> </w:t>
            </w:r>
            <w:r>
              <w:rPr>
                <w:rFonts w:ascii="Verdana"/>
                <w:sz w:val="24"/>
              </w:rPr>
              <w:t>form</w:t>
            </w:r>
            <w:r>
              <w:rPr>
                <w:rFonts w:ascii="Verdana"/>
                <w:spacing w:val="-1"/>
                <w:sz w:val="24"/>
              </w:rPr>
              <w:t> </w:t>
            </w:r>
            <w:r>
              <w:rPr>
                <w:rFonts w:ascii="Verdana"/>
                <w:sz w:val="24"/>
              </w:rPr>
              <w:t>part</w:t>
            </w:r>
            <w:r>
              <w:rPr>
                <w:rFonts w:ascii="Verdana"/>
                <w:spacing w:val="-2"/>
                <w:sz w:val="24"/>
              </w:rPr>
              <w:t> </w:t>
            </w:r>
            <w:r>
              <w:rPr>
                <w:rFonts w:ascii="Verdana"/>
                <w:sz w:val="24"/>
              </w:rPr>
              <w:t>of the assurance and improvement narrative to Boards and Welsh </w:t>
            </w:r>
            <w:r>
              <w:rPr>
                <w:rFonts w:ascii="Verdana"/>
                <w:spacing w:val="-2"/>
                <w:sz w:val="24"/>
              </w:rPr>
              <w:t>Government.</w:t>
            </w:r>
          </w:p>
        </w:tc>
        <w:tc>
          <w:tcPr>
            <w:tcW w:w="711" w:type="dxa"/>
          </w:tcPr>
          <w:p>
            <w:pPr>
              <w:pStyle w:val="TableParagraph"/>
              <w:rPr>
                <w:rFonts w:ascii="Times New Roman"/>
                <w:sz w:val="22"/>
              </w:rPr>
            </w:pPr>
          </w:p>
        </w:tc>
      </w:tr>
    </w:tbl>
    <w:p>
      <w:pPr>
        <w:spacing w:before="170"/>
        <w:ind w:left="0" w:right="180" w:firstLine="0"/>
        <w:jc w:val="right"/>
        <w:rPr>
          <w:b/>
          <w:sz w:val="24"/>
        </w:rPr>
      </w:pPr>
      <w:r>
        <w:rPr>
          <w:b/>
          <w:sz w:val="24"/>
        </w:rPr>
        <mc:AlternateContent>
          <mc:Choice Requires="wps">
            <w:drawing>
              <wp:anchor distT="0" distB="0" distL="0" distR="0" allowOverlap="1" layoutInCell="1" locked="0" behindDoc="1" simplePos="0" relativeHeight="477237248">
                <wp:simplePos x="0" y="0"/>
                <wp:positionH relativeFrom="page">
                  <wp:posOffset>943178</wp:posOffset>
                </wp:positionH>
                <wp:positionV relativeFrom="paragraph">
                  <wp:posOffset>-6775069</wp:posOffset>
                </wp:positionV>
                <wp:extent cx="5452745" cy="5744845"/>
                <wp:effectExtent l="0" t="0" r="0" b="0"/>
                <wp:wrapNone/>
                <wp:docPr id="794" name="Graphic 794"/>
                <wp:cNvGraphicFramePr>
                  <a:graphicFrameLocks/>
                </wp:cNvGraphicFramePr>
                <a:graphic>
                  <a:graphicData uri="http://schemas.microsoft.com/office/word/2010/wordprocessingShape">
                    <wps:wsp>
                      <wps:cNvPr id="794" name="Graphic 794"/>
                      <wps:cNvSpPr/>
                      <wps:spPr>
                        <a:xfrm>
                          <a:off x="0"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74.266006pt;margin-top:-533.470032pt;width:429.35pt;height:452.35pt;mso-position-horizontal-relative:page;mso-position-vertical-relative:paragraph;z-index:-26079232" id="docshape528" coordorigin="1485,-10669" coordsize="8587,9047" path="m4991,-2600l4985,-2674,4974,-2750,4957,-2827,4934,-2907,4912,-2970,4887,-3034,4859,-3100,4827,-3167,4792,-3235,4753,-3304,4710,-3375,4664,-3447,4614,-3520,4603,-3535,4603,-2684,4596,-2614,4580,-2546,4554,-2482,4519,-2419,4474,-2358,4420,-2299,4213,-2091,1953,-4351,2158,-4556,2222,-4614,2287,-4660,2355,-4695,2426,-4719,2498,-4731,2573,-4733,2650,-4728,2729,-4715,2811,-4694,2895,-4665,2966,-4634,3039,-4599,3113,-4559,3187,-4514,3263,-4465,3340,-4410,3399,-4365,3457,-4318,3516,-4270,3575,-4220,3634,-4168,3692,-4114,3751,-4058,3810,-4000,3875,-3935,3936,-3871,3995,-3808,4051,-3746,4104,-3686,4155,-3627,4202,-3569,4247,-3512,4289,-3456,4340,-3385,4386,-3315,4427,-3248,4464,-3182,4496,-3117,4525,-3055,4549,-2993,4576,-2911,4594,-2832,4603,-2756,4603,-2684,4603,-3535,4575,-3576,4533,-3632,4490,-3688,4444,-3746,4397,-3804,4347,-3863,4296,-3922,4242,-3982,4186,-4043,4128,-4104,4069,-4166,4007,-4228,3942,-4293,3877,-4355,3812,-4414,3748,-4472,3684,-4527,3621,-4580,3558,-4631,3495,-4680,3433,-4726,3424,-4733,3372,-4769,3296,-4821,3221,-4868,3146,-4911,3073,-4951,3000,-4987,2928,-5020,2858,-5049,2788,-5074,2710,-5097,2634,-5115,2560,-5127,2487,-5135,2416,-5137,2346,-5134,2279,-5126,2202,-5109,2127,-5083,2055,-5048,1984,-5004,1916,-4951,1849,-4889,1505,-4545,1494,-4530,1487,-4511,1485,-4488,1488,-4461,1499,-4429,1519,-4394,1548,-4355,1587,-4313,4177,-1723,4219,-1685,4257,-1656,4292,-1636,4323,-1627,4351,-1622,4374,-1624,4394,-1630,4409,-1641,4731,-1963,4792,-2029,4840,-2091,4845,-2097,4889,-2167,4926,-2240,4954,-2314,4974,-2390,4985,-2458,4991,-2528,4991,-2600xm6803,-4058l6801,-4069,6795,-4081,6789,-4089,6782,-4098,6775,-4107,6767,-4116,6757,-4125,6744,-4136,6729,-4149,6710,-4163,6689,-4178,6577,-4254,5799,-4759,5736,-4800,5673,-4838,5648,-4853,5557,-4908,5503,-4939,5451,-4966,5401,-4991,5353,-5013,5307,-5032,5262,-5048,5220,-5061,5179,-5072,5140,-5080,5110,-5083,5103,-5084,5067,-5085,5032,-5083,5041,-5139,5046,-5197,5046,-5255,5043,-5314,5035,-5374,5022,-5435,5004,-5497,4981,-5561,4953,-5625,4920,-5690,4882,-5757,4836,-5825,4796,-5879,4752,-5935,4714,-5980,4714,-5324,4712,-5275,4705,-5227,4691,-5180,4669,-5135,4641,-5091,4605,-5050,4407,-4853,3429,-5832,3599,-6002,3628,-6030,3655,-6055,3680,-6076,3703,-6093,3725,-6107,3747,-6119,3769,-6128,3791,-6136,3864,-6150,3939,-6149,4015,-6133,4093,-6101,4157,-6066,4222,-6024,4288,-5974,4355,-5917,4423,-5852,4473,-5799,4519,-5746,4562,-5693,4601,-5639,4634,-5584,4661,-5531,4682,-5478,4698,-5427,4709,-5375,4714,-5324,4714,-5980,4704,-5991,4652,-6048,4596,-6106,4551,-6150,4536,-6164,4476,-6219,4416,-6270,4357,-6317,4298,-6359,4224,-6407,4152,-6447,4080,-6481,4009,-6510,3938,-6533,3870,-6547,3802,-6555,3737,-6557,3672,-6551,3609,-6538,3548,-6519,3489,-6493,3470,-6481,3449,-6467,3407,-6438,3385,-6419,3361,-6398,3334,-6374,3306,-6346,2984,-6024,2972,-6009,2966,-5989,2964,-5966,2967,-5940,2978,-5907,2998,-5872,3027,-5834,3066,-5792,5754,-3103,5763,-3095,5772,-3088,5781,-3081,5790,-3076,5803,-3071,5814,-3069,5827,-3073,5838,-3075,5850,-3078,5862,-3083,5874,-3089,5886,-3097,5899,-3107,5912,-3118,5927,-3132,5941,-3147,5953,-3161,5963,-3174,5972,-3186,5977,-3198,5982,-3210,5985,-3221,5986,-3232,5989,-3244,5988,-3256,5983,-3269,5978,-3278,5971,-3287,5964,-3296,5956,-3305,4719,-4541,4854,-4676,4890,-4707,4928,-4731,4969,-4747,5011,-4757,5057,-4759,5104,-4755,5154,-4747,5207,-4732,5261,-4713,5318,-4689,5377,-4661,5438,-4627,5501,-4590,5567,-4550,5634,-4508,5704,-4462,6544,-3907,6559,-3898,6572,-3890,6585,-3884,6596,-3879,6607,-3876,6618,-3875,6629,-3875,6642,-3876,6654,-3879,6665,-3884,6677,-3891,6689,-3900,6702,-3910,6716,-3922,6731,-3936,6747,-3953,6761,-3969,6773,-3984,6782,-3997,6790,-4009,6796,-4020,6800,-4032,6802,-4043,6803,-4058xm8247,-5486l8244,-5499,8239,-5512,8231,-5526,8220,-5540,8206,-5555,8189,-5570,8169,-5586,8145,-5604,8117,-5623,7694,-5914,6795,-6526,6795,-6169,6267,-5641,5082,-7350,5083,-7351,6795,-6169,6795,-6526,5583,-7351,4911,-7812,4896,-7821,4882,-7829,4868,-7836,4855,-7841,4843,-7844,4831,-7845,4819,-7845,4807,-7843,4794,-7839,4781,-7833,4767,-7826,4753,-7816,4739,-7804,4724,-7790,4707,-7774,4672,-7739,4658,-7724,4645,-7710,4634,-7697,4625,-7683,4618,-7670,4613,-7658,4610,-7646,4608,-7633,4607,-7622,4608,-7610,4612,-7599,4617,-7586,4623,-7573,4631,-7559,4640,-7545,4684,-7480,6828,-4339,6848,-4311,6865,-4287,6882,-4267,6897,-4250,6911,-4236,6926,-4225,6939,-4217,6953,-4212,6965,-4209,6978,-4210,6991,-4213,7005,-4220,7019,-4229,7033,-4241,7049,-4255,7065,-4270,7081,-4287,7094,-4302,7105,-4316,7115,-4329,7122,-4340,7127,-4352,7130,-4364,7131,-4376,7130,-4386,7129,-4396,7127,-4407,7122,-4417,7118,-4427,7112,-4438,7106,-4449,7098,-4460,6524,-5283,6882,-5641,7156,-5914,7993,-5337,8005,-5330,8017,-5324,8027,-5319,8037,-5314,8050,-5309,8061,-5307,8074,-5310,8084,-5312,8095,-5315,8107,-5321,8120,-5330,8133,-5340,8147,-5353,8162,-5368,8180,-5385,8197,-5403,8211,-5419,8224,-5434,8234,-5448,8241,-5461,8246,-5473,8247,-5486xm8683,-5937l8683,-5946,8680,-5956,8676,-5966,8671,-5975,8666,-5984,8659,-5992,8651,-6000,7441,-7210,7973,-7741,7973,-7750,7972,-7763,7970,-7772,7967,-7782,7963,-7793,7956,-7805,7949,-7817,7940,-7831,7928,-7847,7915,-7863,7900,-7879,7866,-7916,7846,-7937,7823,-7959,7801,-7980,7765,-8013,7749,-8026,7734,-8037,7721,-8045,7709,-8052,7698,-8057,7688,-8061,7678,-8064,7669,-8066,7659,-8065,7652,-8062,7121,-7531,6133,-8518,6695,-9080,6698,-9087,6697,-9100,6695,-9109,6692,-9119,6687,-9130,6673,-9154,6664,-9168,6653,-9183,6639,-9199,6624,-9216,6588,-9255,6568,-9276,6546,-9297,6526,-9316,6489,-9350,6473,-9363,6457,-9375,6443,-9385,6429,-9393,6417,-9399,6406,-9404,6396,-9407,6387,-9409,6374,-9410,6368,-9408,5679,-8719,5668,-8704,5661,-8685,5659,-8662,5662,-8635,5673,-8603,5693,-8567,5722,-8529,5761,-8487,8449,-5798,8458,-5790,8466,-5784,8474,-5778,8483,-5774,8494,-5769,8503,-5767,8513,-5766,8533,-5770,8545,-5773,8557,-5778,8570,-5784,8582,-5792,8595,-5803,8608,-5814,8622,-5827,8636,-5842,8648,-5856,8658,-5869,8667,-5881,8673,-5894,8677,-5905,8680,-5916,8683,-5937xm10072,-7327l10070,-7338,10065,-7351,10060,-7360,10054,-7369,10046,-7378,10038,-7387,7520,-9905,7953,-10338,7957,-10346,7956,-10359,7954,-10368,7951,-10378,7946,-10389,7940,-10401,7932,-10413,7923,-10426,7911,-10441,7897,-10457,7865,-10493,7846,-10512,7826,-10534,7804,-10554,7784,-10574,7747,-10608,7731,-10621,7716,-10633,7702,-10644,7688,-10652,7676,-10659,7665,-10663,7655,-10666,7646,-10668,7633,-10669,7625,-10666,6558,-9598,6554,-9590,6558,-9569,6561,-9559,6566,-9548,6572,-9536,6581,-9523,6591,-9509,6603,-9493,6633,-9459,6650,-9439,6669,-9419,6690,-9398,6711,-9377,6731,-9358,6750,-9342,6767,-9327,6783,-9314,6798,-9302,6812,-9292,6836,-9278,6846,-9273,6856,-9270,6877,-9266,6885,-9270,7318,-9703,9836,-7185,9845,-7177,9854,-7170,9863,-7163,9872,-7158,9885,-7153,9896,-7151,9909,-7155,9920,-7157,9932,-7160,9944,-7165,9956,-7171,9968,-7179,9981,-7189,9995,-7201,10009,-7214,10023,-7229,10035,-7243,10045,-7256,10054,-7268,10059,-7281,10064,-7292,10067,-7303,10069,-7314,10072,-7327xe" filled="true" fillcolor="#c0c0c0" stroked="false">
                <v:path arrowok="t"/>
                <v:fill opacity="32896f" type="solid"/>
                <w10:wrap type="none"/>
              </v:shape>
            </w:pict>
          </mc:Fallback>
        </mc:AlternateContent>
      </w:r>
      <w:r>
        <w:rPr>
          <w:sz w:val="24"/>
        </w:rPr>
        <w:t>Page </w:t>
      </w:r>
      <w:r>
        <w:rPr>
          <w:b/>
          <w:sz w:val="24"/>
        </w:rPr>
        <w:t>9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95" name="Image 795"/>
            <wp:cNvGraphicFramePr>
              <a:graphicFrameLocks/>
            </wp:cNvGraphicFramePr>
            <a:graphic>
              <a:graphicData uri="http://schemas.openxmlformats.org/drawingml/2006/picture">
                <pic:pic>
                  <pic:nvPicPr>
                    <pic:cNvPr id="795" name="Image 795"/>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796" name="Image 796"/>
            <wp:cNvGraphicFramePr>
              <a:graphicFrameLocks/>
            </wp:cNvGraphicFramePr>
            <a:graphic>
              <a:graphicData uri="http://schemas.openxmlformats.org/drawingml/2006/picture">
                <pic:pic>
                  <pic:nvPicPr>
                    <pic:cNvPr id="796" name="Image 796"/>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2976" w:hRule="atLeast"/>
        </w:trPr>
        <w:tc>
          <w:tcPr>
            <w:tcW w:w="1276" w:type="dxa"/>
          </w:tcPr>
          <w:p>
            <w:pPr>
              <w:pStyle w:val="TableParagraph"/>
              <w:rPr>
                <w:rFonts w:ascii="Times New Roman"/>
                <w:sz w:val="22"/>
              </w:rPr>
            </w:pPr>
          </w:p>
        </w:tc>
        <w:tc>
          <w:tcPr>
            <w:tcW w:w="8509" w:type="dxa"/>
          </w:tcPr>
          <w:p>
            <w:pPr>
              <w:pStyle w:val="TableParagraph"/>
              <w:spacing w:line="291" w:lineRule="exact" w:before="78"/>
              <w:ind w:left="79"/>
              <w:rPr>
                <w:rFonts w:ascii="Verdana"/>
                <w:b/>
                <w:sz w:val="24"/>
              </w:rPr>
            </w:pPr>
            <w:r>
              <w:rPr>
                <w:rFonts w:ascii="Verdana"/>
                <w:b/>
                <w:spacing w:val="-2"/>
                <w:sz w:val="24"/>
              </w:rPr>
              <w:t>Actions/Agreements:</w:t>
            </w:r>
          </w:p>
          <w:p>
            <w:pPr>
              <w:pStyle w:val="TableParagraph"/>
              <w:spacing w:line="259" w:lineRule="auto"/>
              <w:ind w:left="79" w:right="194"/>
              <w:rPr>
                <w:rFonts w:ascii="Verdana"/>
                <w:sz w:val="24"/>
              </w:rPr>
            </w:pPr>
            <w:r>
              <w:rPr>
                <w:rFonts w:ascii="Verdana"/>
                <w:b/>
                <w:sz w:val="24"/>
              </w:rPr>
              <w:t>Agreement:</w:t>
            </w:r>
            <w:r>
              <w:rPr>
                <w:rFonts w:ascii="Verdana"/>
                <w:b/>
                <w:spacing w:val="-6"/>
                <w:sz w:val="24"/>
              </w:rPr>
              <w:t> </w:t>
            </w:r>
            <w:r>
              <w:rPr>
                <w:rFonts w:ascii="Verdana"/>
                <w:sz w:val="24"/>
              </w:rPr>
              <w:t>the</w:t>
            </w:r>
            <w:r>
              <w:rPr>
                <w:rFonts w:ascii="Verdana"/>
                <w:spacing w:val="-4"/>
                <w:sz w:val="24"/>
              </w:rPr>
              <w:t> </w:t>
            </w:r>
            <w:r>
              <w:rPr>
                <w:rFonts w:ascii="Verdana"/>
                <w:sz w:val="24"/>
              </w:rPr>
              <w:t>Committee</w:t>
            </w:r>
            <w:r>
              <w:rPr>
                <w:rFonts w:ascii="Verdana"/>
                <w:spacing w:val="-4"/>
                <w:sz w:val="24"/>
              </w:rPr>
              <w:t> </w:t>
            </w:r>
            <w:r>
              <w:rPr>
                <w:rFonts w:ascii="Verdana"/>
                <w:sz w:val="24"/>
              </w:rPr>
              <w:t>agreed</w:t>
            </w:r>
            <w:r>
              <w:rPr>
                <w:rFonts w:ascii="Verdana"/>
                <w:spacing w:val="-4"/>
                <w:sz w:val="24"/>
              </w:rPr>
              <w:t> </w:t>
            </w:r>
            <w:r>
              <w:rPr>
                <w:rFonts w:ascii="Verdana"/>
                <w:sz w:val="24"/>
              </w:rPr>
              <w:t>the</w:t>
            </w:r>
            <w:r>
              <w:rPr>
                <w:rFonts w:ascii="Verdana"/>
                <w:spacing w:val="-4"/>
                <w:sz w:val="24"/>
              </w:rPr>
              <w:t> </w:t>
            </w:r>
            <w:r>
              <w:rPr>
                <w:rFonts w:ascii="Verdana"/>
                <w:sz w:val="24"/>
              </w:rPr>
              <w:t>actions</w:t>
            </w:r>
            <w:r>
              <w:rPr>
                <w:rFonts w:ascii="Verdana"/>
                <w:spacing w:val="-4"/>
                <w:sz w:val="24"/>
              </w:rPr>
              <w:t> </w:t>
            </w:r>
            <w:r>
              <w:rPr>
                <w:rFonts w:ascii="Verdana"/>
                <w:sz w:val="24"/>
              </w:rPr>
              <w:t>to</w:t>
            </w:r>
            <w:r>
              <w:rPr>
                <w:rFonts w:ascii="Verdana"/>
                <w:spacing w:val="-4"/>
                <w:sz w:val="24"/>
              </w:rPr>
              <w:t> </w:t>
            </w:r>
            <w:r>
              <w:rPr>
                <w:rFonts w:ascii="Verdana"/>
                <w:sz w:val="24"/>
              </w:rPr>
              <w:t>be</w:t>
            </w:r>
            <w:r>
              <w:rPr>
                <w:rFonts w:ascii="Verdana"/>
                <w:spacing w:val="-3"/>
                <w:sz w:val="24"/>
              </w:rPr>
              <w:t> </w:t>
            </w:r>
            <w:r>
              <w:rPr>
                <w:rFonts w:ascii="Verdana"/>
                <w:sz w:val="24"/>
              </w:rPr>
              <w:t>taken</w:t>
            </w:r>
            <w:r>
              <w:rPr>
                <w:rFonts w:ascii="Verdana"/>
                <w:spacing w:val="-6"/>
                <w:sz w:val="24"/>
              </w:rPr>
              <w:t> </w:t>
            </w:r>
            <w:r>
              <w:rPr>
                <w:rFonts w:ascii="Verdana"/>
                <w:sz w:val="24"/>
              </w:rPr>
              <w:t>to improve its effectiveness</w:t>
            </w:r>
            <w:r>
              <w:rPr>
                <w:rFonts w:ascii="Verdana"/>
                <w:color w:val="ED0000"/>
                <w:sz w:val="24"/>
              </w:rPr>
              <w:t>.</w:t>
            </w:r>
          </w:p>
          <w:p>
            <w:pPr>
              <w:pStyle w:val="TableParagraph"/>
              <w:spacing w:line="259" w:lineRule="auto"/>
              <w:ind w:left="79" w:right="194"/>
              <w:rPr>
                <w:rFonts w:ascii="Verdana" w:hAnsi="Verdana"/>
                <w:sz w:val="24"/>
              </w:rPr>
            </w:pPr>
            <w:r>
              <w:rPr>
                <w:rFonts w:ascii="Verdana" w:hAnsi="Verdana"/>
                <w:b/>
                <w:sz w:val="24"/>
              </w:rPr>
              <w:t>ACTION: </w:t>
            </w:r>
            <w:r>
              <w:rPr>
                <w:rFonts w:ascii="Verdana" w:hAnsi="Verdana"/>
                <w:sz w:val="24"/>
              </w:rPr>
              <w:t>JWi to formally share the RJC Committee Annual Self</w:t>
            </w:r>
            <w:r>
              <w:rPr>
                <w:rFonts w:ascii="Cambria Math" w:hAnsi="Cambria Math"/>
                <w:sz w:val="24"/>
              </w:rPr>
              <w:t>‑</w:t>
            </w:r>
            <w:r>
              <w:rPr>
                <w:rFonts w:ascii="Verdana" w:hAnsi="Verdana"/>
                <w:sz w:val="24"/>
              </w:rPr>
              <w:t>Assessment with Welsh Government, including submission to the</w:t>
            </w:r>
            <w:r>
              <w:rPr>
                <w:rFonts w:ascii="Verdana" w:hAnsi="Verdana"/>
                <w:spacing w:val="-3"/>
                <w:sz w:val="24"/>
              </w:rPr>
              <w:t> </w:t>
            </w:r>
            <w:r>
              <w:rPr>
                <w:rFonts w:ascii="Verdana" w:hAnsi="Verdana"/>
                <w:sz w:val="24"/>
              </w:rPr>
              <w:t>Cabinet</w:t>
            </w:r>
            <w:r>
              <w:rPr>
                <w:rFonts w:ascii="Verdana" w:hAnsi="Verdana"/>
                <w:spacing w:val="-4"/>
                <w:sz w:val="24"/>
              </w:rPr>
              <w:t> </w:t>
            </w:r>
            <w:r>
              <w:rPr>
                <w:rFonts w:ascii="Verdana" w:hAnsi="Verdana"/>
                <w:sz w:val="24"/>
              </w:rPr>
              <w:t>Secretary,</w:t>
            </w:r>
            <w:r>
              <w:rPr>
                <w:rFonts w:ascii="Verdana" w:hAnsi="Verdana"/>
                <w:spacing w:val="-7"/>
                <w:sz w:val="24"/>
              </w:rPr>
              <w:t> </w:t>
            </w:r>
            <w:r>
              <w:rPr>
                <w:rFonts w:ascii="Verdana" w:hAnsi="Verdana"/>
                <w:sz w:val="24"/>
              </w:rPr>
              <w:t>as</w:t>
            </w:r>
            <w:r>
              <w:rPr>
                <w:rFonts w:ascii="Verdana" w:hAnsi="Verdana"/>
                <w:spacing w:val="-4"/>
                <w:sz w:val="24"/>
              </w:rPr>
              <w:t> </w:t>
            </w:r>
            <w:r>
              <w:rPr>
                <w:rFonts w:ascii="Verdana" w:hAnsi="Verdana"/>
                <w:sz w:val="24"/>
              </w:rPr>
              <w:t>part</w:t>
            </w:r>
            <w:r>
              <w:rPr>
                <w:rFonts w:ascii="Verdana" w:hAnsi="Verdana"/>
                <w:spacing w:val="-4"/>
                <w:sz w:val="24"/>
              </w:rPr>
              <w:t> </w:t>
            </w:r>
            <w:r>
              <w:rPr>
                <w:rFonts w:ascii="Verdana" w:hAnsi="Verdana"/>
                <w:sz w:val="24"/>
              </w:rPr>
              <w:t>of</w:t>
            </w:r>
            <w:r>
              <w:rPr>
                <w:rFonts w:ascii="Verdana" w:hAnsi="Verdana"/>
                <w:spacing w:val="-4"/>
                <w:sz w:val="24"/>
              </w:rPr>
              <w:t> </w:t>
            </w:r>
            <w:r>
              <w:rPr>
                <w:rFonts w:ascii="Verdana" w:hAnsi="Verdana"/>
                <w:sz w:val="24"/>
              </w:rPr>
              <w:t>ongoing</w:t>
            </w:r>
            <w:r>
              <w:rPr>
                <w:rFonts w:ascii="Verdana" w:hAnsi="Verdana"/>
                <w:spacing w:val="-4"/>
                <w:sz w:val="24"/>
              </w:rPr>
              <w:t> </w:t>
            </w:r>
            <w:r>
              <w:rPr>
                <w:rFonts w:ascii="Verdana" w:hAnsi="Verdana"/>
                <w:sz w:val="24"/>
              </w:rPr>
              <w:t>assurance</w:t>
            </w:r>
            <w:r>
              <w:rPr>
                <w:rFonts w:ascii="Verdana" w:hAnsi="Verdana"/>
                <w:spacing w:val="-3"/>
                <w:sz w:val="24"/>
              </w:rPr>
              <w:t> </w:t>
            </w:r>
            <w:r>
              <w:rPr>
                <w:rFonts w:ascii="Verdana" w:hAnsi="Verdana"/>
                <w:sz w:val="24"/>
              </w:rPr>
              <w:t>and</w:t>
            </w:r>
            <w:r>
              <w:rPr>
                <w:rFonts w:ascii="Verdana" w:hAnsi="Verdana"/>
                <w:spacing w:val="-4"/>
                <w:sz w:val="24"/>
              </w:rPr>
              <w:t> </w:t>
            </w:r>
            <w:r>
              <w:rPr>
                <w:rFonts w:ascii="Verdana" w:hAnsi="Verdana"/>
                <w:sz w:val="24"/>
              </w:rPr>
              <w:t>reporting </w:t>
            </w:r>
            <w:r>
              <w:rPr>
                <w:rFonts w:ascii="Verdana" w:hAnsi="Verdana"/>
                <w:spacing w:val="-2"/>
                <w:sz w:val="24"/>
              </w:rPr>
              <w:t>arrangements.</w:t>
            </w:r>
          </w:p>
          <w:p>
            <w:pPr>
              <w:pStyle w:val="TableParagraph"/>
              <w:spacing w:line="259" w:lineRule="auto" w:before="2"/>
              <w:ind w:left="79" w:right="194"/>
              <w:rPr>
                <w:rFonts w:ascii="Verdana"/>
                <w:sz w:val="24"/>
              </w:rPr>
            </w:pPr>
            <w:r>
              <w:rPr>
                <w:rFonts w:ascii="Verdana"/>
                <w:sz w:val="24"/>
              </w:rPr>
              <mc:AlternateContent>
                <mc:Choice Requires="wps">
                  <w:drawing>
                    <wp:anchor distT="0" distB="0" distL="0" distR="0" allowOverlap="1" layoutInCell="1" locked="0" behindDoc="1" simplePos="0" relativeHeight="477237760">
                      <wp:simplePos x="0" y="0"/>
                      <wp:positionH relativeFrom="column">
                        <wp:posOffset>-495727</wp:posOffset>
                      </wp:positionH>
                      <wp:positionV relativeFrom="paragraph">
                        <wp:posOffset>-386785</wp:posOffset>
                      </wp:positionV>
                      <wp:extent cx="5452745" cy="5744845"/>
                      <wp:effectExtent l="0" t="0" r="0" b="0"/>
                      <wp:wrapNone/>
                      <wp:docPr id="797" name="Group 797"/>
                      <wp:cNvGraphicFramePr>
                        <a:graphicFrameLocks/>
                      </wp:cNvGraphicFramePr>
                      <a:graphic>
                        <a:graphicData uri="http://schemas.microsoft.com/office/word/2010/wordprocessingGroup">
                          <wpg:wgp>
                            <wpg:cNvPr id="797" name="Group 797"/>
                            <wpg:cNvGrpSpPr/>
                            <wpg:grpSpPr>
                              <a:xfrm>
                                <a:off x="0" y="0"/>
                                <a:ext cx="5452745" cy="5744845"/>
                                <a:chExt cx="5452745" cy="5744845"/>
                              </a:xfrm>
                            </wpg:grpSpPr>
                            <wps:wsp>
                              <wps:cNvPr id="798" name="Graphic 798"/>
                              <wps:cNvSpPr/>
                              <wps:spPr>
                                <a:xfrm>
                                  <a:off x="-3"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39.033688pt;margin-top:-30.455564pt;width:429.35pt;height:452.35pt;mso-position-horizontal-relative:column;mso-position-vertical-relative:paragraph;z-index:-26078720" id="docshapegroup529" coordorigin="-781,-609" coordsize="8587,9047">
                      <v:shape style="position:absolute;left:-781;top:-610;width:8587;height:9047" id="docshape530" coordorigin="-781,-609" coordsize="8587,9047" path="m2725,7461l2719,7387,2708,7311,2691,7233,2668,7153,2646,7090,2621,7026,2593,6960,2561,6893,2526,6825,2487,6756,2444,6685,2398,6613,2348,6540,2337,6525,2337,7377,2330,7446,2314,7514,2288,7579,2253,7641,2208,7702,2154,7761,1947,7969,-313,5709,-108,5504,-44,5447,21,5400,89,5365,160,5341,232,5330,307,5328,384,5333,463,5345,545,5366,629,5396,700,5426,773,5461,847,5501,921,5546,997,5596,1074,5650,1133,5695,1191,5742,1250,5790,1309,5840,1368,5892,1426,5946,1485,6002,1544,6060,1609,6125,1670,6189,1729,6252,1785,6314,1838,6374,1889,6434,1936,6492,1981,6549,2023,6604,2074,6676,2120,6745,2161,6813,2198,6879,2230,6943,2259,7006,2283,7067,2310,7149,2328,7228,2337,7304,2337,7377,2337,6525,2309,6485,2267,6429,2224,6372,2178,6315,2131,6256,2081,6198,2030,6138,1976,6078,1920,6018,1862,5956,1803,5894,1741,5832,1676,5768,1611,5706,1546,5646,1482,5588,1418,5533,1355,5480,1292,5429,1229,5381,1167,5335,1158,5328,1106,5291,1030,5240,955,5192,880,5149,807,5109,734,5073,662,5041,592,5012,522,4986,444,4963,368,4945,294,4933,221,4926,150,4924,80,4927,13,4934,-64,4951,-139,4977,-211,5012,-282,5057,-350,5110,-417,5171,-761,5515,-772,5530,-779,5550,-781,5573,-778,5599,-767,5631,-747,5667,-718,5705,-679,5747,1911,8337,1953,8376,1991,8405,2026,8424,2057,8433,2085,8438,2108,8436,2128,8430,2143,8419,2465,8097,2526,8031,2574,7969,2579,7963,2623,7893,2660,7821,2688,7746,2708,7670,2719,7602,2725,7533,2725,7461xm4537,6002l4535,5991,4529,5980,4523,5971,4516,5962,4509,5953,4501,5944,4491,5935,4478,5924,4463,5911,4444,5898,4423,5882,4311,5807,3533,5302,3470,5261,3407,5222,3382,5207,3291,5152,3237,5122,3185,5094,3135,5069,3087,5047,3041,5028,2996,5012,2954,4999,2913,4988,2874,4981,2844,4977,2837,4977,2801,4976,2766,4977,2775,4921,2780,4864,2780,4805,2777,4746,2769,4687,2756,4625,2738,4563,2715,4499,2687,4435,2654,4370,2616,4303,2570,4235,2530,4181,2486,4126,2448,4081,2448,4736,2446,4785,2439,4833,2425,4880,2403,4926,2375,4969,2339,5010,2141,5207,1163,4228,1333,4058,1362,4030,1389,4005,1414,3985,1437,3968,1459,3954,1481,3942,1503,3932,1525,3924,1598,3911,1673,3912,1749,3928,1827,3959,1891,3994,1956,4036,2022,4086,2089,4144,2157,4208,2207,4261,2253,4314,2296,4367,2335,4421,2368,4476,2395,4529,2416,4582,2432,4634,2443,4686,2448,4736,2448,4081,2438,4069,2386,4012,2330,3954,2285,3911,2270,3896,2210,3841,2150,3790,2091,3744,2032,3701,1958,3654,1886,3613,1814,3579,1743,3550,1672,3528,1604,3513,1536,3505,1471,3503,1406,3509,1343,3522,1282,3542,1223,3567,1204,3580,1183,3593,1141,3622,1119,3641,1095,3662,1068,3686,1040,3714,718,4036,706,4052,700,4071,698,4094,701,4120,712,4153,732,4188,761,4227,800,4269,3488,6957,3497,6965,3506,6973,3515,6979,3524,6984,3537,6989,3548,6991,3561,6988,3572,6986,3584,6982,3596,6978,3608,6972,3620,6963,3633,6953,3646,6942,3661,6928,3675,6914,3687,6900,3697,6887,3706,6874,3711,6862,3716,6850,3719,6839,3720,6828,3723,6817,3722,6804,3717,6792,3712,6782,3705,6773,3698,6764,3690,6755,2453,5519,2588,5384,2624,5353,2662,5329,2703,5313,2745,5303,2791,5302,2838,5305,2888,5314,2941,5328,2995,5347,3052,5371,3111,5399,3172,5433,3235,5470,3301,5510,3368,5552,3438,5598,4278,6153,4293,6162,4306,6170,4319,6176,4330,6181,4341,6184,4352,6185,4363,6185,4376,6185,4388,6181,4399,6176,4411,6169,4423,6161,4436,6150,4450,6138,4465,6124,4481,6107,4495,6091,4507,6077,4516,6064,4524,6052,4530,6040,4534,6029,4536,6017,4537,6002xm5981,4574l5978,4561,5973,4548,5965,4534,5954,4520,5940,4505,5923,4490,5903,4474,5879,4457,5851,4437,5428,4146,4529,3535,4529,3892,4001,4420,2816,2710,2817,2709,4529,3892,4529,3535,3317,2709,2645,2249,2630,2240,2616,2231,2602,2224,2589,2219,2577,2216,2565,2215,2553,2216,2541,2218,2528,2221,2515,2227,2501,2234,2487,2244,2473,2256,2458,2270,2441,2286,2406,2321,2392,2336,2379,2350,2368,2364,2359,2377,2352,2390,2347,2402,2344,2415,2342,2427,2341,2439,2342,2450,2346,2462,2351,2475,2357,2488,2365,2501,2374,2515,2418,2580,4562,5722,4582,5749,4599,5773,4616,5793,4631,5810,4645,5824,4660,5835,4673,5843,4687,5849,4699,5851,4712,5851,4725,5847,4739,5841,4753,5831,4767,5819,4783,5806,4799,5790,4815,5774,4828,5759,4839,5744,4849,5731,4856,5720,4861,5709,4864,5697,4865,5684,4864,5674,4863,5664,4861,5654,4856,5643,4852,5633,4846,5623,4840,5612,4832,5600,4258,4778,4616,4420,4890,4146,5727,4723,5739,4730,5751,4736,5761,4742,5771,4746,5784,4752,5795,4753,5808,4750,5818,4749,5829,4745,5841,4739,5854,4730,5867,4720,5881,4708,5896,4693,5914,4675,5931,4657,5945,4641,5958,4626,5968,4612,5975,4600,5980,4587,5981,4574xm6417,4124l6417,4114,6414,4105,6410,4094,6405,4085,6400,4077,6393,4068,6385,4060,5175,2850,5707,2319,5707,2310,5706,2297,5704,2288,5701,2278,5697,2267,5690,2255,5683,2243,5674,2229,5662,2213,5649,2197,5634,2181,5600,2144,5580,2123,5557,2101,5535,2081,5499,2047,5483,2034,5468,2024,5455,2015,5443,2008,5432,2003,5422,1999,5412,1996,5403,1994,5393,1995,5386,1998,4855,2530,3867,1542,4429,980,4432,973,4431,961,4429,952,4426,942,4421,931,4407,906,4398,892,4387,877,4373,861,4358,844,4322,806,4302,784,4280,764,4260,744,4223,710,4207,697,4191,685,4177,676,4163,667,4151,661,4140,656,4130,653,4121,651,4108,650,4102,652,3413,1341,3402,1357,3395,1376,3393,1399,3396,1425,3407,1458,3427,1493,3456,1531,3495,1573,6183,4262,6192,4270,6200,4276,6208,4282,6217,4286,6228,4291,6237,4294,6247,4294,6267,4291,6279,4287,6291,4282,6304,4276,6316,4268,6329,4258,6342,4246,6356,4233,6370,4218,6382,4204,6392,4191,6401,4179,6407,4167,6411,4155,6414,4144,6417,4124xm7806,2733l7804,2722,7799,2709,7794,2700,7788,2691,7780,2682,7772,2673,5254,155,5687,-278,5691,-286,5690,-298,5688,-307,5685,-317,5680,-328,5674,-341,5666,-352,5657,-366,5645,-381,5631,-397,5599,-432,5580,-452,5560,-473,5538,-494,5518,-513,5481,-547,5465,-561,5450,-573,5436,-583,5422,-592,5410,-598,5399,-603,5389,-606,5380,-608,5367,-609,5359,-605,4292,462,4288,470,4292,491,4295,501,4300,512,4306,524,4315,537,4325,552,4337,567,4367,602,4384,621,4403,641,4424,662,4445,683,4465,702,4484,718,4501,733,4517,747,4532,758,4546,768,4570,782,4580,787,4590,790,4611,794,4619,790,5052,357,7570,2875,7579,2883,7588,2891,7597,2897,7606,2902,7619,2907,7630,2909,7643,2906,7654,2904,7666,2900,7678,2895,7690,2890,7702,2881,7715,2871,7729,2859,7743,2846,7757,2831,7769,2817,7779,2804,7788,2792,7793,2780,7798,2768,7801,2757,7803,2746,7806,2733xe" filled="true" fillcolor="#c0c0c0" stroked="false">
                        <v:path arrowok="t"/>
                        <v:fill opacity="32896f" type="solid"/>
                      </v:shape>
                      <w10:wrap type="none"/>
                    </v:group>
                  </w:pict>
                </mc:Fallback>
              </mc:AlternateContent>
            </w:r>
            <w:r>
              <w:rPr>
                <w:rFonts w:ascii="Verdana"/>
                <w:b/>
                <w:sz w:val="24"/>
              </w:rPr>
              <w:t>ACTION</w:t>
            </w:r>
            <w:r>
              <w:rPr>
                <w:rFonts w:ascii="Verdana"/>
                <w:sz w:val="24"/>
              </w:rPr>
              <w:t>:</w:t>
            </w:r>
            <w:r>
              <w:rPr>
                <w:rFonts w:ascii="Verdana"/>
                <w:spacing w:val="-4"/>
                <w:sz w:val="24"/>
              </w:rPr>
              <w:t> </w:t>
            </w:r>
            <w:r>
              <w:rPr>
                <w:rFonts w:ascii="Verdana"/>
                <w:sz w:val="24"/>
              </w:rPr>
              <w:t>the</w:t>
            </w:r>
            <w:r>
              <w:rPr>
                <w:rFonts w:ascii="Verdana"/>
                <w:spacing w:val="-3"/>
                <w:sz w:val="24"/>
              </w:rPr>
              <w:t> </w:t>
            </w:r>
            <w:r>
              <w:rPr>
                <w:rFonts w:ascii="Verdana"/>
                <w:sz w:val="24"/>
              </w:rPr>
              <w:t>RJC</w:t>
            </w:r>
            <w:r>
              <w:rPr>
                <w:rFonts w:ascii="Verdana"/>
                <w:spacing w:val="-7"/>
                <w:sz w:val="24"/>
              </w:rPr>
              <w:t> </w:t>
            </w:r>
            <w:r>
              <w:rPr>
                <w:rFonts w:ascii="Verdana"/>
                <w:sz w:val="24"/>
              </w:rPr>
              <w:t>PMO</w:t>
            </w:r>
            <w:r>
              <w:rPr>
                <w:rFonts w:ascii="Verdana"/>
                <w:spacing w:val="-3"/>
                <w:sz w:val="24"/>
              </w:rPr>
              <w:t> </w:t>
            </w:r>
            <w:r>
              <w:rPr>
                <w:rFonts w:ascii="Verdana"/>
                <w:sz w:val="24"/>
              </w:rPr>
              <w:t>to</w:t>
            </w:r>
            <w:r>
              <w:rPr>
                <w:rFonts w:ascii="Verdana"/>
                <w:spacing w:val="-4"/>
                <w:sz w:val="24"/>
              </w:rPr>
              <w:t> </w:t>
            </w:r>
            <w:r>
              <w:rPr>
                <w:rFonts w:ascii="Verdana"/>
                <w:sz w:val="24"/>
              </w:rPr>
              <w:t>forward</w:t>
            </w:r>
            <w:r>
              <w:rPr>
                <w:rFonts w:ascii="Verdana"/>
                <w:spacing w:val="-4"/>
                <w:sz w:val="24"/>
              </w:rPr>
              <w:t> </w:t>
            </w:r>
            <w:r>
              <w:rPr>
                <w:rFonts w:ascii="Verdana"/>
                <w:sz w:val="24"/>
              </w:rPr>
              <w:t>plan</w:t>
            </w:r>
            <w:r>
              <w:rPr>
                <w:rFonts w:ascii="Verdana"/>
                <w:spacing w:val="-6"/>
                <w:sz w:val="24"/>
              </w:rPr>
              <w:t> </w:t>
            </w:r>
            <w:r>
              <w:rPr>
                <w:rFonts w:ascii="Verdana"/>
                <w:sz w:val="24"/>
              </w:rPr>
              <w:t>a</w:t>
            </w:r>
            <w:r>
              <w:rPr>
                <w:rFonts w:ascii="Verdana"/>
                <w:spacing w:val="-7"/>
                <w:sz w:val="24"/>
              </w:rPr>
              <w:t> </w:t>
            </w:r>
            <w:r>
              <w:rPr>
                <w:rFonts w:ascii="Verdana"/>
                <w:sz w:val="24"/>
              </w:rPr>
              <w:t>collective</w:t>
            </w:r>
            <w:r>
              <w:rPr>
                <w:rFonts w:ascii="Verdana"/>
                <w:spacing w:val="-3"/>
                <w:sz w:val="24"/>
              </w:rPr>
              <w:t> </w:t>
            </w:r>
            <w:r>
              <w:rPr>
                <w:rFonts w:ascii="Verdana"/>
                <w:sz w:val="24"/>
              </w:rPr>
              <w:t>conversation</w:t>
            </w:r>
            <w:r>
              <w:rPr>
                <w:rFonts w:ascii="Verdana"/>
                <w:spacing w:val="-7"/>
                <w:sz w:val="24"/>
              </w:rPr>
              <w:t> </w:t>
            </w:r>
            <w:r>
              <w:rPr>
                <w:rFonts w:ascii="Verdana"/>
                <w:sz w:val="24"/>
              </w:rPr>
              <w:t>on the performance of the Committee at a future RJC meeting.</w:t>
            </w:r>
          </w:p>
        </w:tc>
        <w:tc>
          <w:tcPr>
            <w:tcW w:w="711" w:type="dxa"/>
          </w:tcPr>
          <w:p>
            <w:pPr>
              <w:pStyle w:val="TableParagraph"/>
              <w:rPr>
                <w:rFonts w:ascii="Times New Roman"/>
                <w:sz w:val="22"/>
              </w:rPr>
            </w:pPr>
          </w:p>
        </w:tc>
      </w:tr>
      <w:tr>
        <w:trPr>
          <w:trHeight w:val="9217" w:hRule="atLeast"/>
        </w:trPr>
        <w:tc>
          <w:tcPr>
            <w:tcW w:w="1276" w:type="dxa"/>
          </w:tcPr>
          <w:p>
            <w:pPr>
              <w:pStyle w:val="TableParagraph"/>
              <w:spacing w:before="78"/>
              <w:ind w:left="135"/>
              <w:rPr>
                <w:rFonts w:ascii="Verdana"/>
                <w:b/>
                <w:sz w:val="24"/>
              </w:rPr>
            </w:pPr>
            <w:r>
              <w:rPr>
                <w:rFonts w:ascii="Verdana"/>
                <w:b/>
                <w:spacing w:val="-2"/>
                <w:sz w:val="24"/>
              </w:rPr>
              <w:t>RJC/29</w:t>
            </w:r>
          </w:p>
        </w:tc>
        <w:tc>
          <w:tcPr>
            <w:tcW w:w="8509" w:type="dxa"/>
          </w:tcPr>
          <w:p>
            <w:pPr>
              <w:pStyle w:val="TableParagraph"/>
              <w:spacing w:line="291" w:lineRule="exact" w:before="78"/>
              <w:ind w:left="79"/>
              <w:rPr>
                <w:rFonts w:ascii="Verdana"/>
                <w:b/>
                <w:sz w:val="24"/>
              </w:rPr>
            </w:pPr>
            <w:r>
              <w:rPr>
                <w:rFonts w:ascii="Verdana"/>
                <w:b/>
                <w:sz w:val="24"/>
              </w:rPr>
              <w:t>Draft</w:t>
            </w:r>
            <w:r>
              <w:rPr>
                <w:rFonts w:ascii="Verdana"/>
                <w:b/>
                <w:spacing w:val="-4"/>
                <w:sz w:val="24"/>
              </w:rPr>
              <w:t> </w:t>
            </w:r>
            <w:r>
              <w:rPr>
                <w:rFonts w:ascii="Verdana"/>
                <w:b/>
                <w:sz w:val="24"/>
              </w:rPr>
              <w:t>RJC</w:t>
            </w:r>
            <w:r>
              <w:rPr>
                <w:rFonts w:ascii="Verdana"/>
                <w:b/>
                <w:spacing w:val="-3"/>
                <w:sz w:val="24"/>
              </w:rPr>
              <w:t> </w:t>
            </w:r>
            <w:r>
              <w:rPr>
                <w:rFonts w:ascii="Verdana"/>
                <w:b/>
                <w:sz w:val="24"/>
              </w:rPr>
              <w:t>Terms</w:t>
            </w:r>
            <w:r>
              <w:rPr>
                <w:rFonts w:ascii="Verdana"/>
                <w:b/>
                <w:spacing w:val="-1"/>
                <w:sz w:val="24"/>
              </w:rPr>
              <w:t> </w:t>
            </w:r>
            <w:r>
              <w:rPr>
                <w:rFonts w:ascii="Verdana"/>
                <w:b/>
                <w:sz w:val="24"/>
              </w:rPr>
              <w:t>of</w:t>
            </w:r>
            <w:r>
              <w:rPr>
                <w:rFonts w:ascii="Verdana"/>
                <w:b/>
                <w:spacing w:val="-5"/>
                <w:sz w:val="24"/>
              </w:rPr>
              <w:t> </w:t>
            </w:r>
            <w:r>
              <w:rPr>
                <w:rFonts w:ascii="Verdana"/>
                <w:b/>
                <w:spacing w:val="-2"/>
                <w:sz w:val="24"/>
              </w:rPr>
              <w:t>Reference</w:t>
            </w:r>
          </w:p>
          <w:p>
            <w:pPr>
              <w:pStyle w:val="TableParagraph"/>
              <w:ind w:left="79" w:right="194"/>
              <w:rPr>
                <w:rFonts w:ascii="Verdana"/>
                <w:sz w:val="24"/>
              </w:rPr>
            </w:pPr>
            <w:r>
              <w:rPr>
                <w:rFonts w:ascii="Verdana"/>
                <w:sz w:val="24"/>
              </w:rPr>
              <w:t>Members</w:t>
            </w:r>
            <w:r>
              <w:rPr>
                <w:rFonts w:ascii="Verdana"/>
                <w:spacing w:val="-5"/>
                <w:sz w:val="24"/>
              </w:rPr>
              <w:t> </w:t>
            </w:r>
            <w:r>
              <w:rPr>
                <w:rFonts w:ascii="Verdana"/>
                <w:sz w:val="24"/>
              </w:rPr>
              <w:t>considered</w:t>
            </w:r>
            <w:r>
              <w:rPr>
                <w:rFonts w:ascii="Verdana"/>
                <w:spacing w:val="-3"/>
                <w:sz w:val="24"/>
              </w:rPr>
              <w:t> </w:t>
            </w:r>
            <w:r>
              <w:rPr>
                <w:rFonts w:ascii="Verdana"/>
                <w:sz w:val="24"/>
              </w:rPr>
              <w:t>the</w:t>
            </w:r>
            <w:r>
              <w:rPr>
                <w:rFonts w:ascii="Verdana"/>
                <w:spacing w:val="-7"/>
                <w:sz w:val="24"/>
              </w:rPr>
              <w:t> </w:t>
            </w:r>
            <w:r>
              <w:rPr>
                <w:rFonts w:ascii="Verdana"/>
                <w:sz w:val="24"/>
              </w:rPr>
              <w:t>proposed</w:t>
            </w:r>
            <w:r>
              <w:rPr>
                <w:rFonts w:ascii="Verdana"/>
                <w:spacing w:val="-5"/>
                <w:sz w:val="24"/>
              </w:rPr>
              <w:t> </w:t>
            </w:r>
            <w:r>
              <w:rPr>
                <w:rFonts w:ascii="Verdana"/>
                <w:sz w:val="24"/>
              </w:rPr>
              <w:t>updates</w:t>
            </w:r>
            <w:r>
              <w:rPr>
                <w:rFonts w:ascii="Verdana"/>
                <w:spacing w:val="-5"/>
                <w:sz w:val="24"/>
              </w:rPr>
              <w:t> </w:t>
            </w:r>
            <w:r>
              <w:rPr>
                <w:rFonts w:ascii="Verdana"/>
                <w:sz w:val="24"/>
              </w:rPr>
              <w:t>to</w:t>
            </w:r>
            <w:r>
              <w:rPr>
                <w:rFonts w:ascii="Verdana"/>
                <w:spacing w:val="-5"/>
                <w:sz w:val="24"/>
              </w:rPr>
              <w:t> </w:t>
            </w:r>
            <w:r>
              <w:rPr>
                <w:rFonts w:ascii="Verdana"/>
                <w:sz w:val="24"/>
              </w:rPr>
              <w:t>the</w:t>
            </w:r>
            <w:r>
              <w:rPr>
                <w:rFonts w:ascii="Verdana"/>
                <w:spacing w:val="-1"/>
                <w:sz w:val="24"/>
              </w:rPr>
              <w:t> </w:t>
            </w:r>
            <w:r>
              <w:rPr>
                <w:rFonts w:ascii="Verdana"/>
                <w:sz w:val="24"/>
              </w:rPr>
              <w:t>RJC</w:t>
            </w:r>
            <w:r>
              <w:rPr>
                <w:rFonts w:ascii="Verdana"/>
                <w:spacing w:val="-2"/>
                <w:sz w:val="24"/>
              </w:rPr>
              <w:t> </w:t>
            </w:r>
            <w:r>
              <w:rPr>
                <w:rFonts w:ascii="Verdana"/>
                <w:sz w:val="24"/>
              </w:rPr>
              <w:t>Terms</w:t>
            </w:r>
            <w:r>
              <w:rPr>
                <w:rFonts w:ascii="Verdana"/>
                <w:spacing w:val="-5"/>
                <w:sz w:val="24"/>
              </w:rPr>
              <w:t> </w:t>
            </w:r>
            <w:r>
              <w:rPr>
                <w:rFonts w:ascii="Verdana"/>
                <w:sz w:val="24"/>
              </w:rPr>
              <w:t>of Reference, including:</w:t>
            </w:r>
          </w:p>
          <w:p>
            <w:pPr>
              <w:pStyle w:val="TableParagraph"/>
              <w:numPr>
                <w:ilvl w:val="0"/>
                <w:numId w:val="111"/>
              </w:numPr>
              <w:tabs>
                <w:tab w:pos="800" w:val="left" w:leader="none"/>
              </w:tabs>
              <w:spacing w:line="240" w:lineRule="auto" w:before="1" w:after="0"/>
              <w:ind w:left="800" w:right="87" w:hanging="361"/>
              <w:jc w:val="left"/>
              <w:rPr>
                <w:rFonts w:ascii="Verdana" w:hAnsi="Verdana"/>
                <w:sz w:val="24"/>
              </w:rPr>
            </w:pPr>
            <w:r>
              <w:rPr>
                <w:rFonts w:ascii="Verdana" w:hAnsi="Verdana"/>
                <w:sz w:val="24"/>
              </w:rPr>
              <w:t>The</w:t>
            </w:r>
            <w:r>
              <w:rPr>
                <w:rFonts w:ascii="Verdana" w:hAnsi="Verdana"/>
                <w:spacing w:val="-3"/>
                <w:sz w:val="24"/>
              </w:rPr>
              <w:t> </w:t>
            </w:r>
            <w:r>
              <w:rPr>
                <w:rFonts w:ascii="Verdana" w:hAnsi="Verdana"/>
                <w:sz w:val="24"/>
              </w:rPr>
              <w:t>need</w:t>
            </w:r>
            <w:r>
              <w:rPr>
                <w:rFonts w:ascii="Verdana" w:hAnsi="Verdana"/>
                <w:spacing w:val="-4"/>
                <w:sz w:val="24"/>
              </w:rPr>
              <w:t> </w:t>
            </w:r>
            <w:r>
              <w:rPr>
                <w:rFonts w:ascii="Verdana" w:hAnsi="Verdana"/>
                <w:sz w:val="24"/>
              </w:rPr>
              <w:t>for</w:t>
            </w:r>
            <w:r>
              <w:rPr>
                <w:rFonts w:ascii="Verdana" w:hAnsi="Verdana"/>
                <w:spacing w:val="-2"/>
                <w:sz w:val="24"/>
              </w:rPr>
              <w:t> </w:t>
            </w:r>
            <w:r>
              <w:rPr>
                <w:rFonts w:ascii="Verdana" w:hAnsi="Verdana"/>
                <w:sz w:val="24"/>
              </w:rPr>
              <w:t>the</w:t>
            </w:r>
            <w:r>
              <w:rPr>
                <w:rFonts w:ascii="Verdana" w:hAnsi="Verdana"/>
                <w:spacing w:val="-7"/>
                <w:sz w:val="24"/>
              </w:rPr>
              <w:t> </w:t>
            </w:r>
            <w:r>
              <w:rPr>
                <w:rFonts w:ascii="Verdana" w:hAnsi="Verdana"/>
                <w:sz w:val="24"/>
              </w:rPr>
              <w:t>Terms</w:t>
            </w:r>
            <w:r>
              <w:rPr>
                <w:rFonts w:ascii="Verdana" w:hAnsi="Verdana"/>
                <w:spacing w:val="-4"/>
                <w:sz w:val="24"/>
              </w:rPr>
              <w:t> </w:t>
            </w:r>
            <w:r>
              <w:rPr>
                <w:rFonts w:ascii="Verdana" w:hAnsi="Verdana"/>
                <w:sz w:val="24"/>
              </w:rPr>
              <w:t>of</w:t>
            </w:r>
            <w:r>
              <w:rPr>
                <w:rFonts w:ascii="Verdana" w:hAnsi="Verdana"/>
                <w:spacing w:val="-4"/>
                <w:sz w:val="24"/>
              </w:rPr>
              <w:t> </w:t>
            </w:r>
            <w:r>
              <w:rPr>
                <w:rFonts w:ascii="Verdana" w:hAnsi="Verdana"/>
                <w:sz w:val="24"/>
              </w:rPr>
              <w:t>Reference</w:t>
            </w:r>
            <w:r>
              <w:rPr>
                <w:rFonts w:ascii="Verdana" w:hAnsi="Verdana"/>
                <w:spacing w:val="-3"/>
                <w:sz w:val="24"/>
              </w:rPr>
              <w:t> </w:t>
            </w:r>
            <w:r>
              <w:rPr>
                <w:rFonts w:ascii="Verdana" w:hAnsi="Verdana"/>
                <w:sz w:val="24"/>
              </w:rPr>
              <w:t>to</w:t>
            </w:r>
            <w:r>
              <w:rPr>
                <w:rFonts w:ascii="Verdana" w:hAnsi="Verdana"/>
                <w:spacing w:val="-4"/>
                <w:sz w:val="24"/>
              </w:rPr>
              <w:t> </w:t>
            </w:r>
            <w:r>
              <w:rPr>
                <w:rFonts w:ascii="Verdana" w:hAnsi="Verdana"/>
                <w:sz w:val="24"/>
              </w:rPr>
              <w:t>explicitly</w:t>
            </w:r>
            <w:r>
              <w:rPr>
                <w:rFonts w:ascii="Verdana" w:hAnsi="Verdana"/>
                <w:spacing w:val="-7"/>
                <w:sz w:val="24"/>
              </w:rPr>
              <w:t> </w:t>
            </w:r>
            <w:r>
              <w:rPr>
                <w:rFonts w:ascii="Verdana" w:hAnsi="Verdana"/>
                <w:sz w:val="24"/>
              </w:rPr>
              <w:t>reference</w:t>
            </w:r>
            <w:r>
              <w:rPr>
                <w:rFonts w:ascii="Verdana" w:hAnsi="Verdana"/>
                <w:spacing w:val="-3"/>
                <w:sz w:val="24"/>
              </w:rPr>
              <w:t> </w:t>
            </w:r>
            <w:r>
              <w:rPr>
                <w:rFonts w:ascii="Verdana" w:hAnsi="Verdana"/>
                <w:sz w:val="24"/>
              </w:rPr>
              <w:t>the RJC’s annual self</w:t>
            </w:r>
            <w:r>
              <w:rPr>
                <w:rFonts w:ascii="Cambria Math" w:hAnsi="Cambria Math"/>
                <w:sz w:val="24"/>
              </w:rPr>
              <w:t>‑</w:t>
            </w:r>
            <w:r>
              <w:rPr>
                <w:rFonts w:ascii="Verdana" w:hAnsi="Verdana"/>
                <w:sz w:val="24"/>
              </w:rPr>
              <w:t>assessment as part of its continuous improvement, governance and assurance responsibilities, including its role in evidencing maturity and effectiveness to Welsh Government.</w:t>
            </w:r>
          </w:p>
          <w:p>
            <w:pPr>
              <w:pStyle w:val="TableParagraph"/>
              <w:numPr>
                <w:ilvl w:val="0"/>
                <w:numId w:val="111"/>
              </w:numPr>
              <w:tabs>
                <w:tab w:pos="800" w:val="left" w:leader="none"/>
              </w:tabs>
              <w:spacing w:line="240" w:lineRule="auto" w:before="0" w:after="0"/>
              <w:ind w:left="800" w:right="208" w:hanging="361"/>
              <w:jc w:val="left"/>
              <w:rPr>
                <w:rFonts w:ascii="Verdana" w:hAnsi="Verdana"/>
                <w:sz w:val="24"/>
              </w:rPr>
            </w:pPr>
            <w:r>
              <w:rPr>
                <w:rFonts w:ascii="Verdana" w:hAnsi="Verdana"/>
                <w:sz w:val="24"/>
              </w:rPr>
              <w:t>For the Terms of Reference to more clearly reflect the role of the</w:t>
            </w:r>
            <w:r>
              <w:rPr>
                <w:rFonts w:ascii="Verdana" w:hAnsi="Verdana"/>
                <w:spacing w:val="-3"/>
                <w:sz w:val="24"/>
              </w:rPr>
              <w:t> </w:t>
            </w:r>
            <w:r>
              <w:rPr>
                <w:rFonts w:ascii="Verdana" w:hAnsi="Verdana"/>
                <w:sz w:val="24"/>
              </w:rPr>
              <w:t>RJC</w:t>
            </w:r>
            <w:r>
              <w:rPr>
                <w:rFonts w:ascii="Verdana" w:hAnsi="Verdana"/>
                <w:spacing w:val="-2"/>
                <w:sz w:val="24"/>
              </w:rPr>
              <w:t> </w:t>
            </w:r>
            <w:r>
              <w:rPr>
                <w:rFonts w:ascii="Verdana" w:hAnsi="Verdana"/>
                <w:sz w:val="24"/>
              </w:rPr>
              <w:t>Chairs</w:t>
            </w:r>
            <w:r>
              <w:rPr>
                <w:rFonts w:ascii="Verdana" w:hAnsi="Verdana"/>
                <w:spacing w:val="-4"/>
                <w:sz w:val="24"/>
              </w:rPr>
              <w:t> </w:t>
            </w:r>
            <w:r>
              <w:rPr>
                <w:rFonts w:ascii="Verdana" w:hAnsi="Verdana"/>
                <w:sz w:val="24"/>
              </w:rPr>
              <w:t>in</w:t>
            </w:r>
            <w:r>
              <w:rPr>
                <w:rFonts w:ascii="Verdana" w:hAnsi="Verdana"/>
                <w:spacing w:val="-6"/>
                <w:sz w:val="24"/>
              </w:rPr>
              <w:t> </w:t>
            </w:r>
            <w:r>
              <w:rPr>
                <w:rFonts w:ascii="Verdana" w:hAnsi="Verdana"/>
                <w:sz w:val="24"/>
              </w:rPr>
              <w:t>maintaining</w:t>
            </w:r>
            <w:r>
              <w:rPr>
                <w:rFonts w:ascii="Verdana" w:hAnsi="Verdana"/>
                <w:spacing w:val="-4"/>
                <w:sz w:val="24"/>
              </w:rPr>
              <w:t> </w:t>
            </w:r>
            <w:r>
              <w:rPr>
                <w:rFonts w:ascii="Verdana" w:hAnsi="Verdana"/>
                <w:sz w:val="24"/>
              </w:rPr>
              <w:t>a</w:t>
            </w:r>
            <w:r>
              <w:rPr>
                <w:rFonts w:ascii="Verdana" w:hAnsi="Verdana"/>
                <w:spacing w:val="-4"/>
                <w:sz w:val="24"/>
              </w:rPr>
              <w:t> </w:t>
            </w:r>
            <w:r>
              <w:rPr>
                <w:rFonts w:ascii="Verdana" w:hAnsi="Verdana"/>
                <w:sz w:val="24"/>
              </w:rPr>
              <w:t>formal</w:t>
            </w:r>
            <w:r>
              <w:rPr>
                <w:rFonts w:ascii="Verdana" w:hAnsi="Verdana"/>
                <w:spacing w:val="-5"/>
                <w:sz w:val="24"/>
              </w:rPr>
              <w:t> </w:t>
            </w:r>
            <w:r>
              <w:rPr>
                <w:rFonts w:ascii="Verdana" w:hAnsi="Verdana"/>
                <w:sz w:val="24"/>
              </w:rPr>
              <w:t>reporting</w:t>
            </w:r>
            <w:r>
              <w:rPr>
                <w:rFonts w:ascii="Verdana" w:hAnsi="Verdana"/>
                <w:spacing w:val="-4"/>
                <w:sz w:val="24"/>
              </w:rPr>
              <w:t> </w:t>
            </w:r>
            <w:r>
              <w:rPr>
                <w:rFonts w:ascii="Verdana" w:hAnsi="Verdana"/>
                <w:sz w:val="24"/>
              </w:rPr>
              <w:t>link</w:t>
            </w:r>
            <w:r>
              <w:rPr>
                <w:rFonts w:ascii="Verdana" w:hAnsi="Verdana"/>
                <w:spacing w:val="-6"/>
                <w:sz w:val="24"/>
              </w:rPr>
              <w:t> </w:t>
            </w:r>
            <w:r>
              <w:rPr>
                <w:rFonts w:ascii="Verdana" w:hAnsi="Verdana"/>
                <w:sz w:val="24"/>
              </w:rPr>
              <w:t>to</w:t>
            </w:r>
            <w:r>
              <w:rPr>
                <w:rFonts w:ascii="Verdana" w:hAnsi="Verdana"/>
                <w:spacing w:val="-4"/>
                <w:sz w:val="24"/>
              </w:rPr>
              <w:t> </w:t>
            </w:r>
            <w:r>
              <w:rPr>
                <w:rFonts w:ascii="Verdana" w:hAnsi="Verdana"/>
                <w:sz w:val="24"/>
              </w:rPr>
              <w:t>Welsh Government, including submission of assurance products (such as the Committee self</w:t>
            </w:r>
            <w:r>
              <w:rPr>
                <w:rFonts w:ascii="Cambria Math" w:hAnsi="Cambria Math"/>
                <w:sz w:val="24"/>
              </w:rPr>
              <w:t>‑</w:t>
            </w:r>
            <w:r>
              <w:rPr>
                <w:rFonts w:ascii="Verdana" w:hAnsi="Verdana"/>
                <w:sz w:val="24"/>
              </w:rPr>
              <w:t>assessment) to the Cabinet </w:t>
            </w:r>
            <w:r>
              <w:rPr>
                <w:rFonts w:ascii="Verdana" w:hAnsi="Verdana"/>
                <w:spacing w:val="-2"/>
                <w:sz w:val="24"/>
              </w:rPr>
              <w:t>Secretary.</w:t>
            </w:r>
          </w:p>
          <w:p>
            <w:pPr>
              <w:pStyle w:val="TableParagraph"/>
              <w:numPr>
                <w:ilvl w:val="0"/>
                <w:numId w:val="111"/>
              </w:numPr>
              <w:tabs>
                <w:tab w:pos="800" w:val="left" w:leader="none"/>
              </w:tabs>
              <w:spacing w:line="290" w:lineRule="exact" w:before="0" w:after="0"/>
              <w:ind w:left="800" w:right="0" w:hanging="361"/>
              <w:jc w:val="left"/>
              <w:rPr>
                <w:rFonts w:ascii="Verdana" w:hAnsi="Verdana"/>
                <w:sz w:val="24"/>
              </w:rPr>
            </w:pPr>
            <w:r>
              <w:rPr>
                <w:rFonts w:ascii="Verdana" w:hAnsi="Verdana"/>
                <w:sz w:val="24"/>
              </w:rPr>
              <w:t>For</w:t>
            </w:r>
            <w:r>
              <w:rPr>
                <w:rFonts w:ascii="Verdana" w:hAnsi="Verdana"/>
                <w:spacing w:val="-1"/>
                <w:sz w:val="24"/>
              </w:rPr>
              <w:t> </w:t>
            </w:r>
            <w:r>
              <w:rPr>
                <w:rFonts w:ascii="Verdana" w:hAnsi="Verdana"/>
                <w:sz w:val="24"/>
              </w:rPr>
              <w:t>the</w:t>
            </w:r>
            <w:r>
              <w:rPr>
                <w:rFonts w:ascii="Verdana" w:hAnsi="Verdana"/>
                <w:spacing w:val="-5"/>
                <w:sz w:val="24"/>
              </w:rPr>
              <w:t> </w:t>
            </w:r>
            <w:r>
              <w:rPr>
                <w:rFonts w:ascii="Verdana" w:hAnsi="Verdana"/>
                <w:sz w:val="24"/>
              </w:rPr>
              <w:t>Terms</w:t>
            </w:r>
            <w:r>
              <w:rPr>
                <w:rFonts w:ascii="Verdana" w:hAnsi="Verdana"/>
                <w:spacing w:val="-3"/>
                <w:sz w:val="24"/>
              </w:rPr>
              <w:t> </w:t>
            </w:r>
            <w:r>
              <w:rPr>
                <w:rFonts w:ascii="Verdana" w:hAnsi="Verdana"/>
                <w:sz w:val="24"/>
              </w:rPr>
              <w:t>of</w:t>
            </w:r>
            <w:r>
              <w:rPr>
                <w:rFonts w:ascii="Verdana" w:hAnsi="Verdana"/>
                <w:spacing w:val="-2"/>
                <w:sz w:val="24"/>
              </w:rPr>
              <w:t> </w:t>
            </w:r>
            <w:r>
              <w:rPr>
                <w:rFonts w:ascii="Verdana" w:hAnsi="Verdana"/>
                <w:sz w:val="24"/>
              </w:rPr>
              <w:t>Reference</w:t>
            </w:r>
            <w:r>
              <w:rPr>
                <w:rFonts w:ascii="Verdana" w:hAnsi="Verdana"/>
                <w:spacing w:val="2"/>
                <w:sz w:val="24"/>
              </w:rPr>
              <w:t> </w:t>
            </w:r>
            <w:r>
              <w:rPr>
                <w:rFonts w:ascii="Verdana" w:hAnsi="Verdana"/>
                <w:sz w:val="24"/>
              </w:rPr>
              <w:t>to</w:t>
            </w:r>
            <w:r>
              <w:rPr>
                <w:rFonts w:ascii="Verdana" w:hAnsi="Verdana"/>
                <w:spacing w:val="-3"/>
                <w:sz w:val="24"/>
              </w:rPr>
              <w:t> </w:t>
            </w:r>
            <w:r>
              <w:rPr>
                <w:rFonts w:ascii="Verdana" w:hAnsi="Verdana"/>
                <w:sz w:val="24"/>
              </w:rPr>
              <w:t>better</w:t>
            </w:r>
            <w:r>
              <w:rPr>
                <w:rFonts w:ascii="Verdana" w:hAnsi="Verdana"/>
                <w:spacing w:val="-4"/>
                <w:sz w:val="24"/>
              </w:rPr>
              <w:t> </w:t>
            </w:r>
            <w:r>
              <w:rPr>
                <w:rFonts w:ascii="Verdana" w:hAnsi="Verdana"/>
                <w:sz w:val="24"/>
              </w:rPr>
              <w:t>articulate</w:t>
            </w:r>
            <w:r>
              <w:rPr>
                <w:rFonts w:ascii="Verdana" w:hAnsi="Verdana"/>
                <w:spacing w:val="-1"/>
                <w:sz w:val="24"/>
              </w:rPr>
              <w:t> </w:t>
            </w:r>
            <w:r>
              <w:rPr>
                <w:rFonts w:ascii="Verdana" w:hAnsi="Verdana"/>
                <w:spacing w:val="-5"/>
                <w:sz w:val="24"/>
              </w:rPr>
              <w:t>the</w:t>
            </w:r>
          </w:p>
          <w:p>
            <w:pPr>
              <w:pStyle w:val="TableParagraph"/>
              <w:spacing w:line="242" w:lineRule="auto"/>
              <w:ind w:left="800" w:right="194"/>
              <w:rPr>
                <w:rFonts w:ascii="Verdana" w:hAnsi="Verdana"/>
                <w:sz w:val="24"/>
              </w:rPr>
            </w:pPr>
            <w:r>
              <w:rPr>
                <w:rFonts w:ascii="Verdana" w:hAnsi="Verdana"/>
                <w:sz w:val="24"/>
              </w:rPr>
              <w:t>Committee’s</w:t>
            </w:r>
            <w:r>
              <w:rPr>
                <w:rFonts w:ascii="Verdana" w:hAnsi="Verdana"/>
                <w:spacing w:val="-10"/>
                <w:sz w:val="24"/>
              </w:rPr>
              <w:t> </w:t>
            </w:r>
            <w:r>
              <w:rPr>
                <w:rFonts w:ascii="Verdana" w:hAnsi="Verdana"/>
                <w:sz w:val="24"/>
              </w:rPr>
              <w:t>responsibility</w:t>
            </w:r>
            <w:r>
              <w:rPr>
                <w:rFonts w:ascii="Verdana" w:hAnsi="Verdana"/>
                <w:spacing w:val="-9"/>
                <w:sz w:val="24"/>
              </w:rPr>
              <w:t> </w:t>
            </w:r>
            <w:r>
              <w:rPr>
                <w:rFonts w:ascii="Verdana" w:hAnsi="Verdana"/>
                <w:sz w:val="24"/>
              </w:rPr>
              <w:t>for</w:t>
            </w:r>
            <w:r>
              <w:rPr>
                <w:rFonts w:ascii="Verdana" w:hAnsi="Verdana"/>
                <w:spacing w:val="-5"/>
                <w:sz w:val="24"/>
              </w:rPr>
              <w:t> </w:t>
            </w:r>
            <w:r>
              <w:rPr>
                <w:rFonts w:ascii="Verdana" w:hAnsi="Verdana"/>
                <w:sz w:val="24"/>
              </w:rPr>
              <w:t>overseeing</w:t>
            </w:r>
            <w:r>
              <w:rPr>
                <w:rFonts w:ascii="Verdana" w:hAnsi="Verdana"/>
                <w:spacing w:val="-6"/>
                <w:sz w:val="24"/>
              </w:rPr>
              <w:t> </w:t>
            </w:r>
            <w:r>
              <w:rPr>
                <w:rFonts w:ascii="Verdana" w:hAnsi="Verdana"/>
                <w:sz w:val="24"/>
              </w:rPr>
              <w:t>system</w:t>
            </w:r>
            <w:r>
              <w:rPr>
                <w:rFonts w:ascii="Cambria Math" w:hAnsi="Cambria Math"/>
                <w:sz w:val="24"/>
              </w:rPr>
              <w:t>‑</w:t>
            </w:r>
            <w:r>
              <w:rPr>
                <w:rFonts w:ascii="Verdana" w:hAnsi="Verdana"/>
                <w:sz w:val="24"/>
              </w:rPr>
              <w:t>wide</w:t>
            </w:r>
            <w:r>
              <w:rPr>
                <w:rFonts w:ascii="Verdana" w:hAnsi="Verdana"/>
                <w:spacing w:val="-4"/>
                <w:sz w:val="24"/>
              </w:rPr>
              <w:t> </w:t>
            </w:r>
            <w:r>
              <w:rPr>
                <w:rFonts w:ascii="Verdana" w:hAnsi="Verdana"/>
                <w:sz w:val="24"/>
              </w:rPr>
              <w:t>and strategic matters (including assurance beyond individual sub</w:t>
            </w:r>
            <w:r>
              <w:rPr>
                <w:rFonts w:ascii="Cambria Math" w:hAnsi="Cambria Math"/>
                <w:sz w:val="24"/>
              </w:rPr>
              <w:t>‑</w:t>
            </w:r>
            <w:r>
              <w:rPr>
                <w:rFonts w:ascii="Verdana" w:hAnsi="Verdana"/>
                <w:sz w:val="24"/>
              </w:rPr>
              <w:t>groups), consistent with the Ministerial Direction and expectations of a Regional Joint Committee.</w:t>
            </w:r>
          </w:p>
          <w:p>
            <w:pPr>
              <w:pStyle w:val="TableParagraph"/>
              <w:numPr>
                <w:ilvl w:val="0"/>
                <w:numId w:val="111"/>
              </w:numPr>
              <w:tabs>
                <w:tab w:pos="800" w:val="left" w:leader="none"/>
              </w:tabs>
              <w:spacing w:line="240" w:lineRule="auto" w:before="0" w:after="0"/>
              <w:ind w:left="800" w:right="226" w:hanging="361"/>
              <w:jc w:val="left"/>
              <w:rPr>
                <w:rFonts w:ascii="Verdana" w:hAnsi="Verdana"/>
                <w:sz w:val="24"/>
              </w:rPr>
            </w:pPr>
            <w:r>
              <w:rPr>
                <w:rFonts w:ascii="Verdana" w:hAnsi="Verdana"/>
                <w:sz w:val="24"/>
              </w:rPr>
              <w:t>For the Terms of Reference to be supported by clearer, outcome</w:t>
            </w:r>
            <w:r>
              <w:rPr>
                <w:rFonts w:ascii="Cambria Math" w:hAnsi="Cambria Math"/>
                <w:sz w:val="24"/>
              </w:rPr>
              <w:t>‑</w:t>
            </w:r>
            <w:r>
              <w:rPr>
                <w:rFonts w:ascii="Verdana" w:hAnsi="Verdana"/>
                <w:sz w:val="24"/>
              </w:rPr>
              <w:t>focused objectives.</w:t>
            </w:r>
            <w:r>
              <w:rPr>
                <w:rFonts w:ascii="Verdana" w:hAnsi="Verdana"/>
                <w:spacing w:val="40"/>
                <w:sz w:val="24"/>
              </w:rPr>
              <w:t> </w:t>
            </w:r>
            <w:r>
              <w:rPr>
                <w:rFonts w:ascii="Verdana" w:hAnsi="Verdana"/>
                <w:sz w:val="24"/>
              </w:rPr>
              <w:t>This included agreement that Directors of Governance should work with the Leads for the Finance &amp; Contracting Subgroup and the Workforce &amp; OD Subgroup to develop and align objectives within the RJC Terms</w:t>
            </w:r>
            <w:r>
              <w:rPr>
                <w:rFonts w:ascii="Verdana" w:hAnsi="Verdana"/>
                <w:spacing w:val="-6"/>
                <w:sz w:val="24"/>
              </w:rPr>
              <w:t> </w:t>
            </w:r>
            <w:r>
              <w:rPr>
                <w:rFonts w:ascii="Verdana" w:hAnsi="Verdana"/>
                <w:sz w:val="24"/>
              </w:rPr>
              <w:t>of</w:t>
            </w:r>
            <w:r>
              <w:rPr>
                <w:rFonts w:ascii="Verdana" w:hAnsi="Verdana"/>
                <w:spacing w:val="-6"/>
                <w:sz w:val="24"/>
              </w:rPr>
              <w:t> </w:t>
            </w:r>
            <w:r>
              <w:rPr>
                <w:rFonts w:ascii="Verdana" w:hAnsi="Verdana"/>
                <w:sz w:val="24"/>
              </w:rPr>
              <w:t>Reference,</w:t>
            </w:r>
            <w:r>
              <w:rPr>
                <w:rFonts w:ascii="Verdana" w:hAnsi="Verdana"/>
                <w:spacing w:val="-4"/>
                <w:sz w:val="24"/>
              </w:rPr>
              <w:t> </w:t>
            </w:r>
            <w:r>
              <w:rPr>
                <w:rFonts w:ascii="Verdana" w:hAnsi="Verdana"/>
                <w:sz w:val="24"/>
              </w:rPr>
              <w:t>ensuring</w:t>
            </w:r>
            <w:r>
              <w:rPr>
                <w:rFonts w:ascii="Verdana" w:hAnsi="Verdana"/>
                <w:spacing w:val="-6"/>
                <w:sz w:val="24"/>
              </w:rPr>
              <w:t> </w:t>
            </w:r>
            <w:r>
              <w:rPr>
                <w:rFonts w:ascii="Verdana" w:hAnsi="Verdana"/>
                <w:sz w:val="24"/>
              </w:rPr>
              <w:t>consistency</w:t>
            </w:r>
            <w:r>
              <w:rPr>
                <w:rFonts w:ascii="Verdana" w:hAnsi="Verdana"/>
                <w:spacing w:val="-8"/>
                <w:sz w:val="24"/>
              </w:rPr>
              <w:t> </w:t>
            </w:r>
            <w:r>
              <w:rPr>
                <w:rFonts w:ascii="Verdana" w:hAnsi="Verdana"/>
                <w:sz w:val="24"/>
              </w:rPr>
              <w:t>across</w:t>
            </w:r>
            <w:r>
              <w:rPr>
                <w:rFonts w:ascii="Verdana" w:hAnsi="Verdana"/>
                <w:spacing w:val="-6"/>
                <w:sz w:val="24"/>
              </w:rPr>
              <w:t> </w:t>
            </w:r>
            <w:r>
              <w:rPr>
                <w:rFonts w:ascii="Verdana" w:hAnsi="Verdana"/>
                <w:sz w:val="24"/>
              </w:rPr>
              <w:t>governance, finance and workforce responsibilities.</w:t>
            </w:r>
          </w:p>
          <w:p>
            <w:pPr>
              <w:pStyle w:val="TableParagraph"/>
              <w:spacing w:before="4"/>
              <w:rPr>
                <w:b/>
                <w:sz w:val="24"/>
              </w:rPr>
            </w:pPr>
          </w:p>
          <w:p>
            <w:pPr>
              <w:pStyle w:val="TableParagraph"/>
              <w:spacing w:before="1"/>
              <w:ind w:left="79" w:right="194"/>
              <w:rPr>
                <w:rFonts w:ascii="Verdana"/>
                <w:sz w:val="24"/>
              </w:rPr>
            </w:pPr>
            <w:r>
              <w:rPr>
                <w:rFonts w:ascii="Verdana"/>
                <w:sz w:val="24"/>
              </w:rPr>
              <w:t>It</w:t>
            </w:r>
            <w:r>
              <w:rPr>
                <w:rFonts w:ascii="Verdana"/>
                <w:spacing w:val="-5"/>
                <w:sz w:val="24"/>
              </w:rPr>
              <w:t> </w:t>
            </w:r>
            <w:r>
              <w:rPr>
                <w:rFonts w:ascii="Verdana"/>
                <w:sz w:val="24"/>
              </w:rPr>
              <w:t>was</w:t>
            </w:r>
            <w:r>
              <w:rPr>
                <w:rFonts w:ascii="Verdana"/>
                <w:spacing w:val="-5"/>
                <w:sz w:val="24"/>
              </w:rPr>
              <w:t> </w:t>
            </w:r>
            <w:r>
              <w:rPr>
                <w:rFonts w:ascii="Verdana"/>
                <w:sz w:val="24"/>
              </w:rPr>
              <w:t>agreed</w:t>
            </w:r>
            <w:r>
              <w:rPr>
                <w:rFonts w:ascii="Verdana"/>
                <w:spacing w:val="-5"/>
                <w:sz w:val="24"/>
              </w:rPr>
              <w:t> </w:t>
            </w:r>
            <w:r>
              <w:rPr>
                <w:rFonts w:ascii="Verdana"/>
                <w:sz w:val="24"/>
              </w:rPr>
              <w:t>that</w:t>
            </w:r>
            <w:r>
              <w:rPr>
                <w:rFonts w:ascii="Verdana"/>
                <w:spacing w:val="-2"/>
                <w:sz w:val="24"/>
              </w:rPr>
              <w:t> </w:t>
            </w:r>
            <w:r>
              <w:rPr>
                <w:rFonts w:ascii="Verdana"/>
                <w:sz w:val="24"/>
              </w:rPr>
              <w:t>the</w:t>
            </w:r>
            <w:r>
              <w:rPr>
                <w:rFonts w:ascii="Verdana"/>
                <w:spacing w:val="-8"/>
                <w:sz w:val="24"/>
              </w:rPr>
              <w:t> </w:t>
            </w:r>
            <w:r>
              <w:rPr>
                <w:rFonts w:ascii="Verdana"/>
                <w:sz w:val="24"/>
              </w:rPr>
              <w:t>required</w:t>
            </w:r>
            <w:r>
              <w:rPr>
                <w:rFonts w:ascii="Verdana"/>
                <w:spacing w:val="-3"/>
                <w:sz w:val="24"/>
              </w:rPr>
              <w:t> </w:t>
            </w:r>
            <w:r>
              <w:rPr>
                <w:rFonts w:ascii="Verdana"/>
                <w:sz w:val="24"/>
              </w:rPr>
              <w:t>minor</w:t>
            </w:r>
            <w:r>
              <w:rPr>
                <w:rFonts w:ascii="Verdana"/>
                <w:spacing w:val="-4"/>
                <w:sz w:val="24"/>
              </w:rPr>
              <w:t> </w:t>
            </w:r>
            <w:r>
              <w:rPr>
                <w:rFonts w:ascii="Verdana"/>
                <w:sz w:val="24"/>
              </w:rPr>
              <w:t>consequential</w:t>
            </w:r>
            <w:r>
              <w:rPr>
                <w:rFonts w:ascii="Verdana"/>
                <w:spacing w:val="-6"/>
                <w:sz w:val="24"/>
              </w:rPr>
              <w:t> </w:t>
            </w:r>
            <w:r>
              <w:rPr>
                <w:rFonts w:ascii="Verdana"/>
                <w:sz w:val="24"/>
              </w:rPr>
              <w:t>changes</w:t>
            </w:r>
            <w:r>
              <w:rPr>
                <w:rFonts w:ascii="Verdana"/>
                <w:spacing w:val="-5"/>
                <w:sz w:val="24"/>
              </w:rPr>
              <w:t> </w:t>
            </w:r>
            <w:r>
              <w:rPr>
                <w:rFonts w:ascii="Verdana"/>
                <w:sz w:val="24"/>
              </w:rPr>
              <w:t>would be made to reflect the above discussions, with final revisions to be agreed by</w:t>
            </w:r>
            <w:r>
              <w:rPr>
                <w:rFonts w:ascii="Verdana"/>
                <w:spacing w:val="-3"/>
                <w:sz w:val="24"/>
              </w:rPr>
              <w:t> </w:t>
            </w:r>
            <w:r>
              <w:rPr>
                <w:rFonts w:ascii="Verdana"/>
                <w:sz w:val="24"/>
              </w:rPr>
              <w:t>the Chairs</w:t>
            </w:r>
            <w:r>
              <w:rPr>
                <w:rFonts w:ascii="Verdana"/>
                <w:spacing w:val="-6"/>
                <w:sz w:val="24"/>
              </w:rPr>
              <w:t> </w:t>
            </w:r>
            <w:r>
              <w:rPr>
                <w:rFonts w:ascii="Verdana"/>
                <w:sz w:val="24"/>
              </w:rPr>
              <w:t>outside of</w:t>
            </w:r>
            <w:r>
              <w:rPr>
                <w:rFonts w:ascii="Verdana"/>
                <w:spacing w:val="-1"/>
                <w:sz w:val="24"/>
              </w:rPr>
              <w:t> </w:t>
            </w:r>
            <w:r>
              <w:rPr>
                <w:rFonts w:ascii="Verdana"/>
                <w:sz w:val="24"/>
              </w:rPr>
              <w:t>the meeting</w:t>
            </w:r>
            <w:r>
              <w:rPr>
                <w:rFonts w:ascii="Verdana"/>
                <w:spacing w:val="-1"/>
                <w:sz w:val="24"/>
              </w:rPr>
              <w:t> </w:t>
            </w:r>
            <w:r>
              <w:rPr>
                <w:rFonts w:ascii="Verdana"/>
                <w:sz w:val="24"/>
              </w:rPr>
              <w:t>rather than needing</w:t>
            </w:r>
            <w:r>
              <w:rPr>
                <w:rFonts w:ascii="Verdana"/>
                <w:spacing w:val="-1"/>
                <w:sz w:val="24"/>
              </w:rPr>
              <w:t> </w:t>
            </w:r>
            <w:r>
              <w:rPr>
                <w:rFonts w:ascii="Verdana"/>
                <w:sz w:val="24"/>
              </w:rPr>
              <w:t>to be brought back to a future RJC meeting.</w:t>
            </w:r>
          </w:p>
        </w:tc>
        <w:tc>
          <w:tcPr>
            <w:tcW w:w="711" w:type="dxa"/>
          </w:tcPr>
          <w:p>
            <w:pPr>
              <w:pStyle w:val="TableParagraph"/>
              <w:rPr>
                <w:rFonts w:ascii="Times New Roman"/>
                <w:sz w:val="22"/>
              </w:rPr>
            </w:pPr>
          </w:p>
        </w:tc>
      </w:tr>
    </w:tbl>
    <w:p>
      <w:pPr>
        <w:pStyle w:val="BodyText"/>
        <w:spacing w:before="4"/>
        <w:rPr>
          <w:b/>
        </w:rPr>
      </w:pPr>
    </w:p>
    <w:p>
      <w:pPr>
        <w:spacing w:before="1"/>
        <w:ind w:left="0" w:right="180" w:firstLine="0"/>
        <w:jc w:val="right"/>
        <w:rPr>
          <w:b/>
          <w:sz w:val="24"/>
        </w:rPr>
      </w:pPr>
      <w:r>
        <w:rPr>
          <w:sz w:val="24"/>
        </w:rPr>
        <w:t>Page</w:t>
      </w:r>
      <w:r>
        <w:rPr>
          <w:spacing w:val="1"/>
          <w:sz w:val="24"/>
        </w:rPr>
        <w:t> </w:t>
      </w:r>
      <w:r>
        <w:rPr>
          <w:b/>
          <w:sz w:val="24"/>
        </w:rPr>
        <w:t>10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tabs>
          <w:tab w:pos="6507" w:val="left" w:leader="none"/>
        </w:tabs>
        <w:spacing w:line="240" w:lineRule="auto"/>
        <w:ind w:left="140" w:right="0" w:firstLine="0"/>
        <w:rPr>
          <w:sz w:val="20"/>
        </w:rPr>
      </w:pPr>
      <w:r>
        <w:rPr>
          <w:sz w:val="20"/>
        </w:rPr>
        <w:drawing>
          <wp:inline distT="0" distB="0" distL="0" distR="0">
            <wp:extent cx="2470036" cy="542544"/>
            <wp:effectExtent l="0" t="0" r="0" b="0"/>
            <wp:docPr id="799" name="Image 799"/>
            <wp:cNvGraphicFramePr>
              <a:graphicFrameLocks/>
            </wp:cNvGraphicFramePr>
            <a:graphic>
              <a:graphicData uri="http://schemas.openxmlformats.org/drawingml/2006/picture">
                <pic:pic>
                  <pic:nvPicPr>
                    <pic:cNvPr id="799" name="Image 799"/>
                    <pic:cNvPicPr/>
                  </pic:nvPicPr>
                  <pic:blipFill>
                    <a:blip r:embed="rId118" cstate="print"/>
                    <a:stretch>
                      <a:fillRect/>
                    </a:stretch>
                  </pic:blipFill>
                  <pic:spPr>
                    <a:xfrm>
                      <a:off x="0" y="0"/>
                      <a:ext cx="2470036" cy="542544"/>
                    </a:xfrm>
                    <a:prstGeom prst="rect">
                      <a:avLst/>
                    </a:prstGeom>
                  </pic:spPr>
                </pic:pic>
              </a:graphicData>
            </a:graphic>
          </wp:inline>
        </w:drawing>
      </w:r>
      <w:r>
        <w:rPr>
          <w:sz w:val="20"/>
        </w:rPr>
      </w:r>
      <w:r>
        <w:rPr>
          <w:sz w:val="20"/>
        </w:rPr>
        <w:tab/>
      </w:r>
      <w:r>
        <w:rPr>
          <w:sz w:val="20"/>
        </w:rPr>
        <w:drawing>
          <wp:inline distT="0" distB="0" distL="0" distR="0">
            <wp:extent cx="2237740" cy="518159"/>
            <wp:effectExtent l="0" t="0" r="0" b="0"/>
            <wp:docPr id="800" name="Image 800"/>
            <wp:cNvGraphicFramePr>
              <a:graphicFrameLocks/>
            </wp:cNvGraphicFramePr>
            <a:graphic>
              <a:graphicData uri="http://schemas.openxmlformats.org/drawingml/2006/picture">
                <pic:pic>
                  <pic:nvPicPr>
                    <pic:cNvPr id="800" name="Image 800"/>
                    <pic:cNvPicPr/>
                  </pic:nvPicPr>
                  <pic:blipFill>
                    <a:blip r:embed="rId119" cstate="print"/>
                    <a:stretch>
                      <a:fillRect/>
                    </a:stretch>
                  </pic:blipFill>
                  <pic:spPr>
                    <a:xfrm>
                      <a:off x="0" y="0"/>
                      <a:ext cx="2237740" cy="518159"/>
                    </a:xfrm>
                    <a:prstGeom prst="rect">
                      <a:avLst/>
                    </a:prstGeom>
                  </pic:spPr>
                </pic:pic>
              </a:graphicData>
            </a:graphic>
          </wp:inline>
        </w:drawing>
      </w:r>
      <w:r>
        <w:rPr>
          <w:sz w:val="20"/>
        </w:rPr>
      </w:r>
    </w:p>
    <w:p>
      <w:pPr>
        <w:pStyle w:val="BodyText"/>
        <w:spacing w:before="55"/>
        <w:rPr>
          <w:b/>
          <w:sz w:val="20"/>
        </w:rPr>
      </w:pPr>
    </w:p>
    <w:tbl>
      <w:tblPr>
        <w:tblW w:w="0" w:type="auto"/>
        <w:jc w:val="left"/>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8509"/>
        <w:gridCol w:w="711"/>
      </w:tblGrid>
      <w:tr>
        <w:trPr>
          <w:trHeight w:val="1325" w:hRule="atLeast"/>
        </w:trPr>
        <w:tc>
          <w:tcPr>
            <w:tcW w:w="1276" w:type="dxa"/>
          </w:tcPr>
          <w:p>
            <w:pPr>
              <w:pStyle w:val="TableParagraph"/>
              <w:rPr>
                <w:rFonts w:ascii="Times New Roman"/>
                <w:sz w:val="22"/>
              </w:rPr>
            </w:pPr>
          </w:p>
        </w:tc>
        <w:tc>
          <w:tcPr>
            <w:tcW w:w="8509" w:type="dxa"/>
          </w:tcPr>
          <w:p>
            <w:pPr>
              <w:pStyle w:val="TableParagraph"/>
              <w:spacing w:line="291" w:lineRule="exact" w:before="78"/>
              <w:ind w:left="79"/>
              <w:rPr>
                <w:rFonts w:ascii="Verdana"/>
                <w:b/>
                <w:sz w:val="24"/>
              </w:rPr>
            </w:pPr>
            <w:r>
              <w:rPr>
                <w:rFonts w:ascii="Verdana"/>
                <w:b/>
                <w:spacing w:val="-2"/>
                <w:sz w:val="24"/>
              </w:rPr>
              <w:t>Actions/Agreements:</w:t>
            </w:r>
          </w:p>
          <w:p>
            <w:pPr>
              <w:pStyle w:val="TableParagraph"/>
              <w:ind w:left="79" w:right="194"/>
              <w:rPr>
                <w:rFonts w:ascii="Verdana"/>
                <w:sz w:val="24"/>
              </w:rPr>
            </w:pPr>
            <w:r>
              <w:rPr>
                <w:rFonts w:ascii="Verdana"/>
                <w:b/>
                <w:sz w:val="24"/>
              </w:rPr>
              <w:t>ACTION: </w:t>
            </w:r>
            <w:r>
              <w:rPr>
                <w:rFonts w:ascii="Verdana"/>
                <w:sz w:val="24"/>
              </w:rPr>
              <w:t>JWi and HL to work with the RJC Chairs, to finalise the amendments</w:t>
            </w:r>
            <w:r>
              <w:rPr>
                <w:rFonts w:ascii="Verdana"/>
                <w:spacing w:val="-4"/>
                <w:sz w:val="24"/>
              </w:rPr>
              <w:t> </w:t>
            </w:r>
            <w:r>
              <w:rPr>
                <w:rFonts w:ascii="Verdana"/>
                <w:sz w:val="24"/>
              </w:rPr>
              <w:t>to</w:t>
            </w:r>
            <w:r>
              <w:rPr>
                <w:rFonts w:ascii="Verdana"/>
                <w:spacing w:val="-4"/>
                <w:sz w:val="24"/>
              </w:rPr>
              <w:t> </w:t>
            </w:r>
            <w:r>
              <w:rPr>
                <w:rFonts w:ascii="Verdana"/>
                <w:sz w:val="24"/>
              </w:rPr>
              <w:t>the</w:t>
            </w:r>
            <w:r>
              <w:rPr>
                <w:rFonts w:ascii="Verdana"/>
                <w:spacing w:val="-3"/>
                <w:sz w:val="24"/>
              </w:rPr>
              <w:t> </w:t>
            </w:r>
            <w:r>
              <w:rPr>
                <w:rFonts w:ascii="Verdana"/>
                <w:sz w:val="24"/>
              </w:rPr>
              <w:t>RJC Terms</w:t>
            </w:r>
            <w:r>
              <w:rPr>
                <w:rFonts w:ascii="Verdana"/>
                <w:spacing w:val="-4"/>
                <w:sz w:val="24"/>
              </w:rPr>
              <w:t> </w:t>
            </w:r>
            <w:r>
              <w:rPr>
                <w:rFonts w:ascii="Verdana"/>
                <w:sz w:val="24"/>
              </w:rPr>
              <w:t>of</w:t>
            </w:r>
            <w:r>
              <w:rPr>
                <w:rFonts w:ascii="Verdana"/>
                <w:spacing w:val="-4"/>
                <w:sz w:val="24"/>
              </w:rPr>
              <w:t> </w:t>
            </w:r>
            <w:r>
              <w:rPr>
                <w:rFonts w:ascii="Verdana"/>
                <w:sz w:val="24"/>
              </w:rPr>
              <w:t>Reference prior</w:t>
            </w:r>
            <w:r>
              <w:rPr>
                <w:rFonts w:ascii="Verdana"/>
                <w:spacing w:val="-6"/>
                <w:sz w:val="24"/>
              </w:rPr>
              <w:t> </w:t>
            </w:r>
            <w:r>
              <w:rPr>
                <w:rFonts w:ascii="Verdana"/>
                <w:sz w:val="24"/>
              </w:rPr>
              <w:t>to</w:t>
            </w:r>
            <w:r>
              <w:rPr>
                <w:rFonts w:ascii="Verdana"/>
                <w:spacing w:val="-4"/>
                <w:sz w:val="24"/>
              </w:rPr>
              <w:t> </w:t>
            </w:r>
            <w:r>
              <w:rPr>
                <w:rFonts w:ascii="Verdana"/>
                <w:sz w:val="24"/>
              </w:rPr>
              <w:t>Health</w:t>
            </w:r>
            <w:r>
              <w:rPr>
                <w:rFonts w:ascii="Verdana"/>
                <w:spacing w:val="-6"/>
                <w:sz w:val="24"/>
              </w:rPr>
              <w:t> </w:t>
            </w:r>
            <w:r>
              <w:rPr>
                <w:rFonts w:ascii="Verdana"/>
                <w:sz w:val="24"/>
              </w:rPr>
              <w:t>Boards approval, reflecting the discussion held.</w:t>
            </w:r>
          </w:p>
        </w:tc>
        <w:tc>
          <w:tcPr>
            <w:tcW w:w="711" w:type="dxa"/>
            <w:tcBorders>
              <w:bottom w:val="single" w:sz="4" w:space="0" w:color="001F5F"/>
            </w:tcBorders>
          </w:tcPr>
          <w:p>
            <w:pPr>
              <w:pStyle w:val="TableParagraph"/>
              <w:rPr>
                <w:rFonts w:ascii="Times New Roman"/>
                <w:sz w:val="22"/>
              </w:rPr>
            </w:pPr>
          </w:p>
        </w:tc>
      </w:tr>
      <w:tr>
        <w:trPr>
          <w:trHeight w:val="665" w:hRule="atLeast"/>
        </w:trPr>
        <w:tc>
          <w:tcPr>
            <w:tcW w:w="10496" w:type="dxa"/>
            <w:gridSpan w:val="3"/>
            <w:tcBorders>
              <w:bottom w:val="single" w:sz="36" w:space="0" w:color="001F5F"/>
            </w:tcBorders>
            <w:shd w:val="clear" w:color="auto" w:fill="001F5F"/>
          </w:tcPr>
          <w:p>
            <w:pPr>
              <w:pStyle w:val="TableParagraph"/>
              <w:spacing w:line="290" w:lineRule="atLeast" w:before="62"/>
              <w:ind w:left="4136" w:hanging="3662"/>
              <w:rPr>
                <w:rFonts w:ascii="Verdana"/>
                <w:b/>
                <w:sz w:val="24"/>
              </w:rPr>
            </w:pPr>
            <w:r>
              <w:rPr>
                <w:rFonts w:ascii="Verdana"/>
                <w:b/>
                <w:sz w:val="24"/>
              </w:rPr>
              <mc:AlternateContent>
                <mc:Choice Requires="wps">
                  <w:drawing>
                    <wp:anchor distT="0" distB="0" distL="0" distR="0" allowOverlap="1" layoutInCell="1" locked="0" behindDoc="1" simplePos="0" relativeHeight="477238272">
                      <wp:simplePos x="0" y="0"/>
                      <wp:positionH relativeFrom="column">
                        <wp:posOffset>314214</wp:posOffset>
                      </wp:positionH>
                      <wp:positionV relativeFrom="paragraph">
                        <wp:posOffset>201904</wp:posOffset>
                      </wp:positionV>
                      <wp:extent cx="5452745" cy="5744845"/>
                      <wp:effectExtent l="0" t="0" r="0" b="0"/>
                      <wp:wrapNone/>
                      <wp:docPr id="801" name="Group 801"/>
                      <wp:cNvGraphicFramePr>
                        <a:graphicFrameLocks/>
                      </wp:cNvGraphicFramePr>
                      <a:graphic>
                        <a:graphicData uri="http://schemas.microsoft.com/office/word/2010/wordprocessingGroup">
                          <wpg:wgp>
                            <wpg:cNvPr id="801" name="Group 801"/>
                            <wpg:cNvGrpSpPr/>
                            <wpg:grpSpPr>
                              <a:xfrm>
                                <a:off x="0" y="0"/>
                                <a:ext cx="5452745" cy="5744845"/>
                                <a:chExt cx="5452745" cy="5744845"/>
                              </a:xfrm>
                            </wpg:grpSpPr>
                            <wps:wsp>
                              <wps:cNvPr id="802" name="Graphic 802"/>
                              <wps:cNvSpPr/>
                              <wps:spPr>
                                <a:xfrm>
                                  <a:off x="-3" y="0"/>
                                  <a:ext cx="5452745" cy="5744845"/>
                                </a:xfrm>
                                <a:custGeom>
                                  <a:avLst/>
                                  <a:gdLst/>
                                  <a:ahLst/>
                                  <a:cxnLst/>
                                  <a:rect l="l" t="t" r="r" b="b"/>
                                  <a:pathLst>
                                    <a:path w="5452745" h="5744845">
                                      <a:moveTo>
                                        <a:pt x="2225992" y="5124297"/>
                                      </a:moveTo>
                                      <a:lnTo>
                                        <a:pt x="2222487" y="5077307"/>
                                      </a:lnTo>
                                      <a:lnTo>
                                        <a:pt x="2215375" y="5029060"/>
                                      </a:lnTo>
                                      <a:lnTo>
                                        <a:pt x="2204580" y="4979657"/>
                                      </a:lnTo>
                                      <a:lnTo>
                                        <a:pt x="2190038" y="4929124"/>
                                      </a:lnTo>
                                      <a:lnTo>
                                        <a:pt x="2176208" y="4889068"/>
                                      </a:lnTo>
                                      <a:lnTo>
                                        <a:pt x="2160257" y="4848225"/>
                                      </a:lnTo>
                                      <a:lnTo>
                                        <a:pt x="2142172" y="4806581"/>
                                      </a:lnTo>
                                      <a:lnTo>
                                        <a:pt x="2121903" y="4764138"/>
                                      </a:lnTo>
                                      <a:lnTo>
                                        <a:pt x="2099424" y="4720882"/>
                                      </a:lnTo>
                                      <a:lnTo>
                                        <a:pt x="2074697" y="4676813"/>
                                      </a:lnTo>
                                      <a:lnTo>
                                        <a:pt x="2047697" y="4631918"/>
                                      </a:lnTo>
                                      <a:lnTo>
                                        <a:pt x="2018372" y="4586186"/>
                                      </a:lnTo>
                                      <a:lnTo>
                                        <a:pt x="1986711" y="4539615"/>
                                      </a:lnTo>
                                      <a:lnTo>
                                        <a:pt x="1980031" y="4530217"/>
                                      </a:lnTo>
                                      <a:lnTo>
                                        <a:pt x="1980031" y="5071021"/>
                                      </a:lnTo>
                                      <a:lnTo>
                                        <a:pt x="1975281" y="5115306"/>
                                      </a:lnTo>
                                      <a:lnTo>
                                        <a:pt x="1965083" y="5158054"/>
                                      </a:lnTo>
                                      <a:lnTo>
                                        <a:pt x="1948738" y="5199240"/>
                                      </a:lnTo>
                                      <a:lnTo>
                                        <a:pt x="1926336" y="5239055"/>
                                      </a:lnTo>
                                      <a:lnTo>
                                        <a:pt x="1897976" y="5277650"/>
                                      </a:lnTo>
                                      <a:lnTo>
                                        <a:pt x="1863775" y="5315204"/>
                                      </a:lnTo>
                                      <a:lnTo>
                                        <a:pt x="1731822" y="5447157"/>
                                      </a:lnTo>
                                      <a:lnTo>
                                        <a:pt x="296837" y="4012184"/>
                                      </a:lnTo>
                                      <a:lnTo>
                                        <a:pt x="427278" y="3881755"/>
                                      </a:lnTo>
                                      <a:lnTo>
                                        <a:pt x="467677" y="3845382"/>
                                      </a:lnTo>
                                      <a:lnTo>
                                        <a:pt x="509371" y="3815943"/>
                                      </a:lnTo>
                                      <a:lnTo>
                                        <a:pt x="552475" y="3793617"/>
                                      </a:lnTo>
                                      <a:lnTo>
                                        <a:pt x="597039" y="3778631"/>
                                      </a:lnTo>
                                      <a:lnTo>
                                        <a:pt x="643178" y="3771138"/>
                                      </a:lnTo>
                                      <a:lnTo>
                                        <a:pt x="690714" y="3769766"/>
                                      </a:lnTo>
                                      <a:lnTo>
                                        <a:pt x="739635" y="3773005"/>
                                      </a:lnTo>
                                      <a:lnTo>
                                        <a:pt x="789965" y="3781107"/>
                                      </a:lnTo>
                                      <a:lnTo>
                                        <a:pt x="841743" y="3794366"/>
                                      </a:lnTo>
                                      <a:lnTo>
                                        <a:pt x="895019" y="3813048"/>
                                      </a:lnTo>
                                      <a:lnTo>
                                        <a:pt x="940371" y="3832364"/>
                                      </a:lnTo>
                                      <a:lnTo>
                                        <a:pt x="986472" y="3854640"/>
                                      </a:lnTo>
                                      <a:lnTo>
                                        <a:pt x="1033297" y="3879951"/>
                                      </a:lnTo>
                                      <a:lnTo>
                                        <a:pt x="1080795" y="3908374"/>
                                      </a:lnTo>
                                      <a:lnTo>
                                        <a:pt x="1128903" y="3939984"/>
                                      </a:lnTo>
                                      <a:lnTo>
                                        <a:pt x="1177594" y="3974846"/>
                                      </a:lnTo>
                                      <a:lnTo>
                                        <a:pt x="1214882" y="4003332"/>
                                      </a:lnTo>
                                      <a:lnTo>
                                        <a:pt x="1252194" y="4032910"/>
                                      </a:lnTo>
                                      <a:lnTo>
                                        <a:pt x="1289507" y="4063593"/>
                                      </a:lnTo>
                                      <a:lnTo>
                                        <a:pt x="1326845" y="4095419"/>
                                      </a:lnTo>
                                      <a:lnTo>
                                        <a:pt x="1364183" y="4128439"/>
                                      </a:lnTo>
                                      <a:lnTo>
                                        <a:pt x="1401546" y="4162679"/>
                                      </a:lnTo>
                                      <a:lnTo>
                                        <a:pt x="1438910" y="4198175"/>
                                      </a:lnTo>
                                      <a:lnTo>
                                        <a:pt x="1476298" y="4234942"/>
                                      </a:lnTo>
                                      <a:lnTo>
                                        <a:pt x="1517218" y="4276356"/>
                                      </a:lnTo>
                                      <a:lnTo>
                                        <a:pt x="1556359" y="4317009"/>
                                      </a:lnTo>
                                      <a:lnTo>
                                        <a:pt x="1593697" y="4356913"/>
                                      </a:lnTo>
                                      <a:lnTo>
                                        <a:pt x="1629257" y="4396067"/>
                                      </a:lnTo>
                                      <a:lnTo>
                                        <a:pt x="1663052" y="4434471"/>
                                      </a:lnTo>
                                      <a:lnTo>
                                        <a:pt x="1695056" y="4472140"/>
                                      </a:lnTo>
                                      <a:lnTo>
                                        <a:pt x="1725282" y="4509046"/>
                                      </a:lnTo>
                                      <a:lnTo>
                                        <a:pt x="1753755" y="4545215"/>
                                      </a:lnTo>
                                      <a:lnTo>
                                        <a:pt x="1780463" y="4580636"/>
                                      </a:lnTo>
                                      <a:lnTo>
                                        <a:pt x="1812632" y="4625772"/>
                                      </a:lnTo>
                                      <a:lnTo>
                                        <a:pt x="1841766" y="4669815"/>
                                      </a:lnTo>
                                      <a:lnTo>
                                        <a:pt x="1867954" y="4712792"/>
                                      </a:lnTo>
                                      <a:lnTo>
                                        <a:pt x="1891322" y="4754715"/>
                                      </a:lnTo>
                                      <a:lnTo>
                                        <a:pt x="1911985" y="4795596"/>
                                      </a:lnTo>
                                      <a:lnTo>
                                        <a:pt x="1930069" y="4835436"/>
                                      </a:lnTo>
                                      <a:lnTo>
                                        <a:pt x="1945690" y="4874260"/>
                                      </a:lnTo>
                                      <a:lnTo>
                                        <a:pt x="1962886" y="4926673"/>
                                      </a:lnTo>
                                      <a:lnTo>
                                        <a:pt x="1974138" y="4976838"/>
                                      </a:lnTo>
                                      <a:lnTo>
                                        <a:pt x="1979752" y="5024907"/>
                                      </a:lnTo>
                                      <a:lnTo>
                                        <a:pt x="1980031" y="5071021"/>
                                      </a:lnTo>
                                      <a:lnTo>
                                        <a:pt x="1980031" y="4530217"/>
                                      </a:lnTo>
                                      <a:lnTo>
                                        <a:pt x="1935492" y="4468939"/>
                                      </a:lnTo>
                                      <a:lnTo>
                                        <a:pt x="1907921" y="4432935"/>
                                      </a:lnTo>
                                      <a:lnTo>
                                        <a:pt x="1879041" y="4396511"/>
                                      </a:lnTo>
                                      <a:lnTo>
                                        <a:pt x="1848840" y="4359643"/>
                                      </a:lnTo>
                                      <a:lnTo>
                                        <a:pt x="1817344" y="4322356"/>
                                      </a:lnTo>
                                      <a:lnTo>
                                        <a:pt x="1784553" y="4284650"/>
                                      </a:lnTo>
                                      <a:lnTo>
                                        <a:pt x="1750453" y="4246537"/>
                                      </a:lnTo>
                                      <a:lnTo>
                                        <a:pt x="1715058" y="4208005"/>
                                      </a:lnTo>
                                      <a:lnTo>
                                        <a:pt x="1678381" y="4169079"/>
                                      </a:lnTo>
                                      <a:lnTo>
                                        <a:pt x="1640395" y="4129760"/>
                                      </a:lnTo>
                                      <a:lnTo>
                                        <a:pt x="1601139" y="4090035"/>
                                      </a:lnTo>
                                      <a:lnTo>
                                        <a:pt x="1559763" y="4049280"/>
                                      </a:lnTo>
                                      <a:lnTo>
                                        <a:pt x="1518589" y="4009898"/>
                                      </a:lnTo>
                                      <a:lnTo>
                                        <a:pt x="1477606" y="3971925"/>
                                      </a:lnTo>
                                      <a:lnTo>
                                        <a:pt x="1436852" y="3935361"/>
                                      </a:lnTo>
                                      <a:lnTo>
                                        <a:pt x="1396339" y="3900220"/>
                                      </a:lnTo>
                                      <a:lnTo>
                                        <a:pt x="1356093" y="3866540"/>
                                      </a:lnTo>
                                      <a:lnTo>
                                        <a:pt x="1316113" y="3834307"/>
                                      </a:lnTo>
                                      <a:lnTo>
                                        <a:pt x="1276438" y="3803548"/>
                                      </a:lnTo>
                                      <a:lnTo>
                                        <a:pt x="1237068" y="3774275"/>
                                      </a:lnTo>
                                      <a:lnTo>
                                        <a:pt x="1198041" y="3746500"/>
                                      </a:lnTo>
                                      <a:lnTo>
                                        <a:pt x="1149705" y="3714000"/>
                                      </a:lnTo>
                                      <a:lnTo>
                                        <a:pt x="1101877" y="3683990"/>
                                      </a:lnTo>
                                      <a:lnTo>
                                        <a:pt x="1054582" y="3656406"/>
                                      </a:lnTo>
                                      <a:lnTo>
                                        <a:pt x="1007859" y="3631209"/>
                                      </a:lnTo>
                                      <a:lnTo>
                                        <a:pt x="961720" y="3608311"/>
                                      </a:lnTo>
                                      <a:lnTo>
                                        <a:pt x="916216" y="3587686"/>
                                      </a:lnTo>
                                      <a:lnTo>
                                        <a:pt x="871359" y="3569246"/>
                                      </a:lnTo>
                                      <a:lnTo>
                                        <a:pt x="827201" y="3552952"/>
                                      </a:lnTo>
                                      <a:lnTo>
                                        <a:pt x="777875" y="3538270"/>
                                      </a:lnTo>
                                      <a:lnTo>
                                        <a:pt x="729551" y="3527018"/>
                                      </a:lnTo>
                                      <a:lnTo>
                                        <a:pt x="682244" y="3519157"/>
                                      </a:lnTo>
                                      <a:lnTo>
                                        <a:pt x="635990" y="3514610"/>
                                      </a:lnTo>
                                      <a:lnTo>
                                        <a:pt x="590791" y="3513315"/>
                                      </a:lnTo>
                                      <a:lnTo>
                                        <a:pt x="546696" y="3515195"/>
                                      </a:lnTo>
                                      <a:lnTo>
                                        <a:pt x="503732" y="3520186"/>
                                      </a:lnTo>
                                      <a:lnTo>
                                        <a:pt x="455002" y="3530777"/>
                                      </a:lnTo>
                                      <a:lnTo>
                                        <a:pt x="407619" y="3547313"/>
                                      </a:lnTo>
                                      <a:lnTo>
                                        <a:pt x="361543" y="3569690"/>
                                      </a:lnTo>
                                      <a:lnTo>
                                        <a:pt x="316738" y="3597757"/>
                                      </a:lnTo>
                                      <a:lnTo>
                                        <a:pt x="273189" y="3631387"/>
                                      </a:lnTo>
                                      <a:lnTo>
                                        <a:pt x="230860" y="3670427"/>
                                      </a:lnTo>
                                      <a:lnTo>
                                        <a:pt x="12598" y="3888740"/>
                                      </a:lnTo>
                                      <a:lnTo>
                                        <a:pt x="0" y="3925354"/>
                                      </a:lnTo>
                                      <a:lnTo>
                                        <a:pt x="1905" y="3942207"/>
                                      </a:lnTo>
                                      <a:lnTo>
                                        <a:pt x="21437" y="3985107"/>
                                      </a:lnTo>
                                      <a:lnTo>
                                        <a:pt x="64643" y="4036187"/>
                                      </a:lnTo>
                                      <a:lnTo>
                                        <a:pt x="1709216" y="5680710"/>
                                      </a:lnTo>
                                      <a:lnTo>
                                        <a:pt x="1760118" y="5723763"/>
                                      </a:lnTo>
                                      <a:lnTo>
                                        <a:pt x="1801799" y="5742051"/>
                                      </a:lnTo>
                                      <a:lnTo>
                                        <a:pt x="1819516" y="5744807"/>
                                      </a:lnTo>
                                      <a:lnTo>
                                        <a:pt x="1834565" y="5743943"/>
                                      </a:lnTo>
                                      <a:lnTo>
                                        <a:pt x="2060752" y="5528564"/>
                                      </a:lnTo>
                                      <a:lnTo>
                                        <a:pt x="2099513" y="5486628"/>
                                      </a:lnTo>
                                      <a:lnTo>
                                        <a:pt x="2130158" y="5447157"/>
                                      </a:lnTo>
                                      <a:lnTo>
                                        <a:pt x="2161527" y="5398770"/>
                                      </a:lnTo>
                                      <a:lnTo>
                                        <a:pt x="2184730" y="5352872"/>
                                      </a:lnTo>
                                      <a:lnTo>
                                        <a:pt x="2202700" y="5305679"/>
                                      </a:lnTo>
                                      <a:lnTo>
                                        <a:pt x="2215438" y="5257165"/>
                                      </a:lnTo>
                                      <a:lnTo>
                                        <a:pt x="2222398" y="5214302"/>
                                      </a:lnTo>
                                      <a:lnTo>
                                        <a:pt x="2225941" y="5169992"/>
                                      </a:lnTo>
                                      <a:lnTo>
                                        <a:pt x="2225992" y="5124297"/>
                                      </a:lnTo>
                                      <a:close/>
                                    </a:path>
                                    <a:path w="5452745" h="5744845">
                                      <a:moveTo>
                                        <a:pt x="3376853" y="4198239"/>
                                      </a:moveTo>
                                      <a:lnTo>
                                        <a:pt x="3353739" y="4161536"/>
                                      </a:lnTo>
                                      <a:lnTo>
                                        <a:pt x="3317925" y="4131818"/>
                                      </a:lnTo>
                                      <a:lnTo>
                                        <a:pt x="3233343" y="4074033"/>
                                      </a:lnTo>
                                      <a:lnTo>
                                        <a:pt x="2739402" y="3753408"/>
                                      </a:lnTo>
                                      <a:lnTo>
                                        <a:pt x="2699118" y="3727348"/>
                                      </a:lnTo>
                                      <a:lnTo>
                                        <a:pt x="2659342" y="3702723"/>
                                      </a:lnTo>
                                      <a:lnTo>
                                        <a:pt x="2585516" y="3658616"/>
                                      </a:lnTo>
                                      <a:lnTo>
                                        <a:pt x="2551163" y="3639007"/>
                                      </a:lnTo>
                                      <a:lnTo>
                                        <a:pt x="2486266" y="3605669"/>
                                      </a:lnTo>
                                      <a:lnTo>
                                        <a:pt x="2426678" y="3579622"/>
                                      </a:lnTo>
                                      <a:lnTo>
                                        <a:pt x="2371318" y="3561245"/>
                                      </a:lnTo>
                                      <a:lnTo>
                                        <a:pt x="2320988" y="3549472"/>
                                      </a:lnTo>
                                      <a:lnTo>
                                        <a:pt x="2301354" y="3547364"/>
                                      </a:lnTo>
                                      <a:lnTo>
                                        <a:pt x="2297226" y="3546919"/>
                                      </a:lnTo>
                                      <a:lnTo>
                                        <a:pt x="2274214" y="3546284"/>
                                      </a:lnTo>
                                      <a:lnTo>
                                        <a:pt x="2252268" y="3547364"/>
                                      </a:lnTo>
                                      <a:lnTo>
                                        <a:pt x="2257869" y="3511702"/>
                                      </a:lnTo>
                                      <a:lnTo>
                                        <a:pt x="2260841" y="3475278"/>
                                      </a:lnTo>
                                      <a:lnTo>
                                        <a:pt x="2261222" y="3438271"/>
                                      </a:lnTo>
                                      <a:lnTo>
                                        <a:pt x="2259126" y="3400806"/>
                                      </a:lnTo>
                                      <a:lnTo>
                                        <a:pt x="2254186" y="3362782"/>
                                      </a:lnTo>
                                      <a:lnTo>
                                        <a:pt x="2246084" y="3323907"/>
                                      </a:lnTo>
                                      <a:lnTo>
                                        <a:pt x="2234641" y="3284194"/>
                                      </a:lnTo>
                                      <a:lnTo>
                                        <a:pt x="2219629" y="3243580"/>
                                      </a:lnTo>
                                      <a:lnTo>
                                        <a:pt x="2202192" y="3203143"/>
                                      </a:lnTo>
                                      <a:lnTo>
                                        <a:pt x="2181301" y="3161766"/>
                                      </a:lnTo>
                                      <a:lnTo>
                                        <a:pt x="2156650" y="3119386"/>
                                      </a:lnTo>
                                      <a:lnTo>
                                        <a:pt x="2127935" y="3075940"/>
                                      </a:lnTo>
                                      <a:lnTo>
                                        <a:pt x="2102434" y="3041612"/>
                                      </a:lnTo>
                                      <a:lnTo>
                                        <a:pt x="2074418" y="3006521"/>
                                      </a:lnTo>
                                      <a:lnTo>
                                        <a:pt x="2050097" y="2978073"/>
                                      </a:lnTo>
                                      <a:lnTo>
                                        <a:pt x="2050097" y="3394176"/>
                                      </a:lnTo>
                                      <a:lnTo>
                                        <a:pt x="2049081" y="3425342"/>
                                      </a:lnTo>
                                      <a:lnTo>
                                        <a:pt x="2035543" y="3485718"/>
                                      </a:lnTo>
                                      <a:lnTo>
                                        <a:pt x="2003628" y="3542068"/>
                                      </a:lnTo>
                                      <a:lnTo>
                                        <a:pt x="1855520" y="3693160"/>
                                      </a:lnTo>
                                      <a:lnTo>
                                        <a:pt x="1234236" y="3071876"/>
                                      </a:lnTo>
                                      <a:lnTo>
                                        <a:pt x="1342313" y="2963799"/>
                                      </a:lnTo>
                                      <a:lnTo>
                                        <a:pt x="1377899" y="2930271"/>
                                      </a:lnTo>
                                      <a:lnTo>
                                        <a:pt x="1408353" y="2906268"/>
                                      </a:lnTo>
                                      <a:lnTo>
                                        <a:pt x="1449857" y="2883484"/>
                                      </a:lnTo>
                                      <a:lnTo>
                                        <a:pt x="1510715" y="2870098"/>
                                      </a:lnTo>
                                      <a:lnTo>
                                        <a:pt x="1558150" y="2870695"/>
                                      </a:lnTo>
                                      <a:lnTo>
                                        <a:pt x="1606626" y="2880804"/>
                                      </a:lnTo>
                                      <a:lnTo>
                                        <a:pt x="1656130" y="2900680"/>
                                      </a:lnTo>
                                      <a:lnTo>
                                        <a:pt x="1696554" y="2922930"/>
                                      </a:lnTo>
                                      <a:lnTo>
                                        <a:pt x="1737804" y="2949956"/>
                                      </a:lnTo>
                                      <a:lnTo>
                                        <a:pt x="1779524" y="2981553"/>
                                      </a:lnTo>
                                      <a:lnTo>
                                        <a:pt x="1822056" y="3017990"/>
                                      </a:lnTo>
                                      <a:lnTo>
                                        <a:pt x="1865299" y="3059176"/>
                                      </a:lnTo>
                                      <a:lnTo>
                                        <a:pt x="1897189" y="3092513"/>
                                      </a:lnTo>
                                      <a:lnTo>
                                        <a:pt x="1926602" y="3126168"/>
                                      </a:lnTo>
                                      <a:lnTo>
                                        <a:pt x="1953590" y="3160128"/>
                                      </a:lnTo>
                                      <a:lnTo>
                                        <a:pt x="1978202" y="3194304"/>
                                      </a:lnTo>
                                      <a:lnTo>
                                        <a:pt x="1999094" y="3228937"/>
                                      </a:lnTo>
                                      <a:lnTo>
                                        <a:pt x="2016302" y="3262934"/>
                                      </a:lnTo>
                                      <a:lnTo>
                                        <a:pt x="2039924" y="3329178"/>
                                      </a:lnTo>
                                      <a:lnTo>
                                        <a:pt x="2050097" y="3394176"/>
                                      </a:lnTo>
                                      <a:lnTo>
                                        <a:pt x="2050097" y="2978073"/>
                                      </a:lnTo>
                                      <a:lnTo>
                                        <a:pt x="2043874" y="2970784"/>
                                      </a:lnTo>
                                      <a:lnTo>
                                        <a:pt x="2010829" y="2934538"/>
                                      </a:lnTo>
                                      <a:lnTo>
                                        <a:pt x="1975281" y="2897886"/>
                                      </a:lnTo>
                                      <a:lnTo>
                                        <a:pt x="1946630" y="2870098"/>
                                      </a:lnTo>
                                      <a:lnTo>
                                        <a:pt x="1936915" y="2860662"/>
                                      </a:lnTo>
                                      <a:lnTo>
                                        <a:pt x="1898789" y="2825940"/>
                                      </a:lnTo>
                                      <a:lnTo>
                                        <a:pt x="1860905" y="2793720"/>
                                      </a:lnTo>
                                      <a:lnTo>
                                        <a:pt x="1823237" y="2764028"/>
                                      </a:lnTo>
                                      <a:lnTo>
                                        <a:pt x="1785797" y="2736850"/>
                                      </a:lnTo>
                                      <a:lnTo>
                                        <a:pt x="1739366" y="2706789"/>
                                      </a:lnTo>
                                      <a:lnTo>
                                        <a:pt x="1693367" y="2681160"/>
                                      </a:lnTo>
                                      <a:lnTo>
                                        <a:pt x="1647698" y="2659456"/>
                                      </a:lnTo>
                                      <a:lnTo>
                                        <a:pt x="1602282" y="2641092"/>
                                      </a:lnTo>
                                      <a:lnTo>
                                        <a:pt x="1557515" y="2626880"/>
                                      </a:lnTo>
                                      <a:lnTo>
                                        <a:pt x="1513967" y="2617584"/>
                                      </a:lnTo>
                                      <a:lnTo>
                                        <a:pt x="1471383" y="2612644"/>
                                      </a:lnTo>
                                      <a:lnTo>
                                        <a:pt x="1429562" y="2611501"/>
                                      </a:lnTo>
                                      <a:lnTo>
                                        <a:pt x="1388325" y="2615057"/>
                                      </a:lnTo>
                                      <a:lnTo>
                                        <a:pt x="1348574" y="2623299"/>
                                      </a:lnTo>
                                      <a:lnTo>
                                        <a:pt x="1309954" y="2635808"/>
                                      </a:lnTo>
                                      <a:lnTo>
                                        <a:pt x="1272082" y="2652141"/>
                                      </a:lnTo>
                                      <a:lnTo>
                                        <a:pt x="1220266" y="2686812"/>
                                      </a:lnTo>
                                      <a:lnTo>
                                        <a:pt x="1190777" y="2712301"/>
                                      </a:lnTo>
                                      <a:lnTo>
                                        <a:pt x="1156258" y="2745105"/>
                                      </a:lnTo>
                                      <a:lnTo>
                                        <a:pt x="951407" y="2949956"/>
                                      </a:lnTo>
                                      <a:lnTo>
                                        <a:pt x="938796" y="2986519"/>
                                      </a:lnTo>
                                      <a:lnTo>
                                        <a:pt x="940739" y="3003296"/>
                                      </a:lnTo>
                                      <a:lnTo>
                                        <a:pt x="960247" y="3046260"/>
                                      </a:lnTo>
                                      <a:lnTo>
                                        <a:pt x="1003477" y="3097403"/>
                                      </a:lnTo>
                                      <a:lnTo>
                                        <a:pt x="2710738" y="4804664"/>
                                      </a:lnTo>
                                      <a:lnTo>
                                        <a:pt x="2748838" y="4826254"/>
                                      </a:lnTo>
                                      <a:lnTo>
                                        <a:pt x="2756966" y="4823968"/>
                                      </a:lnTo>
                                      <a:lnTo>
                                        <a:pt x="2764053" y="4822761"/>
                                      </a:lnTo>
                                      <a:lnTo>
                                        <a:pt x="2802598" y="4802213"/>
                                      </a:lnTo>
                                      <a:lnTo>
                                        <a:pt x="2836799" y="4768012"/>
                                      </a:lnTo>
                                      <a:lnTo>
                                        <a:pt x="2857144" y="4729734"/>
                                      </a:lnTo>
                                      <a:lnTo>
                                        <a:pt x="2858185" y="4722749"/>
                                      </a:lnTo>
                                      <a:lnTo>
                                        <a:pt x="2859836" y="4715383"/>
                                      </a:lnTo>
                                      <a:lnTo>
                                        <a:pt x="2838881" y="4676394"/>
                                      </a:lnTo>
                                      <a:lnTo>
                                        <a:pt x="2053640" y="3891280"/>
                                      </a:lnTo>
                                      <a:lnTo>
                                        <a:pt x="2139365" y="3805555"/>
                                      </a:lnTo>
                                      <a:lnTo>
                                        <a:pt x="2186228" y="3770985"/>
                                      </a:lnTo>
                                      <a:lnTo>
                                        <a:pt x="2238806" y="3754501"/>
                                      </a:lnTo>
                                      <a:lnTo>
                                        <a:pt x="2267839" y="3753408"/>
                                      </a:lnTo>
                                      <a:lnTo>
                                        <a:pt x="2298090" y="3755440"/>
                                      </a:lnTo>
                                      <a:lnTo>
                                        <a:pt x="2363000" y="3769995"/>
                                      </a:lnTo>
                                      <a:lnTo>
                                        <a:pt x="2433980" y="3797389"/>
                                      </a:lnTo>
                                      <a:lnTo>
                                        <a:pt x="2471470" y="3815448"/>
                                      </a:lnTo>
                                      <a:lnTo>
                                        <a:pt x="2510205" y="3836670"/>
                                      </a:lnTo>
                                      <a:lnTo>
                                        <a:pt x="2550185" y="3860266"/>
                                      </a:lnTo>
                                      <a:lnTo>
                                        <a:pt x="2591638" y="3885539"/>
                                      </a:lnTo>
                                      <a:lnTo>
                                        <a:pt x="2634577" y="3912578"/>
                                      </a:lnTo>
                                      <a:lnTo>
                                        <a:pt x="2678988" y="3941445"/>
                                      </a:lnTo>
                                      <a:lnTo>
                                        <a:pt x="3212274" y="4294009"/>
                                      </a:lnTo>
                                      <a:lnTo>
                                        <a:pt x="3221609" y="4299839"/>
                                      </a:lnTo>
                                      <a:lnTo>
                                        <a:pt x="3259417" y="4314482"/>
                                      </a:lnTo>
                                      <a:lnTo>
                                        <a:pt x="3266490" y="4314317"/>
                                      </a:lnTo>
                                      <a:lnTo>
                                        <a:pt x="3304260" y="4298721"/>
                                      </a:lnTo>
                                      <a:lnTo>
                                        <a:pt x="3341103" y="4264876"/>
                                      </a:lnTo>
                                      <a:lnTo>
                                        <a:pt x="3368598" y="4229582"/>
                                      </a:lnTo>
                                      <a:lnTo>
                                        <a:pt x="3375964" y="4207764"/>
                                      </a:lnTo>
                                      <a:lnTo>
                                        <a:pt x="3376853" y="4198239"/>
                                      </a:lnTo>
                                      <a:close/>
                                    </a:path>
                                    <a:path w="5452745" h="5744845">
                                      <a:moveTo>
                                        <a:pt x="4293425" y="3291395"/>
                                      </a:moveTo>
                                      <a:lnTo>
                                        <a:pt x="4276610" y="3256902"/>
                                      </a:lnTo>
                                      <a:lnTo>
                                        <a:pt x="4243959" y="3227946"/>
                                      </a:lnTo>
                                      <a:lnTo>
                                        <a:pt x="4211371" y="3204210"/>
                                      </a:lnTo>
                                      <a:lnTo>
                                        <a:pt x="3942308" y="3019679"/>
                                      </a:lnTo>
                                      <a:lnTo>
                                        <a:pt x="3371900" y="2631300"/>
                                      </a:lnTo>
                                      <a:lnTo>
                                        <a:pt x="3371900" y="2858008"/>
                                      </a:lnTo>
                                      <a:lnTo>
                                        <a:pt x="3036620" y="3193288"/>
                                      </a:lnTo>
                                      <a:lnTo>
                                        <a:pt x="2283637" y="2107946"/>
                                      </a:lnTo>
                                      <a:lnTo>
                                        <a:pt x="2284399" y="2107184"/>
                                      </a:lnTo>
                                      <a:lnTo>
                                        <a:pt x="3371900" y="2858008"/>
                                      </a:lnTo>
                                      <a:lnTo>
                                        <a:pt x="3371900" y="2631300"/>
                                      </a:lnTo>
                                      <a:lnTo>
                                        <a:pt x="2602179" y="2107184"/>
                                      </a:lnTo>
                                      <a:lnTo>
                                        <a:pt x="2175052" y="1814703"/>
                                      </a:lnTo>
                                      <a:lnTo>
                                        <a:pt x="2165908" y="1808911"/>
                                      </a:lnTo>
                                      <a:lnTo>
                                        <a:pt x="2124545" y="1793214"/>
                                      </a:lnTo>
                                      <a:lnTo>
                                        <a:pt x="2117115" y="1793684"/>
                                      </a:lnTo>
                                      <a:lnTo>
                                        <a:pt x="2075230" y="1811782"/>
                                      </a:lnTo>
                                      <a:lnTo>
                                        <a:pt x="2045703" y="1838553"/>
                                      </a:lnTo>
                                      <a:lnTo>
                                        <a:pt x="2014334" y="1870240"/>
                                      </a:lnTo>
                                      <a:lnTo>
                                        <a:pt x="1989137" y="1904314"/>
                                      </a:lnTo>
                                      <a:lnTo>
                                        <a:pt x="1982279" y="1935416"/>
                                      </a:lnTo>
                                      <a:lnTo>
                                        <a:pt x="1983168" y="1942617"/>
                                      </a:lnTo>
                                      <a:lnTo>
                                        <a:pt x="2002967" y="1983867"/>
                                      </a:lnTo>
                                      <a:lnTo>
                                        <a:pt x="2031466" y="2025332"/>
                                      </a:lnTo>
                                      <a:lnTo>
                                        <a:pt x="3392601" y="4020058"/>
                                      </a:lnTo>
                                      <a:lnTo>
                                        <a:pt x="3416325" y="4052646"/>
                                      </a:lnTo>
                                      <a:lnTo>
                                        <a:pt x="3445586" y="4085120"/>
                                      </a:lnTo>
                                      <a:lnTo>
                                        <a:pt x="3479685" y="4102366"/>
                                      </a:lnTo>
                                      <a:lnTo>
                                        <a:pt x="3487763" y="4102023"/>
                                      </a:lnTo>
                                      <a:lnTo>
                                        <a:pt x="3522789" y="4082021"/>
                                      </a:lnTo>
                                      <a:lnTo>
                                        <a:pt x="3552964" y="4053090"/>
                                      </a:lnTo>
                                      <a:lnTo>
                                        <a:pt x="3579088" y="4019042"/>
                                      </a:lnTo>
                                      <a:lnTo>
                                        <a:pt x="3584752" y="3996182"/>
                                      </a:lnTo>
                                      <a:lnTo>
                                        <a:pt x="3584664" y="3989730"/>
                                      </a:lnTo>
                                      <a:lnTo>
                                        <a:pt x="3568966" y="3950119"/>
                                      </a:lnTo>
                                      <a:lnTo>
                                        <a:pt x="3199815" y="3420618"/>
                                      </a:lnTo>
                                      <a:lnTo>
                                        <a:pt x="3427069" y="3193288"/>
                                      </a:lnTo>
                                      <a:lnTo>
                                        <a:pt x="3600627" y="3019679"/>
                                      </a:lnTo>
                                      <a:lnTo>
                                        <a:pt x="4132249" y="3385947"/>
                                      </a:lnTo>
                                      <a:lnTo>
                                        <a:pt x="4140073" y="3390430"/>
                                      </a:lnTo>
                                      <a:lnTo>
                                        <a:pt x="4175556" y="3405251"/>
                                      </a:lnTo>
                                      <a:lnTo>
                                        <a:pt x="4183684" y="3402965"/>
                                      </a:lnTo>
                                      <a:lnTo>
                                        <a:pt x="4190339" y="3402152"/>
                                      </a:lnTo>
                                      <a:lnTo>
                                        <a:pt x="4229989" y="3376168"/>
                                      </a:lnTo>
                                      <a:lnTo>
                                        <a:pt x="4261739" y="3344265"/>
                                      </a:lnTo>
                                      <a:lnTo>
                                        <a:pt x="4290072" y="3307626"/>
                                      </a:lnTo>
                                      <a:lnTo>
                                        <a:pt x="4292790" y="3299549"/>
                                      </a:lnTo>
                                      <a:lnTo>
                                        <a:pt x="4293425" y="3291395"/>
                                      </a:lnTo>
                                      <a:close/>
                                    </a:path>
                                    <a:path w="5452745" h="5744845">
                                      <a:moveTo>
                                        <a:pt x="4570806" y="3005277"/>
                                      </a:moveTo>
                                      <a:lnTo>
                                        <a:pt x="4555274" y="2970250"/>
                                      </a:lnTo>
                                      <a:lnTo>
                                        <a:pt x="3782110" y="2196846"/>
                                      </a:lnTo>
                                      <a:lnTo>
                                        <a:pt x="4119676" y="1859280"/>
                                      </a:lnTo>
                                      <a:lnTo>
                                        <a:pt x="4109008" y="1818894"/>
                                      </a:lnTo>
                                      <a:lnTo>
                                        <a:pt x="4082846" y="1782191"/>
                                      </a:lnTo>
                                      <a:lnTo>
                                        <a:pt x="4051782" y="1748370"/>
                                      </a:lnTo>
                                      <a:lnTo>
                                        <a:pt x="4024236" y="1720811"/>
                                      </a:lnTo>
                                      <a:lnTo>
                                        <a:pt x="3987342" y="1686814"/>
                                      </a:lnTo>
                                      <a:lnTo>
                                        <a:pt x="3952163" y="1662049"/>
                                      </a:lnTo>
                                      <a:lnTo>
                                        <a:pt x="3926890" y="1653159"/>
                                      </a:lnTo>
                                      <a:lnTo>
                                        <a:pt x="3920286" y="1653921"/>
                                      </a:lnTo>
                                      <a:lnTo>
                                        <a:pt x="3915968" y="1655572"/>
                                      </a:lnTo>
                                      <a:lnTo>
                                        <a:pt x="3578402" y="1993138"/>
                                      </a:lnTo>
                                      <a:lnTo>
                                        <a:pt x="2951403" y="1366139"/>
                                      </a:lnTo>
                                      <a:lnTo>
                                        <a:pt x="3308273" y="1009142"/>
                                      </a:lnTo>
                                      <a:lnTo>
                                        <a:pt x="3294456" y="962266"/>
                                      </a:lnTo>
                                      <a:lnTo>
                                        <a:pt x="3263227" y="922756"/>
                                      </a:lnTo>
                                      <a:lnTo>
                                        <a:pt x="3227247" y="884936"/>
                                      </a:lnTo>
                                      <a:lnTo>
                                        <a:pt x="3177336" y="837946"/>
                                      </a:lnTo>
                                      <a:lnTo>
                                        <a:pt x="3139363" y="810514"/>
                                      </a:lnTo>
                                      <a:lnTo>
                                        <a:pt x="3104565" y="799465"/>
                                      </a:lnTo>
                                      <a:lnTo>
                                        <a:pt x="3100247" y="801116"/>
                                      </a:lnTo>
                                      <a:lnTo>
                                        <a:pt x="2662859" y="1238504"/>
                                      </a:lnTo>
                                      <a:lnTo>
                                        <a:pt x="2655811" y="1248206"/>
                                      </a:lnTo>
                                      <a:lnTo>
                                        <a:pt x="2651569" y="1260411"/>
                                      </a:lnTo>
                                      <a:lnTo>
                                        <a:pt x="2650299" y="1275016"/>
                                      </a:lnTo>
                                      <a:lnTo>
                                        <a:pt x="2652191" y="1291844"/>
                                      </a:lnTo>
                                      <a:lnTo>
                                        <a:pt x="2671699" y="1334808"/>
                                      </a:lnTo>
                                      <a:lnTo>
                                        <a:pt x="2714929" y="1385951"/>
                                      </a:lnTo>
                                      <a:lnTo>
                                        <a:pt x="4422191" y="3093212"/>
                                      </a:lnTo>
                                      <a:lnTo>
                                        <a:pt x="4456506" y="3113328"/>
                                      </a:lnTo>
                                      <a:lnTo>
                                        <a:pt x="4462437" y="3113582"/>
                                      </a:lnTo>
                                      <a:lnTo>
                                        <a:pt x="4475505" y="3111309"/>
                                      </a:lnTo>
                                      <a:lnTo>
                                        <a:pt x="4514342" y="3090468"/>
                                      </a:lnTo>
                                      <a:lnTo>
                                        <a:pt x="4548263" y="3056547"/>
                                      </a:lnTo>
                                      <a:lnTo>
                                        <a:pt x="4568647" y="3018218"/>
                                      </a:lnTo>
                                      <a:lnTo>
                                        <a:pt x="4570806" y="3005277"/>
                                      </a:lnTo>
                                      <a:close/>
                                    </a:path>
                                    <a:path w="5452745" h="5744845">
                                      <a:moveTo>
                                        <a:pt x="5452669" y="2122424"/>
                                      </a:moveTo>
                                      <a:lnTo>
                                        <a:pt x="5430952" y="2084324"/>
                                      </a:lnTo>
                                      <a:lnTo>
                                        <a:pt x="3832148" y="485394"/>
                                      </a:lnTo>
                                      <a:lnTo>
                                        <a:pt x="4106976" y="210439"/>
                                      </a:lnTo>
                                      <a:lnTo>
                                        <a:pt x="4109389" y="205359"/>
                                      </a:lnTo>
                                      <a:lnTo>
                                        <a:pt x="4108754" y="197358"/>
                                      </a:lnTo>
                                      <a:lnTo>
                                        <a:pt x="4107446" y="191643"/>
                                      </a:lnTo>
                                      <a:lnTo>
                                        <a:pt x="4087672" y="154279"/>
                                      </a:lnTo>
                                      <a:lnTo>
                                        <a:pt x="4051185" y="112306"/>
                                      </a:lnTo>
                                      <a:lnTo>
                                        <a:pt x="4012539" y="72986"/>
                                      </a:lnTo>
                                      <a:lnTo>
                                        <a:pt x="3976039" y="39243"/>
                                      </a:lnTo>
                                      <a:lnTo>
                                        <a:pt x="3938828" y="10922"/>
                                      </a:lnTo>
                                      <a:lnTo>
                                        <a:pt x="3904030" y="0"/>
                                      </a:lnTo>
                                      <a:lnTo>
                                        <a:pt x="3898950" y="2413"/>
                                      </a:lnTo>
                                      <a:lnTo>
                                        <a:pt x="3220897" y="680339"/>
                                      </a:lnTo>
                                      <a:lnTo>
                                        <a:pt x="3218484" y="685546"/>
                                      </a:lnTo>
                                      <a:lnTo>
                                        <a:pt x="3220859" y="698830"/>
                                      </a:lnTo>
                                      <a:lnTo>
                                        <a:pt x="3242246" y="737095"/>
                                      </a:lnTo>
                                      <a:lnTo>
                                        <a:pt x="3268510" y="768756"/>
                                      </a:lnTo>
                                      <a:lnTo>
                                        <a:pt x="3304844" y="807466"/>
                                      </a:lnTo>
                                      <a:lnTo>
                                        <a:pt x="3342894" y="843026"/>
                                      </a:lnTo>
                                      <a:lnTo>
                                        <a:pt x="3353993" y="852170"/>
                                      </a:lnTo>
                                      <a:lnTo>
                                        <a:pt x="3364014" y="860844"/>
                                      </a:lnTo>
                                      <a:lnTo>
                                        <a:pt x="3397415" y="883373"/>
                                      </a:lnTo>
                                      <a:lnTo>
                                        <a:pt x="3423843" y="890905"/>
                                      </a:lnTo>
                                      <a:lnTo>
                                        <a:pt x="3429050" y="888492"/>
                                      </a:lnTo>
                                      <a:lnTo>
                                        <a:pt x="3703878" y="613537"/>
                                      </a:lnTo>
                                      <a:lnTo>
                                        <a:pt x="5302809" y="2212467"/>
                                      </a:lnTo>
                                      <a:lnTo>
                                        <a:pt x="5340909" y="2234184"/>
                                      </a:lnTo>
                                      <a:lnTo>
                                        <a:pt x="5349037" y="2231898"/>
                                      </a:lnTo>
                                      <a:lnTo>
                                        <a:pt x="5356199" y="2230678"/>
                                      </a:lnTo>
                                      <a:lnTo>
                                        <a:pt x="5394972" y="2209850"/>
                                      </a:lnTo>
                                      <a:lnTo>
                                        <a:pt x="5428996" y="2175827"/>
                                      </a:lnTo>
                                      <a:lnTo>
                                        <a:pt x="5449278" y="2137587"/>
                                      </a:lnTo>
                                      <a:lnTo>
                                        <a:pt x="5450383" y="2130552"/>
                                      </a:lnTo>
                                      <a:lnTo>
                                        <a:pt x="5452669" y="2122424"/>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24.741312pt;margin-top:15.897968pt;width:429.35pt;height:452.35pt;mso-position-horizontal-relative:column;mso-position-vertical-relative:paragraph;z-index:-26078208" id="docshapegroup531" coordorigin="495,318" coordsize="8587,9047">
                      <v:shape style="position:absolute;left:494;top:317;width:8587;height:9047" id="docshape532" coordorigin="495,318" coordsize="8587,9047" path="m4000,8388l3995,8314,3984,8238,3967,8160,3944,8080,3922,8017,3897,7953,3868,7887,3836,7821,3801,7752,3762,7683,3720,7612,3673,7540,3624,7467,3613,7452,3613,8304,3606,8374,3589,8441,3564,8506,3528,8568,3484,8629,3430,8688,3222,8896,962,6636,1168,6431,1231,6374,1297,6327,1365,6292,1435,6269,1508,6257,1583,6255,1660,6260,1739,6272,1820,6293,1904,6323,1976,6353,2048,6388,2122,6428,2197,6473,2273,6523,2349,6578,2408,6622,2467,6669,2526,6717,2584,6767,2643,6819,2702,6873,2761,6929,2820,6987,2884,7052,2946,7116,3005,7179,3061,7241,3114,7301,3164,7361,3212,7419,3257,7476,3299,7532,3349,7603,3395,7672,3436,7740,3473,7806,3506,7870,3534,7933,3559,7994,3586,8076,3604,8155,3613,8231,3613,8304,3613,7452,3584,7412,3543,7356,3499,7299,3454,7242,3406,7184,3357,7125,3305,7065,3251,7005,3196,6945,3138,6883,3078,6822,3016,6759,2951,6695,2886,6633,2822,6573,2758,6515,2694,6460,2630,6407,2567,6356,2505,6308,2443,6262,2433,6255,2382,6218,2305,6167,2230,6120,2156,6076,2082,6036,2009,6000,1938,5968,1867,5939,1798,5913,1720,5890,1644,5872,1569,5860,1496,5853,1425,5851,1356,5854,1288,5862,1211,5878,1137,5904,1064,5940,994,5984,925,6037,858,6098,515,6442,504,6457,497,6477,495,6500,498,6526,509,6558,529,6594,558,6632,597,6674,3187,9264,3228,9303,3267,9332,3301,9351,3332,9361,3360,9365,3384,9364,3403,9357,3419,9346,3740,9024,3801,8958,3849,8896,3854,8890,3899,8820,3935,8748,3964,8673,3984,8597,3995,8529,4000,8460,4000,8388xm5813,6929l5811,6918,5804,6907,5799,6898,5792,6889,5784,6880,5776,6872,5766,6862,5754,6851,5738,6839,5720,6825,5698,6810,5587,6734,4809,6229,4745,6188,4683,6149,4658,6134,4567,6080,4512,6049,4460,6021,4410,5996,4362,5974,4316,5955,4272,5939,4229,5926,4188,5915,4150,5908,4119,5904,4113,5904,4076,5903,4042,5904,4051,5848,4055,5791,4056,5733,4053,5674,4045,5614,4032,5552,4014,5490,3990,5426,3963,5362,3930,5297,3891,5230,3846,5162,3806,5108,3762,5053,3723,5008,3723,5663,3722,5712,3714,5760,3700,5807,3679,5853,3650,5896,3614,5937,3417,6134,2439,5156,2609,4985,2638,4957,2665,4933,2690,4912,2713,4895,2734,4881,2756,4869,2778,4859,2801,4851,2874,4838,2949,4839,3025,4855,3103,4886,3167,4921,3232,4964,3297,5013,3364,5071,3432,5136,3483,5188,3529,5241,3571,5295,3610,5348,3643,5403,3670,5456,3691,5509,3707,5561,3719,5613,3723,5663,3723,5008,3714,4996,3661,4939,3606,4882,3560,4838,3545,4823,3485,4768,3425,4718,3366,4671,3307,4628,3234,4581,3162,4540,3090,4506,3018,4477,2948,4455,2879,4440,2812,4432,2746,4431,2681,4436,2619,4449,2558,4469,2498,4495,2479,4507,2459,4520,2417,4549,2394,4568,2370,4589,2344,4614,2316,4641,1993,4964,1982,4979,1975,4998,1973,5021,1976,5048,1987,5080,2007,5115,2036,5154,2075,5196,4764,7884,4772,7892,4781,7900,4791,7906,4800,7911,4812,7917,4824,7918,4837,7915,4848,7913,4859,7909,4871,7905,4884,7899,4896,7890,4908,7880,4922,7869,4936,7855,4950,7841,4962,7827,4972,7814,4981,7802,4987,7789,4991,7777,4994,7766,4996,7755,4999,7744,4998,7731,4992,7719,4987,7709,4981,7700,4974,7691,4966,7682,3729,6446,3864,6311,3900,6280,3938,6257,3978,6240,4021,6231,4066,6229,4114,6232,4164,6241,4216,6255,4271,6274,4328,6298,4387,6327,4448,6360,4511,6397,4576,6437,4644,6479,4714,6525,5554,7080,5568,7089,5582,7097,5595,7103,5606,7108,5617,7111,5628,7112,5639,7112,5651,7112,5663,7109,5675,7103,5687,7096,5698,7088,5711,7077,5725,7065,5740,7051,5756,7034,5770,7018,5782,7004,5792,6991,5800,6979,5806,6967,5809,6956,5811,6944,5813,6929xm7256,5501l7254,5488,7248,5475,7240,5461,7230,5447,7216,5432,7199,5417,7178,5401,7154,5384,7127,5364,6703,5073,5805,4462,5805,4819,5277,5347,4091,3638,4092,3636,5805,4819,5805,4462,4593,3636,3920,3176,3906,3167,3891,3158,3878,3151,3865,3146,3852,3143,3841,3142,3829,3143,3817,3145,3803,3148,3790,3154,3777,3162,3763,3171,3748,3183,3733,3197,3716,3213,3682,3248,3667,3263,3654,3277,3643,3291,3634,3304,3627,3317,3622,3330,3619,3342,3617,3354,3617,3366,3618,3377,3622,3389,3627,3402,3633,3415,3640,3428,3649,3442,3694,3507,5838,6649,5857,6676,5875,6700,5891,6720,5907,6737,5921,6751,5935,6762,5949,6770,5962,6776,5975,6778,5987,6778,6001,6774,6015,6768,6028,6758,6043,6746,6058,6733,6075,6717,6090,6701,6103,6686,6115,6671,6124,6659,6131,6647,6136,6636,6139,6624,6140,6611,6140,6601,6139,6591,6136,6581,6132,6570,6127,6560,6122,6550,6115,6539,6108,6527,5534,5705,5892,5347,6165,5073,7002,5650,7015,5657,7026,5663,7037,5669,7047,5673,7059,5679,7071,5681,7083,5677,7094,5676,7105,5672,7117,5666,7130,5658,7142,5647,7156,5635,7172,5620,7189,5602,7206,5585,7221,5568,7233,5553,7244,5539,7251,5527,7255,5514,7256,5501xm7693,5051l7693,5041,7690,5032,7685,5021,7681,5012,7675,5004,7668,4996,7661,4987,6451,3778,6983,3246,6983,3237,6982,3224,6980,3215,6977,3205,6972,3194,6966,3182,6959,3170,6949,3156,6938,3141,6925,3125,6910,3108,6876,3071,6855,3050,6832,3028,6811,3008,6774,2974,6758,2961,6744,2951,6731,2942,6719,2935,6708,2930,6698,2926,6688,2923,6679,2921,6669,2923,6662,2925,6130,3457,5143,2469,5705,1907,5707,1900,5706,1888,5704,1879,5701,1869,5696,1858,5683,1833,5674,1819,5662,1804,5649,1788,5634,1771,5598,1733,5577,1712,5556,1691,5536,1672,5499,1638,5483,1624,5467,1613,5452,1603,5439,1594,5427,1588,5416,1583,5406,1580,5397,1578,5384,1577,5377,1580,4688,2268,4677,2284,4671,2303,4669,2326,4672,2352,4682,2385,4702,2420,4731,2459,4770,2501,7459,5189,7467,5197,7475,5203,7484,5209,7493,5214,7503,5218,7513,5221,7522,5221,7543,5218,7554,5214,7566,5209,7579,5204,7591,5195,7604,5185,7618,5173,7632,5160,7645,5145,7657,5131,7668,5118,7677,5106,7682,5094,7686,5082,7690,5071,7693,5051xm9082,3660l9080,3649,9074,3637,9069,3627,9063,3618,9056,3609,9048,3600,6530,1082,6963,649,6966,641,6965,629,6963,620,6960,610,6956,599,6949,587,6942,575,6932,561,6920,546,6907,530,6875,495,6856,475,6835,454,6814,433,6794,414,6756,380,6741,366,6725,354,6711,344,6698,335,6686,329,6675,324,6665,321,6656,319,6643,318,6635,322,5567,1389,5563,1398,5567,1418,5570,1428,5575,1439,5582,1451,5590,1464,5601,1479,5613,1494,5642,1529,5659,1548,5678,1568,5699,1590,5720,1610,5740,1629,5759,1646,5777,1660,5792,1674,5807,1686,5821,1695,5845,1709,5856,1714,5866,1717,5887,1721,5895,1717,6328,1284,8846,3802,8854,3810,8863,3818,8873,3824,8882,3829,8894,3834,8906,3836,8919,3833,8930,3831,8941,3827,8953,3823,8966,3817,8978,3808,8991,3798,9004,3786,9019,3773,9032,3758,9044,3744,9055,3731,9063,3719,9069,3707,9073,3695,9076,3684,9078,3673,9082,3660xe" filled="true" fillcolor="#c0c0c0" stroked="false">
                        <v:path arrowok="t"/>
                        <v:fill opacity="32896f" type="solid"/>
                      </v:shape>
                      <w10:wrap type="none"/>
                    </v:group>
                  </w:pict>
                </mc:Fallback>
              </mc:AlternateContent>
            </w:r>
            <w:r>
              <w:rPr>
                <w:rFonts w:ascii="Verdana"/>
                <w:b/>
                <w:color w:val="FFFFFF"/>
                <w:sz w:val="24"/>
              </w:rPr>
              <w:t>PART</w:t>
            </w:r>
            <w:r>
              <w:rPr>
                <w:rFonts w:ascii="Verdana"/>
                <w:b/>
                <w:color w:val="FFFFFF"/>
                <w:spacing w:val="-2"/>
                <w:sz w:val="24"/>
              </w:rPr>
              <w:t> </w:t>
            </w:r>
            <w:r>
              <w:rPr>
                <w:rFonts w:ascii="Verdana"/>
                <w:b/>
                <w:color w:val="FFFFFF"/>
                <w:sz w:val="24"/>
              </w:rPr>
              <w:t>4:</w:t>
            </w:r>
            <w:r>
              <w:rPr>
                <w:rFonts w:ascii="Verdana"/>
                <w:b/>
                <w:color w:val="FFFFFF"/>
                <w:spacing w:val="-5"/>
                <w:sz w:val="24"/>
              </w:rPr>
              <w:t> </w:t>
            </w:r>
            <w:r>
              <w:rPr>
                <w:rFonts w:ascii="Verdana"/>
                <w:b/>
                <w:color w:val="F1F1F1"/>
                <w:sz w:val="24"/>
              </w:rPr>
              <w:t>MINUTES</w:t>
            </w:r>
            <w:r>
              <w:rPr>
                <w:rFonts w:ascii="Verdana"/>
                <w:b/>
                <w:color w:val="F1F1F1"/>
                <w:spacing w:val="-4"/>
                <w:sz w:val="24"/>
              </w:rPr>
              <w:t> </w:t>
            </w:r>
            <w:r>
              <w:rPr>
                <w:rFonts w:ascii="Verdana"/>
                <w:b/>
                <w:color w:val="F1F1F1"/>
                <w:sz w:val="24"/>
              </w:rPr>
              <w:t>AND</w:t>
            </w:r>
            <w:r>
              <w:rPr>
                <w:rFonts w:ascii="Verdana"/>
                <w:b/>
                <w:color w:val="F1F1F1"/>
                <w:spacing w:val="-3"/>
                <w:sz w:val="24"/>
              </w:rPr>
              <w:t> </w:t>
            </w:r>
            <w:r>
              <w:rPr>
                <w:rFonts w:ascii="Verdana"/>
                <w:b/>
                <w:color w:val="F1F1F1"/>
                <w:sz w:val="24"/>
              </w:rPr>
              <w:t>ACTIONS,</w:t>
            </w:r>
            <w:r>
              <w:rPr>
                <w:rFonts w:ascii="Verdana"/>
                <w:b/>
                <w:color w:val="F1F1F1"/>
                <w:spacing w:val="-6"/>
                <w:sz w:val="24"/>
              </w:rPr>
              <w:t> </w:t>
            </w:r>
            <w:r>
              <w:rPr>
                <w:rFonts w:ascii="Verdana"/>
                <w:b/>
                <w:color w:val="F1F1F1"/>
                <w:sz w:val="24"/>
              </w:rPr>
              <w:t>CLOSING</w:t>
            </w:r>
            <w:r>
              <w:rPr>
                <w:rFonts w:ascii="Verdana"/>
                <w:b/>
                <w:color w:val="F1F1F1"/>
                <w:spacing w:val="-3"/>
                <w:sz w:val="24"/>
              </w:rPr>
              <w:t> </w:t>
            </w:r>
            <w:r>
              <w:rPr>
                <w:rFonts w:ascii="Verdana"/>
                <w:b/>
                <w:color w:val="F1F1F1"/>
                <w:sz w:val="24"/>
              </w:rPr>
              <w:t>REMARKS,</w:t>
            </w:r>
            <w:r>
              <w:rPr>
                <w:rFonts w:ascii="Verdana"/>
                <w:b/>
                <w:color w:val="F1F1F1"/>
                <w:spacing w:val="-6"/>
                <w:sz w:val="24"/>
              </w:rPr>
              <w:t> </w:t>
            </w:r>
            <w:r>
              <w:rPr>
                <w:rFonts w:ascii="Verdana"/>
                <w:b/>
                <w:color w:val="F1F1F1"/>
                <w:sz w:val="24"/>
              </w:rPr>
              <w:t>&amp;</w:t>
            </w:r>
            <w:r>
              <w:rPr>
                <w:rFonts w:ascii="Verdana"/>
                <w:b/>
                <w:color w:val="F1F1F1"/>
                <w:spacing w:val="-6"/>
                <w:sz w:val="24"/>
              </w:rPr>
              <w:t> </w:t>
            </w:r>
            <w:r>
              <w:rPr>
                <w:rFonts w:ascii="Verdana"/>
                <w:b/>
                <w:color w:val="F1F1F1"/>
                <w:sz w:val="24"/>
              </w:rPr>
              <w:t>DATES</w:t>
            </w:r>
            <w:r>
              <w:rPr>
                <w:rFonts w:ascii="Verdana"/>
                <w:b/>
                <w:color w:val="F1F1F1"/>
                <w:spacing w:val="-4"/>
                <w:sz w:val="24"/>
              </w:rPr>
              <w:t> </w:t>
            </w:r>
            <w:r>
              <w:rPr>
                <w:rFonts w:ascii="Verdana"/>
                <w:b/>
                <w:color w:val="F1F1F1"/>
                <w:sz w:val="24"/>
              </w:rPr>
              <w:t>OF</w:t>
            </w:r>
            <w:r>
              <w:rPr>
                <w:rFonts w:ascii="Verdana"/>
                <w:b/>
                <w:color w:val="F1F1F1"/>
                <w:spacing w:val="-5"/>
                <w:sz w:val="24"/>
              </w:rPr>
              <w:t> </w:t>
            </w:r>
            <w:r>
              <w:rPr>
                <w:rFonts w:ascii="Verdana"/>
                <w:b/>
                <w:color w:val="F1F1F1"/>
                <w:sz w:val="24"/>
              </w:rPr>
              <w:t>RJC NEXT MEETINGS</w:t>
            </w:r>
          </w:p>
        </w:tc>
      </w:tr>
      <w:tr>
        <w:trPr>
          <w:trHeight w:val="1325" w:hRule="atLeast"/>
        </w:trPr>
        <w:tc>
          <w:tcPr>
            <w:tcW w:w="1276" w:type="dxa"/>
            <w:tcBorders>
              <w:top w:val="single" w:sz="36" w:space="0" w:color="001F5F"/>
            </w:tcBorders>
          </w:tcPr>
          <w:p>
            <w:pPr>
              <w:pStyle w:val="TableParagraph"/>
              <w:spacing w:before="78"/>
              <w:ind w:left="8"/>
              <w:jc w:val="center"/>
              <w:rPr>
                <w:rFonts w:ascii="Verdana"/>
                <w:b/>
                <w:sz w:val="24"/>
              </w:rPr>
            </w:pPr>
            <w:r>
              <w:rPr>
                <w:rFonts w:ascii="Verdana"/>
                <w:b/>
                <w:spacing w:val="-2"/>
                <w:sz w:val="24"/>
              </w:rPr>
              <w:t>RJC/30</w:t>
            </w:r>
          </w:p>
        </w:tc>
        <w:tc>
          <w:tcPr>
            <w:tcW w:w="8509" w:type="dxa"/>
            <w:tcBorders>
              <w:top w:val="single" w:sz="36" w:space="0" w:color="001F5F"/>
            </w:tcBorders>
          </w:tcPr>
          <w:p>
            <w:pPr>
              <w:pStyle w:val="TableParagraph"/>
              <w:spacing w:before="78"/>
              <w:ind w:left="79" w:right="267"/>
              <w:rPr>
                <w:rFonts w:ascii="Verdana"/>
                <w:sz w:val="24"/>
              </w:rPr>
            </w:pPr>
            <w:r>
              <w:rPr>
                <w:rFonts w:ascii="Verdana"/>
                <w:b/>
                <w:sz w:val="24"/>
              </w:rPr>
              <w:t>Minutes of Previous RJC Meeting held on 22 January 2026, and Extraordinary RJC Meeting held on 16 February 2026 </w:t>
            </w:r>
            <w:r>
              <w:rPr>
                <w:rFonts w:ascii="Verdana"/>
                <w:sz w:val="24"/>
              </w:rPr>
              <w:t>The</w:t>
            </w:r>
            <w:r>
              <w:rPr>
                <w:rFonts w:ascii="Verdana"/>
                <w:spacing w:val="-3"/>
                <w:sz w:val="24"/>
              </w:rPr>
              <w:t> </w:t>
            </w:r>
            <w:r>
              <w:rPr>
                <w:rFonts w:ascii="Verdana"/>
                <w:sz w:val="24"/>
              </w:rPr>
              <w:t>minutes</w:t>
            </w:r>
            <w:r>
              <w:rPr>
                <w:rFonts w:ascii="Verdana"/>
                <w:spacing w:val="-4"/>
                <w:sz w:val="24"/>
              </w:rPr>
              <w:t> </w:t>
            </w:r>
            <w:r>
              <w:rPr>
                <w:rFonts w:ascii="Verdana"/>
                <w:sz w:val="24"/>
              </w:rPr>
              <w:t>of</w:t>
            </w:r>
            <w:r>
              <w:rPr>
                <w:rFonts w:ascii="Verdana"/>
                <w:spacing w:val="-4"/>
                <w:sz w:val="24"/>
              </w:rPr>
              <w:t> </w:t>
            </w:r>
            <w:r>
              <w:rPr>
                <w:rFonts w:ascii="Verdana"/>
                <w:sz w:val="24"/>
              </w:rPr>
              <w:t>the</w:t>
            </w:r>
            <w:r>
              <w:rPr>
                <w:rFonts w:ascii="Verdana"/>
                <w:spacing w:val="-3"/>
                <w:sz w:val="24"/>
              </w:rPr>
              <w:t> </w:t>
            </w:r>
            <w:r>
              <w:rPr>
                <w:rFonts w:ascii="Verdana"/>
                <w:sz w:val="24"/>
              </w:rPr>
              <w:t>previous</w:t>
            </w:r>
            <w:r>
              <w:rPr>
                <w:rFonts w:ascii="Verdana"/>
                <w:spacing w:val="-4"/>
                <w:sz w:val="24"/>
              </w:rPr>
              <w:t> </w:t>
            </w:r>
            <w:r>
              <w:rPr>
                <w:rFonts w:ascii="Verdana"/>
                <w:sz w:val="24"/>
              </w:rPr>
              <w:t>meetings</w:t>
            </w:r>
            <w:r>
              <w:rPr>
                <w:rFonts w:ascii="Verdana"/>
                <w:spacing w:val="-4"/>
                <w:sz w:val="24"/>
              </w:rPr>
              <w:t> </w:t>
            </w:r>
            <w:r>
              <w:rPr>
                <w:rFonts w:ascii="Verdana"/>
                <w:sz w:val="24"/>
              </w:rPr>
              <w:t>were</w:t>
            </w:r>
            <w:r>
              <w:rPr>
                <w:rFonts w:ascii="Verdana"/>
                <w:spacing w:val="-3"/>
                <w:sz w:val="24"/>
              </w:rPr>
              <w:t> </w:t>
            </w:r>
            <w:r>
              <w:rPr>
                <w:rFonts w:ascii="Verdana"/>
                <w:sz w:val="24"/>
              </w:rPr>
              <w:t>approved</w:t>
            </w:r>
            <w:r>
              <w:rPr>
                <w:rFonts w:ascii="Verdana"/>
                <w:spacing w:val="-8"/>
                <w:sz w:val="24"/>
              </w:rPr>
              <w:t> </w:t>
            </w:r>
            <w:r>
              <w:rPr>
                <w:rFonts w:ascii="Verdana"/>
                <w:sz w:val="24"/>
              </w:rPr>
              <w:t>as</w:t>
            </w:r>
            <w:r>
              <w:rPr>
                <w:rFonts w:ascii="Verdana"/>
                <w:spacing w:val="-4"/>
                <w:sz w:val="24"/>
              </w:rPr>
              <w:t> </w:t>
            </w:r>
            <w:r>
              <w:rPr>
                <w:rFonts w:ascii="Verdana"/>
                <w:sz w:val="24"/>
              </w:rPr>
              <w:t>a</w:t>
            </w:r>
            <w:r>
              <w:rPr>
                <w:rFonts w:ascii="Verdana"/>
                <w:spacing w:val="-3"/>
                <w:sz w:val="24"/>
              </w:rPr>
              <w:t> </w:t>
            </w:r>
            <w:r>
              <w:rPr>
                <w:rFonts w:ascii="Verdana"/>
                <w:sz w:val="24"/>
              </w:rPr>
              <w:t>true</w:t>
            </w:r>
            <w:r>
              <w:rPr>
                <w:rFonts w:ascii="Verdana"/>
                <w:spacing w:val="-3"/>
                <w:sz w:val="24"/>
              </w:rPr>
              <w:t> </w:t>
            </w:r>
            <w:r>
              <w:rPr>
                <w:rFonts w:ascii="Verdana"/>
                <w:sz w:val="24"/>
              </w:rPr>
              <w:t>and accurate record.</w:t>
            </w:r>
          </w:p>
        </w:tc>
        <w:tc>
          <w:tcPr>
            <w:tcW w:w="711" w:type="dxa"/>
            <w:tcBorders>
              <w:top w:val="single" w:sz="36" w:space="0" w:color="001F5F"/>
            </w:tcBorders>
          </w:tcPr>
          <w:p>
            <w:pPr>
              <w:pStyle w:val="TableParagraph"/>
              <w:rPr>
                <w:rFonts w:ascii="Times New Roman"/>
                <w:sz w:val="22"/>
              </w:rPr>
            </w:pPr>
          </w:p>
        </w:tc>
      </w:tr>
      <w:tr>
        <w:trPr>
          <w:trHeight w:val="745" w:hRule="atLeast"/>
        </w:trPr>
        <w:tc>
          <w:tcPr>
            <w:tcW w:w="1276" w:type="dxa"/>
          </w:tcPr>
          <w:p>
            <w:pPr>
              <w:pStyle w:val="TableParagraph"/>
              <w:spacing w:before="79"/>
              <w:ind w:left="8"/>
              <w:jc w:val="center"/>
              <w:rPr>
                <w:rFonts w:ascii="Verdana"/>
                <w:b/>
                <w:sz w:val="24"/>
              </w:rPr>
            </w:pPr>
            <w:r>
              <w:rPr>
                <w:rFonts w:ascii="Verdana"/>
                <w:b/>
                <w:spacing w:val="-2"/>
                <w:sz w:val="24"/>
              </w:rPr>
              <w:t>RJC/31</w:t>
            </w:r>
          </w:p>
        </w:tc>
        <w:tc>
          <w:tcPr>
            <w:tcW w:w="8509" w:type="dxa"/>
          </w:tcPr>
          <w:p>
            <w:pPr>
              <w:pStyle w:val="TableParagraph"/>
              <w:spacing w:before="79"/>
              <w:ind w:left="79"/>
              <w:rPr>
                <w:rFonts w:ascii="Verdana"/>
                <w:b/>
                <w:sz w:val="24"/>
              </w:rPr>
            </w:pPr>
            <w:r>
              <w:rPr>
                <w:rFonts w:ascii="Verdana"/>
                <w:b/>
                <w:sz w:val="24"/>
              </w:rPr>
              <w:t>Table</w:t>
            </w:r>
            <w:r>
              <w:rPr>
                <w:rFonts w:ascii="Verdana"/>
                <w:b/>
                <w:spacing w:val="-4"/>
                <w:sz w:val="24"/>
              </w:rPr>
              <w:t> </w:t>
            </w:r>
            <w:r>
              <w:rPr>
                <w:rFonts w:ascii="Verdana"/>
                <w:b/>
                <w:sz w:val="24"/>
              </w:rPr>
              <w:t>of</w:t>
            </w:r>
            <w:r>
              <w:rPr>
                <w:rFonts w:ascii="Verdana"/>
                <w:b/>
                <w:spacing w:val="-5"/>
                <w:sz w:val="24"/>
              </w:rPr>
              <w:t> </w:t>
            </w:r>
            <w:r>
              <w:rPr>
                <w:rFonts w:ascii="Verdana"/>
                <w:b/>
                <w:spacing w:val="-2"/>
                <w:sz w:val="24"/>
              </w:rPr>
              <w:t>Actions</w:t>
            </w:r>
          </w:p>
          <w:p>
            <w:pPr>
              <w:pStyle w:val="TableParagraph"/>
              <w:spacing w:before="3"/>
              <w:ind w:left="79"/>
              <w:rPr>
                <w:rFonts w:ascii="Verdana"/>
                <w:sz w:val="24"/>
              </w:rPr>
            </w:pPr>
            <w:r>
              <w:rPr>
                <w:rFonts w:ascii="Verdana"/>
                <w:sz w:val="24"/>
              </w:rPr>
              <w:t>All</w:t>
            </w:r>
            <w:r>
              <w:rPr>
                <w:rFonts w:ascii="Verdana"/>
                <w:spacing w:val="-3"/>
                <w:sz w:val="24"/>
              </w:rPr>
              <w:t> </w:t>
            </w:r>
            <w:r>
              <w:rPr>
                <w:rFonts w:ascii="Verdana"/>
                <w:sz w:val="24"/>
              </w:rPr>
              <w:t>actions</w:t>
            </w:r>
            <w:r>
              <w:rPr>
                <w:rFonts w:ascii="Verdana"/>
                <w:spacing w:val="-1"/>
                <w:sz w:val="24"/>
              </w:rPr>
              <w:t> </w:t>
            </w:r>
            <w:r>
              <w:rPr>
                <w:rFonts w:ascii="Verdana"/>
                <w:sz w:val="24"/>
              </w:rPr>
              <w:t>were noted</w:t>
            </w:r>
            <w:r>
              <w:rPr>
                <w:rFonts w:ascii="Verdana"/>
                <w:spacing w:val="-1"/>
                <w:sz w:val="24"/>
              </w:rPr>
              <w:t> </w:t>
            </w:r>
            <w:r>
              <w:rPr>
                <w:rFonts w:ascii="Verdana"/>
                <w:sz w:val="24"/>
              </w:rPr>
              <w:t>as</w:t>
            </w:r>
            <w:r>
              <w:rPr>
                <w:rFonts w:ascii="Verdana"/>
                <w:spacing w:val="-3"/>
                <w:sz w:val="24"/>
              </w:rPr>
              <w:t> </w:t>
            </w:r>
            <w:r>
              <w:rPr>
                <w:rFonts w:ascii="Verdana"/>
                <w:sz w:val="24"/>
              </w:rPr>
              <w:t>either</w:t>
            </w:r>
            <w:r>
              <w:rPr>
                <w:rFonts w:ascii="Verdana"/>
                <w:spacing w:val="2"/>
                <w:sz w:val="24"/>
              </w:rPr>
              <w:t> </w:t>
            </w:r>
            <w:r>
              <w:rPr>
                <w:rFonts w:ascii="Verdana"/>
                <w:sz w:val="24"/>
              </w:rPr>
              <w:t>complete</w:t>
            </w:r>
            <w:r>
              <w:rPr>
                <w:rFonts w:ascii="Verdana"/>
                <w:spacing w:val="-4"/>
                <w:sz w:val="24"/>
              </w:rPr>
              <w:t> </w:t>
            </w:r>
            <w:r>
              <w:rPr>
                <w:rFonts w:ascii="Verdana"/>
                <w:sz w:val="24"/>
              </w:rPr>
              <w:t>or appropriately</w:t>
            </w:r>
            <w:r>
              <w:rPr>
                <w:rFonts w:ascii="Verdana"/>
                <w:spacing w:val="-4"/>
                <w:sz w:val="24"/>
              </w:rPr>
              <w:t> </w:t>
            </w:r>
            <w:r>
              <w:rPr>
                <w:rFonts w:ascii="Verdana"/>
                <w:spacing w:val="-2"/>
                <w:sz w:val="24"/>
              </w:rPr>
              <w:t>closed.</w:t>
            </w:r>
          </w:p>
        </w:tc>
        <w:tc>
          <w:tcPr>
            <w:tcW w:w="711" w:type="dxa"/>
          </w:tcPr>
          <w:p>
            <w:pPr>
              <w:pStyle w:val="TableParagraph"/>
              <w:rPr>
                <w:rFonts w:ascii="Times New Roman"/>
                <w:sz w:val="22"/>
              </w:rPr>
            </w:pPr>
          </w:p>
        </w:tc>
      </w:tr>
      <w:tr>
        <w:trPr>
          <w:trHeight w:val="745" w:hRule="atLeast"/>
        </w:trPr>
        <w:tc>
          <w:tcPr>
            <w:tcW w:w="1276" w:type="dxa"/>
          </w:tcPr>
          <w:p>
            <w:pPr>
              <w:pStyle w:val="TableParagraph"/>
              <w:spacing w:before="78"/>
              <w:ind w:left="8"/>
              <w:jc w:val="center"/>
              <w:rPr>
                <w:rFonts w:ascii="Verdana"/>
                <w:b/>
                <w:sz w:val="24"/>
              </w:rPr>
            </w:pPr>
            <w:r>
              <w:rPr>
                <w:rFonts w:ascii="Verdana"/>
                <w:b/>
                <w:spacing w:val="-2"/>
                <w:sz w:val="24"/>
              </w:rPr>
              <w:t>RJC/32</w:t>
            </w:r>
          </w:p>
        </w:tc>
        <w:tc>
          <w:tcPr>
            <w:tcW w:w="8509" w:type="dxa"/>
          </w:tcPr>
          <w:p>
            <w:pPr>
              <w:pStyle w:val="TableParagraph"/>
              <w:spacing w:line="291" w:lineRule="exact" w:before="78"/>
              <w:ind w:left="79"/>
              <w:rPr>
                <w:rFonts w:ascii="Verdana"/>
                <w:b/>
                <w:sz w:val="24"/>
              </w:rPr>
            </w:pPr>
            <w:r>
              <w:rPr>
                <w:rFonts w:ascii="Verdana"/>
                <w:b/>
                <w:sz w:val="24"/>
              </w:rPr>
              <w:t>RJC</w:t>
            </w:r>
            <w:r>
              <w:rPr>
                <w:rFonts w:ascii="Verdana"/>
                <w:b/>
                <w:spacing w:val="-6"/>
                <w:sz w:val="24"/>
              </w:rPr>
              <w:t> </w:t>
            </w:r>
            <w:r>
              <w:rPr>
                <w:rFonts w:ascii="Verdana"/>
                <w:b/>
                <w:sz w:val="24"/>
              </w:rPr>
              <w:t>Committee</w:t>
            </w:r>
            <w:r>
              <w:rPr>
                <w:rFonts w:ascii="Verdana"/>
                <w:b/>
                <w:spacing w:val="-5"/>
                <w:sz w:val="24"/>
              </w:rPr>
              <w:t> </w:t>
            </w:r>
            <w:r>
              <w:rPr>
                <w:rFonts w:ascii="Verdana"/>
                <w:b/>
                <w:sz w:val="24"/>
              </w:rPr>
              <w:t>Annual</w:t>
            </w:r>
            <w:r>
              <w:rPr>
                <w:rFonts w:ascii="Verdana"/>
                <w:b/>
                <w:spacing w:val="-4"/>
                <w:sz w:val="24"/>
              </w:rPr>
              <w:t> </w:t>
            </w:r>
            <w:r>
              <w:rPr>
                <w:rFonts w:ascii="Verdana"/>
                <w:b/>
                <w:sz w:val="24"/>
              </w:rPr>
              <w:t>Work</w:t>
            </w:r>
            <w:r>
              <w:rPr>
                <w:rFonts w:ascii="Verdana"/>
                <w:b/>
                <w:spacing w:val="-7"/>
                <w:sz w:val="24"/>
              </w:rPr>
              <w:t> </w:t>
            </w:r>
            <w:r>
              <w:rPr>
                <w:rFonts w:ascii="Verdana"/>
                <w:b/>
                <w:spacing w:val="-4"/>
                <w:sz w:val="24"/>
              </w:rPr>
              <w:t>Plan</w:t>
            </w:r>
          </w:p>
          <w:p>
            <w:pPr>
              <w:pStyle w:val="TableParagraph"/>
              <w:spacing w:line="291" w:lineRule="exact"/>
              <w:ind w:left="79"/>
              <w:rPr>
                <w:rFonts w:ascii="Verdana"/>
                <w:sz w:val="24"/>
              </w:rPr>
            </w:pPr>
            <w:r>
              <w:rPr>
                <w:rFonts w:ascii="Verdana"/>
                <w:sz w:val="24"/>
              </w:rPr>
              <w:t>Received</w:t>
            </w:r>
            <w:r>
              <w:rPr>
                <w:rFonts w:ascii="Verdana"/>
                <w:spacing w:val="-1"/>
                <w:sz w:val="24"/>
              </w:rPr>
              <w:t> </w:t>
            </w:r>
            <w:r>
              <w:rPr>
                <w:rFonts w:ascii="Verdana"/>
                <w:sz w:val="24"/>
              </w:rPr>
              <w:t>for</w:t>
            </w:r>
            <w:r>
              <w:rPr>
                <w:rFonts w:ascii="Verdana"/>
                <w:spacing w:val="1"/>
                <w:sz w:val="24"/>
              </w:rPr>
              <w:t> </w:t>
            </w:r>
            <w:r>
              <w:rPr>
                <w:rFonts w:ascii="Verdana"/>
                <w:spacing w:val="-2"/>
                <w:sz w:val="24"/>
              </w:rPr>
              <w:t>information.</w:t>
            </w:r>
          </w:p>
        </w:tc>
        <w:tc>
          <w:tcPr>
            <w:tcW w:w="711" w:type="dxa"/>
          </w:tcPr>
          <w:p>
            <w:pPr>
              <w:pStyle w:val="TableParagraph"/>
              <w:rPr>
                <w:rFonts w:ascii="Times New Roman"/>
                <w:sz w:val="22"/>
              </w:rPr>
            </w:pPr>
          </w:p>
        </w:tc>
      </w:tr>
      <w:tr>
        <w:trPr>
          <w:trHeight w:val="4831" w:hRule="atLeast"/>
        </w:trPr>
        <w:tc>
          <w:tcPr>
            <w:tcW w:w="1276" w:type="dxa"/>
          </w:tcPr>
          <w:p>
            <w:pPr>
              <w:pStyle w:val="TableParagraph"/>
              <w:spacing w:before="79"/>
              <w:ind w:left="8"/>
              <w:jc w:val="center"/>
              <w:rPr>
                <w:rFonts w:ascii="Verdana"/>
                <w:b/>
                <w:sz w:val="24"/>
              </w:rPr>
            </w:pPr>
            <w:r>
              <w:rPr>
                <w:rFonts w:ascii="Verdana"/>
                <w:b/>
                <w:spacing w:val="-2"/>
                <w:sz w:val="24"/>
              </w:rPr>
              <w:t>RJC/33</w:t>
            </w:r>
          </w:p>
        </w:tc>
        <w:tc>
          <w:tcPr>
            <w:tcW w:w="8509" w:type="dxa"/>
          </w:tcPr>
          <w:p>
            <w:pPr>
              <w:pStyle w:val="TableParagraph"/>
              <w:spacing w:line="291" w:lineRule="exact" w:before="79"/>
              <w:ind w:left="79"/>
              <w:rPr>
                <w:rFonts w:ascii="Verdana"/>
                <w:b/>
                <w:sz w:val="24"/>
              </w:rPr>
            </w:pPr>
            <w:r>
              <w:rPr>
                <w:rFonts w:ascii="Verdana"/>
                <w:b/>
                <w:sz w:val="24"/>
              </w:rPr>
              <w:t>Closing</w:t>
            </w:r>
            <w:r>
              <w:rPr>
                <w:rFonts w:ascii="Verdana"/>
                <w:b/>
                <w:spacing w:val="-7"/>
                <w:sz w:val="24"/>
              </w:rPr>
              <w:t> </w:t>
            </w:r>
            <w:r>
              <w:rPr>
                <w:rFonts w:ascii="Verdana"/>
                <w:b/>
                <w:spacing w:val="-2"/>
                <w:sz w:val="24"/>
              </w:rPr>
              <w:t>Remarks</w:t>
            </w:r>
          </w:p>
          <w:p>
            <w:pPr>
              <w:pStyle w:val="TableParagraph"/>
              <w:ind w:left="79" w:right="194"/>
              <w:rPr>
                <w:rFonts w:ascii="Segoe UI"/>
                <w:sz w:val="21"/>
              </w:rPr>
            </w:pPr>
            <w:r>
              <w:rPr>
                <w:rFonts w:ascii="Verdana"/>
                <w:sz w:val="24"/>
              </w:rPr>
              <w:t>The</w:t>
            </w:r>
            <w:r>
              <w:rPr>
                <w:rFonts w:ascii="Verdana"/>
                <w:spacing w:val="-4"/>
                <w:sz w:val="24"/>
              </w:rPr>
              <w:t> </w:t>
            </w:r>
            <w:r>
              <w:rPr>
                <w:rFonts w:ascii="Verdana"/>
                <w:sz w:val="24"/>
              </w:rPr>
              <w:t>Chairs</w:t>
            </w:r>
            <w:r>
              <w:rPr>
                <w:rFonts w:ascii="Verdana"/>
                <w:spacing w:val="-5"/>
                <w:sz w:val="24"/>
              </w:rPr>
              <w:t> </w:t>
            </w:r>
            <w:r>
              <w:rPr>
                <w:rFonts w:ascii="Verdana"/>
                <w:sz w:val="24"/>
              </w:rPr>
              <w:t>thanked</w:t>
            </w:r>
            <w:r>
              <w:rPr>
                <w:rFonts w:ascii="Verdana"/>
                <w:spacing w:val="-2"/>
                <w:sz w:val="24"/>
              </w:rPr>
              <w:t> </w:t>
            </w:r>
            <w:r>
              <w:rPr>
                <w:rFonts w:ascii="Verdana"/>
                <w:sz w:val="24"/>
              </w:rPr>
              <w:t>Members</w:t>
            </w:r>
            <w:r>
              <w:rPr>
                <w:rFonts w:ascii="Verdana"/>
                <w:spacing w:val="-10"/>
                <w:sz w:val="24"/>
              </w:rPr>
              <w:t> </w:t>
            </w:r>
            <w:r>
              <w:rPr>
                <w:rFonts w:ascii="Verdana"/>
                <w:sz w:val="24"/>
              </w:rPr>
              <w:t>for</w:t>
            </w:r>
            <w:r>
              <w:rPr>
                <w:rFonts w:ascii="Verdana"/>
                <w:spacing w:val="-3"/>
                <w:sz w:val="24"/>
              </w:rPr>
              <w:t> </w:t>
            </w:r>
            <w:r>
              <w:rPr>
                <w:rFonts w:ascii="Verdana"/>
                <w:sz w:val="24"/>
              </w:rPr>
              <w:t>a</w:t>
            </w:r>
            <w:r>
              <w:rPr>
                <w:rFonts w:ascii="Verdana"/>
                <w:spacing w:val="-4"/>
                <w:sz w:val="24"/>
              </w:rPr>
              <w:t> </w:t>
            </w:r>
            <w:r>
              <w:rPr>
                <w:rFonts w:ascii="Verdana"/>
                <w:sz w:val="24"/>
              </w:rPr>
              <w:t>constructive</w:t>
            </w:r>
            <w:r>
              <w:rPr>
                <w:rFonts w:ascii="Verdana"/>
                <w:spacing w:val="-4"/>
                <w:sz w:val="24"/>
              </w:rPr>
              <w:t> </w:t>
            </w:r>
            <w:r>
              <w:rPr>
                <w:rFonts w:ascii="Verdana"/>
                <w:sz w:val="24"/>
              </w:rPr>
              <w:t>and</w:t>
            </w:r>
            <w:r>
              <w:rPr>
                <w:rFonts w:ascii="Verdana"/>
                <w:spacing w:val="-5"/>
                <w:sz w:val="24"/>
              </w:rPr>
              <w:t> </w:t>
            </w:r>
            <w:r>
              <w:rPr>
                <w:rFonts w:ascii="Verdana"/>
                <w:sz w:val="24"/>
              </w:rPr>
              <w:t>wide-ranging meeting and reflected on the increasing maturity of the regional </w:t>
            </w:r>
            <w:r>
              <w:rPr>
                <w:rFonts w:ascii="Verdana"/>
                <w:spacing w:val="-2"/>
                <w:sz w:val="24"/>
              </w:rPr>
              <w:t>collaboration</w:t>
            </w:r>
            <w:r>
              <w:rPr>
                <w:rFonts w:ascii="Segoe UI"/>
                <w:spacing w:val="-2"/>
                <w:sz w:val="21"/>
              </w:rPr>
              <w:t>.</w:t>
            </w:r>
          </w:p>
          <w:p>
            <w:pPr>
              <w:pStyle w:val="TableParagraph"/>
              <w:spacing w:before="16"/>
              <w:rPr>
                <w:b/>
                <w:sz w:val="24"/>
              </w:rPr>
            </w:pPr>
          </w:p>
          <w:p>
            <w:pPr>
              <w:pStyle w:val="TableParagraph"/>
              <w:ind w:left="79"/>
              <w:rPr>
                <w:rFonts w:ascii="Verdana"/>
                <w:sz w:val="24"/>
              </w:rPr>
            </w:pPr>
            <w:r>
              <w:rPr>
                <w:rFonts w:ascii="Verdana"/>
                <w:sz w:val="24"/>
              </w:rPr>
              <w:t>JW</w:t>
            </w:r>
            <w:r>
              <w:rPr>
                <w:rFonts w:ascii="Verdana"/>
                <w:spacing w:val="-2"/>
                <w:sz w:val="24"/>
              </w:rPr>
              <w:t> </w:t>
            </w:r>
            <w:r>
              <w:rPr>
                <w:rFonts w:ascii="Verdana"/>
                <w:sz w:val="24"/>
              </w:rPr>
              <w:t>requested</w:t>
            </w:r>
            <w:r>
              <w:rPr>
                <w:rFonts w:ascii="Verdana"/>
                <w:spacing w:val="-9"/>
                <w:sz w:val="24"/>
              </w:rPr>
              <w:t> </w:t>
            </w:r>
            <w:r>
              <w:rPr>
                <w:rFonts w:ascii="Verdana"/>
                <w:sz w:val="24"/>
              </w:rPr>
              <w:t>that</w:t>
            </w:r>
            <w:r>
              <w:rPr>
                <w:rFonts w:ascii="Verdana"/>
                <w:spacing w:val="-2"/>
                <w:sz w:val="24"/>
              </w:rPr>
              <w:t> </w:t>
            </w:r>
            <w:r>
              <w:rPr>
                <w:rFonts w:ascii="Verdana"/>
                <w:sz w:val="24"/>
              </w:rPr>
              <w:t>Members</w:t>
            </w:r>
            <w:r>
              <w:rPr>
                <w:rFonts w:ascii="Verdana"/>
                <w:spacing w:val="-5"/>
                <w:sz w:val="24"/>
              </w:rPr>
              <w:t> </w:t>
            </w:r>
            <w:r>
              <w:rPr>
                <w:rFonts w:ascii="Verdana"/>
                <w:sz w:val="24"/>
              </w:rPr>
              <w:t>use</w:t>
            </w:r>
            <w:r>
              <w:rPr>
                <w:rFonts w:ascii="Verdana"/>
                <w:spacing w:val="-4"/>
                <w:sz w:val="24"/>
              </w:rPr>
              <w:t> </w:t>
            </w:r>
            <w:r>
              <w:rPr>
                <w:rFonts w:ascii="Verdana"/>
                <w:sz w:val="24"/>
              </w:rPr>
              <w:t>the</w:t>
            </w:r>
            <w:r>
              <w:rPr>
                <w:rFonts w:ascii="Verdana"/>
                <w:spacing w:val="-4"/>
                <w:sz w:val="24"/>
              </w:rPr>
              <w:t> </w:t>
            </w:r>
            <w:r>
              <w:rPr>
                <w:rFonts w:ascii="Verdana"/>
                <w:sz w:val="24"/>
              </w:rPr>
              <w:t>lessons</w:t>
            </w:r>
            <w:r>
              <w:rPr>
                <w:rFonts w:ascii="Verdana"/>
                <w:spacing w:val="-5"/>
                <w:sz w:val="24"/>
              </w:rPr>
              <w:t> </w:t>
            </w:r>
            <w:r>
              <w:rPr>
                <w:rFonts w:ascii="Verdana"/>
                <w:sz w:val="24"/>
              </w:rPr>
              <w:t>learned</w:t>
            </w:r>
            <w:r>
              <w:rPr>
                <w:rFonts w:ascii="Verdana"/>
                <w:spacing w:val="-5"/>
                <w:sz w:val="24"/>
              </w:rPr>
              <w:t> </w:t>
            </w:r>
            <w:r>
              <w:rPr>
                <w:rFonts w:ascii="Verdana"/>
                <w:sz w:val="24"/>
              </w:rPr>
              <w:t>in</w:t>
            </w:r>
            <w:r>
              <w:rPr>
                <w:rFonts w:ascii="Verdana"/>
                <w:spacing w:val="-7"/>
                <w:sz w:val="24"/>
              </w:rPr>
              <w:t> </w:t>
            </w:r>
            <w:r>
              <w:rPr>
                <w:rFonts w:ascii="Verdana"/>
                <w:sz w:val="24"/>
              </w:rPr>
              <w:t>the</w:t>
            </w:r>
            <w:r>
              <w:rPr>
                <w:rFonts w:ascii="Verdana"/>
                <w:spacing w:val="-4"/>
                <w:sz w:val="24"/>
              </w:rPr>
              <w:t> </w:t>
            </w:r>
            <w:r>
              <w:rPr>
                <w:rFonts w:ascii="Verdana"/>
                <w:sz w:val="24"/>
              </w:rPr>
              <w:t>workshop when developing services.</w:t>
            </w:r>
          </w:p>
          <w:p>
            <w:pPr>
              <w:pStyle w:val="TableParagraph"/>
              <w:spacing w:before="16"/>
              <w:rPr>
                <w:b/>
                <w:sz w:val="24"/>
              </w:rPr>
            </w:pPr>
          </w:p>
          <w:p>
            <w:pPr>
              <w:pStyle w:val="TableParagraph"/>
              <w:spacing w:line="291" w:lineRule="exact"/>
              <w:ind w:left="79"/>
              <w:rPr>
                <w:rFonts w:ascii="Verdana"/>
                <w:b/>
                <w:sz w:val="24"/>
              </w:rPr>
            </w:pPr>
            <w:r>
              <w:rPr>
                <w:rFonts w:ascii="Verdana"/>
                <w:b/>
                <w:spacing w:val="-2"/>
                <w:sz w:val="24"/>
              </w:rPr>
              <w:t>Actions/Agreements:</w:t>
            </w:r>
          </w:p>
          <w:p>
            <w:pPr>
              <w:pStyle w:val="TableParagraph"/>
              <w:ind w:left="79" w:right="114"/>
              <w:rPr>
                <w:rFonts w:ascii="Verdana"/>
                <w:sz w:val="24"/>
              </w:rPr>
            </w:pPr>
            <w:r>
              <w:rPr>
                <w:rFonts w:ascii="Verdana"/>
                <w:b/>
                <w:sz w:val="24"/>
              </w:rPr>
              <w:t>Agreement:</w:t>
            </w:r>
            <w:r>
              <w:rPr>
                <w:rFonts w:ascii="Verdana"/>
                <w:b/>
                <w:spacing w:val="-1"/>
                <w:sz w:val="24"/>
              </w:rPr>
              <w:t> </w:t>
            </w:r>
            <w:r>
              <w:rPr>
                <w:rFonts w:ascii="Verdana"/>
                <w:sz w:val="24"/>
              </w:rPr>
              <w:t>HT</w:t>
            </w:r>
            <w:r>
              <w:rPr>
                <w:rFonts w:ascii="Verdana"/>
                <w:spacing w:val="-3"/>
                <w:sz w:val="24"/>
              </w:rPr>
              <w:t> </w:t>
            </w:r>
            <w:r>
              <w:rPr>
                <w:rFonts w:ascii="Verdana"/>
                <w:sz w:val="24"/>
              </w:rPr>
              <w:t>and</w:t>
            </w:r>
            <w:r>
              <w:rPr>
                <w:rFonts w:ascii="Verdana"/>
                <w:spacing w:val="-4"/>
                <w:sz w:val="24"/>
              </w:rPr>
              <w:t> </w:t>
            </w:r>
            <w:r>
              <w:rPr>
                <w:rFonts w:ascii="Verdana"/>
                <w:sz w:val="24"/>
              </w:rPr>
              <w:t>AG</w:t>
            </w:r>
            <w:r>
              <w:rPr>
                <w:rFonts w:ascii="Verdana"/>
                <w:spacing w:val="-5"/>
                <w:sz w:val="24"/>
              </w:rPr>
              <w:t> </w:t>
            </w:r>
            <w:r>
              <w:rPr>
                <w:rFonts w:ascii="Verdana"/>
                <w:sz w:val="24"/>
              </w:rPr>
              <w:t>to</w:t>
            </w:r>
            <w:r>
              <w:rPr>
                <w:rFonts w:ascii="Verdana"/>
                <w:spacing w:val="-4"/>
                <w:sz w:val="24"/>
              </w:rPr>
              <w:t> </w:t>
            </w:r>
            <w:r>
              <w:rPr>
                <w:rFonts w:ascii="Verdana"/>
                <w:sz w:val="24"/>
              </w:rPr>
              <w:t>work</w:t>
            </w:r>
            <w:r>
              <w:rPr>
                <w:rFonts w:ascii="Verdana"/>
                <w:spacing w:val="-6"/>
                <w:sz w:val="24"/>
              </w:rPr>
              <w:t> </w:t>
            </w:r>
            <w:r>
              <w:rPr>
                <w:rFonts w:ascii="Verdana"/>
                <w:sz w:val="24"/>
              </w:rPr>
              <w:t>with</w:t>
            </w:r>
            <w:r>
              <w:rPr>
                <w:rFonts w:ascii="Verdana"/>
                <w:spacing w:val="-6"/>
                <w:sz w:val="24"/>
              </w:rPr>
              <w:t> </w:t>
            </w:r>
            <w:r>
              <w:rPr>
                <w:rFonts w:ascii="Verdana"/>
                <w:sz w:val="24"/>
              </w:rPr>
              <w:t>their</w:t>
            </w:r>
            <w:r>
              <w:rPr>
                <w:rFonts w:ascii="Verdana"/>
                <w:spacing w:val="-2"/>
                <w:sz w:val="24"/>
              </w:rPr>
              <w:t> </w:t>
            </w:r>
            <w:r>
              <w:rPr>
                <w:rFonts w:ascii="Verdana"/>
                <w:sz w:val="24"/>
              </w:rPr>
              <w:t>respective subgroups,</w:t>
            </w:r>
            <w:r>
              <w:rPr>
                <w:rFonts w:ascii="Verdana"/>
                <w:spacing w:val="-2"/>
                <w:sz w:val="24"/>
              </w:rPr>
              <w:t> </w:t>
            </w:r>
            <w:r>
              <w:rPr>
                <w:rFonts w:ascii="Verdana"/>
                <w:sz w:val="24"/>
              </w:rPr>
              <w:t>to consider how they can provide services that support the work against poverty as an organisation.</w:t>
            </w:r>
          </w:p>
          <w:p>
            <w:pPr>
              <w:pStyle w:val="TableParagraph"/>
              <w:ind w:left="79" w:right="178"/>
              <w:rPr>
                <w:rFonts w:ascii="Verdana"/>
                <w:sz w:val="24"/>
              </w:rPr>
            </w:pPr>
            <w:r>
              <w:rPr>
                <w:rFonts w:ascii="Verdana"/>
                <w:b/>
                <w:sz w:val="24"/>
              </w:rPr>
              <w:t>ACTION:</w:t>
            </w:r>
            <w:r>
              <w:rPr>
                <w:rFonts w:ascii="Verdana"/>
                <w:b/>
                <w:spacing w:val="-6"/>
                <w:sz w:val="24"/>
              </w:rPr>
              <w:t> </w:t>
            </w:r>
            <w:r>
              <w:rPr>
                <w:rFonts w:ascii="Verdana"/>
                <w:sz w:val="24"/>
              </w:rPr>
              <w:t>HT</w:t>
            </w:r>
            <w:r>
              <w:rPr>
                <w:rFonts w:ascii="Verdana"/>
                <w:spacing w:val="-2"/>
                <w:sz w:val="24"/>
              </w:rPr>
              <w:t> </w:t>
            </w:r>
            <w:r>
              <w:rPr>
                <w:rFonts w:ascii="Verdana"/>
                <w:sz w:val="24"/>
              </w:rPr>
              <w:t>to</w:t>
            </w:r>
            <w:r>
              <w:rPr>
                <w:rFonts w:ascii="Verdana"/>
                <w:spacing w:val="-3"/>
                <w:sz w:val="24"/>
              </w:rPr>
              <w:t> </w:t>
            </w:r>
            <w:r>
              <w:rPr>
                <w:rFonts w:ascii="Verdana"/>
                <w:sz w:val="24"/>
              </w:rPr>
              <w:t>ask</w:t>
            </w:r>
            <w:r>
              <w:rPr>
                <w:rFonts w:ascii="Verdana"/>
                <w:spacing w:val="-5"/>
                <w:sz w:val="24"/>
              </w:rPr>
              <w:t> </w:t>
            </w:r>
            <w:r>
              <w:rPr>
                <w:rFonts w:ascii="Verdana"/>
                <w:sz w:val="24"/>
              </w:rPr>
              <w:t>the</w:t>
            </w:r>
            <w:r>
              <w:rPr>
                <w:rFonts w:ascii="Verdana"/>
                <w:spacing w:val="-2"/>
                <w:sz w:val="24"/>
              </w:rPr>
              <w:t> </w:t>
            </w:r>
            <w:r>
              <w:rPr>
                <w:rFonts w:ascii="Verdana"/>
                <w:sz w:val="24"/>
              </w:rPr>
              <w:t>Data</w:t>
            </w:r>
            <w:r>
              <w:rPr>
                <w:rFonts w:ascii="Verdana"/>
                <w:spacing w:val="-2"/>
                <w:sz w:val="24"/>
              </w:rPr>
              <w:t> </w:t>
            </w:r>
            <w:r>
              <w:rPr>
                <w:rFonts w:ascii="Verdana"/>
                <w:sz w:val="24"/>
              </w:rPr>
              <w:t>and</w:t>
            </w:r>
            <w:r>
              <w:rPr>
                <w:rFonts w:ascii="Verdana"/>
                <w:spacing w:val="-3"/>
                <w:sz w:val="24"/>
              </w:rPr>
              <w:t> </w:t>
            </w:r>
            <w:r>
              <w:rPr>
                <w:rFonts w:ascii="Verdana"/>
                <w:sz w:val="24"/>
              </w:rPr>
              <w:t>Digital</w:t>
            </w:r>
            <w:r>
              <w:rPr>
                <w:rFonts w:ascii="Verdana"/>
                <w:spacing w:val="-9"/>
                <w:sz w:val="24"/>
              </w:rPr>
              <w:t> </w:t>
            </w:r>
            <w:r>
              <w:rPr>
                <w:rFonts w:ascii="Verdana"/>
                <w:sz w:val="24"/>
              </w:rPr>
              <w:t>Subgroup</w:t>
            </w:r>
            <w:r>
              <w:rPr>
                <w:rFonts w:ascii="Verdana"/>
                <w:spacing w:val="-3"/>
                <w:sz w:val="24"/>
              </w:rPr>
              <w:t> </w:t>
            </w:r>
            <w:r>
              <w:rPr>
                <w:rFonts w:ascii="Verdana"/>
                <w:sz w:val="24"/>
              </w:rPr>
              <w:t>to</w:t>
            </w:r>
            <w:r>
              <w:rPr>
                <w:rFonts w:ascii="Verdana"/>
                <w:spacing w:val="-3"/>
                <w:sz w:val="24"/>
              </w:rPr>
              <w:t> </w:t>
            </w:r>
            <w:r>
              <w:rPr>
                <w:rFonts w:ascii="Verdana"/>
                <w:sz w:val="24"/>
              </w:rPr>
              <w:t>consider</w:t>
            </w:r>
            <w:r>
              <w:rPr>
                <w:rFonts w:ascii="Verdana"/>
                <w:spacing w:val="-1"/>
                <w:sz w:val="24"/>
              </w:rPr>
              <w:t> </w:t>
            </w:r>
            <w:r>
              <w:rPr>
                <w:rFonts w:ascii="Verdana"/>
                <w:sz w:val="24"/>
              </w:rPr>
              <w:t>what poverty-related data can be appropriately and ethically used to inform service planning and to ask Directors of Public Health to support, where appropriate.</w:t>
            </w:r>
          </w:p>
        </w:tc>
        <w:tc>
          <w:tcPr>
            <w:tcW w:w="711" w:type="dxa"/>
          </w:tcPr>
          <w:p>
            <w:pPr>
              <w:pStyle w:val="TableParagraph"/>
              <w:rPr>
                <w:rFonts w:ascii="Times New Roman"/>
                <w:sz w:val="22"/>
              </w:rPr>
            </w:pPr>
          </w:p>
        </w:tc>
      </w:tr>
      <w:tr>
        <w:trPr>
          <w:trHeight w:val="1325" w:hRule="atLeast"/>
        </w:trPr>
        <w:tc>
          <w:tcPr>
            <w:tcW w:w="1276" w:type="dxa"/>
          </w:tcPr>
          <w:p>
            <w:pPr>
              <w:pStyle w:val="TableParagraph"/>
              <w:spacing w:before="79"/>
              <w:ind w:left="8"/>
              <w:jc w:val="center"/>
              <w:rPr>
                <w:rFonts w:ascii="Verdana"/>
                <w:b/>
                <w:sz w:val="24"/>
              </w:rPr>
            </w:pPr>
            <w:r>
              <w:rPr>
                <w:rFonts w:ascii="Verdana"/>
                <w:b/>
                <w:spacing w:val="-2"/>
                <w:sz w:val="24"/>
              </w:rPr>
              <w:t>RJC/34</w:t>
            </w:r>
          </w:p>
        </w:tc>
        <w:tc>
          <w:tcPr>
            <w:tcW w:w="8509" w:type="dxa"/>
          </w:tcPr>
          <w:p>
            <w:pPr>
              <w:pStyle w:val="TableParagraph"/>
              <w:spacing w:line="291" w:lineRule="exact" w:before="79"/>
              <w:ind w:left="79"/>
              <w:rPr>
                <w:rFonts w:ascii="Verdana"/>
                <w:b/>
                <w:sz w:val="24"/>
              </w:rPr>
            </w:pPr>
            <w:r>
              <w:rPr>
                <w:rFonts w:ascii="Verdana"/>
                <w:b/>
                <w:sz w:val="24"/>
              </w:rPr>
              <w:t>Dates of</w:t>
            </w:r>
            <w:r>
              <w:rPr>
                <w:rFonts w:ascii="Verdana"/>
                <w:b/>
                <w:spacing w:val="-3"/>
                <w:sz w:val="24"/>
              </w:rPr>
              <w:t> </w:t>
            </w:r>
            <w:r>
              <w:rPr>
                <w:rFonts w:ascii="Verdana"/>
                <w:b/>
                <w:sz w:val="24"/>
              </w:rPr>
              <w:t>Next</w:t>
            </w:r>
            <w:r>
              <w:rPr>
                <w:rFonts w:ascii="Verdana"/>
                <w:b/>
                <w:spacing w:val="-2"/>
                <w:sz w:val="24"/>
              </w:rPr>
              <w:t> </w:t>
            </w:r>
            <w:r>
              <w:rPr>
                <w:rFonts w:ascii="Verdana"/>
                <w:b/>
                <w:sz w:val="24"/>
              </w:rPr>
              <w:t>RJC</w:t>
            </w:r>
            <w:r>
              <w:rPr>
                <w:rFonts w:ascii="Verdana"/>
                <w:b/>
                <w:spacing w:val="-1"/>
                <w:sz w:val="24"/>
              </w:rPr>
              <w:t> </w:t>
            </w:r>
            <w:r>
              <w:rPr>
                <w:rFonts w:ascii="Verdana"/>
                <w:b/>
                <w:spacing w:val="-2"/>
                <w:sz w:val="24"/>
              </w:rPr>
              <w:t>Meetings:</w:t>
            </w:r>
          </w:p>
          <w:p>
            <w:pPr>
              <w:pStyle w:val="TableParagraph"/>
              <w:numPr>
                <w:ilvl w:val="0"/>
                <w:numId w:val="112"/>
              </w:numPr>
              <w:tabs>
                <w:tab w:pos="800" w:val="left" w:leader="none"/>
              </w:tabs>
              <w:spacing w:line="291" w:lineRule="exact" w:before="0" w:after="0"/>
              <w:ind w:left="800" w:right="0" w:hanging="361"/>
              <w:jc w:val="left"/>
              <w:rPr>
                <w:rFonts w:ascii="Verdana" w:hAnsi="Verdana"/>
                <w:sz w:val="24"/>
              </w:rPr>
            </w:pPr>
            <w:r>
              <w:rPr>
                <w:rFonts w:ascii="Verdana" w:hAnsi="Verdana"/>
                <w:sz w:val="24"/>
              </w:rPr>
              <w:t>23</w:t>
            </w:r>
            <w:r>
              <w:rPr>
                <w:rFonts w:ascii="Verdana" w:hAnsi="Verdana"/>
                <w:sz w:val="24"/>
                <w:vertAlign w:val="superscript"/>
              </w:rPr>
              <w:t>rd</w:t>
            </w:r>
            <w:r>
              <w:rPr>
                <w:rFonts w:ascii="Verdana" w:hAnsi="Verdana"/>
                <w:spacing w:val="-6"/>
                <w:sz w:val="24"/>
                <w:vertAlign w:val="baseline"/>
              </w:rPr>
              <w:t> </w:t>
            </w:r>
            <w:r>
              <w:rPr>
                <w:rFonts w:ascii="Verdana" w:hAnsi="Verdana"/>
                <w:sz w:val="24"/>
                <w:vertAlign w:val="baseline"/>
              </w:rPr>
              <w:t>July</w:t>
            </w:r>
            <w:r>
              <w:rPr>
                <w:rFonts w:ascii="Verdana" w:hAnsi="Verdana"/>
                <w:spacing w:val="-1"/>
                <w:sz w:val="24"/>
                <w:vertAlign w:val="baseline"/>
              </w:rPr>
              <w:t> </w:t>
            </w:r>
            <w:r>
              <w:rPr>
                <w:rFonts w:ascii="Verdana" w:hAnsi="Verdana"/>
                <w:spacing w:val="-4"/>
                <w:sz w:val="24"/>
                <w:vertAlign w:val="baseline"/>
              </w:rPr>
              <w:t>2026</w:t>
            </w:r>
          </w:p>
          <w:p>
            <w:pPr>
              <w:pStyle w:val="TableParagraph"/>
              <w:numPr>
                <w:ilvl w:val="0"/>
                <w:numId w:val="112"/>
              </w:numPr>
              <w:tabs>
                <w:tab w:pos="800" w:val="left" w:leader="none"/>
              </w:tabs>
              <w:spacing w:line="292" w:lineRule="exact" w:before="0" w:after="0"/>
              <w:ind w:left="800" w:right="0" w:hanging="361"/>
              <w:jc w:val="left"/>
              <w:rPr>
                <w:rFonts w:ascii="Verdana" w:hAnsi="Verdana"/>
                <w:sz w:val="24"/>
              </w:rPr>
            </w:pPr>
            <w:r>
              <w:rPr>
                <w:rFonts w:ascii="Verdana" w:hAnsi="Verdana"/>
                <w:sz w:val="24"/>
              </w:rPr>
              <w:t>13</w:t>
            </w:r>
            <w:r>
              <w:rPr>
                <w:rFonts w:ascii="Verdana" w:hAnsi="Verdana"/>
                <w:sz w:val="24"/>
                <w:vertAlign w:val="superscript"/>
              </w:rPr>
              <w:t>th</w:t>
            </w:r>
            <w:r>
              <w:rPr>
                <w:rFonts w:ascii="Verdana" w:hAnsi="Verdana"/>
                <w:spacing w:val="-3"/>
                <w:sz w:val="24"/>
                <w:vertAlign w:val="baseline"/>
              </w:rPr>
              <w:t> </w:t>
            </w:r>
            <w:r>
              <w:rPr>
                <w:rFonts w:ascii="Verdana" w:hAnsi="Verdana"/>
                <w:sz w:val="24"/>
                <w:vertAlign w:val="baseline"/>
              </w:rPr>
              <w:t>October</w:t>
            </w:r>
            <w:r>
              <w:rPr>
                <w:rFonts w:ascii="Verdana" w:hAnsi="Verdana"/>
                <w:spacing w:val="-2"/>
                <w:sz w:val="24"/>
                <w:vertAlign w:val="baseline"/>
              </w:rPr>
              <w:t> </w:t>
            </w:r>
            <w:r>
              <w:rPr>
                <w:rFonts w:ascii="Verdana" w:hAnsi="Verdana"/>
                <w:spacing w:val="-4"/>
                <w:sz w:val="24"/>
                <w:vertAlign w:val="baseline"/>
              </w:rPr>
              <w:t>2026</w:t>
            </w:r>
          </w:p>
          <w:p>
            <w:pPr>
              <w:pStyle w:val="TableParagraph"/>
              <w:numPr>
                <w:ilvl w:val="0"/>
                <w:numId w:val="112"/>
              </w:numPr>
              <w:tabs>
                <w:tab w:pos="800" w:val="left" w:leader="none"/>
              </w:tabs>
              <w:spacing w:line="240" w:lineRule="auto" w:before="1" w:after="0"/>
              <w:ind w:left="800" w:right="0" w:hanging="361"/>
              <w:jc w:val="left"/>
              <w:rPr>
                <w:rFonts w:ascii="Verdana" w:hAnsi="Verdana"/>
                <w:sz w:val="24"/>
              </w:rPr>
            </w:pPr>
            <w:r>
              <w:rPr>
                <w:rFonts w:ascii="Verdana" w:hAnsi="Verdana"/>
                <w:sz w:val="24"/>
              </w:rPr>
              <w:t>7</w:t>
            </w:r>
            <w:r>
              <w:rPr>
                <w:rFonts w:ascii="Verdana" w:hAnsi="Verdana"/>
                <w:sz w:val="24"/>
                <w:vertAlign w:val="superscript"/>
              </w:rPr>
              <w:t>th</w:t>
            </w:r>
            <w:r>
              <w:rPr>
                <w:rFonts w:ascii="Verdana" w:hAnsi="Verdana"/>
                <w:spacing w:val="-3"/>
                <w:sz w:val="24"/>
                <w:vertAlign w:val="baseline"/>
              </w:rPr>
              <w:t> </w:t>
            </w:r>
            <w:r>
              <w:rPr>
                <w:rFonts w:ascii="Verdana" w:hAnsi="Verdana"/>
                <w:sz w:val="24"/>
                <w:vertAlign w:val="baseline"/>
              </w:rPr>
              <w:t>January</w:t>
            </w:r>
            <w:r>
              <w:rPr>
                <w:rFonts w:ascii="Verdana" w:hAnsi="Verdana"/>
                <w:spacing w:val="-1"/>
                <w:sz w:val="24"/>
                <w:vertAlign w:val="baseline"/>
              </w:rPr>
              <w:t> </w:t>
            </w:r>
            <w:r>
              <w:rPr>
                <w:rFonts w:ascii="Verdana" w:hAnsi="Verdana"/>
                <w:spacing w:val="-4"/>
                <w:sz w:val="24"/>
                <w:vertAlign w:val="baseline"/>
              </w:rPr>
              <w:t>2027</w:t>
            </w:r>
          </w:p>
        </w:tc>
        <w:tc>
          <w:tcPr>
            <w:tcW w:w="711" w:type="dxa"/>
          </w:tcPr>
          <w:p>
            <w:pPr>
              <w:pStyle w:val="TableParagraph"/>
              <w:rPr>
                <w:rFonts w:ascii="Times New Roman"/>
                <w:sz w:val="22"/>
              </w:rPr>
            </w:pPr>
          </w:p>
        </w:tc>
      </w:tr>
    </w:tbl>
    <w:p>
      <w:pPr>
        <w:pStyle w:val="BodyText"/>
        <w:spacing w:before="15"/>
        <w:rPr>
          <w:b/>
        </w:rPr>
      </w:pPr>
    </w:p>
    <w:p>
      <w:pPr>
        <w:spacing w:before="0"/>
        <w:ind w:left="200" w:right="247" w:firstLine="0"/>
        <w:jc w:val="center"/>
        <w:rPr>
          <w:rFonts w:ascii="Verdana"/>
          <w:i/>
          <w:sz w:val="24"/>
        </w:rPr>
      </w:pPr>
      <w:r>
        <w:rPr>
          <w:rFonts w:ascii="Verdana"/>
          <w:i/>
          <w:sz w:val="24"/>
        </w:rPr>
        <w:t>The</w:t>
      </w:r>
      <w:r>
        <w:rPr>
          <w:rFonts w:ascii="Verdana"/>
          <w:i/>
          <w:spacing w:val="-1"/>
          <w:sz w:val="24"/>
        </w:rPr>
        <w:t> </w:t>
      </w:r>
      <w:r>
        <w:rPr>
          <w:rFonts w:ascii="Verdana"/>
          <w:i/>
          <w:sz w:val="24"/>
        </w:rPr>
        <w:t>meeting</w:t>
      </w:r>
      <w:r>
        <w:rPr>
          <w:rFonts w:ascii="Verdana"/>
          <w:i/>
          <w:spacing w:val="-2"/>
          <w:sz w:val="24"/>
        </w:rPr>
        <w:t> </w:t>
      </w:r>
      <w:r>
        <w:rPr>
          <w:rFonts w:ascii="Verdana"/>
          <w:i/>
          <w:sz w:val="24"/>
        </w:rPr>
        <w:t>closed</w:t>
      </w:r>
      <w:r>
        <w:rPr>
          <w:rFonts w:ascii="Verdana"/>
          <w:i/>
          <w:spacing w:val="-1"/>
          <w:sz w:val="24"/>
        </w:rPr>
        <w:t> </w:t>
      </w:r>
      <w:r>
        <w:rPr>
          <w:rFonts w:ascii="Verdana"/>
          <w:i/>
          <w:sz w:val="24"/>
        </w:rPr>
        <w:t>at</w:t>
      </w:r>
      <w:r>
        <w:rPr>
          <w:rFonts w:ascii="Verdana"/>
          <w:i/>
          <w:spacing w:val="-3"/>
          <w:sz w:val="24"/>
        </w:rPr>
        <w:t> </w:t>
      </w:r>
      <w:r>
        <w:rPr>
          <w:rFonts w:ascii="Verdana"/>
          <w:i/>
          <w:spacing w:val="-4"/>
          <w:sz w:val="24"/>
        </w:rPr>
        <w:t>12:30</w:t>
      </w:r>
    </w:p>
    <w:p>
      <w:pPr>
        <w:pStyle w:val="BodyText"/>
        <w:rPr>
          <w:rFonts w:ascii="Verdana"/>
          <w:i/>
        </w:rPr>
      </w:pPr>
    </w:p>
    <w:p>
      <w:pPr>
        <w:pStyle w:val="BodyText"/>
        <w:spacing w:before="216"/>
        <w:rPr>
          <w:rFonts w:ascii="Verdana"/>
          <w:i/>
        </w:rPr>
      </w:pPr>
    </w:p>
    <w:p>
      <w:pPr>
        <w:spacing w:before="0"/>
        <w:ind w:left="0" w:right="180" w:firstLine="0"/>
        <w:jc w:val="right"/>
        <w:rPr>
          <w:b/>
          <w:sz w:val="24"/>
        </w:rPr>
      </w:pPr>
      <w:r>
        <w:rPr>
          <w:sz w:val="24"/>
        </w:rPr>
        <w:t>Page</w:t>
      </w:r>
      <w:r>
        <w:rPr>
          <w:spacing w:val="1"/>
          <w:sz w:val="24"/>
        </w:rPr>
        <w:t> </w:t>
      </w:r>
      <w:r>
        <w:rPr>
          <w:b/>
          <w:sz w:val="24"/>
        </w:rPr>
        <w:t>11 </w:t>
      </w:r>
      <w:r>
        <w:rPr>
          <w:sz w:val="24"/>
        </w:rPr>
        <w:t>of</w:t>
      </w:r>
      <w:r>
        <w:rPr>
          <w:spacing w:val="-3"/>
          <w:sz w:val="24"/>
        </w:rPr>
        <w:t> </w:t>
      </w:r>
      <w:r>
        <w:rPr>
          <w:b/>
          <w:spacing w:val="-5"/>
          <w:sz w:val="24"/>
        </w:rPr>
        <w:t>11</w:t>
      </w:r>
    </w:p>
    <w:p>
      <w:pPr>
        <w:spacing w:after="0"/>
        <w:jc w:val="right"/>
        <w:rPr>
          <w:b/>
          <w:sz w:val="24"/>
        </w:rPr>
        <w:sectPr>
          <w:pgSz w:w="12240" w:h="15840"/>
          <w:pgMar w:header="0" w:footer="147" w:top="840" w:bottom="340" w:left="850" w:right="708"/>
        </w:sectPr>
      </w:pPr>
    </w:p>
    <w:p>
      <w:pPr>
        <w:pStyle w:val="Heading4"/>
        <w:tabs>
          <w:tab w:pos="6811" w:val="left" w:leader="none"/>
        </w:tabs>
        <w:ind w:left="173"/>
      </w:pPr>
      <w:r>
        <w:rPr>
          <w:b w:val="0"/>
          <w:spacing w:val="-5"/>
          <w:position w:val="-8"/>
          <w:sz w:val="36"/>
        </w:rPr>
        <w:t>8.2</w:t>
      </w:r>
      <w:r>
        <w:rPr>
          <w:b w:val="0"/>
          <w:position w:val="-8"/>
          <w:sz w:val="36"/>
        </w:rPr>
        <w:tab/>
      </w:r>
      <w:r>
        <w:rPr/>
        <w:t>12:20</w:t>
      </w:r>
      <w:r>
        <w:rPr>
          <w:spacing w:val="-4"/>
        </w:rPr>
        <w:t> </w:t>
      </w:r>
      <w:r>
        <w:rPr/>
        <w:t>PM,</w:t>
      </w:r>
      <w:r>
        <w:rPr>
          <w:spacing w:val="3"/>
        </w:rPr>
        <w:t> </w:t>
      </w:r>
      <w:r>
        <w:rPr/>
        <w:t>5</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744512">
                <wp:simplePos x="0" y="0"/>
                <wp:positionH relativeFrom="page">
                  <wp:posOffset>914400</wp:posOffset>
                </wp:positionH>
                <wp:positionV relativeFrom="paragraph">
                  <wp:posOffset>262302</wp:posOffset>
                </wp:positionV>
                <wp:extent cx="5730875" cy="6350"/>
                <wp:effectExtent l="0" t="0" r="0" b="0"/>
                <wp:wrapTopAndBottom/>
                <wp:docPr id="805" name="Graphic 805"/>
                <wp:cNvGraphicFramePr>
                  <a:graphicFrameLocks/>
                </wp:cNvGraphicFramePr>
                <a:graphic>
                  <a:graphicData uri="http://schemas.microsoft.com/office/word/2010/wordprocessingShape">
                    <wps:wsp>
                      <wps:cNvPr id="805" name="Graphic 805"/>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571968;mso-wrap-distance-left:0;mso-wrap-distance-right:0" id="docshape534" filled="true" fillcolor="#9f9f9f" stroked="false">
                <v:fill type="solid"/>
                <w10:wrap type="topAndBottom"/>
              </v:rect>
            </w:pict>
          </mc:Fallback>
        </mc:AlternateContent>
      </w:r>
    </w:p>
    <w:p>
      <w:pPr>
        <w:pStyle w:val="BodyText"/>
        <w:spacing w:before="176"/>
        <w:rPr>
          <w:b/>
          <w:sz w:val="22"/>
        </w:rPr>
      </w:pPr>
    </w:p>
    <w:p>
      <w:pPr>
        <w:pStyle w:val="ListParagraph"/>
        <w:numPr>
          <w:ilvl w:val="1"/>
          <w:numId w:val="102"/>
        </w:numPr>
        <w:tabs>
          <w:tab w:pos="561" w:val="left" w:leader="none"/>
          <w:tab w:pos="6896" w:val="left" w:leader="none"/>
          <w:tab w:pos="7711" w:val="left" w:leader="none"/>
        </w:tabs>
        <w:spacing w:line="160" w:lineRule="auto" w:before="1" w:after="0"/>
        <w:ind w:left="6896" w:right="18" w:hanging="6873"/>
        <w:jc w:val="right"/>
        <w:rPr>
          <w:b/>
          <w:i/>
          <w:sz w:val="22"/>
        </w:rPr>
      </w:pPr>
      <w:bookmarkStart w:name="8.2 - RJC/47: Table of Actions" w:id="92"/>
      <w:bookmarkEnd w:id="92"/>
      <w:r>
        <w:rPr/>
      </w:r>
      <w:r>
        <w:rPr>
          <w:sz w:val="32"/>
        </w:rPr>
        <w:t>- RJC/47: Table of Actions</w:t>
        <w:tab/>
        <w:tab/>
      </w:r>
      <w:r>
        <w:rPr>
          <w:b/>
          <w:i/>
          <w:position w:val="9"/>
          <w:sz w:val="22"/>
        </w:rPr>
        <w:t>Jan</w:t>
      </w:r>
      <w:r>
        <w:rPr>
          <w:b/>
          <w:i/>
          <w:spacing w:val="-16"/>
          <w:position w:val="9"/>
          <w:sz w:val="22"/>
        </w:rPr>
        <w:t> </w:t>
      </w:r>
      <w:r>
        <w:rPr>
          <w:b/>
          <w:i/>
          <w:position w:val="9"/>
          <w:sz w:val="22"/>
        </w:rPr>
        <w:t>Williams</w:t>
      </w:r>
      <w:r>
        <w:rPr>
          <w:b/>
          <w:i/>
          <w:position w:val="9"/>
          <w:sz w:val="22"/>
        </w:rPr>
        <w:t> </w:t>
      </w:r>
      <w:r>
        <w:rPr>
          <w:b/>
          <w:i/>
          <w:sz w:val="22"/>
        </w:rPr>
        <w:t>(Swansea</w:t>
      </w:r>
      <w:r>
        <w:rPr>
          <w:b/>
          <w:i/>
          <w:spacing w:val="-2"/>
          <w:sz w:val="22"/>
        </w:rPr>
        <w:t> </w:t>
      </w:r>
      <w:r>
        <w:rPr>
          <w:b/>
          <w:i/>
          <w:sz w:val="22"/>
        </w:rPr>
        <w:t>Bay</w:t>
      </w:r>
      <w:r>
        <w:rPr>
          <w:b/>
          <w:i/>
          <w:spacing w:val="-2"/>
          <w:sz w:val="22"/>
        </w:rPr>
        <w:t> </w:t>
      </w:r>
      <w:r>
        <w:rPr>
          <w:b/>
          <w:i/>
          <w:sz w:val="22"/>
        </w:rPr>
        <w:t>UHB </w:t>
      </w:r>
      <w:r>
        <w:rPr>
          <w:b/>
          <w:i/>
          <w:spacing w:val="-10"/>
          <w:sz w:val="22"/>
        </w:rPr>
        <w:t>-</w:t>
      </w:r>
    </w:p>
    <w:p>
      <w:pPr>
        <w:spacing w:line="259" w:lineRule="auto" w:before="38"/>
        <w:ind w:left="6846" w:right="16" w:firstLine="550"/>
        <w:jc w:val="right"/>
        <w:rPr>
          <w:b/>
          <w:i/>
          <w:sz w:val="22"/>
        </w:rPr>
      </w:pPr>
      <w:r>
        <w:rPr>
          <w:b/>
          <w:i/>
          <w:sz w:val="22"/>
        </w:rPr>
        <w:t>Corporate),</w:t>
      </w:r>
      <w:r>
        <w:rPr>
          <w:b/>
          <w:i/>
          <w:spacing w:val="-16"/>
          <w:sz w:val="22"/>
        </w:rPr>
        <w:t> </w:t>
      </w:r>
      <w:r>
        <w:rPr>
          <w:b/>
          <w:i/>
          <w:sz w:val="22"/>
        </w:rPr>
        <w:t>Neil</w:t>
      </w:r>
      <w:r>
        <w:rPr>
          <w:b/>
          <w:i/>
          <w:sz w:val="22"/>
        </w:rPr>
        <w:t> Wooding</w:t>
      </w:r>
      <w:r>
        <w:rPr>
          <w:b/>
          <w:i/>
          <w:spacing w:val="-6"/>
          <w:sz w:val="22"/>
        </w:rPr>
        <w:t> </w:t>
      </w:r>
      <w:r>
        <w:rPr>
          <w:b/>
          <w:i/>
          <w:sz w:val="22"/>
        </w:rPr>
        <w:t>(Hywel</w:t>
      </w:r>
      <w:r>
        <w:rPr>
          <w:b/>
          <w:i/>
          <w:spacing w:val="-9"/>
          <w:sz w:val="22"/>
        </w:rPr>
        <w:t> </w:t>
      </w:r>
      <w:r>
        <w:rPr>
          <w:b/>
          <w:i/>
          <w:sz w:val="22"/>
        </w:rPr>
        <w:t>Dda UHB</w:t>
      </w:r>
      <w:r>
        <w:rPr>
          <w:b/>
          <w:i/>
          <w:spacing w:val="-7"/>
          <w:sz w:val="22"/>
        </w:rPr>
        <w:t> </w:t>
      </w:r>
      <w:r>
        <w:rPr>
          <w:b/>
          <w:i/>
          <w:sz w:val="22"/>
        </w:rPr>
        <w:t>-</w:t>
      </w:r>
      <w:r>
        <w:rPr>
          <w:b/>
          <w:i/>
          <w:spacing w:val="-7"/>
          <w:sz w:val="22"/>
        </w:rPr>
        <w:t> </w:t>
      </w:r>
      <w:r>
        <w:rPr>
          <w:b/>
          <w:i/>
          <w:sz w:val="22"/>
        </w:rPr>
        <w:t>Chair</w:t>
      </w:r>
      <w:r>
        <w:rPr>
          <w:b/>
          <w:i/>
          <w:spacing w:val="-9"/>
          <w:sz w:val="22"/>
        </w:rPr>
        <w:t> </w:t>
      </w:r>
      <w:r>
        <w:rPr>
          <w:b/>
          <w:i/>
          <w:sz w:val="22"/>
        </w:rPr>
        <w:t>of</w:t>
      </w:r>
      <w:r>
        <w:rPr>
          <w:b/>
          <w:i/>
          <w:spacing w:val="-6"/>
          <w:sz w:val="22"/>
        </w:rPr>
        <w:t> </w:t>
      </w:r>
      <w:r>
        <w:rPr>
          <w:b/>
          <w:i/>
          <w:sz w:val="22"/>
        </w:rPr>
        <w:t>Hywel Dda University Health Board)</w:t>
      </w: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40"/>
        <w:rPr>
          <w:b/>
          <w:i/>
          <w:sz w:val="22"/>
        </w:rPr>
      </w:pPr>
    </w:p>
    <w:p>
      <w:pPr>
        <w:spacing w:before="0"/>
        <w:ind w:left="23" w:right="0" w:firstLine="0"/>
        <w:jc w:val="left"/>
        <w:rPr>
          <w:b/>
          <w:sz w:val="22"/>
        </w:rPr>
      </w:pPr>
      <w:r>
        <w:rPr>
          <w:b/>
          <w:spacing w:val="-2"/>
          <w:sz w:val="22"/>
        </w:rPr>
        <w:t>Attachments</w:t>
      </w:r>
    </w:p>
    <w:p>
      <w:pPr>
        <w:spacing w:before="175"/>
        <w:ind w:left="23" w:right="0" w:firstLine="0"/>
        <w:jc w:val="left"/>
        <w:rPr>
          <w:sz w:val="18"/>
        </w:rPr>
      </w:pPr>
      <w:r>
        <w:rPr>
          <w:sz w:val="18"/>
          <w:u w:val="single"/>
        </w:rPr>
        <w:t>RJC</w:t>
      </w:r>
      <w:r>
        <w:rPr>
          <w:spacing w:val="-1"/>
          <w:sz w:val="18"/>
          <w:u w:val="single"/>
        </w:rPr>
        <w:t> </w:t>
      </w:r>
      <w:r>
        <w:rPr>
          <w:sz w:val="18"/>
          <w:u w:val="single"/>
        </w:rPr>
        <w:t>47 Regional</w:t>
      </w:r>
      <w:r>
        <w:rPr>
          <w:spacing w:val="-2"/>
          <w:sz w:val="18"/>
          <w:u w:val="single"/>
        </w:rPr>
        <w:t> </w:t>
      </w:r>
      <w:r>
        <w:rPr>
          <w:sz w:val="18"/>
          <w:u w:val="single"/>
        </w:rPr>
        <w:t>Joint Committee Table</w:t>
      </w:r>
      <w:r>
        <w:rPr>
          <w:spacing w:val="-1"/>
          <w:sz w:val="18"/>
          <w:u w:val="single"/>
        </w:rPr>
        <w:t> </w:t>
      </w:r>
      <w:r>
        <w:rPr>
          <w:sz w:val="18"/>
          <w:u w:val="single"/>
        </w:rPr>
        <w:t>of</w:t>
      </w:r>
      <w:r>
        <w:rPr>
          <w:spacing w:val="-1"/>
          <w:sz w:val="18"/>
          <w:u w:val="single"/>
        </w:rPr>
        <w:t> </w:t>
      </w:r>
      <w:r>
        <w:rPr>
          <w:sz w:val="18"/>
          <w:u w:val="single"/>
        </w:rPr>
        <w:t>Actions</w:t>
      </w:r>
      <w:r>
        <w:rPr>
          <w:spacing w:val="-1"/>
          <w:sz w:val="18"/>
          <w:u w:val="single"/>
        </w:rPr>
        <w:t> </w:t>
      </w:r>
      <w:r>
        <w:rPr>
          <w:spacing w:val="-2"/>
          <w:sz w:val="18"/>
          <w:u w:val="single"/>
        </w:rPr>
        <w:t>13102026.pdf</w:t>
      </w:r>
    </w:p>
    <w:p>
      <w:pPr>
        <w:spacing w:after="0"/>
        <w:jc w:val="left"/>
        <w:rPr>
          <w:sz w:val="18"/>
        </w:rPr>
        <w:sectPr>
          <w:footerReference w:type="default" r:id="rId120"/>
          <w:pgSz w:w="11910" w:h="16840"/>
          <w:pgMar w:header="0" w:footer="149" w:top="1940" w:bottom="340" w:left="1417" w:right="1417"/>
        </w:sectPr>
      </w:pPr>
    </w:p>
    <w:p>
      <w:pPr>
        <w:tabs>
          <w:tab w:pos="8702" w:val="left" w:leader="none"/>
        </w:tabs>
        <w:spacing w:line="240" w:lineRule="auto"/>
        <w:ind w:left="23" w:right="0" w:firstLine="0"/>
        <w:rPr>
          <w:position w:val="1"/>
          <w:sz w:val="20"/>
        </w:rPr>
      </w:pPr>
      <w:r>
        <w:rPr>
          <w:sz w:val="20"/>
        </w:rPr>
        <w:drawing>
          <wp:inline distT="0" distB="0" distL="0" distR="0">
            <wp:extent cx="2484583" cy="542544"/>
            <wp:effectExtent l="0" t="0" r="0" b="0"/>
            <wp:docPr id="807" name="Image 807"/>
            <wp:cNvGraphicFramePr>
              <a:graphicFrameLocks/>
            </wp:cNvGraphicFramePr>
            <a:graphic>
              <a:graphicData uri="http://schemas.openxmlformats.org/drawingml/2006/picture">
                <pic:pic>
                  <pic:nvPicPr>
                    <pic:cNvPr id="807" name="Image 807"/>
                    <pic:cNvPicPr/>
                  </pic:nvPicPr>
                  <pic:blipFill>
                    <a:blip r:embed="rId118" cstate="print"/>
                    <a:stretch>
                      <a:fillRect/>
                    </a:stretch>
                  </pic:blipFill>
                  <pic:spPr>
                    <a:xfrm>
                      <a:off x="0" y="0"/>
                      <a:ext cx="2484583" cy="542544"/>
                    </a:xfrm>
                    <a:prstGeom prst="rect">
                      <a:avLst/>
                    </a:prstGeom>
                  </pic:spPr>
                </pic:pic>
              </a:graphicData>
            </a:graphic>
          </wp:inline>
        </w:drawing>
      </w:r>
      <w:r>
        <w:rPr>
          <w:sz w:val="20"/>
        </w:rPr>
      </w:r>
      <w:r>
        <w:rPr>
          <w:sz w:val="20"/>
        </w:rPr>
        <w:tab/>
      </w:r>
      <w:r>
        <w:rPr>
          <w:position w:val="1"/>
          <w:sz w:val="20"/>
        </w:rPr>
        <w:drawing>
          <wp:inline distT="0" distB="0" distL="0" distR="0">
            <wp:extent cx="2229101" cy="518160"/>
            <wp:effectExtent l="0" t="0" r="0" b="0"/>
            <wp:docPr id="808" name="Image 808"/>
            <wp:cNvGraphicFramePr>
              <a:graphicFrameLocks/>
            </wp:cNvGraphicFramePr>
            <a:graphic>
              <a:graphicData uri="http://schemas.openxmlformats.org/drawingml/2006/picture">
                <pic:pic>
                  <pic:nvPicPr>
                    <pic:cNvPr id="808" name="Image 808"/>
                    <pic:cNvPicPr/>
                  </pic:nvPicPr>
                  <pic:blipFill>
                    <a:blip r:embed="rId119" cstate="print"/>
                    <a:stretch>
                      <a:fillRect/>
                    </a:stretch>
                  </pic:blipFill>
                  <pic:spPr>
                    <a:xfrm>
                      <a:off x="0" y="0"/>
                      <a:ext cx="2229101" cy="518160"/>
                    </a:xfrm>
                    <a:prstGeom prst="rect">
                      <a:avLst/>
                    </a:prstGeom>
                  </pic:spPr>
                </pic:pic>
              </a:graphicData>
            </a:graphic>
          </wp:inline>
        </w:drawing>
      </w:r>
      <w:r>
        <w:rPr>
          <w:position w:val="1"/>
          <w:sz w:val="20"/>
        </w:rPr>
      </w:r>
    </w:p>
    <w:p>
      <w:pPr>
        <w:pStyle w:val="BodyText"/>
      </w:pPr>
    </w:p>
    <w:p>
      <w:pPr>
        <w:pStyle w:val="BodyText"/>
        <w:spacing w:before="32"/>
      </w:pPr>
    </w:p>
    <w:p>
      <w:pPr>
        <w:spacing w:before="0"/>
        <w:ind w:left="3644" w:right="0" w:hanging="3367"/>
        <w:jc w:val="left"/>
        <w:rPr>
          <w:rFonts w:ascii="Verdana"/>
          <w:b/>
          <w:sz w:val="24"/>
        </w:rPr>
      </w:pPr>
      <w:bookmarkStart w:name="Attachments" w:id="93"/>
      <w:bookmarkEnd w:id="93"/>
      <w:r>
        <w:rPr/>
      </w:r>
      <w:bookmarkStart w:name="RJC 47 Regional Joint Committee Table of" w:id="94"/>
      <w:bookmarkEnd w:id="94"/>
      <w:r>
        <w:rPr/>
      </w:r>
      <w:r>
        <w:rPr>
          <w:rFonts w:ascii="Verdana"/>
          <w:b/>
          <w:sz w:val="24"/>
        </w:rPr>
        <w:t>Table</w:t>
      </w:r>
      <w:r>
        <w:rPr>
          <w:rFonts w:ascii="Verdana"/>
          <w:b/>
          <w:spacing w:val="-4"/>
          <w:sz w:val="24"/>
        </w:rPr>
        <w:t> </w:t>
      </w:r>
      <w:r>
        <w:rPr>
          <w:rFonts w:ascii="Verdana"/>
          <w:b/>
          <w:sz w:val="24"/>
        </w:rPr>
        <w:t>of</w:t>
      </w:r>
      <w:r>
        <w:rPr>
          <w:rFonts w:ascii="Verdana"/>
          <w:b/>
          <w:spacing w:val="-6"/>
          <w:sz w:val="24"/>
        </w:rPr>
        <w:t> </w:t>
      </w:r>
      <w:r>
        <w:rPr>
          <w:rFonts w:ascii="Verdana"/>
          <w:b/>
          <w:sz w:val="24"/>
        </w:rPr>
        <w:t>Actions</w:t>
      </w:r>
      <w:r>
        <w:rPr>
          <w:rFonts w:ascii="Verdana"/>
          <w:b/>
          <w:spacing w:val="-2"/>
          <w:sz w:val="24"/>
        </w:rPr>
        <w:t> </w:t>
      </w:r>
      <w:r>
        <w:rPr>
          <w:rFonts w:ascii="Verdana"/>
          <w:b/>
          <w:sz w:val="24"/>
        </w:rPr>
        <w:t>from</w:t>
      </w:r>
      <w:r>
        <w:rPr>
          <w:rFonts w:ascii="Verdana"/>
          <w:b/>
          <w:spacing w:val="-1"/>
          <w:sz w:val="24"/>
        </w:rPr>
        <w:t> </w:t>
      </w:r>
      <w:r>
        <w:rPr>
          <w:rFonts w:ascii="Verdana"/>
          <w:b/>
          <w:sz w:val="24"/>
        </w:rPr>
        <w:t>Hywel</w:t>
      </w:r>
      <w:r>
        <w:rPr>
          <w:rFonts w:ascii="Verdana"/>
          <w:b/>
          <w:spacing w:val="-1"/>
          <w:sz w:val="24"/>
        </w:rPr>
        <w:t> </w:t>
      </w:r>
      <w:r>
        <w:rPr>
          <w:rFonts w:ascii="Verdana"/>
          <w:b/>
          <w:sz w:val="24"/>
        </w:rPr>
        <w:t>Dda</w:t>
      </w:r>
      <w:r>
        <w:rPr>
          <w:rFonts w:ascii="Verdana"/>
          <w:b/>
          <w:spacing w:val="-5"/>
          <w:sz w:val="24"/>
        </w:rPr>
        <w:t> </w:t>
      </w:r>
      <w:r>
        <w:rPr>
          <w:rFonts w:ascii="Verdana"/>
          <w:b/>
          <w:sz w:val="24"/>
        </w:rPr>
        <w:t>University</w:t>
      </w:r>
      <w:r>
        <w:rPr>
          <w:rFonts w:ascii="Verdana"/>
          <w:b/>
          <w:spacing w:val="-5"/>
          <w:sz w:val="24"/>
        </w:rPr>
        <w:t> </w:t>
      </w:r>
      <w:r>
        <w:rPr>
          <w:rFonts w:ascii="Verdana"/>
          <w:b/>
          <w:sz w:val="24"/>
        </w:rPr>
        <w:t>Health</w:t>
      </w:r>
      <w:r>
        <w:rPr>
          <w:rFonts w:ascii="Verdana"/>
          <w:b/>
          <w:spacing w:val="-5"/>
          <w:sz w:val="24"/>
        </w:rPr>
        <w:t> </w:t>
      </w:r>
      <w:r>
        <w:rPr>
          <w:rFonts w:ascii="Verdana"/>
          <w:b/>
          <w:sz w:val="24"/>
        </w:rPr>
        <w:t>Board</w:t>
      </w:r>
      <w:r>
        <w:rPr>
          <w:rFonts w:ascii="Verdana"/>
          <w:b/>
          <w:spacing w:val="-2"/>
          <w:sz w:val="24"/>
        </w:rPr>
        <w:t> </w:t>
      </w:r>
      <w:r>
        <w:rPr>
          <w:rFonts w:ascii="Verdana"/>
          <w:b/>
          <w:sz w:val="24"/>
        </w:rPr>
        <w:t>and</w:t>
      </w:r>
      <w:r>
        <w:rPr>
          <w:rFonts w:ascii="Verdana"/>
          <w:b/>
          <w:spacing w:val="-3"/>
          <w:sz w:val="24"/>
        </w:rPr>
        <w:t> </w:t>
      </w:r>
      <w:r>
        <w:rPr>
          <w:rFonts w:ascii="Verdana"/>
          <w:b/>
          <w:sz w:val="24"/>
        </w:rPr>
        <w:t>Swansea</w:t>
      </w:r>
      <w:r>
        <w:rPr>
          <w:rFonts w:ascii="Verdana"/>
          <w:b/>
          <w:spacing w:val="-4"/>
          <w:sz w:val="24"/>
        </w:rPr>
        <w:t> </w:t>
      </w:r>
      <w:r>
        <w:rPr>
          <w:rFonts w:ascii="Verdana"/>
          <w:b/>
          <w:sz w:val="24"/>
        </w:rPr>
        <w:t>Bay</w:t>
      </w:r>
      <w:r>
        <w:rPr>
          <w:rFonts w:ascii="Verdana"/>
          <w:b/>
          <w:spacing w:val="-1"/>
          <w:sz w:val="24"/>
        </w:rPr>
        <w:t> </w:t>
      </w:r>
      <w:r>
        <w:rPr>
          <w:rFonts w:ascii="Verdana"/>
          <w:b/>
          <w:sz w:val="24"/>
        </w:rPr>
        <w:t>University Health</w:t>
      </w:r>
      <w:r>
        <w:rPr>
          <w:rFonts w:ascii="Verdana"/>
          <w:b/>
          <w:spacing w:val="-5"/>
          <w:sz w:val="24"/>
        </w:rPr>
        <w:t> </w:t>
      </w:r>
      <w:r>
        <w:rPr>
          <w:rFonts w:ascii="Verdana"/>
          <w:b/>
          <w:sz w:val="24"/>
        </w:rPr>
        <w:t>Board Regional Joint Committee Meeting 16</w:t>
      </w:r>
      <w:r>
        <w:rPr>
          <w:rFonts w:ascii="Verdana"/>
          <w:b/>
          <w:sz w:val="24"/>
          <w:vertAlign w:val="superscript"/>
        </w:rPr>
        <w:t>th</w:t>
      </w:r>
      <w:r>
        <w:rPr>
          <w:rFonts w:ascii="Verdana"/>
          <w:b/>
          <w:sz w:val="24"/>
          <w:vertAlign w:val="baseline"/>
        </w:rPr>
        <w:t> April 2026</w:t>
      </w:r>
    </w:p>
    <w:p>
      <w:pPr>
        <w:pStyle w:val="BodyText"/>
        <w:rPr>
          <w:rFonts w:ascii="Verdana"/>
          <w:b/>
          <w:sz w:val="20"/>
        </w:rPr>
      </w:pPr>
    </w:p>
    <w:p>
      <w:pPr>
        <w:pStyle w:val="BodyText"/>
        <w:spacing w:before="98"/>
        <w:rPr>
          <w:rFonts w:ascii="Verdana"/>
          <w:b/>
          <w:sz w:val="20"/>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1"/>
        <w:gridCol w:w="4902"/>
        <w:gridCol w:w="1530"/>
        <w:gridCol w:w="1735"/>
        <w:gridCol w:w="3431"/>
        <w:gridCol w:w="784"/>
      </w:tblGrid>
      <w:tr>
        <w:trPr>
          <w:trHeight w:val="585" w:hRule="atLeast"/>
        </w:trPr>
        <w:tc>
          <w:tcPr>
            <w:tcW w:w="1221" w:type="dxa"/>
            <w:shd w:val="clear" w:color="auto" w:fill="BEBEBE"/>
          </w:tcPr>
          <w:p>
            <w:pPr>
              <w:pStyle w:val="TableParagraph"/>
              <w:spacing w:line="296" w:lineRule="exact"/>
              <w:ind w:left="345" w:right="132" w:hanging="195"/>
              <w:rPr>
                <w:rFonts w:ascii="Verdana"/>
                <w:b/>
                <w:sz w:val="24"/>
              </w:rPr>
            </w:pPr>
            <w:r>
              <w:rPr>
                <w:rFonts w:ascii="Verdana"/>
                <w:b/>
                <w:spacing w:val="-2"/>
                <w:sz w:val="24"/>
              </w:rPr>
              <w:t>Minute </w:t>
            </w:r>
            <w:r>
              <w:rPr>
                <w:rFonts w:ascii="Verdana"/>
                <w:b/>
                <w:spacing w:val="-4"/>
                <w:sz w:val="24"/>
              </w:rPr>
              <w:t>Ref.</w:t>
            </w:r>
          </w:p>
        </w:tc>
        <w:tc>
          <w:tcPr>
            <w:tcW w:w="4902" w:type="dxa"/>
            <w:shd w:val="clear" w:color="auto" w:fill="BEBEBE"/>
          </w:tcPr>
          <w:p>
            <w:pPr>
              <w:pStyle w:val="TableParagraph"/>
              <w:spacing w:line="290" w:lineRule="exact"/>
              <w:ind w:left="104"/>
              <w:rPr>
                <w:rFonts w:ascii="Verdana"/>
                <w:b/>
                <w:sz w:val="24"/>
              </w:rPr>
            </w:pPr>
            <w:r>
              <w:rPr>
                <w:rFonts w:ascii="Verdana"/>
                <w:b/>
                <w:spacing w:val="-2"/>
                <w:sz w:val="24"/>
              </w:rPr>
              <w:t>Action</w:t>
            </w:r>
          </w:p>
        </w:tc>
        <w:tc>
          <w:tcPr>
            <w:tcW w:w="1530" w:type="dxa"/>
            <w:shd w:val="clear" w:color="auto" w:fill="BEBEBE"/>
          </w:tcPr>
          <w:p>
            <w:pPr>
              <w:pStyle w:val="TableParagraph"/>
              <w:spacing w:line="290" w:lineRule="exact"/>
              <w:ind w:left="5" w:right="5"/>
              <w:jc w:val="center"/>
              <w:rPr>
                <w:rFonts w:ascii="Verdana"/>
                <w:b/>
                <w:sz w:val="24"/>
              </w:rPr>
            </w:pPr>
            <w:r>
              <w:rPr>
                <w:rFonts w:ascii="Verdana"/>
                <w:b/>
                <w:spacing w:val="-4"/>
                <w:sz w:val="24"/>
              </w:rPr>
              <w:t>Lead</w:t>
            </w:r>
          </w:p>
        </w:tc>
        <w:tc>
          <w:tcPr>
            <w:tcW w:w="1735" w:type="dxa"/>
            <w:shd w:val="clear" w:color="auto" w:fill="BEBEBE"/>
          </w:tcPr>
          <w:p>
            <w:pPr>
              <w:pStyle w:val="TableParagraph"/>
              <w:spacing w:line="290" w:lineRule="exact"/>
              <w:ind w:left="9" w:right="2"/>
              <w:jc w:val="center"/>
              <w:rPr>
                <w:rFonts w:ascii="Verdana"/>
                <w:b/>
                <w:sz w:val="24"/>
              </w:rPr>
            </w:pPr>
            <w:r>
              <w:rPr>
                <w:rFonts w:ascii="Verdana"/>
                <w:b/>
                <w:spacing w:val="-2"/>
                <w:sz w:val="24"/>
              </w:rPr>
              <w:t>Timescale</w:t>
            </w:r>
          </w:p>
        </w:tc>
        <w:tc>
          <w:tcPr>
            <w:tcW w:w="3431" w:type="dxa"/>
            <w:shd w:val="clear" w:color="auto" w:fill="BEBEBE"/>
          </w:tcPr>
          <w:p>
            <w:pPr>
              <w:pStyle w:val="TableParagraph"/>
              <w:spacing w:line="290" w:lineRule="exact"/>
              <w:ind w:left="104"/>
              <w:rPr>
                <w:rFonts w:ascii="Verdana"/>
                <w:b/>
                <w:sz w:val="24"/>
              </w:rPr>
            </w:pPr>
            <w:r>
              <w:rPr>
                <w:rFonts w:ascii="Verdana"/>
                <w:b/>
                <w:spacing w:val="-2"/>
                <w:sz w:val="24"/>
              </w:rPr>
              <w:t>Progress</w:t>
            </w:r>
          </w:p>
        </w:tc>
        <w:tc>
          <w:tcPr>
            <w:tcW w:w="784" w:type="dxa"/>
            <w:shd w:val="clear" w:color="auto" w:fill="BEBEBE"/>
          </w:tcPr>
          <w:p>
            <w:pPr>
              <w:pStyle w:val="TableParagraph"/>
              <w:spacing w:line="290" w:lineRule="exact"/>
              <w:ind w:left="109"/>
              <w:rPr>
                <w:rFonts w:ascii="Verdana"/>
                <w:b/>
                <w:sz w:val="24"/>
              </w:rPr>
            </w:pPr>
            <w:r>
              <w:rPr>
                <w:rFonts w:ascii="Verdana"/>
                <w:b/>
                <w:spacing w:val="-5"/>
                <w:sz w:val="24"/>
              </w:rPr>
              <w:t>RAG</w:t>
            </w:r>
          </w:p>
        </w:tc>
      </w:tr>
      <w:tr>
        <w:trPr>
          <w:trHeight w:val="3051" w:hRule="atLeast"/>
        </w:trPr>
        <w:tc>
          <w:tcPr>
            <w:tcW w:w="1221" w:type="dxa"/>
            <w:tcBorders>
              <w:bottom w:val="nil"/>
            </w:tcBorders>
          </w:tcPr>
          <w:p>
            <w:pPr>
              <w:pStyle w:val="TableParagraph"/>
              <w:spacing w:line="284" w:lineRule="exact"/>
              <w:ind w:left="110"/>
              <w:rPr>
                <w:rFonts w:ascii="Verdana"/>
                <w:b/>
                <w:sz w:val="24"/>
              </w:rPr>
            </w:pPr>
            <w:r>
              <w:rPr>
                <w:rFonts w:ascii="Verdana"/>
                <w:b/>
                <w:spacing w:val="-2"/>
                <w:sz w:val="24"/>
              </w:rPr>
              <w:t>RJC/22</w:t>
            </w:r>
          </w:p>
        </w:tc>
        <w:tc>
          <w:tcPr>
            <w:tcW w:w="4902" w:type="dxa"/>
            <w:tcBorders>
              <w:bottom w:val="nil"/>
            </w:tcBorders>
          </w:tcPr>
          <w:p>
            <w:pPr>
              <w:pStyle w:val="TableParagraph"/>
              <w:ind w:left="104"/>
              <w:rPr>
                <w:rFonts w:ascii="Verdana"/>
                <w:sz w:val="24"/>
              </w:rPr>
            </w:pPr>
            <w:r>
              <w:rPr>
                <w:rFonts w:ascii="Verdana"/>
                <w:sz w:val="24"/>
              </w:rPr>
              <w:t>RJC PMO supported by Local Public Health Teams, to produce a clear baseline position on current stroke services (projections, activity, outcomes) across both Health Boards and ensure this demonstrates how HDdUHB CSP proposals benefit the regional</w:t>
            </w:r>
            <w:r>
              <w:rPr>
                <w:rFonts w:ascii="Verdana"/>
                <w:spacing w:val="-9"/>
                <w:sz w:val="24"/>
              </w:rPr>
              <w:t> </w:t>
            </w:r>
            <w:r>
              <w:rPr>
                <w:rFonts w:ascii="Verdana"/>
                <w:sz w:val="24"/>
              </w:rPr>
              <w:t>service</w:t>
            </w:r>
            <w:r>
              <w:rPr>
                <w:rFonts w:ascii="Verdana"/>
                <w:spacing w:val="-11"/>
                <w:sz w:val="24"/>
              </w:rPr>
              <w:t> </w:t>
            </w:r>
            <w:r>
              <w:rPr>
                <w:rFonts w:ascii="Verdana"/>
                <w:sz w:val="24"/>
              </w:rPr>
              <w:t>model,</w:t>
            </w:r>
            <w:r>
              <w:rPr>
                <w:rFonts w:ascii="Verdana"/>
                <w:spacing w:val="-6"/>
                <w:sz w:val="24"/>
              </w:rPr>
              <w:t> </w:t>
            </w:r>
            <w:r>
              <w:rPr>
                <w:rFonts w:ascii="Verdana"/>
                <w:sz w:val="24"/>
              </w:rPr>
              <w:t>using</w:t>
            </w:r>
            <w:r>
              <w:rPr>
                <w:rFonts w:ascii="Verdana"/>
                <w:spacing w:val="-8"/>
                <w:sz w:val="24"/>
              </w:rPr>
              <w:t> </w:t>
            </w:r>
            <w:r>
              <w:rPr>
                <w:rFonts w:ascii="Verdana"/>
                <w:sz w:val="24"/>
              </w:rPr>
              <w:t>baseline data.</w:t>
            </w:r>
            <w:r>
              <w:rPr>
                <w:rFonts w:ascii="Verdana"/>
                <w:spacing w:val="40"/>
                <w:sz w:val="24"/>
              </w:rPr>
              <w:t> </w:t>
            </w:r>
            <w:r>
              <w:rPr>
                <w:rFonts w:ascii="Verdana"/>
                <w:sz w:val="24"/>
              </w:rPr>
              <w:t>To include as a presentation</w:t>
            </w:r>
            <w:r>
              <w:rPr>
                <w:rFonts w:ascii="Verdana"/>
                <w:spacing w:val="-3"/>
                <w:sz w:val="24"/>
              </w:rPr>
              <w:t> </w:t>
            </w:r>
            <w:r>
              <w:rPr>
                <w:rFonts w:ascii="Verdana"/>
                <w:sz w:val="24"/>
              </w:rPr>
              <w:t>on the RJC agenda for July 2026.</w:t>
            </w:r>
          </w:p>
        </w:tc>
        <w:tc>
          <w:tcPr>
            <w:tcW w:w="1530" w:type="dxa"/>
            <w:tcBorders>
              <w:bottom w:val="nil"/>
            </w:tcBorders>
          </w:tcPr>
          <w:p>
            <w:pPr>
              <w:pStyle w:val="TableParagraph"/>
              <w:spacing w:line="284" w:lineRule="exact"/>
              <w:ind w:left="9" w:right="4"/>
              <w:jc w:val="center"/>
              <w:rPr>
                <w:rFonts w:ascii="Verdana"/>
                <w:b/>
                <w:sz w:val="24"/>
              </w:rPr>
            </w:pPr>
            <w:r>
              <w:rPr>
                <w:rFonts w:ascii="Verdana"/>
                <w:b/>
                <w:sz w:val="24"/>
              </w:rPr>
              <w:t>RJC</w:t>
            </w:r>
            <w:r>
              <w:rPr>
                <w:rFonts w:ascii="Verdana"/>
                <w:b/>
                <w:spacing w:val="1"/>
                <w:sz w:val="24"/>
              </w:rPr>
              <w:t> </w:t>
            </w:r>
            <w:r>
              <w:rPr>
                <w:rFonts w:ascii="Verdana"/>
                <w:b/>
                <w:spacing w:val="-5"/>
                <w:sz w:val="24"/>
              </w:rPr>
              <w:t>PMO</w:t>
            </w:r>
          </w:p>
        </w:tc>
        <w:tc>
          <w:tcPr>
            <w:tcW w:w="1735" w:type="dxa"/>
            <w:tcBorders>
              <w:bottom w:val="nil"/>
            </w:tcBorders>
          </w:tcPr>
          <w:p>
            <w:pPr>
              <w:pStyle w:val="TableParagraph"/>
              <w:spacing w:line="283" w:lineRule="exact"/>
              <w:ind w:left="259"/>
              <w:rPr>
                <w:rFonts w:ascii="Verdana"/>
                <w:b/>
                <w:sz w:val="24"/>
              </w:rPr>
            </w:pPr>
            <w:r>
              <w:rPr>
                <w:rFonts w:ascii="Verdana"/>
                <w:b/>
                <w:sz w:val="24"/>
              </w:rPr>
              <w:t>Oct</w:t>
            </w:r>
            <w:r>
              <w:rPr>
                <w:rFonts w:ascii="Verdana"/>
                <w:b/>
                <w:spacing w:val="-5"/>
                <w:sz w:val="24"/>
              </w:rPr>
              <w:t> </w:t>
            </w:r>
            <w:r>
              <w:rPr>
                <w:rFonts w:ascii="Verdana"/>
                <w:b/>
                <w:spacing w:val="-4"/>
                <w:sz w:val="24"/>
              </w:rPr>
              <w:t>2026</w:t>
            </w:r>
          </w:p>
          <w:p>
            <w:pPr>
              <w:pStyle w:val="TableParagraph"/>
              <w:ind w:left="109" w:firstLine="120"/>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tc>
        <w:tc>
          <w:tcPr>
            <w:tcW w:w="3431" w:type="dxa"/>
            <w:tcBorders>
              <w:bottom w:val="nil"/>
            </w:tcBorders>
          </w:tcPr>
          <w:p>
            <w:pPr>
              <w:pStyle w:val="TableParagraph"/>
              <w:spacing w:line="237" w:lineRule="auto"/>
              <w:ind w:left="104"/>
              <w:rPr>
                <w:rFonts w:ascii="Verdana"/>
                <w:sz w:val="24"/>
              </w:rPr>
            </w:pPr>
            <w:r>
              <w:rPr>
                <w:rFonts w:ascii="Verdana"/>
                <w:sz w:val="24"/>
              </w:rPr>
              <w:t>Complete.</w:t>
            </w:r>
            <w:r>
              <w:rPr>
                <w:rFonts w:ascii="Verdana"/>
                <w:spacing w:val="-10"/>
                <w:sz w:val="24"/>
              </w:rPr>
              <w:t> </w:t>
            </w:r>
            <w:r>
              <w:rPr>
                <w:rFonts w:ascii="Verdana"/>
                <w:sz w:val="24"/>
              </w:rPr>
              <w:t>On</w:t>
            </w:r>
            <w:r>
              <w:rPr>
                <w:rFonts w:ascii="Verdana"/>
                <w:spacing w:val="-14"/>
                <w:sz w:val="24"/>
              </w:rPr>
              <w:t> </w:t>
            </w:r>
            <w:r>
              <w:rPr>
                <w:rFonts w:ascii="Verdana"/>
                <w:sz w:val="24"/>
              </w:rPr>
              <w:t>agenda</w:t>
            </w:r>
            <w:r>
              <w:rPr>
                <w:rFonts w:ascii="Verdana"/>
                <w:spacing w:val="-11"/>
                <w:sz w:val="24"/>
              </w:rPr>
              <w:t> </w:t>
            </w:r>
            <w:r>
              <w:rPr>
                <w:rFonts w:ascii="Verdana"/>
                <w:sz w:val="24"/>
              </w:rPr>
              <w:t>for RJC 13/10/26</w:t>
            </w:r>
          </w:p>
        </w:tc>
        <w:tc>
          <w:tcPr>
            <w:tcW w:w="784" w:type="dxa"/>
            <w:vMerge w:val="restart"/>
            <w:shd w:val="clear" w:color="auto" w:fill="FFD966"/>
          </w:tcPr>
          <w:p>
            <w:pPr>
              <w:pStyle w:val="TableParagraph"/>
              <w:rPr>
                <w:rFonts w:ascii="Times New Roman"/>
                <w:sz w:val="22"/>
              </w:rPr>
            </w:pPr>
          </w:p>
        </w:tc>
      </w:tr>
      <w:tr>
        <w:trPr>
          <w:trHeight w:val="2030" w:hRule="atLeast"/>
        </w:trPr>
        <w:tc>
          <w:tcPr>
            <w:tcW w:w="1221" w:type="dxa"/>
            <w:tcBorders>
              <w:top w:val="nil"/>
              <w:bottom w:val="nil"/>
            </w:tcBorders>
          </w:tcPr>
          <w:p>
            <w:pPr>
              <w:pStyle w:val="TableParagraph"/>
              <w:rPr>
                <w:rFonts w:ascii="Times New Roman"/>
                <w:sz w:val="22"/>
              </w:rPr>
            </w:pPr>
          </w:p>
        </w:tc>
        <w:tc>
          <w:tcPr>
            <w:tcW w:w="4902" w:type="dxa"/>
            <w:tcBorders>
              <w:top w:val="nil"/>
              <w:bottom w:val="nil"/>
            </w:tcBorders>
          </w:tcPr>
          <w:p>
            <w:pPr>
              <w:pStyle w:val="TableParagraph"/>
              <w:spacing w:before="141"/>
              <w:ind w:left="104"/>
              <w:rPr>
                <w:rFonts w:ascii="Verdana"/>
                <w:sz w:val="24"/>
              </w:rPr>
            </w:pPr>
            <w:r>
              <w:rPr>
                <w:rFonts w:ascii="Verdana"/>
                <w:sz w:val="24"/>
              </w:rPr>
              <w:t>AC</w:t>
            </w:r>
            <w:r>
              <w:rPr>
                <w:rFonts w:ascii="Verdana"/>
                <w:spacing w:val="-4"/>
                <w:sz w:val="24"/>
              </w:rPr>
              <w:t> </w:t>
            </w:r>
            <w:r>
              <w:rPr>
                <w:rFonts w:ascii="Verdana"/>
                <w:sz w:val="24"/>
              </w:rPr>
              <w:t>to</w:t>
            </w:r>
            <w:r>
              <w:rPr>
                <w:rFonts w:ascii="Verdana"/>
                <w:spacing w:val="-6"/>
                <w:sz w:val="24"/>
              </w:rPr>
              <w:t> </w:t>
            </w:r>
            <w:r>
              <w:rPr>
                <w:rFonts w:ascii="Verdana"/>
                <w:sz w:val="24"/>
              </w:rPr>
              <w:t>provide</w:t>
            </w:r>
            <w:r>
              <w:rPr>
                <w:rFonts w:ascii="Verdana"/>
                <w:spacing w:val="-9"/>
                <w:sz w:val="24"/>
              </w:rPr>
              <w:t> </w:t>
            </w:r>
            <w:r>
              <w:rPr>
                <w:rFonts w:ascii="Verdana"/>
                <w:sz w:val="24"/>
              </w:rPr>
              <w:t>a</w:t>
            </w:r>
            <w:r>
              <w:rPr>
                <w:rFonts w:ascii="Verdana"/>
                <w:spacing w:val="-6"/>
                <w:sz w:val="24"/>
              </w:rPr>
              <w:t> </w:t>
            </w:r>
            <w:r>
              <w:rPr>
                <w:rFonts w:ascii="Verdana"/>
                <w:sz w:val="24"/>
              </w:rPr>
              <w:t>briefing</w:t>
            </w:r>
            <w:r>
              <w:rPr>
                <w:rFonts w:ascii="Verdana"/>
                <w:spacing w:val="-6"/>
                <w:sz w:val="24"/>
              </w:rPr>
              <w:t> </w:t>
            </w:r>
            <w:r>
              <w:rPr>
                <w:rFonts w:ascii="Verdana"/>
                <w:sz w:val="24"/>
              </w:rPr>
              <w:t>outside</w:t>
            </w:r>
            <w:r>
              <w:rPr>
                <w:rFonts w:ascii="Verdana"/>
                <w:spacing w:val="-4"/>
                <w:sz w:val="24"/>
              </w:rPr>
              <w:t> </w:t>
            </w:r>
            <w:r>
              <w:rPr>
                <w:rFonts w:ascii="Verdana"/>
                <w:sz w:val="24"/>
              </w:rPr>
              <w:t>of</w:t>
            </w:r>
            <w:r>
              <w:rPr>
                <w:rFonts w:ascii="Verdana"/>
                <w:spacing w:val="-6"/>
                <w:sz w:val="24"/>
              </w:rPr>
              <w:t> </w:t>
            </w:r>
            <w:r>
              <w:rPr>
                <w:rFonts w:ascii="Verdana"/>
                <w:sz w:val="24"/>
              </w:rPr>
              <w:t>the RJC meeting to SE outlining planned regional work to progress Urgent and Emergency Care improvement as an alternative, given the closure of the formal programme.</w:t>
            </w:r>
          </w:p>
        </w:tc>
        <w:tc>
          <w:tcPr>
            <w:tcW w:w="1530" w:type="dxa"/>
            <w:tcBorders>
              <w:top w:val="nil"/>
              <w:bottom w:val="nil"/>
            </w:tcBorders>
          </w:tcPr>
          <w:p>
            <w:pPr>
              <w:pStyle w:val="TableParagraph"/>
              <w:spacing w:before="141"/>
              <w:ind w:left="5" w:right="7"/>
              <w:jc w:val="center"/>
              <w:rPr>
                <w:rFonts w:ascii="Verdana"/>
                <w:b/>
                <w:sz w:val="24"/>
              </w:rPr>
            </w:pPr>
            <w:r>
              <w:rPr>
                <w:rFonts w:ascii="Verdana"/>
                <w:b/>
                <w:spacing w:val="-5"/>
                <w:sz w:val="24"/>
              </w:rPr>
              <w:t>AC</w:t>
            </w:r>
          </w:p>
        </w:tc>
        <w:tc>
          <w:tcPr>
            <w:tcW w:w="1735" w:type="dxa"/>
            <w:tcBorders>
              <w:top w:val="nil"/>
              <w:bottom w:val="nil"/>
            </w:tcBorders>
          </w:tcPr>
          <w:p>
            <w:pPr>
              <w:pStyle w:val="TableParagraph"/>
              <w:spacing w:line="291" w:lineRule="exact" w:before="141"/>
              <w:ind w:left="259"/>
              <w:rPr>
                <w:rFonts w:ascii="Verdana"/>
                <w:b/>
                <w:sz w:val="24"/>
              </w:rPr>
            </w:pPr>
            <w:r>
              <w:rPr>
                <w:rFonts w:ascii="Verdana"/>
                <w:b/>
                <w:sz w:val="24"/>
              </w:rPr>
              <w:t>Oct</w:t>
            </w:r>
            <w:r>
              <w:rPr>
                <w:rFonts w:ascii="Verdana"/>
                <w:b/>
                <w:spacing w:val="-5"/>
                <w:sz w:val="24"/>
              </w:rPr>
              <w:t> </w:t>
            </w:r>
            <w:r>
              <w:rPr>
                <w:rFonts w:ascii="Verdana"/>
                <w:b/>
                <w:spacing w:val="-4"/>
                <w:sz w:val="24"/>
              </w:rPr>
              <w:t>2026</w:t>
            </w:r>
          </w:p>
          <w:p>
            <w:pPr>
              <w:pStyle w:val="TableParagraph"/>
              <w:ind w:left="109" w:firstLine="120"/>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tc>
        <w:tc>
          <w:tcPr>
            <w:tcW w:w="3431" w:type="dxa"/>
            <w:tcBorders>
              <w:top w:val="nil"/>
              <w:bottom w:val="nil"/>
            </w:tcBorders>
          </w:tcPr>
          <w:p>
            <w:pPr>
              <w:pStyle w:val="TableParagraph"/>
              <w:rPr>
                <w:rFonts w:ascii="Times New Roman"/>
                <w:sz w:val="22"/>
              </w:rPr>
            </w:pPr>
          </w:p>
        </w:tc>
        <w:tc>
          <w:tcPr>
            <w:tcW w:w="784" w:type="dxa"/>
            <w:vMerge/>
            <w:tcBorders>
              <w:top w:val="nil"/>
            </w:tcBorders>
            <w:shd w:val="clear" w:color="auto" w:fill="FFD966"/>
          </w:tcPr>
          <w:p>
            <w:pPr>
              <w:rPr>
                <w:sz w:val="2"/>
                <w:szCs w:val="2"/>
              </w:rPr>
            </w:pPr>
          </w:p>
        </w:tc>
      </w:tr>
      <w:tr>
        <w:trPr>
          <w:trHeight w:val="1018" w:hRule="atLeast"/>
        </w:trPr>
        <w:tc>
          <w:tcPr>
            <w:tcW w:w="1221" w:type="dxa"/>
            <w:tcBorders>
              <w:top w:val="nil"/>
            </w:tcBorders>
          </w:tcPr>
          <w:p>
            <w:pPr>
              <w:pStyle w:val="TableParagraph"/>
              <w:rPr>
                <w:rFonts w:ascii="Times New Roman"/>
                <w:sz w:val="22"/>
              </w:rPr>
            </w:pPr>
          </w:p>
        </w:tc>
        <w:tc>
          <w:tcPr>
            <w:tcW w:w="4902" w:type="dxa"/>
            <w:tcBorders>
              <w:top w:val="nil"/>
            </w:tcBorders>
          </w:tcPr>
          <w:p>
            <w:pPr>
              <w:pStyle w:val="TableParagraph"/>
              <w:spacing w:before="141"/>
              <w:ind w:left="104"/>
              <w:rPr>
                <w:rFonts w:ascii="Verdana"/>
                <w:sz w:val="24"/>
              </w:rPr>
            </w:pPr>
            <w:r>
              <w:rPr>
                <w:rFonts w:ascii="Verdana"/>
                <w:sz w:val="24"/>
              </w:rPr>
              <w:t>DL</w:t>
            </w:r>
            <w:r>
              <w:rPr>
                <w:rFonts w:ascii="Verdana"/>
                <w:spacing w:val="-4"/>
                <w:sz w:val="24"/>
              </w:rPr>
              <w:t> </w:t>
            </w:r>
            <w:r>
              <w:rPr>
                <w:rFonts w:ascii="Verdana"/>
                <w:sz w:val="24"/>
              </w:rPr>
              <w:t>to</w:t>
            </w:r>
            <w:r>
              <w:rPr>
                <w:rFonts w:ascii="Verdana"/>
                <w:spacing w:val="-5"/>
                <w:sz w:val="24"/>
              </w:rPr>
              <w:t> </w:t>
            </w:r>
            <w:r>
              <w:rPr>
                <w:rFonts w:ascii="Verdana"/>
                <w:sz w:val="24"/>
              </w:rPr>
              <w:t>investigate</w:t>
            </w:r>
            <w:r>
              <w:rPr>
                <w:rFonts w:ascii="Verdana"/>
                <w:spacing w:val="-3"/>
                <w:sz w:val="24"/>
              </w:rPr>
              <w:t> </w:t>
            </w:r>
            <w:r>
              <w:rPr>
                <w:rFonts w:ascii="Verdana"/>
                <w:sz w:val="24"/>
              </w:rPr>
              <w:t>the</w:t>
            </w:r>
            <w:r>
              <w:rPr>
                <w:rFonts w:ascii="Verdana"/>
                <w:spacing w:val="-4"/>
                <w:sz w:val="24"/>
              </w:rPr>
              <w:t> </w:t>
            </w:r>
            <w:r>
              <w:rPr>
                <w:rFonts w:ascii="Verdana"/>
                <w:sz w:val="24"/>
              </w:rPr>
              <w:t>progress</w:t>
            </w:r>
            <w:r>
              <w:rPr>
                <w:rFonts w:ascii="Verdana"/>
                <w:spacing w:val="-10"/>
                <w:sz w:val="24"/>
              </w:rPr>
              <w:t> </w:t>
            </w:r>
            <w:r>
              <w:rPr>
                <w:rFonts w:ascii="Verdana"/>
                <w:sz w:val="24"/>
              </w:rPr>
              <w:t>on updating</w:t>
            </w:r>
            <w:r>
              <w:rPr>
                <w:rFonts w:ascii="Verdana"/>
                <w:spacing w:val="-3"/>
                <w:sz w:val="24"/>
              </w:rPr>
              <w:t> </w:t>
            </w:r>
            <w:r>
              <w:rPr>
                <w:rFonts w:ascii="Verdana"/>
                <w:sz w:val="24"/>
              </w:rPr>
              <w:t>the</w:t>
            </w:r>
            <w:r>
              <w:rPr>
                <w:rFonts w:ascii="Verdana"/>
                <w:spacing w:val="-2"/>
                <w:sz w:val="24"/>
              </w:rPr>
              <w:t> </w:t>
            </w:r>
            <w:r>
              <w:rPr>
                <w:rFonts w:ascii="Verdana"/>
                <w:sz w:val="24"/>
              </w:rPr>
              <w:t>Vascular</w:t>
            </w:r>
            <w:r>
              <w:rPr>
                <w:rFonts w:ascii="Verdana"/>
                <w:spacing w:val="1"/>
                <w:sz w:val="24"/>
              </w:rPr>
              <w:t> </w:t>
            </w:r>
            <w:r>
              <w:rPr>
                <w:rFonts w:ascii="Verdana"/>
                <w:sz w:val="24"/>
              </w:rPr>
              <w:t>Long-</w:t>
            </w:r>
            <w:r>
              <w:rPr>
                <w:rFonts w:ascii="Verdana"/>
                <w:spacing w:val="-4"/>
                <w:sz w:val="24"/>
              </w:rPr>
              <w:t>Term</w:t>
            </w:r>
          </w:p>
          <w:p>
            <w:pPr>
              <w:pStyle w:val="TableParagraph"/>
              <w:spacing w:line="272" w:lineRule="exact" w:before="2"/>
              <w:ind w:left="104"/>
              <w:rPr>
                <w:rFonts w:ascii="Verdana"/>
                <w:sz w:val="24"/>
              </w:rPr>
            </w:pPr>
            <w:r>
              <w:rPr>
                <w:rFonts w:ascii="Verdana"/>
                <w:spacing w:val="-2"/>
                <w:sz w:val="24"/>
              </w:rPr>
              <w:t>Agreement.</w:t>
            </w:r>
          </w:p>
        </w:tc>
        <w:tc>
          <w:tcPr>
            <w:tcW w:w="1530" w:type="dxa"/>
            <w:tcBorders>
              <w:top w:val="nil"/>
            </w:tcBorders>
          </w:tcPr>
          <w:p>
            <w:pPr>
              <w:pStyle w:val="TableParagraph"/>
              <w:spacing w:before="139"/>
              <w:rPr>
                <w:rFonts w:ascii="Verdana"/>
                <w:b/>
                <w:sz w:val="24"/>
              </w:rPr>
            </w:pPr>
          </w:p>
          <w:p>
            <w:pPr>
              <w:pStyle w:val="TableParagraph"/>
              <w:spacing w:before="1"/>
              <w:ind w:left="5" w:right="4"/>
              <w:jc w:val="center"/>
              <w:rPr>
                <w:rFonts w:ascii="Verdana"/>
                <w:b/>
                <w:sz w:val="24"/>
              </w:rPr>
            </w:pPr>
            <w:r>
              <w:rPr>
                <w:rFonts w:ascii="Verdana"/>
                <w:b/>
                <w:spacing w:val="-5"/>
                <w:sz w:val="24"/>
              </w:rPr>
              <w:t>DL</w:t>
            </w:r>
          </w:p>
        </w:tc>
        <w:tc>
          <w:tcPr>
            <w:tcW w:w="1735" w:type="dxa"/>
            <w:tcBorders>
              <w:top w:val="nil"/>
            </w:tcBorders>
          </w:tcPr>
          <w:p>
            <w:pPr>
              <w:pStyle w:val="TableParagraph"/>
              <w:spacing w:before="139"/>
              <w:rPr>
                <w:rFonts w:ascii="Verdana"/>
                <w:b/>
                <w:sz w:val="24"/>
              </w:rPr>
            </w:pPr>
          </w:p>
          <w:p>
            <w:pPr>
              <w:pStyle w:val="TableParagraph"/>
              <w:spacing w:before="1"/>
              <w:ind w:left="9"/>
              <w:jc w:val="center"/>
              <w:rPr>
                <w:rFonts w:ascii="Verdana"/>
                <w:b/>
                <w:sz w:val="24"/>
              </w:rPr>
            </w:pPr>
            <w:r>
              <w:rPr>
                <w:rFonts w:ascii="Verdana"/>
                <w:b/>
                <w:sz w:val="24"/>
              </w:rPr>
              <w:t>Oct</w:t>
            </w:r>
            <w:r>
              <w:rPr>
                <w:rFonts w:ascii="Verdana"/>
                <w:b/>
                <w:spacing w:val="-5"/>
                <w:sz w:val="24"/>
              </w:rPr>
              <w:t> </w:t>
            </w:r>
            <w:r>
              <w:rPr>
                <w:rFonts w:ascii="Verdana"/>
                <w:b/>
                <w:spacing w:val="-4"/>
                <w:sz w:val="24"/>
              </w:rPr>
              <w:t>2026</w:t>
            </w:r>
          </w:p>
        </w:tc>
        <w:tc>
          <w:tcPr>
            <w:tcW w:w="3431" w:type="dxa"/>
            <w:tcBorders>
              <w:top w:val="nil"/>
            </w:tcBorders>
          </w:tcPr>
          <w:p>
            <w:pPr>
              <w:pStyle w:val="TableParagraph"/>
              <w:spacing w:before="141"/>
              <w:ind w:left="104"/>
              <w:rPr>
                <w:rFonts w:ascii="Verdana"/>
                <w:sz w:val="24"/>
              </w:rPr>
            </w:pPr>
            <w:r>
              <w:rPr>
                <w:rFonts w:ascii="Verdana"/>
                <w:sz w:val="24"/>
              </w:rPr>
              <w:t>Complete. Vascular Programme</w:t>
            </w:r>
            <w:r>
              <w:rPr>
                <w:rFonts w:ascii="Verdana"/>
                <w:spacing w:val="-17"/>
                <w:sz w:val="24"/>
              </w:rPr>
              <w:t> </w:t>
            </w:r>
            <w:r>
              <w:rPr>
                <w:rFonts w:ascii="Verdana"/>
                <w:sz w:val="24"/>
              </w:rPr>
              <w:t>no</w:t>
            </w:r>
            <w:r>
              <w:rPr>
                <w:rFonts w:ascii="Verdana"/>
                <w:spacing w:val="-18"/>
                <w:sz w:val="24"/>
              </w:rPr>
              <w:t> </w:t>
            </w:r>
            <w:r>
              <w:rPr>
                <w:rFonts w:ascii="Verdana"/>
                <w:sz w:val="24"/>
              </w:rPr>
              <w:t>longer</w:t>
            </w:r>
          </w:p>
          <w:p>
            <w:pPr>
              <w:pStyle w:val="TableParagraph"/>
              <w:spacing w:line="272" w:lineRule="exact" w:before="2"/>
              <w:ind w:left="104"/>
              <w:rPr>
                <w:rFonts w:ascii="Verdana"/>
                <w:sz w:val="24"/>
              </w:rPr>
            </w:pPr>
            <w:r>
              <w:rPr>
                <w:rFonts w:ascii="Verdana"/>
                <w:sz w:val="24"/>
              </w:rPr>
              <w:t>included</w:t>
            </w:r>
            <w:r>
              <w:rPr>
                <w:rFonts w:ascii="Verdana"/>
                <w:spacing w:val="-3"/>
                <w:sz w:val="24"/>
              </w:rPr>
              <w:t> </w:t>
            </w:r>
            <w:r>
              <w:rPr>
                <w:rFonts w:ascii="Verdana"/>
                <w:sz w:val="24"/>
              </w:rPr>
              <w:t>within</w:t>
            </w:r>
            <w:r>
              <w:rPr>
                <w:rFonts w:ascii="Verdana"/>
                <w:spacing w:val="-4"/>
                <w:sz w:val="24"/>
              </w:rPr>
              <w:t> </w:t>
            </w:r>
            <w:r>
              <w:rPr>
                <w:rFonts w:ascii="Verdana"/>
                <w:spacing w:val="-5"/>
                <w:sz w:val="24"/>
              </w:rPr>
              <w:t>the</w:t>
            </w:r>
          </w:p>
        </w:tc>
        <w:tc>
          <w:tcPr>
            <w:tcW w:w="784" w:type="dxa"/>
            <w:vMerge/>
            <w:tcBorders>
              <w:top w:val="nil"/>
            </w:tcBorders>
            <w:shd w:val="clear" w:color="auto" w:fill="FFD966"/>
          </w:tcPr>
          <w:p>
            <w:pPr>
              <w:rPr>
                <w:sz w:val="2"/>
                <w:szCs w:val="2"/>
              </w:rPr>
            </w:pPr>
          </w:p>
        </w:tc>
      </w:tr>
    </w:tbl>
    <w:p>
      <w:pPr>
        <w:pStyle w:val="BodyText"/>
        <w:rPr>
          <w:rFonts w:ascii="Verdana"/>
          <w:b/>
          <w:sz w:val="20"/>
        </w:rPr>
      </w:pPr>
    </w:p>
    <w:p>
      <w:pPr>
        <w:pStyle w:val="BodyText"/>
        <w:rPr>
          <w:rFonts w:ascii="Verdana"/>
          <w:b/>
          <w:sz w:val="20"/>
        </w:rPr>
      </w:pPr>
    </w:p>
    <w:p>
      <w:pPr>
        <w:pStyle w:val="BodyText"/>
        <w:rPr>
          <w:rFonts w:ascii="Verdana"/>
          <w:b/>
          <w:sz w:val="20"/>
        </w:rPr>
      </w:pPr>
    </w:p>
    <w:p>
      <w:pPr>
        <w:pStyle w:val="BodyText"/>
        <w:rPr>
          <w:rFonts w:ascii="Verdana"/>
          <w:b/>
          <w:sz w:val="20"/>
        </w:rPr>
      </w:pPr>
    </w:p>
    <w:p>
      <w:pPr>
        <w:pStyle w:val="BodyText"/>
        <w:spacing w:before="74"/>
        <w:rPr>
          <w:rFonts w:ascii="Verdana"/>
          <w:b/>
          <w:sz w:val="20"/>
        </w:rPr>
      </w:pPr>
      <w:r>
        <w:rPr>
          <w:rFonts w:ascii="Verdana"/>
          <w:b/>
          <w:sz w:val="20"/>
        </w:rPr>
        <w:drawing>
          <wp:anchor distT="0" distB="0" distL="0" distR="0" allowOverlap="1" layoutInCell="1" locked="0" behindDoc="1" simplePos="0" relativeHeight="487745024">
            <wp:simplePos x="0" y="0"/>
            <wp:positionH relativeFrom="page">
              <wp:posOffset>4918964</wp:posOffset>
            </wp:positionH>
            <wp:positionV relativeFrom="paragraph">
              <wp:posOffset>216577</wp:posOffset>
            </wp:positionV>
            <wp:extent cx="845820" cy="190309"/>
            <wp:effectExtent l="0" t="0" r="0" b="0"/>
            <wp:wrapTopAndBottom/>
            <wp:docPr id="809" name="Image 809"/>
            <wp:cNvGraphicFramePr>
              <a:graphicFrameLocks/>
            </wp:cNvGraphicFramePr>
            <a:graphic>
              <a:graphicData uri="http://schemas.openxmlformats.org/drawingml/2006/picture">
                <pic:pic>
                  <pic:nvPicPr>
                    <pic:cNvPr id="809" name="Image 809"/>
                    <pic:cNvPicPr/>
                  </pic:nvPicPr>
                  <pic:blipFill>
                    <a:blip r:embed="rId23" cstate="print"/>
                    <a:stretch>
                      <a:fillRect/>
                    </a:stretch>
                  </pic:blipFill>
                  <pic:spPr>
                    <a:xfrm>
                      <a:off x="0" y="0"/>
                      <a:ext cx="845820" cy="190309"/>
                    </a:xfrm>
                    <a:prstGeom prst="rect">
                      <a:avLst/>
                    </a:prstGeom>
                  </pic:spPr>
                </pic:pic>
              </a:graphicData>
            </a:graphic>
          </wp:anchor>
        </w:drawing>
      </w:r>
    </w:p>
    <w:p>
      <w:pPr>
        <w:pStyle w:val="BodyText"/>
        <w:spacing w:after="0"/>
        <w:rPr>
          <w:rFonts w:ascii="Verdana"/>
          <w:b/>
          <w:sz w:val="20"/>
        </w:rPr>
        <w:sectPr>
          <w:footerReference w:type="default" r:id="rId121"/>
          <w:pgSz w:w="16840" w:h="11910" w:orient="landscape"/>
          <w:pgMar w:header="0" w:footer="0" w:top="840" w:bottom="20" w:left="1417" w:right="1700"/>
        </w:sectPr>
      </w:pPr>
    </w:p>
    <w:p>
      <w:pPr>
        <w:pStyle w:val="BodyText"/>
        <w:spacing w:before="1"/>
        <w:rPr>
          <w:rFonts w:ascii="Verdana"/>
          <w:b/>
          <w:sz w:val="2"/>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1"/>
        <w:gridCol w:w="4902"/>
        <w:gridCol w:w="1530"/>
        <w:gridCol w:w="1735"/>
        <w:gridCol w:w="3431"/>
        <w:gridCol w:w="784"/>
      </w:tblGrid>
      <w:tr>
        <w:trPr>
          <w:trHeight w:val="1750" w:hRule="atLeast"/>
        </w:trPr>
        <w:tc>
          <w:tcPr>
            <w:tcW w:w="1221" w:type="dxa"/>
          </w:tcPr>
          <w:p>
            <w:pPr>
              <w:pStyle w:val="TableParagraph"/>
              <w:rPr>
                <w:rFonts w:ascii="Times New Roman"/>
                <w:sz w:val="22"/>
              </w:rPr>
            </w:pPr>
          </w:p>
        </w:tc>
        <w:tc>
          <w:tcPr>
            <w:tcW w:w="4902" w:type="dxa"/>
          </w:tcPr>
          <w:p>
            <w:pPr>
              <w:pStyle w:val="TableParagraph"/>
              <w:rPr>
                <w:rFonts w:ascii="Times New Roman"/>
                <w:sz w:val="22"/>
              </w:rPr>
            </w:pPr>
          </w:p>
        </w:tc>
        <w:tc>
          <w:tcPr>
            <w:tcW w:w="1530" w:type="dxa"/>
          </w:tcPr>
          <w:p>
            <w:pPr>
              <w:pStyle w:val="TableParagraph"/>
              <w:rPr>
                <w:rFonts w:ascii="Times New Roman"/>
                <w:sz w:val="22"/>
              </w:rPr>
            </w:pPr>
          </w:p>
        </w:tc>
        <w:tc>
          <w:tcPr>
            <w:tcW w:w="1735" w:type="dxa"/>
          </w:tcPr>
          <w:p>
            <w:pPr>
              <w:pStyle w:val="TableParagraph"/>
              <w:ind w:left="109" w:firstLine="120"/>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tc>
        <w:tc>
          <w:tcPr>
            <w:tcW w:w="3431" w:type="dxa"/>
          </w:tcPr>
          <w:p>
            <w:pPr>
              <w:pStyle w:val="TableParagraph"/>
              <w:ind w:left="104"/>
              <w:rPr>
                <w:rFonts w:ascii="Verdana"/>
                <w:sz w:val="24"/>
              </w:rPr>
            </w:pPr>
            <w:r>
              <w:rPr>
                <w:rFonts w:ascii="Verdana"/>
                <w:sz w:val="24"/>
              </w:rPr>
              <w:t>Clinical</w:t>
            </w:r>
            <w:r>
              <w:rPr>
                <w:rFonts w:ascii="Verdana"/>
                <w:spacing w:val="-20"/>
                <w:sz w:val="24"/>
              </w:rPr>
              <w:t> </w:t>
            </w:r>
            <w:r>
              <w:rPr>
                <w:rFonts w:ascii="Verdana"/>
                <w:sz w:val="24"/>
              </w:rPr>
              <w:t>Services</w:t>
            </w:r>
            <w:r>
              <w:rPr>
                <w:rFonts w:ascii="Verdana"/>
                <w:spacing w:val="-20"/>
                <w:sz w:val="24"/>
              </w:rPr>
              <w:t> </w:t>
            </w:r>
            <w:r>
              <w:rPr>
                <w:rFonts w:ascii="Verdana"/>
                <w:sz w:val="24"/>
              </w:rPr>
              <w:t>Planning Subgroup Work Programme. Action progressing through</w:t>
            </w:r>
          </w:p>
          <w:p>
            <w:pPr>
              <w:pStyle w:val="TableParagraph"/>
              <w:spacing w:line="290" w:lineRule="exact"/>
              <w:ind w:left="104" w:right="193"/>
              <w:rPr>
                <w:rFonts w:ascii="Verdana"/>
                <w:sz w:val="24"/>
              </w:rPr>
            </w:pPr>
            <w:r>
              <w:rPr>
                <w:rFonts w:ascii="Verdana"/>
                <w:sz w:val="24"/>
              </w:rPr>
              <w:t>Regional Vascular Network</w:t>
            </w:r>
            <w:r>
              <w:rPr>
                <w:rFonts w:ascii="Verdana"/>
                <w:spacing w:val="-22"/>
                <w:sz w:val="24"/>
              </w:rPr>
              <w:t> </w:t>
            </w:r>
            <w:r>
              <w:rPr>
                <w:rFonts w:ascii="Verdana"/>
                <w:sz w:val="24"/>
              </w:rPr>
              <w:t>Programme</w:t>
            </w:r>
          </w:p>
        </w:tc>
        <w:tc>
          <w:tcPr>
            <w:tcW w:w="784" w:type="dxa"/>
            <w:shd w:val="clear" w:color="auto" w:fill="FFD966"/>
          </w:tcPr>
          <w:p>
            <w:pPr>
              <w:pStyle w:val="TableParagraph"/>
              <w:rPr>
                <w:rFonts w:ascii="Times New Roman"/>
                <w:sz w:val="22"/>
              </w:rPr>
            </w:pPr>
          </w:p>
        </w:tc>
      </w:tr>
      <w:tr>
        <w:trPr>
          <w:trHeight w:val="1460" w:hRule="atLeast"/>
        </w:trPr>
        <w:tc>
          <w:tcPr>
            <w:tcW w:w="1221" w:type="dxa"/>
          </w:tcPr>
          <w:p>
            <w:pPr>
              <w:pStyle w:val="TableParagraph"/>
              <w:spacing w:line="290" w:lineRule="exact"/>
              <w:ind w:left="13"/>
              <w:jc w:val="center"/>
              <w:rPr>
                <w:rFonts w:ascii="Verdana"/>
                <w:b/>
                <w:sz w:val="24"/>
              </w:rPr>
            </w:pPr>
            <w:r>
              <w:rPr>
                <w:rFonts w:ascii="Verdana"/>
                <w:b/>
                <w:spacing w:val="-2"/>
                <w:sz w:val="24"/>
              </w:rPr>
              <w:t>RJC/26</w:t>
            </w:r>
          </w:p>
        </w:tc>
        <w:tc>
          <w:tcPr>
            <w:tcW w:w="4902" w:type="dxa"/>
          </w:tcPr>
          <w:p>
            <w:pPr>
              <w:pStyle w:val="TableParagraph"/>
              <w:ind w:left="104" w:right="182"/>
              <w:rPr>
                <w:rFonts w:ascii="Verdana"/>
                <w:sz w:val="24"/>
              </w:rPr>
            </w:pPr>
            <w:r>
              <w:rPr>
                <w:rFonts w:ascii="Verdana"/>
                <w:sz w:val="24"/>
              </w:rPr>
              <w:t>LG, through the Workforce and OD Subgroup, to identify priority specialties</w:t>
            </w:r>
            <w:r>
              <w:rPr>
                <w:rFonts w:ascii="Verdana"/>
                <w:spacing w:val="-10"/>
                <w:sz w:val="24"/>
              </w:rPr>
              <w:t> </w:t>
            </w:r>
            <w:r>
              <w:rPr>
                <w:rFonts w:ascii="Verdana"/>
                <w:sz w:val="24"/>
              </w:rPr>
              <w:t>and</w:t>
            </w:r>
            <w:r>
              <w:rPr>
                <w:rFonts w:ascii="Verdana"/>
                <w:spacing w:val="-10"/>
                <w:sz w:val="24"/>
              </w:rPr>
              <w:t> </w:t>
            </w:r>
            <w:r>
              <w:rPr>
                <w:rFonts w:ascii="Verdana"/>
                <w:sz w:val="24"/>
              </w:rPr>
              <w:t>critical</w:t>
            </w:r>
            <w:r>
              <w:rPr>
                <w:rFonts w:ascii="Verdana"/>
                <w:spacing w:val="-10"/>
                <w:sz w:val="24"/>
              </w:rPr>
              <w:t> </w:t>
            </w:r>
            <w:r>
              <w:rPr>
                <w:rFonts w:ascii="Verdana"/>
                <w:sz w:val="24"/>
              </w:rPr>
              <w:t>workforce</w:t>
            </w:r>
            <w:r>
              <w:rPr>
                <w:rFonts w:ascii="Verdana"/>
                <w:spacing w:val="-9"/>
                <w:sz w:val="24"/>
              </w:rPr>
              <w:t> </w:t>
            </w:r>
            <w:r>
              <w:rPr>
                <w:rFonts w:ascii="Verdana"/>
                <w:sz w:val="24"/>
              </w:rPr>
              <w:t>risks</w:t>
            </w:r>
          </w:p>
          <w:p>
            <w:pPr>
              <w:pStyle w:val="TableParagraph"/>
              <w:spacing w:line="296" w:lineRule="exact"/>
              <w:ind w:left="104"/>
              <w:rPr>
                <w:rFonts w:ascii="Verdana"/>
                <w:sz w:val="24"/>
              </w:rPr>
            </w:pPr>
            <w:r>
              <w:rPr>
                <w:rFonts w:ascii="Verdana"/>
                <w:sz w:val="24"/>
              </w:rPr>
              <w:t>requiring</w:t>
            </w:r>
            <w:r>
              <w:rPr>
                <w:rFonts w:ascii="Verdana"/>
                <w:spacing w:val="-13"/>
                <w:sz w:val="24"/>
              </w:rPr>
              <w:t> </w:t>
            </w:r>
            <w:r>
              <w:rPr>
                <w:rFonts w:ascii="Verdana"/>
                <w:sz w:val="24"/>
              </w:rPr>
              <w:t>accelerated</w:t>
            </w:r>
            <w:r>
              <w:rPr>
                <w:rFonts w:ascii="Verdana"/>
                <w:spacing w:val="-13"/>
                <w:sz w:val="24"/>
              </w:rPr>
              <w:t> </w:t>
            </w:r>
            <w:r>
              <w:rPr>
                <w:rFonts w:ascii="Verdana"/>
                <w:sz w:val="24"/>
              </w:rPr>
              <w:t>regional</w:t>
            </w:r>
            <w:r>
              <w:rPr>
                <w:rFonts w:ascii="Verdana"/>
                <w:spacing w:val="-13"/>
                <w:sz w:val="24"/>
              </w:rPr>
              <w:t> </w:t>
            </w:r>
            <w:r>
              <w:rPr>
                <w:rFonts w:ascii="Verdana"/>
                <w:sz w:val="24"/>
              </w:rPr>
              <w:t>action, and to report these back to the RJC.</w:t>
            </w:r>
          </w:p>
        </w:tc>
        <w:tc>
          <w:tcPr>
            <w:tcW w:w="1530" w:type="dxa"/>
          </w:tcPr>
          <w:p>
            <w:pPr>
              <w:pStyle w:val="TableParagraph"/>
              <w:spacing w:line="290" w:lineRule="exact"/>
              <w:ind w:left="5" w:right="5"/>
              <w:jc w:val="center"/>
              <w:rPr>
                <w:rFonts w:ascii="Verdana"/>
                <w:b/>
                <w:sz w:val="24"/>
              </w:rPr>
            </w:pPr>
            <w:r>
              <w:rPr>
                <w:rFonts w:ascii="Verdana"/>
                <w:b/>
                <w:spacing w:val="-5"/>
                <w:sz w:val="24"/>
              </w:rPr>
              <w:t>LG</w:t>
            </w:r>
          </w:p>
        </w:tc>
        <w:tc>
          <w:tcPr>
            <w:tcW w:w="1735" w:type="dxa"/>
          </w:tcPr>
          <w:p>
            <w:pPr>
              <w:pStyle w:val="TableParagraph"/>
              <w:spacing w:line="290" w:lineRule="exact"/>
              <w:ind w:left="259"/>
              <w:rPr>
                <w:rFonts w:ascii="Verdana"/>
                <w:b/>
                <w:sz w:val="24"/>
              </w:rPr>
            </w:pPr>
            <w:r>
              <w:rPr>
                <w:rFonts w:ascii="Verdana"/>
                <w:b/>
                <w:sz w:val="24"/>
              </w:rPr>
              <w:t>Oct</w:t>
            </w:r>
            <w:r>
              <w:rPr>
                <w:rFonts w:ascii="Verdana"/>
                <w:b/>
                <w:spacing w:val="-5"/>
                <w:sz w:val="24"/>
              </w:rPr>
              <w:t> </w:t>
            </w:r>
            <w:r>
              <w:rPr>
                <w:rFonts w:ascii="Verdana"/>
                <w:b/>
                <w:spacing w:val="-4"/>
                <w:sz w:val="24"/>
              </w:rPr>
              <w:t>2026</w:t>
            </w:r>
          </w:p>
          <w:p>
            <w:pPr>
              <w:pStyle w:val="TableParagraph"/>
              <w:spacing w:before="4"/>
              <w:ind w:left="109" w:firstLine="120"/>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tc>
        <w:tc>
          <w:tcPr>
            <w:tcW w:w="3431" w:type="dxa"/>
          </w:tcPr>
          <w:p>
            <w:pPr>
              <w:pStyle w:val="TableParagraph"/>
              <w:rPr>
                <w:rFonts w:ascii="Times New Roman"/>
                <w:sz w:val="22"/>
              </w:rPr>
            </w:pPr>
          </w:p>
        </w:tc>
        <w:tc>
          <w:tcPr>
            <w:tcW w:w="784" w:type="dxa"/>
            <w:shd w:val="clear" w:color="auto" w:fill="FFD966"/>
          </w:tcPr>
          <w:p>
            <w:pPr>
              <w:pStyle w:val="TableParagraph"/>
              <w:rPr>
                <w:rFonts w:ascii="Times New Roman"/>
                <w:sz w:val="22"/>
              </w:rPr>
            </w:pPr>
          </w:p>
        </w:tc>
      </w:tr>
      <w:tr>
        <w:trPr>
          <w:trHeight w:val="2034" w:hRule="atLeast"/>
        </w:trPr>
        <w:tc>
          <w:tcPr>
            <w:tcW w:w="1221" w:type="dxa"/>
          </w:tcPr>
          <w:p>
            <w:pPr>
              <w:pStyle w:val="TableParagraph"/>
              <w:spacing w:line="284" w:lineRule="exact"/>
              <w:ind w:left="13"/>
              <w:jc w:val="center"/>
              <w:rPr>
                <w:rFonts w:ascii="Verdana"/>
                <w:b/>
                <w:sz w:val="24"/>
              </w:rPr>
            </w:pPr>
            <w:r>
              <w:rPr>
                <w:rFonts w:ascii="Verdana"/>
                <w:b/>
                <w:spacing w:val="-2"/>
                <w:sz w:val="24"/>
              </w:rPr>
              <w:t>RJC/27</w:t>
            </w:r>
          </w:p>
        </w:tc>
        <w:tc>
          <w:tcPr>
            <w:tcW w:w="4902" w:type="dxa"/>
          </w:tcPr>
          <w:p>
            <w:pPr>
              <w:pStyle w:val="TableParagraph"/>
              <w:ind w:left="104" w:right="182"/>
              <w:rPr>
                <w:rFonts w:ascii="Verdana"/>
                <w:sz w:val="24"/>
              </w:rPr>
            </w:pPr>
            <w:r>
              <w:rPr>
                <w:rFonts w:ascii="Verdana"/>
                <w:sz w:val="24"/>
              </w:rPr>
              <w:t>JWi and HL to work with RJC Chairs, to develop and present back to the RJC a proportionate and pragmatic RJC strategic risk</w:t>
            </w:r>
            <w:r>
              <w:rPr>
                <w:rFonts w:ascii="Verdana"/>
                <w:spacing w:val="-2"/>
                <w:sz w:val="24"/>
              </w:rPr>
              <w:t> </w:t>
            </w:r>
            <w:r>
              <w:rPr>
                <w:rFonts w:ascii="Verdana"/>
                <w:sz w:val="24"/>
              </w:rPr>
              <w:t>register, identifying a</w:t>
            </w:r>
            <w:r>
              <w:rPr>
                <w:rFonts w:ascii="Verdana"/>
                <w:spacing w:val="-7"/>
                <w:sz w:val="24"/>
              </w:rPr>
              <w:t> </w:t>
            </w:r>
            <w:r>
              <w:rPr>
                <w:rFonts w:ascii="Verdana"/>
                <w:sz w:val="24"/>
              </w:rPr>
              <w:t>small</w:t>
            </w:r>
            <w:r>
              <w:rPr>
                <w:rFonts w:ascii="Verdana"/>
                <w:spacing w:val="-8"/>
                <w:sz w:val="24"/>
              </w:rPr>
              <w:t> </w:t>
            </w:r>
            <w:r>
              <w:rPr>
                <w:rFonts w:ascii="Verdana"/>
                <w:sz w:val="24"/>
              </w:rPr>
              <w:t>number</w:t>
            </w:r>
            <w:r>
              <w:rPr>
                <w:rFonts w:ascii="Verdana"/>
                <w:spacing w:val="-5"/>
                <w:sz w:val="24"/>
              </w:rPr>
              <w:t> </w:t>
            </w:r>
            <w:r>
              <w:rPr>
                <w:rFonts w:ascii="Verdana"/>
                <w:sz w:val="24"/>
              </w:rPr>
              <w:t>of</w:t>
            </w:r>
            <w:r>
              <w:rPr>
                <w:rFonts w:ascii="Verdana"/>
                <w:spacing w:val="-7"/>
                <w:sz w:val="24"/>
              </w:rPr>
              <w:t> </w:t>
            </w:r>
            <w:r>
              <w:rPr>
                <w:rFonts w:ascii="Verdana"/>
                <w:sz w:val="24"/>
              </w:rPr>
              <w:t>system-wide</w:t>
            </w:r>
            <w:r>
              <w:rPr>
                <w:rFonts w:ascii="Verdana"/>
                <w:spacing w:val="-5"/>
                <w:sz w:val="24"/>
              </w:rPr>
              <w:t> </w:t>
            </w:r>
            <w:r>
              <w:rPr>
                <w:rFonts w:ascii="Verdana"/>
                <w:sz w:val="24"/>
              </w:rPr>
              <w:t>levels of risks aligned to RJC objectives.</w:t>
            </w:r>
          </w:p>
        </w:tc>
        <w:tc>
          <w:tcPr>
            <w:tcW w:w="1530" w:type="dxa"/>
          </w:tcPr>
          <w:p>
            <w:pPr>
              <w:pStyle w:val="TableParagraph"/>
              <w:spacing w:line="284" w:lineRule="exact"/>
              <w:ind w:left="5" w:right="7"/>
              <w:jc w:val="center"/>
              <w:rPr>
                <w:rFonts w:ascii="Verdana"/>
                <w:b/>
                <w:sz w:val="24"/>
              </w:rPr>
            </w:pPr>
            <w:r>
              <w:rPr>
                <w:rFonts w:ascii="Verdana"/>
                <w:b/>
                <w:sz w:val="24"/>
              </w:rPr>
              <w:t>JWi</w:t>
            </w:r>
            <w:r>
              <w:rPr>
                <w:rFonts w:ascii="Verdana"/>
                <w:b/>
                <w:spacing w:val="-5"/>
                <w:sz w:val="24"/>
              </w:rPr>
              <w:t> </w:t>
            </w:r>
            <w:r>
              <w:rPr>
                <w:rFonts w:ascii="Verdana"/>
                <w:b/>
                <w:sz w:val="24"/>
              </w:rPr>
              <w:t>&amp; </w:t>
            </w:r>
            <w:r>
              <w:rPr>
                <w:rFonts w:ascii="Verdana"/>
                <w:b/>
                <w:spacing w:val="-5"/>
                <w:sz w:val="24"/>
              </w:rPr>
              <w:t>HL</w:t>
            </w:r>
          </w:p>
        </w:tc>
        <w:tc>
          <w:tcPr>
            <w:tcW w:w="1735" w:type="dxa"/>
          </w:tcPr>
          <w:p>
            <w:pPr>
              <w:pStyle w:val="TableParagraph"/>
              <w:spacing w:line="284" w:lineRule="exact"/>
              <w:ind w:left="259"/>
              <w:rPr>
                <w:rFonts w:ascii="Verdana"/>
                <w:b/>
                <w:sz w:val="24"/>
              </w:rPr>
            </w:pPr>
            <w:r>
              <w:rPr>
                <w:rFonts w:ascii="Verdana"/>
                <w:b/>
                <w:sz w:val="24"/>
              </w:rPr>
              <w:t>Oct</w:t>
            </w:r>
            <w:r>
              <w:rPr>
                <w:rFonts w:ascii="Verdana"/>
                <w:b/>
                <w:spacing w:val="-5"/>
                <w:sz w:val="24"/>
              </w:rPr>
              <w:t> </w:t>
            </w:r>
            <w:r>
              <w:rPr>
                <w:rFonts w:ascii="Verdana"/>
                <w:b/>
                <w:spacing w:val="-4"/>
                <w:sz w:val="24"/>
              </w:rPr>
              <w:t>2026</w:t>
            </w:r>
          </w:p>
          <w:p>
            <w:pPr>
              <w:pStyle w:val="TableParagraph"/>
              <w:ind w:left="109" w:firstLine="120"/>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tc>
        <w:tc>
          <w:tcPr>
            <w:tcW w:w="3431" w:type="dxa"/>
          </w:tcPr>
          <w:p>
            <w:pPr>
              <w:pStyle w:val="TableParagraph"/>
              <w:ind w:left="104"/>
              <w:rPr>
                <w:rFonts w:ascii="Verdana"/>
                <w:sz w:val="24"/>
              </w:rPr>
            </w:pPr>
            <w:r>
              <w:rPr>
                <w:rFonts w:ascii="Verdana"/>
                <w:sz w:val="24"/>
              </w:rPr>
              <w:t>Complete</w:t>
            </w:r>
            <w:r>
              <w:rPr>
                <w:rFonts w:ascii="Verdana"/>
                <w:spacing w:val="-13"/>
                <w:sz w:val="24"/>
              </w:rPr>
              <w:t> </w:t>
            </w:r>
            <w:r>
              <w:rPr>
                <w:rFonts w:ascii="Verdana"/>
                <w:sz w:val="24"/>
              </w:rPr>
              <w:t>-</w:t>
            </w:r>
            <w:r>
              <w:rPr>
                <w:rFonts w:ascii="Verdana"/>
                <w:spacing w:val="-10"/>
                <w:sz w:val="24"/>
              </w:rPr>
              <w:t> </w:t>
            </w:r>
            <w:r>
              <w:rPr>
                <w:rFonts w:ascii="Verdana"/>
                <w:sz w:val="24"/>
              </w:rPr>
              <w:t>RJC</w:t>
            </w:r>
            <w:r>
              <w:rPr>
                <w:rFonts w:ascii="Verdana"/>
                <w:spacing w:val="-13"/>
                <w:sz w:val="24"/>
              </w:rPr>
              <w:t> </w:t>
            </w:r>
            <w:r>
              <w:rPr>
                <w:rFonts w:ascii="Verdana"/>
                <w:sz w:val="24"/>
              </w:rPr>
              <w:t>Strategic Risk Register to be presented to the RJC meeting on 13 October</w:t>
            </w:r>
          </w:p>
        </w:tc>
        <w:tc>
          <w:tcPr>
            <w:tcW w:w="784" w:type="dxa"/>
            <w:shd w:val="clear" w:color="auto" w:fill="C5DFB3"/>
          </w:tcPr>
          <w:p>
            <w:pPr>
              <w:pStyle w:val="TableParagraph"/>
              <w:rPr>
                <w:rFonts w:ascii="Times New Roman"/>
                <w:sz w:val="22"/>
              </w:rPr>
            </w:pPr>
          </w:p>
        </w:tc>
      </w:tr>
      <w:tr>
        <w:trPr>
          <w:trHeight w:val="4087" w:hRule="atLeast"/>
        </w:trPr>
        <w:tc>
          <w:tcPr>
            <w:tcW w:w="1221" w:type="dxa"/>
          </w:tcPr>
          <w:p>
            <w:pPr>
              <w:pStyle w:val="TableParagraph"/>
              <w:spacing w:line="290" w:lineRule="exact"/>
              <w:ind w:left="13"/>
              <w:jc w:val="center"/>
              <w:rPr>
                <w:rFonts w:ascii="Verdana"/>
                <w:b/>
                <w:sz w:val="24"/>
              </w:rPr>
            </w:pPr>
            <w:r>
              <w:rPr>
                <w:rFonts w:ascii="Verdana"/>
                <w:b/>
                <w:spacing w:val="-2"/>
                <w:sz w:val="24"/>
              </w:rPr>
              <w:t>RJC/28</w:t>
            </w:r>
          </w:p>
        </w:tc>
        <w:tc>
          <w:tcPr>
            <w:tcW w:w="4902" w:type="dxa"/>
          </w:tcPr>
          <w:p>
            <w:pPr>
              <w:pStyle w:val="TableParagraph"/>
              <w:ind w:left="104"/>
              <w:rPr>
                <w:rFonts w:ascii="Verdana"/>
                <w:sz w:val="24"/>
              </w:rPr>
            </w:pPr>
            <w:r>
              <w:rPr>
                <w:rFonts w:ascii="Verdana"/>
                <w:sz w:val="24"/>
              </w:rPr>
              <w:t>JWi</w:t>
            </w:r>
            <w:r>
              <w:rPr>
                <w:rFonts w:ascii="Verdana"/>
                <w:spacing w:val="-3"/>
                <w:sz w:val="24"/>
              </w:rPr>
              <w:t> </w:t>
            </w:r>
            <w:r>
              <w:rPr>
                <w:rFonts w:ascii="Verdana"/>
                <w:sz w:val="24"/>
              </w:rPr>
              <w:t>to</w:t>
            </w:r>
            <w:r>
              <w:rPr>
                <w:rFonts w:ascii="Verdana"/>
                <w:spacing w:val="-3"/>
                <w:sz w:val="24"/>
              </w:rPr>
              <w:t> </w:t>
            </w:r>
            <w:r>
              <w:rPr>
                <w:rFonts w:ascii="Verdana"/>
                <w:sz w:val="24"/>
              </w:rPr>
              <w:t>formally</w:t>
            </w:r>
            <w:r>
              <w:rPr>
                <w:rFonts w:ascii="Verdana"/>
                <w:spacing w:val="-6"/>
                <w:sz w:val="24"/>
              </w:rPr>
              <w:t> </w:t>
            </w:r>
            <w:r>
              <w:rPr>
                <w:rFonts w:ascii="Verdana"/>
                <w:sz w:val="24"/>
              </w:rPr>
              <w:t>share</w:t>
            </w:r>
            <w:r>
              <w:rPr>
                <w:rFonts w:ascii="Verdana"/>
                <w:spacing w:val="-3"/>
                <w:sz w:val="24"/>
              </w:rPr>
              <w:t> </w:t>
            </w:r>
            <w:r>
              <w:rPr>
                <w:rFonts w:ascii="Verdana"/>
                <w:sz w:val="24"/>
              </w:rPr>
              <w:t>the</w:t>
            </w:r>
            <w:r>
              <w:rPr>
                <w:rFonts w:ascii="Verdana"/>
                <w:spacing w:val="-3"/>
                <w:sz w:val="24"/>
              </w:rPr>
              <w:t> </w:t>
            </w:r>
            <w:r>
              <w:rPr>
                <w:rFonts w:ascii="Verdana"/>
                <w:sz w:val="24"/>
              </w:rPr>
              <w:t>RJC</w:t>
            </w:r>
            <w:r>
              <w:rPr>
                <w:rFonts w:ascii="Verdana"/>
                <w:spacing w:val="-6"/>
                <w:sz w:val="24"/>
              </w:rPr>
              <w:t> </w:t>
            </w:r>
            <w:r>
              <w:rPr>
                <w:rFonts w:ascii="Verdana"/>
                <w:sz w:val="24"/>
              </w:rPr>
              <w:t>Annual Self Assessment with Welsh Government,</w:t>
            </w:r>
            <w:r>
              <w:rPr>
                <w:rFonts w:ascii="Verdana"/>
                <w:spacing w:val="-12"/>
                <w:sz w:val="24"/>
              </w:rPr>
              <w:t> </w:t>
            </w:r>
            <w:r>
              <w:rPr>
                <w:rFonts w:ascii="Verdana"/>
                <w:sz w:val="24"/>
              </w:rPr>
              <w:t>including</w:t>
            </w:r>
            <w:r>
              <w:rPr>
                <w:rFonts w:ascii="Verdana"/>
                <w:spacing w:val="-15"/>
                <w:sz w:val="24"/>
              </w:rPr>
              <w:t> </w:t>
            </w:r>
            <w:r>
              <w:rPr>
                <w:rFonts w:ascii="Verdana"/>
                <w:sz w:val="24"/>
              </w:rPr>
              <w:t>submission</w:t>
            </w:r>
            <w:r>
              <w:rPr>
                <w:rFonts w:ascii="Verdana"/>
                <w:spacing w:val="-16"/>
                <w:sz w:val="24"/>
              </w:rPr>
              <w:t> </w:t>
            </w:r>
            <w:r>
              <w:rPr>
                <w:rFonts w:ascii="Verdana"/>
                <w:sz w:val="24"/>
              </w:rPr>
              <w:t>to the Cabinet Secretary, as part of ongoing assurance and reporting </w:t>
            </w:r>
            <w:r>
              <w:rPr>
                <w:rFonts w:ascii="Verdana"/>
                <w:spacing w:val="-2"/>
                <w:sz w:val="24"/>
              </w:rPr>
              <w:t>arrangements.</w:t>
            </w:r>
          </w:p>
          <w:p>
            <w:pPr>
              <w:pStyle w:val="TableParagraph"/>
              <w:spacing w:before="3"/>
              <w:rPr>
                <w:rFonts w:ascii="Verdana"/>
                <w:b/>
                <w:sz w:val="24"/>
              </w:rPr>
            </w:pPr>
          </w:p>
          <w:p>
            <w:pPr>
              <w:pStyle w:val="TableParagraph"/>
              <w:ind w:left="104" w:right="182"/>
              <w:rPr>
                <w:rFonts w:ascii="Verdana"/>
                <w:sz w:val="24"/>
              </w:rPr>
            </w:pPr>
            <w:r>
              <w:rPr>
                <w:rFonts w:ascii="Verdana"/>
                <w:sz w:val="24"/>
              </w:rPr>
              <w:t>RJC</w:t>
            </w:r>
            <w:r>
              <w:rPr>
                <w:rFonts w:ascii="Verdana"/>
                <w:spacing w:val="-5"/>
                <w:sz w:val="24"/>
              </w:rPr>
              <w:t> </w:t>
            </w:r>
            <w:r>
              <w:rPr>
                <w:rFonts w:ascii="Verdana"/>
                <w:sz w:val="24"/>
              </w:rPr>
              <w:t>PMO</w:t>
            </w:r>
            <w:r>
              <w:rPr>
                <w:rFonts w:ascii="Verdana"/>
                <w:spacing w:val="-6"/>
                <w:sz w:val="24"/>
              </w:rPr>
              <w:t> </w:t>
            </w:r>
            <w:r>
              <w:rPr>
                <w:rFonts w:ascii="Verdana"/>
                <w:sz w:val="24"/>
              </w:rPr>
              <w:t>to</w:t>
            </w:r>
            <w:r>
              <w:rPr>
                <w:rFonts w:ascii="Verdana"/>
                <w:spacing w:val="-7"/>
                <w:sz w:val="24"/>
              </w:rPr>
              <w:t> </w:t>
            </w:r>
            <w:r>
              <w:rPr>
                <w:rFonts w:ascii="Verdana"/>
                <w:sz w:val="24"/>
              </w:rPr>
              <w:t>forward</w:t>
            </w:r>
            <w:r>
              <w:rPr>
                <w:rFonts w:ascii="Verdana"/>
                <w:spacing w:val="-11"/>
                <w:sz w:val="24"/>
              </w:rPr>
              <w:t> </w:t>
            </w:r>
            <w:r>
              <w:rPr>
                <w:rFonts w:ascii="Verdana"/>
                <w:sz w:val="24"/>
              </w:rPr>
              <w:t>plan</w:t>
            </w:r>
            <w:r>
              <w:rPr>
                <w:rFonts w:ascii="Verdana"/>
                <w:spacing w:val="-8"/>
                <w:sz w:val="24"/>
              </w:rPr>
              <w:t> </w:t>
            </w:r>
            <w:r>
              <w:rPr>
                <w:rFonts w:ascii="Verdana"/>
                <w:sz w:val="24"/>
              </w:rPr>
              <w:t>a</w:t>
            </w:r>
            <w:r>
              <w:rPr>
                <w:rFonts w:ascii="Verdana"/>
                <w:spacing w:val="-6"/>
                <w:sz w:val="24"/>
              </w:rPr>
              <w:t> </w:t>
            </w:r>
            <w:r>
              <w:rPr>
                <w:rFonts w:ascii="Verdana"/>
                <w:sz w:val="24"/>
              </w:rPr>
              <w:t>collective conversation on the performance of the Committee at a future RJC </w:t>
            </w:r>
            <w:r>
              <w:rPr>
                <w:rFonts w:ascii="Verdana"/>
                <w:spacing w:val="-2"/>
                <w:sz w:val="24"/>
              </w:rPr>
              <w:t>meeting.</w:t>
            </w:r>
          </w:p>
        </w:tc>
        <w:tc>
          <w:tcPr>
            <w:tcW w:w="1530" w:type="dxa"/>
          </w:tcPr>
          <w:p>
            <w:pPr>
              <w:pStyle w:val="TableParagraph"/>
              <w:spacing w:line="290" w:lineRule="exact"/>
              <w:ind w:left="5" w:right="5"/>
              <w:jc w:val="center"/>
              <w:rPr>
                <w:rFonts w:ascii="Verdana"/>
                <w:b/>
                <w:sz w:val="24"/>
              </w:rPr>
            </w:pPr>
            <w:r>
              <w:rPr>
                <w:rFonts w:ascii="Verdana"/>
                <w:b/>
                <w:spacing w:val="-5"/>
                <w:sz w:val="24"/>
              </w:rPr>
              <w:t>Jwi</w:t>
            </w:r>
          </w:p>
          <w:p>
            <w:pPr>
              <w:pStyle w:val="TableParagraph"/>
              <w:rPr>
                <w:rFonts w:ascii="Verdana"/>
                <w:b/>
                <w:sz w:val="24"/>
              </w:rPr>
            </w:pPr>
          </w:p>
          <w:p>
            <w:pPr>
              <w:pStyle w:val="TableParagraph"/>
              <w:rPr>
                <w:rFonts w:ascii="Verdana"/>
                <w:b/>
                <w:sz w:val="24"/>
              </w:rPr>
            </w:pPr>
          </w:p>
          <w:p>
            <w:pPr>
              <w:pStyle w:val="TableParagraph"/>
              <w:rPr>
                <w:rFonts w:ascii="Verdana"/>
                <w:b/>
                <w:sz w:val="24"/>
              </w:rPr>
            </w:pPr>
          </w:p>
          <w:p>
            <w:pPr>
              <w:pStyle w:val="TableParagraph"/>
              <w:rPr>
                <w:rFonts w:ascii="Verdana"/>
                <w:b/>
                <w:sz w:val="24"/>
              </w:rPr>
            </w:pPr>
          </w:p>
          <w:p>
            <w:pPr>
              <w:pStyle w:val="TableParagraph"/>
              <w:rPr>
                <w:rFonts w:ascii="Verdana"/>
                <w:b/>
                <w:sz w:val="24"/>
              </w:rPr>
            </w:pPr>
          </w:p>
          <w:p>
            <w:pPr>
              <w:pStyle w:val="TableParagraph"/>
              <w:spacing w:before="4"/>
              <w:rPr>
                <w:rFonts w:ascii="Verdana"/>
                <w:b/>
                <w:sz w:val="24"/>
              </w:rPr>
            </w:pPr>
          </w:p>
          <w:p>
            <w:pPr>
              <w:pStyle w:val="TableParagraph"/>
              <w:ind w:left="9" w:right="4"/>
              <w:jc w:val="center"/>
              <w:rPr>
                <w:rFonts w:ascii="Verdana"/>
                <w:b/>
                <w:sz w:val="24"/>
              </w:rPr>
            </w:pPr>
            <w:r>
              <w:rPr>
                <w:rFonts w:ascii="Verdana"/>
                <w:b/>
                <w:sz w:val="24"/>
              </w:rPr>
              <w:t>RJC</w:t>
            </w:r>
            <w:r>
              <w:rPr>
                <w:rFonts w:ascii="Verdana"/>
                <w:b/>
                <w:spacing w:val="1"/>
                <w:sz w:val="24"/>
              </w:rPr>
              <w:t> </w:t>
            </w:r>
            <w:r>
              <w:rPr>
                <w:rFonts w:ascii="Verdana"/>
                <w:b/>
                <w:spacing w:val="-5"/>
                <w:sz w:val="24"/>
              </w:rPr>
              <w:t>PMO</w:t>
            </w:r>
          </w:p>
        </w:tc>
        <w:tc>
          <w:tcPr>
            <w:tcW w:w="1735" w:type="dxa"/>
          </w:tcPr>
          <w:p>
            <w:pPr>
              <w:pStyle w:val="TableParagraph"/>
              <w:spacing w:line="290" w:lineRule="exact"/>
              <w:ind w:left="9"/>
              <w:jc w:val="center"/>
              <w:rPr>
                <w:rFonts w:ascii="Verdana"/>
                <w:b/>
                <w:sz w:val="24"/>
              </w:rPr>
            </w:pPr>
            <w:r>
              <w:rPr>
                <w:rFonts w:ascii="Verdana"/>
                <w:b/>
                <w:sz w:val="24"/>
              </w:rPr>
              <w:t>Oct</w:t>
            </w:r>
            <w:r>
              <w:rPr>
                <w:rFonts w:ascii="Verdana"/>
                <w:b/>
                <w:spacing w:val="-5"/>
                <w:sz w:val="24"/>
              </w:rPr>
              <w:t> </w:t>
            </w:r>
            <w:r>
              <w:rPr>
                <w:rFonts w:ascii="Verdana"/>
                <w:b/>
                <w:spacing w:val="-4"/>
                <w:sz w:val="24"/>
              </w:rPr>
              <w:t>2026</w:t>
            </w:r>
          </w:p>
          <w:p>
            <w:pPr>
              <w:pStyle w:val="TableParagraph"/>
              <w:spacing w:before="4"/>
              <w:ind w:left="109" w:right="104" w:firstLine="7"/>
              <w:jc w:val="center"/>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p>
            <w:pPr>
              <w:pStyle w:val="TableParagraph"/>
              <w:rPr>
                <w:rFonts w:ascii="Verdana"/>
                <w:b/>
                <w:sz w:val="24"/>
              </w:rPr>
            </w:pPr>
          </w:p>
          <w:p>
            <w:pPr>
              <w:pStyle w:val="TableParagraph"/>
              <w:rPr>
                <w:rFonts w:ascii="Verdana"/>
                <w:b/>
                <w:sz w:val="24"/>
              </w:rPr>
            </w:pPr>
          </w:p>
          <w:p>
            <w:pPr>
              <w:pStyle w:val="TableParagraph"/>
              <w:rPr>
                <w:rFonts w:ascii="Verdana"/>
                <w:b/>
                <w:sz w:val="24"/>
              </w:rPr>
            </w:pPr>
          </w:p>
          <w:p>
            <w:pPr>
              <w:pStyle w:val="TableParagraph"/>
              <w:spacing w:line="291" w:lineRule="exact"/>
              <w:ind w:left="9"/>
              <w:jc w:val="center"/>
              <w:rPr>
                <w:rFonts w:ascii="Verdana"/>
                <w:b/>
                <w:sz w:val="24"/>
              </w:rPr>
            </w:pPr>
            <w:r>
              <w:rPr>
                <w:rFonts w:ascii="Verdana"/>
                <w:b/>
                <w:sz w:val="24"/>
              </w:rPr>
              <w:t>Oct</w:t>
            </w:r>
            <w:r>
              <w:rPr>
                <w:rFonts w:ascii="Verdana"/>
                <w:b/>
                <w:spacing w:val="-5"/>
                <w:sz w:val="24"/>
              </w:rPr>
              <w:t> </w:t>
            </w:r>
            <w:r>
              <w:rPr>
                <w:rFonts w:ascii="Verdana"/>
                <w:b/>
                <w:spacing w:val="-4"/>
                <w:sz w:val="24"/>
              </w:rPr>
              <w:t>2026</w:t>
            </w:r>
          </w:p>
          <w:p>
            <w:pPr>
              <w:pStyle w:val="TableParagraph"/>
              <w:ind w:left="109" w:right="104" w:firstLine="7"/>
              <w:jc w:val="center"/>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tc>
        <w:tc>
          <w:tcPr>
            <w:tcW w:w="3431" w:type="dxa"/>
          </w:tcPr>
          <w:p>
            <w:pPr>
              <w:pStyle w:val="TableParagraph"/>
              <w:ind w:left="104" w:right="73"/>
              <w:rPr>
                <w:rFonts w:ascii="Verdana" w:hAnsi="Verdana"/>
                <w:sz w:val="24"/>
              </w:rPr>
            </w:pPr>
            <w:r>
              <w:rPr>
                <w:rFonts w:ascii="Verdana" w:hAnsi="Verdana"/>
                <w:sz w:val="24"/>
              </w:rPr>
              <w:t>Complete – e-mail sent sharing the RJC Annual Self</w:t>
            </w:r>
            <w:r>
              <w:rPr>
                <w:rFonts w:ascii="Verdana" w:hAnsi="Verdana"/>
                <w:spacing w:val="-9"/>
                <w:sz w:val="24"/>
              </w:rPr>
              <w:t> </w:t>
            </w:r>
            <w:r>
              <w:rPr>
                <w:rFonts w:ascii="Verdana" w:hAnsi="Verdana"/>
                <w:sz w:val="24"/>
              </w:rPr>
              <w:t>Assessment</w:t>
            </w:r>
            <w:r>
              <w:rPr>
                <w:rFonts w:ascii="Verdana" w:hAnsi="Verdana"/>
                <w:spacing w:val="-9"/>
                <w:sz w:val="24"/>
              </w:rPr>
              <w:t> </w:t>
            </w:r>
            <w:r>
              <w:rPr>
                <w:rFonts w:ascii="Verdana" w:hAnsi="Verdana"/>
                <w:sz w:val="24"/>
              </w:rPr>
              <w:t>on</w:t>
            </w:r>
            <w:r>
              <w:rPr>
                <w:rFonts w:ascii="Verdana" w:hAnsi="Verdana"/>
                <w:spacing w:val="-12"/>
                <w:sz w:val="24"/>
              </w:rPr>
              <w:t> </w:t>
            </w:r>
            <w:r>
              <w:rPr>
                <w:rFonts w:ascii="Verdana" w:hAnsi="Verdana"/>
                <w:sz w:val="24"/>
              </w:rPr>
              <w:t>8</w:t>
            </w:r>
            <w:r>
              <w:rPr>
                <w:rFonts w:ascii="Verdana" w:hAnsi="Verdana"/>
                <w:spacing w:val="-7"/>
                <w:sz w:val="24"/>
              </w:rPr>
              <w:t> </w:t>
            </w:r>
            <w:r>
              <w:rPr>
                <w:rFonts w:ascii="Verdana" w:hAnsi="Verdana"/>
                <w:sz w:val="24"/>
              </w:rPr>
              <w:t>May </w:t>
            </w:r>
            <w:r>
              <w:rPr>
                <w:rFonts w:ascii="Verdana" w:hAnsi="Verdana"/>
                <w:spacing w:val="-4"/>
                <w:sz w:val="24"/>
              </w:rPr>
              <w:t>2026</w:t>
            </w:r>
          </w:p>
          <w:p>
            <w:pPr>
              <w:pStyle w:val="TableParagraph"/>
              <w:rPr>
                <w:rFonts w:ascii="Verdana"/>
                <w:b/>
                <w:sz w:val="24"/>
              </w:rPr>
            </w:pPr>
          </w:p>
          <w:p>
            <w:pPr>
              <w:pStyle w:val="TableParagraph"/>
              <w:rPr>
                <w:rFonts w:ascii="Verdana"/>
                <w:b/>
                <w:sz w:val="24"/>
              </w:rPr>
            </w:pPr>
          </w:p>
          <w:p>
            <w:pPr>
              <w:pStyle w:val="TableParagraph"/>
              <w:spacing w:before="3"/>
              <w:rPr>
                <w:rFonts w:ascii="Verdana"/>
                <w:b/>
                <w:sz w:val="24"/>
              </w:rPr>
            </w:pPr>
          </w:p>
          <w:p>
            <w:pPr>
              <w:pStyle w:val="TableParagraph"/>
              <w:ind w:left="104" w:right="193"/>
              <w:rPr>
                <w:rFonts w:ascii="Verdana"/>
                <w:sz w:val="24"/>
              </w:rPr>
            </w:pPr>
            <w:r>
              <w:rPr>
                <w:rFonts w:ascii="Verdana"/>
                <w:sz w:val="24"/>
              </w:rPr>
              <w:t>Complete. Forward planned</w:t>
            </w:r>
            <w:r>
              <w:rPr>
                <w:rFonts w:ascii="Verdana"/>
                <w:spacing w:val="-9"/>
                <w:sz w:val="24"/>
              </w:rPr>
              <w:t> </w:t>
            </w:r>
            <w:r>
              <w:rPr>
                <w:rFonts w:ascii="Verdana"/>
                <w:sz w:val="24"/>
              </w:rPr>
              <w:t>to</w:t>
            </w:r>
            <w:r>
              <w:rPr>
                <w:rFonts w:ascii="Verdana"/>
                <w:spacing w:val="-9"/>
                <w:sz w:val="24"/>
              </w:rPr>
              <w:t> </w:t>
            </w:r>
            <w:r>
              <w:rPr>
                <w:rFonts w:ascii="Verdana"/>
                <w:sz w:val="24"/>
              </w:rPr>
              <w:t>a</w:t>
            </w:r>
            <w:r>
              <w:rPr>
                <w:rFonts w:ascii="Verdana"/>
                <w:spacing w:val="-9"/>
                <w:sz w:val="24"/>
              </w:rPr>
              <w:t> </w:t>
            </w:r>
            <w:r>
              <w:rPr>
                <w:rFonts w:ascii="Verdana"/>
                <w:sz w:val="24"/>
              </w:rPr>
              <w:t>future</w:t>
            </w:r>
            <w:r>
              <w:rPr>
                <w:rFonts w:ascii="Verdana"/>
                <w:spacing w:val="-8"/>
                <w:sz w:val="24"/>
              </w:rPr>
              <w:t> </w:t>
            </w:r>
            <w:r>
              <w:rPr>
                <w:rFonts w:ascii="Verdana"/>
                <w:sz w:val="24"/>
              </w:rPr>
              <w:t>RJC </w:t>
            </w:r>
            <w:r>
              <w:rPr>
                <w:rFonts w:ascii="Verdana"/>
                <w:spacing w:val="-2"/>
                <w:sz w:val="24"/>
              </w:rPr>
              <w:t>agenda</w:t>
            </w:r>
          </w:p>
        </w:tc>
        <w:tc>
          <w:tcPr>
            <w:tcW w:w="784" w:type="dxa"/>
            <w:shd w:val="clear" w:color="auto" w:fill="C5DFB3"/>
          </w:tcPr>
          <w:p>
            <w:pPr>
              <w:pStyle w:val="TableParagraph"/>
              <w:rPr>
                <w:rFonts w:ascii="Times New Roman"/>
                <w:sz w:val="22"/>
              </w:rPr>
            </w:pPr>
          </w:p>
        </w:tc>
      </w:tr>
    </w:tbl>
    <w:p>
      <w:pPr>
        <w:pStyle w:val="TableParagraph"/>
        <w:spacing w:after="0"/>
        <w:rPr>
          <w:rFonts w:ascii="Times New Roman"/>
          <w:sz w:val="22"/>
        </w:rPr>
        <w:sectPr>
          <w:footerReference w:type="default" r:id="rId122"/>
          <w:pgSz w:w="16840" w:h="11910" w:orient="landscape"/>
          <w:pgMar w:header="0" w:footer="118" w:top="820" w:bottom="300" w:left="1417" w:right="1700"/>
        </w:sectPr>
      </w:pPr>
    </w:p>
    <w:p>
      <w:pPr>
        <w:pStyle w:val="BodyText"/>
        <w:spacing w:before="1"/>
        <w:rPr>
          <w:rFonts w:ascii="Verdana"/>
          <w:b/>
          <w:sz w:val="2"/>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1"/>
        <w:gridCol w:w="4902"/>
        <w:gridCol w:w="1530"/>
        <w:gridCol w:w="1735"/>
        <w:gridCol w:w="3431"/>
        <w:gridCol w:w="784"/>
      </w:tblGrid>
      <w:tr>
        <w:trPr>
          <w:trHeight w:val="3211" w:hRule="atLeast"/>
        </w:trPr>
        <w:tc>
          <w:tcPr>
            <w:tcW w:w="1221" w:type="dxa"/>
          </w:tcPr>
          <w:p>
            <w:pPr>
              <w:pStyle w:val="TableParagraph"/>
              <w:spacing w:line="290" w:lineRule="exact"/>
              <w:ind w:left="13"/>
              <w:jc w:val="center"/>
              <w:rPr>
                <w:rFonts w:ascii="Verdana"/>
                <w:b/>
                <w:sz w:val="24"/>
              </w:rPr>
            </w:pPr>
            <w:r>
              <w:rPr>
                <w:rFonts w:ascii="Verdana"/>
                <w:b/>
                <w:spacing w:val="-2"/>
                <w:sz w:val="24"/>
              </w:rPr>
              <w:t>RJC/29</w:t>
            </w:r>
          </w:p>
        </w:tc>
        <w:tc>
          <w:tcPr>
            <w:tcW w:w="4902" w:type="dxa"/>
          </w:tcPr>
          <w:p>
            <w:pPr>
              <w:pStyle w:val="TableParagraph"/>
              <w:ind w:left="104" w:right="182"/>
              <w:rPr>
                <w:rFonts w:ascii="Verdana"/>
                <w:sz w:val="24"/>
              </w:rPr>
            </w:pPr>
            <w:r>
              <w:rPr>
                <w:rFonts w:ascii="Verdana"/>
                <w:sz w:val="24"/>
              </w:rPr>
              <w:t>JWi and HL to work with the RJC Chairs, to finalise the</w:t>
            </w:r>
            <w:r>
              <w:rPr>
                <w:rFonts w:ascii="Verdana"/>
                <w:spacing w:val="-2"/>
                <w:sz w:val="24"/>
              </w:rPr>
              <w:t> </w:t>
            </w:r>
            <w:r>
              <w:rPr>
                <w:rFonts w:ascii="Verdana"/>
                <w:sz w:val="24"/>
              </w:rPr>
              <w:t>amendments to the RJC Terms of Reference prior to Health</w:t>
            </w:r>
            <w:r>
              <w:rPr>
                <w:rFonts w:ascii="Verdana"/>
                <w:spacing w:val="-10"/>
                <w:sz w:val="24"/>
              </w:rPr>
              <w:t> </w:t>
            </w:r>
            <w:r>
              <w:rPr>
                <w:rFonts w:ascii="Verdana"/>
                <w:sz w:val="24"/>
              </w:rPr>
              <w:t>Boards</w:t>
            </w:r>
            <w:r>
              <w:rPr>
                <w:rFonts w:ascii="Verdana"/>
                <w:spacing w:val="-8"/>
                <w:sz w:val="24"/>
              </w:rPr>
              <w:t> </w:t>
            </w:r>
            <w:r>
              <w:rPr>
                <w:rFonts w:ascii="Verdana"/>
                <w:sz w:val="24"/>
              </w:rPr>
              <w:t>approval,</w:t>
            </w:r>
            <w:r>
              <w:rPr>
                <w:rFonts w:ascii="Verdana"/>
                <w:spacing w:val="-10"/>
                <w:sz w:val="24"/>
              </w:rPr>
              <w:t> </w:t>
            </w:r>
            <w:r>
              <w:rPr>
                <w:rFonts w:ascii="Verdana"/>
                <w:sz w:val="24"/>
              </w:rPr>
              <w:t>reflecting</w:t>
            </w:r>
            <w:r>
              <w:rPr>
                <w:rFonts w:ascii="Verdana"/>
                <w:spacing w:val="-8"/>
                <w:sz w:val="24"/>
              </w:rPr>
              <w:t> </w:t>
            </w:r>
            <w:r>
              <w:rPr>
                <w:rFonts w:ascii="Verdana"/>
                <w:sz w:val="24"/>
              </w:rPr>
              <w:t>the discussion held.</w:t>
            </w:r>
          </w:p>
        </w:tc>
        <w:tc>
          <w:tcPr>
            <w:tcW w:w="1530" w:type="dxa"/>
          </w:tcPr>
          <w:p>
            <w:pPr>
              <w:pStyle w:val="TableParagraph"/>
              <w:spacing w:line="290" w:lineRule="exact"/>
              <w:ind w:left="5" w:right="7"/>
              <w:jc w:val="center"/>
              <w:rPr>
                <w:rFonts w:ascii="Verdana"/>
                <w:b/>
                <w:sz w:val="24"/>
              </w:rPr>
            </w:pPr>
            <w:r>
              <w:rPr>
                <w:rFonts w:ascii="Verdana"/>
                <w:b/>
                <w:sz w:val="24"/>
              </w:rPr>
              <w:t>JWi</w:t>
            </w:r>
            <w:r>
              <w:rPr>
                <w:rFonts w:ascii="Verdana"/>
                <w:b/>
                <w:spacing w:val="-5"/>
                <w:sz w:val="24"/>
              </w:rPr>
              <w:t> </w:t>
            </w:r>
            <w:r>
              <w:rPr>
                <w:rFonts w:ascii="Verdana"/>
                <w:b/>
                <w:sz w:val="24"/>
              </w:rPr>
              <w:t>&amp; </w:t>
            </w:r>
            <w:r>
              <w:rPr>
                <w:rFonts w:ascii="Verdana"/>
                <w:b/>
                <w:spacing w:val="-5"/>
                <w:sz w:val="24"/>
              </w:rPr>
              <w:t>HL</w:t>
            </w:r>
          </w:p>
        </w:tc>
        <w:tc>
          <w:tcPr>
            <w:tcW w:w="1735" w:type="dxa"/>
          </w:tcPr>
          <w:p>
            <w:pPr>
              <w:pStyle w:val="TableParagraph"/>
              <w:spacing w:line="290" w:lineRule="exact"/>
              <w:ind w:left="259"/>
              <w:rPr>
                <w:rFonts w:ascii="Verdana"/>
                <w:b/>
                <w:sz w:val="24"/>
              </w:rPr>
            </w:pPr>
            <w:r>
              <w:rPr>
                <w:rFonts w:ascii="Verdana"/>
                <w:b/>
                <w:sz w:val="24"/>
              </w:rPr>
              <w:t>Oct</w:t>
            </w:r>
            <w:r>
              <w:rPr>
                <w:rFonts w:ascii="Verdana"/>
                <w:b/>
                <w:spacing w:val="-5"/>
                <w:sz w:val="24"/>
              </w:rPr>
              <w:t> </w:t>
            </w:r>
            <w:r>
              <w:rPr>
                <w:rFonts w:ascii="Verdana"/>
                <w:b/>
                <w:spacing w:val="-4"/>
                <w:sz w:val="24"/>
              </w:rPr>
              <w:t>2026</w:t>
            </w:r>
          </w:p>
          <w:p>
            <w:pPr>
              <w:pStyle w:val="TableParagraph"/>
              <w:spacing w:before="3"/>
              <w:ind w:left="109" w:firstLine="120"/>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tc>
        <w:tc>
          <w:tcPr>
            <w:tcW w:w="3431" w:type="dxa"/>
          </w:tcPr>
          <w:p>
            <w:pPr>
              <w:pStyle w:val="TableParagraph"/>
              <w:ind w:left="104" w:right="193"/>
              <w:rPr>
                <w:rFonts w:ascii="Verdana"/>
                <w:sz w:val="24"/>
              </w:rPr>
            </w:pPr>
            <w:r>
              <w:rPr>
                <w:rFonts w:ascii="Verdana"/>
                <w:sz w:val="24"/>
              </w:rPr>
              <w:t>As part of the scheduled annual review of the RJC Terms of Reference and those of its Subgroups, the RJC Terms of Reference will be presented to the RJC on 13 October 2026 for agreement, prior to seeking</w:t>
            </w:r>
            <w:r>
              <w:rPr>
                <w:rFonts w:ascii="Verdana"/>
                <w:spacing w:val="-17"/>
                <w:sz w:val="24"/>
              </w:rPr>
              <w:t> </w:t>
            </w:r>
            <w:r>
              <w:rPr>
                <w:rFonts w:ascii="Verdana"/>
                <w:sz w:val="24"/>
              </w:rPr>
              <w:t>respective</w:t>
            </w:r>
            <w:r>
              <w:rPr>
                <w:rFonts w:ascii="Verdana"/>
                <w:spacing w:val="-16"/>
                <w:sz w:val="24"/>
              </w:rPr>
              <w:t> </w:t>
            </w:r>
            <w:r>
              <w:rPr>
                <w:rFonts w:ascii="Verdana"/>
                <w:sz w:val="24"/>
              </w:rPr>
              <w:t>Health</w:t>
            </w:r>
          </w:p>
          <w:p>
            <w:pPr>
              <w:pStyle w:val="TableParagraph"/>
              <w:spacing w:line="271" w:lineRule="exact" w:before="3"/>
              <w:ind w:left="104"/>
              <w:rPr>
                <w:rFonts w:ascii="Verdana"/>
                <w:sz w:val="24"/>
              </w:rPr>
            </w:pPr>
            <w:r>
              <w:rPr>
                <w:rFonts w:ascii="Verdana"/>
                <w:sz w:val="24"/>
              </w:rPr>
              <w:t>Board</w:t>
            </w:r>
            <w:r>
              <w:rPr>
                <w:rFonts w:ascii="Verdana"/>
                <w:spacing w:val="2"/>
                <w:sz w:val="24"/>
              </w:rPr>
              <w:t> </w:t>
            </w:r>
            <w:r>
              <w:rPr>
                <w:rFonts w:ascii="Verdana"/>
                <w:spacing w:val="-2"/>
                <w:sz w:val="24"/>
              </w:rPr>
              <w:t>approval</w:t>
            </w:r>
          </w:p>
        </w:tc>
        <w:tc>
          <w:tcPr>
            <w:tcW w:w="784" w:type="dxa"/>
            <w:shd w:val="clear" w:color="auto" w:fill="C5DFB3"/>
          </w:tcPr>
          <w:p>
            <w:pPr>
              <w:pStyle w:val="TableParagraph"/>
              <w:rPr>
                <w:rFonts w:ascii="Times New Roman"/>
                <w:sz w:val="22"/>
              </w:rPr>
            </w:pPr>
          </w:p>
        </w:tc>
      </w:tr>
      <w:tr>
        <w:trPr>
          <w:trHeight w:val="2916" w:hRule="atLeast"/>
        </w:trPr>
        <w:tc>
          <w:tcPr>
            <w:tcW w:w="1221" w:type="dxa"/>
          </w:tcPr>
          <w:p>
            <w:pPr>
              <w:pStyle w:val="TableParagraph"/>
              <w:spacing w:line="291" w:lineRule="exact"/>
              <w:ind w:left="13"/>
              <w:jc w:val="center"/>
              <w:rPr>
                <w:rFonts w:ascii="Verdana"/>
                <w:b/>
                <w:sz w:val="24"/>
              </w:rPr>
            </w:pPr>
            <w:r>
              <w:rPr>
                <w:rFonts w:ascii="Verdana"/>
                <w:b/>
                <w:spacing w:val="-2"/>
                <w:sz w:val="24"/>
              </w:rPr>
              <w:t>RJC/25</w:t>
            </w:r>
          </w:p>
        </w:tc>
        <w:tc>
          <w:tcPr>
            <w:tcW w:w="4902" w:type="dxa"/>
          </w:tcPr>
          <w:p>
            <w:pPr>
              <w:pStyle w:val="TableParagraph"/>
              <w:ind w:left="104"/>
              <w:rPr>
                <w:rFonts w:ascii="Verdana"/>
                <w:sz w:val="24"/>
              </w:rPr>
            </w:pPr>
            <w:r>
              <w:rPr>
                <w:rFonts w:ascii="Verdana"/>
                <w:sz w:val="24"/>
              </w:rPr>
              <w:t>The Committee supported the revised regional research, innovation and excellence</w:t>
            </w:r>
            <w:r>
              <w:rPr>
                <w:rFonts w:ascii="Verdana"/>
                <w:spacing w:val="-8"/>
                <w:sz w:val="24"/>
              </w:rPr>
              <w:t> </w:t>
            </w:r>
            <w:r>
              <w:rPr>
                <w:rFonts w:ascii="Verdana"/>
                <w:sz w:val="24"/>
              </w:rPr>
              <w:t>operating</w:t>
            </w:r>
            <w:r>
              <w:rPr>
                <w:rFonts w:ascii="Verdana"/>
                <w:spacing w:val="-9"/>
                <w:sz w:val="24"/>
              </w:rPr>
              <w:t> </w:t>
            </w:r>
            <w:r>
              <w:rPr>
                <w:rFonts w:ascii="Verdana"/>
                <w:sz w:val="24"/>
              </w:rPr>
              <w:t>model</w:t>
            </w:r>
            <w:r>
              <w:rPr>
                <w:rFonts w:ascii="Verdana"/>
                <w:spacing w:val="-10"/>
                <w:sz w:val="24"/>
              </w:rPr>
              <w:t> </w:t>
            </w:r>
            <w:r>
              <w:rPr>
                <w:rFonts w:ascii="Verdana"/>
                <w:sz w:val="24"/>
              </w:rPr>
              <w:t>and</w:t>
            </w:r>
            <w:r>
              <w:rPr>
                <w:rFonts w:ascii="Verdana"/>
                <w:spacing w:val="-9"/>
                <w:sz w:val="24"/>
              </w:rPr>
              <w:t> </w:t>
            </w:r>
            <w:r>
              <w:rPr>
                <w:rFonts w:ascii="Verdana"/>
                <w:sz w:val="24"/>
              </w:rPr>
              <w:t>Terms of Reference (ToR) subject to amendments to include reference to: strategic leadership and developing strategies for approval; and</w:t>
            </w:r>
          </w:p>
          <w:p>
            <w:pPr>
              <w:pStyle w:val="TableParagraph"/>
              <w:spacing w:line="290" w:lineRule="exact"/>
              <w:ind w:left="104"/>
              <w:rPr>
                <w:rFonts w:ascii="Verdana"/>
                <w:sz w:val="24"/>
              </w:rPr>
            </w:pPr>
            <w:r>
              <w:rPr>
                <w:rFonts w:ascii="Verdana"/>
                <w:sz w:val="24"/>
              </w:rPr>
              <w:t>reference</w:t>
            </w:r>
            <w:r>
              <w:rPr>
                <w:rFonts w:ascii="Verdana"/>
                <w:spacing w:val="-5"/>
                <w:sz w:val="24"/>
              </w:rPr>
              <w:t> </w:t>
            </w:r>
            <w:r>
              <w:rPr>
                <w:rFonts w:ascii="Verdana"/>
                <w:sz w:val="24"/>
              </w:rPr>
              <w:t>to</w:t>
            </w:r>
            <w:r>
              <w:rPr>
                <w:rFonts w:ascii="Verdana"/>
                <w:spacing w:val="-3"/>
                <w:sz w:val="24"/>
              </w:rPr>
              <w:t> </w:t>
            </w:r>
            <w:r>
              <w:rPr>
                <w:rFonts w:ascii="Verdana"/>
                <w:sz w:val="24"/>
              </w:rPr>
              <w:t>national</w:t>
            </w:r>
            <w:r>
              <w:rPr>
                <w:rFonts w:ascii="Verdana"/>
                <w:spacing w:val="-3"/>
                <w:sz w:val="24"/>
              </w:rPr>
              <w:t> </w:t>
            </w:r>
            <w:r>
              <w:rPr>
                <w:rFonts w:ascii="Verdana"/>
                <w:sz w:val="24"/>
              </w:rPr>
              <w:t>policy</w:t>
            </w:r>
            <w:r>
              <w:rPr>
                <w:rFonts w:ascii="Verdana"/>
                <w:spacing w:val="-4"/>
                <w:sz w:val="24"/>
              </w:rPr>
              <w:t> </w:t>
            </w:r>
            <w:r>
              <w:rPr>
                <w:rFonts w:ascii="Verdana"/>
                <w:spacing w:val="-2"/>
                <w:sz w:val="24"/>
              </w:rPr>
              <w:t>initiatives</w:t>
            </w:r>
          </w:p>
          <w:p>
            <w:pPr>
              <w:pStyle w:val="TableParagraph"/>
              <w:spacing w:line="290" w:lineRule="exact"/>
              <w:ind w:left="104" w:right="182"/>
              <w:rPr>
                <w:rFonts w:ascii="Verdana"/>
                <w:sz w:val="24"/>
              </w:rPr>
            </w:pPr>
            <w:r>
              <w:rPr>
                <w:rFonts w:ascii="Verdana"/>
                <w:sz w:val="24"/>
              </w:rPr>
              <w:t>and</w:t>
            </w:r>
            <w:r>
              <w:rPr>
                <w:rFonts w:ascii="Verdana"/>
                <w:spacing w:val="-8"/>
                <w:sz w:val="24"/>
              </w:rPr>
              <w:t> </w:t>
            </w:r>
            <w:r>
              <w:rPr>
                <w:rFonts w:ascii="Verdana"/>
                <w:sz w:val="24"/>
              </w:rPr>
              <w:t>events.</w:t>
            </w:r>
            <w:r>
              <w:rPr>
                <w:rFonts w:ascii="Verdana"/>
                <w:spacing w:val="-5"/>
                <w:sz w:val="24"/>
              </w:rPr>
              <w:t> </w:t>
            </w:r>
            <w:r>
              <w:rPr>
                <w:rFonts w:ascii="Verdana"/>
                <w:sz w:val="24"/>
              </w:rPr>
              <w:t>Approval</w:t>
            </w:r>
            <w:r>
              <w:rPr>
                <w:rFonts w:ascii="Verdana"/>
                <w:spacing w:val="-9"/>
                <w:sz w:val="24"/>
              </w:rPr>
              <w:t> </w:t>
            </w:r>
            <w:r>
              <w:rPr>
                <w:rFonts w:ascii="Verdana"/>
                <w:sz w:val="24"/>
              </w:rPr>
              <w:t>via</w:t>
            </w:r>
            <w:r>
              <w:rPr>
                <w:rFonts w:ascii="Verdana"/>
                <w:spacing w:val="-8"/>
                <w:sz w:val="24"/>
              </w:rPr>
              <w:t> </w:t>
            </w:r>
            <w:r>
              <w:rPr>
                <w:rFonts w:ascii="Verdana"/>
                <w:sz w:val="24"/>
              </w:rPr>
              <w:t>RJC</w:t>
            </w:r>
            <w:r>
              <w:rPr>
                <w:rFonts w:ascii="Verdana"/>
                <w:spacing w:val="-6"/>
                <w:sz w:val="24"/>
              </w:rPr>
              <w:t> </w:t>
            </w:r>
            <w:r>
              <w:rPr>
                <w:rFonts w:ascii="Verdana"/>
                <w:sz w:val="24"/>
              </w:rPr>
              <w:t>Chairs on behalf of the Committee.</w:t>
            </w:r>
          </w:p>
        </w:tc>
        <w:tc>
          <w:tcPr>
            <w:tcW w:w="1530" w:type="dxa"/>
          </w:tcPr>
          <w:p>
            <w:pPr>
              <w:pStyle w:val="TableParagraph"/>
              <w:spacing w:line="291" w:lineRule="exact"/>
              <w:ind w:left="5" w:right="9"/>
              <w:jc w:val="center"/>
              <w:rPr>
                <w:rFonts w:ascii="Verdana"/>
                <w:b/>
                <w:sz w:val="24"/>
              </w:rPr>
            </w:pPr>
            <w:r>
              <w:rPr>
                <w:rFonts w:ascii="Verdana"/>
                <w:b/>
                <w:sz w:val="24"/>
              </w:rPr>
              <w:t>NW</w:t>
            </w:r>
            <w:r>
              <w:rPr>
                <w:rFonts w:ascii="Verdana"/>
                <w:b/>
                <w:spacing w:val="-3"/>
                <w:sz w:val="24"/>
              </w:rPr>
              <w:t> </w:t>
            </w:r>
            <w:r>
              <w:rPr>
                <w:rFonts w:ascii="Verdana"/>
                <w:b/>
                <w:sz w:val="24"/>
              </w:rPr>
              <w:t>&amp;</w:t>
            </w:r>
            <w:r>
              <w:rPr>
                <w:rFonts w:ascii="Verdana"/>
                <w:b/>
                <w:spacing w:val="-4"/>
                <w:sz w:val="24"/>
              </w:rPr>
              <w:t> </w:t>
            </w:r>
            <w:r>
              <w:rPr>
                <w:rFonts w:ascii="Verdana"/>
                <w:b/>
                <w:spacing w:val="-5"/>
                <w:sz w:val="24"/>
              </w:rPr>
              <w:t>JW</w:t>
            </w:r>
          </w:p>
        </w:tc>
        <w:tc>
          <w:tcPr>
            <w:tcW w:w="1735" w:type="dxa"/>
          </w:tcPr>
          <w:p>
            <w:pPr>
              <w:pStyle w:val="TableParagraph"/>
              <w:spacing w:line="290" w:lineRule="exact"/>
              <w:ind w:left="259"/>
              <w:rPr>
                <w:rFonts w:ascii="Verdana"/>
                <w:b/>
                <w:sz w:val="24"/>
              </w:rPr>
            </w:pPr>
            <w:r>
              <w:rPr>
                <w:rFonts w:ascii="Verdana"/>
                <w:b/>
                <w:sz w:val="24"/>
              </w:rPr>
              <w:t>Oct</w:t>
            </w:r>
            <w:r>
              <w:rPr>
                <w:rFonts w:ascii="Verdana"/>
                <w:b/>
                <w:spacing w:val="-5"/>
                <w:sz w:val="24"/>
              </w:rPr>
              <w:t> </w:t>
            </w:r>
            <w:r>
              <w:rPr>
                <w:rFonts w:ascii="Verdana"/>
                <w:b/>
                <w:spacing w:val="-4"/>
                <w:sz w:val="24"/>
              </w:rPr>
              <w:t>2026</w:t>
            </w:r>
          </w:p>
          <w:p>
            <w:pPr>
              <w:pStyle w:val="TableParagraph"/>
              <w:ind w:left="109" w:firstLine="120"/>
              <w:rPr>
                <w:rFonts w:ascii="Verdana"/>
                <w:sz w:val="24"/>
              </w:rPr>
            </w:pPr>
            <w:r>
              <w:rPr>
                <w:rFonts w:ascii="Verdana"/>
                <w:sz w:val="24"/>
              </w:rPr>
              <w:t>(July 2026 RJC</w:t>
            </w:r>
            <w:r>
              <w:rPr>
                <w:rFonts w:ascii="Verdana"/>
                <w:spacing w:val="-22"/>
                <w:sz w:val="24"/>
              </w:rPr>
              <w:t> </w:t>
            </w:r>
            <w:r>
              <w:rPr>
                <w:rFonts w:ascii="Verdana"/>
                <w:sz w:val="24"/>
              </w:rPr>
              <w:t>meeting stood</w:t>
            </w:r>
            <w:r>
              <w:rPr>
                <w:rFonts w:ascii="Verdana"/>
                <w:spacing w:val="-1"/>
                <w:sz w:val="24"/>
              </w:rPr>
              <w:t> </w:t>
            </w:r>
            <w:r>
              <w:rPr>
                <w:rFonts w:ascii="Verdana"/>
                <w:spacing w:val="-2"/>
                <w:sz w:val="24"/>
              </w:rPr>
              <w:t>down)</w:t>
            </w:r>
          </w:p>
        </w:tc>
        <w:tc>
          <w:tcPr>
            <w:tcW w:w="3431" w:type="dxa"/>
          </w:tcPr>
          <w:p>
            <w:pPr>
              <w:pStyle w:val="TableParagraph"/>
              <w:ind w:left="104" w:right="193"/>
              <w:rPr>
                <w:rFonts w:ascii="Verdana"/>
                <w:sz w:val="24"/>
              </w:rPr>
            </w:pPr>
            <w:r>
              <w:rPr>
                <w:rFonts w:ascii="Verdana"/>
                <w:sz w:val="24"/>
              </w:rPr>
              <w:t>As part of the scheduled annual</w:t>
            </w:r>
            <w:r>
              <w:rPr>
                <w:rFonts w:ascii="Verdana"/>
                <w:spacing w:val="-10"/>
                <w:sz w:val="24"/>
              </w:rPr>
              <w:t> </w:t>
            </w:r>
            <w:r>
              <w:rPr>
                <w:rFonts w:ascii="Verdana"/>
                <w:sz w:val="24"/>
              </w:rPr>
              <w:t>review</w:t>
            </w:r>
            <w:r>
              <w:rPr>
                <w:rFonts w:ascii="Verdana"/>
                <w:spacing w:val="-11"/>
                <w:sz w:val="24"/>
              </w:rPr>
              <w:t> </w:t>
            </w:r>
            <w:r>
              <w:rPr>
                <w:rFonts w:ascii="Verdana"/>
                <w:sz w:val="24"/>
              </w:rPr>
              <w:t>of</w:t>
            </w:r>
            <w:r>
              <w:rPr>
                <w:rFonts w:ascii="Verdana"/>
                <w:spacing w:val="-10"/>
                <w:sz w:val="24"/>
              </w:rPr>
              <w:t> </w:t>
            </w:r>
            <w:r>
              <w:rPr>
                <w:rFonts w:ascii="Verdana"/>
                <w:sz w:val="24"/>
              </w:rPr>
              <w:t>the</w:t>
            </w:r>
            <w:r>
              <w:rPr>
                <w:rFonts w:ascii="Verdana"/>
                <w:spacing w:val="-9"/>
                <w:sz w:val="24"/>
              </w:rPr>
              <w:t> </w:t>
            </w:r>
            <w:r>
              <w:rPr>
                <w:rFonts w:ascii="Verdana"/>
                <w:sz w:val="24"/>
              </w:rPr>
              <w:t>RJC Terms of Reference and those of its Subgroups, the REI Terms of Reference will be presented to the RJC on 13 October 2026 for </w:t>
            </w:r>
            <w:r>
              <w:rPr>
                <w:rFonts w:ascii="Verdana"/>
                <w:spacing w:val="-2"/>
                <w:sz w:val="24"/>
              </w:rPr>
              <w:t>approval</w:t>
            </w:r>
          </w:p>
        </w:tc>
        <w:tc>
          <w:tcPr>
            <w:tcW w:w="784" w:type="dxa"/>
            <w:shd w:val="clear" w:color="auto" w:fill="C5DFB3"/>
          </w:tcPr>
          <w:p>
            <w:pPr>
              <w:pStyle w:val="TableParagraph"/>
              <w:rPr>
                <w:rFonts w:ascii="Times New Roman"/>
                <w:sz w:val="22"/>
              </w:rPr>
            </w:pPr>
          </w:p>
        </w:tc>
      </w:tr>
    </w:tbl>
    <w:p>
      <w:pPr>
        <w:pStyle w:val="BodyText"/>
        <w:rPr>
          <w:rFonts w:ascii="Verdana"/>
          <w:b/>
        </w:rPr>
      </w:pPr>
    </w:p>
    <w:p>
      <w:pPr>
        <w:pStyle w:val="BodyText"/>
        <w:spacing w:before="291"/>
        <w:rPr>
          <w:rFonts w:ascii="Verdana"/>
          <w:b/>
        </w:rPr>
      </w:pPr>
    </w:p>
    <w:p>
      <w:pPr>
        <w:pStyle w:val="BodyText"/>
        <w:spacing w:after="5"/>
        <w:ind w:left="23"/>
        <w:rPr>
          <w:rFonts w:ascii="Verdana"/>
        </w:rPr>
      </w:pPr>
      <w:r>
        <w:rPr>
          <w:rFonts w:ascii="Verdana"/>
          <w:spacing w:val="-5"/>
        </w:rPr>
        <w:t>Key</w:t>
      </w: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6"/>
        <w:gridCol w:w="4871"/>
      </w:tblGrid>
      <w:tr>
        <w:trPr>
          <w:trHeight w:val="290" w:hRule="atLeast"/>
        </w:trPr>
        <w:tc>
          <w:tcPr>
            <w:tcW w:w="4356" w:type="dxa"/>
          </w:tcPr>
          <w:p>
            <w:pPr>
              <w:pStyle w:val="TableParagraph"/>
              <w:spacing w:line="270" w:lineRule="exact"/>
              <w:ind w:left="110"/>
              <w:rPr>
                <w:rFonts w:ascii="Verdana"/>
                <w:b/>
                <w:sz w:val="24"/>
              </w:rPr>
            </w:pPr>
            <w:r>
              <w:rPr>
                <w:rFonts w:ascii="Verdana"/>
                <w:b/>
                <w:spacing w:val="-2"/>
                <w:sz w:val="24"/>
              </w:rPr>
              <w:t>Initials</w:t>
            </w:r>
          </w:p>
        </w:tc>
        <w:tc>
          <w:tcPr>
            <w:tcW w:w="4871" w:type="dxa"/>
          </w:tcPr>
          <w:p>
            <w:pPr>
              <w:pStyle w:val="TableParagraph"/>
              <w:spacing w:line="270" w:lineRule="exact"/>
              <w:ind w:left="110"/>
              <w:rPr>
                <w:rFonts w:ascii="Verdana"/>
                <w:b/>
                <w:sz w:val="24"/>
              </w:rPr>
            </w:pPr>
            <w:r>
              <w:rPr>
                <w:rFonts w:ascii="Verdana"/>
                <w:b/>
                <w:spacing w:val="-4"/>
                <w:sz w:val="24"/>
              </w:rPr>
              <w:t>Name</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AC</w:t>
            </w:r>
          </w:p>
        </w:tc>
        <w:tc>
          <w:tcPr>
            <w:tcW w:w="4871" w:type="dxa"/>
          </w:tcPr>
          <w:p>
            <w:pPr>
              <w:pStyle w:val="TableParagraph"/>
              <w:spacing w:line="270" w:lineRule="exact"/>
              <w:ind w:left="110"/>
              <w:rPr>
                <w:rFonts w:ascii="Verdana"/>
                <w:sz w:val="24"/>
              </w:rPr>
            </w:pPr>
            <w:r>
              <w:rPr>
                <w:rFonts w:ascii="Verdana"/>
                <w:sz w:val="24"/>
              </w:rPr>
              <w:t>Andrew</w:t>
            </w:r>
            <w:r>
              <w:rPr>
                <w:rFonts w:ascii="Verdana"/>
                <w:spacing w:val="-1"/>
                <w:sz w:val="24"/>
              </w:rPr>
              <w:t> </w:t>
            </w:r>
            <w:r>
              <w:rPr>
                <w:rFonts w:ascii="Verdana"/>
                <w:spacing w:val="-2"/>
                <w:sz w:val="24"/>
              </w:rPr>
              <w:t>Carruthers</w:t>
            </w:r>
          </w:p>
        </w:tc>
      </w:tr>
      <w:tr>
        <w:trPr>
          <w:trHeight w:val="295" w:hRule="atLeast"/>
        </w:trPr>
        <w:tc>
          <w:tcPr>
            <w:tcW w:w="4356" w:type="dxa"/>
          </w:tcPr>
          <w:p>
            <w:pPr>
              <w:pStyle w:val="TableParagraph"/>
              <w:spacing w:line="275" w:lineRule="exact"/>
              <w:ind w:left="110"/>
              <w:rPr>
                <w:rFonts w:ascii="Verdana"/>
                <w:sz w:val="24"/>
              </w:rPr>
            </w:pPr>
            <w:r>
              <w:rPr>
                <w:rFonts w:ascii="Verdana"/>
                <w:spacing w:val="-5"/>
                <w:sz w:val="24"/>
              </w:rPr>
              <w:t>LD</w:t>
            </w:r>
          </w:p>
        </w:tc>
        <w:tc>
          <w:tcPr>
            <w:tcW w:w="4871" w:type="dxa"/>
          </w:tcPr>
          <w:p>
            <w:pPr>
              <w:pStyle w:val="TableParagraph"/>
              <w:spacing w:line="275" w:lineRule="exact"/>
              <w:ind w:left="110"/>
              <w:rPr>
                <w:rFonts w:ascii="Verdana"/>
                <w:sz w:val="24"/>
              </w:rPr>
            </w:pPr>
            <w:r>
              <w:rPr>
                <w:rFonts w:ascii="Verdana"/>
                <w:sz w:val="24"/>
              </w:rPr>
              <w:t>Lee</w:t>
            </w:r>
            <w:r>
              <w:rPr>
                <w:rFonts w:ascii="Verdana"/>
                <w:spacing w:val="3"/>
                <w:sz w:val="24"/>
              </w:rPr>
              <w:t> </w:t>
            </w:r>
            <w:r>
              <w:rPr>
                <w:rFonts w:ascii="Verdana"/>
                <w:spacing w:val="-2"/>
                <w:sz w:val="24"/>
              </w:rPr>
              <w:t>Davies</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MD</w:t>
            </w:r>
          </w:p>
        </w:tc>
        <w:tc>
          <w:tcPr>
            <w:tcW w:w="4871" w:type="dxa"/>
          </w:tcPr>
          <w:p>
            <w:pPr>
              <w:pStyle w:val="TableParagraph"/>
              <w:spacing w:line="270" w:lineRule="exact"/>
              <w:ind w:left="110"/>
              <w:rPr>
                <w:rFonts w:ascii="Verdana"/>
                <w:sz w:val="24"/>
              </w:rPr>
            </w:pPr>
            <w:r>
              <w:rPr>
                <w:rFonts w:ascii="Verdana"/>
                <w:sz w:val="24"/>
              </w:rPr>
              <w:t>Marie </w:t>
            </w:r>
            <w:r>
              <w:rPr>
                <w:rFonts w:ascii="Verdana"/>
                <w:spacing w:val="-2"/>
                <w:sz w:val="24"/>
              </w:rPr>
              <w:t>Davies</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SE</w:t>
            </w:r>
          </w:p>
        </w:tc>
        <w:tc>
          <w:tcPr>
            <w:tcW w:w="4871" w:type="dxa"/>
          </w:tcPr>
          <w:p>
            <w:pPr>
              <w:pStyle w:val="TableParagraph"/>
              <w:spacing w:line="270" w:lineRule="exact"/>
              <w:ind w:left="110"/>
              <w:rPr>
                <w:rFonts w:ascii="Verdana"/>
                <w:sz w:val="24"/>
              </w:rPr>
            </w:pPr>
            <w:r>
              <w:rPr>
                <w:rFonts w:ascii="Verdana"/>
                <w:sz w:val="24"/>
              </w:rPr>
              <w:t>Samia</w:t>
            </w:r>
            <w:r>
              <w:rPr>
                <w:rFonts w:ascii="Verdana"/>
                <w:spacing w:val="1"/>
                <w:sz w:val="24"/>
              </w:rPr>
              <w:t> </w:t>
            </w:r>
            <w:r>
              <w:rPr>
                <w:rFonts w:ascii="Verdana"/>
                <w:spacing w:val="-2"/>
                <w:sz w:val="24"/>
              </w:rPr>
              <w:t>Edmonds</w:t>
            </w:r>
          </w:p>
        </w:tc>
      </w:tr>
      <w:tr>
        <w:trPr>
          <w:trHeight w:val="295" w:hRule="atLeast"/>
        </w:trPr>
        <w:tc>
          <w:tcPr>
            <w:tcW w:w="4356" w:type="dxa"/>
          </w:tcPr>
          <w:p>
            <w:pPr>
              <w:pStyle w:val="TableParagraph"/>
              <w:spacing w:line="275" w:lineRule="exact"/>
              <w:ind w:left="110"/>
              <w:rPr>
                <w:rFonts w:ascii="Verdana"/>
                <w:sz w:val="24"/>
              </w:rPr>
            </w:pPr>
            <w:r>
              <w:rPr>
                <w:rFonts w:ascii="Verdana"/>
                <w:spacing w:val="-5"/>
                <w:sz w:val="24"/>
              </w:rPr>
              <w:t>RE</w:t>
            </w:r>
          </w:p>
        </w:tc>
        <w:tc>
          <w:tcPr>
            <w:tcW w:w="4871" w:type="dxa"/>
          </w:tcPr>
          <w:p>
            <w:pPr>
              <w:pStyle w:val="TableParagraph"/>
              <w:spacing w:line="275" w:lineRule="exact"/>
              <w:ind w:left="110"/>
              <w:rPr>
                <w:rFonts w:ascii="Verdana"/>
                <w:sz w:val="24"/>
              </w:rPr>
            </w:pPr>
            <w:r>
              <w:rPr>
                <w:rFonts w:ascii="Verdana"/>
                <w:sz w:val="24"/>
              </w:rPr>
              <w:t>Richard</w:t>
            </w:r>
            <w:r>
              <w:rPr>
                <w:rFonts w:ascii="Verdana"/>
                <w:spacing w:val="-3"/>
                <w:sz w:val="24"/>
              </w:rPr>
              <w:t> </w:t>
            </w:r>
            <w:r>
              <w:rPr>
                <w:rFonts w:ascii="Verdana"/>
                <w:spacing w:val="-4"/>
                <w:sz w:val="24"/>
              </w:rPr>
              <w:t>Evans</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AG</w:t>
            </w:r>
          </w:p>
        </w:tc>
        <w:tc>
          <w:tcPr>
            <w:tcW w:w="4871" w:type="dxa"/>
          </w:tcPr>
          <w:p>
            <w:pPr>
              <w:pStyle w:val="TableParagraph"/>
              <w:spacing w:line="270" w:lineRule="exact"/>
              <w:ind w:left="110"/>
              <w:rPr>
                <w:rFonts w:ascii="Verdana"/>
                <w:sz w:val="24"/>
              </w:rPr>
            </w:pPr>
            <w:r>
              <w:rPr>
                <w:rFonts w:ascii="Verdana"/>
                <w:sz w:val="24"/>
              </w:rPr>
              <w:t>Ardiana</w:t>
            </w:r>
            <w:r>
              <w:rPr>
                <w:rFonts w:ascii="Verdana"/>
                <w:spacing w:val="-2"/>
                <w:sz w:val="24"/>
              </w:rPr>
              <w:t> </w:t>
            </w:r>
            <w:r>
              <w:rPr>
                <w:rFonts w:ascii="Verdana"/>
                <w:spacing w:val="-4"/>
                <w:sz w:val="24"/>
              </w:rPr>
              <w:t>Gjini</w:t>
            </w:r>
          </w:p>
        </w:tc>
      </w:tr>
    </w:tbl>
    <w:p>
      <w:pPr>
        <w:pStyle w:val="TableParagraph"/>
        <w:spacing w:after="0" w:line="270" w:lineRule="exact"/>
        <w:rPr>
          <w:rFonts w:ascii="Verdana"/>
          <w:sz w:val="24"/>
        </w:rPr>
        <w:sectPr>
          <w:pgSz w:w="16840" w:h="11910" w:orient="landscape"/>
          <w:pgMar w:header="0" w:footer="118" w:top="820" w:bottom="300" w:left="1417" w:right="1700"/>
        </w:sectPr>
      </w:pPr>
    </w:p>
    <w:p>
      <w:pPr>
        <w:pStyle w:val="BodyText"/>
        <w:spacing w:before="1"/>
        <w:rPr>
          <w:rFonts w:ascii="Verdana"/>
          <w:sz w:val="2"/>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6"/>
        <w:gridCol w:w="4871"/>
      </w:tblGrid>
      <w:tr>
        <w:trPr>
          <w:trHeight w:val="295" w:hRule="atLeast"/>
        </w:trPr>
        <w:tc>
          <w:tcPr>
            <w:tcW w:w="4356" w:type="dxa"/>
          </w:tcPr>
          <w:p>
            <w:pPr>
              <w:pStyle w:val="TableParagraph"/>
              <w:spacing w:line="275" w:lineRule="exact"/>
              <w:ind w:left="110"/>
              <w:rPr>
                <w:rFonts w:ascii="Verdana"/>
                <w:sz w:val="24"/>
              </w:rPr>
            </w:pPr>
            <w:r>
              <w:rPr>
                <w:rFonts w:ascii="Verdana"/>
                <w:spacing w:val="-5"/>
                <w:sz w:val="24"/>
              </w:rPr>
              <w:t>LG</w:t>
            </w:r>
          </w:p>
        </w:tc>
        <w:tc>
          <w:tcPr>
            <w:tcW w:w="4871" w:type="dxa"/>
          </w:tcPr>
          <w:p>
            <w:pPr>
              <w:pStyle w:val="TableParagraph"/>
              <w:spacing w:line="275" w:lineRule="exact"/>
              <w:ind w:left="110"/>
              <w:rPr>
                <w:rFonts w:ascii="Verdana"/>
                <w:sz w:val="24"/>
              </w:rPr>
            </w:pPr>
            <w:r>
              <w:rPr>
                <w:rFonts w:ascii="Verdana"/>
                <w:sz w:val="24"/>
              </w:rPr>
              <w:t>Lisa</w:t>
            </w:r>
            <w:r>
              <w:rPr>
                <w:rFonts w:ascii="Verdana"/>
                <w:spacing w:val="1"/>
                <w:sz w:val="24"/>
              </w:rPr>
              <w:t> </w:t>
            </w:r>
            <w:r>
              <w:rPr>
                <w:rFonts w:ascii="Verdana"/>
                <w:spacing w:val="-2"/>
                <w:sz w:val="24"/>
              </w:rPr>
              <w:t>Gostling</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MH</w:t>
            </w:r>
          </w:p>
        </w:tc>
        <w:tc>
          <w:tcPr>
            <w:tcW w:w="4871" w:type="dxa"/>
          </w:tcPr>
          <w:p>
            <w:pPr>
              <w:pStyle w:val="TableParagraph"/>
              <w:spacing w:line="270" w:lineRule="exact"/>
              <w:ind w:left="110"/>
              <w:rPr>
                <w:rFonts w:ascii="Verdana"/>
                <w:sz w:val="24"/>
              </w:rPr>
            </w:pPr>
            <w:r>
              <w:rPr>
                <w:rFonts w:ascii="Verdana"/>
                <w:sz w:val="24"/>
              </w:rPr>
              <w:t>Mark</w:t>
            </w:r>
            <w:r>
              <w:rPr>
                <w:rFonts w:ascii="Verdana"/>
                <w:spacing w:val="-3"/>
                <w:sz w:val="24"/>
              </w:rPr>
              <w:t> </w:t>
            </w:r>
            <w:r>
              <w:rPr>
                <w:rFonts w:ascii="Verdana"/>
                <w:spacing w:val="-2"/>
                <w:sz w:val="24"/>
              </w:rPr>
              <w:t>Henwood</w:t>
            </w:r>
          </w:p>
        </w:tc>
      </w:tr>
      <w:tr>
        <w:trPr>
          <w:trHeight w:val="287" w:hRule="atLeast"/>
        </w:trPr>
        <w:tc>
          <w:tcPr>
            <w:tcW w:w="4356" w:type="dxa"/>
            <w:tcBorders>
              <w:bottom w:val="single" w:sz="6" w:space="0" w:color="000000"/>
            </w:tcBorders>
          </w:tcPr>
          <w:p>
            <w:pPr>
              <w:pStyle w:val="TableParagraph"/>
              <w:spacing w:line="268" w:lineRule="exact"/>
              <w:ind w:left="110"/>
              <w:rPr>
                <w:rFonts w:ascii="Verdana"/>
                <w:sz w:val="24"/>
              </w:rPr>
            </w:pPr>
            <w:r>
              <w:rPr>
                <w:rFonts w:ascii="Verdana"/>
                <w:spacing w:val="-5"/>
                <w:sz w:val="24"/>
              </w:rPr>
              <w:t>MJ</w:t>
            </w:r>
          </w:p>
        </w:tc>
        <w:tc>
          <w:tcPr>
            <w:tcW w:w="4871" w:type="dxa"/>
            <w:tcBorders>
              <w:bottom w:val="single" w:sz="6" w:space="0" w:color="000000"/>
            </w:tcBorders>
          </w:tcPr>
          <w:p>
            <w:pPr>
              <w:pStyle w:val="TableParagraph"/>
              <w:spacing w:line="268" w:lineRule="exact"/>
              <w:ind w:left="110"/>
              <w:rPr>
                <w:rFonts w:ascii="Verdana"/>
                <w:sz w:val="24"/>
              </w:rPr>
            </w:pPr>
            <w:r>
              <w:rPr>
                <w:rFonts w:ascii="Verdana"/>
                <w:sz w:val="24"/>
              </w:rPr>
              <w:t>Matt</w:t>
            </w:r>
            <w:r>
              <w:rPr>
                <w:rFonts w:ascii="Verdana"/>
                <w:spacing w:val="-6"/>
                <w:sz w:val="24"/>
              </w:rPr>
              <w:t> </w:t>
            </w:r>
            <w:r>
              <w:rPr>
                <w:rFonts w:ascii="Verdana"/>
                <w:spacing w:val="-4"/>
                <w:sz w:val="24"/>
              </w:rPr>
              <w:t>John</w:t>
            </w:r>
          </w:p>
        </w:tc>
      </w:tr>
      <w:tr>
        <w:trPr>
          <w:trHeight w:val="292" w:hRule="atLeast"/>
        </w:trPr>
        <w:tc>
          <w:tcPr>
            <w:tcW w:w="4356" w:type="dxa"/>
            <w:tcBorders>
              <w:top w:val="single" w:sz="6" w:space="0" w:color="000000"/>
            </w:tcBorders>
          </w:tcPr>
          <w:p>
            <w:pPr>
              <w:pStyle w:val="TableParagraph"/>
              <w:spacing w:line="273" w:lineRule="exact"/>
              <w:ind w:left="110"/>
              <w:rPr>
                <w:rFonts w:ascii="Verdana"/>
                <w:sz w:val="24"/>
              </w:rPr>
            </w:pPr>
            <w:r>
              <w:rPr>
                <w:rFonts w:ascii="Verdana"/>
                <w:spacing w:val="-5"/>
                <w:sz w:val="24"/>
              </w:rPr>
              <w:t>DL</w:t>
            </w:r>
          </w:p>
        </w:tc>
        <w:tc>
          <w:tcPr>
            <w:tcW w:w="4871" w:type="dxa"/>
            <w:tcBorders>
              <w:top w:val="single" w:sz="6" w:space="0" w:color="000000"/>
            </w:tcBorders>
          </w:tcPr>
          <w:p>
            <w:pPr>
              <w:pStyle w:val="TableParagraph"/>
              <w:spacing w:line="273" w:lineRule="exact"/>
              <w:ind w:left="110"/>
              <w:rPr>
                <w:rFonts w:ascii="Verdana"/>
                <w:sz w:val="24"/>
              </w:rPr>
            </w:pPr>
            <w:r>
              <w:rPr>
                <w:rFonts w:ascii="Verdana"/>
                <w:sz w:val="24"/>
              </w:rPr>
              <w:t>Deb</w:t>
            </w:r>
            <w:r>
              <w:rPr>
                <w:rFonts w:ascii="Verdana"/>
                <w:spacing w:val="1"/>
                <w:sz w:val="24"/>
              </w:rPr>
              <w:t> </w:t>
            </w:r>
            <w:r>
              <w:rPr>
                <w:rFonts w:ascii="Verdana"/>
                <w:spacing w:val="-2"/>
                <w:sz w:val="24"/>
              </w:rPr>
              <w:t>Lewis</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HL</w:t>
            </w:r>
          </w:p>
        </w:tc>
        <w:tc>
          <w:tcPr>
            <w:tcW w:w="4871" w:type="dxa"/>
          </w:tcPr>
          <w:p>
            <w:pPr>
              <w:pStyle w:val="TableParagraph"/>
              <w:spacing w:line="270" w:lineRule="exact"/>
              <w:ind w:left="110"/>
              <w:rPr>
                <w:rFonts w:ascii="Verdana"/>
                <w:sz w:val="24"/>
              </w:rPr>
            </w:pPr>
            <w:r>
              <w:rPr>
                <w:rFonts w:ascii="Verdana"/>
                <w:sz w:val="24"/>
              </w:rPr>
              <w:t>Hazel </w:t>
            </w:r>
            <w:r>
              <w:rPr>
                <w:rFonts w:ascii="Verdana"/>
                <w:spacing w:val="-2"/>
                <w:sz w:val="24"/>
              </w:rPr>
              <w:t>Lloyd</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GR</w:t>
            </w:r>
          </w:p>
        </w:tc>
        <w:tc>
          <w:tcPr>
            <w:tcW w:w="4871" w:type="dxa"/>
          </w:tcPr>
          <w:p>
            <w:pPr>
              <w:pStyle w:val="TableParagraph"/>
              <w:spacing w:line="270" w:lineRule="exact"/>
              <w:ind w:left="110"/>
              <w:rPr>
                <w:rFonts w:ascii="Verdana"/>
                <w:sz w:val="24"/>
              </w:rPr>
            </w:pPr>
            <w:r>
              <w:rPr>
                <w:rFonts w:ascii="Verdana"/>
                <w:sz w:val="24"/>
              </w:rPr>
              <w:t>Gill</w:t>
            </w:r>
            <w:r>
              <w:rPr>
                <w:rFonts w:ascii="Verdana"/>
                <w:spacing w:val="-6"/>
                <w:sz w:val="24"/>
              </w:rPr>
              <w:t> </w:t>
            </w:r>
            <w:r>
              <w:rPr>
                <w:rFonts w:ascii="Verdana"/>
                <w:spacing w:val="-2"/>
                <w:sz w:val="24"/>
              </w:rPr>
              <w:t>Richardson</w:t>
            </w:r>
          </w:p>
        </w:tc>
      </w:tr>
      <w:tr>
        <w:trPr>
          <w:trHeight w:val="295" w:hRule="atLeast"/>
        </w:trPr>
        <w:tc>
          <w:tcPr>
            <w:tcW w:w="4356" w:type="dxa"/>
          </w:tcPr>
          <w:p>
            <w:pPr>
              <w:pStyle w:val="TableParagraph"/>
              <w:spacing w:line="276" w:lineRule="exact"/>
              <w:ind w:left="110"/>
              <w:rPr>
                <w:rFonts w:ascii="Verdana"/>
                <w:sz w:val="24"/>
              </w:rPr>
            </w:pPr>
            <w:r>
              <w:rPr>
                <w:rFonts w:ascii="Verdana"/>
                <w:spacing w:val="-5"/>
                <w:sz w:val="24"/>
              </w:rPr>
              <w:t>TR</w:t>
            </w:r>
          </w:p>
        </w:tc>
        <w:tc>
          <w:tcPr>
            <w:tcW w:w="4871" w:type="dxa"/>
          </w:tcPr>
          <w:p>
            <w:pPr>
              <w:pStyle w:val="TableParagraph"/>
              <w:spacing w:line="276" w:lineRule="exact"/>
              <w:ind w:left="110"/>
              <w:rPr>
                <w:rFonts w:ascii="Verdana"/>
                <w:sz w:val="24"/>
              </w:rPr>
            </w:pPr>
            <w:r>
              <w:rPr>
                <w:rFonts w:ascii="Verdana"/>
                <w:sz w:val="24"/>
              </w:rPr>
              <w:t>Tina</w:t>
            </w:r>
            <w:r>
              <w:rPr>
                <w:rFonts w:ascii="Verdana"/>
                <w:spacing w:val="-2"/>
                <w:sz w:val="24"/>
              </w:rPr>
              <w:t> Ricketts</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HT</w:t>
            </w:r>
          </w:p>
        </w:tc>
        <w:tc>
          <w:tcPr>
            <w:tcW w:w="4871" w:type="dxa"/>
          </w:tcPr>
          <w:p>
            <w:pPr>
              <w:pStyle w:val="TableParagraph"/>
              <w:spacing w:line="270" w:lineRule="exact"/>
              <w:ind w:left="110"/>
              <w:rPr>
                <w:rFonts w:ascii="Verdana"/>
                <w:sz w:val="24"/>
              </w:rPr>
            </w:pPr>
            <w:r>
              <w:rPr>
                <w:rFonts w:ascii="Verdana"/>
                <w:sz w:val="24"/>
              </w:rPr>
              <w:t>Huw</w:t>
            </w:r>
            <w:r>
              <w:rPr>
                <w:rFonts w:ascii="Verdana"/>
                <w:spacing w:val="-5"/>
                <w:sz w:val="24"/>
              </w:rPr>
              <w:t> </w:t>
            </w:r>
            <w:r>
              <w:rPr>
                <w:rFonts w:ascii="Verdana"/>
                <w:spacing w:val="-2"/>
                <w:sz w:val="24"/>
              </w:rPr>
              <w:t>Thomas</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AT</w:t>
            </w:r>
          </w:p>
        </w:tc>
        <w:tc>
          <w:tcPr>
            <w:tcW w:w="4871" w:type="dxa"/>
          </w:tcPr>
          <w:p>
            <w:pPr>
              <w:pStyle w:val="TableParagraph"/>
              <w:spacing w:line="270" w:lineRule="exact"/>
              <w:ind w:left="110"/>
              <w:rPr>
                <w:rFonts w:ascii="Verdana"/>
                <w:sz w:val="24"/>
              </w:rPr>
            </w:pPr>
            <w:r>
              <w:rPr>
                <w:rFonts w:ascii="Verdana"/>
                <w:sz w:val="24"/>
              </w:rPr>
              <w:t>Anthony</w:t>
            </w:r>
            <w:r>
              <w:rPr>
                <w:rFonts w:ascii="Verdana"/>
                <w:spacing w:val="-9"/>
                <w:sz w:val="24"/>
              </w:rPr>
              <w:t> </w:t>
            </w:r>
            <w:r>
              <w:rPr>
                <w:rFonts w:ascii="Verdana"/>
                <w:spacing w:val="-2"/>
                <w:sz w:val="24"/>
              </w:rPr>
              <w:t>Tracey</w:t>
            </w:r>
          </w:p>
        </w:tc>
      </w:tr>
      <w:tr>
        <w:trPr>
          <w:trHeight w:val="295" w:hRule="atLeast"/>
        </w:trPr>
        <w:tc>
          <w:tcPr>
            <w:tcW w:w="4356" w:type="dxa"/>
          </w:tcPr>
          <w:p>
            <w:pPr>
              <w:pStyle w:val="TableParagraph"/>
              <w:spacing w:line="275" w:lineRule="exact"/>
              <w:ind w:left="110"/>
              <w:rPr>
                <w:rFonts w:ascii="Verdana"/>
                <w:sz w:val="24"/>
              </w:rPr>
            </w:pPr>
            <w:r>
              <w:rPr>
                <w:rFonts w:ascii="Verdana"/>
                <w:spacing w:val="-5"/>
                <w:sz w:val="24"/>
              </w:rPr>
              <w:t>JW</w:t>
            </w:r>
          </w:p>
        </w:tc>
        <w:tc>
          <w:tcPr>
            <w:tcW w:w="4871" w:type="dxa"/>
          </w:tcPr>
          <w:p>
            <w:pPr>
              <w:pStyle w:val="TableParagraph"/>
              <w:spacing w:line="275" w:lineRule="exact"/>
              <w:ind w:left="110"/>
              <w:rPr>
                <w:rFonts w:ascii="Verdana"/>
                <w:sz w:val="24"/>
              </w:rPr>
            </w:pPr>
            <w:r>
              <w:rPr>
                <w:rFonts w:ascii="Verdana"/>
                <w:sz w:val="24"/>
              </w:rPr>
              <w:t>Jan</w:t>
            </w:r>
            <w:r>
              <w:rPr>
                <w:rFonts w:ascii="Verdana"/>
                <w:spacing w:val="-2"/>
                <w:sz w:val="24"/>
              </w:rPr>
              <w:t> Williams</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JWi</w:t>
            </w:r>
          </w:p>
        </w:tc>
        <w:tc>
          <w:tcPr>
            <w:tcW w:w="4871" w:type="dxa"/>
          </w:tcPr>
          <w:p>
            <w:pPr>
              <w:pStyle w:val="TableParagraph"/>
              <w:spacing w:line="270" w:lineRule="exact"/>
              <w:ind w:left="110"/>
              <w:rPr>
                <w:rFonts w:ascii="Verdana"/>
                <w:sz w:val="24"/>
              </w:rPr>
            </w:pPr>
            <w:r>
              <w:rPr>
                <w:rFonts w:ascii="Verdana"/>
                <w:sz w:val="24"/>
              </w:rPr>
              <w:t>Jo</w:t>
            </w:r>
            <w:r>
              <w:rPr>
                <w:rFonts w:ascii="Verdana"/>
                <w:spacing w:val="-2"/>
                <w:sz w:val="24"/>
              </w:rPr>
              <w:t> Wilson</w:t>
            </w:r>
          </w:p>
        </w:tc>
      </w:tr>
      <w:tr>
        <w:trPr>
          <w:trHeight w:val="290" w:hRule="atLeast"/>
        </w:trPr>
        <w:tc>
          <w:tcPr>
            <w:tcW w:w="4356" w:type="dxa"/>
          </w:tcPr>
          <w:p>
            <w:pPr>
              <w:pStyle w:val="TableParagraph"/>
              <w:spacing w:line="270" w:lineRule="exact"/>
              <w:ind w:left="110"/>
              <w:rPr>
                <w:rFonts w:ascii="Verdana"/>
                <w:sz w:val="24"/>
              </w:rPr>
            </w:pPr>
            <w:r>
              <w:rPr>
                <w:rFonts w:ascii="Verdana"/>
                <w:spacing w:val="-5"/>
                <w:sz w:val="24"/>
              </w:rPr>
              <w:t>NW</w:t>
            </w:r>
          </w:p>
        </w:tc>
        <w:tc>
          <w:tcPr>
            <w:tcW w:w="4871" w:type="dxa"/>
          </w:tcPr>
          <w:p>
            <w:pPr>
              <w:pStyle w:val="TableParagraph"/>
              <w:spacing w:line="270" w:lineRule="exact"/>
              <w:ind w:left="110"/>
              <w:rPr>
                <w:rFonts w:ascii="Verdana"/>
                <w:sz w:val="24"/>
              </w:rPr>
            </w:pPr>
            <w:r>
              <w:rPr>
                <w:rFonts w:ascii="Verdana"/>
                <w:sz w:val="24"/>
              </w:rPr>
              <w:t>Neil </w:t>
            </w:r>
            <w:r>
              <w:rPr>
                <w:rFonts w:ascii="Verdana"/>
                <w:spacing w:val="-2"/>
                <w:sz w:val="24"/>
              </w:rPr>
              <w:t>Wooding</w:t>
            </w:r>
          </w:p>
        </w:tc>
      </w:tr>
    </w:tbl>
    <w:p>
      <w:pPr>
        <w:pStyle w:val="TableParagraph"/>
        <w:spacing w:after="0" w:line="270" w:lineRule="exact"/>
        <w:rPr>
          <w:rFonts w:ascii="Verdana"/>
          <w:sz w:val="24"/>
        </w:rPr>
        <w:sectPr>
          <w:pgSz w:w="16840" w:h="11910" w:orient="landscape"/>
          <w:pgMar w:header="0" w:footer="118" w:top="820" w:bottom="300" w:left="1417" w:right="1700"/>
        </w:sectPr>
      </w:pPr>
    </w:p>
    <w:p>
      <w:pPr>
        <w:pStyle w:val="Heading4"/>
        <w:tabs>
          <w:tab w:pos="6811" w:val="left" w:leader="none"/>
        </w:tabs>
        <w:ind w:left="173"/>
      </w:pPr>
      <w:r>
        <w:rPr>
          <w:b w:val="0"/>
          <w:spacing w:val="-5"/>
          <w:position w:val="-8"/>
          <w:sz w:val="36"/>
        </w:rPr>
        <w:t>8.3</w:t>
      </w:r>
      <w:r>
        <w:rPr>
          <w:b w:val="0"/>
          <w:position w:val="-8"/>
          <w:sz w:val="36"/>
        </w:rPr>
        <w:tab/>
      </w:r>
      <w:r>
        <w:rPr/>
        <w:t>12:25</w:t>
      </w:r>
      <w:r>
        <w:rPr>
          <w:spacing w:val="-4"/>
        </w:rPr>
        <w:t> </w:t>
      </w:r>
      <w:r>
        <w:rPr/>
        <w:t>PM,</w:t>
      </w:r>
      <w:r>
        <w:rPr>
          <w:spacing w:val="3"/>
        </w:rPr>
        <w:t> </w:t>
      </w:r>
      <w:r>
        <w:rPr/>
        <w:t>5</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745536">
                <wp:simplePos x="0" y="0"/>
                <wp:positionH relativeFrom="page">
                  <wp:posOffset>914400</wp:posOffset>
                </wp:positionH>
                <wp:positionV relativeFrom="paragraph">
                  <wp:posOffset>262302</wp:posOffset>
                </wp:positionV>
                <wp:extent cx="5730875" cy="6350"/>
                <wp:effectExtent l="0" t="0" r="0" b="0"/>
                <wp:wrapTopAndBottom/>
                <wp:docPr id="814" name="Graphic 814"/>
                <wp:cNvGraphicFramePr>
                  <a:graphicFrameLocks/>
                </wp:cNvGraphicFramePr>
                <a:graphic>
                  <a:graphicData uri="http://schemas.microsoft.com/office/word/2010/wordprocessingShape">
                    <wps:wsp>
                      <wps:cNvPr id="814" name="Graphic 814"/>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570944;mso-wrap-distance-left:0;mso-wrap-distance-right:0" id="docshape538" filled="true" fillcolor="#9f9f9f" stroked="false">
                <v:fill type="solid"/>
                <w10:wrap type="topAndBottom"/>
              </v:rect>
            </w:pict>
          </mc:Fallback>
        </mc:AlternateContent>
      </w:r>
    </w:p>
    <w:p>
      <w:pPr>
        <w:pStyle w:val="BodyText"/>
        <w:spacing w:before="176"/>
        <w:rPr>
          <w:b/>
          <w:sz w:val="22"/>
        </w:rPr>
      </w:pPr>
    </w:p>
    <w:p>
      <w:pPr>
        <w:pStyle w:val="ListParagraph"/>
        <w:numPr>
          <w:ilvl w:val="1"/>
          <w:numId w:val="102"/>
        </w:numPr>
        <w:tabs>
          <w:tab w:pos="561" w:val="left" w:leader="none"/>
          <w:tab w:pos="6896" w:val="left" w:leader="none"/>
          <w:tab w:pos="7711" w:val="left" w:leader="none"/>
        </w:tabs>
        <w:spacing w:line="160" w:lineRule="auto" w:before="1" w:after="0"/>
        <w:ind w:left="6896" w:right="18" w:hanging="6873"/>
        <w:jc w:val="right"/>
        <w:rPr>
          <w:b/>
          <w:i/>
          <w:sz w:val="22"/>
        </w:rPr>
      </w:pPr>
      <w:bookmarkStart w:name="8.3 - RJC/48: Closing Remarks" w:id="95"/>
      <w:bookmarkEnd w:id="95"/>
      <w:r>
        <w:rPr/>
      </w:r>
      <w:r>
        <w:rPr>
          <w:sz w:val="32"/>
        </w:rPr>
        <w:t>- RJC/48: Closing Remarks</w:t>
        <w:tab/>
        <w:tab/>
      </w:r>
      <w:r>
        <w:rPr>
          <w:b/>
          <w:i/>
          <w:position w:val="9"/>
          <w:sz w:val="22"/>
        </w:rPr>
        <w:t>Jan</w:t>
      </w:r>
      <w:r>
        <w:rPr>
          <w:b/>
          <w:i/>
          <w:spacing w:val="-16"/>
          <w:position w:val="9"/>
          <w:sz w:val="22"/>
        </w:rPr>
        <w:t> </w:t>
      </w:r>
      <w:r>
        <w:rPr>
          <w:b/>
          <w:i/>
          <w:position w:val="9"/>
          <w:sz w:val="22"/>
        </w:rPr>
        <w:t>Williams</w:t>
      </w:r>
      <w:r>
        <w:rPr>
          <w:b/>
          <w:i/>
          <w:position w:val="9"/>
          <w:sz w:val="22"/>
        </w:rPr>
        <w:t> </w:t>
      </w:r>
      <w:r>
        <w:rPr>
          <w:b/>
          <w:i/>
          <w:sz w:val="22"/>
        </w:rPr>
        <w:t>(Swansea</w:t>
      </w:r>
      <w:r>
        <w:rPr>
          <w:b/>
          <w:i/>
          <w:spacing w:val="-2"/>
          <w:sz w:val="22"/>
        </w:rPr>
        <w:t> </w:t>
      </w:r>
      <w:r>
        <w:rPr>
          <w:b/>
          <w:i/>
          <w:sz w:val="22"/>
        </w:rPr>
        <w:t>Bay</w:t>
      </w:r>
      <w:r>
        <w:rPr>
          <w:b/>
          <w:i/>
          <w:spacing w:val="-2"/>
          <w:sz w:val="22"/>
        </w:rPr>
        <w:t> </w:t>
      </w:r>
      <w:r>
        <w:rPr>
          <w:b/>
          <w:i/>
          <w:sz w:val="22"/>
        </w:rPr>
        <w:t>UHB </w:t>
      </w:r>
      <w:r>
        <w:rPr>
          <w:b/>
          <w:i/>
          <w:spacing w:val="-10"/>
          <w:sz w:val="22"/>
        </w:rPr>
        <w:t>-</w:t>
      </w:r>
    </w:p>
    <w:p>
      <w:pPr>
        <w:spacing w:line="259" w:lineRule="auto" w:before="38"/>
        <w:ind w:left="6846" w:right="16" w:firstLine="550"/>
        <w:jc w:val="right"/>
        <w:rPr>
          <w:b/>
          <w:i/>
          <w:sz w:val="22"/>
        </w:rPr>
      </w:pPr>
      <w:r>
        <w:rPr>
          <w:b/>
          <w:i/>
          <w:sz w:val="22"/>
        </w:rPr>
        <w:t>Corporate),</w:t>
      </w:r>
      <w:r>
        <w:rPr>
          <w:b/>
          <w:i/>
          <w:spacing w:val="-16"/>
          <w:sz w:val="22"/>
        </w:rPr>
        <w:t> </w:t>
      </w:r>
      <w:r>
        <w:rPr>
          <w:b/>
          <w:i/>
          <w:sz w:val="22"/>
        </w:rPr>
        <w:t>Neil</w:t>
      </w:r>
      <w:r>
        <w:rPr>
          <w:b/>
          <w:i/>
          <w:sz w:val="22"/>
        </w:rPr>
        <w:t> Wooding</w:t>
      </w:r>
      <w:r>
        <w:rPr>
          <w:b/>
          <w:i/>
          <w:spacing w:val="-6"/>
          <w:sz w:val="22"/>
        </w:rPr>
        <w:t> </w:t>
      </w:r>
      <w:r>
        <w:rPr>
          <w:b/>
          <w:i/>
          <w:sz w:val="22"/>
        </w:rPr>
        <w:t>(Hywel</w:t>
      </w:r>
      <w:r>
        <w:rPr>
          <w:b/>
          <w:i/>
          <w:spacing w:val="-9"/>
          <w:sz w:val="22"/>
        </w:rPr>
        <w:t> </w:t>
      </w:r>
      <w:r>
        <w:rPr>
          <w:b/>
          <w:i/>
          <w:sz w:val="22"/>
        </w:rPr>
        <w:t>Dda UHB</w:t>
      </w:r>
      <w:r>
        <w:rPr>
          <w:b/>
          <w:i/>
          <w:spacing w:val="-7"/>
          <w:sz w:val="22"/>
        </w:rPr>
        <w:t> </w:t>
      </w:r>
      <w:r>
        <w:rPr>
          <w:b/>
          <w:i/>
          <w:sz w:val="22"/>
        </w:rPr>
        <w:t>-</w:t>
      </w:r>
      <w:r>
        <w:rPr>
          <w:b/>
          <w:i/>
          <w:spacing w:val="-7"/>
          <w:sz w:val="22"/>
        </w:rPr>
        <w:t> </w:t>
      </w:r>
      <w:r>
        <w:rPr>
          <w:b/>
          <w:i/>
          <w:sz w:val="22"/>
        </w:rPr>
        <w:t>Chair</w:t>
      </w:r>
      <w:r>
        <w:rPr>
          <w:b/>
          <w:i/>
          <w:spacing w:val="-9"/>
          <w:sz w:val="22"/>
        </w:rPr>
        <w:t> </w:t>
      </w:r>
      <w:r>
        <w:rPr>
          <w:b/>
          <w:i/>
          <w:sz w:val="22"/>
        </w:rPr>
        <w:t>of</w:t>
      </w:r>
      <w:r>
        <w:rPr>
          <w:b/>
          <w:i/>
          <w:spacing w:val="-6"/>
          <w:sz w:val="22"/>
        </w:rPr>
        <w:t> </w:t>
      </w:r>
      <w:r>
        <w:rPr>
          <w:b/>
          <w:i/>
          <w:sz w:val="22"/>
        </w:rPr>
        <w:t>Hywel Dda University Health Board)</w:t>
      </w:r>
    </w:p>
    <w:p>
      <w:pPr>
        <w:spacing w:after="0" w:line="259" w:lineRule="auto"/>
        <w:jc w:val="right"/>
        <w:rPr>
          <w:b/>
          <w:i/>
          <w:sz w:val="22"/>
        </w:rPr>
        <w:sectPr>
          <w:footerReference w:type="default" r:id="rId123"/>
          <w:pgSz w:w="11910" w:h="16840"/>
          <w:pgMar w:header="0" w:footer="149" w:top="1940" w:bottom="340" w:left="1417" w:right="1417"/>
        </w:sectPr>
      </w:pPr>
    </w:p>
    <w:p>
      <w:pPr>
        <w:pStyle w:val="Heading4"/>
        <w:tabs>
          <w:tab w:pos="6811" w:val="left" w:leader="none"/>
        </w:tabs>
        <w:ind w:left="173"/>
      </w:pPr>
      <w:r>
        <w:rPr>
          <w:b w:val="0"/>
          <w:spacing w:val="-5"/>
          <w:position w:val="-8"/>
          <w:sz w:val="36"/>
        </w:rPr>
        <w:t>8.4</w:t>
      </w:r>
      <w:r>
        <w:rPr>
          <w:b w:val="0"/>
          <w:position w:val="-8"/>
          <w:sz w:val="36"/>
        </w:rPr>
        <w:tab/>
      </w:r>
      <w:r>
        <w:rPr/>
        <w:t>12:30</w:t>
      </w:r>
      <w:r>
        <w:rPr>
          <w:spacing w:val="-4"/>
        </w:rPr>
        <w:t> </w:t>
      </w:r>
      <w:r>
        <w:rPr/>
        <w:t>PM,</w:t>
      </w:r>
      <w:r>
        <w:rPr>
          <w:spacing w:val="3"/>
        </w:rPr>
        <w:t> </w:t>
      </w:r>
      <w:r>
        <w:rPr/>
        <w:t>0</w:t>
      </w:r>
      <w:r>
        <w:rPr>
          <w:spacing w:val="-5"/>
        </w:rPr>
        <w:t> </w:t>
      </w:r>
      <w:r>
        <w:rPr>
          <w:spacing w:val="-4"/>
        </w:rPr>
        <w:t>Mins</w:t>
      </w:r>
    </w:p>
    <w:p>
      <w:pPr>
        <w:pStyle w:val="BodyText"/>
        <w:spacing w:before="159"/>
        <w:rPr>
          <w:b/>
          <w:sz w:val="20"/>
        </w:rPr>
      </w:pPr>
      <w:r>
        <w:rPr>
          <w:b/>
          <w:sz w:val="20"/>
        </w:rPr>
        <mc:AlternateContent>
          <mc:Choice Requires="wps">
            <w:drawing>
              <wp:anchor distT="0" distB="0" distL="0" distR="0" allowOverlap="1" layoutInCell="1" locked="0" behindDoc="1" simplePos="0" relativeHeight="487746048">
                <wp:simplePos x="0" y="0"/>
                <wp:positionH relativeFrom="page">
                  <wp:posOffset>914400</wp:posOffset>
                </wp:positionH>
                <wp:positionV relativeFrom="paragraph">
                  <wp:posOffset>262302</wp:posOffset>
                </wp:positionV>
                <wp:extent cx="5730875" cy="6350"/>
                <wp:effectExtent l="0" t="0" r="0" b="0"/>
                <wp:wrapTopAndBottom/>
                <wp:docPr id="815" name="Graphic 815"/>
                <wp:cNvGraphicFramePr>
                  <a:graphicFrameLocks/>
                </wp:cNvGraphicFramePr>
                <a:graphic>
                  <a:graphicData uri="http://schemas.microsoft.com/office/word/2010/wordprocessingShape">
                    <wps:wsp>
                      <wps:cNvPr id="815" name="Graphic 815"/>
                      <wps:cNvSpPr/>
                      <wps:spPr>
                        <a:xfrm>
                          <a:off x="0" y="0"/>
                          <a:ext cx="5730875" cy="6350"/>
                        </a:xfrm>
                        <a:custGeom>
                          <a:avLst/>
                          <a:gdLst/>
                          <a:ahLst/>
                          <a:cxnLst/>
                          <a:rect l="l" t="t" r="r" b="b"/>
                          <a:pathLst>
                            <a:path w="5730875" h="6350">
                              <a:moveTo>
                                <a:pt x="5730875" y="0"/>
                              </a:moveTo>
                              <a:lnTo>
                                <a:pt x="0" y="0"/>
                              </a:lnTo>
                              <a:lnTo>
                                <a:pt x="0" y="6350"/>
                              </a:lnTo>
                              <a:lnTo>
                                <a:pt x="5730875" y="6350"/>
                              </a:lnTo>
                              <a:lnTo>
                                <a:pt x="5730875"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rect style="position:absolute;margin-left:72pt;margin-top:20.653711pt;width:451.25pt;height:.5pt;mso-position-horizontal-relative:page;mso-position-vertical-relative:paragraph;z-index:-15570432;mso-wrap-distance-left:0;mso-wrap-distance-right:0" id="docshape539" filled="true" fillcolor="#9f9f9f" stroked="false">
                <v:fill type="solid"/>
                <w10:wrap type="topAndBottom"/>
              </v:rect>
            </w:pict>
          </mc:Fallback>
        </mc:AlternateContent>
      </w:r>
    </w:p>
    <w:p>
      <w:pPr>
        <w:pStyle w:val="ListParagraph"/>
        <w:numPr>
          <w:ilvl w:val="1"/>
          <w:numId w:val="102"/>
        </w:numPr>
        <w:tabs>
          <w:tab w:pos="561" w:val="left" w:leader="none"/>
          <w:tab w:pos="7711" w:val="left" w:leader="none"/>
        </w:tabs>
        <w:spacing w:line="323" w:lineRule="exact" w:before="331" w:after="0"/>
        <w:ind w:left="561" w:right="0" w:hanging="538"/>
        <w:jc w:val="left"/>
        <w:rPr>
          <w:b/>
          <w:i/>
          <w:position w:val="9"/>
          <w:sz w:val="22"/>
        </w:rPr>
      </w:pPr>
      <w:bookmarkStart w:name="8.4 - RJC/49: Date of Next RJC Meetings:" w:id="96"/>
      <w:bookmarkEnd w:id="96"/>
      <w:r>
        <w:rPr/>
      </w:r>
      <w:r>
        <w:rPr>
          <w:sz w:val="32"/>
        </w:rPr>
        <w:t>-</w:t>
      </w:r>
      <w:r>
        <w:rPr>
          <w:spacing w:val="-4"/>
          <w:sz w:val="32"/>
        </w:rPr>
        <w:t> </w:t>
      </w:r>
      <w:r>
        <w:rPr>
          <w:sz w:val="32"/>
        </w:rPr>
        <w:t>RJC/49:</w:t>
      </w:r>
      <w:r>
        <w:rPr>
          <w:spacing w:val="-2"/>
          <w:sz w:val="32"/>
        </w:rPr>
        <w:t> </w:t>
      </w:r>
      <w:r>
        <w:rPr>
          <w:sz w:val="32"/>
        </w:rPr>
        <w:t>Date</w:t>
      </w:r>
      <w:r>
        <w:rPr>
          <w:spacing w:val="-4"/>
          <w:sz w:val="32"/>
        </w:rPr>
        <w:t> </w:t>
      </w:r>
      <w:r>
        <w:rPr>
          <w:sz w:val="32"/>
        </w:rPr>
        <w:t>of</w:t>
      </w:r>
      <w:r>
        <w:rPr>
          <w:spacing w:val="-2"/>
          <w:sz w:val="32"/>
        </w:rPr>
        <w:t> </w:t>
      </w:r>
      <w:r>
        <w:rPr>
          <w:sz w:val="32"/>
        </w:rPr>
        <w:t>Next</w:t>
      </w:r>
      <w:r>
        <w:rPr>
          <w:spacing w:val="-6"/>
          <w:sz w:val="32"/>
        </w:rPr>
        <w:t> </w:t>
      </w:r>
      <w:r>
        <w:rPr>
          <w:sz w:val="32"/>
        </w:rPr>
        <w:t>RJC</w:t>
      </w:r>
      <w:r>
        <w:rPr>
          <w:spacing w:val="-3"/>
          <w:sz w:val="32"/>
        </w:rPr>
        <w:t> </w:t>
      </w:r>
      <w:r>
        <w:rPr>
          <w:spacing w:val="-2"/>
          <w:sz w:val="32"/>
        </w:rPr>
        <w:t>Meetings:</w:t>
      </w:r>
      <w:r>
        <w:rPr>
          <w:sz w:val="32"/>
        </w:rPr>
        <w:tab/>
      </w:r>
      <w:r>
        <w:rPr>
          <w:b/>
          <w:i/>
          <w:position w:val="9"/>
          <w:sz w:val="22"/>
        </w:rPr>
        <w:t>Jan</w:t>
      </w:r>
      <w:r>
        <w:rPr>
          <w:b/>
          <w:i/>
          <w:spacing w:val="2"/>
          <w:position w:val="9"/>
          <w:sz w:val="22"/>
        </w:rPr>
        <w:t> </w:t>
      </w:r>
      <w:r>
        <w:rPr>
          <w:b/>
          <w:i/>
          <w:spacing w:val="-2"/>
          <w:position w:val="9"/>
          <w:sz w:val="22"/>
        </w:rPr>
        <w:t>Williams</w:t>
      </w:r>
    </w:p>
    <w:p>
      <w:pPr>
        <w:spacing w:line="208" w:lineRule="exact" w:before="0"/>
        <w:ind w:left="0" w:right="18" w:firstLine="0"/>
        <w:jc w:val="right"/>
        <w:rPr>
          <w:b/>
          <w:i/>
          <w:sz w:val="22"/>
        </w:rPr>
      </w:pPr>
      <w:r>
        <w:rPr>
          <w:b/>
          <w:i/>
          <w:sz w:val="22"/>
        </w:rPr>
        <w:t>(Swansea</w:t>
      </w:r>
      <w:r>
        <w:rPr>
          <w:b/>
          <w:i/>
          <w:spacing w:val="-4"/>
          <w:sz w:val="22"/>
        </w:rPr>
        <w:t> </w:t>
      </w:r>
      <w:r>
        <w:rPr>
          <w:b/>
          <w:i/>
          <w:sz w:val="22"/>
        </w:rPr>
        <w:t>Bay</w:t>
      </w:r>
      <w:r>
        <w:rPr>
          <w:b/>
          <w:i/>
          <w:spacing w:val="-2"/>
          <w:sz w:val="22"/>
        </w:rPr>
        <w:t> </w:t>
      </w:r>
      <w:r>
        <w:rPr>
          <w:b/>
          <w:i/>
          <w:sz w:val="22"/>
        </w:rPr>
        <w:t>UHB </w:t>
      </w:r>
      <w:r>
        <w:rPr>
          <w:b/>
          <w:i/>
          <w:spacing w:val="-10"/>
          <w:sz w:val="22"/>
        </w:rPr>
        <w:t>-</w:t>
      </w:r>
    </w:p>
    <w:p>
      <w:pPr>
        <w:spacing w:line="259" w:lineRule="auto" w:before="22"/>
        <w:ind w:left="6846" w:right="16" w:firstLine="550"/>
        <w:jc w:val="right"/>
        <w:rPr>
          <w:b/>
          <w:i/>
          <w:sz w:val="22"/>
        </w:rPr>
      </w:pPr>
      <w:r>
        <w:rPr>
          <w:b/>
          <w:i/>
          <w:sz w:val="22"/>
        </w:rPr>
        <w:t>Corporate),</w:t>
      </w:r>
      <w:r>
        <w:rPr>
          <w:b/>
          <w:i/>
          <w:spacing w:val="-16"/>
          <w:sz w:val="22"/>
        </w:rPr>
        <w:t> </w:t>
      </w:r>
      <w:r>
        <w:rPr>
          <w:b/>
          <w:i/>
          <w:sz w:val="22"/>
        </w:rPr>
        <w:t>Neil</w:t>
      </w:r>
      <w:r>
        <w:rPr>
          <w:b/>
          <w:i/>
          <w:sz w:val="22"/>
        </w:rPr>
        <w:t> Wooding</w:t>
      </w:r>
      <w:r>
        <w:rPr>
          <w:b/>
          <w:i/>
          <w:spacing w:val="-6"/>
          <w:sz w:val="22"/>
        </w:rPr>
        <w:t> </w:t>
      </w:r>
      <w:r>
        <w:rPr>
          <w:b/>
          <w:i/>
          <w:sz w:val="22"/>
        </w:rPr>
        <w:t>(Hywel</w:t>
      </w:r>
      <w:r>
        <w:rPr>
          <w:b/>
          <w:i/>
          <w:spacing w:val="-9"/>
          <w:sz w:val="22"/>
        </w:rPr>
        <w:t> </w:t>
      </w:r>
      <w:r>
        <w:rPr>
          <w:b/>
          <w:i/>
          <w:sz w:val="22"/>
        </w:rPr>
        <w:t>Dda UHB</w:t>
      </w:r>
      <w:r>
        <w:rPr>
          <w:b/>
          <w:i/>
          <w:spacing w:val="-7"/>
          <w:sz w:val="22"/>
        </w:rPr>
        <w:t> </w:t>
      </w:r>
      <w:r>
        <w:rPr>
          <w:b/>
          <w:i/>
          <w:sz w:val="22"/>
        </w:rPr>
        <w:t>-</w:t>
      </w:r>
      <w:r>
        <w:rPr>
          <w:b/>
          <w:i/>
          <w:spacing w:val="-7"/>
          <w:sz w:val="22"/>
        </w:rPr>
        <w:t> </w:t>
      </w:r>
      <w:r>
        <w:rPr>
          <w:b/>
          <w:i/>
          <w:sz w:val="22"/>
        </w:rPr>
        <w:t>Chair</w:t>
      </w:r>
      <w:r>
        <w:rPr>
          <w:b/>
          <w:i/>
          <w:spacing w:val="-9"/>
          <w:sz w:val="22"/>
        </w:rPr>
        <w:t> </w:t>
      </w:r>
      <w:r>
        <w:rPr>
          <w:b/>
          <w:i/>
          <w:sz w:val="22"/>
        </w:rPr>
        <w:t>of</w:t>
      </w:r>
      <w:r>
        <w:rPr>
          <w:b/>
          <w:i/>
          <w:spacing w:val="-6"/>
          <w:sz w:val="22"/>
        </w:rPr>
        <w:t> </w:t>
      </w:r>
      <w:r>
        <w:rPr>
          <w:b/>
          <w:i/>
          <w:sz w:val="22"/>
        </w:rPr>
        <w:t>Hywel Dda University Health Board)</w:t>
      </w:r>
    </w:p>
    <w:p>
      <w:pPr>
        <w:pStyle w:val="BodyText"/>
        <w:spacing w:before="57"/>
        <w:rPr>
          <w:b/>
          <w:i/>
          <w:sz w:val="22"/>
        </w:rPr>
      </w:pPr>
    </w:p>
    <w:p>
      <w:pPr>
        <w:spacing w:before="0"/>
        <w:ind w:left="23" w:right="0" w:firstLine="0"/>
        <w:jc w:val="left"/>
        <w:rPr>
          <w:rFonts w:ascii="Tahoma"/>
          <w:sz w:val="22"/>
        </w:rPr>
      </w:pPr>
      <w:r>
        <w:rPr>
          <w:rFonts w:ascii="Tahoma"/>
          <w:sz w:val="22"/>
        </w:rPr>
        <w:t>-5</w:t>
      </w:r>
      <w:r>
        <w:rPr>
          <w:rFonts w:ascii="Tahoma"/>
          <w:spacing w:val="10"/>
          <w:sz w:val="22"/>
        </w:rPr>
        <w:t> </w:t>
      </w:r>
      <w:r>
        <w:rPr>
          <w:rFonts w:ascii="Tahoma"/>
          <w:sz w:val="22"/>
        </w:rPr>
        <w:t>February</w:t>
      </w:r>
      <w:r>
        <w:rPr>
          <w:rFonts w:ascii="Tahoma"/>
          <w:spacing w:val="10"/>
          <w:sz w:val="22"/>
        </w:rPr>
        <w:t> </w:t>
      </w:r>
      <w:r>
        <w:rPr>
          <w:rFonts w:ascii="Tahoma"/>
          <w:spacing w:val="-4"/>
          <w:sz w:val="22"/>
        </w:rPr>
        <w:t>2027</w:t>
      </w:r>
    </w:p>
    <w:p>
      <w:pPr>
        <w:spacing w:before="215"/>
        <w:ind w:left="23" w:right="0" w:firstLine="0"/>
        <w:jc w:val="left"/>
        <w:rPr>
          <w:rFonts w:ascii="Tahoma"/>
          <w:sz w:val="22"/>
        </w:rPr>
      </w:pPr>
      <w:r>
        <w:rPr>
          <w:rFonts w:ascii="Tahoma"/>
          <w:w w:val="105"/>
          <w:sz w:val="22"/>
        </w:rPr>
        <w:t>-15</w:t>
      </w:r>
      <w:r>
        <w:rPr>
          <w:rFonts w:ascii="Tahoma"/>
          <w:spacing w:val="-19"/>
          <w:w w:val="105"/>
          <w:sz w:val="22"/>
        </w:rPr>
        <w:t> </w:t>
      </w:r>
      <w:r>
        <w:rPr>
          <w:rFonts w:ascii="Tahoma"/>
          <w:w w:val="105"/>
          <w:sz w:val="22"/>
        </w:rPr>
        <w:t>April</w:t>
      </w:r>
      <w:r>
        <w:rPr>
          <w:rFonts w:ascii="Tahoma"/>
          <w:spacing w:val="-13"/>
          <w:w w:val="105"/>
          <w:sz w:val="22"/>
        </w:rPr>
        <w:t> </w:t>
      </w:r>
      <w:r>
        <w:rPr>
          <w:rFonts w:ascii="Tahoma"/>
          <w:spacing w:val="-4"/>
          <w:w w:val="105"/>
          <w:sz w:val="22"/>
        </w:rPr>
        <w:t>2027</w:t>
      </w:r>
    </w:p>
    <w:sectPr>
      <w:pgSz w:w="11910" w:h="16840"/>
      <w:pgMar w:header="0" w:footer="149" w:top="1940" w:bottom="34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Cambria Math">
    <w:altName w:val="Cambria Math"/>
    <w:charset w:val="0"/>
    <w:family w:val="roman"/>
    <w:pitch w:val="variable"/>
  </w:font>
  <w:font w:name="Courier New">
    <w:altName w:val="Courier New"/>
    <w:charset w:val="0"/>
    <w:family w:val="modern"/>
    <w:pitch w:val="fixed"/>
  </w:font>
  <w:font w:name="Tahoma">
    <w:altName w:val="Tahoma"/>
    <w:charset w:val="0"/>
    <w:family w:val="swiss"/>
    <w:pitch w:val="variable"/>
  </w:font>
  <w:font w:name="Segoe UI">
    <w:altName w:val="Segoe UI"/>
    <w:charset w:val="0"/>
    <w:family w:val="swiss"/>
    <w:pitch w:val="variable"/>
  </w:font>
  <w:font w:name="Symbol">
    <w:altName w:val="Symbol"/>
    <w:charset w:val="2"/>
    <w:family w:val="roman"/>
    <w:pitch w:val="variable"/>
  </w:font>
  <w:font w:name="Verdana">
    <w:altName w:val="Verdana"/>
    <w:charset w:val="0"/>
    <w:family w:val="swiss"/>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82112">
          <wp:simplePos x="0" y="0"/>
          <wp:positionH relativeFrom="page">
            <wp:posOffset>3477450</wp:posOffset>
          </wp:positionH>
          <wp:positionV relativeFrom="page">
            <wp:posOffset>10471778</wp:posOffset>
          </wp:positionV>
          <wp:extent cx="604774" cy="136074"/>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82624">
              <wp:simplePos x="0" y="0"/>
              <wp:positionH relativeFrom="page">
                <wp:posOffset>3616350</wp:posOffset>
              </wp:positionH>
              <wp:positionV relativeFrom="page">
                <wp:posOffset>10467822</wp:posOffset>
              </wp:positionV>
              <wp:extent cx="365760" cy="13208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365760" cy="132080"/>
                      </a:xfrm>
                      <a:prstGeom prst="rect">
                        <a:avLst/>
                      </a:prstGeom>
                    </wps:spPr>
                    <wps:txbx>
                      <w:txbxContent>
                        <w:p>
                          <w:pPr>
                            <w:spacing w:before="48"/>
                            <w:ind w:left="20" w:right="0" w:firstLine="0"/>
                            <w:jc w:val="left"/>
                            <w:rPr>
                              <w:sz w:val="12"/>
                            </w:rPr>
                          </w:pPr>
                          <w:r>
                            <w:rPr>
                              <w:w w:val="105"/>
                              <w:sz w:val="12"/>
                            </w:rPr>
                            <w:t>Page</w:t>
                          </w:r>
                          <w:r>
                            <w:rPr>
                              <w:spacing w:val="3"/>
                              <w:w w:val="105"/>
                              <w:sz w:val="12"/>
                            </w:rPr>
                            <w:t> </w:t>
                          </w:r>
                          <w:r>
                            <w:rPr>
                              <w:spacing w:val="-5"/>
                              <w:w w:val="105"/>
                              <w:sz w:val="12"/>
                            </w:rPr>
                            <w:fldChar w:fldCharType="begin"/>
                          </w:r>
                          <w:r>
                            <w:rPr>
                              <w:spacing w:val="-5"/>
                              <w:w w:val="105"/>
                              <w:sz w:val="12"/>
                            </w:rPr>
                            <w:instrText> PAGE </w:instrText>
                          </w:r>
                          <w:r>
                            <w:rPr>
                              <w:spacing w:val="-5"/>
                              <w:w w:val="105"/>
                              <w:sz w:val="12"/>
                            </w:rPr>
                            <w:fldChar w:fldCharType="separate"/>
                          </w:r>
                          <w:r>
                            <w:rPr>
                              <w:spacing w:val="-5"/>
                              <w:w w:val="105"/>
                              <w:sz w:val="12"/>
                            </w:rPr>
                            <w:t>10</w:t>
                          </w:r>
                          <w:r>
                            <w:rPr>
                              <w:spacing w:val="-5"/>
                              <w:w w:val="105"/>
                              <w:sz w:val="1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4.752014pt;margin-top:824.237976pt;width:28.8pt;height:10.4pt;mso-position-horizontal-relative:page;mso-position-vertical-relative:page;z-index:-26233856" type="#_x0000_t202" id="docshape31" filled="false" stroked="false">
              <v:textbox inset="0,0,0,0">
                <w:txbxContent>
                  <w:p>
                    <w:pPr>
                      <w:spacing w:before="48"/>
                      <w:ind w:left="20" w:right="0" w:firstLine="0"/>
                      <w:jc w:val="left"/>
                      <w:rPr>
                        <w:sz w:val="12"/>
                      </w:rPr>
                    </w:pPr>
                    <w:r>
                      <w:rPr>
                        <w:w w:val="105"/>
                        <w:sz w:val="12"/>
                      </w:rPr>
                      <w:t>Page</w:t>
                    </w:r>
                    <w:r>
                      <w:rPr>
                        <w:spacing w:val="3"/>
                        <w:w w:val="105"/>
                        <w:sz w:val="12"/>
                      </w:rPr>
                      <w:t> </w:t>
                    </w:r>
                    <w:r>
                      <w:rPr>
                        <w:spacing w:val="-5"/>
                        <w:w w:val="105"/>
                        <w:sz w:val="12"/>
                      </w:rPr>
                      <w:fldChar w:fldCharType="begin"/>
                    </w:r>
                    <w:r>
                      <w:rPr>
                        <w:spacing w:val="-5"/>
                        <w:w w:val="105"/>
                        <w:sz w:val="12"/>
                      </w:rPr>
                      <w:instrText> PAGE </w:instrText>
                    </w:r>
                    <w:r>
                      <w:rPr>
                        <w:spacing w:val="-5"/>
                        <w:w w:val="105"/>
                        <w:sz w:val="12"/>
                      </w:rPr>
                      <w:fldChar w:fldCharType="separate"/>
                    </w:r>
                    <w:r>
                      <w:rPr>
                        <w:spacing w:val="-5"/>
                        <w:w w:val="105"/>
                        <w:sz w:val="12"/>
                      </w:rPr>
                      <w:t>10</w:t>
                    </w:r>
                    <w:r>
                      <w:rPr>
                        <w:spacing w:val="-5"/>
                        <w:w w:val="105"/>
                        <w:sz w:val="1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83136">
          <wp:simplePos x="0" y="0"/>
          <wp:positionH relativeFrom="page">
            <wp:posOffset>4918964</wp:posOffset>
          </wp:positionH>
          <wp:positionV relativeFrom="page">
            <wp:posOffset>7306716</wp:posOffset>
          </wp:positionV>
          <wp:extent cx="855472" cy="192481"/>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1" cstate="print"/>
                  <a:stretch>
                    <a:fillRect/>
                  </a:stretch>
                </pic:blipFill>
                <pic:spPr>
                  <a:xfrm>
                    <a:off x="0" y="0"/>
                    <a:ext cx="855472" cy="19248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83648">
              <wp:simplePos x="0" y="0"/>
              <wp:positionH relativeFrom="page">
                <wp:posOffset>5027676</wp:posOffset>
              </wp:positionH>
              <wp:positionV relativeFrom="page">
                <wp:posOffset>6987956</wp:posOffset>
              </wp:positionV>
              <wp:extent cx="523240" cy="13906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523240" cy="139065"/>
                      </a:xfrm>
                      <a:prstGeom prst="rect">
                        <a:avLst/>
                      </a:prstGeom>
                    </wps:spPr>
                    <wps:txbx>
                      <w:txbxContent>
                        <w:p>
                          <w:pPr>
                            <w:spacing w:before="14"/>
                            <w:ind w:left="20" w:right="0" w:firstLine="0"/>
                            <w:jc w:val="left"/>
                            <w:rPr>
                              <w:sz w:val="16"/>
                            </w:rPr>
                          </w:pPr>
                          <w:r>
                            <w:rPr>
                              <w:spacing w:val="-2"/>
                              <w:sz w:val="16"/>
                            </w:rPr>
                            <w:t>Page</w:t>
                          </w:r>
                          <w:r>
                            <w:rPr>
                              <w:spacing w:val="-7"/>
                              <w:sz w:val="16"/>
                            </w:rPr>
                            <w:t> </w:t>
                          </w:r>
                          <w:r>
                            <w:rPr>
                              <w:spacing w:val="-2"/>
                              <w:sz w:val="16"/>
                            </w:rPr>
                            <w:fldChar w:fldCharType="begin"/>
                          </w:r>
                          <w:r>
                            <w:rPr>
                              <w:spacing w:val="-2"/>
                              <w:sz w:val="16"/>
                            </w:rPr>
                            <w:instrText> PAGE </w:instrText>
                          </w:r>
                          <w:r>
                            <w:rPr>
                              <w:spacing w:val="-2"/>
                              <w:sz w:val="16"/>
                            </w:rPr>
                            <w:fldChar w:fldCharType="separate"/>
                          </w:r>
                          <w:r>
                            <w:rPr>
                              <w:spacing w:val="-2"/>
                              <w:sz w:val="16"/>
                            </w:rPr>
                            <w:t>5</w:t>
                          </w:r>
                          <w:r>
                            <w:rPr>
                              <w:spacing w:val="-2"/>
                              <w:sz w:val="16"/>
                            </w:rPr>
                            <w:fldChar w:fldCharType="end"/>
                          </w:r>
                          <w:r>
                            <w:rPr>
                              <w:spacing w:val="-9"/>
                              <w:sz w:val="16"/>
                            </w:rPr>
                            <w:t> </w:t>
                          </w:r>
                          <w:r>
                            <w:rPr>
                              <w:spacing w:val="-2"/>
                              <w:sz w:val="16"/>
                            </w:rPr>
                            <w:t>of</w:t>
                          </w:r>
                          <w:r>
                            <w:rPr>
                              <w:spacing w:val="-9"/>
                              <w:sz w:val="16"/>
                            </w:rPr>
                            <w:t> </w:t>
                          </w:r>
                          <w:r>
                            <w:rPr>
                              <w:spacing w:val="-10"/>
                              <w:sz w:val="16"/>
                            </w:rPr>
                            <w:t>8</w:t>
                          </w:r>
                        </w:p>
                      </w:txbxContent>
                    </wps:txbx>
                    <wps:bodyPr wrap="square" lIns="0" tIns="0" rIns="0" bIns="0" rtlCol="0">
                      <a:noAutofit/>
                    </wps:bodyPr>
                  </wps:wsp>
                </a:graphicData>
              </a:graphic>
            </wp:anchor>
          </w:drawing>
        </mc:Choice>
        <mc:Fallback>
          <w:pict>
            <v:shape style="position:absolute;margin-left:395.880005pt;margin-top:550.232788pt;width:41.2pt;height:10.95pt;mso-position-horizontal-relative:page;mso-position-vertical-relative:page;z-index:-26232832" type="#_x0000_t202" id="docshape42" filled="false" stroked="false">
              <v:textbox inset="0,0,0,0">
                <w:txbxContent>
                  <w:p>
                    <w:pPr>
                      <w:spacing w:before="14"/>
                      <w:ind w:left="20" w:right="0" w:firstLine="0"/>
                      <w:jc w:val="left"/>
                      <w:rPr>
                        <w:sz w:val="16"/>
                      </w:rPr>
                    </w:pPr>
                    <w:r>
                      <w:rPr>
                        <w:spacing w:val="-2"/>
                        <w:sz w:val="16"/>
                      </w:rPr>
                      <w:t>Page</w:t>
                    </w:r>
                    <w:r>
                      <w:rPr>
                        <w:spacing w:val="-7"/>
                        <w:sz w:val="16"/>
                      </w:rPr>
                      <w:t> </w:t>
                    </w:r>
                    <w:r>
                      <w:rPr>
                        <w:spacing w:val="-2"/>
                        <w:sz w:val="16"/>
                      </w:rPr>
                      <w:fldChar w:fldCharType="begin"/>
                    </w:r>
                    <w:r>
                      <w:rPr>
                        <w:spacing w:val="-2"/>
                        <w:sz w:val="16"/>
                      </w:rPr>
                      <w:instrText> PAGE </w:instrText>
                    </w:r>
                    <w:r>
                      <w:rPr>
                        <w:spacing w:val="-2"/>
                        <w:sz w:val="16"/>
                      </w:rPr>
                      <w:fldChar w:fldCharType="separate"/>
                    </w:r>
                    <w:r>
                      <w:rPr>
                        <w:spacing w:val="-2"/>
                        <w:sz w:val="16"/>
                      </w:rPr>
                      <w:t>5</w:t>
                    </w:r>
                    <w:r>
                      <w:rPr>
                        <w:spacing w:val="-2"/>
                        <w:sz w:val="16"/>
                      </w:rPr>
                      <w:fldChar w:fldCharType="end"/>
                    </w:r>
                    <w:r>
                      <w:rPr>
                        <w:spacing w:val="-9"/>
                        <w:sz w:val="16"/>
                      </w:rPr>
                      <w:t> </w:t>
                    </w:r>
                    <w:r>
                      <w:rPr>
                        <w:spacing w:val="-2"/>
                        <w:sz w:val="16"/>
                      </w:rPr>
                      <w:t>of</w:t>
                    </w:r>
                    <w:r>
                      <w:rPr>
                        <w:spacing w:val="-9"/>
                        <w:sz w:val="16"/>
                      </w:rPr>
                      <w:t> </w:t>
                    </w:r>
                    <w:r>
                      <w:rPr>
                        <w:spacing w:val="-10"/>
                        <w:sz w:val="16"/>
                      </w:rPr>
                      <w:t>8</w:t>
                    </w:r>
                  </w:p>
                </w:txbxContent>
              </v:textbox>
              <w10:wrap type="none"/>
            </v:shape>
          </w:pict>
        </mc:Fallback>
      </mc:AlternateContent>
    </w:r>
    <w:r>
      <w:rPr>
        <w:sz w:val="20"/>
      </w:rPr>
      <mc:AlternateContent>
        <mc:Choice Requires="wps">
          <w:drawing>
            <wp:anchor distT="0" distB="0" distL="0" distR="0" allowOverlap="1" layoutInCell="1" locked="0" behindDoc="1" simplePos="0" relativeHeight="477084160">
              <wp:simplePos x="0" y="0"/>
              <wp:positionH relativeFrom="page">
                <wp:posOffset>5120373</wp:posOffset>
              </wp:positionH>
              <wp:positionV relativeFrom="page">
                <wp:posOffset>7343803</wp:posOffset>
              </wp:positionV>
              <wp:extent cx="452755" cy="15367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452755" cy="153670"/>
                      </a:xfrm>
                      <a:prstGeom prst="rect">
                        <a:avLst/>
                      </a:prstGeom>
                    </wps:spPr>
                    <wps:txbx>
                      <w:txbxContent>
                        <w:p>
                          <w:pPr>
                            <w:spacing w:before="14"/>
                            <w:ind w:left="20" w:right="0" w:firstLine="0"/>
                            <w:jc w:val="left"/>
                            <w:rPr>
                              <w:sz w:val="18"/>
                            </w:rPr>
                          </w:pPr>
                          <w:r>
                            <w:rPr>
                              <w:sz w:val="18"/>
                            </w:rPr>
                            <w:t>Page </w:t>
                          </w:r>
                          <w:r>
                            <w:rPr>
                              <w:spacing w:val="-5"/>
                              <w:sz w:val="18"/>
                            </w:rPr>
                            <w:t>17</w:t>
                          </w:r>
                        </w:p>
                      </w:txbxContent>
                    </wps:txbx>
                    <wps:bodyPr wrap="square" lIns="0" tIns="0" rIns="0" bIns="0" rtlCol="0">
                      <a:noAutofit/>
                    </wps:bodyPr>
                  </wps:wsp>
                </a:graphicData>
              </a:graphic>
            </wp:anchor>
          </w:drawing>
        </mc:Choice>
        <mc:Fallback>
          <w:pict>
            <v:shape style="position:absolute;margin-left:403.178986pt;margin-top:578.252258pt;width:35.65pt;height:12.1pt;mso-position-horizontal-relative:page;mso-position-vertical-relative:page;z-index:-26232320" type="#_x0000_t202" id="docshape43" filled="false" stroked="false">
              <v:textbox inset="0,0,0,0">
                <w:txbxContent>
                  <w:p>
                    <w:pPr>
                      <w:spacing w:before="14"/>
                      <w:ind w:left="20" w:right="0" w:firstLine="0"/>
                      <w:jc w:val="left"/>
                      <w:rPr>
                        <w:sz w:val="18"/>
                      </w:rPr>
                    </w:pPr>
                    <w:r>
                      <w:rPr>
                        <w:sz w:val="18"/>
                      </w:rPr>
                      <w:t>Page </w:t>
                    </w:r>
                    <w:r>
                      <w:rPr>
                        <w:spacing w:val="-5"/>
                        <w:sz w:val="18"/>
                      </w:rPr>
                      <w:t>17</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84672">
          <wp:simplePos x="0" y="0"/>
          <wp:positionH relativeFrom="page">
            <wp:posOffset>4918964</wp:posOffset>
          </wp:positionH>
          <wp:positionV relativeFrom="page">
            <wp:posOffset>7306716</wp:posOffset>
          </wp:positionV>
          <wp:extent cx="855472" cy="192481"/>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1" cstate="print"/>
                  <a:stretch>
                    <a:fillRect/>
                  </a:stretch>
                </pic:blipFill>
                <pic:spPr>
                  <a:xfrm>
                    <a:off x="0" y="0"/>
                    <a:ext cx="855472" cy="19248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85184">
              <wp:simplePos x="0" y="0"/>
              <wp:positionH relativeFrom="page">
                <wp:posOffset>5027676</wp:posOffset>
              </wp:positionH>
              <wp:positionV relativeFrom="page">
                <wp:posOffset>6987956</wp:posOffset>
              </wp:positionV>
              <wp:extent cx="523240" cy="13906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523240" cy="139065"/>
                      </a:xfrm>
                      <a:prstGeom prst="rect">
                        <a:avLst/>
                      </a:prstGeom>
                    </wps:spPr>
                    <wps:txbx>
                      <w:txbxContent>
                        <w:p>
                          <w:pPr>
                            <w:spacing w:before="14"/>
                            <w:ind w:left="20" w:right="0" w:firstLine="0"/>
                            <w:jc w:val="left"/>
                            <w:rPr>
                              <w:sz w:val="16"/>
                            </w:rPr>
                          </w:pPr>
                          <w:r>
                            <w:rPr>
                              <w:spacing w:val="-2"/>
                              <w:sz w:val="16"/>
                            </w:rPr>
                            <w:t>Page</w:t>
                          </w:r>
                          <w:r>
                            <w:rPr>
                              <w:spacing w:val="-7"/>
                              <w:sz w:val="16"/>
                            </w:rPr>
                            <w:t> </w:t>
                          </w:r>
                          <w:r>
                            <w:rPr>
                              <w:spacing w:val="-2"/>
                              <w:sz w:val="16"/>
                            </w:rPr>
                            <w:fldChar w:fldCharType="begin"/>
                          </w:r>
                          <w:r>
                            <w:rPr>
                              <w:spacing w:val="-2"/>
                              <w:sz w:val="16"/>
                            </w:rPr>
                            <w:instrText> PAGE </w:instrText>
                          </w:r>
                          <w:r>
                            <w:rPr>
                              <w:spacing w:val="-2"/>
                              <w:sz w:val="16"/>
                            </w:rPr>
                            <w:fldChar w:fldCharType="separate"/>
                          </w:r>
                          <w:r>
                            <w:rPr>
                              <w:spacing w:val="-2"/>
                              <w:sz w:val="16"/>
                            </w:rPr>
                            <w:t>6</w:t>
                          </w:r>
                          <w:r>
                            <w:rPr>
                              <w:spacing w:val="-2"/>
                              <w:sz w:val="16"/>
                            </w:rPr>
                            <w:fldChar w:fldCharType="end"/>
                          </w:r>
                          <w:r>
                            <w:rPr>
                              <w:spacing w:val="-9"/>
                              <w:sz w:val="16"/>
                            </w:rPr>
                            <w:t> </w:t>
                          </w:r>
                          <w:r>
                            <w:rPr>
                              <w:spacing w:val="-2"/>
                              <w:sz w:val="16"/>
                            </w:rPr>
                            <w:t>of</w:t>
                          </w:r>
                          <w:r>
                            <w:rPr>
                              <w:spacing w:val="-9"/>
                              <w:sz w:val="16"/>
                            </w:rPr>
                            <w:t> </w:t>
                          </w:r>
                          <w:r>
                            <w:rPr>
                              <w:spacing w:val="-10"/>
                              <w:sz w:val="16"/>
                            </w:rPr>
                            <w:t>8</w:t>
                          </w:r>
                        </w:p>
                      </w:txbxContent>
                    </wps:txbx>
                    <wps:bodyPr wrap="square" lIns="0" tIns="0" rIns="0" bIns="0" rtlCol="0">
                      <a:noAutofit/>
                    </wps:bodyPr>
                  </wps:wsp>
                </a:graphicData>
              </a:graphic>
            </wp:anchor>
          </w:drawing>
        </mc:Choice>
        <mc:Fallback>
          <w:pict>
            <v:shape style="position:absolute;margin-left:395.880005pt;margin-top:550.232788pt;width:41.2pt;height:10.95pt;mso-position-horizontal-relative:page;mso-position-vertical-relative:page;z-index:-26231296" type="#_x0000_t202" id="docshape45" filled="false" stroked="false">
              <v:textbox inset="0,0,0,0">
                <w:txbxContent>
                  <w:p>
                    <w:pPr>
                      <w:spacing w:before="14"/>
                      <w:ind w:left="20" w:right="0" w:firstLine="0"/>
                      <w:jc w:val="left"/>
                      <w:rPr>
                        <w:sz w:val="16"/>
                      </w:rPr>
                    </w:pPr>
                    <w:r>
                      <w:rPr>
                        <w:spacing w:val="-2"/>
                        <w:sz w:val="16"/>
                      </w:rPr>
                      <w:t>Page</w:t>
                    </w:r>
                    <w:r>
                      <w:rPr>
                        <w:spacing w:val="-7"/>
                        <w:sz w:val="16"/>
                      </w:rPr>
                      <w:t> </w:t>
                    </w:r>
                    <w:r>
                      <w:rPr>
                        <w:spacing w:val="-2"/>
                        <w:sz w:val="16"/>
                      </w:rPr>
                      <w:fldChar w:fldCharType="begin"/>
                    </w:r>
                    <w:r>
                      <w:rPr>
                        <w:spacing w:val="-2"/>
                        <w:sz w:val="16"/>
                      </w:rPr>
                      <w:instrText> PAGE </w:instrText>
                    </w:r>
                    <w:r>
                      <w:rPr>
                        <w:spacing w:val="-2"/>
                        <w:sz w:val="16"/>
                      </w:rPr>
                      <w:fldChar w:fldCharType="separate"/>
                    </w:r>
                    <w:r>
                      <w:rPr>
                        <w:spacing w:val="-2"/>
                        <w:sz w:val="16"/>
                      </w:rPr>
                      <w:t>6</w:t>
                    </w:r>
                    <w:r>
                      <w:rPr>
                        <w:spacing w:val="-2"/>
                        <w:sz w:val="16"/>
                      </w:rPr>
                      <w:fldChar w:fldCharType="end"/>
                    </w:r>
                    <w:r>
                      <w:rPr>
                        <w:spacing w:val="-9"/>
                        <w:sz w:val="16"/>
                      </w:rPr>
                      <w:t> </w:t>
                    </w:r>
                    <w:r>
                      <w:rPr>
                        <w:spacing w:val="-2"/>
                        <w:sz w:val="16"/>
                      </w:rPr>
                      <w:t>of</w:t>
                    </w:r>
                    <w:r>
                      <w:rPr>
                        <w:spacing w:val="-9"/>
                        <w:sz w:val="16"/>
                      </w:rPr>
                      <w:t> </w:t>
                    </w:r>
                    <w:r>
                      <w:rPr>
                        <w:spacing w:val="-10"/>
                        <w:sz w:val="16"/>
                      </w:rPr>
                      <w:t>8</w:t>
                    </w:r>
                  </w:p>
                </w:txbxContent>
              </v:textbox>
              <w10:wrap type="none"/>
            </v:shape>
          </w:pict>
        </mc:Fallback>
      </mc:AlternateContent>
    </w:r>
    <w:r>
      <w:rPr>
        <w:sz w:val="20"/>
      </w:rPr>
      <mc:AlternateContent>
        <mc:Choice Requires="wps">
          <w:drawing>
            <wp:anchor distT="0" distB="0" distL="0" distR="0" allowOverlap="1" layoutInCell="1" locked="0" behindDoc="1" simplePos="0" relativeHeight="477085696">
              <wp:simplePos x="0" y="0"/>
              <wp:positionH relativeFrom="page">
                <wp:posOffset>5120373</wp:posOffset>
              </wp:positionH>
              <wp:positionV relativeFrom="page">
                <wp:posOffset>7343803</wp:posOffset>
              </wp:positionV>
              <wp:extent cx="452755" cy="15367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452755" cy="153670"/>
                      </a:xfrm>
                      <a:prstGeom prst="rect">
                        <a:avLst/>
                      </a:prstGeom>
                    </wps:spPr>
                    <wps:txbx>
                      <w:txbxContent>
                        <w:p>
                          <w:pPr>
                            <w:spacing w:before="14"/>
                            <w:ind w:left="20" w:right="0" w:firstLine="0"/>
                            <w:jc w:val="left"/>
                            <w:rPr>
                              <w:sz w:val="18"/>
                            </w:rPr>
                          </w:pPr>
                          <w:r>
                            <w:rPr>
                              <w:sz w:val="18"/>
                            </w:rPr>
                            <w:t>Page </w:t>
                          </w:r>
                          <w:r>
                            <w:rPr>
                              <w:spacing w:val="-5"/>
                              <w:sz w:val="18"/>
                            </w:rPr>
                            <w:t>18</w:t>
                          </w:r>
                        </w:p>
                      </w:txbxContent>
                    </wps:txbx>
                    <wps:bodyPr wrap="square" lIns="0" tIns="0" rIns="0" bIns="0" rtlCol="0">
                      <a:noAutofit/>
                    </wps:bodyPr>
                  </wps:wsp>
                </a:graphicData>
              </a:graphic>
            </wp:anchor>
          </w:drawing>
        </mc:Choice>
        <mc:Fallback>
          <w:pict>
            <v:shape style="position:absolute;margin-left:403.178986pt;margin-top:578.252258pt;width:35.65pt;height:12.1pt;mso-position-horizontal-relative:page;mso-position-vertical-relative:page;z-index:-26230784" type="#_x0000_t202" id="docshape46" filled="false" stroked="false">
              <v:textbox inset="0,0,0,0">
                <w:txbxContent>
                  <w:p>
                    <w:pPr>
                      <w:spacing w:before="14"/>
                      <w:ind w:left="20" w:right="0" w:firstLine="0"/>
                      <w:jc w:val="left"/>
                      <w:rPr>
                        <w:sz w:val="18"/>
                      </w:rPr>
                    </w:pPr>
                    <w:r>
                      <w:rPr>
                        <w:sz w:val="18"/>
                      </w:rPr>
                      <w:t>Page </w:t>
                    </w:r>
                    <w:r>
                      <w:rPr>
                        <w:spacing w:val="-5"/>
                        <w:sz w:val="18"/>
                      </w:rPr>
                      <w:t>18</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86208">
          <wp:simplePos x="0" y="0"/>
          <wp:positionH relativeFrom="page">
            <wp:posOffset>4918964</wp:posOffset>
          </wp:positionH>
          <wp:positionV relativeFrom="page">
            <wp:posOffset>7306716</wp:posOffset>
          </wp:positionV>
          <wp:extent cx="855472" cy="192481"/>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1" cstate="print"/>
                  <a:stretch>
                    <a:fillRect/>
                  </a:stretch>
                </pic:blipFill>
                <pic:spPr>
                  <a:xfrm>
                    <a:off x="0" y="0"/>
                    <a:ext cx="855472" cy="19248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86720">
              <wp:simplePos x="0" y="0"/>
              <wp:positionH relativeFrom="page">
                <wp:posOffset>5027676</wp:posOffset>
              </wp:positionH>
              <wp:positionV relativeFrom="page">
                <wp:posOffset>6987956</wp:posOffset>
              </wp:positionV>
              <wp:extent cx="523240" cy="139065"/>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523240" cy="139065"/>
                      </a:xfrm>
                      <a:prstGeom prst="rect">
                        <a:avLst/>
                      </a:prstGeom>
                    </wps:spPr>
                    <wps:txbx>
                      <w:txbxContent>
                        <w:p>
                          <w:pPr>
                            <w:spacing w:before="14"/>
                            <w:ind w:left="20" w:right="0" w:firstLine="0"/>
                            <w:jc w:val="left"/>
                            <w:rPr>
                              <w:sz w:val="16"/>
                            </w:rPr>
                          </w:pPr>
                          <w:r>
                            <w:rPr>
                              <w:spacing w:val="-2"/>
                              <w:sz w:val="16"/>
                            </w:rPr>
                            <w:t>Page</w:t>
                          </w:r>
                          <w:r>
                            <w:rPr>
                              <w:spacing w:val="-7"/>
                              <w:sz w:val="16"/>
                            </w:rPr>
                            <w:t> </w:t>
                          </w:r>
                          <w:r>
                            <w:rPr>
                              <w:spacing w:val="-2"/>
                              <w:sz w:val="16"/>
                            </w:rPr>
                            <w:fldChar w:fldCharType="begin"/>
                          </w:r>
                          <w:r>
                            <w:rPr>
                              <w:spacing w:val="-2"/>
                              <w:sz w:val="16"/>
                            </w:rPr>
                            <w:instrText> PAGE </w:instrText>
                          </w:r>
                          <w:r>
                            <w:rPr>
                              <w:spacing w:val="-2"/>
                              <w:sz w:val="16"/>
                            </w:rPr>
                            <w:fldChar w:fldCharType="separate"/>
                          </w:r>
                          <w:r>
                            <w:rPr>
                              <w:spacing w:val="-2"/>
                              <w:sz w:val="16"/>
                            </w:rPr>
                            <w:t>7</w:t>
                          </w:r>
                          <w:r>
                            <w:rPr>
                              <w:spacing w:val="-2"/>
                              <w:sz w:val="16"/>
                            </w:rPr>
                            <w:fldChar w:fldCharType="end"/>
                          </w:r>
                          <w:r>
                            <w:rPr>
                              <w:spacing w:val="-9"/>
                              <w:sz w:val="16"/>
                            </w:rPr>
                            <w:t> </w:t>
                          </w:r>
                          <w:r>
                            <w:rPr>
                              <w:spacing w:val="-2"/>
                              <w:sz w:val="16"/>
                            </w:rPr>
                            <w:t>of</w:t>
                          </w:r>
                          <w:r>
                            <w:rPr>
                              <w:spacing w:val="-9"/>
                              <w:sz w:val="16"/>
                            </w:rPr>
                            <w:t> </w:t>
                          </w:r>
                          <w:r>
                            <w:rPr>
                              <w:spacing w:val="-10"/>
                              <w:sz w:val="16"/>
                            </w:rPr>
                            <w:t>8</w:t>
                          </w:r>
                        </w:p>
                      </w:txbxContent>
                    </wps:txbx>
                    <wps:bodyPr wrap="square" lIns="0" tIns="0" rIns="0" bIns="0" rtlCol="0">
                      <a:noAutofit/>
                    </wps:bodyPr>
                  </wps:wsp>
                </a:graphicData>
              </a:graphic>
            </wp:anchor>
          </w:drawing>
        </mc:Choice>
        <mc:Fallback>
          <w:pict>
            <v:shape style="position:absolute;margin-left:395.880005pt;margin-top:550.232788pt;width:41.2pt;height:10.95pt;mso-position-horizontal-relative:page;mso-position-vertical-relative:page;z-index:-26229760" type="#_x0000_t202" id="docshape47" filled="false" stroked="false">
              <v:textbox inset="0,0,0,0">
                <w:txbxContent>
                  <w:p>
                    <w:pPr>
                      <w:spacing w:before="14"/>
                      <w:ind w:left="20" w:right="0" w:firstLine="0"/>
                      <w:jc w:val="left"/>
                      <w:rPr>
                        <w:sz w:val="16"/>
                      </w:rPr>
                    </w:pPr>
                    <w:r>
                      <w:rPr>
                        <w:spacing w:val="-2"/>
                        <w:sz w:val="16"/>
                      </w:rPr>
                      <w:t>Page</w:t>
                    </w:r>
                    <w:r>
                      <w:rPr>
                        <w:spacing w:val="-7"/>
                        <w:sz w:val="16"/>
                      </w:rPr>
                      <w:t> </w:t>
                    </w:r>
                    <w:r>
                      <w:rPr>
                        <w:spacing w:val="-2"/>
                        <w:sz w:val="16"/>
                      </w:rPr>
                      <w:fldChar w:fldCharType="begin"/>
                    </w:r>
                    <w:r>
                      <w:rPr>
                        <w:spacing w:val="-2"/>
                        <w:sz w:val="16"/>
                      </w:rPr>
                      <w:instrText> PAGE </w:instrText>
                    </w:r>
                    <w:r>
                      <w:rPr>
                        <w:spacing w:val="-2"/>
                        <w:sz w:val="16"/>
                      </w:rPr>
                      <w:fldChar w:fldCharType="separate"/>
                    </w:r>
                    <w:r>
                      <w:rPr>
                        <w:spacing w:val="-2"/>
                        <w:sz w:val="16"/>
                      </w:rPr>
                      <w:t>7</w:t>
                    </w:r>
                    <w:r>
                      <w:rPr>
                        <w:spacing w:val="-2"/>
                        <w:sz w:val="16"/>
                      </w:rPr>
                      <w:fldChar w:fldCharType="end"/>
                    </w:r>
                    <w:r>
                      <w:rPr>
                        <w:spacing w:val="-9"/>
                        <w:sz w:val="16"/>
                      </w:rPr>
                      <w:t> </w:t>
                    </w:r>
                    <w:r>
                      <w:rPr>
                        <w:spacing w:val="-2"/>
                        <w:sz w:val="16"/>
                      </w:rPr>
                      <w:t>of</w:t>
                    </w:r>
                    <w:r>
                      <w:rPr>
                        <w:spacing w:val="-9"/>
                        <w:sz w:val="16"/>
                      </w:rPr>
                      <w:t> </w:t>
                    </w:r>
                    <w:r>
                      <w:rPr>
                        <w:spacing w:val="-10"/>
                        <w:sz w:val="16"/>
                      </w:rPr>
                      <w:t>8</w:t>
                    </w:r>
                  </w:p>
                </w:txbxContent>
              </v:textbox>
              <w10:wrap type="none"/>
            </v:shape>
          </w:pict>
        </mc:Fallback>
      </mc:AlternateContent>
    </w:r>
    <w:r>
      <w:rPr>
        <w:sz w:val="20"/>
      </w:rPr>
      <mc:AlternateContent>
        <mc:Choice Requires="wps">
          <w:drawing>
            <wp:anchor distT="0" distB="0" distL="0" distR="0" allowOverlap="1" layoutInCell="1" locked="0" behindDoc="1" simplePos="0" relativeHeight="477087232">
              <wp:simplePos x="0" y="0"/>
              <wp:positionH relativeFrom="page">
                <wp:posOffset>5120373</wp:posOffset>
              </wp:positionH>
              <wp:positionV relativeFrom="page">
                <wp:posOffset>7343803</wp:posOffset>
              </wp:positionV>
              <wp:extent cx="452755" cy="15367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452755" cy="153670"/>
                      </a:xfrm>
                      <a:prstGeom prst="rect">
                        <a:avLst/>
                      </a:prstGeom>
                    </wps:spPr>
                    <wps:txbx>
                      <w:txbxContent>
                        <w:p>
                          <w:pPr>
                            <w:spacing w:before="14"/>
                            <w:ind w:left="20" w:right="0" w:firstLine="0"/>
                            <w:jc w:val="left"/>
                            <w:rPr>
                              <w:sz w:val="18"/>
                            </w:rPr>
                          </w:pPr>
                          <w:r>
                            <w:rPr>
                              <w:sz w:val="18"/>
                            </w:rPr>
                            <w:t>Page </w:t>
                          </w:r>
                          <w:r>
                            <w:rPr>
                              <w:spacing w:val="-5"/>
                              <w:sz w:val="18"/>
                            </w:rPr>
                            <w:t>19</w:t>
                          </w:r>
                        </w:p>
                      </w:txbxContent>
                    </wps:txbx>
                    <wps:bodyPr wrap="square" lIns="0" tIns="0" rIns="0" bIns="0" rtlCol="0">
                      <a:noAutofit/>
                    </wps:bodyPr>
                  </wps:wsp>
                </a:graphicData>
              </a:graphic>
            </wp:anchor>
          </w:drawing>
        </mc:Choice>
        <mc:Fallback>
          <w:pict>
            <v:shape style="position:absolute;margin-left:403.178986pt;margin-top:578.252258pt;width:35.65pt;height:12.1pt;mso-position-horizontal-relative:page;mso-position-vertical-relative:page;z-index:-26229248" type="#_x0000_t202" id="docshape48" filled="false" stroked="false">
              <v:textbox inset="0,0,0,0">
                <w:txbxContent>
                  <w:p>
                    <w:pPr>
                      <w:spacing w:before="14"/>
                      <w:ind w:left="20" w:right="0" w:firstLine="0"/>
                      <w:jc w:val="left"/>
                      <w:rPr>
                        <w:sz w:val="18"/>
                      </w:rPr>
                    </w:pPr>
                    <w:r>
                      <w:rPr>
                        <w:sz w:val="18"/>
                      </w:rPr>
                      <w:t>Page </w:t>
                    </w:r>
                    <w:r>
                      <w:rPr>
                        <w:spacing w:val="-5"/>
                        <w:sz w:val="18"/>
                      </w:rPr>
                      <w:t>19</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87744">
          <wp:simplePos x="0" y="0"/>
          <wp:positionH relativeFrom="page">
            <wp:posOffset>4918964</wp:posOffset>
          </wp:positionH>
          <wp:positionV relativeFrom="page">
            <wp:posOffset>7306716</wp:posOffset>
          </wp:positionV>
          <wp:extent cx="855472" cy="192481"/>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1" cstate="print"/>
                  <a:stretch>
                    <a:fillRect/>
                  </a:stretch>
                </pic:blipFill>
                <pic:spPr>
                  <a:xfrm>
                    <a:off x="0" y="0"/>
                    <a:ext cx="855472" cy="19248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88256">
              <wp:simplePos x="0" y="0"/>
              <wp:positionH relativeFrom="page">
                <wp:posOffset>5027676</wp:posOffset>
              </wp:positionH>
              <wp:positionV relativeFrom="page">
                <wp:posOffset>6987956</wp:posOffset>
              </wp:positionV>
              <wp:extent cx="523240" cy="13906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523240" cy="139065"/>
                      </a:xfrm>
                      <a:prstGeom prst="rect">
                        <a:avLst/>
                      </a:prstGeom>
                    </wps:spPr>
                    <wps:txbx>
                      <w:txbxContent>
                        <w:p>
                          <w:pPr>
                            <w:spacing w:before="14"/>
                            <w:ind w:left="20" w:right="0" w:firstLine="0"/>
                            <w:jc w:val="left"/>
                            <w:rPr>
                              <w:sz w:val="16"/>
                            </w:rPr>
                          </w:pPr>
                          <w:r>
                            <w:rPr>
                              <w:spacing w:val="-2"/>
                              <w:sz w:val="16"/>
                            </w:rPr>
                            <w:t>Page</w:t>
                          </w:r>
                          <w:r>
                            <w:rPr>
                              <w:spacing w:val="-7"/>
                              <w:sz w:val="16"/>
                            </w:rPr>
                            <w:t> </w:t>
                          </w:r>
                          <w:r>
                            <w:rPr>
                              <w:spacing w:val="-2"/>
                              <w:sz w:val="16"/>
                            </w:rPr>
                            <w:fldChar w:fldCharType="begin"/>
                          </w:r>
                          <w:r>
                            <w:rPr>
                              <w:spacing w:val="-2"/>
                              <w:sz w:val="16"/>
                            </w:rPr>
                            <w:instrText> PAGE </w:instrText>
                          </w:r>
                          <w:r>
                            <w:rPr>
                              <w:spacing w:val="-2"/>
                              <w:sz w:val="16"/>
                            </w:rPr>
                            <w:fldChar w:fldCharType="separate"/>
                          </w:r>
                          <w:r>
                            <w:rPr>
                              <w:spacing w:val="-2"/>
                              <w:sz w:val="16"/>
                            </w:rPr>
                            <w:t>8</w:t>
                          </w:r>
                          <w:r>
                            <w:rPr>
                              <w:spacing w:val="-2"/>
                              <w:sz w:val="16"/>
                            </w:rPr>
                            <w:fldChar w:fldCharType="end"/>
                          </w:r>
                          <w:r>
                            <w:rPr>
                              <w:spacing w:val="-9"/>
                              <w:sz w:val="16"/>
                            </w:rPr>
                            <w:t> </w:t>
                          </w:r>
                          <w:r>
                            <w:rPr>
                              <w:spacing w:val="-2"/>
                              <w:sz w:val="16"/>
                            </w:rPr>
                            <w:t>of</w:t>
                          </w:r>
                          <w:r>
                            <w:rPr>
                              <w:spacing w:val="-9"/>
                              <w:sz w:val="16"/>
                            </w:rPr>
                            <w:t> </w:t>
                          </w:r>
                          <w:r>
                            <w:rPr>
                              <w:spacing w:val="-10"/>
                              <w:sz w:val="16"/>
                            </w:rPr>
                            <w:t>8</w:t>
                          </w:r>
                        </w:p>
                      </w:txbxContent>
                    </wps:txbx>
                    <wps:bodyPr wrap="square" lIns="0" tIns="0" rIns="0" bIns="0" rtlCol="0">
                      <a:noAutofit/>
                    </wps:bodyPr>
                  </wps:wsp>
                </a:graphicData>
              </a:graphic>
            </wp:anchor>
          </w:drawing>
        </mc:Choice>
        <mc:Fallback>
          <w:pict>
            <v:shape style="position:absolute;margin-left:395.880005pt;margin-top:550.232788pt;width:41.2pt;height:10.95pt;mso-position-horizontal-relative:page;mso-position-vertical-relative:page;z-index:-26228224" type="#_x0000_t202" id="docshape49" filled="false" stroked="false">
              <v:textbox inset="0,0,0,0">
                <w:txbxContent>
                  <w:p>
                    <w:pPr>
                      <w:spacing w:before="14"/>
                      <w:ind w:left="20" w:right="0" w:firstLine="0"/>
                      <w:jc w:val="left"/>
                      <w:rPr>
                        <w:sz w:val="16"/>
                      </w:rPr>
                    </w:pPr>
                    <w:r>
                      <w:rPr>
                        <w:spacing w:val="-2"/>
                        <w:sz w:val="16"/>
                      </w:rPr>
                      <w:t>Page</w:t>
                    </w:r>
                    <w:r>
                      <w:rPr>
                        <w:spacing w:val="-7"/>
                        <w:sz w:val="16"/>
                      </w:rPr>
                      <w:t> </w:t>
                    </w:r>
                    <w:r>
                      <w:rPr>
                        <w:spacing w:val="-2"/>
                        <w:sz w:val="16"/>
                      </w:rPr>
                      <w:fldChar w:fldCharType="begin"/>
                    </w:r>
                    <w:r>
                      <w:rPr>
                        <w:spacing w:val="-2"/>
                        <w:sz w:val="16"/>
                      </w:rPr>
                      <w:instrText> PAGE </w:instrText>
                    </w:r>
                    <w:r>
                      <w:rPr>
                        <w:spacing w:val="-2"/>
                        <w:sz w:val="16"/>
                      </w:rPr>
                      <w:fldChar w:fldCharType="separate"/>
                    </w:r>
                    <w:r>
                      <w:rPr>
                        <w:spacing w:val="-2"/>
                        <w:sz w:val="16"/>
                      </w:rPr>
                      <w:t>8</w:t>
                    </w:r>
                    <w:r>
                      <w:rPr>
                        <w:spacing w:val="-2"/>
                        <w:sz w:val="16"/>
                      </w:rPr>
                      <w:fldChar w:fldCharType="end"/>
                    </w:r>
                    <w:r>
                      <w:rPr>
                        <w:spacing w:val="-9"/>
                        <w:sz w:val="16"/>
                      </w:rPr>
                      <w:t> </w:t>
                    </w:r>
                    <w:r>
                      <w:rPr>
                        <w:spacing w:val="-2"/>
                        <w:sz w:val="16"/>
                      </w:rPr>
                      <w:t>of</w:t>
                    </w:r>
                    <w:r>
                      <w:rPr>
                        <w:spacing w:val="-9"/>
                        <w:sz w:val="16"/>
                      </w:rPr>
                      <w:t> </w:t>
                    </w:r>
                    <w:r>
                      <w:rPr>
                        <w:spacing w:val="-10"/>
                        <w:sz w:val="16"/>
                      </w:rPr>
                      <w:t>8</w:t>
                    </w:r>
                  </w:p>
                </w:txbxContent>
              </v:textbox>
              <w10:wrap type="none"/>
            </v:shape>
          </w:pict>
        </mc:Fallback>
      </mc:AlternateContent>
    </w:r>
    <w:r>
      <w:rPr>
        <w:sz w:val="20"/>
      </w:rPr>
      <mc:AlternateContent>
        <mc:Choice Requires="wps">
          <w:drawing>
            <wp:anchor distT="0" distB="0" distL="0" distR="0" allowOverlap="1" layoutInCell="1" locked="0" behindDoc="1" simplePos="0" relativeHeight="477088768">
              <wp:simplePos x="0" y="0"/>
              <wp:positionH relativeFrom="page">
                <wp:posOffset>5120373</wp:posOffset>
              </wp:positionH>
              <wp:positionV relativeFrom="page">
                <wp:posOffset>7343803</wp:posOffset>
              </wp:positionV>
              <wp:extent cx="452755" cy="15367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452755" cy="153670"/>
                      </a:xfrm>
                      <a:prstGeom prst="rect">
                        <a:avLst/>
                      </a:prstGeom>
                    </wps:spPr>
                    <wps:txbx>
                      <w:txbxContent>
                        <w:p>
                          <w:pPr>
                            <w:spacing w:before="14"/>
                            <w:ind w:left="20" w:right="0" w:firstLine="0"/>
                            <w:jc w:val="left"/>
                            <w:rPr>
                              <w:sz w:val="18"/>
                            </w:rPr>
                          </w:pPr>
                          <w:r>
                            <w:rPr>
                              <w:sz w:val="18"/>
                            </w:rPr>
                            <w:t>Page </w:t>
                          </w:r>
                          <w:r>
                            <w:rPr>
                              <w:spacing w:val="-5"/>
                              <w:sz w:val="18"/>
                            </w:rPr>
                            <w:t>20</w:t>
                          </w:r>
                        </w:p>
                      </w:txbxContent>
                    </wps:txbx>
                    <wps:bodyPr wrap="square" lIns="0" tIns="0" rIns="0" bIns="0" rtlCol="0">
                      <a:noAutofit/>
                    </wps:bodyPr>
                  </wps:wsp>
                </a:graphicData>
              </a:graphic>
            </wp:anchor>
          </w:drawing>
        </mc:Choice>
        <mc:Fallback>
          <w:pict>
            <v:shape style="position:absolute;margin-left:403.178986pt;margin-top:578.252258pt;width:35.65pt;height:12.1pt;mso-position-horizontal-relative:page;mso-position-vertical-relative:page;z-index:-26227712" type="#_x0000_t202" id="docshape50" filled="false" stroked="false">
              <v:textbox inset="0,0,0,0">
                <w:txbxContent>
                  <w:p>
                    <w:pPr>
                      <w:spacing w:before="14"/>
                      <w:ind w:left="20" w:right="0" w:firstLine="0"/>
                      <w:jc w:val="left"/>
                      <w:rPr>
                        <w:sz w:val="18"/>
                      </w:rPr>
                    </w:pPr>
                    <w:r>
                      <w:rPr>
                        <w:sz w:val="18"/>
                      </w:rPr>
                      <w:t>Page </w:t>
                    </w:r>
                    <w:r>
                      <w:rPr>
                        <w:spacing w:val="-5"/>
                        <w:sz w:val="18"/>
                      </w:rPr>
                      <w:t>20</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89280">
          <wp:simplePos x="0" y="0"/>
          <wp:positionH relativeFrom="page">
            <wp:posOffset>5606922</wp:posOffset>
          </wp:positionH>
          <wp:positionV relativeFrom="page">
            <wp:posOffset>6583734</wp:posOffset>
          </wp:positionV>
          <wp:extent cx="975116" cy="219401"/>
          <wp:effectExtent l="0" t="0" r="0" b="0"/>
          <wp:wrapNone/>
          <wp:docPr id="127" name="Image 127"/>
          <wp:cNvGraphicFramePr>
            <a:graphicFrameLocks/>
          </wp:cNvGraphicFramePr>
          <a:graphic>
            <a:graphicData uri="http://schemas.openxmlformats.org/drawingml/2006/picture">
              <pic:pic>
                <pic:nvPicPr>
                  <pic:cNvPr id="127" name="Image 127"/>
                  <pic:cNvPicPr/>
                </pic:nvPicPr>
                <pic:blipFill>
                  <a:blip r:embed="rId1" cstate="print"/>
                  <a:stretch>
                    <a:fillRect/>
                  </a:stretch>
                </pic:blipFill>
                <pic:spPr>
                  <a:xfrm>
                    <a:off x="0" y="0"/>
                    <a:ext cx="975116" cy="219401"/>
                  </a:xfrm>
                  <a:prstGeom prst="rect">
                    <a:avLst/>
                  </a:prstGeom>
                </pic:spPr>
              </pic:pic>
            </a:graphicData>
          </a:graphic>
        </wp:anchor>
      </w:drawing>
    </w:r>
    <w:r>
      <w:rPr>
        <w:sz w:val="20"/>
      </w:rPr>
      <w:drawing>
        <wp:anchor distT="0" distB="0" distL="0" distR="0" allowOverlap="1" layoutInCell="1" locked="0" behindDoc="1" simplePos="0" relativeHeight="477089792">
          <wp:simplePos x="0" y="0"/>
          <wp:positionH relativeFrom="page">
            <wp:posOffset>237743</wp:posOffset>
          </wp:positionH>
          <wp:positionV relativeFrom="page">
            <wp:posOffset>6219469</wp:posOffset>
          </wp:positionV>
          <wp:extent cx="1773936" cy="448170"/>
          <wp:effectExtent l="0" t="0" r="0" b="0"/>
          <wp:wrapNone/>
          <wp:docPr id="128" name="Image 128" descr="A close-up of a logo  Description automatically generated with medium confidence"/>
          <wp:cNvGraphicFramePr>
            <a:graphicFrameLocks/>
          </wp:cNvGraphicFramePr>
          <a:graphic>
            <a:graphicData uri="http://schemas.openxmlformats.org/drawingml/2006/picture">
              <pic:pic>
                <pic:nvPicPr>
                  <pic:cNvPr id="128" name="Image 128" descr="A close-up of a logo  Description automatically generated with medium confidence"/>
                  <pic:cNvPicPr/>
                </pic:nvPicPr>
                <pic:blipFill>
                  <a:blip r:embed="rId2" cstate="print"/>
                  <a:stretch>
                    <a:fillRect/>
                  </a:stretch>
                </pic:blipFill>
                <pic:spPr>
                  <a:xfrm>
                    <a:off x="0" y="0"/>
                    <a:ext cx="1773936" cy="448170"/>
                  </a:xfrm>
                  <a:prstGeom prst="rect">
                    <a:avLst/>
                  </a:prstGeom>
                </pic:spPr>
              </pic:pic>
            </a:graphicData>
          </a:graphic>
        </wp:anchor>
      </w:drawing>
    </w:r>
    <w:r>
      <w:rPr>
        <w:sz w:val="20"/>
      </w:rPr>
      <w:drawing>
        <wp:anchor distT="0" distB="0" distL="0" distR="0" allowOverlap="1" layoutInCell="1" locked="0" behindDoc="1" simplePos="0" relativeHeight="477090304">
          <wp:simplePos x="0" y="0"/>
          <wp:positionH relativeFrom="page">
            <wp:posOffset>10213847</wp:posOffset>
          </wp:positionH>
          <wp:positionV relativeFrom="page">
            <wp:posOffset>6219469</wp:posOffset>
          </wp:positionV>
          <wp:extent cx="1755648" cy="448170"/>
          <wp:effectExtent l="0" t="0" r="0" b="0"/>
          <wp:wrapNone/>
          <wp:docPr id="129" name="Image 129" descr="Swansea Bay logo - Swansea Bay University Health Board"/>
          <wp:cNvGraphicFramePr>
            <a:graphicFrameLocks/>
          </wp:cNvGraphicFramePr>
          <a:graphic>
            <a:graphicData uri="http://schemas.openxmlformats.org/drawingml/2006/picture">
              <pic:pic>
                <pic:nvPicPr>
                  <pic:cNvPr id="129" name="Image 129" descr="Swansea Bay logo - Swansea Bay University Health Board"/>
                  <pic:cNvPicPr/>
                </pic:nvPicPr>
                <pic:blipFill>
                  <a:blip r:embed="rId3" cstate="print"/>
                  <a:stretch>
                    <a:fillRect/>
                  </a:stretch>
                </pic:blipFill>
                <pic:spPr>
                  <a:xfrm>
                    <a:off x="0" y="0"/>
                    <a:ext cx="1755648" cy="44817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90816">
              <wp:simplePos x="0" y="0"/>
              <wp:positionH relativeFrom="page">
                <wp:posOffset>11991467</wp:posOffset>
              </wp:positionH>
              <wp:positionV relativeFrom="page">
                <wp:posOffset>6610327</wp:posOffset>
              </wp:positionV>
              <wp:extent cx="112395" cy="20002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112395" cy="200025"/>
                      </a:xfrm>
                      <a:prstGeom prst="rect">
                        <a:avLst/>
                      </a:prstGeom>
                    </wps:spPr>
                    <wps:txbx>
                      <w:txbxContent>
                        <w:p>
                          <w:pPr>
                            <w:pStyle w:val="BodyText"/>
                            <w:spacing w:before="17"/>
                            <w:ind w:left="20"/>
                          </w:pPr>
                          <w:r>
                            <w:rPr>
                              <w:color w:val="767676"/>
                              <w:spacing w:val="-10"/>
                            </w:rPr>
                            <w:t>4</w:t>
                          </w:r>
                        </w:p>
                      </w:txbxContent>
                    </wps:txbx>
                    <wps:bodyPr wrap="square" lIns="0" tIns="0" rIns="0" bIns="0" rtlCol="0">
                      <a:noAutofit/>
                    </wps:bodyPr>
                  </wps:wsp>
                </a:graphicData>
              </a:graphic>
            </wp:anchor>
          </w:drawing>
        </mc:Choice>
        <mc:Fallback>
          <w:pict>
            <v:shape style="position:absolute;margin-left:944.210022pt;margin-top:520.49823pt;width:8.85pt;height:15.75pt;mso-position-horizontal-relative:page;mso-position-vertical-relative:page;z-index:-26225664" type="#_x0000_t202" id="docshape81" filled="false" stroked="false">
              <v:textbox inset="0,0,0,0">
                <w:txbxContent>
                  <w:p>
                    <w:pPr>
                      <w:pStyle w:val="BodyText"/>
                      <w:spacing w:before="17"/>
                      <w:ind w:left="20"/>
                    </w:pPr>
                    <w:r>
                      <w:rPr>
                        <w:color w:val="767676"/>
                        <w:spacing w:val="-1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77091328">
              <wp:simplePos x="0" y="0"/>
              <wp:positionH relativeFrom="page">
                <wp:posOffset>5838583</wp:posOffset>
              </wp:positionH>
              <wp:positionV relativeFrom="page">
                <wp:posOffset>6631488</wp:posOffset>
              </wp:positionV>
              <wp:extent cx="550545" cy="17145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550545" cy="171450"/>
                      </a:xfrm>
                      <a:prstGeom prst="rect">
                        <a:avLst/>
                      </a:prstGeom>
                    </wps:spPr>
                    <wps:txbx>
                      <w:txbxContent>
                        <w:p>
                          <w:pPr>
                            <w:spacing w:before="18"/>
                            <w:ind w:left="20" w:right="0" w:firstLine="0"/>
                            <w:jc w:val="left"/>
                            <w:rPr>
                              <w:sz w:val="20"/>
                            </w:rPr>
                          </w:pPr>
                          <w:r>
                            <w:rPr>
                              <w:sz w:val="20"/>
                            </w:rPr>
                            <w:t>Page</w:t>
                          </w:r>
                          <w:r>
                            <w:rPr>
                              <w:spacing w:val="10"/>
                              <w:sz w:val="20"/>
                            </w:rPr>
                            <w:t> </w:t>
                          </w:r>
                          <w:r>
                            <w:rPr>
                              <w:spacing w:val="-5"/>
                              <w:sz w:val="20"/>
                            </w:rPr>
                            <w:fldChar w:fldCharType="begin"/>
                          </w:r>
                          <w:r>
                            <w:rPr>
                              <w:spacing w:val="-5"/>
                              <w:sz w:val="20"/>
                            </w:rPr>
                            <w:instrText> PAGE </w:instrText>
                          </w:r>
                          <w:r>
                            <w:rPr>
                              <w:spacing w:val="-5"/>
                              <w:sz w:val="20"/>
                            </w:rPr>
                            <w:fldChar w:fldCharType="separate"/>
                          </w:r>
                          <w:r>
                            <w:rPr>
                              <w:spacing w:val="-5"/>
                              <w:sz w:val="20"/>
                            </w:rPr>
                            <w:t>24</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59.730988pt;margin-top:522.164429pt;width:43.35pt;height:13.5pt;mso-position-horizontal-relative:page;mso-position-vertical-relative:page;z-index:-26225152" type="#_x0000_t202" id="docshape82" filled="false" stroked="false">
              <v:textbox inset="0,0,0,0">
                <w:txbxContent>
                  <w:p>
                    <w:pPr>
                      <w:spacing w:before="18"/>
                      <w:ind w:left="20" w:right="0" w:firstLine="0"/>
                      <w:jc w:val="left"/>
                      <w:rPr>
                        <w:sz w:val="20"/>
                      </w:rPr>
                    </w:pPr>
                    <w:r>
                      <w:rPr>
                        <w:sz w:val="20"/>
                      </w:rPr>
                      <w:t>Page</w:t>
                    </w:r>
                    <w:r>
                      <w:rPr>
                        <w:spacing w:val="10"/>
                        <w:sz w:val="20"/>
                      </w:rPr>
                      <w:t> </w:t>
                    </w:r>
                    <w:r>
                      <w:rPr>
                        <w:spacing w:val="-5"/>
                        <w:sz w:val="20"/>
                      </w:rPr>
                      <w:fldChar w:fldCharType="begin"/>
                    </w:r>
                    <w:r>
                      <w:rPr>
                        <w:spacing w:val="-5"/>
                        <w:sz w:val="20"/>
                      </w:rPr>
                      <w:instrText> PAGE </w:instrText>
                    </w:r>
                    <w:r>
                      <w:rPr>
                        <w:spacing w:val="-5"/>
                        <w:sz w:val="20"/>
                      </w:rPr>
                      <w:fldChar w:fldCharType="separate"/>
                    </w:r>
                    <w:r>
                      <w:rPr>
                        <w:spacing w:val="-5"/>
                        <w:sz w:val="20"/>
                      </w:rPr>
                      <w:t>24</w:t>
                    </w:r>
                    <w:r>
                      <w:rPr>
                        <w:spacing w:val="-5"/>
                        <w:sz w:val="20"/>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91840">
          <wp:simplePos x="0" y="0"/>
          <wp:positionH relativeFrom="page">
            <wp:posOffset>5606922</wp:posOffset>
          </wp:positionH>
          <wp:positionV relativeFrom="page">
            <wp:posOffset>6583734</wp:posOffset>
          </wp:positionV>
          <wp:extent cx="975116" cy="219401"/>
          <wp:effectExtent l="0" t="0" r="0" b="0"/>
          <wp:wrapNone/>
          <wp:docPr id="150" name="Image 150"/>
          <wp:cNvGraphicFramePr>
            <a:graphicFrameLocks/>
          </wp:cNvGraphicFramePr>
          <a:graphic>
            <a:graphicData uri="http://schemas.openxmlformats.org/drawingml/2006/picture">
              <pic:pic>
                <pic:nvPicPr>
                  <pic:cNvPr id="150" name="Image 150"/>
                  <pic:cNvPicPr/>
                </pic:nvPicPr>
                <pic:blipFill>
                  <a:blip r:embed="rId1" cstate="print"/>
                  <a:stretch>
                    <a:fillRect/>
                  </a:stretch>
                </pic:blipFill>
                <pic:spPr>
                  <a:xfrm>
                    <a:off x="0" y="0"/>
                    <a:ext cx="975116" cy="219401"/>
                  </a:xfrm>
                  <a:prstGeom prst="rect">
                    <a:avLst/>
                  </a:prstGeom>
                </pic:spPr>
              </pic:pic>
            </a:graphicData>
          </a:graphic>
        </wp:anchor>
      </w:drawing>
    </w:r>
    <w:r>
      <w:rPr>
        <w:sz w:val="20"/>
      </w:rPr>
      <w:drawing>
        <wp:anchor distT="0" distB="0" distL="0" distR="0" allowOverlap="1" layoutInCell="1" locked="0" behindDoc="1" simplePos="0" relativeHeight="477092352">
          <wp:simplePos x="0" y="0"/>
          <wp:positionH relativeFrom="page">
            <wp:posOffset>237743</wp:posOffset>
          </wp:positionH>
          <wp:positionV relativeFrom="page">
            <wp:posOffset>6219469</wp:posOffset>
          </wp:positionV>
          <wp:extent cx="1773936" cy="448170"/>
          <wp:effectExtent l="0" t="0" r="0" b="0"/>
          <wp:wrapNone/>
          <wp:docPr id="151" name="Image 151" descr="A close-up of a logo  Description automatically generated with medium confidence"/>
          <wp:cNvGraphicFramePr>
            <a:graphicFrameLocks/>
          </wp:cNvGraphicFramePr>
          <a:graphic>
            <a:graphicData uri="http://schemas.openxmlformats.org/drawingml/2006/picture">
              <pic:pic>
                <pic:nvPicPr>
                  <pic:cNvPr id="151" name="Image 151" descr="A close-up of a logo  Description automatically generated with medium confidence"/>
                  <pic:cNvPicPr/>
                </pic:nvPicPr>
                <pic:blipFill>
                  <a:blip r:embed="rId2" cstate="print"/>
                  <a:stretch>
                    <a:fillRect/>
                  </a:stretch>
                </pic:blipFill>
                <pic:spPr>
                  <a:xfrm>
                    <a:off x="0" y="0"/>
                    <a:ext cx="1773936" cy="448170"/>
                  </a:xfrm>
                  <a:prstGeom prst="rect">
                    <a:avLst/>
                  </a:prstGeom>
                </pic:spPr>
              </pic:pic>
            </a:graphicData>
          </a:graphic>
        </wp:anchor>
      </w:drawing>
    </w:r>
    <w:r>
      <w:rPr>
        <w:sz w:val="20"/>
      </w:rPr>
      <w:drawing>
        <wp:anchor distT="0" distB="0" distL="0" distR="0" allowOverlap="1" layoutInCell="1" locked="0" behindDoc="1" simplePos="0" relativeHeight="477092864">
          <wp:simplePos x="0" y="0"/>
          <wp:positionH relativeFrom="page">
            <wp:posOffset>10213847</wp:posOffset>
          </wp:positionH>
          <wp:positionV relativeFrom="page">
            <wp:posOffset>6219469</wp:posOffset>
          </wp:positionV>
          <wp:extent cx="1755648" cy="448170"/>
          <wp:effectExtent l="0" t="0" r="0" b="0"/>
          <wp:wrapNone/>
          <wp:docPr id="152" name="Image 152" descr="Swansea Bay logo - Swansea Bay University Health Board"/>
          <wp:cNvGraphicFramePr>
            <a:graphicFrameLocks/>
          </wp:cNvGraphicFramePr>
          <a:graphic>
            <a:graphicData uri="http://schemas.openxmlformats.org/drawingml/2006/picture">
              <pic:pic>
                <pic:nvPicPr>
                  <pic:cNvPr id="152" name="Image 152" descr="Swansea Bay logo - Swansea Bay University Health Board"/>
                  <pic:cNvPicPr/>
                </pic:nvPicPr>
                <pic:blipFill>
                  <a:blip r:embed="rId3" cstate="print"/>
                  <a:stretch>
                    <a:fillRect/>
                  </a:stretch>
                </pic:blipFill>
                <pic:spPr>
                  <a:xfrm>
                    <a:off x="0" y="0"/>
                    <a:ext cx="1755648" cy="44817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93376">
              <wp:simplePos x="0" y="0"/>
              <wp:positionH relativeFrom="page">
                <wp:posOffset>11991467</wp:posOffset>
              </wp:positionH>
              <wp:positionV relativeFrom="page">
                <wp:posOffset>6610327</wp:posOffset>
              </wp:positionV>
              <wp:extent cx="112395" cy="200025"/>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112395" cy="200025"/>
                      </a:xfrm>
                      <a:prstGeom prst="rect">
                        <a:avLst/>
                      </a:prstGeom>
                    </wps:spPr>
                    <wps:txbx>
                      <w:txbxContent>
                        <w:p>
                          <w:pPr>
                            <w:pStyle w:val="BodyText"/>
                            <w:spacing w:before="17"/>
                            <w:ind w:left="20"/>
                          </w:pPr>
                          <w:r>
                            <w:rPr>
                              <w:color w:val="767676"/>
                              <w:spacing w:val="-10"/>
                            </w:rPr>
                            <w:t>5</w:t>
                          </w:r>
                        </w:p>
                      </w:txbxContent>
                    </wps:txbx>
                    <wps:bodyPr wrap="square" lIns="0" tIns="0" rIns="0" bIns="0" rtlCol="0">
                      <a:noAutofit/>
                    </wps:bodyPr>
                  </wps:wsp>
                </a:graphicData>
              </a:graphic>
            </wp:anchor>
          </w:drawing>
        </mc:Choice>
        <mc:Fallback>
          <w:pict>
            <v:shape style="position:absolute;margin-left:944.210022pt;margin-top:520.49823pt;width:8.85pt;height:15.75pt;mso-position-horizontal-relative:page;mso-position-vertical-relative:page;z-index:-26223104" type="#_x0000_t202" id="docshape98" filled="false" stroked="false">
              <v:textbox inset="0,0,0,0">
                <w:txbxContent>
                  <w:p>
                    <w:pPr>
                      <w:pStyle w:val="BodyText"/>
                      <w:spacing w:before="17"/>
                      <w:ind w:left="20"/>
                    </w:pPr>
                    <w:r>
                      <w:rPr>
                        <w:color w:val="767676"/>
                        <w:spacing w:val="-10"/>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77093888">
              <wp:simplePos x="0" y="0"/>
              <wp:positionH relativeFrom="page">
                <wp:posOffset>5838583</wp:posOffset>
              </wp:positionH>
              <wp:positionV relativeFrom="page">
                <wp:posOffset>6631488</wp:posOffset>
              </wp:positionV>
              <wp:extent cx="550545" cy="17145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550545" cy="171450"/>
                      </a:xfrm>
                      <a:prstGeom prst="rect">
                        <a:avLst/>
                      </a:prstGeom>
                    </wps:spPr>
                    <wps:txbx>
                      <w:txbxContent>
                        <w:p>
                          <w:pPr>
                            <w:spacing w:before="18"/>
                            <w:ind w:left="20" w:right="0" w:firstLine="0"/>
                            <w:jc w:val="left"/>
                            <w:rPr>
                              <w:sz w:val="20"/>
                            </w:rPr>
                          </w:pPr>
                          <w:r>
                            <w:rPr>
                              <w:sz w:val="20"/>
                            </w:rPr>
                            <w:t>Page</w:t>
                          </w:r>
                          <w:r>
                            <w:rPr>
                              <w:spacing w:val="10"/>
                              <w:sz w:val="20"/>
                            </w:rPr>
                            <w:t> </w:t>
                          </w:r>
                          <w:r>
                            <w:rPr>
                              <w:spacing w:val="-5"/>
                              <w:sz w:val="20"/>
                            </w:rPr>
                            <w:fldChar w:fldCharType="begin"/>
                          </w:r>
                          <w:r>
                            <w:rPr>
                              <w:spacing w:val="-5"/>
                              <w:sz w:val="20"/>
                            </w:rPr>
                            <w:instrText> PAGE </w:instrText>
                          </w:r>
                          <w:r>
                            <w:rPr>
                              <w:spacing w:val="-5"/>
                              <w:sz w:val="20"/>
                            </w:rPr>
                            <w:fldChar w:fldCharType="separate"/>
                          </w:r>
                          <w:r>
                            <w:rPr>
                              <w:spacing w:val="-5"/>
                              <w:sz w:val="20"/>
                            </w:rPr>
                            <w:t>25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59.730988pt;margin-top:522.164429pt;width:43.35pt;height:13.5pt;mso-position-horizontal-relative:page;mso-position-vertical-relative:page;z-index:-26222592" type="#_x0000_t202" id="docshape99" filled="false" stroked="false">
              <v:textbox inset="0,0,0,0">
                <w:txbxContent>
                  <w:p>
                    <w:pPr>
                      <w:spacing w:before="18"/>
                      <w:ind w:left="20" w:right="0" w:firstLine="0"/>
                      <w:jc w:val="left"/>
                      <w:rPr>
                        <w:sz w:val="20"/>
                      </w:rPr>
                    </w:pPr>
                    <w:r>
                      <w:rPr>
                        <w:sz w:val="20"/>
                      </w:rPr>
                      <w:t>Page</w:t>
                    </w:r>
                    <w:r>
                      <w:rPr>
                        <w:spacing w:val="10"/>
                        <w:sz w:val="20"/>
                      </w:rPr>
                      <w:t> </w:t>
                    </w:r>
                    <w:r>
                      <w:rPr>
                        <w:spacing w:val="-5"/>
                        <w:sz w:val="20"/>
                      </w:rPr>
                      <w:fldChar w:fldCharType="begin"/>
                    </w:r>
                    <w:r>
                      <w:rPr>
                        <w:spacing w:val="-5"/>
                        <w:sz w:val="20"/>
                      </w:rPr>
                      <w:instrText> PAGE </w:instrText>
                    </w:r>
                    <w:r>
                      <w:rPr>
                        <w:spacing w:val="-5"/>
                        <w:sz w:val="20"/>
                      </w:rPr>
                      <w:fldChar w:fldCharType="separate"/>
                    </w:r>
                    <w:r>
                      <w:rPr>
                        <w:spacing w:val="-5"/>
                        <w:sz w:val="20"/>
                      </w:rPr>
                      <w:t>25</w:t>
                    </w:r>
                    <w:r>
                      <w:rPr>
                        <w:spacing w:val="-5"/>
                        <w:sz w:val="20"/>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94400">
          <wp:simplePos x="0" y="0"/>
          <wp:positionH relativeFrom="page">
            <wp:posOffset>5606922</wp:posOffset>
          </wp:positionH>
          <wp:positionV relativeFrom="page">
            <wp:posOffset>6583734</wp:posOffset>
          </wp:positionV>
          <wp:extent cx="975116" cy="219401"/>
          <wp:effectExtent l="0" t="0" r="0" b="0"/>
          <wp:wrapNone/>
          <wp:docPr id="174" name="Image 174"/>
          <wp:cNvGraphicFramePr>
            <a:graphicFrameLocks/>
          </wp:cNvGraphicFramePr>
          <a:graphic>
            <a:graphicData uri="http://schemas.openxmlformats.org/drawingml/2006/picture">
              <pic:pic>
                <pic:nvPicPr>
                  <pic:cNvPr id="174" name="Image 174"/>
                  <pic:cNvPicPr/>
                </pic:nvPicPr>
                <pic:blipFill>
                  <a:blip r:embed="rId1" cstate="print"/>
                  <a:stretch>
                    <a:fillRect/>
                  </a:stretch>
                </pic:blipFill>
                <pic:spPr>
                  <a:xfrm>
                    <a:off x="0" y="0"/>
                    <a:ext cx="975116" cy="21940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94912">
              <wp:simplePos x="0" y="0"/>
              <wp:positionH relativeFrom="page">
                <wp:posOffset>5838583</wp:posOffset>
              </wp:positionH>
              <wp:positionV relativeFrom="page">
                <wp:posOffset>6631488</wp:posOffset>
              </wp:positionV>
              <wp:extent cx="550545" cy="17145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550545" cy="171450"/>
                      </a:xfrm>
                      <a:prstGeom prst="rect">
                        <a:avLst/>
                      </a:prstGeom>
                    </wps:spPr>
                    <wps:txbx>
                      <w:txbxContent>
                        <w:p>
                          <w:pPr>
                            <w:spacing w:before="18"/>
                            <w:ind w:left="20" w:right="0" w:firstLine="0"/>
                            <w:jc w:val="left"/>
                            <w:rPr>
                              <w:sz w:val="20"/>
                            </w:rPr>
                          </w:pPr>
                          <w:r>
                            <w:rPr>
                              <w:sz w:val="20"/>
                            </w:rPr>
                            <w:t>Page</w:t>
                          </w:r>
                          <w:r>
                            <w:rPr>
                              <w:spacing w:val="10"/>
                              <w:sz w:val="20"/>
                            </w:rPr>
                            <w:t> </w:t>
                          </w:r>
                          <w:r>
                            <w:rPr>
                              <w:spacing w:val="-5"/>
                              <w:sz w:val="20"/>
                            </w:rPr>
                            <w:fldChar w:fldCharType="begin"/>
                          </w:r>
                          <w:r>
                            <w:rPr>
                              <w:spacing w:val="-5"/>
                              <w:sz w:val="20"/>
                            </w:rPr>
                            <w:instrText> PAGE </w:instrText>
                          </w:r>
                          <w:r>
                            <w:rPr>
                              <w:spacing w:val="-5"/>
                              <w:sz w:val="20"/>
                            </w:rPr>
                            <w:fldChar w:fldCharType="separate"/>
                          </w:r>
                          <w:r>
                            <w:rPr>
                              <w:spacing w:val="-5"/>
                              <w:sz w:val="20"/>
                            </w:rPr>
                            <w:t>26</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59.730988pt;margin-top:522.164429pt;width:43.35pt;height:13.5pt;mso-position-horizontal-relative:page;mso-position-vertical-relative:page;z-index:-26221568" type="#_x0000_t202" id="docshape117" filled="false" stroked="false">
              <v:textbox inset="0,0,0,0">
                <w:txbxContent>
                  <w:p>
                    <w:pPr>
                      <w:spacing w:before="18"/>
                      <w:ind w:left="20" w:right="0" w:firstLine="0"/>
                      <w:jc w:val="left"/>
                      <w:rPr>
                        <w:sz w:val="20"/>
                      </w:rPr>
                    </w:pPr>
                    <w:r>
                      <w:rPr>
                        <w:sz w:val="20"/>
                      </w:rPr>
                      <w:t>Page</w:t>
                    </w:r>
                    <w:r>
                      <w:rPr>
                        <w:spacing w:val="10"/>
                        <w:sz w:val="20"/>
                      </w:rPr>
                      <w:t> </w:t>
                    </w:r>
                    <w:r>
                      <w:rPr>
                        <w:spacing w:val="-5"/>
                        <w:sz w:val="20"/>
                      </w:rPr>
                      <w:fldChar w:fldCharType="begin"/>
                    </w:r>
                    <w:r>
                      <w:rPr>
                        <w:spacing w:val="-5"/>
                        <w:sz w:val="20"/>
                      </w:rPr>
                      <w:instrText> PAGE </w:instrText>
                    </w:r>
                    <w:r>
                      <w:rPr>
                        <w:spacing w:val="-5"/>
                        <w:sz w:val="20"/>
                      </w:rPr>
                      <w:fldChar w:fldCharType="separate"/>
                    </w:r>
                    <w:r>
                      <w:rPr>
                        <w:spacing w:val="-5"/>
                        <w:sz w:val="20"/>
                      </w:rPr>
                      <w:t>26</w:t>
                    </w:r>
                    <w:r>
                      <w:rPr>
                        <w:spacing w:val="-5"/>
                        <w:sz w:val="20"/>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95424">
          <wp:simplePos x="0" y="0"/>
          <wp:positionH relativeFrom="page">
            <wp:posOffset>3477450</wp:posOffset>
          </wp:positionH>
          <wp:positionV relativeFrom="page">
            <wp:posOffset>10471778</wp:posOffset>
          </wp:positionV>
          <wp:extent cx="604774" cy="136074"/>
          <wp:effectExtent l="0" t="0" r="0" b="0"/>
          <wp:wrapNone/>
          <wp:docPr id="178" name="Image 178"/>
          <wp:cNvGraphicFramePr>
            <a:graphicFrameLocks/>
          </wp:cNvGraphicFramePr>
          <a:graphic>
            <a:graphicData uri="http://schemas.openxmlformats.org/drawingml/2006/picture">
              <pic:pic>
                <pic:nvPicPr>
                  <pic:cNvPr id="178" name="Image 178"/>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95936">
              <wp:simplePos x="0" y="0"/>
              <wp:positionH relativeFrom="page">
                <wp:posOffset>3616350</wp:posOffset>
              </wp:positionH>
              <wp:positionV relativeFrom="page">
                <wp:posOffset>10483713</wp:posOffset>
              </wp:positionV>
              <wp:extent cx="365760" cy="116205"/>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365760" cy="116205"/>
                      </a:xfrm>
                      <a:prstGeom prst="rect">
                        <a:avLst/>
                      </a:prstGeom>
                    </wps:spPr>
                    <wps:txbx>
                      <w:txbxContent>
                        <w:p>
                          <w:pPr>
                            <w:spacing w:before="23"/>
                            <w:ind w:left="20" w:right="0" w:firstLine="0"/>
                            <w:jc w:val="left"/>
                            <w:rPr>
                              <w:sz w:val="12"/>
                            </w:rPr>
                          </w:pPr>
                          <w:r>
                            <w:rPr>
                              <w:w w:val="105"/>
                              <w:sz w:val="12"/>
                            </w:rPr>
                            <w:t>Page</w:t>
                          </w:r>
                          <w:r>
                            <w:rPr>
                              <w:spacing w:val="3"/>
                              <w:w w:val="105"/>
                              <w:sz w:val="12"/>
                            </w:rPr>
                            <w:t> </w:t>
                          </w:r>
                          <w:r>
                            <w:rPr>
                              <w:spacing w:val="-5"/>
                              <w:w w:val="105"/>
                              <w:sz w:val="12"/>
                            </w:rPr>
                            <w:fldChar w:fldCharType="begin"/>
                          </w:r>
                          <w:r>
                            <w:rPr>
                              <w:spacing w:val="-5"/>
                              <w:w w:val="105"/>
                              <w:sz w:val="12"/>
                            </w:rPr>
                            <w:instrText> PAGE </w:instrText>
                          </w:r>
                          <w:r>
                            <w:rPr>
                              <w:spacing w:val="-5"/>
                              <w:w w:val="105"/>
                              <w:sz w:val="12"/>
                            </w:rPr>
                            <w:fldChar w:fldCharType="separate"/>
                          </w:r>
                          <w:r>
                            <w:rPr>
                              <w:spacing w:val="-5"/>
                              <w:w w:val="105"/>
                              <w:sz w:val="12"/>
                            </w:rPr>
                            <w:t>27</w:t>
                          </w:r>
                          <w:r>
                            <w:rPr>
                              <w:spacing w:val="-5"/>
                              <w:w w:val="105"/>
                              <w:sz w:val="12"/>
                            </w:rPr>
                            <w:fldChar w:fldCharType="end"/>
                          </w:r>
                        </w:p>
                      </w:txbxContent>
                    </wps:txbx>
                    <wps:bodyPr wrap="square" lIns="0" tIns="0" rIns="0" bIns="0" rtlCol="0">
                      <a:noAutofit/>
                    </wps:bodyPr>
                  </wps:wsp>
                </a:graphicData>
              </a:graphic>
            </wp:anchor>
          </w:drawing>
        </mc:Choice>
        <mc:Fallback>
          <w:pict>
            <v:shape style="position:absolute;margin-left:284.752014pt;margin-top:825.489258pt;width:28.8pt;height:9.15pt;mso-position-horizontal-relative:page;mso-position-vertical-relative:page;z-index:-26220544" type="#_x0000_t202" id="docshape118" filled="false" stroked="false">
              <v:textbox inset="0,0,0,0">
                <w:txbxContent>
                  <w:p>
                    <w:pPr>
                      <w:spacing w:before="23"/>
                      <w:ind w:left="20" w:right="0" w:firstLine="0"/>
                      <w:jc w:val="left"/>
                      <w:rPr>
                        <w:sz w:val="12"/>
                      </w:rPr>
                    </w:pPr>
                    <w:r>
                      <w:rPr>
                        <w:w w:val="105"/>
                        <w:sz w:val="12"/>
                      </w:rPr>
                      <w:t>Page</w:t>
                    </w:r>
                    <w:r>
                      <w:rPr>
                        <w:spacing w:val="3"/>
                        <w:w w:val="105"/>
                        <w:sz w:val="12"/>
                      </w:rPr>
                      <w:t> </w:t>
                    </w:r>
                    <w:r>
                      <w:rPr>
                        <w:spacing w:val="-5"/>
                        <w:w w:val="105"/>
                        <w:sz w:val="12"/>
                      </w:rPr>
                      <w:fldChar w:fldCharType="begin"/>
                    </w:r>
                    <w:r>
                      <w:rPr>
                        <w:spacing w:val="-5"/>
                        <w:w w:val="105"/>
                        <w:sz w:val="12"/>
                      </w:rPr>
                      <w:instrText> PAGE </w:instrText>
                    </w:r>
                    <w:r>
                      <w:rPr>
                        <w:spacing w:val="-5"/>
                        <w:w w:val="105"/>
                        <w:sz w:val="12"/>
                      </w:rPr>
                      <w:fldChar w:fldCharType="separate"/>
                    </w:r>
                    <w:r>
                      <w:rPr>
                        <w:spacing w:val="-5"/>
                        <w:w w:val="105"/>
                        <w:sz w:val="12"/>
                      </w:rPr>
                      <w:t>27</w:t>
                    </w:r>
                    <w:r>
                      <w:rPr>
                        <w:spacing w:val="-5"/>
                        <w:w w:val="105"/>
                        <w:sz w:val="12"/>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96448">
          <wp:simplePos x="0" y="0"/>
          <wp:positionH relativeFrom="page">
            <wp:posOffset>3477450</wp:posOffset>
          </wp:positionH>
          <wp:positionV relativeFrom="page">
            <wp:posOffset>10471778</wp:posOffset>
          </wp:positionV>
          <wp:extent cx="604774" cy="136074"/>
          <wp:effectExtent l="0" t="0" r="0" b="0"/>
          <wp:wrapNone/>
          <wp:docPr id="185" name="Image 185"/>
          <wp:cNvGraphicFramePr>
            <a:graphicFrameLocks/>
          </wp:cNvGraphicFramePr>
          <a:graphic>
            <a:graphicData uri="http://schemas.openxmlformats.org/drawingml/2006/picture">
              <pic:pic>
                <pic:nvPicPr>
                  <pic:cNvPr id="185" name="Image 185"/>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96960">
              <wp:simplePos x="0" y="0"/>
              <wp:positionH relativeFrom="page">
                <wp:posOffset>3456051</wp:posOffset>
              </wp:positionH>
              <wp:positionV relativeFrom="page">
                <wp:posOffset>10188257</wp:posOffset>
              </wp:positionV>
              <wp:extent cx="645795" cy="16510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645795" cy="165100"/>
                      </a:xfrm>
                      <a:prstGeom prst="rect">
                        <a:avLst/>
                      </a:prstGeom>
                    </wps:spPr>
                    <wps:txbx>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wps:txbx>
                    <wps:bodyPr wrap="square" lIns="0" tIns="0" rIns="0" bIns="0" rtlCol="0">
                      <a:noAutofit/>
                    </wps:bodyPr>
                  </wps:wsp>
                </a:graphicData>
              </a:graphic>
            </wp:anchor>
          </w:drawing>
        </mc:Choice>
        <mc:Fallback>
          <w:pict>
            <v:shape style="position:absolute;margin-left:272.130005pt;margin-top:802.224976pt;width:50.85pt;height:13pt;mso-position-horizontal-relative:page;mso-position-vertical-relative:page;z-index:-26219520" type="#_x0000_t202" id="docshape124" filled="false" stroked="false">
              <v:textbox inset="0,0,0,0">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77097472">
              <wp:simplePos x="0" y="0"/>
              <wp:positionH relativeFrom="page">
                <wp:posOffset>3616350</wp:posOffset>
              </wp:positionH>
              <wp:positionV relativeFrom="page">
                <wp:posOffset>10483713</wp:posOffset>
              </wp:positionV>
              <wp:extent cx="327660" cy="11620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327660" cy="116205"/>
                      </a:xfrm>
                      <a:prstGeom prst="rect">
                        <a:avLst/>
                      </a:prstGeom>
                    </wps:spPr>
                    <wps:txbx>
                      <w:txbxContent>
                        <w:p>
                          <w:pPr>
                            <w:spacing w:before="23"/>
                            <w:ind w:left="20" w:right="0" w:firstLine="0"/>
                            <w:jc w:val="left"/>
                            <w:rPr>
                              <w:sz w:val="12"/>
                            </w:rPr>
                          </w:pPr>
                          <w:r>
                            <w:rPr>
                              <w:w w:val="105"/>
                              <w:sz w:val="12"/>
                            </w:rPr>
                            <w:t>Page</w:t>
                          </w:r>
                          <w:r>
                            <w:rPr>
                              <w:spacing w:val="3"/>
                              <w:w w:val="105"/>
                              <w:sz w:val="12"/>
                            </w:rPr>
                            <w:t> </w:t>
                          </w:r>
                          <w:r>
                            <w:rPr>
                              <w:spacing w:val="-5"/>
                              <w:w w:val="105"/>
                              <w:sz w:val="12"/>
                            </w:rPr>
                            <w:t>29</w:t>
                          </w:r>
                        </w:p>
                      </w:txbxContent>
                    </wps:txbx>
                    <wps:bodyPr wrap="square" lIns="0" tIns="0" rIns="0" bIns="0" rtlCol="0">
                      <a:noAutofit/>
                    </wps:bodyPr>
                  </wps:wsp>
                </a:graphicData>
              </a:graphic>
            </wp:anchor>
          </w:drawing>
        </mc:Choice>
        <mc:Fallback>
          <w:pict>
            <v:shape style="position:absolute;margin-left:284.752014pt;margin-top:825.489258pt;width:25.8pt;height:9.15pt;mso-position-horizontal-relative:page;mso-position-vertical-relative:page;z-index:-26219008" type="#_x0000_t202" id="docshape125" filled="false" stroked="false">
              <v:textbox inset="0,0,0,0">
                <w:txbxContent>
                  <w:p>
                    <w:pPr>
                      <w:spacing w:before="23"/>
                      <w:ind w:left="20" w:right="0" w:firstLine="0"/>
                      <w:jc w:val="left"/>
                      <w:rPr>
                        <w:sz w:val="12"/>
                      </w:rPr>
                    </w:pPr>
                    <w:r>
                      <w:rPr>
                        <w:w w:val="105"/>
                        <w:sz w:val="12"/>
                      </w:rPr>
                      <w:t>Page</w:t>
                    </w:r>
                    <w:r>
                      <w:rPr>
                        <w:spacing w:val="3"/>
                        <w:w w:val="105"/>
                        <w:sz w:val="12"/>
                      </w:rPr>
                      <w:t> </w:t>
                    </w:r>
                    <w:r>
                      <w:rPr>
                        <w:spacing w:val="-5"/>
                        <w:w w:val="105"/>
                        <w:sz w:val="12"/>
                      </w:rPr>
                      <w:t>29</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97984">
          <wp:simplePos x="0" y="0"/>
          <wp:positionH relativeFrom="page">
            <wp:posOffset>3477450</wp:posOffset>
          </wp:positionH>
          <wp:positionV relativeFrom="page">
            <wp:posOffset>10471778</wp:posOffset>
          </wp:positionV>
          <wp:extent cx="604774" cy="136074"/>
          <wp:effectExtent l="0" t="0" r="0" b="0"/>
          <wp:wrapNone/>
          <wp:docPr id="192" name="Image 192"/>
          <wp:cNvGraphicFramePr>
            <a:graphicFrameLocks/>
          </wp:cNvGraphicFramePr>
          <a:graphic>
            <a:graphicData uri="http://schemas.openxmlformats.org/drawingml/2006/picture">
              <pic:pic>
                <pic:nvPicPr>
                  <pic:cNvPr id="192" name="Image 192"/>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098496">
              <wp:simplePos x="0" y="0"/>
              <wp:positionH relativeFrom="page">
                <wp:posOffset>3456051</wp:posOffset>
              </wp:positionH>
              <wp:positionV relativeFrom="page">
                <wp:posOffset>10188257</wp:posOffset>
              </wp:positionV>
              <wp:extent cx="645795" cy="165100"/>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645795" cy="165100"/>
                      </a:xfrm>
                      <a:prstGeom prst="rect">
                        <a:avLst/>
                      </a:prstGeom>
                    </wps:spPr>
                    <wps:txbx>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2</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wps:txbx>
                    <wps:bodyPr wrap="square" lIns="0" tIns="0" rIns="0" bIns="0" rtlCol="0">
                      <a:noAutofit/>
                    </wps:bodyPr>
                  </wps:wsp>
                </a:graphicData>
              </a:graphic>
            </wp:anchor>
          </w:drawing>
        </mc:Choice>
        <mc:Fallback>
          <w:pict>
            <v:shape style="position:absolute;margin-left:272.130005pt;margin-top:802.224976pt;width:50.85pt;height:13pt;mso-position-horizontal-relative:page;mso-position-vertical-relative:page;z-index:-26217984" type="#_x0000_t202" id="docshape128" filled="false" stroked="false">
              <v:textbox inset="0,0,0,0">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2</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77099008">
              <wp:simplePos x="0" y="0"/>
              <wp:positionH relativeFrom="page">
                <wp:posOffset>3616350</wp:posOffset>
              </wp:positionH>
              <wp:positionV relativeFrom="page">
                <wp:posOffset>10483713</wp:posOffset>
              </wp:positionV>
              <wp:extent cx="327660" cy="116205"/>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327660" cy="116205"/>
                      </a:xfrm>
                      <a:prstGeom prst="rect">
                        <a:avLst/>
                      </a:prstGeom>
                    </wps:spPr>
                    <wps:txbx>
                      <w:txbxContent>
                        <w:p>
                          <w:pPr>
                            <w:spacing w:before="23"/>
                            <w:ind w:left="20" w:right="0" w:firstLine="0"/>
                            <w:jc w:val="left"/>
                            <w:rPr>
                              <w:sz w:val="12"/>
                            </w:rPr>
                          </w:pPr>
                          <w:r>
                            <w:rPr>
                              <w:w w:val="105"/>
                              <w:sz w:val="12"/>
                            </w:rPr>
                            <w:t>Page</w:t>
                          </w:r>
                          <w:r>
                            <w:rPr>
                              <w:spacing w:val="3"/>
                              <w:w w:val="105"/>
                              <w:sz w:val="12"/>
                            </w:rPr>
                            <w:t> </w:t>
                          </w:r>
                          <w:r>
                            <w:rPr>
                              <w:spacing w:val="-5"/>
                              <w:w w:val="105"/>
                              <w:sz w:val="12"/>
                            </w:rPr>
                            <w:t>30</w:t>
                          </w:r>
                        </w:p>
                      </w:txbxContent>
                    </wps:txbx>
                    <wps:bodyPr wrap="square" lIns="0" tIns="0" rIns="0" bIns="0" rtlCol="0">
                      <a:noAutofit/>
                    </wps:bodyPr>
                  </wps:wsp>
                </a:graphicData>
              </a:graphic>
            </wp:anchor>
          </w:drawing>
        </mc:Choice>
        <mc:Fallback>
          <w:pict>
            <v:shape style="position:absolute;margin-left:284.752014pt;margin-top:825.489258pt;width:25.8pt;height:9.15pt;mso-position-horizontal-relative:page;mso-position-vertical-relative:page;z-index:-26217472" type="#_x0000_t202" id="docshape129" filled="false" stroked="false">
              <v:textbox inset="0,0,0,0">
                <w:txbxContent>
                  <w:p>
                    <w:pPr>
                      <w:spacing w:before="23"/>
                      <w:ind w:left="20" w:right="0" w:firstLine="0"/>
                      <w:jc w:val="left"/>
                      <w:rPr>
                        <w:sz w:val="12"/>
                      </w:rPr>
                    </w:pPr>
                    <w:r>
                      <w:rPr>
                        <w:w w:val="105"/>
                        <w:sz w:val="12"/>
                      </w:rPr>
                      <w:t>Page</w:t>
                    </w:r>
                    <w:r>
                      <w:rPr>
                        <w:spacing w:val="3"/>
                        <w:w w:val="105"/>
                        <w:sz w:val="12"/>
                      </w:rPr>
                      <w:t> </w:t>
                    </w:r>
                    <w:r>
                      <w:rPr>
                        <w:spacing w:val="-5"/>
                        <w:w w:val="105"/>
                        <w:sz w:val="12"/>
                      </w:rPr>
                      <w:t>30</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099520">
          <wp:simplePos x="0" y="0"/>
          <wp:positionH relativeFrom="page">
            <wp:posOffset>3477450</wp:posOffset>
          </wp:positionH>
          <wp:positionV relativeFrom="page">
            <wp:posOffset>10471778</wp:posOffset>
          </wp:positionV>
          <wp:extent cx="604774" cy="136074"/>
          <wp:effectExtent l="0" t="0" r="0" b="0"/>
          <wp:wrapNone/>
          <wp:docPr id="197" name="Image 197"/>
          <wp:cNvGraphicFramePr>
            <a:graphicFrameLocks/>
          </wp:cNvGraphicFramePr>
          <a:graphic>
            <a:graphicData uri="http://schemas.openxmlformats.org/drawingml/2006/picture">
              <pic:pic>
                <pic:nvPicPr>
                  <pic:cNvPr id="197" name="Image 197"/>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0032">
              <wp:simplePos x="0" y="0"/>
              <wp:positionH relativeFrom="page">
                <wp:posOffset>3456051</wp:posOffset>
              </wp:positionH>
              <wp:positionV relativeFrom="page">
                <wp:posOffset>10188257</wp:posOffset>
              </wp:positionV>
              <wp:extent cx="645795" cy="16510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645795" cy="165100"/>
                      </a:xfrm>
                      <a:prstGeom prst="rect">
                        <a:avLst/>
                      </a:prstGeom>
                    </wps:spPr>
                    <wps:txbx>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3</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wps:txbx>
                    <wps:bodyPr wrap="square" lIns="0" tIns="0" rIns="0" bIns="0" rtlCol="0">
                      <a:noAutofit/>
                    </wps:bodyPr>
                  </wps:wsp>
                </a:graphicData>
              </a:graphic>
            </wp:anchor>
          </w:drawing>
        </mc:Choice>
        <mc:Fallback>
          <w:pict>
            <v:shape style="position:absolute;margin-left:272.130005pt;margin-top:802.224976pt;width:50.85pt;height:13pt;mso-position-horizontal-relative:page;mso-position-vertical-relative:page;z-index:-26216448" type="#_x0000_t202" id="docshape130" filled="false" stroked="false">
              <v:textbox inset="0,0,0,0">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3</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77100544">
              <wp:simplePos x="0" y="0"/>
              <wp:positionH relativeFrom="page">
                <wp:posOffset>3616350</wp:posOffset>
              </wp:positionH>
              <wp:positionV relativeFrom="page">
                <wp:posOffset>10483713</wp:posOffset>
              </wp:positionV>
              <wp:extent cx="327660" cy="116205"/>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327660" cy="116205"/>
                      </a:xfrm>
                      <a:prstGeom prst="rect">
                        <a:avLst/>
                      </a:prstGeom>
                    </wps:spPr>
                    <wps:txbx>
                      <w:txbxContent>
                        <w:p>
                          <w:pPr>
                            <w:spacing w:before="23"/>
                            <w:ind w:left="20" w:right="0" w:firstLine="0"/>
                            <w:jc w:val="left"/>
                            <w:rPr>
                              <w:sz w:val="12"/>
                            </w:rPr>
                          </w:pPr>
                          <w:r>
                            <w:rPr>
                              <w:w w:val="105"/>
                              <w:sz w:val="12"/>
                            </w:rPr>
                            <w:t>Page</w:t>
                          </w:r>
                          <w:r>
                            <w:rPr>
                              <w:spacing w:val="3"/>
                              <w:w w:val="105"/>
                              <w:sz w:val="12"/>
                            </w:rPr>
                            <w:t> </w:t>
                          </w:r>
                          <w:r>
                            <w:rPr>
                              <w:spacing w:val="-5"/>
                              <w:w w:val="105"/>
                              <w:sz w:val="12"/>
                            </w:rPr>
                            <w:t>31</w:t>
                          </w:r>
                        </w:p>
                      </w:txbxContent>
                    </wps:txbx>
                    <wps:bodyPr wrap="square" lIns="0" tIns="0" rIns="0" bIns="0" rtlCol="0">
                      <a:noAutofit/>
                    </wps:bodyPr>
                  </wps:wsp>
                </a:graphicData>
              </a:graphic>
            </wp:anchor>
          </w:drawing>
        </mc:Choice>
        <mc:Fallback>
          <w:pict>
            <v:shape style="position:absolute;margin-left:284.752014pt;margin-top:825.489258pt;width:25.8pt;height:9.15pt;mso-position-horizontal-relative:page;mso-position-vertical-relative:page;z-index:-26215936" type="#_x0000_t202" id="docshape131" filled="false" stroked="false">
              <v:textbox inset="0,0,0,0">
                <w:txbxContent>
                  <w:p>
                    <w:pPr>
                      <w:spacing w:before="23"/>
                      <w:ind w:left="20" w:right="0" w:firstLine="0"/>
                      <w:jc w:val="left"/>
                      <w:rPr>
                        <w:sz w:val="12"/>
                      </w:rPr>
                    </w:pPr>
                    <w:r>
                      <w:rPr>
                        <w:w w:val="105"/>
                        <w:sz w:val="12"/>
                      </w:rPr>
                      <w:t>Page</w:t>
                    </w:r>
                    <w:r>
                      <w:rPr>
                        <w:spacing w:val="3"/>
                        <w:w w:val="105"/>
                        <w:sz w:val="12"/>
                      </w:rPr>
                      <w:t> </w:t>
                    </w:r>
                    <w:r>
                      <w:rPr>
                        <w:spacing w:val="-5"/>
                        <w:w w:val="105"/>
                        <w:sz w:val="12"/>
                      </w:rPr>
                      <w:t>31</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01056">
          <wp:simplePos x="0" y="0"/>
          <wp:positionH relativeFrom="page">
            <wp:posOffset>3477450</wp:posOffset>
          </wp:positionH>
          <wp:positionV relativeFrom="page">
            <wp:posOffset>10471778</wp:posOffset>
          </wp:positionV>
          <wp:extent cx="604774" cy="136074"/>
          <wp:effectExtent l="0" t="0" r="0" b="0"/>
          <wp:wrapNone/>
          <wp:docPr id="203" name="Image 203"/>
          <wp:cNvGraphicFramePr>
            <a:graphicFrameLocks/>
          </wp:cNvGraphicFramePr>
          <a:graphic>
            <a:graphicData uri="http://schemas.openxmlformats.org/drawingml/2006/picture">
              <pic:pic>
                <pic:nvPicPr>
                  <pic:cNvPr id="203" name="Image 203"/>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1568">
              <wp:simplePos x="0" y="0"/>
              <wp:positionH relativeFrom="page">
                <wp:posOffset>3456051</wp:posOffset>
              </wp:positionH>
              <wp:positionV relativeFrom="page">
                <wp:posOffset>10188257</wp:posOffset>
              </wp:positionV>
              <wp:extent cx="645795" cy="16510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645795" cy="165100"/>
                      </a:xfrm>
                      <a:prstGeom prst="rect">
                        <a:avLst/>
                      </a:prstGeom>
                    </wps:spPr>
                    <wps:txbx>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4</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wps:txbx>
                    <wps:bodyPr wrap="square" lIns="0" tIns="0" rIns="0" bIns="0" rtlCol="0">
                      <a:noAutofit/>
                    </wps:bodyPr>
                  </wps:wsp>
                </a:graphicData>
              </a:graphic>
            </wp:anchor>
          </w:drawing>
        </mc:Choice>
        <mc:Fallback>
          <w:pict>
            <v:shape style="position:absolute;margin-left:272.130005pt;margin-top:802.224976pt;width:50.85pt;height:13pt;mso-position-horizontal-relative:page;mso-position-vertical-relative:page;z-index:-26214912" type="#_x0000_t202" id="docshape133" filled="false" stroked="false">
              <v:textbox inset="0,0,0,0">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4</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77102080">
              <wp:simplePos x="0" y="0"/>
              <wp:positionH relativeFrom="page">
                <wp:posOffset>3616350</wp:posOffset>
              </wp:positionH>
              <wp:positionV relativeFrom="page">
                <wp:posOffset>10483713</wp:posOffset>
              </wp:positionV>
              <wp:extent cx="327660" cy="116205"/>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327660" cy="116205"/>
                      </a:xfrm>
                      <a:prstGeom prst="rect">
                        <a:avLst/>
                      </a:prstGeom>
                    </wps:spPr>
                    <wps:txbx>
                      <w:txbxContent>
                        <w:p>
                          <w:pPr>
                            <w:spacing w:before="23"/>
                            <w:ind w:left="20" w:right="0" w:firstLine="0"/>
                            <w:jc w:val="left"/>
                            <w:rPr>
                              <w:sz w:val="12"/>
                            </w:rPr>
                          </w:pPr>
                          <w:r>
                            <w:rPr>
                              <w:w w:val="105"/>
                              <w:sz w:val="12"/>
                            </w:rPr>
                            <w:t>Page</w:t>
                          </w:r>
                          <w:r>
                            <w:rPr>
                              <w:spacing w:val="3"/>
                              <w:w w:val="105"/>
                              <w:sz w:val="12"/>
                            </w:rPr>
                            <w:t> </w:t>
                          </w:r>
                          <w:r>
                            <w:rPr>
                              <w:spacing w:val="-5"/>
                              <w:w w:val="105"/>
                              <w:sz w:val="12"/>
                            </w:rPr>
                            <w:t>32</w:t>
                          </w:r>
                        </w:p>
                      </w:txbxContent>
                    </wps:txbx>
                    <wps:bodyPr wrap="square" lIns="0" tIns="0" rIns="0" bIns="0" rtlCol="0">
                      <a:noAutofit/>
                    </wps:bodyPr>
                  </wps:wsp>
                </a:graphicData>
              </a:graphic>
            </wp:anchor>
          </w:drawing>
        </mc:Choice>
        <mc:Fallback>
          <w:pict>
            <v:shape style="position:absolute;margin-left:284.752014pt;margin-top:825.489258pt;width:25.8pt;height:9.15pt;mso-position-horizontal-relative:page;mso-position-vertical-relative:page;z-index:-26214400" type="#_x0000_t202" id="docshape134" filled="false" stroked="false">
              <v:textbox inset="0,0,0,0">
                <w:txbxContent>
                  <w:p>
                    <w:pPr>
                      <w:spacing w:before="23"/>
                      <w:ind w:left="20" w:right="0" w:firstLine="0"/>
                      <w:jc w:val="left"/>
                      <w:rPr>
                        <w:sz w:val="12"/>
                      </w:rPr>
                    </w:pPr>
                    <w:r>
                      <w:rPr>
                        <w:w w:val="105"/>
                        <w:sz w:val="12"/>
                      </w:rPr>
                      <w:t>Page</w:t>
                    </w:r>
                    <w:r>
                      <w:rPr>
                        <w:spacing w:val="3"/>
                        <w:w w:val="105"/>
                        <w:sz w:val="12"/>
                      </w:rPr>
                      <w:t> </w:t>
                    </w:r>
                    <w:r>
                      <w:rPr>
                        <w:spacing w:val="-5"/>
                        <w:w w:val="105"/>
                        <w:sz w:val="12"/>
                      </w:rPr>
                      <w:t>32</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02592">
          <wp:simplePos x="0" y="0"/>
          <wp:positionH relativeFrom="page">
            <wp:posOffset>3477450</wp:posOffset>
          </wp:positionH>
          <wp:positionV relativeFrom="page">
            <wp:posOffset>10471778</wp:posOffset>
          </wp:positionV>
          <wp:extent cx="604774" cy="136074"/>
          <wp:effectExtent l="0" t="0" r="0" b="0"/>
          <wp:wrapNone/>
          <wp:docPr id="208" name="Image 208"/>
          <wp:cNvGraphicFramePr>
            <a:graphicFrameLocks/>
          </wp:cNvGraphicFramePr>
          <a:graphic>
            <a:graphicData uri="http://schemas.openxmlformats.org/drawingml/2006/picture">
              <pic:pic>
                <pic:nvPicPr>
                  <pic:cNvPr id="208" name="Image 208"/>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3104">
              <wp:simplePos x="0" y="0"/>
              <wp:positionH relativeFrom="page">
                <wp:posOffset>3456051</wp:posOffset>
              </wp:positionH>
              <wp:positionV relativeFrom="page">
                <wp:posOffset>10188257</wp:posOffset>
              </wp:positionV>
              <wp:extent cx="645795" cy="16510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645795" cy="165100"/>
                      </a:xfrm>
                      <a:prstGeom prst="rect">
                        <a:avLst/>
                      </a:prstGeom>
                    </wps:spPr>
                    <wps:txbx>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5</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wps:txbx>
                    <wps:bodyPr wrap="square" lIns="0" tIns="0" rIns="0" bIns="0" rtlCol="0">
                      <a:noAutofit/>
                    </wps:bodyPr>
                  </wps:wsp>
                </a:graphicData>
              </a:graphic>
            </wp:anchor>
          </w:drawing>
        </mc:Choice>
        <mc:Fallback>
          <w:pict>
            <v:shape style="position:absolute;margin-left:272.130005pt;margin-top:802.224976pt;width:50.85pt;height:13pt;mso-position-horizontal-relative:page;mso-position-vertical-relative:page;z-index:-26213376" type="#_x0000_t202" id="docshape135" filled="false" stroked="false">
              <v:textbox inset="0,0,0,0">
                <w:txbxContent>
                  <w:p>
                    <w:pPr>
                      <w:spacing w:line="244"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5</w:t>
                    </w:r>
                    <w:r>
                      <w:rPr>
                        <w:rFonts w:ascii="Calibri"/>
                        <w:b/>
                        <w:sz w:val="22"/>
                      </w:rPr>
                      <w:fldChar w:fldCharType="end"/>
                    </w:r>
                    <w:r>
                      <w:rPr>
                        <w:rFonts w:ascii="Calibri"/>
                        <w:b/>
                        <w:spacing w:val="-5"/>
                        <w:sz w:val="22"/>
                      </w:rPr>
                      <w:t> </w:t>
                    </w:r>
                    <w:r>
                      <w:rPr>
                        <w:rFonts w:ascii="Calibri"/>
                        <w:sz w:val="22"/>
                      </w:rPr>
                      <w:t>of</w:t>
                    </w:r>
                    <w:r>
                      <w:rPr>
                        <w:rFonts w:ascii="Calibri"/>
                        <w:spacing w:val="-4"/>
                        <w:sz w:val="22"/>
                      </w:rPr>
                      <w:t> </w:t>
                    </w:r>
                    <w:r>
                      <w:rPr>
                        <w:rFonts w:ascii="Calibri"/>
                        <w:b/>
                        <w:spacing w:val="-10"/>
                        <w:sz w:val="22"/>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77103616">
              <wp:simplePos x="0" y="0"/>
              <wp:positionH relativeFrom="page">
                <wp:posOffset>3616350</wp:posOffset>
              </wp:positionH>
              <wp:positionV relativeFrom="page">
                <wp:posOffset>10483713</wp:posOffset>
              </wp:positionV>
              <wp:extent cx="327660" cy="116205"/>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327660" cy="116205"/>
                      </a:xfrm>
                      <a:prstGeom prst="rect">
                        <a:avLst/>
                      </a:prstGeom>
                    </wps:spPr>
                    <wps:txbx>
                      <w:txbxContent>
                        <w:p>
                          <w:pPr>
                            <w:spacing w:before="23"/>
                            <w:ind w:left="20" w:right="0" w:firstLine="0"/>
                            <w:jc w:val="left"/>
                            <w:rPr>
                              <w:sz w:val="12"/>
                            </w:rPr>
                          </w:pPr>
                          <w:r>
                            <w:rPr>
                              <w:w w:val="105"/>
                              <w:sz w:val="12"/>
                            </w:rPr>
                            <w:t>Page</w:t>
                          </w:r>
                          <w:r>
                            <w:rPr>
                              <w:spacing w:val="3"/>
                              <w:w w:val="105"/>
                              <w:sz w:val="12"/>
                            </w:rPr>
                            <w:t> </w:t>
                          </w:r>
                          <w:r>
                            <w:rPr>
                              <w:spacing w:val="-5"/>
                              <w:w w:val="105"/>
                              <w:sz w:val="12"/>
                            </w:rPr>
                            <w:t>33</w:t>
                          </w:r>
                        </w:p>
                      </w:txbxContent>
                    </wps:txbx>
                    <wps:bodyPr wrap="square" lIns="0" tIns="0" rIns="0" bIns="0" rtlCol="0">
                      <a:noAutofit/>
                    </wps:bodyPr>
                  </wps:wsp>
                </a:graphicData>
              </a:graphic>
            </wp:anchor>
          </w:drawing>
        </mc:Choice>
        <mc:Fallback>
          <w:pict>
            <v:shape style="position:absolute;margin-left:284.752014pt;margin-top:825.489258pt;width:25.8pt;height:9.15pt;mso-position-horizontal-relative:page;mso-position-vertical-relative:page;z-index:-26212864" type="#_x0000_t202" id="docshape136" filled="false" stroked="false">
              <v:textbox inset="0,0,0,0">
                <w:txbxContent>
                  <w:p>
                    <w:pPr>
                      <w:spacing w:before="23"/>
                      <w:ind w:left="20" w:right="0" w:firstLine="0"/>
                      <w:jc w:val="left"/>
                      <w:rPr>
                        <w:sz w:val="12"/>
                      </w:rPr>
                    </w:pPr>
                    <w:r>
                      <w:rPr>
                        <w:w w:val="105"/>
                        <w:sz w:val="12"/>
                      </w:rPr>
                      <w:t>Page</w:t>
                    </w:r>
                    <w:r>
                      <w:rPr>
                        <w:spacing w:val="3"/>
                        <w:w w:val="105"/>
                        <w:sz w:val="12"/>
                      </w:rPr>
                      <w:t> </w:t>
                    </w:r>
                    <w:r>
                      <w:rPr>
                        <w:spacing w:val="-5"/>
                        <w:w w:val="105"/>
                        <w:sz w:val="12"/>
                      </w:rPr>
                      <w:t>33</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04128">
          <wp:simplePos x="0" y="0"/>
          <wp:positionH relativeFrom="page">
            <wp:posOffset>3575303</wp:posOffset>
          </wp:positionH>
          <wp:positionV relativeFrom="page">
            <wp:posOffset>9838029</wp:posOffset>
          </wp:positionV>
          <wp:extent cx="621791" cy="139903"/>
          <wp:effectExtent l="0" t="0" r="0" b="0"/>
          <wp:wrapNone/>
          <wp:docPr id="213" name="Image 213"/>
          <wp:cNvGraphicFramePr>
            <a:graphicFrameLocks/>
          </wp:cNvGraphicFramePr>
          <a:graphic>
            <a:graphicData uri="http://schemas.openxmlformats.org/drawingml/2006/picture">
              <pic:pic>
                <pic:nvPicPr>
                  <pic:cNvPr id="213" name="Image 213"/>
                  <pic:cNvPicPr/>
                </pic:nvPicPr>
                <pic:blipFill>
                  <a:blip r:embed="rId1" cstate="print"/>
                  <a:stretch>
                    <a:fillRect/>
                  </a:stretch>
                </pic:blipFill>
                <pic:spPr>
                  <a:xfrm>
                    <a:off x="0" y="0"/>
                    <a:ext cx="621791" cy="13990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4640">
              <wp:simplePos x="0" y="0"/>
              <wp:positionH relativeFrom="page">
                <wp:posOffset>3718268</wp:posOffset>
              </wp:positionH>
              <wp:positionV relativeFrom="page">
                <wp:posOffset>9852414</wp:posOffset>
              </wp:positionV>
              <wp:extent cx="374015" cy="118745"/>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374015" cy="118745"/>
                      </a:xfrm>
                      <a:prstGeom prst="rect">
                        <a:avLst/>
                      </a:prstGeom>
                    </wps:spPr>
                    <wps:txbx>
                      <w:txbxContent>
                        <w:p>
                          <w:pPr>
                            <w:spacing w:before="17"/>
                            <w:ind w:left="20" w:right="0" w:firstLine="0"/>
                            <w:jc w:val="left"/>
                            <w:rPr>
                              <w:sz w:val="13"/>
                            </w:rPr>
                          </w:pPr>
                          <w:r>
                            <w:rPr>
                              <w:sz w:val="13"/>
                            </w:rPr>
                            <w:t>Page </w:t>
                          </w:r>
                          <w:r>
                            <w:rPr>
                              <w:spacing w:val="-5"/>
                              <w:sz w:val="13"/>
                            </w:rPr>
                            <w:fldChar w:fldCharType="begin"/>
                          </w:r>
                          <w:r>
                            <w:rPr>
                              <w:spacing w:val="-5"/>
                              <w:sz w:val="13"/>
                            </w:rPr>
                            <w:instrText> PAGE </w:instrText>
                          </w:r>
                          <w:r>
                            <w:rPr>
                              <w:spacing w:val="-5"/>
                              <w:sz w:val="13"/>
                            </w:rPr>
                            <w:fldChar w:fldCharType="separate"/>
                          </w:r>
                          <w:r>
                            <w:rPr>
                              <w:spacing w:val="-5"/>
                              <w:sz w:val="13"/>
                            </w:rPr>
                            <w:t>34</w:t>
                          </w:r>
                          <w:r>
                            <w:rPr>
                              <w:spacing w:val="-5"/>
                              <w:sz w:val="13"/>
                            </w:rPr>
                            <w:fldChar w:fldCharType="end"/>
                          </w:r>
                        </w:p>
                      </w:txbxContent>
                    </wps:txbx>
                    <wps:bodyPr wrap="square" lIns="0" tIns="0" rIns="0" bIns="0" rtlCol="0">
                      <a:noAutofit/>
                    </wps:bodyPr>
                  </wps:wsp>
                </a:graphicData>
              </a:graphic>
            </wp:anchor>
          </w:drawing>
        </mc:Choice>
        <mc:Fallback>
          <w:pict>
            <v:shape style="position:absolute;margin-left:292.777008pt;margin-top:775.780701pt;width:29.45pt;height:9.35pt;mso-position-horizontal-relative:page;mso-position-vertical-relative:page;z-index:-26211840" type="#_x0000_t202" id="docshape137" filled="false" stroked="false">
              <v:textbox inset="0,0,0,0">
                <w:txbxContent>
                  <w:p>
                    <w:pPr>
                      <w:spacing w:before="17"/>
                      <w:ind w:left="20" w:right="0" w:firstLine="0"/>
                      <w:jc w:val="left"/>
                      <w:rPr>
                        <w:sz w:val="13"/>
                      </w:rPr>
                    </w:pPr>
                    <w:r>
                      <w:rPr>
                        <w:sz w:val="13"/>
                      </w:rPr>
                      <w:t>Page </w:t>
                    </w:r>
                    <w:r>
                      <w:rPr>
                        <w:spacing w:val="-5"/>
                        <w:sz w:val="13"/>
                      </w:rPr>
                      <w:fldChar w:fldCharType="begin"/>
                    </w:r>
                    <w:r>
                      <w:rPr>
                        <w:spacing w:val="-5"/>
                        <w:sz w:val="13"/>
                      </w:rPr>
                      <w:instrText> PAGE </w:instrText>
                    </w:r>
                    <w:r>
                      <w:rPr>
                        <w:spacing w:val="-5"/>
                        <w:sz w:val="13"/>
                      </w:rPr>
                      <w:fldChar w:fldCharType="separate"/>
                    </w:r>
                    <w:r>
                      <w:rPr>
                        <w:spacing w:val="-5"/>
                        <w:sz w:val="13"/>
                      </w:rPr>
                      <w:t>34</w:t>
                    </w:r>
                    <w:r>
                      <w:rPr>
                        <w:spacing w:val="-5"/>
                        <w:sz w:val="13"/>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05152">
          <wp:simplePos x="0" y="0"/>
          <wp:positionH relativeFrom="page">
            <wp:posOffset>4917503</wp:posOffset>
          </wp:positionH>
          <wp:positionV relativeFrom="page">
            <wp:posOffset>7309922</wp:posOffset>
          </wp:positionV>
          <wp:extent cx="855217" cy="192424"/>
          <wp:effectExtent l="0" t="0" r="0" b="0"/>
          <wp:wrapNone/>
          <wp:docPr id="265" name="Image 265"/>
          <wp:cNvGraphicFramePr>
            <a:graphicFrameLocks/>
          </wp:cNvGraphicFramePr>
          <a:graphic>
            <a:graphicData uri="http://schemas.openxmlformats.org/drawingml/2006/picture">
              <pic:pic>
                <pic:nvPicPr>
                  <pic:cNvPr id="265" name="Image 265"/>
                  <pic:cNvPicPr/>
                </pic:nvPicPr>
                <pic:blipFill>
                  <a:blip r:embed="rId1" cstate="print"/>
                  <a:stretch>
                    <a:fillRect/>
                  </a:stretch>
                </pic:blipFill>
                <pic:spPr>
                  <a:xfrm>
                    <a:off x="0" y="0"/>
                    <a:ext cx="855217" cy="19242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5664">
              <wp:simplePos x="0" y="0"/>
              <wp:positionH relativeFrom="page">
                <wp:posOffset>5118785</wp:posOffset>
              </wp:positionH>
              <wp:positionV relativeFrom="page">
                <wp:posOffset>7346946</wp:posOffset>
              </wp:positionV>
              <wp:extent cx="490855" cy="153670"/>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a:off x="0" y="0"/>
                        <a:ext cx="490855" cy="153670"/>
                      </a:xfrm>
                      <a:prstGeom prst="rect">
                        <a:avLst/>
                      </a:prstGeom>
                    </wps:spPr>
                    <wps:txbx>
                      <w:txbxContent>
                        <w:p>
                          <w:pPr>
                            <w:spacing w:before="14"/>
                            <w:ind w:left="20" w:right="0" w:firstLine="0"/>
                            <w:jc w:val="left"/>
                            <w:rPr>
                              <w:sz w:val="18"/>
                            </w:rPr>
                          </w:pPr>
                          <w:r>
                            <w:rPr>
                              <w:sz w:val="18"/>
                            </w:rPr>
                            <w:t>Page </w:t>
                          </w:r>
                          <w:r>
                            <w:rPr>
                              <w:spacing w:val="-5"/>
                              <w:sz w:val="18"/>
                            </w:rPr>
                            <w:fldChar w:fldCharType="begin"/>
                          </w:r>
                          <w:r>
                            <w:rPr>
                              <w:spacing w:val="-5"/>
                              <w:sz w:val="18"/>
                            </w:rPr>
                            <w:instrText> PAGE </w:instrText>
                          </w:r>
                          <w:r>
                            <w:rPr>
                              <w:spacing w:val="-5"/>
                              <w:sz w:val="18"/>
                            </w:rPr>
                            <w:fldChar w:fldCharType="separate"/>
                          </w:r>
                          <w:r>
                            <w:rPr>
                              <w:spacing w:val="-5"/>
                              <w:sz w:val="18"/>
                            </w:rPr>
                            <w:t>67</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403.053986pt;margin-top:578.499756pt;width:38.65pt;height:12.1pt;mso-position-horizontal-relative:page;mso-position-vertical-relative:page;z-index:-26210816" type="#_x0000_t202" id="docshape148" filled="false" stroked="false">
              <v:textbox inset="0,0,0,0">
                <w:txbxContent>
                  <w:p>
                    <w:pPr>
                      <w:spacing w:before="14"/>
                      <w:ind w:left="20" w:right="0" w:firstLine="0"/>
                      <w:jc w:val="left"/>
                      <w:rPr>
                        <w:sz w:val="18"/>
                      </w:rPr>
                    </w:pPr>
                    <w:r>
                      <w:rPr>
                        <w:sz w:val="18"/>
                      </w:rPr>
                      <w:t>Page </w:t>
                    </w:r>
                    <w:r>
                      <w:rPr>
                        <w:spacing w:val="-5"/>
                        <w:sz w:val="18"/>
                      </w:rPr>
                      <w:fldChar w:fldCharType="begin"/>
                    </w:r>
                    <w:r>
                      <w:rPr>
                        <w:spacing w:val="-5"/>
                        <w:sz w:val="18"/>
                      </w:rPr>
                      <w:instrText> PAGE </w:instrText>
                    </w:r>
                    <w:r>
                      <w:rPr>
                        <w:spacing w:val="-5"/>
                        <w:sz w:val="18"/>
                      </w:rPr>
                      <w:fldChar w:fldCharType="separate"/>
                    </w:r>
                    <w:r>
                      <w:rPr>
                        <w:spacing w:val="-5"/>
                        <w:sz w:val="18"/>
                      </w:rPr>
                      <w:t>67</w:t>
                    </w:r>
                    <w:r>
                      <w:rPr>
                        <w:spacing w:val="-5"/>
                        <w:sz w:val="18"/>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06176">
          <wp:simplePos x="0" y="0"/>
          <wp:positionH relativeFrom="page">
            <wp:posOffset>3477450</wp:posOffset>
          </wp:positionH>
          <wp:positionV relativeFrom="page">
            <wp:posOffset>10471778</wp:posOffset>
          </wp:positionV>
          <wp:extent cx="604774" cy="136074"/>
          <wp:effectExtent l="0" t="0" r="0" b="0"/>
          <wp:wrapNone/>
          <wp:docPr id="281" name="Image 281"/>
          <wp:cNvGraphicFramePr>
            <a:graphicFrameLocks/>
          </wp:cNvGraphicFramePr>
          <a:graphic>
            <a:graphicData uri="http://schemas.openxmlformats.org/drawingml/2006/picture">
              <pic:pic>
                <pic:nvPicPr>
                  <pic:cNvPr id="281" name="Image 281"/>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6688">
              <wp:simplePos x="0" y="0"/>
              <wp:positionH relativeFrom="page">
                <wp:posOffset>3616350</wp:posOffset>
              </wp:positionH>
              <wp:positionV relativeFrom="page">
                <wp:posOffset>10483713</wp:posOffset>
              </wp:positionV>
              <wp:extent cx="365125" cy="116205"/>
              <wp:effectExtent l="0" t="0" r="0" b="0"/>
              <wp:wrapNone/>
              <wp:docPr id="282" name="Textbox 282"/>
              <wp:cNvGraphicFramePr>
                <a:graphicFrameLocks/>
              </wp:cNvGraphicFramePr>
              <a:graphic>
                <a:graphicData uri="http://schemas.microsoft.com/office/word/2010/wordprocessingShape">
                  <wps:wsp>
                    <wps:cNvPr id="282" name="Textbox 282"/>
                    <wps:cNvSpPr txBox="1"/>
                    <wps:spPr>
                      <a:xfrm>
                        <a:off x="0" y="0"/>
                        <a:ext cx="365125" cy="116205"/>
                      </a:xfrm>
                      <a:prstGeom prst="rect">
                        <a:avLst/>
                      </a:prstGeom>
                    </wps:spPr>
                    <wps:txbx>
                      <w:txbxContent>
                        <w:p>
                          <w:pPr>
                            <w:spacing w:before="35"/>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100</w:t>
                          </w:r>
                          <w:r>
                            <w:rPr>
                              <w:spacing w:val="-5"/>
                              <w:sz w:val="11"/>
                            </w:rPr>
                            <w:fldChar w:fldCharType="end"/>
                          </w:r>
                        </w:p>
                      </w:txbxContent>
                    </wps:txbx>
                    <wps:bodyPr wrap="square" lIns="0" tIns="0" rIns="0" bIns="0" rtlCol="0">
                      <a:noAutofit/>
                    </wps:bodyPr>
                  </wps:wsp>
                </a:graphicData>
              </a:graphic>
            </wp:anchor>
          </w:drawing>
        </mc:Choice>
        <mc:Fallback>
          <w:pict>
            <v:shape style="position:absolute;margin-left:284.752014pt;margin-top:825.489258pt;width:28.75pt;height:9.15pt;mso-position-horizontal-relative:page;mso-position-vertical-relative:page;z-index:-26209792" type="#_x0000_t202" id="docshape149" filled="false" stroked="false">
              <v:textbox inset="0,0,0,0">
                <w:txbxContent>
                  <w:p>
                    <w:pPr>
                      <w:spacing w:before="35"/>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100</w:t>
                    </w:r>
                    <w:r>
                      <w:rPr>
                        <w:spacing w:val="-5"/>
                        <w:sz w:val="11"/>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07200">
          <wp:simplePos x="0" y="0"/>
          <wp:positionH relativeFrom="page">
            <wp:posOffset>4917503</wp:posOffset>
          </wp:positionH>
          <wp:positionV relativeFrom="page">
            <wp:posOffset>7309922</wp:posOffset>
          </wp:positionV>
          <wp:extent cx="855217" cy="192424"/>
          <wp:effectExtent l="0" t="0" r="0" b="0"/>
          <wp:wrapNone/>
          <wp:docPr id="363" name="Image 363"/>
          <wp:cNvGraphicFramePr>
            <a:graphicFrameLocks/>
          </wp:cNvGraphicFramePr>
          <a:graphic>
            <a:graphicData uri="http://schemas.openxmlformats.org/drawingml/2006/picture">
              <pic:pic>
                <pic:nvPicPr>
                  <pic:cNvPr id="363" name="Image 363"/>
                  <pic:cNvPicPr/>
                </pic:nvPicPr>
                <pic:blipFill>
                  <a:blip r:embed="rId1" cstate="print"/>
                  <a:stretch>
                    <a:fillRect/>
                  </a:stretch>
                </pic:blipFill>
                <pic:spPr>
                  <a:xfrm>
                    <a:off x="0" y="0"/>
                    <a:ext cx="855217" cy="19242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7712">
              <wp:simplePos x="0" y="0"/>
              <wp:positionH relativeFrom="page">
                <wp:posOffset>5119179</wp:posOffset>
              </wp:positionH>
              <wp:positionV relativeFrom="page">
                <wp:posOffset>7363721</wp:posOffset>
              </wp:positionV>
              <wp:extent cx="490220" cy="137160"/>
              <wp:effectExtent l="0" t="0" r="0" b="0"/>
              <wp:wrapNone/>
              <wp:docPr id="364" name="Textbox 364"/>
              <wp:cNvGraphicFramePr>
                <a:graphicFrameLocks/>
              </wp:cNvGraphicFramePr>
              <a:graphic>
                <a:graphicData uri="http://schemas.microsoft.com/office/word/2010/wordprocessingShape">
                  <wps:wsp>
                    <wps:cNvPr id="364" name="Textbox 364"/>
                    <wps:cNvSpPr txBox="1"/>
                    <wps:spPr>
                      <a:xfrm>
                        <a:off x="0" y="0"/>
                        <a:ext cx="490220" cy="137160"/>
                      </a:xfrm>
                      <a:prstGeom prst="rect">
                        <a:avLst/>
                      </a:prstGeom>
                    </wps:spPr>
                    <wps:txbx>
                      <w:txbxContent>
                        <w:p>
                          <w:pPr>
                            <w:spacing w:before="21"/>
                            <w:ind w:left="20" w:right="0" w:firstLine="0"/>
                            <w:jc w:val="left"/>
                            <w:rPr>
                              <w:sz w:val="15"/>
                            </w:rPr>
                          </w:pPr>
                          <w:r>
                            <w:rPr>
                              <w:w w:val="105"/>
                              <w:sz w:val="15"/>
                            </w:rPr>
                            <w:t>Page</w:t>
                          </w:r>
                          <w:r>
                            <w:rPr>
                              <w:spacing w:val="-5"/>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101</w:t>
                          </w:r>
                          <w:r>
                            <w:rPr>
                              <w:spacing w:val="-5"/>
                              <w:w w:val="105"/>
                              <w:sz w:val="15"/>
                            </w:rPr>
                            <w:fldChar w:fldCharType="end"/>
                          </w:r>
                        </w:p>
                      </w:txbxContent>
                    </wps:txbx>
                    <wps:bodyPr wrap="square" lIns="0" tIns="0" rIns="0" bIns="0" rtlCol="0">
                      <a:noAutofit/>
                    </wps:bodyPr>
                  </wps:wsp>
                </a:graphicData>
              </a:graphic>
            </wp:anchor>
          </w:drawing>
        </mc:Choice>
        <mc:Fallback>
          <w:pict>
            <v:shape style="position:absolute;margin-left:403.084991pt;margin-top:579.820618pt;width:38.6pt;height:10.8pt;mso-position-horizontal-relative:page;mso-position-vertical-relative:page;z-index:-26208768" type="#_x0000_t202" id="docshape184" filled="false" stroked="false">
              <v:textbox inset="0,0,0,0">
                <w:txbxContent>
                  <w:p>
                    <w:pPr>
                      <w:spacing w:before="21"/>
                      <w:ind w:left="20" w:right="0" w:firstLine="0"/>
                      <w:jc w:val="left"/>
                      <w:rPr>
                        <w:sz w:val="15"/>
                      </w:rPr>
                    </w:pPr>
                    <w:r>
                      <w:rPr>
                        <w:w w:val="105"/>
                        <w:sz w:val="15"/>
                      </w:rPr>
                      <w:t>Page</w:t>
                    </w:r>
                    <w:r>
                      <w:rPr>
                        <w:spacing w:val="-5"/>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101</w:t>
                    </w:r>
                    <w:r>
                      <w:rPr>
                        <w:spacing w:val="-5"/>
                        <w:w w:val="105"/>
                        <w:sz w:val="15"/>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08224">
          <wp:simplePos x="0" y="0"/>
          <wp:positionH relativeFrom="page">
            <wp:posOffset>3477450</wp:posOffset>
          </wp:positionH>
          <wp:positionV relativeFrom="page">
            <wp:posOffset>10471778</wp:posOffset>
          </wp:positionV>
          <wp:extent cx="604774" cy="136074"/>
          <wp:effectExtent l="0" t="0" r="0" b="0"/>
          <wp:wrapNone/>
          <wp:docPr id="368" name="Image 368"/>
          <wp:cNvGraphicFramePr>
            <a:graphicFrameLocks/>
          </wp:cNvGraphicFramePr>
          <a:graphic>
            <a:graphicData uri="http://schemas.openxmlformats.org/drawingml/2006/picture">
              <pic:pic>
                <pic:nvPicPr>
                  <pic:cNvPr id="368" name="Image 368"/>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8736">
              <wp:simplePos x="0" y="0"/>
              <wp:positionH relativeFrom="page">
                <wp:posOffset>3616350</wp:posOffset>
              </wp:positionH>
              <wp:positionV relativeFrom="page">
                <wp:posOffset>10495411</wp:posOffset>
              </wp:positionV>
              <wp:extent cx="365125" cy="104139"/>
              <wp:effectExtent l="0" t="0" r="0" b="0"/>
              <wp:wrapNone/>
              <wp:docPr id="369" name="Textbox 369"/>
              <wp:cNvGraphicFramePr>
                <a:graphicFrameLocks/>
              </wp:cNvGraphicFramePr>
              <a:graphic>
                <a:graphicData uri="http://schemas.microsoft.com/office/word/2010/wordprocessingShape">
                  <wps:wsp>
                    <wps:cNvPr id="369" name="Textbox 369"/>
                    <wps:cNvSpPr txBox="1"/>
                    <wps:spPr>
                      <a:xfrm>
                        <a:off x="0" y="0"/>
                        <a:ext cx="365125" cy="104139"/>
                      </a:xfrm>
                      <a:prstGeom prst="rect">
                        <a:avLst/>
                      </a:prstGeom>
                    </wps:spPr>
                    <wps:txbx>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107</w:t>
                          </w:r>
                          <w:r>
                            <w:rPr>
                              <w:spacing w:val="-5"/>
                              <w:sz w:val="11"/>
                            </w:rPr>
                            <w:fldChar w:fldCharType="end"/>
                          </w:r>
                        </w:p>
                      </w:txbxContent>
                    </wps:txbx>
                    <wps:bodyPr wrap="square" lIns="0" tIns="0" rIns="0" bIns="0" rtlCol="0">
                      <a:noAutofit/>
                    </wps:bodyPr>
                  </wps:wsp>
                </a:graphicData>
              </a:graphic>
            </wp:anchor>
          </w:drawing>
        </mc:Choice>
        <mc:Fallback>
          <w:pict>
            <v:shape style="position:absolute;margin-left:284.752014pt;margin-top:826.410339pt;width:28.75pt;height:8.2pt;mso-position-horizontal-relative:page;mso-position-vertical-relative:page;z-index:-26207744" type="#_x0000_t202" id="docshape188" filled="false" stroked="false">
              <v:textbox inset="0,0,0,0">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107</w:t>
                    </w:r>
                    <w:r>
                      <w:rPr>
                        <w:spacing w:val="-5"/>
                        <w:sz w:val="11"/>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09248">
          <wp:simplePos x="0" y="0"/>
          <wp:positionH relativeFrom="page">
            <wp:posOffset>4917503</wp:posOffset>
          </wp:positionH>
          <wp:positionV relativeFrom="page">
            <wp:posOffset>7309922</wp:posOffset>
          </wp:positionV>
          <wp:extent cx="855217" cy="192424"/>
          <wp:effectExtent l="0" t="0" r="0" b="0"/>
          <wp:wrapNone/>
          <wp:docPr id="383" name="Image 383"/>
          <wp:cNvGraphicFramePr>
            <a:graphicFrameLocks/>
          </wp:cNvGraphicFramePr>
          <a:graphic>
            <a:graphicData uri="http://schemas.openxmlformats.org/drawingml/2006/picture">
              <pic:pic>
                <pic:nvPicPr>
                  <pic:cNvPr id="383" name="Image 383"/>
                  <pic:cNvPicPr/>
                </pic:nvPicPr>
                <pic:blipFill>
                  <a:blip r:embed="rId1" cstate="print"/>
                  <a:stretch>
                    <a:fillRect/>
                  </a:stretch>
                </pic:blipFill>
                <pic:spPr>
                  <a:xfrm>
                    <a:off x="0" y="0"/>
                    <a:ext cx="855217" cy="19242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09760">
              <wp:simplePos x="0" y="0"/>
              <wp:positionH relativeFrom="page">
                <wp:posOffset>5119179</wp:posOffset>
              </wp:positionH>
              <wp:positionV relativeFrom="page">
                <wp:posOffset>7363721</wp:posOffset>
              </wp:positionV>
              <wp:extent cx="490220" cy="137160"/>
              <wp:effectExtent l="0" t="0" r="0" b="0"/>
              <wp:wrapNone/>
              <wp:docPr id="384" name="Textbox 384"/>
              <wp:cNvGraphicFramePr>
                <a:graphicFrameLocks/>
              </wp:cNvGraphicFramePr>
              <a:graphic>
                <a:graphicData uri="http://schemas.microsoft.com/office/word/2010/wordprocessingShape">
                  <wps:wsp>
                    <wps:cNvPr id="384" name="Textbox 384"/>
                    <wps:cNvSpPr txBox="1"/>
                    <wps:spPr>
                      <a:xfrm>
                        <a:off x="0" y="0"/>
                        <a:ext cx="490220" cy="137160"/>
                      </a:xfrm>
                      <a:prstGeom prst="rect">
                        <a:avLst/>
                      </a:prstGeom>
                    </wps:spPr>
                    <wps:txbx>
                      <w:txbxContent>
                        <w:p>
                          <w:pPr>
                            <w:spacing w:before="21"/>
                            <w:ind w:left="20" w:right="0" w:firstLine="0"/>
                            <w:jc w:val="left"/>
                            <w:rPr>
                              <w:sz w:val="15"/>
                            </w:rPr>
                          </w:pPr>
                          <w:r>
                            <w:rPr>
                              <w:w w:val="105"/>
                              <w:sz w:val="15"/>
                            </w:rPr>
                            <w:t>Page</w:t>
                          </w:r>
                          <w:r>
                            <w:rPr>
                              <w:spacing w:val="-5"/>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111</w:t>
                          </w:r>
                          <w:r>
                            <w:rPr>
                              <w:spacing w:val="-5"/>
                              <w:w w:val="105"/>
                              <w:sz w:val="15"/>
                            </w:rPr>
                            <w:fldChar w:fldCharType="end"/>
                          </w:r>
                        </w:p>
                      </w:txbxContent>
                    </wps:txbx>
                    <wps:bodyPr wrap="square" lIns="0" tIns="0" rIns="0" bIns="0" rtlCol="0">
                      <a:noAutofit/>
                    </wps:bodyPr>
                  </wps:wsp>
                </a:graphicData>
              </a:graphic>
            </wp:anchor>
          </w:drawing>
        </mc:Choice>
        <mc:Fallback>
          <w:pict>
            <v:shape style="position:absolute;margin-left:403.084991pt;margin-top:579.820618pt;width:38.6pt;height:10.8pt;mso-position-horizontal-relative:page;mso-position-vertical-relative:page;z-index:-26206720" type="#_x0000_t202" id="docshape196" filled="false" stroked="false">
              <v:textbox inset="0,0,0,0">
                <w:txbxContent>
                  <w:p>
                    <w:pPr>
                      <w:spacing w:before="21"/>
                      <w:ind w:left="20" w:right="0" w:firstLine="0"/>
                      <w:jc w:val="left"/>
                      <w:rPr>
                        <w:sz w:val="15"/>
                      </w:rPr>
                    </w:pPr>
                    <w:r>
                      <w:rPr>
                        <w:w w:val="105"/>
                        <w:sz w:val="15"/>
                      </w:rPr>
                      <w:t>Page</w:t>
                    </w:r>
                    <w:r>
                      <w:rPr>
                        <w:spacing w:val="-5"/>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111</w:t>
                    </w:r>
                    <w:r>
                      <w:rPr>
                        <w:spacing w:val="-5"/>
                        <w:w w:val="105"/>
                        <w:sz w:val="15"/>
                      </w:rPr>
                      <w:fldChar w:fldCharType="end"/>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0272">
          <wp:simplePos x="0" y="0"/>
          <wp:positionH relativeFrom="page">
            <wp:posOffset>3477450</wp:posOffset>
          </wp:positionH>
          <wp:positionV relativeFrom="page">
            <wp:posOffset>10471778</wp:posOffset>
          </wp:positionV>
          <wp:extent cx="604774" cy="136074"/>
          <wp:effectExtent l="0" t="0" r="0" b="0"/>
          <wp:wrapNone/>
          <wp:docPr id="397" name="Image 397"/>
          <wp:cNvGraphicFramePr>
            <a:graphicFrameLocks/>
          </wp:cNvGraphicFramePr>
          <a:graphic>
            <a:graphicData uri="http://schemas.openxmlformats.org/drawingml/2006/picture">
              <pic:pic>
                <pic:nvPicPr>
                  <pic:cNvPr id="397" name="Image 397"/>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10784">
              <wp:simplePos x="0" y="0"/>
              <wp:positionH relativeFrom="page">
                <wp:posOffset>3616350</wp:posOffset>
              </wp:positionH>
              <wp:positionV relativeFrom="page">
                <wp:posOffset>10495411</wp:posOffset>
              </wp:positionV>
              <wp:extent cx="365125" cy="104139"/>
              <wp:effectExtent l="0" t="0" r="0" b="0"/>
              <wp:wrapNone/>
              <wp:docPr id="398" name="Textbox 398"/>
              <wp:cNvGraphicFramePr>
                <a:graphicFrameLocks/>
              </wp:cNvGraphicFramePr>
              <a:graphic>
                <a:graphicData uri="http://schemas.microsoft.com/office/word/2010/wordprocessingShape">
                  <wps:wsp>
                    <wps:cNvPr id="398" name="Textbox 398"/>
                    <wps:cNvSpPr txBox="1"/>
                    <wps:spPr>
                      <a:xfrm>
                        <a:off x="0" y="0"/>
                        <a:ext cx="365125" cy="104139"/>
                      </a:xfrm>
                      <a:prstGeom prst="rect">
                        <a:avLst/>
                      </a:prstGeom>
                    </wps:spPr>
                    <wps:txbx>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117</w:t>
                          </w:r>
                          <w:r>
                            <w:rPr>
                              <w:spacing w:val="-5"/>
                              <w:sz w:val="11"/>
                            </w:rPr>
                            <w:fldChar w:fldCharType="end"/>
                          </w:r>
                        </w:p>
                      </w:txbxContent>
                    </wps:txbx>
                    <wps:bodyPr wrap="square" lIns="0" tIns="0" rIns="0" bIns="0" rtlCol="0">
                      <a:noAutofit/>
                    </wps:bodyPr>
                  </wps:wsp>
                </a:graphicData>
              </a:graphic>
            </wp:anchor>
          </w:drawing>
        </mc:Choice>
        <mc:Fallback>
          <w:pict>
            <v:shape style="position:absolute;margin-left:284.752014pt;margin-top:826.410339pt;width:28.75pt;height:8.2pt;mso-position-horizontal-relative:page;mso-position-vertical-relative:page;z-index:-26205696" type="#_x0000_t202" id="docshape197" filled="false" stroked="false">
              <v:textbox inset="0,0,0,0">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117</w:t>
                    </w:r>
                    <w:r>
                      <w:rPr>
                        <w:spacing w:val="-5"/>
                        <w:sz w:val="11"/>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1296">
          <wp:simplePos x="0" y="0"/>
          <wp:positionH relativeFrom="page">
            <wp:posOffset>4918964</wp:posOffset>
          </wp:positionH>
          <wp:positionV relativeFrom="page">
            <wp:posOffset>7306716</wp:posOffset>
          </wp:positionV>
          <wp:extent cx="855472" cy="192481"/>
          <wp:effectExtent l="0" t="0" r="0" b="0"/>
          <wp:wrapNone/>
          <wp:docPr id="730" name="Image 730"/>
          <wp:cNvGraphicFramePr>
            <a:graphicFrameLocks/>
          </wp:cNvGraphicFramePr>
          <a:graphic>
            <a:graphicData uri="http://schemas.openxmlformats.org/drawingml/2006/picture">
              <pic:pic>
                <pic:nvPicPr>
                  <pic:cNvPr id="730" name="Image 730"/>
                  <pic:cNvPicPr/>
                </pic:nvPicPr>
                <pic:blipFill>
                  <a:blip r:embed="rId1" cstate="print"/>
                  <a:stretch>
                    <a:fillRect/>
                  </a:stretch>
                </pic:blipFill>
                <pic:spPr>
                  <a:xfrm>
                    <a:off x="0" y="0"/>
                    <a:ext cx="855472" cy="19248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11808">
              <wp:simplePos x="0" y="0"/>
              <wp:positionH relativeFrom="page">
                <wp:posOffset>5120347</wp:posOffset>
              </wp:positionH>
              <wp:positionV relativeFrom="page">
                <wp:posOffset>7360357</wp:posOffset>
              </wp:positionV>
              <wp:extent cx="491490" cy="137160"/>
              <wp:effectExtent l="0" t="0" r="0" b="0"/>
              <wp:wrapNone/>
              <wp:docPr id="731" name="Textbox 731"/>
              <wp:cNvGraphicFramePr>
                <a:graphicFrameLocks/>
              </wp:cNvGraphicFramePr>
              <a:graphic>
                <a:graphicData uri="http://schemas.microsoft.com/office/word/2010/wordprocessingShape">
                  <wps:wsp>
                    <wps:cNvPr id="731" name="Textbox 731"/>
                    <wps:cNvSpPr txBox="1"/>
                    <wps:spPr>
                      <a:xfrm>
                        <a:off x="0" y="0"/>
                        <a:ext cx="491490" cy="137160"/>
                      </a:xfrm>
                      <a:prstGeom prst="rect">
                        <a:avLst/>
                      </a:prstGeom>
                    </wps:spPr>
                    <wps:txbx>
                      <w:txbxContent>
                        <w:p>
                          <w:pPr>
                            <w:spacing w:before="21"/>
                            <w:ind w:left="20" w:right="0" w:firstLine="0"/>
                            <w:jc w:val="left"/>
                            <w:rPr>
                              <w:sz w:val="15"/>
                            </w:rPr>
                          </w:pPr>
                          <w:r>
                            <w:rPr>
                              <w:w w:val="105"/>
                              <w:sz w:val="15"/>
                            </w:rPr>
                            <w:t>Page</w:t>
                          </w:r>
                          <w:r>
                            <w:rPr>
                              <w:spacing w:val="-4"/>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185</w:t>
                          </w:r>
                          <w:r>
                            <w:rPr>
                              <w:spacing w:val="-5"/>
                              <w:w w:val="105"/>
                              <w:sz w:val="15"/>
                            </w:rPr>
                            <w:fldChar w:fldCharType="end"/>
                          </w:r>
                        </w:p>
                      </w:txbxContent>
                    </wps:txbx>
                    <wps:bodyPr wrap="square" lIns="0" tIns="0" rIns="0" bIns="0" rtlCol="0">
                      <a:noAutofit/>
                    </wps:bodyPr>
                  </wps:wsp>
                </a:graphicData>
              </a:graphic>
            </wp:anchor>
          </w:drawing>
        </mc:Choice>
        <mc:Fallback>
          <w:pict>
            <v:shape style="position:absolute;margin-left:403.177002pt;margin-top:579.555725pt;width:38.7pt;height:10.8pt;mso-position-horizontal-relative:page;mso-position-vertical-relative:page;z-index:-26204672" type="#_x0000_t202" id="docshape491" filled="false" stroked="false">
              <v:textbox inset="0,0,0,0">
                <w:txbxContent>
                  <w:p>
                    <w:pPr>
                      <w:spacing w:before="21"/>
                      <w:ind w:left="20" w:right="0" w:firstLine="0"/>
                      <w:jc w:val="left"/>
                      <w:rPr>
                        <w:sz w:val="15"/>
                      </w:rPr>
                    </w:pPr>
                    <w:r>
                      <w:rPr>
                        <w:w w:val="105"/>
                        <w:sz w:val="15"/>
                      </w:rPr>
                      <w:t>Page</w:t>
                    </w:r>
                    <w:r>
                      <w:rPr>
                        <w:spacing w:val="-4"/>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185</w:t>
                    </w:r>
                    <w:r>
                      <w:rPr>
                        <w:spacing w:val="-5"/>
                        <w:w w:val="105"/>
                        <w:sz w:val="15"/>
                      </w:rPr>
                      <w:fldChar w:fldCharType="end"/>
                    </w:r>
                  </w:p>
                </w:txbxContent>
              </v:textbox>
              <w10:wrap type="none"/>
            </v:shape>
          </w:pict>
        </mc:Fallback>
      </mc:AlternateContent>
    </w: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2320">
          <wp:simplePos x="0" y="0"/>
          <wp:positionH relativeFrom="page">
            <wp:posOffset>4918964</wp:posOffset>
          </wp:positionH>
          <wp:positionV relativeFrom="page">
            <wp:posOffset>7306716</wp:posOffset>
          </wp:positionV>
          <wp:extent cx="855472" cy="192481"/>
          <wp:effectExtent l="0" t="0" r="0" b="0"/>
          <wp:wrapNone/>
          <wp:docPr id="737" name="Image 737"/>
          <wp:cNvGraphicFramePr>
            <a:graphicFrameLocks/>
          </wp:cNvGraphicFramePr>
          <a:graphic>
            <a:graphicData uri="http://schemas.openxmlformats.org/drawingml/2006/picture">
              <pic:pic>
                <pic:nvPicPr>
                  <pic:cNvPr id="737" name="Image 737"/>
                  <pic:cNvPicPr/>
                </pic:nvPicPr>
                <pic:blipFill>
                  <a:blip r:embed="rId1" cstate="print"/>
                  <a:stretch>
                    <a:fillRect/>
                  </a:stretch>
                </pic:blipFill>
                <pic:spPr>
                  <a:xfrm>
                    <a:off x="0" y="0"/>
                    <a:ext cx="855472" cy="19248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12832">
              <wp:simplePos x="0" y="0"/>
              <wp:positionH relativeFrom="page">
                <wp:posOffset>5120347</wp:posOffset>
              </wp:positionH>
              <wp:positionV relativeFrom="page">
                <wp:posOffset>7360357</wp:posOffset>
              </wp:positionV>
              <wp:extent cx="491490" cy="137160"/>
              <wp:effectExtent l="0" t="0" r="0" b="0"/>
              <wp:wrapNone/>
              <wp:docPr id="738" name="Textbox 738"/>
              <wp:cNvGraphicFramePr>
                <a:graphicFrameLocks/>
              </wp:cNvGraphicFramePr>
              <a:graphic>
                <a:graphicData uri="http://schemas.microsoft.com/office/word/2010/wordprocessingShape">
                  <wps:wsp>
                    <wps:cNvPr id="738" name="Textbox 738"/>
                    <wps:cNvSpPr txBox="1"/>
                    <wps:spPr>
                      <a:xfrm>
                        <a:off x="0" y="0"/>
                        <a:ext cx="491490" cy="137160"/>
                      </a:xfrm>
                      <a:prstGeom prst="rect">
                        <a:avLst/>
                      </a:prstGeom>
                    </wps:spPr>
                    <wps:txbx>
                      <w:txbxContent>
                        <w:p>
                          <w:pPr>
                            <w:spacing w:before="21"/>
                            <w:ind w:left="20" w:right="0" w:firstLine="0"/>
                            <w:jc w:val="left"/>
                            <w:rPr>
                              <w:sz w:val="15"/>
                            </w:rPr>
                          </w:pPr>
                          <w:r>
                            <w:rPr>
                              <w:w w:val="105"/>
                              <w:sz w:val="15"/>
                            </w:rPr>
                            <w:t>Page</w:t>
                          </w:r>
                          <w:r>
                            <w:rPr>
                              <w:spacing w:val="-4"/>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192</w:t>
                          </w:r>
                          <w:r>
                            <w:rPr>
                              <w:spacing w:val="-5"/>
                              <w:w w:val="105"/>
                              <w:sz w:val="15"/>
                            </w:rPr>
                            <w:fldChar w:fldCharType="end"/>
                          </w:r>
                        </w:p>
                      </w:txbxContent>
                    </wps:txbx>
                    <wps:bodyPr wrap="square" lIns="0" tIns="0" rIns="0" bIns="0" rtlCol="0">
                      <a:noAutofit/>
                    </wps:bodyPr>
                  </wps:wsp>
                </a:graphicData>
              </a:graphic>
            </wp:anchor>
          </w:drawing>
        </mc:Choice>
        <mc:Fallback>
          <w:pict>
            <v:shape style="position:absolute;margin-left:403.177002pt;margin-top:579.555725pt;width:38.7pt;height:10.8pt;mso-position-horizontal-relative:page;mso-position-vertical-relative:page;z-index:-26203648" type="#_x0000_t202" id="docshape496" filled="false" stroked="false">
              <v:textbox inset="0,0,0,0">
                <w:txbxContent>
                  <w:p>
                    <w:pPr>
                      <w:spacing w:before="21"/>
                      <w:ind w:left="20" w:right="0" w:firstLine="0"/>
                      <w:jc w:val="left"/>
                      <w:rPr>
                        <w:sz w:val="15"/>
                      </w:rPr>
                    </w:pPr>
                    <w:r>
                      <w:rPr>
                        <w:w w:val="105"/>
                        <w:sz w:val="15"/>
                      </w:rPr>
                      <w:t>Page</w:t>
                    </w:r>
                    <w:r>
                      <w:rPr>
                        <w:spacing w:val="-4"/>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192</w:t>
                    </w:r>
                    <w:r>
                      <w:rPr>
                        <w:spacing w:val="-5"/>
                        <w:w w:val="105"/>
                        <w:sz w:val="15"/>
                      </w:rPr>
                      <w:fldChar w:fldCharType="end"/>
                    </w:r>
                  </w:p>
                </w:txbxContent>
              </v:textbox>
              <w10:wrap type="none"/>
            </v:shape>
          </w:pict>
        </mc:Fallback>
      </mc:AlternateContent>
    </w: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9"/>
      </w:rPr>
    </w:pPr>
    <w:r>
      <w:rPr>
        <w:sz w:val="9"/>
      </w:rPr>
      <mc:AlternateContent>
        <mc:Choice Requires="wps">
          <w:drawing>
            <wp:anchor distT="0" distB="0" distL="0" distR="0" allowOverlap="1" layoutInCell="1" locked="0" behindDoc="1" simplePos="0" relativeHeight="477113344">
              <wp:simplePos x="0" y="0"/>
              <wp:positionH relativeFrom="page">
                <wp:posOffset>3616350</wp:posOffset>
              </wp:positionH>
              <wp:positionV relativeFrom="page">
                <wp:posOffset>10495411</wp:posOffset>
              </wp:positionV>
              <wp:extent cx="365125" cy="104139"/>
              <wp:effectExtent l="0" t="0" r="0" b="0"/>
              <wp:wrapNone/>
              <wp:docPr id="739" name="Textbox 739"/>
              <wp:cNvGraphicFramePr>
                <a:graphicFrameLocks/>
              </wp:cNvGraphicFramePr>
              <a:graphic>
                <a:graphicData uri="http://schemas.microsoft.com/office/word/2010/wordprocessingShape">
                  <wps:wsp>
                    <wps:cNvPr id="739" name="Textbox 739"/>
                    <wps:cNvSpPr txBox="1"/>
                    <wps:spPr>
                      <a:xfrm>
                        <a:off x="0" y="0"/>
                        <a:ext cx="365125" cy="104139"/>
                      </a:xfrm>
                      <a:prstGeom prst="rect">
                        <a:avLst/>
                      </a:prstGeom>
                    </wps:spPr>
                    <wps:txbx>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202</w:t>
                          </w:r>
                          <w:r>
                            <w:rPr>
                              <w:spacing w:val="-5"/>
                              <w:sz w:val="11"/>
                            </w:rPr>
                            <w:fldChar w:fldCharType="end"/>
                          </w:r>
                        </w:p>
                      </w:txbxContent>
                    </wps:txbx>
                    <wps:bodyPr wrap="square" lIns="0" tIns="0" rIns="0" bIns="0" rtlCol="0">
                      <a:noAutofit/>
                    </wps:bodyPr>
                  </wps:wsp>
                </a:graphicData>
              </a:graphic>
            </wp:anchor>
          </w:drawing>
        </mc:Choice>
        <mc:Fallback>
          <w:pict>
            <v:shape style="position:absolute;margin-left:284.752014pt;margin-top:826.410339pt;width:28.75pt;height:8.2pt;mso-position-horizontal-relative:page;mso-position-vertical-relative:page;z-index:-26203136" type="#_x0000_t202" id="docshape497" filled="false" stroked="false">
              <v:textbox inset="0,0,0,0">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202</w:t>
                    </w:r>
                    <w:r>
                      <w:rPr>
                        <w:spacing w:val="-5"/>
                        <w:sz w:val="11"/>
                      </w:rPr>
                      <w:fldChar w:fldCharType="end"/>
                    </w:r>
                  </w:p>
                </w:txbxContent>
              </v:textbox>
              <w10:wrap type="none"/>
            </v:shape>
          </w:pict>
        </mc:Fallback>
      </mc:AlternateContent>
    </w: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3856">
          <wp:simplePos x="0" y="0"/>
          <wp:positionH relativeFrom="page">
            <wp:posOffset>3477856</wp:posOffset>
          </wp:positionH>
          <wp:positionV relativeFrom="page">
            <wp:posOffset>10470753</wp:posOffset>
          </wp:positionV>
          <wp:extent cx="604845" cy="136090"/>
          <wp:effectExtent l="0" t="0" r="0" b="0"/>
          <wp:wrapNone/>
          <wp:docPr id="742" name="Image 742"/>
          <wp:cNvGraphicFramePr>
            <a:graphicFrameLocks/>
          </wp:cNvGraphicFramePr>
          <a:graphic>
            <a:graphicData uri="http://schemas.openxmlformats.org/drawingml/2006/picture">
              <pic:pic>
                <pic:nvPicPr>
                  <pic:cNvPr id="742" name="Image 742"/>
                  <pic:cNvPicPr/>
                </pic:nvPicPr>
                <pic:blipFill>
                  <a:blip r:embed="rId1" cstate="print"/>
                  <a:stretch>
                    <a:fillRect/>
                  </a:stretch>
                </pic:blipFill>
                <pic:spPr>
                  <a:xfrm>
                    <a:off x="0" y="0"/>
                    <a:ext cx="604845" cy="13609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14368">
              <wp:simplePos x="0" y="0"/>
              <wp:positionH relativeFrom="page">
                <wp:posOffset>3616794</wp:posOffset>
              </wp:positionH>
              <wp:positionV relativeFrom="page">
                <wp:posOffset>10494405</wp:posOffset>
              </wp:positionV>
              <wp:extent cx="365125" cy="104139"/>
              <wp:effectExtent l="0" t="0" r="0" b="0"/>
              <wp:wrapNone/>
              <wp:docPr id="743" name="Textbox 743"/>
              <wp:cNvGraphicFramePr>
                <a:graphicFrameLocks/>
              </wp:cNvGraphicFramePr>
              <a:graphic>
                <a:graphicData uri="http://schemas.microsoft.com/office/word/2010/wordprocessingShape">
                  <wps:wsp>
                    <wps:cNvPr id="743" name="Textbox 743"/>
                    <wps:cNvSpPr txBox="1"/>
                    <wps:spPr>
                      <a:xfrm>
                        <a:off x="0" y="0"/>
                        <a:ext cx="365125" cy="104139"/>
                      </a:xfrm>
                      <a:prstGeom prst="rect">
                        <a:avLst/>
                      </a:prstGeom>
                    </wps:spPr>
                    <wps:txbx>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203</w:t>
                          </w:r>
                          <w:r>
                            <w:rPr>
                              <w:spacing w:val="-5"/>
                              <w:sz w:val="11"/>
                            </w:rPr>
                            <w:fldChar w:fldCharType="end"/>
                          </w:r>
                        </w:p>
                      </w:txbxContent>
                    </wps:txbx>
                    <wps:bodyPr wrap="square" lIns="0" tIns="0" rIns="0" bIns="0" rtlCol="0">
                      <a:noAutofit/>
                    </wps:bodyPr>
                  </wps:wsp>
                </a:graphicData>
              </a:graphic>
            </wp:anchor>
          </w:drawing>
        </mc:Choice>
        <mc:Fallback>
          <w:pict>
            <v:shape style="position:absolute;margin-left:284.786987pt;margin-top:826.331116pt;width:28.75pt;height:8.2pt;mso-position-horizontal-relative:page;mso-position-vertical-relative:page;z-index:-26202112" type="#_x0000_t202" id="docshape499" filled="false" stroked="false">
              <v:textbox inset="0,0,0,0">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203</w:t>
                    </w:r>
                    <w:r>
                      <w:rPr>
                        <w:spacing w:val="-5"/>
                        <w:sz w:val="11"/>
                      </w:rPr>
                      <w:fldChar w:fldCharType="end"/>
                    </w:r>
                  </w:p>
                </w:txbxContent>
              </v:textbox>
              <w10:wrap type="none"/>
            </v:shape>
          </w:pict>
        </mc:Fallback>
      </mc:AlternateContent>
    </w: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4880">
          <wp:simplePos x="0" y="0"/>
          <wp:positionH relativeFrom="page">
            <wp:posOffset>3477450</wp:posOffset>
          </wp:positionH>
          <wp:positionV relativeFrom="page">
            <wp:posOffset>10471778</wp:posOffset>
          </wp:positionV>
          <wp:extent cx="604774" cy="136074"/>
          <wp:effectExtent l="0" t="0" r="0" b="0"/>
          <wp:wrapNone/>
          <wp:docPr id="749" name="Image 749"/>
          <wp:cNvGraphicFramePr>
            <a:graphicFrameLocks/>
          </wp:cNvGraphicFramePr>
          <a:graphic>
            <a:graphicData uri="http://schemas.openxmlformats.org/drawingml/2006/picture">
              <pic:pic>
                <pic:nvPicPr>
                  <pic:cNvPr id="749" name="Image 749"/>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15392">
              <wp:simplePos x="0" y="0"/>
              <wp:positionH relativeFrom="page">
                <wp:posOffset>3616350</wp:posOffset>
              </wp:positionH>
              <wp:positionV relativeFrom="page">
                <wp:posOffset>10495411</wp:posOffset>
              </wp:positionV>
              <wp:extent cx="365125" cy="104139"/>
              <wp:effectExtent l="0" t="0" r="0" b="0"/>
              <wp:wrapNone/>
              <wp:docPr id="750" name="Textbox 750"/>
              <wp:cNvGraphicFramePr>
                <a:graphicFrameLocks/>
              </wp:cNvGraphicFramePr>
              <a:graphic>
                <a:graphicData uri="http://schemas.microsoft.com/office/word/2010/wordprocessingShape">
                  <wps:wsp>
                    <wps:cNvPr id="750" name="Textbox 750"/>
                    <wps:cNvSpPr txBox="1"/>
                    <wps:spPr>
                      <a:xfrm>
                        <a:off x="0" y="0"/>
                        <a:ext cx="365125" cy="104139"/>
                      </a:xfrm>
                      <a:prstGeom prst="rect">
                        <a:avLst/>
                      </a:prstGeom>
                    </wps:spPr>
                    <wps:txbx>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245</w:t>
                          </w:r>
                          <w:r>
                            <w:rPr>
                              <w:spacing w:val="-5"/>
                              <w:sz w:val="11"/>
                            </w:rPr>
                            <w:fldChar w:fldCharType="end"/>
                          </w:r>
                        </w:p>
                      </w:txbxContent>
                    </wps:txbx>
                    <wps:bodyPr wrap="square" lIns="0" tIns="0" rIns="0" bIns="0" rtlCol="0">
                      <a:noAutofit/>
                    </wps:bodyPr>
                  </wps:wsp>
                </a:graphicData>
              </a:graphic>
            </wp:anchor>
          </w:drawing>
        </mc:Choice>
        <mc:Fallback>
          <w:pict>
            <v:shape style="position:absolute;margin-left:284.752014pt;margin-top:826.410339pt;width:28.75pt;height:8.2pt;mso-position-horizontal-relative:page;mso-position-vertical-relative:page;z-index:-26201088" type="#_x0000_t202" id="docshape503" filled="false" stroked="false">
              <v:textbox inset="0,0,0,0">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245</w:t>
                    </w:r>
                    <w:r>
                      <w:rPr>
                        <w:spacing w:val="-5"/>
                        <w:sz w:val="11"/>
                      </w:rPr>
                      <w:fldChar w:fldCharType="end"/>
                    </w:r>
                  </w:p>
                </w:txbxContent>
              </v:textbox>
              <w10:wrap type="none"/>
            </v:shape>
          </w:pict>
        </mc:Fallback>
      </mc:AlternateContent>
    </w: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5904">
          <wp:simplePos x="0" y="0"/>
          <wp:positionH relativeFrom="page">
            <wp:posOffset>3575303</wp:posOffset>
          </wp:positionH>
          <wp:positionV relativeFrom="page">
            <wp:posOffset>9838029</wp:posOffset>
          </wp:positionV>
          <wp:extent cx="621791" cy="139903"/>
          <wp:effectExtent l="0" t="0" r="0" b="0"/>
          <wp:wrapNone/>
          <wp:docPr id="756" name="Image 756"/>
          <wp:cNvGraphicFramePr>
            <a:graphicFrameLocks/>
          </wp:cNvGraphicFramePr>
          <a:graphic>
            <a:graphicData uri="http://schemas.openxmlformats.org/drawingml/2006/picture">
              <pic:pic>
                <pic:nvPicPr>
                  <pic:cNvPr id="756" name="Image 756"/>
                  <pic:cNvPicPr/>
                </pic:nvPicPr>
                <pic:blipFill>
                  <a:blip r:embed="rId1" cstate="print"/>
                  <a:stretch>
                    <a:fillRect/>
                  </a:stretch>
                </pic:blipFill>
                <pic:spPr>
                  <a:xfrm>
                    <a:off x="0" y="0"/>
                    <a:ext cx="621791" cy="13990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16416">
              <wp:simplePos x="0" y="0"/>
              <wp:positionH relativeFrom="page">
                <wp:posOffset>3718458</wp:posOffset>
              </wp:positionH>
              <wp:positionV relativeFrom="page">
                <wp:posOffset>9864554</wp:posOffset>
              </wp:positionV>
              <wp:extent cx="374015" cy="106680"/>
              <wp:effectExtent l="0" t="0" r="0" b="0"/>
              <wp:wrapNone/>
              <wp:docPr id="757" name="Textbox 757"/>
              <wp:cNvGraphicFramePr>
                <a:graphicFrameLocks/>
              </wp:cNvGraphicFramePr>
              <a:graphic>
                <a:graphicData uri="http://schemas.microsoft.com/office/word/2010/wordprocessingShape">
                  <wps:wsp>
                    <wps:cNvPr id="757" name="Textbox 757"/>
                    <wps:cNvSpPr txBox="1"/>
                    <wps:spPr>
                      <a:xfrm>
                        <a:off x="0" y="0"/>
                        <a:ext cx="374015" cy="106680"/>
                      </a:xfrm>
                      <a:prstGeom prst="rect">
                        <a:avLst/>
                      </a:prstGeom>
                    </wps:spPr>
                    <wps:txbx>
                      <w:txbxContent>
                        <w:p>
                          <w:pPr>
                            <w:spacing w:before="20"/>
                            <w:ind w:left="20" w:right="0" w:firstLine="0"/>
                            <w:jc w:val="left"/>
                            <w:rPr>
                              <w:sz w:val="11"/>
                            </w:rPr>
                          </w:pPr>
                          <w:r>
                            <w:rPr>
                              <w:w w:val="105"/>
                              <w:sz w:val="11"/>
                            </w:rPr>
                            <w:t>Page</w:t>
                          </w:r>
                          <w:r>
                            <w:rPr>
                              <w:spacing w:val="-6"/>
                              <w:w w:val="105"/>
                              <w:sz w:val="11"/>
                            </w:rPr>
                            <w:t> </w:t>
                          </w:r>
                          <w:r>
                            <w:rPr>
                              <w:spacing w:val="-5"/>
                              <w:w w:val="105"/>
                              <w:sz w:val="11"/>
                            </w:rPr>
                            <w:fldChar w:fldCharType="begin"/>
                          </w:r>
                          <w:r>
                            <w:rPr>
                              <w:spacing w:val="-5"/>
                              <w:w w:val="105"/>
                              <w:sz w:val="11"/>
                            </w:rPr>
                            <w:instrText> PAGE </w:instrText>
                          </w:r>
                          <w:r>
                            <w:rPr>
                              <w:spacing w:val="-5"/>
                              <w:w w:val="105"/>
                              <w:sz w:val="11"/>
                            </w:rPr>
                            <w:fldChar w:fldCharType="separate"/>
                          </w:r>
                          <w:r>
                            <w:rPr>
                              <w:spacing w:val="-5"/>
                              <w:w w:val="105"/>
                              <w:sz w:val="11"/>
                            </w:rPr>
                            <w:t>247</w:t>
                          </w:r>
                          <w:r>
                            <w:rPr>
                              <w:spacing w:val="-5"/>
                              <w:w w:val="105"/>
                              <w:sz w:val="11"/>
                            </w:rPr>
                            <w:fldChar w:fldCharType="end"/>
                          </w:r>
                        </w:p>
                      </w:txbxContent>
                    </wps:txbx>
                    <wps:bodyPr wrap="square" lIns="0" tIns="0" rIns="0" bIns="0" rtlCol="0">
                      <a:noAutofit/>
                    </wps:bodyPr>
                  </wps:wsp>
                </a:graphicData>
              </a:graphic>
            </wp:anchor>
          </w:drawing>
        </mc:Choice>
        <mc:Fallback>
          <w:pict>
            <v:shape style="position:absolute;margin-left:292.791992pt;margin-top:776.736572pt;width:29.45pt;height:8.4pt;mso-position-horizontal-relative:page;mso-position-vertical-relative:page;z-index:-26200064" type="#_x0000_t202" id="docshape509" filled="false" stroked="false">
              <v:textbox inset="0,0,0,0">
                <w:txbxContent>
                  <w:p>
                    <w:pPr>
                      <w:spacing w:before="20"/>
                      <w:ind w:left="20" w:right="0" w:firstLine="0"/>
                      <w:jc w:val="left"/>
                      <w:rPr>
                        <w:sz w:val="11"/>
                      </w:rPr>
                    </w:pPr>
                    <w:r>
                      <w:rPr>
                        <w:w w:val="105"/>
                        <w:sz w:val="11"/>
                      </w:rPr>
                      <w:t>Page</w:t>
                    </w:r>
                    <w:r>
                      <w:rPr>
                        <w:spacing w:val="-6"/>
                        <w:w w:val="105"/>
                        <w:sz w:val="11"/>
                      </w:rPr>
                      <w:t> </w:t>
                    </w:r>
                    <w:r>
                      <w:rPr>
                        <w:spacing w:val="-5"/>
                        <w:w w:val="105"/>
                        <w:sz w:val="11"/>
                      </w:rPr>
                      <w:fldChar w:fldCharType="begin"/>
                    </w:r>
                    <w:r>
                      <w:rPr>
                        <w:spacing w:val="-5"/>
                        <w:w w:val="105"/>
                        <w:sz w:val="11"/>
                      </w:rPr>
                      <w:instrText> PAGE </w:instrText>
                    </w:r>
                    <w:r>
                      <w:rPr>
                        <w:spacing w:val="-5"/>
                        <w:w w:val="105"/>
                        <w:sz w:val="11"/>
                      </w:rPr>
                      <w:fldChar w:fldCharType="separate"/>
                    </w:r>
                    <w:r>
                      <w:rPr>
                        <w:spacing w:val="-5"/>
                        <w:w w:val="105"/>
                        <w:sz w:val="11"/>
                      </w:rPr>
                      <w:t>247</w:t>
                    </w:r>
                    <w:r>
                      <w:rPr>
                        <w:spacing w:val="-5"/>
                        <w:w w:val="105"/>
                        <w:sz w:val="11"/>
                      </w:rPr>
                      <w:fldChar w:fldCharType="end"/>
                    </w:r>
                  </w:p>
                </w:txbxContent>
              </v:textbox>
              <w10:wrap type="none"/>
            </v:shape>
          </w:pict>
        </mc:Fallback>
      </mc:AlternateContent>
    </w: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6928">
          <wp:simplePos x="0" y="0"/>
          <wp:positionH relativeFrom="page">
            <wp:posOffset>3477450</wp:posOffset>
          </wp:positionH>
          <wp:positionV relativeFrom="page">
            <wp:posOffset>10471778</wp:posOffset>
          </wp:positionV>
          <wp:extent cx="604774" cy="136074"/>
          <wp:effectExtent l="0" t="0" r="0" b="0"/>
          <wp:wrapNone/>
          <wp:docPr id="803" name="Image 803"/>
          <wp:cNvGraphicFramePr>
            <a:graphicFrameLocks/>
          </wp:cNvGraphicFramePr>
          <a:graphic>
            <a:graphicData uri="http://schemas.openxmlformats.org/drawingml/2006/picture">
              <pic:pic>
                <pic:nvPicPr>
                  <pic:cNvPr id="803" name="Image 803"/>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17440">
              <wp:simplePos x="0" y="0"/>
              <wp:positionH relativeFrom="page">
                <wp:posOffset>3616350</wp:posOffset>
              </wp:positionH>
              <wp:positionV relativeFrom="page">
                <wp:posOffset>10495411</wp:posOffset>
              </wp:positionV>
              <wp:extent cx="365125" cy="104139"/>
              <wp:effectExtent l="0" t="0" r="0" b="0"/>
              <wp:wrapNone/>
              <wp:docPr id="804" name="Textbox 804"/>
              <wp:cNvGraphicFramePr>
                <a:graphicFrameLocks/>
              </wp:cNvGraphicFramePr>
              <a:graphic>
                <a:graphicData uri="http://schemas.microsoft.com/office/word/2010/wordprocessingShape">
                  <wps:wsp>
                    <wps:cNvPr id="804" name="Textbox 804"/>
                    <wps:cNvSpPr txBox="1"/>
                    <wps:spPr>
                      <a:xfrm>
                        <a:off x="0" y="0"/>
                        <a:ext cx="365125" cy="104139"/>
                      </a:xfrm>
                      <a:prstGeom prst="rect">
                        <a:avLst/>
                      </a:prstGeom>
                    </wps:spPr>
                    <wps:txbx>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258</w:t>
                          </w:r>
                          <w:r>
                            <w:rPr>
                              <w:spacing w:val="-5"/>
                              <w:sz w:val="11"/>
                            </w:rPr>
                            <w:fldChar w:fldCharType="end"/>
                          </w:r>
                        </w:p>
                      </w:txbxContent>
                    </wps:txbx>
                    <wps:bodyPr wrap="square" lIns="0" tIns="0" rIns="0" bIns="0" rtlCol="0">
                      <a:noAutofit/>
                    </wps:bodyPr>
                  </wps:wsp>
                </a:graphicData>
              </a:graphic>
            </wp:anchor>
          </w:drawing>
        </mc:Choice>
        <mc:Fallback>
          <w:pict>
            <v:shape style="position:absolute;margin-left:284.752014pt;margin-top:826.410339pt;width:28.75pt;height:8.2pt;mso-position-horizontal-relative:page;mso-position-vertical-relative:page;z-index:-26199040" type="#_x0000_t202" id="docshape533" filled="false" stroked="false">
              <v:textbox inset="0,0,0,0">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258</w:t>
                    </w:r>
                    <w:r>
                      <w:rPr>
                        <w:spacing w:val="-5"/>
                        <w:sz w:val="11"/>
                      </w:rPr>
                      <w:fldChar w:fldCharType="end"/>
                    </w:r>
                  </w:p>
                </w:txbxContent>
              </v:textbox>
              <w10:wrap type="none"/>
            </v:shape>
          </w:pict>
        </mc:Fallback>
      </mc:AlternateContent>
    </w: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4"/>
      </w:rPr>
    </w:pPr>
    <w:r>
      <w:rPr>
        <w:sz w:val="4"/>
      </w:rPr>
      <mc:AlternateContent>
        <mc:Choice Requires="wps">
          <w:drawing>
            <wp:anchor distT="0" distB="0" distL="0" distR="0" allowOverlap="1" layoutInCell="1" locked="0" behindDoc="1" simplePos="0" relativeHeight="477117952">
              <wp:simplePos x="0" y="0"/>
              <wp:positionH relativeFrom="page">
                <wp:posOffset>5120347</wp:posOffset>
              </wp:positionH>
              <wp:positionV relativeFrom="page">
                <wp:posOffset>7360357</wp:posOffset>
              </wp:positionV>
              <wp:extent cx="491490" cy="137160"/>
              <wp:effectExtent l="0" t="0" r="0" b="0"/>
              <wp:wrapNone/>
              <wp:docPr id="806" name="Textbox 806"/>
              <wp:cNvGraphicFramePr>
                <a:graphicFrameLocks/>
              </wp:cNvGraphicFramePr>
              <a:graphic>
                <a:graphicData uri="http://schemas.microsoft.com/office/word/2010/wordprocessingShape">
                  <wps:wsp>
                    <wps:cNvPr id="806" name="Textbox 806"/>
                    <wps:cNvSpPr txBox="1"/>
                    <wps:spPr>
                      <a:xfrm>
                        <a:off x="0" y="0"/>
                        <a:ext cx="491490" cy="137160"/>
                      </a:xfrm>
                      <a:prstGeom prst="rect">
                        <a:avLst/>
                      </a:prstGeom>
                    </wps:spPr>
                    <wps:txbx>
                      <w:txbxContent>
                        <w:p>
                          <w:pPr>
                            <w:spacing w:before="21"/>
                            <w:ind w:left="20" w:right="0" w:firstLine="0"/>
                            <w:jc w:val="left"/>
                            <w:rPr>
                              <w:sz w:val="15"/>
                            </w:rPr>
                          </w:pPr>
                          <w:r>
                            <w:rPr>
                              <w:w w:val="105"/>
                              <w:sz w:val="15"/>
                            </w:rPr>
                            <w:t>Page</w:t>
                          </w:r>
                          <w:r>
                            <w:rPr>
                              <w:spacing w:val="-4"/>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259</w:t>
                          </w:r>
                          <w:r>
                            <w:rPr>
                              <w:spacing w:val="-5"/>
                              <w:w w:val="105"/>
                              <w:sz w:val="15"/>
                            </w:rPr>
                            <w:fldChar w:fldCharType="end"/>
                          </w:r>
                        </w:p>
                      </w:txbxContent>
                    </wps:txbx>
                    <wps:bodyPr wrap="square" lIns="0" tIns="0" rIns="0" bIns="0" rtlCol="0">
                      <a:noAutofit/>
                    </wps:bodyPr>
                  </wps:wsp>
                </a:graphicData>
              </a:graphic>
            </wp:anchor>
          </w:drawing>
        </mc:Choice>
        <mc:Fallback>
          <w:pict>
            <v:shape style="position:absolute;margin-left:403.177002pt;margin-top:579.555725pt;width:38.7pt;height:10.8pt;mso-position-horizontal-relative:page;mso-position-vertical-relative:page;z-index:-26198528" type="#_x0000_t202" id="docshape535" filled="false" stroked="false">
              <v:textbox inset="0,0,0,0">
                <w:txbxContent>
                  <w:p>
                    <w:pPr>
                      <w:spacing w:before="21"/>
                      <w:ind w:left="20" w:right="0" w:firstLine="0"/>
                      <w:jc w:val="left"/>
                      <w:rPr>
                        <w:sz w:val="15"/>
                      </w:rPr>
                    </w:pPr>
                    <w:r>
                      <w:rPr>
                        <w:w w:val="105"/>
                        <w:sz w:val="15"/>
                      </w:rPr>
                      <w:t>Page</w:t>
                    </w:r>
                    <w:r>
                      <w:rPr>
                        <w:spacing w:val="-4"/>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259</w:t>
                    </w:r>
                    <w:r>
                      <w:rPr>
                        <w:spacing w:val="-5"/>
                        <w:w w:val="105"/>
                        <w:sz w:val="15"/>
                      </w:rPr>
                      <w:fldChar w:fldCharType="end"/>
                    </w:r>
                  </w:p>
                </w:txbxContent>
              </v:textbox>
              <w10:wrap type="none"/>
            </v:shape>
          </w:pict>
        </mc:Fallback>
      </mc:AlternateContent>
    </w: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8464">
          <wp:simplePos x="0" y="0"/>
          <wp:positionH relativeFrom="page">
            <wp:posOffset>4918964</wp:posOffset>
          </wp:positionH>
          <wp:positionV relativeFrom="page">
            <wp:posOffset>7306716</wp:posOffset>
          </wp:positionV>
          <wp:extent cx="855472" cy="192481"/>
          <wp:effectExtent l="0" t="0" r="0" b="0"/>
          <wp:wrapNone/>
          <wp:docPr id="810" name="Image 810"/>
          <wp:cNvGraphicFramePr>
            <a:graphicFrameLocks/>
          </wp:cNvGraphicFramePr>
          <a:graphic>
            <a:graphicData uri="http://schemas.openxmlformats.org/drawingml/2006/picture">
              <pic:pic>
                <pic:nvPicPr>
                  <pic:cNvPr id="810" name="Image 810"/>
                  <pic:cNvPicPr/>
                </pic:nvPicPr>
                <pic:blipFill>
                  <a:blip r:embed="rId1" cstate="print"/>
                  <a:stretch>
                    <a:fillRect/>
                  </a:stretch>
                </pic:blipFill>
                <pic:spPr>
                  <a:xfrm>
                    <a:off x="0" y="0"/>
                    <a:ext cx="855472" cy="19248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18976">
              <wp:simplePos x="0" y="0"/>
              <wp:positionH relativeFrom="page">
                <wp:posOffset>5120347</wp:posOffset>
              </wp:positionH>
              <wp:positionV relativeFrom="page">
                <wp:posOffset>7360357</wp:posOffset>
              </wp:positionV>
              <wp:extent cx="491490" cy="137160"/>
              <wp:effectExtent l="0" t="0" r="0" b="0"/>
              <wp:wrapNone/>
              <wp:docPr id="811" name="Textbox 811"/>
              <wp:cNvGraphicFramePr>
                <a:graphicFrameLocks/>
              </wp:cNvGraphicFramePr>
              <a:graphic>
                <a:graphicData uri="http://schemas.microsoft.com/office/word/2010/wordprocessingShape">
                  <wps:wsp>
                    <wps:cNvPr id="811" name="Textbox 811"/>
                    <wps:cNvSpPr txBox="1"/>
                    <wps:spPr>
                      <a:xfrm>
                        <a:off x="0" y="0"/>
                        <a:ext cx="491490" cy="137160"/>
                      </a:xfrm>
                      <a:prstGeom prst="rect">
                        <a:avLst/>
                      </a:prstGeom>
                    </wps:spPr>
                    <wps:txbx>
                      <w:txbxContent>
                        <w:p>
                          <w:pPr>
                            <w:spacing w:before="21"/>
                            <w:ind w:left="20" w:right="0" w:firstLine="0"/>
                            <w:jc w:val="left"/>
                            <w:rPr>
                              <w:sz w:val="15"/>
                            </w:rPr>
                          </w:pPr>
                          <w:r>
                            <w:rPr>
                              <w:w w:val="105"/>
                              <w:sz w:val="15"/>
                            </w:rPr>
                            <w:t>Page</w:t>
                          </w:r>
                          <w:r>
                            <w:rPr>
                              <w:spacing w:val="-4"/>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260</w:t>
                          </w:r>
                          <w:r>
                            <w:rPr>
                              <w:spacing w:val="-5"/>
                              <w:w w:val="105"/>
                              <w:sz w:val="15"/>
                            </w:rPr>
                            <w:fldChar w:fldCharType="end"/>
                          </w:r>
                        </w:p>
                      </w:txbxContent>
                    </wps:txbx>
                    <wps:bodyPr wrap="square" lIns="0" tIns="0" rIns="0" bIns="0" rtlCol="0">
                      <a:noAutofit/>
                    </wps:bodyPr>
                  </wps:wsp>
                </a:graphicData>
              </a:graphic>
            </wp:anchor>
          </w:drawing>
        </mc:Choice>
        <mc:Fallback>
          <w:pict>
            <v:shape style="position:absolute;margin-left:403.177002pt;margin-top:579.555725pt;width:38.7pt;height:10.8pt;mso-position-horizontal-relative:page;mso-position-vertical-relative:page;z-index:-26197504" type="#_x0000_t202" id="docshape536" filled="false" stroked="false">
              <v:textbox inset="0,0,0,0">
                <w:txbxContent>
                  <w:p>
                    <w:pPr>
                      <w:spacing w:before="21"/>
                      <w:ind w:left="20" w:right="0" w:firstLine="0"/>
                      <w:jc w:val="left"/>
                      <w:rPr>
                        <w:sz w:val="15"/>
                      </w:rPr>
                    </w:pPr>
                    <w:r>
                      <w:rPr>
                        <w:w w:val="105"/>
                        <w:sz w:val="15"/>
                      </w:rPr>
                      <w:t>Page</w:t>
                    </w:r>
                    <w:r>
                      <w:rPr>
                        <w:spacing w:val="-4"/>
                        <w:w w:val="105"/>
                        <w:sz w:val="15"/>
                      </w:rPr>
                      <w:t> </w:t>
                    </w:r>
                    <w:r>
                      <w:rPr>
                        <w:spacing w:val="-5"/>
                        <w:w w:val="105"/>
                        <w:sz w:val="15"/>
                      </w:rPr>
                      <w:fldChar w:fldCharType="begin"/>
                    </w:r>
                    <w:r>
                      <w:rPr>
                        <w:spacing w:val="-5"/>
                        <w:w w:val="105"/>
                        <w:sz w:val="15"/>
                      </w:rPr>
                      <w:instrText> PAGE </w:instrText>
                    </w:r>
                    <w:r>
                      <w:rPr>
                        <w:spacing w:val="-5"/>
                        <w:w w:val="105"/>
                        <w:sz w:val="15"/>
                      </w:rPr>
                      <w:fldChar w:fldCharType="separate"/>
                    </w:r>
                    <w:r>
                      <w:rPr>
                        <w:spacing w:val="-5"/>
                        <w:w w:val="105"/>
                        <w:sz w:val="15"/>
                      </w:rPr>
                      <w:t>260</w:t>
                    </w:r>
                    <w:r>
                      <w:rPr>
                        <w:spacing w:val="-5"/>
                        <w:w w:val="105"/>
                        <w:sz w:val="15"/>
                      </w:rPr>
                      <w:fldChar w:fldCharType="end"/>
                    </w:r>
                  </w:p>
                </w:txbxContent>
              </v:textbox>
              <w10:wrap type="none"/>
            </v:shape>
          </w:pict>
        </mc:Fallback>
      </mc:AlternateContent>
    </w: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77119488">
          <wp:simplePos x="0" y="0"/>
          <wp:positionH relativeFrom="page">
            <wp:posOffset>3477450</wp:posOffset>
          </wp:positionH>
          <wp:positionV relativeFrom="page">
            <wp:posOffset>10471778</wp:posOffset>
          </wp:positionV>
          <wp:extent cx="604774" cy="136074"/>
          <wp:effectExtent l="0" t="0" r="0" b="0"/>
          <wp:wrapNone/>
          <wp:docPr id="812" name="Image 812"/>
          <wp:cNvGraphicFramePr>
            <a:graphicFrameLocks/>
          </wp:cNvGraphicFramePr>
          <a:graphic>
            <a:graphicData uri="http://schemas.openxmlformats.org/drawingml/2006/picture">
              <pic:pic>
                <pic:nvPicPr>
                  <pic:cNvPr id="812" name="Image 812"/>
                  <pic:cNvPicPr/>
                </pic:nvPicPr>
                <pic:blipFill>
                  <a:blip r:embed="rId1" cstate="print"/>
                  <a:stretch>
                    <a:fillRect/>
                  </a:stretch>
                </pic:blipFill>
                <pic:spPr>
                  <a:xfrm>
                    <a:off x="0" y="0"/>
                    <a:ext cx="604774" cy="1360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77120000">
              <wp:simplePos x="0" y="0"/>
              <wp:positionH relativeFrom="page">
                <wp:posOffset>3616350</wp:posOffset>
              </wp:positionH>
              <wp:positionV relativeFrom="page">
                <wp:posOffset>10495411</wp:posOffset>
              </wp:positionV>
              <wp:extent cx="365125" cy="104139"/>
              <wp:effectExtent l="0" t="0" r="0" b="0"/>
              <wp:wrapNone/>
              <wp:docPr id="813" name="Textbox 813"/>
              <wp:cNvGraphicFramePr>
                <a:graphicFrameLocks/>
              </wp:cNvGraphicFramePr>
              <a:graphic>
                <a:graphicData uri="http://schemas.microsoft.com/office/word/2010/wordprocessingShape">
                  <wps:wsp>
                    <wps:cNvPr id="813" name="Textbox 813"/>
                    <wps:cNvSpPr txBox="1"/>
                    <wps:spPr>
                      <a:xfrm>
                        <a:off x="0" y="0"/>
                        <a:ext cx="365125" cy="104139"/>
                      </a:xfrm>
                      <a:prstGeom prst="rect">
                        <a:avLst/>
                      </a:prstGeom>
                    </wps:spPr>
                    <wps:txbx>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263</w:t>
                          </w:r>
                          <w:r>
                            <w:rPr>
                              <w:spacing w:val="-5"/>
                              <w:sz w:val="11"/>
                            </w:rPr>
                            <w:fldChar w:fldCharType="end"/>
                          </w:r>
                        </w:p>
                      </w:txbxContent>
                    </wps:txbx>
                    <wps:bodyPr wrap="square" lIns="0" tIns="0" rIns="0" bIns="0" rtlCol="0">
                      <a:noAutofit/>
                    </wps:bodyPr>
                  </wps:wsp>
                </a:graphicData>
              </a:graphic>
            </wp:anchor>
          </w:drawing>
        </mc:Choice>
        <mc:Fallback>
          <w:pict>
            <v:shape style="position:absolute;margin-left:284.752014pt;margin-top:826.410339pt;width:28.75pt;height:8.2pt;mso-position-horizontal-relative:page;mso-position-vertical-relative:page;z-index:-26196480" type="#_x0000_t202" id="docshape537" filled="false" stroked="false">
              <v:textbox inset="0,0,0,0">
                <w:txbxContent>
                  <w:p>
                    <w:pPr>
                      <w:spacing w:before="17"/>
                      <w:ind w:left="20" w:right="0" w:firstLine="0"/>
                      <w:jc w:val="left"/>
                      <w:rPr>
                        <w:sz w:val="11"/>
                      </w:rPr>
                    </w:pPr>
                    <w:r>
                      <w:rPr>
                        <w:sz w:val="11"/>
                      </w:rPr>
                      <w:t>Page </w:t>
                    </w:r>
                    <w:r>
                      <w:rPr>
                        <w:spacing w:val="-5"/>
                        <w:sz w:val="11"/>
                      </w:rPr>
                      <w:fldChar w:fldCharType="begin"/>
                    </w:r>
                    <w:r>
                      <w:rPr>
                        <w:spacing w:val="-5"/>
                        <w:sz w:val="11"/>
                      </w:rPr>
                      <w:instrText> PAGE </w:instrText>
                    </w:r>
                    <w:r>
                      <w:rPr>
                        <w:spacing w:val="-5"/>
                        <w:sz w:val="11"/>
                      </w:rPr>
                      <w:fldChar w:fldCharType="separate"/>
                    </w:r>
                    <w:r>
                      <w:rPr>
                        <w:spacing w:val="-5"/>
                        <w:sz w:val="11"/>
                      </w:rPr>
                      <w:t>263</w:t>
                    </w:r>
                    <w:r>
                      <w:rPr>
                        <w:spacing w:val="-5"/>
                        <w:sz w:val="11"/>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
    <w:multiLevelType w:val="hybridMultilevel"/>
    <w:lvl w:ilvl="0">
      <w:start w:val="0"/>
      <w:numFmt w:val="bullet"/>
      <w:lvlText w:val=""/>
      <w:lvlJc w:val="left"/>
      <w:pPr>
        <w:ind w:left="80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569" w:hanging="361"/>
      </w:pPr>
      <w:rPr>
        <w:rFonts w:hint="default"/>
        <w:lang w:val="en-US" w:eastAsia="en-US" w:bidi="ar-SA"/>
      </w:rPr>
    </w:lvl>
    <w:lvl w:ilvl="2">
      <w:start w:val="0"/>
      <w:numFmt w:val="bullet"/>
      <w:lvlText w:val="•"/>
      <w:lvlJc w:val="left"/>
      <w:pPr>
        <w:ind w:left="2339"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879" w:hanging="361"/>
      </w:pPr>
      <w:rPr>
        <w:rFonts w:hint="default"/>
        <w:lang w:val="en-US" w:eastAsia="en-US" w:bidi="ar-SA"/>
      </w:rPr>
    </w:lvl>
    <w:lvl w:ilvl="5">
      <w:start w:val="0"/>
      <w:numFmt w:val="bullet"/>
      <w:lvlText w:val="•"/>
      <w:lvlJc w:val="left"/>
      <w:pPr>
        <w:ind w:left="4649" w:hanging="361"/>
      </w:pPr>
      <w:rPr>
        <w:rFonts w:hint="default"/>
        <w:lang w:val="en-US" w:eastAsia="en-US" w:bidi="ar-SA"/>
      </w:rPr>
    </w:lvl>
    <w:lvl w:ilvl="6">
      <w:start w:val="0"/>
      <w:numFmt w:val="bullet"/>
      <w:lvlText w:val="•"/>
      <w:lvlJc w:val="left"/>
      <w:pPr>
        <w:ind w:left="5419" w:hanging="361"/>
      </w:pPr>
      <w:rPr>
        <w:rFonts w:hint="default"/>
        <w:lang w:val="en-US" w:eastAsia="en-US" w:bidi="ar-SA"/>
      </w:rPr>
    </w:lvl>
    <w:lvl w:ilvl="7">
      <w:start w:val="0"/>
      <w:numFmt w:val="bullet"/>
      <w:lvlText w:val="•"/>
      <w:lvlJc w:val="left"/>
      <w:pPr>
        <w:ind w:left="6189" w:hanging="361"/>
      </w:pPr>
      <w:rPr>
        <w:rFonts w:hint="default"/>
        <w:lang w:val="en-US" w:eastAsia="en-US" w:bidi="ar-SA"/>
      </w:rPr>
    </w:lvl>
    <w:lvl w:ilvl="8">
      <w:start w:val="0"/>
      <w:numFmt w:val="bullet"/>
      <w:lvlText w:val="•"/>
      <w:lvlJc w:val="left"/>
      <w:pPr>
        <w:ind w:left="6959" w:hanging="361"/>
      </w:pPr>
      <w:rPr>
        <w:rFonts w:hint="default"/>
        <w:lang w:val="en-US" w:eastAsia="en-US" w:bidi="ar-SA"/>
      </w:rPr>
    </w:lvl>
  </w:abstractNum>
  <w:abstractNum w:abstractNumId="110">
    <w:multiLevelType w:val="hybridMultilevel"/>
    <w:lvl w:ilvl="0">
      <w:start w:val="0"/>
      <w:numFmt w:val="bullet"/>
      <w:lvlText w:val=""/>
      <w:lvlJc w:val="left"/>
      <w:pPr>
        <w:ind w:left="800" w:hanging="361"/>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569" w:hanging="361"/>
      </w:pPr>
      <w:rPr>
        <w:rFonts w:hint="default"/>
        <w:lang w:val="en-US" w:eastAsia="en-US" w:bidi="ar-SA"/>
      </w:rPr>
    </w:lvl>
    <w:lvl w:ilvl="2">
      <w:start w:val="0"/>
      <w:numFmt w:val="bullet"/>
      <w:lvlText w:val="•"/>
      <w:lvlJc w:val="left"/>
      <w:pPr>
        <w:ind w:left="2339"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879" w:hanging="361"/>
      </w:pPr>
      <w:rPr>
        <w:rFonts w:hint="default"/>
        <w:lang w:val="en-US" w:eastAsia="en-US" w:bidi="ar-SA"/>
      </w:rPr>
    </w:lvl>
    <w:lvl w:ilvl="5">
      <w:start w:val="0"/>
      <w:numFmt w:val="bullet"/>
      <w:lvlText w:val="•"/>
      <w:lvlJc w:val="left"/>
      <w:pPr>
        <w:ind w:left="4649" w:hanging="361"/>
      </w:pPr>
      <w:rPr>
        <w:rFonts w:hint="default"/>
        <w:lang w:val="en-US" w:eastAsia="en-US" w:bidi="ar-SA"/>
      </w:rPr>
    </w:lvl>
    <w:lvl w:ilvl="6">
      <w:start w:val="0"/>
      <w:numFmt w:val="bullet"/>
      <w:lvlText w:val="•"/>
      <w:lvlJc w:val="left"/>
      <w:pPr>
        <w:ind w:left="5419" w:hanging="361"/>
      </w:pPr>
      <w:rPr>
        <w:rFonts w:hint="default"/>
        <w:lang w:val="en-US" w:eastAsia="en-US" w:bidi="ar-SA"/>
      </w:rPr>
    </w:lvl>
    <w:lvl w:ilvl="7">
      <w:start w:val="0"/>
      <w:numFmt w:val="bullet"/>
      <w:lvlText w:val="•"/>
      <w:lvlJc w:val="left"/>
      <w:pPr>
        <w:ind w:left="6189" w:hanging="361"/>
      </w:pPr>
      <w:rPr>
        <w:rFonts w:hint="default"/>
        <w:lang w:val="en-US" w:eastAsia="en-US" w:bidi="ar-SA"/>
      </w:rPr>
    </w:lvl>
    <w:lvl w:ilvl="8">
      <w:start w:val="0"/>
      <w:numFmt w:val="bullet"/>
      <w:lvlText w:val="•"/>
      <w:lvlJc w:val="left"/>
      <w:pPr>
        <w:ind w:left="6959" w:hanging="361"/>
      </w:pPr>
      <w:rPr>
        <w:rFonts w:hint="default"/>
        <w:lang w:val="en-US" w:eastAsia="en-US" w:bidi="ar-SA"/>
      </w:rPr>
    </w:lvl>
  </w:abstractNum>
  <w:abstractNum w:abstractNumId="109">
    <w:multiLevelType w:val="hybridMultilevel"/>
    <w:lvl w:ilvl="0">
      <w:start w:val="0"/>
      <w:numFmt w:val="bullet"/>
      <w:lvlText w:val=""/>
      <w:lvlJc w:val="left"/>
      <w:pPr>
        <w:ind w:left="800" w:hanging="361"/>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569" w:hanging="361"/>
      </w:pPr>
      <w:rPr>
        <w:rFonts w:hint="default"/>
        <w:lang w:val="en-US" w:eastAsia="en-US" w:bidi="ar-SA"/>
      </w:rPr>
    </w:lvl>
    <w:lvl w:ilvl="2">
      <w:start w:val="0"/>
      <w:numFmt w:val="bullet"/>
      <w:lvlText w:val="•"/>
      <w:lvlJc w:val="left"/>
      <w:pPr>
        <w:ind w:left="2339"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879" w:hanging="361"/>
      </w:pPr>
      <w:rPr>
        <w:rFonts w:hint="default"/>
        <w:lang w:val="en-US" w:eastAsia="en-US" w:bidi="ar-SA"/>
      </w:rPr>
    </w:lvl>
    <w:lvl w:ilvl="5">
      <w:start w:val="0"/>
      <w:numFmt w:val="bullet"/>
      <w:lvlText w:val="•"/>
      <w:lvlJc w:val="left"/>
      <w:pPr>
        <w:ind w:left="4649" w:hanging="361"/>
      </w:pPr>
      <w:rPr>
        <w:rFonts w:hint="default"/>
        <w:lang w:val="en-US" w:eastAsia="en-US" w:bidi="ar-SA"/>
      </w:rPr>
    </w:lvl>
    <w:lvl w:ilvl="6">
      <w:start w:val="0"/>
      <w:numFmt w:val="bullet"/>
      <w:lvlText w:val="•"/>
      <w:lvlJc w:val="left"/>
      <w:pPr>
        <w:ind w:left="5419" w:hanging="361"/>
      </w:pPr>
      <w:rPr>
        <w:rFonts w:hint="default"/>
        <w:lang w:val="en-US" w:eastAsia="en-US" w:bidi="ar-SA"/>
      </w:rPr>
    </w:lvl>
    <w:lvl w:ilvl="7">
      <w:start w:val="0"/>
      <w:numFmt w:val="bullet"/>
      <w:lvlText w:val="•"/>
      <w:lvlJc w:val="left"/>
      <w:pPr>
        <w:ind w:left="6189" w:hanging="361"/>
      </w:pPr>
      <w:rPr>
        <w:rFonts w:hint="default"/>
        <w:lang w:val="en-US" w:eastAsia="en-US" w:bidi="ar-SA"/>
      </w:rPr>
    </w:lvl>
    <w:lvl w:ilvl="8">
      <w:start w:val="0"/>
      <w:numFmt w:val="bullet"/>
      <w:lvlText w:val="•"/>
      <w:lvlJc w:val="left"/>
      <w:pPr>
        <w:ind w:left="6959" w:hanging="361"/>
      </w:pPr>
      <w:rPr>
        <w:rFonts w:hint="default"/>
        <w:lang w:val="en-US" w:eastAsia="en-US" w:bidi="ar-SA"/>
      </w:rPr>
    </w:lvl>
  </w:abstractNum>
  <w:abstractNum w:abstractNumId="108">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605" w:hanging="361"/>
      </w:pPr>
      <w:rPr>
        <w:rFonts w:hint="default"/>
        <w:lang w:val="en-US" w:eastAsia="en-US" w:bidi="ar-SA"/>
      </w:rPr>
    </w:lvl>
    <w:lvl w:ilvl="2">
      <w:start w:val="0"/>
      <w:numFmt w:val="bullet"/>
      <w:lvlText w:val="•"/>
      <w:lvlJc w:val="left"/>
      <w:pPr>
        <w:ind w:left="2371" w:hanging="361"/>
      </w:pPr>
      <w:rPr>
        <w:rFonts w:hint="default"/>
        <w:lang w:val="en-US" w:eastAsia="en-US" w:bidi="ar-SA"/>
      </w:rPr>
    </w:lvl>
    <w:lvl w:ilvl="3">
      <w:start w:val="0"/>
      <w:numFmt w:val="bullet"/>
      <w:lvlText w:val="•"/>
      <w:lvlJc w:val="left"/>
      <w:pPr>
        <w:ind w:left="3137" w:hanging="361"/>
      </w:pPr>
      <w:rPr>
        <w:rFonts w:hint="default"/>
        <w:lang w:val="en-US" w:eastAsia="en-US" w:bidi="ar-SA"/>
      </w:rPr>
    </w:lvl>
    <w:lvl w:ilvl="4">
      <w:start w:val="0"/>
      <w:numFmt w:val="bullet"/>
      <w:lvlText w:val="•"/>
      <w:lvlJc w:val="left"/>
      <w:pPr>
        <w:ind w:left="3903" w:hanging="361"/>
      </w:pPr>
      <w:rPr>
        <w:rFonts w:hint="default"/>
        <w:lang w:val="en-US" w:eastAsia="en-US" w:bidi="ar-SA"/>
      </w:rPr>
    </w:lvl>
    <w:lvl w:ilvl="5">
      <w:start w:val="0"/>
      <w:numFmt w:val="bullet"/>
      <w:lvlText w:val="•"/>
      <w:lvlJc w:val="left"/>
      <w:pPr>
        <w:ind w:left="4669" w:hanging="361"/>
      </w:pPr>
      <w:rPr>
        <w:rFonts w:hint="default"/>
        <w:lang w:val="en-US" w:eastAsia="en-US" w:bidi="ar-SA"/>
      </w:rPr>
    </w:lvl>
    <w:lvl w:ilvl="6">
      <w:start w:val="0"/>
      <w:numFmt w:val="bullet"/>
      <w:lvlText w:val="•"/>
      <w:lvlJc w:val="left"/>
      <w:pPr>
        <w:ind w:left="5435" w:hanging="361"/>
      </w:pPr>
      <w:rPr>
        <w:rFonts w:hint="default"/>
        <w:lang w:val="en-US" w:eastAsia="en-US" w:bidi="ar-SA"/>
      </w:rPr>
    </w:lvl>
    <w:lvl w:ilvl="7">
      <w:start w:val="0"/>
      <w:numFmt w:val="bullet"/>
      <w:lvlText w:val="•"/>
      <w:lvlJc w:val="left"/>
      <w:pPr>
        <w:ind w:left="6201" w:hanging="361"/>
      </w:pPr>
      <w:rPr>
        <w:rFonts w:hint="default"/>
        <w:lang w:val="en-US" w:eastAsia="en-US" w:bidi="ar-SA"/>
      </w:rPr>
    </w:lvl>
    <w:lvl w:ilvl="8">
      <w:start w:val="0"/>
      <w:numFmt w:val="bullet"/>
      <w:lvlText w:val="•"/>
      <w:lvlJc w:val="left"/>
      <w:pPr>
        <w:ind w:left="6967" w:hanging="361"/>
      </w:pPr>
      <w:rPr>
        <w:rFonts w:hint="default"/>
        <w:lang w:val="en-US" w:eastAsia="en-US" w:bidi="ar-SA"/>
      </w:rPr>
    </w:lvl>
  </w:abstractNum>
  <w:abstractNum w:abstractNumId="107">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605" w:hanging="361"/>
      </w:pPr>
      <w:rPr>
        <w:rFonts w:hint="default"/>
        <w:lang w:val="en-US" w:eastAsia="en-US" w:bidi="ar-SA"/>
      </w:rPr>
    </w:lvl>
    <w:lvl w:ilvl="2">
      <w:start w:val="0"/>
      <w:numFmt w:val="bullet"/>
      <w:lvlText w:val="•"/>
      <w:lvlJc w:val="left"/>
      <w:pPr>
        <w:ind w:left="2371" w:hanging="361"/>
      </w:pPr>
      <w:rPr>
        <w:rFonts w:hint="default"/>
        <w:lang w:val="en-US" w:eastAsia="en-US" w:bidi="ar-SA"/>
      </w:rPr>
    </w:lvl>
    <w:lvl w:ilvl="3">
      <w:start w:val="0"/>
      <w:numFmt w:val="bullet"/>
      <w:lvlText w:val="•"/>
      <w:lvlJc w:val="left"/>
      <w:pPr>
        <w:ind w:left="3137" w:hanging="361"/>
      </w:pPr>
      <w:rPr>
        <w:rFonts w:hint="default"/>
        <w:lang w:val="en-US" w:eastAsia="en-US" w:bidi="ar-SA"/>
      </w:rPr>
    </w:lvl>
    <w:lvl w:ilvl="4">
      <w:start w:val="0"/>
      <w:numFmt w:val="bullet"/>
      <w:lvlText w:val="•"/>
      <w:lvlJc w:val="left"/>
      <w:pPr>
        <w:ind w:left="3903" w:hanging="361"/>
      </w:pPr>
      <w:rPr>
        <w:rFonts w:hint="default"/>
        <w:lang w:val="en-US" w:eastAsia="en-US" w:bidi="ar-SA"/>
      </w:rPr>
    </w:lvl>
    <w:lvl w:ilvl="5">
      <w:start w:val="0"/>
      <w:numFmt w:val="bullet"/>
      <w:lvlText w:val="•"/>
      <w:lvlJc w:val="left"/>
      <w:pPr>
        <w:ind w:left="4669" w:hanging="361"/>
      </w:pPr>
      <w:rPr>
        <w:rFonts w:hint="default"/>
        <w:lang w:val="en-US" w:eastAsia="en-US" w:bidi="ar-SA"/>
      </w:rPr>
    </w:lvl>
    <w:lvl w:ilvl="6">
      <w:start w:val="0"/>
      <w:numFmt w:val="bullet"/>
      <w:lvlText w:val="•"/>
      <w:lvlJc w:val="left"/>
      <w:pPr>
        <w:ind w:left="5435" w:hanging="361"/>
      </w:pPr>
      <w:rPr>
        <w:rFonts w:hint="default"/>
        <w:lang w:val="en-US" w:eastAsia="en-US" w:bidi="ar-SA"/>
      </w:rPr>
    </w:lvl>
    <w:lvl w:ilvl="7">
      <w:start w:val="0"/>
      <w:numFmt w:val="bullet"/>
      <w:lvlText w:val="•"/>
      <w:lvlJc w:val="left"/>
      <w:pPr>
        <w:ind w:left="6201" w:hanging="361"/>
      </w:pPr>
      <w:rPr>
        <w:rFonts w:hint="default"/>
        <w:lang w:val="en-US" w:eastAsia="en-US" w:bidi="ar-SA"/>
      </w:rPr>
    </w:lvl>
    <w:lvl w:ilvl="8">
      <w:start w:val="0"/>
      <w:numFmt w:val="bullet"/>
      <w:lvlText w:val="•"/>
      <w:lvlJc w:val="left"/>
      <w:pPr>
        <w:ind w:left="6967" w:hanging="361"/>
      </w:pPr>
      <w:rPr>
        <w:rFonts w:hint="default"/>
        <w:lang w:val="en-US" w:eastAsia="en-US" w:bidi="ar-SA"/>
      </w:rPr>
    </w:lvl>
  </w:abstractNum>
  <w:abstractNum w:abstractNumId="106">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605" w:hanging="361"/>
      </w:pPr>
      <w:rPr>
        <w:rFonts w:hint="default"/>
        <w:lang w:val="en-US" w:eastAsia="en-US" w:bidi="ar-SA"/>
      </w:rPr>
    </w:lvl>
    <w:lvl w:ilvl="2">
      <w:start w:val="0"/>
      <w:numFmt w:val="bullet"/>
      <w:lvlText w:val="•"/>
      <w:lvlJc w:val="left"/>
      <w:pPr>
        <w:ind w:left="2371" w:hanging="361"/>
      </w:pPr>
      <w:rPr>
        <w:rFonts w:hint="default"/>
        <w:lang w:val="en-US" w:eastAsia="en-US" w:bidi="ar-SA"/>
      </w:rPr>
    </w:lvl>
    <w:lvl w:ilvl="3">
      <w:start w:val="0"/>
      <w:numFmt w:val="bullet"/>
      <w:lvlText w:val="•"/>
      <w:lvlJc w:val="left"/>
      <w:pPr>
        <w:ind w:left="3137" w:hanging="361"/>
      </w:pPr>
      <w:rPr>
        <w:rFonts w:hint="default"/>
        <w:lang w:val="en-US" w:eastAsia="en-US" w:bidi="ar-SA"/>
      </w:rPr>
    </w:lvl>
    <w:lvl w:ilvl="4">
      <w:start w:val="0"/>
      <w:numFmt w:val="bullet"/>
      <w:lvlText w:val="•"/>
      <w:lvlJc w:val="left"/>
      <w:pPr>
        <w:ind w:left="3903" w:hanging="361"/>
      </w:pPr>
      <w:rPr>
        <w:rFonts w:hint="default"/>
        <w:lang w:val="en-US" w:eastAsia="en-US" w:bidi="ar-SA"/>
      </w:rPr>
    </w:lvl>
    <w:lvl w:ilvl="5">
      <w:start w:val="0"/>
      <w:numFmt w:val="bullet"/>
      <w:lvlText w:val="•"/>
      <w:lvlJc w:val="left"/>
      <w:pPr>
        <w:ind w:left="4669" w:hanging="361"/>
      </w:pPr>
      <w:rPr>
        <w:rFonts w:hint="default"/>
        <w:lang w:val="en-US" w:eastAsia="en-US" w:bidi="ar-SA"/>
      </w:rPr>
    </w:lvl>
    <w:lvl w:ilvl="6">
      <w:start w:val="0"/>
      <w:numFmt w:val="bullet"/>
      <w:lvlText w:val="•"/>
      <w:lvlJc w:val="left"/>
      <w:pPr>
        <w:ind w:left="5435" w:hanging="361"/>
      </w:pPr>
      <w:rPr>
        <w:rFonts w:hint="default"/>
        <w:lang w:val="en-US" w:eastAsia="en-US" w:bidi="ar-SA"/>
      </w:rPr>
    </w:lvl>
    <w:lvl w:ilvl="7">
      <w:start w:val="0"/>
      <w:numFmt w:val="bullet"/>
      <w:lvlText w:val="•"/>
      <w:lvlJc w:val="left"/>
      <w:pPr>
        <w:ind w:left="6201" w:hanging="361"/>
      </w:pPr>
      <w:rPr>
        <w:rFonts w:hint="default"/>
        <w:lang w:val="en-US" w:eastAsia="en-US" w:bidi="ar-SA"/>
      </w:rPr>
    </w:lvl>
    <w:lvl w:ilvl="8">
      <w:start w:val="0"/>
      <w:numFmt w:val="bullet"/>
      <w:lvlText w:val="•"/>
      <w:lvlJc w:val="left"/>
      <w:pPr>
        <w:ind w:left="6967" w:hanging="361"/>
      </w:pPr>
      <w:rPr>
        <w:rFonts w:hint="default"/>
        <w:lang w:val="en-US" w:eastAsia="en-US" w:bidi="ar-SA"/>
      </w:rPr>
    </w:lvl>
  </w:abstractNum>
  <w:abstractNum w:abstractNumId="105">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605" w:hanging="361"/>
      </w:pPr>
      <w:rPr>
        <w:rFonts w:hint="default"/>
        <w:lang w:val="en-US" w:eastAsia="en-US" w:bidi="ar-SA"/>
      </w:rPr>
    </w:lvl>
    <w:lvl w:ilvl="2">
      <w:start w:val="0"/>
      <w:numFmt w:val="bullet"/>
      <w:lvlText w:val="•"/>
      <w:lvlJc w:val="left"/>
      <w:pPr>
        <w:ind w:left="2371" w:hanging="361"/>
      </w:pPr>
      <w:rPr>
        <w:rFonts w:hint="default"/>
        <w:lang w:val="en-US" w:eastAsia="en-US" w:bidi="ar-SA"/>
      </w:rPr>
    </w:lvl>
    <w:lvl w:ilvl="3">
      <w:start w:val="0"/>
      <w:numFmt w:val="bullet"/>
      <w:lvlText w:val="•"/>
      <w:lvlJc w:val="left"/>
      <w:pPr>
        <w:ind w:left="3137" w:hanging="361"/>
      </w:pPr>
      <w:rPr>
        <w:rFonts w:hint="default"/>
        <w:lang w:val="en-US" w:eastAsia="en-US" w:bidi="ar-SA"/>
      </w:rPr>
    </w:lvl>
    <w:lvl w:ilvl="4">
      <w:start w:val="0"/>
      <w:numFmt w:val="bullet"/>
      <w:lvlText w:val="•"/>
      <w:lvlJc w:val="left"/>
      <w:pPr>
        <w:ind w:left="3903" w:hanging="361"/>
      </w:pPr>
      <w:rPr>
        <w:rFonts w:hint="default"/>
        <w:lang w:val="en-US" w:eastAsia="en-US" w:bidi="ar-SA"/>
      </w:rPr>
    </w:lvl>
    <w:lvl w:ilvl="5">
      <w:start w:val="0"/>
      <w:numFmt w:val="bullet"/>
      <w:lvlText w:val="•"/>
      <w:lvlJc w:val="left"/>
      <w:pPr>
        <w:ind w:left="4669" w:hanging="361"/>
      </w:pPr>
      <w:rPr>
        <w:rFonts w:hint="default"/>
        <w:lang w:val="en-US" w:eastAsia="en-US" w:bidi="ar-SA"/>
      </w:rPr>
    </w:lvl>
    <w:lvl w:ilvl="6">
      <w:start w:val="0"/>
      <w:numFmt w:val="bullet"/>
      <w:lvlText w:val="•"/>
      <w:lvlJc w:val="left"/>
      <w:pPr>
        <w:ind w:left="5435" w:hanging="361"/>
      </w:pPr>
      <w:rPr>
        <w:rFonts w:hint="default"/>
        <w:lang w:val="en-US" w:eastAsia="en-US" w:bidi="ar-SA"/>
      </w:rPr>
    </w:lvl>
    <w:lvl w:ilvl="7">
      <w:start w:val="0"/>
      <w:numFmt w:val="bullet"/>
      <w:lvlText w:val="•"/>
      <w:lvlJc w:val="left"/>
      <w:pPr>
        <w:ind w:left="6201" w:hanging="361"/>
      </w:pPr>
      <w:rPr>
        <w:rFonts w:hint="default"/>
        <w:lang w:val="en-US" w:eastAsia="en-US" w:bidi="ar-SA"/>
      </w:rPr>
    </w:lvl>
    <w:lvl w:ilvl="8">
      <w:start w:val="0"/>
      <w:numFmt w:val="bullet"/>
      <w:lvlText w:val="•"/>
      <w:lvlJc w:val="left"/>
      <w:pPr>
        <w:ind w:left="6967" w:hanging="361"/>
      </w:pPr>
      <w:rPr>
        <w:rFonts w:hint="default"/>
        <w:lang w:val="en-US" w:eastAsia="en-US" w:bidi="ar-SA"/>
      </w:rPr>
    </w:lvl>
  </w:abstractNum>
  <w:abstractNum w:abstractNumId="104">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605" w:hanging="361"/>
      </w:pPr>
      <w:rPr>
        <w:rFonts w:hint="default"/>
        <w:lang w:val="en-US" w:eastAsia="en-US" w:bidi="ar-SA"/>
      </w:rPr>
    </w:lvl>
    <w:lvl w:ilvl="2">
      <w:start w:val="0"/>
      <w:numFmt w:val="bullet"/>
      <w:lvlText w:val="•"/>
      <w:lvlJc w:val="left"/>
      <w:pPr>
        <w:ind w:left="2371" w:hanging="361"/>
      </w:pPr>
      <w:rPr>
        <w:rFonts w:hint="default"/>
        <w:lang w:val="en-US" w:eastAsia="en-US" w:bidi="ar-SA"/>
      </w:rPr>
    </w:lvl>
    <w:lvl w:ilvl="3">
      <w:start w:val="0"/>
      <w:numFmt w:val="bullet"/>
      <w:lvlText w:val="•"/>
      <w:lvlJc w:val="left"/>
      <w:pPr>
        <w:ind w:left="3137" w:hanging="361"/>
      </w:pPr>
      <w:rPr>
        <w:rFonts w:hint="default"/>
        <w:lang w:val="en-US" w:eastAsia="en-US" w:bidi="ar-SA"/>
      </w:rPr>
    </w:lvl>
    <w:lvl w:ilvl="4">
      <w:start w:val="0"/>
      <w:numFmt w:val="bullet"/>
      <w:lvlText w:val="•"/>
      <w:lvlJc w:val="left"/>
      <w:pPr>
        <w:ind w:left="3903" w:hanging="361"/>
      </w:pPr>
      <w:rPr>
        <w:rFonts w:hint="default"/>
        <w:lang w:val="en-US" w:eastAsia="en-US" w:bidi="ar-SA"/>
      </w:rPr>
    </w:lvl>
    <w:lvl w:ilvl="5">
      <w:start w:val="0"/>
      <w:numFmt w:val="bullet"/>
      <w:lvlText w:val="•"/>
      <w:lvlJc w:val="left"/>
      <w:pPr>
        <w:ind w:left="4669" w:hanging="361"/>
      </w:pPr>
      <w:rPr>
        <w:rFonts w:hint="default"/>
        <w:lang w:val="en-US" w:eastAsia="en-US" w:bidi="ar-SA"/>
      </w:rPr>
    </w:lvl>
    <w:lvl w:ilvl="6">
      <w:start w:val="0"/>
      <w:numFmt w:val="bullet"/>
      <w:lvlText w:val="•"/>
      <w:lvlJc w:val="left"/>
      <w:pPr>
        <w:ind w:left="5435" w:hanging="361"/>
      </w:pPr>
      <w:rPr>
        <w:rFonts w:hint="default"/>
        <w:lang w:val="en-US" w:eastAsia="en-US" w:bidi="ar-SA"/>
      </w:rPr>
    </w:lvl>
    <w:lvl w:ilvl="7">
      <w:start w:val="0"/>
      <w:numFmt w:val="bullet"/>
      <w:lvlText w:val="•"/>
      <w:lvlJc w:val="left"/>
      <w:pPr>
        <w:ind w:left="6201" w:hanging="361"/>
      </w:pPr>
      <w:rPr>
        <w:rFonts w:hint="default"/>
        <w:lang w:val="en-US" w:eastAsia="en-US" w:bidi="ar-SA"/>
      </w:rPr>
    </w:lvl>
    <w:lvl w:ilvl="8">
      <w:start w:val="0"/>
      <w:numFmt w:val="bullet"/>
      <w:lvlText w:val="•"/>
      <w:lvlJc w:val="left"/>
      <w:pPr>
        <w:ind w:left="6967" w:hanging="361"/>
      </w:pPr>
      <w:rPr>
        <w:rFonts w:hint="default"/>
        <w:lang w:val="en-US" w:eastAsia="en-US" w:bidi="ar-SA"/>
      </w:rPr>
    </w:lvl>
  </w:abstractNum>
  <w:abstractNum w:abstractNumId="103">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605" w:hanging="361"/>
      </w:pPr>
      <w:rPr>
        <w:rFonts w:hint="default"/>
        <w:lang w:val="en-US" w:eastAsia="en-US" w:bidi="ar-SA"/>
      </w:rPr>
    </w:lvl>
    <w:lvl w:ilvl="2">
      <w:start w:val="0"/>
      <w:numFmt w:val="bullet"/>
      <w:lvlText w:val="•"/>
      <w:lvlJc w:val="left"/>
      <w:pPr>
        <w:ind w:left="2371" w:hanging="361"/>
      </w:pPr>
      <w:rPr>
        <w:rFonts w:hint="default"/>
        <w:lang w:val="en-US" w:eastAsia="en-US" w:bidi="ar-SA"/>
      </w:rPr>
    </w:lvl>
    <w:lvl w:ilvl="3">
      <w:start w:val="0"/>
      <w:numFmt w:val="bullet"/>
      <w:lvlText w:val="•"/>
      <w:lvlJc w:val="left"/>
      <w:pPr>
        <w:ind w:left="3137" w:hanging="361"/>
      </w:pPr>
      <w:rPr>
        <w:rFonts w:hint="default"/>
        <w:lang w:val="en-US" w:eastAsia="en-US" w:bidi="ar-SA"/>
      </w:rPr>
    </w:lvl>
    <w:lvl w:ilvl="4">
      <w:start w:val="0"/>
      <w:numFmt w:val="bullet"/>
      <w:lvlText w:val="•"/>
      <w:lvlJc w:val="left"/>
      <w:pPr>
        <w:ind w:left="3903" w:hanging="361"/>
      </w:pPr>
      <w:rPr>
        <w:rFonts w:hint="default"/>
        <w:lang w:val="en-US" w:eastAsia="en-US" w:bidi="ar-SA"/>
      </w:rPr>
    </w:lvl>
    <w:lvl w:ilvl="5">
      <w:start w:val="0"/>
      <w:numFmt w:val="bullet"/>
      <w:lvlText w:val="•"/>
      <w:lvlJc w:val="left"/>
      <w:pPr>
        <w:ind w:left="4669" w:hanging="361"/>
      </w:pPr>
      <w:rPr>
        <w:rFonts w:hint="default"/>
        <w:lang w:val="en-US" w:eastAsia="en-US" w:bidi="ar-SA"/>
      </w:rPr>
    </w:lvl>
    <w:lvl w:ilvl="6">
      <w:start w:val="0"/>
      <w:numFmt w:val="bullet"/>
      <w:lvlText w:val="•"/>
      <w:lvlJc w:val="left"/>
      <w:pPr>
        <w:ind w:left="5435" w:hanging="361"/>
      </w:pPr>
      <w:rPr>
        <w:rFonts w:hint="default"/>
        <w:lang w:val="en-US" w:eastAsia="en-US" w:bidi="ar-SA"/>
      </w:rPr>
    </w:lvl>
    <w:lvl w:ilvl="7">
      <w:start w:val="0"/>
      <w:numFmt w:val="bullet"/>
      <w:lvlText w:val="•"/>
      <w:lvlJc w:val="left"/>
      <w:pPr>
        <w:ind w:left="6201" w:hanging="361"/>
      </w:pPr>
      <w:rPr>
        <w:rFonts w:hint="default"/>
        <w:lang w:val="en-US" w:eastAsia="en-US" w:bidi="ar-SA"/>
      </w:rPr>
    </w:lvl>
    <w:lvl w:ilvl="8">
      <w:start w:val="0"/>
      <w:numFmt w:val="bullet"/>
      <w:lvlText w:val="•"/>
      <w:lvlJc w:val="left"/>
      <w:pPr>
        <w:ind w:left="6967" w:hanging="361"/>
      </w:pPr>
      <w:rPr>
        <w:rFonts w:hint="default"/>
        <w:lang w:val="en-US" w:eastAsia="en-US" w:bidi="ar-SA"/>
      </w:rPr>
    </w:lvl>
  </w:abstractNum>
  <w:abstractNum w:abstractNumId="102">
    <w:multiLevelType w:val="hybridMultilevel"/>
    <w:lvl w:ilvl="0">
      <w:start w:val="1"/>
      <w:numFmt w:val="decimal"/>
      <w:lvlText w:val="%1."/>
      <w:lvlJc w:val="left"/>
      <w:pPr>
        <w:ind w:left="830" w:hanging="361"/>
        <w:jc w:val="left"/>
      </w:pPr>
      <w:rPr>
        <w:rFonts w:hint="default" w:ascii="Verdana" w:hAnsi="Verdana" w:eastAsia="Verdana" w:cs="Verdana"/>
        <w:b w:val="0"/>
        <w:bCs w:val="0"/>
        <w:i w:val="0"/>
        <w:iCs w:val="0"/>
        <w:spacing w:val="0"/>
        <w:w w:val="100"/>
        <w:sz w:val="24"/>
        <w:szCs w:val="24"/>
        <w:lang w:val="en-US" w:eastAsia="en-US" w:bidi="ar-SA"/>
      </w:rPr>
    </w:lvl>
    <w:lvl w:ilvl="1">
      <w:start w:val="0"/>
      <w:numFmt w:val="bullet"/>
      <w:lvlText w:val="•"/>
      <w:lvlJc w:val="left"/>
      <w:pPr>
        <w:ind w:left="1605" w:hanging="361"/>
      </w:pPr>
      <w:rPr>
        <w:rFonts w:hint="default"/>
        <w:lang w:val="en-US" w:eastAsia="en-US" w:bidi="ar-SA"/>
      </w:rPr>
    </w:lvl>
    <w:lvl w:ilvl="2">
      <w:start w:val="0"/>
      <w:numFmt w:val="bullet"/>
      <w:lvlText w:val="•"/>
      <w:lvlJc w:val="left"/>
      <w:pPr>
        <w:ind w:left="2371" w:hanging="361"/>
      </w:pPr>
      <w:rPr>
        <w:rFonts w:hint="default"/>
        <w:lang w:val="en-US" w:eastAsia="en-US" w:bidi="ar-SA"/>
      </w:rPr>
    </w:lvl>
    <w:lvl w:ilvl="3">
      <w:start w:val="0"/>
      <w:numFmt w:val="bullet"/>
      <w:lvlText w:val="•"/>
      <w:lvlJc w:val="left"/>
      <w:pPr>
        <w:ind w:left="3137" w:hanging="361"/>
      </w:pPr>
      <w:rPr>
        <w:rFonts w:hint="default"/>
        <w:lang w:val="en-US" w:eastAsia="en-US" w:bidi="ar-SA"/>
      </w:rPr>
    </w:lvl>
    <w:lvl w:ilvl="4">
      <w:start w:val="0"/>
      <w:numFmt w:val="bullet"/>
      <w:lvlText w:val="•"/>
      <w:lvlJc w:val="left"/>
      <w:pPr>
        <w:ind w:left="3903" w:hanging="361"/>
      </w:pPr>
      <w:rPr>
        <w:rFonts w:hint="default"/>
        <w:lang w:val="en-US" w:eastAsia="en-US" w:bidi="ar-SA"/>
      </w:rPr>
    </w:lvl>
    <w:lvl w:ilvl="5">
      <w:start w:val="0"/>
      <w:numFmt w:val="bullet"/>
      <w:lvlText w:val="•"/>
      <w:lvlJc w:val="left"/>
      <w:pPr>
        <w:ind w:left="4669" w:hanging="361"/>
      </w:pPr>
      <w:rPr>
        <w:rFonts w:hint="default"/>
        <w:lang w:val="en-US" w:eastAsia="en-US" w:bidi="ar-SA"/>
      </w:rPr>
    </w:lvl>
    <w:lvl w:ilvl="6">
      <w:start w:val="0"/>
      <w:numFmt w:val="bullet"/>
      <w:lvlText w:val="•"/>
      <w:lvlJc w:val="left"/>
      <w:pPr>
        <w:ind w:left="5435" w:hanging="361"/>
      </w:pPr>
      <w:rPr>
        <w:rFonts w:hint="default"/>
        <w:lang w:val="en-US" w:eastAsia="en-US" w:bidi="ar-SA"/>
      </w:rPr>
    </w:lvl>
    <w:lvl w:ilvl="7">
      <w:start w:val="0"/>
      <w:numFmt w:val="bullet"/>
      <w:lvlText w:val="•"/>
      <w:lvlJc w:val="left"/>
      <w:pPr>
        <w:ind w:left="6201" w:hanging="361"/>
      </w:pPr>
      <w:rPr>
        <w:rFonts w:hint="default"/>
        <w:lang w:val="en-US" w:eastAsia="en-US" w:bidi="ar-SA"/>
      </w:rPr>
    </w:lvl>
    <w:lvl w:ilvl="8">
      <w:start w:val="0"/>
      <w:numFmt w:val="bullet"/>
      <w:lvlText w:val="•"/>
      <w:lvlJc w:val="left"/>
      <w:pPr>
        <w:ind w:left="6967" w:hanging="361"/>
      </w:pPr>
      <w:rPr>
        <w:rFonts w:hint="default"/>
        <w:lang w:val="en-US" w:eastAsia="en-US" w:bidi="ar-SA"/>
      </w:rPr>
    </w:lvl>
  </w:abstractNum>
  <w:abstractNum w:abstractNumId="101">
    <w:multiLevelType w:val="hybridMultilevel"/>
    <w:lvl w:ilvl="0">
      <w:start w:val="8"/>
      <w:numFmt w:val="decimal"/>
      <w:lvlText w:val="%1"/>
      <w:lvlJc w:val="left"/>
      <w:pPr>
        <w:ind w:left="23" w:hanging="541"/>
        <w:jc w:val="left"/>
      </w:pPr>
      <w:rPr>
        <w:rFonts w:hint="default"/>
        <w:lang w:val="en-US" w:eastAsia="en-US" w:bidi="ar-SA"/>
      </w:rPr>
    </w:lvl>
    <w:lvl w:ilvl="1">
      <w:start w:val="1"/>
      <w:numFmt w:val="decimal"/>
      <w:lvlText w:val="%1.%2"/>
      <w:lvlJc w:val="left"/>
      <w:pPr>
        <w:ind w:left="23" w:hanging="541"/>
        <w:jc w:val="left"/>
      </w:pPr>
      <w:rPr>
        <w:rFonts w:hint="default" w:ascii="Arial" w:hAnsi="Arial" w:eastAsia="Arial" w:cs="Arial"/>
        <w:b w:val="0"/>
        <w:bCs w:val="0"/>
        <w:i w:val="0"/>
        <w:iCs w:val="0"/>
        <w:spacing w:val="0"/>
        <w:w w:val="100"/>
        <w:sz w:val="32"/>
        <w:szCs w:val="32"/>
        <w:lang w:val="en-US" w:eastAsia="en-US" w:bidi="ar-SA"/>
      </w:rPr>
    </w:lvl>
    <w:lvl w:ilvl="2">
      <w:start w:val="0"/>
      <w:numFmt w:val="bullet"/>
      <w:lvlText w:val="•"/>
      <w:lvlJc w:val="left"/>
      <w:pPr>
        <w:ind w:left="1361" w:hanging="541"/>
      </w:pPr>
      <w:rPr>
        <w:rFonts w:hint="default"/>
        <w:lang w:val="en-US" w:eastAsia="en-US" w:bidi="ar-SA"/>
      </w:rPr>
    </w:lvl>
    <w:lvl w:ilvl="3">
      <w:start w:val="0"/>
      <w:numFmt w:val="bullet"/>
      <w:lvlText w:val="•"/>
      <w:lvlJc w:val="left"/>
      <w:pPr>
        <w:ind w:left="2032" w:hanging="541"/>
      </w:pPr>
      <w:rPr>
        <w:rFonts w:hint="default"/>
        <w:lang w:val="en-US" w:eastAsia="en-US" w:bidi="ar-SA"/>
      </w:rPr>
    </w:lvl>
    <w:lvl w:ilvl="4">
      <w:start w:val="0"/>
      <w:numFmt w:val="bullet"/>
      <w:lvlText w:val="•"/>
      <w:lvlJc w:val="left"/>
      <w:pPr>
        <w:ind w:left="2702" w:hanging="541"/>
      </w:pPr>
      <w:rPr>
        <w:rFonts w:hint="default"/>
        <w:lang w:val="en-US" w:eastAsia="en-US" w:bidi="ar-SA"/>
      </w:rPr>
    </w:lvl>
    <w:lvl w:ilvl="5">
      <w:start w:val="0"/>
      <w:numFmt w:val="bullet"/>
      <w:lvlText w:val="•"/>
      <w:lvlJc w:val="left"/>
      <w:pPr>
        <w:ind w:left="3373" w:hanging="541"/>
      </w:pPr>
      <w:rPr>
        <w:rFonts w:hint="default"/>
        <w:lang w:val="en-US" w:eastAsia="en-US" w:bidi="ar-SA"/>
      </w:rPr>
    </w:lvl>
    <w:lvl w:ilvl="6">
      <w:start w:val="0"/>
      <w:numFmt w:val="bullet"/>
      <w:lvlText w:val="•"/>
      <w:lvlJc w:val="left"/>
      <w:pPr>
        <w:ind w:left="4044" w:hanging="541"/>
      </w:pPr>
      <w:rPr>
        <w:rFonts w:hint="default"/>
        <w:lang w:val="en-US" w:eastAsia="en-US" w:bidi="ar-SA"/>
      </w:rPr>
    </w:lvl>
    <w:lvl w:ilvl="7">
      <w:start w:val="0"/>
      <w:numFmt w:val="bullet"/>
      <w:lvlText w:val="•"/>
      <w:lvlJc w:val="left"/>
      <w:pPr>
        <w:ind w:left="4714" w:hanging="541"/>
      </w:pPr>
      <w:rPr>
        <w:rFonts w:hint="default"/>
        <w:lang w:val="en-US" w:eastAsia="en-US" w:bidi="ar-SA"/>
      </w:rPr>
    </w:lvl>
    <w:lvl w:ilvl="8">
      <w:start w:val="0"/>
      <w:numFmt w:val="bullet"/>
      <w:lvlText w:val="•"/>
      <w:lvlJc w:val="left"/>
      <w:pPr>
        <w:ind w:left="5385" w:hanging="541"/>
      </w:pPr>
      <w:rPr>
        <w:rFonts w:hint="default"/>
        <w:lang w:val="en-US" w:eastAsia="en-US" w:bidi="ar-SA"/>
      </w:rPr>
    </w:lvl>
  </w:abstractNum>
  <w:abstractNum w:abstractNumId="100">
    <w:multiLevelType w:val="hybridMultilevel"/>
    <w:lvl w:ilvl="0">
      <w:start w:val="0"/>
      <w:numFmt w:val="bullet"/>
      <w:lvlText w:val=""/>
      <w:lvlJc w:val="left"/>
      <w:pPr>
        <w:ind w:left="743"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165" w:hanging="360"/>
      </w:pPr>
      <w:rPr>
        <w:rFonts w:hint="default"/>
        <w:lang w:val="en-US" w:eastAsia="en-US" w:bidi="ar-SA"/>
      </w:rPr>
    </w:lvl>
    <w:lvl w:ilvl="2">
      <w:start w:val="0"/>
      <w:numFmt w:val="bullet"/>
      <w:lvlText w:val="•"/>
      <w:lvlJc w:val="left"/>
      <w:pPr>
        <w:ind w:left="3591" w:hanging="360"/>
      </w:pPr>
      <w:rPr>
        <w:rFonts w:hint="default"/>
        <w:lang w:val="en-US" w:eastAsia="en-US" w:bidi="ar-SA"/>
      </w:rPr>
    </w:lvl>
    <w:lvl w:ilvl="3">
      <w:start w:val="0"/>
      <w:numFmt w:val="bullet"/>
      <w:lvlText w:val="•"/>
      <w:lvlJc w:val="left"/>
      <w:pPr>
        <w:ind w:left="5017" w:hanging="360"/>
      </w:pPr>
      <w:rPr>
        <w:rFonts w:hint="default"/>
        <w:lang w:val="en-US" w:eastAsia="en-US" w:bidi="ar-SA"/>
      </w:rPr>
    </w:lvl>
    <w:lvl w:ilvl="4">
      <w:start w:val="0"/>
      <w:numFmt w:val="bullet"/>
      <w:lvlText w:val="•"/>
      <w:lvlJc w:val="left"/>
      <w:pPr>
        <w:ind w:left="6443" w:hanging="360"/>
      </w:pPr>
      <w:rPr>
        <w:rFonts w:hint="default"/>
        <w:lang w:val="en-US" w:eastAsia="en-US" w:bidi="ar-SA"/>
      </w:rPr>
    </w:lvl>
    <w:lvl w:ilvl="5">
      <w:start w:val="0"/>
      <w:numFmt w:val="bullet"/>
      <w:lvlText w:val="•"/>
      <w:lvlJc w:val="left"/>
      <w:pPr>
        <w:ind w:left="7869" w:hanging="360"/>
      </w:pPr>
      <w:rPr>
        <w:rFonts w:hint="default"/>
        <w:lang w:val="en-US" w:eastAsia="en-US" w:bidi="ar-SA"/>
      </w:rPr>
    </w:lvl>
    <w:lvl w:ilvl="6">
      <w:start w:val="0"/>
      <w:numFmt w:val="bullet"/>
      <w:lvlText w:val="•"/>
      <w:lvlJc w:val="left"/>
      <w:pPr>
        <w:ind w:left="9294" w:hanging="360"/>
      </w:pPr>
      <w:rPr>
        <w:rFonts w:hint="default"/>
        <w:lang w:val="en-US" w:eastAsia="en-US" w:bidi="ar-SA"/>
      </w:rPr>
    </w:lvl>
    <w:lvl w:ilvl="7">
      <w:start w:val="0"/>
      <w:numFmt w:val="bullet"/>
      <w:lvlText w:val="•"/>
      <w:lvlJc w:val="left"/>
      <w:pPr>
        <w:ind w:left="10720" w:hanging="360"/>
      </w:pPr>
      <w:rPr>
        <w:rFonts w:hint="default"/>
        <w:lang w:val="en-US" w:eastAsia="en-US" w:bidi="ar-SA"/>
      </w:rPr>
    </w:lvl>
    <w:lvl w:ilvl="8">
      <w:start w:val="0"/>
      <w:numFmt w:val="bullet"/>
      <w:lvlText w:val="•"/>
      <w:lvlJc w:val="left"/>
      <w:pPr>
        <w:ind w:left="12146" w:hanging="360"/>
      </w:pPr>
      <w:rPr>
        <w:rFonts w:hint="default"/>
        <w:lang w:val="en-US" w:eastAsia="en-US" w:bidi="ar-SA"/>
      </w:rPr>
    </w:lvl>
  </w:abstractNum>
  <w:abstractNum w:abstractNumId="99">
    <w:multiLevelType w:val="hybridMultilevel"/>
    <w:lvl w:ilvl="0">
      <w:start w:val="0"/>
      <w:numFmt w:val="bullet"/>
      <w:lvlText w:val=""/>
      <w:lvlJc w:val="left"/>
      <w:pPr>
        <w:ind w:left="929" w:hanging="356"/>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483" w:hanging="356"/>
      </w:pPr>
      <w:rPr>
        <w:rFonts w:hint="default"/>
        <w:lang w:val="en-US" w:eastAsia="en-US" w:bidi="ar-SA"/>
      </w:rPr>
    </w:lvl>
    <w:lvl w:ilvl="2">
      <w:start w:val="0"/>
      <w:numFmt w:val="bullet"/>
      <w:lvlText w:val="•"/>
      <w:lvlJc w:val="left"/>
      <w:pPr>
        <w:ind w:left="4047" w:hanging="356"/>
      </w:pPr>
      <w:rPr>
        <w:rFonts w:hint="default"/>
        <w:lang w:val="en-US" w:eastAsia="en-US" w:bidi="ar-SA"/>
      </w:rPr>
    </w:lvl>
    <w:lvl w:ilvl="3">
      <w:start w:val="0"/>
      <w:numFmt w:val="bullet"/>
      <w:lvlText w:val="•"/>
      <w:lvlJc w:val="left"/>
      <w:pPr>
        <w:ind w:left="5610" w:hanging="356"/>
      </w:pPr>
      <w:rPr>
        <w:rFonts w:hint="default"/>
        <w:lang w:val="en-US" w:eastAsia="en-US" w:bidi="ar-SA"/>
      </w:rPr>
    </w:lvl>
    <w:lvl w:ilvl="4">
      <w:start w:val="0"/>
      <w:numFmt w:val="bullet"/>
      <w:lvlText w:val="•"/>
      <w:lvlJc w:val="left"/>
      <w:pPr>
        <w:ind w:left="7174" w:hanging="356"/>
      </w:pPr>
      <w:rPr>
        <w:rFonts w:hint="default"/>
        <w:lang w:val="en-US" w:eastAsia="en-US" w:bidi="ar-SA"/>
      </w:rPr>
    </w:lvl>
    <w:lvl w:ilvl="5">
      <w:start w:val="0"/>
      <w:numFmt w:val="bullet"/>
      <w:lvlText w:val="•"/>
      <w:lvlJc w:val="left"/>
      <w:pPr>
        <w:ind w:left="8738" w:hanging="356"/>
      </w:pPr>
      <w:rPr>
        <w:rFonts w:hint="default"/>
        <w:lang w:val="en-US" w:eastAsia="en-US" w:bidi="ar-SA"/>
      </w:rPr>
    </w:lvl>
    <w:lvl w:ilvl="6">
      <w:start w:val="0"/>
      <w:numFmt w:val="bullet"/>
      <w:lvlText w:val="•"/>
      <w:lvlJc w:val="left"/>
      <w:pPr>
        <w:ind w:left="10301" w:hanging="356"/>
      </w:pPr>
      <w:rPr>
        <w:rFonts w:hint="default"/>
        <w:lang w:val="en-US" w:eastAsia="en-US" w:bidi="ar-SA"/>
      </w:rPr>
    </w:lvl>
    <w:lvl w:ilvl="7">
      <w:start w:val="0"/>
      <w:numFmt w:val="bullet"/>
      <w:lvlText w:val="•"/>
      <w:lvlJc w:val="left"/>
      <w:pPr>
        <w:ind w:left="11865" w:hanging="356"/>
      </w:pPr>
      <w:rPr>
        <w:rFonts w:hint="default"/>
        <w:lang w:val="en-US" w:eastAsia="en-US" w:bidi="ar-SA"/>
      </w:rPr>
    </w:lvl>
    <w:lvl w:ilvl="8">
      <w:start w:val="0"/>
      <w:numFmt w:val="bullet"/>
      <w:lvlText w:val="•"/>
      <w:lvlJc w:val="left"/>
      <w:pPr>
        <w:ind w:left="13429" w:hanging="356"/>
      </w:pPr>
      <w:rPr>
        <w:rFonts w:hint="default"/>
        <w:lang w:val="en-US" w:eastAsia="en-US" w:bidi="ar-SA"/>
      </w:rPr>
    </w:lvl>
  </w:abstractNum>
  <w:abstractNum w:abstractNumId="98">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761" w:hanging="361"/>
      </w:pPr>
      <w:rPr>
        <w:rFonts w:hint="default"/>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97">
    <w:multiLevelType w:val="hybridMultilevel"/>
    <w:lvl w:ilvl="0">
      <w:start w:val="7"/>
      <w:numFmt w:val="decimal"/>
      <w:lvlText w:val="%1"/>
      <w:lvlJc w:val="left"/>
      <w:pPr>
        <w:ind w:left="7605" w:hanging="541"/>
        <w:jc w:val="left"/>
      </w:pPr>
      <w:rPr>
        <w:rFonts w:hint="default"/>
        <w:lang w:val="en-US" w:eastAsia="en-US" w:bidi="ar-SA"/>
      </w:rPr>
    </w:lvl>
    <w:lvl w:ilvl="1">
      <w:start w:val="2"/>
      <w:numFmt w:val="decimal"/>
      <w:lvlText w:val="%1.%2"/>
      <w:lvlJc w:val="left"/>
      <w:pPr>
        <w:ind w:left="7605" w:hanging="541"/>
        <w:jc w:val="right"/>
      </w:pPr>
      <w:rPr>
        <w:rFonts w:hint="default"/>
        <w:spacing w:val="0"/>
        <w:w w:val="100"/>
        <w:lang w:val="en-US" w:eastAsia="en-US" w:bidi="ar-SA"/>
      </w:rPr>
    </w:lvl>
    <w:lvl w:ilvl="2">
      <w:start w:val="0"/>
      <w:numFmt w:val="bullet"/>
      <w:lvlText w:val="•"/>
      <w:lvlJc w:val="left"/>
      <w:pPr>
        <w:ind w:left="8234" w:hanging="541"/>
      </w:pPr>
      <w:rPr>
        <w:rFonts w:hint="default"/>
        <w:lang w:val="en-US" w:eastAsia="en-US" w:bidi="ar-SA"/>
      </w:rPr>
    </w:lvl>
    <w:lvl w:ilvl="3">
      <w:start w:val="0"/>
      <w:numFmt w:val="bullet"/>
      <w:lvlText w:val="•"/>
      <w:lvlJc w:val="left"/>
      <w:pPr>
        <w:ind w:left="8551" w:hanging="541"/>
      </w:pPr>
      <w:rPr>
        <w:rFonts w:hint="default"/>
        <w:lang w:val="en-US" w:eastAsia="en-US" w:bidi="ar-SA"/>
      </w:rPr>
    </w:lvl>
    <w:lvl w:ilvl="4">
      <w:start w:val="0"/>
      <w:numFmt w:val="bullet"/>
      <w:lvlText w:val="•"/>
      <w:lvlJc w:val="left"/>
      <w:pPr>
        <w:ind w:left="8868" w:hanging="541"/>
      </w:pPr>
      <w:rPr>
        <w:rFonts w:hint="default"/>
        <w:lang w:val="en-US" w:eastAsia="en-US" w:bidi="ar-SA"/>
      </w:rPr>
    </w:lvl>
    <w:lvl w:ilvl="5">
      <w:start w:val="0"/>
      <w:numFmt w:val="bullet"/>
      <w:lvlText w:val="•"/>
      <w:lvlJc w:val="left"/>
      <w:pPr>
        <w:ind w:left="9186" w:hanging="541"/>
      </w:pPr>
      <w:rPr>
        <w:rFonts w:hint="default"/>
        <w:lang w:val="en-US" w:eastAsia="en-US" w:bidi="ar-SA"/>
      </w:rPr>
    </w:lvl>
    <w:lvl w:ilvl="6">
      <w:start w:val="0"/>
      <w:numFmt w:val="bullet"/>
      <w:lvlText w:val="•"/>
      <w:lvlJc w:val="left"/>
      <w:pPr>
        <w:ind w:left="9503" w:hanging="541"/>
      </w:pPr>
      <w:rPr>
        <w:rFonts w:hint="default"/>
        <w:lang w:val="en-US" w:eastAsia="en-US" w:bidi="ar-SA"/>
      </w:rPr>
    </w:lvl>
    <w:lvl w:ilvl="7">
      <w:start w:val="0"/>
      <w:numFmt w:val="bullet"/>
      <w:lvlText w:val="•"/>
      <w:lvlJc w:val="left"/>
      <w:pPr>
        <w:ind w:left="9820" w:hanging="541"/>
      </w:pPr>
      <w:rPr>
        <w:rFonts w:hint="default"/>
        <w:lang w:val="en-US" w:eastAsia="en-US" w:bidi="ar-SA"/>
      </w:rPr>
    </w:lvl>
    <w:lvl w:ilvl="8">
      <w:start w:val="0"/>
      <w:numFmt w:val="bullet"/>
      <w:lvlText w:val="•"/>
      <w:lvlJc w:val="left"/>
      <w:pPr>
        <w:ind w:left="10137" w:hanging="541"/>
      </w:pPr>
      <w:rPr>
        <w:rFonts w:hint="default"/>
        <w:lang w:val="en-US" w:eastAsia="en-US" w:bidi="ar-SA"/>
      </w:rPr>
    </w:lvl>
  </w:abstractNum>
  <w:abstractNum w:abstractNumId="96">
    <w:multiLevelType w:val="hybridMultilevel"/>
    <w:lvl w:ilvl="0">
      <w:start w:val="7"/>
      <w:numFmt w:val="decimal"/>
      <w:lvlText w:val="%1"/>
      <w:lvlJc w:val="left"/>
      <w:pPr>
        <w:ind w:left="7505" w:hanging="6623"/>
        <w:jc w:val="left"/>
      </w:pPr>
      <w:rPr>
        <w:rFonts w:hint="default"/>
        <w:lang w:val="en-US" w:eastAsia="en-US" w:bidi="ar-SA"/>
      </w:rPr>
    </w:lvl>
    <w:lvl w:ilvl="1">
      <w:start w:val="2"/>
      <w:numFmt w:val="decimal"/>
      <w:lvlText w:val="%1.%2"/>
      <w:lvlJc w:val="left"/>
      <w:pPr>
        <w:ind w:left="7505" w:hanging="6623"/>
        <w:jc w:val="right"/>
      </w:pPr>
      <w:rPr>
        <w:rFonts w:hint="default"/>
        <w:spacing w:val="-1"/>
        <w:w w:val="100"/>
        <w:lang w:val="en-US" w:eastAsia="en-US" w:bidi="ar-SA"/>
      </w:rPr>
    </w:lvl>
    <w:lvl w:ilvl="2">
      <w:start w:val="1"/>
      <w:numFmt w:val="decimal"/>
      <w:lvlText w:val="%3."/>
      <w:lvlJc w:val="left"/>
      <w:pPr>
        <w:ind w:left="743" w:hanging="360"/>
        <w:jc w:val="left"/>
      </w:pPr>
      <w:rPr>
        <w:rFonts w:hint="default" w:ascii="Arial" w:hAnsi="Arial" w:eastAsia="Arial" w:cs="Arial"/>
        <w:b w:val="0"/>
        <w:bCs w:val="0"/>
        <w:i w:val="0"/>
        <w:iCs w:val="0"/>
        <w:spacing w:val="0"/>
        <w:w w:val="100"/>
        <w:sz w:val="24"/>
        <w:szCs w:val="24"/>
        <w:lang w:val="en-US" w:eastAsia="en-US" w:bidi="ar-SA"/>
      </w:rPr>
    </w:lvl>
    <w:lvl w:ilvl="3">
      <w:start w:val="0"/>
      <w:numFmt w:val="bullet"/>
      <w:lvlText w:val="•"/>
      <w:lvlJc w:val="left"/>
      <w:pPr>
        <w:ind w:left="8069" w:hanging="360"/>
      </w:pPr>
      <w:rPr>
        <w:rFonts w:hint="default"/>
        <w:lang w:val="en-US" w:eastAsia="en-US" w:bidi="ar-SA"/>
      </w:rPr>
    </w:lvl>
    <w:lvl w:ilvl="4">
      <w:start w:val="0"/>
      <w:numFmt w:val="bullet"/>
      <w:lvlText w:val="•"/>
      <w:lvlJc w:val="left"/>
      <w:pPr>
        <w:ind w:left="8354" w:hanging="360"/>
      </w:pPr>
      <w:rPr>
        <w:rFonts w:hint="default"/>
        <w:lang w:val="en-US" w:eastAsia="en-US" w:bidi="ar-SA"/>
      </w:rPr>
    </w:lvl>
    <w:lvl w:ilvl="5">
      <w:start w:val="0"/>
      <w:numFmt w:val="bullet"/>
      <w:lvlText w:val="•"/>
      <w:lvlJc w:val="left"/>
      <w:pPr>
        <w:ind w:left="8639" w:hanging="360"/>
      </w:pPr>
      <w:rPr>
        <w:rFonts w:hint="default"/>
        <w:lang w:val="en-US" w:eastAsia="en-US" w:bidi="ar-SA"/>
      </w:rPr>
    </w:lvl>
    <w:lvl w:ilvl="6">
      <w:start w:val="0"/>
      <w:numFmt w:val="bullet"/>
      <w:lvlText w:val="•"/>
      <w:lvlJc w:val="left"/>
      <w:pPr>
        <w:ind w:left="8923" w:hanging="360"/>
      </w:pPr>
      <w:rPr>
        <w:rFonts w:hint="default"/>
        <w:lang w:val="en-US" w:eastAsia="en-US" w:bidi="ar-SA"/>
      </w:rPr>
    </w:lvl>
    <w:lvl w:ilvl="7">
      <w:start w:val="0"/>
      <w:numFmt w:val="bullet"/>
      <w:lvlText w:val="•"/>
      <w:lvlJc w:val="left"/>
      <w:pPr>
        <w:ind w:left="9208" w:hanging="360"/>
      </w:pPr>
      <w:rPr>
        <w:rFonts w:hint="default"/>
        <w:lang w:val="en-US" w:eastAsia="en-US" w:bidi="ar-SA"/>
      </w:rPr>
    </w:lvl>
    <w:lvl w:ilvl="8">
      <w:start w:val="0"/>
      <w:numFmt w:val="bullet"/>
      <w:lvlText w:val="•"/>
      <w:lvlJc w:val="left"/>
      <w:pPr>
        <w:ind w:left="9493" w:hanging="360"/>
      </w:pPr>
      <w:rPr>
        <w:rFonts w:hint="default"/>
        <w:lang w:val="en-US" w:eastAsia="en-US" w:bidi="ar-SA"/>
      </w:rPr>
    </w:lvl>
  </w:abstractNum>
  <w:abstractNum w:abstractNumId="95">
    <w:multiLevelType w:val="hybridMultilevel"/>
    <w:lvl w:ilvl="0">
      <w:start w:val="13"/>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1"/>
      <w:numFmt w:val="decimal"/>
      <w:lvlText w:val="%3"/>
      <w:lvlJc w:val="left"/>
      <w:pPr>
        <w:ind w:left="963" w:hanging="492"/>
        <w:jc w:val="left"/>
      </w:pPr>
      <w:rPr>
        <w:rFonts w:hint="default" w:ascii="Verdana" w:hAnsi="Verdana" w:eastAsia="Verdana" w:cs="Verdana"/>
        <w:b w:val="0"/>
        <w:bCs w:val="0"/>
        <w:i w:val="0"/>
        <w:iCs w:val="0"/>
        <w:spacing w:val="0"/>
        <w:w w:val="99"/>
        <w:position w:val="-11"/>
        <w:sz w:val="20"/>
        <w:szCs w:val="20"/>
        <w:lang w:val="en-US" w:eastAsia="en-US" w:bidi="ar-SA"/>
      </w:rPr>
    </w:lvl>
    <w:lvl w:ilvl="3">
      <w:start w:val="1"/>
      <w:numFmt w:val="decimal"/>
      <w:lvlText w:val="%4)"/>
      <w:lvlJc w:val="left"/>
      <w:pPr>
        <w:ind w:left="1659" w:hanging="360"/>
        <w:jc w:val="left"/>
      </w:pPr>
      <w:rPr>
        <w:rFonts w:hint="default"/>
        <w:spacing w:val="-2"/>
        <w:w w:val="100"/>
        <w:lang w:val="en-US" w:eastAsia="en-US" w:bidi="ar-SA"/>
      </w:rPr>
    </w:lvl>
    <w:lvl w:ilvl="4">
      <w:start w:val="1"/>
      <w:numFmt w:val="lowerLetter"/>
      <w:lvlText w:val="%5)"/>
      <w:lvlJc w:val="left"/>
      <w:pPr>
        <w:ind w:left="2019" w:hanging="360"/>
        <w:jc w:val="left"/>
      </w:pPr>
      <w:rPr>
        <w:rFonts w:hint="default" w:ascii="Calibri" w:hAnsi="Calibri" w:eastAsia="Calibri" w:cs="Calibri"/>
        <w:b w:val="0"/>
        <w:bCs w:val="0"/>
        <w:i w:val="0"/>
        <w:iCs w:val="0"/>
        <w:spacing w:val="-1"/>
        <w:w w:val="100"/>
        <w:sz w:val="22"/>
        <w:szCs w:val="22"/>
        <w:lang w:val="en-US" w:eastAsia="en-US" w:bidi="ar-SA"/>
      </w:rPr>
    </w:lvl>
    <w:lvl w:ilvl="5">
      <w:start w:val="0"/>
      <w:numFmt w:val="bullet"/>
      <w:lvlText w:val="•"/>
      <w:lvlJc w:val="left"/>
      <w:pPr>
        <w:ind w:left="4520" w:hanging="360"/>
      </w:pPr>
      <w:rPr>
        <w:rFonts w:hint="default"/>
        <w:lang w:val="en-US" w:eastAsia="en-US" w:bidi="ar-SA"/>
      </w:rPr>
    </w:lvl>
    <w:lvl w:ilvl="6">
      <w:start w:val="0"/>
      <w:numFmt w:val="bullet"/>
      <w:lvlText w:val="•"/>
      <w:lvlJc w:val="left"/>
      <w:pPr>
        <w:ind w:left="5770" w:hanging="360"/>
      </w:pPr>
      <w:rPr>
        <w:rFonts w:hint="default"/>
        <w:lang w:val="en-US" w:eastAsia="en-US" w:bidi="ar-SA"/>
      </w:rPr>
    </w:lvl>
    <w:lvl w:ilvl="7">
      <w:start w:val="0"/>
      <w:numFmt w:val="bullet"/>
      <w:lvlText w:val="•"/>
      <w:lvlJc w:val="left"/>
      <w:pPr>
        <w:ind w:left="7021" w:hanging="360"/>
      </w:pPr>
      <w:rPr>
        <w:rFonts w:hint="default"/>
        <w:lang w:val="en-US" w:eastAsia="en-US" w:bidi="ar-SA"/>
      </w:rPr>
    </w:lvl>
    <w:lvl w:ilvl="8">
      <w:start w:val="0"/>
      <w:numFmt w:val="bullet"/>
      <w:lvlText w:val="•"/>
      <w:lvlJc w:val="left"/>
      <w:pPr>
        <w:ind w:left="8271" w:hanging="360"/>
      </w:pPr>
      <w:rPr>
        <w:rFonts w:hint="default"/>
        <w:lang w:val="en-US" w:eastAsia="en-US" w:bidi="ar-SA"/>
      </w:rPr>
    </w:lvl>
  </w:abstractNum>
  <w:abstractNum w:abstractNumId="94">
    <w:multiLevelType w:val="hybridMultilevel"/>
    <w:lvl w:ilvl="0">
      <w:start w:val="11"/>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bCs/>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93">
    <w:multiLevelType w:val="hybridMultilevel"/>
    <w:lvl w:ilvl="0">
      <w:start w:val="10"/>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906" w:hanging="795"/>
      </w:pPr>
      <w:rPr>
        <w:rFonts w:hint="default"/>
        <w:lang w:val="en-US" w:eastAsia="en-US" w:bidi="ar-SA"/>
      </w:rPr>
    </w:lvl>
    <w:lvl w:ilvl="3">
      <w:start w:val="0"/>
      <w:numFmt w:val="bullet"/>
      <w:lvlText w:val="•"/>
      <w:lvlJc w:val="left"/>
      <w:pPr>
        <w:ind w:left="3889" w:hanging="795"/>
      </w:pPr>
      <w:rPr>
        <w:rFonts w:hint="default"/>
        <w:lang w:val="en-US" w:eastAsia="en-US" w:bidi="ar-SA"/>
      </w:rPr>
    </w:lvl>
    <w:lvl w:ilvl="4">
      <w:start w:val="0"/>
      <w:numFmt w:val="bullet"/>
      <w:lvlText w:val="•"/>
      <w:lvlJc w:val="left"/>
      <w:pPr>
        <w:ind w:left="4872" w:hanging="795"/>
      </w:pPr>
      <w:rPr>
        <w:rFonts w:hint="default"/>
        <w:lang w:val="en-US" w:eastAsia="en-US" w:bidi="ar-SA"/>
      </w:rPr>
    </w:lvl>
    <w:lvl w:ilvl="5">
      <w:start w:val="0"/>
      <w:numFmt w:val="bullet"/>
      <w:lvlText w:val="•"/>
      <w:lvlJc w:val="left"/>
      <w:pPr>
        <w:ind w:left="5856" w:hanging="795"/>
      </w:pPr>
      <w:rPr>
        <w:rFonts w:hint="default"/>
        <w:lang w:val="en-US" w:eastAsia="en-US" w:bidi="ar-SA"/>
      </w:rPr>
    </w:lvl>
    <w:lvl w:ilvl="6">
      <w:start w:val="0"/>
      <w:numFmt w:val="bullet"/>
      <w:lvlText w:val="•"/>
      <w:lvlJc w:val="left"/>
      <w:pPr>
        <w:ind w:left="6839" w:hanging="795"/>
      </w:pPr>
      <w:rPr>
        <w:rFonts w:hint="default"/>
        <w:lang w:val="en-US" w:eastAsia="en-US" w:bidi="ar-SA"/>
      </w:rPr>
    </w:lvl>
    <w:lvl w:ilvl="7">
      <w:start w:val="0"/>
      <w:numFmt w:val="bullet"/>
      <w:lvlText w:val="•"/>
      <w:lvlJc w:val="left"/>
      <w:pPr>
        <w:ind w:left="7822" w:hanging="795"/>
      </w:pPr>
      <w:rPr>
        <w:rFonts w:hint="default"/>
        <w:lang w:val="en-US" w:eastAsia="en-US" w:bidi="ar-SA"/>
      </w:rPr>
    </w:lvl>
    <w:lvl w:ilvl="8">
      <w:start w:val="0"/>
      <w:numFmt w:val="bullet"/>
      <w:lvlText w:val="•"/>
      <w:lvlJc w:val="left"/>
      <w:pPr>
        <w:ind w:left="8805" w:hanging="795"/>
      </w:pPr>
      <w:rPr>
        <w:rFonts w:hint="default"/>
        <w:lang w:val="en-US" w:eastAsia="en-US" w:bidi="ar-SA"/>
      </w:rPr>
    </w:lvl>
  </w:abstractNum>
  <w:abstractNum w:abstractNumId="92">
    <w:multiLevelType w:val="hybridMultilevel"/>
    <w:lvl w:ilvl="0">
      <w:start w:val="9"/>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906" w:hanging="795"/>
      </w:pPr>
      <w:rPr>
        <w:rFonts w:hint="default"/>
        <w:lang w:val="en-US" w:eastAsia="en-US" w:bidi="ar-SA"/>
      </w:rPr>
    </w:lvl>
    <w:lvl w:ilvl="3">
      <w:start w:val="0"/>
      <w:numFmt w:val="bullet"/>
      <w:lvlText w:val="•"/>
      <w:lvlJc w:val="left"/>
      <w:pPr>
        <w:ind w:left="3889" w:hanging="795"/>
      </w:pPr>
      <w:rPr>
        <w:rFonts w:hint="default"/>
        <w:lang w:val="en-US" w:eastAsia="en-US" w:bidi="ar-SA"/>
      </w:rPr>
    </w:lvl>
    <w:lvl w:ilvl="4">
      <w:start w:val="0"/>
      <w:numFmt w:val="bullet"/>
      <w:lvlText w:val="•"/>
      <w:lvlJc w:val="left"/>
      <w:pPr>
        <w:ind w:left="4872" w:hanging="795"/>
      </w:pPr>
      <w:rPr>
        <w:rFonts w:hint="default"/>
        <w:lang w:val="en-US" w:eastAsia="en-US" w:bidi="ar-SA"/>
      </w:rPr>
    </w:lvl>
    <w:lvl w:ilvl="5">
      <w:start w:val="0"/>
      <w:numFmt w:val="bullet"/>
      <w:lvlText w:val="•"/>
      <w:lvlJc w:val="left"/>
      <w:pPr>
        <w:ind w:left="5856" w:hanging="795"/>
      </w:pPr>
      <w:rPr>
        <w:rFonts w:hint="default"/>
        <w:lang w:val="en-US" w:eastAsia="en-US" w:bidi="ar-SA"/>
      </w:rPr>
    </w:lvl>
    <w:lvl w:ilvl="6">
      <w:start w:val="0"/>
      <w:numFmt w:val="bullet"/>
      <w:lvlText w:val="•"/>
      <w:lvlJc w:val="left"/>
      <w:pPr>
        <w:ind w:left="6839" w:hanging="795"/>
      </w:pPr>
      <w:rPr>
        <w:rFonts w:hint="default"/>
        <w:lang w:val="en-US" w:eastAsia="en-US" w:bidi="ar-SA"/>
      </w:rPr>
    </w:lvl>
    <w:lvl w:ilvl="7">
      <w:start w:val="0"/>
      <w:numFmt w:val="bullet"/>
      <w:lvlText w:val="•"/>
      <w:lvlJc w:val="left"/>
      <w:pPr>
        <w:ind w:left="7822" w:hanging="795"/>
      </w:pPr>
      <w:rPr>
        <w:rFonts w:hint="default"/>
        <w:lang w:val="en-US" w:eastAsia="en-US" w:bidi="ar-SA"/>
      </w:rPr>
    </w:lvl>
    <w:lvl w:ilvl="8">
      <w:start w:val="0"/>
      <w:numFmt w:val="bullet"/>
      <w:lvlText w:val="•"/>
      <w:lvlJc w:val="left"/>
      <w:pPr>
        <w:ind w:left="8805" w:hanging="795"/>
      </w:pPr>
      <w:rPr>
        <w:rFonts w:hint="default"/>
        <w:lang w:val="en-US" w:eastAsia="en-US" w:bidi="ar-SA"/>
      </w:rPr>
    </w:lvl>
  </w:abstractNum>
  <w:abstractNum w:abstractNumId="91">
    <w:multiLevelType w:val="hybridMultilevel"/>
    <w:lvl w:ilvl="0">
      <w:start w:val="8"/>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906" w:hanging="795"/>
      </w:pPr>
      <w:rPr>
        <w:rFonts w:hint="default"/>
        <w:lang w:val="en-US" w:eastAsia="en-US" w:bidi="ar-SA"/>
      </w:rPr>
    </w:lvl>
    <w:lvl w:ilvl="3">
      <w:start w:val="0"/>
      <w:numFmt w:val="bullet"/>
      <w:lvlText w:val="•"/>
      <w:lvlJc w:val="left"/>
      <w:pPr>
        <w:ind w:left="3889" w:hanging="795"/>
      </w:pPr>
      <w:rPr>
        <w:rFonts w:hint="default"/>
        <w:lang w:val="en-US" w:eastAsia="en-US" w:bidi="ar-SA"/>
      </w:rPr>
    </w:lvl>
    <w:lvl w:ilvl="4">
      <w:start w:val="0"/>
      <w:numFmt w:val="bullet"/>
      <w:lvlText w:val="•"/>
      <w:lvlJc w:val="left"/>
      <w:pPr>
        <w:ind w:left="4872" w:hanging="795"/>
      </w:pPr>
      <w:rPr>
        <w:rFonts w:hint="default"/>
        <w:lang w:val="en-US" w:eastAsia="en-US" w:bidi="ar-SA"/>
      </w:rPr>
    </w:lvl>
    <w:lvl w:ilvl="5">
      <w:start w:val="0"/>
      <w:numFmt w:val="bullet"/>
      <w:lvlText w:val="•"/>
      <w:lvlJc w:val="left"/>
      <w:pPr>
        <w:ind w:left="5856" w:hanging="795"/>
      </w:pPr>
      <w:rPr>
        <w:rFonts w:hint="default"/>
        <w:lang w:val="en-US" w:eastAsia="en-US" w:bidi="ar-SA"/>
      </w:rPr>
    </w:lvl>
    <w:lvl w:ilvl="6">
      <w:start w:val="0"/>
      <w:numFmt w:val="bullet"/>
      <w:lvlText w:val="•"/>
      <w:lvlJc w:val="left"/>
      <w:pPr>
        <w:ind w:left="6839" w:hanging="795"/>
      </w:pPr>
      <w:rPr>
        <w:rFonts w:hint="default"/>
        <w:lang w:val="en-US" w:eastAsia="en-US" w:bidi="ar-SA"/>
      </w:rPr>
    </w:lvl>
    <w:lvl w:ilvl="7">
      <w:start w:val="0"/>
      <w:numFmt w:val="bullet"/>
      <w:lvlText w:val="•"/>
      <w:lvlJc w:val="left"/>
      <w:pPr>
        <w:ind w:left="7822" w:hanging="795"/>
      </w:pPr>
      <w:rPr>
        <w:rFonts w:hint="default"/>
        <w:lang w:val="en-US" w:eastAsia="en-US" w:bidi="ar-SA"/>
      </w:rPr>
    </w:lvl>
    <w:lvl w:ilvl="8">
      <w:start w:val="0"/>
      <w:numFmt w:val="bullet"/>
      <w:lvlText w:val="•"/>
      <w:lvlJc w:val="left"/>
      <w:pPr>
        <w:ind w:left="8805" w:hanging="795"/>
      </w:pPr>
      <w:rPr>
        <w:rFonts w:hint="default"/>
        <w:lang w:val="en-US" w:eastAsia="en-US" w:bidi="ar-SA"/>
      </w:rPr>
    </w:lvl>
  </w:abstractNum>
  <w:abstractNum w:abstractNumId="90">
    <w:multiLevelType w:val="hybridMultilevel"/>
    <w:lvl w:ilvl="0">
      <w:start w:val="7"/>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5"/>
        <w:w w:val="82"/>
        <w:sz w:val="24"/>
        <w:szCs w:val="24"/>
        <w:lang w:val="en-US" w:eastAsia="en-US" w:bidi="ar-SA"/>
      </w:rPr>
    </w:lvl>
    <w:lvl w:ilvl="2">
      <w:start w:val="0"/>
      <w:numFmt w:val="bullet"/>
      <w:lvlText w:val="•"/>
      <w:lvlJc w:val="left"/>
      <w:pPr>
        <w:ind w:left="2906" w:hanging="795"/>
      </w:pPr>
      <w:rPr>
        <w:rFonts w:hint="default"/>
        <w:lang w:val="en-US" w:eastAsia="en-US" w:bidi="ar-SA"/>
      </w:rPr>
    </w:lvl>
    <w:lvl w:ilvl="3">
      <w:start w:val="0"/>
      <w:numFmt w:val="bullet"/>
      <w:lvlText w:val="•"/>
      <w:lvlJc w:val="left"/>
      <w:pPr>
        <w:ind w:left="3889" w:hanging="795"/>
      </w:pPr>
      <w:rPr>
        <w:rFonts w:hint="default"/>
        <w:lang w:val="en-US" w:eastAsia="en-US" w:bidi="ar-SA"/>
      </w:rPr>
    </w:lvl>
    <w:lvl w:ilvl="4">
      <w:start w:val="0"/>
      <w:numFmt w:val="bullet"/>
      <w:lvlText w:val="•"/>
      <w:lvlJc w:val="left"/>
      <w:pPr>
        <w:ind w:left="4872" w:hanging="795"/>
      </w:pPr>
      <w:rPr>
        <w:rFonts w:hint="default"/>
        <w:lang w:val="en-US" w:eastAsia="en-US" w:bidi="ar-SA"/>
      </w:rPr>
    </w:lvl>
    <w:lvl w:ilvl="5">
      <w:start w:val="0"/>
      <w:numFmt w:val="bullet"/>
      <w:lvlText w:val="•"/>
      <w:lvlJc w:val="left"/>
      <w:pPr>
        <w:ind w:left="5856" w:hanging="795"/>
      </w:pPr>
      <w:rPr>
        <w:rFonts w:hint="default"/>
        <w:lang w:val="en-US" w:eastAsia="en-US" w:bidi="ar-SA"/>
      </w:rPr>
    </w:lvl>
    <w:lvl w:ilvl="6">
      <w:start w:val="0"/>
      <w:numFmt w:val="bullet"/>
      <w:lvlText w:val="•"/>
      <w:lvlJc w:val="left"/>
      <w:pPr>
        <w:ind w:left="6839" w:hanging="795"/>
      </w:pPr>
      <w:rPr>
        <w:rFonts w:hint="default"/>
        <w:lang w:val="en-US" w:eastAsia="en-US" w:bidi="ar-SA"/>
      </w:rPr>
    </w:lvl>
    <w:lvl w:ilvl="7">
      <w:start w:val="0"/>
      <w:numFmt w:val="bullet"/>
      <w:lvlText w:val="•"/>
      <w:lvlJc w:val="left"/>
      <w:pPr>
        <w:ind w:left="7822" w:hanging="795"/>
      </w:pPr>
      <w:rPr>
        <w:rFonts w:hint="default"/>
        <w:lang w:val="en-US" w:eastAsia="en-US" w:bidi="ar-SA"/>
      </w:rPr>
    </w:lvl>
    <w:lvl w:ilvl="8">
      <w:start w:val="0"/>
      <w:numFmt w:val="bullet"/>
      <w:lvlText w:val="•"/>
      <w:lvlJc w:val="left"/>
      <w:pPr>
        <w:ind w:left="8805" w:hanging="795"/>
      </w:pPr>
      <w:rPr>
        <w:rFonts w:hint="default"/>
        <w:lang w:val="en-US" w:eastAsia="en-US" w:bidi="ar-SA"/>
      </w:rPr>
    </w:lvl>
  </w:abstractNum>
  <w:abstractNum w:abstractNumId="89">
    <w:multiLevelType w:val="hybridMultilevel"/>
    <w:lvl w:ilvl="0">
      <w:start w:val="6"/>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bCs/>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88">
    <w:multiLevelType w:val="hybridMultilevel"/>
    <w:lvl w:ilvl="0">
      <w:start w:val="5"/>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bCs/>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87">
    <w:multiLevelType w:val="hybridMultilevel"/>
    <w:lvl w:ilvl="0">
      <w:start w:val="3"/>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86">
    <w:multiLevelType w:val="hybridMultilevel"/>
    <w:lvl w:ilvl="0">
      <w:start w:val="2"/>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bCs/>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85">
    <w:multiLevelType w:val="hybridMultilevel"/>
    <w:lvl w:ilvl="0">
      <w:start w:val="1"/>
      <w:numFmt w:val="decimal"/>
      <w:lvlText w:val="%1"/>
      <w:lvlJc w:val="left"/>
      <w:pPr>
        <w:ind w:left="937" w:hanging="795"/>
        <w:jc w:val="left"/>
      </w:pPr>
      <w:rPr>
        <w:rFonts w:hint="default"/>
        <w:lang w:val="en-US" w:eastAsia="en-US" w:bidi="ar-SA"/>
      </w:rPr>
    </w:lvl>
    <w:lvl w:ilvl="1">
      <w:start w:val="1"/>
      <w:numFmt w:val="decimal"/>
      <w:lvlText w:val="%1.%2."/>
      <w:lvlJc w:val="left"/>
      <w:pPr>
        <w:ind w:left="937" w:hanging="795"/>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906" w:hanging="795"/>
      </w:pPr>
      <w:rPr>
        <w:rFonts w:hint="default"/>
        <w:lang w:val="en-US" w:eastAsia="en-US" w:bidi="ar-SA"/>
      </w:rPr>
    </w:lvl>
    <w:lvl w:ilvl="3">
      <w:start w:val="0"/>
      <w:numFmt w:val="bullet"/>
      <w:lvlText w:val="•"/>
      <w:lvlJc w:val="left"/>
      <w:pPr>
        <w:ind w:left="3889" w:hanging="795"/>
      </w:pPr>
      <w:rPr>
        <w:rFonts w:hint="default"/>
        <w:lang w:val="en-US" w:eastAsia="en-US" w:bidi="ar-SA"/>
      </w:rPr>
    </w:lvl>
    <w:lvl w:ilvl="4">
      <w:start w:val="0"/>
      <w:numFmt w:val="bullet"/>
      <w:lvlText w:val="•"/>
      <w:lvlJc w:val="left"/>
      <w:pPr>
        <w:ind w:left="4872" w:hanging="795"/>
      </w:pPr>
      <w:rPr>
        <w:rFonts w:hint="default"/>
        <w:lang w:val="en-US" w:eastAsia="en-US" w:bidi="ar-SA"/>
      </w:rPr>
    </w:lvl>
    <w:lvl w:ilvl="5">
      <w:start w:val="0"/>
      <w:numFmt w:val="bullet"/>
      <w:lvlText w:val="•"/>
      <w:lvlJc w:val="left"/>
      <w:pPr>
        <w:ind w:left="5856" w:hanging="795"/>
      </w:pPr>
      <w:rPr>
        <w:rFonts w:hint="default"/>
        <w:lang w:val="en-US" w:eastAsia="en-US" w:bidi="ar-SA"/>
      </w:rPr>
    </w:lvl>
    <w:lvl w:ilvl="6">
      <w:start w:val="0"/>
      <w:numFmt w:val="bullet"/>
      <w:lvlText w:val="•"/>
      <w:lvlJc w:val="left"/>
      <w:pPr>
        <w:ind w:left="6839" w:hanging="795"/>
      </w:pPr>
      <w:rPr>
        <w:rFonts w:hint="default"/>
        <w:lang w:val="en-US" w:eastAsia="en-US" w:bidi="ar-SA"/>
      </w:rPr>
    </w:lvl>
    <w:lvl w:ilvl="7">
      <w:start w:val="0"/>
      <w:numFmt w:val="bullet"/>
      <w:lvlText w:val="•"/>
      <w:lvlJc w:val="left"/>
      <w:pPr>
        <w:ind w:left="7822" w:hanging="795"/>
      </w:pPr>
      <w:rPr>
        <w:rFonts w:hint="default"/>
        <w:lang w:val="en-US" w:eastAsia="en-US" w:bidi="ar-SA"/>
      </w:rPr>
    </w:lvl>
    <w:lvl w:ilvl="8">
      <w:start w:val="0"/>
      <w:numFmt w:val="bullet"/>
      <w:lvlText w:val="•"/>
      <w:lvlJc w:val="left"/>
      <w:pPr>
        <w:ind w:left="8805" w:hanging="795"/>
      </w:pPr>
      <w:rPr>
        <w:rFonts w:hint="default"/>
        <w:lang w:val="en-US" w:eastAsia="en-US" w:bidi="ar-SA"/>
      </w:rPr>
    </w:lvl>
  </w:abstractNum>
  <w:abstractNum w:abstractNumId="84">
    <w:multiLevelType w:val="hybridMultilevel"/>
    <w:lvl w:ilvl="0">
      <w:start w:val="1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83">
    <w:multiLevelType w:val="hybridMultilevel"/>
    <w:lvl w:ilvl="0">
      <w:start w:val="10"/>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82">
    <w:multiLevelType w:val="hybridMultilevel"/>
    <w:lvl w:ilvl="0">
      <w:start w:val="9"/>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81">
    <w:multiLevelType w:val="hybridMultilevel"/>
    <w:lvl w:ilvl="0">
      <w:start w:val="8"/>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80">
    <w:multiLevelType w:val="hybridMultilevel"/>
    <w:lvl w:ilvl="0">
      <w:start w:val="7"/>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79">
    <w:multiLevelType w:val="hybridMultilevel"/>
    <w:lvl w:ilvl="0">
      <w:start w:val="6"/>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bCs/>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78">
    <w:multiLevelType w:val="hybridMultilevel"/>
    <w:lvl w:ilvl="0">
      <w:start w:val="5"/>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spacing w:val="-7"/>
        <w:w w:val="100"/>
        <w:lang w:val="en-US" w:eastAsia="en-US" w:bidi="ar-SA"/>
      </w:rPr>
    </w:lvl>
    <w:lvl w:ilvl="2">
      <w:start w:val="0"/>
      <w:numFmt w:val="bullet"/>
      <w:lvlText w:val="-"/>
      <w:lvlJc w:val="left"/>
      <w:pPr>
        <w:ind w:left="1278" w:hanging="361"/>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77">
    <w:multiLevelType w:val="hybridMultilevel"/>
    <w:lvl w:ilvl="0">
      <w:start w:val="3"/>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76">
    <w:multiLevelType w:val="hybridMultilevel"/>
    <w:lvl w:ilvl="0">
      <w:start w:val="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spacing w:val="-7"/>
        <w:w w:val="100"/>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75">
    <w:multiLevelType w:val="hybridMultilevel"/>
    <w:lvl w:ilvl="0">
      <w:start w:val="11"/>
      <w:numFmt w:val="decimal"/>
      <w:lvlText w:val="%1"/>
      <w:lvlJc w:val="left"/>
      <w:pPr>
        <w:ind w:left="862" w:hanging="710"/>
        <w:jc w:val="left"/>
      </w:pPr>
      <w:rPr>
        <w:rFonts w:hint="default"/>
        <w:lang w:val="en-US" w:eastAsia="en-US" w:bidi="ar-SA"/>
      </w:rPr>
    </w:lvl>
    <w:lvl w:ilvl="1">
      <w:start w:val="1"/>
      <w:numFmt w:val="decimal"/>
      <w:lvlText w:val="%1.%2"/>
      <w:lvlJc w:val="left"/>
      <w:pPr>
        <w:ind w:left="862" w:hanging="710"/>
        <w:jc w:val="left"/>
      </w:pPr>
      <w:rPr>
        <w:rFonts w:hint="default" w:ascii="Arial" w:hAnsi="Arial" w:eastAsia="Arial" w:cs="Arial"/>
        <w:b w:val="0"/>
        <w:bCs w:val="0"/>
        <w:i w:val="0"/>
        <w:iCs w:val="0"/>
        <w:spacing w:val="-7"/>
        <w:w w:val="100"/>
        <w:sz w:val="24"/>
        <w:szCs w:val="24"/>
        <w:lang w:val="en-US" w:eastAsia="en-US" w:bidi="ar-SA"/>
      </w:rPr>
    </w:lvl>
    <w:lvl w:ilvl="2">
      <w:start w:val="1"/>
      <w:numFmt w:val="decimal"/>
      <w:lvlText w:val="%1.%2.%3"/>
      <w:lvlJc w:val="left"/>
      <w:pPr>
        <w:ind w:left="1563" w:hanging="866"/>
        <w:jc w:val="left"/>
      </w:pPr>
      <w:rPr>
        <w:rFonts w:hint="default" w:ascii="Arial" w:hAnsi="Arial" w:eastAsia="Arial" w:cs="Arial"/>
        <w:b w:val="0"/>
        <w:bCs w:val="0"/>
        <w:i w:val="0"/>
        <w:iCs w:val="0"/>
        <w:spacing w:val="-2"/>
        <w:w w:val="100"/>
        <w:sz w:val="24"/>
        <w:szCs w:val="24"/>
        <w:lang w:val="en-US" w:eastAsia="en-US" w:bidi="ar-SA"/>
      </w:rPr>
    </w:lvl>
    <w:lvl w:ilvl="3">
      <w:start w:val="0"/>
      <w:numFmt w:val="bullet"/>
      <w:lvlText w:val="•"/>
      <w:lvlJc w:val="left"/>
      <w:pPr>
        <w:ind w:left="3607" w:hanging="866"/>
      </w:pPr>
      <w:rPr>
        <w:rFonts w:hint="default"/>
        <w:lang w:val="en-US" w:eastAsia="en-US" w:bidi="ar-SA"/>
      </w:rPr>
    </w:lvl>
    <w:lvl w:ilvl="4">
      <w:start w:val="0"/>
      <w:numFmt w:val="bullet"/>
      <w:lvlText w:val="•"/>
      <w:lvlJc w:val="left"/>
      <w:pPr>
        <w:ind w:left="4630" w:hanging="866"/>
      </w:pPr>
      <w:rPr>
        <w:rFonts w:hint="default"/>
        <w:lang w:val="en-US" w:eastAsia="en-US" w:bidi="ar-SA"/>
      </w:rPr>
    </w:lvl>
    <w:lvl w:ilvl="5">
      <w:start w:val="0"/>
      <w:numFmt w:val="bullet"/>
      <w:lvlText w:val="•"/>
      <w:lvlJc w:val="left"/>
      <w:pPr>
        <w:ind w:left="5654" w:hanging="866"/>
      </w:pPr>
      <w:rPr>
        <w:rFonts w:hint="default"/>
        <w:lang w:val="en-US" w:eastAsia="en-US" w:bidi="ar-SA"/>
      </w:rPr>
    </w:lvl>
    <w:lvl w:ilvl="6">
      <w:start w:val="0"/>
      <w:numFmt w:val="bullet"/>
      <w:lvlText w:val="•"/>
      <w:lvlJc w:val="left"/>
      <w:pPr>
        <w:ind w:left="6677" w:hanging="866"/>
      </w:pPr>
      <w:rPr>
        <w:rFonts w:hint="default"/>
        <w:lang w:val="en-US" w:eastAsia="en-US" w:bidi="ar-SA"/>
      </w:rPr>
    </w:lvl>
    <w:lvl w:ilvl="7">
      <w:start w:val="0"/>
      <w:numFmt w:val="bullet"/>
      <w:lvlText w:val="•"/>
      <w:lvlJc w:val="left"/>
      <w:pPr>
        <w:ind w:left="7701" w:hanging="866"/>
      </w:pPr>
      <w:rPr>
        <w:rFonts w:hint="default"/>
        <w:lang w:val="en-US" w:eastAsia="en-US" w:bidi="ar-SA"/>
      </w:rPr>
    </w:lvl>
    <w:lvl w:ilvl="8">
      <w:start w:val="0"/>
      <w:numFmt w:val="bullet"/>
      <w:lvlText w:val="•"/>
      <w:lvlJc w:val="left"/>
      <w:pPr>
        <w:ind w:left="8724" w:hanging="866"/>
      </w:pPr>
      <w:rPr>
        <w:rFonts w:hint="default"/>
        <w:lang w:val="en-US" w:eastAsia="en-US" w:bidi="ar-SA"/>
      </w:rPr>
    </w:lvl>
  </w:abstractNum>
  <w:abstractNum w:abstractNumId="74">
    <w:multiLevelType w:val="hybridMultilevel"/>
    <w:lvl w:ilvl="0">
      <w:start w:val="9"/>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73">
    <w:multiLevelType w:val="hybridMultilevel"/>
    <w:lvl w:ilvl="0">
      <w:start w:val="8"/>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72">
    <w:multiLevelType w:val="hybridMultilevel"/>
    <w:lvl w:ilvl="0">
      <w:start w:val="7"/>
      <w:numFmt w:val="decimal"/>
      <w:lvlText w:val="%1"/>
      <w:lvlJc w:val="left"/>
      <w:pPr>
        <w:ind w:left="852" w:hanging="720"/>
        <w:jc w:val="left"/>
      </w:pPr>
      <w:rPr>
        <w:rFonts w:hint="default"/>
        <w:lang w:val="en-US" w:eastAsia="en-US" w:bidi="ar-SA"/>
      </w:rPr>
    </w:lvl>
    <w:lvl w:ilvl="1">
      <w:start w:val="1"/>
      <w:numFmt w:val="decimal"/>
      <w:lvlText w:val="%1.%2"/>
      <w:lvlJc w:val="left"/>
      <w:pPr>
        <w:ind w:left="852" w:hanging="720"/>
        <w:jc w:val="left"/>
      </w:pPr>
      <w:rPr>
        <w:rFonts w:hint="default" w:ascii="Arial" w:hAnsi="Arial" w:eastAsia="Arial" w:cs="Arial"/>
        <w:b w:val="0"/>
        <w:bCs w:val="0"/>
        <w:i w:val="0"/>
        <w:iCs w:val="0"/>
        <w:spacing w:val="-5"/>
        <w:w w:val="82"/>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71">
    <w:multiLevelType w:val="hybridMultilevel"/>
    <w:lvl w:ilvl="0">
      <w:start w:val="6"/>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2"/>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70">
    <w:multiLevelType w:val="hybridMultilevel"/>
    <w:lvl w:ilvl="0">
      <w:start w:val="5"/>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69">
    <w:multiLevelType w:val="hybridMultilevel"/>
    <w:lvl w:ilvl="0">
      <w:start w:val="3"/>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1"/>
      <w:numFmt w:val="decimal"/>
      <w:lvlText w:val="%1.%2.%3"/>
      <w:lvlJc w:val="left"/>
      <w:pPr>
        <w:ind w:left="1563" w:hanging="706"/>
        <w:jc w:val="left"/>
      </w:pPr>
      <w:rPr>
        <w:rFonts w:hint="default" w:ascii="Arial" w:hAnsi="Arial" w:eastAsia="Arial" w:cs="Arial"/>
        <w:b w:val="0"/>
        <w:bCs w:val="0"/>
        <w:i w:val="0"/>
        <w:iCs w:val="0"/>
        <w:spacing w:val="-7"/>
        <w:w w:val="100"/>
        <w:sz w:val="24"/>
        <w:szCs w:val="24"/>
        <w:lang w:val="en-US" w:eastAsia="en-US" w:bidi="ar-SA"/>
      </w:rPr>
    </w:lvl>
    <w:lvl w:ilvl="3">
      <w:start w:val="0"/>
      <w:numFmt w:val="bullet"/>
      <w:lvlText w:val="•"/>
      <w:lvlJc w:val="left"/>
      <w:pPr>
        <w:ind w:left="3607" w:hanging="706"/>
      </w:pPr>
      <w:rPr>
        <w:rFonts w:hint="default"/>
        <w:lang w:val="en-US" w:eastAsia="en-US" w:bidi="ar-SA"/>
      </w:rPr>
    </w:lvl>
    <w:lvl w:ilvl="4">
      <w:start w:val="0"/>
      <w:numFmt w:val="bullet"/>
      <w:lvlText w:val="•"/>
      <w:lvlJc w:val="left"/>
      <w:pPr>
        <w:ind w:left="4630" w:hanging="706"/>
      </w:pPr>
      <w:rPr>
        <w:rFonts w:hint="default"/>
        <w:lang w:val="en-US" w:eastAsia="en-US" w:bidi="ar-SA"/>
      </w:rPr>
    </w:lvl>
    <w:lvl w:ilvl="5">
      <w:start w:val="0"/>
      <w:numFmt w:val="bullet"/>
      <w:lvlText w:val="•"/>
      <w:lvlJc w:val="left"/>
      <w:pPr>
        <w:ind w:left="5654" w:hanging="706"/>
      </w:pPr>
      <w:rPr>
        <w:rFonts w:hint="default"/>
        <w:lang w:val="en-US" w:eastAsia="en-US" w:bidi="ar-SA"/>
      </w:rPr>
    </w:lvl>
    <w:lvl w:ilvl="6">
      <w:start w:val="0"/>
      <w:numFmt w:val="bullet"/>
      <w:lvlText w:val="•"/>
      <w:lvlJc w:val="left"/>
      <w:pPr>
        <w:ind w:left="6677" w:hanging="706"/>
      </w:pPr>
      <w:rPr>
        <w:rFonts w:hint="default"/>
        <w:lang w:val="en-US" w:eastAsia="en-US" w:bidi="ar-SA"/>
      </w:rPr>
    </w:lvl>
    <w:lvl w:ilvl="7">
      <w:start w:val="0"/>
      <w:numFmt w:val="bullet"/>
      <w:lvlText w:val="•"/>
      <w:lvlJc w:val="left"/>
      <w:pPr>
        <w:ind w:left="7701" w:hanging="706"/>
      </w:pPr>
      <w:rPr>
        <w:rFonts w:hint="default"/>
        <w:lang w:val="en-US" w:eastAsia="en-US" w:bidi="ar-SA"/>
      </w:rPr>
    </w:lvl>
    <w:lvl w:ilvl="8">
      <w:start w:val="0"/>
      <w:numFmt w:val="bullet"/>
      <w:lvlText w:val="•"/>
      <w:lvlJc w:val="left"/>
      <w:pPr>
        <w:ind w:left="8724" w:hanging="706"/>
      </w:pPr>
      <w:rPr>
        <w:rFonts w:hint="default"/>
        <w:lang w:val="en-US" w:eastAsia="en-US" w:bidi="ar-SA"/>
      </w:rPr>
    </w:lvl>
  </w:abstractNum>
  <w:abstractNum w:abstractNumId="68">
    <w:multiLevelType w:val="hybridMultilevel"/>
    <w:lvl w:ilvl="0">
      <w:start w:val="2"/>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1"/>
      <w:numFmt w:val="decimal"/>
      <w:lvlText w:val="%1.%2.%3"/>
      <w:lvlJc w:val="left"/>
      <w:pPr>
        <w:ind w:left="1563" w:hanging="706"/>
        <w:jc w:val="left"/>
      </w:pPr>
      <w:rPr>
        <w:rFonts w:hint="default" w:ascii="Arial" w:hAnsi="Arial" w:eastAsia="Arial" w:cs="Arial"/>
        <w:b w:val="0"/>
        <w:bCs w:val="0"/>
        <w:i w:val="0"/>
        <w:iCs w:val="0"/>
        <w:spacing w:val="-7"/>
        <w:w w:val="100"/>
        <w:sz w:val="24"/>
        <w:szCs w:val="24"/>
        <w:lang w:val="en-US" w:eastAsia="en-US" w:bidi="ar-SA"/>
      </w:rPr>
    </w:lvl>
    <w:lvl w:ilvl="3">
      <w:start w:val="0"/>
      <w:numFmt w:val="bullet"/>
      <w:lvlText w:val="•"/>
      <w:lvlJc w:val="left"/>
      <w:pPr>
        <w:ind w:left="3607" w:hanging="706"/>
      </w:pPr>
      <w:rPr>
        <w:rFonts w:hint="default"/>
        <w:lang w:val="en-US" w:eastAsia="en-US" w:bidi="ar-SA"/>
      </w:rPr>
    </w:lvl>
    <w:lvl w:ilvl="4">
      <w:start w:val="0"/>
      <w:numFmt w:val="bullet"/>
      <w:lvlText w:val="•"/>
      <w:lvlJc w:val="left"/>
      <w:pPr>
        <w:ind w:left="4630" w:hanging="706"/>
      </w:pPr>
      <w:rPr>
        <w:rFonts w:hint="default"/>
        <w:lang w:val="en-US" w:eastAsia="en-US" w:bidi="ar-SA"/>
      </w:rPr>
    </w:lvl>
    <w:lvl w:ilvl="5">
      <w:start w:val="0"/>
      <w:numFmt w:val="bullet"/>
      <w:lvlText w:val="•"/>
      <w:lvlJc w:val="left"/>
      <w:pPr>
        <w:ind w:left="5654" w:hanging="706"/>
      </w:pPr>
      <w:rPr>
        <w:rFonts w:hint="default"/>
        <w:lang w:val="en-US" w:eastAsia="en-US" w:bidi="ar-SA"/>
      </w:rPr>
    </w:lvl>
    <w:lvl w:ilvl="6">
      <w:start w:val="0"/>
      <w:numFmt w:val="bullet"/>
      <w:lvlText w:val="•"/>
      <w:lvlJc w:val="left"/>
      <w:pPr>
        <w:ind w:left="6677" w:hanging="706"/>
      </w:pPr>
      <w:rPr>
        <w:rFonts w:hint="default"/>
        <w:lang w:val="en-US" w:eastAsia="en-US" w:bidi="ar-SA"/>
      </w:rPr>
    </w:lvl>
    <w:lvl w:ilvl="7">
      <w:start w:val="0"/>
      <w:numFmt w:val="bullet"/>
      <w:lvlText w:val="•"/>
      <w:lvlJc w:val="left"/>
      <w:pPr>
        <w:ind w:left="7701" w:hanging="706"/>
      </w:pPr>
      <w:rPr>
        <w:rFonts w:hint="default"/>
        <w:lang w:val="en-US" w:eastAsia="en-US" w:bidi="ar-SA"/>
      </w:rPr>
    </w:lvl>
    <w:lvl w:ilvl="8">
      <w:start w:val="0"/>
      <w:numFmt w:val="bullet"/>
      <w:lvlText w:val="•"/>
      <w:lvlJc w:val="left"/>
      <w:pPr>
        <w:ind w:left="8724" w:hanging="706"/>
      </w:pPr>
      <w:rPr>
        <w:rFonts w:hint="default"/>
        <w:lang w:val="en-US" w:eastAsia="en-US" w:bidi="ar-SA"/>
      </w:rPr>
    </w:lvl>
  </w:abstractNum>
  <w:abstractNum w:abstractNumId="67">
    <w:multiLevelType w:val="hybridMultilevel"/>
    <w:lvl w:ilvl="0">
      <w:start w:val="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66">
    <w:multiLevelType w:val="hybridMultilevel"/>
    <w:lvl w:ilvl="0">
      <w:start w:val="1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65">
    <w:multiLevelType w:val="hybridMultilevel"/>
    <w:lvl w:ilvl="0">
      <w:start w:val="10"/>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64">
    <w:multiLevelType w:val="hybridMultilevel"/>
    <w:lvl w:ilvl="0">
      <w:start w:val="9"/>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63">
    <w:multiLevelType w:val="hybridMultilevel"/>
    <w:lvl w:ilvl="0">
      <w:start w:val="8"/>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62">
    <w:multiLevelType w:val="hybridMultilevel"/>
    <w:lvl w:ilvl="0">
      <w:start w:val="7"/>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61">
    <w:multiLevelType w:val="hybridMultilevel"/>
    <w:lvl w:ilvl="0">
      <w:start w:val="6"/>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Times New Roman" w:hAnsi="Times New Roman" w:eastAsia="Times New Roman" w:cs="Times New Roman"/>
        <w:b/>
        <w:bCs/>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60">
    <w:multiLevelType w:val="hybridMultilevel"/>
    <w:lvl w:ilvl="0">
      <w:start w:val="0"/>
      <w:numFmt w:val="bullet"/>
      <w:lvlText w:val="-"/>
      <w:lvlJc w:val="left"/>
      <w:pPr>
        <w:ind w:left="1278" w:hanging="361"/>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229" w:hanging="361"/>
      </w:pPr>
      <w:rPr>
        <w:rFonts w:hint="default"/>
        <w:lang w:val="en-US" w:eastAsia="en-US" w:bidi="ar-SA"/>
      </w:rPr>
    </w:lvl>
    <w:lvl w:ilvl="2">
      <w:start w:val="0"/>
      <w:numFmt w:val="bullet"/>
      <w:lvlText w:val="•"/>
      <w:lvlJc w:val="left"/>
      <w:pPr>
        <w:ind w:left="3178" w:hanging="361"/>
      </w:pPr>
      <w:rPr>
        <w:rFonts w:hint="default"/>
        <w:lang w:val="en-US" w:eastAsia="en-US" w:bidi="ar-SA"/>
      </w:rPr>
    </w:lvl>
    <w:lvl w:ilvl="3">
      <w:start w:val="0"/>
      <w:numFmt w:val="bullet"/>
      <w:lvlText w:val="•"/>
      <w:lvlJc w:val="left"/>
      <w:pPr>
        <w:ind w:left="4127" w:hanging="361"/>
      </w:pPr>
      <w:rPr>
        <w:rFonts w:hint="default"/>
        <w:lang w:val="en-US" w:eastAsia="en-US" w:bidi="ar-SA"/>
      </w:rPr>
    </w:lvl>
    <w:lvl w:ilvl="4">
      <w:start w:val="0"/>
      <w:numFmt w:val="bullet"/>
      <w:lvlText w:val="•"/>
      <w:lvlJc w:val="left"/>
      <w:pPr>
        <w:ind w:left="5076" w:hanging="361"/>
      </w:pPr>
      <w:rPr>
        <w:rFonts w:hint="default"/>
        <w:lang w:val="en-US" w:eastAsia="en-US" w:bidi="ar-SA"/>
      </w:rPr>
    </w:lvl>
    <w:lvl w:ilvl="5">
      <w:start w:val="0"/>
      <w:numFmt w:val="bullet"/>
      <w:lvlText w:val="•"/>
      <w:lvlJc w:val="left"/>
      <w:pPr>
        <w:ind w:left="6026" w:hanging="361"/>
      </w:pPr>
      <w:rPr>
        <w:rFonts w:hint="default"/>
        <w:lang w:val="en-US" w:eastAsia="en-US" w:bidi="ar-SA"/>
      </w:rPr>
    </w:lvl>
    <w:lvl w:ilvl="6">
      <w:start w:val="0"/>
      <w:numFmt w:val="bullet"/>
      <w:lvlText w:val="•"/>
      <w:lvlJc w:val="left"/>
      <w:pPr>
        <w:ind w:left="6975" w:hanging="361"/>
      </w:pPr>
      <w:rPr>
        <w:rFonts w:hint="default"/>
        <w:lang w:val="en-US" w:eastAsia="en-US" w:bidi="ar-SA"/>
      </w:rPr>
    </w:lvl>
    <w:lvl w:ilvl="7">
      <w:start w:val="0"/>
      <w:numFmt w:val="bullet"/>
      <w:lvlText w:val="•"/>
      <w:lvlJc w:val="left"/>
      <w:pPr>
        <w:ind w:left="7924" w:hanging="361"/>
      </w:pPr>
      <w:rPr>
        <w:rFonts w:hint="default"/>
        <w:lang w:val="en-US" w:eastAsia="en-US" w:bidi="ar-SA"/>
      </w:rPr>
    </w:lvl>
    <w:lvl w:ilvl="8">
      <w:start w:val="0"/>
      <w:numFmt w:val="bullet"/>
      <w:lvlText w:val="•"/>
      <w:lvlJc w:val="left"/>
      <w:pPr>
        <w:ind w:left="8873" w:hanging="361"/>
      </w:pPr>
      <w:rPr>
        <w:rFonts w:hint="default"/>
        <w:lang w:val="en-US" w:eastAsia="en-US" w:bidi="ar-SA"/>
      </w:rPr>
    </w:lvl>
  </w:abstractNum>
  <w:abstractNum w:abstractNumId="59">
    <w:multiLevelType w:val="hybridMultilevel"/>
    <w:lvl w:ilvl="0">
      <w:start w:val="5"/>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spacing w:val="-7"/>
        <w:w w:val="100"/>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58">
    <w:multiLevelType w:val="hybridMultilevel"/>
    <w:lvl w:ilvl="0">
      <w:start w:val="3"/>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57">
    <w:multiLevelType w:val="hybridMultilevel"/>
    <w:lvl w:ilvl="0">
      <w:start w:val="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56">
    <w:multiLevelType w:val="hybridMultilevel"/>
    <w:lvl w:ilvl="0">
      <w:start w:val="1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862" w:hanging="360"/>
      </w:pPr>
      <w:rPr>
        <w:rFonts w:hint="default" w:ascii="Arial" w:hAnsi="Arial" w:eastAsia="Arial" w:cs="Arial"/>
        <w:b w:val="0"/>
        <w:bCs w:val="0"/>
        <w:i w:val="0"/>
        <w:iCs w:val="0"/>
        <w:spacing w:val="0"/>
        <w:w w:val="100"/>
        <w:sz w:val="24"/>
        <w:szCs w:val="24"/>
        <w:lang w:val="en-US" w:eastAsia="en-US" w:bidi="ar-SA"/>
      </w:rPr>
    </w:lvl>
    <w:lvl w:ilvl="3">
      <w:start w:val="0"/>
      <w:numFmt w:val="bullet"/>
      <w:lvlText w:val="•"/>
      <w:lvlJc w:val="left"/>
      <w:pPr>
        <w:ind w:left="3833"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816" w:hanging="360"/>
      </w:pPr>
      <w:rPr>
        <w:rFonts w:hint="default"/>
        <w:lang w:val="en-US" w:eastAsia="en-US" w:bidi="ar-SA"/>
      </w:rPr>
    </w:lvl>
    <w:lvl w:ilvl="6">
      <w:start w:val="0"/>
      <w:numFmt w:val="bullet"/>
      <w:lvlText w:val="•"/>
      <w:lvlJc w:val="left"/>
      <w:pPr>
        <w:ind w:left="6807" w:hanging="360"/>
      </w:pPr>
      <w:rPr>
        <w:rFonts w:hint="default"/>
        <w:lang w:val="en-US" w:eastAsia="en-US" w:bidi="ar-SA"/>
      </w:rPr>
    </w:lvl>
    <w:lvl w:ilvl="7">
      <w:start w:val="0"/>
      <w:numFmt w:val="bullet"/>
      <w:lvlText w:val="•"/>
      <w:lvlJc w:val="left"/>
      <w:pPr>
        <w:ind w:left="7798" w:hanging="360"/>
      </w:pPr>
      <w:rPr>
        <w:rFonts w:hint="default"/>
        <w:lang w:val="en-US" w:eastAsia="en-US" w:bidi="ar-SA"/>
      </w:rPr>
    </w:lvl>
    <w:lvl w:ilvl="8">
      <w:start w:val="0"/>
      <w:numFmt w:val="bullet"/>
      <w:lvlText w:val="•"/>
      <w:lvlJc w:val="left"/>
      <w:pPr>
        <w:ind w:left="8789" w:hanging="360"/>
      </w:pPr>
      <w:rPr>
        <w:rFonts w:hint="default"/>
        <w:lang w:val="en-US" w:eastAsia="en-US" w:bidi="ar-SA"/>
      </w:rPr>
    </w:lvl>
  </w:abstractNum>
  <w:abstractNum w:abstractNumId="55">
    <w:multiLevelType w:val="hybridMultilevel"/>
    <w:lvl w:ilvl="0">
      <w:start w:val="10"/>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54">
    <w:multiLevelType w:val="hybridMultilevel"/>
    <w:lvl w:ilvl="0">
      <w:start w:val="9"/>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53">
    <w:multiLevelType w:val="hybridMultilevel"/>
    <w:lvl w:ilvl="0">
      <w:start w:val="8"/>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52">
    <w:multiLevelType w:val="hybridMultilevel"/>
    <w:lvl w:ilvl="0">
      <w:start w:val="7"/>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51">
    <w:multiLevelType w:val="hybridMultilevel"/>
    <w:lvl w:ilvl="0">
      <w:start w:val="6"/>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862" w:hanging="360"/>
      </w:pPr>
      <w:rPr>
        <w:rFonts w:hint="default" w:ascii="Arial" w:hAnsi="Arial" w:eastAsia="Arial" w:cs="Arial"/>
        <w:b w:val="0"/>
        <w:bCs w:val="0"/>
        <w:i w:val="0"/>
        <w:iCs w:val="0"/>
        <w:spacing w:val="0"/>
        <w:w w:val="100"/>
        <w:sz w:val="24"/>
        <w:szCs w:val="24"/>
        <w:lang w:val="en-US" w:eastAsia="en-US" w:bidi="ar-SA"/>
      </w:rPr>
    </w:lvl>
    <w:lvl w:ilvl="3">
      <w:start w:val="0"/>
      <w:numFmt w:val="bullet"/>
      <w:lvlText w:val="•"/>
      <w:lvlJc w:val="left"/>
      <w:pPr>
        <w:ind w:left="3833"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816" w:hanging="360"/>
      </w:pPr>
      <w:rPr>
        <w:rFonts w:hint="default"/>
        <w:lang w:val="en-US" w:eastAsia="en-US" w:bidi="ar-SA"/>
      </w:rPr>
    </w:lvl>
    <w:lvl w:ilvl="6">
      <w:start w:val="0"/>
      <w:numFmt w:val="bullet"/>
      <w:lvlText w:val="•"/>
      <w:lvlJc w:val="left"/>
      <w:pPr>
        <w:ind w:left="6807" w:hanging="360"/>
      </w:pPr>
      <w:rPr>
        <w:rFonts w:hint="default"/>
        <w:lang w:val="en-US" w:eastAsia="en-US" w:bidi="ar-SA"/>
      </w:rPr>
    </w:lvl>
    <w:lvl w:ilvl="7">
      <w:start w:val="0"/>
      <w:numFmt w:val="bullet"/>
      <w:lvlText w:val="•"/>
      <w:lvlJc w:val="left"/>
      <w:pPr>
        <w:ind w:left="7798" w:hanging="360"/>
      </w:pPr>
      <w:rPr>
        <w:rFonts w:hint="default"/>
        <w:lang w:val="en-US" w:eastAsia="en-US" w:bidi="ar-SA"/>
      </w:rPr>
    </w:lvl>
    <w:lvl w:ilvl="8">
      <w:start w:val="0"/>
      <w:numFmt w:val="bullet"/>
      <w:lvlText w:val="•"/>
      <w:lvlJc w:val="left"/>
      <w:pPr>
        <w:ind w:left="8789" w:hanging="360"/>
      </w:pPr>
      <w:rPr>
        <w:rFonts w:hint="default"/>
        <w:lang w:val="en-US" w:eastAsia="en-US" w:bidi="ar-SA"/>
      </w:rPr>
    </w:lvl>
  </w:abstractNum>
  <w:abstractNum w:abstractNumId="50">
    <w:multiLevelType w:val="hybridMultilevel"/>
    <w:lvl w:ilvl="0">
      <w:start w:val="5"/>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862" w:hanging="360"/>
      </w:pPr>
      <w:rPr>
        <w:rFonts w:hint="default" w:ascii="Arial" w:hAnsi="Arial" w:eastAsia="Arial" w:cs="Arial"/>
        <w:b w:val="0"/>
        <w:bCs w:val="0"/>
        <w:i w:val="0"/>
        <w:iCs w:val="0"/>
        <w:spacing w:val="0"/>
        <w:w w:val="100"/>
        <w:sz w:val="24"/>
        <w:szCs w:val="24"/>
        <w:lang w:val="en-US" w:eastAsia="en-US" w:bidi="ar-SA"/>
      </w:rPr>
    </w:lvl>
    <w:lvl w:ilvl="3">
      <w:start w:val="0"/>
      <w:numFmt w:val="bullet"/>
      <w:lvlText w:val="•"/>
      <w:lvlJc w:val="left"/>
      <w:pPr>
        <w:ind w:left="3833"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816" w:hanging="360"/>
      </w:pPr>
      <w:rPr>
        <w:rFonts w:hint="default"/>
        <w:lang w:val="en-US" w:eastAsia="en-US" w:bidi="ar-SA"/>
      </w:rPr>
    </w:lvl>
    <w:lvl w:ilvl="6">
      <w:start w:val="0"/>
      <w:numFmt w:val="bullet"/>
      <w:lvlText w:val="•"/>
      <w:lvlJc w:val="left"/>
      <w:pPr>
        <w:ind w:left="6807" w:hanging="360"/>
      </w:pPr>
      <w:rPr>
        <w:rFonts w:hint="default"/>
        <w:lang w:val="en-US" w:eastAsia="en-US" w:bidi="ar-SA"/>
      </w:rPr>
    </w:lvl>
    <w:lvl w:ilvl="7">
      <w:start w:val="0"/>
      <w:numFmt w:val="bullet"/>
      <w:lvlText w:val="•"/>
      <w:lvlJc w:val="left"/>
      <w:pPr>
        <w:ind w:left="7798" w:hanging="360"/>
      </w:pPr>
      <w:rPr>
        <w:rFonts w:hint="default"/>
        <w:lang w:val="en-US" w:eastAsia="en-US" w:bidi="ar-SA"/>
      </w:rPr>
    </w:lvl>
    <w:lvl w:ilvl="8">
      <w:start w:val="0"/>
      <w:numFmt w:val="bullet"/>
      <w:lvlText w:val="•"/>
      <w:lvlJc w:val="left"/>
      <w:pPr>
        <w:ind w:left="8789" w:hanging="360"/>
      </w:pPr>
      <w:rPr>
        <w:rFonts w:hint="default"/>
        <w:lang w:val="en-US" w:eastAsia="en-US" w:bidi="ar-SA"/>
      </w:rPr>
    </w:lvl>
  </w:abstractNum>
  <w:abstractNum w:abstractNumId="49">
    <w:multiLevelType w:val="hybridMultilevel"/>
    <w:lvl w:ilvl="0">
      <w:start w:val="4"/>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48">
    <w:multiLevelType w:val="hybridMultilevel"/>
    <w:lvl w:ilvl="0">
      <w:start w:val="3"/>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47">
    <w:multiLevelType w:val="hybridMultilevel"/>
    <w:lvl w:ilvl="0">
      <w:start w:val="2"/>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46">
    <w:multiLevelType w:val="hybridMultilevel"/>
    <w:lvl w:ilvl="0">
      <w:start w:val="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45">
    <w:multiLevelType w:val="hybridMultilevel"/>
    <w:lvl w:ilvl="0">
      <w:start w:val="12"/>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2"/>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44">
    <w:multiLevelType w:val="hybridMultilevel"/>
    <w:lvl w:ilvl="0">
      <w:start w:val="1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43">
    <w:multiLevelType w:val="hybridMultilevel"/>
    <w:lvl w:ilvl="0">
      <w:start w:val="10"/>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42">
    <w:multiLevelType w:val="hybridMultilevel"/>
    <w:lvl w:ilvl="0">
      <w:start w:val="8"/>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41">
    <w:multiLevelType w:val="hybridMultilevel"/>
    <w:lvl w:ilvl="0">
      <w:start w:val="7"/>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2"/>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40">
    <w:multiLevelType w:val="hybridMultilevel"/>
    <w:lvl w:ilvl="0">
      <w:start w:val="6"/>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2"/>
        <w:w w:val="100"/>
        <w:sz w:val="24"/>
        <w:szCs w:val="24"/>
        <w:lang w:val="en-US" w:eastAsia="en-US" w:bidi="ar-SA"/>
      </w:rPr>
    </w:lvl>
    <w:lvl w:ilvl="2">
      <w:start w:val="1"/>
      <w:numFmt w:val="decimal"/>
      <w:lvlText w:val="%1.%2.%3"/>
      <w:lvlJc w:val="left"/>
      <w:pPr>
        <w:ind w:left="1703" w:hanging="721"/>
        <w:jc w:val="left"/>
      </w:pPr>
      <w:rPr>
        <w:rFonts w:hint="default" w:ascii="Arial" w:hAnsi="Arial" w:eastAsia="Arial" w:cs="Arial"/>
        <w:b w:val="0"/>
        <w:bCs w:val="0"/>
        <w:i w:val="0"/>
        <w:iCs w:val="0"/>
        <w:spacing w:val="-2"/>
        <w:w w:val="100"/>
        <w:sz w:val="24"/>
        <w:szCs w:val="24"/>
        <w:lang w:val="en-US" w:eastAsia="en-US" w:bidi="ar-SA"/>
      </w:rPr>
    </w:lvl>
    <w:lvl w:ilvl="3">
      <w:start w:val="0"/>
      <w:numFmt w:val="bullet"/>
      <w:lvlText w:val="•"/>
      <w:lvlJc w:val="left"/>
      <w:pPr>
        <w:ind w:left="3716" w:hanging="721"/>
      </w:pPr>
      <w:rPr>
        <w:rFonts w:hint="default"/>
        <w:lang w:val="en-US" w:eastAsia="en-US" w:bidi="ar-SA"/>
      </w:rPr>
    </w:lvl>
    <w:lvl w:ilvl="4">
      <w:start w:val="0"/>
      <w:numFmt w:val="bullet"/>
      <w:lvlText w:val="•"/>
      <w:lvlJc w:val="left"/>
      <w:pPr>
        <w:ind w:left="4724" w:hanging="721"/>
      </w:pPr>
      <w:rPr>
        <w:rFonts w:hint="default"/>
        <w:lang w:val="en-US" w:eastAsia="en-US" w:bidi="ar-SA"/>
      </w:rPr>
    </w:lvl>
    <w:lvl w:ilvl="5">
      <w:start w:val="0"/>
      <w:numFmt w:val="bullet"/>
      <w:lvlText w:val="•"/>
      <w:lvlJc w:val="left"/>
      <w:pPr>
        <w:ind w:left="5732" w:hanging="721"/>
      </w:pPr>
      <w:rPr>
        <w:rFonts w:hint="default"/>
        <w:lang w:val="en-US" w:eastAsia="en-US" w:bidi="ar-SA"/>
      </w:rPr>
    </w:lvl>
    <w:lvl w:ilvl="6">
      <w:start w:val="0"/>
      <w:numFmt w:val="bullet"/>
      <w:lvlText w:val="•"/>
      <w:lvlJc w:val="left"/>
      <w:pPr>
        <w:ind w:left="6740" w:hanging="721"/>
      </w:pPr>
      <w:rPr>
        <w:rFonts w:hint="default"/>
        <w:lang w:val="en-US" w:eastAsia="en-US" w:bidi="ar-SA"/>
      </w:rPr>
    </w:lvl>
    <w:lvl w:ilvl="7">
      <w:start w:val="0"/>
      <w:numFmt w:val="bullet"/>
      <w:lvlText w:val="•"/>
      <w:lvlJc w:val="left"/>
      <w:pPr>
        <w:ind w:left="7748" w:hanging="721"/>
      </w:pPr>
      <w:rPr>
        <w:rFonts w:hint="default"/>
        <w:lang w:val="en-US" w:eastAsia="en-US" w:bidi="ar-SA"/>
      </w:rPr>
    </w:lvl>
    <w:lvl w:ilvl="8">
      <w:start w:val="0"/>
      <w:numFmt w:val="bullet"/>
      <w:lvlText w:val="•"/>
      <w:lvlJc w:val="left"/>
      <w:pPr>
        <w:ind w:left="8756" w:hanging="721"/>
      </w:pPr>
      <w:rPr>
        <w:rFonts w:hint="default"/>
        <w:lang w:val="en-US" w:eastAsia="en-US" w:bidi="ar-SA"/>
      </w:rPr>
    </w:lvl>
  </w:abstractNum>
  <w:abstractNum w:abstractNumId="39">
    <w:multiLevelType w:val="hybridMultilevel"/>
    <w:lvl w:ilvl="0">
      <w:start w:val="5"/>
      <w:numFmt w:val="decimal"/>
      <w:lvlText w:val="%1"/>
      <w:lvlJc w:val="left"/>
      <w:pPr>
        <w:ind w:left="852" w:hanging="710"/>
        <w:jc w:val="left"/>
      </w:pPr>
      <w:rPr>
        <w:rFonts w:hint="default"/>
        <w:lang w:val="en-US" w:eastAsia="en-US" w:bidi="ar-SA"/>
      </w:rPr>
    </w:lvl>
    <w:lvl w:ilvl="1">
      <w:start w:val="2"/>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38">
    <w:multiLevelType w:val="hybridMultilevel"/>
    <w:lvl w:ilvl="0">
      <w:start w:val="5"/>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1278" w:hanging="361"/>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3389" w:hanging="361"/>
      </w:pPr>
      <w:rPr>
        <w:rFonts w:hint="default"/>
        <w:lang w:val="en-US" w:eastAsia="en-US" w:bidi="ar-SA"/>
      </w:rPr>
    </w:lvl>
    <w:lvl w:ilvl="4">
      <w:start w:val="0"/>
      <w:numFmt w:val="bullet"/>
      <w:lvlText w:val="•"/>
      <w:lvlJc w:val="left"/>
      <w:pPr>
        <w:ind w:left="4444" w:hanging="361"/>
      </w:pPr>
      <w:rPr>
        <w:rFonts w:hint="default"/>
        <w:lang w:val="en-US" w:eastAsia="en-US" w:bidi="ar-SA"/>
      </w:rPr>
    </w:lvl>
    <w:lvl w:ilvl="5">
      <w:start w:val="0"/>
      <w:numFmt w:val="bullet"/>
      <w:lvlText w:val="•"/>
      <w:lvlJc w:val="left"/>
      <w:pPr>
        <w:ind w:left="5498" w:hanging="361"/>
      </w:pPr>
      <w:rPr>
        <w:rFonts w:hint="default"/>
        <w:lang w:val="en-US" w:eastAsia="en-US" w:bidi="ar-SA"/>
      </w:rPr>
    </w:lvl>
    <w:lvl w:ilvl="6">
      <w:start w:val="0"/>
      <w:numFmt w:val="bullet"/>
      <w:lvlText w:val="•"/>
      <w:lvlJc w:val="left"/>
      <w:pPr>
        <w:ind w:left="6553" w:hanging="361"/>
      </w:pPr>
      <w:rPr>
        <w:rFonts w:hint="default"/>
        <w:lang w:val="en-US" w:eastAsia="en-US" w:bidi="ar-SA"/>
      </w:rPr>
    </w:lvl>
    <w:lvl w:ilvl="7">
      <w:start w:val="0"/>
      <w:numFmt w:val="bullet"/>
      <w:lvlText w:val="•"/>
      <w:lvlJc w:val="left"/>
      <w:pPr>
        <w:ind w:left="7608"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37">
    <w:multiLevelType w:val="hybridMultilevel"/>
    <w:lvl w:ilvl="0">
      <w:start w:val="4"/>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10"/>
      </w:pPr>
      <w:rPr>
        <w:rFonts w:hint="default"/>
        <w:lang w:val="en-US" w:eastAsia="en-US" w:bidi="ar-SA"/>
      </w:rPr>
    </w:lvl>
    <w:lvl w:ilvl="3">
      <w:start w:val="0"/>
      <w:numFmt w:val="bullet"/>
      <w:lvlText w:val="•"/>
      <w:lvlJc w:val="left"/>
      <w:pPr>
        <w:ind w:left="3833" w:hanging="710"/>
      </w:pPr>
      <w:rPr>
        <w:rFonts w:hint="default"/>
        <w:lang w:val="en-US" w:eastAsia="en-US" w:bidi="ar-SA"/>
      </w:rPr>
    </w:lvl>
    <w:lvl w:ilvl="4">
      <w:start w:val="0"/>
      <w:numFmt w:val="bullet"/>
      <w:lvlText w:val="•"/>
      <w:lvlJc w:val="left"/>
      <w:pPr>
        <w:ind w:left="4824" w:hanging="710"/>
      </w:pPr>
      <w:rPr>
        <w:rFonts w:hint="default"/>
        <w:lang w:val="en-US" w:eastAsia="en-US" w:bidi="ar-SA"/>
      </w:rPr>
    </w:lvl>
    <w:lvl w:ilvl="5">
      <w:start w:val="0"/>
      <w:numFmt w:val="bullet"/>
      <w:lvlText w:val="•"/>
      <w:lvlJc w:val="left"/>
      <w:pPr>
        <w:ind w:left="5816" w:hanging="710"/>
      </w:pPr>
      <w:rPr>
        <w:rFonts w:hint="default"/>
        <w:lang w:val="en-US" w:eastAsia="en-US" w:bidi="ar-SA"/>
      </w:rPr>
    </w:lvl>
    <w:lvl w:ilvl="6">
      <w:start w:val="0"/>
      <w:numFmt w:val="bullet"/>
      <w:lvlText w:val="•"/>
      <w:lvlJc w:val="left"/>
      <w:pPr>
        <w:ind w:left="6807" w:hanging="710"/>
      </w:pPr>
      <w:rPr>
        <w:rFonts w:hint="default"/>
        <w:lang w:val="en-US" w:eastAsia="en-US" w:bidi="ar-SA"/>
      </w:rPr>
    </w:lvl>
    <w:lvl w:ilvl="7">
      <w:start w:val="0"/>
      <w:numFmt w:val="bullet"/>
      <w:lvlText w:val="•"/>
      <w:lvlJc w:val="left"/>
      <w:pPr>
        <w:ind w:left="7798" w:hanging="710"/>
      </w:pPr>
      <w:rPr>
        <w:rFonts w:hint="default"/>
        <w:lang w:val="en-US" w:eastAsia="en-US" w:bidi="ar-SA"/>
      </w:rPr>
    </w:lvl>
    <w:lvl w:ilvl="8">
      <w:start w:val="0"/>
      <w:numFmt w:val="bullet"/>
      <w:lvlText w:val="•"/>
      <w:lvlJc w:val="left"/>
      <w:pPr>
        <w:ind w:left="8789" w:hanging="710"/>
      </w:pPr>
      <w:rPr>
        <w:rFonts w:hint="default"/>
        <w:lang w:val="en-US" w:eastAsia="en-US" w:bidi="ar-SA"/>
      </w:rPr>
    </w:lvl>
  </w:abstractNum>
  <w:abstractNum w:abstractNumId="36">
    <w:multiLevelType w:val="hybridMultilevel"/>
    <w:lvl w:ilvl="0">
      <w:start w:val="3"/>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1"/>
      <w:numFmt w:val="decimal"/>
      <w:lvlText w:val="%1.%2.%3"/>
      <w:lvlJc w:val="left"/>
      <w:pPr>
        <w:ind w:left="1563" w:hanging="721"/>
        <w:jc w:val="left"/>
      </w:pPr>
      <w:rPr>
        <w:rFonts w:hint="default" w:ascii="Arial" w:hAnsi="Arial" w:eastAsia="Arial" w:cs="Arial"/>
        <w:b w:val="0"/>
        <w:bCs w:val="0"/>
        <w:i w:val="0"/>
        <w:iCs w:val="0"/>
        <w:spacing w:val="-7"/>
        <w:w w:val="100"/>
        <w:sz w:val="24"/>
        <w:szCs w:val="24"/>
        <w:lang w:val="en-US" w:eastAsia="en-US" w:bidi="ar-SA"/>
      </w:rPr>
    </w:lvl>
    <w:lvl w:ilvl="3">
      <w:start w:val="0"/>
      <w:numFmt w:val="bullet"/>
      <w:lvlText w:val="•"/>
      <w:lvlJc w:val="left"/>
      <w:pPr>
        <w:ind w:left="3607" w:hanging="721"/>
      </w:pPr>
      <w:rPr>
        <w:rFonts w:hint="default"/>
        <w:lang w:val="en-US" w:eastAsia="en-US" w:bidi="ar-SA"/>
      </w:rPr>
    </w:lvl>
    <w:lvl w:ilvl="4">
      <w:start w:val="0"/>
      <w:numFmt w:val="bullet"/>
      <w:lvlText w:val="•"/>
      <w:lvlJc w:val="left"/>
      <w:pPr>
        <w:ind w:left="4630" w:hanging="721"/>
      </w:pPr>
      <w:rPr>
        <w:rFonts w:hint="default"/>
        <w:lang w:val="en-US" w:eastAsia="en-US" w:bidi="ar-SA"/>
      </w:rPr>
    </w:lvl>
    <w:lvl w:ilvl="5">
      <w:start w:val="0"/>
      <w:numFmt w:val="bullet"/>
      <w:lvlText w:val="•"/>
      <w:lvlJc w:val="left"/>
      <w:pPr>
        <w:ind w:left="5654" w:hanging="721"/>
      </w:pPr>
      <w:rPr>
        <w:rFonts w:hint="default"/>
        <w:lang w:val="en-US" w:eastAsia="en-US" w:bidi="ar-SA"/>
      </w:rPr>
    </w:lvl>
    <w:lvl w:ilvl="6">
      <w:start w:val="0"/>
      <w:numFmt w:val="bullet"/>
      <w:lvlText w:val="•"/>
      <w:lvlJc w:val="left"/>
      <w:pPr>
        <w:ind w:left="6677" w:hanging="721"/>
      </w:pPr>
      <w:rPr>
        <w:rFonts w:hint="default"/>
        <w:lang w:val="en-US" w:eastAsia="en-US" w:bidi="ar-SA"/>
      </w:rPr>
    </w:lvl>
    <w:lvl w:ilvl="7">
      <w:start w:val="0"/>
      <w:numFmt w:val="bullet"/>
      <w:lvlText w:val="•"/>
      <w:lvlJc w:val="left"/>
      <w:pPr>
        <w:ind w:left="7701" w:hanging="721"/>
      </w:pPr>
      <w:rPr>
        <w:rFonts w:hint="default"/>
        <w:lang w:val="en-US" w:eastAsia="en-US" w:bidi="ar-SA"/>
      </w:rPr>
    </w:lvl>
    <w:lvl w:ilvl="8">
      <w:start w:val="0"/>
      <w:numFmt w:val="bullet"/>
      <w:lvlText w:val="•"/>
      <w:lvlJc w:val="left"/>
      <w:pPr>
        <w:ind w:left="8724" w:hanging="721"/>
      </w:pPr>
      <w:rPr>
        <w:rFonts w:hint="default"/>
        <w:lang w:val="en-US" w:eastAsia="en-US" w:bidi="ar-SA"/>
      </w:rPr>
    </w:lvl>
  </w:abstractNum>
  <w:abstractNum w:abstractNumId="35">
    <w:multiLevelType w:val="hybridMultilevel"/>
    <w:lvl w:ilvl="0">
      <w:start w:val="2"/>
      <w:numFmt w:val="decimal"/>
      <w:lvlText w:val="%1"/>
      <w:lvlJc w:val="left"/>
      <w:pPr>
        <w:ind w:left="852" w:hanging="710"/>
        <w:jc w:val="left"/>
      </w:pPr>
      <w:rPr>
        <w:rFonts w:hint="default"/>
        <w:lang w:val="en-US" w:eastAsia="en-US" w:bidi="ar-SA"/>
      </w:rPr>
    </w:lvl>
    <w:lvl w:ilvl="1">
      <w:start w:val="1"/>
      <w:numFmt w:val="decimal"/>
      <w:lvlText w:val="%1.%2"/>
      <w:lvlJc w:val="left"/>
      <w:pPr>
        <w:ind w:left="852" w:hanging="710"/>
        <w:jc w:val="left"/>
      </w:pPr>
      <w:rPr>
        <w:rFonts w:hint="default" w:ascii="Arial" w:hAnsi="Arial" w:eastAsia="Arial" w:cs="Arial"/>
        <w:b w:val="0"/>
        <w:bCs w:val="0"/>
        <w:i w:val="0"/>
        <w:iCs w:val="0"/>
        <w:spacing w:val="-7"/>
        <w:w w:val="100"/>
        <w:sz w:val="24"/>
        <w:szCs w:val="24"/>
        <w:lang w:val="en-US" w:eastAsia="en-US" w:bidi="ar-SA"/>
      </w:rPr>
    </w:lvl>
    <w:lvl w:ilvl="2">
      <w:start w:val="1"/>
      <w:numFmt w:val="decimal"/>
      <w:lvlText w:val="%1.%2.%3"/>
      <w:lvlJc w:val="left"/>
      <w:pPr>
        <w:ind w:left="1563" w:hanging="711"/>
        <w:jc w:val="left"/>
      </w:pPr>
      <w:rPr>
        <w:rFonts w:hint="default" w:ascii="Arial" w:hAnsi="Arial" w:eastAsia="Arial" w:cs="Arial"/>
        <w:b w:val="0"/>
        <w:bCs w:val="0"/>
        <w:i w:val="0"/>
        <w:iCs w:val="0"/>
        <w:spacing w:val="-7"/>
        <w:w w:val="100"/>
        <w:sz w:val="24"/>
        <w:szCs w:val="24"/>
        <w:lang w:val="en-US" w:eastAsia="en-US" w:bidi="ar-SA"/>
      </w:rPr>
    </w:lvl>
    <w:lvl w:ilvl="3">
      <w:start w:val="1"/>
      <w:numFmt w:val="decimal"/>
      <w:lvlText w:val="%1.%2.%3.%4"/>
      <w:lvlJc w:val="left"/>
      <w:pPr>
        <w:ind w:left="2413" w:hanging="851"/>
        <w:jc w:val="left"/>
      </w:pPr>
      <w:rPr>
        <w:rFonts w:hint="default" w:ascii="Arial" w:hAnsi="Arial" w:eastAsia="Arial" w:cs="Arial"/>
        <w:b w:val="0"/>
        <w:bCs w:val="0"/>
        <w:i w:val="0"/>
        <w:iCs w:val="0"/>
        <w:spacing w:val="-7"/>
        <w:w w:val="100"/>
        <w:sz w:val="24"/>
        <w:szCs w:val="24"/>
        <w:lang w:val="en-US" w:eastAsia="en-US" w:bidi="ar-SA"/>
      </w:rPr>
    </w:lvl>
    <w:lvl w:ilvl="4">
      <w:start w:val="0"/>
      <w:numFmt w:val="bullet"/>
      <w:lvlText w:val="•"/>
      <w:lvlJc w:val="left"/>
      <w:pPr>
        <w:ind w:left="4508" w:hanging="851"/>
      </w:pPr>
      <w:rPr>
        <w:rFonts w:hint="default"/>
        <w:lang w:val="en-US" w:eastAsia="en-US" w:bidi="ar-SA"/>
      </w:rPr>
    </w:lvl>
    <w:lvl w:ilvl="5">
      <w:start w:val="0"/>
      <w:numFmt w:val="bullet"/>
      <w:lvlText w:val="•"/>
      <w:lvlJc w:val="left"/>
      <w:pPr>
        <w:ind w:left="5552" w:hanging="851"/>
      </w:pPr>
      <w:rPr>
        <w:rFonts w:hint="default"/>
        <w:lang w:val="en-US" w:eastAsia="en-US" w:bidi="ar-SA"/>
      </w:rPr>
    </w:lvl>
    <w:lvl w:ilvl="6">
      <w:start w:val="0"/>
      <w:numFmt w:val="bullet"/>
      <w:lvlText w:val="•"/>
      <w:lvlJc w:val="left"/>
      <w:pPr>
        <w:ind w:left="6596" w:hanging="851"/>
      </w:pPr>
      <w:rPr>
        <w:rFonts w:hint="default"/>
        <w:lang w:val="en-US" w:eastAsia="en-US" w:bidi="ar-SA"/>
      </w:rPr>
    </w:lvl>
    <w:lvl w:ilvl="7">
      <w:start w:val="0"/>
      <w:numFmt w:val="bullet"/>
      <w:lvlText w:val="•"/>
      <w:lvlJc w:val="left"/>
      <w:pPr>
        <w:ind w:left="7640" w:hanging="851"/>
      </w:pPr>
      <w:rPr>
        <w:rFonts w:hint="default"/>
        <w:lang w:val="en-US" w:eastAsia="en-US" w:bidi="ar-SA"/>
      </w:rPr>
    </w:lvl>
    <w:lvl w:ilvl="8">
      <w:start w:val="0"/>
      <w:numFmt w:val="bullet"/>
      <w:lvlText w:val="•"/>
      <w:lvlJc w:val="left"/>
      <w:pPr>
        <w:ind w:left="8684" w:hanging="851"/>
      </w:pPr>
      <w:rPr>
        <w:rFonts w:hint="default"/>
        <w:lang w:val="en-US" w:eastAsia="en-US" w:bidi="ar-SA"/>
      </w:rPr>
    </w:lvl>
  </w:abstractNum>
  <w:abstractNum w:abstractNumId="34">
    <w:multiLevelType w:val="hybridMultilevel"/>
    <w:lvl w:ilvl="0">
      <w:start w:val="1"/>
      <w:numFmt w:val="decimal"/>
      <w:lvlText w:val="%1"/>
      <w:lvlJc w:val="left"/>
      <w:pPr>
        <w:ind w:left="862" w:hanging="720"/>
        <w:jc w:val="left"/>
      </w:pPr>
      <w:rPr>
        <w:rFonts w:hint="default"/>
        <w:lang w:val="en-US" w:eastAsia="en-US" w:bidi="ar-SA"/>
      </w:rPr>
    </w:lvl>
    <w:lvl w:ilvl="1">
      <w:start w:val="1"/>
      <w:numFmt w:val="decimal"/>
      <w:lvlText w:val="%1.%2"/>
      <w:lvlJc w:val="left"/>
      <w:pPr>
        <w:ind w:left="862" w:hanging="720"/>
        <w:jc w:val="left"/>
      </w:pPr>
      <w:rPr>
        <w:rFonts w:hint="default" w:ascii="Arial" w:hAnsi="Arial" w:eastAsia="Arial" w:cs="Arial"/>
        <w:b w:val="0"/>
        <w:bCs w:val="0"/>
        <w:i w:val="0"/>
        <w:iCs w:val="0"/>
        <w:spacing w:val="-7"/>
        <w:w w:val="100"/>
        <w:sz w:val="24"/>
        <w:szCs w:val="24"/>
        <w:lang w:val="en-US" w:eastAsia="en-US" w:bidi="ar-SA"/>
      </w:rPr>
    </w:lvl>
    <w:lvl w:ilvl="2">
      <w:start w:val="0"/>
      <w:numFmt w:val="bullet"/>
      <w:lvlText w:val="•"/>
      <w:lvlJc w:val="left"/>
      <w:pPr>
        <w:ind w:left="2842" w:hanging="720"/>
      </w:pPr>
      <w:rPr>
        <w:rFonts w:hint="default"/>
        <w:lang w:val="en-US" w:eastAsia="en-US" w:bidi="ar-SA"/>
      </w:rPr>
    </w:lvl>
    <w:lvl w:ilvl="3">
      <w:start w:val="0"/>
      <w:numFmt w:val="bullet"/>
      <w:lvlText w:val="•"/>
      <w:lvlJc w:val="left"/>
      <w:pPr>
        <w:ind w:left="3833" w:hanging="720"/>
      </w:pPr>
      <w:rPr>
        <w:rFonts w:hint="default"/>
        <w:lang w:val="en-US" w:eastAsia="en-US" w:bidi="ar-SA"/>
      </w:rPr>
    </w:lvl>
    <w:lvl w:ilvl="4">
      <w:start w:val="0"/>
      <w:numFmt w:val="bullet"/>
      <w:lvlText w:val="•"/>
      <w:lvlJc w:val="left"/>
      <w:pPr>
        <w:ind w:left="4824" w:hanging="720"/>
      </w:pPr>
      <w:rPr>
        <w:rFonts w:hint="default"/>
        <w:lang w:val="en-US" w:eastAsia="en-US" w:bidi="ar-SA"/>
      </w:rPr>
    </w:lvl>
    <w:lvl w:ilvl="5">
      <w:start w:val="0"/>
      <w:numFmt w:val="bullet"/>
      <w:lvlText w:val="•"/>
      <w:lvlJc w:val="left"/>
      <w:pPr>
        <w:ind w:left="5816" w:hanging="720"/>
      </w:pPr>
      <w:rPr>
        <w:rFonts w:hint="default"/>
        <w:lang w:val="en-US" w:eastAsia="en-US" w:bidi="ar-SA"/>
      </w:rPr>
    </w:lvl>
    <w:lvl w:ilvl="6">
      <w:start w:val="0"/>
      <w:numFmt w:val="bullet"/>
      <w:lvlText w:val="•"/>
      <w:lvlJc w:val="left"/>
      <w:pPr>
        <w:ind w:left="6807" w:hanging="720"/>
      </w:pPr>
      <w:rPr>
        <w:rFonts w:hint="default"/>
        <w:lang w:val="en-US" w:eastAsia="en-US" w:bidi="ar-SA"/>
      </w:rPr>
    </w:lvl>
    <w:lvl w:ilvl="7">
      <w:start w:val="0"/>
      <w:numFmt w:val="bullet"/>
      <w:lvlText w:val="•"/>
      <w:lvlJc w:val="left"/>
      <w:pPr>
        <w:ind w:left="7798" w:hanging="720"/>
      </w:pPr>
      <w:rPr>
        <w:rFonts w:hint="default"/>
        <w:lang w:val="en-US" w:eastAsia="en-US" w:bidi="ar-SA"/>
      </w:rPr>
    </w:lvl>
    <w:lvl w:ilvl="8">
      <w:start w:val="0"/>
      <w:numFmt w:val="bullet"/>
      <w:lvlText w:val="•"/>
      <w:lvlJc w:val="left"/>
      <w:pPr>
        <w:ind w:left="8789" w:hanging="720"/>
      </w:pPr>
      <w:rPr>
        <w:rFonts w:hint="default"/>
        <w:lang w:val="en-US" w:eastAsia="en-US" w:bidi="ar-SA"/>
      </w:rPr>
    </w:lvl>
  </w:abstractNum>
  <w:abstractNum w:abstractNumId="33">
    <w:multiLevelType w:val="hybridMultilevel"/>
    <w:lvl w:ilvl="0">
      <w:start w:val="0"/>
      <w:numFmt w:val="bullet"/>
      <w:lvlText w:val=""/>
      <w:lvlJc w:val="left"/>
      <w:pPr>
        <w:ind w:left="1453"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391" w:hanging="360"/>
      </w:pPr>
      <w:rPr>
        <w:rFonts w:hint="default"/>
        <w:lang w:val="en-US" w:eastAsia="en-US" w:bidi="ar-SA"/>
      </w:rPr>
    </w:lvl>
    <w:lvl w:ilvl="2">
      <w:start w:val="0"/>
      <w:numFmt w:val="bullet"/>
      <w:lvlText w:val="•"/>
      <w:lvlJc w:val="left"/>
      <w:pPr>
        <w:ind w:left="3322" w:hanging="360"/>
      </w:pPr>
      <w:rPr>
        <w:rFonts w:hint="default"/>
        <w:lang w:val="en-US" w:eastAsia="en-US" w:bidi="ar-SA"/>
      </w:rPr>
    </w:lvl>
    <w:lvl w:ilvl="3">
      <w:start w:val="0"/>
      <w:numFmt w:val="bullet"/>
      <w:lvlText w:val="•"/>
      <w:lvlJc w:val="left"/>
      <w:pPr>
        <w:ind w:left="4253"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16" w:hanging="360"/>
      </w:pPr>
      <w:rPr>
        <w:rFonts w:hint="default"/>
        <w:lang w:val="en-US" w:eastAsia="en-US" w:bidi="ar-SA"/>
      </w:rPr>
    </w:lvl>
    <w:lvl w:ilvl="6">
      <w:start w:val="0"/>
      <w:numFmt w:val="bullet"/>
      <w:lvlText w:val="•"/>
      <w:lvlJc w:val="left"/>
      <w:pPr>
        <w:ind w:left="7047" w:hanging="360"/>
      </w:pPr>
      <w:rPr>
        <w:rFonts w:hint="default"/>
        <w:lang w:val="en-US" w:eastAsia="en-US" w:bidi="ar-SA"/>
      </w:rPr>
    </w:lvl>
    <w:lvl w:ilvl="7">
      <w:start w:val="0"/>
      <w:numFmt w:val="bullet"/>
      <w:lvlText w:val="•"/>
      <w:lvlJc w:val="left"/>
      <w:pPr>
        <w:ind w:left="7978" w:hanging="360"/>
      </w:pPr>
      <w:rPr>
        <w:rFonts w:hint="default"/>
        <w:lang w:val="en-US" w:eastAsia="en-US" w:bidi="ar-SA"/>
      </w:rPr>
    </w:lvl>
    <w:lvl w:ilvl="8">
      <w:start w:val="0"/>
      <w:numFmt w:val="bullet"/>
      <w:lvlText w:val="•"/>
      <w:lvlJc w:val="left"/>
      <w:pPr>
        <w:ind w:left="8909" w:hanging="360"/>
      </w:pPr>
      <w:rPr>
        <w:rFonts w:hint="default"/>
        <w:lang w:val="en-US" w:eastAsia="en-US" w:bidi="ar-SA"/>
      </w:rPr>
    </w:lvl>
  </w:abstractNum>
  <w:abstractNum w:abstractNumId="32">
    <w:multiLevelType w:val="hybridMultilevel"/>
    <w:lvl w:ilvl="0">
      <w:start w:val="0"/>
      <w:numFmt w:val="bullet"/>
      <w:lvlText w:val=""/>
      <w:lvlJc w:val="left"/>
      <w:pPr>
        <w:ind w:left="155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409" w:hanging="360"/>
      </w:pPr>
      <w:rPr>
        <w:rFonts w:hint="default"/>
        <w:lang w:val="en-US" w:eastAsia="en-US" w:bidi="ar-SA"/>
      </w:rPr>
    </w:lvl>
    <w:lvl w:ilvl="2">
      <w:start w:val="0"/>
      <w:numFmt w:val="bullet"/>
      <w:lvlText w:val="•"/>
      <w:lvlJc w:val="left"/>
      <w:pPr>
        <w:ind w:left="3259" w:hanging="360"/>
      </w:pPr>
      <w:rPr>
        <w:rFonts w:hint="default"/>
        <w:lang w:val="en-US" w:eastAsia="en-US" w:bidi="ar-SA"/>
      </w:rPr>
    </w:lvl>
    <w:lvl w:ilvl="3">
      <w:start w:val="0"/>
      <w:numFmt w:val="bullet"/>
      <w:lvlText w:val="•"/>
      <w:lvlJc w:val="left"/>
      <w:pPr>
        <w:ind w:left="4109" w:hanging="360"/>
      </w:pPr>
      <w:rPr>
        <w:rFonts w:hint="default"/>
        <w:lang w:val="en-US" w:eastAsia="en-US" w:bidi="ar-SA"/>
      </w:rPr>
    </w:lvl>
    <w:lvl w:ilvl="4">
      <w:start w:val="0"/>
      <w:numFmt w:val="bullet"/>
      <w:lvlText w:val="•"/>
      <w:lvlJc w:val="left"/>
      <w:pPr>
        <w:ind w:left="4959" w:hanging="360"/>
      </w:pPr>
      <w:rPr>
        <w:rFonts w:hint="default"/>
        <w:lang w:val="en-US" w:eastAsia="en-US" w:bidi="ar-SA"/>
      </w:rPr>
    </w:lvl>
    <w:lvl w:ilvl="5">
      <w:start w:val="0"/>
      <w:numFmt w:val="bullet"/>
      <w:lvlText w:val="•"/>
      <w:lvlJc w:val="left"/>
      <w:pPr>
        <w:ind w:left="5809" w:hanging="360"/>
      </w:pPr>
      <w:rPr>
        <w:rFonts w:hint="default"/>
        <w:lang w:val="en-US" w:eastAsia="en-US" w:bidi="ar-SA"/>
      </w:rPr>
    </w:lvl>
    <w:lvl w:ilvl="6">
      <w:start w:val="0"/>
      <w:numFmt w:val="bullet"/>
      <w:lvlText w:val="•"/>
      <w:lvlJc w:val="left"/>
      <w:pPr>
        <w:ind w:left="6659" w:hanging="360"/>
      </w:pPr>
      <w:rPr>
        <w:rFonts w:hint="default"/>
        <w:lang w:val="en-US" w:eastAsia="en-US" w:bidi="ar-SA"/>
      </w:rPr>
    </w:lvl>
    <w:lvl w:ilvl="7">
      <w:start w:val="0"/>
      <w:numFmt w:val="bullet"/>
      <w:lvlText w:val="•"/>
      <w:lvlJc w:val="left"/>
      <w:pPr>
        <w:ind w:left="7509" w:hanging="360"/>
      </w:pPr>
      <w:rPr>
        <w:rFonts w:hint="default"/>
        <w:lang w:val="en-US" w:eastAsia="en-US" w:bidi="ar-SA"/>
      </w:rPr>
    </w:lvl>
    <w:lvl w:ilvl="8">
      <w:start w:val="0"/>
      <w:numFmt w:val="bullet"/>
      <w:lvlText w:val="•"/>
      <w:lvlJc w:val="left"/>
      <w:pPr>
        <w:ind w:left="8359" w:hanging="360"/>
      </w:pPr>
      <w:rPr>
        <w:rFonts w:hint="default"/>
        <w:lang w:val="en-US" w:eastAsia="en-US" w:bidi="ar-SA"/>
      </w:rPr>
    </w:lvl>
  </w:abstractNum>
  <w:abstractNum w:abstractNumId="31">
    <w:multiLevelType w:val="hybridMultilevel"/>
    <w:lvl w:ilvl="0">
      <w:start w:val="0"/>
      <w:numFmt w:val="bullet"/>
      <w:lvlText w:val=""/>
      <w:lvlJc w:val="left"/>
      <w:pPr>
        <w:ind w:left="155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o"/>
      <w:lvlJc w:val="left"/>
      <w:pPr>
        <w:ind w:left="2271" w:hanging="361"/>
      </w:pPr>
      <w:rPr>
        <w:rFonts w:hint="default" w:ascii="Courier New" w:hAnsi="Courier New" w:eastAsia="Courier New" w:cs="Courier New"/>
        <w:b w:val="0"/>
        <w:bCs w:val="0"/>
        <w:i w:val="0"/>
        <w:iCs w:val="0"/>
        <w:spacing w:val="0"/>
        <w:w w:val="100"/>
        <w:sz w:val="24"/>
        <w:szCs w:val="24"/>
        <w:lang w:val="en-US" w:eastAsia="en-US" w:bidi="ar-SA"/>
      </w:rPr>
    </w:lvl>
    <w:lvl w:ilvl="2">
      <w:start w:val="0"/>
      <w:numFmt w:val="bullet"/>
      <w:lvlText w:val="•"/>
      <w:lvlJc w:val="left"/>
      <w:pPr>
        <w:ind w:left="3144" w:hanging="361"/>
      </w:pPr>
      <w:rPr>
        <w:rFonts w:hint="default"/>
        <w:lang w:val="en-US" w:eastAsia="en-US" w:bidi="ar-SA"/>
      </w:rPr>
    </w:lvl>
    <w:lvl w:ilvl="3">
      <w:start w:val="0"/>
      <w:numFmt w:val="bullet"/>
      <w:lvlText w:val="•"/>
      <w:lvlJc w:val="left"/>
      <w:pPr>
        <w:ind w:left="4008" w:hanging="361"/>
      </w:pPr>
      <w:rPr>
        <w:rFonts w:hint="default"/>
        <w:lang w:val="en-US" w:eastAsia="en-US" w:bidi="ar-SA"/>
      </w:rPr>
    </w:lvl>
    <w:lvl w:ilvl="4">
      <w:start w:val="0"/>
      <w:numFmt w:val="bullet"/>
      <w:lvlText w:val="•"/>
      <w:lvlJc w:val="left"/>
      <w:pPr>
        <w:ind w:left="4873" w:hanging="361"/>
      </w:pPr>
      <w:rPr>
        <w:rFonts w:hint="default"/>
        <w:lang w:val="en-US" w:eastAsia="en-US" w:bidi="ar-SA"/>
      </w:rPr>
    </w:lvl>
    <w:lvl w:ilvl="5">
      <w:start w:val="0"/>
      <w:numFmt w:val="bullet"/>
      <w:lvlText w:val="•"/>
      <w:lvlJc w:val="left"/>
      <w:pPr>
        <w:ind w:left="5737" w:hanging="361"/>
      </w:pPr>
      <w:rPr>
        <w:rFonts w:hint="default"/>
        <w:lang w:val="en-US" w:eastAsia="en-US" w:bidi="ar-SA"/>
      </w:rPr>
    </w:lvl>
    <w:lvl w:ilvl="6">
      <w:start w:val="0"/>
      <w:numFmt w:val="bullet"/>
      <w:lvlText w:val="•"/>
      <w:lvlJc w:val="left"/>
      <w:pPr>
        <w:ind w:left="6601" w:hanging="361"/>
      </w:pPr>
      <w:rPr>
        <w:rFonts w:hint="default"/>
        <w:lang w:val="en-US" w:eastAsia="en-US" w:bidi="ar-SA"/>
      </w:rPr>
    </w:lvl>
    <w:lvl w:ilvl="7">
      <w:start w:val="0"/>
      <w:numFmt w:val="bullet"/>
      <w:lvlText w:val="•"/>
      <w:lvlJc w:val="left"/>
      <w:pPr>
        <w:ind w:left="7466" w:hanging="361"/>
      </w:pPr>
      <w:rPr>
        <w:rFonts w:hint="default"/>
        <w:lang w:val="en-US" w:eastAsia="en-US" w:bidi="ar-SA"/>
      </w:rPr>
    </w:lvl>
    <w:lvl w:ilvl="8">
      <w:start w:val="0"/>
      <w:numFmt w:val="bullet"/>
      <w:lvlText w:val="•"/>
      <w:lvlJc w:val="left"/>
      <w:pPr>
        <w:ind w:left="8330" w:hanging="361"/>
      </w:pPr>
      <w:rPr>
        <w:rFonts w:hint="default"/>
        <w:lang w:val="en-US" w:eastAsia="en-US" w:bidi="ar-SA"/>
      </w:rPr>
    </w:lvl>
  </w:abstractNum>
  <w:abstractNum w:abstractNumId="30">
    <w:multiLevelType w:val="hybridMultilevel"/>
    <w:lvl w:ilvl="0">
      <w:start w:val="1"/>
      <w:numFmt w:val="decimal"/>
      <w:lvlText w:val="%1)"/>
      <w:lvlJc w:val="left"/>
      <w:pPr>
        <w:ind w:left="1095" w:hanging="265"/>
        <w:jc w:val="left"/>
      </w:pPr>
      <w:rPr>
        <w:rFonts w:hint="default" w:ascii="Arial" w:hAnsi="Arial" w:eastAsia="Arial" w:cs="Arial"/>
        <w:b/>
        <w:bCs/>
        <w:i w:val="0"/>
        <w:iCs w:val="0"/>
        <w:spacing w:val="-4"/>
        <w:w w:val="100"/>
        <w:sz w:val="24"/>
        <w:szCs w:val="24"/>
        <w:lang w:val="en-US" w:eastAsia="en-US" w:bidi="ar-SA"/>
      </w:rPr>
    </w:lvl>
    <w:lvl w:ilvl="1">
      <w:start w:val="0"/>
      <w:numFmt w:val="bullet"/>
      <w:lvlText w:val=""/>
      <w:lvlJc w:val="left"/>
      <w:pPr>
        <w:ind w:left="155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2504" w:hanging="360"/>
      </w:pPr>
      <w:rPr>
        <w:rFonts w:hint="default"/>
        <w:lang w:val="en-US" w:eastAsia="en-US" w:bidi="ar-SA"/>
      </w:rPr>
    </w:lvl>
    <w:lvl w:ilvl="3">
      <w:start w:val="0"/>
      <w:numFmt w:val="bullet"/>
      <w:lvlText w:val="•"/>
      <w:lvlJc w:val="left"/>
      <w:pPr>
        <w:ind w:left="3448" w:hanging="360"/>
      </w:pPr>
      <w:rPr>
        <w:rFonts w:hint="default"/>
        <w:lang w:val="en-US" w:eastAsia="en-US" w:bidi="ar-SA"/>
      </w:rPr>
    </w:lvl>
    <w:lvl w:ilvl="4">
      <w:start w:val="0"/>
      <w:numFmt w:val="bullet"/>
      <w:lvlText w:val="•"/>
      <w:lvlJc w:val="left"/>
      <w:pPr>
        <w:ind w:left="4393" w:hanging="360"/>
      </w:pPr>
      <w:rPr>
        <w:rFonts w:hint="default"/>
        <w:lang w:val="en-US" w:eastAsia="en-US" w:bidi="ar-SA"/>
      </w:rPr>
    </w:lvl>
    <w:lvl w:ilvl="5">
      <w:start w:val="0"/>
      <w:numFmt w:val="bullet"/>
      <w:lvlText w:val="•"/>
      <w:lvlJc w:val="left"/>
      <w:pPr>
        <w:ind w:left="5337" w:hanging="360"/>
      </w:pPr>
      <w:rPr>
        <w:rFonts w:hint="default"/>
        <w:lang w:val="en-US" w:eastAsia="en-US" w:bidi="ar-SA"/>
      </w:rPr>
    </w:lvl>
    <w:lvl w:ilvl="6">
      <w:start w:val="0"/>
      <w:numFmt w:val="bullet"/>
      <w:lvlText w:val="•"/>
      <w:lvlJc w:val="left"/>
      <w:pPr>
        <w:ind w:left="6281" w:hanging="360"/>
      </w:pPr>
      <w:rPr>
        <w:rFonts w:hint="default"/>
        <w:lang w:val="en-US" w:eastAsia="en-US" w:bidi="ar-SA"/>
      </w:rPr>
    </w:lvl>
    <w:lvl w:ilvl="7">
      <w:start w:val="0"/>
      <w:numFmt w:val="bullet"/>
      <w:lvlText w:val="•"/>
      <w:lvlJc w:val="left"/>
      <w:pPr>
        <w:ind w:left="7226" w:hanging="360"/>
      </w:pPr>
      <w:rPr>
        <w:rFonts w:hint="default"/>
        <w:lang w:val="en-US" w:eastAsia="en-US" w:bidi="ar-SA"/>
      </w:rPr>
    </w:lvl>
    <w:lvl w:ilvl="8">
      <w:start w:val="0"/>
      <w:numFmt w:val="bullet"/>
      <w:lvlText w:val="•"/>
      <w:lvlJc w:val="left"/>
      <w:pPr>
        <w:ind w:left="8170" w:hanging="360"/>
      </w:pPr>
      <w:rPr>
        <w:rFonts w:hint="default"/>
        <w:lang w:val="en-US" w:eastAsia="en-US" w:bidi="ar-SA"/>
      </w:rPr>
    </w:lvl>
  </w:abstractNum>
  <w:abstractNum w:abstractNumId="29">
    <w:multiLevelType w:val="hybridMultilevel"/>
    <w:lvl w:ilvl="0">
      <w:start w:val="1"/>
      <w:numFmt w:val="decimal"/>
      <w:lvlText w:val="%1."/>
      <w:lvlJc w:val="left"/>
      <w:pPr>
        <w:ind w:left="369" w:hanging="286"/>
        <w:jc w:val="left"/>
      </w:pPr>
      <w:rPr>
        <w:rFonts w:hint="default" w:ascii="Arial" w:hAnsi="Arial" w:eastAsia="Arial" w:cs="Arial"/>
        <w:b/>
        <w:bCs/>
        <w:i w:val="0"/>
        <w:iCs w:val="0"/>
        <w:color w:val="001F5F"/>
        <w:spacing w:val="0"/>
        <w:w w:val="100"/>
        <w:sz w:val="26"/>
        <w:szCs w:val="26"/>
        <w:lang w:val="en-US" w:eastAsia="en-US" w:bidi="ar-SA"/>
      </w:rPr>
    </w:lvl>
    <w:lvl w:ilvl="1">
      <w:start w:val="0"/>
      <w:numFmt w:val="bullet"/>
      <w:lvlText w:val="•"/>
      <w:lvlJc w:val="left"/>
      <w:pPr>
        <w:ind w:left="712" w:hanging="286"/>
      </w:pPr>
      <w:rPr>
        <w:rFonts w:hint="default"/>
        <w:lang w:val="en-US" w:eastAsia="en-US" w:bidi="ar-SA"/>
      </w:rPr>
    </w:lvl>
    <w:lvl w:ilvl="2">
      <w:start w:val="0"/>
      <w:numFmt w:val="bullet"/>
      <w:lvlText w:val="•"/>
      <w:lvlJc w:val="left"/>
      <w:pPr>
        <w:ind w:left="1064" w:hanging="286"/>
      </w:pPr>
      <w:rPr>
        <w:rFonts w:hint="default"/>
        <w:lang w:val="en-US" w:eastAsia="en-US" w:bidi="ar-SA"/>
      </w:rPr>
    </w:lvl>
    <w:lvl w:ilvl="3">
      <w:start w:val="0"/>
      <w:numFmt w:val="bullet"/>
      <w:lvlText w:val="•"/>
      <w:lvlJc w:val="left"/>
      <w:pPr>
        <w:ind w:left="1416" w:hanging="286"/>
      </w:pPr>
      <w:rPr>
        <w:rFonts w:hint="default"/>
        <w:lang w:val="en-US" w:eastAsia="en-US" w:bidi="ar-SA"/>
      </w:rPr>
    </w:lvl>
    <w:lvl w:ilvl="4">
      <w:start w:val="0"/>
      <w:numFmt w:val="bullet"/>
      <w:lvlText w:val="•"/>
      <w:lvlJc w:val="left"/>
      <w:pPr>
        <w:ind w:left="1769" w:hanging="286"/>
      </w:pPr>
      <w:rPr>
        <w:rFonts w:hint="default"/>
        <w:lang w:val="en-US" w:eastAsia="en-US" w:bidi="ar-SA"/>
      </w:rPr>
    </w:lvl>
    <w:lvl w:ilvl="5">
      <w:start w:val="0"/>
      <w:numFmt w:val="bullet"/>
      <w:lvlText w:val="•"/>
      <w:lvlJc w:val="left"/>
      <w:pPr>
        <w:ind w:left="2121" w:hanging="286"/>
      </w:pPr>
      <w:rPr>
        <w:rFonts w:hint="default"/>
        <w:lang w:val="en-US" w:eastAsia="en-US" w:bidi="ar-SA"/>
      </w:rPr>
    </w:lvl>
    <w:lvl w:ilvl="6">
      <w:start w:val="0"/>
      <w:numFmt w:val="bullet"/>
      <w:lvlText w:val="•"/>
      <w:lvlJc w:val="left"/>
      <w:pPr>
        <w:ind w:left="2473" w:hanging="286"/>
      </w:pPr>
      <w:rPr>
        <w:rFonts w:hint="default"/>
        <w:lang w:val="en-US" w:eastAsia="en-US" w:bidi="ar-SA"/>
      </w:rPr>
    </w:lvl>
    <w:lvl w:ilvl="7">
      <w:start w:val="0"/>
      <w:numFmt w:val="bullet"/>
      <w:lvlText w:val="•"/>
      <w:lvlJc w:val="left"/>
      <w:pPr>
        <w:ind w:left="2825" w:hanging="286"/>
      </w:pPr>
      <w:rPr>
        <w:rFonts w:hint="default"/>
        <w:lang w:val="en-US" w:eastAsia="en-US" w:bidi="ar-SA"/>
      </w:rPr>
    </w:lvl>
    <w:lvl w:ilvl="8">
      <w:start w:val="0"/>
      <w:numFmt w:val="bullet"/>
      <w:lvlText w:val="•"/>
      <w:lvlJc w:val="left"/>
      <w:pPr>
        <w:ind w:left="3178" w:hanging="286"/>
      </w:pPr>
      <w:rPr>
        <w:rFonts w:hint="default"/>
        <w:lang w:val="en-US" w:eastAsia="en-US" w:bidi="ar-SA"/>
      </w:rPr>
    </w:lvl>
  </w:abstractNum>
  <w:abstractNum w:abstractNumId="28">
    <w:multiLevelType w:val="hybridMultilevel"/>
    <w:lvl w:ilvl="0">
      <w:start w:val="0"/>
      <w:numFmt w:val="bullet"/>
      <w:lvlText w:val=""/>
      <w:lvlJc w:val="left"/>
      <w:pPr>
        <w:ind w:left="744"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573" w:hanging="360"/>
      </w:pPr>
      <w:rPr>
        <w:rFonts w:hint="default"/>
        <w:lang w:val="en-US" w:eastAsia="en-US" w:bidi="ar-SA"/>
      </w:rPr>
    </w:lvl>
    <w:lvl w:ilvl="2">
      <w:start w:val="0"/>
      <w:numFmt w:val="bullet"/>
      <w:lvlText w:val="•"/>
      <w:lvlJc w:val="left"/>
      <w:pPr>
        <w:ind w:left="2406" w:hanging="360"/>
      </w:pPr>
      <w:rPr>
        <w:rFonts w:hint="default"/>
        <w:lang w:val="en-US" w:eastAsia="en-US" w:bidi="ar-SA"/>
      </w:rPr>
    </w:lvl>
    <w:lvl w:ilvl="3">
      <w:start w:val="0"/>
      <w:numFmt w:val="bullet"/>
      <w:lvlText w:val="•"/>
      <w:lvlJc w:val="left"/>
      <w:pPr>
        <w:ind w:left="3239" w:hanging="360"/>
      </w:pPr>
      <w:rPr>
        <w:rFonts w:hint="default"/>
        <w:lang w:val="en-US" w:eastAsia="en-US" w:bidi="ar-SA"/>
      </w:rPr>
    </w:lvl>
    <w:lvl w:ilvl="4">
      <w:start w:val="0"/>
      <w:numFmt w:val="bullet"/>
      <w:lvlText w:val="•"/>
      <w:lvlJc w:val="left"/>
      <w:pPr>
        <w:ind w:left="4072" w:hanging="360"/>
      </w:pPr>
      <w:rPr>
        <w:rFonts w:hint="default"/>
        <w:lang w:val="en-US" w:eastAsia="en-US" w:bidi="ar-SA"/>
      </w:rPr>
    </w:lvl>
    <w:lvl w:ilvl="5">
      <w:start w:val="0"/>
      <w:numFmt w:val="bullet"/>
      <w:lvlText w:val="•"/>
      <w:lvlJc w:val="left"/>
      <w:pPr>
        <w:ind w:left="4905" w:hanging="360"/>
      </w:pPr>
      <w:rPr>
        <w:rFonts w:hint="default"/>
        <w:lang w:val="en-US" w:eastAsia="en-US" w:bidi="ar-SA"/>
      </w:rPr>
    </w:lvl>
    <w:lvl w:ilvl="6">
      <w:start w:val="0"/>
      <w:numFmt w:val="bullet"/>
      <w:lvlText w:val="•"/>
      <w:lvlJc w:val="left"/>
      <w:pPr>
        <w:ind w:left="5738" w:hanging="360"/>
      </w:pPr>
      <w:rPr>
        <w:rFonts w:hint="default"/>
        <w:lang w:val="en-US" w:eastAsia="en-US" w:bidi="ar-SA"/>
      </w:rPr>
    </w:lvl>
    <w:lvl w:ilvl="7">
      <w:start w:val="0"/>
      <w:numFmt w:val="bullet"/>
      <w:lvlText w:val="•"/>
      <w:lvlJc w:val="left"/>
      <w:pPr>
        <w:ind w:left="6571" w:hanging="360"/>
      </w:pPr>
      <w:rPr>
        <w:rFonts w:hint="default"/>
        <w:lang w:val="en-US" w:eastAsia="en-US" w:bidi="ar-SA"/>
      </w:rPr>
    </w:lvl>
    <w:lvl w:ilvl="8">
      <w:start w:val="0"/>
      <w:numFmt w:val="bullet"/>
      <w:lvlText w:val="•"/>
      <w:lvlJc w:val="left"/>
      <w:pPr>
        <w:ind w:left="7404" w:hanging="360"/>
      </w:pPr>
      <w:rPr>
        <w:rFonts w:hint="default"/>
        <w:lang w:val="en-US" w:eastAsia="en-US" w:bidi="ar-SA"/>
      </w:rPr>
    </w:lvl>
  </w:abstractNum>
  <w:abstractNum w:abstractNumId="27">
    <w:multiLevelType w:val="hybridMultilevel"/>
    <w:lvl w:ilvl="0">
      <w:start w:val="1"/>
      <w:numFmt w:val="decimal"/>
      <w:lvlText w:val="%1."/>
      <w:lvlJc w:val="left"/>
      <w:pPr>
        <w:ind w:left="369" w:hanging="286"/>
        <w:jc w:val="left"/>
      </w:pPr>
      <w:rPr>
        <w:rFonts w:hint="default" w:ascii="Arial" w:hAnsi="Arial" w:eastAsia="Arial" w:cs="Arial"/>
        <w:b/>
        <w:bCs/>
        <w:i w:val="0"/>
        <w:iCs w:val="0"/>
        <w:color w:val="001F5F"/>
        <w:spacing w:val="0"/>
        <w:w w:val="100"/>
        <w:sz w:val="26"/>
        <w:szCs w:val="26"/>
        <w:lang w:val="en-US" w:eastAsia="en-US" w:bidi="ar-SA"/>
      </w:rPr>
    </w:lvl>
    <w:lvl w:ilvl="1">
      <w:start w:val="0"/>
      <w:numFmt w:val="bullet"/>
      <w:lvlText w:val="•"/>
      <w:lvlJc w:val="left"/>
      <w:pPr>
        <w:ind w:left="613" w:hanging="286"/>
      </w:pPr>
      <w:rPr>
        <w:rFonts w:hint="default"/>
        <w:lang w:val="en-US" w:eastAsia="en-US" w:bidi="ar-SA"/>
      </w:rPr>
    </w:lvl>
    <w:lvl w:ilvl="2">
      <w:start w:val="0"/>
      <w:numFmt w:val="bullet"/>
      <w:lvlText w:val="•"/>
      <w:lvlJc w:val="left"/>
      <w:pPr>
        <w:ind w:left="867" w:hanging="286"/>
      </w:pPr>
      <w:rPr>
        <w:rFonts w:hint="default"/>
        <w:lang w:val="en-US" w:eastAsia="en-US" w:bidi="ar-SA"/>
      </w:rPr>
    </w:lvl>
    <w:lvl w:ilvl="3">
      <w:start w:val="0"/>
      <w:numFmt w:val="bullet"/>
      <w:lvlText w:val="•"/>
      <w:lvlJc w:val="left"/>
      <w:pPr>
        <w:ind w:left="1120" w:hanging="286"/>
      </w:pPr>
      <w:rPr>
        <w:rFonts w:hint="default"/>
        <w:lang w:val="en-US" w:eastAsia="en-US" w:bidi="ar-SA"/>
      </w:rPr>
    </w:lvl>
    <w:lvl w:ilvl="4">
      <w:start w:val="0"/>
      <w:numFmt w:val="bullet"/>
      <w:lvlText w:val="•"/>
      <w:lvlJc w:val="left"/>
      <w:pPr>
        <w:ind w:left="1374" w:hanging="286"/>
      </w:pPr>
      <w:rPr>
        <w:rFonts w:hint="default"/>
        <w:lang w:val="en-US" w:eastAsia="en-US" w:bidi="ar-SA"/>
      </w:rPr>
    </w:lvl>
    <w:lvl w:ilvl="5">
      <w:start w:val="0"/>
      <w:numFmt w:val="bullet"/>
      <w:lvlText w:val="•"/>
      <w:lvlJc w:val="left"/>
      <w:pPr>
        <w:ind w:left="1628" w:hanging="286"/>
      </w:pPr>
      <w:rPr>
        <w:rFonts w:hint="default"/>
        <w:lang w:val="en-US" w:eastAsia="en-US" w:bidi="ar-SA"/>
      </w:rPr>
    </w:lvl>
    <w:lvl w:ilvl="6">
      <w:start w:val="0"/>
      <w:numFmt w:val="bullet"/>
      <w:lvlText w:val="•"/>
      <w:lvlJc w:val="left"/>
      <w:pPr>
        <w:ind w:left="1881" w:hanging="286"/>
      </w:pPr>
      <w:rPr>
        <w:rFonts w:hint="default"/>
        <w:lang w:val="en-US" w:eastAsia="en-US" w:bidi="ar-SA"/>
      </w:rPr>
    </w:lvl>
    <w:lvl w:ilvl="7">
      <w:start w:val="0"/>
      <w:numFmt w:val="bullet"/>
      <w:lvlText w:val="•"/>
      <w:lvlJc w:val="left"/>
      <w:pPr>
        <w:ind w:left="2135" w:hanging="286"/>
      </w:pPr>
      <w:rPr>
        <w:rFonts w:hint="default"/>
        <w:lang w:val="en-US" w:eastAsia="en-US" w:bidi="ar-SA"/>
      </w:rPr>
    </w:lvl>
    <w:lvl w:ilvl="8">
      <w:start w:val="0"/>
      <w:numFmt w:val="bullet"/>
      <w:lvlText w:val="•"/>
      <w:lvlJc w:val="left"/>
      <w:pPr>
        <w:ind w:left="2389" w:hanging="286"/>
      </w:pPr>
      <w:rPr>
        <w:rFonts w:hint="default"/>
        <w:lang w:val="en-US" w:eastAsia="en-US" w:bidi="ar-SA"/>
      </w:rPr>
    </w:lvl>
  </w:abstractNum>
  <w:abstractNum w:abstractNumId="26">
    <w:multiLevelType w:val="hybridMultilevel"/>
    <w:lvl w:ilvl="0">
      <w:start w:val="0"/>
      <w:numFmt w:val="bullet"/>
      <w:lvlText w:val=""/>
      <w:lvlJc w:val="left"/>
      <w:pPr>
        <w:ind w:left="1157"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135" w:hanging="361"/>
      </w:pPr>
      <w:rPr>
        <w:rFonts w:hint="default"/>
        <w:lang w:val="en-US" w:eastAsia="en-US" w:bidi="ar-SA"/>
      </w:rPr>
    </w:lvl>
    <w:lvl w:ilvl="2">
      <w:start w:val="0"/>
      <w:numFmt w:val="bullet"/>
      <w:lvlText w:val="•"/>
      <w:lvlJc w:val="left"/>
      <w:pPr>
        <w:ind w:left="3110" w:hanging="361"/>
      </w:pPr>
      <w:rPr>
        <w:rFonts w:hint="default"/>
        <w:lang w:val="en-US" w:eastAsia="en-US" w:bidi="ar-SA"/>
      </w:rPr>
    </w:lvl>
    <w:lvl w:ilvl="3">
      <w:start w:val="0"/>
      <w:numFmt w:val="bullet"/>
      <w:lvlText w:val="•"/>
      <w:lvlJc w:val="left"/>
      <w:pPr>
        <w:ind w:left="4086" w:hanging="361"/>
      </w:pPr>
      <w:rPr>
        <w:rFonts w:hint="default"/>
        <w:lang w:val="en-US" w:eastAsia="en-US" w:bidi="ar-SA"/>
      </w:rPr>
    </w:lvl>
    <w:lvl w:ilvl="4">
      <w:start w:val="0"/>
      <w:numFmt w:val="bullet"/>
      <w:lvlText w:val="•"/>
      <w:lvlJc w:val="left"/>
      <w:pPr>
        <w:ind w:left="5061" w:hanging="361"/>
      </w:pPr>
      <w:rPr>
        <w:rFonts w:hint="default"/>
        <w:lang w:val="en-US" w:eastAsia="en-US" w:bidi="ar-SA"/>
      </w:rPr>
    </w:lvl>
    <w:lvl w:ilvl="5">
      <w:start w:val="0"/>
      <w:numFmt w:val="bullet"/>
      <w:lvlText w:val="•"/>
      <w:lvlJc w:val="left"/>
      <w:pPr>
        <w:ind w:left="6037" w:hanging="361"/>
      </w:pPr>
      <w:rPr>
        <w:rFonts w:hint="default"/>
        <w:lang w:val="en-US" w:eastAsia="en-US" w:bidi="ar-SA"/>
      </w:rPr>
    </w:lvl>
    <w:lvl w:ilvl="6">
      <w:start w:val="0"/>
      <w:numFmt w:val="bullet"/>
      <w:lvlText w:val="•"/>
      <w:lvlJc w:val="left"/>
      <w:pPr>
        <w:ind w:left="7012" w:hanging="361"/>
      </w:pPr>
      <w:rPr>
        <w:rFonts w:hint="default"/>
        <w:lang w:val="en-US" w:eastAsia="en-US" w:bidi="ar-SA"/>
      </w:rPr>
    </w:lvl>
    <w:lvl w:ilvl="7">
      <w:start w:val="0"/>
      <w:numFmt w:val="bullet"/>
      <w:lvlText w:val="•"/>
      <w:lvlJc w:val="left"/>
      <w:pPr>
        <w:ind w:left="7987" w:hanging="361"/>
      </w:pPr>
      <w:rPr>
        <w:rFonts w:hint="default"/>
        <w:lang w:val="en-US" w:eastAsia="en-US" w:bidi="ar-SA"/>
      </w:rPr>
    </w:lvl>
    <w:lvl w:ilvl="8">
      <w:start w:val="0"/>
      <w:numFmt w:val="bullet"/>
      <w:lvlText w:val="•"/>
      <w:lvlJc w:val="left"/>
      <w:pPr>
        <w:ind w:left="8963" w:hanging="361"/>
      </w:pPr>
      <w:rPr>
        <w:rFonts w:hint="default"/>
        <w:lang w:val="en-US" w:eastAsia="en-US" w:bidi="ar-SA"/>
      </w:rPr>
    </w:lvl>
  </w:abstractNum>
  <w:abstractNum w:abstractNumId="25">
    <w:multiLevelType w:val="hybridMultilevel"/>
    <w:lvl w:ilvl="0">
      <w:start w:val="0"/>
      <w:numFmt w:val="bullet"/>
      <w:lvlText w:val=""/>
      <w:lvlJc w:val="left"/>
      <w:pPr>
        <w:ind w:left="1878" w:hanging="360"/>
      </w:pPr>
      <w:rPr>
        <w:rFonts w:hint="default" w:ascii="Symbol" w:hAnsi="Symbol" w:eastAsia="Symbol" w:cs="Symbol"/>
        <w:spacing w:val="0"/>
        <w:w w:val="100"/>
        <w:lang w:val="en-US" w:eastAsia="en-US" w:bidi="ar-SA"/>
      </w:rPr>
    </w:lvl>
    <w:lvl w:ilvl="1">
      <w:start w:val="0"/>
      <w:numFmt w:val="bullet"/>
      <w:lvlText w:val="•"/>
      <w:lvlJc w:val="left"/>
      <w:pPr>
        <w:ind w:left="2783" w:hanging="360"/>
      </w:pPr>
      <w:rPr>
        <w:rFonts w:hint="default"/>
        <w:lang w:val="en-US" w:eastAsia="en-US" w:bidi="ar-SA"/>
      </w:rPr>
    </w:lvl>
    <w:lvl w:ilvl="2">
      <w:start w:val="0"/>
      <w:numFmt w:val="bullet"/>
      <w:lvlText w:val="•"/>
      <w:lvlJc w:val="left"/>
      <w:pPr>
        <w:ind w:left="3686" w:hanging="360"/>
      </w:pPr>
      <w:rPr>
        <w:rFonts w:hint="default"/>
        <w:lang w:val="en-US" w:eastAsia="en-US" w:bidi="ar-SA"/>
      </w:rPr>
    </w:lvl>
    <w:lvl w:ilvl="3">
      <w:start w:val="0"/>
      <w:numFmt w:val="bullet"/>
      <w:lvlText w:val="•"/>
      <w:lvlJc w:val="left"/>
      <w:pPr>
        <w:ind w:left="4590" w:hanging="360"/>
      </w:pPr>
      <w:rPr>
        <w:rFonts w:hint="default"/>
        <w:lang w:val="en-US" w:eastAsia="en-US" w:bidi="ar-SA"/>
      </w:rPr>
    </w:lvl>
    <w:lvl w:ilvl="4">
      <w:start w:val="0"/>
      <w:numFmt w:val="bullet"/>
      <w:lvlText w:val="•"/>
      <w:lvlJc w:val="left"/>
      <w:pPr>
        <w:ind w:left="5493" w:hanging="360"/>
      </w:pPr>
      <w:rPr>
        <w:rFonts w:hint="default"/>
        <w:lang w:val="en-US" w:eastAsia="en-US" w:bidi="ar-SA"/>
      </w:rPr>
    </w:lvl>
    <w:lvl w:ilvl="5">
      <w:start w:val="0"/>
      <w:numFmt w:val="bullet"/>
      <w:lvlText w:val="•"/>
      <w:lvlJc w:val="left"/>
      <w:pPr>
        <w:ind w:left="6397" w:hanging="360"/>
      </w:pPr>
      <w:rPr>
        <w:rFonts w:hint="default"/>
        <w:lang w:val="en-US" w:eastAsia="en-US" w:bidi="ar-SA"/>
      </w:rPr>
    </w:lvl>
    <w:lvl w:ilvl="6">
      <w:start w:val="0"/>
      <w:numFmt w:val="bullet"/>
      <w:lvlText w:val="•"/>
      <w:lvlJc w:val="left"/>
      <w:pPr>
        <w:ind w:left="7300" w:hanging="360"/>
      </w:pPr>
      <w:rPr>
        <w:rFonts w:hint="default"/>
        <w:lang w:val="en-US" w:eastAsia="en-US" w:bidi="ar-SA"/>
      </w:rPr>
    </w:lvl>
    <w:lvl w:ilvl="7">
      <w:start w:val="0"/>
      <w:numFmt w:val="bullet"/>
      <w:lvlText w:val="•"/>
      <w:lvlJc w:val="left"/>
      <w:pPr>
        <w:ind w:left="8203" w:hanging="360"/>
      </w:pPr>
      <w:rPr>
        <w:rFonts w:hint="default"/>
        <w:lang w:val="en-US" w:eastAsia="en-US" w:bidi="ar-SA"/>
      </w:rPr>
    </w:lvl>
    <w:lvl w:ilvl="8">
      <w:start w:val="0"/>
      <w:numFmt w:val="bullet"/>
      <w:lvlText w:val="•"/>
      <w:lvlJc w:val="left"/>
      <w:pPr>
        <w:ind w:left="9107" w:hanging="360"/>
      </w:pPr>
      <w:rPr>
        <w:rFonts w:hint="default"/>
        <w:lang w:val="en-US" w:eastAsia="en-US" w:bidi="ar-SA"/>
      </w:rPr>
    </w:lvl>
  </w:abstractNum>
  <w:abstractNum w:abstractNumId="24">
    <w:multiLevelType w:val="hybridMultilevel"/>
    <w:lvl w:ilvl="0">
      <w:start w:val="0"/>
      <w:numFmt w:val="bullet"/>
      <w:lvlText w:val=""/>
      <w:lvlJc w:val="left"/>
      <w:pPr>
        <w:ind w:left="8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1" w:hanging="361"/>
      </w:pPr>
      <w:rPr>
        <w:rFonts w:hint="default"/>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23">
    <w:multiLevelType w:val="hybridMultilevel"/>
    <w:lvl w:ilvl="0">
      <w:start w:val="0"/>
      <w:numFmt w:val="bullet"/>
      <w:lvlText w:val=""/>
      <w:lvlJc w:val="left"/>
      <w:pPr>
        <w:ind w:left="110" w:hanging="721"/>
      </w:pPr>
      <w:rPr>
        <w:rFonts w:hint="default" w:ascii="Symbol" w:hAnsi="Symbol" w:eastAsia="Symbol" w:cs="Symbol"/>
        <w:b w:val="0"/>
        <w:bCs w:val="0"/>
        <w:i w:val="0"/>
        <w:iCs w:val="0"/>
        <w:spacing w:val="0"/>
        <w:w w:val="100"/>
        <w:sz w:val="24"/>
        <w:szCs w:val="24"/>
        <w:lang w:val="en-US" w:eastAsia="en-US" w:bidi="ar-SA"/>
      </w:rPr>
    </w:lvl>
    <w:lvl w:ilvl="1">
      <w:start w:val="3"/>
      <w:numFmt w:val="decimal"/>
      <w:lvlText w:val="%2."/>
      <w:lvlJc w:val="left"/>
      <w:pPr>
        <w:ind w:left="830" w:hanging="361"/>
        <w:jc w:val="left"/>
      </w:pPr>
      <w:rPr>
        <w:rFonts w:hint="default" w:ascii="Arial" w:hAnsi="Arial" w:eastAsia="Arial" w:cs="Arial"/>
        <w:b w:val="0"/>
        <w:bCs w:val="0"/>
        <w:i w:val="0"/>
        <w:iCs w:val="0"/>
        <w:spacing w:val="0"/>
        <w:w w:val="100"/>
        <w:sz w:val="24"/>
        <w:szCs w:val="24"/>
        <w:lang w:val="en-US" w:eastAsia="en-US" w:bidi="ar-SA"/>
      </w:rPr>
    </w:lvl>
    <w:lvl w:ilvl="2">
      <w:start w:val="0"/>
      <w:numFmt w:val="bullet"/>
      <w:lvlText w:val="•"/>
      <w:lvlJc w:val="left"/>
      <w:pPr>
        <w:ind w:left="1864" w:hanging="361"/>
      </w:pPr>
      <w:rPr>
        <w:rFonts w:hint="default"/>
        <w:lang w:val="en-US" w:eastAsia="en-US" w:bidi="ar-SA"/>
      </w:rPr>
    </w:lvl>
    <w:lvl w:ilvl="3">
      <w:start w:val="0"/>
      <w:numFmt w:val="bullet"/>
      <w:lvlText w:val="•"/>
      <w:lvlJc w:val="left"/>
      <w:pPr>
        <w:ind w:left="2888" w:hanging="361"/>
      </w:pPr>
      <w:rPr>
        <w:rFonts w:hint="default"/>
        <w:lang w:val="en-US" w:eastAsia="en-US" w:bidi="ar-SA"/>
      </w:rPr>
    </w:lvl>
    <w:lvl w:ilvl="4">
      <w:start w:val="0"/>
      <w:numFmt w:val="bullet"/>
      <w:lvlText w:val="•"/>
      <w:lvlJc w:val="left"/>
      <w:pPr>
        <w:ind w:left="3913" w:hanging="361"/>
      </w:pPr>
      <w:rPr>
        <w:rFonts w:hint="default"/>
        <w:lang w:val="en-US" w:eastAsia="en-US" w:bidi="ar-SA"/>
      </w:rPr>
    </w:lvl>
    <w:lvl w:ilvl="5">
      <w:start w:val="0"/>
      <w:numFmt w:val="bullet"/>
      <w:lvlText w:val="•"/>
      <w:lvlJc w:val="left"/>
      <w:pPr>
        <w:ind w:left="4937" w:hanging="361"/>
      </w:pPr>
      <w:rPr>
        <w:rFonts w:hint="default"/>
        <w:lang w:val="en-US" w:eastAsia="en-US" w:bidi="ar-SA"/>
      </w:rPr>
    </w:lvl>
    <w:lvl w:ilvl="6">
      <w:start w:val="0"/>
      <w:numFmt w:val="bullet"/>
      <w:lvlText w:val="•"/>
      <w:lvlJc w:val="left"/>
      <w:pPr>
        <w:ind w:left="5961" w:hanging="361"/>
      </w:pPr>
      <w:rPr>
        <w:rFonts w:hint="default"/>
        <w:lang w:val="en-US" w:eastAsia="en-US" w:bidi="ar-SA"/>
      </w:rPr>
    </w:lvl>
    <w:lvl w:ilvl="7">
      <w:start w:val="0"/>
      <w:numFmt w:val="bullet"/>
      <w:lvlText w:val="•"/>
      <w:lvlJc w:val="left"/>
      <w:pPr>
        <w:ind w:left="6986" w:hanging="361"/>
      </w:pPr>
      <w:rPr>
        <w:rFonts w:hint="default"/>
        <w:lang w:val="en-US" w:eastAsia="en-US" w:bidi="ar-SA"/>
      </w:rPr>
    </w:lvl>
    <w:lvl w:ilvl="8">
      <w:start w:val="0"/>
      <w:numFmt w:val="bullet"/>
      <w:lvlText w:val="•"/>
      <w:lvlJc w:val="left"/>
      <w:pPr>
        <w:ind w:left="8010" w:hanging="361"/>
      </w:pPr>
      <w:rPr>
        <w:rFonts w:hint="default"/>
        <w:lang w:val="en-US" w:eastAsia="en-US" w:bidi="ar-SA"/>
      </w:rPr>
    </w:lvl>
  </w:abstractNum>
  <w:abstractNum w:abstractNumId="22">
    <w:multiLevelType w:val="hybridMultilevel"/>
    <w:lvl w:ilvl="0">
      <w:start w:val="1"/>
      <w:numFmt w:val="decimal"/>
      <w:lvlText w:val="%1."/>
      <w:lvlJc w:val="left"/>
      <w:pPr>
        <w:ind w:left="830" w:hanging="361"/>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761" w:hanging="361"/>
      </w:pPr>
      <w:rPr>
        <w:rFonts w:hint="default"/>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21">
    <w:multiLevelType w:val="hybridMultilevel"/>
    <w:lvl w:ilvl="0">
      <w:start w:val="0"/>
      <w:numFmt w:val="bullet"/>
      <w:lvlText w:val=""/>
      <w:lvlJc w:val="left"/>
      <w:pPr>
        <w:ind w:left="83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761" w:hanging="361"/>
      </w:pPr>
      <w:rPr>
        <w:rFonts w:hint="default"/>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20">
    <w:multiLevelType w:val="hybridMultilevel"/>
    <w:lvl w:ilvl="0">
      <w:start w:val="1"/>
      <w:numFmt w:val="decimal"/>
      <w:lvlText w:val="%1."/>
      <w:lvlJc w:val="left"/>
      <w:pPr>
        <w:ind w:left="830" w:hanging="361"/>
        <w:jc w:val="left"/>
      </w:pPr>
      <w:rPr>
        <w:rFonts w:hint="default" w:ascii="Arial" w:hAnsi="Arial" w:eastAsia="Arial" w:cs="Arial"/>
        <w:b w:val="0"/>
        <w:bCs w:val="0"/>
        <w:i w:val="0"/>
        <w:iCs w:val="0"/>
        <w:spacing w:val="-4"/>
        <w:w w:val="100"/>
        <w:sz w:val="24"/>
        <w:szCs w:val="24"/>
        <w:lang w:val="en-US" w:eastAsia="en-US" w:bidi="ar-SA"/>
      </w:rPr>
    </w:lvl>
    <w:lvl w:ilvl="1">
      <w:start w:val="0"/>
      <w:numFmt w:val="bullet"/>
      <w:lvlText w:val="•"/>
      <w:lvlJc w:val="left"/>
      <w:pPr>
        <w:ind w:left="1761" w:hanging="361"/>
      </w:pPr>
      <w:rPr>
        <w:rFonts w:hint="default"/>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19">
    <w:multiLevelType w:val="hybridMultilevel"/>
    <w:lvl w:ilvl="0">
      <w:start w:val="0"/>
      <w:numFmt w:val="bullet"/>
      <w:lvlText w:val=""/>
      <w:lvlJc w:val="left"/>
      <w:pPr>
        <w:ind w:left="1037" w:hanging="175"/>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027" w:hanging="175"/>
      </w:pPr>
      <w:rPr>
        <w:rFonts w:hint="default"/>
        <w:lang w:val="en-US" w:eastAsia="en-US" w:bidi="ar-SA"/>
      </w:rPr>
    </w:lvl>
    <w:lvl w:ilvl="2">
      <w:start w:val="0"/>
      <w:numFmt w:val="bullet"/>
      <w:lvlText w:val="•"/>
      <w:lvlJc w:val="left"/>
      <w:pPr>
        <w:ind w:left="3014" w:hanging="175"/>
      </w:pPr>
      <w:rPr>
        <w:rFonts w:hint="default"/>
        <w:lang w:val="en-US" w:eastAsia="en-US" w:bidi="ar-SA"/>
      </w:rPr>
    </w:lvl>
    <w:lvl w:ilvl="3">
      <w:start w:val="0"/>
      <w:numFmt w:val="bullet"/>
      <w:lvlText w:val="•"/>
      <w:lvlJc w:val="left"/>
      <w:pPr>
        <w:ind w:left="4002" w:hanging="175"/>
      </w:pPr>
      <w:rPr>
        <w:rFonts w:hint="default"/>
        <w:lang w:val="en-US" w:eastAsia="en-US" w:bidi="ar-SA"/>
      </w:rPr>
    </w:lvl>
    <w:lvl w:ilvl="4">
      <w:start w:val="0"/>
      <w:numFmt w:val="bullet"/>
      <w:lvlText w:val="•"/>
      <w:lvlJc w:val="left"/>
      <w:pPr>
        <w:ind w:left="4989" w:hanging="175"/>
      </w:pPr>
      <w:rPr>
        <w:rFonts w:hint="default"/>
        <w:lang w:val="en-US" w:eastAsia="en-US" w:bidi="ar-SA"/>
      </w:rPr>
    </w:lvl>
    <w:lvl w:ilvl="5">
      <w:start w:val="0"/>
      <w:numFmt w:val="bullet"/>
      <w:lvlText w:val="•"/>
      <w:lvlJc w:val="left"/>
      <w:pPr>
        <w:ind w:left="5977" w:hanging="175"/>
      </w:pPr>
      <w:rPr>
        <w:rFonts w:hint="default"/>
        <w:lang w:val="en-US" w:eastAsia="en-US" w:bidi="ar-SA"/>
      </w:rPr>
    </w:lvl>
    <w:lvl w:ilvl="6">
      <w:start w:val="0"/>
      <w:numFmt w:val="bullet"/>
      <w:lvlText w:val="•"/>
      <w:lvlJc w:val="left"/>
      <w:pPr>
        <w:ind w:left="6964" w:hanging="175"/>
      </w:pPr>
      <w:rPr>
        <w:rFonts w:hint="default"/>
        <w:lang w:val="en-US" w:eastAsia="en-US" w:bidi="ar-SA"/>
      </w:rPr>
    </w:lvl>
    <w:lvl w:ilvl="7">
      <w:start w:val="0"/>
      <w:numFmt w:val="bullet"/>
      <w:lvlText w:val="•"/>
      <w:lvlJc w:val="left"/>
      <w:pPr>
        <w:ind w:left="7951" w:hanging="175"/>
      </w:pPr>
      <w:rPr>
        <w:rFonts w:hint="default"/>
        <w:lang w:val="en-US" w:eastAsia="en-US" w:bidi="ar-SA"/>
      </w:rPr>
    </w:lvl>
    <w:lvl w:ilvl="8">
      <w:start w:val="0"/>
      <w:numFmt w:val="bullet"/>
      <w:lvlText w:val="•"/>
      <w:lvlJc w:val="left"/>
      <w:pPr>
        <w:ind w:left="8939" w:hanging="175"/>
      </w:pPr>
      <w:rPr>
        <w:rFonts w:hint="default"/>
        <w:lang w:val="en-US" w:eastAsia="en-US" w:bidi="ar-SA"/>
      </w:rPr>
    </w:lvl>
  </w:abstractNum>
  <w:abstractNum w:abstractNumId="18">
    <w:multiLevelType w:val="hybridMultilevel"/>
    <w:lvl w:ilvl="0">
      <w:start w:val="0"/>
      <w:numFmt w:val="bullet"/>
      <w:lvlText w:val=""/>
      <w:lvlJc w:val="left"/>
      <w:pPr>
        <w:ind w:left="400" w:hanging="175"/>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365" w:hanging="175"/>
      </w:pPr>
      <w:rPr>
        <w:rFonts w:hint="default"/>
        <w:lang w:val="en-US" w:eastAsia="en-US" w:bidi="ar-SA"/>
      </w:rPr>
    </w:lvl>
    <w:lvl w:ilvl="2">
      <w:start w:val="0"/>
      <w:numFmt w:val="bullet"/>
      <w:lvlText w:val="•"/>
      <w:lvlJc w:val="left"/>
      <w:pPr>
        <w:ind w:left="2331" w:hanging="175"/>
      </w:pPr>
      <w:rPr>
        <w:rFonts w:hint="default"/>
        <w:lang w:val="en-US" w:eastAsia="en-US" w:bidi="ar-SA"/>
      </w:rPr>
    </w:lvl>
    <w:lvl w:ilvl="3">
      <w:start w:val="0"/>
      <w:numFmt w:val="bullet"/>
      <w:lvlText w:val="•"/>
      <w:lvlJc w:val="left"/>
      <w:pPr>
        <w:ind w:left="3297" w:hanging="175"/>
      </w:pPr>
      <w:rPr>
        <w:rFonts w:hint="default"/>
        <w:lang w:val="en-US" w:eastAsia="en-US" w:bidi="ar-SA"/>
      </w:rPr>
    </w:lvl>
    <w:lvl w:ilvl="4">
      <w:start w:val="0"/>
      <w:numFmt w:val="bullet"/>
      <w:lvlText w:val="•"/>
      <w:lvlJc w:val="left"/>
      <w:pPr>
        <w:ind w:left="4263" w:hanging="175"/>
      </w:pPr>
      <w:rPr>
        <w:rFonts w:hint="default"/>
        <w:lang w:val="en-US" w:eastAsia="en-US" w:bidi="ar-SA"/>
      </w:rPr>
    </w:lvl>
    <w:lvl w:ilvl="5">
      <w:start w:val="0"/>
      <w:numFmt w:val="bullet"/>
      <w:lvlText w:val="•"/>
      <w:lvlJc w:val="left"/>
      <w:pPr>
        <w:ind w:left="5229" w:hanging="175"/>
      </w:pPr>
      <w:rPr>
        <w:rFonts w:hint="default"/>
        <w:lang w:val="en-US" w:eastAsia="en-US" w:bidi="ar-SA"/>
      </w:rPr>
    </w:lvl>
    <w:lvl w:ilvl="6">
      <w:start w:val="0"/>
      <w:numFmt w:val="bullet"/>
      <w:lvlText w:val="•"/>
      <w:lvlJc w:val="left"/>
      <w:pPr>
        <w:ind w:left="6195" w:hanging="175"/>
      </w:pPr>
      <w:rPr>
        <w:rFonts w:hint="default"/>
        <w:lang w:val="en-US" w:eastAsia="en-US" w:bidi="ar-SA"/>
      </w:rPr>
    </w:lvl>
    <w:lvl w:ilvl="7">
      <w:start w:val="0"/>
      <w:numFmt w:val="bullet"/>
      <w:lvlText w:val="•"/>
      <w:lvlJc w:val="left"/>
      <w:pPr>
        <w:ind w:left="7161" w:hanging="175"/>
      </w:pPr>
      <w:rPr>
        <w:rFonts w:hint="default"/>
        <w:lang w:val="en-US" w:eastAsia="en-US" w:bidi="ar-SA"/>
      </w:rPr>
    </w:lvl>
    <w:lvl w:ilvl="8">
      <w:start w:val="0"/>
      <w:numFmt w:val="bullet"/>
      <w:lvlText w:val="•"/>
      <w:lvlJc w:val="left"/>
      <w:pPr>
        <w:ind w:left="8127" w:hanging="175"/>
      </w:pPr>
      <w:rPr>
        <w:rFonts w:hint="default"/>
        <w:lang w:val="en-US" w:eastAsia="en-US" w:bidi="ar-SA"/>
      </w:rPr>
    </w:lvl>
  </w:abstractNum>
  <w:abstractNum w:abstractNumId="17">
    <w:multiLevelType w:val="hybridMultilevel"/>
    <w:lvl w:ilvl="0">
      <w:start w:val="1"/>
      <w:numFmt w:val="decimal"/>
      <w:lvlText w:val="%1."/>
      <w:lvlJc w:val="left"/>
      <w:pPr>
        <w:ind w:left="840" w:hanging="361"/>
        <w:jc w:val="left"/>
      </w:pPr>
      <w:rPr>
        <w:rFonts w:hint="default" w:ascii="Arial" w:hAnsi="Arial" w:eastAsia="Arial" w:cs="Arial"/>
        <w:b/>
        <w:bCs/>
        <w:i w:val="0"/>
        <w:iCs w:val="0"/>
        <w:spacing w:val="-7"/>
        <w:w w:val="100"/>
        <w:sz w:val="20"/>
        <w:szCs w:val="20"/>
        <w:lang w:val="en-US" w:eastAsia="en-US" w:bidi="ar-SA"/>
      </w:rPr>
    </w:lvl>
    <w:lvl w:ilvl="1">
      <w:start w:val="0"/>
      <w:numFmt w:val="bullet"/>
      <w:lvlText w:val="•"/>
      <w:lvlJc w:val="left"/>
      <w:pPr>
        <w:ind w:left="1761" w:hanging="361"/>
      </w:pPr>
      <w:rPr>
        <w:rFonts w:hint="default"/>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16">
    <w:multiLevelType w:val="hybridMultilevel"/>
    <w:lvl w:ilvl="0">
      <w:start w:val="0"/>
      <w:numFmt w:val="bullet"/>
      <w:lvlText w:val=""/>
      <w:lvlJc w:val="left"/>
      <w:pPr>
        <w:ind w:left="560" w:hanging="360"/>
      </w:pPr>
      <w:rPr>
        <w:rFonts w:hint="default" w:ascii="Symbol" w:hAnsi="Symbol" w:eastAsia="Symbol" w:cs="Symbol"/>
        <w:spacing w:val="0"/>
        <w:w w:val="100"/>
        <w:lang w:val="en-US" w:eastAsia="en-US" w:bidi="ar-SA"/>
      </w:rPr>
    </w:lvl>
    <w:lvl w:ilvl="1">
      <w:start w:val="0"/>
      <w:numFmt w:val="bullet"/>
      <w:lvlText w:val="•"/>
      <w:lvlJc w:val="left"/>
      <w:pPr>
        <w:ind w:left="1509" w:hanging="360"/>
      </w:pPr>
      <w:rPr>
        <w:rFonts w:hint="default"/>
        <w:lang w:val="en-US" w:eastAsia="en-US" w:bidi="ar-SA"/>
      </w:rPr>
    </w:lvl>
    <w:lvl w:ilvl="2">
      <w:start w:val="0"/>
      <w:numFmt w:val="bullet"/>
      <w:lvlText w:val="•"/>
      <w:lvlJc w:val="left"/>
      <w:pPr>
        <w:ind w:left="2459" w:hanging="360"/>
      </w:pPr>
      <w:rPr>
        <w:rFonts w:hint="default"/>
        <w:lang w:val="en-US" w:eastAsia="en-US" w:bidi="ar-SA"/>
      </w:rPr>
    </w:lvl>
    <w:lvl w:ilvl="3">
      <w:start w:val="0"/>
      <w:numFmt w:val="bullet"/>
      <w:lvlText w:val="•"/>
      <w:lvlJc w:val="left"/>
      <w:pPr>
        <w:ind w:left="3409" w:hanging="360"/>
      </w:pPr>
      <w:rPr>
        <w:rFonts w:hint="default"/>
        <w:lang w:val="en-US" w:eastAsia="en-US" w:bidi="ar-SA"/>
      </w:rPr>
    </w:lvl>
    <w:lvl w:ilvl="4">
      <w:start w:val="0"/>
      <w:numFmt w:val="bullet"/>
      <w:lvlText w:val="•"/>
      <w:lvlJc w:val="left"/>
      <w:pPr>
        <w:ind w:left="4359" w:hanging="360"/>
      </w:pPr>
      <w:rPr>
        <w:rFonts w:hint="default"/>
        <w:lang w:val="en-US" w:eastAsia="en-US" w:bidi="ar-SA"/>
      </w:rPr>
    </w:lvl>
    <w:lvl w:ilvl="5">
      <w:start w:val="0"/>
      <w:numFmt w:val="bullet"/>
      <w:lvlText w:val="•"/>
      <w:lvlJc w:val="left"/>
      <w:pPr>
        <w:ind w:left="5309" w:hanging="360"/>
      </w:pPr>
      <w:rPr>
        <w:rFonts w:hint="default"/>
        <w:lang w:val="en-US" w:eastAsia="en-US" w:bidi="ar-SA"/>
      </w:rPr>
    </w:lvl>
    <w:lvl w:ilvl="6">
      <w:start w:val="0"/>
      <w:numFmt w:val="bullet"/>
      <w:lvlText w:val="•"/>
      <w:lvlJc w:val="left"/>
      <w:pPr>
        <w:ind w:left="6259" w:hanging="360"/>
      </w:pPr>
      <w:rPr>
        <w:rFonts w:hint="default"/>
        <w:lang w:val="en-US" w:eastAsia="en-US" w:bidi="ar-SA"/>
      </w:rPr>
    </w:lvl>
    <w:lvl w:ilvl="7">
      <w:start w:val="0"/>
      <w:numFmt w:val="bullet"/>
      <w:lvlText w:val="•"/>
      <w:lvlJc w:val="left"/>
      <w:pPr>
        <w:ind w:left="7209" w:hanging="360"/>
      </w:pPr>
      <w:rPr>
        <w:rFonts w:hint="default"/>
        <w:lang w:val="en-US" w:eastAsia="en-US" w:bidi="ar-SA"/>
      </w:rPr>
    </w:lvl>
    <w:lvl w:ilvl="8">
      <w:start w:val="0"/>
      <w:numFmt w:val="bullet"/>
      <w:lvlText w:val="•"/>
      <w:lvlJc w:val="left"/>
      <w:pPr>
        <w:ind w:left="8159" w:hanging="360"/>
      </w:pPr>
      <w:rPr>
        <w:rFonts w:hint="default"/>
        <w:lang w:val="en-US" w:eastAsia="en-US" w:bidi="ar-SA"/>
      </w:rPr>
    </w:lvl>
  </w:abstractNum>
  <w:abstractNum w:abstractNumId="15">
    <w:multiLevelType w:val="hybridMultilevel"/>
    <w:lvl w:ilvl="0">
      <w:start w:val="0"/>
      <w:numFmt w:val="bullet"/>
      <w:lvlText w:val=""/>
      <w:lvlJc w:val="left"/>
      <w:pPr>
        <w:ind w:left="560" w:hanging="360"/>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509" w:hanging="360"/>
      </w:pPr>
      <w:rPr>
        <w:rFonts w:hint="default"/>
        <w:lang w:val="en-US" w:eastAsia="en-US" w:bidi="ar-SA"/>
      </w:rPr>
    </w:lvl>
    <w:lvl w:ilvl="2">
      <w:start w:val="0"/>
      <w:numFmt w:val="bullet"/>
      <w:lvlText w:val="•"/>
      <w:lvlJc w:val="left"/>
      <w:pPr>
        <w:ind w:left="2459" w:hanging="360"/>
      </w:pPr>
      <w:rPr>
        <w:rFonts w:hint="default"/>
        <w:lang w:val="en-US" w:eastAsia="en-US" w:bidi="ar-SA"/>
      </w:rPr>
    </w:lvl>
    <w:lvl w:ilvl="3">
      <w:start w:val="0"/>
      <w:numFmt w:val="bullet"/>
      <w:lvlText w:val="•"/>
      <w:lvlJc w:val="left"/>
      <w:pPr>
        <w:ind w:left="3409" w:hanging="360"/>
      </w:pPr>
      <w:rPr>
        <w:rFonts w:hint="default"/>
        <w:lang w:val="en-US" w:eastAsia="en-US" w:bidi="ar-SA"/>
      </w:rPr>
    </w:lvl>
    <w:lvl w:ilvl="4">
      <w:start w:val="0"/>
      <w:numFmt w:val="bullet"/>
      <w:lvlText w:val="•"/>
      <w:lvlJc w:val="left"/>
      <w:pPr>
        <w:ind w:left="4359" w:hanging="360"/>
      </w:pPr>
      <w:rPr>
        <w:rFonts w:hint="default"/>
        <w:lang w:val="en-US" w:eastAsia="en-US" w:bidi="ar-SA"/>
      </w:rPr>
    </w:lvl>
    <w:lvl w:ilvl="5">
      <w:start w:val="0"/>
      <w:numFmt w:val="bullet"/>
      <w:lvlText w:val="•"/>
      <w:lvlJc w:val="left"/>
      <w:pPr>
        <w:ind w:left="5309" w:hanging="360"/>
      </w:pPr>
      <w:rPr>
        <w:rFonts w:hint="default"/>
        <w:lang w:val="en-US" w:eastAsia="en-US" w:bidi="ar-SA"/>
      </w:rPr>
    </w:lvl>
    <w:lvl w:ilvl="6">
      <w:start w:val="0"/>
      <w:numFmt w:val="bullet"/>
      <w:lvlText w:val="•"/>
      <w:lvlJc w:val="left"/>
      <w:pPr>
        <w:ind w:left="6259" w:hanging="360"/>
      </w:pPr>
      <w:rPr>
        <w:rFonts w:hint="default"/>
        <w:lang w:val="en-US" w:eastAsia="en-US" w:bidi="ar-SA"/>
      </w:rPr>
    </w:lvl>
    <w:lvl w:ilvl="7">
      <w:start w:val="0"/>
      <w:numFmt w:val="bullet"/>
      <w:lvlText w:val="•"/>
      <w:lvlJc w:val="left"/>
      <w:pPr>
        <w:ind w:left="7209" w:hanging="360"/>
      </w:pPr>
      <w:rPr>
        <w:rFonts w:hint="default"/>
        <w:lang w:val="en-US" w:eastAsia="en-US" w:bidi="ar-SA"/>
      </w:rPr>
    </w:lvl>
    <w:lvl w:ilvl="8">
      <w:start w:val="0"/>
      <w:numFmt w:val="bullet"/>
      <w:lvlText w:val="•"/>
      <w:lvlJc w:val="left"/>
      <w:pPr>
        <w:ind w:left="8159" w:hanging="360"/>
      </w:pPr>
      <w:rPr>
        <w:rFonts w:hint="default"/>
        <w:lang w:val="en-US" w:eastAsia="en-US" w:bidi="ar-SA"/>
      </w:rPr>
    </w:lvl>
  </w:abstractNum>
  <w:abstractNum w:abstractNumId="14">
    <w:multiLevelType w:val="hybridMultilevel"/>
    <w:lvl w:ilvl="0">
      <w:start w:val="1"/>
      <w:numFmt w:val="decimal"/>
      <w:lvlText w:val="%1."/>
      <w:lvlJc w:val="left"/>
      <w:pPr>
        <w:ind w:left="369" w:hanging="286"/>
        <w:jc w:val="left"/>
      </w:pPr>
      <w:rPr>
        <w:rFonts w:hint="default" w:ascii="Arial" w:hAnsi="Arial" w:eastAsia="Arial" w:cs="Arial"/>
        <w:b/>
        <w:bCs/>
        <w:i w:val="0"/>
        <w:iCs w:val="0"/>
        <w:color w:val="001F5F"/>
        <w:spacing w:val="0"/>
        <w:w w:val="100"/>
        <w:sz w:val="26"/>
        <w:szCs w:val="26"/>
        <w:lang w:val="en-US" w:eastAsia="en-US" w:bidi="ar-SA"/>
      </w:rPr>
    </w:lvl>
    <w:lvl w:ilvl="1">
      <w:start w:val="0"/>
      <w:numFmt w:val="bullet"/>
      <w:lvlText w:val="•"/>
      <w:lvlJc w:val="left"/>
      <w:pPr>
        <w:ind w:left="1894" w:hanging="286"/>
      </w:pPr>
      <w:rPr>
        <w:rFonts w:hint="default"/>
        <w:lang w:val="en-US" w:eastAsia="en-US" w:bidi="ar-SA"/>
      </w:rPr>
    </w:lvl>
    <w:lvl w:ilvl="2">
      <w:start w:val="0"/>
      <w:numFmt w:val="bullet"/>
      <w:lvlText w:val="•"/>
      <w:lvlJc w:val="left"/>
      <w:pPr>
        <w:ind w:left="3428" w:hanging="286"/>
      </w:pPr>
      <w:rPr>
        <w:rFonts w:hint="default"/>
        <w:lang w:val="en-US" w:eastAsia="en-US" w:bidi="ar-SA"/>
      </w:rPr>
    </w:lvl>
    <w:lvl w:ilvl="3">
      <w:start w:val="0"/>
      <w:numFmt w:val="bullet"/>
      <w:lvlText w:val="•"/>
      <w:lvlJc w:val="left"/>
      <w:pPr>
        <w:ind w:left="4962" w:hanging="286"/>
      </w:pPr>
      <w:rPr>
        <w:rFonts w:hint="default"/>
        <w:lang w:val="en-US" w:eastAsia="en-US" w:bidi="ar-SA"/>
      </w:rPr>
    </w:lvl>
    <w:lvl w:ilvl="4">
      <w:start w:val="0"/>
      <w:numFmt w:val="bullet"/>
      <w:lvlText w:val="•"/>
      <w:lvlJc w:val="left"/>
      <w:pPr>
        <w:ind w:left="6497" w:hanging="286"/>
      </w:pPr>
      <w:rPr>
        <w:rFonts w:hint="default"/>
        <w:lang w:val="en-US" w:eastAsia="en-US" w:bidi="ar-SA"/>
      </w:rPr>
    </w:lvl>
    <w:lvl w:ilvl="5">
      <w:start w:val="0"/>
      <w:numFmt w:val="bullet"/>
      <w:lvlText w:val="•"/>
      <w:lvlJc w:val="left"/>
      <w:pPr>
        <w:ind w:left="8031" w:hanging="286"/>
      </w:pPr>
      <w:rPr>
        <w:rFonts w:hint="default"/>
        <w:lang w:val="en-US" w:eastAsia="en-US" w:bidi="ar-SA"/>
      </w:rPr>
    </w:lvl>
    <w:lvl w:ilvl="6">
      <w:start w:val="0"/>
      <w:numFmt w:val="bullet"/>
      <w:lvlText w:val="•"/>
      <w:lvlJc w:val="left"/>
      <w:pPr>
        <w:ind w:left="9565" w:hanging="286"/>
      </w:pPr>
      <w:rPr>
        <w:rFonts w:hint="default"/>
        <w:lang w:val="en-US" w:eastAsia="en-US" w:bidi="ar-SA"/>
      </w:rPr>
    </w:lvl>
    <w:lvl w:ilvl="7">
      <w:start w:val="0"/>
      <w:numFmt w:val="bullet"/>
      <w:lvlText w:val="•"/>
      <w:lvlJc w:val="left"/>
      <w:pPr>
        <w:ind w:left="11100" w:hanging="286"/>
      </w:pPr>
      <w:rPr>
        <w:rFonts w:hint="default"/>
        <w:lang w:val="en-US" w:eastAsia="en-US" w:bidi="ar-SA"/>
      </w:rPr>
    </w:lvl>
    <w:lvl w:ilvl="8">
      <w:start w:val="0"/>
      <w:numFmt w:val="bullet"/>
      <w:lvlText w:val="•"/>
      <w:lvlJc w:val="left"/>
      <w:pPr>
        <w:ind w:left="12634" w:hanging="286"/>
      </w:pPr>
      <w:rPr>
        <w:rFonts w:hint="default"/>
        <w:lang w:val="en-US" w:eastAsia="en-US" w:bidi="ar-SA"/>
      </w:rPr>
    </w:lvl>
  </w:abstractNum>
  <w:abstractNum w:abstractNumId="13">
    <w:multiLevelType w:val="hybridMultilevel"/>
    <w:lvl w:ilvl="0">
      <w:start w:val="1"/>
      <w:numFmt w:val="decimal"/>
      <w:lvlText w:val="%1."/>
      <w:lvlJc w:val="left"/>
      <w:pPr>
        <w:ind w:left="1009" w:hanging="565"/>
        <w:jc w:val="left"/>
      </w:pPr>
      <w:rPr>
        <w:rFonts w:hint="default" w:ascii="Segoe UI" w:hAnsi="Segoe UI" w:eastAsia="Segoe UI" w:cs="Segoe UI"/>
        <w:b/>
        <w:bCs/>
        <w:i w:val="0"/>
        <w:iCs w:val="0"/>
        <w:color w:val="1F4E79"/>
        <w:spacing w:val="0"/>
        <w:w w:val="100"/>
        <w:sz w:val="30"/>
        <w:szCs w:val="30"/>
        <w:lang w:val="en-US" w:eastAsia="en-US" w:bidi="ar-SA"/>
      </w:rPr>
    </w:lvl>
    <w:lvl w:ilvl="1">
      <w:start w:val="0"/>
      <w:numFmt w:val="bullet"/>
      <w:lvlText w:val="•"/>
      <w:lvlJc w:val="left"/>
      <w:pPr>
        <w:ind w:left="2095" w:hanging="565"/>
      </w:pPr>
      <w:rPr>
        <w:rFonts w:hint="default"/>
        <w:lang w:val="en-US" w:eastAsia="en-US" w:bidi="ar-SA"/>
      </w:rPr>
    </w:lvl>
    <w:lvl w:ilvl="2">
      <w:start w:val="0"/>
      <w:numFmt w:val="bullet"/>
      <w:lvlText w:val="•"/>
      <w:lvlJc w:val="left"/>
      <w:pPr>
        <w:ind w:left="3191" w:hanging="565"/>
      </w:pPr>
      <w:rPr>
        <w:rFonts w:hint="default"/>
        <w:lang w:val="en-US" w:eastAsia="en-US" w:bidi="ar-SA"/>
      </w:rPr>
    </w:lvl>
    <w:lvl w:ilvl="3">
      <w:start w:val="0"/>
      <w:numFmt w:val="bullet"/>
      <w:lvlText w:val="•"/>
      <w:lvlJc w:val="left"/>
      <w:pPr>
        <w:ind w:left="4287" w:hanging="565"/>
      </w:pPr>
      <w:rPr>
        <w:rFonts w:hint="default"/>
        <w:lang w:val="en-US" w:eastAsia="en-US" w:bidi="ar-SA"/>
      </w:rPr>
    </w:lvl>
    <w:lvl w:ilvl="4">
      <w:start w:val="0"/>
      <w:numFmt w:val="bullet"/>
      <w:lvlText w:val="•"/>
      <w:lvlJc w:val="left"/>
      <w:pPr>
        <w:ind w:left="5383" w:hanging="565"/>
      </w:pPr>
      <w:rPr>
        <w:rFonts w:hint="default"/>
        <w:lang w:val="en-US" w:eastAsia="en-US" w:bidi="ar-SA"/>
      </w:rPr>
    </w:lvl>
    <w:lvl w:ilvl="5">
      <w:start w:val="0"/>
      <w:numFmt w:val="bullet"/>
      <w:lvlText w:val="•"/>
      <w:lvlJc w:val="left"/>
      <w:pPr>
        <w:ind w:left="6479" w:hanging="565"/>
      </w:pPr>
      <w:rPr>
        <w:rFonts w:hint="default"/>
        <w:lang w:val="en-US" w:eastAsia="en-US" w:bidi="ar-SA"/>
      </w:rPr>
    </w:lvl>
    <w:lvl w:ilvl="6">
      <w:start w:val="0"/>
      <w:numFmt w:val="bullet"/>
      <w:lvlText w:val="•"/>
      <w:lvlJc w:val="left"/>
      <w:pPr>
        <w:ind w:left="7574" w:hanging="565"/>
      </w:pPr>
      <w:rPr>
        <w:rFonts w:hint="default"/>
        <w:lang w:val="en-US" w:eastAsia="en-US" w:bidi="ar-SA"/>
      </w:rPr>
    </w:lvl>
    <w:lvl w:ilvl="7">
      <w:start w:val="0"/>
      <w:numFmt w:val="bullet"/>
      <w:lvlText w:val="•"/>
      <w:lvlJc w:val="left"/>
      <w:pPr>
        <w:ind w:left="8670" w:hanging="565"/>
      </w:pPr>
      <w:rPr>
        <w:rFonts w:hint="default"/>
        <w:lang w:val="en-US" w:eastAsia="en-US" w:bidi="ar-SA"/>
      </w:rPr>
    </w:lvl>
    <w:lvl w:ilvl="8">
      <w:start w:val="0"/>
      <w:numFmt w:val="bullet"/>
      <w:lvlText w:val="•"/>
      <w:lvlJc w:val="left"/>
      <w:pPr>
        <w:ind w:left="9766" w:hanging="565"/>
      </w:pPr>
      <w:rPr>
        <w:rFonts w:hint="default"/>
        <w:lang w:val="en-US" w:eastAsia="en-US" w:bidi="ar-SA"/>
      </w:rPr>
    </w:lvl>
  </w:abstractNum>
  <w:abstractNum w:abstractNumId="12">
    <w:multiLevelType w:val="hybridMultilevel"/>
    <w:lvl w:ilvl="0">
      <w:start w:val="1"/>
      <w:numFmt w:val="decimal"/>
      <w:lvlText w:val="%1."/>
      <w:lvlJc w:val="left"/>
      <w:pPr>
        <w:ind w:left="879" w:hanging="566"/>
        <w:jc w:val="left"/>
      </w:pPr>
      <w:rPr>
        <w:rFonts w:hint="default"/>
        <w:spacing w:val="0"/>
        <w:w w:val="100"/>
        <w:lang w:val="en-US" w:eastAsia="en-US" w:bidi="ar-SA"/>
      </w:rPr>
    </w:lvl>
    <w:lvl w:ilvl="1">
      <w:start w:val="1"/>
      <w:numFmt w:val="decimal"/>
      <w:lvlText w:val="%1.%2"/>
      <w:lvlJc w:val="left"/>
      <w:pPr>
        <w:ind w:left="1288" w:hanging="410"/>
        <w:jc w:val="left"/>
      </w:pPr>
      <w:rPr>
        <w:rFonts w:hint="default"/>
        <w:spacing w:val="-1"/>
        <w:w w:val="100"/>
        <w:lang w:val="en-US" w:eastAsia="en-US" w:bidi="ar-SA"/>
      </w:rPr>
    </w:lvl>
    <w:lvl w:ilvl="2">
      <w:start w:val="0"/>
      <w:numFmt w:val="bullet"/>
      <w:lvlText w:val="•"/>
      <w:lvlJc w:val="left"/>
      <w:pPr>
        <w:ind w:left="1388" w:hanging="410"/>
      </w:pPr>
      <w:rPr>
        <w:rFonts w:hint="default"/>
        <w:lang w:val="en-US" w:eastAsia="en-US" w:bidi="ar-SA"/>
      </w:rPr>
    </w:lvl>
    <w:lvl w:ilvl="3">
      <w:start w:val="0"/>
      <w:numFmt w:val="bullet"/>
      <w:lvlText w:val="•"/>
      <w:lvlJc w:val="left"/>
      <w:pPr>
        <w:ind w:left="1497" w:hanging="410"/>
      </w:pPr>
      <w:rPr>
        <w:rFonts w:hint="default"/>
        <w:lang w:val="en-US" w:eastAsia="en-US" w:bidi="ar-SA"/>
      </w:rPr>
    </w:lvl>
    <w:lvl w:ilvl="4">
      <w:start w:val="0"/>
      <w:numFmt w:val="bullet"/>
      <w:lvlText w:val="•"/>
      <w:lvlJc w:val="left"/>
      <w:pPr>
        <w:ind w:left="1606" w:hanging="410"/>
      </w:pPr>
      <w:rPr>
        <w:rFonts w:hint="default"/>
        <w:lang w:val="en-US" w:eastAsia="en-US" w:bidi="ar-SA"/>
      </w:rPr>
    </w:lvl>
    <w:lvl w:ilvl="5">
      <w:start w:val="0"/>
      <w:numFmt w:val="bullet"/>
      <w:lvlText w:val="•"/>
      <w:lvlJc w:val="left"/>
      <w:pPr>
        <w:ind w:left="1715" w:hanging="410"/>
      </w:pPr>
      <w:rPr>
        <w:rFonts w:hint="default"/>
        <w:lang w:val="en-US" w:eastAsia="en-US" w:bidi="ar-SA"/>
      </w:rPr>
    </w:lvl>
    <w:lvl w:ilvl="6">
      <w:start w:val="0"/>
      <w:numFmt w:val="bullet"/>
      <w:lvlText w:val="•"/>
      <w:lvlJc w:val="left"/>
      <w:pPr>
        <w:ind w:left="1824" w:hanging="410"/>
      </w:pPr>
      <w:rPr>
        <w:rFonts w:hint="default"/>
        <w:lang w:val="en-US" w:eastAsia="en-US" w:bidi="ar-SA"/>
      </w:rPr>
    </w:lvl>
    <w:lvl w:ilvl="7">
      <w:start w:val="0"/>
      <w:numFmt w:val="bullet"/>
      <w:lvlText w:val="•"/>
      <w:lvlJc w:val="left"/>
      <w:pPr>
        <w:ind w:left="1933" w:hanging="410"/>
      </w:pPr>
      <w:rPr>
        <w:rFonts w:hint="default"/>
        <w:lang w:val="en-US" w:eastAsia="en-US" w:bidi="ar-SA"/>
      </w:rPr>
    </w:lvl>
    <w:lvl w:ilvl="8">
      <w:start w:val="0"/>
      <w:numFmt w:val="bullet"/>
      <w:lvlText w:val="•"/>
      <w:lvlJc w:val="left"/>
      <w:pPr>
        <w:ind w:left="2042" w:hanging="410"/>
      </w:pPr>
      <w:rPr>
        <w:rFonts w:hint="default"/>
        <w:lang w:val="en-US" w:eastAsia="en-US" w:bidi="ar-SA"/>
      </w:rPr>
    </w:lvl>
  </w:abstractNum>
  <w:abstractNum w:abstractNumId="11">
    <w:multiLevelType w:val="hybridMultilevel"/>
    <w:lvl w:ilvl="0">
      <w:start w:val="0"/>
      <w:numFmt w:val="bullet"/>
      <w:lvlText w:val=""/>
      <w:lvlJc w:val="left"/>
      <w:pPr>
        <w:ind w:left="384"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249" w:hanging="361"/>
      </w:pPr>
      <w:rPr>
        <w:rFonts w:hint="default"/>
        <w:lang w:val="en-US" w:eastAsia="en-US" w:bidi="ar-SA"/>
      </w:rPr>
    </w:lvl>
    <w:lvl w:ilvl="2">
      <w:start w:val="0"/>
      <w:numFmt w:val="bullet"/>
      <w:lvlText w:val="•"/>
      <w:lvlJc w:val="left"/>
      <w:pPr>
        <w:ind w:left="2118" w:hanging="361"/>
      </w:pPr>
      <w:rPr>
        <w:rFonts w:hint="default"/>
        <w:lang w:val="en-US" w:eastAsia="en-US" w:bidi="ar-SA"/>
      </w:rPr>
    </w:lvl>
    <w:lvl w:ilvl="3">
      <w:start w:val="0"/>
      <w:numFmt w:val="bullet"/>
      <w:lvlText w:val="•"/>
      <w:lvlJc w:val="left"/>
      <w:pPr>
        <w:ind w:left="2987" w:hanging="361"/>
      </w:pPr>
      <w:rPr>
        <w:rFonts w:hint="default"/>
        <w:lang w:val="en-US" w:eastAsia="en-US" w:bidi="ar-SA"/>
      </w:rPr>
    </w:lvl>
    <w:lvl w:ilvl="4">
      <w:start w:val="0"/>
      <w:numFmt w:val="bullet"/>
      <w:lvlText w:val="•"/>
      <w:lvlJc w:val="left"/>
      <w:pPr>
        <w:ind w:left="3856" w:hanging="361"/>
      </w:pPr>
      <w:rPr>
        <w:rFonts w:hint="default"/>
        <w:lang w:val="en-US" w:eastAsia="en-US" w:bidi="ar-SA"/>
      </w:rPr>
    </w:lvl>
    <w:lvl w:ilvl="5">
      <w:start w:val="0"/>
      <w:numFmt w:val="bullet"/>
      <w:lvlText w:val="•"/>
      <w:lvlJc w:val="left"/>
      <w:pPr>
        <w:ind w:left="4725" w:hanging="361"/>
      </w:pPr>
      <w:rPr>
        <w:rFonts w:hint="default"/>
        <w:lang w:val="en-US" w:eastAsia="en-US" w:bidi="ar-SA"/>
      </w:rPr>
    </w:lvl>
    <w:lvl w:ilvl="6">
      <w:start w:val="0"/>
      <w:numFmt w:val="bullet"/>
      <w:lvlText w:val="•"/>
      <w:lvlJc w:val="left"/>
      <w:pPr>
        <w:ind w:left="5594" w:hanging="361"/>
      </w:pPr>
      <w:rPr>
        <w:rFonts w:hint="default"/>
        <w:lang w:val="en-US" w:eastAsia="en-US" w:bidi="ar-SA"/>
      </w:rPr>
    </w:lvl>
    <w:lvl w:ilvl="7">
      <w:start w:val="0"/>
      <w:numFmt w:val="bullet"/>
      <w:lvlText w:val="•"/>
      <w:lvlJc w:val="left"/>
      <w:pPr>
        <w:ind w:left="6463" w:hanging="361"/>
      </w:pPr>
      <w:rPr>
        <w:rFonts w:hint="default"/>
        <w:lang w:val="en-US" w:eastAsia="en-US" w:bidi="ar-SA"/>
      </w:rPr>
    </w:lvl>
    <w:lvl w:ilvl="8">
      <w:start w:val="0"/>
      <w:numFmt w:val="bullet"/>
      <w:lvlText w:val="•"/>
      <w:lvlJc w:val="left"/>
      <w:pPr>
        <w:ind w:left="7332" w:hanging="361"/>
      </w:pPr>
      <w:rPr>
        <w:rFonts w:hint="default"/>
        <w:lang w:val="en-US" w:eastAsia="en-US" w:bidi="ar-SA"/>
      </w:rPr>
    </w:lvl>
  </w:abstractNum>
  <w:abstractNum w:abstractNumId="10">
    <w:multiLevelType w:val="hybridMultilevel"/>
    <w:lvl w:ilvl="0">
      <w:start w:val="0"/>
      <w:numFmt w:val="bullet"/>
      <w:lvlText w:val=""/>
      <w:lvlJc w:val="left"/>
      <w:pPr>
        <w:ind w:left="384"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249" w:hanging="361"/>
      </w:pPr>
      <w:rPr>
        <w:rFonts w:hint="default"/>
        <w:lang w:val="en-US" w:eastAsia="en-US" w:bidi="ar-SA"/>
      </w:rPr>
    </w:lvl>
    <w:lvl w:ilvl="2">
      <w:start w:val="0"/>
      <w:numFmt w:val="bullet"/>
      <w:lvlText w:val="•"/>
      <w:lvlJc w:val="left"/>
      <w:pPr>
        <w:ind w:left="2118" w:hanging="361"/>
      </w:pPr>
      <w:rPr>
        <w:rFonts w:hint="default"/>
        <w:lang w:val="en-US" w:eastAsia="en-US" w:bidi="ar-SA"/>
      </w:rPr>
    </w:lvl>
    <w:lvl w:ilvl="3">
      <w:start w:val="0"/>
      <w:numFmt w:val="bullet"/>
      <w:lvlText w:val="•"/>
      <w:lvlJc w:val="left"/>
      <w:pPr>
        <w:ind w:left="2987" w:hanging="361"/>
      </w:pPr>
      <w:rPr>
        <w:rFonts w:hint="default"/>
        <w:lang w:val="en-US" w:eastAsia="en-US" w:bidi="ar-SA"/>
      </w:rPr>
    </w:lvl>
    <w:lvl w:ilvl="4">
      <w:start w:val="0"/>
      <w:numFmt w:val="bullet"/>
      <w:lvlText w:val="•"/>
      <w:lvlJc w:val="left"/>
      <w:pPr>
        <w:ind w:left="3856" w:hanging="361"/>
      </w:pPr>
      <w:rPr>
        <w:rFonts w:hint="default"/>
        <w:lang w:val="en-US" w:eastAsia="en-US" w:bidi="ar-SA"/>
      </w:rPr>
    </w:lvl>
    <w:lvl w:ilvl="5">
      <w:start w:val="0"/>
      <w:numFmt w:val="bullet"/>
      <w:lvlText w:val="•"/>
      <w:lvlJc w:val="left"/>
      <w:pPr>
        <w:ind w:left="4725" w:hanging="361"/>
      </w:pPr>
      <w:rPr>
        <w:rFonts w:hint="default"/>
        <w:lang w:val="en-US" w:eastAsia="en-US" w:bidi="ar-SA"/>
      </w:rPr>
    </w:lvl>
    <w:lvl w:ilvl="6">
      <w:start w:val="0"/>
      <w:numFmt w:val="bullet"/>
      <w:lvlText w:val="•"/>
      <w:lvlJc w:val="left"/>
      <w:pPr>
        <w:ind w:left="5594" w:hanging="361"/>
      </w:pPr>
      <w:rPr>
        <w:rFonts w:hint="default"/>
        <w:lang w:val="en-US" w:eastAsia="en-US" w:bidi="ar-SA"/>
      </w:rPr>
    </w:lvl>
    <w:lvl w:ilvl="7">
      <w:start w:val="0"/>
      <w:numFmt w:val="bullet"/>
      <w:lvlText w:val="•"/>
      <w:lvlJc w:val="left"/>
      <w:pPr>
        <w:ind w:left="6463" w:hanging="361"/>
      </w:pPr>
      <w:rPr>
        <w:rFonts w:hint="default"/>
        <w:lang w:val="en-US" w:eastAsia="en-US" w:bidi="ar-SA"/>
      </w:rPr>
    </w:lvl>
    <w:lvl w:ilvl="8">
      <w:start w:val="0"/>
      <w:numFmt w:val="bullet"/>
      <w:lvlText w:val="•"/>
      <w:lvlJc w:val="left"/>
      <w:pPr>
        <w:ind w:left="7332" w:hanging="361"/>
      </w:pPr>
      <w:rPr>
        <w:rFonts w:hint="default"/>
        <w:lang w:val="en-US" w:eastAsia="en-US" w:bidi="ar-SA"/>
      </w:rPr>
    </w:lvl>
  </w:abstractNum>
  <w:abstractNum w:abstractNumId="9">
    <w:multiLevelType w:val="hybridMultilevel"/>
    <w:lvl w:ilvl="0">
      <w:start w:val="3"/>
      <w:numFmt w:val="decimal"/>
      <w:lvlText w:val="%1"/>
      <w:lvlJc w:val="left"/>
      <w:pPr>
        <w:ind w:left="23" w:hanging="541"/>
        <w:jc w:val="left"/>
      </w:pPr>
      <w:rPr>
        <w:rFonts w:hint="default"/>
        <w:lang w:val="en-US" w:eastAsia="en-US" w:bidi="ar-SA"/>
      </w:rPr>
    </w:lvl>
    <w:lvl w:ilvl="1">
      <w:start w:val="1"/>
      <w:numFmt w:val="decimal"/>
      <w:lvlText w:val="%1.%2"/>
      <w:lvlJc w:val="left"/>
      <w:pPr>
        <w:ind w:left="23" w:hanging="541"/>
        <w:jc w:val="right"/>
      </w:pPr>
      <w:rPr>
        <w:rFonts w:hint="default"/>
        <w:spacing w:val="0"/>
        <w:w w:val="100"/>
        <w:lang w:val="en-US" w:eastAsia="en-US" w:bidi="ar-SA"/>
      </w:rPr>
    </w:lvl>
    <w:lvl w:ilvl="2">
      <w:start w:val="1"/>
      <w:numFmt w:val="decimal"/>
      <w:lvlText w:val="%3."/>
      <w:lvlJc w:val="left"/>
      <w:pPr>
        <w:ind w:left="1009" w:hanging="565"/>
        <w:jc w:val="left"/>
      </w:pPr>
      <w:rPr>
        <w:rFonts w:hint="default" w:ascii="Segoe UI" w:hAnsi="Segoe UI" w:eastAsia="Segoe UI" w:cs="Segoe UI"/>
        <w:b/>
        <w:bCs/>
        <w:i w:val="0"/>
        <w:iCs w:val="0"/>
        <w:color w:val="1F4E79"/>
        <w:spacing w:val="0"/>
        <w:w w:val="100"/>
        <w:sz w:val="30"/>
        <w:szCs w:val="30"/>
        <w:lang w:val="en-US" w:eastAsia="en-US" w:bidi="ar-SA"/>
      </w:rPr>
    </w:lvl>
    <w:lvl w:ilvl="3">
      <w:start w:val="0"/>
      <w:numFmt w:val="bullet"/>
      <w:lvlText w:val="•"/>
      <w:lvlJc w:val="left"/>
      <w:pPr>
        <w:ind w:left="2082" w:hanging="565"/>
      </w:pPr>
      <w:rPr>
        <w:rFonts w:hint="default"/>
        <w:lang w:val="en-US" w:eastAsia="en-US" w:bidi="ar-SA"/>
      </w:rPr>
    </w:lvl>
    <w:lvl w:ilvl="4">
      <w:start w:val="0"/>
      <w:numFmt w:val="bullet"/>
      <w:lvlText w:val="•"/>
      <w:lvlJc w:val="left"/>
      <w:pPr>
        <w:ind w:left="2624" w:hanging="565"/>
      </w:pPr>
      <w:rPr>
        <w:rFonts w:hint="default"/>
        <w:lang w:val="en-US" w:eastAsia="en-US" w:bidi="ar-SA"/>
      </w:rPr>
    </w:lvl>
    <w:lvl w:ilvl="5">
      <w:start w:val="0"/>
      <w:numFmt w:val="bullet"/>
      <w:lvlText w:val="•"/>
      <w:lvlJc w:val="left"/>
      <w:pPr>
        <w:ind w:left="3165" w:hanging="565"/>
      </w:pPr>
      <w:rPr>
        <w:rFonts w:hint="default"/>
        <w:lang w:val="en-US" w:eastAsia="en-US" w:bidi="ar-SA"/>
      </w:rPr>
    </w:lvl>
    <w:lvl w:ilvl="6">
      <w:start w:val="0"/>
      <w:numFmt w:val="bullet"/>
      <w:lvlText w:val="•"/>
      <w:lvlJc w:val="left"/>
      <w:pPr>
        <w:ind w:left="3707" w:hanging="565"/>
      </w:pPr>
      <w:rPr>
        <w:rFonts w:hint="default"/>
        <w:lang w:val="en-US" w:eastAsia="en-US" w:bidi="ar-SA"/>
      </w:rPr>
    </w:lvl>
    <w:lvl w:ilvl="7">
      <w:start w:val="0"/>
      <w:numFmt w:val="bullet"/>
      <w:lvlText w:val="•"/>
      <w:lvlJc w:val="left"/>
      <w:pPr>
        <w:ind w:left="4248" w:hanging="565"/>
      </w:pPr>
      <w:rPr>
        <w:rFonts w:hint="default"/>
        <w:lang w:val="en-US" w:eastAsia="en-US" w:bidi="ar-SA"/>
      </w:rPr>
    </w:lvl>
    <w:lvl w:ilvl="8">
      <w:start w:val="0"/>
      <w:numFmt w:val="bullet"/>
      <w:lvlText w:val="•"/>
      <w:lvlJc w:val="left"/>
      <w:pPr>
        <w:ind w:left="4789" w:hanging="565"/>
      </w:pPr>
      <w:rPr>
        <w:rFonts w:hint="default"/>
        <w:lang w:val="en-US" w:eastAsia="en-US" w:bidi="ar-SA"/>
      </w:rPr>
    </w:lvl>
  </w:abstractNum>
  <w:abstractNum w:abstractNumId="8">
    <w:multiLevelType w:val="hybridMultilevel"/>
    <w:lvl w:ilvl="0">
      <w:start w:val="1"/>
      <w:numFmt w:val="decimal"/>
      <w:lvlText w:val="%1."/>
      <w:lvlJc w:val="left"/>
      <w:pPr>
        <w:ind w:left="770" w:hanging="360"/>
        <w:jc w:val="left"/>
      </w:pPr>
      <w:rPr>
        <w:rFonts w:hint="default" w:ascii="Arial" w:hAnsi="Arial" w:eastAsia="Arial" w:cs="Arial"/>
        <w:b/>
        <w:bCs/>
        <w:i w:val="0"/>
        <w:iCs w:val="0"/>
        <w:spacing w:val="-7"/>
        <w:w w:val="100"/>
        <w:sz w:val="20"/>
        <w:szCs w:val="20"/>
        <w:lang w:val="en-US" w:eastAsia="en-US" w:bidi="ar-SA"/>
      </w:rPr>
    </w:lvl>
    <w:lvl w:ilvl="1">
      <w:start w:val="0"/>
      <w:numFmt w:val="bullet"/>
      <w:lvlText w:val=""/>
      <w:lvlJc w:val="left"/>
      <w:pPr>
        <w:ind w:left="770" w:hanging="360"/>
      </w:pPr>
      <w:rPr>
        <w:rFonts w:hint="default" w:ascii="Symbol" w:hAnsi="Symbol" w:eastAsia="Symbol" w:cs="Symbol"/>
        <w:b w:val="0"/>
        <w:bCs w:val="0"/>
        <w:i w:val="0"/>
        <w:iCs w:val="0"/>
        <w:spacing w:val="0"/>
        <w:w w:val="100"/>
        <w:sz w:val="20"/>
        <w:szCs w:val="20"/>
        <w:lang w:val="en-US" w:eastAsia="en-US" w:bidi="ar-SA"/>
      </w:rPr>
    </w:lvl>
    <w:lvl w:ilvl="2">
      <w:start w:val="0"/>
      <w:numFmt w:val="bullet"/>
      <w:lvlText w:val="•"/>
      <w:lvlJc w:val="left"/>
      <w:pPr>
        <w:ind w:left="3595" w:hanging="360"/>
      </w:pPr>
      <w:rPr>
        <w:rFonts w:hint="default"/>
        <w:lang w:val="en-US" w:eastAsia="en-US" w:bidi="ar-SA"/>
      </w:rPr>
    </w:lvl>
    <w:lvl w:ilvl="3">
      <w:start w:val="0"/>
      <w:numFmt w:val="bullet"/>
      <w:lvlText w:val="•"/>
      <w:lvlJc w:val="left"/>
      <w:pPr>
        <w:ind w:left="5003" w:hanging="360"/>
      </w:pPr>
      <w:rPr>
        <w:rFonts w:hint="default"/>
        <w:lang w:val="en-US" w:eastAsia="en-US" w:bidi="ar-SA"/>
      </w:rPr>
    </w:lvl>
    <w:lvl w:ilvl="4">
      <w:start w:val="0"/>
      <w:numFmt w:val="bullet"/>
      <w:lvlText w:val="•"/>
      <w:lvlJc w:val="left"/>
      <w:pPr>
        <w:ind w:left="6410" w:hanging="360"/>
      </w:pPr>
      <w:rPr>
        <w:rFonts w:hint="default"/>
        <w:lang w:val="en-US" w:eastAsia="en-US" w:bidi="ar-SA"/>
      </w:rPr>
    </w:lvl>
    <w:lvl w:ilvl="5">
      <w:start w:val="0"/>
      <w:numFmt w:val="bullet"/>
      <w:lvlText w:val="•"/>
      <w:lvlJc w:val="left"/>
      <w:pPr>
        <w:ind w:left="7818" w:hanging="360"/>
      </w:pPr>
      <w:rPr>
        <w:rFonts w:hint="default"/>
        <w:lang w:val="en-US" w:eastAsia="en-US" w:bidi="ar-SA"/>
      </w:rPr>
    </w:lvl>
    <w:lvl w:ilvl="6">
      <w:start w:val="0"/>
      <w:numFmt w:val="bullet"/>
      <w:lvlText w:val="•"/>
      <w:lvlJc w:val="left"/>
      <w:pPr>
        <w:ind w:left="9226" w:hanging="360"/>
      </w:pPr>
      <w:rPr>
        <w:rFonts w:hint="default"/>
        <w:lang w:val="en-US" w:eastAsia="en-US" w:bidi="ar-SA"/>
      </w:rPr>
    </w:lvl>
    <w:lvl w:ilvl="7">
      <w:start w:val="0"/>
      <w:numFmt w:val="bullet"/>
      <w:lvlText w:val="•"/>
      <w:lvlJc w:val="left"/>
      <w:pPr>
        <w:ind w:left="10633" w:hanging="360"/>
      </w:pPr>
      <w:rPr>
        <w:rFonts w:hint="default"/>
        <w:lang w:val="en-US" w:eastAsia="en-US" w:bidi="ar-SA"/>
      </w:rPr>
    </w:lvl>
    <w:lvl w:ilvl="8">
      <w:start w:val="0"/>
      <w:numFmt w:val="bullet"/>
      <w:lvlText w:val="•"/>
      <w:lvlJc w:val="left"/>
      <w:pPr>
        <w:ind w:left="12041" w:hanging="360"/>
      </w:pPr>
      <w:rPr>
        <w:rFonts w:hint="default"/>
        <w:lang w:val="en-US" w:eastAsia="en-US" w:bidi="ar-SA"/>
      </w:rPr>
    </w:lvl>
  </w:abstractNum>
  <w:abstractNum w:abstractNumId="7">
    <w:multiLevelType w:val="hybridMultilevel"/>
    <w:lvl w:ilvl="0">
      <w:start w:val="1"/>
      <w:numFmt w:val="decimal"/>
      <w:lvlText w:val="%1."/>
      <w:lvlJc w:val="left"/>
      <w:pPr>
        <w:ind w:left="110" w:hanging="256"/>
        <w:jc w:val="left"/>
      </w:pPr>
      <w:rPr>
        <w:rFonts w:hint="default" w:ascii="Arial" w:hAnsi="Arial" w:eastAsia="Arial" w:cs="Arial"/>
        <w:b w:val="0"/>
        <w:bCs w:val="0"/>
        <w:i w:val="0"/>
        <w:iCs w:val="0"/>
        <w:spacing w:val="-4"/>
        <w:w w:val="100"/>
        <w:sz w:val="24"/>
        <w:szCs w:val="24"/>
        <w:lang w:val="en-US" w:eastAsia="en-US" w:bidi="ar-SA"/>
      </w:rPr>
    </w:lvl>
    <w:lvl w:ilvl="1">
      <w:start w:val="0"/>
      <w:numFmt w:val="bullet"/>
      <w:lvlText w:val="•"/>
      <w:lvlJc w:val="left"/>
      <w:pPr>
        <w:ind w:left="1113" w:hanging="256"/>
      </w:pPr>
      <w:rPr>
        <w:rFonts w:hint="default"/>
        <w:lang w:val="en-US" w:eastAsia="en-US" w:bidi="ar-SA"/>
      </w:rPr>
    </w:lvl>
    <w:lvl w:ilvl="2">
      <w:start w:val="0"/>
      <w:numFmt w:val="bullet"/>
      <w:lvlText w:val="•"/>
      <w:lvlJc w:val="left"/>
      <w:pPr>
        <w:ind w:left="2107" w:hanging="256"/>
      </w:pPr>
      <w:rPr>
        <w:rFonts w:hint="default"/>
        <w:lang w:val="en-US" w:eastAsia="en-US" w:bidi="ar-SA"/>
      </w:rPr>
    </w:lvl>
    <w:lvl w:ilvl="3">
      <w:start w:val="0"/>
      <w:numFmt w:val="bullet"/>
      <w:lvlText w:val="•"/>
      <w:lvlJc w:val="left"/>
      <w:pPr>
        <w:ind w:left="3101" w:hanging="256"/>
      </w:pPr>
      <w:rPr>
        <w:rFonts w:hint="default"/>
        <w:lang w:val="en-US" w:eastAsia="en-US" w:bidi="ar-SA"/>
      </w:rPr>
    </w:lvl>
    <w:lvl w:ilvl="4">
      <w:start w:val="0"/>
      <w:numFmt w:val="bullet"/>
      <w:lvlText w:val="•"/>
      <w:lvlJc w:val="left"/>
      <w:pPr>
        <w:ind w:left="4095" w:hanging="256"/>
      </w:pPr>
      <w:rPr>
        <w:rFonts w:hint="default"/>
        <w:lang w:val="en-US" w:eastAsia="en-US" w:bidi="ar-SA"/>
      </w:rPr>
    </w:lvl>
    <w:lvl w:ilvl="5">
      <w:start w:val="0"/>
      <w:numFmt w:val="bullet"/>
      <w:lvlText w:val="•"/>
      <w:lvlJc w:val="left"/>
      <w:pPr>
        <w:ind w:left="5089" w:hanging="256"/>
      </w:pPr>
      <w:rPr>
        <w:rFonts w:hint="default"/>
        <w:lang w:val="en-US" w:eastAsia="en-US" w:bidi="ar-SA"/>
      </w:rPr>
    </w:lvl>
    <w:lvl w:ilvl="6">
      <w:start w:val="0"/>
      <w:numFmt w:val="bullet"/>
      <w:lvlText w:val="•"/>
      <w:lvlJc w:val="left"/>
      <w:pPr>
        <w:ind w:left="6083" w:hanging="256"/>
      </w:pPr>
      <w:rPr>
        <w:rFonts w:hint="default"/>
        <w:lang w:val="en-US" w:eastAsia="en-US" w:bidi="ar-SA"/>
      </w:rPr>
    </w:lvl>
    <w:lvl w:ilvl="7">
      <w:start w:val="0"/>
      <w:numFmt w:val="bullet"/>
      <w:lvlText w:val="•"/>
      <w:lvlJc w:val="left"/>
      <w:pPr>
        <w:ind w:left="7077" w:hanging="256"/>
      </w:pPr>
      <w:rPr>
        <w:rFonts w:hint="default"/>
        <w:lang w:val="en-US" w:eastAsia="en-US" w:bidi="ar-SA"/>
      </w:rPr>
    </w:lvl>
    <w:lvl w:ilvl="8">
      <w:start w:val="0"/>
      <w:numFmt w:val="bullet"/>
      <w:lvlText w:val="•"/>
      <w:lvlJc w:val="left"/>
      <w:pPr>
        <w:ind w:left="8071" w:hanging="256"/>
      </w:pPr>
      <w:rPr>
        <w:rFonts w:hint="default"/>
        <w:lang w:val="en-US" w:eastAsia="en-US" w:bidi="ar-SA"/>
      </w:rPr>
    </w:lvl>
  </w:abstractNum>
  <w:abstractNum w:abstractNumId="6">
    <w:multiLevelType w:val="hybridMultilevel"/>
    <w:lvl w:ilvl="0">
      <w:start w:val="7"/>
      <w:numFmt w:val="decimal"/>
      <w:lvlText w:val="%1."/>
      <w:lvlJc w:val="left"/>
      <w:pPr>
        <w:ind w:left="830" w:hanging="361"/>
        <w:jc w:val="left"/>
      </w:pPr>
      <w:rPr>
        <w:rFonts w:hint="default"/>
        <w:spacing w:val="-4"/>
        <w:w w:val="100"/>
        <w:lang w:val="en-US" w:eastAsia="en-US" w:bidi="ar-SA"/>
      </w:rPr>
    </w:lvl>
    <w:lvl w:ilvl="1">
      <w:start w:val="0"/>
      <w:numFmt w:val="bullet"/>
      <w:lvlText w:val="•"/>
      <w:lvlJc w:val="left"/>
      <w:pPr>
        <w:ind w:left="1761" w:hanging="361"/>
      </w:pPr>
      <w:rPr>
        <w:rFonts w:hint="default"/>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5">
    <w:multiLevelType w:val="hybridMultilevel"/>
    <w:lvl w:ilvl="0">
      <w:start w:val="1"/>
      <w:numFmt w:val="decimal"/>
      <w:lvlText w:val="%1."/>
      <w:lvlJc w:val="left"/>
      <w:pPr>
        <w:ind w:left="830" w:hanging="361"/>
        <w:jc w:val="left"/>
      </w:pPr>
      <w:rPr>
        <w:rFonts w:hint="default" w:ascii="Arial" w:hAnsi="Arial" w:eastAsia="Arial" w:cs="Arial"/>
        <w:b w:val="0"/>
        <w:bCs w:val="0"/>
        <w:i w:val="0"/>
        <w:iCs w:val="0"/>
        <w:spacing w:val="-4"/>
        <w:w w:val="100"/>
        <w:sz w:val="24"/>
        <w:szCs w:val="24"/>
        <w:lang w:val="en-US" w:eastAsia="en-US" w:bidi="ar-SA"/>
      </w:rPr>
    </w:lvl>
    <w:lvl w:ilvl="1">
      <w:start w:val="1"/>
      <w:numFmt w:val="decimal"/>
      <w:lvlText w:val="%2."/>
      <w:lvlJc w:val="left"/>
      <w:pPr>
        <w:ind w:left="830" w:hanging="361"/>
        <w:jc w:val="left"/>
      </w:pPr>
      <w:rPr>
        <w:rFonts w:hint="default" w:ascii="Arial" w:hAnsi="Arial" w:eastAsia="Arial" w:cs="Arial"/>
        <w:b w:val="0"/>
        <w:bCs w:val="0"/>
        <w:i w:val="0"/>
        <w:iCs w:val="0"/>
        <w:spacing w:val="-4"/>
        <w:w w:val="100"/>
        <w:sz w:val="24"/>
        <w:szCs w:val="24"/>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4">
    <w:multiLevelType w:val="hybridMultilevel"/>
    <w:lvl w:ilvl="0">
      <w:start w:val="1"/>
      <w:numFmt w:val="decimal"/>
      <w:lvlText w:val="%1."/>
      <w:lvlJc w:val="left"/>
      <w:pPr>
        <w:ind w:left="830" w:hanging="361"/>
        <w:jc w:val="left"/>
      </w:pPr>
      <w:rPr>
        <w:rFonts w:hint="default" w:ascii="Arial" w:hAnsi="Arial" w:eastAsia="Arial" w:cs="Arial"/>
        <w:b w:val="0"/>
        <w:bCs w:val="0"/>
        <w:i w:val="0"/>
        <w:iCs w:val="0"/>
        <w:spacing w:val="-4"/>
        <w:w w:val="100"/>
        <w:sz w:val="24"/>
        <w:szCs w:val="24"/>
        <w:lang w:val="en-US" w:eastAsia="en-US" w:bidi="ar-SA"/>
      </w:rPr>
    </w:lvl>
    <w:lvl w:ilvl="1">
      <w:start w:val="0"/>
      <w:numFmt w:val="bullet"/>
      <w:lvlText w:val="•"/>
      <w:lvlJc w:val="left"/>
      <w:pPr>
        <w:ind w:left="1761" w:hanging="361"/>
      </w:pPr>
      <w:rPr>
        <w:rFonts w:hint="default"/>
        <w:lang w:val="en-US" w:eastAsia="en-US" w:bidi="ar-SA"/>
      </w:rPr>
    </w:lvl>
    <w:lvl w:ilvl="2">
      <w:start w:val="0"/>
      <w:numFmt w:val="bullet"/>
      <w:lvlText w:val="•"/>
      <w:lvlJc w:val="left"/>
      <w:pPr>
        <w:ind w:left="2683"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27" w:hanging="361"/>
      </w:pPr>
      <w:rPr>
        <w:rFonts w:hint="default"/>
        <w:lang w:val="en-US" w:eastAsia="en-US" w:bidi="ar-SA"/>
      </w:rPr>
    </w:lvl>
    <w:lvl w:ilvl="5">
      <w:start w:val="0"/>
      <w:numFmt w:val="bullet"/>
      <w:lvlText w:val="•"/>
      <w:lvlJc w:val="left"/>
      <w:pPr>
        <w:ind w:left="5449" w:hanging="361"/>
      </w:pPr>
      <w:rPr>
        <w:rFonts w:hint="default"/>
        <w:lang w:val="en-US" w:eastAsia="en-US" w:bidi="ar-SA"/>
      </w:rPr>
    </w:lvl>
    <w:lvl w:ilvl="6">
      <w:start w:val="0"/>
      <w:numFmt w:val="bullet"/>
      <w:lvlText w:val="•"/>
      <w:lvlJc w:val="left"/>
      <w:pPr>
        <w:ind w:left="6371" w:hanging="361"/>
      </w:pPr>
      <w:rPr>
        <w:rFonts w:hint="default"/>
        <w:lang w:val="en-US" w:eastAsia="en-US" w:bidi="ar-SA"/>
      </w:rPr>
    </w:lvl>
    <w:lvl w:ilvl="7">
      <w:start w:val="0"/>
      <w:numFmt w:val="bullet"/>
      <w:lvlText w:val="•"/>
      <w:lvlJc w:val="left"/>
      <w:pPr>
        <w:ind w:left="7293" w:hanging="361"/>
      </w:pPr>
      <w:rPr>
        <w:rFonts w:hint="default"/>
        <w:lang w:val="en-US" w:eastAsia="en-US" w:bidi="ar-SA"/>
      </w:rPr>
    </w:lvl>
    <w:lvl w:ilvl="8">
      <w:start w:val="0"/>
      <w:numFmt w:val="bullet"/>
      <w:lvlText w:val="•"/>
      <w:lvlJc w:val="left"/>
      <w:pPr>
        <w:ind w:left="8215" w:hanging="361"/>
      </w:pPr>
      <w:rPr>
        <w:rFonts w:hint="default"/>
        <w:lang w:val="en-US" w:eastAsia="en-US" w:bidi="ar-SA"/>
      </w:rPr>
    </w:lvl>
  </w:abstractNum>
  <w:abstractNum w:abstractNumId="3">
    <w:multiLevelType w:val="hybridMultilevel"/>
    <w:lvl w:ilvl="0">
      <w:start w:val="2"/>
      <w:numFmt w:val="decimal"/>
      <w:lvlText w:val="%1"/>
      <w:lvlJc w:val="left"/>
      <w:pPr>
        <w:ind w:left="590" w:hanging="541"/>
        <w:jc w:val="left"/>
      </w:pPr>
      <w:rPr>
        <w:rFonts w:hint="default"/>
        <w:lang w:val="en-US" w:eastAsia="en-US" w:bidi="ar-SA"/>
      </w:rPr>
    </w:lvl>
    <w:lvl w:ilvl="1">
      <w:start w:val="1"/>
      <w:numFmt w:val="decimal"/>
      <w:lvlText w:val="%1.%2"/>
      <w:lvlJc w:val="left"/>
      <w:pPr>
        <w:ind w:left="590" w:hanging="541"/>
        <w:jc w:val="left"/>
      </w:pPr>
      <w:rPr>
        <w:rFonts w:hint="default" w:ascii="Arial" w:hAnsi="Arial" w:eastAsia="Arial" w:cs="Arial"/>
        <w:b w:val="0"/>
        <w:bCs w:val="0"/>
        <w:i w:val="0"/>
        <w:iCs w:val="0"/>
        <w:spacing w:val="0"/>
        <w:w w:val="100"/>
        <w:sz w:val="32"/>
        <w:szCs w:val="32"/>
        <w:lang w:val="en-US" w:eastAsia="en-US" w:bidi="ar-SA"/>
      </w:rPr>
    </w:lvl>
    <w:lvl w:ilvl="2">
      <w:start w:val="1"/>
      <w:numFmt w:val="decimal"/>
      <w:lvlText w:val="%3."/>
      <w:lvlJc w:val="left"/>
      <w:pPr>
        <w:ind w:left="1421" w:hanging="541"/>
        <w:jc w:val="left"/>
      </w:pPr>
      <w:rPr>
        <w:rFonts w:hint="default" w:ascii="Calibri" w:hAnsi="Calibri" w:eastAsia="Calibri" w:cs="Calibri"/>
        <w:b w:val="0"/>
        <w:bCs w:val="0"/>
        <w:i w:val="0"/>
        <w:iCs w:val="0"/>
        <w:spacing w:val="-6"/>
        <w:w w:val="108"/>
        <w:sz w:val="36"/>
        <w:szCs w:val="36"/>
        <w:lang w:val="en-US" w:eastAsia="en-US" w:bidi="ar-SA"/>
      </w:rPr>
    </w:lvl>
    <w:lvl w:ilvl="3">
      <w:start w:val="0"/>
      <w:numFmt w:val="bullet"/>
      <w:lvlText w:val="•"/>
      <w:lvlJc w:val="left"/>
      <w:pPr>
        <w:ind w:left="2612" w:hanging="541"/>
      </w:pPr>
      <w:rPr>
        <w:rFonts w:hint="default"/>
        <w:lang w:val="en-US" w:eastAsia="en-US" w:bidi="ar-SA"/>
      </w:rPr>
    </w:lvl>
    <w:lvl w:ilvl="4">
      <w:start w:val="0"/>
      <w:numFmt w:val="bullet"/>
      <w:lvlText w:val="•"/>
      <w:lvlJc w:val="left"/>
      <w:pPr>
        <w:ind w:left="3208" w:hanging="541"/>
      </w:pPr>
      <w:rPr>
        <w:rFonts w:hint="default"/>
        <w:lang w:val="en-US" w:eastAsia="en-US" w:bidi="ar-SA"/>
      </w:rPr>
    </w:lvl>
    <w:lvl w:ilvl="5">
      <w:start w:val="0"/>
      <w:numFmt w:val="bullet"/>
      <w:lvlText w:val="•"/>
      <w:lvlJc w:val="left"/>
      <w:pPr>
        <w:ind w:left="3804" w:hanging="541"/>
      </w:pPr>
      <w:rPr>
        <w:rFonts w:hint="default"/>
        <w:lang w:val="en-US" w:eastAsia="en-US" w:bidi="ar-SA"/>
      </w:rPr>
    </w:lvl>
    <w:lvl w:ilvl="6">
      <w:start w:val="0"/>
      <w:numFmt w:val="bullet"/>
      <w:lvlText w:val="•"/>
      <w:lvlJc w:val="left"/>
      <w:pPr>
        <w:ind w:left="4400" w:hanging="541"/>
      </w:pPr>
      <w:rPr>
        <w:rFonts w:hint="default"/>
        <w:lang w:val="en-US" w:eastAsia="en-US" w:bidi="ar-SA"/>
      </w:rPr>
    </w:lvl>
    <w:lvl w:ilvl="7">
      <w:start w:val="0"/>
      <w:numFmt w:val="bullet"/>
      <w:lvlText w:val="•"/>
      <w:lvlJc w:val="left"/>
      <w:pPr>
        <w:ind w:left="4996" w:hanging="541"/>
      </w:pPr>
      <w:rPr>
        <w:rFonts w:hint="default"/>
        <w:lang w:val="en-US" w:eastAsia="en-US" w:bidi="ar-SA"/>
      </w:rPr>
    </w:lvl>
    <w:lvl w:ilvl="8">
      <w:start w:val="0"/>
      <w:numFmt w:val="bullet"/>
      <w:lvlText w:val="•"/>
      <w:lvlJc w:val="left"/>
      <w:pPr>
        <w:ind w:left="5593" w:hanging="541"/>
      </w:pPr>
      <w:rPr>
        <w:rFonts w:hint="default"/>
        <w:lang w:val="en-US" w:eastAsia="en-US" w:bidi="ar-SA"/>
      </w:rPr>
    </w:lvl>
  </w:abstractNum>
  <w:abstractNum w:abstractNumId="2">
    <w:multiLevelType w:val="hybridMultilevel"/>
    <w:lvl w:ilvl="0">
      <w:start w:val="1"/>
      <w:numFmt w:val="decimal"/>
      <w:lvlText w:val="%1"/>
      <w:lvlJc w:val="left"/>
      <w:pPr>
        <w:ind w:left="1131" w:hanging="541"/>
        <w:jc w:val="left"/>
      </w:pPr>
      <w:rPr>
        <w:rFonts w:hint="default"/>
        <w:lang w:val="en-US" w:eastAsia="en-US" w:bidi="ar-SA"/>
      </w:rPr>
    </w:lvl>
    <w:lvl w:ilvl="1">
      <w:start w:val="1"/>
      <w:numFmt w:val="decimal"/>
      <w:lvlText w:val="%1.%2"/>
      <w:lvlJc w:val="left"/>
      <w:pPr>
        <w:ind w:left="1131" w:hanging="541"/>
        <w:jc w:val="left"/>
      </w:pPr>
      <w:rPr>
        <w:rFonts w:hint="default" w:ascii="Arial" w:hAnsi="Arial" w:eastAsia="Arial" w:cs="Arial"/>
        <w:b w:val="0"/>
        <w:bCs w:val="0"/>
        <w:i w:val="0"/>
        <w:iCs w:val="0"/>
        <w:spacing w:val="0"/>
        <w:w w:val="100"/>
        <w:sz w:val="32"/>
        <w:szCs w:val="32"/>
        <w:lang w:val="en-US" w:eastAsia="en-US" w:bidi="ar-SA"/>
      </w:rPr>
    </w:lvl>
    <w:lvl w:ilvl="2">
      <w:start w:val="0"/>
      <w:numFmt w:val="bullet"/>
      <w:lvlText w:val="•"/>
      <w:lvlJc w:val="left"/>
      <w:pPr>
        <w:ind w:left="2953" w:hanging="541"/>
      </w:pPr>
      <w:rPr>
        <w:rFonts w:hint="default"/>
        <w:lang w:val="en-US" w:eastAsia="en-US" w:bidi="ar-SA"/>
      </w:rPr>
    </w:lvl>
    <w:lvl w:ilvl="3">
      <w:start w:val="0"/>
      <w:numFmt w:val="bullet"/>
      <w:lvlText w:val="•"/>
      <w:lvlJc w:val="left"/>
      <w:pPr>
        <w:ind w:left="3859" w:hanging="541"/>
      </w:pPr>
      <w:rPr>
        <w:rFonts w:hint="default"/>
        <w:lang w:val="en-US" w:eastAsia="en-US" w:bidi="ar-SA"/>
      </w:rPr>
    </w:lvl>
    <w:lvl w:ilvl="4">
      <w:start w:val="0"/>
      <w:numFmt w:val="bullet"/>
      <w:lvlText w:val="•"/>
      <w:lvlJc w:val="left"/>
      <w:pPr>
        <w:ind w:left="4766" w:hanging="541"/>
      </w:pPr>
      <w:rPr>
        <w:rFonts w:hint="default"/>
        <w:lang w:val="en-US" w:eastAsia="en-US" w:bidi="ar-SA"/>
      </w:rPr>
    </w:lvl>
    <w:lvl w:ilvl="5">
      <w:start w:val="0"/>
      <w:numFmt w:val="bullet"/>
      <w:lvlText w:val="•"/>
      <w:lvlJc w:val="left"/>
      <w:pPr>
        <w:ind w:left="5672" w:hanging="541"/>
      </w:pPr>
      <w:rPr>
        <w:rFonts w:hint="default"/>
        <w:lang w:val="en-US" w:eastAsia="en-US" w:bidi="ar-SA"/>
      </w:rPr>
    </w:lvl>
    <w:lvl w:ilvl="6">
      <w:start w:val="0"/>
      <w:numFmt w:val="bullet"/>
      <w:lvlText w:val="•"/>
      <w:lvlJc w:val="left"/>
      <w:pPr>
        <w:ind w:left="6579" w:hanging="541"/>
      </w:pPr>
      <w:rPr>
        <w:rFonts w:hint="default"/>
        <w:lang w:val="en-US" w:eastAsia="en-US" w:bidi="ar-SA"/>
      </w:rPr>
    </w:lvl>
    <w:lvl w:ilvl="7">
      <w:start w:val="0"/>
      <w:numFmt w:val="bullet"/>
      <w:lvlText w:val="•"/>
      <w:lvlJc w:val="left"/>
      <w:pPr>
        <w:ind w:left="7485" w:hanging="541"/>
      </w:pPr>
      <w:rPr>
        <w:rFonts w:hint="default"/>
        <w:lang w:val="en-US" w:eastAsia="en-US" w:bidi="ar-SA"/>
      </w:rPr>
    </w:lvl>
    <w:lvl w:ilvl="8">
      <w:start w:val="0"/>
      <w:numFmt w:val="bullet"/>
      <w:lvlText w:val="•"/>
      <w:lvlJc w:val="left"/>
      <w:pPr>
        <w:ind w:left="8392" w:hanging="541"/>
      </w:pPr>
      <w:rPr>
        <w:rFonts w:hint="default"/>
        <w:lang w:val="en-US" w:eastAsia="en-US" w:bidi="ar-SA"/>
      </w:rPr>
    </w:lvl>
  </w:abstractNum>
  <w:abstractNum w:abstractNumId="1">
    <w:multiLevelType w:val="hybridMultilevel"/>
    <w:lvl w:ilvl="0">
      <w:start w:val="1"/>
      <w:numFmt w:val="decimal"/>
      <w:lvlText w:val="%1"/>
      <w:lvlJc w:val="left"/>
      <w:pPr>
        <w:ind w:left="860" w:hanging="270"/>
        <w:jc w:val="right"/>
      </w:pPr>
      <w:rPr>
        <w:rFonts w:hint="default" w:ascii="Arial" w:hAnsi="Arial" w:eastAsia="Arial" w:cs="Arial"/>
        <w:b w:val="0"/>
        <w:bCs w:val="0"/>
        <w:i w:val="0"/>
        <w:iCs w:val="0"/>
        <w:spacing w:val="0"/>
        <w:w w:val="100"/>
        <w:sz w:val="32"/>
        <w:szCs w:val="32"/>
        <w:lang w:val="en-US" w:eastAsia="en-US" w:bidi="ar-SA"/>
      </w:rPr>
    </w:lvl>
    <w:lvl w:ilvl="1">
      <w:start w:val="1"/>
      <w:numFmt w:val="decimal"/>
      <w:lvlText w:val="%1.%2"/>
      <w:lvlJc w:val="left"/>
      <w:pPr>
        <w:ind w:left="6796" w:hanging="6623"/>
        <w:jc w:val="right"/>
      </w:pPr>
      <w:rPr>
        <w:rFonts w:hint="default"/>
        <w:spacing w:val="-1"/>
        <w:w w:val="100"/>
        <w:lang w:val="en-US" w:eastAsia="en-US" w:bidi="ar-SA"/>
      </w:rPr>
    </w:lvl>
    <w:lvl w:ilvl="2">
      <w:start w:val="0"/>
      <w:numFmt w:val="bullet"/>
      <w:lvlText w:val="•"/>
      <w:lvlJc w:val="left"/>
      <w:pPr>
        <w:ind w:left="7520" w:hanging="6623"/>
      </w:pPr>
      <w:rPr>
        <w:rFonts w:hint="default"/>
        <w:lang w:val="en-US" w:eastAsia="en-US" w:bidi="ar-SA"/>
      </w:rPr>
    </w:lvl>
    <w:lvl w:ilvl="3">
      <w:start w:val="0"/>
      <w:numFmt w:val="bullet"/>
      <w:lvlText w:val="•"/>
      <w:lvlJc w:val="left"/>
      <w:pPr>
        <w:ind w:left="7713" w:hanging="6623"/>
      </w:pPr>
      <w:rPr>
        <w:rFonts w:hint="default"/>
        <w:lang w:val="en-US" w:eastAsia="en-US" w:bidi="ar-SA"/>
      </w:rPr>
    </w:lvl>
    <w:lvl w:ilvl="4">
      <w:start w:val="0"/>
      <w:numFmt w:val="bullet"/>
      <w:lvlText w:val="•"/>
      <w:lvlJc w:val="left"/>
      <w:pPr>
        <w:ind w:left="7907" w:hanging="6623"/>
      </w:pPr>
      <w:rPr>
        <w:rFonts w:hint="default"/>
        <w:lang w:val="en-US" w:eastAsia="en-US" w:bidi="ar-SA"/>
      </w:rPr>
    </w:lvl>
    <w:lvl w:ilvl="5">
      <w:start w:val="0"/>
      <w:numFmt w:val="bullet"/>
      <w:lvlText w:val="•"/>
      <w:lvlJc w:val="left"/>
      <w:pPr>
        <w:ind w:left="8101" w:hanging="6623"/>
      </w:pPr>
      <w:rPr>
        <w:rFonts w:hint="default"/>
        <w:lang w:val="en-US" w:eastAsia="en-US" w:bidi="ar-SA"/>
      </w:rPr>
    </w:lvl>
    <w:lvl w:ilvl="6">
      <w:start w:val="0"/>
      <w:numFmt w:val="bullet"/>
      <w:lvlText w:val="•"/>
      <w:lvlJc w:val="left"/>
      <w:pPr>
        <w:ind w:left="8295" w:hanging="6623"/>
      </w:pPr>
      <w:rPr>
        <w:rFonts w:hint="default"/>
        <w:lang w:val="en-US" w:eastAsia="en-US" w:bidi="ar-SA"/>
      </w:rPr>
    </w:lvl>
    <w:lvl w:ilvl="7">
      <w:start w:val="0"/>
      <w:numFmt w:val="bullet"/>
      <w:lvlText w:val="•"/>
      <w:lvlJc w:val="left"/>
      <w:pPr>
        <w:ind w:left="8489" w:hanging="6623"/>
      </w:pPr>
      <w:rPr>
        <w:rFonts w:hint="default"/>
        <w:lang w:val="en-US" w:eastAsia="en-US" w:bidi="ar-SA"/>
      </w:rPr>
    </w:lvl>
    <w:lvl w:ilvl="8">
      <w:start w:val="0"/>
      <w:numFmt w:val="bullet"/>
      <w:lvlText w:val="•"/>
      <w:lvlJc w:val="left"/>
      <w:pPr>
        <w:ind w:left="8683" w:hanging="6623"/>
      </w:pPr>
      <w:rPr>
        <w:rFonts w:hint="default"/>
        <w:lang w:val="en-US" w:eastAsia="en-US" w:bidi="ar-SA"/>
      </w:rPr>
    </w:lvl>
  </w:abstractNum>
  <w:abstractNum w:abstractNumId="0">
    <w:multiLevelType w:val="hybridMultilevel"/>
    <w:lvl w:ilvl="0">
      <w:start w:val="1"/>
      <w:numFmt w:val="decimal"/>
      <w:lvlText w:val="%1"/>
      <w:lvlJc w:val="left"/>
      <w:pPr>
        <w:ind w:left="276" w:hanging="201"/>
        <w:jc w:val="left"/>
      </w:pPr>
      <w:rPr>
        <w:rFonts w:hint="default" w:ascii="Arial" w:hAnsi="Arial" w:eastAsia="Arial" w:cs="Arial"/>
        <w:b w:val="0"/>
        <w:bCs w:val="0"/>
        <w:i w:val="0"/>
        <w:iCs w:val="0"/>
        <w:color w:val="444850"/>
        <w:spacing w:val="0"/>
        <w:w w:val="100"/>
        <w:sz w:val="24"/>
        <w:szCs w:val="24"/>
        <w:lang w:val="en-US" w:eastAsia="en-US" w:bidi="ar-SA"/>
      </w:rPr>
    </w:lvl>
    <w:lvl w:ilvl="1">
      <w:start w:val="1"/>
      <w:numFmt w:val="decimal"/>
      <w:lvlText w:val="%1.%2"/>
      <w:lvlJc w:val="left"/>
      <w:pPr>
        <w:ind w:left="776" w:hanging="401"/>
        <w:jc w:val="left"/>
      </w:pPr>
      <w:rPr>
        <w:rFonts w:hint="default" w:ascii="Arial" w:hAnsi="Arial" w:eastAsia="Arial" w:cs="Arial"/>
        <w:b w:val="0"/>
        <w:bCs w:val="0"/>
        <w:i w:val="0"/>
        <w:iCs w:val="0"/>
        <w:color w:val="444850"/>
        <w:spacing w:val="0"/>
        <w:w w:val="100"/>
        <w:sz w:val="24"/>
        <w:szCs w:val="24"/>
        <w:lang w:val="en-US" w:eastAsia="en-US" w:bidi="ar-SA"/>
      </w:rPr>
    </w:lvl>
    <w:lvl w:ilvl="2">
      <w:start w:val="0"/>
      <w:numFmt w:val="bullet"/>
      <w:lvlText w:val="•"/>
      <w:lvlJc w:val="left"/>
      <w:pPr>
        <w:ind w:left="1706" w:hanging="401"/>
      </w:pPr>
      <w:rPr>
        <w:rFonts w:hint="default"/>
        <w:lang w:val="en-US" w:eastAsia="en-US" w:bidi="ar-SA"/>
      </w:rPr>
    </w:lvl>
    <w:lvl w:ilvl="3">
      <w:start w:val="0"/>
      <w:numFmt w:val="bullet"/>
      <w:lvlText w:val="•"/>
      <w:lvlJc w:val="left"/>
      <w:pPr>
        <w:ind w:left="2633" w:hanging="401"/>
      </w:pPr>
      <w:rPr>
        <w:rFonts w:hint="default"/>
        <w:lang w:val="en-US" w:eastAsia="en-US" w:bidi="ar-SA"/>
      </w:rPr>
    </w:lvl>
    <w:lvl w:ilvl="4">
      <w:start w:val="0"/>
      <w:numFmt w:val="bullet"/>
      <w:lvlText w:val="•"/>
      <w:lvlJc w:val="left"/>
      <w:pPr>
        <w:ind w:left="3560" w:hanging="401"/>
      </w:pPr>
      <w:rPr>
        <w:rFonts w:hint="default"/>
        <w:lang w:val="en-US" w:eastAsia="en-US" w:bidi="ar-SA"/>
      </w:rPr>
    </w:lvl>
    <w:lvl w:ilvl="5">
      <w:start w:val="0"/>
      <w:numFmt w:val="bullet"/>
      <w:lvlText w:val="•"/>
      <w:lvlJc w:val="left"/>
      <w:pPr>
        <w:ind w:left="4487" w:hanging="401"/>
      </w:pPr>
      <w:rPr>
        <w:rFonts w:hint="default"/>
        <w:lang w:val="en-US" w:eastAsia="en-US" w:bidi="ar-SA"/>
      </w:rPr>
    </w:lvl>
    <w:lvl w:ilvl="6">
      <w:start w:val="0"/>
      <w:numFmt w:val="bullet"/>
      <w:lvlText w:val="•"/>
      <w:lvlJc w:val="left"/>
      <w:pPr>
        <w:ind w:left="5414" w:hanging="401"/>
      </w:pPr>
      <w:rPr>
        <w:rFonts w:hint="default"/>
        <w:lang w:val="en-US" w:eastAsia="en-US" w:bidi="ar-SA"/>
      </w:rPr>
    </w:lvl>
    <w:lvl w:ilvl="7">
      <w:start w:val="0"/>
      <w:numFmt w:val="bullet"/>
      <w:lvlText w:val="•"/>
      <w:lvlJc w:val="left"/>
      <w:pPr>
        <w:ind w:left="6341" w:hanging="401"/>
      </w:pPr>
      <w:rPr>
        <w:rFonts w:hint="default"/>
        <w:lang w:val="en-US" w:eastAsia="en-US" w:bidi="ar-SA"/>
      </w:rPr>
    </w:lvl>
    <w:lvl w:ilvl="8">
      <w:start w:val="0"/>
      <w:numFmt w:val="bullet"/>
      <w:lvlText w:val="•"/>
      <w:lvlJc w:val="left"/>
      <w:pPr>
        <w:ind w:left="7268" w:hanging="401"/>
      </w:pPr>
      <w:rPr>
        <w:rFonts w:hint="default"/>
        <w:lang w:val="en-US" w:eastAsia="en-US" w:bidi="ar-SA"/>
      </w:rPr>
    </w:lvl>
  </w:abstract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101"/>
      <w:ind w:left="675"/>
    </w:pPr>
    <w:rPr>
      <w:rFonts w:ascii="Verdana" w:hAnsi="Verdana" w:eastAsia="Verdana" w:cs="Verdana"/>
      <w:sz w:val="18"/>
      <w:szCs w:val="18"/>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79"/>
      <w:ind w:left="1421"/>
      <w:outlineLvl w:val="1"/>
    </w:pPr>
    <w:rPr>
      <w:rFonts w:ascii="Calibri" w:hAnsi="Calibri" w:eastAsia="Calibri" w:cs="Calibri"/>
      <w:sz w:val="36"/>
      <w:szCs w:val="36"/>
      <w:lang w:val="en-US" w:eastAsia="en-US" w:bidi="ar-SA"/>
    </w:rPr>
  </w:style>
  <w:style w:styleId="Heading2" w:type="paragraph">
    <w:name w:val="Heading 2"/>
    <w:basedOn w:val="Normal"/>
    <w:uiPriority w:val="1"/>
    <w:qFormat/>
    <w:pPr>
      <w:spacing w:before="90"/>
      <w:ind w:left="23"/>
      <w:outlineLvl w:val="2"/>
    </w:pPr>
    <w:rPr>
      <w:rFonts w:ascii="Arial" w:hAnsi="Arial" w:eastAsia="Arial" w:cs="Arial"/>
      <w:sz w:val="32"/>
      <w:szCs w:val="32"/>
      <w:lang w:val="en-US" w:eastAsia="en-US" w:bidi="ar-SA"/>
    </w:rPr>
  </w:style>
  <w:style w:styleId="Heading3" w:type="paragraph">
    <w:name w:val="Heading 3"/>
    <w:basedOn w:val="Normal"/>
    <w:uiPriority w:val="1"/>
    <w:qFormat/>
    <w:pPr>
      <w:ind w:left="1009" w:hanging="565"/>
      <w:outlineLvl w:val="3"/>
    </w:pPr>
    <w:rPr>
      <w:rFonts w:ascii="Segoe UI" w:hAnsi="Segoe UI" w:eastAsia="Segoe UI" w:cs="Segoe UI"/>
      <w:b/>
      <w:bCs/>
      <w:sz w:val="30"/>
      <w:szCs w:val="30"/>
      <w:lang w:val="en-US" w:eastAsia="en-US" w:bidi="ar-SA"/>
    </w:rPr>
  </w:style>
  <w:style w:styleId="Heading4" w:type="paragraph">
    <w:name w:val="Heading 4"/>
    <w:basedOn w:val="Normal"/>
    <w:uiPriority w:val="1"/>
    <w:qFormat/>
    <w:pPr>
      <w:spacing w:before="198"/>
      <w:outlineLvl w:val="4"/>
    </w:pPr>
    <w:rPr>
      <w:rFonts w:ascii="Arial" w:hAnsi="Arial" w:eastAsia="Arial" w:cs="Arial"/>
      <w:b/>
      <w:bCs/>
      <w:sz w:val="28"/>
      <w:szCs w:val="28"/>
      <w:lang w:val="en-US" w:eastAsia="en-US" w:bidi="ar-SA"/>
    </w:rPr>
  </w:style>
  <w:style w:styleId="Heading5" w:type="paragraph">
    <w:name w:val="Heading 5"/>
    <w:basedOn w:val="Normal"/>
    <w:uiPriority w:val="1"/>
    <w:qFormat/>
    <w:pPr>
      <w:spacing w:before="1"/>
      <w:ind w:left="142"/>
      <w:outlineLvl w:val="5"/>
    </w:pPr>
    <w:rPr>
      <w:rFonts w:ascii="Verdana" w:hAnsi="Verdana" w:eastAsia="Verdana" w:cs="Verdana"/>
      <w:sz w:val="28"/>
      <w:szCs w:val="28"/>
      <w:lang w:val="en-US" w:eastAsia="en-US" w:bidi="ar-SA"/>
    </w:rPr>
  </w:style>
  <w:style w:styleId="Heading6" w:type="paragraph">
    <w:name w:val="Heading 6"/>
    <w:basedOn w:val="Normal"/>
    <w:uiPriority w:val="1"/>
    <w:qFormat/>
    <w:pPr>
      <w:ind w:left="165"/>
      <w:jc w:val="center"/>
      <w:outlineLvl w:val="6"/>
    </w:pPr>
    <w:rPr>
      <w:rFonts w:ascii="Arial" w:hAnsi="Arial" w:eastAsia="Arial" w:cs="Arial"/>
      <w:b/>
      <w:bCs/>
      <w:sz w:val="27"/>
      <w:szCs w:val="27"/>
      <w:lang w:val="en-US" w:eastAsia="en-US" w:bidi="ar-SA"/>
    </w:rPr>
  </w:style>
  <w:style w:styleId="Heading7" w:type="paragraph">
    <w:name w:val="Heading 7"/>
    <w:basedOn w:val="Normal"/>
    <w:uiPriority w:val="1"/>
    <w:qFormat/>
    <w:pPr>
      <w:ind w:left="267"/>
      <w:jc w:val="center"/>
      <w:outlineLvl w:val="7"/>
    </w:pPr>
    <w:rPr>
      <w:rFonts w:ascii="Arial" w:hAnsi="Arial" w:eastAsia="Arial" w:cs="Arial"/>
      <w:sz w:val="27"/>
      <w:szCs w:val="27"/>
      <w:lang w:val="en-US" w:eastAsia="en-US" w:bidi="ar-SA"/>
    </w:rPr>
  </w:style>
  <w:style w:styleId="Heading8" w:type="paragraph">
    <w:name w:val="Heading 8"/>
    <w:basedOn w:val="Normal"/>
    <w:uiPriority w:val="1"/>
    <w:qFormat/>
    <w:pPr>
      <w:spacing w:before="162"/>
      <w:ind w:left="367" w:hanging="284"/>
      <w:outlineLvl w:val="8"/>
    </w:pPr>
    <w:rPr>
      <w:rFonts w:ascii="Arial" w:hAnsi="Arial" w:eastAsia="Arial" w:cs="Arial"/>
      <w:b/>
      <w:bCs/>
      <w:sz w:val="26"/>
      <w:szCs w:val="26"/>
      <w:lang w:val="en-US" w:eastAsia="en-US" w:bidi="ar-SA"/>
    </w:rPr>
  </w:style>
  <w:style w:styleId="Heading9" w:type="paragraph">
    <w:name w:val="Heading 9"/>
    <w:basedOn w:val="Normal"/>
    <w:uiPriority w:val="1"/>
    <w:qFormat/>
    <w:pPr>
      <w:jc w:val="center"/>
      <w:outlineLvl w:val="9"/>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852" w:hanging="710"/>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footer" Target="footer2.xml"/><Relationship Id="rId10" Type="http://schemas.openxmlformats.org/officeDocument/2006/relationships/hyperlink" Target="https://nhsproviders.org/resources/provider-collaboration-a-practical-guide-to-lawful-well-governed-collaboratives" TargetMode="External"/><Relationship Id="rId11" Type="http://schemas.openxmlformats.org/officeDocument/2006/relationships/hyperlink" Target="https://www.nhsconfed.org/publications/evolution-provider-collaboration" TargetMode="External"/><Relationship Id="rId12" Type="http://schemas.openxmlformats.org/officeDocument/2006/relationships/hyperlink" Target="https://www.england.nhs.uk/wp-content/uploads/2021/06/B0754-working-together-at-scale-guidance-on-provider-collaboratives.pdf" TargetMode="External"/><Relationship Id="rId13" Type="http://schemas.openxmlformats.org/officeDocument/2006/relationships/hyperlink" Target="https://www.kingsfund.org.uk/insight-and-analysis/long-reads/provider-collaboratives" TargetMode="External"/><Relationship Id="rId14" Type="http://schemas.openxmlformats.org/officeDocument/2006/relationships/hyperlink" Target="https://transform.england.nhs.uk/key-tools-and-info/centre-improving-data-collaboration/value-sharing-framework-for-nhs-data-partnerships/" TargetMode="External"/><Relationship Id="rId15" Type="http://schemas.openxmlformats.org/officeDocument/2006/relationships/hyperlink" Target="https://www.scie.org.uk/integrated-care/logic-model-for-integrated-care/" TargetMode="External"/><Relationship Id="rId16" Type="http://schemas.openxmlformats.org/officeDocument/2006/relationships/hyperlink" Target="https://www.bma.org.uk/media/fy3czsaf/bma-nhs-outsourcing-report-september-2024.pdf" TargetMode="External"/><Relationship Id="rId17" Type="http://schemas.openxmlformats.org/officeDocument/2006/relationships/hyperlink" Target="https://www.england.nhs.uk/wp-content/uploads/2018/12/nhs-operational-planning-and-contracting-guidance.pdf" TargetMode="External"/><Relationship Id="rId18" Type="http://schemas.openxmlformats.org/officeDocument/2006/relationships/footer" Target="footer3.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image" Target="media/image5.png"/><Relationship Id="rId23" Type="http://schemas.openxmlformats.org/officeDocument/2006/relationships/image" Target="media/image2.png"/><Relationship Id="rId24" Type="http://schemas.openxmlformats.org/officeDocument/2006/relationships/image" Target="media/image6.jpeg"/><Relationship Id="rId25" Type="http://schemas.openxmlformats.org/officeDocument/2006/relationships/image" Target="media/image7.jpeg"/><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image" Target="media/image8.jpeg"/><Relationship Id="rId29" Type="http://schemas.openxmlformats.org/officeDocument/2006/relationships/image" Target="media/image9.jpeg"/><Relationship Id="rId30" Type="http://schemas.openxmlformats.org/officeDocument/2006/relationships/image" Target="media/image10.png"/><Relationship Id="rId31" Type="http://schemas.openxmlformats.org/officeDocument/2006/relationships/image" Target="media/image11.png"/><Relationship Id="rId32" Type="http://schemas.openxmlformats.org/officeDocument/2006/relationships/image" Target="media/image12.png"/><Relationship Id="rId33" Type="http://schemas.openxmlformats.org/officeDocument/2006/relationships/image" Target="media/image13.png"/><Relationship Id="rId34" Type="http://schemas.openxmlformats.org/officeDocument/2006/relationships/image" Target="media/image14.png"/><Relationship Id="rId35" Type="http://schemas.openxmlformats.org/officeDocument/2006/relationships/image" Target="media/image15.png"/><Relationship Id="rId36" Type="http://schemas.openxmlformats.org/officeDocument/2006/relationships/image" Target="media/image16.png"/><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9.jpeg"/><Relationship Id="rId40" Type="http://schemas.openxmlformats.org/officeDocument/2006/relationships/image" Target="media/image20.jpeg"/><Relationship Id="rId41" Type="http://schemas.openxmlformats.org/officeDocument/2006/relationships/image" Target="media/image21.jpeg"/><Relationship Id="rId42" Type="http://schemas.openxmlformats.org/officeDocument/2006/relationships/image" Target="media/image22.jpeg"/><Relationship Id="rId43" Type="http://schemas.openxmlformats.org/officeDocument/2006/relationships/footer" Target="footer9.xml"/><Relationship Id="rId44" Type="http://schemas.openxmlformats.org/officeDocument/2006/relationships/image" Target="media/image23.png"/><Relationship Id="rId45" Type="http://schemas.openxmlformats.org/officeDocument/2006/relationships/image" Target="media/image24.png"/><Relationship Id="rId46" Type="http://schemas.openxmlformats.org/officeDocument/2006/relationships/footer" Target="footer10.xml"/><Relationship Id="rId47" Type="http://schemas.openxmlformats.org/officeDocument/2006/relationships/footer" Target="footer11.xml"/><Relationship Id="rId48" Type="http://schemas.openxmlformats.org/officeDocument/2006/relationships/footer" Target="footer12.xml"/><Relationship Id="rId49" Type="http://schemas.openxmlformats.org/officeDocument/2006/relationships/footer" Target="footer13.xml"/><Relationship Id="rId50" Type="http://schemas.openxmlformats.org/officeDocument/2006/relationships/image" Target="media/image25.jpeg"/><Relationship Id="rId51" Type="http://schemas.openxmlformats.org/officeDocument/2006/relationships/footer" Target="footer14.xml"/><Relationship Id="rId52" Type="http://schemas.openxmlformats.org/officeDocument/2006/relationships/footer" Target="footer15.xml"/><Relationship Id="rId53" Type="http://schemas.openxmlformats.org/officeDocument/2006/relationships/footer" Target="footer16.xml"/><Relationship Id="rId54" Type="http://schemas.openxmlformats.org/officeDocument/2006/relationships/footer" Target="footer17.xml"/><Relationship Id="rId55" Type="http://schemas.openxmlformats.org/officeDocument/2006/relationships/footer" Target="footer18.xml"/><Relationship Id="rId56" Type="http://schemas.openxmlformats.org/officeDocument/2006/relationships/image" Target="media/image26.jpeg"/><Relationship Id="rId57" Type="http://schemas.openxmlformats.org/officeDocument/2006/relationships/image" Target="media/image27.jpeg"/><Relationship Id="rId58" Type="http://schemas.openxmlformats.org/officeDocument/2006/relationships/image" Target="media/image28.jpeg"/><Relationship Id="rId59" Type="http://schemas.openxmlformats.org/officeDocument/2006/relationships/image" Target="media/image29.jpeg"/><Relationship Id="rId60" Type="http://schemas.openxmlformats.org/officeDocument/2006/relationships/hyperlink" Target="file://localhost/C:/Users/so001572/AppData/Local/Microsoft/Windows/INetCache/Content.Outlook/3TOSNSIO/Stroke%20Quality%20Statement" TargetMode="External"/><Relationship Id="rId61" Type="http://schemas.openxmlformats.org/officeDocument/2006/relationships/footer" Target="footer19.xml"/><Relationship Id="rId62" Type="http://schemas.openxmlformats.org/officeDocument/2006/relationships/image" Target="media/image30.jpeg"/><Relationship Id="rId63" Type="http://schemas.openxmlformats.org/officeDocument/2006/relationships/image" Target="media/image31.jpeg"/><Relationship Id="rId64" Type="http://schemas.openxmlformats.org/officeDocument/2006/relationships/footer" Target="footer20.xml"/><Relationship Id="rId65" Type="http://schemas.openxmlformats.org/officeDocument/2006/relationships/image" Target="media/image32.jpeg"/><Relationship Id="rId66" Type="http://schemas.openxmlformats.org/officeDocument/2006/relationships/image" Target="media/image33.jpeg"/><Relationship Id="rId67" Type="http://schemas.openxmlformats.org/officeDocument/2006/relationships/image" Target="media/image34.jpeg"/><Relationship Id="rId68" Type="http://schemas.openxmlformats.org/officeDocument/2006/relationships/footer" Target="footer21.xml"/><Relationship Id="rId69" Type="http://schemas.openxmlformats.org/officeDocument/2006/relationships/footer" Target="footer22.xml"/><Relationship Id="rId70" Type="http://schemas.openxmlformats.org/officeDocument/2006/relationships/footer" Target="footer23.xml"/><Relationship Id="rId71" Type="http://schemas.openxmlformats.org/officeDocument/2006/relationships/footer" Target="footer24.xml"/><Relationship Id="rId72" Type="http://schemas.openxmlformats.org/officeDocument/2006/relationships/image" Target="media/image35.jpeg"/><Relationship Id="rId73" Type="http://schemas.openxmlformats.org/officeDocument/2006/relationships/image" Target="media/image36.jpeg"/><Relationship Id="rId74" Type="http://schemas.openxmlformats.org/officeDocument/2006/relationships/image" Target="media/image37.jpeg"/><Relationship Id="rId75" Type="http://schemas.openxmlformats.org/officeDocument/2006/relationships/image" Target="media/image38.png"/><Relationship Id="rId76" Type="http://schemas.openxmlformats.org/officeDocument/2006/relationships/image" Target="media/image39.jpeg"/><Relationship Id="rId77" Type="http://schemas.openxmlformats.org/officeDocument/2006/relationships/image" Target="media/image40.png"/><Relationship Id="rId78" Type="http://schemas.openxmlformats.org/officeDocument/2006/relationships/image" Target="media/image41.png"/><Relationship Id="rId79" Type="http://schemas.openxmlformats.org/officeDocument/2006/relationships/image" Target="media/image42.jpeg"/><Relationship Id="rId80" Type="http://schemas.openxmlformats.org/officeDocument/2006/relationships/image" Target="media/image43.jpeg"/><Relationship Id="rId81" Type="http://schemas.openxmlformats.org/officeDocument/2006/relationships/footer" Target="footer25.xml"/><Relationship Id="rId82" Type="http://schemas.openxmlformats.org/officeDocument/2006/relationships/image" Target="media/image44.png"/><Relationship Id="rId83" Type="http://schemas.openxmlformats.org/officeDocument/2006/relationships/image" Target="media/image45.jpeg"/><Relationship Id="rId84" Type="http://schemas.openxmlformats.org/officeDocument/2006/relationships/image" Target="media/image46.png"/><Relationship Id="rId85" Type="http://schemas.openxmlformats.org/officeDocument/2006/relationships/image" Target="media/image47.png"/><Relationship Id="rId86" Type="http://schemas.openxmlformats.org/officeDocument/2006/relationships/footer" Target="footer26.xml"/><Relationship Id="rId87" Type="http://schemas.openxmlformats.org/officeDocument/2006/relationships/footer" Target="footer27.xml"/><Relationship Id="rId88" Type="http://schemas.openxmlformats.org/officeDocument/2006/relationships/image" Target="media/image48.png"/><Relationship Id="rId89" Type="http://schemas.openxmlformats.org/officeDocument/2006/relationships/image" Target="media/image49.png"/><Relationship Id="rId90" Type="http://schemas.openxmlformats.org/officeDocument/2006/relationships/image" Target="media/image50.png"/><Relationship Id="rId91" Type="http://schemas.openxmlformats.org/officeDocument/2006/relationships/image" Target="media/image51.png"/><Relationship Id="rId92" Type="http://schemas.openxmlformats.org/officeDocument/2006/relationships/image" Target="media/image52.png"/><Relationship Id="rId93" Type="http://schemas.openxmlformats.org/officeDocument/2006/relationships/footer" Target="footer28.xml"/><Relationship Id="rId94" Type="http://schemas.openxmlformats.org/officeDocument/2006/relationships/footer" Target="footer29.xml"/><Relationship Id="rId95" Type="http://schemas.openxmlformats.org/officeDocument/2006/relationships/footer" Target="footer30.xml"/><Relationship Id="rId96" Type="http://schemas.openxmlformats.org/officeDocument/2006/relationships/footer" Target="footer31.xml"/><Relationship Id="rId97" Type="http://schemas.openxmlformats.org/officeDocument/2006/relationships/footer" Target="footer32.xml"/><Relationship Id="rId98" Type="http://schemas.openxmlformats.org/officeDocument/2006/relationships/footer" Target="footer33.xml"/><Relationship Id="rId99" Type="http://schemas.openxmlformats.org/officeDocument/2006/relationships/image" Target="media/image53.jpeg"/><Relationship Id="rId100" Type="http://schemas.openxmlformats.org/officeDocument/2006/relationships/footer" Target="footer34.xml"/><Relationship Id="rId101" Type="http://schemas.openxmlformats.org/officeDocument/2006/relationships/footer" Target="footer35.xml"/><Relationship Id="rId102" Type="http://schemas.openxmlformats.org/officeDocument/2006/relationships/image" Target="media/image54.png"/><Relationship Id="rId103" Type="http://schemas.openxmlformats.org/officeDocument/2006/relationships/image" Target="media/image55.png"/><Relationship Id="rId104" Type="http://schemas.openxmlformats.org/officeDocument/2006/relationships/image" Target="media/image56.png"/><Relationship Id="rId105" Type="http://schemas.openxmlformats.org/officeDocument/2006/relationships/image" Target="media/image57.png"/><Relationship Id="rId106" Type="http://schemas.openxmlformats.org/officeDocument/2006/relationships/image" Target="media/image58.png"/><Relationship Id="rId107" Type="http://schemas.openxmlformats.org/officeDocument/2006/relationships/image" Target="media/image59.jpeg"/><Relationship Id="rId108" Type="http://schemas.openxmlformats.org/officeDocument/2006/relationships/image" Target="media/image60.jpeg"/><Relationship Id="rId109" Type="http://schemas.openxmlformats.org/officeDocument/2006/relationships/footer" Target="footer36.xml"/><Relationship Id="rId110" Type="http://schemas.openxmlformats.org/officeDocument/2006/relationships/image" Target="media/image61.png"/><Relationship Id="rId111" Type="http://schemas.openxmlformats.org/officeDocument/2006/relationships/footer" Target="footer37.xml"/><Relationship Id="rId112" Type="http://schemas.openxmlformats.org/officeDocument/2006/relationships/footer" Target="footer38.xml"/><Relationship Id="rId113" Type="http://schemas.openxmlformats.org/officeDocument/2006/relationships/footer" Target="footer39.xml"/><Relationship Id="rId114" Type="http://schemas.openxmlformats.org/officeDocument/2006/relationships/footer" Target="footer40.xml"/><Relationship Id="rId115" Type="http://schemas.openxmlformats.org/officeDocument/2006/relationships/footer" Target="footer41.xml"/><Relationship Id="rId116" Type="http://schemas.openxmlformats.org/officeDocument/2006/relationships/footer" Target="footer42.xml"/><Relationship Id="rId117" Type="http://schemas.openxmlformats.org/officeDocument/2006/relationships/footer" Target="footer43.xml"/><Relationship Id="rId118" Type="http://schemas.openxmlformats.org/officeDocument/2006/relationships/image" Target="media/image62.jpeg"/><Relationship Id="rId119" Type="http://schemas.openxmlformats.org/officeDocument/2006/relationships/image" Target="media/image63.jpeg"/><Relationship Id="rId120" Type="http://schemas.openxmlformats.org/officeDocument/2006/relationships/footer" Target="footer44.xml"/><Relationship Id="rId121" Type="http://schemas.openxmlformats.org/officeDocument/2006/relationships/footer" Target="footer45.xml"/><Relationship Id="rId122" Type="http://schemas.openxmlformats.org/officeDocument/2006/relationships/footer" Target="footer46.xml"/><Relationship Id="rId123" Type="http://schemas.openxmlformats.org/officeDocument/2006/relationships/footer" Target="footer47.xml"/><Relationship Id="rId12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20.jpeg"/><Relationship Id="rId3" Type="http://schemas.openxmlformats.org/officeDocument/2006/relationships/image" Target="media/image21.jpe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20.jpeg"/><Relationship Id="rId3" Type="http://schemas.openxmlformats.org/officeDocument/2006/relationships/image" Target="media/image21.jpeg"/></Relationships>

</file>

<file path=word/_rels/footer11.xml.rels><?xml version="1.0" encoding="UTF-8" standalone="yes"?>
<Relationships xmlns="http://schemas.openxmlformats.org/package/2006/relationships"><Relationship Id="rId1" Type="http://schemas.openxmlformats.org/officeDocument/2006/relationships/image" Target="media/image2.png"/></Relationships>

</file>

<file path=word/_rels/footer12.xml.rels><?xml version="1.0" encoding="UTF-8" standalone="yes"?>
<Relationships xmlns="http://schemas.openxmlformats.org/package/2006/relationships"><Relationship Id="rId1" Type="http://schemas.openxmlformats.org/officeDocument/2006/relationships/image" Target="media/image2.png"/></Relationships>

</file>

<file path=word/_rels/footer13.xml.rels><?xml version="1.0" encoding="UTF-8" standalone="yes"?>
<Relationships xmlns="http://schemas.openxmlformats.org/package/2006/relationships"><Relationship Id="rId1" Type="http://schemas.openxmlformats.org/officeDocument/2006/relationships/image" Target="media/image2.png"/></Relationships>

</file>

<file path=word/_rels/footer14.xml.rels><?xml version="1.0" encoding="UTF-8" standalone="yes"?>
<Relationships xmlns="http://schemas.openxmlformats.org/package/2006/relationships"><Relationship Id="rId1" Type="http://schemas.openxmlformats.org/officeDocument/2006/relationships/image" Target="media/image2.png"/></Relationships>

</file>

<file path=word/_rels/footer15.xml.rels><?xml version="1.0" encoding="UTF-8" standalone="yes"?>
<Relationships xmlns="http://schemas.openxmlformats.org/package/2006/relationships"><Relationship Id="rId1" Type="http://schemas.openxmlformats.org/officeDocument/2006/relationships/image" Target="media/image2.png"/></Relationships>

</file>

<file path=word/_rels/footer16.xml.rels><?xml version="1.0" encoding="UTF-8" standalone="yes"?>
<Relationships xmlns="http://schemas.openxmlformats.org/package/2006/relationships"><Relationship Id="rId1" Type="http://schemas.openxmlformats.org/officeDocument/2006/relationships/image" Target="media/image2.png"/></Relationships>

</file>

<file path=word/_rels/footer17.xml.rels><?xml version="1.0" encoding="UTF-8" standalone="yes"?>
<Relationships xmlns="http://schemas.openxmlformats.org/package/2006/relationships"><Relationship Id="rId1" Type="http://schemas.openxmlformats.org/officeDocument/2006/relationships/image" Target="media/image2.png"/></Relationships>

</file>

<file path=word/_rels/footer18.xml.rels><?xml version="1.0" encoding="UTF-8" standalone="yes"?>
<Relationships xmlns="http://schemas.openxmlformats.org/package/2006/relationships"><Relationship Id="rId1" Type="http://schemas.openxmlformats.org/officeDocument/2006/relationships/image" Target="media/image2.png"/></Relationships>

</file>

<file path=word/_rels/footer19.xml.rels><?xml version="1.0" encoding="UTF-8" standalone="yes"?>
<Relationships xmlns="http://schemas.openxmlformats.org/package/2006/relationships"><Relationship Id="rId1" Type="http://schemas.openxmlformats.org/officeDocument/2006/relationships/image" Target="media/image2.png"/></Relationships>

</file>

<file path=word/_rels/footer20.xml.rels><?xml version="1.0" encoding="UTF-8" standalone="yes"?>
<Relationships xmlns="http://schemas.openxmlformats.org/package/2006/relationships"><Relationship Id="rId1" Type="http://schemas.openxmlformats.org/officeDocument/2006/relationships/image" Target="media/image2.png"/></Relationships>

</file>

<file path=word/_rels/footer21.xml.rels><?xml version="1.0" encoding="UTF-8" standalone="yes"?>
<Relationships xmlns="http://schemas.openxmlformats.org/package/2006/relationships"><Relationship Id="rId1" Type="http://schemas.openxmlformats.org/officeDocument/2006/relationships/image" Target="media/image2.png"/></Relationships>

</file>

<file path=word/_rels/footer22.xml.rels><?xml version="1.0" encoding="UTF-8" standalone="yes"?>
<Relationships xmlns="http://schemas.openxmlformats.org/package/2006/relationships"><Relationship Id="rId1" Type="http://schemas.openxmlformats.org/officeDocument/2006/relationships/image" Target="media/image2.png"/></Relationships>

</file>

<file path=word/_rels/footer23.xml.rels><?xml version="1.0" encoding="UTF-8" standalone="yes"?>
<Relationships xmlns="http://schemas.openxmlformats.org/package/2006/relationships"><Relationship Id="rId1" Type="http://schemas.openxmlformats.org/officeDocument/2006/relationships/image" Target="media/image2.png"/></Relationships>

</file>

<file path=word/_rels/footer24.xml.rels><?xml version="1.0" encoding="UTF-8" standalone="yes"?>
<Relationships xmlns="http://schemas.openxmlformats.org/package/2006/relationships"><Relationship Id="rId1" Type="http://schemas.openxmlformats.org/officeDocument/2006/relationships/image" Target="media/image2.png"/></Relationships>

</file>

<file path=word/_rels/footer36.xml.rels><?xml version="1.0" encoding="UTF-8" standalone="yes"?>
<Relationships xmlns="http://schemas.openxmlformats.org/package/2006/relationships"><Relationship Id="rId1" Type="http://schemas.openxmlformats.org/officeDocument/2006/relationships/image" Target="media/image2.png"/></Relationships>

</file>

<file path=word/_rels/footer38.xml.rels><?xml version="1.0" encoding="UTF-8" standalone="yes"?>
<Relationships xmlns="http://schemas.openxmlformats.org/package/2006/relationships"><Relationship Id="rId1" Type="http://schemas.openxmlformats.org/officeDocument/2006/relationships/image" Target="media/image2.png"/></Relationships>

</file>

<file path=word/_rels/footer40.xml.rels><?xml version="1.0" encoding="UTF-8" standalone="yes"?>
<Relationships xmlns="http://schemas.openxmlformats.org/package/2006/relationships"><Relationship Id="rId1" Type="http://schemas.openxmlformats.org/officeDocument/2006/relationships/image" Target="media/image2.png"/></Relationships>

</file>

<file path=word/_rels/footer42.xml.rels><?xml version="1.0" encoding="UTF-8" standalone="yes"?>
<Relationships xmlns="http://schemas.openxmlformats.org/package/2006/relationships"><Relationship Id="rId1" Type="http://schemas.openxmlformats.org/officeDocument/2006/relationships/image" Target="media/image2.png"/></Relationships>

</file>

<file path=word/_rels/footer43.xml.rels><?xml version="1.0" encoding="UTF-8" standalone="yes"?>
<Relationships xmlns="http://schemas.openxmlformats.org/package/2006/relationships"><Relationship Id="rId1" Type="http://schemas.openxmlformats.org/officeDocument/2006/relationships/image" Target="media/image2.png"/></Relationships>

</file>

<file path=word/_rels/footer44.xml.rels><?xml version="1.0" encoding="UTF-8" standalone="yes"?>
<Relationships xmlns="http://schemas.openxmlformats.org/package/2006/relationships"><Relationship Id="rId1" Type="http://schemas.openxmlformats.org/officeDocument/2006/relationships/image" Target="media/image2.png"/></Relationships>

</file>

<file path=word/_rels/footer46.xml.rels><?xml version="1.0" encoding="UTF-8" standalone="yes"?>
<Relationships xmlns="http://schemas.openxmlformats.org/package/2006/relationships"><Relationship Id="rId1" Type="http://schemas.openxmlformats.org/officeDocument/2006/relationships/image" Target="media/image2.png"/></Relationships>

</file>

<file path=word/_rels/footer4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2026-10-09T14:00:01Z</dcterms:created>
  <dcterms:modified xsi:type="dcterms:W3CDTF">2026-10-09T14:00:01Z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2026-10-06T00:00:00Z</vt:filetime>
  </property>
  <property fmtid="{D5CDD505-2E9C-101B-9397-08002B2CF9AE}" pid="3" name="Creator">
    <vt:lpwstr>Microsoft Word</vt:lpwstr>
  </property>
  <property fmtid="{D5CDD505-2E9C-101B-9397-08002B2CF9AE}" pid="4" name="LastSaved">
    <vt:filetime>2026-10-09T00:00:00Z</vt:filetime>
  </property>
</Properties>
</file>